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3076"/>
        <w:spacing w:before="108" w:line="219" w:lineRule="auto"/>
        <w:outlineLvl w:val="0"/>
        <w:rPr>
          <w:sz w:val="54"/>
          <w:szCs w:val="54"/>
        </w:rPr>
      </w:pPr>
      <w:r>
        <w:rPr>
          <w:sz w:val="54"/>
          <w:szCs w:val="54"/>
          <w:spacing w:val="-13"/>
        </w:rPr>
        <w:t>园林绿化养护手册</w:t>
      </w:r>
    </w:p>
    <w:p>
      <w:pPr>
        <w:spacing w:line="347" w:lineRule="auto"/>
        <w:rPr>
          <w:rFonts w:ascii="Arial"/>
          <w:sz w:val="21"/>
        </w:rPr>
      </w:pPr>
      <w:r/>
    </w:p>
    <w:p>
      <w:pPr>
        <w:pStyle w:val="BodyText"/>
        <w:ind w:left="4446"/>
        <w:spacing w:before="189" w:line="221" w:lineRule="auto"/>
        <w:rPr>
          <w:sz w:val="58"/>
          <w:szCs w:val="58"/>
        </w:rPr>
      </w:pPr>
      <w:r>
        <w:rPr>
          <w:sz w:val="58"/>
          <w:szCs w:val="58"/>
          <w:spacing w:val="-78"/>
        </w:rPr>
        <w:t>目</w:t>
      </w:r>
      <w:r>
        <w:rPr>
          <w:sz w:val="58"/>
          <w:szCs w:val="58"/>
          <w:spacing w:val="45"/>
        </w:rPr>
        <w:t xml:space="preserve"> </w:t>
      </w:r>
      <w:r>
        <w:rPr>
          <w:sz w:val="58"/>
          <w:szCs w:val="58"/>
          <w:spacing w:val="-78"/>
        </w:rPr>
        <w:t>录</w:t>
      </w:r>
    </w:p>
    <w:sdt>
      <w:sdtPr>
        <w:rPr>
          <w:rFonts w:ascii="SimHei" w:hAnsi="SimHei" w:eastAsia="SimHei" w:cs="SimHei"/>
          <w:sz w:val="28"/>
          <w:szCs w:val="28"/>
        </w:rPr>
        <w:docPartObj>
          <w:docPartGallery w:val="Table of Contents"/>
          <w:docPartUnique/>
        </w:docPartObj>
      </w:sdtPr>
      <w:sdtEndPr>
        <w:rPr>
          <w:rFonts w:ascii="Arial" w:hAnsi="Arial" w:eastAsia="Arial" w:cs="Arial"/>
          <w:sz w:val="28"/>
          <w:szCs w:val="28"/>
        </w:rPr>
      </w:sdtEndPr>
      <w:sdtContent>
        <w:p>
          <w:pPr>
            <w:ind w:left="566"/>
            <w:spacing w:before="25" w:line="222" w:lineRule="auto"/>
            <w:tabs>
              <w:tab w:val="right" w:leader="dot" w:pos="10067"/>
            </w:tabs>
            <w:rPr>
              <w:rFonts w:ascii="Arial" w:hAnsi="Arial" w:eastAsia="Arial" w:cs="Arial"/>
              <w:sz w:val="28"/>
              <w:szCs w:val="28"/>
            </w:rPr>
          </w:pPr>
          <w:hyperlink w:history="true" w:anchor="bookmark1">
            <w:r>
              <w:rPr>
                <w:rFonts w:ascii="SimHei" w:hAnsi="SimHei" w:eastAsia="SimHei" w:cs="SimHei"/>
                <w:sz w:val="28"/>
                <w:szCs w:val="28"/>
                <w:spacing w:val="-17"/>
              </w:rPr>
              <w:t>前</w:t>
            </w:r>
            <w:r>
              <w:rPr>
                <w:rFonts w:ascii="SimHei" w:hAnsi="SimHei" w:eastAsia="SimHei" w:cs="SimHei"/>
                <w:sz w:val="28"/>
                <w:szCs w:val="28"/>
                <w:spacing w:val="33"/>
              </w:rPr>
              <w:t xml:space="preserve">  </w:t>
            </w:r>
            <w:r>
              <w:rPr>
                <w:rFonts w:ascii="SimHei" w:hAnsi="SimHei" w:eastAsia="SimHei" w:cs="SimHei"/>
                <w:sz w:val="28"/>
                <w:szCs w:val="28"/>
                <w:spacing w:val="-17"/>
              </w:rPr>
              <w:t>言</w:t>
            </w:r>
            <w:r>
              <w:rPr>
                <w:rFonts w:ascii="SimHei" w:hAnsi="SimHei" w:eastAsia="SimHei" w:cs="SimHei"/>
                <w:sz w:val="28"/>
                <w:szCs w:val="28"/>
                <w:spacing w:val="-124"/>
              </w:rPr>
              <w:t xml:space="preserve"> </w:t>
            </w:r>
            <w:r>
              <w:rPr>
                <w:rFonts w:ascii="SimHei" w:hAnsi="SimHei" w:eastAsia="SimHei" w:cs="SimHei"/>
                <w:sz w:val="28"/>
                <w:szCs w:val="28"/>
              </w:rPr>
              <w:tab/>
            </w:r>
            <w:r>
              <w:rPr>
                <w:rFonts w:ascii="SimHei" w:hAnsi="SimHei" w:eastAsia="SimHei" w:cs="SimHei"/>
                <w:sz w:val="28"/>
                <w:szCs w:val="28"/>
                <w:spacing w:val="-47"/>
              </w:rPr>
              <w:t xml:space="preserve"> </w:t>
            </w:r>
            <w:r>
              <w:rPr>
                <w:rFonts w:ascii="Arial" w:hAnsi="Arial" w:eastAsia="Arial" w:cs="Arial"/>
                <w:sz w:val="28"/>
                <w:szCs w:val="28"/>
              </w:rPr>
              <w:t>4</w:t>
            </w:r>
          </w:hyperlink>
        </w:p>
        <w:p>
          <w:pPr>
            <w:ind w:left="566"/>
            <w:spacing w:before="111" w:line="382" w:lineRule="exact"/>
            <w:tabs>
              <w:tab w:val="right" w:leader="dot" w:pos="10080"/>
            </w:tabs>
            <w:rPr>
              <w:rFonts w:ascii="Arial" w:hAnsi="Arial" w:eastAsia="Arial" w:cs="Arial"/>
              <w:sz w:val="28"/>
              <w:szCs w:val="28"/>
            </w:rPr>
          </w:pPr>
          <w:hyperlink w:history="true" w:anchor="bookmark2">
            <w:r>
              <w:rPr>
                <w:rFonts w:ascii="SimHei" w:hAnsi="SimHei" w:eastAsia="SimHei" w:cs="SimHei"/>
                <w:sz w:val="28"/>
                <w:szCs w:val="28"/>
                <w:spacing w:val="20"/>
                <w:position w:val="1"/>
              </w:rPr>
              <w:t>第一章</w:t>
            </w:r>
            <w:r>
              <w:rPr>
                <w:rFonts w:ascii="SimHei" w:hAnsi="SimHei" w:eastAsia="SimHei" w:cs="SimHei"/>
                <w:sz w:val="28"/>
                <w:szCs w:val="28"/>
                <w:spacing w:val="48"/>
                <w:position w:val="1"/>
              </w:rPr>
              <w:t xml:space="preserve"> </w:t>
            </w:r>
            <w:r>
              <w:rPr>
                <w:rFonts w:ascii="SimHei" w:hAnsi="SimHei" w:eastAsia="SimHei" w:cs="SimHei"/>
                <w:sz w:val="28"/>
                <w:szCs w:val="28"/>
                <w:spacing w:val="20"/>
                <w:position w:val="1"/>
              </w:rPr>
              <w:t>专业术语</w:t>
            </w:r>
            <w:r>
              <w:rPr>
                <w:rFonts w:ascii="SimHei" w:hAnsi="SimHei" w:eastAsia="SimHei" w:cs="SimHei"/>
                <w:sz w:val="28"/>
                <w:szCs w:val="28"/>
                <w:spacing w:val="80"/>
                <w:position w:val="1"/>
              </w:rPr>
              <w:t xml:space="preserve"> </w:t>
            </w:r>
            <w:r>
              <w:rPr>
                <w:rFonts w:ascii="SimHei" w:hAnsi="SimHei" w:eastAsia="SimHei" w:cs="SimHei"/>
                <w:sz w:val="28"/>
                <w:szCs w:val="28"/>
                <w:position w:val="1"/>
              </w:rPr>
              <w:tab/>
            </w:r>
            <w:r>
              <w:rPr>
                <w:rFonts w:ascii="Arial" w:hAnsi="Arial" w:eastAsia="Arial" w:cs="Arial"/>
                <w:sz w:val="28"/>
                <w:szCs w:val="28"/>
                <w:position w:val="1"/>
              </w:rPr>
              <w:t>5</w:t>
            </w:r>
          </w:hyperlink>
        </w:p>
        <w:p>
          <w:pPr>
            <w:ind w:left="566"/>
            <w:spacing w:before="157" w:line="221" w:lineRule="auto"/>
            <w:tabs>
              <w:tab w:val="right" w:leader="dot" w:pos="10089"/>
            </w:tabs>
            <w:rPr>
              <w:rFonts w:ascii="Arial" w:hAnsi="Arial" w:eastAsia="Arial" w:cs="Arial"/>
              <w:sz w:val="28"/>
              <w:szCs w:val="28"/>
            </w:rPr>
          </w:pPr>
          <w:hyperlink w:history="true" w:anchor="bookmark3">
            <w:r>
              <w:rPr>
                <w:rFonts w:ascii="SimHei" w:hAnsi="SimHei" w:eastAsia="SimHei" w:cs="SimHei"/>
                <w:sz w:val="28"/>
                <w:szCs w:val="28"/>
                <w:spacing w:val="20"/>
              </w:rPr>
              <w:t>第二章</w:t>
            </w:r>
            <w:r>
              <w:rPr>
                <w:rFonts w:ascii="SimHei" w:hAnsi="SimHei" w:eastAsia="SimHei" w:cs="SimHei"/>
                <w:sz w:val="28"/>
                <w:szCs w:val="28"/>
                <w:spacing w:val="42"/>
              </w:rPr>
              <w:t xml:space="preserve"> </w:t>
            </w:r>
            <w:r>
              <w:rPr>
                <w:rFonts w:ascii="SimHei" w:hAnsi="SimHei" w:eastAsia="SimHei" w:cs="SimHei"/>
                <w:sz w:val="28"/>
                <w:szCs w:val="28"/>
                <w:spacing w:val="20"/>
              </w:rPr>
              <w:t>乔灌木养护</w:t>
            </w:r>
            <w:r>
              <w:rPr>
                <w:rFonts w:ascii="SimHei" w:hAnsi="SimHei" w:eastAsia="SimHei" w:cs="SimHei"/>
                <w:sz w:val="28"/>
                <w:szCs w:val="28"/>
                <w:spacing w:val="76"/>
              </w:rPr>
              <w:t xml:space="preserve"> </w:t>
            </w:r>
            <w:r>
              <w:rPr>
                <w:rFonts w:ascii="SimHei" w:hAnsi="SimHei" w:eastAsia="SimHei" w:cs="SimHei"/>
                <w:sz w:val="28"/>
                <w:szCs w:val="28"/>
              </w:rPr>
              <w:tab/>
            </w:r>
            <w:r>
              <w:rPr>
                <w:rFonts w:ascii="Arial" w:hAnsi="Arial" w:eastAsia="Arial" w:cs="Arial"/>
                <w:sz w:val="28"/>
                <w:szCs w:val="28"/>
              </w:rPr>
              <w:t>7</w:t>
            </w:r>
          </w:hyperlink>
        </w:p>
        <w:p>
          <w:pPr>
            <w:pStyle w:val="BodyText"/>
            <w:ind w:left="1146"/>
            <w:spacing w:before="158" w:line="219" w:lineRule="auto"/>
            <w:tabs>
              <w:tab w:val="right" w:leader="dot" w:pos="10099"/>
            </w:tabs>
            <w:rPr>
              <w:rFonts w:ascii="Arial" w:hAnsi="Arial" w:eastAsia="Arial" w:cs="Arial"/>
            </w:rPr>
          </w:pPr>
          <w:hyperlink w:history="true" w:anchor="bookmark4">
            <w:r>
              <w:rPr>
                <w:spacing w:val="-26"/>
              </w:rPr>
              <w:t>一</w:t>
            </w:r>
            <w:r>
              <w:rPr>
                <w:spacing w:val="-64"/>
              </w:rPr>
              <w:t xml:space="preserve"> </w:t>
            </w:r>
            <w:r>
              <w:rPr>
                <w:spacing w:val="-26"/>
              </w:rPr>
              <w:t>、浇</w:t>
            </w:r>
            <w:r>
              <w:rPr>
                <w:spacing w:val="-50"/>
              </w:rPr>
              <w:t xml:space="preserve"> </w:t>
            </w:r>
            <w:r>
              <w:rPr>
                <w:spacing w:val="-26"/>
              </w:rPr>
              <w:t>水</w:t>
            </w:r>
            <w:r>
              <w:rPr>
                <w:spacing w:val="-113"/>
              </w:rPr>
              <w:t xml:space="preserve"> </w:t>
            </w:r>
            <w:r>
              <w:rPr/>
              <w:tab/>
            </w:r>
            <w:r>
              <w:rPr>
                <w:spacing w:val="-67"/>
              </w:rPr>
              <w:t xml:space="preserve"> </w:t>
            </w:r>
            <w:r>
              <w:rPr>
                <w:rFonts w:ascii="Arial" w:hAnsi="Arial" w:eastAsia="Arial" w:cs="Arial"/>
              </w:rPr>
              <w:t>7</w:t>
            </w:r>
          </w:hyperlink>
        </w:p>
        <w:p>
          <w:pPr>
            <w:pStyle w:val="BodyText"/>
            <w:ind w:left="1146"/>
            <w:spacing w:before="97" w:line="381" w:lineRule="exact"/>
            <w:tabs>
              <w:tab w:val="right" w:leader="dot" w:pos="10067"/>
            </w:tabs>
            <w:rPr>
              <w:rFonts w:ascii="Arial" w:hAnsi="Arial" w:eastAsia="Arial" w:cs="Arial"/>
            </w:rPr>
          </w:pPr>
          <w:hyperlink w:history="true" w:anchor="bookmark5">
            <w:r>
              <w:rPr>
                <w:spacing w:val="-18"/>
                <w:position w:val="1"/>
              </w:rPr>
              <w:t>二</w:t>
            </w:r>
            <w:r>
              <w:rPr>
                <w:spacing w:val="-65"/>
                <w:position w:val="1"/>
              </w:rPr>
              <w:t xml:space="preserve"> </w:t>
            </w:r>
            <w:r>
              <w:rPr>
                <w:spacing w:val="-18"/>
                <w:position w:val="1"/>
              </w:rPr>
              <w:t>、修剪</w:t>
            </w:r>
            <w:r>
              <w:rPr>
                <w:spacing w:val="56"/>
                <w:position w:val="1"/>
              </w:rPr>
              <w:t xml:space="preserve"> </w:t>
            </w:r>
            <w:r>
              <w:rPr>
                <w:position w:val="1"/>
              </w:rPr>
              <w:tab/>
            </w:r>
            <w:r>
              <w:rPr>
                <w:spacing w:val="-67"/>
                <w:position w:val="1"/>
              </w:rPr>
              <w:t xml:space="preserve"> </w:t>
            </w:r>
            <w:r>
              <w:rPr>
                <w:rFonts w:ascii="Arial" w:hAnsi="Arial" w:eastAsia="Arial" w:cs="Arial"/>
                <w:spacing w:val="-8"/>
                <w:position w:val="1"/>
              </w:rPr>
              <w:t>10</w:t>
            </w:r>
          </w:hyperlink>
        </w:p>
        <w:p>
          <w:pPr>
            <w:pStyle w:val="BodyText"/>
            <w:ind w:left="1146"/>
            <w:spacing w:before="108" w:line="381" w:lineRule="exact"/>
            <w:tabs>
              <w:tab w:val="right" w:leader="dot" w:pos="10067"/>
            </w:tabs>
            <w:rPr>
              <w:rFonts w:ascii="Arial" w:hAnsi="Arial" w:eastAsia="Arial" w:cs="Arial"/>
            </w:rPr>
          </w:pPr>
          <w:hyperlink w:history="true" w:anchor="bookmark6">
            <w:r>
              <w:rPr>
                <w:spacing w:val="-19"/>
                <w:position w:val="1"/>
              </w:rPr>
              <w:t>三</w:t>
            </w:r>
            <w:r>
              <w:rPr>
                <w:spacing w:val="-56"/>
                <w:position w:val="1"/>
              </w:rPr>
              <w:t xml:space="preserve"> </w:t>
            </w:r>
            <w:r>
              <w:rPr>
                <w:spacing w:val="-19"/>
                <w:position w:val="1"/>
              </w:rPr>
              <w:t>、施</w:t>
            </w:r>
            <w:r>
              <w:rPr>
                <w:spacing w:val="-60"/>
                <w:position w:val="1"/>
              </w:rPr>
              <w:t xml:space="preserve"> </w:t>
            </w:r>
            <w:r>
              <w:rPr>
                <w:spacing w:val="-19"/>
                <w:position w:val="1"/>
              </w:rPr>
              <w:t>肥</w:t>
            </w:r>
            <w:r>
              <w:rPr>
                <w:spacing w:val="-119"/>
                <w:position w:val="1"/>
              </w:rPr>
              <w:t xml:space="preserve"> </w:t>
            </w:r>
            <w:r>
              <w:rPr>
                <w:position w:val="1"/>
              </w:rPr>
              <w:tab/>
            </w:r>
            <w:r>
              <w:rPr>
                <w:rFonts w:ascii="Arial" w:hAnsi="Arial" w:eastAsia="Arial" w:cs="Arial"/>
                <w:spacing w:val="-6"/>
                <w:position w:val="1"/>
              </w:rPr>
              <w:t>19</w:t>
            </w:r>
          </w:hyperlink>
        </w:p>
        <w:p>
          <w:pPr>
            <w:pStyle w:val="BodyText"/>
            <w:ind w:left="1146"/>
            <w:spacing w:before="181" w:line="220" w:lineRule="auto"/>
            <w:tabs>
              <w:tab w:val="right" w:leader="dot" w:pos="10079"/>
            </w:tabs>
            <w:rPr>
              <w:rFonts w:ascii="Arial" w:hAnsi="Arial" w:eastAsia="Arial" w:cs="Arial"/>
            </w:rPr>
          </w:pPr>
          <w:hyperlink w:history="true" w:anchor="bookmark7">
            <w:r>
              <w:rPr>
                <w:spacing w:val="-30"/>
              </w:rPr>
              <w:t>四</w:t>
            </w:r>
            <w:r>
              <w:rPr>
                <w:spacing w:val="-53"/>
              </w:rPr>
              <w:t xml:space="preserve"> </w:t>
            </w:r>
            <w:r>
              <w:rPr>
                <w:spacing w:val="-30"/>
              </w:rPr>
              <w:t>、补</w:t>
            </w:r>
            <w:r>
              <w:rPr>
                <w:spacing w:val="-58"/>
              </w:rPr>
              <w:t xml:space="preserve"> </w:t>
            </w:r>
            <w:r>
              <w:rPr>
                <w:spacing w:val="-30"/>
              </w:rPr>
              <w:t>种</w:t>
            </w:r>
            <w:r>
              <w:rPr>
                <w:spacing w:val="-130"/>
              </w:rPr>
              <w:t xml:space="preserve"> </w:t>
            </w:r>
            <w:r>
              <w:rPr/>
              <w:tab/>
            </w:r>
            <w:r>
              <w:rPr>
                <w:rFonts w:ascii="Arial" w:hAnsi="Arial" w:eastAsia="Arial" w:cs="Arial"/>
              </w:rPr>
              <w:t>22</w:t>
            </w:r>
          </w:hyperlink>
        </w:p>
        <w:p>
          <w:pPr>
            <w:pStyle w:val="BodyText"/>
            <w:ind w:left="1146"/>
            <w:spacing w:before="156" w:line="219" w:lineRule="auto"/>
            <w:tabs>
              <w:tab w:val="right" w:leader="dot" w:pos="10089"/>
            </w:tabs>
            <w:rPr>
              <w:rFonts w:ascii="Arial" w:hAnsi="Arial" w:eastAsia="Arial" w:cs="Arial"/>
            </w:rPr>
          </w:pPr>
          <w:hyperlink w:history="true" w:anchor="bookmark8">
            <w:r>
              <w:rPr>
                <w:spacing w:val="-15"/>
              </w:rPr>
              <w:t>五</w:t>
            </w:r>
            <w:r>
              <w:rPr>
                <w:spacing w:val="-62"/>
              </w:rPr>
              <w:t xml:space="preserve"> </w:t>
            </w:r>
            <w:r>
              <w:rPr>
                <w:spacing w:val="-15"/>
              </w:rPr>
              <w:t>、支撑</w:t>
            </w:r>
            <w:r>
              <w:rPr>
                <w:spacing w:val="61"/>
              </w:rPr>
              <w:t xml:space="preserve"> </w:t>
            </w:r>
            <w:r>
              <w:rPr/>
              <w:tab/>
            </w:r>
            <w:r>
              <w:rPr>
                <w:spacing w:val="-86"/>
              </w:rPr>
              <w:t xml:space="preserve"> </w:t>
            </w:r>
            <w:r>
              <w:rPr>
                <w:rFonts w:ascii="Arial" w:hAnsi="Arial" w:eastAsia="Arial" w:cs="Arial"/>
                <w:spacing w:val="-3"/>
              </w:rPr>
              <w:t>22</w:t>
            </w:r>
          </w:hyperlink>
        </w:p>
        <w:p>
          <w:pPr>
            <w:pStyle w:val="BodyText"/>
            <w:ind w:left="1146"/>
            <w:spacing w:before="117" w:line="381" w:lineRule="exact"/>
            <w:tabs>
              <w:tab w:val="right" w:leader="dot" w:pos="10099"/>
            </w:tabs>
            <w:rPr>
              <w:rFonts w:ascii="Arial" w:hAnsi="Arial" w:eastAsia="Arial" w:cs="Arial"/>
            </w:rPr>
          </w:pPr>
          <w:hyperlink w:history="true" w:anchor="bookmark9">
            <w:r>
              <w:rPr>
                <w:spacing w:val="7"/>
                <w:position w:val="1"/>
              </w:rPr>
              <w:t>六</w:t>
            </w:r>
            <w:r>
              <w:rPr>
                <w:spacing w:val="-54"/>
                <w:position w:val="1"/>
              </w:rPr>
              <w:t xml:space="preserve"> </w:t>
            </w:r>
            <w:r>
              <w:rPr>
                <w:spacing w:val="7"/>
                <w:position w:val="1"/>
              </w:rPr>
              <w:t>、树洞、伤口保护</w:t>
            </w:r>
            <w:r>
              <w:rPr>
                <w:spacing w:val="-130"/>
                <w:position w:val="1"/>
              </w:rPr>
              <w:t xml:space="preserve"> </w:t>
            </w:r>
            <w:r>
              <w:rPr>
                <w:position w:val="1"/>
              </w:rPr>
              <w:tab/>
            </w:r>
            <w:r>
              <w:rPr>
                <w:spacing w:val="-16"/>
                <w:position w:val="1"/>
              </w:rPr>
              <w:t xml:space="preserve"> </w:t>
            </w:r>
            <w:r>
              <w:rPr>
                <w:rFonts w:ascii="Arial" w:hAnsi="Arial" w:eastAsia="Arial" w:cs="Arial"/>
                <w:spacing w:val="-3"/>
                <w:position w:val="1"/>
              </w:rPr>
              <w:t>23</w:t>
            </w:r>
          </w:hyperlink>
        </w:p>
        <w:p>
          <w:pPr>
            <w:pStyle w:val="BodyText"/>
            <w:ind w:left="1146"/>
            <w:spacing w:before="130" w:line="220" w:lineRule="auto"/>
            <w:tabs>
              <w:tab w:val="right" w:leader="dot" w:pos="10069"/>
            </w:tabs>
            <w:rPr>
              <w:rFonts w:ascii="Arial" w:hAnsi="Arial" w:eastAsia="Arial" w:cs="Arial"/>
            </w:rPr>
          </w:pPr>
          <w:hyperlink w:history="true" w:anchor="bookmark10">
            <w:r>
              <w:rPr>
                <w:spacing w:val="8"/>
              </w:rPr>
              <w:t>七</w:t>
            </w:r>
            <w:r>
              <w:rPr>
                <w:spacing w:val="-58"/>
              </w:rPr>
              <w:t xml:space="preserve"> </w:t>
            </w:r>
            <w:r>
              <w:rPr>
                <w:spacing w:val="8"/>
              </w:rPr>
              <w:t>、环境灾害防护措施</w:t>
            </w:r>
            <w:r>
              <w:rPr>
                <w:spacing w:val="-113"/>
              </w:rPr>
              <w:t xml:space="preserve"> </w:t>
            </w:r>
            <w:r>
              <w:rPr/>
              <w:tab/>
            </w:r>
            <w:r>
              <w:rPr>
                <w:spacing w:val="-76"/>
              </w:rPr>
              <w:t xml:space="preserve"> </w:t>
            </w:r>
            <w:r>
              <w:rPr>
                <w:rFonts w:ascii="Arial" w:hAnsi="Arial" w:eastAsia="Arial" w:cs="Arial"/>
                <w:spacing w:val="-3"/>
              </w:rPr>
              <w:t>24</w:t>
            </w:r>
          </w:hyperlink>
        </w:p>
        <w:p>
          <w:pPr>
            <w:pStyle w:val="BodyText"/>
            <w:ind w:left="1146"/>
            <w:spacing w:before="115" w:line="382" w:lineRule="exact"/>
            <w:tabs>
              <w:tab w:val="right" w:leader="dot" w:pos="10075"/>
            </w:tabs>
            <w:rPr>
              <w:rFonts w:ascii="Arial" w:hAnsi="Arial" w:eastAsia="Arial" w:cs="Arial"/>
            </w:rPr>
          </w:pPr>
          <w:hyperlink w:history="true" w:anchor="bookmark11">
            <w:r>
              <w:rPr>
                <w:spacing w:val="-2"/>
                <w:position w:val="1"/>
              </w:rPr>
              <w:t>八</w:t>
            </w:r>
            <w:r>
              <w:rPr>
                <w:spacing w:val="-60"/>
                <w:position w:val="1"/>
              </w:rPr>
              <w:t xml:space="preserve"> </w:t>
            </w:r>
            <w:r>
              <w:rPr>
                <w:spacing w:val="-2"/>
                <w:position w:val="1"/>
              </w:rPr>
              <w:t>、树底处理</w:t>
            </w:r>
            <w:r>
              <w:rPr>
                <w:spacing w:val="-109"/>
                <w:position w:val="1"/>
              </w:rPr>
              <w:t xml:space="preserve"> </w:t>
            </w:r>
            <w:r>
              <w:rPr>
                <w:position w:val="1"/>
              </w:rPr>
              <w:tab/>
            </w:r>
            <w:r>
              <w:rPr>
                <w:rFonts w:ascii="Arial" w:hAnsi="Arial" w:eastAsia="Arial" w:cs="Arial"/>
                <w:spacing w:val="-1"/>
                <w:position w:val="1"/>
              </w:rPr>
              <w:t>34</w:t>
            </w:r>
          </w:hyperlink>
        </w:p>
        <w:p>
          <w:pPr>
            <w:pStyle w:val="BodyText"/>
            <w:ind w:left="1146"/>
            <w:spacing w:before="128" w:line="382" w:lineRule="exact"/>
            <w:tabs>
              <w:tab w:val="right" w:leader="dot" w:pos="10085"/>
            </w:tabs>
            <w:rPr>
              <w:rFonts w:ascii="Arial" w:hAnsi="Arial" w:eastAsia="Arial" w:cs="Arial"/>
            </w:rPr>
          </w:pPr>
          <w:hyperlink w:history="true" w:anchor="bookmark12">
            <w:r>
              <w:rPr>
                <w:spacing w:val="3"/>
                <w:position w:val="1"/>
              </w:rPr>
              <w:t>九</w:t>
            </w:r>
            <w:r>
              <w:rPr>
                <w:spacing w:val="-55"/>
                <w:position w:val="1"/>
              </w:rPr>
              <w:t xml:space="preserve"> </w:t>
            </w:r>
            <w:r>
              <w:rPr>
                <w:spacing w:val="3"/>
                <w:position w:val="1"/>
              </w:rPr>
              <w:t>、乔灌木养护标准</w:t>
            </w:r>
            <w:r>
              <w:rPr>
                <w:spacing w:val="-113"/>
                <w:position w:val="1"/>
              </w:rPr>
              <w:t xml:space="preserve"> </w:t>
            </w:r>
            <w:r>
              <w:rPr>
                <w:position w:val="1"/>
              </w:rPr>
              <w:tab/>
            </w:r>
            <w:r>
              <w:rPr>
                <w:spacing w:val="-7"/>
                <w:position w:val="1"/>
              </w:rPr>
              <w:t xml:space="preserve"> </w:t>
            </w:r>
            <w:r>
              <w:rPr>
                <w:rFonts w:ascii="Arial" w:hAnsi="Arial" w:eastAsia="Arial" w:cs="Arial"/>
                <w:spacing w:val="-3"/>
                <w:position w:val="1"/>
              </w:rPr>
              <w:t>35</w:t>
            </w:r>
          </w:hyperlink>
        </w:p>
        <w:p>
          <w:pPr>
            <w:ind w:left="566"/>
            <w:spacing w:before="106" w:line="382" w:lineRule="exact"/>
            <w:tabs>
              <w:tab w:val="right" w:leader="dot" w:pos="10085"/>
            </w:tabs>
            <w:rPr>
              <w:rFonts w:ascii="Arial" w:hAnsi="Arial" w:eastAsia="Arial" w:cs="Arial"/>
              <w:sz w:val="28"/>
              <w:szCs w:val="28"/>
            </w:rPr>
          </w:pPr>
          <w:hyperlink w:history="true" w:anchor="bookmark13">
            <w:r>
              <w:rPr>
                <w:rFonts w:ascii="SimHei" w:hAnsi="SimHei" w:eastAsia="SimHei" w:cs="SimHei"/>
                <w:sz w:val="28"/>
                <w:szCs w:val="28"/>
                <w:spacing w:val="22"/>
                <w:position w:val="1"/>
              </w:rPr>
              <w:t>第三章</w:t>
            </w:r>
            <w:r>
              <w:rPr>
                <w:rFonts w:ascii="SimHei" w:hAnsi="SimHei" w:eastAsia="SimHei" w:cs="SimHei"/>
                <w:sz w:val="28"/>
                <w:szCs w:val="28"/>
                <w:spacing w:val="43"/>
                <w:position w:val="1"/>
              </w:rPr>
              <w:t xml:space="preserve"> </w:t>
            </w:r>
            <w:r>
              <w:rPr>
                <w:rFonts w:ascii="SimHei" w:hAnsi="SimHei" w:eastAsia="SimHei" w:cs="SimHei"/>
                <w:sz w:val="28"/>
                <w:szCs w:val="28"/>
                <w:spacing w:val="22"/>
                <w:position w:val="1"/>
              </w:rPr>
              <w:t>地被养护</w:t>
            </w:r>
            <w:r>
              <w:rPr>
                <w:rFonts w:ascii="SimHei" w:hAnsi="SimHei" w:eastAsia="SimHei" w:cs="SimHei"/>
                <w:sz w:val="28"/>
                <w:szCs w:val="28"/>
                <w:spacing w:val="81"/>
                <w:position w:val="1"/>
              </w:rPr>
              <w:t xml:space="preserve"> </w:t>
            </w:r>
            <w:r>
              <w:rPr>
                <w:rFonts w:ascii="SimHei" w:hAnsi="SimHei" w:eastAsia="SimHei" w:cs="SimHei"/>
                <w:sz w:val="28"/>
                <w:szCs w:val="28"/>
                <w:position w:val="1"/>
              </w:rPr>
              <w:tab/>
            </w:r>
            <w:r>
              <w:rPr>
                <w:rFonts w:ascii="Arial" w:hAnsi="Arial" w:eastAsia="Arial" w:cs="Arial"/>
                <w:sz w:val="28"/>
                <w:szCs w:val="28"/>
                <w:position w:val="1"/>
              </w:rPr>
              <w:t>37</w:t>
            </w:r>
          </w:hyperlink>
        </w:p>
        <w:p>
          <w:pPr>
            <w:pStyle w:val="BodyText"/>
            <w:ind w:left="1146"/>
            <w:spacing w:before="100" w:line="382" w:lineRule="exact"/>
            <w:tabs>
              <w:tab w:val="right" w:leader="dot" w:pos="10095"/>
            </w:tabs>
            <w:rPr>
              <w:rFonts w:ascii="Arial" w:hAnsi="Arial" w:eastAsia="Arial" w:cs="Arial"/>
            </w:rPr>
          </w:pPr>
          <w:hyperlink w:history="true" w:anchor="bookmark14">
            <w:r>
              <w:rPr>
                <w:spacing w:val="-26"/>
                <w:position w:val="1"/>
              </w:rPr>
              <w:t>一</w:t>
            </w:r>
            <w:r>
              <w:rPr>
                <w:spacing w:val="-64"/>
                <w:position w:val="1"/>
              </w:rPr>
              <w:t xml:space="preserve"> </w:t>
            </w:r>
            <w:r>
              <w:rPr>
                <w:spacing w:val="-26"/>
                <w:position w:val="1"/>
              </w:rPr>
              <w:t>、浇</w:t>
            </w:r>
            <w:r>
              <w:rPr>
                <w:spacing w:val="-50"/>
                <w:position w:val="1"/>
              </w:rPr>
              <w:t xml:space="preserve"> </w:t>
            </w:r>
            <w:r>
              <w:rPr>
                <w:spacing w:val="-26"/>
                <w:position w:val="1"/>
              </w:rPr>
              <w:t>水</w:t>
            </w:r>
            <w:r>
              <w:rPr>
                <w:spacing w:val="-113"/>
                <w:position w:val="1"/>
              </w:rPr>
              <w:t xml:space="preserve"> </w:t>
            </w:r>
            <w:r>
              <w:rPr>
                <w:position w:val="1"/>
              </w:rPr>
              <w:tab/>
            </w:r>
            <w:r>
              <w:rPr>
                <w:rFonts w:ascii="Arial" w:hAnsi="Arial" w:eastAsia="Arial" w:cs="Arial"/>
                <w:spacing w:val="-4"/>
                <w:position w:val="1"/>
              </w:rPr>
              <w:t>37</w:t>
            </w:r>
          </w:hyperlink>
        </w:p>
        <w:p>
          <w:pPr>
            <w:pStyle w:val="BodyText"/>
            <w:ind w:left="1146"/>
            <w:spacing w:before="128" w:line="382" w:lineRule="exact"/>
            <w:tabs>
              <w:tab w:val="right" w:leader="dot" w:pos="10085"/>
            </w:tabs>
            <w:rPr>
              <w:rFonts w:ascii="Arial" w:hAnsi="Arial" w:eastAsia="Arial" w:cs="Arial"/>
            </w:rPr>
          </w:pPr>
          <w:hyperlink w:history="true" w:anchor="bookmark15">
            <w:r>
              <w:rPr>
                <w:spacing w:val="-21"/>
                <w:position w:val="1"/>
              </w:rPr>
              <w:t>二</w:t>
            </w:r>
            <w:r>
              <w:rPr>
                <w:spacing w:val="-63"/>
                <w:position w:val="1"/>
              </w:rPr>
              <w:t xml:space="preserve"> </w:t>
            </w:r>
            <w:r>
              <w:rPr>
                <w:spacing w:val="-21"/>
                <w:position w:val="1"/>
              </w:rPr>
              <w:t>、修剪</w:t>
            </w:r>
            <w:r>
              <w:rPr>
                <w:spacing w:val="56"/>
                <w:position w:val="1"/>
              </w:rPr>
              <w:t xml:space="preserve"> </w:t>
            </w:r>
            <w:r>
              <w:rPr>
                <w:position w:val="1"/>
              </w:rPr>
              <w:tab/>
            </w:r>
            <w:r>
              <w:rPr>
                <w:spacing w:val="-57"/>
                <w:position w:val="1"/>
              </w:rPr>
              <w:t xml:space="preserve"> </w:t>
            </w:r>
            <w:r>
              <w:rPr>
                <w:rFonts w:ascii="Arial" w:hAnsi="Arial" w:eastAsia="Arial" w:cs="Arial"/>
                <w:spacing w:val="-3"/>
                <w:position w:val="1"/>
              </w:rPr>
              <w:t>38</w:t>
            </w:r>
          </w:hyperlink>
        </w:p>
        <w:p>
          <w:pPr>
            <w:pStyle w:val="BodyText"/>
            <w:ind w:left="1146"/>
            <w:spacing w:before="77" w:line="382" w:lineRule="exact"/>
            <w:tabs>
              <w:tab w:val="right" w:leader="dot" w:pos="10104"/>
            </w:tabs>
            <w:rPr>
              <w:rFonts w:ascii="Arial" w:hAnsi="Arial" w:eastAsia="Arial" w:cs="Arial"/>
            </w:rPr>
          </w:pPr>
          <w:hyperlink w:history="true" w:anchor="bookmark16">
            <w:r>
              <w:rPr>
                <w:spacing w:val="-24"/>
                <w:position w:val="1"/>
              </w:rPr>
              <w:t>三</w:t>
            </w:r>
            <w:r>
              <w:rPr>
                <w:spacing w:val="-56"/>
                <w:position w:val="1"/>
              </w:rPr>
              <w:t xml:space="preserve"> </w:t>
            </w:r>
            <w:r>
              <w:rPr>
                <w:spacing w:val="-24"/>
                <w:position w:val="1"/>
              </w:rPr>
              <w:t>、施</w:t>
            </w:r>
            <w:r>
              <w:rPr>
                <w:spacing w:val="-30"/>
                <w:position w:val="1"/>
              </w:rPr>
              <w:t xml:space="preserve"> </w:t>
            </w:r>
            <w:r>
              <w:rPr>
                <w:spacing w:val="-24"/>
                <w:position w:val="1"/>
              </w:rPr>
              <w:t>肥</w:t>
            </w:r>
            <w:r>
              <w:rPr>
                <w:spacing w:val="-119"/>
                <w:position w:val="1"/>
              </w:rPr>
              <w:t xml:space="preserve"> </w:t>
            </w:r>
            <w:r>
              <w:rPr>
                <w:position w:val="1"/>
              </w:rPr>
              <w:tab/>
            </w:r>
            <w:r>
              <w:rPr>
                <w:rFonts w:ascii="Arial" w:hAnsi="Arial" w:eastAsia="Arial" w:cs="Arial"/>
                <w:spacing w:val="-2"/>
                <w:position w:val="1"/>
              </w:rPr>
              <w:t>43</w:t>
            </w:r>
          </w:hyperlink>
        </w:p>
        <w:p>
          <w:pPr>
            <w:pStyle w:val="BodyText"/>
            <w:ind w:left="1146"/>
            <w:spacing w:before="170" w:line="219" w:lineRule="auto"/>
            <w:tabs>
              <w:tab w:val="right" w:leader="dot" w:pos="10084"/>
            </w:tabs>
            <w:rPr>
              <w:rFonts w:ascii="Arial" w:hAnsi="Arial" w:eastAsia="Arial" w:cs="Arial"/>
            </w:rPr>
          </w:pPr>
          <w:hyperlink w:history="true" w:anchor="bookmark17">
            <w:r>
              <w:rPr>
                <w:spacing w:val="-17"/>
              </w:rPr>
              <w:t>四</w:t>
            </w:r>
            <w:r>
              <w:rPr>
                <w:spacing w:val="-52"/>
              </w:rPr>
              <w:t xml:space="preserve"> </w:t>
            </w:r>
            <w:r>
              <w:rPr>
                <w:spacing w:val="-17"/>
              </w:rPr>
              <w:t>、除杂草</w:t>
            </w:r>
            <w:r>
              <w:rPr>
                <w:spacing w:val="55"/>
              </w:rPr>
              <w:t xml:space="preserve"> </w:t>
            </w:r>
            <w:r>
              <w:rPr/>
              <w:tab/>
            </w:r>
            <w:r>
              <w:rPr>
                <w:spacing w:val="-77"/>
              </w:rPr>
              <w:t xml:space="preserve"> </w:t>
            </w:r>
            <w:r>
              <w:rPr>
                <w:rFonts w:ascii="Arial" w:hAnsi="Arial" w:eastAsia="Arial" w:cs="Arial"/>
                <w:spacing w:val="-1"/>
              </w:rPr>
              <w:t>44</w:t>
            </w:r>
          </w:hyperlink>
        </w:p>
        <w:p>
          <w:pPr>
            <w:pStyle w:val="BodyText"/>
            <w:ind w:left="1146"/>
            <w:spacing w:before="178" w:line="219" w:lineRule="auto"/>
            <w:tabs>
              <w:tab w:val="right" w:leader="dot" w:pos="10084"/>
            </w:tabs>
            <w:rPr>
              <w:rFonts w:ascii="Arial" w:hAnsi="Arial" w:eastAsia="Arial" w:cs="Arial"/>
            </w:rPr>
          </w:pPr>
          <w:hyperlink w:history="true" w:anchor="bookmark18">
            <w:r>
              <w:rPr>
                <w:spacing w:val="-28"/>
              </w:rPr>
              <w:t>五</w:t>
            </w:r>
            <w:r>
              <w:rPr>
                <w:spacing w:val="-62"/>
              </w:rPr>
              <w:t xml:space="preserve"> </w:t>
            </w:r>
            <w:r>
              <w:rPr>
                <w:spacing w:val="-28"/>
              </w:rPr>
              <w:t>、补</w:t>
            </w:r>
            <w:r>
              <w:rPr>
                <w:spacing w:val="-45"/>
              </w:rPr>
              <w:t xml:space="preserve"> </w:t>
            </w:r>
            <w:r>
              <w:rPr>
                <w:spacing w:val="-28"/>
              </w:rPr>
              <w:t>植</w:t>
            </w:r>
            <w:r>
              <w:rPr>
                <w:spacing w:val="-112"/>
              </w:rPr>
              <w:t xml:space="preserve"> </w:t>
            </w:r>
            <w:r>
              <w:rPr/>
              <w:tab/>
            </w:r>
            <w:r>
              <w:rPr>
                <w:rFonts w:ascii="Arial" w:hAnsi="Arial" w:eastAsia="Arial" w:cs="Arial"/>
                <w:spacing w:val="2"/>
              </w:rPr>
              <w:t>44</w:t>
            </w:r>
          </w:hyperlink>
        </w:p>
        <w:p>
          <w:pPr>
            <w:pStyle w:val="BodyText"/>
            <w:ind w:left="1146"/>
            <w:spacing w:before="158" w:line="220" w:lineRule="auto"/>
            <w:tabs>
              <w:tab w:val="right" w:leader="dot" w:pos="10084"/>
            </w:tabs>
            <w:rPr>
              <w:rFonts w:ascii="Arial" w:hAnsi="Arial" w:eastAsia="Arial" w:cs="Arial"/>
            </w:rPr>
          </w:pPr>
          <w:hyperlink w:history="true" w:anchor="bookmark19">
            <w:r>
              <w:rPr>
                <w:spacing w:val="-19"/>
              </w:rPr>
              <w:t>六</w:t>
            </w:r>
            <w:r>
              <w:rPr>
                <w:spacing w:val="-57"/>
              </w:rPr>
              <w:t xml:space="preserve"> </w:t>
            </w:r>
            <w:r>
              <w:rPr>
                <w:spacing w:val="-19"/>
              </w:rPr>
              <w:t>、防</w:t>
            </w:r>
            <w:r>
              <w:rPr>
                <w:spacing w:val="-51"/>
              </w:rPr>
              <w:t xml:space="preserve"> </w:t>
            </w:r>
            <w:r>
              <w:rPr>
                <w:spacing w:val="-19"/>
              </w:rPr>
              <w:t>寒</w:t>
            </w:r>
            <w:r>
              <w:rPr>
                <w:spacing w:val="-127"/>
              </w:rPr>
              <w:t xml:space="preserve"> </w:t>
            </w:r>
            <w:r>
              <w:rPr/>
              <w:tab/>
            </w:r>
            <w:r>
              <w:rPr>
                <w:rFonts w:ascii="Arial" w:hAnsi="Arial" w:eastAsia="Arial" w:cs="Arial"/>
                <w:spacing w:val="2"/>
              </w:rPr>
              <w:t>44</w:t>
            </w:r>
          </w:hyperlink>
        </w:p>
        <w:p>
          <w:pPr>
            <w:pStyle w:val="BodyText"/>
            <w:ind w:left="1146"/>
            <w:spacing w:before="105" w:line="382" w:lineRule="exact"/>
            <w:tabs>
              <w:tab w:val="right" w:leader="dot" w:pos="10084"/>
            </w:tabs>
            <w:rPr>
              <w:rFonts w:ascii="Arial" w:hAnsi="Arial" w:eastAsia="Arial" w:cs="Arial"/>
            </w:rPr>
          </w:pPr>
          <w:hyperlink w:history="true" w:anchor="bookmark20">
            <w:r>
              <w:rPr>
                <w:spacing w:val="7"/>
                <w:position w:val="1"/>
              </w:rPr>
              <w:t>七</w:t>
            </w:r>
            <w:r>
              <w:rPr>
                <w:spacing w:val="-58"/>
                <w:position w:val="1"/>
              </w:rPr>
              <w:t xml:space="preserve"> </w:t>
            </w:r>
            <w:r>
              <w:rPr>
                <w:spacing w:val="7"/>
                <w:position w:val="1"/>
              </w:rPr>
              <w:t>、地被养护质量标准</w:t>
            </w:r>
            <w:r>
              <w:rPr>
                <w:spacing w:val="-123"/>
                <w:position w:val="1"/>
              </w:rPr>
              <w:t xml:space="preserve"> </w:t>
            </w:r>
            <w:r>
              <w:rPr>
                <w:position w:val="1"/>
              </w:rPr>
              <w:tab/>
            </w:r>
            <w:r>
              <w:rPr>
                <w:spacing w:val="-47"/>
                <w:position w:val="1"/>
              </w:rPr>
              <w:t xml:space="preserve"> </w:t>
            </w:r>
            <w:r>
              <w:rPr>
                <w:rFonts w:ascii="Arial" w:hAnsi="Arial" w:eastAsia="Arial" w:cs="Arial"/>
                <w:spacing w:val="-1"/>
                <w:position w:val="1"/>
              </w:rPr>
              <w:t>46</w:t>
            </w:r>
          </w:hyperlink>
        </w:p>
        <w:p>
          <w:pPr>
            <w:ind w:left="566"/>
            <w:spacing w:before="166" w:line="221" w:lineRule="auto"/>
            <w:tabs>
              <w:tab w:val="right" w:leader="dot" w:pos="10104"/>
            </w:tabs>
            <w:rPr>
              <w:rFonts w:ascii="Arial" w:hAnsi="Arial" w:eastAsia="Arial" w:cs="Arial"/>
              <w:sz w:val="28"/>
              <w:szCs w:val="28"/>
            </w:rPr>
          </w:pPr>
          <w:hyperlink w:history="true" w:anchor="bookmark21">
            <w:r>
              <w:rPr>
                <w:rFonts w:ascii="SimHei" w:hAnsi="SimHei" w:eastAsia="SimHei" w:cs="SimHei"/>
                <w:sz w:val="28"/>
                <w:szCs w:val="28"/>
                <w:spacing w:val="29"/>
              </w:rPr>
              <w:t>第四章</w:t>
            </w:r>
            <w:r>
              <w:rPr>
                <w:rFonts w:ascii="SimHei" w:hAnsi="SimHei" w:eastAsia="SimHei" w:cs="SimHei"/>
                <w:sz w:val="28"/>
                <w:szCs w:val="28"/>
                <w:spacing w:val="66"/>
              </w:rPr>
              <w:t xml:space="preserve"> </w:t>
            </w:r>
            <w:r>
              <w:rPr>
                <w:rFonts w:ascii="SimHei" w:hAnsi="SimHei" w:eastAsia="SimHei" w:cs="SimHei"/>
                <w:sz w:val="28"/>
                <w:szCs w:val="28"/>
                <w:spacing w:val="29"/>
              </w:rPr>
              <w:t>草坪养护</w:t>
            </w:r>
            <w:r>
              <w:rPr>
                <w:rFonts w:ascii="SimHei" w:hAnsi="SimHei" w:eastAsia="SimHei" w:cs="SimHei"/>
                <w:sz w:val="28"/>
                <w:szCs w:val="28"/>
                <w:spacing w:val="-131"/>
              </w:rPr>
              <w:t xml:space="preserve"> </w:t>
            </w:r>
            <w:r>
              <w:rPr>
                <w:rFonts w:ascii="SimHei" w:hAnsi="SimHei" w:eastAsia="SimHei" w:cs="SimHei"/>
                <w:sz w:val="28"/>
                <w:szCs w:val="28"/>
              </w:rPr>
              <w:tab/>
            </w:r>
            <w:r>
              <w:rPr>
                <w:rFonts w:ascii="Arial" w:hAnsi="Arial" w:eastAsia="Arial" w:cs="Arial"/>
                <w:sz w:val="28"/>
                <w:szCs w:val="28"/>
                <w:spacing w:val="-2"/>
              </w:rPr>
              <w:t>47</w:t>
            </w:r>
          </w:hyperlink>
        </w:p>
        <w:p>
          <w:pPr>
            <w:pStyle w:val="BodyText"/>
            <w:ind w:left="1146"/>
            <w:spacing w:before="158" w:line="219" w:lineRule="auto"/>
            <w:tabs>
              <w:tab w:val="right" w:leader="dot" w:pos="10104"/>
            </w:tabs>
            <w:rPr>
              <w:rFonts w:ascii="Arial" w:hAnsi="Arial" w:eastAsia="Arial" w:cs="Arial"/>
            </w:rPr>
          </w:pPr>
          <w:hyperlink w:history="true" w:anchor="bookmark22">
            <w:r>
              <w:rPr>
                <w:spacing w:val="-5"/>
              </w:rPr>
              <w:t>一</w:t>
            </w:r>
            <w:r>
              <w:rPr>
                <w:spacing w:val="-62"/>
              </w:rPr>
              <w:t xml:space="preserve"> </w:t>
            </w:r>
            <w:r>
              <w:rPr>
                <w:spacing w:val="-5"/>
              </w:rPr>
              <w:t>、草坪类型</w:t>
            </w:r>
            <w:r>
              <w:rPr>
                <w:spacing w:val="61"/>
              </w:rPr>
              <w:t xml:space="preserve"> </w:t>
            </w:r>
            <w:r>
              <w:rPr/>
              <w:tab/>
            </w:r>
            <w:r>
              <w:rPr>
                <w:rFonts w:ascii="Arial" w:hAnsi="Arial" w:eastAsia="Arial" w:cs="Arial"/>
                <w:spacing w:val="14"/>
              </w:rPr>
              <w:t>47</w:t>
            </w:r>
          </w:hyperlink>
        </w:p>
        <w:p>
          <w:pPr>
            <w:pStyle w:val="BodyText"/>
            <w:ind w:left="1146"/>
            <w:spacing w:before="97" w:line="382" w:lineRule="exact"/>
            <w:tabs>
              <w:tab w:val="right" w:leader="dot" w:pos="10104"/>
            </w:tabs>
            <w:rPr>
              <w:rFonts w:ascii="Arial" w:hAnsi="Arial" w:eastAsia="Arial" w:cs="Arial"/>
            </w:rPr>
          </w:pPr>
          <w:hyperlink w:history="true" w:anchor="bookmark23">
            <w:r>
              <w:rPr>
                <w:spacing w:val="-25"/>
                <w:position w:val="1"/>
              </w:rPr>
              <w:t>二</w:t>
            </w:r>
            <w:r>
              <w:rPr>
                <w:spacing w:val="-64"/>
                <w:position w:val="1"/>
              </w:rPr>
              <w:t xml:space="preserve"> </w:t>
            </w:r>
            <w:r>
              <w:rPr>
                <w:spacing w:val="-25"/>
                <w:position w:val="1"/>
              </w:rPr>
              <w:t>、修</w:t>
            </w:r>
            <w:r>
              <w:rPr>
                <w:spacing w:val="-54"/>
                <w:position w:val="1"/>
              </w:rPr>
              <w:t xml:space="preserve"> </w:t>
            </w:r>
            <w:r>
              <w:rPr>
                <w:spacing w:val="-25"/>
                <w:position w:val="1"/>
              </w:rPr>
              <w:t>剪</w:t>
            </w:r>
            <w:r>
              <w:rPr>
                <w:spacing w:val="-113"/>
                <w:position w:val="1"/>
              </w:rPr>
              <w:t xml:space="preserve"> </w:t>
            </w:r>
            <w:r>
              <w:rPr>
                <w:position w:val="1"/>
              </w:rPr>
              <w:tab/>
            </w:r>
            <w:r>
              <w:rPr>
                <w:rFonts w:ascii="Arial" w:hAnsi="Arial" w:eastAsia="Arial" w:cs="Arial"/>
                <w:spacing w:val="-2"/>
                <w:position w:val="1"/>
              </w:rPr>
              <w:t>48</w:t>
            </w:r>
          </w:hyperlink>
        </w:p>
        <w:p>
          <w:pPr>
            <w:pStyle w:val="BodyText"/>
            <w:ind w:left="1146"/>
            <w:spacing w:before="119" w:line="382" w:lineRule="exact"/>
            <w:tabs>
              <w:tab w:val="right" w:leader="dot" w:pos="10105"/>
            </w:tabs>
            <w:rPr>
              <w:rFonts w:ascii="Arial" w:hAnsi="Arial" w:eastAsia="Arial" w:cs="Arial"/>
            </w:rPr>
          </w:pPr>
          <w:hyperlink w:history="true" w:anchor="bookmark24">
            <w:r>
              <w:rPr>
                <w:spacing w:val="6"/>
                <w:position w:val="1"/>
              </w:rPr>
              <w:t>三</w:t>
            </w:r>
            <w:r>
              <w:rPr>
                <w:spacing w:val="-59"/>
                <w:position w:val="1"/>
              </w:rPr>
              <w:t xml:space="preserve"> </w:t>
            </w:r>
            <w:r>
              <w:rPr>
                <w:spacing w:val="6"/>
                <w:position w:val="1"/>
              </w:rPr>
              <w:t>、打孔覆沙</w:t>
            </w:r>
            <w:r>
              <w:rPr>
                <w:spacing w:val="-118"/>
                <w:position w:val="1"/>
              </w:rPr>
              <w:t xml:space="preserve"> </w:t>
            </w:r>
            <w:r>
              <w:rPr>
                <w:position w:val="1"/>
              </w:rPr>
              <w:tab/>
            </w:r>
            <w:r>
              <w:rPr>
                <w:rFonts w:ascii="Arial" w:hAnsi="Arial" w:eastAsia="Arial" w:cs="Arial"/>
                <w:spacing w:val="-4"/>
                <w:position w:val="1"/>
              </w:rPr>
              <w:t>51</w:t>
            </w:r>
          </w:hyperlink>
        </w:p>
        <w:p>
          <w:pPr>
            <w:pStyle w:val="BodyText"/>
            <w:ind w:left="1146"/>
            <w:spacing w:before="107" w:line="381" w:lineRule="exact"/>
            <w:tabs>
              <w:tab w:val="right" w:leader="dot" w:pos="10075"/>
            </w:tabs>
            <w:rPr>
              <w:rFonts w:ascii="Arial" w:hAnsi="Arial" w:eastAsia="Arial" w:cs="Arial"/>
            </w:rPr>
          </w:pPr>
          <w:hyperlink w:history="true" w:anchor="bookmark25">
            <w:r>
              <w:rPr>
                <w:spacing w:val="-24"/>
                <w:position w:val="1"/>
              </w:rPr>
              <w:t>四</w:t>
            </w:r>
            <w:r>
              <w:rPr>
                <w:spacing w:val="-51"/>
                <w:position w:val="1"/>
              </w:rPr>
              <w:t xml:space="preserve"> </w:t>
            </w:r>
            <w:r>
              <w:rPr>
                <w:spacing w:val="-24"/>
                <w:position w:val="1"/>
              </w:rPr>
              <w:t>、疏草</w:t>
            </w:r>
            <w:r>
              <w:rPr>
                <w:spacing w:val="56"/>
                <w:position w:val="1"/>
              </w:rPr>
              <w:t xml:space="preserve"> </w:t>
            </w:r>
            <w:r>
              <w:rPr>
                <w:position w:val="1"/>
              </w:rPr>
              <w:tab/>
            </w:r>
            <w:r>
              <w:rPr>
                <w:spacing w:val="-67"/>
                <w:position w:val="1"/>
              </w:rPr>
              <w:t xml:space="preserve"> </w:t>
            </w:r>
            <w:r>
              <w:rPr>
                <w:rFonts w:ascii="Arial" w:hAnsi="Arial" w:eastAsia="Arial" w:cs="Arial"/>
                <w:spacing w:val="-3"/>
                <w:position w:val="1"/>
              </w:rPr>
              <w:t>52</w:t>
            </w:r>
          </w:hyperlink>
        </w:p>
        <w:p>
          <w:pPr>
            <w:pStyle w:val="BodyText"/>
            <w:ind w:left="1146"/>
            <w:spacing w:before="109" w:line="381" w:lineRule="exact"/>
            <w:tabs>
              <w:tab w:val="right" w:leader="dot" w:pos="10085"/>
            </w:tabs>
            <w:rPr>
              <w:rFonts w:ascii="Arial" w:hAnsi="Arial" w:eastAsia="Arial" w:cs="Arial"/>
            </w:rPr>
          </w:pPr>
          <w:hyperlink w:history="true" w:anchor="bookmark26">
            <w:r>
              <w:rPr>
                <w:spacing w:val="-29"/>
                <w:position w:val="1"/>
              </w:rPr>
              <w:t>五</w:t>
            </w:r>
            <w:r>
              <w:rPr>
                <w:spacing w:val="-62"/>
                <w:position w:val="1"/>
              </w:rPr>
              <w:t xml:space="preserve"> </w:t>
            </w:r>
            <w:r>
              <w:rPr>
                <w:spacing w:val="-29"/>
                <w:position w:val="1"/>
              </w:rPr>
              <w:t>、浇</w:t>
            </w:r>
            <w:r>
              <w:rPr>
                <w:spacing w:val="-37"/>
                <w:position w:val="1"/>
              </w:rPr>
              <w:t xml:space="preserve"> </w:t>
            </w:r>
            <w:r>
              <w:rPr>
                <w:spacing w:val="-29"/>
                <w:position w:val="1"/>
              </w:rPr>
              <w:t>灌</w:t>
            </w:r>
            <w:r>
              <w:rPr>
                <w:spacing w:val="-116"/>
                <w:position w:val="1"/>
              </w:rPr>
              <w:t xml:space="preserve"> </w:t>
            </w:r>
            <w:r>
              <w:rPr>
                <w:position w:val="1"/>
              </w:rPr>
              <w:tab/>
            </w:r>
            <w:r>
              <w:rPr>
                <w:rFonts w:ascii="Arial" w:hAnsi="Arial" w:eastAsia="Arial" w:cs="Arial"/>
                <w:spacing w:val="-1"/>
                <w:position w:val="1"/>
              </w:rPr>
              <w:t>53</w:t>
            </w:r>
          </w:hyperlink>
        </w:p>
        <w:p>
          <w:pPr>
            <w:pStyle w:val="BodyText"/>
            <w:ind w:left="1146"/>
            <w:spacing w:before="89" w:line="381" w:lineRule="exact"/>
            <w:tabs>
              <w:tab w:val="right" w:leader="dot" w:pos="10075"/>
            </w:tabs>
            <w:rPr>
              <w:rFonts w:ascii="Arial" w:hAnsi="Arial" w:eastAsia="Arial" w:cs="Arial"/>
            </w:rPr>
          </w:pPr>
          <w:hyperlink w:history="true" w:anchor="bookmark27">
            <w:r>
              <w:rPr>
                <w:spacing w:val="8"/>
                <w:position w:val="1"/>
              </w:rPr>
              <w:t>六</w:t>
            </w:r>
            <w:r>
              <w:rPr>
                <w:spacing w:val="-48"/>
                <w:position w:val="1"/>
              </w:rPr>
              <w:t xml:space="preserve"> </w:t>
            </w:r>
            <w:r>
              <w:rPr>
                <w:spacing w:val="8"/>
                <w:position w:val="1"/>
              </w:rPr>
              <w:t>、补植补播及收边收口</w:t>
            </w:r>
            <w:r>
              <w:rPr>
                <w:position w:val="1"/>
              </w:rPr>
              <w:tab/>
            </w:r>
            <w:r>
              <w:rPr>
                <w:spacing w:val="-47"/>
                <w:position w:val="1"/>
              </w:rPr>
              <w:t xml:space="preserve"> </w:t>
            </w:r>
            <w:r>
              <w:rPr>
                <w:rFonts w:ascii="Arial" w:hAnsi="Arial" w:eastAsia="Arial" w:cs="Arial"/>
                <w:spacing w:val="-3"/>
                <w:position w:val="1"/>
              </w:rPr>
              <w:t>54</w:t>
            </w:r>
          </w:hyperlink>
        </w:p>
        <w:p>
          <w:pPr>
            <w:pStyle w:val="BodyText"/>
            <w:ind w:left="1146"/>
            <w:spacing w:before="119" w:line="381" w:lineRule="exact"/>
            <w:tabs>
              <w:tab w:val="right" w:leader="dot" w:pos="10085"/>
            </w:tabs>
            <w:rPr>
              <w:rFonts w:ascii="Arial" w:hAnsi="Arial" w:eastAsia="Arial" w:cs="Arial"/>
            </w:rPr>
          </w:pPr>
          <w:hyperlink w:history="true" w:anchor="bookmark28">
            <w:r>
              <w:rPr>
                <w:spacing w:val="-6"/>
                <w:position w:val="1"/>
              </w:rPr>
              <w:t>七</w:t>
            </w:r>
            <w:r>
              <w:rPr>
                <w:spacing w:val="-60"/>
                <w:position w:val="1"/>
              </w:rPr>
              <w:t xml:space="preserve"> </w:t>
            </w:r>
            <w:r>
              <w:rPr>
                <w:spacing w:val="-6"/>
                <w:position w:val="1"/>
              </w:rPr>
              <w:t>、除杂草</w:t>
            </w:r>
            <w:r>
              <w:rPr>
                <w:spacing w:val="59"/>
                <w:position w:val="1"/>
              </w:rPr>
              <w:t xml:space="preserve"> </w:t>
            </w:r>
            <w:r>
              <w:rPr>
                <w:position w:val="1"/>
              </w:rPr>
              <w:tab/>
            </w:r>
            <w:r>
              <w:rPr>
                <w:rFonts w:ascii="Arial" w:hAnsi="Arial" w:eastAsia="Arial" w:cs="Arial"/>
                <w:spacing w:val="5"/>
                <w:position w:val="1"/>
              </w:rPr>
              <w:t>58</w:t>
            </w:r>
          </w:hyperlink>
        </w:p>
        <w:p>
          <w:pPr>
            <w:pStyle w:val="BodyText"/>
            <w:ind w:left="1146"/>
            <w:spacing w:before="108" w:line="382" w:lineRule="exact"/>
            <w:tabs>
              <w:tab w:val="right" w:leader="dot" w:pos="10095"/>
            </w:tabs>
            <w:rPr>
              <w:rFonts w:ascii="Arial" w:hAnsi="Arial" w:eastAsia="Arial" w:cs="Arial"/>
            </w:rPr>
          </w:pPr>
          <w:hyperlink w:history="true" w:anchor="bookmark29">
            <w:r>
              <w:rPr>
                <w:spacing w:val="-27"/>
                <w:position w:val="1"/>
              </w:rPr>
              <w:t>八</w:t>
            </w:r>
            <w:r>
              <w:rPr>
                <w:spacing w:val="-64"/>
                <w:position w:val="1"/>
              </w:rPr>
              <w:t xml:space="preserve"> </w:t>
            </w:r>
            <w:r>
              <w:rPr>
                <w:spacing w:val="-27"/>
                <w:position w:val="1"/>
              </w:rPr>
              <w:t>、施</w:t>
            </w:r>
            <w:r>
              <w:rPr>
                <w:spacing w:val="-50"/>
                <w:position w:val="1"/>
              </w:rPr>
              <w:t xml:space="preserve"> </w:t>
            </w:r>
            <w:r>
              <w:rPr>
                <w:spacing w:val="-27"/>
                <w:position w:val="1"/>
              </w:rPr>
              <w:t>肥</w:t>
            </w:r>
            <w:r>
              <w:rPr>
                <w:spacing w:val="-109"/>
                <w:position w:val="1"/>
              </w:rPr>
              <w:t xml:space="preserve"> </w:t>
            </w:r>
            <w:r>
              <w:rPr>
                <w:position w:val="1"/>
              </w:rPr>
              <w:tab/>
            </w:r>
            <w:r>
              <w:rPr>
                <w:rFonts w:ascii="Arial" w:hAnsi="Arial" w:eastAsia="Arial" w:cs="Arial"/>
                <w:spacing w:val="-4"/>
                <w:position w:val="1"/>
              </w:rPr>
              <w:t>58</w:t>
            </w:r>
          </w:hyperlink>
        </w:p>
        <w:p>
          <w:pPr>
            <w:pStyle w:val="BodyText"/>
            <w:ind w:left="1146"/>
            <w:spacing w:before="119" w:line="381" w:lineRule="exact"/>
            <w:tabs>
              <w:tab w:val="right" w:leader="dot" w:pos="10077"/>
            </w:tabs>
            <w:rPr>
              <w:rFonts w:ascii="Arial" w:hAnsi="Arial" w:eastAsia="Arial" w:cs="Arial"/>
            </w:rPr>
          </w:pPr>
          <w:hyperlink w:history="true" w:anchor="bookmark30">
            <w:r>
              <w:rPr>
                <w:spacing w:val="-3"/>
                <w:position w:val="1"/>
              </w:rPr>
              <w:t>九</w:t>
            </w:r>
            <w:r>
              <w:rPr>
                <w:spacing w:val="-61"/>
                <w:position w:val="1"/>
              </w:rPr>
              <w:t xml:space="preserve"> </w:t>
            </w:r>
            <w:r>
              <w:rPr>
                <w:spacing w:val="-3"/>
                <w:position w:val="1"/>
              </w:rPr>
              <w:t>、日常养护复配配方</w:t>
            </w:r>
            <w:r>
              <w:rPr>
                <w:spacing w:val="59"/>
                <w:position w:val="1"/>
              </w:rPr>
              <w:t xml:space="preserve"> </w:t>
            </w:r>
            <w:r>
              <w:rPr>
                <w:position w:val="1"/>
              </w:rPr>
              <w:tab/>
            </w:r>
            <w:r>
              <w:rPr>
                <w:rFonts w:ascii="Arial" w:hAnsi="Arial" w:eastAsia="Arial" w:cs="Arial"/>
                <w:spacing w:val="1"/>
                <w:position w:val="1"/>
              </w:rPr>
              <w:t>60</w:t>
            </w:r>
          </w:hyperlink>
        </w:p>
        <w:p>
          <w:pPr>
            <w:pStyle w:val="BodyText"/>
            <w:ind w:left="1146"/>
            <w:spacing w:before="109" w:line="381" w:lineRule="exact"/>
            <w:tabs>
              <w:tab w:val="right" w:leader="dot" w:pos="10077"/>
            </w:tabs>
            <w:rPr>
              <w:rFonts w:ascii="Arial" w:hAnsi="Arial" w:eastAsia="Arial" w:cs="Arial"/>
            </w:rPr>
          </w:pPr>
          <w:hyperlink w:history="true" w:anchor="bookmark31">
            <w:r>
              <w:rPr>
                <w:spacing w:val="-2"/>
                <w:position w:val="1"/>
              </w:rPr>
              <w:t>十</w:t>
            </w:r>
            <w:r>
              <w:rPr>
                <w:spacing w:val="-51"/>
                <w:position w:val="1"/>
              </w:rPr>
              <w:t xml:space="preserve"> </w:t>
            </w:r>
            <w:r>
              <w:rPr>
                <w:spacing w:val="-2"/>
                <w:position w:val="1"/>
              </w:rPr>
              <w:t>、草坪养护标准</w:t>
            </w:r>
            <w:r>
              <w:rPr>
                <w:spacing w:val="56"/>
                <w:position w:val="1"/>
              </w:rPr>
              <w:t xml:space="preserve"> </w:t>
            </w:r>
            <w:r>
              <w:rPr>
                <w:position w:val="1"/>
              </w:rPr>
              <w:tab/>
            </w:r>
            <w:r>
              <w:rPr>
                <w:rFonts w:ascii="Arial" w:hAnsi="Arial" w:eastAsia="Arial" w:cs="Arial"/>
                <w:spacing w:val="-5"/>
                <w:position w:val="1"/>
              </w:rPr>
              <w:t>62</w:t>
            </w:r>
          </w:hyperlink>
        </w:p>
      </w:sdtContent>
    </w:sdt>
    <w:p>
      <w:pPr>
        <w:spacing w:line="381" w:lineRule="exact"/>
        <w:sectPr>
          <w:footerReference w:type="default" r:id="rId1"/>
          <w:pgSz w:w="14490" w:h="20470"/>
          <w:pgMar w:top="1383" w:right="2173" w:bottom="1389" w:left="2173" w:header="0" w:footer="1245" w:gutter="0"/>
        </w:sectPr>
        <w:rPr>
          <w:rFonts w:ascii="Arial" w:hAnsi="Arial" w:eastAsia="Arial" w:cs="Arial"/>
        </w:rPr>
      </w:pPr>
    </w:p>
    <w:sdt>
      <w:sdtPr>
        <w:rPr>
          <w:rFonts w:ascii="SimHei" w:hAnsi="SimHei" w:eastAsia="SimHei" w:cs="SimHei"/>
          <w:sz w:val="28"/>
          <w:szCs w:val="28"/>
        </w:rPr>
        <w:docPartObj>
          <w:docPartGallery w:val="Table of Contents"/>
          <w:docPartUnique/>
        </w:docPartObj>
      </w:sdtPr>
      <w:sdtEndPr>
        <w:rPr>
          <w:rFonts w:ascii="Arial" w:hAnsi="Arial" w:eastAsia="Arial" w:cs="Arial"/>
          <w:sz w:val="28"/>
          <w:szCs w:val="28"/>
        </w:rPr>
      </w:sdtEndPr>
      <w:sdtContent>
        <w:p>
          <w:pPr>
            <w:ind w:left="576"/>
            <w:spacing w:before="76" w:line="381" w:lineRule="exact"/>
            <w:tabs>
              <w:tab w:val="right" w:leader="dot" w:pos="10077"/>
            </w:tabs>
            <w:rPr>
              <w:rFonts w:ascii="Arial" w:hAnsi="Arial" w:eastAsia="Arial" w:cs="Arial"/>
              <w:sz w:val="28"/>
              <w:szCs w:val="28"/>
            </w:rPr>
          </w:pPr>
          <w:hyperlink w:history="true" w:anchor="bookmark32">
            <w:r>
              <w:rPr>
                <w:rFonts w:ascii="SimHei" w:hAnsi="SimHei" w:eastAsia="SimHei" w:cs="SimHei"/>
                <w:sz w:val="28"/>
                <w:szCs w:val="28"/>
                <w:spacing w:val="20"/>
                <w:position w:val="1"/>
              </w:rPr>
              <w:t>第五章</w:t>
            </w:r>
            <w:r>
              <w:rPr>
                <w:rFonts w:ascii="SimHei" w:hAnsi="SimHei" w:eastAsia="SimHei" w:cs="SimHei"/>
                <w:sz w:val="28"/>
                <w:szCs w:val="28"/>
                <w:spacing w:val="50"/>
                <w:position w:val="1"/>
              </w:rPr>
              <w:t xml:space="preserve"> </w:t>
            </w:r>
            <w:r>
              <w:rPr>
                <w:rFonts w:ascii="SimHei" w:hAnsi="SimHei" w:eastAsia="SimHei" w:cs="SimHei"/>
                <w:sz w:val="28"/>
                <w:szCs w:val="28"/>
                <w:spacing w:val="20"/>
                <w:position w:val="1"/>
              </w:rPr>
              <w:t>时花维护</w:t>
            </w:r>
            <w:r>
              <w:rPr>
                <w:rFonts w:ascii="SimHei" w:hAnsi="SimHei" w:eastAsia="SimHei" w:cs="SimHei"/>
                <w:sz w:val="28"/>
                <w:szCs w:val="28"/>
                <w:spacing w:val="78"/>
                <w:position w:val="1"/>
              </w:rPr>
              <w:t xml:space="preserve"> </w:t>
            </w:r>
            <w:r>
              <w:rPr>
                <w:rFonts w:ascii="SimHei" w:hAnsi="SimHei" w:eastAsia="SimHei" w:cs="SimHei"/>
                <w:sz w:val="28"/>
                <w:szCs w:val="28"/>
                <w:position w:val="1"/>
              </w:rPr>
              <w:tab/>
            </w:r>
            <w:r>
              <w:rPr>
                <w:rFonts w:ascii="Arial" w:hAnsi="Arial" w:eastAsia="Arial" w:cs="Arial"/>
                <w:sz w:val="28"/>
                <w:szCs w:val="28"/>
                <w:spacing w:val="-2"/>
                <w:position w:val="1"/>
              </w:rPr>
              <w:t>63</w:t>
            </w:r>
          </w:hyperlink>
        </w:p>
        <w:p>
          <w:pPr>
            <w:ind w:left="576"/>
            <w:spacing w:before="107" w:line="381" w:lineRule="exact"/>
            <w:tabs>
              <w:tab w:val="right" w:leader="dot" w:pos="10047"/>
            </w:tabs>
            <w:rPr>
              <w:rFonts w:ascii="Arial" w:hAnsi="Arial" w:eastAsia="Arial" w:cs="Arial"/>
              <w:sz w:val="28"/>
              <w:szCs w:val="28"/>
            </w:rPr>
          </w:pPr>
          <w:hyperlink w:history="true" w:anchor="bookmark33">
            <w:r>
              <w:rPr>
                <w:rFonts w:ascii="SimHei" w:hAnsi="SimHei" w:eastAsia="SimHei" w:cs="SimHei"/>
                <w:sz w:val="28"/>
                <w:szCs w:val="28"/>
                <w:spacing w:val="27"/>
                <w:position w:val="1"/>
              </w:rPr>
              <w:t>第六章</w:t>
            </w:r>
            <w:r>
              <w:rPr>
                <w:rFonts w:ascii="SimHei" w:hAnsi="SimHei" w:eastAsia="SimHei" w:cs="SimHei"/>
                <w:sz w:val="28"/>
                <w:szCs w:val="28"/>
                <w:spacing w:val="45"/>
                <w:position w:val="1"/>
              </w:rPr>
              <w:t xml:space="preserve"> </w:t>
            </w:r>
            <w:r>
              <w:rPr>
                <w:rFonts w:ascii="SimHei" w:hAnsi="SimHei" w:eastAsia="SimHei" w:cs="SimHei"/>
                <w:sz w:val="28"/>
                <w:szCs w:val="28"/>
                <w:spacing w:val="27"/>
                <w:position w:val="1"/>
              </w:rPr>
              <w:t>病虫害防治</w:t>
            </w:r>
            <w:r>
              <w:rPr>
                <w:rFonts w:ascii="SimHei" w:hAnsi="SimHei" w:eastAsia="SimHei" w:cs="SimHei"/>
                <w:sz w:val="28"/>
                <w:szCs w:val="28"/>
                <w:spacing w:val="-113"/>
                <w:position w:val="1"/>
              </w:rPr>
              <w:t xml:space="preserve"> </w:t>
            </w:r>
            <w:r>
              <w:rPr>
                <w:rFonts w:ascii="SimHei" w:hAnsi="SimHei" w:eastAsia="SimHei" w:cs="SimHei"/>
                <w:sz w:val="28"/>
                <w:szCs w:val="28"/>
                <w:position w:val="1"/>
              </w:rPr>
              <w:tab/>
            </w:r>
            <w:r>
              <w:rPr>
                <w:rFonts w:ascii="SimHei" w:hAnsi="SimHei" w:eastAsia="SimHei" w:cs="SimHei"/>
                <w:sz w:val="28"/>
                <w:szCs w:val="28"/>
                <w:spacing w:val="-47"/>
                <w:position w:val="1"/>
              </w:rPr>
              <w:t xml:space="preserve"> </w:t>
            </w:r>
            <w:r>
              <w:rPr>
                <w:rFonts w:ascii="Arial" w:hAnsi="Arial" w:eastAsia="Arial" w:cs="Arial"/>
                <w:sz w:val="28"/>
                <w:szCs w:val="28"/>
                <w:spacing w:val="-3"/>
                <w:position w:val="1"/>
              </w:rPr>
              <w:t>66</w:t>
            </w:r>
          </w:hyperlink>
        </w:p>
        <w:p>
          <w:pPr>
            <w:pStyle w:val="BodyText"/>
            <w:ind w:left="1146"/>
            <w:spacing w:before="110" w:line="381" w:lineRule="exact"/>
            <w:tabs>
              <w:tab w:val="right" w:leader="dot" w:pos="10027"/>
            </w:tabs>
            <w:rPr>
              <w:rFonts w:ascii="Arial" w:hAnsi="Arial" w:eastAsia="Arial" w:cs="Arial"/>
            </w:rPr>
          </w:pPr>
          <w:hyperlink w:history="true" w:anchor="bookmark34">
            <w:r>
              <w:rPr>
                <w:spacing w:val="-4"/>
                <w:position w:val="1"/>
              </w:rPr>
              <w:t>一</w:t>
            </w:r>
            <w:r>
              <w:rPr>
                <w:spacing w:val="-65"/>
                <w:position w:val="1"/>
              </w:rPr>
              <w:t xml:space="preserve"> </w:t>
            </w:r>
            <w:r>
              <w:rPr>
                <w:spacing w:val="-4"/>
                <w:position w:val="1"/>
              </w:rPr>
              <w:t>、植物病害</w:t>
            </w:r>
            <w:r>
              <w:rPr>
                <w:spacing w:val="58"/>
                <w:position w:val="1"/>
              </w:rPr>
              <w:t xml:space="preserve"> </w:t>
            </w:r>
            <w:r>
              <w:rPr>
                <w:position w:val="1"/>
              </w:rPr>
              <w:tab/>
            </w:r>
            <w:r>
              <w:rPr>
                <w:rFonts w:ascii="Arial" w:hAnsi="Arial" w:eastAsia="Arial" w:cs="Arial"/>
                <w:spacing w:val="-1"/>
                <w:position w:val="1"/>
              </w:rPr>
              <w:t>66</w:t>
            </w:r>
          </w:hyperlink>
        </w:p>
        <w:p>
          <w:pPr>
            <w:pStyle w:val="BodyText"/>
            <w:ind w:left="1906"/>
            <w:spacing w:before="92" w:line="382" w:lineRule="exact"/>
            <w:tabs>
              <w:tab w:val="right" w:leader="dot" w:pos="10067"/>
            </w:tabs>
            <w:rPr>
              <w:rFonts w:ascii="Arial" w:hAnsi="Arial" w:eastAsia="Arial" w:cs="Arial"/>
            </w:rPr>
          </w:pPr>
          <w:hyperlink w:history="true" w:anchor="bookmark35">
            <w:r>
              <w:rPr>
                <w:spacing w:val="5"/>
                <w:position w:val="1"/>
              </w:rPr>
              <w:t>(</w:t>
            </w:r>
            <w:r>
              <w:rPr>
                <w:spacing w:val="-38"/>
                <w:position w:val="1"/>
              </w:rPr>
              <w:t xml:space="preserve"> </w:t>
            </w:r>
            <w:r>
              <w:rPr>
                <w:spacing w:val="5"/>
                <w:position w:val="1"/>
              </w:rPr>
              <w:t>一</w:t>
            </w:r>
            <w:r>
              <w:rPr>
                <w:spacing w:val="-42"/>
                <w:position w:val="1"/>
              </w:rPr>
              <w:t xml:space="preserve"> </w:t>
            </w:r>
            <w:r>
              <w:rPr>
                <w:spacing w:val="5"/>
                <w:position w:val="1"/>
              </w:rPr>
              <w:t>)基础知识</w:t>
            </w:r>
            <w:r>
              <w:rPr>
                <w:spacing w:val="-126"/>
                <w:position w:val="1"/>
              </w:rPr>
              <w:t xml:space="preserve"> </w:t>
            </w:r>
            <w:r>
              <w:rPr>
                <w:position w:val="1"/>
              </w:rPr>
              <w:tab/>
            </w:r>
            <w:r>
              <w:rPr>
                <w:spacing w:val="-57"/>
                <w:position w:val="1"/>
              </w:rPr>
              <w:t xml:space="preserve"> </w:t>
            </w:r>
            <w:r>
              <w:rPr>
                <w:rFonts w:ascii="Arial" w:hAnsi="Arial" w:eastAsia="Arial" w:cs="Arial"/>
                <w:spacing w:val="-3"/>
                <w:position w:val="1"/>
              </w:rPr>
              <w:t>66</w:t>
            </w:r>
          </w:hyperlink>
        </w:p>
        <w:p>
          <w:pPr>
            <w:pStyle w:val="BodyText"/>
            <w:ind w:left="1906"/>
            <w:spacing w:before="105" w:line="381" w:lineRule="exact"/>
            <w:tabs>
              <w:tab w:val="right" w:leader="dot" w:pos="10067"/>
            </w:tabs>
            <w:rPr>
              <w:rFonts w:ascii="Arial" w:hAnsi="Arial" w:eastAsia="Arial" w:cs="Arial"/>
            </w:rPr>
          </w:pPr>
          <w:hyperlink w:history="true" w:anchor="bookmark36">
            <w:r>
              <w:rPr>
                <w:spacing w:val="2"/>
                <w:position w:val="1"/>
              </w:rPr>
              <w:t>(</w:t>
            </w:r>
            <w:r>
              <w:rPr>
                <w:spacing w:val="-44"/>
                <w:position w:val="1"/>
              </w:rPr>
              <w:t xml:space="preserve"> </w:t>
            </w:r>
            <w:r>
              <w:rPr>
                <w:spacing w:val="2"/>
                <w:position w:val="1"/>
              </w:rPr>
              <w:t>二</w:t>
            </w:r>
            <w:r>
              <w:rPr>
                <w:spacing w:val="-52"/>
                <w:position w:val="1"/>
              </w:rPr>
              <w:t xml:space="preserve"> </w:t>
            </w:r>
            <w:r>
              <w:rPr>
                <w:spacing w:val="2"/>
                <w:position w:val="1"/>
              </w:rPr>
              <w:t>)真菌性病害</w:t>
            </w:r>
            <w:r>
              <w:rPr>
                <w:spacing w:val="58"/>
                <w:position w:val="1"/>
              </w:rPr>
              <w:t xml:space="preserve"> </w:t>
            </w:r>
            <w:r>
              <w:rPr>
                <w:position w:val="1"/>
              </w:rPr>
              <w:tab/>
            </w:r>
            <w:r>
              <w:rPr>
                <w:rFonts w:ascii="Arial" w:hAnsi="Arial" w:eastAsia="Arial" w:cs="Arial"/>
                <w:spacing w:val="-1"/>
                <w:position w:val="1"/>
              </w:rPr>
              <w:t>66</w:t>
            </w:r>
          </w:hyperlink>
        </w:p>
        <w:p>
          <w:pPr>
            <w:pStyle w:val="BodyText"/>
            <w:ind w:left="1906"/>
            <w:spacing w:before="129" w:line="381" w:lineRule="exact"/>
            <w:tabs>
              <w:tab w:val="right" w:leader="dot" w:pos="10075"/>
            </w:tabs>
            <w:rPr>
              <w:rFonts w:ascii="Arial" w:hAnsi="Arial" w:eastAsia="Arial" w:cs="Arial"/>
            </w:rPr>
          </w:pPr>
          <w:hyperlink w:history="true" w:anchor="bookmark37">
            <w:r>
              <w:rPr>
                <w:spacing w:val="3"/>
                <w:position w:val="1"/>
              </w:rPr>
              <w:t>(</w:t>
            </w:r>
            <w:r>
              <w:rPr>
                <w:spacing w:val="-52"/>
                <w:position w:val="1"/>
              </w:rPr>
              <w:t xml:space="preserve"> </w:t>
            </w:r>
            <w:r>
              <w:rPr>
                <w:spacing w:val="3"/>
                <w:position w:val="1"/>
              </w:rPr>
              <w:t>三</w:t>
            </w:r>
            <w:r>
              <w:rPr>
                <w:spacing w:val="-52"/>
                <w:position w:val="1"/>
              </w:rPr>
              <w:t xml:space="preserve"> </w:t>
            </w:r>
            <w:r>
              <w:rPr>
                <w:spacing w:val="3"/>
                <w:position w:val="1"/>
              </w:rPr>
              <w:t>)细菌性病害</w:t>
            </w:r>
            <w:r>
              <w:rPr>
                <w:spacing w:val="58"/>
                <w:position w:val="1"/>
              </w:rPr>
              <w:t xml:space="preserve"> </w:t>
            </w:r>
            <w:r>
              <w:rPr>
                <w:position w:val="1"/>
              </w:rPr>
              <w:tab/>
            </w:r>
            <w:r>
              <w:rPr>
                <w:rFonts w:ascii="Arial" w:hAnsi="Arial" w:eastAsia="Arial" w:cs="Arial"/>
                <w:spacing w:val="-1"/>
                <w:position w:val="1"/>
              </w:rPr>
              <w:t>85</w:t>
            </w:r>
          </w:hyperlink>
        </w:p>
        <w:p>
          <w:pPr>
            <w:pStyle w:val="BodyText"/>
            <w:ind w:left="1906"/>
            <w:spacing w:before="119" w:line="381" w:lineRule="exact"/>
            <w:tabs>
              <w:tab w:val="right" w:leader="dot" w:pos="10065"/>
            </w:tabs>
            <w:rPr>
              <w:rFonts w:ascii="Arial" w:hAnsi="Arial" w:eastAsia="Arial" w:cs="Arial"/>
            </w:rPr>
          </w:pPr>
          <w:hyperlink w:history="true" w:anchor="bookmark38">
            <w:r>
              <w:rPr>
                <w:spacing w:val="3"/>
                <w:position w:val="1"/>
              </w:rPr>
              <w:t>(</w:t>
            </w:r>
            <w:r>
              <w:rPr>
                <w:spacing w:val="-15"/>
                <w:position w:val="1"/>
              </w:rPr>
              <w:t xml:space="preserve"> </w:t>
            </w:r>
            <w:r>
              <w:rPr>
                <w:spacing w:val="3"/>
                <w:position w:val="1"/>
              </w:rPr>
              <w:t>四</w:t>
            </w:r>
            <w:r>
              <w:rPr>
                <w:spacing w:val="-42"/>
                <w:position w:val="1"/>
              </w:rPr>
              <w:t xml:space="preserve"> </w:t>
            </w:r>
            <w:r>
              <w:rPr>
                <w:spacing w:val="3"/>
                <w:position w:val="1"/>
              </w:rPr>
              <w:t>)病毒性病害</w:t>
            </w:r>
            <w:r>
              <w:rPr>
                <w:spacing w:val="-118"/>
                <w:position w:val="1"/>
              </w:rPr>
              <w:t xml:space="preserve"> </w:t>
            </w:r>
            <w:r>
              <w:rPr>
                <w:position w:val="1"/>
              </w:rPr>
              <w:tab/>
            </w:r>
            <w:r>
              <w:rPr>
                <w:spacing w:val="-77"/>
                <w:position w:val="1"/>
              </w:rPr>
              <w:t xml:space="preserve"> </w:t>
            </w:r>
            <w:r>
              <w:rPr>
                <w:rFonts w:ascii="Arial" w:hAnsi="Arial" w:eastAsia="Arial" w:cs="Arial"/>
                <w:spacing w:val="-3"/>
                <w:position w:val="1"/>
              </w:rPr>
              <w:t>86</w:t>
            </w:r>
          </w:hyperlink>
        </w:p>
        <w:p>
          <w:pPr>
            <w:pStyle w:val="BodyText"/>
            <w:ind w:left="1906"/>
            <w:spacing w:before="109" w:line="381" w:lineRule="exact"/>
            <w:tabs>
              <w:tab w:val="right" w:leader="dot" w:pos="10075"/>
            </w:tabs>
            <w:rPr>
              <w:rFonts w:ascii="Arial" w:hAnsi="Arial" w:eastAsia="Arial" w:cs="Arial"/>
            </w:rPr>
          </w:pPr>
          <w:hyperlink w:history="true" w:anchor="bookmark39">
            <w:r>
              <w:rPr>
                <w:spacing w:val="-6"/>
                <w:position w:val="1"/>
              </w:rPr>
              <w:t>(</w:t>
            </w:r>
            <w:r>
              <w:rPr>
                <w:spacing w:val="-39"/>
                <w:position w:val="1"/>
              </w:rPr>
              <w:t xml:space="preserve"> </w:t>
            </w:r>
            <w:r>
              <w:rPr>
                <w:spacing w:val="-6"/>
                <w:position w:val="1"/>
              </w:rPr>
              <w:t>五</w:t>
            </w:r>
            <w:r>
              <w:rPr>
                <w:spacing w:val="-43"/>
                <w:position w:val="1"/>
              </w:rPr>
              <w:t xml:space="preserve"> </w:t>
            </w:r>
            <w:r>
              <w:rPr>
                <w:spacing w:val="-6"/>
                <w:position w:val="1"/>
              </w:rPr>
              <w:t>)缺素症</w:t>
            </w:r>
            <w:r>
              <w:rPr>
                <w:spacing w:val="47"/>
                <w:position w:val="1"/>
              </w:rPr>
              <w:t xml:space="preserve"> </w:t>
            </w:r>
            <w:r>
              <w:rPr>
                <w:position w:val="1"/>
              </w:rPr>
              <w:tab/>
            </w:r>
            <w:r>
              <w:rPr>
                <w:rFonts w:ascii="Arial" w:hAnsi="Arial" w:eastAsia="Arial" w:cs="Arial"/>
                <w:spacing w:val="-5"/>
                <w:position w:val="1"/>
              </w:rPr>
              <w:t>88</w:t>
            </w:r>
          </w:hyperlink>
        </w:p>
        <w:p>
          <w:pPr>
            <w:pStyle w:val="BodyText"/>
            <w:ind w:left="1146"/>
            <w:spacing w:before="99" w:line="381" w:lineRule="exact"/>
            <w:tabs>
              <w:tab w:val="right" w:leader="dot" w:pos="10075"/>
            </w:tabs>
            <w:rPr>
              <w:rFonts w:ascii="Arial" w:hAnsi="Arial" w:eastAsia="Arial" w:cs="Arial"/>
            </w:rPr>
          </w:pPr>
          <w:hyperlink w:history="true" w:anchor="bookmark40">
            <w:r>
              <w:rPr>
                <w:spacing w:val="3"/>
                <w:position w:val="1"/>
              </w:rPr>
              <w:t>二</w:t>
            </w:r>
            <w:r>
              <w:rPr>
                <w:spacing w:val="-61"/>
                <w:position w:val="1"/>
              </w:rPr>
              <w:t xml:space="preserve"> </w:t>
            </w:r>
            <w:r>
              <w:rPr>
                <w:spacing w:val="3"/>
                <w:position w:val="1"/>
              </w:rPr>
              <w:t>、植物虫害</w:t>
            </w:r>
            <w:r>
              <w:rPr>
                <w:spacing w:val="-128"/>
                <w:position w:val="1"/>
              </w:rPr>
              <w:t xml:space="preserve"> </w:t>
            </w:r>
            <w:r>
              <w:rPr>
                <w:position w:val="1"/>
              </w:rPr>
              <w:tab/>
            </w:r>
            <w:r>
              <w:rPr>
                <w:rFonts w:ascii="Arial" w:hAnsi="Arial" w:eastAsia="Arial" w:cs="Arial"/>
                <w:spacing w:val="-1"/>
                <w:position w:val="1"/>
              </w:rPr>
              <w:t>95</w:t>
            </w:r>
          </w:hyperlink>
        </w:p>
        <w:p>
          <w:pPr>
            <w:pStyle w:val="BodyText"/>
            <w:ind w:left="1906"/>
            <w:spacing w:before="102" w:line="382" w:lineRule="exact"/>
            <w:tabs>
              <w:tab w:val="right" w:leader="dot" w:pos="10075"/>
            </w:tabs>
            <w:rPr>
              <w:rFonts w:ascii="Arial" w:hAnsi="Arial" w:eastAsia="Arial" w:cs="Arial"/>
            </w:rPr>
          </w:pPr>
          <w:hyperlink w:history="true" w:anchor="bookmark41">
            <w:r>
              <w:rPr>
                <w:spacing w:val="5"/>
                <w:position w:val="1"/>
              </w:rPr>
              <w:t>(</w:t>
            </w:r>
            <w:r>
              <w:rPr>
                <w:spacing w:val="-38"/>
                <w:position w:val="1"/>
              </w:rPr>
              <w:t xml:space="preserve"> </w:t>
            </w:r>
            <w:r>
              <w:rPr>
                <w:spacing w:val="5"/>
                <w:position w:val="1"/>
              </w:rPr>
              <w:t>一</w:t>
            </w:r>
            <w:r>
              <w:rPr>
                <w:spacing w:val="-42"/>
                <w:position w:val="1"/>
              </w:rPr>
              <w:t xml:space="preserve"> </w:t>
            </w:r>
            <w:r>
              <w:rPr>
                <w:spacing w:val="5"/>
                <w:position w:val="1"/>
              </w:rPr>
              <w:t>)基础知识</w:t>
            </w:r>
            <w:r>
              <w:rPr>
                <w:spacing w:val="-126"/>
                <w:position w:val="1"/>
              </w:rPr>
              <w:t xml:space="preserve"> </w:t>
            </w:r>
            <w:r>
              <w:rPr>
                <w:position w:val="1"/>
              </w:rPr>
              <w:tab/>
            </w:r>
            <w:r>
              <w:rPr>
                <w:spacing w:val="-47"/>
                <w:position w:val="1"/>
              </w:rPr>
              <w:t xml:space="preserve"> </w:t>
            </w:r>
            <w:r>
              <w:rPr>
                <w:rFonts w:ascii="Arial" w:hAnsi="Arial" w:eastAsia="Arial" w:cs="Arial"/>
                <w:spacing w:val="-3"/>
                <w:position w:val="1"/>
              </w:rPr>
              <w:t>95</w:t>
            </w:r>
          </w:hyperlink>
        </w:p>
        <w:p>
          <w:pPr>
            <w:pStyle w:val="BodyText"/>
            <w:ind w:left="1906"/>
            <w:spacing w:before="115" w:line="381" w:lineRule="exact"/>
            <w:tabs>
              <w:tab w:val="right" w:leader="dot" w:pos="10075"/>
            </w:tabs>
            <w:rPr>
              <w:rFonts w:ascii="Arial" w:hAnsi="Arial" w:eastAsia="Arial" w:cs="Arial"/>
            </w:rPr>
          </w:pPr>
          <w:hyperlink w:history="true" w:anchor="bookmark42">
            <w:r>
              <w:rPr>
                <w:spacing w:val="7"/>
                <w:position w:val="1"/>
              </w:rPr>
              <w:t>(</w:t>
            </w:r>
            <w:r>
              <w:rPr>
                <w:spacing w:val="-48"/>
                <w:position w:val="1"/>
              </w:rPr>
              <w:t xml:space="preserve"> </w:t>
            </w:r>
            <w:r>
              <w:rPr>
                <w:spacing w:val="7"/>
                <w:position w:val="1"/>
              </w:rPr>
              <w:t>二</w:t>
            </w:r>
            <w:r>
              <w:rPr>
                <w:spacing w:val="-52"/>
                <w:position w:val="1"/>
              </w:rPr>
              <w:t xml:space="preserve"> </w:t>
            </w:r>
            <w:r>
              <w:rPr>
                <w:spacing w:val="7"/>
                <w:position w:val="1"/>
              </w:rPr>
              <w:t>)刺吸式害虫</w:t>
            </w:r>
            <w:r>
              <w:rPr>
                <w:spacing w:val="-127"/>
                <w:position w:val="1"/>
              </w:rPr>
              <w:t xml:space="preserve"> </w:t>
            </w:r>
            <w:r>
              <w:rPr>
                <w:position w:val="1"/>
              </w:rPr>
              <w:tab/>
            </w:r>
            <w:r>
              <w:rPr>
                <w:spacing w:val="-47"/>
                <w:position w:val="1"/>
              </w:rPr>
              <w:t xml:space="preserve"> </w:t>
            </w:r>
            <w:r>
              <w:rPr>
                <w:rFonts w:ascii="Arial" w:hAnsi="Arial" w:eastAsia="Arial" w:cs="Arial"/>
                <w:spacing w:val="-3"/>
                <w:position w:val="1"/>
              </w:rPr>
              <w:t>95</w:t>
            </w:r>
          </w:hyperlink>
        </w:p>
        <w:p>
          <w:pPr>
            <w:pStyle w:val="BodyText"/>
            <w:ind w:left="1906"/>
            <w:spacing w:before="108" w:line="381" w:lineRule="exact"/>
            <w:tabs>
              <w:tab w:val="right" w:leader="dot" w:pos="10092"/>
            </w:tabs>
            <w:rPr>
              <w:rFonts w:ascii="Arial" w:hAnsi="Arial" w:eastAsia="Arial" w:cs="Arial"/>
            </w:rPr>
          </w:pPr>
          <w:hyperlink w:history="true" w:anchor="bookmark43">
            <w:r>
              <w:rPr>
                <w:spacing w:val="8"/>
                <w:position w:val="1"/>
              </w:rPr>
              <w:t>(</w:t>
            </w:r>
            <w:r>
              <w:rPr>
                <w:spacing w:val="-48"/>
                <w:position w:val="1"/>
              </w:rPr>
              <w:t xml:space="preserve"> </w:t>
            </w:r>
            <w:r>
              <w:rPr>
                <w:spacing w:val="8"/>
                <w:position w:val="1"/>
              </w:rPr>
              <w:t>三</w:t>
            </w:r>
            <w:r>
              <w:rPr>
                <w:spacing w:val="-52"/>
                <w:position w:val="1"/>
              </w:rPr>
              <w:t xml:space="preserve"> </w:t>
            </w:r>
            <w:r>
              <w:rPr>
                <w:spacing w:val="8"/>
                <w:position w:val="1"/>
              </w:rPr>
              <w:t>)蛀干害虫</w:t>
            </w:r>
            <w:r>
              <w:rPr>
                <w:spacing w:val="-127"/>
                <w:position w:val="1"/>
              </w:rPr>
              <w:t xml:space="preserve"> </w:t>
            </w:r>
            <w:r>
              <w:rPr>
                <w:position w:val="1"/>
              </w:rPr>
              <w:tab/>
            </w:r>
            <w:r>
              <w:rPr>
                <w:rFonts w:ascii="Arial" w:hAnsi="Arial" w:eastAsia="Arial" w:cs="Arial"/>
                <w:spacing w:val="-5"/>
                <w:position w:val="1"/>
              </w:rPr>
              <w:t>104</w:t>
            </w:r>
          </w:hyperlink>
        </w:p>
        <w:p>
          <w:pPr>
            <w:pStyle w:val="BodyText"/>
            <w:ind w:left="1906"/>
            <w:spacing w:before="131" w:line="381" w:lineRule="exact"/>
            <w:tabs>
              <w:tab w:val="right" w:leader="dot" w:pos="10062"/>
            </w:tabs>
            <w:rPr>
              <w:rFonts w:ascii="Arial" w:hAnsi="Arial" w:eastAsia="Arial" w:cs="Arial"/>
            </w:rPr>
          </w:pPr>
          <w:hyperlink w:history="true" w:anchor="bookmark44">
            <w:r>
              <w:rPr>
                <w:position w:val="1"/>
              </w:rPr>
              <w:t>(</w:t>
            </w:r>
            <w:r>
              <w:rPr>
                <w:spacing w:val="-12"/>
                <w:position w:val="1"/>
              </w:rPr>
              <w:t xml:space="preserve"> </w:t>
            </w:r>
            <w:r>
              <w:rPr>
                <w:position w:val="1"/>
              </w:rPr>
              <w:t>四</w:t>
            </w:r>
            <w:r>
              <w:rPr>
                <w:spacing w:val="-42"/>
                <w:position w:val="1"/>
              </w:rPr>
              <w:t xml:space="preserve"> </w:t>
            </w:r>
            <w:r>
              <w:rPr>
                <w:position w:val="1"/>
              </w:rPr>
              <w:t>)地下害虫</w:t>
            </w:r>
            <w:r>
              <w:rPr>
                <w:spacing w:val="-127"/>
                <w:position w:val="1"/>
              </w:rPr>
              <w:t xml:space="preserve"> </w:t>
            </w:r>
            <w:r>
              <w:rPr>
                <w:position w:val="1"/>
              </w:rPr>
              <w:tab/>
            </w:r>
            <w:r>
              <w:rPr>
                <w:rFonts w:ascii="Arial" w:hAnsi="Arial" w:eastAsia="Arial" w:cs="Arial"/>
                <w:spacing w:val="-8"/>
                <w:position w:val="1"/>
              </w:rPr>
              <w:t>110</w:t>
            </w:r>
          </w:hyperlink>
        </w:p>
        <w:p>
          <w:pPr>
            <w:pStyle w:val="BodyText"/>
            <w:ind w:left="1906"/>
            <w:spacing w:before="150" w:line="221" w:lineRule="auto"/>
            <w:tabs>
              <w:tab w:val="right" w:leader="dot" w:pos="10092"/>
            </w:tabs>
            <w:rPr>
              <w:rFonts w:ascii="Arial" w:hAnsi="Arial" w:eastAsia="Arial" w:cs="Arial"/>
            </w:rPr>
          </w:pPr>
          <w:hyperlink w:history="true" w:anchor="bookmark45">
            <w:r>
              <w:rPr>
                <w:spacing w:val="4"/>
              </w:rPr>
              <w:t>(</w:t>
            </w:r>
            <w:r>
              <w:rPr>
                <w:spacing w:val="-36"/>
              </w:rPr>
              <w:t xml:space="preserve"> </w:t>
            </w:r>
            <w:r>
              <w:rPr>
                <w:spacing w:val="4"/>
              </w:rPr>
              <w:t>五</w:t>
            </w:r>
            <w:r>
              <w:rPr>
                <w:spacing w:val="-42"/>
              </w:rPr>
              <w:t xml:space="preserve"> </w:t>
            </w:r>
            <w:r>
              <w:rPr>
                <w:spacing w:val="4"/>
              </w:rPr>
              <w:t>)金针虫</w:t>
            </w:r>
            <w:r>
              <w:rPr>
                <w:spacing w:val="-127"/>
              </w:rPr>
              <w:t xml:space="preserve"> </w:t>
            </w:r>
            <w:r>
              <w:rPr/>
              <w:tab/>
            </w:r>
            <w:r>
              <w:rPr>
                <w:rFonts w:ascii="Arial" w:hAnsi="Arial" w:eastAsia="Arial" w:cs="Arial"/>
                <w:spacing w:val="-5"/>
              </w:rPr>
              <w:t>114</w:t>
            </w:r>
          </w:hyperlink>
        </w:p>
        <w:p>
          <w:pPr>
            <w:pStyle w:val="BodyText"/>
            <w:ind w:left="1906"/>
            <w:spacing w:before="112" w:line="382" w:lineRule="exact"/>
            <w:tabs>
              <w:tab w:val="right" w:leader="dot" w:pos="10102"/>
            </w:tabs>
            <w:rPr>
              <w:rFonts w:ascii="Arial" w:hAnsi="Arial" w:eastAsia="Arial" w:cs="Arial"/>
            </w:rPr>
          </w:pPr>
          <w:hyperlink w:history="true" w:anchor="bookmark46">
            <w:r>
              <w:rPr>
                <w:spacing w:val="4"/>
                <w:position w:val="1"/>
              </w:rPr>
              <w:t>(</w:t>
            </w:r>
            <w:r>
              <w:rPr>
                <w:spacing w:val="-40"/>
                <w:position w:val="1"/>
              </w:rPr>
              <w:t xml:space="preserve"> </w:t>
            </w:r>
            <w:r>
              <w:rPr>
                <w:spacing w:val="4"/>
                <w:position w:val="1"/>
              </w:rPr>
              <w:t>六</w:t>
            </w:r>
            <w:r>
              <w:rPr>
                <w:spacing w:val="-42"/>
                <w:position w:val="1"/>
              </w:rPr>
              <w:t xml:space="preserve"> </w:t>
            </w:r>
            <w:r>
              <w:rPr>
                <w:spacing w:val="4"/>
                <w:position w:val="1"/>
              </w:rPr>
              <w:t>)食叶害虫</w:t>
            </w:r>
            <w:r>
              <w:rPr>
                <w:spacing w:val="-127"/>
                <w:position w:val="1"/>
              </w:rPr>
              <w:t xml:space="preserve"> </w:t>
            </w:r>
            <w:r>
              <w:rPr>
                <w:position w:val="1"/>
              </w:rPr>
              <w:tab/>
            </w:r>
            <w:r>
              <w:rPr>
                <w:rFonts w:ascii="Arial" w:hAnsi="Arial" w:eastAsia="Arial" w:cs="Arial"/>
                <w:spacing w:val="-9"/>
                <w:position w:val="1"/>
              </w:rPr>
              <w:t>115</w:t>
            </w:r>
          </w:hyperlink>
        </w:p>
        <w:p>
          <w:pPr>
            <w:ind w:left="576"/>
            <w:spacing w:before="88" w:line="381" w:lineRule="exact"/>
            <w:tabs>
              <w:tab w:val="right" w:leader="dot" w:pos="10072"/>
            </w:tabs>
            <w:rPr>
              <w:rFonts w:ascii="Arial" w:hAnsi="Arial" w:eastAsia="Arial" w:cs="Arial"/>
              <w:sz w:val="28"/>
              <w:szCs w:val="28"/>
            </w:rPr>
          </w:pPr>
          <w:hyperlink w:history="true" w:anchor="bookmark47">
            <w:r>
              <w:rPr>
                <w:rFonts w:ascii="SimHei" w:hAnsi="SimHei" w:eastAsia="SimHei" w:cs="SimHei"/>
                <w:sz w:val="28"/>
                <w:szCs w:val="28"/>
                <w:spacing w:val="11"/>
                <w:position w:val="1"/>
              </w:rPr>
              <w:t>附件一：常用园林机械操作指引</w:t>
            </w:r>
            <w:r>
              <w:rPr>
                <w:rFonts w:ascii="SimHei" w:hAnsi="SimHei" w:eastAsia="SimHei" w:cs="SimHei"/>
                <w:sz w:val="28"/>
                <w:szCs w:val="28"/>
                <w:spacing w:val="-96"/>
                <w:position w:val="1"/>
              </w:rPr>
              <w:t xml:space="preserve"> </w:t>
            </w:r>
            <w:r>
              <w:rPr>
                <w:rFonts w:ascii="SimHei" w:hAnsi="SimHei" w:eastAsia="SimHei" w:cs="SimHei"/>
                <w:sz w:val="28"/>
                <w:szCs w:val="28"/>
                <w:position w:val="1"/>
              </w:rPr>
              <w:tab/>
            </w:r>
            <w:r>
              <w:rPr>
                <w:rFonts w:ascii="Arial" w:hAnsi="Arial" w:eastAsia="Arial" w:cs="Arial"/>
                <w:sz w:val="28"/>
                <w:szCs w:val="28"/>
                <w:spacing w:val="-8"/>
                <w:position w:val="1"/>
              </w:rPr>
              <w:t>129</w:t>
            </w:r>
          </w:hyperlink>
        </w:p>
        <w:p>
          <w:pPr>
            <w:pStyle w:val="BodyText"/>
            <w:ind w:left="1146"/>
            <w:spacing w:before="129" w:line="381" w:lineRule="exact"/>
            <w:tabs>
              <w:tab w:val="right" w:leader="dot" w:pos="10092"/>
            </w:tabs>
            <w:rPr>
              <w:rFonts w:ascii="Arial" w:hAnsi="Arial" w:eastAsia="Arial" w:cs="Arial"/>
            </w:rPr>
          </w:pPr>
          <w:hyperlink w:history="true" w:anchor="bookmark48">
            <w:r>
              <w:rPr>
                <w:spacing w:val="2"/>
                <w:position w:val="1"/>
              </w:rPr>
              <w:t>一</w:t>
            </w:r>
            <w:r>
              <w:rPr>
                <w:spacing w:val="-61"/>
                <w:position w:val="1"/>
              </w:rPr>
              <w:t xml:space="preserve"> </w:t>
            </w:r>
            <w:r>
              <w:rPr>
                <w:spacing w:val="2"/>
                <w:position w:val="1"/>
              </w:rPr>
              <w:t>、绿篱机</w:t>
            </w:r>
            <w:r>
              <w:rPr>
                <w:spacing w:val="-120"/>
                <w:position w:val="1"/>
              </w:rPr>
              <w:t xml:space="preserve"> </w:t>
            </w:r>
            <w:r>
              <w:rPr>
                <w:position w:val="1"/>
              </w:rPr>
              <w:tab/>
            </w:r>
            <w:r>
              <w:rPr>
                <w:rFonts w:ascii="Arial" w:hAnsi="Arial" w:eastAsia="Arial" w:cs="Arial"/>
                <w:position w:val="1"/>
              </w:rPr>
              <w:t>129</w:t>
            </w:r>
          </w:hyperlink>
        </w:p>
        <w:p>
          <w:pPr>
            <w:pStyle w:val="BodyText"/>
            <w:ind w:left="1146"/>
            <w:spacing w:before="99" w:line="382" w:lineRule="exact"/>
            <w:tabs>
              <w:tab w:val="right" w:leader="dot" w:pos="10062"/>
            </w:tabs>
            <w:rPr>
              <w:rFonts w:ascii="Arial" w:hAnsi="Arial" w:eastAsia="Arial" w:cs="Arial"/>
            </w:rPr>
          </w:pPr>
          <w:hyperlink w:history="true" w:anchor="bookmark49">
            <w:r>
              <w:rPr>
                <w:spacing w:val="3"/>
                <w:position w:val="1"/>
              </w:rPr>
              <w:t>二</w:t>
            </w:r>
            <w:r>
              <w:rPr>
                <w:spacing w:val="-65"/>
                <w:position w:val="1"/>
              </w:rPr>
              <w:t xml:space="preserve"> </w:t>
            </w:r>
            <w:r>
              <w:rPr>
                <w:spacing w:val="3"/>
                <w:position w:val="1"/>
              </w:rPr>
              <w:t>、汽油水泵</w:t>
            </w:r>
            <w:r>
              <w:rPr>
                <w:spacing w:val="-124"/>
                <w:position w:val="1"/>
              </w:rPr>
              <w:t xml:space="preserve"> </w:t>
            </w:r>
            <w:r>
              <w:rPr>
                <w:position w:val="1"/>
              </w:rPr>
              <w:tab/>
            </w:r>
            <w:r>
              <w:rPr>
                <w:rFonts w:ascii="Arial" w:hAnsi="Arial" w:eastAsia="Arial" w:cs="Arial"/>
                <w:spacing w:val="-7"/>
                <w:position w:val="1"/>
              </w:rPr>
              <w:t>132</w:t>
            </w:r>
          </w:hyperlink>
        </w:p>
        <w:p>
          <w:pPr>
            <w:pStyle w:val="BodyText"/>
            <w:ind w:left="1146"/>
            <w:spacing w:before="128" w:line="382" w:lineRule="exact"/>
            <w:tabs>
              <w:tab w:val="right" w:leader="dot" w:pos="10062"/>
            </w:tabs>
            <w:rPr>
              <w:rFonts w:ascii="Arial" w:hAnsi="Arial" w:eastAsia="Arial" w:cs="Arial"/>
            </w:rPr>
          </w:pPr>
          <w:hyperlink w:history="true" w:anchor="bookmark50">
            <w:r>
              <w:rPr>
                <w:spacing w:val="4"/>
                <w:position w:val="1"/>
              </w:rPr>
              <w:t>三</w:t>
            </w:r>
            <w:r>
              <w:rPr>
                <w:spacing w:val="-67"/>
                <w:position w:val="1"/>
              </w:rPr>
              <w:t xml:space="preserve"> </w:t>
            </w:r>
            <w:r>
              <w:rPr>
                <w:spacing w:val="4"/>
                <w:position w:val="1"/>
              </w:rPr>
              <w:t>、潜水泵</w:t>
            </w:r>
            <w:r>
              <w:rPr>
                <w:spacing w:val="-124"/>
                <w:position w:val="1"/>
              </w:rPr>
              <w:t xml:space="preserve"> </w:t>
            </w:r>
            <w:r>
              <w:rPr>
                <w:position w:val="1"/>
              </w:rPr>
              <w:tab/>
            </w:r>
            <w:r>
              <w:rPr>
                <w:rFonts w:ascii="Arial" w:hAnsi="Arial" w:eastAsia="Arial" w:cs="Arial"/>
                <w:spacing w:val="-7"/>
                <w:position w:val="1"/>
              </w:rPr>
              <w:t>134</w:t>
            </w:r>
          </w:hyperlink>
        </w:p>
        <w:p>
          <w:pPr>
            <w:pStyle w:val="BodyText"/>
            <w:ind w:left="1146"/>
            <w:spacing w:before="108" w:line="381" w:lineRule="exact"/>
            <w:tabs>
              <w:tab w:val="right" w:leader="dot" w:pos="10052"/>
            </w:tabs>
            <w:rPr>
              <w:rFonts w:ascii="Arial" w:hAnsi="Arial" w:eastAsia="Arial" w:cs="Arial"/>
            </w:rPr>
          </w:pPr>
          <w:hyperlink w:history="true" w:anchor="bookmark51">
            <w:r>
              <w:rPr>
                <w:spacing w:val="-6"/>
                <w:position w:val="1"/>
              </w:rPr>
              <w:t>四</w:t>
            </w:r>
            <w:r>
              <w:rPr>
                <w:spacing w:val="-51"/>
                <w:position w:val="1"/>
              </w:rPr>
              <w:t xml:space="preserve"> </w:t>
            </w:r>
            <w:r>
              <w:rPr>
                <w:spacing w:val="-6"/>
                <w:position w:val="1"/>
              </w:rPr>
              <w:t>、割草机</w:t>
            </w:r>
            <w:r>
              <w:rPr>
                <w:spacing w:val="-110"/>
                <w:position w:val="1"/>
              </w:rPr>
              <w:t xml:space="preserve"> </w:t>
            </w:r>
            <w:r>
              <w:rPr>
                <w:position w:val="1"/>
              </w:rPr>
              <w:tab/>
            </w:r>
            <w:r>
              <w:rPr>
                <w:rFonts w:ascii="Arial" w:hAnsi="Arial" w:eastAsia="Arial" w:cs="Arial"/>
                <w:spacing w:val="-4"/>
                <w:position w:val="1"/>
              </w:rPr>
              <w:t>136</w:t>
            </w:r>
          </w:hyperlink>
        </w:p>
        <w:p>
          <w:pPr>
            <w:pStyle w:val="BodyText"/>
            <w:ind w:left="1146"/>
            <w:spacing w:before="89" w:line="381" w:lineRule="exact"/>
            <w:tabs>
              <w:tab w:val="right" w:leader="dot" w:pos="10072"/>
            </w:tabs>
            <w:rPr>
              <w:rFonts w:ascii="Arial" w:hAnsi="Arial" w:eastAsia="Arial" w:cs="Arial"/>
            </w:rPr>
          </w:pPr>
          <w:hyperlink w:history="true" w:anchor="bookmark52">
            <w:r>
              <w:rPr>
                <w:spacing w:val="2"/>
                <w:position w:val="1"/>
              </w:rPr>
              <w:t>五</w:t>
            </w:r>
            <w:r>
              <w:rPr>
                <w:spacing w:val="-61"/>
                <w:position w:val="1"/>
              </w:rPr>
              <w:t xml:space="preserve"> </w:t>
            </w:r>
            <w:r>
              <w:rPr>
                <w:spacing w:val="2"/>
                <w:position w:val="1"/>
              </w:rPr>
              <w:t>、割灌机</w:t>
            </w:r>
            <w:r>
              <w:rPr>
                <w:spacing w:val="-120"/>
                <w:position w:val="1"/>
              </w:rPr>
              <w:t xml:space="preserve"> </w:t>
            </w:r>
            <w:r>
              <w:rPr>
                <w:position w:val="1"/>
              </w:rPr>
              <w:tab/>
            </w:r>
            <w:r>
              <w:rPr>
                <w:rFonts w:ascii="Arial" w:hAnsi="Arial" w:eastAsia="Arial" w:cs="Arial"/>
                <w:spacing w:val="-4"/>
                <w:position w:val="1"/>
              </w:rPr>
              <w:t>138</w:t>
            </w:r>
          </w:hyperlink>
        </w:p>
        <w:p>
          <w:pPr>
            <w:pStyle w:val="BodyText"/>
            <w:ind w:left="1146"/>
            <w:spacing w:before="129" w:line="381" w:lineRule="exact"/>
            <w:tabs>
              <w:tab w:val="right" w:leader="dot" w:pos="10052"/>
            </w:tabs>
            <w:rPr>
              <w:rFonts w:ascii="Arial" w:hAnsi="Arial" w:eastAsia="Arial" w:cs="Arial"/>
            </w:rPr>
          </w:pPr>
          <w:hyperlink w:history="true" w:anchor="bookmark53">
            <w:r>
              <w:rPr>
                <w:spacing w:val="5"/>
                <w:position w:val="1"/>
              </w:rPr>
              <w:t>六</w:t>
            </w:r>
            <w:r>
              <w:rPr>
                <w:spacing w:val="-66"/>
                <w:position w:val="1"/>
              </w:rPr>
              <w:t xml:space="preserve"> </w:t>
            </w:r>
            <w:r>
              <w:rPr>
                <w:spacing w:val="5"/>
                <w:position w:val="1"/>
              </w:rPr>
              <w:t>、打药机</w:t>
            </w:r>
            <w:r>
              <w:rPr>
                <w:spacing w:val="-120"/>
                <w:position w:val="1"/>
              </w:rPr>
              <w:t xml:space="preserve"> </w:t>
            </w:r>
            <w:r>
              <w:rPr>
                <w:position w:val="1"/>
              </w:rPr>
              <w:tab/>
            </w:r>
            <w:r>
              <w:rPr>
                <w:rFonts w:ascii="Arial" w:hAnsi="Arial" w:eastAsia="Arial" w:cs="Arial"/>
                <w:spacing w:val="-5"/>
                <w:position w:val="1"/>
              </w:rPr>
              <w:t>140</w:t>
            </w:r>
          </w:hyperlink>
        </w:p>
        <w:p>
          <w:pPr>
            <w:pStyle w:val="BodyText"/>
            <w:ind w:left="1146"/>
            <w:spacing w:before="174" w:line="221" w:lineRule="auto"/>
            <w:tabs>
              <w:tab w:val="right" w:leader="dot" w:pos="10072"/>
            </w:tabs>
            <w:rPr>
              <w:rFonts w:ascii="Arial" w:hAnsi="Arial" w:eastAsia="Arial" w:cs="Arial"/>
            </w:rPr>
          </w:pPr>
          <w:hyperlink w:history="true" w:anchor="bookmark54">
            <w:r>
              <w:rPr>
                <w:spacing w:val="-22"/>
              </w:rPr>
              <w:t>七</w:t>
            </w:r>
            <w:r>
              <w:rPr>
                <w:spacing w:val="-70"/>
              </w:rPr>
              <w:t xml:space="preserve"> </w:t>
            </w:r>
            <w:r>
              <w:rPr>
                <w:spacing w:val="-22"/>
              </w:rPr>
              <w:t>、油</w:t>
            </w:r>
            <w:r>
              <w:rPr>
                <w:spacing w:val="-61"/>
              </w:rPr>
              <w:t xml:space="preserve"> </w:t>
            </w:r>
            <w:r>
              <w:rPr>
                <w:spacing w:val="-22"/>
              </w:rPr>
              <w:t>锯</w:t>
            </w:r>
            <w:r>
              <w:rPr>
                <w:spacing w:val="-112"/>
              </w:rPr>
              <w:t xml:space="preserve"> </w:t>
            </w:r>
            <w:r>
              <w:rPr/>
              <w:tab/>
            </w:r>
            <w:r>
              <w:rPr>
                <w:rFonts w:ascii="Arial" w:hAnsi="Arial" w:eastAsia="Arial" w:cs="Arial"/>
              </w:rPr>
              <w:t>141</w:t>
            </w:r>
          </w:hyperlink>
        </w:p>
        <w:p>
          <w:pPr>
            <w:pStyle w:val="BodyText"/>
            <w:ind w:left="1146"/>
            <w:spacing w:before="91" w:line="382" w:lineRule="exact"/>
            <w:tabs>
              <w:tab w:val="right" w:leader="dot" w:pos="10072"/>
            </w:tabs>
            <w:rPr>
              <w:rFonts w:ascii="Arial" w:hAnsi="Arial" w:eastAsia="Arial" w:cs="Arial"/>
            </w:rPr>
          </w:pPr>
          <w:hyperlink w:history="true" w:anchor="bookmark55">
            <w:r>
              <w:rPr>
                <w:spacing w:val="-3"/>
                <w:position w:val="1"/>
              </w:rPr>
              <w:t>八</w:t>
            </w:r>
            <w:r>
              <w:rPr>
                <w:spacing w:val="-31"/>
                <w:position w:val="1"/>
              </w:rPr>
              <w:t xml:space="preserve"> </w:t>
            </w:r>
            <w:r>
              <w:rPr>
                <w:spacing w:val="-3"/>
                <w:position w:val="1"/>
              </w:rPr>
              <w:t>、电动链锯</w:t>
            </w:r>
            <w:r>
              <w:rPr>
                <w:spacing w:val="-122"/>
                <w:position w:val="1"/>
              </w:rPr>
              <w:t xml:space="preserve"> </w:t>
            </w:r>
            <w:r>
              <w:rPr>
                <w:position w:val="1"/>
              </w:rPr>
              <w:tab/>
            </w:r>
            <w:r>
              <w:rPr>
                <w:rFonts w:ascii="Arial" w:hAnsi="Arial" w:eastAsia="Arial" w:cs="Arial"/>
                <w:spacing w:val="-4"/>
                <w:position w:val="1"/>
              </w:rPr>
              <w:t>145</w:t>
            </w:r>
          </w:hyperlink>
        </w:p>
        <w:p>
          <w:pPr>
            <w:pStyle w:val="BodyText"/>
            <w:ind w:left="1146"/>
            <w:spacing w:before="106" w:line="382" w:lineRule="exact"/>
            <w:tabs>
              <w:tab w:val="right" w:leader="dot" w:pos="10052"/>
            </w:tabs>
            <w:rPr>
              <w:rFonts w:ascii="Arial" w:hAnsi="Arial" w:eastAsia="Arial" w:cs="Arial"/>
            </w:rPr>
          </w:pPr>
          <w:hyperlink w:history="true" w:anchor="bookmark56">
            <w:r>
              <w:rPr>
                <w:spacing w:val="7"/>
                <w:position w:val="1"/>
              </w:rPr>
              <w:t>九</w:t>
            </w:r>
            <w:r>
              <w:rPr>
                <w:spacing w:val="-61"/>
                <w:position w:val="1"/>
              </w:rPr>
              <w:t xml:space="preserve"> </w:t>
            </w:r>
            <w:r>
              <w:rPr>
                <w:spacing w:val="7"/>
                <w:position w:val="1"/>
              </w:rPr>
              <w:t>、背负式喷药喷粉机</w:t>
            </w:r>
            <w:r>
              <w:rPr>
                <w:spacing w:val="-120"/>
                <w:position w:val="1"/>
              </w:rPr>
              <w:t xml:space="preserve"> </w:t>
            </w:r>
            <w:r>
              <w:rPr>
                <w:position w:val="1"/>
              </w:rPr>
              <w:tab/>
            </w:r>
            <w:r>
              <w:rPr>
                <w:rFonts w:ascii="Arial" w:hAnsi="Arial" w:eastAsia="Arial" w:cs="Arial"/>
                <w:spacing w:val="-5"/>
                <w:position w:val="1"/>
              </w:rPr>
              <w:t>146</w:t>
            </w:r>
          </w:hyperlink>
        </w:p>
        <w:p>
          <w:pPr>
            <w:pStyle w:val="BodyText"/>
            <w:ind w:left="1146"/>
            <w:spacing w:before="119" w:line="382" w:lineRule="exact"/>
            <w:tabs>
              <w:tab w:val="right" w:leader="dot" w:pos="10072"/>
            </w:tabs>
            <w:rPr>
              <w:rFonts w:ascii="Arial" w:hAnsi="Arial" w:eastAsia="Arial" w:cs="Arial"/>
            </w:rPr>
          </w:pPr>
          <w:hyperlink w:history="true" w:anchor="bookmark57">
            <w:r>
              <w:rPr>
                <w:spacing w:val="-2"/>
                <w:position w:val="1"/>
              </w:rPr>
              <w:t>十</w:t>
            </w:r>
            <w:r>
              <w:rPr>
                <w:spacing w:val="-61"/>
                <w:position w:val="1"/>
              </w:rPr>
              <w:t xml:space="preserve"> </w:t>
            </w:r>
            <w:r>
              <w:rPr>
                <w:spacing w:val="-2"/>
                <w:position w:val="1"/>
              </w:rPr>
              <w:t>、背负式手动喷雾器</w:t>
            </w:r>
            <w:r>
              <w:rPr>
                <w:spacing w:val="49"/>
                <w:position w:val="1"/>
              </w:rPr>
              <w:t xml:space="preserve"> </w:t>
            </w:r>
            <w:r>
              <w:rPr>
                <w:position w:val="1"/>
              </w:rPr>
              <w:tab/>
            </w:r>
            <w:r>
              <w:rPr>
                <w:rFonts w:ascii="Arial" w:hAnsi="Arial" w:eastAsia="Arial" w:cs="Arial"/>
                <w:spacing w:val="-8"/>
                <w:position w:val="1"/>
              </w:rPr>
              <w:t>148</w:t>
            </w:r>
          </w:hyperlink>
        </w:p>
        <w:p>
          <w:pPr>
            <w:pStyle w:val="BodyText"/>
            <w:ind w:left="1146"/>
            <w:spacing w:before="87" w:line="382" w:lineRule="exact"/>
            <w:tabs>
              <w:tab w:val="right" w:leader="dot" w:pos="10072"/>
            </w:tabs>
            <w:rPr>
              <w:rFonts w:ascii="Arial" w:hAnsi="Arial" w:eastAsia="Arial" w:cs="Arial"/>
            </w:rPr>
          </w:pPr>
          <w:hyperlink w:history="true" w:anchor="bookmark58">
            <w:r>
              <w:rPr>
                <w:spacing w:val="6"/>
                <w:position w:val="1"/>
              </w:rPr>
              <w:t>十一、手拉葫芦</w:t>
            </w:r>
            <w:r>
              <w:rPr>
                <w:spacing w:val="67"/>
                <w:position w:val="1"/>
              </w:rPr>
              <w:t xml:space="preserve"> </w:t>
            </w:r>
            <w:r>
              <w:rPr>
                <w:position w:val="1"/>
              </w:rPr>
              <w:tab/>
            </w:r>
            <w:r>
              <w:rPr>
                <w:rFonts w:ascii="Arial" w:hAnsi="Arial" w:eastAsia="Arial" w:cs="Arial"/>
                <w:spacing w:val="-8"/>
                <w:position w:val="1"/>
              </w:rPr>
              <w:t>149</w:t>
            </w:r>
          </w:hyperlink>
        </w:p>
        <w:p>
          <w:pPr>
            <w:ind w:left="576"/>
            <w:spacing w:before="117" w:line="382" w:lineRule="exact"/>
            <w:tabs>
              <w:tab w:val="right" w:leader="dot" w:pos="10102"/>
            </w:tabs>
            <w:rPr>
              <w:rFonts w:ascii="Arial" w:hAnsi="Arial" w:eastAsia="Arial" w:cs="Arial"/>
              <w:sz w:val="28"/>
              <w:szCs w:val="28"/>
            </w:rPr>
          </w:pPr>
          <w:hyperlink w:history="true" w:anchor="bookmark59">
            <w:r>
              <w:rPr>
                <w:rFonts w:ascii="SimHei" w:hAnsi="SimHei" w:eastAsia="SimHei" w:cs="SimHei"/>
                <w:sz w:val="28"/>
                <w:szCs w:val="28"/>
                <w:spacing w:val="13"/>
                <w:position w:val="1"/>
              </w:rPr>
              <w:t>附件二：各地区养护管理月历</w:t>
            </w:r>
            <w:r>
              <w:rPr>
                <w:rFonts w:ascii="SimHei" w:hAnsi="SimHei" w:eastAsia="SimHei" w:cs="SimHei"/>
                <w:sz w:val="28"/>
                <w:szCs w:val="28"/>
                <w:position w:val="1"/>
              </w:rPr>
              <w:tab/>
            </w:r>
            <w:r>
              <w:rPr>
                <w:rFonts w:ascii="Arial" w:hAnsi="Arial" w:eastAsia="Arial" w:cs="Arial"/>
                <w:sz w:val="28"/>
                <w:szCs w:val="28"/>
                <w:spacing w:val="-9"/>
                <w:position w:val="1"/>
              </w:rPr>
              <w:t>151</w:t>
            </w:r>
          </w:hyperlink>
        </w:p>
        <w:p>
          <w:pPr>
            <w:pStyle w:val="BodyText"/>
            <w:ind w:left="1146"/>
            <w:spacing w:before="120" w:line="382" w:lineRule="exact"/>
            <w:tabs>
              <w:tab w:val="right" w:leader="dot" w:pos="10092"/>
            </w:tabs>
            <w:rPr>
              <w:rFonts w:ascii="Arial" w:hAnsi="Arial" w:eastAsia="Arial" w:cs="Arial"/>
            </w:rPr>
          </w:pPr>
          <w:hyperlink w:history="true" w:anchor="bookmark60">
            <w:r>
              <w:rPr>
                <w:spacing w:val="10"/>
                <w:position w:val="1"/>
              </w:rPr>
              <w:t>吉林、黑龙江地区</w:t>
            </w:r>
            <w:r>
              <w:rPr>
                <w:spacing w:val="-122"/>
                <w:position w:val="1"/>
              </w:rPr>
              <w:t xml:space="preserve"> </w:t>
            </w:r>
            <w:r>
              <w:rPr>
                <w:position w:val="1"/>
              </w:rPr>
              <w:tab/>
            </w:r>
            <w:r>
              <w:rPr>
                <w:rFonts w:ascii="Arial" w:hAnsi="Arial" w:eastAsia="Arial" w:cs="Arial"/>
                <w:spacing w:val="4"/>
                <w:position w:val="1"/>
              </w:rPr>
              <w:t>151</w:t>
            </w:r>
          </w:hyperlink>
        </w:p>
        <w:p>
          <w:pPr>
            <w:pStyle w:val="BodyText"/>
            <w:ind w:left="1146"/>
            <w:spacing w:before="121" w:line="381" w:lineRule="exact"/>
            <w:tabs>
              <w:tab w:val="right" w:leader="dot" w:pos="10072"/>
            </w:tabs>
            <w:rPr>
              <w:rFonts w:ascii="Arial" w:hAnsi="Arial" w:eastAsia="Arial" w:cs="Arial"/>
            </w:rPr>
          </w:pPr>
          <w:hyperlink w:history="true" w:anchor="bookmark61">
            <w:r>
              <w:rPr>
                <w:spacing w:val="4"/>
                <w:position w:val="1"/>
              </w:rPr>
              <w:t>辽宁地区</w:t>
            </w:r>
            <w:r>
              <w:rPr>
                <w:spacing w:val="53"/>
                <w:position w:val="1"/>
              </w:rPr>
              <w:t xml:space="preserve"> </w:t>
            </w:r>
            <w:r>
              <w:rPr>
                <w:position w:val="1"/>
              </w:rPr>
              <w:tab/>
            </w:r>
            <w:r>
              <w:rPr>
                <w:rFonts w:ascii="Arial" w:hAnsi="Arial" w:eastAsia="Arial" w:cs="Arial"/>
                <w:spacing w:val="-8"/>
                <w:position w:val="1"/>
              </w:rPr>
              <w:t>162</w:t>
            </w:r>
          </w:hyperlink>
        </w:p>
        <w:p>
          <w:pPr>
            <w:pStyle w:val="BodyText"/>
            <w:ind w:left="1146"/>
            <w:spacing w:before="147" w:line="219" w:lineRule="auto"/>
            <w:tabs>
              <w:tab w:val="right" w:leader="dot" w:pos="10072"/>
            </w:tabs>
            <w:rPr>
              <w:rFonts w:ascii="Arial" w:hAnsi="Arial" w:eastAsia="Arial" w:cs="Arial"/>
            </w:rPr>
          </w:pPr>
          <w:hyperlink w:history="true" w:anchor="bookmark62">
            <w:r>
              <w:rPr>
                <w:spacing w:val="6"/>
              </w:rPr>
              <w:t>河北、北京、天津地区</w:t>
            </w:r>
            <w:r>
              <w:rPr>
                <w:spacing w:val="49"/>
              </w:rPr>
              <w:t xml:space="preserve"> </w:t>
            </w:r>
            <w:r>
              <w:rPr/>
              <w:tab/>
            </w:r>
            <w:r>
              <w:rPr>
                <w:rFonts w:ascii="Arial" w:hAnsi="Arial" w:eastAsia="Arial" w:cs="Arial"/>
                <w:spacing w:val="-8"/>
              </w:rPr>
              <w:t>174</w:t>
            </w:r>
          </w:hyperlink>
        </w:p>
        <w:p>
          <w:pPr>
            <w:pStyle w:val="BodyText"/>
            <w:ind w:left="1146"/>
            <w:spacing w:before="107" w:line="382" w:lineRule="exact"/>
            <w:tabs>
              <w:tab w:val="right" w:leader="dot" w:pos="10062"/>
            </w:tabs>
            <w:rPr>
              <w:rFonts w:ascii="Arial" w:hAnsi="Arial" w:eastAsia="Arial" w:cs="Arial"/>
            </w:rPr>
          </w:pPr>
          <w:hyperlink w:history="true" w:anchor="bookmark63">
            <w:r>
              <w:rPr>
                <w:spacing w:val="1"/>
                <w:position w:val="1"/>
              </w:rPr>
              <w:t>山东地区</w:t>
            </w:r>
            <w:r>
              <w:rPr>
                <w:spacing w:val="55"/>
                <w:position w:val="1"/>
              </w:rPr>
              <w:t xml:space="preserve"> </w:t>
            </w:r>
            <w:r>
              <w:rPr>
                <w:position w:val="1"/>
              </w:rPr>
              <w:tab/>
            </w:r>
            <w:r>
              <w:rPr>
                <w:rFonts w:ascii="Arial" w:hAnsi="Arial" w:eastAsia="Arial" w:cs="Arial"/>
                <w:spacing w:val="-8"/>
                <w:position w:val="1"/>
              </w:rPr>
              <w:t>186</w:t>
            </w:r>
          </w:hyperlink>
        </w:p>
        <w:p>
          <w:pPr>
            <w:pStyle w:val="BodyText"/>
            <w:ind w:left="1146"/>
            <w:spacing w:before="294" w:line="381" w:lineRule="exact"/>
            <w:tabs>
              <w:tab w:val="right" w:leader="dot" w:pos="10062"/>
            </w:tabs>
            <w:rPr>
              <w:rFonts w:ascii="Arial" w:hAnsi="Arial" w:eastAsia="Arial" w:cs="Arial"/>
            </w:rPr>
          </w:pPr>
          <w:hyperlink w:history="true" w:anchor="bookmark64">
            <w:r>
              <w:rPr>
                <w:spacing w:val="13"/>
                <w:position w:val="1"/>
              </w:rPr>
              <w:t>山西地区</w:t>
            </w:r>
            <w:r>
              <w:rPr>
                <w:position w:val="1"/>
              </w:rPr>
              <w:tab/>
            </w:r>
            <w:r>
              <w:rPr>
                <w:rFonts w:ascii="Arial" w:hAnsi="Arial" w:eastAsia="Arial" w:cs="Arial"/>
                <w:spacing w:val="7"/>
                <w:position w:val="1"/>
              </w:rPr>
              <w:t>197</w:t>
            </w:r>
          </w:hyperlink>
        </w:p>
        <w:p>
          <w:pPr>
            <w:pStyle w:val="BodyText"/>
            <w:ind w:left="1146"/>
            <w:spacing w:before="272" w:line="382" w:lineRule="exact"/>
            <w:tabs>
              <w:tab w:val="right" w:leader="dot" w:pos="10085"/>
            </w:tabs>
            <w:rPr>
              <w:rFonts w:ascii="Arial" w:hAnsi="Arial" w:eastAsia="Arial" w:cs="Arial"/>
            </w:rPr>
          </w:pPr>
          <w:hyperlink w:history="true" w:anchor="bookmark65">
            <w:r>
              <w:rPr>
                <w:spacing w:val="7"/>
                <w:position w:val="1"/>
              </w:rPr>
              <w:t>内蒙古、银川、青海地区</w:t>
            </w:r>
            <w:r>
              <w:rPr>
                <w:spacing w:val="52"/>
                <w:position w:val="1"/>
              </w:rPr>
              <w:t xml:space="preserve"> </w:t>
            </w:r>
            <w:r>
              <w:rPr>
                <w:position w:val="1"/>
              </w:rPr>
              <w:tab/>
            </w:r>
            <w:r>
              <w:rPr>
                <w:spacing w:val="-17"/>
                <w:position w:val="1"/>
              </w:rPr>
              <w:t xml:space="preserve"> </w:t>
            </w:r>
            <w:r>
              <w:rPr>
                <w:rFonts w:ascii="Arial" w:hAnsi="Arial" w:eastAsia="Arial" w:cs="Arial"/>
                <w:spacing w:val="-2"/>
                <w:position w:val="1"/>
              </w:rPr>
              <w:t>208</w:t>
            </w:r>
          </w:hyperlink>
        </w:p>
      </w:sdtContent>
    </w:sdt>
    <w:p>
      <w:pPr>
        <w:spacing w:line="382" w:lineRule="exact"/>
        <w:sectPr>
          <w:footerReference w:type="default" r:id="rId2"/>
          <w:pgSz w:w="14490" w:h="20470"/>
          <w:pgMar w:top="1373" w:right="2173" w:bottom="1063" w:left="2173" w:header="0" w:footer="901" w:gutter="0"/>
        </w:sectPr>
        <w:rPr>
          <w:rFonts w:ascii="Arial" w:hAnsi="Arial" w:eastAsia="Arial" w:cs="Arial"/>
        </w:rPr>
      </w:pPr>
    </w:p>
    <w:sdt>
      <w:sdtPr>
        <w:rPr>
          <w:rFonts w:ascii="SimSun" w:hAnsi="SimSun" w:eastAsia="SimSun" w:cs="SimSun"/>
          <w:sz w:val="28"/>
          <w:szCs w:val="28"/>
        </w:rPr>
        <w:docPartObj>
          <w:docPartGallery w:val="Table of Contents"/>
          <w:docPartUnique/>
        </w:docPartObj>
      </w:sdtPr>
      <w:sdtEndPr>
        <w:rPr>
          <w:rFonts w:ascii="Arial" w:hAnsi="Arial" w:eastAsia="Arial" w:cs="Arial"/>
          <w:sz w:val="28"/>
          <w:szCs w:val="28"/>
        </w:rPr>
      </w:sdtEndPr>
      <w:sdtContent>
        <w:p>
          <w:pPr>
            <w:pStyle w:val="BodyText"/>
            <w:ind w:left="1146"/>
            <w:spacing w:before="76" w:line="381" w:lineRule="exact"/>
            <w:tabs>
              <w:tab w:val="right" w:leader="dot" w:pos="10065"/>
            </w:tabs>
            <w:rPr>
              <w:rFonts w:ascii="Arial" w:hAnsi="Arial" w:eastAsia="Arial" w:cs="Arial"/>
            </w:rPr>
          </w:pPr>
          <w:hyperlink w:history="true" w:anchor="bookmark66">
            <w:r>
              <w:rPr>
                <w:spacing w:val="3"/>
                <w:position w:val="1"/>
              </w:rPr>
              <w:t>陕西地区</w:t>
            </w:r>
            <w:r>
              <w:rPr>
                <w:spacing w:val="57"/>
                <w:position w:val="1"/>
              </w:rPr>
              <w:t xml:space="preserve"> </w:t>
            </w:r>
            <w:r>
              <w:rPr>
                <w:position w:val="1"/>
              </w:rPr>
              <w:tab/>
            </w:r>
            <w:r>
              <w:rPr>
                <w:rFonts w:ascii="Arial" w:hAnsi="Arial" w:eastAsia="Arial" w:cs="Arial"/>
                <w:position w:val="1"/>
              </w:rPr>
              <w:t>219</w:t>
            </w:r>
          </w:hyperlink>
        </w:p>
        <w:p>
          <w:pPr>
            <w:pStyle w:val="BodyText"/>
            <w:ind w:left="1146"/>
            <w:spacing w:before="109" w:line="382" w:lineRule="exact"/>
            <w:tabs>
              <w:tab w:val="right" w:leader="dot" w:pos="10055"/>
            </w:tabs>
            <w:rPr>
              <w:rFonts w:ascii="Arial" w:hAnsi="Arial" w:eastAsia="Arial" w:cs="Arial"/>
            </w:rPr>
          </w:pPr>
          <w:hyperlink w:history="true" w:anchor="bookmark67">
            <w:r>
              <w:rPr>
                <w:spacing w:val="4"/>
                <w:position w:val="1"/>
              </w:rPr>
              <w:t>新疆地区</w:t>
            </w:r>
            <w:r>
              <w:rPr>
                <w:spacing w:val="53"/>
                <w:position w:val="1"/>
              </w:rPr>
              <w:t xml:space="preserve"> </w:t>
            </w:r>
            <w:r>
              <w:rPr>
                <w:position w:val="1"/>
              </w:rPr>
              <w:tab/>
            </w:r>
            <w:r>
              <w:rPr>
                <w:rFonts w:ascii="Arial" w:hAnsi="Arial" w:eastAsia="Arial" w:cs="Arial"/>
                <w:position w:val="1"/>
              </w:rPr>
              <w:t>230</w:t>
            </w:r>
          </w:hyperlink>
        </w:p>
        <w:p>
          <w:pPr>
            <w:pStyle w:val="BodyText"/>
            <w:ind w:left="1146"/>
            <w:spacing w:before="158" w:line="220" w:lineRule="auto"/>
            <w:tabs>
              <w:tab w:val="right" w:leader="dot" w:pos="10095"/>
            </w:tabs>
            <w:rPr>
              <w:rFonts w:ascii="Arial" w:hAnsi="Arial" w:eastAsia="Arial" w:cs="Arial"/>
            </w:rPr>
          </w:pPr>
          <w:hyperlink w:history="true" w:anchor="bookmark68">
            <w:r>
              <w:rPr>
                <w:spacing w:val="8"/>
              </w:rPr>
              <w:t>江苏、安徽地区</w:t>
            </w:r>
            <w:r>
              <w:rPr>
                <w:spacing w:val="53"/>
              </w:rPr>
              <w:t xml:space="preserve"> </w:t>
            </w:r>
            <w:r>
              <w:rPr/>
              <w:tab/>
            </w:r>
            <w:r>
              <w:rPr>
                <w:rFonts w:ascii="Arial" w:hAnsi="Arial" w:eastAsia="Arial" w:cs="Arial"/>
                <w:spacing w:val="-3"/>
              </w:rPr>
              <w:t>241</w:t>
            </w:r>
          </w:hyperlink>
        </w:p>
        <w:p>
          <w:pPr>
            <w:pStyle w:val="BodyText"/>
            <w:ind w:left="1146"/>
            <w:spacing w:before="127" w:line="381" w:lineRule="exact"/>
            <w:tabs>
              <w:tab w:val="right" w:leader="dot" w:pos="10085"/>
            </w:tabs>
            <w:rPr>
              <w:rFonts w:ascii="Arial" w:hAnsi="Arial" w:eastAsia="Arial" w:cs="Arial"/>
            </w:rPr>
          </w:pPr>
          <w:hyperlink w:history="true" w:anchor="bookmark69">
            <w:r>
              <w:rPr>
                <w:spacing w:val="6"/>
                <w:position w:val="1"/>
              </w:rPr>
              <w:t>浙江、福建、上海地区</w:t>
            </w:r>
            <w:r>
              <w:rPr>
                <w:spacing w:val="48"/>
                <w:position w:val="1"/>
              </w:rPr>
              <w:t xml:space="preserve"> </w:t>
            </w:r>
            <w:r>
              <w:rPr>
                <w:position w:val="1"/>
              </w:rPr>
              <w:tab/>
            </w:r>
            <w:r>
              <w:rPr>
                <w:rFonts w:ascii="Arial" w:hAnsi="Arial" w:eastAsia="Arial" w:cs="Arial"/>
                <w:spacing w:val="-3"/>
                <w:position w:val="1"/>
              </w:rPr>
              <w:t>253</w:t>
            </w:r>
          </w:hyperlink>
        </w:p>
        <w:p>
          <w:pPr>
            <w:pStyle w:val="BodyText"/>
            <w:ind w:left="1146"/>
            <w:spacing w:before="79" w:line="382" w:lineRule="exact"/>
            <w:tabs>
              <w:tab w:val="right" w:leader="dot" w:pos="10075"/>
            </w:tabs>
            <w:rPr>
              <w:rFonts w:ascii="Arial" w:hAnsi="Arial" w:eastAsia="Arial" w:cs="Arial"/>
            </w:rPr>
          </w:pPr>
          <w:hyperlink w:history="true" w:anchor="bookmark70">
            <w:r>
              <w:rPr>
                <w:spacing w:val="18"/>
                <w:position w:val="1"/>
              </w:rPr>
              <w:t>湖北地区</w:t>
            </w:r>
            <w:r>
              <w:rPr>
                <w:spacing w:val="-123"/>
                <w:position w:val="1"/>
              </w:rPr>
              <w:t xml:space="preserve"> </w:t>
            </w:r>
            <w:r>
              <w:rPr>
                <w:position w:val="1"/>
              </w:rPr>
              <w:tab/>
            </w:r>
            <w:r>
              <w:rPr>
                <w:rFonts w:ascii="Arial" w:hAnsi="Arial" w:eastAsia="Arial" w:cs="Arial"/>
                <w:spacing w:val="1"/>
                <w:position w:val="1"/>
              </w:rPr>
              <w:t>265</w:t>
            </w:r>
          </w:hyperlink>
        </w:p>
        <w:p>
          <w:pPr>
            <w:pStyle w:val="BodyText"/>
            <w:ind w:left="1146"/>
            <w:spacing w:before="170" w:line="221" w:lineRule="auto"/>
            <w:tabs>
              <w:tab w:val="right" w:leader="dot" w:pos="10075"/>
            </w:tabs>
            <w:rPr>
              <w:rFonts w:ascii="Arial" w:hAnsi="Arial" w:eastAsia="Arial" w:cs="Arial"/>
            </w:rPr>
          </w:pPr>
          <w:hyperlink w:history="true" w:anchor="bookmark71">
            <w:r>
              <w:rPr>
                <w:spacing w:val="8"/>
              </w:rPr>
              <w:t>湖南、江西地区</w:t>
            </w:r>
            <w:r>
              <w:rPr>
                <w:spacing w:val="53"/>
              </w:rPr>
              <w:t xml:space="preserve"> </w:t>
            </w:r>
            <w:r>
              <w:rPr/>
              <w:tab/>
            </w:r>
            <w:r>
              <w:rPr>
                <w:spacing w:val="-7"/>
              </w:rPr>
              <w:t xml:space="preserve"> </w:t>
            </w:r>
            <w:r>
              <w:rPr>
                <w:rFonts w:ascii="Arial" w:hAnsi="Arial" w:eastAsia="Arial" w:cs="Arial"/>
                <w:spacing w:val="-2"/>
              </w:rPr>
              <w:t>277</w:t>
            </w:r>
          </w:hyperlink>
        </w:p>
        <w:p>
          <w:pPr>
            <w:pStyle w:val="BodyText"/>
            <w:ind w:left="1146"/>
            <w:spacing w:before="103" w:line="382" w:lineRule="exact"/>
            <w:tabs>
              <w:tab w:val="right" w:leader="dot" w:pos="10055"/>
            </w:tabs>
            <w:rPr>
              <w:rFonts w:ascii="Arial" w:hAnsi="Arial" w:eastAsia="Arial" w:cs="Arial"/>
            </w:rPr>
          </w:pPr>
          <w:hyperlink w:history="true" w:anchor="bookmark72">
            <w:r>
              <w:rPr>
                <w:spacing w:val="21"/>
                <w:position w:val="1"/>
              </w:rPr>
              <w:t>河南地区</w:t>
            </w:r>
            <w:r>
              <w:rPr>
                <w:spacing w:val="-125"/>
                <w:position w:val="1"/>
              </w:rPr>
              <w:t xml:space="preserve"> </w:t>
            </w:r>
            <w:r>
              <w:rPr>
                <w:position w:val="1"/>
              </w:rPr>
              <w:tab/>
            </w:r>
            <w:r>
              <w:rPr>
                <w:rFonts w:ascii="Arial" w:hAnsi="Arial" w:eastAsia="Arial" w:cs="Arial"/>
                <w:position w:val="1"/>
              </w:rPr>
              <w:t>289</w:t>
            </w:r>
          </w:hyperlink>
        </w:p>
        <w:p>
          <w:pPr>
            <w:pStyle w:val="BodyText"/>
            <w:ind w:left="1146"/>
            <w:spacing w:before="125" w:line="382" w:lineRule="exact"/>
            <w:tabs>
              <w:tab w:val="right" w:leader="dot" w:pos="10080"/>
            </w:tabs>
            <w:rPr>
              <w:rFonts w:ascii="Arial" w:hAnsi="Arial" w:eastAsia="Arial" w:cs="Arial"/>
            </w:rPr>
          </w:pPr>
          <w:hyperlink w:history="true" w:anchor="bookmark73">
            <w:r>
              <w:rPr>
                <w:spacing w:val="-1"/>
                <w:position w:val="1"/>
              </w:rPr>
              <w:t>四川地区</w:t>
            </w:r>
            <w:r>
              <w:rPr>
                <w:spacing w:val="53"/>
                <w:position w:val="1"/>
              </w:rPr>
              <w:t xml:space="preserve"> </w:t>
            </w:r>
            <w:r>
              <w:rPr>
                <w:position w:val="1"/>
              </w:rPr>
              <w:tab/>
            </w:r>
            <w:r>
              <w:rPr>
                <w:rFonts w:ascii="Arial" w:hAnsi="Arial" w:eastAsia="Arial" w:cs="Arial"/>
                <w:spacing w:val="-3"/>
                <w:position w:val="1"/>
              </w:rPr>
              <w:t>301</w:t>
            </w:r>
          </w:hyperlink>
        </w:p>
        <w:p>
          <w:pPr>
            <w:pStyle w:val="BodyText"/>
            <w:ind w:left="1146"/>
            <w:spacing w:before="107" w:line="382" w:lineRule="exact"/>
            <w:tabs>
              <w:tab w:val="right" w:leader="dot" w:pos="10080"/>
            </w:tabs>
            <w:rPr>
              <w:rFonts w:ascii="Arial" w:hAnsi="Arial" w:eastAsia="Arial" w:cs="Arial"/>
            </w:rPr>
          </w:pPr>
          <w:hyperlink w:history="true" w:anchor="bookmark74">
            <w:r>
              <w:rPr>
                <w:spacing w:val="7"/>
                <w:position w:val="1"/>
              </w:rPr>
              <w:t>重庆、贵州地区</w:t>
            </w:r>
            <w:r>
              <w:rPr>
                <w:spacing w:val="40"/>
                <w:position w:val="1"/>
              </w:rPr>
              <w:t xml:space="preserve"> </w:t>
            </w:r>
            <w:r>
              <w:rPr>
                <w:position w:val="1"/>
              </w:rPr>
              <w:tab/>
            </w:r>
            <w:r>
              <w:rPr>
                <w:rFonts w:ascii="Arial" w:hAnsi="Arial" w:eastAsia="Arial" w:cs="Arial"/>
                <w:spacing w:val="-3"/>
                <w:position w:val="1"/>
              </w:rPr>
              <w:t>312</w:t>
            </w:r>
          </w:hyperlink>
        </w:p>
        <w:p>
          <w:pPr>
            <w:pStyle w:val="BodyText"/>
            <w:ind w:left="1146"/>
            <w:spacing w:before="122" w:line="382" w:lineRule="exact"/>
            <w:tabs>
              <w:tab w:val="right" w:leader="dot" w:pos="10070"/>
            </w:tabs>
            <w:rPr>
              <w:rFonts w:ascii="Arial" w:hAnsi="Arial" w:eastAsia="Arial" w:cs="Arial"/>
            </w:rPr>
          </w:pPr>
          <w:hyperlink w:history="true" w:anchor="bookmark75">
            <w:r>
              <w:rPr>
                <w:spacing w:val="2"/>
                <w:position w:val="1"/>
              </w:rPr>
              <w:t>云南地区</w:t>
            </w:r>
            <w:r>
              <w:rPr>
                <w:spacing w:val="51"/>
                <w:position w:val="1"/>
              </w:rPr>
              <w:t xml:space="preserve"> </w:t>
            </w:r>
            <w:r>
              <w:rPr>
                <w:position w:val="1"/>
              </w:rPr>
              <w:tab/>
            </w:r>
            <w:r>
              <w:rPr>
                <w:rFonts w:ascii="Arial" w:hAnsi="Arial" w:eastAsia="Arial" w:cs="Arial"/>
                <w:spacing w:val="-1"/>
                <w:position w:val="1"/>
              </w:rPr>
              <w:t>320</w:t>
            </w:r>
          </w:hyperlink>
        </w:p>
        <w:p>
          <w:pPr>
            <w:pStyle w:val="BodyText"/>
            <w:ind w:left="1146"/>
            <w:spacing w:before="85" w:line="382" w:lineRule="exact"/>
            <w:tabs>
              <w:tab w:val="right" w:leader="dot" w:pos="10060"/>
            </w:tabs>
            <w:rPr>
              <w:rFonts w:ascii="Arial" w:hAnsi="Arial" w:eastAsia="Arial" w:cs="Arial"/>
            </w:rPr>
          </w:pPr>
          <w:hyperlink w:history="true" w:anchor="bookmark76">
            <w:r>
              <w:rPr>
                <w:spacing w:val="17"/>
                <w:position w:val="1"/>
              </w:rPr>
              <w:t>广东、广西地区</w:t>
            </w:r>
            <w:r>
              <w:rPr>
                <w:spacing w:val="-120"/>
                <w:position w:val="1"/>
              </w:rPr>
              <w:t xml:space="preserve"> </w:t>
            </w:r>
            <w:r>
              <w:rPr>
                <w:position w:val="1"/>
              </w:rPr>
              <w:tab/>
            </w:r>
            <w:r>
              <w:rPr>
                <w:rFonts w:ascii="Arial" w:hAnsi="Arial" w:eastAsia="Arial" w:cs="Arial"/>
                <w:spacing w:val="-1"/>
                <w:position w:val="1"/>
              </w:rPr>
              <w:t>332</w:t>
            </w:r>
          </w:hyperlink>
        </w:p>
        <w:p>
          <w:pPr>
            <w:pStyle w:val="BodyText"/>
            <w:ind w:left="1146"/>
            <w:spacing w:before="130" w:line="382" w:lineRule="exact"/>
            <w:tabs>
              <w:tab w:val="right" w:leader="dot" w:pos="10060"/>
            </w:tabs>
            <w:rPr>
              <w:rFonts w:ascii="Arial" w:hAnsi="Arial" w:eastAsia="Arial" w:cs="Arial"/>
            </w:rPr>
          </w:pPr>
          <w:hyperlink w:history="true" w:anchor="bookmark77">
            <w:r>
              <w:rPr>
                <w:spacing w:val="12"/>
                <w:position w:val="1"/>
              </w:rPr>
              <w:t>海南地区</w:t>
            </w:r>
            <w:r>
              <w:rPr>
                <w:spacing w:val="61"/>
                <w:position w:val="1"/>
              </w:rPr>
              <w:t xml:space="preserve"> </w:t>
            </w:r>
            <w:r>
              <w:rPr>
                <w:position w:val="1"/>
              </w:rPr>
              <w:tab/>
            </w:r>
            <w:r>
              <w:rPr>
                <w:spacing w:val="-17"/>
                <w:position w:val="1"/>
              </w:rPr>
              <w:t xml:space="preserve"> </w:t>
            </w:r>
            <w:r>
              <w:rPr>
                <w:rFonts w:ascii="Arial" w:hAnsi="Arial" w:eastAsia="Arial" w:cs="Arial"/>
                <w:spacing w:val="-3"/>
                <w:position w:val="1"/>
              </w:rPr>
              <w:t>344</w:t>
            </w:r>
          </w:hyperlink>
        </w:p>
        <w:p>
          <w:pPr>
            <w:ind w:left="586"/>
            <w:spacing w:before="105" w:line="382" w:lineRule="exact"/>
            <w:tabs>
              <w:tab w:val="right" w:leader="dot" w:pos="10070"/>
            </w:tabs>
            <w:rPr>
              <w:rFonts w:ascii="Arial" w:hAnsi="Arial" w:eastAsia="Arial" w:cs="Arial"/>
              <w:sz w:val="28"/>
              <w:szCs w:val="28"/>
            </w:rPr>
          </w:pPr>
          <w:hyperlink w:history="true" w:anchor="bookmark78">
            <w:r>
              <w:rPr>
                <w:rFonts w:ascii="SimHei" w:hAnsi="SimHei" w:eastAsia="SimHei" w:cs="SimHei"/>
                <w:sz w:val="28"/>
                <w:szCs w:val="28"/>
                <w:spacing w:val="12"/>
                <w:position w:val="1"/>
              </w:rPr>
              <w:t>附件三：各地区农药肥料使用指导</w:t>
            </w:r>
            <w:r>
              <w:rPr>
                <w:rFonts w:ascii="SimHei" w:hAnsi="SimHei" w:eastAsia="SimHei" w:cs="SimHei"/>
                <w:sz w:val="28"/>
                <w:szCs w:val="28"/>
                <w:spacing w:val="-112"/>
                <w:position w:val="1"/>
              </w:rPr>
              <w:t xml:space="preserve"> </w:t>
            </w:r>
            <w:r>
              <w:rPr>
                <w:rFonts w:ascii="SimHei" w:hAnsi="SimHei" w:eastAsia="SimHei" w:cs="SimHei"/>
                <w:sz w:val="28"/>
                <w:szCs w:val="28"/>
                <w:position w:val="1"/>
              </w:rPr>
              <w:tab/>
            </w:r>
            <w:r>
              <w:rPr>
                <w:rFonts w:ascii="Arial" w:hAnsi="Arial" w:eastAsia="Arial" w:cs="Arial"/>
                <w:sz w:val="28"/>
                <w:szCs w:val="28"/>
                <w:spacing w:val="-1"/>
                <w:position w:val="1"/>
              </w:rPr>
              <w:t>353</w:t>
            </w:r>
          </w:hyperlink>
        </w:p>
      </w:sdtContent>
    </w:sdt>
    <w:p>
      <w:pPr>
        <w:spacing w:line="382" w:lineRule="exact"/>
        <w:sectPr>
          <w:footerReference w:type="default" r:id="rId3"/>
          <w:pgSz w:w="14490" w:h="20470"/>
          <w:pgMar w:top="1364" w:right="2173" w:bottom="1065" w:left="2173" w:header="0" w:footer="903" w:gutter="0"/>
        </w:sectPr>
        <w:rPr>
          <w:rFonts w:ascii="Arial" w:hAnsi="Arial" w:eastAsia="Arial" w:cs="Arial"/>
          <w:sz w:val="28"/>
          <w:szCs w:val="28"/>
        </w:rPr>
      </w:pPr>
    </w:p>
    <w:p>
      <w:pPr>
        <w:ind w:left="4756"/>
        <w:spacing w:before="98" w:line="222" w:lineRule="auto"/>
        <w:outlineLvl w:val="0"/>
        <w:rPr>
          <w:rFonts w:ascii="SimHei" w:hAnsi="SimHei" w:eastAsia="SimHei" w:cs="SimHei"/>
          <w:sz w:val="48"/>
          <w:szCs w:val="48"/>
        </w:rPr>
      </w:pPr>
      <w:bookmarkStart w:name="bookmark79" w:id="1"/>
      <w:bookmarkEnd w:id="1"/>
      <w:bookmarkStart w:name="bookmark1" w:id="2"/>
      <w:bookmarkEnd w:id="2"/>
      <w:r>
        <w:rPr>
          <w:rFonts w:ascii="SimHei" w:hAnsi="SimHei" w:eastAsia="SimHei" w:cs="SimHei"/>
          <w:sz w:val="48"/>
          <w:szCs w:val="48"/>
          <w:b/>
          <w:bCs/>
          <w:spacing w:val="-29"/>
        </w:rPr>
        <w:t>前言</w:t>
      </w:r>
    </w:p>
    <w:p>
      <w:pPr>
        <w:spacing w:line="290" w:lineRule="auto"/>
        <w:rPr>
          <w:rFonts w:ascii="Arial"/>
          <w:sz w:val="21"/>
        </w:rPr>
      </w:pPr>
      <w:r/>
    </w:p>
    <w:p>
      <w:pPr>
        <w:spacing w:line="291" w:lineRule="auto"/>
        <w:rPr>
          <w:rFonts w:ascii="Arial"/>
          <w:sz w:val="21"/>
        </w:rPr>
      </w:pPr>
      <w:r/>
    </w:p>
    <w:p>
      <w:pPr>
        <w:spacing w:line="291" w:lineRule="auto"/>
        <w:rPr>
          <w:rFonts w:ascii="Arial"/>
          <w:sz w:val="21"/>
        </w:rPr>
      </w:pPr>
      <w:r/>
    </w:p>
    <w:p>
      <w:pPr>
        <w:spacing w:line="291" w:lineRule="auto"/>
        <w:rPr>
          <w:rFonts w:ascii="Arial"/>
          <w:sz w:val="21"/>
        </w:rPr>
      </w:pPr>
      <w:r/>
    </w:p>
    <w:p>
      <w:pPr>
        <w:pStyle w:val="BodyText"/>
        <w:ind w:firstLine="600"/>
        <w:spacing w:before="95" w:line="342" w:lineRule="auto"/>
        <w:rPr>
          <w:sz w:val="29"/>
          <w:szCs w:val="29"/>
        </w:rPr>
      </w:pPr>
      <w:r>
        <w:rPr>
          <w:sz w:val="29"/>
          <w:szCs w:val="29"/>
          <w:spacing w:val="-5"/>
        </w:rPr>
        <w:t>园林景观，被称为“活的基础设施”,是现代城市生活的重要组成部分。在大</w:t>
      </w:r>
      <w:r>
        <w:rPr>
          <w:sz w:val="29"/>
          <w:szCs w:val="29"/>
          <w:spacing w:val="3"/>
        </w:rPr>
        <w:t xml:space="preserve">  </w:t>
      </w:r>
      <w:r>
        <w:rPr>
          <w:sz w:val="29"/>
          <w:szCs w:val="29"/>
          <w:spacing w:val="-1"/>
        </w:rPr>
        <w:t>力推进城市化的今天，切实加强园林绿化建设及管理，对改善城市生态</w:t>
      </w:r>
      <w:r>
        <w:rPr>
          <w:sz w:val="29"/>
          <w:szCs w:val="29"/>
          <w:spacing w:val="-2"/>
        </w:rPr>
        <w:t>环境，促</w:t>
      </w:r>
      <w:r>
        <w:rPr>
          <w:sz w:val="29"/>
          <w:szCs w:val="29"/>
        </w:rPr>
        <w:t xml:space="preserve">   </w:t>
      </w:r>
      <w:r>
        <w:rPr>
          <w:sz w:val="29"/>
          <w:szCs w:val="29"/>
          <w:spacing w:val="-23"/>
        </w:rPr>
        <w:t>进城市可持续发展；对营造城市景观环境，提升楼盘档次品位；对优化投资环境，增强</w:t>
      </w:r>
      <w:r>
        <w:rPr>
          <w:sz w:val="29"/>
          <w:szCs w:val="29"/>
          <w:spacing w:val="3"/>
        </w:rPr>
        <w:t xml:space="preserve">  </w:t>
      </w:r>
      <w:r>
        <w:rPr>
          <w:sz w:val="29"/>
          <w:szCs w:val="29"/>
          <w:spacing w:val="-9"/>
        </w:rPr>
        <w:t>品牌竞争力；对创造优质人居环境，提升业主生活质</w:t>
      </w:r>
      <w:r>
        <w:rPr>
          <w:sz w:val="29"/>
          <w:szCs w:val="29"/>
          <w:spacing w:val="-10"/>
        </w:rPr>
        <w:t>量等，都具有十分重要的作用。</w:t>
      </w:r>
      <w:r>
        <w:rPr>
          <w:sz w:val="29"/>
          <w:szCs w:val="29"/>
        </w:rPr>
        <w:t xml:space="preserve"> </w:t>
      </w:r>
      <w:r>
        <w:rPr>
          <w:sz w:val="29"/>
          <w:szCs w:val="29"/>
          <w:spacing w:val="-13"/>
        </w:rPr>
        <w:t>城市呼唤绿色空间，人们向往绿色环境，精品园林已成为</w:t>
      </w:r>
      <w:r>
        <w:rPr>
          <w:rFonts w:ascii="Times New Roman" w:hAnsi="Times New Roman" w:eastAsia="Times New Roman" w:cs="Times New Roman"/>
          <w:sz w:val="29"/>
          <w:szCs w:val="29"/>
          <w:spacing w:val="-13"/>
        </w:rPr>
        <w:t>XX</w:t>
      </w:r>
      <w:r>
        <w:rPr>
          <w:sz w:val="29"/>
          <w:szCs w:val="29"/>
          <w:spacing w:val="-13"/>
        </w:rPr>
        <w:t>品质的一个重要标志，</w:t>
      </w:r>
    </w:p>
    <w:p>
      <w:pPr>
        <w:pStyle w:val="BodyText"/>
        <w:spacing w:line="219" w:lineRule="auto"/>
        <w:rPr>
          <w:sz w:val="29"/>
          <w:szCs w:val="29"/>
        </w:rPr>
      </w:pPr>
      <w:r>
        <w:rPr>
          <w:sz w:val="29"/>
          <w:szCs w:val="29"/>
          <w:spacing w:val="-6"/>
        </w:rPr>
        <w:t>也始终是</w:t>
      </w:r>
      <w:r>
        <w:rPr>
          <w:rFonts w:ascii="Times New Roman" w:hAnsi="Times New Roman" w:eastAsia="Times New Roman" w:cs="Times New Roman"/>
          <w:sz w:val="29"/>
          <w:szCs w:val="29"/>
          <w:spacing w:val="-6"/>
        </w:rPr>
        <w:t>XX</w:t>
      </w:r>
      <w:r>
        <w:rPr>
          <w:sz w:val="29"/>
          <w:szCs w:val="29"/>
          <w:spacing w:val="-6"/>
        </w:rPr>
        <w:t>地产产品的核心卖点之一。</w:t>
      </w:r>
    </w:p>
    <w:p>
      <w:pPr>
        <w:pStyle w:val="BodyText"/>
        <w:ind w:right="225" w:firstLine="779"/>
        <w:spacing w:before="246" w:line="334" w:lineRule="auto"/>
        <w:jc w:val="both"/>
        <w:rPr>
          <w:sz w:val="29"/>
          <w:szCs w:val="29"/>
        </w:rPr>
      </w:pPr>
      <w:r>
        <w:rPr>
          <w:sz w:val="29"/>
          <w:szCs w:val="29"/>
          <w:spacing w:val="3"/>
        </w:rPr>
        <w:t>当前的园林绿化普遍存在着重建设轻管理的现象，但如果种植前后不注意</w:t>
      </w:r>
      <w:r>
        <w:rPr>
          <w:sz w:val="29"/>
          <w:szCs w:val="29"/>
          <w:spacing w:val="2"/>
        </w:rPr>
        <w:t xml:space="preserve"> </w:t>
      </w:r>
      <w:r>
        <w:rPr>
          <w:sz w:val="29"/>
          <w:szCs w:val="29"/>
        </w:rPr>
        <w:t>绿化养护工作，已种植好的树木不久就可能枯</w:t>
      </w:r>
      <w:r>
        <w:rPr>
          <w:sz w:val="29"/>
          <w:szCs w:val="29"/>
          <w:spacing w:val="-1"/>
        </w:rPr>
        <w:t>萎死亡、失去景观效果，之前的绿</w:t>
      </w:r>
      <w:r>
        <w:rPr>
          <w:sz w:val="29"/>
          <w:szCs w:val="29"/>
        </w:rPr>
        <w:t xml:space="preserve"> </w:t>
      </w:r>
      <w:r>
        <w:rPr>
          <w:sz w:val="29"/>
          <w:szCs w:val="29"/>
        </w:rPr>
        <w:t>化工作便全部白费，设计者的意图和园林景观更</w:t>
      </w:r>
      <w:r>
        <w:rPr>
          <w:sz w:val="29"/>
          <w:szCs w:val="29"/>
          <w:spacing w:val="-1"/>
        </w:rPr>
        <w:t>无从谈起。因此，绿化养护在绿</w:t>
      </w:r>
      <w:r>
        <w:rPr>
          <w:sz w:val="29"/>
          <w:szCs w:val="29"/>
        </w:rPr>
        <w:t xml:space="preserve"> </w:t>
      </w:r>
      <w:r>
        <w:rPr>
          <w:sz w:val="29"/>
          <w:szCs w:val="29"/>
          <w:spacing w:val="1"/>
        </w:rPr>
        <w:t>化工程施工结束后显得越发重要。</w:t>
      </w:r>
    </w:p>
    <w:p>
      <w:pPr>
        <w:pStyle w:val="BodyText"/>
        <w:ind w:right="41" w:firstLine="600"/>
        <w:spacing w:before="40" w:line="342" w:lineRule="auto"/>
        <w:rPr>
          <w:sz w:val="29"/>
          <w:szCs w:val="29"/>
        </w:rPr>
      </w:pPr>
      <w:r>
        <w:rPr>
          <w:rFonts w:ascii="Times New Roman" w:hAnsi="Times New Roman" w:eastAsia="Times New Roman" w:cs="Times New Roman"/>
          <w:sz w:val="29"/>
          <w:szCs w:val="29"/>
          <w:spacing w:val="-7"/>
        </w:rPr>
        <w:t>XX</w:t>
      </w:r>
      <w:r>
        <w:rPr>
          <w:sz w:val="29"/>
          <w:szCs w:val="29"/>
          <w:spacing w:val="-7"/>
        </w:rPr>
        <w:t>园林集团在行业中处领先地位，为提高绿化养护人员工作水平，促进绿</w:t>
      </w:r>
      <w:r>
        <w:rPr>
          <w:sz w:val="29"/>
          <w:szCs w:val="29"/>
          <w:spacing w:val="-8"/>
        </w:rPr>
        <w:t>化养</w:t>
      </w:r>
      <w:r>
        <w:rPr>
          <w:sz w:val="29"/>
          <w:szCs w:val="29"/>
        </w:rPr>
        <w:t xml:space="preserve"> </w:t>
      </w:r>
      <w:r>
        <w:rPr>
          <w:sz w:val="29"/>
          <w:szCs w:val="29"/>
          <w:spacing w:val="-10"/>
        </w:rPr>
        <w:t>护工作的标准化、规范化、科学化，特编写</w:t>
      </w:r>
      <w:r>
        <w:rPr>
          <w:sz w:val="29"/>
          <w:szCs w:val="29"/>
          <w:spacing w:val="-11"/>
        </w:rPr>
        <w:t>本手册，从园林养护管理的一般性原则、</w:t>
      </w:r>
      <w:r>
        <w:rPr>
          <w:sz w:val="29"/>
          <w:szCs w:val="29"/>
        </w:rPr>
        <w:t xml:space="preserve"> </w:t>
      </w:r>
      <w:r>
        <w:rPr>
          <w:sz w:val="29"/>
          <w:szCs w:val="29"/>
          <w:spacing w:val="-13"/>
        </w:rPr>
        <w:t>养护标准和重要养护措施等方面阐述了绿化养护管理的操</w:t>
      </w:r>
      <w:r>
        <w:rPr>
          <w:sz w:val="29"/>
          <w:szCs w:val="29"/>
          <w:spacing w:val="-14"/>
        </w:rPr>
        <w:t>作流程与规范。</w:t>
      </w:r>
    </w:p>
    <w:p>
      <w:pPr>
        <w:spacing w:line="342" w:lineRule="auto"/>
        <w:sectPr>
          <w:footerReference w:type="default" r:id="rId4"/>
          <w:pgSz w:w="14490" w:h="20470"/>
          <w:pgMar w:top="1644" w:right="1955" w:bottom="1403" w:left="2150" w:header="0" w:footer="1241" w:gutter="0"/>
        </w:sectPr>
        <w:rPr>
          <w:sz w:val="29"/>
          <w:szCs w:val="29"/>
        </w:rPr>
      </w:pPr>
    </w:p>
    <w:p>
      <w:pPr>
        <w:ind w:left="3326"/>
        <w:spacing w:before="96" w:line="222" w:lineRule="auto"/>
        <w:outlineLvl w:val="0"/>
        <w:rPr>
          <w:rFonts w:ascii="SimHei" w:hAnsi="SimHei" w:eastAsia="SimHei" w:cs="SimHei"/>
          <w:sz w:val="48"/>
          <w:szCs w:val="48"/>
        </w:rPr>
      </w:pPr>
      <w:bookmarkStart w:name="bookmark80" w:id="3"/>
      <w:bookmarkEnd w:id="3"/>
      <w:bookmarkStart w:name="bookmark2" w:id="4"/>
      <w:bookmarkEnd w:id="4"/>
      <w:r>
        <w:rPr>
          <w:rFonts w:ascii="SimHei" w:hAnsi="SimHei" w:eastAsia="SimHei" w:cs="SimHei"/>
          <w:sz w:val="48"/>
          <w:szCs w:val="48"/>
          <w:b/>
          <w:bCs/>
          <w:spacing w:val="-37"/>
        </w:rPr>
        <w:t>第一章</w:t>
      </w:r>
      <w:r>
        <w:rPr>
          <w:rFonts w:ascii="SimHei" w:hAnsi="SimHei" w:eastAsia="SimHei" w:cs="SimHei"/>
          <w:sz w:val="48"/>
          <w:szCs w:val="48"/>
          <w:spacing w:val="-37"/>
        </w:rPr>
        <w:t xml:space="preserve">  </w:t>
      </w:r>
      <w:r>
        <w:rPr>
          <w:rFonts w:ascii="SimHei" w:hAnsi="SimHei" w:eastAsia="SimHei" w:cs="SimHei"/>
          <w:sz w:val="48"/>
          <w:szCs w:val="48"/>
          <w:b/>
          <w:bCs/>
          <w:spacing w:val="-37"/>
        </w:rPr>
        <w:t>专业术语</w:t>
      </w:r>
    </w:p>
    <w:p>
      <w:pPr>
        <w:spacing w:line="298" w:lineRule="auto"/>
        <w:rPr>
          <w:rFonts w:ascii="Arial"/>
          <w:sz w:val="21"/>
        </w:rPr>
      </w:pPr>
      <w:r/>
    </w:p>
    <w:p>
      <w:pPr>
        <w:spacing w:line="299" w:lineRule="auto"/>
        <w:rPr>
          <w:rFonts w:ascii="Arial"/>
          <w:sz w:val="21"/>
        </w:rPr>
      </w:pPr>
      <w:r/>
    </w:p>
    <w:p>
      <w:pPr>
        <w:pStyle w:val="BodyText"/>
        <w:spacing w:before="95" w:line="220" w:lineRule="auto"/>
        <w:rPr>
          <w:sz w:val="29"/>
          <w:szCs w:val="29"/>
        </w:rPr>
      </w:pPr>
      <w:r>
        <w:rPr>
          <w:rFonts w:ascii="Times New Roman" w:hAnsi="Times New Roman" w:eastAsia="Times New Roman" w:cs="Times New Roman"/>
          <w:sz w:val="29"/>
          <w:szCs w:val="29"/>
          <w:spacing w:val="-9"/>
        </w:rPr>
        <w:t>1</w:t>
      </w:r>
      <w:r>
        <w:rPr>
          <w:rFonts w:ascii="Times New Roman" w:hAnsi="Times New Roman" w:eastAsia="Times New Roman" w:cs="Times New Roman"/>
          <w:sz w:val="29"/>
          <w:szCs w:val="29"/>
          <w:spacing w:val="-39"/>
        </w:rPr>
        <w:t xml:space="preserve"> </w:t>
      </w:r>
      <w:r>
        <w:rPr>
          <w:sz w:val="29"/>
          <w:szCs w:val="29"/>
          <w:spacing w:val="-9"/>
        </w:rPr>
        <w:t>、乔木</w:t>
      </w:r>
    </w:p>
    <w:p>
      <w:pPr>
        <w:pStyle w:val="BodyText"/>
        <w:ind w:right="302" w:firstLine="600"/>
        <w:spacing w:before="162" w:line="312" w:lineRule="auto"/>
        <w:rPr>
          <w:sz w:val="29"/>
          <w:szCs w:val="29"/>
        </w:rPr>
      </w:pPr>
      <w:r>
        <w:rPr>
          <w:sz w:val="29"/>
          <w:szCs w:val="29"/>
          <w:spacing w:val="-11"/>
        </w:rPr>
        <w:t>乔木，由根部发生独立的主干，树干和树冠有明显区分的苗木，同一株乔木可</w:t>
      </w:r>
      <w:r>
        <w:rPr>
          <w:sz w:val="29"/>
          <w:szCs w:val="29"/>
          <w:spacing w:val="14"/>
        </w:rPr>
        <w:t xml:space="preserve"> </w:t>
      </w:r>
      <w:r>
        <w:rPr>
          <w:sz w:val="29"/>
          <w:szCs w:val="29"/>
          <w:spacing w:val="-1"/>
        </w:rPr>
        <w:t>同时存在多根主干，如多杆香樟、丛生蒙古栎等。</w:t>
      </w:r>
    </w:p>
    <w:p>
      <w:pPr>
        <w:pStyle w:val="BodyText"/>
        <w:spacing w:line="219" w:lineRule="auto"/>
        <w:rPr>
          <w:sz w:val="29"/>
          <w:szCs w:val="29"/>
        </w:rPr>
      </w:pPr>
      <w:r>
        <w:rPr>
          <w:rFonts w:ascii="Times New Roman" w:hAnsi="Times New Roman" w:eastAsia="Times New Roman" w:cs="Times New Roman"/>
          <w:sz w:val="29"/>
          <w:szCs w:val="29"/>
          <w:spacing w:val="-1"/>
        </w:rPr>
        <w:t>2</w:t>
      </w:r>
      <w:r>
        <w:rPr>
          <w:rFonts w:ascii="Times New Roman" w:hAnsi="Times New Roman" w:eastAsia="Times New Roman" w:cs="Times New Roman"/>
          <w:sz w:val="29"/>
          <w:szCs w:val="29"/>
          <w:spacing w:val="-41"/>
        </w:rPr>
        <w:t xml:space="preserve"> </w:t>
      </w:r>
      <w:r>
        <w:rPr>
          <w:sz w:val="29"/>
          <w:szCs w:val="29"/>
          <w:spacing w:val="-1"/>
        </w:rPr>
        <w:t>、灌木</w:t>
      </w:r>
    </w:p>
    <w:p>
      <w:pPr>
        <w:pStyle w:val="BodyText"/>
        <w:ind w:firstLine="600"/>
        <w:spacing w:before="153" w:line="302" w:lineRule="auto"/>
        <w:rPr>
          <w:sz w:val="29"/>
          <w:szCs w:val="29"/>
        </w:rPr>
      </w:pPr>
      <w:r>
        <w:rPr>
          <w:sz w:val="29"/>
          <w:szCs w:val="29"/>
          <w:spacing w:val="-6"/>
        </w:rPr>
        <w:t>灌木，高度为3米以下，没有明显的主干或呈丛生状态的木本植物，多为球形、</w:t>
      </w:r>
      <w:r>
        <w:rPr>
          <w:sz w:val="29"/>
          <w:szCs w:val="29"/>
          <w:spacing w:val="8"/>
        </w:rPr>
        <w:t xml:space="preserve"> </w:t>
      </w:r>
      <w:r>
        <w:rPr>
          <w:sz w:val="29"/>
          <w:szCs w:val="29"/>
          <w:spacing w:val="-11"/>
        </w:rPr>
        <w:t>丛生状。</w:t>
      </w:r>
    </w:p>
    <w:p>
      <w:pPr>
        <w:pStyle w:val="BodyText"/>
        <w:spacing w:before="34" w:line="219" w:lineRule="auto"/>
        <w:rPr>
          <w:sz w:val="29"/>
          <w:szCs w:val="29"/>
        </w:rPr>
      </w:pPr>
      <w:r>
        <w:rPr>
          <w:rFonts w:ascii="Times New Roman" w:hAnsi="Times New Roman" w:eastAsia="Times New Roman" w:cs="Times New Roman"/>
          <w:sz w:val="29"/>
          <w:szCs w:val="29"/>
          <w:spacing w:val="-2"/>
        </w:rPr>
        <w:t>3</w:t>
      </w:r>
      <w:r>
        <w:rPr>
          <w:rFonts w:ascii="Times New Roman" w:hAnsi="Times New Roman" w:eastAsia="Times New Roman" w:cs="Times New Roman"/>
          <w:sz w:val="29"/>
          <w:szCs w:val="29"/>
          <w:spacing w:val="-39"/>
        </w:rPr>
        <w:t xml:space="preserve"> </w:t>
      </w:r>
      <w:r>
        <w:rPr>
          <w:sz w:val="29"/>
          <w:szCs w:val="29"/>
          <w:spacing w:val="-2"/>
        </w:rPr>
        <w:t>、地被</w:t>
      </w:r>
    </w:p>
    <w:p>
      <w:pPr>
        <w:pStyle w:val="BodyText"/>
        <w:ind w:right="303" w:firstLine="600"/>
        <w:spacing w:before="146" w:line="315" w:lineRule="auto"/>
        <w:rPr>
          <w:sz w:val="29"/>
          <w:szCs w:val="29"/>
        </w:rPr>
      </w:pPr>
      <w:r>
        <w:rPr>
          <w:sz w:val="29"/>
          <w:szCs w:val="29"/>
          <w:spacing w:val="-11"/>
        </w:rPr>
        <w:t>株丛密集、低矮，可用于代替草坪覆盖在地表的多年生低矮草本植物，或适应</w:t>
      </w:r>
      <w:r>
        <w:rPr>
          <w:sz w:val="29"/>
          <w:szCs w:val="29"/>
          <w:spacing w:val="14"/>
        </w:rPr>
        <w:t xml:space="preserve"> </w:t>
      </w:r>
      <w:r>
        <w:rPr>
          <w:sz w:val="29"/>
          <w:szCs w:val="29"/>
          <w:spacing w:val="1"/>
        </w:rPr>
        <w:t>性较强的低矮、匍匐型的灌木和藤本植物。</w:t>
      </w:r>
    </w:p>
    <w:p>
      <w:pPr>
        <w:pStyle w:val="BodyText"/>
        <w:spacing w:line="219" w:lineRule="auto"/>
        <w:rPr>
          <w:sz w:val="29"/>
          <w:szCs w:val="29"/>
        </w:rPr>
      </w:pPr>
      <w:r>
        <w:rPr>
          <w:rFonts w:ascii="Times New Roman" w:hAnsi="Times New Roman" w:eastAsia="Times New Roman" w:cs="Times New Roman"/>
          <w:sz w:val="29"/>
          <w:szCs w:val="29"/>
          <w:spacing w:val="1"/>
        </w:rPr>
        <w:t>4</w:t>
      </w:r>
      <w:r>
        <w:rPr>
          <w:rFonts w:ascii="Times New Roman" w:hAnsi="Times New Roman" w:eastAsia="Times New Roman" w:cs="Times New Roman"/>
          <w:sz w:val="29"/>
          <w:szCs w:val="29"/>
          <w:spacing w:val="-41"/>
        </w:rPr>
        <w:t xml:space="preserve"> </w:t>
      </w:r>
      <w:r>
        <w:rPr>
          <w:sz w:val="29"/>
          <w:szCs w:val="29"/>
          <w:spacing w:val="1"/>
        </w:rPr>
        <w:t>、土壤改良</w:t>
      </w:r>
    </w:p>
    <w:p>
      <w:pPr>
        <w:pStyle w:val="BodyText"/>
        <w:ind w:right="232" w:firstLine="509"/>
        <w:spacing w:before="135" w:line="310" w:lineRule="auto"/>
        <w:rPr>
          <w:sz w:val="29"/>
          <w:szCs w:val="29"/>
        </w:rPr>
      </w:pPr>
      <w:r>
        <w:rPr>
          <w:sz w:val="29"/>
          <w:szCs w:val="29"/>
          <w:spacing w:val="3"/>
        </w:rPr>
        <w:t>针对土壤的不良质地和结构，采取相应的物理、生物或化</w:t>
      </w:r>
      <w:r>
        <w:rPr>
          <w:sz w:val="29"/>
          <w:szCs w:val="29"/>
          <w:spacing w:val="2"/>
        </w:rPr>
        <w:t>学措施，改善土壤</w:t>
      </w:r>
      <w:r>
        <w:rPr>
          <w:sz w:val="29"/>
          <w:szCs w:val="29"/>
        </w:rPr>
        <w:t xml:space="preserve"> </w:t>
      </w:r>
      <w:r>
        <w:rPr>
          <w:sz w:val="29"/>
          <w:szCs w:val="29"/>
          <w:spacing w:val="1"/>
        </w:rPr>
        <w:t>性状，提高土壤肥力，以及改善苗木生长土壤环境的过程。</w:t>
      </w:r>
    </w:p>
    <w:p>
      <w:pPr>
        <w:pStyle w:val="BodyText"/>
        <w:spacing w:before="1" w:line="221" w:lineRule="auto"/>
        <w:rPr>
          <w:sz w:val="29"/>
          <w:szCs w:val="29"/>
        </w:rPr>
      </w:pPr>
      <w:r>
        <w:rPr>
          <w:rFonts w:ascii="Times New Roman" w:hAnsi="Times New Roman" w:eastAsia="Times New Roman" w:cs="Times New Roman"/>
          <w:sz w:val="29"/>
          <w:szCs w:val="29"/>
          <w:spacing w:val="-1"/>
        </w:rPr>
        <w:t>5</w:t>
      </w:r>
      <w:r>
        <w:rPr>
          <w:rFonts w:ascii="Times New Roman" w:hAnsi="Times New Roman" w:eastAsia="Times New Roman" w:cs="Times New Roman"/>
          <w:sz w:val="29"/>
          <w:szCs w:val="29"/>
          <w:spacing w:val="-41"/>
        </w:rPr>
        <w:t xml:space="preserve"> </w:t>
      </w:r>
      <w:r>
        <w:rPr>
          <w:sz w:val="29"/>
          <w:szCs w:val="29"/>
          <w:spacing w:val="-1"/>
        </w:rPr>
        <w:t>、整形</w:t>
      </w:r>
    </w:p>
    <w:p>
      <w:pPr>
        <w:pStyle w:val="BodyText"/>
        <w:ind w:right="339" w:firstLine="600"/>
        <w:spacing w:before="159" w:line="314" w:lineRule="auto"/>
        <w:rPr>
          <w:sz w:val="29"/>
          <w:szCs w:val="29"/>
        </w:rPr>
      </w:pPr>
      <w:r>
        <w:rPr>
          <w:sz w:val="29"/>
          <w:szCs w:val="29"/>
          <w:spacing w:val="-3"/>
        </w:rPr>
        <w:t>指通过一定的修剪来形成观赏所需要的树体结构形态，达到</w:t>
      </w:r>
      <w:r>
        <w:rPr>
          <w:sz w:val="29"/>
          <w:szCs w:val="29"/>
          <w:spacing w:val="-4"/>
        </w:rPr>
        <w:t>自然生长所难以</w:t>
      </w:r>
      <w:r>
        <w:rPr>
          <w:sz w:val="29"/>
          <w:szCs w:val="29"/>
        </w:rPr>
        <w:t xml:space="preserve"> </w:t>
      </w:r>
      <w:r>
        <w:rPr>
          <w:sz w:val="29"/>
          <w:szCs w:val="29"/>
          <w:spacing w:val="-1"/>
        </w:rPr>
        <w:t>形成的景观措施。</w:t>
      </w:r>
    </w:p>
    <w:p>
      <w:pPr>
        <w:pStyle w:val="BodyText"/>
        <w:spacing w:before="3" w:line="219" w:lineRule="auto"/>
        <w:rPr>
          <w:sz w:val="29"/>
          <w:szCs w:val="29"/>
        </w:rPr>
      </w:pPr>
      <w:r>
        <w:rPr>
          <w:rFonts w:ascii="Times New Roman" w:hAnsi="Times New Roman" w:eastAsia="Times New Roman" w:cs="Times New Roman"/>
          <w:sz w:val="29"/>
          <w:szCs w:val="29"/>
          <w:spacing w:val="-1"/>
        </w:rPr>
        <w:t>6</w:t>
      </w:r>
      <w:r>
        <w:rPr>
          <w:rFonts w:ascii="Times New Roman" w:hAnsi="Times New Roman" w:eastAsia="Times New Roman" w:cs="Times New Roman"/>
          <w:sz w:val="29"/>
          <w:szCs w:val="29"/>
          <w:spacing w:val="-38"/>
        </w:rPr>
        <w:t xml:space="preserve"> </w:t>
      </w:r>
      <w:r>
        <w:rPr>
          <w:sz w:val="29"/>
          <w:szCs w:val="29"/>
          <w:spacing w:val="-1"/>
        </w:rPr>
        <w:t>、徒长枝</w:t>
      </w:r>
    </w:p>
    <w:p>
      <w:pPr>
        <w:pStyle w:val="BodyText"/>
        <w:ind w:left="600"/>
        <w:spacing w:before="136" w:line="219" w:lineRule="auto"/>
        <w:rPr>
          <w:sz w:val="29"/>
          <w:szCs w:val="29"/>
        </w:rPr>
      </w:pPr>
      <w:r>
        <w:rPr>
          <w:sz w:val="29"/>
          <w:szCs w:val="29"/>
          <w:spacing w:val="-1"/>
        </w:rPr>
        <w:t>当年长出的生长过于旺盛，发育不充实的枝条。</w:t>
      </w:r>
    </w:p>
    <w:p>
      <w:pPr>
        <w:pStyle w:val="BodyText"/>
        <w:spacing w:before="156" w:line="219" w:lineRule="auto"/>
        <w:rPr>
          <w:sz w:val="29"/>
          <w:szCs w:val="29"/>
        </w:rPr>
      </w:pPr>
      <w:r>
        <w:rPr>
          <w:rFonts w:ascii="Times New Roman" w:hAnsi="Times New Roman" w:eastAsia="Times New Roman" w:cs="Times New Roman"/>
          <w:sz w:val="29"/>
          <w:szCs w:val="29"/>
          <w:spacing w:val="-1"/>
        </w:rPr>
        <w:t>7</w:t>
      </w:r>
      <w:r>
        <w:rPr>
          <w:rFonts w:ascii="Times New Roman" w:hAnsi="Times New Roman" w:eastAsia="Times New Roman" w:cs="Times New Roman"/>
          <w:sz w:val="29"/>
          <w:szCs w:val="29"/>
          <w:spacing w:val="-38"/>
        </w:rPr>
        <w:t xml:space="preserve"> </w:t>
      </w:r>
      <w:r>
        <w:rPr>
          <w:sz w:val="29"/>
          <w:szCs w:val="29"/>
          <w:spacing w:val="-1"/>
        </w:rPr>
        <w:t>、萌蘖枝</w:t>
      </w:r>
    </w:p>
    <w:p>
      <w:pPr>
        <w:pStyle w:val="BodyText"/>
        <w:ind w:right="448" w:firstLine="600"/>
        <w:spacing w:before="135" w:line="301" w:lineRule="auto"/>
        <w:rPr>
          <w:sz w:val="29"/>
          <w:szCs w:val="29"/>
        </w:rPr>
      </w:pPr>
      <w:r>
        <w:rPr>
          <w:sz w:val="29"/>
          <w:szCs w:val="29"/>
          <w:spacing w:val="-7"/>
        </w:rPr>
        <w:t>由潜伏芽或不定芽萌发长成的枝条，形态近似徒长枝，常生长于乔木、大灌</w:t>
      </w:r>
      <w:r>
        <w:rPr>
          <w:sz w:val="29"/>
          <w:szCs w:val="29"/>
          <w:spacing w:val="16"/>
        </w:rPr>
        <w:t xml:space="preserve"> </w:t>
      </w:r>
      <w:r>
        <w:rPr>
          <w:sz w:val="29"/>
          <w:szCs w:val="29"/>
          <w:spacing w:val="-2"/>
        </w:rPr>
        <w:t>木根部及主干位置。</w:t>
      </w:r>
    </w:p>
    <w:p>
      <w:pPr>
        <w:pStyle w:val="BodyText"/>
        <w:spacing w:before="26" w:line="219" w:lineRule="auto"/>
        <w:rPr>
          <w:sz w:val="29"/>
          <w:szCs w:val="29"/>
        </w:rPr>
      </w:pPr>
      <w:r>
        <w:rPr>
          <w:rFonts w:ascii="Times New Roman" w:hAnsi="Times New Roman" w:eastAsia="Times New Roman" w:cs="Times New Roman"/>
          <w:sz w:val="29"/>
          <w:szCs w:val="29"/>
          <w:spacing w:val="-1"/>
        </w:rPr>
        <w:t>8</w:t>
      </w:r>
      <w:r>
        <w:rPr>
          <w:rFonts w:ascii="Times New Roman" w:hAnsi="Times New Roman" w:eastAsia="Times New Roman" w:cs="Times New Roman"/>
          <w:sz w:val="29"/>
          <w:szCs w:val="29"/>
          <w:spacing w:val="-38"/>
        </w:rPr>
        <w:t xml:space="preserve"> </w:t>
      </w:r>
      <w:r>
        <w:rPr>
          <w:sz w:val="29"/>
          <w:szCs w:val="29"/>
          <w:spacing w:val="-1"/>
        </w:rPr>
        <w:t>、内膛枝</w:t>
      </w:r>
    </w:p>
    <w:p>
      <w:pPr>
        <w:pStyle w:val="BodyText"/>
        <w:ind w:left="459"/>
        <w:spacing w:before="154" w:line="219" w:lineRule="auto"/>
        <w:rPr>
          <w:sz w:val="29"/>
          <w:szCs w:val="29"/>
        </w:rPr>
      </w:pPr>
      <w:r>
        <w:rPr>
          <w:sz w:val="29"/>
          <w:szCs w:val="29"/>
        </w:rPr>
        <w:t>枝干内部生长的小枝，不利于树冠通风、透光。</w:t>
      </w:r>
    </w:p>
    <w:p>
      <w:pPr>
        <w:pStyle w:val="BodyText"/>
        <w:spacing w:before="158" w:line="219" w:lineRule="auto"/>
        <w:rPr>
          <w:sz w:val="29"/>
          <w:szCs w:val="29"/>
        </w:rPr>
      </w:pPr>
      <w:r>
        <w:rPr>
          <w:rFonts w:ascii="Times New Roman" w:hAnsi="Times New Roman" w:eastAsia="Times New Roman" w:cs="Times New Roman"/>
          <w:sz w:val="29"/>
          <w:szCs w:val="29"/>
          <w:spacing w:val="1"/>
        </w:rPr>
        <w:t>9</w:t>
      </w:r>
      <w:r>
        <w:rPr>
          <w:rFonts w:ascii="Times New Roman" w:hAnsi="Times New Roman" w:eastAsia="Times New Roman" w:cs="Times New Roman"/>
          <w:sz w:val="29"/>
          <w:szCs w:val="29"/>
          <w:spacing w:val="-40"/>
        </w:rPr>
        <w:t xml:space="preserve"> </w:t>
      </w:r>
      <w:r>
        <w:rPr>
          <w:sz w:val="29"/>
          <w:szCs w:val="29"/>
          <w:spacing w:val="1"/>
        </w:rPr>
        <w:t>、春梢</w:t>
      </w:r>
    </w:p>
    <w:p>
      <w:pPr>
        <w:pStyle w:val="BodyText"/>
        <w:ind w:left="600"/>
        <w:spacing w:before="124" w:line="219" w:lineRule="auto"/>
        <w:rPr>
          <w:sz w:val="29"/>
          <w:szCs w:val="29"/>
        </w:rPr>
      </w:pPr>
      <w:r>
        <w:rPr>
          <w:sz w:val="29"/>
          <w:szCs w:val="29"/>
          <w:spacing w:val="1"/>
        </w:rPr>
        <w:t>树木春季生长的部分，春梢一般发育充实，可形成良好的骨干枝。</w:t>
      </w:r>
    </w:p>
    <w:p>
      <w:pPr>
        <w:pStyle w:val="BodyText"/>
        <w:spacing w:before="155" w:line="219" w:lineRule="auto"/>
        <w:rPr>
          <w:sz w:val="27"/>
          <w:szCs w:val="27"/>
        </w:rPr>
      </w:pPr>
      <w:r>
        <w:rPr>
          <w:rFonts w:ascii="Times New Roman" w:hAnsi="Times New Roman" w:eastAsia="Times New Roman" w:cs="Times New Roman"/>
          <w:sz w:val="27"/>
          <w:szCs w:val="27"/>
          <w:spacing w:val="13"/>
        </w:rPr>
        <w:t>10</w:t>
      </w:r>
      <w:r>
        <w:rPr>
          <w:rFonts w:ascii="Times New Roman" w:hAnsi="Times New Roman" w:eastAsia="Times New Roman" w:cs="Times New Roman"/>
          <w:sz w:val="27"/>
          <w:szCs w:val="27"/>
          <w:spacing w:val="-38"/>
        </w:rPr>
        <w:t xml:space="preserve"> </w:t>
      </w:r>
      <w:r>
        <w:rPr>
          <w:sz w:val="27"/>
          <w:szCs w:val="27"/>
          <w:spacing w:val="13"/>
        </w:rPr>
        <w:t>、缓释肥</w:t>
      </w:r>
    </w:p>
    <w:p>
      <w:pPr>
        <w:pStyle w:val="BodyText"/>
        <w:ind w:right="523" w:firstLine="600"/>
        <w:spacing w:before="160" w:line="319" w:lineRule="auto"/>
        <w:rPr>
          <w:sz w:val="29"/>
          <w:szCs w:val="29"/>
        </w:rPr>
      </w:pPr>
      <w:r>
        <w:rPr>
          <w:sz w:val="29"/>
          <w:szCs w:val="29"/>
          <w:spacing w:val="-9"/>
        </w:rPr>
        <w:t>缓释肥也称控释肥，化肥颗粒被一层疏水物质包裹，对肥料养分释放速度进</w:t>
      </w:r>
      <w:r>
        <w:rPr>
          <w:sz w:val="29"/>
          <w:szCs w:val="29"/>
          <w:spacing w:val="6"/>
        </w:rPr>
        <w:t xml:space="preserve"> </w:t>
      </w:r>
      <w:r>
        <w:rPr>
          <w:sz w:val="29"/>
          <w:szCs w:val="29"/>
          <w:spacing w:val="1"/>
        </w:rPr>
        <w:t>行调整，达到元素供肥强度与植物生理需求的动态平衡。</w:t>
      </w:r>
    </w:p>
    <w:p>
      <w:pPr>
        <w:pStyle w:val="BodyText"/>
        <w:spacing w:line="219" w:lineRule="auto"/>
        <w:rPr>
          <w:sz w:val="29"/>
          <w:szCs w:val="29"/>
        </w:rPr>
      </w:pPr>
      <w:r>
        <w:rPr>
          <w:rFonts w:ascii="Times New Roman" w:hAnsi="Times New Roman" w:eastAsia="Times New Roman" w:cs="Times New Roman"/>
          <w:sz w:val="29"/>
          <w:szCs w:val="29"/>
          <w:spacing w:val="-3"/>
        </w:rPr>
        <w:t>11</w:t>
      </w:r>
      <w:r>
        <w:rPr>
          <w:rFonts w:ascii="Times New Roman" w:hAnsi="Times New Roman" w:eastAsia="Times New Roman" w:cs="Times New Roman"/>
          <w:sz w:val="29"/>
          <w:szCs w:val="29"/>
          <w:spacing w:val="-41"/>
        </w:rPr>
        <w:t xml:space="preserve"> </w:t>
      </w:r>
      <w:r>
        <w:rPr>
          <w:sz w:val="29"/>
          <w:szCs w:val="29"/>
          <w:spacing w:val="-3"/>
        </w:rPr>
        <w:t>、定根水</w:t>
      </w:r>
    </w:p>
    <w:p>
      <w:pPr>
        <w:pStyle w:val="BodyText"/>
        <w:ind w:left="509"/>
        <w:spacing w:before="136" w:line="219" w:lineRule="auto"/>
        <w:rPr>
          <w:sz w:val="29"/>
          <w:szCs w:val="29"/>
        </w:rPr>
      </w:pPr>
      <w:r>
        <w:rPr>
          <w:sz w:val="29"/>
          <w:szCs w:val="29"/>
          <w:spacing w:val="-12"/>
        </w:rPr>
        <w:t>苗木移植的最后一道工序是浇水，俗称“浇定根水”。</w:t>
      </w:r>
    </w:p>
    <w:p>
      <w:pPr>
        <w:pStyle w:val="BodyText"/>
        <w:spacing w:before="154" w:line="219" w:lineRule="auto"/>
        <w:rPr>
          <w:sz w:val="29"/>
          <w:szCs w:val="29"/>
        </w:rPr>
      </w:pPr>
      <w:r>
        <w:rPr>
          <w:rFonts w:ascii="Times New Roman" w:hAnsi="Times New Roman" w:eastAsia="Times New Roman" w:cs="Times New Roman"/>
          <w:sz w:val="29"/>
          <w:szCs w:val="29"/>
          <w:spacing w:val="-3"/>
        </w:rPr>
        <w:t>12</w:t>
      </w:r>
      <w:r>
        <w:rPr>
          <w:rFonts w:ascii="Times New Roman" w:hAnsi="Times New Roman" w:eastAsia="Times New Roman" w:cs="Times New Roman"/>
          <w:sz w:val="29"/>
          <w:szCs w:val="29"/>
          <w:spacing w:val="-41"/>
        </w:rPr>
        <w:t xml:space="preserve"> </w:t>
      </w:r>
      <w:r>
        <w:rPr>
          <w:sz w:val="29"/>
          <w:szCs w:val="29"/>
          <w:spacing w:val="-3"/>
        </w:rPr>
        <w:t>、返青水</w:t>
      </w:r>
    </w:p>
    <w:p>
      <w:pPr>
        <w:pStyle w:val="BodyText"/>
        <w:ind w:left="600"/>
        <w:spacing w:before="136" w:line="219" w:lineRule="auto"/>
        <w:rPr>
          <w:sz w:val="29"/>
          <w:szCs w:val="29"/>
        </w:rPr>
      </w:pPr>
      <w:r>
        <w:rPr>
          <w:sz w:val="29"/>
          <w:szCs w:val="29"/>
          <w:spacing w:val="-2"/>
        </w:rPr>
        <w:t>植物在返青前，人工对其进行的灌水，</w:t>
      </w:r>
      <w:r>
        <w:rPr>
          <w:sz w:val="29"/>
          <w:szCs w:val="29"/>
          <w:spacing w:val="-69"/>
        </w:rPr>
        <w:t xml:space="preserve"> </w:t>
      </w:r>
      <w:r>
        <w:rPr>
          <w:sz w:val="29"/>
          <w:szCs w:val="29"/>
          <w:spacing w:val="-2"/>
        </w:rPr>
        <w:t>一般在早春进行。</w:t>
      </w:r>
    </w:p>
    <w:p>
      <w:pPr>
        <w:pStyle w:val="BodyText"/>
        <w:spacing w:before="158" w:line="219" w:lineRule="auto"/>
        <w:rPr>
          <w:sz w:val="29"/>
          <w:szCs w:val="29"/>
        </w:rPr>
      </w:pPr>
      <w:r>
        <w:rPr>
          <w:rFonts w:ascii="Times New Roman" w:hAnsi="Times New Roman" w:eastAsia="Times New Roman" w:cs="Times New Roman"/>
          <w:sz w:val="29"/>
          <w:szCs w:val="29"/>
          <w:spacing w:val="-6"/>
        </w:rPr>
        <w:t>13</w:t>
      </w:r>
      <w:r>
        <w:rPr>
          <w:rFonts w:ascii="Times New Roman" w:hAnsi="Times New Roman" w:eastAsia="Times New Roman" w:cs="Times New Roman"/>
          <w:sz w:val="29"/>
          <w:szCs w:val="29"/>
          <w:spacing w:val="-40"/>
        </w:rPr>
        <w:t xml:space="preserve"> </w:t>
      </w:r>
      <w:r>
        <w:rPr>
          <w:sz w:val="29"/>
          <w:szCs w:val="29"/>
          <w:spacing w:val="-6"/>
        </w:rPr>
        <w:t>、冻水</w:t>
      </w:r>
    </w:p>
    <w:p>
      <w:pPr>
        <w:spacing w:line="219" w:lineRule="auto"/>
        <w:sectPr>
          <w:footerReference w:type="default" r:id="rId5"/>
          <w:pgSz w:w="14490" w:h="20470"/>
          <w:pgMar w:top="1333" w:right="1935" w:bottom="1447" w:left="2150" w:header="0" w:footer="1229" w:gutter="0"/>
        </w:sectPr>
        <w:rPr>
          <w:sz w:val="29"/>
          <w:szCs w:val="29"/>
        </w:rPr>
      </w:pPr>
    </w:p>
    <w:p>
      <w:pPr>
        <w:pStyle w:val="BodyText"/>
        <w:ind w:left="580"/>
        <w:spacing w:before="122" w:line="219" w:lineRule="auto"/>
        <w:rPr>
          <w:sz w:val="29"/>
          <w:szCs w:val="29"/>
        </w:rPr>
      </w:pPr>
      <w:r>
        <w:rPr>
          <w:sz w:val="29"/>
          <w:szCs w:val="29"/>
          <w:spacing w:val="12"/>
        </w:rPr>
        <w:t>绿地表层冻结之前(一般在秋末或冬季)对植物进行的灌水。</w:t>
      </w:r>
    </w:p>
    <w:p>
      <w:pPr>
        <w:pStyle w:val="BodyText"/>
        <w:spacing w:before="156" w:line="219" w:lineRule="auto"/>
        <w:rPr>
          <w:sz w:val="29"/>
          <w:szCs w:val="29"/>
        </w:rPr>
      </w:pPr>
      <w:r>
        <w:rPr>
          <w:rFonts w:ascii="Times New Roman" w:hAnsi="Times New Roman" w:eastAsia="Times New Roman" w:cs="Times New Roman"/>
          <w:sz w:val="29"/>
          <w:szCs w:val="29"/>
          <w:spacing w:val="-4"/>
        </w:rPr>
        <w:t>14</w:t>
      </w:r>
      <w:r>
        <w:rPr>
          <w:rFonts w:ascii="Times New Roman" w:hAnsi="Times New Roman" w:eastAsia="Times New Roman" w:cs="Times New Roman"/>
          <w:sz w:val="29"/>
          <w:szCs w:val="29"/>
          <w:spacing w:val="-41"/>
        </w:rPr>
        <w:t xml:space="preserve"> </w:t>
      </w:r>
      <w:r>
        <w:rPr>
          <w:sz w:val="29"/>
          <w:szCs w:val="29"/>
          <w:spacing w:val="-4"/>
        </w:rPr>
        <w:t>、休眠期</w:t>
      </w:r>
    </w:p>
    <w:p>
      <w:pPr>
        <w:pStyle w:val="BodyText"/>
        <w:ind w:left="499"/>
        <w:spacing w:before="146" w:line="219" w:lineRule="auto"/>
        <w:rPr>
          <w:sz w:val="29"/>
          <w:szCs w:val="29"/>
        </w:rPr>
      </w:pPr>
      <w:r>
        <w:rPr>
          <w:sz w:val="29"/>
          <w:szCs w:val="29"/>
          <w:spacing w:val="2"/>
        </w:rPr>
        <w:t>植物体或其器官在发育的过程中，生长和代谢出现暂时停顿的时期。</w:t>
      </w:r>
    </w:p>
    <w:p>
      <w:pPr>
        <w:pStyle w:val="BodyText"/>
        <w:spacing w:before="126" w:line="220" w:lineRule="auto"/>
        <w:rPr>
          <w:sz w:val="29"/>
          <w:szCs w:val="29"/>
        </w:rPr>
      </w:pPr>
      <w:r>
        <w:rPr>
          <w:rFonts w:ascii="Times New Roman" w:hAnsi="Times New Roman" w:eastAsia="Times New Roman" w:cs="Times New Roman"/>
          <w:sz w:val="29"/>
          <w:szCs w:val="29"/>
          <w:spacing w:val="-6"/>
        </w:rPr>
        <w:t>15</w:t>
      </w:r>
      <w:r>
        <w:rPr>
          <w:rFonts w:ascii="Times New Roman" w:hAnsi="Times New Roman" w:eastAsia="Times New Roman" w:cs="Times New Roman"/>
          <w:sz w:val="29"/>
          <w:szCs w:val="29"/>
          <w:spacing w:val="-40"/>
        </w:rPr>
        <w:t xml:space="preserve"> </w:t>
      </w:r>
      <w:r>
        <w:rPr>
          <w:sz w:val="29"/>
          <w:szCs w:val="29"/>
          <w:spacing w:val="-6"/>
        </w:rPr>
        <w:t>、保墒</w:t>
      </w:r>
    </w:p>
    <w:p>
      <w:pPr>
        <w:pStyle w:val="BodyText"/>
        <w:ind w:left="580"/>
        <w:spacing w:before="163" w:line="219" w:lineRule="auto"/>
        <w:rPr>
          <w:sz w:val="29"/>
          <w:szCs w:val="29"/>
        </w:rPr>
      </w:pPr>
      <w:r>
        <w:rPr>
          <w:sz w:val="29"/>
          <w:szCs w:val="29"/>
          <w:spacing w:val="1"/>
        </w:rPr>
        <w:t>保持绿地土壤的水分，以满足植物生长发育需要的措施。</w:t>
      </w:r>
    </w:p>
    <w:p>
      <w:pPr>
        <w:pStyle w:val="BodyText"/>
        <w:spacing w:before="156" w:line="220" w:lineRule="auto"/>
        <w:rPr>
          <w:sz w:val="29"/>
          <w:szCs w:val="29"/>
        </w:rPr>
      </w:pPr>
      <w:r>
        <w:rPr>
          <w:rFonts w:ascii="Times New Roman" w:hAnsi="Times New Roman" w:eastAsia="Times New Roman" w:cs="Times New Roman"/>
          <w:sz w:val="29"/>
          <w:szCs w:val="29"/>
          <w:spacing w:val="-25"/>
        </w:rPr>
        <w:t>16</w:t>
      </w:r>
      <w:r>
        <w:rPr>
          <w:rFonts w:ascii="Times New Roman" w:hAnsi="Times New Roman" w:eastAsia="Times New Roman" w:cs="Times New Roman"/>
          <w:sz w:val="29"/>
          <w:szCs w:val="29"/>
          <w:spacing w:val="-38"/>
        </w:rPr>
        <w:t xml:space="preserve"> </w:t>
      </w:r>
      <w:r>
        <w:rPr>
          <w:sz w:val="29"/>
          <w:szCs w:val="29"/>
          <w:spacing w:val="-25"/>
        </w:rPr>
        <w:t>、日 灼</w:t>
      </w:r>
    </w:p>
    <w:p>
      <w:pPr>
        <w:pStyle w:val="BodyText"/>
        <w:ind w:left="580"/>
        <w:spacing w:before="142" w:line="219" w:lineRule="auto"/>
        <w:rPr>
          <w:sz w:val="29"/>
          <w:szCs w:val="29"/>
        </w:rPr>
      </w:pPr>
      <w:r>
        <w:rPr>
          <w:sz w:val="29"/>
          <w:szCs w:val="29"/>
          <w:spacing w:val="1"/>
        </w:rPr>
        <w:t>强烈太阳辐射引起的树木枝干和果实伤害，亦称灼伤。</w:t>
      </w:r>
    </w:p>
    <w:p>
      <w:pPr>
        <w:pStyle w:val="BodyText"/>
        <w:spacing w:before="147" w:line="219" w:lineRule="auto"/>
        <w:rPr>
          <w:sz w:val="29"/>
          <w:szCs w:val="29"/>
        </w:rPr>
      </w:pPr>
      <w:r>
        <w:rPr>
          <w:rFonts w:ascii="Times New Roman" w:hAnsi="Times New Roman" w:eastAsia="Times New Roman" w:cs="Times New Roman"/>
          <w:sz w:val="29"/>
          <w:szCs w:val="29"/>
          <w:spacing w:val="-5"/>
        </w:rPr>
        <w:t>17</w:t>
      </w:r>
      <w:r>
        <w:rPr>
          <w:rFonts w:ascii="Times New Roman" w:hAnsi="Times New Roman" w:eastAsia="Times New Roman" w:cs="Times New Roman"/>
          <w:sz w:val="29"/>
          <w:szCs w:val="29"/>
          <w:spacing w:val="-38"/>
        </w:rPr>
        <w:t xml:space="preserve"> </w:t>
      </w:r>
      <w:r>
        <w:rPr>
          <w:sz w:val="29"/>
          <w:szCs w:val="29"/>
          <w:spacing w:val="-5"/>
        </w:rPr>
        <w:t>、树洞</w:t>
      </w:r>
    </w:p>
    <w:p>
      <w:pPr>
        <w:pStyle w:val="BodyText"/>
        <w:ind w:left="580"/>
        <w:spacing w:before="124" w:line="219" w:lineRule="auto"/>
        <w:rPr>
          <w:sz w:val="29"/>
          <w:szCs w:val="29"/>
        </w:rPr>
      </w:pPr>
      <w:r>
        <w:rPr>
          <w:sz w:val="29"/>
          <w:szCs w:val="29"/>
          <w:spacing w:val="2"/>
        </w:rPr>
        <w:t>植物在生长过程中，由于虫蛀或机械损伤等因素，导致树干上出现的孔洞。</w:t>
      </w:r>
    </w:p>
    <w:p>
      <w:pPr>
        <w:pStyle w:val="BodyText"/>
        <w:spacing w:before="158" w:line="219" w:lineRule="auto"/>
        <w:rPr>
          <w:sz w:val="29"/>
          <w:szCs w:val="29"/>
        </w:rPr>
      </w:pPr>
      <w:r>
        <w:rPr>
          <w:rFonts w:ascii="Times New Roman" w:hAnsi="Times New Roman" w:eastAsia="Times New Roman" w:cs="Times New Roman"/>
          <w:sz w:val="29"/>
          <w:szCs w:val="29"/>
          <w:spacing w:val="-2"/>
        </w:rPr>
        <w:t>18</w:t>
      </w:r>
      <w:r>
        <w:rPr>
          <w:rFonts w:ascii="Times New Roman" w:hAnsi="Times New Roman" w:eastAsia="Times New Roman" w:cs="Times New Roman"/>
          <w:sz w:val="29"/>
          <w:szCs w:val="29"/>
          <w:spacing w:val="-38"/>
        </w:rPr>
        <w:t xml:space="preserve"> </w:t>
      </w:r>
      <w:r>
        <w:rPr>
          <w:sz w:val="29"/>
          <w:szCs w:val="29"/>
          <w:spacing w:val="-2"/>
        </w:rPr>
        <w:t>、树体输液</w:t>
      </w:r>
    </w:p>
    <w:p>
      <w:pPr>
        <w:pStyle w:val="BodyText"/>
        <w:ind w:right="451" w:firstLine="580"/>
        <w:spacing w:before="146" w:line="314" w:lineRule="auto"/>
        <w:rPr>
          <w:sz w:val="29"/>
          <w:szCs w:val="29"/>
        </w:rPr>
      </w:pPr>
      <w:r>
        <w:rPr>
          <w:sz w:val="29"/>
          <w:szCs w:val="29"/>
          <w:spacing w:val="-3"/>
        </w:rPr>
        <w:t>对长势弱或移栽的树木进行补充水分和养分的一种人为</w:t>
      </w:r>
      <w:r>
        <w:rPr>
          <w:sz w:val="29"/>
          <w:szCs w:val="29"/>
          <w:spacing w:val="-4"/>
        </w:rPr>
        <w:t>方式，其具体形式与</w:t>
      </w:r>
      <w:r>
        <w:rPr>
          <w:sz w:val="29"/>
          <w:szCs w:val="29"/>
        </w:rPr>
        <w:t xml:space="preserve"> </w:t>
      </w:r>
      <w:r>
        <w:rPr>
          <w:sz w:val="29"/>
          <w:szCs w:val="29"/>
          <w:spacing w:val="-1"/>
        </w:rPr>
        <w:t>人体输液类似。</w:t>
      </w:r>
    </w:p>
    <w:p>
      <w:pPr>
        <w:pStyle w:val="BodyText"/>
        <w:spacing w:before="15" w:line="220" w:lineRule="auto"/>
        <w:rPr>
          <w:sz w:val="29"/>
          <w:szCs w:val="29"/>
        </w:rPr>
      </w:pPr>
      <w:r>
        <w:rPr>
          <w:rFonts w:ascii="Times New Roman" w:hAnsi="Times New Roman" w:eastAsia="Times New Roman" w:cs="Times New Roman"/>
          <w:sz w:val="29"/>
          <w:szCs w:val="29"/>
          <w:spacing w:val="-5"/>
        </w:rPr>
        <w:t>19</w:t>
      </w:r>
      <w:r>
        <w:rPr>
          <w:rFonts w:ascii="Times New Roman" w:hAnsi="Times New Roman" w:eastAsia="Times New Roman" w:cs="Times New Roman"/>
          <w:sz w:val="29"/>
          <w:szCs w:val="29"/>
          <w:spacing w:val="-40"/>
        </w:rPr>
        <w:t xml:space="preserve"> </w:t>
      </w:r>
      <w:r>
        <w:rPr>
          <w:sz w:val="29"/>
          <w:szCs w:val="29"/>
          <w:spacing w:val="-5"/>
        </w:rPr>
        <w:t>、霜害</w:t>
      </w:r>
    </w:p>
    <w:p>
      <w:pPr>
        <w:pStyle w:val="BodyText"/>
        <w:spacing w:before="123" w:line="219" w:lineRule="auto"/>
        <w:jc w:val="right"/>
        <w:rPr>
          <w:sz w:val="29"/>
          <w:szCs w:val="29"/>
        </w:rPr>
      </w:pPr>
      <w:r>
        <w:rPr>
          <w:sz w:val="29"/>
          <w:szCs w:val="29"/>
          <w:spacing w:val="2"/>
        </w:rPr>
        <w:t>在苗木生长季因急剧降温，水汽凝结成霜而</w:t>
      </w:r>
      <w:r>
        <w:rPr>
          <w:sz w:val="29"/>
          <w:szCs w:val="29"/>
          <w:spacing w:val="1"/>
        </w:rPr>
        <w:t>使枝条幼嫩部分受冻，称为霜害。</w:t>
      </w:r>
    </w:p>
    <w:p>
      <w:pPr>
        <w:spacing w:line="219" w:lineRule="auto"/>
        <w:sectPr>
          <w:footerReference w:type="default" r:id="rId6"/>
          <w:pgSz w:w="14490" w:h="20470"/>
          <w:pgMar w:top="1739" w:right="1835" w:bottom="1437" w:left="2160" w:header="0" w:footer="1219" w:gutter="0"/>
        </w:sectPr>
        <w:rPr>
          <w:sz w:val="29"/>
          <w:szCs w:val="29"/>
        </w:rPr>
      </w:pPr>
    </w:p>
    <w:p>
      <w:pPr>
        <w:ind w:left="3226"/>
        <w:spacing w:before="158" w:line="221" w:lineRule="auto"/>
        <w:outlineLvl w:val="0"/>
        <w:rPr>
          <w:rFonts w:ascii="SimHei" w:hAnsi="SimHei" w:eastAsia="SimHei" w:cs="SimHei"/>
          <w:sz w:val="48"/>
          <w:szCs w:val="48"/>
        </w:rPr>
      </w:pPr>
      <w:bookmarkStart w:name="bookmark81" w:id="5"/>
      <w:bookmarkEnd w:id="5"/>
      <w:bookmarkStart w:name="bookmark3" w:id="6"/>
      <w:bookmarkEnd w:id="6"/>
      <w:r>
        <w:rPr>
          <w:rFonts w:ascii="SimHei" w:hAnsi="SimHei" w:eastAsia="SimHei" w:cs="SimHei"/>
          <w:sz w:val="48"/>
          <w:szCs w:val="48"/>
          <w:b/>
          <w:bCs/>
          <w:spacing w:val="-36"/>
        </w:rPr>
        <w:t>第二章</w:t>
      </w:r>
      <w:r>
        <w:rPr>
          <w:rFonts w:ascii="SimHei" w:hAnsi="SimHei" w:eastAsia="SimHei" w:cs="SimHei"/>
          <w:sz w:val="48"/>
          <w:szCs w:val="48"/>
          <w:spacing w:val="-36"/>
        </w:rPr>
        <w:t xml:space="preserve">  </w:t>
      </w:r>
      <w:r>
        <w:rPr>
          <w:rFonts w:ascii="SimHei" w:hAnsi="SimHei" w:eastAsia="SimHei" w:cs="SimHei"/>
          <w:sz w:val="48"/>
          <w:szCs w:val="48"/>
          <w:b/>
          <w:bCs/>
          <w:spacing w:val="-36"/>
        </w:rPr>
        <w:t>乔灌木养护</w:t>
      </w:r>
    </w:p>
    <w:p>
      <w:pPr>
        <w:spacing w:line="309" w:lineRule="auto"/>
        <w:rPr>
          <w:rFonts w:ascii="Arial"/>
          <w:sz w:val="21"/>
        </w:rPr>
      </w:pPr>
      <w:r/>
    </w:p>
    <w:p>
      <w:pPr>
        <w:spacing w:line="309" w:lineRule="auto"/>
        <w:rPr>
          <w:rFonts w:ascii="Arial"/>
          <w:sz w:val="21"/>
        </w:rPr>
      </w:pPr>
      <w:r/>
    </w:p>
    <w:p>
      <w:pPr>
        <w:pStyle w:val="BodyText"/>
        <w:ind w:left="590"/>
        <w:spacing w:before="95" w:line="219" w:lineRule="auto"/>
        <w:rPr>
          <w:sz w:val="29"/>
          <w:szCs w:val="29"/>
        </w:rPr>
      </w:pPr>
      <w:r>
        <w:rPr>
          <w:sz w:val="29"/>
          <w:szCs w:val="29"/>
        </w:rPr>
        <w:t>乔灌木日常养护主要有浇水、修剪、施肥、灾害</w:t>
      </w:r>
      <w:r>
        <w:rPr>
          <w:sz w:val="29"/>
          <w:szCs w:val="29"/>
          <w:spacing w:val="-1"/>
        </w:rPr>
        <w:t>防护等工作。</w:t>
      </w:r>
    </w:p>
    <w:p>
      <w:pPr>
        <w:pStyle w:val="BodyText"/>
        <w:ind w:left="4"/>
        <w:spacing w:before="165" w:line="222" w:lineRule="auto"/>
        <w:outlineLvl w:val="1"/>
        <w:rPr>
          <w:rFonts w:ascii="SimHei" w:hAnsi="SimHei" w:eastAsia="SimHei" w:cs="SimHei"/>
        </w:rPr>
      </w:pPr>
      <w:bookmarkStart w:name="bookmark4" w:id="7"/>
      <w:bookmarkEnd w:id="7"/>
      <w:r>
        <w:rPr>
          <w:b/>
          <w:bCs/>
          <w:spacing w:val="-3"/>
        </w:rPr>
        <w:t>一</w:t>
      </w:r>
      <w:r>
        <w:rPr>
          <w:spacing w:val="-70"/>
        </w:rPr>
        <w:t xml:space="preserve"> </w:t>
      </w:r>
      <w:r>
        <w:rPr>
          <w:b/>
          <w:bCs/>
          <w:spacing w:val="-3"/>
        </w:rPr>
        <w:t>、</w:t>
      </w:r>
      <w:r>
        <w:rPr>
          <w:rFonts w:ascii="SimHei" w:hAnsi="SimHei" w:eastAsia="SimHei" w:cs="SimHei"/>
          <w:spacing w:val="-3"/>
        </w:rPr>
        <w:t>浇水</w:t>
      </w:r>
    </w:p>
    <w:p>
      <w:pPr>
        <w:pStyle w:val="BodyText"/>
        <w:spacing w:before="213" w:line="222"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浇水要求</w:t>
      </w:r>
    </w:p>
    <w:p>
      <w:pPr>
        <w:pStyle w:val="BodyText"/>
        <w:ind w:right="279" w:firstLine="590"/>
        <w:spacing w:before="112" w:line="315" w:lineRule="auto"/>
        <w:rPr>
          <w:sz w:val="29"/>
          <w:szCs w:val="29"/>
        </w:rPr>
      </w:pPr>
      <w:r>
        <w:rPr>
          <w:sz w:val="29"/>
          <w:szCs w:val="29"/>
          <w:spacing w:val="6"/>
        </w:rPr>
        <w:t>1)实际浇水应根据地域、土壤、天气、苗木生长习性等综合因素确定浇水</w:t>
      </w:r>
      <w:r>
        <w:rPr>
          <w:sz w:val="29"/>
          <w:szCs w:val="29"/>
          <w:spacing w:val="14"/>
        </w:rPr>
        <w:t xml:space="preserve"> </w:t>
      </w:r>
      <w:r>
        <w:rPr>
          <w:sz w:val="29"/>
          <w:szCs w:val="29"/>
          <w:spacing w:val="-5"/>
        </w:rPr>
        <w:t>时间及次数。</w:t>
      </w:r>
    </w:p>
    <w:p>
      <w:pPr>
        <w:pStyle w:val="BodyText"/>
        <w:ind w:right="248" w:firstLine="730"/>
        <w:spacing w:line="269" w:lineRule="auto"/>
        <w:rPr>
          <w:sz w:val="29"/>
          <w:szCs w:val="29"/>
        </w:rPr>
      </w:pPr>
      <w:r>
        <w:rPr>
          <w:sz w:val="29"/>
          <w:szCs w:val="29"/>
          <w:spacing w:val="7"/>
        </w:rPr>
        <w:t>(1)喜湿植物应少量多次灌溉，始终保持土壤湿润，如柳树、水杉、池杉</w:t>
      </w:r>
      <w:r>
        <w:rPr>
          <w:sz w:val="29"/>
          <w:szCs w:val="29"/>
          <w:spacing w:val="17"/>
        </w:rPr>
        <w:t xml:space="preserve"> </w:t>
      </w:r>
      <w:r>
        <w:rPr>
          <w:sz w:val="29"/>
          <w:szCs w:val="29"/>
          <w:spacing w:val="-12"/>
        </w:rPr>
        <w:t>等；</w:t>
      </w:r>
    </w:p>
    <w:p>
      <w:pPr>
        <w:pStyle w:val="BodyText"/>
        <w:ind w:right="250" w:firstLine="730"/>
        <w:spacing w:before="134" w:line="266" w:lineRule="auto"/>
        <w:rPr>
          <w:sz w:val="29"/>
          <w:szCs w:val="29"/>
        </w:rPr>
      </w:pPr>
      <w:r>
        <w:rPr>
          <w:sz w:val="29"/>
          <w:szCs w:val="29"/>
          <w:spacing w:val="7"/>
        </w:rPr>
        <w:t>(2)旱生植物浇水次数要少，浇水间隔期内可数日耐干旱，如白蜡、五针</w:t>
      </w:r>
      <w:r>
        <w:rPr>
          <w:sz w:val="29"/>
          <w:szCs w:val="29"/>
          <w:spacing w:val="15"/>
        </w:rPr>
        <w:t xml:space="preserve"> </w:t>
      </w:r>
      <w:r>
        <w:rPr>
          <w:sz w:val="29"/>
          <w:szCs w:val="29"/>
          <w:spacing w:val="-5"/>
        </w:rPr>
        <w:t>松、油松等；</w:t>
      </w:r>
    </w:p>
    <w:p>
      <w:pPr>
        <w:pStyle w:val="BodyText"/>
        <w:ind w:left="730"/>
        <w:spacing w:before="162" w:line="216" w:lineRule="auto"/>
        <w:rPr>
          <w:sz w:val="29"/>
          <w:szCs w:val="29"/>
        </w:rPr>
      </w:pPr>
      <w:r>
        <w:rPr>
          <w:sz w:val="29"/>
          <w:szCs w:val="29"/>
        </w:rPr>
        <w:t>(3)中生植物浇水要“见干见湿”,土壤干燥才浇水，浇水就一次浇透；</w:t>
      </w:r>
    </w:p>
    <w:p>
      <w:pPr>
        <w:pStyle w:val="BodyText"/>
        <w:ind w:left="730"/>
        <w:spacing w:before="143" w:line="219" w:lineRule="auto"/>
        <w:rPr>
          <w:sz w:val="29"/>
          <w:szCs w:val="29"/>
        </w:rPr>
      </w:pPr>
      <w:r>
        <w:rPr>
          <w:sz w:val="29"/>
          <w:szCs w:val="29"/>
          <w:spacing w:val="5"/>
        </w:rPr>
        <w:t>(4)浇灌必须浇透根系层，但不允许积水造成苗木根系萎缩、腐烂；</w:t>
      </w:r>
    </w:p>
    <w:p>
      <w:pPr>
        <w:pStyle w:val="BodyText"/>
        <w:ind w:firstLine="789"/>
        <w:spacing w:before="147" w:line="308" w:lineRule="auto"/>
        <w:rPr>
          <w:sz w:val="29"/>
          <w:szCs w:val="29"/>
        </w:rPr>
      </w:pPr>
      <w:r>
        <w:rPr>
          <w:sz w:val="29"/>
          <w:szCs w:val="29"/>
          <w:spacing w:val="-1"/>
        </w:rPr>
        <w:t>2)一般情况下，在12—4月低温期浇水在9:00—16:00进行，5—11月高温期</w:t>
      </w:r>
      <w:r>
        <w:rPr>
          <w:sz w:val="29"/>
          <w:szCs w:val="29"/>
          <w:spacing w:val="2"/>
        </w:rPr>
        <w:t xml:space="preserve">  </w:t>
      </w:r>
      <w:r>
        <w:rPr>
          <w:sz w:val="29"/>
          <w:szCs w:val="29"/>
          <w:spacing w:val="5"/>
        </w:rPr>
        <w:t>在10:00以前或16:00以后进行浇水，各地可根据当地情况合理调整浇水时间；3)</w:t>
      </w:r>
    </w:p>
    <w:p>
      <w:pPr>
        <w:pStyle w:val="BodyText"/>
        <w:ind w:left="1099"/>
        <w:spacing w:before="31" w:line="219" w:lineRule="auto"/>
        <w:rPr>
          <w:sz w:val="29"/>
          <w:szCs w:val="29"/>
        </w:rPr>
      </w:pPr>
      <w:r>
        <w:rPr>
          <w:sz w:val="29"/>
          <w:szCs w:val="29"/>
        </w:rPr>
        <w:t>是否浇水主要以土球的干湿程度为参考，土壤干湿程度辨别方法如下：</w:t>
      </w:r>
    </w:p>
    <w:p>
      <w:pPr>
        <w:pStyle w:val="BodyText"/>
        <w:ind w:left="730"/>
        <w:spacing w:before="119" w:line="212" w:lineRule="auto"/>
        <w:rPr>
          <w:rFonts w:ascii="Times New Roman" w:hAnsi="Times New Roman" w:eastAsia="Times New Roman" w:cs="Times New Roman"/>
          <w:sz w:val="29"/>
          <w:szCs w:val="29"/>
        </w:rPr>
      </w:pPr>
      <w:r>
        <w:rPr>
          <w:sz w:val="29"/>
          <w:szCs w:val="29"/>
          <w:spacing w:val="-3"/>
        </w:rPr>
        <w:t>①  取土：乔木取土深度25—35</w:t>
      </w:r>
      <w:r>
        <w:rPr>
          <w:rFonts w:ascii="Times New Roman" w:hAnsi="Times New Roman" w:eastAsia="Times New Roman" w:cs="Times New Roman"/>
          <w:sz w:val="29"/>
          <w:szCs w:val="29"/>
          <w:spacing w:val="-3"/>
        </w:rPr>
        <w:t>cm,   </w:t>
      </w:r>
      <w:r>
        <w:rPr>
          <w:sz w:val="29"/>
          <w:szCs w:val="29"/>
          <w:spacing w:val="-3"/>
        </w:rPr>
        <w:t>地被/灌木取土深度1</w:t>
      </w:r>
      <w:r>
        <w:rPr>
          <w:sz w:val="29"/>
          <w:szCs w:val="29"/>
          <w:spacing w:val="-4"/>
        </w:rPr>
        <w:t>5—20</w:t>
      </w:r>
      <w:r>
        <w:rPr>
          <w:rFonts w:ascii="Times New Roman" w:hAnsi="Times New Roman" w:eastAsia="Times New Roman" w:cs="Times New Roman"/>
          <w:sz w:val="29"/>
          <w:szCs w:val="29"/>
          <w:spacing w:val="-4"/>
        </w:rPr>
        <w:t>cm;</w:t>
      </w:r>
    </w:p>
    <w:p>
      <w:pPr>
        <w:spacing w:line="125" w:lineRule="exact"/>
        <w:rPr/>
      </w:pPr>
      <w:r/>
    </w:p>
    <w:p>
      <w:pPr>
        <w:spacing w:line="125" w:lineRule="exact"/>
        <w:sectPr>
          <w:footerReference w:type="default" r:id="rId7"/>
          <w:pgSz w:w="14490" w:h="20470"/>
          <w:pgMar w:top="1739" w:right="1976" w:bottom="1430" w:left="2150" w:header="0" w:footer="1235" w:gutter="0"/>
          <w:cols w:equalWidth="0" w:num="1">
            <w:col w:w="10364" w:space="0"/>
          </w:cols>
        </w:sectPr>
        <w:rPr/>
      </w:pPr>
    </w:p>
    <w:p>
      <w:pPr>
        <w:pStyle w:val="BodyText"/>
        <w:ind w:left="730"/>
        <w:spacing w:before="58" w:line="217" w:lineRule="auto"/>
        <w:rPr>
          <w:sz w:val="29"/>
          <w:szCs w:val="29"/>
        </w:rPr>
      </w:pPr>
      <w:r>
        <w:rPr>
          <w:sz w:val="29"/>
          <w:szCs w:val="29"/>
          <w:spacing w:val="-14"/>
        </w:rPr>
        <w:t>②</w:t>
      </w:r>
      <w:r>
        <w:rPr>
          <w:sz w:val="29"/>
          <w:szCs w:val="29"/>
          <w:spacing w:val="41"/>
        </w:rPr>
        <w:t xml:space="preserve">  </w:t>
      </w:r>
      <w:r>
        <w:rPr>
          <w:sz w:val="29"/>
          <w:szCs w:val="29"/>
          <w:spacing w:val="-14"/>
        </w:rPr>
        <w:t>土样分析：</w:t>
      </w:r>
    </w:p>
    <w:p>
      <w:pPr>
        <w:ind w:firstLine="879"/>
        <w:spacing w:before="10" w:line="3620" w:lineRule="exact"/>
        <w:rPr/>
      </w:pPr>
      <w:r>
        <w:rPr>
          <w:position w:val="-72"/>
        </w:rPr>
        <w:drawing>
          <wp:inline distT="0" distB="0" distL="0" distR="0">
            <wp:extent cx="1714542" cy="2298775"/>
            <wp:effectExtent l="0" t="0" r="0" b="0"/>
            <wp:docPr id="2" name="IM 2"/>
            <wp:cNvGraphicFramePr/>
            <a:graphic>
              <a:graphicData uri="http://schemas.openxmlformats.org/drawingml/2006/picture">
                <pic:pic>
                  <pic:nvPicPr>
                    <pic:cNvPr id="2" name="IM 2"/>
                    <pic:cNvPicPr/>
                  </pic:nvPicPr>
                  <pic:blipFill>
                    <a:blip r:embed="rId8"/>
                    <a:stretch>
                      <a:fillRect/>
                    </a:stretch>
                  </pic:blipFill>
                  <pic:spPr>
                    <a:xfrm rot="0">
                      <a:off x="0" y="0"/>
                      <a:ext cx="1714542" cy="2298775"/>
                    </a:xfrm>
                    <a:prstGeom prst="rect">
                      <a:avLst/>
                    </a:prstGeom>
                  </pic:spPr>
                </pic:pic>
              </a:graphicData>
            </a:graphic>
          </wp:inline>
        </w:drawing>
      </w:r>
    </w:p>
    <w:p>
      <w:pPr>
        <w:ind w:left="1209" w:right="369" w:firstLine="9"/>
        <w:spacing w:before="38" w:line="355" w:lineRule="auto"/>
        <w:rPr>
          <w:rFonts w:ascii="SimHei" w:hAnsi="SimHei" w:eastAsia="SimHei" w:cs="SimHei"/>
          <w:sz w:val="16"/>
          <w:szCs w:val="16"/>
        </w:rPr>
      </w:pPr>
      <w:r>
        <w:rPr>
          <w:rFonts w:ascii="SimHei" w:hAnsi="SimHei" w:eastAsia="SimHei" w:cs="SimHei"/>
          <w:sz w:val="16"/>
          <w:szCs w:val="16"/>
          <w:spacing w:val="7"/>
        </w:rPr>
        <w:t>土壤松散干燥，严重缺水，需</w:t>
      </w:r>
      <w:r>
        <w:rPr>
          <w:rFonts w:ascii="SimHei" w:hAnsi="SimHei" w:eastAsia="SimHei" w:cs="SimHei"/>
          <w:sz w:val="16"/>
          <w:szCs w:val="16"/>
          <w:spacing w:val="8"/>
        </w:rPr>
        <w:t xml:space="preserve"> </w:t>
      </w:r>
      <w:r>
        <w:rPr>
          <w:rFonts w:ascii="SimHei" w:hAnsi="SimHei" w:eastAsia="SimHei" w:cs="SimHei"/>
          <w:sz w:val="16"/>
          <w:szCs w:val="16"/>
          <w:spacing w:val="9"/>
        </w:rPr>
        <w:t>要及时浇水</w:t>
      </w:r>
    </w:p>
    <w:p>
      <w:pPr>
        <w:spacing w:line="14" w:lineRule="auto"/>
        <w:rPr>
          <w:rFonts w:ascii="Arial"/>
          <w:sz w:val="2"/>
        </w:rPr>
      </w:pPr>
      <w:r>
        <w:rPr>
          <w:rFonts w:ascii="Arial" w:hAnsi="Arial" w:eastAsia="Arial" w:cs="Arial"/>
          <w:sz w:val="2"/>
          <w:szCs w:val="2"/>
        </w:rPr>
        <w:br w:type="column"/>
      </w:r>
    </w:p>
    <w:p>
      <w:pPr>
        <w:spacing w:line="405" w:lineRule="auto"/>
        <w:rPr>
          <w:rFonts w:ascii="Arial"/>
          <w:sz w:val="21"/>
        </w:rPr>
      </w:pPr>
      <w:r/>
    </w:p>
    <w:p>
      <w:pPr>
        <w:spacing w:line="3620" w:lineRule="exact"/>
        <w:rPr/>
      </w:pPr>
      <w:r>
        <w:rPr>
          <w:position w:val="-72"/>
        </w:rPr>
        <w:drawing>
          <wp:inline distT="0" distB="0" distL="0" distR="0">
            <wp:extent cx="1739845" cy="2298775"/>
            <wp:effectExtent l="0" t="0" r="0" b="0"/>
            <wp:docPr id="4" name="IM 4"/>
            <wp:cNvGraphicFramePr/>
            <a:graphic>
              <a:graphicData uri="http://schemas.openxmlformats.org/drawingml/2006/picture">
                <pic:pic>
                  <pic:nvPicPr>
                    <pic:cNvPr id="4" name="IM 4"/>
                    <pic:cNvPicPr/>
                  </pic:nvPicPr>
                  <pic:blipFill>
                    <a:blip r:embed="rId9"/>
                    <a:stretch>
                      <a:fillRect/>
                    </a:stretch>
                  </pic:blipFill>
                  <pic:spPr>
                    <a:xfrm rot="0">
                      <a:off x="0" y="0"/>
                      <a:ext cx="1739845" cy="2298775"/>
                    </a:xfrm>
                    <a:prstGeom prst="rect">
                      <a:avLst/>
                    </a:prstGeom>
                  </pic:spPr>
                </pic:pic>
              </a:graphicData>
            </a:graphic>
          </wp:inline>
        </w:drawing>
      </w:r>
    </w:p>
    <w:p>
      <w:pPr>
        <w:ind w:left="149" w:right="254" w:firstLine="39"/>
        <w:spacing w:before="39" w:line="343" w:lineRule="auto"/>
        <w:rPr>
          <w:rFonts w:ascii="SimHei" w:hAnsi="SimHei" w:eastAsia="SimHei" w:cs="SimHei"/>
          <w:sz w:val="16"/>
          <w:szCs w:val="16"/>
        </w:rPr>
      </w:pPr>
      <w:r>
        <w:rPr>
          <w:rFonts w:ascii="SimHei" w:hAnsi="SimHei" w:eastAsia="SimHei" w:cs="SimHei"/>
          <w:sz w:val="16"/>
          <w:szCs w:val="16"/>
          <w:spacing w:val="5"/>
        </w:rPr>
        <w:t>土壤湿润，湿度适中，攥紧后部分</w:t>
      </w:r>
      <w:r>
        <w:rPr>
          <w:rFonts w:ascii="SimHei" w:hAnsi="SimHei" w:eastAsia="SimHei" w:cs="SimHei"/>
          <w:sz w:val="16"/>
          <w:szCs w:val="16"/>
          <w:spacing w:val="9"/>
        </w:rPr>
        <w:t xml:space="preserve"> </w:t>
      </w:r>
      <w:r>
        <w:rPr>
          <w:rFonts w:ascii="SimHei" w:hAnsi="SimHei" w:eastAsia="SimHei" w:cs="SimHei"/>
          <w:sz w:val="16"/>
          <w:szCs w:val="16"/>
          <w:spacing w:val="8"/>
        </w:rPr>
        <w:t>松散，可根据苗木长势选择性浇水</w:t>
      </w:r>
    </w:p>
    <w:p>
      <w:pPr>
        <w:spacing w:line="14" w:lineRule="auto"/>
        <w:rPr>
          <w:rFonts w:ascii="Arial"/>
          <w:sz w:val="2"/>
        </w:rPr>
      </w:pPr>
      <w:r>
        <w:rPr>
          <w:rFonts w:ascii="Arial" w:hAnsi="Arial" w:eastAsia="Arial" w:cs="Arial"/>
          <w:sz w:val="2"/>
          <w:szCs w:val="2"/>
        </w:rPr>
        <w:br w:type="column"/>
      </w:r>
    </w:p>
    <w:p>
      <w:pPr>
        <w:spacing w:line="415" w:lineRule="auto"/>
        <w:rPr>
          <w:rFonts w:ascii="Arial"/>
          <w:sz w:val="21"/>
        </w:rPr>
      </w:pPr>
      <w:r/>
    </w:p>
    <w:p>
      <w:pPr>
        <w:spacing w:line="3600" w:lineRule="exact"/>
        <w:rPr/>
      </w:pPr>
      <w:r>
        <w:rPr>
          <w:position w:val="-72"/>
        </w:rPr>
        <w:drawing>
          <wp:inline distT="0" distB="0" distL="0" distR="0">
            <wp:extent cx="1720799" cy="2286037"/>
            <wp:effectExtent l="0" t="0" r="0" b="0"/>
            <wp:docPr id="6" name="IM 6"/>
            <wp:cNvGraphicFramePr/>
            <a:graphic>
              <a:graphicData uri="http://schemas.openxmlformats.org/drawingml/2006/picture">
                <pic:pic>
                  <pic:nvPicPr>
                    <pic:cNvPr id="6" name="IM 6"/>
                    <pic:cNvPicPr/>
                  </pic:nvPicPr>
                  <pic:blipFill>
                    <a:blip r:embed="rId10"/>
                    <a:stretch>
                      <a:fillRect/>
                    </a:stretch>
                  </pic:blipFill>
                  <pic:spPr>
                    <a:xfrm rot="0">
                      <a:off x="0" y="0"/>
                      <a:ext cx="1720799" cy="2286037"/>
                    </a:xfrm>
                    <a:prstGeom prst="rect">
                      <a:avLst/>
                    </a:prstGeom>
                  </pic:spPr>
                </pic:pic>
              </a:graphicData>
            </a:graphic>
          </wp:inline>
        </w:drawing>
      </w:r>
    </w:p>
    <w:p>
      <w:pPr>
        <w:ind w:left="219" w:right="773"/>
        <w:spacing w:before="48" w:line="355" w:lineRule="auto"/>
        <w:rPr>
          <w:rFonts w:ascii="SimHei" w:hAnsi="SimHei" w:eastAsia="SimHei" w:cs="SimHei"/>
          <w:sz w:val="16"/>
          <w:szCs w:val="16"/>
        </w:rPr>
      </w:pPr>
      <w:r>
        <w:rPr>
          <w:rFonts w:ascii="SimHei" w:hAnsi="SimHei" w:eastAsia="SimHei" w:cs="SimHei"/>
          <w:sz w:val="16"/>
          <w:szCs w:val="16"/>
          <w:spacing w:val="4"/>
        </w:rPr>
        <w:t>土壤粘重，水分过多，攥紧成坨，</w:t>
      </w:r>
      <w:r>
        <w:rPr>
          <w:rFonts w:ascii="SimHei" w:hAnsi="SimHei" w:eastAsia="SimHei" w:cs="SimHei"/>
          <w:sz w:val="16"/>
          <w:szCs w:val="16"/>
          <w:spacing w:val="9"/>
        </w:rPr>
        <w:t xml:space="preserve"> </w:t>
      </w:r>
      <w:r>
        <w:rPr>
          <w:rFonts w:ascii="SimHei" w:hAnsi="SimHei" w:eastAsia="SimHei" w:cs="SimHei"/>
          <w:sz w:val="16"/>
          <w:szCs w:val="16"/>
          <w:spacing w:val="11"/>
        </w:rPr>
        <w:t>需做排涝</w:t>
      </w:r>
    </w:p>
    <w:p>
      <w:pPr>
        <w:spacing w:line="355" w:lineRule="auto"/>
        <w:sectPr>
          <w:type w:val="continuous"/>
          <w:pgSz w:w="14490" w:h="20470"/>
          <w:pgMar w:top="1739" w:right="1976" w:bottom="1430" w:left="2150" w:header="0" w:footer="1235" w:gutter="0"/>
          <w:cols w:equalWidth="0" w:num="3">
            <w:col w:w="3770" w:space="100"/>
            <w:col w:w="2931" w:space="100"/>
            <w:col w:w="3464" w:space="0"/>
          </w:cols>
        </w:sectPr>
        <w:rPr>
          <w:rFonts w:ascii="SimHei" w:hAnsi="SimHei" w:eastAsia="SimHei" w:cs="SimHei"/>
          <w:sz w:val="16"/>
          <w:szCs w:val="16"/>
        </w:rPr>
      </w:pPr>
    </w:p>
    <w:p>
      <w:pPr>
        <w:pStyle w:val="BodyText"/>
        <w:ind w:left="3929"/>
        <w:spacing w:before="37" w:line="219" w:lineRule="auto"/>
        <w:rPr>
          <w:sz w:val="27"/>
          <w:szCs w:val="27"/>
        </w:rPr>
      </w:pPr>
      <w:r>
        <w:rPr>
          <w:sz w:val="27"/>
          <w:szCs w:val="27"/>
          <w:spacing w:val="-18"/>
        </w:rPr>
        <w:t>图2-1-1土样干湿程度分析</w:t>
      </w:r>
    </w:p>
    <w:p>
      <w:pPr>
        <w:pStyle w:val="BodyText"/>
        <w:ind w:right="197" w:firstLine="590"/>
        <w:spacing w:before="152" w:line="281" w:lineRule="auto"/>
        <w:rPr>
          <w:sz w:val="29"/>
          <w:szCs w:val="29"/>
        </w:rPr>
      </w:pPr>
      <w:r>
        <w:rPr>
          <w:rFonts w:ascii="Times New Roman" w:hAnsi="Times New Roman" w:eastAsia="Times New Roman" w:cs="Times New Roman"/>
          <w:sz w:val="29"/>
          <w:szCs w:val="29"/>
          <w:spacing w:val="3"/>
        </w:rPr>
        <w:t>4    </w:t>
      </w:r>
      <w:r>
        <w:rPr>
          <w:sz w:val="29"/>
          <w:szCs w:val="29"/>
          <w:spacing w:val="3"/>
        </w:rPr>
        <w:t>定植的树木要浇定根水，栽植后在支撑固定后</w:t>
      </w:r>
      <w:r>
        <w:rPr>
          <w:sz w:val="29"/>
          <w:szCs w:val="29"/>
          <w:spacing w:val="2"/>
        </w:rPr>
        <w:t>立即浇一次透水，一般情</w:t>
      </w:r>
      <w:r>
        <w:rPr>
          <w:sz w:val="29"/>
          <w:szCs w:val="29"/>
        </w:rPr>
        <w:t xml:space="preserve"> </w:t>
      </w:r>
      <w:r>
        <w:rPr>
          <w:sz w:val="29"/>
          <w:szCs w:val="29"/>
        </w:rPr>
        <w:t>况下2—3天后浇第二次水，3—5天后再浇第三次水，北方地区种植后定根水不少</w:t>
      </w:r>
      <w:r>
        <w:rPr>
          <w:sz w:val="29"/>
          <w:szCs w:val="29"/>
          <w:spacing w:val="14"/>
        </w:rPr>
        <w:t xml:space="preserve"> </w:t>
      </w:r>
      <w:r>
        <w:rPr>
          <w:sz w:val="29"/>
          <w:szCs w:val="29"/>
          <w:spacing w:val="-1"/>
        </w:rPr>
        <w:t>于三遍，以有墒无积水为准；</w:t>
      </w:r>
    </w:p>
    <w:p>
      <w:pPr>
        <w:pStyle w:val="BodyText"/>
        <w:ind w:right="329" w:firstLine="590"/>
        <w:spacing w:before="135" w:line="269" w:lineRule="auto"/>
        <w:rPr>
          <w:sz w:val="29"/>
          <w:szCs w:val="29"/>
        </w:rPr>
      </w:pPr>
      <w:r>
        <w:rPr>
          <w:rFonts w:ascii="Times New Roman" w:hAnsi="Times New Roman" w:eastAsia="Times New Roman" w:cs="Times New Roman"/>
          <w:sz w:val="29"/>
          <w:szCs w:val="29"/>
        </w:rPr>
        <w:t>5    </w:t>
      </w:r>
      <w:r>
        <w:rPr>
          <w:sz w:val="29"/>
          <w:szCs w:val="29"/>
        </w:rPr>
        <w:t>新植树木在连续3—5年内都需适时充足灌溉，土质保水较差或树根生长</w:t>
      </w:r>
      <w:r>
        <w:rPr>
          <w:sz w:val="29"/>
          <w:szCs w:val="29"/>
          <w:spacing w:val="17"/>
        </w:rPr>
        <w:t xml:space="preserve"> </w:t>
      </w:r>
      <w:r>
        <w:rPr>
          <w:sz w:val="29"/>
          <w:szCs w:val="29"/>
          <w:spacing w:val="-1"/>
        </w:rPr>
        <w:t>缓慢树种可适当延长灌水年限；</w:t>
      </w:r>
    </w:p>
    <w:p>
      <w:pPr>
        <w:pStyle w:val="BodyText"/>
        <w:ind w:left="590"/>
        <w:spacing w:before="156" w:line="184" w:lineRule="auto"/>
        <w:rPr>
          <w:sz w:val="29"/>
          <w:szCs w:val="29"/>
        </w:rPr>
      </w:pPr>
      <w:r>
        <w:rPr>
          <w:rFonts w:ascii="Times New Roman" w:hAnsi="Times New Roman" w:eastAsia="Times New Roman" w:cs="Times New Roman"/>
          <w:sz w:val="29"/>
          <w:szCs w:val="29"/>
          <w:spacing w:val="-3"/>
        </w:rPr>
        <w:t>6    </w:t>
      </w:r>
      <w:r>
        <w:rPr>
          <w:sz w:val="29"/>
          <w:szCs w:val="29"/>
          <w:spacing w:val="-3"/>
        </w:rPr>
        <w:t>北方地区在冬季树木大部分落叶、土壤封冻前灌足冻水，浇冻水后及时</w:t>
      </w:r>
    </w:p>
    <w:p>
      <w:pPr>
        <w:spacing w:line="184" w:lineRule="auto"/>
        <w:sectPr>
          <w:type w:val="continuous"/>
          <w:pgSz w:w="14490" w:h="20470"/>
          <w:pgMar w:top="1739" w:right="1976" w:bottom="1430" w:left="2150" w:header="0" w:footer="1235" w:gutter="0"/>
          <w:cols w:equalWidth="0" w:num="1">
            <w:col w:w="10364" w:space="0"/>
          </w:cols>
        </w:sectPr>
        <w:rPr>
          <w:sz w:val="29"/>
          <w:szCs w:val="29"/>
        </w:rPr>
      </w:pPr>
    </w:p>
    <w:p>
      <w:pPr>
        <w:pStyle w:val="BodyText"/>
        <w:spacing w:before="120" w:line="219" w:lineRule="auto"/>
        <w:rPr>
          <w:sz w:val="29"/>
          <w:szCs w:val="29"/>
        </w:rPr>
      </w:pPr>
      <w:r>
        <w:rPr>
          <w:sz w:val="29"/>
          <w:szCs w:val="29"/>
          <w:spacing w:val="3"/>
        </w:rPr>
        <w:t>封穴，在春季土壤化冻时灌足返青水。</w:t>
      </w:r>
    </w:p>
    <w:p>
      <w:pPr>
        <w:pStyle w:val="BodyText"/>
        <w:spacing w:before="155" w:line="222"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浇水时间</w:t>
      </w:r>
    </w:p>
    <w:p>
      <w:pPr>
        <w:pStyle w:val="BodyText"/>
        <w:ind w:left="600"/>
        <w:spacing w:before="143" w:line="219" w:lineRule="auto"/>
        <w:rPr>
          <w:sz w:val="29"/>
          <w:szCs w:val="29"/>
        </w:rPr>
      </w:pPr>
      <w:r>
        <w:rPr>
          <w:sz w:val="29"/>
          <w:szCs w:val="29"/>
        </w:rPr>
        <w:t>为更好的判断浇水时间，将全国各省的区域划分界定如下：</w:t>
      </w:r>
    </w:p>
    <w:p>
      <w:pPr>
        <w:pStyle w:val="BodyText"/>
        <w:ind w:left="600"/>
        <w:spacing w:before="155" w:line="219" w:lineRule="auto"/>
        <w:rPr>
          <w:sz w:val="29"/>
          <w:szCs w:val="29"/>
        </w:rPr>
      </w:pPr>
      <w:r>
        <w:rPr>
          <w:sz w:val="29"/>
          <w:szCs w:val="29"/>
          <w:spacing w:val="-1"/>
        </w:rPr>
        <w:t>东北区域：黑龙江、吉林、辽宁、内蒙东北部；</w:t>
      </w:r>
    </w:p>
    <w:p>
      <w:pPr>
        <w:pStyle w:val="BodyText"/>
        <w:ind w:left="600"/>
        <w:spacing w:before="136" w:line="219" w:lineRule="auto"/>
        <w:rPr>
          <w:sz w:val="29"/>
          <w:szCs w:val="29"/>
        </w:rPr>
      </w:pPr>
      <w:r>
        <w:rPr>
          <w:sz w:val="29"/>
          <w:szCs w:val="29"/>
        </w:rPr>
        <w:t>华北区域：北京、天津、山东、河北、山西、内蒙；</w:t>
      </w:r>
    </w:p>
    <w:p>
      <w:pPr>
        <w:pStyle w:val="BodyText"/>
        <w:ind w:left="600"/>
        <w:spacing w:before="154" w:line="219" w:lineRule="auto"/>
        <w:rPr>
          <w:sz w:val="29"/>
          <w:szCs w:val="29"/>
        </w:rPr>
      </w:pPr>
      <w:r>
        <w:rPr>
          <w:sz w:val="29"/>
          <w:szCs w:val="29"/>
        </w:rPr>
        <w:t>西北区域：陕西、甘肃、宁夏、新疆、青海；</w:t>
      </w:r>
    </w:p>
    <w:p>
      <w:pPr>
        <w:pStyle w:val="BodyText"/>
        <w:ind w:left="600"/>
        <w:spacing w:before="158" w:line="219" w:lineRule="auto"/>
        <w:rPr>
          <w:sz w:val="29"/>
          <w:szCs w:val="29"/>
        </w:rPr>
      </w:pPr>
      <w:r>
        <w:rPr>
          <w:sz w:val="29"/>
          <w:szCs w:val="29"/>
        </w:rPr>
        <w:t>华东区域：江苏、安徽、浙江、上海；</w:t>
      </w:r>
    </w:p>
    <w:p>
      <w:pPr>
        <w:pStyle w:val="BodyText"/>
        <w:ind w:left="600"/>
        <w:spacing w:before="147" w:line="220" w:lineRule="auto"/>
        <w:rPr>
          <w:sz w:val="29"/>
          <w:szCs w:val="29"/>
        </w:rPr>
      </w:pPr>
      <w:r>
        <w:rPr>
          <w:sz w:val="29"/>
          <w:szCs w:val="29"/>
        </w:rPr>
        <w:t>华中区域：湖南、湖北、江西、河南；</w:t>
      </w:r>
    </w:p>
    <w:p>
      <w:pPr>
        <w:pStyle w:val="BodyText"/>
        <w:ind w:left="600"/>
        <w:spacing w:before="151" w:line="219" w:lineRule="auto"/>
        <w:rPr>
          <w:sz w:val="29"/>
          <w:szCs w:val="29"/>
        </w:rPr>
      </w:pPr>
      <w:r>
        <w:rPr>
          <w:sz w:val="29"/>
          <w:szCs w:val="29"/>
          <w:spacing w:val="-1"/>
        </w:rPr>
        <w:t>西南区域：四川、重庆、贵州、云南、西藏东南</w:t>
      </w:r>
      <w:r>
        <w:rPr>
          <w:sz w:val="29"/>
          <w:szCs w:val="29"/>
          <w:spacing w:val="-2"/>
        </w:rPr>
        <w:t>部；</w:t>
      </w:r>
    </w:p>
    <w:p>
      <w:pPr>
        <w:pStyle w:val="BodyText"/>
        <w:ind w:left="600"/>
        <w:spacing w:before="158" w:line="219" w:lineRule="auto"/>
        <w:rPr>
          <w:sz w:val="29"/>
          <w:szCs w:val="29"/>
        </w:rPr>
      </w:pPr>
      <w:r>
        <w:rPr>
          <w:sz w:val="29"/>
          <w:szCs w:val="29"/>
          <w:spacing w:val="9"/>
        </w:rPr>
        <w:t>华南区域：广东、广西、福建、海南。1)乔木、大</w:t>
      </w:r>
    </w:p>
    <w:p>
      <w:pPr>
        <w:pStyle w:val="BodyText"/>
        <w:ind w:left="600"/>
        <w:spacing w:before="146" w:line="219" w:lineRule="auto"/>
        <w:rPr>
          <w:sz w:val="29"/>
          <w:szCs w:val="29"/>
        </w:rPr>
      </w:pPr>
      <w:r>
        <w:rPr>
          <w:sz w:val="29"/>
          <w:szCs w:val="29"/>
          <w:spacing w:val="-3"/>
        </w:rPr>
        <w:t>灌木浇水</w:t>
      </w:r>
    </w:p>
    <w:p>
      <w:pPr>
        <w:pStyle w:val="BodyText"/>
        <w:ind w:right="261" w:firstLine="740"/>
        <w:spacing w:before="127" w:line="292" w:lineRule="auto"/>
        <w:rPr>
          <w:sz w:val="29"/>
          <w:szCs w:val="29"/>
        </w:rPr>
      </w:pPr>
      <w:r>
        <w:rPr>
          <w:sz w:val="29"/>
          <w:szCs w:val="29"/>
          <w:spacing w:val="4"/>
        </w:rPr>
        <w:t>(1)12—2月：在西北、东北土壤封冻区域，不必浇水。华北、华中区域，</w:t>
      </w:r>
      <w:r>
        <w:rPr>
          <w:sz w:val="29"/>
          <w:szCs w:val="29"/>
          <w:spacing w:val="3"/>
        </w:rPr>
        <w:t xml:space="preserve"> </w:t>
      </w:r>
      <w:r>
        <w:rPr>
          <w:sz w:val="29"/>
          <w:szCs w:val="29"/>
          <w:spacing w:val="-1"/>
        </w:rPr>
        <w:t>土壤封冻地区，不必浇水，若设防寒棚的苗木需定期掀开棚布，检查水分情况，</w:t>
      </w:r>
      <w:r>
        <w:rPr>
          <w:sz w:val="29"/>
          <w:szCs w:val="29"/>
          <w:spacing w:val="18"/>
        </w:rPr>
        <w:t xml:space="preserve"> </w:t>
      </w:r>
      <w:r>
        <w:rPr>
          <w:sz w:val="29"/>
          <w:szCs w:val="29"/>
          <w:spacing w:val="-1"/>
        </w:rPr>
        <w:t>若有脱水情况，需适当补水；无冻土区域，常绿树种根据降雪融雪及天气情况，</w:t>
      </w:r>
      <w:r>
        <w:rPr>
          <w:sz w:val="29"/>
          <w:szCs w:val="29"/>
          <w:spacing w:val="18"/>
        </w:rPr>
        <w:t xml:space="preserve"> </w:t>
      </w:r>
      <w:r>
        <w:rPr>
          <w:sz w:val="29"/>
          <w:szCs w:val="29"/>
          <w:spacing w:val="-9"/>
        </w:rPr>
        <w:t>每月浇水1—2次；西南、华东、华南区域，冬季阴雨天</w:t>
      </w:r>
      <w:r>
        <w:rPr>
          <w:sz w:val="29"/>
          <w:szCs w:val="29"/>
          <w:spacing w:val="-10"/>
        </w:rPr>
        <w:t>气不必浇水，冬旱则需每月</w:t>
      </w:r>
      <w:r>
        <w:rPr>
          <w:sz w:val="29"/>
          <w:szCs w:val="29"/>
        </w:rPr>
        <w:t xml:space="preserve"> </w:t>
      </w:r>
      <w:r>
        <w:rPr>
          <w:sz w:val="29"/>
          <w:szCs w:val="29"/>
          <w:spacing w:val="-13"/>
        </w:rPr>
        <w:t>浇水约2—3次；</w:t>
      </w:r>
    </w:p>
    <w:p>
      <w:pPr>
        <w:pStyle w:val="BodyText"/>
        <w:ind w:right="264" w:firstLine="740"/>
        <w:spacing w:before="185" w:line="279" w:lineRule="auto"/>
        <w:rPr>
          <w:sz w:val="29"/>
          <w:szCs w:val="29"/>
        </w:rPr>
      </w:pPr>
      <w:r>
        <w:rPr>
          <w:sz w:val="29"/>
          <w:szCs w:val="29"/>
          <w:spacing w:val="8"/>
        </w:rPr>
        <w:t>(2)3—5月：华中、华北、西北、东北</w:t>
      </w:r>
      <w:r>
        <w:rPr>
          <w:sz w:val="29"/>
          <w:szCs w:val="29"/>
          <w:spacing w:val="7"/>
        </w:rPr>
        <w:t>地区，从南向北，根据土壤解冻情</w:t>
      </w:r>
      <w:r>
        <w:rPr>
          <w:sz w:val="29"/>
          <w:szCs w:val="29"/>
        </w:rPr>
        <w:t xml:space="preserve"> </w:t>
      </w:r>
      <w:r>
        <w:rPr>
          <w:sz w:val="29"/>
          <w:szCs w:val="29"/>
        </w:rPr>
        <w:t>况浇足返青水；上述地区春季、夏初干旱多风、蒸发量大、植物萌芽展叶需水量</w:t>
      </w:r>
      <w:r>
        <w:rPr>
          <w:sz w:val="29"/>
          <w:szCs w:val="29"/>
          <w:spacing w:val="10"/>
        </w:rPr>
        <w:t xml:space="preserve"> </w:t>
      </w:r>
      <w:r>
        <w:rPr>
          <w:sz w:val="29"/>
          <w:szCs w:val="29"/>
          <w:spacing w:val="2"/>
        </w:rPr>
        <w:t>大，为防止春旱，应及时浇水，每月浇水约3—4次，浇水在9:00—16:</w:t>
      </w:r>
      <w:r>
        <w:rPr>
          <w:sz w:val="29"/>
          <w:szCs w:val="29"/>
          <w:spacing w:val="1"/>
        </w:rPr>
        <w:t>00进行；</w:t>
      </w:r>
    </w:p>
    <w:p>
      <w:pPr>
        <w:pStyle w:val="BodyText"/>
        <w:spacing w:before="147" w:line="262" w:lineRule="auto"/>
        <w:rPr>
          <w:sz w:val="29"/>
          <w:szCs w:val="29"/>
        </w:rPr>
      </w:pPr>
      <w:r>
        <w:rPr>
          <w:sz w:val="29"/>
          <w:szCs w:val="29"/>
          <w:spacing w:val="-16"/>
        </w:rPr>
        <w:t>华南、华东、西南区区域，陆续进入岭南“连阴雨”、江淮“梅雨”及岭南“龙舟水”</w:t>
      </w:r>
      <w:r>
        <w:rPr>
          <w:sz w:val="29"/>
          <w:szCs w:val="29"/>
          <w:spacing w:val="13"/>
        </w:rPr>
        <w:t xml:space="preserve"> </w:t>
      </w:r>
      <w:r>
        <w:rPr>
          <w:sz w:val="29"/>
          <w:szCs w:val="29"/>
          <w:spacing w:val="-3"/>
        </w:rPr>
        <w:t>时节不必浇水，如发生春旱则需每月浇水约2—3次；</w:t>
      </w:r>
    </w:p>
    <w:p>
      <w:pPr>
        <w:pStyle w:val="BodyText"/>
        <w:ind w:right="311" w:firstLine="740"/>
        <w:spacing w:before="174" w:line="263" w:lineRule="auto"/>
        <w:rPr>
          <w:sz w:val="29"/>
          <w:szCs w:val="29"/>
        </w:rPr>
      </w:pPr>
      <w:r>
        <w:rPr>
          <w:sz w:val="29"/>
          <w:szCs w:val="29"/>
          <w:spacing w:val="7"/>
        </w:rPr>
        <w:t>(3)6—9月：全国普遍进入高温、多雨天气，不必浇水太勤，连续有效降</w:t>
      </w:r>
      <w:r>
        <w:rPr>
          <w:sz w:val="29"/>
          <w:szCs w:val="29"/>
        </w:rPr>
        <w:t xml:space="preserve"> </w:t>
      </w:r>
      <w:r>
        <w:rPr>
          <w:sz w:val="29"/>
          <w:szCs w:val="29"/>
          <w:spacing w:val="-1"/>
        </w:rPr>
        <w:t>雨后7天左右不必浇水，大树或名贵树木可通</w:t>
      </w:r>
      <w:r>
        <w:rPr>
          <w:sz w:val="29"/>
          <w:szCs w:val="29"/>
          <w:spacing w:val="-2"/>
        </w:rPr>
        <w:t>过喷雾方式保持树冠区域的湿度；</w:t>
      </w:r>
    </w:p>
    <w:p>
      <w:pPr>
        <w:pStyle w:val="BodyText"/>
        <w:spacing w:before="146" w:line="219" w:lineRule="auto"/>
        <w:rPr>
          <w:sz w:val="29"/>
          <w:szCs w:val="29"/>
        </w:rPr>
      </w:pPr>
      <w:r>
        <w:rPr>
          <w:sz w:val="29"/>
          <w:szCs w:val="29"/>
          <w:spacing w:val="-5"/>
        </w:rPr>
        <w:t>如遇持续半个月以上无有效降雨天气，每隔7天左右浇水约1次，浇水在10:00</w:t>
      </w:r>
    </w:p>
    <w:p>
      <w:pPr>
        <w:pStyle w:val="BodyText"/>
        <w:spacing w:before="146" w:line="220" w:lineRule="auto"/>
        <w:rPr>
          <w:sz w:val="29"/>
          <w:szCs w:val="29"/>
        </w:rPr>
      </w:pPr>
      <w:r>
        <w:rPr>
          <w:sz w:val="29"/>
          <w:szCs w:val="29"/>
          <w:spacing w:val="-10"/>
        </w:rPr>
        <w:t>前或16:00后进行；</w:t>
      </w:r>
    </w:p>
    <w:p>
      <w:pPr>
        <w:pStyle w:val="BodyText"/>
        <w:ind w:right="192" w:firstLine="740"/>
        <w:spacing w:before="163" w:line="311" w:lineRule="auto"/>
        <w:rPr>
          <w:sz w:val="29"/>
          <w:szCs w:val="29"/>
        </w:rPr>
      </w:pPr>
      <w:r>
        <w:rPr>
          <w:sz w:val="29"/>
          <w:szCs w:val="29"/>
          <w:spacing w:val="-6"/>
        </w:rPr>
        <w:t>(4)10—11月：东北、西北、华北、华中地区，从北向南，土壤陆续封冻，浇</w:t>
      </w:r>
      <w:r>
        <w:rPr>
          <w:sz w:val="29"/>
          <w:szCs w:val="29"/>
        </w:rPr>
        <w:t xml:space="preserve"> </w:t>
      </w:r>
      <w:r>
        <w:rPr>
          <w:sz w:val="29"/>
          <w:szCs w:val="29"/>
          <w:spacing w:val="-11"/>
        </w:rPr>
        <w:t>足封冻水后，乔木落叶休眠期不必浇水；无冻土地区，根据降雨、降雪情况，常绿</w:t>
      </w:r>
      <w:r>
        <w:rPr>
          <w:sz w:val="29"/>
          <w:szCs w:val="29"/>
          <w:spacing w:val="2"/>
        </w:rPr>
        <w:t xml:space="preserve">  </w:t>
      </w:r>
      <w:r>
        <w:rPr>
          <w:sz w:val="29"/>
          <w:szCs w:val="29"/>
          <w:spacing w:val="-9"/>
        </w:rPr>
        <w:t>树种每月浇水1—2次；华南、华东、西南地区，秋季多出</w:t>
      </w:r>
      <w:r>
        <w:rPr>
          <w:sz w:val="29"/>
          <w:szCs w:val="29"/>
          <w:spacing w:val="-10"/>
        </w:rPr>
        <w:t>现持续无雨干旱天气，需</w:t>
      </w:r>
      <w:r>
        <w:rPr>
          <w:sz w:val="29"/>
          <w:szCs w:val="29"/>
        </w:rPr>
        <w:t xml:space="preserve">  </w:t>
      </w:r>
      <w:r>
        <w:rPr>
          <w:sz w:val="29"/>
          <w:szCs w:val="29"/>
          <w:spacing w:val="-9"/>
        </w:rPr>
        <w:t>每月浇水约3—4次。</w:t>
      </w:r>
    </w:p>
    <w:p>
      <w:pPr>
        <w:pStyle w:val="BodyText"/>
        <w:ind w:left="600"/>
        <w:spacing w:before="7" w:line="219" w:lineRule="auto"/>
        <w:rPr>
          <w:sz w:val="29"/>
          <w:szCs w:val="29"/>
        </w:rPr>
      </w:pPr>
      <w:r>
        <w:rPr>
          <w:sz w:val="29"/>
          <w:szCs w:val="29"/>
          <w:spacing w:val="27"/>
        </w:rPr>
        <w:t>2)灌木浇水</w:t>
      </w:r>
    </w:p>
    <w:p>
      <w:pPr>
        <w:pStyle w:val="BodyText"/>
        <w:ind w:right="260" w:firstLine="740"/>
        <w:spacing w:before="156" w:line="281" w:lineRule="auto"/>
        <w:rPr>
          <w:sz w:val="29"/>
          <w:szCs w:val="29"/>
        </w:rPr>
      </w:pPr>
      <w:r>
        <w:rPr>
          <w:sz w:val="29"/>
          <w:szCs w:val="29"/>
          <w:spacing w:val="4"/>
        </w:rPr>
        <w:t>(1)12—2月：北方土壤封冻及南方冬季阴雨天气地区，不必浇水，若设防 </w:t>
      </w:r>
      <w:r>
        <w:rPr>
          <w:sz w:val="29"/>
          <w:szCs w:val="29"/>
        </w:rPr>
        <w:t>寒棚的苗木需定期掀开棚布，检查水分情况，若有脱水情况，需适当补水；长江</w:t>
      </w:r>
      <w:r>
        <w:rPr>
          <w:sz w:val="29"/>
          <w:szCs w:val="29"/>
          <w:spacing w:val="10"/>
        </w:rPr>
        <w:t xml:space="preserve"> </w:t>
      </w:r>
      <w:r>
        <w:rPr>
          <w:sz w:val="29"/>
          <w:szCs w:val="29"/>
          <w:spacing w:val="-5"/>
        </w:rPr>
        <w:t>以南地区，冬旱则需每月浇水约2—3次；</w:t>
      </w:r>
    </w:p>
    <w:p>
      <w:pPr>
        <w:pStyle w:val="BodyText"/>
        <w:ind w:left="740"/>
        <w:spacing w:before="154" w:line="219" w:lineRule="auto"/>
        <w:rPr>
          <w:sz w:val="29"/>
          <w:szCs w:val="29"/>
        </w:rPr>
      </w:pPr>
      <w:r>
        <w:rPr>
          <w:sz w:val="29"/>
          <w:szCs w:val="29"/>
          <w:spacing w:val="7"/>
        </w:rPr>
        <w:t>(2)3—5月：北方地区根据土壤解冻情</w:t>
      </w:r>
      <w:r>
        <w:rPr>
          <w:sz w:val="29"/>
          <w:szCs w:val="29"/>
          <w:spacing w:val="6"/>
        </w:rPr>
        <w:t>况浇足返青水；为防止春旱，每月</w:t>
      </w:r>
    </w:p>
    <w:p>
      <w:pPr>
        <w:spacing w:line="219" w:lineRule="auto"/>
        <w:sectPr>
          <w:footerReference w:type="default" r:id="rId11"/>
          <w:pgSz w:w="14490" w:h="20470"/>
          <w:pgMar w:top="1739" w:right="1923" w:bottom="1458" w:left="2140" w:header="0" w:footer="1213" w:gutter="0"/>
        </w:sectPr>
        <w:rPr>
          <w:sz w:val="29"/>
          <w:szCs w:val="29"/>
        </w:rPr>
      </w:pPr>
    </w:p>
    <w:p>
      <w:pPr>
        <w:pStyle w:val="BodyText"/>
        <w:ind w:right="451"/>
        <w:spacing w:before="122" w:line="315" w:lineRule="auto"/>
        <w:rPr>
          <w:sz w:val="29"/>
          <w:szCs w:val="29"/>
        </w:rPr>
      </w:pPr>
      <w:r>
        <w:rPr>
          <w:sz w:val="29"/>
          <w:szCs w:val="29"/>
        </w:rPr>
        <w:t>浇水5—6次，浇水在9:00—16:00进行；长江以</w:t>
      </w:r>
      <w:r>
        <w:rPr>
          <w:sz w:val="29"/>
          <w:szCs w:val="29"/>
          <w:spacing w:val="-1"/>
        </w:rPr>
        <w:t>南地区，持续有效降雨时节，不</w:t>
      </w:r>
      <w:r>
        <w:rPr>
          <w:sz w:val="29"/>
          <w:szCs w:val="29"/>
        </w:rPr>
        <w:t xml:space="preserve"> </w:t>
      </w:r>
      <w:r>
        <w:rPr>
          <w:sz w:val="29"/>
          <w:szCs w:val="29"/>
        </w:rPr>
        <w:t>必浇水，如发生春旱则需每月浇水约4—5次；</w:t>
      </w:r>
    </w:p>
    <w:p>
      <w:pPr>
        <w:pStyle w:val="BodyText"/>
        <w:ind w:right="281" w:firstLine="730"/>
        <w:spacing w:before="2" w:line="268" w:lineRule="auto"/>
        <w:rPr>
          <w:sz w:val="29"/>
          <w:szCs w:val="29"/>
        </w:rPr>
      </w:pPr>
      <w:r>
        <w:rPr>
          <w:sz w:val="29"/>
          <w:szCs w:val="29"/>
          <w:spacing w:val="4"/>
        </w:rPr>
        <w:t>(3)6—9月：连续有效降雨前后7天左右不必浇水；如遇持续半个月以上无</w:t>
      </w:r>
      <w:r>
        <w:rPr>
          <w:sz w:val="29"/>
          <w:szCs w:val="29"/>
          <w:spacing w:val="11"/>
        </w:rPr>
        <w:t xml:space="preserve"> </w:t>
      </w:r>
      <w:r>
        <w:rPr>
          <w:sz w:val="29"/>
          <w:szCs w:val="29"/>
          <w:spacing w:val="-10"/>
        </w:rPr>
        <w:t>有效降雨天气，每隔3—5天左右浇水约1次，浇水在10:00以前或1</w:t>
      </w:r>
      <w:r>
        <w:rPr>
          <w:sz w:val="29"/>
          <w:szCs w:val="29"/>
          <w:spacing w:val="-11"/>
        </w:rPr>
        <w:t>6:00以后进行；</w:t>
      </w:r>
    </w:p>
    <w:p>
      <w:pPr>
        <w:pStyle w:val="BodyText"/>
        <w:ind w:right="383" w:firstLine="730"/>
        <w:spacing w:before="135" w:line="265" w:lineRule="auto"/>
        <w:rPr>
          <w:sz w:val="29"/>
          <w:szCs w:val="29"/>
        </w:rPr>
      </w:pPr>
      <w:r>
        <w:rPr>
          <w:sz w:val="29"/>
          <w:szCs w:val="29"/>
          <w:spacing w:val="6"/>
        </w:rPr>
        <w:t>(4)10—11月：北方有冻土地区，浇足</w:t>
      </w:r>
      <w:r>
        <w:rPr>
          <w:sz w:val="29"/>
          <w:szCs w:val="29"/>
          <w:spacing w:val="5"/>
        </w:rPr>
        <w:t>封冻水后，休眠期不必浇水；长江</w:t>
      </w:r>
      <w:r>
        <w:rPr>
          <w:sz w:val="29"/>
          <w:szCs w:val="29"/>
        </w:rPr>
        <w:t xml:space="preserve"> </w:t>
      </w:r>
      <w:r>
        <w:rPr>
          <w:sz w:val="29"/>
          <w:szCs w:val="29"/>
          <w:spacing w:val="-3"/>
        </w:rPr>
        <w:t>以南地区，秋季干旱天气，需每月浇水约5—6</w:t>
      </w:r>
      <w:r>
        <w:rPr>
          <w:sz w:val="29"/>
          <w:szCs w:val="29"/>
          <w:spacing w:val="-4"/>
        </w:rPr>
        <w:t>次。</w:t>
      </w:r>
    </w:p>
    <w:p>
      <w:pPr>
        <w:pStyle w:val="BodyText"/>
        <w:ind w:left="590"/>
        <w:spacing w:before="158" w:line="220" w:lineRule="auto"/>
        <w:rPr>
          <w:sz w:val="29"/>
          <w:szCs w:val="29"/>
        </w:rPr>
      </w:pPr>
      <w:r>
        <w:rPr>
          <w:sz w:val="29"/>
          <w:szCs w:val="29"/>
          <w:spacing w:val="27"/>
        </w:rPr>
        <w:t>3)喷雾保湿</w:t>
      </w:r>
    </w:p>
    <w:p>
      <w:pPr>
        <w:pStyle w:val="BodyText"/>
        <w:ind w:right="472" w:firstLine="590"/>
        <w:spacing w:before="143" w:line="273" w:lineRule="auto"/>
        <w:rPr>
          <w:sz w:val="29"/>
          <w:szCs w:val="29"/>
        </w:rPr>
      </w:pPr>
      <w:r>
        <w:rPr>
          <w:sz w:val="29"/>
          <w:szCs w:val="29"/>
          <w:spacing w:val="3"/>
        </w:rPr>
        <w:t>新植大树或贵重苗木可安装固定喷雾装置或使用水车等大型器械喷洒雾状</w:t>
      </w:r>
      <w:r>
        <w:rPr>
          <w:sz w:val="29"/>
          <w:szCs w:val="29"/>
          <w:spacing w:val="5"/>
        </w:rPr>
        <w:t xml:space="preserve"> </w:t>
      </w:r>
      <w:r>
        <w:rPr>
          <w:sz w:val="29"/>
          <w:szCs w:val="29"/>
          <w:spacing w:val="1"/>
        </w:rPr>
        <w:t>水珠，白天气温高于25℃时，可对视天气情况进行喷</w:t>
      </w:r>
      <w:r>
        <w:rPr>
          <w:sz w:val="29"/>
          <w:szCs w:val="29"/>
        </w:rPr>
        <w:t>雾保湿。</w:t>
      </w:r>
    </w:p>
    <w:p>
      <w:pPr>
        <w:ind w:firstLine="730"/>
        <w:spacing w:line="5950" w:lineRule="exact"/>
        <w:rPr/>
      </w:pPr>
      <w:r>
        <w:rPr>
          <w:position w:val="-119"/>
        </w:rPr>
        <w:drawing>
          <wp:inline distT="0" distB="0" distL="0" distR="0">
            <wp:extent cx="5524462" cy="3778259"/>
            <wp:effectExtent l="0" t="0" r="0" b="0"/>
            <wp:docPr id="8" name="IM 8"/>
            <wp:cNvGraphicFramePr/>
            <a:graphic>
              <a:graphicData uri="http://schemas.openxmlformats.org/drawingml/2006/picture">
                <pic:pic>
                  <pic:nvPicPr>
                    <pic:cNvPr id="8" name="IM 8"/>
                    <pic:cNvPicPr/>
                  </pic:nvPicPr>
                  <pic:blipFill>
                    <a:blip r:embed="rId13"/>
                    <a:stretch>
                      <a:fillRect/>
                    </a:stretch>
                  </pic:blipFill>
                  <pic:spPr>
                    <a:xfrm rot="0">
                      <a:off x="0" y="0"/>
                      <a:ext cx="5524462" cy="3778259"/>
                    </a:xfrm>
                    <a:prstGeom prst="rect">
                      <a:avLst/>
                    </a:prstGeom>
                  </pic:spPr>
                </pic:pic>
              </a:graphicData>
            </a:graphic>
          </wp:inline>
        </w:drawing>
      </w:r>
    </w:p>
    <w:p>
      <w:pPr>
        <w:pStyle w:val="BodyText"/>
        <w:ind w:left="4189"/>
        <w:spacing w:before="260" w:line="219" w:lineRule="auto"/>
        <w:rPr>
          <w:sz w:val="24"/>
          <w:szCs w:val="24"/>
        </w:rPr>
      </w:pPr>
      <w:r>
        <w:rPr>
          <w:sz w:val="24"/>
          <w:szCs w:val="24"/>
          <w:spacing w:val="4"/>
        </w:rPr>
        <w:t>图2-1-2洒水车喷水雾</w:t>
      </w:r>
    </w:p>
    <w:p>
      <w:pPr>
        <w:pStyle w:val="BodyText"/>
        <w:ind w:right="527" w:firstLine="730"/>
        <w:spacing w:before="166" w:line="259" w:lineRule="auto"/>
        <w:rPr>
          <w:sz w:val="29"/>
          <w:szCs w:val="29"/>
        </w:rPr>
      </w:pPr>
      <w:r>
        <w:rPr>
          <w:sz w:val="29"/>
          <w:szCs w:val="29"/>
          <w:spacing w:val="10"/>
        </w:rPr>
        <w:t>(1)乔木、灌木在种植后3个月内，气温高于15℃以</w:t>
      </w:r>
      <w:r>
        <w:rPr>
          <w:sz w:val="29"/>
          <w:szCs w:val="29"/>
          <w:spacing w:val="9"/>
        </w:rPr>
        <w:t>上，空气湿度在50%</w:t>
      </w:r>
      <w:r>
        <w:rPr>
          <w:sz w:val="29"/>
          <w:szCs w:val="29"/>
        </w:rPr>
        <w:t xml:space="preserve"> </w:t>
      </w:r>
      <w:r>
        <w:rPr>
          <w:sz w:val="29"/>
          <w:szCs w:val="29"/>
          <w:spacing w:val="-1"/>
        </w:rPr>
        <w:t>以下时，需每天向树干及叶片喷雾保湿；</w:t>
      </w:r>
    </w:p>
    <w:p>
      <w:pPr>
        <w:pStyle w:val="BodyText"/>
        <w:ind w:firstLine="730"/>
        <w:spacing w:before="143" w:line="271" w:lineRule="auto"/>
        <w:rPr>
          <w:sz w:val="29"/>
          <w:szCs w:val="29"/>
        </w:rPr>
      </w:pPr>
      <w:r>
        <w:rPr>
          <w:sz w:val="29"/>
          <w:szCs w:val="29"/>
          <w:spacing w:val="3"/>
        </w:rPr>
        <w:t>(2)喷雾保湿每天2次，须避开中午高温时间，在8:00—11:00,15:00—18:00</w:t>
      </w:r>
      <w:r>
        <w:rPr>
          <w:sz w:val="29"/>
          <w:szCs w:val="29"/>
          <w:spacing w:val="8"/>
        </w:rPr>
        <w:t xml:space="preserve"> </w:t>
      </w:r>
      <w:r>
        <w:rPr>
          <w:sz w:val="29"/>
          <w:szCs w:val="29"/>
          <w:spacing w:val="-14"/>
        </w:rPr>
        <w:t>期间进行；</w:t>
      </w:r>
    </w:p>
    <w:p>
      <w:pPr>
        <w:pStyle w:val="BodyText"/>
        <w:ind w:left="730"/>
        <w:spacing w:before="154" w:line="219" w:lineRule="auto"/>
        <w:rPr>
          <w:sz w:val="29"/>
          <w:szCs w:val="29"/>
        </w:rPr>
      </w:pPr>
      <w:r>
        <w:rPr>
          <w:sz w:val="29"/>
          <w:szCs w:val="29"/>
          <w:spacing w:val="6"/>
        </w:rPr>
        <w:t>(3)喷雾保湿，切忌水珠过大，雾化效果不好，切忌出现地面积水。</w:t>
      </w:r>
    </w:p>
    <w:p>
      <w:pPr>
        <w:pStyle w:val="BodyText"/>
        <w:spacing w:before="102" w:line="395" w:lineRule="exact"/>
        <w:rPr>
          <w:rFonts w:ascii="SimHei" w:hAnsi="SimHei" w:eastAsia="SimHei" w:cs="SimHei"/>
          <w:sz w:val="29"/>
          <w:szCs w:val="29"/>
        </w:rPr>
      </w:pPr>
      <w:r>
        <w:rPr>
          <w:rFonts w:ascii="Arial" w:hAnsi="Arial" w:eastAsia="Arial" w:cs="Arial"/>
          <w:sz w:val="29"/>
          <w:szCs w:val="29"/>
          <w:spacing w:val="2"/>
          <w:position w:val="1"/>
        </w:rPr>
        <w:t>3</w:t>
      </w:r>
      <w:r>
        <w:rPr>
          <w:sz w:val="29"/>
          <w:szCs w:val="29"/>
          <w:spacing w:val="2"/>
          <w:position w:val="1"/>
        </w:rPr>
        <w:t>、</w:t>
      </w:r>
      <w:r>
        <w:rPr>
          <w:rFonts w:ascii="SimHei" w:hAnsi="SimHei" w:eastAsia="SimHei" w:cs="SimHei"/>
          <w:sz w:val="29"/>
          <w:szCs w:val="29"/>
          <w:spacing w:val="2"/>
          <w:position w:val="1"/>
        </w:rPr>
        <w:t>注意事项</w:t>
      </w:r>
    </w:p>
    <w:p>
      <w:pPr>
        <w:pStyle w:val="BodyText"/>
        <w:ind w:right="278" w:firstLine="730"/>
        <w:spacing w:before="167" w:line="275" w:lineRule="auto"/>
        <w:rPr>
          <w:sz w:val="29"/>
          <w:szCs w:val="29"/>
        </w:rPr>
      </w:pPr>
      <w:r>
        <w:rPr>
          <w:sz w:val="29"/>
          <w:szCs w:val="29"/>
          <w:spacing w:val="9"/>
        </w:rPr>
        <w:t>(1)用水车浇灌树木时，应接软管，进行缓流浇灌或洒成散雾状，保证一</w:t>
      </w:r>
      <w:r>
        <w:rPr>
          <w:sz w:val="29"/>
          <w:szCs w:val="29"/>
          <w:spacing w:val="3"/>
        </w:rPr>
        <w:t xml:space="preserve"> </w:t>
      </w:r>
      <w:r>
        <w:rPr>
          <w:sz w:val="29"/>
          <w:szCs w:val="29"/>
          <w:spacing w:val="-8"/>
        </w:rPr>
        <w:t>次浇足浇透，严禁用高压水流冲刷；使用喷灌设施和移动</w:t>
      </w:r>
      <w:r>
        <w:rPr>
          <w:sz w:val="29"/>
          <w:szCs w:val="29"/>
          <w:spacing w:val="-9"/>
        </w:rPr>
        <w:t>喷灌时应开关定时，专人</w:t>
      </w:r>
      <w:r>
        <w:rPr>
          <w:sz w:val="29"/>
          <w:szCs w:val="29"/>
        </w:rPr>
        <w:t xml:space="preserve"> </w:t>
      </w:r>
      <w:r>
        <w:rPr>
          <w:sz w:val="29"/>
          <w:szCs w:val="29"/>
          <w:spacing w:val="-6"/>
        </w:rPr>
        <w:t>看管，以地面达到径流为准；</w:t>
      </w:r>
    </w:p>
    <w:p>
      <w:pPr>
        <w:pStyle w:val="BodyText"/>
        <w:ind w:left="730"/>
        <w:spacing w:before="176" w:line="219" w:lineRule="auto"/>
        <w:rPr>
          <w:sz w:val="29"/>
          <w:szCs w:val="29"/>
        </w:rPr>
      </w:pPr>
      <w:r>
        <w:rPr>
          <w:sz w:val="29"/>
          <w:szCs w:val="29"/>
          <w:spacing w:val="-2"/>
        </w:rPr>
        <w:t>(2)</w:t>
      </w:r>
      <w:r>
        <w:rPr>
          <w:sz w:val="29"/>
          <w:szCs w:val="29"/>
          <w:spacing w:val="115"/>
        </w:rPr>
        <w:t xml:space="preserve"> </w:t>
      </w:r>
      <w:r>
        <w:rPr>
          <w:sz w:val="29"/>
          <w:szCs w:val="29"/>
          <w:spacing w:val="-2"/>
        </w:rPr>
        <w:t>使用再生水浇灌绿地时，水质必须符合园林植物灌溉水质要求；</w:t>
      </w:r>
    </w:p>
    <w:p>
      <w:pPr>
        <w:pStyle w:val="BodyText"/>
        <w:ind w:left="730"/>
        <w:spacing w:before="125" w:line="219" w:lineRule="auto"/>
        <w:rPr>
          <w:sz w:val="29"/>
          <w:szCs w:val="29"/>
        </w:rPr>
      </w:pPr>
      <w:r>
        <w:rPr>
          <w:sz w:val="29"/>
          <w:szCs w:val="29"/>
          <w:spacing w:val="-2"/>
        </w:rPr>
        <w:t>(3)</w:t>
      </w:r>
      <w:r>
        <w:rPr>
          <w:sz w:val="29"/>
          <w:szCs w:val="29"/>
          <w:spacing w:val="90"/>
        </w:rPr>
        <w:t xml:space="preserve"> </w:t>
      </w:r>
      <w:r>
        <w:rPr>
          <w:sz w:val="29"/>
          <w:szCs w:val="29"/>
          <w:spacing w:val="-2"/>
        </w:rPr>
        <w:t>浇灌时，水管不能从灌木上拖拉及搁放，以免损坏灌木；</w:t>
      </w:r>
    </w:p>
    <w:p>
      <w:pPr>
        <w:spacing w:line="219" w:lineRule="auto"/>
        <w:sectPr>
          <w:footerReference w:type="default" r:id="rId12"/>
          <w:pgSz w:w="14490" w:h="20470"/>
          <w:pgMar w:top="1739" w:right="1895" w:bottom="1395" w:left="2150" w:header="0" w:footer="1233" w:gutter="0"/>
        </w:sectPr>
        <w:rPr>
          <w:sz w:val="29"/>
          <w:szCs w:val="29"/>
        </w:rPr>
      </w:pPr>
    </w:p>
    <w:p>
      <w:pPr>
        <w:pStyle w:val="BodyText"/>
        <w:ind w:right="143" w:firstLine="730"/>
        <w:spacing w:before="122" w:line="268" w:lineRule="auto"/>
        <w:rPr>
          <w:sz w:val="29"/>
          <w:szCs w:val="29"/>
        </w:rPr>
      </w:pPr>
      <w:bookmarkStart w:name="bookmark82" w:id="8"/>
      <w:bookmarkEnd w:id="8"/>
      <w:r>
        <w:rPr>
          <w:sz w:val="29"/>
          <w:szCs w:val="29"/>
          <w:spacing w:val="6"/>
        </w:rPr>
        <w:t>(4)浇水后无遗漏，无大面积积水，树木周围有积水应予排除，对于低洼</w:t>
      </w:r>
      <w:r>
        <w:rPr>
          <w:sz w:val="29"/>
          <w:szCs w:val="29"/>
          <w:spacing w:val="18"/>
        </w:rPr>
        <w:t xml:space="preserve"> </w:t>
      </w:r>
      <w:r>
        <w:rPr>
          <w:sz w:val="29"/>
          <w:szCs w:val="29"/>
          <w:spacing w:val="4"/>
        </w:rPr>
        <w:t>地可采取用</w:t>
      </w:r>
      <w:r>
        <w:rPr>
          <w:rFonts w:ascii="Times New Roman" w:hAnsi="Times New Roman" w:eastAsia="Times New Roman" w:cs="Times New Roman"/>
          <w:sz w:val="29"/>
          <w:szCs w:val="29"/>
        </w:rPr>
        <w:t>PVC</w:t>
      </w:r>
      <w:r>
        <w:rPr>
          <w:sz w:val="29"/>
          <w:szCs w:val="29"/>
          <w:spacing w:val="4"/>
        </w:rPr>
        <w:t>管打透气孔的方式排水；</w:t>
      </w:r>
    </w:p>
    <w:p>
      <w:pPr>
        <w:pStyle w:val="BodyText"/>
        <w:ind w:right="142" w:firstLine="730"/>
        <w:spacing w:before="146" w:line="269" w:lineRule="auto"/>
        <w:rPr>
          <w:sz w:val="29"/>
          <w:szCs w:val="29"/>
        </w:rPr>
      </w:pPr>
      <w:r>
        <w:rPr>
          <w:sz w:val="29"/>
          <w:szCs w:val="29"/>
          <w:spacing w:val="7"/>
        </w:rPr>
        <w:t>(5)使用喷灌时注意周围植物是否喜水，</w:t>
      </w:r>
      <w:r>
        <w:rPr>
          <w:sz w:val="29"/>
          <w:szCs w:val="29"/>
          <w:spacing w:val="6"/>
        </w:rPr>
        <w:t>若周围有需要控水的植物，停止</w:t>
      </w:r>
      <w:r>
        <w:rPr>
          <w:sz w:val="29"/>
          <w:szCs w:val="29"/>
        </w:rPr>
        <w:t xml:space="preserve"> </w:t>
      </w:r>
      <w:r>
        <w:rPr>
          <w:sz w:val="29"/>
          <w:szCs w:val="29"/>
          <w:spacing w:val="-3"/>
        </w:rPr>
        <w:t>喷灌改用水管定点浇水；</w:t>
      </w:r>
    </w:p>
    <w:p>
      <w:pPr>
        <w:pStyle w:val="BodyText"/>
        <w:ind w:right="70" w:firstLine="730"/>
        <w:spacing w:before="138" w:line="288" w:lineRule="auto"/>
        <w:rPr>
          <w:sz w:val="29"/>
          <w:szCs w:val="29"/>
        </w:rPr>
      </w:pPr>
      <w:r>
        <w:rPr>
          <w:sz w:val="29"/>
          <w:szCs w:val="29"/>
          <w:spacing w:val="9"/>
        </w:rPr>
        <w:t>(6)为使水分充分到达根部浇水时可做浇水盘或打</w:t>
      </w:r>
      <w:r>
        <w:rPr>
          <w:sz w:val="29"/>
          <w:szCs w:val="29"/>
          <w:spacing w:val="8"/>
        </w:rPr>
        <w:t>钢钎孔，必要时可对浇</w:t>
      </w:r>
      <w:r>
        <w:rPr>
          <w:sz w:val="29"/>
          <w:szCs w:val="29"/>
        </w:rPr>
        <w:t xml:space="preserve"> </w:t>
      </w:r>
      <w:r>
        <w:rPr>
          <w:sz w:val="29"/>
          <w:szCs w:val="29"/>
          <w:spacing w:val="-8"/>
        </w:rPr>
        <w:t>水盘用陶粒、树皮等进行修饰，对景观有特殊要求的可不做浇水盘。浇水盘高度不</w:t>
      </w:r>
      <w:r>
        <w:rPr>
          <w:sz w:val="29"/>
          <w:szCs w:val="29"/>
          <w:spacing w:val="2"/>
        </w:rPr>
        <w:t xml:space="preserve"> </w:t>
      </w:r>
      <w:r>
        <w:rPr>
          <w:sz w:val="29"/>
          <w:szCs w:val="29"/>
          <w:spacing w:val="7"/>
        </w:rPr>
        <w:t>低于10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7"/>
        </w:rPr>
        <w:t>,</w:t>
      </w:r>
      <w:r>
        <w:rPr>
          <w:rFonts w:ascii="Times New Roman" w:hAnsi="Times New Roman" w:eastAsia="Times New Roman" w:cs="Times New Roman"/>
          <w:sz w:val="29"/>
          <w:szCs w:val="29"/>
          <w:spacing w:val="31"/>
        </w:rPr>
        <w:t xml:space="preserve">  </w:t>
      </w:r>
      <w:r>
        <w:rPr>
          <w:sz w:val="29"/>
          <w:szCs w:val="29"/>
          <w:spacing w:val="7"/>
        </w:rPr>
        <w:t>有铺装地块的浇水盘直径以预留池为准，无铺装地块的，浇水盘直</w:t>
      </w:r>
      <w:r>
        <w:rPr>
          <w:sz w:val="29"/>
          <w:szCs w:val="29"/>
        </w:rPr>
        <w:t xml:space="preserve"> </w:t>
      </w:r>
      <w:r>
        <w:rPr>
          <w:sz w:val="29"/>
          <w:szCs w:val="29"/>
          <w:spacing w:val="-1"/>
        </w:rPr>
        <w:t>径以树干胸径10倍左右为准，并保证不跑水、不漏水。</w:t>
      </w:r>
    </w:p>
    <w:p>
      <w:pPr>
        <w:spacing w:before="235" w:line="221" w:lineRule="auto"/>
        <w:outlineLvl w:val="1"/>
        <w:rPr>
          <w:rFonts w:ascii="SimHei" w:hAnsi="SimHei" w:eastAsia="SimHei" w:cs="SimHei"/>
          <w:sz w:val="30"/>
          <w:szCs w:val="30"/>
        </w:rPr>
      </w:pPr>
      <w:bookmarkStart w:name="bookmark5" w:id="9"/>
      <w:bookmarkEnd w:id="9"/>
      <w:r>
        <w:rPr>
          <w:rFonts w:ascii="SimHei" w:hAnsi="SimHei" w:eastAsia="SimHei" w:cs="SimHei"/>
          <w:sz w:val="30"/>
          <w:szCs w:val="30"/>
          <w:spacing w:val="-4"/>
        </w:rPr>
        <w:t>二、修剪</w:t>
      </w:r>
    </w:p>
    <w:p>
      <w:pPr>
        <w:pStyle w:val="BodyText"/>
        <w:spacing w:before="150" w:line="221"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修剪要求</w:t>
      </w:r>
    </w:p>
    <w:p>
      <w:pPr>
        <w:pStyle w:val="BodyText"/>
        <w:ind w:right="143" w:firstLine="620"/>
        <w:spacing w:before="136" w:line="259" w:lineRule="auto"/>
        <w:rPr>
          <w:sz w:val="29"/>
          <w:szCs w:val="29"/>
        </w:rPr>
      </w:pPr>
      <w:r>
        <w:rPr>
          <w:sz w:val="29"/>
          <w:szCs w:val="29"/>
          <w:spacing w:val="5"/>
        </w:rPr>
        <w:t>1)安全操作：保证修剪工具和器械灵活不松动、安全可靠，修剪工作区域</w:t>
      </w:r>
      <w:r>
        <w:rPr>
          <w:sz w:val="29"/>
          <w:szCs w:val="29"/>
          <w:spacing w:val="16"/>
        </w:rPr>
        <w:t xml:space="preserve"> </w:t>
      </w:r>
      <w:r>
        <w:rPr>
          <w:sz w:val="29"/>
          <w:szCs w:val="29"/>
          <w:spacing w:val="-2"/>
        </w:rPr>
        <w:t>有警示牌与防护措施，操作人员遵守劳动纪律；</w:t>
      </w:r>
    </w:p>
    <w:p>
      <w:pPr>
        <w:pStyle w:val="BodyText"/>
        <w:ind w:left="570"/>
        <w:spacing w:before="156" w:line="219" w:lineRule="auto"/>
        <w:rPr>
          <w:sz w:val="29"/>
          <w:szCs w:val="29"/>
        </w:rPr>
      </w:pPr>
      <w:r>
        <w:rPr>
          <w:sz w:val="29"/>
          <w:szCs w:val="29"/>
          <w:spacing w:val="6"/>
        </w:rPr>
        <w:t>2)应遵循“先内后外、去弱留强、去老留新”原则，保持树冠丰满；</w:t>
      </w:r>
    </w:p>
    <w:p>
      <w:pPr>
        <w:pStyle w:val="BodyText"/>
        <w:ind w:right="143" w:firstLine="570"/>
        <w:spacing w:before="164" w:line="266" w:lineRule="auto"/>
        <w:rPr>
          <w:sz w:val="29"/>
          <w:szCs w:val="29"/>
        </w:rPr>
      </w:pPr>
      <w:r>
        <w:rPr>
          <w:sz w:val="29"/>
          <w:szCs w:val="29"/>
          <w:spacing w:val="7"/>
        </w:rPr>
        <w:t>3)做到因地制宜，因树修剪，除特殊要求外以保持苗木原本固有形态或规</w:t>
      </w:r>
      <w:r>
        <w:rPr>
          <w:sz w:val="29"/>
          <w:szCs w:val="29"/>
        </w:rPr>
        <w:t xml:space="preserve"> </w:t>
      </w:r>
      <w:r>
        <w:rPr>
          <w:sz w:val="29"/>
          <w:szCs w:val="29"/>
          <w:spacing w:val="-5"/>
        </w:rPr>
        <w:t>定造型进行修剪；</w:t>
      </w:r>
    </w:p>
    <w:p>
      <w:pPr>
        <w:pStyle w:val="BodyText"/>
        <w:ind w:right="144" w:firstLine="570"/>
        <w:spacing w:before="187" w:line="278" w:lineRule="auto"/>
        <w:rPr>
          <w:sz w:val="29"/>
          <w:szCs w:val="29"/>
        </w:rPr>
      </w:pPr>
      <w:r>
        <w:rPr>
          <w:sz w:val="29"/>
          <w:szCs w:val="29"/>
          <w:spacing w:val="7"/>
        </w:rPr>
        <w:t>4)内膛小枝应适量疏剪，强壮枝应适当短截，下垂细弱枝及地表萌生的地</w:t>
      </w:r>
      <w:r>
        <w:rPr>
          <w:sz w:val="29"/>
          <w:szCs w:val="29"/>
        </w:rPr>
        <w:t xml:space="preserve"> </w:t>
      </w:r>
      <w:r>
        <w:rPr>
          <w:sz w:val="29"/>
          <w:szCs w:val="29"/>
        </w:rPr>
        <w:t>蘖应彻底疏除，生长于树冠外的徒长枝应及时疏除；</w:t>
      </w:r>
    </w:p>
    <w:p>
      <w:pPr>
        <w:pStyle w:val="BodyText"/>
        <w:ind w:left="570"/>
        <w:spacing w:before="216" w:line="219" w:lineRule="auto"/>
        <w:rPr>
          <w:sz w:val="29"/>
          <w:szCs w:val="29"/>
        </w:rPr>
      </w:pPr>
      <w:r>
        <w:rPr>
          <w:sz w:val="29"/>
          <w:szCs w:val="29"/>
          <w:spacing w:val="22"/>
        </w:rPr>
        <w:t>5)乔木修剪要求</w:t>
      </w:r>
    </w:p>
    <w:p>
      <w:pPr>
        <w:pStyle w:val="BodyText"/>
        <w:ind w:left="730"/>
        <w:spacing w:before="182" w:line="217" w:lineRule="auto"/>
        <w:rPr>
          <w:sz w:val="29"/>
          <w:szCs w:val="29"/>
        </w:rPr>
      </w:pPr>
      <w:r>
        <w:rPr>
          <w:sz w:val="29"/>
          <w:szCs w:val="29"/>
          <w:spacing w:val="2"/>
        </w:rPr>
        <w:t>(1)修剪过程：①直径3</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1"/>
        </w:rPr>
        <w:t xml:space="preserve"> </w:t>
      </w:r>
      <w:r>
        <w:rPr>
          <w:sz w:val="29"/>
          <w:szCs w:val="29"/>
          <w:spacing w:val="2"/>
        </w:rPr>
        <w:t>以内的枝条及残枯枝条要求从根部修除，超过</w:t>
      </w:r>
    </w:p>
    <w:p>
      <w:pPr>
        <w:pStyle w:val="BodyText"/>
        <w:spacing w:before="199" w:line="351" w:lineRule="auto"/>
        <w:rPr>
          <w:sz w:val="29"/>
          <w:szCs w:val="29"/>
        </w:rPr>
      </w:pPr>
      <w:r>
        <w:rPr>
          <w:sz w:val="29"/>
          <w:szCs w:val="29"/>
          <w:spacing w:val="-3"/>
        </w:rPr>
        <w:t>3</w:t>
      </w:r>
      <w:r>
        <w:rPr>
          <w:rFonts w:ascii="Times New Roman" w:hAnsi="Times New Roman" w:eastAsia="Times New Roman" w:cs="Times New Roman"/>
          <w:sz w:val="29"/>
          <w:szCs w:val="29"/>
          <w:spacing w:val="-3"/>
        </w:rPr>
        <w:t>cm</w:t>
      </w:r>
      <w:r>
        <w:rPr>
          <w:rFonts w:ascii="Times New Roman" w:hAnsi="Times New Roman" w:eastAsia="Times New Roman" w:cs="Times New Roman"/>
          <w:sz w:val="29"/>
          <w:szCs w:val="29"/>
          <w:spacing w:val="-10"/>
        </w:rPr>
        <w:t xml:space="preserve"> </w:t>
      </w:r>
      <w:r>
        <w:rPr>
          <w:sz w:val="29"/>
          <w:szCs w:val="29"/>
          <w:spacing w:val="-3"/>
        </w:rPr>
        <w:t>的枝条修剪时根部留0.5</w:t>
      </w:r>
      <w:r>
        <w:rPr>
          <w:rFonts w:ascii="Times New Roman" w:hAnsi="Times New Roman" w:eastAsia="Times New Roman" w:cs="Times New Roman"/>
          <w:sz w:val="29"/>
          <w:szCs w:val="29"/>
          <w:spacing w:val="-3"/>
        </w:rPr>
        <w:t>cm</w:t>
      </w:r>
      <w:r>
        <w:rPr>
          <w:sz w:val="29"/>
          <w:szCs w:val="29"/>
          <w:spacing w:val="-3"/>
        </w:rPr>
        <w:t>左右的残桩保护树干；②修剪的剪口必须平滑，不</w:t>
      </w:r>
      <w:r>
        <w:rPr>
          <w:sz w:val="29"/>
          <w:szCs w:val="29"/>
        </w:rPr>
        <w:t xml:space="preserve"> </w:t>
      </w:r>
      <w:r>
        <w:rPr>
          <w:sz w:val="29"/>
          <w:szCs w:val="29"/>
          <w:spacing w:val="-9"/>
        </w:rPr>
        <w:t>得劈裂，并且剪口位置和留芽的方位准确；③对于粗壮的大枝应采取分段截</w:t>
      </w:r>
      <w:r>
        <w:rPr>
          <w:sz w:val="29"/>
          <w:szCs w:val="29"/>
          <w:spacing w:val="-10"/>
        </w:rPr>
        <w:t>枝法，</w:t>
      </w:r>
    </w:p>
    <w:p>
      <w:pPr>
        <w:pStyle w:val="BodyText"/>
        <w:spacing w:before="1" w:line="218" w:lineRule="auto"/>
        <w:rPr>
          <w:sz w:val="29"/>
          <w:szCs w:val="29"/>
        </w:rPr>
      </w:pPr>
      <w:r>
        <w:rPr>
          <w:sz w:val="29"/>
          <w:szCs w:val="29"/>
          <w:spacing w:val="-12"/>
        </w:rPr>
        <w:t>以免撕裂树干或损伤皮脊。</w:t>
      </w:r>
    </w:p>
    <w:p>
      <w:pPr>
        <w:spacing w:line="461" w:lineRule="auto"/>
        <w:rPr>
          <w:rFonts w:ascii="Arial"/>
          <w:sz w:val="21"/>
        </w:rPr>
      </w:pPr>
      <w:r/>
    </w:p>
    <w:p>
      <w:pPr>
        <w:ind w:left="1099"/>
        <w:spacing w:before="69" w:line="221" w:lineRule="auto"/>
        <w:rPr>
          <w:rFonts w:ascii="SimHei" w:hAnsi="SimHei" w:eastAsia="SimHei" w:cs="SimHei"/>
          <w:sz w:val="21"/>
          <w:szCs w:val="21"/>
        </w:rPr>
      </w:pPr>
      <w:r>
        <mc:AlternateContent xmlns:mc="http://schemas.openxmlformats.org/markup-compatibility/2006">
          <mc:Choice Requires="wps">
            <w:drawing>
              <wp:anchor distT="0" distB="0" distL="0" distR="0" simplePos="0" relativeHeight="251658240" behindDoc="0" locked="0" layoutInCell="1" allowOverlap="1">
                <wp:simplePos x="0" y="0"/>
                <wp:positionH relativeFrom="column">
                  <wp:posOffset>667086</wp:posOffset>
                </wp:positionH>
                <wp:positionV relativeFrom="paragraph">
                  <wp:posOffset>302227</wp:posOffset>
                </wp:positionV>
                <wp:extent cx="407034" cy="248920"/>
                <wp:effectExtent l="0" t="0" r="0" b="0"/>
                <wp:wrapNone/>
                <wp:docPr id="10" name="TextBox 10"/>
                <wp:cNvGraphicFramePr/>
                <a:graphic>
                  <a:graphicData uri="http://schemas.microsoft.com/office/word/2010/wordprocessingShape">
                    <wps:wsp>
                      <wps:cNvPr id="10" name="TextBox 10"/>
                      <wps:cNvSpPr txBox="1"/>
                      <wps:spPr>
                        <a:xfrm rot="16200000">
                          <a:off x="667086" y="302227"/>
                          <a:ext cx="407034" cy="2489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pPr>
                              <w:pStyle w:val="BodyText"/>
                              <w:ind w:left="20"/>
                              <w:spacing w:before="85"/>
                              <w:rPr>
                                <w:sz w:val="22"/>
                                <w:szCs w:val="22"/>
                              </w:rPr>
                            </w:pPr>
                            <w:r>
                              <w:rPr>
                                <w:sz w:val="22"/>
                                <w:szCs w:val="22"/>
                                <w:spacing w:val="-8"/>
                              </w:rPr>
                              <w:t>5-10mm</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2" style="position:absolute;margin-left:52.5265pt;margin-top:23.7974pt;mso-position-vertical-relative:text;mso-position-horizontal-relative:text;width:32.05pt;height:19.6pt;z-index:251658240;rotation:270;" filled="false" stroked="false" type="#_x0000_t202">
                <v:fill on="false"/>
                <v:stroke on="false"/>
                <v:path/>
                <v:imagedata o:title=""/>
                <o:lock v:ext="edit" aspectratio="false"/>
                <v:textbox inset="0mm,0mm,0mm,0mm">
                  <w:txbxContent>
                    <w:p>
                      <w:pPr>
                        <w:pStyle w:val="BodyText"/>
                        <w:ind w:left="20"/>
                        <w:spacing w:before="85"/>
                        <w:rPr>
                          <w:sz w:val="22"/>
                          <w:szCs w:val="22"/>
                        </w:rPr>
                      </w:pPr>
                      <w:r>
                        <w:rPr>
                          <w:sz w:val="22"/>
                          <w:szCs w:val="22"/>
                          <w:spacing w:val="-8"/>
                        </w:rPr>
                        <w:t>5-10mm</w:t>
                      </w:r>
                    </w:p>
                  </w:txbxContent>
                </v:textbox>
              </v:shape>
            </w:pict>
          </mc:Fallback>
        </mc:AlternateContent>
      </w:r>
      <w:r>
        <w:rPr>
          <w:rFonts w:ascii="SimHei" w:hAnsi="SimHei" w:eastAsia="SimHei" w:cs="SimHei"/>
          <w:sz w:val="21"/>
          <w:szCs w:val="21"/>
          <w:spacing w:val="13"/>
        </w:rPr>
        <w:t>平剪口</w:t>
      </w:r>
    </w:p>
    <w:p>
      <w:pPr>
        <w:spacing w:before="40"/>
        <w:rPr/>
      </w:pPr>
      <w:r/>
    </w:p>
    <w:p>
      <w:pPr>
        <w:spacing w:before="40"/>
        <w:rPr/>
      </w:pPr>
      <w:r/>
    </w:p>
    <w:p>
      <w:pPr>
        <w:spacing w:before="40"/>
        <w:rPr/>
      </w:pPr>
      <w:r/>
    </w:p>
    <w:p>
      <w:pPr>
        <w:spacing w:before="39"/>
        <w:rPr/>
      </w:pPr>
      <w:r/>
    </w:p>
    <w:p>
      <w:pPr>
        <w:sectPr>
          <w:footerReference w:type="default" r:id="rId14"/>
          <w:pgSz w:w="14490" w:h="20470"/>
          <w:pgMar w:top="1739" w:right="2114" w:bottom="1423" w:left="2150" w:header="0" w:footer="1224" w:gutter="0"/>
          <w:cols w:equalWidth="0" w:num="1">
            <w:col w:w="10226" w:space="0"/>
          </w:cols>
        </w:sectPr>
        <w:rPr/>
      </w:pPr>
    </w:p>
    <w:p>
      <w:pPr>
        <w:ind w:left="939" w:right="779"/>
        <w:spacing w:before="37" w:line="344" w:lineRule="auto"/>
        <w:jc w:val="right"/>
        <w:rPr>
          <w:rFonts w:ascii="SimHei" w:hAnsi="SimHei" w:eastAsia="SimHei" w:cs="SimHei"/>
          <w:sz w:val="18"/>
          <w:szCs w:val="18"/>
        </w:rPr>
      </w:pPr>
      <w:r>
        <w:rPr>
          <w:rFonts w:ascii="SimHei" w:hAnsi="SimHei" w:eastAsia="SimHei" w:cs="SimHei"/>
          <w:sz w:val="18"/>
          <w:szCs w:val="18"/>
          <w:spacing w:val="18"/>
        </w:rPr>
        <w:t>正确的剪法：平行于芽上方5-</w:t>
      </w:r>
      <w:r>
        <w:rPr>
          <w:rFonts w:ascii="SimHei" w:hAnsi="SimHei" w:eastAsia="SimHei" w:cs="SimHei"/>
          <w:sz w:val="18"/>
          <w:szCs w:val="18"/>
          <w:spacing w:val="-41"/>
        </w:rPr>
        <w:t xml:space="preserve"> </w:t>
      </w:r>
      <w:r>
        <w:rPr>
          <w:rFonts w:ascii="SimHei" w:hAnsi="SimHei" w:eastAsia="SimHei" w:cs="SimHei"/>
          <w:sz w:val="18"/>
          <w:szCs w:val="18"/>
          <w:spacing w:val="18"/>
        </w:rPr>
        <w:t>10</w:t>
      </w:r>
      <w:r>
        <w:rPr>
          <w:rFonts w:ascii="Arial" w:hAnsi="Arial" w:eastAsia="Arial" w:cs="Arial"/>
          <w:sz w:val="18"/>
          <w:szCs w:val="18"/>
        </w:rPr>
        <w:t>mm</w:t>
      </w:r>
      <w:r>
        <w:rPr>
          <w:rFonts w:ascii="Arial" w:hAnsi="Arial" w:eastAsia="Arial" w:cs="Arial"/>
          <w:sz w:val="18"/>
          <w:szCs w:val="18"/>
          <w:spacing w:val="18"/>
        </w:rPr>
        <w:t>,</w:t>
      </w:r>
      <w:r>
        <w:rPr>
          <w:rFonts w:ascii="Arial" w:hAnsi="Arial" w:eastAsia="Arial" w:cs="Arial"/>
          <w:sz w:val="18"/>
          <w:szCs w:val="18"/>
          <w:spacing w:val="36"/>
        </w:rPr>
        <w:t xml:space="preserve"> </w:t>
      </w:r>
      <w:r>
        <w:rPr>
          <w:rFonts w:ascii="SimHei" w:hAnsi="SimHei" w:eastAsia="SimHei" w:cs="SimHei"/>
          <w:sz w:val="18"/>
          <w:szCs w:val="18"/>
          <w:spacing w:val="18"/>
        </w:rPr>
        <w:t>芽</w:t>
      </w:r>
      <w:r>
        <w:rPr>
          <w:rFonts w:ascii="SimHei" w:hAnsi="SimHei" w:eastAsia="SimHei" w:cs="SimHei"/>
          <w:sz w:val="18"/>
          <w:szCs w:val="18"/>
        </w:rPr>
        <w:t xml:space="preserve"> </w:t>
      </w:r>
      <w:r>
        <w:rPr>
          <w:rFonts w:ascii="SimHei" w:hAnsi="SimHei" w:eastAsia="SimHei" w:cs="SimHei"/>
          <w:sz w:val="18"/>
          <w:szCs w:val="18"/>
          <w:spacing w:val="29"/>
        </w:rPr>
        <w:t>生长后的枝较直，平滑。</w:t>
      </w:r>
    </w:p>
    <w:p>
      <w:pPr>
        <w:spacing w:line="58"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before="53" w:line="213" w:lineRule="auto"/>
        <w:rPr>
          <w:rFonts w:ascii="SimHei" w:hAnsi="SimHei" w:eastAsia="SimHei" w:cs="SimHei"/>
          <w:sz w:val="18"/>
          <w:szCs w:val="18"/>
        </w:rPr>
      </w:pPr>
      <w:r>
        <w:rPr>
          <w:rFonts w:ascii="SimHei" w:hAnsi="SimHei" w:eastAsia="SimHei" w:cs="SimHei"/>
          <w:sz w:val="18"/>
          <w:szCs w:val="18"/>
          <w:spacing w:val="28"/>
        </w:rPr>
        <w:t>错误的剪法：大斜剪口，枝上留下尖茬。</w:t>
      </w:r>
    </w:p>
    <w:p>
      <w:pPr>
        <w:spacing w:line="213" w:lineRule="auto"/>
        <w:sectPr>
          <w:type w:val="continuous"/>
          <w:pgSz w:w="14490" w:h="20470"/>
          <w:pgMar w:top="1739" w:right="2114" w:bottom="1423" w:left="2150" w:header="0" w:footer="1224" w:gutter="0"/>
          <w:cols w:equalWidth="0" w:num="2">
            <w:col w:w="5280" w:space="100"/>
            <w:col w:w="4846" w:space="0"/>
          </w:cols>
        </w:sectPr>
        <w:rPr>
          <w:rFonts w:ascii="SimHei" w:hAnsi="SimHei" w:eastAsia="SimHei" w:cs="SimHei"/>
          <w:sz w:val="18"/>
          <w:szCs w:val="18"/>
        </w:rPr>
      </w:pPr>
    </w:p>
    <w:p>
      <w:pPr>
        <w:spacing w:before="34"/>
        <w:rPr/>
      </w:pPr>
      <w:r/>
    </w:p>
    <w:p>
      <w:pPr>
        <w:sectPr>
          <w:type w:val="continuous"/>
          <w:pgSz w:w="14490" w:h="20470"/>
          <w:pgMar w:top="1739" w:right="2114" w:bottom="1423" w:left="2150" w:header="0" w:footer="1224" w:gutter="0"/>
          <w:cols w:equalWidth="0" w:num="1">
            <w:col w:w="10226" w:space="0"/>
          </w:cols>
        </w:sectPr>
        <w:rPr/>
      </w:pPr>
    </w:p>
    <w:p>
      <w:pPr>
        <w:ind w:firstLine="3000"/>
        <w:spacing w:before="58" w:line="1210" w:lineRule="exact"/>
        <w:rPr/>
      </w:pPr>
      <w:r>
        <w:rPr>
          <w:position w:val="-24"/>
        </w:rPr>
        <w:drawing>
          <wp:inline distT="0" distB="0" distL="0" distR="0">
            <wp:extent cx="1085827" cy="768338"/>
            <wp:effectExtent l="0" t="0" r="0" b="0"/>
            <wp:docPr id="12" name="IM 12"/>
            <wp:cNvGraphicFramePr/>
            <a:graphic>
              <a:graphicData uri="http://schemas.openxmlformats.org/drawingml/2006/picture">
                <pic:pic>
                  <pic:nvPicPr>
                    <pic:cNvPr id="12" name="IM 12"/>
                    <pic:cNvPicPr/>
                  </pic:nvPicPr>
                  <pic:blipFill>
                    <a:blip r:embed="rId15"/>
                    <a:stretch>
                      <a:fillRect/>
                    </a:stretch>
                  </pic:blipFill>
                  <pic:spPr>
                    <a:xfrm rot="0">
                      <a:off x="0" y="0"/>
                      <a:ext cx="1085827" cy="768338"/>
                    </a:xfrm>
                    <a:prstGeom prst="rect">
                      <a:avLst/>
                    </a:prstGeom>
                  </pic:spPr>
                </pic:pic>
              </a:graphicData>
            </a:graphic>
          </wp:inline>
        </w:drawing>
      </w:r>
    </w:p>
    <w:p>
      <w:pPr>
        <w:ind w:left="979"/>
        <w:spacing w:before="148" w:line="213" w:lineRule="auto"/>
        <w:rPr>
          <w:rFonts w:ascii="SimHei" w:hAnsi="SimHei" w:eastAsia="SimHei" w:cs="SimHei"/>
          <w:sz w:val="18"/>
          <w:szCs w:val="18"/>
        </w:rPr>
      </w:pPr>
      <w:r>
        <w:rPr>
          <w:rFonts w:ascii="SimHei" w:hAnsi="SimHei" w:eastAsia="SimHei" w:cs="SimHei"/>
          <w:sz w:val="18"/>
          <w:szCs w:val="18"/>
          <w:spacing w:val="27"/>
        </w:rPr>
        <w:t>错误的剪法：平剪口离芽太远，</w:t>
      </w:r>
    </w:p>
    <w:p>
      <w:pPr>
        <w:ind w:left="2232"/>
        <w:spacing w:before="139" w:line="222" w:lineRule="auto"/>
        <w:rPr>
          <w:rFonts w:ascii="SimHei" w:hAnsi="SimHei" w:eastAsia="SimHei" w:cs="SimHei"/>
          <w:sz w:val="18"/>
          <w:szCs w:val="18"/>
        </w:rPr>
      </w:pPr>
      <w:r>
        <w:rPr>
          <w:rFonts w:ascii="SimHei" w:hAnsi="SimHei" w:eastAsia="SimHei" w:cs="SimHei"/>
          <w:sz w:val="18"/>
          <w:szCs w:val="18"/>
          <w:b/>
          <w:bCs/>
          <w:spacing w:val="25"/>
        </w:rPr>
        <w:t>枝上留下平茬。</w:t>
      </w:r>
    </w:p>
    <w:p>
      <w:pPr>
        <w:spacing w:line="30"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right="1427" w:firstLine="360"/>
        <w:spacing w:before="95" w:line="352" w:lineRule="auto"/>
        <w:rPr>
          <w:rFonts w:ascii="SimHei" w:hAnsi="SimHei" w:eastAsia="SimHei" w:cs="SimHei"/>
          <w:sz w:val="18"/>
          <w:szCs w:val="18"/>
        </w:rPr>
      </w:pPr>
      <w:r>
        <w:rPr>
          <w:sz w:val="29"/>
          <w:szCs w:val="29"/>
          <w:spacing w:val="-23"/>
        </w:rPr>
        <w:t>女</w:t>
      </w:r>
      <w:r>
        <w:rPr>
          <w:sz w:val="29"/>
          <w:szCs w:val="29"/>
          <w:spacing w:val="16"/>
        </w:rPr>
        <w:t xml:space="preserve">       </w:t>
      </w:r>
      <w:r>
        <w:rPr>
          <w:sz w:val="29"/>
          <w:szCs w:val="29"/>
          <w:spacing w:val="-23"/>
        </w:rPr>
        <w:t>0</w:t>
      </w:r>
      <w:r>
        <w:rPr>
          <w:sz w:val="29"/>
          <w:szCs w:val="29"/>
          <w:spacing w:val="19"/>
        </w:rPr>
        <w:t xml:space="preserve">       </w:t>
      </w:r>
      <w:r>
        <w:rPr>
          <w:sz w:val="29"/>
          <w:szCs w:val="29"/>
          <w:spacing w:val="-23"/>
        </w:rPr>
        <w:t>网</w:t>
      </w:r>
      <w:r>
        <w:rPr>
          <w:sz w:val="29"/>
          <w:szCs w:val="29"/>
          <w:spacing w:val="6"/>
        </w:rPr>
        <w:t xml:space="preserve"> </w:t>
      </w:r>
      <w:r>
        <w:rPr>
          <w:rFonts w:ascii="SimHei" w:hAnsi="SimHei" w:eastAsia="SimHei" w:cs="SimHei"/>
          <w:sz w:val="18"/>
          <w:szCs w:val="18"/>
          <w:spacing w:val="27"/>
        </w:rPr>
        <w:t>错误的剪法：平行剪口离芽太近，</w:t>
      </w:r>
    </w:p>
    <w:p>
      <w:pPr>
        <w:ind w:left="1250"/>
        <w:spacing w:line="222" w:lineRule="auto"/>
        <w:rPr>
          <w:rFonts w:ascii="SimHei" w:hAnsi="SimHei" w:eastAsia="SimHei" w:cs="SimHei"/>
          <w:sz w:val="18"/>
          <w:szCs w:val="18"/>
        </w:rPr>
      </w:pPr>
      <w:r>
        <w:rPr>
          <w:rFonts w:ascii="SimHei" w:hAnsi="SimHei" w:eastAsia="SimHei" w:cs="SimHei"/>
          <w:sz w:val="18"/>
          <w:szCs w:val="18"/>
          <w:spacing w:val="34"/>
        </w:rPr>
        <w:t>芽容易枯死</w:t>
      </w:r>
    </w:p>
    <w:p>
      <w:pPr>
        <w:spacing w:line="222" w:lineRule="auto"/>
        <w:sectPr>
          <w:type w:val="continuous"/>
          <w:pgSz w:w="14490" w:h="20470"/>
          <w:pgMar w:top="1739" w:right="2114" w:bottom="1423" w:left="2150" w:header="0" w:footer="1224" w:gutter="0"/>
          <w:cols w:equalWidth="0" w:num="2">
            <w:col w:w="5400" w:space="100"/>
            <w:col w:w="4726" w:space="0"/>
          </w:cols>
        </w:sectPr>
        <w:rPr>
          <w:rFonts w:ascii="SimHei" w:hAnsi="SimHei" w:eastAsia="SimHei" w:cs="SimHei"/>
          <w:sz w:val="18"/>
          <w:szCs w:val="18"/>
        </w:rPr>
      </w:pPr>
    </w:p>
    <w:p>
      <w:pPr>
        <w:pStyle w:val="BodyText"/>
        <w:ind w:left="3539"/>
        <w:spacing w:before="237" w:line="184" w:lineRule="auto"/>
        <w:rPr>
          <w:sz w:val="26"/>
          <w:szCs w:val="26"/>
        </w:rPr>
      </w:pPr>
      <w:r>
        <w:rPr>
          <w:sz w:val="26"/>
          <w:szCs w:val="26"/>
          <w:spacing w:val="-9"/>
        </w:rPr>
        <w:t>图2-2-1粗壮树枝分段截枝法</w:t>
      </w:r>
    </w:p>
    <w:p>
      <w:pPr>
        <w:spacing w:line="184" w:lineRule="auto"/>
        <w:sectPr>
          <w:type w:val="continuous"/>
          <w:pgSz w:w="14490" w:h="20470"/>
          <w:pgMar w:top="1739" w:right="2114" w:bottom="1423" w:left="2150" w:header="0" w:footer="1224" w:gutter="0"/>
          <w:cols w:equalWidth="0" w:num="1">
            <w:col w:w="10226" w:space="0"/>
          </w:cols>
        </w:sectPr>
        <w:rPr>
          <w:sz w:val="26"/>
          <w:szCs w:val="26"/>
        </w:rPr>
      </w:pPr>
    </w:p>
    <w:p>
      <w:pPr>
        <w:spacing w:line="241" w:lineRule="auto"/>
        <w:rPr>
          <w:rFonts w:ascii="Arial"/>
          <w:sz w:val="21"/>
        </w:rPr>
      </w:pPr>
      <w:r>
        <w:drawing>
          <wp:anchor distT="0" distB="0" distL="0" distR="0" simplePos="0" relativeHeight="251660288" behindDoc="0" locked="0" layoutInCell="1" allowOverlap="1">
            <wp:simplePos x="0" y="0"/>
            <wp:positionH relativeFrom="column">
              <wp:posOffset>3663898</wp:posOffset>
            </wp:positionH>
            <wp:positionV relativeFrom="paragraph">
              <wp:posOffset>18774</wp:posOffset>
            </wp:positionV>
            <wp:extent cx="2349513" cy="869985"/>
            <wp:effectExtent l="0" t="0" r="0" b="0"/>
            <wp:wrapNone/>
            <wp:docPr id="14" name="IM 14"/>
            <wp:cNvGraphicFramePr/>
            <a:graphic>
              <a:graphicData uri="http://schemas.openxmlformats.org/drawingml/2006/picture">
                <pic:pic>
                  <pic:nvPicPr>
                    <pic:cNvPr id="14" name="IM 14"/>
                    <pic:cNvPicPr/>
                  </pic:nvPicPr>
                  <pic:blipFill>
                    <a:blip r:embed="rId17"/>
                    <a:stretch>
                      <a:fillRect/>
                    </a:stretch>
                  </pic:blipFill>
                  <pic:spPr>
                    <a:xfrm rot="0">
                      <a:off x="0" y="0"/>
                      <a:ext cx="2349513" cy="869985"/>
                    </a:xfrm>
                    <a:prstGeom prst="rect">
                      <a:avLst/>
                    </a:prstGeom>
                  </pic:spPr>
                </pic:pic>
              </a:graphicData>
            </a:graphic>
          </wp:anchor>
        </w:drawing>
      </w:r>
      <w:r/>
    </w:p>
    <w:p>
      <w:pPr>
        <w:spacing w:line="241" w:lineRule="auto"/>
        <w:rPr>
          <w:rFonts w:ascii="Arial"/>
          <w:sz w:val="21"/>
        </w:rPr>
      </w:pPr>
      <w:r/>
    </w:p>
    <w:p>
      <w:pPr>
        <w:spacing w:line="242" w:lineRule="auto"/>
        <w:rPr>
          <w:rFonts w:ascii="Arial"/>
          <w:sz w:val="21"/>
        </w:rPr>
      </w:pPr>
      <w:r/>
    </w:p>
    <w:p>
      <w:pPr>
        <w:pStyle w:val="BodyText"/>
        <w:ind w:left="3333" w:right="5986" w:firstLine="16"/>
        <w:spacing w:before="68" w:line="316" w:lineRule="auto"/>
        <w:rPr>
          <w:rFonts w:ascii="SimHei" w:hAnsi="SimHei" w:eastAsia="SimHei" w:cs="SimHei"/>
          <w:sz w:val="22"/>
          <w:szCs w:val="22"/>
        </w:rPr>
      </w:pPr>
      <w:r>
        <w:rPr>
          <w:rFonts w:ascii="SimHei" w:hAnsi="SimHei" w:eastAsia="SimHei" w:cs="SimHei"/>
          <w:sz w:val="21"/>
          <w:szCs w:val="21"/>
          <w:spacing w:val="12"/>
        </w:rPr>
        <w:t>自上开始</w:t>
      </w:r>
      <w:r>
        <w:rPr>
          <w:rFonts w:ascii="SimHei" w:hAnsi="SimHei" w:eastAsia="SimHei" w:cs="SimHei"/>
          <w:sz w:val="21"/>
          <w:szCs w:val="21"/>
        </w:rPr>
        <w:t xml:space="preserve"> </w:t>
      </w:r>
      <w:r>
        <w:rPr>
          <w:sz w:val="22"/>
          <w:szCs w:val="22"/>
          <w:b/>
          <w:bCs/>
          <w:spacing w:val="7"/>
        </w:rPr>
        <w:t>一</w:t>
      </w:r>
      <w:r>
        <w:rPr>
          <w:rFonts w:ascii="SimHei" w:hAnsi="SimHei" w:eastAsia="SimHei" w:cs="SimHei"/>
          <w:sz w:val="22"/>
          <w:szCs w:val="22"/>
          <w:spacing w:val="7"/>
        </w:rPr>
        <w:t>次剪下</w:t>
      </w:r>
    </w:p>
    <w:p>
      <w:pPr>
        <w:ind w:left="4440"/>
        <w:spacing w:before="223" w:line="221" w:lineRule="auto"/>
        <w:rPr>
          <w:rFonts w:ascii="SimHei" w:hAnsi="SimHei" w:eastAsia="SimHei" w:cs="SimHei"/>
          <w:sz w:val="21"/>
          <w:szCs w:val="21"/>
        </w:rPr>
      </w:pPr>
      <w:r>
        <w:rPr>
          <w:rFonts w:ascii="SimHei" w:hAnsi="SimHei" w:eastAsia="SimHei" w:cs="SimHei"/>
          <w:sz w:val="21"/>
          <w:szCs w:val="21"/>
          <w:spacing w:val="15"/>
        </w:rPr>
        <w:t>错误剪法</w:t>
      </w:r>
    </w:p>
    <w:p>
      <w:pPr>
        <w:ind w:firstLine="1360"/>
        <w:spacing w:before="51" w:line="1670" w:lineRule="exact"/>
        <w:rPr/>
      </w:pPr>
      <w:r>
        <w:drawing>
          <wp:anchor distT="0" distB="0" distL="0" distR="0" simplePos="0" relativeHeight="251661312" behindDoc="0" locked="0" layoutInCell="1" allowOverlap="1">
            <wp:simplePos x="0" y="0"/>
            <wp:positionH relativeFrom="column">
              <wp:posOffset>387368</wp:posOffset>
            </wp:positionH>
            <wp:positionV relativeFrom="paragraph">
              <wp:posOffset>39359</wp:posOffset>
            </wp:positionV>
            <wp:extent cx="6350" cy="1009590"/>
            <wp:effectExtent l="0" t="0" r="0" b="0"/>
            <wp:wrapNone/>
            <wp:docPr id="16" name="IM 16"/>
            <wp:cNvGraphicFramePr/>
            <a:graphic>
              <a:graphicData uri="http://schemas.openxmlformats.org/drawingml/2006/picture">
                <pic:pic>
                  <pic:nvPicPr>
                    <pic:cNvPr id="16" name="IM 16"/>
                    <pic:cNvPicPr/>
                  </pic:nvPicPr>
                  <pic:blipFill>
                    <a:blip r:embed="rId18"/>
                    <a:stretch>
                      <a:fillRect/>
                    </a:stretch>
                  </pic:blipFill>
                  <pic:spPr>
                    <a:xfrm rot="0">
                      <a:off x="0" y="0"/>
                      <a:ext cx="6350" cy="1009590"/>
                    </a:xfrm>
                    <a:prstGeom prst="rect">
                      <a:avLst/>
                    </a:prstGeom>
                  </pic:spPr>
                </pic:pic>
              </a:graphicData>
            </a:graphic>
          </wp:anchor>
        </w:drawing>
      </w:r>
      <w:r>
        <w:rPr>
          <w:position w:val="-33"/>
        </w:rPr>
        <w:drawing>
          <wp:inline distT="0" distB="0" distL="0" distR="0">
            <wp:extent cx="5035513" cy="1060413"/>
            <wp:effectExtent l="0" t="0" r="0" b="0"/>
            <wp:docPr id="18" name="IM 18"/>
            <wp:cNvGraphicFramePr/>
            <a:graphic>
              <a:graphicData uri="http://schemas.openxmlformats.org/drawingml/2006/picture">
                <pic:pic>
                  <pic:nvPicPr>
                    <pic:cNvPr id="18" name="IM 18"/>
                    <pic:cNvPicPr/>
                  </pic:nvPicPr>
                  <pic:blipFill>
                    <a:blip r:embed="rId19"/>
                    <a:stretch>
                      <a:fillRect/>
                    </a:stretch>
                  </pic:blipFill>
                  <pic:spPr>
                    <a:xfrm rot="0">
                      <a:off x="0" y="0"/>
                      <a:ext cx="5035513" cy="1060413"/>
                    </a:xfrm>
                    <a:prstGeom prst="rect">
                      <a:avLst/>
                    </a:prstGeom>
                  </pic:spPr>
                </pic:pic>
              </a:graphicData>
            </a:graphic>
          </wp:inline>
        </w:drawing>
      </w:r>
    </w:p>
    <w:p>
      <w:pPr>
        <w:ind w:left="4520"/>
        <w:spacing w:before="146" w:line="221" w:lineRule="auto"/>
        <w:rPr>
          <w:rFonts w:ascii="SimHei" w:hAnsi="SimHei" w:eastAsia="SimHei" w:cs="SimHei"/>
          <w:sz w:val="21"/>
          <w:szCs w:val="21"/>
        </w:rPr>
      </w:pPr>
      <w:r>
        <w:rPr>
          <w:rFonts w:ascii="SimHei" w:hAnsi="SimHei" w:eastAsia="SimHei" w:cs="SimHei"/>
          <w:sz w:val="21"/>
          <w:szCs w:val="21"/>
          <w:spacing w:val="15"/>
        </w:rPr>
        <w:t>正确剪法</w:t>
      </w:r>
    </w:p>
    <w:p>
      <w:pPr>
        <w:pStyle w:val="BodyText"/>
        <w:ind w:left="3289"/>
        <w:spacing w:before="212" w:line="219" w:lineRule="auto"/>
        <w:rPr>
          <w:sz w:val="24"/>
          <w:szCs w:val="24"/>
        </w:rPr>
      </w:pPr>
      <w:r>
        <w:rPr>
          <w:sz w:val="24"/>
          <w:szCs w:val="24"/>
          <w:spacing w:val="8"/>
        </w:rPr>
        <w:t>图2-2-2剪口和留芽位置示意图</w:t>
      </w:r>
    </w:p>
    <w:p>
      <w:pPr>
        <w:pStyle w:val="BodyText"/>
        <w:ind w:right="27" w:firstLine="670"/>
        <w:spacing w:before="185" w:line="310" w:lineRule="auto"/>
        <w:jc w:val="both"/>
        <w:rPr>
          <w:sz w:val="29"/>
          <w:szCs w:val="29"/>
        </w:rPr>
      </w:pPr>
      <w:r>
        <w:drawing>
          <wp:anchor distT="0" distB="0" distL="0" distR="0" simplePos="0" relativeHeight="251659264" behindDoc="0" locked="0" layoutInCell="1" allowOverlap="1">
            <wp:simplePos x="0" y="0"/>
            <wp:positionH relativeFrom="column">
              <wp:posOffset>3321063</wp:posOffset>
            </wp:positionH>
            <wp:positionV relativeFrom="paragraph">
              <wp:posOffset>1043546</wp:posOffset>
            </wp:positionV>
            <wp:extent cx="2819324" cy="2032047"/>
            <wp:effectExtent l="0" t="0" r="0" b="0"/>
            <wp:wrapNone/>
            <wp:docPr id="20" name="IM 20"/>
            <wp:cNvGraphicFramePr/>
            <a:graphic>
              <a:graphicData uri="http://schemas.openxmlformats.org/drawingml/2006/picture">
                <pic:pic>
                  <pic:nvPicPr>
                    <pic:cNvPr id="20" name="IM 20"/>
                    <pic:cNvPicPr/>
                  </pic:nvPicPr>
                  <pic:blipFill>
                    <a:blip r:embed="rId20"/>
                    <a:stretch>
                      <a:fillRect/>
                    </a:stretch>
                  </pic:blipFill>
                  <pic:spPr>
                    <a:xfrm rot="0">
                      <a:off x="0" y="0"/>
                      <a:ext cx="2819324" cy="2032047"/>
                    </a:xfrm>
                    <a:prstGeom prst="rect">
                      <a:avLst/>
                    </a:prstGeom>
                  </pic:spPr>
                </pic:pic>
              </a:graphicData>
            </a:graphic>
          </wp:anchor>
        </w:drawing>
      </w:r>
      <w:r>
        <w:rPr>
          <w:sz w:val="29"/>
          <w:szCs w:val="29"/>
          <w:spacing w:val="5"/>
        </w:rPr>
        <w:t>(2)修剪完成后：枝干或根部剪口直径在2</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37"/>
        </w:rPr>
        <w:t xml:space="preserve"> </w:t>
      </w:r>
      <w:r>
        <w:rPr>
          <w:sz w:val="29"/>
          <w:szCs w:val="29"/>
          <w:spacing w:val="4"/>
        </w:rPr>
        <w:t>以上的，伤口必须涂愈伤涂膜</w:t>
      </w:r>
      <w:r>
        <w:rPr>
          <w:sz w:val="29"/>
          <w:szCs w:val="29"/>
        </w:rPr>
        <w:t xml:space="preserve"> </w:t>
      </w:r>
      <w:r>
        <w:rPr>
          <w:sz w:val="29"/>
          <w:szCs w:val="29"/>
          <w:spacing w:val="6"/>
        </w:rPr>
        <w:t>剂，易感染腐烂病、溃疡病、干腐病的树种(</w:t>
      </w:r>
      <w:r>
        <w:rPr>
          <w:sz w:val="29"/>
          <w:szCs w:val="29"/>
          <w:spacing w:val="5"/>
        </w:rPr>
        <w:t>如合欢、杨树、柳树、悬铃木、楸</w:t>
      </w:r>
      <w:r>
        <w:rPr>
          <w:sz w:val="29"/>
          <w:szCs w:val="29"/>
        </w:rPr>
        <w:t xml:space="preserve"> </w:t>
      </w:r>
      <w:r>
        <w:rPr>
          <w:sz w:val="29"/>
          <w:szCs w:val="29"/>
          <w:spacing w:val="6"/>
        </w:rPr>
        <w:t>树、梨树、山里红、樱花、海棠花、碧桃、红瑞木等)应立即涂抹。</w:t>
      </w:r>
    </w:p>
    <w:p>
      <w:pPr>
        <w:ind w:firstLine="419"/>
        <w:spacing w:line="3210" w:lineRule="exact"/>
        <w:rPr/>
      </w:pPr>
      <w:r>
        <w:rPr>
          <w:position w:val="-64"/>
        </w:rPr>
        <w:drawing>
          <wp:inline distT="0" distB="0" distL="0" distR="0">
            <wp:extent cx="2876555" cy="2038416"/>
            <wp:effectExtent l="0" t="0" r="0" b="0"/>
            <wp:docPr id="22" name="IM 22"/>
            <wp:cNvGraphicFramePr/>
            <a:graphic>
              <a:graphicData uri="http://schemas.openxmlformats.org/drawingml/2006/picture">
                <pic:pic>
                  <pic:nvPicPr>
                    <pic:cNvPr id="22" name="IM 22"/>
                    <pic:cNvPicPr/>
                  </pic:nvPicPr>
                  <pic:blipFill>
                    <a:blip r:embed="rId21"/>
                    <a:stretch>
                      <a:fillRect/>
                    </a:stretch>
                  </pic:blipFill>
                  <pic:spPr>
                    <a:xfrm rot="0">
                      <a:off x="0" y="0"/>
                      <a:ext cx="2876555" cy="2038416"/>
                    </a:xfrm>
                    <a:prstGeom prst="rect">
                      <a:avLst/>
                    </a:prstGeom>
                  </pic:spPr>
                </pic:pic>
              </a:graphicData>
            </a:graphic>
          </wp:inline>
        </w:drawing>
      </w:r>
    </w:p>
    <w:p>
      <w:pPr>
        <w:pStyle w:val="BodyText"/>
        <w:ind w:left="2659"/>
        <w:spacing w:before="218" w:line="219" w:lineRule="auto"/>
        <w:rPr>
          <w:sz w:val="24"/>
          <w:szCs w:val="24"/>
        </w:rPr>
      </w:pPr>
      <w:r>
        <w:rPr>
          <w:sz w:val="24"/>
          <w:szCs w:val="24"/>
          <w:spacing w:val="9"/>
        </w:rPr>
        <w:t>图2-2-3愈伤涂抹剂涂抹伤口、灰色油漆涂抹伤口</w:t>
      </w:r>
    </w:p>
    <w:p>
      <w:pPr>
        <w:pStyle w:val="BodyText"/>
        <w:ind w:left="590"/>
        <w:spacing w:before="139" w:line="219" w:lineRule="auto"/>
        <w:rPr>
          <w:sz w:val="29"/>
          <w:szCs w:val="29"/>
        </w:rPr>
      </w:pPr>
      <w:r>
        <w:rPr>
          <w:sz w:val="29"/>
          <w:szCs w:val="29"/>
          <w:spacing w:val="21"/>
        </w:rPr>
        <w:t>6)灌木修剪要求</w:t>
      </w:r>
    </w:p>
    <w:p>
      <w:pPr>
        <w:pStyle w:val="BodyText"/>
        <w:ind w:left="730"/>
        <w:spacing w:before="166" w:line="219" w:lineRule="auto"/>
        <w:rPr>
          <w:sz w:val="29"/>
          <w:szCs w:val="29"/>
        </w:rPr>
      </w:pPr>
      <w:r>
        <w:rPr>
          <w:sz w:val="29"/>
          <w:szCs w:val="29"/>
          <w:spacing w:val="6"/>
        </w:rPr>
        <w:t>(1)成片灌木丛修剪时应形成中间高四周低，或前面低后面高</w:t>
      </w:r>
      <w:r>
        <w:rPr>
          <w:sz w:val="29"/>
          <w:szCs w:val="29"/>
          <w:spacing w:val="5"/>
        </w:rPr>
        <w:t>的丛形；</w:t>
      </w:r>
    </w:p>
    <w:p>
      <w:pPr>
        <w:pStyle w:val="BodyText"/>
        <w:ind w:left="730"/>
        <w:spacing w:before="143" w:line="218" w:lineRule="auto"/>
        <w:rPr>
          <w:sz w:val="29"/>
          <w:szCs w:val="29"/>
        </w:rPr>
      </w:pPr>
      <w:r>
        <w:rPr>
          <w:sz w:val="29"/>
          <w:szCs w:val="29"/>
          <w:spacing w:val="6"/>
        </w:rPr>
        <w:t>(2)花落后形成的残花、残果，若无观赏价值或其他需要的宜尽早剪除。</w:t>
      </w:r>
    </w:p>
    <w:p>
      <w:pPr>
        <w:pStyle w:val="BodyText"/>
        <w:ind w:left="590"/>
        <w:spacing w:before="151" w:line="219" w:lineRule="auto"/>
        <w:rPr>
          <w:sz w:val="29"/>
          <w:szCs w:val="29"/>
        </w:rPr>
      </w:pPr>
      <w:r>
        <w:rPr>
          <w:sz w:val="29"/>
          <w:szCs w:val="29"/>
          <w:spacing w:val="6"/>
        </w:rPr>
        <w:t>7)同一棵树应在当天工作日内修剪完毕，以免影响</w:t>
      </w:r>
      <w:r>
        <w:rPr>
          <w:sz w:val="29"/>
          <w:szCs w:val="29"/>
          <w:spacing w:val="5"/>
        </w:rPr>
        <w:t>美观；</w:t>
      </w:r>
    </w:p>
    <w:p>
      <w:pPr>
        <w:pStyle w:val="BodyText"/>
        <w:ind w:left="590"/>
        <w:spacing w:before="146" w:line="219" w:lineRule="auto"/>
        <w:rPr>
          <w:sz w:val="29"/>
          <w:szCs w:val="29"/>
        </w:rPr>
      </w:pPr>
      <w:r>
        <w:rPr>
          <w:sz w:val="29"/>
          <w:szCs w:val="29"/>
          <w:spacing w:val="7"/>
        </w:rPr>
        <w:t>8)雨水天气及有露水时，苗木不宜进行修剪。</w:t>
      </w:r>
    </w:p>
    <w:p>
      <w:pPr>
        <w:pStyle w:val="BodyText"/>
        <w:spacing w:before="153" w:line="221" w:lineRule="auto"/>
        <w:rPr>
          <w:rFonts w:ascii="SimHei" w:hAnsi="SimHei" w:eastAsia="SimHei" w:cs="SimHei"/>
          <w:sz w:val="29"/>
          <w:szCs w:val="29"/>
        </w:rPr>
      </w:pPr>
      <w:r>
        <w:rPr>
          <w:rFonts w:ascii="Arial" w:hAnsi="Arial" w:eastAsia="Arial" w:cs="Arial"/>
          <w:sz w:val="29"/>
          <w:szCs w:val="29"/>
          <w:spacing w:val="2"/>
        </w:rPr>
        <w:t>2</w:t>
      </w:r>
      <w:r>
        <w:rPr>
          <w:sz w:val="29"/>
          <w:szCs w:val="29"/>
          <w:spacing w:val="2"/>
        </w:rPr>
        <w:t>、</w:t>
      </w:r>
      <w:r>
        <w:rPr>
          <w:rFonts w:ascii="SimHei" w:hAnsi="SimHei" w:eastAsia="SimHei" w:cs="SimHei"/>
          <w:sz w:val="29"/>
          <w:szCs w:val="29"/>
          <w:spacing w:val="2"/>
        </w:rPr>
        <w:t>修剪周期和时间</w:t>
      </w:r>
    </w:p>
    <w:p>
      <w:pPr>
        <w:pStyle w:val="BodyText"/>
        <w:ind w:left="590"/>
        <w:spacing w:before="155" w:line="219" w:lineRule="auto"/>
        <w:rPr>
          <w:sz w:val="29"/>
          <w:szCs w:val="29"/>
        </w:rPr>
      </w:pPr>
      <w:r>
        <w:rPr>
          <w:sz w:val="29"/>
          <w:szCs w:val="29"/>
          <w:spacing w:val="24"/>
        </w:rPr>
        <w:t>1)修剪周期</w:t>
      </w:r>
    </w:p>
    <w:p>
      <w:pPr>
        <w:pStyle w:val="BodyText"/>
        <w:ind w:left="730"/>
        <w:spacing w:before="157" w:line="219" w:lineRule="auto"/>
        <w:rPr>
          <w:sz w:val="29"/>
          <w:szCs w:val="29"/>
        </w:rPr>
      </w:pPr>
      <w:r>
        <w:rPr>
          <w:sz w:val="29"/>
          <w:szCs w:val="29"/>
          <w:spacing w:val="22"/>
        </w:rPr>
        <w:t>(1)休眠期修剪</w:t>
      </w:r>
    </w:p>
    <w:p>
      <w:pPr>
        <w:pStyle w:val="BodyText"/>
        <w:ind w:right="100" w:firstLine="590"/>
        <w:spacing w:before="163" w:line="310" w:lineRule="auto"/>
        <w:rPr>
          <w:sz w:val="29"/>
          <w:szCs w:val="29"/>
        </w:rPr>
      </w:pPr>
      <w:r>
        <w:rPr>
          <w:sz w:val="29"/>
          <w:szCs w:val="29"/>
          <w:spacing w:val="3"/>
        </w:rPr>
        <w:t>在12—2月进行，为来年春季生长做好准备；修剪是从植物落叶经过休眠到</w:t>
      </w:r>
      <w:r>
        <w:rPr>
          <w:sz w:val="29"/>
          <w:szCs w:val="29"/>
          <w:spacing w:val="12"/>
        </w:rPr>
        <w:t xml:space="preserve"> </w:t>
      </w:r>
      <w:r>
        <w:rPr>
          <w:sz w:val="29"/>
          <w:szCs w:val="29"/>
          <w:spacing w:val="-1"/>
        </w:rPr>
        <w:t>下次发芽前进行，主要针对落叶树。一般来说，冬季修剪多短截回缩，可以增强</w:t>
      </w:r>
      <w:r>
        <w:rPr>
          <w:sz w:val="29"/>
          <w:szCs w:val="29"/>
          <w:spacing w:val="13"/>
        </w:rPr>
        <w:t xml:space="preserve"> </w:t>
      </w:r>
      <w:r>
        <w:rPr>
          <w:sz w:val="29"/>
          <w:szCs w:val="29"/>
        </w:rPr>
        <w:t>植株的生长势，修剪时须兼顾考虑枝干的观赏效果。</w:t>
      </w:r>
    </w:p>
    <w:p>
      <w:pPr>
        <w:pStyle w:val="BodyText"/>
        <w:ind w:left="730"/>
        <w:spacing w:before="2" w:line="219" w:lineRule="auto"/>
        <w:rPr>
          <w:sz w:val="29"/>
          <w:szCs w:val="29"/>
        </w:rPr>
      </w:pPr>
      <w:r>
        <w:rPr>
          <w:sz w:val="29"/>
          <w:szCs w:val="29"/>
          <w:spacing w:val="22"/>
        </w:rPr>
        <w:t>(2)生长期修剪</w:t>
      </w:r>
    </w:p>
    <w:p>
      <w:pPr>
        <w:pStyle w:val="BodyText"/>
        <w:ind w:right="36"/>
        <w:spacing w:before="146" w:line="219" w:lineRule="auto"/>
        <w:jc w:val="right"/>
        <w:rPr>
          <w:sz w:val="29"/>
          <w:szCs w:val="29"/>
        </w:rPr>
      </w:pPr>
      <w:r>
        <w:rPr>
          <w:sz w:val="29"/>
          <w:szCs w:val="29"/>
          <w:spacing w:val="1"/>
        </w:rPr>
        <w:t>生长期修剪是从植物发芽到落叶期间的修剪，可细分为春、夏、秋季修剪：</w:t>
      </w:r>
    </w:p>
    <w:p>
      <w:pPr>
        <w:pStyle w:val="BodyText"/>
        <w:spacing w:before="122" w:line="217" w:lineRule="auto"/>
        <w:jc w:val="right"/>
        <w:rPr>
          <w:sz w:val="29"/>
          <w:szCs w:val="29"/>
        </w:rPr>
      </w:pPr>
      <w:r>
        <w:rPr>
          <w:sz w:val="29"/>
          <w:szCs w:val="29"/>
          <w:spacing w:val="2"/>
        </w:rPr>
        <w:t>①春季一般在开花的前后修剪，包括抹芽、摘叶、花后复剪，主要为培养树</w:t>
      </w:r>
    </w:p>
    <w:p>
      <w:pPr>
        <w:spacing w:line="217" w:lineRule="auto"/>
        <w:sectPr>
          <w:footerReference w:type="default" r:id="rId16"/>
          <w:pgSz w:w="14490" w:h="20470"/>
          <w:pgMar w:top="1739" w:right="2108" w:bottom="1393" w:left="2150" w:header="0" w:footer="1231" w:gutter="0"/>
        </w:sectPr>
        <w:rPr>
          <w:sz w:val="29"/>
          <w:szCs w:val="29"/>
        </w:rPr>
      </w:pPr>
    </w:p>
    <w:p>
      <w:pPr>
        <w:pStyle w:val="BodyText"/>
        <w:ind w:left="250"/>
        <w:spacing w:before="122" w:line="219" w:lineRule="auto"/>
        <w:rPr>
          <w:sz w:val="29"/>
          <w:szCs w:val="29"/>
        </w:rPr>
      </w:pPr>
      <w:r>
        <w:rPr>
          <w:sz w:val="29"/>
          <w:szCs w:val="29"/>
          <w:spacing w:val="-2"/>
        </w:rPr>
        <w:t>形，弥补冬季修剪的不足；</w:t>
      </w:r>
    </w:p>
    <w:p>
      <w:pPr>
        <w:pStyle w:val="BodyText"/>
        <w:ind w:left="250" w:right="592" w:firstLine="570"/>
        <w:spacing w:before="150" w:line="280" w:lineRule="auto"/>
        <w:rPr>
          <w:sz w:val="29"/>
          <w:szCs w:val="29"/>
        </w:rPr>
      </w:pPr>
      <w:r>
        <w:rPr>
          <w:sz w:val="29"/>
          <w:szCs w:val="29"/>
          <w:spacing w:val="1"/>
        </w:rPr>
        <w:t>②4—10月份为植物生长旺盛季节，</w:t>
      </w:r>
      <w:r>
        <w:rPr>
          <w:sz w:val="29"/>
          <w:szCs w:val="29"/>
          <w:spacing w:val="-48"/>
        </w:rPr>
        <w:t xml:space="preserve"> </w:t>
      </w:r>
      <w:r>
        <w:rPr>
          <w:sz w:val="29"/>
          <w:szCs w:val="29"/>
          <w:spacing w:val="1"/>
        </w:rPr>
        <w:t>一般为疏除或回缩旺长枝、抹梢，适当</w:t>
      </w:r>
      <w:r>
        <w:rPr>
          <w:sz w:val="29"/>
          <w:szCs w:val="29"/>
        </w:rPr>
        <w:t xml:space="preserve"> </w:t>
      </w:r>
      <w:r>
        <w:rPr>
          <w:sz w:val="29"/>
          <w:szCs w:val="29"/>
        </w:rPr>
        <w:t>疏除部分过密枝、内堂枝、萌蘖枝、病枯枝等，</w:t>
      </w:r>
      <w:r>
        <w:rPr>
          <w:sz w:val="29"/>
          <w:szCs w:val="29"/>
          <w:spacing w:val="-1"/>
        </w:rPr>
        <w:t>主要为了改善通风透光，促进花</w:t>
      </w:r>
      <w:r>
        <w:rPr>
          <w:sz w:val="29"/>
          <w:szCs w:val="29"/>
        </w:rPr>
        <w:t xml:space="preserve"> </w:t>
      </w:r>
      <w:r>
        <w:rPr>
          <w:sz w:val="29"/>
          <w:szCs w:val="29"/>
          <w:spacing w:val="1"/>
        </w:rPr>
        <w:t>芽形成等；对于不宜冬季重剪苗木，夏初为主要修剪时期，如法桐、木槿；</w:t>
      </w:r>
    </w:p>
    <w:p>
      <w:pPr>
        <w:pStyle w:val="BodyText"/>
        <w:ind w:left="300" w:right="685" w:firstLine="520"/>
        <w:spacing w:before="141" w:line="267" w:lineRule="auto"/>
        <w:rPr>
          <w:sz w:val="29"/>
          <w:szCs w:val="29"/>
        </w:rPr>
      </w:pPr>
      <w:r>
        <w:rPr>
          <w:sz w:val="29"/>
          <w:szCs w:val="29"/>
          <w:spacing w:val="-11"/>
        </w:rPr>
        <w:t>③秋季对贪青徒长的幼嫩部分进行摘心，主要为</w:t>
      </w:r>
      <w:r>
        <w:rPr>
          <w:sz w:val="29"/>
          <w:szCs w:val="29"/>
          <w:spacing w:val="-12"/>
        </w:rPr>
        <w:t>了促进新梢充实。一般来说，</w:t>
      </w:r>
      <w:r>
        <w:rPr>
          <w:sz w:val="29"/>
          <w:szCs w:val="29"/>
        </w:rPr>
        <w:t xml:space="preserve"> </w:t>
      </w:r>
      <w:r>
        <w:rPr>
          <w:sz w:val="29"/>
          <w:szCs w:val="29"/>
          <w:spacing w:val="-3"/>
        </w:rPr>
        <w:t>秋季修剪量不要太大。</w:t>
      </w:r>
    </w:p>
    <w:p>
      <w:pPr>
        <w:pStyle w:val="BodyText"/>
        <w:ind w:left="820"/>
        <w:spacing w:before="175" w:line="219" w:lineRule="auto"/>
        <w:rPr>
          <w:sz w:val="29"/>
          <w:szCs w:val="29"/>
        </w:rPr>
      </w:pPr>
      <w:r>
        <w:rPr>
          <w:sz w:val="29"/>
          <w:szCs w:val="29"/>
          <w:spacing w:val="31"/>
        </w:rPr>
        <w:t>2)修剪时间</w:t>
      </w:r>
    </w:p>
    <w:p>
      <w:pPr>
        <w:pStyle w:val="BodyText"/>
        <w:ind w:left="980"/>
        <w:spacing w:before="136" w:line="219" w:lineRule="auto"/>
        <w:rPr>
          <w:sz w:val="29"/>
          <w:szCs w:val="29"/>
        </w:rPr>
      </w:pPr>
      <w:r>
        <w:rPr>
          <w:sz w:val="29"/>
          <w:szCs w:val="29"/>
          <w:spacing w:val="21"/>
        </w:rPr>
        <w:t>(1)乔木修剪时间</w:t>
      </w:r>
    </w:p>
    <w:p>
      <w:pPr>
        <w:pStyle w:val="BodyText"/>
        <w:ind w:left="250" w:right="564" w:firstLine="570"/>
        <w:spacing w:before="143" w:line="263" w:lineRule="auto"/>
        <w:rPr>
          <w:sz w:val="29"/>
          <w:szCs w:val="29"/>
        </w:rPr>
      </w:pPr>
      <w:r>
        <w:rPr>
          <w:sz w:val="29"/>
          <w:szCs w:val="29"/>
          <w:spacing w:val="3"/>
        </w:rPr>
        <w:t>①12—2月适应性强的落叶树修剪以整形为主，可略重剪；常绿树及在当地</w:t>
      </w:r>
      <w:r>
        <w:rPr>
          <w:sz w:val="29"/>
          <w:szCs w:val="29"/>
          <w:spacing w:val="12"/>
        </w:rPr>
        <w:t xml:space="preserve"> </w:t>
      </w:r>
      <w:r>
        <w:rPr>
          <w:sz w:val="29"/>
          <w:szCs w:val="29"/>
        </w:rPr>
        <w:t>耐寒性差的苗木除栽植时修剪外，整形修剪选在春季回温后、萌芽前更为适宜；</w:t>
      </w:r>
    </w:p>
    <w:p>
      <w:pPr>
        <w:pStyle w:val="BodyText"/>
        <w:ind w:left="250" w:right="698" w:firstLine="570"/>
        <w:spacing w:before="141" w:line="267" w:lineRule="auto"/>
        <w:rPr>
          <w:sz w:val="29"/>
          <w:szCs w:val="29"/>
        </w:rPr>
      </w:pPr>
      <w:r>
        <w:rPr>
          <w:sz w:val="29"/>
          <w:szCs w:val="29"/>
          <w:spacing w:val="-3"/>
        </w:rPr>
        <w:t>②3—11月在生长期内以调整树势为主宜轻剪；有伤流的树种应在5—10</w:t>
      </w:r>
      <w:r>
        <w:rPr>
          <w:sz w:val="29"/>
          <w:szCs w:val="29"/>
          <w:spacing w:val="-4"/>
        </w:rPr>
        <w:t>月进</w:t>
      </w:r>
      <w:r>
        <w:rPr>
          <w:sz w:val="29"/>
          <w:szCs w:val="29"/>
        </w:rPr>
        <w:t xml:space="preserve"> </w:t>
      </w:r>
      <w:r>
        <w:rPr>
          <w:sz w:val="29"/>
          <w:szCs w:val="29"/>
        </w:rPr>
        <w:t>行修剪，避过春季伤流期。</w:t>
      </w:r>
    </w:p>
    <w:p>
      <w:pPr>
        <w:pStyle w:val="BodyText"/>
        <w:ind w:left="980"/>
        <w:spacing w:before="176" w:line="219" w:lineRule="auto"/>
        <w:rPr>
          <w:sz w:val="29"/>
          <w:szCs w:val="29"/>
        </w:rPr>
      </w:pPr>
      <w:r>
        <w:rPr>
          <w:sz w:val="29"/>
          <w:szCs w:val="29"/>
          <w:spacing w:val="21"/>
        </w:rPr>
        <w:t>(2)灌木修剪时间</w:t>
      </w:r>
    </w:p>
    <w:p>
      <w:pPr>
        <w:pStyle w:val="BodyText"/>
        <w:ind w:left="820"/>
        <w:spacing w:before="113" w:line="217" w:lineRule="auto"/>
        <w:rPr>
          <w:sz w:val="29"/>
          <w:szCs w:val="29"/>
        </w:rPr>
      </w:pPr>
      <w:r>
        <w:rPr>
          <w:sz w:val="29"/>
          <w:szCs w:val="29"/>
          <w:spacing w:val="-1"/>
        </w:rPr>
        <w:t>①3—5月约每月修剪1次；</w:t>
      </w:r>
    </w:p>
    <w:p>
      <w:pPr>
        <w:pStyle w:val="BodyText"/>
        <w:ind w:left="820"/>
        <w:spacing w:before="179" w:line="217" w:lineRule="auto"/>
        <w:rPr>
          <w:sz w:val="29"/>
          <w:szCs w:val="29"/>
        </w:rPr>
      </w:pPr>
      <w:r>
        <w:rPr>
          <w:sz w:val="29"/>
          <w:szCs w:val="29"/>
        </w:rPr>
        <w:t>②6—11月约每月修剪2次；</w:t>
      </w:r>
    </w:p>
    <w:p>
      <w:pPr>
        <w:pStyle w:val="BodyText"/>
        <w:ind w:left="250" w:right="616" w:firstLine="570"/>
        <w:spacing w:before="140" w:line="263" w:lineRule="auto"/>
        <w:rPr>
          <w:sz w:val="29"/>
          <w:szCs w:val="29"/>
        </w:rPr>
      </w:pPr>
      <w:r>
        <w:rPr>
          <w:sz w:val="29"/>
          <w:szCs w:val="29"/>
          <w:spacing w:val="3"/>
        </w:rPr>
        <w:t>③12—2月共修剪1—2次，北方越冬期禁止修剪，实际情况按当地气候、苗</w:t>
      </w:r>
      <w:r>
        <w:rPr>
          <w:sz w:val="29"/>
          <w:szCs w:val="29"/>
          <w:spacing w:val="12"/>
        </w:rPr>
        <w:t xml:space="preserve"> </w:t>
      </w:r>
      <w:r>
        <w:rPr>
          <w:sz w:val="29"/>
          <w:szCs w:val="29"/>
        </w:rPr>
        <w:t>木生长状况掌握修剪次数。</w:t>
      </w:r>
    </w:p>
    <w:p>
      <w:pPr>
        <w:pStyle w:val="BodyText"/>
        <w:ind w:left="250"/>
        <w:spacing w:before="172" w:line="395" w:lineRule="exact"/>
        <w:rPr>
          <w:rFonts w:ascii="SimHei" w:hAnsi="SimHei" w:eastAsia="SimHei" w:cs="SimHei"/>
          <w:sz w:val="29"/>
          <w:szCs w:val="29"/>
        </w:rPr>
      </w:pPr>
      <w:r>
        <w:rPr>
          <w:rFonts w:ascii="Arial" w:hAnsi="Arial" w:eastAsia="Arial" w:cs="Arial"/>
          <w:sz w:val="29"/>
          <w:szCs w:val="29"/>
          <w:spacing w:val="2"/>
          <w:position w:val="1"/>
        </w:rPr>
        <w:t>3</w:t>
      </w:r>
      <w:r>
        <w:rPr>
          <w:sz w:val="29"/>
          <w:szCs w:val="29"/>
          <w:spacing w:val="2"/>
          <w:position w:val="1"/>
        </w:rPr>
        <w:t>、</w:t>
      </w:r>
      <w:r>
        <w:rPr>
          <w:rFonts w:ascii="SimHei" w:hAnsi="SimHei" w:eastAsia="SimHei" w:cs="SimHei"/>
          <w:sz w:val="29"/>
          <w:szCs w:val="29"/>
          <w:spacing w:val="2"/>
          <w:position w:val="1"/>
        </w:rPr>
        <w:t>修剪方法</w:t>
      </w:r>
    </w:p>
    <w:p>
      <w:pPr>
        <w:pStyle w:val="BodyText"/>
        <w:ind w:left="980"/>
        <w:spacing w:before="157" w:line="219" w:lineRule="auto"/>
        <w:rPr>
          <w:sz w:val="24"/>
          <w:szCs w:val="24"/>
        </w:rPr>
      </w:pPr>
      <w:r>
        <w:rPr>
          <w:sz w:val="24"/>
          <w:szCs w:val="24"/>
          <w:spacing w:val="-16"/>
        </w:rPr>
        <w:t>(1)</w:t>
      </w:r>
      <w:r>
        <w:rPr>
          <w:sz w:val="24"/>
          <w:szCs w:val="24"/>
          <w:spacing w:val="22"/>
        </w:rPr>
        <w:t xml:space="preserve">  </w:t>
      </w:r>
      <w:r>
        <w:rPr>
          <w:sz w:val="24"/>
          <w:szCs w:val="24"/>
          <w:spacing w:val="-16"/>
        </w:rPr>
        <w:t>除</w:t>
      </w:r>
      <w:r>
        <w:rPr>
          <w:sz w:val="24"/>
          <w:szCs w:val="24"/>
          <w:spacing w:val="28"/>
        </w:rPr>
        <w:t xml:space="preserve"> </w:t>
      </w:r>
      <w:r>
        <w:rPr>
          <w:sz w:val="24"/>
          <w:szCs w:val="24"/>
          <w:spacing w:val="-16"/>
        </w:rPr>
        <w:t>蘖</w:t>
      </w:r>
    </w:p>
    <w:p>
      <w:pPr>
        <w:pStyle w:val="BodyText"/>
        <w:ind w:left="250" w:right="591" w:firstLine="570"/>
        <w:spacing w:before="169" w:line="307" w:lineRule="auto"/>
        <w:jc w:val="both"/>
        <w:rPr>
          <w:sz w:val="29"/>
          <w:szCs w:val="29"/>
        </w:rPr>
      </w:pPr>
      <w:r>
        <w:drawing>
          <wp:anchor distT="0" distB="0" distL="0" distR="0" simplePos="0" relativeHeight="251663360" behindDoc="0" locked="0" layoutInCell="1" allowOverlap="1">
            <wp:simplePos x="0" y="0"/>
            <wp:positionH relativeFrom="column">
              <wp:posOffset>0</wp:posOffset>
            </wp:positionH>
            <wp:positionV relativeFrom="paragraph">
              <wp:posOffset>1007777</wp:posOffset>
            </wp:positionV>
            <wp:extent cx="2000330" cy="1365227"/>
            <wp:effectExtent l="0" t="0" r="0" b="0"/>
            <wp:wrapNone/>
            <wp:docPr id="24" name="IM 24"/>
            <wp:cNvGraphicFramePr/>
            <a:graphic>
              <a:graphicData uri="http://schemas.openxmlformats.org/drawingml/2006/picture">
                <pic:pic>
                  <pic:nvPicPr>
                    <pic:cNvPr id="24" name="IM 24"/>
                    <pic:cNvPicPr/>
                  </pic:nvPicPr>
                  <pic:blipFill>
                    <a:blip r:embed="rId23"/>
                    <a:stretch>
                      <a:fillRect/>
                    </a:stretch>
                  </pic:blipFill>
                  <pic:spPr>
                    <a:xfrm rot="0">
                      <a:off x="0" y="0"/>
                      <a:ext cx="2000330" cy="1365227"/>
                    </a:xfrm>
                    <a:prstGeom prst="rect">
                      <a:avLst/>
                    </a:prstGeom>
                  </pic:spPr>
                </pic:pic>
              </a:graphicData>
            </a:graphic>
          </wp:anchor>
        </w:drawing>
      </w:r>
      <w:r>
        <w:rPr>
          <w:sz w:val="29"/>
          <w:szCs w:val="29"/>
          <w:spacing w:val="-1"/>
        </w:rPr>
        <w:t>苗木生长季期间要随时除去萌蘖，及枝条上多余的芽体，如每年夏季对行道</w:t>
      </w:r>
      <w:r>
        <w:rPr>
          <w:sz w:val="29"/>
          <w:szCs w:val="29"/>
          <w:spacing w:val="18"/>
        </w:rPr>
        <w:t xml:space="preserve"> </w:t>
      </w:r>
      <w:r>
        <w:rPr>
          <w:sz w:val="29"/>
          <w:szCs w:val="29"/>
        </w:rPr>
        <w:t>树主干上萌发的隐芽进行抹除，一方面可使行道树</w:t>
      </w:r>
      <w:r>
        <w:rPr>
          <w:sz w:val="29"/>
          <w:szCs w:val="29"/>
          <w:spacing w:val="-1"/>
        </w:rPr>
        <w:t>主干通直，增加观赏性；另一</w:t>
      </w:r>
      <w:r>
        <w:rPr>
          <w:sz w:val="29"/>
          <w:szCs w:val="29"/>
        </w:rPr>
        <w:t xml:space="preserve"> </w:t>
      </w:r>
      <w:r>
        <w:rPr>
          <w:sz w:val="29"/>
          <w:szCs w:val="29"/>
          <w:spacing w:val="1"/>
        </w:rPr>
        <w:t>方面可以减少不必要的营养消耗，增强其生长势，保证树体健康的生长发育。</w:t>
      </w:r>
    </w:p>
    <w:p>
      <w:pPr>
        <w:ind w:firstLine="3510"/>
        <w:spacing w:line="2380" w:lineRule="exact"/>
        <w:rPr/>
      </w:pPr>
      <w:r>
        <w:drawing>
          <wp:anchor distT="0" distB="0" distL="0" distR="0" simplePos="0" relativeHeight="251662336" behindDoc="0" locked="0" layoutInCell="1" allowOverlap="1">
            <wp:simplePos x="0" y="0"/>
            <wp:positionH relativeFrom="column">
              <wp:posOffset>4629190</wp:posOffset>
            </wp:positionH>
            <wp:positionV relativeFrom="paragraph">
              <wp:posOffset>0</wp:posOffset>
            </wp:positionV>
            <wp:extent cx="2343164" cy="1504960"/>
            <wp:effectExtent l="0" t="0" r="0" b="0"/>
            <wp:wrapNone/>
            <wp:docPr id="26" name="IM 26"/>
            <wp:cNvGraphicFramePr/>
            <a:graphic>
              <a:graphicData uri="http://schemas.openxmlformats.org/drawingml/2006/picture">
                <pic:pic>
                  <pic:nvPicPr>
                    <pic:cNvPr id="26" name="IM 26"/>
                    <pic:cNvPicPr/>
                  </pic:nvPicPr>
                  <pic:blipFill>
                    <a:blip r:embed="rId24"/>
                    <a:stretch>
                      <a:fillRect/>
                    </a:stretch>
                  </pic:blipFill>
                  <pic:spPr>
                    <a:xfrm rot="0">
                      <a:off x="0" y="0"/>
                      <a:ext cx="2343164" cy="1504960"/>
                    </a:xfrm>
                    <a:prstGeom prst="rect">
                      <a:avLst/>
                    </a:prstGeom>
                  </pic:spPr>
                </pic:pic>
              </a:graphicData>
            </a:graphic>
          </wp:anchor>
        </w:drawing>
      </w:r>
      <w:r>
        <w:rPr>
          <w:position w:val="-47"/>
        </w:rPr>
        <w:drawing>
          <wp:inline distT="0" distB="0" distL="0" distR="0">
            <wp:extent cx="2355862" cy="1511329"/>
            <wp:effectExtent l="0" t="0" r="0" b="0"/>
            <wp:docPr id="28" name="IM 28"/>
            <wp:cNvGraphicFramePr/>
            <a:graphic>
              <a:graphicData uri="http://schemas.openxmlformats.org/drawingml/2006/picture">
                <pic:pic>
                  <pic:nvPicPr>
                    <pic:cNvPr id="28" name="IM 28"/>
                    <pic:cNvPicPr/>
                  </pic:nvPicPr>
                  <pic:blipFill>
                    <a:blip r:embed="rId25"/>
                    <a:stretch>
                      <a:fillRect/>
                    </a:stretch>
                  </pic:blipFill>
                  <pic:spPr>
                    <a:xfrm rot="0">
                      <a:off x="0" y="0"/>
                      <a:ext cx="2355862" cy="1511329"/>
                    </a:xfrm>
                    <a:prstGeom prst="rect">
                      <a:avLst/>
                    </a:prstGeom>
                  </pic:spPr>
                </pic:pic>
              </a:graphicData>
            </a:graphic>
          </wp:inline>
        </w:drawing>
      </w:r>
    </w:p>
    <w:p>
      <w:pPr>
        <w:pStyle w:val="BodyText"/>
        <w:ind w:left="3700"/>
        <w:spacing w:before="70" w:line="219" w:lineRule="auto"/>
        <w:rPr>
          <w:sz w:val="24"/>
          <w:szCs w:val="24"/>
        </w:rPr>
      </w:pPr>
      <w:r>
        <w:rPr>
          <w:sz w:val="24"/>
          <w:szCs w:val="24"/>
          <w:spacing w:val="6"/>
        </w:rPr>
        <w:t>图2-2-4除蘖示意图、实景图</w:t>
      </w:r>
    </w:p>
    <w:p>
      <w:pPr>
        <w:pStyle w:val="BodyText"/>
        <w:ind w:left="980"/>
        <w:spacing w:before="215" w:line="219" w:lineRule="auto"/>
        <w:rPr>
          <w:sz w:val="24"/>
          <w:szCs w:val="24"/>
        </w:rPr>
      </w:pPr>
      <w:r>
        <w:rPr>
          <w:sz w:val="24"/>
          <w:szCs w:val="24"/>
          <w:spacing w:val="-13"/>
        </w:rPr>
        <w:t>(2)</w:t>
      </w:r>
      <w:r>
        <w:rPr>
          <w:sz w:val="24"/>
          <w:szCs w:val="24"/>
          <w:spacing w:val="21"/>
        </w:rPr>
        <w:t xml:space="preserve">  </w:t>
      </w:r>
      <w:r>
        <w:rPr>
          <w:sz w:val="24"/>
          <w:szCs w:val="24"/>
          <w:spacing w:val="-13"/>
        </w:rPr>
        <w:t>疏</w:t>
      </w:r>
      <w:r>
        <w:rPr>
          <w:sz w:val="24"/>
          <w:szCs w:val="24"/>
          <w:spacing w:val="16"/>
        </w:rPr>
        <w:t xml:space="preserve"> </w:t>
      </w:r>
      <w:r>
        <w:rPr>
          <w:sz w:val="24"/>
          <w:szCs w:val="24"/>
          <w:spacing w:val="-13"/>
        </w:rPr>
        <w:t>枝</w:t>
      </w:r>
    </w:p>
    <w:p>
      <w:pPr>
        <w:pStyle w:val="BodyText"/>
        <w:ind w:left="250" w:right="325" w:firstLine="570"/>
        <w:spacing w:before="197" w:line="288" w:lineRule="auto"/>
        <w:rPr>
          <w:sz w:val="29"/>
          <w:szCs w:val="29"/>
        </w:rPr>
      </w:pPr>
      <w:r>
        <w:rPr>
          <w:sz w:val="29"/>
          <w:szCs w:val="29"/>
        </w:rPr>
        <w:t>疏剪能减少树冠内部的分枝数量，使枝条分</w:t>
      </w:r>
      <w:r>
        <w:rPr>
          <w:sz w:val="29"/>
          <w:szCs w:val="29"/>
          <w:spacing w:val="-1"/>
        </w:rPr>
        <w:t>布趋向合理与均匀，改善树冠内</w:t>
      </w:r>
      <w:r>
        <w:rPr>
          <w:sz w:val="29"/>
          <w:szCs w:val="29"/>
        </w:rPr>
        <w:t xml:space="preserve">   </w:t>
      </w:r>
      <w:r>
        <w:rPr>
          <w:sz w:val="29"/>
          <w:szCs w:val="29"/>
          <w:spacing w:val="-9"/>
        </w:rPr>
        <w:t>膛的通风与透光，增强树体长势，减少病虫害的发生，并促进苗木生长或开花结果。</w:t>
      </w:r>
    </w:p>
    <w:p>
      <w:pPr>
        <w:spacing w:line="288" w:lineRule="auto"/>
        <w:sectPr>
          <w:footerReference w:type="default" r:id="rId22"/>
          <w:pgSz w:w="14490" w:h="20470"/>
          <w:pgMar w:top="1739" w:right="1609" w:bottom="1393" w:left="1899" w:header="0" w:footer="1231" w:gutter="0"/>
        </w:sectPr>
        <w:rPr>
          <w:sz w:val="29"/>
          <w:szCs w:val="29"/>
        </w:rPr>
      </w:pPr>
    </w:p>
    <w:p>
      <w:pPr>
        <w:ind w:firstLine="1440"/>
        <w:spacing w:before="170" w:line="1710" w:lineRule="exact"/>
        <w:rPr/>
      </w:pPr>
      <w:r>
        <w:rPr>
          <w:position w:val="-34"/>
        </w:rPr>
        <w:drawing>
          <wp:inline distT="0" distB="0" distL="0" distR="0">
            <wp:extent cx="1301686" cy="1085891"/>
            <wp:effectExtent l="0" t="0" r="0" b="0"/>
            <wp:docPr id="30" name="IM 30"/>
            <wp:cNvGraphicFramePr/>
            <a:graphic>
              <a:graphicData uri="http://schemas.openxmlformats.org/drawingml/2006/picture">
                <pic:pic>
                  <pic:nvPicPr>
                    <pic:cNvPr id="30" name="IM 30"/>
                    <pic:cNvPicPr/>
                  </pic:nvPicPr>
                  <pic:blipFill>
                    <a:blip r:embed="rId27"/>
                    <a:stretch>
                      <a:fillRect/>
                    </a:stretch>
                  </pic:blipFill>
                  <pic:spPr>
                    <a:xfrm rot="0">
                      <a:off x="0" y="0"/>
                      <a:ext cx="1301686" cy="1085891"/>
                    </a:xfrm>
                    <a:prstGeom prst="rect">
                      <a:avLst/>
                    </a:prstGeom>
                  </pic:spPr>
                </pic:pic>
              </a:graphicData>
            </a:graphic>
          </wp:inline>
        </w:drawing>
      </w:r>
    </w:p>
    <w:p>
      <w:pPr>
        <w:ind w:left="1589"/>
        <w:spacing w:before="106" w:line="220" w:lineRule="auto"/>
        <w:rPr>
          <w:rFonts w:ascii="SimHei" w:hAnsi="SimHei" w:eastAsia="SimHei" w:cs="SimHei"/>
          <w:sz w:val="21"/>
          <w:szCs w:val="21"/>
        </w:rPr>
      </w:pPr>
      <w:r>
        <w:rPr>
          <w:rFonts w:ascii="SimHei" w:hAnsi="SimHei" w:eastAsia="SimHei" w:cs="SimHei"/>
          <w:sz w:val="21"/>
          <w:szCs w:val="21"/>
          <w:spacing w:val="16"/>
        </w:rPr>
        <w:t>主干上疏剪大枝</w:t>
      </w:r>
    </w:p>
    <w:p>
      <w:pPr>
        <w:spacing w:line="64"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1888" w:lineRule="exact"/>
        <w:rPr/>
      </w:pPr>
      <w:r>
        <w:rPr>
          <w:position w:val="-37"/>
        </w:rPr>
        <w:drawing>
          <wp:inline distT="0" distB="0" distL="0" distR="0">
            <wp:extent cx="1905006" cy="1199270"/>
            <wp:effectExtent l="0" t="0" r="0" b="0"/>
            <wp:docPr id="32" name="IM 32"/>
            <wp:cNvGraphicFramePr/>
            <a:graphic>
              <a:graphicData uri="http://schemas.openxmlformats.org/drawingml/2006/picture">
                <pic:pic>
                  <pic:nvPicPr>
                    <pic:cNvPr id="32" name="IM 32"/>
                    <pic:cNvPicPr/>
                  </pic:nvPicPr>
                  <pic:blipFill>
                    <a:blip r:embed="rId28"/>
                    <a:stretch>
                      <a:fillRect/>
                    </a:stretch>
                  </pic:blipFill>
                  <pic:spPr>
                    <a:xfrm rot="0">
                      <a:off x="0" y="0"/>
                      <a:ext cx="1905006" cy="1199270"/>
                    </a:xfrm>
                    <a:prstGeom prst="rect">
                      <a:avLst/>
                    </a:prstGeom>
                  </pic:spPr>
                </pic:pic>
              </a:graphicData>
            </a:graphic>
          </wp:inline>
        </w:drawing>
      </w:r>
    </w:p>
    <w:p>
      <w:pPr>
        <w:ind w:left="369"/>
        <w:spacing w:before="96" w:line="221" w:lineRule="auto"/>
        <w:rPr>
          <w:rFonts w:ascii="SimHei" w:hAnsi="SimHei" w:eastAsia="SimHei" w:cs="SimHei"/>
          <w:sz w:val="21"/>
          <w:szCs w:val="21"/>
        </w:rPr>
      </w:pPr>
      <w:r>
        <w:rPr>
          <w:rFonts w:ascii="SimHei" w:hAnsi="SimHei" w:eastAsia="SimHei" w:cs="SimHei"/>
          <w:sz w:val="21"/>
          <w:szCs w:val="21"/>
          <w:spacing w:val="19"/>
        </w:rPr>
        <w:t>侧枝上修剪过密枝</w:t>
      </w:r>
    </w:p>
    <w:p>
      <w:pPr>
        <w:spacing w:line="14" w:lineRule="auto"/>
        <w:rPr>
          <w:rFonts w:ascii="Arial"/>
          <w:sz w:val="2"/>
        </w:rPr>
      </w:pPr>
      <w:r>
        <w:rPr>
          <w:rFonts w:ascii="Arial" w:hAnsi="Arial" w:eastAsia="Arial" w:cs="Arial"/>
          <w:sz w:val="2"/>
          <w:szCs w:val="2"/>
        </w:rPr>
        <w:br w:type="column"/>
      </w:r>
    </w:p>
    <w:p>
      <w:pPr>
        <w:spacing w:line="1848" w:lineRule="exact"/>
        <w:rPr/>
      </w:pPr>
      <w:r>
        <w:rPr>
          <w:position w:val="-36"/>
        </w:rPr>
        <w:drawing>
          <wp:inline distT="0" distB="0" distL="0" distR="0">
            <wp:extent cx="1054084" cy="1173923"/>
            <wp:effectExtent l="0" t="0" r="0" b="0"/>
            <wp:docPr id="34" name="IM 34"/>
            <wp:cNvGraphicFramePr/>
            <a:graphic>
              <a:graphicData uri="http://schemas.openxmlformats.org/drawingml/2006/picture">
                <pic:pic>
                  <pic:nvPicPr>
                    <pic:cNvPr id="34" name="IM 34"/>
                    <pic:cNvPicPr/>
                  </pic:nvPicPr>
                  <pic:blipFill>
                    <a:blip r:embed="rId29"/>
                    <a:stretch>
                      <a:fillRect/>
                    </a:stretch>
                  </pic:blipFill>
                  <pic:spPr>
                    <a:xfrm rot="0">
                      <a:off x="0" y="0"/>
                      <a:ext cx="1054084" cy="1173923"/>
                    </a:xfrm>
                    <a:prstGeom prst="rect">
                      <a:avLst/>
                    </a:prstGeom>
                  </pic:spPr>
                </pic:pic>
              </a:graphicData>
            </a:graphic>
          </wp:inline>
        </w:drawing>
      </w:r>
    </w:p>
    <w:p>
      <w:pPr>
        <w:ind w:left="199"/>
        <w:spacing w:before="136" w:line="220" w:lineRule="auto"/>
        <w:rPr>
          <w:rFonts w:ascii="SimHei" w:hAnsi="SimHei" w:eastAsia="SimHei" w:cs="SimHei"/>
          <w:sz w:val="21"/>
          <w:szCs w:val="21"/>
        </w:rPr>
      </w:pPr>
      <w:r>
        <w:rPr>
          <w:rFonts w:ascii="SimHei" w:hAnsi="SimHei" w:eastAsia="SimHei" w:cs="SimHei"/>
          <w:sz w:val="21"/>
          <w:szCs w:val="21"/>
          <w:spacing w:val="20"/>
        </w:rPr>
        <w:t>小枝先端疏剪</w:t>
      </w:r>
    </w:p>
    <w:p>
      <w:pPr>
        <w:spacing w:line="220" w:lineRule="auto"/>
        <w:sectPr>
          <w:footerReference w:type="default" r:id="rId26"/>
          <w:pgSz w:w="14490" w:h="20470"/>
          <w:pgMar w:top="1529" w:right="2173" w:bottom="1385" w:left="2150" w:header="0" w:footer="1223" w:gutter="0"/>
          <w:cols w:equalWidth="0" w:num="3">
            <w:col w:w="3840" w:space="100"/>
            <w:col w:w="3361" w:space="100"/>
            <w:col w:w="2767" w:space="0"/>
          </w:cols>
        </w:sectPr>
        <w:rPr>
          <w:rFonts w:ascii="SimHei" w:hAnsi="SimHei" w:eastAsia="SimHei" w:cs="SimHei"/>
          <w:sz w:val="21"/>
          <w:szCs w:val="21"/>
        </w:rPr>
      </w:pPr>
    </w:p>
    <w:p>
      <w:pPr>
        <w:spacing w:line="434" w:lineRule="auto"/>
        <w:rPr>
          <w:rFonts w:ascii="Arial"/>
          <w:sz w:val="21"/>
        </w:rPr>
      </w:pPr>
      <w:r/>
    </w:p>
    <w:p>
      <w:pPr>
        <w:ind w:firstLine="1879"/>
        <w:spacing w:line="1689" w:lineRule="exact"/>
        <w:rPr/>
      </w:pPr>
      <w:r>
        <w:rPr>
          <w:position w:val="-33"/>
        </w:rPr>
        <w:drawing>
          <wp:inline distT="0" distB="0" distL="0" distR="0">
            <wp:extent cx="4375146" cy="1072384"/>
            <wp:effectExtent l="0" t="0" r="0" b="0"/>
            <wp:docPr id="36" name="IM 36"/>
            <wp:cNvGraphicFramePr/>
            <a:graphic>
              <a:graphicData uri="http://schemas.openxmlformats.org/drawingml/2006/picture">
                <pic:pic>
                  <pic:nvPicPr>
                    <pic:cNvPr id="36" name="IM 36"/>
                    <pic:cNvPicPr/>
                  </pic:nvPicPr>
                  <pic:blipFill>
                    <a:blip r:embed="rId30"/>
                    <a:stretch>
                      <a:fillRect/>
                    </a:stretch>
                  </pic:blipFill>
                  <pic:spPr>
                    <a:xfrm rot="0">
                      <a:off x="0" y="0"/>
                      <a:ext cx="4375146" cy="1072384"/>
                    </a:xfrm>
                    <a:prstGeom prst="rect">
                      <a:avLst/>
                    </a:prstGeom>
                  </pic:spPr>
                </pic:pic>
              </a:graphicData>
            </a:graphic>
          </wp:inline>
        </w:drawing>
      </w:r>
    </w:p>
    <w:p>
      <w:pPr>
        <w:ind w:left="1589"/>
        <w:spacing w:before="1" w:line="203" w:lineRule="auto"/>
        <w:rPr>
          <w:rFonts w:ascii="SimHei" w:hAnsi="SimHei" w:eastAsia="SimHei" w:cs="SimHei"/>
          <w:sz w:val="23"/>
          <w:szCs w:val="23"/>
        </w:rPr>
      </w:pPr>
      <w:r>
        <w:rPr>
          <w:rFonts w:ascii="SimHei" w:hAnsi="SimHei" w:eastAsia="SimHei" w:cs="SimHei"/>
          <w:sz w:val="23"/>
          <w:szCs w:val="23"/>
          <w:spacing w:val="1"/>
        </w:rPr>
        <w:t>疏上枝，增强下枝</w:t>
      </w:r>
      <w:r>
        <w:rPr>
          <w:rFonts w:ascii="SimHei" w:hAnsi="SimHei" w:eastAsia="SimHei" w:cs="SimHei"/>
          <w:sz w:val="23"/>
          <w:szCs w:val="23"/>
          <w:spacing w:val="12"/>
        </w:rPr>
        <w:t xml:space="preserve">        </w:t>
      </w:r>
      <w:r>
        <w:rPr>
          <w:rFonts w:ascii="SimHei" w:hAnsi="SimHei" w:eastAsia="SimHei" w:cs="SimHei"/>
          <w:sz w:val="23"/>
          <w:szCs w:val="23"/>
          <w:spacing w:val="1"/>
        </w:rPr>
        <w:t>疏下枝，削弱上枝</w:t>
      </w:r>
      <w:r>
        <w:rPr>
          <w:rFonts w:ascii="SimHei" w:hAnsi="SimHei" w:eastAsia="SimHei" w:cs="SimHei"/>
          <w:sz w:val="23"/>
          <w:szCs w:val="23"/>
          <w:spacing w:val="1"/>
        </w:rPr>
        <w:t xml:space="preserve">        </w:t>
      </w:r>
      <w:r>
        <w:rPr>
          <w:rFonts w:ascii="SimHei" w:hAnsi="SimHei" w:eastAsia="SimHei" w:cs="SimHei"/>
          <w:sz w:val="23"/>
          <w:szCs w:val="23"/>
          <w:spacing w:val="1"/>
        </w:rPr>
        <w:t>疏</w:t>
      </w:r>
      <w:r>
        <w:rPr>
          <w:rFonts w:ascii="SimHei" w:hAnsi="SimHei" w:eastAsia="SimHei" w:cs="SimHei"/>
          <w:sz w:val="23"/>
          <w:szCs w:val="23"/>
        </w:rPr>
        <w:t>中，抑上枝促下枝</w:t>
      </w:r>
    </w:p>
    <w:p>
      <w:pPr>
        <w:pStyle w:val="BodyText"/>
        <w:ind w:left="3959"/>
        <w:spacing w:before="198" w:line="219" w:lineRule="auto"/>
        <w:rPr>
          <w:sz w:val="27"/>
          <w:szCs w:val="27"/>
        </w:rPr>
      </w:pPr>
      <w:r>
        <w:rPr>
          <w:sz w:val="27"/>
          <w:szCs w:val="27"/>
          <w:spacing w:val="-18"/>
        </w:rPr>
        <w:t>图2-2-5疏枝示意图</w:t>
      </w:r>
    </w:p>
    <w:p>
      <w:pPr>
        <w:pStyle w:val="BodyText"/>
        <w:ind w:right="252" w:firstLine="600"/>
        <w:spacing w:before="140" w:line="289" w:lineRule="auto"/>
        <w:rPr>
          <w:sz w:val="29"/>
          <w:szCs w:val="29"/>
        </w:rPr>
      </w:pPr>
      <w:r>
        <w:rPr>
          <w:sz w:val="29"/>
          <w:szCs w:val="29"/>
          <w:spacing w:val="-8"/>
        </w:rPr>
        <w:t>疏剪内容：主要修剪徒长枝、病虫枝、交叉枝、并生枝、下垂枝、树身萌蘖</w:t>
      </w:r>
      <w:r>
        <w:rPr>
          <w:sz w:val="29"/>
          <w:szCs w:val="29"/>
          <w:spacing w:val="7"/>
        </w:rPr>
        <w:t xml:space="preserve"> </w:t>
      </w:r>
      <w:r>
        <w:rPr>
          <w:sz w:val="29"/>
          <w:szCs w:val="29"/>
          <w:spacing w:val="1"/>
        </w:rPr>
        <w:t>枝、折断枝、过密枝、内向枝、内膛枝、枯枝等。</w:t>
      </w:r>
    </w:p>
    <w:p>
      <w:pPr>
        <w:pStyle w:val="BodyText"/>
        <w:ind w:firstLine="740"/>
        <w:spacing w:line="6169" w:lineRule="exact"/>
        <w:rPr/>
      </w:pPr>
      <w:r>
        <w:pict>
          <v:shape id="_x0000_s4" style="position:absolute;margin-left:282.125pt;margin-top:162.395pt;mso-position-vertical-relative:text;mso-position-horizontal-relative:text;width:10.75pt;height:12.9pt;z-index:251668480;" filled="false" stroked="false" type="#_x0000_t202">
            <v:fill on="false"/>
            <v:stroke on="false"/>
            <v:path/>
            <v:imagedata o:title=""/>
            <o:lock v:ext="edit" aspectratio="false"/>
            <v:textbox inset="0mm,0mm,0mm,0mm">
              <w:txbxContent>
                <w:p>
                  <w:pPr>
                    <w:ind w:left="20"/>
                    <w:spacing w:before="20" w:line="223" w:lineRule="auto"/>
                    <w:rPr>
                      <w:rFonts w:ascii="SimHei" w:hAnsi="SimHei" w:eastAsia="SimHei" w:cs="SimHei"/>
                      <w:sz w:val="18"/>
                      <w:szCs w:val="18"/>
                    </w:rPr>
                  </w:pPr>
                  <w:r>
                    <w:rPr>
                      <w:rFonts w:ascii="SimHei" w:hAnsi="SimHei" w:eastAsia="SimHei" w:cs="SimHei"/>
                      <w:sz w:val="18"/>
                      <w:szCs w:val="18"/>
                    </w:rPr>
                    <w:t>枝</w:t>
                  </w:r>
                </w:p>
              </w:txbxContent>
            </v:textbox>
          </v:shape>
        </w:pict>
      </w:r>
      <w:r>
        <w:drawing>
          <wp:anchor distT="0" distB="0" distL="0" distR="0" simplePos="0" relativeHeight="251667456" behindDoc="0" locked="0" layoutInCell="1" allowOverlap="1">
            <wp:simplePos x="0" y="0"/>
            <wp:positionH relativeFrom="column">
              <wp:posOffset>4508471</wp:posOffset>
            </wp:positionH>
            <wp:positionV relativeFrom="paragraph">
              <wp:posOffset>145971</wp:posOffset>
            </wp:positionV>
            <wp:extent cx="908062" cy="793815"/>
            <wp:effectExtent l="0" t="0" r="0" b="0"/>
            <wp:wrapNone/>
            <wp:docPr id="38" name="IM 38"/>
            <wp:cNvGraphicFramePr/>
            <a:graphic>
              <a:graphicData uri="http://schemas.openxmlformats.org/drawingml/2006/picture">
                <pic:pic>
                  <pic:nvPicPr>
                    <pic:cNvPr id="38" name="IM 38"/>
                    <pic:cNvPicPr/>
                  </pic:nvPicPr>
                  <pic:blipFill>
                    <a:blip r:embed="rId31"/>
                    <a:stretch>
                      <a:fillRect/>
                    </a:stretch>
                  </pic:blipFill>
                  <pic:spPr>
                    <a:xfrm rot="0">
                      <a:off x="0" y="0"/>
                      <a:ext cx="908062" cy="793815"/>
                    </a:xfrm>
                    <a:prstGeom prst="rect">
                      <a:avLst/>
                    </a:prstGeom>
                  </pic:spPr>
                </pic:pic>
              </a:graphicData>
            </a:graphic>
          </wp:anchor>
        </w:drawing>
      </w:r>
      <w:r>
        <w:drawing>
          <wp:anchor distT="0" distB="0" distL="0" distR="0" simplePos="0" relativeHeight="251666432" behindDoc="0" locked="0" layoutInCell="1" allowOverlap="1">
            <wp:simplePos x="0" y="0"/>
            <wp:positionH relativeFrom="column">
              <wp:posOffset>4298961</wp:posOffset>
            </wp:positionH>
            <wp:positionV relativeFrom="paragraph">
              <wp:posOffset>1092129</wp:posOffset>
            </wp:positionV>
            <wp:extent cx="1473196" cy="774707"/>
            <wp:effectExtent l="0" t="0" r="0" b="0"/>
            <wp:wrapNone/>
            <wp:docPr id="40" name="IM 40"/>
            <wp:cNvGraphicFramePr/>
            <a:graphic>
              <a:graphicData uri="http://schemas.openxmlformats.org/drawingml/2006/picture">
                <pic:pic>
                  <pic:nvPicPr>
                    <pic:cNvPr id="40" name="IM 40"/>
                    <pic:cNvPicPr/>
                  </pic:nvPicPr>
                  <pic:blipFill>
                    <a:blip r:embed="rId32"/>
                    <a:stretch>
                      <a:fillRect/>
                    </a:stretch>
                  </pic:blipFill>
                  <pic:spPr>
                    <a:xfrm rot="0">
                      <a:off x="0" y="0"/>
                      <a:ext cx="1473196" cy="774707"/>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4489425</wp:posOffset>
            </wp:positionH>
            <wp:positionV relativeFrom="paragraph">
              <wp:posOffset>2152674</wp:posOffset>
            </wp:positionV>
            <wp:extent cx="806480" cy="1739841"/>
            <wp:effectExtent l="0" t="0" r="0" b="0"/>
            <wp:wrapNone/>
            <wp:docPr id="42" name="IM 42"/>
            <wp:cNvGraphicFramePr/>
            <a:graphic>
              <a:graphicData uri="http://schemas.openxmlformats.org/drawingml/2006/picture">
                <pic:pic>
                  <pic:nvPicPr>
                    <pic:cNvPr id="42" name="IM 42"/>
                    <pic:cNvPicPr/>
                  </pic:nvPicPr>
                  <pic:blipFill>
                    <a:blip r:embed="rId33"/>
                    <a:stretch>
                      <a:fillRect/>
                    </a:stretch>
                  </pic:blipFill>
                  <pic:spPr>
                    <a:xfrm rot="0">
                      <a:off x="0" y="0"/>
                      <a:ext cx="806480" cy="1739841"/>
                    </a:xfrm>
                    <a:prstGeom prst="rect">
                      <a:avLst/>
                    </a:prstGeom>
                  </pic:spPr>
                </pic:pic>
              </a:graphicData>
            </a:graphic>
          </wp:anchor>
        </w:drawing>
      </w:r>
      <w:r>
        <w:rPr>
          <w:position w:val="-123"/>
        </w:rPr>
        <w:pict>
          <v:group id="_x0000_s6" style="mso-position-vertical-relative:line;mso-position-horizontal-relative:char;width:242.05pt;height:308.5pt;" filled="false" stroked="false" coordsize="4841,6170" coordorigin="0,0">
            <v:shape id="_x0000_s8" style="position:absolute;left:209;top:0;width:4391;height:6170;" filled="false" stroked="false" type="#_x0000_t75">
              <v:imagedata o:title="" r:id="rId34"/>
            </v:shape>
            <v:shape id="_x0000_s10" style="position:absolute;left:570;top:727;width:4291;height:5124;" filled="false" stroked="false" type="#_x0000_t202">
              <v:fill on="false"/>
              <v:stroke on="false"/>
              <v:path/>
              <v:imagedata o:title=""/>
              <o:lock v:ext="edit" aspectratio="false"/>
              <v:textbox inset="0mm,0mm,0mm,0mm">
                <w:txbxContent>
                  <w:p>
                    <w:pPr>
                      <w:ind w:left="429"/>
                      <w:spacing w:before="20" w:line="222" w:lineRule="auto"/>
                      <w:rPr>
                        <w:rFonts w:ascii="SimHei" w:hAnsi="SimHei" w:eastAsia="SimHei" w:cs="SimHei"/>
                        <w:sz w:val="19"/>
                        <w:szCs w:val="19"/>
                      </w:rPr>
                    </w:pPr>
                    <w:r>
                      <w:rPr>
                        <w:rFonts w:ascii="SimHei" w:hAnsi="SimHei" w:eastAsia="SimHei" w:cs="SimHei"/>
                        <w:sz w:val="19"/>
                        <w:szCs w:val="19"/>
                        <w:spacing w:val="-6"/>
                      </w:rPr>
                      <w:t>并</w:t>
                    </w:r>
                    <w:r>
                      <w:rPr>
                        <w:rFonts w:ascii="SimHei" w:hAnsi="SimHei" w:eastAsia="SimHei" w:cs="SimHei"/>
                        <w:sz w:val="19"/>
                        <w:szCs w:val="19"/>
                        <w:spacing w:val="25"/>
                      </w:rPr>
                      <w:t xml:space="preserve"> </w:t>
                    </w:r>
                    <w:r>
                      <w:rPr>
                        <w:rFonts w:ascii="SimHei" w:hAnsi="SimHei" w:eastAsia="SimHei" w:cs="SimHei"/>
                        <w:sz w:val="19"/>
                        <w:szCs w:val="19"/>
                        <w:spacing w:val="-6"/>
                      </w:rPr>
                      <w:t>生</w:t>
                    </w:r>
                    <w:r>
                      <w:rPr>
                        <w:rFonts w:ascii="SimHei" w:hAnsi="SimHei" w:eastAsia="SimHei" w:cs="SimHei"/>
                        <w:sz w:val="19"/>
                        <w:szCs w:val="19"/>
                        <w:spacing w:val="25"/>
                      </w:rPr>
                      <w:t xml:space="preserve"> </w:t>
                    </w:r>
                    <w:r>
                      <w:rPr>
                        <w:rFonts w:ascii="SimHei" w:hAnsi="SimHei" w:eastAsia="SimHei" w:cs="SimHei"/>
                        <w:sz w:val="19"/>
                        <w:szCs w:val="19"/>
                        <w:spacing w:val="-6"/>
                      </w:rPr>
                      <w:t>枝</w:t>
                    </w:r>
                  </w:p>
                  <w:p>
                    <w:pPr>
                      <w:spacing w:line="430" w:lineRule="auto"/>
                      <w:rPr>
                        <w:rFonts w:ascii="Arial"/>
                        <w:sz w:val="21"/>
                      </w:rPr>
                    </w:pPr>
                    <w:r/>
                  </w:p>
                  <w:p>
                    <w:pPr>
                      <w:ind w:left="2829"/>
                      <w:spacing w:before="58" w:line="223" w:lineRule="auto"/>
                      <w:rPr>
                        <w:rFonts w:ascii="SimHei" w:hAnsi="SimHei" w:eastAsia="SimHei" w:cs="SimHei"/>
                        <w:sz w:val="18"/>
                        <w:szCs w:val="18"/>
                      </w:rPr>
                    </w:pPr>
                    <w:r>
                      <w:rPr>
                        <w:rFonts w:ascii="SimHei" w:hAnsi="SimHei" w:eastAsia="SimHei" w:cs="SimHei"/>
                        <w:sz w:val="18"/>
                        <w:szCs w:val="18"/>
                        <w:spacing w:val="27"/>
                      </w:rPr>
                      <w:t>重叠枝</w:t>
                    </w:r>
                  </w:p>
                  <w:p>
                    <w:pPr>
                      <w:ind w:left="279"/>
                      <w:spacing w:before="22" w:line="214" w:lineRule="auto"/>
                      <w:rPr>
                        <w:rFonts w:ascii="SimHei" w:hAnsi="SimHei" w:eastAsia="SimHei" w:cs="SimHei"/>
                        <w:sz w:val="19"/>
                        <w:szCs w:val="19"/>
                      </w:rPr>
                    </w:pPr>
                    <w:r>
                      <w:rPr>
                        <w:rFonts w:ascii="SimHei" w:hAnsi="SimHei" w:eastAsia="SimHei" w:cs="SimHei"/>
                        <w:sz w:val="19"/>
                        <w:szCs w:val="19"/>
                        <w:spacing w:val="12"/>
                      </w:rPr>
                      <w:t>直立枝</w:t>
                    </w:r>
                  </w:p>
                  <w:p>
                    <w:pPr>
                      <w:ind w:left="3089"/>
                      <w:spacing w:line="223" w:lineRule="auto"/>
                      <w:rPr>
                        <w:rFonts w:ascii="SimHei" w:hAnsi="SimHei" w:eastAsia="SimHei" w:cs="SimHei"/>
                        <w:sz w:val="19"/>
                        <w:szCs w:val="19"/>
                      </w:rPr>
                    </w:pPr>
                    <w:r>
                      <w:rPr>
                        <w:rFonts w:ascii="SimHei" w:hAnsi="SimHei" w:eastAsia="SimHei" w:cs="SimHei"/>
                        <w:sz w:val="19"/>
                        <w:szCs w:val="19"/>
                        <w:spacing w:val="31"/>
                      </w:rPr>
                      <w:t>徒长枝</w:t>
                    </w:r>
                  </w:p>
                  <w:p>
                    <w:pPr>
                      <w:spacing w:line="335" w:lineRule="auto"/>
                      <w:rPr>
                        <w:rFonts w:ascii="Arial"/>
                        <w:sz w:val="21"/>
                      </w:rPr>
                    </w:pPr>
                    <w:r/>
                  </w:p>
                  <w:p>
                    <w:pPr>
                      <w:ind w:left="3179"/>
                      <w:spacing w:before="62" w:line="222" w:lineRule="auto"/>
                      <w:rPr>
                        <w:rFonts w:ascii="SimHei" w:hAnsi="SimHei" w:eastAsia="SimHei" w:cs="SimHei"/>
                        <w:sz w:val="18"/>
                        <w:szCs w:val="18"/>
                      </w:rPr>
                    </w:pPr>
                    <w:r>
                      <w:rPr>
                        <w:rFonts w:ascii="STXingkai" w:hAnsi="STXingkai" w:eastAsia="STXingkai" w:cs="STXingkai"/>
                        <w:sz w:val="18"/>
                        <w:szCs w:val="18"/>
                        <w:spacing w:val="-15"/>
                      </w:rPr>
                      <w:t>一</w:t>
                    </w:r>
                    <w:r>
                      <w:rPr>
                        <w:rFonts w:ascii="SimHei" w:hAnsi="SimHei" w:eastAsia="SimHei" w:cs="SimHei"/>
                        <w:sz w:val="18"/>
                        <w:szCs w:val="18"/>
                        <w:spacing w:val="-15"/>
                      </w:rPr>
                      <w:t>交</w:t>
                    </w:r>
                    <w:r>
                      <w:rPr>
                        <w:rFonts w:ascii="SimHei" w:hAnsi="SimHei" w:eastAsia="SimHei" w:cs="SimHei"/>
                        <w:sz w:val="18"/>
                        <w:szCs w:val="18"/>
                        <w:spacing w:val="-33"/>
                      </w:rPr>
                      <w:t xml:space="preserve"> </w:t>
                    </w:r>
                    <w:r>
                      <w:rPr>
                        <w:rFonts w:ascii="SimHei" w:hAnsi="SimHei" w:eastAsia="SimHei" w:cs="SimHei"/>
                        <w:sz w:val="18"/>
                        <w:szCs w:val="18"/>
                        <w:spacing w:val="-15"/>
                      </w:rPr>
                      <w:t>叉</w:t>
                    </w:r>
                    <w:r>
                      <w:rPr>
                        <w:rFonts w:ascii="SimHei" w:hAnsi="SimHei" w:eastAsia="SimHei" w:cs="SimHei"/>
                        <w:sz w:val="18"/>
                        <w:szCs w:val="18"/>
                        <w:spacing w:val="-36"/>
                      </w:rPr>
                      <w:t xml:space="preserve"> </w:t>
                    </w:r>
                    <w:r>
                      <w:rPr>
                        <w:rFonts w:ascii="SimHei" w:hAnsi="SimHei" w:eastAsia="SimHei" w:cs="SimHei"/>
                        <w:sz w:val="18"/>
                        <w:szCs w:val="18"/>
                        <w:spacing w:val="-15"/>
                      </w:rPr>
                      <w:t>枝</w:t>
                    </w:r>
                  </w:p>
                  <w:p>
                    <w:pPr>
                      <w:spacing w:line="406" w:lineRule="auto"/>
                      <w:rPr>
                        <w:rFonts w:ascii="Arial"/>
                        <w:sz w:val="21"/>
                      </w:rPr>
                    </w:pPr>
                    <w:r/>
                  </w:p>
                  <w:p>
                    <w:pPr>
                      <w:ind w:right="10"/>
                      <w:spacing w:before="59" w:line="232" w:lineRule="auto"/>
                      <w:jc w:val="right"/>
                      <w:rPr>
                        <w:rFonts w:ascii="SimHei" w:hAnsi="SimHei" w:eastAsia="SimHei" w:cs="SimHei"/>
                        <w:sz w:val="18"/>
                        <w:szCs w:val="18"/>
                      </w:rPr>
                    </w:pPr>
                    <w:r>
                      <w:rPr>
                        <w:rFonts w:ascii="SimHei" w:hAnsi="SimHei" w:eastAsia="SimHei" w:cs="SimHei"/>
                        <w:sz w:val="18"/>
                        <w:szCs w:val="18"/>
                      </w:rPr>
                      <w:t>主</w:t>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ind w:left="20"/>
                      <w:spacing w:before="59" w:line="267" w:lineRule="exact"/>
                      <w:rPr>
                        <w:rFonts w:ascii="SimHei" w:hAnsi="SimHei" w:eastAsia="SimHei" w:cs="SimHei"/>
                        <w:sz w:val="18"/>
                        <w:szCs w:val="18"/>
                      </w:rPr>
                    </w:pPr>
                    <w:r>
                      <w:rPr>
                        <w:rFonts w:ascii="SimHei" w:hAnsi="SimHei" w:eastAsia="SimHei" w:cs="SimHei"/>
                        <w:sz w:val="18"/>
                        <w:szCs w:val="18"/>
                        <w:spacing w:val="-6"/>
                      </w:rPr>
                      <w:t>小</w:t>
                    </w:r>
                    <w:r>
                      <w:rPr>
                        <w:rFonts w:ascii="SimHei" w:hAnsi="SimHei" w:eastAsia="SimHei" w:cs="SimHei"/>
                        <w:sz w:val="18"/>
                        <w:szCs w:val="18"/>
                        <w:spacing w:val="-37"/>
                      </w:rPr>
                      <w:t xml:space="preserve"> </w:t>
                    </w:r>
                    <w:r>
                      <w:rPr>
                        <w:rFonts w:ascii="SimHei" w:hAnsi="SimHei" w:eastAsia="SimHei" w:cs="SimHei"/>
                        <w:sz w:val="18"/>
                        <w:szCs w:val="18"/>
                        <w:spacing w:val="-6"/>
                      </w:rPr>
                      <w:t>侧</w:t>
                    </w:r>
                    <w:r>
                      <w:rPr>
                        <w:rFonts w:ascii="SimHei" w:hAnsi="SimHei" w:eastAsia="SimHei" w:cs="SimHei"/>
                        <w:sz w:val="18"/>
                        <w:szCs w:val="18"/>
                        <w:spacing w:val="-39"/>
                      </w:rPr>
                      <w:t xml:space="preserve"> </w:t>
                    </w:r>
                    <w:r>
                      <w:rPr>
                        <w:rFonts w:ascii="SimHei" w:hAnsi="SimHei" w:eastAsia="SimHei" w:cs="SimHei"/>
                        <w:sz w:val="18"/>
                        <w:szCs w:val="18"/>
                        <w:spacing w:val="-6"/>
                      </w:rPr>
                      <w:t>枝</w:t>
                    </w:r>
                    <w:r>
                      <w:rPr>
                        <w:rFonts w:ascii="SimHei" w:hAnsi="SimHei" w:eastAsia="SimHei" w:cs="SimHei"/>
                        <w:sz w:val="18"/>
                        <w:szCs w:val="18"/>
                        <w:spacing w:val="31"/>
                      </w:rPr>
                      <w:t xml:space="preserve">  </w:t>
                    </w:r>
                    <w:r>
                      <w:rPr>
                        <w:rFonts w:ascii="SimHei" w:hAnsi="SimHei" w:eastAsia="SimHei" w:cs="SimHei"/>
                        <w:sz w:val="18"/>
                        <w:szCs w:val="18"/>
                        <w:spacing w:val="-6"/>
                        <w:position w:val="3"/>
                      </w:rPr>
                      <w:t>侧</w:t>
                    </w:r>
                    <w:r>
                      <w:rPr>
                        <w:rFonts w:ascii="SimHei" w:hAnsi="SimHei" w:eastAsia="SimHei" w:cs="SimHei"/>
                        <w:sz w:val="18"/>
                        <w:szCs w:val="18"/>
                        <w:spacing w:val="-6"/>
                        <w:position w:val="3"/>
                      </w:rPr>
                      <w:t xml:space="preserve"> </w:t>
                    </w:r>
                    <w:r>
                      <w:rPr>
                        <w:rFonts w:ascii="SimHei" w:hAnsi="SimHei" w:eastAsia="SimHei" w:cs="SimHei"/>
                        <w:sz w:val="18"/>
                        <w:szCs w:val="18"/>
                        <w:spacing w:val="-6"/>
                        <w:position w:val="3"/>
                      </w:rPr>
                      <w:t>枝</w:t>
                    </w:r>
                  </w:p>
                  <w:p>
                    <w:pPr>
                      <w:spacing w:line="360" w:lineRule="auto"/>
                      <w:rPr>
                        <w:rFonts w:ascii="Arial"/>
                        <w:sz w:val="21"/>
                      </w:rPr>
                    </w:pPr>
                    <w:r/>
                  </w:p>
                  <w:p>
                    <w:pPr>
                      <w:ind w:left="2359" w:right="1458" w:hanging="170"/>
                      <w:spacing w:before="59" w:line="290" w:lineRule="auto"/>
                      <w:rPr>
                        <w:rFonts w:ascii="SimHei" w:hAnsi="SimHei" w:eastAsia="SimHei" w:cs="SimHei"/>
                        <w:sz w:val="19"/>
                        <w:szCs w:val="19"/>
                      </w:rPr>
                    </w:pPr>
                    <w:r>
                      <w:rPr>
                        <w:rFonts w:ascii="SimHei" w:hAnsi="SimHei" w:eastAsia="SimHei" w:cs="SimHei"/>
                        <w:sz w:val="18"/>
                        <w:szCs w:val="18"/>
                        <w:spacing w:val="32"/>
                      </w:rPr>
                      <w:t>萌生枝</w:t>
                    </w:r>
                    <w:r>
                      <w:rPr>
                        <w:rFonts w:ascii="SimHei" w:hAnsi="SimHei" w:eastAsia="SimHei" w:cs="SimHei"/>
                        <w:sz w:val="18"/>
                        <w:szCs w:val="18"/>
                      </w:rPr>
                      <w:t xml:space="preserve"> </w:t>
                    </w:r>
                    <w:r>
                      <w:rPr>
                        <w:rFonts w:ascii="SimHei" w:hAnsi="SimHei" w:eastAsia="SimHei" w:cs="SimHei"/>
                        <w:sz w:val="19"/>
                        <w:szCs w:val="19"/>
                        <w:spacing w:val="-12"/>
                      </w:rPr>
                      <w:t>主</w:t>
                    </w:r>
                    <w:r>
                      <w:rPr>
                        <w:rFonts w:ascii="SimHei" w:hAnsi="SimHei" w:eastAsia="SimHei" w:cs="SimHei"/>
                        <w:sz w:val="19"/>
                        <w:szCs w:val="19"/>
                        <w:spacing w:val="19"/>
                      </w:rPr>
                      <w:t xml:space="preserve"> </w:t>
                    </w:r>
                    <w:r>
                      <w:rPr>
                        <w:rFonts w:ascii="SimHei" w:hAnsi="SimHei" w:eastAsia="SimHei" w:cs="SimHei"/>
                        <w:sz w:val="19"/>
                        <w:szCs w:val="19"/>
                        <w:spacing w:val="-12"/>
                      </w:rPr>
                      <w:t>干</w:t>
                    </w:r>
                  </w:p>
                </w:txbxContent>
              </v:textbox>
            </v:shape>
            <v:shape id="_x0000_s12" style="position:absolute;left:-20;top:2537;width:1498;height:1133;" filled="false" stroked="false" type="#_x0000_t202">
              <v:fill on="false"/>
              <v:stroke on="false"/>
              <v:path/>
              <v:imagedata o:title=""/>
              <o:lock v:ext="edit" aspectratio="false"/>
              <v:textbox inset="0mm,0mm,0mm,0mm">
                <w:txbxContent>
                  <w:p>
                    <w:pPr>
                      <w:ind w:left="149"/>
                      <w:spacing w:before="20" w:line="223" w:lineRule="auto"/>
                      <w:rPr>
                        <w:rFonts w:ascii="SimHei" w:hAnsi="SimHei" w:eastAsia="SimHei" w:cs="SimHei"/>
                        <w:sz w:val="18"/>
                        <w:szCs w:val="18"/>
                      </w:rPr>
                    </w:pPr>
                    <w:r>
                      <w:rPr>
                        <w:rFonts w:ascii="SimHei" w:hAnsi="SimHei" w:eastAsia="SimHei" w:cs="SimHei"/>
                        <w:sz w:val="18"/>
                        <w:szCs w:val="18"/>
                        <w:spacing w:val="-7"/>
                      </w:rPr>
                      <w:t>下</w:t>
                    </w:r>
                    <w:r>
                      <w:rPr>
                        <w:rFonts w:ascii="SimHei" w:hAnsi="SimHei" w:eastAsia="SimHei" w:cs="SimHei"/>
                        <w:sz w:val="18"/>
                        <w:szCs w:val="18"/>
                        <w:spacing w:val="-28"/>
                      </w:rPr>
                      <w:t xml:space="preserve"> </w:t>
                    </w:r>
                    <w:r>
                      <w:rPr>
                        <w:rFonts w:ascii="SimHei" w:hAnsi="SimHei" w:eastAsia="SimHei" w:cs="SimHei"/>
                        <w:sz w:val="18"/>
                        <w:szCs w:val="18"/>
                        <w:spacing w:val="-7"/>
                      </w:rPr>
                      <w:t>垂</w:t>
                    </w:r>
                    <w:r>
                      <w:rPr>
                        <w:rFonts w:ascii="SimHei" w:hAnsi="SimHei" w:eastAsia="SimHei" w:cs="SimHei"/>
                        <w:sz w:val="18"/>
                        <w:szCs w:val="18"/>
                        <w:spacing w:val="-30"/>
                      </w:rPr>
                      <w:t xml:space="preserve"> </w:t>
                    </w:r>
                    <w:r>
                      <w:rPr>
                        <w:rFonts w:ascii="SimHei" w:hAnsi="SimHei" w:eastAsia="SimHei" w:cs="SimHei"/>
                        <w:sz w:val="18"/>
                        <w:szCs w:val="18"/>
                        <w:spacing w:val="-7"/>
                      </w:rPr>
                      <w:t>枝</w:t>
                    </w:r>
                  </w:p>
                  <w:p>
                    <w:pPr>
                      <w:spacing w:line="391" w:lineRule="auto"/>
                      <w:rPr>
                        <w:rFonts w:ascii="Arial"/>
                        <w:sz w:val="21"/>
                      </w:rPr>
                    </w:pPr>
                    <w:r/>
                  </w:p>
                  <w:p>
                    <w:pPr>
                      <w:ind w:left="20" w:right="20" w:firstLine="849"/>
                      <w:spacing w:before="58" w:line="245" w:lineRule="auto"/>
                      <w:rPr>
                        <w:rFonts w:ascii="SimHei" w:hAnsi="SimHei" w:eastAsia="SimHei" w:cs="SimHei"/>
                        <w:sz w:val="18"/>
                        <w:szCs w:val="18"/>
                      </w:rPr>
                    </w:pPr>
                    <w:r>
                      <w:rPr>
                        <w:rFonts w:ascii="SimHei" w:hAnsi="SimHei" w:eastAsia="SimHei" w:cs="SimHei"/>
                        <w:sz w:val="18"/>
                        <w:szCs w:val="18"/>
                        <w:spacing w:val="22"/>
                      </w:rPr>
                      <w:t>枯死枝</w:t>
                    </w:r>
                    <w:r>
                      <w:rPr>
                        <w:rFonts w:ascii="SimHei" w:hAnsi="SimHei" w:eastAsia="SimHei" w:cs="SimHei"/>
                        <w:sz w:val="18"/>
                        <w:szCs w:val="18"/>
                      </w:rPr>
                      <w:t xml:space="preserve"> </w:t>
                    </w:r>
                    <w:r>
                      <w:rPr>
                        <w:rFonts w:ascii="SimHei" w:hAnsi="SimHei" w:eastAsia="SimHei" w:cs="SimHei"/>
                        <w:sz w:val="18"/>
                        <w:szCs w:val="18"/>
                        <w:spacing w:val="23"/>
                      </w:rPr>
                      <w:t>逆向枝/内向枝</w:t>
                    </w:r>
                  </w:p>
                </w:txbxContent>
              </v:textbox>
            </v:shape>
            <v:shape id="_x0000_s14" style="position:absolute;left:570;top:5587;width:768;height:222;" filled="false" stroked="false" type="#_x0000_t202">
              <v:fill on="false"/>
              <v:stroke on="false"/>
              <v:path/>
              <v:imagedata o:title=""/>
              <o:lock v:ext="edit" aspectratio="false"/>
              <v:textbox inset="0mm,0mm,0mm,0mm">
                <w:txbxContent>
                  <w:p>
                    <w:pPr>
                      <w:ind w:left="20"/>
                      <w:spacing w:before="20" w:line="222" w:lineRule="auto"/>
                      <w:rPr>
                        <w:rFonts w:ascii="SimHei" w:hAnsi="SimHei" w:eastAsia="SimHei" w:cs="SimHei"/>
                        <w:sz w:val="18"/>
                        <w:szCs w:val="18"/>
                      </w:rPr>
                    </w:pPr>
                    <w:r>
                      <w:rPr>
                        <w:rFonts w:ascii="SimHei" w:hAnsi="SimHei" w:eastAsia="SimHei" w:cs="SimHei"/>
                        <w:sz w:val="18"/>
                        <w:szCs w:val="18"/>
                        <w:spacing w:val="-7"/>
                      </w:rPr>
                      <w:t>萌</w:t>
                    </w:r>
                    <w:r>
                      <w:rPr>
                        <w:rFonts w:ascii="SimHei" w:hAnsi="SimHei" w:eastAsia="SimHei" w:cs="SimHei"/>
                        <w:sz w:val="18"/>
                        <w:szCs w:val="18"/>
                        <w:spacing w:val="18"/>
                      </w:rPr>
                      <w:t xml:space="preserve"> </w:t>
                    </w:r>
                    <w:r>
                      <w:rPr>
                        <w:rFonts w:ascii="SimHei" w:hAnsi="SimHei" w:eastAsia="SimHei" w:cs="SimHei"/>
                        <w:sz w:val="18"/>
                        <w:szCs w:val="18"/>
                        <w:spacing w:val="-7"/>
                      </w:rPr>
                      <w:t>蘖</w:t>
                    </w:r>
                    <w:r>
                      <w:rPr>
                        <w:rFonts w:ascii="SimHei" w:hAnsi="SimHei" w:eastAsia="SimHei" w:cs="SimHei"/>
                        <w:sz w:val="18"/>
                        <w:szCs w:val="18"/>
                        <w:spacing w:val="14"/>
                      </w:rPr>
                      <w:t xml:space="preserve"> </w:t>
                    </w:r>
                    <w:r>
                      <w:rPr>
                        <w:rFonts w:ascii="SimHei" w:hAnsi="SimHei" w:eastAsia="SimHei" w:cs="SimHei"/>
                        <w:sz w:val="18"/>
                        <w:szCs w:val="18"/>
                        <w:spacing w:val="-7"/>
                      </w:rPr>
                      <w:t>枝</w:t>
                    </w:r>
                  </w:p>
                </w:txbxContent>
              </v:textbox>
            </v:shape>
            <v:shape id="_x0000_s16" style="position:absolute;left:79;top:4528;width:240;height:250;"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21"/>
                        <w:szCs w:val="21"/>
                      </w:rPr>
                    </w:pPr>
                    <w:r>
                      <w:rPr>
                        <w:rFonts w:ascii="SimSun" w:hAnsi="SimSun" w:eastAsia="SimSun" w:cs="SimSun"/>
                        <w:sz w:val="21"/>
                        <w:szCs w:val="21"/>
                      </w:rPr>
                      <w:t>梢</w:t>
                    </w:r>
                  </w:p>
                </w:txbxContent>
              </v:textbox>
            </v:shape>
          </v:group>
        </w:pict>
      </w:r>
    </w:p>
    <w:p>
      <w:pPr>
        <w:spacing w:line="252" w:lineRule="auto"/>
        <w:rPr>
          <w:rFonts w:ascii="Arial"/>
          <w:sz w:val="21"/>
        </w:rPr>
      </w:pPr>
      <w:r/>
    </w:p>
    <w:p>
      <w:pPr>
        <w:pStyle w:val="BodyText"/>
        <w:ind w:left="3929"/>
        <w:spacing w:before="88" w:line="219" w:lineRule="auto"/>
        <w:rPr>
          <w:sz w:val="27"/>
          <w:szCs w:val="27"/>
        </w:rPr>
      </w:pPr>
      <w:r>
        <w:rPr>
          <w:sz w:val="27"/>
          <w:szCs w:val="27"/>
          <w:spacing w:val="-17"/>
        </w:rPr>
        <w:t>图2-2-6常见不良枝示意图</w:t>
      </w:r>
    </w:p>
    <w:p>
      <w:pPr>
        <w:spacing w:before="154" w:line="221" w:lineRule="auto"/>
        <w:rPr>
          <w:rFonts w:ascii="SimHei" w:hAnsi="SimHei" w:eastAsia="SimHei" w:cs="SimHei"/>
          <w:sz w:val="29"/>
          <w:szCs w:val="29"/>
        </w:rPr>
      </w:pPr>
      <w:r>
        <w:rPr>
          <w:rFonts w:ascii="SimHei" w:hAnsi="SimHei" w:eastAsia="SimHei" w:cs="SimHei"/>
          <w:sz w:val="29"/>
          <w:szCs w:val="29"/>
          <w:spacing w:val="1"/>
        </w:rPr>
        <w:t>4、</w:t>
      </w:r>
      <w:r>
        <w:rPr>
          <w:rFonts w:ascii="SimHei" w:hAnsi="SimHei" w:eastAsia="SimHei" w:cs="SimHei"/>
          <w:sz w:val="29"/>
          <w:szCs w:val="29"/>
          <w:b/>
          <w:bCs/>
          <w:spacing w:val="1"/>
        </w:rPr>
        <w:t>常见树形及修剪做法</w:t>
      </w:r>
    </w:p>
    <w:p>
      <w:pPr>
        <w:pStyle w:val="BodyText"/>
        <w:ind w:left="620"/>
        <w:spacing w:before="138" w:line="219" w:lineRule="auto"/>
        <w:rPr>
          <w:sz w:val="29"/>
          <w:szCs w:val="29"/>
        </w:rPr>
      </w:pPr>
      <w:r>
        <w:rPr>
          <w:sz w:val="29"/>
          <w:szCs w:val="29"/>
          <w:spacing w:val="28"/>
        </w:rPr>
        <w:t>1)杯状形</w:t>
      </w:r>
    </w:p>
    <w:p>
      <w:pPr>
        <w:pStyle w:val="BodyText"/>
        <w:ind w:right="25" w:firstLine="740"/>
        <w:spacing w:before="148" w:line="309" w:lineRule="auto"/>
        <w:jc w:val="both"/>
        <w:rPr>
          <w:sz w:val="29"/>
          <w:szCs w:val="29"/>
        </w:rPr>
      </w:pPr>
      <w:r>
        <w:rPr>
          <w:sz w:val="29"/>
          <w:szCs w:val="29"/>
        </w:rPr>
        <w:t>(1)</w:t>
      </w:r>
      <w:r>
        <w:rPr>
          <w:sz w:val="29"/>
          <w:szCs w:val="29"/>
          <w:spacing w:val="132"/>
        </w:rPr>
        <w:t xml:space="preserve"> </w:t>
      </w:r>
      <w:r>
        <w:rPr>
          <w:sz w:val="29"/>
          <w:szCs w:val="29"/>
        </w:rPr>
        <w:t>树形特点：这种树形无中心主干，仅有较</w:t>
      </w:r>
      <w:r>
        <w:rPr>
          <w:sz w:val="29"/>
          <w:szCs w:val="29"/>
          <w:spacing w:val="-1"/>
        </w:rPr>
        <w:t>短一段高度的树干，自主干</w:t>
      </w:r>
      <w:r>
        <w:rPr>
          <w:sz w:val="29"/>
          <w:szCs w:val="29"/>
        </w:rPr>
        <w:t xml:space="preserve"> </w:t>
      </w:r>
      <w:r>
        <w:rPr>
          <w:sz w:val="29"/>
          <w:szCs w:val="29"/>
        </w:rPr>
        <w:t>上部分生3个主枝，再各自分生2个枝而成6枝，6</w:t>
      </w:r>
      <w:r>
        <w:rPr>
          <w:sz w:val="29"/>
          <w:szCs w:val="29"/>
          <w:spacing w:val="-1"/>
        </w:rPr>
        <w:t>枝而成12枝，这种几何状的规整</w:t>
      </w:r>
      <w:r>
        <w:rPr>
          <w:sz w:val="29"/>
          <w:szCs w:val="29"/>
        </w:rPr>
        <w:t xml:space="preserve"> </w:t>
      </w:r>
      <w:r>
        <w:rPr>
          <w:sz w:val="29"/>
          <w:szCs w:val="29"/>
          <w:spacing w:val="-8"/>
        </w:rPr>
        <w:t>分枝较整齐美观，冠内不允许有直立枝、内向枝的存在，一经发现必须剪除；</w:t>
      </w:r>
    </w:p>
    <w:p>
      <w:pPr>
        <w:pStyle w:val="BodyText"/>
        <w:ind w:right="72" w:firstLine="740"/>
        <w:spacing w:line="249" w:lineRule="auto"/>
        <w:rPr>
          <w:sz w:val="29"/>
          <w:szCs w:val="29"/>
        </w:rPr>
      </w:pPr>
      <w:r>
        <w:rPr>
          <w:sz w:val="29"/>
          <w:szCs w:val="29"/>
          <w:spacing w:val="2"/>
        </w:rPr>
        <w:t>②  树形应用：碧桃、桃树、海棠、杏树、核桃等蔷薇科观赏果树及行道</w:t>
      </w:r>
      <w:r>
        <w:rPr>
          <w:sz w:val="29"/>
          <w:szCs w:val="29"/>
          <w:spacing w:val="6"/>
        </w:rPr>
        <w:t xml:space="preserve"> </w:t>
      </w:r>
      <w:r>
        <w:rPr>
          <w:sz w:val="29"/>
          <w:szCs w:val="29"/>
          <w:spacing w:val="-1"/>
        </w:rPr>
        <w:t>树中有架空线的法桐、白蜡等；</w:t>
      </w:r>
    </w:p>
    <w:p>
      <w:pPr>
        <w:spacing w:line="249" w:lineRule="auto"/>
        <w:sectPr>
          <w:type w:val="continuous"/>
          <w:pgSz w:w="14490" w:h="20470"/>
          <w:pgMar w:top="1529" w:right="2173" w:bottom="1385" w:left="2150" w:header="0" w:footer="1223" w:gutter="0"/>
          <w:cols w:equalWidth="0" w:num="1">
            <w:col w:w="10167" w:space="0"/>
          </w:cols>
        </w:sectPr>
        <w:rPr>
          <w:sz w:val="29"/>
          <w:szCs w:val="29"/>
        </w:rPr>
      </w:pPr>
    </w:p>
    <w:p>
      <w:pPr>
        <w:pStyle w:val="BodyText"/>
        <w:ind w:right="45" w:firstLine="730"/>
        <w:spacing w:before="117" w:line="287" w:lineRule="auto"/>
        <w:jc w:val="both"/>
        <w:rPr>
          <w:sz w:val="29"/>
          <w:szCs w:val="29"/>
        </w:rPr>
      </w:pPr>
      <w:r>
        <w:rPr>
          <w:sz w:val="29"/>
          <w:szCs w:val="29"/>
          <w:spacing w:val="-4"/>
        </w:rPr>
        <w:t>(③)</w:t>
      </w:r>
      <w:r>
        <w:rPr>
          <w:sz w:val="29"/>
          <w:szCs w:val="29"/>
          <w:spacing w:val="137"/>
        </w:rPr>
        <w:t xml:space="preserve"> </w:t>
      </w:r>
      <w:r>
        <w:rPr>
          <w:sz w:val="29"/>
          <w:szCs w:val="29"/>
          <w:spacing w:val="-4"/>
        </w:rPr>
        <w:t>修剪要点：养护期主要修剪萌蘖枝、过密枝、内向枝</w:t>
      </w:r>
      <w:r>
        <w:rPr>
          <w:sz w:val="29"/>
          <w:szCs w:val="29"/>
          <w:spacing w:val="-5"/>
        </w:rPr>
        <w:t>、交叉枝、内膛</w:t>
      </w:r>
      <w:r>
        <w:rPr>
          <w:sz w:val="29"/>
          <w:szCs w:val="29"/>
        </w:rPr>
        <w:t xml:space="preserve"> </w:t>
      </w:r>
      <w:r>
        <w:rPr>
          <w:sz w:val="29"/>
          <w:szCs w:val="29"/>
          <w:spacing w:val="-8"/>
        </w:rPr>
        <w:t>枝、折断枝、徒长枝、病枯枝，保持优美树形。上方有架空线的苗木还要控制其生</w:t>
      </w:r>
      <w:r>
        <w:rPr>
          <w:sz w:val="29"/>
          <w:szCs w:val="29"/>
        </w:rPr>
        <w:t xml:space="preserve"> </w:t>
      </w:r>
      <w:r>
        <w:rPr>
          <w:sz w:val="29"/>
          <w:szCs w:val="29"/>
        </w:rPr>
        <w:t>长量，保持植物与管线的安全距离。</w:t>
      </w:r>
    </w:p>
    <w:p>
      <w:pPr>
        <w:ind w:firstLine="3229"/>
        <w:spacing w:line="2500" w:lineRule="exact"/>
        <w:rPr/>
      </w:pPr>
      <w:r>
        <w:drawing>
          <wp:anchor distT="0" distB="0" distL="0" distR="0" simplePos="0" relativeHeight="251673600" behindDoc="0" locked="0" layoutInCell="1" allowOverlap="1">
            <wp:simplePos x="0" y="0"/>
            <wp:positionH relativeFrom="column">
              <wp:posOffset>381019</wp:posOffset>
            </wp:positionH>
            <wp:positionV relativeFrom="paragraph">
              <wp:posOffset>215903</wp:posOffset>
            </wp:positionV>
            <wp:extent cx="1428754" cy="1187538"/>
            <wp:effectExtent l="0" t="0" r="0" b="0"/>
            <wp:wrapNone/>
            <wp:docPr id="44" name="IM 44"/>
            <wp:cNvGraphicFramePr/>
            <a:graphic>
              <a:graphicData uri="http://schemas.openxmlformats.org/drawingml/2006/picture">
                <pic:pic>
                  <pic:nvPicPr>
                    <pic:cNvPr id="44" name="IM 44"/>
                    <pic:cNvPicPr/>
                  </pic:nvPicPr>
                  <pic:blipFill>
                    <a:blip r:embed="rId36"/>
                    <a:stretch>
                      <a:fillRect/>
                    </a:stretch>
                  </pic:blipFill>
                  <pic:spPr>
                    <a:xfrm rot="0">
                      <a:off x="0" y="0"/>
                      <a:ext cx="1428754" cy="1187538"/>
                    </a:xfrm>
                    <a:prstGeom prst="rect">
                      <a:avLst/>
                    </a:prstGeom>
                  </pic:spPr>
                </pic:pic>
              </a:graphicData>
            </a:graphic>
          </wp:anchor>
        </w:drawing>
      </w:r>
      <w:r>
        <w:drawing>
          <wp:anchor distT="0" distB="0" distL="0" distR="0" simplePos="0" relativeHeight="251669504" behindDoc="0" locked="0" layoutInCell="1" allowOverlap="1">
            <wp:simplePos x="0" y="0"/>
            <wp:positionH relativeFrom="column">
              <wp:posOffset>4171893</wp:posOffset>
            </wp:positionH>
            <wp:positionV relativeFrom="paragraph">
              <wp:posOffset>0</wp:posOffset>
            </wp:positionV>
            <wp:extent cx="2013027" cy="1581260"/>
            <wp:effectExtent l="0" t="0" r="0" b="0"/>
            <wp:wrapNone/>
            <wp:docPr id="46" name="IM 46"/>
            <wp:cNvGraphicFramePr/>
            <a:graphic>
              <a:graphicData uri="http://schemas.openxmlformats.org/drawingml/2006/picture">
                <pic:pic>
                  <pic:nvPicPr>
                    <pic:cNvPr id="46" name="IM 46"/>
                    <pic:cNvPicPr/>
                  </pic:nvPicPr>
                  <pic:blipFill>
                    <a:blip r:embed="rId37"/>
                    <a:stretch>
                      <a:fillRect/>
                    </a:stretch>
                  </pic:blipFill>
                  <pic:spPr>
                    <a:xfrm rot="0">
                      <a:off x="0" y="0"/>
                      <a:ext cx="2013027" cy="1581260"/>
                    </a:xfrm>
                    <a:prstGeom prst="rect">
                      <a:avLst/>
                    </a:prstGeom>
                  </pic:spPr>
                </pic:pic>
              </a:graphicData>
            </a:graphic>
          </wp:anchor>
        </w:drawing>
      </w:r>
      <w:r>
        <w:rPr>
          <w:position w:val="-50"/>
        </w:rPr>
        <w:drawing>
          <wp:inline distT="0" distB="0" distL="0" distR="0">
            <wp:extent cx="2076423" cy="1587500"/>
            <wp:effectExtent l="0" t="0" r="0" b="0"/>
            <wp:docPr id="48" name="IM 48"/>
            <wp:cNvGraphicFramePr/>
            <a:graphic>
              <a:graphicData uri="http://schemas.openxmlformats.org/drawingml/2006/picture">
                <pic:pic>
                  <pic:nvPicPr>
                    <pic:cNvPr id="48" name="IM 48"/>
                    <pic:cNvPicPr/>
                  </pic:nvPicPr>
                  <pic:blipFill>
                    <a:blip r:embed="rId38"/>
                    <a:stretch>
                      <a:fillRect/>
                    </a:stretch>
                  </pic:blipFill>
                  <pic:spPr>
                    <a:xfrm rot="0">
                      <a:off x="0" y="0"/>
                      <a:ext cx="2076423" cy="1587500"/>
                    </a:xfrm>
                    <a:prstGeom prst="rect">
                      <a:avLst/>
                    </a:prstGeom>
                  </pic:spPr>
                </pic:pic>
              </a:graphicData>
            </a:graphic>
          </wp:inline>
        </w:drawing>
      </w:r>
    </w:p>
    <w:p>
      <w:pPr>
        <w:pStyle w:val="BodyText"/>
        <w:ind w:left="3319"/>
        <w:spacing w:before="148" w:line="219" w:lineRule="auto"/>
        <w:rPr>
          <w:sz w:val="24"/>
          <w:szCs w:val="24"/>
        </w:rPr>
      </w:pPr>
      <w:r>
        <w:rPr>
          <w:sz w:val="24"/>
          <w:szCs w:val="24"/>
          <w:spacing w:val="8"/>
        </w:rPr>
        <w:t>图2-2-7杯状形结构示意图、实景图</w:t>
      </w:r>
    </w:p>
    <w:p>
      <w:pPr>
        <w:pStyle w:val="BodyText"/>
        <w:ind w:left="590"/>
        <w:spacing w:before="169" w:line="220" w:lineRule="auto"/>
        <w:rPr>
          <w:sz w:val="29"/>
          <w:szCs w:val="29"/>
        </w:rPr>
      </w:pPr>
      <w:r>
        <w:rPr>
          <w:sz w:val="29"/>
          <w:szCs w:val="29"/>
          <w:spacing w:val="23"/>
        </w:rPr>
        <w:t>2)自然开心形</w:t>
      </w:r>
    </w:p>
    <w:p>
      <w:pPr>
        <w:pStyle w:val="BodyText"/>
        <w:ind w:right="39" w:firstLine="730"/>
        <w:spacing w:before="120" w:line="286" w:lineRule="auto"/>
        <w:rPr>
          <w:sz w:val="29"/>
          <w:szCs w:val="29"/>
        </w:rPr>
      </w:pPr>
      <w:r>
        <w:rPr>
          <w:sz w:val="29"/>
          <w:szCs w:val="29"/>
          <w:spacing w:val="13"/>
        </w:rPr>
        <w:t>(1)树形特点：无中心主干，中心也不空，但分枝较低，3个左右的主枝</w:t>
      </w:r>
      <w:r>
        <w:rPr>
          <w:sz w:val="29"/>
          <w:szCs w:val="29"/>
          <w:spacing w:val="6"/>
        </w:rPr>
        <w:t xml:space="preserve"> </w:t>
      </w:r>
      <w:r>
        <w:rPr>
          <w:sz w:val="29"/>
          <w:szCs w:val="29"/>
        </w:rPr>
        <w:t>分布有一定间隔，自主干上向四周放射而出，中心又开展，故为自然开心形，如</w:t>
      </w:r>
      <w:r>
        <w:rPr>
          <w:sz w:val="29"/>
          <w:szCs w:val="29"/>
          <w:spacing w:val="10"/>
        </w:rPr>
        <w:t xml:space="preserve"> </w:t>
      </w:r>
      <w:r>
        <w:rPr>
          <w:sz w:val="29"/>
          <w:szCs w:val="29"/>
          <w:spacing w:val="2"/>
        </w:rPr>
        <w:t>枇杷、榆叶梅、石榴、苹果、梨花、紫叶李等观花、观果树</w:t>
      </w:r>
      <w:r>
        <w:rPr>
          <w:sz w:val="29"/>
          <w:szCs w:val="29"/>
          <w:spacing w:val="1"/>
        </w:rPr>
        <w:t>木。</w:t>
      </w:r>
    </w:p>
    <w:p>
      <w:pPr>
        <w:pStyle w:val="BodyText"/>
        <w:ind w:firstLine="660"/>
        <w:spacing w:before="146" w:line="287" w:lineRule="auto"/>
        <w:rPr>
          <w:sz w:val="29"/>
          <w:szCs w:val="29"/>
        </w:rPr>
      </w:pPr>
      <w:r>
        <w:rPr>
          <w:sz w:val="29"/>
          <w:szCs w:val="29"/>
          <w:spacing w:val="11"/>
        </w:rPr>
        <w:t>(2)修剪要点：栽植前期修剪主要为形成优美树形，促进生长；恢复树势</w:t>
      </w:r>
      <w:r>
        <w:rPr>
          <w:sz w:val="29"/>
          <w:szCs w:val="29"/>
          <w:spacing w:val="3"/>
        </w:rPr>
        <w:t xml:space="preserve"> </w:t>
      </w:r>
      <w:r>
        <w:rPr>
          <w:sz w:val="29"/>
          <w:szCs w:val="29"/>
          <w:spacing w:val="-7"/>
        </w:rPr>
        <w:t>以后，修剪主要是为了保持优美树形，既要考虑生长又要考虑观花观果效果；养护</w:t>
      </w:r>
      <w:r>
        <w:rPr>
          <w:sz w:val="29"/>
          <w:szCs w:val="29"/>
          <w:spacing w:val="11"/>
        </w:rPr>
        <w:t xml:space="preserve"> </w:t>
      </w:r>
      <w:r>
        <w:rPr>
          <w:sz w:val="29"/>
          <w:szCs w:val="29"/>
          <w:spacing w:val="-14"/>
        </w:rPr>
        <w:t>期主要修剪萌蘖枝、过密枝、交叉枝、平行枝、内向枝</w:t>
      </w:r>
      <w:r>
        <w:rPr>
          <w:sz w:val="29"/>
          <w:szCs w:val="29"/>
          <w:spacing w:val="-15"/>
        </w:rPr>
        <w:t>、折断枝、徒长枝、病枯枝、</w:t>
      </w:r>
      <w:r>
        <w:rPr>
          <w:sz w:val="29"/>
          <w:szCs w:val="29"/>
        </w:rPr>
        <w:t xml:space="preserve"> </w:t>
      </w:r>
      <w:r>
        <w:rPr>
          <w:sz w:val="29"/>
          <w:szCs w:val="29"/>
          <w:spacing w:val="-13"/>
        </w:rPr>
        <w:t>并列枝、徒长枝。</w:t>
      </w:r>
    </w:p>
    <w:p>
      <w:pPr>
        <w:ind w:firstLine="2860"/>
        <w:spacing w:before="24" w:line="2740" w:lineRule="exact"/>
        <w:rPr/>
      </w:pPr>
      <w:r>
        <w:drawing>
          <wp:anchor distT="0" distB="0" distL="0" distR="0" simplePos="0" relativeHeight="251672576" behindDoc="0" locked="0" layoutInCell="1" allowOverlap="1">
            <wp:simplePos x="0" y="0"/>
            <wp:positionH relativeFrom="column">
              <wp:posOffset>203161</wp:posOffset>
            </wp:positionH>
            <wp:positionV relativeFrom="paragraph">
              <wp:posOffset>167537</wp:posOffset>
            </wp:positionV>
            <wp:extent cx="1377964" cy="1517699"/>
            <wp:effectExtent l="0" t="0" r="0" b="0"/>
            <wp:wrapNone/>
            <wp:docPr id="50" name="IM 50"/>
            <wp:cNvGraphicFramePr/>
            <a:graphic>
              <a:graphicData uri="http://schemas.openxmlformats.org/drawingml/2006/picture">
                <pic:pic>
                  <pic:nvPicPr>
                    <pic:cNvPr id="50" name="IM 50"/>
                    <pic:cNvPicPr/>
                  </pic:nvPicPr>
                  <pic:blipFill>
                    <a:blip r:embed="rId39"/>
                    <a:stretch>
                      <a:fillRect/>
                    </a:stretch>
                  </pic:blipFill>
                  <pic:spPr>
                    <a:xfrm rot="0">
                      <a:off x="0" y="0"/>
                      <a:ext cx="1377964" cy="1517699"/>
                    </a:xfrm>
                    <a:prstGeom prst="rect">
                      <a:avLst/>
                    </a:prstGeom>
                  </pic:spPr>
                </pic:pic>
              </a:graphicData>
            </a:graphic>
          </wp:anchor>
        </w:drawing>
      </w:r>
      <w:r>
        <w:rPr>
          <w:position w:val="-54"/>
        </w:rPr>
        <w:drawing>
          <wp:inline distT="0" distB="0" distL="0" distR="0">
            <wp:extent cx="4438633" cy="1739972"/>
            <wp:effectExtent l="0" t="0" r="0" b="0"/>
            <wp:docPr id="52" name="IM 52"/>
            <wp:cNvGraphicFramePr/>
            <a:graphic>
              <a:graphicData uri="http://schemas.openxmlformats.org/drawingml/2006/picture">
                <pic:pic>
                  <pic:nvPicPr>
                    <pic:cNvPr id="52" name="IM 52"/>
                    <pic:cNvPicPr/>
                  </pic:nvPicPr>
                  <pic:blipFill>
                    <a:blip r:embed="rId40"/>
                    <a:stretch>
                      <a:fillRect/>
                    </a:stretch>
                  </pic:blipFill>
                  <pic:spPr>
                    <a:xfrm rot="0">
                      <a:off x="0" y="0"/>
                      <a:ext cx="4438633" cy="1739972"/>
                    </a:xfrm>
                    <a:prstGeom prst="rect">
                      <a:avLst/>
                    </a:prstGeom>
                  </pic:spPr>
                </pic:pic>
              </a:graphicData>
            </a:graphic>
          </wp:inline>
        </w:drawing>
      </w:r>
    </w:p>
    <w:p>
      <w:pPr>
        <w:pStyle w:val="BodyText"/>
        <w:ind w:left="2820"/>
        <w:spacing w:before="131" w:line="219" w:lineRule="auto"/>
        <w:rPr>
          <w:sz w:val="27"/>
          <w:szCs w:val="27"/>
        </w:rPr>
      </w:pPr>
      <w:r>
        <w:rPr>
          <w:sz w:val="27"/>
          <w:szCs w:val="27"/>
          <w:spacing w:val="-17"/>
        </w:rPr>
        <w:t>图2-2-8自然开心形结构示意图、实景图</w:t>
      </w:r>
    </w:p>
    <w:p>
      <w:pPr>
        <w:pStyle w:val="BodyText"/>
        <w:ind w:left="590"/>
        <w:spacing w:before="131" w:line="220" w:lineRule="auto"/>
        <w:rPr>
          <w:sz w:val="29"/>
          <w:szCs w:val="29"/>
        </w:rPr>
      </w:pPr>
      <w:r>
        <w:rPr>
          <w:sz w:val="29"/>
          <w:szCs w:val="29"/>
          <w:spacing w:val="20"/>
        </w:rPr>
        <w:t>3)尖塔形或圆锥形</w:t>
      </w:r>
    </w:p>
    <w:p>
      <w:pPr>
        <w:pStyle w:val="BodyText"/>
        <w:ind w:right="49" w:firstLine="590"/>
        <w:spacing w:before="153" w:line="284" w:lineRule="auto"/>
        <w:rPr>
          <w:sz w:val="29"/>
          <w:szCs w:val="29"/>
        </w:rPr>
      </w:pPr>
      <w:r>
        <w:rPr>
          <w:sz w:val="29"/>
          <w:szCs w:val="29"/>
        </w:rPr>
        <w:t>尖塔形或圆锥形苗木有明显中央领导干，主干自</w:t>
      </w:r>
      <w:r>
        <w:rPr>
          <w:sz w:val="29"/>
          <w:szCs w:val="29"/>
          <w:spacing w:val="-1"/>
        </w:rPr>
        <w:t>下而上发生多数主枝，下部</w:t>
      </w:r>
      <w:r>
        <w:rPr>
          <w:sz w:val="29"/>
          <w:szCs w:val="29"/>
        </w:rPr>
        <w:t xml:space="preserve"> </w:t>
      </w:r>
      <w:r>
        <w:rPr>
          <w:sz w:val="29"/>
          <w:szCs w:val="29"/>
          <w:spacing w:val="-8"/>
        </w:rPr>
        <w:t>较长，逐渐向上缩短，如雪松、水杉、毛白杨、南洋杉、落羽杉等。养护期</w:t>
      </w:r>
      <w:r>
        <w:rPr>
          <w:sz w:val="29"/>
          <w:szCs w:val="29"/>
          <w:spacing w:val="-9"/>
        </w:rPr>
        <w:t>主要修</w:t>
      </w:r>
      <w:r>
        <w:rPr>
          <w:sz w:val="29"/>
          <w:szCs w:val="29"/>
        </w:rPr>
        <w:t xml:space="preserve"> </w:t>
      </w:r>
      <w:r>
        <w:rPr>
          <w:sz w:val="29"/>
          <w:szCs w:val="29"/>
          <w:spacing w:val="1"/>
        </w:rPr>
        <w:t>剪折断枝、影响景观的下垂枝、萌蘖枝、病枯枝，保持树形。</w:t>
      </w:r>
    </w:p>
    <w:p>
      <w:pPr>
        <w:ind w:firstLine="3519"/>
        <w:spacing w:line="3030" w:lineRule="exact"/>
        <w:rPr/>
      </w:pPr>
      <w:r>
        <w:drawing>
          <wp:anchor distT="0" distB="0" distL="0" distR="0" simplePos="0" relativeHeight="251670528" behindDoc="0" locked="0" layoutInCell="1" allowOverlap="1">
            <wp:simplePos x="0" y="0"/>
            <wp:positionH relativeFrom="column">
              <wp:posOffset>501646</wp:posOffset>
            </wp:positionH>
            <wp:positionV relativeFrom="paragraph">
              <wp:posOffset>101647</wp:posOffset>
            </wp:positionV>
            <wp:extent cx="1543032" cy="1676410"/>
            <wp:effectExtent l="0" t="0" r="0" b="0"/>
            <wp:wrapNone/>
            <wp:docPr id="54" name="IM 54"/>
            <wp:cNvGraphicFramePr/>
            <a:graphic>
              <a:graphicData uri="http://schemas.openxmlformats.org/drawingml/2006/picture">
                <pic:pic>
                  <pic:nvPicPr>
                    <pic:cNvPr id="54" name="IM 54"/>
                    <pic:cNvPicPr/>
                  </pic:nvPicPr>
                  <pic:blipFill>
                    <a:blip r:embed="rId41"/>
                    <a:stretch>
                      <a:fillRect/>
                    </a:stretch>
                  </pic:blipFill>
                  <pic:spPr>
                    <a:xfrm rot="0">
                      <a:off x="0" y="0"/>
                      <a:ext cx="1543032" cy="1676410"/>
                    </a:xfrm>
                    <a:prstGeom prst="rect">
                      <a:avLst/>
                    </a:prstGeom>
                  </pic:spPr>
                </pic:pic>
              </a:graphicData>
            </a:graphic>
          </wp:anchor>
        </w:drawing>
      </w:r>
      <w:r>
        <w:drawing>
          <wp:anchor distT="0" distB="0" distL="0" distR="0" simplePos="0" relativeHeight="251671552" behindDoc="0" locked="0" layoutInCell="1" allowOverlap="1">
            <wp:simplePos x="0" y="0"/>
            <wp:positionH relativeFrom="column">
              <wp:posOffset>4857747</wp:posOffset>
            </wp:positionH>
            <wp:positionV relativeFrom="paragraph">
              <wp:posOffset>6369</wp:posOffset>
            </wp:positionV>
            <wp:extent cx="1308127" cy="1911291"/>
            <wp:effectExtent l="0" t="0" r="0" b="0"/>
            <wp:wrapNone/>
            <wp:docPr id="56" name="IM 56"/>
            <wp:cNvGraphicFramePr/>
            <a:graphic>
              <a:graphicData uri="http://schemas.openxmlformats.org/drawingml/2006/picture">
                <pic:pic>
                  <pic:nvPicPr>
                    <pic:cNvPr id="56" name="IM 56"/>
                    <pic:cNvPicPr/>
                  </pic:nvPicPr>
                  <pic:blipFill>
                    <a:blip r:embed="rId42"/>
                    <a:stretch>
                      <a:fillRect/>
                    </a:stretch>
                  </pic:blipFill>
                  <pic:spPr>
                    <a:xfrm rot="0">
                      <a:off x="0" y="0"/>
                      <a:ext cx="1308127" cy="1911291"/>
                    </a:xfrm>
                    <a:prstGeom prst="rect">
                      <a:avLst/>
                    </a:prstGeom>
                  </pic:spPr>
                </pic:pic>
              </a:graphicData>
            </a:graphic>
          </wp:anchor>
        </w:drawing>
      </w:r>
      <w:r>
        <w:rPr>
          <w:position w:val="-60"/>
        </w:rPr>
        <w:drawing>
          <wp:inline distT="0" distB="0" distL="0" distR="0">
            <wp:extent cx="2584510" cy="1924030"/>
            <wp:effectExtent l="0" t="0" r="0" b="0"/>
            <wp:docPr id="58" name="IM 58"/>
            <wp:cNvGraphicFramePr/>
            <a:graphic>
              <a:graphicData uri="http://schemas.openxmlformats.org/drawingml/2006/picture">
                <pic:pic>
                  <pic:nvPicPr>
                    <pic:cNvPr id="58" name="IM 58"/>
                    <pic:cNvPicPr/>
                  </pic:nvPicPr>
                  <pic:blipFill>
                    <a:blip r:embed="rId43"/>
                    <a:stretch>
                      <a:fillRect/>
                    </a:stretch>
                  </pic:blipFill>
                  <pic:spPr>
                    <a:xfrm rot="0">
                      <a:off x="0" y="0"/>
                      <a:ext cx="2584510" cy="1924030"/>
                    </a:xfrm>
                    <a:prstGeom prst="rect">
                      <a:avLst/>
                    </a:prstGeom>
                  </pic:spPr>
                </pic:pic>
              </a:graphicData>
            </a:graphic>
          </wp:inline>
        </w:drawing>
      </w:r>
    </w:p>
    <w:p>
      <w:pPr>
        <w:pStyle w:val="BodyText"/>
        <w:ind w:left="3169"/>
        <w:spacing w:before="211" w:line="219" w:lineRule="auto"/>
        <w:rPr>
          <w:sz w:val="24"/>
          <w:szCs w:val="24"/>
        </w:rPr>
      </w:pPr>
      <w:r>
        <w:rPr>
          <w:sz w:val="24"/>
          <w:szCs w:val="24"/>
          <w:spacing w:val="8"/>
        </w:rPr>
        <w:t>图2-2-9尖塔形结构示意图、实景图</w:t>
      </w:r>
    </w:p>
    <w:p>
      <w:pPr>
        <w:spacing w:line="219" w:lineRule="auto"/>
        <w:sectPr>
          <w:footerReference w:type="default" r:id="rId35"/>
          <w:pgSz w:w="14490" w:h="20470"/>
          <w:pgMar w:top="1739" w:right="2139" w:bottom="1393" w:left="2150" w:header="0" w:footer="1231" w:gutter="0"/>
        </w:sectPr>
        <w:rPr>
          <w:sz w:val="24"/>
          <w:szCs w:val="24"/>
        </w:rPr>
      </w:pPr>
    </w:p>
    <w:p>
      <w:pPr>
        <w:pStyle w:val="BodyText"/>
        <w:ind w:left="590"/>
        <w:spacing w:before="112" w:line="219" w:lineRule="auto"/>
        <w:rPr>
          <w:sz w:val="29"/>
          <w:szCs w:val="29"/>
        </w:rPr>
      </w:pPr>
      <w:r>
        <w:rPr>
          <w:sz w:val="29"/>
          <w:szCs w:val="29"/>
          <w:spacing w:val="19"/>
        </w:rPr>
        <w:t>4)圆柱形或圆筒形</w:t>
      </w:r>
    </w:p>
    <w:p>
      <w:pPr>
        <w:pStyle w:val="BodyText"/>
        <w:ind w:firstLine="550"/>
        <w:spacing w:before="153" w:line="293" w:lineRule="auto"/>
        <w:rPr>
          <w:sz w:val="29"/>
          <w:szCs w:val="29"/>
        </w:rPr>
      </w:pPr>
      <w:r>
        <w:rPr>
          <w:sz w:val="29"/>
          <w:szCs w:val="29"/>
          <w:spacing w:val="-6"/>
        </w:rPr>
        <w:t>圆柱、圆筒形苗木有中心主干，自近地面的主干基部向四周均匀地发生许</w:t>
      </w:r>
      <w:r>
        <w:rPr>
          <w:sz w:val="29"/>
          <w:szCs w:val="29"/>
          <w:spacing w:val="-7"/>
        </w:rPr>
        <w:t>多主</w:t>
      </w:r>
      <w:r>
        <w:rPr>
          <w:sz w:val="29"/>
          <w:szCs w:val="29"/>
        </w:rPr>
        <w:t xml:space="preserve">   </w:t>
      </w:r>
      <w:r>
        <w:rPr>
          <w:sz w:val="29"/>
          <w:szCs w:val="29"/>
          <w:spacing w:val="-5"/>
        </w:rPr>
        <w:t>枝，而主枝长度自下向上相差甚少，故整个树形几乎上下同粗如龙柏、圆柏、杜</w:t>
      </w:r>
      <w:r>
        <w:rPr>
          <w:sz w:val="29"/>
          <w:szCs w:val="29"/>
          <w:spacing w:val="-6"/>
        </w:rPr>
        <w:t>松、</w:t>
      </w:r>
      <w:r>
        <w:rPr>
          <w:sz w:val="29"/>
          <w:szCs w:val="29"/>
        </w:rPr>
        <w:t xml:space="preserve"> </w:t>
      </w:r>
      <w:r>
        <w:rPr>
          <w:sz w:val="29"/>
          <w:szCs w:val="29"/>
          <w:spacing w:val="-23"/>
        </w:rPr>
        <w:t>柱形松柏、黑杨雄株、新疆杨、长叶暗罗等，养护期修剪以保持枝形为主。</w:t>
      </w:r>
    </w:p>
    <w:p>
      <w:pPr>
        <w:ind w:firstLine="3050"/>
        <w:spacing w:line="2869" w:lineRule="exact"/>
        <w:rPr/>
      </w:pPr>
      <w:r>
        <w:drawing>
          <wp:anchor distT="0" distB="0" distL="0" distR="0" simplePos="0" relativeHeight="251676672" behindDoc="0" locked="0" layoutInCell="1" allowOverlap="1">
            <wp:simplePos x="0" y="0"/>
            <wp:positionH relativeFrom="column">
              <wp:posOffset>736552</wp:posOffset>
            </wp:positionH>
            <wp:positionV relativeFrom="paragraph">
              <wp:posOffset>69801</wp:posOffset>
            </wp:positionV>
            <wp:extent cx="488949" cy="1638324"/>
            <wp:effectExtent l="0" t="0" r="0" b="0"/>
            <wp:wrapNone/>
            <wp:docPr id="60" name="IM 60"/>
            <wp:cNvGraphicFramePr/>
            <a:graphic>
              <a:graphicData uri="http://schemas.openxmlformats.org/drawingml/2006/picture">
                <pic:pic>
                  <pic:nvPicPr>
                    <pic:cNvPr id="60" name="IM 60"/>
                    <pic:cNvPicPr/>
                  </pic:nvPicPr>
                  <pic:blipFill>
                    <a:blip r:embed="rId45"/>
                    <a:stretch>
                      <a:fillRect/>
                    </a:stretch>
                  </pic:blipFill>
                  <pic:spPr>
                    <a:xfrm rot="0">
                      <a:off x="0" y="0"/>
                      <a:ext cx="488949" cy="1638324"/>
                    </a:xfrm>
                    <a:prstGeom prst="rect">
                      <a:avLst/>
                    </a:prstGeom>
                  </pic:spPr>
                </pic:pic>
              </a:graphicData>
            </a:graphic>
          </wp:anchor>
        </w:drawing>
      </w:r>
      <w:r>
        <w:rPr>
          <w:position w:val="-57"/>
        </w:rPr>
        <w:drawing>
          <wp:inline distT="0" distB="0" distL="0" distR="0">
            <wp:extent cx="4292612" cy="1822382"/>
            <wp:effectExtent l="0" t="0" r="0" b="0"/>
            <wp:docPr id="62" name="IM 62"/>
            <wp:cNvGraphicFramePr/>
            <a:graphic>
              <a:graphicData uri="http://schemas.openxmlformats.org/drawingml/2006/picture">
                <pic:pic>
                  <pic:nvPicPr>
                    <pic:cNvPr id="62" name="IM 62"/>
                    <pic:cNvPicPr/>
                  </pic:nvPicPr>
                  <pic:blipFill>
                    <a:blip r:embed="rId46"/>
                    <a:stretch>
                      <a:fillRect/>
                    </a:stretch>
                  </pic:blipFill>
                  <pic:spPr>
                    <a:xfrm rot="0">
                      <a:off x="0" y="0"/>
                      <a:ext cx="4292612" cy="1822382"/>
                    </a:xfrm>
                    <a:prstGeom prst="rect">
                      <a:avLst/>
                    </a:prstGeom>
                  </pic:spPr>
                </pic:pic>
              </a:graphicData>
            </a:graphic>
          </wp:inline>
        </w:drawing>
      </w:r>
    </w:p>
    <w:p>
      <w:pPr>
        <w:pStyle w:val="BodyText"/>
        <w:ind w:left="3249"/>
        <w:spacing w:before="101" w:line="219" w:lineRule="auto"/>
        <w:rPr>
          <w:sz w:val="27"/>
          <w:szCs w:val="27"/>
        </w:rPr>
      </w:pPr>
      <w:r>
        <w:rPr>
          <w:sz w:val="27"/>
          <w:szCs w:val="27"/>
          <w:spacing w:val="-16"/>
        </w:rPr>
        <w:t>图2-2-10圆柱形结构示意图、实景图</w:t>
      </w:r>
    </w:p>
    <w:p>
      <w:pPr>
        <w:pStyle w:val="BodyText"/>
        <w:ind w:left="590"/>
        <w:spacing w:before="160" w:line="219" w:lineRule="auto"/>
        <w:rPr>
          <w:sz w:val="29"/>
          <w:szCs w:val="29"/>
        </w:rPr>
      </w:pPr>
      <w:r>
        <w:rPr>
          <w:sz w:val="29"/>
          <w:szCs w:val="29"/>
          <w:spacing w:val="23"/>
        </w:rPr>
        <w:t>5)自然馒头形</w:t>
      </w:r>
    </w:p>
    <w:p>
      <w:pPr>
        <w:pStyle w:val="BodyText"/>
        <w:ind w:right="410" w:firstLine="590"/>
        <w:spacing w:before="146" w:line="294" w:lineRule="auto"/>
        <w:rPr>
          <w:sz w:val="29"/>
          <w:szCs w:val="29"/>
        </w:rPr>
      </w:pPr>
      <w:r>
        <w:rPr>
          <w:sz w:val="29"/>
          <w:szCs w:val="29"/>
          <w:spacing w:val="-6"/>
        </w:rPr>
        <w:t>自然馒头形苗木多为幼树主干长到一定高度时短</w:t>
      </w:r>
      <w:r>
        <w:rPr>
          <w:sz w:val="29"/>
          <w:szCs w:val="29"/>
          <w:spacing w:val="-7"/>
        </w:rPr>
        <w:t>截，在剪口下选留4—5个强</w:t>
      </w:r>
      <w:r>
        <w:rPr>
          <w:sz w:val="29"/>
          <w:szCs w:val="29"/>
        </w:rPr>
        <w:t xml:space="preserve">  </w:t>
      </w:r>
      <w:r>
        <w:rPr>
          <w:sz w:val="29"/>
          <w:szCs w:val="29"/>
          <w:spacing w:val="-1"/>
        </w:rPr>
        <w:t>健枝作主枝，主枝间有一定距离，各占一定方向，不交叉、不重叠，如馒头柳、</w:t>
      </w:r>
      <w:r>
        <w:rPr>
          <w:sz w:val="29"/>
          <w:szCs w:val="29"/>
          <w:spacing w:val="18"/>
        </w:rPr>
        <w:t xml:space="preserve"> </w:t>
      </w:r>
      <w:r>
        <w:rPr>
          <w:sz w:val="29"/>
          <w:szCs w:val="29"/>
          <w:spacing w:val="-11"/>
        </w:rPr>
        <w:t>仁面子、扁桃、阴香、台湾栾树、萍婆、树菠萝、水葡桃等。养护期主要修剪折断</w:t>
      </w:r>
      <w:r>
        <w:rPr>
          <w:sz w:val="29"/>
          <w:szCs w:val="29"/>
          <w:spacing w:val="6"/>
        </w:rPr>
        <w:t xml:space="preserve"> </w:t>
      </w:r>
      <w:r>
        <w:rPr>
          <w:sz w:val="29"/>
          <w:szCs w:val="29"/>
          <w:spacing w:val="-12"/>
        </w:rPr>
        <w:t>枝、徒长枝、内膛枝、萌蘖枝、病枯枝，以保持树形。</w:t>
      </w:r>
    </w:p>
    <w:p>
      <w:pPr>
        <w:ind w:firstLine="3069"/>
        <w:spacing w:line="2510" w:lineRule="exact"/>
        <w:rPr/>
      </w:pPr>
      <w:r>
        <w:drawing>
          <wp:anchor distT="0" distB="0" distL="0" distR="0" simplePos="0" relativeHeight="251675648" behindDoc="0" locked="0" layoutInCell="1" allowOverlap="1">
            <wp:simplePos x="0" y="0"/>
            <wp:positionH relativeFrom="column">
              <wp:posOffset>482600</wp:posOffset>
            </wp:positionH>
            <wp:positionV relativeFrom="paragraph">
              <wp:posOffset>152472</wp:posOffset>
            </wp:positionV>
            <wp:extent cx="1295337" cy="1288925"/>
            <wp:effectExtent l="0" t="0" r="0" b="0"/>
            <wp:wrapNone/>
            <wp:docPr id="64" name="IM 64"/>
            <wp:cNvGraphicFramePr/>
            <a:graphic>
              <a:graphicData uri="http://schemas.openxmlformats.org/drawingml/2006/picture">
                <pic:pic>
                  <pic:nvPicPr>
                    <pic:cNvPr id="64" name="IM 64"/>
                    <pic:cNvPicPr/>
                  </pic:nvPicPr>
                  <pic:blipFill>
                    <a:blip r:embed="rId47"/>
                    <a:stretch>
                      <a:fillRect/>
                    </a:stretch>
                  </pic:blipFill>
                  <pic:spPr>
                    <a:xfrm rot="0">
                      <a:off x="0" y="0"/>
                      <a:ext cx="1295337" cy="1288925"/>
                    </a:xfrm>
                    <a:prstGeom prst="rect">
                      <a:avLst/>
                    </a:prstGeom>
                  </pic:spPr>
                </pic:pic>
              </a:graphicData>
            </a:graphic>
          </wp:anchor>
        </w:drawing>
      </w:r>
      <w:r>
        <w:rPr>
          <w:position w:val="-50"/>
        </w:rPr>
        <w:drawing>
          <wp:inline distT="0" distB="0" distL="0" distR="0">
            <wp:extent cx="4197380" cy="1593869"/>
            <wp:effectExtent l="0" t="0" r="0" b="0"/>
            <wp:docPr id="66" name="IM 66"/>
            <wp:cNvGraphicFramePr/>
            <a:graphic>
              <a:graphicData uri="http://schemas.openxmlformats.org/drawingml/2006/picture">
                <pic:pic>
                  <pic:nvPicPr>
                    <pic:cNvPr id="66" name="IM 66"/>
                    <pic:cNvPicPr/>
                  </pic:nvPicPr>
                  <pic:blipFill>
                    <a:blip r:embed="rId48"/>
                    <a:stretch>
                      <a:fillRect/>
                    </a:stretch>
                  </pic:blipFill>
                  <pic:spPr>
                    <a:xfrm rot="0">
                      <a:off x="0" y="0"/>
                      <a:ext cx="4197380" cy="1593869"/>
                    </a:xfrm>
                    <a:prstGeom prst="rect">
                      <a:avLst/>
                    </a:prstGeom>
                  </pic:spPr>
                </pic:pic>
              </a:graphicData>
            </a:graphic>
          </wp:inline>
        </w:drawing>
      </w:r>
    </w:p>
    <w:p>
      <w:pPr>
        <w:pStyle w:val="BodyText"/>
        <w:ind w:left="2739"/>
        <w:spacing w:before="151" w:line="219" w:lineRule="auto"/>
        <w:rPr>
          <w:sz w:val="27"/>
          <w:szCs w:val="27"/>
        </w:rPr>
      </w:pPr>
      <w:r>
        <w:rPr>
          <w:sz w:val="27"/>
          <w:szCs w:val="27"/>
          <w:spacing w:val="-16"/>
        </w:rPr>
        <w:t>图2-2-11自然馒头形结构示意图、实景图</w:t>
      </w:r>
    </w:p>
    <w:p>
      <w:pPr>
        <w:pStyle w:val="BodyText"/>
        <w:ind w:left="590"/>
        <w:spacing w:before="143" w:line="221" w:lineRule="auto"/>
        <w:rPr>
          <w:sz w:val="29"/>
          <w:szCs w:val="29"/>
        </w:rPr>
      </w:pPr>
      <w:r>
        <w:rPr>
          <w:sz w:val="29"/>
          <w:szCs w:val="29"/>
          <w:spacing w:val="40"/>
        </w:rPr>
        <w:t>6)伞形</w:t>
      </w:r>
    </w:p>
    <w:p>
      <w:pPr>
        <w:pStyle w:val="BodyText"/>
        <w:ind w:right="374" w:firstLine="590"/>
        <w:spacing w:before="156" w:line="290" w:lineRule="auto"/>
        <w:rPr>
          <w:sz w:val="29"/>
          <w:szCs w:val="29"/>
        </w:rPr>
      </w:pPr>
      <w:r>
        <w:rPr>
          <w:sz w:val="29"/>
          <w:szCs w:val="29"/>
          <w:spacing w:val="-8"/>
        </w:rPr>
        <w:t>伞形有明显主干，所有侧枝下弯倒垂，逐年由上方芽继续</w:t>
      </w:r>
      <w:r>
        <w:rPr>
          <w:sz w:val="29"/>
          <w:szCs w:val="29"/>
          <w:spacing w:val="-9"/>
        </w:rPr>
        <w:t>向外延伸扩大树冠如</w:t>
      </w:r>
      <w:r>
        <w:rPr>
          <w:sz w:val="29"/>
          <w:szCs w:val="29"/>
        </w:rPr>
        <w:t xml:space="preserve"> </w:t>
      </w:r>
      <w:r>
        <w:rPr>
          <w:sz w:val="29"/>
          <w:szCs w:val="29"/>
          <w:spacing w:val="-8"/>
        </w:rPr>
        <w:t>龙爪槐、垂枝碧桃、垂枝榆、合欢、黑松等、凤凰木、大叶紫薇、鸡爪槭、青枫、</w:t>
      </w:r>
      <w:r>
        <w:rPr>
          <w:sz w:val="29"/>
          <w:szCs w:val="29"/>
          <w:spacing w:val="17"/>
        </w:rPr>
        <w:t xml:space="preserve"> </w:t>
      </w:r>
      <w:r>
        <w:rPr>
          <w:sz w:val="29"/>
          <w:szCs w:val="29"/>
          <w:spacing w:val="-8"/>
        </w:rPr>
        <w:t>红枫、雨树等。修剪时注意枝条芽眼的走向：留取高扬或平行向上</w:t>
      </w:r>
      <w:r>
        <w:rPr>
          <w:sz w:val="29"/>
          <w:szCs w:val="29"/>
          <w:spacing w:val="-9"/>
        </w:rPr>
        <w:t>的芽眼，有利于</w:t>
      </w:r>
      <w:r>
        <w:rPr>
          <w:sz w:val="29"/>
          <w:szCs w:val="29"/>
        </w:rPr>
        <w:t xml:space="preserve"> </w:t>
      </w:r>
      <w:r>
        <w:rPr>
          <w:sz w:val="29"/>
          <w:szCs w:val="29"/>
          <w:spacing w:val="2"/>
        </w:rPr>
        <w:t>扩大树冠；留取朝向左右的芽眼有利于填补空间，下行芽一般可剪除。</w:t>
      </w:r>
    </w:p>
    <w:p>
      <w:pPr>
        <w:ind w:firstLine="3459"/>
        <w:spacing w:line="2630" w:lineRule="exact"/>
        <w:rPr/>
      </w:pPr>
      <w:r>
        <w:drawing>
          <wp:anchor distT="0" distB="0" distL="0" distR="0" simplePos="0" relativeHeight="251674624" behindDoc="0" locked="0" layoutInCell="1" allowOverlap="1">
            <wp:simplePos x="0" y="0"/>
            <wp:positionH relativeFrom="column">
              <wp:posOffset>495298</wp:posOffset>
            </wp:positionH>
            <wp:positionV relativeFrom="paragraph">
              <wp:posOffset>266727</wp:posOffset>
            </wp:positionV>
            <wp:extent cx="1485893" cy="1200147"/>
            <wp:effectExtent l="0" t="0" r="0" b="0"/>
            <wp:wrapNone/>
            <wp:docPr id="68" name="IM 68"/>
            <wp:cNvGraphicFramePr/>
            <a:graphic>
              <a:graphicData uri="http://schemas.openxmlformats.org/drawingml/2006/picture">
                <pic:pic>
                  <pic:nvPicPr>
                    <pic:cNvPr id="68" name="IM 68"/>
                    <pic:cNvPicPr/>
                  </pic:nvPicPr>
                  <pic:blipFill>
                    <a:blip r:embed="rId49"/>
                    <a:stretch>
                      <a:fillRect/>
                    </a:stretch>
                  </pic:blipFill>
                  <pic:spPr>
                    <a:xfrm rot="0">
                      <a:off x="0" y="0"/>
                      <a:ext cx="1485893" cy="1200147"/>
                    </a:xfrm>
                    <a:prstGeom prst="rect">
                      <a:avLst/>
                    </a:prstGeom>
                  </pic:spPr>
                </pic:pic>
              </a:graphicData>
            </a:graphic>
          </wp:anchor>
        </w:drawing>
      </w:r>
      <w:r>
        <w:rPr>
          <w:position w:val="-52"/>
        </w:rPr>
        <w:drawing>
          <wp:inline distT="0" distB="0" distL="0" distR="0">
            <wp:extent cx="3943337" cy="1670040"/>
            <wp:effectExtent l="0" t="0" r="0" b="0"/>
            <wp:docPr id="70" name="IM 70"/>
            <wp:cNvGraphicFramePr/>
            <a:graphic>
              <a:graphicData uri="http://schemas.openxmlformats.org/drawingml/2006/picture">
                <pic:pic>
                  <pic:nvPicPr>
                    <pic:cNvPr id="70" name="IM 70"/>
                    <pic:cNvPicPr/>
                  </pic:nvPicPr>
                  <pic:blipFill>
                    <a:blip r:embed="rId50"/>
                    <a:stretch>
                      <a:fillRect/>
                    </a:stretch>
                  </pic:blipFill>
                  <pic:spPr>
                    <a:xfrm rot="0">
                      <a:off x="0" y="0"/>
                      <a:ext cx="3943337" cy="1670040"/>
                    </a:xfrm>
                    <a:prstGeom prst="rect">
                      <a:avLst/>
                    </a:prstGeom>
                  </pic:spPr>
                </pic:pic>
              </a:graphicData>
            </a:graphic>
          </wp:inline>
        </w:drawing>
      </w:r>
    </w:p>
    <w:p>
      <w:pPr>
        <w:pStyle w:val="BodyText"/>
        <w:ind w:left="3119"/>
        <w:spacing w:before="142" w:line="219" w:lineRule="auto"/>
        <w:rPr>
          <w:sz w:val="27"/>
          <w:szCs w:val="27"/>
        </w:rPr>
      </w:pPr>
      <w:r>
        <w:rPr>
          <w:sz w:val="27"/>
          <w:szCs w:val="27"/>
          <w:spacing w:val="-17"/>
        </w:rPr>
        <w:t>图2-2-12伞形结构示意图、实景图</w:t>
      </w:r>
    </w:p>
    <w:p>
      <w:pPr>
        <w:pStyle w:val="BodyText"/>
        <w:ind w:left="590"/>
        <w:spacing w:before="160" w:line="219" w:lineRule="auto"/>
        <w:rPr>
          <w:sz w:val="29"/>
          <w:szCs w:val="29"/>
        </w:rPr>
      </w:pPr>
      <w:r>
        <w:rPr>
          <w:sz w:val="29"/>
          <w:szCs w:val="29"/>
          <w:spacing w:val="17"/>
        </w:rPr>
        <w:t>7)自然轮生分枝形</w:t>
      </w:r>
    </w:p>
    <w:p>
      <w:pPr>
        <w:spacing w:line="219" w:lineRule="auto"/>
        <w:sectPr>
          <w:footerReference w:type="default" r:id="rId44"/>
          <w:pgSz w:w="14490" w:h="20470"/>
          <w:pgMar w:top="1739" w:right="1795" w:bottom="1458" w:left="2150" w:header="0" w:footer="1213" w:gutter="0"/>
        </w:sectPr>
        <w:rPr>
          <w:sz w:val="29"/>
          <w:szCs w:val="29"/>
        </w:rPr>
      </w:pPr>
    </w:p>
    <w:p>
      <w:pPr>
        <w:pStyle w:val="BodyText"/>
        <w:ind w:right="240" w:firstLine="590"/>
        <w:spacing w:before="117" w:line="311" w:lineRule="auto"/>
        <w:rPr>
          <w:sz w:val="29"/>
          <w:szCs w:val="29"/>
        </w:rPr>
      </w:pPr>
      <w:r>
        <w:drawing>
          <wp:anchor distT="0" distB="0" distL="0" distR="0" simplePos="0" relativeHeight="251681792" behindDoc="0" locked="0" layoutInCell="1" allowOverlap="1">
            <wp:simplePos x="0" y="0"/>
            <wp:positionH relativeFrom="column">
              <wp:posOffset>2590767</wp:posOffset>
            </wp:positionH>
            <wp:positionV relativeFrom="paragraph">
              <wp:posOffset>1560005</wp:posOffset>
            </wp:positionV>
            <wp:extent cx="1619310" cy="1873206"/>
            <wp:effectExtent l="0" t="0" r="0" b="0"/>
            <wp:wrapNone/>
            <wp:docPr id="72" name="IM 72"/>
            <wp:cNvGraphicFramePr/>
            <a:graphic>
              <a:graphicData uri="http://schemas.openxmlformats.org/drawingml/2006/picture">
                <pic:pic>
                  <pic:nvPicPr>
                    <pic:cNvPr id="72" name="IM 72"/>
                    <pic:cNvPicPr/>
                  </pic:nvPicPr>
                  <pic:blipFill>
                    <a:blip r:embed="rId52"/>
                    <a:stretch>
                      <a:fillRect/>
                    </a:stretch>
                  </pic:blipFill>
                  <pic:spPr>
                    <a:xfrm rot="0">
                      <a:off x="0" y="0"/>
                      <a:ext cx="1619310" cy="1873206"/>
                    </a:xfrm>
                    <a:prstGeom prst="rect">
                      <a:avLst/>
                    </a:prstGeom>
                  </pic:spPr>
                </pic:pic>
              </a:graphicData>
            </a:graphic>
          </wp:anchor>
        </w:drawing>
      </w:r>
      <w:r>
        <w:drawing>
          <wp:anchor distT="0" distB="0" distL="0" distR="0" simplePos="0" relativeHeight="251679744" behindDoc="0" locked="0" layoutInCell="1" allowOverlap="1">
            <wp:simplePos x="0" y="0"/>
            <wp:positionH relativeFrom="column">
              <wp:posOffset>4248170</wp:posOffset>
            </wp:positionH>
            <wp:positionV relativeFrom="paragraph">
              <wp:posOffset>1572743</wp:posOffset>
            </wp:positionV>
            <wp:extent cx="2089120" cy="1866837"/>
            <wp:effectExtent l="0" t="0" r="0" b="0"/>
            <wp:wrapNone/>
            <wp:docPr id="74" name="IM 74"/>
            <wp:cNvGraphicFramePr/>
            <a:graphic>
              <a:graphicData uri="http://schemas.openxmlformats.org/drawingml/2006/picture">
                <pic:pic>
                  <pic:nvPicPr>
                    <pic:cNvPr id="74" name="IM 74"/>
                    <pic:cNvPicPr/>
                  </pic:nvPicPr>
                  <pic:blipFill>
                    <a:blip r:embed="rId53"/>
                    <a:stretch>
                      <a:fillRect/>
                    </a:stretch>
                  </pic:blipFill>
                  <pic:spPr>
                    <a:xfrm rot="0">
                      <a:off x="0" y="0"/>
                      <a:ext cx="2089120" cy="1866837"/>
                    </a:xfrm>
                    <a:prstGeom prst="rect">
                      <a:avLst/>
                    </a:prstGeom>
                  </pic:spPr>
                </pic:pic>
              </a:graphicData>
            </a:graphic>
          </wp:anchor>
        </w:drawing>
      </w:r>
      <w:r>
        <w:rPr>
          <w:sz w:val="29"/>
          <w:szCs w:val="29"/>
          <w:spacing w:val="-2"/>
        </w:rPr>
        <w:t>自然轮生分枝形苗木主干挺直，主枝自然分层轮生于主干四周，层层分明有</w:t>
      </w:r>
      <w:r>
        <w:rPr>
          <w:sz w:val="29"/>
          <w:szCs w:val="29"/>
          <w:spacing w:val="6"/>
        </w:rPr>
        <w:t xml:space="preserve"> </w:t>
      </w:r>
      <w:r>
        <w:rPr>
          <w:sz w:val="29"/>
          <w:szCs w:val="29"/>
          <w:spacing w:val="-8"/>
        </w:rPr>
        <w:t>序，水平向四周开展，各层主枝数量相近，层次间排列不密，光线通透，如小叶榄</w:t>
      </w:r>
      <w:r>
        <w:rPr>
          <w:sz w:val="29"/>
          <w:szCs w:val="29"/>
          <w:spacing w:val="11"/>
        </w:rPr>
        <w:t xml:space="preserve"> </w:t>
      </w:r>
      <w:r>
        <w:rPr>
          <w:sz w:val="29"/>
          <w:szCs w:val="29"/>
          <w:spacing w:val="-8"/>
        </w:rPr>
        <w:t>仁、花叶榄仁、尖叶杜英、盆架子、糖胶树、大叶杜英、木棉等。养护期主要保持</w:t>
      </w:r>
      <w:r>
        <w:rPr>
          <w:sz w:val="29"/>
          <w:szCs w:val="29"/>
          <w:spacing w:val="8"/>
        </w:rPr>
        <w:t xml:space="preserve"> </w:t>
      </w:r>
      <w:r>
        <w:rPr>
          <w:sz w:val="29"/>
          <w:szCs w:val="29"/>
          <w:spacing w:val="-1"/>
        </w:rPr>
        <w:t>中央主干，修剪主干分生枝，即修剪各层次间的赘生枝、层内过密枝、交叉枝、</w:t>
      </w:r>
      <w:r>
        <w:rPr>
          <w:sz w:val="29"/>
          <w:szCs w:val="29"/>
          <w:spacing w:val="3"/>
        </w:rPr>
        <w:t xml:space="preserve"> </w:t>
      </w:r>
      <w:r>
        <w:rPr>
          <w:sz w:val="29"/>
          <w:szCs w:val="29"/>
          <w:spacing w:val="1"/>
        </w:rPr>
        <w:t>平行枝、内向枝、内膛枝、折断枝、徒长枝、萌蘖枝、病枯枝。</w:t>
      </w:r>
    </w:p>
    <w:p>
      <w:pPr>
        <w:ind w:firstLine="189"/>
        <w:spacing w:line="2870" w:lineRule="exact"/>
        <w:rPr/>
      </w:pPr>
      <w:r>
        <w:rPr>
          <w:position w:val="-57"/>
        </w:rPr>
        <w:drawing>
          <wp:inline distT="0" distB="0" distL="0" distR="0">
            <wp:extent cx="2349513" cy="1822512"/>
            <wp:effectExtent l="0" t="0" r="0" b="0"/>
            <wp:docPr id="76" name="IM 76"/>
            <wp:cNvGraphicFramePr/>
            <a:graphic>
              <a:graphicData uri="http://schemas.openxmlformats.org/drawingml/2006/picture">
                <pic:pic>
                  <pic:nvPicPr>
                    <pic:cNvPr id="76" name="IM 76"/>
                    <pic:cNvPicPr/>
                  </pic:nvPicPr>
                  <pic:blipFill>
                    <a:blip r:embed="rId54"/>
                    <a:stretch>
                      <a:fillRect/>
                    </a:stretch>
                  </pic:blipFill>
                  <pic:spPr>
                    <a:xfrm rot="0">
                      <a:off x="0" y="0"/>
                      <a:ext cx="2349513" cy="1822512"/>
                    </a:xfrm>
                    <a:prstGeom prst="rect">
                      <a:avLst/>
                    </a:prstGeom>
                  </pic:spPr>
                </pic:pic>
              </a:graphicData>
            </a:graphic>
          </wp:inline>
        </w:drawing>
      </w:r>
    </w:p>
    <w:p>
      <w:pPr>
        <w:pStyle w:val="BodyText"/>
        <w:ind w:left="2659"/>
        <w:spacing w:before="190" w:line="219" w:lineRule="auto"/>
        <w:rPr>
          <w:sz w:val="24"/>
          <w:szCs w:val="24"/>
        </w:rPr>
      </w:pPr>
      <w:r>
        <w:rPr>
          <w:sz w:val="24"/>
          <w:szCs w:val="24"/>
          <w:spacing w:val="10"/>
        </w:rPr>
        <w:t>图2-2-13自然轮生分枝形结构示意图、实景图</w:t>
      </w:r>
    </w:p>
    <w:p>
      <w:pPr>
        <w:pStyle w:val="BodyText"/>
        <w:ind w:left="590"/>
        <w:spacing w:before="135" w:line="219" w:lineRule="auto"/>
        <w:rPr>
          <w:sz w:val="29"/>
          <w:szCs w:val="29"/>
        </w:rPr>
      </w:pPr>
      <w:r>
        <w:rPr>
          <w:sz w:val="29"/>
          <w:szCs w:val="29"/>
          <w:spacing w:val="23"/>
        </w:rPr>
        <w:t>8)棕榈科植物</w:t>
      </w:r>
    </w:p>
    <w:p>
      <w:pPr>
        <w:pStyle w:val="BodyText"/>
        <w:ind w:right="258" w:firstLine="590"/>
        <w:spacing w:before="158" w:line="324" w:lineRule="auto"/>
        <w:rPr>
          <w:sz w:val="29"/>
          <w:szCs w:val="29"/>
        </w:rPr>
      </w:pPr>
      <w:r>
        <w:rPr>
          <w:sz w:val="29"/>
          <w:szCs w:val="29"/>
        </w:rPr>
        <w:t>枝叶枯黄面积达2/3时应剪除，其叶壳在底部</w:t>
      </w:r>
      <w:r>
        <w:rPr>
          <w:sz w:val="29"/>
          <w:szCs w:val="29"/>
          <w:spacing w:val="-1"/>
        </w:rPr>
        <w:t>开裂达1/3以上时应剥除，开花</w:t>
      </w:r>
      <w:r>
        <w:rPr>
          <w:sz w:val="29"/>
          <w:szCs w:val="29"/>
        </w:rPr>
        <w:t xml:space="preserve"> </w:t>
      </w:r>
      <w:r>
        <w:rPr>
          <w:sz w:val="29"/>
          <w:szCs w:val="29"/>
          <w:spacing w:val="1"/>
        </w:rPr>
        <w:t>后的花序也应及时剪除。修剪时应严格保护苗木，确保顶芽不受损伤。</w:t>
      </w:r>
    </w:p>
    <w:p>
      <w:pPr>
        <w:pStyle w:val="BodyText"/>
        <w:ind w:left="590"/>
        <w:spacing w:line="219" w:lineRule="auto"/>
        <w:rPr>
          <w:sz w:val="27"/>
          <w:szCs w:val="27"/>
        </w:rPr>
      </w:pPr>
      <w:r>
        <w:rPr>
          <w:sz w:val="27"/>
          <w:szCs w:val="27"/>
          <w:spacing w:val="-14"/>
        </w:rPr>
        <w:t>9</w:t>
      </w:r>
      <w:r>
        <w:rPr>
          <w:sz w:val="27"/>
          <w:szCs w:val="27"/>
          <w:spacing w:val="-58"/>
        </w:rPr>
        <w:t xml:space="preserve"> </w:t>
      </w:r>
      <w:r>
        <w:rPr>
          <w:sz w:val="27"/>
          <w:szCs w:val="27"/>
          <w:spacing w:val="-14"/>
        </w:rPr>
        <w:t>)</w:t>
      </w:r>
      <w:r>
        <w:rPr>
          <w:sz w:val="27"/>
          <w:szCs w:val="27"/>
          <w:spacing w:val="-39"/>
        </w:rPr>
        <w:t xml:space="preserve"> </w:t>
      </w:r>
      <w:r>
        <w:rPr>
          <w:sz w:val="27"/>
          <w:szCs w:val="27"/>
          <w:spacing w:val="-14"/>
        </w:rPr>
        <w:t>圆</w:t>
      </w:r>
      <w:r>
        <w:rPr>
          <w:sz w:val="27"/>
          <w:szCs w:val="27"/>
          <w:spacing w:val="-61"/>
        </w:rPr>
        <w:t xml:space="preserve"> </w:t>
      </w:r>
      <w:r>
        <w:rPr>
          <w:sz w:val="27"/>
          <w:szCs w:val="27"/>
          <w:spacing w:val="-14"/>
        </w:rPr>
        <w:t>球</w:t>
      </w:r>
      <w:r>
        <w:rPr>
          <w:sz w:val="27"/>
          <w:szCs w:val="27"/>
          <w:spacing w:val="-61"/>
        </w:rPr>
        <w:t xml:space="preserve"> </w:t>
      </w:r>
      <w:r>
        <w:rPr>
          <w:sz w:val="27"/>
          <w:szCs w:val="27"/>
          <w:spacing w:val="-14"/>
        </w:rPr>
        <w:t>类</w:t>
      </w:r>
    </w:p>
    <w:p>
      <w:pPr>
        <w:pStyle w:val="BodyText"/>
        <w:ind w:firstLine="590"/>
        <w:spacing w:before="136" w:line="298" w:lineRule="auto"/>
        <w:rPr>
          <w:sz w:val="29"/>
          <w:szCs w:val="29"/>
        </w:rPr>
      </w:pPr>
      <w:r>
        <w:rPr>
          <w:sz w:val="29"/>
          <w:szCs w:val="29"/>
        </w:rPr>
        <w:t>圆球类苗木常表现为一段极短的主干，在主干上分</w:t>
      </w:r>
      <w:r>
        <w:rPr>
          <w:sz w:val="29"/>
          <w:szCs w:val="29"/>
          <w:spacing w:val="-1"/>
        </w:rPr>
        <w:t>生多数主枝，主枝分生侧</w:t>
      </w:r>
      <w:r>
        <w:rPr>
          <w:sz w:val="29"/>
          <w:szCs w:val="29"/>
        </w:rPr>
        <w:t xml:space="preserve">  </w:t>
      </w:r>
      <w:r>
        <w:rPr>
          <w:sz w:val="29"/>
          <w:szCs w:val="29"/>
          <w:spacing w:val="-9"/>
        </w:rPr>
        <w:t>枝，各级主侧枝均相互错落排开，叶幕层较厚，如大叶黄杨、小叶黄杨、小叶女贞、</w:t>
      </w:r>
      <w:r>
        <w:rPr>
          <w:sz w:val="29"/>
          <w:szCs w:val="29"/>
          <w:spacing w:val="6"/>
        </w:rPr>
        <w:t xml:space="preserve"> </w:t>
      </w:r>
      <w:r>
        <w:rPr>
          <w:sz w:val="29"/>
          <w:szCs w:val="29"/>
          <w:spacing w:val="-15"/>
        </w:rPr>
        <w:t>球形龙柏等。养护期每年留取部分新枝作为更新</w:t>
      </w:r>
      <w:r>
        <w:rPr>
          <w:sz w:val="29"/>
          <w:szCs w:val="29"/>
          <w:spacing w:val="-16"/>
        </w:rPr>
        <w:t>与扩大冠幅用，如冠幅过大，可在春</w:t>
      </w:r>
      <w:r>
        <w:rPr>
          <w:sz w:val="29"/>
          <w:szCs w:val="29"/>
        </w:rPr>
        <w:t xml:space="preserve">  </w:t>
      </w:r>
      <w:r>
        <w:rPr>
          <w:sz w:val="29"/>
          <w:szCs w:val="29"/>
        </w:rPr>
        <w:t>季芽孢刚刚开始膨大时一次性回缩到位。</w:t>
      </w:r>
    </w:p>
    <w:p>
      <w:pPr>
        <w:ind w:firstLine="1769"/>
        <w:spacing w:line="3010" w:lineRule="exact"/>
        <w:rPr/>
      </w:pPr>
      <w:r>
        <w:drawing>
          <wp:anchor distT="0" distB="0" distL="0" distR="0" simplePos="0" relativeHeight="251680768" behindDoc="0" locked="0" layoutInCell="1" allowOverlap="1">
            <wp:simplePos x="0" y="0"/>
            <wp:positionH relativeFrom="column">
              <wp:posOffset>3498829</wp:posOffset>
            </wp:positionH>
            <wp:positionV relativeFrom="paragraph">
              <wp:posOffset>190427</wp:posOffset>
            </wp:positionV>
            <wp:extent cx="1860564" cy="1746341"/>
            <wp:effectExtent l="0" t="0" r="0" b="0"/>
            <wp:wrapNone/>
            <wp:docPr id="78" name="IM 78"/>
            <wp:cNvGraphicFramePr/>
            <a:graphic>
              <a:graphicData uri="http://schemas.openxmlformats.org/drawingml/2006/picture">
                <pic:pic>
                  <pic:nvPicPr>
                    <pic:cNvPr id="78" name="IM 78"/>
                    <pic:cNvPicPr/>
                  </pic:nvPicPr>
                  <pic:blipFill>
                    <a:blip r:embed="rId55"/>
                    <a:stretch>
                      <a:fillRect/>
                    </a:stretch>
                  </pic:blipFill>
                  <pic:spPr>
                    <a:xfrm rot="0">
                      <a:off x="0" y="0"/>
                      <a:ext cx="1860564" cy="1746341"/>
                    </a:xfrm>
                    <a:prstGeom prst="rect">
                      <a:avLst/>
                    </a:prstGeom>
                  </pic:spPr>
                </pic:pic>
              </a:graphicData>
            </a:graphic>
          </wp:anchor>
        </w:drawing>
      </w:r>
      <w:r>
        <w:rPr>
          <w:position w:val="-60"/>
        </w:rPr>
        <w:drawing>
          <wp:inline distT="0" distB="0" distL="0" distR="0">
            <wp:extent cx="2241584" cy="1911292"/>
            <wp:effectExtent l="0" t="0" r="0" b="0"/>
            <wp:docPr id="80" name="IM 80"/>
            <wp:cNvGraphicFramePr/>
            <a:graphic>
              <a:graphicData uri="http://schemas.openxmlformats.org/drawingml/2006/picture">
                <pic:pic>
                  <pic:nvPicPr>
                    <pic:cNvPr id="80" name="IM 80"/>
                    <pic:cNvPicPr/>
                  </pic:nvPicPr>
                  <pic:blipFill>
                    <a:blip r:embed="rId56"/>
                    <a:stretch>
                      <a:fillRect/>
                    </a:stretch>
                  </pic:blipFill>
                  <pic:spPr>
                    <a:xfrm rot="0">
                      <a:off x="0" y="0"/>
                      <a:ext cx="2241584" cy="1911292"/>
                    </a:xfrm>
                    <a:prstGeom prst="rect">
                      <a:avLst/>
                    </a:prstGeom>
                  </pic:spPr>
                </pic:pic>
              </a:graphicData>
            </a:graphic>
          </wp:inline>
        </w:drawing>
      </w:r>
    </w:p>
    <w:p>
      <w:pPr>
        <w:pStyle w:val="BodyText"/>
        <w:ind w:left="3219"/>
        <w:spacing w:before="190" w:line="219" w:lineRule="auto"/>
        <w:rPr>
          <w:sz w:val="24"/>
          <w:szCs w:val="24"/>
        </w:rPr>
      </w:pPr>
      <w:r>
        <w:rPr>
          <w:sz w:val="24"/>
          <w:szCs w:val="24"/>
          <w:spacing w:val="8"/>
        </w:rPr>
        <w:t>图2-2-14球类灌木修剪前后示意图</w:t>
      </w:r>
    </w:p>
    <w:p>
      <w:pPr>
        <w:ind w:firstLine="1179"/>
        <w:spacing w:before="125" w:line="3030" w:lineRule="exact"/>
        <w:rPr/>
      </w:pPr>
      <w:r>
        <w:rPr>
          <w:position w:val="-60"/>
        </w:rPr>
        <w:drawing>
          <wp:inline distT="0" distB="0" distL="0" distR="0">
            <wp:extent cx="4946722" cy="1924160"/>
            <wp:effectExtent l="0" t="0" r="0" b="0"/>
            <wp:docPr id="82" name="IM 82"/>
            <wp:cNvGraphicFramePr/>
            <a:graphic>
              <a:graphicData uri="http://schemas.openxmlformats.org/drawingml/2006/picture">
                <pic:pic>
                  <pic:nvPicPr>
                    <pic:cNvPr id="82" name="IM 82"/>
                    <pic:cNvPicPr/>
                  </pic:nvPicPr>
                  <pic:blipFill>
                    <a:blip r:embed="rId57"/>
                    <a:stretch>
                      <a:fillRect/>
                    </a:stretch>
                  </pic:blipFill>
                  <pic:spPr>
                    <a:xfrm rot="0">
                      <a:off x="0" y="0"/>
                      <a:ext cx="4946722" cy="1924160"/>
                    </a:xfrm>
                    <a:prstGeom prst="rect">
                      <a:avLst/>
                    </a:prstGeom>
                  </pic:spPr>
                </pic:pic>
              </a:graphicData>
            </a:graphic>
          </wp:inline>
        </w:drawing>
      </w:r>
    </w:p>
    <w:p>
      <w:pPr>
        <w:pStyle w:val="BodyText"/>
        <w:ind w:left="3489"/>
        <w:spacing w:before="71" w:line="219" w:lineRule="auto"/>
        <w:rPr>
          <w:sz w:val="27"/>
          <w:szCs w:val="27"/>
        </w:rPr>
      </w:pPr>
      <w:r>
        <w:rPr>
          <w:sz w:val="27"/>
          <w:szCs w:val="27"/>
          <w:spacing w:val="-17"/>
        </w:rPr>
        <w:t>图2-2-15球类修剪前后实景图</w:t>
      </w:r>
    </w:p>
    <w:p>
      <w:pPr>
        <w:spacing w:line="219" w:lineRule="auto"/>
        <w:sectPr>
          <w:footerReference w:type="default" r:id="rId51"/>
          <w:pgSz w:w="14490" w:h="20470"/>
          <w:pgMar w:top="1739" w:right="1934" w:bottom="1395" w:left="2150" w:header="0" w:footer="1233" w:gutter="0"/>
        </w:sectPr>
        <w:rPr>
          <w:sz w:val="27"/>
          <w:szCs w:val="27"/>
        </w:rPr>
      </w:pPr>
    </w:p>
    <w:p>
      <w:pPr>
        <w:pStyle w:val="BodyText"/>
        <w:ind w:left="1370"/>
        <w:spacing w:before="112" w:line="219" w:lineRule="auto"/>
        <w:rPr>
          <w:sz w:val="29"/>
          <w:szCs w:val="29"/>
        </w:rPr>
      </w:pPr>
      <w:r>
        <w:rPr>
          <w:sz w:val="29"/>
          <w:szCs w:val="29"/>
          <w:spacing w:val="26"/>
        </w:rPr>
        <w:t>10)丛生类</w:t>
      </w:r>
    </w:p>
    <w:p>
      <w:pPr>
        <w:pStyle w:val="BodyText"/>
        <w:ind w:left="769" w:right="1416" w:firstLine="600"/>
        <w:spacing w:before="163" w:line="315" w:lineRule="auto"/>
        <w:rPr>
          <w:sz w:val="29"/>
          <w:szCs w:val="29"/>
        </w:rPr>
      </w:pPr>
      <w:r>
        <w:rPr>
          <w:sz w:val="29"/>
          <w:szCs w:val="29"/>
          <w:u w:val="single" w:color="auto"/>
          <w:spacing w:val="-7"/>
        </w:rPr>
        <w:t>从生</w:t>
      </w:r>
      <w:r>
        <w:rPr>
          <w:sz w:val="29"/>
          <w:szCs w:val="29"/>
          <w:spacing w:val="-7"/>
        </w:rPr>
        <w:t>类苗木无主干，由数个枝条人为拼成或自然生长而成，如连翘、红瑞木</w:t>
      </w:r>
      <w:r>
        <w:rPr>
          <w:sz w:val="29"/>
          <w:szCs w:val="29"/>
          <w:spacing w:val="3"/>
        </w:rPr>
        <w:t xml:space="preserve"> </w:t>
      </w:r>
      <w:r>
        <w:rPr>
          <w:sz w:val="29"/>
          <w:szCs w:val="29"/>
          <w:spacing w:val="-3"/>
        </w:rPr>
        <w:t>等。其养护期修剪有：</w:t>
      </w:r>
    </w:p>
    <w:p>
      <w:pPr>
        <w:pStyle w:val="BodyText"/>
        <w:ind w:left="769" w:right="1296" w:firstLine="730"/>
        <w:spacing w:before="3" w:line="262" w:lineRule="auto"/>
        <w:rPr>
          <w:sz w:val="29"/>
          <w:szCs w:val="29"/>
        </w:rPr>
      </w:pPr>
      <w:r>
        <w:rPr>
          <w:sz w:val="29"/>
          <w:szCs w:val="29"/>
          <w:spacing w:val="-1"/>
        </w:rPr>
        <w:t>(1)</w:t>
      </w:r>
      <w:r>
        <w:rPr>
          <w:sz w:val="29"/>
          <w:szCs w:val="29"/>
          <w:spacing w:val="85"/>
        </w:rPr>
        <w:t xml:space="preserve"> </w:t>
      </w:r>
      <w:r>
        <w:rPr>
          <w:sz w:val="29"/>
          <w:szCs w:val="29"/>
          <w:spacing w:val="-1"/>
        </w:rPr>
        <w:t>剪去绝大多数的萌蘖枝、病枯枝、交叉重叠枝，留取少量萌蘖枝做更</w:t>
      </w:r>
      <w:r>
        <w:rPr>
          <w:sz w:val="29"/>
          <w:szCs w:val="29"/>
        </w:rPr>
        <w:t xml:space="preserve"> </w:t>
      </w:r>
      <w:r>
        <w:rPr>
          <w:sz w:val="29"/>
          <w:szCs w:val="29"/>
          <w:spacing w:val="-1"/>
        </w:rPr>
        <w:t>新枝培养，逐年对老弱枝条进行更新；</w:t>
      </w:r>
    </w:p>
    <w:p>
      <w:pPr>
        <w:pStyle w:val="BodyText"/>
        <w:ind w:left="1500"/>
        <w:spacing w:before="156" w:line="219" w:lineRule="auto"/>
        <w:rPr>
          <w:sz w:val="29"/>
          <w:szCs w:val="29"/>
        </w:rPr>
      </w:pPr>
      <w:r>
        <w:rPr>
          <w:sz w:val="29"/>
          <w:szCs w:val="29"/>
          <w:spacing w:val="6"/>
        </w:rPr>
        <w:t>(2)疏去内膛萌生直立枝，慎用短截，防止枝条过多而扰乱树形；</w:t>
      </w:r>
    </w:p>
    <w:p>
      <w:pPr>
        <w:pStyle w:val="BodyText"/>
        <w:ind w:left="1500"/>
        <w:spacing w:before="144" w:line="219" w:lineRule="auto"/>
        <w:rPr>
          <w:sz w:val="29"/>
          <w:szCs w:val="29"/>
        </w:rPr>
      </w:pPr>
      <w:r>
        <w:rPr>
          <w:sz w:val="29"/>
          <w:szCs w:val="29"/>
          <w:spacing w:val="6"/>
        </w:rPr>
        <w:t>(3)对旺枝可疏除，壮枝可多次回缩，以增加中短</w:t>
      </w:r>
      <w:r>
        <w:rPr>
          <w:sz w:val="29"/>
          <w:szCs w:val="29"/>
          <w:spacing w:val="5"/>
        </w:rPr>
        <w:t>枝比例；</w:t>
      </w:r>
    </w:p>
    <w:p>
      <w:pPr>
        <w:pStyle w:val="BodyText"/>
        <w:ind w:left="769" w:right="1296" w:firstLine="670"/>
        <w:spacing w:before="146" w:line="269" w:lineRule="auto"/>
        <w:rPr>
          <w:sz w:val="29"/>
          <w:szCs w:val="29"/>
        </w:rPr>
      </w:pPr>
      <w:r>
        <w:rPr>
          <w:sz w:val="29"/>
          <w:szCs w:val="29"/>
          <w:spacing w:val="21"/>
        </w:rPr>
        <w:t>(4)开张形从生灌木(如：木槿)须及时用背上枝(即与主枝平行生长且</w:t>
      </w:r>
      <w:r>
        <w:rPr>
          <w:sz w:val="29"/>
          <w:szCs w:val="29"/>
        </w:rPr>
        <w:t xml:space="preserve"> </w:t>
      </w:r>
      <w:r>
        <w:rPr>
          <w:sz w:val="29"/>
          <w:szCs w:val="29"/>
          <w:spacing w:val="8"/>
        </w:rPr>
        <w:t>处于主枝上方的枝条)换头，防止外围枝头下垂</w:t>
      </w:r>
      <w:r>
        <w:rPr>
          <w:sz w:val="29"/>
          <w:szCs w:val="29"/>
          <w:spacing w:val="7"/>
        </w:rPr>
        <w:t>早衰。</w:t>
      </w:r>
    </w:p>
    <w:p>
      <w:pPr>
        <w:spacing w:before="54" w:line="2770" w:lineRule="exact"/>
        <w:rPr/>
      </w:pPr>
      <w:r>
        <w:rPr>
          <w:position w:val="-55"/>
        </w:rPr>
        <w:drawing>
          <wp:inline distT="0" distB="0" distL="0" distR="0">
            <wp:extent cx="7702559" cy="1758950"/>
            <wp:effectExtent l="0" t="0" r="0" b="0"/>
            <wp:docPr id="84" name="IM 84"/>
            <wp:cNvGraphicFramePr/>
            <a:graphic>
              <a:graphicData uri="http://schemas.openxmlformats.org/drawingml/2006/picture">
                <pic:pic>
                  <pic:nvPicPr>
                    <pic:cNvPr id="84" name="IM 84"/>
                    <pic:cNvPicPr/>
                  </pic:nvPicPr>
                  <pic:blipFill>
                    <a:blip r:embed="rId59"/>
                    <a:stretch>
                      <a:fillRect/>
                    </a:stretch>
                  </pic:blipFill>
                  <pic:spPr>
                    <a:xfrm rot="0">
                      <a:off x="0" y="0"/>
                      <a:ext cx="7702559" cy="1758950"/>
                    </a:xfrm>
                    <a:prstGeom prst="rect">
                      <a:avLst/>
                    </a:prstGeom>
                  </pic:spPr>
                </pic:pic>
              </a:graphicData>
            </a:graphic>
          </wp:inline>
        </w:drawing>
      </w:r>
    </w:p>
    <w:p>
      <w:pPr>
        <w:pStyle w:val="BodyText"/>
        <w:ind w:left="4109"/>
        <w:spacing w:before="121" w:line="219" w:lineRule="auto"/>
        <w:rPr>
          <w:sz w:val="27"/>
          <w:szCs w:val="27"/>
        </w:rPr>
      </w:pPr>
      <w:r>
        <w:rPr>
          <w:sz w:val="27"/>
          <w:szCs w:val="27"/>
          <w:spacing w:val="-17"/>
        </w:rPr>
        <w:t>图2-2-16丛生类修剪前后示意图</w:t>
      </w:r>
    </w:p>
    <w:p>
      <w:pPr>
        <w:pStyle w:val="BodyText"/>
        <w:ind w:left="1370"/>
        <w:spacing w:before="140" w:line="219" w:lineRule="auto"/>
        <w:rPr>
          <w:sz w:val="29"/>
          <w:szCs w:val="29"/>
        </w:rPr>
      </w:pPr>
      <w:r>
        <w:rPr>
          <w:sz w:val="29"/>
          <w:szCs w:val="29"/>
          <w:spacing w:val="21"/>
        </w:rPr>
        <w:t>11)造型类</w:t>
      </w:r>
    </w:p>
    <w:p>
      <w:pPr>
        <w:pStyle w:val="BodyText"/>
        <w:ind w:left="769" w:right="1207" w:firstLine="509"/>
        <w:spacing w:before="117" w:line="303" w:lineRule="auto"/>
        <w:rPr>
          <w:sz w:val="29"/>
          <w:szCs w:val="29"/>
        </w:rPr>
      </w:pPr>
      <w:r>
        <w:rPr>
          <w:sz w:val="29"/>
          <w:szCs w:val="29"/>
          <w:spacing w:val="2"/>
        </w:rPr>
        <w:t>造型树有云片、蘑菇头造型两种，如罗汉松、金柑、小叶榕、造型榆、贴梗</w:t>
      </w:r>
      <w:r>
        <w:rPr>
          <w:sz w:val="29"/>
          <w:szCs w:val="29"/>
          <w:spacing w:val="5"/>
        </w:rPr>
        <w:t xml:space="preserve"> </w:t>
      </w:r>
      <w:r>
        <w:rPr>
          <w:sz w:val="29"/>
          <w:szCs w:val="29"/>
          <w:spacing w:val="-8"/>
        </w:rPr>
        <w:t>海棠等。修剪时以原有造型为基础，收放结合，疏密有度，逐年、逐月、逐次优化</w:t>
      </w:r>
      <w:r>
        <w:rPr>
          <w:sz w:val="29"/>
          <w:szCs w:val="29"/>
        </w:rPr>
        <w:t xml:space="preserve"> </w:t>
      </w:r>
      <w:r>
        <w:rPr>
          <w:sz w:val="29"/>
          <w:szCs w:val="29"/>
          <w:spacing w:val="1"/>
        </w:rPr>
        <w:t>造型，修剪后达到层次清晰、分布均匀。</w:t>
      </w:r>
    </w:p>
    <w:p>
      <w:pPr>
        <w:ind w:firstLine="909"/>
        <w:spacing w:line="3389" w:lineRule="exact"/>
        <w:rPr/>
      </w:pPr>
      <w:r>
        <w:rPr>
          <w:position w:val="-67"/>
        </w:rPr>
        <w:drawing>
          <wp:inline distT="0" distB="0" distL="0" distR="0">
            <wp:extent cx="6273804" cy="2152543"/>
            <wp:effectExtent l="0" t="0" r="0" b="0"/>
            <wp:docPr id="86" name="IM 86"/>
            <wp:cNvGraphicFramePr/>
            <a:graphic>
              <a:graphicData uri="http://schemas.openxmlformats.org/drawingml/2006/picture">
                <pic:pic>
                  <pic:nvPicPr>
                    <pic:cNvPr id="86" name="IM 86"/>
                    <pic:cNvPicPr/>
                  </pic:nvPicPr>
                  <pic:blipFill>
                    <a:blip r:embed="rId60"/>
                    <a:stretch>
                      <a:fillRect/>
                    </a:stretch>
                  </pic:blipFill>
                  <pic:spPr>
                    <a:xfrm rot="0">
                      <a:off x="0" y="0"/>
                      <a:ext cx="6273804" cy="2152543"/>
                    </a:xfrm>
                    <a:prstGeom prst="rect">
                      <a:avLst/>
                    </a:prstGeom>
                  </pic:spPr>
                </pic:pic>
              </a:graphicData>
            </a:graphic>
          </wp:inline>
        </w:drawing>
      </w:r>
    </w:p>
    <w:p>
      <w:pPr>
        <w:pStyle w:val="BodyText"/>
        <w:ind w:left="3999"/>
        <w:spacing w:before="252" w:line="219" w:lineRule="auto"/>
        <w:rPr>
          <w:sz w:val="27"/>
          <w:szCs w:val="27"/>
        </w:rPr>
      </w:pPr>
      <w:r>
        <w:rPr>
          <w:sz w:val="27"/>
          <w:szCs w:val="27"/>
          <w:spacing w:val="-15"/>
        </w:rPr>
        <w:t>图2-2-17云片与蘑菇头造型修剪标准</w:t>
      </w:r>
    </w:p>
    <w:p>
      <w:pPr>
        <w:pStyle w:val="BodyText"/>
        <w:ind w:left="769"/>
        <w:spacing w:before="86"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修剪操作及注意事项</w:t>
      </w:r>
    </w:p>
    <w:p>
      <w:pPr>
        <w:pStyle w:val="BodyText"/>
        <w:ind w:left="769" w:right="1364" w:firstLine="600"/>
        <w:spacing w:before="178" w:line="269" w:lineRule="auto"/>
        <w:rPr>
          <w:sz w:val="29"/>
          <w:szCs w:val="29"/>
        </w:rPr>
      </w:pPr>
      <w:r>
        <w:rPr>
          <w:sz w:val="29"/>
          <w:szCs w:val="29"/>
          <w:spacing w:val="3"/>
        </w:rPr>
        <w:t>1)多品种栽植的灌木丛，修剪时应突出主栽品种，并留出适当生长空间；</w:t>
      </w:r>
      <w:r>
        <w:rPr>
          <w:sz w:val="29"/>
          <w:szCs w:val="29"/>
          <w:spacing w:val="15"/>
        </w:rPr>
        <w:t xml:space="preserve"> </w:t>
      </w:r>
      <w:r>
        <w:rPr>
          <w:sz w:val="29"/>
          <w:szCs w:val="29"/>
          <w:spacing w:val="2"/>
        </w:rPr>
        <w:t>造型的灌木修剪应保持外型轮廓清楚，外缘</w:t>
      </w:r>
      <w:r>
        <w:rPr>
          <w:sz w:val="29"/>
          <w:szCs w:val="29"/>
          <w:spacing w:val="1"/>
        </w:rPr>
        <w:t>枝叶紧密。</w:t>
      </w:r>
    </w:p>
    <w:p>
      <w:pPr>
        <w:pStyle w:val="BodyText"/>
        <w:ind w:left="1370"/>
        <w:spacing w:before="126" w:line="219" w:lineRule="auto"/>
        <w:rPr>
          <w:sz w:val="29"/>
          <w:szCs w:val="29"/>
        </w:rPr>
      </w:pPr>
      <w:r>
        <w:rPr>
          <w:sz w:val="29"/>
          <w:szCs w:val="29"/>
          <w:spacing w:val="9"/>
        </w:rPr>
        <w:t>2)花灌木修剪应特别注意：</w:t>
      </w:r>
    </w:p>
    <w:p>
      <w:pPr>
        <w:pStyle w:val="BodyText"/>
        <w:ind w:left="769" w:right="1298" w:firstLine="730"/>
        <w:spacing w:before="135" w:line="326" w:lineRule="auto"/>
        <w:rPr>
          <w:sz w:val="29"/>
          <w:szCs w:val="29"/>
        </w:rPr>
      </w:pPr>
      <w:r>
        <w:rPr>
          <w:sz w:val="29"/>
          <w:szCs w:val="29"/>
          <w:spacing w:val="6"/>
        </w:rPr>
        <w:t>(1)当年生枝条开花灌木，如：紫薇、木槿、月季、珍珠梅等，休</w:t>
      </w:r>
      <w:r>
        <w:rPr>
          <w:sz w:val="29"/>
          <w:szCs w:val="29"/>
          <w:spacing w:val="5"/>
        </w:rPr>
        <w:t>眠期修</w:t>
      </w:r>
      <w:r>
        <w:rPr>
          <w:sz w:val="29"/>
          <w:szCs w:val="29"/>
        </w:rPr>
        <w:t xml:space="preserve"> </w:t>
      </w:r>
      <w:r>
        <w:rPr>
          <w:sz w:val="29"/>
          <w:szCs w:val="29"/>
          <w:spacing w:val="-17"/>
        </w:rPr>
        <w:t>剪时，为控制树木高度，对于生长健壮枝条应在</w:t>
      </w:r>
      <w:r>
        <w:rPr>
          <w:sz w:val="29"/>
          <w:szCs w:val="29"/>
          <w:spacing w:val="-18"/>
        </w:rPr>
        <w:t>保留3—5个芽处短截，促发新枝；</w:t>
      </w:r>
    </w:p>
    <w:p>
      <w:pPr>
        <w:spacing w:line="326" w:lineRule="auto"/>
        <w:sectPr>
          <w:footerReference w:type="default" r:id="rId58"/>
          <w:pgSz w:w="14490" w:h="20470"/>
          <w:pgMar w:top="1739" w:right="979" w:bottom="1395" w:left="1380" w:header="0" w:footer="1233" w:gutter="0"/>
        </w:sectPr>
        <w:rPr>
          <w:sz w:val="29"/>
          <w:szCs w:val="29"/>
        </w:rPr>
      </w:pPr>
    </w:p>
    <w:p>
      <w:pPr>
        <w:pStyle w:val="BodyText"/>
        <w:ind w:right="221" w:firstLine="730"/>
        <w:spacing w:before="122" w:line="313" w:lineRule="auto"/>
        <w:rPr>
          <w:sz w:val="29"/>
          <w:szCs w:val="29"/>
        </w:rPr>
      </w:pPr>
      <w:r>
        <w:rPr>
          <w:sz w:val="29"/>
          <w:szCs w:val="29"/>
          <w:spacing w:val="7"/>
        </w:rPr>
        <w:t>(2)1年可数次开花灌木如月季、珍珠梅、紫薇等，花落</w:t>
      </w:r>
      <w:r>
        <w:rPr>
          <w:sz w:val="29"/>
          <w:szCs w:val="29"/>
          <w:spacing w:val="6"/>
        </w:rPr>
        <w:t>后应及时剪去残</w:t>
      </w:r>
      <w:r>
        <w:rPr>
          <w:sz w:val="29"/>
          <w:szCs w:val="29"/>
        </w:rPr>
        <w:t xml:space="preserve"> </w:t>
      </w:r>
      <w:r>
        <w:rPr>
          <w:sz w:val="29"/>
          <w:szCs w:val="29"/>
          <w:spacing w:val="-2"/>
        </w:rPr>
        <w:t>花，促使再次开花；</w:t>
      </w:r>
    </w:p>
    <w:p>
      <w:pPr>
        <w:pStyle w:val="BodyText"/>
        <w:ind w:right="25" w:firstLine="730"/>
        <w:spacing w:before="4" w:line="281" w:lineRule="auto"/>
        <w:rPr>
          <w:sz w:val="29"/>
          <w:szCs w:val="29"/>
        </w:rPr>
      </w:pPr>
      <w:r>
        <w:rPr>
          <w:sz w:val="29"/>
          <w:szCs w:val="29"/>
          <w:spacing w:val="4"/>
        </w:rPr>
        <w:t>③  隔年生枝条开花的灌木，如：碧桃、榆叶梅、连翘、紫珠、丁香</w:t>
      </w:r>
      <w:r>
        <w:rPr>
          <w:sz w:val="29"/>
          <w:szCs w:val="29"/>
          <w:spacing w:val="3"/>
        </w:rPr>
        <w:t>、黄</w:t>
      </w:r>
      <w:r>
        <w:rPr>
          <w:sz w:val="29"/>
          <w:szCs w:val="29"/>
        </w:rPr>
        <w:t xml:space="preserve"> </w:t>
      </w:r>
      <w:r>
        <w:rPr>
          <w:sz w:val="29"/>
          <w:szCs w:val="29"/>
        </w:rPr>
        <w:t>刺玫等，休眠期适当整形修剪，生长季花落后10—15</w:t>
      </w:r>
      <w:r>
        <w:rPr>
          <w:sz w:val="29"/>
          <w:szCs w:val="29"/>
          <w:spacing w:val="-1"/>
        </w:rPr>
        <w:t>天将已开花枝条进行中或重</w:t>
      </w:r>
      <w:r>
        <w:rPr>
          <w:sz w:val="29"/>
          <w:szCs w:val="29"/>
        </w:rPr>
        <w:t xml:space="preserve"> </w:t>
      </w:r>
      <w:r>
        <w:rPr>
          <w:sz w:val="29"/>
          <w:szCs w:val="29"/>
        </w:rPr>
        <w:t>短截，疏剪过密枝，以利来年促生健壮新枝；</w:t>
      </w:r>
    </w:p>
    <w:p>
      <w:pPr>
        <w:pStyle w:val="BodyText"/>
        <w:ind w:right="102" w:firstLine="730"/>
        <w:spacing w:before="154" w:line="269" w:lineRule="auto"/>
        <w:rPr>
          <w:sz w:val="29"/>
          <w:szCs w:val="29"/>
        </w:rPr>
      </w:pPr>
      <w:r>
        <w:rPr>
          <w:sz w:val="29"/>
          <w:szCs w:val="29"/>
          <w:spacing w:val="2"/>
        </w:rPr>
        <w:t>④  多年生枝条开花灌木，如：紫荆、贴</w:t>
      </w:r>
      <w:r>
        <w:rPr>
          <w:sz w:val="29"/>
          <w:szCs w:val="29"/>
          <w:spacing w:val="1"/>
        </w:rPr>
        <w:t>梗海棠等，应注意培育和保护老</w:t>
      </w:r>
      <w:r>
        <w:rPr>
          <w:sz w:val="29"/>
          <w:szCs w:val="29"/>
        </w:rPr>
        <w:t xml:space="preserve"> </w:t>
      </w:r>
      <w:r>
        <w:rPr>
          <w:sz w:val="29"/>
          <w:szCs w:val="29"/>
          <w:spacing w:val="1"/>
        </w:rPr>
        <w:t>枝，剪除干扰树型并影响通风透光的过密枝、弱枝、枯枝或病虫枝。</w:t>
      </w:r>
    </w:p>
    <w:p>
      <w:pPr>
        <w:pStyle w:val="BodyText"/>
        <w:ind w:left="570"/>
        <w:spacing w:before="156" w:line="219" w:lineRule="auto"/>
        <w:rPr>
          <w:sz w:val="29"/>
          <w:szCs w:val="29"/>
        </w:rPr>
      </w:pPr>
      <w:r>
        <w:rPr>
          <w:sz w:val="29"/>
          <w:szCs w:val="29"/>
          <w:spacing w:val="11"/>
        </w:rPr>
        <w:t>3)主轴明显的树种的修剪：</w:t>
      </w:r>
    </w:p>
    <w:p>
      <w:pPr>
        <w:pStyle w:val="BodyText"/>
        <w:ind w:left="730"/>
        <w:spacing w:before="138" w:line="219" w:lineRule="auto"/>
        <w:rPr>
          <w:sz w:val="29"/>
          <w:szCs w:val="29"/>
        </w:rPr>
      </w:pPr>
      <w:r>
        <w:rPr>
          <w:sz w:val="29"/>
          <w:szCs w:val="29"/>
          <w:spacing w:val="6"/>
        </w:rPr>
        <w:t>(1)修剪时应注意保护中央领导枝，使其向上直立生长；</w:t>
      </w:r>
    </w:p>
    <w:p>
      <w:pPr>
        <w:pStyle w:val="BodyText"/>
        <w:ind w:left="730"/>
        <w:spacing w:before="125" w:line="219" w:lineRule="auto"/>
        <w:rPr>
          <w:sz w:val="29"/>
          <w:szCs w:val="29"/>
        </w:rPr>
      </w:pPr>
      <w:r>
        <w:rPr>
          <w:sz w:val="29"/>
          <w:szCs w:val="29"/>
          <w:spacing w:val="6"/>
        </w:rPr>
        <w:t>(2)原中央领导枝受损、折断时，应利用顶端侧枝</w:t>
      </w:r>
      <w:r>
        <w:rPr>
          <w:sz w:val="29"/>
          <w:szCs w:val="29"/>
          <w:spacing w:val="5"/>
        </w:rPr>
        <w:t>重新培养新的领导枝；</w:t>
      </w:r>
    </w:p>
    <w:p>
      <w:pPr>
        <w:pStyle w:val="BodyText"/>
        <w:ind w:left="730"/>
        <w:spacing w:before="166" w:line="219" w:lineRule="auto"/>
        <w:rPr>
          <w:sz w:val="29"/>
          <w:szCs w:val="29"/>
        </w:rPr>
      </w:pPr>
      <w:r>
        <w:rPr>
          <w:sz w:val="29"/>
          <w:szCs w:val="29"/>
          <w:spacing w:val="7"/>
        </w:rPr>
        <w:t>(3)银杏修剪只能疏枝，不准短截，对轮生枝可分阶段疏除。</w:t>
      </w:r>
    </w:p>
    <w:p>
      <w:pPr>
        <w:pStyle w:val="BodyText"/>
        <w:ind w:right="99" w:firstLine="570"/>
        <w:spacing w:before="145" w:line="265" w:lineRule="auto"/>
        <w:rPr>
          <w:sz w:val="29"/>
          <w:szCs w:val="29"/>
        </w:rPr>
      </w:pPr>
      <w:r>
        <w:rPr>
          <w:sz w:val="29"/>
          <w:szCs w:val="29"/>
          <w:spacing w:val="6"/>
        </w:rPr>
        <w:t>4)逐年调整树干与树冠的合理比例，同一树龄和品种的林地，分枝点高度</w:t>
      </w:r>
      <w:r>
        <w:rPr>
          <w:sz w:val="29"/>
          <w:szCs w:val="29"/>
          <w:spacing w:val="18"/>
        </w:rPr>
        <w:t xml:space="preserve"> </w:t>
      </w:r>
      <w:r>
        <w:rPr>
          <w:sz w:val="29"/>
          <w:szCs w:val="29"/>
          <w:spacing w:val="2"/>
        </w:rPr>
        <w:t>应基本一致，位于林地边缘的树木分枝点可稍低于林内树木。</w:t>
      </w:r>
    </w:p>
    <w:p>
      <w:pPr>
        <w:pStyle w:val="BodyText"/>
        <w:ind w:right="161" w:firstLine="570"/>
        <w:spacing w:before="146" w:line="263" w:lineRule="auto"/>
        <w:rPr>
          <w:sz w:val="29"/>
          <w:szCs w:val="29"/>
        </w:rPr>
      </w:pPr>
      <w:r>
        <w:rPr>
          <w:sz w:val="29"/>
          <w:szCs w:val="29"/>
          <w:spacing w:val="5"/>
        </w:rPr>
        <w:t>5)栽植多年的有主干的灌木，每年应采取交替回</w:t>
      </w:r>
      <w:r>
        <w:rPr>
          <w:sz w:val="29"/>
          <w:szCs w:val="29"/>
          <w:spacing w:val="4"/>
        </w:rPr>
        <w:t>缩主枝控制树冠的剪法，</w:t>
      </w:r>
      <w:r>
        <w:rPr>
          <w:sz w:val="29"/>
          <w:szCs w:val="29"/>
        </w:rPr>
        <w:t xml:space="preserve"> </w:t>
      </w:r>
      <w:r>
        <w:rPr>
          <w:sz w:val="29"/>
          <w:szCs w:val="29"/>
          <w:spacing w:val="-2"/>
        </w:rPr>
        <w:t>防止树势上强下弱。</w:t>
      </w:r>
    </w:p>
    <w:p>
      <w:pPr>
        <w:pStyle w:val="BodyText"/>
        <w:ind w:right="90" w:firstLine="570"/>
        <w:spacing w:before="175" w:line="261" w:lineRule="auto"/>
        <w:rPr>
          <w:sz w:val="29"/>
          <w:szCs w:val="29"/>
        </w:rPr>
      </w:pPr>
      <w:r>
        <w:rPr>
          <w:sz w:val="29"/>
          <w:szCs w:val="29"/>
        </w:rPr>
        <w:t>6)道路中央分隔带修剪以挡住人的视线1—1.2</w:t>
      </w:r>
      <w:r>
        <w:rPr>
          <w:rFonts w:ascii="Times New Roman" w:hAnsi="Times New Roman" w:eastAsia="Times New Roman" w:cs="Times New Roman"/>
          <w:sz w:val="29"/>
          <w:szCs w:val="29"/>
        </w:rPr>
        <w:t>m</w:t>
      </w:r>
      <w:r>
        <w:rPr>
          <w:sz w:val="29"/>
          <w:szCs w:val="29"/>
        </w:rPr>
        <w:t>高为宜，不同树种采用不同 </w:t>
      </w:r>
      <w:r>
        <w:rPr>
          <w:sz w:val="29"/>
          <w:szCs w:val="29"/>
          <w:spacing w:val="-4"/>
        </w:rPr>
        <w:t>方法。</w:t>
      </w:r>
    </w:p>
    <w:p>
      <w:pPr>
        <w:pStyle w:val="BodyText"/>
        <w:ind w:right="104" w:firstLine="570"/>
        <w:spacing w:before="160" w:line="266" w:lineRule="auto"/>
        <w:rPr>
          <w:sz w:val="29"/>
          <w:szCs w:val="29"/>
        </w:rPr>
      </w:pPr>
      <w:r>
        <w:rPr>
          <w:sz w:val="29"/>
          <w:szCs w:val="29"/>
          <w:spacing w:val="6"/>
        </w:rPr>
        <w:t>7)对由于受意外伤害折断而枯黄的枝叶应及时清剪，对消耗树体过多水分</w:t>
      </w:r>
      <w:r>
        <w:rPr>
          <w:sz w:val="29"/>
          <w:szCs w:val="29"/>
          <w:spacing w:val="13"/>
        </w:rPr>
        <w:t xml:space="preserve"> </w:t>
      </w:r>
      <w:r>
        <w:rPr>
          <w:sz w:val="29"/>
          <w:szCs w:val="29"/>
          <w:spacing w:val="1"/>
        </w:rPr>
        <w:t>及养分的果实应摘除。</w:t>
      </w:r>
    </w:p>
    <w:p>
      <w:pPr>
        <w:pStyle w:val="BodyText"/>
        <w:ind w:right="104" w:firstLine="570"/>
        <w:spacing w:before="146" w:line="262" w:lineRule="auto"/>
        <w:rPr>
          <w:sz w:val="29"/>
          <w:szCs w:val="29"/>
        </w:rPr>
      </w:pPr>
      <w:r>
        <w:rPr>
          <w:sz w:val="29"/>
          <w:szCs w:val="29"/>
          <w:spacing w:val="6"/>
        </w:rPr>
        <w:t>8)更新修剪必须在休眠期进行，抗寒性差的、易抽条的树种修剪宜于早春</w:t>
      </w:r>
      <w:r>
        <w:rPr>
          <w:sz w:val="29"/>
          <w:szCs w:val="29"/>
          <w:spacing w:val="12"/>
        </w:rPr>
        <w:t xml:space="preserve"> </w:t>
      </w:r>
      <w:r>
        <w:rPr>
          <w:sz w:val="29"/>
          <w:szCs w:val="29"/>
        </w:rPr>
        <w:t>进行，常绿树的修剪应避开生长旺盛期；</w:t>
      </w:r>
    </w:p>
    <w:p>
      <w:pPr>
        <w:pStyle w:val="BodyText"/>
        <w:ind w:left="570"/>
        <w:spacing w:before="176" w:line="219" w:lineRule="auto"/>
        <w:rPr>
          <w:sz w:val="29"/>
          <w:szCs w:val="29"/>
        </w:rPr>
      </w:pPr>
      <w:r>
        <w:rPr>
          <w:sz w:val="29"/>
          <w:szCs w:val="29"/>
          <w:spacing w:val="11"/>
        </w:rPr>
        <w:t>9)其它特殊类型苗木修剪：</w:t>
      </w:r>
    </w:p>
    <w:p>
      <w:pPr>
        <w:pStyle w:val="BodyText"/>
        <w:ind w:right="98" w:firstLine="730"/>
        <w:spacing w:before="127" w:line="268" w:lineRule="auto"/>
        <w:rPr>
          <w:sz w:val="29"/>
          <w:szCs w:val="29"/>
        </w:rPr>
      </w:pPr>
      <w:r>
        <w:rPr>
          <w:sz w:val="29"/>
          <w:szCs w:val="29"/>
          <w:spacing w:val="15"/>
        </w:rPr>
        <w:t>(1)针叶树(除设计要求外)应剪除基部垂地枝条，随树木生长可</w:t>
      </w:r>
      <w:r>
        <w:rPr>
          <w:sz w:val="29"/>
          <w:szCs w:val="29"/>
          <w:spacing w:val="14"/>
        </w:rPr>
        <w:t>根据需</w:t>
      </w:r>
      <w:r>
        <w:rPr>
          <w:sz w:val="29"/>
          <w:szCs w:val="29"/>
        </w:rPr>
        <w:t xml:space="preserve"> </w:t>
      </w:r>
      <w:r>
        <w:rPr>
          <w:sz w:val="29"/>
          <w:szCs w:val="29"/>
          <w:spacing w:val="1"/>
        </w:rPr>
        <w:t>要逐步提高分枝点，并保护主干顶尖直立向上生长。</w:t>
      </w:r>
    </w:p>
    <w:p>
      <w:pPr>
        <w:pStyle w:val="BodyText"/>
        <w:ind w:left="730"/>
        <w:spacing w:before="138" w:line="219" w:lineRule="auto"/>
        <w:rPr>
          <w:sz w:val="29"/>
          <w:szCs w:val="29"/>
        </w:rPr>
      </w:pPr>
      <w:r>
        <w:rPr>
          <w:sz w:val="29"/>
          <w:szCs w:val="29"/>
          <w:spacing w:val="6"/>
        </w:rPr>
        <w:t>(2)有严重伤流和易流胶的树种修剪应避开生长季</w:t>
      </w:r>
      <w:r>
        <w:rPr>
          <w:sz w:val="29"/>
          <w:szCs w:val="29"/>
          <w:spacing w:val="5"/>
        </w:rPr>
        <w:t>和落叶后伤流严重期；</w:t>
      </w:r>
    </w:p>
    <w:p>
      <w:pPr>
        <w:pStyle w:val="BodyText"/>
        <w:ind w:left="570"/>
        <w:spacing w:before="125" w:line="219" w:lineRule="auto"/>
        <w:rPr>
          <w:sz w:val="29"/>
          <w:szCs w:val="29"/>
        </w:rPr>
      </w:pPr>
      <w:r>
        <w:rPr>
          <w:sz w:val="29"/>
          <w:szCs w:val="29"/>
          <w:spacing w:val="11"/>
        </w:rPr>
        <w:t>10)工人修剪操作管理：</w:t>
      </w:r>
    </w:p>
    <w:p>
      <w:pPr>
        <w:pStyle w:val="BodyText"/>
        <w:ind w:right="92" w:firstLine="730"/>
        <w:spacing w:before="155" w:line="269" w:lineRule="auto"/>
        <w:rPr>
          <w:sz w:val="29"/>
          <w:szCs w:val="29"/>
        </w:rPr>
      </w:pPr>
      <w:r>
        <w:rPr>
          <w:sz w:val="29"/>
          <w:szCs w:val="29"/>
          <w:spacing w:val="6"/>
        </w:rPr>
        <w:t>(1)操作者必须是经过项目养护负责人培训合格的人员，穿戴好工作服和</w:t>
      </w:r>
      <w:r>
        <w:rPr>
          <w:sz w:val="29"/>
          <w:szCs w:val="29"/>
          <w:spacing w:val="10"/>
        </w:rPr>
        <w:t xml:space="preserve"> </w:t>
      </w:r>
      <w:r>
        <w:rPr>
          <w:sz w:val="29"/>
          <w:szCs w:val="29"/>
          <w:spacing w:val="-1"/>
        </w:rPr>
        <w:t>劳保用品，如防护眼镜，手套、工作鞋等；</w:t>
      </w:r>
    </w:p>
    <w:p>
      <w:pPr>
        <w:pStyle w:val="BodyText"/>
        <w:ind w:right="102" w:firstLine="730"/>
        <w:spacing w:before="136" w:line="275" w:lineRule="auto"/>
        <w:rPr>
          <w:sz w:val="29"/>
          <w:szCs w:val="29"/>
        </w:rPr>
      </w:pPr>
      <w:r>
        <w:rPr>
          <w:sz w:val="29"/>
          <w:szCs w:val="29"/>
          <w:spacing w:val="6"/>
        </w:rPr>
        <w:t>(2)养护工不经主管批准，不得擅自改变原植株的造型，不得擅自截剪直</w:t>
      </w:r>
      <w:r>
        <w:rPr>
          <w:sz w:val="29"/>
          <w:szCs w:val="29"/>
        </w:rPr>
        <w:t xml:space="preserve"> </w:t>
      </w:r>
      <w:r>
        <w:rPr>
          <w:sz w:val="29"/>
          <w:szCs w:val="29"/>
          <w:spacing w:val="-4"/>
        </w:rPr>
        <w:t>径5</w:t>
      </w:r>
      <w:r>
        <w:rPr>
          <w:rFonts w:ascii="Times New Roman" w:hAnsi="Times New Roman" w:eastAsia="Times New Roman" w:cs="Times New Roman"/>
          <w:sz w:val="29"/>
          <w:szCs w:val="29"/>
          <w:spacing w:val="-4"/>
        </w:rPr>
        <w:t>cm</w:t>
      </w:r>
      <w:r>
        <w:rPr>
          <w:sz w:val="29"/>
          <w:szCs w:val="29"/>
          <w:spacing w:val="-4"/>
        </w:rPr>
        <w:t>以上的枝条；</w:t>
      </w:r>
    </w:p>
    <w:p>
      <w:pPr>
        <w:pStyle w:val="BodyText"/>
        <w:ind w:right="73" w:firstLine="730"/>
        <w:spacing w:before="147" w:line="259" w:lineRule="auto"/>
        <w:rPr>
          <w:sz w:val="29"/>
          <w:szCs w:val="29"/>
        </w:rPr>
      </w:pPr>
      <w:r>
        <w:rPr>
          <w:sz w:val="29"/>
          <w:szCs w:val="29"/>
          <w:spacing w:val="7"/>
        </w:rPr>
        <w:t>(3)乔木修剪应两个人以上配合，用梯子及高枝剪、高枝锯进</w:t>
      </w:r>
      <w:r>
        <w:rPr>
          <w:sz w:val="29"/>
          <w:szCs w:val="29"/>
          <w:spacing w:val="6"/>
        </w:rPr>
        <w:t>行，原则上</w:t>
      </w:r>
      <w:r>
        <w:rPr>
          <w:sz w:val="29"/>
          <w:szCs w:val="29"/>
        </w:rPr>
        <w:t xml:space="preserve"> </w:t>
      </w:r>
      <w:r>
        <w:rPr>
          <w:sz w:val="29"/>
          <w:szCs w:val="29"/>
          <w:spacing w:val="1"/>
        </w:rPr>
        <w:t>不得爬树修剪，如确需爬树修剪时一定要系好安全带后方可操作。</w:t>
      </w:r>
    </w:p>
    <w:p>
      <w:pPr>
        <w:spacing w:line="259" w:lineRule="auto"/>
        <w:sectPr>
          <w:footerReference w:type="default" r:id="rId61"/>
          <w:pgSz w:w="14490" w:h="20470"/>
          <w:pgMar w:top="1739" w:right="2173" w:bottom="1385" w:left="2150" w:header="0" w:footer="1223" w:gutter="0"/>
        </w:sectPr>
        <w:rPr>
          <w:sz w:val="29"/>
          <w:szCs w:val="29"/>
        </w:rPr>
      </w:pPr>
    </w:p>
    <w:p>
      <w:pPr>
        <w:ind w:firstLine="779"/>
        <w:spacing w:line="3960" w:lineRule="exact"/>
        <w:rPr/>
      </w:pPr>
      <w:r>
        <w:rPr>
          <w:position w:val="-79"/>
        </w:rPr>
        <w:drawing>
          <wp:inline distT="0" distB="0" distL="0" distR="0">
            <wp:extent cx="5403835" cy="2514679"/>
            <wp:effectExtent l="0" t="0" r="0" b="0"/>
            <wp:docPr id="88" name="IM 88"/>
            <wp:cNvGraphicFramePr/>
            <a:graphic>
              <a:graphicData uri="http://schemas.openxmlformats.org/drawingml/2006/picture">
                <pic:pic>
                  <pic:nvPicPr>
                    <pic:cNvPr id="88" name="IM 88"/>
                    <pic:cNvPicPr/>
                  </pic:nvPicPr>
                  <pic:blipFill>
                    <a:blip r:embed="rId63"/>
                    <a:stretch>
                      <a:fillRect/>
                    </a:stretch>
                  </pic:blipFill>
                  <pic:spPr>
                    <a:xfrm rot="0">
                      <a:off x="0" y="0"/>
                      <a:ext cx="5403835" cy="2514679"/>
                    </a:xfrm>
                    <a:prstGeom prst="rect">
                      <a:avLst/>
                    </a:prstGeom>
                  </pic:spPr>
                </pic:pic>
              </a:graphicData>
            </a:graphic>
          </wp:inline>
        </w:drawing>
      </w:r>
    </w:p>
    <w:p>
      <w:pPr>
        <w:pStyle w:val="BodyText"/>
        <w:ind w:left="4009"/>
        <w:spacing w:before="141" w:line="219" w:lineRule="auto"/>
        <w:rPr>
          <w:sz w:val="27"/>
          <w:szCs w:val="27"/>
        </w:rPr>
      </w:pPr>
      <w:r>
        <w:rPr>
          <w:sz w:val="27"/>
          <w:szCs w:val="27"/>
          <w:spacing w:val="-17"/>
        </w:rPr>
        <w:t>图2-2-18安全修剪作业</w:t>
      </w:r>
    </w:p>
    <w:p>
      <w:pPr>
        <w:pStyle w:val="BodyText"/>
        <w:spacing w:before="95" w:line="395" w:lineRule="exact"/>
        <w:rPr>
          <w:rFonts w:ascii="SimHei" w:hAnsi="SimHei" w:eastAsia="SimHei" w:cs="SimHei"/>
          <w:sz w:val="29"/>
          <w:szCs w:val="29"/>
        </w:rPr>
      </w:pPr>
      <w:bookmarkStart w:name="bookmark83" w:id="10"/>
      <w:bookmarkEnd w:id="10"/>
      <w:r>
        <w:rPr>
          <w:rFonts w:ascii="Arial" w:hAnsi="Arial" w:eastAsia="Arial" w:cs="Arial"/>
          <w:sz w:val="29"/>
          <w:szCs w:val="29"/>
          <w:spacing w:val="2"/>
          <w:position w:val="1"/>
        </w:rPr>
        <w:t>6</w:t>
      </w:r>
      <w:r>
        <w:rPr>
          <w:sz w:val="29"/>
          <w:szCs w:val="29"/>
          <w:spacing w:val="2"/>
          <w:position w:val="1"/>
        </w:rPr>
        <w:t>、</w:t>
      </w:r>
      <w:r>
        <w:rPr>
          <w:rFonts w:ascii="SimHei" w:hAnsi="SimHei" w:eastAsia="SimHei" w:cs="SimHei"/>
          <w:sz w:val="29"/>
          <w:szCs w:val="29"/>
          <w:spacing w:val="2"/>
          <w:position w:val="1"/>
        </w:rPr>
        <w:t>修剪标准</w:t>
      </w:r>
    </w:p>
    <w:p>
      <w:pPr>
        <w:pStyle w:val="BodyText"/>
        <w:ind w:left="730"/>
        <w:spacing w:before="177" w:line="219" w:lineRule="auto"/>
        <w:rPr>
          <w:sz w:val="29"/>
          <w:szCs w:val="29"/>
        </w:rPr>
      </w:pPr>
      <w:r>
        <w:rPr>
          <w:sz w:val="29"/>
          <w:szCs w:val="29"/>
          <w:spacing w:val="-13"/>
        </w:rPr>
        <w:t>(1)</w:t>
      </w:r>
      <w:r>
        <w:rPr>
          <w:sz w:val="29"/>
          <w:szCs w:val="29"/>
          <w:spacing w:val="98"/>
        </w:rPr>
        <w:t xml:space="preserve"> </w:t>
      </w:r>
      <w:r>
        <w:rPr>
          <w:sz w:val="29"/>
          <w:szCs w:val="29"/>
          <w:spacing w:val="-13"/>
        </w:rPr>
        <w:t>修剪整形应达到均衡树势、完整枝冠，促进生长，观花、观果等要求；</w:t>
      </w:r>
    </w:p>
    <w:p>
      <w:pPr>
        <w:pStyle w:val="BodyText"/>
        <w:ind w:right="159" w:firstLine="730"/>
        <w:spacing w:before="97" w:line="272" w:lineRule="auto"/>
        <w:rPr>
          <w:sz w:val="29"/>
          <w:szCs w:val="29"/>
        </w:rPr>
      </w:pPr>
      <w:r>
        <w:rPr>
          <w:sz w:val="29"/>
          <w:szCs w:val="29"/>
          <w:spacing w:val="4"/>
        </w:rPr>
        <w:t>(2)乔木修剪后树冠完整美观，主侧枝分布均匀、数量适宜，内膜不乱，</w:t>
      </w:r>
      <w:r>
        <w:rPr>
          <w:sz w:val="29"/>
          <w:szCs w:val="29"/>
          <w:spacing w:val="17"/>
        </w:rPr>
        <w:t xml:space="preserve"> </w:t>
      </w:r>
      <w:r>
        <w:rPr>
          <w:sz w:val="29"/>
          <w:szCs w:val="29"/>
          <w:spacing w:val="-1"/>
        </w:rPr>
        <w:t>通风透光较好，无枯枝、折断枝、修剪后的废留枝；</w:t>
      </w:r>
    </w:p>
    <w:p>
      <w:pPr>
        <w:pStyle w:val="BodyText"/>
        <w:ind w:right="108" w:firstLine="730"/>
        <w:spacing w:before="156" w:line="268" w:lineRule="auto"/>
        <w:rPr>
          <w:sz w:val="29"/>
          <w:szCs w:val="29"/>
        </w:rPr>
      </w:pPr>
      <w:r>
        <w:rPr>
          <w:sz w:val="29"/>
          <w:szCs w:val="29"/>
          <w:spacing w:val="6"/>
        </w:rPr>
        <w:t>(3)造型树木的修剪应根据园林绿化对树木的特定要求，适当控制树木部</w:t>
      </w:r>
      <w:r>
        <w:rPr>
          <w:sz w:val="29"/>
          <w:szCs w:val="29"/>
          <w:spacing w:val="1"/>
        </w:rPr>
        <w:t xml:space="preserve"> </w:t>
      </w:r>
      <w:r>
        <w:rPr>
          <w:sz w:val="29"/>
          <w:szCs w:val="29"/>
          <w:spacing w:val="1"/>
        </w:rPr>
        <w:t>分枝干，按照绿化美化要求把树木剪成各种理想形态。</w:t>
      </w:r>
    </w:p>
    <w:p>
      <w:pPr>
        <w:ind w:firstLine="710"/>
        <w:spacing w:before="166" w:line="5620" w:lineRule="exact"/>
        <w:rPr/>
      </w:pPr>
      <w:r>
        <w:drawing>
          <wp:anchor distT="0" distB="0" distL="0" distR="0" simplePos="0" relativeHeight="251695104" behindDoc="0" locked="0" layoutInCell="1" allowOverlap="1">
            <wp:simplePos x="0" y="0"/>
            <wp:positionH relativeFrom="column">
              <wp:posOffset>3467085</wp:posOffset>
            </wp:positionH>
            <wp:positionV relativeFrom="paragraph">
              <wp:posOffset>105245</wp:posOffset>
            </wp:positionV>
            <wp:extent cx="2514582" cy="3613178"/>
            <wp:effectExtent l="0" t="0" r="0" b="0"/>
            <wp:wrapNone/>
            <wp:docPr id="90" name="IM 90"/>
            <wp:cNvGraphicFramePr/>
            <a:graphic>
              <a:graphicData uri="http://schemas.openxmlformats.org/drawingml/2006/picture">
                <pic:pic>
                  <pic:nvPicPr>
                    <pic:cNvPr id="90" name="IM 90"/>
                    <pic:cNvPicPr/>
                  </pic:nvPicPr>
                  <pic:blipFill>
                    <a:blip r:embed="rId64"/>
                    <a:stretch>
                      <a:fillRect/>
                    </a:stretch>
                  </pic:blipFill>
                  <pic:spPr>
                    <a:xfrm rot="0">
                      <a:off x="0" y="0"/>
                      <a:ext cx="2514582" cy="3613178"/>
                    </a:xfrm>
                    <a:prstGeom prst="rect">
                      <a:avLst/>
                    </a:prstGeom>
                  </pic:spPr>
                </pic:pic>
              </a:graphicData>
            </a:graphic>
          </wp:anchor>
        </w:drawing>
      </w:r>
      <w:r>
        <w:rPr>
          <w:position w:val="-112"/>
        </w:rPr>
        <w:drawing>
          <wp:inline distT="0" distB="0" distL="0" distR="0">
            <wp:extent cx="2914647" cy="3568724"/>
            <wp:effectExtent l="0" t="0" r="0" b="0"/>
            <wp:docPr id="92" name="IM 92"/>
            <wp:cNvGraphicFramePr/>
            <a:graphic>
              <a:graphicData uri="http://schemas.openxmlformats.org/drawingml/2006/picture">
                <pic:pic>
                  <pic:nvPicPr>
                    <pic:cNvPr id="92" name="IM 92"/>
                    <pic:cNvPicPr/>
                  </pic:nvPicPr>
                  <pic:blipFill>
                    <a:blip r:embed="rId65"/>
                    <a:stretch>
                      <a:fillRect/>
                    </a:stretch>
                  </pic:blipFill>
                  <pic:spPr>
                    <a:xfrm rot="0">
                      <a:off x="0" y="0"/>
                      <a:ext cx="2914647" cy="3568724"/>
                    </a:xfrm>
                    <a:prstGeom prst="rect">
                      <a:avLst/>
                    </a:prstGeom>
                  </pic:spPr>
                </pic:pic>
              </a:graphicData>
            </a:graphic>
          </wp:inline>
        </w:drawing>
      </w:r>
    </w:p>
    <w:p>
      <w:pPr>
        <w:pStyle w:val="BodyText"/>
        <w:ind w:left="3730"/>
        <w:spacing w:before="191" w:line="219" w:lineRule="auto"/>
        <w:rPr>
          <w:sz w:val="27"/>
          <w:szCs w:val="27"/>
        </w:rPr>
      </w:pPr>
      <w:r>
        <w:rPr>
          <w:sz w:val="27"/>
          <w:szCs w:val="27"/>
          <w:spacing w:val="-16"/>
        </w:rPr>
        <w:t>图2-2-19修剪标准示意图</w:t>
      </w:r>
    </w:p>
    <w:p>
      <w:pPr>
        <w:spacing w:before="166" w:line="226" w:lineRule="auto"/>
        <w:outlineLvl w:val="1"/>
        <w:rPr>
          <w:rFonts w:ascii="SimHei" w:hAnsi="SimHei" w:eastAsia="SimHei" w:cs="SimHei"/>
          <w:sz w:val="29"/>
          <w:szCs w:val="29"/>
        </w:rPr>
      </w:pPr>
      <w:bookmarkStart w:name="bookmark6" w:id="11"/>
      <w:bookmarkEnd w:id="11"/>
      <w:r>
        <w:rPr>
          <w:rFonts w:ascii="SimHei" w:hAnsi="SimHei" w:eastAsia="SimHei" w:cs="SimHei"/>
          <w:sz w:val="29"/>
          <w:szCs w:val="29"/>
          <w:spacing w:val="5"/>
        </w:rPr>
        <w:t>三、施肥</w:t>
      </w:r>
    </w:p>
    <w:p>
      <w:pPr>
        <w:pStyle w:val="BodyText"/>
        <w:ind w:right="260" w:firstLine="600"/>
        <w:spacing w:before="148" w:line="352" w:lineRule="auto"/>
        <w:rPr>
          <w:sz w:val="29"/>
          <w:szCs w:val="29"/>
        </w:rPr>
      </w:pPr>
      <w:r>
        <w:rPr>
          <w:sz w:val="29"/>
          <w:szCs w:val="29"/>
          <w:spacing w:val="-8"/>
        </w:rPr>
        <w:t>常用肥料种类有：有机肥、速溶性复合肥、复合肥、磷钾肥、控释肥、缓释</w:t>
      </w:r>
      <w:r>
        <w:rPr>
          <w:sz w:val="29"/>
          <w:szCs w:val="29"/>
          <w:spacing w:val="7"/>
        </w:rPr>
        <w:t xml:space="preserve"> </w:t>
      </w:r>
      <w:r>
        <w:rPr>
          <w:sz w:val="29"/>
          <w:szCs w:val="29"/>
          <w:spacing w:val="1"/>
        </w:rPr>
        <w:t>肥、中微量元素肥、叶面肥等，根据现场苗木实际情况灵活应用。</w:t>
      </w:r>
    </w:p>
    <w:p>
      <w:pPr>
        <w:pStyle w:val="BodyText"/>
        <w:spacing w:before="56" w:line="222"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施肥要求</w:t>
      </w:r>
    </w:p>
    <w:p>
      <w:pPr>
        <w:pStyle w:val="BodyText"/>
        <w:ind w:firstLine="730"/>
        <w:spacing w:before="92" w:line="319" w:lineRule="auto"/>
        <w:jc w:val="both"/>
        <w:rPr>
          <w:sz w:val="29"/>
          <w:szCs w:val="29"/>
        </w:rPr>
      </w:pPr>
      <w:r>
        <w:rPr>
          <w:sz w:val="29"/>
          <w:szCs w:val="29"/>
          <w:spacing w:val="8"/>
        </w:rPr>
        <w:t>(1)施肥种类：施肥种类应视树种、生长期及</w:t>
      </w:r>
      <w:r>
        <w:rPr>
          <w:sz w:val="29"/>
          <w:szCs w:val="29"/>
          <w:spacing w:val="7"/>
        </w:rPr>
        <w:t>观赏特性等要求而定，早期</w:t>
      </w:r>
      <w:r>
        <w:rPr>
          <w:sz w:val="29"/>
          <w:szCs w:val="29"/>
        </w:rPr>
        <w:t xml:space="preserve"> </w:t>
      </w:r>
      <w:r>
        <w:rPr>
          <w:sz w:val="29"/>
          <w:szCs w:val="29"/>
          <w:spacing w:val="1"/>
        </w:rPr>
        <w:t>欲扩大冠幅，宜在春季施高氮、低磷、中钾复合肥，</w:t>
      </w:r>
      <w:r>
        <w:rPr>
          <w:sz w:val="29"/>
          <w:szCs w:val="29"/>
        </w:rPr>
        <w:t>观花、观果树种应增施磷、 </w:t>
      </w:r>
      <w:r>
        <w:rPr>
          <w:sz w:val="29"/>
          <w:szCs w:val="29"/>
          <w:spacing w:val="1"/>
        </w:rPr>
        <w:t>钾肥，观花灌木孕蕾期前及花期后可进行补肥，主要是磷钾肥或有机类肥料；</w:t>
      </w:r>
    </w:p>
    <w:p>
      <w:pPr>
        <w:spacing w:line="319" w:lineRule="auto"/>
        <w:sectPr>
          <w:footerReference w:type="default" r:id="rId62"/>
          <w:pgSz w:w="14490" w:h="20470"/>
          <w:pgMar w:top="1469" w:right="2165" w:bottom="1433" w:left="2150" w:header="0" w:footer="1235" w:gutter="0"/>
        </w:sectPr>
        <w:rPr>
          <w:sz w:val="29"/>
          <w:szCs w:val="29"/>
        </w:rPr>
      </w:pPr>
    </w:p>
    <w:p>
      <w:pPr>
        <w:pStyle w:val="BodyText"/>
        <w:ind w:right="321" w:firstLine="730"/>
        <w:spacing w:before="120" w:line="270" w:lineRule="auto"/>
        <w:rPr>
          <w:sz w:val="29"/>
          <w:szCs w:val="29"/>
        </w:rPr>
      </w:pPr>
      <w:r>
        <w:rPr>
          <w:sz w:val="29"/>
          <w:szCs w:val="29"/>
          <w:spacing w:val="6"/>
        </w:rPr>
        <w:t>(2)施肥量：施肥量应根据树木大小、肥料种类及土壤肥力状况而定，施</w:t>
      </w:r>
      <w:r>
        <w:rPr>
          <w:sz w:val="29"/>
          <w:szCs w:val="29"/>
          <w:spacing w:val="9"/>
        </w:rPr>
        <w:t xml:space="preserve"> </w:t>
      </w:r>
      <w:r>
        <w:rPr>
          <w:sz w:val="29"/>
          <w:szCs w:val="29"/>
          <w:spacing w:val="-7"/>
        </w:rPr>
        <w:t>用量要准确；</w:t>
      </w:r>
    </w:p>
    <w:p>
      <w:pPr>
        <w:pStyle w:val="BodyText"/>
        <w:ind w:right="253" w:firstLine="730"/>
        <w:spacing w:before="119" w:line="289" w:lineRule="auto"/>
        <w:rPr>
          <w:sz w:val="29"/>
          <w:szCs w:val="29"/>
        </w:rPr>
      </w:pPr>
      <w:r>
        <w:rPr>
          <w:sz w:val="29"/>
          <w:szCs w:val="29"/>
          <w:spacing w:val="4"/>
        </w:rPr>
        <w:t>(3)施肥过程：①小灌木撒施即可，大灌木春、秋季节</w:t>
      </w:r>
      <w:r>
        <w:rPr>
          <w:sz w:val="29"/>
          <w:szCs w:val="29"/>
          <w:spacing w:val="3"/>
        </w:rPr>
        <w:t>先穴施1-2次，此后</w:t>
      </w:r>
      <w:r>
        <w:rPr>
          <w:sz w:val="29"/>
          <w:szCs w:val="29"/>
        </w:rPr>
        <w:t xml:space="preserve"> </w:t>
      </w:r>
      <w:r>
        <w:rPr>
          <w:sz w:val="29"/>
          <w:szCs w:val="29"/>
          <w:spacing w:val="-1"/>
        </w:rPr>
        <w:t>结合草坪与地被撒施；②生长季节可根据需要进行土壤追肥或叶面喷肥，在树木</w:t>
      </w:r>
      <w:r>
        <w:rPr>
          <w:sz w:val="29"/>
          <w:szCs w:val="29"/>
          <w:spacing w:val="15"/>
        </w:rPr>
        <w:t xml:space="preserve"> </w:t>
      </w:r>
      <w:r>
        <w:rPr>
          <w:sz w:val="29"/>
          <w:szCs w:val="29"/>
        </w:rPr>
        <w:t>休眠期以有机肥为主；③施肥后踏实，并平整场地；④用</w:t>
      </w:r>
      <w:r>
        <w:rPr>
          <w:sz w:val="29"/>
          <w:szCs w:val="29"/>
          <w:spacing w:val="-1"/>
        </w:rPr>
        <w:t>铁篦子等完全封闭的树</w:t>
      </w:r>
      <w:r>
        <w:rPr>
          <w:sz w:val="29"/>
          <w:szCs w:val="29"/>
        </w:rPr>
        <w:t xml:space="preserve"> </w:t>
      </w:r>
      <w:r>
        <w:rPr>
          <w:sz w:val="29"/>
          <w:szCs w:val="29"/>
          <w:spacing w:val="-1"/>
        </w:rPr>
        <w:t>堰，应预留专门的灌溉和施肥口。</w:t>
      </w:r>
    </w:p>
    <w:p>
      <w:pPr>
        <w:spacing w:before="244" w:line="223" w:lineRule="auto"/>
        <w:rPr>
          <w:rFonts w:ascii="SimHei" w:hAnsi="SimHei" w:eastAsia="SimHei" w:cs="SimHei"/>
          <w:sz w:val="28"/>
          <w:szCs w:val="28"/>
        </w:rPr>
      </w:pPr>
      <w:r>
        <w:rPr>
          <w:rFonts w:ascii="SimHei" w:hAnsi="SimHei" w:eastAsia="SimHei" w:cs="SimHei"/>
          <w:sz w:val="28"/>
          <w:szCs w:val="28"/>
          <w:spacing w:val="15"/>
        </w:rPr>
        <w:t>2、</w:t>
      </w:r>
      <w:r>
        <w:rPr>
          <w:rFonts w:ascii="SimHei" w:hAnsi="SimHei" w:eastAsia="SimHei" w:cs="SimHei"/>
          <w:sz w:val="28"/>
          <w:szCs w:val="28"/>
          <w:b/>
          <w:bCs/>
          <w:spacing w:val="15"/>
        </w:rPr>
        <w:t>施肥时间</w:t>
      </w:r>
    </w:p>
    <w:p>
      <w:pPr>
        <w:pStyle w:val="BodyText"/>
        <w:ind w:right="271" w:firstLine="730"/>
        <w:spacing w:before="110" w:line="313" w:lineRule="auto"/>
        <w:rPr>
          <w:sz w:val="29"/>
          <w:szCs w:val="29"/>
        </w:rPr>
      </w:pPr>
      <w:r>
        <w:rPr>
          <w:sz w:val="29"/>
          <w:szCs w:val="29"/>
          <w:spacing w:val="-1"/>
        </w:rPr>
        <w:t>①   在3—4月生长期，根据长势在植物尚在休眠期或刚刚解除休眠时穴施</w:t>
      </w:r>
      <w:r>
        <w:rPr>
          <w:sz w:val="29"/>
          <w:szCs w:val="29"/>
          <w:spacing w:val="2"/>
        </w:rPr>
        <w:t xml:space="preserve"> </w:t>
      </w:r>
      <w:r>
        <w:rPr>
          <w:sz w:val="29"/>
          <w:szCs w:val="29"/>
          <w:spacing w:val="-21"/>
        </w:rPr>
        <w:t>成品有机肥一次，长势较差的解除休眠后可再施用高氮、低磷、中钾复合肥一次；</w:t>
      </w:r>
    </w:p>
    <w:p>
      <w:pPr>
        <w:pStyle w:val="BodyText"/>
        <w:ind w:right="305" w:firstLine="730"/>
        <w:spacing w:line="265" w:lineRule="auto"/>
        <w:rPr>
          <w:sz w:val="29"/>
          <w:szCs w:val="29"/>
        </w:rPr>
      </w:pPr>
      <w:r>
        <w:rPr>
          <w:sz w:val="29"/>
          <w:szCs w:val="29"/>
          <w:spacing w:val="2"/>
        </w:rPr>
        <w:t>2   灌木景观效果恢复之后以撒施成品有机肥为主，夏季到中秋施用成品</w:t>
      </w:r>
      <w:r>
        <w:rPr>
          <w:sz w:val="29"/>
          <w:szCs w:val="29"/>
          <w:spacing w:val="10"/>
        </w:rPr>
        <w:t xml:space="preserve"> </w:t>
      </w:r>
      <w:r>
        <w:rPr>
          <w:sz w:val="29"/>
          <w:szCs w:val="29"/>
          <w:spacing w:val="-1"/>
        </w:rPr>
        <w:t>有机肥改良土质增强抗逆性；</w:t>
      </w:r>
    </w:p>
    <w:p>
      <w:pPr>
        <w:pStyle w:val="BodyText"/>
        <w:ind w:right="281" w:firstLine="730"/>
        <w:spacing w:before="178" w:line="265" w:lineRule="auto"/>
        <w:rPr>
          <w:sz w:val="29"/>
          <w:szCs w:val="29"/>
        </w:rPr>
      </w:pPr>
      <w:r>
        <w:rPr>
          <w:rFonts w:ascii="Times New Roman" w:hAnsi="Times New Roman" w:eastAsia="Times New Roman" w:cs="Times New Roman"/>
          <w:sz w:val="29"/>
          <w:szCs w:val="29"/>
          <w:spacing w:val="3"/>
        </w:rPr>
        <w:t>3      </w:t>
      </w:r>
      <w:r>
        <w:rPr>
          <w:sz w:val="29"/>
          <w:szCs w:val="29"/>
          <w:spacing w:val="3"/>
        </w:rPr>
        <w:t>乔木按南北差异在9—11月内植物休</w:t>
      </w:r>
      <w:r>
        <w:rPr>
          <w:sz w:val="29"/>
          <w:szCs w:val="29"/>
          <w:spacing w:val="2"/>
        </w:rPr>
        <w:t>眠前根据长势穴施成品有机肥(长</w:t>
      </w:r>
      <w:r>
        <w:rPr>
          <w:sz w:val="29"/>
          <w:szCs w:val="29"/>
        </w:rPr>
        <w:t xml:space="preserve"> </w:t>
      </w:r>
      <w:r>
        <w:rPr>
          <w:sz w:val="29"/>
          <w:szCs w:val="29"/>
          <w:spacing w:val="15"/>
        </w:rPr>
        <w:t>势较好植株施用)或磷钾含量较高的复合肥(长势较差植株施用)一次</w:t>
      </w:r>
    </w:p>
    <w:p>
      <w:pPr>
        <w:pStyle w:val="BodyText"/>
        <w:ind w:right="359" w:firstLine="730"/>
        <w:spacing w:before="147" w:line="262" w:lineRule="auto"/>
        <w:rPr>
          <w:sz w:val="29"/>
          <w:szCs w:val="29"/>
        </w:rPr>
      </w:pPr>
      <w:r>
        <w:rPr>
          <w:rFonts w:ascii="Times New Roman" w:hAnsi="Times New Roman" w:eastAsia="Times New Roman" w:cs="Times New Roman"/>
          <w:sz w:val="29"/>
          <w:szCs w:val="29"/>
          <w:spacing w:val="1"/>
        </w:rPr>
        <w:t>4      </w:t>
      </w:r>
      <w:r>
        <w:rPr>
          <w:sz w:val="29"/>
          <w:szCs w:val="29"/>
          <w:spacing w:val="1"/>
        </w:rPr>
        <w:t>休眠期禁止施肥，但观花乔木在孕蕾期</w:t>
      </w:r>
      <w:r>
        <w:rPr>
          <w:sz w:val="29"/>
          <w:szCs w:val="29"/>
        </w:rPr>
        <w:t>前及花期后可进行肥料补充， </w:t>
      </w:r>
      <w:r>
        <w:rPr>
          <w:sz w:val="29"/>
          <w:szCs w:val="29"/>
          <w:spacing w:val="-1"/>
        </w:rPr>
        <w:t>主要是磷钾肥或有机类肥料；</w:t>
      </w:r>
    </w:p>
    <w:p>
      <w:pPr>
        <w:pStyle w:val="BodyText"/>
        <w:ind w:firstLine="730"/>
        <w:spacing w:before="168" w:line="281" w:lineRule="auto"/>
        <w:rPr>
          <w:rFonts w:ascii="SimHei" w:hAnsi="SimHei" w:eastAsia="SimHei" w:cs="SimHei"/>
          <w:sz w:val="29"/>
          <w:szCs w:val="29"/>
        </w:rPr>
      </w:pPr>
      <w:r>
        <w:rPr>
          <w:rFonts w:ascii="Times New Roman" w:hAnsi="Times New Roman" w:eastAsia="Times New Roman" w:cs="Times New Roman"/>
          <w:sz w:val="29"/>
          <w:szCs w:val="29"/>
          <w:spacing w:val="2"/>
        </w:rPr>
        <w:t>5      </w:t>
      </w:r>
      <w:r>
        <w:rPr>
          <w:sz w:val="29"/>
          <w:szCs w:val="29"/>
          <w:spacing w:val="2"/>
        </w:rPr>
        <w:t>乔木穴施肥料应注意方向与位置，避免</w:t>
      </w:r>
      <w:r>
        <w:rPr>
          <w:sz w:val="29"/>
          <w:szCs w:val="29"/>
          <w:spacing w:val="1"/>
        </w:rPr>
        <w:t>春、秋在同一点施肥，长势较</w:t>
      </w:r>
      <w:r>
        <w:rPr>
          <w:sz w:val="29"/>
          <w:szCs w:val="29"/>
        </w:rPr>
        <w:t xml:space="preserve">   </w:t>
      </w:r>
      <w:r>
        <w:rPr>
          <w:sz w:val="29"/>
          <w:szCs w:val="29"/>
          <w:spacing w:val="7"/>
        </w:rPr>
        <w:t>弱乔木春季可穴施两次，此后结合草坪与地被追肥时适当撒施，</w:t>
      </w:r>
      <w:r>
        <w:rPr>
          <w:sz w:val="29"/>
          <w:szCs w:val="29"/>
          <w:spacing w:val="6"/>
        </w:rPr>
        <w:t>约每月1次；3、</w:t>
      </w:r>
      <w:r>
        <w:rPr>
          <w:sz w:val="29"/>
          <w:szCs w:val="29"/>
        </w:rPr>
        <w:t xml:space="preserve"> </w:t>
      </w:r>
      <w:r>
        <w:rPr>
          <w:rFonts w:ascii="SimHei" w:hAnsi="SimHei" w:eastAsia="SimHei" w:cs="SimHei"/>
          <w:sz w:val="29"/>
          <w:szCs w:val="29"/>
          <w:spacing w:val="6"/>
        </w:rPr>
        <w:t>施肥方法</w:t>
      </w:r>
    </w:p>
    <w:p>
      <w:pPr>
        <w:pStyle w:val="BodyText"/>
        <w:ind w:left="610"/>
        <w:spacing w:before="199" w:line="221" w:lineRule="auto"/>
        <w:rPr>
          <w:sz w:val="29"/>
          <w:szCs w:val="29"/>
        </w:rPr>
      </w:pPr>
      <w:r>
        <w:rPr>
          <w:sz w:val="29"/>
          <w:szCs w:val="29"/>
          <w:spacing w:val="23"/>
        </w:rPr>
        <w:t>1)穴施、环施</w:t>
      </w:r>
    </w:p>
    <w:p>
      <w:pPr>
        <w:pStyle w:val="BodyText"/>
        <w:ind w:right="191" w:firstLine="550"/>
        <w:spacing w:before="177" w:line="293" w:lineRule="auto"/>
        <w:rPr>
          <w:sz w:val="29"/>
          <w:szCs w:val="29"/>
        </w:rPr>
      </w:pPr>
      <w:r>
        <w:rPr>
          <w:sz w:val="29"/>
          <w:szCs w:val="29"/>
          <w:spacing w:val="2"/>
        </w:rPr>
        <w:t>乔木施缓释肥和棒肥时采用穴施法，其它肥料采用环施法，避免烧根。穴施</w:t>
      </w:r>
      <w:r>
        <w:rPr>
          <w:sz w:val="29"/>
          <w:szCs w:val="29"/>
          <w:spacing w:val="16"/>
        </w:rPr>
        <w:t xml:space="preserve"> </w:t>
      </w:r>
      <w:r>
        <w:rPr>
          <w:sz w:val="29"/>
          <w:szCs w:val="29"/>
          <w:spacing w:val="-7"/>
        </w:rPr>
        <w:t>/环施技术要点如下：</w:t>
      </w:r>
    </w:p>
    <w:p>
      <w:pPr>
        <w:spacing w:line="293" w:lineRule="auto"/>
        <w:sectPr>
          <w:footerReference w:type="default" r:id="rId66"/>
          <w:pgSz w:w="14490" w:h="20470"/>
          <w:pgMar w:top="1739" w:right="1954" w:bottom="1433" w:left="2140" w:header="0" w:footer="1234" w:gutter="0"/>
          <w:cols w:equalWidth="0" w:num="1">
            <w:col w:w="10396" w:space="0"/>
          </w:cols>
        </w:sectPr>
        <w:rPr>
          <w:sz w:val="29"/>
          <w:szCs w:val="29"/>
        </w:rPr>
      </w:pPr>
    </w:p>
    <w:p>
      <w:pPr>
        <w:ind w:firstLine="1390"/>
        <w:spacing w:before="30" w:line="3090" w:lineRule="exact"/>
        <w:rPr/>
      </w:pPr>
      <w:r>
        <w:rPr>
          <w:position w:val="-61"/>
        </w:rPr>
        <w:drawing>
          <wp:inline distT="0" distB="0" distL="0" distR="0">
            <wp:extent cx="1320732" cy="1962115"/>
            <wp:effectExtent l="0" t="0" r="0" b="0"/>
            <wp:docPr id="94" name="IM 94"/>
            <wp:cNvGraphicFramePr/>
            <a:graphic>
              <a:graphicData uri="http://schemas.openxmlformats.org/drawingml/2006/picture">
                <pic:pic>
                  <pic:nvPicPr>
                    <pic:cNvPr id="94" name="IM 94"/>
                    <pic:cNvPicPr/>
                  </pic:nvPicPr>
                  <pic:blipFill>
                    <a:blip r:embed="rId67"/>
                    <a:stretch>
                      <a:fillRect/>
                    </a:stretch>
                  </pic:blipFill>
                  <pic:spPr>
                    <a:xfrm rot="0">
                      <a:off x="0" y="0"/>
                      <a:ext cx="1320732" cy="1962115"/>
                    </a:xfrm>
                    <a:prstGeom prst="rect">
                      <a:avLst/>
                    </a:prstGeom>
                  </pic:spPr>
                </pic:pic>
              </a:graphicData>
            </a:graphic>
          </wp:inline>
        </w:drawing>
      </w:r>
    </w:p>
    <w:p>
      <w:pPr>
        <w:spacing w:line="445" w:lineRule="auto"/>
        <w:rPr>
          <w:rFonts w:ascii="Arial"/>
          <w:sz w:val="21"/>
        </w:rPr>
      </w:pPr>
      <w:r/>
    </w:p>
    <w:p>
      <w:pPr>
        <w:ind w:left="1619"/>
        <w:spacing w:before="58" w:line="222" w:lineRule="auto"/>
        <w:rPr>
          <w:rFonts w:ascii="FangSong" w:hAnsi="FangSong" w:eastAsia="FangSong" w:cs="FangSong"/>
          <w:sz w:val="18"/>
          <w:szCs w:val="18"/>
        </w:rPr>
      </w:pPr>
      <w:r>
        <w:rPr>
          <w:rFonts w:ascii="FangSong" w:hAnsi="FangSong" w:eastAsia="FangSong" w:cs="FangSong"/>
          <w:sz w:val="18"/>
          <w:szCs w:val="18"/>
          <w:spacing w:val="-14"/>
        </w:rPr>
        <w:t>土</w:t>
      </w:r>
      <w:r>
        <w:rPr>
          <w:rFonts w:ascii="FangSong" w:hAnsi="FangSong" w:eastAsia="FangSong" w:cs="FangSong"/>
          <w:sz w:val="18"/>
          <w:szCs w:val="18"/>
          <w:spacing w:val="-29"/>
        </w:rPr>
        <w:t xml:space="preserve"> </w:t>
      </w:r>
      <w:r>
        <w:rPr>
          <w:rFonts w:ascii="FangSong" w:hAnsi="FangSong" w:eastAsia="FangSong" w:cs="FangSong"/>
          <w:sz w:val="18"/>
          <w:szCs w:val="18"/>
          <w:spacing w:val="-14"/>
        </w:rPr>
        <w:t>壤</w:t>
      </w:r>
      <w:r>
        <w:rPr>
          <w:rFonts w:ascii="FangSong" w:hAnsi="FangSong" w:eastAsia="FangSong" w:cs="FangSong"/>
          <w:sz w:val="18"/>
          <w:szCs w:val="18"/>
          <w:spacing w:val="-31"/>
        </w:rPr>
        <w:t xml:space="preserve"> </w:t>
      </w:r>
      <w:r>
        <w:rPr>
          <w:rFonts w:ascii="FangSong" w:hAnsi="FangSong" w:eastAsia="FangSong" w:cs="FangSong"/>
          <w:sz w:val="18"/>
          <w:szCs w:val="18"/>
          <w:spacing w:val="-14"/>
        </w:rPr>
        <w:t>打</w:t>
      </w:r>
      <w:r>
        <w:rPr>
          <w:rFonts w:ascii="FangSong" w:hAnsi="FangSong" w:eastAsia="FangSong" w:cs="FangSong"/>
          <w:sz w:val="18"/>
          <w:szCs w:val="18"/>
          <w:spacing w:val="-34"/>
        </w:rPr>
        <w:t xml:space="preserve"> </w:t>
      </w:r>
      <w:r>
        <w:rPr>
          <w:rFonts w:ascii="FangSong" w:hAnsi="FangSong" w:eastAsia="FangSong" w:cs="FangSong"/>
          <w:sz w:val="18"/>
          <w:szCs w:val="18"/>
          <w:spacing w:val="-14"/>
        </w:rPr>
        <w:t>孔</w:t>
      </w:r>
      <w:r>
        <w:rPr>
          <w:rFonts w:ascii="FangSong" w:hAnsi="FangSong" w:eastAsia="FangSong" w:cs="FangSong"/>
          <w:sz w:val="18"/>
          <w:szCs w:val="18"/>
          <w:spacing w:val="-34"/>
        </w:rPr>
        <w:t xml:space="preserve"> </w:t>
      </w:r>
      <w:r>
        <w:rPr>
          <w:rFonts w:ascii="FangSong" w:hAnsi="FangSong" w:eastAsia="FangSong" w:cs="FangSong"/>
          <w:sz w:val="18"/>
          <w:szCs w:val="18"/>
          <w:spacing w:val="-14"/>
        </w:rPr>
        <w:t>机</w:t>
      </w:r>
      <w:r>
        <w:rPr>
          <w:rFonts w:ascii="FangSong" w:hAnsi="FangSong" w:eastAsia="FangSong" w:cs="FangSong"/>
          <w:sz w:val="18"/>
          <w:szCs w:val="18"/>
          <w:spacing w:val="-14"/>
        </w:rPr>
        <w:t xml:space="preserve"> </w:t>
      </w:r>
      <w:r>
        <w:rPr>
          <w:rFonts w:ascii="FangSong" w:hAnsi="FangSong" w:eastAsia="FangSong" w:cs="FangSong"/>
          <w:sz w:val="18"/>
          <w:szCs w:val="18"/>
          <w:spacing w:val="-14"/>
        </w:rPr>
        <w:t>(</w:t>
      </w:r>
      <w:r>
        <w:rPr>
          <w:rFonts w:ascii="FangSong" w:hAnsi="FangSong" w:eastAsia="FangSong" w:cs="FangSong"/>
          <w:sz w:val="18"/>
          <w:szCs w:val="18"/>
          <w:spacing w:val="-33"/>
        </w:rPr>
        <w:t xml:space="preserve"> </w:t>
      </w:r>
      <w:r>
        <w:rPr>
          <w:rFonts w:ascii="FangSong" w:hAnsi="FangSong" w:eastAsia="FangSong" w:cs="FangSong"/>
          <w:sz w:val="18"/>
          <w:szCs w:val="18"/>
          <w:spacing w:val="-14"/>
        </w:rPr>
        <w:t>地</w:t>
      </w:r>
      <w:r>
        <w:rPr>
          <w:rFonts w:ascii="FangSong" w:hAnsi="FangSong" w:eastAsia="FangSong" w:cs="FangSong"/>
          <w:sz w:val="18"/>
          <w:szCs w:val="18"/>
          <w:spacing w:val="-35"/>
        </w:rPr>
        <w:t xml:space="preserve"> </w:t>
      </w:r>
      <w:r>
        <w:rPr>
          <w:rFonts w:ascii="FangSong" w:hAnsi="FangSong" w:eastAsia="FangSong" w:cs="FangSong"/>
          <w:sz w:val="18"/>
          <w:szCs w:val="18"/>
          <w:spacing w:val="-14"/>
        </w:rPr>
        <w:t>钻</w:t>
      </w:r>
      <w:r>
        <w:rPr>
          <w:rFonts w:ascii="FangSong" w:hAnsi="FangSong" w:eastAsia="FangSong" w:cs="FangSong"/>
          <w:sz w:val="18"/>
          <w:szCs w:val="18"/>
          <w:spacing w:val="-38"/>
        </w:rPr>
        <w:t xml:space="preserve"> </w:t>
      </w:r>
      <w:r>
        <w:rPr>
          <w:rFonts w:ascii="FangSong" w:hAnsi="FangSong" w:eastAsia="FangSong" w:cs="FangSong"/>
          <w:sz w:val="18"/>
          <w:szCs w:val="18"/>
          <w:spacing w:val="-14"/>
        </w:rPr>
        <w:t>)</w:t>
      </w:r>
    </w:p>
    <w:p>
      <w:pPr>
        <w:spacing w:line="14" w:lineRule="auto"/>
        <w:rPr>
          <w:rFonts w:ascii="Arial"/>
          <w:sz w:val="2"/>
        </w:rPr>
      </w:pPr>
      <w:r>
        <w:rPr>
          <w:rFonts w:ascii="Arial" w:hAnsi="Arial" w:eastAsia="Arial" w:cs="Arial"/>
          <w:sz w:val="2"/>
          <w:szCs w:val="2"/>
        </w:rPr>
        <w:br w:type="column"/>
      </w:r>
    </w:p>
    <w:p>
      <w:pPr>
        <w:spacing w:line="3178" w:lineRule="exact"/>
        <w:rPr/>
      </w:pPr>
      <w:r>
        <w:rPr>
          <w:position w:val="-63"/>
        </w:rPr>
        <w:drawing>
          <wp:inline distT="0" distB="0" distL="0" distR="0">
            <wp:extent cx="2825673" cy="2018433"/>
            <wp:effectExtent l="0" t="0" r="0" b="0"/>
            <wp:docPr id="96" name="IM 96"/>
            <wp:cNvGraphicFramePr/>
            <a:graphic>
              <a:graphicData uri="http://schemas.openxmlformats.org/drawingml/2006/picture">
                <pic:pic>
                  <pic:nvPicPr>
                    <pic:cNvPr id="96" name="IM 96"/>
                    <pic:cNvPicPr/>
                  </pic:nvPicPr>
                  <pic:blipFill>
                    <a:blip r:embed="rId68"/>
                    <a:stretch>
                      <a:fillRect/>
                    </a:stretch>
                  </pic:blipFill>
                  <pic:spPr>
                    <a:xfrm rot="0">
                      <a:off x="0" y="0"/>
                      <a:ext cx="2825673" cy="2018433"/>
                    </a:xfrm>
                    <a:prstGeom prst="rect">
                      <a:avLst/>
                    </a:prstGeom>
                  </pic:spPr>
                </pic:pic>
              </a:graphicData>
            </a:graphic>
          </wp:inline>
        </w:drawing>
      </w:r>
    </w:p>
    <w:p>
      <w:pPr>
        <w:ind w:left="59" w:right="881"/>
        <w:spacing w:before="297" w:line="246" w:lineRule="auto"/>
        <w:rPr>
          <w:rFonts w:ascii="FangSong" w:hAnsi="FangSong" w:eastAsia="FangSong" w:cs="FangSong"/>
          <w:sz w:val="18"/>
          <w:szCs w:val="18"/>
        </w:rPr>
      </w:pPr>
      <w:r>
        <w:rPr>
          <w:rFonts w:ascii="FangSong" w:hAnsi="FangSong" w:eastAsia="FangSong" w:cs="FangSong"/>
          <w:sz w:val="18"/>
          <w:szCs w:val="18"/>
          <w:spacing w:val="25"/>
        </w:rPr>
        <w:t>洛阳铲挖洞施肥，可减少对树头表面草坪、地被</w:t>
      </w:r>
      <w:r>
        <w:rPr>
          <w:rFonts w:ascii="FangSong" w:hAnsi="FangSong" w:eastAsia="FangSong" w:cs="FangSong"/>
          <w:sz w:val="18"/>
          <w:szCs w:val="18"/>
          <w:spacing w:val="7"/>
        </w:rPr>
        <w:t xml:space="preserve"> </w:t>
      </w:r>
      <w:r>
        <w:rPr>
          <w:rFonts w:ascii="FangSong" w:hAnsi="FangSong" w:eastAsia="FangSong" w:cs="FangSong"/>
          <w:sz w:val="18"/>
          <w:szCs w:val="18"/>
          <w:spacing w:val="15"/>
        </w:rPr>
        <w:t>的损坏</w:t>
      </w:r>
      <w:r>
        <w:rPr>
          <w:rFonts w:ascii="FangSong" w:hAnsi="FangSong" w:eastAsia="FangSong" w:cs="FangSong"/>
          <w:sz w:val="18"/>
          <w:szCs w:val="18"/>
          <w:spacing w:val="-47"/>
        </w:rPr>
        <w:t xml:space="preserve"> </w:t>
      </w:r>
      <w:r>
        <w:rPr>
          <w:rFonts w:ascii="FangSong" w:hAnsi="FangSong" w:eastAsia="FangSong" w:cs="FangSong"/>
          <w:sz w:val="18"/>
          <w:szCs w:val="18"/>
          <w:spacing w:val="15"/>
        </w:rPr>
        <w:t>。</w:t>
      </w:r>
    </w:p>
    <w:p>
      <w:pPr>
        <w:spacing w:line="246" w:lineRule="auto"/>
        <w:sectPr>
          <w:type w:val="continuous"/>
          <w:pgSz w:w="14490" w:h="20470"/>
          <w:pgMar w:top="1739" w:right="1954" w:bottom="1433" w:left="2140" w:header="0" w:footer="1234" w:gutter="0"/>
          <w:cols w:equalWidth="0" w:num="2">
            <w:col w:w="5041" w:space="100"/>
            <w:col w:w="5256" w:space="0"/>
          </w:cols>
        </w:sectPr>
        <w:rPr>
          <w:rFonts w:ascii="FangSong" w:hAnsi="FangSong" w:eastAsia="FangSong" w:cs="FangSong"/>
          <w:sz w:val="18"/>
          <w:szCs w:val="18"/>
        </w:rPr>
      </w:pPr>
    </w:p>
    <w:p>
      <w:pPr>
        <w:pStyle w:val="BodyText"/>
        <w:ind w:left="4450"/>
        <w:spacing w:before="113" w:line="219" w:lineRule="auto"/>
        <w:rPr>
          <w:sz w:val="27"/>
          <w:szCs w:val="27"/>
        </w:rPr>
      </w:pPr>
      <w:r>
        <w:rPr>
          <w:sz w:val="27"/>
          <w:szCs w:val="27"/>
          <w:spacing w:val="-19"/>
        </w:rPr>
        <w:t>图2-3-1施肥打孔</w:t>
      </w:r>
    </w:p>
    <w:p>
      <w:pPr>
        <w:pStyle w:val="BodyText"/>
        <w:ind w:left="79" w:right="522" w:firstLine="650"/>
        <w:spacing w:before="191" w:line="242" w:lineRule="auto"/>
        <w:rPr>
          <w:sz w:val="29"/>
          <w:szCs w:val="29"/>
        </w:rPr>
      </w:pPr>
      <w:r>
        <w:rPr>
          <w:sz w:val="29"/>
          <w:szCs w:val="29"/>
          <w:spacing w:val="4"/>
        </w:rPr>
        <w:t>(1)开穴位置：栽植两年以内的苗木开穴为树坨的0.5倍距离，栽植两年</w:t>
      </w:r>
      <w:r>
        <w:rPr>
          <w:sz w:val="29"/>
          <w:szCs w:val="29"/>
          <w:spacing w:val="15"/>
        </w:rPr>
        <w:t xml:space="preserve"> </w:t>
      </w:r>
      <w:r>
        <w:rPr>
          <w:sz w:val="29"/>
          <w:szCs w:val="29"/>
          <w:spacing w:val="-5"/>
        </w:rPr>
        <w:t>以上的苗木开穴为树坨的1倍距离；</w:t>
      </w:r>
    </w:p>
    <w:p>
      <w:pPr>
        <w:spacing w:line="242" w:lineRule="auto"/>
        <w:sectPr>
          <w:type w:val="continuous"/>
          <w:pgSz w:w="14490" w:h="20470"/>
          <w:pgMar w:top="1739" w:right="1954" w:bottom="1433" w:left="2140" w:header="0" w:footer="1234" w:gutter="0"/>
          <w:cols w:equalWidth="0" w:num="1">
            <w:col w:w="10396" w:space="0"/>
          </w:cols>
        </w:sectPr>
        <w:rPr>
          <w:sz w:val="29"/>
          <w:szCs w:val="29"/>
        </w:rPr>
      </w:pPr>
    </w:p>
    <w:p>
      <w:pPr>
        <w:spacing w:line="68" w:lineRule="exact"/>
        <w:rPr/>
      </w:pPr>
      <w:r/>
    </w:p>
    <w:p>
      <w:pPr>
        <w:spacing w:line="68" w:lineRule="exact"/>
        <w:sectPr>
          <w:footerReference w:type="default" r:id="rId69"/>
          <w:pgSz w:w="14490" w:h="20470"/>
          <w:pgMar w:top="1739" w:right="2120" w:bottom="1420" w:left="2150" w:header="0" w:footer="1222" w:gutter="0"/>
          <w:cols w:equalWidth="0" w:num="1">
            <w:col w:w="10220" w:space="0"/>
          </w:cols>
        </w:sectPr>
        <w:rPr/>
      </w:pPr>
    </w:p>
    <w:p>
      <w:pPr>
        <w:ind w:left="1209"/>
        <w:spacing w:before="46" w:line="219" w:lineRule="auto"/>
        <w:rPr>
          <w:rFonts w:ascii="SimHei" w:hAnsi="SimHei" w:eastAsia="SimHei" w:cs="SimHei"/>
          <w:sz w:val="23"/>
          <w:szCs w:val="23"/>
        </w:rPr>
      </w:pPr>
      <w:r>
        <w:drawing>
          <wp:anchor distT="0" distB="0" distL="0" distR="0" simplePos="0" relativeHeight="251705344" behindDoc="1" locked="0" layoutInCell="1" allowOverlap="1">
            <wp:simplePos x="0" y="0"/>
            <wp:positionH relativeFrom="column">
              <wp:posOffset>139673</wp:posOffset>
            </wp:positionH>
            <wp:positionV relativeFrom="paragraph">
              <wp:posOffset>26406</wp:posOffset>
            </wp:positionV>
            <wp:extent cx="6349989" cy="2158913"/>
            <wp:effectExtent l="0" t="0" r="0" b="0"/>
            <wp:wrapNone/>
            <wp:docPr id="98" name="IM 98"/>
            <wp:cNvGraphicFramePr/>
            <a:graphic>
              <a:graphicData uri="http://schemas.openxmlformats.org/drawingml/2006/picture">
                <pic:pic>
                  <pic:nvPicPr>
                    <pic:cNvPr id="98" name="IM 98"/>
                    <pic:cNvPicPr/>
                  </pic:nvPicPr>
                  <pic:blipFill>
                    <a:blip r:embed="rId70"/>
                    <a:stretch>
                      <a:fillRect/>
                    </a:stretch>
                  </pic:blipFill>
                  <pic:spPr>
                    <a:xfrm rot="0">
                      <a:off x="0" y="0"/>
                      <a:ext cx="6349989" cy="2158913"/>
                    </a:xfrm>
                    <a:prstGeom prst="rect">
                      <a:avLst/>
                    </a:prstGeom>
                  </pic:spPr>
                </pic:pic>
              </a:graphicData>
            </a:graphic>
          </wp:anchor>
        </w:drawing>
      </w:r>
      <w:r>
        <w:rPr>
          <w:rFonts w:ascii="SimHei" w:hAnsi="SimHei" w:eastAsia="SimHei" w:cs="SimHei"/>
          <w:sz w:val="23"/>
          <w:szCs w:val="23"/>
          <w:spacing w:val="15"/>
        </w:rPr>
        <w:t>栽植两年内的苗木开穴位置</w:t>
      </w:r>
    </w:p>
    <w:p>
      <w:pPr>
        <w:ind w:left="1219"/>
        <w:spacing w:before="141" w:line="206" w:lineRule="auto"/>
        <w:rPr>
          <w:rFonts w:ascii="SimHei" w:hAnsi="SimHei" w:eastAsia="SimHei" w:cs="SimHei"/>
          <w:sz w:val="23"/>
          <w:szCs w:val="23"/>
        </w:rPr>
      </w:pPr>
      <w:r>
        <w:rPr>
          <w:rFonts w:ascii="SimHei" w:hAnsi="SimHei" w:eastAsia="SimHei" w:cs="SimHei"/>
          <w:sz w:val="23"/>
          <w:szCs w:val="23"/>
          <w:spacing w:val="12"/>
        </w:rPr>
        <w:t>为树坨0.5倍距离</w:t>
      </w:r>
    </w:p>
    <w:p>
      <w:pPr>
        <w:ind w:left="2019"/>
        <w:spacing w:line="395" w:lineRule="exact"/>
        <w:rPr>
          <w:rFonts w:ascii="SimHei" w:hAnsi="SimHei" w:eastAsia="SimHei" w:cs="SimHei"/>
          <w:sz w:val="29"/>
          <w:szCs w:val="29"/>
        </w:rPr>
      </w:pPr>
      <w:r>
        <w:rPr>
          <w:rFonts w:ascii="Arial" w:hAnsi="Arial" w:eastAsia="Arial" w:cs="Arial"/>
          <w:sz w:val="29"/>
          <w:szCs w:val="29"/>
          <w:spacing w:val="-9"/>
          <w:position w:val="2"/>
        </w:rPr>
        <w:t>0.5d</w:t>
      </w:r>
      <w:r>
        <w:rPr>
          <w:rFonts w:ascii="Arial" w:hAnsi="Arial" w:eastAsia="Arial" w:cs="Arial"/>
          <w:sz w:val="29"/>
          <w:szCs w:val="29"/>
          <w:spacing w:val="19"/>
          <w:position w:val="2"/>
        </w:rPr>
        <w:t xml:space="preserve">  </w:t>
      </w:r>
      <w:r>
        <w:rPr>
          <w:rFonts w:ascii="SimHei" w:hAnsi="SimHei" w:eastAsia="SimHei" w:cs="SimHei"/>
          <w:sz w:val="29"/>
          <w:szCs w:val="29"/>
          <w:spacing w:val="-9"/>
          <w:position w:val="2"/>
        </w:rPr>
        <w:t>一</w:t>
      </w:r>
    </w:p>
    <w:p>
      <w:pPr>
        <w:pStyle w:val="BodyText"/>
        <w:ind w:left="484"/>
        <w:spacing w:before="19" w:line="312" w:lineRule="exact"/>
        <w:rPr/>
      </w:pPr>
      <w:r>
        <w:ruby>
          <w:rubyPr>
            <w:rubyAlign w:val="left"/>
            <w:hpsRaise w:val="8"/>
            <w:hps w:val="40"/>
            <w:hpsBaseText w:val="40"/>
          </w:rubyPr>
          <w:rt>
            <w:r>
              <w:rPr>
                <w:sz w:val="40"/>
                <w:szCs w:val="40"/>
                <w:spacing w:val="1"/>
                <w:w w:val="175"/>
                <w:position w:val="13"/>
              </w:rPr>
              <w:t>2</w:t>
            </w:r>
          </w:rt>
          <w:rubyBase>
            <w:r>
              <w:rPr>
                <w:sz w:val="40"/>
                <w:szCs w:val="40"/>
                <w:spacing w:val="1"/>
                <w:w w:val="175"/>
                <w:position w:val="5"/>
              </w:rPr>
              <w:t>0</w:t>
            </w:r>
          </w:rubyBase>
        </w:ruby>
      </w:r>
    </w:p>
    <w:p>
      <w:pPr>
        <w:pStyle w:val="BodyText"/>
        <w:ind w:left="679"/>
        <w:spacing w:before="10" w:line="174" w:lineRule="exact"/>
        <w:rPr>
          <w:sz w:val="40"/>
          <w:szCs w:val="40"/>
        </w:rPr>
      </w:pPr>
      <w:r>
        <w:rPr>
          <w:sz w:val="40"/>
          <w:szCs w:val="40"/>
          <w:position w:val="-9"/>
        </w:rPr>
        <w:t>-</w:t>
      </w:r>
    </w:p>
    <w:p>
      <w:pPr>
        <w:ind w:left="484"/>
        <w:spacing w:line="474" w:lineRule="exact"/>
        <w:rPr/>
      </w:pPr>
      <w:r>
        <w:rPr>
          <w:position w:val="-9"/>
        </w:rPr>
        <w:drawing>
          <wp:inline distT="0" distB="0" distL="0" distR="0">
            <wp:extent cx="253746" cy="301409"/>
            <wp:effectExtent l="0" t="0" r="0" b="0"/>
            <wp:docPr id="100" name="IM 100"/>
            <wp:cNvGraphicFramePr/>
            <a:graphic>
              <a:graphicData uri="http://schemas.openxmlformats.org/drawingml/2006/picture">
                <pic:pic>
                  <pic:nvPicPr>
                    <pic:cNvPr id="100" name="IM 100"/>
                    <pic:cNvPicPr/>
                  </pic:nvPicPr>
                  <pic:blipFill>
                    <a:blip r:embed="rId71"/>
                    <a:stretch>
                      <a:fillRect/>
                    </a:stretch>
                  </pic:blipFill>
                  <pic:spPr>
                    <a:xfrm rot="0">
                      <a:off x="0" y="0"/>
                      <a:ext cx="253746" cy="301409"/>
                    </a:xfrm>
                    <a:prstGeom prst="rect">
                      <a:avLst/>
                    </a:prstGeom>
                  </pic:spPr>
                </pic:pic>
              </a:graphicData>
            </a:graphic>
          </wp:inline>
        </w:drawing>
      </w:r>
    </w:p>
    <w:p>
      <w:pPr>
        <w:spacing w:line="95" w:lineRule="exact"/>
        <w:rPr/>
      </w:pPr>
      <w:r/>
    </w:p>
    <w:p>
      <w:pPr>
        <w:spacing w:line="14" w:lineRule="auto"/>
        <w:rPr>
          <w:rFonts w:ascii="Arial"/>
          <w:sz w:val="2"/>
        </w:rPr>
      </w:pPr>
      <w:r>
        <w:rPr>
          <w:rFonts w:ascii="Arial" w:hAnsi="Arial" w:eastAsia="Arial" w:cs="Arial"/>
          <w:sz w:val="2"/>
          <w:szCs w:val="2"/>
        </w:rPr>
        <w:br w:type="column"/>
      </w:r>
    </w:p>
    <w:p>
      <w:pPr>
        <w:spacing w:before="64" w:line="219" w:lineRule="auto"/>
        <w:rPr>
          <w:rFonts w:ascii="SimHei" w:hAnsi="SimHei" w:eastAsia="SimHei" w:cs="SimHei"/>
          <w:sz w:val="23"/>
          <w:szCs w:val="23"/>
        </w:rPr>
      </w:pPr>
      <w:r>
        <w:rPr>
          <w:rFonts w:ascii="SimHei" w:hAnsi="SimHei" w:eastAsia="SimHei" w:cs="SimHei"/>
          <w:sz w:val="23"/>
          <w:szCs w:val="23"/>
          <w:spacing w:val="14"/>
        </w:rPr>
        <w:t>栽植两年以上的苗木开穴位置</w:t>
      </w:r>
    </w:p>
    <w:p>
      <w:pPr>
        <w:ind w:left="1359" w:right="2173" w:hanging="1350"/>
        <w:spacing w:before="172" w:line="270" w:lineRule="auto"/>
        <w:rPr>
          <w:rFonts w:ascii="Arial" w:hAnsi="Arial" w:eastAsia="Arial" w:cs="Arial"/>
          <w:sz w:val="21"/>
          <w:szCs w:val="21"/>
        </w:rPr>
      </w:pPr>
      <w:r>
        <w:rPr>
          <w:rFonts w:ascii="SimHei" w:hAnsi="SimHei" w:eastAsia="SimHei" w:cs="SimHei"/>
          <w:sz w:val="23"/>
          <w:szCs w:val="23"/>
          <w:spacing w:val="11"/>
        </w:rPr>
        <w:t>为树坨1倍距离</w:t>
      </w:r>
      <w:r>
        <w:rPr>
          <w:rFonts w:ascii="SimHei" w:hAnsi="SimHei" w:eastAsia="SimHei" w:cs="SimHei"/>
          <w:sz w:val="23"/>
          <w:szCs w:val="23"/>
          <w:spacing w:val="3"/>
        </w:rPr>
        <w:t xml:space="preserve"> </w:t>
      </w:r>
      <w:r>
        <w:rPr>
          <w:rFonts w:ascii="Arial" w:hAnsi="Arial" w:eastAsia="Arial" w:cs="Arial"/>
          <w:sz w:val="21"/>
          <w:szCs w:val="21"/>
          <w:spacing w:val="-6"/>
        </w:rPr>
        <w:t>1d</w:t>
      </w:r>
    </w:p>
    <w:p>
      <w:pPr>
        <w:spacing w:line="270" w:lineRule="auto"/>
        <w:sectPr>
          <w:type w:val="continuous"/>
          <w:pgSz w:w="14490" w:h="20470"/>
          <w:pgMar w:top="1739" w:right="2120" w:bottom="1420" w:left="2150" w:header="0" w:footer="1222" w:gutter="0"/>
          <w:cols w:equalWidth="0" w:num="2">
            <w:col w:w="6360" w:space="100"/>
            <w:col w:w="3761" w:space="0"/>
          </w:cols>
        </w:sectPr>
        <w:rPr>
          <w:rFonts w:ascii="Arial" w:hAnsi="Arial" w:eastAsia="Arial" w:cs="Arial"/>
          <w:sz w:val="21"/>
          <w:szCs w:val="21"/>
        </w:rPr>
      </w:pP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4570"/>
        <w:spacing w:before="67" w:line="314" w:lineRule="exact"/>
        <w:rPr>
          <w:rFonts w:ascii="Arial" w:hAnsi="Arial" w:eastAsia="Arial" w:cs="Arial"/>
          <w:sz w:val="23"/>
          <w:szCs w:val="23"/>
        </w:rPr>
      </w:pPr>
      <w:r>
        <w:rPr>
          <w:rFonts w:ascii="Arial" w:hAnsi="Arial" w:eastAsia="Arial" w:cs="Arial"/>
          <w:sz w:val="23"/>
          <w:szCs w:val="23"/>
          <w:spacing w:val="-7"/>
          <w:position w:val="1"/>
        </w:rPr>
        <w:t>1d</w:t>
      </w:r>
    </w:p>
    <w:p>
      <w:pPr>
        <w:pStyle w:val="BodyText"/>
        <w:ind w:left="3409"/>
        <w:spacing w:before="210" w:line="221" w:lineRule="auto"/>
        <w:rPr>
          <w:sz w:val="27"/>
          <w:szCs w:val="27"/>
        </w:rPr>
      </w:pPr>
      <w:r>
        <w:rPr>
          <w:sz w:val="27"/>
          <w:szCs w:val="27"/>
          <w:spacing w:val="-16"/>
        </w:rPr>
        <w:t>图2-3-2环施、穴施开穴示意图</w:t>
      </w:r>
    </w:p>
    <w:p>
      <w:pPr>
        <w:pStyle w:val="BodyText"/>
        <w:ind w:left="730"/>
        <w:spacing w:before="125" w:line="219" w:lineRule="auto"/>
        <w:rPr>
          <w:sz w:val="29"/>
          <w:szCs w:val="29"/>
        </w:rPr>
      </w:pPr>
      <w:r>
        <w:rPr>
          <w:sz w:val="29"/>
          <w:szCs w:val="29"/>
          <w:spacing w:val="3"/>
        </w:rPr>
        <w:t>(2)穴施：胸径30</w:t>
      </w:r>
      <w:r>
        <w:rPr>
          <w:rFonts w:ascii="Times New Roman" w:hAnsi="Times New Roman" w:eastAsia="Times New Roman" w:cs="Times New Roman"/>
          <w:sz w:val="29"/>
          <w:szCs w:val="29"/>
        </w:rPr>
        <w:t>cm</w:t>
      </w:r>
      <w:r>
        <w:rPr>
          <w:sz w:val="29"/>
          <w:szCs w:val="29"/>
          <w:spacing w:val="3"/>
        </w:rPr>
        <w:t>以上大树开穴8个，一次施缓释肥4—5公斤；胸径</w:t>
      </w:r>
    </w:p>
    <w:p>
      <w:pPr>
        <w:pStyle w:val="BodyText"/>
        <w:ind w:right="279" w:firstLine="209"/>
        <w:spacing w:before="145" w:line="313" w:lineRule="auto"/>
        <w:rPr>
          <w:sz w:val="29"/>
          <w:szCs w:val="29"/>
        </w:rPr>
      </w:pPr>
      <w:r>
        <w:rPr>
          <w:sz w:val="29"/>
          <w:szCs w:val="29"/>
          <w:spacing w:val="1"/>
        </w:rPr>
        <w:t>20—30</w:t>
      </w:r>
      <w:r>
        <w:rPr>
          <w:rFonts w:ascii="Times New Roman" w:hAnsi="Times New Roman" w:eastAsia="Times New Roman" w:cs="Times New Roman"/>
          <w:sz w:val="29"/>
          <w:szCs w:val="29"/>
        </w:rPr>
        <w:t>cm</w:t>
      </w:r>
      <w:r>
        <w:rPr>
          <w:sz w:val="29"/>
          <w:szCs w:val="29"/>
          <w:spacing w:val="1"/>
        </w:rPr>
        <w:t>大树开穴6个，一次施缓释肥2—2.5公斤；胸径20</w:t>
      </w:r>
      <w:r>
        <w:rPr>
          <w:rFonts w:ascii="Times New Roman" w:hAnsi="Times New Roman" w:eastAsia="Times New Roman" w:cs="Times New Roman"/>
          <w:sz w:val="29"/>
          <w:szCs w:val="29"/>
        </w:rPr>
        <w:t>cm</w:t>
      </w:r>
      <w:r>
        <w:rPr>
          <w:sz w:val="29"/>
          <w:szCs w:val="29"/>
        </w:rPr>
        <w:t>以下大树开穴4 </w:t>
      </w:r>
      <w:r>
        <w:rPr>
          <w:sz w:val="29"/>
          <w:szCs w:val="29"/>
          <w:spacing w:val="-2"/>
        </w:rPr>
        <w:t>个，一次施缓释肥1—1.5公斤。施肥后以草皮覆盖，恢复原貌；</w:t>
      </w:r>
    </w:p>
    <w:p>
      <w:pPr>
        <w:pStyle w:val="BodyText"/>
        <w:ind w:right="52" w:firstLine="730"/>
        <w:spacing w:before="1" w:line="314" w:lineRule="auto"/>
        <w:jc w:val="both"/>
        <w:rPr>
          <w:sz w:val="29"/>
          <w:szCs w:val="29"/>
        </w:rPr>
      </w:pPr>
      <w:r>
        <w:drawing>
          <wp:anchor distT="0" distB="0" distL="0" distR="0" simplePos="0" relativeHeight="251707392" behindDoc="0" locked="0" layoutInCell="1" allowOverlap="1">
            <wp:simplePos x="0" y="0"/>
            <wp:positionH relativeFrom="column">
              <wp:posOffset>3149553</wp:posOffset>
            </wp:positionH>
            <wp:positionV relativeFrom="paragraph">
              <wp:posOffset>1230636</wp:posOffset>
            </wp:positionV>
            <wp:extent cx="3117901" cy="2698737"/>
            <wp:effectExtent l="0" t="0" r="0" b="0"/>
            <wp:wrapNone/>
            <wp:docPr id="102" name="IM 102"/>
            <wp:cNvGraphicFramePr/>
            <a:graphic>
              <a:graphicData uri="http://schemas.openxmlformats.org/drawingml/2006/picture">
                <pic:pic>
                  <pic:nvPicPr>
                    <pic:cNvPr id="102" name="IM 102"/>
                    <pic:cNvPicPr/>
                  </pic:nvPicPr>
                  <pic:blipFill>
                    <a:blip r:embed="rId72"/>
                    <a:stretch>
                      <a:fillRect/>
                    </a:stretch>
                  </pic:blipFill>
                  <pic:spPr>
                    <a:xfrm rot="0">
                      <a:off x="0" y="0"/>
                      <a:ext cx="3117901" cy="2698737"/>
                    </a:xfrm>
                    <a:prstGeom prst="rect">
                      <a:avLst/>
                    </a:prstGeom>
                  </pic:spPr>
                </pic:pic>
              </a:graphicData>
            </a:graphic>
          </wp:anchor>
        </w:drawing>
      </w:r>
      <w:r>
        <w:rPr>
          <w:sz w:val="29"/>
          <w:szCs w:val="29"/>
          <w:spacing w:val="5"/>
        </w:rPr>
        <w:t>(3)环施：沟深15—20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5"/>
        </w:rPr>
        <w:t>,</w:t>
      </w:r>
      <w:r>
        <w:rPr>
          <w:rFonts w:ascii="Times New Roman" w:hAnsi="Times New Roman" w:eastAsia="Times New Roman" w:cs="Times New Roman"/>
          <w:sz w:val="29"/>
          <w:szCs w:val="29"/>
          <w:spacing w:val="33"/>
        </w:rPr>
        <w:t xml:space="preserve">  </w:t>
      </w:r>
      <w:r>
        <w:rPr>
          <w:sz w:val="29"/>
          <w:szCs w:val="29"/>
          <w:spacing w:val="5"/>
        </w:rPr>
        <w:t>宽10—15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5"/>
        </w:rPr>
        <w:t>,</w:t>
      </w:r>
      <w:r>
        <w:rPr>
          <w:rFonts w:ascii="Times New Roman" w:hAnsi="Times New Roman" w:eastAsia="Times New Roman" w:cs="Times New Roman"/>
          <w:sz w:val="29"/>
          <w:szCs w:val="29"/>
          <w:spacing w:val="34"/>
          <w:w w:val="101"/>
        </w:rPr>
        <w:t xml:space="preserve">  </w:t>
      </w:r>
      <w:r>
        <w:rPr>
          <w:sz w:val="29"/>
          <w:szCs w:val="29"/>
          <w:spacing w:val="5"/>
        </w:rPr>
        <w:t>保持上下底同宽，施肥时均匀撒</w:t>
      </w:r>
      <w:r>
        <w:rPr>
          <w:sz w:val="29"/>
          <w:szCs w:val="29"/>
        </w:rPr>
        <w:t xml:space="preserve"> </w:t>
      </w:r>
      <w:r>
        <w:rPr>
          <w:sz w:val="29"/>
          <w:szCs w:val="29"/>
          <w:spacing w:val="-3"/>
        </w:rPr>
        <w:t>播，避免肥料堆积在一起烧根。胸径30</w:t>
      </w:r>
      <w:r>
        <w:rPr>
          <w:rFonts w:ascii="Times New Roman" w:hAnsi="Times New Roman" w:eastAsia="Times New Roman" w:cs="Times New Roman"/>
          <w:sz w:val="29"/>
          <w:szCs w:val="29"/>
          <w:spacing w:val="-3"/>
        </w:rPr>
        <w:t>cm</w:t>
      </w:r>
      <w:r>
        <w:rPr>
          <w:rFonts w:ascii="Times New Roman" w:hAnsi="Times New Roman" w:eastAsia="Times New Roman" w:cs="Times New Roman"/>
          <w:sz w:val="29"/>
          <w:szCs w:val="29"/>
          <w:spacing w:val="-10"/>
        </w:rPr>
        <w:t xml:space="preserve"> </w:t>
      </w:r>
      <w:r>
        <w:rPr>
          <w:sz w:val="29"/>
          <w:szCs w:val="29"/>
          <w:spacing w:val="-3"/>
        </w:rPr>
        <w:t>以上大树一次施复合肥2—3公斤，胸径</w:t>
      </w:r>
      <w:r>
        <w:rPr>
          <w:sz w:val="29"/>
          <w:szCs w:val="29"/>
        </w:rPr>
        <w:t xml:space="preserve"> </w:t>
      </w:r>
      <w:r>
        <w:rPr>
          <w:sz w:val="29"/>
          <w:szCs w:val="29"/>
          <w:spacing w:val="-4"/>
        </w:rPr>
        <w:t>20—30</w:t>
      </w:r>
      <w:r>
        <w:rPr>
          <w:sz w:val="29"/>
          <w:szCs w:val="29"/>
          <w:spacing w:val="-80"/>
        </w:rPr>
        <w:t xml:space="preserve"> </w:t>
      </w:r>
      <w:r>
        <w:rPr>
          <w:rFonts w:ascii="Times New Roman" w:hAnsi="Times New Roman" w:eastAsia="Times New Roman" w:cs="Times New Roman"/>
          <w:sz w:val="29"/>
          <w:szCs w:val="29"/>
          <w:spacing w:val="-4"/>
        </w:rPr>
        <w:t>cm</w:t>
      </w:r>
      <w:r>
        <w:rPr>
          <w:sz w:val="29"/>
          <w:szCs w:val="29"/>
          <w:spacing w:val="-4"/>
        </w:rPr>
        <w:t>大树一次施复合肥1—2公斤，胸径20</w:t>
      </w:r>
      <w:r>
        <w:rPr>
          <w:rFonts w:ascii="Times New Roman" w:hAnsi="Times New Roman" w:eastAsia="Times New Roman" w:cs="Times New Roman"/>
          <w:sz w:val="29"/>
          <w:szCs w:val="29"/>
          <w:spacing w:val="-4"/>
        </w:rPr>
        <w:t>cm</w:t>
      </w:r>
      <w:r>
        <w:rPr>
          <w:sz w:val="29"/>
          <w:szCs w:val="29"/>
          <w:spacing w:val="-4"/>
        </w:rPr>
        <w:t>以下大树一次施复合肥</w:t>
      </w:r>
      <w:r>
        <w:rPr>
          <w:sz w:val="29"/>
          <w:szCs w:val="29"/>
          <w:spacing w:val="-5"/>
        </w:rPr>
        <w:t>0.5—1公</w:t>
      </w:r>
      <w:r>
        <w:rPr>
          <w:sz w:val="29"/>
          <w:szCs w:val="29"/>
        </w:rPr>
        <w:t xml:space="preserve"> </w:t>
      </w:r>
      <w:r>
        <w:rPr>
          <w:sz w:val="29"/>
          <w:szCs w:val="29"/>
          <w:spacing w:val="3"/>
        </w:rPr>
        <w:t>斤(若施用缓释肥可增加1倍量)。施肥后以草皮覆盖，恢复原貌。</w:t>
      </w:r>
    </w:p>
    <w:p>
      <w:pPr>
        <w:ind w:left="399" w:right="8282"/>
        <w:spacing w:before="220" w:line="308" w:lineRule="auto"/>
        <w:rPr>
          <w:rFonts w:ascii="SimHei" w:hAnsi="SimHei" w:eastAsia="SimHei" w:cs="SimHei"/>
          <w:sz w:val="18"/>
          <w:szCs w:val="18"/>
        </w:rPr>
      </w:pPr>
      <w:r>
        <w:drawing>
          <wp:anchor distT="0" distB="0" distL="0" distR="0" simplePos="0" relativeHeight="251706368" behindDoc="1" locked="0" layoutInCell="1" allowOverlap="1">
            <wp:simplePos x="0" y="0"/>
            <wp:positionH relativeFrom="column">
              <wp:posOffset>133324</wp:posOffset>
            </wp:positionH>
            <wp:positionV relativeFrom="paragraph">
              <wp:posOffset>-35888</wp:posOffset>
            </wp:positionV>
            <wp:extent cx="2965438" cy="2743193"/>
            <wp:effectExtent l="0" t="0" r="0" b="0"/>
            <wp:wrapNone/>
            <wp:docPr id="104" name="IM 104"/>
            <wp:cNvGraphicFramePr/>
            <a:graphic>
              <a:graphicData uri="http://schemas.openxmlformats.org/drawingml/2006/picture">
                <pic:pic>
                  <pic:nvPicPr>
                    <pic:cNvPr id="104" name="IM 104"/>
                    <pic:cNvPicPr/>
                  </pic:nvPicPr>
                  <pic:blipFill>
                    <a:blip r:embed="rId73"/>
                    <a:stretch>
                      <a:fillRect/>
                    </a:stretch>
                  </pic:blipFill>
                  <pic:spPr>
                    <a:xfrm rot="0">
                      <a:off x="0" y="0"/>
                      <a:ext cx="2965438" cy="2743193"/>
                    </a:xfrm>
                    <a:prstGeom prst="rect">
                      <a:avLst/>
                    </a:prstGeom>
                  </pic:spPr>
                </pic:pic>
              </a:graphicData>
            </a:graphic>
          </wp:anchor>
        </w:drawing>
      </w:r>
      <w:r>
        <w:rPr>
          <w:rFonts w:ascii="SimHei" w:hAnsi="SimHei" w:eastAsia="SimHei" w:cs="SimHei"/>
          <w:sz w:val="18"/>
          <w:szCs w:val="18"/>
          <w:spacing w:val="-13"/>
          <w:w w:val="92"/>
        </w:rPr>
        <w:t>施棒肥开穴大小及深度</w:t>
      </w:r>
      <w:r>
        <w:rPr>
          <w:rFonts w:ascii="SimHei" w:hAnsi="SimHei" w:eastAsia="SimHei" w:cs="SimHei"/>
          <w:sz w:val="18"/>
          <w:szCs w:val="18"/>
          <w:spacing w:val="10"/>
        </w:rPr>
        <w:t xml:space="preserve"> </w:t>
      </w:r>
      <w:r>
        <w:rPr>
          <w:rFonts w:ascii="SimHei" w:hAnsi="SimHei" w:eastAsia="SimHei" w:cs="SimHei"/>
          <w:sz w:val="18"/>
          <w:szCs w:val="18"/>
          <w:spacing w:val="-21"/>
          <w:w w:val="95"/>
        </w:rPr>
        <w:t>以棒肥两头直径为准：</w:t>
      </w:r>
    </w:p>
    <w:p>
      <w:pPr>
        <w:ind w:left="399"/>
        <w:spacing w:before="58" w:line="222" w:lineRule="auto"/>
        <w:rPr>
          <w:rFonts w:ascii="SimHei" w:hAnsi="SimHei" w:eastAsia="SimHei" w:cs="SimHei"/>
          <w:sz w:val="16"/>
          <w:szCs w:val="16"/>
        </w:rPr>
      </w:pPr>
      <w:r>
        <w:pict>
          <v:shape id="_x0000_s18" style="position:absolute;margin-left:172.496pt;margin-top:-0.778338pt;mso-position-vertical-relative:text;mso-position-horizontal-relative:text;width:30.7pt;height:12.95pt;z-index:251708416;" filled="false" stroked="false" type="#_x0000_t202">
            <v:fill on="false"/>
            <v:stroke on="false"/>
            <v:path/>
            <v:imagedata o:title=""/>
            <o:lock v:ext="edit" aspectratio="false"/>
            <v:textbox inset="0mm,0mm,0mm,0mm">
              <w:txbxContent>
                <w:p>
                  <w:pPr>
                    <w:ind w:left="20"/>
                    <w:spacing w:before="20" w:line="218" w:lineRule="exact"/>
                    <w:rPr>
                      <w:rFonts w:ascii="Arial" w:hAnsi="Arial" w:eastAsia="Arial" w:cs="Arial"/>
                      <w:sz w:val="16"/>
                      <w:szCs w:val="16"/>
                    </w:rPr>
                  </w:pPr>
                  <w:r>
                    <w:rPr>
                      <w:rFonts w:ascii="Arial" w:hAnsi="Arial" w:eastAsia="Arial" w:cs="Arial"/>
                      <w:sz w:val="16"/>
                      <w:szCs w:val="16"/>
                      <w:spacing w:val="-1"/>
                      <w:position w:val="1"/>
                    </w:rPr>
                    <w:t>20-25ch</w:t>
                  </w:r>
                </w:p>
              </w:txbxContent>
            </v:textbox>
          </v:shape>
        </w:pict>
      </w:r>
      <w:r>
        <w:rPr>
          <w:rFonts w:ascii="SimHei" w:hAnsi="SimHei" w:eastAsia="SimHei" w:cs="SimHei"/>
          <w:sz w:val="16"/>
          <w:szCs w:val="16"/>
          <w:spacing w:val="-3"/>
        </w:rPr>
        <w:t>施缓释肥开穴洞口直径</w:t>
      </w:r>
    </w:p>
    <w:p>
      <w:pPr>
        <w:ind w:left="399"/>
        <w:spacing w:before="102" w:line="215" w:lineRule="auto"/>
        <w:rPr>
          <w:rFonts w:ascii="Arial" w:hAnsi="Arial" w:eastAsia="Arial" w:cs="Arial"/>
          <w:sz w:val="16"/>
          <w:szCs w:val="16"/>
        </w:rPr>
      </w:pPr>
      <w:r>
        <w:rPr>
          <w:rFonts w:ascii="SimHei" w:hAnsi="SimHei" w:eastAsia="SimHei" w:cs="SimHei"/>
          <w:sz w:val="16"/>
          <w:szCs w:val="16"/>
          <w:spacing w:val="-1"/>
        </w:rPr>
        <w:t>20-25</w:t>
      </w:r>
      <w:r>
        <w:rPr>
          <w:rFonts w:ascii="Arial" w:hAnsi="Arial" w:eastAsia="Arial" w:cs="Arial"/>
          <w:sz w:val="16"/>
          <w:szCs w:val="16"/>
          <w:spacing w:val="-1"/>
        </w:rPr>
        <w:t>cm,</w:t>
      </w:r>
      <w:r>
        <w:rPr>
          <w:rFonts w:ascii="SimHei" w:hAnsi="SimHei" w:eastAsia="SimHei" w:cs="SimHei"/>
          <w:sz w:val="16"/>
          <w:szCs w:val="16"/>
          <w:spacing w:val="-1"/>
        </w:rPr>
        <w:t>深20-30</w:t>
      </w:r>
      <w:r>
        <w:rPr>
          <w:rFonts w:ascii="Arial" w:hAnsi="Arial" w:eastAsia="Arial" w:cs="Arial"/>
          <w:sz w:val="16"/>
          <w:szCs w:val="16"/>
          <w:spacing w:val="-1"/>
        </w:rPr>
        <w:t>cm</w:t>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3730"/>
        <w:spacing w:before="85" w:line="221" w:lineRule="auto"/>
        <w:rPr>
          <w:sz w:val="26"/>
          <w:szCs w:val="26"/>
        </w:rPr>
      </w:pPr>
      <w:r>
        <w:rPr>
          <w:sz w:val="26"/>
          <w:szCs w:val="26"/>
          <w:spacing w:val="-8"/>
        </w:rPr>
        <w:t>图2-3-3穴施、环施示意图</w:t>
      </w:r>
    </w:p>
    <w:p>
      <w:pPr>
        <w:pStyle w:val="BodyText"/>
        <w:ind w:left="600"/>
        <w:spacing w:before="167" w:line="219" w:lineRule="auto"/>
        <w:rPr>
          <w:sz w:val="29"/>
          <w:szCs w:val="29"/>
        </w:rPr>
      </w:pPr>
      <w:r>
        <w:rPr>
          <w:sz w:val="29"/>
          <w:szCs w:val="29"/>
          <w:spacing w:val="36"/>
        </w:rPr>
        <w:t>2)叶面肥</w:t>
      </w:r>
    </w:p>
    <w:p>
      <w:pPr>
        <w:pStyle w:val="BodyText"/>
        <w:ind w:right="50" w:firstLine="610"/>
        <w:spacing w:before="213" w:line="342" w:lineRule="auto"/>
        <w:rPr>
          <w:sz w:val="29"/>
          <w:szCs w:val="29"/>
        </w:rPr>
      </w:pPr>
      <w:r>
        <w:rPr>
          <w:sz w:val="29"/>
          <w:szCs w:val="29"/>
        </w:rPr>
        <w:t>在根部施肥的同时喷施叶面肥会起到事半功倍的</w:t>
      </w:r>
      <w:r>
        <w:rPr>
          <w:sz w:val="29"/>
          <w:szCs w:val="29"/>
          <w:spacing w:val="-1"/>
        </w:rPr>
        <w:t>效果，叶面肥喷施除缺乏一</w:t>
      </w:r>
      <w:r>
        <w:rPr>
          <w:sz w:val="29"/>
          <w:szCs w:val="29"/>
        </w:rPr>
        <w:t xml:space="preserve"> </w:t>
      </w:r>
      <w:r>
        <w:rPr>
          <w:sz w:val="29"/>
          <w:szCs w:val="29"/>
          <w:spacing w:val="-1"/>
        </w:rPr>
        <w:t>些中微量元素单独喷施外，氮、磷、钾元素四季补充与根部施肥相近。另外可与</w:t>
      </w:r>
      <w:r>
        <w:rPr>
          <w:sz w:val="29"/>
          <w:szCs w:val="29"/>
          <w:spacing w:val="18"/>
        </w:rPr>
        <w:t xml:space="preserve"> </w:t>
      </w:r>
      <w:r>
        <w:rPr>
          <w:sz w:val="29"/>
          <w:szCs w:val="29"/>
          <w:spacing w:val="-8"/>
        </w:rPr>
        <w:t>很多中性或酸性杀虫、杀菌药混合喷施，只是落叶树叶片枯黄后及春季第一批新叶</w:t>
      </w:r>
      <w:r>
        <w:rPr>
          <w:sz w:val="29"/>
          <w:szCs w:val="29"/>
          <w:spacing w:val="11"/>
        </w:rPr>
        <w:t xml:space="preserve"> </w:t>
      </w:r>
      <w:r>
        <w:rPr>
          <w:sz w:val="29"/>
          <w:szCs w:val="29"/>
          <w:spacing w:val="-9"/>
        </w:rPr>
        <w:t>老成前不用，常绿树零度以下基本不用。对不了解的配方喷施前须先做各植物品种</w:t>
      </w:r>
      <w:r>
        <w:rPr>
          <w:sz w:val="29"/>
          <w:szCs w:val="29"/>
          <w:spacing w:val="3"/>
        </w:rPr>
        <w:t xml:space="preserve"> </w:t>
      </w:r>
      <w:r>
        <w:rPr>
          <w:sz w:val="29"/>
          <w:szCs w:val="29"/>
          <w:spacing w:val="-1"/>
        </w:rPr>
        <w:t>小区实验，20天以后经观察无不良反应再</w:t>
      </w:r>
      <w:r>
        <w:rPr>
          <w:sz w:val="29"/>
          <w:szCs w:val="29"/>
          <w:spacing w:val="-2"/>
        </w:rPr>
        <w:t>使用。</w:t>
      </w:r>
    </w:p>
    <w:p>
      <w:pPr>
        <w:pStyle w:val="BodyText"/>
        <w:spacing w:before="67" w:line="222" w:lineRule="auto"/>
        <w:rPr>
          <w:rFonts w:ascii="SimHei" w:hAnsi="SimHei" w:eastAsia="SimHei" w:cs="SimHei"/>
          <w:sz w:val="29"/>
          <w:szCs w:val="29"/>
        </w:rPr>
      </w:pPr>
      <w:r>
        <w:rPr>
          <w:rFonts w:ascii="Arial" w:hAnsi="Arial" w:eastAsia="Arial" w:cs="Arial"/>
          <w:sz w:val="29"/>
          <w:szCs w:val="29"/>
          <w:spacing w:val="2"/>
        </w:rPr>
        <w:t>4</w:t>
      </w:r>
      <w:r>
        <w:rPr>
          <w:sz w:val="29"/>
          <w:szCs w:val="29"/>
          <w:spacing w:val="2"/>
        </w:rPr>
        <w:t>、</w:t>
      </w:r>
      <w:r>
        <w:rPr>
          <w:rFonts w:ascii="SimHei" w:hAnsi="SimHei" w:eastAsia="SimHei" w:cs="SimHei"/>
          <w:sz w:val="29"/>
          <w:szCs w:val="29"/>
          <w:spacing w:val="2"/>
        </w:rPr>
        <w:t>注意事项</w:t>
      </w:r>
    </w:p>
    <w:p>
      <w:pPr>
        <w:pStyle w:val="BodyText"/>
        <w:ind w:left="730"/>
        <w:spacing w:before="102" w:line="184" w:lineRule="auto"/>
        <w:rPr>
          <w:sz w:val="29"/>
          <w:szCs w:val="29"/>
        </w:rPr>
      </w:pPr>
      <w:r>
        <w:rPr>
          <w:sz w:val="29"/>
          <w:szCs w:val="29"/>
          <w:spacing w:val="7"/>
        </w:rPr>
        <w:t>(1)施肥一般在修剪后一两天进行，不宜在修剪前和刚修剪完施肥，施完</w:t>
      </w:r>
    </w:p>
    <w:p>
      <w:pPr>
        <w:spacing w:line="184" w:lineRule="auto"/>
        <w:sectPr>
          <w:type w:val="continuous"/>
          <w:pgSz w:w="14490" w:h="20470"/>
          <w:pgMar w:top="1739" w:right="2120" w:bottom="1420" w:left="2150" w:header="0" w:footer="1222" w:gutter="0"/>
          <w:cols w:equalWidth="0" w:num="1">
            <w:col w:w="10220" w:space="0"/>
          </w:cols>
        </w:sectPr>
        <w:rPr>
          <w:sz w:val="29"/>
          <w:szCs w:val="29"/>
        </w:rPr>
      </w:pPr>
    </w:p>
    <w:p>
      <w:pPr>
        <w:pStyle w:val="BodyText"/>
        <w:spacing w:before="120" w:line="219" w:lineRule="auto"/>
        <w:rPr>
          <w:sz w:val="29"/>
          <w:szCs w:val="29"/>
        </w:rPr>
      </w:pPr>
      <w:bookmarkStart w:name="bookmark84" w:id="12"/>
      <w:bookmarkEnd w:id="12"/>
      <w:r>
        <w:rPr>
          <w:sz w:val="29"/>
          <w:szCs w:val="29"/>
          <w:spacing w:val="-1"/>
        </w:rPr>
        <w:t>肥后须马上浇水，以避免造成灼伤；</w:t>
      </w:r>
    </w:p>
    <w:p>
      <w:pPr>
        <w:pStyle w:val="BodyText"/>
        <w:ind w:right="349" w:firstLine="730"/>
        <w:spacing w:before="155" w:line="314" w:lineRule="auto"/>
        <w:rPr>
          <w:sz w:val="29"/>
          <w:szCs w:val="29"/>
        </w:rPr>
      </w:pPr>
      <w:r>
        <w:rPr>
          <w:sz w:val="29"/>
          <w:szCs w:val="29"/>
          <w:spacing w:val="4"/>
        </w:rPr>
        <w:t>(2)施肥时须将肥料充分粉碎，与土壤混合后均匀撒施均匀，随即浇水，</w:t>
      </w:r>
      <w:r>
        <w:rPr>
          <w:sz w:val="29"/>
          <w:szCs w:val="29"/>
          <w:spacing w:val="17"/>
        </w:rPr>
        <w:t xml:space="preserve"> </w:t>
      </w:r>
      <w:r>
        <w:rPr>
          <w:sz w:val="29"/>
          <w:szCs w:val="29"/>
          <w:spacing w:val="-6"/>
        </w:rPr>
        <w:t>严禁肥料裸露；</w:t>
      </w:r>
    </w:p>
    <w:p>
      <w:pPr>
        <w:pStyle w:val="BodyText"/>
        <w:ind w:right="404" w:firstLine="570"/>
        <w:spacing w:before="5" w:line="307" w:lineRule="auto"/>
        <w:rPr>
          <w:sz w:val="29"/>
          <w:szCs w:val="29"/>
        </w:rPr>
      </w:pPr>
      <w:r>
        <w:rPr>
          <w:sz w:val="29"/>
          <w:szCs w:val="29"/>
          <w:spacing w:val="-6"/>
        </w:rPr>
        <w:t>注意植物对肥料的适应性及喜好，例如豆科植物如刺槐喜磷肥，榕树适当补</w:t>
      </w:r>
      <w:r>
        <w:rPr>
          <w:sz w:val="29"/>
          <w:szCs w:val="29"/>
          <w:spacing w:val="18"/>
        </w:rPr>
        <w:t xml:space="preserve"> </w:t>
      </w:r>
      <w:r>
        <w:rPr>
          <w:sz w:val="29"/>
          <w:szCs w:val="29"/>
        </w:rPr>
        <w:t>充钾肥可增加根系的观赏性，柑橘怕含氯肥料；</w:t>
      </w:r>
    </w:p>
    <w:p>
      <w:pPr>
        <w:pStyle w:val="BodyText"/>
        <w:ind w:right="301" w:firstLine="730"/>
        <w:spacing w:before="15" w:line="265" w:lineRule="auto"/>
        <w:rPr>
          <w:sz w:val="29"/>
          <w:szCs w:val="29"/>
        </w:rPr>
      </w:pPr>
      <w:r>
        <w:rPr>
          <w:sz w:val="29"/>
          <w:szCs w:val="29"/>
          <w:spacing w:val="6"/>
        </w:rPr>
        <w:t>(2)注意植物对肥料的需求如泡桐、杨树、重阳木等生长速度快的种类就</w:t>
      </w:r>
      <w:r>
        <w:rPr>
          <w:sz w:val="29"/>
          <w:szCs w:val="29"/>
        </w:rPr>
        <w:t xml:space="preserve"> </w:t>
      </w:r>
      <w:r>
        <w:rPr>
          <w:sz w:val="29"/>
          <w:szCs w:val="29"/>
          <w:spacing w:val="-1"/>
        </w:rPr>
        <w:t>比马尾松、油松、圆柏、小叶黄杨等生长速度慢的种类需肥量大；</w:t>
      </w:r>
    </w:p>
    <w:p>
      <w:pPr>
        <w:pStyle w:val="BodyText"/>
        <w:ind w:right="299" w:firstLine="730"/>
        <w:spacing w:before="157" w:line="265" w:lineRule="auto"/>
        <w:rPr>
          <w:sz w:val="29"/>
          <w:szCs w:val="29"/>
        </w:rPr>
      </w:pPr>
      <w:r>
        <w:rPr>
          <w:sz w:val="29"/>
          <w:szCs w:val="29"/>
          <w:spacing w:val="6"/>
        </w:rPr>
        <w:t>(3)注意不同肥料种类在不同土质中对植物的影响，如硫酸钾类复合肥在</w:t>
      </w:r>
      <w:r>
        <w:rPr>
          <w:sz w:val="29"/>
          <w:szCs w:val="29"/>
          <w:spacing w:val="1"/>
        </w:rPr>
        <w:t xml:space="preserve"> </w:t>
      </w:r>
      <w:r>
        <w:rPr>
          <w:sz w:val="29"/>
          <w:szCs w:val="29"/>
          <w:spacing w:val="1"/>
        </w:rPr>
        <w:t>中性或弱碱性土质中表现较好，但在酸性土质中会引起一些</w:t>
      </w:r>
      <w:r>
        <w:rPr>
          <w:sz w:val="29"/>
          <w:szCs w:val="29"/>
        </w:rPr>
        <w:t>植物酸中毒。</w:t>
      </w:r>
    </w:p>
    <w:p>
      <w:pPr>
        <w:spacing w:before="215" w:line="221" w:lineRule="auto"/>
        <w:outlineLvl w:val="1"/>
        <w:rPr>
          <w:rFonts w:ascii="SimHei" w:hAnsi="SimHei" w:eastAsia="SimHei" w:cs="SimHei"/>
          <w:sz w:val="29"/>
          <w:szCs w:val="29"/>
        </w:rPr>
      </w:pPr>
      <w:bookmarkStart w:name="bookmark7" w:id="13"/>
      <w:bookmarkEnd w:id="13"/>
      <w:r>
        <w:rPr>
          <w:rFonts w:ascii="SimHei" w:hAnsi="SimHei" w:eastAsia="SimHei" w:cs="SimHei"/>
          <w:sz w:val="29"/>
          <w:szCs w:val="29"/>
          <w:spacing w:val="-14"/>
        </w:rPr>
        <w:t>四</w:t>
      </w:r>
      <w:r>
        <w:rPr>
          <w:rFonts w:ascii="SimHei" w:hAnsi="SimHei" w:eastAsia="SimHei" w:cs="SimHei"/>
          <w:sz w:val="29"/>
          <w:szCs w:val="29"/>
          <w:spacing w:val="-72"/>
        </w:rPr>
        <w:t xml:space="preserve"> </w:t>
      </w:r>
      <w:r>
        <w:rPr>
          <w:rFonts w:ascii="SimHei" w:hAnsi="SimHei" w:eastAsia="SimHei" w:cs="SimHei"/>
          <w:sz w:val="29"/>
          <w:szCs w:val="29"/>
          <w:spacing w:val="-14"/>
        </w:rPr>
        <w:t>、补种</w:t>
      </w:r>
    </w:p>
    <w:p>
      <w:pPr>
        <w:pStyle w:val="BodyText"/>
        <w:ind w:right="211" w:firstLine="570"/>
        <w:spacing w:before="152" w:line="305" w:lineRule="auto"/>
        <w:rPr>
          <w:sz w:val="29"/>
          <w:szCs w:val="29"/>
        </w:rPr>
      </w:pPr>
      <w:r>
        <w:rPr>
          <w:rFonts w:ascii="FangSong" w:hAnsi="FangSong" w:eastAsia="FangSong" w:cs="FangSong"/>
          <w:sz w:val="29"/>
          <w:szCs w:val="29"/>
          <w:spacing w:val="1"/>
        </w:rPr>
        <w:t>1、乔</w:t>
      </w:r>
      <w:r>
        <w:rPr>
          <w:rFonts w:ascii="FangSong" w:hAnsi="FangSong" w:eastAsia="FangSong" w:cs="FangSong"/>
          <w:sz w:val="29"/>
          <w:szCs w:val="29"/>
          <w:spacing w:val="-50"/>
        </w:rPr>
        <w:t xml:space="preserve"> </w:t>
      </w:r>
      <w:r>
        <w:rPr>
          <w:rFonts w:ascii="FangSong" w:hAnsi="FangSong" w:eastAsia="FangSong" w:cs="FangSong"/>
          <w:sz w:val="29"/>
          <w:szCs w:val="29"/>
          <w:spacing w:val="1"/>
        </w:rPr>
        <w:t>、</w:t>
      </w:r>
      <w:r>
        <w:rPr>
          <w:sz w:val="29"/>
          <w:szCs w:val="29"/>
          <w:spacing w:val="1"/>
        </w:rPr>
        <w:t>灌木死亡或失去景观效果后须及时报损、挖除，大型乔木宜分段截</w:t>
      </w:r>
      <w:r>
        <w:rPr>
          <w:sz w:val="29"/>
          <w:szCs w:val="29"/>
        </w:rPr>
        <w:t xml:space="preserve"> </w:t>
      </w:r>
      <w:r>
        <w:rPr>
          <w:sz w:val="29"/>
          <w:szCs w:val="29"/>
          <w:spacing w:val="-8"/>
        </w:rPr>
        <w:t>除，被截除树干截断之前须用绳索人为牵引或与下部主干牵连，以防被截树干掉落</w:t>
      </w:r>
      <w:r>
        <w:rPr>
          <w:sz w:val="29"/>
          <w:szCs w:val="29"/>
        </w:rPr>
        <w:t xml:space="preserve"> </w:t>
      </w:r>
      <w:r>
        <w:rPr>
          <w:sz w:val="29"/>
          <w:szCs w:val="29"/>
          <w:spacing w:val="-2"/>
        </w:rPr>
        <w:t>伤人。</w:t>
      </w:r>
    </w:p>
    <w:p>
      <w:pPr>
        <w:pStyle w:val="BodyText"/>
        <w:spacing w:before="186" w:line="219" w:lineRule="auto"/>
        <w:jc w:val="right"/>
        <w:rPr>
          <w:sz w:val="29"/>
          <w:szCs w:val="29"/>
        </w:rPr>
      </w:pPr>
      <w:r>
        <w:rPr>
          <w:rFonts w:ascii="Times New Roman" w:hAnsi="Times New Roman" w:eastAsia="Times New Roman" w:cs="Times New Roman"/>
          <w:sz w:val="29"/>
          <w:szCs w:val="29"/>
          <w:spacing w:val="1"/>
        </w:rPr>
        <w:t>2</w:t>
      </w:r>
      <w:r>
        <w:rPr>
          <w:rFonts w:ascii="Times New Roman" w:hAnsi="Times New Roman" w:eastAsia="Times New Roman" w:cs="Times New Roman"/>
          <w:sz w:val="29"/>
          <w:szCs w:val="29"/>
          <w:spacing w:val="-28"/>
        </w:rPr>
        <w:t xml:space="preserve"> </w:t>
      </w:r>
      <w:r>
        <w:rPr>
          <w:sz w:val="29"/>
          <w:szCs w:val="29"/>
          <w:spacing w:val="1"/>
        </w:rPr>
        <w:t>、苗木挖除后须补植的，原则上应选用与原有苗木品种、规格相同的苗木。</w:t>
      </w:r>
    </w:p>
    <w:p>
      <w:pPr>
        <w:pStyle w:val="BodyText"/>
        <w:ind w:right="299" w:firstLine="570"/>
        <w:spacing w:before="205" w:line="279" w:lineRule="auto"/>
        <w:rPr>
          <w:sz w:val="29"/>
          <w:szCs w:val="29"/>
        </w:rPr>
      </w:pPr>
      <w:r>
        <w:rPr>
          <w:sz w:val="29"/>
          <w:szCs w:val="29"/>
          <w:spacing w:val="-2"/>
        </w:rPr>
        <w:t>3、苗木补种要求同绿化施工中苗木种植要求，详见《</w:t>
      </w:r>
      <w:r>
        <w:rPr>
          <w:rFonts w:ascii="Times New Roman" w:hAnsi="Times New Roman" w:eastAsia="Times New Roman" w:cs="Times New Roman"/>
          <w:sz w:val="29"/>
          <w:szCs w:val="29"/>
          <w:spacing w:val="-2"/>
        </w:rPr>
        <w:t>XX</w:t>
      </w:r>
      <w:r>
        <w:rPr>
          <w:sz w:val="29"/>
          <w:szCs w:val="29"/>
          <w:spacing w:val="-2"/>
        </w:rPr>
        <w:t>园林集团绿化施工</w:t>
      </w:r>
      <w:r>
        <w:rPr>
          <w:sz w:val="29"/>
          <w:szCs w:val="29"/>
          <w:spacing w:val="9"/>
        </w:rPr>
        <w:t xml:space="preserve"> </w:t>
      </w:r>
      <w:r>
        <w:rPr>
          <w:sz w:val="29"/>
          <w:szCs w:val="29"/>
          <w:spacing w:val="10"/>
        </w:rPr>
        <w:t>手册》,补种时要注意成品保护。</w:t>
      </w:r>
    </w:p>
    <w:p>
      <w:pPr>
        <w:spacing w:before="244" w:line="222" w:lineRule="auto"/>
        <w:outlineLvl w:val="1"/>
        <w:rPr>
          <w:rFonts w:ascii="SimHei" w:hAnsi="SimHei" w:eastAsia="SimHei" w:cs="SimHei"/>
          <w:sz w:val="29"/>
          <w:szCs w:val="29"/>
        </w:rPr>
      </w:pPr>
      <w:bookmarkStart w:name="bookmark8" w:id="14"/>
      <w:bookmarkEnd w:id="14"/>
      <w:r>
        <w:rPr>
          <w:rFonts w:ascii="SimHei" w:hAnsi="SimHei" w:eastAsia="SimHei" w:cs="SimHei"/>
          <w:sz w:val="29"/>
          <w:szCs w:val="29"/>
          <w:spacing w:val="3"/>
        </w:rPr>
        <w:t>五、支撑</w:t>
      </w:r>
    </w:p>
    <w:p>
      <w:pPr>
        <w:pStyle w:val="BodyText"/>
        <w:ind w:right="230" w:firstLine="570"/>
        <w:spacing w:before="108" w:line="311" w:lineRule="auto"/>
        <w:jc w:val="both"/>
        <w:rPr>
          <w:sz w:val="29"/>
          <w:szCs w:val="29"/>
        </w:rPr>
      </w:pPr>
      <w:r>
        <w:rPr>
          <w:sz w:val="29"/>
          <w:szCs w:val="29"/>
        </w:rPr>
        <w:t>大树移植后通常需要设立支撑，以避免大树因大风吹刮造成</w:t>
      </w:r>
      <w:r>
        <w:rPr>
          <w:sz w:val="29"/>
          <w:szCs w:val="29"/>
          <w:spacing w:val="-1"/>
        </w:rPr>
        <w:t>树干摇摆松动，</w:t>
      </w:r>
      <w:r>
        <w:rPr>
          <w:sz w:val="29"/>
          <w:szCs w:val="29"/>
        </w:rPr>
        <w:t xml:space="preserve"> </w:t>
      </w:r>
      <w:r>
        <w:rPr>
          <w:sz w:val="29"/>
          <w:szCs w:val="29"/>
          <w:spacing w:val="-7"/>
        </w:rPr>
        <w:t>使根系不能良好生长，在树干基部周围形成空洞，产生“吊根现</w:t>
      </w:r>
      <w:r>
        <w:rPr>
          <w:sz w:val="29"/>
          <w:szCs w:val="29"/>
          <w:spacing w:val="-8"/>
        </w:rPr>
        <w:t>象”,天气干旱时</w:t>
      </w:r>
      <w:r>
        <w:rPr>
          <w:sz w:val="29"/>
          <w:szCs w:val="29"/>
        </w:rPr>
        <w:t xml:space="preserve"> </w:t>
      </w:r>
      <w:r>
        <w:rPr>
          <w:sz w:val="29"/>
          <w:szCs w:val="29"/>
          <w:spacing w:val="-11"/>
        </w:rPr>
        <w:t>易造成根部缺水，遇雨易积水而影响根系生长。因大树移植后根系</w:t>
      </w:r>
      <w:r>
        <w:rPr>
          <w:sz w:val="29"/>
          <w:szCs w:val="29"/>
          <w:spacing w:val="-12"/>
        </w:rPr>
        <w:t>较浅、分布面积</w:t>
      </w:r>
      <w:r>
        <w:rPr>
          <w:sz w:val="29"/>
          <w:szCs w:val="29"/>
        </w:rPr>
        <w:t xml:space="preserve"> </w:t>
      </w:r>
      <w:r>
        <w:rPr>
          <w:sz w:val="29"/>
          <w:szCs w:val="29"/>
          <w:spacing w:val="-12"/>
        </w:rPr>
        <w:t>小，架立支撑后可以防止树体受力不均而倒伏。养护过程中支撑工作有：</w:t>
      </w:r>
    </w:p>
    <w:p>
      <w:pPr>
        <w:pStyle w:val="BodyText"/>
        <w:ind w:left="730"/>
        <w:spacing w:before="10" w:line="219" w:lineRule="auto"/>
        <w:rPr>
          <w:sz w:val="29"/>
          <w:szCs w:val="29"/>
        </w:rPr>
      </w:pPr>
      <w:r>
        <w:rPr>
          <w:sz w:val="29"/>
          <w:szCs w:val="29"/>
          <w:spacing w:val="9"/>
        </w:rPr>
        <w:t>(1)对已松动的支撑按规范加固；</w:t>
      </w:r>
    </w:p>
    <w:p>
      <w:pPr>
        <w:pStyle w:val="BodyText"/>
        <w:ind w:left="730"/>
        <w:spacing w:before="156" w:line="219" w:lineRule="auto"/>
        <w:rPr>
          <w:sz w:val="29"/>
          <w:szCs w:val="29"/>
        </w:rPr>
      </w:pPr>
      <w:r>
        <w:rPr>
          <w:sz w:val="29"/>
          <w:szCs w:val="29"/>
          <w:spacing w:val="7"/>
        </w:rPr>
        <w:t>(2)对施工遗漏需支撑的乔、灌木进行支撑；</w:t>
      </w:r>
    </w:p>
    <w:p>
      <w:pPr>
        <w:pStyle w:val="BodyText"/>
        <w:ind w:left="730"/>
        <w:spacing w:before="136" w:line="219" w:lineRule="auto"/>
        <w:rPr>
          <w:sz w:val="29"/>
          <w:szCs w:val="29"/>
        </w:rPr>
      </w:pPr>
      <w:r>
        <w:rPr>
          <w:sz w:val="29"/>
          <w:szCs w:val="29"/>
          <w:spacing w:val="-4"/>
        </w:rPr>
        <w:t>(3)乔、灌木支撑详见《</w:t>
      </w:r>
      <w:r>
        <w:rPr>
          <w:rFonts w:ascii="Times New Roman" w:hAnsi="Times New Roman" w:eastAsia="Times New Roman" w:cs="Times New Roman"/>
          <w:sz w:val="29"/>
          <w:szCs w:val="29"/>
          <w:spacing w:val="-4"/>
        </w:rPr>
        <w:t>XX</w:t>
      </w:r>
      <w:r>
        <w:rPr>
          <w:sz w:val="29"/>
          <w:szCs w:val="29"/>
          <w:spacing w:val="-4"/>
        </w:rPr>
        <w:t>园林集团绿</w:t>
      </w:r>
      <w:r>
        <w:rPr>
          <w:sz w:val="29"/>
          <w:szCs w:val="29"/>
          <w:spacing w:val="-5"/>
        </w:rPr>
        <w:t>化施工手册》。</w:t>
      </w:r>
    </w:p>
    <w:p>
      <w:pPr>
        <w:ind w:firstLine="199"/>
        <w:spacing w:before="114" w:line="3470" w:lineRule="exact"/>
        <w:rPr/>
      </w:pPr>
      <w:r>
        <w:rPr>
          <w:position w:val="-69"/>
        </w:rPr>
        <w:drawing>
          <wp:inline distT="0" distB="0" distL="0" distR="0">
            <wp:extent cx="6248409" cy="2203497"/>
            <wp:effectExtent l="0" t="0" r="0" b="0"/>
            <wp:docPr id="106" name="IM 106"/>
            <wp:cNvGraphicFramePr/>
            <a:graphic>
              <a:graphicData uri="http://schemas.openxmlformats.org/drawingml/2006/picture">
                <pic:pic>
                  <pic:nvPicPr>
                    <pic:cNvPr id="106" name="IM 106"/>
                    <pic:cNvPicPr/>
                  </pic:nvPicPr>
                  <pic:blipFill>
                    <a:blip r:embed="rId75"/>
                    <a:stretch>
                      <a:fillRect/>
                    </a:stretch>
                  </pic:blipFill>
                  <pic:spPr>
                    <a:xfrm rot="0">
                      <a:off x="0" y="0"/>
                      <a:ext cx="6248409" cy="2203497"/>
                    </a:xfrm>
                    <a:prstGeom prst="rect">
                      <a:avLst/>
                    </a:prstGeom>
                  </pic:spPr>
                </pic:pic>
              </a:graphicData>
            </a:graphic>
          </wp:inline>
        </w:drawing>
      </w:r>
    </w:p>
    <w:p>
      <w:pPr>
        <w:pStyle w:val="BodyText"/>
        <w:ind w:left="4299"/>
        <w:spacing w:before="110" w:line="219" w:lineRule="auto"/>
        <w:rPr>
          <w:sz w:val="24"/>
          <w:szCs w:val="24"/>
        </w:rPr>
      </w:pPr>
      <w:r>
        <w:rPr>
          <w:sz w:val="24"/>
          <w:szCs w:val="24"/>
          <w:spacing w:val="4"/>
        </w:rPr>
        <w:t>图2-5-1支撑示意图</w:t>
      </w:r>
    </w:p>
    <w:p>
      <w:pPr>
        <w:spacing w:line="219" w:lineRule="auto"/>
        <w:sectPr>
          <w:footerReference w:type="default" r:id="rId74"/>
          <w:pgSz w:w="14490" w:h="20470"/>
          <w:pgMar w:top="1739" w:right="1974" w:bottom="1398" w:left="2150" w:header="0" w:footer="1219" w:gutter="0"/>
        </w:sectPr>
        <w:rPr>
          <w:sz w:val="24"/>
          <w:szCs w:val="24"/>
        </w:rPr>
      </w:pPr>
    </w:p>
    <w:p>
      <w:pPr>
        <w:spacing w:before="170" w:line="222" w:lineRule="auto"/>
        <w:outlineLvl w:val="1"/>
        <w:rPr>
          <w:rFonts w:ascii="SimHei" w:hAnsi="SimHei" w:eastAsia="SimHei" w:cs="SimHei"/>
          <w:sz w:val="29"/>
          <w:szCs w:val="29"/>
        </w:rPr>
      </w:pPr>
      <w:bookmarkStart w:name="bookmark85" w:id="15"/>
      <w:bookmarkEnd w:id="15"/>
      <w:bookmarkStart w:name="bookmark9" w:id="16"/>
      <w:bookmarkEnd w:id="16"/>
      <w:r>
        <w:rPr>
          <w:rFonts w:ascii="SimHei" w:hAnsi="SimHei" w:eastAsia="SimHei" w:cs="SimHei"/>
          <w:sz w:val="29"/>
          <w:szCs w:val="29"/>
          <w:spacing w:val="3"/>
        </w:rPr>
        <w:t>六、树洞、伤口保护</w:t>
      </w:r>
    </w:p>
    <w:p>
      <w:pPr>
        <w:pStyle w:val="BodyText"/>
        <w:ind w:left="600"/>
        <w:spacing w:before="173" w:line="223"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树洞处理</w:t>
      </w:r>
    </w:p>
    <w:p>
      <w:pPr>
        <w:pStyle w:val="BodyText"/>
        <w:ind w:right="155" w:firstLine="600"/>
        <w:spacing w:before="89" w:line="317" w:lineRule="auto"/>
        <w:rPr>
          <w:sz w:val="29"/>
          <w:szCs w:val="29"/>
        </w:rPr>
      </w:pPr>
      <w:r>
        <w:rPr>
          <w:sz w:val="29"/>
          <w:szCs w:val="29"/>
          <w:spacing w:val="-1"/>
        </w:rPr>
        <w:t>因各种原因造成的伤口长久不愈合，长期外露的木质部受雨水浸渍，逐</w:t>
      </w:r>
      <w:r>
        <w:rPr>
          <w:sz w:val="29"/>
          <w:szCs w:val="29"/>
          <w:spacing w:val="-2"/>
        </w:rPr>
        <w:t>渐腐</w:t>
      </w:r>
      <w:r>
        <w:rPr>
          <w:sz w:val="29"/>
          <w:szCs w:val="29"/>
        </w:rPr>
        <w:t xml:space="preserve"> </w:t>
      </w:r>
      <w:r>
        <w:rPr>
          <w:sz w:val="29"/>
          <w:szCs w:val="29"/>
          <w:spacing w:val="-16"/>
        </w:rPr>
        <w:t>烂，形成树洞，严重时树干内部中空，树皮破裂。由于树干的木质部及髓部腐烂，输</w:t>
      </w:r>
      <w:r>
        <w:rPr>
          <w:sz w:val="29"/>
          <w:szCs w:val="29"/>
          <w:spacing w:val="11"/>
        </w:rPr>
        <w:t xml:space="preserve"> </w:t>
      </w:r>
      <w:r>
        <w:rPr>
          <w:sz w:val="29"/>
          <w:szCs w:val="29"/>
        </w:rPr>
        <w:t>导组织遭到破坏，因而影响水分和养分的运输及贮存，严重削弱树势，影响景观</w:t>
      </w:r>
      <w:r>
        <w:rPr>
          <w:sz w:val="29"/>
          <w:szCs w:val="29"/>
          <w:spacing w:val="3"/>
        </w:rPr>
        <w:t xml:space="preserve"> </w:t>
      </w:r>
      <w:r>
        <w:rPr>
          <w:sz w:val="29"/>
          <w:szCs w:val="29"/>
          <w:spacing w:val="-11"/>
        </w:rPr>
        <w:t>效果，甚至导致树木死亡。常见树洞处理方式有3种：</w:t>
      </w:r>
    </w:p>
    <w:p>
      <w:pPr>
        <w:pStyle w:val="BodyText"/>
        <w:ind w:left="730"/>
        <w:spacing w:before="1" w:line="220" w:lineRule="auto"/>
        <w:rPr>
          <w:sz w:val="29"/>
          <w:szCs w:val="29"/>
        </w:rPr>
      </w:pPr>
      <w:r>
        <w:rPr>
          <w:sz w:val="29"/>
          <w:szCs w:val="29"/>
          <w:spacing w:val="-3"/>
        </w:rPr>
        <w:t>(1)</w:t>
      </w:r>
      <w:r>
        <w:rPr>
          <w:sz w:val="29"/>
          <w:szCs w:val="29"/>
          <w:spacing w:val="67"/>
        </w:rPr>
        <w:t xml:space="preserve"> </w:t>
      </w:r>
      <w:r>
        <w:rPr>
          <w:sz w:val="29"/>
          <w:szCs w:val="29"/>
          <w:spacing w:val="-3"/>
        </w:rPr>
        <w:t>开放法</w:t>
      </w:r>
    </w:p>
    <w:p>
      <w:pPr>
        <w:pStyle w:val="BodyText"/>
        <w:ind w:firstLine="600"/>
        <w:spacing w:before="147" w:line="311" w:lineRule="auto"/>
        <w:rPr>
          <w:sz w:val="29"/>
          <w:szCs w:val="29"/>
        </w:rPr>
      </w:pPr>
      <w:r>
        <w:rPr>
          <w:sz w:val="29"/>
          <w:szCs w:val="29"/>
          <w:spacing w:val="-5"/>
        </w:rPr>
        <w:t>如果树洞不深或树洞很大，给人以奇特之感，欲留做观赏时可采用此法。方法</w:t>
      </w:r>
      <w:r>
        <w:rPr>
          <w:sz w:val="29"/>
          <w:szCs w:val="29"/>
          <w:spacing w:val="18"/>
        </w:rPr>
        <w:t xml:space="preserve"> </w:t>
      </w:r>
      <w:r>
        <w:rPr>
          <w:sz w:val="29"/>
          <w:szCs w:val="29"/>
          <w:spacing w:val="-4"/>
        </w:rPr>
        <w:t>是将洞内腐烂木质部彻底清除，刮去洞口边缘的死组织，直至露出新的组织为止，</w:t>
      </w:r>
      <w:r>
        <w:rPr>
          <w:sz w:val="29"/>
          <w:szCs w:val="29"/>
          <w:spacing w:val="12"/>
        </w:rPr>
        <w:t xml:space="preserve"> </w:t>
      </w:r>
      <w:r>
        <w:rPr>
          <w:sz w:val="29"/>
          <w:szCs w:val="29"/>
          <w:spacing w:val="-4"/>
        </w:rPr>
        <w:t>用药剂消毒并涂防护剂。同时改变洞形，以利排水</w:t>
      </w:r>
      <w:r>
        <w:rPr>
          <w:sz w:val="29"/>
          <w:szCs w:val="29"/>
          <w:spacing w:val="-5"/>
        </w:rPr>
        <w:t>，也可以在树洞最下端插入排水</w:t>
      </w:r>
      <w:r>
        <w:rPr>
          <w:sz w:val="29"/>
          <w:szCs w:val="29"/>
        </w:rPr>
        <w:t xml:space="preserve"> </w:t>
      </w:r>
      <w:r>
        <w:rPr>
          <w:sz w:val="29"/>
          <w:szCs w:val="29"/>
          <w:spacing w:val="-12"/>
        </w:rPr>
        <w:t>管。以后需经常检查防水层和排水情况，防护剂每隔半年左右重涂1次。</w:t>
      </w:r>
    </w:p>
    <w:p>
      <w:pPr>
        <w:pStyle w:val="BodyText"/>
        <w:ind w:left="730"/>
        <w:spacing w:before="13" w:line="221" w:lineRule="auto"/>
        <w:rPr>
          <w:sz w:val="29"/>
          <w:szCs w:val="29"/>
        </w:rPr>
      </w:pPr>
      <w:r>
        <w:rPr>
          <w:sz w:val="29"/>
          <w:szCs w:val="29"/>
          <w:spacing w:val="-4"/>
        </w:rPr>
        <w:t>(2)</w:t>
      </w:r>
      <w:r>
        <w:rPr>
          <w:sz w:val="29"/>
          <w:szCs w:val="29"/>
          <w:spacing w:val="73"/>
        </w:rPr>
        <w:t xml:space="preserve"> </w:t>
      </w:r>
      <w:r>
        <w:rPr>
          <w:sz w:val="29"/>
          <w:szCs w:val="29"/>
          <w:spacing w:val="-4"/>
        </w:rPr>
        <w:t>封闭法</w:t>
      </w:r>
    </w:p>
    <w:p>
      <w:pPr>
        <w:pStyle w:val="BodyText"/>
        <w:ind w:right="296" w:firstLine="600"/>
        <w:spacing w:before="117" w:line="317" w:lineRule="auto"/>
        <w:rPr>
          <w:sz w:val="29"/>
          <w:szCs w:val="29"/>
        </w:rPr>
      </w:pPr>
      <w:r>
        <w:rPr>
          <w:sz w:val="29"/>
          <w:szCs w:val="29"/>
        </w:rPr>
        <w:t>树洞经处理消毒后，在洞口表面钉上板条，以</w:t>
      </w:r>
      <w:r>
        <w:rPr>
          <w:sz w:val="29"/>
          <w:szCs w:val="29"/>
          <w:spacing w:val="-1"/>
        </w:rPr>
        <w:t>油灰和麻刀灰封闭(油灰是用</w:t>
      </w:r>
      <w:r>
        <w:rPr>
          <w:sz w:val="29"/>
          <w:szCs w:val="29"/>
        </w:rPr>
        <w:t xml:space="preserve"> </w:t>
      </w:r>
      <w:r>
        <w:rPr>
          <w:sz w:val="29"/>
          <w:szCs w:val="29"/>
          <w:spacing w:val="-10"/>
        </w:rPr>
        <w:t>生石灰和熟桐油以1:0.35混合而成),再涂以白灰乳胶，颜料粉面，以增</w:t>
      </w:r>
      <w:r>
        <w:rPr>
          <w:sz w:val="29"/>
          <w:szCs w:val="29"/>
          <w:spacing w:val="-11"/>
        </w:rPr>
        <w:t>加美观，</w:t>
      </w:r>
    </w:p>
    <w:p>
      <w:pPr>
        <w:pStyle w:val="BodyText"/>
        <w:spacing w:before="6" w:line="219" w:lineRule="auto"/>
        <w:rPr>
          <w:sz w:val="29"/>
          <w:szCs w:val="29"/>
        </w:rPr>
      </w:pPr>
      <w:r>
        <w:rPr>
          <w:sz w:val="29"/>
          <w:szCs w:val="29"/>
        </w:rPr>
        <w:t>还可以在上面压树皮状纹或钉上1层真树皮。</w:t>
      </w:r>
    </w:p>
    <w:p>
      <w:pPr>
        <w:pStyle w:val="BodyText"/>
        <w:ind w:left="730"/>
        <w:spacing w:before="166" w:line="220" w:lineRule="auto"/>
        <w:rPr>
          <w:sz w:val="27"/>
          <w:szCs w:val="27"/>
        </w:rPr>
      </w:pPr>
      <w:r>
        <w:rPr>
          <w:sz w:val="27"/>
          <w:szCs w:val="27"/>
          <w:spacing w:val="-19"/>
        </w:rPr>
        <w:t>(</w:t>
      </w:r>
      <w:r>
        <w:rPr>
          <w:sz w:val="27"/>
          <w:szCs w:val="27"/>
          <w:spacing w:val="-56"/>
        </w:rPr>
        <w:t xml:space="preserve"> </w:t>
      </w:r>
      <w:r>
        <w:rPr>
          <w:sz w:val="27"/>
          <w:szCs w:val="27"/>
          <w:spacing w:val="-19"/>
        </w:rPr>
        <w:t>3</w:t>
      </w:r>
      <w:r>
        <w:rPr>
          <w:sz w:val="27"/>
          <w:szCs w:val="27"/>
          <w:spacing w:val="-61"/>
        </w:rPr>
        <w:t xml:space="preserve"> </w:t>
      </w:r>
      <w:r>
        <w:rPr>
          <w:sz w:val="27"/>
          <w:szCs w:val="27"/>
          <w:spacing w:val="-19"/>
        </w:rPr>
        <w:t>)</w:t>
      </w:r>
      <w:r>
        <w:rPr>
          <w:sz w:val="27"/>
          <w:szCs w:val="27"/>
          <w:spacing w:val="-60"/>
        </w:rPr>
        <w:t xml:space="preserve"> </w:t>
      </w:r>
      <w:r>
        <w:rPr>
          <w:sz w:val="27"/>
          <w:szCs w:val="27"/>
          <w:spacing w:val="-19"/>
        </w:rPr>
        <w:t>填</w:t>
      </w:r>
      <w:r>
        <w:rPr>
          <w:sz w:val="27"/>
          <w:szCs w:val="27"/>
          <w:spacing w:val="-59"/>
        </w:rPr>
        <w:t xml:space="preserve"> </w:t>
      </w:r>
      <w:r>
        <w:rPr>
          <w:sz w:val="27"/>
          <w:szCs w:val="27"/>
          <w:spacing w:val="-19"/>
        </w:rPr>
        <w:t>充</w:t>
      </w:r>
      <w:r>
        <w:rPr>
          <w:sz w:val="27"/>
          <w:szCs w:val="27"/>
          <w:spacing w:val="-60"/>
        </w:rPr>
        <w:t xml:space="preserve"> </w:t>
      </w:r>
      <w:r>
        <w:rPr>
          <w:sz w:val="27"/>
          <w:szCs w:val="27"/>
          <w:spacing w:val="-19"/>
        </w:rPr>
        <w:t>法</w:t>
      </w:r>
    </w:p>
    <w:p>
      <w:pPr>
        <w:pStyle w:val="BodyText"/>
        <w:ind w:right="139" w:firstLine="600"/>
        <w:spacing w:before="161" w:line="311" w:lineRule="auto"/>
        <w:rPr>
          <w:sz w:val="29"/>
          <w:szCs w:val="29"/>
        </w:rPr>
      </w:pPr>
      <w:r>
        <w:rPr>
          <w:sz w:val="29"/>
          <w:szCs w:val="29"/>
          <w:spacing w:val="-1"/>
        </w:rPr>
        <w:t>填充物最好是水泥和小石砾的混合物，如无水泥，也可就地取材。填充材料</w:t>
      </w:r>
      <w:r>
        <w:rPr>
          <w:sz w:val="29"/>
          <w:szCs w:val="29"/>
          <w:spacing w:val="18"/>
        </w:rPr>
        <w:t xml:space="preserve"> </w:t>
      </w:r>
      <w:r>
        <w:rPr>
          <w:sz w:val="29"/>
          <w:szCs w:val="29"/>
          <w:spacing w:val="-8"/>
        </w:rPr>
        <w:t>必须压实，为加强填料与木质部连接，洞内可钉铁钉，并在洞口内两侧挖一道深约</w:t>
      </w:r>
      <w:r>
        <w:rPr>
          <w:sz w:val="29"/>
          <w:szCs w:val="29"/>
          <w:spacing w:val="12"/>
        </w:rPr>
        <w:t xml:space="preserve"> </w:t>
      </w:r>
      <w:r>
        <w:rPr>
          <w:sz w:val="29"/>
          <w:szCs w:val="29"/>
          <w:spacing w:val="-5"/>
        </w:rPr>
        <w:t>4</w:t>
      </w:r>
      <w:r>
        <w:rPr>
          <w:rFonts w:ascii="Times New Roman" w:hAnsi="Times New Roman" w:eastAsia="Times New Roman" w:cs="Times New Roman"/>
          <w:sz w:val="29"/>
          <w:szCs w:val="29"/>
          <w:spacing w:val="-5"/>
        </w:rPr>
        <w:t>cm</w:t>
      </w:r>
      <w:r>
        <w:rPr>
          <w:rFonts w:ascii="Times New Roman" w:hAnsi="Times New Roman" w:eastAsia="Times New Roman" w:cs="Times New Roman"/>
          <w:sz w:val="29"/>
          <w:szCs w:val="29"/>
          <w:spacing w:val="-19"/>
        </w:rPr>
        <w:t xml:space="preserve"> </w:t>
      </w:r>
      <w:r>
        <w:rPr>
          <w:sz w:val="29"/>
          <w:szCs w:val="29"/>
          <w:spacing w:val="-5"/>
        </w:rPr>
        <w:t>的凹槽，填充物从底部开始，每20—25</w:t>
      </w:r>
      <w:r>
        <w:rPr>
          <w:rFonts w:ascii="Times New Roman" w:hAnsi="Times New Roman" w:eastAsia="Times New Roman" w:cs="Times New Roman"/>
          <w:sz w:val="29"/>
          <w:szCs w:val="29"/>
          <w:spacing w:val="-5"/>
        </w:rPr>
        <w:t>cm</w:t>
      </w:r>
      <w:r>
        <w:rPr>
          <w:rFonts w:ascii="Times New Roman" w:hAnsi="Times New Roman" w:eastAsia="Times New Roman" w:cs="Times New Roman"/>
          <w:sz w:val="29"/>
          <w:szCs w:val="29"/>
          <w:spacing w:val="-36"/>
        </w:rPr>
        <w:t xml:space="preserve"> </w:t>
      </w:r>
      <w:r>
        <w:rPr>
          <w:sz w:val="29"/>
          <w:szCs w:val="29"/>
          <w:spacing w:val="-5"/>
        </w:rPr>
        <w:t>为1层，用油毡隔开，每层表面都向</w:t>
      </w:r>
      <w:r>
        <w:rPr>
          <w:sz w:val="29"/>
          <w:szCs w:val="29"/>
        </w:rPr>
        <w:t xml:space="preserve"> </w:t>
      </w:r>
      <w:r>
        <w:rPr>
          <w:sz w:val="29"/>
          <w:szCs w:val="29"/>
          <w:spacing w:val="-8"/>
        </w:rPr>
        <w:t>外略斜，以利排水，填充物边缘应不超出木质部，使形成层能在它上面形</w:t>
      </w:r>
      <w:r>
        <w:rPr>
          <w:sz w:val="29"/>
          <w:szCs w:val="29"/>
          <w:spacing w:val="-9"/>
        </w:rPr>
        <w:t>成愈伤组</w:t>
      </w:r>
      <w:r>
        <w:rPr>
          <w:sz w:val="29"/>
          <w:szCs w:val="29"/>
        </w:rPr>
        <w:t xml:space="preserve"> </w:t>
      </w:r>
      <w:r>
        <w:rPr>
          <w:sz w:val="29"/>
          <w:szCs w:val="29"/>
          <w:spacing w:val="-8"/>
        </w:rPr>
        <w:t>织。外层用石灰、乳胶、颜色粉涂抹，为了增加美观，富有真实感，在最外面钉一</w:t>
      </w:r>
      <w:r>
        <w:rPr>
          <w:sz w:val="29"/>
          <w:szCs w:val="29"/>
          <w:spacing w:val="2"/>
        </w:rPr>
        <w:t xml:space="preserve"> </w:t>
      </w:r>
      <w:r>
        <w:rPr>
          <w:sz w:val="29"/>
          <w:szCs w:val="29"/>
          <w:spacing w:val="-3"/>
        </w:rPr>
        <w:t>层真树皮。</w:t>
      </w:r>
    </w:p>
    <w:p>
      <w:pPr>
        <w:pStyle w:val="BodyText"/>
        <w:ind w:left="600"/>
        <w:spacing w:before="67" w:line="223" w:lineRule="auto"/>
        <w:rPr>
          <w:rFonts w:ascii="SimHei" w:hAnsi="SimHei" w:eastAsia="SimHei" w:cs="SimHei"/>
          <w:sz w:val="29"/>
          <w:szCs w:val="29"/>
        </w:rPr>
      </w:pPr>
      <w:r>
        <w:rPr>
          <w:rFonts w:ascii="Arial" w:hAnsi="Arial" w:eastAsia="Arial" w:cs="Arial"/>
          <w:sz w:val="29"/>
          <w:szCs w:val="29"/>
          <w:spacing w:val="-2"/>
        </w:rPr>
        <w:t>2</w:t>
      </w:r>
      <w:r>
        <w:rPr>
          <w:sz w:val="29"/>
          <w:szCs w:val="29"/>
          <w:spacing w:val="-2"/>
        </w:rPr>
        <w:t>、</w:t>
      </w:r>
      <w:r>
        <w:rPr>
          <w:rFonts w:ascii="SimHei" w:hAnsi="SimHei" w:eastAsia="SimHei" w:cs="SimHei"/>
          <w:sz w:val="29"/>
          <w:szCs w:val="29"/>
          <w:spacing w:val="-2"/>
        </w:rPr>
        <w:t>伤口处理</w:t>
      </w:r>
    </w:p>
    <w:p>
      <w:pPr>
        <w:pStyle w:val="BodyText"/>
        <w:ind w:right="148" w:firstLine="730"/>
        <w:spacing w:before="97" w:line="310" w:lineRule="auto"/>
        <w:rPr>
          <w:sz w:val="29"/>
          <w:szCs w:val="29"/>
        </w:rPr>
      </w:pPr>
      <w:r>
        <w:rPr>
          <w:sz w:val="29"/>
          <w:szCs w:val="29"/>
          <w:spacing w:val="2"/>
        </w:rPr>
        <w:t>(1)</w:t>
      </w:r>
      <w:r>
        <w:rPr>
          <w:sz w:val="29"/>
          <w:szCs w:val="29"/>
          <w:spacing w:val="92"/>
        </w:rPr>
        <w:t xml:space="preserve"> </w:t>
      </w:r>
      <w:r>
        <w:rPr>
          <w:sz w:val="29"/>
          <w:szCs w:val="29"/>
          <w:spacing w:val="2"/>
        </w:rPr>
        <w:t>对枝干上因病、虫，冻、日灼或修剪等造成的伤口</w:t>
      </w:r>
      <w:r>
        <w:rPr>
          <w:sz w:val="29"/>
          <w:szCs w:val="29"/>
          <w:spacing w:val="1"/>
        </w:rPr>
        <w:t>，首先应当用锋利</w:t>
      </w:r>
      <w:r>
        <w:rPr>
          <w:sz w:val="29"/>
          <w:szCs w:val="29"/>
        </w:rPr>
        <w:t xml:space="preserve"> </w:t>
      </w:r>
      <w:r>
        <w:rPr>
          <w:sz w:val="29"/>
          <w:szCs w:val="29"/>
          <w:spacing w:val="12"/>
        </w:rPr>
        <w:t>的刀刮净削平四周，使皮层边缘呈弧形，然后用药剂(2%—5%硫酸铜液，或石</w:t>
      </w:r>
      <w:r>
        <w:rPr>
          <w:sz w:val="29"/>
          <w:szCs w:val="29"/>
          <w:spacing w:val="6"/>
        </w:rPr>
        <w:t xml:space="preserve"> </w:t>
      </w:r>
      <w:r>
        <w:rPr>
          <w:sz w:val="29"/>
          <w:szCs w:val="29"/>
          <w:spacing w:val="4"/>
        </w:rPr>
        <w:t>硫合剂原液)消毒。修剪造成的伤口，应将伤口削平然后涂以保护剂，选用的保</w:t>
      </w:r>
      <w:r>
        <w:rPr>
          <w:sz w:val="29"/>
          <w:szCs w:val="29"/>
          <w:spacing w:val="3"/>
        </w:rPr>
        <w:t xml:space="preserve"> </w:t>
      </w:r>
      <w:r>
        <w:rPr>
          <w:sz w:val="29"/>
          <w:szCs w:val="29"/>
          <w:spacing w:val="-8"/>
        </w:rPr>
        <w:t>护剂要求容易涂抹，黏着性好，受热不融化，不透雨水，不腐蚀树体组织，同时又</w:t>
      </w:r>
      <w:r>
        <w:rPr>
          <w:sz w:val="29"/>
          <w:szCs w:val="29"/>
        </w:rPr>
        <w:t xml:space="preserve"> </w:t>
      </w:r>
      <w:r>
        <w:rPr>
          <w:sz w:val="29"/>
          <w:szCs w:val="29"/>
          <w:spacing w:val="-9"/>
        </w:rPr>
        <w:t>有防腐消毒的作用，如铅油、接蜡等均可。大量应用时也可用黏土加少量的石硫合</w:t>
      </w:r>
      <w:r>
        <w:rPr>
          <w:sz w:val="29"/>
          <w:szCs w:val="29"/>
          <w:spacing w:val="5"/>
        </w:rPr>
        <w:t xml:space="preserve"> </w:t>
      </w:r>
      <w:r>
        <w:rPr>
          <w:sz w:val="29"/>
          <w:szCs w:val="29"/>
          <w:spacing w:val="22"/>
        </w:rPr>
        <w:t>剂的混合物作为涂抹剂，如用激素涂剂对伤口的愈合更有利，用含有</w:t>
      </w:r>
    </w:p>
    <w:p>
      <w:pPr>
        <w:pStyle w:val="BodyText"/>
        <w:spacing w:before="8" w:line="219" w:lineRule="auto"/>
        <w:rPr>
          <w:sz w:val="29"/>
          <w:szCs w:val="29"/>
        </w:rPr>
      </w:pPr>
      <w:r>
        <w:rPr>
          <w:sz w:val="29"/>
          <w:szCs w:val="29"/>
        </w:rPr>
        <w:t>0.01%—0.1%的α-萘乙酸膏涂在伤口表面，可促</w:t>
      </w:r>
      <w:r>
        <w:rPr>
          <w:sz w:val="29"/>
          <w:szCs w:val="29"/>
          <w:spacing w:val="-1"/>
        </w:rPr>
        <w:t>进伤口愈合。</w:t>
      </w:r>
    </w:p>
    <w:p>
      <w:pPr>
        <w:pStyle w:val="BodyText"/>
        <w:ind w:right="238" w:firstLine="730"/>
        <w:spacing w:before="157" w:line="320" w:lineRule="auto"/>
        <w:rPr>
          <w:sz w:val="29"/>
          <w:szCs w:val="29"/>
        </w:rPr>
      </w:pPr>
      <w:r>
        <w:rPr>
          <w:sz w:val="29"/>
          <w:szCs w:val="29"/>
          <w:spacing w:val="6"/>
        </w:rPr>
        <w:t>(2)由于风折使树木枝干折裂，应立即用绳索捆缚加固，然后消毒涂保护</w:t>
      </w:r>
      <w:r>
        <w:rPr>
          <w:sz w:val="29"/>
          <w:szCs w:val="29"/>
          <w:spacing w:val="7"/>
        </w:rPr>
        <w:t xml:space="preserve"> </w:t>
      </w:r>
      <w:r>
        <w:rPr>
          <w:sz w:val="29"/>
          <w:szCs w:val="29"/>
          <w:spacing w:val="1"/>
        </w:rPr>
        <w:t>剂。由于雷击使枝干受伤的树木，应将烧伤部位锯除并涂保护剂。</w:t>
      </w:r>
    </w:p>
    <w:p>
      <w:pPr>
        <w:spacing w:line="320" w:lineRule="auto"/>
        <w:sectPr>
          <w:footerReference w:type="default" r:id="rId76"/>
          <w:pgSz w:w="14490" w:h="20470"/>
          <w:pgMar w:top="1739" w:right="2030" w:bottom="1433" w:left="2150" w:header="0" w:footer="1234" w:gutter="0"/>
        </w:sectPr>
        <w:rPr>
          <w:sz w:val="29"/>
          <w:szCs w:val="29"/>
        </w:rPr>
      </w:pPr>
    </w:p>
    <w:p>
      <w:pPr>
        <w:ind w:firstLine="199"/>
        <w:spacing w:before="20" w:line="3679" w:lineRule="exact"/>
        <w:rPr/>
      </w:pPr>
      <w:r>
        <w:drawing>
          <wp:anchor distT="0" distB="0" distL="0" distR="0" simplePos="0" relativeHeight="251722752" behindDoc="0" locked="0" layoutInCell="0" allowOverlap="1">
            <wp:simplePos x="0" y="0"/>
            <wp:positionH relativeFrom="page">
              <wp:posOffset>4616493</wp:posOffset>
            </wp:positionH>
            <wp:positionV relativeFrom="page">
              <wp:posOffset>1066782</wp:posOffset>
            </wp:positionV>
            <wp:extent cx="3035275" cy="2343230"/>
            <wp:effectExtent l="0" t="0" r="0" b="0"/>
            <wp:wrapNone/>
            <wp:docPr id="108" name="IM 108"/>
            <wp:cNvGraphicFramePr/>
            <a:graphic>
              <a:graphicData uri="http://schemas.openxmlformats.org/drawingml/2006/picture">
                <pic:pic>
                  <pic:nvPicPr>
                    <pic:cNvPr id="108" name="IM 108"/>
                    <pic:cNvPicPr/>
                  </pic:nvPicPr>
                  <pic:blipFill>
                    <a:blip r:embed="rId78"/>
                    <a:stretch>
                      <a:fillRect/>
                    </a:stretch>
                  </pic:blipFill>
                  <pic:spPr>
                    <a:xfrm rot="0">
                      <a:off x="0" y="0"/>
                      <a:ext cx="3035275" cy="2343230"/>
                    </a:xfrm>
                    <a:prstGeom prst="rect">
                      <a:avLst/>
                    </a:prstGeom>
                  </pic:spPr>
                </pic:pic>
              </a:graphicData>
            </a:graphic>
          </wp:anchor>
        </w:drawing>
      </w:r>
      <w:r>
        <w:rPr>
          <w:position w:val="-73"/>
        </w:rPr>
        <w:drawing>
          <wp:inline distT="0" distB="0" distL="0" distR="0">
            <wp:extent cx="2927345" cy="2336731"/>
            <wp:effectExtent l="0" t="0" r="0" b="0"/>
            <wp:docPr id="110" name="IM 110"/>
            <wp:cNvGraphicFramePr/>
            <a:graphic>
              <a:graphicData uri="http://schemas.openxmlformats.org/drawingml/2006/picture">
                <pic:pic>
                  <pic:nvPicPr>
                    <pic:cNvPr id="110" name="IM 110"/>
                    <pic:cNvPicPr/>
                  </pic:nvPicPr>
                  <pic:blipFill>
                    <a:blip r:embed="rId79"/>
                    <a:stretch>
                      <a:fillRect/>
                    </a:stretch>
                  </pic:blipFill>
                  <pic:spPr>
                    <a:xfrm rot="0">
                      <a:off x="0" y="0"/>
                      <a:ext cx="2927345" cy="2336731"/>
                    </a:xfrm>
                    <a:prstGeom prst="rect">
                      <a:avLst/>
                    </a:prstGeom>
                  </pic:spPr>
                </pic:pic>
              </a:graphicData>
            </a:graphic>
          </wp:inline>
        </w:drawing>
      </w:r>
    </w:p>
    <w:p>
      <w:pPr>
        <w:pStyle w:val="BodyText"/>
        <w:ind w:left="3509"/>
        <w:spacing w:before="180" w:line="219" w:lineRule="auto"/>
        <w:rPr>
          <w:sz w:val="24"/>
          <w:szCs w:val="24"/>
        </w:rPr>
      </w:pPr>
      <w:r>
        <w:rPr>
          <w:sz w:val="24"/>
          <w:szCs w:val="24"/>
          <w:spacing w:val="8"/>
        </w:rPr>
        <w:t>图2-6-1伤口及树洞处理标准</w:t>
      </w:r>
    </w:p>
    <w:p>
      <w:pPr>
        <w:spacing w:before="154" w:line="221" w:lineRule="auto"/>
        <w:outlineLvl w:val="1"/>
        <w:rPr>
          <w:rFonts w:ascii="SimHei" w:hAnsi="SimHei" w:eastAsia="SimHei" w:cs="SimHei"/>
          <w:sz w:val="29"/>
          <w:szCs w:val="29"/>
        </w:rPr>
      </w:pPr>
      <w:bookmarkStart w:name="bookmark86" w:id="17"/>
      <w:bookmarkEnd w:id="17"/>
      <w:bookmarkStart w:name="bookmark10" w:id="18"/>
      <w:bookmarkEnd w:id="18"/>
      <w:r>
        <w:rPr>
          <w:rFonts w:ascii="SimHei" w:hAnsi="SimHei" w:eastAsia="SimHei" w:cs="SimHei"/>
          <w:sz w:val="29"/>
          <w:szCs w:val="29"/>
          <w:spacing w:val="4"/>
        </w:rPr>
        <w:t>七、环境灾害防护措施</w:t>
      </w:r>
    </w:p>
    <w:p>
      <w:pPr>
        <w:spacing w:before="178" w:line="221" w:lineRule="auto"/>
        <w:rPr>
          <w:rFonts w:ascii="SimHei" w:hAnsi="SimHei" w:eastAsia="SimHei" w:cs="SimHei"/>
          <w:sz w:val="27"/>
          <w:szCs w:val="27"/>
        </w:rPr>
      </w:pPr>
      <w:r>
        <w:rPr>
          <w:rFonts w:ascii="SimHei" w:hAnsi="SimHei" w:eastAsia="SimHei" w:cs="SimHei"/>
          <w:sz w:val="27"/>
          <w:szCs w:val="27"/>
          <w:spacing w:val="-14"/>
        </w:rPr>
        <w:t>1、</w:t>
      </w:r>
      <w:r>
        <w:rPr>
          <w:rFonts w:ascii="SimHei" w:hAnsi="SimHei" w:eastAsia="SimHei" w:cs="SimHei"/>
          <w:sz w:val="27"/>
          <w:szCs w:val="27"/>
          <w:spacing w:val="-72"/>
        </w:rPr>
        <w:t xml:space="preserve"> </w:t>
      </w:r>
      <w:r>
        <w:rPr>
          <w:rFonts w:ascii="SimHei" w:hAnsi="SimHei" w:eastAsia="SimHei" w:cs="SimHei"/>
          <w:sz w:val="27"/>
          <w:szCs w:val="27"/>
          <w:b/>
          <w:bCs/>
          <w:spacing w:val="-14"/>
        </w:rPr>
        <w:t>防</w:t>
      </w:r>
      <w:r>
        <w:rPr>
          <w:rFonts w:ascii="SimHei" w:hAnsi="SimHei" w:eastAsia="SimHei" w:cs="SimHei"/>
          <w:sz w:val="27"/>
          <w:szCs w:val="27"/>
          <w:spacing w:val="-46"/>
        </w:rPr>
        <w:t xml:space="preserve"> </w:t>
      </w:r>
      <w:r>
        <w:rPr>
          <w:rFonts w:ascii="SimHei" w:hAnsi="SimHei" w:eastAsia="SimHei" w:cs="SimHei"/>
          <w:sz w:val="27"/>
          <w:szCs w:val="27"/>
          <w:b/>
          <w:bCs/>
          <w:spacing w:val="-14"/>
        </w:rPr>
        <w:t>寒</w:t>
      </w:r>
    </w:p>
    <w:p>
      <w:pPr>
        <w:pStyle w:val="BodyText"/>
        <w:ind w:left="590"/>
        <w:spacing w:before="164" w:line="220" w:lineRule="auto"/>
        <w:rPr>
          <w:sz w:val="29"/>
          <w:szCs w:val="29"/>
        </w:rPr>
      </w:pPr>
      <w:r>
        <w:rPr>
          <w:sz w:val="29"/>
          <w:szCs w:val="29"/>
          <w:spacing w:val="-2"/>
        </w:rPr>
        <w:t>1) 苗木受寒</w:t>
      </w:r>
    </w:p>
    <w:p>
      <w:pPr>
        <w:pStyle w:val="BodyText"/>
        <w:ind w:left="590"/>
        <w:spacing w:before="144" w:line="219" w:lineRule="auto"/>
        <w:rPr>
          <w:sz w:val="29"/>
          <w:szCs w:val="29"/>
        </w:rPr>
      </w:pPr>
      <w:r>
        <w:rPr>
          <w:sz w:val="29"/>
          <w:szCs w:val="29"/>
          <w:spacing w:val="-4"/>
        </w:rPr>
        <w:t>为防止冬季严寒对新移植或不耐寒苗木造成冻害，现场管理人员需根据当地</w:t>
      </w:r>
    </w:p>
    <w:p>
      <w:pPr>
        <w:pStyle w:val="BodyText"/>
        <w:spacing w:before="146" w:line="219" w:lineRule="auto"/>
        <w:rPr>
          <w:sz w:val="29"/>
          <w:szCs w:val="29"/>
        </w:rPr>
      </w:pPr>
      <w:r>
        <w:rPr>
          <w:sz w:val="29"/>
          <w:szCs w:val="29"/>
          <w:spacing w:val="-18"/>
        </w:rPr>
        <w:t>的气候特点、园区苗木的特性及种植年限，参照当地和项目往年的有效防寒措施，制</w:t>
      </w:r>
    </w:p>
    <w:p>
      <w:pPr>
        <w:pStyle w:val="BodyText"/>
        <w:spacing w:before="144" w:line="219" w:lineRule="auto"/>
        <w:jc w:val="right"/>
        <w:rPr>
          <w:sz w:val="29"/>
          <w:szCs w:val="29"/>
        </w:rPr>
      </w:pPr>
      <w:r>
        <w:drawing>
          <wp:anchor distT="0" distB="0" distL="0" distR="0" simplePos="0" relativeHeight="251723776" behindDoc="0" locked="0" layoutInCell="1" allowOverlap="1">
            <wp:simplePos x="0" y="0"/>
            <wp:positionH relativeFrom="column">
              <wp:posOffset>539739</wp:posOffset>
            </wp:positionH>
            <wp:positionV relativeFrom="paragraph">
              <wp:posOffset>376687</wp:posOffset>
            </wp:positionV>
            <wp:extent cx="2070074" cy="2609828"/>
            <wp:effectExtent l="0" t="0" r="0" b="0"/>
            <wp:wrapNone/>
            <wp:docPr id="112" name="IM 112"/>
            <wp:cNvGraphicFramePr/>
            <a:graphic>
              <a:graphicData uri="http://schemas.openxmlformats.org/drawingml/2006/picture">
                <pic:pic>
                  <pic:nvPicPr>
                    <pic:cNvPr id="112" name="IM 112"/>
                    <pic:cNvPicPr/>
                  </pic:nvPicPr>
                  <pic:blipFill>
                    <a:blip r:embed="rId80"/>
                    <a:stretch>
                      <a:fillRect/>
                    </a:stretch>
                  </pic:blipFill>
                  <pic:spPr>
                    <a:xfrm rot="0">
                      <a:off x="0" y="0"/>
                      <a:ext cx="2070074" cy="2609828"/>
                    </a:xfrm>
                    <a:prstGeom prst="rect">
                      <a:avLst/>
                    </a:prstGeom>
                  </pic:spPr>
                </pic:pic>
              </a:graphicData>
            </a:graphic>
          </wp:anchor>
        </w:drawing>
      </w:r>
      <w:r>
        <w:rPr>
          <w:sz w:val="29"/>
          <w:szCs w:val="29"/>
          <w:spacing w:val="-5"/>
        </w:rPr>
        <w:t>订详细的防寒方案及具体措施，做好防寒物资材料的准备，合理落实各项防寒工作。</w:t>
      </w:r>
    </w:p>
    <w:p>
      <w:pPr>
        <w:ind w:firstLine="4370"/>
        <w:spacing w:before="126" w:line="4070" w:lineRule="exact"/>
        <w:rPr/>
      </w:pPr>
      <w:r>
        <w:rPr>
          <w:position w:val="-81"/>
        </w:rPr>
        <w:drawing>
          <wp:inline distT="0" distB="0" distL="0" distR="0">
            <wp:extent cx="3403597" cy="2584351"/>
            <wp:effectExtent l="0" t="0" r="0" b="0"/>
            <wp:docPr id="114" name="IM 114"/>
            <wp:cNvGraphicFramePr/>
            <a:graphic>
              <a:graphicData uri="http://schemas.openxmlformats.org/drawingml/2006/picture">
                <pic:pic>
                  <pic:nvPicPr>
                    <pic:cNvPr id="114" name="IM 114"/>
                    <pic:cNvPicPr/>
                  </pic:nvPicPr>
                  <pic:blipFill>
                    <a:blip r:embed="rId81"/>
                    <a:stretch>
                      <a:fillRect/>
                    </a:stretch>
                  </pic:blipFill>
                  <pic:spPr>
                    <a:xfrm rot="0">
                      <a:off x="0" y="0"/>
                      <a:ext cx="3403597" cy="2584351"/>
                    </a:xfrm>
                    <a:prstGeom prst="rect">
                      <a:avLst/>
                    </a:prstGeom>
                  </pic:spPr>
                </pic:pic>
              </a:graphicData>
            </a:graphic>
          </wp:inline>
        </w:drawing>
      </w:r>
    </w:p>
    <w:p>
      <w:pPr>
        <w:pStyle w:val="BodyText"/>
        <w:ind w:left="4189"/>
        <w:spacing w:before="151" w:line="219" w:lineRule="auto"/>
        <w:rPr>
          <w:sz w:val="27"/>
          <w:szCs w:val="27"/>
        </w:rPr>
      </w:pPr>
      <w:r>
        <w:rPr>
          <w:sz w:val="27"/>
          <w:szCs w:val="27"/>
          <w:spacing w:val="-18"/>
        </w:rPr>
        <w:t>图2-7-1植物受寒</w:t>
      </w:r>
    </w:p>
    <w:p>
      <w:pPr>
        <w:pStyle w:val="BodyText"/>
        <w:ind w:left="590"/>
        <w:spacing w:before="171" w:line="220" w:lineRule="auto"/>
        <w:rPr>
          <w:sz w:val="27"/>
          <w:szCs w:val="27"/>
        </w:rPr>
      </w:pPr>
      <w:r>
        <w:rPr>
          <w:sz w:val="27"/>
          <w:szCs w:val="27"/>
          <w:spacing w:val="23"/>
        </w:rPr>
        <w:t>2)</w:t>
      </w:r>
      <w:r>
        <w:rPr>
          <w:sz w:val="27"/>
          <w:szCs w:val="27"/>
          <w:spacing w:val="-73"/>
        </w:rPr>
        <w:t xml:space="preserve"> </w:t>
      </w:r>
      <w:r>
        <w:rPr>
          <w:sz w:val="27"/>
          <w:szCs w:val="27"/>
          <w:spacing w:val="23"/>
        </w:rPr>
        <w:t>一</w:t>
      </w:r>
      <w:r>
        <w:rPr>
          <w:sz w:val="27"/>
          <w:szCs w:val="27"/>
          <w:spacing w:val="-80"/>
        </w:rPr>
        <w:t xml:space="preserve"> </w:t>
      </w:r>
      <w:r>
        <w:rPr>
          <w:sz w:val="27"/>
          <w:szCs w:val="27"/>
          <w:spacing w:val="23"/>
        </w:rPr>
        <w:t>般防寒措施</w:t>
      </w:r>
    </w:p>
    <w:p>
      <w:pPr>
        <w:pStyle w:val="BodyText"/>
        <w:ind w:right="438" w:firstLine="730"/>
        <w:spacing w:before="157" w:line="269" w:lineRule="auto"/>
        <w:rPr>
          <w:sz w:val="29"/>
          <w:szCs w:val="29"/>
        </w:rPr>
      </w:pPr>
      <w:r>
        <w:rPr>
          <w:sz w:val="29"/>
          <w:szCs w:val="29"/>
          <w:spacing w:val="8"/>
        </w:rPr>
        <w:t>(1)防寒计划。根据气候确定防护树种，</w:t>
      </w:r>
      <w:r>
        <w:rPr>
          <w:sz w:val="29"/>
          <w:szCs w:val="29"/>
          <w:spacing w:val="7"/>
        </w:rPr>
        <w:t>在转冷前再一次确认去年越冬时</w:t>
      </w:r>
      <w:r>
        <w:rPr>
          <w:sz w:val="29"/>
          <w:szCs w:val="29"/>
        </w:rPr>
        <w:t xml:space="preserve"> </w:t>
      </w:r>
      <w:r>
        <w:rPr>
          <w:sz w:val="29"/>
          <w:szCs w:val="29"/>
        </w:rPr>
        <w:t>出现问题的植物种类，做好防寒物资计划和具体防寒方案。</w:t>
      </w:r>
    </w:p>
    <w:p>
      <w:pPr>
        <w:pStyle w:val="BodyText"/>
        <w:ind w:right="439" w:firstLine="730"/>
        <w:spacing w:before="167" w:line="262" w:lineRule="auto"/>
        <w:rPr>
          <w:sz w:val="29"/>
          <w:szCs w:val="29"/>
        </w:rPr>
      </w:pPr>
      <w:r>
        <w:rPr>
          <w:sz w:val="29"/>
          <w:szCs w:val="29"/>
          <w:spacing w:val="-1"/>
        </w:rPr>
        <w:t>(2)提高防寒能力。合理安排修剪时期和修剪量，使树木枝</w:t>
      </w:r>
      <w:r>
        <w:rPr>
          <w:sz w:val="29"/>
          <w:szCs w:val="29"/>
          <w:spacing w:val="-2"/>
        </w:rPr>
        <w:t>条充分木质化，</w:t>
      </w:r>
      <w:r>
        <w:rPr>
          <w:sz w:val="29"/>
          <w:szCs w:val="29"/>
        </w:rPr>
        <w:t xml:space="preserve"> </w:t>
      </w:r>
      <w:r>
        <w:rPr>
          <w:sz w:val="29"/>
          <w:szCs w:val="29"/>
          <w:spacing w:val="-3"/>
        </w:rPr>
        <w:t>有效控制病虫害的发生，提高抗寒能力，确保树木安全越</w:t>
      </w:r>
      <w:r>
        <w:rPr>
          <w:sz w:val="29"/>
          <w:szCs w:val="29"/>
          <w:spacing w:val="-4"/>
        </w:rPr>
        <w:t>冬。</w:t>
      </w:r>
    </w:p>
    <w:p>
      <w:pPr>
        <w:pStyle w:val="BodyText"/>
        <w:ind w:right="391" w:firstLine="730"/>
        <w:spacing w:before="167" w:line="274" w:lineRule="auto"/>
        <w:rPr>
          <w:sz w:val="29"/>
          <w:szCs w:val="29"/>
        </w:rPr>
      </w:pPr>
      <w:r>
        <w:rPr>
          <w:sz w:val="29"/>
          <w:szCs w:val="29"/>
          <w:spacing w:val="9"/>
        </w:rPr>
        <w:t>(3)浇水。返青水和和冻水应适时浇灌，并浇足浇透。对不耐寒的树种和</w:t>
      </w:r>
      <w:r>
        <w:rPr>
          <w:sz w:val="29"/>
          <w:szCs w:val="29"/>
        </w:rPr>
        <w:t xml:space="preserve"> </w:t>
      </w:r>
      <w:r>
        <w:rPr>
          <w:sz w:val="29"/>
          <w:szCs w:val="29"/>
          <w:spacing w:val="3"/>
        </w:rPr>
        <w:t>树势较弱的植株应分别采取不同防寒措施；气温降到5℃土壤上冻前浇透一次越</w:t>
      </w:r>
      <w:r>
        <w:rPr>
          <w:sz w:val="29"/>
          <w:szCs w:val="29"/>
          <w:spacing w:val="1"/>
        </w:rPr>
        <w:t xml:space="preserve"> </w:t>
      </w:r>
      <w:r>
        <w:rPr>
          <w:sz w:val="29"/>
          <w:szCs w:val="29"/>
          <w:spacing w:val="-2"/>
        </w:rPr>
        <w:t>冬水，早春再浇一次返青水，气温降到5℃</w:t>
      </w:r>
      <w:r>
        <w:rPr>
          <w:sz w:val="29"/>
          <w:szCs w:val="29"/>
          <w:spacing w:val="-3"/>
        </w:rPr>
        <w:t>以下不需浇水。</w:t>
      </w:r>
    </w:p>
    <w:p>
      <w:pPr>
        <w:pStyle w:val="BodyText"/>
        <w:ind w:left="730"/>
        <w:spacing w:before="175" w:line="219" w:lineRule="auto"/>
        <w:rPr>
          <w:sz w:val="29"/>
          <w:szCs w:val="29"/>
        </w:rPr>
      </w:pPr>
      <w:r>
        <w:rPr>
          <w:sz w:val="29"/>
          <w:szCs w:val="29"/>
          <w:spacing w:val="7"/>
        </w:rPr>
        <w:t>(4)施肥。以钾肥为主叶面追肥增加植物抗性，秋季以施有机肥为主的根</w:t>
      </w:r>
    </w:p>
    <w:p>
      <w:pPr>
        <w:spacing w:line="219" w:lineRule="auto"/>
        <w:sectPr>
          <w:footerReference w:type="default" r:id="rId77"/>
          <w:pgSz w:w="14490" w:h="20470"/>
          <w:pgMar w:top="1679" w:right="1785" w:bottom="1393" w:left="2150" w:header="0" w:footer="1231" w:gutter="0"/>
        </w:sectPr>
        <w:rPr>
          <w:sz w:val="29"/>
          <w:szCs w:val="29"/>
        </w:rPr>
      </w:pPr>
    </w:p>
    <w:p>
      <w:pPr>
        <w:pStyle w:val="BodyText"/>
        <w:spacing w:before="120" w:line="219" w:lineRule="auto"/>
        <w:rPr>
          <w:sz w:val="29"/>
          <w:szCs w:val="29"/>
        </w:rPr>
      </w:pPr>
      <w:r>
        <w:rPr>
          <w:sz w:val="29"/>
          <w:szCs w:val="29"/>
          <w:spacing w:val="-1"/>
        </w:rPr>
        <w:t>部施肥，可增强根系活力和抗逆能力。</w:t>
      </w:r>
    </w:p>
    <w:p>
      <w:pPr>
        <w:pStyle w:val="BodyText"/>
        <w:ind w:right="5" w:firstLine="730"/>
        <w:spacing w:before="156" w:line="287" w:lineRule="auto"/>
        <w:rPr>
          <w:sz w:val="29"/>
          <w:szCs w:val="29"/>
        </w:rPr>
      </w:pPr>
      <w:r>
        <w:rPr>
          <w:sz w:val="29"/>
          <w:szCs w:val="29"/>
          <w:spacing w:val="9"/>
        </w:rPr>
        <w:t>(5)除雪。在下大雪期间或之后，应把树枝上的积雪及时打掉，以免雪压</w:t>
      </w:r>
      <w:r>
        <w:rPr>
          <w:sz w:val="29"/>
          <w:szCs w:val="29"/>
        </w:rPr>
        <w:t xml:space="preserve"> </w:t>
      </w:r>
      <w:r>
        <w:rPr>
          <w:sz w:val="29"/>
          <w:szCs w:val="29"/>
          <w:spacing w:val="-8"/>
        </w:rPr>
        <w:t>过久过重，导致树枝弯垂，甚至折断或劈裂。尤其是枝叶茂密的常</w:t>
      </w:r>
      <w:r>
        <w:rPr>
          <w:sz w:val="29"/>
          <w:szCs w:val="29"/>
          <w:spacing w:val="-9"/>
        </w:rPr>
        <w:t>绿树，更应及时</w:t>
      </w:r>
      <w:r>
        <w:rPr>
          <w:sz w:val="29"/>
          <w:szCs w:val="29"/>
        </w:rPr>
        <w:t xml:space="preserve"> </w:t>
      </w:r>
      <w:r>
        <w:rPr>
          <w:sz w:val="29"/>
          <w:szCs w:val="29"/>
          <w:spacing w:val="-17"/>
        </w:rPr>
        <w:t>组织人员，持竿打雪，防雪压折树枝。对已结冰的枝，不能敲打，可任其不动。如结</w:t>
      </w:r>
      <w:r>
        <w:rPr>
          <w:sz w:val="29"/>
          <w:szCs w:val="29"/>
          <w:spacing w:val="14"/>
        </w:rPr>
        <w:t xml:space="preserve"> </w:t>
      </w:r>
      <w:r>
        <w:rPr>
          <w:sz w:val="29"/>
          <w:szCs w:val="29"/>
          <w:spacing w:val="1"/>
        </w:rPr>
        <w:t>冰过重，可用竿枝撑，待化冻后再拆除支架。</w:t>
      </w:r>
    </w:p>
    <w:p>
      <w:pPr>
        <w:pStyle w:val="BodyText"/>
        <w:ind w:firstLine="730"/>
        <w:spacing w:before="167" w:line="281" w:lineRule="auto"/>
        <w:rPr>
          <w:sz w:val="29"/>
          <w:szCs w:val="29"/>
        </w:rPr>
      </w:pPr>
      <w:r>
        <w:rPr>
          <w:sz w:val="29"/>
          <w:szCs w:val="29"/>
          <w:spacing w:val="15"/>
        </w:rPr>
        <w:t>(6)培土保温。覆25—30</w:t>
      </w:r>
      <w:r>
        <w:rPr>
          <w:rFonts w:ascii="Times New Roman" w:hAnsi="Times New Roman" w:eastAsia="Times New Roman" w:cs="Times New Roman"/>
          <w:sz w:val="29"/>
          <w:szCs w:val="29"/>
        </w:rPr>
        <w:t>cm</w:t>
      </w:r>
      <w:r>
        <w:rPr>
          <w:sz w:val="29"/>
          <w:szCs w:val="29"/>
          <w:spacing w:val="15"/>
        </w:rPr>
        <w:t>高度土保温(翌年温度回升后去除)或用地膜</w:t>
      </w:r>
      <w:r>
        <w:rPr>
          <w:sz w:val="29"/>
          <w:szCs w:val="29"/>
          <w:spacing w:val="13"/>
        </w:rPr>
        <w:t xml:space="preserve"> </w:t>
      </w:r>
      <w:r>
        <w:rPr>
          <w:sz w:val="29"/>
          <w:szCs w:val="29"/>
        </w:rPr>
        <w:t>覆盖后覆上一层土，可以有效保持低温，避免受冻。该法较适用于月季等株形低</w:t>
      </w:r>
      <w:r>
        <w:rPr>
          <w:sz w:val="29"/>
          <w:szCs w:val="29"/>
          <w:spacing w:val="17"/>
        </w:rPr>
        <w:t xml:space="preserve"> </w:t>
      </w:r>
      <w:r>
        <w:rPr>
          <w:sz w:val="29"/>
          <w:szCs w:val="29"/>
        </w:rPr>
        <w:t>矮、抗寒性较差的花灌木，对树头种满地被的树木不进行此项作业。</w:t>
      </w:r>
    </w:p>
    <w:p>
      <w:pPr>
        <w:pStyle w:val="BodyText"/>
        <w:ind w:left="590"/>
        <w:spacing w:before="156" w:line="220" w:lineRule="auto"/>
        <w:rPr>
          <w:sz w:val="29"/>
          <w:szCs w:val="29"/>
        </w:rPr>
      </w:pPr>
      <w:r>
        <w:rPr>
          <w:sz w:val="29"/>
          <w:szCs w:val="29"/>
          <w:spacing w:val="22"/>
        </w:rPr>
        <w:t>3)重点防寒措施</w:t>
      </w:r>
    </w:p>
    <w:p>
      <w:pPr>
        <w:pStyle w:val="BodyText"/>
        <w:ind w:left="730"/>
        <w:spacing w:before="200" w:line="219" w:lineRule="auto"/>
        <w:rPr>
          <w:sz w:val="24"/>
          <w:szCs w:val="24"/>
        </w:rPr>
      </w:pPr>
      <w:r>
        <w:rPr>
          <w:sz w:val="24"/>
          <w:szCs w:val="24"/>
          <w:spacing w:val="-14"/>
        </w:rPr>
        <w:t>(1)</w:t>
      </w:r>
      <w:r>
        <w:rPr>
          <w:sz w:val="24"/>
          <w:szCs w:val="24"/>
          <w:spacing w:val="22"/>
        </w:rPr>
        <w:t xml:space="preserve">  </w:t>
      </w:r>
      <w:r>
        <w:rPr>
          <w:sz w:val="24"/>
          <w:szCs w:val="24"/>
          <w:spacing w:val="-14"/>
        </w:rPr>
        <w:t>缠</w:t>
      </w:r>
      <w:r>
        <w:rPr>
          <w:sz w:val="24"/>
          <w:szCs w:val="24"/>
          <w:spacing w:val="12"/>
        </w:rPr>
        <w:t xml:space="preserve"> </w:t>
      </w:r>
      <w:r>
        <w:rPr>
          <w:sz w:val="24"/>
          <w:szCs w:val="24"/>
          <w:spacing w:val="-14"/>
        </w:rPr>
        <w:t>干</w:t>
      </w:r>
    </w:p>
    <w:p>
      <w:pPr>
        <w:pStyle w:val="BodyText"/>
        <w:ind w:right="25" w:firstLine="590"/>
        <w:spacing w:before="147" w:line="278" w:lineRule="auto"/>
        <w:rPr>
          <w:sz w:val="29"/>
          <w:szCs w:val="29"/>
        </w:rPr>
      </w:pPr>
      <w:r>
        <w:rPr>
          <w:sz w:val="29"/>
          <w:szCs w:val="29"/>
          <w:spacing w:val="-9"/>
        </w:rPr>
        <w:t>用保薄膜、无纺布、麻袋和草绳包裹茎干，以能包多高就包多高为原则。</w:t>
      </w:r>
      <w:r>
        <w:rPr>
          <w:sz w:val="29"/>
          <w:szCs w:val="29"/>
          <w:spacing w:val="-10"/>
        </w:rPr>
        <w:t>包裹</w:t>
      </w:r>
      <w:r>
        <w:rPr>
          <w:sz w:val="29"/>
          <w:szCs w:val="29"/>
        </w:rPr>
        <w:t xml:space="preserve"> </w:t>
      </w:r>
      <w:r>
        <w:rPr>
          <w:sz w:val="29"/>
          <w:szCs w:val="29"/>
        </w:rPr>
        <w:t>所有材料前对树干和包裹材料进行消毒杀菌，完工</w:t>
      </w:r>
      <w:r>
        <w:rPr>
          <w:sz w:val="29"/>
          <w:szCs w:val="29"/>
          <w:spacing w:val="-1"/>
        </w:rPr>
        <w:t>后定期对包裹材料消毒杀菌防</w:t>
      </w:r>
      <w:r>
        <w:rPr>
          <w:sz w:val="29"/>
          <w:szCs w:val="29"/>
        </w:rPr>
        <w:t xml:space="preserve"> </w:t>
      </w:r>
      <w:r>
        <w:rPr>
          <w:sz w:val="29"/>
          <w:szCs w:val="29"/>
          <w:spacing w:val="-11"/>
        </w:rPr>
        <w:t>虫。详细操作详见《</w:t>
      </w:r>
      <w:r>
        <w:rPr>
          <w:rFonts w:ascii="Times New Roman" w:hAnsi="Times New Roman" w:eastAsia="Times New Roman" w:cs="Times New Roman"/>
          <w:sz w:val="29"/>
          <w:szCs w:val="29"/>
          <w:spacing w:val="-11"/>
        </w:rPr>
        <w:t>XX</w:t>
      </w:r>
      <w:r>
        <w:rPr>
          <w:sz w:val="29"/>
          <w:szCs w:val="29"/>
          <w:spacing w:val="-11"/>
        </w:rPr>
        <w:t>园林集团绿化施工手册》。</w:t>
      </w:r>
    </w:p>
    <w:p>
      <w:pPr>
        <w:spacing w:line="278" w:lineRule="auto"/>
        <w:sectPr>
          <w:footerReference w:type="default" r:id="rId82"/>
          <w:pgSz w:w="14490" w:h="20470"/>
          <w:pgMar w:top="1739" w:right="2171" w:bottom="1458" w:left="2150" w:header="0" w:footer="1213" w:gutter="0"/>
          <w:cols w:equalWidth="0" w:num="1">
            <w:col w:w="10169" w:space="0"/>
          </w:cols>
        </w:sectPr>
        <w:rPr>
          <w:sz w:val="29"/>
          <w:szCs w:val="29"/>
        </w:rPr>
      </w:pPr>
    </w:p>
    <w:p>
      <w:pPr>
        <w:ind w:firstLine="359"/>
        <w:spacing w:line="3190" w:lineRule="exact"/>
        <w:rPr/>
      </w:pPr>
      <w:r>
        <w:rPr>
          <w:position w:val="-63"/>
        </w:rPr>
        <w:drawing>
          <wp:inline distT="0" distB="0" distL="0" distR="0">
            <wp:extent cx="2660696" cy="2025677"/>
            <wp:effectExtent l="0" t="0" r="0" b="0"/>
            <wp:docPr id="116" name="IM 116"/>
            <wp:cNvGraphicFramePr/>
            <a:graphic>
              <a:graphicData uri="http://schemas.openxmlformats.org/drawingml/2006/picture">
                <pic:pic>
                  <pic:nvPicPr>
                    <pic:cNvPr id="116" name="IM 116"/>
                    <pic:cNvPicPr/>
                  </pic:nvPicPr>
                  <pic:blipFill>
                    <a:blip r:embed="rId83"/>
                    <a:stretch>
                      <a:fillRect/>
                    </a:stretch>
                  </pic:blipFill>
                  <pic:spPr>
                    <a:xfrm rot="0">
                      <a:off x="0" y="0"/>
                      <a:ext cx="2660696" cy="2025677"/>
                    </a:xfrm>
                    <a:prstGeom prst="rect">
                      <a:avLst/>
                    </a:prstGeom>
                  </pic:spPr>
                </pic:pic>
              </a:graphicData>
            </a:graphic>
          </wp:inline>
        </w:drawing>
      </w:r>
    </w:p>
    <w:p>
      <w:pPr>
        <w:ind w:left="1549" w:right="1714" w:hanging="380"/>
        <w:spacing w:before="46" w:line="243" w:lineRule="auto"/>
        <w:rPr>
          <w:rFonts w:ascii="FangSong" w:hAnsi="FangSong" w:eastAsia="FangSong" w:cs="FangSong"/>
          <w:sz w:val="23"/>
          <w:szCs w:val="23"/>
        </w:rPr>
      </w:pPr>
      <w:r>
        <w:rPr>
          <w:rFonts w:ascii="FangSong" w:hAnsi="FangSong" w:eastAsia="FangSong" w:cs="FangSong"/>
          <w:sz w:val="23"/>
          <w:szCs w:val="23"/>
          <w:spacing w:val="24"/>
        </w:rPr>
        <w:t>(冬季植物防寒)缠干：</w:t>
      </w:r>
      <w:r>
        <w:rPr>
          <w:rFonts w:ascii="FangSong" w:hAnsi="FangSong" w:eastAsia="FangSong" w:cs="FangSong"/>
          <w:sz w:val="23"/>
          <w:szCs w:val="23"/>
        </w:rPr>
        <w:t xml:space="preserve"> </w:t>
      </w:r>
      <w:r>
        <w:rPr>
          <w:rFonts w:ascii="FangSong" w:hAnsi="FangSong" w:eastAsia="FangSong" w:cs="FangSong"/>
          <w:sz w:val="23"/>
          <w:szCs w:val="23"/>
          <w:spacing w:val="14"/>
        </w:rPr>
        <w:t>内草绳、外薄膜</w:t>
      </w:r>
    </w:p>
    <w:p>
      <w:pPr>
        <w:spacing w:line="266" w:lineRule="auto"/>
        <w:rPr>
          <w:rFonts w:ascii="Arial"/>
          <w:sz w:val="21"/>
        </w:rPr>
      </w:pPr>
      <w:r/>
    </w:p>
    <w:p>
      <w:pPr>
        <w:ind w:firstLine="359"/>
        <w:spacing w:line="3418" w:lineRule="exact"/>
        <w:rPr/>
      </w:pPr>
      <w:r>
        <w:rPr>
          <w:position w:val="-68"/>
        </w:rPr>
        <w:drawing>
          <wp:inline distT="0" distB="0" distL="0" distR="0">
            <wp:extent cx="2660696" cy="2170383"/>
            <wp:effectExtent l="0" t="0" r="0" b="0"/>
            <wp:docPr id="118" name="IM 118"/>
            <wp:cNvGraphicFramePr/>
            <a:graphic>
              <a:graphicData uri="http://schemas.openxmlformats.org/drawingml/2006/picture">
                <pic:pic>
                  <pic:nvPicPr>
                    <pic:cNvPr id="118" name="IM 118"/>
                    <pic:cNvPicPr/>
                  </pic:nvPicPr>
                  <pic:blipFill>
                    <a:blip r:embed="rId84"/>
                    <a:stretch>
                      <a:fillRect/>
                    </a:stretch>
                  </pic:blipFill>
                  <pic:spPr>
                    <a:xfrm rot="0">
                      <a:off x="0" y="0"/>
                      <a:ext cx="2660696" cy="2170383"/>
                    </a:xfrm>
                    <a:prstGeom prst="rect">
                      <a:avLst/>
                    </a:prstGeom>
                  </pic:spPr>
                </pic:pic>
              </a:graphicData>
            </a:graphic>
          </wp:inline>
        </w:drawing>
      </w:r>
    </w:p>
    <w:p>
      <w:pPr>
        <w:ind w:left="1179" w:right="1714" w:firstLine="39"/>
        <w:spacing w:before="1" w:line="248" w:lineRule="auto"/>
        <w:rPr>
          <w:rFonts w:ascii="FangSong" w:hAnsi="FangSong" w:eastAsia="FangSong" w:cs="FangSong"/>
          <w:sz w:val="23"/>
          <w:szCs w:val="23"/>
        </w:rPr>
      </w:pPr>
      <w:r>
        <w:rPr>
          <w:rFonts w:ascii="FangSong" w:hAnsi="FangSong" w:eastAsia="FangSong" w:cs="FangSong"/>
          <w:sz w:val="23"/>
          <w:szCs w:val="23"/>
          <w:spacing w:val="19"/>
        </w:rPr>
        <w:t>(冬季植物防寒)缠干：</w:t>
      </w:r>
      <w:r>
        <w:rPr>
          <w:rFonts w:ascii="FangSong" w:hAnsi="FangSong" w:eastAsia="FangSong" w:cs="FangSong"/>
          <w:sz w:val="23"/>
          <w:szCs w:val="23"/>
          <w:spacing w:val="5"/>
        </w:rPr>
        <w:t xml:space="preserve"> </w:t>
      </w:r>
      <w:r>
        <w:rPr>
          <w:rFonts w:ascii="FangSong" w:hAnsi="FangSong" w:eastAsia="FangSong" w:cs="FangSong"/>
          <w:sz w:val="23"/>
          <w:szCs w:val="23"/>
          <w:spacing w:val="16"/>
        </w:rPr>
        <w:t>内草绳，外绿色保温棉</w:t>
      </w:r>
    </w:p>
    <w:p>
      <w:pPr>
        <w:spacing w:line="31" w:lineRule="exact"/>
        <w:rPr/>
      </w:pPr>
      <w:r/>
    </w:p>
    <w:p>
      <w:pPr>
        <w:spacing w:line="14" w:lineRule="auto"/>
        <w:rPr>
          <w:rFonts w:ascii="Arial"/>
          <w:sz w:val="2"/>
        </w:rPr>
      </w:pPr>
      <w:r>
        <w:rPr>
          <w:rFonts w:ascii="Arial" w:hAnsi="Arial" w:eastAsia="Arial" w:cs="Arial"/>
          <w:sz w:val="2"/>
          <w:szCs w:val="2"/>
        </w:rPr>
        <w:br w:type="column"/>
      </w:r>
    </w:p>
    <w:p>
      <w:pPr>
        <w:ind w:firstLine="19"/>
        <w:spacing w:line="3178" w:lineRule="exact"/>
        <w:rPr/>
      </w:pPr>
      <w:r>
        <w:rPr>
          <w:position w:val="-63"/>
        </w:rPr>
        <w:drawing>
          <wp:inline distT="0" distB="0" distL="0" distR="0">
            <wp:extent cx="2679742" cy="2018432"/>
            <wp:effectExtent l="0" t="0" r="0" b="0"/>
            <wp:docPr id="120" name="IM 120"/>
            <wp:cNvGraphicFramePr/>
            <a:graphic>
              <a:graphicData uri="http://schemas.openxmlformats.org/drawingml/2006/picture">
                <pic:pic>
                  <pic:nvPicPr>
                    <pic:cNvPr id="120" name="IM 120"/>
                    <pic:cNvPicPr/>
                  </pic:nvPicPr>
                  <pic:blipFill>
                    <a:blip r:embed="rId85"/>
                    <a:stretch>
                      <a:fillRect/>
                    </a:stretch>
                  </pic:blipFill>
                  <pic:spPr>
                    <a:xfrm rot="0">
                      <a:off x="0" y="0"/>
                      <a:ext cx="2679742" cy="2018432"/>
                    </a:xfrm>
                    <a:prstGeom prst="rect">
                      <a:avLst/>
                    </a:prstGeom>
                  </pic:spPr>
                </pic:pic>
              </a:graphicData>
            </a:graphic>
          </wp:inline>
        </w:drawing>
      </w:r>
    </w:p>
    <w:p>
      <w:pPr>
        <w:ind w:left="1309" w:right="1143" w:hanging="380"/>
        <w:spacing w:before="56" w:line="243" w:lineRule="auto"/>
        <w:rPr>
          <w:rFonts w:ascii="FangSong" w:hAnsi="FangSong" w:eastAsia="FangSong" w:cs="FangSong"/>
          <w:sz w:val="23"/>
          <w:szCs w:val="23"/>
        </w:rPr>
      </w:pPr>
      <w:r>
        <w:rPr>
          <w:rFonts w:ascii="FangSong" w:hAnsi="FangSong" w:eastAsia="FangSong" w:cs="FangSong"/>
          <w:sz w:val="23"/>
          <w:szCs w:val="23"/>
          <w:spacing w:val="22"/>
        </w:rPr>
        <w:t>(冬季植物防寒)缠干：</w:t>
      </w:r>
      <w:r>
        <w:rPr>
          <w:rFonts w:ascii="FangSong" w:hAnsi="FangSong" w:eastAsia="FangSong" w:cs="FangSong"/>
          <w:sz w:val="23"/>
          <w:szCs w:val="23"/>
          <w:spacing w:val="2"/>
        </w:rPr>
        <w:t xml:space="preserve"> </w:t>
      </w:r>
      <w:r>
        <w:rPr>
          <w:rFonts w:ascii="FangSong" w:hAnsi="FangSong" w:eastAsia="FangSong" w:cs="FangSong"/>
          <w:sz w:val="23"/>
          <w:szCs w:val="23"/>
          <w:spacing w:val="16"/>
        </w:rPr>
        <w:t>内草绳、外薄膜</w:t>
      </w:r>
    </w:p>
    <w:p>
      <w:pPr>
        <w:spacing w:line="266" w:lineRule="auto"/>
        <w:rPr>
          <w:rFonts w:ascii="Arial"/>
          <w:sz w:val="21"/>
        </w:rPr>
      </w:pPr>
      <w:r/>
    </w:p>
    <w:p>
      <w:pPr>
        <w:spacing w:before="1" w:line="3420" w:lineRule="exact"/>
        <w:rPr/>
      </w:pPr>
      <w:r>
        <w:rPr>
          <w:position w:val="-68"/>
        </w:rPr>
        <w:drawing>
          <wp:inline distT="0" distB="0" distL="0" distR="0">
            <wp:extent cx="2698789" cy="2171781"/>
            <wp:effectExtent l="0" t="0" r="0" b="0"/>
            <wp:docPr id="122" name="IM 122"/>
            <wp:cNvGraphicFramePr/>
            <a:graphic>
              <a:graphicData uri="http://schemas.openxmlformats.org/drawingml/2006/picture">
                <pic:pic>
                  <pic:nvPicPr>
                    <pic:cNvPr id="122" name="IM 122"/>
                    <pic:cNvPicPr/>
                  </pic:nvPicPr>
                  <pic:blipFill>
                    <a:blip r:embed="rId86"/>
                    <a:stretch>
                      <a:fillRect/>
                    </a:stretch>
                  </pic:blipFill>
                  <pic:spPr>
                    <a:xfrm rot="0">
                      <a:off x="0" y="0"/>
                      <a:ext cx="2698789" cy="2171781"/>
                    </a:xfrm>
                    <a:prstGeom prst="rect">
                      <a:avLst/>
                    </a:prstGeom>
                  </pic:spPr>
                </pic:pic>
              </a:graphicData>
            </a:graphic>
          </wp:inline>
        </w:drawing>
      </w:r>
    </w:p>
    <w:p>
      <w:pPr>
        <w:ind w:left="859"/>
        <w:spacing w:before="26" w:line="221" w:lineRule="auto"/>
        <w:rPr>
          <w:rFonts w:ascii="FangSong" w:hAnsi="FangSong" w:eastAsia="FangSong" w:cs="FangSong"/>
          <w:sz w:val="23"/>
          <w:szCs w:val="23"/>
        </w:rPr>
      </w:pPr>
      <w:r>
        <w:rPr>
          <w:rFonts w:ascii="FangSong" w:hAnsi="FangSong" w:eastAsia="FangSong" w:cs="FangSong"/>
          <w:sz w:val="23"/>
          <w:szCs w:val="23"/>
          <w:spacing w:val="23"/>
        </w:rPr>
        <w:t>(冬季植物防寒)缠干：</w:t>
      </w:r>
    </w:p>
    <w:p>
      <w:pPr>
        <w:ind w:left="1860"/>
        <w:spacing w:before="37" w:line="222" w:lineRule="auto"/>
        <w:rPr>
          <w:rFonts w:ascii="FangSong" w:hAnsi="FangSong" w:eastAsia="FangSong" w:cs="FangSong"/>
          <w:sz w:val="23"/>
          <w:szCs w:val="23"/>
        </w:rPr>
      </w:pPr>
      <w:r>
        <w:rPr>
          <w:rFonts w:ascii="FangSong" w:hAnsi="FangSong" w:eastAsia="FangSong" w:cs="FangSong"/>
          <w:sz w:val="23"/>
          <w:szCs w:val="23"/>
          <w:spacing w:val="-10"/>
        </w:rPr>
        <w:t>草</w:t>
      </w:r>
      <w:r>
        <w:rPr>
          <w:rFonts w:ascii="FangSong" w:hAnsi="FangSong" w:eastAsia="FangSong" w:cs="FangSong"/>
          <w:sz w:val="23"/>
          <w:szCs w:val="23"/>
          <w:spacing w:val="-22"/>
        </w:rPr>
        <w:t xml:space="preserve"> </w:t>
      </w:r>
      <w:r>
        <w:rPr>
          <w:rFonts w:ascii="FangSong" w:hAnsi="FangSong" w:eastAsia="FangSong" w:cs="FangSong"/>
          <w:sz w:val="23"/>
          <w:szCs w:val="23"/>
          <w:spacing w:val="-10"/>
        </w:rPr>
        <w:t>绳</w:t>
      </w:r>
    </w:p>
    <w:p>
      <w:pPr>
        <w:spacing w:line="222" w:lineRule="auto"/>
        <w:sectPr>
          <w:type w:val="continuous"/>
          <w:pgSz w:w="14490" w:h="20470"/>
          <w:pgMar w:top="1739" w:right="2171" w:bottom="1458" w:left="2150" w:header="0" w:footer="1213" w:gutter="0"/>
          <w:cols w:equalWidth="0" w:num="2">
            <w:col w:w="5450" w:space="100"/>
            <w:col w:w="4619" w:space="0"/>
          </w:cols>
        </w:sectPr>
        <w:rPr>
          <w:rFonts w:ascii="FangSong" w:hAnsi="FangSong" w:eastAsia="FangSong" w:cs="FangSong"/>
          <w:sz w:val="23"/>
          <w:szCs w:val="23"/>
        </w:rPr>
      </w:pPr>
    </w:p>
    <w:p>
      <w:pPr>
        <w:pStyle w:val="BodyText"/>
        <w:ind w:left="4019"/>
        <w:spacing w:before="241" w:line="219" w:lineRule="auto"/>
        <w:rPr>
          <w:sz w:val="24"/>
          <w:szCs w:val="24"/>
        </w:rPr>
      </w:pPr>
      <w:r>
        <w:rPr>
          <w:sz w:val="24"/>
          <w:szCs w:val="24"/>
          <w:spacing w:val="10"/>
        </w:rPr>
        <w:t>图2-7-2缠干防寒</w:t>
      </w:r>
    </w:p>
    <w:p>
      <w:pPr>
        <w:pStyle w:val="BodyText"/>
        <w:ind w:left="730"/>
        <w:spacing w:before="179" w:line="219" w:lineRule="auto"/>
        <w:rPr>
          <w:sz w:val="29"/>
          <w:szCs w:val="29"/>
        </w:rPr>
      </w:pPr>
      <w:r>
        <w:rPr>
          <w:sz w:val="29"/>
          <w:szCs w:val="29"/>
          <w:spacing w:val="-5"/>
        </w:rPr>
        <w:t>(2)</w:t>
      </w:r>
      <w:r>
        <w:rPr>
          <w:sz w:val="29"/>
          <w:szCs w:val="29"/>
          <w:spacing w:val="72"/>
        </w:rPr>
        <w:t xml:space="preserve"> </w:t>
      </w:r>
      <w:r>
        <w:rPr>
          <w:sz w:val="29"/>
          <w:szCs w:val="29"/>
          <w:spacing w:val="-5"/>
        </w:rPr>
        <w:t>搭风障</w:t>
      </w:r>
    </w:p>
    <w:p>
      <w:pPr>
        <w:pStyle w:val="BodyText"/>
        <w:ind w:right="26" w:firstLine="590"/>
        <w:spacing w:before="115" w:line="272" w:lineRule="auto"/>
        <w:rPr>
          <w:sz w:val="29"/>
          <w:szCs w:val="29"/>
        </w:rPr>
      </w:pPr>
      <w:r>
        <w:rPr>
          <w:sz w:val="29"/>
          <w:szCs w:val="29"/>
          <w:spacing w:val="-2"/>
        </w:rPr>
        <w:t>一般宽度与树木冠幅相当，高度约比树木高出50—60</w:t>
      </w:r>
      <w:r>
        <w:rPr>
          <w:rFonts w:ascii="Times New Roman" w:hAnsi="Times New Roman" w:eastAsia="Times New Roman" w:cs="Times New Roman"/>
          <w:sz w:val="29"/>
          <w:szCs w:val="29"/>
          <w:spacing w:val="-2"/>
        </w:rPr>
        <w:t>cm,</w:t>
      </w:r>
      <w:r>
        <w:rPr>
          <w:rFonts w:ascii="Times New Roman" w:hAnsi="Times New Roman" w:eastAsia="Times New Roman" w:cs="Times New Roman"/>
          <w:sz w:val="29"/>
          <w:szCs w:val="29"/>
          <w:spacing w:val="30"/>
          <w:w w:val="101"/>
        </w:rPr>
        <w:t xml:space="preserve">  </w:t>
      </w:r>
      <w:r>
        <w:rPr>
          <w:sz w:val="29"/>
          <w:szCs w:val="29"/>
          <w:spacing w:val="-2"/>
        </w:rPr>
        <w:t>然后在框架材料上</w:t>
      </w:r>
      <w:r>
        <w:rPr>
          <w:sz w:val="29"/>
          <w:szCs w:val="29"/>
        </w:rPr>
        <w:t xml:space="preserve"> </w:t>
      </w:r>
      <w:r>
        <w:rPr>
          <w:sz w:val="29"/>
          <w:szCs w:val="29"/>
          <w:spacing w:val="-1"/>
        </w:rPr>
        <w:t>盖绿色无纺布充当围护结构。冬季太阳照射部位较多方向的遮挡材料</w:t>
      </w:r>
      <w:r>
        <w:rPr>
          <w:sz w:val="29"/>
          <w:szCs w:val="29"/>
          <w:spacing w:val="-2"/>
        </w:rPr>
        <w:t>设置成可收</w:t>
      </w:r>
      <w:r>
        <w:rPr>
          <w:sz w:val="29"/>
          <w:szCs w:val="29"/>
        </w:rPr>
        <w:t xml:space="preserve"> </w:t>
      </w:r>
      <w:r>
        <w:rPr>
          <w:sz w:val="29"/>
          <w:szCs w:val="29"/>
          <w:spacing w:val="-5"/>
        </w:rPr>
        <w:t>起和放下。</w:t>
      </w:r>
    </w:p>
    <w:p>
      <w:pPr>
        <w:spacing w:line="272" w:lineRule="auto"/>
        <w:sectPr>
          <w:type w:val="continuous"/>
          <w:pgSz w:w="14490" w:h="20470"/>
          <w:pgMar w:top="1739" w:right="2171" w:bottom="1458" w:left="2150" w:header="0" w:footer="1213" w:gutter="0"/>
          <w:cols w:equalWidth="0" w:num="1">
            <w:col w:w="10169" w:space="0"/>
          </w:cols>
        </w:sectPr>
        <w:rPr>
          <w:sz w:val="29"/>
          <w:szCs w:val="29"/>
        </w:rPr>
      </w:pPr>
    </w:p>
    <w:p>
      <w:pPr>
        <w:spacing w:line="180" w:lineRule="exact"/>
        <w:rPr/>
      </w:pPr>
      <w:r/>
    </w:p>
    <w:p>
      <w:pPr>
        <w:spacing w:line="180" w:lineRule="exact"/>
        <w:sectPr>
          <w:footerReference w:type="default" r:id="rId87"/>
          <w:pgSz w:w="14490" w:h="20470"/>
          <w:pgMar w:top="1739" w:right="2173" w:bottom="1480" w:left="2173" w:header="0" w:footer="1194" w:gutter="0"/>
          <w:cols w:equalWidth="0" w:num="1">
            <w:col w:w="10144" w:space="0"/>
          </w:cols>
        </w:sectPr>
        <w:rPr/>
      </w:pPr>
    </w:p>
    <w:p>
      <w:pPr>
        <w:ind w:firstLine="226"/>
        <w:spacing w:line="3159" w:lineRule="exact"/>
        <w:rPr/>
      </w:pPr>
      <w:r>
        <w:rPr>
          <w:position w:val="-63"/>
        </w:rPr>
        <w:drawing>
          <wp:inline distT="0" distB="0" distL="0" distR="0">
            <wp:extent cx="2730532" cy="2006571"/>
            <wp:effectExtent l="0" t="0" r="0" b="0"/>
            <wp:docPr id="124" name="IM 124"/>
            <wp:cNvGraphicFramePr/>
            <a:graphic>
              <a:graphicData uri="http://schemas.openxmlformats.org/drawingml/2006/picture">
                <pic:pic>
                  <pic:nvPicPr>
                    <pic:cNvPr id="124" name="IM 124"/>
                    <pic:cNvPicPr/>
                  </pic:nvPicPr>
                  <pic:blipFill>
                    <a:blip r:embed="rId88"/>
                    <a:stretch>
                      <a:fillRect/>
                    </a:stretch>
                  </pic:blipFill>
                  <pic:spPr>
                    <a:xfrm rot="0">
                      <a:off x="0" y="0"/>
                      <a:ext cx="2730532" cy="2006571"/>
                    </a:xfrm>
                    <a:prstGeom prst="rect">
                      <a:avLst/>
                    </a:prstGeom>
                  </pic:spPr>
                </pic:pic>
              </a:graphicData>
            </a:graphic>
          </wp:inline>
        </w:drawing>
      </w:r>
    </w:p>
    <w:p>
      <w:pPr>
        <w:ind w:left="1456"/>
        <w:spacing w:before="35" w:line="221" w:lineRule="auto"/>
        <w:rPr>
          <w:rFonts w:ascii="FangSong" w:hAnsi="FangSong" w:eastAsia="FangSong" w:cs="FangSong"/>
          <w:sz w:val="23"/>
          <w:szCs w:val="23"/>
        </w:rPr>
      </w:pPr>
      <w:r>
        <w:rPr>
          <w:rFonts w:ascii="FangSong" w:hAnsi="FangSong" w:eastAsia="FangSong" w:cs="FangSong"/>
          <w:sz w:val="23"/>
          <w:szCs w:val="23"/>
          <w:spacing w:val="25"/>
        </w:rPr>
        <w:t>(冬季植物防寒)</w:t>
      </w:r>
    </w:p>
    <w:p>
      <w:pPr>
        <w:ind w:left="966"/>
        <w:spacing w:before="44" w:line="220" w:lineRule="auto"/>
        <w:rPr>
          <w:rFonts w:ascii="FangSong" w:hAnsi="FangSong" w:eastAsia="FangSong" w:cs="FangSong"/>
          <w:sz w:val="23"/>
          <w:szCs w:val="23"/>
        </w:rPr>
      </w:pPr>
      <w:r>
        <w:rPr>
          <w:rFonts w:ascii="FangSong" w:hAnsi="FangSong" w:eastAsia="FangSong" w:cs="FangSong"/>
          <w:sz w:val="23"/>
          <w:szCs w:val="23"/>
          <w:spacing w:val="19"/>
        </w:rPr>
        <w:t>现场缝制的绿色无纺布罩</w:t>
      </w:r>
    </w:p>
    <w:p>
      <w:pPr>
        <w:spacing w:line="289" w:lineRule="auto"/>
        <w:rPr>
          <w:rFonts w:ascii="Arial"/>
          <w:sz w:val="21"/>
        </w:rPr>
      </w:pPr>
      <w:r/>
    </w:p>
    <w:p>
      <w:pPr>
        <w:ind w:firstLine="216"/>
        <w:spacing w:line="3380" w:lineRule="exact"/>
        <w:rPr/>
      </w:pPr>
      <w:r>
        <w:rPr>
          <w:position w:val="-67"/>
        </w:rPr>
        <w:drawing>
          <wp:inline distT="0" distB="0" distL="0" distR="0">
            <wp:extent cx="2743231" cy="2146303"/>
            <wp:effectExtent l="0" t="0" r="0" b="0"/>
            <wp:docPr id="126" name="IM 126"/>
            <wp:cNvGraphicFramePr/>
            <a:graphic>
              <a:graphicData uri="http://schemas.openxmlformats.org/drawingml/2006/picture">
                <pic:pic>
                  <pic:nvPicPr>
                    <pic:cNvPr id="126" name="IM 126"/>
                    <pic:cNvPicPr/>
                  </pic:nvPicPr>
                  <pic:blipFill>
                    <a:blip r:embed="rId89"/>
                    <a:stretch>
                      <a:fillRect/>
                    </a:stretch>
                  </pic:blipFill>
                  <pic:spPr>
                    <a:xfrm rot="0">
                      <a:off x="0" y="0"/>
                      <a:ext cx="2743231" cy="2146303"/>
                    </a:xfrm>
                    <a:prstGeom prst="rect">
                      <a:avLst/>
                    </a:prstGeom>
                  </pic:spPr>
                </pic:pic>
              </a:graphicData>
            </a:graphic>
          </wp:inline>
        </w:drawing>
      </w:r>
    </w:p>
    <w:p>
      <w:pPr>
        <w:ind w:left="1456"/>
        <w:spacing w:before="5" w:line="221" w:lineRule="auto"/>
        <w:rPr>
          <w:rFonts w:ascii="FangSong" w:hAnsi="FangSong" w:eastAsia="FangSong" w:cs="FangSong"/>
          <w:sz w:val="23"/>
          <w:szCs w:val="23"/>
        </w:rPr>
      </w:pPr>
      <w:r>
        <w:rPr>
          <w:rFonts w:ascii="FangSong" w:hAnsi="FangSong" w:eastAsia="FangSong" w:cs="FangSong"/>
          <w:sz w:val="23"/>
          <w:szCs w:val="23"/>
          <w:spacing w:val="25"/>
        </w:rPr>
        <w:t>(冬季植物防寒)</w:t>
      </w:r>
    </w:p>
    <w:p>
      <w:pPr>
        <w:ind w:left="876"/>
        <w:spacing w:before="55" w:line="222" w:lineRule="auto"/>
        <w:rPr>
          <w:rFonts w:ascii="FangSong" w:hAnsi="FangSong" w:eastAsia="FangSong" w:cs="FangSong"/>
          <w:sz w:val="23"/>
          <w:szCs w:val="23"/>
        </w:rPr>
      </w:pPr>
      <w:r>
        <w:rPr>
          <w:rFonts w:ascii="FangSong" w:hAnsi="FangSong" w:eastAsia="FangSong" w:cs="FangSong"/>
          <w:sz w:val="23"/>
          <w:szCs w:val="23"/>
          <w:spacing w:val="18"/>
        </w:rPr>
        <w:t>球形/绿篱防寒架、防寒障</w:t>
      </w:r>
    </w:p>
    <w:p>
      <w:pPr>
        <w:spacing w:line="285" w:lineRule="auto"/>
        <w:rPr>
          <w:rFonts w:ascii="Arial"/>
          <w:sz w:val="21"/>
        </w:rPr>
      </w:pPr>
      <w:r/>
    </w:p>
    <w:p>
      <w:pPr>
        <w:ind w:firstLine="206"/>
        <w:spacing w:before="1" w:line="3060" w:lineRule="exact"/>
        <w:rPr/>
      </w:pPr>
      <w:r>
        <w:rPr>
          <w:position w:val="-61"/>
        </w:rPr>
        <w:drawing>
          <wp:inline distT="0" distB="0" distL="0" distR="0">
            <wp:extent cx="2743231" cy="1943138"/>
            <wp:effectExtent l="0" t="0" r="0" b="0"/>
            <wp:docPr id="128" name="IM 128"/>
            <wp:cNvGraphicFramePr/>
            <a:graphic>
              <a:graphicData uri="http://schemas.openxmlformats.org/drawingml/2006/picture">
                <pic:pic>
                  <pic:nvPicPr>
                    <pic:cNvPr id="128" name="IM 128"/>
                    <pic:cNvPicPr/>
                  </pic:nvPicPr>
                  <pic:blipFill>
                    <a:blip r:embed="rId90"/>
                    <a:stretch>
                      <a:fillRect/>
                    </a:stretch>
                  </pic:blipFill>
                  <pic:spPr>
                    <a:xfrm rot="0">
                      <a:off x="0" y="0"/>
                      <a:ext cx="2743231" cy="1943138"/>
                    </a:xfrm>
                    <a:prstGeom prst="rect">
                      <a:avLst/>
                    </a:prstGeom>
                  </pic:spPr>
                </pic:pic>
              </a:graphicData>
            </a:graphic>
          </wp:inline>
        </w:drawing>
      </w:r>
    </w:p>
    <w:p>
      <w:pPr>
        <w:ind w:left="1456"/>
        <w:spacing w:before="5" w:line="221" w:lineRule="auto"/>
        <w:rPr>
          <w:rFonts w:ascii="FangSong" w:hAnsi="FangSong" w:eastAsia="FangSong" w:cs="FangSong"/>
          <w:sz w:val="23"/>
          <w:szCs w:val="23"/>
        </w:rPr>
      </w:pPr>
      <w:r>
        <w:rPr>
          <w:rFonts w:ascii="FangSong" w:hAnsi="FangSong" w:eastAsia="FangSong" w:cs="FangSong"/>
          <w:sz w:val="23"/>
          <w:szCs w:val="23"/>
          <w:spacing w:val="22"/>
        </w:rPr>
        <w:t>(冬季植物防寒)</w:t>
      </w:r>
    </w:p>
    <w:p>
      <w:pPr>
        <w:ind w:left="1206"/>
        <w:spacing w:before="55" w:line="222" w:lineRule="auto"/>
        <w:rPr>
          <w:rFonts w:ascii="FangSong" w:hAnsi="FangSong" w:eastAsia="FangSong" w:cs="FangSong"/>
          <w:sz w:val="23"/>
          <w:szCs w:val="23"/>
        </w:rPr>
      </w:pPr>
      <w:r>
        <w:rPr>
          <w:rFonts w:ascii="FangSong" w:hAnsi="FangSong" w:eastAsia="FangSong" w:cs="FangSong"/>
          <w:sz w:val="23"/>
          <w:szCs w:val="23"/>
          <w:spacing w:val="19"/>
        </w:rPr>
        <w:t>球形防寒架、防寒障</w:t>
      </w:r>
    </w:p>
    <w:p>
      <w:pPr>
        <w:spacing w:line="75"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3168" w:lineRule="exact"/>
        <w:rPr/>
      </w:pPr>
      <w:r>
        <w:rPr>
          <w:position w:val="-63"/>
        </w:rPr>
        <w:drawing>
          <wp:inline distT="0" distB="0" distL="0" distR="0">
            <wp:extent cx="2743230" cy="2012064"/>
            <wp:effectExtent l="0" t="0" r="0" b="0"/>
            <wp:docPr id="130" name="IM 130"/>
            <wp:cNvGraphicFramePr/>
            <a:graphic>
              <a:graphicData uri="http://schemas.openxmlformats.org/drawingml/2006/picture">
                <pic:pic>
                  <pic:nvPicPr>
                    <pic:cNvPr id="130" name="IM 130"/>
                    <pic:cNvPicPr/>
                  </pic:nvPicPr>
                  <pic:blipFill>
                    <a:blip r:embed="rId91"/>
                    <a:stretch>
                      <a:fillRect/>
                    </a:stretch>
                  </pic:blipFill>
                  <pic:spPr>
                    <a:xfrm rot="0">
                      <a:off x="0" y="0"/>
                      <a:ext cx="2743230" cy="2012064"/>
                    </a:xfrm>
                    <a:prstGeom prst="rect">
                      <a:avLst/>
                    </a:prstGeom>
                  </pic:spPr>
                </pic:pic>
              </a:graphicData>
            </a:graphic>
          </wp:inline>
        </w:drawing>
      </w:r>
    </w:p>
    <w:p>
      <w:pPr>
        <w:ind w:left="1250"/>
        <w:spacing w:before="25" w:line="221" w:lineRule="auto"/>
        <w:rPr>
          <w:rFonts w:ascii="FangSong" w:hAnsi="FangSong" w:eastAsia="FangSong" w:cs="FangSong"/>
          <w:sz w:val="23"/>
          <w:szCs w:val="23"/>
        </w:rPr>
      </w:pPr>
      <w:r>
        <w:rPr>
          <w:rFonts w:ascii="FangSong" w:hAnsi="FangSong" w:eastAsia="FangSong" w:cs="FangSong"/>
          <w:sz w:val="23"/>
          <w:szCs w:val="23"/>
          <w:spacing w:val="26"/>
        </w:rPr>
        <w:t>(冬季植物防寒)</w:t>
      </w:r>
    </w:p>
    <w:p>
      <w:pPr>
        <w:ind w:left="760"/>
        <w:spacing w:before="44" w:line="220" w:lineRule="auto"/>
        <w:rPr>
          <w:rFonts w:ascii="FangSong" w:hAnsi="FangSong" w:eastAsia="FangSong" w:cs="FangSong"/>
          <w:sz w:val="23"/>
          <w:szCs w:val="23"/>
        </w:rPr>
      </w:pPr>
      <w:r>
        <w:rPr>
          <w:rFonts w:ascii="FangSong" w:hAnsi="FangSong" w:eastAsia="FangSong" w:cs="FangSong"/>
          <w:sz w:val="23"/>
          <w:szCs w:val="23"/>
          <w:spacing w:val="19"/>
        </w:rPr>
        <w:t>现场缝制的绿色无纺布罩</w:t>
      </w:r>
    </w:p>
    <w:p>
      <w:pPr>
        <w:spacing w:line="279" w:lineRule="auto"/>
        <w:rPr>
          <w:rFonts w:ascii="Arial"/>
          <w:sz w:val="21"/>
        </w:rPr>
      </w:pPr>
      <w:r/>
    </w:p>
    <w:p>
      <w:pPr>
        <w:ind w:firstLine="9"/>
        <w:spacing w:line="3400" w:lineRule="exact"/>
        <w:rPr/>
      </w:pPr>
      <w:r>
        <w:rPr>
          <w:position w:val="-68"/>
        </w:rPr>
        <w:drawing>
          <wp:inline distT="0" distB="0" distL="0" distR="0">
            <wp:extent cx="2730533" cy="2159042"/>
            <wp:effectExtent l="0" t="0" r="0" b="0"/>
            <wp:docPr id="132" name="IM 132"/>
            <wp:cNvGraphicFramePr/>
            <a:graphic>
              <a:graphicData uri="http://schemas.openxmlformats.org/drawingml/2006/picture">
                <pic:pic>
                  <pic:nvPicPr>
                    <pic:cNvPr id="132" name="IM 132"/>
                    <pic:cNvPicPr/>
                  </pic:nvPicPr>
                  <pic:blipFill>
                    <a:blip r:embed="rId92"/>
                    <a:stretch>
                      <a:fillRect/>
                    </a:stretch>
                  </pic:blipFill>
                  <pic:spPr>
                    <a:xfrm rot="0">
                      <a:off x="0" y="0"/>
                      <a:ext cx="2730533" cy="2159042"/>
                    </a:xfrm>
                    <a:prstGeom prst="rect">
                      <a:avLst/>
                    </a:prstGeom>
                  </pic:spPr>
                </pic:pic>
              </a:graphicData>
            </a:graphic>
          </wp:inline>
        </w:drawing>
      </w:r>
    </w:p>
    <w:p>
      <w:pPr>
        <w:ind w:left="1250"/>
        <w:spacing w:before="15" w:line="221" w:lineRule="auto"/>
        <w:rPr>
          <w:rFonts w:ascii="FangSong" w:hAnsi="FangSong" w:eastAsia="FangSong" w:cs="FangSong"/>
          <w:sz w:val="23"/>
          <w:szCs w:val="23"/>
        </w:rPr>
      </w:pPr>
      <w:r>
        <w:rPr>
          <w:rFonts w:ascii="FangSong" w:hAnsi="FangSong" w:eastAsia="FangSong" w:cs="FangSong"/>
          <w:sz w:val="23"/>
          <w:szCs w:val="23"/>
          <w:spacing w:val="26"/>
        </w:rPr>
        <w:t>(冬季植物防寒)</w:t>
      </w:r>
    </w:p>
    <w:p>
      <w:pPr>
        <w:ind w:left="690"/>
        <w:spacing w:before="45" w:line="222" w:lineRule="auto"/>
        <w:rPr>
          <w:rFonts w:ascii="FangSong" w:hAnsi="FangSong" w:eastAsia="FangSong" w:cs="FangSong"/>
          <w:sz w:val="23"/>
          <w:szCs w:val="23"/>
        </w:rPr>
      </w:pPr>
      <w:r>
        <w:rPr>
          <w:rFonts w:ascii="FangSong" w:hAnsi="FangSong" w:eastAsia="FangSong" w:cs="FangSong"/>
          <w:sz w:val="23"/>
          <w:szCs w:val="23"/>
          <w:spacing w:val="19"/>
        </w:rPr>
        <w:t>球形/绿篱防寒架、防寒障</w:t>
      </w:r>
    </w:p>
    <w:p>
      <w:pPr>
        <w:spacing w:line="285" w:lineRule="auto"/>
        <w:rPr>
          <w:rFonts w:ascii="Arial"/>
          <w:sz w:val="21"/>
        </w:rPr>
      </w:pPr>
      <w:r/>
    </w:p>
    <w:p>
      <w:pPr>
        <w:spacing w:line="3050" w:lineRule="exact"/>
        <w:rPr/>
      </w:pPr>
      <w:r>
        <w:rPr>
          <w:position w:val="-61"/>
        </w:rPr>
        <w:drawing>
          <wp:inline distT="0" distB="0" distL="0" distR="0">
            <wp:extent cx="2743230" cy="1936769"/>
            <wp:effectExtent l="0" t="0" r="0" b="0"/>
            <wp:docPr id="134" name="IM 134"/>
            <wp:cNvGraphicFramePr/>
            <a:graphic>
              <a:graphicData uri="http://schemas.openxmlformats.org/drawingml/2006/picture">
                <pic:pic>
                  <pic:nvPicPr>
                    <pic:cNvPr id="134" name="IM 134"/>
                    <pic:cNvPicPr/>
                  </pic:nvPicPr>
                  <pic:blipFill>
                    <a:blip r:embed="rId93"/>
                    <a:stretch>
                      <a:fillRect/>
                    </a:stretch>
                  </pic:blipFill>
                  <pic:spPr>
                    <a:xfrm rot="0">
                      <a:off x="0" y="0"/>
                      <a:ext cx="2743230" cy="1936769"/>
                    </a:xfrm>
                    <a:prstGeom prst="rect">
                      <a:avLst/>
                    </a:prstGeom>
                  </pic:spPr>
                </pic:pic>
              </a:graphicData>
            </a:graphic>
          </wp:inline>
        </w:drawing>
      </w:r>
    </w:p>
    <w:p>
      <w:pPr>
        <w:ind w:left="1250"/>
        <w:spacing w:before="26" w:line="221" w:lineRule="auto"/>
        <w:rPr>
          <w:rFonts w:ascii="FangSong" w:hAnsi="FangSong" w:eastAsia="FangSong" w:cs="FangSong"/>
          <w:sz w:val="23"/>
          <w:szCs w:val="23"/>
        </w:rPr>
      </w:pPr>
      <w:r>
        <w:rPr>
          <w:rFonts w:ascii="FangSong" w:hAnsi="FangSong" w:eastAsia="FangSong" w:cs="FangSong"/>
          <w:sz w:val="23"/>
          <w:szCs w:val="23"/>
          <w:spacing w:val="26"/>
        </w:rPr>
        <w:t>(冬季植物防寒)</w:t>
      </w:r>
    </w:p>
    <w:p>
      <w:pPr>
        <w:ind w:left="1060"/>
        <w:spacing w:before="25" w:line="222" w:lineRule="auto"/>
        <w:rPr>
          <w:rFonts w:ascii="FangSong" w:hAnsi="FangSong" w:eastAsia="FangSong" w:cs="FangSong"/>
          <w:sz w:val="23"/>
          <w:szCs w:val="23"/>
        </w:rPr>
      </w:pPr>
      <w:r>
        <w:rPr>
          <w:rFonts w:ascii="FangSong" w:hAnsi="FangSong" w:eastAsia="FangSong" w:cs="FangSong"/>
          <w:sz w:val="23"/>
          <w:szCs w:val="23"/>
          <w:spacing w:val="19"/>
        </w:rPr>
        <w:t>球形防寒架、防寒障</w:t>
      </w:r>
    </w:p>
    <w:p>
      <w:pPr>
        <w:spacing w:line="222" w:lineRule="auto"/>
        <w:sectPr>
          <w:type w:val="continuous"/>
          <w:pgSz w:w="14490" w:h="20470"/>
          <w:pgMar w:top="1739" w:right="2173" w:bottom="1480" w:left="2173" w:header="0" w:footer="1194" w:gutter="0"/>
          <w:cols w:equalWidth="0" w:num="2">
            <w:col w:w="5447" w:space="100"/>
            <w:col w:w="4597" w:space="0"/>
          </w:cols>
        </w:sectPr>
        <w:rPr>
          <w:rFonts w:ascii="FangSong" w:hAnsi="FangSong" w:eastAsia="FangSong" w:cs="FangSong"/>
          <w:sz w:val="23"/>
          <w:szCs w:val="23"/>
        </w:rPr>
      </w:pPr>
    </w:p>
    <w:p>
      <w:pPr>
        <w:spacing w:line="201" w:lineRule="exact"/>
        <w:rPr/>
      </w:pPr>
      <w:r/>
    </w:p>
    <w:p>
      <w:pPr>
        <w:spacing w:line="201" w:lineRule="exact"/>
        <w:sectPr>
          <w:type w:val="continuous"/>
          <w:pgSz w:w="14490" w:h="20470"/>
          <w:pgMar w:top="1739" w:right="2173" w:bottom="1480" w:left="2173" w:header="0" w:footer="1194" w:gutter="0"/>
          <w:cols w:equalWidth="0" w:num="1">
            <w:col w:w="10144" w:space="0"/>
          </w:cols>
        </w:sectPr>
        <w:rPr/>
      </w:pPr>
    </w:p>
    <w:p>
      <w:pPr>
        <w:ind w:firstLine="196"/>
        <w:spacing w:before="50" w:line="3090" w:lineRule="exact"/>
        <w:rPr/>
      </w:pPr>
      <w:r>
        <w:rPr>
          <w:position w:val="-61"/>
        </w:rPr>
        <w:drawing>
          <wp:inline distT="0" distB="0" distL="0" distR="0">
            <wp:extent cx="2768626" cy="1962116"/>
            <wp:effectExtent l="0" t="0" r="0" b="0"/>
            <wp:docPr id="136" name="IM 136"/>
            <wp:cNvGraphicFramePr/>
            <a:graphic>
              <a:graphicData uri="http://schemas.openxmlformats.org/drawingml/2006/picture">
                <pic:pic>
                  <pic:nvPicPr>
                    <pic:cNvPr id="136" name="IM 136"/>
                    <pic:cNvPicPr/>
                  </pic:nvPicPr>
                  <pic:blipFill>
                    <a:blip r:embed="rId94"/>
                    <a:stretch>
                      <a:fillRect/>
                    </a:stretch>
                  </pic:blipFill>
                  <pic:spPr>
                    <a:xfrm rot="0">
                      <a:off x="0" y="0"/>
                      <a:ext cx="2768626" cy="1962116"/>
                    </a:xfrm>
                    <a:prstGeom prst="rect">
                      <a:avLst/>
                    </a:prstGeom>
                  </pic:spPr>
                </pic:pic>
              </a:graphicData>
            </a:graphic>
          </wp:inline>
        </w:drawing>
      </w:r>
    </w:p>
    <w:p>
      <w:pPr>
        <w:ind w:left="806"/>
        <w:spacing w:before="215" w:line="221" w:lineRule="auto"/>
        <w:rPr>
          <w:rFonts w:ascii="FangSong" w:hAnsi="FangSong" w:eastAsia="FangSong" w:cs="FangSong"/>
          <w:sz w:val="23"/>
          <w:szCs w:val="23"/>
        </w:rPr>
      </w:pPr>
      <w:r>
        <w:rPr>
          <w:rFonts w:ascii="FangSong" w:hAnsi="FangSong" w:eastAsia="FangSong" w:cs="FangSong"/>
          <w:sz w:val="23"/>
          <w:szCs w:val="23"/>
          <w:spacing w:val="31"/>
        </w:rPr>
        <w:t>(冬季植物防寒)防寒障骨架</w:t>
      </w:r>
    </w:p>
    <w:p>
      <w:pPr>
        <w:spacing w:line="208" w:lineRule="exact"/>
        <w:rPr/>
      </w:pPr>
      <w:r/>
    </w:p>
    <w:p>
      <w:pPr>
        <w:spacing w:line="14" w:lineRule="auto"/>
        <w:rPr>
          <w:rFonts w:ascii="Arial"/>
          <w:sz w:val="2"/>
        </w:rPr>
      </w:pPr>
      <w:r>
        <w:rPr>
          <w:rFonts w:ascii="Arial" w:hAnsi="Arial" w:eastAsia="Arial" w:cs="Arial"/>
          <w:sz w:val="2"/>
          <w:szCs w:val="2"/>
        </w:rPr>
        <w:br w:type="column"/>
      </w:r>
    </w:p>
    <w:p>
      <w:pPr>
        <w:spacing w:line="3116" w:lineRule="exact"/>
        <w:rPr/>
      </w:pPr>
      <w:r>
        <w:rPr>
          <w:position w:val="-62"/>
        </w:rPr>
        <w:drawing>
          <wp:inline distT="0" distB="0" distL="0" distR="0">
            <wp:extent cx="2755927" cy="1979014"/>
            <wp:effectExtent l="0" t="0" r="0" b="0"/>
            <wp:docPr id="138" name="IM 138"/>
            <wp:cNvGraphicFramePr/>
            <a:graphic>
              <a:graphicData uri="http://schemas.openxmlformats.org/drawingml/2006/picture">
                <pic:pic>
                  <pic:nvPicPr>
                    <pic:cNvPr id="138" name="IM 138"/>
                    <pic:cNvPicPr/>
                  </pic:nvPicPr>
                  <pic:blipFill>
                    <a:blip r:embed="rId95"/>
                    <a:stretch>
                      <a:fillRect/>
                    </a:stretch>
                  </pic:blipFill>
                  <pic:spPr>
                    <a:xfrm rot="0">
                      <a:off x="0" y="0"/>
                      <a:ext cx="2755927" cy="1979014"/>
                    </a:xfrm>
                    <a:prstGeom prst="rect">
                      <a:avLst/>
                    </a:prstGeom>
                  </pic:spPr>
                </pic:pic>
              </a:graphicData>
            </a:graphic>
          </wp:inline>
        </w:drawing>
      </w:r>
    </w:p>
    <w:p>
      <w:pPr>
        <w:ind w:left="1300"/>
        <w:spacing w:line="219" w:lineRule="auto"/>
        <w:rPr>
          <w:rFonts w:ascii="FangSong" w:hAnsi="FangSong" w:eastAsia="FangSong" w:cs="FangSong"/>
          <w:sz w:val="23"/>
          <w:szCs w:val="23"/>
        </w:rPr>
      </w:pPr>
      <w:r>
        <w:rPr>
          <w:rFonts w:ascii="FangSong" w:hAnsi="FangSong" w:eastAsia="FangSong" w:cs="FangSong"/>
          <w:sz w:val="23"/>
          <w:szCs w:val="23"/>
          <w:spacing w:val="27"/>
        </w:rPr>
        <w:t>(冬季植物防寒)</w:t>
      </w:r>
    </w:p>
    <w:p>
      <w:pPr>
        <w:ind w:left="700"/>
        <w:spacing w:before="165" w:line="222" w:lineRule="auto"/>
        <w:rPr>
          <w:rFonts w:ascii="FangSong" w:hAnsi="FangSong" w:eastAsia="FangSong" w:cs="FangSong"/>
          <w:sz w:val="23"/>
          <w:szCs w:val="23"/>
        </w:rPr>
      </w:pPr>
      <w:r>
        <w:rPr>
          <w:rFonts w:ascii="FangSong" w:hAnsi="FangSong" w:eastAsia="FangSong" w:cs="FangSong"/>
          <w:sz w:val="23"/>
          <w:szCs w:val="23"/>
          <w:spacing w:val="20"/>
        </w:rPr>
        <w:t>为雪松做的三面挡风防寒障</w:t>
      </w:r>
    </w:p>
    <w:p>
      <w:pPr>
        <w:spacing w:line="222" w:lineRule="auto"/>
        <w:sectPr>
          <w:type w:val="continuous"/>
          <w:pgSz w:w="14490" w:h="20470"/>
          <w:pgMar w:top="1739" w:right="2173" w:bottom="1480" w:left="2173" w:header="0" w:footer="1194" w:gutter="0"/>
          <w:cols w:equalWidth="0" w:num="2">
            <w:col w:w="5477" w:space="100"/>
            <w:col w:w="4567" w:space="0"/>
          </w:cols>
        </w:sectPr>
        <w:rPr>
          <w:rFonts w:ascii="FangSong" w:hAnsi="FangSong" w:eastAsia="FangSong" w:cs="FangSong"/>
          <w:sz w:val="23"/>
          <w:szCs w:val="23"/>
        </w:rPr>
      </w:pPr>
    </w:p>
    <w:p>
      <w:pPr>
        <w:pStyle w:val="BodyText"/>
        <w:ind w:left="4166"/>
        <w:spacing w:before="81" w:line="184" w:lineRule="auto"/>
        <w:rPr>
          <w:sz w:val="24"/>
          <w:szCs w:val="24"/>
        </w:rPr>
      </w:pPr>
      <w:r>
        <w:rPr>
          <w:sz w:val="24"/>
          <w:szCs w:val="24"/>
          <w:spacing w:val="3"/>
        </w:rPr>
        <w:t>图2-7-3风障防寒</w:t>
      </w:r>
    </w:p>
    <w:p>
      <w:pPr>
        <w:spacing w:line="184" w:lineRule="auto"/>
        <w:sectPr>
          <w:type w:val="continuous"/>
          <w:pgSz w:w="14490" w:h="20470"/>
          <w:pgMar w:top="1739" w:right="2173" w:bottom="1480" w:left="2173" w:header="0" w:footer="1194" w:gutter="0"/>
          <w:cols w:equalWidth="0" w:num="1">
            <w:col w:w="10144" w:space="0"/>
          </w:cols>
        </w:sectPr>
        <w:rPr>
          <w:sz w:val="24"/>
          <w:szCs w:val="24"/>
        </w:rPr>
      </w:pPr>
    </w:p>
    <w:p>
      <w:pPr>
        <w:pStyle w:val="BodyText"/>
        <w:ind w:left="570"/>
        <w:spacing w:before="118" w:line="217" w:lineRule="auto"/>
        <w:rPr>
          <w:sz w:val="29"/>
          <w:szCs w:val="29"/>
        </w:rPr>
      </w:pPr>
      <w:r>
        <w:rPr>
          <w:sz w:val="29"/>
          <w:szCs w:val="29"/>
          <w:spacing w:val="2"/>
        </w:rPr>
        <w:t>①作业时间：10月下旬-11月下旬，夜</w:t>
      </w:r>
      <w:r>
        <w:rPr>
          <w:sz w:val="29"/>
          <w:szCs w:val="29"/>
          <w:spacing w:val="1"/>
        </w:rPr>
        <w:t>间温度在0℃以上，或早霜来临前</w:t>
      </w:r>
    </w:p>
    <w:p>
      <w:pPr>
        <w:pStyle w:val="BodyText"/>
        <w:ind w:left="570"/>
        <w:spacing w:before="159" w:line="217" w:lineRule="auto"/>
        <w:rPr>
          <w:sz w:val="29"/>
          <w:szCs w:val="29"/>
        </w:rPr>
      </w:pPr>
      <w:r>
        <w:rPr>
          <w:sz w:val="29"/>
          <w:szCs w:val="29"/>
          <w:spacing w:val="-5"/>
        </w:rPr>
        <w:t>②具体方法：</w:t>
      </w:r>
    </w:p>
    <w:p>
      <w:pPr>
        <w:pStyle w:val="BodyText"/>
        <w:ind w:left="570"/>
        <w:spacing w:before="150" w:line="219" w:lineRule="auto"/>
        <w:rPr>
          <w:sz w:val="29"/>
          <w:szCs w:val="29"/>
        </w:rPr>
      </w:pPr>
      <w:r>
        <w:rPr>
          <w:rFonts w:ascii="Times New Roman" w:hAnsi="Times New Roman" w:eastAsia="Times New Roman" w:cs="Times New Roman"/>
          <w:sz w:val="29"/>
          <w:szCs w:val="29"/>
          <w:spacing w:val="2"/>
        </w:rPr>
        <w:t>A</w:t>
      </w:r>
      <w:r>
        <w:rPr>
          <w:sz w:val="29"/>
          <w:szCs w:val="29"/>
          <w:spacing w:val="2"/>
        </w:rPr>
        <w:t>架子的材料：常用竹杆、铁杆、杉木做主骨架，以竹片、铁丝做填空。</w:t>
      </w:r>
    </w:p>
    <w:p>
      <w:pPr>
        <w:pStyle w:val="BodyText"/>
        <w:ind w:firstLine="570"/>
        <w:spacing w:before="118" w:line="317" w:lineRule="auto"/>
        <w:rPr>
          <w:sz w:val="29"/>
          <w:szCs w:val="29"/>
        </w:rPr>
      </w:pPr>
      <w:r>
        <w:rPr>
          <w:rFonts w:ascii="Times New Roman" w:hAnsi="Times New Roman" w:eastAsia="Times New Roman" w:cs="Times New Roman"/>
          <w:sz w:val="29"/>
          <w:szCs w:val="29"/>
          <w:spacing w:val="-16"/>
        </w:rPr>
        <w:t>B </w:t>
      </w:r>
      <w:r>
        <w:rPr>
          <w:sz w:val="29"/>
          <w:szCs w:val="29"/>
          <w:spacing w:val="-16"/>
        </w:rPr>
        <w:t>架子的结构：架子一般为方柱形或圆柱形，架子高度以高于树木约20-30</w:t>
      </w:r>
      <w:r>
        <w:rPr>
          <w:rFonts w:ascii="Times New Roman" w:hAnsi="Times New Roman" w:eastAsia="Times New Roman" w:cs="Times New Roman"/>
          <w:sz w:val="29"/>
          <w:szCs w:val="29"/>
          <w:spacing w:val="-16"/>
        </w:rPr>
        <w:t>cm,  </w:t>
      </w:r>
      <w:r>
        <w:rPr>
          <w:sz w:val="29"/>
          <w:szCs w:val="29"/>
          <w:spacing w:val="-16"/>
        </w:rPr>
        <w:t>宽在</w:t>
      </w:r>
      <w:r>
        <w:rPr>
          <w:sz w:val="29"/>
          <w:szCs w:val="29"/>
        </w:rPr>
        <w:t xml:space="preserve"> </w:t>
      </w:r>
      <w:r>
        <w:rPr>
          <w:sz w:val="29"/>
          <w:szCs w:val="29"/>
          <w:spacing w:val="-1"/>
        </w:rPr>
        <w:t>冠幅外约10-15</w:t>
      </w:r>
      <w:r>
        <w:rPr>
          <w:rFonts w:ascii="Times New Roman" w:hAnsi="Times New Roman" w:eastAsia="Times New Roman" w:cs="Times New Roman"/>
          <w:sz w:val="29"/>
          <w:szCs w:val="29"/>
          <w:spacing w:val="-1"/>
        </w:rPr>
        <w:t>cm, </w:t>
      </w:r>
      <w:r>
        <w:rPr>
          <w:sz w:val="29"/>
          <w:szCs w:val="29"/>
          <w:spacing w:val="-1"/>
        </w:rPr>
        <w:t>立杆下部埋土约30-60</w:t>
      </w:r>
      <w:r>
        <w:rPr>
          <w:rFonts w:ascii="Times New Roman" w:hAnsi="Times New Roman" w:eastAsia="Times New Roman" w:cs="Times New Roman"/>
          <w:sz w:val="29"/>
          <w:szCs w:val="29"/>
          <w:spacing w:val="-1"/>
        </w:rPr>
        <w:t>cm,</w:t>
      </w:r>
      <w:r>
        <w:rPr>
          <w:rFonts w:ascii="Times New Roman" w:hAnsi="Times New Roman" w:eastAsia="Times New Roman" w:cs="Times New Roman"/>
          <w:sz w:val="29"/>
          <w:szCs w:val="29"/>
          <w:spacing w:val="31"/>
        </w:rPr>
        <w:t xml:space="preserve">  </w:t>
      </w:r>
      <w:r>
        <w:rPr>
          <w:sz w:val="29"/>
          <w:szCs w:val="29"/>
          <w:spacing w:val="-1"/>
        </w:rPr>
        <w:t>相邻立杆间每隔约1米绑一横杆，以</w:t>
      </w:r>
      <w:r>
        <w:rPr>
          <w:sz w:val="29"/>
          <w:szCs w:val="29"/>
        </w:rPr>
        <w:t xml:space="preserve">  </w:t>
      </w:r>
      <w:r>
        <w:rPr>
          <w:sz w:val="29"/>
          <w:szCs w:val="29"/>
          <w:spacing w:val="1"/>
        </w:rPr>
        <w:t>使支架牢固不摇晃；过空的部位可以加竹片或铁丝。</w:t>
      </w:r>
    </w:p>
    <w:p>
      <w:pPr>
        <w:pStyle w:val="BodyText"/>
        <w:ind w:right="276" w:firstLine="570"/>
        <w:spacing w:before="14" w:line="315" w:lineRule="auto"/>
        <w:rPr>
          <w:sz w:val="29"/>
          <w:szCs w:val="29"/>
        </w:rPr>
      </w:pPr>
      <w:r>
        <w:rPr>
          <w:rFonts w:ascii="Times New Roman" w:hAnsi="Times New Roman" w:eastAsia="Times New Roman" w:cs="Times New Roman"/>
          <w:sz w:val="29"/>
          <w:szCs w:val="29"/>
          <w:spacing w:val="7"/>
        </w:rPr>
        <w:t>C</w:t>
      </w:r>
      <w:r>
        <w:rPr>
          <w:sz w:val="29"/>
          <w:szCs w:val="29"/>
          <w:spacing w:val="7"/>
        </w:rPr>
        <w:t>包裹的材料：外层以墨绿色无纺布(80-120克/平方米)为主，根据当地气</w:t>
      </w:r>
      <w:r>
        <w:rPr>
          <w:sz w:val="29"/>
          <w:szCs w:val="29"/>
        </w:rPr>
        <w:t xml:space="preserve"> </w:t>
      </w:r>
      <w:r>
        <w:rPr>
          <w:sz w:val="29"/>
          <w:szCs w:val="29"/>
          <w:spacing w:val="2"/>
        </w:rPr>
        <w:t>候里面加1-2层(薄膜、草帘、无纺布)。</w:t>
      </w:r>
    </w:p>
    <w:p>
      <w:pPr>
        <w:pStyle w:val="BodyText"/>
        <w:ind w:right="49" w:firstLine="570"/>
        <w:spacing w:before="4" w:line="310" w:lineRule="auto"/>
        <w:rPr>
          <w:sz w:val="29"/>
          <w:szCs w:val="29"/>
        </w:rPr>
      </w:pPr>
      <w:r>
        <w:rPr>
          <w:rFonts w:ascii="Times New Roman" w:hAnsi="Times New Roman" w:eastAsia="Times New Roman" w:cs="Times New Roman"/>
          <w:sz w:val="29"/>
          <w:szCs w:val="29"/>
          <w:spacing w:val="-11"/>
        </w:rPr>
        <w:t>D</w:t>
      </w:r>
      <w:r>
        <w:rPr>
          <w:rFonts w:ascii="Times New Roman" w:hAnsi="Times New Roman" w:eastAsia="Times New Roman" w:cs="Times New Roman"/>
          <w:sz w:val="29"/>
          <w:szCs w:val="29"/>
          <w:spacing w:val="-23"/>
        </w:rPr>
        <w:t xml:space="preserve"> </w:t>
      </w:r>
      <w:r>
        <w:rPr>
          <w:sz w:val="29"/>
          <w:szCs w:val="29"/>
          <w:spacing w:val="-11"/>
        </w:rPr>
        <w:t>包裹的方法：先根据搭的架子情况裁定绿色无统布及用粗针对其进行缝接；覆</w:t>
      </w:r>
      <w:r>
        <w:rPr>
          <w:sz w:val="29"/>
          <w:szCs w:val="29"/>
        </w:rPr>
        <w:t xml:space="preserve"> </w:t>
      </w:r>
      <w:r>
        <w:rPr>
          <w:sz w:val="29"/>
          <w:szCs w:val="29"/>
          <w:spacing w:val="-9"/>
        </w:rPr>
        <w:t>盖物要扯平，在支架的边角毛糙部位要衬垫防止薄膜或无</w:t>
      </w:r>
      <w:r>
        <w:rPr>
          <w:sz w:val="29"/>
          <w:szCs w:val="29"/>
          <w:spacing w:val="-10"/>
        </w:rPr>
        <w:t>纺布破损，支架间用细绳绑</w:t>
      </w:r>
      <w:r>
        <w:rPr>
          <w:sz w:val="29"/>
          <w:szCs w:val="29"/>
        </w:rPr>
        <w:t xml:space="preserve"> </w:t>
      </w:r>
      <w:r>
        <w:rPr>
          <w:sz w:val="29"/>
          <w:szCs w:val="29"/>
          <w:spacing w:val="-4"/>
        </w:rPr>
        <w:t>扎，外用颜色相近结实的绳子(绿色的打包绳)绑压；离地要留出15-20</w:t>
      </w:r>
      <w:r>
        <w:rPr>
          <w:rFonts w:ascii="Times New Roman" w:hAnsi="Times New Roman" w:eastAsia="Times New Roman" w:cs="Times New Roman"/>
          <w:sz w:val="29"/>
          <w:szCs w:val="29"/>
          <w:spacing w:val="-4"/>
        </w:rPr>
        <w:t>cm</w:t>
      </w:r>
      <w:r>
        <w:rPr>
          <w:sz w:val="29"/>
          <w:szCs w:val="29"/>
          <w:spacing w:val="-4"/>
        </w:rPr>
        <w:t>绿色无纺</w:t>
      </w:r>
      <w:r>
        <w:rPr>
          <w:sz w:val="29"/>
          <w:szCs w:val="29"/>
          <w:spacing w:val="7"/>
        </w:rPr>
        <w:t xml:space="preserve">  </w:t>
      </w:r>
      <w:r>
        <w:rPr>
          <w:sz w:val="29"/>
          <w:szCs w:val="29"/>
          <w:spacing w:val="2"/>
        </w:rPr>
        <w:t>布用土压实。也可做出活动的观察口或透气降</w:t>
      </w:r>
      <w:r>
        <w:rPr>
          <w:sz w:val="29"/>
          <w:szCs w:val="29"/>
          <w:spacing w:val="1"/>
        </w:rPr>
        <w:t>温部位。</w:t>
      </w:r>
    </w:p>
    <w:p>
      <w:pPr>
        <w:pStyle w:val="BodyText"/>
        <w:ind w:left="570" w:right="40"/>
        <w:spacing w:before="18" w:line="308" w:lineRule="auto"/>
        <w:rPr>
          <w:sz w:val="29"/>
          <w:szCs w:val="29"/>
        </w:rPr>
      </w:pPr>
      <w:r>
        <w:rPr>
          <w:rFonts w:ascii="Times New Roman" w:hAnsi="Times New Roman" w:eastAsia="Times New Roman" w:cs="Times New Roman"/>
          <w:sz w:val="29"/>
          <w:szCs w:val="29"/>
          <w:spacing w:val="6"/>
        </w:rPr>
        <w:t>E</w:t>
      </w:r>
      <w:r>
        <w:rPr>
          <w:sz w:val="29"/>
          <w:szCs w:val="29"/>
          <w:spacing w:val="6"/>
        </w:rPr>
        <w:t>包裹的时间：植物进入休眠，夜间温度在0℃以上，或早霜、早雪来临前。</w:t>
      </w:r>
      <w:r>
        <w:rPr>
          <w:sz w:val="29"/>
          <w:szCs w:val="29"/>
          <w:spacing w:val="17"/>
        </w:rPr>
        <w:t xml:space="preserve"> </w:t>
      </w:r>
      <w:r>
        <w:rPr>
          <w:rFonts w:ascii="Times New Roman" w:hAnsi="Times New Roman" w:eastAsia="Times New Roman" w:cs="Times New Roman"/>
          <w:sz w:val="29"/>
          <w:szCs w:val="29"/>
          <w:spacing w:val="8"/>
        </w:rPr>
        <w:t>F</w:t>
      </w:r>
      <w:r>
        <w:rPr>
          <w:sz w:val="29"/>
          <w:szCs w:val="29"/>
          <w:spacing w:val="8"/>
        </w:rPr>
        <w:t>可在1-2个风障内挂气温计，结合天气预报观察。</w:t>
      </w:r>
    </w:p>
    <w:p>
      <w:pPr>
        <w:pStyle w:val="BodyText"/>
        <w:ind w:left="570"/>
        <w:spacing w:before="12" w:line="219" w:lineRule="auto"/>
        <w:rPr>
          <w:sz w:val="29"/>
          <w:szCs w:val="29"/>
        </w:rPr>
      </w:pPr>
      <w:r>
        <w:rPr>
          <w:rFonts w:ascii="Times New Roman" w:hAnsi="Times New Roman" w:eastAsia="Times New Roman" w:cs="Times New Roman"/>
          <w:sz w:val="29"/>
          <w:szCs w:val="29"/>
          <w:spacing w:val="2"/>
        </w:rPr>
        <w:t>G</w:t>
      </w:r>
      <w:r>
        <w:rPr>
          <w:sz w:val="29"/>
          <w:szCs w:val="29"/>
          <w:spacing w:val="2"/>
        </w:rPr>
        <w:t>北方地区雪松、云杉等可以采取迎风面搭挡风障，不</w:t>
      </w:r>
      <w:r>
        <w:rPr>
          <w:sz w:val="29"/>
          <w:szCs w:val="29"/>
          <w:spacing w:val="1"/>
        </w:rPr>
        <w:t>用全部覆盖。</w:t>
      </w:r>
    </w:p>
    <w:p>
      <w:pPr>
        <w:pStyle w:val="BodyText"/>
        <w:ind w:right="279" w:firstLine="570"/>
        <w:spacing w:before="124" w:line="286" w:lineRule="auto"/>
        <w:rPr>
          <w:sz w:val="29"/>
          <w:szCs w:val="29"/>
        </w:rPr>
      </w:pPr>
      <w:r>
        <w:rPr>
          <w:sz w:val="29"/>
          <w:szCs w:val="29"/>
          <w:spacing w:val="17"/>
        </w:rPr>
        <w:t>③去除时间：第二年春季一般在3月份气温稳定在3-5℃(晚霜)后逐步拆</w:t>
      </w:r>
      <w:r>
        <w:rPr>
          <w:sz w:val="29"/>
          <w:szCs w:val="29"/>
          <w:spacing w:val="13"/>
        </w:rPr>
        <w:t xml:space="preserve"> </w:t>
      </w:r>
      <w:r>
        <w:rPr>
          <w:sz w:val="29"/>
          <w:szCs w:val="29"/>
          <w:spacing w:val="-16"/>
        </w:rPr>
        <w:t>除。拆除时先白天底部掀起20-40</w:t>
      </w:r>
      <w:r>
        <w:rPr>
          <w:rFonts w:ascii="Times New Roman" w:hAnsi="Times New Roman" w:eastAsia="Times New Roman" w:cs="Times New Roman"/>
          <w:sz w:val="29"/>
          <w:szCs w:val="29"/>
          <w:spacing w:val="-16"/>
        </w:rPr>
        <w:t>cm</w:t>
      </w:r>
      <w:r>
        <w:rPr>
          <w:rFonts w:ascii="Times New Roman" w:hAnsi="Times New Roman" w:eastAsia="Times New Roman" w:cs="Times New Roman"/>
          <w:sz w:val="29"/>
          <w:szCs w:val="29"/>
          <w:spacing w:val="-36"/>
        </w:rPr>
        <w:t xml:space="preserve"> </w:t>
      </w:r>
      <w:r>
        <w:rPr>
          <w:sz w:val="29"/>
          <w:szCs w:val="29"/>
          <w:spacing w:val="-16"/>
        </w:rPr>
        <w:t>高或打开背风面，晚上再盖好，可逐日加高</w:t>
      </w:r>
      <w:r>
        <w:rPr>
          <w:sz w:val="29"/>
          <w:szCs w:val="29"/>
          <w:spacing w:val="-17"/>
        </w:rPr>
        <w:t>，5-7</w:t>
      </w:r>
      <w:r>
        <w:rPr>
          <w:sz w:val="29"/>
          <w:szCs w:val="29"/>
        </w:rPr>
        <w:t xml:space="preserve"> </w:t>
      </w:r>
      <w:r>
        <w:rPr>
          <w:sz w:val="29"/>
          <w:szCs w:val="29"/>
          <w:spacing w:val="-1"/>
        </w:rPr>
        <w:t>天后可完全拆除。</w:t>
      </w:r>
    </w:p>
    <w:p>
      <w:pPr>
        <w:pStyle w:val="BodyText"/>
        <w:ind w:left="570"/>
        <w:spacing w:before="186" w:line="220" w:lineRule="auto"/>
        <w:rPr>
          <w:sz w:val="27"/>
          <w:szCs w:val="27"/>
        </w:rPr>
      </w:pPr>
      <w:r>
        <w:rPr>
          <w:sz w:val="27"/>
          <w:szCs w:val="27"/>
          <w:spacing w:val="44"/>
        </w:rPr>
        <w:t>4)注意事项</w:t>
      </w:r>
    </w:p>
    <w:p>
      <w:pPr>
        <w:pStyle w:val="BodyText"/>
        <w:ind w:right="278" w:firstLine="730"/>
        <w:spacing w:before="135" w:line="280" w:lineRule="auto"/>
        <w:rPr>
          <w:sz w:val="29"/>
          <w:szCs w:val="29"/>
        </w:rPr>
      </w:pPr>
      <w:r>
        <w:rPr>
          <w:sz w:val="29"/>
          <w:szCs w:val="29"/>
          <w:spacing w:val="9"/>
        </w:rPr>
        <w:t>(1)种植两三年以上，已基本适应当地气候的乔灌木可适当</w:t>
      </w:r>
      <w:r>
        <w:rPr>
          <w:sz w:val="29"/>
          <w:szCs w:val="29"/>
          <w:spacing w:val="8"/>
        </w:rPr>
        <w:t>考虑降低防寒</w:t>
      </w:r>
      <w:r>
        <w:rPr>
          <w:sz w:val="29"/>
          <w:szCs w:val="29"/>
        </w:rPr>
        <w:t xml:space="preserve"> </w:t>
      </w:r>
      <w:r>
        <w:rPr>
          <w:sz w:val="29"/>
          <w:szCs w:val="29"/>
          <w:spacing w:val="-9"/>
        </w:rPr>
        <w:t>要求或不做防寒，对贵重苗木、南树北移苗木、长势不良苗木等需重点做好防寒工</w:t>
      </w:r>
      <w:r>
        <w:rPr>
          <w:sz w:val="29"/>
          <w:szCs w:val="29"/>
          <w:spacing w:val="8"/>
        </w:rPr>
        <w:t xml:space="preserve"> </w:t>
      </w:r>
      <w:r>
        <w:rPr>
          <w:sz w:val="29"/>
          <w:szCs w:val="29"/>
          <w:spacing w:val="-7"/>
        </w:rPr>
        <w:t>作；</w:t>
      </w:r>
    </w:p>
    <w:p>
      <w:pPr>
        <w:pStyle w:val="BodyText"/>
        <w:ind w:right="373" w:firstLine="730"/>
        <w:spacing w:before="153" w:line="269" w:lineRule="auto"/>
        <w:rPr>
          <w:sz w:val="29"/>
          <w:szCs w:val="29"/>
        </w:rPr>
      </w:pPr>
      <w:r>
        <w:rPr>
          <w:sz w:val="29"/>
          <w:szCs w:val="29"/>
          <w:spacing w:val="6"/>
        </w:rPr>
        <w:t>(2)对不耐寒的树种和树势较弱的植株应分别采取不同防寒措施，贵</w:t>
      </w:r>
      <w:r>
        <w:rPr>
          <w:sz w:val="29"/>
          <w:szCs w:val="29"/>
          <w:spacing w:val="5"/>
        </w:rPr>
        <w:t>重植</w:t>
      </w:r>
      <w:r>
        <w:rPr>
          <w:sz w:val="29"/>
          <w:szCs w:val="29"/>
        </w:rPr>
        <w:t xml:space="preserve"> </w:t>
      </w:r>
      <w:r>
        <w:rPr>
          <w:sz w:val="29"/>
          <w:szCs w:val="29"/>
        </w:rPr>
        <w:t>物应单独对其搭建风障、保温棚以保证顺利越冬；</w:t>
      </w:r>
    </w:p>
    <w:p>
      <w:pPr>
        <w:pStyle w:val="BodyText"/>
        <w:ind w:left="730"/>
        <w:spacing w:before="146" w:line="219" w:lineRule="auto"/>
        <w:rPr>
          <w:sz w:val="29"/>
          <w:szCs w:val="29"/>
        </w:rPr>
      </w:pPr>
      <w:r>
        <w:rPr>
          <w:sz w:val="29"/>
          <w:szCs w:val="29"/>
          <w:spacing w:val="-1"/>
        </w:rPr>
        <w:t>(3)</w:t>
      </w:r>
      <w:r>
        <w:rPr>
          <w:sz w:val="29"/>
          <w:szCs w:val="29"/>
          <w:spacing w:val="93"/>
        </w:rPr>
        <w:t xml:space="preserve"> </w:t>
      </w:r>
      <w:r>
        <w:rPr>
          <w:sz w:val="29"/>
          <w:szCs w:val="29"/>
          <w:spacing w:val="-1"/>
        </w:rPr>
        <w:t>密切关注天气变化，根据天气情况及时增</w:t>
      </w:r>
      <w:r>
        <w:rPr>
          <w:sz w:val="29"/>
          <w:szCs w:val="29"/>
          <w:spacing w:val="-2"/>
        </w:rPr>
        <w:t>加保暖或通风降温；</w:t>
      </w:r>
    </w:p>
    <w:p>
      <w:pPr>
        <w:pStyle w:val="BodyText"/>
        <w:ind w:left="730"/>
        <w:spacing w:before="144" w:line="219" w:lineRule="auto"/>
        <w:rPr>
          <w:sz w:val="29"/>
          <w:szCs w:val="29"/>
        </w:rPr>
      </w:pPr>
      <w:r>
        <w:rPr>
          <w:sz w:val="29"/>
          <w:szCs w:val="29"/>
          <w:spacing w:val="6"/>
        </w:rPr>
        <w:t>(4)在防寒初期，应充分考虑到防寒材料的二次回收</w:t>
      </w:r>
      <w:r>
        <w:rPr>
          <w:sz w:val="29"/>
          <w:szCs w:val="29"/>
          <w:spacing w:val="5"/>
        </w:rPr>
        <w:t>利用：</w:t>
      </w:r>
    </w:p>
    <w:p>
      <w:pPr>
        <w:pStyle w:val="BodyText"/>
        <w:ind w:left="570"/>
        <w:spacing w:before="154" w:line="217" w:lineRule="auto"/>
        <w:rPr>
          <w:sz w:val="29"/>
          <w:szCs w:val="29"/>
        </w:rPr>
      </w:pPr>
      <w:r>
        <w:rPr>
          <w:sz w:val="29"/>
          <w:szCs w:val="29"/>
        </w:rPr>
        <w:t>①搭架时，在尖锐部位垫上软物，防止刺破薄膜和无纺布；</w:t>
      </w:r>
    </w:p>
    <w:p>
      <w:pPr>
        <w:pStyle w:val="BodyText"/>
        <w:ind w:right="493" w:firstLine="570"/>
        <w:spacing w:before="148" w:line="267" w:lineRule="auto"/>
        <w:rPr>
          <w:sz w:val="29"/>
          <w:szCs w:val="29"/>
        </w:rPr>
      </w:pPr>
      <w:r>
        <w:rPr>
          <w:sz w:val="29"/>
          <w:szCs w:val="29"/>
          <w:spacing w:val="-6"/>
        </w:rPr>
        <w:t>②在拆除防寒材料时，对已经缝制好的无纺布罩做好标记，编号存放，来年</w:t>
      </w:r>
      <w:r>
        <w:rPr>
          <w:sz w:val="29"/>
          <w:szCs w:val="29"/>
        </w:rPr>
        <w:t xml:space="preserve"> </w:t>
      </w:r>
      <w:r>
        <w:rPr>
          <w:sz w:val="29"/>
          <w:szCs w:val="29"/>
          <w:spacing w:val="-2"/>
        </w:rPr>
        <w:t>搭同样大小的架子，直接上盖；</w:t>
      </w:r>
    </w:p>
    <w:p>
      <w:pPr>
        <w:pStyle w:val="BodyText"/>
        <w:ind w:right="314" w:firstLine="570"/>
        <w:spacing w:before="141" w:line="260" w:lineRule="auto"/>
        <w:rPr>
          <w:sz w:val="29"/>
          <w:szCs w:val="29"/>
        </w:rPr>
      </w:pPr>
      <w:r>
        <w:rPr>
          <w:sz w:val="29"/>
          <w:szCs w:val="29"/>
          <w:spacing w:val="-9"/>
        </w:rPr>
        <w:t>③杉木杆、铁管在仓库堆放时，应做好防潮、防霉、防锈处理，所</w:t>
      </w:r>
      <w:r>
        <w:rPr>
          <w:sz w:val="29"/>
          <w:szCs w:val="29"/>
          <w:spacing w:val="-10"/>
        </w:rPr>
        <w:t>有能够二次</w:t>
      </w:r>
      <w:r>
        <w:rPr>
          <w:sz w:val="29"/>
          <w:szCs w:val="29"/>
        </w:rPr>
        <w:t xml:space="preserve"> </w:t>
      </w:r>
      <w:r>
        <w:rPr>
          <w:sz w:val="29"/>
          <w:szCs w:val="29"/>
          <w:spacing w:val="-2"/>
        </w:rPr>
        <w:t>回收利用的材料都应妥善保存；</w:t>
      </w:r>
    </w:p>
    <w:p>
      <w:pPr>
        <w:pStyle w:val="BodyText"/>
        <w:ind w:right="483" w:firstLine="570"/>
        <w:spacing w:before="175" w:line="260" w:lineRule="auto"/>
        <w:rPr>
          <w:sz w:val="29"/>
          <w:szCs w:val="29"/>
        </w:rPr>
      </w:pPr>
      <w:r>
        <w:rPr>
          <w:sz w:val="29"/>
          <w:szCs w:val="29"/>
          <w:spacing w:val="-5"/>
        </w:rPr>
        <w:t>④防寒无纺布第二年重复利用率要求：华南/华中/华东/华</w:t>
      </w:r>
      <w:r>
        <w:rPr>
          <w:sz w:val="29"/>
          <w:szCs w:val="29"/>
          <w:spacing w:val="-6"/>
        </w:rPr>
        <w:t>北达80%以上，西</w:t>
      </w:r>
      <w:r>
        <w:rPr>
          <w:sz w:val="29"/>
          <w:szCs w:val="29"/>
        </w:rPr>
        <w:t xml:space="preserve"> </w:t>
      </w:r>
      <w:r>
        <w:rPr>
          <w:sz w:val="29"/>
          <w:szCs w:val="29"/>
          <w:spacing w:val="14"/>
        </w:rPr>
        <w:t>北(含呼和浩特项目组)达70%以上，东北达6</w:t>
      </w:r>
      <w:r>
        <w:rPr>
          <w:sz w:val="29"/>
          <w:szCs w:val="29"/>
          <w:spacing w:val="13"/>
        </w:rPr>
        <w:t>0%以上；</w:t>
      </w:r>
    </w:p>
    <w:p>
      <w:pPr>
        <w:pStyle w:val="BodyText"/>
        <w:ind w:left="730"/>
        <w:spacing w:before="156" w:line="219" w:lineRule="auto"/>
        <w:rPr>
          <w:sz w:val="29"/>
          <w:szCs w:val="29"/>
        </w:rPr>
      </w:pPr>
      <w:r>
        <w:rPr>
          <w:sz w:val="29"/>
          <w:szCs w:val="29"/>
          <w:spacing w:val="-4"/>
        </w:rPr>
        <w:t>(5)</w:t>
      </w:r>
      <w:r>
        <w:rPr>
          <w:sz w:val="29"/>
          <w:szCs w:val="29"/>
          <w:spacing w:val="93"/>
        </w:rPr>
        <w:t xml:space="preserve"> </w:t>
      </w:r>
      <w:r>
        <w:rPr>
          <w:sz w:val="29"/>
          <w:szCs w:val="29"/>
          <w:spacing w:val="-4"/>
        </w:rPr>
        <w:t>防寒效果须同时兼顾美观。</w:t>
      </w:r>
    </w:p>
    <w:p>
      <w:pPr>
        <w:spacing w:line="219" w:lineRule="auto"/>
        <w:sectPr>
          <w:footerReference w:type="default" r:id="rId96"/>
          <w:pgSz w:w="14490" w:h="20470"/>
          <w:pgMar w:top="1739" w:right="1904" w:bottom="1413" w:left="2150" w:header="0" w:footer="1215" w:gutter="0"/>
        </w:sectPr>
        <w:rPr>
          <w:sz w:val="29"/>
          <w:szCs w:val="29"/>
        </w:rPr>
      </w:pPr>
    </w:p>
    <w:p>
      <w:pPr>
        <w:spacing w:before="208" w:line="223" w:lineRule="auto"/>
        <w:rPr>
          <w:rFonts w:ascii="SimHei" w:hAnsi="SimHei" w:eastAsia="SimHei" w:cs="SimHei"/>
          <w:sz w:val="28"/>
          <w:szCs w:val="28"/>
        </w:rPr>
      </w:pPr>
      <w:r>
        <w:rPr>
          <w:rFonts w:ascii="SimHei" w:hAnsi="SimHei" w:eastAsia="SimHei" w:cs="SimHei"/>
          <w:sz w:val="28"/>
          <w:szCs w:val="28"/>
          <w:spacing w:val="9"/>
        </w:rPr>
        <w:t>2、</w:t>
      </w:r>
      <w:r>
        <w:rPr>
          <w:rFonts w:ascii="SimHei" w:hAnsi="SimHei" w:eastAsia="SimHei" w:cs="SimHei"/>
          <w:sz w:val="28"/>
          <w:szCs w:val="28"/>
          <w:b/>
          <w:bCs/>
          <w:spacing w:val="9"/>
        </w:rPr>
        <w:t>日灼</w:t>
      </w:r>
    </w:p>
    <w:p>
      <w:pPr>
        <w:pStyle w:val="BodyText"/>
        <w:ind w:left="590"/>
        <w:spacing w:before="91" w:line="216" w:lineRule="auto"/>
        <w:rPr>
          <w:sz w:val="29"/>
          <w:szCs w:val="29"/>
        </w:rPr>
      </w:pPr>
      <w:r>
        <w:drawing>
          <wp:anchor distT="0" distB="0" distL="0" distR="0" simplePos="0" relativeHeight="251743232" behindDoc="0" locked="0" layoutInCell="1" allowOverlap="1">
            <wp:simplePos x="0" y="0"/>
            <wp:positionH relativeFrom="column">
              <wp:posOffset>133324</wp:posOffset>
            </wp:positionH>
            <wp:positionV relativeFrom="paragraph">
              <wp:posOffset>307459</wp:posOffset>
            </wp:positionV>
            <wp:extent cx="2432047" cy="2343101"/>
            <wp:effectExtent l="0" t="0" r="0" b="0"/>
            <wp:wrapNone/>
            <wp:docPr id="140" name="IM 140"/>
            <wp:cNvGraphicFramePr/>
            <a:graphic>
              <a:graphicData uri="http://schemas.openxmlformats.org/drawingml/2006/picture">
                <pic:pic>
                  <pic:nvPicPr>
                    <pic:cNvPr id="140" name="IM 140"/>
                    <pic:cNvPicPr/>
                  </pic:nvPicPr>
                  <pic:blipFill>
                    <a:blip r:embed="rId98"/>
                    <a:stretch>
                      <a:fillRect/>
                    </a:stretch>
                  </pic:blipFill>
                  <pic:spPr>
                    <a:xfrm rot="0">
                      <a:off x="0" y="0"/>
                      <a:ext cx="2432047" cy="2343101"/>
                    </a:xfrm>
                    <a:prstGeom prst="rect">
                      <a:avLst/>
                    </a:prstGeom>
                  </pic:spPr>
                </pic:pic>
              </a:graphicData>
            </a:graphic>
          </wp:anchor>
        </w:drawing>
      </w:r>
      <w:r>
        <w:rPr>
          <w:sz w:val="29"/>
          <w:szCs w:val="29"/>
          <w:spacing w:val="10"/>
        </w:rPr>
        <w:t>夏季或冬季受温度剧变(过高或过底),向阳面枝干及果实易发生日灼。</w:t>
      </w:r>
    </w:p>
    <w:p>
      <w:pPr>
        <w:ind w:firstLine="4189"/>
        <w:spacing w:before="62" w:line="3690" w:lineRule="exact"/>
        <w:rPr/>
      </w:pPr>
      <w:r>
        <w:rPr>
          <w:position w:val="-73"/>
        </w:rPr>
        <w:drawing>
          <wp:inline distT="0" distB="0" distL="0" distR="0">
            <wp:extent cx="3479782" cy="2343100"/>
            <wp:effectExtent l="0" t="0" r="0" b="0"/>
            <wp:docPr id="142" name="IM 142"/>
            <wp:cNvGraphicFramePr/>
            <a:graphic>
              <a:graphicData uri="http://schemas.openxmlformats.org/drawingml/2006/picture">
                <pic:pic>
                  <pic:nvPicPr>
                    <pic:cNvPr id="142" name="IM 142"/>
                    <pic:cNvPicPr/>
                  </pic:nvPicPr>
                  <pic:blipFill>
                    <a:blip r:embed="rId99"/>
                    <a:stretch>
                      <a:fillRect/>
                    </a:stretch>
                  </pic:blipFill>
                  <pic:spPr>
                    <a:xfrm rot="0">
                      <a:off x="0" y="0"/>
                      <a:ext cx="3479782" cy="2343100"/>
                    </a:xfrm>
                    <a:prstGeom prst="rect">
                      <a:avLst/>
                    </a:prstGeom>
                  </pic:spPr>
                </pic:pic>
              </a:graphicData>
            </a:graphic>
          </wp:inline>
        </w:drawing>
      </w:r>
    </w:p>
    <w:p>
      <w:pPr>
        <w:pStyle w:val="BodyText"/>
        <w:ind w:left="4329"/>
        <w:spacing w:before="111" w:line="220" w:lineRule="auto"/>
        <w:rPr>
          <w:sz w:val="26"/>
          <w:szCs w:val="26"/>
        </w:rPr>
      </w:pPr>
      <w:r>
        <w:rPr>
          <w:sz w:val="26"/>
          <w:szCs w:val="26"/>
          <w:spacing w:val="-12"/>
        </w:rPr>
        <w:t>图2-7-4日灼</w:t>
      </w:r>
    </w:p>
    <w:p>
      <w:pPr>
        <w:pStyle w:val="BodyText"/>
        <w:ind w:left="590"/>
        <w:spacing w:before="140" w:line="219" w:lineRule="auto"/>
        <w:rPr>
          <w:sz w:val="29"/>
          <w:szCs w:val="29"/>
        </w:rPr>
      </w:pPr>
      <w:r>
        <w:rPr>
          <w:sz w:val="29"/>
          <w:szCs w:val="29"/>
          <w:spacing w:val="22"/>
        </w:rPr>
        <w:t>1)夏季日灼</w:t>
      </w:r>
    </w:p>
    <w:p>
      <w:pPr>
        <w:pStyle w:val="BodyText"/>
        <w:ind w:right="215" w:firstLine="590"/>
        <w:spacing w:before="157" w:line="310" w:lineRule="auto"/>
        <w:rPr>
          <w:sz w:val="29"/>
          <w:szCs w:val="29"/>
        </w:rPr>
      </w:pPr>
      <w:r>
        <w:rPr>
          <w:sz w:val="29"/>
          <w:szCs w:val="29"/>
        </w:rPr>
        <w:t>在夏季水分供应不足，炎热干燥的条件下，植物</w:t>
      </w:r>
      <w:r>
        <w:rPr>
          <w:sz w:val="29"/>
          <w:szCs w:val="29"/>
          <w:spacing w:val="-1"/>
        </w:rPr>
        <w:t>的蒸腾作用减弱，日光直射</w:t>
      </w:r>
      <w:r>
        <w:rPr>
          <w:sz w:val="29"/>
          <w:szCs w:val="29"/>
        </w:rPr>
        <w:t xml:space="preserve"> </w:t>
      </w:r>
      <w:r>
        <w:rPr>
          <w:sz w:val="29"/>
          <w:szCs w:val="29"/>
          <w:spacing w:val="8"/>
        </w:rPr>
        <w:t>裸露的果树枝干和果实，使表面温度达40℃以上时，即可引起灼伤，果实和枝</w:t>
      </w:r>
      <w:r>
        <w:rPr>
          <w:sz w:val="29"/>
          <w:szCs w:val="29"/>
          <w:spacing w:val="4"/>
        </w:rPr>
        <w:t xml:space="preserve"> </w:t>
      </w:r>
      <w:r>
        <w:rPr>
          <w:sz w:val="29"/>
          <w:szCs w:val="29"/>
        </w:rPr>
        <w:t>条因向阳面剧烈增温而遭受伤害。</w:t>
      </w:r>
    </w:p>
    <w:p>
      <w:pPr>
        <w:pStyle w:val="BodyText"/>
        <w:ind w:right="150" w:firstLine="590"/>
        <w:spacing w:before="16" w:line="325" w:lineRule="auto"/>
        <w:rPr>
          <w:sz w:val="29"/>
          <w:szCs w:val="29"/>
        </w:rPr>
      </w:pPr>
      <w:r>
        <w:rPr>
          <w:sz w:val="29"/>
          <w:szCs w:val="29"/>
          <w:spacing w:val="2"/>
        </w:rPr>
        <w:t>受害特征：果实上出现淡紫色或淡褐色的干焰</w:t>
      </w:r>
      <w:r>
        <w:rPr>
          <w:sz w:val="29"/>
          <w:szCs w:val="29"/>
          <w:spacing w:val="1"/>
        </w:rPr>
        <w:t>斑，严重时表现为果实开裂、</w:t>
      </w:r>
      <w:r>
        <w:rPr>
          <w:sz w:val="29"/>
          <w:szCs w:val="29"/>
        </w:rPr>
        <w:t xml:space="preserve"> </w:t>
      </w:r>
      <w:r>
        <w:rPr>
          <w:sz w:val="29"/>
          <w:szCs w:val="29"/>
          <w:spacing w:val="1"/>
        </w:rPr>
        <w:t>枝条表面出现裂斑，在苹果、桃、梨和葡萄等观果上均有发生。</w:t>
      </w:r>
    </w:p>
    <w:p>
      <w:pPr>
        <w:pStyle w:val="BodyText"/>
        <w:ind w:left="590"/>
        <w:spacing w:before="1" w:line="219" w:lineRule="auto"/>
        <w:rPr>
          <w:sz w:val="27"/>
          <w:szCs w:val="27"/>
        </w:rPr>
      </w:pPr>
      <w:r>
        <w:rPr>
          <w:sz w:val="27"/>
          <w:szCs w:val="27"/>
          <w:spacing w:val="45"/>
        </w:rPr>
        <w:t>2)冬季日灼</w:t>
      </w:r>
    </w:p>
    <w:p>
      <w:pPr>
        <w:pStyle w:val="BodyText"/>
        <w:ind w:firstLine="590"/>
        <w:spacing w:before="139" w:line="311" w:lineRule="auto"/>
        <w:rPr>
          <w:sz w:val="29"/>
          <w:szCs w:val="29"/>
        </w:rPr>
      </w:pPr>
      <w:r>
        <w:rPr>
          <w:sz w:val="29"/>
          <w:szCs w:val="29"/>
        </w:rPr>
        <w:t>在白天有强烈辐射的条件下，因剧烈变温而引起</w:t>
      </w:r>
      <w:r>
        <w:rPr>
          <w:sz w:val="29"/>
          <w:szCs w:val="29"/>
          <w:spacing w:val="-1"/>
        </w:rPr>
        <w:t>伤害。苗木的主干和大枝的</w:t>
      </w:r>
      <w:r>
        <w:rPr>
          <w:sz w:val="29"/>
          <w:szCs w:val="29"/>
        </w:rPr>
        <w:t xml:space="preserve">  </w:t>
      </w:r>
      <w:r>
        <w:rPr>
          <w:sz w:val="29"/>
          <w:szCs w:val="29"/>
          <w:spacing w:val="4"/>
        </w:rPr>
        <w:t>向阳面由于阳光的直接照射，日间平均气温在0℃以下时，树干皮层温</w:t>
      </w:r>
      <w:r>
        <w:rPr>
          <w:sz w:val="29"/>
          <w:szCs w:val="29"/>
          <w:spacing w:val="3"/>
        </w:rPr>
        <w:t>度可升高</w:t>
      </w:r>
      <w:r>
        <w:rPr>
          <w:sz w:val="29"/>
          <w:szCs w:val="29"/>
        </w:rPr>
        <w:t xml:space="preserve">  </w:t>
      </w:r>
      <w:r>
        <w:rPr>
          <w:sz w:val="29"/>
          <w:szCs w:val="29"/>
          <w:spacing w:val="-6"/>
        </w:rPr>
        <w:t>至20℃左右，原来处于休眠状态的细胞解冻，但到夜间树皮温度急剧降到0℃以下，</w:t>
      </w:r>
      <w:r>
        <w:rPr>
          <w:sz w:val="29"/>
          <w:szCs w:val="29"/>
          <w:spacing w:val="6"/>
        </w:rPr>
        <w:t xml:space="preserve"> </w:t>
      </w:r>
      <w:r>
        <w:rPr>
          <w:sz w:val="29"/>
          <w:szCs w:val="29"/>
          <w:spacing w:val="1"/>
        </w:rPr>
        <w:t>细胞内又发生结冰现象，常发生于隆冬或早春。</w:t>
      </w:r>
    </w:p>
    <w:p>
      <w:pPr>
        <w:pStyle w:val="BodyText"/>
        <w:ind w:firstLine="590"/>
        <w:spacing w:before="17" w:line="309" w:lineRule="auto"/>
        <w:rPr>
          <w:sz w:val="29"/>
          <w:szCs w:val="29"/>
        </w:rPr>
      </w:pPr>
      <w:r>
        <w:rPr>
          <w:sz w:val="29"/>
          <w:szCs w:val="29"/>
          <w:spacing w:val="-11"/>
        </w:rPr>
        <w:t>受害特征：树干皮层细胞死亡，在树皮表面呈现浅紫红色块状或长条状日灼斑，</w:t>
      </w:r>
      <w:r>
        <w:rPr>
          <w:sz w:val="29"/>
          <w:szCs w:val="29"/>
          <w:spacing w:val="8"/>
        </w:rPr>
        <w:t xml:space="preserve"> </w:t>
      </w:r>
      <w:r>
        <w:rPr>
          <w:sz w:val="29"/>
          <w:szCs w:val="29"/>
          <w:spacing w:val="1"/>
        </w:rPr>
        <w:t>严重时可危及木质部，并可使树皮脱落、病害寄生和树干朽心。</w:t>
      </w:r>
    </w:p>
    <w:p>
      <w:pPr>
        <w:pStyle w:val="BodyText"/>
        <w:ind w:left="590"/>
        <w:spacing w:line="220" w:lineRule="auto"/>
        <w:rPr>
          <w:sz w:val="29"/>
          <w:szCs w:val="29"/>
        </w:rPr>
      </w:pPr>
      <w:r>
        <w:rPr>
          <w:sz w:val="29"/>
          <w:szCs w:val="29"/>
          <w:spacing w:val="19"/>
        </w:rPr>
        <w:t>3)日灼的预防措施</w:t>
      </w:r>
    </w:p>
    <w:p>
      <w:pPr>
        <w:pStyle w:val="BodyText"/>
        <w:ind w:left="730"/>
        <w:spacing w:before="152" w:line="219" w:lineRule="auto"/>
        <w:rPr>
          <w:sz w:val="29"/>
          <w:szCs w:val="29"/>
        </w:rPr>
      </w:pPr>
      <w:r>
        <w:rPr>
          <w:sz w:val="29"/>
          <w:szCs w:val="29"/>
          <w:spacing w:val="6"/>
        </w:rPr>
        <w:t>(1)对易发生日灼的苗木进行缠干、喷波尔多液或石灰水等处理；</w:t>
      </w:r>
    </w:p>
    <w:p>
      <w:pPr>
        <w:pStyle w:val="BodyText"/>
        <w:ind w:left="730"/>
        <w:spacing w:before="138" w:line="219" w:lineRule="auto"/>
        <w:rPr>
          <w:sz w:val="29"/>
          <w:szCs w:val="29"/>
        </w:rPr>
      </w:pPr>
      <w:r>
        <w:rPr>
          <w:sz w:val="29"/>
          <w:szCs w:val="29"/>
          <w:spacing w:val="6"/>
        </w:rPr>
        <w:t>(2)修剪时在树体西南方向多留枝条也可减轻危害；</w:t>
      </w:r>
    </w:p>
    <w:p>
      <w:pPr>
        <w:pStyle w:val="BodyText"/>
        <w:ind w:left="730"/>
        <w:spacing w:before="154" w:line="219" w:lineRule="auto"/>
        <w:rPr>
          <w:sz w:val="29"/>
          <w:szCs w:val="29"/>
        </w:rPr>
      </w:pPr>
      <w:r>
        <w:rPr>
          <w:sz w:val="29"/>
          <w:szCs w:val="29"/>
          <w:spacing w:val="8"/>
        </w:rPr>
        <w:t>(3)夏季可通过增加水分供应减轻危害。</w:t>
      </w:r>
    </w:p>
    <w:p>
      <w:pPr>
        <w:spacing w:before="140" w:line="221" w:lineRule="auto"/>
        <w:rPr>
          <w:rFonts w:ascii="SimHei" w:hAnsi="SimHei" w:eastAsia="SimHei" w:cs="SimHei"/>
          <w:sz w:val="27"/>
          <w:szCs w:val="27"/>
        </w:rPr>
      </w:pPr>
      <w:r>
        <w:rPr>
          <w:rFonts w:ascii="SimHei" w:hAnsi="SimHei" w:eastAsia="SimHei" w:cs="SimHei"/>
          <w:sz w:val="27"/>
          <w:szCs w:val="27"/>
          <w:spacing w:val="1"/>
        </w:rPr>
        <w:t>3、</w:t>
      </w:r>
      <w:r>
        <w:rPr>
          <w:rFonts w:ascii="SimHei" w:hAnsi="SimHei" w:eastAsia="SimHei" w:cs="SimHei"/>
          <w:sz w:val="27"/>
          <w:szCs w:val="27"/>
          <w:spacing w:val="-76"/>
        </w:rPr>
        <w:t xml:space="preserve"> </w:t>
      </w:r>
      <w:r>
        <w:rPr>
          <w:rFonts w:ascii="SimHei" w:hAnsi="SimHei" w:eastAsia="SimHei" w:cs="SimHei"/>
          <w:sz w:val="27"/>
          <w:szCs w:val="27"/>
          <w:b/>
          <w:bCs/>
          <w:spacing w:val="1"/>
        </w:rPr>
        <w:t>防旱</w:t>
      </w:r>
    </w:p>
    <w:p>
      <w:pPr>
        <w:pStyle w:val="BodyText"/>
        <w:ind w:right="224" w:firstLine="590"/>
        <w:spacing w:before="185" w:line="310" w:lineRule="auto"/>
        <w:jc w:val="both"/>
        <w:rPr>
          <w:sz w:val="29"/>
          <w:szCs w:val="29"/>
        </w:rPr>
      </w:pPr>
      <w:r>
        <w:rPr>
          <w:sz w:val="29"/>
          <w:szCs w:val="29"/>
          <w:spacing w:val="-17"/>
        </w:rPr>
        <w:t>夏秋两季苗木在高温、干旱、苗木蒸腾量大时，水分流失严重，呈</w:t>
      </w:r>
      <w:r>
        <w:rPr>
          <w:sz w:val="29"/>
          <w:szCs w:val="29"/>
          <w:spacing w:val="-18"/>
        </w:rPr>
        <w:t>受旱情形。轻</w:t>
      </w:r>
      <w:r>
        <w:rPr>
          <w:sz w:val="29"/>
          <w:szCs w:val="29"/>
        </w:rPr>
        <w:t xml:space="preserve"> </w:t>
      </w:r>
      <w:r>
        <w:rPr>
          <w:sz w:val="29"/>
          <w:szCs w:val="29"/>
        </w:rPr>
        <w:t>度缺水时幼叶嫩梢表现为耸拉下垂状，严重缺水表现</w:t>
      </w:r>
      <w:r>
        <w:rPr>
          <w:sz w:val="29"/>
          <w:szCs w:val="29"/>
          <w:spacing w:val="-1"/>
        </w:rPr>
        <w:t>为叶片萎蔫，卷曲，根区表</w:t>
      </w:r>
      <w:r>
        <w:rPr>
          <w:sz w:val="29"/>
          <w:szCs w:val="29"/>
        </w:rPr>
        <w:t xml:space="preserve"> </w:t>
      </w:r>
      <w:r>
        <w:rPr>
          <w:sz w:val="29"/>
          <w:szCs w:val="29"/>
          <w:spacing w:val="-5"/>
        </w:rPr>
        <w:t>面的土壤发白，地被、草坪等矮小植物明显不及周围植物颜色。</w:t>
      </w:r>
    </w:p>
    <w:p>
      <w:pPr>
        <w:spacing w:line="310" w:lineRule="auto"/>
        <w:sectPr>
          <w:footerReference w:type="default" r:id="rId97"/>
          <w:pgSz w:w="14490" w:h="20470"/>
          <w:pgMar w:top="1739" w:right="1975" w:bottom="1480" w:left="2150" w:header="0" w:footer="1194" w:gutter="0"/>
        </w:sectPr>
        <w:rPr>
          <w:sz w:val="29"/>
          <w:szCs w:val="29"/>
        </w:rPr>
      </w:pPr>
    </w:p>
    <w:p>
      <w:pPr>
        <w:ind w:firstLine="409"/>
        <w:spacing w:line="3229" w:lineRule="exact"/>
        <w:rPr/>
      </w:pPr>
      <w:r>
        <w:drawing>
          <wp:anchor distT="0" distB="0" distL="0" distR="0" simplePos="0" relativeHeight="251748352" behindDoc="0" locked="0" layoutInCell="1" allowOverlap="1">
            <wp:simplePos x="0" y="0"/>
            <wp:positionH relativeFrom="column">
              <wp:posOffset>3390900</wp:posOffset>
            </wp:positionH>
            <wp:positionV relativeFrom="paragraph">
              <wp:posOffset>6370</wp:posOffset>
            </wp:positionV>
            <wp:extent cx="2978136" cy="2025548"/>
            <wp:effectExtent l="0" t="0" r="0" b="0"/>
            <wp:wrapNone/>
            <wp:docPr id="144" name="IM 144"/>
            <wp:cNvGraphicFramePr/>
            <a:graphic>
              <a:graphicData uri="http://schemas.openxmlformats.org/drawingml/2006/picture">
                <pic:pic>
                  <pic:nvPicPr>
                    <pic:cNvPr id="144" name="IM 144"/>
                    <pic:cNvPicPr/>
                  </pic:nvPicPr>
                  <pic:blipFill>
                    <a:blip r:embed="rId101"/>
                    <a:stretch>
                      <a:fillRect/>
                    </a:stretch>
                  </pic:blipFill>
                  <pic:spPr>
                    <a:xfrm rot="0">
                      <a:off x="0" y="0"/>
                      <a:ext cx="2978136" cy="2025548"/>
                    </a:xfrm>
                    <a:prstGeom prst="rect">
                      <a:avLst/>
                    </a:prstGeom>
                  </pic:spPr>
                </pic:pic>
              </a:graphicData>
            </a:graphic>
          </wp:anchor>
        </w:drawing>
      </w:r>
      <w:r>
        <w:rPr>
          <w:position w:val="-64"/>
        </w:rPr>
        <w:drawing>
          <wp:inline distT="0" distB="0" distL="0" distR="0">
            <wp:extent cx="2959089" cy="2051025"/>
            <wp:effectExtent l="0" t="0" r="0" b="0"/>
            <wp:docPr id="146" name="IM 146"/>
            <wp:cNvGraphicFramePr/>
            <a:graphic>
              <a:graphicData uri="http://schemas.openxmlformats.org/drawingml/2006/picture">
                <pic:pic>
                  <pic:nvPicPr>
                    <pic:cNvPr id="146" name="IM 146"/>
                    <pic:cNvPicPr/>
                  </pic:nvPicPr>
                  <pic:blipFill>
                    <a:blip r:embed="rId102"/>
                    <a:stretch>
                      <a:fillRect/>
                    </a:stretch>
                  </pic:blipFill>
                  <pic:spPr>
                    <a:xfrm rot="0">
                      <a:off x="0" y="0"/>
                      <a:ext cx="2959089" cy="2051025"/>
                    </a:xfrm>
                    <a:prstGeom prst="rect">
                      <a:avLst/>
                    </a:prstGeom>
                  </pic:spPr>
                </pic:pic>
              </a:graphicData>
            </a:graphic>
          </wp:inline>
        </w:drawing>
      </w:r>
    </w:p>
    <w:p>
      <w:pPr>
        <w:pStyle w:val="BodyText"/>
        <w:ind w:left="4089"/>
        <w:spacing w:before="131" w:line="220" w:lineRule="auto"/>
        <w:rPr>
          <w:sz w:val="26"/>
          <w:szCs w:val="26"/>
        </w:rPr>
      </w:pPr>
      <w:r>
        <w:rPr>
          <w:sz w:val="26"/>
          <w:szCs w:val="26"/>
          <w:spacing w:val="-12"/>
        </w:rPr>
        <w:t>图2-7-5苗木受旱</w:t>
      </w:r>
    </w:p>
    <w:p>
      <w:pPr>
        <w:pStyle w:val="BodyText"/>
        <w:ind w:left="610"/>
        <w:spacing w:before="168" w:line="219" w:lineRule="auto"/>
        <w:rPr>
          <w:sz w:val="29"/>
          <w:szCs w:val="29"/>
        </w:rPr>
      </w:pPr>
      <w:r>
        <w:rPr>
          <w:sz w:val="29"/>
          <w:szCs w:val="29"/>
          <w:spacing w:val="10"/>
        </w:rPr>
        <w:t>3)抗旱措施有以下几点：</w:t>
      </w:r>
    </w:p>
    <w:p>
      <w:pPr>
        <w:pStyle w:val="BodyText"/>
        <w:ind w:left="740"/>
        <w:spacing w:before="128" w:line="219" w:lineRule="auto"/>
        <w:rPr>
          <w:sz w:val="29"/>
          <w:szCs w:val="29"/>
        </w:rPr>
      </w:pPr>
      <w:r>
        <w:rPr>
          <w:sz w:val="29"/>
          <w:szCs w:val="29"/>
          <w:spacing w:val="-1"/>
        </w:rPr>
        <w:t>(1)</w:t>
      </w:r>
      <w:r>
        <w:rPr>
          <w:sz w:val="29"/>
          <w:szCs w:val="29"/>
          <w:spacing w:val="49"/>
        </w:rPr>
        <w:t xml:space="preserve"> </w:t>
      </w:r>
      <w:r>
        <w:rPr>
          <w:sz w:val="29"/>
          <w:szCs w:val="29"/>
          <w:spacing w:val="-1"/>
        </w:rPr>
        <w:t>对于新植苗木应适当修枝剪叶，并及时浇足水分；</w:t>
      </w:r>
    </w:p>
    <w:p>
      <w:pPr>
        <w:pStyle w:val="BodyText"/>
        <w:ind w:right="100" w:firstLine="740"/>
        <w:spacing w:before="165" w:line="265" w:lineRule="auto"/>
        <w:rPr>
          <w:sz w:val="29"/>
          <w:szCs w:val="29"/>
        </w:rPr>
      </w:pPr>
      <w:r>
        <w:rPr>
          <w:sz w:val="29"/>
          <w:szCs w:val="29"/>
          <w:spacing w:val="6"/>
        </w:rPr>
        <w:t>(2)对于种植一年以上的苗木应浇足水肥，待树木根部土壤干旱后及时松</w:t>
      </w:r>
      <w:r>
        <w:rPr>
          <w:sz w:val="29"/>
          <w:szCs w:val="29"/>
          <w:spacing w:val="1"/>
        </w:rPr>
        <w:t xml:space="preserve"> </w:t>
      </w:r>
      <w:r>
        <w:rPr>
          <w:sz w:val="29"/>
          <w:szCs w:val="29"/>
        </w:rPr>
        <w:t>土保墒，浇水时间一般在清晨或傍晚；</w:t>
      </w:r>
    </w:p>
    <w:p>
      <w:pPr>
        <w:pStyle w:val="BodyText"/>
        <w:ind w:left="740"/>
        <w:spacing w:before="158" w:line="219" w:lineRule="auto"/>
        <w:rPr>
          <w:sz w:val="29"/>
          <w:szCs w:val="29"/>
        </w:rPr>
      </w:pPr>
      <w:r>
        <w:rPr>
          <w:sz w:val="29"/>
          <w:szCs w:val="29"/>
          <w:spacing w:val="6"/>
        </w:rPr>
        <w:t>(3)给树冠喷水降温，避免高温灼伤叶片；</w:t>
      </w:r>
    </w:p>
    <w:p>
      <w:pPr>
        <w:pStyle w:val="BodyText"/>
        <w:ind w:right="100" w:firstLine="740"/>
        <w:spacing w:before="134" w:line="263" w:lineRule="auto"/>
        <w:rPr>
          <w:sz w:val="29"/>
          <w:szCs w:val="29"/>
        </w:rPr>
      </w:pPr>
      <w:r>
        <w:rPr>
          <w:sz w:val="29"/>
          <w:szCs w:val="29"/>
          <w:spacing w:val="6"/>
        </w:rPr>
        <w:t>(4)高温干旱时，对一些抗旱性较差的植物，可适当采取遮荫棚的方法防</w:t>
      </w:r>
      <w:r>
        <w:rPr>
          <w:sz w:val="29"/>
          <w:szCs w:val="29"/>
          <w:spacing w:val="1"/>
        </w:rPr>
        <w:t xml:space="preserve"> </w:t>
      </w:r>
      <w:r>
        <w:rPr>
          <w:sz w:val="29"/>
          <w:szCs w:val="29"/>
        </w:rPr>
        <w:t>止苗木受阳光直射，但搭建的高度必须按规范，保持苗木的通风；</w:t>
      </w:r>
    </w:p>
    <w:p>
      <w:pPr>
        <w:pStyle w:val="BodyText"/>
        <w:ind w:right="261" w:firstLine="680"/>
        <w:spacing w:before="164" w:line="259" w:lineRule="auto"/>
        <w:rPr>
          <w:sz w:val="29"/>
          <w:szCs w:val="29"/>
        </w:rPr>
      </w:pPr>
      <w:r>
        <w:drawing>
          <wp:anchor distT="0" distB="0" distL="0" distR="0" simplePos="0" relativeHeight="251749376" behindDoc="0" locked="0" layoutInCell="1" allowOverlap="1">
            <wp:simplePos x="0" y="0"/>
            <wp:positionH relativeFrom="column">
              <wp:posOffset>3251225</wp:posOffset>
            </wp:positionH>
            <wp:positionV relativeFrom="paragraph">
              <wp:posOffset>745259</wp:posOffset>
            </wp:positionV>
            <wp:extent cx="2800277" cy="1720865"/>
            <wp:effectExtent l="0" t="0" r="0" b="0"/>
            <wp:wrapNone/>
            <wp:docPr id="148" name="IM 148"/>
            <wp:cNvGraphicFramePr/>
            <a:graphic>
              <a:graphicData uri="http://schemas.openxmlformats.org/drawingml/2006/picture">
                <pic:pic>
                  <pic:nvPicPr>
                    <pic:cNvPr id="148" name="IM 148"/>
                    <pic:cNvPicPr/>
                  </pic:nvPicPr>
                  <pic:blipFill>
                    <a:blip r:embed="rId103"/>
                    <a:stretch>
                      <a:fillRect/>
                    </a:stretch>
                  </pic:blipFill>
                  <pic:spPr>
                    <a:xfrm rot="0">
                      <a:off x="0" y="0"/>
                      <a:ext cx="2800277" cy="1720865"/>
                    </a:xfrm>
                    <a:prstGeom prst="rect">
                      <a:avLst/>
                    </a:prstGeom>
                  </pic:spPr>
                </pic:pic>
              </a:graphicData>
            </a:graphic>
          </wp:anchor>
        </w:drawing>
      </w:r>
      <w:r>
        <w:rPr>
          <w:sz w:val="29"/>
          <w:szCs w:val="29"/>
          <w:spacing w:val="-6"/>
        </w:rPr>
        <w:t>(5)使用营养剂，例如抗蒸腾剂，本办法与适当的疏枝剪叶方法配合使用，</w:t>
      </w:r>
      <w:r>
        <w:rPr>
          <w:sz w:val="29"/>
          <w:szCs w:val="29"/>
          <w:spacing w:val="13"/>
        </w:rPr>
        <w:t xml:space="preserve"> </w:t>
      </w:r>
      <w:r>
        <w:rPr>
          <w:sz w:val="29"/>
          <w:szCs w:val="29"/>
          <w:spacing w:val="-5"/>
        </w:rPr>
        <w:t>效果会更好。</w:t>
      </w:r>
    </w:p>
    <w:p>
      <w:pPr>
        <w:ind w:firstLine="710"/>
        <w:spacing w:before="226" w:line="5250" w:lineRule="exact"/>
        <w:rPr/>
      </w:pPr>
      <w:r>
        <w:drawing>
          <wp:anchor distT="0" distB="0" distL="0" distR="0" simplePos="0" relativeHeight="251750400" behindDoc="0" locked="0" layoutInCell="1" allowOverlap="1">
            <wp:simplePos x="0" y="0"/>
            <wp:positionH relativeFrom="column">
              <wp:posOffset>3238436</wp:posOffset>
            </wp:positionH>
            <wp:positionV relativeFrom="paragraph">
              <wp:posOffset>1965844</wp:posOffset>
            </wp:positionV>
            <wp:extent cx="2825765" cy="1574762"/>
            <wp:effectExtent l="0" t="0" r="0" b="0"/>
            <wp:wrapNone/>
            <wp:docPr id="150" name="IM 150"/>
            <wp:cNvGraphicFramePr/>
            <a:graphic>
              <a:graphicData uri="http://schemas.openxmlformats.org/drawingml/2006/picture">
                <pic:pic>
                  <pic:nvPicPr>
                    <pic:cNvPr id="150" name="IM 150"/>
                    <pic:cNvPicPr/>
                  </pic:nvPicPr>
                  <pic:blipFill>
                    <a:blip r:embed="rId104"/>
                    <a:stretch>
                      <a:fillRect/>
                    </a:stretch>
                  </pic:blipFill>
                  <pic:spPr>
                    <a:xfrm rot="0">
                      <a:off x="0" y="0"/>
                      <a:ext cx="2825765" cy="1574762"/>
                    </a:xfrm>
                    <a:prstGeom prst="rect">
                      <a:avLst/>
                    </a:prstGeom>
                  </pic:spPr>
                </pic:pic>
              </a:graphicData>
            </a:graphic>
          </wp:anchor>
        </w:drawing>
      </w:r>
      <w:r>
        <w:rPr>
          <w:position w:val="-104"/>
        </w:rPr>
        <w:drawing>
          <wp:inline distT="0" distB="0" distL="0" distR="0">
            <wp:extent cx="2743138" cy="3333711"/>
            <wp:effectExtent l="0" t="0" r="0" b="0"/>
            <wp:docPr id="152" name="IM 152"/>
            <wp:cNvGraphicFramePr/>
            <a:graphic>
              <a:graphicData uri="http://schemas.openxmlformats.org/drawingml/2006/picture">
                <pic:pic>
                  <pic:nvPicPr>
                    <pic:cNvPr id="152" name="IM 152"/>
                    <pic:cNvPicPr/>
                  </pic:nvPicPr>
                  <pic:blipFill>
                    <a:blip r:embed="rId105"/>
                    <a:stretch>
                      <a:fillRect/>
                    </a:stretch>
                  </pic:blipFill>
                  <pic:spPr>
                    <a:xfrm rot="0">
                      <a:off x="0" y="0"/>
                      <a:ext cx="2743138" cy="3333711"/>
                    </a:xfrm>
                    <a:prstGeom prst="rect">
                      <a:avLst/>
                    </a:prstGeom>
                  </pic:spPr>
                </pic:pic>
              </a:graphicData>
            </a:graphic>
          </wp:inline>
        </w:drawing>
      </w:r>
    </w:p>
    <w:p>
      <w:pPr>
        <w:pStyle w:val="BodyText"/>
        <w:ind w:left="4089"/>
        <w:spacing w:before="280" w:line="219" w:lineRule="auto"/>
        <w:rPr>
          <w:sz w:val="24"/>
          <w:szCs w:val="24"/>
        </w:rPr>
      </w:pPr>
      <w:r>
        <w:rPr>
          <w:sz w:val="24"/>
          <w:szCs w:val="24"/>
          <w:spacing w:val="4"/>
        </w:rPr>
        <w:t>图2-7-6苗木遮阴抗旱</w:t>
      </w:r>
    </w:p>
    <w:p>
      <w:pPr>
        <w:pStyle w:val="BodyText"/>
        <w:spacing w:before="169" w:line="224" w:lineRule="auto"/>
        <w:rPr>
          <w:rFonts w:ascii="SimHei" w:hAnsi="SimHei" w:eastAsia="SimHei" w:cs="SimHei"/>
          <w:sz w:val="29"/>
          <w:szCs w:val="29"/>
        </w:rPr>
      </w:pPr>
      <w:r>
        <w:rPr>
          <w:rFonts w:ascii="Arial" w:hAnsi="Arial" w:eastAsia="Arial" w:cs="Arial"/>
          <w:sz w:val="29"/>
          <w:szCs w:val="29"/>
          <w:spacing w:val="-17"/>
        </w:rPr>
        <w:t>4</w:t>
      </w:r>
      <w:r>
        <w:rPr>
          <w:rFonts w:ascii="Arial" w:hAnsi="Arial" w:eastAsia="Arial" w:cs="Arial"/>
          <w:sz w:val="29"/>
          <w:szCs w:val="29"/>
          <w:spacing w:val="-49"/>
        </w:rPr>
        <w:t xml:space="preserve"> </w:t>
      </w:r>
      <w:r>
        <w:rPr>
          <w:sz w:val="29"/>
          <w:szCs w:val="29"/>
          <w:spacing w:val="-17"/>
        </w:rPr>
        <w:t>、</w:t>
      </w:r>
      <w:r>
        <w:rPr>
          <w:rFonts w:ascii="SimHei" w:hAnsi="SimHei" w:eastAsia="SimHei" w:cs="SimHei"/>
          <w:sz w:val="29"/>
          <w:szCs w:val="29"/>
          <w:spacing w:val="-17"/>
        </w:rPr>
        <w:t>雪</w:t>
      </w:r>
      <w:r>
        <w:rPr>
          <w:rFonts w:ascii="SimHei" w:hAnsi="SimHei" w:eastAsia="SimHei" w:cs="SimHei"/>
          <w:sz w:val="29"/>
          <w:szCs w:val="29"/>
          <w:spacing w:val="-52"/>
        </w:rPr>
        <w:t xml:space="preserve"> </w:t>
      </w:r>
      <w:r>
        <w:rPr>
          <w:rFonts w:ascii="SimHei" w:hAnsi="SimHei" w:eastAsia="SimHei" w:cs="SimHei"/>
          <w:sz w:val="29"/>
          <w:szCs w:val="29"/>
          <w:spacing w:val="-17"/>
        </w:rPr>
        <w:t>害</w:t>
      </w:r>
    </w:p>
    <w:p>
      <w:pPr>
        <w:pStyle w:val="BodyText"/>
        <w:ind w:right="16" w:firstLine="600"/>
        <w:spacing w:before="137" w:line="310" w:lineRule="auto"/>
        <w:jc w:val="both"/>
        <w:rPr>
          <w:sz w:val="29"/>
          <w:szCs w:val="29"/>
        </w:rPr>
      </w:pPr>
      <w:r>
        <w:rPr>
          <w:sz w:val="29"/>
          <w:szCs w:val="29"/>
        </w:rPr>
        <w:t>对于雪量较大的地区，树冠上积雪过多使树本受</w:t>
      </w:r>
      <w:r>
        <w:rPr>
          <w:sz w:val="29"/>
          <w:szCs w:val="29"/>
          <w:spacing w:val="-1"/>
        </w:rPr>
        <w:t>到雪压，而使大枝被压裂或</w:t>
      </w:r>
      <w:r>
        <w:rPr>
          <w:sz w:val="29"/>
          <w:szCs w:val="29"/>
        </w:rPr>
        <w:t xml:space="preserve"> </w:t>
      </w:r>
      <w:r>
        <w:rPr>
          <w:sz w:val="29"/>
          <w:szCs w:val="29"/>
          <w:spacing w:val="-8"/>
        </w:rPr>
        <w:t>压断。一般而言，常绿树比落叶树害严重。</w:t>
      </w:r>
      <w:r>
        <w:rPr>
          <w:sz w:val="29"/>
          <w:szCs w:val="29"/>
          <w:spacing w:val="-9"/>
        </w:rPr>
        <w:t>而且融雪期的时融时冻交替变化，冷热</w:t>
      </w:r>
      <w:r>
        <w:rPr>
          <w:sz w:val="29"/>
          <w:szCs w:val="29"/>
        </w:rPr>
        <w:t xml:space="preserve"> </w:t>
      </w:r>
      <w:r>
        <w:rPr>
          <w:sz w:val="29"/>
          <w:szCs w:val="29"/>
          <w:spacing w:val="-2"/>
        </w:rPr>
        <w:t>不均易引起苗木冻伤。防范措施有：</w:t>
      </w:r>
    </w:p>
    <w:p>
      <w:pPr>
        <w:pStyle w:val="BodyText"/>
        <w:ind w:left="740"/>
        <w:spacing w:before="69" w:line="219" w:lineRule="auto"/>
        <w:rPr>
          <w:sz w:val="29"/>
          <w:szCs w:val="29"/>
        </w:rPr>
      </w:pPr>
      <w:r>
        <w:rPr>
          <w:sz w:val="29"/>
          <w:szCs w:val="29"/>
          <w:spacing w:val="-2"/>
        </w:rPr>
        <w:t>(1)</w:t>
      </w:r>
      <w:r>
        <w:rPr>
          <w:sz w:val="29"/>
          <w:szCs w:val="29"/>
          <w:spacing w:val="72"/>
        </w:rPr>
        <w:t xml:space="preserve"> </w:t>
      </w:r>
      <w:r>
        <w:rPr>
          <w:sz w:val="29"/>
          <w:szCs w:val="29"/>
          <w:spacing w:val="-2"/>
        </w:rPr>
        <w:t>在易积雪成灾的地区，需在雪前给苗木大枝</w:t>
      </w:r>
      <w:r>
        <w:rPr>
          <w:sz w:val="29"/>
          <w:szCs w:val="29"/>
          <w:spacing w:val="-3"/>
        </w:rPr>
        <w:t>设立支柱；</w:t>
      </w:r>
    </w:p>
    <w:p>
      <w:pPr>
        <w:pStyle w:val="BodyText"/>
        <w:ind w:left="740"/>
        <w:spacing w:before="166" w:line="219" w:lineRule="auto"/>
        <w:rPr>
          <w:sz w:val="29"/>
          <w:szCs w:val="29"/>
        </w:rPr>
      </w:pPr>
      <w:r>
        <w:rPr>
          <w:sz w:val="29"/>
          <w:szCs w:val="29"/>
          <w:spacing w:val="8"/>
        </w:rPr>
        <w:t>(2)枝条过密者应进行适当修剪；</w:t>
      </w:r>
    </w:p>
    <w:p>
      <w:pPr>
        <w:spacing w:line="219" w:lineRule="auto"/>
        <w:sectPr>
          <w:footerReference w:type="default" r:id="rId100"/>
          <w:pgSz w:w="14490" w:h="20470"/>
          <w:pgMar w:top="1440" w:right="2173" w:bottom="1413" w:left="2140" w:header="0" w:footer="1215" w:gutter="0"/>
        </w:sectPr>
        <w:rPr>
          <w:sz w:val="29"/>
          <w:szCs w:val="29"/>
        </w:rPr>
      </w:pPr>
    </w:p>
    <w:p>
      <w:pPr>
        <w:pStyle w:val="BodyText"/>
        <w:ind w:left="720"/>
        <w:spacing w:before="162" w:line="219" w:lineRule="auto"/>
        <w:rPr>
          <w:sz w:val="29"/>
          <w:szCs w:val="29"/>
        </w:rPr>
      </w:pPr>
      <w:r>
        <w:rPr>
          <w:sz w:val="29"/>
          <w:szCs w:val="29"/>
          <w:spacing w:val="7"/>
        </w:rPr>
        <w:t>(3)在雪后及时振落积雪，并把受压的枝条提起扶正。</w:t>
      </w:r>
    </w:p>
    <w:p>
      <w:pPr>
        <w:ind w:firstLine="550"/>
        <w:spacing w:before="23" w:line="3260" w:lineRule="exact"/>
        <w:rPr/>
      </w:pPr>
      <w:r>
        <w:rPr>
          <w:position w:val="-65"/>
        </w:rPr>
        <w:drawing>
          <wp:inline distT="0" distB="0" distL="0" distR="0">
            <wp:extent cx="5676832" cy="2070133"/>
            <wp:effectExtent l="0" t="0" r="0" b="0"/>
            <wp:docPr id="154" name="IM 154"/>
            <wp:cNvGraphicFramePr/>
            <a:graphic>
              <a:graphicData uri="http://schemas.openxmlformats.org/drawingml/2006/picture">
                <pic:pic>
                  <pic:nvPicPr>
                    <pic:cNvPr id="154" name="IM 154"/>
                    <pic:cNvPicPr/>
                  </pic:nvPicPr>
                  <pic:blipFill>
                    <a:blip r:embed="rId107"/>
                    <a:stretch>
                      <a:fillRect/>
                    </a:stretch>
                  </pic:blipFill>
                  <pic:spPr>
                    <a:xfrm rot="0">
                      <a:off x="0" y="0"/>
                      <a:ext cx="5676832" cy="2070133"/>
                    </a:xfrm>
                    <a:prstGeom prst="rect">
                      <a:avLst/>
                    </a:prstGeom>
                  </pic:spPr>
                </pic:pic>
              </a:graphicData>
            </a:graphic>
          </wp:inline>
        </w:drawing>
      </w:r>
    </w:p>
    <w:p>
      <w:pPr>
        <w:pStyle w:val="BodyText"/>
        <w:ind w:left="3919"/>
        <w:spacing w:before="50" w:line="220" w:lineRule="auto"/>
        <w:rPr>
          <w:sz w:val="24"/>
          <w:szCs w:val="24"/>
        </w:rPr>
      </w:pPr>
      <w:r>
        <w:rPr>
          <w:sz w:val="24"/>
          <w:szCs w:val="24"/>
          <w:spacing w:val="3"/>
        </w:rPr>
        <w:t>图2-7-7苗木积雪处理</w:t>
      </w:r>
    </w:p>
    <w:p>
      <w:pPr>
        <w:pStyle w:val="BodyText"/>
        <w:spacing w:before="121" w:line="396" w:lineRule="exact"/>
        <w:rPr>
          <w:rFonts w:ascii="SimHei" w:hAnsi="SimHei" w:eastAsia="SimHei" w:cs="SimHei"/>
          <w:sz w:val="29"/>
          <w:szCs w:val="29"/>
        </w:rPr>
      </w:pPr>
      <w:r>
        <w:rPr>
          <w:rFonts w:ascii="Arial" w:hAnsi="Arial" w:eastAsia="Arial" w:cs="Arial"/>
          <w:sz w:val="29"/>
          <w:szCs w:val="29"/>
          <w:spacing w:val="8"/>
          <w:position w:val="1"/>
        </w:rPr>
        <w:t>5</w:t>
      </w:r>
      <w:r>
        <w:rPr>
          <w:sz w:val="29"/>
          <w:szCs w:val="29"/>
          <w:spacing w:val="8"/>
          <w:position w:val="1"/>
        </w:rPr>
        <w:t>、</w:t>
      </w:r>
      <w:r>
        <w:rPr>
          <w:rFonts w:ascii="SimHei" w:hAnsi="SimHei" w:eastAsia="SimHei" w:cs="SimHei"/>
          <w:sz w:val="29"/>
          <w:szCs w:val="29"/>
          <w:spacing w:val="8"/>
          <w:position w:val="1"/>
        </w:rPr>
        <w:t>涝害</w:t>
      </w:r>
    </w:p>
    <w:p>
      <w:pPr>
        <w:pStyle w:val="BodyText"/>
        <w:ind w:left="590"/>
        <w:spacing w:before="179" w:line="220" w:lineRule="auto"/>
        <w:rPr>
          <w:sz w:val="29"/>
          <w:szCs w:val="29"/>
        </w:rPr>
      </w:pPr>
      <w:r>
        <w:rPr>
          <w:sz w:val="29"/>
          <w:szCs w:val="29"/>
          <w:spacing w:val="20"/>
        </w:rPr>
        <w:t>1)发生原理</w:t>
      </w:r>
    </w:p>
    <w:p>
      <w:pPr>
        <w:pStyle w:val="BodyText"/>
        <w:ind w:right="13" w:firstLine="590"/>
        <w:spacing w:before="199" w:line="317" w:lineRule="auto"/>
        <w:rPr>
          <w:sz w:val="29"/>
          <w:szCs w:val="29"/>
        </w:rPr>
      </w:pPr>
      <w:r>
        <w:rPr>
          <w:sz w:val="29"/>
          <w:szCs w:val="29"/>
          <w:spacing w:val="-1"/>
        </w:rPr>
        <w:t>涝害是指苗木的土壤中含水量过高，缺少氧气，厌氧菌迅速滋生，使苗木根</w:t>
      </w:r>
      <w:r>
        <w:rPr>
          <w:sz w:val="29"/>
          <w:szCs w:val="29"/>
          <w:spacing w:val="14"/>
        </w:rPr>
        <w:t xml:space="preserve"> </w:t>
      </w:r>
      <w:r>
        <w:rPr>
          <w:sz w:val="29"/>
          <w:szCs w:val="29"/>
          <w:spacing w:val="-9"/>
        </w:rPr>
        <w:t>系不能进行正常呼吸，吸水吸肥受阻；同时，根呼吸产生的中间</w:t>
      </w:r>
      <w:r>
        <w:rPr>
          <w:sz w:val="29"/>
          <w:szCs w:val="29"/>
          <w:spacing w:val="-10"/>
        </w:rPr>
        <w:t>产物及微生物活动</w:t>
      </w:r>
      <w:r>
        <w:rPr>
          <w:sz w:val="29"/>
          <w:szCs w:val="29"/>
        </w:rPr>
        <w:t xml:space="preserve"> </w:t>
      </w:r>
      <w:r>
        <w:rPr>
          <w:sz w:val="29"/>
          <w:szCs w:val="29"/>
          <w:spacing w:val="7"/>
        </w:rPr>
        <w:t>而生成的有机酸(如乙酸)和还原性物质(如甲烷、硫化氢)对树体造成</w:t>
      </w:r>
      <w:r>
        <w:rPr>
          <w:sz w:val="29"/>
          <w:szCs w:val="29"/>
          <w:spacing w:val="6"/>
        </w:rPr>
        <w:t>毒害，导</w:t>
      </w:r>
      <w:r>
        <w:rPr>
          <w:sz w:val="29"/>
          <w:szCs w:val="29"/>
        </w:rPr>
        <w:t xml:space="preserve"> </w:t>
      </w:r>
      <w:r>
        <w:rPr>
          <w:sz w:val="29"/>
          <w:szCs w:val="29"/>
        </w:rPr>
        <w:t>致根系窒息、腐烂甚至死亡，从而导致植株生长不良甚至死亡的现象。</w:t>
      </w:r>
    </w:p>
    <w:p>
      <w:pPr>
        <w:ind w:firstLine="5330"/>
        <w:spacing w:line="2960" w:lineRule="exact"/>
        <w:rPr/>
      </w:pPr>
      <w:r>
        <w:drawing>
          <wp:anchor distT="0" distB="0" distL="0" distR="0" simplePos="0" relativeHeight="251753472" behindDoc="0" locked="0" layoutInCell="1" allowOverlap="1">
            <wp:simplePos x="0" y="0"/>
            <wp:positionH relativeFrom="column">
              <wp:posOffset>1746193</wp:posOffset>
            </wp:positionH>
            <wp:positionV relativeFrom="paragraph">
              <wp:posOffset>6367</wp:posOffset>
            </wp:positionV>
            <wp:extent cx="1562171" cy="1879576"/>
            <wp:effectExtent l="0" t="0" r="0" b="0"/>
            <wp:wrapNone/>
            <wp:docPr id="156" name="IM 156"/>
            <wp:cNvGraphicFramePr/>
            <a:graphic>
              <a:graphicData uri="http://schemas.openxmlformats.org/drawingml/2006/picture">
                <pic:pic>
                  <pic:nvPicPr>
                    <pic:cNvPr id="156" name="IM 156"/>
                    <pic:cNvPicPr/>
                  </pic:nvPicPr>
                  <pic:blipFill>
                    <a:blip r:embed="rId108"/>
                    <a:stretch>
                      <a:fillRect/>
                    </a:stretch>
                  </pic:blipFill>
                  <pic:spPr>
                    <a:xfrm rot="0">
                      <a:off x="0" y="0"/>
                      <a:ext cx="1562171" cy="1879576"/>
                    </a:xfrm>
                    <a:prstGeom prst="rect">
                      <a:avLst/>
                    </a:prstGeom>
                  </pic:spPr>
                </pic:pic>
              </a:graphicData>
            </a:graphic>
          </wp:anchor>
        </w:drawing>
      </w:r>
      <w:r>
        <w:drawing>
          <wp:anchor distT="0" distB="0" distL="0" distR="0" simplePos="0" relativeHeight="251754496" behindDoc="0" locked="0" layoutInCell="1" allowOverlap="1">
            <wp:simplePos x="0" y="0"/>
            <wp:positionH relativeFrom="column">
              <wp:posOffset>126975</wp:posOffset>
            </wp:positionH>
            <wp:positionV relativeFrom="paragraph">
              <wp:posOffset>0</wp:posOffset>
            </wp:positionV>
            <wp:extent cx="1530335" cy="1879575"/>
            <wp:effectExtent l="0" t="0" r="0" b="0"/>
            <wp:wrapNone/>
            <wp:docPr id="158" name="IM 158"/>
            <wp:cNvGraphicFramePr/>
            <a:graphic>
              <a:graphicData uri="http://schemas.openxmlformats.org/drawingml/2006/picture">
                <pic:pic>
                  <pic:nvPicPr>
                    <pic:cNvPr id="158" name="IM 158"/>
                    <pic:cNvPicPr/>
                  </pic:nvPicPr>
                  <pic:blipFill>
                    <a:blip r:embed="rId109"/>
                    <a:stretch>
                      <a:fillRect/>
                    </a:stretch>
                  </pic:blipFill>
                  <pic:spPr>
                    <a:xfrm rot="0">
                      <a:off x="0" y="0"/>
                      <a:ext cx="1530335" cy="1879575"/>
                    </a:xfrm>
                    <a:prstGeom prst="rect">
                      <a:avLst/>
                    </a:prstGeom>
                  </pic:spPr>
                </pic:pic>
              </a:graphicData>
            </a:graphic>
          </wp:anchor>
        </w:drawing>
      </w:r>
      <w:r>
        <w:rPr>
          <w:position w:val="-59"/>
        </w:rPr>
        <w:drawing>
          <wp:inline distT="0" distB="0" distL="0" distR="0">
            <wp:extent cx="2743139" cy="1879575"/>
            <wp:effectExtent l="0" t="0" r="0" b="0"/>
            <wp:docPr id="160" name="IM 160"/>
            <wp:cNvGraphicFramePr/>
            <a:graphic>
              <a:graphicData uri="http://schemas.openxmlformats.org/drawingml/2006/picture">
                <pic:pic>
                  <pic:nvPicPr>
                    <pic:cNvPr id="160" name="IM 160"/>
                    <pic:cNvPicPr/>
                  </pic:nvPicPr>
                  <pic:blipFill>
                    <a:blip r:embed="rId110"/>
                    <a:stretch>
                      <a:fillRect/>
                    </a:stretch>
                  </pic:blipFill>
                  <pic:spPr>
                    <a:xfrm rot="0">
                      <a:off x="0" y="0"/>
                      <a:ext cx="2743139" cy="1879575"/>
                    </a:xfrm>
                    <a:prstGeom prst="rect">
                      <a:avLst/>
                    </a:prstGeom>
                  </pic:spPr>
                </pic:pic>
              </a:graphicData>
            </a:graphic>
          </wp:inline>
        </w:drawing>
      </w:r>
    </w:p>
    <w:p>
      <w:pPr>
        <w:pStyle w:val="BodyText"/>
        <w:ind w:left="4319"/>
        <w:spacing w:before="190" w:line="219" w:lineRule="auto"/>
        <w:rPr>
          <w:sz w:val="24"/>
          <w:szCs w:val="24"/>
        </w:rPr>
      </w:pPr>
      <w:r>
        <w:rPr>
          <w:sz w:val="24"/>
          <w:szCs w:val="24"/>
          <w:spacing w:val="-1"/>
        </w:rPr>
        <w:t>图2-7-8涝害</w:t>
      </w:r>
    </w:p>
    <w:p>
      <w:pPr>
        <w:pStyle w:val="BodyText"/>
        <w:ind w:left="590"/>
        <w:spacing w:before="158" w:line="219" w:lineRule="auto"/>
        <w:rPr>
          <w:sz w:val="29"/>
          <w:szCs w:val="29"/>
        </w:rPr>
      </w:pPr>
      <w:r>
        <w:rPr>
          <w:sz w:val="29"/>
          <w:szCs w:val="29"/>
          <w:spacing w:val="15"/>
        </w:rPr>
        <w:t>2)引起涝害的情形</w:t>
      </w:r>
    </w:p>
    <w:p>
      <w:pPr>
        <w:pStyle w:val="BodyText"/>
        <w:ind w:left="720"/>
        <w:spacing w:before="156" w:line="219" w:lineRule="auto"/>
        <w:rPr>
          <w:sz w:val="29"/>
          <w:szCs w:val="29"/>
        </w:rPr>
      </w:pPr>
      <w:r>
        <w:rPr>
          <w:sz w:val="29"/>
          <w:szCs w:val="29"/>
          <w:spacing w:val="9"/>
        </w:rPr>
        <w:t>(1)水淹并持续一定的时间；</w:t>
      </w:r>
    </w:p>
    <w:p>
      <w:pPr>
        <w:pStyle w:val="BodyText"/>
        <w:ind w:left="720"/>
        <w:spacing w:before="136" w:line="219" w:lineRule="auto"/>
        <w:rPr>
          <w:sz w:val="29"/>
          <w:szCs w:val="29"/>
        </w:rPr>
      </w:pPr>
      <w:r>
        <w:rPr>
          <w:sz w:val="29"/>
          <w:szCs w:val="29"/>
          <w:spacing w:val="8"/>
        </w:rPr>
        <w:t>(2)持续下雨或持续过量浇水；</w:t>
      </w:r>
    </w:p>
    <w:p>
      <w:pPr>
        <w:pStyle w:val="BodyText"/>
        <w:ind w:left="720"/>
        <w:spacing w:before="166" w:line="219" w:lineRule="auto"/>
        <w:rPr>
          <w:sz w:val="29"/>
          <w:szCs w:val="29"/>
        </w:rPr>
      </w:pPr>
      <w:r>
        <w:rPr>
          <w:sz w:val="29"/>
          <w:szCs w:val="29"/>
          <w:spacing w:val="7"/>
        </w:rPr>
        <w:t>(3)土壤黏性大、不透水、使土壤长时间保持</w:t>
      </w:r>
      <w:r>
        <w:rPr>
          <w:sz w:val="29"/>
          <w:szCs w:val="29"/>
          <w:spacing w:val="6"/>
        </w:rPr>
        <w:t>较大的含水量；</w:t>
      </w:r>
    </w:p>
    <w:p>
      <w:pPr>
        <w:pStyle w:val="BodyText"/>
        <w:ind w:left="720"/>
        <w:spacing w:before="115" w:line="219" w:lineRule="auto"/>
        <w:rPr>
          <w:sz w:val="29"/>
          <w:szCs w:val="29"/>
        </w:rPr>
      </w:pPr>
      <w:r>
        <w:rPr>
          <w:sz w:val="29"/>
          <w:szCs w:val="29"/>
          <w:spacing w:val="14"/>
        </w:rPr>
        <w:t>(4)苗木栽植过深。</w:t>
      </w:r>
    </w:p>
    <w:p>
      <w:pPr>
        <w:pStyle w:val="BodyText"/>
        <w:ind w:left="590"/>
        <w:spacing w:before="176" w:line="219" w:lineRule="auto"/>
        <w:rPr>
          <w:sz w:val="29"/>
          <w:szCs w:val="29"/>
        </w:rPr>
      </w:pPr>
      <w:r>
        <w:rPr>
          <w:sz w:val="29"/>
          <w:szCs w:val="29"/>
          <w:spacing w:val="24"/>
        </w:rPr>
        <w:t>3)涝害的症状</w:t>
      </w:r>
    </w:p>
    <w:p>
      <w:pPr>
        <w:pStyle w:val="BodyText"/>
        <w:ind w:right="13" w:firstLine="720"/>
        <w:spacing w:before="144" w:line="281" w:lineRule="auto"/>
        <w:rPr>
          <w:sz w:val="29"/>
          <w:szCs w:val="29"/>
        </w:rPr>
      </w:pPr>
      <w:r>
        <w:rPr>
          <w:sz w:val="29"/>
          <w:szCs w:val="29"/>
        </w:rPr>
        <w:t>①</w:t>
      </w:r>
      <w:r>
        <w:rPr>
          <w:sz w:val="29"/>
          <w:szCs w:val="29"/>
          <w:spacing w:val="71"/>
        </w:rPr>
        <w:t xml:space="preserve">  </w:t>
      </w:r>
      <w:r>
        <w:rPr>
          <w:sz w:val="29"/>
          <w:szCs w:val="29"/>
        </w:rPr>
        <w:t>梢叶表现症状：受涝程度轻时，叶片和叶柄偏向正面弯曲，新梢生长 </w:t>
      </w:r>
      <w:r>
        <w:rPr>
          <w:sz w:val="29"/>
          <w:szCs w:val="29"/>
          <w:spacing w:val="-16"/>
        </w:rPr>
        <w:t>缓慢，先端生长点不伸长或弯曲下垂，严重时梢叶呈水黄状、萎蔫，叶片会卷曲，嫩</w:t>
      </w:r>
      <w:r>
        <w:rPr>
          <w:sz w:val="29"/>
          <w:szCs w:val="29"/>
          <w:spacing w:val="1"/>
        </w:rPr>
        <w:t xml:space="preserve"> </w:t>
      </w:r>
      <w:r>
        <w:rPr>
          <w:sz w:val="29"/>
          <w:szCs w:val="29"/>
          <w:spacing w:val="-1"/>
        </w:rPr>
        <w:t>梢发黄下垂，梢叶缓慢干枯，干枯后不脱落；</w:t>
      </w:r>
    </w:p>
    <w:p>
      <w:pPr>
        <w:pStyle w:val="BodyText"/>
        <w:ind w:left="720"/>
        <w:spacing w:before="155" w:line="217" w:lineRule="auto"/>
        <w:rPr>
          <w:sz w:val="29"/>
          <w:szCs w:val="29"/>
        </w:rPr>
      </w:pPr>
      <w:r>
        <w:rPr>
          <w:sz w:val="29"/>
          <w:szCs w:val="29"/>
          <w:spacing w:val="-4"/>
        </w:rPr>
        <w:t>②</w:t>
      </w:r>
      <w:r>
        <w:rPr>
          <w:sz w:val="29"/>
          <w:szCs w:val="29"/>
          <w:spacing w:val="58"/>
        </w:rPr>
        <w:t xml:space="preserve">  </w:t>
      </w:r>
      <w:r>
        <w:rPr>
          <w:sz w:val="29"/>
          <w:szCs w:val="29"/>
          <w:spacing w:val="-4"/>
        </w:rPr>
        <w:t>树干表现症状：根先枯死，一般是从下往上逐渐干枯；</w:t>
      </w:r>
    </w:p>
    <w:p>
      <w:pPr>
        <w:pStyle w:val="BodyText"/>
        <w:ind w:right="11" w:firstLine="720"/>
        <w:spacing w:before="129" w:line="273" w:lineRule="auto"/>
        <w:rPr>
          <w:sz w:val="29"/>
          <w:szCs w:val="29"/>
        </w:rPr>
      </w:pPr>
      <w:r>
        <w:rPr>
          <w:sz w:val="29"/>
          <w:szCs w:val="29"/>
          <w:spacing w:val="19"/>
        </w:rPr>
        <w:t>③</w:t>
      </w:r>
      <w:r>
        <w:rPr>
          <w:sz w:val="29"/>
          <w:szCs w:val="29"/>
          <w:spacing w:val="51"/>
        </w:rPr>
        <w:t xml:space="preserve">  </w:t>
      </w:r>
      <w:r>
        <w:rPr>
          <w:sz w:val="29"/>
          <w:szCs w:val="29"/>
          <w:spacing w:val="19"/>
        </w:rPr>
        <w:t>地下部(根)表现症状：根发黑(深蓝色)腐烂</w:t>
      </w:r>
      <w:r>
        <w:rPr>
          <w:sz w:val="29"/>
          <w:szCs w:val="29"/>
          <w:spacing w:val="18"/>
        </w:rPr>
        <w:t>，黑带点蓝灰，且有</w:t>
      </w:r>
      <w:r>
        <w:rPr>
          <w:sz w:val="29"/>
          <w:szCs w:val="29"/>
          <w:spacing w:val="1"/>
        </w:rPr>
        <w:t xml:space="preserve"> </w:t>
      </w:r>
      <w:r>
        <w:rPr>
          <w:sz w:val="29"/>
          <w:szCs w:val="29"/>
          <w:spacing w:val="8"/>
        </w:rPr>
        <w:t>酒霉(糟)味，危害从低部位开始逐渐向上发展，根的部位越低，危害越严重，</w:t>
      </w:r>
    </w:p>
    <w:p>
      <w:pPr>
        <w:spacing w:line="273" w:lineRule="auto"/>
        <w:sectPr>
          <w:footerReference w:type="default" r:id="rId106"/>
          <w:pgSz w:w="14490" w:h="20470"/>
          <w:pgMar w:top="1739" w:right="2173" w:bottom="1433" w:left="2160" w:header="0" w:footer="1234" w:gutter="0"/>
        </w:sectPr>
        <w:rPr>
          <w:sz w:val="29"/>
          <w:szCs w:val="29"/>
        </w:rPr>
      </w:pPr>
    </w:p>
    <w:p>
      <w:pPr>
        <w:pStyle w:val="BodyText"/>
        <w:spacing w:before="122" w:line="219" w:lineRule="auto"/>
        <w:rPr>
          <w:sz w:val="29"/>
          <w:szCs w:val="29"/>
        </w:rPr>
      </w:pPr>
      <w:r>
        <w:rPr>
          <w:sz w:val="29"/>
          <w:szCs w:val="29"/>
        </w:rPr>
        <w:t>根部颜色由蓝黑—蜡黄—浅黄色变化。</w:t>
      </w:r>
    </w:p>
    <w:p>
      <w:pPr>
        <w:pStyle w:val="BodyText"/>
        <w:ind w:left="590"/>
        <w:spacing w:before="156" w:line="220" w:lineRule="auto"/>
        <w:rPr>
          <w:sz w:val="29"/>
          <w:szCs w:val="29"/>
        </w:rPr>
      </w:pPr>
      <w:r>
        <w:rPr>
          <w:sz w:val="29"/>
          <w:szCs w:val="29"/>
          <w:spacing w:val="27"/>
        </w:rPr>
        <w:t>4)预防措施</w:t>
      </w:r>
    </w:p>
    <w:p>
      <w:pPr>
        <w:pStyle w:val="BodyText"/>
        <w:ind w:right="490" w:firstLine="730"/>
        <w:spacing w:before="143" w:line="268" w:lineRule="auto"/>
        <w:rPr>
          <w:sz w:val="29"/>
          <w:szCs w:val="29"/>
        </w:rPr>
      </w:pPr>
      <w:r>
        <w:rPr>
          <w:sz w:val="29"/>
          <w:szCs w:val="29"/>
          <w:spacing w:val="5"/>
        </w:rPr>
        <w:t>(1)雨季前应组织有关人员对现场设施、机电设备、水系</w:t>
      </w:r>
      <w:r>
        <w:rPr>
          <w:sz w:val="29"/>
          <w:szCs w:val="29"/>
          <w:spacing w:val="4"/>
        </w:rPr>
        <w:t>统等进行检查，</w:t>
      </w:r>
      <w:r>
        <w:rPr>
          <w:sz w:val="29"/>
          <w:szCs w:val="29"/>
        </w:rPr>
        <w:t xml:space="preserve"> </w:t>
      </w:r>
      <w:r>
        <w:rPr>
          <w:sz w:val="29"/>
          <w:szCs w:val="29"/>
          <w:spacing w:val="1"/>
        </w:rPr>
        <w:t>针对检查出的具体问题，应采取相应措施，及时整改；</w:t>
      </w:r>
    </w:p>
    <w:p>
      <w:pPr>
        <w:pStyle w:val="BodyText"/>
        <w:ind w:left="730"/>
        <w:spacing w:before="138" w:line="219" w:lineRule="auto"/>
        <w:rPr>
          <w:sz w:val="29"/>
          <w:szCs w:val="29"/>
        </w:rPr>
      </w:pPr>
      <w:r>
        <w:rPr>
          <w:sz w:val="29"/>
          <w:szCs w:val="29"/>
          <w:spacing w:val="6"/>
        </w:rPr>
        <w:t>(2)种植面低的苗木应填土提高种植平面；</w:t>
      </w:r>
    </w:p>
    <w:p>
      <w:pPr>
        <w:pStyle w:val="BodyText"/>
        <w:ind w:left="730"/>
        <w:spacing w:before="136" w:line="219" w:lineRule="auto"/>
        <w:rPr>
          <w:sz w:val="29"/>
          <w:szCs w:val="29"/>
        </w:rPr>
      </w:pPr>
      <w:r>
        <w:rPr>
          <w:sz w:val="29"/>
          <w:szCs w:val="29"/>
          <w:spacing w:val="8"/>
        </w:rPr>
        <w:t>(3)开好排水沟，从而降低水位；</w:t>
      </w:r>
    </w:p>
    <w:p>
      <w:pPr>
        <w:pStyle w:val="BodyText"/>
        <w:ind w:right="553" w:firstLine="730"/>
        <w:spacing w:before="153" w:line="260" w:lineRule="auto"/>
        <w:rPr>
          <w:sz w:val="29"/>
          <w:szCs w:val="29"/>
        </w:rPr>
      </w:pPr>
      <w:r>
        <w:rPr>
          <w:sz w:val="29"/>
          <w:szCs w:val="29"/>
          <w:spacing w:val="3"/>
        </w:rPr>
        <w:t>(4)</w:t>
      </w:r>
      <w:r>
        <w:rPr>
          <w:sz w:val="29"/>
          <w:szCs w:val="29"/>
          <w:spacing w:val="92"/>
        </w:rPr>
        <w:t xml:space="preserve"> </w:t>
      </w:r>
      <w:r>
        <w:rPr>
          <w:sz w:val="29"/>
          <w:szCs w:val="29"/>
          <w:spacing w:val="3"/>
        </w:rPr>
        <w:t>对通透性较差的黏性土壤，在苗木移</w:t>
      </w:r>
      <w:r>
        <w:rPr>
          <w:sz w:val="29"/>
          <w:szCs w:val="29"/>
          <w:spacing w:val="2"/>
        </w:rPr>
        <w:t>植时可考虑在植穴底层加10</w:t>
      </w:r>
      <w:r>
        <w:rPr>
          <w:rFonts w:ascii="Times New Roman" w:hAnsi="Times New Roman" w:eastAsia="Times New Roman" w:cs="Times New Roman"/>
          <w:sz w:val="29"/>
          <w:szCs w:val="29"/>
        </w:rPr>
        <w:t>cm </w:t>
      </w:r>
      <w:r>
        <w:rPr>
          <w:sz w:val="29"/>
          <w:szCs w:val="29"/>
        </w:rPr>
        <w:t>的砂石层来预防和减少水涝危害，长期积水的区域更换疏松透水的土壤；</w:t>
      </w:r>
    </w:p>
    <w:p>
      <w:pPr>
        <w:pStyle w:val="BodyText"/>
        <w:ind w:firstLine="730"/>
        <w:spacing w:before="154" w:line="286" w:lineRule="auto"/>
        <w:rPr>
          <w:rFonts w:ascii="SimHei" w:hAnsi="SimHei" w:eastAsia="SimHei" w:cs="SimHei"/>
          <w:sz w:val="29"/>
          <w:szCs w:val="29"/>
        </w:rPr>
      </w:pPr>
      <w:r>
        <w:rPr>
          <w:sz w:val="29"/>
          <w:szCs w:val="29"/>
          <w:spacing w:val="7"/>
        </w:rPr>
        <w:t>(5)选择耐涝的品种，如水杉、白千层、水翁、海南浦桃、串钱柳等，但</w:t>
      </w:r>
      <w:r>
        <w:rPr>
          <w:sz w:val="29"/>
          <w:szCs w:val="29"/>
          <w:spacing w:val="5"/>
        </w:rPr>
        <w:t xml:space="preserve">   </w:t>
      </w:r>
      <w:r>
        <w:rPr>
          <w:sz w:val="29"/>
          <w:szCs w:val="29"/>
          <w:spacing w:val="-10"/>
        </w:rPr>
        <w:t>需要注意的是它们只是耐涝品种，并不是水生植物，不宜种植在长期水淹的地方。6、</w:t>
      </w:r>
      <w:r>
        <w:rPr>
          <w:sz w:val="29"/>
          <w:szCs w:val="29"/>
          <w:spacing w:val="18"/>
        </w:rPr>
        <w:t xml:space="preserve"> </w:t>
      </w:r>
      <w:r>
        <w:rPr>
          <w:rFonts w:ascii="SimHei" w:hAnsi="SimHei" w:eastAsia="SimHei" w:cs="SimHei"/>
          <w:sz w:val="29"/>
          <w:szCs w:val="29"/>
          <w:spacing w:val="6"/>
        </w:rPr>
        <w:t>风害</w:t>
      </w:r>
    </w:p>
    <w:p>
      <w:pPr>
        <w:pStyle w:val="BodyText"/>
        <w:ind w:left="590"/>
        <w:spacing w:before="151" w:line="219" w:lineRule="auto"/>
        <w:rPr>
          <w:sz w:val="29"/>
          <w:szCs w:val="29"/>
        </w:rPr>
      </w:pPr>
      <w:r>
        <w:rPr>
          <w:sz w:val="29"/>
          <w:szCs w:val="29"/>
          <w:spacing w:val="-9"/>
        </w:rPr>
        <w:t>在多风地区，树木常发生风害，出现偏冠和</w:t>
      </w:r>
      <w:r>
        <w:rPr>
          <w:sz w:val="29"/>
          <w:szCs w:val="29"/>
          <w:spacing w:val="-10"/>
        </w:rPr>
        <w:t>偏心现象，偏冠会给树木整形修</w:t>
      </w:r>
    </w:p>
    <w:p>
      <w:pPr>
        <w:pStyle w:val="BodyText"/>
        <w:ind w:right="350"/>
        <w:spacing w:before="137" w:line="304" w:lineRule="auto"/>
        <w:rPr>
          <w:sz w:val="29"/>
          <w:szCs w:val="29"/>
        </w:rPr>
      </w:pPr>
      <w:r>
        <w:rPr>
          <w:sz w:val="29"/>
          <w:szCs w:val="29"/>
          <w:spacing w:val="-8"/>
        </w:rPr>
        <w:t>剪带来困难，影响景观效果，偏心的树易使树木倒伏或干梢、干枯死亡。春季的旱</w:t>
      </w:r>
      <w:r>
        <w:rPr>
          <w:sz w:val="29"/>
          <w:szCs w:val="29"/>
          <w:spacing w:val="11"/>
        </w:rPr>
        <w:t xml:space="preserve"> </w:t>
      </w:r>
      <w:r>
        <w:rPr>
          <w:sz w:val="29"/>
          <w:szCs w:val="29"/>
          <w:spacing w:val="-23"/>
        </w:rPr>
        <w:t>风，常将新梢嫩叶吹焦，缩短花期；夏、秋季沿海地区的树木又常遭台风危害，使枝叶</w:t>
      </w:r>
      <w:r>
        <w:rPr>
          <w:sz w:val="29"/>
          <w:szCs w:val="29"/>
          <w:spacing w:val="16"/>
        </w:rPr>
        <w:t xml:space="preserve"> </w:t>
      </w:r>
      <w:r>
        <w:rPr>
          <w:sz w:val="29"/>
          <w:szCs w:val="29"/>
          <w:spacing w:val="-26"/>
        </w:rPr>
        <w:t>折损，大枝折断，将树吹倒，尤以阵发性大风，对</w:t>
      </w:r>
      <w:r>
        <w:rPr>
          <w:sz w:val="29"/>
          <w:szCs w:val="29"/>
          <w:spacing w:val="-27"/>
        </w:rPr>
        <w:t>高大的树木破坏性更大。</w:t>
      </w:r>
    </w:p>
    <w:p>
      <w:pPr>
        <w:pStyle w:val="BodyText"/>
        <w:ind w:left="590"/>
        <w:spacing w:before="59" w:line="220" w:lineRule="auto"/>
        <w:rPr>
          <w:sz w:val="27"/>
          <w:szCs w:val="27"/>
        </w:rPr>
      </w:pPr>
      <w:r>
        <w:rPr>
          <w:sz w:val="27"/>
          <w:szCs w:val="27"/>
          <w:spacing w:val="41"/>
        </w:rPr>
        <w:t>1)风害危害</w:t>
      </w:r>
    </w:p>
    <w:p>
      <w:pPr>
        <w:ind w:firstLine="4510"/>
        <w:spacing w:before="46" w:line="3310" w:lineRule="exact"/>
        <w:rPr/>
      </w:pPr>
      <w:r>
        <w:drawing>
          <wp:anchor distT="0" distB="0" distL="0" distR="0" simplePos="0" relativeHeight="251758592" behindDoc="0" locked="0" layoutInCell="1" allowOverlap="1">
            <wp:simplePos x="0" y="0"/>
            <wp:positionH relativeFrom="column">
              <wp:posOffset>336578</wp:posOffset>
            </wp:positionH>
            <wp:positionV relativeFrom="paragraph">
              <wp:posOffset>29474</wp:posOffset>
            </wp:positionV>
            <wp:extent cx="2425698" cy="2101848"/>
            <wp:effectExtent l="0" t="0" r="0" b="0"/>
            <wp:wrapNone/>
            <wp:docPr id="162" name="IM 162"/>
            <wp:cNvGraphicFramePr/>
            <a:graphic>
              <a:graphicData uri="http://schemas.openxmlformats.org/drawingml/2006/picture">
                <pic:pic>
                  <pic:nvPicPr>
                    <pic:cNvPr id="162" name="IM 162"/>
                    <pic:cNvPicPr/>
                  </pic:nvPicPr>
                  <pic:blipFill>
                    <a:blip r:embed="rId112"/>
                    <a:stretch>
                      <a:fillRect/>
                    </a:stretch>
                  </pic:blipFill>
                  <pic:spPr>
                    <a:xfrm rot="0">
                      <a:off x="0" y="0"/>
                      <a:ext cx="2425698" cy="2101848"/>
                    </a:xfrm>
                    <a:prstGeom prst="rect">
                      <a:avLst/>
                    </a:prstGeom>
                  </pic:spPr>
                </pic:pic>
              </a:graphicData>
            </a:graphic>
          </wp:anchor>
        </w:drawing>
      </w:r>
      <w:r>
        <w:rPr>
          <w:position w:val="-66"/>
        </w:rPr>
        <w:drawing>
          <wp:inline distT="0" distB="0" distL="0" distR="0">
            <wp:extent cx="3136856" cy="2101848"/>
            <wp:effectExtent l="0" t="0" r="0" b="0"/>
            <wp:docPr id="164" name="IM 164"/>
            <wp:cNvGraphicFramePr/>
            <a:graphic>
              <a:graphicData uri="http://schemas.openxmlformats.org/drawingml/2006/picture">
                <pic:pic>
                  <pic:nvPicPr>
                    <pic:cNvPr id="164" name="IM 164"/>
                    <pic:cNvPicPr/>
                  </pic:nvPicPr>
                  <pic:blipFill>
                    <a:blip r:embed="rId113"/>
                    <a:stretch>
                      <a:fillRect/>
                    </a:stretch>
                  </pic:blipFill>
                  <pic:spPr>
                    <a:xfrm rot="0">
                      <a:off x="0" y="0"/>
                      <a:ext cx="3136856" cy="2101848"/>
                    </a:xfrm>
                    <a:prstGeom prst="rect">
                      <a:avLst/>
                    </a:prstGeom>
                  </pic:spPr>
                </pic:pic>
              </a:graphicData>
            </a:graphic>
          </wp:inline>
        </w:drawing>
      </w:r>
    </w:p>
    <w:p>
      <w:pPr>
        <w:pStyle w:val="BodyText"/>
        <w:ind w:left="3349"/>
        <w:spacing w:before="68" w:line="219" w:lineRule="auto"/>
        <w:rPr>
          <w:sz w:val="24"/>
          <w:szCs w:val="24"/>
        </w:rPr>
      </w:pPr>
      <w:r>
        <w:rPr>
          <w:sz w:val="24"/>
          <w:szCs w:val="24"/>
          <w:spacing w:val="9"/>
        </w:rPr>
        <w:t>图2-7-9风害引起的干梢偏冠、倒伏</w:t>
      </w:r>
    </w:p>
    <w:p>
      <w:pPr>
        <w:pStyle w:val="BodyText"/>
        <w:ind w:left="590"/>
        <w:spacing w:before="149" w:line="219" w:lineRule="auto"/>
        <w:rPr>
          <w:sz w:val="29"/>
          <w:szCs w:val="29"/>
        </w:rPr>
      </w:pPr>
      <w:r>
        <w:rPr>
          <w:sz w:val="29"/>
          <w:szCs w:val="29"/>
          <w:spacing w:val="19"/>
        </w:rPr>
        <w:t>2)减轻风害的措施</w:t>
      </w:r>
    </w:p>
    <w:p>
      <w:pPr>
        <w:pStyle w:val="BodyText"/>
        <w:ind w:right="393" w:firstLine="730"/>
        <w:spacing w:before="157" w:line="266" w:lineRule="auto"/>
        <w:rPr>
          <w:sz w:val="29"/>
          <w:szCs w:val="29"/>
        </w:rPr>
      </w:pPr>
      <w:r>
        <w:rPr>
          <w:sz w:val="29"/>
          <w:szCs w:val="29"/>
          <w:spacing w:val="8"/>
        </w:rPr>
        <w:t>(1)增加土球：苗木移栽时，特别是移栽大树，如果</w:t>
      </w:r>
      <w:r>
        <w:rPr>
          <w:sz w:val="29"/>
          <w:szCs w:val="29"/>
          <w:spacing w:val="7"/>
        </w:rPr>
        <w:t>土球起的小，而树身</w:t>
      </w:r>
      <w:r>
        <w:rPr>
          <w:sz w:val="29"/>
          <w:szCs w:val="29"/>
        </w:rPr>
        <w:t xml:space="preserve"> </w:t>
      </w:r>
      <w:r>
        <w:rPr>
          <w:sz w:val="29"/>
          <w:szCs w:val="29"/>
          <w:spacing w:val="-7"/>
        </w:rPr>
        <w:t>大，则易遭风害；</w:t>
      </w:r>
    </w:p>
    <w:p>
      <w:pPr>
        <w:pStyle w:val="BodyText"/>
        <w:ind w:right="387" w:firstLine="730"/>
        <w:spacing w:before="153" w:line="269" w:lineRule="auto"/>
        <w:rPr>
          <w:sz w:val="29"/>
          <w:szCs w:val="29"/>
        </w:rPr>
      </w:pPr>
      <w:r>
        <w:rPr>
          <w:sz w:val="29"/>
          <w:szCs w:val="29"/>
          <w:spacing w:val="8"/>
        </w:rPr>
        <w:t>(2)种植穴：在多风地区种植穴应适当加大，如果小坑栽植，树会</w:t>
      </w:r>
      <w:r>
        <w:rPr>
          <w:sz w:val="29"/>
          <w:szCs w:val="29"/>
          <w:spacing w:val="7"/>
        </w:rPr>
        <w:t>因根系</w:t>
      </w:r>
      <w:r>
        <w:rPr>
          <w:sz w:val="29"/>
          <w:szCs w:val="29"/>
        </w:rPr>
        <w:t xml:space="preserve"> </w:t>
      </w:r>
      <w:r>
        <w:rPr>
          <w:sz w:val="29"/>
          <w:szCs w:val="29"/>
          <w:spacing w:val="-2"/>
        </w:rPr>
        <w:t>不舒展，发育不好，重心不稳，易受风害；</w:t>
      </w:r>
    </w:p>
    <w:p>
      <w:pPr>
        <w:pStyle w:val="BodyText"/>
        <w:ind w:right="409" w:firstLine="730"/>
        <w:spacing w:before="155" w:line="265" w:lineRule="auto"/>
        <w:rPr>
          <w:sz w:val="29"/>
          <w:szCs w:val="29"/>
        </w:rPr>
      </w:pPr>
      <w:r>
        <w:rPr>
          <w:sz w:val="29"/>
          <w:szCs w:val="29"/>
          <w:spacing w:val="-2"/>
        </w:rPr>
        <w:t>(3)种植设计：要注意在风口、风道等易遭风害的地方选抗风树种和品种，</w:t>
      </w:r>
      <w:r>
        <w:rPr>
          <w:sz w:val="29"/>
          <w:szCs w:val="29"/>
          <w:spacing w:val="17"/>
        </w:rPr>
        <w:t xml:space="preserve"> </w:t>
      </w:r>
      <w:r>
        <w:rPr>
          <w:sz w:val="29"/>
          <w:szCs w:val="29"/>
          <w:spacing w:val="-6"/>
        </w:rPr>
        <w:t>适当密植，采用低干矮冠树形；</w:t>
      </w:r>
    </w:p>
    <w:p>
      <w:pPr>
        <w:pStyle w:val="BodyText"/>
        <w:ind w:right="352" w:firstLine="730"/>
        <w:spacing w:before="145" w:line="280" w:lineRule="auto"/>
        <w:rPr>
          <w:sz w:val="29"/>
          <w:szCs w:val="29"/>
        </w:rPr>
      </w:pPr>
      <w:r>
        <w:rPr>
          <w:rFonts w:ascii="FangSong" w:hAnsi="FangSong" w:eastAsia="FangSong" w:cs="FangSong"/>
          <w:sz w:val="29"/>
          <w:szCs w:val="29"/>
          <w:spacing w:val="-2"/>
        </w:rPr>
        <w:t>(4)修剪：</w:t>
      </w:r>
      <w:r>
        <w:rPr>
          <w:rFonts w:ascii="FangSong" w:hAnsi="FangSong" w:eastAsia="FangSong" w:cs="FangSong"/>
          <w:sz w:val="29"/>
          <w:szCs w:val="29"/>
          <w:spacing w:val="-60"/>
        </w:rPr>
        <w:t xml:space="preserve"> </w:t>
      </w:r>
      <w:r>
        <w:rPr>
          <w:sz w:val="29"/>
          <w:szCs w:val="29"/>
          <w:spacing w:val="-2"/>
        </w:rPr>
        <w:t>及时剪除树木上的枯枝、病虫枝，以防</w:t>
      </w:r>
      <w:r>
        <w:rPr>
          <w:sz w:val="29"/>
          <w:szCs w:val="29"/>
          <w:spacing w:val="-3"/>
        </w:rPr>
        <w:t>大风期间断枝伤及行人，</w:t>
      </w:r>
      <w:r>
        <w:rPr>
          <w:sz w:val="29"/>
          <w:szCs w:val="29"/>
        </w:rPr>
        <w:t xml:space="preserve"> </w:t>
      </w:r>
      <w:r>
        <w:rPr>
          <w:sz w:val="29"/>
          <w:szCs w:val="29"/>
        </w:rPr>
        <w:t>对树冠过于浓密或可能对周边建筑物造成影响的乔木进行适当的疏枝，以减少受</w:t>
      </w:r>
      <w:r>
        <w:rPr>
          <w:sz w:val="29"/>
          <w:szCs w:val="29"/>
          <w:spacing w:val="11"/>
        </w:rPr>
        <w:t xml:space="preserve"> </w:t>
      </w:r>
      <w:r>
        <w:rPr>
          <w:sz w:val="29"/>
          <w:szCs w:val="29"/>
          <w:spacing w:val="-6"/>
        </w:rPr>
        <w:t>风面积，达到防风保苗的效果；</w:t>
      </w:r>
    </w:p>
    <w:p>
      <w:pPr>
        <w:spacing w:line="280" w:lineRule="auto"/>
        <w:sectPr>
          <w:footerReference w:type="default" r:id="rId111"/>
          <w:pgSz w:w="14490" w:h="20470"/>
          <w:pgMar w:top="1739" w:right="1825" w:bottom="1423" w:left="2150" w:header="0" w:footer="1224" w:gutter="0"/>
        </w:sectPr>
        <w:rPr>
          <w:sz w:val="29"/>
          <w:szCs w:val="29"/>
        </w:rPr>
      </w:pPr>
    </w:p>
    <w:p>
      <w:pPr>
        <w:pStyle w:val="BodyText"/>
        <w:ind w:right="299" w:firstLine="740"/>
        <w:spacing w:before="122" w:line="302" w:lineRule="auto"/>
        <w:jc w:val="both"/>
        <w:rPr>
          <w:sz w:val="29"/>
          <w:szCs w:val="29"/>
        </w:rPr>
      </w:pPr>
      <w:r>
        <w:rPr>
          <w:sz w:val="29"/>
          <w:szCs w:val="29"/>
          <w:spacing w:val="8"/>
        </w:rPr>
        <w:t>(5)管理措施：应根据当地实际情况采取相应防风措施</w:t>
      </w:r>
      <w:r>
        <w:rPr>
          <w:sz w:val="29"/>
          <w:szCs w:val="29"/>
          <w:spacing w:val="7"/>
        </w:rPr>
        <w:t>，如排除积水，改</w:t>
      </w:r>
      <w:r>
        <w:rPr>
          <w:sz w:val="29"/>
          <w:szCs w:val="29"/>
        </w:rPr>
        <w:t xml:space="preserve"> </w:t>
      </w:r>
      <w:r>
        <w:rPr>
          <w:sz w:val="29"/>
          <w:szCs w:val="29"/>
          <w:spacing w:val="1"/>
        </w:rPr>
        <w:t>良栽植地点的土壤质地，培育壮根良苗，采取大穴换土，适当深植，合理修枝，</w:t>
      </w:r>
      <w:r>
        <w:rPr>
          <w:sz w:val="29"/>
          <w:szCs w:val="29"/>
        </w:rPr>
        <w:t xml:space="preserve"> </w:t>
      </w:r>
      <w:r>
        <w:rPr>
          <w:sz w:val="29"/>
          <w:szCs w:val="29"/>
          <w:spacing w:val="-8"/>
        </w:rPr>
        <w:t>控制树形，定植后及时支架杆。对结果多的</w:t>
      </w:r>
      <w:r>
        <w:rPr>
          <w:sz w:val="29"/>
          <w:szCs w:val="29"/>
          <w:spacing w:val="-9"/>
        </w:rPr>
        <w:t>树要及早吊枝或顶枝，减少落果，对幼</w:t>
      </w:r>
      <w:r>
        <w:rPr>
          <w:sz w:val="29"/>
          <w:szCs w:val="29"/>
        </w:rPr>
        <w:t xml:space="preserve"> </w:t>
      </w:r>
      <w:r>
        <w:rPr>
          <w:sz w:val="29"/>
          <w:szCs w:val="29"/>
          <w:spacing w:val="-11"/>
        </w:rPr>
        <w:t>树、名贵树种可设置风障等。</w:t>
      </w:r>
    </w:p>
    <w:p>
      <w:pPr>
        <w:ind w:firstLine="600"/>
        <w:spacing w:line="3120" w:lineRule="exact"/>
        <w:rPr/>
      </w:pPr>
      <w:r>
        <w:rPr>
          <w:position w:val="-62"/>
        </w:rPr>
        <w:drawing>
          <wp:inline distT="0" distB="0" distL="0" distR="0">
            <wp:extent cx="5575252" cy="1981224"/>
            <wp:effectExtent l="0" t="0" r="0" b="0"/>
            <wp:docPr id="166" name="IM 166"/>
            <wp:cNvGraphicFramePr/>
            <a:graphic>
              <a:graphicData uri="http://schemas.openxmlformats.org/drawingml/2006/picture">
                <pic:pic>
                  <pic:nvPicPr>
                    <pic:cNvPr id="166" name="IM 166"/>
                    <pic:cNvPicPr/>
                  </pic:nvPicPr>
                  <pic:blipFill>
                    <a:blip r:embed="rId115"/>
                    <a:stretch>
                      <a:fillRect/>
                    </a:stretch>
                  </pic:blipFill>
                  <pic:spPr>
                    <a:xfrm rot="0">
                      <a:off x="0" y="0"/>
                      <a:ext cx="5575252" cy="1981224"/>
                    </a:xfrm>
                    <a:prstGeom prst="rect">
                      <a:avLst/>
                    </a:prstGeom>
                  </pic:spPr>
                </pic:pic>
              </a:graphicData>
            </a:graphic>
          </wp:inline>
        </w:drawing>
      </w:r>
    </w:p>
    <w:p>
      <w:pPr>
        <w:pStyle w:val="BodyText"/>
        <w:ind w:left="4019"/>
        <w:spacing w:before="150" w:line="219" w:lineRule="auto"/>
        <w:rPr>
          <w:sz w:val="24"/>
          <w:szCs w:val="24"/>
        </w:rPr>
      </w:pPr>
      <w:r>
        <w:rPr>
          <w:sz w:val="24"/>
          <w:szCs w:val="24"/>
          <w:spacing w:val="4"/>
        </w:rPr>
        <w:t>图2-7-11设置风障</w:t>
      </w:r>
    </w:p>
    <w:p>
      <w:pPr>
        <w:pStyle w:val="BodyText"/>
        <w:ind w:left="600"/>
        <w:spacing w:before="167" w:line="220" w:lineRule="auto"/>
        <w:rPr>
          <w:sz w:val="29"/>
          <w:szCs w:val="29"/>
        </w:rPr>
      </w:pPr>
      <w:r>
        <w:rPr>
          <w:sz w:val="29"/>
          <w:szCs w:val="29"/>
          <w:spacing w:val="27"/>
        </w:rPr>
        <w:t>3)风害防范</w:t>
      </w:r>
    </w:p>
    <w:p>
      <w:pPr>
        <w:pStyle w:val="BodyText"/>
        <w:ind w:right="346" w:firstLine="600"/>
        <w:spacing w:before="131" w:line="322" w:lineRule="auto"/>
        <w:rPr>
          <w:sz w:val="29"/>
          <w:szCs w:val="29"/>
        </w:rPr>
      </w:pPr>
      <w:r>
        <w:rPr>
          <w:sz w:val="29"/>
          <w:szCs w:val="29"/>
          <w:spacing w:val="-10"/>
        </w:rPr>
        <w:t>对高大乔木，在台风来临前进行加固支撑，并及时加固各种防护设施；对小型</w:t>
      </w:r>
      <w:r>
        <w:rPr>
          <w:sz w:val="29"/>
          <w:szCs w:val="29"/>
          <w:spacing w:val="17"/>
        </w:rPr>
        <w:t xml:space="preserve"> </w:t>
      </w:r>
      <w:r>
        <w:rPr>
          <w:sz w:val="29"/>
          <w:szCs w:val="29"/>
          <w:spacing w:val="-2"/>
        </w:rPr>
        <w:t>花木，可建适当风屏。</w:t>
      </w:r>
    </w:p>
    <w:p>
      <w:pPr>
        <w:pStyle w:val="BodyText"/>
        <w:ind w:left="600"/>
        <w:spacing w:before="10" w:line="220" w:lineRule="auto"/>
        <w:rPr>
          <w:sz w:val="27"/>
          <w:szCs w:val="27"/>
        </w:rPr>
      </w:pPr>
      <w:r>
        <w:rPr>
          <w:sz w:val="27"/>
          <w:szCs w:val="27"/>
          <w:spacing w:val="43"/>
        </w:rPr>
        <w:t>4)灾后处理</w:t>
      </w:r>
    </w:p>
    <w:p>
      <w:pPr>
        <w:pStyle w:val="BodyText"/>
        <w:ind w:right="411" w:firstLine="740"/>
        <w:spacing w:before="149" w:line="263" w:lineRule="auto"/>
        <w:rPr>
          <w:sz w:val="29"/>
          <w:szCs w:val="29"/>
        </w:rPr>
      </w:pPr>
      <w:r>
        <w:rPr>
          <w:sz w:val="29"/>
          <w:szCs w:val="29"/>
          <w:spacing w:val="6"/>
        </w:rPr>
        <w:t>(1)对于遭受大风危害、折枝、伤害树冠或被刮倒的树木，要根据受害情</w:t>
      </w:r>
      <w:r>
        <w:rPr>
          <w:sz w:val="29"/>
          <w:szCs w:val="29"/>
        </w:rPr>
        <w:t xml:space="preserve"> </w:t>
      </w:r>
      <w:r>
        <w:rPr>
          <w:sz w:val="29"/>
          <w:szCs w:val="29"/>
          <w:spacing w:val="-6"/>
        </w:rPr>
        <w:t>况，及时维护；</w:t>
      </w:r>
    </w:p>
    <w:p>
      <w:pPr>
        <w:pStyle w:val="BodyText"/>
        <w:ind w:left="740"/>
        <w:spacing w:before="163" w:line="219" w:lineRule="auto"/>
        <w:rPr>
          <w:sz w:val="29"/>
          <w:szCs w:val="29"/>
        </w:rPr>
      </w:pPr>
      <w:r>
        <w:rPr>
          <w:sz w:val="29"/>
          <w:szCs w:val="29"/>
          <w:spacing w:val="5"/>
        </w:rPr>
        <w:t>(2)对风倒树及时顺势扶正，修去部分和大部分枝条，架杆要支牢固；</w:t>
      </w:r>
    </w:p>
    <w:p>
      <w:pPr>
        <w:pStyle w:val="BodyText"/>
        <w:ind w:right="402" w:firstLine="740"/>
        <w:spacing w:before="135" w:line="262" w:lineRule="auto"/>
        <w:rPr>
          <w:sz w:val="29"/>
          <w:szCs w:val="29"/>
        </w:rPr>
      </w:pPr>
      <w:r>
        <w:rPr>
          <w:sz w:val="29"/>
          <w:szCs w:val="29"/>
          <w:spacing w:val="6"/>
        </w:rPr>
        <w:t>(3)对裂枝要顶起或吊枝，捆紧基部伤面，或涂激素药膏促其愈合，并加</w:t>
      </w:r>
      <w:r>
        <w:rPr>
          <w:sz w:val="29"/>
          <w:szCs w:val="29"/>
          <w:spacing w:val="8"/>
        </w:rPr>
        <w:t xml:space="preserve"> </w:t>
      </w:r>
      <w:r>
        <w:rPr>
          <w:sz w:val="29"/>
          <w:szCs w:val="29"/>
          <w:spacing w:val="-1"/>
        </w:rPr>
        <w:t>强肥水管理，促进树势的恢复。</w:t>
      </w:r>
    </w:p>
    <w:p>
      <w:pPr>
        <w:pStyle w:val="BodyText"/>
        <w:spacing w:before="248" w:line="223" w:lineRule="auto"/>
        <w:rPr>
          <w:rFonts w:ascii="SimHei" w:hAnsi="SimHei" w:eastAsia="SimHei" w:cs="SimHei"/>
          <w:sz w:val="27"/>
          <w:szCs w:val="27"/>
        </w:rPr>
      </w:pPr>
      <w:r>
        <w:rPr>
          <w:rFonts w:ascii="Arial" w:hAnsi="Arial" w:eastAsia="Arial" w:cs="Arial"/>
          <w:sz w:val="27"/>
          <w:szCs w:val="27"/>
          <w:spacing w:val="-14"/>
        </w:rPr>
        <w:t>7</w:t>
      </w:r>
      <w:r>
        <w:rPr>
          <w:rFonts w:ascii="Arial" w:hAnsi="Arial" w:eastAsia="Arial" w:cs="Arial"/>
          <w:sz w:val="27"/>
          <w:szCs w:val="27"/>
          <w:spacing w:val="-46"/>
        </w:rPr>
        <w:t xml:space="preserve"> </w:t>
      </w:r>
      <w:r>
        <w:rPr>
          <w:sz w:val="27"/>
          <w:szCs w:val="27"/>
          <w:spacing w:val="-14"/>
        </w:rPr>
        <w:t>、</w:t>
      </w:r>
      <w:r>
        <w:rPr>
          <w:sz w:val="27"/>
          <w:szCs w:val="27"/>
          <w:spacing w:val="-92"/>
        </w:rPr>
        <w:t xml:space="preserve"> </w:t>
      </w:r>
      <w:r>
        <w:rPr>
          <w:rFonts w:ascii="SimHei" w:hAnsi="SimHei" w:eastAsia="SimHei" w:cs="SimHei"/>
          <w:sz w:val="27"/>
          <w:szCs w:val="27"/>
          <w:spacing w:val="-14"/>
        </w:rPr>
        <w:t>霜</w:t>
      </w:r>
      <w:r>
        <w:rPr>
          <w:rFonts w:ascii="SimHei" w:hAnsi="SimHei" w:eastAsia="SimHei" w:cs="SimHei"/>
          <w:sz w:val="27"/>
          <w:szCs w:val="27"/>
          <w:spacing w:val="-17"/>
        </w:rPr>
        <w:t xml:space="preserve"> </w:t>
      </w:r>
      <w:r>
        <w:rPr>
          <w:rFonts w:ascii="SimHei" w:hAnsi="SimHei" w:eastAsia="SimHei" w:cs="SimHei"/>
          <w:sz w:val="27"/>
          <w:szCs w:val="27"/>
          <w:spacing w:val="-14"/>
        </w:rPr>
        <w:t>害</w:t>
      </w:r>
    </w:p>
    <w:p>
      <w:pPr>
        <w:pStyle w:val="BodyText"/>
        <w:ind w:left="600"/>
        <w:spacing w:before="165" w:line="220" w:lineRule="auto"/>
        <w:rPr>
          <w:sz w:val="29"/>
          <w:szCs w:val="29"/>
        </w:rPr>
      </w:pPr>
      <w:r>
        <w:rPr>
          <w:sz w:val="29"/>
          <w:szCs w:val="29"/>
          <w:spacing w:val="17"/>
        </w:rPr>
        <w:t>1)霜冻危害的表现</w:t>
      </w:r>
    </w:p>
    <w:p>
      <w:pPr>
        <w:pStyle w:val="BodyText"/>
        <w:ind w:right="301" w:firstLine="550"/>
        <w:spacing w:before="172" w:line="299" w:lineRule="auto"/>
        <w:rPr>
          <w:sz w:val="29"/>
          <w:szCs w:val="29"/>
        </w:rPr>
      </w:pPr>
      <w:r>
        <w:drawing>
          <wp:anchor distT="0" distB="0" distL="0" distR="0" simplePos="0" relativeHeight="251763712" behindDoc="0" locked="0" layoutInCell="1" allowOverlap="1">
            <wp:simplePos x="0" y="0"/>
            <wp:positionH relativeFrom="column">
              <wp:posOffset>3384551</wp:posOffset>
            </wp:positionH>
            <wp:positionV relativeFrom="paragraph">
              <wp:posOffset>692660</wp:posOffset>
            </wp:positionV>
            <wp:extent cx="3086065" cy="1911291"/>
            <wp:effectExtent l="0" t="0" r="0" b="0"/>
            <wp:wrapNone/>
            <wp:docPr id="168" name="IM 168"/>
            <wp:cNvGraphicFramePr/>
            <a:graphic>
              <a:graphicData uri="http://schemas.openxmlformats.org/drawingml/2006/picture">
                <pic:pic>
                  <pic:nvPicPr>
                    <pic:cNvPr id="168" name="IM 168"/>
                    <pic:cNvPicPr/>
                  </pic:nvPicPr>
                  <pic:blipFill>
                    <a:blip r:embed="rId116"/>
                    <a:stretch>
                      <a:fillRect/>
                    </a:stretch>
                  </pic:blipFill>
                  <pic:spPr>
                    <a:xfrm rot="0">
                      <a:off x="0" y="0"/>
                      <a:ext cx="3086065" cy="1911291"/>
                    </a:xfrm>
                    <a:prstGeom prst="rect">
                      <a:avLst/>
                    </a:prstGeom>
                  </pic:spPr>
                </pic:pic>
              </a:graphicData>
            </a:graphic>
          </wp:anchor>
        </w:drawing>
      </w:r>
      <w:r>
        <w:rPr>
          <w:sz w:val="29"/>
          <w:szCs w:val="29"/>
          <w:spacing w:val="2"/>
        </w:rPr>
        <w:t>早春萌芽或处于花期的花卉受霜冻后，易发生霜害，出现叶片变红</w:t>
      </w:r>
      <w:r>
        <w:rPr>
          <w:sz w:val="29"/>
          <w:szCs w:val="29"/>
          <w:spacing w:val="1"/>
        </w:rPr>
        <w:t>脱落、萎</w:t>
      </w:r>
      <w:r>
        <w:rPr>
          <w:sz w:val="29"/>
          <w:szCs w:val="29"/>
        </w:rPr>
        <w:t xml:space="preserve"> </w:t>
      </w:r>
      <w:r>
        <w:rPr>
          <w:sz w:val="29"/>
          <w:szCs w:val="29"/>
          <w:spacing w:val="-1"/>
        </w:rPr>
        <w:t>蔫、变黑甚至死亡的情形。</w:t>
      </w:r>
    </w:p>
    <w:p>
      <w:pPr>
        <w:ind w:firstLine="119"/>
        <w:spacing w:line="2990" w:lineRule="exact"/>
        <w:rPr/>
      </w:pPr>
      <w:r>
        <w:rPr>
          <w:position w:val="-59"/>
        </w:rPr>
        <w:drawing>
          <wp:inline distT="0" distB="0" distL="0" distR="0">
            <wp:extent cx="3086065" cy="1898553"/>
            <wp:effectExtent l="0" t="0" r="0" b="0"/>
            <wp:docPr id="170" name="IM 170"/>
            <wp:cNvGraphicFramePr/>
            <a:graphic>
              <a:graphicData uri="http://schemas.openxmlformats.org/drawingml/2006/picture">
                <pic:pic>
                  <pic:nvPicPr>
                    <pic:cNvPr id="170" name="IM 170"/>
                    <pic:cNvPicPr/>
                  </pic:nvPicPr>
                  <pic:blipFill>
                    <a:blip r:embed="rId117"/>
                    <a:stretch>
                      <a:fillRect/>
                    </a:stretch>
                  </pic:blipFill>
                  <pic:spPr>
                    <a:xfrm rot="0">
                      <a:off x="0" y="0"/>
                      <a:ext cx="3086065" cy="1898553"/>
                    </a:xfrm>
                    <a:prstGeom prst="rect">
                      <a:avLst/>
                    </a:prstGeom>
                  </pic:spPr>
                </pic:pic>
              </a:graphicData>
            </a:graphic>
          </wp:inline>
        </w:drawing>
      </w:r>
    </w:p>
    <w:p>
      <w:pPr>
        <w:pStyle w:val="BodyText"/>
        <w:ind w:left="4390"/>
        <w:spacing w:before="271" w:line="220" w:lineRule="auto"/>
        <w:rPr>
          <w:sz w:val="24"/>
          <w:szCs w:val="24"/>
        </w:rPr>
      </w:pPr>
      <w:r>
        <w:rPr>
          <w:sz w:val="24"/>
          <w:szCs w:val="24"/>
          <w:spacing w:val="-1"/>
        </w:rPr>
        <w:t>图2-7-12霜害</w:t>
      </w:r>
    </w:p>
    <w:p>
      <w:pPr>
        <w:pStyle w:val="BodyText"/>
        <w:ind w:left="600"/>
        <w:spacing w:before="176" w:line="220" w:lineRule="auto"/>
        <w:rPr>
          <w:sz w:val="29"/>
          <w:szCs w:val="29"/>
        </w:rPr>
      </w:pPr>
      <w:r>
        <w:rPr>
          <w:sz w:val="29"/>
          <w:szCs w:val="29"/>
          <w:spacing w:val="27"/>
        </w:rPr>
        <w:t>2)预防措施</w:t>
      </w:r>
    </w:p>
    <w:p>
      <w:pPr>
        <w:pStyle w:val="BodyText"/>
        <w:spacing w:before="141" w:line="219" w:lineRule="auto"/>
        <w:jc w:val="right"/>
        <w:rPr>
          <w:sz w:val="29"/>
          <w:szCs w:val="29"/>
        </w:rPr>
      </w:pPr>
      <w:r>
        <w:rPr>
          <w:sz w:val="29"/>
          <w:szCs w:val="29"/>
          <w:spacing w:val="1"/>
        </w:rPr>
        <w:t>景观苗木防霜可以通过及时采取防霜冻措施，改变小</w:t>
      </w:r>
      <w:r>
        <w:rPr>
          <w:sz w:val="29"/>
          <w:szCs w:val="29"/>
        </w:rPr>
        <w:t>气候条件进而保护苗木，</w:t>
      </w:r>
    </w:p>
    <w:p>
      <w:pPr>
        <w:spacing w:line="219" w:lineRule="auto"/>
        <w:sectPr>
          <w:footerReference w:type="default" r:id="rId114"/>
          <w:pgSz w:w="14490" w:h="20470"/>
          <w:pgMar w:top="1739" w:right="1864" w:bottom="1449" w:left="2140" w:header="0" w:footer="1203" w:gutter="0"/>
        </w:sectPr>
        <w:rPr>
          <w:sz w:val="29"/>
          <w:szCs w:val="29"/>
        </w:rPr>
      </w:pPr>
    </w:p>
    <w:p>
      <w:pPr>
        <w:pStyle w:val="BodyText"/>
        <w:spacing w:before="122" w:line="220" w:lineRule="auto"/>
        <w:rPr>
          <w:sz w:val="29"/>
          <w:szCs w:val="29"/>
        </w:rPr>
      </w:pPr>
      <w:r>
        <w:rPr>
          <w:sz w:val="29"/>
          <w:szCs w:val="29"/>
          <w:spacing w:val="-6"/>
        </w:rPr>
        <w:t>具体方法如下：</w:t>
      </w:r>
    </w:p>
    <w:p>
      <w:pPr>
        <w:pStyle w:val="BodyText"/>
        <w:ind w:right="220" w:firstLine="720"/>
        <w:spacing w:before="152" w:line="266" w:lineRule="auto"/>
        <w:rPr>
          <w:sz w:val="29"/>
          <w:szCs w:val="29"/>
        </w:rPr>
      </w:pPr>
      <w:r>
        <w:rPr>
          <w:sz w:val="29"/>
          <w:szCs w:val="29"/>
          <w:spacing w:val="6"/>
        </w:rPr>
        <w:t>(1)喷水法：可利用人工降雨与喷雾设备在将发生霜冻的黎明，向树</w:t>
      </w:r>
      <w:r>
        <w:rPr>
          <w:sz w:val="29"/>
          <w:szCs w:val="29"/>
          <w:spacing w:val="5"/>
        </w:rPr>
        <w:t>冠上</w:t>
      </w:r>
      <w:r>
        <w:rPr>
          <w:sz w:val="29"/>
          <w:szCs w:val="29"/>
        </w:rPr>
        <w:t xml:space="preserve"> </w:t>
      </w:r>
      <w:r>
        <w:rPr>
          <w:sz w:val="29"/>
          <w:szCs w:val="29"/>
          <w:spacing w:val="-15"/>
        </w:rPr>
        <w:t>喷水；</w:t>
      </w:r>
    </w:p>
    <w:p>
      <w:pPr>
        <w:pStyle w:val="BodyText"/>
        <w:ind w:firstLine="720"/>
        <w:spacing w:before="155" w:line="279" w:lineRule="auto"/>
        <w:rPr>
          <w:sz w:val="29"/>
          <w:szCs w:val="29"/>
        </w:rPr>
      </w:pPr>
      <w:r>
        <w:rPr>
          <w:sz w:val="29"/>
          <w:szCs w:val="29"/>
          <w:spacing w:val="11"/>
        </w:rPr>
        <w:t>(2)遮盖法：在南方地区对珍贵苗木的幼苗，为了防霜冻多采用遮盖法，</w:t>
      </w:r>
      <w:r>
        <w:rPr>
          <w:sz w:val="29"/>
          <w:szCs w:val="29"/>
          <w:spacing w:val="6"/>
        </w:rPr>
        <w:t xml:space="preserve"> </w:t>
      </w:r>
      <w:r>
        <w:rPr>
          <w:sz w:val="29"/>
          <w:szCs w:val="29"/>
          <w:spacing w:val="-5"/>
        </w:rPr>
        <w:t>即用蒿草、芦苇、苫布等箱盖树冠，也可使用塑料薄膜、稻草等保护幼苗。这样既</w:t>
      </w:r>
      <w:r>
        <w:rPr>
          <w:sz w:val="29"/>
          <w:szCs w:val="29"/>
          <w:spacing w:val="12"/>
        </w:rPr>
        <w:t xml:space="preserve"> </w:t>
      </w:r>
      <w:r>
        <w:rPr>
          <w:sz w:val="29"/>
          <w:szCs w:val="29"/>
          <w:spacing w:val="-11"/>
        </w:rPr>
        <w:t>可使外来寒流袭击受阻，又可保留散发的湿气，增加湿度，起到较好的效果；</w:t>
      </w:r>
    </w:p>
    <w:p>
      <w:pPr>
        <w:pStyle w:val="BodyText"/>
        <w:ind w:right="219" w:firstLine="720"/>
        <w:spacing w:before="155" w:line="268" w:lineRule="auto"/>
        <w:rPr>
          <w:sz w:val="29"/>
          <w:szCs w:val="29"/>
        </w:rPr>
      </w:pPr>
      <w:r>
        <w:rPr>
          <w:sz w:val="29"/>
          <w:szCs w:val="29"/>
          <w:spacing w:val="6"/>
        </w:rPr>
        <w:t>(3)根外追肥：根外追肥以增加细胞液浓度，达到抗冻效果。在霜冻发生</w:t>
      </w:r>
      <w:r>
        <w:rPr>
          <w:sz w:val="29"/>
          <w:szCs w:val="29"/>
        </w:rPr>
        <w:t xml:space="preserve"> </w:t>
      </w:r>
      <w:r>
        <w:rPr>
          <w:sz w:val="29"/>
          <w:szCs w:val="29"/>
          <w:spacing w:val="-1"/>
        </w:rPr>
        <w:t>后，及时进行叶面喷肥以恢复树势，花灌木尤为有效；</w:t>
      </w:r>
    </w:p>
    <w:p>
      <w:pPr>
        <w:pStyle w:val="BodyText"/>
        <w:ind w:right="268" w:firstLine="720"/>
        <w:spacing w:before="148" w:line="259" w:lineRule="auto"/>
        <w:rPr>
          <w:sz w:val="29"/>
          <w:szCs w:val="29"/>
        </w:rPr>
      </w:pPr>
      <w:r>
        <w:rPr>
          <w:sz w:val="29"/>
          <w:szCs w:val="29"/>
          <w:spacing w:val="4"/>
        </w:rPr>
        <w:t>(4)伤口保护与修复：树木遭受低温危害的伤口及时修整、消毒与涂漆，</w:t>
      </w:r>
      <w:r>
        <w:rPr>
          <w:sz w:val="29"/>
          <w:szCs w:val="29"/>
          <w:spacing w:val="17"/>
        </w:rPr>
        <w:t xml:space="preserve"> </w:t>
      </w:r>
      <w:r>
        <w:rPr>
          <w:sz w:val="29"/>
          <w:szCs w:val="29"/>
          <w:spacing w:val="-7"/>
        </w:rPr>
        <w:t>以加快伤口愈合。</w:t>
      </w:r>
    </w:p>
    <w:p>
      <w:pPr>
        <w:pStyle w:val="BodyText"/>
        <w:ind w:left="580"/>
        <w:spacing w:before="156" w:line="219" w:lineRule="auto"/>
        <w:rPr>
          <w:sz w:val="29"/>
          <w:szCs w:val="29"/>
        </w:rPr>
      </w:pPr>
      <w:r>
        <w:rPr>
          <w:sz w:val="29"/>
          <w:szCs w:val="29"/>
          <w:spacing w:val="19"/>
        </w:rPr>
        <w:t>3)霜后养护管理</w:t>
      </w:r>
    </w:p>
    <w:p>
      <w:pPr>
        <w:pStyle w:val="BodyText"/>
        <w:ind w:right="218" w:firstLine="720"/>
        <w:spacing w:before="156" w:line="268" w:lineRule="auto"/>
        <w:rPr>
          <w:sz w:val="29"/>
          <w:szCs w:val="29"/>
        </w:rPr>
      </w:pPr>
      <w:r>
        <w:rPr>
          <w:sz w:val="29"/>
          <w:szCs w:val="29"/>
          <w:spacing w:val="6"/>
        </w:rPr>
        <w:t>(1)花灌木与果树霜冻发生时或过后为了减少灾害造成的损失，可进行叶</w:t>
      </w:r>
      <w:r>
        <w:rPr>
          <w:sz w:val="29"/>
          <w:szCs w:val="29"/>
          <w:spacing w:val="1"/>
        </w:rPr>
        <w:t xml:space="preserve"> </w:t>
      </w:r>
      <w:r>
        <w:rPr>
          <w:sz w:val="29"/>
          <w:szCs w:val="29"/>
          <w:spacing w:val="-2"/>
        </w:rPr>
        <w:t>面喷肥，叶面喷肥能增加细胞液浓度、抗冻；</w:t>
      </w:r>
    </w:p>
    <w:p>
      <w:pPr>
        <w:pStyle w:val="BodyText"/>
        <w:ind w:left="720"/>
        <w:spacing w:before="136" w:line="219" w:lineRule="auto"/>
        <w:rPr>
          <w:sz w:val="29"/>
          <w:szCs w:val="29"/>
        </w:rPr>
      </w:pPr>
      <w:r>
        <w:rPr>
          <w:sz w:val="29"/>
          <w:szCs w:val="29"/>
          <w:spacing w:val="6"/>
        </w:rPr>
        <w:t>(2)霜冻过后不能忽视水肥的供应要适时、适量；</w:t>
      </w:r>
    </w:p>
    <w:p>
      <w:pPr>
        <w:pStyle w:val="BodyText"/>
        <w:ind w:right="220" w:firstLine="720"/>
        <w:spacing w:before="158" w:line="259" w:lineRule="auto"/>
        <w:rPr>
          <w:sz w:val="29"/>
          <w:szCs w:val="29"/>
        </w:rPr>
      </w:pPr>
      <w:r>
        <w:rPr>
          <w:sz w:val="29"/>
          <w:szCs w:val="29"/>
          <w:spacing w:val="6"/>
        </w:rPr>
        <w:t>(3)对于观果苗木，还可以进行人工授粉，利用晚开的花与腋花芽等</w:t>
      </w:r>
      <w:r>
        <w:rPr>
          <w:sz w:val="29"/>
          <w:szCs w:val="29"/>
          <w:spacing w:val="5"/>
        </w:rPr>
        <w:t>提高</w:t>
      </w:r>
      <w:r>
        <w:rPr>
          <w:sz w:val="29"/>
          <w:szCs w:val="29"/>
        </w:rPr>
        <w:t xml:space="preserve"> </w:t>
      </w:r>
      <w:r>
        <w:rPr>
          <w:sz w:val="29"/>
          <w:szCs w:val="29"/>
        </w:rPr>
        <w:t>坐果率，以弥补损失。</w:t>
      </w:r>
    </w:p>
    <w:p>
      <w:pPr>
        <w:pStyle w:val="BodyText"/>
        <w:spacing w:before="162" w:line="395" w:lineRule="exact"/>
        <w:rPr>
          <w:rFonts w:ascii="SimHei" w:hAnsi="SimHei" w:eastAsia="SimHei" w:cs="SimHei"/>
          <w:sz w:val="29"/>
          <w:szCs w:val="29"/>
        </w:rPr>
      </w:pPr>
      <w:r>
        <w:rPr>
          <w:rFonts w:ascii="Arial" w:hAnsi="Arial" w:eastAsia="Arial" w:cs="Arial"/>
          <w:sz w:val="29"/>
          <w:szCs w:val="29"/>
          <w:spacing w:val="3"/>
          <w:position w:val="1"/>
        </w:rPr>
        <w:t>8</w:t>
      </w:r>
      <w:r>
        <w:rPr>
          <w:sz w:val="29"/>
          <w:szCs w:val="29"/>
          <w:spacing w:val="3"/>
          <w:position w:val="1"/>
        </w:rPr>
        <w:t>、</w:t>
      </w:r>
      <w:r>
        <w:rPr>
          <w:rFonts w:ascii="SimHei" w:hAnsi="SimHei" w:eastAsia="SimHei" w:cs="SimHei"/>
          <w:sz w:val="29"/>
          <w:szCs w:val="29"/>
          <w:spacing w:val="3"/>
          <w:position w:val="1"/>
        </w:rPr>
        <w:t>防抽条</w:t>
      </w:r>
    </w:p>
    <w:p>
      <w:pPr>
        <w:pStyle w:val="BodyText"/>
        <w:ind w:left="580"/>
        <w:spacing w:before="119" w:line="219" w:lineRule="auto"/>
        <w:rPr>
          <w:sz w:val="29"/>
          <w:szCs w:val="29"/>
        </w:rPr>
      </w:pPr>
      <w:r>
        <w:rPr>
          <w:sz w:val="29"/>
          <w:szCs w:val="29"/>
          <w:spacing w:val="14"/>
        </w:rPr>
        <w:t>1)抽条的表现和原因</w:t>
      </w:r>
    </w:p>
    <w:p>
      <w:pPr>
        <w:pStyle w:val="BodyText"/>
        <w:ind w:right="135" w:firstLine="720"/>
        <w:spacing w:before="154" w:line="289" w:lineRule="auto"/>
        <w:rPr>
          <w:sz w:val="29"/>
          <w:szCs w:val="29"/>
        </w:rPr>
      </w:pPr>
      <w:r>
        <w:rPr>
          <w:sz w:val="29"/>
          <w:szCs w:val="29"/>
          <w:spacing w:val="8"/>
        </w:rPr>
        <w:t>(1)抽条的表现：抽条表现为枝干抽干失水，表皮皱缩，木质部干枯，芽</w:t>
      </w:r>
      <w:r>
        <w:rPr>
          <w:sz w:val="29"/>
          <w:szCs w:val="29"/>
          <w:spacing w:val="18"/>
        </w:rPr>
        <w:t xml:space="preserve"> </w:t>
      </w:r>
      <w:r>
        <w:rPr>
          <w:sz w:val="29"/>
          <w:szCs w:val="29"/>
          <w:spacing w:val="-1"/>
        </w:rPr>
        <w:t>不能正常萌发，造成树冠残缺不全，严重时，整株树冠干枯死亡。随着枝条年龄</w:t>
      </w:r>
      <w:r>
        <w:rPr>
          <w:sz w:val="29"/>
          <w:szCs w:val="29"/>
          <w:spacing w:val="18"/>
        </w:rPr>
        <w:t xml:space="preserve"> </w:t>
      </w:r>
      <w:r>
        <w:rPr>
          <w:sz w:val="29"/>
          <w:szCs w:val="29"/>
          <w:spacing w:val="-9"/>
        </w:rPr>
        <w:t>增加，抽条率会下降。新种植树木根系少，抽条现象比较严重；长势过旺，组织不</w:t>
      </w:r>
      <w:r>
        <w:rPr>
          <w:sz w:val="29"/>
          <w:szCs w:val="29"/>
          <w:spacing w:val="18"/>
        </w:rPr>
        <w:t xml:space="preserve"> </w:t>
      </w:r>
      <w:r>
        <w:rPr>
          <w:sz w:val="29"/>
          <w:szCs w:val="29"/>
        </w:rPr>
        <w:t>充实的枝条抽条较重。</w:t>
      </w:r>
    </w:p>
    <w:p>
      <w:pPr>
        <w:pStyle w:val="BodyText"/>
        <w:ind w:left="720"/>
        <w:spacing w:before="176" w:line="219" w:lineRule="auto"/>
        <w:rPr>
          <w:sz w:val="29"/>
          <w:szCs w:val="29"/>
        </w:rPr>
      </w:pPr>
      <w:r>
        <w:rPr>
          <w:sz w:val="29"/>
          <w:szCs w:val="29"/>
          <w:spacing w:val="23"/>
        </w:rPr>
        <w:t>(2)抽条的原因</w:t>
      </w:r>
    </w:p>
    <w:p>
      <w:pPr>
        <w:pStyle w:val="BodyText"/>
        <w:ind w:right="139" w:firstLine="580"/>
        <w:spacing w:before="134" w:line="279" w:lineRule="auto"/>
        <w:rPr>
          <w:sz w:val="29"/>
          <w:szCs w:val="29"/>
        </w:rPr>
      </w:pPr>
      <w:r>
        <w:rPr>
          <w:sz w:val="29"/>
          <w:szCs w:val="29"/>
          <w:spacing w:val="-1"/>
        </w:rPr>
        <w:t>①气候因素：由于冬、春期间，土壤水分冻结或土温过低，根系尚未活动，</w:t>
      </w:r>
      <w:r>
        <w:rPr>
          <w:sz w:val="29"/>
          <w:szCs w:val="29"/>
          <w:spacing w:val="16"/>
        </w:rPr>
        <w:t xml:space="preserve"> </w:t>
      </w:r>
      <w:r>
        <w:rPr>
          <w:sz w:val="29"/>
          <w:szCs w:val="29"/>
          <w:spacing w:val="-1"/>
        </w:rPr>
        <w:t>不能吸收水分或很少吸收水分，而地上部枝条因空气干燥多风而强烈蒸腾，造成</w:t>
      </w:r>
      <w:r>
        <w:rPr>
          <w:sz w:val="29"/>
          <w:szCs w:val="29"/>
          <w:spacing w:val="18"/>
        </w:rPr>
        <w:t xml:space="preserve"> </w:t>
      </w:r>
      <w:r>
        <w:rPr>
          <w:sz w:val="29"/>
          <w:szCs w:val="29"/>
          <w:spacing w:val="1"/>
        </w:rPr>
        <w:t>明显的水分失调，引起枝条生理干旱，从而使枝条由上而下抽干。</w:t>
      </w:r>
    </w:p>
    <w:p>
      <w:pPr>
        <w:pStyle w:val="BodyText"/>
        <w:ind w:right="402" w:firstLine="580"/>
        <w:spacing w:before="176" w:line="302" w:lineRule="auto"/>
        <w:rPr>
          <w:sz w:val="29"/>
          <w:szCs w:val="29"/>
        </w:rPr>
      </w:pPr>
      <w:r>
        <w:rPr>
          <w:sz w:val="29"/>
          <w:szCs w:val="29"/>
          <w:spacing w:val="-9"/>
        </w:rPr>
        <w:t>早春土壤严重缺水，空气干燥多风，加剧枝条蒸腾失水，同时延缓地温的回</w:t>
      </w:r>
      <w:r>
        <w:rPr>
          <w:sz w:val="29"/>
          <w:szCs w:val="29"/>
          <w:spacing w:val="16"/>
        </w:rPr>
        <w:t xml:space="preserve"> </w:t>
      </w:r>
      <w:r>
        <w:rPr>
          <w:sz w:val="29"/>
          <w:szCs w:val="29"/>
          <w:spacing w:val="1"/>
        </w:rPr>
        <w:t>升，将影响树体对于土壤水分的吸收，加重抽条现象的发生。</w:t>
      </w:r>
    </w:p>
    <w:p>
      <w:pPr>
        <w:pStyle w:val="BodyText"/>
        <w:ind w:right="132" w:firstLine="580"/>
        <w:spacing w:before="17" w:line="288" w:lineRule="auto"/>
        <w:rPr>
          <w:sz w:val="29"/>
          <w:szCs w:val="29"/>
        </w:rPr>
      </w:pPr>
      <w:r>
        <w:rPr>
          <w:sz w:val="29"/>
          <w:szCs w:val="29"/>
        </w:rPr>
        <w:t>②肥水管理不当：管理后期没及时控制氮肥施用、灌</w:t>
      </w:r>
      <w:r>
        <w:rPr>
          <w:sz w:val="29"/>
          <w:szCs w:val="29"/>
          <w:spacing w:val="-1"/>
        </w:rPr>
        <w:t>水频繁或降雨量大、排</w:t>
      </w:r>
      <w:r>
        <w:rPr>
          <w:sz w:val="29"/>
          <w:szCs w:val="29"/>
        </w:rPr>
        <w:t xml:space="preserve"> </w:t>
      </w:r>
      <w:r>
        <w:rPr>
          <w:sz w:val="29"/>
          <w:szCs w:val="29"/>
          <w:spacing w:val="-9"/>
        </w:rPr>
        <w:t>水不及时，造成树体贪青徒长，枝梢停长晚，养分积累少，枝条发育不充实，树体</w:t>
      </w:r>
      <w:r>
        <w:rPr>
          <w:sz w:val="29"/>
          <w:szCs w:val="29"/>
          <w:spacing w:val="15"/>
        </w:rPr>
        <w:t xml:space="preserve"> </w:t>
      </w:r>
      <w:r>
        <w:rPr>
          <w:sz w:val="29"/>
          <w:szCs w:val="29"/>
        </w:rPr>
        <w:t>和枝条抗寒能力较弱。另外，早春灌水次数多或</w:t>
      </w:r>
      <w:r>
        <w:rPr>
          <w:sz w:val="29"/>
          <w:szCs w:val="29"/>
          <w:spacing w:val="-1"/>
        </w:rPr>
        <w:t>培土去除不及时，影响了地温的</w:t>
      </w:r>
      <w:r>
        <w:rPr>
          <w:sz w:val="29"/>
          <w:szCs w:val="29"/>
        </w:rPr>
        <w:t xml:space="preserve"> </w:t>
      </w:r>
      <w:r>
        <w:rPr>
          <w:sz w:val="29"/>
          <w:szCs w:val="29"/>
          <w:spacing w:val="1"/>
        </w:rPr>
        <w:t>上升和根系对水分的吸收，造成枝条失水过多，加重抽条的发生。</w:t>
      </w:r>
    </w:p>
    <w:p>
      <w:pPr>
        <w:pStyle w:val="BodyText"/>
        <w:ind w:left="580"/>
        <w:spacing w:before="186" w:line="219" w:lineRule="auto"/>
        <w:rPr>
          <w:sz w:val="29"/>
          <w:szCs w:val="29"/>
        </w:rPr>
      </w:pPr>
      <w:r>
        <w:rPr>
          <w:sz w:val="29"/>
          <w:szCs w:val="29"/>
          <w:spacing w:val="18"/>
        </w:rPr>
        <w:t>2)抽条的防治方法</w:t>
      </w:r>
    </w:p>
    <w:p>
      <w:pPr>
        <w:pStyle w:val="BodyText"/>
        <w:ind w:left="720"/>
        <w:spacing w:before="153" w:line="219" w:lineRule="auto"/>
        <w:rPr>
          <w:sz w:val="27"/>
          <w:szCs w:val="27"/>
        </w:rPr>
      </w:pPr>
      <w:r>
        <w:rPr>
          <w:sz w:val="27"/>
          <w:szCs w:val="27"/>
          <w:spacing w:val="15"/>
        </w:rPr>
        <w:t>(1)喷布蒸腾抑制剂：入冬和早春对树冠喷</w:t>
      </w:r>
      <w:r>
        <w:rPr>
          <w:sz w:val="27"/>
          <w:szCs w:val="27"/>
          <w:spacing w:val="14"/>
        </w:rPr>
        <w:t>蒸腾抑制剂，喷布400倍羧甲基</w:t>
      </w:r>
    </w:p>
    <w:p>
      <w:pPr>
        <w:spacing w:line="219" w:lineRule="auto"/>
        <w:sectPr>
          <w:footerReference w:type="default" r:id="rId118"/>
          <w:pgSz w:w="14490" w:h="20470"/>
          <w:pgMar w:top="1739" w:right="2056" w:bottom="1385" w:left="2160" w:header="0" w:footer="1223" w:gutter="0"/>
        </w:sectPr>
        <w:rPr>
          <w:sz w:val="27"/>
          <w:szCs w:val="27"/>
        </w:rPr>
      </w:pPr>
    </w:p>
    <w:p>
      <w:pPr>
        <w:pStyle w:val="BodyText"/>
        <w:ind w:right="224"/>
        <w:spacing w:before="121" w:line="315" w:lineRule="auto"/>
        <w:rPr>
          <w:sz w:val="29"/>
          <w:szCs w:val="29"/>
        </w:rPr>
      </w:pPr>
      <w:bookmarkStart w:name="bookmark87" w:id="19"/>
      <w:bookmarkEnd w:id="19"/>
      <w:r>
        <w:rPr>
          <w:sz w:val="29"/>
          <w:szCs w:val="29"/>
          <w:spacing w:val="6"/>
        </w:rPr>
        <w:t>纤维素或20%-30%的聚乙烯醇，使枝干上形成一层保护膜，可有效地抑制水分</w:t>
      </w:r>
      <w:r>
        <w:rPr>
          <w:sz w:val="29"/>
          <w:szCs w:val="29"/>
          <w:spacing w:val="4"/>
        </w:rPr>
        <w:t xml:space="preserve"> </w:t>
      </w:r>
      <w:r>
        <w:rPr>
          <w:sz w:val="29"/>
          <w:szCs w:val="29"/>
        </w:rPr>
        <w:t>蒸发，减轻抽条。一般喷2-3次为宜，要求喷匀喷到，不漏枝条。</w:t>
      </w:r>
    </w:p>
    <w:p>
      <w:pPr>
        <w:pStyle w:val="BodyText"/>
        <w:ind w:left="730"/>
        <w:spacing w:line="218" w:lineRule="auto"/>
        <w:rPr>
          <w:sz w:val="29"/>
          <w:szCs w:val="29"/>
        </w:rPr>
      </w:pPr>
      <w:r>
        <w:rPr>
          <w:sz w:val="29"/>
          <w:szCs w:val="29"/>
          <w:spacing w:val="5"/>
        </w:rPr>
        <w:t>(2)剪口保护：直径大于2</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3"/>
        </w:rPr>
        <w:t xml:space="preserve"> </w:t>
      </w:r>
      <w:r>
        <w:rPr>
          <w:sz w:val="29"/>
          <w:szCs w:val="29"/>
          <w:spacing w:val="5"/>
        </w:rPr>
        <w:t>的剪锯口要及时涂抹保护剂抑制水分蒸发。</w:t>
      </w:r>
    </w:p>
    <w:p>
      <w:pPr>
        <w:pStyle w:val="BodyText"/>
        <w:ind w:right="2" w:firstLine="730"/>
        <w:spacing w:before="155" w:line="275" w:lineRule="auto"/>
        <w:rPr>
          <w:sz w:val="29"/>
          <w:szCs w:val="29"/>
        </w:rPr>
      </w:pPr>
      <w:r>
        <w:rPr>
          <w:sz w:val="29"/>
          <w:szCs w:val="29"/>
          <w:spacing w:val="-4"/>
        </w:rPr>
        <w:t>(3)缠裹法：用稻草/薄膜/保鲜膜/无纺布对枝条进行包裹，缠裹前对当年生</w:t>
      </w:r>
      <w:r>
        <w:rPr>
          <w:sz w:val="29"/>
          <w:szCs w:val="29"/>
          <w:spacing w:val="6"/>
        </w:rPr>
        <w:t xml:space="preserve"> </w:t>
      </w:r>
      <w:r>
        <w:rPr>
          <w:sz w:val="29"/>
          <w:szCs w:val="29"/>
          <w:spacing w:val="9"/>
        </w:rPr>
        <w:t>不要的细弱枝条进行剪除(留截2-3</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9"/>
        </w:rPr>
        <w:t>),</w:t>
      </w:r>
      <w:r>
        <w:rPr>
          <w:rFonts w:ascii="Times New Roman" w:hAnsi="Times New Roman" w:eastAsia="Times New Roman" w:cs="Times New Roman"/>
          <w:sz w:val="29"/>
          <w:szCs w:val="29"/>
          <w:spacing w:val="1"/>
        </w:rPr>
        <w:t xml:space="preserve">    </w:t>
      </w:r>
      <w:r>
        <w:rPr>
          <w:sz w:val="29"/>
          <w:szCs w:val="29"/>
          <w:spacing w:val="9"/>
        </w:rPr>
        <w:t>需注</w:t>
      </w:r>
      <w:r>
        <w:rPr>
          <w:sz w:val="29"/>
          <w:szCs w:val="29"/>
          <w:spacing w:val="8"/>
        </w:rPr>
        <w:t>意选择的缠裹材料不会造成枝条</w:t>
      </w:r>
      <w:r>
        <w:rPr>
          <w:sz w:val="29"/>
          <w:szCs w:val="29"/>
          <w:spacing w:val="3"/>
        </w:rPr>
        <w:t xml:space="preserve"> </w:t>
      </w:r>
      <w:r>
        <w:rPr>
          <w:sz w:val="29"/>
          <w:szCs w:val="29"/>
          <w:spacing w:val="2"/>
        </w:rPr>
        <w:t>折断，及注意缠裹时保护枝条上的芽不受破坏。此</w:t>
      </w:r>
      <w:r>
        <w:rPr>
          <w:sz w:val="29"/>
          <w:szCs w:val="29"/>
          <w:spacing w:val="1"/>
        </w:rPr>
        <w:t>操作只适合落叶树种。</w:t>
      </w:r>
    </w:p>
    <w:p>
      <w:pPr>
        <w:pStyle w:val="BodyText"/>
        <w:ind w:right="104" w:firstLine="730"/>
        <w:spacing w:before="175" w:line="269" w:lineRule="auto"/>
        <w:rPr>
          <w:sz w:val="29"/>
          <w:szCs w:val="29"/>
        </w:rPr>
      </w:pPr>
      <w:r>
        <w:rPr>
          <w:sz w:val="29"/>
          <w:szCs w:val="29"/>
          <w:spacing w:val="-3"/>
        </w:rPr>
        <w:t>(4)树盘覆盖：地膜覆盖在根系分布范围，以减少水分蒸发，提高根际土壤</w:t>
      </w:r>
      <w:r>
        <w:rPr>
          <w:sz w:val="29"/>
          <w:szCs w:val="29"/>
          <w:spacing w:val="8"/>
        </w:rPr>
        <w:t xml:space="preserve"> </w:t>
      </w:r>
      <w:r>
        <w:rPr>
          <w:sz w:val="29"/>
          <w:szCs w:val="29"/>
          <w:spacing w:val="-1"/>
        </w:rPr>
        <w:t>含水量，提高早春地温的上升。</w:t>
      </w:r>
    </w:p>
    <w:p>
      <w:pPr>
        <w:pStyle w:val="BodyText"/>
        <w:ind w:right="26" w:firstLine="730"/>
        <w:spacing w:before="133" w:line="279" w:lineRule="auto"/>
        <w:rPr>
          <w:sz w:val="29"/>
          <w:szCs w:val="29"/>
        </w:rPr>
      </w:pPr>
      <w:r>
        <w:rPr>
          <w:sz w:val="29"/>
          <w:szCs w:val="29"/>
          <w:spacing w:val="8"/>
        </w:rPr>
        <w:t>(5)早春灌水：在冬春特别干燥，土壤蒸发量很大时，早春灌水也可缓解</w:t>
      </w:r>
      <w:r>
        <w:rPr>
          <w:sz w:val="29"/>
          <w:szCs w:val="29"/>
          <w:spacing w:val="9"/>
        </w:rPr>
        <w:t xml:space="preserve"> </w:t>
      </w:r>
      <w:r>
        <w:rPr>
          <w:sz w:val="29"/>
          <w:szCs w:val="29"/>
          <w:spacing w:val="-9"/>
        </w:rPr>
        <w:t>抽条的发生，特别是对保水差的沙土更为重要。一般在土壤开始化冻时</w:t>
      </w:r>
      <w:r>
        <w:rPr>
          <w:sz w:val="29"/>
          <w:szCs w:val="29"/>
          <w:spacing w:val="-10"/>
        </w:rPr>
        <w:t>灌水，既可</w:t>
      </w:r>
      <w:r>
        <w:rPr>
          <w:sz w:val="29"/>
          <w:szCs w:val="29"/>
        </w:rPr>
        <w:t xml:space="preserve"> </w:t>
      </w:r>
      <w:r>
        <w:rPr>
          <w:sz w:val="29"/>
          <w:szCs w:val="29"/>
        </w:rPr>
        <w:t>促使土壤尽快解冻，也可补充土壤水分。</w:t>
      </w:r>
    </w:p>
    <w:p>
      <w:pPr>
        <w:pStyle w:val="BodyText"/>
        <w:ind w:right="134" w:firstLine="730"/>
        <w:spacing w:before="157" w:line="265" w:lineRule="auto"/>
        <w:rPr>
          <w:sz w:val="29"/>
          <w:szCs w:val="29"/>
        </w:rPr>
      </w:pPr>
      <w:r>
        <w:rPr>
          <w:sz w:val="29"/>
          <w:szCs w:val="29"/>
          <w:spacing w:val="8"/>
        </w:rPr>
        <w:t>(6)合理追肥：萌芽前，用1%的尿素液+1%磷酸二氢钾液或500-1000倍液</w:t>
      </w:r>
      <w:r>
        <w:rPr>
          <w:sz w:val="29"/>
          <w:szCs w:val="29"/>
        </w:rPr>
        <w:t xml:space="preserve"> </w:t>
      </w:r>
      <w:r>
        <w:rPr>
          <w:sz w:val="29"/>
          <w:szCs w:val="29"/>
          <w:spacing w:val="-5"/>
        </w:rPr>
        <w:t>的氮磷钾复合叶面肥，均匀喷在枝干上，以不滴水为宜，间隔5-7天一次，连</w:t>
      </w:r>
    </w:p>
    <w:p>
      <w:pPr>
        <w:pStyle w:val="BodyText"/>
        <w:spacing w:before="136" w:line="219" w:lineRule="auto"/>
        <w:rPr>
          <w:sz w:val="29"/>
          <w:szCs w:val="29"/>
        </w:rPr>
      </w:pPr>
      <w:r>
        <w:rPr>
          <w:sz w:val="29"/>
          <w:szCs w:val="29"/>
          <w:spacing w:val="-4"/>
        </w:rPr>
        <w:t>喷2-3次，增加树体的养分供应。</w:t>
      </w:r>
    </w:p>
    <w:p>
      <w:pPr>
        <w:pStyle w:val="BodyText"/>
        <w:spacing w:before="133" w:line="396" w:lineRule="exact"/>
        <w:rPr>
          <w:rFonts w:ascii="SimHei" w:hAnsi="SimHei" w:eastAsia="SimHei" w:cs="SimHei"/>
          <w:sz w:val="29"/>
          <w:szCs w:val="29"/>
        </w:rPr>
      </w:pPr>
      <w:r>
        <w:rPr>
          <w:rFonts w:ascii="Arial" w:hAnsi="Arial" w:eastAsia="Arial" w:cs="Arial"/>
          <w:sz w:val="29"/>
          <w:szCs w:val="29"/>
          <w:spacing w:val="3"/>
          <w:position w:val="1"/>
        </w:rPr>
        <w:t>9</w:t>
      </w:r>
      <w:r>
        <w:rPr>
          <w:sz w:val="29"/>
          <w:szCs w:val="29"/>
          <w:spacing w:val="3"/>
          <w:position w:val="1"/>
        </w:rPr>
        <w:t>、</w:t>
      </w:r>
      <w:r>
        <w:rPr>
          <w:rFonts w:ascii="SimHei" w:hAnsi="SimHei" w:eastAsia="SimHei" w:cs="SimHei"/>
          <w:sz w:val="29"/>
          <w:szCs w:val="29"/>
          <w:spacing w:val="3"/>
          <w:position w:val="1"/>
        </w:rPr>
        <w:t>事故灾害应急及防护措施</w:t>
      </w:r>
    </w:p>
    <w:p>
      <w:pPr>
        <w:pStyle w:val="BodyText"/>
        <w:ind w:right="185" w:firstLine="610"/>
        <w:spacing w:before="148" w:line="312" w:lineRule="auto"/>
        <w:rPr>
          <w:sz w:val="29"/>
          <w:szCs w:val="29"/>
        </w:rPr>
      </w:pPr>
      <w:r>
        <w:rPr>
          <w:sz w:val="29"/>
          <w:szCs w:val="29"/>
          <w:spacing w:val="-6"/>
        </w:rPr>
        <w:t>重大事故灾害发生后，</w:t>
      </w:r>
      <w:r>
        <w:rPr>
          <w:sz w:val="29"/>
          <w:szCs w:val="29"/>
          <w:u w:val="single" w:color="auto"/>
          <w:spacing w:val="-6"/>
        </w:rPr>
        <w:t>应立</w:t>
      </w:r>
      <w:r>
        <w:rPr>
          <w:sz w:val="29"/>
          <w:szCs w:val="29"/>
          <w:spacing w:val="-6"/>
        </w:rPr>
        <w:t>即拍照留存，上报上级管理部门及负责人，</w:t>
      </w:r>
      <w:r>
        <w:rPr>
          <w:sz w:val="29"/>
          <w:szCs w:val="29"/>
          <w:spacing w:val="-7"/>
        </w:rPr>
        <w:t>轻微</w:t>
      </w:r>
      <w:r>
        <w:rPr>
          <w:sz w:val="29"/>
          <w:szCs w:val="29"/>
        </w:rPr>
        <w:t xml:space="preserve"> </w:t>
      </w:r>
      <w:r>
        <w:rPr>
          <w:sz w:val="29"/>
          <w:szCs w:val="29"/>
          <w:spacing w:val="1"/>
        </w:rPr>
        <w:t>的事故可自行组织处理。</w:t>
      </w:r>
    </w:p>
    <w:p>
      <w:pPr>
        <w:pStyle w:val="BodyText"/>
        <w:ind w:left="730"/>
        <w:spacing w:before="1" w:line="218" w:lineRule="auto"/>
        <w:rPr>
          <w:sz w:val="29"/>
          <w:szCs w:val="29"/>
        </w:rPr>
      </w:pPr>
      <w:r>
        <w:rPr>
          <w:sz w:val="29"/>
          <w:szCs w:val="29"/>
          <w:spacing w:val="14"/>
        </w:rPr>
        <w:t>(1)树木倒伏发生伤害事故</w:t>
      </w:r>
    </w:p>
    <w:p>
      <w:pPr>
        <w:pStyle w:val="BodyText"/>
        <w:ind w:right="101" w:firstLine="700"/>
        <w:spacing w:before="149" w:line="308" w:lineRule="auto"/>
        <w:rPr>
          <w:sz w:val="29"/>
          <w:szCs w:val="29"/>
        </w:rPr>
      </w:pPr>
      <w:r>
        <w:rPr>
          <w:sz w:val="29"/>
          <w:szCs w:val="29"/>
          <w:spacing w:val="3"/>
        </w:rPr>
        <w:t>要保护好事故现场，及时抢救伤员，配合相</w:t>
      </w:r>
      <w:r>
        <w:rPr>
          <w:sz w:val="29"/>
          <w:szCs w:val="29"/>
          <w:spacing w:val="2"/>
        </w:rPr>
        <w:t>关管理部门做好取证，认真做</w:t>
      </w:r>
      <w:r>
        <w:rPr>
          <w:sz w:val="29"/>
          <w:szCs w:val="29"/>
        </w:rPr>
        <w:t xml:space="preserve"> </w:t>
      </w:r>
      <w:r>
        <w:rPr>
          <w:sz w:val="29"/>
          <w:szCs w:val="29"/>
          <w:spacing w:val="2"/>
        </w:rPr>
        <w:t>好事故现场的调查与分析，做好倒伏树木的处理与</w:t>
      </w:r>
      <w:r>
        <w:rPr>
          <w:sz w:val="29"/>
          <w:szCs w:val="29"/>
          <w:spacing w:val="1"/>
        </w:rPr>
        <w:t>加固，落实安全措施。</w:t>
      </w:r>
    </w:p>
    <w:p>
      <w:pPr>
        <w:pStyle w:val="BodyText"/>
        <w:ind w:left="730"/>
        <w:spacing w:before="1" w:line="218" w:lineRule="auto"/>
        <w:rPr>
          <w:sz w:val="29"/>
          <w:szCs w:val="29"/>
        </w:rPr>
      </w:pPr>
      <w:r>
        <w:rPr>
          <w:sz w:val="29"/>
          <w:szCs w:val="29"/>
          <w:spacing w:val="14"/>
        </w:rPr>
        <w:t>(2)树木倒伏砸压电力线路</w:t>
      </w:r>
    </w:p>
    <w:p>
      <w:pPr>
        <w:pStyle w:val="BodyText"/>
        <w:ind w:right="129" w:firstLine="610"/>
        <w:spacing w:before="157" w:line="308" w:lineRule="auto"/>
        <w:rPr>
          <w:sz w:val="29"/>
          <w:szCs w:val="29"/>
        </w:rPr>
      </w:pPr>
      <w:r>
        <w:rPr>
          <w:sz w:val="29"/>
          <w:szCs w:val="29"/>
          <w:spacing w:val="-4"/>
        </w:rPr>
        <w:t>树木砸压电力线路或者高压线断折落地，未经</w:t>
      </w:r>
      <w:r>
        <w:rPr>
          <w:sz w:val="29"/>
          <w:szCs w:val="29"/>
          <w:spacing w:val="-5"/>
        </w:rPr>
        <w:t>电力部门的同意，在未采取安</w:t>
      </w:r>
      <w:r>
        <w:rPr>
          <w:sz w:val="29"/>
          <w:szCs w:val="29"/>
        </w:rPr>
        <w:t xml:space="preserve"> </w:t>
      </w:r>
      <w:r>
        <w:rPr>
          <w:sz w:val="29"/>
          <w:szCs w:val="29"/>
          <w:spacing w:val="1"/>
        </w:rPr>
        <w:t>全措施前，任何人员不准进入危险区域，防止触电事故</w:t>
      </w:r>
      <w:r>
        <w:rPr>
          <w:sz w:val="29"/>
          <w:szCs w:val="29"/>
        </w:rPr>
        <w:t>发生。</w:t>
      </w:r>
    </w:p>
    <w:p>
      <w:pPr>
        <w:pStyle w:val="BodyText"/>
        <w:ind w:left="730"/>
        <w:spacing w:before="22" w:line="219" w:lineRule="auto"/>
        <w:rPr>
          <w:sz w:val="27"/>
          <w:szCs w:val="27"/>
        </w:rPr>
      </w:pPr>
      <w:r>
        <w:rPr>
          <w:sz w:val="27"/>
          <w:szCs w:val="27"/>
          <w:spacing w:val="-20"/>
        </w:rPr>
        <w:t>(</w:t>
      </w:r>
      <w:r>
        <w:rPr>
          <w:sz w:val="27"/>
          <w:szCs w:val="27"/>
          <w:spacing w:val="-44"/>
        </w:rPr>
        <w:t xml:space="preserve"> </w:t>
      </w:r>
      <w:r>
        <w:rPr>
          <w:sz w:val="27"/>
          <w:szCs w:val="27"/>
          <w:spacing w:val="-20"/>
        </w:rPr>
        <w:t>3</w:t>
      </w:r>
      <w:r>
        <w:rPr>
          <w:sz w:val="27"/>
          <w:szCs w:val="27"/>
          <w:spacing w:val="-48"/>
        </w:rPr>
        <w:t xml:space="preserve"> </w:t>
      </w:r>
      <w:r>
        <w:rPr>
          <w:sz w:val="27"/>
          <w:szCs w:val="27"/>
          <w:spacing w:val="-20"/>
        </w:rPr>
        <w:t>)</w:t>
      </w:r>
      <w:r>
        <w:rPr>
          <w:sz w:val="27"/>
          <w:szCs w:val="27"/>
          <w:spacing w:val="-48"/>
        </w:rPr>
        <w:t xml:space="preserve"> </w:t>
      </w:r>
      <w:r>
        <w:rPr>
          <w:sz w:val="27"/>
          <w:szCs w:val="27"/>
          <w:spacing w:val="-20"/>
        </w:rPr>
        <w:t>火</w:t>
      </w:r>
      <w:r>
        <w:rPr>
          <w:sz w:val="27"/>
          <w:szCs w:val="27"/>
          <w:spacing w:val="-43"/>
        </w:rPr>
        <w:t xml:space="preserve"> </w:t>
      </w:r>
      <w:r>
        <w:rPr>
          <w:sz w:val="27"/>
          <w:szCs w:val="27"/>
          <w:spacing w:val="-20"/>
        </w:rPr>
        <w:t>灾</w:t>
      </w:r>
    </w:p>
    <w:p>
      <w:pPr>
        <w:pStyle w:val="BodyText"/>
        <w:ind w:right="18" w:firstLine="610"/>
        <w:spacing w:before="162" w:line="311" w:lineRule="auto"/>
        <w:rPr>
          <w:sz w:val="29"/>
          <w:szCs w:val="29"/>
        </w:rPr>
      </w:pPr>
      <w:r>
        <w:rPr>
          <w:sz w:val="29"/>
          <w:szCs w:val="29"/>
          <w:spacing w:val="3"/>
        </w:rPr>
        <w:t>若发现绿化植物发生火灾要立即上报上级管</w:t>
      </w:r>
      <w:r>
        <w:rPr>
          <w:sz w:val="29"/>
          <w:szCs w:val="29"/>
          <w:spacing w:val="2"/>
        </w:rPr>
        <w:t>理部门及负责人，同时向119和</w:t>
      </w:r>
      <w:r>
        <w:rPr>
          <w:sz w:val="29"/>
          <w:szCs w:val="29"/>
        </w:rPr>
        <w:t xml:space="preserve"> </w:t>
      </w:r>
      <w:r>
        <w:rPr>
          <w:sz w:val="29"/>
          <w:szCs w:val="29"/>
          <w:spacing w:val="-4"/>
        </w:rPr>
        <w:t>110报警，立即组织抢险人员携带抢险工具、灭火器材和车辆，奔赴火灾事故现场</w:t>
      </w:r>
      <w:r>
        <w:rPr>
          <w:sz w:val="29"/>
          <w:szCs w:val="29"/>
        </w:rPr>
        <w:t xml:space="preserve"> </w:t>
      </w:r>
      <w:r>
        <w:rPr>
          <w:sz w:val="29"/>
          <w:szCs w:val="29"/>
          <w:spacing w:val="-3"/>
        </w:rPr>
        <w:t>进行火灾扑救和抢险。在现场要协助公安交管部</w:t>
      </w:r>
      <w:r>
        <w:rPr>
          <w:sz w:val="29"/>
          <w:szCs w:val="29"/>
          <w:spacing w:val="-4"/>
        </w:rPr>
        <w:t>门做好人员疏散和交通管制，配</w:t>
      </w:r>
      <w:r>
        <w:rPr>
          <w:sz w:val="29"/>
          <w:szCs w:val="29"/>
        </w:rPr>
        <w:t xml:space="preserve"> </w:t>
      </w:r>
      <w:r>
        <w:rPr>
          <w:sz w:val="29"/>
          <w:szCs w:val="29"/>
          <w:spacing w:val="-3"/>
        </w:rPr>
        <w:t>合公安消防部门进行火灾的扑救，对火灾事故</w:t>
      </w:r>
      <w:r>
        <w:rPr>
          <w:sz w:val="29"/>
          <w:szCs w:val="29"/>
          <w:spacing w:val="-4"/>
        </w:rPr>
        <w:t>现场做好保护，配合公安机关做好</w:t>
      </w:r>
      <w:r>
        <w:rPr>
          <w:sz w:val="29"/>
          <w:szCs w:val="29"/>
        </w:rPr>
        <w:t xml:space="preserve"> </w:t>
      </w:r>
      <w:r>
        <w:rPr>
          <w:sz w:val="29"/>
          <w:szCs w:val="29"/>
          <w:spacing w:val="-5"/>
        </w:rPr>
        <w:t>火灾事故现场的调查分析，落实安全措施。</w:t>
      </w:r>
    </w:p>
    <w:p>
      <w:pPr>
        <w:spacing w:before="87" w:line="223" w:lineRule="auto"/>
        <w:outlineLvl w:val="1"/>
        <w:rPr>
          <w:rFonts w:ascii="SimHei" w:hAnsi="SimHei" w:eastAsia="SimHei" w:cs="SimHei"/>
          <w:sz w:val="29"/>
          <w:szCs w:val="29"/>
        </w:rPr>
      </w:pPr>
      <w:bookmarkStart w:name="bookmark11" w:id="20"/>
      <w:bookmarkEnd w:id="20"/>
      <w:r>
        <w:rPr>
          <w:rFonts w:ascii="SimHei" w:hAnsi="SimHei" w:eastAsia="SimHei" w:cs="SimHei"/>
          <w:sz w:val="29"/>
          <w:szCs w:val="29"/>
          <w:spacing w:val="1"/>
        </w:rPr>
        <w:t>八、树底处理</w:t>
      </w:r>
    </w:p>
    <w:p>
      <w:pPr>
        <w:pStyle w:val="BodyText"/>
        <w:ind w:left="730"/>
        <w:spacing w:before="177" w:line="219" w:lineRule="auto"/>
        <w:rPr>
          <w:sz w:val="24"/>
          <w:szCs w:val="24"/>
        </w:rPr>
      </w:pPr>
      <w:r>
        <w:rPr>
          <w:sz w:val="24"/>
          <w:szCs w:val="24"/>
          <w:spacing w:val="-13"/>
        </w:rPr>
        <w:t>(1)</w:t>
      </w:r>
      <w:r>
        <w:rPr>
          <w:sz w:val="24"/>
          <w:szCs w:val="24"/>
          <w:spacing w:val="21"/>
        </w:rPr>
        <w:t xml:space="preserve">  </w:t>
      </w:r>
      <w:r>
        <w:rPr>
          <w:sz w:val="24"/>
          <w:szCs w:val="24"/>
          <w:spacing w:val="-13"/>
        </w:rPr>
        <w:t>松</w:t>
      </w:r>
      <w:r>
        <w:rPr>
          <w:sz w:val="24"/>
          <w:szCs w:val="24"/>
          <w:spacing w:val="13"/>
        </w:rPr>
        <w:t xml:space="preserve"> </w:t>
      </w:r>
      <w:r>
        <w:rPr>
          <w:sz w:val="24"/>
          <w:szCs w:val="24"/>
          <w:spacing w:val="-13"/>
        </w:rPr>
        <w:t>土</w:t>
      </w:r>
    </w:p>
    <w:p>
      <w:pPr>
        <w:spacing w:line="219" w:lineRule="auto"/>
        <w:sectPr>
          <w:footerReference w:type="default" r:id="rId119"/>
          <w:pgSz w:w="14490" w:h="20470"/>
          <w:pgMar w:top="1739" w:right="2173" w:bottom="1385" w:left="2150" w:header="0" w:footer="1223" w:gutter="0"/>
        </w:sectPr>
        <w:rPr>
          <w:sz w:val="24"/>
          <w:szCs w:val="24"/>
        </w:rPr>
      </w:pPr>
    </w:p>
    <w:p>
      <w:pPr>
        <w:pStyle w:val="BodyText"/>
        <w:spacing w:before="122" w:line="219" w:lineRule="auto"/>
        <w:jc w:val="right"/>
        <w:rPr>
          <w:sz w:val="29"/>
          <w:szCs w:val="29"/>
        </w:rPr>
      </w:pPr>
      <w:bookmarkStart w:name="bookmark88" w:id="21"/>
      <w:bookmarkEnd w:id="21"/>
      <w:r>
        <w:rPr>
          <w:sz w:val="29"/>
          <w:szCs w:val="29"/>
          <w:spacing w:val="2"/>
        </w:rPr>
        <w:t>乔灌木松土一般在秋冬季进行：一是让土壤疏</w:t>
      </w:r>
      <w:r>
        <w:rPr>
          <w:sz w:val="29"/>
          <w:szCs w:val="29"/>
          <w:spacing w:val="1"/>
        </w:rPr>
        <w:t>松，二是冻死越冬害虫，三是</w:t>
      </w:r>
    </w:p>
    <w:p>
      <w:pPr>
        <w:ind w:firstLine="520"/>
        <w:spacing w:before="83" w:line="3880" w:lineRule="exact"/>
        <w:rPr/>
      </w:pPr>
      <w:r>
        <w:rPr>
          <w:position w:val="-77"/>
        </w:rPr>
        <w:drawing>
          <wp:inline distT="0" distB="0" distL="0" distR="0">
            <wp:extent cx="5695878" cy="2463855"/>
            <wp:effectExtent l="0" t="0" r="0" b="0"/>
            <wp:docPr id="172" name="IM 172"/>
            <wp:cNvGraphicFramePr/>
            <a:graphic>
              <a:graphicData uri="http://schemas.openxmlformats.org/drawingml/2006/picture">
                <pic:pic>
                  <pic:nvPicPr>
                    <pic:cNvPr id="172" name="IM 172"/>
                    <pic:cNvPicPr/>
                  </pic:nvPicPr>
                  <pic:blipFill>
                    <a:blip r:embed="rId121"/>
                    <a:stretch>
                      <a:fillRect/>
                    </a:stretch>
                  </pic:blipFill>
                  <pic:spPr>
                    <a:xfrm rot="0">
                      <a:off x="0" y="0"/>
                      <a:ext cx="5695878" cy="2463855"/>
                    </a:xfrm>
                    <a:prstGeom prst="rect">
                      <a:avLst/>
                    </a:prstGeom>
                  </pic:spPr>
                </pic:pic>
              </a:graphicData>
            </a:graphic>
          </wp:inline>
        </w:drawing>
      </w:r>
    </w:p>
    <w:p>
      <w:pPr>
        <w:pStyle w:val="BodyText"/>
        <w:spacing w:before="102" w:line="219" w:lineRule="auto"/>
        <w:rPr>
          <w:sz w:val="29"/>
          <w:szCs w:val="29"/>
        </w:rPr>
      </w:pPr>
      <w:r>
        <w:rPr>
          <w:sz w:val="29"/>
          <w:szCs w:val="29"/>
          <w:spacing w:val="-1"/>
        </w:rPr>
        <w:t>乔灌木冬季根部培土，达到防寒保温。</w:t>
      </w:r>
    </w:p>
    <w:p>
      <w:pPr>
        <w:pStyle w:val="BodyText"/>
        <w:ind w:left="4410"/>
        <w:spacing w:before="155" w:line="219" w:lineRule="auto"/>
        <w:rPr>
          <w:sz w:val="27"/>
          <w:szCs w:val="27"/>
        </w:rPr>
      </w:pPr>
      <w:r>
        <w:rPr>
          <w:sz w:val="27"/>
          <w:szCs w:val="27"/>
          <w:spacing w:val="-18"/>
        </w:rPr>
        <w:t>图2-8-1松土</w:t>
      </w:r>
    </w:p>
    <w:p>
      <w:pPr>
        <w:pStyle w:val="BodyText"/>
        <w:ind w:left="720"/>
        <w:spacing w:before="140" w:line="219" w:lineRule="auto"/>
        <w:rPr>
          <w:sz w:val="29"/>
          <w:szCs w:val="29"/>
        </w:rPr>
      </w:pPr>
      <w:r>
        <w:rPr>
          <w:sz w:val="29"/>
          <w:szCs w:val="29"/>
          <w:spacing w:val="23"/>
        </w:rPr>
        <w:t>(2)树底美化</w:t>
      </w:r>
    </w:p>
    <w:p>
      <w:pPr>
        <w:pStyle w:val="BodyText"/>
        <w:ind w:right="49" w:firstLine="590"/>
        <w:spacing w:before="156" w:line="276" w:lineRule="auto"/>
        <w:rPr>
          <w:sz w:val="29"/>
          <w:szCs w:val="29"/>
        </w:rPr>
      </w:pPr>
      <w:r>
        <w:rPr>
          <w:sz w:val="29"/>
          <w:szCs w:val="29"/>
        </w:rPr>
        <w:t>乔灌木水圈松土后及时补种耐阴地被，或使用流线型图案放置树皮、卵石，</w:t>
      </w:r>
      <w:r>
        <w:rPr>
          <w:sz w:val="29"/>
          <w:szCs w:val="29"/>
          <w:spacing w:val="14"/>
        </w:rPr>
        <w:t xml:space="preserve"> </w:t>
      </w:r>
      <w:r>
        <w:rPr>
          <w:sz w:val="29"/>
          <w:szCs w:val="29"/>
          <w:spacing w:val="-5"/>
        </w:rPr>
        <w:t>也可栽植仿真地被、假花。</w:t>
      </w:r>
    </w:p>
    <w:p>
      <w:pPr>
        <w:ind w:firstLine="359"/>
        <w:spacing w:line="3270" w:lineRule="exact"/>
        <w:rPr/>
      </w:pPr>
      <w:r>
        <w:rPr>
          <w:position w:val="-65"/>
        </w:rPr>
        <w:drawing>
          <wp:inline distT="0" distB="0" distL="0" distR="0">
            <wp:extent cx="5854691" cy="2076372"/>
            <wp:effectExtent l="0" t="0" r="0" b="0"/>
            <wp:docPr id="174" name="IM 174"/>
            <wp:cNvGraphicFramePr/>
            <a:graphic>
              <a:graphicData uri="http://schemas.openxmlformats.org/drawingml/2006/picture">
                <pic:pic>
                  <pic:nvPicPr>
                    <pic:cNvPr id="174" name="IM 174"/>
                    <pic:cNvPicPr/>
                  </pic:nvPicPr>
                  <pic:blipFill>
                    <a:blip r:embed="rId122"/>
                    <a:stretch>
                      <a:fillRect/>
                    </a:stretch>
                  </pic:blipFill>
                  <pic:spPr>
                    <a:xfrm rot="0">
                      <a:off x="0" y="0"/>
                      <a:ext cx="5854691" cy="2076372"/>
                    </a:xfrm>
                    <a:prstGeom prst="rect">
                      <a:avLst/>
                    </a:prstGeom>
                  </pic:spPr>
                </pic:pic>
              </a:graphicData>
            </a:graphic>
          </wp:inline>
        </w:drawing>
      </w:r>
    </w:p>
    <w:p>
      <w:pPr>
        <w:pStyle w:val="BodyText"/>
        <w:ind w:left="4430"/>
        <w:spacing w:before="211" w:line="219" w:lineRule="auto"/>
        <w:rPr>
          <w:sz w:val="27"/>
          <w:szCs w:val="27"/>
        </w:rPr>
      </w:pPr>
      <w:r>
        <w:rPr>
          <w:sz w:val="27"/>
          <w:szCs w:val="27"/>
          <w:spacing w:val="-18"/>
        </w:rPr>
        <w:t>图2-8-2树底美化</w:t>
      </w:r>
    </w:p>
    <w:p>
      <w:pPr>
        <w:spacing w:before="168" w:line="221" w:lineRule="auto"/>
        <w:outlineLvl w:val="1"/>
        <w:rPr>
          <w:rFonts w:ascii="SimHei" w:hAnsi="SimHei" w:eastAsia="SimHei" w:cs="SimHei"/>
          <w:sz w:val="29"/>
          <w:szCs w:val="29"/>
        </w:rPr>
      </w:pPr>
      <w:bookmarkStart w:name="bookmark12" w:id="22"/>
      <w:bookmarkEnd w:id="22"/>
      <w:r>
        <w:rPr>
          <w:rFonts w:ascii="SimHei" w:hAnsi="SimHei" w:eastAsia="SimHei" w:cs="SimHei"/>
          <w:sz w:val="29"/>
          <w:szCs w:val="29"/>
          <w:spacing w:val="2"/>
        </w:rPr>
        <w:t>九、乔灌木养护标准</w:t>
      </w:r>
    </w:p>
    <w:p>
      <w:pPr>
        <w:pStyle w:val="BodyText"/>
        <w:spacing w:before="163" w:line="221"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乔木</w:t>
      </w:r>
    </w:p>
    <w:p>
      <w:pPr>
        <w:pStyle w:val="BodyText"/>
        <w:ind w:right="399" w:firstLine="720"/>
        <w:spacing w:before="115" w:line="308" w:lineRule="auto"/>
        <w:rPr>
          <w:sz w:val="29"/>
          <w:szCs w:val="29"/>
        </w:rPr>
      </w:pPr>
      <w:r>
        <w:rPr>
          <w:sz w:val="29"/>
          <w:szCs w:val="29"/>
          <w:spacing w:val="-17"/>
        </w:rPr>
        <w:t>(1)</w:t>
      </w:r>
      <w:r>
        <w:rPr>
          <w:sz w:val="29"/>
          <w:szCs w:val="29"/>
          <w:spacing w:val="112"/>
        </w:rPr>
        <w:t xml:space="preserve"> </w:t>
      </w:r>
      <w:r>
        <w:rPr>
          <w:sz w:val="29"/>
          <w:szCs w:val="29"/>
          <w:spacing w:val="-17"/>
        </w:rPr>
        <w:t>生长势强，树冠完整美观，主侧枝分布的均匀和数量适宜，内膛不乱，</w:t>
      </w:r>
      <w:r>
        <w:rPr>
          <w:sz w:val="29"/>
          <w:szCs w:val="29"/>
        </w:rPr>
        <w:t xml:space="preserve"> </w:t>
      </w:r>
      <w:r>
        <w:rPr>
          <w:sz w:val="29"/>
          <w:szCs w:val="29"/>
          <w:spacing w:val="-4"/>
        </w:rPr>
        <w:t>通风透光较好，没有20</w:t>
      </w:r>
      <w:r>
        <w:rPr>
          <w:rFonts w:ascii="Times New Roman" w:hAnsi="Times New Roman" w:eastAsia="Times New Roman" w:cs="Times New Roman"/>
          <w:sz w:val="29"/>
          <w:szCs w:val="29"/>
          <w:spacing w:val="-4"/>
        </w:rPr>
        <w:t>cm</w:t>
      </w:r>
      <w:r>
        <w:rPr>
          <w:sz w:val="29"/>
          <w:szCs w:val="29"/>
          <w:spacing w:val="-4"/>
        </w:rPr>
        <w:t>枯枝、折断枝、修剪废留枝；</w:t>
      </w:r>
    </w:p>
    <w:p>
      <w:pPr>
        <w:pStyle w:val="BodyText"/>
        <w:ind w:left="720"/>
        <w:spacing w:before="10" w:line="217" w:lineRule="auto"/>
        <w:rPr>
          <w:sz w:val="29"/>
          <w:szCs w:val="29"/>
        </w:rPr>
      </w:pPr>
      <w:r>
        <w:rPr>
          <w:sz w:val="29"/>
          <w:szCs w:val="29"/>
          <w:spacing w:val="-1"/>
        </w:rPr>
        <w:t>②  乔木枝干无机械损伤，基部无20</w:t>
      </w:r>
      <w:r>
        <w:rPr>
          <w:rFonts w:ascii="Times New Roman" w:hAnsi="Times New Roman" w:eastAsia="Times New Roman" w:cs="Times New Roman"/>
          <w:sz w:val="29"/>
          <w:szCs w:val="29"/>
          <w:spacing w:val="-1"/>
        </w:rPr>
        <w:t>cm</w:t>
      </w:r>
      <w:r>
        <w:rPr>
          <w:sz w:val="29"/>
          <w:szCs w:val="29"/>
          <w:spacing w:val="-1"/>
        </w:rPr>
        <w:t>高以上的萌蘖枝，</w:t>
      </w:r>
      <w:r>
        <w:rPr>
          <w:sz w:val="29"/>
          <w:szCs w:val="29"/>
          <w:spacing w:val="-2"/>
        </w:rPr>
        <w:t>无杂草杂物；</w:t>
      </w:r>
    </w:p>
    <w:p>
      <w:pPr>
        <w:pStyle w:val="BodyText"/>
        <w:ind w:right="179" w:firstLine="720"/>
        <w:spacing w:before="149" w:line="303" w:lineRule="auto"/>
        <w:rPr>
          <w:sz w:val="29"/>
          <w:szCs w:val="29"/>
        </w:rPr>
      </w:pPr>
      <w:r>
        <w:rPr>
          <w:sz w:val="29"/>
          <w:szCs w:val="29"/>
          <w:spacing w:val="-7"/>
        </w:rPr>
        <w:t>(③)</w:t>
      </w:r>
      <w:r>
        <w:rPr>
          <w:sz w:val="29"/>
          <w:szCs w:val="29"/>
          <w:spacing w:val="129"/>
        </w:rPr>
        <w:t xml:space="preserve"> </w:t>
      </w:r>
      <w:r>
        <w:rPr>
          <w:sz w:val="29"/>
          <w:szCs w:val="29"/>
          <w:spacing w:val="-7"/>
        </w:rPr>
        <w:t>乔木叶色、叶片大小、厚度正常，无焦叶、卷叶、无非正常落叶，有</w:t>
      </w:r>
      <w:r>
        <w:rPr>
          <w:sz w:val="29"/>
          <w:szCs w:val="29"/>
        </w:rPr>
        <w:t xml:space="preserve"> </w:t>
      </w:r>
      <w:r>
        <w:rPr>
          <w:sz w:val="29"/>
          <w:szCs w:val="29"/>
          <w:spacing w:val="-1"/>
        </w:rPr>
        <w:t>虫便、虫网、宿存老叶或病叶数占比在5%以下；</w:t>
      </w:r>
    </w:p>
    <w:p>
      <w:pPr>
        <w:pStyle w:val="BodyText"/>
        <w:ind w:left="720"/>
        <w:spacing w:before="19" w:line="219" w:lineRule="auto"/>
        <w:rPr>
          <w:sz w:val="29"/>
          <w:szCs w:val="29"/>
        </w:rPr>
      </w:pPr>
      <w:r>
        <w:rPr>
          <w:rFonts w:ascii="Times New Roman" w:hAnsi="Times New Roman" w:eastAsia="Times New Roman" w:cs="Times New Roman"/>
          <w:sz w:val="29"/>
          <w:szCs w:val="29"/>
          <w:spacing w:val="1"/>
        </w:rPr>
        <w:t>4      </w:t>
      </w:r>
      <w:r>
        <w:rPr>
          <w:sz w:val="29"/>
          <w:szCs w:val="29"/>
          <w:spacing w:val="1"/>
        </w:rPr>
        <w:t>无蛀干害虫、介壳虫为害，食叶害虫</w:t>
      </w:r>
      <w:r>
        <w:rPr>
          <w:sz w:val="29"/>
          <w:szCs w:val="29"/>
        </w:rPr>
        <w:t>咬食的叶片，每株在7%以下；</w:t>
      </w:r>
    </w:p>
    <w:p>
      <w:pPr>
        <w:pStyle w:val="BodyText"/>
        <w:ind w:left="720"/>
        <w:spacing w:before="156" w:line="219" w:lineRule="auto"/>
        <w:rPr>
          <w:sz w:val="29"/>
          <w:szCs w:val="29"/>
        </w:rPr>
      </w:pPr>
      <w:r>
        <w:rPr>
          <w:sz w:val="29"/>
          <w:szCs w:val="29"/>
        </w:rPr>
        <w:t>5)  乔木修剪截口与枝位齐全，直径5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6"/>
        </w:rPr>
        <w:t xml:space="preserve"> </w:t>
      </w:r>
      <w:r>
        <w:rPr>
          <w:sz w:val="29"/>
          <w:szCs w:val="29"/>
        </w:rPr>
        <w:t>以上截口要封蜡或涂抹愈合</w:t>
      </w:r>
      <w:r>
        <w:rPr>
          <w:sz w:val="29"/>
          <w:szCs w:val="29"/>
          <w:spacing w:val="-1"/>
        </w:rPr>
        <w:t>剂。</w:t>
      </w:r>
    </w:p>
    <w:p>
      <w:pPr>
        <w:pStyle w:val="BodyText"/>
        <w:ind w:right="281" w:firstLine="720"/>
        <w:spacing w:before="144" w:line="316" w:lineRule="auto"/>
        <w:rPr>
          <w:sz w:val="29"/>
          <w:szCs w:val="29"/>
        </w:rPr>
      </w:pPr>
      <w:r>
        <w:rPr>
          <w:sz w:val="29"/>
          <w:szCs w:val="29"/>
          <w:spacing w:val="3"/>
        </w:rPr>
        <w:t>⑥)</w:t>
      </w:r>
      <w:r>
        <w:rPr>
          <w:sz w:val="29"/>
          <w:szCs w:val="29"/>
          <w:spacing w:val="133"/>
        </w:rPr>
        <w:t xml:space="preserve"> </w:t>
      </w:r>
      <w:r>
        <w:rPr>
          <w:sz w:val="29"/>
          <w:szCs w:val="29"/>
          <w:spacing w:val="3"/>
        </w:rPr>
        <w:t>单株价格1万元以上(含1万元)的苗木，进场种植后，需建立跟踪养</w:t>
      </w:r>
      <w:r>
        <w:rPr>
          <w:sz w:val="29"/>
          <w:szCs w:val="29"/>
        </w:rPr>
        <w:t xml:space="preserve"> </w:t>
      </w:r>
      <w:r>
        <w:rPr>
          <w:sz w:val="29"/>
          <w:szCs w:val="29"/>
          <w:spacing w:val="1"/>
        </w:rPr>
        <w:t>护记录，每周记录苗木生长状况及养护措施。</w:t>
      </w:r>
    </w:p>
    <w:p>
      <w:pPr>
        <w:spacing w:line="316" w:lineRule="auto"/>
        <w:sectPr>
          <w:footerReference w:type="default" r:id="rId120"/>
          <w:pgSz w:w="14490" w:h="20470"/>
          <w:pgMar w:top="1739" w:right="2105" w:bottom="1449" w:left="2160" w:header="0" w:footer="1203" w:gutter="0"/>
        </w:sectPr>
        <w:rPr>
          <w:sz w:val="29"/>
          <w:szCs w:val="29"/>
        </w:rPr>
      </w:pPr>
    </w:p>
    <w:p>
      <w:pPr>
        <w:pStyle w:val="BodyText"/>
        <w:ind w:left="9"/>
        <w:spacing w:before="142" w:line="222" w:lineRule="auto"/>
        <w:rPr>
          <w:rFonts w:ascii="SimHei" w:hAnsi="SimHei" w:eastAsia="SimHei" w:cs="SimHei"/>
          <w:sz w:val="29"/>
          <w:szCs w:val="29"/>
        </w:rPr>
      </w:pPr>
      <w:r>
        <w:rPr>
          <w:rFonts w:ascii="Arial" w:hAnsi="Arial" w:eastAsia="Arial" w:cs="Arial"/>
          <w:sz w:val="29"/>
          <w:szCs w:val="29"/>
          <w:spacing w:val="2"/>
        </w:rPr>
        <w:t>2</w:t>
      </w:r>
      <w:r>
        <w:rPr>
          <w:sz w:val="29"/>
          <w:szCs w:val="29"/>
          <w:spacing w:val="2"/>
        </w:rPr>
        <w:t>、</w:t>
      </w:r>
      <w:r>
        <w:rPr>
          <w:rFonts w:ascii="SimHei" w:hAnsi="SimHei" w:eastAsia="SimHei" w:cs="SimHei"/>
          <w:sz w:val="29"/>
          <w:szCs w:val="29"/>
          <w:spacing w:val="2"/>
        </w:rPr>
        <w:t>灌木</w:t>
      </w:r>
    </w:p>
    <w:p>
      <w:pPr>
        <w:pStyle w:val="BodyText"/>
        <w:ind w:left="730"/>
        <w:spacing w:before="119" w:line="219" w:lineRule="auto"/>
        <w:rPr>
          <w:sz w:val="29"/>
          <w:szCs w:val="29"/>
        </w:rPr>
      </w:pPr>
      <w:r>
        <w:rPr>
          <w:sz w:val="29"/>
          <w:szCs w:val="29"/>
          <w:spacing w:val="5"/>
        </w:rPr>
        <w:t>(1)保持生长茂盛、树冠丰满，无萎缩现象；</w:t>
      </w:r>
    </w:p>
    <w:p>
      <w:pPr>
        <w:pStyle w:val="BodyText"/>
        <w:ind w:left="730"/>
        <w:spacing w:before="138" w:line="212" w:lineRule="auto"/>
        <w:rPr>
          <w:rFonts w:ascii="Times New Roman" w:hAnsi="Times New Roman" w:eastAsia="Times New Roman" w:cs="Times New Roman"/>
          <w:sz w:val="29"/>
          <w:szCs w:val="29"/>
        </w:rPr>
      </w:pPr>
      <w:r>
        <w:rPr>
          <w:sz w:val="29"/>
          <w:szCs w:val="29"/>
          <w:spacing w:val="4"/>
        </w:rPr>
        <w:t>(2)造型树及绿篱造型美观，个别伸长枝不超</w:t>
      </w:r>
      <w:r>
        <w:rPr>
          <w:sz w:val="29"/>
          <w:szCs w:val="29"/>
          <w:spacing w:val="3"/>
        </w:rPr>
        <w:t>过5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3"/>
        </w:rPr>
        <w:t>;</w:t>
      </w:r>
    </w:p>
    <w:p>
      <w:pPr>
        <w:pStyle w:val="BodyText"/>
        <w:ind w:left="730"/>
        <w:spacing w:before="156" w:line="219" w:lineRule="auto"/>
        <w:rPr>
          <w:sz w:val="29"/>
          <w:szCs w:val="29"/>
        </w:rPr>
      </w:pPr>
      <w:r>
        <w:rPr>
          <w:sz w:val="29"/>
          <w:szCs w:val="29"/>
          <w:spacing w:val="12"/>
        </w:rPr>
        <w:t>(3)病虫枝叶在8%以下；</w:t>
      </w:r>
    </w:p>
    <w:p>
      <w:pPr>
        <w:pStyle w:val="BodyText"/>
        <w:ind w:left="730"/>
        <w:spacing w:before="163" w:line="219" w:lineRule="auto"/>
        <w:rPr>
          <w:sz w:val="29"/>
          <w:szCs w:val="29"/>
        </w:rPr>
      </w:pPr>
      <w:r>
        <w:rPr>
          <w:sz w:val="29"/>
          <w:szCs w:val="29"/>
          <w:spacing w:val="13"/>
        </w:rPr>
        <w:t>(4)无肥害、灼伤现象。</w:t>
      </w:r>
    </w:p>
    <w:p>
      <w:pPr>
        <w:spacing w:before="103" w:line="222" w:lineRule="auto"/>
        <w:rPr>
          <w:rFonts w:ascii="SimHei" w:hAnsi="SimHei" w:eastAsia="SimHei" w:cs="SimHei"/>
          <w:sz w:val="28"/>
          <w:szCs w:val="28"/>
        </w:rPr>
      </w:pPr>
      <w:r>
        <w:rPr>
          <w:rFonts w:ascii="SimHei" w:hAnsi="SimHei" w:eastAsia="SimHei" w:cs="SimHei"/>
          <w:sz w:val="28"/>
          <w:szCs w:val="28"/>
          <w:spacing w:val="11"/>
        </w:rPr>
        <w:t>3、</w:t>
      </w:r>
      <w:r>
        <w:rPr>
          <w:rFonts w:ascii="SimHei" w:hAnsi="SimHei" w:eastAsia="SimHei" w:cs="SimHei"/>
          <w:sz w:val="28"/>
          <w:szCs w:val="28"/>
          <w:b/>
          <w:bCs/>
          <w:spacing w:val="11"/>
        </w:rPr>
        <w:t>其他标准</w:t>
      </w:r>
    </w:p>
    <w:p>
      <w:pPr>
        <w:pStyle w:val="BodyText"/>
        <w:ind w:left="730"/>
        <w:spacing w:before="148" w:line="219" w:lineRule="auto"/>
        <w:rPr>
          <w:sz w:val="29"/>
          <w:szCs w:val="29"/>
        </w:rPr>
      </w:pPr>
      <w:r>
        <w:rPr>
          <w:sz w:val="29"/>
          <w:szCs w:val="29"/>
          <w:spacing w:val="6"/>
        </w:rPr>
        <w:t>(1)无病虫害或病虫害得到及时控制，不影响景观；</w:t>
      </w:r>
    </w:p>
    <w:p>
      <w:pPr>
        <w:pStyle w:val="BodyText"/>
        <w:ind w:left="730"/>
        <w:spacing w:before="164" w:line="219" w:lineRule="auto"/>
        <w:rPr>
          <w:sz w:val="29"/>
          <w:szCs w:val="29"/>
        </w:rPr>
      </w:pPr>
      <w:r>
        <w:rPr>
          <w:sz w:val="29"/>
          <w:szCs w:val="29"/>
          <w:spacing w:val="6"/>
        </w:rPr>
        <w:t>(2)施肥要先打穴或开沟施用后及时回土，无肥料裸露；</w:t>
      </w:r>
    </w:p>
    <w:p>
      <w:pPr>
        <w:pStyle w:val="BodyText"/>
        <w:ind w:left="730"/>
        <w:spacing w:before="148" w:line="219" w:lineRule="auto"/>
        <w:rPr>
          <w:sz w:val="29"/>
          <w:szCs w:val="29"/>
        </w:rPr>
      </w:pPr>
      <w:r>
        <w:rPr>
          <w:sz w:val="29"/>
          <w:szCs w:val="29"/>
          <w:spacing w:val="13"/>
        </w:rPr>
        <w:t>(3)种植2年以内的歪树需扶正(特殊景观要求除</w:t>
      </w:r>
      <w:r>
        <w:rPr>
          <w:sz w:val="29"/>
          <w:szCs w:val="29"/>
          <w:spacing w:val="12"/>
        </w:rPr>
        <w:t>外);</w:t>
      </w:r>
    </w:p>
    <w:p>
      <w:pPr>
        <w:pStyle w:val="BodyText"/>
        <w:ind w:left="730"/>
        <w:spacing w:before="154" w:line="219" w:lineRule="auto"/>
        <w:rPr>
          <w:sz w:val="29"/>
          <w:szCs w:val="29"/>
        </w:rPr>
      </w:pPr>
      <w:r>
        <w:rPr>
          <w:sz w:val="29"/>
          <w:szCs w:val="29"/>
          <w:spacing w:val="8"/>
        </w:rPr>
        <w:t>(4)树冠、树干上无垃圾杂物；</w:t>
      </w:r>
    </w:p>
    <w:p>
      <w:pPr>
        <w:pStyle w:val="BodyText"/>
        <w:ind w:left="730"/>
        <w:spacing w:before="126" w:line="219" w:lineRule="auto"/>
        <w:rPr>
          <w:sz w:val="29"/>
          <w:szCs w:val="29"/>
        </w:rPr>
      </w:pPr>
      <w:r>
        <w:rPr>
          <w:sz w:val="29"/>
          <w:szCs w:val="29"/>
          <w:spacing w:val="14"/>
        </w:rPr>
        <w:t>(5)树干上无夹板。</w:t>
      </w:r>
    </w:p>
    <w:p>
      <w:pPr>
        <w:spacing w:line="219" w:lineRule="auto"/>
        <w:sectPr>
          <w:footerReference w:type="default" r:id="rId123"/>
          <w:pgSz w:w="14490" w:h="20470"/>
          <w:pgMar w:top="1739" w:right="2173" w:bottom="1405" w:left="2150" w:header="0" w:footer="1243" w:gutter="0"/>
        </w:sectPr>
        <w:rPr>
          <w:sz w:val="29"/>
          <w:szCs w:val="29"/>
        </w:rPr>
      </w:pPr>
    </w:p>
    <w:p>
      <w:pPr>
        <w:ind w:left="3326"/>
        <w:spacing w:before="207" w:line="221" w:lineRule="auto"/>
        <w:outlineLvl w:val="0"/>
        <w:rPr>
          <w:rFonts w:ascii="SimHei" w:hAnsi="SimHei" w:eastAsia="SimHei" w:cs="SimHei"/>
          <w:sz w:val="43"/>
          <w:szCs w:val="43"/>
        </w:rPr>
      </w:pPr>
      <w:bookmarkStart w:name="bookmark89" w:id="23"/>
      <w:bookmarkEnd w:id="23"/>
      <w:bookmarkStart w:name="bookmark13" w:id="24"/>
      <w:bookmarkEnd w:id="24"/>
      <w:r>
        <w:rPr>
          <w:rFonts w:ascii="SimHei" w:hAnsi="SimHei" w:eastAsia="SimHei" w:cs="SimHei"/>
          <w:sz w:val="43"/>
          <w:szCs w:val="43"/>
          <w:b/>
          <w:bCs/>
          <w:spacing w:val="4"/>
        </w:rPr>
        <w:t>第三章</w:t>
      </w:r>
      <w:r>
        <w:rPr>
          <w:rFonts w:ascii="SimHei" w:hAnsi="SimHei" w:eastAsia="SimHei" w:cs="SimHei"/>
          <w:sz w:val="43"/>
          <w:szCs w:val="43"/>
          <w:spacing w:val="4"/>
        </w:rPr>
        <w:t xml:space="preserve">  </w:t>
      </w:r>
      <w:r>
        <w:rPr>
          <w:rFonts w:ascii="SimHei" w:hAnsi="SimHei" w:eastAsia="SimHei" w:cs="SimHei"/>
          <w:sz w:val="43"/>
          <w:szCs w:val="43"/>
          <w:b/>
          <w:bCs/>
          <w:spacing w:val="4"/>
        </w:rPr>
        <w:t>地被养护</w:t>
      </w:r>
    </w:p>
    <w:p>
      <w:pPr>
        <w:spacing w:line="349" w:lineRule="auto"/>
        <w:rPr>
          <w:rFonts w:ascii="Arial"/>
          <w:sz w:val="21"/>
        </w:rPr>
      </w:pPr>
      <w:r/>
    </w:p>
    <w:p>
      <w:pPr>
        <w:spacing w:line="350" w:lineRule="auto"/>
        <w:rPr>
          <w:rFonts w:ascii="Arial"/>
          <w:sz w:val="21"/>
        </w:rPr>
      </w:pPr>
      <w:r/>
    </w:p>
    <w:p>
      <w:pPr>
        <w:pStyle w:val="BodyText"/>
        <w:spacing w:before="94" w:line="219" w:lineRule="auto"/>
        <w:jc w:val="right"/>
        <w:rPr>
          <w:rFonts w:ascii="SimHei" w:hAnsi="SimHei" w:eastAsia="SimHei" w:cs="SimHei"/>
          <w:sz w:val="29"/>
          <w:szCs w:val="29"/>
        </w:rPr>
      </w:pPr>
      <w:r>
        <w:rPr>
          <w:sz w:val="29"/>
          <w:szCs w:val="29"/>
          <w:spacing w:val="-18"/>
        </w:rPr>
        <w:t>地被养护主要内容有浇水、施肥、修剪、病虫害防治、除草、补植、防寒等。</w:t>
      </w:r>
      <w:r>
        <w:rPr>
          <w:rFonts w:ascii="SimHei" w:hAnsi="SimHei" w:eastAsia="SimHei" w:cs="SimHei"/>
          <w:sz w:val="29"/>
          <w:szCs w:val="29"/>
          <w:spacing w:val="-18"/>
        </w:rPr>
        <w:t>一、</w:t>
      </w:r>
    </w:p>
    <w:p>
      <w:pPr>
        <w:spacing w:before="215" w:line="222" w:lineRule="auto"/>
        <w:outlineLvl w:val="1"/>
        <w:rPr>
          <w:rFonts w:ascii="SimHei" w:hAnsi="SimHei" w:eastAsia="SimHei" w:cs="SimHei"/>
          <w:sz w:val="29"/>
          <w:szCs w:val="29"/>
        </w:rPr>
      </w:pPr>
      <w:bookmarkStart w:name="bookmark14" w:id="25"/>
      <w:bookmarkEnd w:id="25"/>
      <w:r>
        <w:rPr>
          <w:rFonts w:ascii="SimHei" w:hAnsi="SimHei" w:eastAsia="SimHei" w:cs="SimHei"/>
          <w:sz w:val="29"/>
          <w:szCs w:val="29"/>
          <w:spacing w:val="-3"/>
        </w:rPr>
        <w:t>浇水</w:t>
      </w:r>
    </w:p>
    <w:p>
      <w:pPr>
        <w:pStyle w:val="BodyText"/>
        <w:spacing w:before="241" w:line="222" w:lineRule="auto"/>
        <w:rPr>
          <w:rFonts w:ascii="SimHei" w:hAnsi="SimHei" w:eastAsia="SimHei" w:cs="SimHei"/>
          <w:sz w:val="29"/>
          <w:szCs w:val="29"/>
        </w:rPr>
      </w:pPr>
      <w:r>
        <w:rPr>
          <w:rFonts w:ascii="Arial" w:hAnsi="Arial" w:eastAsia="Arial" w:cs="Arial"/>
          <w:sz w:val="29"/>
          <w:szCs w:val="29"/>
          <w:spacing w:val="4"/>
        </w:rPr>
        <w:t>1</w:t>
      </w:r>
      <w:r>
        <w:rPr>
          <w:sz w:val="29"/>
          <w:szCs w:val="29"/>
          <w:spacing w:val="4"/>
        </w:rPr>
        <w:t>、</w:t>
      </w:r>
      <w:r>
        <w:rPr>
          <w:rFonts w:ascii="SimHei" w:hAnsi="SimHei" w:eastAsia="SimHei" w:cs="SimHei"/>
          <w:sz w:val="29"/>
          <w:szCs w:val="29"/>
          <w:spacing w:val="4"/>
        </w:rPr>
        <w:t>浇水原则</w:t>
      </w:r>
    </w:p>
    <w:p>
      <w:pPr>
        <w:pStyle w:val="BodyText"/>
        <w:ind w:left="1350"/>
        <w:spacing w:before="101" w:line="219" w:lineRule="auto"/>
        <w:rPr>
          <w:sz w:val="29"/>
          <w:szCs w:val="29"/>
        </w:rPr>
      </w:pPr>
      <w:r>
        <w:rPr>
          <w:sz w:val="29"/>
          <w:szCs w:val="29"/>
          <w:spacing w:val="-7"/>
        </w:rPr>
        <w:t>一般地被“不干不浇，浇则浇透”;</w:t>
      </w:r>
    </w:p>
    <w:p>
      <w:pPr>
        <w:pStyle w:val="BodyText"/>
        <w:ind w:right="287" w:firstLine="720"/>
        <w:spacing w:before="157" w:line="269" w:lineRule="auto"/>
        <w:rPr>
          <w:sz w:val="29"/>
          <w:szCs w:val="29"/>
        </w:rPr>
      </w:pPr>
      <w:r>
        <w:rPr>
          <w:rFonts w:ascii="Times New Roman" w:hAnsi="Times New Roman" w:eastAsia="Times New Roman" w:cs="Times New Roman"/>
          <w:sz w:val="29"/>
          <w:szCs w:val="29"/>
          <w:spacing w:val="3"/>
        </w:rPr>
        <w:t>2      </w:t>
      </w:r>
      <w:r>
        <w:rPr>
          <w:sz w:val="29"/>
          <w:szCs w:val="29"/>
          <w:spacing w:val="3"/>
        </w:rPr>
        <w:t>应根据地区气候特点、土壤保水、植物需水、根系喜气等情况，适时</w:t>
      </w:r>
      <w:r>
        <w:rPr>
          <w:sz w:val="29"/>
          <w:szCs w:val="29"/>
          <w:spacing w:val="15"/>
        </w:rPr>
        <w:t xml:space="preserve"> </w:t>
      </w:r>
      <w:r>
        <w:rPr>
          <w:sz w:val="29"/>
          <w:szCs w:val="29"/>
          <w:spacing w:val="-5"/>
        </w:rPr>
        <w:t>适量进行浇水；</w:t>
      </w:r>
    </w:p>
    <w:p>
      <w:pPr>
        <w:pStyle w:val="BodyText"/>
        <w:ind w:left="1340" w:right="970" w:hanging="620"/>
        <w:spacing w:before="124" w:line="266" w:lineRule="auto"/>
        <w:rPr>
          <w:sz w:val="29"/>
          <w:szCs w:val="29"/>
        </w:rPr>
      </w:pPr>
      <w:r>
        <w:rPr>
          <w:rFonts w:ascii="Times New Roman" w:hAnsi="Times New Roman" w:eastAsia="Times New Roman" w:cs="Times New Roman"/>
          <w:sz w:val="29"/>
          <w:szCs w:val="29"/>
          <w:spacing w:val="1"/>
        </w:rPr>
        <w:t>3      </w:t>
      </w:r>
      <w:r>
        <w:rPr>
          <w:sz w:val="29"/>
          <w:szCs w:val="29"/>
          <w:spacing w:val="1"/>
        </w:rPr>
        <w:t>缺水地区多浇、高温时多浇、土壤干</w:t>
      </w:r>
      <w:r>
        <w:rPr>
          <w:sz w:val="29"/>
          <w:szCs w:val="29"/>
        </w:rPr>
        <w:t>旱时多浇、喜水植物多浇； </w:t>
      </w:r>
      <w:r>
        <w:rPr>
          <w:sz w:val="29"/>
          <w:szCs w:val="29"/>
          <w:spacing w:val="1"/>
        </w:rPr>
        <w:t>浇水时尽量保持与原土质浇水要求一致。</w:t>
      </w:r>
    </w:p>
    <w:p>
      <w:pPr>
        <w:pStyle w:val="BodyText"/>
        <w:spacing w:before="154" w:line="222"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浇水时间</w:t>
      </w:r>
    </w:p>
    <w:p>
      <w:pPr>
        <w:pStyle w:val="BodyText"/>
        <w:ind w:right="278" w:firstLine="720"/>
        <w:spacing w:before="163" w:line="279" w:lineRule="auto"/>
        <w:rPr>
          <w:sz w:val="29"/>
          <w:szCs w:val="29"/>
        </w:rPr>
      </w:pPr>
      <w:r>
        <w:rPr>
          <w:sz w:val="29"/>
          <w:szCs w:val="29"/>
          <w:spacing w:val="4"/>
        </w:rPr>
        <w:t>(1)12—2月：北方土壤封冻及南方冬季</w:t>
      </w:r>
      <w:r>
        <w:rPr>
          <w:sz w:val="29"/>
          <w:szCs w:val="29"/>
          <w:spacing w:val="3"/>
        </w:rPr>
        <w:t>阴雨天气地区，不必浇水，若设防</w:t>
      </w:r>
      <w:r>
        <w:rPr>
          <w:sz w:val="29"/>
          <w:szCs w:val="29"/>
        </w:rPr>
        <w:t xml:space="preserve"> </w:t>
      </w:r>
      <w:r>
        <w:rPr>
          <w:sz w:val="29"/>
          <w:szCs w:val="29"/>
        </w:rPr>
        <w:t>寒棚的苗木需定期掀开棚布，检查水分情况，</w:t>
      </w:r>
      <w:r>
        <w:rPr>
          <w:sz w:val="29"/>
          <w:szCs w:val="29"/>
          <w:spacing w:val="-1"/>
        </w:rPr>
        <w:t>若有脱水情况，需适当补水；长江</w:t>
      </w:r>
      <w:r>
        <w:rPr>
          <w:sz w:val="29"/>
          <w:szCs w:val="29"/>
        </w:rPr>
        <w:t xml:space="preserve"> </w:t>
      </w:r>
      <w:r>
        <w:rPr>
          <w:sz w:val="29"/>
          <w:szCs w:val="29"/>
          <w:spacing w:val="-10"/>
        </w:rPr>
        <w:t>以南地区，冬旱则需每月浇水约2—3次；</w:t>
      </w:r>
    </w:p>
    <w:p>
      <w:pPr>
        <w:pStyle w:val="BodyText"/>
        <w:ind w:right="265" w:firstLine="720"/>
        <w:spacing w:before="156" w:line="281" w:lineRule="auto"/>
        <w:rPr>
          <w:sz w:val="29"/>
          <w:szCs w:val="29"/>
        </w:rPr>
      </w:pPr>
      <w:r>
        <w:rPr>
          <w:sz w:val="29"/>
          <w:szCs w:val="29"/>
          <w:spacing w:val="9"/>
        </w:rPr>
        <w:t>(2)3—5月：北方地区根据土壤解冻情况浇</w:t>
      </w:r>
      <w:r>
        <w:rPr>
          <w:sz w:val="29"/>
          <w:szCs w:val="29"/>
          <w:spacing w:val="8"/>
        </w:rPr>
        <w:t>足返青水；为防止春旱，每月</w:t>
      </w:r>
      <w:r>
        <w:rPr>
          <w:sz w:val="29"/>
          <w:szCs w:val="29"/>
        </w:rPr>
        <w:t xml:space="preserve"> </w:t>
      </w:r>
      <w:r>
        <w:rPr>
          <w:sz w:val="29"/>
          <w:szCs w:val="29"/>
          <w:spacing w:val="3"/>
        </w:rPr>
        <w:t>浇水5—6次，浇水在9:00—16:00进行；长江以南地区，持续有效降雨时节，不</w:t>
      </w:r>
      <w:r>
        <w:rPr>
          <w:sz w:val="29"/>
          <w:szCs w:val="29"/>
        </w:rPr>
        <w:t xml:space="preserve"> </w:t>
      </w:r>
      <w:r>
        <w:rPr>
          <w:sz w:val="29"/>
          <w:szCs w:val="29"/>
          <w:spacing w:val="-1"/>
        </w:rPr>
        <w:t>必浇水，如发生春旱则需每月浇水约4—5次；</w:t>
      </w:r>
    </w:p>
    <w:p>
      <w:pPr>
        <w:pStyle w:val="BodyText"/>
        <w:ind w:right="292" w:firstLine="720"/>
        <w:spacing w:before="155" w:line="269" w:lineRule="auto"/>
        <w:rPr>
          <w:sz w:val="29"/>
          <w:szCs w:val="29"/>
        </w:rPr>
      </w:pPr>
      <w:r>
        <w:rPr>
          <w:sz w:val="29"/>
          <w:szCs w:val="29"/>
          <w:spacing w:val="3"/>
        </w:rPr>
        <w:t>(3)6—9月：连续有效降雨前后7天左右不必浇水；如遇持续半个月以上无</w:t>
      </w:r>
      <w:r>
        <w:rPr>
          <w:sz w:val="29"/>
          <w:szCs w:val="29"/>
          <w:spacing w:val="16"/>
        </w:rPr>
        <w:t xml:space="preserve"> </w:t>
      </w:r>
      <w:r>
        <w:rPr>
          <w:sz w:val="29"/>
          <w:szCs w:val="29"/>
          <w:spacing w:val="-10"/>
        </w:rPr>
        <w:t>有效降雨天气，每隔3—5天左右浇水约1次，浇水在10:00以前或16:00以后进行；</w:t>
      </w:r>
    </w:p>
    <w:p>
      <w:pPr>
        <w:pStyle w:val="BodyText"/>
        <w:ind w:right="313" w:firstLine="720"/>
        <w:spacing w:before="145" w:line="262" w:lineRule="auto"/>
        <w:rPr>
          <w:sz w:val="29"/>
          <w:szCs w:val="29"/>
        </w:rPr>
      </w:pPr>
      <w:r>
        <w:rPr>
          <w:sz w:val="29"/>
          <w:szCs w:val="29"/>
          <w:spacing w:val="7"/>
        </w:rPr>
        <w:t>(4)10—11月：北方有冻土地区，浇足封冻水后，休眠期不必浇水；长江</w:t>
      </w:r>
      <w:r>
        <w:rPr>
          <w:sz w:val="29"/>
          <w:szCs w:val="29"/>
        </w:rPr>
        <w:t xml:space="preserve"> </w:t>
      </w:r>
      <w:r>
        <w:rPr>
          <w:sz w:val="29"/>
          <w:szCs w:val="29"/>
          <w:spacing w:val="-5"/>
        </w:rPr>
        <w:t>以南地区，秋季干旱天气，需每月浇水约5—6次。</w:t>
      </w:r>
    </w:p>
    <w:p>
      <w:pPr>
        <w:spacing w:before="215" w:line="222" w:lineRule="auto"/>
        <w:rPr>
          <w:rFonts w:ascii="SimHei" w:hAnsi="SimHei" w:eastAsia="SimHei" w:cs="SimHei"/>
          <w:sz w:val="29"/>
          <w:szCs w:val="29"/>
        </w:rPr>
      </w:pPr>
      <w:r>
        <w:rPr>
          <w:rFonts w:ascii="SimHei" w:hAnsi="SimHei" w:eastAsia="SimHei" w:cs="SimHei"/>
          <w:sz w:val="29"/>
          <w:szCs w:val="29"/>
          <w:spacing w:val="5"/>
        </w:rPr>
        <w:t>3、注意事项</w:t>
      </w:r>
    </w:p>
    <w:p>
      <w:pPr>
        <w:pStyle w:val="BodyText"/>
        <w:ind w:right="309" w:firstLine="720"/>
        <w:spacing w:before="139" w:line="267" w:lineRule="auto"/>
        <w:rPr>
          <w:sz w:val="29"/>
          <w:szCs w:val="29"/>
        </w:rPr>
      </w:pPr>
      <w:r>
        <w:rPr>
          <w:sz w:val="29"/>
          <w:szCs w:val="29"/>
          <w:spacing w:val="-9"/>
        </w:rPr>
        <w:t>①</w:t>
      </w:r>
      <w:r>
        <w:rPr>
          <w:sz w:val="29"/>
          <w:szCs w:val="29"/>
          <w:spacing w:val="52"/>
        </w:rPr>
        <w:t xml:space="preserve">  </w:t>
      </w:r>
      <w:r>
        <w:rPr>
          <w:sz w:val="29"/>
          <w:szCs w:val="29"/>
          <w:spacing w:val="-9"/>
        </w:rPr>
        <w:t>由于地被植物根系浅，易发生缺水死亡，在生长季均需补充足的水</w:t>
      </w:r>
      <w:r>
        <w:rPr>
          <w:sz w:val="29"/>
          <w:szCs w:val="29"/>
          <w:spacing w:val="-10"/>
        </w:rPr>
        <w:t>分；</w:t>
      </w:r>
      <w:r>
        <w:rPr>
          <w:sz w:val="29"/>
          <w:szCs w:val="29"/>
        </w:rPr>
        <w:t xml:space="preserve"> </w:t>
      </w:r>
      <w:r>
        <w:rPr>
          <w:sz w:val="29"/>
          <w:szCs w:val="29"/>
          <w:spacing w:val="-4"/>
        </w:rPr>
        <w:t>新植苗木在种植后需及时充足灌溉，保持墒情；</w:t>
      </w:r>
    </w:p>
    <w:p>
      <w:pPr>
        <w:pStyle w:val="BodyText"/>
        <w:ind w:right="292" w:firstLine="720"/>
        <w:spacing w:before="144" w:line="263" w:lineRule="auto"/>
        <w:rPr>
          <w:sz w:val="29"/>
          <w:szCs w:val="29"/>
        </w:rPr>
      </w:pPr>
      <w:r>
        <w:rPr>
          <w:sz w:val="29"/>
          <w:szCs w:val="29"/>
          <w:spacing w:val="4"/>
        </w:rPr>
        <w:t>②  无论是人工地插浇水、汽油机抽水浇水、水</w:t>
      </w:r>
      <w:r>
        <w:rPr>
          <w:sz w:val="29"/>
          <w:szCs w:val="29"/>
          <w:spacing w:val="3"/>
        </w:rPr>
        <w:t>车高炮浇水，水流都不应</w:t>
      </w:r>
      <w:r>
        <w:rPr>
          <w:sz w:val="29"/>
          <w:szCs w:val="29"/>
        </w:rPr>
        <w:t xml:space="preserve"> </w:t>
      </w:r>
      <w:r>
        <w:rPr>
          <w:sz w:val="29"/>
          <w:szCs w:val="29"/>
        </w:rPr>
        <w:t>过急，应洒成散雾状，严禁用高压水流冲刷；</w:t>
      </w:r>
    </w:p>
    <w:p>
      <w:pPr>
        <w:pStyle w:val="BodyText"/>
        <w:ind w:right="284" w:firstLine="720"/>
        <w:spacing w:before="161" w:line="267" w:lineRule="auto"/>
        <w:rPr>
          <w:sz w:val="29"/>
          <w:szCs w:val="29"/>
        </w:rPr>
      </w:pPr>
      <w:r>
        <w:rPr>
          <w:sz w:val="29"/>
          <w:szCs w:val="29"/>
          <w:spacing w:val="1"/>
        </w:rPr>
        <w:t>③</w:t>
      </w:r>
      <w:r>
        <w:rPr>
          <w:sz w:val="29"/>
          <w:szCs w:val="29"/>
          <w:spacing w:val="49"/>
        </w:rPr>
        <w:t xml:space="preserve">  </w:t>
      </w:r>
      <w:r>
        <w:rPr>
          <w:sz w:val="29"/>
          <w:szCs w:val="29"/>
          <w:spacing w:val="1"/>
        </w:rPr>
        <w:t>使用喷灌设施和移动喷灌时应开关定时，专人看管，喷灌量以地面刚</w:t>
      </w:r>
      <w:r>
        <w:rPr>
          <w:sz w:val="29"/>
          <w:szCs w:val="29"/>
        </w:rPr>
        <w:t xml:space="preserve"> </w:t>
      </w:r>
      <w:r>
        <w:rPr>
          <w:sz w:val="29"/>
          <w:szCs w:val="29"/>
          <w:spacing w:val="-7"/>
        </w:rPr>
        <w:t>刚产生径流为准；</w:t>
      </w:r>
    </w:p>
    <w:p>
      <w:pPr>
        <w:pStyle w:val="BodyText"/>
        <w:ind w:left="720"/>
        <w:spacing w:before="132" w:line="217" w:lineRule="auto"/>
        <w:rPr>
          <w:sz w:val="29"/>
          <w:szCs w:val="29"/>
        </w:rPr>
      </w:pPr>
      <w:r>
        <w:rPr>
          <w:sz w:val="29"/>
          <w:szCs w:val="29"/>
          <w:spacing w:val="-3"/>
        </w:rPr>
        <w:t>④</w:t>
      </w:r>
      <w:r>
        <w:rPr>
          <w:sz w:val="29"/>
          <w:szCs w:val="29"/>
          <w:spacing w:val="47"/>
        </w:rPr>
        <w:t xml:space="preserve">  </w:t>
      </w:r>
      <w:r>
        <w:rPr>
          <w:sz w:val="29"/>
          <w:szCs w:val="29"/>
          <w:spacing w:val="-3"/>
        </w:rPr>
        <w:t>浇灌时水管不能从地被植物上拖拉及搁放，以免损坏地被；</w:t>
      </w:r>
    </w:p>
    <w:p>
      <w:pPr>
        <w:pStyle w:val="BodyText"/>
        <w:ind w:right="291" w:firstLine="720"/>
        <w:spacing w:before="160" w:line="260" w:lineRule="auto"/>
        <w:rPr>
          <w:sz w:val="29"/>
          <w:szCs w:val="29"/>
        </w:rPr>
      </w:pPr>
      <w:r>
        <w:rPr>
          <w:sz w:val="29"/>
          <w:szCs w:val="29"/>
          <w:spacing w:val="1"/>
        </w:rPr>
        <w:t>⑤</w:t>
      </w:r>
      <w:r>
        <w:rPr>
          <w:sz w:val="29"/>
          <w:szCs w:val="29"/>
          <w:spacing w:val="45"/>
        </w:rPr>
        <w:t xml:space="preserve">  </w:t>
      </w:r>
      <w:r>
        <w:rPr>
          <w:sz w:val="29"/>
          <w:szCs w:val="29"/>
          <w:spacing w:val="1"/>
        </w:rPr>
        <w:t>使用喷灌时注意周围植物是否喜水，若周围有需要控水的植物，停止 </w:t>
      </w:r>
      <w:r>
        <w:rPr>
          <w:sz w:val="29"/>
          <w:szCs w:val="29"/>
          <w:spacing w:val="-3"/>
        </w:rPr>
        <w:t>喷灌改用水管定点浇水；</w:t>
      </w:r>
    </w:p>
    <w:p>
      <w:pPr>
        <w:pStyle w:val="BodyText"/>
        <w:ind w:left="720"/>
        <w:spacing w:before="153" w:line="217" w:lineRule="auto"/>
        <w:rPr>
          <w:sz w:val="29"/>
          <w:szCs w:val="29"/>
        </w:rPr>
      </w:pPr>
      <w:r>
        <w:rPr>
          <w:sz w:val="29"/>
          <w:szCs w:val="29"/>
          <w:spacing w:val="-2"/>
        </w:rPr>
        <w:t>⑥</w:t>
      </w:r>
      <w:r>
        <w:rPr>
          <w:sz w:val="29"/>
          <w:szCs w:val="29"/>
          <w:spacing w:val="41"/>
        </w:rPr>
        <w:t xml:space="preserve">  </w:t>
      </w:r>
      <w:r>
        <w:rPr>
          <w:sz w:val="29"/>
          <w:szCs w:val="29"/>
          <w:spacing w:val="-2"/>
        </w:rPr>
        <w:t>关注天气变化，在有效降雨前无须浇灌，以节约人力和水资源；</w:t>
      </w:r>
    </w:p>
    <w:p>
      <w:pPr>
        <w:spacing w:line="217" w:lineRule="auto"/>
        <w:sectPr>
          <w:footerReference w:type="default" r:id="rId124"/>
          <w:pgSz w:w="14490" w:h="20470"/>
          <w:pgMar w:top="1739" w:right="1925" w:bottom="1402" w:left="2150" w:header="0" w:footer="1231" w:gutter="0"/>
        </w:sectPr>
        <w:rPr>
          <w:sz w:val="29"/>
          <w:szCs w:val="29"/>
        </w:rPr>
      </w:pPr>
    </w:p>
    <w:p>
      <w:pPr>
        <w:pStyle w:val="BodyText"/>
        <w:ind w:right="431" w:firstLine="730"/>
        <w:spacing w:before="119" w:line="269" w:lineRule="auto"/>
        <w:rPr>
          <w:sz w:val="29"/>
          <w:szCs w:val="29"/>
        </w:rPr>
      </w:pPr>
      <w:bookmarkStart w:name="bookmark90" w:id="26"/>
      <w:bookmarkEnd w:id="26"/>
      <w:r>
        <w:rPr>
          <w:sz w:val="29"/>
          <w:szCs w:val="29"/>
          <w:spacing w:val="2"/>
        </w:rPr>
        <w:t>⑦  根据土壤干湿度进行浇水，浇灌必须浇透根系层，但不允许积水造成</w:t>
      </w:r>
      <w:r>
        <w:rPr>
          <w:sz w:val="29"/>
          <w:szCs w:val="29"/>
          <w:spacing w:val="6"/>
        </w:rPr>
        <w:t xml:space="preserve"> </w:t>
      </w:r>
      <w:r>
        <w:rPr>
          <w:sz w:val="29"/>
          <w:szCs w:val="29"/>
          <w:spacing w:val="-6"/>
        </w:rPr>
        <w:t>苗木萎缩烂根；</w:t>
      </w:r>
    </w:p>
    <w:p>
      <w:pPr>
        <w:pStyle w:val="BodyText"/>
        <w:ind w:right="373" w:firstLine="730"/>
        <w:spacing w:before="143" w:line="270" w:lineRule="auto"/>
        <w:rPr>
          <w:sz w:val="29"/>
          <w:szCs w:val="29"/>
        </w:rPr>
      </w:pPr>
      <w:r>
        <w:rPr>
          <w:sz w:val="29"/>
          <w:szCs w:val="29"/>
          <w:spacing w:val="-7"/>
        </w:rPr>
        <w:t>⑧</w:t>
      </w:r>
      <w:r>
        <w:rPr>
          <w:sz w:val="29"/>
          <w:szCs w:val="29"/>
          <w:spacing w:val="46"/>
        </w:rPr>
        <w:t xml:space="preserve">  </w:t>
      </w:r>
      <w:r>
        <w:rPr>
          <w:sz w:val="29"/>
          <w:szCs w:val="29"/>
          <w:spacing w:val="-7"/>
        </w:rPr>
        <w:t>树木周围有积水，应予排除，对于低洼地可采取用</w:t>
      </w:r>
      <w:r>
        <w:rPr>
          <w:rFonts w:ascii="Times New Roman" w:hAnsi="Times New Roman" w:eastAsia="Times New Roman" w:cs="Times New Roman"/>
          <w:sz w:val="29"/>
          <w:szCs w:val="29"/>
          <w:spacing w:val="-7"/>
        </w:rPr>
        <w:t>PVC</w:t>
      </w:r>
      <w:r>
        <w:rPr>
          <w:sz w:val="29"/>
          <w:szCs w:val="29"/>
          <w:spacing w:val="-7"/>
        </w:rPr>
        <w:t>管</w:t>
      </w:r>
      <w:r>
        <w:rPr>
          <w:sz w:val="29"/>
          <w:szCs w:val="29"/>
          <w:spacing w:val="-8"/>
        </w:rPr>
        <w:t>打透气孔的方</w:t>
      </w:r>
      <w:r>
        <w:rPr>
          <w:sz w:val="29"/>
          <w:szCs w:val="29"/>
          <w:spacing w:val="1"/>
        </w:rPr>
        <w:t xml:space="preserve"> </w:t>
      </w:r>
      <w:r>
        <w:rPr>
          <w:sz w:val="29"/>
          <w:szCs w:val="29"/>
          <w:spacing w:val="-16"/>
        </w:rPr>
        <w:t>式排水；</w:t>
      </w:r>
    </w:p>
    <w:p>
      <w:pPr>
        <w:pStyle w:val="BodyText"/>
        <w:ind w:left="730"/>
        <w:spacing w:before="132" w:line="217" w:lineRule="auto"/>
        <w:rPr>
          <w:sz w:val="29"/>
          <w:szCs w:val="29"/>
        </w:rPr>
      </w:pPr>
      <w:r>
        <w:rPr>
          <w:sz w:val="29"/>
          <w:szCs w:val="29"/>
          <w:spacing w:val="-2"/>
        </w:rPr>
        <w:t>⑨</w:t>
      </w:r>
      <w:r>
        <w:rPr>
          <w:sz w:val="29"/>
          <w:szCs w:val="29"/>
          <w:spacing w:val="49"/>
        </w:rPr>
        <w:t xml:space="preserve">  </w:t>
      </w:r>
      <w:r>
        <w:rPr>
          <w:sz w:val="29"/>
          <w:szCs w:val="29"/>
          <w:spacing w:val="-2"/>
        </w:rPr>
        <w:t>在使用再生水浇灌时，水质必须符合园林植物灌溉水质要求。</w:t>
      </w:r>
    </w:p>
    <w:p>
      <w:pPr>
        <w:pStyle w:val="BodyText"/>
        <w:ind w:left="4"/>
        <w:spacing w:before="150" w:line="221" w:lineRule="auto"/>
        <w:outlineLvl w:val="1"/>
        <w:rPr>
          <w:rFonts w:ascii="SimHei" w:hAnsi="SimHei" w:eastAsia="SimHei" w:cs="SimHei"/>
          <w:sz w:val="30"/>
          <w:szCs w:val="30"/>
        </w:rPr>
      </w:pPr>
      <w:bookmarkStart w:name="bookmark15" w:id="27"/>
      <w:bookmarkEnd w:id="27"/>
      <w:r>
        <w:rPr>
          <w:sz w:val="30"/>
          <w:szCs w:val="30"/>
          <w:b/>
          <w:bCs/>
          <w:spacing w:val="-9"/>
        </w:rPr>
        <w:t>二、</w:t>
      </w:r>
      <w:r>
        <w:rPr>
          <w:rFonts w:ascii="SimHei" w:hAnsi="SimHei" w:eastAsia="SimHei" w:cs="SimHei"/>
          <w:sz w:val="30"/>
          <w:szCs w:val="30"/>
          <w:spacing w:val="-9"/>
        </w:rPr>
        <w:t>修剪</w:t>
      </w:r>
    </w:p>
    <w:p>
      <w:pPr>
        <w:pStyle w:val="BodyText"/>
        <w:ind w:firstLine="620"/>
        <w:spacing w:before="162" w:line="305" w:lineRule="auto"/>
        <w:rPr>
          <w:sz w:val="29"/>
          <w:szCs w:val="29"/>
        </w:rPr>
      </w:pPr>
      <w:r>
        <w:rPr>
          <w:sz w:val="29"/>
          <w:szCs w:val="29"/>
          <w:spacing w:val="1"/>
        </w:rPr>
        <w:t>由于地被植物景观表现在下层，需要在生长季控制在一定高度，表现出层次、</w:t>
      </w:r>
      <w:r>
        <w:rPr>
          <w:sz w:val="29"/>
          <w:szCs w:val="29"/>
        </w:rPr>
        <w:t xml:space="preserve"> </w:t>
      </w:r>
      <w:r>
        <w:rPr>
          <w:sz w:val="29"/>
          <w:szCs w:val="29"/>
          <w:spacing w:val="2"/>
        </w:rPr>
        <w:t>轮廓、线型、模纹等景观要求，因此修剪的频次较高，是绿化养护重点内容之一。</w:t>
      </w:r>
    </w:p>
    <w:p>
      <w:pPr>
        <w:pStyle w:val="BodyText"/>
        <w:spacing w:before="1" w:line="220"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修剪质量要求</w:t>
      </w:r>
    </w:p>
    <w:p>
      <w:pPr>
        <w:pStyle w:val="BodyText"/>
        <w:ind w:left="730"/>
        <w:spacing w:before="165" w:line="219" w:lineRule="auto"/>
        <w:rPr>
          <w:sz w:val="29"/>
          <w:szCs w:val="29"/>
        </w:rPr>
      </w:pPr>
      <w:r>
        <w:rPr>
          <w:sz w:val="29"/>
          <w:szCs w:val="29"/>
          <w:spacing w:val="6"/>
        </w:rPr>
        <w:t>(1)修剪工必须按规定的造型进行修剪，不允许随意改变造型；</w:t>
      </w:r>
    </w:p>
    <w:p>
      <w:pPr>
        <w:pStyle w:val="BodyText"/>
        <w:ind w:right="352" w:firstLine="730"/>
        <w:spacing w:before="126" w:line="285" w:lineRule="auto"/>
        <w:rPr>
          <w:sz w:val="29"/>
          <w:szCs w:val="29"/>
        </w:rPr>
      </w:pPr>
      <w:r>
        <w:rPr>
          <w:sz w:val="29"/>
          <w:szCs w:val="29"/>
          <w:spacing w:val="9"/>
        </w:rPr>
        <w:t>(2)地被小灌木及亚灌木与绿篱每年留取部分新枝作为更新枝，不要每年</w:t>
      </w:r>
      <w:r>
        <w:rPr>
          <w:sz w:val="29"/>
          <w:szCs w:val="29"/>
        </w:rPr>
        <w:t xml:space="preserve"> </w:t>
      </w:r>
      <w:r>
        <w:rPr>
          <w:sz w:val="29"/>
          <w:szCs w:val="29"/>
          <w:spacing w:val="-1"/>
        </w:rPr>
        <w:t>都修剪在同一高度，几年后当高度超出设计要求时，在春季芽孢刚刚开始膨大时</w:t>
      </w:r>
      <w:r>
        <w:rPr>
          <w:sz w:val="29"/>
          <w:szCs w:val="29"/>
          <w:spacing w:val="18"/>
        </w:rPr>
        <w:t xml:space="preserve"> </w:t>
      </w:r>
      <w:r>
        <w:rPr>
          <w:sz w:val="29"/>
          <w:szCs w:val="29"/>
          <w:spacing w:val="-7"/>
        </w:rPr>
        <w:t>一次性回缩到位；</w:t>
      </w:r>
    </w:p>
    <w:p>
      <w:pPr>
        <w:pStyle w:val="BodyText"/>
        <w:ind w:right="520" w:firstLine="730"/>
        <w:spacing w:before="138" w:line="262" w:lineRule="auto"/>
        <w:rPr>
          <w:rFonts w:ascii="Times New Roman" w:hAnsi="Times New Roman" w:eastAsia="Times New Roman" w:cs="Times New Roman"/>
          <w:sz w:val="29"/>
          <w:szCs w:val="29"/>
        </w:rPr>
      </w:pPr>
      <w:r>
        <w:rPr>
          <w:sz w:val="29"/>
          <w:szCs w:val="29"/>
          <w:spacing w:val="3"/>
        </w:rPr>
        <w:t>(3)两片相邻绿篱或地被之间要留有缝隙，大叶</w:t>
      </w:r>
      <w:r>
        <w:rPr>
          <w:sz w:val="29"/>
          <w:szCs w:val="29"/>
          <w:spacing w:val="2"/>
        </w:rPr>
        <w:t>植物留缝10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
        </w:rPr>
        <w:t>,</w:t>
      </w:r>
      <w:r>
        <w:rPr>
          <w:rFonts w:ascii="Times New Roman" w:hAnsi="Times New Roman" w:eastAsia="Times New Roman" w:cs="Times New Roman"/>
          <w:sz w:val="29"/>
          <w:szCs w:val="29"/>
          <w:spacing w:val="24"/>
        </w:rPr>
        <w:t xml:space="preserve">  </w:t>
      </w:r>
      <w:r>
        <w:rPr>
          <w:sz w:val="29"/>
          <w:szCs w:val="29"/>
          <w:spacing w:val="2"/>
        </w:rPr>
        <w:t>小叶植物</w:t>
      </w:r>
      <w:r>
        <w:rPr>
          <w:sz w:val="29"/>
          <w:szCs w:val="29"/>
        </w:rPr>
        <w:t xml:space="preserve"> </w:t>
      </w:r>
      <w:r>
        <w:rPr>
          <w:sz w:val="29"/>
          <w:szCs w:val="29"/>
          <w:spacing w:val="-10"/>
        </w:rPr>
        <w:t>留缝5</w:t>
      </w:r>
      <w:r>
        <w:rPr>
          <w:rFonts w:ascii="Times New Roman" w:hAnsi="Times New Roman" w:eastAsia="Times New Roman" w:cs="Times New Roman"/>
          <w:sz w:val="29"/>
          <w:szCs w:val="29"/>
          <w:spacing w:val="-10"/>
        </w:rPr>
        <w:t>cm;</w:t>
      </w:r>
    </w:p>
    <w:p>
      <w:pPr>
        <w:pStyle w:val="BodyText"/>
        <w:ind w:left="730"/>
        <w:spacing w:before="186" w:line="219" w:lineRule="auto"/>
        <w:rPr>
          <w:sz w:val="29"/>
          <w:szCs w:val="29"/>
        </w:rPr>
      </w:pPr>
      <w:r>
        <w:rPr>
          <w:sz w:val="29"/>
          <w:szCs w:val="29"/>
          <w:spacing w:val="8"/>
        </w:rPr>
        <w:t>(4)地被植物上不能存在枯枝落叶、残留修</w:t>
      </w:r>
      <w:r>
        <w:rPr>
          <w:sz w:val="29"/>
          <w:szCs w:val="29"/>
          <w:spacing w:val="7"/>
        </w:rPr>
        <w:t>剪枝条等杂物。</w:t>
      </w:r>
    </w:p>
    <w:p>
      <w:pPr>
        <w:pStyle w:val="BodyText"/>
        <w:spacing w:before="124" w:line="221"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修剪时间</w:t>
      </w:r>
    </w:p>
    <w:p>
      <w:pPr>
        <w:pStyle w:val="BodyText"/>
        <w:ind w:left="730"/>
        <w:spacing w:before="155" w:line="219" w:lineRule="auto"/>
        <w:rPr>
          <w:sz w:val="29"/>
          <w:szCs w:val="29"/>
        </w:rPr>
      </w:pPr>
      <w:r>
        <w:rPr>
          <w:sz w:val="29"/>
          <w:szCs w:val="29"/>
          <w:spacing w:val="6"/>
        </w:rPr>
        <w:t>(1)地被小灌木及亚灌木与绿篱常规3—5月每月修剪一次；</w:t>
      </w:r>
    </w:p>
    <w:p>
      <w:pPr>
        <w:pStyle w:val="BodyText"/>
        <w:ind w:left="730"/>
        <w:spacing w:before="166" w:line="219" w:lineRule="auto"/>
        <w:rPr>
          <w:sz w:val="29"/>
          <w:szCs w:val="29"/>
        </w:rPr>
      </w:pPr>
      <w:r>
        <w:rPr>
          <w:sz w:val="29"/>
          <w:szCs w:val="29"/>
          <w:spacing w:val="8"/>
        </w:rPr>
        <w:t>(2)6—11月每月修剪2次；</w:t>
      </w:r>
    </w:p>
    <w:p>
      <w:pPr>
        <w:pStyle w:val="BodyText"/>
        <w:ind w:left="59" w:right="488" w:firstLine="670"/>
        <w:spacing w:before="144" w:line="266" w:lineRule="auto"/>
        <w:rPr>
          <w:sz w:val="29"/>
          <w:szCs w:val="29"/>
        </w:rPr>
      </w:pPr>
      <w:r>
        <w:rPr>
          <w:sz w:val="29"/>
          <w:szCs w:val="29"/>
        </w:rPr>
        <w:t>(3)12—2月修剪1—2次，处于休眠期的地被与绿篱禁止修剪，实际情况按</w:t>
      </w:r>
      <w:r>
        <w:rPr>
          <w:sz w:val="29"/>
          <w:szCs w:val="29"/>
          <w:spacing w:val="15"/>
        </w:rPr>
        <w:t xml:space="preserve"> </w:t>
      </w:r>
      <w:r>
        <w:rPr>
          <w:sz w:val="29"/>
          <w:szCs w:val="29"/>
          <w:spacing w:val="-10"/>
        </w:rPr>
        <w:t>当地气候、苗木生长状况掌握修剪次数；</w:t>
      </w:r>
    </w:p>
    <w:p>
      <w:pPr>
        <w:pStyle w:val="BodyText"/>
        <w:ind w:left="730"/>
        <w:spacing w:before="146" w:line="219" w:lineRule="auto"/>
        <w:rPr>
          <w:sz w:val="29"/>
          <w:szCs w:val="29"/>
        </w:rPr>
      </w:pPr>
      <w:r>
        <w:rPr>
          <w:sz w:val="29"/>
          <w:szCs w:val="29"/>
          <w:spacing w:val="7"/>
        </w:rPr>
        <w:t>(4)绿篱植物应经常修剪，不出现嫩枝生长超过修剪面5</w:t>
      </w:r>
      <w:r>
        <w:rPr>
          <w:rFonts w:ascii="Times New Roman" w:hAnsi="Times New Roman" w:eastAsia="Times New Roman" w:cs="Times New Roman"/>
          <w:sz w:val="29"/>
          <w:szCs w:val="29"/>
        </w:rPr>
        <w:t>cm</w:t>
      </w:r>
      <w:r>
        <w:rPr>
          <w:sz w:val="29"/>
          <w:szCs w:val="29"/>
          <w:spacing w:val="7"/>
        </w:rPr>
        <w:t>以上。</w:t>
      </w:r>
    </w:p>
    <w:p>
      <w:pPr>
        <w:pStyle w:val="BodyText"/>
        <w:spacing w:before="102" w:line="395" w:lineRule="exact"/>
        <w:rPr>
          <w:rFonts w:ascii="SimHei" w:hAnsi="SimHei" w:eastAsia="SimHei" w:cs="SimHei"/>
          <w:sz w:val="29"/>
          <w:szCs w:val="29"/>
        </w:rPr>
      </w:pPr>
      <w:r>
        <w:rPr>
          <w:rFonts w:ascii="Arial" w:hAnsi="Arial" w:eastAsia="Arial" w:cs="Arial"/>
          <w:sz w:val="29"/>
          <w:szCs w:val="29"/>
          <w:spacing w:val="2"/>
          <w:position w:val="1"/>
        </w:rPr>
        <w:t>3</w:t>
      </w:r>
      <w:r>
        <w:rPr>
          <w:sz w:val="29"/>
          <w:szCs w:val="29"/>
          <w:spacing w:val="2"/>
          <w:position w:val="1"/>
        </w:rPr>
        <w:t>、</w:t>
      </w:r>
      <w:r>
        <w:rPr>
          <w:rFonts w:ascii="SimHei" w:hAnsi="SimHei" w:eastAsia="SimHei" w:cs="SimHei"/>
          <w:sz w:val="29"/>
          <w:szCs w:val="29"/>
          <w:spacing w:val="2"/>
          <w:position w:val="1"/>
        </w:rPr>
        <w:t>修剪方法</w:t>
      </w:r>
    </w:p>
    <w:p>
      <w:pPr>
        <w:pStyle w:val="BodyText"/>
        <w:ind w:left="600"/>
        <w:spacing w:before="139" w:line="219" w:lineRule="auto"/>
        <w:rPr>
          <w:sz w:val="29"/>
          <w:szCs w:val="29"/>
        </w:rPr>
      </w:pPr>
      <w:r>
        <w:rPr>
          <w:sz w:val="29"/>
          <w:szCs w:val="29"/>
          <w:spacing w:val="11"/>
        </w:rPr>
        <w:t>1)平、立面修剪：</w:t>
      </w:r>
    </w:p>
    <w:p>
      <w:pPr>
        <w:pStyle w:val="BodyText"/>
        <w:ind w:right="419" w:firstLine="1330"/>
        <w:spacing w:before="177" w:line="301" w:lineRule="auto"/>
        <w:rPr>
          <w:sz w:val="29"/>
          <w:szCs w:val="29"/>
        </w:rPr>
      </w:pPr>
      <w:r>
        <w:rPr>
          <w:sz w:val="29"/>
          <w:szCs w:val="29"/>
          <w:spacing w:val="4"/>
        </w:rPr>
        <w:t>按照所确定的绿篱(色块)高度进行修剪，</w:t>
      </w:r>
      <w:r>
        <w:rPr>
          <w:sz w:val="29"/>
          <w:szCs w:val="29"/>
          <w:spacing w:val="93"/>
        </w:rPr>
        <w:t xml:space="preserve"> </w:t>
      </w:r>
      <w:r>
        <w:rPr>
          <w:sz w:val="29"/>
          <w:szCs w:val="29"/>
          <w:spacing w:val="4"/>
        </w:rPr>
        <w:t>一般先用线绳定</w:t>
      </w:r>
      <w:r>
        <w:rPr>
          <w:sz w:val="29"/>
          <w:szCs w:val="29"/>
          <w:spacing w:val="3"/>
        </w:rPr>
        <w:t>型，再以</w:t>
      </w:r>
      <w:r>
        <w:rPr>
          <w:sz w:val="29"/>
          <w:szCs w:val="29"/>
        </w:rPr>
        <w:t xml:space="preserve"> </w:t>
      </w:r>
      <w:r>
        <w:rPr>
          <w:sz w:val="29"/>
          <w:szCs w:val="29"/>
          <w:spacing w:val="8"/>
        </w:rPr>
        <w:t>线为界进行修剪(经验丰富的可不必定线，直接修剪);</w:t>
      </w:r>
    </w:p>
    <w:p>
      <w:pPr>
        <w:pStyle w:val="BodyText"/>
        <w:ind w:right="610" w:firstLine="730"/>
        <w:spacing w:before="34" w:line="263" w:lineRule="auto"/>
        <w:rPr>
          <w:sz w:val="29"/>
          <w:szCs w:val="29"/>
        </w:rPr>
      </w:pPr>
      <w:r>
        <w:rPr>
          <w:rFonts w:ascii="Times New Roman" w:hAnsi="Times New Roman" w:eastAsia="Times New Roman" w:cs="Times New Roman"/>
          <w:sz w:val="29"/>
          <w:szCs w:val="29"/>
          <w:spacing w:val="-10"/>
        </w:rPr>
        <w:t>2      </w:t>
      </w:r>
      <w:r>
        <w:rPr>
          <w:sz w:val="29"/>
          <w:szCs w:val="29"/>
          <w:spacing w:val="-10"/>
        </w:rPr>
        <w:t>此后，在生长期内对所有新梢进</w:t>
      </w:r>
      <w:r>
        <w:rPr>
          <w:sz w:val="29"/>
          <w:szCs w:val="29"/>
          <w:spacing w:val="-11"/>
        </w:rPr>
        <w:t>行多次修剪，以降低植株的分枝高度、</w:t>
      </w:r>
      <w:r>
        <w:rPr>
          <w:sz w:val="29"/>
          <w:szCs w:val="29"/>
        </w:rPr>
        <w:t xml:space="preserve"> </w:t>
      </w:r>
      <w:r>
        <w:rPr>
          <w:sz w:val="29"/>
          <w:szCs w:val="29"/>
          <w:spacing w:val="-9"/>
        </w:rPr>
        <w:t>多发分支，提早郁闭；</w:t>
      </w:r>
    </w:p>
    <w:p>
      <w:pPr>
        <w:pStyle w:val="BodyText"/>
        <w:ind w:left="169" w:right="398" w:firstLine="560"/>
        <w:spacing w:before="163" w:line="256" w:lineRule="auto"/>
        <w:rPr>
          <w:sz w:val="29"/>
          <w:szCs w:val="29"/>
        </w:rPr>
      </w:pPr>
      <w:r>
        <w:rPr>
          <w:rFonts w:ascii="Times New Roman" w:hAnsi="Times New Roman" w:eastAsia="Times New Roman" w:cs="Times New Roman"/>
          <w:sz w:val="29"/>
          <w:szCs w:val="29"/>
          <w:spacing w:val="11"/>
        </w:rPr>
        <w:t>3      </w:t>
      </w:r>
      <w:r>
        <w:rPr>
          <w:sz w:val="29"/>
          <w:szCs w:val="29"/>
          <w:spacing w:val="11"/>
        </w:rPr>
        <w:t>在绿篱(色块)定型以后，适时地剪去超</w:t>
      </w:r>
      <w:r>
        <w:rPr>
          <w:sz w:val="29"/>
          <w:szCs w:val="29"/>
          <w:spacing w:val="10"/>
        </w:rPr>
        <w:t>出轮廓的新梢，以保证绿篱</w:t>
      </w:r>
      <w:r>
        <w:rPr>
          <w:sz w:val="29"/>
          <w:szCs w:val="29"/>
        </w:rPr>
        <w:t xml:space="preserve"> </w:t>
      </w:r>
      <w:r>
        <w:rPr>
          <w:sz w:val="29"/>
          <w:szCs w:val="29"/>
          <w:spacing w:val="14"/>
        </w:rPr>
        <w:t>(色块)的整齐美观。</w:t>
      </w:r>
    </w:p>
    <w:p>
      <w:pPr>
        <w:spacing w:line="256" w:lineRule="auto"/>
        <w:sectPr>
          <w:footerReference w:type="default" r:id="rId125"/>
          <w:pgSz w:w="14490" w:h="20470"/>
          <w:pgMar w:top="1739" w:right="1824" w:bottom="1413" w:left="2150" w:header="0" w:footer="1214" w:gutter="0"/>
        </w:sectPr>
        <w:rPr>
          <w:sz w:val="29"/>
          <w:szCs w:val="29"/>
        </w:rPr>
      </w:pPr>
    </w:p>
    <w:p>
      <w:pPr>
        <w:ind w:firstLine="1946"/>
        <w:spacing w:before="140" w:line="9649" w:lineRule="exact"/>
        <w:rPr/>
      </w:pPr>
      <w:r>
        <w:rPr>
          <w:position w:val="-192"/>
        </w:rPr>
        <w:drawing>
          <wp:inline distT="0" distB="0" distL="0" distR="0">
            <wp:extent cx="3994219" cy="6127729"/>
            <wp:effectExtent l="0" t="0" r="0" b="0"/>
            <wp:docPr id="176" name="IM 176"/>
            <wp:cNvGraphicFramePr/>
            <a:graphic>
              <a:graphicData uri="http://schemas.openxmlformats.org/drawingml/2006/picture">
                <pic:pic>
                  <pic:nvPicPr>
                    <pic:cNvPr id="176" name="IM 176"/>
                    <pic:cNvPicPr/>
                  </pic:nvPicPr>
                  <pic:blipFill>
                    <a:blip r:embed="rId127"/>
                    <a:stretch>
                      <a:fillRect/>
                    </a:stretch>
                  </pic:blipFill>
                  <pic:spPr>
                    <a:xfrm rot="0">
                      <a:off x="0" y="0"/>
                      <a:ext cx="3994219" cy="6127729"/>
                    </a:xfrm>
                    <a:prstGeom prst="rect">
                      <a:avLst/>
                    </a:prstGeom>
                  </pic:spPr>
                </pic:pic>
              </a:graphicData>
            </a:graphic>
          </wp:inline>
        </w:drawing>
      </w:r>
    </w:p>
    <w:p>
      <w:pPr>
        <w:pStyle w:val="BodyText"/>
        <w:ind w:left="3386"/>
        <w:spacing w:before="201" w:line="219" w:lineRule="auto"/>
        <w:rPr>
          <w:sz w:val="26"/>
          <w:szCs w:val="26"/>
        </w:rPr>
      </w:pPr>
      <w:r>
        <w:rPr>
          <w:sz w:val="26"/>
          <w:szCs w:val="26"/>
          <w:spacing w:val="-9"/>
        </w:rPr>
        <w:t>图3-2-1地被、绿篱修剪示意图</w:t>
      </w:r>
    </w:p>
    <w:p>
      <w:pPr>
        <w:ind w:left="736"/>
        <w:spacing w:before="110" w:line="3540" w:lineRule="exact"/>
        <w:rPr/>
      </w:pPr>
      <w:r>
        <w:rPr>
          <w:position w:val="-71"/>
        </w:rPr>
        <w:drawing>
          <wp:inline distT="0" distB="0" distL="0" distR="0">
            <wp:extent cx="5524461" cy="2247952"/>
            <wp:effectExtent l="0" t="0" r="0" b="0"/>
            <wp:docPr id="178" name="IM 178"/>
            <wp:cNvGraphicFramePr/>
            <a:graphic>
              <a:graphicData uri="http://schemas.openxmlformats.org/drawingml/2006/picture">
                <pic:pic>
                  <pic:nvPicPr>
                    <pic:cNvPr id="178" name="IM 178"/>
                    <pic:cNvPicPr/>
                  </pic:nvPicPr>
                  <pic:blipFill>
                    <a:blip r:embed="rId128"/>
                    <a:stretch>
                      <a:fillRect/>
                    </a:stretch>
                  </pic:blipFill>
                  <pic:spPr>
                    <a:xfrm rot="0">
                      <a:off x="0" y="0"/>
                      <a:ext cx="5524461" cy="2247952"/>
                    </a:xfrm>
                    <a:prstGeom prst="rect">
                      <a:avLst/>
                    </a:prstGeom>
                  </pic:spPr>
                </pic:pic>
              </a:graphicData>
            </a:graphic>
          </wp:inline>
        </w:drawing>
      </w:r>
    </w:p>
    <w:p>
      <w:pPr>
        <w:pStyle w:val="BodyText"/>
        <w:ind w:left="3276"/>
        <w:spacing w:before="9" w:line="219" w:lineRule="auto"/>
        <w:rPr>
          <w:sz w:val="24"/>
          <w:szCs w:val="24"/>
        </w:rPr>
      </w:pPr>
      <w:r>
        <w:rPr>
          <w:sz w:val="24"/>
          <w:szCs w:val="24"/>
          <w:spacing w:val="7"/>
        </w:rPr>
        <w:t>图3-2-2地被、绿篱立面修剪标准</w:t>
      </w:r>
    </w:p>
    <w:p>
      <w:pPr>
        <w:pStyle w:val="BodyText"/>
        <w:ind w:left="566"/>
        <w:spacing w:before="166" w:line="219" w:lineRule="auto"/>
        <w:rPr>
          <w:sz w:val="29"/>
          <w:szCs w:val="29"/>
        </w:rPr>
      </w:pPr>
      <w:r>
        <w:rPr>
          <w:sz w:val="29"/>
          <w:szCs w:val="29"/>
          <w:spacing w:val="8"/>
        </w:rPr>
        <w:t>2)绿篱/地被的倒角修剪方法</w:t>
      </w:r>
    </w:p>
    <w:p>
      <w:pPr>
        <w:pStyle w:val="BodyText"/>
        <w:ind w:left="6" w:right="162" w:firstLine="710"/>
        <w:spacing w:before="152" w:line="318" w:lineRule="auto"/>
        <w:rPr>
          <w:sz w:val="29"/>
          <w:szCs w:val="29"/>
        </w:rPr>
      </w:pPr>
      <w:r>
        <w:rPr>
          <w:sz w:val="29"/>
          <w:szCs w:val="29"/>
          <w:spacing w:val="-1"/>
        </w:rPr>
        <w:t>(1)修剪时分成3次，前两次试探性修剪，每次修剪总量的1/3,第三次修剪</w:t>
      </w:r>
      <w:r>
        <w:rPr>
          <w:sz w:val="29"/>
          <w:szCs w:val="29"/>
          <w:spacing w:val="18"/>
        </w:rPr>
        <w:t xml:space="preserve"> </w:t>
      </w:r>
      <w:r>
        <w:rPr>
          <w:sz w:val="29"/>
          <w:szCs w:val="29"/>
          <w:spacing w:val="-13"/>
        </w:rPr>
        <w:t>到位；</w:t>
      </w:r>
    </w:p>
    <w:p>
      <w:pPr>
        <w:spacing w:line="318" w:lineRule="auto"/>
        <w:sectPr>
          <w:footerReference w:type="default" r:id="rId126"/>
          <w:pgSz w:w="14490" w:h="20470"/>
          <w:pgMar w:top="1739" w:right="2173" w:bottom="1423" w:left="2173" w:header="0" w:footer="1225" w:gutter="0"/>
        </w:sectPr>
        <w:rPr>
          <w:sz w:val="29"/>
          <w:szCs w:val="29"/>
        </w:rPr>
      </w:pPr>
    </w:p>
    <w:p>
      <w:pPr>
        <w:ind w:firstLine="710"/>
        <w:spacing w:before="140" w:line="3460" w:lineRule="exact"/>
        <w:rPr/>
      </w:pPr>
      <w:r>
        <w:rPr>
          <w:position w:val="-69"/>
        </w:rPr>
        <w:pict>
          <v:group id="_x0000_s20" style="mso-position-vertical-relative:line;mso-position-horizontal-relative:char;width:457.05pt;height:173.05pt;" filled="false" stroked="false" coordsize="9140,3461" coordorigin="0,0">
            <v:shape id="_x0000_s22" style="position:absolute;left:0;top:0;width:9140;height:3461;" filled="false" stroked="false" type="#_x0000_t75">
              <v:imagedata o:title="" r:id="rId130"/>
            </v:shape>
            <v:shape id="_x0000_s24" style="position:absolute;left:-20;top:-20;width:9180;height:3501;" filled="false" stroked="false" type="#_x0000_t202">
              <v:fill on="false"/>
              <v:stroke on="false"/>
              <v:path/>
              <v:imagedata o:title=""/>
              <o:lock v:ext="edit" aspectratio="false"/>
              <v:textbox inset="0mm,0mm,0mm,0mm">
                <w:txbxContent>
                  <w:p>
                    <w:pPr>
                      <w:ind w:left="4259"/>
                      <w:spacing w:before="87" w:line="213" w:lineRule="auto"/>
                      <w:rPr>
                        <w:rFonts w:ascii="SimHei" w:hAnsi="SimHei" w:eastAsia="SimHei" w:cs="SimHei"/>
                        <w:sz w:val="19"/>
                        <w:szCs w:val="19"/>
                      </w:rPr>
                    </w:pPr>
                    <w:r>
                      <w:rPr>
                        <w:rFonts w:ascii="SimHei" w:hAnsi="SimHei" w:eastAsia="SimHei" w:cs="SimHei"/>
                        <w:sz w:val="19"/>
                        <w:szCs w:val="19"/>
                        <w:spacing w:val="16"/>
                      </w:rPr>
                      <w:t>第三次修剪，收缩到位</w:t>
                    </w:r>
                  </w:p>
                  <w:p>
                    <w:pPr>
                      <w:ind w:left="4259"/>
                      <w:spacing w:before="40" w:line="213" w:lineRule="auto"/>
                      <w:rPr>
                        <w:rFonts w:ascii="SimHei" w:hAnsi="SimHei" w:eastAsia="SimHei" w:cs="SimHei"/>
                        <w:sz w:val="19"/>
                        <w:szCs w:val="19"/>
                      </w:rPr>
                    </w:pPr>
                    <w:r>
                      <w:rPr>
                        <w:rFonts w:ascii="SimHei" w:hAnsi="SimHei" w:eastAsia="SimHei" w:cs="SimHei"/>
                        <w:sz w:val="19"/>
                        <w:szCs w:val="19"/>
                        <w:spacing w:val="15"/>
                      </w:rPr>
                      <w:t>第二次试探修剪，约为修剪总量的1/3</w:t>
                    </w:r>
                  </w:p>
                  <w:p>
                    <w:pPr>
                      <w:ind w:left="4259"/>
                      <w:spacing w:before="80" w:line="213" w:lineRule="auto"/>
                      <w:rPr>
                        <w:rFonts w:ascii="SimHei" w:hAnsi="SimHei" w:eastAsia="SimHei" w:cs="SimHei"/>
                        <w:sz w:val="19"/>
                        <w:szCs w:val="19"/>
                      </w:rPr>
                    </w:pPr>
                    <w:r>
                      <w:rPr>
                        <w:rFonts w:ascii="SimHei" w:hAnsi="SimHei" w:eastAsia="SimHei" w:cs="SimHei"/>
                        <w:sz w:val="19"/>
                        <w:szCs w:val="19"/>
                        <w:spacing w:val="15"/>
                      </w:rPr>
                      <w:t>第一次试探修剪，约为修剪总量的1/3</w:t>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1649"/>
                      <w:spacing w:before="62" w:line="221" w:lineRule="auto"/>
                      <w:rPr>
                        <w:rFonts w:ascii="SimHei" w:hAnsi="SimHei" w:eastAsia="SimHei" w:cs="SimHei"/>
                        <w:sz w:val="19"/>
                        <w:szCs w:val="19"/>
                      </w:rPr>
                    </w:pPr>
                    <w:r>
                      <w:rPr>
                        <w:rFonts w:ascii="SimHei" w:hAnsi="SimHei" w:eastAsia="SimHei" w:cs="SimHei"/>
                        <w:sz w:val="19"/>
                        <w:szCs w:val="19"/>
                        <w:spacing w:val="-7"/>
                      </w:rPr>
                      <w:t>绿</w:t>
                    </w:r>
                    <w:r>
                      <w:rPr>
                        <w:rFonts w:ascii="SimHei" w:hAnsi="SimHei" w:eastAsia="SimHei" w:cs="SimHei"/>
                        <w:sz w:val="19"/>
                        <w:szCs w:val="19"/>
                        <w:spacing w:val="-32"/>
                      </w:rPr>
                      <w:t xml:space="preserve"> </w:t>
                    </w:r>
                    <w:r>
                      <w:rPr>
                        <w:rFonts w:ascii="SimHei" w:hAnsi="SimHei" w:eastAsia="SimHei" w:cs="SimHei"/>
                        <w:sz w:val="19"/>
                        <w:szCs w:val="19"/>
                        <w:spacing w:val="-7"/>
                      </w:rPr>
                      <w:t>篱</w:t>
                    </w:r>
                    <w:r>
                      <w:rPr>
                        <w:rFonts w:ascii="SimHei" w:hAnsi="SimHei" w:eastAsia="SimHei" w:cs="SimHei"/>
                        <w:sz w:val="19"/>
                        <w:szCs w:val="19"/>
                        <w:spacing w:val="-38"/>
                      </w:rPr>
                      <w:t xml:space="preserve"> </w:t>
                    </w:r>
                    <w:r>
                      <w:rPr>
                        <w:rFonts w:ascii="SimHei" w:hAnsi="SimHei" w:eastAsia="SimHei" w:cs="SimHei"/>
                        <w:sz w:val="19"/>
                        <w:szCs w:val="19"/>
                        <w:spacing w:val="-7"/>
                      </w:rPr>
                      <w:t>/地</w:t>
                    </w:r>
                    <w:r>
                      <w:rPr>
                        <w:rFonts w:ascii="SimHei" w:hAnsi="SimHei" w:eastAsia="SimHei" w:cs="SimHei"/>
                        <w:sz w:val="19"/>
                        <w:szCs w:val="19"/>
                        <w:spacing w:val="-32"/>
                      </w:rPr>
                      <w:t xml:space="preserve"> </w:t>
                    </w:r>
                    <w:r>
                      <w:rPr>
                        <w:rFonts w:ascii="SimHei" w:hAnsi="SimHei" w:eastAsia="SimHei" w:cs="SimHei"/>
                        <w:sz w:val="19"/>
                        <w:szCs w:val="19"/>
                        <w:spacing w:val="-7"/>
                      </w:rPr>
                      <w:t>被</w:t>
                    </w:r>
                  </w:p>
                  <w:p>
                    <w:pPr>
                      <w:ind w:left="6129"/>
                      <w:spacing w:before="63" w:line="221" w:lineRule="auto"/>
                      <w:rPr>
                        <w:rFonts w:ascii="SimHei" w:hAnsi="SimHei" w:eastAsia="SimHei" w:cs="SimHei"/>
                        <w:sz w:val="19"/>
                        <w:szCs w:val="19"/>
                      </w:rPr>
                    </w:pPr>
                    <w:r>
                      <w:rPr>
                        <w:rFonts w:ascii="SimHei" w:hAnsi="SimHei" w:eastAsia="SimHei" w:cs="SimHei"/>
                        <w:sz w:val="19"/>
                        <w:szCs w:val="19"/>
                        <w:spacing w:val="22"/>
                      </w:rPr>
                      <w:t>绿篱/地被</w:t>
                    </w:r>
                  </w:p>
                </w:txbxContent>
              </v:textbox>
            </v:shape>
          </v:group>
        </w:pict>
      </w:r>
    </w:p>
    <w:p>
      <w:pPr>
        <w:ind w:left="4909"/>
        <w:spacing w:before="149" w:line="223" w:lineRule="auto"/>
        <w:rPr>
          <w:rFonts w:ascii="Arial" w:hAnsi="Arial" w:eastAsia="Arial" w:cs="Arial"/>
          <w:sz w:val="21"/>
          <w:szCs w:val="21"/>
        </w:rPr>
      </w:pPr>
      <w:r>
        <w:rPr>
          <w:rFonts w:ascii="SimHei" w:hAnsi="SimHei" w:eastAsia="SimHei" w:cs="SimHei"/>
          <w:sz w:val="21"/>
          <w:szCs w:val="21"/>
          <w:spacing w:val="-5"/>
        </w:rPr>
        <w:t>间隙5-10</w:t>
      </w:r>
      <w:r>
        <w:rPr>
          <w:rFonts w:ascii="Arial" w:hAnsi="Arial" w:eastAsia="Arial" w:cs="Arial"/>
          <w:sz w:val="21"/>
          <w:szCs w:val="21"/>
          <w:spacing w:val="-5"/>
        </w:rPr>
        <w:t>cm</w:t>
      </w:r>
    </w:p>
    <w:p>
      <w:pPr>
        <w:pStyle w:val="BodyText"/>
        <w:ind w:left="3040"/>
        <w:spacing w:before="65" w:line="219" w:lineRule="auto"/>
        <w:rPr>
          <w:sz w:val="24"/>
          <w:szCs w:val="24"/>
        </w:rPr>
      </w:pPr>
      <w:r>
        <w:rPr>
          <w:sz w:val="24"/>
          <w:szCs w:val="24"/>
          <w:spacing w:val="8"/>
        </w:rPr>
        <w:t>图3-2-3地被、绿篱倒角修剪示意图</w:t>
      </w:r>
    </w:p>
    <w:p>
      <w:pPr>
        <w:pStyle w:val="BodyText"/>
        <w:ind w:left="730"/>
        <w:spacing w:before="166" w:line="219" w:lineRule="auto"/>
        <w:rPr>
          <w:sz w:val="29"/>
          <w:szCs w:val="29"/>
        </w:rPr>
      </w:pPr>
      <w:r>
        <w:rPr>
          <w:sz w:val="29"/>
          <w:szCs w:val="29"/>
          <w:spacing w:val="6"/>
        </w:rPr>
        <w:t>(2)修剪后要求：倒角圆滑，过渡流畅自然，无过</w:t>
      </w:r>
      <w:r>
        <w:rPr>
          <w:sz w:val="29"/>
          <w:szCs w:val="29"/>
          <w:spacing w:val="5"/>
        </w:rPr>
        <w:t>度修剪；</w:t>
      </w:r>
    </w:p>
    <w:p>
      <w:pPr>
        <w:pStyle w:val="BodyText"/>
        <w:ind w:right="103" w:firstLine="730"/>
        <w:spacing w:before="117" w:line="272" w:lineRule="auto"/>
        <w:rPr>
          <w:sz w:val="29"/>
          <w:szCs w:val="29"/>
        </w:rPr>
      </w:pPr>
      <w:r>
        <w:rPr>
          <w:sz w:val="29"/>
          <w:szCs w:val="29"/>
          <w:spacing w:val="6"/>
        </w:rPr>
        <w:t>(3)规整的直线修剪可拉线修剪，不规则形的则培养经验丰富的技术</w:t>
      </w:r>
      <w:r>
        <w:rPr>
          <w:sz w:val="29"/>
          <w:szCs w:val="29"/>
          <w:spacing w:val="5"/>
        </w:rPr>
        <w:t>工人</w:t>
      </w:r>
      <w:r>
        <w:rPr>
          <w:sz w:val="29"/>
          <w:szCs w:val="29"/>
        </w:rPr>
        <w:t xml:space="preserve"> </w:t>
      </w:r>
      <w:r>
        <w:rPr>
          <w:sz w:val="29"/>
          <w:szCs w:val="29"/>
          <w:spacing w:val="-6"/>
        </w:rPr>
        <w:t>自然修剪。</w:t>
      </w:r>
    </w:p>
    <w:p>
      <w:pPr>
        <w:ind w:firstLine="929"/>
        <w:spacing w:before="94" w:line="3190" w:lineRule="exact"/>
        <w:rPr/>
      </w:pPr>
      <w:r>
        <w:rPr>
          <w:position w:val="-63"/>
        </w:rPr>
        <w:drawing>
          <wp:inline distT="0" distB="0" distL="0" distR="0">
            <wp:extent cx="5397486" cy="2025678"/>
            <wp:effectExtent l="0" t="0" r="0" b="0"/>
            <wp:docPr id="180" name="IM 180"/>
            <wp:cNvGraphicFramePr/>
            <a:graphic>
              <a:graphicData uri="http://schemas.openxmlformats.org/drawingml/2006/picture">
                <pic:pic>
                  <pic:nvPicPr>
                    <pic:cNvPr id="180" name="IM 180"/>
                    <pic:cNvPicPr/>
                  </pic:nvPicPr>
                  <pic:blipFill>
                    <a:blip r:embed="rId131"/>
                    <a:stretch>
                      <a:fillRect/>
                    </a:stretch>
                  </pic:blipFill>
                  <pic:spPr>
                    <a:xfrm rot="0">
                      <a:off x="0" y="0"/>
                      <a:ext cx="5397486" cy="2025678"/>
                    </a:xfrm>
                    <a:prstGeom prst="rect">
                      <a:avLst/>
                    </a:prstGeom>
                  </pic:spPr>
                </pic:pic>
              </a:graphicData>
            </a:graphic>
          </wp:inline>
        </w:drawing>
      </w:r>
    </w:p>
    <w:p>
      <w:pPr>
        <w:pStyle w:val="BodyText"/>
        <w:ind w:left="3539"/>
        <w:spacing w:before="40" w:line="219" w:lineRule="auto"/>
        <w:rPr>
          <w:sz w:val="24"/>
          <w:szCs w:val="24"/>
        </w:rPr>
      </w:pPr>
      <w:r>
        <w:rPr>
          <w:sz w:val="24"/>
          <w:szCs w:val="24"/>
          <w:spacing w:val="7"/>
        </w:rPr>
        <w:t>图3-2-4地被、绿篱修剪操作</w:t>
      </w:r>
    </w:p>
    <w:p>
      <w:pPr>
        <w:pStyle w:val="BodyText"/>
        <w:spacing w:before="164"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修剪类别</w:t>
      </w:r>
    </w:p>
    <w:p>
      <w:pPr>
        <w:pStyle w:val="BodyText"/>
        <w:ind w:left="620"/>
        <w:spacing w:before="166" w:line="219" w:lineRule="auto"/>
        <w:rPr>
          <w:sz w:val="29"/>
          <w:szCs w:val="29"/>
        </w:rPr>
      </w:pPr>
      <w:r>
        <w:rPr>
          <w:sz w:val="29"/>
          <w:szCs w:val="29"/>
          <w:spacing w:val="19"/>
        </w:rPr>
        <w:t>1)色块绿篱修剪</w:t>
      </w:r>
    </w:p>
    <w:p>
      <w:pPr>
        <w:pStyle w:val="BodyText"/>
        <w:ind w:right="57" w:firstLine="730"/>
        <w:spacing w:before="144" w:line="305" w:lineRule="auto"/>
        <w:rPr>
          <w:sz w:val="29"/>
          <w:szCs w:val="29"/>
        </w:rPr>
      </w:pPr>
      <w:r>
        <w:rPr>
          <w:sz w:val="29"/>
          <w:szCs w:val="29"/>
          <w:spacing w:val="-5"/>
        </w:rPr>
        <w:t>(1)</w:t>
      </w:r>
      <w:r>
        <w:rPr>
          <w:sz w:val="29"/>
          <w:szCs w:val="29"/>
          <w:spacing w:val="127"/>
        </w:rPr>
        <w:t xml:space="preserve"> </w:t>
      </w:r>
      <w:r>
        <w:rPr>
          <w:sz w:val="29"/>
          <w:szCs w:val="29"/>
          <w:spacing w:val="-5"/>
        </w:rPr>
        <w:t>在4—10月生长季用手剪或绿篱机将新生枝修剪至合适高度，一般每月</w:t>
      </w:r>
      <w:r>
        <w:rPr>
          <w:sz w:val="29"/>
          <w:szCs w:val="29"/>
        </w:rPr>
        <w:t xml:space="preserve"> </w:t>
      </w:r>
      <w:r>
        <w:rPr>
          <w:sz w:val="29"/>
          <w:szCs w:val="29"/>
          <w:spacing w:val="1"/>
        </w:rPr>
        <w:t>2—3次，新生枝达到5—10</w:t>
      </w:r>
      <w:r>
        <w:rPr>
          <w:rFonts w:ascii="Times New Roman" w:hAnsi="Times New Roman" w:eastAsia="Times New Roman" w:cs="Times New Roman"/>
          <w:sz w:val="29"/>
          <w:szCs w:val="29"/>
        </w:rPr>
        <w:t>cm</w:t>
      </w:r>
      <w:r>
        <w:rPr>
          <w:sz w:val="29"/>
          <w:szCs w:val="29"/>
          <w:spacing w:val="1"/>
        </w:rPr>
        <w:t>即需要修剪，每年整形修剪不少于2</w:t>
      </w:r>
      <w:r>
        <w:rPr>
          <w:sz w:val="29"/>
          <w:szCs w:val="29"/>
        </w:rPr>
        <w:t>次；</w:t>
      </w:r>
    </w:p>
    <w:p>
      <w:pPr>
        <w:pStyle w:val="BodyText"/>
        <w:ind w:right="82" w:firstLine="730"/>
        <w:spacing w:before="1" w:line="318" w:lineRule="auto"/>
        <w:rPr>
          <w:sz w:val="29"/>
          <w:szCs w:val="29"/>
        </w:rPr>
      </w:pPr>
      <w:r>
        <w:rPr>
          <w:sz w:val="29"/>
          <w:szCs w:val="29"/>
          <w:spacing w:val="2"/>
        </w:rPr>
        <w:t>②  修剪应使绿篱及色带轮廓清晰、顶面平整、高度一致、层次分明，曲</w:t>
      </w:r>
      <w:r>
        <w:rPr>
          <w:sz w:val="29"/>
          <w:szCs w:val="29"/>
          <w:spacing w:val="7"/>
        </w:rPr>
        <w:t xml:space="preserve"> </w:t>
      </w:r>
      <w:r>
        <w:rPr>
          <w:sz w:val="29"/>
          <w:szCs w:val="29"/>
        </w:rPr>
        <w:t>面平顺、线型流畅整齐、侧面上下垂直或上窄下宽；</w:t>
      </w:r>
    </w:p>
    <w:p>
      <w:pPr>
        <w:pStyle w:val="BodyText"/>
        <w:ind w:left="730"/>
        <w:spacing w:line="217" w:lineRule="auto"/>
        <w:rPr>
          <w:sz w:val="29"/>
          <w:szCs w:val="29"/>
        </w:rPr>
      </w:pPr>
      <w:r>
        <w:rPr>
          <w:sz w:val="29"/>
          <w:szCs w:val="29"/>
          <w:spacing w:val="-16"/>
        </w:rPr>
        <w:t>(③)  修剪后要及时清理碎枝、碎叶；</w:t>
      </w:r>
    </w:p>
    <w:p>
      <w:pPr>
        <w:pStyle w:val="BodyText"/>
        <w:ind w:right="102" w:firstLine="730"/>
        <w:spacing w:before="150" w:line="319" w:lineRule="auto"/>
        <w:rPr>
          <w:sz w:val="29"/>
          <w:szCs w:val="29"/>
        </w:rPr>
      </w:pPr>
      <w:r>
        <w:rPr>
          <w:sz w:val="29"/>
          <w:szCs w:val="29"/>
          <w:spacing w:val="10"/>
        </w:rPr>
        <w:t>④  开花植物花前慎剪(如杜鹃);有些观叶植物，叶片老化前慎剪(如红</w:t>
      </w:r>
      <w:r>
        <w:rPr>
          <w:sz w:val="29"/>
          <w:szCs w:val="29"/>
          <w:spacing w:val="2"/>
        </w:rPr>
        <w:t xml:space="preserve"> </w:t>
      </w:r>
      <w:r>
        <w:rPr>
          <w:sz w:val="29"/>
          <w:szCs w:val="29"/>
          <w:spacing w:val="2"/>
        </w:rPr>
        <w:t>叶石楠);</w:t>
      </w:r>
    </w:p>
    <w:p>
      <w:pPr>
        <w:pStyle w:val="BodyText"/>
        <w:ind w:left="730"/>
        <w:spacing w:before="1" w:line="219" w:lineRule="auto"/>
        <w:rPr>
          <w:sz w:val="29"/>
          <w:szCs w:val="29"/>
        </w:rPr>
      </w:pPr>
      <w:r>
        <w:rPr>
          <w:sz w:val="29"/>
          <w:szCs w:val="29"/>
          <w:spacing w:val="-5"/>
        </w:rPr>
        <w:t>(5)</w:t>
      </w:r>
      <w:r>
        <w:rPr>
          <w:sz w:val="29"/>
          <w:szCs w:val="29"/>
          <w:spacing w:val="119"/>
        </w:rPr>
        <w:t xml:space="preserve"> </w:t>
      </w:r>
      <w:r>
        <w:rPr>
          <w:sz w:val="29"/>
          <w:szCs w:val="29"/>
          <w:spacing w:val="-5"/>
        </w:rPr>
        <w:t>对枝条较粗叶片较大的要用小枝剪修剪；</w:t>
      </w:r>
    </w:p>
    <w:p>
      <w:pPr>
        <w:pStyle w:val="BodyText"/>
        <w:ind w:left="730"/>
        <w:spacing w:before="126" w:line="219" w:lineRule="auto"/>
        <w:rPr>
          <w:sz w:val="29"/>
          <w:szCs w:val="29"/>
        </w:rPr>
      </w:pPr>
      <w:r>
        <w:rPr>
          <w:sz w:val="29"/>
          <w:szCs w:val="29"/>
          <w:spacing w:val="-1"/>
        </w:rPr>
        <w:t>6)  绿篱及色带每次修剪高度较前一次</w:t>
      </w:r>
      <w:r>
        <w:rPr>
          <w:sz w:val="29"/>
          <w:szCs w:val="29"/>
          <w:spacing w:val="-2"/>
        </w:rPr>
        <w:t>修剪应提高1</w:t>
      </w:r>
      <w:r>
        <w:rPr>
          <w:rFonts w:ascii="Times New Roman" w:hAnsi="Times New Roman" w:eastAsia="Times New Roman" w:cs="Times New Roman"/>
          <w:sz w:val="29"/>
          <w:szCs w:val="29"/>
          <w:spacing w:val="-2"/>
        </w:rPr>
        <w:t>cm</w:t>
      </w:r>
      <w:r>
        <w:rPr>
          <w:sz w:val="29"/>
          <w:szCs w:val="29"/>
          <w:spacing w:val="-2"/>
        </w:rPr>
        <w:t>。</w:t>
      </w:r>
    </w:p>
    <w:p>
      <w:pPr>
        <w:spacing w:line="219" w:lineRule="auto"/>
        <w:sectPr>
          <w:footerReference w:type="default" r:id="rId129"/>
          <w:pgSz w:w="14490" w:h="20470"/>
          <w:pgMar w:top="1739" w:right="2173" w:bottom="1433" w:left="2150" w:header="0" w:footer="1234" w:gutter="0"/>
        </w:sectPr>
        <w:rPr>
          <w:sz w:val="29"/>
          <w:szCs w:val="29"/>
        </w:rPr>
      </w:pPr>
    </w:p>
    <w:p>
      <w:pPr>
        <w:spacing w:line="170" w:lineRule="exact"/>
        <w:rPr/>
      </w:pPr>
      <w:r/>
    </w:p>
    <w:p>
      <w:pPr>
        <w:spacing w:line="170" w:lineRule="exact"/>
        <w:sectPr>
          <w:footerReference w:type="default" r:id="rId132"/>
          <w:pgSz w:w="14490" w:h="20470"/>
          <w:pgMar w:top="1739" w:right="2173" w:bottom="1383" w:left="2173" w:header="0" w:footer="1220" w:gutter="0"/>
          <w:cols w:equalWidth="0" w:num="1">
            <w:col w:w="10144" w:space="0"/>
          </w:cols>
        </w:sectPr>
        <w:rPr/>
      </w:pPr>
    </w:p>
    <w:p>
      <w:pPr>
        <w:ind w:firstLine="486"/>
        <w:spacing w:line="3239" w:lineRule="exact"/>
        <w:rPr/>
      </w:pPr>
      <w:r>
        <w:rPr>
          <w:position w:val="-64"/>
        </w:rPr>
        <w:drawing>
          <wp:inline distT="0" distB="0" distL="0" distR="0">
            <wp:extent cx="2844811" cy="2057394"/>
            <wp:effectExtent l="0" t="0" r="0" b="0"/>
            <wp:docPr id="182" name="IM 182"/>
            <wp:cNvGraphicFramePr/>
            <a:graphic>
              <a:graphicData uri="http://schemas.openxmlformats.org/drawingml/2006/picture">
                <pic:pic>
                  <pic:nvPicPr>
                    <pic:cNvPr id="182" name="IM 182"/>
                    <pic:cNvPicPr/>
                  </pic:nvPicPr>
                  <pic:blipFill>
                    <a:blip r:embed="rId133"/>
                    <a:stretch>
                      <a:fillRect/>
                    </a:stretch>
                  </pic:blipFill>
                  <pic:spPr>
                    <a:xfrm rot="0">
                      <a:off x="0" y="0"/>
                      <a:ext cx="2844811" cy="2057394"/>
                    </a:xfrm>
                    <a:prstGeom prst="rect">
                      <a:avLst/>
                    </a:prstGeom>
                  </pic:spPr>
                </pic:pic>
              </a:graphicData>
            </a:graphic>
          </wp:inline>
        </w:drawing>
      </w:r>
    </w:p>
    <w:p>
      <w:pPr>
        <w:ind w:left="2256"/>
        <w:spacing w:before="97" w:line="222" w:lineRule="auto"/>
        <w:rPr>
          <w:rFonts w:ascii="FangSong" w:hAnsi="FangSong" w:eastAsia="FangSong" w:cs="FangSong"/>
          <w:sz w:val="23"/>
          <w:szCs w:val="23"/>
        </w:rPr>
      </w:pPr>
      <w:r>
        <w:rPr>
          <w:rFonts w:ascii="FangSong" w:hAnsi="FangSong" w:eastAsia="FangSong" w:cs="FangSong"/>
          <w:sz w:val="23"/>
          <w:szCs w:val="23"/>
          <w:spacing w:val="11"/>
        </w:rPr>
        <w:t>地被标准</w:t>
      </w:r>
    </w:p>
    <w:p>
      <w:pPr>
        <w:ind w:firstLine="496"/>
        <w:spacing w:before="75" w:line="3230" w:lineRule="exact"/>
        <w:rPr/>
      </w:pPr>
      <w:r>
        <w:rPr>
          <w:position w:val="-64"/>
        </w:rPr>
        <w:drawing>
          <wp:inline distT="0" distB="0" distL="0" distR="0">
            <wp:extent cx="2838370" cy="2051025"/>
            <wp:effectExtent l="0" t="0" r="0" b="0"/>
            <wp:docPr id="184" name="IM 184"/>
            <wp:cNvGraphicFramePr/>
            <a:graphic>
              <a:graphicData uri="http://schemas.openxmlformats.org/drawingml/2006/picture">
                <pic:pic>
                  <pic:nvPicPr>
                    <pic:cNvPr id="184" name="IM 184"/>
                    <pic:cNvPicPr/>
                  </pic:nvPicPr>
                  <pic:blipFill>
                    <a:blip r:embed="rId134"/>
                    <a:stretch>
                      <a:fillRect/>
                    </a:stretch>
                  </pic:blipFill>
                  <pic:spPr>
                    <a:xfrm rot="0">
                      <a:off x="0" y="0"/>
                      <a:ext cx="2838370" cy="2051025"/>
                    </a:xfrm>
                    <a:prstGeom prst="rect">
                      <a:avLst/>
                    </a:prstGeom>
                  </pic:spPr>
                </pic:pic>
              </a:graphicData>
            </a:graphic>
          </wp:inline>
        </w:drawing>
      </w:r>
    </w:p>
    <w:p>
      <w:pPr>
        <w:spacing w:before="137" w:line="222" w:lineRule="auto"/>
        <w:jc w:val="right"/>
        <w:rPr>
          <w:rFonts w:ascii="FangSong" w:hAnsi="FangSong" w:eastAsia="FangSong" w:cs="FangSong"/>
          <w:sz w:val="21"/>
          <w:szCs w:val="21"/>
        </w:rPr>
      </w:pPr>
      <w:r>
        <w:rPr>
          <w:rFonts w:ascii="FangSong" w:hAnsi="FangSong" w:eastAsia="FangSong" w:cs="FangSong"/>
          <w:sz w:val="21"/>
          <w:szCs w:val="21"/>
          <w:spacing w:val="30"/>
        </w:rPr>
        <w:t>标准：地被与草坪间有分界线条又不显露黄土</w:t>
      </w:r>
    </w:p>
    <w:p>
      <w:pPr>
        <w:ind w:firstLine="476"/>
        <w:spacing w:before="20" w:line="3281" w:lineRule="exact"/>
        <w:rPr/>
      </w:pPr>
      <w:r>
        <w:rPr>
          <w:position w:val="-65"/>
        </w:rPr>
        <w:drawing>
          <wp:inline distT="0" distB="0" distL="0" distR="0">
            <wp:extent cx="2844811" cy="2082871"/>
            <wp:effectExtent l="0" t="0" r="0" b="0"/>
            <wp:docPr id="186" name="IM 186"/>
            <wp:cNvGraphicFramePr/>
            <a:graphic>
              <a:graphicData uri="http://schemas.openxmlformats.org/drawingml/2006/picture">
                <pic:pic>
                  <pic:nvPicPr>
                    <pic:cNvPr id="186" name="IM 186"/>
                    <pic:cNvPicPr/>
                  </pic:nvPicPr>
                  <pic:blipFill>
                    <a:blip r:embed="rId135"/>
                    <a:stretch>
                      <a:fillRect/>
                    </a:stretch>
                  </pic:blipFill>
                  <pic:spPr>
                    <a:xfrm rot="0">
                      <a:off x="0" y="0"/>
                      <a:ext cx="2844811" cy="2082871"/>
                    </a:xfrm>
                    <a:prstGeom prst="rect">
                      <a:avLst/>
                    </a:prstGeom>
                  </pic:spPr>
                </pic:pic>
              </a:graphicData>
            </a:graphic>
          </wp:inline>
        </w:drawing>
      </w:r>
    </w:p>
    <w:p>
      <w:pPr>
        <w:ind w:left="646"/>
        <w:spacing w:before="67" w:line="222" w:lineRule="auto"/>
        <w:rPr>
          <w:rFonts w:ascii="FangSong" w:hAnsi="FangSong" w:eastAsia="FangSong" w:cs="FangSong"/>
          <w:sz w:val="23"/>
          <w:szCs w:val="23"/>
        </w:rPr>
      </w:pPr>
      <w:r>
        <w:rPr>
          <w:rFonts w:ascii="FangSong" w:hAnsi="FangSong" w:eastAsia="FangSong" w:cs="FangSong"/>
          <w:sz w:val="23"/>
          <w:szCs w:val="23"/>
          <w:spacing w:val="20"/>
        </w:rPr>
        <w:t>标准：整齐的几何形绿篱(可拉线修剪)</w:t>
      </w:r>
    </w:p>
    <w:p>
      <w:pPr>
        <w:ind w:firstLine="476"/>
        <w:spacing w:before="86" w:line="3360" w:lineRule="exact"/>
        <w:rPr/>
      </w:pPr>
      <w:r>
        <w:rPr>
          <w:position w:val="-67"/>
        </w:rPr>
        <w:drawing>
          <wp:inline distT="0" distB="0" distL="0" distR="0">
            <wp:extent cx="2851160" cy="2133695"/>
            <wp:effectExtent l="0" t="0" r="0" b="0"/>
            <wp:docPr id="188" name="IM 188"/>
            <wp:cNvGraphicFramePr/>
            <a:graphic>
              <a:graphicData uri="http://schemas.openxmlformats.org/drawingml/2006/picture">
                <pic:pic>
                  <pic:nvPicPr>
                    <pic:cNvPr id="188" name="IM 188"/>
                    <pic:cNvPicPr/>
                  </pic:nvPicPr>
                  <pic:blipFill>
                    <a:blip r:embed="rId136"/>
                    <a:stretch>
                      <a:fillRect/>
                    </a:stretch>
                  </pic:blipFill>
                  <pic:spPr>
                    <a:xfrm rot="0">
                      <a:off x="0" y="0"/>
                      <a:ext cx="2851160" cy="2133695"/>
                    </a:xfrm>
                    <a:prstGeom prst="rect">
                      <a:avLst/>
                    </a:prstGeom>
                  </pic:spPr>
                </pic:pic>
              </a:graphicData>
            </a:graphic>
          </wp:inline>
        </w:drawing>
      </w:r>
    </w:p>
    <w:p>
      <w:pPr>
        <w:ind w:left="1146"/>
        <w:spacing w:before="147" w:line="222" w:lineRule="auto"/>
        <w:rPr>
          <w:rFonts w:ascii="FangSong" w:hAnsi="FangSong" w:eastAsia="FangSong" w:cs="FangSong"/>
          <w:sz w:val="21"/>
          <w:szCs w:val="21"/>
        </w:rPr>
      </w:pPr>
      <w:r>
        <w:rPr>
          <w:rFonts w:ascii="FangSong" w:hAnsi="FangSong" w:eastAsia="FangSong" w:cs="FangSong"/>
          <w:sz w:val="21"/>
          <w:szCs w:val="21"/>
          <w:spacing w:val="31"/>
        </w:rPr>
        <w:t>标准：高低不同突出模纹效果</w:t>
      </w:r>
    </w:p>
    <w:p>
      <w:pPr>
        <w:spacing w:line="142" w:lineRule="exact"/>
        <w:rPr/>
      </w:pPr>
      <w:r/>
    </w:p>
    <w:p>
      <w:pPr>
        <w:spacing w:line="14" w:lineRule="auto"/>
        <w:rPr>
          <w:rFonts w:ascii="Arial"/>
          <w:sz w:val="2"/>
        </w:rPr>
      </w:pPr>
      <w:r>
        <w:rPr>
          <w:rFonts w:ascii="Arial" w:hAnsi="Arial" w:eastAsia="Arial" w:cs="Arial"/>
          <w:sz w:val="2"/>
          <w:szCs w:val="2"/>
        </w:rPr>
        <w:br w:type="column"/>
      </w:r>
    </w:p>
    <w:p>
      <w:pPr>
        <w:ind w:firstLine="39"/>
        <w:spacing w:before="8" w:line="3200" w:lineRule="exact"/>
        <w:rPr/>
      </w:pPr>
      <w:r>
        <w:rPr>
          <w:position w:val="-63"/>
        </w:rPr>
        <w:drawing>
          <wp:inline distT="0" distB="0" distL="0" distR="0">
            <wp:extent cx="2724184" cy="2031917"/>
            <wp:effectExtent l="0" t="0" r="0" b="0"/>
            <wp:docPr id="190" name="IM 190"/>
            <wp:cNvGraphicFramePr/>
            <a:graphic>
              <a:graphicData uri="http://schemas.openxmlformats.org/drawingml/2006/picture">
                <pic:pic>
                  <pic:nvPicPr>
                    <pic:cNvPr id="190" name="IM 190"/>
                    <pic:cNvPicPr/>
                  </pic:nvPicPr>
                  <pic:blipFill>
                    <a:blip r:embed="rId137"/>
                    <a:stretch>
                      <a:fillRect/>
                    </a:stretch>
                  </pic:blipFill>
                  <pic:spPr>
                    <a:xfrm rot="0">
                      <a:off x="0" y="0"/>
                      <a:ext cx="2724184" cy="2031917"/>
                    </a:xfrm>
                    <a:prstGeom prst="rect">
                      <a:avLst/>
                    </a:prstGeom>
                  </pic:spPr>
                </pic:pic>
              </a:graphicData>
            </a:graphic>
          </wp:inline>
        </w:drawing>
      </w:r>
    </w:p>
    <w:p>
      <w:pPr>
        <w:ind w:left="1769"/>
        <w:spacing w:before="127" w:line="222" w:lineRule="auto"/>
        <w:rPr>
          <w:rFonts w:ascii="FangSong" w:hAnsi="FangSong" w:eastAsia="FangSong" w:cs="FangSong"/>
          <w:sz w:val="21"/>
          <w:szCs w:val="21"/>
        </w:rPr>
      </w:pPr>
      <w:r>
        <w:rPr>
          <w:rFonts w:ascii="FangSong" w:hAnsi="FangSong" w:eastAsia="FangSong" w:cs="FangSong"/>
          <w:sz w:val="21"/>
          <w:szCs w:val="21"/>
          <w:spacing w:val="28"/>
        </w:rPr>
        <w:t>地被标准</w:t>
      </w:r>
    </w:p>
    <w:p>
      <w:pPr>
        <w:spacing w:before="90" w:line="3230" w:lineRule="exact"/>
        <w:rPr/>
      </w:pPr>
      <w:r>
        <w:rPr>
          <w:position w:val="-64"/>
        </w:rPr>
        <w:drawing>
          <wp:inline distT="0" distB="0" distL="0" distR="0">
            <wp:extent cx="2743139" cy="2051025"/>
            <wp:effectExtent l="0" t="0" r="0" b="0"/>
            <wp:docPr id="192" name="IM 192"/>
            <wp:cNvGraphicFramePr/>
            <a:graphic>
              <a:graphicData uri="http://schemas.openxmlformats.org/drawingml/2006/picture">
                <pic:pic>
                  <pic:nvPicPr>
                    <pic:cNvPr id="192" name="IM 192"/>
                    <pic:cNvPicPr/>
                  </pic:nvPicPr>
                  <pic:blipFill>
                    <a:blip r:embed="rId138"/>
                    <a:stretch>
                      <a:fillRect/>
                    </a:stretch>
                  </pic:blipFill>
                  <pic:spPr>
                    <a:xfrm rot="0">
                      <a:off x="0" y="0"/>
                      <a:ext cx="2743139" cy="2051025"/>
                    </a:xfrm>
                    <a:prstGeom prst="rect">
                      <a:avLst/>
                    </a:prstGeom>
                  </pic:spPr>
                </pic:pic>
              </a:graphicData>
            </a:graphic>
          </wp:inline>
        </w:drawing>
      </w:r>
    </w:p>
    <w:p>
      <w:pPr>
        <w:ind w:left="1739"/>
        <w:spacing w:before="147" w:line="222" w:lineRule="auto"/>
        <w:rPr>
          <w:rFonts w:ascii="FangSong" w:hAnsi="FangSong" w:eastAsia="FangSong" w:cs="FangSong"/>
          <w:sz w:val="21"/>
          <w:szCs w:val="21"/>
        </w:rPr>
      </w:pPr>
      <w:r>
        <w:rPr>
          <w:rFonts w:ascii="FangSong" w:hAnsi="FangSong" w:eastAsia="FangSong" w:cs="FangSong"/>
          <w:sz w:val="21"/>
          <w:szCs w:val="21"/>
          <w:spacing w:val="28"/>
        </w:rPr>
        <w:t>地被标准</w:t>
      </w:r>
    </w:p>
    <w:p>
      <w:pPr>
        <w:ind w:firstLine="29"/>
        <w:spacing w:before="50" w:line="3200" w:lineRule="exact"/>
        <w:rPr/>
      </w:pPr>
      <w:r>
        <w:rPr>
          <w:position w:val="-63"/>
        </w:rPr>
        <w:drawing>
          <wp:inline distT="0" distB="0" distL="0" distR="0">
            <wp:extent cx="2730532" cy="2031917"/>
            <wp:effectExtent l="0" t="0" r="0" b="0"/>
            <wp:docPr id="194" name="IM 194"/>
            <wp:cNvGraphicFramePr/>
            <a:graphic>
              <a:graphicData uri="http://schemas.openxmlformats.org/drawingml/2006/picture">
                <pic:pic>
                  <pic:nvPicPr>
                    <pic:cNvPr id="194" name="IM 194"/>
                    <pic:cNvPicPr/>
                  </pic:nvPicPr>
                  <pic:blipFill>
                    <a:blip r:embed="rId139"/>
                    <a:stretch>
                      <a:fillRect/>
                    </a:stretch>
                  </pic:blipFill>
                  <pic:spPr>
                    <a:xfrm rot="0">
                      <a:off x="0" y="0"/>
                      <a:ext cx="2730532" cy="2031917"/>
                    </a:xfrm>
                    <a:prstGeom prst="rect">
                      <a:avLst/>
                    </a:prstGeom>
                  </pic:spPr>
                </pic:pic>
              </a:graphicData>
            </a:graphic>
          </wp:inline>
        </w:drawing>
      </w:r>
    </w:p>
    <w:p>
      <w:pPr>
        <w:ind w:left="219"/>
        <w:spacing w:before="17" w:line="222" w:lineRule="auto"/>
        <w:rPr>
          <w:rFonts w:ascii="FangSong" w:hAnsi="FangSong" w:eastAsia="FangSong" w:cs="FangSong"/>
          <w:sz w:val="22"/>
          <w:szCs w:val="22"/>
        </w:rPr>
      </w:pPr>
      <w:r>
        <w:rPr>
          <w:rFonts w:ascii="FangSong" w:hAnsi="FangSong" w:eastAsia="FangSong" w:cs="FangSong"/>
          <w:sz w:val="22"/>
          <w:szCs w:val="22"/>
          <w:spacing w:val="20"/>
        </w:rPr>
        <w:t>标准：整齐的几何形地被、及不同地被</w:t>
      </w:r>
    </w:p>
    <w:p>
      <w:pPr>
        <w:ind w:left="1290"/>
        <w:spacing w:before="95" w:line="222" w:lineRule="auto"/>
        <w:rPr>
          <w:rFonts w:ascii="FangSong" w:hAnsi="FangSong" w:eastAsia="FangSong" w:cs="FangSong"/>
          <w:sz w:val="22"/>
          <w:szCs w:val="22"/>
        </w:rPr>
      </w:pPr>
      <w:r>
        <w:drawing>
          <wp:anchor distT="0" distB="0" distL="0" distR="0" simplePos="0" relativeHeight="251809792" behindDoc="0" locked="0" layoutInCell="1" allowOverlap="1">
            <wp:simplePos x="0" y="0"/>
            <wp:positionH relativeFrom="column">
              <wp:posOffset>6348</wp:posOffset>
            </wp:positionH>
            <wp:positionV relativeFrom="paragraph">
              <wp:posOffset>170266</wp:posOffset>
            </wp:positionV>
            <wp:extent cx="2819416" cy="2095479"/>
            <wp:effectExtent l="0" t="0" r="0" b="0"/>
            <wp:wrapNone/>
            <wp:docPr id="196" name="IM 196"/>
            <wp:cNvGraphicFramePr/>
            <a:graphic>
              <a:graphicData uri="http://schemas.openxmlformats.org/drawingml/2006/picture">
                <pic:pic>
                  <pic:nvPicPr>
                    <pic:cNvPr id="196" name="IM 196"/>
                    <pic:cNvPicPr/>
                  </pic:nvPicPr>
                  <pic:blipFill>
                    <a:blip r:embed="rId140"/>
                    <a:stretch>
                      <a:fillRect/>
                    </a:stretch>
                  </pic:blipFill>
                  <pic:spPr>
                    <a:xfrm rot="0">
                      <a:off x="0" y="0"/>
                      <a:ext cx="2819416" cy="2095479"/>
                    </a:xfrm>
                    <a:prstGeom prst="rect">
                      <a:avLst/>
                    </a:prstGeom>
                  </pic:spPr>
                </pic:pic>
              </a:graphicData>
            </a:graphic>
          </wp:anchor>
        </w:drawing>
      </w:r>
      <w:r>
        <w:rPr>
          <w:rFonts w:ascii="FangSong" w:hAnsi="FangSong" w:eastAsia="FangSong" w:cs="FangSong"/>
          <w:sz w:val="22"/>
          <w:szCs w:val="22"/>
          <w:spacing w:val="23"/>
        </w:rPr>
        <w:t>有高差变化的效果</w:t>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219"/>
        <w:spacing w:before="75" w:line="202" w:lineRule="auto"/>
        <w:rPr>
          <w:rFonts w:ascii="FangSong" w:hAnsi="FangSong" w:eastAsia="FangSong" w:cs="FangSong"/>
          <w:sz w:val="23"/>
          <w:szCs w:val="23"/>
        </w:rPr>
      </w:pPr>
      <w:r>
        <w:rPr>
          <w:rFonts w:ascii="FangSong" w:hAnsi="FangSong" w:eastAsia="FangSong" w:cs="FangSong"/>
          <w:sz w:val="23"/>
          <w:szCs w:val="23"/>
          <w:spacing w:val="10"/>
        </w:rPr>
        <w:t>标准：地被与地被间有分界线条又不显</w:t>
      </w:r>
    </w:p>
    <w:p>
      <w:pPr>
        <w:ind w:left="1899"/>
        <w:spacing w:before="1" w:line="223" w:lineRule="auto"/>
        <w:rPr>
          <w:rFonts w:ascii="FangSong" w:hAnsi="FangSong" w:eastAsia="FangSong" w:cs="FangSong"/>
          <w:sz w:val="23"/>
          <w:szCs w:val="23"/>
        </w:rPr>
      </w:pPr>
      <w:r>
        <w:rPr>
          <w:rFonts w:ascii="FangSong" w:hAnsi="FangSong" w:eastAsia="FangSong" w:cs="FangSong"/>
          <w:sz w:val="23"/>
          <w:szCs w:val="23"/>
          <w:spacing w:val="15"/>
        </w:rPr>
        <w:t>露黄土</w:t>
      </w:r>
    </w:p>
    <w:p>
      <w:pPr>
        <w:spacing w:line="223" w:lineRule="auto"/>
        <w:sectPr>
          <w:type w:val="continuous"/>
          <w:pgSz w:w="14490" w:h="20470"/>
          <w:pgMar w:top="1739" w:right="2173" w:bottom="1383" w:left="2173" w:header="0" w:footer="1220" w:gutter="0"/>
          <w:cols w:equalWidth="0" w:num="2">
            <w:col w:w="5271" w:space="56"/>
            <w:col w:w="4817" w:space="0"/>
          </w:cols>
        </w:sectPr>
        <w:rPr>
          <w:rFonts w:ascii="FangSong" w:hAnsi="FangSong" w:eastAsia="FangSong" w:cs="FangSong"/>
          <w:sz w:val="23"/>
          <w:szCs w:val="23"/>
        </w:rPr>
      </w:pPr>
    </w:p>
    <w:p>
      <w:pPr>
        <w:pStyle w:val="BodyText"/>
        <w:ind w:left="3076"/>
        <w:spacing w:before="238" w:line="219" w:lineRule="auto"/>
        <w:rPr>
          <w:sz w:val="24"/>
          <w:szCs w:val="24"/>
        </w:rPr>
      </w:pPr>
      <w:r>
        <w:rPr>
          <w:sz w:val="24"/>
          <w:szCs w:val="24"/>
          <w:spacing w:val="8"/>
        </w:rPr>
        <w:t>图3-2-5地被、绿篱修剪标准示范图</w:t>
      </w:r>
    </w:p>
    <w:p>
      <w:pPr>
        <w:pStyle w:val="BodyText"/>
        <w:ind w:left="576"/>
        <w:spacing w:before="178" w:line="219" w:lineRule="auto"/>
        <w:rPr>
          <w:sz w:val="29"/>
          <w:szCs w:val="29"/>
        </w:rPr>
      </w:pPr>
      <w:r>
        <w:rPr>
          <w:sz w:val="29"/>
          <w:szCs w:val="29"/>
          <w:spacing w:val="28"/>
        </w:rPr>
        <w:t>2)藤木修剪</w:t>
      </w:r>
    </w:p>
    <w:p>
      <w:pPr>
        <w:pStyle w:val="BodyText"/>
        <w:ind w:left="706"/>
        <w:spacing w:before="135" w:line="184" w:lineRule="auto"/>
        <w:rPr>
          <w:sz w:val="29"/>
          <w:szCs w:val="29"/>
        </w:rPr>
      </w:pPr>
      <w:r>
        <w:rPr>
          <w:sz w:val="29"/>
          <w:szCs w:val="29"/>
          <w:spacing w:val="7"/>
        </w:rPr>
        <w:t>(1)吸附类藤木，应在生长季剪去未能吸附墙体而下垂的枝条，未完</w:t>
      </w:r>
      <w:r>
        <w:rPr>
          <w:sz w:val="29"/>
          <w:szCs w:val="29"/>
          <w:spacing w:val="6"/>
        </w:rPr>
        <w:t>全覆</w:t>
      </w:r>
    </w:p>
    <w:p>
      <w:pPr>
        <w:spacing w:line="184" w:lineRule="auto"/>
        <w:sectPr>
          <w:type w:val="continuous"/>
          <w:pgSz w:w="14490" w:h="20470"/>
          <w:pgMar w:top="1739" w:right="2173" w:bottom="1383" w:left="2173" w:header="0" w:footer="1220" w:gutter="0"/>
          <w:cols w:equalWidth="0" w:num="1">
            <w:col w:w="10144" w:space="0"/>
          </w:cols>
        </w:sectPr>
        <w:rPr>
          <w:sz w:val="29"/>
          <w:szCs w:val="29"/>
        </w:rPr>
      </w:pPr>
    </w:p>
    <w:p>
      <w:pPr>
        <w:pStyle w:val="BodyText"/>
        <w:spacing w:before="122" w:line="219" w:lineRule="auto"/>
        <w:rPr>
          <w:sz w:val="29"/>
          <w:szCs w:val="29"/>
        </w:rPr>
      </w:pPr>
      <w:r>
        <w:rPr>
          <w:sz w:val="29"/>
          <w:szCs w:val="29"/>
        </w:rPr>
        <w:t>盖的植物应短截空隙周围枝条，以便发生副梢，填补空缺；</w:t>
      </w:r>
    </w:p>
    <w:p>
      <w:pPr>
        <w:pStyle w:val="BodyText"/>
        <w:ind w:right="91" w:firstLine="730"/>
        <w:spacing w:before="155" w:line="265" w:lineRule="auto"/>
        <w:rPr>
          <w:sz w:val="29"/>
          <w:szCs w:val="29"/>
        </w:rPr>
      </w:pPr>
      <w:r>
        <w:rPr>
          <w:sz w:val="29"/>
          <w:szCs w:val="29"/>
          <w:spacing w:val="6"/>
        </w:rPr>
        <w:t>(2)钩刺类藤木，可按灌木修剪方法疏枝；当生长到一定程度，树势衰弱</w:t>
      </w:r>
      <w:r>
        <w:rPr>
          <w:sz w:val="29"/>
          <w:szCs w:val="29"/>
          <w:spacing w:val="10"/>
        </w:rPr>
        <w:t xml:space="preserve"> </w:t>
      </w:r>
      <w:r>
        <w:rPr>
          <w:sz w:val="29"/>
          <w:szCs w:val="29"/>
          <w:spacing w:val="-2"/>
        </w:rPr>
        <w:t>时，可进行回缩修剪，强壮树势；</w:t>
      </w:r>
    </w:p>
    <w:p>
      <w:pPr>
        <w:pStyle w:val="BodyText"/>
        <w:ind w:right="97" w:firstLine="730"/>
        <w:spacing w:before="156" w:line="259" w:lineRule="auto"/>
        <w:rPr>
          <w:sz w:val="29"/>
          <w:szCs w:val="29"/>
        </w:rPr>
      </w:pPr>
      <w:r>
        <w:rPr>
          <w:sz w:val="29"/>
          <w:szCs w:val="29"/>
          <w:spacing w:val="6"/>
        </w:rPr>
        <w:t>(3)生长于棚架的藤木，落叶后应疏剪过密枝条，清除枯死枝，使枝条均</w:t>
      </w:r>
      <w:r>
        <w:rPr>
          <w:sz w:val="29"/>
          <w:szCs w:val="29"/>
          <w:spacing w:val="4"/>
        </w:rPr>
        <w:t xml:space="preserve"> </w:t>
      </w:r>
      <w:r>
        <w:rPr>
          <w:sz w:val="29"/>
          <w:szCs w:val="29"/>
          <w:spacing w:val="-5"/>
        </w:rPr>
        <w:t>匀分布架面；</w:t>
      </w:r>
    </w:p>
    <w:p>
      <w:pPr>
        <w:pStyle w:val="BodyText"/>
        <w:ind w:left="730"/>
        <w:spacing w:before="166" w:line="219" w:lineRule="auto"/>
        <w:rPr>
          <w:sz w:val="29"/>
          <w:szCs w:val="29"/>
        </w:rPr>
      </w:pPr>
      <w:r>
        <w:rPr>
          <w:sz w:val="29"/>
          <w:szCs w:val="29"/>
          <w:spacing w:val="7"/>
        </w:rPr>
        <w:t>(4)成年和老年藤本应定期翻蔓，清除枯枝</w:t>
      </w:r>
      <w:r>
        <w:rPr>
          <w:sz w:val="29"/>
          <w:szCs w:val="29"/>
          <w:spacing w:val="6"/>
        </w:rPr>
        <w:t>，疏剪老弱藤蔓。</w:t>
      </w:r>
    </w:p>
    <w:p>
      <w:pPr>
        <w:ind w:firstLine="750"/>
        <w:spacing w:before="85" w:line="6290" w:lineRule="exact"/>
        <w:rPr/>
      </w:pPr>
      <w:r>
        <w:rPr>
          <w:position w:val="-125"/>
        </w:rPr>
        <w:drawing>
          <wp:inline distT="0" distB="0" distL="0" distR="0">
            <wp:extent cx="5499066" cy="3994032"/>
            <wp:effectExtent l="0" t="0" r="0" b="0"/>
            <wp:docPr id="198" name="IM 198"/>
            <wp:cNvGraphicFramePr/>
            <a:graphic>
              <a:graphicData uri="http://schemas.openxmlformats.org/drawingml/2006/picture">
                <pic:pic>
                  <pic:nvPicPr>
                    <pic:cNvPr id="198" name="IM 198"/>
                    <pic:cNvPicPr/>
                  </pic:nvPicPr>
                  <pic:blipFill>
                    <a:blip r:embed="rId142"/>
                    <a:stretch>
                      <a:fillRect/>
                    </a:stretch>
                  </pic:blipFill>
                  <pic:spPr>
                    <a:xfrm rot="0">
                      <a:off x="0" y="0"/>
                      <a:ext cx="5499066" cy="3994032"/>
                    </a:xfrm>
                    <a:prstGeom prst="rect">
                      <a:avLst/>
                    </a:prstGeom>
                  </pic:spPr>
                </pic:pic>
              </a:graphicData>
            </a:graphic>
          </wp:inline>
        </w:drawing>
      </w:r>
    </w:p>
    <w:p>
      <w:pPr>
        <w:pStyle w:val="BodyText"/>
        <w:ind w:left="4069"/>
        <w:spacing w:before="1" w:line="219" w:lineRule="auto"/>
        <w:rPr>
          <w:sz w:val="26"/>
          <w:szCs w:val="26"/>
        </w:rPr>
      </w:pPr>
      <w:r>
        <w:rPr>
          <w:sz w:val="26"/>
          <w:szCs w:val="26"/>
          <w:spacing w:val="-13"/>
        </w:rPr>
        <w:t>图3-2-6藤木修剪</w:t>
      </w:r>
    </w:p>
    <w:p>
      <w:pPr>
        <w:pStyle w:val="BodyText"/>
        <w:spacing w:before="13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注意事项</w:t>
      </w:r>
    </w:p>
    <w:p>
      <w:pPr>
        <w:pStyle w:val="BodyText"/>
        <w:ind w:left="730"/>
        <w:spacing w:before="158" w:line="219" w:lineRule="auto"/>
        <w:rPr>
          <w:sz w:val="29"/>
          <w:szCs w:val="29"/>
        </w:rPr>
      </w:pPr>
      <w:r>
        <w:rPr>
          <w:sz w:val="29"/>
          <w:szCs w:val="29"/>
          <w:spacing w:val="6"/>
        </w:rPr>
        <w:t>(1)地被植物在雨天及有露水时，忌修剪；</w:t>
      </w:r>
    </w:p>
    <w:p>
      <w:pPr>
        <w:pStyle w:val="BodyText"/>
        <w:ind w:left="730"/>
        <w:spacing w:before="156" w:line="219" w:lineRule="auto"/>
        <w:rPr>
          <w:sz w:val="29"/>
          <w:szCs w:val="29"/>
        </w:rPr>
      </w:pPr>
      <w:r>
        <w:rPr>
          <w:sz w:val="29"/>
          <w:szCs w:val="29"/>
          <w:spacing w:val="8"/>
        </w:rPr>
        <w:t>(2)以观花为主的地被，在花期后修剪；</w:t>
      </w:r>
    </w:p>
    <w:p>
      <w:pPr>
        <w:pStyle w:val="BodyText"/>
        <w:ind w:right="143" w:firstLine="730"/>
        <w:spacing w:before="145" w:line="269" w:lineRule="auto"/>
        <w:rPr>
          <w:sz w:val="29"/>
          <w:szCs w:val="29"/>
        </w:rPr>
      </w:pPr>
      <w:r>
        <w:drawing>
          <wp:anchor distT="0" distB="0" distL="0" distR="0" simplePos="0" relativeHeight="251814912" behindDoc="0" locked="0" layoutInCell="1" allowOverlap="1">
            <wp:simplePos x="0" y="0"/>
            <wp:positionH relativeFrom="column">
              <wp:posOffset>3327412</wp:posOffset>
            </wp:positionH>
            <wp:positionV relativeFrom="paragraph">
              <wp:posOffset>656652</wp:posOffset>
            </wp:positionV>
            <wp:extent cx="2654255" cy="1924030"/>
            <wp:effectExtent l="0" t="0" r="0" b="0"/>
            <wp:wrapNone/>
            <wp:docPr id="200" name="IM 200"/>
            <wp:cNvGraphicFramePr/>
            <a:graphic>
              <a:graphicData uri="http://schemas.openxmlformats.org/drawingml/2006/picture">
                <pic:pic>
                  <pic:nvPicPr>
                    <pic:cNvPr id="200" name="IM 200"/>
                    <pic:cNvPicPr/>
                  </pic:nvPicPr>
                  <pic:blipFill>
                    <a:blip r:embed="rId143"/>
                    <a:stretch>
                      <a:fillRect/>
                    </a:stretch>
                  </pic:blipFill>
                  <pic:spPr>
                    <a:xfrm rot="0">
                      <a:off x="0" y="0"/>
                      <a:ext cx="2654255" cy="1924030"/>
                    </a:xfrm>
                    <a:prstGeom prst="rect">
                      <a:avLst/>
                    </a:prstGeom>
                  </pic:spPr>
                </pic:pic>
              </a:graphicData>
            </a:graphic>
          </wp:anchor>
        </w:drawing>
      </w:r>
      <w:r>
        <w:rPr>
          <w:sz w:val="29"/>
          <w:szCs w:val="29"/>
          <w:spacing w:val="13"/>
        </w:rPr>
        <w:t>(3)小叶地被用大平剪修剪，大叶地被(非洲茉莉、鸭脚木、大叶伞等)</w:t>
      </w:r>
      <w:r>
        <w:rPr>
          <w:sz w:val="29"/>
          <w:szCs w:val="29"/>
          <w:spacing w:val="18"/>
        </w:rPr>
        <w:t xml:space="preserve"> </w:t>
      </w:r>
      <w:r>
        <w:rPr>
          <w:sz w:val="29"/>
          <w:szCs w:val="29"/>
          <w:spacing w:val="-1"/>
        </w:rPr>
        <w:t>要用小枝剪修剪。</w:t>
      </w:r>
    </w:p>
    <w:p>
      <w:pPr>
        <w:ind w:firstLine="740"/>
        <w:spacing w:before="94" w:line="3005" w:lineRule="exact"/>
        <w:rPr/>
      </w:pPr>
      <w:r>
        <w:rPr>
          <w:position w:val="-60"/>
        </w:rPr>
        <w:drawing>
          <wp:inline distT="0" distB="0" distL="0" distR="0">
            <wp:extent cx="2755836" cy="1908481"/>
            <wp:effectExtent l="0" t="0" r="0" b="0"/>
            <wp:docPr id="202" name="IM 202"/>
            <wp:cNvGraphicFramePr/>
            <a:graphic>
              <a:graphicData uri="http://schemas.openxmlformats.org/drawingml/2006/picture">
                <pic:pic>
                  <pic:nvPicPr>
                    <pic:cNvPr id="202" name="IM 202"/>
                    <pic:cNvPicPr/>
                  </pic:nvPicPr>
                  <pic:blipFill>
                    <a:blip r:embed="rId144"/>
                    <a:stretch>
                      <a:fillRect/>
                    </a:stretch>
                  </pic:blipFill>
                  <pic:spPr>
                    <a:xfrm rot="0">
                      <a:off x="0" y="0"/>
                      <a:ext cx="2755836" cy="1908481"/>
                    </a:xfrm>
                    <a:prstGeom prst="rect">
                      <a:avLst/>
                    </a:prstGeom>
                  </pic:spPr>
                </pic:pic>
              </a:graphicData>
            </a:graphic>
          </wp:inline>
        </w:drawing>
      </w:r>
    </w:p>
    <w:p>
      <w:pPr>
        <w:pStyle w:val="BodyText"/>
        <w:ind w:left="4169"/>
        <w:spacing w:line="216" w:lineRule="auto"/>
        <w:rPr>
          <w:sz w:val="27"/>
          <w:szCs w:val="27"/>
        </w:rPr>
      </w:pPr>
      <w:r>
        <w:rPr>
          <w:sz w:val="27"/>
          <w:szCs w:val="27"/>
          <w:spacing w:val="-18"/>
        </w:rPr>
        <w:t>图3-2-7枝剪选用</w:t>
      </w:r>
    </w:p>
    <w:p>
      <w:pPr>
        <w:pStyle w:val="BodyText"/>
        <w:ind w:left="730"/>
        <w:spacing w:before="161" w:line="219" w:lineRule="auto"/>
        <w:rPr>
          <w:sz w:val="29"/>
          <w:szCs w:val="29"/>
        </w:rPr>
      </w:pPr>
      <w:r>
        <w:rPr>
          <w:sz w:val="29"/>
          <w:szCs w:val="29"/>
          <w:spacing w:val="7"/>
        </w:rPr>
        <w:t>(4)同一块地被应在当天工作日内修剪完毕，</w:t>
      </w:r>
      <w:r>
        <w:rPr>
          <w:sz w:val="29"/>
          <w:szCs w:val="29"/>
          <w:spacing w:val="6"/>
        </w:rPr>
        <w:t>以免影响美观；</w:t>
      </w:r>
    </w:p>
    <w:p>
      <w:pPr>
        <w:pStyle w:val="BodyText"/>
        <w:ind w:left="730"/>
        <w:spacing w:before="124" w:line="219" w:lineRule="auto"/>
        <w:rPr>
          <w:sz w:val="29"/>
          <w:szCs w:val="29"/>
        </w:rPr>
      </w:pPr>
      <w:r>
        <w:rPr>
          <w:sz w:val="29"/>
          <w:szCs w:val="29"/>
          <w:spacing w:val="7"/>
        </w:rPr>
        <w:t>(5)边修剪边清理干净修剪后的枝叶；</w:t>
      </w:r>
    </w:p>
    <w:p>
      <w:pPr>
        <w:spacing w:line="219" w:lineRule="auto"/>
        <w:sectPr>
          <w:footerReference w:type="default" r:id="rId141"/>
          <w:pgSz w:w="14490" w:h="20470"/>
          <w:pgMar w:top="1739" w:right="2173" w:bottom="1410" w:left="2150" w:header="0" w:footer="1212" w:gutter="0"/>
        </w:sectPr>
        <w:rPr>
          <w:sz w:val="29"/>
          <w:szCs w:val="29"/>
        </w:rPr>
      </w:pPr>
    </w:p>
    <w:p>
      <w:pPr>
        <w:pStyle w:val="BodyText"/>
        <w:ind w:left="730"/>
        <w:spacing w:before="122" w:line="219" w:lineRule="auto"/>
        <w:rPr>
          <w:sz w:val="29"/>
          <w:szCs w:val="29"/>
        </w:rPr>
      </w:pPr>
      <w:bookmarkStart w:name="bookmark91" w:id="28"/>
      <w:bookmarkEnd w:id="28"/>
      <w:r>
        <w:rPr>
          <w:sz w:val="29"/>
          <w:szCs w:val="29"/>
          <w:spacing w:val="6"/>
        </w:rPr>
        <w:t>(6)必须按规定的造型进行修剪，不允许随意改动造型。</w:t>
      </w:r>
    </w:p>
    <w:p>
      <w:pPr>
        <w:spacing w:before="160" w:line="226" w:lineRule="auto"/>
        <w:outlineLvl w:val="1"/>
        <w:rPr>
          <w:rFonts w:ascii="SimHei" w:hAnsi="SimHei" w:eastAsia="SimHei" w:cs="SimHei"/>
          <w:sz w:val="28"/>
          <w:szCs w:val="28"/>
        </w:rPr>
      </w:pPr>
      <w:bookmarkStart w:name="bookmark16" w:id="29"/>
      <w:bookmarkEnd w:id="29"/>
      <w:r>
        <w:rPr>
          <w:rFonts w:ascii="SimHei" w:hAnsi="SimHei" w:eastAsia="SimHei" w:cs="SimHei"/>
          <w:sz w:val="28"/>
          <w:szCs w:val="28"/>
          <w:spacing w:val="-1"/>
        </w:rPr>
        <w:t>三</w:t>
      </w:r>
      <w:r>
        <w:rPr>
          <w:rFonts w:ascii="SimHei" w:hAnsi="SimHei" w:eastAsia="SimHei" w:cs="SimHei"/>
          <w:sz w:val="28"/>
          <w:szCs w:val="28"/>
          <w:spacing w:val="-66"/>
        </w:rPr>
        <w:t xml:space="preserve"> </w:t>
      </w:r>
      <w:r>
        <w:rPr>
          <w:rFonts w:ascii="SimHei" w:hAnsi="SimHei" w:eastAsia="SimHei" w:cs="SimHei"/>
          <w:sz w:val="28"/>
          <w:szCs w:val="28"/>
          <w:spacing w:val="-1"/>
        </w:rPr>
        <w:t>、施肥</w:t>
      </w:r>
    </w:p>
    <w:p>
      <w:pPr>
        <w:pStyle w:val="BodyText"/>
        <w:ind w:right="7" w:firstLine="600"/>
        <w:spacing w:before="139" w:line="321" w:lineRule="auto"/>
        <w:jc w:val="both"/>
        <w:rPr>
          <w:sz w:val="29"/>
          <w:szCs w:val="29"/>
        </w:rPr>
      </w:pPr>
      <w:r>
        <w:rPr>
          <w:sz w:val="29"/>
          <w:szCs w:val="29"/>
          <w:spacing w:val="-17"/>
        </w:rPr>
        <w:t>常用肥料有：有机肥、速溶性复合肥、有机无机复合肥、长效有机肥、磷肥、钾</w:t>
      </w:r>
      <w:r>
        <w:rPr>
          <w:sz w:val="29"/>
          <w:szCs w:val="29"/>
          <w:spacing w:val="5"/>
        </w:rPr>
        <w:t xml:space="preserve"> </w:t>
      </w:r>
      <w:r>
        <w:rPr>
          <w:sz w:val="29"/>
          <w:szCs w:val="29"/>
          <w:spacing w:val="-8"/>
        </w:rPr>
        <w:t>肥、磷钾肥、控释肥、缓释肥、中微量元素肥、叶面肥等，再场须根据苗木实际情</w:t>
      </w:r>
      <w:r>
        <w:rPr>
          <w:sz w:val="29"/>
          <w:szCs w:val="29"/>
        </w:rPr>
        <w:t xml:space="preserve"> </w:t>
      </w:r>
      <w:r>
        <w:rPr>
          <w:sz w:val="29"/>
          <w:szCs w:val="29"/>
        </w:rPr>
        <w:t>况灵活应用。</w:t>
      </w:r>
    </w:p>
    <w:p>
      <w:pPr>
        <w:pStyle w:val="BodyText"/>
        <w:spacing w:before="18" w:line="222"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施肥原则</w:t>
      </w:r>
    </w:p>
    <w:p>
      <w:pPr>
        <w:pStyle w:val="BodyText"/>
        <w:ind w:right="16" w:firstLine="730"/>
        <w:spacing w:before="127" w:line="315" w:lineRule="auto"/>
        <w:jc w:val="both"/>
        <w:rPr>
          <w:sz w:val="29"/>
          <w:szCs w:val="29"/>
        </w:rPr>
      </w:pPr>
      <w:r>
        <w:rPr>
          <w:sz w:val="29"/>
          <w:szCs w:val="29"/>
        </w:rPr>
        <w:t>①   施用的肥料种类应视树种、生长期及观赏特性等不同要求而</w:t>
      </w:r>
      <w:r>
        <w:rPr>
          <w:sz w:val="29"/>
          <w:szCs w:val="29"/>
          <w:spacing w:val="-1"/>
        </w:rPr>
        <w:t>定，常规</w:t>
      </w:r>
      <w:r>
        <w:rPr>
          <w:sz w:val="29"/>
          <w:szCs w:val="29"/>
        </w:rPr>
        <w:t xml:space="preserve"> </w:t>
      </w:r>
      <w:r>
        <w:rPr>
          <w:sz w:val="29"/>
          <w:szCs w:val="29"/>
        </w:rPr>
        <w:t>施肥除治疗一些缺素病外，施用无机肥主要以适于植</w:t>
      </w:r>
      <w:r>
        <w:rPr>
          <w:sz w:val="29"/>
          <w:szCs w:val="29"/>
          <w:spacing w:val="-1"/>
        </w:rPr>
        <w:t>物生长及易于长时间维持景</w:t>
      </w:r>
      <w:r>
        <w:rPr>
          <w:sz w:val="29"/>
          <w:szCs w:val="29"/>
        </w:rPr>
        <w:t xml:space="preserve"> </w:t>
      </w:r>
      <w:r>
        <w:rPr>
          <w:sz w:val="29"/>
          <w:szCs w:val="29"/>
          <w:spacing w:val="1"/>
        </w:rPr>
        <w:t>观效果的复合配方为主，有机肥与无机肥根据植物现</w:t>
      </w:r>
      <w:r>
        <w:rPr>
          <w:sz w:val="29"/>
          <w:szCs w:val="29"/>
        </w:rPr>
        <w:t>实需要交替使用；</w:t>
      </w:r>
    </w:p>
    <w:p>
      <w:pPr>
        <w:pStyle w:val="BodyText"/>
        <w:ind w:right="17" w:firstLine="730"/>
        <w:spacing w:before="1" w:line="314" w:lineRule="auto"/>
        <w:rPr>
          <w:sz w:val="29"/>
          <w:szCs w:val="29"/>
        </w:rPr>
      </w:pPr>
      <w:r>
        <w:rPr>
          <w:sz w:val="29"/>
          <w:szCs w:val="29"/>
          <w:spacing w:val="4"/>
        </w:rPr>
        <w:t>0   观花地被在孕蕾期前及花期后可进行肥料补充，主要是磷钾肥或有机 </w:t>
      </w:r>
      <w:r>
        <w:rPr>
          <w:sz w:val="29"/>
          <w:szCs w:val="29"/>
          <w:spacing w:val="-15"/>
        </w:rPr>
        <w:t>类肥料；</w:t>
      </w:r>
    </w:p>
    <w:p>
      <w:pPr>
        <w:pStyle w:val="BodyText"/>
        <w:ind w:right="65" w:firstLine="730"/>
        <w:spacing w:before="4" w:line="313" w:lineRule="auto"/>
        <w:tabs>
          <w:tab w:val="left" w:pos="178"/>
        </w:tabs>
        <w:jc w:val="both"/>
        <w:rPr>
          <w:sz w:val="29"/>
          <w:szCs w:val="29"/>
        </w:rPr>
      </w:pPr>
      <w:r>
        <w:rPr>
          <w:sz w:val="29"/>
          <w:szCs w:val="29"/>
          <w:spacing w:val="-2"/>
        </w:rPr>
        <w:t>③   施肥后用扫把等拍打叶片，将易留存肥料的植物轻轻拍下残留的肥料</w:t>
      </w:r>
      <w:r>
        <w:rPr>
          <w:sz w:val="29"/>
          <w:szCs w:val="29"/>
          <w:spacing w:val="12"/>
        </w:rPr>
        <w:t xml:space="preserve"> </w:t>
      </w:r>
      <w:r>
        <w:rPr>
          <w:sz w:val="29"/>
          <w:szCs w:val="29"/>
        </w:rPr>
        <w:tab/>
      </w:r>
      <w:r>
        <w:rPr>
          <w:sz w:val="29"/>
          <w:szCs w:val="29"/>
          <w:spacing w:val="6"/>
        </w:rPr>
        <w:t>(叶腋接住肥料后不易掉下的植物需要蹲下单棵追肥),并马上浇水以避免</w:t>
      </w:r>
      <w:r>
        <w:rPr>
          <w:sz w:val="29"/>
          <w:szCs w:val="29"/>
          <w:spacing w:val="5"/>
        </w:rPr>
        <w:t>造成</w:t>
      </w:r>
      <w:r>
        <w:rPr>
          <w:sz w:val="29"/>
          <w:szCs w:val="29"/>
        </w:rPr>
        <w:t xml:space="preserve"> </w:t>
      </w:r>
      <w:r>
        <w:rPr>
          <w:sz w:val="29"/>
          <w:szCs w:val="29"/>
          <w:spacing w:val="-4"/>
        </w:rPr>
        <w:t>肥害。</w:t>
      </w:r>
    </w:p>
    <w:p>
      <w:pPr>
        <w:spacing w:before="85" w:line="223" w:lineRule="auto"/>
        <w:rPr>
          <w:rFonts w:ascii="SimHei" w:hAnsi="SimHei" w:eastAsia="SimHei" w:cs="SimHei"/>
          <w:sz w:val="28"/>
          <w:szCs w:val="28"/>
        </w:rPr>
      </w:pPr>
      <w:r>
        <w:rPr>
          <w:rFonts w:ascii="SimHei" w:hAnsi="SimHei" w:eastAsia="SimHei" w:cs="SimHei"/>
          <w:sz w:val="28"/>
          <w:szCs w:val="28"/>
          <w:spacing w:val="14"/>
        </w:rPr>
        <w:t>2、施肥时间</w:t>
      </w:r>
    </w:p>
    <w:p>
      <w:pPr>
        <w:pStyle w:val="BodyText"/>
        <w:ind w:right="12" w:firstLine="600"/>
        <w:spacing w:before="121" w:line="298" w:lineRule="auto"/>
        <w:rPr>
          <w:sz w:val="29"/>
          <w:szCs w:val="29"/>
        </w:rPr>
      </w:pPr>
      <w:r>
        <w:rPr>
          <w:sz w:val="29"/>
          <w:szCs w:val="29"/>
          <w:spacing w:val="-9"/>
        </w:rPr>
        <w:t>应根据土质、天气、生长情况、植物特性、特殊区域及栽植环境等因素合理安</w:t>
      </w:r>
      <w:r>
        <w:rPr>
          <w:sz w:val="29"/>
          <w:szCs w:val="29"/>
          <w:spacing w:val="1"/>
        </w:rPr>
        <w:t xml:space="preserve"> </w:t>
      </w:r>
      <w:r>
        <w:rPr>
          <w:sz w:val="29"/>
          <w:szCs w:val="29"/>
        </w:rPr>
        <w:t>排施肥时间。</w:t>
      </w:r>
    </w:p>
    <w:p>
      <w:pPr>
        <w:pStyle w:val="BodyText"/>
        <w:ind w:right="14" w:firstLine="730"/>
        <w:spacing w:before="4" w:line="301" w:lineRule="auto"/>
        <w:rPr>
          <w:sz w:val="29"/>
          <w:szCs w:val="29"/>
        </w:rPr>
      </w:pPr>
      <w:r>
        <w:rPr>
          <w:sz w:val="29"/>
          <w:szCs w:val="29"/>
          <w:spacing w:val="3"/>
        </w:rPr>
        <w:t>(1)地被植物在12—2月内可施有机肥</w:t>
      </w:r>
      <w:r>
        <w:rPr>
          <w:sz w:val="29"/>
          <w:szCs w:val="29"/>
          <w:spacing w:val="2"/>
        </w:rPr>
        <w:t>一次，每次施肥15—30</w:t>
      </w:r>
      <w:r>
        <w:rPr>
          <w:rFonts w:ascii="Times New Roman" w:hAnsi="Times New Roman" w:eastAsia="Times New Roman" w:cs="Times New Roman"/>
          <w:sz w:val="29"/>
          <w:szCs w:val="29"/>
          <w:spacing w:val="2"/>
        </w:rPr>
        <w:t>g/m²;  </w:t>
      </w:r>
      <w:r>
        <w:rPr>
          <w:sz w:val="29"/>
          <w:szCs w:val="29"/>
          <w:spacing w:val="2"/>
        </w:rPr>
        <w:t>在3—11</w:t>
      </w:r>
      <w:r>
        <w:rPr>
          <w:sz w:val="29"/>
          <w:szCs w:val="29"/>
        </w:rPr>
        <w:t xml:space="preserve"> </w:t>
      </w:r>
      <w:r>
        <w:rPr>
          <w:sz w:val="29"/>
          <w:szCs w:val="29"/>
          <w:spacing w:val="1"/>
        </w:rPr>
        <w:t>月生长期，每2个月施肥一次，每次8—15</w:t>
      </w:r>
      <w:r>
        <w:rPr>
          <w:rFonts w:ascii="Times New Roman" w:hAnsi="Times New Roman" w:eastAsia="Times New Roman" w:cs="Times New Roman"/>
          <w:sz w:val="29"/>
          <w:szCs w:val="29"/>
          <w:spacing w:val="1"/>
        </w:rPr>
        <w:t>g/m²;   </w:t>
      </w:r>
      <w:r>
        <w:rPr>
          <w:sz w:val="29"/>
          <w:szCs w:val="29"/>
          <w:spacing w:val="1"/>
        </w:rPr>
        <w:t>观花的地被植</w:t>
      </w:r>
      <w:r>
        <w:rPr>
          <w:sz w:val="29"/>
          <w:szCs w:val="29"/>
        </w:rPr>
        <w:t>物在花期前施一次 </w:t>
      </w:r>
      <w:r>
        <w:rPr>
          <w:sz w:val="29"/>
          <w:szCs w:val="29"/>
        </w:rPr>
        <w:t>营养肥，花期后施一次复壮肥以有机、无机复合肥为宜，每次15—25</w:t>
      </w:r>
      <w:r>
        <w:rPr>
          <w:rFonts w:ascii="Times New Roman" w:hAnsi="Times New Roman" w:eastAsia="Times New Roman" w:cs="Times New Roman"/>
          <w:sz w:val="29"/>
          <w:szCs w:val="29"/>
        </w:rPr>
        <w:t>g/m²;10   </w:t>
      </w:r>
      <w:r>
        <w:rPr>
          <w:sz w:val="29"/>
          <w:szCs w:val="29"/>
        </w:rPr>
        <w:t>月</w:t>
      </w:r>
      <w:r>
        <w:rPr>
          <w:sz w:val="29"/>
          <w:szCs w:val="29"/>
          <w:spacing w:val="4"/>
        </w:rPr>
        <w:t xml:space="preserve"> </w:t>
      </w:r>
      <w:r>
        <w:rPr>
          <w:sz w:val="29"/>
          <w:szCs w:val="29"/>
        </w:rPr>
        <w:t>可对生长旺盛的植物施用一次磷钾肥，以促进</w:t>
      </w:r>
      <w:r>
        <w:rPr>
          <w:sz w:val="29"/>
          <w:szCs w:val="29"/>
          <w:spacing w:val="-1"/>
        </w:rPr>
        <w:t>新枝木质化增强抗逆性，防止在冬</w:t>
      </w:r>
      <w:r>
        <w:rPr>
          <w:sz w:val="29"/>
          <w:szCs w:val="29"/>
        </w:rPr>
        <w:t xml:space="preserve"> </w:t>
      </w:r>
      <w:r>
        <w:rPr>
          <w:sz w:val="29"/>
          <w:szCs w:val="29"/>
          <w:spacing w:val="-7"/>
        </w:rPr>
        <w:t>季发生冻害；</w:t>
      </w:r>
    </w:p>
    <w:p>
      <w:pPr>
        <w:pStyle w:val="BodyText"/>
        <w:ind w:right="15" w:firstLine="730"/>
        <w:spacing w:before="135" w:line="265" w:lineRule="auto"/>
        <w:rPr>
          <w:sz w:val="29"/>
          <w:szCs w:val="29"/>
        </w:rPr>
      </w:pPr>
      <w:r>
        <w:rPr>
          <w:sz w:val="29"/>
          <w:szCs w:val="29"/>
          <w:spacing w:val="8"/>
        </w:rPr>
        <w:t>(2)在春季解除休眠后追施高氮、低磷、中钾类复合肥1—2次有利于及早</w:t>
      </w:r>
      <w:r>
        <w:rPr>
          <w:sz w:val="29"/>
          <w:szCs w:val="29"/>
          <w:spacing w:val="15"/>
        </w:rPr>
        <w:t xml:space="preserve"> </w:t>
      </w:r>
      <w:r>
        <w:rPr>
          <w:sz w:val="29"/>
          <w:szCs w:val="29"/>
          <w:spacing w:val="1"/>
        </w:rPr>
        <w:t>恢复景观效果，景观效果恢复之后以撒施成品有机肥为</w:t>
      </w:r>
      <w:r>
        <w:rPr>
          <w:sz w:val="29"/>
          <w:szCs w:val="29"/>
        </w:rPr>
        <w:t>主；</w:t>
      </w:r>
    </w:p>
    <w:p>
      <w:pPr>
        <w:pStyle w:val="BodyText"/>
        <w:ind w:firstLine="730"/>
        <w:spacing w:before="158" w:line="279" w:lineRule="auto"/>
        <w:rPr>
          <w:sz w:val="29"/>
          <w:szCs w:val="29"/>
        </w:rPr>
      </w:pPr>
      <w:r>
        <w:rPr>
          <w:sz w:val="29"/>
          <w:szCs w:val="29"/>
          <w:spacing w:val="9"/>
        </w:rPr>
        <w:t>(3)夏季至中秋主要撒施成品有机肥。晚秋休眠前</w:t>
      </w:r>
      <w:r>
        <w:rPr>
          <w:sz w:val="29"/>
          <w:szCs w:val="29"/>
          <w:spacing w:val="8"/>
        </w:rPr>
        <w:t>施用有机肥或高磷钾复</w:t>
      </w:r>
      <w:r>
        <w:rPr>
          <w:sz w:val="29"/>
          <w:szCs w:val="29"/>
        </w:rPr>
        <w:t xml:space="preserve"> </w:t>
      </w:r>
      <w:r>
        <w:rPr>
          <w:sz w:val="29"/>
          <w:szCs w:val="29"/>
          <w:spacing w:val="5"/>
        </w:rPr>
        <w:t>合肥增强冬季抗逆性，以利于春季景观效果的更好体</w:t>
      </w:r>
      <w:r>
        <w:rPr>
          <w:sz w:val="29"/>
          <w:szCs w:val="29"/>
          <w:spacing w:val="4"/>
        </w:rPr>
        <w:t>现。地被生长期施肥每月1</w:t>
      </w:r>
      <w:r>
        <w:rPr>
          <w:sz w:val="29"/>
          <w:szCs w:val="29"/>
        </w:rPr>
        <w:t xml:space="preserve"> </w:t>
      </w:r>
      <w:r>
        <w:rPr>
          <w:sz w:val="29"/>
          <w:szCs w:val="29"/>
          <w:spacing w:val="-10"/>
        </w:rPr>
        <w:t>次；</w:t>
      </w:r>
    </w:p>
    <w:p>
      <w:pPr>
        <w:pStyle w:val="BodyText"/>
        <w:ind w:left="730"/>
        <w:spacing w:before="174" w:line="219" w:lineRule="auto"/>
        <w:rPr>
          <w:sz w:val="29"/>
          <w:szCs w:val="29"/>
        </w:rPr>
      </w:pPr>
      <w:r>
        <w:rPr>
          <w:sz w:val="29"/>
          <w:szCs w:val="29"/>
          <w:spacing w:val="14"/>
        </w:rPr>
        <w:t>(4)休眠期禁止施肥。</w:t>
      </w:r>
    </w:p>
    <w:p>
      <w:pPr>
        <w:spacing w:before="145" w:line="222" w:lineRule="auto"/>
        <w:rPr>
          <w:rFonts w:ascii="SimHei" w:hAnsi="SimHei" w:eastAsia="SimHei" w:cs="SimHei"/>
          <w:sz w:val="28"/>
          <w:szCs w:val="28"/>
        </w:rPr>
      </w:pPr>
      <w:r>
        <w:rPr>
          <w:rFonts w:ascii="SimHei" w:hAnsi="SimHei" w:eastAsia="SimHei" w:cs="SimHei"/>
          <w:sz w:val="28"/>
          <w:szCs w:val="28"/>
          <w:spacing w:val="16"/>
        </w:rPr>
        <w:t>3、注意事项</w:t>
      </w:r>
    </w:p>
    <w:p>
      <w:pPr>
        <w:pStyle w:val="BodyText"/>
        <w:ind w:right="84" w:firstLine="730"/>
        <w:spacing w:before="142" w:line="270" w:lineRule="auto"/>
        <w:rPr>
          <w:sz w:val="29"/>
          <w:szCs w:val="29"/>
        </w:rPr>
      </w:pPr>
      <w:r>
        <w:rPr>
          <w:sz w:val="29"/>
          <w:szCs w:val="29"/>
          <w:spacing w:val="-9"/>
        </w:rPr>
        <w:t>①</w:t>
      </w:r>
      <w:r>
        <w:rPr>
          <w:sz w:val="29"/>
          <w:szCs w:val="29"/>
          <w:spacing w:val="36"/>
        </w:rPr>
        <w:t xml:space="preserve">  </w:t>
      </w:r>
      <w:r>
        <w:rPr>
          <w:sz w:val="29"/>
          <w:szCs w:val="29"/>
          <w:spacing w:val="-9"/>
        </w:rPr>
        <w:t>施肥宜在晴天撒施，施完后马上浇水以溶解肥料。如选择降雨前追肥，</w:t>
      </w:r>
      <w:r>
        <w:rPr>
          <w:sz w:val="29"/>
          <w:szCs w:val="29"/>
        </w:rPr>
        <w:t xml:space="preserve"> </w:t>
      </w:r>
      <w:r>
        <w:rPr>
          <w:sz w:val="29"/>
          <w:szCs w:val="29"/>
          <w:spacing w:val="-8"/>
        </w:rPr>
        <w:t>当天未降雨或降雨量较少时要马上补水；</w:t>
      </w:r>
    </w:p>
    <w:p>
      <w:pPr>
        <w:pStyle w:val="BodyText"/>
        <w:ind w:right="13" w:firstLine="730"/>
        <w:spacing w:before="122" w:line="286" w:lineRule="auto"/>
        <w:rPr>
          <w:sz w:val="29"/>
          <w:szCs w:val="29"/>
        </w:rPr>
      </w:pPr>
      <w:r>
        <w:rPr>
          <w:sz w:val="29"/>
          <w:szCs w:val="29"/>
          <w:spacing w:val="4"/>
        </w:rPr>
        <w:t>②  在根部施肥结合喷施叶面肥，叶面肥喷施除缺乏一些中微量元素单独</w:t>
      </w:r>
      <w:r>
        <w:rPr>
          <w:sz w:val="29"/>
          <w:szCs w:val="29"/>
          <w:spacing w:val="13"/>
        </w:rPr>
        <w:t xml:space="preserve"> </w:t>
      </w:r>
      <w:r>
        <w:rPr>
          <w:sz w:val="29"/>
          <w:szCs w:val="29"/>
          <w:spacing w:val="-8"/>
        </w:rPr>
        <w:t>喷施外，另外可与很多中性或酸性杀虫杀菌药混合喷施；对不了解的配方喷施前须</w:t>
      </w:r>
      <w:r>
        <w:rPr>
          <w:sz w:val="29"/>
          <w:szCs w:val="29"/>
          <w:spacing w:val="1"/>
        </w:rPr>
        <w:t xml:space="preserve"> </w:t>
      </w:r>
      <w:r>
        <w:rPr>
          <w:sz w:val="29"/>
          <w:szCs w:val="29"/>
        </w:rPr>
        <w:t>先做各植物品种小区实验，20天以后经观察无不良反应再使用；</w:t>
      </w:r>
    </w:p>
    <w:p>
      <w:pPr>
        <w:spacing w:line="286" w:lineRule="auto"/>
        <w:sectPr>
          <w:footerReference w:type="default" r:id="rId145"/>
          <w:pgSz w:w="14490" w:h="20470"/>
          <w:pgMar w:top="1739" w:right="2170" w:bottom="1395" w:left="2150" w:header="0" w:footer="1233" w:gutter="0"/>
        </w:sectPr>
        <w:rPr>
          <w:sz w:val="29"/>
          <w:szCs w:val="29"/>
        </w:rPr>
      </w:pPr>
    </w:p>
    <w:p>
      <w:pPr>
        <w:pStyle w:val="BodyText"/>
        <w:ind w:left="720"/>
        <w:spacing w:before="118" w:line="217" w:lineRule="auto"/>
        <w:rPr>
          <w:sz w:val="29"/>
          <w:szCs w:val="29"/>
        </w:rPr>
      </w:pPr>
      <w:bookmarkStart w:name="bookmark92" w:id="30"/>
      <w:bookmarkEnd w:id="30"/>
      <w:r>
        <w:rPr>
          <w:sz w:val="29"/>
          <w:szCs w:val="29"/>
          <w:spacing w:val="-5"/>
        </w:rPr>
        <w:t>③</w:t>
      </w:r>
      <w:r>
        <w:rPr>
          <w:sz w:val="29"/>
          <w:szCs w:val="29"/>
          <w:spacing w:val="36"/>
        </w:rPr>
        <w:t xml:space="preserve">  </w:t>
      </w:r>
      <w:r>
        <w:rPr>
          <w:sz w:val="29"/>
          <w:szCs w:val="29"/>
          <w:spacing w:val="-5"/>
        </w:rPr>
        <w:t>施肥时间应在15:00以后进行施肥，并同时</w:t>
      </w:r>
      <w:r>
        <w:rPr>
          <w:sz w:val="29"/>
          <w:szCs w:val="29"/>
          <w:spacing w:val="-6"/>
        </w:rPr>
        <w:t>浇水以避免造成灼伤；</w:t>
      </w:r>
    </w:p>
    <w:p>
      <w:pPr>
        <w:pStyle w:val="BodyText"/>
        <w:ind w:left="720"/>
        <w:spacing w:before="159" w:line="217" w:lineRule="auto"/>
        <w:rPr>
          <w:sz w:val="29"/>
          <w:szCs w:val="29"/>
        </w:rPr>
      </w:pPr>
      <w:r>
        <w:rPr>
          <w:sz w:val="29"/>
          <w:szCs w:val="29"/>
          <w:spacing w:val="1"/>
        </w:rPr>
        <w:t>④  施肥一般在修剪后一两天进行，一般不在修剪前和</w:t>
      </w:r>
      <w:r>
        <w:rPr>
          <w:sz w:val="29"/>
          <w:szCs w:val="29"/>
        </w:rPr>
        <w:t>刚修剪完施肥；</w:t>
      </w:r>
    </w:p>
    <w:p>
      <w:pPr>
        <w:pStyle w:val="BodyText"/>
        <w:ind w:left="720"/>
        <w:spacing w:before="149" w:line="217" w:lineRule="auto"/>
        <w:rPr>
          <w:sz w:val="29"/>
          <w:szCs w:val="29"/>
        </w:rPr>
      </w:pPr>
      <w:r>
        <w:rPr>
          <w:sz w:val="29"/>
          <w:szCs w:val="29"/>
          <w:spacing w:val="-2"/>
        </w:rPr>
        <w:t>⑤</w:t>
      </w:r>
      <w:r>
        <w:rPr>
          <w:sz w:val="29"/>
          <w:szCs w:val="29"/>
          <w:spacing w:val="40"/>
        </w:rPr>
        <w:t xml:space="preserve">  </w:t>
      </w:r>
      <w:r>
        <w:rPr>
          <w:sz w:val="29"/>
          <w:szCs w:val="29"/>
          <w:spacing w:val="-2"/>
        </w:rPr>
        <w:t>施肥方法为撒施，施肥要均匀适量，无烧苗现象。</w:t>
      </w:r>
    </w:p>
    <w:p>
      <w:pPr>
        <w:spacing w:before="129" w:line="221" w:lineRule="auto"/>
        <w:outlineLvl w:val="1"/>
        <w:rPr>
          <w:rFonts w:ascii="SimHei" w:hAnsi="SimHei" w:eastAsia="SimHei" w:cs="SimHei"/>
          <w:sz w:val="29"/>
          <w:szCs w:val="29"/>
        </w:rPr>
      </w:pPr>
      <w:bookmarkStart w:name="bookmark17" w:id="31"/>
      <w:bookmarkEnd w:id="31"/>
      <w:r>
        <w:rPr>
          <w:rFonts w:ascii="SimHei" w:hAnsi="SimHei" w:eastAsia="SimHei" w:cs="SimHei"/>
          <w:sz w:val="29"/>
          <w:szCs w:val="29"/>
          <w:spacing w:val="-13"/>
        </w:rPr>
        <w:t>四</w:t>
      </w:r>
      <w:r>
        <w:rPr>
          <w:rFonts w:ascii="SimHei" w:hAnsi="SimHei" w:eastAsia="SimHei" w:cs="SimHei"/>
          <w:sz w:val="29"/>
          <w:szCs w:val="29"/>
          <w:spacing w:val="-69"/>
        </w:rPr>
        <w:t xml:space="preserve"> </w:t>
      </w:r>
      <w:r>
        <w:rPr>
          <w:rFonts w:ascii="SimHei" w:hAnsi="SimHei" w:eastAsia="SimHei" w:cs="SimHei"/>
          <w:sz w:val="29"/>
          <w:szCs w:val="29"/>
          <w:spacing w:val="-13"/>
        </w:rPr>
        <w:t>、除杂草</w:t>
      </w:r>
    </w:p>
    <w:p>
      <w:pPr>
        <w:pStyle w:val="BodyText"/>
        <w:ind w:left="590"/>
        <w:spacing w:before="165" w:line="219" w:lineRule="auto"/>
        <w:rPr>
          <w:sz w:val="29"/>
          <w:szCs w:val="29"/>
        </w:rPr>
      </w:pPr>
      <w:r>
        <w:rPr>
          <w:rFonts w:ascii="Times New Roman" w:hAnsi="Times New Roman" w:eastAsia="Times New Roman" w:cs="Times New Roman"/>
          <w:sz w:val="29"/>
          <w:szCs w:val="29"/>
          <w:spacing w:val="-5"/>
        </w:rPr>
        <w:t>1</w:t>
      </w:r>
      <w:r>
        <w:rPr>
          <w:rFonts w:ascii="Times New Roman" w:hAnsi="Times New Roman" w:eastAsia="Times New Roman" w:cs="Times New Roman"/>
          <w:sz w:val="29"/>
          <w:szCs w:val="29"/>
          <w:spacing w:val="-39"/>
        </w:rPr>
        <w:t xml:space="preserve"> </w:t>
      </w:r>
      <w:r>
        <w:rPr>
          <w:sz w:val="29"/>
          <w:szCs w:val="29"/>
          <w:spacing w:val="-5"/>
        </w:rPr>
        <w:t>、地被中有杂草时须及时人工除草；</w:t>
      </w:r>
    </w:p>
    <w:p>
      <w:pPr>
        <w:pStyle w:val="BodyText"/>
        <w:ind w:right="21" w:firstLine="590"/>
        <w:spacing w:before="133" w:line="279" w:lineRule="auto"/>
        <w:rPr>
          <w:sz w:val="29"/>
          <w:szCs w:val="29"/>
        </w:rPr>
      </w:pPr>
      <w:r>
        <w:rPr>
          <w:rFonts w:ascii="Times New Roman" w:hAnsi="Times New Roman" w:eastAsia="Times New Roman" w:cs="Times New Roman"/>
          <w:sz w:val="29"/>
          <w:szCs w:val="29"/>
          <w:spacing w:val="3"/>
        </w:rPr>
        <w:t>2</w:t>
      </w:r>
      <w:r>
        <w:rPr>
          <w:rFonts w:ascii="Times New Roman" w:hAnsi="Times New Roman" w:eastAsia="Times New Roman" w:cs="Times New Roman"/>
          <w:sz w:val="29"/>
          <w:szCs w:val="29"/>
          <w:spacing w:val="-41"/>
        </w:rPr>
        <w:t xml:space="preserve"> </w:t>
      </w:r>
      <w:r>
        <w:rPr>
          <w:sz w:val="29"/>
          <w:szCs w:val="29"/>
          <w:spacing w:val="3"/>
        </w:rPr>
        <w:t>、除杂草要除早、除小、除彻底。还可以利用除草剂化学除草，阔叶</w:t>
      </w:r>
      <w:r>
        <w:rPr>
          <w:sz w:val="29"/>
          <w:szCs w:val="29"/>
          <w:spacing w:val="2"/>
        </w:rPr>
        <w:t>草用</w:t>
      </w:r>
      <w:r>
        <w:rPr>
          <w:sz w:val="29"/>
          <w:szCs w:val="29"/>
        </w:rPr>
        <w:t xml:space="preserve"> </w:t>
      </w:r>
      <w:r>
        <w:rPr>
          <w:sz w:val="29"/>
          <w:szCs w:val="29"/>
          <w:spacing w:val="-9"/>
        </w:rPr>
        <w:t>阔叶除草剂、针叶草用针叶草除草剂，在使用除草剂时要注意药物对地被植物的影</w:t>
      </w:r>
      <w:r>
        <w:rPr>
          <w:sz w:val="29"/>
          <w:szCs w:val="29"/>
          <w:spacing w:val="5"/>
        </w:rPr>
        <w:t xml:space="preserve"> </w:t>
      </w:r>
      <w:r>
        <w:rPr>
          <w:sz w:val="29"/>
          <w:szCs w:val="29"/>
        </w:rPr>
        <w:t>响。建议在小草期用合适的剂量无露水时，小范围试验安全后使用；</w:t>
      </w:r>
    </w:p>
    <w:p>
      <w:pPr>
        <w:pStyle w:val="BodyText"/>
        <w:ind w:left="590"/>
        <w:spacing w:before="188" w:line="209" w:lineRule="auto"/>
        <w:rPr>
          <w:sz w:val="29"/>
          <w:szCs w:val="29"/>
        </w:rPr>
      </w:pPr>
      <w:r>
        <w:rPr>
          <w:rFonts w:ascii="Times New Roman" w:hAnsi="Times New Roman" w:eastAsia="Times New Roman" w:cs="Times New Roman"/>
          <w:sz w:val="29"/>
          <w:szCs w:val="29"/>
        </w:rPr>
        <w:t>3</w:t>
      </w:r>
      <w:r>
        <w:rPr>
          <w:rFonts w:ascii="Times New Roman" w:hAnsi="Times New Roman" w:eastAsia="Times New Roman" w:cs="Times New Roman"/>
          <w:sz w:val="29"/>
          <w:szCs w:val="29"/>
          <w:spacing w:val="-29"/>
        </w:rPr>
        <w:t xml:space="preserve"> </w:t>
      </w:r>
      <w:r>
        <w:rPr>
          <w:sz w:val="29"/>
          <w:szCs w:val="29"/>
        </w:rPr>
        <w:t>、地被植物每平方米杂草在3根以下，没有高出地被植物的杂草。</w:t>
      </w:r>
    </w:p>
    <w:p>
      <w:pPr>
        <w:ind w:firstLine="5100"/>
        <w:spacing w:line="3270" w:lineRule="exact"/>
        <w:rPr/>
      </w:pPr>
      <w:r>
        <w:drawing>
          <wp:anchor distT="0" distB="0" distL="0" distR="0" simplePos="0" relativeHeight="251825152" behindDoc="0" locked="0" layoutInCell="1" allowOverlap="1">
            <wp:simplePos x="0" y="0"/>
            <wp:positionH relativeFrom="column">
              <wp:posOffset>457205</wp:posOffset>
            </wp:positionH>
            <wp:positionV relativeFrom="paragraph">
              <wp:posOffset>6369</wp:posOffset>
            </wp:positionV>
            <wp:extent cx="2717743" cy="2070132"/>
            <wp:effectExtent l="0" t="0" r="0" b="0"/>
            <wp:wrapNone/>
            <wp:docPr id="204" name="IM 204"/>
            <wp:cNvGraphicFramePr/>
            <a:graphic>
              <a:graphicData uri="http://schemas.openxmlformats.org/drawingml/2006/picture">
                <pic:pic>
                  <pic:nvPicPr>
                    <pic:cNvPr id="204" name="IM 204"/>
                    <pic:cNvPicPr/>
                  </pic:nvPicPr>
                  <pic:blipFill>
                    <a:blip r:embed="rId147"/>
                    <a:stretch>
                      <a:fillRect/>
                    </a:stretch>
                  </pic:blipFill>
                  <pic:spPr>
                    <a:xfrm rot="0">
                      <a:off x="0" y="0"/>
                      <a:ext cx="2717743" cy="2070132"/>
                    </a:xfrm>
                    <a:prstGeom prst="rect">
                      <a:avLst/>
                    </a:prstGeom>
                  </pic:spPr>
                </pic:pic>
              </a:graphicData>
            </a:graphic>
          </wp:anchor>
        </w:drawing>
      </w:r>
      <w:r>
        <w:rPr>
          <w:position w:val="-65"/>
        </w:rPr>
        <w:drawing>
          <wp:inline distT="0" distB="0" distL="0" distR="0">
            <wp:extent cx="2724091" cy="2076501"/>
            <wp:effectExtent l="0" t="0" r="0" b="0"/>
            <wp:docPr id="206" name="IM 206"/>
            <wp:cNvGraphicFramePr/>
            <a:graphic>
              <a:graphicData uri="http://schemas.openxmlformats.org/drawingml/2006/picture">
                <pic:pic>
                  <pic:nvPicPr>
                    <pic:cNvPr id="206" name="IM 206"/>
                    <pic:cNvPicPr/>
                  </pic:nvPicPr>
                  <pic:blipFill>
                    <a:blip r:embed="rId148"/>
                    <a:stretch>
                      <a:fillRect/>
                    </a:stretch>
                  </pic:blipFill>
                  <pic:spPr>
                    <a:xfrm rot="0">
                      <a:off x="0" y="0"/>
                      <a:ext cx="2724091" cy="2076501"/>
                    </a:xfrm>
                    <a:prstGeom prst="rect">
                      <a:avLst/>
                    </a:prstGeom>
                  </pic:spPr>
                </pic:pic>
              </a:graphicData>
            </a:graphic>
          </wp:inline>
        </w:drawing>
      </w:r>
    </w:p>
    <w:p>
      <w:pPr>
        <w:pStyle w:val="BodyText"/>
        <w:ind w:left="4420"/>
        <w:spacing w:before="11" w:line="219" w:lineRule="auto"/>
        <w:rPr>
          <w:sz w:val="27"/>
          <w:szCs w:val="27"/>
        </w:rPr>
      </w:pPr>
      <w:r>
        <w:rPr>
          <w:sz w:val="27"/>
          <w:szCs w:val="27"/>
          <w:spacing w:val="-18"/>
        </w:rPr>
        <w:t>图3-4-1除草</w:t>
      </w:r>
    </w:p>
    <w:p>
      <w:pPr>
        <w:spacing w:before="141" w:line="222" w:lineRule="auto"/>
        <w:outlineLvl w:val="1"/>
        <w:rPr>
          <w:rFonts w:ascii="SimHei" w:hAnsi="SimHei" w:eastAsia="SimHei" w:cs="SimHei"/>
          <w:sz w:val="29"/>
          <w:szCs w:val="29"/>
        </w:rPr>
      </w:pPr>
      <w:bookmarkStart w:name="bookmark18" w:id="32"/>
      <w:bookmarkEnd w:id="32"/>
      <w:r>
        <w:rPr>
          <w:rFonts w:ascii="SimHei" w:hAnsi="SimHei" w:eastAsia="SimHei" w:cs="SimHei"/>
          <w:sz w:val="29"/>
          <w:szCs w:val="29"/>
          <w:spacing w:val="2"/>
        </w:rPr>
        <w:t>五、补植</w:t>
      </w:r>
    </w:p>
    <w:p>
      <w:pPr>
        <w:pStyle w:val="BodyText"/>
        <w:ind w:left="590"/>
        <w:spacing w:before="151" w:line="219" w:lineRule="auto"/>
        <w:rPr>
          <w:sz w:val="29"/>
          <w:szCs w:val="29"/>
        </w:rPr>
      </w:pPr>
      <w:r>
        <w:rPr>
          <w:rFonts w:ascii="Times New Roman" w:hAnsi="Times New Roman" w:eastAsia="Times New Roman" w:cs="Times New Roman"/>
          <w:sz w:val="29"/>
          <w:szCs w:val="29"/>
          <w:spacing w:val="-5"/>
        </w:rPr>
        <w:t>1</w:t>
      </w:r>
      <w:r>
        <w:rPr>
          <w:rFonts w:ascii="Times New Roman" w:hAnsi="Times New Roman" w:eastAsia="Times New Roman" w:cs="Times New Roman"/>
          <w:sz w:val="29"/>
          <w:szCs w:val="29"/>
          <w:spacing w:val="-29"/>
        </w:rPr>
        <w:t xml:space="preserve"> </w:t>
      </w:r>
      <w:r>
        <w:rPr>
          <w:sz w:val="29"/>
          <w:szCs w:val="29"/>
          <w:spacing w:val="-5"/>
        </w:rPr>
        <w:t>、地被植物出现缺株或死苗要及时补植；</w:t>
      </w:r>
    </w:p>
    <w:p>
      <w:pPr>
        <w:pStyle w:val="BodyText"/>
        <w:ind w:right="63" w:firstLine="590"/>
        <w:spacing w:before="155" w:line="269" w:lineRule="auto"/>
        <w:rPr>
          <w:sz w:val="29"/>
          <w:szCs w:val="29"/>
        </w:rPr>
      </w:pPr>
      <w:r>
        <w:rPr>
          <w:rFonts w:ascii="Times New Roman" w:hAnsi="Times New Roman" w:eastAsia="Times New Roman" w:cs="Times New Roman"/>
          <w:sz w:val="29"/>
          <w:szCs w:val="29"/>
          <w:spacing w:val="2"/>
        </w:rPr>
        <w:t>2</w:t>
      </w:r>
      <w:r>
        <w:rPr>
          <w:rFonts w:ascii="Times New Roman" w:hAnsi="Times New Roman" w:eastAsia="Times New Roman" w:cs="Times New Roman"/>
          <w:sz w:val="29"/>
          <w:szCs w:val="29"/>
          <w:spacing w:val="-41"/>
        </w:rPr>
        <w:t xml:space="preserve"> </w:t>
      </w:r>
      <w:r>
        <w:rPr>
          <w:sz w:val="29"/>
          <w:szCs w:val="29"/>
          <w:spacing w:val="2"/>
        </w:rPr>
        <w:t>、补植地被植物来源：一是从市场上采购同品种</w:t>
      </w:r>
      <w:r>
        <w:rPr>
          <w:sz w:val="29"/>
          <w:szCs w:val="29"/>
          <w:spacing w:val="1"/>
        </w:rPr>
        <w:t>、同规格的苗木；二是就</w:t>
      </w:r>
      <w:r>
        <w:rPr>
          <w:sz w:val="29"/>
          <w:szCs w:val="29"/>
        </w:rPr>
        <w:t xml:space="preserve"> </w:t>
      </w:r>
      <w:r>
        <w:rPr>
          <w:sz w:val="29"/>
          <w:szCs w:val="29"/>
          <w:spacing w:val="1"/>
        </w:rPr>
        <w:t>近从小区内品种、同规格的地方间苗；三是重新拼植；</w:t>
      </w:r>
    </w:p>
    <w:p>
      <w:pPr>
        <w:pStyle w:val="BodyText"/>
        <w:ind w:left="540"/>
        <w:spacing w:before="136" w:line="219" w:lineRule="auto"/>
        <w:rPr>
          <w:sz w:val="29"/>
          <w:szCs w:val="29"/>
        </w:rPr>
      </w:pPr>
      <w:r>
        <w:rPr>
          <w:rFonts w:ascii="Times New Roman" w:hAnsi="Times New Roman" w:eastAsia="Times New Roman" w:cs="Times New Roman"/>
          <w:sz w:val="29"/>
          <w:szCs w:val="29"/>
        </w:rPr>
        <w:t>3</w:t>
      </w:r>
      <w:r>
        <w:rPr>
          <w:sz w:val="29"/>
          <w:szCs w:val="29"/>
        </w:rPr>
        <w:t>、地被苗到场24小时内补种完毕，并及时浇透水。</w:t>
      </w:r>
    </w:p>
    <w:p>
      <w:pPr>
        <w:ind w:firstLine="849"/>
        <w:spacing w:before="143" w:line="3170" w:lineRule="exact"/>
        <w:rPr/>
      </w:pPr>
      <w:r>
        <w:rPr>
          <w:position w:val="-63"/>
        </w:rPr>
        <w:drawing>
          <wp:inline distT="0" distB="0" distL="0" distR="0">
            <wp:extent cx="5518112" cy="2012939"/>
            <wp:effectExtent l="0" t="0" r="0" b="0"/>
            <wp:docPr id="208" name="IM 208"/>
            <wp:cNvGraphicFramePr/>
            <a:graphic>
              <a:graphicData uri="http://schemas.openxmlformats.org/drawingml/2006/picture">
                <pic:pic>
                  <pic:nvPicPr>
                    <pic:cNvPr id="208" name="IM 208"/>
                    <pic:cNvPicPr/>
                  </pic:nvPicPr>
                  <pic:blipFill>
                    <a:blip r:embed="rId149"/>
                    <a:stretch>
                      <a:fillRect/>
                    </a:stretch>
                  </pic:blipFill>
                  <pic:spPr>
                    <a:xfrm rot="0">
                      <a:off x="0" y="0"/>
                      <a:ext cx="5518112" cy="2012939"/>
                    </a:xfrm>
                    <a:prstGeom prst="rect">
                      <a:avLst/>
                    </a:prstGeom>
                  </pic:spPr>
                </pic:pic>
              </a:graphicData>
            </a:graphic>
          </wp:inline>
        </w:drawing>
      </w:r>
    </w:p>
    <w:p>
      <w:pPr>
        <w:pStyle w:val="BodyText"/>
        <w:ind w:left="4500"/>
        <w:spacing w:before="72" w:line="219" w:lineRule="auto"/>
        <w:rPr>
          <w:sz w:val="27"/>
          <w:szCs w:val="27"/>
        </w:rPr>
      </w:pPr>
      <w:r>
        <w:rPr>
          <w:sz w:val="27"/>
          <w:szCs w:val="27"/>
          <w:spacing w:val="-19"/>
        </w:rPr>
        <w:t>图3-5-1补植</w:t>
      </w:r>
    </w:p>
    <w:p>
      <w:pPr>
        <w:spacing w:before="177" w:line="221" w:lineRule="auto"/>
        <w:outlineLvl w:val="1"/>
        <w:rPr>
          <w:rFonts w:ascii="SimHei" w:hAnsi="SimHei" w:eastAsia="SimHei" w:cs="SimHei"/>
          <w:sz w:val="28"/>
          <w:szCs w:val="28"/>
        </w:rPr>
      </w:pPr>
      <w:bookmarkStart w:name="bookmark19" w:id="33"/>
      <w:bookmarkEnd w:id="33"/>
      <w:r>
        <w:rPr>
          <w:rFonts w:ascii="SimHei" w:hAnsi="SimHei" w:eastAsia="SimHei" w:cs="SimHei"/>
          <w:sz w:val="28"/>
          <w:szCs w:val="28"/>
          <w:spacing w:val="-4"/>
        </w:rPr>
        <w:t>六</w:t>
      </w:r>
      <w:r>
        <w:rPr>
          <w:rFonts w:ascii="SimHei" w:hAnsi="SimHei" w:eastAsia="SimHei" w:cs="SimHei"/>
          <w:sz w:val="28"/>
          <w:szCs w:val="28"/>
          <w:spacing w:val="-62"/>
        </w:rPr>
        <w:t xml:space="preserve"> </w:t>
      </w:r>
      <w:r>
        <w:rPr>
          <w:rFonts w:ascii="SimHei" w:hAnsi="SimHei" w:eastAsia="SimHei" w:cs="SimHei"/>
          <w:sz w:val="28"/>
          <w:szCs w:val="28"/>
          <w:spacing w:val="-4"/>
        </w:rPr>
        <w:t>、防寒</w:t>
      </w:r>
    </w:p>
    <w:p>
      <w:pPr>
        <w:pStyle w:val="BodyText"/>
        <w:ind w:left="590"/>
        <w:spacing w:before="158" w:line="219" w:lineRule="auto"/>
        <w:rPr>
          <w:sz w:val="29"/>
          <w:szCs w:val="29"/>
        </w:rPr>
      </w:pPr>
      <w:r>
        <w:rPr>
          <w:sz w:val="29"/>
          <w:szCs w:val="29"/>
          <w:spacing w:val="22"/>
        </w:rPr>
        <w:t>1)防寒修剪</w:t>
      </w:r>
    </w:p>
    <w:p>
      <w:pPr>
        <w:pStyle w:val="BodyText"/>
        <w:ind w:right="210" w:firstLine="590"/>
        <w:spacing w:before="164" w:line="306" w:lineRule="auto"/>
        <w:rPr>
          <w:sz w:val="29"/>
          <w:szCs w:val="29"/>
        </w:rPr>
      </w:pPr>
      <w:r>
        <w:rPr>
          <w:sz w:val="29"/>
          <w:szCs w:val="29"/>
          <w:spacing w:val="3"/>
        </w:rPr>
        <w:t>落叶后或入冬防寒前，进行适当修剪：红瑞木、</w:t>
      </w:r>
      <w:r>
        <w:rPr>
          <w:sz w:val="29"/>
          <w:szCs w:val="29"/>
          <w:spacing w:val="2"/>
        </w:rPr>
        <w:t>红花锦带、棣棠等控制在</w:t>
      </w:r>
      <w:r>
        <w:rPr>
          <w:sz w:val="29"/>
          <w:szCs w:val="29"/>
        </w:rPr>
        <w:t xml:space="preserve"> </w:t>
      </w:r>
      <w:r>
        <w:rPr>
          <w:rFonts w:ascii="Times New Roman" w:hAnsi="Times New Roman" w:eastAsia="Times New Roman" w:cs="Times New Roman"/>
          <w:sz w:val="29"/>
          <w:szCs w:val="29"/>
          <w:spacing w:val="-2"/>
        </w:rPr>
        <w:t>50—60cm</w:t>
      </w:r>
      <w:r>
        <w:rPr>
          <w:sz w:val="29"/>
          <w:szCs w:val="29"/>
          <w:spacing w:val="-2"/>
        </w:rPr>
        <w:t>。</w:t>
      </w:r>
    </w:p>
    <w:p>
      <w:pPr>
        <w:pStyle w:val="BodyText"/>
        <w:ind w:left="590"/>
        <w:spacing w:before="1" w:line="219" w:lineRule="auto"/>
        <w:rPr>
          <w:sz w:val="29"/>
          <w:szCs w:val="29"/>
        </w:rPr>
      </w:pPr>
      <w:r>
        <w:rPr>
          <w:sz w:val="29"/>
          <w:szCs w:val="29"/>
          <w:spacing w:val="27"/>
        </w:rPr>
        <w:t>2)防寒灌水</w:t>
      </w:r>
    </w:p>
    <w:p>
      <w:pPr>
        <w:spacing w:line="219" w:lineRule="auto"/>
        <w:sectPr>
          <w:footerReference w:type="default" r:id="rId146"/>
          <w:pgSz w:w="14490" w:h="20470"/>
          <w:pgMar w:top="1739" w:right="2173" w:bottom="1383" w:left="2150" w:header="0" w:footer="1220" w:gutter="0"/>
        </w:sectPr>
        <w:rPr>
          <w:sz w:val="29"/>
          <w:szCs w:val="29"/>
        </w:rPr>
      </w:pPr>
    </w:p>
    <w:p>
      <w:pPr>
        <w:pStyle w:val="BodyText"/>
        <w:ind w:left="570"/>
        <w:spacing w:before="120" w:line="219" w:lineRule="auto"/>
        <w:rPr>
          <w:sz w:val="29"/>
          <w:szCs w:val="29"/>
        </w:rPr>
      </w:pPr>
      <w:r>
        <w:rPr>
          <w:sz w:val="29"/>
          <w:szCs w:val="29"/>
          <w:spacing w:val="1"/>
        </w:rPr>
        <w:t>10月下旬—12月上旬，土壤日化夜冻时，灌透根系分布</w:t>
      </w:r>
      <w:r>
        <w:rPr>
          <w:sz w:val="29"/>
          <w:szCs w:val="29"/>
        </w:rPr>
        <w:t>层约30—40cm。</w:t>
      </w:r>
    </w:p>
    <w:p>
      <w:pPr>
        <w:pStyle w:val="BodyText"/>
        <w:ind w:left="570"/>
        <w:spacing w:before="158" w:line="219" w:lineRule="auto"/>
        <w:rPr>
          <w:sz w:val="29"/>
          <w:szCs w:val="29"/>
        </w:rPr>
      </w:pPr>
      <w:r>
        <w:rPr>
          <w:sz w:val="29"/>
          <w:szCs w:val="29"/>
          <w:spacing w:val="28"/>
        </w:rPr>
        <w:t>3)根部培土</w:t>
      </w:r>
    </w:p>
    <w:p>
      <w:pPr>
        <w:pStyle w:val="BodyText"/>
        <w:ind w:left="570"/>
        <w:spacing w:before="144" w:line="219" w:lineRule="auto"/>
        <w:rPr>
          <w:sz w:val="29"/>
          <w:szCs w:val="29"/>
        </w:rPr>
      </w:pPr>
      <w:r>
        <w:rPr>
          <w:sz w:val="29"/>
          <w:szCs w:val="29"/>
        </w:rPr>
        <w:t>灌完冻水并且表土不粘后，用细土/泥炭土+腐熟有机肥进行散施3—5</w:t>
      </w:r>
      <w:r>
        <w:rPr>
          <w:rFonts w:ascii="Times New Roman" w:hAnsi="Times New Roman" w:eastAsia="Times New Roman" w:cs="Times New Roman"/>
          <w:sz w:val="29"/>
          <w:szCs w:val="29"/>
        </w:rPr>
        <w:t>cm</w:t>
      </w:r>
      <w:r>
        <w:rPr>
          <w:sz w:val="29"/>
          <w:szCs w:val="29"/>
        </w:rPr>
        <w:t>。</w:t>
      </w:r>
    </w:p>
    <w:p>
      <w:pPr>
        <w:pStyle w:val="BodyText"/>
        <w:ind w:left="570"/>
        <w:spacing w:before="127" w:line="219" w:lineRule="auto"/>
        <w:rPr>
          <w:sz w:val="29"/>
          <w:szCs w:val="29"/>
        </w:rPr>
      </w:pPr>
      <w:r>
        <w:rPr>
          <w:sz w:val="29"/>
          <w:szCs w:val="29"/>
          <w:spacing w:val="28"/>
        </w:rPr>
        <w:t>4)搭防寒障</w:t>
      </w:r>
    </w:p>
    <w:p>
      <w:pPr>
        <w:pStyle w:val="BodyText"/>
        <w:ind w:right="8" w:firstLine="570"/>
        <w:spacing w:before="162" w:line="310" w:lineRule="auto"/>
        <w:rPr>
          <w:sz w:val="29"/>
          <w:szCs w:val="29"/>
        </w:rPr>
      </w:pPr>
      <w:r>
        <w:rPr>
          <w:sz w:val="29"/>
          <w:szCs w:val="29"/>
          <w:spacing w:val="-4"/>
        </w:rPr>
        <w:t>10月下旬—11月下旬，夜间温度在0℃以上，或早霜来临前，用宽约3</w:t>
      </w:r>
      <w:r>
        <w:rPr>
          <w:rFonts w:ascii="Times New Roman" w:hAnsi="Times New Roman" w:eastAsia="Times New Roman" w:cs="Times New Roman"/>
          <w:sz w:val="29"/>
          <w:szCs w:val="29"/>
          <w:spacing w:val="-4"/>
        </w:rPr>
        <w:t>cm</w:t>
      </w:r>
      <w:r>
        <w:rPr>
          <w:rFonts w:ascii="Times New Roman" w:hAnsi="Times New Roman" w:eastAsia="Times New Roman" w:cs="Times New Roman"/>
          <w:sz w:val="29"/>
          <w:szCs w:val="29"/>
          <w:spacing w:val="-23"/>
        </w:rPr>
        <w:t xml:space="preserve"> </w:t>
      </w:r>
      <w:r>
        <w:rPr>
          <w:sz w:val="29"/>
          <w:szCs w:val="29"/>
          <w:spacing w:val="-4"/>
        </w:rPr>
        <w:t>柔韧</w:t>
      </w:r>
      <w:r>
        <w:rPr>
          <w:sz w:val="29"/>
          <w:szCs w:val="29"/>
        </w:rPr>
        <w:t xml:space="preserve"> </w:t>
      </w:r>
      <w:r>
        <w:rPr>
          <w:sz w:val="29"/>
          <w:szCs w:val="29"/>
          <w:spacing w:val="-9"/>
        </w:rPr>
        <w:t>性较好的竹片，将两头削尖，交叉插于地被两侧成拱形，拱顶距植株约20</w:t>
      </w:r>
      <w:r>
        <w:rPr>
          <w:rFonts w:ascii="Times New Roman" w:hAnsi="Times New Roman" w:eastAsia="Times New Roman" w:cs="Times New Roman"/>
          <w:sz w:val="29"/>
          <w:szCs w:val="29"/>
          <w:spacing w:val="-9"/>
        </w:rPr>
        <w:t>cm,   </w:t>
      </w:r>
      <w:r>
        <w:rPr>
          <w:sz w:val="29"/>
          <w:szCs w:val="29"/>
          <w:spacing w:val="-9"/>
        </w:rPr>
        <w:t>侧面</w:t>
      </w:r>
      <w:r>
        <w:rPr>
          <w:sz w:val="29"/>
          <w:szCs w:val="29"/>
          <w:spacing w:val="16"/>
        </w:rPr>
        <w:t xml:space="preserve"> </w:t>
      </w:r>
      <w:r>
        <w:rPr>
          <w:sz w:val="29"/>
          <w:szCs w:val="29"/>
          <w:spacing w:val="5"/>
        </w:rPr>
        <w:t>距植株约15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5"/>
        </w:rPr>
        <w:t>,</w:t>
      </w:r>
      <w:r>
        <w:rPr>
          <w:rFonts w:ascii="Times New Roman" w:hAnsi="Times New Roman" w:eastAsia="Times New Roman" w:cs="Times New Roman"/>
          <w:sz w:val="29"/>
          <w:szCs w:val="29"/>
          <w:spacing w:val="30"/>
        </w:rPr>
        <w:t xml:space="preserve">  </w:t>
      </w:r>
      <w:r>
        <w:rPr>
          <w:sz w:val="29"/>
          <w:szCs w:val="29"/>
          <w:spacing w:val="5"/>
        </w:rPr>
        <w:t>竹条插入土中约15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64"/>
          <w:w w:val="101"/>
        </w:rPr>
        <w:t xml:space="preserve"> </w:t>
      </w:r>
      <w:r>
        <w:rPr>
          <w:rFonts w:ascii="Times New Roman" w:hAnsi="Times New Roman" w:eastAsia="Times New Roman" w:cs="Times New Roman"/>
          <w:sz w:val="29"/>
          <w:szCs w:val="29"/>
          <w:spacing w:val="5"/>
        </w:rPr>
        <w:t>(</w:t>
      </w:r>
      <w:r>
        <w:rPr>
          <w:rFonts w:ascii="Times New Roman" w:hAnsi="Times New Roman" w:eastAsia="Times New Roman" w:cs="Times New Roman"/>
          <w:sz w:val="29"/>
          <w:szCs w:val="29"/>
          <w:spacing w:val="-18"/>
        </w:rPr>
        <w:t xml:space="preserve"> </w:t>
      </w:r>
      <w:r>
        <w:rPr>
          <w:sz w:val="29"/>
          <w:szCs w:val="29"/>
          <w:spacing w:val="5"/>
        </w:rPr>
        <w:t>插入部位也可用小木桩加固),上覆盖绿</w:t>
      </w:r>
      <w:r>
        <w:rPr>
          <w:sz w:val="29"/>
          <w:szCs w:val="29"/>
        </w:rPr>
        <w:t xml:space="preserve"> </w:t>
      </w:r>
      <w:r>
        <w:rPr>
          <w:sz w:val="29"/>
          <w:szCs w:val="29"/>
          <w:spacing w:val="8"/>
        </w:rPr>
        <w:t>色无纺布(绿色无纺布先根据面积裁剪缝接好)做成小拱棚，覆盖物与竹片用细</w:t>
      </w:r>
      <w:r>
        <w:rPr>
          <w:sz w:val="29"/>
          <w:szCs w:val="29"/>
          <w:spacing w:val="16"/>
        </w:rPr>
        <w:t xml:space="preserve"> </w:t>
      </w:r>
      <w:r>
        <w:rPr>
          <w:sz w:val="29"/>
          <w:szCs w:val="29"/>
          <w:spacing w:val="-3"/>
        </w:rPr>
        <w:t>绳绑扎，撑平整，下部留约15</w:t>
      </w:r>
      <w:r>
        <w:rPr>
          <w:rFonts w:ascii="Times New Roman" w:hAnsi="Times New Roman" w:eastAsia="Times New Roman" w:cs="Times New Roman"/>
          <w:sz w:val="29"/>
          <w:szCs w:val="29"/>
          <w:spacing w:val="-3"/>
        </w:rPr>
        <w:t>cm</w:t>
      </w:r>
      <w:r>
        <w:rPr>
          <w:rFonts w:ascii="Times New Roman" w:hAnsi="Times New Roman" w:eastAsia="Times New Roman" w:cs="Times New Roman"/>
          <w:sz w:val="29"/>
          <w:szCs w:val="29"/>
          <w:spacing w:val="-35"/>
        </w:rPr>
        <w:t xml:space="preserve"> </w:t>
      </w:r>
      <w:r>
        <w:rPr>
          <w:sz w:val="29"/>
          <w:szCs w:val="29"/>
          <w:spacing w:val="-3"/>
        </w:rPr>
        <w:t>用土压实。</w:t>
      </w:r>
    </w:p>
    <w:p>
      <w:pPr>
        <w:pStyle w:val="BodyText"/>
        <w:ind w:left="570"/>
        <w:spacing w:before="18" w:line="219" w:lineRule="auto"/>
        <w:rPr>
          <w:sz w:val="29"/>
          <w:szCs w:val="29"/>
        </w:rPr>
      </w:pPr>
      <w:r>
        <w:rPr>
          <w:sz w:val="29"/>
          <w:szCs w:val="29"/>
          <w:spacing w:val="2"/>
        </w:rPr>
        <w:t>一般两三年后的地被可不搭防寒障，或只在受风面搭防寒障。</w:t>
      </w:r>
    </w:p>
    <w:p>
      <w:pPr>
        <w:spacing w:line="54" w:lineRule="exact"/>
        <w:rPr/>
      </w:pPr>
      <w:r/>
    </w:p>
    <w:p>
      <w:pPr>
        <w:spacing w:line="54" w:lineRule="exact"/>
        <w:sectPr>
          <w:footerReference w:type="default" r:id="rId150"/>
          <w:pgSz w:w="14490" w:h="20470"/>
          <w:pgMar w:top="1739" w:right="2173" w:bottom="1458" w:left="2150" w:header="0" w:footer="1213" w:gutter="0"/>
          <w:cols w:equalWidth="0" w:num="1">
            <w:col w:w="10167" w:space="0"/>
          </w:cols>
        </w:sectPr>
        <w:rPr/>
      </w:pPr>
    </w:p>
    <w:p>
      <w:pPr>
        <w:ind w:firstLine="550"/>
        <w:spacing w:line="2800" w:lineRule="exact"/>
        <w:rPr/>
      </w:pPr>
      <w:r>
        <w:rPr>
          <w:position w:val="-56"/>
        </w:rPr>
        <w:drawing>
          <wp:inline distT="0" distB="0" distL="0" distR="0">
            <wp:extent cx="2546326" cy="1778057"/>
            <wp:effectExtent l="0" t="0" r="0" b="0"/>
            <wp:docPr id="210" name="IM 210"/>
            <wp:cNvGraphicFramePr/>
            <a:graphic>
              <a:graphicData uri="http://schemas.openxmlformats.org/drawingml/2006/picture">
                <pic:pic>
                  <pic:nvPicPr>
                    <pic:cNvPr id="210" name="IM 210"/>
                    <pic:cNvPicPr/>
                  </pic:nvPicPr>
                  <pic:blipFill>
                    <a:blip r:embed="rId151"/>
                    <a:stretch>
                      <a:fillRect/>
                    </a:stretch>
                  </pic:blipFill>
                  <pic:spPr>
                    <a:xfrm rot="0">
                      <a:off x="0" y="0"/>
                      <a:ext cx="2546326" cy="1778057"/>
                    </a:xfrm>
                    <a:prstGeom prst="rect">
                      <a:avLst/>
                    </a:prstGeom>
                  </pic:spPr>
                </pic:pic>
              </a:graphicData>
            </a:graphic>
          </wp:inline>
        </w:drawing>
      </w:r>
    </w:p>
    <w:p>
      <w:pPr>
        <w:ind w:left="979"/>
        <w:spacing w:before="215" w:line="221" w:lineRule="auto"/>
        <w:rPr>
          <w:rFonts w:ascii="FangSong" w:hAnsi="FangSong" w:eastAsia="FangSong" w:cs="FangSong"/>
          <w:sz w:val="21"/>
          <w:szCs w:val="21"/>
        </w:rPr>
      </w:pPr>
      <w:r>
        <w:rPr>
          <w:rFonts w:ascii="FangSong" w:hAnsi="FangSong" w:eastAsia="FangSong" w:cs="FangSong"/>
          <w:sz w:val="21"/>
          <w:szCs w:val="21"/>
          <w:spacing w:val="31"/>
        </w:rPr>
        <w:t>(冬季植物防寒)地被防寒骨架</w:t>
      </w:r>
    </w:p>
    <w:p>
      <w:pPr>
        <w:spacing w:line="411" w:lineRule="auto"/>
        <w:rPr>
          <w:rFonts w:ascii="Arial"/>
          <w:sz w:val="21"/>
        </w:rPr>
      </w:pPr>
      <w:r/>
    </w:p>
    <w:p>
      <w:pPr>
        <w:ind w:firstLine="550"/>
        <w:spacing w:line="2980" w:lineRule="exact"/>
        <w:rPr/>
      </w:pPr>
      <w:r>
        <w:rPr>
          <w:position w:val="-59"/>
        </w:rPr>
        <w:drawing>
          <wp:inline distT="0" distB="0" distL="0" distR="0">
            <wp:extent cx="2533628" cy="1892315"/>
            <wp:effectExtent l="0" t="0" r="0" b="0"/>
            <wp:docPr id="212" name="IM 212"/>
            <wp:cNvGraphicFramePr/>
            <a:graphic>
              <a:graphicData uri="http://schemas.openxmlformats.org/drawingml/2006/picture">
                <pic:pic>
                  <pic:nvPicPr>
                    <pic:cNvPr id="212" name="IM 212"/>
                    <pic:cNvPicPr/>
                  </pic:nvPicPr>
                  <pic:blipFill>
                    <a:blip r:embed="rId152"/>
                    <a:stretch>
                      <a:fillRect/>
                    </a:stretch>
                  </pic:blipFill>
                  <pic:spPr>
                    <a:xfrm rot="0">
                      <a:off x="0" y="0"/>
                      <a:ext cx="2533628" cy="1892315"/>
                    </a:xfrm>
                    <a:prstGeom prst="rect">
                      <a:avLst/>
                    </a:prstGeom>
                  </pic:spPr>
                </pic:pic>
              </a:graphicData>
            </a:graphic>
          </wp:inline>
        </w:drawing>
      </w:r>
    </w:p>
    <w:p>
      <w:pPr>
        <w:ind w:left="1109"/>
        <w:spacing w:before="165" w:line="221" w:lineRule="auto"/>
        <w:rPr>
          <w:rFonts w:ascii="FangSong" w:hAnsi="FangSong" w:eastAsia="FangSong" w:cs="FangSong"/>
          <w:sz w:val="21"/>
          <w:szCs w:val="21"/>
        </w:rPr>
      </w:pPr>
      <w:r>
        <w:rPr>
          <w:rFonts w:ascii="FangSong" w:hAnsi="FangSong" w:eastAsia="FangSong" w:cs="FangSong"/>
          <w:sz w:val="21"/>
          <w:szCs w:val="21"/>
          <w:spacing w:val="31"/>
        </w:rPr>
        <w:t>(冬季植物防寒)地被防寒障</w:t>
      </w:r>
    </w:p>
    <w:p>
      <w:pPr>
        <w:spacing w:line="450" w:lineRule="auto"/>
        <w:rPr>
          <w:rFonts w:ascii="Arial"/>
          <w:sz w:val="21"/>
        </w:rPr>
      </w:pPr>
      <w:r/>
    </w:p>
    <w:p>
      <w:pPr>
        <w:ind w:firstLine="570"/>
        <w:spacing w:before="1" w:line="2690" w:lineRule="exact"/>
        <w:rPr/>
      </w:pPr>
      <w:r>
        <w:rPr>
          <w:position w:val="-53"/>
        </w:rPr>
        <w:drawing>
          <wp:inline distT="0" distB="0" distL="0" distR="0">
            <wp:extent cx="2533628" cy="1708126"/>
            <wp:effectExtent l="0" t="0" r="0" b="0"/>
            <wp:docPr id="214" name="IM 214"/>
            <wp:cNvGraphicFramePr/>
            <a:graphic>
              <a:graphicData uri="http://schemas.openxmlformats.org/drawingml/2006/picture">
                <pic:pic>
                  <pic:nvPicPr>
                    <pic:cNvPr id="214" name="IM 214"/>
                    <pic:cNvPicPr/>
                  </pic:nvPicPr>
                  <pic:blipFill>
                    <a:blip r:embed="rId153"/>
                    <a:stretch>
                      <a:fillRect/>
                    </a:stretch>
                  </pic:blipFill>
                  <pic:spPr>
                    <a:xfrm rot="0">
                      <a:off x="0" y="0"/>
                      <a:ext cx="2533628" cy="1708126"/>
                    </a:xfrm>
                    <a:prstGeom prst="rect">
                      <a:avLst/>
                    </a:prstGeom>
                  </pic:spPr>
                </pic:pic>
              </a:graphicData>
            </a:graphic>
          </wp:inline>
        </w:drawing>
      </w:r>
    </w:p>
    <w:p>
      <w:pPr>
        <w:ind w:left="979"/>
        <w:spacing w:before="205" w:line="221" w:lineRule="auto"/>
        <w:rPr>
          <w:rFonts w:ascii="FangSong" w:hAnsi="FangSong" w:eastAsia="FangSong" w:cs="FangSong"/>
          <w:sz w:val="21"/>
          <w:szCs w:val="21"/>
        </w:rPr>
      </w:pPr>
      <w:r>
        <w:rPr>
          <w:rFonts w:ascii="FangSong" w:hAnsi="FangSong" w:eastAsia="FangSong" w:cs="FangSong"/>
          <w:sz w:val="21"/>
          <w:szCs w:val="21"/>
          <w:spacing w:val="32"/>
        </w:rPr>
        <w:t>(冬季植物防寒)地被防寒围挡</w:t>
      </w:r>
    </w:p>
    <w:p>
      <w:pPr>
        <w:spacing w:line="71"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before="8" w:line="2800" w:lineRule="exact"/>
        <w:rPr/>
      </w:pPr>
      <w:r>
        <w:rPr>
          <w:position w:val="-56"/>
        </w:rPr>
        <w:drawing>
          <wp:inline distT="0" distB="0" distL="0" distR="0">
            <wp:extent cx="2559023" cy="1778058"/>
            <wp:effectExtent l="0" t="0" r="0" b="0"/>
            <wp:docPr id="216" name="IM 216"/>
            <wp:cNvGraphicFramePr/>
            <a:graphic>
              <a:graphicData uri="http://schemas.openxmlformats.org/drawingml/2006/picture">
                <pic:pic>
                  <pic:nvPicPr>
                    <pic:cNvPr id="216" name="IM 216"/>
                    <pic:cNvPicPr/>
                  </pic:nvPicPr>
                  <pic:blipFill>
                    <a:blip r:embed="rId154"/>
                    <a:stretch>
                      <a:fillRect/>
                    </a:stretch>
                  </pic:blipFill>
                  <pic:spPr>
                    <a:xfrm rot="0">
                      <a:off x="0" y="0"/>
                      <a:ext cx="2559023" cy="1778058"/>
                    </a:xfrm>
                    <a:prstGeom prst="rect">
                      <a:avLst/>
                    </a:prstGeom>
                  </pic:spPr>
                </pic:pic>
              </a:graphicData>
            </a:graphic>
          </wp:inline>
        </w:drawing>
      </w:r>
    </w:p>
    <w:p>
      <w:pPr>
        <w:ind w:left="1150"/>
        <w:spacing w:before="35" w:line="221" w:lineRule="auto"/>
        <w:rPr>
          <w:rFonts w:ascii="FangSong" w:hAnsi="FangSong" w:eastAsia="FangSong" w:cs="FangSong"/>
          <w:sz w:val="21"/>
          <w:szCs w:val="21"/>
        </w:rPr>
      </w:pPr>
      <w:r>
        <w:rPr>
          <w:rFonts w:ascii="FangSong" w:hAnsi="FangSong" w:eastAsia="FangSong" w:cs="FangSong"/>
          <w:sz w:val="21"/>
          <w:szCs w:val="21"/>
          <w:spacing w:val="29"/>
        </w:rPr>
        <w:t>(冬季植物防寒)</w:t>
      </w:r>
    </w:p>
    <w:p>
      <w:pPr>
        <w:ind w:left="680"/>
        <w:spacing w:before="40" w:line="222" w:lineRule="auto"/>
        <w:rPr>
          <w:rFonts w:ascii="FangSong" w:hAnsi="FangSong" w:eastAsia="FangSong" w:cs="FangSong"/>
          <w:sz w:val="21"/>
          <w:szCs w:val="21"/>
        </w:rPr>
      </w:pPr>
      <w:r>
        <w:rPr>
          <w:rFonts w:ascii="FangSong" w:hAnsi="FangSong" w:eastAsia="FangSong" w:cs="FangSong"/>
          <w:sz w:val="21"/>
          <w:szCs w:val="21"/>
          <w:spacing w:val="24"/>
        </w:rPr>
        <w:t>骨架细节：用小木桩加固</w:t>
      </w:r>
    </w:p>
    <w:p>
      <w:pPr>
        <w:spacing w:line="290" w:lineRule="auto"/>
        <w:rPr>
          <w:rFonts w:ascii="Arial"/>
          <w:sz w:val="21"/>
        </w:rPr>
      </w:pPr>
      <w:r/>
    </w:p>
    <w:p>
      <w:pPr>
        <w:ind w:firstLine="9"/>
        <w:spacing w:line="2980" w:lineRule="exact"/>
        <w:rPr/>
      </w:pPr>
      <w:r>
        <w:rPr>
          <w:position w:val="-59"/>
        </w:rPr>
        <w:drawing>
          <wp:inline distT="0" distB="0" distL="0" distR="0">
            <wp:extent cx="2539977" cy="1892315"/>
            <wp:effectExtent l="0" t="0" r="0" b="0"/>
            <wp:docPr id="218" name="IM 218"/>
            <wp:cNvGraphicFramePr/>
            <a:graphic>
              <a:graphicData uri="http://schemas.openxmlformats.org/drawingml/2006/picture">
                <pic:pic>
                  <pic:nvPicPr>
                    <pic:cNvPr id="218" name="IM 218"/>
                    <pic:cNvPicPr/>
                  </pic:nvPicPr>
                  <pic:blipFill>
                    <a:blip r:embed="rId155"/>
                    <a:stretch>
                      <a:fillRect/>
                    </a:stretch>
                  </pic:blipFill>
                  <pic:spPr>
                    <a:xfrm rot="0">
                      <a:off x="0" y="0"/>
                      <a:ext cx="2539977" cy="1892315"/>
                    </a:xfrm>
                    <a:prstGeom prst="rect">
                      <a:avLst/>
                    </a:prstGeom>
                  </pic:spPr>
                </pic:pic>
              </a:graphicData>
            </a:graphic>
          </wp:inline>
        </w:drawing>
      </w:r>
    </w:p>
    <w:p>
      <w:pPr>
        <w:ind w:left="450"/>
        <w:spacing w:before="215" w:line="221" w:lineRule="auto"/>
        <w:rPr>
          <w:rFonts w:ascii="FangSong" w:hAnsi="FangSong" w:eastAsia="FangSong" w:cs="FangSong"/>
          <w:sz w:val="21"/>
          <w:szCs w:val="21"/>
        </w:rPr>
      </w:pPr>
      <w:r>
        <w:rPr>
          <w:rFonts w:ascii="FangSong" w:hAnsi="FangSong" w:eastAsia="FangSong" w:cs="FangSong"/>
          <w:sz w:val="21"/>
          <w:szCs w:val="21"/>
          <w:spacing w:val="32"/>
        </w:rPr>
        <w:t>(冬季植物防寒)树池地被防寒</w:t>
      </w:r>
    </w:p>
    <w:p>
      <w:pPr>
        <w:spacing w:line="401" w:lineRule="auto"/>
        <w:rPr>
          <w:rFonts w:ascii="Arial"/>
          <w:sz w:val="21"/>
        </w:rPr>
      </w:pPr>
      <w:r/>
    </w:p>
    <w:p>
      <w:pPr>
        <w:ind w:firstLine="19"/>
        <w:spacing w:line="2690" w:lineRule="exact"/>
        <w:rPr/>
      </w:pPr>
      <w:r>
        <w:rPr>
          <w:position w:val="-53"/>
        </w:rPr>
        <w:drawing>
          <wp:inline distT="0" distB="0" distL="0" distR="0">
            <wp:extent cx="2546326" cy="1708126"/>
            <wp:effectExtent l="0" t="0" r="0" b="0"/>
            <wp:docPr id="220" name="IM 220"/>
            <wp:cNvGraphicFramePr/>
            <a:graphic>
              <a:graphicData uri="http://schemas.openxmlformats.org/drawingml/2006/picture">
                <pic:pic>
                  <pic:nvPicPr>
                    <pic:cNvPr id="220" name="IM 220"/>
                    <pic:cNvPicPr/>
                  </pic:nvPicPr>
                  <pic:blipFill>
                    <a:blip r:embed="rId156"/>
                    <a:stretch>
                      <a:fillRect/>
                    </a:stretch>
                  </pic:blipFill>
                  <pic:spPr>
                    <a:xfrm rot="0">
                      <a:off x="0" y="0"/>
                      <a:ext cx="2546326" cy="1708126"/>
                    </a:xfrm>
                    <a:prstGeom prst="rect">
                      <a:avLst/>
                    </a:prstGeom>
                  </pic:spPr>
                </pic:pic>
              </a:graphicData>
            </a:graphic>
          </wp:inline>
        </w:drawing>
      </w:r>
    </w:p>
    <w:p>
      <w:pPr>
        <w:ind w:left="600"/>
        <w:spacing w:before="165" w:line="221" w:lineRule="auto"/>
        <w:rPr>
          <w:rFonts w:ascii="FangSong" w:hAnsi="FangSong" w:eastAsia="FangSong" w:cs="FangSong"/>
          <w:sz w:val="21"/>
          <w:szCs w:val="21"/>
        </w:rPr>
      </w:pPr>
      <w:r>
        <w:rPr>
          <w:rFonts w:ascii="FangSong" w:hAnsi="FangSong" w:eastAsia="FangSong" w:cs="FangSong"/>
          <w:sz w:val="21"/>
          <w:szCs w:val="21"/>
          <w:spacing w:val="32"/>
        </w:rPr>
        <w:t>(冬季植物防寒)绿篱防寒障</w:t>
      </w:r>
    </w:p>
    <w:p>
      <w:pPr>
        <w:spacing w:line="221" w:lineRule="auto"/>
        <w:sectPr>
          <w:type w:val="continuous"/>
          <w:pgSz w:w="14490" w:h="20470"/>
          <w:pgMar w:top="1739" w:right="2173" w:bottom="1458" w:left="2150" w:header="0" w:footer="1213" w:gutter="0"/>
          <w:cols w:equalWidth="0" w:num="2">
            <w:col w:w="5470" w:space="100"/>
            <w:col w:w="4597" w:space="0"/>
          </w:cols>
        </w:sectPr>
        <w:rPr>
          <w:rFonts w:ascii="FangSong" w:hAnsi="FangSong" w:eastAsia="FangSong" w:cs="FangSong"/>
          <w:sz w:val="21"/>
          <w:szCs w:val="21"/>
        </w:rPr>
      </w:pPr>
    </w:p>
    <w:p>
      <w:pPr>
        <w:pStyle w:val="BodyText"/>
        <w:ind w:left="3780"/>
        <w:spacing w:before="119" w:line="184" w:lineRule="auto"/>
        <w:rPr>
          <w:sz w:val="29"/>
          <w:szCs w:val="29"/>
        </w:rPr>
      </w:pPr>
      <w:r>
        <w:rPr>
          <w:sz w:val="29"/>
          <w:szCs w:val="29"/>
          <w:spacing w:val="-8"/>
        </w:rPr>
        <w:t>图3-6-1地被防害措施</w:t>
      </w:r>
    </w:p>
    <w:p>
      <w:pPr>
        <w:spacing w:line="184" w:lineRule="auto"/>
        <w:sectPr>
          <w:type w:val="continuous"/>
          <w:pgSz w:w="14490" w:h="20470"/>
          <w:pgMar w:top="1739" w:right="2173" w:bottom="1458" w:left="2150" w:header="0" w:footer="1213" w:gutter="0"/>
          <w:cols w:equalWidth="0" w:num="1">
            <w:col w:w="10167" w:space="0"/>
          </w:cols>
        </w:sectPr>
        <w:rPr>
          <w:sz w:val="29"/>
          <w:szCs w:val="29"/>
        </w:rPr>
      </w:pPr>
    </w:p>
    <w:p>
      <w:pPr>
        <w:pStyle w:val="BodyText"/>
        <w:ind w:left="570"/>
        <w:spacing w:before="122" w:line="219" w:lineRule="auto"/>
        <w:rPr>
          <w:sz w:val="29"/>
          <w:szCs w:val="29"/>
        </w:rPr>
      </w:pPr>
      <w:bookmarkStart w:name="bookmark93" w:id="34"/>
      <w:bookmarkEnd w:id="34"/>
      <w:r>
        <w:rPr>
          <w:sz w:val="29"/>
          <w:szCs w:val="29"/>
          <w:spacing w:val="18"/>
        </w:rPr>
        <w:t>5)冬季防寒其它注意事项</w:t>
      </w:r>
    </w:p>
    <w:p>
      <w:pPr>
        <w:pStyle w:val="BodyText"/>
        <w:ind w:right="69" w:firstLine="730"/>
        <w:spacing w:before="122" w:line="267" w:lineRule="auto"/>
        <w:rPr>
          <w:sz w:val="29"/>
          <w:szCs w:val="29"/>
        </w:rPr>
      </w:pPr>
      <w:r>
        <w:rPr>
          <w:sz w:val="29"/>
          <w:szCs w:val="29"/>
          <w:spacing w:val="-7"/>
        </w:rPr>
        <w:t>①</w:t>
      </w:r>
      <w:r>
        <w:rPr>
          <w:sz w:val="29"/>
          <w:szCs w:val="29"/>
          <w:spacing w:val="42"/>
        </w:rPr>
        <w:t xml:space="preserve">  </w:t>
      </w:r>
      <w:r>
        <w:rPr>
          <w:sz w:val="29"/>
          <w:szCs w:val="29"/>
          <w:spacing w:val="-7"/>
        </w:rPr>
        <w:t>光照强或升温的天气须注意观察风障内的温度，高于15℃要透气降温，</w:t>
      </w:r>
      <w:r>
        <w:rPr>
          <w:sz w:val="29"/>
          <w:szCs w:val="29"/>
        </w:rPr>
        <w:t xml:space="preserve"> </w:t>
      </w:r>
      <w:r>
        <w:rPr>
          <w:sz w:val="29"/>
          <w:szCs w:val="29"/>
          <w:spacing w:val="9"/>
        </w:rPr>
        <w:t>进行适时适度开通风口(一般在背风向阳面打开),</w:t>
      </w:r>
      <w:r>
        <w:rPr>
          <w:sz w:val="29"/>
          <w:szCs w:val="29"/>
          <w:spacing w:val="8"/>
        </w:rPr>
        <w:t>以免高温危害树木；</w:t>
      </w:r>
    </w:p>
    <w:p>
      <w:pPr>
        <w:pStyle w:val="BodyText"/>
        <w:ind w:left="730"/>
        <w:spacing w:before="161" w:line="217" w:lineRule="auto"/>
        <w:rPr>
          <w:sz w:val="29"/>
          <w:szCs w:val="29"/>
        </w:rPr>
      </w:pPr>
      <w:r>
        <w:rPr>
          <w:sz w:val="29"/>
          <w:szCs w:val="29"/>
          <w:spacing w:val="-5"/>
        </w:rPr>
        <w:t>②</w:t>
      </w:r>
      <w:r>
        <w:rPr>
          <w:sz w:val="29"/>
          <w:szCs w:val="29"/>
          <w:spacing w:val="54"/>
        </w:rPr>
        <w:t xml:space="preserve">  </w:t>
      </w:r>
      <w:r>
        <w:rPr>
          <w:sz w:val="29"/>
          <w:szCs w:val="29"/>
          <w:spacing w:val="-5"/>
        </w:rPr>
        <w:t>检查防寒材料是否有破损及露苗，做好恢复；</w:t>
      </w:r>
    </w:p>
    <w:p>
      <w:pPr>
        <w:pStyle w:val="BodyText"/>
        <w:ind w:left="730"/>
        <w:spacing w:before="159" w:line="217" w:lineRule="auto"/>
        <w:rPr>
          <w:sz w:val="29"/>
          <w:szCs w:val="29"/>
        </w:rPr>
      </w:pPr>
      <w:r>
        <w:rPr>
          <w:sz w:val="29"/>
          <w:szCs w:val="29"/>
          <w:spacing w:val="-5"/>
        </w:rPr>
        <w:t>③</w:t>
      </w:r>
      <w:r>
        <w:rPr>
          <w:sz w:val="29"/>
          <w:szCs w:val="29"/>
          <w:spacing w:val="54"/>
        </w:rPr>
        <w:t xml:space="preserve">  </w:t>
      </w:r>
      <w:r>
        <w:rPr>
          <w:sz w:val="29"/>
          <w:szCs w:val="29"/>
          <w:spacing w:val="-5"/>
        </w:rPr>
        <w:t>对特殊天气及时采取临时加盖防寒材料；</w:t>
      </w:r>
    </w:p>
    <w:p>
      <w:pPr>
        <w:pStyle w:val="BodyText"/>
        <w:ind w:left="730"/>
        <w:spacing w:before="139" w:line="217" w:lineRule="auto"/>
        <w:rPr>
          <w:sz w:val="29"/>
          <w:szCs w:val="29"/>
        </w:rPr>
      </w:pPr>
      <w:r>
        <w:rPr>
          <w:sz w:val="29"/>
          <w:szCs w:val="29"/>
          <w:spacing w:val="-6"/>
        </w:rPr>
        <w:t>④</w:t>
      </w:r>
      <w:r>
        <w:rPr>
          <w:sz w:val="29"/>
          <w:szCs w:val="29"/>
          <w:spacing w:val="64"/>
        </w:rPr>
        <w:t xml:space="preserve">  </w:t>
      </w:r>
      <w:r>
        <w:rPr>
          <w:sz w:val="29"/>
          <w:szCs w:val="29"/>
          <w:spacing w:val="-6"/>
        </w:rPr>
        <w:t>及时清理树上和防寒架上积雪、挂冰等；</w:t>
      </w:r>
    </w:p>
    <w:p>
      <w:pPr>
        <w:pStyle w:val="BodyText"/>
        <w:ind w:right="148" w:firstLine="730"/>
        <w:spacing w:before="167" w:line="267" w:lineRule="auto"/>
        <w:rPr>
          <w:sz w:val="29"/>
          <w:szCs w:val="29"/>
        </w:rPr>
      </w:pPr>
      <w:r>
        <w:rPr>
          <w:sz w:val="29"/>
          <w:szCs w:val="29"/>
          <w:spacing w:val="-10"/>
        </w:rPr>
        <w:t>⑤</w:t>
      </w:r>
      <w:r>
        <w:rPr>
          <w:sz w:val="29"/>
          <w:szCs w:val="29"/>
          <w:spacing w:val="47"/>
        </w:rPr>
        <w:t xml:space="preserve">  </w:t>
      </w:r>
      <w:r>
        <w:rPr>
          <w:sz w:val="29"/>
          <w:szCs w:val="29"/>
          <w:spacing w:val="-10"/>
        </w:rPr>
        <w:t>冬季部分地区土壤化冻后，若出现土壤干旱现象时按“见干见湿”原则</w:t>
      </w:r>
      <w:r>
        <w:rPr>
          <w:sz w:val="29"/>
          <w:szCs w:val="29"/>
        </w:rPr>
        <w:t xml:space="preserve"> </w:t>
      </w:r>
      <w:r>
        <w:rPr>
          <w:sz w:val="29"/>
          <w:szCs w:val="29"/>
          <w:spacing w:val="-6"/>
        </w:rPr>
        <w:t>及时浇水；</w:t>
      </w:r>
    </w:p>
    <w:p>
      <w:pPr>
        <w:pStyle w:val="BodyText"/>
        <w:ind w:left="730"/>
        <w:spacing w:before="125" w:line="219" w:lineRule="auto"/>
        <w:rPr>
          <w:sz w:val="29"/>
          <w:szCs w:val="29"/>
        </w:rPr>
      </w:pPr>
      <w:r>
        <w:rPr>
          <w:rFonts w:ascii="Times New Roman" w:hAnsi="Times New Roman" w:eastAsia="Times New Roman" w:cs="Times New Roman"/>
          <w:sz w:val="29"/>
          <w:szCs w:val="29"/>
        </w:rPr>
        <w:t>6      </w:t>
      </w:r>
      <w:r>
        <w:rPr>
          <w:sz w:val="29"/>
          <w:szCs w:val="29"/>
        </w:rPr>
        <w:t>冬季风较大，需做好防风加固。</w:t>
      </w:r>
    </w:p>
    <w:p>
      <w:pPr>
        <w:spacing w:before="154" w:line="221" w:lineRule="auto"/>
        <w:outlineLvl w:val="1"/>
        <w:rPr>
          <w:rFonts w:ascii="SimHei" w:hAnsi="SimHei" w:eastAsia="SimHei" w:cs="SimHei"/>
          <w:sz w:val="29"/>
          <w:szCs w:val="29"/>
        </w:rPr>
      </w:pPr>
      <w:bookmarkStart w:name="bookmark20" w:id="35"/>
      <w:bookmarkEnd w:id="35"/>
      <w:r>
        <w:rPr>
          <w:rFonts w:ascii="SimHei" w:hAnsi="SimHei" w:eastAsia="SimHei" w:cs="SimHei"/>
          <w:sz w:val="29"/>
          <w:szCs w:val="29"/>
          <w:spacing w:val="2"/>
        </w:rPr>
        <w:t>七、地被养护质量标准</w:t>
      </w:r>
    </w:p>
    <w:p>
      <w:pPr>
        <w:pStyle w:val="BodyText"/>
        <w:ind w:left="570"/>
        <w:spacing w:before="155" w:line="219" w:lineRule="auto"/>
        <w:rPr>
          <w:sz w:val="29"/>
          <w:szCs w:val="29"/>
        </w:rPr>
      </w:pPr>
      <w:r>
        <w:rPr>
          <w:rFonts w:ascii="Times New Roman" w:hAnsi="Times New Roman" w:eastAsia="Times New Roman" w:cs="Times New Roman"/>
          <w:sz w:val="29"/>
          <w:szCs w:val="29"/>
          <w:spacing w:val="-2"/>
        </w:rPr>
        <w:t>1</w:t>
      </w:r>
      <w:r>
        <w:rPr>
          <w:rFonts w:ascii="Times New Roman" w:hAnsi="Times New Roman" w:eastAsia="Times New Roman" w:cs="Times New Roman"/>
          <w:sz w:val="29"/>
          <w:szCs w:val="29"/>
          <w:spacing w:val="-24"/>
        </w:rPr>
        <w:t xml:space="preserve"> </w:t>
      </w:r>
      <w:r>
        <w:rPr>
          <w:sz w:val="29"/>
          <w:szCs w:val="29"/>
          <w:spacing w:val="-2"/>
        </w:rPr>
        <w:t>、植物长势良好，同一品种整齐一致，枝叶紧凑；</w:t>
      </w:r>
    </w:p>
    <w:p>
      <w:pPr>
        <w:pStyle w:val="BodyText"/>
        <w:ind w:firstLine="570"/>
        <w:spacing w:before="126" w:line="275" w:lineRule="auto"/>
        <w:rPr>
          <w:sz w:val="29"/>
          <w:szCs w:val="29"/>
        </w:rPr>
      </w:pPr>
      <w:r>
        <w:rPr>
          <w:sz w:val="29"/>
          <w:szCs w:val="29"/>
          <w:spacing w:val="5"/>
        </w:rPr>
        <w:t>2、地被线条整齐、流畅、美观，随机抽查单位面积内无10</w:t>
      </w:r>
      <w:r>
        <w:rPr>
          <w:sz w:val="29"/>
          <w:szCs w:val="29"/>
          <w:spacing w:val="4"/>
        </w:rPr>
        <w:t>%超过平整面5</w:t>
      </w:r>
      <w:r>
        <w:rPr>
          <w:rFonts w:ascii="Times New Roman" w:hAnsi="Times New Roman" w:eastAsia="Times New Roman" w:cs="Times New Roman"/>
          <w:sz w:val="29"/>
          <w:szCs w:val="29"/>
        </w:rPr>
        <w:t>cm </w:t>
      </w:r>
      <w:r>
        <w:rPr>
          <w:sz w:val="29"/>
          <w:szCs w:val="29"/>
          <w:spacing w:val="-11"/>
        </w:rPr>
        <w:t>的徒长枝；</w:t>
      </w:r>
    </w:p>
    <w:p>
      <w:pPr>
        <w:pStyle w:val="BodyText"/>
        <w:ind w:left="570"/>
        <w:spacing w:before="127" w:line="212" w:lineRule="auto"/>
        <w:rPr>
          <w:rFonts w:ascii="Times New Roman" w:hAnsi="Times New Roman" w:eastAsia="Times New Roman" w:cs="Times New Roman"/>
          <w:sz w:val="29"/>
          <w:szCs w:val="29"/>
        </w:rPr>
      </w:pPr>
      <w:r>
        <w:rPr>
          <w:sz w:val="29"/>
          <w:szCs w:val="29"/>
          <w:spacing w:val="2"/>
        </w:rPr>
        <w:t>3、不同地被植物间交界、地被与草坪交界线条分明，间隙约</w:t>
      </w:r>
      <w:r>
        <w:rPr>
          <w:sz w:val="29"/>
          <w:szCs w:val="29"/>
          <w:spacing w:val="1"/>
        </w:rPr>
        <w:t>3—5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
        </w:rPr>
        <w:t>;</w:t>
      </w:r>
    </w:p>
    <w:p>
      <w:pPr>
        <w:pStyle w:val="BodyText"/>
        <w:ind w:left="570"/>
        <w:spacing w:before="156" w:line="219" w:lineRule="auto"/>
        <w:rPr>
          <w:sz w:val="29"/>
          <w:szCs w:val="29"/>
        </w:rPr>
      </w:pPr>
      <w:r>
        <w:rPr>
          <w:rFonts w:ascii="Times New Roman" w:hAnsi="Times New Roman" w:eastAsia="Times New Roman" w:cs="Times New Roman"/>
          <w:sz w:val="29"/>
          <w:szCs w:val="29"/>
          <w:spacing w:val="-3"/>
        </w:rPr>
        <w:t>4</w:t>
      </w:r>
      <w:r>
        <w:rPr>
          <w:rFonts w:ascii="Times New Roman" w:hAnsi="Times New Roman" w:eastAsia="Times New Roman" w:cs="Times New Roman"/>
          <w:sz w:val="29"/>
          <w:szCs w:val="29"/>
          <w:spacing w:val="-32"/>
        </w:rPr>
        <w:t xml:space="preserve"> </w:t>
      </w:r>
      <w:r>
        <w:rPr>
          <w:sz w:val="29"/>
          <w:szCs w:val="29"/>
          <w:spacing w:val="-3"/>
        </w:rPr>
        <w:t>、无缺株、断层、无枯死株；</w:t>
      </w:r>
    </w:p>
    <w:p>
      <w:pPr>
        <w:pStyle w:val="BodyText"/>
        <w:ind w:left="570"/>
        <w:spacing w:before="156" w:line="219" w:lineRule="auto"/>
        <w:rPr>
          <w:sz w:val="29"/>
          <w:szCs w:val="29"/>
        </w:rPr>
      </w:pPr>
      <w:r>
        <w:rPr>
          <w:rFonts w:ascii="Times New Roman" w:hAnsi="Times New Roman" w:eastAsia="Times New Roman" w:cs="Times New Roman"/>
          <w:sz w:val="29"/>
          <w:szCs w:val="29"/>
          <w:spacing w:val="-2"/>
        </w:rPr>
        <w:t>5</w:t>
      </w:r>
      <w:r>
        <w:rPr>
          <w:rFonts w:ascii="Times New Roman" w:hAnsi="Times New Roman" w:eastAsia="Times New Roman" w:cs="Times New Roman"/>
          <w:sz w:val="29"/>
          <w:szCs w:val="29"/>
          <w:spacing w:val="-28"/>
        </w:rPr>
        <w:t xml:space="preserve"> </w:t>
      </w:r>
      <w:r>
        <w:rPr>
          <w:sz w:val="29"/>
          <w:szCs w:val="29"/>
          <w:spacing w:val="-2"/>
        </w:rPr>
        <w:t>、无病虫害，或病虫害得到及时控制不影响景观；</w:t>
      </w:r>
    </w:p>
    <w:p>
      <w:pPr>
        <w:pStyle w:val="BodyText"/>
        <w:ind w:left="570"/>
        <w:spacing w:before="154" w:line="219" w:lineRule="auto"/>
        <w:rPr>
          <w:sz w:val="29"/>
          <w:szCs w:val="29"/>
        </w:rPr>
      </w:pPr>
      <w:r>
        <w:rPr>
          <w:rFonts w:ascii="Times New Roman" w:hAnsi="Times New Roman" w:eastAsia="Times New Roman" w:cs="Times New Roman"/>
          <w:sz w:val="29"/>
          <w:szCs w:val="29"/>
          <w:spacing w:val="-3"/>
        </w:rPr>
        <w:t>6</w:t>
      </w:r>
      <w:r>
        <w:rPr>
          <w:rFonts w:ascii="Times New Roman" w:hAnsi="Times New Roman" w:eastAsia="Times New Roman" w:cs="Times New Roman"/>
          <w:sz w:val="29"/>
          <w:szCs w:val="29"/>
          <w:spacing w:val="-41"/>
        </w:rPr>
        <w:t xml:space="preserve"> </w:t>
      </w:r>
      <w:r>
        <w:rPr>
          <w:sz w:val="29"/>
          <w:szCs w:val="29"/>
          <w:spacing w:val="-3"/>
        </w:rPr>
        <w:t>、与园建交界处土面不高于石材表面、不“光</w:t>
      </w:r>
      <w:r>
        <w:rPr>
          <w:sz w:val="29"/>
          <w:szCs w:val="29"/>
          <w:spacing w:val="-4"/>
        </w:rPr>
        <w:t>脚”(下部脚叶不空缺);</w:t>
      </w:r>
    </w:p>
    <w:p>
      <w:pPr>
        <w:pStyle w:val="BodyText"/>
        <w:ind w:left="570"/>
        <w:spacing w:before="148" w:line="219" w:lineRule="auto"/>
        <w:rPr>
          <w:sz w:val="29"/>
          <w:szCs w:val="29"/>
        </w:rPr>
      </w:pPr>
      <w:r>
        <w:rPr>
          <w:rFonts w:ascii="Times New Roman" w:hAnsi="Times New Roman" w:eastAsia="Times New Roman" w:cs="Times New Roman"/>
          <w:sz w:val="29"/>
          <w:szCs w:val="29"/>
        </w:rPr>
        <w:t>7</w:t>
      </w:r>
      <w:r>
        <w:rPr>
          <w:rFonts w:ascii="Times New Roman" w:hAnsi="Times New Roman" w:eastAsia="Times New Roman" w:cs="Times New Roman"/>
          <w:sz w:val="29"/>
          <w:szCs w:val="29"/>
          <w:spacing w:val="-34"/>
        </w:rPr>
        <w:t xml:space="preserve"> </w:t>
      </w:r>
      <w:r>
        <w:rPr>
          <w:sz w:val="29"/>
          <w:szCs w:val="29"/>
        </w:rPr>
        <w:t>、绿化带内无垃圾杂物，能见到土面的部位要求土壤平整无垃圾；</w:t>
      </w:r>
    </w:p>
    <w:p>
      <w:pPr>
        <w:pStyle w:val="BodyText"/>
        <w:ind w:left="570"/>
        <w:spacing w:before="124" w:line="219" w:lineRule="auto"/>
        <w:rPr>
          <w:sz w:val="29"/>
          <w:szCs w:val="29"/>
        </w:rPr>
      </w:pPr>
      <w:r>
        <w:rPr>
          <w:rFonts w:ascii="Times New Roman" w:hAnsi="Times New Roman" w:eastAsia="Times New Roman" w:cs="Times New Roman"/>
          <w:sz w:val="29"/>
          <w:szCs w:val="29"/>
          <w:spacing w:val="-2"/>
        </w:rPr>
        <w:t>8</w:t>
      </w:r>
      <w:r>
        <w:rPr>
          <w:rFonts w:ascii="Times New Roman" w:hAnsi="Times New Roman" w:eastAsia="Times New Roman" w:cs="Times New Roman"/>
          <w:sz w:val="29"/>
          <w:szCs w:val="29"/>
          <w:spacing w:val="-28"/>
        </w:rPr>
        <w:t xml:space="preserve"> </w:t>
      </w:r>
      <w:r>
        <w:rPr>
          <w:sz w:val="29"/>
          <w:szCs w:val="29"/>
          <w:spacing w:val="-2"/>
        </w:rPr>
        <w:t>、地被植物上不能存在缺水萎缩和水涝萎缩现象；</w:t>
      </w:r>
    </w:p>
    <w:p>
      <w:pPr>
        <w:pStyle w:val="BodyText"/>
        <w:ind w:left="570"/>
        <w:spacing w:before="156" w:line="219" w:lineRule="auto"/>
        <w:rPr>
          <w:sz w:val="29"/>
          <w:szCs w:val="29"/>
        </w:rPr>
      </w:pPr>
      <w:r>
        <w:rPr>
          <w:rFonts w:ascii="Times New Roman" w:hAnsi="Times New Roman" w:eastAsia="Times New Roman" w:cs="Times New Roman"/>
          <w:sz w:val="29"/>
          <w:szCs w:val="29"/>
          <w:spacing w:val="-3"/>
        </w:rPr>
        <w:t>9</w:t>
      </w:r>
      <w:r>
        <w:rPr>
          <w:rFonts w:ascii="Times New Roman" w:hAnsi="Times New Roman" w:eastAsia="Times New Roman" w:cs="Times New Roman"/>
          <w:sz w:val="29"/>
          <w:szCs w:val="29"/>
          <w:spacing w:val="-32"/>
        </w:rPr>
        <w:t xml:space="preserve"> </w:t>
      </w:r>
      <w:r>
        <w:rPr>
          <w:sz w:val="29"/>
          <w:szCs w:val="29"/>
          <w:spacing w:val="-3"/>
        </w:rPr>
        <w:t>、施肥适当，没有肥害现象；</w:t>
      </w:r>
    </w:p>
    <w:p>
      <w:pPr>
        <w:pStyle w:val="BodyText"/>
        <w:ind w:left="570"/>
        <w:spacing w:before="158" w:line="219" w:lineRule="auto"/>
        <w:rPr>
          <w:sz w:val="29"/>
          <w:szCs w:val="29"/>
        </w:rPr>
      </w:pPr>
      <w:r>
        <w:rPr>
          <w:rFonts w:ascii="Times New Roman" w:hAnsi="Times New Roman" w:eastAsia="Times New Roman" w:cs="Times New Roman"/>
          <w:sz w:val="29"/>
          <w:szCs w:val="29"/>
          <w:spacing w:val="-4"/>
        </w:rPr>
        <w:t>10</w:t>
      </w:r>
      <w:r>
        <w:rPr>
          <w:rFonts w:ascii="Times New Roman" w:hAnsi="Times New Roman" w:eastAsia="Times New Roman" w:cs="Times New Roman"/>
          <w:sz w:val="29"/>
          <w:szCs w:val="29"/>
          <w:spacing w:val="-33"/>
        </w:rPr>
        <w:t xml:space="preserve"> </w:t>
      </w:r>
      <w:r>
        <w:rPr>
          <w:sz w:val="29"/>
          <w:szCs w:val="29"/>
          <w:spacing w:val="-4"/>
        </w:rPr>
        <w:t>、修剪下的枝叶及时清除。</w:t>
      </w:r>
    </w:p>
    <w:p>
      <w:pPr>
        <w:spacing w:line="219" w:lineRule="auto"/>
        <w:sectPr>
          <w:footerReference w:type="default" r:id="rId157"/>
          <w:pgSz w:w="14490" w:h="20470"/>
          <w:pgMar w:top="1739" w:right="2116" w:bottom="1385" w:left="2150" w:header="0" w:footer="1223" w:gutter="0"/>
        </w:sectPr>
        <w:rPr>
          <w:sz w:val="29"/>
          <w:szCs w:val="29"/>
        </w:rPr>
      </w:pPr>
    </w:p>
    <w:p>
      <w:pPr>
        <w:ind w:left="3656"/>
        <w:spacing w:before="158" w:line="221" w:lineRule="auto"/>
        <w:outlineLvl w:val="0"/>
        <w:rPr>
          <w:rFonts w:ascii="SimHei" w:hAnsi="SimHei" w:eastAsia="SimHei" w:cs="SimHei"/>
          <w:sz w:val="48"/>
          <w:szCs w:val="48"/>
        </w:rPr>
      </w:pPr>
      <w:bookmarkStart w:name="bookmark94" w:id="36"/>
      <w:bookmarkEnd w:id="36"/>
      <w:bookmarkStart w:name="bookmark21" w:id="37"/>
      <w:bookmarkEnd w:id="37"/>
      <w:r>
        <w:rPr>
          <w:rFonts w:ascii="SimHei" w:hAnsi="SimHei" w:eastAsia="SimHei" w:cs="SimHei"/>
          <w:sz w:val="48"/>
          <w:szCs w:val="48"/>
          <w:b/>
          <w:bCs/>
          <w:spacing w:val="-38"/>
        </w:rPr>
        <w:t>第四章</w:t>
      </w:r>
      <w:r>
        <w:rPr>
          <w:rFonts w:ascii="SimHei" w:hAnsi="SimHei" w:eastAsia="SimHei" w:cs="SimHei"/>
          <w:sz w:val="48"/>
          <w:szCs w:val="48"/>
          <w:spacing w:val="190"/>
        </w:rPr>
        <w:t xml:space="preserve"> </w:t>
      </w:r>
      <w:r>
        <w:rPr>
          <w:rFonts w:ascii="SimHei" w:hAnsi="SimHei" w:eastAsia="SimHei" w:cs="SimHei"/>
          <w:sz w:val="48"/>
          <w:szCs w:val="48"/>
          <w:b/>
          <w:bCs/>
          <w:spacing w:val="-38"/>
        </w:rPr>
        <w:t>草坪养护</w:t>
      </w:r>
    </w:p>
    <w:p>
      <w:pPr>
        <w:spacing w:line="310" w:lineRule="auto"/>
        <w:rPr>
          <w:rFonts w:ascii="Arial"/>
          <w:sz w:val="21"/>
        </w:rPr>
      </w:pPr>
      <w:r/>
    </w:p>
    <w:p>
      <w:pPr>
        <w:spacing w:line="310" w:lineRule="auto"/>
        <w:rPr>
          <w:rFonts w:ascii="Arial"/>
          <w:sz w:val="21"/>
        </w:rPr>
      </w:pPr>
      <w:r/>
    </w:p>
    <w:p>
      <w:pPr>
        <w:pStyle w:val="BodyText"/>
        <w:ind w:left="779"/>
        <w:spacing w:before="95" w:line="219" w:lineRule="auto"/>
        <w:rPr>
          <w:sz w:val="29"/>
          <w:szCs w:val="29"/>
        </w:rPr>
      </w:pPr>
      <w:r>
        <w:rPr>
          <w:sz w:val="29"/>
          <w:szCs w:val="29"/>
          <w:spacing w:val="1"/>
        </w:rPr>
        <w:t>草坪养护的主要内容有修剪、疏草、浇灌、补植等内</w:t>
      </w:r>
      <w:r>
        <w:rPr>
          <w:sz w:val="29"/>
          <w:szCs w:val="29"/>
        </w:rPr>
        <w:t>容。</w:t>
      </w:r>
    </w:p>
    <w:p>
      <w:pPr>
        <w:ind w:left="214"/>
        <w:spacing w:before="148" w:line="221" w:lineRule="auto"/>
        <w:outlineLvl w:val="1"/>
        <w:rPr>
          <w:rFonts w:ascii="SimHei" w:hAnsi="SimHei" w:eastAsia="SimHei" w:cs="SimHei"/>
          <w:sz w:val="29"/>
          <w:szCs w:val="29"/>
        </w:rPr>
      </w:pPr>
      <w:bookmarkStart w:name="bookmark22" w:id="38"/>
      <w:bookmarkEnd w:id="38"/>
      <w:r>
        <w:rPr>
          <w:rFonts w:ascii="SimHei" w:hAnsi="SimHei" w:eastAsia="SimHei" w:cs="SimHei"/>
          <w:sz w:val="29"/>
          <w:szCs w:val="29"/>
          <w:b/>
          <w:bCs/>
          <w:spacing w:val="1"/>
        </w:rPr>
        <w:t>一、草坪类型</w:t>
      </w:r>
    </w:p>
    <w:p>
      <w:pPr>
        <w:pStyle w:val="BodyText"/>
        <w:ind w:left="779"/>
        <w:spacing w:before="159" w:line="219" w:lineRule="auto"/>
        <w:rPr>
          <w:sz w:val="29"/>
          <w:szCs w:val="29"/>
        </w:rPr>
      </w:pPr>
      <w:r>
        <w:rPr>
          <w:sz w:val="29"/>
          <w:szCs w:val="29"/>
          <w:spacing w:val="1"/>
        </w:rPr>
        <w:t>草坪一般可分为暖季型草坪、冷季型草坪两大类。</w:t>
      </w:r>
    </w:p>
    <w:p>
      <w:pPr>
        <w:ind w:left="209"/>
        <w:spacing w:before="160" w:line="222" w:lineRule="auto"/>
        <w:rPr>
          <w:rFonts w:ascii="FangSong" w:hAnsi="FangSong" w:eastAsia="FangSong" w:cs="FangSong"/>
          <w:sz w:val="29"/>
          <w:szCs w:val="29"/>
        </w:rPr>
      </w:pPr>
      <w:r>
        <w:rPr>
          <w:rFonts w:ascii="FangSong" w:hAnsi="FangSong" w:eastAsia="FangSong" w:cs="FangSong"/>
          <w:sz w:val="29"/>
          <w:szCs w:val="29"/>
          <w:spacing w:val="2"/>
        </w:rPr>
        <w:t>1、</w:t>
      </w:r>
      <w:r>
        <w:rPr>
          <w:rFonts w:ascii="FangSong" w:hAnsi="FangSong" w:eastAsia="FangSong" w:cs="FangSong"/>
          <w:sz w:val="29"/>
          <w:szCs w:val="29"/>
          <w:b/>
          <w:bCs/>
          <w:spacing w:val="2"/>
        </w:rPr>
        <w:t>暖季型草坪</w:t>
      </w:r>
    </w:p>
    <w:p>
      <w:pPr>
        <w:pStyle w:val="BodyText"/>
        <w:ind w:left="209" w:right="505" w:firstLine="570"/>
        <w:spacing w:before="142" w:line="323" w:lineRule="auto"/>
        <w:rPr>
          <w:sz w:val="29"/>
          <w:szCs w:val="29"/>
        </w:rPr>
      </w:pPr>
      <w:r>
        <w:rPr>
          <w:sz w:val="29"/>
          <w:szCs w:val="29"/>
          <w:spacing w:val="5"/>
        </w:rPr>
        <w:t>暖季型草坪：最适宜生长得温度是26—32℃,冬季呈休眠状态，枯黄期长，</w:t>
      </w:r>
      <w:r>
        <w:rPr>
          <w:sz w:val="29"/>
          <w:szCs w:val="29"/>
          <w:spacing w:val="3"/>
        </w:rPr>
        <w:t xml:space="preserve"> </w:t>
      </w:r>
      <w:r>
        <w:rPr>
          <w:sz w:val="29"/>
          <w:szCs w:val="29"/>
          <w:spacing w:val="1"/>
        </w:rPr>
        <w:t>早春开始返青，高温、高湿容易发生病虫害，以早预防为主。</w:t>
      </w:r>
    </w:p>
    <w:p>
      <w:pPr>
        <w:pStyle w:val="BodyText"/>
        <w:ind w:left="779"/>
        <w:spacing w:before="1" w:line="215" w:lineRule="auto"/>
        <w:rPr>
          <w:sz w:val="29"/>
          <w:szCs w:val="29"/>
        </w:rPr>
      </w:pPr>
      <w:r>
        <w:rPr>
          <w:sz w:val="29"/>
          <w:szCs w:val="29"/>
          <w:spacing w:val="5"/>
        </w:rPr>
        <w:t>1)品种：公司常用品种有马尼拉、台湾草、百慕大等；</w:t>
      </w:r>
    </w:p>
    <w:p>
      <w:pPr>
        <w:spacing w:line="2990" w:lineRule="exact"/>
        <w:rPr/>
      </w:pPr>
      <w:r>
        <w:rPr>
          <w:position w:val="-59"/>
        </w:rPr>
        <w:drawing>
          <wp:inline distT="0" distB="0" distL="0" distR="0">
            <wp:extent cx="6915125" cy="1898684"/>
            <wp:effectExtent l="0" t="0" r="0" b="0"/>
            <wp:docPr id="222" name="IM 222"/>
            <wp:cNvGraphicFramePr/>
            <a:graphic>
              <a:graphicData uri="http://schemas.openxmlformats.org/drawingml/2006/picture">
                <pic:pic>
                  <pic:nvPicPr>
                    <pic:cNvPr id="222" name="IM 222"/>
                    <pic:cNvPicPr/>
                  </pic:nvPicPr>
                  <pic:blipFill>
                    <a:blip r:embed="rId159"/>
                    <a:stretch>
                      <a:fillRect/>
                    </a:stretch>
                  </pic:blipFill>
                  <pic:spPr>
                    <a:xfrm rot="0">
                      <a:off x="0" y="0"/>
                      <a:ext cx="6915125" cy="1898684"/>
                    </a:xfrm>
                    <a:prstGeom prst="rect">
                      <a:avLst/>
                    </a:prstGeom>
                  </pic:spPr>
                </pic:pic>
              </a:graphicData>
            </a:graphic>
          </wp:inline>
        </w:drawing>
      </w:r>
    </w:p>
    <w:p>
      <w:pPr>
        <w:pStyle w:val="BodyText"/>
        <w:ind w:left="4259"/>
        <w:spacing w:before="120" w:line="219" w:lineRule="auto"/>
        <w:rPr>
          <w:sz w:val="24"/>
          <w:szCs w:val="24"/>
        </w:rPr>
      </w:pPr>
      <w:r>
        <w:rPr>
          <w:sz w:val="24"/>
          <w:szCs w:val="24"/>
          <w:spacing w:val="4"/>
        </w:rPr>
        <w:t>图4-1-1常用暖季型草坪</w:t>
      </w:r>
    </w:p>
    <w:p>
      <w:pPr>
        <w:pStyle w:val="BodyText"/>
        <w:ind w:left="209" w:right="591" w:firstLine="570"/>
        <w:spacing w:before="157" w:line="263" w:lineRule="auto"/>
        <w:rPr>
          <w:sz w:val="30"/>
          <w:szCs w:val="30"/>
        </w:rPr>
      </w:pPr>
      <w:r>
        <w:rPr>
          <w:sz w:val="30"/>
          <w:szCs w:val="30"/>
          <w:spacing w:val="-20"/>
        </w:rPr>
        <w:t>2)分布：主要分布在浙江、江苏、湖北、湖南、广西、重庆、江西、贵州、福</w:t>
      </w:r>
      <w:r>
        <w:rPr>
          <w:sz w:val="30"/>
          <w:szCs w:val="30"/>
          <w:spacing w:val="17"/>
        </w:rPr>
        <w:t xml:space="preserve"> </w:t>
      </w:r>
      <w:r>
        <w:rPr>
          <w:sz w:val="30"/>
          <w:szCs w:val="30"/>
          <w:spacing w:val="-1"/>
        </w:rPr>
        <w:t>建、广东、海南等温暖的南方地区(以下简称南方地区);</w:t>
      </w:r>
    </w:p>
    <w:p>
      <w:pPr>
        <w:pStyle w:val="BodyText"/>
        <w:ind w:left="209" w:right="655" w:firstLine="570"/>
        <w:spacing w:before="154" w:line="262" w:lineRule="auto"/>
        <w:rPr>
          <w:sz w:val="29"/>
          <w:szCs w:val="29"/>
        </w:rPr>
      </w:pPr>
      <w:r>
        <w:rPr>
          <w:sz w:val="29"/>
          <w:szCs w:val="29"/>
          <w:spacing w:val="5"/>
        </w:rPr>
        <w:t>3)特点：暖季型草坪一年只有一个生长期，从初春到秋季，夏季最旺盛，</w:t>
      </w:r>
      <w:r>
        <w:rPr>
          <w:sz w:val="29"/>
          <w:szCs w:val="29"/>
          <w:spacing w:val="8"/>
        </w:rPr>
        <w:t xml:space="preserve"> </w:t>
      </w:r>
      <w:r>
        <w:rPr>
          <w:sz w:val="29"/>
          <w:szCs w:val="29"/>
          <w:spacing w:val="2"/>
        </w:rPr>
        <w:t>冬季进入休眠期，需要规律间断性施肥。冬季</w:t>
      </w:r>
      <w:r>
        <w:rPr>
          <w:sz w:val="29"/>
          <w:szCs w:val="29"/>
          <w:spacing w:val="1"/>
        </w:rPr>
        <w:t>草坪进入休眠期或半休眠期。</w:t>
      </w:r>
    </w:p>
    <w:p>
      <w:pPr>
        <w:pStyle w:val="BodyText"/>
        <w:ind w:left="209"/>
        <w:spacing w:before="166" w:line="222" w:lineRule="auto"/>
        <w:rPr>
          <w:rFonts w:ascii="FangSong" w:hAnsi="FangSong" w:eastAsia="FangSong" w:cs="FangSong"/>
          <w:sz w:val="29"/>
          <w:szCs w:val="29"/>
        </w:rPr>
      </w:pPr>
      <w:r>
        <w:rPr>
          <w:rFonts w:ascii="Times New Roman" w:hAnsi="Times New Roman" w:eastAsia="Times New Roman" w:cs="Times New Roman"/>
          <w:sz w:val="29"/>
          <w:szCs w:val="29"/>
        </w:rPr>
        <w:t>2</w:t>
      </w:r>
      <w:r>
        <w:rPr>
          <w:rFonts w:ascii="Times New Roman" w:hAnsi="Times New Roman" w:eastAsia="Times New Roman" w:cs="Times New Roman"/>
          <w:sz w:val="29"/>
          <w:szCs w:val="29"/>
          <w:spacing w:val="-39"/>
        </w:rPr>
        <w:t xml:space="preserve"> </w:t>
      </w:r>
      <w:r>
        <w:rPr>
          <w:sz w:val="29"/>
          <w:szCs w:val="29"/>
        </w:rPr>
        <w:t>、</w:t>
      </w:r>
      <w:r>
        <w:rPr>
          <w:rFonts w:ascii="FangSong" w:hAnsi="FangSong" w:eastAsia="FangSong" w:cs="FangSong"/>
          <w:sz w:val="29"/>
          <w:szCs w:val="29"/>
        </w:rPr>
        <w:t>冷季型草坪</w:t>
      </w:r>
    </w:p>
    <w:p>
      <w:pPr>
        <w:pStyle w:val="BodyText"/>
        <w:ind w:left="209" w:right="519" w:firstLine="570"/>
        <w:spacing w:before="155" w:line="313" w:lineRule="auto"/>
        <w:jc w:val="both"/>
        <w:rPr>
          <w:sz w:val="29"/>
          <w:szCs w:val="29"/>
        </w:rPr>
      </w:pPr>
      <w:r>
        <w:rPr>
          <w:sz w:val="29"/>
          <w:szCs w:val="29"/>
          <w:spacing w:val="8"/>
        </w:rPr>
        <w:t>冷季型草坪：耐寒性较强，春、秋两季生长旺盛，夏季不耐炎热，适宜于</w:t>
      </w:r>
      <w:r>
        <w:rPr>
          <w:sz w:val="29"/>
          <w:szCs w:val="29"/>
        </w:rPr>
        <w:t xml:space="preserve"> </w:t>
      </w:r>
      <w:r>
        <w:rPr>
          <w:rFonts w:ascii="Times New Roman" w:hAnsi="Times New Roman" w:eastAsia="Times New Roman" w:cs="Times New Roman"/>
          <w:sz w:val="29"/>
          <w:szCs w:val="29"/>
          <w:spacing w:val="-2"/>
        </w:rPr>
        <w:t>PH</w:t>
      </w:r>
      <w:r>
        <w:rPr>
          <w:sz w:val="29"/>
          <w:szCs w:val="29"/>
          <w:spacing w:val="-2"/>
        </w:rPr>
        <w:t>值6.0—7.0微酸性土壤。在南方越夏困难，在温度超过25℃的潮湿季节，极易</w:t>
      </w:r>
      <w:r>
        <w:rPr>
          <w:sz w:val="29"/>
          <w:szCs w:val="29"/>
          <w:spacing w:val="8"/>
        </w:rPr>
        <w:t xml:space="preserve"> </w:t>
      </w:r>
      <w:r>
        <w:rPr>
          <w:sz w:val="29"/>
          <w:szCs w:val="29"/>
          <w:spacing w:val="-3"/>
        </w:rPr>
        <w:t>产生霉菌。</w:t>
      </w:r>
    </w:p>
    <w:p>
      <w:pPr>
        <w:pStyle w:val="BodyText"/>
        <w:ind w:left="779"/>
        <w:spacing w:before="11" w:line="219" w:lineRule="auto"/>
        <w:rPr>
          <w:sz w:val="29"/>
          <w:szCs w:val="29"/>
        </w:rPr>
      </w:pPr>
      <w:r>
        <w:rPr>
          <w:rFonts w:ascii="Times New Roman" w:hAnsi="Times New Roman" w:eastAsia="Times New Roman" w:cs="Times New Roman"/>
          <w:sz w:val="29"/>
          <w:szCs w:val="29"/>
          <w:spacing w:val="6"/>
        </w:rPr>
        <w:t>D    </w:t>
      </w:r>
      <w:r>
        <w:rPr>
          <w:sz w:val="29"/>
          <w:szCs w:val="29"/>
          <w:spacing w:val="6"/>
        </w:rPr>
        <w:t>品种：公司常用品种有高羊茅、多年生黑麦</w:t>
      </w:r>
      <w:r>
        <w:rPr>
          <w:sz w:val="29"/>
          <w:szCs w:val="29"/>
          <w:spacing w:val="5"/>
        </w:rPr>
        <w:t>草、草地早熟禾(如“美国</w:t>
      </w:r>
    </w:p>
    <w:p>
      <w:pPr>
        <w:spacing w:line="110" w:lineRule="exact"/>
        <w:rPr/>
      </w:pPr>
      <w:r/>
    </w:p>
    <w:p>
      <w:pPr>
        <w:spacing w:line="110" w:lineRule="exact"/>
        <w:sectPr>
          <w:footerReference w:type="default" r:id="rId158"/>
          <w:pgSz w:w="14490" w:h="20470"/>
          <w:pgMar w:top="1739" w:right="1659" w:bottom="1413" w:left="1940" w:header="0" w:footer="1215" w:gutter="0"/>
          <w:cols w:equalWidth="0" w:num="1">
            <w:col w:w="10890" w:space="0"/>
          </w:cols>
        </w:sectPr>
        <w:rPr/>
      </w:pPr>
    </w:p>
    <w:p>
      <w:pPr>
        <w:pStyle w:val="BodyText"/>
        <w:ind w:left="209"/>
        <w:spacing w:before="58" w:line="209" w:lineRule="auto"/>
        <w:rPr>
          <w:sz w:val="29"/>
          <w:szCs w:val="29"/>
        </w:rPr>
      </w:pPr>
      <w:r>
        <w:rPr>
          <w:sz w:val="29"/>
          <w:szCs w:val="29"/>
          <w:spacing w:val="-2"/>
        </w:rPr>
        <w:t>优异”)等；</w:t>
      </w:r>
    </w:p>
    <w:p>
      <w:pPr>
        <w:ind w:firstLine="439"/>
        <w:spacing w:line="3230" w:lineRule="exact"/>
        <w:rPr/>
      </w:pPr>
      <w:r>
        <w:rPr>
          <w:position w:val="-64"/>
        </w:rPr>
        <w:drawing>
          <wp:inline distT="0" distB="0" distL="0" distR="0">
            <wp:extent cx="2171747" cy="2051025"/>
            <wp:effectExtent l="0" t="0" r="0" b="0"/>
            <wp:docPr id="224" name="IM 224"/>
            <wp:cNvGraphicFramePr/>
            <a:graphic>
              <a:graphicData uri="http://schemas.openxmlformats.org/drawingml/2006/picture">
                <pic:pic>
                  <pic:nvPicPr>
                    <pic:cNvPr id="224" name="IM 224"/>
                    <pic:cNvPicPr/>
                  </pic:nvPicPr>
                  <pic:blipFill>
                    <a:blip r:embed="rId160"/>
                    <a:stretch>
                      <a:fillRect/>
                    </a:stretch>
                  </pic:blipFill>
                  <pic:spPr>
                    <a:xfrm rot="0">
                      <a:off x="0" y="0"/>
                      <a:ext cx="2171747" cy="2051025"/>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342" w:lineRule="auto"/>
        <w:rPr>
          <w:rFonts w:ascii="Arial"/>
          <w:sz w:val="21"/>
        </w:rPr>
      </w:pPr>
      <w:r/>
    </w:p>
    <w:p>
      <w:pPr>
        <w:spacing w:before="1" w:line="3270" w:lineRule="exact"/>
        <w:rPr/>
      </w:pPr>
      <w:r>
        <w:rPr>
          <w:position w:val="-65"/>
        </w:rPr>
        <w:drawing>
          <wp:inline distT="0" distB="0" distL="0" distR="0">
            <wp:extent cx="2006586" cy="2076372"/>
            <wp:effectExtent l="0" t="0" r="0" b="0"/>
            <wp:docPr id="226" name="IM 226"/>
            <wp:cNvGraphicFramePr/>
            <a:graphic>
              <a:graphicData uri="http://schemas.openxmlformats.org/drawingml/2006/picture">
                <pic:pic>
                  <pic:nvPicPr>
                    <pic:cNvPr id="226" name="IM 226"/>
                    <pic:cNvPicPr/>
                  </pic:nvPicPr>
                  <pic:blipFill>
                    <a:blip r:embed="rId161"/>
                    <a:stretch>
                      <a:fillRect/>
                    </a:stretch>
                  </pic:blipFill>
                  <pic:spPr>
                    <a:xfrm rot="0">
                      <a:off x="0" y="0"/>
                      <a:ext cx="2006586" cy="2076372"/>
                    </a:xfrm>
                    <a:prstGeom prst="rect">
                      <a:avLst/>
                    </a:prstGeom>
                  </pic:spPr>
                </pic:pic>
              </a:graphicData>
            </a:graphic>
          </wp:inline>
        </w:drawing>
      </w:r>
    </w:p>
    <w:p>
      <w:pPr>
        <w:pStyle w:val="BodyText"/>
        <w:ind w:left="309"/>
        <w:spacing w:before="220" w:line="184" w:lineRule="auto"/>
        <w:rPr>
          <w:sz w:val="24"/>
          <w:szCs w:val="24"/>
        </w:rPr>
      </w:pPr>
      <w:r>
        <w:rPr>
          <w:sz w:val="24"/>
          <w:szCs w:val="24"/>
          <w:spacing w:val="4"/>
        </w:rPr>
        <w:t>图4-1-2常用冷季型草坪</w:t>
      </w:r>
    </w:p>
    <w:p>
      <w:pPr>
        <w:spacing w:line="14" w:lineRule="auto"/>
        <w:rPr>
          <w:rFonts w:ascii="Arial"/>
          <w:sz w:val="2"/>
        </w:rPr>
      </w:pPr>
      <w:r>
        <w:rPr>
          <w:rFonts w:ascii="Arial" w:hAnsi="Arial" w:eastAsia="Arial" w:cs="Arial"/>
          <w:sz w:val="2"/>
          <w:szCs w:val="2"/>
        </w:rPr>
        <w:br w:type="column"/>
      </w:r>
    </w:p>
    <w:p>
      <w:pPr>
        <w:spacing w:line="342" w:lineRule="auto"/>
        <w:rPr>
          <w:rFonts w:ascii="Arial"/>
          <w:sz w:val="21"/>
        </w:rPr>
      </w:pPr>
      <w:r/>
    </w:p>
    <w:p>
      <w:pPr>
        <w:spacing w:before="1" w:line="3270" w:lineRule="exact"/>
        <w:rPr/>
      </w:pPr>
      <w:r>
        <w:rPr>
          <w:position w:val="-65"/>
        </w:rPr>
        <w:drawing>
          <wp:inline distT="0" distB="0" distL="0" distR="0">
            <wp:extent cx="2139911" cy="2076372"/>
            <wp:effectExtent l="0" t="0" r="0" b="0"/>
            <wp:docPr id="228" name="IM 228"/>
            <wp:cNvGraphicFramePr/>
            <a:graphic>
              <a:graphicData uri="http://schemas.openxmlformats.org/drawingml/2006/picture">
                <pic:pic>
                  <pic:nvPicPr>
                    <pic:cNvPr id="228" name="IM 228"/>
                    <pic:cNvPicPr/>
                  </pic:nvPicPr>
                  <pic:blipFill>
                    <a:blip r:embed="rId162"/>
                    <a:stretch>
                      <a:fillRect/>
                    </a:stretch>
                  </pic:blipFill>
                  <pic:spPr>
                    <a:xfrm rot="0">
                      <a:off x="0" y="0"/>
                      <a:ext cx="2139911" cy="2076372"/>
                    </a:xfrm>
                    <a:prstGeom prst="rect">
                      <a:avLst/>
                    </a:prstGeom>
                  </pic:spPr>
                </pic:pic>
              </a:graphicData>
            </a:graphic>
          </wp:inline>
        </w:drawing>
      </w:r>
    </w:p>
    <w:p>
      <w:pPr>
        <w:spacing w:line="3270" w:lineRule="exact"/>
        <w:sectPr>
          <w:type w:val="continuous"/>
          <w:pgSz w:w="14490" w:h="20470"/>
          <w:pgMar w:top="1739" w:right="1659" w:bottom="1413" w:left="1940" w:header="0" w:footer="1215" w:gutter="0"/>
          <w:cols w:equalWidth="0" w:num="3">
            <w:col w:w="3860" w:space="89"/>
            <w:col w:w="3170" w:space="100"/>
            <w:col w:w="3671" w:space="0"/>
          </w:cols>
        </w:sectPr>
        <w:rPr/>
      </w:pPr>
    </w:p>
    <w:p>
      <w:pPr>
        <w:pStyle w:val="BodyText"/>
        <w:ind w:left="700" w:right="678" w:firstLine="590"/>
        <w:spacing w:before="122" w:line="276" w:lineRule="auto"/>
        <w:rPr>
          <w:sz w:val="29"/>
          <w:szCs w:val="29"/>
        </w:rPr>
      </w:pPr>
      <w:bookmarkStart w:name="bookmark95" w:id="39"/>
      <w:bookmarkEnd w:id="39"/>
      <w:r>
        <w:rPr>
          <w:rFonts w:ascii="Times New Roman" w:hAnsi="Times New Roman" w:eastAsia="Times New Roman" w:cs="Times New Roman"/>
          <w:sz w:val="29"/>
          <w:szCs w:val="29"/>
          <w:spacing w:val="3"/>
        </w:rPr>
        <w:t>2    </w:t>
      </w:r>
      <w:r>
        <w:rPr>
          <w:sz w:val="29"/>
          <w:szCs w:val="29"/>
          <w:spacing w:val="3"/>
        </w:rPr>
        <w:t>分布：一般分布在北京、黑龙江、吉林、内蒙古</w:t>
      </w:r>
      <w:r>
        <w:rPr>
          <w:sz w:val="29"/>
          <w:szCs w:val="29"/>
          <w:spacing w:val="2"/>
        </w:rPr>
        <w:t>、山西、辽宁、天津、</w:t>
      </w:r>
      <w:r>
        <w:rPr>
          <w:sz w:val="29"/>
          <w:szCs w:val="29"/>
        </w:rPr>
        <w:t xml:space="preserve"> </w:t>
      </w:r>
      <w:r>
        <w:rPr>
          <w:sz w:val="29"/>
          <w:szCs w:val="29"/>
          <w:spacing w:val="-4"/>
        </w:rPr>
        <w:t>河北、河南、陕西、新疆、宁夏、甘肃、山东等冬季寒冷</w:t>
      </w:r>
      <w:r>
        <w:rPr>
          <w:sz w:val="29"/>
          <w:szCs w:val="29"/>
          <w:spacing w:val="-5"/>
        </w:rPr>
        <w:t>的北方地区(以下简北方</w:t>
      </w:r>
      <w:r>
        <w:rPr>
          <w:sz w:val="29"/>
          <w:szCs w:val="29"/>
        </w:rPr>
        <w:t xml:space="preserve"> </w:t>
      </w:r>
      <w:r>
        <w:rPr>
          <w:sz w:val="29"/>
          <w:szCs w:val="29"/>
          <w:spacing w:val="7"/>
        </w:rPr>
        <w:t>地区);</w:t>
      </w:r>
    </w:p>
    <w:p>
      <w:pPr>
        <w:pStyle w:val="BodyText"/>
        <w:ind w:left="700" w:right="677" w:firstLine="590"/>
        <w:spacing w:before="188" w:line="279" w:lineRule="auto"/>
        <w:rPr>
          <w:sz w:val="29"/>
          <w:szCs w:val="29"/>
        </w:rPr>
      </w:pPr>
      <w:r>
        <w:rPr>
          <w:rFonts w:ascii="Times New Roman" w:hAnsi="Times New Roman" w:eastAsia="Times New Roman" w:cs="Times New Roman"/>
          <w:sz w:val="29"/>
          <w:szCs w:val="29"/>
          <w:spacing w:val="11"/>
        </w:rPr>
        <w:t>3    </w:t>
      </w:r>
      <w:r>
        <w:rPr>
          <w:sz w:val="29"/>
          <w:szCs w:val="29"/>
          <w:spacing w:val="11"/>
        </w:rPr>
        <w:t>特点：冷季型草坪有春季和秋季(适宜温度15—25℃)两个生长期</w:t>
      </w:r>
      <w:r>
        <w:rPr>
          <w:sz w:val="29"/>
          <w:szCs w:val="29"/>
          <w:spacing w:val="10"/>
        </w:rPr>
        <w:t>，夏</w:t>
      </w:r>
      <w:r>
        <w:rPr>
          <w:sz w:val="29"/>
          <w:szCs w:val="29"/>
        </w:rPr>
        <w:t xml:space="preserve"> </w:t>
      </w:r>
      <w:r>
        <w:rPr>
          <w:sz w:val="29"/>
          <w:szCs w:val="29"/>
        </w:rPr>
        <w:t>季草坪进入休眠期，施肥适宜季节为春季和初秋</w:t>
      </w:r>
      <w:r>
        <w:rPr>
          <w:sz w:val="29"/>
          <w:szCs w:val="29"/>
          <w:spacing w:val="-1"/>
        </w:rPr>
        <w:t>，冬季温度较低的东北、华北西</w:t>
      </w:r>
      <w:r>
        <w:rPr>
          <w:sz w:val="29"/>
          <w:szCs w:val="29"/>
        </w:rPr>
        <w:t xml:space="preserve"> </w:t>
      </w:r>
      <w:r>
        <w:rPr>
          <w:sz w:val="29"/>
          <w:szCs w:val="29"/>
          <w:spacing w:val="1"/>
        </w:rPr>
        <w:t>北地区草坪有短时间的休眠期。</w:t>
      </w:r>
    </w:p>
    <w:p>
      <w:pPr>
        <w:pStyle w:val="BodyText"/>
        <w:ind w:left="700" w:right="678" w:firstLine="590"/>
        <w:spacing w:before="134" w:line="321" w:lineRule="auto"/>
        <w:rPr>
          <w:sz w:val="29"/>
          <w:szCs w:val="29"/>
        </w:rPr>
      </w:pPr>
      <w:r>
        <w:rPr>
          <w:sz w:val="29"/>
          <w:szCs w:val="29"/>
          <w:spacing w:val="-1"/>
        </w:rPr>
        <w:t>常用非草坪性质的草有麦冬、三叶草、玉龙草等，属地被系列，不纳入本养</w:t>
      </w:r>
      <w:r>
        <w:rPr>
          <w:sz w:val="29"/>
          <w:szCs w:val="29"/>
          <w:spacing w:val="13"/>
        </w:rPr>
        <w:t xml:space="preserve"> </w:t>
      </w:r>
      <w:r>
        <w:rPr>
          <w:sz w:val="29"/>
          <w:szCs w:val="29"/>
        </w:rPr>
        <w:t>护指南说明。</w:t>
      </w:r>
    </w:p>
    <w:p>
      <w:pPr>
        <w:ind w:left="700"/>
        <w:spacing w:before="66" w:line="221" w:lineRule="auto"/>
        <w:outlineLvl w:val="1"/>
        <w:rPr>
          <w:rFonts w:ascii="SimHei" w:hAnsi="SimHei" w:eastAsia="SimHei" w:cs="SimHei"/>
          <w:sz w:val="30"/>
          <w:szCs w:val="30"/>
        </w:rPr>
      </w:pPr>
      <w:bookmarkStart w:name="bookmark23" w:id="40"/>
      <w:bookmarkEnd w:id="40"/>
      <w:r>
        <w:rPr>
          <w:rFonts w:ascii="SimHei" w:hAnsi="SimHei" w:eastAsia="SimHei" w:cs="SimHei"/>
          <w:sz w:val="30"/>
          <w:szCs w:val="30"/>
          <w:spacing w:val="-6"/>
        </w:rPr>
        <w:t>二、</w:t>
      </w:r>
      <w:r>
        <w:rPr>
          <w:rFonts w:ascii="SimHei" w:hAnsi="SimHei" w:eastAsia="SimHei" w:cs="SimHei"/>
          <w:sz w:val="30"/>
          <w:szCs w:val="30"/>
          <w:b/>
          <w:bCs/>
          <w:spacing w:val="-6"/>
        </w:rPr>
        <w:t>修剪</w:t>
      </w:r>
    </w:p>
    <w:p>
      <w:pPr>
        <w:pStyle w:val="BodyText"/>
        <w:ind w:left="700"/>
        <w:spacing w:before="112" w:line="220" w:lineRule="auto"/>
        <w:rPr>
          <w:rFonts w:ascii="FangSong" w:hAnsi="FangSong" w:eastAsia="FangSong" w:cs="FangSong"/>
          <w:sz w:val="32"/>
          <w:szCs w:val="32"/>
        </w:rPr>
      </w:pPr>
      <w:r>
        <w:rPr>
          <w:rFonts w:ascii="Times New Roman" w:hAnsi="Times New Roman" w:eastAsia="Times New Roman" w:cs="Times New Roman"/>
          <w:sz w:val="32"/>
          <w:szCs w:val="32"/>
          <w:spacing w:val="-25"/>
        </w:rPr>
        <w:t>1</w:t>
      </w:r>
      <w:r>
        <w:rPr>
          <w:rFonts w:ascii="Times New Roman" w:hAnsi="Times New Roman" w:eastAsia="Times New Roman" w:cs="Times New Roman"/>
          <w:sz w:val="32"/>
          <w:szCs w:val="32"/>
          <w:spacing w:val="-42"/>
        </w:rPr>
        <w:t xml:space="preserve"> </w:t>
      </w:r>
      <w:r>
        <w:rPr>
          <w:sz w:val="32"/>
          <w:szCs w:val="32"/>
          <w:spacing w:val="-25"/>
        </w:rPr>
        <w:t>、</w:t>
      </w:r>
      <w:r>
        <w:rPr>
          <w:rFonts w:ascii="FangSong" w:hAnsi="FangSong" w:eastAsia="FangSong" w:cs="FangSong"/>
          <w:sz w:val="32"/>
          <w:szCs w:val="32"/>
          <w:spacing w:val="-25"/>
        </w:rPr>
        <w:t>准备工作</w:t>
      </w:r>
    </w:p>
    <w:p>
      <w:pPr>
        <w:pStyle w:val="BodyText"/>
        <w:ind w:left="1290"/>
        <w:spacing w:before="141" w:line="219" w:lineRule="auto"/>
        <w:rPr>
          <w:sz w:val="29"/>
          <w:szCs w:val="29"/>
        </w:rPr>
      </w:pPr>
      <w:r>
        <w:rPr>
          <w:sz w:val="29"/>
          <w:szCs w:val="29"/>
          <w:spacing w:val="5"/>
        </w:rPr>
        <w:t>1)草坪修剪应在灌水前进行，地表未干不宜修剪；</w:t>
      </w:r>
    </w:p>
    <w:p>
      <w:pPr>
        <w:pStyle w:val="BodyText"/>
        <w:ind w:left="1290"/>
        <w:spacing w:before="158" w:line="219" w:lineRule="auto"/>
        <w:rPr>
          <w:sz w:val="29"/>
          <w:szCs w:val="29"/>
        </w:rPr>
      </w:pPr>
      <w:r>
        <w:rPr>
          <w:sz w:val="29"/>
          <w:szCs w:val="29"/>
          <w:spacing w:val="7"/>
        </w:rPr>
        <w:t>2)修剪前应清除草坪上的硬、杂物等；</w:t>
      </w:r>
    </w:p>
    <w:p>
      <w:pPr>
        <w:pStyle w:val="BodyText"/>
        <w:ind w:left="700" w:right="677" w:firstLine="590"/>
        <w:spacing w:before="155" w:line="262" w:lineRule="auto"/>
        <w:rPr>
          <w:sz w:val="29"/>
          <w:szCs w:val="29"/>
        </w:rPr>
      </w:pPr>
      <w:r>
        <w:rPr>
          <w:sz w:val="29"/>
          <w:szCs w:val="29"/>
          <w:spacing w:val="8"/>
        </w:rPr>
        <w:t>3)根据修剪高度要求调整机具高度，使草坪修剪后坪面平整。因草坪内难</w:t>
      </w:r>
      <w:r>
        <w:rPr>
          <w:sz w:val="29"/>
          <w:szCs w:val="29"/>
          <w:spacing w:val="7"/>
        </w:rPr>
        <w:t xml:space="preserve"> </w:t>
      </w:r>
      <w:r>
        <w:rPr>
          <w:sz w:val="29"/>
          <w:szCs w:val="29"/>
          <w:spacing w:val="1"/>
        </w:rPr>
        <w:t>免有起伏，修剪高度调整需在平地进行。</w:t>
      </w:r>
    </w:p>
    <w:p>
      <w:pPr>
        <w:pStyle w:val="BodyText"/>
        <w:ind w:left="700"/>
        <w:spacing w:before="167" w:line="222" w:lineRule="auto"/>
        <w:rPr>
          <w:rFonts w:ascii="FangSong" w:hAnsi="FangSong" w:eastAsia="FangSong" w:cs="FangSong"/>
          <w:sz w:val="32"/>
          <w:szCs w:val="32"/>
        </w:rPr>
      </w:pPr>
      <w:r>
        <w:rPr>
          <w:rFonts w:ascii="Times New Roman" w:hAnsi="Times New Roman" w:eastAsia="Times New Roman" w:cs="Times New Roman"/>
          <w:sz w:val="32"/>
          <w:szCs w:val="32"/>
          <w:spacing w:val="-19"/>
        </w:rPr>
        <w:t>2</w:t>
      </w:r>
      <w:r>
        <w:rPr>
          <w:sz w:val="32"/>
          <w:szCs w:val="32"/>
          <w:spacing w:val="-19"/>
        </w:rPr>
        <w:t>、</w:t>
      </w:r>
      <w:r>
        <w:rPr>
          <w:rFonts w:ascii="FangSong" w:hAnsi="FangSong" w:eastAsia="FangSong" w:cs="FangSong"/>
          <w:sz w:val="32"/>
          <w:szCs w:val="32"/>
          <w:spacing w:val="-19"/>
        </w:rPr>
        <w:t>修剪过程</w:t>
      </w:r>
    </w:p>
    <w:p>
      <w:pPr>
        <w:pStyle w:val="BodyText"/>
        <w:ind w:left="700" w:right="728" w:firstLine="590"/>
        <w:spacing w:before="145" w:line="266" w:lineRule="auto"/>
        <w:rPr>
          <w:sz w:val="29"/>
          <w:szCs w:val="29"/>
        </w:rPr>
      </w:pPr>
      <w:r>
        <w:rPr>
          <w:sz w:val="29"/>
          <w:szCs w:val="29"/>
          <w:spacing w:val="7"/>
        </w:rPr>
        <w:t>1)草坪修剪应循序渐进，不宜在同一地点或沿同</w:t>
      </w:r>
      <w:r>
        <w:rPr>
          <w:sz w:val="29"/>
          <w:szCs w:val="29"/>
          <w:spacing w:val="6"/>
        </w:rPr>
        <w:t>一方向重复修剪，修剪后</w:t>
      </w:r>
      <w:r>
        <w:rPr>
          <w:sz w:val="29"/>
          <w:szCs w:val="29"/>
        </w:rPr>
        <w:t xml:space="preserve"> </w:t>
      </w:r>
      <w:r>
        <w:rPr>
          <w:sz w:val="29"/>
          <w:szCs w:val="29"/>
          <w:spacing w:val="-2"/>
        </w:rPr>
        <w:t>应及时清除残留在坪面上的草屑，保持坪面清洁；</w:t>
      </w:r>
    </w:p>
    <w:p>
      <w:pPr>
        <w:pStyle w:val="BodyText"/>
        <w:ind w:left="700" w:right="666" w:firstLine="509"/>
        <w:spacing w:before="155" w:line="279" w:lineRule="auto"/>
        <w:rPr>
          <w:sz w:val="29"/>
          <w:szCs w:val="29"/>
        </w:rPr>
      </w:pPr>
      <w:r>
        <w:rPr>
          <w:sz w:val="29"/>
          <w:szCs w:val="29"/>
          <w:spacing w:val="11"/>
        </w:rPr>
        <w:t>2)大面积草坪选用割草机；草坪边缘选用割灌机；修</w:t>
      </w:r>
      <w:r>
        <w:rPr>
          <w:sz w:val="29"/>
          <w:szCs w:val="29"/>
          <w:spacing w:val="10"/>
        </w:rPr>
        <w:t>剪量小或苗木根茎部</w:t>
      </w:r>
      <w:r>
        <w:rPr>
          <w:sz w:val="29"/>
          <w:szCs w:val="29"/>
        </w:rPr>
        <w:t xml:space="preserve"> </w:t>
      </w:r>
      <w:r>
        <w:rPr>
          <w:sz w:val="29"/>
          <w:szCs w:val="29"/>
        </w:rPr>
        <w:t>附近的草坪应人工手剪修剪，避免割灌机割草时打到乔灌木根茎部分，从而影响</w:t>
      </w:r>
      <w:r>
        <w:rPr>
          <w:sz w:val="29"/>
          <w:szCs w:val="29"/>
          <w:spacing w:val="2"/>
        </w:rPr>
        <w:t xml:space="preserve"> </w:t>
      </w:r>
      <w:r>
        <w:rPr>
          <w:sz w:val="29"/>
          <w:szCs w:val="29"/>
          <w:spacing w:val="-3"/>
        </w:rPr>
        <w:t>景观也影响树木生长势；</w:t>
      </w:r>
    </w:p>
    <w:p>
      <w:pPr>
        <w:spacing w:before="104" w:line="2880" w:lineRule="exact"/>
        <w:rPr/>
      </w:pPr>
      <w:r>
        <w:rPr>
          <w:position w:val="-57"/>
        </w:rPr>
        <w:drawing>
          <wp:inline distT="0" distB="0" distL="0" distR="0">
            <wp:extent cx="7315189" cy="1828881"/>
            <wp:effectExtent l="0" t="0" r="0" b="0"/>
            <wp:docPr id="230" name="IM 230"/>
            <wp:cNvGraphicFramePr/>
            <a:graphic>
              <a:graphicData uri="http://schemas.openxmlformats.org/drawingml/2006/picture">
                <pic:pic>
                  <pic:nvPicPr>
                    <pic:cNvPr id="230" name="IM 230"/>
                    <pic:cNvPicPr/>
                  </pic:nvPicPr>
                  <pic:blipFill>
                    <a:blip r:embed="rId164"/>
                    <a:stretch>
                      <a:fillRect/>
                    </a:stretch>
                  </pic:blipFill>
                  <pic:spPr>
                    <a:xfrm rot="0">
                      <a:off x="0" y="0"/>
                      <a:ext cx="7315189" cy="1828881"/>
                    </a:xfrm>
                    <a:prstGeom prst="rect">
                      <a:avLst/>
                    </a:prstGeom>
                  </pic:spPr>
                </pic:pic>
              </a:graphicData>
            </a:graphic>
          </wp:inline>
        </w:drawing>
      </w:r>
    </w:p>
    <w:p>
      <w:pPr>
        <w:pStyle w:val="BodyText"/>
        <w:ind w:left="4759"/>
        <w:spacing w:before="150" w:line="219" w:lineRule="auto"/>
        <w:rPr>
          <w:sz w:val="24"/>
          <w:szCs w:val="24"/>
        </w:rPr>
      </w:pPr>
      <w:r>
        <w:rPr>
          <w:sz w:val="24"/>
          <w:szCs w:val="24"/>
          <w:spacing w:val="5"/>
        </w:rPr>
        <w:t>图4-2-1修剪方式的选用</w:t>
      </w:r>
    </w:p>
    <w:p>
      <w:pPr>
        <w:ind w:firstLine="2060"/>
        <w:spacing w:before="135" w:line="2470" w:lineRule="exact"/>
        <w:rPr/>
      </w:pPr>
      <w:r>
        <w:rPr>
          <w:position w:val="-49"/>
        </w:rPr>
        <w:drawing>
          <wp:inline distT="0" distB="0" distL="0" distR="0">
            <wp:extent cx="4705284" cy="1568523"/>
            <wp:effectExtent l="0" t="0" r="0" b="0"/>
            <wp:docPr id="232" name="IM 232"/>
            <wp:cNvGraphicFramePr/>
            <a:graphic>
              <a:graphicData uri="http://schemas.openxmlformats.org/drawingml/2006/picture">
                <pic:pic>
                  <pic:nvPicPr>
                    <pic:cNvPr id="232" name="IM 232"/>
                    <pic:cNvPicPr/>
                  </pic:nvPicPr>
                  <pic:blipFill>
                    <a:blip r:embed="rId165"/>
                    <a:stretch>
                      <a:fillRect/>
                    </a:stretch>
                  </pic:blipFill>
                  <pic:spPr>
                    <a:xfrm rot="0">
                      <a:off x="0" y="0"/>
                      <a:ext cx="4705284" cy="1568523"/>
                    </a:xfrm>
                    <a:prstGeom prst="rect">
                      <a:avLst/>
                    </a:prstGeom>
                  </pic:spPr>
                </pic:pic>
              </a:graphicData>
            </a:graphic>
          </wp:inline>
        </w:drawing>
      </w:r>
    </w:p>
    <w:p>
      <w:pPr>
        <w:pStyle w:val="BodyText"/>
        <w:ind w:left="3720"/>
        <w:spacing w:before="169" w:line="219" w:lineRule="auto"/>
        <w:rPr>
          <w:sz w:val="27"/>
          <w:szCs w:val="27"/>
        </w:rPr>
      </w:pPr>
      <w:r>
        <w:rPr>
          <w:sz w:val="27"/>
          <w:szCs w:val="27"/>
          <w:spacing w:val="-16"/>
        </w:rPr>
        <w:t>图4-2-2割灌机割草距根茎过近导致的伤害</w:t>
      </w:r>
    </w:p>
    <w:p>
      <w:pPr>
        <w:spacing w:line="219" w:lineRule="auto"/>
        <w:sectPr>
          <w:footerReference w:type="default" r:id="rId163"/>
          <w:pgSz w:w="14490" w:h="20470"/>
          <w:pgMar w:top="1739" w:right="1520" w:bottom="1395" w:left="1450" w:header="0" w:footer="1233" w:gutter="0"/>
        </w:sectPr>
        <w:rPr>
          <w:sz w:val="27"/>
          <w:szCs w:val="27"/>
        </w:rPr>
      </w:pPr>
    </w:p>
    <w:p>
      <w:pPr>
        <w:pStyle w:val="BodyText"/>
        <w:ind w:right="63" w:firstLine="590"/>
        <w:spacing w:before="122" w:line="266" w:lineRule="auto"/>
        <w:rPr>
          <w:sz w:val="29"/>
          <w:szCs w:val="29"/>
        </w:rPr>
      </w:pPr>
      <w:r>
        <w:rPr>
          <w:sz w:val="29"/>
          <w:szCs w:val="29"/>
          <w:spacing w:val="2"/>
        </w:rPr>
        <w:t>3)草坪修剪应遵照1/3原则，即每次修剪时，剪掉的部分应少于草坪自然高</w:t>
      </w:r>
      <w:r>
        <w:rPr>
          <w:sz w:val="29"/>
          <w:szCs w:val="29"/>
          <w:spacing w:val="16"/>
        </w:rPr>
        <w:t xml:space="preserve"> </w:t>
      </w:r>
      <w:r>
        <w:rPr>
          <w:sz w:val="29"/>
          <w:szCs w:val="29"/>
          <w:spacing w:val="-11"/>
        </w:rPr>
        <w:t>度的1/3;</w:t>
      </w:r>
    </w:p>
    <w:p>
      <w:pPr>
        <w:pStyle w:val="BodyText"/>
        <w:ind w:left="590"/>
        <w:spacing w:before="131" w:line="219" w:lineRule="auto"/>
        <w:rPr>
          <w:sz w:val="29"/>
          <w:szCs w:val="29"/>
        </w:rPr>
      </w:pPr>
      <w:r>
        <w:rPr>
          <w:sz w:val="29"/>
          <w:szCs w:val="29"/>
          <w:spacing w:val="7"/>
        </w:rPr>
        <w:t>4)干旱、半干旱地区适当提高修剪高度。</w:t>
      </w:r>
    </w:p>
    <w:p>
      <w:pPr>
        <w:spacing w:line="298" w:lineRule="auto"/>
        <w:rPr>
          <w:rFonts w:ascii="Arial"/>
          <w:sz w:val="21"/>
        </w:rPr>
      </w:pPr>
      <w:r/>
    </w:p>
    <w:p>
      <w:pPr>
        <w:spacing w:line="299" w:lineRule="auto"/>
        <w:rPr>
          <w:rFonts w:ascii="Arial"/>
          <w:sz w:val="21"/>
        </w:rPr>
      </w:pPr>
      <w:r>
        <w:drawing>
          <wp:anchor distT="0" distB="0" distL="0" distR="0" simplePos="0" relativeHeight="251850752" behindDoc="0" locked="0" layoutInCell="1" allowOverlap="1">
            <wp:simplePos x="0" y="0"/>
            <wp:positionH relativeFrom="column">
              <wp:posOffset>1663659</wp:posOffset>
            </wp:positionH>
            <wp:positionV relativeFrom="paragraph">
              <wp:posOffset>124837</wp:posOffset>
            </wp:positionV>
            <wp:extent cx="3359156" cy="2362208"/>
            <wp:effectExtent l="0" t="0" r="0" b="0"/>
            <wp:wrapNone/>
            <wp:docPr id="234" name="IM 234"/>
            <wp:cNvGraphicFramePr/>
            <a:graphic>
              <a:graphicData uri="http://schemas.openxmlformats.org/drawingml/2006/picture">
                <pic:pic>
                  <pic:nvPicPr>
                    <pic:cNvPr id="234" name="IM 234"/>
                    <pic:cNvPicPr/>
                  </pic:nvPicPr>
                  <pic:blipFill>
                    <a:blip r:embed="rId167"/>
                    <a:stretch>
                      <a:fillRect/>
                    </a:stretch>
                  </pic:blipFill>
                  <pic:spPr>
                    <a:xfrm rot="0">
                      <a:off x="0" y="0"/>
                      <a:ext cx="3359156" cy="2362208"/>
                    </a:xfrm>
                    <a:prstGeom prst="rect">
                      <a:avLst/>
                    </a:prstGeom>
                  </pic:spPr>
                </pic:pic>
              </a:graphicData>
            </a:graphic>
          </wp:anchor>
        </w:drawing>
      </w:r>
      <w:r/>
    </w:p>
    <w:p>
      <w:pPr>
        <w:spacing w:line="299" w:lineRule="auto"/>
        <w:rPr>
          <w:rFonts w:ascii="Arial"/>
          <w:sz w:val="21"/>
        </w:rPr>
      </w:pPr>
      <w:r/>
    </w:p>
    <w:p>
      <w:pPr>
        <w:pStyle w:val="BodyText"/>
        <w:spacing w:before="94" w:line="222" w:lineRule="auto"/>
        <w:rPr>
          <w:rFonts w:ascii="FangSong" w:hAnsi="FangSong" w:eastAsia="FangSong" w:cs="FangSong"/>
          <w:sz w:val="29"/>
          <w:szCs w:val="29"/>
        </w:rPr>
      </w:pPr>
      <w:r>
        <w:rPr>
          <w:rFonts w:ascii="Times New Roman" w:hAnsi="Times New Roman" w:eastAsia="Times New Roman" w:cs="Times New Roman"/>
          <w:sz w:val="29"/>
          <w:szCs w:val="29"/>
          <w:spacing w:val="1"/>
        </w:rPr>
        <w:t>3</w:t>
      </w:r>
      <w:r>
        <w:rPr>
          <w:rFonts w:ascii="Times New Roman" w:hAnsi="Times New Roman" w:eastAsia="Times New Roman" w:cs="Times New Roman"/>
          <w:sz w:val="29"/>
          <w:szCs w:val="29"/>
          <w:spacing w:val="-39"/>
        </w:rPr>
        <w:t xml:space="preserve"> </w:t>
      </w:r>
      <w:r>
        <w:rPr>
          <w:sz w:val="29"/>
          <w:szCs w:val="29"/>
          <w:spacing w:val="1"/>
        </w:rPr>
        <w:t>、</w:t>
      </w:r>
      <w:r>
        <w:rPr>
          <w:rFonts w:ascii="FangSong" w:hAnsi="FangSong" w:eastAsia="FangSong" w:cs="FangSong"/>
          <w:sz w:val="29"/>
          <w:szCs w:val="29"/>
          <w:spacing w:val="1"/>
        </w:rPr>
        <w:t>修剪频率</w:t>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BodyText"/>
        <w:ind w:left="3849"/>
        <w:spacing w:before="88" w:line="219" w:lineRule="auto"/>
        <w:rPr>
          <w:sz w:val="27"/>
          <w:szCs w:val="27"/>
        </w:rPr>
      </w:pPr>
      <w:r>
        <w:rPr>
          <w:sz w:val="27"/>
          <w:szCs w:val="27"/>
          <w:spacing w:val="-19"/>
        </w:rPr>
        <w:t>图4-2-3草坪修剪1/3原则</w:t>
      </w:r>
    </w:p>
    <w:p>
      <w:pPr>
        <w:pStyle w:val="BodyText"/>
        <w:ind w:right="1" w:firstLine="590"/>
        <w:spacing w:before="141" w:line="318" w:lineRule="auto"/>
        <w:jc w:val="both"/>
        <w:rPr>
          <w:sz w:val="29"/>
          <w:szCs w:val="29"/>
        </w:rPr>
      </w:pPr>
      <w:r>
        <w:rPr>
          <w:rFonts w:ascii="Times New Roman" w:hAnsi="Times New Roman" w:eastAsia="Times New Roman" w:cs="Times New Roman"/>
          <w:sz w:val="29"/>
          <w:szCs w:val="29"/>
          <w:spacing w:val="2"/>
        </w:rPr>
        <w:t>D    </w:t>
      </w:r>
      <w:r>
        <w:rPr>
          <w:sz w:val="29"/>
          <w:szCs w:val="29"/>
          <w:spacing w:val="2"/>
        </w:rPr>
        <w:t>冷季型草坪根据现场景观效果要求，春季萌芽后约7—10天剪1次，4—6</w:t>
      </w:r>
      <w:r>
        <w:rPr>
          <w:sz w:val="29"/>
          <w:szCs w:val="29"/>
          <w:spacing w:val="6"/>
        </w:rPr>
        <w:t xml:space="preserve"> </w:t>
      </w:r>
      <w:r>
        <w:rPr>
          <w:sz w:val="29"/>
          <w:szCs w:val="29"/>
          <w:spacing w:val="-7"/>
        </w:rPr>
        <w:t>月份约每5—10天修剪1次；在夏季7—8月份约每7—10天修剪一次；在秋季9—10月</w:t>
      </w:r>
      <w:r>
        <w:rPr>
          <w:sz w:val="29"/>
          <w:szCs w:val="29"/>
        </w:rPr>
        <w:t xml:space="preserve"> </w:t>
      </w:r>
      <w:r>
        <w:rPr>
          <w:sz w:val="29"/>
          <w:szCs w:val="29"/>
          <w:spacing w:val="-4"/>
        </w:rPr>
        <w:t>份约5—10天修剪一次；</w:t>
      </w:r>
    </w:p>
    <w:p>
      <w:pPr>
        <w:pStyle w:val="BodyText"/>
        <w:ind w:right="1" w:firstLine="590"/>
        <w:spacing w:before="4" w:line="278" w:lineRule="auto"/>
        <w:rPr>
          <w:sz w:val="29"/>
          <w:szCs w:val="29"/>
        </w:rPr>
      </w:pPr>
      <w:r>
        <w:rPr>
          <w:rFonts w:ascii="Times New Roman" w:hAnsi="Times New Roman" w:eastAsia="Times New Roman" w:cs="Times New Roman"/>
          <w:sz w:val="29"/>
          <w:szCs w:val="29"/>
          <w:spacing w:val="4"/>
        </w:rPr>
        <w:t>2</w:t>
      </w:r>
      <w:r>
        <w:rPr>
          <w:rFonts w:ascii="Times New Roman" w:hAnsi="Times New Roman" w:eastAsia="Times New Roman" w:cs="Times New Roman"/>
          <w:sz w:val="29"/>
          <w:szCs w:val="29"/>
          <w:spacing w:val="27"/>
        </w:rPr>
        <w:t xml:space="preserve">   </w:t>
      </w:r>
      <w:r>
        <w:rPr>
          <w:sz w:val="29"/>
          <w:szCs w:val="29"/>
          <w:spacing w:val="4"/>
        </w:rPr>
        <w:t>暖季型草坪根据现场景观效果要求，春季萌芽后约7—10天剪1次，5—6</w:t>
      </w:r>
      <w:r>
        <w:rPr>
          <w:sz w:val="29"/>
          <w:szCs w:val="29"/>
        </w:rPr>
        <w:t xml:space="preserve"> </w:t>
      </w:r>
      <w:r>
        <w:rPr>
          <w:sz w:val="29"/>
          <w:szCs w:val="29"/>
        </w:rPr>
        <w:t>月份每7—10天修剪1次；7—8月份每5—10天修剪1次；9—10月份修剪每7—10天</w:t>
      </w:r>
      <w:r>
        <w:rPr>
          <w:sz w:val="29"/>
          <w:szCs w:val="29"/>
          <w:spacing w:val="12"/>
        </w:rPr>
        <w:t xml:space="preserve"> </w:t>
      </w:r>
      <w:r>
        <w:rPr>
          <w:sz w:val="29"/>
          <w:szCs w:val="29"/>
          <w:spacing w:val="-5"/>
        </w:rPr>
        <w:t>一次，高温地区须将秋季修剪一直延续到11月以后；</w:t>
      </w:r>
    </w:p>
    <w:p>
      <w:pPr>
        <w:pStyle w:val="BodyText"/>
        <w:ind w:right="280" w:firstLine="590"/>
        <w:spacing w:before="166" w:line="265" w:lineRule="auto"/>
        <w:rPr>
          <w:rFonts w:ascii="FangSong" w:hAnsi="FangSong" w:eastAsia="FangSong" w:cs="FangSong"/>
          <w:sz w:val="29"/>
          <w:szCs w:val="29"/>
        </w:rPr>
      </w:pPr>
      <w:r>
        <w:rPr>
          <w:sz w:val="29"/>
          <w:szCs w:val="29"/>
          <w:spacing w:val="-1"/>
        </w:rPr>
        <w:t>3  冬季有明显休眠期的地区在枯黄后应进</w:t>
      </w:r>
      <w:r>
        <w:rPr>
          <w:sz w:val="29"/>
          <w:szCs w:val="29"/>
          <w:spacing w:val="-2"/>
        </w:rPr>
        <w:t>行整平修剪，留茬2</w:t>
      </w:r>
      <w:r>
        <w:rPr>
          <w:rFonts w:ascii="Times New Roman" w:hAnsi="Times New Roman" w:eastAsia="Times New Roman" w:cs="Times New Roman"/>
          <w:sz w:val="29"/>
          <w:szCs w:val="29"/>
          <w:spacing w:val="-2"/>
        </w:rPr>
        <w:t>cm</w:t>
      </w:r>
      <w:r>
        <w:rPr>
          <w:sz w:val="29"/>
          <w:szCs w:val="29"/>
          <w:spacing w:val="-2"/>
        </w:rPr>
        <w:t>左右，以</w:t>
      </w:r>
      <w:r>
        <w:rPr>
          <w:sz w:val="29"/>
          <w:szCs w:val="29"/>
        </w:rPr>
        <w:t xml:space="preserve"> </w:t>
      </w:r>
      <w:r>
        <w:rPr>
          <w:sz w:val="29"/>
          <w:szCs w:val="29"/>
          <w:spacing w:val="1"/>
        </w:rPr>
        <w:t>利于防火。4、</w:t>
      </w:r>
      <w:r>
        <w:rPr>
          <w:rFonts w:ascii="FangSong" w:hAnsi="FangSong" w:eastAsia="FangSong" w:cs="FangSong"/>
          <w:sz w:val="29"/>
          <w:szCs w:val="29"/>
          <w:b/>
          <w:bCs/>
          <w:spacing w:val="1"/>
        </w:rPr>
        <w:t>常用草坪修剪</w:t>
      </w:r>
    </w:p>
    <w:p>
      <w:pPr>
        <w:pStyle w:val="BodyText"/>
        <w:ind w:left="590"/>
        <w:spacing w:before="169" w:line="220" w:lineRule="auto"/>
        <w:rPr>
          <w:sz w:val="29"/>
          <w:szCs w:val="29"/>
        </w:rPr>
      </w:pPr>
      <w:r>
        <w:rPr>
          <w:sz w:val="29"/>
          <w:szCs w:val="29"/>
          <w:spacing w:val="-1"/>
        </w:rPr>
        <w:t>1) 马尼拉</w:t>
      </w:r>
    </w:p>
    <w:p>
      <w:pPr>
        <w:pStyle w:val="BodyText"/>
        <w:ind w:left="590"/>
        <w:spacing w:before="143" w:line="219" w:lineRule="auto"/>
        <w:rPr>
          <w:sz w:val="29"/>
          <w:szCs w:val="29"/>
        </w:rPr>
      </w:pPr>
      <w:r>
        <w:rPr>
          <w:sz w:val="29"/>
          <w:szCs w:val="29"/>
          <w:spacing w:val="-2"/>
        </w:rPr>
        <w:t>修剪时间及控制高度如下：</w:t>
      </w:r>
    </w:p>
    <w:p>
      <w:pPr>
        <w:spacing w:line="209" w:lineRule="exact"/>
        <w:rPr/>
      </w:pPr>
      <w:r/>
    </w:p>
    <w:tbl>
      <w:tblPr>
        <w:tblStyle w:val="TableNormal"/>
        <w:tblW w:w="6660" w:type="dxa"/>
        <w:tblInd w:w="165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0"/>
        <w:gridCol w:w="2150"/>
      </w:tblGrid>
      <w:tr>
        <w:trPr>
          <w:trHeight w:val="533" w:hRule="atLeast"/>
        </w:trPr>
        <w:tc>
          <w:tcPr>
            <w:shd w:val="clear" w:fill="9ABA58"/>
            <w:tcW w:w="4510" w:type="dxa"/>
            <w:vAlign w:val="top"/>
            <w:tcBorders>
              <w:right w:val="nil"/>
            </w:tcBorders>
          </w:tcPr>
          <w:p>
            <w:pPr>
              <w:ind w:left="1639"/>
              <w:spacing w:before="143" w:line="219" w:lineRule="auto"/>
              <w:rPr>
                <w:rFonts w:ascii="SimSun" w:hAnsi="SimSun" w:eastAsia="SimSun" w:cs="SimSun"/>
                <w:sz w:val="29"/>
                <w:szCs w:val="29"/>
              </w:rPr>
            </w:pPr>
            <w:r>
              <w:rPr>
                <w:rFonts w:ascii="SimSun" w:hAnsi="SimSun" w:eastAsia="SimSun" w:cs="SimSun"/>
                <w:sz w:val="29"/>
                <w:szCs w:val="29"/>
                <w:b/>
                <w:bCs/>
                <w:spacing w:val="2"/>
              </w:rPr>
              <w:t>修剪时间</w:t>
            </w:r>
          </w:p>
        </w:tc>
        <w:tc>
          <w:tcPr>
            <w:shd w:val="clear" w:fill="9ABA58"/>
            <w:tcW w:w="2150" w:type="dxa"/>
            <w:vAlign w:val="top"/>
            <w:tcBorders>
              <w:left w:val="nil"/>
            </w:tcBorders>
          </w:tcPr>
          <w:p>
            <w:pPr>
              <w:ind w:left="244"/>
              <w:spacing w:before="133" w:line="219" w:lineRule="auto"/>
              <w:rPr>
                <w:rFonts w:ascii="SimSun" w:hAnsi="SimSun" w:eastAsia="SimSun" w:cs="SimSun"/>
                <w:sz w:val="29"/>
                <w:szCs w:val="29"/>
              </w:rPr>
            </w:pPr>
            <w:r>
              <w:rPr>
                <w:rFonts w:ascii="SimSun" w:hAnsi="SimSun" w:eastAsia="SimSun" w:cs="SimSun"/>
                <w:sz w:val="29"/>
                <w:szCs w:val="29"/>
                <w:b/>
                <w:bCs/>
                <w:spacing w:val="-5"/>
              </w:rPr>
              <w:t>修剪高度/cm</w:t>
            </w:r>
          </w:p>
        </w:tc>
      </w:tr>
      <w:tr>
        <w:trPr>
          <w:trHeight w:val="479" w:hRule="atLeast"/>
        </w:trPr>
        <w:tc>
          <w:tcPr>
            <w:tcW w:w="4510" w:type="dxa"/>
            <w:vAlign w:val="top"/>
            <w:tcBorders>
              <w:right w:val="nil"/>
            </w:tcBorders>
          </w:tcPr>
          <w:p>
            <w:pPr>
              <w:ind w:left="1215"/>
              <w:spacing w:before="134" w:line="213" w:lineRule="auto"/>
              <w:rPr>
                <w:rFonts w:ascii="SimSun" w:hAnsi="SimSun" w:eastAsia="SimSun" w:cs="SimSun"/>
                <w:sz w:val="29"/>
                <w:szCs w:val="29"/>
              </w:rPr>
            </w:pPr>
            <w:r>
              <w:rPr>
                <w:rFonts w:ascii="SimSun" w:hAnsi="SimSun" w:eastAsia="SimSun" w:cs="SimSun"/>
                <w:sz w:val="29"/>
                <w:szCs w:val="29"/>
                <w:spacing w:val="3"/>
              </w:rPr>
              <w:t>春季解除休眠后</w:t>
            </w:r>
          </w:p>
        </w:tc>
        <w:tc>
          <w:tcPr>
            <w:tcW w:w="2150" w:type="dxa"/>
            <w:vAlign w:val="top"/>
            <w:tcBorders>
              <w:left w:val="nil"/>
            </w:tcBorders>
          </w:tcPr>
          <w:p>
            <w:pPr>
              <w:ind w:left="1029"/>
              <w:spacing w:before="192" w:line="176" w:lineRule="auto"/>
              <w:rPr>
                <w:rFonts w:ascii="SimSun" w:hAnsi="SimSun" w:eastAsia="SimSun" w:cs="SimSun"/>
                <w:sz w:val="29"/>
                <w:szCs w:val="29"/>
              </w:rPr>
            </w:pPr>
            <w:r>
              <w:rPr>
                <w:rFonts w:ascii="SimSun" w:hAnsi="SimSun" w:eastAsia="SimSun" w:cs="SimSun"/>
                <w:sz w:val="29"/>
                <w:szCs w:val="29"/>
              </w:rPr>
              <w:t>3</w:t>
            </w:r>
          </w:p>
        </w:tc>
      </w:tr>
      <w:tr>
        <w:trPr>
          <w:trHeight w:val="498" w:hRule="atLeast"/>
        </w:trPr>
        <w:tc>
          <w:tcPr>
            <w:tcW w:w="4510" w:type="dxa"/>
            <w:vAlign w:val="top"/>
            <w:tcBorders>
              <w:right w:val="nil"/>
            </w:tcBorders>
          </w:tcPr>
          <w:p>
            <w:pPr>
              <w:ind w:left="1335"/>
              <w:spacing w:before="147" w:line="217" w:lineRule="auto"/>
              <w:rPr>
                <w:rFonts w:ascii="SimSun" w:hAnsi="SimSun" w:eastAsia="SimSun" w:cs="SimSun"/>
                <w:sz w:val="29"/>
                <w:szCs w:val="29"/>
              </w:rPr>
            </w:pPr>
            <w:r>
              <w:rPr>
                <w:rFonts w:ascii="SimSun" w:hAnsi="SimSun" w:eastAsia="SimSun" w:cs="SimSun"/>
                <w:sz w:val="29"/>
                <w:szCs w:val="29"/>
                <w:spacing w:val="5"/>
              </w:rPr>
              <w:t>气温超过30℃</w:t>
            </w:r>
          </w:p>
        </w:tc>
        <w:tc>
          <w:tcPr>
            <w:tcW w:w="2150" w:type="dxa"/>
            <w:vAlign w:val="top"/>
            <w:tcBorders>
              <w:left w:val="nil"/>
            </w:tcBorders>
          </w:tcPr>
          <w:p>
            <w:pPr>
              <w:ind w:left="1029"/>
              <w:spacing w:before="203" w:line="181" w:lineRule="auto"/>
              <w:rPr>
                <w:rFonts w:ascii="SimSun" w:hAnsi="SimSun" w:eastAsia="SimSun" w:cs="SimSun"/>
                <w:sz w:val="29"/>
                <w:szCs w:val="29"/>
              </w:rPr>
            </w:pPr>
            <w:r>
              <w:rPr>
                <w:rFonts w:ascii="SimSun" w:hAnsi="SimSun" w:eastAsia="SimSun" w:cs="SimSun"/>
                <w:sz w:val="29"/>
                <w:szCs w:val="29"/>
              </w:rPr>
              <w:t>4</w:t>
            </w:r>
          </w:p>
        </w:tc>
      </w:tr>
      <w:tr>
        <w:trPr>
          <w:trHeight w:val="509" w:hRule="atLeast"/>
        </w:trPr>
        <w:tc>
          <w:tcPr>
            <w:tcW w:w="4510" w:type="dxa"/>
            <w:vAlign w:val="top"/>
            <w:tcBorders>
              <w:right w:val="nil"/>
            </w:tcBorders>
          </w:tcPr>
          <w:p>
            <w:pPr>
              <w:ind w:left="774"/>
              <w:spacing w:before="156" w:line="218" w:lineRule="auto"/>
              <w:rPr>
                <w:rFonts w:ascii="SimSun" w:hAnsi="SimSun" w:eastAsia="SimSun" w:cs="SimSun"/>
                <w:sz w:val="29"/>
                <w:szCs w:val="29"/>
              </w:rPr>
            </w:pPr>
            <w:r>
              <w:rPr>
                <w:rFonts w:ascii="SimSun" w:hAnsi="SimSun" w:eastAsia="SimSun" w:cs="SimSun"/>
                <w:sz w:val="29"/>
                <w:szCs w:val="29"/>
                <w:spacing w:val="1"/>
              </w:rPr>
              <w:t>秋季最高气温30℃以下</w:t>
            </w:r>
          </w:p>
        </w:tc>
        <w:tc>
          <w:tcPr>
            <w:tcW w:w="2150" w:type="dxa"/>
            <w:vAlign w:val="top"/>
            <w:tcBorders>
              <w:left w:val="nil"/>
            </w:tcBorders>
          </w:tcPr>
          <w:p>
            <w:pPr>
              <w:ind w:left="1029"/>
              <w:spacing w:before="205" w:line="187" w:lineRule="auto"/>
              <w:rPr>
                <w:rFonts w:ascii="SimSun" w:hAnsi="SimSun" w:eastAsia="SimSun" w:cs="SimSun"/>
                <w:sz w:val="29"/>
                <w:szCs w:val="29"/>
              </w:rPr>
            </w:pPr>
            <w:r>
              <w:rPr>
                <w:rFonts w:ascii="SimSun" w:hAnsi="SimSun" w:eastAsia="SimSun" w:cs="SimSun"/>
                <w:sz w:val="29"/>
                <w:szCs w:val="29"/>
              </w:rPr>
              <w:t>3</w:t>
            </w:r>
          </w:p>
        </w:tc>
      </w:tr>
      <w:tr>
        <w:trPr>
          <w:trHeight w:val="498" w:hRule="atLeast"/>
        </w:trPr>
        <w:tc>
          <w:tcPr>
            <w:tcW w:w="4510" w:type="dxa"/>
            <w:vAlign w:val="top"/>
            <w:tcBorders>
              <w:right w:val="nil"/>
            </w:tcBorders>
          </w:tcPr>
          <w:p>
            <w:pPr>
              <w:ind w:left="625"/>
              <w:spacing w:before="147" w:line="217" w:lineRule="auto"/>
              <w:rPr>
                <w:rFonts w:ascii="SimSun" w:hAnsi="SimSun" w:eastAsia="SimSun" w:cs="SimSun"/>
                <w:sz w:val="29"/>
                <w:szCs w:val="29"/>
              </w:rPr>
            </w:pPr>
            <w:r>
              <w:rPr>
                <w:rFonts w:ascii="SimSun" w:hAnsi="SimSun" w:eastAsia="SimSun" w:cs="SimSun"/>
                <w:sz w:val="29"/>
                <w:szCs w:val="29"/>
                <w:spacing w:val="1"/>
              </w:rPr>
              <w:t>秋季最后一次观赏性修剪</w:t>
            </w:r>
          </w:p>
        </w:tc>
        <w:tc>
          <w:tcPr>
            <w:tcW w:w="2150" w:type="dxa"/>
            <w:vAlign w:val="top"/>
            <w:tcBorders>
              <w:left w:val="nil"/>
            </w:tcBorders>
          </w:tcPr>
          <w:p>
            <w:pPr>
              <w:ind w:left="1029"/>
              <w:spacing w:before="197" w:line="185" w:lineRule="auto"/>
              <w:rPr>
                <w:rFonts w:ascii="SimSun" w:hAnsi="SimSun" w:eastAsia="SimSun" w:cs="SimSun"/>
                <w:sz w:val="29"/>
                <w:szCs w:val="29"/>
              </w:rPr>
            </w:pPr>
            <w:r>
              <w:rPr>
                <w:rFonts w:ascii="SimSun" w:hAnsi="SimSun" w:eastAsia="SimSun" w:cs="SimSun"/>
                <w:sz w:val="29"/>
                <w:szCs w:val="29"/>
              </w:rPr>
              <w:t>4</w:t>
            </w:r>
          </w:p>
        </w:tc>
      </w:tr>
      <w:tr>
        <w:trPr>
          <w:trHeight w:val="493" w:hRule="atLeast"/>
        </w:trPr>
        <w:tc>
          <w:tcPr>
            <w:tcW w:w="4510" w:type="dxa"/>
            <w:vAlign w:val="top"/>
            <w:tcBorders>
              <w:right w:val="nil"/>
            </w:tcBorders>
          </w:tcPr>
          <w:p>
            <w:pPr>
              <w:ind w:left="204"/>
              <w:spacing w:before="149" w:line="212" w:lineRule="auto"/>
              <w:rPr>
                <w:rFonts w:ascii="SimSun" w:hAnsi="SimSun" w:eastAsia="SimSun" w:cs="SimSun"/>
                <w:sz w:val="29"/>
                <w:szCs w:val="29"/>
              </w:rPr>
            </w:pPr>
            <w:r>
              <w:rPr>
                <w:rFonts w:ascii="SimSun" w:hAnsi="SimSun" w:eastAsia="SimSun" w:cs="SimSun"/>
                <w:sz w:val="29"/>
                <w:szCs w:val="29"/>
              </w:rPr>
              <w:t>冬季有明显休眠期，枯黄后修剪</w:t>
            </w:r>
          </w:p>
        </w:tc>
        <w:tc>
          <w:tcPr>
            <w:tcW w:w="2150" w:type="dxa"/>
            <w:vAlign w:val="top"/>
            <w:tcBorders>
              <w:left w:val="nil"/>
            </w:tcBorders>
          </w:tcPr>
          <w:p>
            <w:pPr>
              <w:ind w:left="1029"/>
              <w:spacing w:before="189" w:line="187" w:lineRule="auto"/>
              <w:rPr>
                <w:rFonts w:ascii="SimSun" w:hAnsi="SimSun" w:eastAsia="SimSun" w:cs="SimSun"/>
                <w:sz w:val="29"/>
                <w:szCs w:val="29"/>
              </w:rPr>
            </w:pPr>
            <w:r>
              <w:rPr>
                <w:rFonts w:ascii="SimSun" w:hAnsi="SimSun" w:eastAsia="SimSun" w:cs="SimSun"/>
                <w:sz w:val="29"/>
                <w:szCs w:val="29"/>
              </w:rPr>
              <w:t>2</w:t>
            </w:r>
          </w:p>
        </w:tc>
      </w:tr>
    </w:tbl>
    <w:p>
      <w:pPr>
        <w:pStyle w:val="BodyText"/>
        <w:ind w:right="245" w:firstLine="590"/>
        <w:spacing w:before="146" w:line="312" w:lineRule="auto"/>
        <w:rPr>
          <w:sz w:val="29"/>
          <w:szCs w:val="29"/>
        </w:rPr>
      </w:pPr>
      <w:r>
        <w:rPr>
          <w:sz w:val="29"/>
          <w:szCs w:val="29"/>
          <w:spacing w:val="-3"/>
        </w:rPr>
        <w:t>生长季节根据生长速度，主要节点每5—7天修剪一次，其它位置7—10天修</w:t>
      </w:r>
      <w:r>
        <w:rPr>
          <w:sz w:val="29"/>
          <w:szCs w:val="29"/>
          <w:spacing w:val="10"/>
        </w:rPr>
        <w:t xml:space="preserve"> </w:t>
      </w:r>
      <w:r>
        <w:rPr>
          <w:sz w:val="29"/>
          <w:szCs w:val="29"/>
          <w:spacing w:val="-5"/>
        </w:rPr>
        <w:t>剪一次，每次修剪时草高不超过6</w:t>
      </w:r>
      <w:r>
        <w:rPr>
          <w:rFonts w:ascii="Times New Roman" w:hAnsi="Times New Roman" w:eastAsia="Times New Roman" w:cs="Times New Roman"/>
          <w:sz w:val="29"/>
          <w:szCs w:val="29"/>
          <w:spacing w:val="-5"/>
        </w:rPr>
        <w:t>cm</w:t>
      </w:r>
      <w:r>
        <w:rPr>
          <w:sz w:val="29"/>
          <w:szCs w:val="29"/>
          <w:spacing w:val="-5"/>
        </w:rPr>
        <w:t>。</w:t>
      </w:r>
    </w:p>
    <w:p>
      <w:pPr>
        <w:pStyle w:val="BodyText"/>
        <w:ind w:left="590"/>
        <w:spacing w:before="1" w:line="219" w:lineRule="auto"/>
        <w:rPr>
          <w:sz w:val="29"/>
          <w:szCs w:val="29"/>
        </w:rPr>
      </w:pPr>
      <w:r>
        <w:rPr>
          <w:sz w:val="29"/>
          <w:szCs w:val="29"/>
          <w:spacing w:val="34"/>
        </w:rPr>
        <w:t>2)台湾草</w:t>
      </w:r>
    </w:p>
    <w:p>
      <w:pPr>
        <w:spacing w:line="219" w:lineRule="auto"/>
        <w:sectPr>
          <w:footerReference w:type="default" r:id="rId166"/>
          <w:pgSz w:w="14490" w:h="20470"/>
          <w:pgMar w:top="1739" w:right="2173" w:bottom="1413" w:left="2150" w:header="0" w:footer="1215" w:gutter="0"/>
        </w:sectPr>
        <w:rPr>
          <w:sz w:val="29"/>
          <w:szCs w:val="29"/>
        </w:rPr>
      </w:pPr>
    </w:p>
    <w:p>
      <w:pPr>
        <w:pStyle w:val="BodyText"/>
        <w:ind w:left="570"/>
        <w:spacing w:before="122" w:line="219" w:lineRule="auto"/>
        <w:rPr>
          <w:sz w:val="29"/>
          <w:szCs w:val="29"/>
        </w:rPr>
      </w:pPr>
      <w:r>
        <w:rPr>
          <w:sz w:val="29"/>
          <w:szCs w:val="29"/>
          <w:spacing w:val="-2"/>
        </w:rPr>
        <w:t>修剪时间及控制高度如下：</w:t>
      </w:r>
    </w:p>
    <w:p>
      <w:pPr>
        <w:spacing w:line="208" w:lineRule="exact"/>
        <w:rPr/>
      </w:pPr>
      <w:r/>
    </w:p>
    <w:tbl>
      <w:tblPr>
        <w:tblStyle w:val="TableNormal"/>
        <w:tblW w:w="6760" w:type="dxa"/>
        <w:tblInd w:w="160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863"/>
        <w:gridCol w:w="1897"/>
      </w:tblGrid>
      <w:tr>
        <w:trPr>
          <w:trHeight w:val="513" w:hRule="atLeast"/>
        </w:trPr>
        <w:tc>
          <w:tcPr>
            <w:shd w:val="clear" w:fill="9ABA57"/>
            <w:tcW w:w="6760" w:type="dxa"/>
            <w:vAlign w:val="top"/>
            <w:gridSpan w:val="2"/>
          </w:tcPr>
          <w:p>
            <w:pPr>
              <w:pStyle w:val="TableText"/>
              <w:ind w:left="1749"/>
              <w:spacing w:before="112" w:line="219" w:lineRule="auto"/>
              <w:rPr/>
            </w:pPr>
            <w:r>
              <w:rPr>
                <w:b/>
                <w:bCs/>
                <w:spacing w:val="-3"/>
              </w:rPr>
              <w:t>修剪时间</w:t>
            </w:r>
            <w:r>
              <w:rPr>
                <w:spacing w:val="15"/>
              </w:rPr>
              <w:t xml:space="preserve">         </w:t>
            </w:r>
            <w:r>
              <w:rPr>
                <w:b/>
                <w:bCs/>
                <w:spacing w:val="-3"/>
              </w:rPr>
              <w:t>修剪高度/cm</w:t>
            </w:r>
          </w:p>
        </w:tc>
      </w:tr>
      <w:tr>
        <w:trPr>
          <w:trHeight w:val="838" w:hRule="atLeast"/>
        </w:trPr>
        <w:tc>
          <w:tcPr>
            <w:tcW w:w="4863" w:type="dxa"/>
            <w:vAlign w:val="top"/>
            <w:tcBorders>
              <w:right w:val="nil"/>
            </w:tcBorders>
          </w:tcPr>
          <w:p>
            <w:pPr>
              <w:pStyle w:val="TableText"/>
              <w:ind w:left="1305"/>
              <w:spacing w:before="124" w:line="219" w:lineRule="auto"/>
              <w:rPr/>
            </w:pPr>
            <w:r>
              <w:rPr>
                <w:spacing w:val="3"/>
              </w:rPr>
              <w:t>春季解除休眠后</w:t>
            </w:r>
          </w:p>
        </w:tc>
        <w:tc>
          <w:tcPr>
            <w:tcW w:w="1897" w:type="dxa"/>
            <w:vAlign w:val="top"/>
            <w:tcBorders>
              <w:left w:val="nil"/>
            </w:tcBorders>
          </w:tcPr>
          <w:p>
            <w:pPr>
              <w:pStyle w:val="TableText"/>
              <w:ind w:left="516"/>
              <w:spacing w:before="222" w:line="204" w:lineRule="auto"/>
              <w:rPr/>
            </w:pPr>
            <w:r>
              <w:rPr>
                <w:spacing w:val="-22"/>
              </w:rPr>
              <w:t>2.5—</w:t>
            </w:r>
          </w:p>
          <w:p>
            <w:pPr>
              <w:pStyle w:val="TableText"/>
              <w:ind w:left="957"/>
              <w:spacing w:line="181" w:lineRule="auto"/>
              <w:rPr/>
            </w:pPr>
            <w:r>
              <w:rPr/>
              <w:t>3</w:t>
            </w:r>
          </w:p>
        </w:tc>
      </w:tr>
      <w:tr>
        <w:trPr>
          <w:trHeight w:val="848" w:hRule="atLeast"/>
        </w:trPr>
        <w:tc>
          <w:tcPr>
            <w:tcW w:w="4863" w:type="dxa"/>
            <w:vAlign w:val="top"/>
            <w:tcBorders>
              <w:right w:val="nil"/>
            </w:tcBorders>
          </w:tcPr>
          <w:p>
            <w:pPr>
              <w:pStyle w:val="TableText"/>
              <w:ind w:left="1435"/>
              <w:spacing w:before="137" w:line="221" w:lineRule="auto"/>
              <w:rPr/>
            </w:pPr>
            <w:r>
              <w:rPr>
                <w:spacing w:val="5"/>
              </w:rPr>
              <w:t>气温超过30℃</w:t>
            </w:r>
          </w:p>
        </w:tc>
        <w:tc>
          <w:tcPr>
            <w:tcW w:w="1897" w:type="dxa"/>
            <w:vAlign w:val="top"/>
            <w:tcBorders>
              <w:left w:val="nil"/>
            </w:tcBorders>
          </w:tcPr>
          <w:p>
            <w:pPr>
              <w:pStyle w:val="TableText"/>
              <w:ind w:left="806"/>
              <w:spacing w:before="215" w:line="235" w:lineRule="auto"/>
              <w:rPr/>
            </w:pPr>
            <w:r>
              <w:rPr>
                <w:spacing w:val="-9"/>
              </w:rPr>
              <w:t>3-</w:t>
            </w:r>
          </w:p>
          <w:p>
            <w:pPr>
              <w:pStyle w:val="TableText"/>
              <w:ind w:left="666"/>
              <w:spacing w:line="161" w:lineRule="auto"/>
              <w:rPr/>
            </w:pPr>
            <w:r>
              <w:rPr>
                <w:spacing w:val="-4"/>
              </w:rPr>
              <w:t>3.5</w:t>
            </w:r>
          </w:p>
        </w:tc>
      </w:tr>
      <w:tr>
        <w:trPr>
          <w:trHeight w:val="499" w:hRule="atLeast"/>
        </w:trPr>
        <w:tc>
          <w:tcPr>
            <w:tcW w:w="4863" w:type="dxa"/>
            <w:vAlign w:val="top"/>
            <w:tcBorders>
              <w:right w:val="nil"/>
            </w:tcBorders>
          </w:tcPr>
          <w:p>
            <w:pPr>
              <w:pStyle w:val="TableText"/>
              <w:ind w:left="864"/>
              <w:spacing w:before="148" w:line="217" w:lineRule="auto"/>
              <w:rPr/>
            </w:pPr>
            <w:r>
              <w:rPr>
                <w:spacing w:val="1"/>
              </w:rPr>
              <w:t>秋季最高气温30℃以下</w:t>
            </w:r>
          </w:p>
        </w:tc>
        <w:tc>
          <w:tcPr>
            <w:tcW w:w="1897" w:type="dxa"/>
            <w:vAlign w:val="top"/>
            <w:tcBorders>
              <w:left w:val="nil"/>
            </w:tcBorders>
          </w:tcPr>
          <w:p>
            <w:pPr>
              <w:pStyle w:val="TableText"/>
              <w:ind w:left="957"/>
              <w:spacing w:before="196" w:line="186" w:lineRule="auto"/>
              <w:rPr/>
            </w:pPr>
            <w:r>
              <w:rPr/>
              <w:t>3</w:t>
            </w:r>
          </w:p>
        </w:tc>
      </w:tr>
      <w:tr>
        <w:trPr>
          <w:trHeight w:val="498" w:hRule="atLeast"/>
        </w:trPr>
        <w:tc>
          <w:tcPr>
            <w:tcW w:w="4863" w:type="dxa"/>
            <w:vAlign w:val="top"/>
            <w:tcBorders>
              <w:right w:val="nil"/>
            </w:tcBorders>
          </w:tcPr>
          <w:p>
            <w:pPr>
              <w:pStyle w:val="TableText"/>
              <w:ind w:left="715"/>
              <w:spacing w:before="139" w:line="219" w:lineRule="auto"/>
              <w:rPr/>
            </w:pPr>
            <w:r>
              <w:rPr>
                <w:spacing w:val="1"/>
              </w:rPr>
              <w:t>秋季最后一次观赏性修剪</w:t>
            </w:r>
          </w:p>
        </w:tc>
        <w:tc>
          <w:tcPr>
            <w:tcW w:w="1897" w:type="dxa"/>
            <w:vAlign w:val="top"/>
            <w:tcBorders>
              <w:left w:val="nil"/>
            </w:tcBorders>
          </w:tcPr>
          <w:p>
            <w:pPr>
              <w:pStyle w:val="TableText"/>
              <w:ind w:left="957"/>
              <w:spacing w:before="208" w:line="178" w:lineRule="auto"/>
              <w:rPr/>
            </w:pPr>
            <w:r>
              <w:rPr/>
              <w:t>4</w:t>
            </w:r>
          </w:p>
        </w:tc>
      </w:tr>
      <w:tr>
        <w:trPr>
          <w:trHeight w:val="504" w:hRule="atLeast"/>
        </w:trPr>
        <w:tc>
          <w:tcPr>
            <w:tcW w:w="4863" w:type="dxa"/>
            <w:vAlign w:val="top"/>
            <w:tcBorders>
              <w:right w:val="nil"/>
            </w:tcBorders>
          </w:tcPr>
          <w:p>
            <w:pPr>
              <w:pStyle w:val="TableText"/>
              <w:ind w:left="284"/>
              <w:spacing w:before="170" w:line="206" w:lineRule="auto"/>
              <w:rPr/>
            </w:pPr>
            <w:r>
              <w:rPr/>
              <w:t>冬季有明显休眠期，枯黄后修剪</w:t>
            </w:r>
          </w:p>
        </w:tc>
        <w:tc>
          <w:tcPr>
            <w:tcW w:w="1897" w:type="dxa"/>
            <w:vAlign w:val="top"/>
            <w:tcBorders>
              <w:left w:val="nil"/>
            </w:tcBorders>
          </w:tcPr>
          <w:p>
            <w:pPr>
              <w:pStyle w:val="TableText"/>
              <w:ind w:left="957"/>
              <w:spacing w:before="209" w:line="181" w:lineRule="auto"/>
              <w:rPr/>
            </w:pPr>
            <w:r>
              <w:rPr/>
              <w:t>2</w:t>
            </w:r>
          </w:p>
        </w:tc>
      </w:tr>
    </w:tbl>
    <w:p>
      <w:pPr>
        <w:pStyle w:val="BodyText"/>
        <w:ind w:right="245" w:firstLine="570"/>
        <w:spacing w:before="144" w:line="316" w:lineRule="auto"/>
        <w:rPr>
          <w:sz w:val="29"/>
          <w:szCs w:val="29"/>
        </w:rPr>
      </w:pPr>
      <w:r>
        <w:rPr>
          <w:sz w:val="29"/>
          <w:szCs w:val="29"/>
          <w:spacing w:val="-2"/>
        </w:rPr>
        <w:t>生长季节根据生长速度，主要节点每5—7天修剪一次，其它位置7</w:t>
      </w:r>
      <w:r>
        <w:rPr>
          <w:sz w:val="29"/>
          <w:szCs w:val="29"/>
          <w:spacing w:val="-3"/>
        </w:rPr>
        <w:t>—10天修</w:t>
      </w:r>
      <w:r>
        <w:rPr>
          <w:sz w:val="29"/>
          <w:szCs w:val="29"/>
        </w:rPr>
        <w:t xml:space="preserve"> </w:t>
      </w:r>
      <w:r>
        <w:rPr>
          <w:sz w:val="29"/>
          <w:szCs w:val="29"/>
          <w:spacing w:val="-5"/>
        </w:rPr>
        <w:t>剪一次，每次修剪时草高不超过6</w:t>
      </w:r>
      <w:r>
        <w:rPr>
          <w:rFonts w:ascii="Times New Roman" w:hAnsi="Times New Roman" w:eastAsia="Times New Roman" w:cs="Times New Roman"/>
          <w:sz w:val="29"/>
          <w:szCs w:val="29"/>
          <w:spacing w:val="-5"/>
        </w:rPr>
        <w:t>cm</w:t>
      </w:r>
      <w:r>
        <w:rPr>
          <w:sz w:val="29"/>
          <w:szCs w:val="29"/>
          <w:spacing w:val="-5"/>
        </w:rPr>
        <w:t>。</w:t>
      </w:r>
    </w:p>
    <w:p>
      <w:pPr>
        <w:pStyle w:val="BodyText"/>
        <w:ind w:left="570"/>
        <w:spacing w:line="220" w:lineRule="auto"/>
        <w:rPr>
          <w:sz w:val="29"/>
          <w:szCs w:val="29"/>
        </w:rPr>
      </w:pPr>
      <w:r>
        <w:rPr>
          <w:sz w:val="29"/>
          <w:szCs w:val="29"/>
          <w:spacing w:val="34"/>
        </w:rPr>
        <w:t>3)百慕大</w:t>
      </w:r>
    </w:p>
    <w:p>
      <w:pPr>
        <w:pStyle w:val="BodyText"/>
        <w:ind w:left="570"/>
        <w:spacing w:before="143" w:line="219" w:lineRule="auto"/>
        <w:rPr>
          <w:sz w:val="29"/>
          <w:szCs w:val="29"/>
        </w:rPr>
      </w:pPr>
      <w:r>
        <w:rPr>
          <w:sz w:val="29"/>
          <w:szCs w:val="29"/>
          <w:spacing w:val="-2"/>
        </w:rPr>
        <w:t>修剪时间及控制高度如下：</w:t>
      </w:r>
    </w:p>
    <w:p>
      <w:pPr>
        <w:spacing w:line="209" w:lineRule="exact"/>
        <w:rPr/>
      </w:pPr>
      <w:r/>
    </w:p>
    <w:tbl>
      <w:tblPr>
        <w:tblStyle w:val="TableNormal"/>
        <w:tblW w:w="6760" w:type="dxa"/>
        <w:tblInd w:w="160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660"/>
        <w:gridCol w:w="2100"/>
      </w:tblGrid>
      <w:tr>
        <w:trPr>
          <w:trHeight w:val="523" w:hRule="atLeast"/>
        </w:trPr>
        <w:tc>
          <w:tcPr>
            <w:shd w:val="clear" w:fill="9ABA57"/>
            <w:tcW w:w="4660" w:type="dxa"/>
            <w:vAlign w:val="top"/>
            <w:tcBorders>
              <w:right w:val="nil"/>
            </w:tcBorders>
          </w:tcPr>
          <w:p>
            <w:pPr>
              <w:pStyle w:val="TableText"/>
              <w:ind w:left="1759"/>
              <w:spacing w:before="122" w:line="219" w:lineRule="auto"/>
              <w:rPr/>
            </w:pPr>
            <w:r>
              <w:rPr>
                <w:b/>
                <w:bCs/>
                <w:spacing w:val="2"/>
              </w:rPr>
              <w:t>修剪时间</w:t>
            </w:r>
          </w:p>
        </w:tc>
        <w:tc>
          <w:tcPr>
            <w:shd w:val="clear" w:fill="9ABA57"/>
            <w:tcW w:w="2100" w:type="dxa"/>
            <w:vAlign w:val="top"/>
            <w:tcBorders>
              <w:left w:val="nil"/>
            </w:tcBorders>
          </w:tcPr>
          <w:p>
            <w:pPr>
              <w:pStyle w:val="TableText"/>
              <w:ind w:left="274"/>
              <w:spacing w:before="122" w:line="219" w:lineRule="auto"/>
              <w:rPr/>
            </w:pPr>
            <w:r>
              <w:rPr>
                <w:b/>
                <w:bCs/>
                <w:spacing w:val="-5"/>
              </w:rPr>
              <w:t>修剪高度/cm</w:t>
            </w:r>
          </w:p>
        </w:tc>
      </w:tr>
      <w:tr>
        <w:trPr>
          <w:trHeight w:val="499" w:hRule="atLeast"/>
        </w:trPr>
        <w:tc>
          <w:tcPr>
            <w:tcW w:w="4660" w:type="dxa"/>
            <w:vAlign w:val="top"/>
            <w:tcBorders>
              <w:right w:val="nil"/>
            </w:tcBorders>
          </w:tcPr>
          <w:p>
            <w:pPr>
              <w:pStyle w:val="TableText"/>
              <w:ind w:left="1335"/>
              <w:spacing w:before="124" w:line="219" w:lineRule="auto"/>
              <w:rPr/>
            </w:pPr>
            <w:r>
              <w:rPr>
                <w:spacing w:val="3"/>
              </w:rPr>
              <w:t>春季解除休眠后</w:t>
            </w:r>
          </w:p>
        </w:tc>
        <w:tc>
          <w:tcPr>
            <w:tcW w:w="2100" w:type="dxa"/>
            <w:vAlign w:val="top"/>
            <w:tcBorders>
              <w:left w:val="nil"/>
            </w:tcBorders>
          </w:tcPr>
          <w:p>
            <w:pPr>
              <w:pStyle w:val="TableText"/>
              <w:ind w:left="1049"/>
              <w:spacing w:before="193" w:line="188" w:lineRule="auto"/>
              <w:rPr/>
            </w:pPr>
            <w:r>
              <w:rPr/>
              <w:t>3</w:t>
            </w:r>
          </w:p>
        </w:tc>
      </w:tr>
      <w:tr>
        <w:trPr>
          <w:trHeight w:val="498" w:hRule="atLeast"/>
        </w:trPr>
        <w:tc>
          <w:tcPr>
            <w:tcW w:w="4660" w:type="dxa"/>
            <w:vAlign w:val="top"/>
            <w:tcBorders>
              <w:right w:val="nil"/>
            </w:tcBorders>
          </w:tcPr>
          <w:p>
            <w:pPr>
              <w:pStyle w:val="TableText"/>
              <w:ind w:left="1465"/>
              <w:spacing w:before="126" w:line="221" w:lineRule="auto"/>
              <w:rPr/>
            </w:pPr>
            <w:r>
              <w:rPr>
                <w:spacing w:val="5"/>
              </w:rPr>
              <w:t>气温超过30℃</w:t>
            </w:r>
          </w:p>
        </w:tc>
        <w:tc>
          <w:tcPr>
            <w:tcW w:w="2100" w:type="dxa"/>
            <w:vAlign w:val="top"/>
            <w:tcBorders>
              <w:left w:val="nil"/>
            </w:tcBorders>
          </w:tcPr>
          <w:p>
            <w:pPr>
              <w:pStyle w:val="TableText"/>
              <w:ind w:left="1049"/>
              <w:spacing w:before="194" w:line="187" w:lineRule="auto"/>
              <w:rPr/>
            </w:pPr>
            <w:r>
              <w:rPr/>
              <w:t>4</w:t>
            </w:r>
          </w:p>
        </w:tc>
      </w:tr>
      <w:tr>
        <w:trPr>
          <w:trHeight w:val="499" w:hRule="atLeast"/>
        </w:trPr>
        <w:tc>
          <w:tcPr>
            <w:tcW w:w="4660" w:type="dxa"/>
            <w:vAlign w:val="top"/>
            <w:tcBorders>
              <w:right w:val="nil"/>
            </w:tcBorders>
          </w:tcPr>
          <w:p>
            <w:pPr>
              <w:pStyle w:val="TableText"/>
              <w:ind w:left="894"/>
              <w:spacing w:before="127" w:line="219" w:lineRule="auto"/>
              <w:rPr/>
            </w:pPr>
            <w:r>
              <w:rPr>
                <w:spacing w:val="1"/>
              </w:rPr>
              <w:t>秋季最高气温30℃以下</w:t>
            </w:r>
          </w:p>
        </w:tc>
        <w:tc>
          <w:tcPr>
            <w:tcW w:w="2100" w:type="dxa"/>
            <w:vAlign w:val="top"/>
            <w:tcBorders>
              <w:left w:val="nil"/>
            </w:tcBorders>
          </w:tcPr>
          <w:p>
            <w:pPr>
              <w:pStyle w:val="TableText"/>
              <w:ind w:left="1049"/>
              <w:spacing w:before="195" w:line="187" w:lineRule="auto"/>
              <w:rPr/>
            </w:pPr>
            <w:r>
              <w:rPr/>
              <w:t>3</w:t>
            </w:r>
          </w:p>
        </w:tc>
      </w:tr>
      <w:tr>
        <w:trPr>
          <w:trHeight w:val="498" w:hRule="atLeast"/>
        </w:trPr>
        <w:tc>
          <w:tcPr>
            <w:tcW w:w="4660" w:type="dxa"/>
            <w:vAlign w:val="top"/>
            <w:tcBorders>
              <w:right w:val="nil"/>
            </w:tcBorders>
          </w:tcPr>
          <w:p>
            <w:pPr>
              <w:pStyle w:val="TableText"/>
              <w:ind w:left="745"/>
              <w:spacing w:before="158" w:line="210" w:lineRule="auto"/>
              <w:rPr/>
            </w:pPr>
            <w:r>
              <w:rPr>
                <w:spacing w:val="1"/>
              </w:rPr>
              <w:t>秋季最后一次观赏性修剪</w:t>
            </w:r>
          </w:p>
        </w:tc>
        <w:tc>
          <w:tcPr>
            <w:tcW w:w="2100" w:type="dxa"/>
            <w:vAlign w:val="top"/>
            <w:tcBorders>
              <w:left w:val="nil"/>
            </w:tcBorders>
          </w:tcPr>
          <w:p>
            <w:pPr>
              <w:pStyle w:val="TableText"/>
              <w:ind w:left="1049"/>
              <w:spacing w:before="216" w:line="173" w:lineRule="auto"/>
              <w:rPr/>
            </w:pPr>
            <w:r>
              <w:rPr/>
              <w:t>4</w:t>
            </w:r>
          </w:p>
        </w:tc>
      </w:tr>
      <w:tr>
        <w:trPr>
          <w:trHeight w:val="493" w:hRule="atLeast"/>
        </w:trPr>
        <w:tc>
          <w:tcPr>
            <w:tcW w:w="4660" w:type="dxa"/>
            <w:vAlign w:val="top"/>
            <w:tcBorders>
              <w:right w:val="nil"/>
            </w:tcBorders>
          </w:tcPr>
          <w:p>
            <w:pPr>
              <w:pStyle w:val="TableText"/>
              <w:ind w:left="324"/>
              <w:spacing w:before="149" w:line="212" w:lineRule="auto"/>
              <w:rPr/>
            </w:pPr>
            <w:r>
              <w:rPr/>
              <w:t>冬季有明显休眠期，枯黄后修剪</w:t>
            </w:r>
          </w:p>
        </w:tc>
        <w:tc>
          <w:tcPr>
            <w:tcW w:w="2100" w:type="dxa"/>
            <w:vAlign w:val="top"/>
            <w:tcBorders>
              <w:left w:val="nil"/>
            </w:tcBorders>
          </w:tcPr>
          <w:p>
            <w:pPr>
              <w:pStyle w:val="TableText"/>
              <w:ind w:left="1049"/>
              <w:spacing w:before="189" w:line="187" w:lineRule="auto"/>
              <w:rPr/>
            </w:pPr>
            <w:r>
              <w:rPr/>
              <w:t>2</w:t>
            </w:r>
          </w:p>
        </w:tc>
      </w:tr>
    </w:tbl>
    <w:p>
      <w:pPr>
        <w:pStyle w:val="BodyText"/>
        <w:ind w:right="245" w:firstLine="570"/>
        <w:spacing w:before="136" w:line="312" w:lineRule="auto"/>
        <w:rPr>
          <w:sz w:val="29"/>
          <w:szCs w:val="29"/>
        </w:rPr>
      </w:pPr>
      <w:r>
        <w:rPr>
          <w:sz w:val="29"/>
          <w:szCs w:val="29"/>
          <w:spacing w:val="-2"/>
        </w:rPr>
        <w:t>生长季节根据生长速度，主要节点每5—7天修剪一次，其它位置7</w:t>
      </w:r>
      <w:r>
        <w:rPr>
          <w:sz w:val="29"/>
          <w:szCs w:val="29"/>
          <w:spacing w:val="-3"/>
        </w:rPr>
        <w:t>—10天修</w:t>
      </w:r>
      <w:r>
        <w:rPr>
          <w:sz w:val="29"/>
          <w:szCs w:val="29"/>
        </w:rPr>
        <w:t xml:space="preserve"> </w:t>
      </w:r>
      <w:r>
        <w:rPr>
          <w:sz w:val="29"/>
          <w:szCs w:val="29"/>
          <w:spacing w:val="-5"/>
        </w:rPr>
        <w:t>剪一次，每次修剪时草高不超过6</w:t>
      </w:r>
      <w:r>
        <w:rPr>
          <w:rFonts w:ascii="Times New Roman" w:hAnsi="Times New Roman" w:eastAsia="Times New Roman" w:cs="Times New Roman"/>
          <w:sz w:val="29"/>
          <w:szCs w:val="29"/>
          <w:spacing w:val="-5"/>
        </w:rPr>
        <w:t>cm</w:t>
      </w:r>
      <w:r>
        <w:rPr>
          <w:sz w:val="29"/>
          <w:szCs w:val="29"/>
          <w:spacing w:val="-5"/>
        </w:rPr>
        <w:t>。</w:t>
      </w:r>
    </w:p>
    <w:p>
      <w:pPr>
        <w:pStyle w:val="BodyText"/>
        <w:ind w:left="570"/>
        <w:spacing w:before="1" w:line="219" w:lineRule="auto"/>
        <w:rPr>
          <w:sz w:val="29"/>
          <w:szCs w:val="29"/>
        </w:rPr>
      </w:pPr>
      <w:r>
        <w:rPr>
          <w:sz w:val="29"/>
          <w:szCs w:val="29"/>
          <w:spacing w:val="36"/>
        </w:rPr>
        <w:t>4)美国优异(早熟禾)</w:t>
      </w:r>
    </w:p>
    <w:p>
      <w:pPr>
        <w:pStyle w:val="BodyText"/>
        <w:ind w:left="570"/>
        <w:spacing w:before="156" w:line="219" w:lineRule="auto"/>
        <w:rPr>
          <w:sz w:val="29"/>
          <w:szCs w:val="29"/>
        </w:rPr>
      </w:pPr>
      <w:r>
        <w:rPr>
          <w:sz w:val="29"/>
          <w:szCs w:val="29"/>
          <w:spacing w:val="-2"/>
        </w:rPr>
        <w:t>修剪时间及控制高度如下：</w:t>
      </w:r>
    </w:p>
    <w:p>
      <w:pPr>
        <w:spacing w:line="199" w:lineRule="exact"/>
        <w:rPr/>
      </w:pPr>
      <w:r/>
    </w:p>
    <w:tbl>
      <w:tblPr>
        <w:tblStyle w:val="TableNormal"/>
        <w:tblW w:w="6959" w:type="dxa"/>
        <w:tblInd w:w="151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75"/>
        <w:gridCol w:w="2484"/>
      </w:tblGrid>
      <w:tr>
        <w:trPr>
          <w:trHeight w:val="523" w:hRule="atLeast"/>
        </w:trPr>
        <w:tc>
          <w:tcPr>
            <w:shd w:val="clear" w:fill="9ABA57"/>
            <w:tcW w:w="4475" w:type="dxa"/>
            <w:vAlign w:val="top"/>
            <w:tcBorders>
              <w:right w:val="nil"/>
            </w:tcBorders>
          </w:tcPr>
          <w:p>
            <w:pPr>
              <w:pStyle w:val="TableText"/>
              <w:ind w:left="1669"/>
              <w:spacing w:before="142" w:line="219" w:lineRule="auto"/>
              <w:rPr/>
            </w:pPr>
            <w:r>
              <w:rPr>
                <w:b/>
                <w:bCs/>
                <w:spacing w:val="2"/>
              </w:rPr>
              <w:t>修剪时间</w:t>
            </w:r>
          </w:p>
        </w:tc>
        <w:tc>
          <w:tcPr>
            <w:shd w:val="clear" w:fill="9ABA57"/>
            <w:tcW w:w="2484" w:type="dxa"/>
            <w:vAlign w:val="top"/>
            <w:tcBorders>
              <w:left w:val="nil"/>
            </w:tcBorders>
          </w:tcPr>
          <w:p>
            <w:pPr>
              <w:pStyle w:val="TableText"/>
              <w:ind w:left="479"/>
              <w:spacing w:before="172" w:line="217" w:lineRule="auto"/>
              <w:rPr/>
            </w:pPr>
            <w:r>
              <w:rPr>
                <w:b/>
                <w:bCs/>
                <w:spacing w:val="-5"/>
              </w:rPr>
              <w:t>修剪高度/cm</w:t>
            </w:r>
          </w:p>
        </w:tc>
      </w:tr>
      <w:tr>
        <w:trPr>
          <w:trHeight w:val="488" w:hRule="atLeast"/>
        </w:trPr>
        <w:tc>
          <w:tcPr>
            <w:tcW w:w="4475" w:type="dxa"/>
            <w:vAlign w:val="top"/>
            <w:tcBorders>
              <w:right w:val="nil"/>
            </w:tcBorders>
          </w:tcPr>
          <w:p>
            <w:pPr>
              <w:pStyle w:val="TableText"/>
              <w:ind w:left="804"/>
              <w:spacing w:before="124" w:line="219" w:lineRule="auto"/>
              <w:rPr/>
            </w:pPr>
            <w:r>
              <w:rPr>
                <w:spacing w:val="3"/>
              </w:rPr>
              <w:t>春季解除休眠后</w:t>
            </w:r>
          </w:p>
        </w:tc>
        <w:tc>
          <w:tcPr>
            <w:tcW w:w="2484" w:type="dxa"/>
            <w:vAlign w:val="top"/>
            <w:tcBorders>
              <w:left w:val="nil"/>
            </w:tcBorders>
          </w:tcPr>
          <w:p>
            <w:pPr>
              <w:pStyle w:val="TableText"/>
              <w:ind w:left="1154"/>
              <w:spacing w:before="182" w:line="188" w:lineRule="auto"/>
              <w:rPr/>
            </w:pPr>
            <w:r>
              <w:rPr/>
              <w:t>3</w:t>
            </w:r>
          </w:p>
        </w:tc>
      </w:tr>
      <w:tr>
        <w:trPr>
          <w:trHeight w:val="509" w:hRule="atLeast"/>
        </w:trPr>
        <w:tc>
          <w:tcPr>
            <w:tcW w:w="4475" w:type="dxa"/>
            <w:vAlign w:val="top"/>
            <w:tcBorders>
              <w:right w:val="nil"/>
            </w:tcBorders>
          </w:tcPr>
          <w:p>
            <w:pPr>
              <w:pStyle w:val="TableText"/>
              <w:ind w:left="804"/>
              <w:spacing w:before="137" w:line="221" w:lineRule="auto"/>
              <w:rPr/>
            </w:pPr>
            <w:r>
              <w:rPr>
                <w:spacing w:val="5"/>
              </w:rPr>
              <w:t>气温超过30℃</w:t>
            </w:r>
          </w:p>
        </w:tc>
        <w:tc>
          <w:tcPr>
            <w:tcW w:w="2484" w:type="dxa"/>
            <w:vAlign w:val="top"/>
            <w:tcBorders>
              <w:left w:val="nil"/>
            </w:tcBorders>
          </w:tcPr>
          <w:p>
            <w:pPr>
              <w:pStyle w:val="TableText"/>
              <w:ind w:left="954"/>
              <w:spacing w:before="224" w:line="175" w:lineRule="auto"/>
              <w:rPr/>
            </w:pPr>
            <w:r>
              <w:rPr>
                <w:spacing w:val="-4"/>
              </w:rPr>
              <w:t>4-5</w:t>
            </w:r>
          </w:p>
        </w:tc>
      </w:tr>
      <w:tr>
        <w:trPr>
          <w:trHeight w:val="508" w:hRule="atLeast"/>
        </w:trPr>
        <w:tc>
          <w:tcPr>
            <w:tcW w:w="4475" w:type="dxa"/>
            <w:vAlign w:val="top"/>
            <w:tcBorders>
              <w:right w:val="nil"/>
            </w:tcBorders>
          </w:tcPr>
          <w:p>
            <w:pPr>
              <w:pStyle w:val="TableText"/>
              <w:ind w:left="804"/>
              <w:spacing w:before="157" w:line="217" w:lineRule="auto"/>
              <w:rPr/>
            </w:pPr>
            <w:r>
              <w:rPr>
                <w:spacing w:val="1"/>
              </w:rPr>
              <w:t>秋季最高气温30℃以下</w:t>
            </w:r>
          </w:p>
        </w:tc>
        <w:tc>
          <w:tcPr>
            <w:tcW w:w="2484" w:type="dxa"/>
            <w:vAlign w:val="top"/>
            <w:tcBorders>
              <w:left w:val="nil"/>
            </w:tcBorders>
          </w:tcPr>
          <w:p>
            <w:pPr>
              <w:pStyle w:val="TableText"/>
              <w:ind w:left="1144"/>
              <w:spacing w:before="205" w:line="186" w:lineRule="auto"/>
              <w:rPr/>
            </w:pPr>
            <w:r>
              <w:rPr/>
              <w:t>3</w:t>
            </w:r>
          </w:p>
        </w:tc>
      </w:tr>
      <w:tr>
        <w:trPr>
          <w:trHeight w:val="498" w:hRule="atLeast"/>
        </w:trPr>
        <w:tc>
          <w:tcPr>
            <w:tcW w:w="4475" w:type="dxa"/>
            <w:vAlign w:val="top"/>
            <w:tcBorders>
              <w:right w:val="nil"/>
            </w:tcBorders>
          </w:tcPr>
          <w:p>
            <w:pPr>
              <w:pStyle w:val="TableText"/>
              <w:ind w:left="804"/>
              <w:spacing w:before="158" w:line="210" w:lineRule="auto"/>
              <w:rPr/>
            </w:pPr>
            <w:r>
              <w:rPr>
                <w:spacing w:val="1"/>
              </w:rPr>
              <w:t>秋季最后一次观赏性修剪</w:t>
            </w:r>
          </w:p>
        </w:tc>
        <w:tc>
          <w:tcPr>
            <w:tcW w:w="2484" w:type="dxa"/>
            <w:vAlign w:val="top"/>
            <w:tcBorders>
              <w:left w:val="nil"/>
            </w:tcBorders>
          </w:tcPr>
          <w:p>
            <w:pPr>
              <w:pStyle w:val="TableText"/>
              <w:ind w:left="1144"/>
              <w:spacing w:before="197" w:line="185" w:lineRule="auto"/>
              <w:rPr/>
            </w:pPr>
            <w:r>
              <w:rPr/>
              <w:t>5</w:t>
            </w:r>
          </w:p>
        </w:tc>
      </w:tr>
      <w:tr>
        <w:trPr>
          <w:trHeight w:val="503" w:hRule="atLeast"/>
        </w:trPr>
        <w:tc>
          <w:tcPr>
            <w:tcW w:w="6959" w:type="dxa"/>
            <w:vAlign w:val="top"/>
            <w:gridSpan w:val="2"/>
          </w:tcPr>
          <w:p>
            <w:pPr>
              <w:pStyle w:val="TableText"/>
              <w:ind w:left="804"/>
              <w:spacing w:before="159" w:line="193" w:lineRule="auto"/>
              <w:rPr/>
            </w:pPr>
            <w:r>
              <w:rPr>
                <w:spacing w:val="1"/>
              </w:rPr>
              <w:t>冬季有明显休眠期，枯黄后修剪     </w:t>
            </w:r>
            <w:r>
              <w:rPr>
                <w:spacing w:val="1"/>
                <w:position w:val="-3"/>
              </w:rPr>
              <w:t>2</w:t>
            </w:r>
          </w:p>
        </w:tc>
      </w:tr>
    </w:tbl>
    <w:p>
      <w:pPr>
        <w:pStyle w:val="BodyText"/>
        <w:ind w:right="245" w:firstLine="570"/>
        <w:spacing w:before="147" w:line="301" w:lineRule="auto"/>
        <w:rPr>
          <w:sz w:val="29"/>
          <w:szCs w:val="29"/>
        </w:rPr>
      </w:pPr>
      <w:r>
        <w:rPr>
          <w:sz w:val="29"/>
          <w:szCs w:val="29"/>
          <w:spacing w:val="-2"/>
        </w:rPr>
        <w:t>生长季节根据生长速度，主要节点每5—7天修剪一次，其它位置7</w:t>
      </w:r>
      <w:r>
        <w:rPr>
          <w:sz w:val="29"/>
          <w:szCs w:val="29"/>
          <w:spacing w:val="-3"/>
        </w:rPr>
        <w:t>—10天修</w:t>
      </w:r>
      <w:r>
        <w:rPr>
          <w:sz w:val="29"/>
          <w:szCs w:val="29"/>
        </w:rPr>
        <w:t xml:space="preserve"> </w:t>
      </w:r>
      <w:r>
        <w:rPr>
          <w:sz w:val="29"/>
          <w:szCs w:val="29"/>
          <w:spacing w:val="-4"/>
        </w:rPr>
        <w:t>剪一次，每次修剪时草高不超过7</w:t>
      </w:r>
      <w:r>
        <w:rPr>
          <w:rFonts w:ascii="Times New Roman" w:hAnsi="Times New Roman" w:eastAsia="Times New Roman" w:cs="Times New Roman"/>
          <w:sz w:val="29"/>
          <w:szCs w:val="29"/>
          <w:spacing w:val="-4"/>
        </w:rPr>
        <w:t>cm</w:t>
      </w:r>
      <w:r>
        <w:rPr>
          <w:sz w:val="29"/>
          <w:szCs w:val="29"/>
          <w:spacing w:val="-4"/>
        </w:rPr>
        <w:t>。</w:t>
      </w:r>
    </w:p>
    <w:p>
      <w:pPr>
        <w:pStyle w:val="BodyText"/>
        <w:ind w:left="570"/>
        <w:spacing w:before="22" w:line="219" w:lineRule="auto"/>
        <w:rPr>
          <w:sz w:val="29"/>
          <w:szCs w:val="29"/>
        </w:rPr>
      </w:pPr>
      <w:r>
        <w:rPr>
          <w:sz w:val="29"/>
          <w:szCs w:val="29"/>
          <w:spacing w:val="12"/>
        </w:rPr>
        <w:t>5)早熟禾、高羊茅、黑麦草混播</w:t>
      </w:r>
    </w:p>
    <w:p>
      <w:pPr>
        <w:pStyle w:val="BodyText"/>
        <w:ind w:left="570"/>
        <w:spacing w:before="148" w:line="219" w:lineRule="auto"/>
        <w:rPr>
          <w:sz w:val="29"/>
          <w:szCs w:val="29"/>
        </w:rPr>
      </w:pPr>
      <w:r>
        <w:rPr>
          <w:sz w:val="29"/>
          <w:szCs w:val="29"/>
          <w:spacing w:val="-2"/>
        </w:rPr>
        <w:t>修剪时间及控制高度如下：</w:t>
      </w:r>
    </w:p>
    <w:p>
      <w:pPr>
        <w:spacing w:line="219" w:lineRule="auto"/>
        <w:sectPr>
          <w:footerReference w:type="default" r:id="rId168"/>
          <w:pgSz w:w="14490" w:h="20470"/>
          <w:pgMar w:top="1739" w:right="2173" w:bottom="1480" w:left="2150" w:header="0" w:footer="1194" w:gutter="0"/>
        </w:sectPr>
        <w:rPr>
          <w:sz w:val="29"/>
          <w:szCs w:val="29"/>
        </w:rPr>
      </w:pPr>
    </w:p>
    <w:tbl>
      <w:tblPr>
        <w:tblStyle w:val="TableNormal"/>
        <w:tblW w:w="6760" w:type="dxa"/>
        <w:tblInd w:w="160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55"/>
        <w:gridCol w:w="2205"/>
      </w:tblGrid>
      <w:tr>
        <w:trPr>
          <w:trHeight w:val="513" w:hRule="atLeast"/>
        </w:trPr>
        <w:tc>
          <w:tcPr>
            <w:shd w:val="clear" w:fill="9ABA57"/>
            <w:tcW w:w="4555" w:type="dxa"/>
            <w:vAlign w:val="top"/>
            <w:tcBorders>
              <w:right w:val="nil"/>
            </w:tcBorders>
          </w:tcPr>
          <w:p>
            <w:pPr>
              <w:pStyle w:val="TableText"/>
              <w:ind w:left="1669"/>
              <w:spacing w:before="122" w:line="219" w:lineRule="auto"/>
              <w:rPr/>
            </w:pPr>
            <w:bookmarkStart w:name="bookmark96" w:id="41"/>
            <w:bookmarkEnd w:id="41"/>
            <w:r>
              <w:rPr>
                <w:b/>
                <w:bCs/>
                <w:spacing w:val="2"/>
              </w:rPr>
              <w:t>修剪时间</w:t>
            </w:r>
          </w:p>
        </w:tc>
        <w:tc>
          <w:tcPr>
            <w:shd w:val="clear" w:fill="9ABA57"/>
            <w:tcW w:w="2205" w:type="dxa"/>
            <w:vAlign w:val="top"/>
            <w:tcBorders>
              <w:left w:val="nil"/>
            </w:tcBorders>
          </w:tcPr>
          <w:p>
            <w:pPr>
              <w:pStyle w:val="TableText"/>
              <w:ind w:left="279"/>
              <w:spacing w:before="122" w:line="219" w:lineRule="auto"/>
              <w:rPr/>
            </w:pPr>
            <w:r>
              <w:rPr>
                <w:b/>
                <w:bCs/>
                <w:spacing w:val="-5"/>
              </w:rPr>
              <w:t>修剪高度/cm</w:t>
            </w:r>
          </w:p>
        </w:tc>
      </w:tr>
      <w:tr>
        <w:trPr>
          <w:trHeight w:val="478" w:hRule="atLeast"/>
        </w:trPr>
        <w:tc>
          <w:tcPr>
            <w:tcW w:w="4555" w:type="dxa"/>
            <w:vAlign w:val="top"/>
            <w:tcBorders>
              <w:right w:val="nil"/>
            </w:tcBorders>
          </w:tcPr>
          <w:p>
            <w:pPr>
              <w:pStyle w:val="TableText"/>
              <w:ind w:left="1235"/>
              <w:spacing w:before="123" w:line="219" w:lineRule="auto"/>
              <w:rPr/>
            </w:pPr>
            <w:r>
              <w:rPr>
                <w:spacing w:val="3"/>
              </w:rPr>
              <w:t>春季解除休眠后</w:t>
            </w:r>
          </w:p>
        </w:tc>
        <w:tc>
          <w:tcPr>
            <w:tcW w:w="2205" w:type="dxa"/>
            <w:vAlign w:val="top"/>
            <w:tcBorders>
              <w:left w:val="nil"/>
            </w:tcBorders>
          </w:tcPr>
          <w:p>
            <w:pPr>
              <w:pStyle w:val="TableText"/>
              <w:ind w:left="1074"/>
              <w:spacing w:before="193" w:line="175" w:lineRule="auto"/>
              <w:rPr/>
            </w:pPr>
            <w:r>
              <w:rPr/>
              <w:t>4</w:t>
            </w:r>
          </w:p>
        </w:tc>
      </w:tr>
      <w:tr>
        <w:trPr>
          <w:trHeight w:val="518" w:hRule="atLeast"/>
        </w:trPr>
        <w:tc>
          <w:tcPr>
            <w:tcW w:w="4555" w:type="dxa"/>
            <w:vAlign w:val="top"/>
            <w:tcBorders>
              <w:right w:val="nil"/>
            </w:tcBorders>
          </w:tcPr>
          <w:p>
            <w:pPr>
              <w:pStyle w:val="TableText"/>
              <w:ind w:left="1395"/>
              <w:spacing w:before="178" w:line="210" w:lineRule="auto"/>
              <w:rPr/>
            </w:pPr>
            <w:r>
              <w:rPr>
                <w:spacing w:val="5"/>
              </w:rPr>
              <w:t>气温超过30℃</w:t>
            </w:r>
          </w:p>
        </w:tc>
        <w:tc>
          <w:tcPr>
            <w:tcW w:w="2205" w:type="dxa"/>
            <w:vAlign w:val="top"/>
            <w:tcBorders>
              <w:left w:val="nil"/>
            </w:tcBorders>
          </w:tcPr>
          <w:p>
            <w:pPr>
              <w:pStyle w:val="TableText"/>
              <w:ind w:left="1074"/>
              <w:spacing w:before="214" w:line="187" w:lineRule="auto"/>
              <w:rPr/>
            </w:pPr>
            <w:r>
              <w:rPr/>
              <w:t>5</w:t>
            </w:r>
          </w:p>
        </w:tc>
      </w:tr>
      <w:tr>
        <w:trPr>
          <w:trHeight w:val="479" w:hRule="atLeast"/>
        </w:trPr>
        <w:tc>
          <w:tcPr>
            <w:tcW w:w="4555" w:type="dxa"/>
            <w:vAlign w:val="top"/>
            <w:tcBorders>
              <w:right w:val="nil"/>
            </w:tcBorders>
          </w:tcPr>
          <w:p>
            <w:pPr>
              <w:pStyle w:val="TableText"/>
              <w:ind w:left="784"/>
              <w:spacing w:before="146" w:line="205" w:lineRule="auto"/>
              <w:rPr/>
            </w:pPr>
            <w:r>
              <w:rPr>
                <w:spacing w:val="1"/>
              </w:rPr>
              <w:t>秋季最高气温30℃以下</w:t>
            </w:r>
          </w:p>
        </w:tc>
        <w:tc>
          <w:tcPr>
            <w:tcW w:w="2205" w:type="dxa"/>
            <w:vAlign w:val="top"/>
            <w:tcBorders>
              <w:left w:val="nil"/>
            </w:tcBorders>
          </w:tcPr>
          <w:p>
            <w:pPr>
              <w:pStyle w:val="TableText"/>
              <w:ind w:left="1074"/>
              <w:spacing w:before="206" w:line="167" w:lineRule="auto"/>
              <w:rPr/>
            </w:pPr>
            <w:r>
              <w:rPr/>
              <w:t>4</w:t>
            </w:r>
          </w:p>
        </w:tc>
      </w:tr>
      <w:tr>
        <w:trPr>
          <w:trHeight w:val="518" w:hRule="atLeast"/>
        </w:trPr>
        <w:tc>
          <w:tcPr>
            <w:tcW w:w="4555" w:type="dxa"/>
            <w:vAlign w:val="top"/>
            <w:tcBorders>
              <w:right w:val="nil"/>
            </w:tcBorders>
          </w:tcPr>
          <w:p>
            <w:pPr>
              <w:pStyle w:val="TableText"/>
              <w:ind w:left="635"/>
              <w:spacing w:before="159" w:line="219" w:lineRule="auto"/>
              <w:rPr/>
            </w:pPr>
            <w:r>
              <w:rPr>
                <w:spacing w:val="1"/>
              </w:rPr>
              <w:t>秋季最后一次观赏性修剪</w:t>
            </w:r>
          </w:p>
        </w:tc>
        <w:tc>
          <w:tcPr>
            <w:tcW w:w="2205" w:type="dxa"/>
            <w:vAlign w:val="top"/>
            <w:tcBorders>
              <w:left w:val="nil"/>
            </w:tcBorders>
          </w:tcPr>
          <w:p>
            <w:pPr>
              <w:pStyle w:val="TableText"/>
              <w:ind w:left="1074"/>
              <w:spacing w:before="187" w:line="204" w:lineRule="auto"/>
              <w:rPr/>
            </w:pPr>
            <w:r>
              <w:rPr/>
              <w:t>5</w:t>
            </w:r>
          </w:p>
        </w:tc>
      </w:tr>
      <w:tr>
        <w:trPr>
          <w:trHeight w:val="494" w:hRule="atLeast"/>
        </w:trPr>
        <w:tc>
          <w:tcPr>
            <w:tcW w:w="4555" w:type="dxa"/>
            <w:vAlign w:val="top"/>
            <w:tcBorders>
              <w:right w:val="nil"/>
            </w:tcBorders>
          </w:tcPr>
          <w:p>
            <w:pPr>
              <w:pStyle w:val="TableText"/>
              <w:ind w:left="214"/>
              <w:spacing w:before="150" w:line="212" w:lineRule="auto"/>
              <w:rPr/>
            </w:pPr>
            <w:r>
              <w:rPr/>
              <w:t>冬季有明显休眠期，枯黄后修剪</w:t>
            </w:r>
          </w:p>
        </w:tc>
        <w:tc>
          <w:tcPr>
            <w:tcW w:w="2205" w:type="dxa"/>
            <w:vAlign w:val="top"/>
            <w:tcBorders>
              <w:left w:val="nil"/>
            </w:tcBorders>
          </w:tcPr>
          <w:p>
            <w:pPr>
              <w:pStyle w:val="TableText"/>
              <w:ind w:left="1074"/>
              <w:spacing w:before="190" w:line="187" w:lineRule="auto"/>
              <w:rPr/>
            </w:pPr>
            <w:r>
              <w:rPr/>
              <w:t>2</w:t>
            </w:r>
          </w:p>
        </w:tc>
      </w:tr>
    </w:tbl>
    <w:p>
      <w:pPr>
        <w:pStyle w:val="BodyText"/>
        <w:ind w:right="282" w:firstLine="590"/>
        <w:spacing w:before="136" w:line="315" w:lineRule="auto"/>
        <w:rPr>
          <w:sz w:val="29"/>
          <w:szCs w:val="29"/>
        </w:rPr>
      </w:pPr>
      <w:r>
        <w:rPr>
          <w:sz w:val="29"/>
          <w:szCs w:val="29"/>
          <w:spacing w:val="-2"/>
        </w:rPr>
        <w:t>生长季节根据生长速度，主要节点每5—7天修剪一次，其它位置7—10天修</w:t>
      </w:r>
      <w:r>
        <w:rPr>
          <w:sz w:val="29"/>
          <w:szCs w:val="29"/>
          <w:spacing w:val="5"/>
        </w:rPr>
        <w:t xml:space="preserve"> </w:t>
      </w:r>
      <w:r>
        <w:rPr>
          <w:sz w:val="29"/>
          <w:szCs w:val="29"/>
          <w:spacing w:val="-5"/>
        </w:rPr>
        <w:t>剪一次，每次修剪时草高不超过7</w:t>
      </w:r>
      <w:r>
        <w:rPr>
          <w:rFonts w:ascii="Times New Roman" w:hAnsi="Times New Roman" w:eastAsia="Times New Roman" w:cs="Times New Roman"/>
          <w:sz w:val="29"/>
          <w:szCs w:val="29"/>
          <w:spacing w:val="-5"/>
        </w:rPr>
        <w:t>cm</w:t>
      </w:r>
      <w:r>
        <w:rPr>
          <w:sz w:val="29"/>
          <w:szCs w:val="29"/>
          <w:spacing w:val="-5"/>
        </w:rPr>
        <w:t>。</w:t>
      </w:r>
    </w:p>
    <w:p>
      <w:pPr>
        <w:pStyle w:val="BodyText"/>
        <w:ind w:left="590"/>
        <w:spacing w:line="218" w:lineRule="auto"/>
        <w:rPr>
          <w:sz w:val="29"/>
          <w:szCs w:val="29"/>
        </w:rPr>
      </w:pPr>
      <w:r>
        <w:rPr>
          <w:sz w:val="29"/>
          <w:szCs w:val="29"/>
          <w:spacing w:val="16"/>
        </w:rPr>
        <w:t>6)百慕大与黑麦草混播</w:t>
      </w:r>
    </w:p>
    <w:p>
      <w:pPr>
        <w:pStyle w:val="BodyText"/>
        <w:ind w:left="590"/>
        <w:spacing w:before="148" w:line="219" w:lineRule="auto"/>
        <w:rPr>
          <w:sz w:val="29"/>
          <w:szCs w:val="29"/>
        </w:rPr>
      </w:pPr>
      <w:r>
        <w:rPr>
          <w:sz w:val="29"/>
          <w:szCs w:val="29"/>
          <w:spacing w:val="-2"/>
        </w:rPr>
        <w:t>修剪时间及控制高度如下：</w:t>
      </w:r>
    </w:p>
    <w:p>
      <w:pPr>
        <w:spacing w:line="198" w:lineRule="exact"/>
        <w:rPr/>
      </w:pPr>
      <w:r/>
    </w:p>
    <w:tbl>
      <w:tblPr>
        <w:tblStyle w:val="TableNormal"/>
        <w:tblW w:w="6760" w:type="dxa"/>
        <w:tblInd w:w="160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75"/>
        <w:gridCol w:w="2185"/>
      </w:tblGrid>
      <w:tr>
        <w:trPr>
          <w:trHeight w:val="523" w:hRule="atLeast"/>
        </w:trPr>
        <w:tc>
          <w:tcPr>
            <w:shd w:val="clear" w:fill="9ABA57"/>
            <w:tcW w:w="4575" w:type="dxa"/>
            <w:vAlign w:val="top"/>
            <w:tcBorders>
              <w:right w:val="nil"/>
            </w:tcBorders>
          </w:tcPr>
          <w:p>
            <w:pPr>
              <w:pStyle w:val="TableText"/>
              <w:ind w:left="1669"/>
              <w:spacing w:before="133" w:line="219" w:lineRule="auto"/>
              <w:rPr/>
            </w:pPr>
            <w:r>
              <w:rPr>
                <w:b/>
                <w:bCs/>
                <w:spacing w:val="2"/>
              </w:rPr>
              <w:t>修剪时间</w:t>
            </w:r>
          </w:p>
        </w:tc>
        <w:tc>
          <w:tcPr>
            <w:shd w:val="clear" w:fill="9ABA57"/>
            <w:tcW w:w="2185" w:type="dxa"/>
            <w:vAlign w:val="top"/>
            <w:tcBorders>
              <w:left w:val="nil"/>
            </w:tcBorders>
          </w:tcPr>
          <w:p>
            <w:pPr>
              <w:pStyle w:val="TableText"/>
              <w:ind w:left="289"/>
              <w:spacing w:before="172" w:line="217" w:lineRule="auto"/>
              <w:rPr/>
            </w:pPr>
            <w:r>
              <w:rPr>
                <w:b/>
                <w:bCs/>
                <w:spacing w:val="-5"/>
              </w:rPr>
              <w:t>修剪高度/cm</w:t>
            </w:r>
          </w:p>
        </w:tc>
      </w:tr>
      <w:tr>
        <w:trPr>
          <w:trHeight w:val="489" w:hRule="atLeast"/>
        </w:trPr>
        <w:tc>
          <w:tcPr>
            <w:tcW w:w="4575" w:type="dxa"/>
            <w:vAlign w:val="top"/>
            <w:tcBorders>
              <w:right w:val="nil"/>
            </w:tcBorders>
          </w:tcPr>
          <w:p>
            <w:pPr>
              <w:pStyle w:val="TableText"/>
              <w:ind w:left="1225"/>
              <w:spacing w:before="144" w:line="213" w:lineRule="auto"/>
              <w:rPr/>
            </w:pPr>
            <w:r>
              <w:rPr>
                <w:spacing w:val="3"/>
              </w:rPr>
              <w:t>春季解除休眠后</w:t>
            </w:r>
          </w:p>
        </w:tc>
        <w:tc>
          <w:tcPr>
            <w:tcW w:w="2185" w:type="dxa"/>
            <w:vAlign w:val="top"/>
            <w:tcBorders>
              <w:left w:val="nil"/>
            </w:tcBorders>
          </w:tcPr>
          <w:p>
            <w:pPr>
              <w:pStyle w:val="TableText"/>
              <w:ind w:left="1064"/>
              <w:spacing w:before="202" w:line="176" w:lineRule="auto"/>
              <w:rPr/>
            </w:pPr>
            <w:r>
              <w:rPr/>
              <w:t>3</w:t>
            </w:r>
          </w:p>
        </w:tc>
      </w:tr>
      <w:tr>
        <w:trPr>
          <w:trHeight w:val="498" w:hRule="atLeast"/>
        </w:trPr>
        <w:tc>
          <w:tcPr>
            <w:tcW w:w="4575" w:type="dxa"/>
            <w:vAlign w:val="top"/>
            <w:tcBorders>
              <w:right w:val="nil"/>
            </w:tcBorders>
          </w:tcPr>
          <w:p>
            <w:pPr>
              <w:pStyle w:val="TableText"/>
              <w:ind w:left="1375"/>
              <w:spacing w:before="136" w:line="221" w:lineRule="auto"/>
              <w:rPr/>
            </w:pPr>
            <w:r>
              <w:rPr>
                <w:spacing w:val="5"/>
              </w:rPr>
              <w:t>气温超过30℃</w:t>
            </w:r>
          </w:p>
        </w:tc>
        <w:tc>
          <w:tcPr>
            <w:tcW w:w="2185" w:type="dxa"/>
            <w:vAlign w:val="top"/>
            <w:tcBorders>
              <w:left w:val="nil"/>
            </w:tcBorders>
          </w:tcPr>
          <w:p>
            <w:pPr>
              <w:pStyle w:val="TableText"/>
              <w:ind w:left="1064"/>
              <w:spacing w:before="203" w:line="181" w:lineRule="auto"/>
              <w:rPr/>
            </w:pPr>
            <w:r>
              <w:rPr/>
              <w:t>5</w:t>
            </w:r>
          </w:p>
        </w:tc>
      </w:tr>
      <w:tr>
        <w:trPr>
          <w:trHeight w:val="498" w:hRule="atLeast"/>
        </w:trPr>
        <w:tc>
          <w:tcPr>
            <w:tcW w:w="4575" w:type="dxa"/>
            <w:vAlign w:val="top"/>
            <w:tcBorders>
              <w:right w:val="nil"/>
            </w:tcBorders>
          </w:tcPr>
          <w:p>
            <w:pPr>
              <w:pStyle w:val="TableText"/>
              <w:ind w:left="794"/>
              <w:spacing w:before="156" w:line="211" w:lineRule="auto"/>
              <w:rPr/>
            </w:pPr>
            <w:r>
              <w:rPr>
                <w:spacing w:val="1"/>
              </w:rPr>
              <w:t>秋季最高气温30℃以下</w:t>
            </w:r>
          </w:p>
        </w:tc>
        <w:tc>
          <w:tcPr>
            <w:tcW w:w="2185" w:type="dxa"/>
            <w:vAlign w:val="top"/>
            <w:tcBorders>
              <w:left w:val="nil"/>
            </w:tcBorders>
          </w:tcPr>
          <w:p>
            <w:pPr>
              <w:pStyle w:val="TableText"/>
              <w:ind w:left="1064"/>
              <w:spacing w:before="175" w:line="199" w:lineRule="auto"/>
              <w:rPr/>
            </w:pPr>
            <w:r>
              <w:rPr/>
              <w:t>4</w:t>
            </w:r>
          </w:p>
        </w:tc>
      </w:tr>
      <w:tr>
        <w:trPr>
          <w:trHeight w:val="508" w:hRule="atLeast"/>
        </w:trPr>
        <w:tc>
          <w:tcPr>
            <w:tcW w:w="4575" w:type="dxa"/>
            <w:vAlign w:val="top"/>
            <w:tcBorders>
              <w:right w:val="nil"/>
            </w:tcBorders>
          </w:tcPr>
          <w:p>
            <w:pPr>
              <w:pStyle w:val="TableText"/>
              <w:ind w:left="635"/>
              <w:spacing w:before="139" w:line="219" w:lineRule="auto"/>
              <w:rPr/>
            </w:pPr>
            <w:r>
              <w:rPr>
                <w:spacing w:val="1"/>
              </w:rPr>
              <w:t>秋季最后一次观赏性修剪</w:t>
            </w:r>
          </w:p>
        </w:tc>
        <w:tc>
          <w:tcPr>
            <w:tcW w:w="2185" w:type="dxa"/>
            <w:vAlign w:val="top"/>
            <w:tcBorders>
              <w:left w:val="nil"/>
            </w:tcBorders>
          </w:tcPr>
          <w:p>
            <w:pPr>
              <w:pStyle w:val="TableText"/>
              <w:ind w:left="1064"/>
              <w:spacing w:before="207" w:line="185" w:lineRule="auto"/>
              <w:rPr/>
            </w:pPr>
            <w:r>
              <w:rPr/>
              <w:t>5</w:t>
            </w:r>
          </w:p>
        </w:tc>
      </w:tr>
      <w:tr>
        <w:trPr>
          <w:trHeight w:val="503" w:hRule="atLeast"/>
        </w:trPr>
        <w:tc>
          <w:tcPr>
            <w:tcW w:w="4575" w:type="dxa"/>
            <w:vAlign w:val="top"/>
            <w:tcBorders>
              <w:right w:val="nil"/>
            </w:tcBorders>
          </w:tcPr>
          <w:p>
            <w:pPr>
              <w:pStyle w:val="TableText"/>
              <w:ind w:left="224"/>
              <w:spacing w:before="150" w:line="218" w:lineRule="auto"/>
              <w:rPr/>
            </w:pPr>
            <w:r>
              <w:rPr/>
              <w:t>冬季有明显休眠期，枯黄后修剪</w:t>
            </w:r>
          </w:p>
        </w:tc>
        <w:tc>
          <w:tcPr>
            <w:tcW w:w="2185" w:type="dxa"/>
            <w:vAlign w:val="top"/>
            <w:tcBorders>
              <w:left w:val="nil"/>
            </w:tcBorders>
          </w:tcPr>
          <w:p>
            <w:pPr>
              <w:pStyle w:val="TableText"/>
              <w:ind w:left="1064"/>
              <w:spacing w:before="210" w:line="180" w:lineRule="auto"/>
              <w:rPr/>
            </w:pPr>
            <w:r>
              <w:rPr/>
              <w:t>2</w:t>
            </w:r>
          </w:p>
        </w:tc>
      </w:tr>
    </w:tbl>
    <w:p>
      <w:pPr>
        <w:pStyle w:val="BodyText"/>
        <w:ind w:right="282" w:firstLine="590"/>
        <w:spacing w:before="127" w:line="321" w:lineRule="auto"/>
        <w:rPr>
          <w:sz w:val="29"/>
          <w:szCs w:val="29"/>
        </w:rPr>
      </w:pPr>
      <w:r>
        <w:rPr>
          <w:sz w:val="29"/>
          <w:szCs w:val="29"/>
          <w:spacing w:val="-2"/>
        </w:rPr>
        <w:t>生长季节根据生长速度，主要节点每5—7天修剪一次，其它位置7—10天修</w:t>
      </w:r>
      <w:r>
        <w:rPr>
          <w:sz w:val="29"/>
          <w:szCs w:val="29"/>
          <w:spacing w:val="5"/>
        </w:rPr>
        <w:t xml:space="preserve"> </w:t>
      </w:r>
      <w:r>
        <w:rPr>
          <w:sz w:val="29"/>
          <w:szCs w:val="29"/>
          <w:spacing w:val="-4"/>
        </w:rPr>
        <w:t>剪一次，每次修剪时草高不超过7</w:t>
      </w:r>
      <w:r>
        <w:rPr>
          <w:rFonts w:ascii="Times New Roman" w:hAnsi="Times New Roman" w:eastAsia="Times New Roman" w:cs="Times New Roman"/>
          <w:sz w:val="29"/>
          <w:szCs w:val="29"/>
          <w:spacing w:val="-4"/>
        </w:rPr>
        <w:t>cm</w:t>
      </w:r>
      <w:r>
        <w:rPr>
          <w:sz w:val="29"/>
          <w:szCs w:val="29"/>
          <w:spacing w:val="-4"/>
        </w:rPr>
        <w:t>。</w:t>
      </w:r>
    </w:p>
    <w:p>
      <w:pPr>
        <w:pStyle w:val="BodyText"/>
        <w:ind w:left="590"/>
        <w:spacing w:before="1" w:line="218" w:lineRule="auto"/>
        <w:rPr>
          <w:sz w:val="29"/>
          <w:szCs w:val="29"/>
        </w:rPr>
      </w:pPr>
      <w:r>
        <w:rPr>
          <w:sz w:val="29"/>
          <w:szCs w:val="29"/>
          <w:spacing w:val="16"/>
        </w:rPr>
        <w:t>7)高羊茅、黑麦草混播</w:t>
      </w:r>
    </w:p>
    <w:p>
      <w:pPr>
        <w:pStyle w:val="BodyText"/>
        <w:ind w:left="590"/>
        <w:spacing w:before="108" w:line="219" w:lineRule="auto"/>
        <w:rPr>
          <w:sz w:val="29"/>
          <w:szCs w:val="29"/>
        </w:rPr>
      </w:pPr>
      <w:r>
        <w:rPr>
          <w:sz w:val="29"/>
          <w:szCs w:val="29"/>
          <w:spacing w:val="-2"/>
        </w:rPr>
        <w:t>修剪时间及控制高度如下：</w:t>
      </w:r>
    </w:p>
    <w:p>
      <w:pPr>
        <w:spacing w:line="219" w:lineRule="exact"/>
        <w:rPr/>
      </w:pPr>
      <w:r/>
    </w:p>
    <w:tbl>
      <w:tblPr>
        <w:tblStyle w:val="TableNormal"/>
        <w:tblW w:w="6760" w:type="dxa"/>
        <w:tblInd w:w="160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70"/>
        <w:gridCol w:w="2190"/>
      </w:tblGrid>
      <w:tr>
        <w:trPr>
          <w:trHeight w:val="523" w:hRule="atLeast"/>
        </w:trPr>
        <w:tc>
          <w:tcPr>
            <w:shd w:val="clear" w:fill="9ABA57"/>
            <w:tcW w:w="4570" w:type="dxa"/>
            <w:vAlign w:val="top"/>
            <w:tcBorders>
              <w:right w:val="nil"/>
            </w:tcBorders>
          </w:tcPr>
          <w:p>
            <w:pPr>
              <w:pStyle w:val="TableText"/>
              <w:ind w:left="1669"/>
              <w:spacing w:before="102" w:line="219" w:lineRule="auto"/>
              <w:rPr/>
            </w:pPr>
            <w:r>
              <w:rPr>
                <w:b/>
                <w:bCs/>
                <w:spacing w:val="2"/>
              </w:rPr>
              <w:t>修剪时间</w:t>
            </w:r>
          </w:p>
        </w:tc>
        <w:tc>
          <w:tcPr>
            <w:shd w:val="clear" w:fill="9ABA57"/>
            <w:tcW w:w="2190" w:type="dxa"/>
            <w:vAlign w:val="top"/>
            <w:tcBorders>
              <w:left w:val="nil"/>
            </w:tcBorders>
          </w:tcPr>
          <w:p>
            <w:pPr>
              <w:pStyle w:val="TableText"/>
              <w:ind w:left="284"/>
              <w:spacing w:before="133" w:line="219" w:lineRule="auto"/>
              <w:rPr/>
            </w:pPr>
            <w:r>
              <w:rPr>
                <w:b/>
                <w:bCs/>
                <w:spacing w:val="-5"/>
              </w:rPr>
              <w:t>修剪高度/cm</w:t>
            </w:r>
          </w:p>
        </w:tc>
      </w:tr>
      <w:tr>
        <w:trPr>
          <w:trHeight w:val="489" w:hRule="atLeast"/>
        </w:trPr>
        <w:tc>
          <w:tcPr>
            <w:tcW w:w="4570" w:type="dxa"/>
            <w:vAlign w:val="top"/>
            <w:tcBorders>
              <w:right w:val="nil"/>
            </w:tcBorders>
          </w:tcPr>
          <w:p>
            <w:pPr>
              <w:pStyle w:val="TableText"/>
              <w:ind w:left="1225"/>
              <w:spacing w:before="144" w:line="213" w:lineRule="auto"/>
              <w:rPr/>
            </w:pPr>
            <w:r>
              <w:rPr>
                <w:spacing w:val="3"/>
              </w:rPr>
              <w:t>春季解除休眠后</w:t>
            </w:r>
          </w:p>
        </w:tc>
        <w:tc>
          <w:tcPr>
            <w:tcW w:w="2190" w:type="dxa"/>
            <w:vAlign w:val="top"/>
            <w:tcBorders>
              <w:left w:val="nil"/>
            </w:tcBorders>
          </w:tcPr>
          <w:p>
            <w:pPr>
              <w:pStyle w:val="TableText"/>
              <w:ind w:left="1069"/>
              <w:spacing w:before="202" w:line="176" w:lineRule="auto"/>
              <w:rPr/>
            </w:pPr>
            <w:r>
              <w:rPr/>
              <w:t>4</w:t>
            </w:r>
          </w:p>
        </w:tc>
      </w:tr>
      <w:tr>
        <w:trPr>
          <w:trHeight w:val="508" w:hRule="atLeast"/>
        </w:trPr>
        <w:tc>
          <w:tcPr>
            <w:tcW w:w="4570" w:type="dxa"/>
            <w:vAlign w:val="top"/>
            <w:tcBorders>
              <w:right w:val="nil"/>
            </w:tcBorders>
          </w:tcPr>
          <w:p>
            <w:pPr>
              <w:pStyle w:val="TableText"/>
              <w:ind w:left="1375"/>
              <w:spacing w:before="136" w:line="221" w:lineRule="auto"/>
              <w:rPr/>
            </w:pPr>
            <w:r>
              <w:rPr>
                <w:spacing w:val="5"/>
              </w:rPr>
              <w:t>气温超过30℃</w:t>
            </w:r>
          </w:p>
        </w:tc>
        <w:tc>
          <w:tcPr>
            <w:tcW w:w="2190" w:type="dxa"/>
            <w:vAlign w:val="top"/>
            <w:tcBorders>
              <w:left w:val="nil"/>
            </w:tcBorders>
          </w:tcPr>
          <w:p>
            <w:pPr>
              <w:pStyle w:val="TableText"/>
              <w:ind w:left="1069"/>
              <w:spacing w:before="193" w:line="194" w:lineRule="auto"/>
              <w:rPr/>
            </w:pPr>
            <w:r>
              <w:rPr/>
              <w:t>5</w:t>
            </w:r>
          </w:p>
        </w:tc>
      </w:tr>
      <w:tr>
        <w:trPr>
          <w:trHeight w:val="489" w:hRule="atLeast"/>
        </w:trPr>
        <w:tc>
          <w:tcPr>
            <w:tcW w:w="4570" w:type="dxa"/>
            <w:vAlign w:val="top"/>
            <w:tcBorders>
              <w:right w:val="nil"/>
            </w:tcBorders>
          </w:tcPr>
          <w:p>
            <w:pPr>
              <w:pStyle w:val="TableText"/>
              <w:ind w:left="794"/>
              <w:spacing w:before="136" w:line="218" w:lineRule="auto"/>
              <w:rPr/>
            </w:pPr>
            <w:r>
              <w:rPr>
                <w:spacing w:val="1"/>
              </w:rPr>
              <w:t>秋季最高气温30℃以下</w:t>
            </w:r>
          </w:p>
        </w:tc>
        <w:tc>
          <w:tcPr>
            <w:tcW w:w="2190" w:type="dxa"/>
            <w:vAlign w:val="top"/>
            <w:tcBorders>
              <w:left w:val="nil"/>
            </w:tcBorders>
          </w:tcPr>
          <w:p>
            <w:pPr>
              <w:pStyle w:val="TableText"/>
              <w:ind w:left="1069"/>
              <w:spacing w:before="196" w:line="180" w:lineRule="auto"/>
              <w:rPr/>
            </w:pPr>
            <w:r>
              <w:rPr/>
              <w:t>4</w:t>
            </w:r>
          </w:p>
        </w:tc>
      </w:tr>
      <w:tr>
        <w:trPr>
          <w:trHeight w:val="508" w:hRule="atLeast"/>
        </w:trPr>
        <w:tc>
          <w:tcPr>
            <w:tcW w:w="4570" w:type="dxa"/>
            <w:vAlign w:val="top"/>
            <w:tcBorders>
              <w:right w:val="nil"/>
            </w:tcBorders>
          </w:tcPr>
          <w:p>
            <w:pPr>
              <w:pStyle w:val="TableText"/>
              <w:ind w:left="665"/>
              <w:spacing w:before="138" w:line="219" w:lineRule="auto"/>
              <w:rPr/>
            </w:pPr>
            <w:r>
              <w:rPr>
                <w:spacing w:val="1"/>
              </w:rPr>
              <w:t>秋季最后一次观赏性修剪</w:t>
            </w:r>
          </w:p>
        </w:tc>
        <w:tc>
          <w:tcPr>
            <w:tcW w:w="2190" w:type="dxa"/>
            <w:vAlign w:val="top"/>
            <w:tcBorders>
              <w:left w:val="nil"/>
            </w:tcBorders>
          </w:tcPr>
          <w:p>
            <w:pPr>
              <w:pStyle w:val="TableText"/>
              <w:ind w:left="1069"/>
              <w:spacing w:before="196" w:line="192" w:lineRule="auto"/>
              <w:rPr/>
            </w:pPr>
            <w:r>
              <w:rPr/>
              <w:t>5</w:t>
            </w:r>
          </w:p>
        </w:tc>
      </w:tr>
      <w:tr>
        <w:trPr>
          <w:trHeight w:val="493" w:hRule="atLeast"/>
        </w:trPr>
        <w:tc>
          <w:tcPr>
            <w:tcW w:w="4570" w:type="dxa"/>
            <w:vAlign w:val="top"/>
            <w:tcBorders>
              <w:right w:val="nil"/>
            </w:tcBorders>
          </w:tcPr>
          <w:p>
            <w:pPr>
              <w:pStyle w:val="TableText"/>
              <w:ind w:left="224"/>
              <w:spacing w:before="159" w:line="206" w:lineRule="auto"/>
              <w:rPr/>
            </w:pPr>
            <w:r>
              <w:rPr/>
              <w:t>冬季有明显休眠期，枯黄后修剪</w:t>
            </w:r>
          </w:p>
        </w:tc>
        <w:tc>
          <w:tcPr>
            <w:tcW w:w="2190" w:type="dxa"/>
            <w:vAlign w:val="top"/>
            <w:tcBorders>
              <w:left w:val="nil"/>
            </w:tcBorders>
          </w:tcPr>
          <w:p>
            <w:pPr>
              <w:pStyle w:val="TableText"/>
              <w:ind w:left="1069"/>
              <w:spacing w:before="189" w:line="187" w:lineRule="auto"/>
              <w:rPr/>
            </w:pPr>
            <w:r>
              <w:rPr/>
              <w:t>2</w:t>
            </w:r>
          </w:p>
        </w:tc>
      </w:tr>
    </w:tbl>
    <w:p>
      <w:pPr>
        <w:pStyle w:val="BodyText"/>
        <w:ind w:right="282" w:firstLine="590"/>
        <w:spacing w:before="136" w:line="333" w:lineRule="auto"/>
        <w:rPr>
          <w:sz w:val="29"/>
          <w:szCs w:val="29"/>
        </w:rPr>
      </w:pPr>
      <w:r>
        <w:rPr>
          <w:sz w:val="29"/>
          <w:szCs w:val="29"/>
          <w:spacing w:val="-2"/>
        </w:rPr>
        <w:t>生长季节根据生长速度，主要节点每5—7天修剪一次，其它位置7—10天修</w:t>
      </w:r>
      <w:r>
        <w:rPr>
          <w:sz w:val="29"/>
          <w:szCs w:val="29"/>
          <w:spacing w:val="5"/>
        </w:rPr>
        <w:t xml:space="preserve"> </w:t>
      </w:r>
      <w:r>
        <w:rPr>
          <w:sz w:val="29"/>
          <w:szCs w:val="29"/>
          <w:spacing w:val="-5"/>
        </w:rPr>
        <w:t>剪一次，每次修剪时草高不超过7</w:t>
      </w:r>
      <w:r>
        <w:rPr>
          <w:rFonts w:ascii="Times New Roman" w:hAnsi="Times New Roman" w:eastAsia="Times New Roman" w:cs="Times New Roman"/>
          <w:sz w:val="29"/>
          <w:szCs w:val="29"/>
          <w:spacing w:val="-5"/>
        </w:rPr>
        <w:t>cm</w:t>
      </w:r>
      <w:r>
        <w:rPr>
          <w:sz w:val="29"/>
          <w:szCs w:val="29"/>
          <w:spacing w:val="-5"/>
        </w:rPr>
        <w:t>。</w:t>
      </w:r>
    </w:p>
    <w:p>
      <w:pPr>
        <w:spacing w:before="12" w:line="222" w:lineRule="auto"/>
        <w:outlineLvl w:val="1"/>
        <w:rPr>
          <w:rFonts w:ascii="SimHei" w:hAnsi="SimHei" w:eastAsia="SimHei" w:cs="SimHei"/>
          <w:sz w:val="29"/>
          <w:szCs w:val="29"/>
        </w:rPr>
      </w:pPr>
      <w:bookmarkStart w:name="bookmark24" w:id="42"/>
      <w:bookmarkEnd w:id="42"/>
      <w:r>
        <w:rPr>
          <w:rFonts w:ascii="SimHei" w:hAnsi="SimHei" w:eastAsia="SimHei" w:cs="SimHei"/>
          <w:sz w:val="29"/>
          <w:szCs w:val="29"/>
          <w:spacing w:val="1"/>
        </w:rPr>
        <w:t>三、打孔覆沙</w:t>
      </w:r>
    </w:p>
    <w:p>
      <w:pPr>
        <w:spacing w:before="133" w:line="223" w:lineRule="auto"/>
        <w:rPr>
          <w:rFonts w:ascii="FangSong" w:hAnsi="FangSong" w:eastAsia="FangSong" w:cs="FangSong"/>
          <w:sz w:val="32"/>
          <w:szCs w:val="32"/>
        </w:rPr>
      </w:pPr>
      <w:r>
        <w:rPr>
          <w:rFonts w:ascii="FangSong" w:hAnsi="FangSong" w:eastAsia="FangSong" w:cs="FangSong"/>
          <w:sz w:val="32"/>
          <w:szCs w:val="32"/>
          <w:spacing w:val="-19"/>
        </w:rPr>
        <w:t>1、打孔</w:t>
      </w:r>
    </w:p>
    <w:p>
      <w:pPr>
        <w:pStyle w:val="BodyText"/>
        <w:ind w:firstLine="590"/>
        <w:spacing w:before="152" w:line="314" w:lineRule="auto"/>
        <w:rPr>
          <w:sz w:val="29"/>
          <w:szCs w:val="29"/>
        </w:rPr>
      </w:pPr>
      <w:r>
        <w:rPr>
          <w:sz w:val="29"/>
          <w:szCs w:val="29"/>
          <w:spacing w:val="5"/>
        </w:rPr>
        <w:t>春秋草坪旺长时期，可使用铁叉、草坪打孔机或钉齿滚(带有粗钉的滚筒，</w:t>
      </w:r>
      <w:r>
        <w:rPr>
          <w:sz w:val="29"/>
          <w:szCs w:val="29"/>
          <w:spacing w:val="3"/>
        </w:rPr>
        <w:t xml:space="preserve"> </w:t>
      </w:r>
      <w:r>
        <w:rPr>
          <w:sz w:val="29"/>
          <w:szCs w:val="29"/>
          <w:spacing w:val="6"/>
        </w:rPr>
        <w:t>不常用)对草坪打孔，起到改善土壤透气透水性，利于养分吸收，提供草坪根茎</w:t>
      </w:r>
    </w:p>
    <w:p>
      <w:pPr>
        <w:spacing w:line="314" w:lineRule="auto"/>
        <w:sectPr>
          <w:footerReference w:type="default" r:id="rId169"/>
          <w:pgSz w:w="14490" w:h="20470"/>
          <w:pgMar w:top="1734" w:right="2106" w:bottom="1385" w:left="2150" w:header="0" w:footer="1223" w:gutter="0"/>
        </w:sectPr>
        <w:rPr>
          <w:sz w:val="29"/>
          <w:szCs w:val="29"/>
        </w:rPr>
      </w:pPr>
    </w:p>
    <w:p>
      <w:pPr>
        <w:pStyle w:val="BodyText"/>
        <w:spacing w:before="122" w:line="219" w:lineRule="auto"/>
        <w:rPr>
          <w:sz w:val="29"/>
          <w:szCs w:val="29"/>
        </w:rPr>
      </w:pPr>
      <w:bookmarkStart w:name="bookmark97" w:id="43"/>
      <w:bookmarkEnd w:id="43"/>
      <w:r>
        <w:rPr>
          <w:sz w:val="29"/>
          <w:szCs w:val="29"/>
        </w:rPr>
        <w:t>生长空间，防止草坪退化的作用。</w:t>
      </w:r>
    </w:p>
    <w:p>
      <w:pPr>
        <w:pStyle w:val="BodyText"/>
        <w:spacing w:before="195" w:line="224" w:lineRule="auto"/>
        <w:rPr>
          <w:rFonts w:ascii="FangSong" w:hAnsi="FangSong" w:eastAsia="FangSong" w:cs="FangSong"/>
          <w:sz w:val="29"/>
          <w:szCs w:val="29"/>
        </w:rPr>
      </w:pPr>
      <w:r>
        <w:rPr>
          <w:rFonts w:ascii="Times New Roman" w:hAnsi="Times New Roman" w:eastAsia="Times New Roman" w:cs="Times New Roman"/>
          <w:sz w:val="29"/>
          <w:szCs w:val="29"/>
          <w:spacing w:val="3"/>
        </w:rPr>
        <w:t>2</w:t>
      </w:r>
      <w:r>
        <w:rPr>
          <w:rFonts w:ascii="Times New Roman" w:hAnsi="Times New Roman" w:eastAsia="Times New Roman" w:cs="Times New Roman"/>
          <w:sz w:val="29"/>
          <w:szCs w:val="29"/>
          <w:spacing w:val="-38"/>
        </w:rPr>
        <w:t xml:space="preserve"> </w:t>
      </w:r>
      <w:r>
        <w:rPr>
          <w:sz w:val="29"/>
          <w:szCs w:val="29"/>
          <w:spacing w:val="3"/>
        </w:rPr>
        <w:t>、</w:t>
      </w:r>
      <w:r>
        <w:rPr>
          <w:rFonts w:ascii="FangSong" w:hAnsi="FangSong" w:eastAsia="FangSong" w:cs="FangSong"/>
          <w:sz w:val="29"/>
          <w:szCs w:val="29"/>
          <w:spacing w:val="3"/>
        </w:rPr>
        <w:t>覆沙</w:t>
      </w:r>
    </w:p>
    <w:p>
      <w:pPr>
        <w:pStyle w:val="BodyText"/>
        <w:ind w:right="235" w:firstLine="580"/>
        <w:spacing w:before="130" w:line="313" w:lineRule="auto"/>
        <w:jc w:val="both"/>
        <w:rPr>
          <w:sz w:val="29"/>
          <w:szCs w:val="29"/>
        </w:rPr>
      </w:pPr>
      <w:r>
        <w:rPr>
          <w:sz w:val="29"/>
          <w:szCs w:val="29"/>
          <w:spacing w:val="-1"/>
        </w:rPr>
        <w:t>草坪打孔后及时覆沙，起到防治草坪徒长，改善草坪土壤结构，提高草坪平</w:t>
      </w:r>
      <w:r>
        <w:rPr>
          <w:sz w:val="29"/>
          <w:szCs w:val="29"/>
          <w:spacing w:val="18"/>
        </w:rPr>
        <w:t xml:space="preserve"> </w:t>
      </w:r>
      <w:r>
        <w:rPr>
          <w:sz w:val="29"/>
          <w:szCs w:val="29"/>
          <w:spacing w:val="-8"/>
        </w:rPr>
        <w:t>面光滑度、平整度，维持良好的透气、透水性及养分状况，促进根部发育，减少枯</w:t>
      </w:r>
      <w:r>
        <w:rPr>
          <w:sz w:val="29"/>
          <w:szCs w:val="29"/>
        </w:rPr>
        <w:t xml:space="preserve"> </w:t>
      </w:r>
      <w:r>
        <w:rPr>
          <w:sz w:val="29"/>
          <w:szCs w:val="29"/>
          <w:spacing w:val="-2"/>
        </w:rPr>
        <w:t>草层，提高草坪抗逆性的作用。</w:t>
      </w:r>
    </w:p>
    <w:p>
      <w:pPr>
        <w:pStyle w:val="BodyText"/>
        <w:ind w:right="247" w:firstLine="580"/>
        <w:spacing w:before="2" w:line="280" w:lineRule="auto"/>
        <w:jc w:val="both"/>
        <w:rPr>
          <w:sz w:val="29"/>
          <w:szCs w:val="29"/>
        </w:rPr>
      </w:pPr>
      <w:r>
        <w:rPr>
          <w:sz w:val="29"/>
          <w:szCs w:val="29"/>
          <w:spacing w:val="-3"/>
        </w:rPr>
        <w:t>打孔后覆沙厚度以0.4—0.6</w:t>
      </w:r>
      <w:r>
        <w:rPr>
          <w:rFonts w:ascii="Times New Roman" w:hAnsi="Times New Roman" w:eastAsia="Times New Roman" w:cs="Times New Roman"/>
          <w:sz w:val="29"/>
          <w:szCs w:val="29"/>
          <w:spacing w:val="-3"/>
        </w:rPr>
        <w:t>cm</w:t>
      </w:r>
      <w:r>
        <w:rPr>
          <w:rFonts w:ascii="Times New Roman" w:hAnsi="Times New Roman" w:eastAsia="Times New Roman" w:cs="Times New Roman"/>
          <w:sz w:val="29"/>
          <w:szCs w:val="29"/>
          <w:spacing w:val="-37"/>
        </w:rPr>
        <w:t xml:space="preserve"> </w:t>
      </w:r>
      <w:r>
        <w:rPr>
          <w:sz w:val="29"/>
          <w:szCs w:val="29"/>
          <w:spacing w:val="-3"/>
        </w:rPr>
        <w:t>为宜，土质过于粘重孔洞裸露明显时，可考虑</w:t>
      </w:r>
      <w:r>
        <w:rPr>
          <w:sz w:val="29"/>
          <w:szCs w:val="29"/>
        </w:rPr>
        <w:t xml:space="preserve"> </w:t>
      </w:r>
      <w:r>
        <w:rPr>
          <w:sz w:val="29"/>
          <w:szCs w:val="29"/>
          <w:spacing w:val="-4"/>
        </w:rPr>
        <w:t>多次覆沙。未打孔单独覆沙时的覆沙厚度为0.3—0.4</w:t>
      </w:r>
      <w:r>
        <w:rPr>
          <w:rFonts w:ascii="Times New Roman" w:hAnsi="Times New Roman" w:eastAsia="Times New Roman" w:cs="Times New Roman"/>
          <w:sz w:val="29"/>
          <w:szCs w:val="29"/>
          <w:spacing w:val="-4"/>
        </w:rPr>
        <w:t>cm/</w:t>
      </w:r>
      <w:r>
        <w:rPr>
          <w:sz w:val="29"/>
          <w:szCs w:val="29"/>
          <w:spacing w:val="-4"/>
        </w:rPr>
        <w:t>次，为改良表</w:t>
      </w:r>
      <w:r>
        <w:rPr>
          <w:sz w:val="29"/>
          <w:szCs w:val="29"/>
          <w:spacing w:val="-5"/>
        </w:rPr>
        <w:t>层土壤或过</w:t>
      </w:r>
      <w:r>
        <w:rPr>
          <w:sz w:val="29"/>
          <w:szCs w:val="29"/>
        </w:rPr>
        <w:t xml:space="preserve"> </w:t>
      </w:r>
      <w:r>
        <w:rPr>
          <w:sz w:val="29"/>
          <w:szCs w:val="29"/>
          <w:spacing w:val="-12"/>
        </w:rPr>
        <w:t>冬防寒而进行的覆沙厚度为0.5—0.8</w:t>
      </w:r>
      <w:r>
        <w:rPr>
          <w:rFonts w:ascii="Times New Roman" w:hAnsi="Times New Roman" w:eastAsia="Times New Roman" w:cs="Times New Roman"/>
          <w:sz w:val="29"/>
          <w:szCs w:val="29"/>
          <w:spacing w:val="-12"/>
        </w:rPr>
        <w:t>cm/</w:t>
      </w:r>
      <w:r>
        <w:rPr>
          <w:sz w:val="29"/>
          <w:szCs w:val="29"/>
          <w:spacing w:val="-12"/>
        </w:rPr>
        <w:t>次。</w:t>
      </w:r>
    </w:p>
    <w:p>
      <w:pPr>
        <w:ind w:firstLine="319"/>
        <w:spacing w:line="5770" w:lineRule="exact"/>
        <w:rPr/>
      </w:pPr>
      <w:r>
        <w:rPr>
          <w:position w:val="-115"/>
        </w:rPr>
        <w:drawing>
          <wp:inline distT="0" distB="0" distL="0" distR="0">
            <wp:extent cx="6096037" cy="3664003"/>
            <wp:effectExtent l="0" t="0" r="0" b="0"/>
            <wp:docPr id="236" name="IM 236"/>
            <wp:cNvGraphicFramePr/>
            <a:graphic>
              <a:graphicData uri="http://schemas.openxmlformats.org/drawingml/2006/picture">
                <pic:pic>
                  <pic:nvPicPr>
                    <pic:cNvPr id="236" name="IM 236"/>
                    <pic:cNvPicPr/>
                  </pic:nvPicPr>
                  <pic:blipFill>
                    <a:blip r:embed="rId171"/>
                    <a:stretch>
                      <a:fillRect/>
                    </a:stretch>
                  </pic:blipFill>
                  <pic:spPr>
                    <a:xfrm rot="0">
                      <a:off x="0" y="0"/>
                      <a:ext cx="6096037" cy="3664003"/>
                    </a:xfrm>
                    <a:prstGeom prst="rect">
                      <a:avLst/>
                    </a:prstGeom>
                  </pic:spPr>
                </pic:pic>
              </a:graphicData>
            </a:graphic>
          </wp:inline>
        </w:drawing>
      </w:r>
    </w:p>
    <w:p>
      <w:pPr>
        <w:pStyle w:val="BodyText"/>
        <w:ind w:left="4159"/>
        <w:spacing w:before="241" w:line="220" w:lineRule="auto"/>
        <w:rPr>
          <w:sz w:val="26"/>
          <w:szCs w:val="26"/>
        </w:rPr>
      </w:pPr>
      <w:r>
        <w:rPr>
          <w:sz w:val="26"/>
          <w:szCs w:val="26"/>
          <w:spacing w:val="-9"/>
        </w:rPr>
        <w:t>图4-3-1打孔覆沙示意</w:t>
      </w:r>
    </w:p>
    <w:p>
      <w:pPr>
        <w:ind w:left="3"/>
        <w:spacing w:before="152" w:line="220" w:lineRule="auto"/>
        <w:outlineLvl w:val="1"/>
        <w:rPr>
          <w:rFonts w:ascii="SimHei" w:hAnsi="SimHei" w:eastAsia="SimHei" w:cs="SimHei"/>
          <w:sz w:val="27"/>
          <w:szCs w:val="27"/>
        </w:rPr>
      </w:pPr>
      <w:bookmarkStart w:name="bookmark25" w:id="44"/>
      <w:bookmarkEnd w:id="44"/>
      <w:r>
        <w:rPr>
          <w:rFonts w:ascii="SimHei" w:hAnsi="SimHei" w:eastAsia="SimHei" w:cs="SimHei"/>
          <w:sz w:val="27"/>
          <w:szCs w:val="27"/>
          <w:b/>
          <w:bCs/>
          <w:spacing w:val="-2"/>
        </w:rPr>
        <w:t>四</w:t>
      </w:r>
      <w:r>
        <w:rPr>
          <w:rFonts w:ascii="SimHei" w:hAnsi="SimHei" w:eastAsia="SimHei" w:cs="SimHei"/>
          <w:sz w:val="27"/>
          <w:szCs w:val="27"/>
          <w:spacing w:val="-44"/>
        </w:rPr>
        <w:t xml:space="preserve"> </w:t>
      </w:r>
      <w:r>
        <w:rPr>
          <w:rFonts w:ascii="SimHei" w:hAnsi="SimHei" w:eastAsia="SimHei" w:cs="SimHei"/>
          <w:sz w:val="27"/>
          <w:szCs w:val="27"/>
          <w:b/>
          <w:bCs/>
          <w:spacing w:val="-2"/>
        </w:rPr>
        <w:t>、疏草</w:t>
      </w:r>
    </w:p>
    <w:p>
      <w:pPr>
        <w:pStyle w:val="BodyText"/>
        <w:ind w:firstLine="580"/>
        <w:spacing w:before="194" w:line="310" w:lineRule="auto"/>
        <w:jc w:val="both"/>
        <w:rPr>
          <w:sz w:val="29"/>
          <w:szCs w:val="29"/>
        </w:rPr>
      </w:pPr>
      <w:r>
        <w:rPr>
          <w:sz w:val="29"/>
          <w:szCs w:val="29"/>
          <w:spacing w:val="-3"/>
        </w:rPr>
        <w:t>在早春或解除休眠前宜对草坪疏草，冷季型草坪夏末也应疏草，以去除草坪中</w:t>
      </w:r>
      <w:r>
        <w:rPr>
          <w:sz w:val="29"/>
          <w:szCs w:val="29"/>
          <w:spacing w:val="2"/>
        </w:rPr>
        <w:t xml:space="preserve"> </w:t>
      </w:r>
      <w:r>
        <w:rPr>
          <w:sz w:val="29"/>
          <w:szCs w:val="29"/>
          <w:spacing w:val="-17"/>
        </w:rPr>
        <w:t>过厚的枯草层。疏草应在土壤和枯草层干燥时进行，并及时清理梳理下的碎屑。大面积</w:t>
      </w:r>
      <w:r>
        <w:rPr>
          <w:sz w:val="29"/>
          <w:szCs w:val="29"/>
          <w:spacing w:val="13"/>
        </w:rPr>
        <w:t xml:space="preserve"> </w:t>
      </w:r>
      <w:r>
        <w:rPr>
          <w:sz w:val="29"/>
          <w:szCs w:val="29"/>
          <w:spacing w:val="-20"/>
        </w:rPr>
        <w:t>草坪疏除枯草层时使用梳草机，小面积草坪疏除枯草层时可使</w:t>
      </w:r>
      <w:r>
        <w:rPr>
          <w:sz w:val="29"/>
          <w:szCs w:val="29"/>
          <w:spacing w:val="-21"/>
        </w:rPr>
        <w:t>用搂草耙子。</w:t>
      </w:r>
    </w:p>
    <w:p>
      <w:pPr>
        <w:ind w:firstLine="199"/>
        <w:spacing w:before="39" w:line="3490" w:lineRule="exact"/>
        <w:rPr/>
      </w:pPr>
      <w:r>
        <w:rPr>
          <w:position w:val="-69"/>
        </w:rPr>
        <w:drawing>
          <wp:inline distT="0" distB="0" distL="0" distR="0">
            <wp:extent cx="5988016" cy="2216235"/>
            <wp:effectExtent l="0" t="0" r="0" b="0"/>
            <wp:docPr id="238" name="IM 238"/>
            <wp:cNvGraphicFramePr/>
            <a:graphic>
              <a:graphicData uri="http://schemas.openxmlformats.org/drawingml/2006/picture">
                <pic:pic>
                  <pic:nvPicPr>
                    <pic:cNvPr id="238" name="IM 238"/>
                    <pic:cNvPicPr/>
                  </pic:nvPicPr>
                  <pic:blipFill>
                    <a:blip r:embed="rId172"/>
                    <a:stretch>
                      <a:fillRect/>
                    </a:stretch>
                  </pic:blipFill>
                  <pic:spPr>
                    <a:xfrm rot="0">
                      <a:off x="0" y="0"/>
                      <a:ext cx="5988016" cy="2216235"/>
                    </a:xfrm>
                    <a:prstGeom prst="rect">
                      <a:avLst/>
                    </a:prstGeom>
                  </pic:spPr>
                </pic:pic>
              </a:graphicData>
            </a:graphic>
          </wp:inline>
        </w:drawing>
      </w:r>
    </w:p>
    <w:p>
      <w:pPr>
        <w:pStyle w:val="BodyText"/>
        <w:ind w:left="4689"/>
        <w:spacing w:before="111" w:line="219" w:lineRule="auto"/>
        <w:rPr>
          <w:sz w:val="27"/>
          <w:szCs w:val="27"/>
        </w:rPr>
      </w:pPr>
      <w:r>
        <w:rPr>
          <w:sz w:val="27"/>
          <w:szCs w:val="27"/>
          <w:spacing w:val="-18"/>
        </w:rPr>
        <w:t>图4-4-1疏草</w:t>
      </w:r>
    </w:p>
    <w:p>
      <w:pPr>
        <w:spacing w:line="219" w:lineRule="auto"/>
        <w:sectPr>
          <w:footerReference w:type="default" r:id="rId170"/>
          <w:pgSz w:w="14490" w:h="20470"/>
          <w:pgMar w:top="1739" w:right="1941" w:bottom="1490" w:left="2160" w:header="0" w:footer="1204" w:gutter="0"/>
        </w:sectPr>
        <w:rPr>
          <w:sz w:val="27"/>
          <w:szCs w:val="27"/>
        </w:rPr>
      </w:pPr>
    </w:p>
    <w:p>
      <w:pPr>
        <w:pStyle w:val="BodyText"/>
        <w:ind w:left="169"/>
        <w:spacing w:before="127" w:line="220" w:lineRule="auto"/>
        <w:rPr>
          <w:rFonts w:ascii="FangSong" w:hAnsi="FangSong" w:eastAsia="FangSong" w:cs="FangSong"/>
          <w:sz w:val="32"/>
          <w:szCs w:val="32"/>
        </w:rPr>
      </w:pPr>
      <w:bookmarkStart w:name="bookmark98" w:id="45"/>
      <w:bookmarkEnd w:id="45"/>
      <w:r>
        <w:rPr>
          <w:rFonts w:ascii="Times New Roman" w:hAnsi="Times New Roman" w:eastAsia="Times New Roman" w:cs="Times New Roman"/>
          <w:sz w:val="32"/>
          <w:szCs w:val="32"/>
          <w:spacing w:val="-24"/>
        </w:rPr>
        <w:t>1</w:t>
      </w:r>
      <w:r>
        <w:rPr>
          <w:rFonts w:ascii="Times New Roman" w:hAnsi="Times New Roman" w:eastAsia="Times New Roman" w:cs="Times New Roman"/>
          <w:sz w:val="32"/>
          <w:szCs w:val="32"/>
          <w:spacing w:val="-42"/>
        </w:rPr>
        <w:t xml:space="preserve"> </w:t>
      </w:r>
      <w:r>
        <w:rPr>
          <w:sz w:val="32"/>
          <w:szCs w:val="32"/>
          <w:spacing w:val="-24"/>
        </w:rPr>
        <w:t>、</w:t>
      </w:r>
      <w:r>
        <w:rPr>
          <w:rFonts w:ascii="FangSong" w:hAnsi="FangSong" w:eastAsia="FangSong" w:cs="FangSong"/>
          <w:sz w:val="32"/>
          <w:szCs w:val="32"/>
          <w:spacing w:val="-24"/>
        </w:rPr>
        <w:t>疏草作用</w:t>
      </w:r>
    </w:p>
    <w:p>
      <w:pPr>
        <w:pStyle w:val="BodyText"/>
        <w:ind w:left="169" w:right="176" w:firstLine="580"/>
        <w:spacing w:before="162" w:line="301" w:lineRule="auto"/>
        <w:rPr>
          <w:sz w:val="29"/>
          <w:szCs w:val="29"/>
        </w:rPr>
      </w:pPr>
      <w:r>
        <w:rPr>
          <w:sz w:val="29"/>
          <w:szCs w:val="29"/>
          <w:spacing w:val="-18"/>
        </w:rPr>
        <w:t>疏草可改善草坪透气性、渗水性，提高草坪光合作用和肥料、农药作用效果，降</w:t>
      </w:r>
      <w:r>
        <w:rPr>
          <w:sz w:val="29"/>
          <w:szCs w:val="29"/>
          <w:spacing w:val="12"/>
        </w:rPr>
        <w:t xml:space="preserve"> </w:t>
      </w:r>
      <w:r>
        <w:rPr>
          <w:sz w:val="29"/>
          <w:szCs w:val="29"/>
          <w:spacing w:val="1"/>
        </w:rPr>
        <w:t>低病虫害的发生机率，防治草坪根系上移，提高草坪抗逆性的作用。</w:t>
      </w:r>
    </w:p>
    <w:p>
      <w:pPr>
        <w:pStyle w:val="BodyText"/>
        <w:ind w:left="169"/>
        <w:spacing w:before="45" w:line="223" w:lineRule="auto"/>
        <w:rPr>
          <w:rFonts w:ascii="FangSong" w:hAnsi="FangSong" w:eastAsia="FangSong" w:cs="FangSong"/>
          <w:sz w:val="32"/>
          <w:szCs w:val="32"/>
        </w:rPr>
      </w:pPr>
      <w:r>
        <w:rPr>
          <w:rFonts w:ascii="Times New Roman" w:hAnsi="Times New Roman" w:eastAsia="Times New Roman" w:cs="Times New Roman"/>
          <w:sz w:val="32"/>
          <w:szCs w:val="32"/>
          <w:spacing w:val="-17"/>
        </w:rPr>
        <w:t>2</w:t>
      </w:r>
      <w:r>
        <w:rPr>
          <w:sz w:val="32"/>
          <w:szCs w:val="32"/>
          <w:spacing w:val="-17"/>
        </w:rPr>
        <w:t>、</w:t>
      </w:r>
      <w:r>
        <w:rPr>
          <w:rFonts w:ascii="FangSong" w:hAnsi="FangSong" w:eastAsia="FangSong" w:cs="FangSong"/>
          <w:sz w:val="32"/>
          <w:szCs w:val="32"/>
          <w:spacing w:val="-17"/>
        </w:rPr>
        <w:t>注意事项</w:t>
      </w:r>
    </w:p>
    <w:p>
      <w:pPr>
        <w:pStyle w:val="BodyText"/>
        <w:ind w:left="169" w:right="176" w:firstLine="580"/>
        <w:spacing w:before="132" w:line="269" w:lineRule="auto"/>
        <w:rPr>
          <w:sz w:val="29"/>
          <w:szCs w:val="29"/>
        </w:rPr>
      </w:pPr>
      <w:r>
        <w:rPr>
          <w:sz w:val="29"/>
          <w:szCs w:val="29"/>
          <w:spacing w:val="8"/>
        </w:rPr>
        <w:t>1)疏草作业时，无论用何种设备，都应该及时</w:t>
      </w:r>
      <w:r>
        <w:rPr>
          <w:sz w:val="29"/>
          <w:szCs w:val="29"/>
          <w:spacing w:val="7"/>
        </w:rPr>
        <w:t>将清除物移出草坪，不能长</w:t>
      </w:r>
      <w:r>
        <w:rPr>
          <w:sz w:val="29"/>
          <w:szCs w:val="29"/>
        </w:rPr>
        <w:t xml:space="preserve"> </w:t>
      </w:r>
      <w:r>
        <w:rPr>
          <w:sz w:val="29"/>
          <w:szCs w:val="29"/>
        </w:rPr>
        <w:t>时间在草坪上堆放，否则将对草坪造成危害；</w:t>
      </w:r>
    </w:p>
    <w:p>
      <w:pPr>
        <w:pStyle w:val="BodyText"/>
        <w:ind w:left="750"/>
        <w:spacing w:before="154" w:line="219" w:lineRule="auto"/>
        <w:rPr>
          <w:sz w:val="29"/>
          <w:szCs w:val="29"/>
        </w:rPr>
      </w:pPr>
      <w:r>
        <w:rPr>
          <w:sz w:val="29"/>
          <w:szCs w:val="29"/>
          <w:spacing w:val="6"/>
        </w:rPr>
        <w:t>2)进行疏草作业时，土壤与枯草层应该保持干燥，</w:t>
      </w:r>
      <w:r>
        <w:rPr>
          <w:sz w:val="29"/>
          <w:szCs w:val="29"/>
          <w:spacing w:val="5"/>
        </w:rPr>
        <w:t>这样便于作业；</w:t>
      </w:r>
    </w:p>
    <w:p>
      <w:pPr>
        <w:pStyle w:val="BodyText"/>
        <w:ind w:left="169" w:right="136" w:firstLine="580"/>
        <w:spacing w:before="147" w:line="279" w:lineRule="auto"/>
        <w:rPr>
          <w:sz w:val="29"/>
          <w:szCs w:val="29"/>
        </w:rPr>
      </w:pPr>
      <w:r>
        <w:rPr>
          <w:sz w:val="29"/>
          <w:szCs w:val="29"/>
          <w:spacing w:val="-1"/>
        </w:rPr>
        <w:t>3)疏草作业后，应该及时给草坪补充水分，因为疏草时对草根草茎的切割、</w:t>
      </w:r>
      <w:r>
        <w:rPr>
          <w:sz w:val="29"/>
          <w:szCs w:val="29"/>
          <w:spacing w:val="8"/>
        </w:rPr>
        <w:t xml:space="preserve"> </w:t>
      </w:r>
      <w:r>
        <w:rPr>
          <w:sz w:val="29"/>
          <w:szCs w:val="29"/>
          <w:spacing w:val="-8"/>
        </w:rPr>
        <w:t>拉断会造成草坪草脱水，而且草坪枯草层清除后，通风条件得到改善，也使地表水</w:t>
      </w:r>
      <w:r>
        <w:rPr>
          <w:sz w:val="29"/>
          <w:szCs w:val="29"/>
        </w:rPr>
        <w:t xml:space="preserve"> </w:t>
      </w:r>
      <w:r>
        <w:rPr>
          <w:sz w:val="29"/>
          <w:szCs w:val="29"/>
          <w:spacing w:val="-12"/>
        </w:rPr>
        <w:t>分散失加快，必须及时实施这样不仅还措施；</w:t>
      </w:r>
    </w:p>
    <w:p>
      <w:pPr>
        <w:pStyle w:val="BodyText"/>
        <w:ind w:left="169" w:right="6" w:firstLine="580"/>
        <w:spacing w:before="153" w:line="279" w:lineRule="auto"/>
        <w:rPr>
          <w:sz w:val="29"/>
          <w:szCs w:val="29"/>
        </w:rPr>
      </w:pPr>
      <w:r>
        <w:rPr>
          <w:sz w:val="29"/>
          <w:szCs w:val="29"/>
          <w:spacing w:val="13"/>
        </w:rPr>
        <w:t>4)草坪疏草后，由于草坪密度的降低给杂草的入侵提供了</w:t>
      </w:r>
      <w:r>
        <w:rPr>
          <w:sz w:val="29"/>
          <w:szCs w:val="29"/>
          <w:spacing w:val="12"/>
        </w:rPr>
        <w:t>机会，因此在大</w:t>
      </w:r>
      <w:r>
        <w:rPr>
          <w:sz w:val="29"/>
          <w:szCs w:val="29"/>
        </w:rPr>
        <w:t xml:space="preserve"> </w:t>
      </w:r>
      <w:r>
        <w:rPr>
          <w:sz w:val="29"/>
          <w:szCs w:val="29"/>
          <w:spacing w:val="-4"/>
        </w:rPr>
        <w:t>面积草坪疏草时，最好能避开杂草易于萌生的时期</w:t>
      </w:r>
      <w:r>
        <w:rPr>
          <w:sz w:val="29"/>
          <w:szCs w:val="29"/>
          <w:spacing w:val="-5"/>
        </w:rPr>
        <w:t>。不能避开时，要特别注意杂草</w:t>
      </w:r>
      <w:r>
        <w:rPr>
          <w:sz w:val="29"/>
          <w:szCs w:val="29"/>
        </w:rPr>
        <w:t xml:space="preserve"> </w:t>
      </w:r>
      <w:r>
        <w:rPr>
          <w:sz w:val="29"/>
          <w:szCs w:val="29"/>
          <w:spacing w:val="-9"/>
        </w:rPr>
        <w:t>的萌生情况，及时通过喷洒选择性除草剂，修剪等措</w:t>
      </w:r>
      <w:r>
        <w:rPr>
          <w:sz w:val="29"/>
          <w:szCs w:val="29"/>
          <w:spacing w:val="-10"/>
        </w:rPr>
        <w:t>施清除，避免形成危害。</w:t>
      </w:r>
    </w:p>
    <w:p>
      <w:pPr>
        <w:ind w:left="169"/>
        <w:spacing w:before="245" w:line="222" w:lineRule="auto"/>
        <w:outlineLvl w:val="1"/>
        <w:rPr>
          <w:rFonts w:ascii="SimHei" w:hAnsi="SimHei" w:eastAsia="SimHei" w:cs="SimHei"/>
          <w:sz w:val="28"/>
          <w:szCs w:val="28"/>
        </w:rPr>
      </w:pPr>
      <w:bookmarkStart w:name="bookmark26" w:id="46"/>
      <w:bookmarkEnd w:id="46"/>
      <w:r>
        <w:rPr>
          <w:rFonts w:ascii="SimHei" w:hAnsi="SimHei" w:eastAsia="SimHei" w:cs="SimHei"/>
          <w:sz w:val="28"/>
          <w:szCs w:val="28"/>
          <w:spacing w:val="-4"/>
        </w:rPr>
        <w:t>五</w:t>
      </w:r>
      <w:r>
        <w:rPr>
          <w:rFonts w:ascii="SimHei" w:hAnsi="SimHei" w:eastAsia="SimHei" w:cs="SimHei"/>
          <w:sz w:val="28"/>
          <w:szCs w:val="28"/>
          <w:spacing w:val="-62"/>
        </w:rPr>
        <w:t xml:space="preserve"> </w:t>
      </w:r>
      <w:r>
        <w:rPr>
          <w:rFonts w:ascii="SimHei" w:hAnsi="SimHei" w:eastAsia="SimHei" w:cs="SimHei"/>
          <w:sz w:val="28"/>
          <w:szCs w:val="28"/>
          <w:spacing w:val="-4"/>
        </w:rPr>
        <w:t>、浇灌</w:t>
      </w:r>
    </w:p>
    <w:p>
      <w:pPr>
        <w:ind w:left="169"/>
        <w:spacing w:before="170" w:line="223" w:lineRule="auto"/>
        <w:rPr>
          <w:rFonts w:ascii="FangSong" w:hAnsi="FangSong" w:eastAsia="FangSong" w:cs="FangSong"/>
          <w:sz w:val="28"/>
          <w:szCs w:val="28"/>
        </w:rPr>
      </w:pPr>
      <w:r>
        <w:rPr>
          <w:rFonts w:ascii="FangSong" w:hAnsi="FangSong" w:eastAsia="FangSong" w:cs="FangSong"/>
          <w:sz w:val="28"/>
          <w:szCs w:val="28"/>
          <w:spacing w:val="-14"/>
        </w:rPr>
        <w:t>1、</w:t>
      </w:r>
      <w:r>
        <w:rPr>
          <w:rFonts w:ascii="FangSong" w:hAnsi="FangSong" w:eastAsia="FangSong" w:cs="FangSong"/>
          <w:sz w:val="28"/>
          <w:szCs w:val="28"/>
          <w:spacing w:val="-115"/>
        </w:rPr>
        <w:t xml:space="preserve"> </w:t>
      </w:r>
      <w:r>
        <w:rPr>
          <w:rFonts w:ascii="FangSong" w:hAnsi="FangSong" w:eastAsia="FangSong" w:cs="FangSong"/>
          <w:sz w:val="28"/>
          <w:szCs w:val="28"/>
          <w:b/>
          <w:bCs/>
          <w:spacing w:val="-14"/>
        </w:rPr>
        <w:t>水</w:t>
      </w:r>
      <w:r>
        <w:rPr>
          <w:rFonts w:ascii="FangSong" w:hAnsi="FangSong" w:eastAsia="FangSong" w:cs="FangSong"/>
          <w:sz w:val="28"/>
          <w:szCs w:val="28"/>
          <w:spacing w:val="-43"/>
        </w:rPr>
        <w:t xml:space="preserve"> </w:t>
      </w:r>
      <w:r>
        <w:rPr>
          <w:rFonts w:ascii="FangSong" w:hAnsi="FangSong" w:eastAsia="FangSong" w:cs="FangSong"/>
          <w:sz w:val="28"/>
          <w:szCs w:val="28"/>
          <w:b/>
          <w:bCs/>
          <w:spacing w:val="-14"/>
        </w:rPr>
        <w:t>源</w:t>
      </w:r>
    </w:p>
    <w:p>
      <w:pPr>
        <w:pStyle w:val="BodyText"/>
        <w:ind w:left="169" w:right="127" w:firstLine="580"/>
        <w:spacing w:before="158" w:line="289" w:lineRule="auto"/>
        <w:rPr>
          <w:sz w:val="29"/>
          <w:szCs w:val="29"/>
        </w:rPr>
      </w:pPr>
      <w:r>
        <w:rPr>
          <w:sz w:val="29"/>
          <w:szCs w:val="29"/>
        </w:rPr>
        <w:t>浇灌水源宜选择清洁的地下水、地表水、市政自来水，不得使用未经处理的</w:t>
      </w:r>
      <w:r>
        <w:rPr>
          <w:sz w:val="29"/>
          <w:szCs w:val="29"/>
          <w:spacing w:val="11"/>
        </w:rPr>
        <w:t xml:space="preserve"> </w:t>
      </w:r>
      <w:r>
        <w:rPr>
          <w:sz w:val="29"/>
          <w:szCs w:val="29"/>
        </w:rPr>
        <w:t>污水或含盐量较高的水源灌溉草坪。</w:t>
      </w:r>
    </w:p>
    <w:p>
      <w:pPr>
        <w:spacing w:line="2799" w:lineRule="exact"/>
        <w:rPr/>
      </w:pPr>
      <w:r>
        <w:rPr>
          <w:position w:val="-55"/>
        </w:rPr>
        <w:drawing>
          <wp:inline distT="0" distB="0" distL="0" distR="0">
            <wp:extent cx="6642034" cy="1777927"/>
            <wp:effectExtent l="0" t="0" r="0" b="0"/>
            <wp:docPr id="240" name="IM 240"/>
            <wp:cNvGraphicFramePr/>
            <a:graphic>
              <a:graphicData uri="http://schemas.openxmlformats.org/drawingml/2006/picture">
                <pic:pic>
                  <pic:nvPicPr>
                    <pic:cNvPr id="240" name="IM 240"/>
                    <pic:cNvPicPr/>
                  </pic:nvPicPr>
                  <pic:blipFill>
                    <a:blip r:embed="rId174"/>
                    <a:stretch>
                      <a:fillRect/>
                    </a:stretch>
                  </pic:blipFill>
                  <pic:spPr>
                    <a:xfrm rot="0">
                      <a:off x="0" y="0"/>
                      <a:ext cx="6642034" cy="1777927"/>
                    </a:xfrm>
                    <a:prstGeom prst="rect">
                      <a:avLst/>
                    </a:prstGeom>
                  </pic:spPr>
                </pic:pic>
              </a:graphicData>
            </a:graphic>
          </wp:inline>
        </w:drawing>
      </w:r>
    </w:p>
    <w:p>
      <w:pPr>
        <w:pStyle w:val="BodyText"/>
        <w:ind w:left="4429"/>
        <w:spacing w:before="262" w:line="219" w:lineRule="auto"/>
        <w:rPr>
          <w:sz w:val="27"/>
          <w:szCs w:val="27"/>
        </w:rPr>
      </w:pPr>
      <w:r>
        <w:rPr>
          <w:sz w:val="27"/>
          <w:szCs w:val="27"/>
          <w:spacing w:val="-18"/>
        </w:rPr>
        <w:t>图4-5-1草坪浇灌</w:t>
      </w:r>
    </w:p>
    <w:p>
      <w:pPr>
        <w:ind w:left="169"/>
        <w:spacing w:before="185" w:line="223" w:lineRule="auto"/>
        <w:rPr>
          <w:rFonts w:ascii="FangSong" w:hAnsi="FangSong" w:eastAsia="FangSong" w:cs="FangSong"/>
          <w:sz w:val="30"/>
          <w:szCs w:val="30"/>
        </w:rPr>
      </w:pPr>
      <w:r>
        <w:rPr>
          <w:rFonts w:ascii="FangSong" w:hAnsi="FangSong" w:eastAsia="FangSong" w:cs="FangSong"/>
          <w:sz w:val="30"/>
          <w:szCs w:val="30"/>
          <w:spacing w:val="-2"/>
        </w:rPr>
        <w:t>2、</w:t>
      </w:r>
      <w:r>
        <w:rPr>
          <w:rFonts w:ascii="FangSong" w:hAnsi="FangSong" w:eastAsia="FangSong" w:cs="FangSong"/>
          <w:sz w:val="30"/>
          <w:szCs w:val="30"/>
          <w:b/>
          <w:bCs/>
          <w:spacing w:val="-2"/>
        </w:rPr>
        <w:t>浇水时间</w:t>
      </w:r>
    </w:p>
    <w:p>
      <w:pPr>
        <w:pStyle w:val="BodyText"/>
        <w:ind w:left="750"/>
        <w:spacing w:before="143" w:line="219" w:lineRule="auto"/>
        <w:rPr>
          <w:sz w:val="29"/>
          <w:szCs w:val="29"/>
        </w:rPr>
      </w:pPr>
      <w:r>
        <w:rPr>
          <w:sz w:val="29"/>
          <w:szCs w:val="29"/>
          <w:spacing w:val="5"/>
        </w:rPr>
        <w:t>1)根据天气情况，当降雨充沛时，可延迟浇水时间；</w:t>
      </w:r>
    </w:p>
    <w:p>
      <w:pPr>
        <w:pStyle w:val="BodyText"/>
        <w:ind w:left="750"/>
        <w:spacing w:before="166" w:line="219" w:lineRule="auto"/>
        <w:rPr>
          <w:sz w:val="29"/>
          <w:szCs w:val="29"/>
        </w:rPr>
      </w:pPr>
      <w:r>
        <w:rPr>
          <w:sz w:val="29"/>
          <w:szCs w:val="29"/>
          <w:spacing w:val="6"/>
        </w:rPr>
        <w:t>2)盛夏高温季节以早晨凉爽之时为宜，寒冷冬季以</w:t>
      </w:r>
      <w:r>
        <w:rPr>
          <w:sz w:val="29"/>
          <w:szCs w:val="29"/>
          <w:spacing w:val="5"/>
        </w:rPr>
        <w:t>中午稍暖之时为好；</w:t>
      </w:r>
    </w:p>
    <w:p>
      <w:pPr>
        <w:pStyle w:val="BodyText"/>
        <w:ind w:left="750"/>
        <w:spacing w:before="144" w:line="219" w:lineRule="auto"/>
        <w:rPr>
          <w:sz w:val="29"/>
          <w:szCs w:val="29"/>
        </w:rPr>
      </w:pPr>
      <w:r>
        <w:rPr>
          <w:sz w:val="29"/>
          <w:szCs w:val="29"/>
          <w:spacing w:val="8"/>
        </w:rPr>
        <w:t>3)春季返青前后和冬季草坪休眠前须及时浇透水。</w:t>
      </w:r>
    </w:p>
    <w:p>
      <w:pPr>
        <w:pStyle w:val="BodyText"/>
        <w:ind w:left="169" w:right="385" w:firstLine="580"/>
        <w:spacing w:before="134" w:line="270" w:lineRule="auto"/>
        <w:rPr>
          <w:sz w:val="29"/>
          <w:szCs w:val="29"/>
        </w:rPr>
      </w:pPr>
      <w:r>
        <w:rPr>
          <w:sz w:val="29"/>
          <w:szCs w:val="29"/>
          <w:spacing w:val="1"/>
        </w:rPr>
        <w:t>4)10月下旬—12月上旬，土壤日化夜冻时，灌透根系分布层约20</w:t>
      </w:r>
      <w:r>
        <w:rPr>
          <w:sz w:val="29"/>
          <w:szCs w:val="29"/>
        </w:rPr>
        <w:t>cm</w:t>
      </w:r>
      <w:r>
        <w:rPr>
          <w:sz w:val="29"/>
          <w:szCs w:val="29"/>
          <w:spacing w:val="1"/>
        </w:rPr>
        <w:t>, 在冬</w:t>
      </w:r>
      <w:r>
        <w:rPr>
          <w:sz w:val="29"/>
          <w:szCs w:val="29"/>
          <w:spacing w:val="7"/>
        </w:rPr>
        <w:t xml:space="preserve"> </w:t>
      </w:r>
      <w:r>
        <w:rPr>
          <w:sz w:val="29"/>
          <w:szCs w:val="29"/>
          <w:spacing w:val="3"/>
        </w:rPr>
        <w:t>季土壤化冻时需及时补浇水</w:t>
      </w:r>
    </w:p>
    <w:p>
      <w:pPr>
        <w:ind w:left="169"/>
        <w:spacing w:before="170" w:line="223" w:lineRule="auto"/>
        <w:rPr>
          <w:rFonts w:ascii="FangSong" w:hAnsi="FangSong" w:eastAsia="FangSong" w:cs="FangSong"/>
          <w:sz w:val="30"/>
          <w:szCs w:val="30"/>
        </w:rPr>
      </w:pPr>
      <w:r>
        <w:rPr>
          <w:rFonts w:ascii="FangSong" w:hAnsi="FangSong" w:eastAsia="FangSong" w:cs="FangSong"/>
          <w:sz w:val="30"/>
          <w:szCs w:val="30"/>
          <w:spacing w:val="-6"/>
        </w:rPr>
        <w:t>3、</w:t>
      </w:r>
      <w:r>
        <w:rPr>
          <w:rFonts w:ascii="FangSong" w:hAnsi="FangSong" w:eastAsia="FangSong" w:cs="FangSong"/>
          <w:sz w:val="30"/>
          <w:szCs w:val="30"/>
          <w:b/>
          <w:bCs/>
          <w:spacing w:val="-6"/>
        </w:rPr>
        <w:t>浇水量</w:t>
      </w:r>
    </w:p>
    <w:p>
      <w:pPr>
        <w:pStyle w:val="BodyText"/>
        <w:ind w:left="750"/>
        <w:spacing w:before="151" w:line="219" w:lineRule="auto"/>
        <w:rPr>
          <w:sz w:val="29"/>
          <w:szCs w:val="29"/>
        </w:rPr>
      </w:pPr>
      <w:r>
        <w:rPr>
          <w:sz w:val="29"/>
          <w:szCs w:val="29"/>
          <w:spacing w:val="-1"/>
        </w:rPr>
        <w:t>草坪浇水量依草种、土壤、气候的不同而不同：</w:t>
      </w:r>
    </w:p>
    <w:p>
      <w:pPr>
        <w:pStyle w:val="BodyText"/>
        <w:ind w:left="169" w:right="487" w:firstLine="580"/>
        <w:spacing w:before="148" w:line="313" w:lineRule="auto"/>
        <w:rPr>
          <w:sz w:val="29"/>
          <w:szCs w:val="29"/>
        </w:rPr>
      </w:pPr>
      <w:r>
        <w:rPr>
          <w:sz w:val="29"/>
          <w:szCs w:val="29"/>
          <w:spacing w:val="-3"/>
        </w:rPr>
        <w:t>1  一般草坪生长季每周灌水2—3次，每次灌水以5</w:t>
      </w:r>
      <w:r>
        <w:rPr>
          <w:sz w:val="29"/>
          <w:szCs w:val="29"/>
          <w:spacing w:val="-4"/>
        </w:rPr>
        <w:t>—10</w:t>
      </w:r>
      <w:r>
        <w:rPr>
          <w:rFonts w:ascii="Times New Roman" w:hAnsi="Times New Roman" w:eastAsia="Times New Roman" w:cs="Times New Roman"/>
          <w:sz w:val="29"/>
          <w:szCs w:val="29"/>
          <w:spacing w:val="-4"/>
        </w:rPr>
        <w:t>cm</w:t>
      </w:r>
      <w:r>
        <w:rPr>
          <w:sz w:val="29"/>
          <w:szCs w:val="29"/>
          <w:spacing w:val="-4"/>
        </w:rPr>
        <w:t>土层饱和为度，</w:t>
      </w:r>
      <w:r>
        <w:rPr>
          <w:sz w:val="29"/>
          <w:szCs w:val="29"/>
        </w:rPr>
        <w:t xml:space="preserve"> </w:t>
      </w:r>
      <w:r>
        <w:rPr>
          <w:sz w:val="29"/>
          <w:szCs w:val="29"/>
        </w:rPr>
        <w:t>干旱高温季节可适当增加灌水次数，以补充草坪对水分的需求；</w:t>
      </w:r>
    </w:p>
    <w:p>
      <w:pPr>
        <w:spacing w:line="313" w:lineRule="auto"/>
        <w:sectPr>
          <w:footerReference w:type="default" r:id="rId173"/>
          <w:pgSz w:w="14490" w:h="20470"/>
          <w:pgMar w:top="1739" w:right="2060" w:bottom="1469" w:left="1970" w:header="0" w:footer="1223" w:gutter="0"/>
        </w:sectPr>
        <w:rPr>
          <w:sz w:val="29"/>
          <w:szCs w:val="29"/>
        </w:rPr>
      </w:pPr>
    </w:p>
    <w:p>
      <w:pPr>
        <w:pStyle w:val="BodyText"/>
        <w:ind w:right="285" w:firstLine="600"/>
        <w:spacing w:before="122" w:line="268" w:lineRule="auto"/>
        <w:rPr>
          <w:sz w:val="29"/>
          <w:szCs w:val="29"/>
        </w:rPr>
      </w:pPr>
      <w:bookmarkStart w:name="bookmark99" w:id="47"/>
      <w:bookmarkEnd w:id="47"/>
      <w:r>
        <w:rPr>
          <w:rFonts w:ascii="Times New Roman" w:hAnsi="Times New Roman" w:eastAsia="Times New Roman" w:cs="Times New Roman"/>
          <w:sz w:val="29"/>
          <w:szCs w:val="29"/>
          <w:spacing w:val="-12"/>
        </w:rPr>
        <w:t>2    </w:t>
      </w:r>
      <w:r>
        <w:rPr>
          <w:sz w:val="29"/>
          <w:szCs w:val="29"/>
          <w:spacing w:val="-12"/>
        </w:rPr>
        <w:t>坡地浇灌要小水、多次，即反复用水管浇几次，每次少量补充浇透为止。</w:t>
      </w:r>
      <w:r>
        <w:rPr>
          <w:sz w:val="29"/>
          <w:szCs w:val="29"/>
          <w:spacing w:val="13"/>
        </w:rPr>
        <w:t xml:space="preserve"> </w:t>
      </w:r>
      <w:r>
        <w:rPr>
          <w:sz w:val="29"/>
          <w:szCs w:val="29"/>
          <w:spacing w:val="-4"/>
        </w:rPr>
        <w:t>有自动喷灌的可通过几次开关，直至浇透为止；</w:t>
      </w:r>
    </w:p>
    <w:p>
      <w:pPr>
        <w:pStyle w:val="BodyText"/>
        <w:ind w:right="26" w:firstLine="600"/>
        <w:spacing w:before="145" w:line="281" w:lineRule="auto"/>
        <w:rPr>
          <w:sz w:val="29"/>
          <w:szCs w:val="29"/>
        </w:rPr>
      </w:pPr>
      <w:r>
        <w:rPr>
          <w:sz w:val="29"/>
          <w:szCs w:val="29"/>
          <w:spacing w:val="8"/>
        </w:rPr>
        <w:t>③粘土地需通过几次开关自动喷灌或用水管来回进行浅浇才能浇透；沙土</w:t>
      </w:r>
      <w:r>
        <w:rPr>
          <w:sz w:val="29"/>
          <w:szCs w:val="29"/>
          <w:spacing w:val="6"/>
        </w:rPr>
        <w:t xml:space="preserve"> </w:t>
      </w:r>
      <w:r>
        <w:rPr>
          <w:sz w:val="29"/>
          <w:szCs w:val="29"/>
        </w:rPr>
        <w:t>地水分下渗及蒸发速度快，需要适当减少单水浇水</w:t>
      </w:r>
      <w:r>
        <w:rPr>
          <w:sz w:val="29"/>
          <w:szCs w:val="29"/>
          <w:spacing w:val="-1"/>
        </w:rPr>
        <w:t>量，增加浇水次数来满足草坪</w:t>
      </w:r>
      <w:r>
        <w:rPr>
          <w:sz w:val="29"/>
          <w:szCs w:val="29"/>
        </w:rPr>
        <w:t xml:space="preserve"> </w:t>
      </w:r>
      <w:r>
        <w:rPr>
          <w:sz w:val="29"/>
          <w:szCs w:val="29"/>
        </w:rPr>
        <w:t>的生长需求；盐碱地浇水应该严格掌握，见干则浇、浇则浇透；</w:t>
      </w:r>
    </w:p>
    <w:p>
      <w:pPr>
        <w:pStyle w:val="BodyText"/>
        <w:ind w:right="83" w:firstLine="600"/>
        <w:spacing w:before="154" w:line="266" w:lineRule="auto"/>
        <w:rPr>
          <w:sz w:val="29"/>
          <w:szCs w:val="29"/>
        </w:rPr>
      </w:pPr>
      <w:r>
        <w:rPr>
          <w:sz w:val="29"/>
          <w:szCs w:val="29"/>
          <w:spacing w:val="6"/>
        </w:rPr>
        <w:t>④下面有垫层或管道的区域如果未做其它增湿处理，如在土中增施保水剂</w:t>
      </w:r>
      <w:r>
        <w:rPr>
          <w:sz w:val="29"/>
          <w:szCs w:val="29"/>
          <w:spacing w:val="13"/>
        </w:rPr>
        <w:t xml:space="preserve"> </w:t>
      </w:r>
      <w:r>
        <w:rPr>
          <w:sz w:val="29"/>
          <w:szCs w:val="29"/>
        </w:rPr>
        <w:t>等措施；干旱高温季节浇水频率与时花相近，无有效降雨时每天浇水1—2次。</w:t>
      </w:r>
    </w:p>
    <w:p>
      <w:pPr>
        <w:spacing w:before="140" w:line="224" w:lineRule="auto"/>
        <w:rPr>
          <w:rFonts w:ascii="FangSong" w:hAnsi="FangSong" w:eastAsia="FangSong" w:cs="FangSong"/>
          <w:sz w:val="32"/>
          <w:szCs w:val="32"/>
        </w:rPr>
      </w:pPr>
      <w:r>
        <w:rPr>
          <w:rFonts w:ascii="FangSong" w:hAnsi="FangSong" w:eastAsia="FangSong" w:cs="FangSong"/>
          <w:sz w:val="32"/>
          <w:szCs w:val="32"/>
          <w:spacing w:val="-13"/>
        </w:rPr>
        <w:t>4、其它</w:t>
      </w:r>
    </w:p>
    <w:p>
      <w:pPr>
        <w:pStyle w:val="BodyText"/>
        <w:ind w:left="600"/>
        <w:spacing w:before="169" w:line="219" w:lineRule="auto"/>
        <w:rPr>
          <w:sz w:val="29"/>
          <w:szCs w:val="29"/>
        </w:rPr>
      </w:pPr>
      <w:r>
        <w:rPr>
          <w:sz w:val="29"/>
          <w:szCs w:val="29"/>
          <w:spacing w:val="5"/>
        </w:rPr>
        <w:t>1)水压较大的项目，可选择安排固定或半自动喷头，提高浇水效</w:t>
      </w:r>
      <w:r>
        <w:rPr>
          <w:sz w:val="29"/>
          <w:szCs w:val="29"/>
          <w:spacing w:val="4"/>
        </w:rPr>
        <w:t>率；</w:t>
      </w:r>
    </w:p>
    <w:p>
      <w:pPr>
        <w:pStyle w:val="BodyText"/>
        <w:ind w:right="76" w:firstLine="600"/>
        <w:spacing w:before="136" w:line="268" w:lineRule="auto"/>
        <w:rPr>
          <w:sz w:val="29"/>
          <w:szCs w:val="29"/>
        </w:rPr>
      </w:pPr>
      <w:r>
        <w:rPr>
          <w:sz w:val="29"/>
          <w:szCs w:val="29"/>
          <w:spacing w:val="6"/>
        </w:rPr>
        <w:t>2)干旱、半干旱地区，分主要位置与次要位置浇水频率区别对待。施工与</w:t>
      </w:r>
      <w:r>
        <w:rPr>
          <w:sz w:val="29"/>
          <w:szCs w:val="29"/>
          <w:spacing w:val="14"/>
        </w:rPr>
        <w:t xml:space="preserve"> </w:t>
      </w:r>
      <w:r>
        <w:rPr>
          <w:sz w:val="29"/>
          <w:szCs w:val="29"/>
        </w:rPr>
        <w:t>补植时可考虑在土壤里掺入保水剂。</w:t>
      </w:r>
    </w:p>
    <w:p>
      <w:pPr>
        <w:spacing w:before="207" w:line="222" w:lineRule="auto"/>
        <w:outlineLvl w:val="1"/>
        <w:rPr>
          <w:rFonts w:ascii="SimHei" w:hAnsi="SimHei" w:eastAsia="SimHei" w:cs="SimHei"/>
          <w:sz w:val="29"/>
          <w:szCs w:val="29"/>
        </w:rPr>
      </w:pPr>
      <w:bookmarkStart w:name="bookmark27" w:id="48"/>
      <w:bookmarkEnd w:id="48"/>
      <w:r>
        <w:rPr>
          <w:rFonts w:ascii="SimHei" w:hAnsi="SimHei" w:eastAsia="SimHei" w:cs="SimHei"/>
          <w:sz w:val="29"/>
          <w:szCs w:val="29"/>
          <w:spacing w:val="3"/>
        </w:rPr>
        <w:t>六、补植补播及收边收口</w:t>
      </w:r>
    </w:p>
    <w:p>
      <w:pPr>
        <w:pStyle w:val="BodyText"/>
        <w:ind w:firstLine="600"/>
        <w:spacing w:before="110" w:line="321" w:lineRule="auto"/>
        <w:rPr>
          <w:sz w:val="29"/>
          <w:szCs w:val="29"/>
        </w:rPr>
      </w:pPr>
      <w:r>
        <w:rPr>
          <w:sz w:val="29"/>
          <w:szCs w:val="29"/>
          <w:spacing w:val="-18"/>
        </w:rPr>
        <w:t>草坪斑秃或</w:t>
      </w:r>
      <w:r>
        <w:rPr>
          <w:sz w:val="29"/>
          <w:szCs w:val="29"/>
          <w:spacing w:val="-17"/>
        </w:rPr>
        <w:t>坏损的，应及时采用补植或补播措施，选用与原草坪相同的草种，</w:t>
      </w:r>
      <w:r>
        <w:rPr>
          <w:sz w:val="29"/>
          <w:szCs w:val="29"/>
          <w:spacing w:val="-12"/>
        </w:rPr>
        <w:t>适</w:t>
      </w:r>
      <w:r>
        <w:rPr>
          <w:sz w:val="29"/>
          <w:szCs w:val="29"/>
          <w:spacing w:val="14"/>
        </w:rPr>
        <w:t xml:space="preserve"> </w:t>
      </w:r>
      <w:r>
        <w:rPr>
          <w:sz w:val="29"/>
          <w:szCs w:val="29"/>
          <w:spacing w:val="-2"/>
        </w:rPr>
        <w:t>当密植，尽快恢复草坪景观。</w:t>
      </w:r>
    </w:p>
    <w:p>
      <w:pPr>
        <w:pStyle w:val="BodyText"/>
        <w:spacing w:before="19" w:line="222" w:lineRule="auto"/>
        <w:rPr>
          <w:rFonts w:ascii="FangSong" w:hAnsi="FangSong" w:eastAsia="FangSong" w:cs="FangSong"/>
          <w:sz w:val="29"/>
          <w:szCs w:val="29"/>
        </w:rPr>
      </w:pPr>
      <w:r>
        <w:rPr>
          <w:rFonts w:ascii="Times New Roman" w:hAnsi="Times New Roman" w:eastAsia="Times New Roman" w:cs="Times New Roman"/>
          <w:sz w:val="29"/>
          <w:szCs w:val="29"/>
          <w:spacing w:val="-5"/>
        </w:rPr>
        <w:t>1</w:t>
      </w:r>
      <w:r>
        <w:rPr>
          <w:rFonts w:ascii="Times New Roman" w:hAnsi="Times New Roman" w:eastAsia="Times New Roman" w:cs="Times New Roman"/>
          <w:sz w:val="29"/>
          <w:szCs w:val="29"/>
          <w:spacing w:val="-39"/>
        </w:rPr>
        <w:t xml:space="preserve"> </w:t>
      </w:r>
      <w:r>
        <w:rPr>
          <w:sz w:val="29"/>
          <w:szCs w:val="29"/>
          <w:spacing w:val="-5"/>
        </w:rPr>
        <w:t>、</w:t>
      </w:r>
      <w:r>
        <w:rPr>
          <w:rFonts w:ascii="FangSong" w:hAnsi="FangSong" w:eastAsia="FangSong" w:cs="FangSong"/>
          <w:sz w:val="29"/>
          <w:szCs w:val="29"/>
          <w:spacing w:val="-5"/>
        </w:rPr>
        <w:t>补植方式</w:t>
      </w:r>
    </w:p>
    <w:p>
      <w:pPr>
        <w:pStyle w:val="BodyText"/>
        <w:ind w:left="600"/>
        <w:spacing w:before="166" w:line="219" w:lineRule="auto"/>
        <w:rPr>
          <w:sz w:val="29"/>
          <w:szCs w:val="29"/>
        </w:rPr>
      </w:pPr>
      <w:r>
        <w:rPr>
          <w:sz w:val="29"/>
          <w:szCs w:val="29"/>
        </w:rPr>
        <w:t>一般选用植草块的补植方式，即将死亡草坪切块起出，然后铺上新草块。</w:t>
      </w:r>
    </w:p>
    <w:p>
      <w:pPr>
        <w:ind w:firstLine="1229"/>
        <w:spacing w:before="173" w:line="2580" w:lineRule="exact"/>
        <w:rPr/>
      </w:pPr>
      <w:r>
        <w:rPr>
          <w:position w:val="-51"/>
        </w:rPr>
        <w:drawing>
          <wp:inline distT="0" distB="0" distL="0" distR="0">
            <wp:extent cx="5232418" cy="1638324"/>
            <wp:effectExtent l="0" t="0" r="0" b="0"/>
            <wp:docPr id="242" name="IM 242"/>
            <wp:cNvGraphicFramePr/>
            <a:graphic>
              <a:graphicData uri="http://schemas.openxmlformats.org/drawingml/2006/picture">
                <pic:pic>
                  <pic:nvPicPr>
                    <pic:cNvPr id="242" name="IM 242"/>
                    <pic:cNvPicPr/>
                  </pic:nvPicPr>
                  <pic:blipFill>
                    <a:blip r:embed="rId176"/>
                    <a:stretch>
                      <a:fillRect/>
                    </a:stretch>
                  </pic:blipFill>
                  <pic:spPr>
                    <a:xfrm rot="0">
                      <a:off x="0" y="0"/>
                      <a:ext cx="5232418" cy="1638324"/>
                    </a:xfrm>
                    <a:prstGeom prst="rect">
                      <a:avLst/>
                    </a:prstGeom>
                  </pic:spPr>
                </pic:pic>
              </a:graphicData>
            </a:graphic>
          </wp:inline>
        </w:drawing>
      </w:r>
    </w:p>
    <w:p>
      <w:pPr>
        <w:spacing w:line="52" w:lineRule="exact"/>
        <w:rPr/>
      </w:pPr>
      <w:r/>
    </w:p>
    <w:p>
      <w:pPr>
        <w:spacing w:line="52" w:lineRule="exact"/>
        <w:sectPr>
          <w:footerReference w:type="default" r:id="rId175"/>
          <w:pgSz w:w="14490" w:h="20470"/>
          <w:pgMar w:top="1739" w:right="2169" w:bottom="1395" w:left="2150" w:header="0" w:footer="1233" w:gutter="0"/>
          <w:cols w:equalWidth="0" w:num="1">
            <w:col w:w="10171" w:space="0"/>
          </w:cols>
        </w:sectPr>
        <w:rPr/>
      </w:pPr>
    </w:p>
    <w:p>
      <w:pPr>
        <w:ind w:left="1370"/>
        <w:spacing w:before="45" w:line="222" w:lineRule="auto"/>
        <w:rPr>
          <w:rFonts w:ascii="SimHei" w:hAnsi="SimHei" w:eastAsia="SimHei" w:cs="SimHei"/>
          <w:sz w:val="18"/>
          <w:szCs w:val="18"/>
        </w:rPr>
      </w:pPr>
      <w:r>
        <w:rPr>
          <w:rFonts w:ascii="SimHei" w:hAnsi="SimHei" w:eastAsia="SimHei" w:cs="SimHei"/>
          <w:sz w:val="18"/>
          <w:szCs w:val="18"/>
          <w:spacing w:val="4"/>
        </w:rPr>
        <w:t>第一步：将补植区域呈规则形切块起挖</w:t>
      </w:r>
    </w:p>
    <w:p>
      <w:pPr>
        <w:ind w:firstLine="1199"/>
        <w:spacing w:before="57" w:line="2460" w:lineRule="exact"/>
        <w:rPr/>
      </w:pPr>
      <w:r>
        <w:rPr>
          <w:position w:val="-49"/>
        </w:rPr>
        <w:drawing>
          <wp:inline distT="0" distB="0" distL="0" distR="0">
            <wp:extent cx="2597208" cy="1562024"/>
            <wp:effectExtent l="0" t="0" r="0" b="0"/>
            <wp:docPr id="244" name="IM 244"/>
            <wp:cNvGraphicFramePr/>
            <a:graphic>
              <a:graphicData uri="http://schemas.openxmlformats.org/drawingml/2006/picture">
                <pic:pic>
                  <pic:nvPicPr>
                    <pic:cNvPr id="244" name="IM 244"/>
                    <pic:cNvPicPr/>
                  </pic:nvPicPr>
                  <pic:blipFill>
                    <a:blip r:embed="rId177"/>
                    <a:stretch>
                      <a:fillRect/>
                    </a:stretch>
                  </pic:blipFill>
                  <pic:spPr>
                    <a:xfrm rot="0">
                      <a:off x="0" y="0"/>
                      <a:ext cx="2597208" cy="1562024"/>
                    </a:xfrm>
                    <a:prstGeom prst="rect">
                      <a:avLst/>
                    </a:prstGeom>
                  </pic:spPr>
                </pic:pic>
              </a:graphicData>
            </a:graphic>
          </wp:inline>
        </w:drawing>
      </w:r>
    </w:p>
    <w:p>
      <w:pPr>
        <w:ind w:left="1430"/>
        <w:spacing w:before="46" w:line="222" w:lineRule="auto"/>
        <w:rPr>
          <w:rFonts w:ascii="SimHei" w:hAnsi="SimHei" w:eastAsia="SimHei" w:cs="SimHei"/>
          <w:sz w:val="18"/>
          <w:szCs w:val="18"/>
        </w:rPr>
      </w:pPr>
      <w:r>
        <w:rPr>
          <w:rFonts w:ascii="SimHei" w:hAnsi="SimHei" w:eastAsia="SimHei" w:cs="SimHei"/>
          <w:sz w:val="18"/>
          <w:szCs w:val="18"/>
          <w:spacing w:val="4"/>
        </w:rPr>
        <w:t>第三步：预留接缝</w:t>
      </w:r>
    </w:p>
    <w:p>
      <w:pPr>
        <w:spacing w:line="195" w:lineRule="exact"/>
        <w:rPr/>
      </w:pPr>
      <w:r/>
    </w:p>
    <w:p>
      <w:pPr>
        <w:spacing w:line="14" w:lineRule="auto"/>
        <w:rPr>
          <w:rFonts w:ascii="Arial"/>
          <w:sz w:val="2"/>
        </w:rPr>
      </w:pPr>
      <w:r>
        <w:rPr>
          <w:rFonts w:ascii="Arial" w:hAnsi="Arial" w:eastAsia="Arial" w:cs="Arial"/>
          <w:sz w:val="2"/>
          <w:szCs w:val="2"/>
        </w:rPr>
        <w:br w:type="column"/>
      </w:r>
    </w:p>
    <w:p>
      <w:pPr>
        <w:ind w:left="29"/>
        <w:spacing w:before="35" w:line="213" w:lineRule="auto"/>
        <w:rPr>
          <w:rFonts w:ascii="SimHei" w:hAnsi="SimHei" w:eastAsia="SimHei" w:cs="SimHei"/>
          <w:sz w:val="18"/>
          <w:szCs w:val="18"/>
        </w:rPr>
      </w:pPr>
      <w:r>
        <w:rPr>
          <w:rFonts w:ascii="SimHei" w:hAnsi="SimHei" w:eastAsia="SimHei" w:cs="SimHei"/>
          <w:sz w:val="18"/>
          <w:szCs w:val="18"/>
          <w:spacing w:val="-1"/>
        </w:rPr>
        <w:t>第二步：将地表2</w:t>
      </w:r>
      <w:r>
        <w:rPr>
          <w:rFonts w:ascii="Arial" w:hAnsi="Arial" w:eastAsia="Arial" w:cs="Arial"/>
          <w:sz w:val="18"/>
          <w:szCs w:val="18"/>
          <w:spacing w:val="-1"/>
        </w:rPr>
        <w:t>cm</w:t>
      </w:r>
      <w:r>
        <w:rPr>
          <w:rFonts w:ascii="SimHei" w:hAnsi="SimHei" w:eastAsia="SimHei" w:cs="SimHei"/>
          <w:sz w:val="18"/>
          <w:szCs w:val="18"/>
          <w:spacing w:val="-1"/>
        </w:rPr>
        <w:t>一下松土，边缘整齐垂直</w:t>
      </w:r>
    </w:p>
    <w:p>
      <w:pPr>
        <w:spacing w:before="75" w:line="2439" w:lineRule="exact"/>
        <w:rPr/>
      </w:pPr>
      <w:r>
        <w:rPr>
          <w:position w:val="-48"/>
        </w:rPr>
        <w:drawing>
          <wp:inline distT="0" distB="0" distL="0" distR="0">
            <wp:extent cx="2590768" cy="1548823"/>
            <wp:effectExtent l="0" t="0" r="0" b="0"/>
            <wp:docPr id="246" name="IM 246"/>
            <wp:cNvGraphicFramePr/>
            <a:graphic>
              <a:graphicData uri="http://schemas.openxmlformats.org/drawingml/2006/picture">
                <pic:pic>
                  <pic:nvPicPr>
                    <pic:cNvPr id="246" name="IM 246"/>
                    <pic:cNvPicPr/>
                  </pic:nvPicPr>
                  <pic:blipFill>
                    <a:blip r:embed="rId178"/>
                    <a:stretch>
                      <a:fillRect/>
                    </a:stretch>
                  </pic:blipFill>
                  <pic:spPr>
                    <a:xfrm rot="0">
                      <a:off x="0" y="0"/>
                      <a:ext cx="2590768" cy="1548823"/>
                    </a:xfrm>
                    <a:prstGeom prst="rect">
                      <a:avLst/>
                    </a:prstGeom>
                  </pic:spPr>
                </pic:pic>
              </a:graphicData>
            </a:graphic>
          </wp:inline>
        </w:drawing>
      </w:r>
    </w:p>
    <w:p>
      <w:pPr>
        <w:ind w:left="29"/>
        <w:spacing w:line="199" w:lineRule="auto"/>
        <w:rPr>
          <w:rFonts w:ascii="SimHei" w:hAnsi="SimHei" w:eastAsia="SimHei" w:cs="SimHei"/>
          <w:sz w:val="15"/>
          <w:szCs w:val="15"/>
        </w:rPr>
      </w:pPr>
      <w:r>
        <w:rPr>
          <w:rFonts w:ascii="SimHei" w:hAnsi="SimHei" w:eastAsia="SimHei" w:cs="SimHei"/>
          <w:sz w:val="15"/>
          <w:szCs w:val="15"/>
          <w:spacing w:val="27"/>
        </w:rPr>
        <w:t>第四步</w:t>
      </w:r>
      <w:r>
        <w:rPr>
          <w:rFonts w:ascii="SimHei" w:hAnsi="SimHei" w:eastAsia="SimHei" w:cs="SimHei"/>
          <w:sz w:val="15"/>
          <w:szCs w:val="15"/>
          <w:spacing w:val="-25"/>
        </w:rPr>
        <w:t xml:space="preserve"> </w:t>
      </w:r>
      <w:r>
        <w:rPr>
          <w:rFonts w:ascii="SimHei" w:hAnsi="SimHei" w:eastAsia="SimHei" w:cs="SimHei"/>
          <w:sz w:val="15"/>
          <w:szCs w:val="15"/>
          <w:spacing w:val="27"/>
        </w:rPr>
        <w:t>：</w:t>
      </w:r>
      <w:r>
        <w:rPr>
          <w:rFonts w:ascii="SimHei" w:hAnsi="SimHei" w:eastAsia="SimHei" w:cs="SimHei"/>
          <w:sz w:val="15"/>
          <w:szCs w:val="15"/>
          <w:spacing w:val="-32"/>
        </w:rPr>
        <w:t xml:space="preserve"> </w:t>
      </w:r>
      <w:r>
        <w:rPr>
          <w:rFonts w:ascii="SimHei" w:hAnsi="SimHei" w:eastAsia="SimHei" w:cs="SimHei"/>
          <w:sz w:val="15"/>
          <w:szCs w:val="15"/>
          <w:spacing w:val="27"/>
        </w:rPr>
        <w:t>将补植区域平整踏实</w:t>
      </w:r>
      <w:r>
        <w:rPr>
          <w:rFonts w:ascii="SimHei" w:hAnsi="SimHei" w:eastAsia="SimHei" w:cs="SimHei"/>
          <w:sz w:val="15"/>
          <w:szCs w:val="15"/>
          <w:spacing w:val="-16"/>
        </w:rPr>
        <w:t xml:space="preserve"> </w:t>
      </w:r>
      <w:r>
        <w:rPr>
          <w:rFonts w:ascii="SimHei" w:hAnsi="SimHei" w:eastAsia="SimHei" w:cs="SimHei"/>
          <w:sz w:val="15"/>
          <w:szCs w:val="15"/>
          <w:spacing w:val="27"/>
        </w:rPr>
        <w:t>，</w:t>
      </w:r>
      <w:r>
        <w:rPr>
          <w:rFonts w:ascii="SimHei" w:hAnsi="SimHei" w:eastAsia="SimHei" w:cs="SimHei"/>
          <w:sz w:val="15"/>
          <w:szCs w:val="15"/>
          <w:spacing w:val="-32"/>
        </w:rPr>
        <w:t xml:space="preserve"> </w:t>
      </w:r>
      <w:r>
        <w:rPr>
          <w:rFonts w:ascii="SimHei" w:hAnsi="SimHei" w:eastAsia="SimHei" w:cs="SimHei"/>
          <w:sz w:val="15"/>
          <w:szCs w:val="15"/>
          <w:spacing w:val="27"/>
        </w:rPr>
        <w:t>补植后与原草皮</w:t>
      </w:r>
    </w:p>
    <w:p>
      <w:pPr>
        <w:ind w:left="29"/>
        <w:spacing w:before="127" w:line="213" w:lineRule="auto"/>
        <w:rPr>
          <w:rFonts w:ascii="SimHei" w:hAnsi="SimHei" w:eastAsia="SimHei" w:cs="SimHei"/>
          <w:sz w:val="15"/>
          <w:szCs w:val="15"/>
        </w:rPr>
      </w:pPr>
      <w:r>
        <w:rPr>
          <w:rFonts w:ascii="SimHei" w:hAnsi="SimHei" w:eastAsia="SimHei" w:cs="SimHei"/>
          <w:sz w:val="15"/>
          <w:szCs w:val="15"/>
          <w:spacing w:val="16"/>
        </w:rPr>
        <w:t>同高</w:t>
      </w:r>
      <w:r>
        <w:rPr>
          <w:rFonts w:ascii="SimHei" w:hAnsi="SimHei" w:eastAsia="SimHei" w:cs="SimHei"/>
          <w:sz w:val="15"/>
          <w:szCs w:val="15"/>
          <w:spacing w:val="-14"/>
        </w:rPr>
        <w:t xml:space="preserve"> </w:t>
      </w:r>
      <w:r>
        <w:rPr>
          <w:rFonts w:ascii="SimHei" w:hAnsi="SimHei" w:eastAsia="SimHei" w:cs="SimHei"/>
          <w:sz w:val="15"/>
          <w:szCs w:val="15"/>
          <w:spacing w:val="16"/>
        </w:rPr>
        <w:t>，</w:t>
      </w:r>
      <w:r>
        <w:rPr>
          <w:rFonts w:ascii="SimHei" w:hAnsi="SimHei" w:eastAsia="SimHei" w:cs="SimHei"/>
          <w:sz w:val="15"/>
          <w:szCs w:val="15"/>
          <w:spacing w:val="-29"/>
        </w:rPr>
        <w:t xml:space="preserve"> </w:t>
      </w:r>
      <w:r>
        <w:rPr>
          <w:rFonts w:ascii="SimHei" w:hAnsi="SimHei" w:eastAsia="SimHei" w:cs="SimHei"/>
          <w:sz w:val="15"/>
          <w:szCs w:val="15"/>
          <w:spacing w:val="16"/>
        </w:rPr>
        <w:t>适时浇水</w:t>
      </w:r>
    </w:p>
    <w:p>
      <w:pPr>
        <w:spacing w:line="213" w:lineRule="auto"/>
        <w:sectPr>
          <w:type w:val="continuous"/>
          <w:pgSz w:w="14490" w:h="20470"/>
          <w:pgMar w:top="1739" w:right="2169" w:bottom="1395" w:left="2150" w:header="0" w:footer="1233" w:gutter="0"/>
          <w:cols w:equalWidth="0" w:num="2">
            <w:col w:w="5291" w:space="69"/>
            <w:col w:w="4811" w:space="0"/>
          </w:cols>
        </w:sectPr>
        <w:rPr>
          <w:rFonts w:ascii="SimHei" w:hAnsi="SimHei" w:eastAsia="SimHei" w:cs="SimHei"/>
          <w:sz w:val="15"/>
          <w:szCs w:val="15"/>
        </w:rPr>
      </w:pPr>
    </w:p>
    <w:p>
      <w:pPr>
        <w:pStyle w:val="BodyText"/>
        <w:ind w:left="4189"/>
        <w:spacing w:before="53" w:line="219" w:lineRule="auto"/>
        <w:rPr>
          <w:sz w:val="26"/>
          <w:szCs w:val="26"/>
        </w:rPr>
      </w:pPr>
      <w:r>
        <w:rPr>
          <w:sz w:val="26"/>
          <w:szCs w:val="26"/>
          <w:spacing w:val="-11"/>
        </w:rPr>
        <w:t>图4-6-1草坪补植流程</w:t>
      </w:r>
    </w:p>
    <w:p>
      <w:pPr>
        <w:pStyle w:val="BodyText"/>
        <w:ind w:right="29" w:firstLine="600"/>
        <w:spacing w:before="163" w:line="310" w:lineRule="auto"/>
        <w:jc w:val="both"/>
        <w:rPr>
          <w:sz w:val="29"/>
          <w:szCs w:val="29"/>
        </w:rPr>
      </w:pPr>
      <w:r>
        <w:rPr>
          <w:sz w:val="29"/>
          <w:szCs w:val="29"/>
          <w:spacing w:val="-9"/>
        </w:rPr>
        <w:t>补植时，草皮与草皮之间紧贴密铺，但切忌</w:t>
      </w:r>
      <w:r>
        <w:rPr>
          <w:sz w:val="29"/>
          <w:szCs w:val="29"/>
          <w:spacing w:val="-10"/>
        </w:rPr>
        <w:t>重叠铺植。铺植完毕需用平锹拍击</w:t>
      </w:r>
      <w:r>
        <w:rPr>
          <w:sz w:val="29"/>
          <w:szCs w:val="29"/>
        </w:rPr>
        <w:t xml:space="preserve"> </w:t>
      </w:r>
      <w:r>
        <w:rPr>
          <w:sz w:val="29"/>
          <w:szCs w:val="29"/>
        </w:rPr>
        <w:t>或踩踏新植草皮以使草皮根部与土壤密接，</w:t>
      </w:r>
      <w:r>
        <w:rPr>
          <w:sz w:val="29"/>
          <w:szCs w:val="29"/>
          <w:spacing w:val="-1"/>
        </w:rPr>
        <w:t>以保证草皮成活率，拍击时由中间向</w:t>
      </w:r>
      <w:r>
        <w:rPr>
          <w:sz w:val="29"/>
          <w:szCs w:val="29"/>
        </w:rPr>
        <w:t xml:space="preserve"> </w:t>
      </w:r>
      <w:r>
        <w:rPr>
          <w:sz w:val="29"/>
          <w:szCs w:val="29"/>
          <w:spacing w:val="1"/>
        </w:rPr>
        <w:t>四周逐块铺开，铺完后及时浇水，并保持土壤湿润直至新叶开始生长。</w:t>
      </w:r>
    </w:p>
    <w:p>
      <w:pPr>
        <w:pStyle w:val="BodyText"/>
        <w:spacing w:before="55" w:line="222" w:lineRule="auto"/>
        <w:rPr>
          <w:rFonts w:ascii="FangSong" w:hAnsi="FangSong" w:eastAsia="FangSong" w:cs="FangSong"/>
          <w:sz w:val="29"/>
          <w:szCs w:val="29"/>
        </w:rPr>
      </w:pPr>
      <w:r>
        <w:rPr>
          <w:rFonts w:ascii="Times New Roman" w:hAnsi="Times New Roman" w:eastAsia="Times New Roman" w:cs="Times New Roman"/>
          <w:sz w:val="29"/>
          <w:szCs w:val="29"/>
          <w:spacing w:val="2"/>
        </w:rPr>
        <w:t>2</w:t>
      </w:r>
      <w:r>
        <w:rPr>
          <w:rFonts w:ascii="Times New Roman" w:hAnsi="Times New Roman" w:eastAsia="Times New Roman" w:cs="Times New Roman"/>
          <w:sz w:val="29"/>
          <w:szCs w:val="29"/>
          <w:spacing w:val="-41"/>
        </w:rPr>
        <w:t xml:space="preserve"> </w:t>
      </w:r>
      <w:r>
        <w:rPr>
          <w:sz w:val="29"/>
          <w:szCs w:val="29"/>
          <w:spacing w:val="2"/>
        </w:rPr>
        <w:t>、</w:t>
      </w:r>
      <w:r>
        <w:rPr>
          <w:rFonts w:ascii="FangSong" w:hAnsi="FangSong" w:eastAsia="FangSong" w:cs="FangSong"/>
          <w:sz w:val="29"/>
          <w:szCs w:val="29"/>
          <w:spacing w:val="2"/>
        </w:rPr>
        <w:t>补播方式</w:t>
      </w:r>
    </w:p>
    <w:p>
      <w:pPr>
        <w:pStyle w:val="BodyText"/>
        <w:ind w:left="600"/>
        <w:spacing w:before="156" w:line="184" w:lineRule="auto"/>
        <w:rPr>
          <w:sz w:val="29"/>
          <w:szCs w:val="29"/>
        </w:rPr>
      </w:pPr>
      <w:r>
        <w:rPr>
          <w:sz w:val="29"/>
          <w:szCs w:val="29"/>
          <w:spacing w:val="18"/>
        </w:rPr>
        <w:t>1)播前种子处理</w:t>
      </w:r>
    </w:p>
    <w:p>
      <w:pPr>
        <w:spacing w:line="184" w:lineRule="auto"/>
        <w:sectPr>
          <w:type w:val="continuous"/>
          <w:pgSz w:w="14490" w:h="20470"/>
          <w:pgMar w:top="1739" w:right="2169" w:bottom="1395" w:left="2150" w:header="0" w:footer="1233" w:gutter="0"/>
          <w:cols w:equalWidth="0" w:num="1">
            <w:col w:w="10171" w:space="0"/>
          </w:cols>
        </w:sectPr>
        <w:rPr>
          <w:sz w:val="29"/>
          <w:szCs w:val="29"/>
        </w:rPr>
      </w:pPr>
    </w:p>
    <w:p>
      <w:pPr>
        <w:pStyle w:val="BodyText"/>
        <w:ind w:right="249" w:firstLine="570"/>
        <w:spacing w:before="122" w:line="314" w:lineRule="auto"/>
        <w:rPr>
          <w:sz w:val="29"/>
          <w:szCs w:val="29"/>
        </w:rPr>
      </w:pPr>
      <w:r>
        <w:rPr>
          <w:sz w:val="29"/>
          <w:szCs w:val="29"/>
        </w:rPr>
        <w:t>播种前种子处理能够加快发芽速度、提高发芽率、消毒种子，达到早出苗、</w:t>
      </w:r>
      <w:r>
        <w:rPr>
          <w:sz w:val="29"/>
          <w:szCs w:val="29"/>
          <w:spacing w:val="14"/>
        </w:rPr>
        <w:t xml:space="preserve"> </w:t>
      </w:r>
      <w:r>
        <w:rPr>
          <w:sz w:val="29"/>
          <w:szCs w:val="29"/>
          <w:spacing w:val="-2"/>
        </w:rPr>
        <w:t>多出苗、出好苗、出齐苗的目的。</w:t>
      </w:r>
    </w:p>
    <w:p>
      <w:pPr>
        <w:pStyle w:val="BodyText"/>
        <w:ind w:right="233" w:firstLine="730"/>
        <w:spacing w:before="2" w:line="279" w:lineRule="auto"/>
        <w:rPr>
          <w:sz w:val="29"/>
          <w:szCs w:val="29"/>
        </w:rPr>
      </w:pPr>
      <w:r>
        <w:rPr>
          <w:sz w:val="29"/>
          <w:szCs w:val="29"/>
          <w:spacing w:val="5"/>
        </w:rPr>
        <w:t>①  选种。播种前要对种子进行精选，把种子中的夹杂物捡出</w:t>
      </w:r>
      <w:r>
        <w:rPr>
          <w:sz w:val="29"/>
          <w:szCs w:val="29"/>
          <w:spacing w:val="4"/>
        </w:rPr>
        <w:t>去以提高种</w:t>
      </w:r>
      <w:r>
        <w:rPr>
          <w:sz w:val="29"/>
          <w:szCs w:val="29"/>
        </w:rPr>
        <w:t xml:space="preserve"> </w:t>
      </w:r>
      <w:r>
        <w:rPr>
          <w:sz w:val="29"/>
          <w:szCs w:val="29"/>
          <w:spacing w:val="-16"/>
        </w:rPr>
        <w:t>子的纯度，常用的精选方法有水选、筛选。水选：将种子用10—25℃温水浸泡，除去</w:t>
      </w:r>
      <w:r>
        <w:rPr>
          <w:sz w:val="29"/>
          <w:szCs w:val="29"/>
          <w:spacing w:val="9"/>
        </w:rPr>
        <w:t xml:space="preserve"> </w:t>
      </w:r>
      <w:r>
        <w:rPr>
          <w:sz w:val="29"/>
          <w:szCs w:val="29"/>
          <w:spacing w:val="1"/>
        </w:rPr>
        <w:t>漂浮在水面上的秕种，捞出放在阴处摊晾。</w:t>
      </w:r>
    </w:p>
    <w:p>
      <w:pPr>
        <w:pStyle w:val="BodyText"/>
        <w:ind w:right="239" w:firstLine="730"/>
        <w:spacing w:before="161" w:line="284" w:lineRule="auto"/>
        <w:rPr>
          <w:sz w:val="29"/>
          <w:szCs w:val="29"/>
        </w:rPr>
      </w:pPr>
      <w:r>
        <w:rPr>
          <w:sz w:val="29"/>
          <w:szCs w:val="29"/>
          <w:spacing w:val="4"/>
        </w:rPr>
        <w:t>②  催芽。草坪种子催芽法有2种： 一是高温催芽，在气温偏低情况下采</w:t>
      </w:r>
      <w:r>
        <w:rPr>
          <w:sz w:val="29"/>
          <w:szCs w:val="29"/>
          <w:spacing w:val="15"/>
        </w:rPr>
        <w:t xml:space="preserve"> </w:t>
      </w:r>
      <w:r>
        <w:rPr>
          <w:sz w:val="29"/>
          <w:szCs w:val="29"/>
          <w:spacing w:val="-7"/>
        </w:rPr>
        <w:t>用，可使播种期提前10—15天；二是常温催芽，在正常播种</w:t>
      </w:r>
      <w:r>
        <w:rPr>
          <w:sz w:val="29"/>
          <w:szCs w:val="29"/>
          <w:spacing w:val="-8"/>
        </w:rPr>
        <w:t>期内采用。草坪催芽常</w:t>
      </w:r>
      <w:r>
        <w:rPr>
          <w:sz w:val="29"/>
          <w:szCs w:val="29"/>
        </w:rPr>
        <w:t xml:space="preserve"> </w:t>
      </w:r>
      <w:r>
        <w:rPr>
          <w:sz w:val="29"/>
          <w:szCs w:val="29"/>
        </w:rPr>
        <w:t>用于马尼拉籽播及其他草种工期较紧时籽播。</w:t>
      </w:r>
    </w:p>
    <w:p>
      <w:pPr>
        <w:pStyle w:val="BodyText"/>
        <w:ind w:left="570"/>
        <w:spacing w:before="142" w:line="217" w:lineRule="auto"/>
        <w:rPr>
          <w:sz w:val="29"/>
          <w:szCs w:val="29"/>
        </w:rPr>
      </w:pPr>
      <w:r>
        <w:rPr>
          <w:sz w:val="29"/>
          <w:szCs w:val="29"/>
          <w:spacing w:val="1"/>
        </w:rPr>
        <w:t>①先将干种子用水浸泡1—2小时，冷季型草种用冷水或温水即可；</w:t>
      </w:r>
    </w:p>
    <w:p>
      <w:pPr>
        <w:pStyle w:val="BodyText"/>
        <w:ind w:right="523" w:firstLine="570"/>
        <w:spacing w:before="128" w:line="270" w:lineRule="auto"/>
        <w:rPr>
          <w:sz w:val="29"/>
          <w:szCs w:val="29"/>
        </w:rPr>
      </w:pPr>
      <w:r>
        <w:rPr>
          <w:sz w:val="29"/>
          <w:szCs w:val="29"/>
          <w:spacing w:val="1"/>
        </w:rPr>
        <w:t>②将种子捞出，与无杂物的河沙按1:20倍体积比，均匀搅拌，反</w:t>
      </w:r>
      <w:r>
        <w:rPr>
          <w:sz w:val="29"/>
          <w:szCs w:val="29"/>
        </w:rPr>
        <w:t>复多次拌 </w:t>
      </w:r>
      <w:r>
        <w:rPr>
          <w:sz w:val="29"/>
          <w:szCs w:val="29"/>
          <w:spacing w:val="-2"/>
        </w:rPr>
        <w:t>和，以手握后指缝间不滴水为宜；</w:t>
      </w:r>
    </w:p>
    <w:p>
      <w:pPr>
        <w:pStyle w:val="BodyText"/>
        <w:ind w:right="209" w:firstLine="570"/>
        <w:spacing w:before="152" w:line="266" w:lineRule="auto"/>
        <w:rPr>
          <w:sz w:val="29"/>
          <w:szCs w:val="29"/>
        </w:rPr>
      </w:pPr>
      <w:r>
        <w:rPr>
          <w:sz w:val="29"/>
          <w:szCs w:val="29"/>
          <w:spacing w:val="2"/>
        </w:rPr>
        <w:t>③常温催芽时，将掺沙的种子，堆放在普通地</w:t>
      </w:r>
      <w:r>
        <w:rPr>
          <w:sz w:val="29"/>
          <w:szCs w:val="29"/>
          <w:spacing w:val="1"/>
        </w:rPr>
        <w:t>坪上或覆盖地膜，保温保湿，</w:t>
      </w:r>
      <w:r>
        <w:rPr>
          <w:sz w:val="29"/>
          <w:szCs w:val="29"/>
        </w:rPr>
        <w:t xml:space="preserve"> </w:t>
      </w:r>
      <w:r>
        <w:rPr>
          <w:sz w:val="29"/>
          <w:szCs w:val="29"/>
          <w:spacing w:val="-3"/>
        </w:rPr>
        <w:t>促进种子早萌动；</w:t>
      </w:r>
    </w:p>
    <w:p>
      <w:pPr>
        <w:pStyle w:val="BodyText"/>
        <w:ind w:right="209" w:firstLine="570"/>
        <w:spacing w:before="163" w:line="267" w:lineRule="auto"/>
        <w:rPr>
          <w:sz w:val="29"/>
          <w:szCs w:val="29"/>
        </w:rPr>
      </w:pPr>
      <w:r>
        <w:rPr>
          <w:sz w:val="29"/>
          <w:szCs w:val="29"/>
          <w:spacing w:val="2"/>
        </w:rPr>
        <w:t>④高温催芽时，将掺沙种子装入蛇皮袋、木板箱</w:t>
      </w:r>
      <w:r>
        <w:rPr>
          <w:sz w:val="29"/>
          <w:szCs w:val="29"/>
          <w:spacing w:val="1"/>
        </w:rPr>
        <w:t>等容器内，移入温室催芽。</w:t>
      </w:r>
      <w:r>
        <w:rPr>
          <w:sz w:val="29"/>
          <w:szCs w:val="29"/>
        </w:rPr>
        <w:t xml:space="preserve"> </w:t>
      </w:r>
      <w:r>
        <w:rPr>
          <w:sz w:val="29"/>
          <w:szCs w:val="29"/>
          <w:spacing w:val="-1"/>
        </w:rPr>
        <w:t>温度与堆放时间因草种不同而异，冷季型草须在28℃左右，</w:t>
      </w:r>
      <w:r>
        <w:rPr>
          <w:sz w:val="29"/>
          <w:szCs w:val="29"/>
          <w:spacing w:val="-61"/>
        </w:rPr>
        <w:t xml:space="preserve"> </w:t>
      </w:r>
      <w:r>
        <w:rPr>
          <w:sz w:val="29"/>
          <w:szCs w:val="29"/>
          <w:spacing w:val="-1"/>
        </w:rPr>
        <w:t>一般堆放2—3天；</w:t>
      </w:r>
    </w:p>
    <w:p>
      <w:pPr>
        <w:pStyle w:val="BodyText"/>
        <w:ind w:right="40" w:firstLine="570"/>
        <w:spacing w:before="141" w:line="280" w:lineRule="auto"/>
        <w:rPr>
          <w:sz w:val="29"/>
          <w:szCs w:val="29"/>
        </w:rPr>
      </w:pPr>
      <w:r>
        <w:rPr>
          <w:sz w:val="29"/>
          <w:szCs w:val="29"/>
          <w:spacing w:val="-4"/>
        </w:rPr>
        <w:t>⑤催芽堆放期内，应每天两次检查芽情变化，如发现部分种子有“露白”,需</w:t>
      </w:r>
      <w:r>
        <w:rPr>
          <w:sz w:val="29"/>
          <w:szCs w:val="29"/>
          <w:spacing w:val="8"/>
        </w:rPr>
        <w:t xml:space="preserve">  </w:t>
      </w:r>
      <w:r>
        <w:rPr>
          <w:sz w:val="29"/>
          <w:szCs w:val="29"/>
          <w:spacing w:val="-10"/>
        </w:rPr>
        <w:t>迅速播种。一般暖季型草种堆放1天，冷季型草种最多堆放3天，不管“露白”与否，</w:t>
      </w:r>
      <w:r>
        <w:rPr>
          <w:sz w:val="29"/>
          <w:szCs w:val="29"/>
          <w:spacing w:val="13"/>
        </w:rPr>
        <w:t xml:space="preserve"> </w:t>
      </w:r>
      <w:r>
        <w:rPr>
          <w:sz w:val="29"/>
          <w:szCs w:val="29"/>
          <w:spacing w:val="1"/>
        </w:rPr>
        <w:t>均应迅速播种，以防种子霉变。</w:t>
      </w:r>
    </w:p>
    <w:p>
      <w:pPr>
        <w:pStyle w:val="BodyText"/>
        <w:ind w:left="730"/>
        <w:spacing w:before="173" w:line="217" w:lineRule="auto"/>
        <w:rPr>
          <w:sz w:val="29"/>
          <w:szCs w:val="29"/>
        </w:rPr>
      </w:pPr>
      <w:r>
        <w:rPr>
          <w:sz w:val="29"/>
          <w:szCs w:val="29"/>
          <w:spacing w:val="-1"/>
        </w:rPr>
        <w:t>③</w:t>
      </w:r>
      <w:r>
        <w:rPr>
          <w:sz w:val="29"/>
          <w:szCs w:val="29"/>
          <w:spacing w:val="25"/>
        </w:rPr>
        <w:t xml:space="preserve">  </w:t>
      </w:r>
      <w:r>
        <w:rPr>
          <w:sz w:val="29"/>
          <w:szCs w:val="29"/>
          <w:spacing w:val="-1"/>
        </w:rPr>
        <w:t>种子消毒</w:t>
      </w:r>
    </w:p>
    <w:p>
      <w:pPr>
        <w:pStyle w:val="BodyText"/>
        <w:ind w:firstLine="570"/>
        <w:spacing w:before="135" w:line="310" w:lineRule="auto"/>
        <w:rPr>
          <w:sz w:val="29"/>
          <w:szCs w:val="29"/>
        </w:rPr>
      </w:pPr>
      <w:r>
        <w:rPr>
          <w:sz w:val="29"/>
          <w:szCs w:val="29"/>
        </w:rPr>
        <w:t>播种前要对种子进行消毒，因为种子表面、</w:t>
      </w:r>
      <w:r>
        <w:rPr>
          <w:sz w:val="29"/>
          <w:szCs w:val="29"/>
          <w:spacing w:val="-1"/>
        </w:rPr>
        <w:t>土壤中均有病菌存在，播种前对</w:t>
      </w:r>
      <w:r>
        <w:rPr>
          <w:sz w:val="29"/>
          <w:szCs w:val="29"/>
        </w:rPr>
        <w:t xml:space="preserve">   </w:t>
      </w:r>
      <w:r>
        <w:rPr>
          <w:sz w:val="29"/>
          <w:szCs w:val="29"/>
          <w:spacing w:val="-9"/>
        </w:rPr>
        <w:t>种子进行消毒，能起到消毒和防护双重作用。常用消毒拌种药剂有多菌灵、敌克松、</w:t>
      </w:r>
      <w:r>
        <w:rPr>
          <w:sz w:val="29"/>
          <w:szCs w:val="29"/>
          <w:spacing w:val="6"/>
        </w:rPr>
        <w:t xml:space="preserve"> </w:t>
      </w:r>
      <w:r>
        <w:rPr>
          <w:sz w:val="29"/>
          <w:szCs w:val="29"/>
          <w:spacing w:val="-22"/>
        </w:rPr>
        <w:t>甲基托布津、福美双、代森锌、纹枯利等粉剂，药量为种子重量的0.2%—0.5%。具体做</w:t>
      </w:r>
      <w:r>
        <w:rPr>
          <w:sz w:val="29"/>
          <w:szCs w:val="29"/>
          <w:spacing w:val="5"/>
        </w:rPr>
        <w:t xml:space="preserve">   </w:t>
      </w:r>
      <w:r>
        <w:rPr>
          <w:sz w:val="29"/>
          <w:szCs w:val="29"/>
          <w:spacing w:val="-1"/>
        </w:rPr>
        <w:t>法：将消毒拌种粉剂混合10倍左右的细土，配成药土后进行拌种。</w:t>
      </w:r>
    </w:p>
    <w:p>
      <w:pPr>
        <w:pStyle w:val="BodyText"/>
        <w:ind w:left="570"/>
        <w:spacing w:before="29" w:line="219" w:lineRule="auto"/>
        <w:rPr>
          <w:sz w:val="29"/>
          <w:szCs w:val="29"/>
        </w:rPr>
      </w:pPr>
      <w:r>
        <w:rPr>
          <w:sz w:val="29"/>
          <w:szCs w:val="29"/>
          <w:spacing w:val="29"/>
        </w:rPr>
        <w:t>2)补播施工</w:t>
      </w:r>
    </w:p>
    <w:p>
      <w:pPr>
        <w:pStyle w:val="BodyText"/>
        <w:ind w:left="730"/>
        <w:spacing w:before="146" w:line="219" w:lineRule="auto"/>
        <w:rPr>
          <w:sz w:val="29"/>
          <w:szCs w:val="29"/>
        </w:rPr>
      </w:pPr>
      <w:r>
        <w:rPr>
          <w:sz w:val="29"/>
          <w:szCs w:val="29"/>
          <w:spacing w:val="7"/>
        </w:rPr>
        <w:t>(1)播前修剪，播前先进行一次修剪，降低草坪高度，以利于施工。</w:t>
      </w:r>
    </w:p>
    <w:p>
      <w:pPr>
        <w:pStyle w:val="BodyText"/>
        <w:ind w:right="343" w:firstLine="730"/>
        <w:spacing w:before="145" w:line="264" w:lineRule="auto"/>
        <w:rPr>
          <w:sz w:val="29"/>
          <w:szCs w:val="29"/>
        </w:rPr>
      </w:pPr>
      <w:r>
        <w:rPr>
          <w:sz w:val="29"/>
          <w:szCs w:val="29"/>
          <w:spacing w:val="6"/>
        </w:rPr>
        <w:t>(2)搂除枯草，搂除枯草层可防止种子、幼苗感染病菌，降低虫害</w:t>
      </w:r>
      <w:r>
        <w:rPr>
          <w:sz w:val="29"/>
          <w:szCs w:val="29"/>
          <w:spacing w:val="5"/>
        </w:rPr>
        <w:t>发生机</w:t>
      </w:r>
      <w:r>
        <w:rPr>
          <w:sz w:val="29"/>
          <w:szCs w:val="29"/>
        </w:rPr>
        <w:t xml:space="preserve"> </w:t>
      </w:r>
      <w:r>
        <w:rPr>
          <w:sz w:val="29"/>
          <w:szCs w:val="29"/>
          <w:spacing w:val="-3"/>
        </w:rPr>
        <w:t>率，利于种子与土壤良好结合。</w:t>
      </w:r>
    </w:p>
    <w:p>
      <w:pPr>
        <w:ind w:firstLine="209"/>
        <w:spacing w:line="3310" w:lineRule="exact"/>
        <w:rPr/>
      </w:pPr>
      <w:r>
        <w:rPr>
          <w:position w:val="-66"/>
        </w:rPr>
        <w:drawing>
          <wp:inline distT="0" distB="0" distL="0" distR="0">
            <wp:extent cx="6254758" cy="2101849"/>
            <wp:effectExtent l="0" t="0" r="0" b="0"/>
            <wp:docPr id="248" name="IM 248"/>
            <wp:cNvGraphicFramePr/>
            <a:graphic>
              <a:graphicData uri="http://schemas.openxmlformats.org/drawingml/2006/picture">
                <pic:pic>
                  <pic:nvPicPr>
                    <pic:cNvPr id="248" name="IM 248"/>
                    <pic:cNvPicPr/>
                  </pic:nvPicPr>
                  <pic:blipFill>
                    <a:blip r:embed="rId180"/>
                    <a:stretch>
                      <a:fillRect/>
                    </a:stretch>
                  </pic:blipFill>
                  <pic:spPr>
                    <a:xfrm rot="0">
                      <a:off x="0" y="0"/>
                      <a:ext cx="6254758" cy="2101849"/>
                    </a:xfrm>
                    <a:prstGeom prst="rect">
                      <a:avLst/>
                    </a:prstGeom>
                  </pic:spPr>
                </pic:pic>
              </a:graphicData>
            </a:graphic>
          </wp:inline>
        </w:drawing>
      </w:r>
    </w:p>
    <w:p>
      <w:pPr>
        <w:pStyle w:val="BodyText"/>
        <w:ind w:left="3449"/>
        <w:spacing w:before="181" w:line="219" w:lineRule="auto"/>
        <w:rPr>
          <w:sz w:val="27"/>
          <w:szCs w:val="27"/>
        </w:rPr>
      </w:pPr>
      <w:r>
        <w:rPr>
          <w:sz w:val="27"/>
          <w:szCs w:val="27"/>
          <w:spacing w:val="-18"/>
        </w:rPr>
        <w:t>图4-6-2播种前修剪并搂除枯草层</w:t>
      </w:r>
    </w:p>
    <w:p>
      <w:pPr>
        <w:spacing w:line="219" w:lineRule="auto"/>
        <w:sectPr>
          <w:footerReference w:type="default" r:id="rId179"/>
          <w:pgSz w:w="14490" w:h="20470"/>
          <w:pgMar w:top="1739" w:right="1935" w:bottom="1458" w:left="2150" w:header="0" w:footer="1213" w:gutter="0"/>
        </w:sectPr>
        <w:rPr>
          <w:sz w:val="27"/>
          <w:szCs w:val="27"/>
        </w:rPr>
      </w:pPr>
    </w:p>
    <w:p>
      <w:pPr>
        <w:pStyle w:val="BodyText"/>
        <w:ind w:right="371" w:firstLine="730"/>
        <w:spacing w:before="123" w:line="305" w:lineRule="auto"/>
        <w:jc w:val="both"/>
        <w:rPr>
          <w:sz w:val="29"/>
          <w:szCs w:val="29"/>
        </w:rPr>
      </w:pPr>
      <w:r>
        <w:rPr>
          <w:sz w:val="29"/>
          <w:szCs w:val="29"/>
          <w:spacing w:val="9"/>
        </w:rPr>
        <w:t>(3)松土，小面积补植区域，先用二齿耙子或钢钎</w:t>
      </w:r>
      <w:r>
        <w:rPr>
          <w:sz w:val="29"/>
          <w:szCs w:val="29"/>
          <w:spacing w:val="8"/>
        </w:rPr>
        <w:t>将斑秃或露土位置的表</w:t>
      </w:r>
      <w:r>
        <w:rPr>
          <w:sz w:val="29"/>
          <w:szCs w:val="29"/>
        </w:rPr>
        <w:t xml:space="preserve"> </w:t>
      </w:r>
      <w:r>
        <w:rPr>
          <w:sz w:val="29"/>
          <w:szCs w:val="29"/>
          <w:spacing w:val="1"/>
        </w:rPr>
        <w:t>土层划破约5—10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
        </w:rPr>
        <w:t>,   </w:t>
      </w:r>
      <w:r>
        <w:rPr>
          <w:sz w:val="29"/>
          <w:szCs w:val="29"/>
          <w:spacing w:val="1"/>
        </w:rPr>
        <w:t>并将土块打碎、疏松整平土壤；秃斑略大的地方可先用铁</w:t>
      </w:r>
      <w:r>
        <w:rPr>
          <w:sz w:val="29"/>
          <w:szCs w:val="29"/>
          <w:spacing w:val="2"/>
        </w:rPr>
        <w:t xml:space="preserve"> </w:t>
      </w:r>
      <w:r>
        <w:rPr>
          <w:sz w:val="29"/>
          <w:szCs w:val="29"/>
        </w:rPr>
        <w:t>锹翻一下土，然后再将土块打碎。土中枯草、翻土斩</w:t>
      </w:r>
      <w:r>
        <w:rPr>
          <w:sz w:val="29"/>
          <w:szCs w:val="29"/>
          <w:spacing w:val="-1"/>
        </w:rPr>
        <w:t>落的草坪茎叶、根茎及砖石</w:t>
      </w:r>
      <w:r>
        <w:rPr>
          <w:sz w:val="29"/>
          <w:szCs w:val="29"/>
        </w:rPr>
        <w:t xml:space="preserve"> </w:t>
      </w:r>
      <w:r>
        <w:rPr>
          <w:sz w:val="29"/>
          <w:szCs w:val="29"/>
          <w:spacing w:val="-5"/>
        </w:rPr>
        <w:t>等要拣出。</w:t>
      </w:r>
    </w:p>
    <w:p>
      <w:pPr>
        <w:ind w:firstLine="139"/>
        <w:spacing w:line="3260" w:lineRule="exact"/>
        <w:rPr/>
      </w:pPr>
      <w:r>
        <w:rPr>
          <w:position w:val="-65"/>
        </w:rPr>
        <w:drawing>
          <wp:inline distT="0" distB="0" distL="0" distR="0">
            <wp:extent cx="6286501" cy="2070133"/>
            <wp:effectExtent l="0" t="0" r="0" b="0"/>
            <wp:docPr id="250" name="IM 250"/>
            <wp:cNvGraphicFramePr/>
            <a:graphic>
              <a:graphicData uri="http://schemas.openxmlformats.org/drawingml/2006/picture">
                <pic:pic>
                  <pic:nvPicPr>
                    <pic:cNvPr id="250" name="IM 250"/>
                    <pic:cNvPicPr/>
                  </pic:nvPicPr>
                  <pic:blipFill>
                    <a:blip r:embed="rId182"/>
                    <a:stretch>
                      <a:fillRect/>
                    </a:stretch>
                  </pic:blipFill>
                  <pic:spPr>
                    <a:xfrm rot="0">
                      <a:off x="0" y="0"/>
                      <a:ext cx="6286501" cy="2070133"/>
                    </a:xfrm>
                    <a:prstGeom prst="rect">
                      <a:avLst/>
                    </a:prstGeom>
                  </pic:spPr>
                </pic:pic>
              </a:graphicData>
            </a:graphic>
          </wp:inline>
        </w:drawing>
      </w:r>
    </w:p>
    <w:p>
      <w:pPr>
        <w:pStyle w:val="BodyText"/>
        <w:ind w:left="4299"/>
        <w:spacing w:before="130" w:line="219" w:lineRule="auto"/>
        <w:rPr>
          <w:sz w:val="26"/>
          <w:szCs w:val="26"/>
        </w:rPr>
      </w:pPr>
      <w:r>
        <w:rPr>
          <w:sz w:val="26"/>
          <w:szCs w:val="26"/>
          <w:spacing w:val="-11"/>
        </w:rPr>
        <w:t>图4-6-3松土并清杂</w:t>
      </w:r>
    </w:p>
    <w:p>
      <w:pPr>
        <w:pStyle w:val="BodyText"/>
        <w:ind w:firstLine="730"/>
        <w:spacing w:before="151" w:line="280" w:lineRule="auto"/>
        <w:jc w:val="both"/>
        <w:rPr>
          <w:sz w:val="29"/>
          <w:szCs w:val="29"/>
        </w:rPr>
      </w:pPr>
      <w:r>
        <w:rPr>
          <w:sz w:val="29"/>
          <w:szCs w:val="29"/>
          <w:spacing w:val="-2"/>
        </w:rPr>
        <w:t>(4)撒改良土、播种。播种前先将表土耙平、耙细，再将过筛的改良土(壤土：</w:t>
      </w:r>
      <w:r>
        <w:rPr>
          <w:sz w:val="29"/>
          <w:szCs w:val="29"/>
          <w:spacing w:val="5"/>
        </w:rPr>
        <w:t xml:space="preserve"> </w:t>
      </w:r>
      <w:r>
        <w:rPr>
          <w:sz w:val="29"/>
          <w:szCs w:val="29"/>
          <w:spacing w:val="-1"/>
        </w:rPr>
        <w:t>过筛泥炭：细沙=1:3:1体积比)在补播区域的表土层薄撒约0.5—0.6</w:t>
      </w:r>
      <w:r>
        <w:rPr>
          <w:rFonts w:ascii="Times New Roman" w:hAnsi="Times New Roman" w:eastAsia="Times New Roman" w:cs="Times New Roman"/>
          <w:sz w:val="29"/>
          <w:szCs w:val="29"/>
          <w:spacing w:val="-1"/>
        </w:rPr>
        <w:t>cm;</w:t>
      </w:r>
      <w:r>
        <w:rPr>
          <w:rFonts w:ascii="Times New Roman" w:hAnsi="Times New Roman" w:eastAsia="Times New Roman" w:cs="Times New Roman"/>
          <w:sz w:val="29"/>
          <w:szCs w:val="29"/>
          <w:spacing w:val="30"/>
        </w:rPr>
        <w:t xml:space="preserve">  </w:t>
      </w:r>
      <w:r>
        <w:rPr>
          <w:sz w:val="29"/>
          <w:szCs w:val="29"/>
          <w:spacing w:val="-1"/>
        </w:rPr>
        <w:t>播</w:t>
      </w:r>
      <w:r>
        <w:rPr>
          <w:sz w:val="29"/>
          <w:szCs w:val="29"/>
          <w:spacing w:val="-2"/>
        </w:rPr>
        <w:t>种前适</w:t>
      </w:r>
      <w:r>
        <w:rPr>
          <w:sz w:val="29"/>
          <w:szCs w:val="29"/>
        </w:rPr>
        <w:t xml:space="preserve">  </w:t>
      </w:r>
      <w:r>
        <w:rPr>
          <w:sz w:val="29"/>
          <w:szCs w:val="29"/>
          <w:spacing w:val="-17"/>
        </w:rPr>
        <w:t>量浇水湿润土壤，然后均匀撒上草种，以保证草种落地后能够固着于坪床。</w:t>
      </w:r>
    </w:p>
    <w:p>
      <w:pPr>
        <w:ind w:firstLine="79"/>
        <w:spacing w:line="3139" w:lineRule="exact"/>
        <w:rPr/>
      </w:pPr>
      <w:r>
        <w:rPr>
          <w:position w:val="-62"/>
        </w:rPr>
        <w:drawing>
          <wp:inline distT="0" distB="0" distL="0" distR="0">
            <wp:extent cx="6254756" cy="1993832"/>
            <wp:effectExtent l="0" t="0" r="0" b="0"/>
            <wp:docPr id="252" name="IM 252"/>
            <wp:cNvGraphicFramePr/>
            <a:graphic>
              <a:graphicData uri="http://schemas.openxmlformats.org/drawingml/2006/picture">
                <pic:pic>
                  <pic:nvPicPr>
                    <pic:cNvPr id="252" name="IM 252"/>
                    <pic:cNvPicPr/>
                  </pic:nvPicPr>
                  <pic:blipFill>
                    <a:blip r:embed="rId183"/>
                    <a:stretch>
                      <a:fillRect/>
                    </a:stretch>
                  </pic:blipFill>
                  <pic:spPr>
                    <a:xfrm rot="0">
                      <a:off x="0" y="0"/>
                      <a:ext cx="6254756" cy="1993832"/>
                    </a:xfrm>
                    <a:prstGeom prst="rect">
                      <a:avLst/>
                    </a:prstGeom>
                  </pic:spPr>
                </pic:pic>
              </a:graphicData>
            </a:graphic>
          </wp:inline>
        </w:drawing>
      </w:r>
    </w:p>
    <w:p>
      <w:pPr>
        <w:pStyle w:val="BodyText"/>
        <w:ind w:left="3929"/>
        <w:spacing w:before="191" w:line="219" w:lineRule="auto"/>
        <w:rPr>
          <w:sz w:val="26"/>
          <w:szCs w:val="26"/>
        </w:rPr>
      </w:pPr>
      <w:r>
        <w:rPr>
          <w:sz w:val="26"/>
          <w:szCs w:val="26"/>
          <w:spacing w:val="-10"/>
        </w:rPr>
        <w:t>图4-6-4薄洒改良土、播种</w:t>
      </w:r>
    </w:p>
    <w:p>
      <w:pPr>
        <w:pStyle w:val="BodyText"/>
        <w:ind w:right="371" w:firstLine="730"/>
        <w:spacing w:before="163" w:line="290" w:lineRule="auto"/>
        <w:jc w:val="both"/>
        <w:rPr>
          <w:sz w:val="29"/>
          <w:szCs w:val="29"/>
        </w:rPr>
      </w:pPr>
      <w:r>
        <w:rPr>
          <w:sz w:val="29"/>
          <w:szCs w:val="29"/>
          <w:spacing w:val="9"/>
        </w:rPr>
        <w:t>(5)压实、铺草帘、浇水。播种后用滚轮碾压</w:t>
      </w:r>
      <w:r>
        <w:rPr>
          <w:sz w:val="29"/>
          <w:szCs w:val="29"/>
          <w:spacing w:val="8"/>
        </w:rPr>
        <w:t>，以利于种子与土壤良好地</w:t>
      </w:r>
      <w:r>
        <w:rPr>
          <w:sz w:val="29"/>
          <w:szCs w:val="29"/>
        </w:rPr>
        <w:t xml:space="preserve"> </w:t>
      </w:r>
      <w:r>
        <w:rPr>
          <w:sz w:val="29"/>
          <w:szCs w:val="29"/>
          <w:spacing w:val="-8"/>
        </w:rPr>
        <w:t>结合。表面盖薄草帘，当天浇水维护，不可漫灌，以防种子流失。在出苗前</w:t>
      </w:r>
      <w:r>
        <w:rPr>
          <w:sz w:val="29"/>
          <w:szCs w:val="29"/>
          <w:spacing w:val="-9"/>
        </w:rPr>
        <w:t>应保持</w:t>
      </w:r>
      <w:r>
        <w:rPr>
          <w:sz w:val="29"/>
          <w:szCs w:val="29"/>
        </w:rPr>
        <w:t xml:space="preserve"> </w:t>
      </w:r>
      <w:r>
        <w:rPr>
          <w:sz w:val="29"/>
          <w:szCs w:val="29"/>
          <w:spacing w:val="1"/>
        </w:rPr>
        <w:t>土壤湿润，出苗时间约在7—15天左右，约长至2—4</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6"/>
        </w:rPr>
        <w:t xml:space="preserve"> </w:t>
      </w:r>
      <w:r>
        <w:rPr>
          <w:sz w:val="29"/>
          <w:szCs w:val="29"/>
          <w:spacing w:val="1"/>
        </w:rPr>
        <w:t>时，可撤去草帘，根据天</w:t>
      </w:r>
      <w:r>
        <w:rPr>
          <w:sz w:val="29"/>
          <w:szCs w:val="29"/>
        </w:rPr>
        <w:t xml:space="preserve"> </w:t>
      </w:r>
      <w:r>
        <w:rPr>
          <w:sz w:val="29"/>
          <w:szCs w:val="29"/>
          <w:spacing w:val="8"/>
        </w:rPr>
        <w:t>气情况适时浇水维护。当气温降至15℃以下时需覆盖薄膜保暖。设置防护警示</w:t>
      </w:r>
      <w:r>
        <w:rPr>
          <w:sz w:val="29"/>
          <w:szCs w:val="29"/>
          <w:spacing w:val="11"/>
        </w:rPr>
        <w:t xml:space="preserve"> </w:t>
      </w:r>
      <w:r>
        <w:rPr>
          <w:sz w:val="29"/>
          <w:szCs w:val="29"/>
        </w:rPr>
        <w:t>标志，严禁踩踏。</w:t>
      </w:r>
    </w:p>
    <w:p>
      <w:pPr>
        <w:ind w:firstLine="29"/>
        <w:spacing w:line="3120" w:lineRule="exact"/>
        <w:rPr/>
      </w:pPr>
      <w:r>
        <w:rPr>
          <w:position w:val="-62"/>
        </w:rPr>
        <w:drawing>
          <wp:inline distT="0" distB="0" distL="0" distR="0">
            <wp:extent cx="6286501" cy="1981093"/>
            <wp:effectExtent l="0" t="0" r="0" b="0"/>
            <wp:docPr id="254" name="IM 254"/>
            <wp:cNvGraphicFramePr/>
            <a:graphic>
              <a:graphicData uri="http://schemas.openxmlformats.org/drawingml/2006/picture">
                <pic:pic>
                  <pic:nvPicPr>
                    <pic:cNvPr id="254" name="IM 254"/>
                    <pic:cNvPicPr/>
                  </pic:nvPicPr>
                  <pic:blipFill>
                    <a:blip r:embed="rId184"/>
                    <a:stretch>
                      <a:fillRect/>
                    </a:stretch>
                  </pic:blipFill>
                  <pic:spPr>
                    <a:xfrm rot="0">
                      <a:off x="0" y="0"/>
                      <a:ext cx="6286501" cy="1981093"/>
                    </a:xfrm>
                    <a:prstGeom prst="rect">
                      <a:avLst/>
                    </a:prstGeom>
                  </pic:spPr>
                </pic:pic>
              </a:graphicData>
            </a:graphic>
          </wp:inline>
        </w:drawing>
      </w:r>
    </w:p>
    <w:p>
      <w:pPr>
        <w:pStyle w:val="BodyText"/>
        <w:ind w:left="3790"/>
        <w:spacing w:before="220" w:line="219" w:lineRule="auto"/>
        <w:rPr>
          <w:sz w:val="24"/>
          <w:szCs w:val="24"/>
        </w:rPr>
      </w:pPr>
      <w:r>
        <w:rPr>
          <w:sz w:val="24"/>
          <w:szCs w:val="24"/>
          <w:spacing w:val="6"/>
        </w:rPr>
        <w:t>图4-6-5滚压、铺草帘并浇水</w:t>
      </w:r>
    </w:p>
    <w:p>
      <w:pPr>
        <w:spacing w:line="219" w:lineRule="auto"/>
        <w:sectPr>
          <w:footerReference w:type="default" r:id="rId181"/>
          <w:pgSz w:w="14490" w:h="20470"/>
          <w:pgMar w:top="1739" w:right="1815" w:bottom="1448" w:left="2150" w:header="0" w:footer="1203" w:gutter="0"/>
        </w:sectPr>
        <w:rPr>
          <w:sz w:val="24"/>
          <w:szCs w:val="24"/>
        </w:rPr>
      </w:pPr>
    </w:p>
    <w:p>
      <w:pPr>
        <w:pStyle w:val="BodyText"/>
        <w:ind w:left="600"/>
        <w:spacing w:before="122" w:line="219" w:lineRule="auto"/>
        <w:rPr>
          <w:sz w:val="29"/>
          <w:szCs w:val="29"/>
        </w:rPr>
      </w:pPr>
      <w:r>
        <w:rPr>
          <w:sz w:val="29"/>
          <w:szCs w:val="29"/>
          <w:spacing w:val="26"/>
        </w:rPr>
        <w:t>3)幼坪管理</w:t>
      </w:r>
    </w:p>
    <w:p>
      <w:pPr>
        <w:pStyle w:val="BodyText"/>
        <w:ind w:left="9" w:firstLine="590"/>
        <w:spacing w:before="157" w:line="311" w:lineRule="auto"/>
        <w:rPr>
          <w:sz w:val="29"/>
          <w:szCs w:val="29"/>
        </w:rPr>
      </w:pPr>
      <w:r>
        <w:rPr>
          <w:sz w:val="29"/>
          <w:szCs w:val="29"/>
        </w:rPr>
        <w:t>补播草坪幼苗期对水分特别敏感，干旱不利于种子萌发，故</w:t>
      </w:r>
      <w:r>
        <w:rPr>
          <w:sz w:val="29"/>
          <w:szCs w:val="29"/>
          <w:spacing w:val="-1"/>
        </w:rPr>
        <w:t>勿必及时灌水。</w:t>
      </w:r>
      <w:r>
        <w:rPr>
          <w:sz w:val="29"/>
          <w:szCs w:val="29"/>
        </w:rPr>
        <w:t xml:space="preserve"> </w:t>
      </w:r>
      <w:r>
        <w:rPr>
          <w:sz w:val="29"/>
          <w:szCs w:val="29"/>
          <w:spacing w:val="-7"/>
        </w:rPr>
        <w:t>发现幼苗颜色变浅、泛黄、生长发育缓慢，则表明缺肥，可薄薄施一次尿素，追完</w:t>
      </w:r>
      <w:r>
        <w:rPr>
          <w:sz w:val="29"/>
          <w:szCs w:val="29"/>
          <w:spacing w:val="15"/>
        </w:rPr>
        <w:t xml:space="preserve"> </w:t>
      </w:r>
      <w:r>
        <w:rPr>
          <w:sz w:val="29"/>
          <w:szCs w:val="29"/>
          <w:spacing w:val="-2"/>
        </w:rPr>
        <w:t>马上浇水，15—20天后再追施高氮低磷中钾的速效</w:t>
      </w:r>
      <w:r>
        <w:rPr>
          <w:sz w:val="29"/>
          <w:szCs w:val="29"/>
          <w:spacing w:val="-3"/>
        </w:rPr>
        <w:t>复混肥一次。当补播幼苗长到8</w:t>
      </w:r>
      <w:r>
        <w:rPr>
          <w:sz w:val="29"/>
          <w:szCs w:val="29"/>
        </w:rPr>
        <w:t xml:space="preserve"> </w:t>
      </w:r>
      <w:r>
        <w:rPr>
          <w:sz w:val="29"/>
          <w:szCs w:val="29"/>
          <w:spacing w:val="-3"/>
        </w:rPr>
        <w:t>—10</w:t>
      </w:r>
      <w:r>
        <w:rPr>
          <w:rFonts w:ascii="Times New Roman" w:hAnsi="Times New Roman" w:eastAsia="Times New Roman" w:cs="Times New Roman"/>
          <w:sz w:val="29"/>
          <w:szCs w:val="29"/>
          <w:spacing w:val="-3"/>
        </w:rPr>
        <w:t>cm</w:t>
      </w:r>
      <w:r>
        <w:rPr>
          <w:sz w:val="29"/>
          <w:szCs w:val="29"/>
          <w:spacing w:val="-3"/>
        </w:rPr>
        <w:t>时，即要进行修剪，新建植的草坪应勤修剪，保持坪</w:t>
      </w:r>
      <w:r>
        <w:rPr>
          <w:sz w:val="29"/>
          <w:szCs w:val="29"/>
          <w:spacing w:val="-4"/>
        </w:rPr>
        <w:t>面整齐美观，增加枝</w:t>
      </w:r>
      <w:r>
        <w:rPr>
          <w:sz w:val="29"/>
          <w:szCs w:val="29"/>
        </w:rPr>
        <w:t xml:space="preserve"> </w:t>
      </w:r>
      <w:r>
        <w:rPr>
          <w:sz w:val="29"/>
          <w:szCs w:val="29"/>
          <w:spacing w:val="-7"/>
        </w:rPr>
        <w:t>条分蘖。夏季补播草坪，应做好病虫害防治工作。</w:t>
      </w:r>
    </w:p>
    <w:p>
      <w:pPr>
        <w:ind w:left="9"/>
        <w:spacing w:before="77" w:line="223" w:lineRule="auto"/>
        <w:rPr>
          <w:rFonts w:ascii="SimHei" w:hAnsi="SimHei" w:eastAsia="SimHei" w:cs="SimHei"/>
          <w:sz w:val="29"/>
          <w:szCs w:val="29"/>
        </w:rPr>
      </w:pPr>
      <w:r>
        <w:rPr>
          <w:rFonts w:ascii="SimHei" w:hAnsi="SimHei" w:eastAsia="SimHei" w:cs="SimHei"/>
          <w:sz w:val="29"/>
          <w:szCs w:val="29"/>
          <w:spacing w:val="3"/>
        </w:rPr>
        <w:t>3、草坪收边</w:t>
      </w:r>
    </w:p>
    <w:p>
      <w:pPr>
        <w:pStyle w:val="BodyText"/>
        <w:ind w:left="740"/>
        <w:spacing w:before="105" w:line="217" w:lineRule="auto"/>
        <w:rPr>
          <w:sz w:val="29"/>
          <w:szCs w:val="29"/>
        </w:rPr>
      </w:pPr>
      <w:r>
        <w:rPr>
          <w:sz w:val="29"/>
          <w:szCs w:val="29"/>
          <w:spacing w:val="-3"/>
        </w:rPr>
        <w:t>①  园路与草皮之间挖5-10</w:t>
      </w:r>
      <w:r>
        <w:rPr>
          <w:rFonts w:ascii="Times New Roman" w:hAnsi="Times New Roman" w:eastAsia="Times New Roman" w:cs="Times New Roman"/>
          <w:sz w:val="29"/>
          <w:szCs w:val="29"/>
          <w:spacing w:val="-3"/>
        </w:rPr>
        <w:t>cm</w:t>
      </w:r>
      <w:r>
        <w:rPr>
          <w:sz w:val="29"/>
          <w:szCs w:val="29"/>
          <w:spacing w:val="-3"/>
        </w:rPr>
        <w:t>宽的水沟，铺放卵石缓冲；</w:t>
      </w:r>
    </w:p>
    <w:p>
      <w:pPr>
        <w:spacing w:before="10" w:line="4290" w:lineRule="exact"/>
        <w:rPr/>
      </w:pPr>
      <w:r>
        <w:rPr>
          <w:position w:val="-85"/>
        </w:rPr>
        <w:drawing>
          <wp:inline distT="0" distB="0" distL="0" distR="0">
            <wp:extent cx="6483313" cy="2724084"/>
            <wp:effectExtent l="0" t="0" r="0" b="0"/>
            <wp:docPr id="256" name="IM 256"/>
            <wp:cNvGraphicFramePr/>
            <a:graphic>
              <a:graphicData uri="http://schemas.openxmlformats.org/drawingml/2006/picture">
                <pic:pic>
                  <pic:nvPicPr>
                    <pic:cNvPr id="256" name="IM 256"/>
                    <pic:cNvPicPr/>
                  </pic:nvPicPr>
                  <pic:blipFill>
                    <a:blip r:embed="rId186"/>
                    <a:stretch>
                      <a:fillRect/>
                    </a:stretch>
                  </pic:blipFill>
                  <pic:spPr>
                    <a:xfrm rot="0">
                      <a:off x="0" y="0"/>
                      <a:ext cx="6483313" cy="2724084"/>
                    </a:xfrm>
                    <a:prstGeom prst="rect">
                      <a:avLst/>
                    </a:prstGeom>
                  </pic:spPr>
                </pic:pic>
              </a:graphicData>
            </a:graphic>
          </wp:inline>
        </w:drawing>
      </w:r>
    </w:p>
    <w:p>
      <w:pPr>
        <w:pStyle w:val="BodyText"/>
        <w:ind w:left="3459"/>
        <w:spacing w:before="120" w:line="219" w:lineRule="auto"/>
        <w:rPr>
          <w:sz w:val="24"/>
          <w:szCs w:val="24"/>
        </w:rPr>
      </w:pPr>
      <w:r>
        <w:rPr>
          <w:sz w:val="24"/>
          <w:szCs w:val="24"/>
          <w:spacing w:val="6"/>
        </w:rPr>
        <w:t>图4-6-6园路与草坪交接处铺卵石</w:t>
      </w:r>
    </w:p>
    <w:p>
      <w:pPr>
        <w:pStyle w:val="BodyText"/>
        <w:ind w:left="750"/>
        <w:spacing w:before="143" w:line="217" w:lineRule="auto"/>
        <w:rPr>
          <w:sz w:val="29"/>
          <w:szCs w:val="29"/>
        </w:rPr>
      </w:pPr>
      <w:r>
        <w:rPr>
          <w:sz w:val="29"/>
          <w:szCs w:val="29"/>
          <w:spacing w:val="2"/>
        </w:rPr>
        <w:t>②  园路与地被交接处露土的，可使用玉龙草、沿阶草、草皮等收边。</w:t>
      </w:r>
    </w:p>
    <w:p>
      <w:pPr>
        <w:ind w:firstLine="9"/>
        <w:spacing w:before="90" w:line="3840" w:lineRule="exact"/>
        <w:rPr/>
      </w:pPr>
      <w:r>
        <w:rPr>
          <w:position w:val="-76"/>
        </w:rPr>
        <w:drawing>
          <wp:inline distT="0" distB="0" distL="0" distR="0">
            <wp:extent cx="6476965" cy="2438379"/>
            <wp:effectExtent l="0" t="0" r="0" b="0"/>
            <wp:docPr id="258" name="IM 258"/>
            <wp:cNvGraphicFramePr/>
            <a:graphic>
              <a:graphicData uri="http://schemas.openxmlformats.org/drawingml/2006/picture">
                <pic:pic>
                  <pic:nvPicPr>
                    <pic:cNvPr id="258" name="IM 258"/>
                    <pic:cNvPicPr/>
                  </pic:nvPicPr>
                  <pic:blipFill>
                    <a:blip r:embed="rId187"/>
                    <a:stretch>
                      <a:fillRect/>
                    </a:stretch>
                  </pic:blipFill>
                  <pic:spPr>
                    <a:xfrm rot="0">
                      <a:off x="0" y="0"/>
                      <a:ext cx="6476965" cy="2438379"/>
                    </a:xfrm>
                    <a:prstGeom prst="rect">
                      <a:avLst/>
                    </a:prstGeom>
                  </pic:spPr>
                </pic:pic>
              </a:graphicData>
            </a:graphic>
          </wp:inline>
        </w:drawing>
      </w:r>
    </w:p>
    <w:p>
      <w:pPr>
        <w:pStyle w:val="BodyText"/>
        <w:ind w:left="3329"/>
        <w:spacing w:before="70" w:line="219" w:lineRule="auto"/>
        <w:rPr>
          <w:sz w:val="24"/>
          <w:szCs w:val="24"/>
        </w:rPr>
      </w:pPr>
      <w:r>
        <w:rPr>
          <w:sz w:val="24"/>
          <w:szCs w:val="24"/>
          <w:spacing w:val="5"/>
        </w:rPr>
        <w:t>图4-6-7利用玉龙草、草皮过渡</w:t>
      </w:r>
    </w:p>
    <w:p>
      <w:pPr>
        <w:pStyle w:val="BodyText"/>
        <w:ind w:left="9"/>
        <w:spacing w:before="157" w:line="222" w:lineRule="auto"/>
        <w:rPr>
          <w:rFonts w:ascii="FangSong" w:hAnsi="FangSong" w:eastAsia="FangSong" w:cs="FangSong"/>
          <w:sz w:val="32"/>
          <w:szCs w:val="32"/>
        </w:rPr>
      </w:pPr>
      <w:r>
        <w:rPr>
          <w:rFonts w:ascii="Times New Roman" w:hAnsi="Times New Roman" w:eastAsia="Times New Roman" w:cs="Times New Roman"/>
          <w:sz w:val="32"/>
          <w:szCs w:val="32"/>
          <w:spacing w:val="-13"/>
        </w:rPr>
        <w:t>4</w:t>
      </w:r>
      <w:r>
        <w:rPr>
          <w:sz w:val="32"/>
          <w:szCs w:val="32"/>
          <w:spacing w:val="-13"/>
        </w:rPr>
        <w:t>、</w:t>
      </w:r>
      <w:r>
        <w:rPr>
          <w:rFonts w:ascii="FangSong" w:hAnsi="FangSong" w:eastAsia="FangSong" w:cs="FangSong"/>
          <w:sz w:val="32"/>
          <w:szCs w:val="32"/>
          <w:spacing w:val="-13"/>
        </w:rPr>
        <w:t>防护</w:t>
      </w:r>
    </w:p>
    <w:p>
      <w:pPr>
        <w:pStyle w:val="BodyText"/>
        <w:ind w:left="9" w:right="61" w:firstLine="590"/>
        <w:spacing w:before="177" w:line="313" w:lineRule="auto"/>
        <w:jc w:val="both"/>
        <w:rPr>
          <w:sz w:val="29"/>
          <w:szCs w:val="29"/>
        </w:rPr>
      </w:pPr>
      <w:r>
        <w:rPr>
          <w:sz w:val="29"/>
          <w:szCs w:val="29"/>
          <w:spacing w:val="-1"/>
        </w:rPr>
        <w:t>为避免外来因素对新植草坪的破坏，可在新植草坪处摆放“养护进行中”标</w:t>
      </w:r>
      <w:r>
        <w:rPr>
          <w:sz w:val="29"/>
          <w:szCs w:val="29"/>
          <w:spacing w:val="17"/>
        </w:rPr>
        <w:t xml:space="preserve"> </w:t>
      </w:r>
      <w:r>
        <w:rPr>
          <w:sz w:val="29"/>
          <w:szCs w:val="29"/>
        </w:rPr>
        <w:t>识提醒人员不进入养护期间的草坪，必要时可</w:t>
      </w:r>
      <w:r>
        <w:rPr>
          <w:sz w:val="29"/>
          <w:szCs w:val="29"/>
          <w:spacing w:val="-1"/>
        </w:rPr>
        <w:t>设置警戒带或其他方法对补植、补</w:t>
      </w:r>
      <w:r>
        <w:rPr>
          <w:sz w:val="29"/>
          <w:szCs w:val="29"/>
        </w:rPr>
        <w:t xml:space="preserve"> </w:t>
      </w:r>
      <w:r>
        <w:rPr>
          <w:sz w:val="29"/>
          <w:szCs w:val="29"/>
        </w:rPr>
        <w:t>播区域进行隔离，以保证新植草皮的成活率和平整度。</w:t>
      </w:r>
    </w:p>
    <w:p>
      <w:pPr>
        <w:spacing w:line="313" w:lineRule="auto"/>
        <w:sectPr>
          <w:footerReference w:type="default" r:id="rId185"/>
          <w:pgSz w:w="14490" w:h="20470"/>
          <w:pgMar w:top="1739" w:right="2132" w:bottom="1459" w:left="2140" w:header="0" w:footer="1200" w:gutter="0"/>
        </w:sectPr>
        <w:rPr>
          <w:sz w:val="29"/>
          <w:szCs w:val="29"/>
        </w:rPr>
      </w:pPr>
    </w:p>
    <w:p>
      <w:pPr>
        <w:spacing w:before="179" w:line="221" w:lineRule="auto"/>
        <w:outlineLvl w:val="1"/>
        <w:rPr>
          <w:rFonts w:ascii="SimHei" w:hAnsi="SimHei" w:eastAsia="SimHei" w:cs="SimHei"/>
          <w:sz w:val="29"/>
          <w:szCs w:val="29"/>
        </w:rPr>
      </w:pPr>
      <w:bookmarkStart w:name="bookmark28" w:id="49"/>
      <w:bookmarkEnd w:id="49"/>
      <w:r>
        <w:rPr>
          <w:rFonts w:ascii="SimHei" w:hAnsi="SimHei" w:eastAsia="SimHei" w:cs="SimHei"/>
          <w:sz w:val="29"/>
          <w:szCs w:val="29"/>
          <w:spacing w:val="2"/>
        </w:rPr>
        <w:t>七、除杂草</w:t>
      </w:r>
    </w:p>
    <w:p>
      <w:pPr>
        <w:pStyle w:val="BodyText"/>
        <w:spacing w:before="140" w:line="222" w:lineRule="auto"/>
        <w:rPr>
          <w:rFonts w:ascii="FangSong" w:hAnsi="FangSong" w:eastAsia="FangSong" w:cs="FangSong"/>
          <w:sz w:val="32"/>
          <w:szCs w:val="32"/>
        </w:rPr>
      </w:pPr>
      <w:bookmarkStart w:name="bookmark100" w:id="50"/>
      <w:bookmarkEnd w:id="50"/>
      <w:r>
        <w:rPr>
          <w:rFonts w:ascii="Times New Roman" w:hAnsi="Times New Roman" w:eastAsia="Times New Roman" w:cs="Times New Roman"/>
          <w:sz w:val="32"/>
          <w:szCs w:val="32"/>
          <w:b/>
          <w:bCs/>
          <w:spacing w:val="-24"/>
        </w:rPr>
        <w:t>1</w:t>
      </w:r>
      <w:r>
        <w:rPr>
          <w:sz w:val="32"/>
          <w:szCs w:val="32"/>
          <w:b/>
          <w:bCs/>
          <w:spacing w:val="-24"/>
        </w:rPr>
        <w:t>、</w:t>
      </w:r>
      <w:r>
        <w:rPr>
          <w:rFonts w:ascii="FangSong" w:hAnsi="FangSong" w:eastAsia="FangSong" w:cs="FangSong"/>
          <w:sz w:val="32"/>
          <w:szCs w:val="32"/>
          <w:b/>
          <w:bCs/>
          <w:spacing w:val="-24"/>
        </w:rPr>
        <w:t>人工除杂草</w:t>
      </w:r>
    </w:p>
    <w:p>
      <w:pPr>
        <w:pStyle w:val="BodyText"/>
        <w:ind w:left="570"/>
        <w:spacing w:before="140" w:line="219" w:lineRule="auto"/>
        <w:rPr>
          <w:sz w:val="29"/>
          <w:szCs w:val="29"/>
        </w:rPr>
      </w:pPr>
      <w:r>
        <w:rPr>
          <w:sz w:val="29"/>
          <w:szCs w:val="29"/>
          <w:spacing w:val="1"/>
        </w:rPr>
        <w:t>人工除杂草要彻底，不留草根，除草后形成一些局部斑块，应尽快补植。</w:t>
      </w:r>
    </w:p>
    <w:p>
      <w:pPr>
        <w:spacing w:before="160" w:line="222" w:lineRule="auto"/>
        <w:rPr>
          <w:rFonts w:ascii="FangSong" w:hAnsi="FangSong" w:eastAsia="FangSong" w:cs="FangSong"/>
          <w:sz w:val="32"/>
          <w:szCs w:val="32"/>
        </w:rPr>
      </w:pPr>
      <w:r>
        <w:rPr>
          <w:rFonts w:ascii="FangSong" w:hAnsi="FangSong" w:eastAsia="FangSong" w:cs="FangSong"/>
          <w:sz w:val="32"/>
          <w:szCs w:val="32"/>
          <w:spacing w:val="-22"/>
        </w:rPr>
        <w:t>2、</w:t>
      </w:r>
      <w:r>
        <w:rPr>
          <w:rFonts w:ascii="FangSong" w:hAnsi="FangSong" w:eastAsia="FangSong" w:cs="FangSong"/>
          <w:sz w:val="32"/>
          <w:szCs w:val="32"/>
          <w:b/>
          <w:bCs/>
          <w:spacing w:val="-22"/>
        </w:rPr>
        <w:t>化学除草剂</w:t>
      </w:r>
    </w:p>
    <w:p>
      <w:pPr>
        <w:pStyle w:val="BodyText"/>
        <w:ind w:right="124" w:firstLine="509"/>
        <w:spacing w:before="144" w:line="315" w:lineRule="auto"/>
        <w:jc w:val="both"/>
        <w:rPr>
          <w:sz w:val="29"/>
          <w:szCs w:val="29"/>
        </w:rPr>
      </w:pPr>
      <w:r>
        <w:drawing>
          <wp:anchor distT="0" distB="0" distL="0" distR="0" simplePos="0" relativeHeight="251896832" behindDoc="0" locked="0" layoutInCell="1" allowOverlap="1">
            <wp:simplePos x="0" y="0"/>
            <wp:positionH relativeFrom="column">
              <wp:posOffset>3371853</wp:posOffset>
            </wp:positionH>
            <wp:positionV relativeFrom="paragraph">
              <wp:posOffset>1369736</wp:posOffset>
            </wp:positionV>
            <wp:extent cx="2997182" cy="2089240"/>
            <wp:effectExtent l="0" t="0" r="0" b="0"/>
            <wp:wrapNone/>
            <wp:docPr id="260" name="IM 260"/>
            <wp:cNvGraphicFramePr/>
            <a:graphic>
              <a:graphicData uri="http://schemas.openxmlformats.org/drawingml/2006/picture">
                <pic:pic>
                  <pic:nvPicPr>
                    <pic:cNvPr id="260" name="IM 260"/>
                    <pic:cNvPicPr/>
                  </pic:nvPicPr>
                  <pic:blipFill>
                    <a:blip r:embed="rId189"/>
                    <a:stretch>
                      <a:fillRect/>
                    </a:stretch>
                  </pic:blipFill>
                  <pic:spPr>
                    <a:xfrm rot="0">
                      <a:off x="0" y="0"/>
                      <a:ext cx="2997182" cy="2089240"/>
                    </a:xfrm>
                    <a:prstGeom prst="rect">
                      <a:avLst/>
                    </a:prstGeom>
                  </pic:spPr>
                </pic:pic>
              </a:graphicData>
            </a:graphic>
          </wp:anchor>
        </w:drawing>
      </w:r>
      <w:r>
        <w:rPr>
          <w:sz w:val="29"/>
          <w:szCs w:val="29"/>
          <w:spacing w:val="5"/>
        </w:rPr>
        <w:t>化学药剂，如2,4-</w:t>
      </w:r>
      <w:r>
        <w:rPr>
          <w:rFonts w:ascii="Times New Roman" w:hAnsi="Times New Roman" w:eastAsia="Times New Roman" w:cs="Times New Roman"/>
          <w:sz w:val="29"/>
          <w:szCs w:val="29"/>
          <w:spacing w:val="5"/>
        </w:rPr>
        <w:t>D</w:t>
      </w:r>
      <w:r>
        <w:rPr>
          <w:sz w:val="29"/>
          <w:szCs w:val="29"/>
          <w:spacing w:val="5"/>
        </w:rPr>
        <w:t>类，二甲四氯类等可去除杂</w:t>
      </w:r>
      <w:r>
        <w:rPr>
          <w:sz w:val="29"/>
          <w:szCs w:val="29"/>
          <w:spacing w:val="4"/>
        </w:rPr>
        <w:t>草，但须严格按使用程序和</w:t>
      </w:r>
      <w:r>
        <w:rPr>
          <w:sz w:val="29"/>
          <w:szCs w:val="29"/>
        </w:rPr>
        <w:t xml:space="preserve"> </w:t>
      </w:r>
      <w:r>
        <w:rPr>
          <w:sz w:val="29"/>
          <w:szCs w:val="29"/>
          <w:spacing w:val="-8"/>
        </w:rPr>
        <w:t>施用剂量，控制使用范围，勿将除草剂喷洒到其它的树木、灌木、花卉。一般小区</w:t>
      </w:r>
      <w:r>
        <w:rPr>
          <w:sz w:val="29"/>
          <w:szCs w:val="29"/>
          <w:spacing w:val="11"/>
        </w:rPr>
        <w:t xml:space="preserve"> </w:t>
      </w:r>
      <w:r>
        <w:rPr>
          <w:sz w:val="29"/>
          <w:szCs w:val="29"/>
          <w:spacing w:val="-9"/>
        </w:rPr>
        <w:t>内谨慎选用化学除草剂，即使选用也仅在草坪苗较健壮以后使用，并小范围</w:t>
      </w:r>
      <w:r>
        <w:rPr>
          <w:sz w:val="29"/>
          <w:szCs w:val="29"/>
          <w:spacing w:val="-10"/>
        </w:rPr>
        <w:t>先做实</w:t>
      </w:r>
      <w:r>
        <w:rPr>
          <w:sz w:val="29"/>
          <w:szCs w:val="29"/>
        </w:rPr>
        <w:t xml:space="preserve"> </w:t>
      </w:r>
      <w:r>
        <w:rPr>
          <w:sz w:val="29"/>
          <w:szCs w:val="29"/>
          <w:spacing w:val="-6"/>
        </w:rPr>
        <w:t>验。</w:t>
      </w:r>
    </w:p>
    <w:p>
      <w:pPr>
        <w:ind w:firstLine="109"/>
        <w:spacing w:before="35" w:line="3300" w:lineRule="exact"/>
        <w:rPr/>
      </w:pPr>
      <w:r>
        <w:rPr>
          <w:position w:val="-66"/>
        </w:rPr>
        <w:drawing>
          <wp:inline distT="0" distB="0" distL="0" distR="0">
            <wp:extent cx="3200436" cy="2095610"/>
            <wp:effectExtent l="0" t="0" r="0" b="0"/>
            <wp:docPr id="262" name="IM 262"/>
            <wp:cNvGraphicFramePr/>
            <a:graphic>
              <a:graphicData uri="http://schemas.openxmlformats.org/drawingml/2006/picture">
                <pic:pic>
                  <pic:nvPicPr>
                    <pic:cNvPr id="262" name="IM 262"/>
                    <pic:cNvPicPr/>
                  </pic:nvPicPr>
                  <pic:blipFill>
                    <a:blip r:embed="rId190"/>
                    <a:stretch>
                      <a:fillRect/>
                    </a:stretch>
                  </pic:blipFill>
                  <pic:spPr>
                    <a:xfrm rot="0">
                      <a:off x="0" y="0"/>
                      <a:ext cx="3200436" cy="2095610"/>
                    </a:xfrm>
                    <a:prstGeom prst="rect">
                      <a:avLst/>
                    </a:prstGeom>
                  </pic:spPr>
                </pic:pic>
              </a:graphicData>
            </a:graphic>
          </wp:inline>
        </w:drawing>
      </w:r>
    </w:p>
    <w:p>
      <w:pPr>
        <w:pStyle w:val="BodyText"/>
        <w:ind w:left="4560"/>
        <w:spacing w:before="160" w:line="219" w:lineRule="auto"/>
        <w:rPr>
          <w:sz w:val="24"/>
          <w:szCs w:val="24"/>
        </w:rPr>
      </w:pPr>
      <w:r>
        <w:rPr>
          <w:sz w:val="24"/>
          <w:szCs w:val="24"/>
          <w:spacing w:val="1"/>
        </w:rPr>
        <w:t>图4-7-1除杂草</w:t>
      </w:r>
    </w:p>
    <w:p>
      <w:pPr>
        <w:pStyle w:val="BodyText"/>
        <w:ind w:left="4"/>
        <w:spacing w:before="131" w:line="219" w:lineRule="auto"/>
        <w:outlineLvl w:val="1"/>
        <w:rPr>
          <w:sz w:val="29"/>
          <w:szCs w:val="29"/>
        </w:rPr>
      </w:pPr>
      <w:bookmarkStart w:name="bookmark29" w:id="51"/>
      <w:bookmarkEnd w:id="51"/>
      <w:r>
        <w:rPr>
          <w:sz w:val="29"/>
          <w:szCs w:val="29"/>
          <w:b/>
          <w:bCs/>
          <w:spacing w:val="-3"/>
        </w:rPr>
        <w:t>八、施肥</w:t>
      </w:r>
    </w:p>
    <w:p>
      <w:pPr>
        <w:spacing w:before="202" w:line="220" w:lineRule="auto"/>
        <w:rPr>
          <w:rFonts w:ascii="FangSong" w:hAnsi="FangSong" w:eastAsia="FangSong" w:cs="FangSong"/>
          <w:sz w:val="29"/>
          <w:szCs w:val="29"/>
        </w:rPr>
      </w:pPr>
      <w:r>
        <w:rPr>
          <w:rFonts w:ascii="FangSong" w:hAnsi="FangSong" w:eastAsia="FangSong" w:cs="FangSong"/>
          <w:sz w:val="29"/>
          <w:szCs w:val="29"/>
        </w:rPr>
        <w:t>1、</w:t>
      </w:r>
      <w:r>
        <w:rPr>
          <w:rFonts w:ascii="FangSong" w:hAnsi="FangSong" w:eastAsia="FangSong" w:cs="FangSong"/>
          <w:sz w:val="29"/>
          <w:szCs w:val="29"/>
          <w:b/>
          <w:bCs/>
        </w:rPr>
        <w:t>草皮常用肥料</w:t>
      </w:r>
    </w:p>
    <w:p>
      <w:pPr>
        <w:pStyle w:val="BodyText"/>
        <w:ind w:right="173" w:firstLine="570"/>
        <w:spacing w:before="152" w:line="272" w:lineRule="auto"/>
        <w:rPr>
          <w:sz w:val="29"/>
          <w:szCs w:val="29"/>
        </w:rPr>
      </w:pPr>
      <w:r>
        <w:rPr>
          <w:sz w:val="29"/>
          <w:szCs w:val="29"/>
          <w:spacing w:val="8"/>
        </w:rPr>
        <w:t>1)无机复合肥：常用硫酸钾复合肥、氯化钾复合肥、硝酸钾复合肥等，能</w:t>
      </w:r>
      <w:r>
        <w:rPr>
          <w:sz w:val="29"/>
          <w:szCs w:val="29"/>
        </w:rPr>
        <w:t xml:space="preserve"> </w:t>
      </w:r>
      <w:r>
        <w:rPr>
          <w:sz w:val="29"/>
          <w:szCs w:val="29"/>
        </w:rPr>
        <w:t>均衡供应草坪需要的营养元素，增加草坪的抗逆性；</w:t>
      </w:r>
    </w:p>
    <w:p>
      <w:pPr>
        <w:pStyle w:val="BodyText"/>
        <w:ind w:right="119" w:firstLine="570"/>
        <w:spacing w:before="166" w:line="289" w:lineRule="auto"/>
        <w:rPr>
          <w:sz w:val="29"/>
          <w:szCs w:val="29"/>
        </w:rPr>
      </w:pPr>
      <w:r>
        <w:rPr>
          <w:sz w:val="29"/>
          <w:szCs w:val="29"/>
          <w:spacing w:val="8"/>
        </w:rPr>
        <w:t>2)有机复合肥：常用有机复合肥含黄腐酸类、氨基酸类、腐植酸类或</w:t>
      </w:r>
      <w:r>
        <w:rPr>
          <w:sz w:val="29"/>
          <w:szCs w:val="29"/>
          <w:spacing w:val="7"/>
        </w:rPr>
        <w:t>由菜</w:t>
      </w:r>
      <w:r>
        <w:rPr>
          <w:sz w:val="29"/>
          <w:szCs w:val="29"/>
        </w:rPr>
        <w:t xml:space="preserve"> </w:t>
      </w:r>
      <w:r>
        <w:rPr>
          <w:sz w:val="29"/>
          <w:szCs w:val="29"/>
          <w:spacing w:val="-8"/>
        </w:rPr>
        <w:t>籽饼或菜籽粕、花生饼或花生粕、豆饼或豆粕、畜禽粪及农作物秸杆等合成的成品</w:t>
      </w:r>
      <w:r>
        <w:rPr>
          <w:sz w:val="29"/>
          <w:szCs w:val="29"/>
          <w:spacing w:val="15"/>
        </w:rPr>
        <w:t xml:space="preserve"> </w:t>
      </w:r>
      <w:r>
        <w:rPr>
          <w:sz w:val="29"/>
          <w:szCs w:val="29"/>
        </w:rPr>
        <w:t>袋装颗粒有机复合肥，能帮助增加土壤富含有机质</w:t>
      </w:r>
      <w:r>
        <w:rPr>
          <w:sz w:val="29"/>
          <w:szCs w:val="29"/>
          <w:spacing w:val="-1"/>
        </w:rPr>
        <w:t>及有益微生物含量，改善土壤</w:t>
      </w:r>
      <w:r>
        <w:rPr>
          <w:sz w:val="29"/>
          <w:szCs w:val="29"/>
        </w:rPr>
        <w:t xml:space="preserve"> </w:t>
      </w:r>
      <w:r>
        <w:rPr>
          <w:sz w:val="29"/>
          <w:szCs w:val="29"/>
          <w:spacing w:val="-2"/>
        </w:rPr>
        <w:t>结构，提高草坪抗病虫性及品质；</w:t>
      </w:r>
    </w:p>
    <w:p>
      <w:pPr>
        <w:pStyle w:val="BodyText"/>
        <w:ind w:firstLine="570"/>
        <w:spacing w:before="133" w:line="285" w:lineRule="auto"/>
        <w:rPr>
          <w:sz w:val="29"/>
          <w:szCs w:val="29"/>
        </w:rPr>
      </w:pPr>
      <w:r>
        <w:rPr>
          <w:sz w:val="29"/>
          <w:szCs w:val="29"/>
          <w:spacing w:val="12"/>
        </w:rPr>
        <w:t>3)草坪专用肥：是专业为各种草坪设计的肥料。含有机类、无机类以及有</w:t>
      </w:r>
      <w:r>
        <w:rPr>
          <w:sz w:val="29"/>
          <w:szCs w:val="29"/>
          <w:spacing w:val="7"/>
        </w:rPr>
        <w:t xml:space="preserve"> </w:t>
      </w:r>
      <w:r>
        <w:rPr>
          <w:sz w:val="29"/>
          <w:szCs w:val="29"/>
          <w:spacing w:val="4"/>
        </w:rPr>
        <w:t>机无机相结合的专用复合肥类型。按型号分为控释型、缓释型、速效型、</w:t>
      </w:r>
      <w:r>
        <w:rPr>
          <w:sz w:val="29"/>
          <w:szCs w:val="29"/>
          <w:spacing w:val="3"/>
        </w:rPr>
        <w:t>有机型</w:t>
      </w:r>
      <w:r>
        <w:rPr>
          <w:sz w:val="29"/>
          <w:szCs w:val="29"/>
        </w:rPr>
        <w:t xml:space="preserve"> </w:t>
      </w:r>
      <w:r>
        <w:rPr>
          <w:sz w:val="29"/>
          <w:szCs w:val="29"/>
          <w:spacing w:val="-6"/>
        </w:rPr>
        <w:t>等，因是专业为各类草坪设计的肥料种类，所以效果更为明显，性价比也更高；</w:t>
      </w:r>
    </w:p>
    <w:p>
      <w:pPr>
        <w:pStyle w:val="BodyText"/>
        <w:ind w:right="146" w:firstLine="570"/>
        <w:spacing w:before="160" w:line="268" w:lineRule="auto"/>
        <w:rPr>
          <w:sz w:val="29"/>
          <w:szCs w:val="29"/>
        </w:rPr>
      </w:pPr>
      <w:r>
        <w:rPr>
          <w:sz w:val="29"/>
          <w:szCs w:val="29"/>
          <w:spacing w:val="9"/>
        </w:rPr>
        <w:t>4)草坪专用叶面肥：治疗草坪缺素病、复壮及日常养护时</w:t>
      </w:r>
      <w:r>
        <w:rPr>
          <w:sz w:val="29"/>
          <w:szCs w:val="29"/>
          <w:spacing w:val="8"/>
        </w:rPr>
        <w:t>使用。叶面肥只</w:t>
      </w:r>
      <w:r>
        <w:rPr>
          <w:sz w:val="29"/>
          <w:szCs w:val="29"/>
        </w:rPr>
        <w:t xml:space="preserve"> </w:t>
      </w:r>
      <w:r>
        <w:rPr>
          <w:sz w:val="29"/>
          <w:szCs w:val="29"/>
        </w:rPr>
        <w:t>有与根部追肥配合使用才会起到事半功倍的效果；</w:t>
      </w:r>
    </w:p>
    <w:p>
      <w:pPr>
        <w:pStyle w:val="BodyText"/>
        <w:ind w:left="570"/>
        <w:spacing w:before="136" w:line="219" w:lineRule="auto"/>
        <w:rPr>
          <w:sz w:val="29"/>
          <w:szCs w:val="29"/>
        </w:rPr>
      </w:pPr>
      <w:r>
        <w:rPr>
          <w:sz w:val="29"/>
          <w:szCs w:val="29"/>
          <w:spacing w:val="17"/>
        </w:rPr>
        <w:t>5)氮肥：常用尿素、碳铵等(一般配合其他元素，较少单独使用);</w:t>
      </w:r>
    </w:p>
    <w:p>
      <w:pPr>
        <w:pStyle w:val="BodyText"/>
        <w:ind w:right="171" w:firstLine="570"/>
        <w:spacing w:before="158" w:line="261" w:lineRule="auto"/>
        <w:rPr>
          <w:rFonts w:ascii="Times New Roman" w:hAnsi="Times New Roman" w:eastAsia="Times New Roman" w:cs="Times New Roman"/>
          <w:sz w:val="29"/>
          <w:szCs w:val="29"/>
        </w:rPr>
      </w:pPr>
      <w:r>
        <w:rPr>
          <w:sz w:val="29"/>
          <w:szCs w:val="29"/>
          <w:spacing w:val="8"/>
        </w:rPr>
        <w:t>6)磷肥：除治疗缺素病外一般很少单独使用，约2—3年一</w:t>
      </w:r>
      <w:r>
        <w:rPr>
          <w:sz w:val="29"/>
          <w:szCs w:val="29"/>
          <w:spacing w:val="7"/>
        </w:rPr>
        <w:t>次，每次春季时</w:t>
      </w:r>
      <w:r>
        <w:rPr>
          <w:sz w:val="29"/>
          <w:szCs w:val="29"/>
        </w:rPr>
        <w:t xml:space="preserve"> </w:t>
      </w:r>
      <w:r>
        <w:rPr>
          <w:sz w:val="29"/>
          <w:szCs w:val="29"/>
          <w:spacing w:val="-7"/>
        </w:rPr>
        <w:t>撒施5</w:t>
      </w:r>
      <w:r>
        <w:rPr>
          <w:rFonts w:ascii="Times New Roman" w:hAnsi="Times New Roman" w:eastAsia="Times New Roman" w:cs="Times New Roman"/>
          <w:sz w:val="29"/>
          <w:szCs w:val="29"/>
          <w:spacing w:val="-7"/>
        </w:rPr>
        <w:t>g/m²;</w:t>
      </w:r>
    </w:p>
    <w:p>
      <w:pPr>
        <w:pStyle w:val="BodyText"/>
        <w:ind w:left="570"/>
        <w:spacing w:before="148" w:line="219" w:lineRule="auto"/>
        <w:rPr>
          <w:sz w:val="29"/>
          <w:szCs w:val="29"/>
        </w:rPr>
      </w:pPr>
      <w:r>
        <w:rPr>
          <w:sz w:val="29"/>
          <w:szCs w:val="29"/>
          <w:spacing w:val="6"/>
        </w:rPr>
        <w:t>7)磷酸二氢钾：植物缺磷钾时作叶面肥使用，亦可</w:t>
      </w:r>
      <w:r>
        <w:rPr>
          <w:sz w:val="29"/>
          <w:szCs w:val="29"/>
          <w:spacing w:val="5"/>
        </w:rPr>
        <w:t>按比例稀释后灌根；</w:t>
      </w:r>
    </w:p>
    <w:p>
      <w:pPr>
        <w:spacing w:line="219" w:lineRule="auto"/>
        <w:sectPr>
          <w:footerReference w:type="default" r:id="rId188"/>
          <w:pgSz w:w="14490" w:h="20470"/>
          <w:pgMar w:top="1739" w:right="2051" w:bottom="1480" w:left="2150" w:header="0" w:footer="1194" w:gutter="0"/>
        </w:sectPr>
        <w:rPr>
          <w:sz w:val="29"/>
          <w:szCs w:val="29"/>
        </w:rPr>
      </w:pPr>
    </w:p>
    <w:p>
      <w:pPr>
        <w:pStyle w:val="BodyText"/>
        <w:ind w:left="19" w:right="47" w:firstLine="580"/>
        <w:spacing w:before="121" w:line="279" w:lineRule="auto"/>
        <w:rPr>
          <w:sz w:val="29"/>
          <w:szCs w:val="29"/>
        </w:rPr>
      </w:pPr>
      <w:r>
        <w:rPr>
          <w:sz w:val="29"/>
          <w:szCs w:val="29"/>
          <w:spacing w:val="8"/>
        </w:rPr>
        <w:t>8)有益菌类复合肥：主要作用为改良、疏松土质，将生土层中不利于被植</w:t>
      </w:r>
      <w:r>
        <w:rPr>
          <w:sz w:val="29"/>
          <w:szCs w:val="29"/>
          <w:spacing w:val="7"/>
        </w:rPr>
        <w:t xml:space="preserve"> </w:t>
      </w:r>
      <w:r>
        <w:rPr>
          <w:sz w:val="29"/>
          <w:szCs w:val="29"/>
          <w:spacing w:val="4"/>
        </w:rPr>
        <w:t>物吸收到大中微量元素转变成利于植物里用的元素</w:t>
      </w:r>
      <w:r>
        <w:rPr>
          <w:sz w:val="29"/>
          <w:szCs w:val="29"/>
          <w:spacing w:val="3"/>
        </w:rPr>
        <w:t>(施用在富含有机质的粘性土</w:t>
      </w:r>
      <w:r>
        <w:rPr>
          <w:sz w:val="29"/>
          <w:szCs w:val="29"/>
        </w:rPr>
        <w:t xml:space="preserve"> </w:t>
      </w:r>
      <w:r>
        <w:rPr>
          <w:sz w:val="29"/>
          <w:szCs w:val="29"/>
          <w:spacing w:val="18"/>
        </w:rPr>
        <w:t>质中效果明显);</w:t>
      </w:r>
    </w:p>
    <w:p>
      <w:pPr>
        <w:pStyle w:val="BodyText"/>
        <w:ind w:left="19" w:right="36" w:firstLine="580"/>
        <w:spacing w:before="175" w:line="279" w:lineRule="auto"/>
        <w:rPr>
          <w:sz w:val="29"/>
          <w:szCs w:val="29"/>
        </w:rPr>
      </w:pPr>
      <w:r>
        <w:rPr>
          <w:sz w:val="29"/>
          <w:szCs w:val="29"/>
          <w:spacing w:val="9"/>
        </w:rPr>
        <w:t>9)微肥：如钙、镁、硫、铁、锌、锰、钼、</w:t>
      </w:r>
      <w:r>
        <w:rPr>
          <w:sz w:val="29"/>
          <w:szCs w:val="29"/>
          <w:spacing w:val="8"/>
        </w:rPr>
        <w:t>硼等元素缺失在养护中较为少</w:t>
      </w:r>
      <w:r>
        <w:rPr>
          <w:sz w:val="29"/>
          <w:szCs w:val="29"/>
        </w:rPr>
        <w:t xml:space="preserve"> </w:t>
      </w:r>
      <w:r>
        <w:rPr>
          <w:sz w:val="29"/>
          <w:szCs w:val="29"/>
          <w:spacing w:val="-9"/>
        </w:rPr>
        <w:t>见，可通过叶面喷施及灌根来解除缺素病。如使</w:t>
      </w:r>
      <w:r>
        <w:rPr>
          <w:sz w:val="29"/>
          <w:szCs w:val="29"/>
          <w:spacing w:val="-10"/>
        </w:rPr>
        <w:t>用螯合铁、螯合钙、螯合锌、螯合</w:t>
      </w:r>
      <w:r>
        <w:rPr>
          <w:sz w:val="29"/>
          <w:szCs w:val="29"/>
        </w:rPr>
        <w:t xml:space="preserve"> </w:t>
      </w:r>
      <w:r>
        <w:rPr>
          <w:sz w:val="29"/>
          <w:szCs w:val="29"/>
          <w:spacing w:val="-2"/>
        </w:rPr>
        <w:t>硼、螯合锰、硫酸亚铁等；</w:t>
      </w:r>
    </w:p>
    <w:p>
      <w:pPr>
        <w:pStyle w:val="BodyText"/>
        <w:ind w:left="19" w:right="48" w:firstLine="580"/>
        <w:spacing w:before="155" w:line="268" w:lineRule="auto"/>
        <w:rPr>
          <w:sz w:val="29"/>
          <w:szCs w:val="29"/>
        </w:rPr>
      </w:pPr>
      <w:r>
        <w:rPr>
          <w:sz w:val="29"/>
          <w:szCs w:val="29"/>
          <w:spacing w:val="4"/>
        </w:rPr>
        <w:t>10)土壤改良剂：如各种有机或无机松土肥、土壤疏松</w:t>
      </w:r>
      <w:r>
        <w:rPr>
          <w:sz w:val="29"/>
          <w:szCs w:val="29"/>
          <w:spacing w:val="3"/>
        </w:rPr>
        <w:t>剂主要针对于粘性土</w:t>
      </w:r>
      <w:r>
        <w:rPr>
          <w:sz w:val="29"/>
          <w:szCs w:val="29"/>
        </w:rPr>
        <w:t xml:space="preserve"> </w:t>
      </w:r>
      <w:r>
        <w:rPr>
          <w:sz w:val="29"/>
          <w:szCs w:val="29"/>
          <w:spacing w:val="-3"/>
        </w:rPr>
        <w:t>使用。另外还有酸性土改良剂、碱性土改良剂用于改良土壤酸碱度。</w:t>
      </w:r>
    </w:p>
    <w:p>
      <w:pPr>
        <w:ind w:left="19"/>
        <w:spacing w:before="148" w:line="220" w:lineRule="auto"/>
        <w:rPr>
          <w:rFonts w:ascii="FangSong" w:hAnsi="FangSong" w:eastAsia="FangSong" w:cs="FangSong"/>
          <w:sz w:val="30"/>
          <w:szCs w:val="30"/>
        </w:rPr>
      </w:pPr>
      <w:r>
        <w:rPr>
          <w:rFonts w:ascii="FangSong" w:hAnsi="FangSong" w:eastAsia="FangSong" w:cs="FangSong"/>
          <w:sz w:val="30"/>
          <w:szCs w:val="30"/>
          <w:spacing w:val="-6"/>
        </w:rPr>
        <w:t>2、</w:t>
      </w:r>
      <w:r>
        <w:rPr>
          <w:rFonts w:ascii="FangSong" w:hAnsi="FangSong" w:eastAsia="FangSong" w:cs="FangSong"/>
          <w:sz w:val="30"/>
          <w:szCs w:val="30"/>
          <w:b/>
          <w:bCs/>
          <w:spacing w:val="-6"/>
        </w:rPr>
        <w:t>肥料施用</w:t>
      </w:r>
    </w:p>
    <w:p>
      <w:pPr>
        <w:pStyle w:val="BodyText"/>
        <w:ind w:left="600"/>
        <w:spacing w:before="170" w:line="219" w:lineRule="auto"/>
        <w:rPr>
          <w:sz w:val="29"/>
          <w:szCs w:val="29"/>
        </w:rPr>
      </w:pPr>
      <w:r>
        <w:rPr>
          <w:sz w:val="29"/>
          <w:szCs w:val="29"/>
          <w:spacing w:val="11"/>
        </w:rPr>
        <w:t>1)根据气候、气温施肥</w:t>
      </w:r>
    </w:p>
    <w:p>
      <w:pPr>
        <w:pStyle w:val="BodyText"/>
        <w:ind w:left="19" w:right="35" w:firstLine="720"/>
        <w:spacing w:before="160" w:line="286" w:lineRule="auto"/>
        <w:rPr>
          <w:rFonts w:ascii="Times New Roman" w:hAnsi="Times New Roman" w:eastAsia="Times New Roman" w:cs="Times New Roman"/>
          <w:sz w:val="29"/>
          <w:szCs w:val="29"/>
        </w:rPr>
      </w:pPr>
      <w:r>
        <w:rPr>
          <w:sz w:val="29"/>
          <w:szCs w:val="29"/>
          <w:spacing w:val="11"/>
        </w:rPr>
        <w:t>(1)3—5月(15—25℃):当草坪解除休眠后，华中、华南地区施1—2次高</w:t>
      </w:r>
      <w:r>
        <w:rPr>
          <w:sz w:val="29"/>
          <w:szCs w:val="29"/>
          <w:spacing w:val="3"/>
        </w:rPr>
        <w:t xml:space="preserve"> </w:t>
      </w:r>
      <w:r>
        <w:rPr>
          <w:sz w:val="29"/>
          <w:szCs w:val="29"/>
          <w:spacing w:val="7"/>
        </w:rPr>
        <w:t>氮、中钾、低磷(氮超过20%、磷超过5%、钾超过10%)复合肥或有机复合肥，东</w:t>
      </w:r>
      <w:r>
        <w:rPr>
          <w:sz w:val="29"/>
          <w:szCs w:val="29"/>
          <w:spacing w:val="11"/>
        </w:rPr>
        <w:t xml:space="preserve"> </w:t>
      </w:r>
      <w:r>
        <w:rPr>
          <w:sz w:val="29"/>
          <w:szCs w:val="29"/>
          <w:spacing w:val="-5"/>
        </w:rPr>
        <w:t>北、西北施1次高氮、中钾、低磷复合肥或有机复合肥，有机质含量高的粘土施用</w:t>
      </w:r>
      <w:r>
        <w:rPr>
          <w:sz w:val="29"/>
          <w:szCs w:val="29"/>
          <w:spacing w:val="8"/>
        </w:rPr>
        <w:t xml:space="preserve"> </w:t>
      </w:r>
      <w:r>
        <w:rPr>
          <w:sz w:val="29"/>
          <w:szCs w:val="29"/>
        </w:rPr>
        <w:t>有益菌类复合肥，一般无机肥15</w:t>
      </w:r>
      <w:r>
        <w:rPr>
          <w:rFonts w:ascii="Times New Roman" w:hAnsi="Times New Roman" w:eastAsia="Times New Roman" w:cs="Times New Roman"/>
          <w:sz w:val="29"/>
          <w:szCs w:val="29"/>
        </w:rPr>
        <w:t>g/m²,</w:t>
      </w:r>
      <w:r>
        <w:rPr>
          <w:rFonts w:ascii="Times New Roman" w:hAnsi="Times New Roman" w:eastAsia="Times New Roman" w:cs="Times New Roman"/>
          <w:sz w:val="29"/>
          <w:szCs w:val="29"/>
          <w:spacing w:val="69"/>
        </w:rPr>
        <w:t xml:space="preserve"> </w:t>
      </w:r>
      <w:r>
        <w:rPr>
          <w:sz w:val="29"/>
          <w:szCs w:val="29"/>
        </w:rPr>
        <w:t>有机复合肥30—40</w:t>
      </w:r>
      <w:r>
        <w:rPr>
          <w:rFonts w:ascii="Times New Roman" w:hAnsi="Times New Roman" w:eastAsia="Times New Roman" w:cs="Times New Roman"/>
          <w:sz w:val="29"/>
          <w:szCs w:val="29"/>
        </w:rPr>
        <w:t>g/m²;</w:t>
      </w:r>
    </w:p>
    <w:p>
      <w:pPr>
        <w:pStyle w:val="BodyText"/>
        <w:ind w:left="19" w:right="31" w:firstLine="720"/>
        <w:spacing w:before="179" w:line="276" w:lineRule="auto"/>
        <w:rPr>
          <w:rFonts w:ascii="Times New Roman" w:hAnsi="Times New Roman" w:eastAsia="Times New Roman" w:cs="Times New Roman"/>
          <w:sz w:val="29"/>
          <w:szCs w:val="29"/>
        </w:rPr>
      </w:pPr>
      <w:r>
        <w:rPr>
          <w:sz w:val="29"/>
          <w:szCs w:val="29"/>
          <w:spacing w:val="8"/>
        </w:rPr>
        <w:t>(2)6—8月，华中、华南地区在高温季节视情况施1—2次中氮钾、</w:t>
      </w:r>
      <w:r>
        <w:rPr>
          <w:sz w:val="29"/>
          <w:szCs w:val="29"/>
          <w:spacing w:val="7"/>
        </w:rPr>
        <w:t>低磷复</w:t>
      </w:r>
      <w:r>
        <w:rPr>
          <w:sz w:val="29"/>
          <w:szCs w:val="29"/>
        </w:rPr>
        <w:t xml:space="preserve"> </w:t>
      </w:r>
      <w:r>
        <w:rPr>
          <w:sz w:val="29"/>
          <w:szCs w:val="29"/>
          <w:spacing w:val="-8"/>
        </w:rPr>
        <w:t>合肥或有机复合肥，海南施2—3次中氮钾、低磷复合肥或有机复合肥，一般无机肥</w:t>
      </w:r>
      <w:r>
        <w:rPr>
          <w:sz w:val="29"/>
          <w:szCs w:val="29"/>
          <w:spacing w:val="4"/>
        </w:rPr>
        <w:t xml:space="preserve"> </w:t>
      </w:r>
      <w:r>
        <w:rPr>
          <w:sz w:val="29"/>
          <w:szCs w:val="29"/>
          <w:spacing w:val="1"/>
        </w:rPr>
        <w:t>8—10</w:t>
      </w:r>
      <w:r>
        <w:rPr>
          <w:rFonts w:ascii="Times New Roman" w:hAnsi="Times New Roman" w:eastAsia="Times New Roman" w:cs="Times New Roman"/>
          <w:sz w:val="29"/>
          <w:szCs w:val="29"/>
          <w:spacing w:val="1"/>
        </w:rPr>
        <w:t>g/m²,  </w:t>
      </w:r>
      <w:r>
        <w:rPr>
          <w:sz w:val="29"/>
          <w:szCs w:val="29"/>
          <w:spacing w:val="1"/>
        </w:rPr>
        <w:t>有机复合肥20—30</w:t>
      </w:r>
      <w:r>
        <w:rPr>
          <w:rFonts w:ascii="Times New Roman" w:hAnsi="Times New Roman" w:eastAsia="Times New Roman" w:cs="Times New Roman"/>
          <w:sz w:val="29"/>
          <w:szCs w:val="29"/>
          <w:spacing w:val="1"/>
        </w:rPr>
        <w:t>g/m²;</w:t>
      </w:r>
    </w:p>
    <w:p>
      <w:pPr>
        <w:pStyle w:val="BodyText"/>
        <w:ind w:left="19" w:firstLine="720"/>
        <w:spacing w:before="159" w:line="268" w:lineRule="auto"/>
        <w:rPr>
          <w:rFonts w:ascii="Times New Roman" w:hAnsi="Times New Roman" w:eastAsia="Times New Roman" w:cs="Times New Roman"/>
          <w:sz w:val="29"/>
          <w:szCs w:val="29"/>
        </w:rPr>
      </w:pPr>
      <w:r>
        <w:rPr>
          <w:sz w:val="29"/>
          <w:szCs w:val="29"/>
          <w:spacing w:val="1"/>
        </w:rPr>
        <w:t>(3)9—11月，温度转凉的秋季，东北施1次高氮、中钾、低磷复合肥或有机</w:t>
      </w:r>
      <w:r>
        <w:rPr>
          <w:sz w:val="29"/>
          <w:szCs w:val="29"/>
        </w:rPr>
        <w:t xml:space="preserve"> </w:t>
      </w:r>
      <w:r>
        <w:rPr>
          <w:sz w:val="29"/>
          <w:szCs w:val="29"/>
          <w:spacing w:val="-11"/>
        </w:rPr>
        <w:t>复合肥，其它地区施1—2次肥，一般无机肥15—</w:t>
      </w:r>
      <w:r>
        <w:rPr>
          <w:sz w:val="29"/>
          <w:szCs w:val="29"/>
          <w:spacing w:val="-12"/>
        </w:rPr>
        <w:t>25</w:t>
      </w:r>
      <w:r>
        <w:rPr>
          <w:rFonts w:ascii="Times New Roman" w:hAnsi="Times New Roman" w:eastAsia="Times New Roman" w:cs="Times New Roman"/>
          <w:sz w:val="29"/>
          <w:szCs w:val="29"/>
          <w:spacing w:val="-12"/>
        </w:rPr>
        <w:t>g/m²,</w:t>
      </w:r>
      <w:r>
        <w:rPr>
          <w:rFonts w:ascii="Times New Roman" w:hAnsi="Times New Roman" w:eastAsia="Times New Roman" w:cs="Times New Roman"/>
          <w:sz w:val="29"/>
          <w:szCs w:val="29"/>
          <w:spacing w:val="16"/>
        </w:rPr>
        <w:t xml:space="preserve">  </w:t>
      </w:r>
      <w:r>
        <w:rPr>
          <w:sz w:val="29"/>
          <w:szCs w:val="29"/>
          <w:spacing w:val="-12"/>
        </w:rPr>
        <w:t>有机复合肥30—40</w:t>
      </w:r>
      <w:r>
        <w:rPr>
          <w:rFonts w:ascii="Times New Roman" w:hAnsi="Times New Roman" w:eastAsia="Times New Roman" w:cs="Times New Roman"/>
          <w:sz w:val="29"/>
          <w:szCs w:val="29"/>
          <w:spacing w:val="-12"/>
        </w:rPr>
        <w:t>g/m²;</w:t>
      </w:r>
    </w:p>
    <w:p>
      <w:pPr>
        <w:pStyle w:val="BodyText"/>
        <w:ind w:left="740"/>
        <w:spacing w:before="158" w:line="219" w:lineRule="auto"/>
        <w:rPr>
          <w:sz w:val="29"/>
          <w:szCs w:val="29"/>
        </w:rPr>
      </w:pPr>
      <w:r>
        <w:rPr>
          <w:sz w:val="29"/>
          <w:szCs w:val="29"/>
          <w:spacing w:val="9"/>
        </w:rPr>
        <w:t>(4)12—2月，低温寒冷时不施肥。</w:t>
      </w:r>
    </w:p>
    <w:p>
      <w:pPr>
        <w:pStyle w:val="BodyText"/>
        <w:ind w:left="600"/>
        <w:spacing w:before="116" w:line="219" w:lineRule="auto"/>
        <w:rPr>
          <w:sz w:val="29"/>
          <w:szCs w:val="29"/>
        </w:rPr>
      </w:pPr>
      <w:r>
        <w:rPr>
          <w:sz w:val="29"/>
          <w:szCs w:val="29"/>
          <w:spacing w:val="17"/>
        </w:rPr>
        <w:t>2)根据土壤情况施肥</w:t>
      </w:r>
    </w:p>
    <w:p>
      <w:pPr>
        <w:pStyle w:val="BodyText"/>
        <w:ind w:left="19" w:right="26" w:firstLine="720"/>
        <w:spacing w:before="157" w:line="315" w:lineRule="auto"/>
        <w:rPr>
          <w:sz w:val="29"/>
          <w:szCs w:val="29"/>
        </w:rPr>
      </w:pPr>
      <w:r>
        <w:rPr>
          <w:sz w:val="29"/>
          <w:szCs w:val="29"/>
          <w:spacing w:val="16"/>
        </w:rPr>
        <w:t>(1)</w:t>
      </w:r>
      <w:r>
        <w:rPr>
          <w:sz w:val="29"/>
          <w:szCs w:val="29"/>
          <w:spacing w:val="72"/>
        </w:rPr>
        <w:t xml:space="preserve"> </w:t>
      </w:r>
      <w:r>
        <w:rPr>
          <w:sz w:val="29"/>
          <w:szCs w:val="29"/>
          <w:spacing w:val="16"/>
        </w:rPr>
        <w:t>有机质含量较高的粘性土(特别是黑粘土</w:t>
      </w:r>
      <w:r>
        <w:rPr>
          <w:sz w:val="29"/>
          <w:szCs w:val="29"/>
          <w:spacing w:val="15"/>
        </w:rPr>
        <w:t>)草坪铺植2年内可使用有</w:t>
      </w:r>
      <w:r>
        <w:rPr>
          <w:sz w:val="29"/>
          <w:szCs w:val="29"/>
        </w:rPr>
        <w:t xml:space="preserve"> </w:t>
      </w:r>
      <w:r>
        <w:rPr>
          <w:sz w:val="29"/>
          <w:szCs w:val="29"/>
        </w:rPr>
        <w:t>益菌类复合肥与土壤疏松剂改良土壤；两年后根据长势进行常规施肥；</w:t>
      </w:r>
    </w:p>
    <w:p>
      <w:pPr>
        <w:pStyle w:val="BodyText"/>
        <w:ind w:left="19" w:right="49" w:firstLine="720"/>
        <w:spacing w:before="1" w:line="321" w:lineRule="auto"/>
        <w:rPr>
          <w:sz w:val="29"/>
          <w:szCs w:val="29"/>
        </w:rPr>
      </w:pPr>
      <w:r>
        <w:rPr>
          <w:sz w:val="29"/>
          <w:szCs w:val="29"/>
          <w:spacing w:val="1"/>
        </w:rPr>
        <w:t>(2</w:t>
      </w:r>
      <w:r>
        <w:rPr>
          <w:sz w:val="29"/>
          <w:szCs w:val="29"/>
          <w:spacing w:val="49"/>
        </w:rPr>
        <w:t xml:space="preserve">  </w:t>
      </w:r>
      <w:r>
        <w:rPr>
          <w:sz w:val="29"/>
          <w:szCs w:val="29"/>
          <w:spacing w:val="1"/>
        </w:rPr>
        <w:t>碱性土与酸性土：当草坪出现不适应时使用酸性土改良剂或碱性土改 </w:t>
      </w:r>
      <w:r>
        <w:rPr>
          <w:sz w:val="29"/>
          <w:szCs w:val="29"/>
          <w:spacing w:val="-1"/>
        </w:rPr>
        <w:t>良剂用于改良土壤酸碱度，同时结合追施有机复合肥效果会较好。</w:t>
      </w:r>
    </w:p>
    <w:p>
      <w:pPr>
        <w:pStyle w:val="BodyText"/>
        <w:ind w:left="600"/>
        <w:spacing w:before="1" w:line="218" w:lineRule="auto"/>
        <w:rPr>
          <w:sz w:val="29"/>
          <w:szCs w:val="29"/>
        </w:rPr>
      </w:pPr>
      <w:r>
        <w:rPr>
          <w:sz w:val="29"/>
          <w:szCs w:val="29"/>
          <w:spacing w:val="17"/>
        </w:rPr>
        <w:t>3)根据景观效果施肥</w:t>
      </w:r>
    </w:p>
    <w:p>
      <w:pPr>
        <w:pStyle w:val="BodyText"/>
        <w:ind w:left="740"/>
        <w:spacing w:before="116" w:line="219" w:lineRule="auto"/>
        <w:rPr>
          <w:sz w:val="29"/>
          <w:szCs w:val="29"/>
        </w:rPr>
      </w:pPr>
      <w:r>
        <w:rPr>
          <w:sz w:val="29"/>
          <w:szCs w:val="29"/>
          <w:spacing w:val="6"/>
        </w:rPr>
        <w:t>(1)常规施肥时，恢复期使用无机肥，景观效果恢</w:t>
      </w:r>
      <w:r>
        <w:rPr>
          <w:sz w:val="29"/>
          <w:szCs w:val="29"/>
          <w:spacing w:val="5"/>
        </w:rPr>
        <w:t>复较快；</w:t>
      </w:r>
    </w:p>
    <w:p>
      <w:pPr>
        <w:pStyle w:val="BodyText"/>
        <w:ind w:left="19" w:right="76" w:firstLine="720"/>
        <w:spacing w:before="148" w:line="272" w:lineRule="auto"/>
        <w:rPr>
          <w:sz w:val="29"/>
          <w:szCs w:val="29"/>
        </w:rPr>
      </w:pPr>
      <w:r>
        <w:rPr>
          <w:sz w:val="29"/>
          <w:szCs w:val="29"/>
          <w:spacing w:val="-1"/>
        </w:rPr>
        <w:t>(2)景观效果恢复后使用有机肥，有利于增强土壤活性，提</w:t>
      </w:r>
      <w:r>
        <w:rPr>
          <w:sz w:val="29"/>
          <w:szCs w:val="29"/>
          <w:spacing w:val="-2"/>
        </w:rPr>
        <w:t>高草坪抗逆性，</w:t>
      </w:r>
      <w:r>
        <w:rPr>
          <w:sz w:val="29"/>
          <w:szCs w:val="29"/>
        </w:rPr>
        <w:t xml:space="preserve"> </w:t>
      </w:r>
      <w:r>
        <w:rPr>
          <w:sz w:val="29"/>
          <w:szCs w:val="29"/>
          <w:spacing w:val="-4"/>
        </w:rPr>
        <w:t>使草坪较长时间保持良好的景观效果。</w:t>
      </w:r>
    </w:p>
    <w:p>
      <w:pPr>
        <w:spacing w:before="180" w:line="223" w:lineRule="auto"/>
        <w:rPr>
          <w:rFonts w:ascii="FangSong" w:hAnsi="FangSong" w:eastAsia="FangSong" w:cs="FangSong"/>
          <w:sz w:val="29"/>
          <w:szCs w:val="29"/>
        </w:rPr>
      </w:pPr>
      <w:r>
        <w:rPr>
          <w:rFonts w:ascii="FangSong" w:hAnsi="FangSong" w:eastAsia="FangSong" w:cs="FangSong"/>
          <w:sz w:val="29"/>
          <w:szCs w:val="29"/>
          <w:spacing w:val="5"/>
        </w:rPr>
        <w:t>3、</w:t>
      </w:r>
      <w:r>
        <w:rPr>
          <w:rFonts w:ascii="FangSong" w:hAnsi="FangSong" w:eastAsia="FangSong" w:cs="FangSong"/>
          <w:sz w:val="29"/>
          <w:szCs w:val="29"/>
          <w:b/>
          <w:bCs/>
          <w:spacing w:val="5"/>
        </w:rPr>
        <w:t>施肥注意事项</w:t>
      </w:r>
    </w:p>
    <w:p>
      <w:pPr>
        <w:pStyle w:val="BodyText"/>
        <w:ind w:left="600"/>
        <w:spacing w:before="164" w:line="219" w:lineRule="auto"/>
        <w:rPr>
          <w:sz w:val="29"/>
          <w:szCs w:val="29"/>
        </w:rPr>
      </w:pPr>
      <w:r>
        <w:rPr>
          <w:sz w:val="29"/>
          <w:szCs w:val="29"/>
          <w:spacing w:val="4"/>
        </w:rPr>
        <w:t>1)在草坪生长季节，草坪色泽发黄且生长稀疏，需增加施肥次数；</w:t>
      </w:r>
    </w:p>
    <w:p>
      <w:pPr>
        <w:pStyle w:val="BodyText"/>
        <w:ind w:left="19" w:right="18" w:firstLine="580"/>
        <w:spacing w:before="135" w:line="281" w:lineRule="auto"/>
        <w:rPr>
          <w:sz w:val="29"/>
          <w:szCs w:val="29"/>
        </w:rPr>
      </w:pPr>
      <w:r>
        <w:rPr>
          <w:sz w:val="29"/>
          <w:szCs w:val="29"/>
          <w:spacing w:val="8"/>
        </w:rPr>
        <w:t>2)施肥前杂草过多时须除草，以免杂草抑制草坪，影响草坪品质；施肥前</w:t>
      </w:r>
      <w:r>
        <w:rPr>
          <w:sz w:val="29"/>
          <w:szCs w:val="29"/>
          <w:spacing w:val="9"/>
        </w:rPr>
        <w:t xml:space="preserve"> </w:t>
      </w:r>
      <w:r>
        <w:rPr>
          <w:sz w:val="29"/>
          <w:szCs w:val="29"/>
          <w:spacing w:val="4"/>
        </w:rPr>
        <w:t>须对过高的草坪进行修剪，修剪后不</w:t>
      </w:r>
      <w:r>
        <w:rPr>
          <w:sz w:val="29"/>
          <w:szCs w:val="29"/>
          <w:u w:val="single" w:color="auto"/>
          <w:spacing w:val="4"/>
        </w:rPr>
        <w:t>应立</w:t>
      </w:r>
      <w:r>
        <w:rPr>
          <w:sz w:val="29"/>
          <w:szCs w:val="29"/>
          <w:spacing w:val="4"/>
        </w:rPr>
        <w:t>即施肥，以免伤口感染，5天左右剪口</w:t>
      </w:r>
      <w:r>
        <w:rPr>
          <w:sz w:val="29"/>
          <w:szCs w:val="29"/>
          <w:spacing w:val="16"/>
        </w:rPr>
        <w:t xml:space="preserve"> </w:t>
      </w:r>
      <w:r>
        <w:rPr>
          <w:sz w:val="29"/>
          <w:szCs w:val="29"/>
          <w:spacing w:val="-6"/>
        </w:rPr>
        <w:t>愈合后可施肥；</w:t>
      </w:r>
    </w:p>
    <w:p>
      <w:pPr>
        <w:spacing w:line="281" w:lineRule="auto"/>
        <w:sectPr>
          <w:footerReference w:type="default" r:id="rId191"/>
          <w:pgSz w:w="14490" w:h="20470"/>
          <w:pgMar w:top="1739" w:right="2148" w:bottom="1413" w:left="2140" w:header="0" w:footer="1215" w:gutter="0"/>
        </w:sectPr>
        <w:rPr>
          <w:sz w:val="29"/>
          <w:szCs w:val="29"/>
        </w:rPr>
      </w:pPr>
    </w:p>
    <w:p>
      <w:pPr>
        <w:pStyle w:val="BodyText"/>
        <w:ind w:left="154" w:right="607" w:firstLine="570"/>
        <w:spacing w:before="119" w:line="279" w:lineRule="auto"/>
        <w:rPr>
          <w:sz w:val="29"/>
          <w:szCs w:val="29"/>
        </w:rPr>
      </w:pPr>
      <w:bookmarkStart w:name="bookmark101" w:id="52"/>
      <w:bookmarkEnd w:id="52"/>
      <w:r>
        <w:rPr>
          <w:sz w:val="29"/>
          <w:szCs w:val="29"/>
          <w:spacing w:val="8"/>
        </w:rPr>
        <w:t>3)施肥采用表施的方法，施肥要均匀，施肥后要马上浇水；为了避免肥料</w:t>
      </w:r>
      <w:r>
        <w:rPr>
          <w:sz w:val="29"/>
          <w:szCs w:val="29"/>
          <w:spacing w:val="5"/>
        </w:rPr>
        <w:t xml:space="preserve"> </w:t>
      </w:r>
      <w:r>
        <w:rPr>
          <w:sz w:val="29"/>
          <w:szCs w:val="29"/>
        </w:rPr>
        <w:t>气味影响园区环境，原则上禁止使用散发强烈气</w:t>
      </w:r>
      <w:r>
        <w:rPr>
          <w:sz w:val="29"/>
          <w:szCs w:val="29"/>
          <w:spacing w:val="-1"/>
        </w:rPr>
        <w:t>味的肥料；重点区域为达到较高</w:t>
      </w:r>
      <w:r>
        <w:rPr>
          <w:sz w:val="29"/>
          <w:szCs w:val="29"/>
        </w:rPr>
        <w:t xml:space="preserve"> </w:t>
      </w:r>
      <w:r>
        <w:rPr>
          <w:sz w:val="29"/>
          <w:szCs w:val="29"/>
          <w:spacing w:val="-2"/>
        </w:rPr>
        <w:t>的景观效果，可考虑使用专业控释肥；</w:t>
      </w:r>
    </w:p>
    <w:p>
      <w:pPr>
        <w:pStyle w:val="BodyText"/>
        <w:ind w:left="154" w:right="572" w:firstLine="570"/>
        <w:spacing w:before="178" w:line="268" w:lineRule="auto"/>
        <w:rPr>
          <w:sz w:val="29"/>
          <w:szCs w:val="29"/>
        </w:rPr>
      </w:pPr>
      <w:r>
        <w:rPr>
          <w:sz w:val="29"/>
          <w:szCs w:val="29"/>
          <w:spacing w:val="17"/>
        </w:rPr>
        <w:t>4)秋季最后一次追肥施用高氮、低磷、中钾(氮超过20%、磷超过5%、钾</w:t>
      </w:r>
      <w:r>
        <w:rPr>
          <w:sz w:val="29"/>
          <w:szCs w:val="29"/>
          <w:spacing w:val="16"/>
        </w:rPr>
        <w:t xml:space="preserve"> </w:t>
      </w:r>
      <w:r>
        <w:rPr>
          <w:sz w:val="29"/>
          <w:szCs w:val="29"/>
          <w:spacing w:val="17"/>
        </w:rPr>
        <w:t>超过10%)类复合肥可延长草坪绿期(观赏期);</w:t>
      </w:r>
    </w:p>
    <w:p>
      <w:pPr>
        <w:pStyle w:val="BodyText"/>
        <w:ind w:left="154" w:right="622" w:firstLine="570"/>
        <w:spacing w:before="136" w:line="269" w:lineRule="auto"/>
        <w:rPr>
          <w:sz w:val="29"/>
          <w:szCs w:val="29"/>
        </w:rPr>
      </w:pPr>
      <w:r>
        <w:rPr>
          <w:sz w:val="29"/>
          <w:szCs w:val="29"/>
          <w:spacing w:val="8"/>
        </w:rPr>
        <w:t>5)干旱、半干旱地区减少氮肥使用量，注意磷钾肥的补充，强壮根系、提</w:t>
      </w:r>
      <w:r>
        <w:rPr>
          <w:sz w:val="29"/>
          <w:szCs w:val="29"/>
          <w:spacing w:val="7"/>
        </w:rPr>
        <w:t xml:space="preserve"> </w:t>
      </w:r>
      <w:r>
        <w:rPr>
          <w:sz w:val="29"/>
          <w:szCs w:val="29"/>
          <w:spacing w:val="-3"/>
        </w:rPr>
        <w:t>高抗逆性。</w:t>
      </w:r>
    </w:p>
    <w:p>
      <w:pPr>
        <w:pStyle w:val="BodyText"/>
        <w:ind w:left="154" w:right="619" w:firstLine="570"/>
        <w:spacing w:before="145" w:line="265" w:lineRule="auto"/>
        <w:rPr>
          <w:sz w:val="29"/>
          <w:szCs w:val="29"/>
        </w:rPr>
      </w:pPr>
      <w:r>
        <w:rPr>
          <w:sz w:val="29"/>
          <w:szCs w:val="29"/>
          <w:spacing w:val="16"/>
        </w:rPr>
        <w:t>6)10-11月份，结合平整草坪，填小坑洼是对草坪施有机肥(腐熟或加工</w:t>
      </w:r>
      <w:r>
        <w:rPr>
          <w:sz w:val="29"/>
          <w:szCs w:val="29"/>
          <w:spacing w:val="4"/>
        </w:rPr>
        <w:t xml:space="preserve"> </w:t>
      </w:r>
      <w:r>
        <w:rPr>
          <w:sz w:val="29"/>
          <w:szCs w:val="29"/>
        </w:rPr>
        <w:t>的鸡粪、牛粪等粪肥；豆粕等)、覆细土或沙。</w:t>
      </w:r>
    </w:p>
    <w:p>
      <w:pPr>
        <w:spacing w:line="266" w:lineRule="auto"/>
        <w:rPr>
          <w:rFonts w:ascii="Arial"/>
          <w:sz w:val="21"/>
        </w:rPr>
      </w:pPr>
      <w:r/>
    </w:p>
    <w:p>
      <w:pPr>
        <w:spacing w:line="267" w:lineRule="auto"/>
        <w:rPr>
          <w:rFonts w:ascii="Arial"/>
          <w:sz w:val="21"/>
        </w:rPr>
      </w:pPr>
      <w:r/>
    </w:p>
    <w:p>
      <w:pPr>
        <w:ind w:left="159"/>
        <w:spacing w:before="94" w:line="221" w:lineRule="auto"/>
        <w:outlineLvl w:val="1"/>
        <w:rPr>
          <w:rFonts w:ascii="SimHei" w:hAnsi="SimHei" w:eastAsia="SimHei" w:cs="SimHei"/>
          <w:sz w:val="29"/>
          <w:szCs w:val="29"/>
        </w:rPr>
      </w:pPr>
      <w:bookmarkStart w:name="bookmark30" w:id="53"/>
      <w:bookmarkEnd w:id="53"/>
      <w:r>
        <w:rPr>
          <w:rFonts w:ascii="SimHei" w:hAnsi="SimHei" w:eastAsia="SimHei" w:cs="SimHei"/>
          <w:sz w:val="29"/>
          <w:szCs w:val="29"/>
          <w:b/>
          <w:bCs/>
          <w:spacing w:val="-2"/>
        </w:rPr>
        <w:t>九、日常养护复配配方</w:t>
      </w:r>
    </w:p>
    <w:p>
      <w:pPr>
        <w:spacing w:line="203" w:lineRule="exact"/>
        <w:rPr/>
      </w:pPr>
      <w:r/>
    </w:p>
    <w:tbl>
      <w:tblPr>
        <w:tblStyle w:val="TableNormal"/>
        <w:tblW w:w="108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34"/>
        <w:gridCol w:w="589"/>
        <w:gridCol w:w="3676"/>
        <w:gridCol w:w="1399"/>
        <w:gridCol w:w="2158"/>
        <w:gridCol w:w="2333"/>
      </w:tblGrid>
      <w:tr>
        <w:trPr>
          <w:trHeight w:val="525" w:hRule="atLeast"/>
        </w:trPr>
        <w:tc>
          <w:tcPr>
            <w:tcW w:w="1323" w:type="dxa"/>
            <w:vAlign w:val="top"/>
            <w:gridSpan w:val="2"/>
          </w:tcPr>
          <w:p>
            <w:pPr>
              <w:pStyle w:val="TableText"/>
              <w:ind w:left="369"/>
              <w:spacing w:before="124" w:line="221" w:lineRule="auto"/>
              <w:rPr/>
            </w:pPr>
            <w:r>
              <w:rPr>
                <w:b/>
                <w:bCs/>
                <w:spacing w:val="-6"/>
              </w:rPr>
              <w:t>配方</w:t>
            </w:r>
          </w:p>
        </w:tc>
        <w:tc>
          <w:tcPr>
            <w:tcW w:w="3676" w:type="dxa"/>
            <w:vAlign w:val="top"/>
          </w:tcPr>
          <w:p>
            <w:pPr>
              <w:pStyle w:val="TableText"/>
              <w:ind w:left="1106"/>
              <w:spacing w:before="123" w:line="220" w:lineRule="auto"/>
              <w:rPr/>
            </w:pPr>
            <w:r>
              <w:rPr>
                <w:b/>
                <w:bCs/>
                <w:spacing w:val="-6"/>
              </w:rPr>
              <w:t>成分及用法</w:t>
            </w:r>
          </w:p>
        </w:tc>
        <w:tc>
          <w:tcPr>
            <w:tcW w:w="1399" w:type="dxa"/>
            <w:vAlign w:val="top"/>
          </w:tcPr>
          <w:p>
            <w:pPr>
              <w:pStyle w:val="TableText"/>
              <w:ind w:left="410"/>
              <w:spacing w:before="123" w:line="220" w:lineRule="auto"/>
              <w:rPr/>
            </w:pPr>
            <w:r>
              <w:rPr>
                <w:b/>
                <w:bCs/>
                <w:spacing w:val="2"/>
              </w:rPr>
              <w:t>病害</w:t>
            </w:r>
          </w:p>
        </w:tc>
        <w:tc>
          <w:tcPr>
            <w:tcW w:w="2158" w:type="dxa"/>
            <w:vAlign w:val="top"/>
          </w:tcPr>
          <w:p>
            <w:pPr>
              <w:pStyle w:val="TableText"/>
              <w:ind w:left="791"/>
              <w:spacing w:before="123" w:line="220" w:lineRule="auto"/>
              <w:rPr/>
            </w:pPr>
            <w:r>
              <w:rPr>
                <w:b/>
                <w:bCs/>
                <w:spacing w:val="2"/>
              </w:rPr>
              <w:t>虫害</w:t>
            </w:r>
          </w:p>
        </w:tc>
        <w:tc>
          <w:tcPr>
            <w:tcW w:w="2333" w:type="dxa"/>
            <w:vAlign w:val="top"/>
          </w:tcPr>
          <w:p>
            <w:pPr>
              <w:pStyle w:val="TableText"/>
              <w:ind w:left="733"/>
              <w:spacing w:before="120" w:line="219" w:lineRule="auto"/>
              <w:rPr/>
            </w:pPr>
            <w:r>
              <w:rPr>
                <w:b/>
                <w:bCs/>
                <w:spacing w:val="-3"/>
              </w:rPr>
              <w:t>叶面肥</w:t>
            </w:r>
          </w:p>
        </w:tc>
      </w:tr>
      <w:tr>
        <w:trPr>
          <w:trHeight w:val="2527" w:hRule="atLeast"/>
        </w:trPr>
        <w:tc>
          <w:tcPr>
            <w:tcW w:w="1323" w:type="dxa"/>
            <w:vAlign w:val="top"/>
            <w:gridSpan w:val="2"/>
          </w:tcPr>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214"/>
              <w:spacing w:before="94" w:line="221" w:lineRule="auto"/>
              <w:rPr/>
            </w:pPr>
            <w:r>
              <w:rPr>
                <w:spacing w:val="10"/>
              </w:rPr>
              <w:t>配方一</w:t>
            </w:r>
          </w:p>
        </w:tc>
        <w:tc>
          <w:tcPr>
            <w:tcW w:w="3676" w:type="dxa"/>
            <w:vAlign w:val="top"/>
          </w:tcPr>
          <w:p>
            <w:pPr>
              <w:pStyle w:val="TableText"/>
              <w:ind w:left="142"/>
              <w:spacing w:before="150" w:line="219" w:lineRule="auto"/>
              <w:rPr/>
            </w:pPr>
            <w:r>
              <w:rPr/>
              <w:t>国光乐克3000倍\</w:t>
            </w:r>
          </w:p>
          <w:p>
            <w:pPr>
              <w:pStyle w:val="TableText"/>
              <w:ind w:left="162"/>
              <w:spacing w:before="76" w:line="219" w:lineRule="auto"/>
              <w:rPr/>
            </w:pPr>
            <w:r>
              <w:rPr>
                <w:spacing w:val="-1"/>
              </w:rPr>
              <w:t>磷酸二氢钾(含五氧化二磷</w:t>
            </w:r>
          </w:p>
          <w:p>
            <w:pPr>
              <w:pStyle w:val="TableText"/>
              <w:ind w:left="231"/>
              <w:spacing w:before="25" w:line="219" w:lineRule="auto"/>
              <w:rPr/>
            </w:pPr>
            <w:r>
              <w:rPr/>
              <w:t>51.7%、氧化钾34.6%)500</w:t>
            </w:r>
          </w:p>
          <w:p>
            <w:pPr>
              <w:pStyle w:val="TableText"/>
              <w:ind w:left="231"/>
              <w:spacing w:before="55" w:line="219" w:lineRule="auto"/>
              <w:rPr/>
            </w:pPr>
            <w:r>
              <w:rPr>
                <w:spacing w:val="-8"/>
              </w:rPr>
              <w:t>倍\尿素(含氮40—46%)500</w:t>
            </w:r>
          </w:p>
          <w:p>
            <w:pPr>
              <w:pStyle w:val="TableText"/>
              <w:ind w:left="231"/>
              <w:spacing w:before="56" w:line="219" w:lineRule="auto"/>
              <w:rPr/>
            </w:pPr>
            <w:r>
              <w:rPr/>
              <w:t>倍\72%农用链霉素可湿性</w:t>
            </w:r>
          </w:p>
          <w:p>
            <w:pPr>
              <w:pStyle w:val="TableText"/>
              <w:ind w:left="1101"/>
              <w:spacing w:before="46" w:line="219" w:lineRule="auto"/>
              <w:rPr/>
            </w:pPr>
            <w:r>
              <w:rPr>
                <w:spacing w:val="1"/>
              </w:rPr>
              <w:t>粉剂2000倍</w:t>
            </w:r>
          </w:p>
        </w:tc>
        <w:tc>
          <w:tcPr>
            <w:tcW w:w="1399" w:type="dxa"/>
            <w:vAlign w:val="top"/>
          </w:tcPr>
          <w:p>
            <w:pPr>
              <w:pStyle w:val="TableText"/>
              <w:ind w:left="115"/>
              <w:spacing w:before="153" w:line="221" w:lineRule="auto"/>
              <w:rPr/>
            </w:pPr>
            <w:r>
              <w:rPr>
                <w:spacing w:val="4"/>
              </w:rPr>
              <w:t>此配方广</w:t>
            </w:r>
          </w:p>
          <w:p>
            <w:pPr>
              <w:pStyle w:val="TableText"/>
              <w:ind w:left="115" w:right="47"/>
              <w:spacing w:before="39" w:line="252" w:lineRule="auto"/>
              <w:rPr/>
            </w:pPr>
            <w:r>
              <w:rPr>
                <w:spacing w:val="6"/>
              </w:rPr>
              <w:t>谱性防治</w:t>
            </w:r>
            <w:r>
              <w:rPr/>
              <w:t xml:space="preserve"> </w:t>
            </w:r>
            <w:r>
              <w:rPr>
                <w:spacing w:val="50"/>
              </w:rPr>
              <w:t>多种真</w:t>
            </w:r>
            <w:r>
              <w:rPr/>
              <w:t xml:space="preserve">  </w:t>
            </w:r>
            <w:r>
              <w:rPr>
                <w:spacing w:val="4"/>
              </w:rPr>
              <w:t>菌、细菌</w:t>
            </w:r>
            <w:r>
              <w:rPr>
                <w:spacing w:val="1"/>
              </w:rPr>
              <w:t xml:space="preserve"> </w:t>
            </w:r>
            <w:r>
              <w:rPr>
                <w:spacing w:val="16"/>
              </w:rPr>
              <w:t>性病害。</w:t>
            </w:r>
          </w:p>
        </w:tc>
        <w:tc>
          <w:tcPr>
            <w:tcW w:w="2158" w:type="dxa"/>
            <w:vAlign w:val="top"/>
          </w:tcPr>
          <w:p>
            <w:pPr>
              <w:spacing w:line="416" w:lineRule="auto"/>
              <w:rPr>
                <w:rFonts w:ascii="Arial"/>
                <w:sz w:val="21"/>
              </w:rPr>
            </w:pPr>
            <w:r/>
          </w:p>
          <w:p>
            <w:pPr>
              <w:pStyle w:val="TableText"/>
              <w:ind w:left="206" w:right="181"/>
              <w:spacing w:before="94" w:line="251" w:lineRule="auto"/>
              <w:rPr/>
            </w:pPr>
            <w:r>
              <w:rPr>
                <w:spacing w:val="3"/>
              </w:rPr>
              <w:t>防治多种危害</w:t>
            </w:r>
            <w:r>
              <w:rPr/>
              <w:t xml:space="preserve"> </w:t>
            </w:r>
            <w:r>
              <w:rPr>
                <w:spacing w:val="1"/>
              </w:rPr>
              <w:t>地表以上草坪</w:t>
            </w:r>
          </w:p>
          <w:p>
            <w:pPr>
              <w:pStyle w:val="TableText"/>
              <w:ind w:left="206" w:right="183"/>
              <w:spacing w:line="245" w:lineRule="auto"/>
              <w:rPr/>
            </w:pPr>
            <w:r>
              <w:rPr>
                <w:spacing w:val="1"/>
              </w:rPr>
              <w:t>叶片的针吸性</w:t>
            </w:r>
            <w:r>
              <w:rPr>
                <w:spacing w:val="4"/>
              </w:rPr>
              <w:t xml:space="preserve"> </w:t>
            </w:r>
            <w:r>
              <w:rPr>
                <w:spacing w:val="3"/>
              </w:rPr>
              <w:t>与咀嚼性害虫</w:t>
            </w:r>
          </w:p>
        </w:tc>
        <w:tc>
          <w:tcPr>
            <w:tcW w:w="2333" w:type="dxa"/>
            <w:vAlign w:val="top"/>
          </w:tcPr>
          <w:p>
            <w:pPr>
              <w:spacing w:line="306" w:lineRule="auto"/>
              <w:rPr>
                <w:rFonts w:ascii="Arial"/>
                <w:sz w:val="21"/>
              </w:rPr>
            </w:pPr>
            <w:r/>
          </w:p>
          <w:p>
            <w:pPr>
              <w:spacing w:line="306" w:lineRule="auto"/>
              <w:rPr>
                <w:rFonts w:ascii="Arial"/>
                <w:sz w:val="21"/>
              </w:rPr>
            </w:pPr>
            <w:r/>
          </w:p>
          <w:p>
            <w:pPr>
              <w:pStyle w:val="TableText"/>
              <w:spacing w:before="94" w:line="219" w:lineRule="auto"/>
              <w:jc w:val="right"/>
              <w:rPr/>
            </w:pPr>
            <w:r>
              <w:rPr>
                <w:spacing w:val="-2"/>
              </w:rPr>
              <w:t>同时补充氮、磷、</w:t>
            </w:r>
          </w:p>
          <w:p>
            <w:pPr>
              <w:pStyle w:val="TableText"/>
              <w:ind w:left="148"/>
              <w:spacing w:before="25" w:line="219" w:lineRule="auto"/>
              <w:rPr/>
            </w:pPr>
            <w:r>
              <w:rPr>
                <w:spacing w:val="1"/>
              </w:rPr>
              <w:t>钾肥料有利于草</w:t>
            </w:r>
          </w:p>
          <w:p>
            <w:pPr>
              <w:pStyle w:val="TableText"/>
              <w:ind w:left="218"/>
              <w:spacing w:before="78" w:line="219" w:lineRule="auto"/>
              <w:rPr/>
            </w:pPr>
            <w:r>
              <w:rPr>
                <w:spacing w:val="-1"/>
              </w:rPr>
              <w:t>坪长势及复壮。</w:t>
            </w:r>
          </w:p>
        </w:tc>
      </w:tr>
      <w:tr>
        <w:trPr>
          <w:trHeight w:val="2338" w:hRule="atLeast"/>
        </w:trPr>
        <w:tc>
          <w:tcPr>
            <w:tcW w:w="1323" w:type="dxa"/>
            <w:vAlign w:val="top"/>
            <w:gridSpan w:val="2"/>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214"/>
              <w:spacing w:before="94" w:line="221" w:lineRule="auto"/>
              <w:rPr/>
            </w:pPr>
            <w:r>
              <w:rPr>
                <w:spacing w:val="5"/>
              </w:rPr>
              <w:t>配方二</w:t>
            </w:r>
          </w:p>
        </w:tc>
        <w:tc>
          <w:tcPr>
            <w:tcW w:w="3676" w:type="dxa"/>
            <w:vAlign w:val="top"/>
          </w:tcPr>
          <w:p>
            <w:pPr>
              <w:pStyle w:val="TableText"/>
              <w:ind w:left="301"/>
              <w:spacing w:before="73" w:line="219" w:lineRule="auto"/>
              <w:rPr/>
            </w:pPr>
            <w:r>
              <w:rPr>
                <w:spacing w:val="1"/>
              </w:rPr>
              <w:t>80%代森锰锌可湿性粉剂</w:t>
            </w:r>
          </w:p>
          <w:p>
            <w:pPr>
              <w:pStyle w:val="TableText"/>
              <w:ind w:left="231"/>
              <w:spacing w:before="47" w:line="219" w:lineRule="auto"/>
              <w:rPr/>
            </w:pPr>
            <w:r>
              <w:rPr/>
              <w:t>600倍或70%百菌清可湿性</w:t>
            </w:r>
          </w:p>
          <w:p>
            <w:pPr>
              <w:pStyle w:val="TableText"/>
              <w:ind w:left="231"/>
              <w:spacing w:before="33" w:line="219" w:lineRule="auto"/>
              <w:rPr/>
            </w:pPr>
            <w:r>
              <w:rPr/>
              <w:t>粉剂500倍\4.5%高效氯氰</w:t>
            </w:r>
          </w:p>
          <w:p>
            <w:pPr>
              <w:pStyle w:val="TableText"/>
              <w:ind w:left="381"/>
              <w:spacing w:before="48" w:line="219" w:lineRule="auto"/>
              <w:rPr/>
            </w:pPr>
            <w:r>
              <w:rPr/>
              <w:t>菊酯乳油1000倍1%阿维</w:t>
            </w:r>
          </w:p>
          <w:p>
            <w:pPr>
              <w:pStyle w:val="TableText"/>
              <w:ind w:left="162"/>
              <w:spacing w:before="54" w:line="219" w:lineRule="auto"/>
              <w:rPr/>
            </w:pPr>
            <w:r>
              <w:rPr/>
              <w:t>菌素乳油2000倍\国光稀释</w:t>
            </w:r>
          </w:p>
          <w:p>
            <w:pPr>
              <w:pStyle w:val="TableText"/>
              <w:ind w:left="1321"/>
              <w:spacing w:before="38" w:line="199" w:lineRule="auto"/>
              <w:rPr/>
            </w:pPr>
            <w:r>
              <w:rPr>
                <w:spacing w:val="-2"/>
              </w:rPr>
              <w:t>美800倍</w:t>
            </w:r>
          </w:p>
        </w:tc>
        <w:tc>
          <w:tcPr>
            <w:tcW w:w="1399" w:type="dxa"/>
            <w:vAlign w:val="top"/>
          </w:tcPr>
          <w:p>
            <w:pPr>
              <w:spacing w:line="350" w:lineRule="auto"/>
              <w:rPr>
                <w:rFonts w:ascii="Arial"/>
                <w:sz w:val="21"/>
              </w:rPr>
            </w:pPr>
            <w:r/>
          </w:p>
          <w:p>
            <w:pPr>
              <w:pStyle w:val="TableText"/>
              <w:ind w:left="256"/>
              <w:spacing w:before="94" w:line="221" w:lineRule="auto"/>
              <w:rPr/>
            </w:pPr>
            <w:r>
              <w:rPr>
                <w:spacing w:val="3"/>
              </w:rPr>
              <w:t>此配方</w:t>
            </w:r>
          </w:p>
          <w:p>
            <w:pPr>
              <w:pStyle w:val="TableText"/>
              <w:ind w:left="256"/>
              <w:spacing w:before="22" w:line="221" w:lineRule="auto"/>
              <w:rPr/>
            </w:pPr>
            <w:r>
              <w:rPr>
                <w:spacing w:val="3"/>
              </w:rPr>
              <w:t>广谱性</w:t>
            </w:r>
          </w:p>
          <w:p>
            <w:pPr>
              <w:pStyle w:val="TableText"/>
              <w:ind w:left="256"/>
              <w:spacing w:before="62" w:line="220" w:lineRule="auto"/>
              <w:rPr/>
            </w:pPr>
            <w:r>
              <w:rPr>
                <w:spacing w:val="9"/>
              </w:rPr>
              <w:t>预防多</w:t>
            </w:r>
          </w:p>
          <w:p>
            <w:pPr>
              <w:pStyle w:val="TableText"/>
              <w:ind w:left="256"/>
              <w:spacing w:before="33" w:line="219" w:lineRule="auto"/>
              <w:rPr/>
            </w:pPr>
            <w:r>
              <w:rPr>
                <w:spacing w:val="5"/>
              </w:rPr>
              <w:t>种真菌</w:t>
            </w:r>
          </w:p>
        </w:tc>
        <w:tc>
          <w:tcPr>
            <w:tcW w:w="2158" w:type="dxa"/>
            <w:vAlign w:val="top"/>
          </w:tcPr>
          <w:p>
            <w:pPr>
              <w:pStyle w:val="TableText"/>
              <w:ind w:left="206"/>
              <w:spacing w:before="285" w:line="219" w:lineRule="auto"/>
              <w:rPr/>
            </w:pPr>
            <w:r>
              <w:rPr>
                <w:spacing w:val="1"/>
              </w:rPr>
              <w:t>防治大多数地</w:t>
            </w:r>
          </w:p>
          <w:p>
            <w:pPr>
              <w:pStyle w:val="TableText"/>
              <w:ind w:left="206"/>
              <w:spacing w:before="46" w:line="219" w:lineRule="auto"/>
              <w:rPr/>
            </w:pPr>
            <w:r>
              <w:rPr>
                <w:spacing w:val="2"/>
              </w:rPr>
              <w:t>表以上危害草</w:t>
            </w:r>
          </w:p>
          <w:p>
            <w:pPr>
              <w:pStyle w:val="TableText"/>
              <w:ind w:left="206"/>
              <w:spacing w:before="35" w:line="219" w:lineRule="auto"/>
              <w:rPr/>
            </w:pPr>
            <w:r>
              <w:rPr>
                <w:spacing w:val="2"/>
              </w:rPr>
              <w:t>坪叶片的针吸</w:t>
            </w:r>
          </w:p>
          <w:p>
            <w:pPr>
              <w:pStyle w:val="TableText"/>
              <w:ind w:left="206"/>
              <w:spacing w:before="56" w:line="220" w:lineRule="auto"/>
              <w:rPr/>
            </w:pPr>
            <w:r>
              <w:rPr>
                <w:spacing w:val="3"/>
              </w:rPr>
              <w:t>性与咀嚼性害</w:t>
            </w:r>
          </w:p>
          <w:p>
            <w:pPr>
              <w:pStyle w:val="TableText"/>
              <w:ind w:left="856"/>
              <w:spacing w:before="28" w:line="223" w:lineRule="auto"/>
              <w:rPr/>
            </w:pPr>
            <w:r>
              <w:rPr>
                <w:spacing w:val="-2"/>
              </w:rPr>
              <w:t>虫。</w:t>
            </w:r>
          </w:p>
        </w:tc>
        <w:tc>
          <w:tcPr>
            <w:tcW w:w="2333" w:type="dxa"/>
            <w:vAlign w:val="top"/>
          </w:tcPr>
          <w:p>
            <w:pPr>
              <w:spacing w:line="259" w:lineRule="auto"/>
              <w:rPr>
                <w:rFonts w:ascii="Arial"/>
                <w:sz w:val="21"/>
              </w:rPr>
            </w:pPr>
            <w:r/>
          </w:p>
          <w:p>
            <w:pPr>
              <w:spacing w:line="259" w:lineRule="auto"/>
              <w:rPr>
                <w:rFonts w:ascii="Arial"/>
                <w:sz w:val="21"/>
              </w:rPr>
            </w:pPr>
            <w:r/>
          </w:p>
          <w:p>
            <w:pPr>
              <w:pStyle w:val="TableText"/>
              <w:ind w:left="148"/>
              <w:spacing w:before="94" w:line="220" w:lineRule="auto"/>
              <w:rPr/>
            </w:pPr>
            <w:r>
              <w:rPr>
                <w:spacing w:val="1"/>
              </w:rPr>
              <w:t>同时预防多种缺</w:t>
            </w:r>
          </w:p>
          <w:p>
            <w:pPr>
              <w:pStyle w:val="TableText"/>
              <w:ind w:left="148"/>
              <w:spacing w:before="63" w:line="219" w:lineRule="auto"/>
              <w:rPr/>
            </w:pPr>
            <w:r>
              <w:rPr>
                <w:spacing w:val="1"/>
              </w:rPr>
              <w:t>素病有利于草坪</w:t>
            </w:r>
          </w:p>
          <w:p>
            <w:pPr>
              <w:pStyle w:val="TableText"/>
              <w:ind w:left="438"/>
              <w:spacing w:before="65" w:line="219" w:lineRule="auto"/>
              <w:rPr/>
            </w:pPr>
            <w:r>
              <w:rPr>
                <w:spacing w:val="2"/>
              </w:rPr>
              <w:t>长势及复壮</w:t>
            </w:r>
          </w:p>
        </w:tc>
      </w:tr>
      <w:tr>
        <w:trPr>
          <w:trHeight w:val="1938" w:hRule="atLeast"/>
        </w:trPr>
        <w:tc>
          <w:tcPr>
            <w:tcW w:w="734" w:type="dxa"/>
            <w:vAlign w:val="top"/>
            <w:vMerge w:val="restart"/>
            <w:textDirection w:val="tbRlV"/>
            <w:tcBorders>
              <w:bottom w:val="nil"/>
            </w:tcBorders>
          </w:tcPr>
          <w:p>
            <w:pPr>
              <w:pStyle w:val="TableText"/>
              <w:ind w:left="2388"/>
              <w:spacing w:before="240" w:line="202" w:lineRule="auto"/>
              <w:rPr/>
            </w:pPr>
            <w:r>
              <w:rPr>
                <w:spacing w:val="23"/>
              </w:rPr>
              <w:t>配方二</w:t>
            </w:r>
          </w:p>
        </w:tc>
        <w:tc>
          <w:tcPr>
            <w:tcW w:w="589" w:type="dxa"/>
            <w:vAlign w:val="top"/>
          </w:tcPr>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210"/>
              <w:spacing w:before="94" w:line="241" w:lineRule="auto"/>
              <w:rPr/>
            </w:pPr>
            <w:r>
              <w:rPr/>
              <w:t>1</w:t>
            </w:r>
          </w:p>
        </w:tc>
        <w:tc>
          <w:tcPr>
            <w:tcW w:w="3676" w:type="dxa"/>
            <w:vAlign w:val="top"/>
          </w:tcPr>
          <w:p>
            <w:pPr>
              <w:spacing w:line="331" w:lineRule="auto"/>
              <w:rPr>
                <w:rFonts w:ascii="Arial"/>
                <w:sz w:val="21"/>
              </w:rPr>
            </w:pPr>
            <w:r/>
          </w:p>
          <w:p>
            <w:pPr>
              <w:pStyle w:val="TableText"/>
              <w:ind w:left="231" w:right="228"/>
              <w:spacing w:before="94" w:line="249" w:lineRule="auto"/>
              <w:jc w:val="both"/>
              <w:rPr/>
            </w:pPr>
            <w:r>
              <w:rPr/>
              <w:t>中威15%高氯毒死蜱600倍</w:t>
            </w:r>
            <w:r>
              <w:rPr>
                <w:spacing w:val="10"/>
              </w:rPr>
              <w:t xml:space="preserve"> </w:t>
            </w:r>
            <w:r>
              <w:rPr>
                <w:spacing w:val="1"/>
              </w:rPr>
              <w:t>可与中威新姿草坪专用杀</w:t>
            </w:r>
            <w:r>
              <w:rPr>
                <w:spacing w:val="3"/>
              </w:rPr>
              <w:t xml:space="preserve"> </w:t>
            </w:r>
            <w:r>
              <w:rPr>
                <w:spacing w:val="7"/>
              </w:rPr>
              <w:t>菌剂500倍进行单独复配</w:t>
            </w:r>
          </w:p>
        </w:tc>
        <w:tc>
          <w:tcPr>
            <w:tcW w:w="1399" w:type="dxa"/>
            <w:vAlign w:val="top"/>
          </w:tcPr>
          <w:p>
            <w:pPr>
              <w:spacing w:line="321" w:lineRule="auto"/>
              <w:rPr>
                <w:rFonts w:ascii="Arial"/>
                <w:sz w:val="21"/>
              </w:rPr>
            </w:pPr>
            <w:r/>
          </w:p>
          <w:p>
            <w:pPr>
              <w:pStyle w:val="TableText"/>
              <w:ind w:left="115"/>
              <w:spacing w:before="94" w:line="220" w:lineRule="auto"/>
              <w:rPr/>
            </w:pPr>
            <w:r>
              <w:rPr>
                <w:spacing w:val="5"/>
              </w:rPr>
              <w:t>防治多种</w:t>
            </w:r>
          </w:p>
          <w:p>
            <w:pPr>
              <w:pStyle w:val="TableText"/>
              <w:ind w:left="545" w:right="95" w:hanging="430"/>
              <w:spacing w:before="44" w:line="250" w:lineRule="auto"/>
              <w:rPr/>
            </w:pPr>
            <w:r>
              <w:rPr>
                <w:spacing w:val="4"/>
              </w:rPr>
              <w:t>真菌、细</w:t>
            </w:r>
            <w:r>
              <w:rPr>
                <w:spacing w:val="1"/>
              </w:rPr>
              <w:t xml:space="preserve"> </w:t>
            </w:r>
            <w:r>
              <w:rPr/>
              <w:t>菌</w:t>
            </w:r>
          </w:p>
        </w:tc>
        <w:tc>
          <w:tcPr>
            <w:tcW w:w="2158" w:type="dxa"/>
            <w:vAlign w:val="top"/>
          </w:tcPr>
          <w:p>
            <w:pPr>
              <w:pStyle w:val="TableText"/>
              <w:ind w:left="56"/>
              <w:spacing w:before="277" w:line="219" w:lineRule="auto"/>
              <w:rPr/>
            </w:pPr>
            <w:r>
              <w:rPr>
                <w:spacing w:val="1"/>
              </w:rPr>
              <w:t>防治绝大多数地</w:t>
            </w:r>
          </w:p>
          <w:p>
            <w:pPr>
              <w:pStyle w:val="TableText"/>
              <w:ind w:left="56"/>
              <w:spacing w:before="45" w:line="219" w:lineRule="auto"/>
              <w:rPr/>
            </w:pPr>
            <w:r>
              <w:rPr>
                <w:spacing w:val="1"/>
              </w:rPr>
              <w:t>表以上危害草坪</w:t>
            </w:r>
          </w:p>
          <w:p>
            <w:pPr>
              <w:pStyle w:val="TableText"/>
              <w:ind w:left="56"/>
              <w:spacing w:before="55" w:line="219" w:lineRule="auto"/>
              <w:rPr/>
            </w:pPr>
            <w:r>
              <w:rPr>
                <w:spacing w:val="3"/>
              </w:rPr>
              <w:t>叶片的针吸性与</w:t>
            </w:r>
          </w:p>
          <w:p>
            <w:pPr>
              <w:pStyle w:val="TableText"/>
              <w:ind w:left="346"/>
              <w:spacing w:before="56" w:line="220" w:lineRule="auto"/>
              <w:rPr/>
            </w:pPr>
            <w:r>
              <w:rPr>
                <w:spacing w:val="3"/>
              </w:rPr>
              <w:t>咀嚼性害虫</w:t>
            </w:r>
          </w:p>
        </w:tc>
        <w:tc>
          <w:tcPr>
            <w:tcW w:w="2333" w:type="dxa"/>
            <w:vAlign w:val="top"/>
          </w:tcPr>
          <w:p>
            <w:pPr>
              <w:rPr>
                <w:rFonts w:ascii="Arial"/>
                <w:sz w:val="21"/>
              </w:rPr>
            </w:pPr>
            <w:r/>
          </w:p>
        </w:tc>
      </w:tr>
      <w:tr>
        <w:trPr>
          <w:trHeight w:val="1948" w:hRule="atLeast"/>
        </w:trPr>
        <w:tc>
          <w:tcPr>
            <w:tcW w:w="734" w:type="dxa"/>
            <w:vAlign w:val="top"/>
            <w:vMerge w:val="continue"/>
            <w:textDirection w:val="tbRlV"/>
            <w:tcBorders>
              <w:top w:val="nil"/>
              <w:bottom w:val="nil"/>
            </w:tcBorders>
          </w:tcPr>
          <w:p>
            <w:pPr>
              <w:rPr>
                <w:rFonts w:ascii="Arial"/>
                <w:sz w:val="21"/>
              </w:rPr>
            </w:pPr>
            <w:r/>
          </w:p>
        </w:tc>
        <w:tc>
          <w:tcPr>
            <w:tcW w:w="589" w:type="dxa"/>
            <w:vAlign w:val="top"/>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210"/>
              <w:spacing w:before="95" w:line="241" w:lineRule="auto"/>
              <w:rPr/>
            </w:pPr>
            <w:r>
              <w:rPr/>
              <w:t>2</w:t>
            </w:r>
          </w:p>
        </w:tc>
        <w:tc>
          <w:tcPr>
            <w:tcW w:w="3676" w:type="dxa"/>
            <w:vAlign w:val="top"/>
          </w:tcPr>
          <w:p>
            <w:pPr>
              <w:spacing w:line="340" w:lineRule="auto"/>
              <w:rPr>
                <w:rFonts w:ascii="Arial"/>
                <w:sz w:val="21"/>
              </w:rPr>
            </w:pPr>
            <w:r/>
          </w:p>
          <w:p>
            <w:pPr>
              <w:pStyle w:val="TableText"/>
              <w:ind w:left="231"/>
              <w:spacing w:before="95" w:line="219" w:lineRule="auto"/>
              <w:rPr/>
            </w:pPr>
            <w:r>
              <w:rPr/>
              <w:t>中威15%高氯毒死蜱600倍</w:t>
            </w:r>
          </w:p>
          <w:p>
            <w:pPr>
              <w:pStyle w:val="TableText"/>
              <w:ind w:left="231"/>
              <w:spacing w:before="58" w:line="220" w:lineRule="auto"/>
              <w:rPr/>
            </w:pPr>
            <w:r>
              <w:rPr/>
              <w:t>可与中威乐翻天1000倍进</w:t>
            </w:r>
          </w:p>
          <w:p>
            <w:pPr>
              <w:pStyle w:val="TableText"/>
              <w:ind w:left="1101"/>
              <w:spacing w:before="34" w:line="220" w:lineRule="auto"/>
              <w:rPr/>
            </w:pPr>
            <w:r>
              <w:rPr>
                <w:spacing w:val="2"/>
              </w:rPr>
              <w:t>行单独复配</w:t>
            </w:r>
          </w:p>
        </w:tc>
        <w:tc>
          <w:tcPr>
            <w:tcW w:w="1399" w:type="dxa"/>
            <w:vAlign w:val="top"/>
          </w:tcPr>
          <w:p>
            <w:pPr>
              <w:pStyle w:val="TableText"/>
              <w:ind w:left="256"/>
              <w:spacing w:before="69" w:line="220" w:lineRule="auto"/>
              <w:rPr/>
            </w:pPr>
            <w:r>
              <w:rPr>
                <w:spacing w:val="9"/>
              </w:rPr>
              <w:t>防治多</w:t>
            </w:r>
          </w:p>
          <w:p>
            <w:pPr>
              <w:pStyle w:val="TableText"/>
              <w:ind w:left="256"/>
              <w:spacing w:before="33" w:line="219" w:lineRule="auto"/>
              <w:rPr/>
            </w:pPr>
            <w:r>
              <w:rPr>
                <w:spacing w:val="5"/>
              </w:rPr>
              <w:t>种真菌</w:t>
            </w:r>
          </w:p>
          <w:p>
            <w:pPr>
              <w:pStyle w:val="TableText"/>
              <w:ind w:left="256"/>
              <w:spacing w:before="56" w:line="219" w:lineRule="auto"/>
              <w:rPr/>
            </w:pPr>
            <w:r>
              <w:rPr>
                <w:spacing w:val="4"/>
              </w:rPr>
              <w:t>特别是</w:t>
            </w:r>
          </w:p>
          <w:p>
            <w:pPr>
              <w:pStyle w:val="TableText"/>
              <w:ind w:left="256"/>
              <w:spacing w:before="65" w:line="219" w:lineRule="auto"/>
              <w:rPr/>
            </w:pPr>
            <w:r>
              <w:rPr>
                <w:spacing w:val="6"/>
              </w:rPr>
              <w:t>白粉病</w:t>
            </w:r>
          </w:p>
          <w:p>
            <w:pPr>
              <w:pStyle w:val="TableText"/>
              <w:ind w:left="256"/>
              <w:spacing w:before="38" w:line="189" w:lineRule="auto"/>
              <w:rPr/>
            </w:pPr>
            <w:r>
              <w:rPr>
                <w:spacing w:val="6"/>
              </w:rPr>
              <w:t>与锈病</w:t>
            </w:r>
          </w:p>
        </w:tc>
        <w:tc>
          <w:tcPr>
            <w:tcW w:w="2158" w:type="dxa"/>
            <w:vAlign w:val="top"/>
          </w:tcPr>
          <w:p>
            <w:pPr>
              <w:pStyle w:val="TableText"/>
              <w:ind w:left="206" w:right="187"/>
              <w:spacing w:before="289" w:line="250" w:lineRule="auto"/>
              <w:rPr/>
            </w:pPr>
            <w:r>
              <w:rPr>
                <w:spacing w:val="2"/>
              </w:rPr>
              <w:t>防治多数地表</w:t>
            </w:r>
            <w:r>
              <w:rPr/>
              <w:t xml:space="preserve"> </w:t>
            </w:r>
            <w:r>
              <w:rPr>
                <w:spacing w:val="1"/>
              </w:rPr>
              <w:t>以上危害草坪</w:t>
            </w:r>
          </w:p>
          <w:p>
            <w:pPr>
              <w:pStyle w:val="TableText"/>
              <w:ind w:left="206" w:right="183"/>
              <w:spacing w:before="4" w:line="251" w:lineRule="auto"/>
              <w:rPr/>
            </w:pPr>
            <w:r>
              <w:rPr>
                <w:spacing w:val="1"/>
              </w:rPr>
              <w:t>叶片的针吸性</w:t>
            </w:r>
            <w:r>
              <w:rPr>
                <w:spacing w:val="4"/>
              </w:rPr>
              <w:t xml:space="preserve"> </w:t>
            </w:r>
            <w:r>
              <w:rPr>
                <w:spacing w:val="3"/>
              </w:rPr>
              <w:t>与咀嚼性害虫</w:t>
            </w:r>
          </w:p>
        </w:tc>
        <w:tc>
          <w:tcPr>
            <w:tcW w:w="2333" w:type="dxa"/>
            <w:vAlign w:val="top"/>
          </w:tcPr>
          <w:p>
            <w:pPr>
              <w:rPr>
                <w:rFonts w:ascii="Arial"/>
                <w:sz w:val="21"/>
              </w:rPr>
            </w:pPr>
            <w:r/>
          </w:p>
        </w:tc>
      </w:tr>
      <w:tr>
        <w:trPr>
          <w:trHeight w:val="1803" w:hRule="atLeast"/>
        </w:trPr>
        <w:tc>
          <w:tcPr>
            <w:tcW w:w="734" w:type="dxa"/>
            <w:vAlign w:val="top"/>
            <w:vMerge w:val="continue"/>
            <w:textDirection w:val="tbRlV"/>
            <w:tcBorders>
              <w:top w:val="nil"/>
            </w:tcBorders>
          </w:tcPr>
          <w:p>
            <w:pPr>
              <w:rPr>
                <w:rFonts w:ascii="Arial"/>
                <w:sz w:val="21"/>
              </w:rPr>
            </w:pPr>
            <w:r/>
          </w:p>
        </w:tc>
        <w:tc>
          <w:tcPr>
            <w:tcW w:w="589" w:type="dxa"/>
            <w:vAlign w:val="top"/>
          </w:tcPr>
          <w:p>
            <w:pPr>
              <w:spacing w:line="350" w:lineRule="auto"/>
              <w:rPr>
                <w:rFonts w:ascii="Arial"/>
                <w:sz w:val="21"/>
              </w:rPr>
            </w:pPr>
            <w:r/>
          </w:p>
          <w:p>
            <w:pPr>
              <w:spacing w:line="350" w:lineRule="auto"/>
              <w:rPr>
                <w:rFonts w:ascii="Arial"/>
                <w:sz w:val="21"/>
              </w:rPr>
            </w:pPr>
            <w:r/>
          </w:p>
          <w:p>
            <w:pPr>
              <w:pStyle w:val="TableText"/>
              <w:ind w:left="210"/>
              <w:spacing w:before="94"/>
              <w:rPr/>
            </w:pPr>
            <w:r>
              <w:rPr/>
              <w:t>3</w:t>
            </w:r>
          </w:p>
        </w:tc>
        <w:tc>
          <w:tcPr>
            <w:tcW w:w="3676" w:type="dxa"/>
            <w:vAlign w:val="top"/>
          </w:tcPr>
          <w:p>
            <w:pPr>
              <w:spacing w:line="273" w:lineRule="auto"/>
              <w:rPr>
                <w:rFonts w:ascii="Arial"/>
                <w:sz w:val="21"/>
              </w:rPr>
            </w:pPr>
            <w:r/>
          </w:p>
          <w:p>
            <w:pPr>
              <w:pStyle w:val="TableText"/>
              <w:ind w:left="231"/>
              <w:spacing w:before="94" w:line="219" w:lineRule="auto"/>
              <w:rPr/>
            </w:pPr>
            <w:r>
              <w:rPr/>
              <w:t>中威15%高氯毒死蜱600倍</w:t>
            </w:r>
          </w:p>
          <w:p>
            <w:pPr>
              <w:pStyle w:val="TableText"/>
              <w:ind w:left="162"/>
              <w:spacing w:before="37" w:line="219" w:lineRule="auto"/>
              <w:rPr/>
            </w:pPr>
            <w:r>
              <w:rPr>
                <w:spacing w:val="-1"/>
              </w:rPr>
              <w:t>可与中威30%乙蒜素1000倍</w:t>
            </w:r>
          </w:p>
          <w:p>
            <w:pPr>
              <w:pStyle w:val="TableText"/>
              <w:ind w:left="962"/>
              <w:spacing w:before="46" w:line="220" w:lineRule="auto"/>
              <w:rPr/>
            </w:pPr>
            <w:r>
              <w:rPr>
                <w:spacing w:val="2"/>
              </w:rPr>
              <w:t>进行单独复配</w:t>
            </w:r>
          </w:p>
        </w:tc>
        <w:tc>
          <w:tcPr>
            <w:tcW w:w="1399" w:type="dxa"/>
            <w:vAlign w:val="top"/>
          </w:tcPr>
          <w:p>
            <w:pPr>
              <w:spacing w:line="266" w:lineRule="auto"/>
              <w:rPr>
                <w:rFonts w:ascii="Arial"/>
                <w:sz w:val="21"/>
              </w:rPr>
            </w:pPr>
            <w:r/>
          </w:p>
          <w:p>
            <w:pPr>
              <w:pStyle w:val="TableText"/>
              <w:ind w:left="115"/>
              <w:spacing w:before="94" w:line="220" w:lineRule="auto"/>
              <w:rPr/>
            </w:pPr>
            <w:r>
              <w:rPr>
                <w:spacing w:val="5"/>
              </w:rPr>
              <w:t>防治多种</w:t>
            </w:r>
          </w:p>
          <w:p>
            <w:pPr>
              <w:pStyle w:val="TableText"/>
              <w:ind w:left="545" w:right="95" w:hanging="430"/>
              <w:spacing w:before="44" w:line="250" w:lineRule="auto"/>
              <w:rPr/>
            </w:pPr>
            <w:r>
              <w:rPr>
                <w:spacing w:val="4"/>
              </w:rPr>
              <w:t>真菌、细</w:t>
            </w:r>
            <w:r>
              <w:rPr>
                <w:spacing w:val="1"/>
              </w:rPr>
              <w:t xml:space="preserve"> </w:t>
            </w:r>
            <w:r>
              <w:rPr/>
              <w:t>菌</w:t>
            </w:r>
          </w:p>
        </w:tc>
        <w:tc>
          <w:tcPr>
            <w:tcW w:w="2158" w:type="dxa"/>
            <w:vAlign w:val="top"/>
          </w:tcPr>
          <w:p>
            <w:pPr>
              <w:pStyle w:val="TableText"/>
              <w:ind w:left="206" w:right="187"/>
              <w:spacing w:before="220" w:line="244" w:lineRule="auto"/>
              <w:rPr/>
            </w:pPr>
            <w:r>
              <w:rPr>
                <w:spacing w:val="2"/>
              </w:rPr>
              <w:t>防治多数地表</w:t>
            </w:r>
            <w:r>
              <w:rPr/>
              <w:t xml:space="preserve"> </w:t>
            </w:r>
            <w:r>
              <w:rPr>
                <w:spacing w:val="1"/>
              </w:rPr>
              <w:t>以上危害草坪</w:t>
            </w:r>
          </w:p>
          <w:p>
            <w:pPr>
              <w:pStyle w:val="TableText"/>
              <w:ind w:left="206" w:right="183"/>
              <w:spacing w:before="2" w:line="252" w:lineRule="auto"/>
              <w:rPr/>
            </w:pPr>
            <w:r>
              <w:rPr>
                <w:spacing w:val="1"/>
              </w:rPr>
              <w:t>叶片的针吸性</w:t>
            </w:r>
            <w:r>
              <w:rPr>
                <w:spacing w:val="4"/>
              </w:rPr>
              <w:t xml:space="preserve"> </w:t>
            </w:r>
            <w:r>
              <w:rPr>
                <w:spacing w:val="3"/>
              </w:rPr>
              <w:t>与咀嚼性害虫</w:t>
            </w:r>
          </w:p>
        </w:tc>
        <w:tc>
          <w:tcPr>
            <w:tcW w:w="2333" w:type="dxa"/>
            <w:vAlign w:val="top"/>
          </w:tcPr>
          <w:p>
            <w:pPr>
              <w:rPr>
                <w:rFonts w:ascii="Arial"/>
                <w:sz w:val="21"/>
              </w:rPr>
            </w:pPr>
            <w:r/>
          </w:p>
        </w:tc>
      </w:tr>
    </w:tbl>
    <w:p>
      <w:pPr>
        <w:rPr>
          <w:rFonts w:ascii="Arial"/>
          <w:sz w:val="21"/>
        </w:rPr>
      </w:pPr>
      <w:r/>
    </w:p>
    <w:p>
      <w:pPr>
        <w:sectPr>
          <w:footerReference w:type="default" r:id="rId192"/>
          <w:pgSz w:w="14490" w:h="20470"/>
          <w:pgMar w:top="1739" w:right="1594" w:bottom="1413" w:left="1995" w:header="0" w:footer="1214" w:gutter="0"/>
        </w:sectPr>
        <w:rPr>
          <w:rFonts w:ascii="Arial" w:hAnsi="Arial" w:eastAsia="Arial" w:cs="Arial"/>
          <w:sz w:val="21"/>
          <w:szCs w:val="21"/>
        </w:rPr>
      </w:pPr>
    </w:p>
    <w:tbl>
      <w:tblPr>
        <w:tblStyle w:val="TableNormal"/>
        <w:tblW w:w="108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23"/>
        <w:gridCol w:w="3686"/>
        <w:gridCol w:w="1379"/>
        <w:gridCol w:w="2168"/>
        <w:gridCol w:w="2333"/>
      </w:tblGrid>
      <w:tr>
        <w:trPr>
          <w:trHeight w:val="1953" w:hRule="atLeast"/>
        </w:trPr>
        <w:tc>
          <w:tcPr>
            <w:tcW w:w="1323" w:type="dxa"/>
            <w:vAlign w:val="top"/>
          </w:tcPr>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right="11"/>
              <w:spacing w:before="94" w:line="221" w:lineRule="auto"/>
              <w:jc w:val="right"/>
              <w:rPr/>
            </w:pPr>
            <w:r>
              <w:rPr>
                <w:spacing w:val="-1"/>
              </w:rPr>
              <w:t>配方四：</w:t>
            </w:r>
          </w:p>
        </w:tc>
        <w:tc>
          <w:tcPr>
            <w:tcW w:w="3686" w:type="dxa"/>
            <w:vAlign w:val="top"/>
          </w:tcPr>
          <w:p>
            <w:pPr>
              <w:pStyle w:val="TableText"/>
              <w:spacing w:before="66" w:line="219" w:lineRule="auto"/>
              <w:jc w:val="right"/>
              <w:rPr/>
            </w:pPr>
            <w:r>
              <w:rPr>
                <w:spacing w:val="-5"/>
              </w:rPr>
              <w:t>3%阿维 ·</w:t>
            </w:r>
            <w:r>
              <w:rPr>
                <w:spacing w:val="-107"/>
              </w:rPr>
              <w:t xml:space="preserve"> </w:t>
            </w:r>
            <w:r>
              <w:rPr>
                <w:spacing w:val="-5"/>
              </w:rPr>
              <w:t>高氯乳油1500倍、</w:t>
            </w:r>
          </w:p>
          <w:p>
            <w:pPr>
              <w:pStyle w:val="TableText"/>
              <w:ind w:left="241"/>
              <w:spacing w:before="44" w:line="219" w:lineRule="auto"/>
              <w:rPr/>
            </w:pPr>
            <w:r>
              <w:rPr>
                <w:spacing w:val="1"/>
              </w:rPr>
              <w:t>50%多菌灵可湿性粉剂700</w:t>
            </w:r>
          </w:p>
          <w:p>
            <w:pPr>
              <w:pStyle w:val="TableText"/>
              <w:ind w:left="162"/>
              <w:spacing w:before="57" w:line="219" w:lineRule="auto"/>
              <w:rPr/>
            </w:pPr>
            <w:r>
              <w:rPr>
                <w:spacing w:val="1"/>
              </w:rPr>
              <w:t>倍、72%农用链霉素可湿性</w:t>
            </w:r>
          </w:p>
          <w:p>
            <w:pPr>
              <w:pStyle w:val="TableText"/>
              <w:ind w:left="241"/>
              <w:spacing w:before="54" w:line="219" w:lineRule="auto"/>
              <w:rPr/>
            </w:pPr>
            <w:r>
              <w:rPr>
                <w:spacing w:val="1"/>
              </w:rPr>
              <w:t>粉剂2000倍与国光草坪营</w:t>
            </w:r>
          </w:p>
          <w:p>
            <w:pPr>
              <w:pStyle w:val="TableText"/>
              <w:ind w:left="601"/>
              <w:spacing w:before="17" w:line="208" w:lineRule="auto"/>
              <w:rPr/>
            </w:pPr>
            <w:r>
              <w:rPr>
                <w:spacing w:val="-2"/>
              </w:rPr>
              <w:t>养抗病增绿剂600倍</w:t>
            </w:r>
          </w:p>
        </w:tc>
        <w:tc>
          <w:tcPr>
            <w:tcW w:w="1379" w:type="dxa"/>
            <w:vAlign w:val="top"/>
          </w:tcPr>
          <w:p>
            <w:pPr>
              <w:spacing w:line="341" w:lineRule="auto"/>
              <w:rPr>
                <w:rFonts w:ascii="Arial"/>
                <w:sz w:val="21"/>
              </w:rPr>
            </w:pPr>
            <w:r/>
          </w:p>
          <w:p>
            <w:pPr>
              <w:pStyle w:val="TableText"/>
              <w:ind w:left="105"/>
              <w:spacing w:before="94" w:line="220" w:lineRule="auto"/>
              <w:rPr/>
            </w:pPr>
            <w:r>
              <w:rPr>
                <w:spacing w:val="5"/>
              </w:rPr>
              <w:t>防治多种</w:t>
            </w:r>
          </w:p>
          <w:p>
            <w:pPr>
              <w:pStyle w:val="TableText"/>
              <w:ind w:left="535" w:right="85" w:hanging="430"/>
              <w:spacing w:before="44" w:line="250" w:lineRule="auto"/>
              <w:rPr/>
            </w:pPr>
            <w:r>
              <w:rPr>
                <w:spacing w:val="4"/>
              </w:rPr>
              <w:t>真菌、细</w:t>
            </w:r>
            <w:r>
              <w:rPr>
                <w:spacing w:val="1"/>
              </w:rPr>
              <w:t xml:space="preserve"> </w:t>
            </w:r>
            <w:r>
              <w:rPr/>
              <w:t>菌</w:t>
            </w:r>
          </w:p>
        </w:tc>
        <w:tc>
          <w:tcPr>
            <w:tcW w:w="2168" w:type="dxa"/>
            <w:vAlign w:val="top"/>
          </w:tcPr>
          <w:p>
            <w:pPr>
              <w:pStyle w:val="TableText"/>
              <w:ind w:left="206" w:right="197"/>
              <w:spacing w:before="266" w:line="244" w:lineRule="auto"/>
              <w:rPr/>
            </w:pPr>
            <w:r>
              <w:rPr>
                <w:spacing w:val="2"/>
              </w:rPr>
              <w:t>防治多数地表</w:t>
            </w:r>
            <w:r>
              <w:rPr/>
              <w:t xml:space="preserve"> </w:t>
            </w:r>
            <w:r>
              <w:rPr>
                <w:spacing w:val="1"/>
              </w:rPr>
              <w:t>以上危害草坪</w:t>
            </w:r>
          </w:p>
          <w:p>
            <w:pPr>
              <w:pStyle w:val="TableText"/>
              <w:ind w:left="206" w:right="193"/>
              <w:spacing w:before="23" w:line="245" w:lineRule="auto"/>
              <w:rPr/>
            </w:pPr>
            <w:r>
              <w:rPr>
                <w:spacing w:val="1"/>
              </w:rPr>
              <w:t>叶片的针吸性</w:t>
            </w:r>
            <w:r>
              <w:rPr>
                <w:spacing w:val="4"/>
              </w:rPr>
              <w:t xml:space="preserve"> </w:t>
            </w:r>
            <w:r>
              <w:rPr>
                <w:spacing w:val="3"/>
              </w:rPr>
              <w:t>与咀嚼性害虫</w:t>
            </w:r>
          </w:p>
        </w:tc>
        <w:tc>
          <w:tcPr>
            <w:tcW w:w="2333" w:type="dxa"/>
            <w:vAlign w:val="top"/>
          </w:tcPr>
          <w:p>
            <w:pPr>
              <w:spacing w:line="273" w:lineRule="auto"/>
              <w:rPr>
                <w:rFonts w:ascii="Arial"/>
                <w:sz w:val="21"/>
              </w:rPr>
            </w:pPr>
            <w:r/>
          </w:p>
          <w:p>
            <w:pPr>
              <w:spacing w:line="274" w:lineRule="auto"/>
              <w:rPr>
                <w:rFonts w:ascii="Arial"/>
                <w:sz w:val="21"/>
              </w:rPr>
            </w:pPr>
            <w:r/>
          </w:p>
          <w:p>
            <w:pPr>
              <w:pStyle w:val="TableText"/>
              <w:ind w:left="148" w:right="126"/>
              <w:spacing w:before="94" w:line="271" w:lineRule="auto"/>
              <w:rPr/>
            </w:pPr>
            <w:r>
              <w:rPr>
                <w:spacing w:val="1"/>
              </w:rPr>
              <w:t>同时提高草坪抗</w:t>
            </w:r>
            <w:r>
              <w:rPr>
                <w:spacing w:val="3"/>
              </w:rPr>
              <w:t xml:space="preserve"> </w:t>
            </w:r>
            <w:r>
              <w:rPr>
                <w:spacing w:val="2"/>
              </w:rPr>
              <w:t>逆性及观赏效果</w:t>
            </w:r>
          </w:p>
        </w:tc>
      </w:tr>
      <w:tr>
        <w:trPr>
          <w:trHeight w:val="2348" w:hRule="atLeast"/>
        </w:trPr>
        <w:tc>
          <w:tcPr>
            <w:tcW w:w="1323" w:type="dxa"/>
            <w:vAlign w:val="top"/>
          </w:tcPr>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214"/>
              <w:spacing w:before="94" w:line="221" w:lineRule="auto"/>
              <w:rPr/>
            </w:pPr>
            <w:r>
              <w:rPr>
                <w:spacing w:val="4"/>
              </w:rPr>
              <w:t>配方五</w:t>
            </w:r>
          </w:p>
        </w:tc>
        <w:tc>
          <w:tcPr>
            <w:tcW w:w="3686" w:type="dxa"/>
            <w:vAlign w:val="top"/>
          </w:tcPr>
          <w:p>
            <w:pPr>
              <w:pStyle w:val="TableText"/>
              <w:ind w:left="241"/>
              <w:spacing w:before="61" w:line="219" w:lineRule="auto"/>
              <w:rPr/>
            </w:pPr>
            <w:r>
              <w:rPr>
                <w:spacing w:val="1"/>
              </w:rPr>
              <w:t>通用型花多多叶面肥1000</w:t>
            </w:r>
          </w:p>
          <w:p>
            <w:pPr>
              <w:pStyle w:val="TableText"/>
              <w:ind w:left="91"/>
              <w:spacing w:before="57" w:line="219" w:lineRule="auto"/>
              <w:rPr/>
            </w:pPr>
            <w:r>
              <w:rPr/>
              <w:t>倍、4.5%高效氯氰菊酯1000</w:t>
            </w:r>
          </w:p>
          <w:p>
            <w:pPr>
              <w:pStyle w:val="TableText"/>
              <w:ind w:left="241"/>
              <w:spacing w:before="46" w:line="219" w:lineRule="auto"/>
              <w:rPr/>
            </w:pPr>
            <w:r>
              <w:rPr>
                <w:spacing w:val="10"/>
              </w:rPr>
              <w:t>倍、1%阿维菌素2000倍、</w:t>
            </w:r>
          </w:p>
          <w:p>
            <w:pPr>
              <w:pStyle w:val="TableText"/>
              <w:ind w:left="381"/>
              <w:spacing w:before="54" w:line="219" w:lineRule="auto"/>
              <w:rPr/>
            </w:pPr>
            <w:r>
              <w:rPr>
                <w:spacing w:val="1"/>
              </w:rPr>
              <w:t>70%甲托可湿性粉剂800</w:t>
            </w:r>
          </w:p>
          <w:p>
            <w:pPr>
              <w:pStyle w:val="TableText"/>
              <w:ind w:left="162"/>
              <w:spacing w:before="66" w:line="210" w:lineRule="auto"/>
              <w:rPr/>
            </w:pPr>
            <w:r>
              <w:rPr>
                <w:spacing w:val="1"/>
              </w:rPr>
              <w:t>倍、72%农用链霉素可湿性</w:t>
            </w:r>
          </w:p>
          <w:p>
            <w:pPr>
              <w:pStyle w:val="TableText"/>
              <w:ind w:left="1111"/>
              <w:spacing w:before="1" w:line="218" w:lineRule="auto"/>
              <w:rPr/>
            </w:pPr>
            <w:r>
              <w:rPr>
                <w:spacing w:val="1"/>
              </w:rPr>
              <w:t>粉剂2000倍</w:t>
            </w:r>
          </w:p>
        </w:tc>
        <w:tc>
          <w:tcPr>
            <w:tcW w:w="1379" w:type="dxa"/>
            <w:vAlign w:val="top"/>
          </w:tcPr>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46"/>
              <w:spacing w:before="95" w:line="220" w:lineRule="auto"/>
              <w:rPr/>
            </w:pPr>
            <w:r>
              <w:rPr>
                <w:spacing w:val="9"/>
              </w:rPr>
              <w:t>防治多</w:t>
            </w:r>
          </w:p>
          <w:p>
            <w:pPr>
              <w:pStyle w:val="TableText"/>
              <w:ind w:left="246"/>
              <w:spacing w:before="53" w:line="219" w:lineRule="auto"/>
              <w:rPr/>
            </w:pPr>
            <w:r>
              <w:rPr>
                <w:spacing w:val="5"/>
              </w:rPr>
              <w:t>种真菌</w:t>
            </w:r>
          </w:p>
        </w:tc>
        <w:tc>
          <w:tcPr>
            <w:tcW w:w="2168" w:type="dxa"/>
            <w:vAlign w:val="top"/>
          </w:tcPr>
          <w:p>
            <w:pPr>
              <w:spacing w:line="377" w:lineRule="auto"/>
              <w:rPr>
                <w:rFonts w:ascii="Arial"/>
                <w:sz w:val="21"/>
              </w:rPr>
            </w:pPr>
            <w:r/>
          </w:p>
          <w:p>
            <w:pPr>
              <w:pStyle w:val="TableText"/>
              <w:ind w:left="206" w:right="197"/>
              <w:spacing w:before="95" w:line="231" w:lineRule="auto"/>
              <w:rPr/>
            </w:pPr>
            <w:r>
              <w:rPr>
                <w:spacing w:val="2"/>
              </w:rPr>
              <w:t>防治多数地表</w:t>
            </w:r>
            <w:r>
              <w:rPr/>
              <w:t xml:space="preserve"> </w:t>
            </w:r>
            <w:r>
              <w:rPr>
                <w:spacing w:val="1"/>
              </w:rPr>
              <w:t>以上危害草坪</w:t>
            </w:r>
          </w:p>
          <w:p>
            <w:pPr>
              <w:pStyle w:val="TableText"/>
              <w:ind w:left="206" w:right="193"/>
              <w:spacing w:before="52" w:line="239" w:lineRule="auto"/>
              <w:rPr/>
            </w:pPr>
            <w:r>
              <w:rPr>
                <w:spacing w:val="1"/>
              </w:rPr>
              <w:t>叶片的针吸性</w:t>
            </w:r>
            <w:r>
              <w:rPr>
                <w:spacing w:val="4"/>
              </w:rPr>
              <w:t xml:space="preserve"> </w:t>
            </w:r>
            <w:r>
              <w:rPr>
                <w:spacing w:val="3"/>
              </w:rPr>
              <w:t>与咀嚼性害虫</w:t>
            </w:r>
          </w:p>
        </w:tc>
        <w:tc>
          <w:tcPr>
            <w:tcW w:w="2333" w:type="dxa"/>
            <w:vAlign w:val="top"/>
          </w:tcPr>
          <w:p>
            <w:pPr>
              <w:pStyle w:val="TableText"/>
              <w:ind w:left="148"/>
              <w:spacing w:before="263" w:line="219" w:lineRule="auto"/>
              <w:rPr/>
            </w:pPr>
            <w:r>
              <w:rPr>
                <w:spacing w:val="1"/>
              </w:rPr>
              <w:t>同时补充草坪大</w:t>
            </w:r>
          </w:p>
          <w:p>
            <w:pPr>
              <w:pStyle w:val="TableText"/>
              <w:ind w:left="148"/>
              <w:spacing w:before="46" w:line="219" w:lineRule="auto"/>
              <w:rPr/>
            </w:pPr>
            <w:r>
              <w:rPr>
                <w:spacing w:val="1"/>
              </w:rPr>
              <w:t>量元素有利于草</w:t>
            </w:r>
          </w:p>
          <w:p>
            <w:pPr>
              <w:pStyle w:val="TableText"/>
              <w:ind w:left="148"/>
              <w:spacing w:before="25" w:line="219" w:lineRule="auto"/>
              <w:rPr/>
            </w:pPr>
            <w:r>
              <w:rPr>
                <w:spacing w:val="1"/>
              </w:rPr>
              <w:t>坪长势及复壮并</w:t>
            </w:r>
          </w:p>
          <w:p>
            <w:pPr>
              <w:pStyle w:val="TableText"/>
              <w:ind w:left="148"/>
              <w:spacing w:before="55" w:line="219" w:lineRule="auto"/>
              <w:rPr/>
            </w:pPr>
            <w:r>
              <w:rPr>
                <w:spacing w:val="3"/>
              </w:rPr>
              <w:t>且提高草坪叶片</w:t>
            </w:r>
          </w:p>
          <w:p>
            <w:pPr>
              <w:pStyle w:val="TableText"/>
              <w:ind w:left="648"/>
              <w:spacing w:before="77" w:line="220" w:lineRule="auto"/>
              <w:rPr/>
            </w:pPr>
            <w:r>
              <w:rPr>
                <w:spacing w:val="1"/>
              </w:rPr>
              <w:t>观赏性。</w:t>
            </w:r>
          </w:p>
        </w:tc>
      </w:tr>
      <w:tr>
        <w:trPr>
          <w:trHeight w:val="1938" w:hRule="atLeast"/>
        </w:trPr>
        <w:tc>
          <w:tcPr>
            <w:tcW w:w="1323"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14"/>
              <w:spacing w:before="94" w:line="221" w:lineRule="auto"/>
              <w:rPr/>
            </w:pPr>
            <w:r>
              <w:rPr>
                <w:spacing w:val="4"/>
              </w:rPr>
              <w:t>配方六</w:t>
            </w:r>
          </w:p>
        </w:tc>
        <w:tc>
          <w:tcPr>
            <w:tcW w:w="3686" w:type="dxa"/>
            <w:vAlign w:val="top"/>
          </w:tcPr>
          <w:p>
            <w:pPr>
              <w:pStyle w:val="TableText"/>
              <w:spacing w:before="246" w:line="219" w:lineRule="auto"/>
              <w:jc w:val="right"/>
              <w:rPr/>
            </w:pPr>
            <w:r>
              <w:rPr>
                <w:spacing w:val="-8"/>
              </w:rPr>
              <w:t>国光乐克3000倍、磷酸二氢钾</w:t>
            </w:r>
          </w:p>
          <w:p>
            <w:pPr>
              <w:pStyle w:val="TableText"/>
              <w:ind w:left="241"/>
              <w:spacing w:before="53" w:line="219" w:lineRule="auto"/>
              <w:rPr/>
            </w:pPr>
            <w:r>
              <w:rPr/>
              <w:t>(含五氧化二磷51.7%、氧</w:t>
            </w:r>
          </w:p>
          <w:p>
            <w:pPr>
              <w:pStyle w:val="TableText"/>
              <w:ind w:left="162"/>
              <w:spacing w:before="57" w:line="219" w:lineRule="auto"/>
              <w:rPr/>
            </w:pPr>
            <w:r>
              <w:rPr>
                <w:spacing w:val="1"/>
              </w:rPr>
              <w:t>化钾34.6%)500倍、国光三</w:t>
            </w:r>
          </w:p>
          <w:p>
            <w:pPr>
              <w:pStyle w:val="TableText"/>
              <w:ind w:left="1111"/>
              <w:spacing w:before="26" w:line="220" w:lineRule="auto"/>
              <w:rPr/>
            </w:pPr>
            <w:r>
              <w:rPr>
                <w:spacing w:val="1"/>
              </w:rPr>
              <w:t>唑酮1500倍</w:t>
            </w:r>
          </w:p>
        </w:tc>
        <w:tc>
          <w:tcPr>
            <w:tcW w:w="1379" w:type="dxa"/>
            <w:vAlign w:val="top"/>
          </w:tcPr>
          <w:p>
            <w:pPr>
              <w:pStyle w:val="TableText"/>
              <w:ind w:left="246"/>
              <w:spacing w:before="76" w:line="220" w:lineRule="auto"/>
              <w:rPr/>
            </w:pPr>
            <w:r>
              <w:rPr>
                <w:spacing w:val="9"/>
              </w:rPr>
              <w:t>防治多</w:t>
            </w:r>
          </w:p>
          <w:p>
            <w:pPr>
              <w:pStyle w:val="TableText"/>
              <w:ind w:left="246"/>
              <w:spacing w:before="43" w:line="219" w:lineRule="auto"/>
              <w:rPr/>
            </w:pPr>
            <w:r>
              <w:rPr>
                <w:spacing w:val="5"/>
              </w:rPr>
              <w:t>种真菌</w:t>
            </w:r>
          </w:p>
          <w:p>
            <w:pPr>
              <w:pStyle w:val="TableText"/>
              <w:ind w:left="246"/>
              <w:spacing w:before="26" w:line="219" w:lineRule="auto"/>
              <w:rPr/>
            </w:pPr>
            <w:r>
              <w:rPr>
                <w:spacing w:val="4"/>
              </w:rPr>
              <w:t>特别是</w:t>
            </w:r>
          </w:p>
          <w:p>
            <w:pPr>
              <w:pStyle w:val="TableText"/>
              <w:ind w:left="175"/>
              <w:spacing w:before="43" w:line="219" w:lineRule="auto"/>
              <w:rPr/>
            </w:pPr>
            <w:r>
              <w:rPr>
                <w:spacing w:val="2"/>
              </w:rPr>
              <w:t>白粉病\</w:t>
            </w:r>
          </w:p>
          <w:p>
            <w:pPr>
              <w:pStyle w:val="TableText"/>
              <w:ind w:left="395"/>
              <w:spacing w:before="60" w:line="191" w:lineRule="auto"/>
              <w:rPr/>
            </w:pPr>
            <w:r>
              <w:rPr>
                <w:spacing w:val="10"/>
              </w:rPr>
              <w:t>锈病</w:t>
            </w:r>
          </w:p>
        </w:tc>
        <w:tc>
          <w:tcPr>
            <w:tcW w:w="2168" w:type="dxa"/>
            <w:vAlign w:val="top"/>
          </w:tcPr>
          <w:p>
            <w:pPr>
              <w:pStyle w:val="TableText"/>
              <w:ind w:left="206" w:right="197"/>
              <w:spacing w:before="245" w:line="244" w:lineRule="auto"/>
              <w:rPr/>
            </w:pPr>
            <w:r>
              <w:rPr>
                <w:spacing w:val="2"/>
              </w:rPr>
              <w:t>防治多数地表</w:t>
            </w:r>
            <w:r>
              <w:rPr/>
              <w:t xml:space="preserve"> </w:t>
            </w:r>
            <w:r>
              <w:rPr>
                <w:spacing w:val="1"/>
              </w:rPr>
              <w:t>以上危害草坪</w:t>
            </w:r>
          </w:p>
          <w:p>
            <w:pPr>
              <w:pStyle w:val="TableText"/>
              <w:ind w:left="206" w:right="193"/>
              <w:spacing w:before="34" w:line="264" w:lineRule="auto"/>
              <w:rPr/>
            </w:pPr>
            <w:r>
              <w:rPr>
                <w:spacing w:val="1"/>
              </w:rPr>
              <w:t>叶片的针吸性</w:t>
            </w:r>
            <w:r>
              <w:rPr>
                <w:spacing w:val="4"/>
              </w:rPr>
              <w:t xml:space="preserve"> </w:t>
            </w:r>
            <w:r>
              <w:rPr>
                <w:spacing w:val="3"/>
              </w:rPr>
              <w:t>与咀嚼性害虫</w:t>
            </w:r>
          </w:p>
        </w:tc>
        <w:tc>
          <w:tcPr>
            <w:tcW w:w="2333" w:type="dxa"/>
            <w:vAlign w:val="top"/>
          </w:tcPr>
          <w:p>
            <w:pPr>
              <w:spacing w:line="357" w:lineRule="auto"/>
              <w:rPr>
                <w:rFonts w:ascii="Arial"/>
                <w:sz w:val="21"/>
              </w:rPr>
            </w:pPr>
            <w:r/>
          </w:p>
          <w:p>
            <w:pPr>
              <w:pStyle w:val="TableText"/>
              <w:ind w:left="148"/>
              <w:spacing w:before="94" w:line="219" w:lineRule="auto"/>
              <w:rPr/>
            </w:pPr>
            <w:r>
              <w:rPr>
                <w:spacing w:val="3"/>
              </w:rPr>
              <w:t>补充磷钾肥有利</w:t>
            </w:r>
          </w:p>
          <w:p>
            <w:pPr>
              <w:pStyle w:val="TableText"/>
              <w:ind w:left="148"/>
              <w:spacing w:before="47" w:line="219" w:lineRule="auto"/>
              <w:rPr/>
            </w:pPr>
            <w:r>
              <w:rPr>
                <w:spacing w:val="1"/>
              </w:rPr>
              <w:t>于草坪长势及复</w:t>
            </w:r>
          </w:p>
          <w:p>
            <w:pPr>
              <w:pStyle w:val="TableText"/>
              <w:ind w:left="1018"/>
              <w:spacing w:before="55" w:line="219" w:lineRule="auto"/>
              <w:rPr/>
            </w:pPr>
            <w:r>
              <w:rPr/>
              <w:t>壮</w:t>
            </w:r>
          </w:p>
        </w:tc>
      </w:tr>
      <w:tr>
        <w:trPr>
          <w:trHeight w:val="1958" w:hRule="atLeast"/>
        </w:trPr>
        <w:tc>
          <w:tcPr>
            <w:tcW w:w="1323"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14"/>
              <w:spacing w:before="94" w:line="221" w:lineRule="auto"/>
              <w:rPr/>
            </w:pPr>
            <w:r>
              <w:rPr>
                <w:spacing w:val="4"/>
              </w:rPr>
              <w:t>配方七</w:t>
            </w:r>
          </w:p>
        </w:tc>
        <w:tc>
          <w:tcPr>
            <w:tcW w:w="3686" w:type="dxa"/>
            <w:vAlign w:val="top"/>
          </w:tcPr>
          <w:p>
            <w:pPr>
              <w:spacing w:line="371" w:lineRule="auto"/>
              <w:rPr>
                <w:rFonts w:ascii="Arial"/>
                <w:sz w:val="21"/>
              </w:rPr>
            </w:pPr>
            <w:r/>
          </w:p>
          <w:p>
            <w:pPr>
              <w:pStyle w:val="TableText"/>
              <w:ind w:left="241"/>
              <w:spacing w:before="94" w:line="219" w:lineRule="auto"/>
              <w:rPr/>
            </w:pPr>
            <w:r>
              <w:rPr>
                <w:spacing w:val="1"/>
              </w:rPr>
              <w:t>国光必治1500倍、通用型</w:t>
            </w:r>
          </w:p>
          <w:p>
            <w:pPr>
              <w:pStyle w:val="TableText"/>
              <w:ind w:left="311"/>
              <w:spacing w:before="43" w:line="219" w:lineRule="auto"/>
              <w:rPr/>
            </w:pPr>
            <w:r>
              <w:rPr>
                <w:spacing w:val="-1"/>
              </w:rPr>
              <w:t>花多多叶面肥1000倍45%</w:t>
            </w:r>
          </w:p>
          <w:p>
            <w:pPr>
              <w:pStyle w:val="TableText"/>
              <w:ind w:left="741"/>
              <w:spacing w:before="57" w:line="219" w:lineRule="auto"/>
              <w:rPr/>
            </w:pPr>
            <w:r>
              <w:rPr>
                <w:spacing w:val="1"/>
              </w:rPr>
              <w:t>液体百菌清500倍</w:t>
            </w:r>
          </w:p>
        </w:tc>
        <w:tc>
          <w:tcPr>
            <w:tcW w:w="1379" w:type="dxa"/>
            <w:vAlign w:val="top"/>
          </w:tcPr>
          <w:p>
            <w:pPr>
              <w:spacing w:line="280" w:lineRule="auto"/>
              <w:rPr>
                <w:rFonts w:ascii="Arial"/>
                <w:sz w:val="21"/>
              </w:rPr>
            </w:pPr>
            <w:r/>
          </w:p>
          <w:p>
            <w:pPr>
              <w:spacing w:line="281" w:lineRule="auto"/>
              <w:rPr>
                <w:rFonts w:ascii="Arial"/>
                <w:sz w:val="21"/>
              </w:rPr>
            </w:pPr>
            <w:r/>
          </w:p>
          <w:p>
            <w:pPr>
              <w:pStyle w:val="TableText"/>
              <w:ind w:left="246"/>
              <w:spacing w:before="94" w:line="220" w:lineRule="auto"/>
              <w:rPr/>
            </w:pPr>
            <w:r>
              <w:rPr>
                <w:spacing w:val="9"/>
              </w:rPr>
              <w:t>预防多</w:t>
            </w:r>
          </w:p>
          <w:p>
            <w:pPr>
              <w:pStyle w:val="TableText"/>
              <w:ind w:left="246"/>
              <w:spacing w:before="53" w:line="219" w:lineRule="auto"/>
              <w:rPr/>
            </w:pPr>
            <w:r>
              <w:rPr>
                <w:spacing w:val="5"/>
              </w:rPr>
              <w:t>种真菌</w:t>
            </w:r>
          </w:p>
        </w:tc>
        <w:tc>
          <w:tcPr>
            <w:tcW w:w="2168" w:type="dxa"/>
            <w:vAlign w:val="top"/>
          </w:tcPr>
          <w:p>
            <w:pPr>
              <w:pStyle w:val="TableText"/>
              <w:ind w:left="206" w:right="197"/>
              <w:spacing w:before="288" w:line="250" w:lineRule="auto"/>
              <w:rPr/>
            </w:pPr>
            <w:r>
              <w:rPr>
                <w:spacing w:val="2"/>
              </w:rPr>
              <w:t>防治多数地表</w:t>
            </w:r>
            <w:r>
              <w:rPr/>
              <w:t xml:space="preserve"> </w:t>
            </w:r>
            <w:r>
              <w:rPr>
                <w:spacing w:val="1"/>
              </w:rPr>
              <w:t>以上危害草坪</w:t>
            </w:r>
          </w:p>
          <w:p>
            <w:pPr>
              <w:pStyle w:val="TableText"/>
              <w:ind w:left="206" w:right="193"/>
              <w:spacing w:before="3" w:line="245" w:lineRule="auto"/>
              <w:rPr/>
            </w:pPr>
            <w:r>
              <w:rPr>
                <w:spacing w:val="1"/>
              </w:rPr>
              <w:t>叶片的针吸性</w:t>
            </w:r>
            <w:r>
              <w:rPr>
                <w:spacing w:val="4"/>
              </w:rPr>
              <w:t xml:space="preserve"> </w:t>
            </w:r>
            <w:r>
              <w:rPr>
                <w:spacing w:val="3"/>
              </w:rPr>
              <w:t>与咀嚼性害虫</w:t>
            </w:r>
          </w:p>
        </w:tc>
        <w:tc>
          <w:tcPr>
            <w:tcW w:w="2333" w:type="dxa"/>
            <w:vAlign w:val="top"/>
          </w:tcPr>
          <w:p>
            <w:pPr>
              <w:pStyle w:val="TableText"/>
              <w:ind w:left="68" w:firstLine="77"/>
              <w:spacing w:before="70" w:line="239" w:lineRule="auto"/>
              <w:jc w:val="both"/>
              <w:rPr/>
            </w:pPr>
            <w:r>
              <w:rPr>
                <w:spacing w:val="-8"/>
              </w:rPr>
              <w:t>补充草坪大量元</w:t>
            </w:r>
            <w:r>
              <w:rPr>
                <w:spacing w:val="2"/>
              </w:rPr>
              <w:t xml:space="preserve">  </w:t>
            </w:r>
            <w:r>
              <w:rPr>
                <w:spacing w:val="4"/>
              </w:rPr>
              <w:t>素有利于草坪长</w:t>
            </w:r>
            <w:r>
              <w:rPr/>
              <w:t xml:space="preserve">  </w:t>
            </w:r>
            <w:r>
              <w:rPr>
                <w:spacing w:val="3"/>
              </w:rPr>
              <w:t>势及复壮并且提</w:t>
            </w:r>
            <w:r>
              <w:rPr>
                <w:spacing w:val="2"/>
              </w:rPr>
              <w:t xml:space="preserve">  </w:t>
            </w:r>
            <w:r>
              <w:rPr>
                <w:spacing w:val="5"/>
              </w:rPr>
              <w:t>高草坪叶片观赏</w:t>
            </w:r>
            <w:r>
              <w:rPr/>
              <w:t xml:space="preserve">  </w:t>
            </w:r>
            <w:r>
              <w:rPr>
                <w:spacing w:val="-9"/>
              </w:rPr>
              <w:t>性，不污染叶片。</w:t>
            </w:r>
          </w:p>
        </w:tc>
      </w:tr>
      <w:tr>
        <w:trPr>
          <w:trHeight w:val="1539" w:hRule="atLeast"/>
        </w:trPr>
        <w:tc>
          <w:tcPr>
            <w:tcW w:w="1323" w:type="dxa"/>
            <w:vAlign w:val="top"/>
          </w:tcPr>
          <w:p>
            <w:pPr>
              <w:spacing w:line="271" w:lineRule="auto"/>
              <w:rPr>
                <w:rFonts w:ascii="Arial"/>
                <w:sz w:val="21"/>
              </w:rPr>
            </w:pPr>
            <w:r/>
          </w:p>
          <w:p>
            <w:pPr>
              <w:spacing w:line="272" w:lineRule="auto"/>
              <w:rPr>
                <w:rFonts w:ascii="Arial"/>
                <w:sz w:val="21"/>
              </w:rPr>
            </w:pPr>
            <w:r/>
          </w:p>
          <w:p>
            <w:pPr>
              <w:pStyle w:val="TableText"/>
              <w:ind w:left="214"/>
              <w:spacing w:before="94" w:line="220" w:lineRule="auto"/>
              <w:rPr/>
            </w:pPr>
            <w:r>
              <w:rPr>
                <w:spacing w:val="4"/>
              </w:rPr>
              <w:t>配方八</w:t>
            </w:r>
          </w:p>
        </w:tc>
        <w:tc>
          <w:tcPr>
            <w:tcW w:w="3686" w:type="dxa"/>
            <w:vAlign w:val="top"/>
          </w:tcPr>
          <w:p>
            <w:pPr>
              <w:spacing w:line="362" w:lineRule="auto"/>
              <w:rPr>
                <w:rFonts w:ascii="Arial"/>
                <w:sz w:val="21"/>
              </w:rPr>
            </w:pPr>
            <w:r/>
          </w:p>
          <w:p>
            <w:pPr>
              <w:pStyle w:val="TableText"/>
              <w:ind w:left="1320" w:right="230" w:hanging="1079"/>
              <w:spacing w:before="94" w:line="239" w:lineRule="auto"/>
              <w:rPr/>
            </w:pPr>
            <w:r>
              <w:rPr>
                <w:spacing w:val="1"/>
              </w:rPr>
              <w:t>国光必治1500倍、国光英</w:t>
            </w:r>
            <w:r>
              <w:rPr/>
              <w:t xml:space="preserve"> </w:t>
            </w:r>
            <w:r>
              <w:rPr>
                <w:spacing w:val="3"/>
              </w:rPr>
              <w:t>纳500倍</w:t>
            </w:r>
          </w:p>
        </w:tc>
        <w:tc>
          <w:tcPr>
            <w:tcW w:w="1379" w:type="dxa"/>
            <w:vAlign w:val="top"/>
          </w:tcPr>
          <w:p>
            <w:pPr>
              <w:spacing w:line="364" w:lineRule="auto"/>
              <w:rPr>
                <w:rFonts w:ascii="Arial"/>
                <w:sz w:val="21"/>
              </w:rPr>
            </w:pPr>
            <w:r/>
          </w:p>
          <w:p>
            <w:pPr>
              <w:pStyle w:val="TableText"/>
              <w:ind w:left="246"/>
              <w:spacing w:before="94" w:line="220" w:lineRule="auto"/>
              <w:rPr/>
            </w:pPr>
            <w:r>
              <w:rPr>
                <w:spacing w:val="9"/>
              </w:rPr>
              <w:t>预防多</w:t>
            </w:r>
          </w:p>
          <w:p>
            <w:pPr>
              <w:pStyle w:val="TableText"/>
              <w:ind w:left="246"/>
              <w:spacing w:before="33" w:line="219" w:lineRule="auto"/>
              <w:rPr/>
            </w:pPr>
            <w:r>
              <w:rPr>
                <w:spacing w:val="5"/>
              </w:rPr>
              <w:t>种真菌</w:t>
            </w:r>
          </w:p>
        </w:tc>
        <w:tc>
          <w:tcPr>
            <w:tcW w:w="2168" w:type="dxa"/>
            <w:vAlign w:val="top"/>
          </w:tcPr>
          <w:p>
            <w:pPr>
              <w:pStyle w:val="TableText"/>
              <w:ind w:left="136" w:firstLine="69"/>
              <w:spacing w:before="77" w:line="231" w:lineRule="auto"/>
              <w:jc w:val="both"/>
              <w:rPr/>
            </w:pPr>
            <w:r>
              <w:rPr>
                <w:spacing w:val="1"/>
              </w:rPr>
              <w:t>防治多数地表  </w:t>
            </w:r>
            <w:r>
              <w:rPr>
                <w:spacing w:val="12"/>
              </w:rPr>
              <w:t>以上危害草坪</w:t>
            </w:r>
            <w:r>
              <w:rPr>
                <w:spacing w:val="2"/>
              </w:rPr>
              <w:t xml:space="preserve">  </w:t>
            </w:r>
            <w:r>
              <w:rPr>
                <w:spacing w:val="12"/>
              </w:rPr>
              <w:t>叶片的针吸性</w:t>
            </w:r>
            <w:r>
              <w:rPr>
                <w:spacing w:val="2"/>
              </w:rPr>
              <w:t xml:space="preserve">  </w:t>
            </w:r>
            <w:r>
              <w:rPr>
                <w:spacing w:val="-2"/>
              </w:rPr>
              <w:t>与咀嚼性害虫。</w:t>
            </w:r>
          </w:p>
        </w:tc>
        <w:tc>
          <w:tcPr>
            <w:tcW w:w="2333" w:type="dxa"/>
            <w:vAlign w:val="top"/>
          </w:tcPr>
          <w:p>
            <w:pPr>
              <w:rPr>
                <w:rFonts w:ascii="Arial"/>
                <w:sz w:val="21"/>
              </w:rPr>
            </w:pPr>
            <w:r/>
          </w:p>
        </w:tc>
      </w:tr>
      <w:tr>
        <w:trPr>
          <w:trHeight w:val="1573" w:hRule="atLeast"/>
        </w:trPr>
        <w:tc>
          <w:tcPr>
            <w:tcW w:w="1323" w:type="dxa"/>
            <w:vAlign w:val="top"/>
          </w:tcPr>
          <w:p>
            <w:pPr>
              <w:spacing w:line="277" w:lineRule="auto"/>
              <w:rPr>
                <w:rFonts w:ascii="Arial"/>
                <w:sz w:val="21"/>
              </w:rPr>
            </w:pPr>
            <w:r/>
          </w:p>
          <w:p>
            <w:pPr>
              <w:spacing w:line="277" w:lineRule="auto"/>
              <w:rPr>
                <w:rFonts w:ascii="Arial"/>
                <w:sz w:val="21"/>
              </w:rPr>
            </w:pPr>
            <w:r/>
          </w:p>
          <w:p>
            <w:pPr>
              <w:pStyle w:val="TableText"/>
              <w:ind w:left="214"/>
              <w:spacing w:before="95" w:line="221" w:lineRule="auto"/>
              <w:rPr/>
            </w:pPr>
            <w:r>
              <w:rPr>
                <w:spacing w:val="4"/>
              </w:rPr>
              <w:t>配方九</w:t>
            </w:r>
          </w:p>
        </w:tc>
        <w:tc>
          <w:tcPr>
            <w:tcW w:w="3686" w:type="dxa"/>
            <w:vAlign w:val="top"/>
          </w:tcPr>
          <w:p>
            <w:pPr>
              <w:pStyle w:val="TableText"/>
              <w:ind w:left="91"/>
              <w:spacing w:before="101" w:line="219" w:lineRule="auto"/>
              <w:rPr/>
            </w:pPr>
            <w:r>
              <w:rPr>
                <w:spacing w:val="1"/>
              </w:rPr>
              <w:t>国光乐克3000倍、磷酸二氢</w:t>
            </w:r>
          </w:p>
          <w:p>
            <w:pPr>
              <w:pStyle w:val="TableText"/>
              <w:ind w:left="241"/>
              <w:spacing w:before="33" w:line="219" w:lineRule="auto"/>
              <w:rPr/>
            </w:pPr>
            <w:r>
              <w:rPr>
                <w:spacing w:val="11"/>
              </w:rPr>
              <w:t>钾(含五氧化二磷51.7%、</w:t>
            </w:r>
          </w:p>
          <w:p>
            <w:pPr>
              <w:pStyle w:val="TableText"/>
              <w:ind w:left="241"/>
              <w:spacing w:before="76" w:line="219" w:lineRule="auto"/>
              <w:rPr/>
            </w:pPr>
            <w:r>
              <w:rPr>
                <w:spacing w:val="-1"/>
              </w:rPr>
              <w:t>氧化钾34.6%)500倍、55%</w:t>
            </w:r>
          </w:p>
          <w:p>
            <w:pPr>
              <w:pStyle w:val="TableText"/>
              <w:ind w:left="741"/>
              <w:spacing w:before="7" w:line="199" w:lineRule="auto"/>
              <w:rPr/>
            </w:pPr>
            <w:r>
              <w:rPr>
                <w:spacing w:val="1"/>
              </w:rPr>
              <w:t>液体百菌清500倍</w:t>
            </w:r>
          </w:p>
        </w:tc>
        <w:tc>
          <w:tcPr>
            <w:tcW w:w="1379" w:type="dxa"/>
            <w:vAlign w:val="top"/>
          </w:tcPr>
          <w:p>
            <w:pPr>
              <w:spacing w:line="385" w:lineRule="auto"/>
              <w:rPr>
                <w:rFonts w:ascii="Arial"/>
                <w:sz w:val="21"/>
              </w:rPr>
            </w:pPr>
            <w:r/>
          </w:p>
          <w:p>
            <w:pPr>
              <w:pStyle w:val="TableText"/>
              <w:ind w:left="246"/>
              <w:spacing w:before="94" w:line="220" w:lineRule="auto"/>
              <w:rPr/>
            </w:pPr>
            <w:r>
              <w:rPr>
                <w:spacing w:val="9"/>
              </w:rPr>
              <w:t>预防多</w:t>
            </w:r>
          </w:p>
          <w:p>
            <w:pPr>
              <w:pStyle w:val="TableText"/>
              <w:ind w:left="246"/>
              <w:spacing w:before="43" w:line="219" w:lineRule="auto"/>
              <w:rPr/>
            </w:pPr>
            <w:r>
              <w:rPr>
                <w:spacing w:val="5"/>
              </w:rPr>
              <w:t>种真菌</w:t>
            </w:r>
          </w:p>
        </w:tc>
        <w:tc>
          <w:tcPr>
            <w:tcW w:w="2168" w:type="dxa"/>
            <w:vAlign w:val="top"/>
          </w:tcPr>
          <w:p>
            <w:pPr>
              <w:pStyle w:val="TableText"/>
              <w:ind w:left="206" w:right="197"/>
              <w:spacing w:before="99" w:line="255" w:lineRule="auto"/>
              <w:rPr/>
            </w:pPr>
            <w:r>
              <w:rPr>
                <w:spacing w:val="2"/>
              </w:rPr>
              <w:t>防治多数地表</w:t>
            </w:r>
            <w:r>
              <w:rPr/>
              <w:t xml:space="preserve"> </w:t>
            </w:r>
            <w:r>
              <w:rPr>
                <w:spacing w:val="1"/>
              </w:rPr>
              <w:t>以上危害草坪</w:t>
            </w:r>
          </w:p>
          <w:p>
            <w:pPr>
              <w:pStyle w:val="TableText"/>
              <w:ind w:left="206" w:right="193"/>
              <w:spacing w:before="2" w:line="210" w:lineRule="auto"/>
              <w:rPr/>
            </w:pPr>
            <w:r>
              <w:rPr>
                <w:spacing w:val="1"/>
              </w:rPr>
              <w:t>叶片的针吸性</w:t>
            </w:r>
            <w:r>
              <w:rPr>
                <w:spacing w:val="4"/>
              </w:rPr>
              <w:t xml:space="preserve"> </w:t>
            </w:r>
            <w:r>
              <w:rPr>
                <w:spacing w:val="3"/>
              </w:rPr>
              <w:t>与咀嚼性害虫</w:t>
            </w:r>
          </w:p>
        </w:tc>
        <w:tc>
          <w:tcPr>
            <w:tcW w:w="2333" w:type="dxa"/>
            <w:vAlign w:val="top"/>
          </w:tcPr>
          <w:p>
            <w:pPr>
              <w:pStyle w:val="TableText"/>
              <w:ind w:left="148" w:right="78"/>
              <w:spacing w:before="262" w:line="259" w:lineRule="auto"/>
              <w:jc w:val="both"/>
              <w:rPr/>
            </w:pPr>
            <w:r>
              <w:rPr>
                <w:spacing w:val="3"/>
              </w:rPr>
              <w:t>补充磷钾肥有利</w:t>
            </w:r>
            <w:r>
              <w:rPr/>
              <w:t xml:space="preserve"> </w:t>
            </w:r>
            <w:r>
              <w:rPr>
                <w:spacing w:val="1"/>
              </w:rPr>
              <w:t>于草坪长势及复</w:t>
            </w:r>
            <w:r>
              <w:rPr>
                <w:spacing w:val="5"/>
              </w:rPr>
              <w:t xml:space="preserve"> </w:t>
            </w:r>
            <w:r>
              <w:rPr>
                <w:spacing w:val="9"/>
              </w:rPr>
              <w:t>壮不污染叶片。</w:t>
            </w:r>
          </w:p>
        </w:tc>
      </w:tr>
    </w:tbl>
    <w:p>
      <w:pPr>
        <w:rPr>
          <w:rFonts w:ascii="Arial"/>
          <w:sz w:val="21"/>
        </w:rPr>
      </w:pPr>
      <w:r/>
    </w:p>
    <w:p>
      <w:pPr>
        <w:sectPr>
          <w:footerReference w:type="default" r:id="rId193"/>
          <w:pgSz w:w="14490" w:h="20470"/>
          <w:pgMar w:top="1715" w:right="1594" w:bottom="1385" w:left="1995" w:header="0" w:footer="1223" w:gutter="0"/>
        </w:sectPr>
        <w:rPr>
          <w:rFonts w:ascii="Arial" w:hAnsi="Arial" w:eastAsia="Arial" w:cs="Arial"/>
          <w:sz w:val="21"/>
          <w:szCs w:val="21"/>
        </w:rPr>
      </w:pPr>
    </w:p>
    <w:p>
      <w:pPr>
        <w:spacing w:before="169" w:line="221" w:lineRule="auto"/>
        <w:outlineLvl w:val="1"/>
        <w:rPr>
          <w:rFonts w:ascii="SimHei" w:hAnsi="SimHei" w:eastAsia="SimHei" w:cs="SimHei"/>
          <w:sz w:val="29"/>
          <w:szCs w:val="29"/>
        </w:rPr>
      </w:pPr>
      <w:bookmarkStart w:name="bookmark102" w:id="54"/>
      <w:bookmarkEnd w:id="54"/>
      <w:bookmarkStart w:name="bookmark31" w:id="55"/>
      <w:bookmarkEnd w:id="55"/>
      <w:r>
        <w:rPr>
          <w:rFonts w:ascii="SimHei" w:hAnsi="SimHei" w:eastAsia="SimHei" w:cs="SimHei"/>
          <w:sz w:val="29"/>
          <w:szCs w:val="29"/>
          <w:spacing w:val="3"/>
        </w:rPr>
        <w:t>十、草坪养护标准</w:t>
      </w:r>
    </w:p>
    <w:p>
      <w:pPr>
        <w:pStyle w:val="BodyText"/>
        <w:ind w:left="620"/>
        <w:spacing w:before="143" w:line="219" w:lineRule="auto"/>
        <w:rPr>
          <w:sz w:val="29"/>
          <w:szCs w:val="29"/>
        </w:rPr>
      </w:pPr>
      <w:r>
        <w:rPr>
          <w:rFonts w:ascii="Times New Roman" w:hAnsi="Times New Roman" w:eastAsia="Times New Roman" w:cs="Times New Roman"/>
          <w:sz w:val="29"/>
          <w:szCs w:val="29"/>
          <w:spacing w:val="-4"/>
        </w:rPr>
        <w:t>1</w:t>
      </w:r>
      <w:r>
        <w:rPr>
          <w:rFonts w:ascii="Times New Roman" w:hAnsi="Times New Roman" w:eastAsia="Times New Roman" w:cs="Times New Roman"/>
          <w:sz w:val="29"/>
          <w:szCs w:val="29"/>
          <w:spacing w:val="-32"/>
        </w:rPr>
        <w:t xml:space="preserve"> </w:t>
      </w:r>
      <w:r>
        <w:rPr>
          <w:sz w:val="29"/>
          <w:szCs w:val="29"/>
          <w:spacing w:val="-4"/>
        </w:rPr>
        <w:t>、草坪生长季节颜色纯正青翠无枯黄；</w:t>
      </w:r>
    </w:p>
    <w:p>
      <w:pPr>
        <w:pStyle w:val="BodyText"/>
        <w:ind w:left="570"/>
        <w:spacing w:before="127" w:line="219" w:lineRule="auto"/>
        <w:rPr>
          <w:sz w:val="29"/>
          <w:szCs w:val="29"/>
        </w:rPr>
      </w:pPr>
      <w:r>
        <w:rPr>
          <w:rFonts w:ascii="Times New Roman" w:hAnsi="Times New Roman" w:eastAsia="Times New Roman" w:cs="Times New Roman"/>
          <w:sz w:val="29"/>
          <w:szCs w:val="29"/>
        </w:rPr>
        <w:t>2</w:t>
      </w:r>
      <w:r>
        <w:rPr>
          <w:rFonts w:ascii="Times New Roman" w:hAnsi="Times New Roman" w:eastAsia="Times New Roman" w:cs="Times New Roman"/>
          <w:sz w:val="29"/>
          <w:szCs w:val="29"/>
          <w:spacing w:val="-24"/>
        </w:rPr>
        <w:t xml:space="preserve"> </w:t>
      </w:r>
      <w:r>
        <w:rPr>
          <w:sz w:val="29"/>
          <w:szCs w:val="29"/>
        </w:rPr>
        <w:t>、长势良好，无斑秃，无病虫害或病虫害得到及时控制不影响景观；</w:t>
      </w:r>
    </w:p>
    <w:p>
      <w:pPr>
        <w:pStyle w:val="BodyText"/>
        <w:ind w:right="105" w:firstLine="570"/>
        <w:spacing w:before="164" w:line="269" w:lineRule="auto"/>
        <w:rPr>
          <w:sz w:val="29"/>
          <w:szCs w:val="29"/>
        </w:rPr>
      </w:pPr>
      <w:r>
        <w:rPr>
          <w:rFonts w:ascii="Times New Roman" w:hAnsi="Times New Roman" w:eastAsia="Times New Roman" w:cs="Times New Roman"/>
          <w:sz w:val="29"/>
          <w:szCs w:val="29"/>
          <w:spacing w:val="1"/>
        </w:rPr>
        <w:t>3</w:t>
      </w:r>
      <w:r>
        <w:rPr>
          <w:rFonts w:ascii="Times New Roman" w:hAnsi="Times New Roman" w:eastAsia="Times New Roman" w:cs="Times New Roman"/>
          <w:sz w:val="29"/>
          <w:szCs w:val="29"/>
          <w:spacing w:val="-41"/>
        </w:rPr>
        <w:t xml:space="preserve"> </w:t>
      </w:r>
      <w:r>
        <w:rPr>
          <w:sz w:val="29"/>
          <w:szCs w:val="29"/>
          <w:spacing w:val="1"/>
        </w:rPr>
        <w:t>、及时修剪，修剪平整，边角修剪到位，与地被、与园建交界处切边到位</w:t>
      </w:r>
      <w:r>
        <w:rPr>
          <w:sz w:val="29"/>
          <w:szCs w:val="29"/>
        </w:rPr>
        <w:t xml:space="preserve"> </w:t>
      </w:r>
      <w:r>
        <w:rPr>
          <w:sz w:val="29"/>
          <w:szCs w:val="29"/>
          <w:spacing w:val="-14"/>
        </w:rPr>
        <w:t>线条美观；</w:t>
      </w:r>
    </w:p>
    <w:p>
      <w:pPr>
        <w:pStyle w:val="BodyText"/>
        <w:ind w:right="267" w:firstLine="570"/>
        <w:spacing w:before="146" w:line="267" w:lineRule="auto"/>
        <w:rPr>
          <w:sz w:val="29"/>
          <w:szCs w:val="29"/>
        </w:rPr>
      </w:pPr>
      <w:r>
        <w:rPr>
          <w:rFonts w:ascii="Times New Roman" w:hAnsi="Times New Roman" w:eastAsia="Times New Roman" w:cs="Times New Roman"/>
          <w:sz w:val="29"/>
          <w:szCs w:val="29"/>
          <w:spacing w:val="5"/>
        </w:rPr>
        <w:t>4</w:t>
      </w:r>
      <w:r>
        <w:rPr>
          <w:rFonts w:ascii="Times New Roman" w:hAnsi="Times New Roman" w:eastAsia="Times New Roman" w:cs="Times New Roman"/>
          <w:sz w:val="29"/>
          <w:szCs w:val="29"/>
          <w:spacing w:val="-41"/>
        </w:rPr>
        <w:t xml:space="preserve"> </w:t>
      </w:r>
      <w:r>
        <w:rPr>
          <w:sz w:val="29"/>
          <w:szCs w:val="29"/>
          <w:spacing w:val="5"/>
        </w:rPr>
        <w:t>、地形平整、无2平方米以下的小坑洼，与园建衔接顺畅(边沿</w:t>
      </w:r>
      <w:r>
        <w:rPr>
          <w:sz w:val="29"/>
          <w:szCs w:val="29"/>
          <w:spacing w:val="4"/>
        </w:rPr>
        <w:t>土面略低</w:t>
      </w:r>
      <w:r>
        <w:rPr>
          <w:sz w:val="29"/>
          <w:szCs w:val="29"/>
        </w:rPr>
        <w:t xml:space="preserve"> </w:t>
      </w:r>
      <w:r>
        <w:rPr>
          <w:sz w:val="29"/>
          <w:szCs w:val="29"/>
          <w:spacing w:val="6"/>
        </w:rPr>
        <w:t>于园建);</w:t>
      </w:r>
    </w:p>
    <w:p>
      <w:pPr>
        <w:pStyle w:val="BodyText"/>
        <w:ind w:left="570"/>
        <w:spacing w:before="132" w:line="219" w:lineRule="auto"/>
        <w:rPr>
          <w:sz w:val="29"/>
          <w:szCs w:val="29"/>
        </w:rPr>
      </w:pPr>
      <w:r>
        <w:rPr>
          <w:rFonts w:ascii="Times New Roman" w:hAnsi="Times New Roman" w:eastAsia="Times New Roman" w:cs="Times New Roman"/>
          <w:sz w:val="29"/>
          <w:szCs w:val="29"/>
          <w:spacing w:val="-3"/>
        </w:rPr>
        <w:t>5</w:t>
      </w:r>
      <w:r>
        <w:rPr>
          <w:rFonts w:ascii="Times New Roman" w:hAnsi="Times New Roman" w:eastAsia="Times New Roman" w:cs="Times New Roman"/>
          <w:sz w:val="29"/>
          <w:szCs w:val="29"/>
          <w:spacing w:val="-35"/>
        </w:rPr>
        <w:t xml:space="preserve"> </w:t>
      </w:r>
      <w:r>
        <w:rPr>
          <w:sz w:val="29"/>
          <w:szCs w:val="29"/>
          <w:spacing w:val="-3"/>
        </w:rPr>
        <w:t>、草坪清洁、无垃圾杂物；</w:t>
      </w:r>
    </w:p>
    <w:p>
      <w:pPr>
        <w:pStyle w:val="BodyText"/>
        <w:ind w:left="570"/>
        <w:spacing w:before="155" w:line="219" w:lineRule="auto"/>
        <w:rPr>
          <w:sz w:val="29"/>
          <w:szCs w:val="29"/>
        </w:rPr>
      </w:pPr>
      <w:r>
        <w:rPr>
          <w:rFonts w:ascii="Times New Roman" w:hAnsi="Times New Roman" w:eastAsia="Times New Roman" w:cs="Times New Roman"/>
          <w:sz w:val="29"/>
          <w:szCs w:val="29"/>
          <w:spacing w:val="-1"/>
        </w:rPr>
        <w:t>6</w:t>
      </w:r>
      <w:r>
        <w:rPr>
          <w:rFonts w:ascii="Times New Roman" w:hAnsi="Times New Roman" w:eastAsia="Times New Roman" w:cs="Times New Roman"/>
          <w:sz w:val="29"/>
          <w:szCs w:val="29"/>
          <w:spacing w:val="-36"/>
        </w:rPr>
        <w:t xml:space="preserve"> </w:t>
      </w:r>
      <w:r>
        <w:rPr>
          <w:sz w:val="29"/>
          <w:szCs w:val="29"/>
          <w:spacing w:val="-1"/>
        </w:rPr>
        <w:t>、及时拔除杂草，杂草率不影响景观；</w:t>
      </w:r>
    </w:p>
    <w:p>
      <w:pPr>
        <w:pStyle w:val="BodyText"/>
        <w:ind w:left="570"/>
        <w:spacing w:before="147" w:line="219" w:lineRule="auto"/>
        <w:rPr>
          <w:sz w:val="29"/>
          <w:szCs w:val="29"/>
        </w:rPr>
      </w:pPr>
      <w:r>
        <w:rPr>
          <w:rFonts w:ascii="Times New Roman" w:hAnsi="Times New Roman" w:eastAsia="Times New Roman" w:cs="Times New Roman"/>
          <w:sz w:val="29"/>
          <w:szCs w:val="29"/>
          <w:spacing w:val="-3"/>
        </w:rPr>
        <w:t>7</w:t>
      </w:r>
      <w:r>
        <w:rPr>
          <w:rFonts w:ascii="Times New Roman" w:hAnsi="Times New Roman" w:eastAsia="Times New Roman" w:cs="Times New Roman"/>
          <w:sz w:val="29"/>
          <w:szCs w:val="29"/>
          <w:spacing w:val="-40"/>
        </w:rPr>
        <w:t xml:space="preserve"> </w:t>
      </w:r>
      <w:r>
        <w:rPr>
          <w:sz w:val="29"/>
          <w:szCs w:val="29"/>
          <w:spacing w:val="-3"/>
        </w:rPr>
        <w:t>、无黄土裸露。</w:t>
      </w:r>
    </w:p>
    <w:p>
      <w:pPr>
        <w:ind w:firstLine="369"/>
        <w:spacing w:before="103" w:line="3580" w:lineRule="exact"/>
        <w:rPr/>
      </w:pPr>
      <w:r>
        <w:drawing>
          <wp:anchor distT="0" distB="0" distL="0" distR="0" simplePos="0" relativeHeight="251918336" behindDoc="0" locked="0" layoutInCell="1" allowOverlap="1">
            <wp:simplePos x="0" y="0"/>
            <wp:positionH relativeFrom="column">
              <wp:posOffset>3422643</wp:posOffset>
            </wp:positionH>
            <wp:positionV relativeFrom="paragraph">
              <wp:posOffset>84996</wp:posOffset>
            </wp:positionV>
            <wp:extent cx="3003531" cy="2254320"/>
            <wp:effectExtent l="0" t="0" r="0" b="0"/>
            <wp:wrapNone/>
            <wp:docPr id="264" name="IM 264"/>
            <wp:cNvGraphicFramePr/>
            <a:graphic>
              <a:graphicData uri="http://schemas.openxmlformats.org/drawingml/2006/picture">
                <pic:pic>
                  <pic:nvPicPr>
                    <pic:cNvPr id="264" name="IM 264"/>
                    <pic:cNvPicPr/>
                  </pic:nvPicPr>
                  <pic:blipFill>
                    <a:blip r:embed="rId195"/>
                    <a:stretch>
                      <a:fillRect/>
                    </a:stretch>
                  </pic:blipFill>
                  <pic:spPr>
                    <a:xfrm rot="0">
                      <a:off x="0" y="0"/>
                      <a:ext cx="3003531" cy="2254320"/>
                    </a:xfrm>
                    <a:prstGeom prst="rect">
                      <a:avLst/>
                    </a:prstGeom>
                  </pic:spPr>
                </pic:pic>
              </a:graphicData>
            </a:graphic>
          </wp:anchor>
        </w:drawing>
      </w:r>
      <w:r>
        <w:rPr>
          <w:position w:val="-71"/>
        </w:rPr>
        <w:drawing>
          <wp:inline distT="0" distB="0" distL="0" distR="0">
            <wp:extent cx="3003623" cy="2273298"/>
            <wp:effectExtent l="0" t="0" r="0" b="0"/>
            <wp:docPr id="266" name="IM 266"/>
            <wp:cNvGraphicFramePr/>
            <a:graphic>
              <a:graphicData uri="http://schemas.openxmlformats.org/drawingml/2006/picture">
                <pic:pic>
                  <pic:nvPicPr>
                    <pic:cNvPr id="266" name="IM 266"/>
                    <pic:cNvPicPr/>
                  </pic:nvPicPr>
                  <pic:blipFill>
                    <a:blip r:embed="rId196"/>
                    <a:stretch>
                      <a:fillRect/>
                    </a:stretch>
                  </pic:blipFill>
                  <pic:spPr>
                    <a:xfrm rot="0">
                      <a:off x="0" y="0"/>
                      <a:ext cx="3003623" cy="2273298"/>
                    </a:xfrm>
                    <a:prstGeom prst="rect">
                      <a:avLst/>
                    </a:prstGeom>
                  </pic:spPr>
                </pic:pic>
              </a:graphicData>
            </a:graphic>
          </wp:inline>
        </w:drawing>
      </w:r>
    </w:p>
    <w:p>
      <w:pPr>
        <w:ind w:firstLine="389"/>
        <w:spacing w:before="240" w:line="3570" w:lineRule="exact"/>
        <w:rPr/>
      </w:pPr>
      <w:r>
        <w:drawing>
          <wp:anchor distT="0" distB="0" distL="0" distR="0" simplePos="0" relativeHeight="251917312" behindDoc="0" locked="0" layoutInCell="1" allowOverlap="1">
            <wp:simplePos x="0" y="0"/>
            <wp:positionH relativeFrom="column">
              <wp:posOffset>3428992</wp:posOffset>
            </wp:positionH>
            <wp:positionV relativeFrom="paragraph">
              <wp:posOffset>158711</wp:posOffset>
            </wp:positionV>
            <wp:extent cx="2997182" cy="2266929"/>
            <wp:effectExtent l="0" t="0" r="0" b="0"/>
            <wp:wrapNone/>
            <wp:docPr id="268" name="IM 268"/>
            <wp:cNvGraphicFramePr/>
            <a:graphic>
              <a:graphicData uri="http://schemas.openxmlformats.org/drawingml/2006/picture">
                <pic:pic>
                  <pic:nvPicPr>
                    <pic:cNvPr id="268" name="IM 268"/>
                    <pic:cNvPicPr/>
                  </pic:nvPicPr>
                  <pic:blipFill>
                    <a:blip r:embed="rId197"/>
                    <a:stretch>
                      <a:fillRect/>
                    </a:stretch>
                  </pic:blipFill>
                  <pic:spPr>
                    <a:xfrm rot="0">
                      <a:off x="0" y="0"/>
                      <a:ext cx="2997182" cy="2266929"/>
                    </a:xfrm>
                    <a:prstGeom prst="rect">
                      <a:avLst/>
                    </a:prstGeom>
                  </pic:spPr>
                </pic:pic>
              </a:graphicData>
            </a:graphic>
          </wp:anchor>
        </w:drawing>
      </w:r>
      <w:r>
        <w:rPr>
          <w:position w:val="-71"/>
        </w:rPr>
        <w:drawing>
          <wp:inline distT="0" distB="0" distL="0" distR="0">
            <wp:extent cx="2990925" cy="2266929"/>
            <wp:effectExtent l="0" t="0" r="0" b="0"/>
            <wp:docPr id="270" name="IM 270"/>
            <wp:cNvGraphicFramePr/>
            <a:graphic>
              <a:graphicData uri="http://schemas.openxmlformats.org/drawingml/2006/picture">
                <pic:pic>
                  <pic:nvPicPr>
                    <pic:cNvPr id="270" name="IM 270"/>
                    <pic:cNvPicPr/>
                  </pic:nvPicPr>
                  <pic:blipFill>
                    <a:blip r:embed="rId198"/>
                    <a:stretch>
                      <a:fillRect/>
                    </a:stretch>
                  </pic:blipFill>
                  <pic:spPr>
                    <a:xfrm rot="0">
                      <a:off x="0" y="0"/>
                      <a:ext cx="2990925" cy="2266929"/>
                    </a:xfrm>
                    <a:prstGeom prst="rect">
                      <a:avLst/>
                    </a:prstGeom>
                  </pic:spPr>
                </pic:pic>
              </a:graphicData>
            </a:graphic>
          </wp:inline>
        </w:drawing>
      </w:r>
    </w:p>
    <w:p>
      <w:pPr>
        <w:ind w:firstLine="409"/>
        <w:spacing w:before="240" w:line="3540" w:lineRule="exact"/>
        <w:rPr/>
      </w:pPr>
      <w:r>
        <w:drawing>
          <wp:anchor distT="0" distB="0" distL="0" distR="0" simplePos="0" relativeHeight="251919360" behindDoc="0" locked="0" layoutInCell="1" allowOverlap="1">
            <wp:simplePos x="0" y="0"/>
            <wp:positionH relativeFrom="column">
              <wp:posOffset>3428992</wp:posOffset>
            </wp:positionH>
            <wp:positionV relativeFrom="paragraph">
              <wp:posOffset>158841</wp:posOffset>
            </wp:positionV>
            <wp:extent cx="2997182" cy="2247821"/>
            <wp:effectExtent l="0" t="0" r="0" b="0"/>
            <wp:wrapNone/>
            <wp:docPr id="272" name="IM 272"/>
            <wp:cNvGraphicFramePr/>
            <a:graphic>
              <a:graphicData uri="http://schemas.openxmlformats.org/drawingml/2006/picture">
                <pic:pic>
                  <pic:nvPicPr>
                    <pic:cNvPr id="272" name="IM 272"/>
                    <pic:cNvPicPr/>
                  </pic:nvPicPr>
                  <pic:blipFill>
                    <a:blip r:embed="rId199"/>
                    <a:stretch>
                      <a:fillRect/>
                    </a:stretch>
                  </pic:blipFill>
                  <pic:spPr>
                    <a:xfrm rot="0">
                      <a:off x="0" y="0"/>
                      <a:ext cx="2997182" cy="2247821"/>
                    </a:xfrm>
                    <a:prstGeom prst="rect">
                      <a:avLst/>
                    </a:prstGeom>
                  </pic:spPr>
                </pic:pic>
              </a:graphicData>
            </a:graphic>
          </wp:anchor>
        </w:drawing>
      </w:r>
      <w:r>
        <w:rPr>
          <w:position w:val="-70"/>
        </w:rPr>
        <w:drawing>
          <wp:inline distT="0" distB="0" distL="0" distR="0">
            <wp:extent cx="2984577" cy="2247821"/>
            <wp:effectExtent l="0" t="0" r="0" b="0"/>
            <wp:docPr id="274" name="IM 274"/>
            <wp:cNvGraphicFramePr/>
            <a:graphic>
              <a:graphicData uri="http://schemas.openxmlformats.org/drawingml/2006/picture">
                <pic:pic>
                  <pic:nvPicPr>
                    <pic:cNvPr id="274" name="IM 274"/>
                    <pic:cNvPicPr/>
                  </pic:nvPicPr>
                  <pic:blipFill>
                    <a:blip r:embed="rId200"/>
                    <a:stretch>
                      <a:fillRect/>
                    </a:stretch>
                  </pic:blipFill>
                  <pic:spPr>
                    <a:xfrm rot="0">
                      <a:off x="0" y="0"/>
                      <a:ext cx="2984577" cy="2247821"/>
                    </a:xfrm>
                    <a:prstGeom prst="rect">
                      <a:avLst/>
                    </a:prstGeom>
                  </pic:spPr>
                </pic:pic>
              </a:graphicData>
            </a:graphic>
          </wp:inline>
        </w:drawing>
      </w:r>
    </w:p>
    <w:p>
      <w:pPr>
        <w:pStyle w:val="BodyText"/>
        <w:ind w:left="3849"/>
        <w:spacing w:before="162" w:line="219" w:lineRule="auto"/>
        <w:rPr>
          <w:sz w:val="27"/>
          <w:szCs w:val="27"/>
        </w:rPr>
      </w:pPr>
      <w:r>
        <w:rPr>
          <w:sz w:val="27"/>
          <w:szCs w:val="27"/>
          <w:spacing w:val="-17"/>
        </w:rPr>
        <w:t>图4-10-1草坪养护标准</w:t>
      </w:r>
    </w:p>
    <w:p>
      <w:pPr>
        <w:spacing w:line="219" w:lineRule="auto"/>
        <w:sectPr>
          <w:footerReference w:type="default" r:id="rId194"/>
          <w:pgSz w:w="14490" w:h="20470"/>
          <w:pgMar w:top="1739" w:right="2173" w:bottom="1448" w:left="2150" w:header="0" w:footer="1203" w:gutter="0"/>
        </w:sectPr>
        <w:rPr>
          <w:sz w:val="27"/>
          <w:szCs w:val="27"/>
        </w:rPr>
      </w:pPr>
    </w:p>
    <w:p>
      <w:pPr>
        <w:ind w:left="3446"/>
        <w:spacing w:before="159" w:line="222" w:lineRule="auto"/>
        <w:outlineLvl w:val="0"/>
        <w:rPr>
          <w:rFonts w:ascii="SimHei" w:hAnsi="SimHei" w:eastAsia="SimHei" w:cs="SimHei"/>
          <w:sz w:val="48"/>
          <w:szCs w:val="48"/>
        </w:rPr>
      </w:pPr>
      <w:bookmarkStart w:name="bookmark103" w:id="56"/>
      <w:bookmarkEnd w:id="56"/>
      <w:bookmarkStart w:name="bookmark32" w:id="57"/>
      <w:bookmarkEnd w:id="57"/>
      <w:r>
        <w:rPr>
          <w:rFonts w:ascii="SimHei" w:hAnsi="SimHei" w:eastAsia="SimHei" w:cs="SimHei"/>
          <w:sz w:val="48"/>
          <w:szCs w:val="48"/>
          <w:b/>
          <w:bCs/>
          <w:spacing w:val="-37"/>
        </w:rPr>
        <w:t>第五章</w:t>
      </w:r>
      <w:r>
        <w:rPr>
          <w:rFonts w:ascii="SimHei" w:hAnsi="SimHei" w:eastAsia="SimHei" w:cs="SimHei"/>
          <w:sz w:val="48"/>
          <w:szCs w:val="48"/>
          <w:spacing w:val="-37"/>
        </w:rPr>
        <w:t xml:space="preserve">  </w:t>
      </w:r>
      <w:r>
        <w:rPr>
          <w:rFonts w:ascii="SimHei" w:hAnsi="SimHei" w:eastAsia="SimHei" w:cs="SimHei"/>
          <w:sz w:val="48"/>
          <w:szCs w:val="48"/>
          <w:b/>
          <w:bCs/>
          <w:spacing w:val="-37"/>
        </w:rPr>
        <w:t>时花维护</w:t>
      </w:r>
    </w:p>
    <w:p>
      <w:pPr>
        <w:spacing w:line="307" w:lineRule="auto"/>
        <w:rPr>
          <w:rFonts w:ascii="Arial"/>
          <w:sz w:val="21"/>
        </w:rPr>
      </w:pPr>
      <w:r/>
    </w:p>
    <w:p>
      <w:pPr>
        <w:spacing w:line="308" w:lineRule="auto"/>
        <w:rPr>
          <w:rFonts w:ascii="Arial"/>
          <w:sz w:val="21"/>
        </w:rPr>
      </w:pPr>
      <w:r/>
    </w:p>
    <w:p>
      <w:pPr>
        <w:pStyle w:val="BodyText"/>
        <w:ind w:left="590"/>
        <w:spacing w:before="94" w:line="219" w:lineRule="auto"/>
        <w:rPr>
          <w:sz w:val="29"/>
          <w:szCs w:val="29"/>
        </w:rPr>
      </w:pPr>
      <w:r>
        <w:rPr>
          <w:sz w:val="29"/>
          <w:szCs w:val="29"/>
          <w:spacing w:val="2"/>
        </w:rPr>
        <w:t>时花的维护主要包含浇水、施肥、除草、修</w:t>
      </w:r>
      <w:r>
        <w:rPr>
          <w:sz w:val="29"/>
          <w:szCs w:val="29"/>
          <w:spacing w:val="1"/>
        </w:rPr>
        <w:t>剪等工作。</w:t>
      </w:r>
    </w:p>
    <w:p>
      <w:pPr>
        <w:spacing w:before="165" w:line="222" w:lineRule="auto"/>
        <w:rPr>
          <w:rFonts w:ascii="SimHei" w:hAnsi="SimHei" w:eastAsia="SimHei" w:cs="SimHei"/>
          <w:sz w:val="28"/>
          <w:szCs w:val="28"/>
        </w:rPr>
      </w:pPr>
      <w:r>
        <w:rPr>
          <w:rFonts w:ascii="SimHei" w:hAnsi="SimHei" w:eastAsia="SimHei" w:cs="SimHei"/>
          <w:sz w:val="28"/>
          <w:szCs w:val="28"/>
          <w:spacing w:val="1"/>
        </w:rPr>
        <w:t>一</w:t>
      </w:r>
      <w:r>
        <w:rPr>
          <w:rFonts w:ascii="SimHei" w:hAnsi="SimHei" w:eastAsia="SimHei" w:cs="SimHei"/>
          <w:sz w:val="28"/>
          <w:szCs w:val="28"/>
          <w:spacing w:val="-72"/>
        </w:rPr>
        <w:t xml:space="preserve"> </w:t>
      </w:r>
      <w:r>
        <w:rPr>
          <w:rFonts w:ascii="SimHei" w:hAnsi="SimHei" w:eastAsia="SimHei" w:cs="SimHei"/>
          <w:sz w:val="28"/>
          <w:szCs w:val="28"/>
          <w:spacing w:val="1"/>
        </w:rPr>
        <w:t>、维护标准</w:t>
      </w:r>
    </w:p>
    <w:p>
      <w:pPr>
        <w:pStyle w:val="BodyText"/>
        <w:ind w:left="590"/>
        <w:spacing w:before="155" w:line="219" w:lineRule="auto"/>
        <w:rPr>
          <w:sz w:val="29"/>
          <w:szCs w:val="29"/>
        </w:rPr>
      </w:pPr>
      <w:r>
        <w:rPr>
          <w:rFonts w:ascii="Times New Roman" w:hAnsi="Times New Roman" w:eastAsia="Times New Roman" w:cs="Times New Roman"/>
          <w:sz w:val="29"/>
          <w:szCs w:val="29"/>
          <w:spacing w:val="-1"/>
        </w:rPr>
        <w:t>1</w:t>
      </w:r>
      <w:r>
        <w:rPr>
          <w:rFonts w:ascii="Times New Roman" w:hAnsi="Times New Roman" w:eastAsia="Times New Roman" w:cs="Times New Roman"/>
          <w:sz w:val="29"/>
          <w:szCs w:val="29"/>
          <w:spacing w:val="-34"/>
        </w:rPr>
        <w:t xml:space="preserve"> </w:t>
      </w:r>
      <w:r>
        <w:rPr>
          <w:sz w:val="29"/>
          <w:szCs w:val="29"/>
          <w:spacing w:val="-1"/>
        </w:rPr>
        <w:t>、时花摆放或种植整齐，内高外低，线条美观，显眼处不露胶袋；</w:t>
      </w:r>
    </w:p>
    <w:p>
      <w:pPr>
        <w:pStyle w:val="BodyText"/>
        <w:ind w:left="590"/>
        <w:spacing w:before="136" w:line="219" w:lineRule="auto"/>
        <w:rPr>
          <w:sz w:val="29"/>
          <w:szCs w:val="29"/>
        </w:rPr>
      </w:pPr>
      <w:r>
        <w:rPr>
          <w:rFonts w:ascii="Times New Roman" w:hAnsi="Times New Roman" w:eastAsia="Times New Roman" w:cs="Times New Roman"/>
          <w:sz w:val="29"/>
          <w:szCs w:val="29"/>
        </w:rPr>
        <w:t>2</w:t>
      </w:r>
      <w:r>
        <w:rPr>
          <w:rFonts w:ascii="Times New Roman" w:hAnsi="Times New Roman" w:eastAsia="Times New Roman" w:cs="Times New Roman"/>
          <w:sz w:val="29"/>
          <w:szCs w:val="29"/>
          <w:spacing w:val="-24"/>
        </w:rPr>
        <w:t xml:space="preserve"> </w:t>
      </w:r>
      <w:r>
        <w:rPr>
          <w:sz w:val="29"/>
          <w:szCs w:val="29"/>
        </w:rPr>
        <w:t>、花卉生长良好，同种花色区域内无杂色，株形丰满、整齐；</w:t>
      </w:r>
    </w:p>
    <w:p>
      <w:pPr>
        <w:pStyle w:val="BodyText"/>
        <w:ind w:left="590"/>
        <w:spacing w:before="154" w:line="219" w:lineRule="auto"/>
        <w:rPr>
          <w:sz w:val="29"/>
          <w:szCs w:val="29"/>
        </w:rPr>
      </w:pPr>
      <w:r>
        <w:rPr>
          <w:rFonts w:ascii="Times New Roman" w:hAnsi="Times New Roman" w:eastAsia="Times New Roman" w:cs="Times New Roman"/>
          <w:sz w:val="29"/>
          <w:szCs w:val="29"/>
        </w:rPr>
        <w:t>3</w:t>
      </w:r>
      <w:r>
        <w:rPr>
          <w:sz w:val="29"/>
          <w:szCs w:val="29"/>
        </w:rPr>
        <w:t>、花钵顶面线条弧线形，边沿不露土、不露脚、不露胶袋；</w:t>
      </w:r>
    </w:p>
    <w:p>
      <w:pPr>
        <w:pStyle w:val="BodyText"/>
        <w:ind w:left="590"/>
        <w:spacing w:before="126" w:line="219" w:lineRule="auto"/>
        <w:rPr>
          <w:sz w:val="29"/>
          <w:szCs w:val="29"/>
        </w:rPr>
      </w:pPr>
      <w:r>
        <w:rPr>
          <w:rFonts w:ascii="Times New Roman" w:hAnsi="Times New Roman" w:eastAsia="Times New Roman" w:cs="Times New Roman"/>
          <w:sz w:val="29"/>
          <w:szCs w:val="29"/>
        </w:rPr>
        <w:t>4</w:t>
      </w:r>
      <w:r>
        <w:rPr>
          <w:sz w:val="29"/>
          <w:szCs w:val="29"/>
        </w:rPr>
        <w:t>、无缺水干旱、无明显病虫害、无高出花面的杂</w:t>
      </w:r>
      <w:r>
        <w:rPr>
          <w:sz w:val="29"/>
          <w:szCs w:val="29"/>
          <w:spacing w:val="-1"/>
        </w:rPr>
        <w:t>草；</w:t>
      </w:r>
    </w:p>
    <w:p>
      <w:pPr>
        <w:pStyle w:val="BodyText"/>
        <w:ind w:right="24" w:firstLine="590"/>
        <w:spacing w:before="157" w:line="279" w:lineRule="auto"/>
        <w:rPr>
          <w:sz w:val="29"/>
          <w:szCs w:val="29"/>
        </w:rPr>
      </w:pPr>
      <w:r>
        <w:rPr>
          <w:rFonts w:ascii="Times New Roman" w:hAnsi="Times New Roman" w:eastAsia="Times New Roman" w:cs="Times New Roman"/>
          <w:sz w:val="29"/>
          <w:szCs w:val="29"/>
          <w:spacing w:val="3"/>
        </w:rPr>
        <w:t>5</w:t>
      </w:r>
      <w:r>
        <w:rPr>
          <w:rFonts w:ascii="Times New Roman" w:hAnsi="Times New Roman" w:eastAsia="Times New Roman" w:cs="Times New Roman"/>
          <w:sz w:val="29"/>
          <w:szCs w:val="29"/>
          <w:spacing w:val="-41"/>
        </w:rPr>
        <w:t xml:space="preserve"> </w:t>
      </w:r>
      <w:r>
        <w:rPr>
          <w:sz w:val="29"/>
          <w:szCs w:val="29"/>
          <w:spacing w:val="3"/>
        </w:rPr>
        <w:t>、时花摆放后期，无残花枯叶，对已失去观赏价值的及时整体</w:t>
      </w:r>
      <w:r>
        <w:rPr>
          <w:sz w:val="29"/>
          <w:szCs w:val="29"/>
          <w:spacing w:val="2"/>
        </w:rPr>
        <w:t>更换；若每</w:t>
      </w:r>
      <w:r>
        <w:rPr>
          <w:sz w:val="29"/>
          <w:szCs w:val="29"/>
        </w:rPr>
        <w:t xml:space="preserve"> </w:t>
      </w:r>
      <w:r>
        <w:rPr>
          <w:sz w:val="29"/>
          <w:szCs w:val="29"/>
        </w:rPr>
        <w:t>盆时花内处于较佳观赏期的1/3时定为待换花；花坛中</w:t>
      </w:r>
      <w:r>
        <w:rPr>
          <w:sz w:val="29"/>
          <w:szCs w:val="29"/>
          <w:spacing w:val="-1"/>
        </w:rPr>
        <w:t>待换花的比例超过1/2时要</w:t>
      </w:r>
      <w:r>
        <w:rPr>
          <w:sz w:val="29"/>
          <w:szCs w:val="29"/>
        </w:rPr>
        <w:t xml:space="preserve"> </w:t>
      </w:r>
      <w:r>
        <w:rPr>
          <w:sz w:val="29"/>
          <w:szCs w:val="29"/>
          <w:spacing w:val="-5"/>
        </w:rPr>
        <w:t>求全部更换。</w:t>
      </w:r>
    </w:p>
    <w:p>
      <w:pPr>
        <w:spacing w:before="244" w:line="222" w:lineRule="auto"/>
        <w:rPr>
          <w:rFonts w:ascii="SimHei" w:hAnsi="SimHei" w:eastAsia="SimHei" w:cs="SimHei"/>
          <w:sz w:val="29"/>
          <w:szCs w:val="29"/>
        </w:rPr>
      </w:pPr>
      <w:r>
        <w:rPr>
          <w:rFonts w:ascii="SimHei" w:hAnsi="SimHei" w:eastAsia="SimHei" w:cs="SimHei"/>
          <w:sz w:val="29"/>
          <w:szCs w:val="29"/>
          <w:spacing w:val="2"/>
        </w:rPr>
        <w:t>二、浇水</w:t>
      </w:r>
    </w:p>
    <w:p>
      <w:pPr>
        <w:pStyle w:val="BodyText"/>
        <w:ind w:left="590"/>
        <w:spacing w:before="101" w:line="219" w:lineRule="auto"/>
        <w:rPr>
          <w:sz w:val="29"/>
          <w:szCs w:val="29"/>
        </w:rPr>
      </w:pPr>
      <w:r>
        <w:rPr>
          <w:sz w:val="29"/>
          <w:szCs w:val="29"/>
        </w:rPr>
        <w:t>时花种植或摆放后浇水及时，不出现缺水干旱时花</w:t>
      </w:r>
      <w:r>
        <w:rPr>
          <w:sz w:val="29"/>
          <w:szCs w:val="29"/>
          <w:spacing w:val="-1"/>
        </w:rPr>
        <w:t>萎蔫枯萎现象。</w:t>
      </w:r>
    </w:p>
    <w:p>
      <w:pPr>
        <w:spacing w:before="173" w:line="226" w:lineRule="auto"/>
        <w:rPr>
          <w:rFonts w:ascii="SimHei" w:hAnsi="SimHei" w:eastAsia="SimHei" w:cs="SimHei"/>
          <w:sz w:val="28"/>
          <w:szCs w:val="28"/>
        </w:rPr>
      </w:pPr>
      <w:r>
        <w:rPr>
          <w:rFonts w:ascii="SimHei" w:hAnsi="SimHei" w:eastAsia="SimHei" w:cs="SimHei"/>
          <w:sz w:val="28"/>
          <w:szCs w:val="28"/>
          <w:spacing w:val="-4"/>
        </w:rPr>
        <w:t>三</w:t>
      </w:r>
      <w:r>
        <w:rPr>
          <w:rFonts w:ascii="SimHei" w:hAnsi="SimHei" w:eastAsia="SimHei" w:cs="SimHei"/>
          <w:sz w:val="28"/>
          <w:szCs w:val="28"/>
          <w:spacing w:val="-74"/>
        </w:rPr>
        <w:t xml:space="preserve"> </w:t>
      </w:r>
      <w:r>
        <w:rPr>
          <w:rFonts w:ascii="SimHei" w:hAnsi="SimHei" w:eastAsia="SimHei" w:cs="SimHei"/>
          <w:sz w:val="28"/>
          <w:szCs w:val="28"/>
          <w:spacing w:val="-4"/>
        </w:rPr>
        <w:t>、施肥</w:t>
      </w:r>
    </w:p>
    <w:p>
      <w:pPr>
        <w:pStyle w:val="BodyText"/>
        <w:ind w:right="392" w:firstLine="590"/>
        <w:spacing w:before="128" w:line="309" w:lineRule="auto"/>
        <w:rPr>
          <w:sz w:val="29"/>
          <w:szCs w:val="29"/>
        </w:rPr>
      </w:pPr>
      <w:r>
        <w:rPr>
          <w:sz w:val="29"/>
          <w:szCs w:val="29"/>
          <w:spacing w:val="3"/>
        </w:rPr>
        <w:t>种植前结合土壤整理有施用8—10</w:t>
      </w:r>
      <w:r>
        <w:rPr>
          <w:rFonts w:ascii="Times New Roman" w:hAnsi="Times New Roman" w:eastAsia="Times New Roman" w:cs="Times New Roman"/>
          <w:sz w:val="29"/>
          <w:szCs w:val="29"/>
          <w:spacing w:val="3"/>
        </w:rPr>
        <w:t>g/m</w:t>
      </w:r>
      <w:r>
        <w:rPr>
          <w:rFonts w:ascii="Times New Roman" w:hAnsi="Times New Roman" w:eastAsia="Times New Roman" w:cs="Times New Roman"/>
          <w:sz w:val="29"/>
          <w:szCs w:val="29"/>
          <w:spacing w:val="2"/>
        </w:rPr>
        <w:t>²</w:t>
      </w:r>
      <w:r>
        <w:rPr>
          <w:sz w:val="29"/>
          <w:szCs w:val="29"/>
          <w:spacing w:val="2"/>
        </w:rPr>
        <w:t>复合肥或有机肥，种植后酌情撒施</w:t>
      </w:r>
      <w:r>
        <w:rPr>
          <w:sz w:val="29"/>
          <w:szCs w:val="29"/>
        </w:rPr>
        <w:t xml:space="preserve"> </w:t>
      </w:r>
      <w:r>
        <w:rPr>
          <w:sz w:val="29"/>
          <w:szCs w:val="29"/>
          <w:spacing w:val="12"/>
        </w:rPr>
        <w:t>5—8</w:t>
      </w:r>
      <w:r>
        <w:rPr>
          <w:sz w:val="29"/>
          <w:szCs w:val="29"/>
          <w:spacing w:val="-62"/>
        </w:rPr>
        <w:t xml:space="preserve"> </w:t>
      </w:r>
      <w:r>
        <w:rPr>
          <w:rFonts w:ascii="Times New Roman" w:hAnsi="Times New Roman" w:eastAsia="Times New Roman" w:cs="Times New Roman"/>
          <w:sz w:val="29"/>
          <w:szCs w:val="29"/>
          <w:spacing w:val="12"/>
        </w:rPr>
        <w:t>g/m²</w:t>
      </w:r>
      <w:r>
        <w:rPr>
          <w:sz w:val="29"/>
          <w:szCs w:val="29"/>
          <w:spacing w:val="12"/>
        </w:rPr>
        <w:t>复合肥后浇水补肥。</w:t>
      </w:r>
    </w:p>
    <w:p>
      <w:pPr>
        <w:spacing w:before="21" w:line="221" w:lineRule="auto"/>
        <w:rPr>
          <w:rFonts w:ascii="SimHei" w:hAnsi="SimHei" w:eastAsia="SimHei" w:cs="SimHei"/>
          <w:sz w:val="29"/>
          <w:szCs w:val="29"/>
        </w:rPr>
      </w:pPr>
      <w:r>
        <w:rPr>
          <w:rFonts w:ascii="SimHei" w:hAnsi="SimHei" w:eastAsia="SimHei" w:cs="SimHei"/>
          <w:sz w:val="29"/>
          <w:szCs w:val="29"/>
          <w:spacing w:val="-4"/>
        </w:rPr>
        <w:t>四、虫害防治</w:t>
      </w:r>
    </w:p>
    <w:p>
      <w:pPr>
        <w:pStyle w:val="BodyText"/>
        <w:ind w:right="280" w:firstLine="590"/>
        <w:spacing w:before="156" w:line="314" w:lineRule="auto"/>
        <w:rPr>
          <w:sz w:val="29"/>
          <w:szCs w:val="29"/>
        </w:rPr>
      </w:pPr>
      <w:r>
        <w:rPr>
          <w:sz w:val="29"/>
          <w:szCs w:val="29"/>
          <w:spacing w:val="-8"/>
        </w:rPr>
        <w:t>时花会受蚜虫、凤蛾、蝶类等幼虫侵害，用常用</w:t>
      </w:r>
      <w:r>
        <w:rPr>
          <w:sz w:val="29"/>
          <w:szCs w:val="29"/>
          <w:spacing w:val="-9"/>
        </w:rPr>
        <w:t>杀虫剂即可。控制虫害应在</w:t>
      </w:r>
      <w:r>
        <w:rPr>
          <w:sz w:val="29"/>
          <w:szCs w:val="29"/>
        </w:rPr>
        <w:t xml:space="preserve"> </w:t>
      </w:r>
      <w:r>
        <w:rPr>
          <w:sz w:val="29"/>
          <w:szCs w:val="29"/>
        </w:rPr>
        <w:t>发生初期，检查时应无明显虫害。</w:t>
      </w:r>
    </w:p>
    <w:p>
      <w:pPr>
        <w:spacing w:before="71" w:line="222" w:lineRule="auto"/>
        <w:rPr>
          <w:rFonts w:ascii="SimHei" w:hAnsi="SimHei" w:eastAsia="SimHei" w:cs="SimHei"/>
          <w:sz w:val="29"/>
          <w:szCs w:val="29"/>
        </w:rPr>
      </w:pPr>
      <w:r>
        <w:rPr>
          <w:rFonts w:ascii="SimHei" w:hAnsi="SimHei" w:eastAsia="SimHei" w:cs="SimHei"/>
          <w:sz w:val="29"/>
          <w:szCs w:val="29"/>
          <w:spacing w:val="3"/>
        </w:rPr>
        <w:t>五、除草</w:t>
      </w:r>
    </w:p>
    <w:p>
      <w:pPr>
        <w:pStyle w:val="BodyText"/>
        <w:ind w:left="590"/>
        <w:spacing w:before="124" w:line="219" w:lineRule="auto"/>
        <w:rPr>
          <w:sz w:val="29"/>
          <w:szCs w:val="29"/>
        </w:rPr>
      </w:pPr>
      <w:r>
        <w:rPr>
          <w:sz w:val="29"/>
          <w:szCs w:val="29"/>
        </w:rPr>
        <w:t>及时人工拔除，检查时应无明显杂草，无高出花面杂草。</w:t>
      </w:r>
    </w:p>
    <w:p>
      <w:pPr>
        <w:spacing w:before="133" w:line="221" w:lineRule="auto"/>
        <w:rPr>
          <w:rFonts w:ascii="SimHei" w:hAnsi="SimHei" w:eastAsia="SimHei" w:cs="SimHei"/>
          <w:sz w:val="29"/>
          <w:szCs w:val="29"/>
        </w:rPr>
      </w:pPr>
      <w:r>
        <w:rPr>
          <w:rFonts w:ascii="SimHei" w:hAnsi="SimHei" w:eastAsia="SimHei" w:cs="SimHei"/>
          <w:sz w:val="29"/>
          <w:szCs w:val="29"/>
          <w:spacing w:val="4"/>
        </w:rPr>
        <w:t>六、修剪</w:t>
      </w:r>
    </w:p>
    <w:p>
      <w:pPr>
        <w:pStyle w:val="BodyText"/>
        <w:ind w:left="590"/>
        <w:spacing w:before="155" w:line="219" w:lineRule="auto"/>
        <w:rPr>
          <w:sz w:val="29"/>
          <w:szCs w:val="29"/>
        </w:rPr>
      </w:pPr>
      <w:r>
        <w:rPr>
          <w:sz w:val="29"/>
          <w:szCs w:val="29"/>
        </w:rPr>
        <w:t>及时摘除残花枯叶检查时应无明显残花枯叶。</w:t>
      </w:r>
    </w:p>
    <w:p>
      <w:pPr>
        <w:spacing w:line="219" w:lineRule="auto"/>
        <w:sectPr>
          <w:footerReference w:type="default" r:id="rId201"/>
          <w:pgSz w:w="14490" w:h="20470"/>
          <w:pgMar w:top="1739" w:right="2173" w:bottom="1385" w:left="2150" w:header="0" w:footer="1223" w:gutter="0"/>
        </w:sectPr>
        <w:rPr>
          <w:sz w:val="29"/>
          <w:szCs w:val="29"/>
        </w:rPr>
      </w:pPr>
    </w:p>
    <w:p>
      <w:pPr>
        <w:ind w:firstLine="6"/>
        <w:spacing w:before="119" w:line="3901" w:lineRule="exact"/>
        <w:rPr/>
      </w:pPr>
      <w:r>
        <w:drawing>
          <wp:anchor distT="0" distB="0" distL="0" distR="0" simplePos="0" relativeHeight="251928576" behindDoc="0" locked="0" layoutInCell="1" allowOverlap="1">
            <wp:simplePos x="0" y="0"/>
            <wp:positionH relativeFrom="column">
              <wp:posOffset>3293459</wp:posOffset>
            </wp:positionH>
            <wp:positionV relativeFrom="paragraph">
              <wp:posOffset>88908</wp:posOffset>
            </wp:positionV>
            <wp:extent cx="3073367" cy="2470225"/>
            <wp:effectExtent l="0" t="0" r="0" b="0"/>
            <wp:wrapNone/>
            <wp:docPr id="276" name="IM 276"/>
            <wp:cNvGraphicFramePr/>
            <a:graphic>
              <a:graphicData uri="http://schemas.openxmlformats.org/drawingml/2006/picture">
                <pic:pic>
                  <pic:nvPicPr>
                    <pic:cNvPr id="276" name="IM 276"/>
                    <pic:cNvPicPr/>
                  </pic:nvPicPr>
                  <pic:blipFill>
                    <a:blip r:embed="rId203"/>
                    <a:stretch>
                      <a:fillRect/>
                    </a:stretch>
                  </pic:blipFill>
                  <pic:spPr>
                    <a:xfrm rot="0">
                      <a:off x="0" y="0"/>
                      <a:ext cx="3073367" cy="2470225"/>
                    </a:xfrm>
                    <a:prstGeom prst="rect">
                      <a:avLst/>
                    </a:prstGeom>
                  </pic:spPr>
                </pic:pic>
              </a:graphicData>
            </a:graphic>
          </wp:anchor>
        </w:drawing>
      </w:r>
      <w:r>
        <w:rPr>
          <w:position w:val="-78"/>
        </w:rPr>
        <w:drawing>
          <wp:inline distT="0" distB="0" distL="0" distR="0">
            <wp:extent cx="3092414" cy="2476594"/>
            <wp:effectExtent l="0" t="0" r="0" b="0"/>
            <wp:docPr id="278" name="IM 278"/>
            <wp:cNvGraphicFramePr/>
            <a:graphic>
              <a:graphicData uri="http://schemas.openxmlformats.org/drawingml/2006/picture">
                <pic:pic>
                  <pic:nvPicPr>
                    <pic:cNvPr id="278" name="IM 278"/>
                    <pic:cNvPicPr/>
                  </pic:nvPicPr>
                  <pic:blipFill>
                    <a:blip r:embed="rId204"/>
                    <a:stretch>
                      <a:fillRect/>
                    </a:stretch>
                  </pic:blipFill>
                  <pic:spPr>
                    <a:xfrm rot="0">
                      <a:off x="0" y="0"/>
                      <a:ext cx="3092414" cy="2476594"/>
                    </a:xfrm>
                    <a:prstGeom prst="rect">
                      <a:avLst/>
                    </a:prstGeom>
                  </pic:spPr>
                </pic:pic>
              </a:graphicData>
            </a:graphic>
          </wp:inline>
        </w:drawing>
      </w:r>
    </w:p>
    <w:p>
      <w:pPr>
        <w:ind w:firstLine="16"/>
        <w:spacing w:before="210" w:line="3899" w:lineRule="exact"/>
        <w:rPr/>
      </w:pPr>
      <w:r>
        <w:drawing>
          <wp:anchor distT="0" distB="0" distL="0" distR="0" simplePos="0" relativeHeight="251927552" behindDoc="0" locked="0" layoutInCell="1" allowOverlap="1">
            <wp:simplePos x="0" y="0"/>
            <wp:positionH relativeFrom="column">
              <wp:posOffset>3287110</wp:posOffset>
            </wp:positionH>
            <wp:positionV relativeFrom="paragraph">
              <wp:posOffset>145972</wp:posOffset>
            </wp:positionV>
            <wp:extent cx="3079716" cy="2470225"/>
            <wp:effectExtent l="0" t="0" r="0" b="0"/>
            <wp:wrapNone/>
            <wp:docPr id="280" name="IM 280"/>
            <wp:cNvGraphicFramePr/>
            <a:graphic>
              <a:graphicData uri="http://schemas.openxmlformats.org/drawingml/2006/picture">
                <pic:pic>
                  <pic:nvPicPr>
                    <pic:cNvPr id="280" name="IM 280"/>
                    <pic:cNvPicPr/>
                  </pic:nvPicPr>
                  <pic:blipFill>
                    <a:blip r:embed="rId205"/>
                    <a:stretch>
                      <a:fillRect/>
                    </a:stretch>
                  </pic:blipFill>
                  <pic:spPr>
                    <a:xfrm rot="0">
                      <a:off x="0" y="0"/>
                      <a:ext cx="3079716" cy="2470225"/>
                    </a:xfrm>
                    <a:prstGeom prst="rect">
                      <a:avLst/>
                    </a:prstGeom>
                  </pic:spPr>
                </pic:pic>
              </a:graphicData>
            </a:graphic>
          </wp:anchor>
        </w:drawing>
      </w:r>
      <w:r>
        <w:rPr>
          <w:position w:val="-77"/>
        </w:rPr>
        <w:drawing>
          <wp:inline distT="0" distB="0" distL="0" distR="0">
            <wp:extent cx="3079716" cy="2476464"/>
            <wp:effectExtent l="0" t="0" r="0" b="0"/>
            <wp:docPr id="282" name="IM 282"/>
            <wp:cNvGraphicFramePr/>
            <a:graphic>
              <a:graphicData uri="http://schemas.openxmlformats.org/drawingml/2006/picture">
                <pic:pic>
                  <pic:nvPicPr>
                    <pic:cNvPr id="282" name="IM 282"/>
                    <pic:cNvPicPr/>
                  </pic:nvPicPr>
                  <pic:blipFill>
                    <a:blip r:embed="rId206"/>
                    <a:stretch>
                      <a:fillRect/>
                    </a:stretch>
                  </pic:blipFill>
                  <pic:spPr>
                    <a:xfrm rot="0">
                      <a:off x="0" y="0"/>
                      <a:ext cx="3079716" cy="2476464"/>
                    </a:xfrm>
                    <a:prstGeom prst="rect">
                      <a:avLst/>
                    </a:prstGeom>
                  </pic:spPr>
                </pic:pic>
              </a:graphicData>
            </a:graphic>
          </wp:inline>
        </w:drawing>
      </w:r>
    </w:p>
    <w:p>
      <w:pPr>
        <w:ind w:firstLine="16"/>
        <w:spacing w:before="210" w:line="3879" w:lineRule="exact"/>
        <w:rPr/>
      </w:pPr>
      <w:r>
        <w:drawing>
          <wp:anchor distT="0" distB="0" distL="0" distR="0" simplePos="0" relativeHeight="251930624" behindDoc="0" locked="0" layoutInCell="1" allowOverlap="1">
            <wp:simplePos x="0" y="0"/>
            <wp:positionH relativeFrom="column">
              <wp:posOffset>3280761</wp:posOffset>
            </wp:positionH>
            <wp:positionV relativeFrom="paragraph">
              <wp:posOffset>145972</wp:posOffset>
            </wp:positionV>
            <wp:extent cx="3073367" cy="2457487"/>
            <wp:effectExtent l="0" t="0" r="0" b="0"/>
            <wp:wrapNone/>
            <wp:docPr id="284" name="IM 284"/>
            <wp:cNvGraphicFramePr/>
            <a:graphic>
              <a:graphicData uri="http://schemas.openxmlformats.org/drawingml/2006/picture">
                <pic:pic>
                  <pic:nvPicPr>
                    <pic:cNvPr id="284" name="IM 284"/>
                    <pic:cNvPicPr/>
                  </pic:nvPicPr>
                  <pic:blipFill>
                    <a:blip r:embed="rId207"/>
                    <a:stretch>
                      <a:fillRect/>
                    </a:stretch>
                  </pic:blipFill>
                  <pic:spPr>
                    <a:xfrm rot="0">
                      <a:off x="0" y="0"/>
                      <a:ext cx="3073367" cy="2457487"/>
                    </a:xfrm>
                    <a:prstGeom prst="rect">
                      <a:avLst/>
                    </a:prstGeom>
                  </pic:spPr>
                </pic:pic>
              </a:graphicData>
            </a:graphic>
          </wp:anchor>
        </w:drawing>
      </w:r>
      <w:r>
        <w:rPr>
          <w:position w:val="-77"/>
        </w:rPr>
        <w:drawing>
          <wp:inline distT="0" distB="0" distL="0" distR="0">
            <wp:extent cx="3079716" cy="2463726"/>
            <wp:effectExtent l="0" t="0" r="0" b="0"/>
            <wp:docPr id="286" name="IM 286"/>
            <wp:cNvGraphicFramePr/>
            <a:graphic>
              <a:graphicData uri="http://schemas.openxmlformats.org/drawingml/2006/picture">
                <pic:pic>
                  <pic:nvPicPr>
                    <pic:cNvPr id="286" name="IM 286"/>
                    <pic:cNvPicPr/>
                  </pic:nvPicPr>
                  <pic:blipFill>
                    <a:blip r:embed="rId208"/>
                    <a:stretch>
                      <a:fillRect/>
                    </a:stretch>
                  </pic:blipFill>
                  <pic:spPr>
                    <a:xfrm rot="0">
                      <a:off x="0" y="0"/>
                      <a:ext cx="3079716" cy="2463726"/>
                    </a:xfrm>
                    <a:prstGeom prst="rect">
                      <a:avLst/>
                    </a:prstGeom>
                  </pic:spPr>
                </pic:pic>
              </a:graphicData>
            </a:graphic>
          </wp:inline>
        </w:drawing>
      </w:r>
    </w:p>
    <w:p>
      <w:pPr>
        <w:ind w:firstLine="16"/>
        <w:spacing w:before="220" w:line="3890" w:lineRule="exact"/>
        <w:rPr/>
      </w:pPr>
      <w:r>
        <w:drawing>
          <wp:anchor distT="0" distB="0" distL="0" distR="0" simplePos="0" relativeHeight="251929600" behindDoc="0" locked="0" layoutInCell="1" allowOverlap="1">
            <wp:simplePos x="0" y="0"/>
            <wp:positionH relativeFrom="column">
              <wp:posOffset>3287110</wp:posOffset>
            </wp:positionH>
            <wp:positionV relativeFrom="paragraph">
              <wp:posOffset>177818</wp:posOffset>
            </wp:positionV>
            <wp:extent cx="3073367" cy="2457487"/>
            <wp:effectExtent l="0" t="0" r="0" b="0"/>
            <wp:wrapNone/>
            <wp:docPr id="288" name="IM 288"/>
            <wp:cNvGraphicFramePr/>
            <a:graphic>
              <a:graphicData uri="http://schemas.openxmlformats.org/drawingml/2006/picture">
                <pic:pic>
                  <pic:nvPicPr>
                    <pic:cNvPr id="288" name="IM 288"/>
                    <pic:cNvPicPr/>
                  </pic:nvPicPr>
                  <pic:blipFill>
                    <a:blip r:embed="rId209"/>
                    <a:stretch>
                      <a:fillRect/>
                    </a:stretch>
                  </pic:blipFill>
                  <pic:spPr>
                    <a:xfrm rot="0">
                      <a:off x="0" y="0"/>
                      <a:ext cx="3073367" cy="2457487"/>
                    </a:xfrm>
                    <a:prstGeom prst="rect">
                      <a:avLst/>
                    </a:prstGeom>
                  </pic:spPr>
                </pic:pic>
              </a:graphicData>
            </a:graphic>
          </wp:anchor>
        </w:drawing>
      </w:r>
      <w:r>
        <w:rPr>
          <w:position w:val="-77"/>
        </w:rPr>
        <w:drawing>
          <wp:inline distT="0" distB="0" distL="0" distR="0">
            <wp:extent cx="3092414" cy="2470224"/>
            <wp:effectExtent l="0" t="0" r="0" b="0"/>
            <wp:docPr id="290" name="IM 290"/>
            <wp:cNvGraphicFramePr/>
            <a:graphic>
              <a:graphicData uri="http://schemas.openxmlformats.org/drawingml/2006/picture">
                <pic:pic>
                  <pic:nvPicPr>
                    <pic:cNvPr id="290" name="IM 290"/>
                    <pic:cNvPicPr/>
                  </pic:nvPicPr>
                  <pic:blipFill>
                    <a:blip r:embed="rId210"/>
                    <a:stretch>
                      <a:fillRect/>
                    </a:stretch>
                  </pic:blipFill>
                  <pic:spPr>
                    <a:xfrm rot="0">
                      <a:off x="0" y="0"/>
                      <a:ext cx="3092414" cy="2470224"/>
                    </a:xfrm>
                    <a:prstGeom prst="rect">
                      <a:avLst/>
                    </a:prstGeom>
                  </pic:spPr>
                </pic:pic>
              </a:graphicData>
            </a:graphic>
          </wp:inline>
        </w:drawing>
      </w:r>
    </w:p>
    <w:p>
      <w:pPr>
        <w:spacing w:line="3890" w:lineRule="exact"/>
        <w:sectPr>
          <w:footerReference w:type="default" r:id="rId202"/>
          <w:pgSz w:w="14490" w:h="20470"/>
          <w:pgMar w:top="1739" w:right="2173" w:bottom="1381" w:left="2173" w:header="0" w:footer="1237" w:gutter="0"/>
        </w:sectPr>
        <w:rPr/>
      </w:pPr>
    </w:p>
    <w:p>
      <w:pPr>
        <w:spacing w:line="3889" w:lineRule="exact"/>
        <w:rPr/>
      </w:pPr>
      <w:r>
        <w:drawing>
          <wp:anchor distT="0" distB="0" distL="0" distR="0" simplePos="0" relativeHeight="251932672" behindDoc="0" locked="0" layoutInCell="1" allowOverlap="1">
            <wp:simplePos x="0" y="0"/>
            <wp:positionH relativeFrom="column">
              <wp:posOffset>3327411</wp:posOffset>
            </wp:positionH>
            <wp:positionV relativeFrom="paragraph">
              <wp:posOffset>12607</wp:posOffset>
            </wp:positionV>
            <wp:extent cx="3111460" cy="2463856"/>
            <wp:effectExtent l="0" t="0" r="0" b="0"/>
            <wp:wrapNone/>
            <wp:docPr id="292" name="IM 292"/>
            <wp:cNvGraphicFramePr/>
            <a:graphic>
              <a:graphicData uri="http://schemas.openxmlformats.org/drawingml/2006/picture">
                <pic:pic>
                  <pic:nvPicPr>
                    <pic:cNvPr id="292" name="IM 292"/>
                    <pic:cNvPicPr/>
                  </pic:nvPicPr>
                  <pic:blipFill>
                    <a:blip r:embed="rId212"/>
                    <a:stretch>
                      <a:fillRect/>
                    </a:stretch>
                  </pic:blipFill>
                  <pic:spPr>
                    <a:xfrm rot="0">
                      <a:off x="0" y="0"/>
                      <a:ext cx="3111460" cy="2463856"/>
                    </a:xfrm>
                    <a:prstGeom prst="rect">
                      <a:avLst/>
                    </a:prstGeom>
                  </pic:spPr>
                </pic:pic>
              </a:graphicData>
            </a:graphic>
          </wp:anchor>
        </w:drawing>
      </w:r>
      <w:r>
        <w:rPr>
          <w:position w:val="-77"/>
        </w:rPr>
        <w:drawing>
          <wp:inline distT="0" distB="0" distL="0" distR="0">
            <wp:extent cx="3124158" cy="2470095"/>
            <wp:effectExtent l="0" t="0" r="0" b="0"/>
            <wp:docPr id="294" name="IM 294"/>
            <wp:cNvGraphicFramePr/>
            <a:graphic>
              <a:graphicData uri="http://schemas.openxmlformats.org/drawingml/2006/picture">
                <pic:pic>
                  <pic:nvPicPr>
                    <pic:cNvPr id="294" name="IM 294"/>
                    <pic:cNvPicPr/>
                  </pic:nvPicPr>
                  <pic:blipFill>
                    <a:blip r:embed="rId213"/>
                    <a:stretch>
                      <a:fillRect/>
                    </a:stretch>
                  </pic:blipFill>
                  <pic:spPr>
                    <a:xfrm rot="0">
                      <a:off x="0" y="0"/>
                      <a:ext cx="3124158" cy="2470095"/>
                    </a:xfrm>
                    <a:prstGeom prst="rect">
                      <a:avLst/>
                    </a:prstGeom>
                  </pic:spPr>
                </pic:pic>
              </a:graphicData>
            </a:graphic>
          </wp:inline>
        </w:drawing>
      </w:r>
    </w:p>
    <w:p>
      <w:pPr>
        <w:spacing w:line="268" w:lineRule="auto"/>
        <w:rPr>
          <w:rFonts w:ascii="Arial"/>
          <w:sz w:val="21"/>
        </w:rPr>
      </w:pPr>
      <w:r>
        <w:drawing>
          <wp:anchor distT="0" distB="0" distL="0" distR="0" simplePos="0" relativeHeight="251933696" behindDoc="0" locked="0" layoutInCell="1" allowOverlap="1">
            <wp:simplePos x="0" y="0"/>
            <wp:positionH relativeFrom="column">
              <wp:posOffset>3333760</wp:posOffset>
            </wp:positionH>
            <wp:positionV relativeFrom="paragraph">
              <wp:posOffset>165079</wp:posOffset>
            </wp:positionV>
            <wp:extent cx="3105112" cy="2463856"/>
            <wp:effectExtent l="0" t="0" r="0" b="0"/>
            <wp:wrapNone/>
            <wp:docPr id="296" name="IM 296"/>
            <wp:cNvGraphicFramePr/>
            <a:graphic>
              <a:graphicData uri="http://schemas.openxmlformats.org/drawingml/2006/picture">
                <pic:pic>
                  <pic:nvPicPr>
                    <pic:cNvPr id="296" name="IM 296"/>
                    <pic:cNvPicPr/>
                  </pic:nvPicPr>
                  <pic:blipFill>
                    <a:blip r:embed="rId214"/>
                    <a:stretch>
                      <a:fillRect/>
                    </a:stretch>
                  </pic:blipFill>
                  <pic:spPr>
                    <a:xfrm rot="0">
                      <a:off x="0" y="0"/>
                      <a:ext cx="3105112" cy="2463856"/>
                    </a:xfrm>
                    <a:prstGeom prst="rect">
                      <a:avLst/>
                    </a:prstGeom>
                  </pic:spPr>
                </pic:pic>
              </a:graphicData>
            </a:graphic>
          </wp:anchor>
        </w:drawing>
      </w:r>
      <w:r/>
    </w:p>
    <w:p>
      <w:pPr>
        <w:ind w:firstLine="9"/>
        <w:spacing w:line="3870" w:lineRule="exact"/>
        <w:rPr/>
      </w:pPr>
      <w:r>
        <w:rPr>
          <w:position w:val="-77"/>
        </w:rPr>
        <w:drawing>
          <wp:inline distT="0" distB="0" distL="0" distR="0">
            <wp:extent cx="3117809" cy="2457487"/>
            <wp:effectExtent l="0" t="0" r="0" b="0"/>
            <wp:docPr id="298" name="IM 298"/>
            <wp:cNvGraphicFramePr/>
            <a:graphic>
              <a:graphicData uri="http://schemas.openxmlformats.org/drawingml/2006/picture">
                <pic:pic>
                  <pic:nvPicPr>
                    <pic:cNvPr id="298" name="IM 298"/>
                    <pic:cNvPicPr/>
                  </pic:nvPicPr>
                  <pic:blipFill>
                    <a:blip r:embed="rId215"/>
                    <a:stretch>
                      <a:fillRect/>
                    </a:stretch>
                  </pic:blipFill>
                  <pic:spPr>
                    <a:xfrm rot="0">
                      <a:off x="0" y="0"/>
                      <a:ext cx="3117809" cy="2457487"/>
                    </a:xfrm>
                    <a:prstGeom prst="rect">
                      <a:avLst/>
                    </a:prstGeom>
                  </pic:spPr>
                </pic:pic>
              </a:graphicData>
            </a:graphic>
          </wp:inline>
        </w:drawing>
      </w:r>
    </w:p>
    <w:p>
      <w:pPr>
        <w:spacing w:before="219" w:line="3911" w:lineRule="exact"/>
        <w:rPr/>
      </w:pPr>
      <w:r>
        <w:drawing>
          <wp:anchor distT="0" distB="0" distL="0" distR="0" simplePos="0" relativeHeight="251934720" behindDoc="0" locked="0" layoutInCell="1" allowOverlap="1">
            <wp:simplePos x="0" y="0"/>
            <wp:positionH relativeFrom="column">
              <wp:posOffset>3327411</wp:posOffset>
            </wp:positionH>
            <wp:positionV relativeFrom="paragraph">
              <wp:posOffset>158711</wp:posOffset>
            </wp:positionV>
            <wp:extent cx="3105112" cy="2463855"/>
            <wp:effectExtent l="0" t="0" r="0" b="0"/>
            <wp:wrapNone/>
            <wp:docPr id="300" name="IM 300"/>
            <wp:cNvGraphicFramePr/>
            <a:graphic>
              <a:graphicData uri="http://schemas.openxmlformats.org/drawingml/2006/picture">
                <pic:pic>
                  <pic:nvPicPr>
                    <pic:cNvPr id="300" name="IM 300"/>
                    <pic:cNvPicPr/>
                  </pic:nvPicPr>
                  <pic:blipFill>
                    <a:blip r:embed="rId216"/>
                    <a:stretch>
                      <a:fillRect/>
                    </a:stretch>
                  </pic:blipFill>
                  <pic:spPr>
                    <a:xfrm rot="0">
                      <a:off x="0" y="0"/>
                      <a:ext cx="3105112" cy="2463855"/>
                    </a:xfrm>
                    <a:prstGeom prst="rect">
                      <a:avLst/>
                    </a:prstGeom>
                  </pic:spPr>
                </pic:pic>
              </a:graphicData>
            </a:graphic>
          </wp:anchor>
        </w:drawing>
      </w:r>
      <w:r>
        <w:rPr>
          <w:position w:val="-78"/>
        </w:rPr>
        <w:drawing>
          <wp:inline distT="0" distB="0" distL="0" distR="0">
            <wp:extent cx="3111460" cy="2482963"/>
            <wp:effectExtent l="0" t="0" r="0" b="0"/>
            <wp:docPr id="302" name="IM 302"/>
            <wp:cNvGraphicFramePr/>
            <a:graphic>
              <a:graphicData uri="http://schemas.openxmlformats.org/drawingml/2006/picture">
                <pic:pic>
                  <pic:nvPicPr>
                    <pic:cNvPr id="302" name="IM 302"/>
                    <pic:cNvPicPr/>
                  </pic:nvPicPr>
                  <pic:blipFill>
                    <a:blip r:embed="rId217"/>
                    <a:stretch>
                      <a:fillRect/>
                    </a:stretch>
                  </pic:blipFill>
                  <pic:spPr>
                    <a:xfrm rot="0">
                      <a:off x="0" y="0"/>
                      <a:ext cx="3111460" cy="2482963"/>
                    </a:xfrm>
                    <a:prstGeom prst="rect">
                      <a:avLst/>
                    </a:prstGeom>
                  </pic:spPr>
                </pic:pic>
              </a:graphicData>
            </a:graphic>
          </wp:inline>
        </w:drawing>
      </w:r>
    </w:p>
    <w:p>
      <w:pPr>
        <w:ind w:firstLine="9"/>
        <w:spacing w:before="169" w:line="3930" w:lineRule="exact"/>
        <w:rPr/>
      </w:pPr>
      <w:r>
        <w:drawing>
          <wp:anchor distT="0" distB="0" distL="0" distR="0" simplePos="0" relativeHeight="251935744" behindDoc="0" locked="0" layoutInCell="1" allowOverlap="1">
            <wp:simplePos x="0" y="0"/>
            <wp:positionH relativeFrom="column">
              <wp:posOffset>3327411</wp:posOffset>
            </wp:positionH>
            <wp:positionV relativeFrom="paragraph">
              <wp:posOffset>158711</wp:posOffset>
            </wp:positionV>
            <wp:extent cx="3111460" cy="2457486"/>
            <wp:effectExtent l="0" t="0" r="0" b="0"/>
            <wp:wrapNone/>
            <wp:docPr id="304" name="IM 304"/>
            <wp:cNvGraphicFramePr/>
            <a:graphic>
              <a:graphicData uri="http://schemas.openxmlformats.org/drawingml/2006/picture">
                <pic:pic>
                  <pic:nvPicPr>
                    <pic:cNvPr id="304" name="IM 304"/>
                    <pic:cNvPicPr/>
                  </pic:nvPicPr>
                  <pic:blipFill>
                    <a:blip r:embed="rId218"/>
                    <a:stretch>
                      <a:fillRect/>
                    </a:stretch>
                  </pic:blipFill>
                  <pic:spPr>
                    <a:xfrm rot="0">
                      <a:off x="0" y="0"/>
                      <a:ext cx="3111460" cy="2457486"/>
                    </a:xfrm>
                    <a:prstGeom prst="rect">
                      <a:avLst/>
                    </a:prstGeom>
                  </pic:spPr>
                </pic:pic>
              </a:graphicData>
            </a:graphic>
          </wp:anchor>
        </w:drawing>
      </w:r>
      <w:r>
        <w:rPr>
          <w:position w:val="-78"/>
        </w:rPr>
        <w:drawing>
          <wp:inline distT="0" distB="0" distL="0" distR="0">
            <wp:extent cx="3079716" cy="2495572"/>
            <wp:effectExtent l="0" t="0" r="0" b="0"/>
            <wp:docPr id="306" name="IM 306"/>
            <wp:cNvGraphicFramePr/>
            <a:graphic>
              <a:graphicData uri="http://schemas.openxmlformats.org/drawingml/2006/picture">
                <pic:pic>
                  <pic:nvPicPr>
                    <pic:cNvPr id="306" name="IM 306"/>
                    <pic:cNvPicPr/>
                  </pic:nvPicPr>
                  <pic:blipFill>
                    <a:blip r:embed="rId219"/>
                    <a:stretch>
                      <a:fillRect/>
                    </a:stretch>
                  </pic:blipFill>
                  <pic:spPr>
                    <a:xfrm rot="0">
                      <a:off x="0" y="0"/>
                      <a:ext cx="3079716" cy="2495572"/>
                    </a:xfrm>
                    <a:prstGeom prst="rect">
                      <a:avLst/>
                    </a:prstGeom>
                  </pic:spPr>
                </pic:pic>
              </a:graphicData>
            </a:graphic>
          </wp:inline>
        </w:drawing>
      </w:r>
    </w:p>
    <w:p>
      <w:pPr>
        <w:pStyle w:val="BodyText"/>
        <w:ind w:left="3909"/>
        <w:spacing w:before="111" w:line="219" w:lineRule="auto"/>
        <w:rPr>
          <w:sz w:val="26"/>
          <w:szCs w:val="26"/>
        </w:rPr>
      </w:pPr>
      <w:r>
        <w:rPr>
          <w:sz w:val="26"/>
          <w:szCs w:val="26"/>
          <w:spacing w:val="-11"/>
        </w:rPr>
        <w:t>图5-6-1时花养护标准</w:t>
      </w:r>
    </w:p>
    <w:p>
      <w:pPr>
        <w:spacing w:line="219" w:lineRule="auto"/>
        <w:sectPr>
          <w:footerReference w:type="default" r:id="rId211"/>
          <w:pgSz w:w="14490" w:h="20470"/>
          <w:pgMar w:top="1720" w:right="2173" w:bottom="1448" w:left="2170" w:header="0" w:footer="1203" w:gutter="0"/>
        </w:sectPr>
        <w:rPr>
          <w:sz w:val="26"/>
          <w:szCs w:val="26"/>
        </w:rPr>
      </w:pPr>
    </w:p>
    <w:p>
      <w:pPr>
        <w:ind w:left="3666"/>
        <w:spacing w:before="158" w:line="221" w:lineRule="auto"/>
        <w:outlineLvl w:val="0"/>
        <w:rPr>
          <w:rFonts w:ascii="SimHei" w:hAnsi="SimHei" w:eastAsia="SimHei" w:cs="SimHei"/>
          <w:sz w:val="48"/>
          <w:szCs w:val="48"/>
        </w:rPr>
      </w:pPr>
      <w:bookmarkStart w:name="bookmark104" w:id="58"/>
      <w:bookmarkEnd w:id="58"/>
      <w:bookmarkStart w:name="bookmark33" w:id="59"/>
      <w:bookmarkEnd w:id="59"/>
      <w:r>
        <w:rPr>
          <w:rFonts w:ascii="SimHei" w:hAnsi="SimHei" w:eastAsia="SimHei" w:cs="SimHei"/>
          <w:sz w:val="48"/>
          <w:szCs w:val="48"/>
          <w:b/>
          <w:bCs/>
          <w:spacing w:val="-41"/>
        </w:rPr>
        <w:t>第六章</w:t>
      </w:r>
      <w:r>
        <w:rPr>
          <w:rFonts w:ascii="SimHei" w:hAnsi="SimHei" w:eastAsia="SimHei" w:cs="SimHei"/>
          <w:sz w:val="48"/>
          <w:szCs w:val="48"/>
          <w:spacing w:val="189"/>
        </w:rPr>
        <w:t xml:space="preserve"> </w:t>
      </w:r>
      <w:r>
        <w:rPr>
          <w:rFonts w:ascii="SimHei" w:hAnsi="SimHei" w:eastAsia="SimHei" w:cs="SimHei"/>
          <w:sz w:val="48"/>
          <w:szCs w:val="48"/>
          <w:b/>
          <w:bCs/>
          <w:spacing w:val="-41"/>
        </w:rPr>
        <w:t>病虫害防治</w:t>
      </w:r>
    </w:p>
    <w:p>
      <w:pPr>
        <w:spacing w:line="310" w:lineRule="auto"/>
        <w:rPr>
          <w:rFonts w:ascii="Arial"/>
          <w:sz w:val="21"/>
        </w:rPr>
      </w:pPr>
      <w:r/>
    </w:p>
    <w:p>
      <w:pPr>
        <w:spacing w:line="310" w:lineRule="auto"/>
        <w:rPr>
          <w:rFonts w:ascii="Arial"/>
          <w:sz w:val="21"/>
        </w:rPr>
      </w:pPr>
      <w:r/>
    </w:p>
    <w:p>
      <w:pPr>
        <w:spacing w:before="95" w:line="222" w:lineRule="auto"/>
        <w:outlineLvl w:val="1"/>
        <w:rPr>
          <w:rFonts w:ascii="SimHei" w:hAnsi="SimHei" w:eastAsia="SimHei" w:cs="SimHei"/>
          <w:sz w:val="29"/>
          <w:szCs w:val="29"/>
        </w:rPr>
      </w:pPr>
      <w:bookmarkStart w:name="bookmark34" w:id="60"/>
      <w:bookmarkEnd w:id="60"/>
      <w:r>
        <w:rPr>
          <w:rFonts w:ascii="SimHei" w:hAnsi="SimHei" w:eastAsia="SimHei" w:cs="SimHei"/>
          <w:sz w:val="29"/>
          <w:szCs w:val="29"/>
          <w:spacing w:val="-7"/>
        </w:rPr>
        <w:t>一</w:t>
      </w:r>
      <w:r>
        <w:rPr>
          <w:rFonts w:ascii="SimHei" w:hAnsi="SimHei" w:eastAsia="SimHei" w:cs="SimHei"/>
          <w:sz w:val="29"/>
          <w:szCs w:val="29"/>
          <w:spacing w:val="-81"/>
        </w:rPr>
        <w:t xml:space="preserve"> </w:t>
      </w:r>
      <w:r>
        <w:rPr>
          <w:rFonts w:ascii="SimHei" w:hAnsi="SimHei" w:eastAsia="SimHei" w:cs="SimHei"/>
          <w:sz w:val="29"/>
          <w:szCs w:val="29"/>
          <w:spacing w:val="-7"/>
        </w:rPr>
        <w:t>、植物病害</w:t>
      </w:r>
    </w:p>
    <w:p>
      <w:pPr>
        <w:ind w:left="109"/>
        <w:spacing w:before="178" w:line="221" w:lineRule="auto"/>
        <w:outlineLvl w:val="2"/>
        <w:rPr>
          <w:rFonts w:ascii="SimHei" w:hAnsi="SimHei" w:eastAsia="SimHei" w:cs="SimHei"/>
          <w:sz w:val="29"/>
          <w:szCs w:val="29"/>
        </w:rPr>
      </w:pPr>
      <w:bookmarkStart w:name="bookmark35" w:id="61"/>
      <w:bookmarkEnd w:id="61"/>
      <w:r>
        <w:rPr>
          <w:rFonts w:ascii="SimHei" w:hAnsi="SimHei" w:eastAsia="SimHei" w:cs="SimHei"/>
          <w:sz w:val="29"/>
          <w:szCs w:val="29"/>
          <w:spacing w:val="23"/>
        </w:rPr>
        <w:t>(</w:t>
      </w:r>
      <w:r>
        <w:rPr>
          <w:rFonts w:ascii="SimHei" w:hAnsi="SimHei" w:eastAsia="SimHei" w:cs="SimHei"/>
          <w:sz w:val="29"/>
          <w:szCs w:val="29"/>
          <w:spacing w:val="-75"/>
        </w:rPr>
        <w:t xml:space="preserve"> </w:t>
      </w:r>
      <w:r>
        <w:rPr>
          <w:rFonts w:ascii="SimHei" w:hAnsi="SimHei" w:eastAsia="SimHei" w:cs="SimHei"/>
          <w:sz w:val="29"/>
          <w:szCs w:val="29"/>
          <w:spacing w:val="23"/>
        </w:rPr>
        <w:t>一)基础知识</w:t>
      </w:r>
    </w:p>
    <w:p>
      <w:pPr>
        <w:pStyle w:val="BodyText"/>
        <w:ind w:right="266" w:firstLine="570"/>
        <w:spacing w:before="136" w:line="311" w:lineRule="auto"/>
        <w:jc w:val="both"/>
        <w:rPr>
          <w:sz w:val="29"/>
          <w:szCs w:val="29"/>
        </w:rPr>
      </w:pPr>
      <w:r>
        <w:rPr>
          <w:sz w:val="29"/>
          <w:szCs w:val="29"/>
          <w:spacing w:val="-1"/>
        </w:rPr>
        <w:t>园林植物在生长过程中，遇到生物性或非生物性侵害，由于病原物侵染或不</w:t>
      </w:r>
      <w:r>
        <w:rPr>
          <w:sz w:val="29"/>
          <w:szCs w:val="29"/>
          <w:spacing w:val="18"/>
        </w:rPr>
        <w:t xml:space="preserve"> </w:t>
      </w:r>
      <w:r>
        <w:rPr>
          <w:sz w:val="29"/>
          <w:szCs w:val="29"/>
        </w:rPr>
        <w:t>适应环境因素的影响，发育和正常的生长受到妨碍</w:t>
      </w:r>
      <w:r>
        <w:rPr>
          <w:sz w:val="29"/>
          <w:szCs w:val="29"/>
          <w:spacing w:val="-1"/>
        </w:rPr>
        <w:t>，组织和器官遭到破坏，导致</w:t>
      </w:r>
      <w:r>
        <w:rPr>
          <w:sz w:val="29"/>
          <w:szCs w:val="29"/>
        </w:rPr>
        <w:t xml:space="preserve"> </w:t>
      </w:r>
      <w:r>
        <w:rPr>
          <w:sz w:val="29"/>
          <w:szCs w:val="29"/>
          <w:spacing w:val="-9"/>
        </w:rPr>
        <w:t>叶、花、果等器官变色、畸形和腐烂，甚至全株死亡的现象，这种现象称为园林植</w:t>
      </w:r>
      <w:r>
        <w:rPr>
          <w:sz w:val="29"/>
          <w:szCs w:val="29"/>
          <w:spacing w:val="5"/>
        </w:rPr>
        <w:t xml:space="preserve"> </w:t>
      </w:r>
      <w:r>
        <w:rPr>
          <w:sz w:val="29"/>
          <w:szCs w:val="29"/>
          <w:spacing w:val="1"/>
        </w:rPr>
        <w:t>物病害。病害一般分为生物性病害与非生物性病害。</w:t>
      </w:r>
    </w:p>
    <w:p>
      <w:pPr>
        <w:ind w:left="540"/>
        <w:spacing w:before="54" w:line="222" w:lineRule="auto"/>
        <w:rPr>
          <w:rFonts w:ascii="SimHei" w:hAnsi="SimHei" w:eastAsia="SimHei" w:cs="SimHei"/>
          <w:sz w:val="29"/>
          <w:szCs w:val="29"/>
        </w:rPr>
      </w:pPr>
      <w:r>
        <w:rPr>
          <w:rFonts w:ascii="SimHei" w:hAnsi="SimHei" w:eastAsia="SimHei" w:cs="SimHei"/>
          <w:sz w:val="29"/>
          <w:szCs w:val="29"/>
          <w:spacing w:val="4"/>
        </w:rPr>
        <w:t>生物性病害</w:t>
      </w:r>
    </w:p>
    <w:p>
      <w:pPr>
        <w:pStyle w:val="BodyText"/>
        <w:ind w:right="368" w:firstLine="570"/>
        <w:spacing w:before="111" w:line="265" w:lineRule="auto"/>
        <w:rPr>
          <w:sz w:val="29"/>
          <w:szCs w:val="29"/>
        </w:rPr>
      </w:pPr>
      <w:r>
        <w:rPr>
          <w:sz w:val="29"/>
          <w:szCs w:val="29"/>
          <w:spacing w:val="6"/>
        </w:rPr>
        <w:t>1)定义：生物性病害是指受到有害生物侵染</w:t>
      </w:r>
      <w:r>
        <w:rPr>
          <w:sz w:val="29"/>
          <w:szCs w:val="29"/>
          <w:spacing w:val="5"/>
        </w:rPr>
        <w:t>引起的，又称侵染性病害或寄</w:t>
      </w:r>
      <w:r>
        <w:rPr>
          <w:sz w:val="29"/>
          <w:szCs w:val="29"/>
        </w:rPr>
        <w:t xml:space="preserve"> </w:t>
      </w:r>
      <w:r>
        <w:rPr>
          <w:sz w:val="29"/>
          <w:szCs w:val="29"/>
          <w:spacing w:val="-3"/>
        </w:rPr>
        <w:t>生性病害，具有传染性；</w:t>
      </w:r>
    </w:p>
    <w:p>
      <w:pPr>
        <w:pStyle w:val="BodyText"/>
        <w:ind w:left="570"/>
        <w:spacing w:before="148" w:line="219" w:lineRule="auto"/>
        <w:rPr>
          <w:sz w:val="29"/>
          <w:szCs w:val="29"/>
        </w:rPr>
      </w:pPr>
      <w:r>
        <w:rPr>
          <w:sz w:val="29"/>
          <w:szCs w:val="29"/>
          <w:spacing w:val="8"/>
        </w:rPr>
        <w:t>2)病原：真菌、细菌、病毒、类菌等；</w:t>
      </w:r>
    </w:p>
    <w:p>
      <w:pPr>
        <w:pStyle w:val="BodyText"/>
        <w:ind w:right="341" w:firstLine="570"/>
        <w:spacing w:before="134" w:line="266" w:lineRule="auto"/>
        <w:rPr>
          <w:sz w:val="29"/>
          <w:szCs w:val="29"/>
        </w:rPr>
      </w:pPr>
      <w:r>
        <w:rPr>
          <w:sz w:val="29"/>
          <w:szCs w:val="29"/>
          <w:spacing w:val="6"/>
        </w:rPr>
        <w:t>3)病状：变色、坏死、腐烂、畸形、萎蔫等，病原真菌在发病部位会产生</w:t>
      </w:r>
      <w:r>
        <w:rPr>
          <w:sz w:val="29"/>
          <w:szCs w:val="29"/>
          <w:spacing w:val="14"/>
        </w:rPr>
        <w:t xml:space="preserve"> </w:t>
      </w:r>
      <w:r>
        <w:rPr>
          <w:sz w:val="29"/>
          <w:szCs w:val="29"/>
          <w:spacing w:val="1"/>
        </w:rPr>
        <w:t>霉状物、粉状物、点状物、棉丝状物、颗粒状物、脓状物等。</w:t>
      </w:r>
    </w:p>
    <w:p>
      <w:pPr>
        <w:ind w:left="550"/>
        <w:spacing w:before="196" w:line="222" w:lineRule="auto"/>
        <w:rPr>
          <w:rFonts w:ascii="SimHei" w:hAnsi="SimHei" w:eastAsia="SimHei" w:cs="SimHei"/>
          <w:sz w:val="29"/>
          <w:szCs w:val="29"/>
        </w:rPr>
      </w:pPr>
      <w:r>
        <w:rPr>
          <w:rFonts w:ascii="SimHei" w:hAnsi="SimHei" w:eastAsia="SimHei" w:cs="SimHei"/>
          <w:sz w:val="29"/>
          <w:szCs w:val="29"/>
          <w:spacing w:val="2"/>
        </w:rPr>
        <w:t>非生物性病害</w:t>
      </w:r>
    </w:p>
    <w:p>
      <w:pPr>
        <w:pStyle w:val="BodyText"/>
        <w:ind w:right="371" w:firstLine="570"/>
        <w:spacing w:before="92" w:line="263" w:lineRule="auto"/>
        <w:rPr>
          <w:sz w:val="29"/>
          <w:szCs w:val="29"/>
        </w:rPr>
      </w:pPr>
      <w:r>
        <w:rPr>
          <w:sz w:val="29"/>
          <w:szCs w:val="29"/>
          <w:spacing w:val="5"/>
        </w:rPr>
        <w:t>1)定义：由不适宜的环境等非生物因素引起的，又称为非侵染性病害或生</w:t>
      </w:r>
      <w:r>
        <w:rPr>
          <w:sz w:val="29"/>
          <w:szCs w:val="29"/>
          <w:spacing w:val="17"/>
        </w:rPr>
        <w:t xml:space="preserve"> </w:t>
      </w:r>
      <w:r>
        <w:rPr>
          <w:sz w:val="29"/>
          <w:szCs w:val="29"/>
          <w:spacing w:val="-7"/>
        </w:rPr>
        <w:t>理病害；</w:t>
      </w:r>
    </w:p>
    <w:p>
      <w:pPr>
        <w:pStyle w:val="BodyText"/>
        <w:ind w:left="570"/>
        <w:spacing w:before="151" w:line="219" w:lineRule="auto"/>
        <w:rPr>
          <w:sz w:val="29"/>
          <w:szCs w:val="29"/>
        </w:rPr>
      </w:pPr>
      <w:r>
        <w:rPr>
          <w:sz w:val="29"/>
          <w:szCs w:val="29"/>
          <w:spacing w:val="-11"/>
        </w:rPr>
        <w:t>2)病原：土壤、水肥、温度、湿度等不适合，机械损伤，缺少微量元素等；</w:t>
      </w:r>
    </w:p>
    <w:p>
      <w:pPr>
        <w:pStyle w:val="BodyText"/>
        <w:ind w:right="340" w:firstLine="570"/>
        <w:spacing w:before="136" w:line="270" w:lineRule="auto"/>
        <w:rPr>
          <w:sz w:val="29"/>
          <w:szCs w:val="29"/>
        </w:rPr>
      </w:pPr>
      <w:r>
        <w:rPr>
          <w:sz w:val="29"/>
          <w:szCs w:val="29"/>
          <w:spacing w:val="6"/>
        </w:rPr>
        <w:t>3)病状：如缺素症的各种表现及冻害、干旱、水涝、霜害、风害等自然环</w:t>
      </w:r>
      <w:r>
        <w:rPr>
          <w:sz w:val="29"/>
          <w:szCs w:val="29"/>
          <w:spacing w:val="15"/>
        </w:rPr>
        <w:t xml:space="preserve"> </w:t>
      </w:r>
      <w:r>
        <w:rPr>
          <w:sz w:val="29"/>
          <w:szCs w:val="29"/>
          <w:spacing w:val="-3"/>
        </w:rPr>
        <w:t>境灾害。</w:t>
      </w:r>
    </w:p>
    <w:p>
      <w:pPr>
        <w:ind w:left="109"/>
        <w:spacing w:before="254" w:line="222" w:lineRule="auto"/>
        <w:outlineLvl w:val="2"/>
        <w:rPr>
          <w:rFonts w:ascii="SimHei" w:hAnsi="SimHei" w:eastAsia="SimHei" w:cs="SimHei"/>
          <w:sz w:val="29"/>
          <w:szCs w:val="29"/>
        </w:rPr>
      </w:pPr>
      <w:bookmarkStart w:name="bookmark36" w:id="62"/>
      <w:bookmarkEnd w:id="62"/>
      <w:r>
        <w:rPr>
          <w:rFonts w:ascii="SimHei" w:hAnsi="SimHei" w:eastAsia="SimHei" w:cs="SimHei"/>
          <w:sz w:val="29"/>
          <w:szCs w:val="29"/>
          <w:spacing w:val="27"/>
        </w:rPr>
        <w:t>(二)真菌性病害</w:t>
      </w:r>
    </w:p>
    <w:p>
      <w:pPr>
        <w:pStyle w:val="BodyText"/>
        <w:spacing w:before="118" w:line="220"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白粉病</w:t>
      </w:r>
    </w:p>
    <w:p>
      <w:pPr>
        <w:pStyle w:val="BodyText"/>
        <w:ind w:left="570"/>
        <w:spacing w:before="118" w:line="219" w:lineRule="auto"/>
        <w:rPr>
          <w:sz w:val="29"/>
          <w:szCs w:val="29"/>
        </w:rPr>
      </w:pPr>
      <w:r>
        <w:rPr>
          <w:sz w:val="29"/>
          <w:szCs w:val="29"/>
          <w:spacing w:val="7"/>
        </w:rPr>
        <w:t>1)危害植物：大叶黄杨、十大功劳、刺槐、月季、黄刺</w:t>
      </w:r>
      <w:r>
        <w:rPr>
          <w:sz w:val="29"/>
          <w:szCs w:val="29"/>
          <w:spacing w:val="6"/>
        </w:rPr>
        <w:t>玫、忍冬、白蜡、</w:t>
      </w:r>
    </w:p>
    <w:p>
      <w:pPr>
        <w:pStyle w:val="BodyText"/>
        <w:spacing w:before="144" w:line="266" w:lineRule="auto"/>
        <w:rPr>
          <w:sz w:val="29"/>
          <w:szCs w:val="29"/>
        </w:rPr>
      </w:pPr>
      <w:r>
        <w:rPr>
          <w:sz w:val="29"/>
          <w:szCs w:val="29"/>
          <w:spacing w:val="-9"/>
        </w:rPr>
        <w:t>五角枫、黄栌、石楠、卫矛、小叶紫薇、秋海棠、九里香、悬铃木、木槿、木芙蓉、</w:t>
      </w:r>
      <w:r>
        <w:rPr>
          <w:sz w:val="29"/>
          <w:szCs w:val="29"/>
          <w:spacing w:val="6"/>
        </w:rPr>
        <w:t xml:space="preserve"> </w:t>
      </w:r>
      <w:r>
        <w:rPr>
          <w:sz w:val="29"/>
          <w:szCs w:val="29"/>
        </w:rPr>
        <w:t>凤仙花、波斯菊、早熟禾、细羊茅、狗牙根等。</w:t>
      </w:r>
    </w:p>
    <w:p>
      <w:pPr>
        <w:pStyle w:val="BodyText"/>
        <w:ind w:right="280" w:firstLine="570"/>
        <w:spacing w:before="125" w:line="285" w:lineRule="auto"/>
        <w:rPr>
          <w:sz w:val="29"/>
          <w:szCs w:val="29"/>
        </w:rPr>
      </w:pPr>
      <w:r>
        <w:rPr>
          <w:sz w:val="29"/>
          <w:szCs w:val="29"/>
          <w:spacing w:val="8"/>
        </w:rPr>
        <w:t>2)表现症状：在叶片上开始产生黄色小点或白色斑，而后扩大发展成圆形 </w:t>
      </w:r>
      <w:r>
        <w:rPr>
          <w:sz w:val="29"/>
          <w:szCs w:val="29"/>
          <w:spacing w:val="-16"/>
        </w:rPr>
        <w:t>或椭圆形病斑，表面生有白色粉状霉层，甚至可</w:t>
      </w:r>
      <w:r>
        <w:rPr>
          <w:sz w:val="29"/>
          <w:szCs w:val="29"/>
          <w:spacing w:val="-17"/>
        </w:rPr>
        <w:t>以覆盖全叶，严重影响光合作用，使</w:t>
      </w:r>
      <w:r>
        <w:rPr>
          <w:sz w:val="29"/>
          <w:szCs w:val="29"/>
        </w:rPr>
        <w:t xml:space="preserve"> </w:t>
      </w:r>
      <w:r>
        <w:rPr>
          <w:sz w:val="29"/>
          <w:szCs w:val="29"/>
          <w:spacing w:val="-3"/>
        </w:rPr>
        <w:t>正常新陈代谢受到干扰；</w:t>
      </w:r>
    </w:p>
    <w:p>
      <w:pPr>
        <w:pStyle w:val="BodyText"/>
        <w:ind w:right="240" w:firstLine="570"/>
        <w:spacing w:before="151" w:line="282" w:lineRule="auto"/>
        <w:rPr>
          <w:sz w:val="29"/>
          <w:szCs w:val="29"/>
        </w:rPr>
      </w:pPr>
      <w:r>
        <w:rPr>
          <w:sz w:val="29"/>
          <w:szCs w:val="29"/>
          <w:spacing w:val="11"/>
        </w:rPr>
        <w:t>3)发生时期：发病适温15—20℃,一年中可感染多次，以夏初和秋末发病</w:t>
      </w:r>
      <w:r>
        <w:rPr>
          <w:sz w:val="29"/>
          <w:szCs w:val="29"/>
          <w:spacing w:val="8"/>
        </w:rPr>
        <w:t xml:space="preserve"> </w:t>
      </w:r>
      <w:r>
        <w:rPr>
          <w:sz w:val="29"/>
          <w:szCs w:val="29"/>
        </w:rPr>
        <w:t>较重，该病受极度干旱胁迫时也容易发病；多在梅雨季节和多雨季节，在潮湿、</w:t>
      </w:r>
      <w:r>
        <w:rPr>
          <w:sz w:val="29"/>
          <w:szCs w:val="29"/>
          <w:spacing w:val="13"/>
        </w:rPr>
        <w:t xml:space="preserve"> </w:t>
      </w:r>
      <w:r>
        <w:rPr>
          <w:sz w:val="29"/>
          <w:szCs w:val="29"/>
        </w:rPr>
        <w:t>采光不好的地段较易发生。</w:t>
      </w:r>
    </w:p>
    <w:p>
      <w:pPr>
        <w:spacing w:line="282" w:lineRule="auto"/>
        <w:sectPr>
          <w:footerReference w:type="default" r:id="rId220"/>
          <w:pgSz w:w="14490" w:h="20470"/>
          <w:pgMar w:top="1739" w:right="1935" w:bottom="1448" w:left="2150" w:header="0" w:footer="1203" w:gutter="0"/>
        </w:sectPr>
        <w:rPr>
          <w:sz w:val="29"/>
          <w:szCs w:val="29"/>
        </w:rPr>
      </w:pPr>
    </w:p>
    <w:p>
      <w:pPr>
        <w:ind w:firstLine="1669"/>
        <w:spacing w:before="220" w:line="4899" w:lineRule="exact"/>
        <w:rPr/>
      </w:pPr>
      <w:r>
        <w:rPr>
          <w:position w:val="-97"/>
        </w:rPr>
        <w:drawing>
          <wp:inline distT="0" distB="0" distL="0" distR="0">
            <wp:extent cx="4197380" cy="3111438"/>
            <wp:effectExtent l="0" t="0" r="0" b="0"/>
            <wp:docPr id="308" name="IM 308"/>
            <wp:cNvGraphicFramePr/>
            <a:graphic>
              <a:graphicData uri="http://schemas.openxmlformats.org/drawingml/2006/picture">
                <pic:pic>
                  <pic:nvPicPr>
                    <pic:cNvPr id="308" name="IM 308"/>
                    <pic:cNvPicPr/>
                  </pic:nvPicPr>
                  <pic:blipFill>
                    <a:blip r:embed="rId222"/>
                    <a:stretch>
                      <a:fillRect/>
                    </a:stretch>
                  </pic:blipFill>
                  <pic:spPr>
                    <a:xfrm rot="0">
                      <a:off x="0" y="0"/>
                      <a:ext cx="4197380" cy="3111438"/>
                    </a:xfrm>
                    <a:prstGeom prst="rect">
                      <a:avLst/>
                    </a:prstGeom>
                  </pic:spPr>
                </pic:pic>
              </a:graphicData>
            </a:graphic>
          </wp:inline>
        </w:drawing>
      </w:r>
    </w:p>
    <w:p>
      <w:pPr>
        <w:pStyle w:val="BodyText"/>
        <w:ind w:left="3720"/>
        <w:spacing w:before="100" w:line="219" w:lineRule="auto"/>
        <w:rPr>
          <w:sz w:val="26"/>
          <w:szCs w:val="26"/>
        </w:rPr>
      </w:pPr>
      <w:r>
        <w:rPr>
          <w:sz w:val="26"/>
          <w:szCs w:val="26"/>
          <w:spacing w:val="-10"/>
        </w:rPr>
        <w:t>图6-1-1白粉病表现症状</w:t>
      </w:r>
    </w:p>
    <w:p>
      <w:pPr>
        <w:pStyle w:val="BodyText"/>
        <w:ind w:left="570"/>
        <w:spacing w:before="160" w:line="219" w:lineRule="auto"/>
        <w:rPr>
          <w:sz w:val="29"/>
          <w:szCs w:val="29"/>
        </w:rPr>
      </w:pPr>
      <w:r>
        <w:rPr>
          <w:sz w:val="29"/>
          <w:szCs w:val="29"/>
          <w:spacing w:val="7"/>
        </w:rPr>
        <w:t>4)发生地区：全国大部分地区均会发生，南方发病更重。</w:t>
      </w:r>
    </w:p>
    <w:p>
      <w:pPr>
        <w:pStyle w:val="BodyText"/>
        <w:ind w:right="321" w:firstLine="570"/>
        <w:spacing w:before="126" w:line="272" w:lineRule="auto"/>
        <w:rPr>
          <w:sz w:val="29"/>
          <w:szCs w:val="29"/>
        </w:rPr>
      </w:pPr>
      <w:r>
        <w:rPr>
          <w:sz w:val="29"/>
          <w:szCs w:val="29"/>
          <w:spacing w:val="-9"/>
        </w:rPr>
        <w:t>5)防治方法：加强管护，提高抗病性；合理施用氮肥，适当增施磷、钾肥，</w:t>
      </w:r>
      <w:r>
        <w:rPr>
          <w:sz w:val="29"/>
          <w:szCs w:val="29"/>
          <w:spacing w:val="10"/>
        </w:rPr>
        <w:t xml:space="preserve"> </w:t>
      </w:r>
      <w:r>
        <w:rPr>
          <w:sz w:val="29"/>
          <w:szCs w:val="29"/>
          <w:spacing w:val="-8"/>
        </w:rPr>
        <w:t>及时修剪，通风透光；药剂防治参见《各地区农药肥料使用指导》。</w:t>
      </w:r>
    </w:p>
    <w:p>
      <w:pPr>
        <w:spacing w:before="201" w:line="222" w:lineRule="auto"/>
        <w:rPr>
          <w:rFonts w:ascii="SimHei" w:hAnsi="SimHei" w:eastAsia="SimHei" w:cs="SimHei"/>
          <w:sz w:val="27"/>
          <w:szCs w:val="27"/>
        </w:rPr>
      </w:pPr>
      <w:r>
        <w:rPr>
          <w:rFonts w:ascii="SimHei" w:hAnsi="SimHei" w:eastAsia="SimHei" w:cs="SimHei"/>
          <w:sz w:val="27"/>
          <w:szCs w:val="27"/>
          <w:spacing w:val="21"/>
        </w:rPr>
        <w:t>2、</w:t>
      </w:r>
      <w:r>
        <w:rPr>
          <w:rFonts w:ascii="SimHei" w:hAnsi="SimHei" w:eastAsia="SimHei" w:cs="SimHei"/>
          <w:sz w:val="27"/>
          <w:szCs w:val="27"/>
          <w:b/>
          <w:bCs/>
          <w:spacing w:val="21"/>
        </w:rPr>
        <w:t>霜霉病</w:t>
      </w:r>
    </w:p>
    <w:p>
      <w:pPr>
        <w:pStyle w:val="BodyText"/>
        <w:ind w:right="371" w:firstLine="570"/>
        <w:spacing w:before="101" w:line="272" w:lineRule="auto"/>
        <w:rPr>
          <w:sz w:val="29"/>
          <w:szCs w:val="29"/>
        </w:rPr>
      </w:pPr>
      <w:r>
        <w:rPr>
          <w:sz w:val="29"/>
          <w:szCs w:val="29"/>
          <w:spacing w:val="-10"/>
        </w:rPr>
        <w:t>1)主要危害植物：月季、茶花、红千层、毛杜鹃、鹅掌柴、</w:t>
      </w:r>
      <w:r>
        <w:rPr>
          <w:sz w:val="29"/>
          <w:szCs w:val="29"/>
          <w:spacing w:val="-11"/>
        </w:rPr>
        <w:t>假连翘、菊花、</w:t>
      </w:r>
      <w:r>
        <w:rPr>
          <w:sz w:val="29"/>
          <w:szCs w:val="29"/>
        </w:rPr>
        <w:t xml:space="preserve"> </w:t>
      </w:r>
      <w:r>
        <w:rPr>
          <w:sz w:val="29"/>
          <w:szCs w:val="29"/>
          <w:spacing w:val="-4"/>
        </w:rPr>
        <w:t>紫罗兰、虞美人等。</w:t>
      </w:r>
    </w:p>
    <w:p>
      <w:pPr>
        <w:pStyle w:val="BodyText"/>
        <w:ind w:right="65" w:firstLine="570"/>
        <w:spacing w:before="146" w:line="279" w:lineRule="auto"/>
        <w:rPr>
          <w:sz w:val="29"/>
          <w:szCs w:val="29"/>
        </w:rPr>
      </w:pPr>
      <w:r>
        <w:rPr>
          <w:sz w:val="29"/>
          <w:szCs w:val="29"/>
          <w:spacing w:val="26"/>
        </w:rPr>
        <w:t>2)表现症状：发病初期在叶面形成浅黄色近圆形</w:t>
      </w:r>
      <w:r>
        <w:rPr>
          <w:sz w:val="29"/>
          <w:szCs w:val="29"/>
          <w:spacing w:val="25"/>
        </w:rPr>
        <w:t>或多角形病斑，空气</w:t>
      </w:r>
      <w:r>
        <w:rPr>
          <w:sz w:val="29"/>
          <w:szCs w:val="29"/>
        </w:rPr>
        <w:t xml:space="preserve"> </w:t>
      </w:r>
      <w:r>
        <w:rPr>
          <w:sz w:val="29"/>
          <w:szCs w:val="29"/>
          <w:spacing w:val="26"/>
        </w:rPr>
        <w:t>潮湿时叶背产生霜状霉层，有时可蔓延到叶面</w:t>
      </w:r>
      <w:r>
        <w:rPr>
          <w:sz w:val="29"/>
          <w:szCs w:val="29"/>
          <w:spacing w:val="25"/>
        </w:rPr>
        <w:t>。后期病斑枯死连片，呈黄</w:t>
      </w:r>
      <w:r>
        <w:rPr>
          <w:sz w:val="29"/>
          <w:szCs w:val="29"/>
        </w:rPr>
        <w:t xml:space="preserve"> </w:t>
      </w:r>
      <w:r>
        <w:rPr>
          <w:sz w:val="29"/>
          <w:szCs w:val="29"/>
          <w:spacing w:val="16"/>
        </w:rPr>
        <w:t>褐色，严重时全部外叶枯黄死亡。</w:t>
      </w:r>
    </w:p>
    <w:p>
      <w:pPr>
        <w:spacing w:line="262" w:lineRule="auto"/>
        <w:rPr>
          <w:rFonts w:ascii="Arial"/>
          <w:sz w:val="21"/>
        </w:rPr>
      </w:pPr>
      <w:r/>
    </w:p>
    <w:p>
      <w:pPr>
        <w:ind w:firstLine="209"/>
        <w:spacing w:line="3040" w:lineRule="exact"/>
        <w:rPr/>
      </w:pPr>
      <w:r>
        <w:rPr>
          <w:position w:val="-60"/>
        </w:rPr>
        <w:drawing>
          <wp:inline distT="0" distB="0" distL="0" distR="0">
            <wp:extent cx="6026201" cy="1930400"/>
            <wp:effectExtent l="0" t="0" r="0" b="0"/>
            <wp:docPr id="310" name="IM 310"/>
            <wp:cNvGraphicFramePr/>
            <a:graphic>
              <a:graphicData uri="http://schemas.openxmlformats.org/drawingml/2006/picture">
                <pic:pic>
                  <pic:nvPicPr>
                    <pic:cNvPr id="310" name="IM 310"/>
                    <pic:cNvPicPr/>
                  </pic:nvPicPr>
                  <pic:blipFill>
                    <a:blip r:embed="rId223"/>
                    <a:stretch>
                      <a:fillRect/>
                    </a:stretch>
                  </pic:blipFill>
                  <pic:spPr>
                    <a:xfrm rot="0">
                      <a:off x="0" y="0"/>
                      <a:ext cx="6026201" cy="1930400"/>
                    </a:xfrm>
                    <a:prstGeom prst="rect">
                      <a:avLst/>
                    </a:prstGeom>
                  </pic:spPr>
                </pic:pic>
              </a:graphicData>
            </a:graphic>
          </wp:inline>
        </w:drawing>
      </w:r>
    </w:p>
    <w:p>
      <w:pPr>
        <w:pStyle w:val="BodyText"/>
        <w:ind w:left="3720"/>
        <w:spacing w:before="80" w:line="219" w:lineRule="auto"/>
        <w:rPr>
          <w:sz w:val="24"/>
          <w:szCs w:val="24"/>
        </w:rPr>
      </w:pPr>
      <w:r>
        <w:rPr>
          <w:sz w:val="24"/>
          <w:szCs w:val="24"/>
          <w:spacing w:val="5"/>
        </w:rPr>
        <w:t>图6-1-2霜霉病表现症状</w:t>
      </w:r>
    </w:p>
    <w:p>
      <w:pPr>
        <w:pStyle w:val="BodyText"/>
        <w:ind w:right="103" w:firstLine="570"/>
        <w:spacing w:before="146" w:line="262" w:lineRule="auto"/>
        <w:rPr>
          <w:sz w:val="29"/>
          <w:szCs w:val="29"/>
        </w:rPr>
      </w:pPr>
      <w:r>
        <w:rPr>
          <w:sz w:val="29"/>
          <w:szCs w:val="29"/>
          <w:spacing w:val="6"/>
        </w:rPr>
        <w:t>3)发生时期：春未、夏初或秋季连续阴雨天气最易发生，低温潮湿、通风</w:t>
      </w:r>
      <w:r>
        <w:rPr>
          <w:sz w:val="29"/>
          <w:szCs w:val="29"/>
          <w:spacing w:val="14"/>
        </w:rPr>
        <w:t xml:space="preserve"> </w:t>
      </w:r>
      <w:r>
        <w:rPr>
          <w:sz w:val="29"/>
          <w:szCs w:val="29"/>
          <w:spacing w:val="1"/>
        </w:rPr>
        <w:t>不良，氮肥使用过多发病重。</w:t>
      </w:r>
    </w:p>
    <w:p>
      <w:pPr>
        <w:pStyle w:val="BodyText"/>
        <w:ind w:left="570"/>
        <w:spacing w:before="158" w:line="219" w:lineRule="auto"/>
        <w:rPr>
          <w:sz w:val="29"/>
          <w:szCs w:val="29"/>
        </w:rPr>
      </w:pPr>
      <w:r>
        <w:rPr>
          <w:sz w:val="29"/>
          <w:szCs w:val="29"/>
          <w:spacing w:val="7"/>
        </w:rPr>
        <w:t>4)发生地区：广东、广西、湖南、江西、</w:t>
      </w:r>
      <w:r>
        <w:rPr>
          <w:sz w:val="29"/>
          <w:szCs w:val="29"/>
          <w:spacing w:val="6"/>
        </w:rPr>
        <w:t>海南地区春夏季高发。</w:t>
      </w:r>
    </w:p>
    <w:p>
      <w:pPr>
        <w:pStyle w:val="BodyText"/>
        <w:ind w:left="570"/>
        <w:spacing w:before="154" w:line="219" w:lineRule="auto"/>
        <w:rPr>
          <w:sz w:val="29"/>
          <w:szCs w:val="29"/>
        </w:rPr>
      </w:pPr>
      <w:r>
        <w:rPr>
          <w:sz w:val="29"/>
          <w:szCs w:val="29"/>
        </w:rPr>
        <w:t>5)药剂防治参见《各地区农药肥料使用指导》。</w:t>
      </w:r>
    </w:p>
    <w:p>
      <w:pPr>
        <w:pStyle w:val="BodyText"/>
        <w:spacing w:before="73" w:line="396" w:lineRule="exact"/>
        <w:rPr>
          <w:rFonts w:ascii="SimHei" w:hAnsi="SimHei" w:eastAsia="SimHei" w:cs="SimHei"/>
          <w:sz w:val="29"/>
          <w:szCs w:val="29"/>
        </w:rPr>
      </w:pPr>
      <w:r>
        <w:rPr>
          <w:rFonts w:ascii="Arial" w:hAnsi="Arial" w:eastAsia="Arial" w:cs="Arial"/>
          <w:sz w:val="29"/>
          <w:szCs w:val="29"/>
          <w:spacing w:val="2"/>
          <w:position w:val="1"/>
        </w:rPr>
        <w:t>3</w:t>
      </w:r>
      <w:r>
        <w:rPr>
          <w:sz w:val="29"/>
          <w:szCs w:val="29"/>
          <w:spacing w:val="2"/>
          <w:position w:val="1"/>
        </w:rPr>
        <w:t>、</w:t>
      </w:r>
      <w:r>
        <w:rPr>
          <w:rFonts w:ascii="SimHei" w:hAnsi="SimHei" w:eastAsia="SimHei" w:cs="SimHei"/>
          <w:sz w:val="29"/>
          <w:szCs w:val="29"/>
          <w:spacing w:val="2"/>
          <w:position w:val="1"/>
        </w:rPr>
        <w:t>炭疽病</w:t>
      </w:r>
    </w:p>
    <w:p>
      <w:pPr>
        <w:pStyle w:val="BodyText"/>
        <w:ind w:left="570"/>
        <w:spacing w:before="100" w:line="219" w:lineRule="auto"/>
        <w:rPr>
          <w:sz w:val="32"/>
          <w:szCs w:val="32"/>
        </w:rPr>
      </w:pPr>
      <w:r>
        <w:rPr>
          <w:sz w:val="32"/>
          <w:szCs w:val="32"/>
          <w:spacing w:val="-39"/>
        </w:rPr>
        <w:t>1)危害植物：兰花、君子兰、仙客来、玉兰、栀子、山茶、广玉兰</w:t>
      </w:r>
      <w:r>
        <w:rPr>
          <w:sz w:val="32"/>
          <w:szCs w:val="32"/>
          <w:spacing w:val="-40"/>
        </w:rPr>
        <w:t>、米兰、</w:t>
      </w:r>
    </w:p>
    <w:p>
      <w:pPr>
        <w:spacing w:line="219" w:lineRule="auto"/>
        <w:sectPr>
          <w:footerReference w:type="default" r:id="rId221"/>
          <w:pgSz w:w="14490" w:h="20470"/>
          <w:pgMar w:top="1739" w:right="2173" w:bottom="1413" w:left="2150" w:header="0" w:footer="1215" w:gutter="0"/>
        </w:sectPr>
        <w:rPr>
          <w:sz w:val="32"/>
          <w:szCs w:val="32"/>
        </w:rPr>
      </w:pPr>
    </w:p>
    <w:p>
      <w:pPr>
        <w:pStyle w:val="BodyText"/>
        <w:ind w:right="226"/>
        <w:spacing w:before="93" w:line="288" w:lineRule="auto"/>
        <w:rPr>
          <w:sz w:val="32"/>
          <w:szCs w:val="32"/>
        </w:rPr>
      </w:pPr>
      <w:r>
        <w:rPr>
          <w:sz w:val="32"/>
          <w:szCs w:val="32"/>
          <w:spacing w:val="-37"/>
          <w:w w:val="95"/>
        </w:rPr>
        <w:t>紫荆、金边虎尾兰、龙舌兰、樟树、杉木、铅笔柏、泡桐、刺槐、油茶、山茱萸、各</w:t>
      </w:r>
      <w:r>
        <w:rPr>
          <w:sz w:val="32"/>
          <w:szCs w:val="32"/>
          <w:spacing w:val="62"/>
        </w:rPr>
        <w:t xml:space="preserve"> </w:t>
      </w:r>
      <w:r>
        <w:rPr>
          <w:sz w:val="32"/>
          <w:szCs w:val="32"/>
          <w:spacing w:val="-21"/>
        </w:rPr>
        <w:t>种草坪等。</w:t>
      </w:r>
    </w:p>
    <w:p>
      <w:pPr>
        <w:pStyle w:val="BodyText"/>
        <w:ind w:left="590"/>
        <w:spacing w:line="219" w:lineRule="auto"/>
        <w:rPr>
          <w:sz w:val="29"/>
          <w:szCs w:val="29"/>
        </w:rPr>
      </w:pPr>
      <w:r>
        <w:rPr>
          <w:sz w:val="29"/>
          <w:szCs w:val="29"/>
          <w:spacing w:val="14"/>
        </w:rPr>
        <w:t>2)表现症状：</w:t>
      </w:r>
    </w:p>
    <w:p>
      <w:pPr>
        <w:pStyle w:val="BodyText"/>
        <w:ind w:right="32" w:firstLine="730"/>
        <w:spacing w:before="174" w:line="287" w:lineRule="auto"/>
        <w:rPr>
          <w:sz w:val="29"/>
          <w:szCs w:val="29"/>
        </w:rPr>
      </w:pPr>
      <w:r>
        <w:rPr>
          <w:sz w:val="29"/>
          <w:szCs w:val="29"/>
          <w:spacing w:val="-2"/>
        </w:rPr>
        <w:t>(1)</w:t>
      </w:r>
      <w:r>
        <w:rPr>
          <w:sz w:val="29"/>
          <w:szCs w:val="29"/>
          <w:spacing w:val="137"/>
        </w:rPr>
        <w:t xml:space="preserve"> </w:t>
      </w:r>
      <w:r>
        <w:rPr>
          <w:sz w:val="29"/>
          <w:szCs w:val="29"/>
          <w:spacing w:val="-2"/>
        </w:rPr>
        <w:t>发生于叶片上，发病初期在叶片上呈现圆形、椭圆</w:t>
      </w:r>
      <w:r>
        <w:rPr>
          <w:sz w:val="29"/>
          <w:szCs w:val="29"/>
          <w:spacing w:val="-3"/>
        </w:rPr>
        <w:t>型红褐色小斑点，</w:t>
      </w:r>
      <w:r>
        <w:rPr>
          <w:sz w:val="29"/>
          <w:szCs w:val="29"/>
        </w:rPr>
        <w:t xml:space="preserve"> </w:t>
      </w:r>
      <w:r>
        <w:rPr>
          <w:sz w:val="29"/>
          <w:szCs w:val="29"/>
        </w:rPr>
        <w:t>后期扩大呈深褐色病斑，中央则有灰褐色转为</w:t>
      </w:r>
      <w:r>
        <w:rPr>
          <w:sz w:val="29"/>
          <w:szCs w:val="29"/>
          <w:spacing w:val="-1"/>
        </w:rPr>
        <w:t>灰白色，而边缘则呈紫褐色或暗绿</w:t>
      </w:r>
      <w:r>
        <w:rPr>
          <w:sz w:val="29"/>
          <w:szCs w:val="29"/>
        </w:rPr>
        <w:t xml:space="preserve"> </w:t>
      </w:r>
      <w:r>
        <w:rPr>
          <w:sz w:val="29"/>
          <w:szCs w:val="29"/>
          <w:spacing w:val="-9"/>
        </w:rPr>
        <w:t>色，有时边缘有黄晕，最后病斑转黑褐色，并产生轮纹状排列的小黑点；草坪上出</w:t>
      </w:r>
      <w:r>
        <w:rPr>
          <w:sz w:val="29"/>
          <w:szCs w:val="29"/>
          <w:spacing w:val="7"/>
        </w:rPr>
        <w:t xml:space="preserve"> </w:t>
      </w:r>
      <w:r>
        <w:rPr>
          <w:sz w:val="29"/>
          <w:szCs w:val="29"/>
          <w:spacing w:val="-3"/>
        </w:rPr>
        <w:t>现几厘米至几米不规则的枯草斑，斑块呈红褐色</w:t>
      </w:r>
      <w:r>
        <w:rPr>
          <w:sz w:val="29"/>
          <w:szCs w:val="29"/>
          <w:spacing w:val="-4"/>
        </w:rPr>
        <w:t>-黄色-黄褐色-褐色的变化；</w:t>
      </w:r>
    </w:p>
    <w:p>
      <w:pPr>
        <w:pStyle w:val="BodyText"/>
        <w:ind w:right="6" w:firstLine="730"/>
        <w:spacing w:before="147" w:line="279" w:lineRule="auto"/>
        <w:rPr>
          <w:sz w:val="29"/>
          <w:szCs w:val="29"/>
        </w:rPr>
      </w:pPr>
      <w:r>
        <w:rPr>
          <w:sz w:val="29"/>
          <w:szCs w:val="29"/>
          <w:spacing w:val="1"/>
        </w:rPr>
        <w:t>(2)</w:t>
      </w:r>
      <w:r>
        <w:rPr>
          <w:sz w:val="29"/>
          <w:szCs w:val="29"/>
          <w:spacing w:val="118"/>
        </w:rPr>
        <w:t xml:space="preserve"> </w:t>
      </w:r>
      <w:r>
        <w:rPr>
          <w:sz w:val="29"/>
          <w:szCs w:val="29"/>
          <w:spacing w:val="1"/>
        </w:rPr>
        <w:t>发生于茎上，产生圆形或近圆形的病斑，呈淡褐色，其上生有轮纹状</w:t>
      </w:r>
      <w:r>
        <w:rPr>
          <w:sz w:val="29"/>
          <w:szCs w:val="29"/>
        </w:rPr>
        <w:t xml:space="preserve"> </w:t>
      </w:r>
      <w:r>
        <w:rPr>
          <w:sz w:val="29"/>
          <w:szCs w:val="29"/>
        </w:rPr>
        <w:t>排列的黑色小点，如仙人掌炭疽病，此病常发生于</w:t>
      </w:r>
      <w:r>
        <w:rPr>
          <w:sz w:val="29"/>
          <w:szCs w:val="29"/>
          <w:spacing w:val="-1"/>
        </w:rPr>
        <w:t>叶缘和叶尖，严重时，使大半</w:t>
      </w:r>
      <w:r>
        <w:rPr>
          <w:sz w:val="29"/>
          <w:szCs w:val="29"/>
        </w:rPr>
        <w:t xml:space="preserve"> </w:t>
      </w:r>
      <w:r>
        <w:rPr>
          <w:sz w:val="29"/>
          <w:szCs w:val="29"/>
          <w:spacing w:val="-6"/>
        </w:rPr>
        <w:t>叶子枯黑死亡；</w:t>
      </w:r>
    </w:p>
    <w:p>
      <w:pPr>
        <w:ind w:firstLine="4659"/>
        <w:spacing w:before="163" w:line="3850" w:lineRule="exact"/>
        <w:rPr/>
      </w:pPr>
      <w:r>
        <w:drawing>
          <wp:anchor distT="0" distB="0" distL="0" distR="0" simplePos="0" relativeHeight="251948032" behindDoc="0" locked="0" layoutInCell="1" allowOverlap="1">
            <wp:simplePos x="0" y="0"/>
            <wp:positionH relativeFrom="column">
              <wp:posOffset>292044</wp:posOffset>
            </wp:positionH>
            <wp:positionV relativeFrom="paragraph">
              <wp:posOffset>104105</wp:posOffset>
            </wp:positionV>
            <wp:extent cx="2419350" cy="2432010"/>
            <wp:effectExtent l="0" t="0" r="0" b="0"/>
            <wp:wrapNone/>
            <wp:docPr id="312" name="IM 312"/>
            <wp:cNvGraphicFramePr/>
            <a:graphic>
              <a:graphicData uri="http://schemas.openxmlformats.org/drawingml/2006/picture">
                <pic:pic>
                  <pic:nvPicPr>
                    <pic:cNvPr id="312" name="IM 312"/>
                    <pic:cNvPicPr/>
                  </pic:nvPicPr>
                  <pic:blipFill>
                    <a:blip r:embed="rId225"/>
                    <a:stretch>
                      <a:fillRect/>
                    </a:stretch>
                  </pic:blipFill>
                  <pic:spPr>
                    <a:xfrm rot="0">
                      <a:off x="0" y="0"/>
                      <a:ext cx="2419350" cy="2432010"/>
                    </a:xfrm>
                    <a:prstGeom prst="rect">
                      <a:avLst/>
                    </a:prstGeom>
                  </pic:spPr>
                </pic:pic>
              </a:graphicData>
            </a:graphic>
          </wp:anchor>
        </w:drawing>
      </w:r>
      <w:r>
        <w:rPr>
          <w:position w:val="-76"/>
        </w:rPr>
        <w:drawing>
          <wp:inline distT="0" distB="0" distL="0" distR="0">
            <wp:extent cx="3073367" cy="2444748"/>
            <wp:effectExtent l="0" t="0" r="0" b="0"/>
            <wp:docPr id="314" name="IM 314"/>
            <wp:cNvGraphicFramePr/>
            <a:graphic>
              <a:graphicData uri="http://schemas.openxmlformats.org/drawingml/2006/picture">
                <pic:pic>
                  <pic:nvPicPr>
                    <pic:cNvPr id="314" name="IM 314"/>
                    <pic:cNvPicPr/>
                  </pic:nvPicPr>
                  <pic:blipFill>
                    <a:blip r:embed="rId226"/>
                    <a:stretch>
                      <a:fillRect/>
                    </a:stretch>
                  </pic:blipFill>
                  <pic:spPr>
                    <a:xfrm rot="0">
                      <a:off x="0" y="0"/>
                      <a:ext cx="3073367" cy="2444748"/>
                    </a:xfrm>
                    <a:prstGeom prst="rect">
                      <a:avLst/>
                    </a:prstGeom>
                  </pic:spPr>
                </pic:pic>
              </a:graphicData>
            </a:graphic>
          </wp:inline>
        </w:drawing>
      </w:r>
    </w:p>
    <w:p>
      <w:pPr>
        <w:pStyle w:val="BodyText"/>
        <w:ind w:left="3730"/>
        <w:spacing w:before="50" w:line="219" w:lineRule="auto"/>
        <w:rPr>
          <w:sz w:val="24"/>
          <w:szCs w:val="24"/>
        </w:rPr>
      </w:pPr>
      <w:r>
        <w:rPr>
          <w:sz w:val="24"/>
          <w:szCs w:val="24"/>
          <w:spacing w:val="6"/>
        </w:rPr>
        <w:t>图6-1-3炭疽病表现症状</w:t>
      </w:r>
    </w:p>
    <w:p>
      <w:pPr>
        <w:pStyle w:val="BodyText"/>
        <w:ind w:right="26" w:firstLine="590"/>
        <w:spacing w:before="176" w:line="269" w:lineRule="auto"/>
        <w:rPr>
          <w:sz w:val="29"/>
          <w:szCs w:val="29"/>
        </w:rPr>
      </w:pPr>
      <w:r>
        <w:rPr>
          <w:sz w:val="29"/>
          <w:szCs w:val="29"/>
          <w:spacing w:val="8"/>
        </w:rPr>
        <w:t>3)发生时期：病害每年4—6月发生，秋季因生理原因发生黄化的新梢也可</w:t>
      </w:r>
      <w:r>
        <w:rPr>
          <w:sz w:val="29"/>
          <w:szCs w:val="29"/>
        </w:rPr>
        <w:t xml:space="preserve"> </w:t>
      </w:r>
      <w:r>
        <w:rPr>
          <w:sz w:val="29"/>
          <w:szCs w:val="29"/>
        </w:rPr>
        <w:t>能发病，使嫩梢枯死。</w:t>
      </w:r>
    </w:p>
    <w:p>
      <w:pPr>
        <w:pStyle w:val="BodyText"/>
        <w:ind w:left="590"/>
        <w:spacing w:before="147" w:line="220" w:lineRule="auto"/>
        <w:rPr>
          <w:sz w:val="29"/>
          <w:szCs w:val="29"/>
        </w:rPr>
      </w:pPr>
      <w:r>
        <w:rPr>
          <w:sz w:val="29"/>
          <w:szCs w:val="29"/>
          <w:spacing w:val="9"/>
        </w:rPr>
        <w:t>4)发生地区：全国各地区均有发生。</w:t>
      </w:r>
    </w:p>
    <w:p>
      <w:pPr>
        <w:pStyle w:val="BodyText"/>
        <w:ind w:firstLine="590"/>
        <w:spacing w:before="135" w:line="288" w:lineRule="auto"/>
        <w:rPr>
          <w:sz w:val="29"/>
          <w:szCs w:val="29"/>
        </w:rPr>
      </w:pPr>
      <w:r>
        <w:rPr>
          <w:sz w:val="29"/>
          <w:szCs w:val="29"/>
          <w:spacing w:val="-8"/>
        </w:rPr>
        <w:t>5)防治方法：提高修剪高度，疏除枯草层和打孔等措施预防此病发生，</w:t>
      </w:r>
      <w:r>
        <w:rPr>
          <w:sz w:val="29"/>
          <w:szCs w:val="29"/>
          <w:spacing w:val="-9"/>
        </w:rPr>
        <w:t>适当，</w:t>
      </w:r>
      <w:r>
        <w:rPr>
          <w:sz w:val="29"/>
          <w:szCs w:val="29"/>
        </w:rPr>
        <w:t xml:space="preserve"> </w:t>
      </w:r>
      <w:r>
        <w:rPr>
          <w:sz w:val="29"/>
          <w:szCs w:val="29"/>
          <w:spacing w:val="-15"/>
        </w:rPr>
        <w:t>均衡施肥，避免在高温或干旱期间使用含量高的氮肥，</w:t>
      </w:r>
      <w:r>
        <w:rPr>
          <w:sz w:val="29"/>
          <w:szCs w:val="29"/>
          <w:spacing w:val="-16"/>
        </w:rPr>
        <w:t>增施磷钾肥，充分深浇水，减</w:t>
      </w:r>
      <w:r>
        <w:rPr>
          <w:sz w:val="29"/>
          <w:szCs w:val="29"/>
        </w:rPr>
        <w:t xml:space="preserve"> </w:t>
      </w:r>
      <w:r>
        <w:rPr>
          <w:sz w:val="29"/>
          <w:szCs w:val="29"/>
        </w:rPr>
        <w:t>少浇水次数，草坪经常打孔通气和铺砂。药剂防治参见《各地区农药肥料使用指</w:t>
      </w:r>
      <w:r>
        <w:rPr>
          <w:sz w:val="29"/>
          <w:szCs w:val="29"/>
          <w:spacing w:val="17"/>
        </w:rPr>
        <w:t xml:space="preserve"> </w:t>
      </w:r>
      <w:r>
        <w:rPr>
          <w:sz w:val="29"/>
          <w:szCs w:val="29"/>
          <w:spacing w:val="-24"/>
        </w:rPr>
        <w:t>导》。</w:t>
      </w:r>
    </w:p>
    <w:p>
      <w:pPr>
        <w:pStyle w:val="BodyText"/>
        <w:spacing w:before="20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叶斑类病害</w:t>
      </w:r>
    </w:p>
    <w:p>
      <w:pPr>
        <w:pStyle w:val="BodyText"/>
        <w:ind w:right="23" w:firstLine="590"/>
        <w:spacing w:before="65" w:line="278" w:lineRule="auto"/>
        <w:rPr>
          <w:sz w:val="29"/>
          <w:szCs w:val="29"/>
        </w:rPr>
      </w:pPr>
      <w:r>
        <w:rPr>
          <w:sz w:val="29"/>
          <w:szCs w:val="29"/>
          <w:spacing w:val="8"/>
        </w:rPr>
        <w:t>1)危害植物：月季、大叶黄杨、鸡冠花、虎尾兰、水仙芍药、海芋、马蹄</w:t>
      </w:r>
      <w:r>
        <w:rPr>
          <w:sz w:val="29"/>
          <w:szCs w:val="29"/>
          <w:spacing w:val="10"/>
        </w:rPr>
        <w:t xml:space="preserve"> </w:t>
      </w:r>
      <w:r>
        <w:rPr>
          <w:sz w:val="29"/>
          <w:szCs w:val="29"/>
          <w:spacing w:val="1"/>
        </w:rPr>
        <w:t>莲、梅花、八仙花、栀子、黑麦草、早熟禾、黑麦草、高羊茅、狗牙根等。</w:t>
      </w:r>
    </w:p>
    <w:p>
      <w:pPr>
        <w:pStyle w:val="BodyText"/>
        <w:ind w:left="590"/>
        <w:spacing w:before="128" w:line="219" w:lineRule="auto"/>
        <w:rPr>
          <w:sz w:val="29"/>
          <w:szCs w:val="29"/>
        </w:rPr>
      </w:pPr>
      <w:r>
        <w:rPr>
          <w:sz w:val="29"/>
          <w:szCs w:val="29"/>
          <w:spacing w:val="14"/>
        </w:rPr>
        <w:t>2)表现症状：</w:t>
      </w:r>
    </w:p>
    <w:p>
      <w:pPr>
        <w:pStyle w:val="BodyText"/>
        <w:ind w:right="16" w:firstLine="730"/>
        <w:spacing w:before="160" w:line="314" w:lineRule="auto"/>
        <w:jc w:val="both"/>
        <w:rPr>
          <w:sz w:val="29"/>
          <w:szCs w:val="29"/>
        </w:rPr>
      </w:pPr>
      <w:r>
        <w:rPr>
          <w:sz w:val="29"/>
          <w:szCs w:val="29"/>
          <w:spacing w:val="-7"/>
        </w:rPr>
        <w:t>①</w:t>
      </w:r>
      <w:r>
        <w:rPr>
          <w:sz w:val="29"/>
          <w:szCs w:val="29"/>
          <w:spacing w:val="41"/>
        </w:rPr>
        <w:t xml:space="preserve">  </w:t>
      </w:r>
      <w:r>
        <w:rPr>
          <w:sz w:val="29"/>
          <w:szCs w:val="29"/>
          <w:spacing w:val="-7"/>
        </w:rPr>
        <w:t>褐斑病：由立枯丝核菌所致，侵染叶片、叶柄和茎部</w:t>
      </w:r>
      <w:r>
        <w:rPr>
          <w:sz w:val="29"/>
          <w:szCs w:val="29"/>
          <w:spacing w:val="-8"/>
        </w:rPr>
        <w:t>；叶上病斑圆形，</w:t>
      </w:r>
      <w:r>
        <w:rPr>
          <w:sz w:val="29"/>
          <w:szCs w:val="29"/>
        </w:rPr>
        <w:t xml:space="preserve"> </w:t>
      </w:r>
      <w:r>
        <w:rPr>
          <w:sz w:val="29"/>
          <w:szCs w:val="29"/>
          <w:spacing w:val="-23"/>
        </w:rPr>
        <w:t>后扩大呈不规则状大病斑，并产生轮纹，病斑由红褐色变为黑褐色，中央灰褐色，茎和</w:t>
      </w:r>
      <w:r>
        <w:rPr>
          <w:sz w:val="29"/>
          <w:szCs w:val="29"/>
          <w:spacing w:val="4"/>
        </w:rPr>
        <w:t xml:space="preserve"> </w:t>
      </w:r>
      <w:r>
        <w:rPr>
          <w:sz w:val="29"/>
          <w:szCs w:val="29"/>
          <w:spacing w:val="-1"/>
        </w:rPr>
        <w:t>叶柄上病斑呈褐色、长条形；感病后草坪出现圆形或不规则的枯草斑，病草很快</w:t>
      </w:r>
      <w:r>
        <w:rPr>
          <w:sz w:val="29"/>
          <w:szCs w:val="29"/>
          <w:spacing w:val="4"/>
        </w:rPr>
        <w:t xml:space="preserve"> </w:t>
      </w:r>
      <w:r>
        <w:rPr>
          <w:sz w:val="29"/>
          <w:szCs w:val="29"/>
          <w:spacing w:val="-4"/>
        </w:rPr>
        <w:t>变为褐色。残存的病株尚能发芽，枯草斑呈环状或蛙眼状；</w:t>
      </w:r>
    </w:p>
    <w:p>
      <w:pPr>
        <w:spacing w:line="314" w:lineRule="auto"/>
        <w:sectPr>
          <w:footerReference w:type="default" r:id="rId224"/>
          <w:pgSz w:w="14490" w:h="20470"/>
          <w:pgMar w:top="1739" w:right="2171" w:bottom="1385" w:left="2150" w:header="0" w:footer="1223" w:gutter="0"/>
        </w:sectPr>
        <w:rPr>
          <w:sz w:val="29"/>
          <w:szCs w:val="29"/>
        </w:rPr>
      </w:pPr>
    </w:p>
    <w:p>
      <w:pPr>
        <w:ind w:firstLine="710"/>
        <w:spacing w:line="3060" w:lineRule="exact"/>
        <w:rPr/>
      </w:pPr>
      <w:r>
        <w:rPr>
          <w:position w:val="-61"/>
        </w:rPr>
        <w:drawing>
          <wp:inline distT="0" distB="0" distL="0" distR="0">
            <wp:extent cx="5353044" cy="1943139"/>
            <wp:effectExtent l="0" t="0" r="0" b="0"/>
            <wp:docPr id="316" name="IM 316"/>
            <wp:cNvGraphicFramePr/>
            <a:graphic>
              <a:graphicData uri="http://schemas.openxmlformats.org/drawingml/2006/picture">
                <pic:pic>
                  <pic:nvPicPr>
                    <pic:cNvPr id="316" name="IM 316"/>
                    <pic:cNvPicPr/>
                  </pic:nvPicPr>
                  <pic:blipFill>
                    <a:blip r:embed="rId228"/>
                    <a:stretch>
                      <a:fillRect/>
                    </a:stretch>
                  </pic:blipFill>
                  <pic:spPr>
                    <a:xfrm rot="0">
                      <a:off x="0" y="0"/>
                      <a:ext cx="5353044" cy="1943139"/>
                    </a:xfrm>
                    <a:prstGeom prst="rect">
                      <a:avLst/>
                    </a:prstGeom>
                  </pic:spPr>
                </pic:pic>
              </a:graphicData>
            </a:graphic>
          </wp:inline>
        </w:drawing>
      </w:r>
    </w:p>
    <w:p>
      <w:pPr>
        <w:pStyle w:val="BodyText"/>
        <w:ind w:left="4309"/>
        <w:spacing w:before="159" w:line="219" w:lineRule="auto"/>
        <w:rPr>
          <w:sz w:val="24"/>
          <w:szCs w:val="24"/>
        </w:rPr>
      </w:pPr>
      <w:r>
        <w:rPr>
          <w:sz w:val="24"/>
          <w:szCs w:val="24"/>
        </w:rPr>
        <w:t>图6-1-4褐斑病</w:t>
      </w:r>
    </w:p>
    <w:p>
      <w:pPr>
        <w:spacing w:line="248" w:lineRule="auto"/>
        <w:rPr>
          <w:rFonts w:ascii="Arial"/>
          <w:sz w:val="21"/>
        </w:rPr>
      </w:pPr>
      <w:r/>
    </w:p>
    <w:p>
      <w:pPr>
        <w:pStyle w:val="BodyText"/>
        <w:ind w:right="44" w:firstLine="730"/>
        <w:spacing w:before="94" w:line="276" w:lineRule="auto"/>
        <w:rPr>
          <w:sz w:val="29"/>
          <w:szCs w:val="29"/>
        </w:rPr>
      </w:pPr>
      <w:r>
        <w:rPr>
          <w:sz w:val="29"/>
          <w:szCs w:val="29"/>
          <w:spacing w:val="1"/>
        </w:rPr>
        <w:t>②</w:t>
      </w:r>
      <w:r>
        <w:rPr>
          <w:sz w:val="29"/>
          <w:szCs w:val="29"/>
          <w:spacing w:val="41"/>
        </w:rPr>
        <w:t xml:space="preserve">  </w:t>
      </w:r>
      <w:r>
        <w:rPr>
          <w:sz w:val="29"/>
          <w:szCs w:val="29"/>
          <w:spacing w:val="1"/>
        </w:rPr>
        <w:t>黑斑病：叶片上产生黑褐色小圆斑，后扩大或病斑连片呈不规则</w:t>
      </w:r>
      <w:r>
        <w:rPr>
          <w:sz w:val="29"/>
          <w:szCs w:val="29"/>
        </w:rPr>
        <w:t>大斑 </w:t>
      </w:r>
      <w:r>
        <w:rPr>
          <w:sz w:val="29"/>
          <w:szCs w:val="29"/>
          <w:spacing w:val="-1"/>
        </w:rPr>
        <w:t>块，边缘略微隆起，叶两面散生小黑点；</w:t>
      </w:r>
    </w:p>
    <w:p>
      <w:pPr>
        <w:pStyle w:val="BodyText"/>
        <w:ind w:right="12" w:firstLine="730"/>
        <w:spacing w:before="122" w:line="273" w:lineRule="auto"/>
        <w:rPr>
          <w:sz w:val="29"/>
          <w:szCs w:val="29"/>
        </w:rPr>
      </w:pPr>
      <w:r>
        <w:rPr>
          <w:sz w:val="29"/>
          <w:szCs w:val="29"/>
          <w:spacing w:val="4"/>
        </w:rPr>
        <w:t>③  枯斑病，叶上有椭圆型、长条形浅红褐色病斑，周围有退绿圈，后扩</w:t>
      </w:r>
      <w:r>
        <w:rPr>
          <w:sz w:val="29"/>
          <w:szCs w:val="29"/>
          <w:spacing w:val="10"/>
        </w:rPr>
        <w:t xml:space="preserve"> </w:t>
      </w:r>
      <w:r>
        <w:rPr>
          <w:sz w:val="29"/>
          <w:szCs w:val="29"/>
          <w:spacing w:val="-1"/>
        </w:rPr>
        <w:t>大呈不规则大斑块，病斑上产生黑点。</w:t>
      </w:r>
    </w:p>
    <w:p>
      <w:pPr>
        <w:pStyle w:val="BodyText"/>
        <w:ind w:right="10" w:firstLine="600"/>
        <w:spacing w:before="143" w:line="298" w:lineRule="auto"/>
        <w:jc w:val="both"/>
        <w:rPr>
          <w:sz w:val="29"/>
          <w:szCs w:val="29"/>
        </w:rPr>
      </w:pPr>
      <w:r>
        <w:rPr>
          <w:sz w:val="29"/>
          <w:szCs w:val="29"/>
          <w:spacing w:val="-1"/>
        </w:rPr>
        <w:t>草坪枯斑病：病菌以菌丝体在草株残体和草株组织中越冬，首先侵染草坪草</w:t>
      </w:r>
      <w:r>
        <w:rPr>
          <w:sz w:val="29"/>
          <w:szCs w:val="29"/>
          <w:spacing w:val="18"/>
        </w:rPr>
        <w:t xml:space="preserve"> </w:t>
      </w:r>
      <w:r>
        <w:rPr>
          <w:sz w:val="29"/>
          <w:szCs w:val="29"/>
          <w:spacing w:val="-8"/>
        </w:rPr>
        <w:t>的根并在根部定殖，抑制草的生长，病菌可沿着根和匍匐茎的生长在组织间蔓延并</w:t>
      </w:r>
      <w:r>
        <w:rPr>
          <w:sz w:val="29"/>
          <w:szCs w:val="29"/>
        </w:rPr>
        <w:t xml:space="preserve"> </w:t>
      </w:r>
      <w:r>
        <w:rPr>
          <w:sz w:val="29"/>
          <w:szCs w:val="29"/>
        </w:rPr>
        <w:t>在草株间移动，枯死圈30—40</w:t>
      </w:r>
      <w:r>
        <w:rPr>
          <w:rFonts w:ascii="Times New Roman" w:hAnsi="Times New Roman" w:eastAsia="Times New Roman" w:cs="Times New Roman"/>
          <w:sz w:val="29"/>
          <w:szCs w:val="29"/>
        </w:rPr>
        <w:t>cm,  </w:t>
      </w:r>
      <w:r>
        <w:rPr>
          <w:sz w:val="29"/>
          <w:szCs w:val="29"/>
        </w:rPr>
        <w:t>枯斑近于圆形或马蹄状，根茎发黑；有的表皮</w:t>
      </w:r>
      <w:r>
        <w:rPr>
          <w:sz w:val="29"/>
          <w:szCs w:val="29"/>
          <w:spacing w:val="10"/>
        </w:rPr>
        <w:t xml:space="preserve"> </w:t>
      </w:r>
      <w:r>
        <w:rPr>
          <w:sz w:val="29"/>
          <w:szCs w:val="29"/>
          <w:spacing w:val="-8"/>
        </w:rPr>
        <w:t>撕裂，有蛛网状褐色菌丝，草地早熟禾危害最重，其次是高羊茅。该病是典</w:t>
      </w:r>
      <w:r>
        <w:rPr>
          <w:sz w:val="29"/>
          <w:szCs w:val="29"/>
          <w:spacing w:val="-9"/>
        </w:rPr>
        <w:t>型的根</w:t>
      </w:r>
      <w:r>
        <w:rPr>
          <w:sz w:val="29"/>
          <w:szCs w:val="29"/>
        </w:rPr>
        <w:t xml:space="preserve"> </w:t>
      </w:r>
      <w:r>
        <w:rPr>
          <w:sz w:val="29"/>
          <w:szCs w:val="29"/>
          <w:spacing w:val="-3"/>
        </w:rPr>
        <w:t>部病害。</w:t>
      </w:r>
    </w:p>
    <w:p>
      <w:pPr>
        <w:ind w:firstLine="169"/>
        <w:spacing w:line="2650" w:lineRule="exact"/>
        <w:rPr/>
      </w:pPr>
      <w:r>
        <w:rPr>
          <w:position w:val="-53"/>
        </w:rPr>
        <w:drawing>
          <wp:inline distT="0" distB="0" distL="0" distR="0">
            <wp:extent cx="6254756" cy="1682779"/>
            <wp:effectExtent l="0" t="0" r="0" b="0"/>
            <wp:docPr id="318" name="IM 318"/>
            <wp:cNvGraphicFramePr/>
            <a:graphic>
              <a:graphicData uri="http://schemas.openxmlformats.org/drawingml/2006/picture">
                <pic:pic>
                  <pic:nvPicPr>
                    <pic:cNvPr id="318" name="IM 318"/>
                    <pic:cNvPicPr/>
                  </pic:nvPicPr>
                  <pic:blipFill>
                    <a:blip r:embed="rId229"/>
                    <a:stretch>
                      <a:fillRect/>
                    </a:stretch>
                  </pic:blipFill>
                  <pic:spPr>
                    <a:xfrm rot="0">
                      <a:off x="0" y="0"/>
                      <a:ext cx="6254756" cy="1682779"/>
                    </a:xfrm>
                    <a:prstGeom prst="rect">
                      <a:avLst/>
                    </a:prstGeom>
                  </pic:spPr>
                </pic:pic>
              </a:graphicData>
            </a:graphic>
          </wp:inline>
        </w:drawing>
      </w:r>
    </w:p>
    <w:p>
      <w:pPr>
        <w:ind w:firstLine="3059"/>
        <w:spacing w:before="80" w:line="2580" w:lineRule="exact"/>
        <w:rPr/>
      </w:pPr>
      <w:r>
        <w:drawing>
          <wp:anchor distT="0" distB="0" distL="0" distR="0" simplePos="0" relativeHeight="251954176" behindDoc="0" locked="0" layoutInCell="1" allowOverlap="1">
            <wp:simplePos x="0" y="0"/>
            <wp:positionH relativeFrom="column">
              <wp:posOffset>95231</wp:posOffset>
            </wp:positionH>
            <wp:positionV relativeFrom="paragraph">
              <wp:posOffset>50693</wp:posOffset>
            </wp:positionV>
            <wp:extent cx="1746286" cy="1631955"/>
            <wp:effectExtent l="0" t="0" r="0" b="0"/>
            <wp:wrapNone/>
            <wp:docPr id="320" name="IM 320"/>
            <wp:cNvGraphicFramePr/>
            <a:graphic>
              <a:graphicData uri="http://schemas.openxmlformats.org/drawingml/2006/picture">
                <pic:pic>
                  <pic:nvPicPr>
                    <pic:cNvPr id="320" name="IM 320"/>
                    <pic:cNvPicPr/>
                  </pic:nvPicPr>
                  <pic:blipFill>
                    <a:blip r:embed="rId230"/>
                    <a:stretch>
                      <a:fillRect/>
                    </a:stretch>
                  </pic:blipFill>
                  <pic:spPr>
                    <a:xfrm rot="0">
                      <a:off x="0" y="0"/>
                      <a:ext cx="1746286" cy="1631955"/>
                    </a:xfrm>
                    <a:prstGeom prst="rect">
                      <a:avLst/>
                    </a:prstGeom>
                  </pic:spPr>
                </pic:pic>
              </a:graphicData>
            </a:graphic>
          </wp:anchor>
        </w:drawing>
      </w:r>
      <w:r>
        <w:drawing>
          <wp:anchor distT="0" distB="0" distL="0" distR="0" simplePos="0" relativeHeight="251953152" behindDoc="0" locked="0" layoutInCell="1" allowOverlap="1">
            <wp:simplePos x="0" y="0"/>
            <wp:positionH relativeFrom="column">
              <wp:posOffset>4127451</wp:posOffset>
            </wp:positionH>
            <wp:positionV relativeFrom="paragraph">
              <wp:posOffset>57063</wp:posOffset>
            </wp:positionV>
            <wp:extent cx="2197142" cy="1625586"/>
            <wp:effectExtent l="0" t="0" r="0" b="0"/>
            <wp:wrapNone/>
            <wp:docPr id="322" name="IM 322"/>
            <wp:cNvGraphicFramePr/>
            <a:graphic>
              <a:graphicData uri="http://schemas.openxmlformats.org/drawingml/2006/picture">
                <pic:pic>
                  <pic:nvPicPr>
                    <pic:cNvPr id="322" name="IM 322"/>
                    <pic:cNvPicPr/>
                  </pic:nvPicPr>
                  <pic:blipFill>
                    <a:blip r:embed="rId231"/>
                    <a:stretch>
                      <a:fillRect/>
                    </a:stretch>
                  </pic:blipFill>
                  <pic:spPr>
                    <a:xfrm rot="0">
                      <a:off x="0" y="0"/>
                      <a:ext cx="2197142" cy="1625586"/>
                    </a:xfrm>
                    <a:prstGeom prst="rect">
                      <a:avLst/>
                    </a:prstGeom>
                  </pic:spPr>
                </pic:pic>
              </a:graphicData>
            </a:graphic>
          </wp:anchor>
        </w:drawing>
      </w:r>
      <w:r>
        <w:rPr>
          <w:position w:val="-51"/>
        </w:rPr>
        <w:drawing>
          <wp:inline distT="0" distB="0" distL="0" distR="0">
            <wp:extent cx="2095469" cy="1638324"/>
            <wp:effectExtent l="0" t="0" r="0" b="0"/>
            <wp:docPr id="324" name="IM 324"/>
            <wp:cNvGraphicFramePr/>
            <a:graphic>
              <a:graphicData uri="http://schemas.openxmlformats.org/drawingml/2006/picture">
                <pic:pic>
                  <pic:nvPicPr>
                    <pic:cNvPr id="324" name="IM 324"/>
                    <pic:cNvPicPr/>
                  </pic:nvPicPr>
                  <pic:blipFill>
                    <a:blip r:embed="rId232"/>
                    <a:stretch>
                      <a:fillRect/>
                    </a:stretch>
                  </pic:blipFill>
                  <pic:spPr>
                    <a:xfrm rot="0">
                      <a:off x="0" y="0"/>
                      <a:ext cx="2095469" cy="1638324"/>
                    </a:xfrm>
                    <a:prstGeom prst="rect">
                      <a:avLst/>
                    </a:prstGeom>
                  </pic:spPr>
                </pic:pic>
              </a:graphicData>
            </a:graphic>
          </wp:inline>
        </w:drawing>
      </w:r>
    </w:p>
    <w:p>
      <w:pPr>
        <w:pStyle w:val="BodyText"/>
        <w:ind w:left="3790"/>
        <w:spacing w:before="121" w:line="219" w:lineRule="auto"/>
        <w:rPr>
          <w:sz w:val="26"/>
          <w:szCs w:val="26"/>
        </w:rPr>
      </w:pPr>
      <w:r>
        <w:rPr>
          <w:sz w:val="26"/>
          <w:szCs w:val="26"/>
          <w:spacing w:val="-10"/>
        </w:rPr>
        <w:t>图6-1-5枯斑病表现症状</w:t>
      </w:r>
    </w:p>
    <w:p>
      <w:pPr>
        <w:pStyle w:val="BodyText"/>
        <w:ind w:left="730"/>
        <w:spacing w:before="189" w:line="217" w:lineRule="auto"/>
        <w:rPr>
          <w:sz w:val="27"/>
          <w:szCs w:val="27"/>
        </w:rPr>
      </w:pPr>
      <w:r>
        <w:rPr>
          <w:sz w:val="27"/>
          <w:szCs w:val="27"/>
          <w:spacing w:val="11"/>
        </w:rPr>
        <w:t>④</w:t>
      </w:r>
      <w:r>
        <w:rPr>
          <w:sz w:val="27"/>
          <w:szCs w:val="27"/>
          <w:spacing w:val="45"/>
        </w:rPr>
        <w:t xml:space="preserve">  </w:t>
      </w:r>
      <w:r>
        <w:rPr>
          <w:sz w:val="27"/>
          <w:szCs w:val="27"/>
          <w:spacing w:val="11"/>
        </w:rPr>
        <w:t>壳针孢叶斑病</w:t>
      </w:r>
    </w:p>
    <w:p>
      <w:pPr>
        <w:pStyle w:val="BodyText"/>
        <w:ind w:right="224" w:firstLine="600"/>
        <w:spacing w:before="134" w:line="315" w:lineRule="auto"/>
        <w:rPr>
          <w:sz w:val="29"/>
          <w:szCs w:val="29"/>
        </w:rPr>
      </w:pPr>
      <w:r>
        <w:rPr>
          <w:sz w:val="29"/>
          <w:szCs w:val="29"/>
          <w:spacing w:val="-7"/>
        </w:rPr>
        <w:t>叶片由尖端开始枯干，逐渐向下扩展，病斑灰色、灰绿色或褐色，而后退色</w:t>
      </w:r>
      <w:r>
        <w:rPr>
          <w:sz w:val="29"/>
          <w:szCs w:val="29"/>
          <w:spacing w:val="2"/>
        </w:rPr>
        <w:t xml:space="preserve"> </w:t>
      </w:r>
      <w:r>
        <w:rPr>
          <w:sz w:val="29"/>
          <w:szCs w:val="29"/>
          <w:spacing w:val="-2"/>
        </w:rPr>
        <w:t>呈浅黄褐色死亡，受害草坪稀薄，呈现枯焦状；</w:t>
      </w:r>
    </w:p>
    <w:p>
      <w:pPr>
        <w:pStyle w:val="BodyText"/>
        <w:ind w:left="730"/>
        <w:spacing w:before="19" w:line="217" w:lineRule="auto"/>
        <w:rPr>
          <w:sz w:val="27"/>
          <w:szCs w:val="27"/>
        </w:rPr>
      </w:pPr>
      <w:r>
        <w:rPr>
          <w:sz w:val="27"/>
          <w:szCs w:val="27"/>
          <w:spacing w:val="14"/>
        </w:rPr>
        <w:t>⑤</w:t>
      </w:r>
      <w:r>
        <w:rPr>
          <w:sz w:val="27"/>
          <w:szCs w:val="27"/>
          <w:spacing w:val="46"/>
        </w:rPr>
        <w:t xml:space="preserve">  </w:t>
      </w:r>
      <w:r>
        <w:rPr>
          <w:sz w:val="27"/>
          <w:szCs w:val="27"/>
          <w:spacing w:val="14"/>
        </w:rPr>
        <w:t>尾孢叶斑病</w:t>
      </w:r>
    </w:p>
    <w:p>
      <w:pPr>
        <w:pStyle w:val="BodyText"/>
        <w:ind w:right="101" w:firstLine="600"/>
        <w:spacing w:before="144" w:line="312" w:lineRule="auto"/>
        <w:rPr>
          <w:sz w:val="29"/>
          <w:szCs w:val="29"/>
        </w:rPr>
      </w:pPr>
      <w:r>
        <w:rPr>
          <w:sz w:val="29"/>
          <w:szCs w:val="29"/>
          <w:spacing w:val="-3"/>
        </w:rPr>
        <w:t>初期病株叶片和叶鞘出现褐色至紫褐色、椭圆形或不规则</w:t>
      </w:r>
      <w:r>
        <w:rPr>
          <w:sz w:val="29"/>
          <w:szCs w:val="29"/>
          <w:spacing w:val="-4"/>
        </w:rPr>
        <w:t>形病斑，病斑沿叶</w:t>
      </w:r>
      <w:r>
        <w:rPr>
          <w:sz w:val="29"/>
          <w:szCs w:val="29"/>
        </w:rPr>
        <w:t xml:space="preserve"> </w:t>
      </w:r>
      <w:r>
        <w:rPr>
          <w:sz w:val="29"/>
          <w:szCs w:val="29"/>
          <w:spacing w:val="-4"/>
        </w:rPr>
        <w:t>轴平行伸长1—4</w:t>
      </w:r>
      <w:r>
        <w:rPr>
          <w:rFonts w:ascii="Times New Roman" w:hAnsi="Times New Roman" w:eastAsia="Times New Roman" w:cs="Times New Roman"/>
          <w:sz w:val="29"/>
          <w:szCs w:val="29"/>
          <w:spacing w:val="-4"/>
        </w:rPr>
        <w:t>mm;</w:t>
      </w:r>
      <w:r>
        <w:rPr>
          <w:rFonts w:ascii="Times New Roman" w:hAnsi="Times New Roman" w:eastAsia="Times New Roman" w:cs="Times New Roman"/>
          <w:sz w:val="29"/>
          <w:szCs w:val="29"/>
          <w:spacing w:val="24"/>
        </w:rPr>
        <w:t xml:space="preserve"> </w:t>
      </w:r>
      <w:r>
        <w:rPr>
          <w:sz w:val="29"/>
          <w:szCs w:val="29"/>
          <w:spacing w:val="-4"/>
        </w:rPr>
        <w:t>后期病斑中央黄褐色或灰白色，严重时枯黄甚至死亡，主要</w:t>
      </w:r>
    </w:p>
    <w:p>
      <w:pPr>
        <w:spacing w:line="312" w:lineRule="auto"/>
        <w:sectPr>
          <w:footerReference w:type="default" r:id="rId227"/>
          <w:pgSz w:w="14490" w:h="20470"/>
          <w:pgMar w:top="1490" w:right="2173" w:bottom="1395" w:left="2150" w:header="0" w:footer="1233" w:gutter="0"/>
        </w:sectPr>
        <w:rPr>
          <w:sz w:val="29"/>
          <w:szCs w:val="29"/>
        </w:rPr>
      </w:pPr>
    </w:p>
    <w:p>
      <w:pPr>
        <w:pStyle w:val="BodyText"/>
        <w:spacing w:before="122" w:line="219" w:lineRule="auto"/>
        <w:rPr>
          <w:sz w:val="29"/>
          <w:szCs w:val="29"/>
        </w:rPr>
      </w:pPr>
      <w:r>
        <w:rPr>
          <w:sz w:val="29"/>
          <w:szCs w:val="29"/>
          <w:spacing w:val="-3"/>
        </w:rPr>
        <w:t>危害狗牙根、高羊茅等；</w:t>
      </w:r>
    </w:p>
    <w:p>
      <w:pPr>
        <w:ind w:firstLine="4999"/>
        <w:spacing w:before="73" w:line="3640" w:lineRule="exact"/>
        <w:rPr/>
      </w:pPr>
      <w:r>
        <w:drawing>
          <wp:anchor distT="0" distB="0" distL="0" distR="0" simplePos="0" relativeHeight="251958272" behindDoc="0" locked="0" layoutInCell="1" allowOverlap="1">
            <wp:simplePos x="0" y="0"/>
            <wp:positionH relativeFrom="column">
              <wp:posOffset>482600</wp:posOffset>
            </wp:positionH>
            <wp:positionV relativeFrom="paragraph">
              <wp:posOffset>46911</wp:posOffset>
            </wp:positionV>
            <wp:extent cx="2654255" cy="2311384"/>
            <wp:effectExtent l="0" t="0" r="0" b="0"/>
            <wp:wrapNone/>
            <wp:docPr id="326" name="IM 326"/>
            <wp:cNvGraphicFramePr/>
            <a:graphic>
              <a:graphicData uri="http://schemas.openxmlformats.org/drawingml/2006/picture">
                <pic:pic>
                  <pic:nvPicPr>
                    <pic:cNvPr id="326" name="IM 326"/>
                    <pic:cNvPicPr/>
                  </pic:nvPicPr>
                  <pic:blipFill>
                    <a:blip r:embed="rId234"/>
                    <a:stretch>
                      <a:fillRect/>
                    </a:stretch>
                  </pic:blipFill>
                  <pic:spPr>
                    <a:xfrm rot="0">
                      <a:off x="0" y="0"/>
                      <a:ext cx="2654255" cy="2311384"/>
                    </a:xfrm>
                    <a:prstGeom prst="rect">
                      <a:avLst/>
                    </a:prstGeom>
                  </pic:spPr>
                </pic:pic>
              </a:graphicData>
            </a:graphic>
          </wp:anchor>
        </w:drawing>
      </w:r>
      <w:r>
        <w:rPr>
          <w:position w:val="-72"/>
        </w:rPr>
        <w:drawing>
          <wp:inline distT="0" distB="0" distL="0" distR="0">
            <wp:extent cx="2730532" cy="2311384"/>
            <wp:effectExtent l="0" t="0" r="0" b="0"/>
            <wp:docPr id="328" name="IM 328"/>
            <wp:cNvGraphicFramePr/>
            <a:graphic>
              <a:graphicData uri="http://schemas.openxmlformats.org/drawingml/2006/picture">
                <pic:pic>
                  <pic:nvPicPr>
                    <pic:cNvPr id="328" name="IM 328"/>
                    <pic:cNvPicPr/>
                  </pic:nvPicPr>
                  <pic:blipFill>
                    <a:blip r:embed="rId235"/>
                    <a:stretch>
                      <a:fillRect/>
                    </a:stretch>
                  </pic:blipFill>
                  <pic:spPr>
                    <a:xfrm rot="0">
                      <a:off x="0" y="0"/>
                      <a:ext cx="2730532" cy="2311384"/>
                    </a:xfrm>
                    <a:prstGeom prst="rect">
                      <a:avLst/>
                    </a:prstGeom>
                  </pic:spPr>
                </pic:pic>
              </a:graphicData>
            </a:graphic>
          </wp:inline>
        </w:drawing>
      </w:r>
    </w:p>
    <w:p>
      <w:pPr>
        <w:pStyle w:val="BodyText"/>
        <w:ind w:left="3319"/>
        <w:spacing w:before="160" w:line="219" w:lineRule="auto"/>
        <w:rPr>
          <w:sz w:val="24"/>
          <w:szCs w:val="24"/>
        </w:rPr>
      </w:pPr>
      <w:r>
        <w:rPr>
          <w:sz w:val="24"/>
          <w:szCs w:val="24"/>
          <w:spacing w:val="7"/>
        </w:rPr>
        <w:t>图6-1-6壳针孢叶斑病与尾孢叶斑病</w:t>
      </w:r>
    </w:p>
    <w:p>
      <w:pPr>
        <w:pStyle w:val="BodyText"/>
        <w:ind w:left="740"/>
        <w:spacing w:before="173" w:line="217" w:lineRule="auto"/>
        <w:rPr>
          <w:sz w:val="29"/>
          <w:szCs w:val="29"/>
        </w:rPr>
      </w:pPr>
      <w:r>
        <w:rPr>
          <w:sz w:val="29"/>
          <w:szCs w:val="29"/>
          <w:spacing w:val="-9"/>
        </w:rPr>
        <w:t>⑥</w:t>
      </w:r>
      <w:r>
        <w:rPr>
          <w:sz w:val="29"/>
          <w:szCs w:val="29"/>
          <w:spacing w:val="36"/>
        </w:rPr>
        <w:t xml:space="preserve">  </w:t>
      </w:r>
      <w:r>
        <w:rPr>
          <w:sz w:val="29"/>
          <w:szCs w:val="29"/>
          <w:spacing w:val="-9"/>
        </w:rPr>
        <w:t>草坪币斑病</w:t>
      </w:r>
    </w:p>
    <w:p>
      <w:pPr>
        <w:pStyle w:val="BodyText"/>
        <w:ind w:right="16" w:firstLine="570"/>
        <w:spacing w:before="151" w:line="299" w:lineRule="auto"/>
        <w:jc w:val="both"/>
        <w:rPr>
          <w:sz w:val="29"/>
          <w:szCs w:val="29"/>
        </w:rPr>
      </w:pPr>
      <w:r>
        <w:rPr>
          <w:sz w:val="29"/>
          <w:szCs w:val="29"/>
          <w:spacing w:val="6"/>
        </w:rPr>
        <w:t>由币斑病病原菌所致。感病后叶片出现1—8</w:t>
      </w:r>
      <w:r>
        <w:rPr>
          <w:rFonts w:ascii="Times New Roman" w:hAnsi="Times New Roman" w:eastAsia="Times New Roman" w:cs="Times New Roman"/>
          <w:sz w:val="29"/>
          <w:szCs w:val="29"/>
        </w:rPr>
        <w:t>cm</w:t>
      </w:r>
      <w:r>
        <w:rPr>
          <w:sz w:val="29"/>
          <w:szCs w:val="29"/>
          <w:spacing w:val="6"/>
        </w:rPr>
        <w:t>近圆形、凹陷、漂白色或稻</w:t>
      </w:r>
      <w:r>
        <w:rPr>
          <w:sz w:val="29"/>
          <w:szCs w:val="29"/>
          <w:spacing w:val="11"/>
        </w:rPr>
        <w:t xml:space="preserve"> </w:t>
      </w:r>
      <w:r>
        <w:rPr>
          <w:sz w:val="29"/>
          <w:szCs w:val="29"/>
          <w:spacing w:val="-8"/>
        </w:rPr>
        <w:t>草色的小病斑。单株草坪草受害叶片，开始产生水浸染状褪绿斑，最后变</w:t>
      </w:r>
      <w:r>
        <w:rPr>
          <w:sz w:val="29"/>
          <w:szCs w:val="29"/>
          <w:spacing w:val="-9"/>
        </w:rPr>
        <w:t>成白色病</w:t>
      </w:r>
      <w:r>
        <w:rPr>
          <w:sz w:val="29"/>
          <w:szCs w:val="29"/>
        </w:rPr>
        <w:t xml:space="preserve"> </w:t>
      </w:r>
      <w:r>
        <w:rPr>
          <w:sz w:val="29"/>
          <w:szCs w:val="29"/>
          <w:spacing w:val="-8"/>
        </w:rPr>
        <w:t>斑，病斑边缘棕褐色至红褐色，病斑可扩大延伸至整个叶片，</w:t>
      </w:r>
      <w:r>
        <w:rPr>
          <w:sz w:val="29"/>
          <w:szCs w:val="29"/>
          <w:spacing w:val="-9"/>
        </w:rPr>
        <w:t>病斑呈漏斗状。所有</w:t>
      </w:r>
      <w:r>
        <w:rPr>
          <w:sz w:val="29"/>
          <w:szCs w:val="29"/>
        </w:rPr>
        <w:t xml:space="preserve"> </w:t>
      </w:r>
      <w:r>
        <w:rPr>
          <w:sz w:val="29"/>
          <w:szCs w:val="29"/>
          <w:spacing w:val="-2"/>
        </w:rPr>
        <w:t>草坪均可受此病害。</w:t>
      </w:r>
    </w:p>
    <w:p>
      <w:pPr>
        <w:ind w:firstLine="839"/>
        <w:spacing w:line="4740" w:lineRule="exact"/>
        <w:rPr/>
      </w:pPr>
      <w:r>
        <w:rPr>
          <w:position w:val="-94"/>
        </w:rPr>
        <w:drawing>
          <wp:inline distT="0" distB="0" distL="0" distR="0">
            <wp:extent cx="5353044" cy="3009921"/>
            <wp:effectExtent l="0" t="0" r="0" b="0"/>
            <wp:docPr id="330" name="IM 330"/>
            <wp:cNvGraphicFramePr/>
            <a:graphic>
              <a:graphicData uri="http://schemas.openxmlformats.org/drawingml/2006/picture">
                <pic:pic>
                  <pic:nvPicPr>
                    <pic:cNvPr id="330" name="IM 330"/>
                    <pic:cNvPicPr/>
                  </pic:nvPicPr>
                  <pic:blipFill>
                    <a:blip r:embed="rId236"/>
                    <a:stretch>
                      <a:fillRect/>
                    </a:stretch>
                  </pic:blipFill>
                  <pic:spPr>
                    <a:xfrm rot="0">
                      <a:off x="0" y="0"/>
                      <a:ext cx="5353044" cy="3009921"/>
                    </a:xfrm>
                    <a:prstGeom prst="rect">
                      <a:avLst/>
                    </a:prstGeom>
                  </pic:spPr>
                </pic:pic>
              </a:graphicData>
            </a:graphic>
          </wp:inline>
        </w:drawing>
      </w:r>
    </w:p>
    <w:p>
      <w:pPr>
        <w:pStyle w:val="BodyText"/>
        <w:ind w:left="3989"/>
        <w:spacing w:before="69" w:line="219" w:lineRule="auto"/>
        <w:rPr>
          <w:sz w:val="26"/>
          <w:szCs w:val="26"/>
        </w:rPr>
      </w:pPr>
      <w:r>
        <w:rPr>
          <w:sz w:val="26"/>
          <w:szCs w:val="26"/>
          <w:spacing w:val="-11"/>
        </w:rPr>
        <w:t>图6-1-7草坪币斑病</w:t>
      </w:r>
    </w:p>
    <w:p>
      <w:pPr>
        <w:pStyle w:val="BodyText"/>
        <w:ind w:right="152" w:firstLine="570"/>
        <w:spacing w:before="173" w:line="312" w:lineRule="auto"/>
        <w:rPr>
          <w:sz w:val="29"/>
          <w:szCs w:val="29"/>
        </w:rPr>
      </w:pPr>
      <w:r>
        <w:rPr>
          <w:sz w:val="29"/>
          <w:szCs w:val="29"/>
        </w:rPr>
        <w:t>3)发生时期：高峰季节多在4—5月份，9—11月份，雨水多、湿度大、光照</w:t>
      </w:r>
      <w:r>
        <w:rPr>
          <w:sz w:val="29"/>
          <w:szCs w:val="29"/>
          <w:spacing w:val="17"/>
        </w:rPr>
        <w:t xml:space="preserve"> </w:t>
      </w:r>
      <w:r>
        <w:rPr>
          <w:sz w:val="29"/>
          <w:szCs w:val="29"/>
          <w:spacing w:val="-9"/>
        </w:rPr>
        <w:t>不足、通风不良均有利于发病。</w:t>
      </w:r>
    </w:p>
    <w:p>
      <w:pPr>
        <w:pStyle w:val="BodyText"/>
        <w:ind w:left="570"/>
        <w:spacing w:before="1" w:line="218" w:lineRule="auto"/>
        <w:rPr>
          <w:sz w:val="29"/>
          <w:szCs w:val="29"/>
        </w:rPr>
      </w:pPr>
      <w:r>
        <w:rPr>
          <w:sz w:val="29"/>
          <w:szCs w:val="29"/>
        </w:rPr>
        <w:t>褐斑病：通常在6—9月，重施氮肥，高温高湿条件下发病；</w:t>
      </w:r>
    </w:p>
    <w:p>
      <w:pPr>
        <w:pStyle w:val="BodyText"/>
        <w:ind w:left="570"/>
        <w:spacing w:before="166" w:line="219" w:lineRule="auto"/>
        <w:rPr>
          <w:sz w:val="29"/>
          <w:szCs w:val="29"/>
        </w:rPr>
      </w:pPr>
      <w:r>
        <w:rPr>
          <w:sz w:val="29"/>
          <w:szCs w:val="29"/>
        </w:rPr>
        <w:t>枯斑病：通常7—8月下旬，高温高湿，尤其突然的暴雨后发病；</w:t>
      </w:r>
    </w:p>
    <w:p>
      <w:pPr>
        <w:pStyle w:val="BodyText"/>
        <w:ind w:right="164" w:firstLine="570"/>
        <w:spacing w:before="118" w:line="321" w:lineRule="auto"/>
        <w:rPr>
          <w:sz w:val="29"/>
          <w:szCs w:val="29"/>
        </w:rPr>
      </w:pPr>
      <w:r>
        <w:rPr>
          <w:sz w:val="29"/>
          <w:szCs w:val="29"/>
          <w:spacing w:val="-4"/>
        </w:rPr>
        <w:t>壳针孢叶斑病：缺肥或施用生长调节剂的草坪易感病，一般</w:t>
      </w:r>
      <w:r>
        <w:rPr>
          <w:sz w:val="29"/>
          <w:szCs w:val="29"/>
          <w:spacing w:val="-5"/>
        </w:rPr>
        <w:t>在早春和秋末凉</w:t>
      </w:r>
      <w:r>
        <w:rPr>
          <w:sz w:val="29"/>
          <w:szCs w:val="29"/>
        </w:rPr>
        <w:t xml:space="preserve"> </w:t>
      </w:r>
      <w:r>
        <w:rPr>
          <w:sz w:val="29"/>
          <w:szCs w:val="29"/>
          <w:spacing w:val="-14"/>
        </w:rPr>
        <w:t>爽时发病；</w:t>
      </w:r>
    </w:p>
    <w:p>
      <w:pPr>
        <w:pStyle w:val="BodyText"/>
        <w:ind w:left="570"/>
        <w:spacing w:before="1" w:line="218" w:lineRule="auto"/>
        <w:rPr>
          <w:sz w:val="29"/>
          <w:szCs w:val="29"/>
        </w:rPr>
      </w:pPr>
      <w:r>
        <w:rPr>
          <w:sz w:val="29"/>
          <w:szCs w:val="29"/>
          <w:spacing w:val="1"/>
        </w:rPr>
        <w:t>草坪币斑病：早春至秋末，大多数发生在2</w:t>
      </w:r>
      <w:r>
        <w:rPr>
          <w:sz w:val="29"/>
          <w:szCs w:val="29"/>
        </w:rPr>
        <w:t>—11月。</w:t>
      </w:r>
    </w:p>
    <w:p>
      <w:pPr>
        <w:pStyle w:val="BodyText"/>
        <w:ind w:left="570"/>
        <w:spacing w:before="138" w:line="219" w:lineRule="auto"/>
        <w:rPr>
          <w:sz w:val="29"/>
          <w:szCs w:val="29"/>
        </w:rPr>
      </w:pPr>
      <w:r>
        <w:rPr>
          <w:sz w:val="29"/>
          <w:szCs w:val="29"/>
          <w:spacing w:val="8"/>
        </w:rPr>
        <w:t>4)发生地区：全国大部分地区都可发病。</w:t>
      </w:r>
    </w:p>
    <w:p>
      <w:pPr>
        <w:pStyle w:val="BodyText"/>
        <w:ind w:left="570"/>
        <w:spacing w:before="157" w:line="220" w:lineRule="auto"/>
        <w:rPr>
          <w:sz w:val="29"/>
          <w:szCs w:val="29"/>
        </w:rPr>
      </w:pPr>
      <w:r>
        <w:rPr>
          <w:sz w:val="29"/>
          <w:szCs w:val="29"/>
          <w:spacing w:val="17"/>
        </w:rPr>
        <w:t>5)防治方法：</w:t>
      </w:r>
    </w:p>
    <w:p>
      <w:pPr>
        <w:spacing w:line="220" w:lineRule="auto"/>
        <w:sectPr>
          <w:footerReference w:type="default" r:id="rId233"/>
          <w:pgSz w:w="14490" w:h="20470"/>
          <w:pgMar w:top="1739" w:right="2173" w:bottom="1427" w:left="2150" w:header="0" w:footer="1211" w:gutter="0"/>
        </w:sectPr>
        <w:rPr>
          <w:sz w:val="29"/>
          <w:szCs w:val="29"/>
        </w:rPr>
      </w:pPr>
    </w:p>
    <w:p>
      <w:pPr>
        <w:pStyle w:val="BodyText"/>
        <w:ind w:left="740"/>
        <w:spacing w:before="120" w:line="219" w:lineRule="auto"/>
        <w:rPr>
          <w:sz w:val="29"/>
          <w:szCs w:val="29"/>
        </w:rPr>
      </w:pPr>
      <w:r>
        <w:rPr>
          <w:sz w:val="29"/>
          <w:szCs w:val="29"/>
          <w:spacing w:val="6"/>
        </w:rPr>
        <w:t>(1)清除病枝、病叶，集中烧毁或深埋，减少病菌来源；</w:t>
      </w:r>
    </w:p>
    <w:p>
      <w:pPr>
        <w:pStyle w:val="BodyText"/>
        <w:ind w:left="740"/>
        <w:spacing w:before="158" w:line="219" w:lineRule="auto"/>
        <w:rPr>
          <w:sz w:val="29"/>
          <w:szCs w:val="29"/>
        </w:rPr>
      </w:pPr>
      <w:r>
        <w:rPr>
          <w:sz w:val="29"/>
          <w:szCs w:val="29"/>
          <w:spacing w:val="8"/>
        </w:rPr>
        <w:t>(2)加强管理，注意通风，避免密植；</w:t>
      </w:r>
    </w:p>
    <w:p>
      <w:pPr>
        <w:pStyle w:val="BodyText"/>
        <w:ind w:left="740"/>
        <w:spacing w:before="144" w:line="219" w:lineRule="auto"/>
        <w:rPr>
          <w:sz w:val="29"/>
          <w:szCs w:val="29"/>
        </w:rPr>
      </w:pPr>
      <w:r>
        <w:rPr>
          <w:sz w:val="29"/>
          <w:szCs w:val="29"/>
          <w:spacing w:val="1"/>
        </w:rPr>
        <w:t>(3)药剂防治参见《各地区农药肥料使用指导》。</w:t>
      </w:r>
    </w:p>
    <w:p>
      <w:pPr>
        <w:spacing w:before="170" w:line="221" w:lineRule="auto"/>
        <w:rPr>
          <w:rFonts w:ascii="SimHei" w:hAnsi="SimHei" w:eastAsia="SimHei" w:cs="SimHei"/>
          <w:sz w:val="27"/>
          <w:szCs w:val="27"/>
        </w:rPr>
      </w:pPr>
      <w:r>
        <w:rPr>
          <w:rFonts w:ascii="SimHei" w:hAnsi="SimHei" w:eastAsia="SimHei" w:cs="SimHei"/>
          <w:sz w:val="27"/>
          <w:szCs w:val="27"/>
          <w:spacing w:val="-6"/>
        </w:rPr>
        <w:t>5、</w:t>
      </w:r>
      <w:r>
        <w:rPr>
          <w:rFonts w:ascii="SimHei" w:hAnsi="SimHei" w:eastAsia="SimHei" w:cs="SimHei"/>
          <w:sz w:val="27"/>
          <w:szCs w:val="27"/>
          <w:spacing w:val="-90"/>
        </w:rPr>
        <w:t xml:space="preserve"> </w:t>
      </w:r>
      <w:r>
        <w:rPr>
          <w:rFonts w:ascii="SimHei" w:hAnsi="SimHei" w:eastAsia="SimHei" w:cs="SimHei"/>
          <w:sz w:val="27"/>
          <w:szCs w:val="27"/>
          <w:b/>
          <w:bCs/>
          <w:spacing w:val="-6"/>
        </w:rPr>
        <w:t>锈</w:t>
      </w:r>
      <w:r>
        <w:rPr>
          <w:rFonts w:ascii="SimHei" w:hAnsi="SimHei" w:eastAsia="SimHei" w:cs="SimHei"/>
          <w:sz w:val="27"/>
          <w:szCs w:val="27"/>
          <w:spacing w:val="-50"/>
        </w:rPr>
        <w:t xml:space="preserve"> </w:t>
      </w:r>
      <w:r>
        <w:rPr>
          <w:rFonts w:ascii="SimHei" w:hAnsi="SimHei" w:eastAsia="SimHei" w:cs="SimHei"/>
          <w:sz w:val="27"/>
          <w:szCs w:val="27"/>
          <w:b/>
          <w:bCs/>
          <w:spacing w:val="-6"/>
        </w:rPr>
        <w:t>病</w:t>
      </w:r>
    </w:p>
    <w:p>
      <w:pPr>
        <w:pStyle w:val="BodyText"/>
        <w:ind w:right="45" w:firstLine="600"/>
        <w:spacing w:before="132" w:line="325" w:lineRule="auto"/>
        <w:rPr>
          <w:sz w:val="29"/>
          <w:szCs w:val="29"/>
        </w:rPr>
      </w:pPr>
      <w:r>
        <w:rPr>
          <w:sz w:val="29"/>
          <w:szCs w:val="29"/>
          <w:spacing w:val="7"/>
        </w:rPr>
        <w:t>)  危害植物：牵牛花、麦秆菊、向日葵、萱草、禾本科草类(较严重的有</w:t>
      </w:r>
      <w:r>
        <w:rPr>
          <w:sz w:val="29"/>
          <w:szCs w:val="29"/>
          <w:spacing w:val="15"/>
        </w:rPr>
        <w:t xml:space="preserve"> </w:t>
      </w:r>
      <w:r>
        <w:rPr>
          <w:sz w:val="29"/>
          <w:szCs w:val="29"/>
        </w:rPr>
        <w:t>草地早熟禾、多年生黑麦草、结缕草)、大部分乔灌木等。</w:t>
      </w:r>
    </w:p>
    <w:p>
      <w:pPr>
        <w:pStyle w:val="BodyText"/>
        <w:ind w:right="25" w:firstLine="600"/>
        <w:spacing w:line="302" w:lineRule="auto"/>
        <w:jc w:val="both"/>
        <w:rPr>
          <w:sz w:val="29"/>
          <w:szCs w:val="29"/>
        </w:rPr>
      </w:pPr>
      <w:r>
        <w:rPr>
          <w:rFonts w:ascii="Times New Roman" w:hAnsi="Times New Roman" w:eastAsia="Times New Roman" w:cs="Times New Roman"/>
          <w:sz w:val="29"/>
          <w:szCs w:val="29"/>
          <w:spacing w:val="4"/>
        </w:rPr>
        <w:t>2    </w:t>
      </w:r>
      <w:r>
        <w:rPr>
          <w:sz w:val="29"/>
          <w:szCs w:val="29"/>
          <w:spacing w:val="4"/>
        </w:rPr>
        <w:t>表现症状：主要危害叶片和芽，春</w:t>
      </w:r>
      <w:r>
        <w:rPr>
          <w:sz w:val="29"/>
          <w:szCs w:val="29"/>
          <w:spacing w:val="3"/>
        </w:rPr>
        <w:t>季展叶后开始发病，初期叶、茎上出</w:t>
      </w:r>
      <w:r>
        <w:rPr>
          <w:sz w:val="29"/>
          <w:szCs w:val="29"/>
        </w:rPr>
        <w:t xml:space="preserve"> </w:t>
      </w:r>
      <w:r>
        <w:rPr>
          <w:sz w:val="29"/>
          <w:szCs w:val="29"/>
        </w:rPr>
        <w:t>现浅黄色斑点，之后叶、茎表皮破裂，散发出</w:t>
      </w:r>
      <w:r>
        <w:rPr>
          <w:sz w:val="29"/>
          <w:szCs w:val="29"/>
          <w:spacing w:val="-1"/>
        </w:rPr>
        <w:t>黄色、橙色、棕黄色或粉红色的夏</w:t>
      </w:r>
      <w:r>
        <w:rPr>
          <w:sz w:val="29"/>
          <w:szCs w:val="29"/>
        </w:rPr>
        <w:t xml:space="preserve"> </w:t>
      </w:r>
      <w:r>
        <w:rPr>
          <w:sz w:val="29"/>
          <w:szCs w:val="29"/>
          <w:spacing w:val="-9"/>
        </w:rPr>
        <w:t>孢子堆，侵入植物，到初夏大量蔓延，形成橘黄色或黄褐色粉状复孢子堆，使枝叶</w:t>
      </w:r>
      <w:r>
        <w:rPr>
          <w:sz w:val="29"/>
          <w:szCs w:val="29"/>
          <w:spacing w:val="17"/>
        </w:rPr>
        <w:t xml:space="preserve"> </w:t>
      </w:r>
      <w:r>
        <w:rPr>
          <w:sz w:val="29"/>
          <w:szCs w:val="29"/>
        </w:rPr>
        <w:t>失绿变黄，病斑明显突起，严重时全株叶片枯死。</w:t>
      </w:r>
    </w:p>
    <w:p>
      <w:pPr>
        <w:ind w:firstLine="859"/>
        <w:spacing w:line="4470" w:lineRule="exact"/>
        <w:rPr/>
      </w:pPr>
      <w:r>
        <w:drawing>
          <wp:anchor distT="0" distB="0" distL="0" distR="0" simplePos="0" relativeHeight="251963392" behindDoc="0" locked="0" layoutInCell="1" allowOverlap="1">
            <wp:simplePos x="0" y="0"/>
            <wp:positionH relativeFrom="column">
              <wp:posOffset>3067019</wp:posOffset>
            </wp:positionH>
            <wp:positionV relativeFrom="paragraph">
              <wp:posOffset>12737</wp:posOffset>
            </wp:positionV>
            <wp:extent cx="2533628" cy="2832103"/>
            <wp:effectExtent l="0" t="0" r="0" b="0"/>
            <wp:wrapNone/>
            <wp:docPr id="332" name="IM 332"/>
            <wp:cNvGraphicFramePr/>
            <a:graphic>
              <a:graphicData uri="http://schemas.openxmlformats.org/drawingml/2006/picture">
                <pic:pic>
                  <pic:nvPicPr>
                    <pic:cNvPr id="332" name="IM 332"/>
                    <pic:cNvPicPr/>
                  </pic:nvPicPr>
                  <pic:blipFill>
                    <a:blip r:embed="rId238"/>
                    <a:stretch>
                      <a:fillRect/>
                    </a:stretch>
                  </pic:blipFill>
                  <pic:spPr>
                    <a:xfrm rot="0">
                      <a:off x="0" y="0"/>
                      <a:ext cx="2533628" cy="2832103"/>
                    </a:xfrm>
                    <a:prstGeom prst="rect">
                      <a:avLst/>
                    </a:prstGeom>
                  </pic:spPr>
                </pic:pic>
              </a:graphicData>
            </a:graphic>
          </wp:anchor>
        </w:drawing>
      </w:r>
      <w:r>
        <w:rPr>
          <w:position w:val="-89"/>
        </w:rPr>
        <w:drawing>
          <wp:inline distT="0" distB="0" distL="0" distR="0">
            <wp:extent cx="2457443" cy="2838471"/>
            <wp:effectExtent l="0" t="0" r="0" b="0"/>
            <wp:docPr id="334" name="IM 334"/>
            <wp:cNvGraphicFramePr/>
            <a:graphic>
              <a:graphicData uri="http://schemas.openxmlformats.org/drawingml/2006/picture">
                <pic:pic>
                  <pic:nvPicPr>
                    <pic:cNvPr id="334" name="IM 334"/>
                    <pic:cNvPicPr/>
                  </pic:nvPicPr>
                  <pic:blipFill>
                    <a:blip r:embed="rId239"/>
                    <a:stretch>
                      <a:fillRect/>
                    </a:stretch>
                  </pic:blipFill>
                  <pic:spPr>
                    <a:xfrm rot="0">
                      <a:off x="0" y="0"/>
                      <a:ext cx="2457443" cy="2838471"/>
                    </a:xfrm>
                    <a:prstGeom prst="rect">
                      <a:avLst/>
                    </a:prstGeom>
                  </pic:spPr>
                </pic:pic>
              </a:graphicData>
            </a:graphic>
          </wp:inline>
        </w:drawing>
      </w:r>
    </w:p>
    <w:p>
      <w:pPr>
        <w:pStyle w:val="BodyText"/>
        <w:ind w:left="3839"/>
        <w:spacing w:before="140" w:line="219" w:lineRule="auto"/>
        <w:rPr>
          <w:sz w:val="24"/>
          <w:szCs w:val="24"/>
        </w:rPr>
      </w:pPr>
      <w:r>
        <w:rPr>
          <w:sz w:val="24"/>
          <w:szCs w:val="24"/>
          <w:spacing w:val="3"/>
        </w:rPr>
        <w:t>图6-1-8锈病表现症状</w:t>
      </w:r>
    </w:p>
    <w:p>
      <w:pPr>
        <w:pStyle w:val="BodyText"/>
        <w:ind w:firstLine="600"/>
        <w:spacing w:before="157" w:line="275" w:lineRule="auto"/>
        <w:rPr>
          <w:sz w:val="29"/>
          <w:szCs w:val="29"/>
        </w:rPr>
      </w:pPr>
      <w:r>
        <w:rPr>
          <w:rFonts w:ascii="Times New Roman" w:hAnsi="Times New Roman" w:eastAsia="Times New Roman" w:cs="Times New Roman"/>
          <w:sz w:val="29"/>
          <w:szCs w:val="29"/>
        </w:rPr>
        <w:t>3    </w:t>
      </w:r>
      <w:r>
        <w:rPr>
          <w:sz w:val="29"/>
          <w:szCs w:val="29"/>
        </w:rPr>
        <w:t>发生时期：锈病主要发生在4—7月和9—10月，温暖湿润的春秋季，发病</w:t>
      </w:r>
      <w:r>
        <w:rPr>
          <w:sz w:val="29"/>
          <w:szCs w:val="29"/>
          <w:spacing w:val="9"/>
        </w:rPr>
        <w:t xml:space="preserve"> </w:t>
      </w:r>
      <w:r>
        <w:rPr>
          <w:sz w:val="29"/>
          <w:szCs w:val="29"/>
          <w:spacing w:val="4"/>
        </w:rPr>
        <w:t>适温为20—30℃,在不适宜的灌溉、叶面凝结雾露</w:t>
      </w:r>
      <w:r>
        <w:rPr>
          <w:sz w:val="29"/>
          <w:szCs w:val="29"/>
          <w:spacing w:val="3"/>
        </w:rPr>
        <w:t>及多风雨的天气条件下最有利</w:t>
      </w:r>
      <w:r>
        <w:rPr>
          <w:sz w:val="29"/>
          <w:szCs w:val="29"/>
        </w:rPr>
        <w:t xml:space="preserve"> </w:t>
      </w:r>
      <w:r>
        <w:rPr>
          <w:sz w:val="29"/>
          <w:szCs w:val="29"/>
          <w:spacing w:val="-8"/>
        </w:rPr>
        <w:t>于发生和流行。</w:t>
      </w:r>
    </w:p>
    <w:p>
      <w:pPr>
        <w:pStyle w:val="BodyText"/>
        <w:ind w:left="600"/>
        <w:spacing w:before="162" w:line="219" w:lineRule="auto"/>
        <w:rPr>
          <w:sz w:val="29"/>
          <w:szCs w:val="29"/>
        </w:rPr>
      </w:pPr>
      <w:r>
        <w:rPr>
          <w:rFonts w:ascii="Times New Roman" w:hAnsi="Times New Roman" w:eastAsia="Times New Roman" w:cs="Times New Roman"/>
          <w:sz w:val="29"/>
          <w:szCs w:val="29"/>
        </w:rPr>
        <w:t>4    </w:t>
      </w:r>
      <w:r>
        <w:rPr>
          <w:sz w:val="29"/>
          <w:szCs w:val="29"/>
        </w:rPr>
        <w:t>分布范围：全国大部分地区都可发病。</w:t>
      </w:r>
    </w:p>
    <w:p>
      <w:pPr>
        <w:pStyle w:val="BodyText"/>
        <w:ind w:right="44" w:firstLine="600"/>
        <w:spacing w:before="156" w:line="281" w:lineRule="auto"/>
        <w:rPr>
          <w:sz w:val="29"/>
          <w:szCs w:val="29"/>
        </w:rPr>
      </w:pPr>
      <w:r>
        <w:rPr>
          <w:rFonts w:ascii="Times New Roman" w:hAnsi="Times New Roman" w:eastAsia="Times New Roman" w:cs="Times New Roman"/>
          <w:sz w:val="29"/>
          <w:szCs w:val="29"/>
          <w:spacing w:val="3"/>
        </w:rPr>
        <w:t>5    </w:t>
      </w:r>
      <w:r>
        <w:rPr>
          <w:sz w:val="29"/>
          <w:szCs w:val="29"/>
          <w:spacing w:val="3"/>
        </w:rPr>
        <w:t>防治方法：结合修剪，清除锈枝病叶，集中烧毁或深埋；合理施肥，防</w:t>
      </w:r>
      <w:r>
        <w:rPr>
          <w:sz w:val="29"/>
          <w:szCs w:val="29"/>
          <w:spacing w:val="1"/>
        </w:rPr>
        <w:t xml:space="preserve"> </w:t>
      </w:r>
      <w:r>
        <w:rPr>
          <w:sz w:val="29"/>
          <w:szCs w:val="29"/>
          <w:spacing w:val="-9"/>
        </w:rPr>
        <w:t>止徒长，注意通风透光；做好排水工作，降低湿度，提高植株抗性；药剂防治参见</w:t>
      </w:r>
      <w:r>
        <w:rPr>
          <w:sz w:val="29"/>
          <w:szCs w:val="29"/>
          <w:spacing w:val="17"/>
        </w:rPr>
        <w:t xml:space="preserve"> </w:t>
      </w:r>
      <w:r>
        <w:rPr>
          <w:sz w:val="29"/>
          <w:szCs w:val="29"/>
          <w:spacing w:val="-7"/>
        </w:rPr>
        <w:t>《各地区农药肥料使用指导》。</w:t>
      </w:r>
    </w:p>
    <w:p>
      <w:pPr>
        <w:pStyle w:val="BodyText"/>
        <w:spacing w:before="133"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白绢病</w:t>
      </w:r>
    </w:p>
    <w:p>
      <w:pPr>
        <w:pStyle w:val="BodyText"/>
        <w:ind w:right="47" w:firstLine="600"/>
        <w:spacing w:before="99" w:line="269" w:lineRule="auto"/>
        <w:rPr>
          <w:sz w:val="29"/>
          <w:szCs w:val="29"/>
        </w:rPr>
      </w:pPr>
      <w:r>
        <w:rPr>
          <w:sz w:val="29"/>
          <w:szCs w:val="29"/>
          <w:spacing w:val="8"/>
        </w:rPr>
        <w:t>1)危害植物：油桐、楸树、柑桔、苹果、梧</w:t>
      </w:r>
      <w:r>
        <w:rPr>
          <w:sz w:val="29"/>
          <w:szCs w:val="29"/>
          <w:spacing w:val="7"/>
        </w:rPr>
        <w:t>桐、泡桐、核桃、马尾松、茶</w:t>
      </w:r>
      <w:r>
        <w:rPr>
          <w:sz w:val="29"/>
          <w:szCs w:val="29"/>
        </w:rPr>
        <w:t xml:space="preserve"> </w:t>
      </w:r>
      <w:r>
        <w:rPr>
          <w:sz w:val="29"/>
          <w:szCs w:val="29"/>
        </w:rPr>
        <w:t>花、牡丹、茉莉花、桑、樟、桂花等。</w:t>
      </w:r>
    </w:p>
    <w:p>
      <w:pPr>
        <w:pStyle w:val="BodyText"/>
        <w:ind w:right="66" w:firstLine="600"/>
        <w:spacing w:before="166" w:line="281" w:lineRule="auto"/>
        <w:rPr>
          <w:sz w:val="29"/>
          <w:szCs w:val="29"/>
        </w:rPr>
      </w:pPr>
      <w:r>
        <w:rPr>
          <w:sz w:val="29"/>
          <w:szCs w:val="29"/>
          <w:spacing w:val="6"/>
        </w:rPr>
        <w:t>2)表现症状：树木受害后根部皮层腐烂，导致全株枯死。在潮湿条件下，</w:t>
      </w:r>
      <w:r>
        <w:rPr>
          <w:sz w:val="29"/>
          <w:szCs w:val="29"/>
          <w:spacing w:val="5"/>
        </w:rPr>
        <w:t xml:space="preserve"> </w:t>
      </w:r>
      <w:r>
        <w:rPr>
          <w:sz w:val="29"/>
          <w:szCs w:val="29"/>
          <w:spacing w:val="7"/>
        </w:rPr>
        <w:t>受害根茎表面产生白色菌索，延至附近的土壤中，后期病根茎表面或土壤内形</w:t>
      </w:r>
      <w:r>
        <w:rPr>
          <w:sz w:val="29"/>
          <w:szCs w:val="29"/>
          <w:spacing w:val="14"/>
        </w:rPr>
        <w:t xml:space="preserve"> </w:t>
      </w:r>
      <w:r>
        <w:rPr>
          <w:sz w:val="29"/>
          <w:szCs w:val="29"/>
          <w:spacing w:val="11"/>
        </w:rPr>
        <w:t>成油菜籽似的圆形菌核。</w:t>
      </w:r>
    </w:p>
    <w:p>
      <w:pPr>
        <w:spacing w:line="281" w:lineRule="auto"/>
        <w:sectPr>
          <w:footerReference w:type="default" r:id="rId237"/>
          <w:pgSz w:w="14490" w:h="20470"/>
          <w:pgMar w:top="1739" w:right="2169" w:bottom="1413" w:left="2140" w:header="0" w:footer="1215" w:gutter="0"/>
        </w:sectPr>
        <w:rPr>
          <w:sz w:val="29"/>
          <w:szCs w:val="29"/>
        </w:rPr>
      </w:pPr>
    </w:p>
    <w:p>
      <w:pPr>
        <w:ind w:firstLine="429"/>
        <w:spacing w:before="10" w:line="3100" w:lineRule="exact"/>
        <w:rPr/>
      </w:pPr>
      <w:r>
        <w:drawing>
          <wp:anchor distT="0" distB="0" distL="0" distR="0" simplePos="0" relativeHeight="251969536" behindDoc="0" locked="0" layoutInCell="0" allowOverlap="1">
            <wp:simplePos x="0" y="0"/>
            <wp:positionH relativeFrom="page">
              <wp:posOffset>4679981</wp:posOffset>
            </wp:positionH>
            <wp:positionV relativeFrom="page">
              <wp:posOffset>1073152</wp:posOffset>
            </wp:positionV>
            <wp:extent cx="2806626" cy="1962115"/>
            <wp:effectExtent l="0" t="0" r="0" b="0"/>
            <wp:wrapNone/>
            <wp:docPr id="336" name="IM 336"/>
            <wp:cNvGraphicFramePr/>
            <a:graphic>
              <a:graphicData uri="http://schemas.openxmlformats.org/drawingml/2006/picture">
                <pic:pic>
                  <pic:nvPicPr>
                    <pic:cNvPr id="336" name="IM 336"/>
                    <pic:cNvPicPr/>
                  </pic:nvPicPr>
                  <pic:blipFill>
                    <a:blip r:embed="rId241"/>
                    <a:stretch>
                      <a:fillRect/>
                    </a:stretch>
                  </pic:blipFill>
                  <pic:spPr>
                    <a:xfrm rot="0">
                      <a:off x="0" y="0"/>
                      <a:ext cx="2806626" cy="1962115"/>
                    </a:xfrm>
                    <a:prstGeom prst="rect">
                      <a:avLst/>
                    </a:prstGeom>
                  </pic:spPr>
                </pic:pic>
              </a:graphicData>
            </a:graphic>
          </wp:anchor>
        </w:drawing>
      </w:r>
      <w:r>
        <w:rPr>
          <w:position w:val="-61"/>
        </w:rPr>
        <w:drawing>
          <wp:inline distT="0" distB="0" distL="0" distR="0">
            <wp:extent cx="2933694" cy="1968485"/>
            <wp:effectExtent l="0" t="0" r="0" b="0"/>
            <wp:docPr id="338" name="IM 338"/>
            <wp:cNvGraphicFramePr/>
            <a:graphic>
              <a:graphicData uri="http://schemas.openxmlformats.org/drawingml/2006/picture">
                <pic:pic>
                  <pic:nvPicPr>
                    <pic:cNvPr id="338" name="IM 338"/>
                    <pic:cNvPicPr/>
                  </pic:nvPicPr>
                  <pic:blipFill>
                    <a:blip r:embed="rId242"/>
                    <a:stretch>
                      <a:fillRect/>
                    </a:stretch>
                  </pic:blipFill>
                  <pic:spPr>
                    <a:xfrm rot="0">
                      <a:off x="0" y="0"/>
                      <a:ext cx="2933694" cy="1968485"/>
                    </a:xfrm>
                    <a:prstGeom prst="rect">
                      <a:avLst/>
                    </a:prstGeom>
                  </pic:spPr>
                </pic:pic>
              </a:graphicData>
            </a:graphic>
          </wp:inline>
        </w:drawing>
      </w:r>
    </w:p>
    <w:p>
      <w:pPr>
        <w:pStyle w:val="BodyText"/>
        <w:ind w:left="3690"/>
        <w:spacing w:before="120" w:line="219" w:lineRule="auto"/>
        <w:rPr>
          <w:sz w:val="26"/>
          <w:szCs w:val="26"/>
        </w:rPr>
      </w:pPr>
      <w:r>
        <w:rPr>
          <w:sz w:val="26"/>
          <w:szCs w:val="26"/>
          <w:spacing w:val="-8"/>
        </w:rPr>
        <w:t>图6-1-9白绢病表现症状</w:t>
      </w:r>
    </w:p>
    <w:p>
      <w:pPr>
        <w:pStyle w:val="BodyText"/>
        <w:ind w:right="450" w:firstLine="580"/>
        <w:spacing w:before="163" w:line="262" w:lineRule="auto"/>
        <w:rPr>
          <w:sz w:val="29"/>
          <w:szCs w:val="29"/>
        </w:rPr>
      </w:pPr>
      <w:r>
        <w:rPr>
          <w:sz w:val="29"/>
          <w:szCs w:val="29"/>
          <w:spacing w:val="2"/>
        </w:rPr>
        <w:t>3)发生时期：多在高温多雨季节发生，6月上旬开</w:t>
      </w:r>
      <w:r>
        <w:rPr>
          <w:sz w:val="29"/>
          <w:szCs w:val="29"/>
          <w:spacing w:val="1"/>
        </w:rPr>
        <w:t>始发病，7—8月气温上升</w:t>
      </w:r>
      <w:r>
        <w:rPr>
          <w:sz w:val="29"/>
          <w:szCs w:val="29"/>
        </w:rPr>
        <w:t xml:space="preserve"> </w:t>
      </w:r>
      <w:r>
        <w:rPr>
          <w:sz w:val="29"/>
          <w:szCs w:val="29"/>
          <w:spacing w:val="-3"/>
        </w:rPr>
        <w:t>至30℃左右时为发病盛期，9月末停止发病。</w:t>
      </w:r>
    </w:p>
    <w:p>
      <w:pPr>
        <w:pStyle w:val="BodyText"/>
        <w:ind w:left="580"/>
        <w:spacing w:before="166" w:line="220" w:lineRule="auto"/>
        <w:rPr>
          <w:sz w:val="29"/>
          <w:szCs w:val="29"/>
        </w:rPr>
      </w:pPr>
      <w:r>
        <w:rPr>
          <w:sz w:val="29"/>
          <w:szCs w:val="29"/>
          <w:spacing w:val="8"/>
        </w:rPr>
        <w:t>4)发生地区：发生范围广，南方地区发病严重。</w:t>
      </w:r>
    </w:p>
    <w:p>
      <w:pPr>
        <w:pStyle w:val="BodyText"/>
        <w:ind w:right="398" w:firstLine="580"/>
        <w:spacing w:before="113" w:line="265" w:lineRule="auto"/>
        <w:rPr>
          <w:rFonts w:ascii="SimHei" w:hAnsi="SimHei" w:eastAsia="SimHei" w:cs="SimHei"/>
          <w:sz w:val="29"/>
          <w:szCs w:val="29"/>
        </w:rPr>
      </w:pPr>
      <w:r>
        <w:rPr>
          <w:sz w:val="29"/>
          <w:szCs w:val="29"/>
          <w:spacing w:val="7"/>
        </w:rPr>
        <w:t>5)防治方法：刀刮去病斑，抗菌剂40—50倍液或1%硫酸铜消毒伤口，再涂</w:t>
      </w:r>
      <w:r>
        <w:rPr>
          <w:sz w:val="29"/>
          <w:szCs w:val="29"/>
          <w:spacing w:val="2"/>
        </w:rPr>
        <w:t xml:space="preserve"> </w:t>
      </w:r>
      <w:r>
        <w:rPr>
          <w:sz w:val="29"/>
          <w:szCs w:val="29"/>
          <w:spacing w:val="-2"/>
        </w:rPr>
        <w:t>上波尔多液等保护剂；药剂防治参见《各地区农</w:t>
      </w:r>
      <w:r>
        <w:rPr>
          <w:sz w:val="29"/>
          <w:szCs w:val="29"/>
          <w:spacing w:val="-3"/>
        </w:rPr>
        <w:t>药肥料使用指导》。7、</w:t>
      </w:r>
      <w:r>
        <w:rPr>
          <w:rFonts w:ascii="SimHei" w:hAnsi="SimHei" w:eastAsia="SimHei" w:cs="SimHei"/>
          <w:sz w:val="29"/>
          <w:szCs w:val="29"/>
          <w:b/>
          <w:bCs/>
          <w:spacing w:val="-3"/>
        </w:rPr>
        <w:t>煤污病</w:t>
      </w:r>
    </w:p>
    <w:p>
      <w:pPr>
        <w:pStyle w:val="BodyText"/>
        <w:ind w:firstLine="580"/>
        <w:spacing w:before="168" w:line="281" w:lineRule="auto"/>
        <w:rPr>
          <w:sz w:val="29"/>
          <w:szCs w:val="29"/>
        </w:rPr>
      </w:pPr>
      <w:r>
        <w:rPr>
          <w:sz w:val="29"/>
          <w:szCs w:val="29"/>
          <w:spacing w:val="11"/>
        </w:rPr>
        <w:t>1)危害植物：紫薇、牡丹、桂花、高山榕、细叶榕、金叶女贞、女贞、海</w:t>
      </w:r>
      <w:r>
        <w:rPr>
          <w:sz w:val="29"/>
          <w:szCs w:val="29"/>
          <w:spacing w:val="2"/>
        </w:rPr>
        <w:t xml:space="preserve">   </w:t>
      </w:r>
      <w:r>
        <w:rPr>
          <w:sz w:val="29"/>
          <w:szCs w:val="29"/>
          <w:spacing w:val="-20"/>
        </w:rPr>
        <w:t>桐、白蜡、檫木、杜英、罗汉松、冬青、八角金盘</w:t>
      </w:r>
      <w:r>
        <w:rPr>
          <w:sz w:val="29"/>
          <w:szCs w:val="29"/>
          <w:spacing w:val="-21"/>
        </w:rPr>
        <w:t>、石榴、牡丹、香石竹、苏铁、山茶、</w:t>
      </w:r>
      <w:r>
        <w:rPr>
          <w:sz w:val="29"/>
          <w:szCs w:val="29"/>
        </w:rPr>
        <w:t xml:space="preserve"> </w:t>
      </w:r>
      <w:r>
        <w:rPr>
          <w:sz w:val="29"/>
          <w:szCs w:val="29"/>
          <w:spacing w:val="-21"/>
        </w:rPr>
        <w:t>夹竹桃、五色梅、罗汉松、玉兰、月季、芭</w:t>
      </w:r>
      <w:r>
        <w:rPr>
          <w:sz w:val="29"/>
          <w:szCs w:val="29"/>
          <w:spacing w:val="-22"/>
        </w:rPr>
        <w:t>蕉、茉莉、栀子、番石榴等。</w:t>
      </w:r>
    </w:p>
    <w:p>
      <w:pPr>
        <w:pStyle w:val="BodyText"/>
        <w:ind w:right="669" w:firstLine="580"/>
        <w:spacing w:before="126" w:line="268" w:lineRule="auto"/>
        <w:rPr>
          <w:sz w:val="29"/>
          <w:szCs w:val="29"/>
        </w:rPr>
      </w:pPr>
      <w:r>
        <w:drawing>
          <wp:anchor distT="0" distB="0" distL="0" distR="0" simplePos="0" relativeHeight="251968512" behindDoc="0" locked="0" layoutInCell="1" allowOverlap="1">
            <wp:simplePos x="0" y="0"/>
            <wp:positionH relativeFrom="column">
              <wp:posOffset>3117809</wp:posOffset>
            </wp:positionH>
            <wp:positionV relativeFrom="paragraph">
              <wp:posOffset>726753</wp:posOffset>
            </wp:positionV>
            <wp:extent cx="2762277" cy="2114587"/>
            <wp:effectExtent l="0" t="0" r="0" b="0"/>
            <wp:wrapNone/>
            <wp:docPr id="340" name="IM 340"/>
            <wp:cNvGraphicFramePr/>
            <a:graphic>
              <a:graphicData uri="http://schemas.openxmlformats.org/drawingml/2006/picture">
                <pic:pic>
                  <pic:nvPicPr>
                    <pic:cNvPr id="340" name="IM 340"/>
                    <pic:cNvPicPr/>
                  </pic:nvPicPr>
                  <pic:blipFill>
                    <a:blip r:embed="rId243"/>
                    <a:stretch>
                      <a:fillRect/>
                    </a:stretch>
                  </pic:blipFill>
                  <pic:spPr>
                    <a:xfrm rot="0">
                      <a:off x="0" y="0"/>
                      <a:ext cx="2762277" cy="2114587"/>
                    </a:xfrm>
                    <a:prstGeom prst="rect">
                      <a:avLst/>
                    </a:prstGeom>
                  </pic:spPr>
                </pic:pic>
              </a:graphicData>
            </a:graphic>
          </wp:anchor>
        </w:drawing>
      </w:r>
      <w:r>
        <w:rPr>
          <w:sz w:val="29"/>
          <w:szCs w:val="29"/>
          <w:spacing w:val="-9"/>
        </w:rPr>
        <w:t>2)表现症状：在叶面、枝梢上形成黑色小霉斑，后扩大连片，使整个叶面、</w:t>
      </w:r>
      <w:r>
        <w:rPr>
          <w:sz w:val="29"/>
          <w:szCs w:val="29"/>
        </w:rPr>
        <w:t xml:space="preserve"> </w:t>
      </w:r>
      <w:r>
        <w:rPr>
          <w:sz w:val="29"/>
          <w:szCs w:val="29"/>
          <w:spacing w:val="-2"/>
        </w:rPr>
        <w:t>嫩梢上布满黑霉层。</w:t>
      </w:r>
    </w:p>
    <w:p>
      <w:pPr>
        <w:ind w:firstLine="429"/>
        <w:spacing w:before="186" w:line="3320" w:lineRule="exact"/>
        <w:rPr/>
      </w:pPr>
      <w:r>
        <w:rPr>
          <w:position w:val="-66"/>
        </w:rPr>
        <w:drawing>
          <wp:inline distT="0" distB="0" distL="0" distR="0">
            <wp:extent cx="2647999" cy="2108218"/>
            <wp:effectExtent l="0" t="0" r="0" b="0"/>
            <wp:docPr id="342" name="IM 342"/>
            <wp:cNvGraphicFramePr/>
            <a:graphic>
              <a:graphicData uri="http://schemas.openxmlformats.org/drawingml/2006/picture">
                <pic:pic>
                  <pic:nvPicPr>
                    <pic:cNvPr id="342" name="IM 342"/>
                    <pic:cNvPicPr/>
                  </pic:nvPicPr>
                  <pic:blipFill>
                    <a:blip r:embed="rId244"/>
                    <a:stretch>
                      <a:fillRect/>
                    </a:stretch>
                  </pic:blipFill>
                  <pic:spPr>
                    <a:xfrm rot="0">
                      <a:off x="0" y="0"/>
                      <a:ext cx="2647999" cy="2108218"/>
                    </a:xfrm>
                    <a:prstGeom prst="rect">
                      <a:avLst/>
                    </a:prstGeom>
                  </pic:spPr>
                </pic:pic>
              </a:graphicData>
            </a:graphic>
          </wp:inline>
        </w:drawing>
      </w:r>
    </w:p>
    <w:p>
      <w:pPr>
        <w:pStyle w:val="BodyText"/>
        <w:ind w:left="3640"/>
        <w:spacing w:before="110" w:line="219" w:lineRule="auto"/>
        <w:rPr>
          <w:sz w:val="24"/>
          <w:szCs w:val="24"/>
        </w:rPr>
      </w:pPr>
      <w:r>
        <w:rPr>
          <w:sz w:val="24"/>
          <w:szCs w:val="24"/>
          <w:spacing w:val="5"/>
        </w:rPr>
        <w:t>图6-1-10煤污病表现症状</w:t>
      </w:r>
    </w:p>
    <w:p>
      <w:pPr>
        <w:pStyle w:val="BodyText"/>
        <w:ind w:right="396" w:firstLine="580"/>
        <w:spacing w:before="166" w:line="273" w:lineRule="auto"/>
        <w:rPr>
          <w:sz w:val="29"/>
          <w:szCs w:val="29"/>
        </w:rPr>
      </w:pPr>
      <w:r>
        <w:rPr>
          <w:sz w:val="29"/>
          <w:szCs w:val="29"/>
          <w:spacing w:val="-9"/>
        </w:rPr>
        <w:t>3)发生时期：高温多湿、通风不良、蚜虫、介壳虫等分泌蜜</w:t>
      </w:r>
      <w:r>
        <w:rPr>
          <w:sz w:val="29"/>
          <w:szCs w:val="29"/>
          <w:spacing w:val="-10"/>
        </w:rPr>
        <w:t>露害虫发生多，均</w:t>
      </w:r>
      <w:r>
        <w:rPr>
          <w:sz w:val="29"/>
          <w:szCs w:val="29"/>
        </w:rPr>
        <w:t xml:space="preserve"> </w:t>
      </w:r>
      <w:r>
        <w:rPr>
          <w:sz w:val="29"/>
          <w:szCs w:val="29"/>
          <w:spacing w:val="-5"/>
        </w:rPr>
        <w:t>加重发病。</w:t>
      </w:r>
    </w:p>
    <w:p>
      <w:pPr>
        <w:pStyle w:val="BodyText"/>
        <w:ind w:left="580"/>
        <w:spacing w:before="133" w:line="219" w:lineRule="auto"/>
        <w:rPr>
          <w:sz w:val="29"/>
          <w:szCs w:val="29"/>
        </w:rPr>
      </w:pPr>
      <w:r>
        <w:rPr>
          <w:sz w:val="29"/>
          <w:szCs w:val="29"/>
          <w:spacing w:val="-4"/>
        </w:rPr>
        <w:t>4)发生地区：全国都有发生。</w:t>
      </w:r>
    </w:p>
    <w:p>
      <w:pPr>
        <w:pStyle w:val="BodyText"/>
        <w:ind w:left="580"/>
        <w:spacing w:before="126" w:line="219" w:lineRule="auto"/>
        <w:rPr>
          <w:sz w:val="29"/>
          <w:szCs w:val="29"/>
        </w:rPr>
      </w:pPr>
      <w:r>
        <w:rPr>
          <w:sz w:val="29"/>
          <w:szCs w:val="29"/>
          <w:spacing w:val="5"/>
        </w:rPr>
        <w:t>5)防治方法：植株种植不要过密，适当修剪，保持通风透光，降低湿度；</w:t>
      </w:r>
    </w:p>
    <w:p>
      <w:pPr>
        <w:pStyle w:val="BodyText"/>
        <w:ind w:right="315"/>
        <w:spacing w:before="157" w:line="285" w:lineRule="auto"/>
        <w:rPr>
          <w:sz w:val="29"/>
          <w:szCs w:val="29"/>
        </w:rPr>
      </w:pPr>
      <w:r>
        <w:rPr>
          <w:sz w:val="29"/>
          <w:szCs w:val="29"/>
        </w:rPr>
        <w:t>植物休眠期喷石硫合剂，消灭越冬病源；该病发生与分泌蜜露的昆虫关系密切，</w:t>
      </w:r>
      <w:r>
        <w:rPr>
          <w:sz w:val="29"/>
          <w:szCs w:val="29"/>
          <w:spacing w:val="13"/>
        </w:rPr>
        <w:t xml:space="preserve"> </w:t>
      </w:r>
      <w:r>
        <w:rPr>
          <w:sz w:val="29"/>
          <w:szCs w:val="29"/>
          <w:spacing w:val="-7"/>
        </w:rPr>
        <w:t>喷药防治蚜虫、介壳虫等是减少发病的主要措施；药剂防治参见《各地区农药肥料</w:t>
      </w:r>
      <w:r>
        <w:rPr>
          <w:sz w:val="29"/>
          <w:szCs w:val="29"/>
          <w:spacing w:val="10"/>
        </w:rPr>
        <w:t xml:space="preserve"> </w:t>
      </w:r>
      <w:r>
        <w:rPr>
          <w:sz w:val="29"/>
          <w:szCs w:val="29"/>
          <w:spacing w:val="-22"/>
        </w:rPr>
        <w:t>使用指导》。</w:t>
      </w:r>
    </w:p>
    <w:p>
      <w:pPr>
        <w:spacing w:before="212" w:line="222" w:lineRule="auto"/>
        <w:rPr>
          <w:rFonts w:ascii="SimHei" w:hAnsi="SimHei" w:eastAsia="SimHei" w:cs="SimHei"/>
          <w:sz w:val="27"/>
          <w:szCs w:val="27"/>
        </w:rPr>
      </w:pPr>
      <w:r>
        <w:rPr>
          <w:rFonts w:ascii="SimHei" w:hAnsi="SimHei" w:eastAsia="SimHei" w:cs="SimHei"/>
          <w:sz w:val="27"/>
          <w:szCs w:val="27"/>
          <w:spacing w:val="12"/>
        </w:rPr>
        <w:t>8、</w:t>
      </w:r>
      <w:r>
        <w:rPr>
          <w:rFonts w:ascii="SimHei" w:hAnsi="SimHei" w:eastAsia="SimHei" w:cs="SimHei"/>
          <w:sz w:val="27"/>
          <w:szCs w:val="27"/>
          <w:spacing w:val="-79"/>
        </w:rPr>
        <w:t xml:space="preserve"> </w:t>
      </w:r>
      <w:r>
        <w:rPr>
          <w:rFonts w:ascii="SimHei" w:hAnsi="SimHei" w:eastAsia="SimHei" w:cs="SimHei"/>
          <w:sz w:val="27"/>
          <w:szCs w:val="27"/>
          <w:b/>
          <w:bCs/>
          <w:spacing w:val="12"/>
        </w:rPr>
        <w:t>叶枯病</w:t>
      </w:r>
    </w:p>
    <w:p>
      <w:pPr>
        <w:spacing w:line="222" w:lineRule="auto"/>
        <w:sectPr>
          <w:footerReference w:type="default" r:id="rId240"/>
          <w:pgSz w:w="14490" w:h="20470"/>
          <w:pgMar w:top="1690" w:right="1835" w:bottom="1423" w:left="2140" w:header="0" w:footer="1225" w:gutter="0"/>
        </w:sectPr>
        <w:rPr>
          <w:rFonts w:ascii="SimHei" w:hAnsi="SimHei" w:eastAsia="SimHei" w:cs="SimHei"/>
          <w:sz w:val="27"/>
          <w:szCs w:val="27"/>
        </w:rPr>
      </w:pPr>
    </w:p>
    <w:p>
      <w:pPr>
        <w:pStyle w:val="BodyText"/>
        <w:ind w:right="499" w:firstLine="600"/>
        <w:spacing w:before="109" w:line="260" w:lineRule="auto"/>
        <w:rPr>
          <w:sz w:val="29"/>
          <w:szCs w:val="29"/>
        </w:rPr>
      </w:pPr>
      <w:r>
        <w:rPr>
          <w:sz w:val="29"/>
          <w:szCs w:val="29"/>
          <w:spacing w:val="-9"/>
        </w:rPr>
        <w:t>1)危害植物：主要危害桂花、兰花、散尾葵、腊梅、龙柏、龟背竹、紫荆、</w:t>
      </w:r>
      <w:r>
        <w:rPr>
          <w:sz w:val="29"/>
          <w:szCs w:val="29"/>
          <w:spacing w:val="9"/>
        </w:rPr>
        <w:t xml:space="preserve"> </w:t>
      </w:r>
      <w:r>
        <w:rPr>
          <w:sz w:val="29"/>
          <w:szCs w:val="29"/>
          <w:spacing w:val="-6"/>
        </w:rPr>
        <w:t>杉木、侧柏、红枫等。</w:t>
      </w:r>
    </w:p>
    <w:p>
      <w:pPr>
        <w:pStyle w:val="BodyText"/>
        <w:ind w:left="600"/>
        <w:spacing w:before="165" w:line="219" w:lineRule="auto"/>
        <w:rPr>
          <w:sz w:val="29"/>
          <w:szCs w:val="29"/>
        </w:rPr>
      </w:pPr>
      <w:r>
        <w:rPr>
          <w:sz w:val="29"/>
          <w:szCs w:val="29"/>
          <w:spacing w:val="6"/>
        </w:rPr>
        <w:t>2)表现症状：病叶初期先变黄，逐渐变褐色，并由局部扩展到整</w:t>
      </w:r>
      <w:r>
        <w:rPr>
          <w:sz w:val="29"/>
          <w:szCs w:val="29"/>
          <w:spacing w:val="5"/>
        </w:rPr>
        <w:t>个叶脉，</w:t>
      </w:r>
    </w:p>
    <w:p>
      <w:pPr>
        <w:pStyle w:val="BodyText"/>
        <w:ind w:right="142"/>
        <w:spacing w:before="145" w:line="281" w:lineRule="auto"/>
        <w:rPr>
          <w:sz w:val="29"/>
          <w:szCs w:val="29"/>
        </w:rPr>
      </w:pPr>
      <w:r>
        <w:rPr>
          <w:sz w:val="29"/>
          <w:szCs w:val="29"/>
          <w:spacing w:val="-6"/>
        </w:rPr>
        <w:t>呈现褐色至红褐色的叶缘病斑，病斑边缘波状，颜色较深，其外缘还有宽窄不等的</w:t>
      </w:r>
      <w:r>
        <w:rPr>
          <w:sz w:val="29"/>
          <w:szCs w:val="29"/>
          <w:spacing w:val="7"/>
        </w:rPr>
        <w:t xml:space="preserve"> </w:t>
      </w:r>
      <w:r>
        <w:rPr>
          <w:sz w:val="29"/>
          <w:szCs w:val="29"/>
          <w:spacing w:val="-6"/>
        </w:rPr>
        <w:t>黄色浅带；随后，病斑逐渐向叶基部延伸，直至整个叶片变为褐色至灰褐色，在病</w:t>
      </w:r>
      <w:r>
        <w:rPr>
          <w:sz w:val="29"/>
          <w:szCs w:val="29"/>
          <w:spacing w:val="4"/>
        </w:rPr>
        <w:t xml:space="preserve"> </w:t>
      </w:r>
      <w:r>
        <w:rPr>
          <w:sz w:val="29"/>
          <w:szCs w:val="29"/>
          <w:spacing w:val="-1"/>
        </w:rPr>
        <w:t>叶背面或正面出现黑色绒毛状物或黑色小点。</w:t>
      </w:r>
    </w:p>
    <w:p>
      <w:pPr>
        <w:spacing w:line="302" w:lineRule="auto"/>
        <w:rPr>
          <w:rFonts w:ascii="Arial"/>
          <w:sz w:val="21"/>
        </w:rPr>
      </w:pPr>
      <w:r/>
    </w:p>
    <w:p>
      <w:pPr>
        <w:ind w:firstLine="640"/>
        <w:spacing w:line="2910" w:lineRule="exact"/>
        <w:rPr/>
      </w:pPr>
      <w:r>
        <w:drawing>
          <wp:anchor distT="0" distB="0" distL="0" distR="0" simplePos="0" relativeHeight="251973632" behindDoc="0" locked="0" layoutInCell="1" allowOverlap="1">
            <wp:simplePos x="0" y="0"/>
            <wp:positionH relativeFrom="column">
              <wp:posOffset>3238436</wp:posOffset>
            </wp:positionH>
            <wp:positionV relativeFrom="paragraph">
              <wp:posOffset>6430</wp:posOffset>
            </wp:positionV>
            <wp:extent cx="2603556" cy="1835121"/>
            <wp:effectExtent l="0" t="0" r="0" b="0"/>
            <wp:wrapNone/>
            <wp:docPr id="344" name="IM 344"/>
            <wp:cNvGraphicFramePr/>
            <a:graphic>
              <a:graphicData uri="http://schemas.openxmlformats.org/drawingml/2006/picture">
                <pic:pic>
                  <pic:nvPicPr>
                    <pic:cNvPr id="344" name="IM 344"/>
                    <pic:cNvPicPr/>
                  </pic:nvPicPr>
                  <pic:blipFill>
                    <a:blip r:embed="rId246"/>
                    <a:stretch>
                      <a:fillRect/>
                    </a:stretch>
                  </pic:blipFill>
                  <pic:spPr>
                    <a:xfrm rot="0">
                      <a:off x="0" y="0"/>
                      <a:ext cx="2603556" cy="1835121"/>
                    </a:xfrm>
                    <a:prstGeom prst="rect">
                      <a:avLst/>
                    </a:prstGeom>
                  </pic:spPr>
                </pic:pic>
              </a:graphicData>
            </a:graphic>
          </wp:anchor>
        </w:drawing>
      </w:r>
      <w:r>
        <w:rPr>
          <w:position w:val="-58"/>
        </w:rPr>
        <w:drawing>
          <wp:inline distT="0" distB="0" distL="0" distR="0">
            <wp:extent cx="2774882" cy="1847860"/>
            <wp:effectExtent l="0" t="0" r="0" b="0"/>
            <wp:docPr id="346" name="IM 346"/>
            <wp:cNvGraphicFramePr/>
            <a:graphic>
              <a:graphicData uri="http://schemas.openxmlformats.org/drawingml/2006/picture">
                <pic:pic>
                  <pic:nvPicPr>
                    <pic:cNvPr id="346" name="IM 346"/>
                    <pic:cNvPicPr/>
                  </pic:nvPicPr>
                  <pic:blipFill>
                    <a:blip r:embed="rId247"/>
                    <a:stretch>
                      <a:fillRect/>
                    </a:stretch>
                  </pic:blipFill>
                  <pic:spPr>
                    <a:xfrm rot="0">
                      <a:off x="0" y="0"/>
                      <a:ext cx="2774882" cy="1847860"/>
                    </a:xfrm>
                    <a:prstGeom prst="rect">
                      <a:avLst/>
                    </a:prstGeom>
                  </pic:spPr>
                </pic:pic>
              </a:graphicData>
            </a:graphic>
          </wp:inline>
        </w:drawing>
      </w:r>
    </w:p>
    <w:p>
      <w:pPr>
        <w:pStyle w:val="BodyText"/>
        <w:ind w:left="3650"/>
        <w:spacing w:before="81" w:line="219" w:lineRule="auto"/>
        <w:rPr>
          <w:sz w:val="27"/>
          <w:szCs w:val="27"/>
        </w:rPr>
      </w:pPr>
      <w:r>
        <w:rPr>
          <w:sz w:val="27"/>
          <w:szCs w:val="27"/>
          <w:spacing w:val="-16"/>
        </w:rPr>
        <w:t>图6-1-11叶枯病表现症状</w:t>
      </w:r>
    </w:p>
    <w:p>
      <w:pPr>
        <w:pStyle w:val="BodyText"/>
        <w:ind w:right="339" w:firstLine="600"/>
        <w:spacing w:before="151" w:line="266" w:lineRule="auto"/>
        <w:rPr>
          <w:sz w:val="29"/>
          <w:szCs w:val="29"/>
        </w:rPr>
      </w:pPr>
      <w:r>
        <w:rPr>
          <w:sz w:val="29"/>
          <w:szCs w:val="29"/>
          <w:spacing w:val="5"/>
        </w:rPr>
        <w:t>3)发生时期：发生在夏秋季，危害成长叶片；植</w:t>
      </w:r>
      <w:r>
        <w:rPr>
          <w:sz w:val="29"/>
          <w:szCs w:val="29"/>
          <w:spacing w:val="4"/>
        </w:rPr>
        <w:t>株生长衰弱、高温高湿、</w:t>
      </w:r>
      <w:r>
        <w:rPr>
          <w:sz w:val="29"/>
          <w:szCs w:val="29"/>
        </w:rPr>
        <w:t xml:space="preserve"> </w:t>
      </w:r>
      <w:r>
        <w:rPr>
          <w:sz w:val="29"/>
          <w:szCs w:val="29"/>
        </w:rPr>
        <w:t>通风不良时，发病严重。</w:t>
      </w:r>
    </w:p>
    <w:p>
      <w:pPr>
        <w:pStyle w:val="BodyText"/>
        <w:ind w:left="600"/>
        <w:spacing w:before="145" w:line="220" w:lineRule="auto"/>
        <w:rPr>
          <w:sz w:val="29"/>
          <w:szCs w:val="29"/>
        </w:rPr>
      </w:pPr>
      <w:r>
        <w:rPr>
          <w:sz w:val="29"/>
          <w:szCs w:val="29"/>
          <w:spacing w:val="11"/>
        </w:rPr>
        <w:t>4)发生地区：全国范围可发生。</w:t>
      </w:r>
    </w:p>
    <w:p>
      <w:pPr>
        <w:pStyle w:val="BodyText"/>
        <w:ind w:right="253" w:firstLine="600"/>
        <w:spacing w:before="141" w:line="272" w:lineRule="auto"/>
        <w:rPr>
          <w:sz w:val="29"/>
          <w:szCs w:val="29"/>
        </w:rPr>
      </w:pPr>
      <w:r>
        <w:rPr>
          <w:sz w:val="29"/>
          <w:szCs w:val="29"/>
          <w:spacing w:val="7"/>
        </w:rPr>
        <w:t>5)防治方法：秋季彻底清除病落叶并集中烧毁，减少翌年的侵染来源；适</w:t>
      </w:r>
      <w:r>
        <w:rPr>
          <w:sz w:val="29"/>
          <w:szCs w:val="29"/>
          <w:spacing w:val="9"/>
        </w:rPr>
        <w:t xml:space="preserve"> </w:t>
      </w:r>
      <w:r>
        <w:rPr>
          <w:sz w:val="29"/>
          <w:szCs w:val="29"/>
          <w:spacing w:val="-22"/>
        </w:rPr>
        <w:t>当修剪，保持通风透光，降低湿度；药剂防治参见《各地区农药肥料使用指导</w:t>
      </w:r>
      <w:r>
        <w:rPr>
          <w:sz w:val="29"/>
          <w:szCs w:val="29"/>
          <w:spacing w:val="-23"/>
        </w:rPr>
        <w:t>》。</w:t>
      </w:r>
    </w:p>
    <w:p>
      <w:pPr>
        <w:pStyle w:val="BodyText"/>
        <w:spacing w:before="125" w:line="395" w:lineRule="exact"/>
        <w:rPr>
          <w:rFonts w:ascii="SimHei" w:hAnsi="SimHei" w:eastAsia="SimHei" w:cs="SimHei"/>
          <w:sz w:val="29"/>
          <w:szCs w:val="29"/>
        </w:rPr>
      </w:pPr>
      <w:r>
        <w:rPr>
          <w:rFonts w:ascii="Arial" w:hAnsi="Arial" w:eastAsia="Arial" w:cs="Arial"/>
          <w:sz w:val="29"/>
          <w:szCs w:val="29"/>
          <w:spacing w:val="6"/>
          <w:position w:val="1"/>
        </w:rPr>
        <w:t>9</w:t>
      </w:r>
      <w:r>
        <w:rPr>
          <w:sz w:val="29"/>
          <w:szCs w:val="29"/>
          <w:spacing w:val="6"/>
          <w:position w:val="1"/>
        </w:rPr>
        <w:t>、</w:t>
      </w:r>
      <w:r>
        <w:rPr>
          <w:rFonts w:ascii="SimHei" w:hAnsi="SimHei" w:eastAsia="SimHei" w:cs="SimHei"/>
          <w:sz w:val="29"/>
          <w:szCs w:val="29"/>
          <w:spacing w:val="6"/>
          <w:position w:val="1"/>
        </w:rPr>
        <w:t>干腐病</w:t>
      </w:r>
    </w:p>
    <w:p>
      <w:pPr>
        <w:pStyle w:val="BodyText"/>
        <w:ind w:left="600"/>
        <w:spacing w:before="96" w:line="219" w:lineRule="auto"/>
        <w:rPr>
          <w:sz w:val="29"/>
          <w:szCs w:val="29"/>
        </w:rPr>
      </w:pPr>
      <w:r>
        <w:rPr>
          <w:sz w:val="29"/>
          <w:szCs w:val="29"/>
          <w:spacing w:val="5"/>
        </w:rPr>
        <w:t>1)危害植物：苹果、菖蒲、杨树、广玉兰、油</w:t>
      </w:r>
      <w:r>
        <w:rPr>
          <w:sz w:val="29"/>
          <w:szCs w:val="29"/>
          <w:spacing w:val="4"/>
        </w:rPr>
        <w:t>松、柳、石榴、棕榈科等。</w:t>
      </w:r>
    </w:p>
    <w:p>
      <w:pPr>
        <w:pStyle w:val="BodyText"/>
        <w:ind w:firstLine="600"/>
        <w:spacing w:before="148" w:line="292" w:lineRule="auto"/>
        <w:rPr>
          <w:sz w:val="29"/>
          <w:szCs w:val="29"/>
        </w:rPr>
      </w:pPr>
      <w:r>
        <w:rPr>
          <w:sz w:val="29"/>
          <w:szCs w:val="29"/>
          <w:spacing w:val="8"/>
        </w:rPr>
        <w:t>2)表现症状：从叶柄基部开始发生，首先产生黄褐色病斑，并沿叶柄向上</w:t>
      </w:r>
      <w:r>
        <w:rPr>
          <w:sz w:val="29"/>
          <w:szCs w:val="29"/>
          <w:spacing w:val="3"/>
        </w:rPr>
        <w:t xml:space="preserve">  </w:t>
      </w:r>
      <w:r>
        <w:rPr>
          <w:sz w:val="29"/>
          <w:szCs w:val="29"/>
          <w:spacing w:val="-8"/>
        </w:rPr>
        <w:t>扩展到叶片，病叶逐渐凋萎枯死。病斑延及树干产生紫褐色病斑，导致维管束变色</w:t>
      </w:r>
      <w:r>
        <w:rPr>
          <w:sz w:val="29"/>
          <w:szCs w:val="29"/>
        </w:rPr>
        <w:t xml:space="preserve">  </w:t>
      </w:r>
      <w:r>
        <w:rPr>
          <w:sz w:val="29"/>
          <w:szCs w:val="29"/>
          <w:spacing w:val="-10"/>
        </w:rPr>
        <w:t>坏死，树干腐烂，叶片枯萎，植株趋于死亡。若在棕榈干梢部位，其幼嫩组织腐烂，</w:t>
      </w:r>
      <w:r>
        <w:rPr>
          <w:sz w:val="29"/>
          <w:szCs w:val="29"/>
          <w:spacing w:val="13"/>
        </w:rPr>
        <w:t xml:space="preserve"> </w:t>
      </w:r>
      <w:r>
        <w:rPr>
          <w:sz w:val="29"/>
          <w:szCs w:val="29"/>
          <w:spacing w:val="-8"/>
        </w:rPr>
        <w:t>则更为严重。在枯死的叶柄基部和烂叶上，常见到许多白色菌丝体。当地上部分枯</w:t>
      </w:r>
      <w:r>
        <w:rPr>
          <w:sz w:val="29"/>
          <w:szCs w:val="29"/>
        </w:rPr>
        <w:t xml:space="preserve">  </w:t>
      </w:r>
      <w:r>
        <w:rPr>
          <w:sz w:val="29"/>
          <w:szCs w:val="29"/>
          <w:spacing w:val="1"/>
        </w:rPr>
        <w:t>死后，地下根系也很快随之腐烂，全部枯死。</w:t>
      </w:r>
    </w:p>
    <w:p>
      <w:pPr>
        <w:pStyle w:val="BodyText"/>
        <w:ind w:right="60" w:firstLine="600"/>
        <w:spacing w:before="187" w:line="262" w:lineRule="auto"/>
        <w:rPr>
          <w:sz w:val="29"/>
          <w:szCs w:val="29"/>
        </w:rPr>
      </w:pPr>
      <w:r>
        <w:rPr>
          <w:sz w:val="29"/>
          <w:szCs w:val="29"/>
          <w:spacing w:val="4"/>
        </w:rPr>
        <w:t>3)发生时期：每年5月中旬开始发病，6月逐渐增多，7—8月为发病盛期，至</w:t>
      </w:r>
      <w:r>
        <w:rPr>
          <w:sz w:val="29"/>
          <w:szCs w:val="29"/>
        </w:rPr>
        <w:t xml:space="preserve"> </w:t>
      </w:r>
      <w:r>
        <w:rPr>
          <w:sz w:val="29"/>
          <w:szCs w:val="29"/>
          <w:spacing w:val="-1"/>
        </w:rPr>
        <w:t>10月底，病害逐渐停止蔓延。</w:t>
      </w:r>
    </w:p>
    <w:p>
      <w:pPr>
        <w:pStyle w:val="BodyText"/>
        <w:ind w:left="600"/>
        <w:spacing w:before="157" w:line="220" w:lineRule="auto"/>
        <w:rPr>
          <w:sz w:val="29"/>
          <w:szCs w:val="29"/>
        </w:rPr>
      </w:pPr>
      <w:r>
        <w:rPr>
          <w:sz w:val="29"/>
          <w:szCs w:val="29"/>
          <w:spacing w:val="9"/>
        </w:rPr>
        <w:t>4)发生地区：全国均可发生。</w:t>
      </w:r>
    </w:p>
    <w:p>
      <w:pPr>
        <w:spacing w:line="220" w:lineRule="auto"/>
        <w:sectPr>
          <w:footerReference w:type="default" r:id="rId245"/>
          <w:pgSz w:w="14490" w:h="20470"/>
          <w:pgMar w:top="1739" w:right="1975" w:bottom="1413" w:left="2140" w:header="0" w:footer="1215" w:gutter="0"/>
        </w:sectPr>
        <w:rPr>
          <w:sz w:val="29"/>
          <w:szCs w:val="29"/>
        </w:rPr>
      </w:pPr>
    </w:p>
    <w:p>
      <w:pPr>
        <w:ind w:firstLine="959"/>
        <w:spacing w:line="4000" w:lineRule="exact"/>
        <w:rPr/>
      </w:pPr>
      <w:r>
        <w:drawing>
          <wp:anchor distT="0" distB="0" distL="0" distR="0" simplePos="0" relativeHeight="251979776" behindDoc="0" locked="0" layoutInCell="1" allowOverlap="1">
            <wp:simplePos x="0" y="0"/>
            <wp:positionH relativeFrom="column">
              <wp:posOffset>4000475</wp:posOffset>
            </wp:positionH>
            <wp:positionV relativeFrom="paragraph">
              <wp:posOffset>6369</wp:posOffset>
            </wp:positionV>
            <wp:extent cx="1765332" cy="2527289"/>
            <wp:effectExtent l="0" t="0" r="0" b="0"/>
            <wp:wrapNone/>
            <wp:docPr id="348" name="IM 348"/>
            <wp:cNvGraphicFramePr/>
            <a:graphic>
              <a:graphicData uri="http://schemas.openxmlformats.org/drawingml/2006/picture">
                <pic:pic>
                  <pic:nvPicPr>
                    <pic:cNvPr id="348" name="IM 348"/>
                    <pic:cNvPicPr/>
                  </pic:nvPicPr>
                  <pic:blipFill>
                    <a:blip r:embed="rId249"/>
                    <a:stretch>
                      <a:fillRect/>
                    </a:stretch>
                  </pic:blipFill>
                  <pic:spPr>
                    <a:xfrm rot="0">
                      <a:off x="0" y="0"/>
                      <a:ext cx="1765332" cy="2527289"/>
                    </a:xfrm>
                    <a:prstGeom prst="rect">
                      <a:avLst/>
                    </a:prstGeom>
                  </pic:spPr>
                </pic:pic>
              </a:graphicData>
            </a:graphic>
          </wp:anchor>
        </w:drawing>
      </w:r>
      <w:r>
        <w:rPr>
          <w:position w:val="-80"/>
        </w:rPr>
        <w:drawing>
          <wp:inline distT="0" distB="0" distL="0" distR="0">
            <wp:extent cx="3263924" cy="2540027"/>
            <wp:effectExtent l="0" t="0" r="0" b="0"/>
            <wp:docPr id="350" name="IM 350"/>
            <wp:cNvGraphicFramePr/>
            <a:graphic>
              <a:graphicData uri="http://schemas.openxmlformats.org/drawingml/2006/picture">
                <pic:pic>
                  <pic:nvPicPr>
                    <pic:cNvPr id="350" name="IM 350"/>
                    <pic:cNvPicPr/>
                  </pic:nvPicPr>
                  <pic:blipFill>
                    <a:blip r:embed="rId250"/>
                    <a:stretch>
                      <a:fillRect/>
                    </a:stretch>
                  </pic:blipFill>
                  <pic:spPr>
                    <a:xfrm rot="0">
                      <a:off x="0" y="0"/>
                      <a:ext cx="3263924" cy="2540027"/>
                    </a:xfrm>
                    <a:prstGeom prst="rect">
                      <a:avLst/>
                    </a:prstGeom>
                  </pic:spPr>
                </pic:pic>
              </a:graphicData>
            </a:graphic>
          </wp:inline>
        </w:drawing>
      </w:r>
    </w:p>
    <w:p>
      <w:pPr>
        <w:pStyle w:val="BodyText"/>
        <w:ind w:left="3730"/>
        <w:spacing w:before="118" w:line="219" w:lineRule="auto"/>
        <w:rPr>
          <w:sz w:val="24"/>
          <w:szCs w:val="24"/>
        </w:rPr>
      </w:pPr>
      <w:r>
        <w:rPr>
          <w:sz w:val="24"/>
          <w:szCs w:val="24"/>
          <w:spacing w:val="7"/>
        </w:rPr>
        <w:t>图6-1-12干腐病表现症状</w:t>
      </w:r>
    </w:p>
    <w:p>
      <w:pPr>
        <w:pStyle w:val="BodyText"/>
        <w:ind w:right="90" w:firstLine="570"/>
        <w:spacing w:before="149" w:line="309" w:lineRule="auto"/>
        <w:jc w:val="both"/>
        <w:rPr>
          <w:sz w:val="29"/>
          <w:szCs w:val="29"/>
        </w:rPr>
      </w:pPr>
      <w:r>
        <w:rPr>
          <w:sz w:val="29"/>
          <w:szCs w:val="29"/>
          <w:spacing w:val="9"/>
        </w:rPr>
        <w:t>5)防治方法：及时清除腐死株和重病株，以减少侵染源；在发病初期剪掉</w:t>
      </w:r>
      <w:r>
        <w:rPr>
          <w:sz w:val="29"/>
          <w:szCs w:val="29"/>
          <w:spacing w:val="5"/>
        </w:rPr>
        <w:t xml:space="preserve"> </w:t>
      </w:r>
      <w:r>
        <w:rPr>
          <w:sz w:val="29"/>
          <w:szCs w:val="29"/>
          <w:spacing w:val="5"/>
        </w:rPr>
        <w:t>变色的病部或刮掉病斑，伤口涂波美10度石硫合剂或70%甲基托布津可湿性粉剂 </w:t>
      </w:r>
      <w:r>
        <w:rPr>
          <w:sz w:val="29"/>
          <w:szCs w:val="29"/>
          <w:spacing w:val="-6"/>
        </w:rPr>
        <w:t>100倍液；药剂防治参见《各地区农药肥料使用指导》。</w:t>
      </w:r>
    </w:p>
    <w:p>
      <w:pPr>
        <w:pStyle w:val="BodyText"/>
        <w:spacing w:line="395" w:lineRule="exact"/>
        <w:rPr>
          <w:rFonts w:ascii="SimHei" w:hAnsi="SimHei" w:eastAsia="SimHei" w:cs="SimHei"/>
          <w:sz w:val="29"/>
          <w:szCs w:val="29"/>
        </w:rPr>
      </w:pPr>
      <w:r>
        <w:rPr>
          <w:rFonts w:ascii="Arial" w:hAnsi="Arial" w:eastAsia="Arial" w:cs="Arial"/>
          <w:sz w:val="29"/>
          <w:szCs w:val="29"/>
          <w:position w:val="1"/>
        </w:rPr>
        <w:t>10</w:t>
      </w:r>
      <w:r>
        <w:rPr>
          <w:sz w:val="29"/>
          <w:szCs w:val="29"/>
          <w:position w:val="1"/>
        </w:rPr>
        <w:t>、</w:t>
      </w:r>
      <w:r>
        <w:rPr>
          <w:rFonts w:ascii="SimHei" w:hAnsi="SimHei" w:eastAsia="SimHei" w:cs="SimHei"/>
          <w:sz w:val="29"/>
          <w:szCs w:val="29"/>
          <w:position w:val="1"/>
        </w:rPr>
        <w:t>紫纹羽病</w:t>
      </w:r>
    </w:p>
    <w:p>
      <w:pPr>
        <w:pStyle w:val="BodyText"/>
        <w:ind w:left="570"/>
        <w:spacing w:before="126" w:line="219" w:lineRule="auto"/>
        <w:rPr>
          <w:sz w:val="29"/>
          <w:szCs w:val="29"/>
        </w:rPr>
      </w:pPr>
      <w:r>
        <w:rPr>
          <w:sz w:val="29"/>
          <w:szCs w:val="29"/>
          <w:spacing w:val="5"/>
        </w:rPr>
        <w:t>1)危害植物：除禾本科外，几乎所有木本科和草本植物均可遭受此病。</w:t>
      </w:r>
    </w:p>
    <w:p>
      <w:pPr>
        <w:pStyle w:val="BodyText"/>
        <w:ind w:firstLine="570"/>
        <w:spacing w:before="127" w:line="281" w:lineRule="auto"/>
        <w:rPr>
          <w:sz w:val="29"/>
          <w:szCs w:val="29"/>
        </w:rPr>
      </w:pPr>
      <w:r>
        <w:rPr>
          <w:sz w:val="29"/>
          <w:szCs w:val="29"/>
          <w:spacing w:val="13"/>
        </w:rPr>
        <w:t>2)表现症状：先发生在幼嫩的新根，被害的根很快失去光泽并腐烂；病菌</w:t>
      </w:r>
      <w:r>
        <w:rPr>
          <w:sz w:val="29"/>
          <w:szCs w:val="29"/>
          <w:spacing w:val="7"/>
        </w:rPr>
        <w:t xml:space="preserve"> </w:t>
      </w:r>
      <w:r>
        <w:rPr>
          <w:sz w:val="29"/>
          <w:szCs w:val="29"/>
          <w:spacing w:val="4"/>
        </w:rPr>
        <w:t>逐渐由细根扩展到粗大的侧根或主根，在根部外侧附有紫红色菌丝体，</w:t>
      </w:r>
      <w:r>
        <w:rPr>
          <w:sz w:val="29"/>
          <w:szCs w:val="29"/>
          <w:spacing w:val="3"/>
        </w:rPr>
        <w:t>并且上延</w:t>
      </w:r>
      <w:r>
        <w:rPr>
          <w:sz w:val="29"/>
          <w:szCs w:val="29"/>
        </w:rPr>
        <w:t xml:space="preserve"> </w:t>
      </w:r>
      <w:r>
        <w:rPr>
          <w:sz w:val="29"/>
          <w:szCs w:val="29"/>
          <w:spacing w:val="-5"/>
        </w:rPr>
        <w:t>至根茎。幼苗受害后病势发展迅速，引起植</w:t>
      </w:r>
      <w:r>
        <w:rPr>
          <w:sz w:val="29"/>
          <w:szCs w:val="29"/>
          <w:spacing w:val="-6"/>
        </w:rPr>
        <w:t>株枯死；大树树势衰弱，发芽延迟。</w:t>
      </w:r>
    </w:p>
    <w:p>
      <w:pPr>
        <w:ind w:firstLine="9"/>
        <w:spacing w:before="14" w:line="3049" w:lineRule="exact"/>
        <w:rPr/>
      </w:pPr>
      <w:r>
        <w:drawing>
          <wp:anchor distT="0" distB="0" distL="0" distR="0" simplePos="0" relativeHeight="251978752" behindDoc="0" locked="0" layoutInCell="1" allowOverlap="1">
            <wp:simplePos x="0" y="0"/>
            <wp:positionH relativeFrom="column">
              <wp:posOffset>3340109</wp:posOffset>
            </wp:positionH>
            <wp:positionV relativeFrom="paragraph">
              <wp:posOffset>15064</wp:posOffset>
            </wp:positionV>
            <wp:extent cx="3111460" cy="1936768"/>
            <wp:effectExtent l="0" t="0" r="0" b="0"/>
            <wp:wrapNone/>
            <wp:docPr id="352" name="IM 352"/>
            <wp:cNvGraphicFramePr/>
            <a:graphic>
              <a:graphicData uri="http://schemas.openxmlformats.org/drawingml/2006/picture">
                <pic:pic>
                  <pic:nvPicPr>
                    <pic:cNvPr id="352" name="IM 352"/>
                    <pic:cNvPicPr/>
                  </pic:nvPicPr>
                  <pic:blipFill>
                    <a:blip r:embed="rId251"/>
                    <a:stretch>
                      <a:fillRect/>
                    </a:stretch>
                  </pic:blipFill>
                  <pic:spPr>
                    <a:xfrm rot="0">
                      <a:off x="0" y="0"/>
                      <a:ext cx="3111460" cy="1936768"/>
                    </a:xfrm>
                    <a:prstGeom prst="rect">
                      <a:avLst/>
                    </a:prstGeom>
                  </pic:spPr>
                </pic:pic>
              </a:graphicData>
            </a:graphic>
          </wp:anchor>
        </w:drawing>
      </w:r>
      <w:r>
        <w:rPr>
          <w:position w:val="-60"/>
        </w:rPr>
        <w:drawing>
          <wp:inline distT="0" distB="0" distL="0" distR="0">
            <wp:extent cx="3244877" cy="1936639"/>
            <wp:effectExtent l="0" t="0" r="0" b="0"/>
            <wp:docPr id="354" name="IM 354"/>
            <wp:cNvGraphicFramePr/>
            <a:graphic>
              <a:graphicData uri="http://schemas.openxmlformats.org/drawingml/2006/picture">
                <pic:pic>
                  <pic:nvPicPr>
                    <pic:cNvPr id="354" name="IM 354"/>
                    <pic:cNvPicPr/>
                  </pic:nvPicPr>
                  <pic:blipFill>
                    <a:blip r:embed="rId252"/>
                    <a:stretch>
                      <a:fillRect/>
                    </a:stretch>
                  </pic:blipFill>
                  <pic:spPr>
                    <a:xfrm rot="0">
                      <a:off x="0" y="0"/>
                      <a:ext cx="3244877" cy="1936639"/>
                    </a:xfrm>
                    <a:prstGeom prst="rect">
                      <a:avLst/>
                    </a:prstGeom>
                  </pic:spPr>
                </pic:pic>
              </a:graphicData>
            </a:graphic>
          </wp:inline>
        </w:drawing>
      </w:r>
    </w:p>
    <w:p>
      <w:pPr>
        <w:pStyle w:val="BodyText"/>
        <w:ind w:left="3620"/>
        <w:spacing w:before="190" w:line="219" w:lineRule="auto"/>
        <w:rPr>
          <w:sz w:val="24"/>
          <w:szCs w:val="24"/>
        </w:rPr>
      </w:pPr>
      <w:r>
        <w:rPr>
          <w:sz w:val="24"/>
          <w:szCs w:val="24"/>
          <w:spacing w:val="5"/>
        </w:rPr>
        <w:t>图6-1-13紫纹羽病表现症状</w:t>
      </w:r>
    </w:p>
    <w:p>
      <w:pPr>
        <w:pStyle w:val="BodyText"/>
        <w:ind w:left="570"/>
        <w:spacing w:before="148" w:line="219" w:lineRule="auto"/>
        <w:rPr>
          <w:sz w:val="29"/>
          <w:szCs w:val="29"/>
        </w:rPr>
      </w:pPr>
      <w:r>
        <w:rPr>
          <w:sz w:val="29"/>
          <w:szCs w:val="29"/>
          <w:spacing w:val="4"/>
        </w:rPr>
        <w:t>3)发生时期：发生盛期多在7—9月。</w:t>
      </w:r>
    </w:p>
    <w:p>
      <w:pPr>
        <w:pStyle w:val="BodyText"/>
        <w:ind w:left="570"/>
        <w:spacing w:before="147" w:line="220" w:lineRule="auto"/>
        <w:rPr>
          <w:sz w:val="29"/>
          <w:szCs w:val="29"/>
        </w:rPr>
      </w:pPr>
      <w:r>
        <w:rPr>
          <w:sz w:val="29"/>
          <w:szCs w:val="29"/>
          <w:spacing w:val="11"/>
        </w:rPr>
        <w:t>4)发生地区：全国均可发生。</w:t>
      </w:r>
    </w:p>
    <w:p>
      <w:pPr>
        <w:pStyle w:val="BodyText"/>
        <w:ind w:left="570"/>
        <w:spacing w:before="131" w:line="219" w:lineRule="auto"/>
        <w:rPr>
          <w:sz w:val="29"/>
          <w:szCs w:val="29"/>
        </w:rPr>
      </w:pPr>
      <w:r>
        <w:rPr>
          <w:sz w:val="29"/>
          <w:szCs w:val="29"/>
          <w:spacing w:val="2"/>
        </w:rPr>
        <w:t>5)防治方法：药剂防治参见《各地区农药肥料使用指导》。</w:t>
      </w:r>
    </w:p>
    <w:p>
      <w:pPr>
        <w:pStyle w:val="BodyText"/>
        <w:spacing w:before="138" w:line="222" w:lineRule="auto"/>
        <w:rPr>
          <w:rFonts w:ascii="SimHei" w:hAnsi="SimHei" w:eastAsia="SimHei" w:cs="SimHei"/>
          <w:sz w:val="29"/>
          <w:szCs w:val="29"/>
        </w:rPr>
      </w:pPr>
      <w:r>
        <w:rPr>
          <w:rFonts w:ascii="Arial" w:hAnsi="Arial" w:eastAsia="Arial" w:cs="Arial"/>
          <w:sz w:val="29"/>
          <w:szCs w:val="29"/>
          <w:spacing w:val="-3"/>
        </w:rPr>
        <w:t>11</w:t>
      </w:r>
      <w:r>
        <w:rPr>
          <w:sz w:val="29"/>
          <w:szCs w:val="29"/>
          <w:spacing w:val="-3"/>
        </w:rPr>
        <w:t>、</w:t>
      </w:r>
      <w:r>
        <w:rPr>
          <w:rFonts w:ascii="SimHei" w:hAnsi="SimHei" w:eastAsia="SimHei" w:cs="SimHei"/>
          <w:sz w:val="29"/>
          <w:szCs w:val="29"/>
          <w:spacing w:val="-3"/>
        </w:rPr>
        <w:t>根腐病</w:t>
      </w:r>
    </w:p>
    <w:p>
      <w:pPr>
        <w:pStyle w:val="BodyText"/>
        <w:ind w:right="212" w:firstLine="570"/>
        <w:spacing w:before="111" w:line="268" w:lineRule="auto"/>
        <w:rPr>
          <w:sz w:val="29"/>
          <w:szCs w:val="29"/>
        </w:rPr>
      </w:pPr>
      <w:r>
        <w:rPr>
          <w:sz w:val="29"/>
          <w:szCs w:val="29"/>
          <w:spacing w:val="7"/>
        </w:rPr>
        <w:t>1)危害植物：桃树、杉木、雪松、百合、月季、芙蓉、</w:t>
      </w:r>
      <w:r>
        <w:rPr>
          <w:sz w:val="29"/>
          <w:szCs w:val="29"/>
          <w:spacing w:val="6"/>
        </w:rPr>
        <w:t>桑、杜鹃、紫杉、</w:t>
      </w:r>
      <w:r>
        <w:rPr>
          <w:sz w:val="29"/>
          <w:szCs w:val="29"/>
        </w:rPr>
        <w:t xml:space="preserve"> </w:t>
      </w:r>
      <w:r>
        <w:rPr>
          <w:sz w:val="29"/>
          <w:szCs w:val="29"/>
        </w:rPr>
        <w:t>君子兰、大叶黄杨、红瑞木、棕榈科等。</w:t>
      </w:r>
    </w:p>
    <w:p>
      <w:pPr>
        <w:pStyle w:val="BodyText"/>
        <w:ind w:right="147" w:firstLine="570"/>
        <w:spacing w:before="159" w:line="287" w:lineRule="auto"/>
        <w:rPr>
          <w:sz w:val="29"/>
          <w:szCs w:val="29"/>
        </w:rPr>
      </w:pPr>
      <w:r>
        <w:rPr>
          <w:sz w:val="29"/>
          <w:szCs w:val="29"/>
          <w:spacing w:val="8"/>
        </w:rPr>
        <w:t>2)表现症状：发病初期植株不表现症状，后随着根部腐烂程度的加剧，吸</w:t>
      </w:r>
      <w:r>
        <w:rPr>
          <w:sz w:val="29"/>
          <w:szCs w:val="29"/>
          <w:spacing w:val="7"/>
        </w:rPr>
        <w:t xml:space="preserve"> </w:t>
      </w:r>
      <w:r>
        <w:rPr>
          <w:sz w:val="29"/>
          <w:szCs w:val="29"/>
          <w:spacing w:val="-1"/>
        </w:rPr>
        <w:t>收水分和养分的功能逐渐减弱，在中午前后光照强、蒸发量大时，植株上部叶片</w:t>
      </w:r>
      <w:r>
        <w:rPr>
          <w:sz w:val="29"/>
          <w:szCs w:val="29"/>
          <w:spacing w:val="12"/>
        </w:rPr>
        <w:t xml:space="preserve"> </w:t>
      </w:r>
      <w:r>
        <w:rPr>
          <w:sz w:val="29"/>
          <w:szCs w:val="29"/>
        </w:rPr>
        <w:t>才出现萎蔫，但夜间又能恢复；病情严重时，萎蔫状</w:t>
      </w:r>
      <w:r>
        <w:rPr>
          <w:sz w:val="29"/>
          <w:szCs w:val="29"/>
          <w:spacing w:val="-1"/>
        </w:rPr>
        <w:t>况夜间也不能再恢复，此时</w:t>
      </w:r>
      <w:r>
        <w:rPr>
          <w:sz w:val="29"/>
          <w:szCs w:val="29"/>
        </w:rPr>
        <w:t xml:space="preserve"> </w:t>
      </w:r>
      <w:r>
        <w:rPr>
          <w:sz w:val="29"/>
          <w:szCs w:val="29"/>
          <w:spacing w:val="-1"/>
        </w:rPr>
        <w:t>根皮变褐，并与髓部分离，最后全株死亡。</w:t>
      </w:r>
    </w:p>
    <w:p>
      <w:pPr>
        <w:spacing w:line="287" w:lineRule="auto"/>
        <w:sectPr>
          <w:footerReference w:type="default" r:id="rId248"/>
          <w:pgSz w:w="14490" w:h="20470"/>
          <w:pgMar w:top="1619" w:right="2052" w:bottom="1423" w:left="2150" w:header="0" w:footer="1225" w:gutter="0"/>
        </w:sectPr>
        <w:rPr>
          <w:sz w:val="29"/>
          <w:szCs w:val="29"/>
        </w:rPr>
      </w:pPr>
    </w:p>
    <w:p>
      <w:pPr>
        <w:ind w:firstLine="329"/>
        <w:spacing w:before="50" w:line="3130" w:lineRule="exact"/>
        <w:rPr/>
      </w:pPr>
      <w:r>
        <w:rPr>
          <w:position w:val="-62"/>
        </w:rPr>
        <w:drawing>
          <wp:inline distT="0" distB="0" distL="0" distR="0">
            <wp:extent cx="5930877" cy="1987463"/>
            <wp:effectExtent l="0" t="0" r="0" b="0"/>
            <wp:docPr id="356" name="IM 356"/>
            <wp:cNvGraphicFramePr/>
            <a:graphic>
              <a:graphicData uri="http://schemas.openxmlformats.org/drawingml/2006/picture">
                <pic:pic>
                  <pic:nvPicPr>
                    <pic:cNvPr id="356" name="IM 356"/>
                    <pic:cNvPicPr/>
                  </pic:nvPicPr>
                  <pic:blipFill>
                    <a:blip r:embed="rId254"/>
                    <a:stretch>
                      <a:fillRect/>
                    </a:stretch>
                  </pic:blipFill>
                  <pic:spPr>
                    <a:xfrm rot="0">
                      <a:off x="0" y="0"/>
                      <a:ext cx="5930877" cy="1987463"/>
                    </a:xfrm>
                    <a:prstGeom prst="rect">
                      <a:avLst/>
                    </a:prstGeom>
                  </pic:spPr>
                </pic:pic>
              </a:graphicData>
            </a:graphic>
          </wp:inline>
        </w:drawing>
      </w:r>
    </w:p>
    <w:p>
      <w:pPr>
        <w:pStyle w:val="BodyText"/>
        <w:ind w:left="3630"/>
        <w:spacing w:before="180" w:line="219" w:lineRule="auto"/>
        <w:rPr>
          <w:sz w:val="24"/>
          <w:szCs w:val="24"/>
        </w:rPr>
      </w:pPr>
      <w:r>
        <w:rPr>
          <w:sz w:val="24"/>
          <w:szCs w:val="24"/>
          <w:spacing w:val="5"/>
        </w:rPr>
        <w:t>图6-1-14根腐病表现症状</w:t>
      </w:r>
    </w:p>
    <w:p>
      <w:pPr>
        <w:pStyle w:val="BodyText"/>
        <w:ind w:right="242" w:firstLine="570"/>
        <w:spacing w:before="167" w:line="281" w:lineRule="auto"/>
        <w:rPr>
          <w:sz w:val="29"/>
          <w:szCs w:val="29"/>
        </w:rPr>
      </w:pPr>
      <w:r>
        <w:rPr>
          <w:sz w:val="29"/>
          <w:szCs w:val="29"/>
          <w:spacing w:val="9"/>
        </w:rPr>
        <w:t>3)发生规律：春季多雨、梅雨季节时发病严重，病菌从根茎</w:t>
      </w:r>
      <w:r>
        <w:rPr>
          <w:sz w:val="29"/>
          <w:szCs w:val="29"/>
          <w:spacing w:val="8"/>
        </w:rPr>
        <w:t>部或根部伤口</w:t>
      </w:r>
      <w:r>
        <w:rPr>
          <w:sz w:val="29"/>
          <w:szCs w:val="29"/>
        </w:rPr>
        <w:t xml:space="preserve"> </w:t>
      </w:r>
      <w:r>
        <w:rPr>
          <w:sz w:val="29"/>
          <w:szCs w:val="29"/>
          <w:spacing w:val="-9"/>
        </w:rPr>
        <w:t>侵入，通过雨水或灌溉水进行传播和蔓延；病菌在土壤中或病残体上越冬，成</w:t>
      </w:r>
      <w:r>
        <w:rPr>
          <w:sz w:val="29"/>
          <w:szCs w:val="29"/>
          <w:spacing w:val="-10"/>
        </w:rPr>
        <w:t>为翌</w:t>
      </w:r>
      <w:r>
        <w:rPr>
          <w:sz w:val="29"/>
          <w:szCs w:val="29"/>
        </w:rPr>
        <w:t xml:space="preserve"> </w:t>
      </w:r>
      <w:r>
        <w:rPr>
          <w:sz w:val="29"/>
          <w:szCs w:val="29"/>
          <w:spacing w:val="-1"/>
        </w:rPr>
        <w:t>年主要初侵染源。</w:t>
      </w:r>
    </w:p>
    <w:p>
      <w:pPr>
        <w:pStyle w:val="BodyText"/>
        <w:ind w:left="570"/>
        <w:spacing w:before="156" w:line="220" w:lineRule="auto"/>
        <w:rPr>
          <w:sz w:val="29"/>
          <w:szCs w:val="29"/>
        </w:rPr>
      </w:pPr>
      <w:r>
        <w:rPr>
          <w:sz w:val="29"/>
          <w:szCs w:val="29"/>
          <w:spacing w:val="11"/>
        </w:rPr>
        <w:t>4)发生地区：全国均可发生。</w:t>
      </w:r>
    </w:p>
    <w:p>
      <w:pPr>
        <w:pStyle w:val="BodyText"/>
        <w:ind w:right="270" w:firstLine="570"/>
        <w:spacing w:before="132" w:line="285" w:lineRule="auto"/>
        <w:rPr>
          <w:sz w:val="29"/>
          <w:szCs w:val="29"/>
        </w:rPr>
      </w:pPr>
      <w:r>
        <w:rPr>
          <w:sz w:val="29"/>
          <w:szCs w:val="29"/>
          <w:spacing w:val="7"/>
        </w:rPr>
        <w:t>5)防治方法：保证不积水沤根，施足基肥；及时防治地下害虫，使用多菌</w:t>
      </w:r>
      <w:r>
        <w:rPr>
          <w:sz w:val="29"/>
          <w:szCs w:val="29"/>
          <w:spacing w:val="15"/>
        </w:rPr>
        <w:t xml:space="preserve"> </w:t>
      </w:r>
      <w:r>
        <w:rPr>
          <w:sz w:val="29"/>
          <w:szCs w:val="29"/>
          <w:spacing w:val="-1"/>
        </w:rPr>
        <w:t>灵等进行土壤消毒，隔绝病毒感染；定植后适时适量浇水，防止地上水分蒸发；</w:t>
      </w:r>
      <w:r>
        <w:rPr>
          <w:sz w:val="29"/>
          <w:szCs w:val="29"/>
        </w:rPr>
        <w:t xml:space="preserve"> </w:t>
      </w:r>
      <w:r>
        <w:rPr>
          <w:sz w:val="29"/>
          <w:szCs w:val="29"/>
          <w:spacing w:val="-10"/>
        </w:rPr>
        <w:t>药剂防治参见《各地区农药肥料使用指导》。</w:t>
      </w:r>
    </w:p>
    <w:p>
      <w:pPr>
        <w:pStyle w:val="BodyText"/>
        <w:spacing w:before="187" w:line="222" w:lineRule="auto"/>
        <w:rPr>
          <w:rFonts w:ascii="SimHei" w:hAnsi="SimHei" w:eastAsia="SimHei" w:cs="SimHei"/>
          <w:sz w:val="29"/>
          <w:szCs w:val="29"/>
        </w:rPr>
      </w:pPr>
      <w:r>
        <w:rPr>
          <w:rFonts w:ascii="Arial" w:hAnsi="Arial" w:eastAsia="Arial" w:cs="Arial"/>
          <w:sz w:val="29"/>
          <w:szCs w:val="29"/>
          <w:spacing w:val="-3"/>
        </w:rPr>
        <w:t>12</w:t>
      </w:r>
      <w:r>
        <w:rPr>
          <w:sz w:val="29"/>
          <w:szCs w:val="29"/>
          <w:spacing w:val="-3"/>
        </w:rPr>
        <w:t>、</w:t>
      </w:r>
      <w:r>
        <w:rPr>
          <w:rFonts w:ascii="SimHei" w:hAnsi="SimHei" w:eastAsia="SimHei" w:cs="SimHei"/>
          <w:sz w:val="29"/>
          <w:szCs w:val="29"/>
          <w:spacing w:val="-3"/>
        </w:rPr>
        <w:t>枝枯病</w:t>
      </w:r>
    </w:p>
    <w:p>
      <w:pPr>
        <w:pStyle w:val="BodyText"/>
        <w:ind w:right="354" w:firstLine="570"/>
        <w:spacing w:before="101" w:line="268" w:lineRule="auto"/>
        <w:rPr>
          <w:sz w:val="29"/>
          <w:szCs w:val="29"/>
        </w:rPr>
      </w:pPr>
      <w:r>
        <w:rPr>
          <w:sz w:val="29"/>
          <w:szCs w:val="29"/>
          <w:spacing w:val="-11"/>
        </w:rPr>
        <w:t>1)危害植物：月季、国槐、红车、罗汉松</w:t>
      </w:r>
      <w:r>
        <w:rPr>
          <w:sz w:val="29"/>
          <w:szCs w:val="29"/>
          <w:spacing w:val="-12"/>
        </w:rPr>
        <w:t>、千层金、假连翘、山茶、牡丹、榆</w:t>
      </w:r>
      <w:r>
        <w:rPr>
          <w:sz w:val="29"/>
          <w:szCs w:val="29"/>
        </w:rPr>
        <w:t xml:space="preserve"> </w:t>
      </w:r>
      <w:r>
        <w:rPr>
          <w:sz w:val="29"/>
          <w:szCs w:val="29"/>
        </w:rPr>
        <w:t>叶梅、合欢、樟树、黑松、柳杉、雪松等。</w:t>
      </w:r>
    </w:p>
    <w:p>
      <w:pPr>
        <w:pStyle w:val="BodyText"/>
        <w:ind w:firstLine="570"/>
        <w:spacing w:before="127" w:line="292" w:lineRule="auto"/>
        <w:rPr>
          <w:sz w:val="29"/>
          <w:szCs w:val="29"/>
        </w:rPr>
      </w:pPr>
      <w:r>
        <w:rPr>
          <w:sz w:val="29"/>
          <w:szCs w:val="29"/>
          <w:spacing w:val="8"/>
        </w:rPr>
        <w:t>2)表现症状：在杆上发生溃疡斑，在茎上发生小而紫红色的斑点，小</w:t>
      </w:r>
      <w:r>
        <w:rPr>
          <w:sz w:val="29"/>
          <w:szCs w:val="29"/>
          <w:spacing w:val="7"/>
        </w:rPr>
        <w:t>点扩</w:t>
      </w:r>
      <w:r>
        <w:rPr>
          <w:sz w:val="29"/>
          <w:szCs w:val="29"/>
        </w:rPr>
        <w:t xml:space="preserve">   </w:t>
      </w:r>
      <w:r>
        <w:rPr>
          <w:sz w:val="29"/>
          <w:szCs w:val="29"/>
          <w:spacing w:val="-8"/>
        </w:rPr>
        <w:t>大后颜色加深，斑点的中心变为浅褐色至灰白色，红褐色和紫色的边缘与茎的绿色</w:t>
      </w:r>
      <w:r>
        <w:rPr>
          <w:sz w:val="29"/>
          <w:szCs w:val="29"/>
        </w:rPr>
        <w:t xml:space="preserve">  </w:t>
      </w:r>
      <w:r>
        <w:rPr>
          <w:sz w:val="29"/>
          <w:szCs w:val="29"/>
        </w:rPr>
        <w:t>对比十分明显；病菌的分生孢子呈微小的突起出现，</w:t>
      </w:r>
      <w:r>
        <w:rPr>
          <w:sz w:val="29"/>
          <w:szCs w:val="29"/>
          <w:spacing w:val="-1"/>
        </w:rPr>
        <w:t>随着分生孢子的增大，其表</w:t>
      </w:r>
      <w:r>
        <w:rPr>
          <w:sz w:val="29"/>
          <w:szCs w:val="29"/>
        </w:rPr>
        <w:t xml:space="preserve">  </w:t>
      </w:r>
      <w:r>
        <w:rPr>
          <w:sz w:val="29"/>
          <w:szCs w:val="29"/>
          <w:spacing w:val="-2"/>
        </w:rPr>
        <w:t>皮出现了纵向裂缝，潮湿时涌出黑色的孢子堆；发病严重时，病斑迅速环绕枝条，</w:t>
      </w:r>
      <w:r>
        <w:rPr>
          <w:sz w:val="29"/>
          <w:szCs w:val="29"/>
          <w:spacing w:val="16"/>
        </w:rPr>
        <w:t xml:space="preserve"> </w:t>
      </w:r>
      <w:r>
        <w:rPr>
          <w:sz w:val="29"/>
          <w:szCs w:val="29"/>
        </w:rPr>
        <w:t>病部以上部分萎缩枯死，变黑向下蔓延并下陷。</w:t>
      </w:r>
    </w:p>
    <w:p>
      <w:pPr>
        <w:ind w:firstLine="69"/>
        <w:spacing w:before="186" w:line="3060" w:lineRule="exact"/>
        <w:rPr/>
      </w:pPr>
      <w:r>
        <w:rPr>
          <w:position w:val="-61"/>
        </w:rPr>
        <w:drawing>
          <wp:inline distT="0" distB="0" distL="0" distR="0">
            <wp:extent cx="6146829" cy="1943138"/>
            <wp:effectExtent l="0" t="0" r="0" b="0"/>
            <wp:docPr id="358" name="IM 358"/>
            <wp:cNvGraphicFramePr/>
            <a:graphic>
              <a:graphicData uri="http://schemas.openxmlformats.org/drawingml/2006/picture">
                <pic:pic>
                  <pic:nvPicPr>
                    <pic:cNvPr id="358" name="IM 358"/>
                    <pic:cNvPicPr/>
                  </pic:nvPicPr>
                  <pic:blipFill>
                    <a:blip r:embed="rId255"/>
                    <a:stretch>
                      <a:fillRect/>
                    </a:stretch>
                  </pic:blipFill>
                  <pic:spPr>
                    <a:xfrm rot="0">
                      <a:off x="0" y="0"/>
                      <a:ext cx="6146829" cy="1943138"/>
                    </a:xfrm>
                    <a:prstGeom prst="rect">
                      <a:avLst/>
                    </a:prstGeom>
                  </pic:spPr>
                </pic:pic>
              </a:graphicData>
            </a:graphic>
          </wp:inline>
        </w:drawing>
      </w:r>
    </w:p>
    <w:p>
      <w:pPr>
        <w:pStyle w:val="BodyText"/>
        <w:ind w:left="3630"/>
        <w:spacing w:before="120" w:line="219" w:lineRule="auto"/>
        <w:rPr>
          <w:sz w:val="24"/>
          <w:szCs w:val="24"/>
        </w:rPr>
      </w:pPr>
      <w:r>
        <w:rPr>
          <w:sz w:val="24"/>
          <w:szCs w:val="24"/>
          <w:spacing w:val="5"/>
        </w:rPr>
        <w:t>图6-1-15枝枯病表现症状</w:t>
      </w:r>
    </w:p>
    <w:p>
      <w:pPr>
        <w:pStyle w:val="BodyText"/>
        <w:ind w:left="570"/>
        <w:spacing w:before="167" w:line="219" w:lineRule="auto"/>
        <w:rPr>
          <w:sz w:val="29"/>
          <w:szCs w:val="29"/>
        </w:rPr>
      </w:pPr>
      <w:r>
        <w:rPr>
          <w:sz w:val="29"/>
          <w:szCs w:val="29"/>
          <w:spacing w:val="1"/>
        </w:rPr>
        <w:t>3)发病时间：</w:t>
      </w:r>
      <w:r>
        <w:rPr>
          <w:sz w:val="29"/>
          <w:szCs w:val="29"/>
          <w:spacing w:val="-67"/>
        </w:rPr>
        <w:t xml:space="preserve"> </w:t>
      </w:r>
      <w:r>
        <w:rPr>
          <w:sz w:val="29"/>
          <w:szCs w:val="29"/>
          <w:spacing w:val="1"/>
        </w:rPr>
        <w:t>一般6—9月发病。</w:t>
      </w:r>
    </w:p>
    <w:p>
      <w:pPr>
        <w:pStyle w:val="BodyText"/>
        <w:ind w:left="570"/>
        <w:spacing w:before="127" w:line="220" w:lineRule="auto"/>
        <w:rPr>
          <w:sz w:val="29"/>
          <w:szCs w:val="29"/>
        </w:rPr>
      </w:pPr>
      <w:r>
        <w:rPr>
          <w:sz w:val="29"/>
          <w:szCs w:val="29"/>
          <w:spacing w:val="11"/>
        </w:rPr>
        <w:t>4)发生地区：全国均可发生。</w:t>
      </w:r>
    </w:p>
    <w:p>
      <w:pPr>
        <w:pStyle w:val="BodyText"/>
        <w:ind w:right="329" w:firstLine="570"/>
        <w:spacing w:before="152" w:line="275" w:lineRule="auto"/>
        <w:rPr>
          <w:sz w:val="29"/>
          <w:szCs w:val="29"/>
        </w:rPr>
      </w:pPr>
      <w:r>
        <w:rPr>
          <w:sz w:val="29"/>
          <w:szCs w:val="29"/>
          <w:spacing w:val="6"/>
        </w:rPr>
        <w:t>5)防治方法：及时修剪病枯枝烧毁，修剪的剪口用波尔多液涂抹；药剂防 </w:t>
      </w:r>
      <w:r>
        <w:rPr>
          <w:sz w:val="29"/>
          <w:szCs w:val="29"/>
          <w:spacing w:val="-9"/>
        </w:rPr>
        <w:t>治参见《各地区农药肥料使用指导》。</w:t>
      </w:r>
    </w:p>
    <w:p>
      <w:pPr>
        <w:spacing w:line="275" w:lineRule="auto"/>
        <w:sectPr>
          <w:footerReference w:type="default" r:id="rId253"/>
          <w:pgSz w:w="14490" w:h="20470"/>
          <w:pgMar w:top="1739" w:right="1954" w:bottom="1490" w:left="2150" w:header="0" w:footer="1204" w:gutter="0"/>
        </w:sectPr>
        <w:rPr>
          <w:sz w:val="29"/>
          <w:szCs w:val="29"/>
        </w:rPr>
      </w:pPr>
    </w:p>
    <w:p>
      <w:pPr>
        <w:pStyle w:val="BodyText"/>
        <w:spacing w:before="87" w:line="395" w:lineRule="exact"/>
        <w:rPr>
          <w:rFonts w:ascii="SimHei" w:hAnsi="SimHei" w:eastAsia="SimHei" w:cs="SimHei"/>
          <w:sz w:val="29"/>
          <w:szCs w:val="29"/>
        </w:rPr>
      </w:pPr>
      <w:r>
        <w:rPr>
          <w:rFonts w:ascii="Arial" w:hAnsi="Arial" w:eastAsia="Arial" w:cs="Arial"/>
          <w:sz w:val="29"/>
          <w:szCs w:val="29"/>
          <w:spacing w:val="-3"/>
          <w:position w:val="1"/>
        </w:rPr>
        <w:t>13</w:t>
      </w:r>
      <w:r>
        <w:rPr>
          <w:sz w:val="29"/>
          <w:szCs w:val="29"/>
          <w:spacing w:val="-3"/>
          <w:position w:val="1"/>
        </w:rPr>
        <w:t>、</w:t>
      </w:r>
      <w:r>
        <w:rPr>
          <w:rFonts w:ascii="SimHei" w:hAnsi="SimHei" w:eastAsia="SimHei" w:cs="SimHei"/>
          <w:sz w:val="29"/>
          <w:szCs w:val="29"/>
          <w:spacing w:val="-3"/>
          <w:position w:val="1"/>
        </w:rPr>
        <w:t>流胶病</w:t>
      </w:r>
    </w:p>
    <w:p>
      <w:pPr>
        <w:pStyle w:val="BodyText"/>
        <w:ind w:right="246" w:firstLine="570"/>
        <w:spacing w:before="130" w:line="262" w:lineRule="auto"/>
        <w:rPr>
          <w:sz w:val="29"/>
          <w:szCs w:val="29"/>
        </w:rPr>
      </w:pPr>
      <w:r>
        <w:rPr>
          <w:sz w:val="29"/>
          <w:szCs w:val="29"/>
          <w:spacing w:val="8"/>
        </w:rPr>
        <w:t>1)危害植物：桃、杏、李、大樱桃、香樟、苹果、榆树、桉树、杨树、雪</w:t>
      </w:r>
      <w:r>
        <w:rPr>
          <w:sz w:val="29"/>
          <w:szCs w:val="29"/>
          <w:spacing w:val="3"/>
        </w:rPr>
        <w:t xml:space="preserve"> </w:t>
      </w:r>
      <w:r>
        <w:rPr>
          <w:sz w:val="29"/>
          <w:szCs w:val="29"/>
          <w:spacing w:val="2"/>
        </w:rPr>
        <w:t>松、樱花、油松、白皮松、马尾松等。</w:t>
      </w:r>
    </w:p>
    <w:p>
      <w:pPr>
        <w:pStyle w:val="BodyText"/>
        <w:ind w:left="570"/>
        <w:spacing w:before="146" w:line="219" w:lineRule="auto"/>
        <w:rPr>
          <w:sz w:val="29"/>
          <w:szCs w:val="29"/>
        </w:rPr>
      </w:pPr>
      <w:r>
        <w:rPr>
          <w:sz w:val="29"/>
          <w:szCs w:val="29"/>
          <w:spacing w:val="-6"/>
        </w:rPr>
        <w:t>2)表现症状：一般从发病原因上看主要分为生理性流胶和侵染性流胶两种。</w:t>
      </w:r>
    </w:p>
    <w:p>
      <w:pPr>
        <w:pStyle w:val="BodyText"/>
        <w:ind w:right="212" w:firstLine="730"/>
        <w:spacing w:before="153" w:line="276" w:lineRule="auto"/>
        <w:rPr>
          <w:sz w:val="29"/>
          <w:szCs w:val="29"/>
        </w:rPr>
      </w:pPr>
      <w:r>
        <w:rPr>
          <w:sz w:val="29"/>
          <w:szCs w:val="29"/>
          <w:spacing w:val="1"/>
        </w:rPr>
        <w:t>(1)</w:t>
      </w:r>
      <w:r>
        <w:rPr>
          <w:sz w:val="29"/>
          <w:szCs w:val="29"/>
          <w:spacing w:val="108"/>
        </w:rPr>
        <w:t xml:space="preserve"> </w:t>
      </w:r>
      <w:r>
        <w:rPr>
          <w:sz w:val="29"/>
          <w:szCs w:val="29"/>
          <w:spacing w:val="1"/>
        </w:rPr>
        <w:t>生理性流胶：主要发生在主干和主枝上，雨后树胶与空气接触变成茶</w:t>
      </w:r>
      <w:r>
        <w:rPr>
          <w:sz w:val="29"/>
          <w:szCs w:val="29"/>
        </w:rPr>
        <w:t xml:space="preserve"> </w:t>
      </w:r>
      <w:r>
        <w:rPr>
          <w:sz w:val="29"/>
          <w:szCs w:val="29"/>
        </w:rPr>
        <w:t>褐色硬质琥珀状胶块，被腐生菌侵染后病部腐烂，</w:t>
      </w:r>
      <w:r>
        <w:rPr>
          <w:sz w:val="29"/>
          <w:szCs w:val="29"/>
          <w:spacing w:val="-1"/>
        </w:rPr>
        <w:t>致使树势越来越弱，严重者致</w:t>
      </w:r>
      <w:r>
        <w:rPr>
          <w:sz w:val="29"/>
          <w:szCs w:val="29"/>
        </w:rPr>
        <w:t xml:space="preserve"> </w:t>
      </w:r>
      <w:r>
        <w:rPr>
          <w:sz w:val="29"/>
          <w:szCs w:val="29"/>
          <w:spacing w:val="-12"/>
        </w:rPr>
        <w:t>死；</w:t>
      </w:r>
    </w:p>
    <w:p>
      <w:pPr>
        <w:pStyle w:val="BodyText"/>
        <w:ind w:right="206" w:firstLine="670"/>
        <w:spacing w:before="180" w:line="279" w:lineRule="auto"/>
        <w:rPr>
          <w:sz w:val="29"/>
          <w:szCs w:val="29"/>
        </w:rPr>
      </w:pPr>
      <w:r>
        <w:drawing>
          <wp:anchor distT="0" distB="0" distL="0" distR="0" simplePos="0" relativeHeight="251988992" behindDoc="0" locked="0" layoutInCell="1" allowOverlap="1">
            <wp:simplePos x="0" y="0"/>
            <wp:positionH relativeFrom="column">
              <wp:posOffset>133324</wp:posOffset>
            </wp:positionH>
            <wp:positionV relativeFrom="paragraph">
              <wp:posOffset>984228</wp:posOffset>
            </wp:positionV>
            <wp:extent cx="2984484" cy="2279667"/>
            <wp:effectExtent l="0" t="0" r="0" b="0"/>
            <wp:wrapNone/>
            <wp:docPr id="360" name="IM 360"/>
            <wp:cNvGraphicFramePr/>
            <a:graphic>
              <a:graphicData uri="http://schemas.openxmlformats.org/drawingml/2006/picture">
                <pic:pic>
                  <pic:nvPicPr>
                    <pic:cNvPr id="360" name="IM 360"/>
                    <pic:cNvPicPr/>
                  </pic:nvPicPr>
                  <pic:blipFill>
                    <a:blip r:embed="rId257"/>
                    <a:stretch>
                      <a:fillRect/>
                    </a:stretch>
                  </pic:blipFill>
                  <pic:spPr>
                    <a:xfrm rot="0">
                      <a:off x="0" y="0"/>
                      <a:ext cx="2984484" cy="2279667"/>
                    </a:xfrm>
                    <a:prstGeom prst="rect">
                      <a:avLst/>
                    </a:prstGeom>
                  </pic:spPr>
                </pic:pic>
              </a:graphicData>
            </a:graphic>
          </wp:anchor>
        </w:drawing>
      </w:r>
      <w:r>
        <w:rPr>
          <w:sz w:val="29"/>
          <w:szCs w:val="29"/>
          <w:spacing w:val="4"/>
        </w:rPr>
        <w:t>(2)</w:t>
      </w:r>
      <w:r>
        <w:rPr>
          <w:sz w:val="29"/>
          <w:szCs w:val="29"/>
          <w:spacing w:val="83"/>
        </w:rPr>
        <w:t xml:space="preserve"> </w:t>
      </w:r>
      <w:r>
        <w:rPr>
          <w:sz w:val="29"/>
          <w:szCs w:val="29"/>
          <w:spacing w:val="4"/>
        </w:rPr>
        <w:t>侵染性流胶：主要为害枝干，病菌侵染当年生枝条</w:t>
      </w:r>
      <w:r>
        <w:rPr>
          <w:sz w:val="29"/>
          <w:szCs w:val="29"/>
          <w:spacing w:val="3"/>
        </w:rPr>
        <w:t>，多从伤口和侧芽</w:t>
      </w:r>
      <w:r>
        <w:rPr>
          <w:sz w:val="29"/>
          <w:szCs w:val="29"/>
        </w:rPr>
        <w:t xml:space="preserve"> </w:t>
      </w:r>
      <w:r>
        <w:rPr>
          <w:sz w:val="29"/>
          <w:szCs w:val="29"/>
          <w:spacing w:val="-9"/>
        </w:rPr>
        <w:t>处入侵，出现以皮孔为中心的瘤状突起，当年不流胶，具有潜伏侵</w:t>
      </w:r>
      <w:r>
        <w:rPr>
          <w:sz w:val="29"/>
          <w:szCs w:val="29"/>
          <w:spacing w:val="-10"/>
        </w:rPr>
        <w:t>染特征，次年树</w:t>
      </w:r>
      <w:r>
        <w:rPr>
          <w:sz w:val="29"/>
          <w:szCs w:val="29"/>
        </w:rPr>
        <w:t xml:space="preserve"> </w:t>
      </w:r>
      <w:r>
        <w:rPr>
          <w:sz w:val="29"/>
          <w:szCs w:val="29"/>
          <w:spacing w:val="1"/>
        </w:rPr>
        <w:t>皮开裂溢出胶液，发病后期病部表面生出大量梭形或圆</w:t>
      </w:r>
      <w:r>
        <w:rPr>
          <w:sz w:val="29"/>
          <w:szCs w:val="29"/>
        </w:rPr>
        <w:t>形的小黑点；</w:t>
      </w:r>
    </w:p>
    <w:p>
      <w:pPr>
        <w:ind w:firstLine="5120"/>
        <w:spacing w:before="54" w:line="3600" w:lineRule="exact"/>
        <w:rPr/>
      </w:pPr>
      <w:r>
        <w:rPr>
          <w:position w:val="-72"/>
        </w:rPr>
        <w:drawing>
          <wp:inline distT="0" distB="0" distL="0" distR="0">
            <wp:extent cx="3181297" cy="2286036"/>
            <wp:effectExtent l="0" t="0" r="0" b="0"/>
            <wp:docPr id="362" name="IM 362"/>
            <wp:cNvGraphicFramePr/>
            <a:graphic>
              <a:graphicData uri="http://schemas.openxmlformats.org/drawingml/2006/picture">
                <pic:pic>
                  <pic:nvPicPr>
                    <pic:cNvPr id="362" name="IM 362"/>
                    <pic:cNvPicPr/>
                  </pic:nvPicPr>
                  <pic:blipFill>
                    <a:blip r:embed="rId258"/>
                    <a:stretch>
                      <a:fillRect/>
                    </a:stretch>
                  </pic:blipFill>
                  <pic:spPr>
                    <a:xfrm rot="0">
                      <a:off x="0" y="0"/>
                      <a:ext cx="3181297" cy="2286036"/>
                    </a:xfrm>
                    <a:prstGeom prst="rect">
                      <a:avLst/>
                    </a:prstGeom>
                  </pic:spPr>
                </pic:pic>
              </a:graphicData>
            </a:graphic>
          </wp:inline>
        </w:drawing>
      </w:r>
    </w:p>
    <w:p>
      <w:pPr>
        <w:pStyle w:val="BodyText"/>
        <w:ind w:left="3630"/>
        <w:spacing w:before="210" w:line="219" w:lineRule="auto"/>
        <w:rPr>
          <w:sz w:val="24"/>
          <w:szCs w:val="24"/>
        </w:rPr>
      </w:pPr>
      <w:r>
        <w:rPr>
          <w:sz w:val="24"/>
          <w:szCs w:val="24"/>
          <w:spacing w:val="5"/>
        </w:rPr>
        <w:t>图6-1-16流胶病表现症状</w:t>
      </w:r>
    </w:p>
    <w:p>
      <w:pPr>
        <w:pStyle w:val="BodyText"/>
        <w:ind w:left="570"/>
        <w:spacing w:before="157" w:line="219" w:lineRule="auto"/>
        <w:rPr>
          <w:sz w:val="29"/>
          <w:szCs w:val="29"/>
        </w:rPr>
      </w:pPr>
      <w:r>
        <w:rPr>
          <w:sz w:val="29"/>
          <w:szCs w:val="29"/>
          <w:spacing w:val="11"/>
        </w:rPr>
        <w:t>3)发生时间及规律：</w:t>
      </w:r>
    </w:p>
    <w:p>
      <w:pPr>
        <w:pStyle w:val="BodyText"/>
        <w:ind w:right="190" w:firstLine="730"/>
        <w:spacing w:before="146" w:line="281" w:lineRule="auto"/>
        <w:rPr>
          <w:sz w:val="29"/>
          <w:szCs w:val="29"/>
        </w:rPr>
      </w:pPr>
      <w:r>
        <w:rPr>
          <w:sz w:val="29"/>
          <w:szCs w:val="29"/>
          <w:spacing w:val="7"/>
        </w:rPr>
        <w:t>(1)生理性流胶病：主要是由于霜害、冻害、病虫害、雹害、水分过多或</w:t>
      </w:r>
      <w:r>
        <w:rPr>
          <w:sz w:val="29"/>
          <w:szCs w:val="29"/>
          <w:spacing w:val="16"/>
        </w:rPr>
        <w:t xml:space="preserve"> </w:t>
      </w:r>
      <w:r>
        <w:rPr>
          <w:sz w:val="29"/>
          <w:szCs w:val="29"/>
          <w:spacing w:val="1"/>
        </w:rPr>
        <w:t>不足、施肥不当、修剪过重、结果过多、土质粘重或</w:t>
      </w:r>
      <w:r>
        <w:rPr>
          <w:sz w:val="29"/>
          <w:szCs w:val="29"/>
        </w:rPr>
        <w:t>土壤酸度过高等原因引起， </w:t>
      </w:r>
      <w:r>
        <w:rPr>
          <w:sz w:val="29"/>
          <w:szCs w:val="29"/>
        </w:rPr>
        <w:t>雨季发病重，大龄树发病重，幼龄树发病轻；</w:t>
      </w:r>
    </w:p>
    <w:p>
      <w:pPr>
        <w:pStyle w:val="BodyText"/>
        <w:ind w:right="185" w:firstLine="730"/>
        <w:spacing w:before="155" w:line="279" w:lineRule="auto"/>
        <w:rPr>
          <w:sz w:val="29"/>
          <w:szCs w:val="29"/>
        </w:rPr>
      </w:pPr>
      <w:r>
        <w:rPr>
          <w:sz w:val="29"/>
          <w:szCs w:val="29"/>
          <w:spacing w:val="9"/>
        </w:rPr>
        <w:t>(2)侵染性流胶病菌：枝干内潜伏病菌的活动与温度有关，当气温在15℃</w:t>
      </w:r>
      <w:r>
        <w:rPr>
          <w:sz w:val="29"/>
          <w:szCs w:val="29"/>
          <w:spacing w:val="7"/>
        </w:rPr>
        <w:t xml:space="preserve"> </w:t>
      </w:r>
      <w:r>
        <w:rPr>
          <w:sz w:val="29"/>
          <w:szCs w:val="29"/>
          <w:spacing w:val="-8"/>
        </w:rPr>
        <w:t>左右时，病部即可渗出胶液，随着气温上升，树体的流胶点增多，病情加重；土壤</w:t>
      </w:r>
      <w:r>
        <w:rPr>
          <w:sz w:val="29"/>
          <w:szCs w:val="29"/>
        </w:rPr>
        <w:t xml:space="preserve"> </w:t>
      </w:r>
      <w:r>
        <w:rPr>
          <w:sz w:val="29"/>
          <w:szCs w:val="29"/>
          <w:spacing w:val="-5"/>
        </w:rPr>
        <w:t>粘重、酸性较大、排水不良易发病；侵染性流胶病1年有</w:t>
      </w:r>
      <w:r>
        <w:rPr>
          <w:sz w:val="29"/>
          <w:szCs w:val="29"/>
          <w:spacing w:val="-6"/>
        </w:rPr>
        <w:t>2次高峰期，5月上</w:t>
      </w:r>
    </w:p>
    <w:p>
      <w:pPr>
        <w:pStyle w:val="BodyText"/>
        <w:spacing w:before="146" w:line="219" w:lineRule="auto"/>
        <w:rPr>
          <w:sz w:val="29"/>
          <w:szCs w:val="29"/>
        </w:rPr>
      </w:pPr>
      <w:r>
        <w:rPr>
          <w:sz w:val="29"/>
          <w:szCs w:val="29"/>
          <w:spacing w:val="2"/>
        </w:rPr>
        <w:t>旬至6月上旬1次，8月下旬至9月上旬1次，这是</w:t>
      </w:r>
      <w:r>
        <w:rPr>
          <w:sz w:val="29"/>
          <w:szCs w:val="29"/>
          <w:spacing w:val="1"/>
        </w:rPr>
        <w:t>与生理性流胶的最大区别。</w:t>
      </w:r>
    </w:p>
    <w:p>
      <w:pPr>
        <w:pStyle w:val="BodyText"/>
        <w:ind w:left="570"/>
        <w:spacing w:before="167" w:line="220" w:lineRule="auto"/>
        <w:rPr>
          <w:sz w:val="29"/>
          <w:szCs w:val="29"/>
        </w:rPr>
      </w:pPr>
      <w:r>
        <w:rPr>
          <w:sz w:val="29"/>
          <w:szCs w:val="29"/>
          <w:spacing w:val="12"/>
        </w:rPr>
        <w:t>4)发生地区：全国可发生。</w:t>
      </w:r>
    </w:p>
    <w:p>
      <w:pPr>
        <w:pStyle w:val="BodyText"/>
        <w:ind w:left="570"/>
        <w:spacing w:before="135" w:line="220" w:lineRule="auto"/>
        <w:rPr>
          <w:sz w:val="29"/>
          <w:szCs w:val="29"/>
        </w:rPr>
      </w:pPr>
      <w:r>
        <w:rPr>
          <w:sz w:val="29"/>
          <w:szCs w:val="29"/>
          <w:spacing w:val="24"/>
        </w:rPr>
        <w:t>5)防治：</w:t>
      </w:r>
    </w:p>
    <w:p>
      <w:pPr>
        <w:pStyle w:val="BodyText"/>
        <w:ind w:firstLine="730"/>
        <w:spacing w:before="151" w:line="310" w:lineRule="auto"/>
        <w:rPr>
          <w:sz w:val="29"/>
          <w:szCs w:val="29"/>
        </w:rPr>
      </w:pPr>
      <w:r>
        <w:rPr>
          <w:sz w:val="29"/>
          <w:szCs w:val="29"/>
        </w:rPr>
        <w:t>(1)增强树势：对病树多施有机肥，适量增施磷、钾肥，中后期控制氮肥；  </w:t>
      </w:r>
      <w:r>
        <w:rPr>
          <w:sz w:val="29"/>
          <w:szCs w:val="29"/>
          <w:spacing w:val="-10"/>
        </w:rPr>
        <w:t>合理修剪，协调生长与结果的矛盾，适时夏剪，改善透风透光条件；雨季做好排水，</w:t>
      </w:r>
      <w:r>
        <w:rPr>
          <w:sz w:val="29"/>
          <w:szCs w:val="29"/>
          <w:spacing w:val="3"/>
        </w:rPr>
        <w:t xml:space="preserve"> </w:t>
      </w:r>
      <w:r>
        <w:rPr>
          <w:sz w:val="29"/>
          <w:szCs w:val="29"/>
          <w:spacing w:val="-12"/>
        </w:rPr>
        <w:t>降低湿度；防治好其它病虫，特别是桃树的枝干害虫，减少病虫伤口和机械伤口；</w:t>
      </w:r>
    </w:p>
    <w:p>
      <w:pPr>
        <w:pStyle w:val="BodyText"/>
        <w:ind w:left="730"/>
        <w:spacing w:before="1" w:line="219" w:lineRule="auto"/>
        <w:rPr>
          <w:sz w:val="29"/>
          <w:szCs w:val="29"/>
        </w:rPr>
      </w:pPr>
      <w:r>
        <w:rPr>
          <w:sz w:val="29"/>
          <w:szCs w:val="29"/>
          <w:spacing w:val="-7"/>
        </w:rPr>
        <w:t>(2</w:t>
      </w:r>
      <w:r>
        <w:rPr>
          <w:sz w:val="29"/>
          <w:szCs w:val="29"/>
          <w:spacing w:val="43"/>
        </w:rPr>
        <w:t xml:space="preserve">  </w:t>
      </w:r>
      <w:r>
        <w:rPr>
          <w:sz w:val="29"/>
          <w:szCs w:val="29"/>
          <w:spacing w:val="-7"/>
        </w:rPr>
        <w:t>药物防治：在最冷的12月份至1月份进行清园消毒，刮除流胶硬块及</w:t>
      </w:r>
    </w:p>
    <w:p>
      <w:pPr>
        <w:pStyle w:val="BodyText"/>
        <w:spacing w:before="134" w:line="219" w:lineRule="auto"/>
        <w:rPr>
          <w:sz w:val="29"/>
          <w:szCs w:val="29"/>
        </w:rPr>
      </w:pPr>
      <w:r>
        <w:rPr>
          <w:sz w:val="29"/>
          <w:szCs w:val="29"/>
          <w:spacing w:val="4"/>
        </w:rPr>
        <w:t>其下部的腐烂皮层及木质，集中起来烧毁，</w:t>
      </w:r>
      <w:r>
        <w:rPr>
          <w:sz w:val="29"/>
          <w:szCs w:val="29"/>
          <w:spacing w:val="3"/>
        </w:rPr>
        <w:t>然后喷中药杀菌剂靓果安400倍液+</w:t>
      </w:r>
    </w:p>
    <w:p>
      <w:pPr>
        <w:spacing w:line="219" w:lineRule="auto"/>
        <w:sectPr>
          <w:footerReference w:type="default" r:id="rId256"/>
          <w:pgSz w:w="14490" w:h="20470"/>
          <w:pgMar w:top="1739" w:right="1975" w:bottom="1413" w:left="2150" w:header="0" w:footer="1215" w:gutter="0"/>
        </w:sectPr>
        <w:rPr>
          <w:sz w:val="29"/>
          <w:szCs w:val="29"/>
        </w:rPr>
      </w:pPr>
    </w:p>
    <w:p>
      <w:pPr>
        <w:pStyle w:val="BodyText"/>
        <w:ind w:right="48"/>
        <w:spacing w:before="123" w:line="311" w:lineRule="auto"/>
        <w:jc w:val="both"/>
        <w:rPr>
          <w:sz w:val="29"/>
          <w:szCs w:val="29"/>
        </w:rPr>
      </w:pPr>
      <w:r>
        <w:rPr>
          <w:sz w:val="29"/>
          <w:szCs w:val="29"/>
        </w:rPr>
        <w:t>有机硅，消灭越冬菌源、虫卵；使用溃腐灵原液或</w:t>
      </w:r>
      <w:r>
        <w:rPr>
          <w:sz w:val="29"/>
          <w:szCs w:val="29"/>
          <w:spacing w:val="-1"/>
        </w:rPr>
        <w:t>5倍液+渗透剂如有机硅等，对</w:t>
      </w:r>
      <w:r>
        <w:rPr>
          <w:sz w:val="29"/>
          <w:szCs w:val="29"/>
        </w:rPr>
        <w:t xml:space="preserve"> </w:t>
      </w:r>
      <w:r>
        <w:rPr>
          <w:sz w:val="29"/>
          <w:szCs w:val="29"/>
          <w:spacing w:val="-4"/>
        </w:rPr>
        <w:t>清理后的患病部位进行涂抹，一般涂抹2次，间隔3—5天，必要时，在流胶高峰期</w:t>
      </w:r>
      <w:r>
        <w:rPr>
          <w:sz w:val="29"/>
          <w:szCs w:val="29"/>
          <w:spacing w:val="10"/>
        </w:rPr>
        <w:t xml:space="preserve"> </w:t>
      </w:r>
      <w:r>
        <w:rPr>
          <w:sz w:val="29"/>
          <w:szCs w:val="29"/>
          <w:spacing w:val="-4"/>
        </w:rPr>
        <w:t>再涂抹一次；生长季适时喷药，3月下旬至4月中旬喷靓果安600倍液进行预防，在</w:t>
      </w:r>
      <w:r>
        <w:rPr>
          <w:sz w:val="29"/>
          <w:szCs w:val="29"/>
          <w:spacing w:val="11"/>
        </w:rPr>
        <w:t xml:space="preserve"> </w:t>
      </w:r>
      <w:r>
        <w:rPr>
          <w:sz w:val="29"/>
          <w:szCs w:val="29"/>
          <w:spacing w:val="-4"/>
        </w:rPr>
        <w:t>侵染性流胶病菌高峰期前夕，每隔7—10天喷1次靓果安600—800倍液等，连喷2—</w:t>
      </w:r>
      <w:r>
        <w:rPr>
          <w:sz w:val="29"/>
          <w:szCs w:val="29"/>
          <w:spacing w:val="15"/>
        </w:rPr>
        <w:t xml:space="preserve"> </w:t>
      </w:r>
      <w:r>
        <w:rPr>
          <w:sz w:val="29"/>
          <w:szCs w:val="29"/>
        </w:rPr>
        <w:t>3次，喷药次数根据病情而定。</w:t>
      </w:r>
    </w:p>
    <w:p>
      <w:pPr>
        <w:pStyle w:val="BodyText"/>
        <w:spacing w:before="66" w:line="222" w:lineRule="auto"/>
        <w:rPr>
          <w:rFonts w:ascii="SimHei" w:hAnsi="SimHei" w:eastAsia="SimHei" w:cs="SimHei"/>
          <w:sz w:val="29"/>
          <w:szCs w:val="29"/>
        </w:rPr>
      </w:pPr>
      <w:r>
        <w:rPr>
          <w:rFonts w:ascii="Arial" w:hAnsi="Arial" w:eastAsia="Arial" w:cs="Arial"/>
          <w:sz w:val="29"/>
          <w:szCs w:val="29"/>
          <w:spacing w:val="-2"/>
        </w:rPr>
        <w:t>14</w:t>
      </w:r>
      <w:r>
        <w:rPr>
          <w:sz w:val="29"/>
          <w:szCs w:val="29"/>
          <w:spacing w:val="-2"/>
        </w:rPr>
        <w:t>、</w:t>
      </w:r>
      <w:r>
        <w:rPr>
          <w:rFonts w:ascii="SimHei" w:hAnsi="SimHei" w:eastAsia="SimHei" w:cs="SimHei"/>
          <w:sz w:val="29"/>
          <w:szCs w:val="29"/>
          <w:spacing w:val="-2"/>
        </w:rPr>
        <w:t>棕榈科植物心腐病</w:t>
      </w:r>
    </w:p>
    <w:p>
      <w:pPr>
        <w:pStyle w:val="BodyText"/>
        <w:ind w:right="85" w:firstLine="590"/>
        <w:spacing w:before="99" w:line="266" w:lineRule="auto"/>
        <w:rPr>
          <w:sz w:val="29"/>
          <w:szCs w:val="29"/>
        </w:rPr>
      </w:pPr>
      <w:r>
        <w:rPr>
          <w:sz w:val="29"/>
          <w:szCs w:val="29"/>
          <w:spacing w:val="8"/>
        </w:rPr>
        <w:t>1)危害植物：三角椰子、酒瓶椰子、红棕榈</w:t>
      </w:r>
      <w:r>
        <w:rPr>
          <w:sz w:val="29"/>
          <w:szCs w:val="29"/>
          <w:spacing w:val="7"/>
        </w:rPr>
        <w:t>、散尾葵、鱼尾葵、椰子、狐</w:t>
      </w:r>
      <w:r>
        <w:rPr>
          <w:sz w:val="29"/>
          <w:szCs w:val="29"/>
        </w:rPr>
        <w:t xml:space="preserve"> </w:t>
      </w:r>
      <w:r>
        <w:rPr>
          <w:sz w:val="29"/>
          <w:szCs w:val="29"/>
          <w:spacing w:val="1"/>
        </w:rPr>
        <w:t>尾梆子等多种棕榈植物。</w:t>
      </w:r>
    </w:p>
    <w:p>
      <w:pPr>
        <w:pStyle w:val="BodyText"/>
        <w:ind w:right="55" w:firstLine="509"/>
        <w:spacing w:before="127" w:line="293" w:lineRule="auto"/>
        <w:rPr>
          <w:sz w:val="29"/>
          <w:szCs w:val="29"/>
        </w:rPr>
      </w:pPr>
      <w:r>
        <w:drawing>
          <wp:anchor distT="0" distB="0" distL="0" distR="0" simplePos="0" relativeHeight="251994112" behindDoc="0" locked="0" layoutInCell="1" allowOverlap="1">
            <wp:simplePos x="0" y="0"/>
            <wp:positionH relativeFrom="column">
              <wp:posOffset>50790</wp:posOffset>
            </wp:positionH>
            <wp:positionV relativeFrom="paragraph">
              <wp:posOffset>1305243</wp:posOffset>
            </wp:positionV>
            <wp:extent cx="3136855" cy="2070132"/>
            <wp:effectExtent l="0" t="0" r="0" b="0"/>
            <wp:wrapNone/>
            <wp:docPr id="364" name="IM 364"/>
            <wp:cNvGraphicFramePr/>
            <a:graphic>
              <a:graphicData uri="http://schemas.openxmlformats.org/drawingml/2006/picture">
                <pic:pic>
                  <pic:nvPicPr>
                    <pic:cNvPr id="364" name="IM 364"/>
                    <pic:cNvPicPr/>
                  </pic:nvPicPr>
                  <pic:blipFill>
                    <a:blip r:embed="rId260"/>
                    <a:stretch>
                      <a:fillRect/>
                    </a:stretch>
                  </pic:blipFill>
                  <pic:spPr>
                    <a:xfrm rot="0">
                      <a:off x="0" y="0"/>
                      <a:ext cx="3136855" cy="2070132"/>
                    </a:xfrm>
                    <a:prstGeom prst="rect">
                      <a:avLst/>
                    </a:prstGeom>
                  </pic:spPr>
                </pic:pic>
              </a:graphicData>
            </a:graphic>
          </wp:anchor>
        </w:drawing>
      </w:r>
      <w:r>
        <w:rPr>
          <w:sz w:val="29"/>
          <w:szCs w:val="29"/>
          <w:spacing w:val="11"/>
        </w:rPr>
        <w:t>2)表现症状：植株发病初期，在树冠中央最嫩而又未展开的小叶子先</w:t>
      </w:r>
      <w:r>
        <w:rPr>
          <w:sz w:val="29"/>
          <w:szCs w:val="29"/>
          <w:spacing w:val="10"/>
        </w:rPr>
        <w:t>行枯</w:t>
      </w:r>
      <w:r>
        <w:rPr>
          <w:sz w:val="29"/>
          <w:szCs w:val="29"/>
        </w:rPr>
        <w:t xml:space="preserve"> </w:t>
      </w:r>
      <w:r>
        <w:rPr>
          <w:sz w:val="29"/>
          <w:szCs w:val="29"/>
          <w:spacing w:val="-8"/>
        </w:rPr>
        <w:t>萎，呈淡灰褐色，病菌从嫩叶基部扩展到芽的幼嫩组织，使其枯死腐烂；轻病株可</w:t>
      </w:r>
      <w:r>
        <w:rPr>
          <w:sz w:val="29"/>
          <w:szCs w:val="29"/>
        </w:rPr>
        <w:t xml:space="preserve"> </w:t>
      </w:r>
      <w:r>
        <w:rPr>
          <w:sz w:val="29"/>
          <w:szCs w:val="29"/>
        </w:rPr>
        <w:t>带菌越冬；秋季剥棕太迟，或春季剥棕太早，容易遭受冻害而发病；平地和山上</w:t>
      </w:r>
      <w:r>
        <w:rPr>
          <w:sz w:val="29"/>
          <w:szCs w:val="29"/>
          <w:spacing w:val="1"/>
        </w:rPr>
        <w:t xml:space="preserve"> </w:t>
      </w:r>
      <w:r>
        <w:rPr>
          <w:sz w:val="29"/>
          <w:szCs w:val="29"/>
          <w:spacing w:val="-2"/>
        </w:rPr>
        <w:t>都会严重发病。</w:t>
      </w:r>
    </w:p>
    <w:p>
      <w:pPr>
        <w:ind w:firstLine="5130"/>
        <w:spacing w:before="95" w:line="3250" w:lineRule="exact"/>
        <w:rPr/>
      </w:pPr>
      <w:r>
        <w:rPr>
          <w:position w:val="-65"/>
        </w:rPr>
        <w:drawing>
          <wp:inline distT="0" distB="0" distL="0" distR="0">
            <wp:extent cx="3168599" cy="2063763"/>
            <wp:effectExtent l="0" t="0" r="0" b="0"/>
            <wp:docPr id="366" name="IM 366"/>
            <wp:cNvGraphicFramePr/>
            <a:graphic>
              <a:graphicData uri="http://schemas.openxmlformats.org/drawingml/2006/picture">
                <pic:pic>
                  <pic:nvPicPr>
                    <pic:cNvPr id="366" name="IM 366"/>
                    <pic:cNvPicPr/>
                  </pic:nvPicPr>
                  <pic:blipFill>
                    <a:blip r:embed="rId261"/>
                    <a:stretch>
                      <a:fillRect/>
                    </a:stretch>
                  </pic:blipFill>
                  <pic:spPr>
                    <a:xfrm rot="0">
                      <a:off x="0" y="0"/>
                      <a:ext cx="3168599" cy="2063763"/>
                    </a:xfrm>
                    <a:prstGeom prst="rect">
                      <a:avLst/>
                    </a:prstGeom>
                  </pic:spPr>
                </pic:pic>
              </a:graphicData>
            </a:graphic>
          </wp:inline>
        </w:drawing>
      </w:r>
    </w:p>
    <w:p>
      <w:pPr>
        <w:pStyle w:val="BodyText"/>
        <w:ind w:left="3630"/>
        <w:spacing w:before="110" w:line="219" w:lineRule="auto"/>
        <w:rPr>
          <w:sz w:val="24"/>
          <w:szCs w:val="24"/>
        </w:rPr>
      </w:pPr>
      <w:r>
        <w:rPr>
          <w:sz w:val="24"/>
          <w:szCs w:val="24"/>
          <w:spacing w:val="6"/>
        </w:rPr>
        <w:t>图6-1-17心腐病表现症状</w:t>
      </w:r>
    </w:p>
    <w:p>
      <w:pPr>
        <w:pStyle w:val="BodyText"/>
        <w:ind w:right="50" w:firstLine="590"/>
        <w:spacing w:before="157" w:line="281" w:lineRule="auto"/>
        <w:rPr>
          <w:sz w:val="29"/>
          <w:szCs w:val="29"/>
        </w:rPr>
      </w:pPr>
      <w:r>
        <w:rPr>
          <w:sz w:val="29"/>
          <w:szCs w:val="29"/>
          <w:spacing w:val="8"/>
        </w:rPr>
        <w:t>3)发生时间：幼树和大树都能感病，从5月中旬开始发生，6月渐多，7—8</w:t>
      </w:r>
      <w:r>
        <w:rPr>
          <w:sz w:val="29"/>
          <w:szCs w:val="29"/>
          <w:spacing w:val="5"/>
        </w:rPr>
        <w:t xml:space="preserve"> </w:t>
      </w:r>
      <w:r>
        <w:rPr>
          <w:sz w:val="29"/>
          <w:szCs w:val="29"/>
          <w:spacing w:val="-1"/>
        </w:rPr>
        <w:t>月为发病盛期，7—9月为病树死亡高峰，10月以后很少有新病株出现，病势发展</w:t>
      </w:r>
      <w:r>
        <w:rPr>
          <w:sz w:val="29"/>
          <w:szCs w:val="29"/>
          <w:spacing w:val="17"/>
        </w:rPr>
        <w:t xml:space="preserve"> </w:t>
      </w:r>
      <w:r>
        <w:rPr>
          <w:sz w:val="29"/>
          <w:szCs w:val="29"/>
          <w:spacing w:val="-2"/>
        </w:rPr>
        <w:t>趋缓。</w:t>
      </w:r>
    </w:p>
    <w:p>
      <w:pPr>
        <w:pStyle w:val="BodyText"/>
        <w:ind w:left="590"/>
        <w:spacing w:before="156" w:line="219" w:lineRule="auto"/>
        <w:rPr>
          <w:sz w:val="29"/>
          <w:szCs w:val="29"/>
        </w:rPr>
      </w:pPr>
      <w:r>
        <w:rPr>
          <w:sz w:val="29"/>
          <w:szCs w:val="29"/>
          <w:spacing w:val="9"/>
        </w:rPr>
        <w:t>4)发生地区：纬度较低的温带和亚热带发生。</w:t>
      </w:r>
    </w:p>
    <w:p>
      <w:pPr>
        <w:pStyle w:val="BodyText"/>
        <w:ind w:firstLine="590"/>
        <w:spacing w:before="131" w:line="299" w:lineRule="auto"/>
        <w:tabs>
          <w:tab w:val="left" w:pos="178"/>
        </w:tabs>
        <w:rPr>
          <w:sz w:val="29"/>
          <w:szCs w:val="29"/>
        </w:rPr>
      </w:pPr>
      <w:r>
        <w:rPr>
          <w:sz w:val="29"/>
          <w:szCs w:val="29"/>
          <w:spacing w:val="7"/>
        </w:rPr>
        <w:t>5)防治：若生长点彻底死亡，铲除病株并将其焚烧或深埋，对周围的环境</w:t>
      </w:r>
      <w:r>
        <w:rPr>
          <w:sz w:val="29"/>
          <w:szCs w:val="29"/>
        </w:rPr>
        <w:t xml:space="preserve"> </w:t>
      </w:r>
      <w:r>
        <w:rPr>
          <w:sz w:val="29"/>
          <w:szCs w:val="29"/>
        </w:rPr>
        <w:tab/>
      </w:r>
      <w:r>
        <w:rPr>
          <w:sz w:val="29"/>
          <w:szCs w:val="29"/>
          <w:spacing w:val="8"/>
        </w:rPr>
        <w:t>(含植株)喷洒1%波尔多液进行预防、保护；每年3—6月每1—2周喷1次乙磷铝 </w:t>
      </w:r>
      <w:r>
        <w:rPr>
          <w:sz w:val="29"/>
          <w:szCs w:val="29"/>
          <w:spacing w:val="1"/>
        </w:rPr>
        <w:t>500倍或“国光英纳”400倍等进行预防，</w:t>
      </w:r>
      <w:r>
        <w:rPr>
          <w:sz w:val="29"/>
          <w:szCs w:val="29"/>
        </w:rPr>
        <w:t>并加强肥水管理，控制水分，不偏施氮 </w:t>
      </w:r>
      <w:r>
        <w:rPr>
          <w:sz w:val="29"/>
          <w:szCs w:val="29"/>
          <w:spacing w:val="-8"/>
        </w:rPr>
        <w:t>肥，防介壳虫危害；对发病较轻的，可人工刮除植株心部腐烂部位，再施用对症药</w:t>
      </w:r>
      <w:r>
        <w:rPr>
          <w:sz w:val="29"/>
          <w:szCs w:val="29"/>
        </w:rPr>
        <w:t xml:space="preserve"> </w:t>
      </w:r>
      <w:r>
        <w:rPr>
          <w:sz w:val="29"/>
          <w:szCs w:val="29"/>
          <w:spacing w:val="-3"/>
        </w:rPr>
        <w:t>物：真菌性的用“国光三治”防治；细菌性</w:t>
      </w:r>
      <w:r>
        <w:rPr>
          <w:sz w:val="29"/>
          <w:szCs w:val="29"/>
          <w:spacing w:val="-4"/>
        </w:rPr>
        <w:t>的，发病植株切除腐烂部位后用</w:t>
      </w:r>
    </w:p>
    <w:p>
      <w:pPr>
        <w:pStyle w:val="BodyText"/>
        <w:spacing w:before="123" w:line="212" w:lineRule="auto"/>
        <w:rPr>
          <w:sz w:val="29"/>
          <w:szCs w:val="29"/>
        </w:rPr>
      </w:pPr>
      <w:r>
        <w:rPr>
          <w:sz w:val="29"/>
          <w:szCs w:val="29"/>
          <w:spacing w:val="2"/>
        </w:rPr>
        <w:t>500—2000</w:t>
      </w:r>
      <w:r>
        <w:rPr>
          <w:rFonts w:ascii="Times New Roman" w:hAnsi="Times New Roman" w:eastAsia="Times New Roman" w:cs="Times New Roman"/>
          <w:sz w:val="29"/>
          <w:szCs w:val="29"/>
        </w:rPr>
        <w:t>mg</w:t>
      </w:r>
      <w:r>
        <w:rPr>
          <w:rFonts w:ascii="Times New Roman" w:hAnsi="Times New Roman" w:eastAsia="Times New Roman" w:cs="Times New Roman"/>
          <w:sz w:val="29"/>
          <w:szCs w:val="29"/>
          <w:spacing w:val="2"/>
        </w:rPr>
        <w:t>/</w:t>
      </w:r>
      <w:r>
        <w:rPr>
          <w:rFonts w:ascii="Times New Roman" w:hAnsi="Times New Roman" w:eastAsia="Times New Roman" w:cs="Times New Roman"/>
          <w:sz w:val="29"/>
          <w:szCs w:val="29"/>
        </w:rPr>
        <w:t>kg</w:t>
      </w:r>
      <w:r>
        <w:rPr>
          <w:sz w:val="29"/>
          <w:szCs w:val="29"/>
          <w:spacing w:val="2"/>
        </w:rPr>
        <w:t>链霉素或用500—1000</w:t>
      </w:r>
      <w:r>
        <w:rPr>
          <w:rFonts w:ascii="Times New Roman" w:hAnsi="Times New Roman" w:eastAsia="Times New Roman" w:cs="Times New Roman"/>
          <w:sz w:val="29"/>
          <w:szCs w:val="29"/>
        </w:rPr>
        <w:t>mg</w:t>
      </w:r>
      <w:r>
        <w:rPr>
          <w:rFonts w:ascii="Times New Roman" w:hAnsi="Times New Roman" w:eastAsia="Times New Roman" w:cs="Times New Roman"/>
          <w:sz w:val="29"/>
          <w:szCs w:val="29"/>
          <w:spacing w:val="2"/>
        </w:rPr>
        <w:t>/</w:t>
      </w:r>
      <w:r>
        <w:rPr>
          <w:rFonts w:ascii="Times New Roman" w:hAnsi="Times New Roman" w:eastAsia="Times New Roman" w:cs="Times New Roman"/>
          <w:sz w:val="29"/>
          <w:szCs w:val="29"/>
        </w:rPr>
        <w:t>kg</w:t>
      </w:r>
      <w:r>
        <w:rPr>
          <w:sz w:val="29"/>
          <w:szCs w:val="29"/>
          <w:spacing w:val="2"/>
        </w:rPr>
        <w:t>土霉素涂抹伤口。</w:t>
      </w:r>
    </w:p>
    <w:p>
      <w:pPr>
        <w:pStyle w:val="BodyText"/>
        <w:spacing w:before="88" w:line="395" w:lineRule="exact"/>
        <w:rPr>
          <w:rFonts w:ascii="SimHei" w:hAnsi="SimHei" w:eastAsia="SimHei" w:cs="SimHei"/>
          <w:sz w:val="29"/>
          <w:szCs w:val="29"/>
        </w:rPr>
      </w:pPr>
      <w:r>
        <w:rPr>
          <w:rFonts w:ascii="Arial" w:hAnsi="Arial" w:eastAsia="Arial" w:cs="Arial"/>
          <w:sz w:val="29"/>
          <w:szCs w:val="29"/>
          <w:spacing w:val="-3"/>
          <w:position w:val="1"/>
        </w:rPr>
        <w:t>15</w:t>
      </w:r>
      <w:r>
        <w:rPr>
          <w:sz w:val="29"/>
          <w:szCs w:val="29"/>
          <w:spacing w:val="-3"/>
          <w:position w:val="1"/>
        </w:rPr>
        <w:t>、</w:t>
      </w:r>
      <w:r>
        <w:rPr>
          <w:rFonts w:ascii="SimHei" w:hAnsi="SimHei" w:eastAsia="SimHei" w:cs="SimHei"/>
          <w:sz w:val="29"/>
          <w:szCs w:val="29"/>
          <w:spacing w:val="-3"/>
          <w:position w:val="1"/>
        </w:rPr>
        <w:t>枯萎病</w:t>
      </w:r>
    </w:p>
    <w:p>
      <w:pPr>
        <w:pStyle w:val="BodyText"/>
        <w:ind w:right="86" w:firstLine="590"/>
        <w:spacing w:before="136" w:line="266" w:lineRule="auto"/>
        <w:rPr>
          <w:sz w:val="29"/>
          <w:szCs w:val="29"/>
        </w:rPr>
      </w:pPr>
      <w:r>
        <w:rPr>
          <w:sz w:val="29"/>
          <w:szCs w:val="29"/>
          <w:spacing w:val="8"/>
        </w:rPr>
        <w:t>1)危害植物：紫荆、合欢、毛竹、红花银</w:t>
      </w:r>
      <w:r>
        <w:rPr>
          <w:sz w:val="29"/>
          <w:szCs w:val="29"/>
          <w:spacing w:val="7"/>
        </w:rPr>
        <w:t>桦、铁线莲、银叶金合欢、湿地</w:t>
      </w:r>
      <w:r>
        <w:rPr>
          <w:sz w:val="29"/>
          <w:szCs w:val="29"/>
        </w:rPr>
        <w:t xml:space="preserve"> </w:t>
      </w:r>
      <w:r>
        <w:rPr>
          <w:sz w:val="29"/>
          <w:szCs w:val="29"/>
        </w:rPr>
        <w:t>松、菊花、石竹、菖蒲等。</w:t>
      </w:r>
    </w:p>
    <w:p>
      <w:pPr>
        <w:pStyle w:val="BodyText"/>
        <w:ind w:right="86" w:firstLine="590"/>
        <w:spacing w:before="133" w:line="272" w:lineRule="auto"/>
        <w:rPr>
          <w:sz w:val="29"/>
          <w:szCs w:val="29"/>
        </w:rPr>
      </w:pPr>
      <w:r>
        <w:rPr>
          <w:sz w:val="29"/>
          <w:szCs w:val="29"/>
          <w:spacing w:val="7"/>
        </w:rPr>
        <w:t>2)表现症状：最初1—2枝或几个枝表现出来叶片发黄长势不良，树皮出现</w:t>
      </w:r>
      <w:r>
        <w:rPr>
          <w:sz w:val="29"/>
          <w:szCs w:val="29"/>
          <w:spacing w:val="12"/>
        </w:rPr>
        <w:t xml:space="preserve"> </w:t>
      </w:r>
      <w:r>
        <w:rPr>
          <w:sz w:val="29"/>
          <w:szCs w:val="29"/>
          <w:spacing w:val="-11"/>
        </w:rPr>
        <w:t>腐烂，下压有水流出来，有臭味，个别从带病枝条基部发出不定芽形成新枝又会</w:t>
      </w:r>
    </w:p>
    <w:p>
      <w:pPr>
        <w:spacing w:line="272" w:lineRule="auto"/>
        <w:sectPr>
          <w:footerReference w:type="default" r:id="rId259"/>
          <w:pgSz w:w="14490" w:h="20470"/>
          <w:pgMar w:top="1739" w:right="2132" w:bottom="1434" w:left="2150" w:header="0" w:footer="1221" w:gutter="0"/>
        </w:sectPr>
        <w:rPr>
          <w:sz w:val="29"/>
          <w:szCs w:val="29"/>
        </w:rPr>
      </w:pPr>
    </w:p>
    <w:p>
      <w:pPr>
        <w:pStyle w:val="BodyText"/>
        <w:ind w:right="53"/>
        <w:spacing w:before="119" w:line="274" w:lineRule="auto"/>
        <w:rPr>
          <w:sz w:val="29"/>
          <w:szCs w:val="29"/>
        </w:rPr>
      </w:pPr>
      <w:r>
        <w:rPr>
          <w:sz w:val="29"/>
          <w:szCs w:val="29"/>
          <w:spacing w:val="-9"/>
        </w:rPr>
        <w:t>受病菌感染枯死。在树干、枝横截面上可出现一整圈变色环，树根部断面</w:t>
      </w:r>
      <w:r>
        <w:rPr>
          <w:sz w:val="29"/>
          <w:szCs w:val="29"/>
          <w:spacing w:val="-10"/>
        </w:rPr>
        <w:t>呈褐色或</w:t>
      </w:r>
      <w:r>
        <w:rPr>
          <w:sz w:val="29"/>
          <w:szCs w:val="29"/>
        </w:rPr>
        <w:t xml:space="preserve"> </w:t>
      </w:r>
      <w:r>
        <w:rPr>
          <w:sz w:val="29"/>
          <w:szCs w:val="29"/>
        </w:rPr>
        <w:t>黑褐色。发病严重时相邻树也会很快感染，植株整株死亡。</w:t>
      </w:r>
    </w:p>
    <w:p>
      <w:pPr>
        <w:ind w:firstLine="239"/>
        <w:spacing w:line="3749" w:lineRule="exact"/>
        <w:rPr/>
      </w:pPr>
      <w:r>
        <w:drawing>
          <wp:anchor distT="0" distB="0" distL="0" distR="0" simplePos="0" relativeHeight="251999232" behindDoc="0" locked="0" layoutInCell="1" allowOverlap="1">
            <wp:simplePos x="0" y="0"/>
            <wp:positionH relativeFrom="column">
              <wp:posOffset>3441689</wp:posOffset>
            </wp:positionH>
            <wp:positionV relativeFrom="paragraph">
              <wp:posOffset>0</wp:posOffset>
            </wp:positionV>
            <wp:extent cx="2851160" cy="2381185"/>
            <wp:effectExtent l="0" t="0" r="0" b="0"/>
            <wp:wrapNone/>
            <wp:docPr id="368" name="IM 368"/>
            <wp:cNvGraphicFramePr/>
            <a:graphic>
              <a:graphicData uri="http://schemas.openxmlformats.org/drawingml/2006/picture">
                <pic:pic>
                  <pic:nvPicPr>
                    <pic:cNvPr id="368" name="IM 368"/>
                    <pic:cNvPicPr/>
                  </pic:nvPicPr>
                  <pic:blipFill>
                    <a:blip r:embed="rId263"/>
                    <a:stretch>
                      <a:fillRect/>
                    </a:stretch>
                  </pic:blipFill>
                  <pic:spPr>
                    <a:xfrm rot="0">
                      <a:off x="0" y="0"/>
                      <a:ext cx="2851160" cy="2381185"/>
                    </a:xfrm>
                    <a:prstGeom prst="rect">
                      <a:avLst/>
                    </a:prstGeom>
                  </pic:spPr>
                </pic:pic>
              </a:graphicData>
            </a:graphic>
          </wp:anchor>
        </w:drawing>
      </w:r>
      <w:r>
        <w:rPr>
          <w:position w:val="-74"/>
        </w:rPr>
        <w:drawing>
          <wp:inline distT="0" distB="0" distL="0" distR="0">
            <wp:extent cx="3162343" cy="2381185"/>
            <wp:effectExtent l="0" t="0" r="0" b="0"/>
            <wp:docPr id="370" name="IM 370"/>
            <wp:cNvGraphicFramePr/>
            <a:graphic>
              <a:graphicData uri="http://schemas.openxmlformats.org/drawingml/2006/picture">
                <pic:pic>
                  <pic:nvPicPr>
                    <pic:cNvPr id="370" name="IM 370"/>
                    <pic:cNvPicPr/>
                  </pic:nvPicPr>
                  <pic:blipFill>
                    <a:blip r:embed="rId264"/>
                    <a:stretch>
                      <a:fillRect/>
                    </a:stretch>
                  </pic:blipFill>
                  <pic:spPr>
                    <a:xfrm rot="0">
                      <a:off x="0" y="0"/>
                      <a:ext cx="3162343" cy="2381185"/>
                    </a:xfrm>
                    <a:prstGeom prst="rect">
                      <a:avLst/>
                    </a:prstGeom>
                  </pic:spPr>
                </pic:pic>
              </a:graphicData>
            </a:graphic>
          </wp:inline>
        </w:drawing>
      </w:r>
    </w:p>
    <w:p>
      <w:pPr>
        <w:pStyle w:val="BodyText"/>
        <w:ind w:left="3630"/>
        <w:spacing w:before="150" w:line="219" w:lineRule="auto"/>
        <w:rPr>
          <w:sz w:val="24"/>
          <w:szCs w:val="24"/>
        </w:rPr>
      </w:pPr>
      <w:r>
        <w:rPr>
          <w:sz w:val="24"/>
          <w:szCs w:val="24"/>
          <w:spacing w:val="5"/>
        </w:rPr>
        <w:t>图6-1-18枯萎病表现症状</w:t>
      </w:r>
    </w:p>
    <w:p>
      <w:pPr>
        <w:pStyle w:val="BodyText"/>
        <w:ind w:right="101" w:firstLine="570"/>
        <w:spacing w:before="166" w:line="265" w:lineRule="auto"/>
        <w:rPr>
          <w:sz w:val="29"/>
          <w:szCs w:val="29"/>
        </w:rPr>
      </w:pPr>
      <w:r>
        <w:rPr>
          <w:sz w:val="29"/>
          <w:szCs w:val="29"/>
          <w:spacing w:val="6"/>
        </w:rPr>
        <w:t>3)发生规律：病害在整个生长季节都可发生，6—8月为发病盛期，山地、</w:t>
      </w:r>
      <w:r>
        <w:rPr>
          <w:sz w:val="29"/>
          <w:szCs w:val="29"/>
          <w:spacing w:val="9"/>
        </w:rPr>
        <w:t xml:space="preserve"> </w:t>
      </w:r>
      <w:r>
        <w:rPr>
          <w:sz w:val="29"/>
          <w:szCs w:val="29"/>
          <w:spacing w:val="1"/>
        </w:rPr>
        <w:t>高坡等比较干旱的地方发病率明显高。</w:t>
      </w:r>
    </w:p>
    <w:p>
      <w:pPr>
        <w:pStyle w:val="BodyText"/>
        <w:ind w:left="570"/>
        <w:spacing w:before="166" w:line="219" w:lineRule="auto"/>
        <w:rPr>
          <w:sz w:val="29"/>
          <w:szCs w:val="29"/>
        </w:rPr>
      </w:pPr>
      <w:r>
        <w:rPr>
          <w:sz w:val="29"/>
          <w:szCs w:val="29"/>
          <w:spacing w:val="1"/>
        </w:rPr>
        <w:t>4)防治方法：药剂防治参见《各地区农药肥料使用指导》。</w:t>
      </w:r>
    </w:p>
    <w:p>
      <w:pPr>
        <w:pStyle w:val="BodyText"/>
        <w:spacing w:before="45" w:line="395" w:lineRule="exact"/>
        <w:rPr>
          <w:rFonts w:ascii="SimHei" w:hAnsi="SimHei" w:eastAsia="SimHei" w:cs="SimHei"/>
          <w:sz w:val="29"/>
          <w:szCs w:val="29"/>
        </w:rPr>
      </w:pPr>
      <w:r>
        <w:rPr>
          <w:rFonts w:ascii="Arial" w:hAnsi="Arial" w:eastAsia="Arial" w:cs="Arial"/>
          <w:sz w:val="29"/>
          <w:szCs w:val="29"/>
          <w:position w:val="1"/>
        </w:rPr>
        <w:t>16</w:t>
      </w:r>
      <w:r>
        <w:rPr>
          <w:sz w:val="29"/>
          <w:szCs w:val="29"/>
          <w:position w:val="1"/>
        </w:rPr>
        <w:t>、</w:t>
      </w:r>
      <w:r>
        <w:rPr>
          <w:rFonts w:ascii="SimHei" w:hAnsi="SimHei" w:eastAsia="SimHei" w:cs="SimHei"/>
          <w:sz w:val="29"/>
          <w:szCs w:val="29"/>
          <w:position w:val="1"/>
        </w:rPr>
        <w:t>春季坏死病</w:t>
      </w:r>
    </w:p>
    <w:p>
      <w:pPr>
        <w:pStyle w:val="BodyText"/>
        <w:ind w:left="570"/>
        <w:spacing w:before="158" w:line="219" w:lineRule="auto"/>
        <w:rPr>
          <w:sz w:val="29"/>
          <w:szCs w:val="29"/>
        </w:rPr>
      </w:pPr>
      <w:r>
        <w:rPr>
          <w:sz w:val="29"/>
          <w:szCs w:val="29"/>
          <w:spacing w:val="9"/>
        </w:rPr>
        <w:t>1)危害植物：百慕大、结缕草等草坪。</w:t>
      </w:r>
    </w:p>
    <w:p>
      <w:pPr>
        <w:pStyle w:val="BodyText"/>
        <w:ind w:right="14" w:firstLine="570"/>
        <w:spacing w:before="112" w:line="289" w:lineRule="auto"/>
        <w:rPr>
          <w:sz w:val="29"/>
          <w:szCs w:val="29"/>
        </w:rPr>
      </w:pPr>
      <w:r>
        <w:rPr>
          <w:sz w:val="29"/>
          <w:szCs w:val="29"/>
          <w:spacing w:val="8"/>
        </w:rPr>
        <w:t>2)表现症状：由病原菌所致，过量的氮肥、缺钾</w:t>
      </w:r>
      <w:r>
        <w:rPr>
          <w:sz w:val="29"/>
          <w:szCs w:val="29"/>
          <w:spacing w:val="7"/>
        </w:rPr>
        <w:t>、排水不良、过分浇水、</w:t>
      </w:r>
      <w:r>
        <w:rPr>
          <w:sz w:val="29"/>
          <w:szCs w:val="29"/>
        </w:rPr>
        <w:t xml:space="preserve"> </w:t>
      </w:r>
      <w:r>
        <w:rPr>
          <w:sz w:val="29"/>
          <w:szCs w:val="29"/>
          <w:spacing w:val="-8"/>
        </w:rPr>
        <w:t>枯草层度、土壤板结等都促进病害的发生。感病后草坪上出现环形的、漂白</w:t>
      </w:r>
      <w:r>
        <w:rPr>
          <w:sz w:val="29"/>
          <w:szCs w:val="29"/>
          <w:spacing w:val="-9"/>
        </w:rPr>
        <w:t>色的死</w:t>
      </w:r>
      <w:r>
        <w:rPr>
          <w:sz w:val="29"/>
          <w:szCs w:val="29"/>
        </w:rPr>
        <w:t xml:space="preserve"> </w:t>
      </w:r>
      <w:r>
        <w:rPr>
          <w:sz w:val="29"/>
          <w:szCs w:val="29"/>
          <w:spacing w:val="-8"/>
        </w:rPr>
        <w:t>草病斑，根部和匍匐茎严重腐烂，多个病块愈合在一起，使草坪总体上表现出不规</w:t>
      </w:r>
      <w:r>
        <w:rPr>
          <w:sz w:val="29"/>
          <w:szCs w:val="29"/>
        </w:rPr>
        <w:t xml:space="preserve"> </w:t>
      </w:r>
      <w:r>
        <w:rPr>
          <w:sz w:val="29"/>
          <w:szCs w:val="29"/>
          <w:spacing w:val="-2"/>
        </w:rPr>
        <w:t>则、类似冻死或冬季干枯的症状。</w:t>
      </w:r>
    </w:p>
    <w:p>
      <w:pPr>
        <w:ind w:firstLine="409"/>
        <w:spacing w:before="66" w:line="5870" w:lineRule="exact"/>
        <w:rPr/>
      </w:pPr>
      <w:r>
        <w:rPr>
          <w:position w:val="-117"/>
        </w:rPr>
        <w:drawing>
          <wp:inline distT="0" distB="0" distL="0" distR="0">
            <wp:extent cx="5962713" cy="3727435"/>
            <wp:effectExtent l="0" t="0" r="0" b="0"/>
            <wp:docPr id="372" name="IM 372"/>
            <wp:cNvGraphicFramePr/>
            <a:graphic>
              <a:graphicData uri="http://schemas.openxmlformats.org/drawingml/2006/picture">
                <pic:pic>
                  <pic:nvPicPr>
                    <pic:cNvPr id="372" name="IM 372"/>
                    <pic:cNvPicPr/>
                  </pic:nvPicPr>
                  <pic:blipFill>
                    <a:blip r:embed="rId265"/>
                    <a:stretch>
                      <a:fillRect/>
                    </a:stretch>
                  </pic:blipFill>
                  <pic:spPr>
                    <a:xfrm rot="0">
                      <a:off x="0" y="0"/>
                      <a:ext cx="5962713" cy="3727435"/>
                    </a:xfrm>
                    <a:prstGeom prst="rect">
                      <a:avLst/>
                    </a:prstGeom>
                  </pic:spPr>
                </pic:pic>
              </a:graphicData>
            </a:graphic>
          </wp:inline>
        </w:drawing>
      </w:r>
    </w:p>
    <w:p>
      <w:pPr>
        <w:pStyle w:val="BodyText"/>
        <w:ind w:left="4179"/>
        <w:spacing w:before="130" w:line="219" w:lineRule="auto"/>
        <w:rPr>
          <w:sz w:val="24"/>
          <w:szCs w:val="24"/>
        </w:rPr>
      </w:pPr>
      <w:r>
        <w:rPr>
          <w:sz w:val="24"/>
          <w:szCs w:val="24"/>
          <w:spacing w:val="1"/>
        </w:rPr>
        <w:t>图6-1-19春季坏死病</w:t>
      </w:r>
    </w:p>
    <w:p>
      <w:pPr>
        <w:pStyle w:val="BodyText"/>
        <w:ind w:right="82" w:firstLine="570"/>
        <w:spacing w:before="168" w:line="320" w:lineRule="auto"/>
        <w:rPr>
          <w:sz w:val="29"/>
          <w:szCs w:val="29"/>
        </w:rPr>
      </w:pPr>
      <w:r>
        <w:rPr>
          <w:sz w:val="29"/>
          <w:szCs w:val="29"/>
          <w:spacing w:val="7"/>
        </w:rPr>
        <w:t>3)发生时期：4—9月，病菌在土壤中存活，秋季和春季当地</w:t>
      </w:r>
      <w:r>
        <w:rPr>
          <w:sz w:val="29"/>
          <w:szCs w:val="29"/>
          <w:spacing w:val="6"/>
        </w:rPr>
        <w:t>温度较低，土</w:t>
      </w:r>
      <w:r>
        <w:rPr>
          <w:sz w:val="29"/>
          <w:szCs w:val="29"/>
        </w:rPr>
        <w:t xml:space="preserve"> </w:t>
      </w:r>
      <w:r>
        <w:rPr>
          <w:sz w:val="29"/>
          <w:szCs w:val="29"/>
          <w:spacing w:val="-8"/>
        </w:rPr>
        <w:t>壤湿度较高时生长最活跃，10—20℃生长速度最快，适温为15℃</w:t>
      </w:r>
      <w:r>
        <w:rPr>
          <w:sz w:val="29"/>
          <w:szCs w:val="29"/>
          <w:spacing w:val="-9"/>
        </w:rPr>
        <w:t>(百慕大根部35℃</w:t>
      </w:r>
    </w:p>
    <w:p>
      <w:pPr>
        <w:spacing w:line="320" w:lineRule="auto"/>
        <w:sectPr>
          <w:footerReference w:type="default" r:id="rId262"/>
          <w:pgSz w:w="14490" w:h="20470"/>
          <w:pgMar w:top="1739" w:right="2173" w:bottom="1490" w:left="2150" w:header="0" w:footer="1204" w:gutter="0"/>
        </w:sectPr>
        <w:rPr>
          <w:sz w:val="29"/>
          <w:szCs w:val="29"/>
        </w:rPr>
      </w:pPr>
    </w:p>
    <w:p>
      <w:pPr>
        <w:pStyle w:val="BodyText"/>
        <w:ind w:left="145" w:right="218"/>
        <w:spacing w:before="122" w:line="310" w:lineRule="auto"/>
        <w:jc w:val="both"/>
        <w:rPr>
          <w:sz w:val="29"/>
          <w:szCs w:val="29"/>
        </w:rPr>
      </w:pPr>
      <w:r>
        <w:rPr>
          <w:sz w:val="29"/>
          <w:szCs w:val="29"/>
          <w:spacing w:val="3"/>
        </w:rPr>
        <w:t>时生长最快，15℃时极其缓慢)。因此，从秋季至春季，危害最严重。病原菌在</w:t>
      </w:r>
      <w:r>
        <w:rPr>
          <w:sz w:val="29"/>
          <w:szCs w:val="29"/>
          <w:spacing w:val="11"/>
        </w:rPr>
        <w:t xml:space="preserve"> </w:t>
      </w:r>
      <w:r>
        <w:rPr>
          <w:sz w:val="29"/>
          <w:szCs w:val="29"/>
        </w:rPr>
        <w:t>秋天或冬天开始侵染草坪根系和匍匐茎，这时</w:t>
      </w:r>
      <w:r>
        <w:rPr>
          <w:sz w:val="29"/>
          <w:szCs w:val="29"/>
          <w:spacing w:val="-1"/>
        </w:rPr>
        <w:t>对草坪还没有直接伤害，而是影响</w:t>
      </w:r>
      <w:r>
        <w:rPr>
          <w:sz w:val="29"/>
          <w:szCs w:val="29"/>
        </w:rPr>
        <w:t xml:space="preserve"> </w:t>
      </w:r>
      <w:r>
        <w:rPr>
          <w:sz w:val="29"/>
          <w:szCs w:val="29"/>
          <w:spacing w:val="-1"/>
        </w:rPr>
        <w:t>百慕大草坪对冻害胁迫的反应。</w:t>
      </w:r>
    </w:p>
    <w:p>
      <w:pPr>
        <w:pStyle w:val="BodyText"/>
        <w:ind w:left="735"/>
        <w:spacing w:before="29" w:line="220" w:lineRule="auto"/>
        <w:rPr>
          <w:sz w:val="29"/>
          <w:szCs w:val="29"/>
        </w:rPr>
      </w:pPr>
      <w:r>
        <w:rPr>
          <w:sz w:val="29"/>
          <w:szCs w:val="29"/>
          <w:spacing w:val="11"/>
        </w:rPr>
        <w:t>4)发生地区：南方各地区。</w:t>
      </w:r>
    </w:p>
    <w:p>
      <w:pPr>
        <w:pStyle w:val="BodyText"/>
        <w:ind w:right="179" w:firstLine="735"/>
        <w:spacing w:before="129" w:line="289" w:lineRule="auto"/>
        <w:rPr>
          <w:sz w:val="29"/>
          <w:szCs w:val="29"/>
        </w:rPr>
      </w:pPr>
      <w:r>
        <w:rPr>
          <w:sz w:val="29"/>
          <w:szCs w:val="29"/>
          <w:spacing w:val="6"/>
        </w:rPr>
        <w:t>5)防治方法：保证充足的肥料和氮磷钾肥的合理使用，通过打</w:t>
      </w:r>
      <w:r>
        <w:rPr>
          <w:sz w:val="29"/>
          <w:szCs w:val="29"/>
          <w:spacing w:val="5"/>
        </w:rPr>
        <w:t>孔、铺沙、</w:t>
      </w:r>
      <w:r>
        <w:rPr>
          <w:sz w:val="29"/>
          <w:szCs w:val="29"/>
        </w:rPr>
        <w:t xml:space="preserve"> </w:t>
      </w:r>
      <w:r>
        <w:rPr>
          <w:sz w:val="29"/>
          <w:szCs w:val="29"/>
          <w:spacing w:val="-3"/>
        </w:rPr>
        <w:t>切割等措施减少枯草层积累，缓解土壤板结，结合</w:t>
      </w:r>
      <w:r>
        <w:rPr>
          <w:sz w:val="29"/>
          <w:szCs w:val="29"/>
          <w:spacing w:val="-4"/>
        </w:rPr>
        <w:t>使用“草坪营养抗病增绿剂”、</w:t>
      </w:r>
      <w:r>
        <w:rPr>
          <w:sz w:val="29"/>
          <w:szCs w:val="29"/>
        </w:rPr>
        <w:t xml:space="preserve"> </w:t>
      </w:r>
      <w:r>
        <w:rPr>
          <w:sz w:val="29"/>
          <w:szCs w:val="29"/>
          <w:spacing w:val="-4"/>
        </w:rPr>
        <w:t>“草坪根动力”提高草坪抗逆性，在夏末或秋季进行土壤消毒，杀灭病原菌，药剂</w:t>
      </w:r>
      <w:r>
        <w:rPr>
          <w:sz w:val="29"/>
          <w:szCs w:val="29"/>
          <w:spacing w:val="14"/>
        </w:rPr>
        <w:t xml:space="preserve"> </w:t>
      </w:r>
      <w:r>
        <w:rPr>
          <w:sz w:val="29"/>
          <w:szCs w:val="29"/>
        </w:rPr>
        <w:t>详细使用参见《各地区农药肥料使用指导》。</w:t>
      </w:r>
    </w:p>
    <w:p>
      <w:pPr>
        <w:pStyle w:val="BodyText"/>
        <w:ind w:left="145"/>
        <w:spacing w:before="195" w:line="222" w:lineRule="auto"/>
        <w:rPr>
          <w:rFonts w:ascii="SimHei" w:hAnsi="SimHei" w:eastAsia="SimHei" w:cs="SimHei"/>
          <w:sz w:val="29"/>
          <w:szCs w:val="29"/>
        </w:rPr>
      </w:pPr>
      <w:r>
        <w:rPr>
          <w:rFonts w:ascii="Arial" w:hAnsi="Arial" w:eastAsia="Arial" w:cs="Arial"/>
          <w:sz w:val="29"/>
          <w:szCs w:val="29"/>
          <w:spacing w:val="-1"/>
        </w:rPr>
        <w:t>17</w:t>
      </w:r>
      <w:r>
        <w:rPr>
          <w:sz w:val="29"/>
          <w:szCs w:val="29"/>
          <w:spacing w:val="-1"/>
        </w:rPr>
        <w:t>、</w:t>
      </w:r>
      <w:r>
        <w:rPr>
          <w:rFonts w:ascii="SimHei" w:hAnsi="SimHei" w:eastAsia="SimHei" w:cs="SimHei"/>
          <w:sz w:val="29"/>
          <w:szCs w:val="29"/>
          <w:spacing w:val="-1"/>
        </w:rPr>
        <w:t>草坪腐霉枯萎病</w:t>
      </w:r>
    </w:p>
    <w:p>
      <w:pPr>
        <w:pStyle w:val="BodyText"/>
        <w:ind w:left="145" w:right="232" w:firstLine="590"/>
        <w:spacing w:before="103" w:line="281" w:lineRule="auto"/>
        <w:rPr>
          <w:sz w:val="29"/>
          <w:szCs w:val="29"/>
        </w:rPr>
      </w:pPr>
      <w:r>
        <w:rPr>
          <w:sz w:val="29"/>
          <w:szCs w:val="29"/>
          <w:spacing w:val="8"/>
        </w:rPr>
        <w:t>1)危害植物：可以侵染所有草坪草，如冷季</w:t>
      </w:r>
      <w:r>
        <w:rPr>
          <w:sz w:val="29"/>
          <w:szCs w:val="29"/>
          <w:spacing w:val="7"/>
        </w:rPr>
        <w:t>型的早熟禾、草地早熟禾、高</w:t>
      </w:r>
      <w:r>
        <w:rPr>
          <w:sz w:val="29"/>
          <w:szCs w:val="29"/>
        </w:rPr>
        <w:t xml:space="preserve"> </w:t>
      </w:r>
      <w:r>
        <w:rPr>
          <w:sz w:val="29"/>
          <w:szCs w:val="29"/>
          <w:spacing w:val="-9"/>
        </w:rPr>
        <w:t>羊茅、细叶羊茅、粗茎早熟禾、多年生黑麦草和暖季型的狗牙根、台湾草、马里拉</w:t>
      </w:r>
      <w:r>
        <w:rPr>
          <w:sz w:val="29"/>
          <w:szCs w:val="29"/>
          <w:spacing w:val="3"/>
        </w:rPr>
        <w:t xml:space="preserve"> </w:t>
      </w:r>
      <w:r>
        <w:rPr>
          <w:sz w:val="29"/>
          <w:szCs w:val="29"/>
        </w:rPr>
        <w:t>草等，其中以冷季型草坪草受害最重。</w:t>
      </w:r>
    </w:p>
    <w:p>
      <w:pPr>
        <w:pStyle w:val="BodyText"/>
        <w:ind w:left="145" w:right="219" w:firstLine="590"/>
        <w:spacing w:before="147" w:line="285" w:lineRule="auto"/>
        <w:rPr>
          <w:sz w:val="29"/>
          <w:szCs w:val="29"/>
        </w:rPr>
      </w:pPr>
      <w:r>
        <w:rPr>
          <w:sz w:val="29"/>
          <w:szCs w:val="29"/>
          <w:spacing w:val="6"/>
        </w:rPr>
        <w:t>2)表现症状：短时间内就可造成草坪草大面死亡，形成秃斑，不能恢复，</w:t>
      </w:r>
      <w:r>
        <w:rPr>
          <w:sz w:val="29"/>
          <w:szCs w:val="29"/>
          <w:spacing w:val="15"/>
        </w:rPr>
        <w:t xml:space="preserve"> </w:t>
      </w:r>
      <w:r>
        <w:rPr>
          <w:sz w:val="29"/>
          <w:szCs w:val="29"/>
        </w:rPr>
        <w:t>极大地破坏草坪景观。清晨有露水时，病叶</w:t>
      </w:r>
      <w:r>
        <w:rPr>
          <w:sz w:val="29"/>
          <w:szCs w:val="29"/>
          <w:spacing w:val="-1"/>
        </w:rPr>
        <w:t>呈水渍状暗绿色，变软、粘滑连在一</w:t>
      </w:r>
      <w:r>
        <w:rPr>
          <w:sz w:val="29"/>
          <w:szCs w:val="29"/>
        </w:rPr>
        <w:t xml:space="preserve"> </w:t>
      </w:r>
      <w:r>
        <w:rPr>
          <w:sz w:val="29"/>
          <w:szCs w:val="29"/>
          <w:spacing w:val="1"/>
        </w:rPr>
        <w:t>起，用手触摸时，有油腻感，病叶及病株间有白色棉絮状菌丝。</w:t>
      </w:r>
    </w:p>
    <w:p>
      <w:pPr>
        <w:ind w:firstLine="1264"/>
        <w:spacing w:before="84" w:line="4470" w:lineRule="exact"/>
        <w:rPr/>
      </w:pPr>
      <w:r>
        <w:rPr>
          <w:position w:val="-89"/>
        </w:rPr>
        <w:drawing>
          <wp:inline distT="0" distB="0" distL="0" distR="0">
            <wp:extent cx="4959419" cy="2838472"/>
            <wp:effectExtent l="0" t="0" r="0" b="0"/>
            <wp:docPr id="374" name="IM 374"/>
            <wp:cNvGraphicFramePr/>
            <a:graphic>
              <a:graphicData uri="http://schemas.openxmlformats.org/drawingml/2006/picture">
                <pic:pic>
                  <pic:nvPicPr>
                    <pic:cNvPr id="374" name="IM 374"/>
                    <pic:cNvPicPr/>
                  </pic:nvPicPr>
                  <pic:blipFill>
                    <a:blip r:embed="rId267"/>
                    <a:stretch>
                      <a:fillRect/>
                    </a:stretch>
                  </pic:blipFill>
                  <pic:spPr>
                    <a:xfrm rot="0">
                      <a:off x="0" y="0"/>
                      <a:ext cx="4959419" cy="2838472"/>
                    </a:xfrm>
                    <a:prstGeom prst="rect">
                      <a:avLst/>
                    </a:prstGeom>
                  </pic:spPr>
                </pic:pic>
              </a:graphicData>
            </a:graphic>
          </wp:inline>
        </w:drawing>
      </w:r>
    </w:p>
    <w:p>
      <w:pPr>
        <w:pStyle w:val="BodyText"/>
        <w:ind w:left="3264"/>
        <w:spacing w:before="120" w:line="219" w:lineRule="auto"/>
        <w:rPr>
          <w:sz w:val="24"/>
          <w:szCs w:val="24"/>
        </w:rPr>
      </w:pPr>
      <w:r>
        <w:rPr>
          <w:sz w:val="24"/>
          <w:szCs w:val="24"/>
          <w:spacing w:val="7"/>
        </w:rPr>
        <w:t>图6-1-20草坪霉腐枯萎病表现症状</w:t>
      </w:r>
    </w:p>
    <w:p>
      <w:pPr>
        <w:pStyle w:val="BodyText"/>
        <w:ind w:left="735"/>
        <w:spacing w:before="168" w:line="219" w:lineRule="auto"/>
        <w:rPr>
          <w:sz w:val="29"/>
          <w:szCs w:val="29"/>
        </w:rPr>
      </w:pPr>
      <w:r>
        <w:rPr>
          <w:sz w:val="29"/>
          <w:szCs w:val="29"/>
          <w:spacing w:val="2"/>
        </w:rPr>
        <w:t>3)发生时期：通常在6—8月，潮湿和气温26—</w:t>
      </w:r>
      <w:r>
        <w:rPr>
          <w:sz w:val="29"/>
          <w:szCs w:val="29"/>
          <w:spacing w:val="1"/>
        </w:rPr>
        <w:t>32℃条件下发病。</w:t>
      </w:r>
    </w:p>
    <w:p>
      <w:pPr>
        <w:pStyle w:val="BodyText"/>
        <w:ind w:left="735"/>
        <w:spacing w:before="126" w:line="219" w:lineRule="auto"/>
        <w:rPr>
          <w:sz w:val="29"/>
          <w:szCs w:val="29"/>
        </w:rPr>
      </w:pPr>
      <w:r>
        <w:rPr>
          <w:sz w:val="29"/>
          <w:szCs w:val="29"/>
          <w:spacing w:val="13"/>
        </w:rPr>
        <w:t>4)发生地区：全国都可发生。</w:t>
      </w:r>
    </w:p>
    <w:p>
      <w:pPr>
        <w:pStyle w:val="BodyText"/>
        <w:ind w:left="144" w:firstLine="590"/>
        <w:spacing w:before="157" w:line="295" w:lineRule="auto"/>
        <w:rPr>
          <w:sz w:val="29"/>
          <w:szCs w:val="29"/>
        </w:rPr>
      </w:pPr>
      <w:r>
        <w:rPr>
          <w:sz w:val="29"/>
          <w:szCs w:val="29"/>
          <w:spacing w:val="8"/>
        </w:rPr>
        <w:t>5)防治方法：避免雨后积水，降低地下水位；土壤见干则</w:t>
      </w:r>
      <w:r>
        <w:rPr>
          <w:sz w:val="29"/>
          <w:szCs w:val="29"/>
          <w:spacing w:val="7"/>
        </w:rPr>
        <w:t>浇，灌透水，尽</w:t>
      </w:r>
      <w:r>
        <w:rPr>
          <w:sz w:val="29"/>
          <w:szCs w:val="29"/>
        </w:rPr>
        <w:t xml:space="preserve">  </w:t>
      </w:r>
      <w:r>
        <w:rPr>
          <w:sz w:val="29"/>
          <w:szCs w:val="29"/>
        </w:rPr>
        <w:t>量减少灌水次数，降低草坪相对湿度，灌水时间最</w:t>
      </w:r>
      <w:r>
        <w:rPr>
          <w:sz w:val="29"/>
          <w:szCs w:val="29"/>
          <w:spacing w:val="-1"/>
        </w:rPr>
        <w:t>好在清晨或午后，避免傍晚和</w:t>
      </w:r>
      <w:r>
        <w:rPr>
          <w:sz w:val="29"/>
          <w:szCs w:val="29"/>
        </w:rPr>
        <w:t xml:space="preserve">  </w:t>
      </w:r>
      <w:r>
        <w:rPr>
          <w:sz w:val="29"/>
          <w:szCs w:val="29"/>
          <w:spacing w:val="-9"/>
        </w:rPr>
        <w:t>夜间灌水；合理施肥，避免施用过量氮肥，增施磷肥和有机肥；合理修剪，枯草层</w:t>
      </w:r>
      <w:r>
        <w:rPr>
          <w:sz w:val="29"/>
          <w:szCs w:val="29"/>
          <w:spacing w:val="4"/>
        </w:rPr>
        <w:t xml:space="preserve">  </w:t>
      </w:r>
      <w:r>
        <w:rPr>
          <w:sz w:val="29"/>
          <w:szCs w:val="29"/>
        </w:rPr>
        <w:t>厚度超过2</w:t>
      </w:r>
      <w:r>
        <w:rPr>
          <w:rFonts w:ascii="Times New Roman" w:hAnsi="Times New Roman" w:eastAsia="Times New Roman" w:cs="Times New Roman"/>
          <w:sz w:val="29"/>
          <w:szCs w:val="29"/>
        </w:rPr>
        <w:t>cm</w:t>
      </w:r>
      <w:r>
        <w:rPr>
          <w:sz w:val="29"/>
          <w:szCs w:val="29"/>
        </w:rPr>
        <w:t>后及时清除，当高温潮湿、叶面有露水，特别看到已有</w:t>
      </w:r>
      <w:r>
        <w:rPr>
          <w:sz w:val="29"/>
          <w:szCs w:val="29"/>
          <w:spacing w:val="-1"/>
        </w:rPr>
        <w:t>明显菌丝时，</w:t>
      </w:r>
      <w:r>
        <w:rPr>
          <w:sz w:val="29"/>
          <w:szCs w:val="29"/>
        </w:rPr>
        <w:t xml:space="preserve"> </w:t>
      </w:r>
      <w:r>
        <w:rPr>
          <w:sz w:val="29"/>
          <w:szCs w:val="29"/>
          <w:spacing w:val="-8"/>
        </w:rPr>
        <w:t>不要剪草，以避免病菌传播；药剂防治时采用叶面喷雾，高温</w:t>
      </w:r>
      <w:r>
        <w:rPr>
          <w:sz w:val="29"/>
          <w:szCs w:val="29"/>
          <w:spacing w:val="-9"/>
        </w:rPr>
        <w:t>高湿季节要及时使用</w:t>
      </w:r>
      <w:r>
        <w:rPr>
          <w:sz w:val="29"/>
          <w:szCs w:val="29"/>
        </w:rPr>
        <w:t xml:space="preserve">  </w:t>
      </w:r>
      <w:r>
        <w:rPr>
          <w:sz w:val="29"/>
          <w:szCs w:val="29"/>
          <w:spacing w:val="-3"/>
        </w:rPr>
        <w:t>杀菌剂控制病害，药剂详细使用参见《各地区农药肥料使用指导》。</w:t>
      </w:r>
    </w:p>
    <w:p>
      <w:pPr>
        <w:pStyle w:val="BodyText"/>
        <w:ind w:left="145"/>
        <w:spacing w:before="175" w:line="396" w:lineRule="exact"/>
        <w:rPr>
          <w:rFonts w:ascii="SimHei" w:hAnsi="SimHei" w:eastAsia="SimHei" w:cs="SimHei"/>
          <w:sz w:val="29"/>
          <w:szCs w:val="29"/>
        </w:rPr>
      </w:pPr>
      <w:r>
        <w:rPr>
          <w:rFonts w:ascii="Arial" w:hAnsi="Arial" w:eastAsia="Arial" w:cs="Arial"/>
          <w:sz w:val="29"/>
          <w:szCs w:val="29"/>
          <w:spacing w:val="-1"/>
          <w:position w:val="1"/>
        </w:rPr>
        <w:t>18</w:t>
      </w:r>
      <w:r>
        <w:rPr>
          <w:sz w:val="29"/>
          <w:szCs w:val="29"/>
          <w:spacing w:val="-1"/>
          <w:position w:val="1"/>
        </w:rPr>
        <w:t>、</w:t>
      </w:r>
      <w:r>
        <w:rPr>
          <w:rFonts w:ascii="SimHei" w:hAnsi="SimHei" w:eastAsia="SimHei" w:cs="SimHei"/>
          <w:sz w:val="29"/>
          <w:szCs w:val="29"/>
          <w:spacing w:val="-1"/>
          <w:position w:val="1"/>
        </w:rPr>
        <w:t>草坪镰刀枯萎病</w:t>
      </w:r>
    </w:p>
    <w:p>
      <w:pPr>
        <w:spacing w:line="396" w:lineRule="exact"/>
        <w:sectPr>
          <w:footerReference w:type="default" r:id="rId266"/>
          <w:pgSz w:w="14490" w:h="20470"/>
          <w:pgMar w:top="1739" w:right="1985" w:bottom="1427" w:left="2005" w:header="0" w:footer="1211" w:gutter="0"/>
        </w:sectPr>
        <w:rPr>
          <w:rFonts w:ascii="SimHei" w:hAnsi="SimHei" w:eastAsia="SimHei" w:cs="SimHei"/>
          <w:sz w:val="29"/>
          <w:szCs w:val="29"/>
        </w:rPr>
      </w:pPr>
    </w:p>
    <w:p>
      <w:pPr>
        <w:pStyle w:val="BodyText"/>
        <w:ind w:left="590"/>
        <w:spacing w:before="110" w:line="219" w:lineRule="auto"/>
        <w:rPr>
          <w:sz w:val="29"/>
          <w:szCs w:val="29"/>
        </w:rPr>
      </w:pPr>
      <w:r>
        <w:rPr>
          <w:sz w:val="29"/>
          <w:szCs w:val="29"/>
          <w:spacing w:val="5"/>
        </w:rPr>
        <w:t>1)危害植物：对草地早熟禾危害较重，其次为黑麦草、高羊茅。</w:t>
      </w:r>
    </w:p>
    <w:p>
      <w:pPr>
        <w:pStyle w:val="BodyText"/>
        <w:ind w:right="325" w:firstLine="590"/>
        <w:spacing w:before="136" w:line="269" w:lineRule="auto"/>
        <w:rPr>
          <w:sz w:val="29"/>
          <w:szCs w:val="29"/>
        </w:rPr>
      </w:pPr>
      <w:r>
        <w:rPr>
          <w:sz w:val="29"/>
          <w:szCs w:val="29"/>
          <w:spacing w:val="6"/>
        </w:rPr>
        <w:t>2)表现症状：发病时出现环状或新月状的萎蔫，显露棕色或红褐色腐烂组</w:t>
      </w:r>
      <w:r>
        <w:rPr>
          <w:sz w:val="29"/>
          <w:szCs w:val="29"/>
          <w:spacing w:val="10"/>
        </w:rPr>
        <w:t xml:space="preserve"> </w:t>
      </w:r>
      <w:r>
        <w:rPr>
          <w:sz w:val="29"/>
          <w:szCs w:val="29"/>
          <w:spacing w:val="-1"/>
        </w:rPr>
        <w:t>织，草坪枯萎呈不规则斑块。</w:t>
      </w:r>
    </w:p>
    <w:p>
      <w:pPr>
        <w:ind w:firstLine="1410"/>
        <w:spacing w:before="73" w:line="5030" w:lineRule="exact"/>
        <w:rPr/>
      </w:pPr>
      <w:r>
        <w:rPr>
          <w:position w:val="-100"/>
        </w:rPr>
        <w:drawing>
          <wp:inline distT="0" distB="0" distL="0" distR="0">
            <wp:extent cx="4698935" cy="3193979"/>
            <wp:effectExtent l="0" t="0" r="0" b="0"/>
            <wp:docPr id="376" name="IM 376"/>
            <wp:cNvGraphicFramePr/>
            <a:graphic>
              <a:graphicData uri="http://schemas.openxmlformats.org/drawingml/2006/picture">
                <pic:pic>
                  <pic:nvPicPr>
                    <pic:cNvPr id="376" name="IM 376"/>
                    <pic:cNvPicPr/>
                  </pic:nvPicPr>
                  <pic:blipFill>
                    <a:blip r:embed="rId269"/>
                    <a:stretch>
                      <a:fillRect/>
                    </a:stretch>
                  </pic:blipFill>
                  <pic:spPr>
                    <a:xfrm rot="0">
                      <a:off x="0" y="0"/>
                      <a:ext cx="4698935" cy="3193979"/>
                    </a:xfrm>
                    <a:prstGeom prst="rect">
                      <a:avLst/>
                    </a:prstGeom>
                  </pic:spPr>
                </pic:pic>
              </a:graphicData>
            </a:graphic>
          </wp:inline>
        </w:drawing>
      </w:r>
    </w:p>
    <w:p>
      <w:pPr>
        <w:pStyle w:val="BodyText"/>
        <w:ind w:left="3359"/>
        <w:spacing w:before="80" w:line="219" w:lineRule="auto"/>
        <w:rPr>
          <w:sz w:val="24"/>
          <w:szCs w:val="24"/>
        </w:rPr>
      </w:pPr>
      <w:r>
        <w:rPr>
          <w:sz w:val="24"/>
          <w:szCs w:val="24"/>
          <w:spacing w:val="8"/>
        </w:rPr>
        <w:t>图6-1-21草坪镰刀枯萎病表现症状</w:t>
      </w:r>
    </w:p>
    <w:p>
      <w:pPr>
        <w:pStyle w:val="BodyText"/>
        <w:ind w:left="590"/>
        <w:spacing w:before="177" w:line="219" w:lineRule="auto"/>
        <w:rPr>
          <w:sz w:val="29"/>
          <w:szCs w:val="29"/>
        </w:rPr>
      </w:pPr>
      <w:r>
        <w:rPr>
          <w:sz w:val="29"/>
          <w:szCs w:val="29"/>
          <w:spacing w:val="2"/>
        </w:rPr>
        <w:t>3)发病时期：通常在6—9月，潮湿和气温26—</w:t>
      </w:r>
      <w:r>
        <w:rPr>
          <w:sz w:val="29"/>
          <w:szCs w:val="29"/>
          <w:spacing w:val="1"/>
        </w:rPr>
        <w:t>32℃条件下发病。</w:t>
      </w:r>
    </w:p>
    <w:p>
      <w:pPr>
        <w:pStyle w:val="BodyText"/>
        <w:ind w:left="590"/>
        <w:spacing w:before="136" w:line="219" w:lineRule="auto"/>
        <w:rPr>
          <w:sz w:val="29"/>
          <w:szCs w:val="29"/>
        </w:rPr>
      </w:pPr>
      <w:r>
        <w:rPr>
          <w:sz w:val="29"/>
          <w:szCs w:val="29"/>
          <w:spacing w:val="11"/>
        </w:rPr>
        <w:t>4)防治方法：同腐霉枯萎病。</w:t>
      </w:r>
    </w:p>
    <w:p>
      <w:pPr>
        <w:spacing w:before="129" w:line="222" w:lineRule="auto"/>
        <w:rPr>
          <w:rFonts w:ascii="SimHei" w:hAnsi="SimHei" w:eastAsia="SimHei" w:cs="SimHei"/>
          <w:sz w:val="28"/>
          <w:szCs w:val="28"/>
        </w:rPr>
      </w:pPr>
      <w:r>
        <w:rPr>
          <w:rFonts w:ascii="SimHei" w:hAnsi="SimHei" w:eastAsia="SimHei" w:cs="SimHei"/>
          <w:sz w:val="28"/>
          <w:szCs w:val="28"/>
          <w:spacing w:val="9"/>
        </w:rPr>
        <w:t>19、</w:t>
      </w:r>
      <w:r>
        <w:rPr>
          <w:rFonts w:ascii="SimHei" w:hAnsi="SimHei" w:eastAsia="SimHei" w:cs="SimHei"/>
          <w:sz w:val="28"/>
          <w:szCs w:val="28"/>
          <w:b/>
          <w:bCs/>
          <w:spacing w:val="9"/>
        </w:rPr>
        <w:t>草坪黄斑病</w:t>
      </w:r>
    </w:p>
    <w:p>
      <w:pPr>
        <w:pStyle w:val="BodyText"/>
        <w:ind w:left="590"/>
        <w:spacing w:before="110" w:line="219" w:lineRule="auto"/>
        <w:rPr>
          <w:sz w:val="29"/>
          <w:szCs w:val="29"/>
        </w:rPr>
      </w:pPr>
      <w:r>
        <w:rPr>
          <w:sz w:val="29"/>
          <w:szCs w:val="29"/>
          <w:spacing w:val="2"/>
        </w:rPr>
        <w:t>1)危害植物：剪股颖、</w:t>
      </w:r>
      <w:r>
        <w:rPr>
          <w:sz w:val="29"/>
          <w:szCs w:val="29"/>
          <w:spacing w:val="-44"/>
        </w:rPr>
        <w:t xml:space="preserve"> </w:t>
      </w:r>
      <w:r>
        <w:rPr>
          <w:sz w:val="29"/>
          <w:szCs w:val="29"/>
          <w:spacing w:val="2"/>
        </w:rPr>
        <w:t>一年生早熟禾、早熟禾、高羊茅。</w:t>
      </w:r>
    </w:p>
    <w:p>
      <w:pPr>
        <w:pStyle w:val="BodyText"/>
        <w:ind w:firstLine="590"/>
        <w:spacing w:before="73" w:line="266" w:lineRule="auto"/>
        <w:rPr>
          <w:sz w:val="29"/>
          <w:szCs w:val="29"/>
        </w:rPr>
      </w:pPr>
      <w:r>
        <w:rPr>
          <w:sz w:val="29"/>
          <w:szCs w:val="29"/>
          <w:spacing w:val="8"/>
        </w:rPr>
        <w:t>2)表现症状：黄斑病常在春季和秋季低温下发生，当土温在17—18℃是开</w:t>
      </w:r>
      <w:r>
        <w:rPr>
          <w:sz w:val="29"/>
          <w:szCs w:val="29"/>
        </w:rPr>
        <w:t xml:space="preserve">  </w:t>
      </w:r>
      <w:r>
        <w:rPr>
          <w:sz w:val="29"/>
          <w:szCs w:val="29"/>
          <w:spacing w:val="-9"/>
        </w:rPr>
        <w:t>始发生。如果冬季来得早，早春雨量大，过量使用氮肥，排水不良等均可导致发生。</w:t>
      </w:r>
      <w:r>
        <w:rPr>
          <w:sz w:val="29"/>
          <w:szCs w:val="29"/>
          <w:spacing w:val="6"/>
        </w:rPr>
        <w:t xml:space="preserve"> </w:t>
      </w:r>
      <w:r>
        <w:rPr>
          <w:sz w:val="29"/>
          <w:szCs w:val="29"/>
          <w:spacing w:val="-3"/>
        </w:rPr>
        <w:t>黄斑病是冷季型草坪在秋季或春季常见的病害。症状显示为10</w:t>
      </w:r>
      <w:r>
        <w:rPr>
          <w:rFonts w:ascii="Times New Roman" w:hAnsi="Times New Roman" w:eastAsia="Times New Roman" w:cs="Times New Roman"/>
          <w:sz w:val="29"/>
          <w:szCs w:val="29"/>
          <w:spacing w:val="-3"/>
        </w:rPr>
        <w:t>cm</w:t>
      </w:r>
      <w:r>
        <w:rPr>
          <w:sz w:val="29"/>
          <w:szCs w:val="29"/>
          <w:spacing w:val="-3"/>
        </w:rPr>
        <w:t>大小不规则的黄</w:t>
      </w:r>
      <w:r>
        <w:rPr>
          <w:sz w:val="29"/>
          <w:szCs w:val="29"/>
          <w:spacing w:val="5"/>
        </w:rPr>
        <w:t xml:space="preserve">   </w:t>
      </w:r>
      <w:r>
        <w:rPr>
          <w:sz w:val="29"/>
          <w:szCs w:val="29"/>
          <w:spacing w:val="-2"/>
        </w:rPr>
        <w:t>色病斑或圆环。</w:t>
      </w:r>
    </w:p>
    <w:p>
      <w:pPr>
        <w:pStyle w:val="BodyText"/>
        <w:ind w:left="590"/>
        <w:spacing w:before="82" w:line="219" w:lineRule="auto"/>
        <w:rPr>
          <w:sz w:val="29"/>
          <w:szCs w:val="29"/>
        </w:rPr>
      </w:pPr>
      <w:r>
        <w:rPr>
          <w:sz w:val="29"/>
          <w:szCs w:val="29"/>
          <w:spacing w:val="5"/>
        </w:rPr>
        <w:t>3)发病时期：10月一翌年3月。</w:t>
      </w:r>
    </w:p>
    <w:p>
      <w:pPr>
        <w:pStyle w:val="BodyText"/>
        <w:ind w:right="285" w:firstLine="590"/>
        <w:spacing w:before="13" w:line="223" w:lineRule="auto"/>
        <w:rPr>
          <w:sz w:val="29"/>
          <w:szCs w:val="29"/>
        </w:rPr>
      </w:pPr>
      <w:r>
        <w:rPr>
          <w:sz w:val="29"/>
          <w:szCs w:val="29"/>
          <w:spacing w:val="-10"/>
        </w:rPr>
        <w:t>4)防治方法：合理使用氮肥，保持良好的排水、打孔并铺沙以减少枯草层，保</w:t>
      </w:r>
      <w:r>
        <w:rPr>
          <w:sz w:val="29"/>
          <w:szCs w:val="29"/>
          <w:spacing w:val="18"/>
        </w:rPr>
        <w:t xml:space="preserve"> </w:t>
      </w:r>
      <w:r>
        <w:rPr>
          <w:sz w:val="29"/>
          <w:szCs w:val="29"/>
          <w:spacing w:val="-8"/>
        </w:rPr>
        <w:t>持空气流通和光照充足。药剂详细使用参见《各地区农药肥料使用</w:t>
      </w:r>
      <w:r>
        <w:rPr>
          <w:sz w:val="29"/>
          <w:szCs w:val="29"/>
          <w:spacing w:val="-9"/>
        </w:rPr>
        <w:t>指导》。</w:t>
      </w:r>
    </w:p>
    <w:p>
      <w:pPr>
        <w:ind w:firstLine="79"/>
        <w:spacing w:line="3630" w:lineRule="exact"/>
        <w:rPr/>
      </w:pPr>
      <w:r>
        <w:rPr>
          <w:position w:val="-72"/>
        </w:rPr>
        <w:drawing>
          <wp:inline distT="0" distB="0" distL="0" distR="0">
            <wp:extent cx="6311896" cy="2305015"/>
            <wp:effectExtent l="0" t="0" r="0" b="0"/>
            <wp:docPr id="378" name="IM 378"/>
            <wp:cNvGraphicFramePr/>
            <a:graphic>
              <a:graphicData uri="http://schemas.openxmlformats.org/drawingml/2006/picture">
                <pic:pic>
                  <pic:nvPicPr>
                    <pic:cNvPr id="378" name="IM 378"/>
                    <pic:cNvPicPr/>
                  </pic:nvPicPr>
                  <pic:blipFill>
                    <a:blip r:embed="rId270"/>
                    <a:stretch>
                      <a:fillRect/>
                    </a:stretch>
                  </pic:blipFill>
                  <pic:spPr>
                    <a:xfrm rot="0">
                      <a:off x="0" y="0"/>
                      <a:ext cx="6311896" cy="2305015"/>
                    </a:xfrm>
                    <a:prstGeom prst="rect">
                      <a:avLst/>
                    </a:prstGeom>
                  </pic:spPr>
                </pic:pic>
              </a:graphicData>
            </a:graphic>
          </wp:inline>
        </w:drawing>
      </w:r>
    </w:p>
    <w:p>
      <w:pPr>
        <w:pStyle w:val="BodyText"/>
        <w:ind w:left="3879"/>
        <w:spacing w:before="41" w:line="219" w:lineRule="auto"/>
        <w:rPr>
          <w:sz w:val="26"/>
          <w:szCs w:val="26"/>
        </w:rPr>
      </w:pPr>
      <w:r>
        <w:rPr>
          <w:sz w:val="26"/>
          <w:szCs w:val="26"/>
          <w:spacing w:val="-10"/>
        </w:rPr>
        <w:t>图6-1-22草坪黄斑病</w:t>
      </w:r>
    </w:p>
    <w:p>
      <w:pPr>
        <w:pStyle w:val="BodyText"/>
        <w:spacing w:before="93" w:line="368" w:lineRule="exact"/>
        <w:rPr>
          <w:rFonts w:ascii="SimHei" w:hAnsi="SimHei" w:eastAsia="SimHei" w:cs="SimHei"/>
          <w:sz w:val="27"/>
          <w:szCs w:val="27"/>
        </w:rPr>
      </w:pPr>
      <w:r>
        <w:rPr>
          <w:rFonts w:ascii="Arial" w:hAnsi="Arial" w:eastAsia="Arial" w:cs="Arial"/>
          <w:sz w:val="27"/>
          <w:szCs w:val="27"/>
          <w:spacing w:val="19"/>
          <w:position w:val="1"/>
        </w:rPr>
        <w:t>20</w:t>
      </w:r>
      <w:r>
        <w:rPr>
          <w:sz w:val="27"/>
          <w:szCs w:val="27"/>
          <w:spacing w:val="19"/>
          <w:position w:val="1"/>
        </w:rPr>
        <w:t>、</w:t>
      </w:r>
      <w:r>
        <w:rPr>
          <w:rFonts w:ascii="SimHei" w:hAnsi="SimHei" w:eastAsia="SimHei" w:cs="SimHei"/>
          <w:sz w:val="27"/>
          <w:szCs w:val="27"/>
          <w:spacing w:val="19"/>
          <w:position w:val="1"/>
        </w:rPr>
        <w:t>草坪粘菌病</w:t>
      </w:r>
    </w:p>
    <w:p>
      <w:pPr>
        <w:pStyle w:val="BodyText"/>
        <w:ind w:left="590"/>
        <w:spacing w:before="142" w:line="219" w:lineRule="auto"/>
        <w:rPr>
          <w:sz w:val="29"/>
          <w:szCs w:val="29"/>
        </w:rPr>
      </w:pPr>
      <w:r>
        <w:rPr>
          <w:sz w:val="29"/>
          <w:szCs w:val="29"/>
          <w:spacing w:val="9"/>
        </w:rPr>
        <w:t>1)危害植物：所有草坪。</w:t>
      </w:r>
    </w:p>
    <w:p>
      <w:pPr>
        <w:spacing w:line="219" w:lineRule="auto"/>
        <w:sectPr>
          <w:footerReference w:type="default" r:id="rId268"/>
          <w:pgSz w:w="14490" w:h="20470"/>
          <w:pgMar w:top="1739" w:right="1935" w:bottom="1500" w:left="2150" w:header="0" w:footer="1214" w:gutter="0"/>
        </w:sectPr>
        <w:rPr>
          <w:sz w:val="29"/>
          <w:szCs w:val="29"/>
        </w:rPr>
      </w:pPr>
    </w:p>
    <w:p>
      <w:pPr>
        <w:pStyle w:val="BodyText"/>
        <w:ind w:left="129" w:firstLine="570"/>
        <w:spacing w:before="120" w:line="311" w:lineRule="auto"/>
        <w:jc w:val="both"/>
        <w:rPr>
          <w:sz w:val="29"/>
          <w:szCs w:val="29"/>
        </w:rPr>
      </w:pPr>
      <w:r>
        <w:rPr>
          <w:sz w:val="29"/>
          <w:szCs w:val="29"/>
          <w:spacing w:val="8"/>
        </w:rPr>
        <w:t>2)表现症状：粘菌病的孢子在土壤和枯草层中生存，休眠中的孢子具有抗</w:t>
      </w:r>
      <w:r>
        <w:rPr>
          <w:sz w:val="29"/>
          <w:szCs w:val="29"/>
          <w:spacing w:val="6"/>
        </w:rPr>
        <w:t xml:space="preserve"> </w:t>
      </w:r>
      <w:r>
        <w:rPr>
          <w:sz w:val="29"/>
          <w:szCs w:val="29"/>
          <w:spacing w:val="-9"/>
        </w:rPr>
        <w:t>低温、干旱等不良环境的能力。温暖潮湿的时候孢子开始生长，破土产生黏状物附</w:t>
      </w:r>
      <w:r>
        <w:rPr>
          <w:sz w:val="29"/>
          <w:szCs w:val="29"/>
          <w:spacing w:val="5"/>
        </w:rPr>
        <w:t xml:space="preserve"> </w:t>
      </w:r>
      <w:r>
        <w:rPr>
          <w:sz w:val="29"/>
          <w:szCs w:val="29"/>
          <w:spacing w:val="-8"/>
        </w:rPr>
        <w:t>于植物表面，叶片上的脓包还能产生更多孢子，以此来侵染草坪。草坪叶片有小的</w:t>
      </w:r>
      <w:r>
        <w:rPr>
          <w:sz w:val="29"/>
          <w:szCs w:val="29"/>
          <w:spacing w:val="18"/>
        </w:rPr>
        <w:t xml:space="preserve"> </w:t>
      </w:r>
      <w:r>
        <w:rPr>
          <w:sz w:val="29"/>
          <w:szCs w:val="29"/>
          <w:spacing w:val="-24"/>
        </w:rPr>
        <w:t>脓包状孢子，孢子可能为粉色、白灰色、黄色或橙色，病斑在夜间迅速发展。黏菌不感</w:t>
      </w:r>
      <w:r>
        <w:rPr>
          <w:sz w:val="29"/>
          <w:szCs w:val="29"/>
          <w:spacing w:val="13"/>
        </w:rPr>
        <w:t xml:space="preserve"> </w:t>
      </w:r>
      <w:r>
        <w:rPr>
          <w:sz w:val="29"/>
          <w:szCs w:val="29"/>
        </w:rPr>
        <w:t>染草坪或直接伤害草坪，但是它会使草坪遮阴，草坪变黄。</w:t>
      </w:r>
    </w:p>
    <w:p>
      <w:pPr>
        <w:spacing w:before="46" w:line="3270" w:lineRule="exact"/>
        <w:rPr/>
      </w:pPr>
      <w:r>
        <w:rPr>
          <w:position w:val="-65"/>
        </w:rPr>
        <w:drawing>
          <wp:inline distT="0" distB="0" distL="0" distR="0">
            <wp:extent cx="6343640" cy="2076372"/>
            <wp:effectExtent l="0" t="0" r="0" b="0"/>
            <wp:docPr id="380" name="IM 380"/>
            <wp:cNvGraphicFramePr/>
            <a:graphic>
              <a:graphicData uri="http://schemas.openxmlformats.org/drawingml/2006/picture">
                <pic:pic>
                  <pic:nvPicPr>
                    <pic:cNvPr id="380" name="IM 380"/>
                    <pic:cNvPicPr/>
                  </pic:nvPicPr>
                  <pic:blipFill>
                    <a:blip r:embed="rId272"/>
                    <a:stretch>
                      <a:fillRect/>
                    </a:stretch>
                  </pic:blipFill>
                  <pic:spPr>
                    <a:xfrm rot="0">
                      <a:off x="0" y="0"/>
                      <a:ext cx="6343640" cy="2076372"/>
                    </a:xfrm>
                    <a:prstGeom prst="rect">
                      <a:avLst/>
                    </a:prstGeom>
                  </pic:spPr>
                </pic:pic>
              </a:graphicData>
            </a:graphic>
          </wp:inline>
        </w:drawing>
      </w:r>
    </w:p>
    <w:p>
      <w:pPr>
        <w:pStyle w:val="BodyText"/>
        <w:ind w:left="4019"/>
        <w:spacing w:before="70" w:line="219" w:lineRule="auto"/>
        <w:rPr>
          <w:sz w:val="26"/>
          <w:szCs w:val="26"/>
        </w:rPr>
      </w:pPr>
      <w:r>
        <w:rPr>
          <w:sz w:val="26"/>
          <w:szCs w:val="26"/>
          <w:spacing w:val="-11"/>
        </w:rPr>
        <w:t>图6-1-23草坪粘菌病</w:t>
      </w:r>
    </w:p>
    <w:p>
      <w:pPr>
        <w:pStyle w:val="BodyText"/>
        <w:ind w:left="700"/>
        <w:spacing w:before="153" w:line="219" w:lineRule="auto"/>
        <w:rPr>
          <w:sz w:val="29"/>
          <w:szCs w:val="29"/>
        </w:rPr>
      </w:pPr>
      <w:r>
        <w:rPr>
          <w:sz w:val="29"/>
          <w:szCs w:val="29"/>
          <w:spacing w:val="23"/>
        </w:rPr>
        <w:t>3)发病时期：4</w:t>
      </w:r>
      <w:r>
        <w:rPr>
          <w:sz w:val="29"/>
          <w:szCs w:val="29"/>
          <w:spacing w:val="-90"/>
        </w:rPr>
        <w:t xml:space="preserve"> </w:t>
      </w:r>
      <w:r>
        <w:rPr>
          <w:sz w:val="29"/>
          <w:szCs w:val="29"/>
          <w:spacing w:val="23"/>
        </w:rPr>
        <w:t>—</w:t>
      </w:r>
      <w:r>
        <w:rPr>
          <w:sz w:val="29"/>
          <w:szCs w:val="29"/>
          <w:spacing w:val="-92"/>
        </w:rPr>
        <w:t xml:space="preserve"> </w:t>
      </w:r>
      <w:r>
        <w:rPr>
          <w:sz w:val="29"/>
          <w:szCs w:val="29"/>
          <w:spacing w:val="23"/>
        </w:rPr>
        <w:t>9月。</w:t>
      </w:r>
    </w:p>
    <w:p>
      <w:pPr>
        <w:pStyle w:val="BodyText"/>
        <w:ind w:left="129" w:right="156" w:firstLine="570"/>
        <w:spacing w:before="165" w:line="265" w:lineRule="auto"/>
        <w:rPr>
          <w:sz w:val="29"/>
          <w:szCs w:val="29"/>
        </w:rPr>
      </w:pPr>
      <w:r>
        <w:rPr>
          <w:sz w:val="29"/>
          <w:szCs w:val="29"/>
          <w:spacing w:val="5"/>
        </w:rPr>
        <w:t>4)防治方法：增强草坪通风透光性，减少枯草层，避免下午和傍晚浇水，</w:t>
      </w:r>
      <w:r>
        <w:rPr>
          <w:sz w:val="29"/>
          <w:szCs w:val="29"/>
        </w:rPr>
        <w:t xml:space="preserve"> </w:t>
      </w:r>
      <w:r>
        <w:rPr>
          <w:sz w:val="29"/>
          <w:szCs w:val="29"/>
          <w:spacing w:val="-3"/>
        </w:rPr>
        <w:t>避免草坪叶片湿度过大。药剂详细使用参见《各地区农药肥料使用</w:t>
      </w:r>
      <w:r>
        <w:rPr>
          <w:sz w:val="29"/>
          <w:szCs w:val="29"/>
          <w:spacing w:val="-4"/>
        </w:rPr>
        <w:t>指导》。</w:t>
      </w:r>
    </w:p>
    <w:p>
      <w:pPr>
        <w:pStyle w:val="BodyText"/>
        <w:ind w:left="129"/>
        <w:spacing w:before="188" w:line="222" w:lineRule="auto"/>
        <w:rPr>
          <w:rFonts w:ascii="SimHei" w:hAnsi="SimHei" w:eastAsia="SimHei" w:cs="SimHei"/>
          <w:sz w:val="29"/>
          <w:szCs w:val="29"/>
        </w:rPr>
      </w:pPr>
      <w:r>
        <w:rPr>
          <w:rFonts w:ascii="Arial" w:hAnsi="Arial" w:eastAsia="Arial" w:cs="Arial"/>
          <w:sz w:val="29"/>
          <w:szCs w:val="29"/>
        </w:rPr>
        <w:t>21</w:t>
      </w:r>
      <w:r>
        <w:rPr>
          <w:sz w:val="29"/>
          <w:szCs w:val="29"/>
        </w:rPr>
        <w:t>、</w:t>
      </w:r>
      <w:r>
        <w:rPr>
          <w:rFonts w:ascii="SimHei" w:hAnsi="SimHei" w:eastAsia="SimHei" w:cs="SimHei"/>
          <w:sz w:val="29"/>
          <w:szCs w:val="29"/>
        </w:rPr>
        <w:t>草坪红丝病</w:t>
      </w:r>
    </w:p>
    <w:p>
      <w:pPr>
        <w:pStyle w:val="BodyText"/>
        <w:ind w:left="700"/>
        <w:spacing w:before="79" w:line="219" w:lineRule="auto"/>
        <w:rPr>
          <w:sz w:val="29"/>
          <w:szCs w:val="29"/>
        </w:rPr>
      </w:pPr>
      <w:r>
        <w:rPr>
          <w:sz w:val="29"/>
          <w:szCs w:val="29"/>
          <w:spacing w:val="6"/>
        </w:rPr>
        <w:t>1)危害植物：早熟禾、羊茅、剪股颖、黑麦草、狗牙根。</w:t>
      </w:r>
    </w:p>
    <w:p>
      <w:pPr>
        <w:pStyle w:val="BodyText"/>
        <w:ind w:left="129" w:right="5" w:firstLine="570"/>
        <w:spacing w:before="169" w:line="292" w:lineRule="auto"/>
        <w:rPr>
          <w:sz w:val="29"/>
          <w:szCs w:val="29"/>
        </w:rPr>
      </w:pPr>
      <w:r>
        <w:rPr>
          <w:sz w:val="29"/>
          <w:szCs w:val="29"/>
          <w:spacing w:val="2"/>
        </w:rPr>
        <w:t>2)表现症状：由红丝病原菌侵染所致，红丝病呈环形或不规则形状5—50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5"/>
        </w:rPr>
        <w:t xml:space="preserve"> </w:t>
      </w:r>
      <w:r>
        <w:rPr>
          <w:sz w:val="29"/>
          <w:szCs w:val="29"/>
          <w:spacing w:val="-1"/>
        </w:rPr>
        <w:t>的病斑，叶片呈褐色或漂白色，病草水浸状，迅速死亡，死叶弥散在叶间，</w:t>
      </w:r>
      <w:r>
        <w:rPr>
          <w:sz w:val="29"/>
          <w:szCs w:val="29"/>
          <w:spacing w:val="-2"/>
        </w:rPr>
        <w:t>使病</w:t>
      </w:r>
      <w:r>
        <w:rPr>
          <w:sz w:val="29"/>
          <w:szCs w:val="29"/>
        </w:rPr>
        <w:t xml:space="preserve"> </w:t>
      </w:r>
      <w:r>
        <w:rPr>
          <w:sz w:val="29"/>
          <w:szCs w:val="29"/>
          <w:spacing w:val="-8"/>
        </w:rPr>
        <w:t>斑呈斑驳状。病株叶片和叶鞘上生有红色的绒毛状菌丝体和红色菌丝状丝束，清晨</w:t>
      </w:r>
      <w:r>
        <w:rPr>
          <w:sz w:val="29"/>
          <w:szCs w:val="29"/>
          <w:spacing w:val="13"/>
        </w:rPr>
        <w:t xml:space="preserve"> </w:t>
      </w:r>
      <w:r>
        <w:rPr>
          <w:sz w:val="29"/>
          <w:szCs w:val="29"/>
          <w:spacing w:val="-9"/>
        </w:rPr>
        <w:t>有露水或雨天呈胶质肉状，干燥后，变细呈线状，仔细检查单株病草可发现红丝病</w:t>
      </w:r>
      <w:r>
        <w:rPr>
          <w:sz w:val="29"/>
          <w:szCs w:val="29"/>
          <w:spacing w:val="12"/>
        </w:rPr>
        <w:t xml:space="preserve"> </w:t>
      </w:r>
      <w:r>
        <w:rPr>
          <w:sz w:val="29"/>
          <w:szCs w:val="29"/>
          <w:spacing w:val="-14"/>
        </w:rPr>
        <w:t>只浸染叶片，而且叶的死亡是叶尖开始向下发生的。</w:t>
      </w:r>
    </w:p>
    <w:p>
      <w:pPr>
        <w:ind w:firstLine="229"/>
        <w:spacing w:before="94" w:line="3880" w:lineRule="exact"/>
        <w:rPr/>
      </w:pPr>
      <w:r>
        <w:rPr>
          <w:position w:val="-77"/>
        </w:rPr>
        <w:drawing>
          <wp:inline distT="0" distB="0" distL="0" distR="0">
            <wp:extent cx="6216664" cy="2463856"/>
            <wp:effectExtent l="0" t="0" r="0" b="0"/>
            <wp:docPr id="382" name="IM 382"/>
            <wp:cNvGraphicFramePr/>
            <a:graphic>
              <a:graphicData uri="http://schemas.openxmlformats.org/drawingml/2006/picture">
                <pic:pic>
                  <pic:nvPicPr>
                    <pic:cNvPr id="382" name="IM 382"/>
                    <pic:cNvPicPr/>
                  </pic:nvPicPr>
                  <pic:blipFill>
                    <a:blip r:embed="rId273"/>
                    <a:stretch>
                      <a:fillRect/>
                    </a:stretch>
                  </pic:blipFill>
                  <pic:spPr>
                    <a:xfrm rot="0">
                      <a:off x="0" y="0"/>
                      <a:ext cx="6216664" cy="2463856"/>
                    </a:xfrm>
                    <a:prstGeom prst="rect">
                      <a:avLst/>
                    </a:prstGeom>
                  </pic:spPr>
                </pic:pic>
              </a:graphicData>
            </a:graphic>
          </wp:inline>
        </w:drawing>
      </w:r>
    </w:p>
    <w:p>
      <w:pPr>
        <w:pStyle w:val="BodyText"/>
        <w:ind w:left="4369"/>
        <w:spacing w:before="131" w:line="219" w:lineRule="auto"/>
        <w:rPr>
          <w:sz w:val="26"/>
          <w:szCs w:val="26"/>
        </w:rPr>
      </w:pPr>
      <w:r>
        <w:rPr>
          <w:sz w:val="26"/>
          <w:szCs w:val="26"/>
          <w:spacing w:val="-12"/>
        </w:rPr>
        <w:t>图6-1-24草坪红丝病</w:t>
      </w:r>
    </w:p>
    <w:p>
      <w:pPr>
        <w:pStyle w:val="BodyText"/>
        <w:ind w:left="700"/>
        <w:spacing w:before="162" w:line="219" w:lineRule="auto"/>
        <w:rPr>
          <w:sz w:val="29"/>
          <w:szCs w:val="29"/>
        </w:rPr>
      </w:pPr>
      <w:r>
        <w:rPr>
          <w:sz w:val="29"/>
          <w:szCs w:val="29"/>
          <w:spacing w:val="5"/>
        </w:rPr>
        <w:t>3)发病时间：3—6月和9—12月。</w:t>
      </w:r>
    </w:p>
    <w:p>
      <w:pPr>
        <w:pStyle w:val="BodyText"/>
        <w:ind w:left="700"/>
        <w:spacing w:before="134" w:line="219" w:lineRule="auto"/>
        <w:rPr>
          <w:sz w:val="29"/>
          <w:szCs w:val="29"/>
        </w:rPr>
      </w:pPr>
      <w:r>
        <w:rPr>
          <w:sz w:val="29"/>
          <w:szCs w:val="29"/>
          <w:spacing w:val="8"/>
        </w:rPr>
        <w:t>4)防治方法：适量施肥，保持草坪健壮生长，在日出</w:t>
      </w:r>
      <w:r>
        <w:rPr>
          <w:sz w:val="29"/>
          <w:szCs w:val="29"/>
          <w:spacing w:val="7"/>
        </w:rPr>
        <w:t>前浇水，避免在下午</w:t>
      </w:r>
    </w:p>
    <w:p>
      <w:pPr>
        <w:spacing w:line="219" w:lineRule="auto"/>
        <w:sectPr>
          <w:footerReference w:type="default" r:id="rId271"/>
          <w:pgSz w:w="14490" w:h="20470"/>
          <w:pgMar w:top="1739" w:right="2167" w:bottom="1423" w:left="2020" w:header="0" w:footer="1224" w:gutter="0"/>
        </w:sectPr>
        <w:rPr>
          <w:sz w:val="29"/>
          <w:szCs w:val="29"/>
        </w:rPr>
      </w:pPr>
    </w:p>
    <w:p>
      <w:pPr>
        <w:pStyle w:val="BodyText"/>
        <w:ind w:right="334"/>
        <w:spacing w:before="120" w:line="320" w:lineRule="auto"/>
        <w:rPr>
          <w:sz w:val="29"/>
          <w:szCs w:val="29"/>
        </w:rPr>
      </w:pPr>
      <w:r>
        <w:rPr>
          <w:sz w:val="29"/>
          <w:szCs w:val="29"/>
          <w:spacing w:val="-3"/>
        </w:rPr>
        <w:t>和晚上浇水，以避免叶片湿度过大，增强草坪的通风透光性，使用“草坪营养病</w:t>
      </w:r>
      <w:r>
        <w:rPr>
          <w:sz w:val="29"/>
          <w:szCs w:val="29"/>
          <w:spacing w:val="14"/>
        </w:rPr>
        <w:t xml:space="preserve"> </w:t>
      </w:r>
      <w:r>
        <w:rPr>
          <w:sz w:val="29"/>
          <w:szCs w:val="29"/>
          <w:spacing w:val="-3"/>
        </w:rPr>
        <w:t>增绿剂”提高草坪抗性。药剂详细使用参见</w:t>
      </w:r>
      <w:r>
        <w:rPr>
          <w:sz w:val="29"/>
          <w:szCs w:val="29"/>
          <w:spacing w:val="-4"/>
        </w:rPr>
        <w:t>《各地区农药肥料使用指导》。</w:t>
      </w:r>
    </w:p>
    <w:p>
      <w:pPr>
        <w:pStyle w:val="BodyText"/>
        <w:spacing w:before="13" w:line="220" w:lineRule="auto"/>
        <w:rPr>
          <w:rFonts w:ascii="SimHei" w:hAnsi="SimHei" w:eastAsia="SimHei" w:cs="SimHei"/>
          <w:sz w:val="29"/>
          <w:szCs w:val="29"/>
        </w:rPr>
      </w:pPr>
      <w:r>
        <w:rPr>
          <w:rFonts w:ascii="Arial" w:hAnsi="Arial" w:eastAsia="Arial" w:cs="Arial"/>
          <w:sz w:val="29"/>
          <w:szCs w:val="29"/>
          <w:spacing w:val="1"/>
        </w:rPr>
        <w:t>22</w:t>
      </w:r>
      <w:r>
        <w:rPr>
          <w:sz w:val="29"/>
          <w:szCs w:val="29"/>
          <w:spacing w:val="1"/>
        </w:rPr>
        <w:t>、</w:t>
      </w:r>
      <w:r>
        <w:rPr>
          <w:rFonts w:ascii="SimHei" w:hAnsi="SimHei" w:eastAsia="SimHei" w:cs="SimHei"/>
          <w:sz w:val="29"/>
          <w:szCs w:val="29"/>
          <w:spacing w:val="1"/>
        </w:rPr>
        <w:t>粉红雪霉病</w:t>
      </w:r>
    </w:p>
    <w:p>
      <w:pPr>
        <w:pStyle w:val="BodyText"/>
        <w:ind w:left="600"/>
        <w:spacing w:before="106" w:line="219" w:lineRule="auto"/>
        <w:rPr>
          <w:sz w:val="29"/>
          <w:szCs w:val="29"/>
        </w:rPr>
      </w:pPr>
      <w:r>
        <w:rPr>
          <w:sz w:val="29"/>
          <w:szCs w:val="29"/>
          <w:spacing w:val="6"/>
        </w:rPr>
        <w:t>1)危害植物：早熟禾、羊茅、黑麦草、剪股颖。</w:t>
      </w:r>
    </w:p>
    <w:p>
      <w:pPr>
        <w:pStyle w:val="BodyText"/>
        <w:ind w:right="235" w:firstLine="600"/>
        <w:spacing w:before="155" w:line="289" w:lineRule="auto"/>
        <w:rPr>
          <w:sz w:val="29"/>
          <w:szCs w:val="29"/>
        </w:rPr>
      </w:pPr>
      <w:r>
        <w:rPr>
          <w:sz w:val="29"/>
          <w:szCs w:val="29"/>
          <w:spacing w:val="-2"/>
        </w:rPr>
        <w:t>2)表现症状：雪覆盖下草坪容易染病，感病后草坪呈现近</w:t>
      </w:r>
      <w:r>
        <w:rPr>
          <w:sz w:val="29"/>
          <w:szCs w:val="29"/>
          <w:spacing w:val="-3"/>
        </w:rPr>
        <w:t>圆形直径达5—8</w:t>
      </w:r>
      <w:r>
        <w:rPr>
          <w:rFonts w:ascii="Times New Roman" w:hAnsi="Times New Roman" w:eastAsia="Times New Roman" w:cs="Times New Roman"/>
          <w:sz w:val="29"/>
          <w:szCs w:val="29"/>
          <w:spacing w:val="-3"/>
        </w:rPr>
        <w:t>cm</w:t>
      </w:r>
      <w:r>
        <w:rPr>
          <w:rFonts w:ascii="Times New Roman" w:hAnsi="Times New Roman" w:eastAsia="Times New Roman" w:cs="Times New Roman"/>
          <w:sz w:val="29"/>
          <w:szCs w:val="29"/>
        </w:rPr>
        <w:t xml:space="preserve"> </w:t>
      </w:r>
      <w:r>
        <w:rPr>
          <w:sz w:val="29"/>
          <w:szCs w:val="29"/>
          <w:spacing w:val="7"/>
        </w:rPr>
        <w:t>至30—60</w:t>
      </w:r>
      <w:r>
        <w:rPr>
          <w:rFonts w:ascii="Times New Roman" w:hAnsi="Times New Roman" w:eastAsia="Times New Roman" w:cs="Times New Roman"/>
          <w:sz w:val="29"/>
          <w:szCs w:val="29"/>
        </w:rPr>
        <w:t>cm</w:t>
      </w:r>
      <w:r>
        <w:rPr>
          <w:sz w:val="29"/>
          <w:szCs w:val="29"/>
          <w:spacing w:val="7"/>
        </w:rPr>
        <w:t>病斑，病斑颜色为古铜色至灰</w:t>
      </w:r>
      <w:r>
        <w:rPr>
          <w:sz w:val="29"/>
          <w:szCs w:val="29"/>
          <w:spacing w:val="6"/>
        </w:rPr>
        <w:t>白色或红褐色，边缘为粉色，叶萎蔫</w:t>
      </w:r>
      <w:r>
        <w:rPr>
          <w:sz w:val="29"/>
          <w:szCs w:val="29"/>
        </w:rPr>
        <w:t xml:space="preserve"> </w:t>
      </w:r>
      <w:r>
        <w:rPr>
          <w:sz w:val="29"/>
          <w:szCs w:val="29"/>
          <w:spacing w:val="-8"/>
        </w:rPr>
        <w:t>黯然。在无雪的情况下，粉红雪霉病在草坪上出现红褐色病斑，在病斑边缘能看到</w:t>
      </w:r>
      <w:r>
        <w:rPr>
          <w:sz w:val="29"/>
          <w:szCs w:val="29"/>
          <w:spacing w:val="6"/>
        </w:rPr>
        <w:t xml:space="preserve"> </w:t>
      </w:r>
      <w:r>
        <w:rPr>
          <w:sz w:val="29"/>
          <w:szCs w:val="29"/>
          <w:spacing w:val="-26"/>
        </w:rPr>
        <w:t>粉色的菌丝，因此称为“粉红雪霉病”。</w:t>
      </w:r>
    </w:p>
    <w:p>
      <w:pPr>
        <w:ind w:firstLine="109"/>
        <w:spacing w:before="93" w:line="7251" w:lineRule="exact"/>
        <w:rPr/>
      </w:pPr>
      <w:r>
        <w:rPr>
          <w:position w:val="-145"/>
        </w:rPr>
        <w:drawing>
          <wp:inline distT="0" distB="0" distL="0" distR="0">
            <wp:extent cx="6489662" cy="4603791"/>
            <wp:effectExtent l="0" t="0" r="0" b="0"/>
            <wp:docPr id="384" name="IM 384"/>
            <wp:cNvGraphicFramePr/>
            <a:graphic>
              <a:graphicData uri="http://schemas.openxmlformats.org/drawingml/2006/picture">
                <pic:pic>
                  <pic:nvPicPr>
                    <pic:cNvPr id="384" name="IM 384"/>
                    <pic:cNvPicPr/>
                  </pic:nvPicPr>
                  <pic:blipFill>
                    <a:blip r:embed="rId275"/>
                    <a:stretch>
                      <a:fillRect/>
                    </a:stretch>
                  </pic:blipFill>
                  <pic:spPr>
                    <a:xfrm rot="0">
                      <a:off x="0" y="0"/>
                      <a:ext cx="6489662" cy="4603791"/>
                    </a:xfrm>
                    <a:prstGeom prst="rect">
                      <a:avLst/>
                    </a:prstGeom>
                  </pic:spPr>
                </pic:pic>
              </a:graphicData>
            </a:graphic>
          </wp:inline>
        </w:drawing>
      </w:r>
    </w:p>
    <w:p>
      <w:pPr>
        <w:pStyle w:val="BodyText"/>
        <w:ind w:left="3999"/>
        <w:spacing w:before="111" w:line="219" w:lineRule="auto"/>
        <w:rPr>
          <w:sz w:val="27"/>
          <w:szCs w:val="27"/>
        </w:rPr>
      </w:pPr>
      <w:r>
        <w:rPr>
          <w:sz w:val="27"/>
          <w:szCs w:val="27"/>
          <w:spacing w:val="-17"/>
        </w:rPr>
        <w:t>图6-1-25粉红雪霉病</w:t>
      </w:r>
    </w:p>
    <w:p>
      <w:pPr>
        <w:pStyle w:val="BodyText"/>
        <w:ind w:left="600"/>
        <w:spacing w:before="170" w:line="219" w:lineRule="auto"/>
        <w:rPr>
          <w:sz w:val="29"/>
          <w:szCs w:val="29"/>
        </w:rPr>
      </w:pPr>
      <w:r>
        <w:rPr>
          <w:sz w:val="29"/>
          <w:szCs w:val="29"/>
          <w:spacing w:val="-3"/>
        </w:rPr>
        <w:t>3)发病时期：11月一翌年3月，在低于15℃的凉爽潮湿的季节也容易染病。</w:t>
      </w:r>
    </w:p>
    <w:p>
      <w:pPr>
        <w:pStyle w:val="BodyText"/>
        <w:ind w:firstLine="600"/>
        <w:spacing w:before="123" w:line="279" w:lineRule="auto"/>
        <w:rPr>
          <w:sz w:val="29"/>
          <w:szCs w:val="29"/>
        </w:rPr>
      </w:pPr>
      <w:r>
        <w:rPr>
          <w:sz w:val="29"/>
          <w:szCs w:val="29"/>
          <w:spacing w:val="9"/>
        </w:rPr>
        <w:t>4)防治方法：合理施氮肥，促进草坪排水、避免</w:t>
      </w:r>
      <w:r>
        <w:rPr>
          <w:sz w:val="29"/>
          <w:szCs w:val="29"/>
          <w:spacing w:val="8"/>
        </w:rPr>
        <w:t>践踏、减少枯草层、适当</w:t>
      </w:r>
      <w:r>
        <w:rPr>
          <w:sz w:val="29"/>
          <w:szCs w:val="29"/>
        </w:rPr>
        <w:t xml:space="preserve">  </w:t>
      </w:r>
      <w:r>
        <w:rPr>
          <w:sz w:val="29"/>
          <w:szCs w:val="29"/>
          <w:spacing w:val="-9"/>
        </w:rPr>
        <w:t>打孔、给草坪通风增加光照，秋季扫除草坪上的落叶，冬季清除不能及时融</w:t>
      </w:r>
      <w:r>
        <w:rPr>
          <w:sz w:val="29"/>
          <w:szCs w:val="29"/>
          <w:spacing w:val="-10"/>
        </w:rPr>
        <w:t>化的雪。</w:t>
      </w:r>
      <w:r>
        <w:rPr>
          <w:sz w:val="29"/>
          <w:szCs w:val="29"/>
        </w:rPr>
        <w:t xml:space="preserve"> </w:t>
      </w:r>
      <w:r>
        <w:rPr>
          <w:sz w:val="29"/>
          <w:szCs w:val="29"/>
          <w:spacing w:val="-7"/>
        </w:rPr>
        <w:t>药剂详细使用参见《各地区农药肥料使用指导》。</w:t>
      </w:r>
    </w:p>
    <w:p>
      <w:pPr>
        <w:pStyle w:val="BodyText"/>
        <w:spacing w:before="166" w:line="395" w:lineRule="exact"/>
        <w:rPr>
          <w:rFonts w:ascii="SimHei" w:hAnsi="SimHei" w:eastAsia="SimHei" w:cs="SimHei"/>
          <w:sz w:val="29"/>
          <w:szCs w:val="29"/>
        </w:rPr>
      </w:pPr>
      <w:r>
        <w:rPr>
          <w:rFonts w:ascii="Arial" w:hAnsi="Arial" w:eastAsia="Arial" w:cs="Arial"/>
          <w:sz w:val="29"/>
          <w:szCs w:val="29"/>
          <w:spacing w:val="3"/>
          <w:position w:val="1"/>
        </w:rPr>
        <w:t>23</w:t>
      </w:r>
      <w:r>
        <w:rPr>
          <w:sz w:val="29"/>
          <w:szCs w:val="29"/>
          <w:spacing w:val="3"/>
          <w:position w:val="1"/>
        </w:rPr>
        <w:t>、</w:t>
      </w:r>
      <w:r>
        <w:rPr>
          <w:rFonts w:ascii="SimHei" w:hAnsi="SimHei" w:eastAsia="SimHei" w:cs="SimHei"/>
          <w:sz w:val="29"/>
          <w:szCs w:val="29"/>
          <w:spacing w:val="3"/>
          <w:position w:val="1"/>
        </w:rPr>
        <w:t>草坪苔藓</w:t>
      </w:r>
    </w:p>
    <w:p>
      <w:pPr>
        <w:pStyle w:val="BodyText"/>
        <w:ind w:left="600"/>
        <w:spacing w:before="97" w:line="219" w:lineRule="auto"/>
        <w:rPr>
          <w:sz w:val="29"/>
          <w:szCs w:val="29"/>
        </w:rPr>
      </w:pPr>
      <w:r>
        <w:rPr>
          <w:sz w:val="29"/>
          <w:szCs w:val="29"/>
          <w:spacing w:val="15"/>
        </w:rPr>
        <w:t>1)危害植物：草坪</w:t>
      </w:r>
    </w:p>
    <w:p>
      <w:pPr>
        <w:pStyle w:val="BodyText"/>
        <w:ind w:right="239" w:firstLine="600"/>
        <w:spacing w:before="164" w:line="287" w:lineRule="auto"/>
        <w:rPr>
          <w:sz w:val="29"/>
          <w:szCs w:val="29"/>
        </w:rPr>
      </w:pPr>
      <w:r>
        <w:rPr>
          <w:sz w:val="29"/>
          <w:szCs w:val="29"/>
          <w:spacing w:val="8"/>
        </w:rPr>
        <w:t>2)表现症状：苔藓的生长在晚春、夏季、早秋炎热潮湿的条件下，非常有</w:t>
      </w:r>
      <w:r>
        <w:rPr>
          <w:sz w:val="29"/>
          <w:szCs w:val="29"/>
          <w:spacing w:val="9"/>
        </w:rPr>
        <w:t xml:space="preserve"> </w:t>
      </w:r>
      <w:r>
        <w:rPr>
          <w:sz w:val="29"/>
          <w:szCs w:val="29"/>
          <w:spacing w:val="-8"/>
        </w:rPr>
        <w:t>侵略性，能导致草坪密度变低，土壤肥力不足，施肥不当，低修剪，遮阴，排水不</w:t>
      </w:r>
      <w:r>
        <w:rPr>
          <w:sz w:val="29"/>
          <w:szCs w:val="29"/>
          <w:spacing w:val="2"/>
        </w:rPr>
        <w:t xml:space="preserve"> </w:t>
      </w:r>
      <w:r>
        <w:rPr>
          <w:sz w:val="29"/>
          <w:szCs w:val="29"/>
          <w:spacing w:val="-9"/>
        </w:rPr>
        <w:t>良，频繁灌溉，土壤过于紧实以及修剪前后没有及时清理草屑等可能导</w:t>
      </w:r>
      <w:r>
        <w:rPr>
          <w:sz w:val="29"/>
          <w:szCs w:val="29"/>
          <w:spacing w:val="-10"/>
        </w:rPr>
        <w:t>致苔藓的发</w:t>
      </w:r>
      <w:r>
        <w:rPr>
          <w:sz w:val="29"/>
          <w:szCs w:val="29"/>
        </w:rPr>
        <w:t xml:space="preserve"> </w:t>
      </w:r>
      <w:r>
        <w:rPr>
          <w:sz w:val="29"/>
          <w:szCs w:val="29"/>
          <w:spacing w:val="-9"/>
        </w:rPr>
        <w:t>生。苔藓植物没有真正的根，只有假根覆盖在地面，可使草窒息，并消</w:t>
      </w:r>
      <w:r>
        <w:rPr>
          <w:sz w:val="29"/>
          <w:szCs w:val="29"/>
          <w:spacing w:val="-10"/>
        </w:rPr>
        <w:t>耗土</w:t>
      </w:r>
    </w:p>
    <w:p>
      <w:pPr>
        <w:spacing w:line="287" w:lineRule="auto"/>
        <w:sectPr>
          <w:footerReference w:type="default" r:id="rId274"/>
          <w:pgSz w:w="14490" w:h="20470"/>
          <w:pgMar w:top="1739" w:right="1955" w:bottom="1448" w:left="2140" w:header="0" w:footer="1203" w:gutter="0"/>
        </w:sectPr>
        <w:rPr>
          <w:sz w:val="29"/>
          <w:szCs w:val="29"/>
        </w:rPr>
      </w:pPr>
    </w:p>
    <w:p>
      <w:pPr>
        <w:pStyle w:val="BodyText"/>
        <w:ind w:right="280"/>
        <w:spacing w:before="121" w:line="305" w:lineRule="auto"/>
        <w:rPr>
          <w:sz w:val="29"/>
          <w:szCs w:val="29"/>
        </w:rPr>
      </w:pPr>
      <w:r>
        <w:rPr>
          <w:sz w:val="29"/>
          <w:szCs w:val="29"/>
          <w:spacing w:val="-8"/>
        </w:rPr>
        <w:t>壤中的水分和养分，造成草坪生长不良，出现枯黄甚至造成草坪的大量死亡；苔</w:t>
      </w:r>
      <w:r>
        <w:rPr>
          <w:sz w:val="29"/>
          <w:szCs w:val="29"/>
          <w:spacing w:val="14"/>
        </w:rPr>
        <w:t xml:space="preserve"> </w:t>
      </w:r>
      <w:r>
        <w:rPr>
          <w:sz w:val="29"/>
          <w:szCs w:val="29"/>
          <w:spacing w:val="1"/>
        </w:rPr>
        <w:t>藓干旱形成的苔藓膜垫层吸水可复活，再次危害草坪。</w:t>
      </w:r>
    </w:p>
    <w:p>
      <w:pPr>
        <w:ind w:firstLine="409"/>
        <w:spacing w:line="5340" w:lineRule="exact"/>
        <w:rPr/>
      </w:pPr>
      <w:r>
        <w:rPr>
          <w:position w:val="-106"/>
        </w:rPr>
        <w:drawing>
          <wp:inline distT="0" distB="0" distL="0" distR="0">
            <wp:extent cx="5943667" cy="3390905"/>
            <wp:effectExtent l="0" t="0" r="0" b="0"/>
            <wp:docPr id="386" name="IM 386"/>
            <wp:cNvGraphicFramePr/>
            <a:graphic>
              <a:graphicData uri="http://schemas.openxmlformats.org/drawingml/2006/picture">
                <pic:pic>
                  <pic:nvPicPr>
                    <pic:cNvPr id="386" name="IM 386"/>
                    <pic:cNvPicPr/>
                  </pic:nvPicPr>
                  <pic:blipFill>
                    <a:blip r:embed="rId277"/>
                    <a:stretch>
                      <a:fillRect/>
                    </a:stretch>
                  </pic:blipFill>
                  <pic:spPr>
                    <a:xfrm rot="0">
                      <a:off x="0" y="0"/>
                      <a:ext cx="5943667" cy="3390905"/>
                    </a:xfrm>
                    <a:prstGeom prst="rect">
                      <a:avLst/>
                    </a:prstGeom>
                  </pic:spPr>
                </pic:pic>
              </a:graphicData>
            </a:graphic>
          </wp:inline>
        </w:drawing>
      </w:r>
    </w:p>
    <w:p>
      <w:pPr>
        <w:pStyle w:val="BodyText"/>
        <w:ind w:left="3879"/>
        <w:spacing w:before="61" w:line="219" w:lineRule="auto"/>
        <w:rPr>
          <w:sz w:val="27"/>
          <w:szCs w:val="27"/>
        </w:rPr>
      </w:pPr>
      <w:r>
        <w:rPr>
          <w:sz w:val="27"/>
          <w:szCs w:val="27"/>
          <w:spacing w:val="-16"/>
        </w:rPr>
        <w:t>图6-1-26草坪苔藓危害</w:t>
      </w:r>
    </w:p>
    <w:p>
      <w:pPr>
        <w:pStyle w:val="BodyText"/>
        <w:ind w:right="21" w:firstLine="600"/>
        <w:spacing w:before="173" w:line="310" w:lineRule="auto"/>
        <w:jc w:val="both"/>
        <w:rPr>
          <w:sz w:val="29"/>
          <w:szCs w:val="29"/>
        </w:rPr>
      </w:pPr>
      <w:r>
        <w:rPr>
          <w:sz w:val="29"/>
          <w:szCs w:val="29"/>
          <w:spacing w:val="8"/>
        </w:rPr>
        <w:t>3)防治方法：避免草坪遮阴或排水不良，遮阴区域应当提高修剪高度来弥</w:t>
      </w:r>
      <w:r>
        <w:rPr>
          <w:sz w:val="29"/>
          <w:szCs w:val="29"/>
        </w:rPr>
        <w:t xml:space="preserve"> </w:t>
      </w:r>
      <w:r>
        <w:rPr>
          <w:sz w:val="29"/>
          <w:szCs w:val="29"/>
          <w:spacing w:val="-9"/>
        </w:rPr>
        <w:t>补光照的不足，少次多量灌溉，让充足的水分进入根系，当草坪发出即将萎蔫的信</w:t>
      </w:r>
      <w:r>
        <w:rPr>
          <w:sz w:val="29"/>
          <w:szCs w:val="29"/>
          <w:spacing w:val="2"/>
        </w:rPr>
        <w:t xml:space="preserve"> </w:t>
      </w:r>
      <w:r>
        <w:rPr>
          <w:sz w:val="29"/>
          <w:szCs w:val="29"/>
          <w:spacing w:val="-9"/>
        </w:rPr>
        <w:t>号时再次灌溉，少施磷肥，多施钾肥，并结合使用“草坪根动力”</w:t>
      </w:r>
      <w:r>
        <w:rPr>
          <w:sz w:val="29"/>
          <w:szCs w:val="29"/>
          <w:spacing w:val="-10"/>
        </w:rPr>
        <w:t>增强草坪根系活</w:t>
      </w:r>
      <w:r>
        <w:rPr>
          <w:sz w:val="29"/>
          <w:szCs w:val="29"/>
        </w:rPr>
        <w:t xml:space="preserve"> </w:t>
      </w:r>
      <w:r>
        <w:rPr>
          <w:sz w:val="29"/>
          <w:szCs w:val="29"/>
          <w:spacing w:val="-5"/>
        </w:rPr>
        <w:t>力。药剂详细使用参见《各地区农药肥料使用指导》。</w:t>
      </w:r>
    </w:p>
    <w:p>
      <w:pPr>
        <w:spacing w:before="35" w:line="222" w:lineRule="auto"/>
        <w:rPr>
          <w:rFonts w:ascii="SimHei" w:hAnsi="SimHei" w:eastAsia="SimHei" w:cs="SimHei"/>
          <w:sz w:val="28"/>
          <w:szCs w:val="28"/>
        </w:rPr>
      </w:pPr>
      <w:r>
        <w:rPr>
          <w:rFonts w:ascii="SimHei" w:hAnsi="SimHei" w:eastAsia="SimHei" w:cs="SimHei"/>
          <w:sz w:val="28"/>
          <w:szCs w:val="28"/>
          <w:spacing w:val="8"/>
        </w:rPr>
        <w:t>24、</w:t>
      </w:r>
      <w:r>
        <w:rPr>
          <w:rFonts w:ascii="SimHei" w:hAnsi="SimHei" w:eastAsia="SimHei" w:cs="SimHei"/>
          <w:sz w:val="28"/>
          <w:szCs w:val="28"/>
          <w:b/>
          <w:bCs/>
          <w:spacing w:val="8"/>
        </w:rPr>
        <w:t>草坪蘑菇圈</w:t>
      </w:r>
    </w:p>
    <w:p>
      <w:pPr>
        <w:pStyle w:val="BodyText"/>
        <w:ind w:left="640"/>
        <w:spacing w:before="127" w:line="219" w:lineRule="auto"/>
        <w:rPr>
          <w:sz w:val="29"/>
          <w:szCs w:val="29"/>
        </w:rPr>
      </w:pPr>
      <w:r>
        <w:rPr>
          <w:sz w:val="29"/>
          <w:szCs w:val="29"/>
          <w:spacing w:val="7"/>
        </w:rPr>
        <w:t>1)危害植物：所有草坪。</w:t>
      </w:r>
    </w:p>
    <w:p>
      <w:pPr>
        <w:ind w:firstLine="1239"/>
        <w:spacing w:before="163" w:line="5221" w:lineRule="exact"/>
        <w:rPr/>
      </w:pPr>
      <w:r>
        <w:rPr>
          <w:position w:val="-104"/>
        </w:rPr>
        <w:drawing>
          <wp:inline distT="0" distB="0" distL="0" distR="0">
            <wp:extent cx="5048302" cy="3314734"/>
            <wp:effectExtent l="0" t="0" r="0" b="0"/>
            <wp:docPr id="388" name="IM 388"/>
            <wp:cNvGraphicFramePr/>
            <a:graphic>
              <a:graphicData uri="http://schemas.openxmlformats.org/drawingml/2006/picture">
                <pic:pic>
                  <pic:nvPicPr>
                    <pic:cNvPr id="388" name="IM 388"/>
                    <pic:cNvPicPr/>
                  </pic:nvPicPr>
                  <pic:blipFill>
                    <a:blip r:embed="rId278"/>
                    <a:stretch>
                      <a:fillRect/>
                    </a:stretch>
                  </pic:blipFill>
                  <pic:spPr>
                    <a:xfrm rot="0">
                      <a:off x="0" y="0"/>
                      <a:ext cx="5048302" cy="3314734"/>
                    </a:xfrm>
                    <a:prstGeom prst="rect">
                      <a:avLst/>
                    </a:prstGeom>
                  </pic:spPr>
                </pic:pic>
              </a:graphicData>
            </a:graphic>
          </wp:inline>
        </w:drawing>
      </w:r>
    </w:p>
    <w:p>
      <w:pPr>
        <w:pStyle w:val="BodyText"/>
        <w:ind w:left="4139"/>
        <w:spacing w:before="101" w:line="219" w:lineRule="auto"/>
        <w:rPr>
          <w:sz w:val="27"/>
          <w:szCs w:val="27"/>
        </w:rPr>
      </w:pPr>
      <w:r>
        <w:rPr>
          <w:sz w:val="27"/>
          <w:szCs w:val="27"/>
          <w:spacing w:val="-16"/>
        </w:rPr>
        <w:t>图6-1-27草坪蘑菇圈</w:t>
      </w:r>
    </w:p>
    <w:p>
      <w:pPr>
        <w:pStyle w:val="BodyText"/>
        <w:ind w:right="22" w:firstLine="590"/>
        <w:spacing w:before="158" w:line="320" w:lineRule="auto"/>
        <w:rPr>
          <w:sz w:val="29"/>
          <w:szCs w:val="29"/>
        </w:rPr>
      </w:pPr>
      <w:r>
        <w:rPr>
          <w:sz w:val="29"/>
          <w:szCs w:val="29"/>
          <w:spacing w:val="8"/>
        </w:rPr>
        <w:t>2)表现症状：春季和夏初，潮湿的草坪上可出现环形或弧形的深绿色或生 </w:t>
      </w:r>
      <w:r>
        <w:rPr>
          <w:sz w:val="29"/>
          <w:szCs w:val="29"/>
          <w:spacing w:val="-7"/>
        </w:rPr>
        <w:t>长迅速的草围成的圈。在疯长的草坪圈内部偶尔出现由瘦弱的、休眠的或</w:t>
      </w:r>
      <w:r>
        <w:rPr>
          <w:sz w:val="29"/>
          <w:szCs w:val="29"/>
          <w:spacing w:val="-8"/>
        </w:rPr>
        <w:t>死草围</w:t>
      </w:r>
    </w:p>
    <w:p>
      <w:pPr>
        <w:spacing w:line="320" w:lineRule="auto"/>
        <w:sectPr>
          <w:footerReference w:type="default" r:id="rId276"/>
          <w:pgSz w:w="14490" w:h="20470"/>
          <w:pgMar w:top="1739" w:right="2173" w:bottom="1449" w:left="2150" w:header="0" w:footer="1203" w:gutter="0"/>
        </w:sectPr>
        <w:rPr>
          <w:sz w:val="29"/>
          <w:szCs w:val="29"/>
        </w:rPr>
      </w:pPr>
    </w:p>
    <w:p>
      <w:pPr>
        <w:pStyle w:val="BodyText"/>
        <w:spacing w:before="123" w:line="221" w:lineRule="auto"/>
        <w:rPr>
          <w:sz w:val="29"/>
          <w:szCs w:val="29"/>
        </w:rPr>
      </w:pPr>
      <w:r>
        <w:rPr>
          <w:sz w:val="29"/>
          <w:szCs w:val="29"/>
        </w:rPr>
        <w:t>成的同心圆圈。</w:t>
      </w:r>
    </w:p>
    <w:p>
      <w:pPr>
        <w:pStyle w:val="BodyText"/>
        <w:ind w:left="590"/>
        <w:spacing w:before="141" w:line="219" w:lineRule="auto"/>
        <w:rPr>
          <w:sz w:val="29"/>
          <w:szCs w:val="29"/>
        </w:rPr>
      </w:pPr>
      <w:r>
        <w:rPr>
          <w:sz w:val="29"/>
          <w:szCs w:val="29"/>
          <w:spacing w:val="12"/>
        </w:rPr>
        <w:t>3)发病时间：任何时间。</w:t>
      </w:r>
    </w:p>
    <w:p>
      <w:pPr>
        <w:pStyle w:val="BodyText"/>
        <w:ind w:right="63" w:firstLine="590"/>
        <w:spacing w:before="157" w:line="288" w:lineRule="auto"/>
        <w:rPr>
          <w:sz w:val="29"/>
          <w:szCs w:val="29"/>
        </w:rPr>
      </w:pPr>
      <w:r>
        <w:rPr>
          <w:sz w:val="29"/>
          <w:szCs w:val="29"/>
          <w:spacing w:val="8"/>
        </w:rPr>
        <w:t>4)防治方法：疏草和垂直切割去除枯草层，维持土壤通透性，保证土壤水 </w:t>
      </w:r>
      <w:r>
        <w:rPr>
          <w:sz w:val="29"/>
          <w:szCs w:val="29"/>
          <w:spacing w:val="-8"/>
        </w:rPr>
        <w:t>分充足，以维持土壤剖面处于非常潮湿的状态，药剂防治，必要时可用溴</w:t>
      </w:r>
      <w:r>
        <w:rPr>
          <w:sz w:val="29"/>
          <w:szCs w:val="29"/>
          <w:spacing w:val="-9"/>
        </w:rPr>
        <w:t>甲烷或棉</w:t>
      </w:r>
      <w:r>
        <w:rPr>
          <w:sz w:val="29"/>
          <w:szCs w:val="29"/>
        </w:rPr>
        <w:t xml:space="preserve"> </w:t>
      </w:r>
      <w:r>
        <w:rPr>
          <w:sz w:val="29"/>
          <w:szCs w:val="29"/>
          <w:spacing w:val="-8"/>
        </w:rPr>
        <w:t>隆薰蒸土壤，也可打孔浇灌百菌清等。药剂详细使用参见《各地区农药</w:t>
      </w:r>
      <w:r>
        <w:rPr>
          <w:sz w:val="29"/>
          <w:szCs w:val="29"/>
          <w:spacing w:val="-9"/>
        </w:rPr>
        <w:t>肥料使用指</w:t>
      </w:r>
      <w:r>
        <w:rPr>
          <w:sz w:val="29"/>
          <w:szCs w:val="29"/>
        </w:rPr>
        <w:t xml:space="preserve"> </w:t>
      </w:r>
      <w:r>
        <w:rPr>
          <w:sz w:val="29"/>
          <w:szCs w:val="29"/>
          <w:spacing w:val="-17"/>
        </w:rPr>
        <w:t>导》。</w:t>
      </w:r>
    </w:p>
    <w:p>
      <w:pPr>
        <w:spacing w:before="206" w:line="221" w:lineRule="auto"/>
        <w:rPr>
          <w:rFonts w:ascii="SimHei" w:hAnsi="SimHei" w:eastAsia="SimHei" w:cs="SimHei"/>
          <w:sz w:val="28"/>
          <w:szCs w:val="28"/>
        </w:rPr>
      </w:pPr>
      <w:r>
        <w:rPr>
          <w:rFonts w:ascii="SimHei" w:hAnsi="SimHei" w:eastAsia="SimHei" w:cs="SimHei"/>
          <w:sz w:val="28"/>
          <w:szCs w:val="28"/>
          <w:spacing w:val="13"/>
        </w:rPr>
        <w:t>25、草坪铜斑病</w:t>
      </w:r>
    </w:p>
    <w:p>
      <w:pPr>
        <w:pStyle w:val="BodyText"/>
        <w:ind w:left="590"/>
        <w:spacing w:before="107" w:line="219" w:lineRule="auto"/>
        <w:rPr>
          <w:sz w:val="29"/>
          <w:szCs w:val="29"/>
        </w:rPr>
      </w:pPr>
      <w:r>
        <w:rPr>
          <w:sz w:val="29"/>
          <w:szCs w:val="29"/>
          <w:spacing w:val="7"/>
        </w:rPr>
        <w:t>1)危害植物：早熟禾、剪股颖、狗牙根等。</w:t>
      </w:r>
    </w:p>
    <w:p>
      <w:pPr>
        <w:pStyle w:val="BodyText"/>
        <w:ind w:right="53" w:firstLine="590"/>
        <w:spacing w:before="146" w:line="287" w:lineRule="auto"/>
        <w:rPr>
          <w:sz w:val="29"/>
          <w:szCs w:val="29"/>
        </w:rPr>
      </w:pPr>
      <w:r>
        <w:rPr>
          <w:sz w:val="29"/>
          <w:szCs w:val="29"/>
          <w:spacing w:val="8"/>
        </w:rPr>
        <w:t>2)表现症状：发病草坪上出现分散的、近环形的斑块，颜色为鲜红色到红 </w:t>
      </w:r>
      <w:r>
        <w:rPr>
          <w:sz w:val="29"/>
          <w:szCs w:val="29"/>
          <w:spacing w:val="-2"/>
        </w:rPr>
        <w:t>棕色，直径2—7</w:t>
      </w:r>
      <w:r>
        <w:rPr>
          <w:rFonts w:ascii="Times New Roman" w:hAnsi="Times New Roman" w:eastAsia="Times New Roman" w:cs="Times New Roman"/>
          <w:sz w:val="29"/>
          <w:szCs w:val="29"/>
          <w:spacing w:val="-2"/>
        </w:rPr>
        <w:t>cm</w:t>
      </w:r>
      <w:r>
        <w:rPr>
          <w:sz w:val="29"/>
          <w:szCs w:val="29"/>
          <w:spacing w:val="-2"/>
        </w:rPr>
        <w:t>。病株叶片上生有红色至褐色小斑，多个病斑愈合使整个叶片</w:t>
      </w:r>
      <w:r>
        <w:rPr>
          <w:sz w:val="29"/>
          <w:szCs w:val="29"/>
          <w:spacing w:val="18"/>
        </w:rPr>
        <w:t xml:space="preserve"> </w:t>
      </w:r>
      <w:r>
        <w:rPr>
          <w:sz w:val="29"/>
          <w:szCs w:val="29"/>
          <w:spacing w:val="-8"/>
        </w:rPr>
        <w:t>枯死。天气潮湿时，病叶有菌丝体覆盖并产生很多桔红色的小</w:t>
      </w:r>
      <w:r>
        <w:rPr>
          <w:sz w:val="29"/>
          <w:szCs w:val="29"/>
          <w:spacing w:val="-9"/>
        </w:rPr>
        <w:t>点，清晨有露水时观</w:t>
      </w:r>
      <w:r>
        <w:rPr>
          <w:sz w:val="29"/>
          <w:szCs w:val="29"/>
        </w:rPr>
        <w:t xml:space="preserve"> </w:t>
      </w:r>
      <w:r>
        <w:rPr>
          <w:sz w:val="29"/>
          <w:szCs w:val="29"/>
          <w:spacing w:val="-2"/>
        </w:rPr>
        <w:t>察是胶质状的。</w:t>
      </w:r>
    </w:p>
    <w:p>
      <w:pPr>
        <w:ind w:firstLine="949"/>
        <w:spacing w:before="184" w:line="3410" w:lineRule="exact"/>
        <w:rPr/>
      </w:pPr>
      <w:r>
        <w:rPr>
          <w:position w:val="-68"/>
        </w:rPr>
        <w:drawing>
          <wp:inline distT="0" distB="0" distL="0" distR="0">
            <wp:extent cx="5314952" cy="2165281"/>
            <wp:effectExtent l="0" t="0" r="0" b="0"/>
            <wp:docPr id="390" name="IM 390"/>
            <wp:cNvGraphicFramePr/>
            <a:graphic>
              <a:graphicData uri="http://schemas.openxmlformats.org/drawingml/2006/picture">
                <pic:pic>
                  <pic:nvPicPr>
                    <pic:cNvPr id="390" name="IM 390"/>
                    <pic:cNvPicPr/>
                  </pic:nvPicPr>
                  <pic:blipFill>
                    <a:blip r:embed="rId280"/>
                    <a:stretch>
                      <a:fillRect/>
                    </a:stretch>
                  </pic:blipFill>
                  <pic:spPr>
                    <a:xfrm rot="0">
                      <a:off x="0" y="0"/>
                      <a:ext cx="5314952" cy="2165281"/>
                    </a:xfrm>
                    <a:prstGeom prst="rect">
                      <a:avLst/>
                    </a:prstGeom>
                  </pic:spPr>
                </pic:pic>
              </a:graphicData>
            </a:graphic>
          </wp:inline>
        </w:drawing>
      </w:r>
    </w:p>
    <w:p>
      <w:pPr>
        <w:pStyle w:val="BodyText"/>
        <w:ind w:left="4109"/>
        <w:spacing w:before="182" w:line="219" w:lineRule="auto"/>
        <w:rPr>
          <w:sz w:val="27"/>
          <w:szCs w:val="27"/>
        </w:rPr>
      </w:pPr>
      <w:r>
        <w:rPr>
          <w:sz w:val="27"/>
          <w:szCs w:val="27"/>
          <w:spacing w:val="-19"/>
        </w:rPr>
        <w:t>图6-1-28草坪铜斑病</w:t>
      </w:r>
    </w:p>
    <w:p>
      <w:pPr>
        <w:pStyle w:val="BodyText"/>
        <w:ind w:left="590"/>
        <w:spacing w:before="131" w:line="219" w:lineRule="auto"/>
        <w:rPr>
          <w:sz w:val="30"/>
          <w:szCs w:val="30"/>
        </w:rPr>
      </w:pPr>
      <w:r>
        <w:rPr>
          <w:sz w:val="30"/>
          <w:szCs w:val="30"/>
          <w:spacing w:val="23"/>
        </w:rPr>
        <w:t>3)发病时间：4—9月。</w:t>
      </w:r>
    </w:p>
    <w:p>
      <w:pPr>
        <w:pStyle w:val="BodyText"/>
        <w:ind w:left="590"/>
        <w:spacing w:before="150" w:line="212" w:lineRule="auto"/>
        <w:rPr>
          <w:sz w:val="29"/>
          <w:szCs w:val="29"/>
        </w:rPr>
      </w:pPr>
      <w:r>
        <w:rPr>
          <w:sz w:val="29"/>
          <w:szCs w:val="29"/>
          <w:spacing w:val="1"/>
        </w:rPr>
        <w:t>4)防治方法：避免过量使用</w:t>
      </w:r>
      <w:r>
        <w:rPr>
          <w:rFonts w:ascii="Times New Roman" w:hAnsi="Times New Roman" w:eastAsia="Times New Roman" w:cs="Times New Roman"/>
          <w:sz w:val="29"/>
          <w:szCs w:val="29"/>
          <w:spacing w:val="1"/>
        </w:rPr>
        <w:t>N</w:t>
      </w:r>
      <w:r>
        <w:rPr>
          <w:sz w:val="29"/>
          <w:szCs w:val="29"/>
          <w:spacing w:val="1"/>
        </w:rPr>
        <w:t>肥，适当增施</w:t>
      </w:r>
      <w:r>
        <w:rPr>
          <w:rFonts w:ascii="Times New Roman" w:hAnsi="Times New Roman" w:eastAsia="Times New Roman" w:cs="Times New Roman"/>
          <w:sz w:val="29"/>
          <w:szCs w:val="29"/>
          <w:spacing w:val="1"/>
        </w:rPr>
        <w:t>P</w:t>
      </w:r>
      <w:r>
        <w:rPr>
          <w:rFonts w:ascii="Times New Roman" w:hAnsi="Times New Roman" w:eastAsia="Times New Roman" w:cs="Times New Roman"/>
          <w:sz w:val="29"/>
          <w:szCs w:val="29"/>
          <w:spacing w:val="-40"/>
        </w:rPr>
        <w:t xml:space="preserve"> </w:t>
      </w:r>
      <w:r>
        <w:rPr>
          <w:sz w:val="29"/>
          <w:szCs w:val="29"/>
          <w:spacing w:val="1"/>
        </w:rPr>
        <w:t>、</w:t>
      </w:r>
      <w:r>
        <w:rPr>
          <w:rFonts w:ascii="Times New Roman" w:hAnsi="Times New Roman" w:eastAsia="Times New Roman" w:cs="Times New Roman"/>
          <w:sz w:val="29"/>
          <w:szCs w:val="29"/>
        </w:rPr>
        <w:t>K</w:t>
      </w:r>
      <w:r>
        <w:rPr>
          <w:sz w:val="29"/>
          <w:szCs w:val="29"/>
        </w:rPr>
        <w:t>肥，土壤，使</w:t>
      </w:r>
      <w:r>
        <w:rPr>
          <w:rFonts w:ascii="Times New Roman" w:hAnsi="Times New Roman" w:eastAsia="Times New Roman" w:cs="Times New Roman"/>
          <w:sz w:val="29"/>
          <w:szCs w:val="29"/>
        </w:rPr>
        <w:t>pH</w:t>
      </w:r>
      <w:r>
        <w:rPr>
          <w:sz w:val="29"/>
          <w:szCs w:val="29"/>
        </w:rPr>
        <w:t>值维持在</w:t>
      </w:r>
    </w:p>
    <w:p>
      <w:pPr>
        <w:pStyle w:val="BodyText"/>
        <w:spacing w:before="128" w:line="219" w:lineRule="auto"/>
        <w:rPr>
          <w:sz w:val="29"/>
          <w:szCs w:val="29"/>
        </w:rPr>
      </w:pPr>
      <w:r>
        <w:rPr>
          <w:sz w:val="29"/>
          <w:szCs w:val="29"/>
          <w:spacing w:val="-27"/>
        </w:rPr>
        <w:t>7.0或略高，有利减轻病害。药剂详细使用参见《各地区农药肥料使用指导》。</w:t>
      </w:r>
    </w:p>
    <w:p>
      <w:pPr>
        <w:pStyle w:val="BodyText"/>
        <w:spacing w:before="163" w:line="396" w:lineRule="exact"/>
        <w:rPr>
          <w:rFonts w:ascii="SimHei" w:hAnsi="SimHei" w:eastAsia="SimHei" w:cs="SimHei"/>
          <w:sz w:val="29"/>
          <w:szCs w:val="29"/>
        </w:rPr>
      </w:pPr>
      <w:r>
        <w:rPr>
          <w:rFonts w:ascii="Arial" w:hAnsi="Arial" w:eastAsia="Arial" w:cs="Arial"/>
          <w:sz w:val="29"/>
          <w:szCs w:val="29"/>
          <w:position w:val="1"/>
        </w:rPr>
        <w:t>26</w:t>
      </w:r>
      <w:r>
        <w:rPr>
          <w:sz w:val="29"/>
          <w:szCs w:val="29"/>
          <w:position w:val="1"/>
        </w:rPr>
        <w:t>、</w:t>
      </w:r>
      <w:r>
        <w:rPr>
          <w:rFonts w:ascii="SimHei" w:hAnsi="SimHei" w:eastAsia="SimHei" w:cs="SimHei"/>
          <w:sz w:val="29"/>
          <w:szCs w:val="29"/>
          <w:position w:val="1"/>
        </w:rPr>
        <w:t>草坪猝倒病</w:t>
      </w:r>
    </w:p>
    <w:p>
      <w:pPr>
        <w:pStyle w:val="BodyText"/>
        <w:ind w:left="590"/>
        <w:spacing w:before="89" w:line="219" w:lineRule="auto"/>
        <w:rPr>
          <w:sz w:val="29"/>
          <w:szCs w:val="29"/>
        </w:rPr>
      </w:pPr>
      <w:r>
        <w:rPr>
          <w:sz w:val="29"/>
          <w:szCs w:val="29"/>
          <w:spacing w:val="8"/>
        </w:rPr>
        <w:t>1)危害植物：早熟禾、百慕大。</w:t>
      </w:r>
    </w:p>
    <w:p>
      <w:pPr>
        <w:pStyle w:val="BodyText"/>
        <w:ind w:firstLine="590"/>
        <w:spacing w:before="165" w:line="307" w:lineRule="auto"/>
        <w:rPr>
          <w:sz w:val="29"/>
          <w:szCs w:val="29"/>
        </w:rPr>
      </w:pPr>
      <w:r>
        <w:rPr>
          <w:sz w:val="29"/>
          <w:szCs w:val="29"/>
          <w:spacing w:val="-7"/>
        </w:rPr>
        <w:t>病理：叶斑病是由一种叫“蠕虫菌属”的真菌侵染而引起的。这种病害常发生</w:t>
      </w:r>
      <w:r>
        <w:rPr>
          <w:sz w:val="29"/>
          <w:szCs w:val="29"/>
        </w:rPr>
        <w:t xml:space="preserve"> </w:t>
      </w:r>
      <w:r>
        <w:rPr>
          <w:sz w:val="29"/>
          <w:szCs w:val="29"/>
          <w:spacing w:val="1"/>
        </w:rPr>
        <w:t>于凉爽潮湿的春季和秋季。在夏季，适宜的气温和湿度也会导致病害的发生。</w:t>
      </w:r>
    </w:p>
    <w:p>
      <w:pPr>
        <w:pStyle w:val="BodyText"/>
        <w:ind w:right="388" w:firstLine="590"/>
        <w:spacing w:before="28" w:line="262" w:lineRule="auto"/>
        <w:rPr>
          <w:sz w:val="29"/>
          <w:szCs w:val="29"/>
        </w:rPr>
      </w:pPr>
      <w:r>
        <w:rPr>
          <w:sz w:val="29"/>
          <w:szCs w:val="29"/>
          <w:spacing w:val="-10"/>
        </w:rPr>
        <w:t>2)表现症状：病害刚发生时，在叶或茎上呈现黑红色或紫色斑点，严重时，</w:t>
      </w:r>
      <w:r>
        <w:rPr>
          <w:sz w:val="29"/>
          <w:szCs w:val="29"/>
          <w:spacing w:val="4"/>
        </w:rPr>
        <w:t xml:space="preserve"> </w:t>
      </w:r>
      <w:r>
        <w:rPr>
          <w:sz w:val="29"/>
          <w:szCs w:val="29"/>
          <w:spacing w:val="-7"/>
        </w:rPr>
        <w:t>叶片、茎将失色、死亡和腐烂。</w:t>
      </w:r>
    </w:p>
    <w:p>
      <w:pPr>
        <w:pStyle w:val="BodyText"/>
        <w:ind w:left="590"/>
        <w:spacing w:before="136" w:line="219" w:lineRule="auto"/>
        <w:rPr>
          <w:sz w:val="30"/>
          <w:szCs w:val="30"/>
        </w:rPr>
      </w:pPr>
      <w:r>
        <w:rPr>
          <w:sz w:val="30"/>
          <w:szCs w:val="30"/>
        </w:rPr>
        <w:t>3)发病时间：3—6月、9—11月。</w:t>
      </w:r>
    </w:p>
    <w:p>
      <w:pPr>
        <w:pStyle w:val="BodyText"/>
        <w:ind w:right="75" w:firstLine="590"/>
        <w:spacing w:before="151" w:line="281" w:lineRule="auto"/>
        <w:rPr>
          <w:sz w:val="29"/>
          <w:szCs w:val="29"/>
        </w:rPr>
      </w:pPr>
      <w:r>
        <w:rPr>
          <w:sz w:val="29"/>
          <w:szCs w:val="29"/>
          <w:spacing w:val="6"/>
        </w:rPr>
        <w:t>4)防治方法：适量施肥，防治草坪过量生长，控制草坪高度和修剪频率，</w:t>
      </w:r>
      <w:r>
        <w:rPr>
          <w:sz w:val="29"/>
          <w:szCs w:val="29"/>
          <w:spacing w:val="5"/>
        </w:rPr>
        <w:t xml:space="preserve"> </w:t>
      </w:r>
      <w:r>
        <w:rPr>
          <w:sz w:val="29"/>
          <w:szCs w:val="29"/>
        </w:rPr>
        <w:t>保持刀片锋利，保持草坪通风透光，排水优良，</w:t>
      </w:r>
      <w:r>
        <w:rPr>
          <w:sz w:val="29"/>
          <w:szCs w:val="29"/>
          <w:spacing w:val="-1"/>
        </w:rPr>
        <w:t>打孔铺砂，疏除枯草层等减少病</w:t>
      </w:r>
      <w:r>
        <w:rPr>
          <w:sz w:val="29"/>
          <w:szCs w:val="29"/>
        </w:rPr>
        <w:t xml:space="preserve"> </w:t>
      </w:r>
      <w:r>
        <w:rPr>
          <w:sz w:val="29"/>
          <w:szCs w:val="29"/>
          <w:spacing w:val="-4"/>
        </w:rPr>
        <w:t>害的发生。药剂详细使用参见《各地区农药肥料使用</w:t>
      </w:r>
      <w:r>
        <w:rPr>
          <w:sz w:val="29"/>
          <w:szCs w:val="29"/>
          <w:spacing w:val="-5"/>
        </w:rPr>
        <w:t>指导》。</w:t>
      </w:r>
    </w:p>
    <w:p>
      <w:pPr>
        <w:spacing w:before="186" w:line="222" w:lineRule="auto"/>
        <w:rPr>
          <w:rFonts w:ascii="SimHei" w:hAnsi="SimHei" w:eastAsia="SimHei" w:cs="SimHei"/>
          <w:sz w:val="29"/>
          <w:szCs w:val="29"/>
        </w:rPr>
      </w:pPr>
      <w:r>
        <w:rPr>
          <w:rFonts w:ascii="SimHei" w:hAnsi="SimHei" w:eastAsia="SimHei" w:cs="SimHei"/>
          <w:sz w:val="29"/>
          <w:szCs w:val="29"/>
          <w:spacing w:val="3"/>
        </w:rPr>
        <w:t>27、弯孢霉叶枯病</w:t>
      </w:r>
    </w:p>
    <w:p>
      <w:pPr>
        <w:spacing w:line="222" w:lineRule="auto"/>
        <w:sectPr>
          <w:footerReference w:type="default" r:id="rId279"/>
          <w:pgSz w:w="14490" w:h="20470"/>
          <w:pgMar w:top="1739" w:right="2126" w:bottom="1385" w:left="2150" w:header="0" w:footer="1223" w:gutter="0"/>
        </w:sectPr>
        <w:rPr>
          <w:rFonts w:ascii="SimHei" w:hAnsi="SimHei" w:eastAsia="SimHei" w:cs="SimHei"/>
          <w:sz w:val="29"/>
          <w:szCs w:val="29"/>
        </w:rPr>
      </w:pPr>
    </w:p>
    <w:p>
      <w:pPr>
        <w:pStyle w:val="BodyText"/>
        <w:ind w:left="570"/>
        <w:spacing w:before="82" w:line="219" w:lineRule="auto"/>
        <w:rPr>
          <w:sz w:val="29"/>
          <w:szCs w:val="29"/>
        </w:rPr>
      </w:pPr>
      <w:bookmarkStart w:name="bookmark105" w:id="63"/>
      <w:bookmarkEnd w:id="63"/>
      <w:r>
        <w:rPr>
          <w:sz w:val="29"/>
          <w:szCs w:val="29"/>
          <w:spacing w:val="6"/>
        </w:rPr>
        <w:t>1)危害植物：草地早熟禾、高羊茅、剪股颖。</w:t>
      </w:r>
    </w:p>
    <w:p>
      <w:pPr>
        <w:pStyle w:val="BodyText"/>
        <w:ind w:right="360" w:firstLine="570"/>
        <w:spacing w:before="153" w:line="293" w:lineRule="auto"/>
        <w:rPr>
          <w:sz w:val="29"/>
          <w:szCs w:val="29"/>
        </w:rPr>
      </w:pPr>
      <w:r>
        <w:rPr>
          <w:sz w:val="29"/>
          <w:szCs w:val="29"/>
          <w:spacing w:val="8"/>
        </w:rPr>
        <w:t>2)表现症状：由弯孢霉菌病原物侵染所致。</w:t>
      </w:r>
      <w:r>
        <w:rPr>
          <w:sz w:val="29"/>
          <w:szCs w:val="29"/>
          <w:spacing w:val="7"/>
        </w:rPr>
        <w:t>发病草坪衰弱、稀薄、有不规</w:t>
      </w:r>
      <w:r>
        <w:rPr>
          <w:sz w:val="29"/>
          <w:szCs w:val="29"/>
        </w:rPr>
        <w:t xml:space="preserve"> </w:t>
      </w:r>
      <w:r>
        <w:rPr>
          <w:sz w:val="29"/>
          <w:szCs w:val="29"/>
        </w:rPr>
        <w:t>则形枯草斑，枯草斑内草株矮小，呈灰白色枯死。草地早熟禾和细叶羊茅，病叶</w:t>
      </w:r>
      <w:r>
        <w:rPr>
          <w:sz w:val="29"/>
          <w:szCs w:val="29"/>
          <w:spacing w:val="3"/>
        </w:rPr>
        <w:t xml:space="preserve"> </w:t>
      </w:r>
      <w:r>
        <w:rPr>
          <w:sz w:val="29"/>
          <w:szCs w:val="29"/>
          <w:spacing w:val="-1"/>
        </w:rPr>
        <w:t>是从叶尖向叶基由黄变棕色变灰，直到最后整个叶片皱缩凋萎枯死，有时还能看</w:t>
      </w:r>
      <w:r>
        <w:rPr>
          <w:sz w:val="29"/>
          <w:szCs w:val="29"/>
          <w:spacing w:val="18"/>
        </w:rPr>
        <w:t xml:space="preserve"> </w:t>
      </w:r>
      <w:r>
        <w:rPr>
          <w:sz w:val="29"/>
          <w:szCs w:val="29"/>
          <w:spacing w:val="-9"/>
        </w:rPr>
        <w:t>到中心棕褐色，边缘红色至棕色的叶斑。匍匐翦股颖病叶从黄色变到棕褐</w:t>
      </w:r>
      <w:r>
        <w:rPr>
          <w:sz w:val="29"/>
          <w:szCs w:val="29"/>
          <w:spacing w:val="-10"/>
        </w:rPr>
        <w:t>色最后凋</w:t>
      </w:r>
      <w:r>
        <w:rPr>
          <w:sz w:val="29"/>
          <w:szCs w:val="29"/>
        </w:rPr>
        <w:t xml:space="preserve"> </w:t>
      </w:r>
      <w:r>
        <w:rPr>
          <w:sz w:val="29"/>
          <w:szCs w:val="29"/>
          <w:spacing w:val="-4"/>
        </w:rPr>
        <w:t>落。</w:t>
      </w:r>
    </w:p>
    <w:p>
      <w:pPr>
        <w:pStyle w:val="BodyText"/>
        <w:ind w:left="570"/>
        <w:spacing w:before="181" w:line="219" w:lineRule="auto"/>
        <w:rPr>
          <w:sz w:val="29"/>
          <w:szCs w:val="29"/>
        </w:rPr>
      </w:pPr>
      <w:r>
        <w:rPr>
          <w:sz w:val="29"/>
          <w:szCs w:val="29"/>
          <w:spacing w:val="13"/>
        </w:rPr>
        <w:t>3)发生时间：6—9月。</w:t>
      </w:r>
    </w:p>
    <w:p>
      <w:pPr>
        <w:pStyle w:val="BodyText"/>
        <w:ind w:firstLine="570"/>
        <w:spacing w:before="124" w:line="266" w:lineRule="auto"/>
        <w:rPr>
          <w:sz w:val="29"/>
          <w:szCs w:val="29"/>
        </w:rPr>
      </w:pPr>
      <w:r>
        <w:rPr>
          <w:sz w:val="29"/>
          <w:szCs w:val="29"/>
          <w:spacing w:val="1"/>
        </w:rPr>
        <w:t>4)防治方法：合理使用</w:t>
      </w:r>
      <w:r>
        <w:rPr>
          <w:rFonts w:ascii="Times New Roman" w:hAnsi="Times New Roman" w:eastAsia="Times New Roman" w:cs="Times New Roman"/>
          <w:sz w:val="29"/>
          <w:szCs w:val="29"/>
          <w:spacing w:val="1"/>
        </w:rPr>
        <w:t>N</w:t>
      </w:r>
      <w:r>
        <w:rPr>
          <w:sz w:val="29"/>
          <w:szCs w:val="29"/>
          <w:spacing w:val="1"/>
        </w:rPr>
        <w:t>肥，特别避免在早春和仲夏过量施用，增加</w:t>
      </w:r>
      <w:r>
        <w:rPr>
          <w:rFonts w:ascii="Times New Roman" w:hAnsi="Times New Roman" w:eastAsia="Times New Roman" w:cs="Times New Roman"/>
          <w:sz w:val="29"/>
          <w:szCs w:val="29"/>
          <w:spacing w:val="1"/>
        </w:rPr>
        <w:t>P</w:t>
      </w:r>
      <w:r>
        <w:rPr>
          <w:rFonts w:ascii="Times New Roman" w:hAnsi="Times New Roman" w:eastAsia="Times New Roman" w:cs="Times New Roman"/>
          <w:sz w:val="29"/>
          <w:szCs w:val="29"/>
          <w:spacing w:val="-25"/>
        </w:rPr>
        <w:t xml:space="preserve"> </w:t>
      </w:r>
      <w:r>
        <w:rPr>
          <w:sz w:val="29"/>
          <w:szCs w:val="29"/>
          <w:spacing w:val="1"/>
        </w:rPr>
        <w:t>、</w:t>
      </w:r>
      <w:r>
        <w:rPr>
          <w:rFonts w:ascii="Times New Roman" w:hAnsi="Times New Roman" w:eastAsia="Times New Roman" w:cs="Times New Roman"/>
          <w:sz w:val="29"/>
          <w:szCs w:val="29"/>
          <w:spacing w:val="1"/>
        </w:rPr>
        <w:t>K</w:t>
      </w:r>
      <w:r>
        <w:rPr>
          <w:sz w:val="29"/>
          <w:szCs w:val="29"/>
          <w:spacing w:val="1"/>
        </w:rPr>
        <w:t>肥，</w:t>
      </w:r>
      <w:r>
        <w:rPr>
          <w:sz w:val="29"/>
          <w:szCs w:val="29"/>
        </w:rPr>
        <w:t xml:space="preserve"> </w:t>
      </w:r>
      <w:r>
        <w:rPr>
          <w:sz w:val="29"/>
          <w:szCs w:val="29"/>
          <w:spacing w:val="-9"/>
        </w:rPr>
        <w:t>浇水应当在早晨进行，避免频繁浅灌，要灌深、灌透，减少灌水次数，避免草坪积</w:t>
      </w:r>
    </w:p>
    <w:p>
      <w:pPr>
        <w:pStyle w:val="BodyText"/>
        <w:ind w:right="288"/>
        <w:spacing w:before="125" w:line="290" w:lineRule="auto"/>
        <w:rPr>
          <w:sz w:val="29"/>
          <w:szCs w:val="29"/>
        </w:rPr>
      </w:pPr>
      <w:r>
        <w:rPr>
          <w:sz w:val="29"/>
          <w:szCs w:val="29"/>
          <w:spacing w:val="-17"/>
        </w:rPr>
        <w:t>水，及时修剪，保持植株适宜高度。如绿地草坪最低的高度应为5—6</w:t>
      </w:r>
      <w:r>
        <w:rPr>
          <w:rFonts w:ascii="Times New Roman" w:hAnsi="Times New Roman" w:eastAsia="Times New Roman" w:cs="Times New Roman"/>
          <w:sz w:val="29"/>
          <w:szCs w:val="29"/>
          <w:spacing w:val="-17"/>
        </w:rPr>
        <w:t>cm,</w:t>
      </w:r>
      <w:r>
        <w:rPr>
          <w:rFonts w:ascii="Times New Roman" w:hAnsi="Times New Roman" w:eastAsia="Times New Roman" w:cs="Times New Roman"/>
          <w:sz w:val="29"/>
          <w:szCs w:val="29"/>
          <w:spacing w:val="25"/>
        </w:rPr>
        <w:t xml:space="preserve">  </w:t>
      </w:r>
      <w:r>
        <w:rPr>
          <w:sz w:val="29"/>
          <w:szCs w:val="29"/>
          <w:spacing w:val="-17"/>
        </w:rPr>
        <w:t>及时清除病</w:t>
      </w:r>
      <w:r>
        <w:rPr>
          <w:sz w:val="29"/>
          <w:szCs w:val="29"/>
        </w:rPr>
        <w:t xml:space="preserve"> </w:t>
      </w:r>
      <w:r>
        <w:rPr>
          <w:sz w:val="29"/>
          <w:szCs w:val="29"/>
          <w:spacing w:val="10"/>
        </w:rPr>
        <w:t>残体和修剪的残叶，经常清理枯草层，草坪发病初期用25%敌力脱乳油</w:t>
      </w:r>
      <w:r>
        <w:rPr>
          <w:sz w:val="29"/>
          <w:szCs w:val="29"/>
          <w:spacing w:val="9"/>
        </w:rPr>
        <w:t>，或25%</w:t>
      </w:r>
      <w:r>
        <w:rPr>
          <w:sz w:val="29"/>
          <w:szCs w:val="29"/>
        </w:rPr>
        <w:t xml:space="preserve"> </w:t>
      </w:r>
      <w:r>
        <w:rPr>
          <w:sz w:val="29"/>
          <w:szCs w:val="29"/>
          <w:spacing w:val="9"/>
        </w:rPr>
        <w:t>三唑酮可湿性粉剂、70%代森锰锌可湿性粉剂、50%福美双可湿性粉剂等药剂喷</w:t>
      </w:r>
      <w:r>
        <w:rPr>
          <w:sz w:val="29"/>
          <w:szCs w:val="29"/>
          <w:spacing w:val="8"/>
        </w:rPr>
        <w:t xml:space="preserve"> </w:t>
      </w:r>
      <w:r>
        <w:rPr>
          <w:sz w:val="29"/>
          <w:szCs w:val="29"/>
          <w:spacing w:val="-5"/>
        </w:rPr>
        <w:t>雾。药剂详细使用参见《各地区农药肥料使用指导》。</w:t>
      </w:r>
    </w:p>
    <w:p>
      <w:pPr>
        <w:ind w:left="109"/>
        <w:spacing w:before="268" w:line="222" w:lineRule="auto"/>
        <w:outlineLvl w:val="2"/>
        <w:rPr>
          <w:rFonts w:ascii="SimHei" w:hAnsi="SimHei" w:eastAsia="SimHei" w:cs="SimHei"/>
          <w:sz w:val="29"/>
          <w:szCs w:val="29"/>
        </w:rPr>
      </w:pPr>
      <w:bookmarkStart w:name="bookmark37" w:id="64"/>
      <w:bookmarkEnd w:id="64"/>
      <w:r>
        <w:rPr>
          <w:rFonts w:ascii="SimHei" w:hAnsi="SimHei" w:eastAsia="SimHei" w:cs="SimHei"/>
          <w:sz w:val="29"/>
          <w:szCs w:val="29"/>
          <w:spacing w:val="29"/>
        </w:rPr>
        <w:t>(三)细菌性病害</w:t>
      </w:r>
    </w:p>
    <w:p>
      <w:pPr>
        <w:pStyle w:val="BodyText"/>
        <w:spacing w:before="131" w:line="222"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细菌性穿孔病</w:t>
      </w:r>
    </w:p>
    <w:p>
      <w:pPr>
        <w:pStyle w:val="BodyText"/>
        <w:ind w:right="659" w:firstLine="570"/>
        <w:spacing w:before="111" w:line="272" w:lineRule="auto"/>
        <w:rPr>
          <w:sz w:val="29"/>
          <w:szCs w:val="29"/>
        </w:rPr>
      </w:pPr>
      <w:r>
        <w:rPr>
          <w:sz w:val="29"/>
          <w:szCs w:val="29"/>
          <w:spacing w:val="-8"/>
        </w:rPr>
        <w:t>1)主要危害植物：桃花、油茶、樱桃、红</w:t>
      </w:r>
      <w:r>
        <w:rPr>
          <w:sz w:val="29"/>
          <w:szCs w:val="29"/>
          <w:spacing w:val="-9"/>
        </w:rPr>
        <w:t>叶李、李、杏、碧桃、杏、樱花、</w:t>
      </w:r>
      <w:r>
        <w:rPr>
          <w:sz w:val="29"/>
          <w:szCs w:val="29"/>
        </w:rPr>
        <w:t xml:space="preserve"> </w:t>
      </w:r>
      <w:r>
        <w:rPr>
          <w:sz w:val="29"/>
          <w:szCs w:val="29"/>
          <w:spacing w:val="-13"/>
        </w:rPr>
        <w:t>紫叶李、梨花、梅花等植物。</w:t>
      </w:r>
    </w:p>
    <w:p>
      <w:pPr>
        <w:pStyle w:val="BodyText"/>
        <w:ind w:right="227" w:firstLine="499"/>
        <w:spacing w:before="129" w:line="295" w:lineRule="auto"/>
        <w:rPr>
          <w:sz w:val="29"/>
          <w:szCs w:val="29"/>
        </w:rPr>
      </w:pPr>
      <w:r>
        <w:rPr>
          <w:sz w:val="29"/>
          <w:szCs w:val="29"/>
          <w:spacing w:val="8"/>
        </w:rPr>
        <w:t>2)表现症状：叶上初生水渍状小点，逐渐扩大为圆形或不规则形，</w:t>
      </w:r>
      <w:r>
        <w:rPr>
          <w:sz w:val="29"/>
          <w:szCs w:val="29"/>
          <w:spacing w:val="7"/>
        </w:rPr>
        <w:t>紫褐色</w:t>
      </w:r>
      <w:r>
        <w:rPr>
          <w:sz w:val="29"/>
          <w:szCs w:val="29"/>
        </w:rPr>
        <w:t xml:space="preserve">  </w:t>
      </w:r>
      <w:r>
        <w:rPr>
          <w:sz w:val="29"/>
          <w:szCs w:val="29"/>
          <w:spacing w:val="3"/>
        </w:rPr>
        <w:t>至黑褐色斑点，直径约2</w:t>
      </w:r>
      <w:r>
        <w:rPr>
          <w:rFonts w:ascii="Times New Roman" w:hAnsi="Times New Roman" w:eastAsia="Times New Roman" w:cs="Times New Roman"/>
          <w:sz w:val="29"/>
          <w:szCs w:val="29"/>
        </w:rPr>
        <w:t>mm</w:t>
      </w:r>
      <w:r>
        <w:rPr>
          <w:rFonts w:ascii="Times New Roman" w:hAnsi="Times New Roman" w:eastAsia="Times New Roman" w:cs="Times New Roman"/>
          <w:sz w:val="29"/>
          <w:szCs w:val="29"/>
          <w:spacing w:val="3"/>
        </w:rPr>
        <w:t>,</w:t>
      </w:r>
      <w:r>
        <w:rPr>
          <w:rFonts w:ascii="Times New Roman" w:hAnsi="Times New Roman" w:eastAsia="Times New Roman" w:cs="Times New Roman"/>
          <w:sz w:val="29"/>
          <w:szCs w:val="29"/>
          <w:spacing w:val="38"/>
        </w:rPr>
        <w:t xml:space="preserve">  </w:t>
      </w:r>
      <w:r>
        <w:rPr>
          <w:sz w:val="29"/>
          <w:szCs w:val="29"/>
          <w:spacing w:val="3"/>
        </w:rPr>
        <w:t>周围有水渍状黄绿色晕环，边缘有裂纹，最后脱落</w:t>
      </w:r>
      <w:r>
        <w:rPr>
          <w:sz w:val="29"/>
          <w:szCs w:val="29"/>
        </w:rPr>
        <w:t xml:space="preserve"> </w:t>
      </w:r>
      <w:r>
        <w:rPr>
          <w:sz w:val="29"/>
          <w:szCs w:val="29"/>
          <w:spacing w:val="-9"/>
        </w:rPr>
        <w:t>穿孔，孔的边缘不整齐。枝的病斑有两种：一为春季溃疡斑，</w:t>
      </w:r>
      <w:r>
        <w:rPr>
          <w:sz w:val="29"/>
          <w:szCs w:val="29"/>
          <w:spacing w:val="-10"/>
        </w:rPr>
        <w:t>发生在前一年夏季已</w:t>
      </w:r>
      <w:r>
        <w:rPr>
          <w:sz w:val="29"/>
          <w:szCs w:val="29"/>
        </w:rPr>
        <w:t xml:space="preserve">  </w:t>
      </w:r>
      <w:r>
        <w:rPr>
          <w:sz w:val="29"/>
          <w:szCs w:val="29"/>
          <w:spacing w:val="-12"/>
        </w:rPr>
        <w:t>被侵染发病的枝条上，病斑暗褐色小疱疹状，直径约2</w:t>
      </w:r>
      <w:r>
        <w:rPr>
          <w:rFonts w:ascii="Times New Roman" w:hAnsi="Times New Roman" w:eastAsia="Times New Roman" w:cs="Times New Roman"/>
          <w:sz w:val="29"/>
          <w:szCs w:val="29"/>
          <w:spacing w:val="-12"/>
        </w:rPr>
        <w:t>mm,</w:t>
      </w:r>
      <w:r>
        <w:rPr>
          <w:rFonts w:ascii="Times New Roman" w:hAnsi="Times New Roman" w:eastAsia="Times New Roman" w:cs="Times New Roman"/>
          <w:sz w:val="29"/>
          <w:szCs w:val="29"/>
          <w:spacing w:val="21"/>
        </w:rPr>
        <w:t xml:space="preserve">  </w:t>
      </w:r>
      <w:r>
        <w:rPr>
          <w:sz w:val="29"/>
          <w:szCs w:val="29"/>
          <w:spacing w:val="-12"/>
        </w:rPr>
        <w:t>后扩展可达10</w:t>
      </w:r>
      <w:r>
        <w:rPr>
          <w:rFonts w:ascii="Times New Roman" w:hAnsi="Times New Roman" w:eastAsia="Times New Roman" w:cs="Times New Roman"/>
          <w:sz w:val="29"/>
          <w:szCs w:val="29"/>
          <w:spacing w:val="-12"/>
        </w:rPr>
        <w:t>cm,</w:t>
      </w:r>
      <w:r>
        <w:rPr>
          <w:rFonts w:ascii="Times New Roman" w:hAnsi="Times New Roman" w:eastAsia="Times New Roman" w:cs="Times New Roman"/>
          <w:sz w:val="29"/>
          <w:szCs w:val="29"/>
          <w:spacing w:val="29"/>
        </w:rPr>
        <w:t xml:space="preserve">  </w:t>
      </w:r>
      <w:r>
        <w:rPr>
          <w:sz w:val="29"/>
          <w:szCs w:val="29"/>
          <w:spacing w:val="-12"/>
        </w:rPr>
        <w:t>宽度多</w:t>
      </w:r>
      <w:r>
        <w:rPr>
          <w:sz w:val="29"/>
          <w:szCs w:val="29"/>
        </w:rPr>
        <w:t xml:space="preserve"> </w:t>
      </w:r>
      <w:r>
        <w:rPr>
          <w:sz w:val="29"/>
          <w:szCs w:val="29"/>
          <w:spacing w:val="1"/>
        </w:rPr>
        <w:t>不超过枝条直径的一半。二为夏季溃疡斑，夏末在当年生嫩枝条上发生，圆形水</w:t>
      </w:r>
      <w:r>
        <w:rPr>
          <w:sz w:val="29"/>
          <w:szCs w:val="29"/>
          <w:spacing w:val="17"/>
        </w:rPr>
        <w:t xml:space="preserve"> </w:t>
      </w:r>
      <w:r>
        <w:rPr>
          <w:sz w:val="29"/>
          <w:szCs w:val="29"/>
          <w:spacing w:val="2"/>
        </w:rPr>
        <w:t>渍状，暗褐色，稍凹陷，边缘水渍状，潮湿时，其</w:t>
      </w:r>
      <w:r>
        <w:rPr>
          <w:sz w:val="29"/>
          <w:szCs w:val="29"/>
          <w:spacing w:val="1"/>
        </w:rPr>
        <w:t>上溢出黄白色黏液。</w:t>
      </w:r>
    </w:p>
    <w:p>
      <w:pPr>
        <w:ind w:firstLine="449"/>
        <w:spacing w:before="94" w:line="3650" w:lineRule="exact"/>
        <w:rPr/>
      </w:pPr>
      <w:r>
        <w:drawing>
          <wp:anchor distT="0" distB="0" distL="0" distR="0" simplePos="0" relativeHeight="252035072" behindDoc="0" locked="0" layoutInCell="1" allowOverlap="1">
            <wp:simplePos x="0" y="0"/>
            <wp:positionH relativeFrom="column">
              <wp:posOffset>3155901</wp:posOffset>
            </wp:positionH>
            <wp:positionV relativeFrom="paragraph">
              <wp:posOffset>66019</wp:posOffset>
            </wp:positionV>
            <wp:extent cx="3086158" cy="2311384"/>
            <wp:effectExtent l="0" t="0" r="0" b="0"/>
            <wp:wrapNone/>
            <wp:docPr id="392" name="IM 392"/>
            <wp:cNvGraphicFramePr/>
            <a:graphic>
              <a:graphicData uri="http://schemas.openxmlformats.org/drawingml/2006/picture">
                <pic:pic>
                  <pic:nvPicPr>
                    <pic:cNvPr id="392" name="IM 392"/>
                    <pic:cNvPicPr/>
                  </pic:nvPicPr>
                  <pic:blipFill>
                    <a:blip r:embed="rId282"/>
                    <a:stretch>
                      <a:fillRect/>
                    </a:stretch>
                  </pic:blipFill>
                  <pic:spPr>
                    <a:xfrm rot="0">
                      <a:off x="0" y="0"/>
                      <a:ext cx="3086158" cy="2311384"/>
                    </a:xfrm>
                    <a:prstGeom prst="rect">
                      <a:avLst/>
                    </a:prstGeom>
                  </pic:spPr>
                </pic:pic>
              </a:graphicData>
            </a:graphic>
          </wp:anchor>
        </w:drawing>
      </w:r>
      <w:r>
        <w:rPr>
          <w:position w:val="-73"/>
        </w:rPr>
        <w:drawing>
          <wp:inline distT="0" distB="0" distL="0" distR="0">
            <wp:extent cx="2774974" cy="2317754"/>
            <wp:effectExtent l="0" t="0" r="0" b="0"/>
            <wp:docPr id="394" name="IM 394"/>
            <wp:cNvGraphicFramePr/>
            <a:graphic>
              <a:graphicData uri="http://schemas.openxmlformats.org/drawingml/2006/picture">
                <pic:pic>
                  <pic:nvPicPr>
                    <pic:cNvPr id="394" name="IM 394"/>
                    <pic:cNvPicPr/>
                  </pic:nvPicPr>
                  <pic:blipFill>
                    <a:blip r:embed="rId283"/>
                    <a:stretch>
                      <a:fillRect/>
                    </a:stretch>
                  </pic:blipFill>
                  <pic:spPr>
                    <a:xfrm rot="0">
                      <a:off x="0" y="0"/>
                      <a:ext cx="2774974" cy="2317754"/>
                    </a:xfrm>
                    <a:prstGeom prst="rect">
                      <a:avLst/>
                    </a:prstGeom>
                  </pic:spPr>
                </pic:pic>
              </a:graphicData>
            </a:graphic>
          </wp:inline>
        </w:drawing>
      </w:r>
    </w:p>
    <w:p>
      <w:pPr>
        <w:pStyle w:val="BodyText"/>
        <w:ind w:left="3489"/>
        <w:spacing w:before="160" w:line="219" w:lineRule="auto"/>
        <w:rPr>
          <w:sz w:val="24"/>
          <w:szCs w:val="24"/>
        </w:rPr>
      </w:pPr>
      <w:r>
        <w:rPr>
          <w:sz w:val="24"/>
          <w:szCs w:val="24"/>
          <w:spacing w:val="7"/>
        </w:rPr>
        <w:t>图6-1-29细菌性穿孔病表现症状</w:t>
      </w:r>
    </w:p>
    <w:p>
      <w:pPr>
        <w:pStyle w:val="BodyText"/>
        <w:ind w:right="645" w:firstLine="570"/>
        <w:spacing w:before="168" w:line="266" w:lineRule="auto"/>
        <w:rPr>
          <w:sz w:val="29"/>
          <w:szCs w:val="29"/>
        </w:rPr>
      </w:pPr>
      <w:r>
        <w:rPr>
          <w:sz w:val="29"/>
          <w:szCs w:val="29"/>
          <w:spacing w:val="5"/>
        </w:rPr>
        <w:t>3)发病时期：该病一般于5月出现，7—8月发病严重，低</w:t>
      </w:r>
      <w:r>
        <w:rPr>
          <w:sz w:val="29"/>
          <w:szCs w:val="29"/>
          <w:spacing w:val="4"/>
        </w:rPr>
        <w:t>温多雨利于病害</w:t>
      </w:r>
      <w:r>
        <w:rPr>
          <w:sz w:val="29"/>
          <w:szCs w:val="29"/>
        </w:rPr>
        <w:t xml:space="preserve"> </w:t>
      </w:r>
      <w:r>
        <w:rPr>
          <w:sz w:val="29"/>
          <w:szCs w:val="29"/>
          <w:spacing w:val="-4"/>
        </w:rPr>
        <w:t>发生和流行。</w:t>
      </w:r>
    </w:p>
    <w:p>
      <w:pPr>
        <w:pStyle w:val="BodyText"/>
        <w:ind w:left="570"/>
        <w:spacing w:before="152" w:line="219" w:lineRule="auto"/>
        <w:rPr>
          <w:sz w:val="29"/>
          <w:szCs w:val="29"/>
        </w:rPr>
      </w:pPr>
      <w:r>
        <w:rPr>
          <w:sz w:val="29"/>
          <w:szCs w:val="29"/>
          <w:spacing w:val="11"/>
        </w:rPr>
        <w:t>4)分布省份：全国都有发生。</w:t>
      </w:r>
    </w:p>
    <w:p>
      <w:pPr>
        <w:spacing w:line="219" w:lineRule="auto"/>
        <w:sectPr>
          <w:footerReference w:type="default" r:id="rId281"/>
          <w:pgSz w:w="14490" w:h="20470"/>
          <w:pgMar w:top="1739" w:right="1825" w:bottom="1458" w:left="2150" w:header="0" w:footer="1213" w:gutter="0"/>
        </w:sectPr>
        <w:rPr>
          <w:sz w:val="29"/>
          <w:szCs w:val="29"/>
        </w:rPr>
      </w:pPr>
    </w:p>
    <w:p>
      <w:pPr>
        <w:pStyle w:val="BodyText"/>
        <w:ind w:right="62" w:firstLine="590"/>
        <w:spacing w:before="121" w:line="312" w:lineRule="auto"/>
        <w:jc w:val="both"/>
        <w:rPr>
          <w:sz w:val="29"/>
          <w:szCs w:val="29"/>
        </w:rPr>
      </w:pPr>
      <w:bookmarkStart w:name="bookmark106" w:id="65"/>
      <w:bookmarkEnd w:id="65"/>
      <w:r>
        <w:rPr>
          <w:sz w:val="29"/>
          <w:szCs w:val="29"/>
          <w:spacing w:val="8"/>
        </w:rPr>
        <w:t>5)防治方法：增施有机肥，不要偏施氮肥；合理修剪造型，剪除病枝、枯</w:t>
      </w:r>
      <w:r>
        <w:rPr>
          <w:sz w:val="29"/>
          <w:szCs w:val="29"/>
          <w:spacing w:val="17"/>
        </w:rPr>
        <w:t xml:space="preserve"> </w:t>
      </w:r>
      <w:r>
        <w:rPr>
          <w:sz w:val="29"/>
          <w:szCs w:val="29"/>
          <w:spacing w:val="-8"/>
        </w:rPr>
        <w:t>枝，彻底清除落叶，集中深埋，注意通风透光；药剂防治参见《各地区农药肥料指</w:t>
      </w:r>
      <w:r>
        <w:rPr>
          <w:sz w:val="29"/>
          <w:szCs w:val="29"/>
          <w:spacing w:val="5"/>
        </w:rPr>
        <w:t xml:space="preserve"> </w:t>
      </w:r>
      <w:r>
        <w:rPr>
          <w:sz w:val="29"/>
          <w:szCs w:val="29"/>
          <w:spacing w:val="-24"/>
        </w:rPr>
        <w:t>导》。</w:t>
      </w:r>
    </w:p>
    <w:p>
      <w:pPr>
        <w:pStyle w:val="BodyText"/>
        <w:spacing w:before="47" w:line="222" w:lineRule="auto"/>
        <w:rPr>
          <w:rFonts w:ascii="SimHei" w:hAnsi="SimHei" w:eastAsia="SimHei" w:cs="SimHei"/>
          <w:sz w:val="29"/>
          <w:szCs w:val="29"/>
        </w:rPr>
      </w:pPr>
      <w:r>
        <w:rPr>
          <w:rFonts w:ascii="Arial" w:hAnsi="Arial" w:eastAsia="Arial" w:cs="Arial"/>
          <w:sz w:val="29"/>
          <w:szCs w:val="29"/>
        </w:rPr>
        <w:t>2</w:t>
      </w:r>
      <w:r>
        <w:rPr>
          <w:sz w:val="29"/>
          <w:szCs w:val="29"/>
        </w:rPr>
        <w:t>、</w:t>
      </w:r>
      <w:r>
        <w:rPr>
          <w:rFonts w:ascii="SimHei" w:hAnsi="SimHei" w:eastAsia="SimHei" w:cs="SimHei"/>
          <w:sz w:val="29"/>
          <w:szCs w:val="29"/>
        </w:rPr>
        <w:t>冠瘿病</w:t>
      </w:r>
    </w:p>
    <w:p>
      <w:pPr>
        <w:pStyle w:val="BodyText"/>
        <w:ind w:right="67" w:firstLine="590"/>
        <w:spacing w:before="92" w:line="293" w:lineRule="auto"/>
        <w:jc w:val="both"/>
        <w:rPr>
          <w:sz w:val="30"/>
          <w:szCs w:val="30"/>
        </w:rPr>
      </w:pPr>
      <w:r>
        <w:rPr>
          <w:sz w:val="30"/>
          <w:szCs w:val="30"/>
          <w:spacing w:val="-22"/>
        </w:rPr>
        <w:t>1) 危害植物：樱花、月季、李、白杨、桃花、夹竹桃、冷杉、臭椿、丁香、梨</w:t>
      </w:r>
      <w:r>
        <w:rPr>
          <w:sz w:val="30"/>
          <w:szCs w:val="30"/>
          <w:spacing w:val="2"/>
        </w:rPr>
        <w:t xml:space="preserve"> </w:t>
      </w:r>
      <w:r>
        <w:rPr>
          <w:sz w:val="30"/>
          <w:szCs w:val="30"/>
          <w:spacing w:val="-18"/>
        </w:rPr>
        <w:t>花、紫藤、柏树、蔷薇、梅花、腊梅、碧桃、榆叶梅、柳树、海棠、菊花、石竹等</w:t>
      </w:r>
      <w:r>
        <w:rPr>
          <w:sz w:val="30"/>
          <w:szCs w:val="30"/>
        </w:rPr>
        <w:t xml:space="preserve"> </w:t>
      </w:r>
      <w:r>
        <w:rPr>
          <w:sz w:val="30"/>
          <w:szCs w:val="30"/>
          <w:spacing w:val="-19"/>
        </w:rPr>
        <w:t>多种植物，以杨柳科、蔷薇科受害最重。</w:t>
      </w:r>
    </w:p>
    <w:p>
      <w:pPr>
        <w:ind w:firstLine="4679"/>
        <w:spacing w:line="3610" w:lineRule="exact"/>
        <w:rPr/>
      </w:pPr>
      <w:r>
        <w:drawing>
          <wp:anchor distT="0" distB="0" distL="0" distR="0" simplePos="0" relativeHeight="252040192" behindDoc="0" locked="0" layoutInCell="1" allowOverlap="1">
            <wp:simplePos x="0" y="0"/>
            <wp:positionH relativeFrom="column">
              <wp:posOffset>1371615</wp:posOffset>
            </wp:positionH>
            <wp:positionV relativeFrom="paragraph">
              <wp:posOffset>0</wp:posOffset>
            </wp:positionV>
            <wp:extent cx="1555730" cy="2292406"/>
            <wp:effectExtent l="0" t="0" r="0" b="0"/>
            <wp:wrapNone/>
            <wp:docPr id="396" name="IM 396"/>
            <wp:cNvGraphicFramePr/>
            <a:graphic>
              <a:graphicData uri="http://schemas.openxmlformats.org/drawingml/2006/picture">
                <pic:pic>
                  <pic:nvPicPr>
                    <pic:cNvPr id="396" name="IM 396"/>
                    <pic:cNvPicPr/>
                  </pic:nvPicPr>
                  <pic:blipFill>
                    <a:blip r:embed="rId285"/>
                    <a:stretch>
                      <a:fillRect/>
                    </a:stretch>
                  </pic:blipFill>
                  <pic:spPr>
                    <a:xfrm rot="0">
                      <a:off x="0" y="0"/>
                      <a:ext cx="1555730" cy="2292406"/>
                    </a:xfrm>
                    <a:prstGeom prst="rect">
                      <a:avLst/>
                    </a:prstGeom>
                  </pic:spPr>
                </pic:pic>
              </a:graphicData>
            </a:graphic>
          </wp:anchor>
        </w:drawing>
      </w:r>
      <w:r>
        <w:rPr>
          <w:position w:val="-72"/>
        </w:rPr>
        <w:drawing>
          <wp:inline distT="0" distB="0" distL="0" distR="0">
            <wp:extent cx="2228886" cy="2292406"/>
            <wp:effectExtent l="0" t="0" r="0" b="0"/>
            <wp:docPr id="398" name="IM 398"/>
            <wp:cNvGraphicFramePr/>
            <a:graphic>
              <a:graphicData uri="http://schemas.openxmlformats.org/drawingml/2006/picture">
                <pic:pic>
                  <pic:nvPicPr>
                    <pic:cNvPr id="398" name="IM 398"/>
                    <pic:cNvPicPr/>
                  </pic:nvPicPr>
                  <pic:blipFill>
                    <a:blip r:embed="rId286"/>
                    <a:stretch>
                      <a:fillRect/>
                    </a:stretch>
                  </pic:blipFill>
                  <pic:spPr>
                    <a:xfrm rot="0">
                      <a:off x="0" y="0"/>
                      <a:ext cx="2228886" cy="2292406"/>
                    </a:xfrm>
                    <a:prstGeom prst="rect">
                      <a:avLst/>
                    </a:prstGeom>
                  </pic:spPr>
                </pic:pic>
              </a:graphicData>
            </a:graphic>
          </wp:inline>
        </w:drawing>
      </w:r>
    </w:p>
    <w:p>
      <w:pPr>
        <w:pStyle w:val="BodyText"/>
        <w:ind w:left="3630"/>
        <w:spacing w:before="130" w:line="219" w:lineRule="auto"/>
        <w:rPr>
          <w:sz w:val="24"/>
          <w:szCs w:val="24"/>
        </w:rPr>
      </w:pPr>
      <w:r>
        <w:rPr>
          <w:sz w:val="24"/>
          <w:szCs w:val="24"/>
          <w:spacing w:val="5"/>
        </w:rPr>
        <w:t>图6-1-30冠瘿病表现症状</w:t>
      </w:r>
    </w:p>
    <w:p>
      <w:pPr>
        <w:pStyle w:val="BodyText"/>
        <w:ind w:firstLine="590"/>
        <w:spacing w:before="129" w:line="295" w:lineRule="auto"/>
        <w:rPr>
          <w:sz w:val="29"/>
          <w:szCs w:val="29"/>
        </w:rPr>
      </w:pPr>
      <w:r>
        <w:rPr>
          <w:sz w:val="29"/>
          <w:szCs w:val="29"/>
          <w:spacing w:val="7"/>
        </w:rPr>
        <w:t>2)表现症状：主要发生于根颈处，以及主根、侧根、主干、枝条上。受害 </w:t>
      </w:r>
      <w:r>
        <w:rPr>
          <w:sz w:val="29"/>
          <w:szCs w:val="29"/>
          <w:spacing w:val="-1"/>
        </w:rPr>
        <w:t>处形成大小不等、形状各异的瘤；开始近圆形、淡黄色，表面光滑，质地柔软；</w:t>
      </w:r>
      <w:r>
        <w:rPr>
          <w:sz w:val="29"/>
          <w:szCs w:val="29"/>
          <w:spacing w:val="8"/>
        </w:rPr>
        <w:t xml:space="preserve"> </w:t>
      </w:r>
      <w:r>
        <w:rPr>
          <w:sz w:val="29"/>
          <w:szCs w:val="29"/>
          <w:spacing w:val="-6"/>
        </w:rPr>
        <w:t>渐变为褐色至深褐色，质地坚硬，表面粗糙龟裂，瘤内组织紊乱；后期肿</w:t>
      </w:r>
      <w:r>
        <w:rPr>
          <w:sz w:val="29"/>
          <w:szCs w:val="29"/>
          <w:spacing w:val="-7"/>
        </w:rPr>
        <w:t>瘤开放式</w:t>
      </w:r>
      <w:r>
        <w:rPr>
          <w:sz w:val="29"/>
          <w:szCs w:val="29"/>
        </w:rPr>
        <w:t xml:space="preserve"> </w:t>
      </w:r>
      <w:r>
        <w:rPr>
          <w:sz w:val="29"/>
          <w:szCs w:val="29"/>
          <w:spacing w:val="-24"/>
        </w:rPr>
        <w:t>破裂，坏死，不能愈合；当瘤环树干一周、表皮龟裂变褐色时，植株上部死亡。苗木感</w:t>
      </w:r>
      <w:r>
        <w:rPr>
          <w:sz w:val="29"/>
          <w:szCs w:val="29"/>
          <w:spacing w:val="13"/>
        </w:rPr>
        <w:t xml:space="preserve"> </w:t>
      </w:r>
      <w:r>
        <w:rPr>
          <w:sz w:val="29"/>
          <w:szCs w:val="29"/>
          <w:spacing w:val="-12"/>
        </w:rPr>
        <w:t>病后发育受阻，生长缓慢植株矮小，严重时叶片萎蔫、早</w:t>
      </w:r>
      <w:r>
        <w:rPr>
          <w:sz w:val="29"/>
          <w:szCs w:val="29"/>
          <w:spacing w:val="-13"/>
        </w:rPr>
        <w:t>衰，甚至死亡。大树受害</w:t>
      </w:r>
      <w:r>
        <w:rPr>
          <w:sz w:val="29"/>
          <w:szCs w:val="29"/>
        </w:rPr>
        <w:t xml:space="preserve">  </w:t>
      </w:r>
      <w:r>
        <w:rPr>
          <w:sz w:val="29"/>
          <w:szCs w:val="29"/>
        </w:rPr>
        <w:t>后树势衰弱，生长不良，提前落叶，果实变小，树龄缩短。</w:t>
      </w:r>
    </w:p>
    <w:p>
      <w:pPr>
        <w:pStyle w:val="BodyText"/>
        <w:ind w:right="67" w:firstLine="590"/>
        <w:spacing w:before="188" w:line="281" w:lineRule="auto"/>
        <w:rPr>
          <w:sz w:val="29"/>
          <w:szCs w:val="29"/>
        </w:rPr>
      </w:pPr>
      <w:r>
        <w:rPr>
          <w:sz w:val="29"/>
          <w:szCs w:val="29"/>
          <w:spacing w:val="8"/>
        </w:rPr>
        <w:t>3)发病规律：借灌溉水、雨水、嫁接工具、机具、地下害虫等传播，苗木</w:t>
      </w:r>
      <w:r>
        <w:rPr>
          <w:sz w:val="29"/>
          <w:szCs w:val="29"/>
          <w:spacing w:val="18"/>
        </w:rPr>
        <w:t xml:space="preserve"> </w:t>
      </w:r>
      <w:r>
        <w:rPr>
          <w:sz w:val="29"/>
          <w:szCs w:val="29"/>
          <w:spacing w:val="-13"/>
        </w:rPr>
        <w:t>调运是远距离传播的主要途径；伤口侵入后潜育期几周至1年以上，碱性、粘重、排</w:t>
      </w:r>
      <w:r>
        <w:rPr>
          <w:sz w:val="29"/>
          <w:szCs w:val="29"/>
          <w:spacing w:val="15"/>
        </w:rPr>
        <w:t xml:space="preserve"> </w:t>
      </w:r>
      <w:r>
        <w:rPr>
          <w:sz w:val="29"/>
          <w:szCs w:val="29"/>
          <w:spacing w:val="1"/>
        </w:rPr>
        <w:t>水不良的土壤发病重，根部伤口多少与发病率成正比。</w:t>
      </w:r>
    </w:p>
    <w:p>
      <w:pPr>
        <w:pStyle w:val="BodyText"/>
        <w:ind w:left="590"/>
        <w:spacing w:before="154" w:line="219" w:lineRule="auto"/>
        <w:rPr>
          <w:sz w:val="29"/>
          <w:szCs w:val="29"/>
        </w:rPr>
      </w:pPr>
      <w:r>
        <w:rPr>
          <w:sz w:val="29"/>
          <w:szCs w:val="29"/>
          <w:spacing w:val="6"/>
        </w:rPr>
        <w:t>4)分布省份：我国南北均有分布，东北、华北、西北、华中多有发生。</w:t>
      </w:r>
    </w:p>
    <w:p>
      <w:pPr>
        <w:pStyle w:val="BodyText"/>
        <w:ind w:right="60" w:firstLine="590"/>
        <w:spacing w:before="132" w:line="295" w:lineRule="auto"/>
        <w:rPr>
          <w:sz w:val="29"/>
          <w:szCs w:val="29"/>
        </w:rPr>
      </w:pPr>
      <w:r>
        <w:rPr>
          <w:sz w:val="29"/>
          <w:szCs w:val="29"/>
          <w:spacing w:val="9"/>
        </w:rPr>
        <w:t>5)防治方法：选用未感染根癌病、土壤疏松</w:t>
      </w:r>
      <w:r>
        <w:rPr>
          <w:sz w:val="29"/>
          <w:szCs w:val="29"/>
          <w:spacing w:val="8"/>
        </w:rPr>
        <w:t>、排水良好的砂壤土育苗；及</w:t>
      </w:r>
      <w:r>
        <w:rPr>
          <w:sz w:val="29"/>
          <w:szCs w:val="29"/>
        </w:rPr>
        <w:t xml:space="preserve"> </w:t>
      </w:r>
      <w:r>
        <w:rPr>
          <w:sz w:val="29"/>
          <w:szCs w:val="29"/>
        </w:rPr>
        <w:t>时防治地下害虫；如已被污染，用硫酸亚铁、硫磺粉等进行土壤消毒；增施有机 </w:t>
      </w:r>
      <w:r>
        <w:rPr>
          <w:sz w:val="29"/>
          <w:szCs w:val="29"/>
        </w:rPr>
        <w:t>肥如绿肥等；珍贵苗木花卉早期发现癌瘤后，用利刀将其切除，然后用1%硫酸铜</w:t>
      </w:r>
      <w:r>
        <w:rPr>
          <w:sz w:val="29"/>
          <w:szCs w:val="29"/>
          <w:spacing w:val="9"/>
        </w:rPr>
        <w:t xml:space="preserve"> </w:t>
      </w:r>
      <w:r>
        <w:rPr>
          <w:sz w:val="29"/>
          <w:szCs w:val="29"/>
          <w:spacing w:val="4"/>
        </w:rPr>
        <w:t>溶液、2%石灰水或50倍抗菌剂402溶液消毒切口，再涂波尔多液保护，切</w:t>
      </w:r>
      <w:r>
        <w:rPr>
          <w:sz w:val="29"/>
          <w:szCs w:val="29"/>
          <w:spacing w:val="3"/>
        </w:rPr>
        <w:t>下的瘤</w:t>
      </w:r>
      <w:r>
        <w:rPr>
          <w:sz w:val="29"/>
          <w:szCs w:val="29"/>
        </w:rPr>
        <w:t xml:space="preserve"> </w:t>
      </w:r>
      <w:r>
        <w:rPr>
          <w:sz w:val="29"/>
          <w:szCs w:val="29"/>
          <w:spacing w:val="-16"/>
        </w:rPr>
        <w:t>烧掉；用甲醇：冰醋酸：碘片=50:25:12的混合液或木醇：二硝基邻甲酚钠=80</w:t>
      </w:r>
      <w:r>
        <w:rPr>
          <w:sz w:val="29"/>
          <w:szCs w:val="29"/>
          <w:spacing w:val="-17"/>
        </w:rPr>
        <w:t>:20的混</w:t>
      </w:r>
      <w:r>
        <w:rPr>
          <w:sz w:val="29"/>
          <w:szCs w:val="29"/>
        </w:rPr>
        <w:t xml:space="preserve"> </w:t>
      </w:r>
      <w:r>
        <w:rPr>
          <w:sz w:val="29"/>
          <w:szCs w:val="29"/>
          <w:spacing w:val="-1"/>
        </w:rPr>
        <w:t>合液涂抹肿瘤数次，瘤可消除。</w:t>
      </w:r>
    </w:p>
    <w:p>
      <w:pPr>
        <w:ind w:left="99"/>
        <w:spacing w:before="276" w:line="222" w:lineRule="auto"/>
        <w:outlineLvl w:val="2"/>
        <w:rPr>
          <w:rFonts w:ascii="SimHei" w:hAnsi="SimHei" w:eastAsia="SimHei" w:cs="SimHei"/>
          <w:sz w:val="29"/>
          <w:szCs w:val="29"/>
        </w:rPr>
      </w:pPr>
      <w:bookmarkStart w:name="bookmark38" w:id="66"/>
      <w:bookmarkEnd w:id="66"/>
      <w:r>
        <w:rPr>
          <w:rFonts w:ascii="SimHei" w:hAnsi="SimHei" w:eastAsia="SimHei" w:cs="SimHei"/>
          <w:sz w:val="29"/>
          <w:szCs w:val="29"/>
          <w:spacing w:val="29"/>
        </w:rPr>
        <w:t>(四)病毒性病害</w:t>
      </w:r>
    </w:p>
    <w:p>
      <w:pPr>
        <w:pStyle w:val="BodyText"/>
        <w:spacing w:before="141" w:line="222"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花叶病</w:t>
      </w:r>
    </w:p>
    <w:p>
      <w:pPr>
        <w:pStyle w:val="BodyText"/>
        <w:ind w:left="590"/>
        <w:spacing w:before="111" w:line="219" w:lineRule="auto"/>
        <w:rPr>
          <w:sz w:val="29"/>
          <w:szCs w:val="29"/>
        </w:rPr>
      </w:pPr>
      <w:r>
        <w:rPr>
          <w:sz w:val="29"/>
          <w:szCs w:val="29"/>
          <w:spacing w:val="2"/>
        </w:rPr>
        <w:t>1)危害植物：菖蒲、杨树、山茶、</w:t>
      </w:r>
      <w:r>
        <w:rPr>
          <w:sz w:val="29"/>
          <w:szCs w:val="29"/>
          <w:spacing w:val="-27"/>
        </w:rPr>
        <w:t xml:space="preserve"> </w:t>
      </w:r>
      <w:r>
        <w:rPr>
          <w:sz w:val="29"/>
          <w:szCs w:val="29"/>
          <w:spacing w:val="2"/>
        </w:rPr>
        <w:t>一串红、金盏菊、红花吊兰、美人蕉、</w:t>
      </w:r>
    </w:p>
    <w:p>
      <w:pPr>
        <w:spacing w:line="219" w:lineRule="auto"/>
        <w:sectPr>
          <w:footerReference w:type="default" r:id="rId284"/>
          <w:pgSz w:w="14490" w:h="20470"/>
          <w:pgMar w:top="1739" w:right="2118" w:bottom="1448" w:left="2150" w:header="0" w:footer="1203" w:gutter="0"/>
        </w:sectPr>
        <w:rPr>
          <w:sz w:val="29"/>
          <w:szCs w:val="29"/>
        </w:rPr>
      </w:pPr>
    </w:p>
    <w:p>
      <w:pPr>
        <w:pStyle w:val="BodyText"/>
        <w:ind w:right="133"/>
        <w:spacing w:before="122" w:line="315" w:lineRule="auto"/>
        <w:rPr>
          <w:sz w:val="29"/>
          <w:szCs w:val="29"/>
        </w:rPr>
      </w:pPr>
      <w:r>
        <w:rPr>
          <w:sz w:val="29"/>
          <w:szCs w:val="29"/>
          <w:spacing w:val="-11"/>
        </w:rPr>
        <w:t>栀子、茉莉、槐树、臭椿、细叶榕、金钱榕、夹竹桃、鹅掌柴、美人蕉、月季</w:t>
      </w:r>
      <w:r>
        <w:rPr>
          <w:sz w:val="29"/>
          <w:szCs w:val="29"/>
          <w:spacing w:val="-12"/>
        </w:rPr>
        <w:t>等大</w:t>
      </w:r>
      <w:r>
        <w:rPr>
          <w:sz w:val="29"/>
          <w:szCs w:val="29"/>
        </w:rPr>
        <w:t xml:space="preserve"> </w:t>
      </w:r>
      <w:r>
        <w:rPr>
          <w:sz w:val="29"/>
          <w:szCs w:val="29"/>
          <w:spacing w:val="-4"/>
        </w:rPr>
        <w:t>多数园林植物。</w:t>
      </w:r>
    </w:p>
    <w:p>
      <w:pPr>
        <w:pStyle w:val="BodyText"/>
        <w:ind w:right="131" w:firstLine="509"/>
        <w:spacing w:before="1" w:line="319" w:lineRule="auto"/>
        <w:rPr>
          <w:sz w:val="29"/>
          <w:szCs w:val="29"/>
        </w:rPr>
      </w:pPr>
      <w:r>
        <w:drawing>
          <wp:anchor distT="0" distB="0" distL="0" distR="0" simplePos="0" relativeHeight="252045312" behindDoc="0" locked="0" layoutInCell="1" allowOverlap="1">
            <wp:simplePos x="0" y="0"/>
            <wp:positionH relativeFrom="column">
              <wp:posOffset>908061</wp:posOffset>
            </wp:positionH>
            <wp:positionV relativeFrom="paragraph">
              <wp:posOffset>641091</wp:posOffset>
            </wp:positionV>
            <wp:extent cx="2158957" cy="2063763"/>
            <wp:effectExtent l="0" t="0" r="0" b="0"/>
            <wp:wrapNone/>
            <wp:docPr id="400" name="IM 400"/>
            <wp:cNvGraphicFramePr/>
            <a:graphic>
              <a:graphicData uri="http://schemas.openxmlformats.org/drawingml/2006/picture">
                <pic:pic>
                  <pic:nvPicPr>
                    <pic:cNvPr id="400" name="IM 400"/>
                    <pic:cNvPicPr/>
                  </pic:nvPicPr>
                  <pic:blipFill>
                    <a:blip r:embed="rId288"/>
                    <a:stretch>
                      <a:fillRect/>
                    </a:stretch>
                  </pic:blipFill>
                  <pic:spPr>
                    <a:xfrm rot="0">
                      <a:off x="0" y="0"/>
                      <a:ext cx="2158957" cy="2063763"/>
                    </a:xfrm>
                    <a:prstGeom prst="rect">
                      <a:avLst/>
                    </a:prstGeom>
                  </pic:spPr>
                </pic:pic>
              </a:graphicData>
            </a:graphic>
          </wp:anchor>
        </w:drawing>
      </w:r>
      <w:r>
        <w:rPr>
          <w:sz w:val="29"/>
          <w:szCs w:val="29"/>
          <w:spacing w:val="8"/>
        </w:rPr>
        <w:t>2)表现症状：表现为叶片退绿、黄花、斑驳，出</w:t>
      </w:r>
      <w:r>
        <w:rPr>
          <w:sz w:val="29"/>
          <w:szCs w:val="29"/>
          <w:spacing w:val="7"/>
        </w:rPr>
        <w:t>现坏死性枯斑、条斑，叶</w:t>
      </w:r>
      <w:r>
        <w:rPr>
          <w:sz w:val="29"/>
          <w:szCs w:val="29"/>
        </w:rPr>
        <w:t xml:space="preserve"> </w:t>
      </w:r>
      <w:r>
        <w:rPr>
          <w:sz w:val="29"/>
          <w:szCs w:val="29"/>
          <w:spacing w:val="1"/>
        </w:rPr>
        <w:t>片皱缩卷曲，顶芽枯死，植株矮化、丛生、碎花和果实</w:t>
      </w:r>
      <w:r>
        <w:rPr>
          <w:sz w:val="29"/>
          <w:szCs w:val="29"/>
        </w:rPr>
        <w:t>畸形等。</w:t>
      </w:r>
    </w:p>
    <w:p>
      <w:pPr>
        <w:ind w:firstLine="4999"/>
        <w:spacing w:before="14" w:line="3260" w:lineRule="exact"/>
        <w:rPr/>
      </w:pPr>
      <w:r>
        <w:rPr>
          <w:position w:val="-65"/>
        </w:rPr>
        <w:drawing>
          <wp:inline distT="0" distB="0" distL="0" distR="0">
            <wp:extent cx="2470140" cy="2070003"/>
            <wp:effectExtent l="0" t="0" r="0" b="0"/>
            <wp:docPr id="402" name="IM 402"/>
            <wp:cNvGraphicFramePr/>
            <a:graphic>
              <a:graphicData uri="http://schemas.openxmlformats.org/drawingml/2006/picture">
                <pic:pic>
                  <pic:nvPicPr>
                    <pic:cNvPr id="402" name="IM 402"/>
                    <pic:cNvPicPr/>
                  </pic:nvPicPr>
                  <pic:blipFill>
                    <a:blip r:embed="rId289"/>
                    <a:stretch>
                      <a:fillRect/>
                    </a:stretch>
                  </pic:blipFill>
                  <pic:spPr>
                    <a:xfrm rot="0">
                      <a:off x="0" y="0"/>
                      <a:ext cx="2470140" cy="2070003"/>
                    </a:xfrm>
                    <a:prstGeom prst="rect">
                      <a:avLst/>
                    </a:prstGeom>
                  </pic:spPr>
                </pic:pic>
              </a:graphicData>
            </a:graphic>
          </wp:inline>
        </w:drawing>
      </w:r>
    </w:p>
    <w:p>
      <w:pPr>
        <w:pStyle w:val="BodyText"/>
        <w:ind w:left="3640"/>
        <w:spacing w:before="31" w:line="219" w:lineRule="auto"/>
        <w:rPr>
          <w:sz w:val="27"/>
          <w:szCs w:val="27"/>
        </w:rPr>
      </w:pPr>
      <w:r>
        <w:rPr>
          <w:sz w:val="27"/>
          <w:szCs w:val="27"/>
          <w:spacing w:val="-16"/>
        </w:rPr>
        <w:t>图6-1-31花叶病危害特征</w:t>
      </w:r>
    </w:p>
    <w:p>
      <w:pPr>
        <w:pStyle w:val="BodyText"/>
        <w:ind w:left="600"/>
        <w:spacing w:before="138" w:line="219" w:lineRule="auto"/>
        <w:rPr>
          <w:sz w:val="29"/>
          <w:szCs w:val="29"/>
        </w:rPr>
      </w:pPr>
      <w:r>
        <w:rPr>
          <w:sz w:val="29"/>
          <w:szCs w:val="29"/>
          <w:spacing w:val="7"/>
        </w:rPr>
        <w:t>3)发病时期：夏季高温干旱天气易引起此病。</w:t>
      </w:r>
    </w:p>
    <w:p>
      <w:pPr>
        <w:pStyle w:val="BodyText"/>
        <w:ind w:left="600"/>
        <w:spacing w:before="146" w:line="219" w:lineRule="auto"/>
        <w:rPr>
          <w:sz w:val="29"/>
          <w:szCs w:val="29"/>
        </w:rPr>
      </w:pPr>
      <w:r>
        <w:rPr>
          <w:sz w:val="29"/>
          <w:szCs w:val="29"/>
          <w:spacing w:val="10"/>
        </w:rPr>
        <w:t>4)分布省份：我国南北均有发生。</w:t>
      </w:r>
    </w:p>
    <w:p>
      <w:pPr>
        <w:pStyle w:val="BodyText"/>
        <w:ind w:right="274" w:firstLine="600"/>
        <w:spacing w:before="136" w:line="275" w:lineRule="auto"/>
        <w:rPr>
          <w:sz w:val="29"/>
          <w:szCs w:val="29"/>
        </w:rPr>
      </w:pPr>
      <w:r>
        <w:rPr>
          <w:sz w:val="29"/>
          <w:szCs w:val="29"/>
          <w:spacing w:val="4"/>
        </w:rPr>
        <w:t>5)防治方法：生长季节严防蚜虫、叶蝉，可用50%抗蚜威4000—5000倍喷</w:t>
      </w:r>
      <w:r>
        <w:rPr>
          <w:sz w:val="29"/>
          <w:szCs w:val="29"/>
          <w:spacing w:val="14"/>
        </w:rPr>
        <w:t xml:space="preserve"> </w:t>
      </w:r>
      <w:r>
        <w:rPr>
          <w:sz w:val="29"/>
          <w:szCs w:val="29"/>
          <w:spacing w:val="-7"/>
        </w:rPr>
        <w:t>雾，5—7天1次，共2次；药剂防治参见《各地区农药肥料指导</w:t>
      </w:r>
      <w:r>
        <w:rPr>
          <w:sz w:val="29"/>
          <w:szCs w:val="29"/>
          <w:spacing w:val="-8"/>
        </w:rPr>
        <w:t>》。</w:t>
      </w:r>
    </w:p>
    <w:p>
      <w:pPr>
        <w:pStyle w:val="BodyText"/>
        <w:spacing w:before="167" w:line="222"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丛枝病</w:t>
      </w:r>
    </w:p>
    <w:p>
      <w:pPr>
        <w:pStyle w:val="BodyText"/>
        <w:ind w:right="132" w:firstLine="600"/>
        <w:spacing w:before="111" w:line="269" w:lineRule="auto"/>
        <w:rPr>
          <w:sz w:val="29"/>
          <w:szCs w:val="29"/>
        </w:rPr>
      </w:pPr>
      <w:r>
        <w:rPr>
          <w:sz w:val="29"/>
          <w:szCs w:val="29"/>
          <w:spacing w:val="5"/>
        </w:rPr>
        <w:t>1)危害植物：针、阔叶树种和竹类、泡桐、重阳木、苦楝、天竺葵</w:t>
      </w:r>
      <w:r>
        <w:rPr>
          <w:sz w:val="29"/>
          <w:szCs w:val="29"/>
          <w:spacing w:val="4"/>
        </w:rPr>
        <w:t>、夹竹</w:t>
      </w:r>
      <w:r>
        <w:rPr>
          <w:sz w:val="29"/>
          <w:szCs w:val="29"/>
        </w:rPr>
        <w:t xml:space="preserve"> </w:t>
      </w:r>
      <w:r>
        <w:rPr>
          <w:sz w:val="29"/>
          <w:szCs w:val="29"/>
          <w:spacing w:val="-3"/>
        </w:rPr>
        <w:t>桃、枫杨等。</w:t>
      </w:r>
    </w:p>
    <w:p>
      <w:pPr>
        <w:pStyle w:val="BodyText"/>
        <w:ind w:right="5" w:firstLine="519"/>
        <w:spacing w:before="143" w:line="281" w:lineRule="auto"/>
        <w:rPr>
          <w:sz w:val="29"/>
          <w:szCs w:val="29"/>
        </w:rPr>
      </w:pPr>
      <w:r>
        <w:rPr>
          <w:sz w:val="29"/>
          <w:szCs w:val="29"/>
          <w:spacing w:val="11"/>
        </w:rPr>
        <w:t>2)表现症状：病害由个别枝条开始，逐渐扩及全株。泡桐丛枝病表现为腋</w:t>
      </w:r>
      <w:r>
        <w:rPr>
          <w:sz w:val="29"/>
          <w:szCs w:val="29"/>
          <w:spacing w:val="7"/>
        </w:rPr>
        <w:t xml:space="preserve"> </w:t>
      </w:r>
      <w:r>
        <w:rPr>
          <w:sz w:val="29"/>
          <w:szCs w:val="29"/>
          <w:spacing w:val="-1"/>
        </w:rPr>
        <w:t>芽和不定芽大量丛生，节间变短，叶片黄化变小，产生明脉，冬季小枝</w:t>
      </w:r>
      <w:r>
        <w:rPr>
          <w:sz w:val="29"/>
          <w:szCs w:val="29"/>
          <w:spacing w:val="-2"/>
        </w:rPr>
        <w:t>不脱落呈</w:t>
      </w:r>
      <w:r>
        <w:rPr>
          <w:sz w:val="29"/>
          <w:szCs w:val="29"/>
        </w:rPr>
        <w:t xml:space="preserve"> </w:t>
      </w:r>
      <w:r>
        <w:rPr>
          <w:sz w:val="29"/>
          <w:szCs w:val="29"/>
          <w:spacing w:val="-1"/>
        </w:rPr>
        <w:t>鸟巢状，严重的病株当年枯死，轻的几年后也会死掉。</w:t>
      </w:r>
    </w:p>
    <w:p>
      <w:pPr>
        <w:ind w:firstLine="1029"/>
        <w:spacing w:before="137" w:line="3259" w:lineRule="exact"/>
        <w:rPr/>
      </w:pPr>
      <w:r>
        <w:rPr>
          <w:position w:val="-65"/>
        </w:rPr>
        <w:drawing>
          <wp:inline distT="0" distB="0" distL="0" distR="0">
            <wp:extent cx="4959328" cy="2070003"/>
            <wp:effectExtent l="0" t="0" r="0" b="0"/>
            <wp:docPr id="404" name="IM 404"/>
            <wp:cNvGraphicFramePr/>
            <a:graphic>
              <a:graphicData uri="http://schemas.openxmlformats.org/drawingml/2006/picture">
                <pic:pic>
                  <pic:nvPicPr>
                    <pic:cNvPr id="404" name="IM 404"/>
                    <pic:cNvPicPr/>
                  </pic:nvPicPr>
                  <pic:blipFill>
                    <a:blip r:embed="rId290"/>
                    <a:stretch>
                      <a:fillRect/>
                    </a:stretch>
                  </pic:blipFill>
                  <pic:spPr>
                    <a:xfrm rot="0">
                      <a:off x="0" y="0"/>
                      <a:ext cx="4959328" cy="2070003"/>
                    </a:xfrm>
                    <a:prstGeom prst="rect">
                      <a:avLst/>
                    </a:prstGeom>
                  </pic:spPr>
                </pic:pic>
              </a:graphicData>
            </a:graphic>
          </wp:inline>
        </w:drawing>
      </w:r>
    </w:p>
    <w:p>
      <w:pPr>
        <w:pStyle w:val="BodyText"/>
        <w:ind w:left="3640"/>
        <w:spacing w:before="102" w:line="219" w:lineRule="auto"/>
        <w:rPr>
          <w:sz w:val="27"/>
          <w:szCs w:val="27"/>
        </w:rPr>
      </w:pPr>
      <w:r>
        <w:rPr>
          <w:sz w:val="27"/>
          <w:szCs w:val="27"/>
          <w:spacing w:val="-16"/>
        </w:rPr>
        <w:t>图6-1-32丛枝病表现症状</w:t>
      </w:r>
    </w:p>
    <w:p>
      <w:pPr>
        <w:pStyle w:val="BodyText"/>
        <w:ind w:left="600"/>
        <w:spacing w:before="140" w:line="219" w:lineRule="auto"/>
        <w:rPr>
          <w:sz w:val="29"/>
          <w:szCs w:val="29"/>
        </w:rPr>
      </w:pPr>
      <w:r>
        <w:rPr>
          <w:sz w:val="29"/>
          <w:szCs w:val="29"/>
          <w:spacing w:val="9"/>
        </w:rPr>
        <w:t>3)发生时期：8—10月为高发期。</w:t>
      </w:r>
    </w:p>
    <w:p>
      <w:pPr>
        <w:pStyle w:val="BodyText"/>
        <w:ind w:right="141" w:firstLine="600"/>
        <w:spacing w:before="154" w:line="259" w:lineRule="auto"/>
        <w:rPr>
          <w:sz w:val="29"/>
          <w:szCs w:val="29"/>
        </w:rPr>
      </w:pPr>
      <w:r>
        <w:rPr>
          <w:sz w:val="29"/>
          <w:szCs w:val="29"/>
          <w:spacing w:val="5"/>
        </w:rPr>
        <w:t>4)分布省份：主要分布于河南、河北、天津、山</w:t>
      </w:r>
      <w:r>
        <w:rPr>
          <w:sz w:val="29"/>
          <w:szCs w:val="29"/>
          <w:spacing w:val="4"/>
        </w:rPr>
        <w:t>东、山西、安徽、江苏、</w:t>
      </w:r>
      <w:r>
        <w:rPr>
          <w:sz w:val="29"/>
          <w:szCs w:val="29"/>
        </w:rPr>
        <w:t xml:space="preserve"> </w:t>
      </w:r>
      <w:r>
        <w:rPr>
          <w:sz w:val="29"/>
          <w:szCs w:val="29"/>
        </w:rPr>
        <w:t>浙江、湖南、贵州等省，但以华东地区为常见。</w:t>
      </w:r>
    </w:p>
    <w:p>
      <w:pPr>
        <w:pStyle w:val="BodyText"/>
        <w:ind w:right="83" w:firstLine="600"/>
        <w:spacing w:before="168" w:line="269" w:lineRule="auto"/>
        <w:rPr>
          <w:sz w:val="29"/>
          <w:szCs w:val="29"/>
        </w:rPr>
      </w:pPr>
      <w:r>
        <w:rPr>
          <w:sz w:val="29"/>
          <w:szCs w:val="29"/>
          <w:spacing w:val="6"/>
        </w:rPr>
        <w:t>5)防治方法：以预防为主，对病树注射四环素类药物可收到一定的治疗效</w:t>
      </w:r>
      <w:r>
        <w:rPr>
          <w:sz w:val="29"/>
          <w:szCs w:val="29"/>
          <w:spacing w:val="13"/>
        </w:rPr>
        <w:t xml:space="preserve"> </w:t>
      </w:r>
      <w:r>
        <w:rPr>
          <w:sz w:val="29"/>
          <w:szCs w:val="29"/>
        </w:rPr>
        <w:t>果，但不能根治，发病严重无效的应伐除。</w:t>
      </w:r>
    </w:p>
    <w:p>
      <w:pPr>
        <w:spacing w:line="269" w:lineRule="auto"/>
        <w:sectPr>
          <w:footerReference w:type="default" r:id="rId287"/>
          <w:pgSz w:w="14490" w:h="20470"/>
          <w:pgMar w:top="1739" w:right="2173" w:bottom="1402" w:left="2140" w:header="0" w:footer="1231" w:gutter="0"/>
        </w:sectPr>
        <w:rPr>
          <w:sz w:val="29"/>
          <w:szCs w:val="29"/>
        </w:rPr>
      </w:pPr>
    </w:p>
    <w:p>
      <w:pPr>
        <w:ind w:left="124"/>
        <w:spacing w:before="185" w:line="221" w:lineRule="auto"/>
        <w:outlineLvl w:val="2"/>
        <w:rPr>
          <w:rFonts w:ascii="SimHei" w:hAnsi="SimHei" w:eastAsia="SimHei" w:cs="SimHei"/>
          <w:sz w:val="29"/>
          <w:szCs w:val="29"/>
        </w:rPr>
      </w:pPr>
      <w:bookmarkStart w:name="bookmark107" w:id="67"/>
      <w:bookmarkEnd w:id="67"/>
      <w:bookmarkStart w:name="bookmark39" w:id="68"/>
      <w:bookmarkEnd w:id="68"/>
      <w:r>
        <w:rPr>
          <w:rFonts w:ascii="SimHei" w:hAnsi="SimHei" w:eastAsia="SimHei" w:cs="SimHei"/>
          <w:sz w:val="29"/>
          <w:szCs w:val="29"/>
          <w:b/>
          <w:bCs/>
          <w:spacing w:val="27"/>
        </w:rPr>
        <w:t>(五)缺素症</w:t>
      </w:r>
    </w:p>
    <w:p>
      <w:pPr>
        <w:spacing w:before="163" w:line="222" w:lineRule="auto"/>
        <w:rPr>
          <w:rFonts w:ascii="SimHei" w:hAnsi="SimHei" w:eastAsia="SimHei" w:cs="SimHei"/>
          <w:sz w:val="27"/>
          <w:szCs w:val="27"/>
        </w:rPr>
      </w:pPr>
      <w:r>
        <w:rPr>
          <w:rFonts w:ascii="SimHei" w:hAnsi="SimHei" w:eastAsia="SimHei" w:cs="SimHei"/>
          <w:sz w:val="27"/>
          <w:szCs w:val="27"/>
          <w:spacing w:val="-9"/>
        </w:rPr>
        <w:t>1、</w:t>
      </w:r>
      <w:r>
        <w:rPr>
          <w:rFonts w:ascii="SimHei" w:hAnsi="SimHei" w:eastAsia="SimHei" w:cs="SimHei"/>
          <w:sz w:val="27"/>
          <w:szCs w:val="27"/>
          <w:spacing w:val="-102"/>
        </w:rPr>
        <w:t xml:space="preserve"> </w:t>
      </w:r>
      <w:r>
        <w:rPr>
          <w:rFonts w:ascii="SimHei" w:hAnsi="SimHei" w:eastAsia="SimHei" w:cs="SimHei"/>
          <w:sz w:val="27"/>
          <w:szCs w:val="27"/>
          <w:b/>
          <w:bCs/>
          <w:spacing w:val="-9"/>
        </w:rPr>
        <w:t>缺</w:t>
      </w:r>
      <w:r>
        <w:rPr>
          <w:rFonts w:ascii="SimHei" w:hAnsi="SimHei" w:eastAsia="SimHei" w:cs="SimHei"/>
          <w:sz w:val="27"/>
          <w:szCs w:val="27"/>
          <w:spacing w:val="-59"/>
        </w:rPr>
        <w:t xml:space="preserve"> </w:t>
      </w:r>
      <w:r>
        <w:rPr>
          <w:rFonts w:ascii="SimHei" w:hAnsi="SimHei" w:eastAsia="SimHei" w:cs="SimHei"/>
          <w:sz w:val="27"/>
          <w:szCs w:val="27"/>
          <w:b/>
          <w:bCs/>
          <w:spacing w:val="-9"/>
        </w:rPr>
        <w:t>氮</w:t>
      </w:r>
    </w:p>
    <w:p>
      <w:pPr>
        <w:pStyle w:val="BodyText"/>
        <w:ind w:right="242" w:firstLine="560"/>
        <w:spacing w:before="106" w:line="288" w:lineRule="auto"/>
        <w:rPr>
          <w:sz w:val="29"/>
          <w:szCs w:val="29"/>
        </w:rPr>
      </w:pPr>
      <w:r>
        <w:drawing>
          <wp:anchor distT="0" distB="0" distL="0" distR="0" simplePos="0" relativeHeight="252050432" behindDoc="0" locked="0" layoutInCell="1" allowOverlap="1">
            <wp:simplePos x="0" y="0"/>
            <wp:positionH relativeFrom="column">
              <wp:posOffset>25395</wp:posOffset>
            </wp:positionH>
            <wp:positionV relativeFrom="paragraph">
              <wp:posOffset>1250476</wp:posOffset>
            </wp:positionV>
            <wp:extent cx="2539976" cy="2381186"/>
            <wp:effectExtent l="0" t="0" r="0" b="0"/>
            <wp:wrapNone/>
            <wp:docPr id="406" name="IM 406"/>
            <wp:cNvGraphicFramePr/>
            <a:graphic>
              <a:graphicData uri="http://schemas.openxmlformats.org/drawingml/2006/picture">
                <pic:pic>
                  <pic:nvPicPr>
                    <pic:cNvPr id="406" name="IM 406"/>
                    <pic:cNvPicPr/>
                  </pic:nvPicPr>
                  <pic:blipFill>
                    <a:blip r:embed="rId292"/>
                    <a:stretch>
                      <a:fillRect/>
                    </a:stretch>
                  </pic:blipFill>
                  <pic:spPr>
                    <a:xfrm rot="0">
                      <a:off x="0" y="0"/>
                      <a:ext cx="2539976" cy="2381186"/>
                    </a:xfrm>
                    <a:prstGeom prst="rect">
                      <a:avLst/>
                    </a:prstGeom>
                  </pic:spPr>
                </pic:pic>
              </a:graphicData>
            </a:graphic>
          </wp:anchor>
        </w:drawing>
      </w:r>
      <w:r>
        <w:rPr>
          <w:rFonts w:ascii="Times New Roman" w:hAnsi="Times New Roman" w:eastAsia="Times New Roman" w:cs="Times New Roman"/>
          <w:sz w:val="29"/>
          <w:szCs w:val="29"/>
          <w:spacing w:val="-2"/>
        </w:rPr>
        <w:t>1    </w:t>
      </w:r>
      <w:r>
        <w:rPr>
          <w:sz w:val="29"/>
          <w:szCs w:val="29"/>
          <w:spacing w:val="-2"/>
        </w:rPr>
        <w:t>表现症状：叶片黄化(开始叶脉间黄化，叶脉凸出可见，最后全叶黄化),</w:t>
      </w:r>
      <w:r>
        <w:rPr>
          <w:sz w:val="29"/>
          <w:szCs w:val="29"/>
          <w:spacing w:val="14"/>
        </w:rPr>
        <w:t xml:space="preserve"> </w:t>
      </w:r>
      <w:r>
        <w:rPr>
          <w:sz w:val="29"/>
          <w:szCs w:val="29"/>
        </w:rPr>
        <w:t>下部老叶枯萎，生长不良(如万寿菊、一串红紫罗兰、香石竹和许多球根花卉),</w:t>
      </w:r>
      <w:r>
        <w:rPr>
          <w:sz w:val="29"/>
          <w:szCs w:val="29"/>
          <w:spacing w:val="1"/>
        </w:rPr>
        <w:t xml:space="preserve">  </w:t>
      </w:r>
      <w:r>
        <w:rPr>
          <w:sz w:val="29"/>
          <w:szCs w:val="29"/>
        </w:rPr>
        <w:t>植株矮小，分枝或分蘖少且呈黄绿色，叶片薄而</w:t>
      </w:r>
      <w:r>
        <w:rPr>
          <w:sz w:val="29"/>
          <w:szCs w:val="29"/>
          <w:spacing w:val="-1"/>
        </w:rPr>
        <w:t>小，色均匀失绿、花小色淡，根</w:t>
      </w:r>
      <w:r>
        <w:rPr>
          <w:sz w:val="29"/>
          <w:szCs w:val="29"/>
        </w:rPr>
        <w:t xml:space="preserve"> </w:t>
      </w:r>
      <w:r>
        <w:rPr>
          <w:sz w:val="29"/>
          <w:szCs w:val="29"/>
          <w:spacing w:val="-8"/>
        </w:rPr>
        <w:t>受抑制细小，花、果、穗发育迟缓。</w:t>
      </w:r>
    </w:p>
    <w:p>
      <w:pPr>
        <w:ind w:firstLine="4159"/>
        <w:spacing w:before="63" w:line="3730" w:lineRule="exact"/>
        <w:rPr/>
      </w:pPr>
      <w:r>
        <w:rPr>
          <w:position w:val="-74"/>
        </w:rPr>
        <w:drawing>
          <wp:inline distT="0" distB="0" distL="0" distR="0">
            <wp:extent cx="3822710" cy="2368577"/>
            <wp:effectExtent l="0" t="0" r="0" b="0"/>
            <wp:docPr id="408" name="IM 408"/>
            <wp:cNvGraphicFramePr/>
            <a:graphic>
              <a:graphicData uri="http://schemas.openxmlformats.org/drawingml/2006/picture">
                <pic:pic>
                  <pic:nvPicPr>
                    <pic:cNvPr id="408" name="IM 408"/>
                    <pic:cNvPicPr/>
                  </pic:nvPicPr>
                  <pic:blipFill>
                    <a:blip r:embed="rId293"/>
                    <a:stretch>
                      <a:fillRect/>
                    </a:stretch>
                  </pic:blipFill>
                  <pic:spPr>
                    <a:xfrm rot="0">
                      <a:off x="0" y="0"/>
                      <a:ext cx="3822710" cy="2368577"/>
                    </a:xfrm>
                    <a:prstGeom prst="rect">
                      <a:avLst/>
                    </a:prstGeom>
                  </pic:spPr>
                </pic:pic>
              </a:graphicData>
            </a:graphic>
          </wp:inline>
        </w:drawing>
      </w:r>
    </w:p>
    <w:p>
      <w:pPr>
        <w:pStyle w:val="BodyText"/>
        <w:ind w:left="4370"/>
        <w:spacing w:before="178" w:line="219" w:lineRule="auto"/>
        <w:rPr>
          <w:sz w:val="24"/>
          <w:szCs w:val="24"/>
        </w:rPr>
      </w:pPr>
      <w:r>
        <w:rPr>
          <w:sz w:val="24"/>
          <w:szCs w:val="24"/>
          <w:spacing w:val="1"/>
        </w:rPr>
        <w:t>图6-1-33缺氮</w:t>
      </w:r>
    </w:p>
    <w:p>
      <w:pPr>
        <w:pStyle w:val="BodyText"/>
        <w:ind w:left="560"/>
        <w:spacing w:before="167" w:line="219" w:lineRule="auto"/>
        <w:rPr>
          <w:sz w:val="29"/>
          <w:szCs w:val="29"/>
        </w:rPr>
      </w:pPr>
      <w:r>
        <w:rPr>
          <w:rFonts w:ascii="Times New Roman" w:hAnsi="Times New Roman" w:eastAsia="Times New Roman" w:cs="Times New Roman"/>
          <w:sz w:val="29"/>
          <w:szCs w:val="29"/>
          <w:spacing w:val="1"/>
        </w:rPr>
        <w:t>2    </w:t>
      </w:r>
      <w:r>
        <w:rPr>
          <w:sz w:val="29"/>
          <w:szCs w:val="29"/>
          <w:spacing w:val="1"/>
        </w:rPr>
        <w:t>发病叶序：植物缺氮时老叶先表现症状。</w:t>
      </w:r>
    </w:p>
    <w:p>
      <w:pPr>
        <w:pStyle w:val="BodyText"/>
        <w:ind w:left="560"/>
        <w:spacing w:before="175" w:line="219" w:lineRule="auto"/>
        <w:rPr>
          <w:sz w:val="27"/>
          <w:szCs w:val="27"/>
        </w:rPr>
      </w:pPr>
      <w:r>
        <w:rPr>
          <w:sz w:val="27"/>
          <w:szCs w:val="27"/>
          <w:spacing w:val="28"/>
        </w:rPr>
        <w:t>3)易发土质：缺乏有机质的土壤。</w:t>
      </w:r>
    </w:p>
    <w:p>
      <w:pPr>
        <w:spacing w:before="176" w:line="222" w:lineRule="auto"/>
        <w:rPr>
          <w:rFonts w:ascii="SimHei" w:hAnsi="SimHei" w:eastAsia="SimHei" w:cs="SimHei"/>
          <w:sz w:val="28"/>
          <w:szCs w:val="28"/>
        </w:rPr>
      </w:pPr>
      <w:r>
        <w:rPr>
          <w:rFonts w:ascii="SimHei" w:hAnsi="SimHei" w:eastAsia="SimHei" w:cs="SimHei"/>
          <w:sz w:val="28"/>
          <w:szCs w:val="28"/>
          <w:spacing w:val="3"/>
        </w:rPr>
        <w:t>2、</w:t>
      </w:r>
      <w:r>
        <w:rPr>
          <w:rFonts w:ascii="SimHei" w:hAnsi="SimHei" w:eastAsia="SimHei" w:cs="SimHei"/>
          <w:sz w:val="28"/>
          <w:szCs w:val="28"/>
          <w:b/>
          <w:bCs/>
          <w:spacing w:val="3"/>
        </w:rPr>
        <w:t>缺磷</w:t>
      </w:r>
    </w:p>
    <w:p>
      <w:pPr>
        <w:pStyle w:val="BodyText"/>
        <w:ind w:right="254" w:firstLine="560"/>
        <w:spacing w:before="101" w:line="309" w:lineRule="auto"/>
        <w:jc w:val="both"/>
        <w:rPr>
          <w:sz w:val="29"/>
          <w:szCs w:val="29"/>
        </w:rPr>
      </w:pPr>
      <w:r>
        <w:rPr>
          <w:sz w:val="29"/>
          <w:szCs w:val="29"/>
          <w:spacing w:val="7"/>
        </w:rPr>
        <w:t>1)表现症状：植株矮化，生长延缓或停滞，形态苍老；茎</w:t>
      </w:r>
      <w:r>
        <w:rPr>
          <w:sz w:val="29"/>
          <w:szCs w:val="29"/>
          <w:spacing w:val="6"/>
        </w:rPr>
        <w:t>细小木质化，出</w:t>
      </w:r>
      <w:r>
        <w:rPr>
          <w:sz w:val="29"/>
          <w:szCs w:val="29"/>
        </w:rPr>
        <w:t xml:space="preserve"> </w:t>
      </w:r>
      <w:r>
        <w:rPr>
          <w:sz w:val="29"/>
          <w:szCs w:val="29"/>
          <w:spacing w:val="-1"/>
        </w:rPr>
        <w:t>现花青素；节间缩短，叶小枝少，根系发育不良；叶片变深绿色、灰暗无光泽；</w:t>
      </w:r>
      <w:r>
        <w:rPr>
          <w:sz w:val="29"/>
          <w:szCs w:val="29"/>
          <w:spacing w:val="8"/>
        </w:rPr>
        <w:t xml:space="preserve"> </w:t>
      </w:r>
      <w:r>
        <w:rPr>
          <w:sz w:val="29"/>
          <w:szCs w:val="29"/>
        </w:rPr>
        <w:t>根不发育，花少、果少、果实迟熟。</w:t>
      </w:r>
    </w:p>
    <w:p>
      <w:pPr>
        <w:ind w:firstLine="159"/>
        <w:spacing w:line="2520" w:lineRule="exact"/>
        <w:rPr/>
      </w:pPr>
      <w:r>
        <w:rPr>
          <w:position w:val="-50"/>
        </w:rPr>
        <w:drawing>
          <wp:inline distT="0" distB="0" distL="0" distR="0">
            <wp:extent cx="6489663" cy="1600239"/>
            <wp:effectExtent l="0" t="0" r="0" b="0"/>
            <wp:docPr id="410" name="IM 410"/>
            <wp:cNvGraphicFramePr/>
            <a:graphic>
              <a:graphicData uri="http://schemas.openxmlformats.org/drawingml/2006/picture">
                <pic:pic>
                  <pic:nvPicPr>
                    <pic:cNvPr id="410" name="IM 410"/>
                    <pic:cNvPicPr/>
                  </pic:nvPicPr>
                  <pic:blipFill>
                    <a:blip r:embed="rId294"/>
                    <a:stretch>
                      <a:fillRect/>
                    </a:stretch>
                  </pic:blipFill>
                  <pic:spPr>
                    <a:xfrm rot="0">
                      <a:off x="0" y="0"/>
                      <a:ext cx="6489663" cy="1600239"/>
                    </a:xfrm>
                    <a:prstGeom prst="rect">
                      <a:avLst/>
                    </a:prstGeom>
                  </pic:spPr>
                </pic:pic>
              </a:graphicData>
            </a:graphic>
          </wp:inline>
        </w:drawing>
      </w:r>
    </w:p>
    <w:p>
      <w:pPr>
        <w:pStyle w:val="BodyText"/>
        <w:ind w:left="4629"/>
        <w:spacing w:before="110" w:line="219" w:lineRule="auto"/>
        <w:rPr>
          <w:sz w:val="24"/>
          <w:szCs w:val="24"/>
        </w:rPr>
      </w:pPr>
      <w:r>
        <w:rPr>
          <w:sz w:val="24"/>
          <w:szCs w:val="24"/>
        </w:rPr>
        <w:t>图6-1-34缺磷</w:t>
      </w:r>
    </w:p>
    <w:p>
      <w:pPr>
        <w:pStyle w:val="BodyText"/>
        <w:ind w:left="560"/>
        <w:spacing w:before="168" w:line="219" w:lineRule="auto"/>
        <w:rPr>
          <w:sz w:val="29"/>
          <w:szCs w:val="29"/>
        </w:rPr>
      </w:pPr>
      <w:r>
        <w:rPr>
          <w:sz w:val="29"/>
          <w:szCs w:val="29"/>
          <w:spacing w:val="6"/>
        </w:rPr>
        <w:t>2)发病叶序：植物缺磷时老叶先表现症状。</w:t>
      </w:r>
    </w:p>
    <w:p>
      <w:pPr>
        <w:pStyle w:val="BodyText"/>
        <w:ind w:left="560"/>
        <w:spacing w:before="154" w:line="219" w:lineRule="auto"/>
        <w:rPr>
          <w:sz w:val="29"/>
          <w:szCs w:val="29"/>
        </w:rPr>
      </w:pPr>
      <w:r>
        <w:rPr>
          <w:sz w:val="29"/>
          <w:szCs w:val="29"/>
          <w:spacing w:val="4"/>
        </w:rPr>
        <w:t>3)易发土质：土壤粘重板结易发生缺磷症。南方多为酸性土壤，易缺磷。</w:t>
      </w:r>
    </w:p>
    <w:p>
      <w:pPr>
        <w:pStyle w:val="BodyText"/>
        <w:spacing w:before="101" w:line="222" w:lineRule="auto"/>
        <w:rPr>
          <w:rFonts w:ascii="SimHei" w:hAnsi="SimHei" w:eastAsia="SimHei" w:cs="SimHei"/>
          <w:sz w:val="29"/>
          <w:szCs w:val="29"/>
        </w:rPr>
      </w:pPr>
      <w:r>
        <w:rPr>
          <w:rFonts w:ascii="Arial" w:hAnsi="Arial" w:eastAsia="Arial" w:cs="Arial"/>
          <w:sz w:val="29"/>
          <w:szCs w:val="29"/>
          <w:b/>
          <w:bCs/>
          <w:spacing w:val="8"/>
        </w:rPr>
        <w:t>3</w:t>
      </w:r>
      <w:r>
        <w:rPr>
          <w:sz w:val="29"/>
          <w:szCs w:val="29"/>
          <w:b/>
          <w:bCs/>
          <w:spacing w:val="8"/>
        </w:rPr>
        <w:t>、</w:t>
      </w:r>
      <w:r>
        <w:rPr>
          <w:rFonts w:ascii="SimHei" w:hAnsi="SimHei" w:eastAsia="SimHei" w:cs="SimHei"/>
          <w:sz w:val="29"/>
          <w:szCs w:val="29"/>
          <w:b/>
          <w:bCs/>
          <w:spacing w:val="8"/>
        </w:rPr>
        <w:t>缺钾</w:t>
      </w:r>
    </w:p>
    <w:p>
      <w:pPr>
        <w:pStyle w:val="BodyText"/>
        <w:ind w:right="332" w:firstLine="560"/>
        <w:spacing w:before="138" w:line="318" w:lineRule="auto"/>
        <w:rPr>
          <w:sz w:val="29"/>
          <w:szCs w:val="29"/>
        </w:rPr>
      </w:pPr>
      <w:r>
        <w:rPr>
          <w:sz w:val="29"/>
          <w:szCs w:val="29"/>
          <w:spacing w:val="6"/>
        </w:rPr>
        <w:t>1)表现症状：植株柔弱易感病，叶片脉间常出现棕色坏死斑点，叶片不正</w:t>
      </w:r>
      <w:r>
        <w:rPr>
          <w:sz w:val="29"/>
          <w:szCs w:val="29"/>
          <w:spacing w:val="8"/>
        </w:rPr>
        <w:t xml:space="preserve"> </w:t>
      </w:r>
      <w:r>
        <w:rPr>
          <w:sz w:val="29"/>
          <w:szCs w:val="29"/>
          <w:spacing w:val="-10"/>
        </w:rPr>
        <w:t>常皱缩，叶缘黄化、卷曲、焦枯、碎裂，茎</w:t>
      </w:r>
      <w:r>
        <w:rPr>
          <w:sz w:val="29"/>
          <w:szCs w:val="29"/>
          <w:spacing w:val="-11"/>
        </w:rPr>
        <w:t>细小、柔弱，节间短，易倒伏；分蘖</w:t>
      </w:r>
    </w:p>
    <w:p>
      <w:pPr>
        <w:pStyle w:val="BodyText"/>
        <w:ind w:left="560"/>
        <w:spacing w:before="1" w:line="219" w:lineRule="auto"/>
        <w:rPr>
          <w:sz w:val="29"/>
          <w:szCs w:val="29"/>
        </w:rPr>
      </w:pPr>
      <w:r>
        <w:rPr>
          <w:sz w:val="29"/>
          <w:szCs w:val="29"/>
        </w:rPr>
        <w:t>多而结穗少，褐根多。植物缺钾时老叶先表现症状，先叶缘，后脉间。</w:t>
      </w:r>
    </w:p>
    <w:p>
      <w:pPr>
        <w:spacing w:line="219" w:lineRule="auto"/>
        <w:sectPr>
          <w:footerReference w:type="default" r:id="rId291"/>
          <w:pgSz w:w="14490" w:h="20470"/>
          <w:pgMar w:top="1739" w:right="1970" w:bottom="1468" w:left="2140" w:header="0" w:footer="1223" w:gutter="0"/>
        </w:sectPr>
        <w:rPr>
          <w:sz w:val="29"/>
          <w:szCs w:val="29"/>
        </w:rPr>
      </w:pPr>
    </w:p>
    <w:p>
      <w:pPr>
        <w:pStyle w:val="BodyText"/>
        <w:ind w:left="620"/>
        <w:spacing w:before="122" w:line="219" w:lineRule="auto"/>
        <w:rPr>
          <w:sz w:val="29"/>
          <w:szCs w:val="29"/>
        </w:rPr>
      </w:pPr>
      <w:r>
        <w:rPr>
          <w:sz w:val="29"/>
          <w:szCs w:val="29"/>
          <w:spacing w:val="6"/>
        </w:rPr>
        <w:t>2)发病叶序：植物缺钾时老叶先表现症状，先叶缘，后脉间。</w:t>
      </w:r>
    </w:p>
    <w:p>
      <w:pPr>
        <w:pStyle w:val="BodyText"/>
        <w:ind w:left="620"/>
        <w:spacing w:before="156" w:line="219" w:lineRule="auto"/>
        <w:rPr>
          <w:sz w:val="29"/>
          <w:szCs w:val="29"/>
        </w:rPr>
      </w:pPr>
      <w:r>
        <w:rPr>
          <w:sz w:val="29"/>
          <w:szCs w:val="29"/>
          <w:spacing w:val="7"/>
        </w:rPr>
        <w:t>3)易发土质：红壤一般含钾量低，易发生缺钾症。</w:t>
      </w:r>
    </w:p>
    <w:p>
      <w:pPr>
        <w:spacing w:before="53" w:line="2400" w:lineRule="exact"/>
        <w:rPr/>
      </w:pPr>
      <w:r>
        <w:rPr>
          <w:position w:val="-48"/>
        </w:rPr>
        <w:drawing>
          <wp:inline distT="0" distB="0" distL="0" distR="0">
            <wp:extent cx="6426175" cy="1524068"/>
            <wp:effectExtent l="0" t="0" r="0" b="0"/>
            <wp:docPr id="412" name="IM 412"/>
            <wp:cNvGraphicFramePr/>
            <a:graphic>
              <a:graphicData uri="http://schemas.openxmlformats.org/drawingml/2006/picture">
                <pic:pic>
                  <pic:nvPicPr>
                    <pic:cNvPr id="412" name="IM 412"/>
                    <pic:cNvPicPr/>
                  </pic:nvPicPr>
                  <pic:blipFill>
                    <a:blip r:embed="rId296"/>
                    <a:stretch>
                      <a:fillRect/>
                    </a:stretch>
                  </pic:blipFill>
                  <pic:spPr>
                    <a:xfrm rot="0">
                      <a:off x="0" y="0"/>
                      <a:ext cx="6426175" cy="1524068"/>
                    </a:xfrm>
                    <a:prstGeom prst="rect">
                      <a:avLst/>
                    </a:prstGeom>
                  </pic:spPr>
                </pic:pic>
              </a:graphicData>
            </a:graphic>
          </wp:inline>
        </w:drawing>
      </w:r>
    </w:p>
    <w:p>
      <w:pPr>
        <w:pStyle w:val="BodyText"/>
        <w:ind w:left="4550"/>
        <w:spacing w:before="21" w:line="220" w:lineRule="auto"/>
        <w:rPr>
          <w:sz w:val="26"/>
          <w:szCs w:val="26"/>
        </w:rPr>
      </w:pPr>
      <w:r>
        <w:rPr>
          <w:sz w:val="26"/>
          <w:szCs w:val="26"/>
          <w:spacing w:val="-10"/>
        </w:rPr>
        <w:t>图6-1-35缺钾</w:t>
      </w:r>
    </w:p>
    <w:p>
      <w:pPr>
        <w:pStyle w:val="BodyText"/>
        <w:ind w:left="19"/>
        <w:spacing w:before="118" w:line="222" w:lineRule="auto"/>
        <w:rPr>
          <w:rFonts w:ascii="SimHei" w:hAnsi="SimHei" w:eastAsia="SimHei" w:cs="SimHei"/>
          <w:sz w:val="29"/>
          <w:szCs w:val="29"/>
        </w:rPr>
      </w:pPr>
      <w:r>
        <w:rPr>
          <w:rFonts w:ascii="Arial" w:hAnsi="Arial" w:eastAsia="Arial" w:cs="Arial"/>
          <w:sz w:val="29"/>
          <w:szCs w:val="29"/>
          <w:spacing w:val="9"/>
        </w:rPr>
        <w:t>4</w:t>
      </w:r>
      <w:r>
        <w:rPr>
          <w:sz w:val="29"/>
          <w:szCs w:val="29"/>
          <w:spacing w:val="9"/>
        </w:rPr>
        <w:t>、</w:t>
      </w:r>
      <w:r>
        <w:rPr>
          <w:rFonts w:ascii="SimHei" w:hAnsi="SimHei" w:eastAsia="SimHei" w:cs="SimHei"/>
          <w:sz w:val="29"/>
          <w:szCs w:val="29"/>
          <w:spacing w:val="9"/>
        </w:rPr>
        <w:t>缺钙</w:t>
      </w:r>
    </w:p>
    <w:p>
      <w:pPr>
        <w:pStyle w:val="BodyText"/>
        <w:ind w:left="19" w:firstLine="600"/>
        <w:spacing w:before="141" w:line="297" w:lineRule="auto"/>
        <w:jc w:val="both"/>
        <w:rPr>
          <w:sz w:val="29"/>
          <w:szCs w:val="29"/>
        </w:rPr>
      </w:pPr>
      <w:r>
        <w:rPr>
          <w:sz w:val="29"/>
          <w:szCs w:val="29"/>
          <w:spacing w:val="-9"/>
        </w:rPr>
        <w:t>1)表现症状：植株矮小，组织坚硬；顶芽及幼嫩叶片的叶尖和叶缘、白化、卷</w:t>
      </w:r>
      <w:r>
        <w:rPr>
          <w:sz w:val="29"/>
          <w:szCs w:val="29"/>
          <w:spacing w:val="6"/>
        </w:rPr>
        <w:t xml:space="preserve"> </w:t>
      </w:r>
      <w:r>
        <w:rPr>
          <w:sz w:val="29"/>
          <w:szCs w:val="29"/>
          <w:spacing w:val="-22"/>
        </w:rPr>
        <w:t>曲至坏死，提</w:t>
      </w:r>
      <w:r>
        <w:rPr>
          <w:sz w:val="29"/>
          <w:szCs w:val="29"/>
          <w:spacing w:val="-21"/>
        </w:rPr>
        <w:t>早落叶；根尖也会停止生长、</w:t>
      </w:r>
      <w:r>
        <w:rPr>
          <w:sz w:val="29"/>
          <w:szCs w:val="29"/>
          <w:spacing w:val="-22"/>
        </w:rPr>
        <w:t>变色，根系多而短，易腐烂、死亡；结实</w:t>
      </w:r>
      <w:r>
        <w:rPr>
          <w:sz w:val="29"/>
          <w:szCs w:val="29"/>
          <w:spacing w:val="-16"/>
        </w:rPr>
        <w:t>不</w:t>
      </w:r>
      <w:r>
        <w:rPr>
          <w:sz w:val="29"/>
          <w:szCs w:val="29"/>
        </w:rPr>
        <w:t xml:space="preserve"> </w:t>
      </w:r>
      <w:r>
        <w:rPr>
          <w:sz w:val="29"/>
          <w:szCs w:val="29"/>
          <w:spacing w:val="-22"/>
        </w:rPr>
        <w:t>好或很少结实。</w:t>
      </w:r>
    </w:p>
    <w:p>
      <w:pPr>
        <w:ind w:firstLine="1380"/>
        <w:spacing w:line="3160" w:lineRule="exact"/>
        <w:rPr/>
      </w:pPr>
      <w:r>
        <w:rPr>
          <w:position w:val="-63"/>
        </w:rPr>
        <w:drawing>
          <wp:inline distT="0" distB="0" distL="0" distR="0">
            <wp:extent cx="4940280" cy="2006570"/>
            <wp:effectExtent l="0" t="0" r="0" b="0"/>
            <wp:docPr id="414" name="IM 414"/>
            <wp:cNvGraphicFramePr/>
            <a:graphic>
              <a:graphicData uri="http://schemas.openxmlformats.org/drawingml/2006/picture">
                <pic:pic>
                  <pic:nvPicPr>
                    <pic:cNvPr id="414" name="IM 414"/>
                    <pic:cNvPicPr/>
                  </pic:nvPicPr>
                  <pic:blipFill>
                    <a:blip r:embed="rId297"/>
                    <a:stretch>
                      <a:fillRect/>
                    </a:stretch>
                  </pic:blipFill>
                  <pic:spPr>
                    <a:xfrm rot="0">
                      <a:off x="0" y="0"/>
                      <a:ext cx="4940280" cy="2006570"/>
                    </a:xfrm>
                    <a:prstGeom prst="rect">
                      <a:avLst/>
                    </a:prstGeom>
                  </pic:spPr>
                </pic:pic>
              </a:graphicData>
            </a:graphic>
          </wp:inline>
        </w:drawing>
      </w:r>
    </w:p>
    <w:p>
      <w:pPr>
        <w:pStyle w:val="BodyText"/>
        <w:ind w:left="4410"/>
        <w:spacing w:before="82" w:line="220" w:lineRule="auto"/>
        <w:rPr>
          <w:sz w:val="26"/>
          <w:szCs w:val="26"/>
        </w:rPr>
      </w:pPr>
      <w:r>
        <w:rPr>
          <w:sz w:val="26"/>
          <w:szCs w:val="26"/>
          <w:spacing w:val="-13"/>
        </w:rPr>
        <w:t>图6-1-36缺钙</w:t>
      </w:r>
    </w:p>
    <w:p>
      <w:pPr>
        <w:pStyle w:val="BodyText"/>
        <w:ind w:left="620"/>
        <w:spacing w:before="171" w:line="219" w:lineRule="auto"/>
        <w:rPr>
          <w:sz w:val="29"/>
          <w:szCs w:val="29"/>
        </w:rPr>
      </w:pPr>
      <w:r>
        <w:rPr>
          <w:sz w:val="29"/>
          <w:szCs w:val="29"/>
          <w:spacing w:val="8"/>
        </w:rPr>
        <w:t>2)发病叶序：植物缺钙时幼叶先表现症状。</w:t>
      </w:r>
    </w:p>
    <w:p>
      <w:pPr>
        <w:pStyle w:val="BodyText"/>
        <w:ind w:left="620"/>
        <w:spacing w:before="124" w:line="219" w:lineRule="auto"/>
        <w:rPr>
          <w:sz w:val="29"/>
          <w:szCs w:val="29"/>
        </w:rPr>
      </w:pPr>
      <w:r>
        <w:rPr>
          <w:sz w:val="29"/>
          <w:szCs w:val="29"/>
          <w:spacing w:val="8"/>
        </w:rPr>
        <w:t>3)易发土质：酸性较强、氮素过多的土壤。</w:t>
      </w:r>
    </w:p>
    <w:p>
      <w:pPr>
        <w:pStyle w:val="BodyText"/>
        <w:ind w:left="19"/>
        <w:spacing w:before="74"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缺镁</w:t>
      </w:r>
    </w:p>
    <w:p>
      <w:pPr>
        <w:pStyle w:val="BodyText"/>
        <w:ind w:left="179"/>
        <w:spacing w:before="139" w:line="219" w:lineRule="auto"/>
        <w:rPr>
          <w:sz w:val="29"/>
          <w:szCs w:val="29"/>
        </w:rPr>
      </w:pPr>
      <w:r>
        <w:rPr>
          <w:sz w:val="29"/>
          <w:szCs w:val="29"/>
          <w:spacing w:val="-13"/>
        </w:rPr>
        <w:t>图6-1-37缺镁1)表现症状：从植株下部老叶开</w:t>
      </w:r>
      <w:r>
        <w:rPr>
          <w:sz w:val="29"/>
          <w:szCs w:val="29"/>
          <w:spacing w:val="-14"/>
        </w:rPr>
        <w:t>始褪绿，叶肉变黄，逐渐向上部叶片</w:t>
      </w:r>
    </w:p>
    <w:p>
      <w:pPr>
        <w:pStyle w:val="BodyText"/>
        <w:ind w:left="139"/>
        <w:spacing w:before="156" w:line="219" w:lineRule="auto"/>
        <w:rPr>
          <w:sz w:val="29"/>
          <w:szCs w:val="29"/>
        </w:rPr>
      </w:pPr>
      <w:r>
        <w:rPr>
          <w:sz w:val="29"/>
          <w:szCs w:val="29"/>
          <w:spacing w:val="-12"/>
        </w:rPr>
        <w:t>蔓延，根、茎无变化，开花受抑制，花色苍白，</w:t>
      </w:r>
      <w:r>
        <w:rPr>
          <w:sz w:val="29"/>
          <w:szCs w:val="29"/>
          <w:spacing w:val="-13"/>
        </w:rPr>
        <w:t>如印度橡胶榕的叶边缘黄化，菊花</w:t>
      </w:r>
    </w:p>
    <w:p>
      <w:pPr>
        <w:pStyle w:val="BodyText"/>
        <w:ind w:left="4560"/>
        <w:spacing w:before="156" w:line="220" w:lineRule="auto"/>
        <w:rPr>
          <w:sz w:val="29"/>
          <w:szCs w:val="29"/>
        </w:rPr>
      </w:pPr>
      <w:r>
        <w:rPr>
          <w:sz w:val="29"/>
          <w:szCs w:val="29"/>
          <w:spacing w:val="-3"/>
        </w:rPr>
        <w:t>开花受限</w:t>
      </w:r>
    </w:p>
    <w:p>
      <w:pPr>
        <w:spacing w:line="379" w:lineRule="auto"/>
        <w:rPr>
          <w:rFonts w:ascii="Arial"/>
          <w:sz w:val="21"/>
        </w:rPr>
      </w:pPr>
      <w:r/>
    </w:p>
    <w:p>
      <w:pPr>
        <w:ind w:firstLine="769"/>
        <w:spacing w:line="3361" w:lineRule="exact"/>
        <w:rPr/>
      </w:pPr>
      <w:r>
        <w:rPr>
          <w:position w:val="-67"/>
        </w:rPr>
        <w:drawing>
          <wp:inline distT="0" distB="0" distL="0" distR="0">
            <wp:extent cx="5333998" cy="2133695"/>
            <wp:effectExtent l="0" t="0" r="0" b="0"/>
            <wp:docPr id="416" name="IM 416"/>
            <wp:cNvGraphicFramePr/>
            <a:graphic>
              <a:graphicData uri="http://schemas.openxmlformats.org/drawingml/2006/picture">
                <pic:pic>
                  <pic:nvPicPr>
                    <pic:cNvPr id="416" name="IM 416"/>
                    <pic:cNvPicPr/>
                  </pic:nvPicPr>
                  <pic:blipFill>
                    <a:blip r:embed="rId298"/>
                    <a:stretch>
                      <a:fillRect/>
                    </a:stretch>
                  </pic:blipFill>
                  <pic:spPr>
                    <a:xfrm rot="0">
                      <a:off x="0" y="0"/>
                      <a:ext cx="5333998" cy="2133695"/>
                    </a:xfrm>
                    <a:prstGeom prst="rect">
                      <a:avLst/>
                    </a:prstGeom>
                  </pic:spPr>
                </pic:pic>
              </a:graphicData>
            </a:graphic>
          </wp:inline>
        </w:drawing>
      </w:r>
    </w:p>
    <w:p>
      <w:pPr>
        <w:pStyle w:val="BodyText"/>
        <w:ind w:left="199"/>
        <w:spacing w:before="102" w:line="219" w:lineRule="auto"/>
        <w:rPr>
          <w:sz w:val="29"/>
          <w:szCs w:val="29"/>
        </w:rPr>
      </w:pPr>
      <w:r>
        <w:rPr>
          <w:sz w:val="29"/>
          <w:szCs w:val="29"/>
          <w:spacing w:val="-9"/>
        </w:rPr>
        <w:t>制。症状同缺铁症相似，区别在于缺镁时常从植株下部老叶开始黄化；此外镁与</w:t>
      </w:r>
    </w:p>
    <w:p>
      <w:pPr>
        <w:spacing w:line="219" w:lineRule="auto"/>
        <w:sectPr>
          <w:footerReference w:type="default" r:id="rId295"/>
          <w:pgSz w:w="14490" w:h="20470"/>
          <w:pgMar w:top="1739" w:right="2145" w:bottom="1413" w:left="2120" w:header="0" w:footer="1215" w:gutter="0"/>
        </w:sectPr>
        <w:rPr>
          <w:sz w:val="29"/>
          <w:szCs w:val="29"/>
        </w:rPr>
      </w:pPr>
    </w:p>
    <w:p>
      <w:pPr>
        <w:pStyle w:val="BodyText"/>
        <w:spacing w:before="122" w:line="219" w:lineRule="auto"/>
        <w:rPr>
          <w:sz w:val="29"/>
          <w:szCs w:val="29"/>
        </w:rPr>
      </w:pPr>
      <w:r>
        <w:rPr>
          <w:sz w:val="29"/>
          <w:szCs w:val="29"/>
          <w:spacing w:val="2"/>
        </w:rPr>
        <w:t>钙有拮抗作用，当钙过多有害时，可适当加入镁起缓冲作用。</w:t>
      </w:r>
    </w:p>
    <w:p>
      <w:pPr>
        <w:pStyle w:val="BodyText"/>
        <w:ind w:left="610"/>
        <w:spacing w:before="156" w:line="219" w:lineRule="auto"/>
        <w:rPr>
          <w:sz w:val="29"/>
          <w:szCs w:val="29"/>
        </w:rPr>
      </w:pPr>
      <w:r>
        <w:rPr>
          <w:sz w:val="29"/>
          <w:szCs w:val="29"/>
          <w:spacing w:val="8"/>
        </w:rPr>
        <w:t>2)发病叶序：植物缺镁时老叶先表现症状。</w:t>
      </w:r>
    </w:p>
    <w:p>
      <w:pPr>
        <w:pStyle w:val="BodyText"/>
        <w:ind w:left="610"/>
        <w:spacing w:before="144" w:line="219" w:lineRule="auto"/>
        <w:rPr>
          <w:sz w:val="29"/>
          <w:szCs w:val="29"/>
        </w:rPr>
      </w:pPr>
      <w:r>
        <w:rPr>
          <w:sz w:val="29"/>
          <w:szCs w:val="29"/>
          <w:spacing w:val="6"/>
        </w:rPr>
        <w:t>3)易发土质：土壤酸性强，或土壤含钙量高，或施钾肥太多。</w:t>
      </w:r>
    </w:p>
    <w:p>
      <w:pPr>
        <w:pStyle w:val="BodyText"/>
        <w:spacing w:before="54" w:line="395" w:lineRule="exact"/>
        <w:rPr>
          <w:rFonts w:ascii="SimHei" w:hAnsi="SimHei" w:eastAsia="SimHei" w:cs="SimHei"/>
          <w:sz w:val="29"/>
          <w:szCs w:val="29"/>
        </w:rPr>
      </w:pPr>
      <w:r>
        <w:rPr>
          <w:rFonts w:ascii="Arial" w:hAnsi="Arial" w:eastAsia="Arial" w:cs="Arial"/>
          <w:sz w:val="29"/>
          <w:szCs w:val="29"/>
          <w:spacing w:val="6"/>
          <w:position w:val="2"/>
        </w:rPr>
        <w:t>6</w:t>
      </w:r>
      <w:r>
        <w:rPr>
          <w:sz w:val="29"/>
          <w:szCs w:val="29"/>
          <w:spacing w:val="6"/>
          <w:position w:val="2"/>
        </w:rPr>
        <w:t>、</w:t>
      </w:r>
      <w:r>
        <w:rPr>
          <w:rFonts w:ascii="SimHei" w:hAnsi="SimHei" w:eastAsia="SimHei" w:cs="SimHei"/>
          <w:sz w:val="29"/>
          <w:szCs w:val="29"/>
          <w:spacing w:val="6"/>
          <w:position w:val="2"/>
        </w:rPr>
        <w:t>缺铁</w:t>
      </w:r>
    </w:p>
    <w:p>
      <w:pPr>
        <w:pStyle w:val="BodyText"/>
        <w:ind w:right="273" w:firstLine="560"/>
        <w:spacing w:before="130" w:line="308" w:lineRule="auto"/>
        <w:rPr>
          <w:sz w:val="29"/>
          <w:szCs w:val="29"/>
        </w:rPr>
      </w:pPr>
      <w:r>
        <w:rPr>
          <w:sz w:val="29"/>
          <w:szCs w:val="29"/>
          <w:spacing w:val="6"/>
        </w:rPr>
        <w:t>1)表现症状：植物缺铁时枝条上部的嫩叶黄化，下部老叶仍保持绿色，逐  </w:t>
      </w:r>
      <w:r>
        <w:rPr>
          <w:sz w:val="29"/>
          <w:szCs w:val="29"/>
          <w:spacing w:val="-6"/>
        </w:rPr>
        <w:t>渐向下扩展到基部叶片；植株矮小，叶片脉间失绿，呈清晰的网纹状，叶脉保持绿</w:t>
      </w:r>
      <w:r>
        <w:rPr>
          <w:sz w:val="29"/>
          <w:szCs w:val="29"/>
          <w:spacing w:val="16"/>
        </w:rPr>
        <w:t xml:space="preserve"> </w:t>
      </w:r>
      <w:r>
        <w:rPr>
          <w:sz w:val="29"/>
          <w:szCs w:val="29"/>
          <w:spacing w:val="2"/>
        </w:rPr>
        <w:t>色，严重时整个叶片(幼叶)呈淡黄白色，并出现枯斑，直</w:t>
      </w:r>
      <w:r>
        <w:rPr>
          <w:sz w:val="29"/>
          <w:szCs w:val="29"/>
          <w:spacing w:val="1"/>
        </w:rPr>
        <w:t>至枯焦死亡。茎、根生</w:t>
      </w:r>
      <w:r>
        <w:rPr>
          <w:sz w:val="29"/>
          <w:szCs w:val="29"/>
        </w:rPr>
        <w:t xml:space="preserve"> </w:t>
      </w:r>
      <w:r>
        <w:rPr>
          <w:sz w:val="29"/>
          <w:szCs w:val="29"/>
          <w:spacing w:val="-2"/>
        </w:rPr>
        <w:t>长受抑制，果实小。</w:t>
      </w:r>
    </w:p>
    <w:p>
      <w:pPr>
        <w:ind w:firstLine="29"/>
        <w:spacing w:line="3980" w:lineRule="exact"/>
        <w:rPr/>
      </w:pPr>
      <w:r>
        <w:rPr>
          <w:position w:val="-79"/>
        </w:rPr>
        <w:drawing>
          <wp:inline distT="0" distB="0" distL="0" distR="0">
            <wp:extent cx="6438871" cy="2527418"/>
            <wp:effectExtent l="0" t="0" r="0" b="0"/>
            <wp:docPr id="418" name="IM 418"/>
            <wp:cNvGraphicFramePr/>
            <a:graphic>
              <a:graphicData uri="http://schemas.openxmlformats.org/drawingml/2006/picture">
                <pic:pic>
                  <pic:nvPicPr>
                    <pic:cNvPr id="418" name="IM 418"/>
                    <pic:cNvPicPr/>
                  </pic:nvPicPr>
                  <pic:blipFill>
                    <a:blip r:embed="rId300"/>
                    <a:stretch>
                      <a:fillRect/>
                    </a:stretch>
                  </pic:blipFill>
                  <pic:spPr>
                    <a:xfrm rot="0">
                      <a:off x="0" y="0"/>
                      <a:ext cx="6438871" cy="2527418"/>
                    </a:xfrm>
                    <a:prstGeom prst="rect">
                      <a:avLst/>
                    </a:prstGeom>
                  </pic:spPr>
                </pic:pic>
              </a:graphicData>
            </a:graphic>
          </wp:inline>
        </w:drawing>
      </w:r>
    </w:p>
    <w:p>
      <w:pPr>
        <w:pStyle w:val="BodyText"/>
        <w:ind w:left="4259"/>
        <w:spacing w:before="130" w:line="220" w:lineRule="auto"/>
        <w:rPr>
          <w:sz w:val="24"/>
          <w:szCs w:val="24"/>
        </w:rPr>
      </w:pPr>
      <w:r>
        <w:rPr>
          <w:sz w:val="24"/>
          <w:szCs w:val="24"/>
          <w:spacing w:val="1"/>
        </w:rPr>
        <w:t>图6-1-38缺铁</w:t>
      </w:r>
    </w:p>
    <w:p>
      <w:pPr>
        <w:pStyle w:val="BodyText"/>
        <w:ind w:left="610"/>
        <w:spacing w:before="165" w:line="219" w:lineRule="auto"/>
        <w:rPr>
          <w:sz w:val="29"/>
          <w:szCs w:val="29"/>
        </w:rPr>
      </w:pPr>
      <w:r>
        <w:rPr>
          <w:sz w:val="29"/>
          <w:szCs w:val="29"/>
          <w:spacing w:val="8"/>
        </w:rPr>
        <w:t>2)发病叶序：植物缺铁时幼叶先表现症状。</w:t>
      </w:r>
    </w:p>
    <w:p>
      <w:pPr>
        <w:pStyle w:val="BodyText"/>
        <w:ind w:right="411" w:firstLine="610"/>
        <w:spacing w:before="125" w:line="269" w:lineRule="auto"/>
        <w:rPr>
          <w:sz w:val="29"/>
          <w:szCs w:val="29"/>
        </w:rPr>
      </w:pPr>
      <w:r>
        <w:rPr>
          <w:sz w:val="29"/>
          <w:szCs w:val="29"/>
          <w:spacing w:val="6"/>
        </w:rPr>
        <w:t>3)易发生土质：碱性土壤常会发生缺铁症。北方多为石灰性土壤，易发生</w:t>
      </w:r>
      <w:r>
        <w:rPr>
          <w:sz w:val="29"/>
          <w:szCs w:val="29"/>
          <w:spacing w:val="14"/>
        </w:rPr>
        <w:t xml:space="preserve"> </w:t>
      </w:r>
      <w:r>
        <w:rPr>
          <w:sz w:val="29"/>
          <w:szCs w:val="29"/>
          <w:spacing w:val="-4"/>
        </w:rPr>
        <w:t>缺铁性黄化病。</w:t>
      </w:r>
    </w:p>
    <w:p>
      <w:pPr>
        <w:spacing w:before="218" w:line="220" w:lineRule="auto"/>
        <w:rPr>
          <w:rFonts w:ascii="SimHei" w:hAnsi="SimHei" w:eastAsia="SimHei" w:cs="SimHei"/>
          <w:sz w:val="27"/>
          <w:szCs w:val="27"/>
        </w:rPr>
      </w:pPr>
      <w:r>
        <w:rPr>
          <w:rFonts w:ascii="SimHei" w:hAnsi="SimHei" w:eastAsia="SimHei" w:cs="SimHei"/>
          <w:sz w:val="27"/>
          <w:szCs w:val="27"/>
          <w:spacing w:val="18"/>
        </w:rPr>
        <w:t>7、</w:t>
      </w:r>
      <w:r>
        <w:rPr>
          <w:rFonts w:ascii="SimHei" w:hAnsi="SimHei" w:eastAsia="SimHei" w:cs="SimHei"/>
          <w:sz w:val="27"/>
          <w:szCs w:val="27"/>
          <w:b/>
          <w:bCs/>
          <w:spacing w:val="18"/>
        </w:rPr>
        <w:t>缺硼</w:t>
      </w:r>
    </w:p>
    <w:p>
      <w:pPr>
        <w:ind w:firstLine="769"/>
        <w:spacing w:before="24" w:line="3820" w:lineRule="exact"/>
        <w:rPr/>
      </w:pPr>
      <w:r>
        <w:rPr>
          <w:position w:val="-76"/>
        </w:rPr>
        <w:drawing>
          <wp:inline distT="0" distB="0" distL="0" distR="0">
            <wp:extent cx="5105349" cy="2425771"/>
            <wp:effectExtent l="0" t="0" r="0" b="0"/>
            <wp:docPr id="420" name="IM 420"/>
            <wp:cNvGraphicFramePr/>
            <a:graphic>
              <a:graphicData uri="http://schemas.openxmlformats.org/drawingml/2006/picture">
                <pic:pic>
                  <pic:nvPicPr>
                    <pic:cNvPr id="420" name="IM 420"/>
                    <pic:cNvPicPr/>
                  </pic:nvPicPr>
                  <pic:blipFill>
                    <a:blip r:embed="rId301"/>
                    <a:stretch>
                      <a:fillRect/>
                    </a:stretch>
                  </pic:blipFill>
                  <pic:spPr>
                    <a:xfrm rot="0">
                      <a:off x="0" y="0"/>
                      <a:ext cx="5105349" cy="2425771"/>
                    </a:xfrm>
                    <a:prstGeom prst="rect">
                      <a:avLst/>
                    </a:prstGeom>
                  </pic:spPr>
                </pic:pic>
              </a:graphicData>
            </a:graphic>
          </wp:inline>
        </w:drawing>
      </w:r>
    </w:p>
    <w:p>
      <w:pPr>
        <w:pStyle w:val="BodyText"/>
        <w:ind w:left="4259"/>
        <w:spacing w:before="91" w:line="220" w:lineRule="auto"/>
        <w:rPr>
          <w:sz w:val="24"/>
          <w:szCs w:val="24"/>
        </w:rPr>
      </w:pPr>
      <w:r>
        <w:rPr>
          <w:sz w:val="24"/>
          <w:szCs w:val="24"/>
          <w:spacing w:val="2"/>
        </w:rPr>
        <w:t>图6-1-39缺硼</w:t>
      </w:r>
    </w:p>
    <w:p>
      <w:pPr>
        <w:pStyle w:val="BodyText"/>
        <w:ind w:right="389" w:firstLine="610"/>
        <w:spacing w:before="175" w:line="307" w:lineRule="auto"/>
        <w:rPr>
          <w:sz w:val="29"/>
          <w:szCs w:val="29"/>
        </w:rPr>
      </w:pPr>
      <w:r>
        <w:rPr>
          <w:sz w:val="29"/>
          <w:szCs w:val="29"/>
          <w:spacing w:val="7"/>
        </w:rPr>
        <w:t>1)表现症状：植株矮小，尖端发白，出现病态，新叶粗糙淡绿色，叶片变</w:t>
      </w:r>
      <w:r>
        <w:rPr>
          <w:sz w:val="29"/>
          <w:szCs w:val="29"/>
        </w:rPr>
        <w:t xml:space="preserve"> </w:t>
      </w:r>
      <w:r>
        <w:rPr>
          <w:sz w:val="29"/>
          <w:szCs w:val="29"/>
          <w:spacing w:val="-1"/>
        </w:rPr>
        <w:t>红易折断，花而不实；顶端停止生长，植株矮化、芽畸形、丛生、缩果和落果；</w:t>
      </w:r>
    </w:p>
    <w:p>
      <w:pPr>
        <w:pStyle w:val="BodyText"/>
        <w:spacing w:before="4" w:line="219" w:lineRule="auto"/>
        <w:jc w:val="right"/>
        <w:rPr>
          <w:sz w:val="29"/>
          <w:szCs w:val="29"/>
        </w:rPr>
      </w:pPr>
      <w:r>
        <w:rPr>
          <w:sz w:val="29"/>
          <w:szCs w:val="29"/>
          <w:spacing w:val="-6"/>
        </w:rPr>
        <w:t>叶脉间不规则退绿，幼叶畸形、皱缩；茎脆、蕾、花或子房脱落，如菊花叶片变红。</w:t>
      </w:r>
    </w:p>
    <w:p>
      <w:pPr>
        <w:spacing w:line="219" w:lineRule="auto"/>
        <w:sectPr>
          <w:footerReference w:type="default" r:id="rId299"/>
          <w:pgSz w:w="14490" w:h="20470"/>
          <w:pgMar w:top="1739" w:right="1835" w:bottom="1405" w:left="2140" w:header="0" w:footer="1243" w:gutter="0"/>
        </w:sectPr>
        <w:rPr>
          <w:sz w:val="29"/>
          <w:szCs w:val="29"/>
        </w:rPr>
      </w:pPr>
    </w:p>
    <w:p>
      <w:pPr>
        <w:pStyle w:val="BodyText"/>
        <w:ind w:left="600"/>
        <w:spacing w:before="170" w:line="222" w:lineRule="auto"/>
        <w:rPr>
          <w:sz w:val="29"/>
          <w:szCs w:val="29"/>
        </w:rPr>
      </w:pPr>
      <w:r>
        <w:rPr>
          <w:rFonts w:ascii="SimHei" w:hAnsi="SimHei" w:eastAsia="SimHei" w:cs="SimHei"/>
          <w:sz w:val="29"/>
          <w:szCs w:val="29"/>
          <w:spacing w:val="-6"/>
        </w:rPr>
        <w:t>注</w:t>
      </w:r>
      <w:r>
        <w:rPr>
          <w:rFonts w:ascii="SimHei" w:hAnsi="SimHei" w:eastAsia="SimHei" w:cs="SimHei"/>
          <w:sz w:val="29"/>
          <w:szCs w:val="29"/>
          <w:spacing w:val="-6"/>
        </w:rPr>
        <w:t xml:space="preserve"> </w:t>
      </w:r>
      <w:r>
        <w:rPr>
          <w:rFonts w:ascii="SimHei" w:hAnsi="SimHei" w:eastAsia="SimHei" w:cs="SimHei"/>
          <w:sz w:val="29"/>
          <w:szCs w:val="29"/>
          <w:spacing w:val="-6"/>
        </w:rPr>
        <w:t>：</w:t>
      </w:r>
      <w:r>
        <w:rPr>
          <w:sz w:val="29"/>
          <w:szCs w:val="29"/>
          <w:spacing w:val="-6"/>
        </w:rPr>
        <w:t>硼中毒会引起叶片白化干枯、生长点死亡。</w:t>
      </w:r>
    </w:p>
    <w:p>
      <w:pPr>
        <w:pStyle w:val="BodyText"/>
        <w:ind w:left="600"/>
        <w:spacing w:before="73" w:line="219" w:lineRule="auto"/>
        <w:rPr>
          <w:sz w:val="29"/>
          <w:szCs w:val="29"/>
        </w:rPr>
      </w:pPr>
      <w:r>
        <w:rPr>
          <w:sz w:val="29"/>
          <w:szCs w:val="29"/>
          <w:spacing w:val="7"/>
        </w:rPr>
        <w:t>2)发病叶序：植物缺镁时幼叶先表现症状；</w:t>
      </w:r>
    </w:p>
    <w:p>
      <w:pPr>
        <w:pStyle w:val="BodyText"/>
        <w:ind w:right="83" w:firstLine="600"/>
        <w:spacing w:before="133" w:line="274" w:lineRule="auto"/>
        <w:rPr>
          <w:sz w:val="29"/>
          <w:szCs w:val="29"/>
        </w:rPr>
      </w:pPr>
      <w:r>
        <w:rPr>
          <w:sz w:val="29"/>
          <w:szCs w:val="29"/>
          <w:spacing w:val="6"/>
        </w:rPr>
        <w:t>3)易发土质：强酸性的丘陵山地，或有机肥少、大量使用化肥使土壤酸化</w:t>
      </w:r>
      <w:r>
        <w:rPr>
          <w:sz w:val="29"/>
          <w:szCs w:val="29"/>
          <w:spacing w:val="13"/>
        </w:rPr>
        <w:t xml:space="preserve"> </w:t>
      </w:r>
      <w:r>
        <w:rPr>
          <w:sz w:val="29"/>
          <w:szCs w:val="29"/>
          <w:spacing w:val="-5"/>
        </w:rPr>
        <w:t>的土壤。</w:t>
      </w:r>
    </w:p>
    <w:p>
      <w:pPr>
        <w:pStyle w:val="BodyText"/>
        <w:spacing w:before="127" w:line="396" w:lineRule="exact"/>
        <w:rPr>
          <w:rFonts w:ascii="SimHei" w:hAnsi="SimHei" w:eastAsia="SimHei" w:cs="SimHei"/>
          <w:sz w:val="29"/>
          <w:szCs w:val="29"/>
        </w:rPr>
      </w:pPr>
      <w:r>
        <w:rPr>
          <w:rFonts w:ascii="Arial" w:hAnsi="Arial" w:eastAsia="Arial" w:cs="Arial"/>
          <w:sz w:val="29"/>
          <w:szCs w:val="29"/>
          <w:spacing w:val="4"/>
          <w:position w:val="2"/>
        </w:rPr>
        <w:t>8</w:t>
      </w:r>
      <w:r>
        <w:rPr>
          <w:sz w:val="29"/>
          <w:szCs w:val="29"/>
          <w:spacing w:val="4"/>
          <w:position w:val="2"/>
        </w:rPr>
        <w:t>、</w:t>
      </w:r>
      <w:r>
        <w:rPr>
          <w:rFonts w:ascii="SimHei" w:hAnsi="SimHei" w:eastAsia="SimHei" w:cs="SimHei"/>
          <w:sz w:val="29"/>
          <w:szCs w:val="29"/>
          <w:spacing w:val="4"/>
          <w:position w:val="2"/>
        </w:rPr>
        <w:t>缺锰</w:t>
      </w:r>
    </w:p>
    <w:p>
      <w:pPr>
        <w:pStyle w:val="BodyText"/>
        <w:ind w:right="40" w:firstLine="600"/>
        <w:spacing w:before="118" w:line="310" w:lineRule="auto"/>
        <w:jc w:val="both"/>
        <w:rPr>
          <w:sz w:val="29"/>
          <w:szCs w:val="29"/>
        </w:rPr>
      </w:pPr>
      <w:r>
        <w:rPr>
          <w:sz w:val="29"/>
          <w:szCs w:val="29"/>
          <w:spacing w:val="7"/>
        </w:rPr>
        <w:t>1)表现症状：植株花少矮小，缺绿病态，幼叶叶肉失出现白条状叶；叶片</w:t>
      </w:r>
      <w:r>
        <w:rPr>
          <w:sz w:val="29"/>
          <w:szCs w:val="29"/>
          <w:spacing w:val="10"/>
        </w:rPr>
        <w:t xml:space="preserve"> </w:t>
      </w:r>
      <w:r>
        <w:rPr>
          <w:sz w:val="29"/>
          <w:szCs w:val="29"/>
        </w:rPr>
        <w:t>脉间失绿成枯黄色，叶片网状发黄，叶缘及叶</w:t>
      </w:r>
      <w:r>
        <w:rPr>
          <w:sz w:val="29"/>
          <w:szCs w:val="29"/>
          <w:spacing w:val="-1"/>
        </w:rPr>
        <w:t>尖向下卷曲，并在叶片上形成小的</w:t>
      </w:r>
      <w:r>
        <w:rPr>
          <w:sz w:val="29"/>
          <w:szCs w:val="29"/>
        </w:rPr>
        <w:t xml:space="preserve"> </w:t>
      </w:r>
      <w:r>
        <w:rPr>
          <w:sz w:val="29"/>
          <w:szCs w:val="29"/>
        </w:rPr>
        <w:t>坏死斑，花呈紫色。茎长势衰弱，木质化；</w:t>
      </w:r>
    </w:p>
    <w:p>
      <w:pPr>
        <w:pStyle w:val="BodyText"/>
        <w:ind w:left="600"/>
        <w:spacing w:before="86" w:line="191" w:lineRule="auto"/>
        <w:rPr>
          <w:sz w:val="29"/>
          <w:szCs w:val="29"/>
        </w:rPr>
      </w:pPr>
      <w:r>
        <w:rPr>
          <w:rFonts w:ascii="SimHei" w:hAnsi="SimHei" w:eastAsia="SimHei" w:cs="SimHei"/>
          <w:sz w:val="29"/>
          <w:szCs w:val="29"/>
          <w:spacing w:val="-9"/>
        </w:rPr>
        <w:t>注</w:t>
      </w:r>
      <w:r>
        <w:rPr>
          <w:rFonts w:ascii="SimHei" w:hAnsi="SimHei" w:eastAsia="SimHei" w:cs="SimHei"/>
          <w:sz w:val="29"/>
          <w:szCs w:val="29"/>
          <w:spacing w:val="-9"/>
        </w:rPr>
        <w:t xml:space="preserve"> </w:t>
      </w:r>
      <w:r>
        <w:rPr>
          <w:rFonts w:ascii="SimHei" w:hAnsi="SimHei" w:eastAsia="SimHei" w:cs="SimHei"/>
          <w:sz w:val="29"/>
          <w:szCs w:val="29"/>
          <w:spacing w:val="-9"/>
        </w:rPr>
        <w:t>：</w:t>
      </w:r>
      <w:r>
        <w:rPr>
          <w:sz w:val="29"/>
          <w:szCs w:val="29"/>
          <w:spacing w:val="-9"/>
        </w:rPr>
        <w:t>锰中毒会使叶脉间黄化或变褐。</w:t>
      </w:r>
    </w:p>
    <w:p>
      <w:pPr>
        <w:ind w:firstLine="5270"/>
        <w:spacing w:line="3720" w:lineRule="exact"/>
        <w:rPr/>
      </w:pPr>
      <w:r>
        <w:drawing>
          <wp:anchor distT="0" distB="0" distL="0" distR="0" simplePos="0" relativeHeight="252065792" behindDoc="0" locked="0" layoutInCell="1" allowOverlap="1">
            <wp:simplePos x="0" y="0"/>
            <wp:positionH relativeFrom="column">
              <wp:posOffset>869968</wp:posOffset>
            </wp:positionH>
            <wp:positionV relativeFrom="paragraph">
              <wp:posOffset>18978</wp:posOffset>
            </wp:positionV>
            <wp:extent cx="2444745" cy="2336861"/>
            <wp:effectExtent l="0" t="0" r="0" b="0"/>
            <wp:wrapNone/>
            <wp:docPr id="422" name="IM 422"/>
            <wp:cNvGraphicFramePr/>
            <a:graphic>
              <a:graphicData uri="http://schemas.openxmlformats.org/drawingml/2006/picture">
                <pic:pic>
                  <pic:nvPicPr>
                    <pic:cNvPr id="422" name="IM 422"/>
                    <pic:cNvPicPr/>
                  </pic:nvPicPr>
                  <pic:blipFill>
                    <a:blip r:embed="rId303"/>
                    <a:stretch>
                      <a:fillRect/>
                    </a:stretch>
                  </pic:blipFill>
                  <pic:spPr>
                    <a:xfrm rot="0">
                      <a:off x="0" y="0"/>
                      <a:ext cx="2444745" cy="2336861"/>
                    </a:xfrm>
                    <a:prstGeom prst="rect">
                      <a:avLst/>
                    </a:prstGeom>
                  </pic:spPr>
                </pic:pic>
              </a:graphicData>
            </a:graphic>
          </wp:anchor>
        </w:drawing>
      </w:r>
      <w:r>
        <w:rPr>
          <w:position w:val="-74"/>
        </w:rPr>
        <w:drawing>
          <wp:inline distT="0" distB="0" distL="0" distR="0">
            <wp:extent cx="2438396" cy="2362208"/>
            <wp:effectExtent l="0" t="0" r="0" b="0"/>
            <wp:docPr id="424" name="IM 424"/>
            <wp:cNvGraphicFramePr/>
            <a:graphic>
              <a:graphicData uri="http://schemas.openxmlformats.org/drawingml/2006/picture">
                <pic:pic>
                  <pic:nvPicPr>
                    <pic:cNvPr id="424" name="IM 424"/>
                    <pic:cNvPicPr/>
                  </pic:nvPicPr>
                  <pic:blipFill>
                    <a:blip r:embed="rId304"/>
                    <a:stretch>
                      <a:fillRect/>
                    </a:stretch>
                  </pic:blipFill>
                  <pic:spPr>
                    <a:xfrm rot="0">
                      <a:off x="0" y="0"/>
                      <a:ext cx="2438396" cy="2362208"/>
                    </a:xfrm>
                    <a:prstGeom prst="rect">
                      <a:avLst/>
                    </a:prstGeom>
                  </pic:spPr>
                </pic:pic>
              </a:graphicData>
            </a:graphic>
          </wp:inline>
        </w:drawing>
      </w:r>
    </w:p>
    <w:p>
      <w:pPr>
        <w:pStyle w:val="BodyText"/>
        <w:ind w:left="4370"/>
        <w:spacing w:before="131" w:line="220" w:lineRule="auto"/>
        <w:rPr>
          <w:sz w:val="24"/>
          <w:szCs w:val="24"/>
        </w:rPr>
      </w:pPr>
      <w:r>
        <w:rPr>
          <w:sz w:val="24"/>
          <w:szCs w:val="24"/>
        </w:rPr>
        <w:t>图6-1-40缺锰</w:t>
      </w:r>
    </w:p>
    <w:p>
      <w:pPr>
        <w:pStyle w:val="BodyText"/>
        <w:ind w:left="600"/>
        <w:spacing w:before="155" w:line="219" w:lineRule="auto"/>
        <w:rPr>
          <w:sz w:val="29"/>
          <w:szCs w:val="29"/>
        </w:rPr>
      </w:pPr>
      <w:r>
        <w:rPr>
          <w:sz w:val="29"/>
          <w:szCs w:val="29"/>
          <w:spacing w:val="7"/>
        </w:rPr>
        <w:t>2)发病叶序：植物缺锰时幼叶先表现症状。</w:t>
      </w:r>
    </w:p>
    <w:p>
      <w:pPr>
        <w:pStyle w:val="BodyText"/>
        <w:ind w:left="600"/>
        <w:spacing w:before="157" w:line="220" w:lineRule="auto"/>
        <w:rPr>
          <w:sz w:val="29"/>
          <w:szCs w:val="29"/>
        </w:rPr>
      </w:pPr>
      <w:r>
        <w:rPr>
          <w:sz w:val="29"/>
          <w:szCs w:val="29"/>
          <w:spacing w:val="8"/>
        </w:rPr>
        <w:t>3)易发土质：中性或碱性土中易缺锰。</w:t>
      </w:r>
    </w:p>
    <w:p>
      <w:pPr>
        <w:pStyle w:val="BodyText"/>
        <w:spacing w:before="59" w:line="395" w:lineRule="exact"/>
        <w:rPr>
          <w:rFonts w:ascii="SimHei" w:hAnsi="SimHei" w:eastAsia="SimHei" w:cs="SimHei"/>
          <w:sz w:val="29"/>
          <w:szCs w:val="29"/>
        </w:rPr>
      </w:pPr>
      <w:r>
        <w:rPr>
          <w:rFonts w:ascii="Arial" w:hAnsi="Arial" w:eastAsia="Arial" w:cs="Arial"/>
          <w:sz w:val="29"/>
          <w:szCs w:val="29"/>
          <w:spacing w:val="5"/>
          <w:position w:val="1"/>
        </w:rPr>
        <w:t>9</w:t>
      </w:r>
      <w:r>
        <w:rPr>
          <w:sz w:val="29"/>
          <w:szCs w:val="29"/>
          <w:spacing w:val="5"/>
          <w:position w:val="1"/>
        </w:rPr>
        <w:t>、</w:t>
      </w:r>
      <w:r>
        <w:rPr>
          <w:rFonts w:ascii="SimHei" w:hAnsi="SimHei" w:eastAsia="SimHei" w:cs="SimHei"/>
          <w:sz w:val="29"/>
          <w:szCs w:val="29"/>
          <w:spacing w:val="5"/>
          <w:position w:val="1"/>
        </w:rPr>
        <w:t>缺锌</w:t>
      </w:r>
    </w:p>
    <w:p>
      <w:pPr>
        <w:pStyle w:val="BodyText"/>
        <w:ind w:right="61" w:firstLine="600"/>
        <w:spacing w:before="151" w:line="292" w:lineRule="auto"/>
        <w:jc w:val="both"/>
        <w:rPr>
          <w:sz w:val="29"/>
          <w:szCs w:val="29"/>
        </w:rPr>
      </w:pPr>
      <w:r>
        <w:rPr>
          <w:sz w:val="29"/>
          <w:szCs w:val="29"/>
          <w:spacing w:val="7"/>
        </w:rPr>
        <w:t>1)表现症状：植株节间变短，老叶先受害，表现为脉间失绿，严重时新生</w:t>
      </w:r>
      <w:r>
        <w:rPr>
          <w:sz w:val="29"/>
          <w:szCs w:val="29"/>
          <w:spacing w:val="1"/>
        </w:rPr>
        <w:t xml:space="preserve"> </w:t>
      </w:r>
      <w:r>
        <w:rPr>
          <w:sz w:val="29"/>
          <w:szCs w:val="29"/>
          <w:spacing w:val="-1"/>
        </w:rPr>
        <w:t>的叶片细小。出现白苗，严重时枝条死亡；果实小而变形。如一品红新生叶</w:t>
      </w:r>
      <w:r>
        <w:rPr>
          <w:sz w:val="29"/>
          <w:szCs w:val="29"/>
          <w:spacing w:val="-2"/>
        </w:rPr>
        <w:t>细小</w:t>
      </w:r>
      <w:r>
        <w:rPr>
          <w:sz w:val="29"/>
          <w:szCs w:val="29"/>
        </w:rPr>
        <w:t xml:space="preserve"> </w:t>
      </w:r>
      <w:r>
        <w:rPr>
          <w:sz w:val="29"/>
          <w:szCs w:val="29"/>
          <w:spacing w:val="-7"/>
        </w:rPr>
        <w:t>等。</w:t>
      </w:r>
    </w:p>
    <w:p>
      <w:pPr>
        <w:ind w:firstLine="1159"/>
        <w:spacing w:line="2980" w:lineRule="exact"/>
        <w:rPr/>
      </w:pPr>
      <w:r>
        <w:rPr>
          <w:position w:val="-59"/>
        </w:rPr>
        <w:drawing>
          <wp:inline distT="0" distB="0" distL="0" distR="0">
            <wp:extent cx="4984815" cy="1892314"/>
            <wp:effectExtent l="0" t="0" r="0" b="0"/>
            <wp:docPr id="426" name="IM 426"/>
            <wp:cNvGraphicFramePr/>
            <a:graphic>
              <a:graphicData uri="http://schemas.openxmlformats.org/drawingml/2006/picture">
                <pic:pic>
                  <pic:nvPicPr>
                    <pic:cNvPr id="426" name="IM 426"/>
                    <pic:cNvPicPr/>
                  </pic:nvPicPr>
                  <pic:blipFill>
                    <a:blip r:embed="rId305"/>
                    <a:stretch>
                      <a:fillRect/>
                    </a:stretch>
                  </pic:blipFill>
                  <pic:spPr>
                    <a:xfrm rot="0">
                      <a:off x="0" y="0"/>
                      <a:ext cx="4984815" cy="1892314"/>
                    </a:xfrm>
                    <a:prstGeom prst="rect">
                      <a:avLst/>
                    </a:prstGeom>
                  </pic:spPr>
                </pic:pic>
              </a:graphicData>
            </a:graphic>
          </wp:inline>
        </w:drawing>
      </w:r>
    </w:p>
    <w:p>
      <w:pPr>
        <w:pStyle w:val="BodyText"/>
        <w:ind w:left="4390"/>
        <w:spacing w:before="21" w:line="220" w:lineRule="auto"/>
        <w:rPr>
          <w:sz w:val="24"/>
          <w:szCs w:val="24"/>
        </w:rPr>
      </w:pPr>
      <w:r>
        <w:rPr>
          <w:sz w:val="24"/>
          <w:szCs w:val="24"/>
          <w:spacing w:val="-1"/>
        </w:rPr>
        <w:t>图6-1-41缺锌</w:t>
      </w:r>
    </w:p>
    <w:p>
      <w:pPr>
        <w:pStyle w:val="BodyText"/>
        <w:ind w:left="600"/>
        <w:spacing w:before="186" w:line="219" w:lineRule="auto"/>
        <w:rPr>
          <w:sz w:val="29"/>
          <w:szCs w:val="29"/>
        </w:rPr>
      </w:pPr>
      <w:r>
        <w:rPr>
          <w:sz w:val="29"/>
          <w:szCs w:val="29"/>
          <w:spacing w:val="8"/>
        </w:rPr>
        <w:t>2)发病叶序：植物缺锌时幼叶先表现症状。</w:t>
      </w:r>
    </w:p>
    <w:p>
      <w:pPr>
        <w:pStyle w:val="BodyText"/>
        <w:ind w:right="85" w:firstLine="600"/>
        <w:spacing w:before="116" w:line="268" w:lineRule="auto"/>
        <w:rPr>
          <w:sz w:val="29"/>
          <w:szCs w:val="29"/>
        </w:rPr>
      </w:pPr>
      <w:r>
        <w:rPr>
          <w:sz w:val="29"/>
          <w:szCs w:val="29"/>
          <w:spacing w:val="6"/>
        </w:rPr>
        <w:t>3)易发土质：石灰性土壤和经常施用石灰的酸性土壤、含磷高或施用大量</w:t>
      </w:r>
      <w:r>
        <w:rPr>
          <w:sz w:val="29"/>
          <w:szCs w:val="29"/>
          <w:spacing w:val="12"/>
        </w:rPr>
        <w:t xml:space="preserve"> </w:t>
      </w:r>
      <w:r>
        <w:rPr>
          <w:sz w:val="29"/>
          <w:szCs w:val="29"/>
          <w:spacing w:val="-1"/>
        </w:rPr>
        <w:t>的氮和磷的土壤。</w:t>
      </w:r>
    </w:p>
    <w:p>
      <w:pPr>
        <w:pStyle w:val="BodyText"/>
        <w:spacing w:before="157" w:line="368" w:lineRule="exact"/>
        <w:rPr>
          <w:rFonts w:ascii="SimHei" w:hAnsi="SimHei" w:eastAsia="SimHei" w:cs="SimHei"/>
          <w:sz w:val="27"/>
          <w:szCs w:val="27"/>
        </w:rPr>
      </w:pPr>
      <w:r>
        <w:rPr>
          <w:rFonts w:ascii="Arial" w:hAnsi="Arial" w:eastAsia="Arial" w:cs="Arial"/>
          <w:sz w:val="27"/>
          <w:szCs w:val="27"/>
          <w:spacing w:val="-2"/>
          <w:position w:val="1"/>
        </w:rPr>
        <w:t>10</w:t>
      </w:r>
      <w:r>
        <w:rPr>
          <w:sz w:val="27"/>
          <w:szCs w:val="27"/>
          <w:spacing w:val="-2"/>
          <w:position w:val="1"/>
        </w:rPr>
        <w:t>、</w:t>
      </w:r>
      <w:r>
        <w:rPr>
          <w:rFonts w:ascii="SimHei" w:hAnsi="SimHei" w:eastAsia="SimHei" w:cs="SimHei"/>
          <w:sz w:val="27"/>
          <w:szCs w:val="27"/>
          <w:spacing w:val="-2"/>
          <w:position w:val="1"/>
        </w:rPr>
        <w:t>缺</w:t>
      </w:r>
      <w:r>
        <w:rPr>
          <w:rFonts w:ascii="SimHei" w:hAnsi="SimHei" w:eastAsia="SimHei" w:cs="SimHei"/>
          <w:sz w:val="27"/>
          <w:szCs w:val="27"/>
          <w:spacing w:val="-56"/>
          <w:position w:val="1"/>
        </w:rPr>
        <w:t xml:space="preserve"> </w:t>
      </w:r>
      <w:r>
        <w:rPr>
          <w:rFonts w:ascii="SimHei" w:hAnsi="SimHei" w:eastAsia="SimHei" w:cs="SimHei"/>
          <w:sz w:val="27"/>
          <w:szCs w:val="27"/>
          <w:spacing w:val="-2"/>
          <w:position w:val="1"/>
        </w:rPr>
        <w:t>硫</w:t>
      </w:r>
    </w:p>
    <w:p>
      <w:pPr>
        <w:spacing w:line="368" w:lineRule="exact"/>
        <w:sectPr>
          <w:footerReference w:type="default" r:id="rId302"/>
          <w:pgSz w:w="14490" w:h="20470"/>
          <w:pgMar w:top="1739" w:right="2173" w:bottom="1395" w:left="2140" w:header="0" w:footer="1233" w:gutter="0"/>
        </w:sectPr>
        <w:rPr>
          <w:rFonts w:ascii="SimHei" w:hAnsi="SimHei" w:eastAsia="SimHei" w:cs="SimHei"/>
          <w:sz w:val="27"/>
          <w:szCs w:val="27"/>
        </w:rPr>
      </w:pPr>
    </w:p>
    <w:p>
      <w:pPr>
        <w:pStyle w:val="BodyText"/>
        <w:ind w:right="88" w:firstLine="590"/>
        <w:spacing w:before="112" w:line="310" w:lineRule="auto"/>
        <w:jc w:val="both"/>
        <w:rPr>
          <w:sz w:val="29"/>
          <w:szCs w:val="29"/>
        </w:rPr>
      </w:pPr>
      <w:r>
        <w:rPr>
          <w:sz w:val="29"/>
          <w:szCs w:val="29"/>
          <w:spacing w:val="-9"/>
        </w:rPr>
        <w:t>1)表现症状：植株普遍缺绿，幼叶先黄化，叶脉先</w:t>
      </w:r>
      <w:r>
        <w:rPr>
          <w:sz w:val="29"/>
          <w:szCs w:val="29"/>
          <w:spacing w:val="-10"/>
        </w:rPr>
        <w:t>缺绿，叶肉仍保持绿色，最</w:t>
      </w:r>
      <w:r>
        <w:rPr>
          <w:sz w:val="29"/>
          <w:szCs w:val="29"/>
        </w:rPr>
        <w:t xml:space="preserve"> </w:t>
      </w:r>
      <w:r>
        <w:rPr>
          <w:sz w:val="29"/>
          <w:szCs w:val="29"/>
          <w:spacing w:val="-9"/>
        </w:rPr>
        <w:t>后叶片失绿黄化，并向上蜷曲，变硬、易碎，过早脱落；茎细小，发根少，开花结</w:t>
      </w:r>
      <w:r>
        <w:rPr>
          <w:sz w:val="29"/>
          <w:szCs w:val="29"/>
          <w:spacing w:val="9"/>
        </w:rPr>
        <w:t xml:space="preserve"> </w:t>
      </w:r>
      <w:r>
        <w:rPr>
          <w:sz w:val="29"/>
          <w:szCs w:val="29"/>
          <w:spacing w:val="1"/>
        </w:rPr>
        <w:t>实延迟，果实减少；双子叶植物较老的叶片出现紫红色斑点。</w:t>
      </w:r>
    </w:p>
    <w:p>
      <w:pPr>
        <w:pStyle w:val="BodyText"/>
        <w:ind w:left="590"/>
        <w:spacing w:before="57" w:line="203" w:lineRule="auto"/>
        <w:rPr>
          <w:sz w:val="29"/>
          <w:szCs w:val="29"/>
        </w:rPr>
      </w:pPr>
      <w:r>
        <w:rPr>
          <w:rFonts w:ascii="SimHei" w:hAnsi="SimHei" w:eastAsia="SimHei" w:cs="SimHei"/>
          <w:sz w:val="29"/>
          <w:szCs w:val="29"/>
          <w:spacing w:val="-7"/>
        </w:rPr>
        <w:t>注</w:t>
      </w:r>
      <w:r>
        <w:rPr>
          <w:rFonts w:ascii="SimHei" w:hAnsi="SimHei" w:eastAsia="SimHei" w:cs="SimHei"/>
          <w:sz w:val="29"/>
          <w:szCs w:val="29"/>
          <w:spacing w:val="-25"/>
        </w:rPr>
        <w:t xml:space="preserve"> </w:t>
      </w:r>
      <w:r>
        <w:rPr>
          <w:rFonts w:ascii="SimHei" w:hAnsi="SimHei" w:eastAsia="SimHei" w:cs="SimHei"/>
          <w:sz w:val="29"/>
          <w:szCs w:val="29"/>
          <w:spacing w:val="-7"/>
        </w:rPr>
        <w:t>：</w:t>
      </w:r>
      <w:r>
        <w:rPr>
          <w:sz w:val="29"/>
          <w:szCs w:val="29"/>
          <w:spacing w:val="-7"/>
        </w:rPr>
        <w:t>过量时在强还原条件下可导致硫化氢毒害。</w:t>
      </w:r>
    </w:p>
    <w:p>
      <w:pPr>
        <w:ind w:firstLine="1069"/>
        <w:spacing w:line="5980" w:lineRule="exact"/>
        <w:rPr/>
      </w:pPr>
      <w:r>
        <w:rPr>
          <w:position w:val="-119"/>
        </w:rPr>
        <w:drawing>
          <wp:inline distT="0" distB="0" distL="0" distR="0">
            <wp:extent cx="4927583" cy="3797367"/>
            <wp:effectExtent l="0" t="0" r="0" b="0"/>
            <wp:docPr id="428" name="IM 428"/>
            <wp:cNvGraphicFramePr/>
            <a:graphic>
              <a:graphicData uri="http://schemas.openxmlformats.org/drawingml/2006/picture">
                <pic:pic>
                  <pic:nvPicPr>
                    <pic:cNvPr id="428" name="IM 428"/>
                    <pic:cNvPicPr/>
                  </pic:nvPicPr>
                  <pic:blipFill>
                    <a:blip r:embed="rId307"/>
                    <a:stretch>
                      <a:fillRect/>
                    </a:stretch>
                  </pic:blipFill>
                  <pic:spPr>
                    <a:xfrm rot="0">
                      <a:off x="0" y="0"/>
                      <a:ext cx="4927583" cy="3797367"/>
                    </a:xfrm>
                    <a:prstGeom prst="rect">
                      <a:avLst/>
                    </a:prstGeom>
                  </pic:spPr>
                </pic:pic>
              </a:graphicData>
            </a:graphic>
          </wp:inline>
        </w:drawing>
      </w:r>
    </w:p>
    <w:p>
      <w:pPr>
        <w:pStyle w:val="BodyText"/>
        <w:ind w:left="4360"/>
        <w:spacing w:before="60" w:line="220" w:lineRule="auto"/>
        <w:rPr>
          <w:sz w:val="24"/>
          <w:szCs w:val="24"/>
        </w:rPr>
      </w:pPr>
      <w:r>
        <w:rPr>
          <w:sz w:val="24"/>
          <w:szCs w:val="24"/>
          <w:spacing w:val="1"/>
        </w:rPr>
        <w:t>图6-1-42缺硫</w:t>
      </w:r>
    </w:p>
    <w:p>
      <w:pPr>
        <w:pStyle w:val="BodyText"/>
        <w:ind w:left="590"/>
        <w:spacing w:before="165" w:line="219" w:lineRule="auto"/>
        <w:rPr>
          <w:sz w:val="29"/>
          <w:szCs w:val="29"/>
        </w:rPr>
      </w:pPr>
      <w:r>
        <w:rPr>
          <w:sz w:val="29"/>
          <w:szCs w:val="29"/>
          <w:spacing w:val="7"/>
        </w:rPr>
        <w:t>2)发病叶序：植物缺硫时幼叶先表现症状；</w:t>
      </w:r>
    </w:p>
    <w:p>
      <w:pPr>
        <w:pStyle w:val="BodyText"/>
        <w:spacing w:before="113" w:line="221" w:lineRule="auto"/>
        <w:rPr>
          <w:rFonts w:ascii="SimHei" w:hAnsi="SimHei" w:eastAsia="SimHei" w:cs="SimHei"/>
          <w:sz w:val="29"/>
          <w:szCs w:val="29"/>
        </w:rPr>
      </w:pPr>
      <w:r>
        <w:rPr>
          <w:rFonts w:ascii="Arial" w:hAnsi="Arial" w:eastAsia="Arial" w:cs="Arial"/>
          <w:sz w:val="29"/>
          <w:szCs w:val="29"/>
          <w:spacing w:val="-2"/>
        </w:rPr>
        <w:t>11</w:t>
      </w:r>
      <w:r>
        <w:rPr>
          <w:sz w:val="29"/>
          <w:szCs w:val="29"/>
          <w:spacing w:val="-2"/>
        </w:rPr>
        <w:t>、</w:t>
      </w:r>
      <w:r>
        <w:rPr>
          <w:rFonts w:ascii="SimHei" w:hAnsi="SimHei" w:eastAsia="SimHei" w:cs="SimHei"/>
          <w:sz w:val="29"/>
          <w:szCs w:val="29"/>
          <w:spacing w:val="-2"/>
        </w:rPr>
        <w:t>缺铜</w:t>
      </w:r>
    </w:p>
    <w:p>
      <w:pPr>
        <w:pStyle w:val="BodyText"/>
        <w:ind w:firstLine="590"/>
        <w:spacing w:before="144" w:line="261" w:lineRule="auto"/>
        <w:rPr>
          <w:sz w:val="29"/>
          <w:szCs w:val="29"/>
        </w:rPr>
      </w:pPr>
      <w:r>
        <w:rPr>
          <w:sz w:val="29"/>
          <w:szCs w:val="29"/>
          <w:spacing w:val="2"/>
        </w:rPr>
        <w:t>表现症状：植株矮小，幼叶表现萎缩，叶色改变</w:t>
      </w:r>
      <w:r>
        <w:rPr>
          <w:sz w:val="29"/>
          <w:szCs w:val="29"/>
          <w:spacing w:val="1"/>
        </w:rPr>
        <w:t>，叶尖变白卷曲呈纸捻状，</w:t>
      </w:r>
      <w:r>
        <w:rPr>
          <w:sz w:val="29"/>
          <w:szCs w:val="29"/>
        </w:rPr>
        <w:t xml:space="preserve"> </w:t>
      </w:r>
      <w:r>
        <w:rPr>
          <w:sz w:val="29"/>
          <w:szCs w:val="29"/>
          <w:spacing w:val="1"/>
        </w:rPr>
        <w:t>叶片出现坏死斑点，进而枯萎，易感染病害，如凤梨的幼叶萎缩。</w:t>
      </w:r>
    </w:p>
    <w:p>
      <w:pPr>
        <w:pStyle w:val="BodyText"/>
        <w:ind w:firstLine="1049"/>
        <w:spacing w:line="4270" w:lineRule="exact"/>
        <w:rPr/>
      </w:pPr>
      <w:r>
        <w:rPr>
          <w:position w:val="-85"/>
        </w:rPr>
        <w:pict>
          <v:group id="_x0000_s26" style="mso-position-vertical-relative:line;mso-position-horizontal-relative:char;width:418.05pt;height:213.55pt;" filled="false" stroked="false" coordsize="8360,4271" coordorigin="0,0">
            <v:shape id="_x0000_s28" style="position:absolute;left:0;top:0;width:8360;height:4271;" filled="false" stroked="false" type="#_x0000_t75">
              <v:imagedata o:title="" r:id="rId308"/>
            </v:shape>
            <v:shape id="_x0000_s30" style="position:absolute;left:-20;top:-20;width:8400;height:4311;" filled="false" stroked="false" type="#_x0000_t202">
              <v:fill on="false"/>
              <v:stroke on="false"/>
              <v:path/>
              <v:imagedata o:title=""/>
              <o:lock v:ext="edit" aspectratio="false"/>
              <v:textbox inset="0mm,0mm,0mm,0mm">
                <w:txbxContent>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260"/>
                      <w:spacing w:before="80" w:line="192"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Ctrl</w:t>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5419"/>
                      <w:spacing w:before="49" w:line="219" w:lineRule="auto"/>
                      <w:rPr>
                        <w:rFonts w:ascii="SimSun" w:hAnsi="SimSun" w:eastAsia="SimSun" w:cs="SimSun"/>
                        <w:sz w:val="15"/>
                        <w:szCs w:val="15"/>
                      </w:rPr>
                    </w:pPr>
                    <w:r>
                      <w:rPr>
                        <w:rFonts w:ascii="SimSun" w:hAnsi="SimSun" w:eastAsia="SimSun" w:cs="SimSun"/>
                        <w:sz w:val="15"/>
                        <w:szCs w:val="15"/>
                        <w:color w:val="FFFFFF"/>
                        <w:spacing w:val="-11"/>
                      </w:rPr>
                      <w:t>缺</w:t>
                    </w:r>
                    <w:r>
                      <w:rPr>
                        <w:rFonts w:ascii="SimSun" w:hAnsi="SimSun" w:eastAsia="SimSun" w:cs="SimSun"/>
                        <w:sz w:val="15"/>
                        <w:szCs w:val="15"/>
                        <w:color w:val="FFFFFF"/>
                        <w:spacing w:val="30"/>
                      </w:rPr>
                      <w:t xml:space="preserve"> </w:t>
                    </w:r>
                    <w:r>
                      <w:rPr>
                        <w:rFonts w:ascii="SimSun" w:hAnsi="SimSun" w:eastAsia="SimSun" w:cs="SimSun"/>
                        <w:sz w:val="15"/>
                        <w:szCs w:val="15"/>
                        <w:color w:val="FFFFFF"/>
                        <w:spacing w:val="-11"/>
                      </w:rPr>
                      <w:t>铜</w:t>
                    </w:r>
                    <w:r>
                      <w:rPr>
                        <w:rFonts w:ascii="SimSun" w:hAnsi="SimSun" w:eastAsia="SimSun" w:cs="SimSun"/>
                        <w:sz w:val="15"/>
                        <w:szCs w:val="15"/>
                        <w:color w:val="FFFFFF"/>
                        <w:spacing w:val="35"/>
                      </w:rPr>
                      <w:t xml:space="preserve"> </w:t>
                    </w:r>
                    <w:r>
                      <w:rPr>
                        <w:rFonts w:ascii="SimSun" w:hAnsi="SimSun" w:eastAsia="SimSun" w:cs="SimSun"/>
                        <w:sz w:val="15"/>
                        <w:szCs w:val="15"/>
                        <w:color w:val="FFFFFF"/>
                        <w:spacing w:val="-11"/>
                      </w:rPr>
                      <w:t>的</w:t>
                    </w:r>
                    <w:r>
                      <w:rPr>
                        <w:rFonts w:ascii="SimSun" w:hAnsi="SimSun" w:eastAsia="SimSun" w:cs="SimSun"/>
                        <w:sz w:val="15"/>
                        <w:szCs w:val="15"/>
                        <w:color w:val="FFFFFF"/>
                        <w:spacing w:val="33"/>
                      </w:rPr>
                      <w:t xml:space="preserve"> </w:t>
                    </w:r>
                    <w:r>
                      <w:rPr>
                        <w:rFonts w:ascii="SimSun" w:hAnsi="SimSun" w:eastAsia="SimSun" w:cs="SimSun"/>
                        <w:sz w:val="15"/>
                        <w:szCs w:val="15"/>
                        <w:color w:val="FFFFFF"/>
                        <w:spacing w:val="-11"/>
                      </w:rPr>
                      <w:t>叶</w:t>
                    </w:r>
                    <w:r>
                      <w:rPr>
                        <w:rFonts w:ascii="SimSun" w:hAnsi="SimSun" w:eastAsia="SimSun" w:cs="SimSun"/>
                        <w:sz w:val="15"/>
                        <w:szCs w:val="15"/>
                        <w:color w:val="FFFFFF"/>
                        <w:spacing w:val="26"/>
                        <w:w w:val="101"/>
                      </w:rPr>
                      <w:t xml:space="preserve"> </w:t>
                    </w:r>
                    <w:r>
                      <w:rPr>
                        <w:rFonts w:ascii="SimSun" w:hAnsi="SimSun" w:eastAsia="SimSun" w:cs="SimSun"/>
                        <w:sz w:val="15"/>
                        <w:szCs w:val="15"/>
                        <w:color w:val="FFFFFF"/>
                        <w:spacing w:val="-11"/>
                      </w:rPr>
                      <w:t>片</w:t>
                    </w:r>
                    <w:r>
                      <w:rPr>
                        <w:rFonts w:ascii="SimSun" w:hAnsi="SimSun" w:eastAsia="SimSun" w:cs="SimSun"/>
                        <w:sz w:val="15"/>
                        <w:szCs w:val="15"/>
                        <w:color w:val="FFFFFF"/>
                        <w:spacing w:val="39"/>
                      </w:rPr>
                      <w:t xml:space="preserve"> </w:t>
                    </w:r>
                    <w:r>
                      <w:rPr>
                        <w:rFonts w:ascii="SimSun" w:hAnsi="SimSun" w:eastAsia="SimSun" w:cs="SimSun"/>
                        <w:sz w:val="15"/>
                        <w:szCs w:val="15"/>
                        <w:color w:val="FFFFFF"/>
                        <w:spacing w:val="-11"/>
                      </w:rPr>
                      <w:t>比</w:t>
                    </w:r>
                    <w:r>
                      <w:rPr>
                        <w:rFonts w:ascii="SimSun" w:hAnsi="SimSun" w:eastAsia="SimSun" w:cs="SimSun"/>
                        <w:sz w:val="15"/>
                        <w:szCs w:val="15"/>
                        <w:color w:val="FFFFFF"/>
                        <w:spacing w:val="26"/>
                      </w:rPr>
                      <w:t xml:space="preserve"> </w:t>
                    </w:r>
                    <w:r>
                      <w:rPr>
                        <w:rFonts w:ascii="SimSun" w:hAnsi="SimSun" w:eastAsia="SimSun" w:cs="SimSun"/>
                        <w:sz w:val="15"/>
                        <w:szCs w:val="15"/>
                        <w:color w:val="FFFFFF"/>
                        <w:spacing w:val="-11"/>
                      </w:rPr>
                      <w:t>正</w:t>
                    </w:r>
                    <w:r>
                      <w:rPr>
                        <w:rFonts w:ascii="SimSun" w:hAnsi="SimSun" w:eastAsia="SimSun" w:cs="SimSun"/>
                        <w:sz w:val="15"/>
                        <w:szCs w:val="15"/>
                        <w:color w:val="FFFFFF"/>
                        <w:spacing w:val="27"/>
                      </w:rPr>
                      <w:t xml:space="preserve"> </w:t>
                    </w:r>
                    <w:r>
                      <w:rPr>
                        <w:rFonts w:ascii="SimSun" w:hAnsi="SimSun" w:eastAsia="SimSun" w:cs="SimSun"/>
                        <w:sz w:val="15"/>
                        <w:szCs w:val="15"/>
                        <w:color w:val="FFFFFF"/>
                        <w:spacing w:val="-11"/>
                      </w:rPr>
                      <w:t>常</w:t>
                    </w:r>
                    <w:r>
                      <w:rPr>
                        <w:rFonts w:ascii="SimSun" w:hAnsi="SimSun" w:eastAsia="SimSun" w:cs="SimSun"/>
                        <w:sz w:val="15"/>
                        <w:szCs w:val="15"/>
                        <w:color w:val="FFFFFF"/>
                        <w:spacing w:val="27"/>
                      </w:rPr>
                      <w:t xml:space="preserve"> </w:t>
                    </w:r>
                    <w:r>
                      <w:rPr>
                        <w:rFonts w:ascii="SimSun" w:hAnsi="SimSun" w:eastAsia="SimSun" w:cs="SimSun"/>
                        <w:sz w:val="15"/>
                        <w:szCs w:val="15"/>
                        <w:color w:val="FFFFFF"/>
                        <w:spacing w:val="-11"/>
                      </w:rPr>
                      <w:t>小</w:t>
                    </w:r>
                    <w:r>
                      <w:rPr>
                        <w:rFonts w:ascii="SimSun" w:hAnsi="SimSun" w:eastAsia="SimSun" w:cs="SimSun"/>
                        <w:sz w:val="15"/>
                        <w:szCs w:val="15"/>
                        <w:color w:val="FFFFFF"/>
                        <w:spacing w:val="23"/>
                      </w:rPr>
                      <w:t xml:space="preserve"> </w:t>
                    </w:r>
                    <w:r>
                      <w:rPr>
                        <w:rFonts w:ascii="SimSun" w:hAnsi="SimSun" w:eastAsia="SimSun" w:cs="SimSun"/>
                        <w:sz w:val="15"/>
                        <w:szCs w:val="15"/>
                        <w:color w:val="FFFFFF"/>
                        <w:spacing w:val="-11"/>
                      </w:rPr>
                      <w:t>且</w:t>
                    </w:r>
                    <w:r>
                      <w:rPr>
                        <w:rFonts w:ascii="SimSun" w:hAnsi="SimSun" w:eastAsia="SimSun" w:cs="SimSun"/>
                        <w:sz w:val="15"/>
                        <w:szCs w:val="15"/>
                        <w:color w:val="FFFFFF"/>
                        <w:spacing w:val="30"/>
                      </w:rPr>
                      <w:t xml:space="preserve"> </w:t>
                    </w:r>
                    <w:r>
                      <w:rPr>
                        <w:rFonts w:ascii="SimSun" w:hAnsi="SimSun" w:eastAsia="SimSun" w:cs="SimSun"/>
                        <w:sz w:val="15"/>
                        <w:szCs w:val="15"/>
                        <w:color w:val="FFFFFF"/>
                        <w:spacing w:val="-11"/>
                      </w:rPr>
                      <w:t>窄</w:t>
                    </w:r>
                    <w:r>
                      <w:rPr>
                        <w:rFonts w:ascii="SimSun" w:hAnsi="SimSun" w:eastAsia="SimSun" w:cs="SimSun"/>
                        <w:sz w:val="15"/>
                        <w:szCs w:val="15"/>
                        <w:color w:val="FFFFFF"/>
                        <w:spacing w:val="17"/>
                      </w:rPr>
                      <w:t xml:space="preserve"> </w:t>
                    </w:r>
                    <w:r>
                      <w:rPr>
                        <w:rFonts w:ascii="SimSun" w:hAnsi="SimSun" w:eastAsia="SimSun" w:cs="SimSun"/>
                        <w:sz w:val="15"/>
                        <w:szCs w:val="15"/>
                        <w:color w:val="FFFFFF"/>
                        <w:spacing w:val="-11"/>
                      </w:rPr>
                      <w:t>，</w:t>
                    </w:r>
                  </w:p>
                  <w:p>
                    <w:pPr>
                      <w:ind w:left="5529"/>
                      <w:spacing w:before="51" w:line="219" w:lineRule="auto"/>
                      <w:rPr>
                        <w:rFonts w:ascii="SimSun" w:hAnsi="SimSun" w:eastAsia="SimSun" w:cs="SimSun"/>
                        <w:sz w:val="15"/>
                        <w:szCs w:val="15"/>
                      </w:rPr>
                    </w:pPr>
                    <w:r>
                      <w:rPr>
                        <w:rFonts w:ascii="SimSun" w:hAnsi="SimSun" w:eastAsia="SimSun" w:cs="SimSun"/>
                        <w:sz w:val="15"/>
                        <w:szCs w:val="15"/>
                        <w:color w:val="FFFFFF"/>
                        <w:spacing w:val="-15"/>
                      </w:rPr>
                      <w:t>边  缘  褶</w:t>
                    </w:r>
                    <w:r>
                      <w:rPr>
                        <w:rFonts w:ascii="SimSun" w:hAnsi="SimSun" w:eastAsia="SimSun" w:cs="SimSun"/>
                        <w:sz w:val="15"/>
                        <w:szCs w:val="15"/>
                        <w:color w:val="FFFFFF"/>
                        <w:spacing w:val="82"/>
                      </w:rPr>
                      <w:t xml:space="preserve"> </w:t>
                    </w:r>
                    <w:r>
                      <w:rPr>
                        <w:rFonts w:ascii="SimSun" w:hAnsi="SimSun" w:eastAsia="SimSun" w:cs="SimSun"/>
                        <w:sz w:val="15"/>
                        <w:szCs w:val="15"/>
                        <w:color w:val="FFFFFF"/>
                        <w:spacing w:val="-15"/>
                      </w:rPr>
                      <w:t>皱</w:t>
                    </w:r>
                    <w:r>
                      <w:rPr>
                        <w:rFonts w:ascii="SimSun" w:hAnsi="SimSun" w:eastAsia="SimSun" w:cs="SimSun"/>
                        <w:sz w:val="15"/>
                        <w:szCs w:val="15"/>
                        <w:color w:val="FFFFFF"/>
                        <w:spacing w:val="58"/>
                        <w:w w:val="101"/>
                      </w:rPr>
                      <w:t xml:space="preserve"> </w:t>
                    </w:r>
                    <w:r>
                      <w:rPr>
                        <w:rFonts w:ascii="SimSun" w:hAnsi="SimSun" w:eastAsia="SimSun" w:cs="SimSun"/>
                        <w:sz w:val="15"/>
                        <w:szCs w:val="15"/>
                        <w:color w:val="FFFFFF"/>
                        <w:spacing w:val="-15"/>
                      </w:rPr>
                      <w:t>，并  由</w:t>
                    </w:r>
                    <w:r>
                      <w:rPr>
                        <w:rFonts w:ascii="SimSun" w:hAnsi="SimSun" w:eastAsia="SimSun" w:cs="SimSun"/>
                        <w:sz w:val="15"/>
                        <w:szCs w:val="15"/>
                        <w:color w:val="FFFFFF"/>
                        <w:spacing w:val="39"/>
                      </w:rPr>
                      <w:t xml:space="preserve"> </w:t>
                    </w:r>
                    <w:r>
                      <w:rPr>
                        <w:rFonts w:ascii="SimSun" w:hAnsi="SimSun" w:eastAsia="SimSun" w:cs="SimSun"/>
                        <w:sz w:val="15"/>
                        <w:szCs w:val="15"/>
                        <w:color w:val="FFFFFF"/>
                        <w:spacing w:val="-15"/>
                      </w:rPr>
                      <w:t>外  向  内</w:t>
                    </w:r>
                    <w:r>
                      <w:rPr>
                        <w:rFonts w:ascii="SimSun" w:hAnsi="SimSun" w:eastAsia="SimSun" w:cs="SimSun"/>
                        <w:sz w:val="15"/>
                        <w:szCs w:val="15"/>
                        <w:color w:val="FFFFFF"/>
                        <w:spacing w:val="36"/>
                      </w:rPr>
                      <w:t xml:space="preserve"> </w:t>
                    </w:r>
                    <w:r>
                      <w:rPr>
                        <w:rFonts w:ascii="SimSun" w:hAnsi="SimSun" w:eastAsia="SimSun" w:cs="SimSun"/>
                        <w:sz w:val="15"/>
                        <w:szCs w:val="15"/>
                        <w:color w:val="FFFFFF"/>
                        <w:spacing w:val="-15"/>
                      </w:rPr>
                      <w:t>逐</w:t>
                    </w:r>
                  </w:p>
                  <w:p>
                    <w:pPr>
                      <w:ind w:left="5509"/>
                      <w:spacing w:before="52" w:line="219" w:lineRule="auto"/>
                      <w:rPr>
                        <w:rFonts w:ascii="SimSun" w:hAnsi="SimSun" w:eastAsia="SimSun" w:cs="SimSun"/>
                        <w:sz w:val="15"/>
                        <w:szCs w:val="15"/>
                      </w:rPr>
                    </w:pPr>
                    <w:r>
                      <w:rPr>
                        <w:rFonts w:ascii="SimSun" w:hAnsi="SimSun" w:eastAsia="SimSun" w:cs="SimSun"/>
                        <w:sz w:val="15"/>
                        <w:szCs w:val="15"/>
                        <w:color w:val="FFFFFF"/>
                        <w:spacing w:val="-16"/>
                      </w:rPr>
                      <w:t>渐</w:t>
                    </w:r>
                    <w:r>
                      <w:rPr>
                        <w:rFonts w:ascii="SimSun" w:hAnsi="SimSun" w:eastAsia="SimSun" w:cs="SimSun"/>
                        <w:sz w:val="15"/>
                        <w:szCs w:val="15"/>
                        <w:color w:val="FFFFFF"/>
                        <w:spacing w:val="10"/>
                      </w:rPr>
                      <w:t xml:space="preserve">  </w:t>
                    </w:r>
                    <w:r>
                      <w:rPr>
                        <w:rFonts w:ascii="SimSun" w:hAnsi="SimSun" w:eastAsia="SimSun" w:cs="SimSun"/>
                        <w:sz w:val="15"/>
                        <w:szCs w:val="15"/>
                        <w:color w:val="FFFFFF"/>
                        <w:spacing w:val="-16"/>
                      </w:rPr>
                      <w:t>变</w:t>
                    </w:r>
                    <w:r>
                      <w:rPr>
                        <w:rFonts w:ascii="SimSun" w:hAnsi="SimSun" w:eastAsia="SimSun" w:cs="SimSun"/>
                        <w:sz w:val="15"/>
                        <w:szCs w:val="15"/>
                        <w:color w:val="FFFFFF"/>
                        <w:spacing w:val="8"/>
                      </w:rPr>
                      <w:t xml:space="preserve">  </w:t>
                    </w:r>
                    <w:r>
                      <w:rPr>
                        <w:rFonts w:ascii="SimSun" w:hAnsi="SimSun" w:eastAsia="SimSun" w:cs="SimSun"/>
                        <w:sz w:val="15"/>
                        <w:szCs w:val="15"/>
                        <w:color w:val="FFFFFF"/>
                        <w:spacing w:val="-16"/>
                      </w:rPr>
                      <w:t>黄</w:t>
                    </w:r>
                    <w:r>
                      <w:rPr>
                        <w:rFonts w:ascii="SimSun" w:hAnsi="SimSun" w:eastAsia="SimSun" w:cs="SimSun"/>
                        <w:sz w:val="15"/>
                        <w:szCs w:val="15"/>
                        <w:color w:val="FFFFFF"/>
                        <w:spacing w:val="5"/>
                      </w:rPr>
                      <w:t xml:space="preserve">  </w:t>
                    </w:r>
                    <w:r>
                      <w:rPr>
                        <w:rFonts w:ascii="SimSun" w:hAnsi="SimSun" w:eastAsia="SimSun" w:cs="SimSun"/>
                        <w:sz w:val="15"/>
                        <w:szCs w:val="15"/>
                        <w:color w:val="FFFFFF"/>
                        <w:spacing w:val="-16"/>
                      </w:rPr>
                      <w:t>。</w:t>
                    </w:r>
                    <w:r>
                      <w:rPr>
                        <w:rFonts w:ascii="SimSun" w:hAnsi="SimSun" w:eastAsia="SimSun" w:cs="SimSun"/>
                        <w:sz w:val="15"/>
                        <w:szCs w:val="15"/>
                        <w:color w:val="E0E0A0"/>
                        <w:spacing w:val="-16"/>
                      </w:rPr>
                      <w:t>花</w:t>
                    </w:r>
                    <w:r>
                      <w:rPr>
                        <w:rFonts w:ascii="SimSun" w:hAnsi="SimSun" w:eastAsia="SimSun" w:cs="SimSun"/>
                        <w:sz w:val="15"/>
                        <w:szCs w:val="15"/>
                        <w:color w:val="E0E0A0"/>
                        <w:spacing w:val="29"/>
                      </w:rPr>
                      <w:t xml:space="preserve"> </w:t>
                    </w:r>
                    <w:r>
                      <w:rPr>
                        <w:rFonts w:ascii="SimSun" w:hAnsi="SimSun" w:eastAsia="SimSun" w:cs="SimSun"/>
                        <w:sz w:val="15"/>
                        <w:szCs w:val="15"/>
                        <w:color w:val="E0E0A0"/>
                        <w:spacing w:val="-16"/>
                      </w:rPr>
                      <w:t>朵</w:t>
                    </w:r>
                    <w:r>
                      <w:rPr>
                        <w:rFonts w:ascii="SimSun" w:hAnsi="SimSun" w:eastAsia="SimSun" w:cs="SimSun"/>
                        <w:sz w:val="15"/>
                        <w:szCs w:val="15"/>
                        <w:color w:val="E0E0A0"/>
                        <w:spacing w:val="42"/>
                        <w:w w:val="101"/>
                      </w:rPr>
                      <w:t xml:space="preserve"> </w:t>
                    </w:r>
                    <w:r>
                      <w:rPr>
                        <w:rFonts w:ascii="SimSun" w:hAnsi="SimSun" w:eastAsia="SimSun" w:cs="SimSun"/>
                        <w:sz w:val="15"/>
                        <w:szCs w:val="15"/>
                        <w:color w:val="E0E0A0"/>
                        <w:spacing w:val="-16"/>
                      </w:rPr>
                      <w:t>明</w:t>
                    </w:r>
                    <w:r>
                      <w:rPr>
                        <w:rFonts w:ascii="SimSun" w:hAnsi="SimSun" w:eastAsia="SimSun" w:cs="SimSun"/>
                        <w:sz w:val="15"/>
                        <w:szCs w:val="15"/>
                        <w:color w:val="E0E0A0"/>
                        <w:spacing w:val="31"/>
                        <w:w w:val="101"/>
                      </w:rPr>
                      <w:t xml:space="preserve"> </w:t>
                    </w:r>
                    <w:r>
                      <w:rPr>
                        <w:rFonts w:ascii="SimSun" w:hAnsi="SimSun" w:eastAsia="SimSun" w:cs="SimSun"/>
                        <w:sz w:val="15"/>
                        <w:szCs w:val="15"/>
                        <w:color w:val="E0E0A0"/>
                        <w:spacing w:val="-16"/>
                      </w:rPr>
                      <w:t>显</w:t>
                    </w:r>
                    <w:r>
                      <w:rPr>
                        <w:rFonts w:ascii="SimSun" w:hAnsi="SimSun" w:eastAsia="SimSun" w:cs="SimSun"/>
                        <w:sz w:val="15"/>
                        <w:szCs w:val="15"/>
                        <w:color w:val="E0E0A0"/>
                        <w:spacing w:val="28"/>
                      </w:rPr>
                      <w:t xml:space="preserve"> </w:t>
                    </w:r>
                    <w:r>
                      <w:rPr>
                        <w:rFonts w:ascii="SimSun" w:hAnsi="SimSun" w:eastAsia="SimSun" w:cs="SimSun"/>
                        <w:sz w:val="15"/>
                        <w:szCs w:val="15"/>
                        <w:color w:val="E0E0A0"/>
                        <w:spacing w:val="-16"/>
                      </w:rPr>
                      <w:t>变</w:t>
                    </w:r>
                    <w:r>
                      <w:rPr>
                        <w:rFonts w:ascii="SimSun" w:hAnsi="SimSun" w:eastAsia="SimSun" w:cs="SimSun"/>
                        <w:sz w:val="15"/>
                        <w:szCs w:val="15"/>
                        <w:color w:val="E0E0A0"/>
                        <w:spacing w:val="32"/>
                      </w:rPr>
                      <w:t xml:space="preserve"> </w:t>
                    </w:r>
                    <w:r>
                      <w:rPr>
                        <w:rFonts w:ascii="SimSun" w:hAnsi="SimSun" w:eastAsia="SimSun" w:cs="SimSun"/>
                        <w:sz w:val="15"/>
                        <w:szCs w:val="15"/>
                        <w:color w:val="E0E0A0"/>
                        <w:spacing w:val="-16"/>
                      </w:rPr>
                      <w:t>小</w:t>
                    </w:r>
                    <w:r>
                      <w:rPr>
                        <w:rFonts w:ascii="SimSun" w:hAnsi="SimSun" w:eastAsia="SimSun" w:cs="SimSun"/>
                        <w:sz w:val="15"/>
                        <w:szCs w:val="15"/>
                        <w:color w:val="E0E0A0"/>
                        <w:spacing w:val="22"/>
                      </w:rPr>
                      <w:t xml:space="preserve"> </w:t>
                    </w:r>
                    <w:r>
                      <w:rPr>
                        <w:rFonts w:ascii="SimSun" w:hAnsi="SimSun" w:eastAsia="SimSun" w:cs="SimSun"/>
                        <w:sz w:val="15"/>
                        <w:szCs w:val="15"/>
                        <w:color w:val="E0E0A0"/>
                        <w:spacing w:val="-16"/>
                      </w:rPr>
                      <w:t>。</w:t>
                    </w:r>
                  </w:p>
                </w:txbxContent>
              </v:textbox>
            </v:shape>
          </v:group>
        </w:pict>
      </w:r>
    </w:p>
    <w:p>
      <w:pPr>
        <w:pStyle w:val="BodyText"/>
        <w:ind w:left="4249"/>
        <w:spacing w:before="190" w:line="220" w:lineRule="auto"/>
        <w:rPr>
          <w:sz w:val="24"/>
          <w:szCs w:val="24"/>
        </w:rPr>
      </w:pPr>
      <w:r>
        <w:rPr>
          <w:sz w:val="24"/>
          <w:szCs w:val="24"/>
          <w:spacing w:val="1"/>
        </w:rPr>
        <w:t>图6-1-43缺铜</w:t>
      </w:r>
    </w:p>
    <w:p>
      <w:pPr>
        <w:pStyle w:val="BodyText"/>
        <w:spacing w:before="124" w:line="222" w:lineRule="auto"/>
        <w:rPr>
          <w:rFonts w:ascii="SimHei" w:hAnsi="SimHei" w:eastAsia="SimHei" w:cs="SimHei"/>
          <w:sz w:val="29"/>
          <w:szCs w:val="29"/>
        </w:rPr>
      </w:pPr>
      <w:r>
        <w:rPr>
          <w:rFonts w:ascii="Arial" w:hAnsi="Arial" w:eastAsia="Arial" w:cs="Arial"/>
          <w:sz w:val="29"/>
          <w:szCs w:val="29"/>
          <w:spacing w:val="-6"/>
        </w:rPr>
        <w:t>12</w:t>
      </w:r>
      <w:r>
        <w:rPr>
          <w:sz w:val="29"/>
          <w:szCs w:val="29"/>
          <w:spacing w:val="-6"/>
        </w:rPr>
        <w:t>、</w:t>
      </w:r>
      <w:r>
        <w:rPr>
          <w:rFonts w:ascii="SimHei" w:hAnsi="SimHei" w:eastAsia="SimHei" w:cs="SimHei"/>
          <w:sz w:val="29"/>
          <w:szCs w:val="29"/>
          <w:spacing w:val="-6"/>
        </w:rPr>
        <w:t>缺钼</w:t>
      </w:r>
    </w:p>
    <w:p>
      <w:pPr>
        <w:spacing w:line="222" w:lineRule="auto"/>
        <w:sectPr>
          <w:footerReference w:type="default" r:id="rId306"/>
          <w:pgSz w:w="14490" w:h="20470"/>
          <w:pgMar w:top="1739" w:right="2124" w:bottom="1448" w:left="2150" w:header="0" w:footer="1203" w:gutter="0"/>
        </w:sectPr>
        <w:rPr>
          <w:rFonts w:ascii="SimHei" w:hAnsi="SimHei" w:eastAsia="SimHei" w:cs="SimHei"/>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620"/>
        <w:spacing w:before="94" w:line="219" w:lineRule="auto"/>
        <w:rPr>
          <w:sz w:val="29"/>
          <w:szCs w:val="29"/>
        </w:rPr>
      </w:pPr>
      <w:r>
        <w:rPr>
          <w:sz w:val="29"/>
          <w:szCs w:val="29"/>
          <w:spacing w:val="5"/>
        </w:rPr>
        <w:t>1)表现症状：植株矮小，幼叶黄绿，叶脉缺绿</w:t>
      </w:r>
      <w:r>
        <w:rPr>
          <w:sz w:val="29"/>
          <w:szCs w:val="29"/>
          <w:spacing w:val="4"/>
        </w:rPr>
        <w:t>，老叶变厚，叶脉间肿大；</w:t>
      </w:r>
    </w:p>
    <w:p>
      <w:pPr>
        <w:pStyle w:val="BodyText"/>
        <w:ind w:right="385"/>
        <w:spacing w:before="145" w:line="307" w:lineRule="auto"/>
        <w:rPr>
          <w:sz w:val="29"/>
          <w:szCs w:val="29"/>
        </w:rPr>
      </w:pPr>
      <w:r>
        <w:rPr>
          <w:sz w:val="29"/>
          <w:szCs w:val="29"/>
          <w:spacing w:val="-23"/>
        </w:rPr>
        <w:t>叶子边缘向上卷曲，形成杯状，叶子变小，叶面带有坏死斑点。缺钼有二种类型：一种</w:t>
      </w:r>
      <w:r>
        <w:rPr>
          <w:sz w:val="29"/>
          <w:szCs w:val="29"/>
          <w:spacing w:val="12"/>
        </w:rPr>
        <w:t xml:space="preserve"> </w:t>
      </w:r>
      <w:r>
        <w:rPr>
          <w:sz w:val="29"/>
          <w:szCs w:val="29"/>
          <w:spacing w:val="-18"/>
        </w:rPr>
        <w:t>是脉间叶色变淡、发黄，类似于缺氮和缺硫的症状，但缺钼时叶片易出现斑点，边缘</w:t>
      </w:r>
    </w:p>
    <w:p>
      <w:pPr>
        <w:pStyle w:val="BodyText"/>
        <w:ind w:right="392"/>
        <w:spacing w:before="4" w:line="312" w:lineRule="auto"/>
        <w:rPr>
          <w:sz w:val="29"/>
          <w:szCs w:val="29"/>
        </w:rPr>
      </w:pPr>
      <w:r>
        <w:rPr>
          <w:sz w:val="29"/>
          <w:szCs w:val="29"/>
          <w:spacing w:val="-23"/>
        </w:rPr>
        <w:t>发生焦枯并向内卷曲，并由于组织失水而呈萎蔫；一般老叶先出现症状，新叶在相当长</w:t>
      </w:r>
      <w:r>
        <w:rPr>
          <w:sz w:val="29"/>
          <w:szCs w:val="29"/>
          <w:spacing w:val="5"/>
        </w:rPr>
        <w:t xml:space="preserve"> </w:t>
      </w:r>
      <w:r>
        <w:rPr>
          <w:sz w:val="29"/>
          <w:szCs w:val="29"/>
          <w:spacing w:val="-25"/>
        </w:rPr>
        <w:t>时间内仍表现正常；定型的叶片有的尖端有灰色，褐色或坏死斑点，叶柄和叶脉干枯。</w:t>
      </w:r>
    </w:p>
    <w:p>
      <w:pPr>
        <w:pStyle w:val="BodyText"/>
        <w:ind w:right="39"/>
        <w:spacing w:before="1" w:line="270" w:lineRule="auto"/>
        <w:rPr>
          <w:sz w:val="29"/>
          <w:szCs w:val="29"/>
        </w:rPr>
      </w:pPr>
      <w:r>
        <w:rPr>
          <w:sz w:val="29"/>
          <w:szCs w:val="29"/>
          <w:spacing w:val="-14"/>
        </w:rPr>
        <w:t>另一种类型是十字花科植物常见的症状，即表现叶片瘦长畸形，丧失叶肉螺旋状扭曲，</w:t>
      </w:r>
      <w:r>
        <w:rPr>
          <w:sz w:val="29"/>
          <w:szCs w:val="29"/>
          <w:spacing w:val="15"/>
        </w:rPr>
        <w:t xml:space="preserve"> </w:t>
      </w:r>
      <w:r>
        <w:rPr>
          <w:sz w:val="29"/>
          <w:szCs w:val="29"/>
          <w:spacing w:val="-17"/>
        </w:rPr>
        <w:t>只有叶脉，即“尾鞭病”。老叶变厚，焦枯。</w:t>
      </w:r>
    </w:p>
    <w:p>
      <w:pPr>
        <w:ind w:firstLine="219"/>
        <w:spacing w:line="4019" w:lineRule="exact"/>
        <w:rPr/>
      </w:pPr>
      <w:r>
        <w:rPr>
          <w:position w:val="-80"/>
        </w:rPr>
        <w:drawing>
          <wp:inline distT="0" distB="0" distL="0" distR="0">
            <wp:extent cx="6172223" cy="2552635"/>
            <wp:effectExtent l="0" t="0" r="0" b="0"/>
            <wp:docPr id="430" name="IM 430"/>
            <wp:cNvGraphicFramePr/>
            <a:graphic>
              <a:graphicData uri="http://schemas.openxmlformats.org/drawingml/2006/picture">
                <pic:pic>
                  <pic:nvPicPr>
                    <pic:cNvPr id="430" name="IM 430"/>
                    <pic:cNvPicPr/>
                  </pic:nvPicPr>
                  <pic:blipFill>
                    <a:blip r:embed="rId311"/>
                    <a:stretch>
                      <a:fillRect/>
                    </a:stretch>
                  </pic:blipFill>
                  <pic:spPr>
                    <a:xfrm rot="0">
                      <a:off x="0" y="0"/>
                      <a:ext cx="6172223" cy="2552635"/>
                    </a:xfrm>
                    <a:prstGeom prst="rect">
                      <a:avLst/>
                    </a:prstGeom>
                  </pic:spPr>
                </pic:pic>
              </a:graphicData>
            </a:graphic>
          </wp:inline>
        </w:drawing>
      </w:r>
    </w:p>
    <w:p>
      <w:pPr>
        <w:pStyle w:val="BodyText"/>
        <w:ind w:left="4249"/>
        <w:spacing w:before="152" w:line="220" w:lineRule="auto"/>
        <w:rPr>
          <w:sz w:val="27"/>
          <w:szCs w:val="27"/>
        </w:rPr>
      </w:pPr>
      <w:r>
        <w:rPr>
          <w:sz w:val="27"/>
          <w:szCs w:val="27"/>
          <w:spacing w:val="-16"/>
        </w:rPr>
        <w:t>图6-1-44缺钼</w:t>
      </w:r>
    </w:p>
    <w:p>
      <w:pPr>
        <w:pStyle w:val="BodyText"/>
        <w:spacing w:before="98" w:line="395" w:lineRule="exact"/>
        <w:rPr>
          <w:rFonts w:ascii="SimHei" w:hAnsi="SimHei" w:eastAsia="SimHei" w:cs="SimHei"/>
          <w:sz w:val="29"/>
          <w:szCs w:val="29"/>
        </w:rPr>
      </w:pPr>
      <w:r>
        <w:rPr>
          <w:rFonts w:ascii="Arial" w:hAnsi="Arial" w:eastAsia="Arial" w:cs="Arial"/>
          <w:sz w:val="29"/>
          <w:szCs w:val="29"/>
          <w:spacing w:val="-5"/>
          <w:position w:val="1"/>
        </w:rPr>
        <w:t>13</w:t>
      </w:r>
      <w:r>
        <w:rPr>
          <w:sz w:val="29"/>
          <w:szCs w:val="29"/>
          <w:spacing w:val="-5"/>
          <w:position w:val="1"/>
        </w:rPr>
        <w:t>、</w:t>
      </w:r>
      <w:r>
        <w:rPr>
          <w:rFonts w:ascii="SimHei" w:hAnsi="SimHei" w:eastAsia="SimHei" w:cs="SimHei"/>
          <w:sz w:val="29"/>
          <w:szCs w:val="29"/>
          <w:spacing w:val="-5"/>
          <w:position w:val="1"/>
        </w:rPr>
        <w:t>小结</w:t>
      </w:r>
    </w:p>
    <w:p>
      <w:pPr>
        <w:pStyle w:val="BodyText"/>
        <w:ind w:firstLine="610"/>
        <w:spacing w:before="143" w:line="310" w:lineRule="auto"/>
        <w:rPr>
          <w:sz w:val="29"/>
          <w:szCs w:val="29"/>
        </w:rPr>
      </w:pPr>
      <w:r>
        <w:rPr>
          <w:sz w:val="29"/>
          <w:szCs w:val="29"/>
          <w:spacing w:val="-6"/>
        </w:rPr>
        <w:t>正确判断园林植物营养缺素，能够有效进行合理施肥，促进园林</w:t>
      </w:r>
      <w:r>
        <w:rPr>
          <w:sz w:val="29"/>
          <w:szCs w:val="29"/>
          <w:spacing w:val="-7"/>
        </w:rPr>
        <w:t>植物生长发育，</w:t>
      </w:r>
      <w:r>
        <w:rPr>
          <w:sz w:val="29"/>
          <w:szCs w:val="29"/>
        </w:rPr>
        <w:t xml:space="preserve"> </w:t>
      </w:r>
      <w:r>
        <w:rPr>
          <w:sz w:val="29"/>
          <w:szCs w:val="29"/>
          <w:spacing w:val="-23"/>
        </w:rPr>
        <w:t>增加园林植物的外形美观，花色鲜艳，叶形饱满等。增加园林植物的观赏性、美观性发</w:t>
      </w:r>
      <w:r>
        <w:rPr>
          <w:sz w:val="29"/>
          <w:szCs w:val="29"/>
          <w:spacing w:val="1"/>
        </w:rPr>
        <w:t xml:space="preserve">   </w:t>
      </w:r>
      <w:r>
        <w:rPr>
          <w:sz w:val="29"/>
          <w:szCs w:val="29"/>
          <w:spacing w:val="-20"/>
        </w:rPr>
        <w:t>生缺素症，常通过改良土壤和补充所缺乏营养元素治疗。有些元素如硼、</w:t>
      </w:r>
      <w:r>
        <w:rPr>
          <w:sz w:val="29"/>
          <w:szCs w:val="29"/>
          <w:spacing w:val="-21"/>
        </w:rPr>
        <w:t>铜、钙、银、</w:t>
      </w:r>
    </w:p>
    <w:p>
      <w:pPr>
        <w:pStyle w:val="BodyText"/>
        <w:spacing w:before="1" w:line="218" w:lineRule="auto"/>
        <w:rPr>
          <w:sz w:val="29"/>
          <w:szCs w:val="29"/>
        </w:rPr>
      </w:pPr>
      <w:r>
        <w:rPr>
          <w:sz w:val="29"/>
          <w:szCs w:val="29"/>
          <w:spacing w:val="1"/>
        </w:rPr>
        <w:t>汞含量过多，对植物也会产生毒害作用，影响植物的生长发育。</w:t>
      </w:r>
    </w:p>
    <w:p>
      <w:pPr>
        <w:spacing w:before="45"/>
        <w:rPr/>
      </w:pPr>
      <w:r/>
    </w:p>
    <w:p>
      <w:pPr>
        <w:sectPr>
          <w:headerReference w:type="default" r:id="rId309"/>
          <w:footerReference w:type="default" r:id="rId310"/>
          <w:pgSz w:w="14490" w:h="20470"/>
          <w:pgMar w:top="400" w:right="1795" w:bottom="1395" w:left="2150" w:header="0" w:footer="1233" w:gutter="0"/>
          <w:cols w:equalWidth="0" w:num="1">
            <w:col w:w="10545" w:space="0"/>
          </w:cols>
        </w:sectPr>
        <w:rPr/>
      </w:pPr>
    </w:p>
    <w:p>
      <w:pPr>
        <w:spacing w:line="285" w:lineRule="auto"/>
        <w:rPr>
          <w:rFonts w:ascii="Arial"/>
          <w:sz w:val="21"/>
        </w:rPr>
      </w:pPr>
      <w:r/>
    </w:p>
    <w:p>
      <w:pPr>
        <w:spacing w:line="285" w:lineRule="auto"/>
        <w:rPr>
          <w:rFonts w:ascii="Arial"/>
          <w:sz w:val="21"/>
        </w:rPr>
      </w:pPr>
      <w:r/>
    </w:p>
    <w:p>
      <w:pPr>
        <w:pStyle w:val="BodyText"/>
        <w:ind w:left="1619" w:right="246"/>
        <w:spacing w:before="78" w:line="218" w:lineRule="auto"/>
        <w:jc w:val="both"/>
        <w:rPr>
          <w:sz w:val="26"/>
          <w:szCs w:val="26"/>
        </w:rPr>
      </w:pPr>
      <w:r>
        <w:rPr>
          <w:sz w:val="24"/>
          <w:szCs w:val="24"/>
          <w:spacing w:val="29"/>
        </w:rPr>
        <w:t>老组</w:t>
      </w:r>
      <w:r>
        <w:rPr>
          <w:sz w:val="24"/>
          <w:szCs w:val="24"/>
        </w:rPr>
        <w:t xml:space="preserve"> </w:t>
      </w:r>
      <w:r>
        <w:rPr>
          <w:sz w:val="24"/>
          <w:szCs w:val="24"/>
          <w:spacing w:val="-14"/>
        </w:rPr>
        <w:t>织</w:t>
      </w:r>
      <w:r>
        <w:rPr>
          <w:sz w:val="24"/>
          <w:szCs w:val="24"/>
          <w:spacing w:val="-30"/>
        </w:rPr>
        <w:t xml:space="preserve"> </w:t>
      </w:r>
      <w:r>
        <w:rPr>
          <w:sz w:val="24"/>
          <w:szCs w:val="24"/>
          <w:spacing w:val="-14"/>
        </w:rPr>
        <w:t>先</w:t>
      </w:r>
      <w:r>
        <w:rPr>
          <w:sz w:val="24"/>
          <w:szCs w:val="24"/>
        </w:rPr>
        <w:t xml:space="preserve"> </w:t>
      </w:r>
      <w:r>
        <w:rPr>
          <w:sz w:val="24"/>
          <w:szCs w:val="24"/>
          <w:spacing w:val="-21"/>
        </w:rPr>
        <w:t>出</w:t>
      </w:r>
      <w:r>
        <w:rPr>
          <w:sz w:val="24"/>
          <w:szCs w:val="24"/>
          <w:spacing w:val="-20"/>
        </w:rPr>
        <w:t xml:space="preserve"> </w:t>
      </w:r>
      <w:r>
        <w:rPr>
          <w:sz w:val="24"/>
          <w:szCs w:val="24"/>
          <w:spacing w:val="-21"/>
        </w:rPr>
        <w:t>现</w:t>
      </w:r>
      <w:r>
        <w:rPr>
          <w:sz w:val="24"/>
          <w:szCs w:val="24"/>
        </w:rPr>
        <w:t xml:space="preserve"> </w:t>
      </w:r>
      <w:r>
        <w:rPr>
          <w:sz w:val="26"/>
          <w:szCs w:val="26"/>
          <w:spacing w:val="10"/>
        </w:rPr>
        <w:t>症状</w:t>
      </w:r>
    </w:p>
    <w:p>
      <w:pPr>
        <w:spacing w:line="353" w:lineRule="auto"/>
        <w:rPr>
          <w:rFonts w:ascii="Arial"/>
          <w:sz w:val="21"/>
        </w:rPr>
      </w:pPr>
      <w:r/>
    </w:p>
    <w:p>
      <w:pPr>
        <w:spacing w:line="353" w:lineRule="auto"/>
        <w:rPr>
          <w:rFonts w:ascii="Arial"/>
          <w:sz w:val="21"/>
        </w:rPr>
      </w:pPr>
      <w:r/>
    </w:p>
    <w:p>
      <w:pPr>
        <w:pStyle w:val="BodyText"/>
        <w:ind w:left="309" w:right="1308"/>
        <w:spacing w:before="79" w:line="220" w:lineRule="auto"/>
        <w:jc w:val="both"/>
        <w:rPr>
          <w:sz w:val="26"/>
          <w:szCs w:val="26"/>
        </w:rPr>
      </w:pPr>
      <w:r>
        <w:rPr>
          <w:sz w:val="24"/>
          <w:szCs w:val="24"/>
          <w:spacing w:val="23"/>
        </w:rPr>
        <w:t>营养元</w:t>
      </w:r>
      <w:r>
        <w:rPr>
          <w:sz w:val="24"/>
          <w:szCs w:val="24"/>
        </w:rPr>
        <w:t xml:space="preserve"> </w:t>
      </w:r>
      <w:r>
        <w:rPr>
          <w:sz w:val="24"/>
          <w:szCs w:val="24"/>
          <w:spacing w:val="23"/>
        </w:rPr>
        <w:t>素缺乏</w:t>
      </w:r>
      <w:r>
        <w:rPr>
          <w:sz w:val="24"/>
          <w:szCs w:val="24"/>
          <w:spacing w:val="1"/>
        </w:rPr>
        <w:t xml:space="preserve"> </w:t>
      </w:r>
      <w:r>
        <w:rPr>
          <w:sz w:val="26"/>
          <w:szCs w:val="26"/>
          <w:spacing w:val="15"/>
        </w:rPr>
        <w:t>症状</w:t>
      </w:r>
    </w:p>
    <w:p>
      <w:pPr>
        <w:pStyle w:val="BodyText"/>
        <w:ind w:left="1500" w:right="355"/>
        <w:spacing w:before="120" w:line="205" w:lineRule="auto"/>
        <w:jc w:val="both"/>
        <w:rPr>
          <w:sz w:val="27"/>
          <w:szCs w:val="27"/>
        </w:rPr>
      </w:pPr>
      <w:r>
        <w:rPr>
          <w:sz w:val="24"/>
          <w:szCs w:val="24"/>
          <w:spacing w:val="-12"/>
        </w:rPr>
        <w:t>新</w:t>
      </w:r>
      <w:r>
        <w:rPr>
          <w:sz w:val="24"/>
          <w:szCs w:val="24"/>
          <w:spacing w:val="-29"/>
        </w:rPr>
        <w:t xml:space="preserve"> </w:t>
      </w:r>
      <w:r>
        <w:rPr>
          <w:sz w:val="24"/>
          <w:szCs w:val="24"/>
          <w:spacing w:val="-12"/>
        </w:rPr>
        <w:t>组</w:t>
      </w:r>
      <w:r>
        <w:rPr>
          <w:sz w:val="24"/>
          <w:szCs w:val="24"/>
        </w:rPr>
        <w:t xml:space="preserve"> </w:t>
      </w:r>
      <w:r>
        <w:rPr>
          <w:sz w:val="26"/>
          <w:szCs w:val="26"/>
          <w:spacing w:val="17"/>
        </w:rPr>
        <w:t>织先</w:t>
      </w:r>
      <w:r>
        <w:rPr>
          <w:sz w:val="26"/>
          <w:szCs w:val="26"/>
        </w:rPr>
        <w:t xml:space="preserve"> </w:t>
      </w:r>
      <w:r>
        <w:rPr>
          <w:sz w:val="24"/>
          <w:szCs w:val="24"/>
          <w:spacing w:val="-17"/>
        </w:rPr>
        <w:t>出 现</w:t>
      </w:r>
      <w:r>
        <w:rPr>
          <w:sz w:val="24"/>
          <w:szCs w:val="24"/>
        </w:rPr>
        <w:t xml:space="preserve"> </w:t>
      </w:r>
      <w:r>
        <w:rPr>
          <w:sz w:val="27"/>
          <w:szCs w:val="27"/>
          <w:spacing w:val="5"/>
        </w:rPr>
        <w:t>症状</w:t>
      </w:r>
    </w:p>
    <w:p>
      <w:pPr>
        <w:spacing w:line="14" w:lineRule="auto"/>
        <w:rPr>
          <w:rFonts w:ascii="Arial"/>
          <w:sz w:val="2"/>
        </w:rPr>
      </w:pPr>
      <w:r>
        <w:rPr>
          <w:rFonts w:ascii="Arial" w:hAnsi="Arial" w:eastAsia="Arial" w:cs="Arial"/>
          <w:sz w:val="2"/>
          <w:szCs w:val="2"/>
        </w:rPr>
        <w:br w:type="column"/>
      </w:r>
    </w:p>
    <w:p>
      <w:pPr>
        <w:spacing w:line="47" w:lineRule="exact"/>
        <w:rPr/>
      </w:pPr>
      <w:r/>
    </w:p>
    <w:tbl>
      <w:tblPr>
        <w:tblStyle w:val="TableNormal"/>
        <w:tblW w:w="6697" w:type="dxa"/>
        <w:tblInd w:w="31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179"/>
        <w:gridCol w:w="5518"/>
      </w:tblGrid>
      <w:tr>
        <w:trPr>
          <w:trHeight w:val="2259" w:hRule="atLeast"/>
        </w:trPr>
        <w:tc>
          <w:tcPr>
            <w:tcW w:w="1179" w:type="dxa"/>
            <w:vAlign w:val="top"/>
          </w:tcPr>
          <w:p>
            <w:pPr>
              <w:pStyle w:val="TableText"/>
              <w:ind w:right="307"/>
              <w:spacing w:line="211" w:lineRule="auto"/>
              <w:jc w:val="both"/>
              <w:rPr>
                <w:sz w:val="19"/>
                <w:szCs w:val="19"/>
              </w:rPr>
            </w:pPr>
            <w:r>
              <w:rPr>
                <w:sz w:val="21"/>
                <w:szCs w:val="21"/>
                <w:spacing w:val="7"/>
              </w:rPr>
              <w:t>全株出现</w:t>
            </w:r>
            <w:r>
              <w:rPr>
                <w:sz w:val="21"/>
                <w:szCs w:val="21"/>
              </w:rPr>
              <w:t xml:space="preserve"> </w:t>
            </w:r>
            <w:r>
              <w:rPr>
                <w:sz w:val="21"/>
                <w:szCs w:val="21"/>
                <w:spacing w:val="7"/>
              </w:rPr>
              <w:t>症状，不</w:t>
            </w:r>
            <w:r>
              <w:rPr>
                <w:sz w:val="21"/>
                <w:szCs w:val="21"/>
                <w:spacing w:val="2"/>
              </w:rPr>
              <w:t xml:space="preserve"> </w:t>
            </w:r>
            <w:r>
              <w:rPr>
                <w:sz w:val="21"/>
                <w:szCs w:val="21"/>
                <w:spacing w:val="7"/>
              </w:rPr>
              <w:t>易出现坏</w:t>
            </w:r>
            <w:r>
              <w:rPr>
                <w:sz w:val="21"/>
                <w:szCs w:val="21"/>
                <w:spacing w:val="2"/>
              </w:rPr>
              <w:t xml:space="preserve"> </w:t>
            </w:r>
            <w:r>
              <w:rPr>
                <w:sz w:val="19"/>
                <w:szCs w:val="19"/>
                <w:spacing w:val="38"/>
              </w:rPr>
              <w:t>死斑点</w:t>
            </w:r>
          </w:p>
          <w:p>
            <w:pPr>
              <w:spacing w:line="389" w:lineRule="auto"/>
              <w:rPr>
                <w:rFonts w:ascii="Arial"/>
                <w:sz w:val="21"/>
              </w:rPr>
            </w:pPr>
            <w:r/>
          </w:p>
          <w:p>
            <w:pPr>
              <w:pStyle w:val="TableText"/>
              <w:ind w:right="159"/>
              <w:spacing w:before="58" w:line="207" w:lineRule="auto"/>
              <w:jc w:val="both"/>
              <w:rPr>
                <w:sz w:val="21"/>
                <w:szCs w:val="21"/>
              </w:rPr>
            </w:pPr>
            <w:r>
              <w:rPr>
                <w:sz w:val="18"/>
                <w:szCs w:val="18"/>
                <w:spacing w:val="15"/>
              </w:rPr>
              <w:t>失绿黄化</w:t>
            </w:r>
            <w:r>
              <w:rPr>
                <w:sz w:val="18"/>
                <w:szCs w:val="18"/>
                <w:spacing w:val="-47"/>
              </w:rPr>
              <w:t xml:space="preserve"> </w:t>
            </w:r>
            <w:r>
              <w:rPr>
                <w:sz w:val="18"/>
                <w:szCs w:val="18"/>
                <w:spacing w:val="15"/>
              </w:rPr>
              <w:t>，</w:t>
            </w:r>
            <w:r>
              <w:rPr>
                <w:sz w:val="18"/>
                <w:szCs w:val="18"/>
              </w:rPr>
              <w:t xml:space="preserve"> </w:t>
            </w:r>
            <w:r>
              <w:rPr>
                <w:sz w:val="21"/>
                <w:szCs w:val="21"/>
                <w:spacing w:val="7"/>
              </w:rPr>
              <w:t>容易出现</w:t>
            </w:r>
            <w:r>
              <w:rPr>
                <w:sz w:val="21"/>
                <w:szCs w:val="21"/>
              </w:rPr>
              <w:t xml:space="preserve">  </w:t>
            </w:r>
            <w:r>
              <w:rPr>
                <w:sz w:val="21"/>
                <w:szCs w:val="21"/>
                <w:spacing w:val="9"/>
              </w:rPr>
              <w:t>坏死斑点</w:t>
            </w:r>
          </w:p>
        </w:tc>
        <w:tc>
          <w:tcPr>
            <w:tcW w:w="5518" w:type="dxa"/>
            <w:vAlign w:val="top"/>
          </w:tcPr>
          <w:p>
            <w:pPr>
              <w:pStyle w:val="TableText"/>
              <w:ind w:left="250" w:right="612"/>
              <w:spacing w:before="109" w:line="354" w:lineRule="auto"/>
              <w:rPr>
                <w:rFonts w:ascii="Times New Roman" w:hAnsi="Times New Roman" w:eastAsia="Times New Roman" w:cs="Times New Roman"/>
                <w:sz w:val="21"/>
                <w:szCs w:val="21"/>
              </w:rPr>
            </w:pPr>
            <w:r>
              <w:rPr>
                <w:sz w:val="21"/>
                <w:szCs w:val="21"/>
                <w:spacing w:val="-5"/>
              </w:rPr>
              <w:t>植株均匀褪绿，老叶黄化枯死，植株瘦弱…</w:t>
            </w:r>
            <w:r>
              <w:rPr>
                <w:sz w:val="21"/>
                <w:szCs w:val="21"/>
                <w:spacing w:val="-6"/>
              </w:rPr>
              <w:t>……缺</w:t>
            </w:r>
            <w:r>
              <w:rPr>
                <w:rFonts w:ascii="Times New Roman" w:hAnsi="Times New Roman" w:eastAsia="Times New Roman" w:cs="Times New Roman"/>
                <w:sz w:val="21"/>
                <w:szCs w:val="21"/>
                <w:spacing w:val="-6"/>
              </w:rPr>
              <w:t>N</w:t>
            </w:r>
            <w:r>
              <w:rPr>
                <w:rFonts w:ascii="Times New Roman" w:hAnsi="Times New Roman" w:eastAsia="Times New Roman" w:cs="Times New Roman"/>
                <w:sz w:val="21"/>
                <w:szCs w:val="21"/>
              </w:rPr>
              <w:t xml:space="preserve"> </w:t>
            </w:r>
            <w:r>
              <w:rPr>
                <w:sz w:val="21"/>
                <w:szCs w:val="21"/>
                <w:spacing w:val="-3"/>
              </w:rPr>
              <w:t>茎叶暗绿或紫红，植株苍老，成熟延迟…   …</w:t>
            </w:r>
            <w:r>
              <w:rPr>
                <w:sz w:val="21"/>
                <w:szCs w:val="21"/>
                <w:spacing w:val="-51"/>
              </w:rPr>
              <w:t xml:space="preserve"> </w:t>
            </w:r>
            <w:r>
              <w:rPr>
                <w:sz w:val="21"/>
                <w:szCs w:val="21"/>
                <w:spacing w:val="-3"/>
              </w:rPr>
              <w:t>缺</w:t>
            </w:r>
            <w:r>
              <w:rPr>
                <w:rFonts w:ascii="Times New Roman" w:hAnsi="Times New Roman" w:eastAsia="Times New Roman" w:cs="Times New Roman"/>
                <w:sz w:val="21"/>
                <w:szCs w:val="21"/>
                <w:spacing w:val="-3"/>
              </w:rPr>
              <w:t>P</w:t>
            </w:r>
          </w:p>
          <w:p>
            <w:pPr>
              <w:spacing w:line="364" w:lineRule="auto"/>
              <w:rPr>
                <w:rFonts w:ascii="Arial"/>
                <w:sz w:val="21"/>
              </w:rPr>
            </w:pPr>
            <w:r/>
          </w:p>
          <w:p>
            <w:pPr>
              <w:pStyle w:val="TableText"/>
              <w:ind w:left="330"/>
              <w:spacing w:before="68" w:line="183" w:lineRule="auto"/>
              <w:rPr>
                <w:rFonts w:ascii="Times New Roman" w:hAnsi="Times New Roman" w:eastAsia="Times New Roman" w:cs="Times New Roman"/>
                <w:sz w:val="21"/>
                <w:szCs w:val="21"/>
              </w:rPr>
            </w:pPr>
            <w:r>
              <w:rPr>
                <w:sz w:val="21"/>
                <w:szCs w:val="21"/>
                <w:spacing w:val="3"/>
              </w:rPr>
              <w:t>老叶叶尖叶缘失绿，逐渐坏死、焦枯脱落……缺</w:t>
            </w:r>
            <w:r>
              <w:rPr>
                <w:rFonts w:ascii="Times New Roman" w:hAnsi="Times New Roman" w:eastAsia="Times New Roman" w:cs="Times New Roman"/>
                <w:sz w:val="21"/>
                <w:szCs w:val="21"/>
                <w:spacing w:val="3"/>
              </w:rPr>
              <w:t>K</w:t>
            </w:r>
          </w:p>
          <w:p>
            <w:pPr>
              <w:pStyle w:val="TableText"/>
              <w:ind w:left="330"/>
              <w:spacing w:line="210" w:lineRule="auto"/>
              <w:rPr>
                <w:rFonts w:ascii="Times New Roman" w:hAnsi="Times New Roman" w:eastAsia="Times New Roman" w:cs="Times New Roman"/>
                <w:sz w:val="21"/>
                <w:szCs w:val="21"/>
              </w:rPr>
            </w:pPr>
            <w:r>
              <w:rPr>
                <w:sz w:val="21"/>
                <w:szCs w:val="21"/>
                <w:spacing w:val="-7"/>
              </w:rPr>
              <w:t>老叶脉间失绿，残留清晰脉纹……</w:t>
            </w:r>
            <w:r>
              <w:rPr>
                <w:sz w:val="21"/>
                <w:szCs w:val="21"/>
                <w:spacing w:val="17"/>
              </w:rPr>
              <w:t xml:space="preserve">    </w:t>
            </w:r>
            <w:r>
              <w:rPr>
                <w:sz w:val="21"/>
                <w:szCs w:val="21"/>
                <w:spacing w:val="-7"/>
              </w:rPr>
              <w:t>…</w:t>
            </w:r>
            <w:r>
              <w:rPr>
                <w:sz w:val="21"/>
                <w:szCs w:val="21"/>
                <w:spacing w:val="78"/>
              </w:rPr>
              <w:t xml:space="preserve"> </w:t>
            </w:r>
            <w:r>
              <w:rPr>
                <w:sz w:val="21"/>
                <w:szCs w:val="21"/>
                <w:spacing w:val="-7"/>
              </w:rPr>
              <w:t>…</w:t>
            </w:r>
            <w:r>
              <w:rPr>
                <w:sz w:val="21"/>
                <w:szCs w:val="21"/>
                <w:spacing w:val="63"/>
              </w:rPr>
              <w:t xml:space="preserve"> </w:t>
            </w:r>
            <w:r>
              <w:rPr>
                <w:sz w:val="21"/>
                <w:szCs w:val="21"/>
                <w:spacing w:val="-7"/>
              </w:rPr>
              <w:t>缺</w:t>
            </w:r>
            <w:r>
              <w:rPr>
                <w:rFonts w:ascii="Times New Roman" w:hAnsi="Times New Roman" w:eastAsia="Times New Roman" w:cs="Times New Roman"/>
                <w:sz w:val="21"/>
                <w:szCs w:val="21"/>
                <w:spacing w:val="-7"/>
              </w:rPr>
              <w:t>Mg</w:t>
            </w:r>
          </w:p>
          <w:p>
            <w:pPr>
              <w:pStyle w:val="TableText"/>
              <w:ind w:left="330"/>
              <w:spacing w:before="12" w:line="193" w:lineRule="auto"/>
              <w:rPr>
                <w:rFonts w:ascii="Times New Roman" w:hAnsi="Times New Roman" w:eastAsia="Times New Roman" w:cs="Times New Roman"/>
                <w:sz w:val="21"/>
                <w:szCs w:val="21"/>
              </w:rPr>
            </w:pPr>
            <w:r>
              <w:rPr>
                <w:sz w:val="21"/>
                <w:szCs w:val="21"/>
                <w:spacing w:val="6"/>
              </w:rPr>
              <w:t>老叶脉间黄化或出现黄斑，叶缘上卷，有时仅中脉附近</w:t>
            </w:r>
            <w:r>
              <w:rPr>
                <w:sz w:val="21"/>
                <w:szCs w:val="21"/>
                <w:spacing w:val="2"/>
              </w:rPr>
              <w:t xml:space="preserve"> </w:t>
            </w:r>
            <w:r>
              <w:rPr>
                <w:sz w:val="21"/>
                <w:szCs w:val="21"/>
                <w:spacing w:val="-9"/>
              </w:rPr>
              <w:t>有残留叶肉</w:t>
            </w:r>
            <w:r>
              <w:rPr>
                <w:sz w:val="21"/>
                <w:szCs w:val="21"/>
                <w:spacing w:val="-81"/>
              </w:rPr>
              <w:t xml:space="preserve"> </w:t>
            </w:r>
            <w:r>
              <w:rPr>
                <w:sz w:val="21"/>
                <w:szCs w:val="21"/>
                <w:spacing w:val="-9"/>
              </w:rPr>
              <w:t>………</w:t>
            </w:r>
            <w:r>
              <w:rPr>
                <w:sz w:val="21"/>
                <w:szCs w:val="21"/>
                <w:spacing w:val="3"/>
              </w:rPr>
              <w:t xml:space="preserve">       </w:t>
            </w:r>
            <w:r>
              <w:rPr>
                <w:sz w:val="21"/>
                <w:szCs w:val="21"/>
                <w:spacing w:val="-9"/>
              </w:rPr>
              <w:t>………缺</w:t>
            </w:r>
            <w:r>
              <w:rPr>
                <w:rFonts w:ascii="Times New Roman" w:hAnsi="Times New Roman" w:eastAsia="Times New Roman" w:cs="Times New Roman"/>
                <w:sz w:val="21"/>
                <w:szCs w:val="21"/>
                <w:spacing w:val="-9"/>
              </w:rPr>
              <w:t>Mo</w:t>
            </w:r>
          </w:p>
        </w:tc>
      </w:tr>
    </w:tbl>
    <w:p>
      <w:pPr>
        <w:spacing w:line="479" w:lineRule="auto"/>
        <w:rPr>
          <w:rFonts w:ascii="Arial"/>
          <w:sz w:val="21"/>
        </w:rPr>
      </w:pPr>
      <w:r/>
    </w:p>
    <w:p>
      <w:pPr>
        <w:pStyle w:val="BodyText"/>
        <w:ind w:left="2060"/>
        <w:spacing w:before="68" w:line="219" w:lineRule="auto"/>
        <w:rPr>
          <w:rFonts w:ascii="Times New Roman" w:hAnsi="Times New Roman" w:eastAsia="Times New Roman" w:cs="Times New Roman"/>
          <w:sz w:val="21"/>
          <w:szCs w:val="21"/>
        </w:rPr>
      </w:pPr>
      <w:r>
        <w:pict>
          <v:shape id="_x0000_s34" style="position:absolute;margin-left:4.49893pt;margin-top:-1.06596pt;mso-position-vertical-relative:text;mso-position-horizontal-relative:text;width:45pt;height:36.6pt;z-index:252076032;" filled="false" stroked="false" type="#_x0000_t202">
            <v:fill on="false"/>
            <v:stroke on="false"/>
            <v:path/>
            <v:imagedata o:title=""/>
            <o:lock v:ext="edit" aspectratio="false"/>
            <v:textbox inset="0mm,0mm,0mm,0mm">
              <w:txbxContent>
                <w:p>
                  <w:pPr>
                    <w:pStyle w:val="BodyText"/>
                    <w:ind w:left="20" w:right="20"/>
                    <w:spacing w:before="18" w:line="213" w:lineRule="auto"/>
                    <w:jc w:val="both"/>
                    <w:rPr>
                      <w:sz w:val="21"/>
                      <w:szCs w:val="21"/>
                    </w:rPr>
                  </w:pPr>
                  <w:r>
                    <w:rPr>
                      <w:sz w:val="21"/>
                      <w:szCs w:val="21"/>
                      <w:spacing w:val="4"/>
                    </w:rPr>
                    <w:t>顶芽易枯</w:t>
                  </w:r>
                  <w:r>
                    <w:rPr>
                      <w:sz w:val="21"/>
                      <w:szCs w:val="21"/>
                      <w:spacing w:val="1"/>
                    </w:rPr>
                    <w:t xml:space="preserve"> </w:t>
                  </w:r>
                  <w:r>
                    <w:rPr>
                      <w:sz w:val="18"/>
                      <w:szCs w:val="18"/>
                      <w:spacing w:val="-15"/>
                    </w:rPr>
                    <w:t>死</w:t>
                  </w:r>
                  <w:r>
                    <w:rPr>
                      <w:sz w:val="18"/>
                      <w:szCs w:val="18"/>
                      <w:spacing w:val="-17"/>
                    </w:rPr>
                    <w:t xml:space="preserve"> </w:t>
                  </w:r>
                  <w:r>
                    <w:rPr>
                      <w:sz w:val="18"/>
                      <w:szCs w:val="18"/>
                      <w:spacing w:val="-15"/>
                    </w:rPr>
                    <w:t>，</w:t>
                  </w:r>
                  <w:r>
                    <w:rPr>
                      <w:sz w:val="18"/>
                      <w:szCs w:val="18"/>
                      <w:spacing w:val="-33"/>
                    </w:rPr>
                    <w:t xml:space="preserve"> </w:t>
                  </w:r>
                  <w:r>
                    <w:rPr>
                      <w:sz w:val="18"/>
                      <w:szCs w:val="18"/>
                      <w:spacing w:val="-15"/>
                    </w:rPr>
                    <w:t>幼</w:t>
                  </w:r>
                  <w:r>
                    <w:rPr>
                      <w:sz w:val="18"/>
                      <w:szCs w:val="18"/>
                      <w:spacing w:val="-22"/>
                    </w:rPr>
                    <w:t xml:space="preserve"> </w:t>
                  </w:r>
                  <w:r>
                    <w:rPr>
                      <w:sz w:val="18"/>
                      <w:szCs w:val="18"/>
                      <w:spacing w:val="-15"/>
                    </w:rPr>
                    <w:t>叶</w:t>
                  </w:r>
                  <w:r>
                    <w:rPr>
                      <w:sz w:val="18"/>
                      <w:szCs w:val="18"/>
                    </w:rPr>
                    <w:t xml:space="preserve"> </w:t>
                  </w:r>
                  <w:r>
                    <w:rPr>
                      <w:sz w:val="21"/>
                      <w:szCs w:val="21"/>
                      <w:spacing w:val="4"/>
                    </w:rPr>
                    <w:t>变形坏死</w:t>
                  </w:r>
                </w:p>
              </w:txbxContent>
            </v:textbox>
          </v:shape>
        </w:pict>
      </w:r>
      <w:r>
        <w:rPr>
          <w:sz w:val="21"/>
          <w:szCs w:val="21"/>
          <w:spacing w:val="4"/>
        </w:rPr>
        <w:t>幼叶失绿，叶尖呈钩状、卷曲或相互粘连……缺</w:t>
      </w:r>
      <w:r>
        <w:rPr>
          <w:rFonts w:ascii="Times New Roman" w:hAnsi="Times New Roman" w:eastAsia="Times New Roman" w:cs="Times New Roman"/>
          <w:sz w:val="21"/>
          <w:szCs w:val="21"/>
        </w:rPr>
        <w:t>Ca</w:t>
      </w:r>
    </w:p>
    <w:p>
      <w:pPr>
        <w:pStyle w:val="BodyText"/>
        <w:ind w:left="2010" w:right="1006"/>
        <w:spacing w:before="81" w:line="324" w:lineRule="auto"/>
        <w:rPr>
          <w:rFonts w:ascii="Times New Roman" w:hAnsi="Times New Roman" w:eastAsia="Times New Roman" w:cs="Times New Roman"/>
          <w:sz w:val="21"/>
          <w:szCs w:val="21"/>
        </w:rPr>
      </w:pPr>
      <w:r>
        <w:rPr>
          <w:sz w:val="21"/>
          <w:szCs w:val="21"/>
          <w:spacing w:val="2"/>
        </w:rPr>
        <w:t>幼叶皱缩卷曲，叶柄开裂叶簇生，花器发育不良</w:t>
      </w:r>
      <w:r>
        <w:rPr>
          <w:sz w:val="21"/>
          <w:szCs w:val="21"/>
          <w:spacing w:val="-71"/>
        </w:rPr>
        <w:t xml:space="preserve"> </w:t>
      </w:r>
      <w:r>
        <w:rPr>
          <w:sz w:val="21"/>
          <w:szCs w:val="21"/>
          <w:spacing w:val="2"/>
        </w:rPr>
        <w:t>….缺</w:t>
      </w:r>
      <w:r>
        <w:rPr>
          <w:sz w:val="21"/>
          <w:szCs w:val="21"/>
        </w:rPr>
        <w:t xml:space="preserve"> </w:t>
      </w:r>
      <w:r>
        <w:rPr>
          <w:rFonts w:ascii="Times New Roman" w:hAnsi="Times New Roman" w:eastAsia="Times New Roman" w:cs="Times New Roman"/>
          <w:sz w:val="21"/>
          <w:szCs w:val="21"/>
        </w:rPr>
        <w:t>B</w:t>
      </w:r>
    </w:p>
    <w:p>
      <w:pPr>
        <w:spacing w:before="14"/>
        <w:rPr/>
      </w:pPr>
      <w:r/>
    </w:p>
    <w:tbl>
      <w:tblPr>
        <w:tblStyle w:val="TableNormal"/>
        <w:tblW w:w="6280" w:type="dxa"/>
        <w:tblInd w:w="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905"/>
        <w:gridCol w:w="5375"/>
      </w:tblGrid>
      <w:tr>
        <w:trPr>
          <w:trHeight w:val="2060" w:hRule="atLeast"/>
        </w:trPr>
        <w:tc>
          <w:tcPr>
            <w:tcW w:w="905" w:type="dxa"/>
            <w:vAlign w:val="top"/>
          </w:tcPr>
          <w:p>
            <w:pPr>
              <w:pStyle w:val="TableText"/>
              <w:ind w:right="80"/>
              <w:spacing w:before="1" w:line="209" w:lineRule="auto"/>
              <w:jc w:val="both"/>
              <w:rPr>
                <w:rFonts w:ascii="KaiTi" w:hAnsi="KaiTi" w:eastAsia="KaiTi" w:cs="KaiTi"/>
                <w:sz w:val="24"/>
                <w:szCs w:val="24"/>
              </w:rPr>
            </w:pPr>
            <w:r>
              <w:rPr>
                <w:sz w:val="21"/>
                <w:szCs w:val="21"/>
                <w:spacing w:val="13"/>
              </w:rPr>
              <w:t>顶芽不</w:t>
            </w:r>
            <w:r>
              <w:rPr>
                <w:sz w:val="21"/>
                <w:szCs w:val="21"/>
              </w:rPr>
              <w:t xml:space="preserve">  </w:t>
            </w:r>
            <w:r>
              <w:rPr>
                <w:sz w:val="21"/>
                <w:szCs w:val="21"/>
                <w:spacing w:val="-4"/>
              </w:rPr>
              <w:t>易枯死，</w:t>
            </w:r>
            <w:r>
              <w:rPr>
                <w:sz w:val="21"/>
                <w:szCs w:val="21"/>
              </w:rPr>
              <w:t xml:space="preserve"> </w:t>
            </w:r>
            <w:r>
              <w:rPr>
                <w:sz w:val="21"/>
                <w:szCs w:val="21"/>
                <w:spacing w:val="12"/>
              </w:rPr>
              <w:t>幼叶缺</w:t>
            </w:r>
            <w:r>
              <w:rPr>
                <w:sz w:val="21"/>
                <w:szCs w:val="21"/>
              </w:rPr>
              <w:t xml:space="preserve">  </w:t>
            </w:r>
            <w:r>
              <w:rPr>
                <w:sz w:val="18"/>
                <w:szCs w:val="18"/>
                <w:spacing w:val="-9"/>
              </w:rPr>
              <w:t>绿</w:t>
            </w:r>
            <w:r>
              <w:rPr>
                <w:sz w:val="18"/>
                <w:szCs w:val="18"/>
                <w:spacing w:val="-12"/>
              </w:rPr>
              <w:t xml:space="preserve"> </w:t>
            </w:r>
            <w:r>
              <w:rPr>
                <w:sz w:val="18"/>
                <w:szCs w:val="18"/>
                <w:spacing w:val="-9"/>
              </w:rPr>
              <w:t>或</w:t>
            </w:r>
            <w:r>
              <w:rPr>
                <w:sz w:val="18"/>
                <w:szCs w:val="18"/>
                <w:spacing w:val="-14"/>
              </w:rPr>
              <w:t xml:space="preserve"> </w:t>
            </w:r>
            <w:r>
              <w:rPr>
                <w:sz w:val="18"/>
                <w:szCs w:val="18"/>
                <w:spacing w:val="-9"/>
              </w:rPr>
              <w:t>萎</w:t>
            </w:r>
            <w:r>
              <w:rPr>
                <w:sz w:val="18"/>
                <w:szCs w:val="18"/>
              </w:rPr>
              <w:t xml:space="preserve">  </w:t>
            </w:r>
            <w:r>
              <w:rPr>
                <w:rFonts w:ascii="KaiTi" w:hAnsi="KaiTi" w:eastAsia="KaiTi" w:cs="KaiTi"/>
                <w:sz w:val="24"/>
                <w:szCs w:val="24"/>
              </w:rPr>
              <w:t>蔫</w:t>
            </w:r>
          </w:p>
        </w:tc>
        <w:tc>
          <w:tcPr>
            <w:tcW w:w="5375" w:type="dxa"/>
            <w:vAlign w:val="top"/>
          </w:tcPr>
          <w:p>
            <w:pPr>
              <w:pStyle w:val="TableText"/>
              <w:ind w:right="21"/>
              <w:spacing w:before="268" w:line="214" w:lineRule="auto"/>
              <w:jc w:val="right"/>
              <w:rPr>
                <w:rFonts w:ascii="Times New Roman" w:hAnsi="Times New Roman" w:eastAsia="Times New Roman" w:cs="Times New Roman"/>
                <w:sz w:val="19"/>
                <w:szCs w:val="19"/>
              </w:rPr>
            </w:pPr>
            <w:r>
              <w:rPr>
                <w:sz w:val="19"/>
                <w:szCs w:val="19"/>
                <w:spacing w:val="16"/>
              </w:rPr>
              <w:t>新梢、嫩茎节间短，小叶丛生，叶脉间失绿黄斑</w:t>
            </w:r>
            <w:r>
              <w:rPr>
                <w:sz w:val="19"/>
                <w:szCs w:val="19"/>
                <w:spacing w:val="-51"/>
              </w:rPr>
              <w:t xml:space="preserve"> </w:t>
            </w:r>
            <w:r>
              <w:rPr>
                <w:sz w:val="19"/>
                <w:szCs w:val="19"/>
                <w:spacing w:val="16"/>
              </w:rPr>
              <w:t>…</w:t>
            </w:r>
            <w:r>
              <w:rPr>
                <w:sz w:val="19"/>
                <w:szCs w:val="19"/>
                <w:spacing w:val="-62"/>
              </w:rPr>
              <w:t xml:space="preserve"> </w:t>
            </w:r>
            <w:r>
              <w:rPr>
                <w:sz w:val="19"/>
                <w:szCs w:val="19"/>
                <w:spacing w:val="16"/>
              </w:rPr>
              <w:t>.缺</w:t>
            </w:r>
            <w:r>
              <w:rPr>
                <w:rFonts w:ascii="Times New Roman" w:hAnsi="Times New Roman" w:eastAsia="Times New Roman" w:cs="Times New Roman"/>
                <w:sz w:val="19"/>
                <w:szCs w:val="19"/>
              </w:rPr>
              <w:t>Zn</w:t>
            </w:r>
          </w:p>
          <w:p>
            <w:pPr>
              <w:pStyle w:val="TableText"/>
              <w:ind w:left="215"/>
              <w:spacing w:line="203" w:lineRule="auto"/>
              <w:rPr>
                <w:rFonts w:ascii="Times New Roman" w:hAnsi="Times New Roman" w:eastAsia="Times New Roman" w:cs="Times New Roman"/>
                <w:sz w:val="19"/>
                <w:szCs w:val="19"/>
              </w:rPr>
            </w:pPr>
            <w:r>
              <w:rPr>
                <w:sz w:val="19"/>
                <w:szCs w:val="19"/>
                <w:spacing w:val="16"/>
              </w:rPr>
              <w:t>新叶黄化、褪绿均匀，生育期延迟</w:t>
            </w:r>
            <w:r>
              <w:rPr>
                <w:sz w:val="19"/>
                <w:szCs w:val="19"/>
                <w:spacing w:val="-43"/>
              </w:rPr>
              <w:t xml:space="preserve"> </w:t>
            </w:r>
            <w:r>
              <w:rPr>
                <w:sz w:val="19"/>
                <w:szCs w:val="19"/>
                <w:spacing w:val="16"/>
              </w:rPr>
              <w:t>…</w:t>
            </w:r>
            <w:r>
              <w:rPr>
                <w:sz w:val="19"/>
                <w:szCs w:val="19"/>
                <w:spacing w:val="-44"/>
              </w:rPr>
              <w:t xml:space="preserve"> </w:t>
            </w:r>
            <w:r>
              <w:rPr>
                <w:sz w:val="19"/>
                <w:szCs w:val="19"/>
                <w:spacing w:val="16"/>
              </w:rPr>
              <w:t>…    …</w:t>
            </w:r>
            <w:r>
              <w:rPr>
                <w:sz w:val="19"/>
                <w:szCs w:val="19"/>
                <w:spacing w:val="48"/>
              </w:rPr>
              <w:t xml:space="preserve"> </w:t>
            </w:r>
            <w:r>
              <w:rPr>
                <w:sz w:val="19"/>
                <w:szCs w:val="19"/>
                <w:spacing w:val="16"/>
              </w:rPr>
              <w:t>…</w:t>
            </w:r>
            <w:r>
              <w:rPr>
                <w:sz w:val="19"/>
                <w:szCs w:val="19"/>
                <w:spacing w:val="35"/>
              </w:rPr>
              <w:t xml:space="preserve"> </w:t>
            </w:r>
            <w:r>
              <w:rPr>
                <w:sz w:val="19"/>
                <w:szCs w:val="19"/>
                <w:spacing w:val="16"/>
              </w:rPr>
              <w:t>缺</w:t>
            </w:r>
            <w:r>
              <w:rPr>
                <w:rFonts w:ascii="Times New Roman" w:hAnsi="Times New Roman" w:eastAsia="Times New Roman" w:cs="Times New Roman"/>
                <w:sz w:val="19"/>
                <w:szCs w:val="19"/>
                <w:spacing w:val="16"/>
              </w:rPr>
              <w:t>S</w:t>
            </w:r>
          </w:p>
          <w:p>
            <w:pPr>
              <w:pStyle w:val="TableText"/>
              <w:ind w:left="215"/>
              <w:spacing w:before="1" w:line="215" w:lineRule="auto"/>
              <w:jc w:val="both"/>
              <w:rPr>
                <w:rFonts w:ascii="Times New Roman" w:hAnsi="Times New Roman" w:eastAsia="Times New Roman" w:cs="Times New Roman"/>
                <w:sz w:val="19"/>
                <w:szCs w:val="19"/>
              </w:rPr>
            </w:pPr>
            <w:r>
              <w:rPr>
                <w:sz w:val="19"/>
                <w:szCs w:val="19"/>
                <w:spacing w:val="17"/>
              </w:rPr>
              <w:t>新叶脉间失绿，体色褪淡，叶面常有褐色斑点</w:t>
            </w:r>
            <w:r>
              <w:rPr>
                <w:sz w:val="19"/>
                <w:szCs w:val="19"/>
                <w:spacing w:val="-39"/>
              </w:rPr>
              <w:t xml:space="preserve"> </w:t>
            </w:r>
            <w:r>
              <w:rPr>
                <w:sz w:val="19"/>
                <w:szCs w:val="19"/>
                <w:spacing w:val="17"/>
              </w:rPr>
              <w:t>…</w:t>
            </w:r>
            <w:r>
              <w:rPr>
                <w:sz w:val="19"/>
                <w:szCs w:val="19"/>
                <w:spacing w:val="-50"/>
              </w:rPr>
              <w:t xml:space="preserve"> </w:t>
            </w:r>
            <w:r>
              <w:rPr>
                <w:sz w:val="19"/>
                <w:szCs w:val="19"/>
                <w:spacing w:val="17"/>
              </w:rPr>
              <w:t>…</w:t>
            </w:r>
            <w:r>
              <w:rPr>
                <w:sz w:val="19"/>
                <w:szCs w:val="19"/>
                <w:spacing w:val="-63"/>
              </w:rPr>
              <w:t xml:space="preserve"> </w:t>
            </w:r>
            <w:r>
              <w:rPr>
                <w:sz w:val="19"/>
                <w:szCs w:val="19"/>
                <w:spacing w:val="17"/>
              </w:rPr>
              <w:t>缺</w:t>
            </w:r>
            <w:r>
              <w:rPr>
                <w:rFonts w:ascii="Times New Roman" w:hAnsi="Times New Roman" w:eastAsia="Times New Roman" w:cs="Times New Roman"/>
                <w:sz w:val="19"/>
                <w:szCs w:val="19"/>
              </w:rPr>
              <w:t>Mn </w:t>
            </w:r>
            <w:r>
              <w:rPr>
                <w:sz w:val="19"/>
                <w:szCs w:val="19"/>
                <w:spacing w:val="18"/>
              </w:rPr>
              <w:t>新叶黄白化或白色斑，扭曲，果、穗发育不良</w:t>
            </w:r>
            <w:r>
              <w:rPr>
                <w:sz w:val="19"/>
                <w:szCs w:val="19"/>
                <w:spacing w:val="-36"/>
              </w:rPr>
              <w:t xml:space="preserve"> </w:t>
            </w:r>
            <w:r>
              <w:rPr>
                <w:sz w:val="19"/>
                <w:szCs w:val="19"/>
                <w:spacing w:val="18"/>
              </w:rPr>
              <w:t>…</w:t>
            </w:r>
            <w:r>
              <w:rPr>
                <w:sz w:val="19"/>
                <w:szCs w:val="19"/>
                <w:spacing w:val="-50"/>
              </w:rPr>
              <w:t xml:space="preserve"> </w:t>
            </w:r>
            <w:r>
              <w:rPr>
                <w:sz w:val="19"/>
                <w:szCs w:val="19"/>
                <w:spacing w:val="18"/>
              </w:rPr>
              <w:t>…</w:t>
            </w:r>
            <w:r>
              <w:rPr>
                <w:sz w:val="19"/>
                <w:szCs w:val="19"/>
                <w:spacing w:val="-62"/>
              </w:rPr>
              <w:t xml:space="preserve"> </w:t>
            </w:r>
            <w:r>
              <w:rPr>
                <w:sz w:val="19"/>
                <w:szCs w:val="19"/>
                <w:spacing w:val="18"/>
              </w:rPr>
              <w:t>缺</w:t>
            </w:r>
            <w:r>
              <w:rPr>
                <w:rFonts w:ascii="Times New Roman" w:hAnsi="Times New Roman" w:eastAsia="Times New Roman" w:cs="Times New Roman"/>
                <w:sz w:val="19"/>
                <w:szCs w:val="19"/>
              </w:rPr>
              <w:t>Cu </w:t>
            </w:r>
            <w:r>
              <w:rPr>
                <w:sz w:val="19"/>
                <w:szCs w:val="19"/>
                <w:spacing w:val="21"/>
              </w:rPr>
              <w:t>顶芽及新叶脉间失绿，幼叶常白化</w:t>
            </w:r>
            <w:r>
              <w:rPr>
                <w:sz w:val="19"/>
                <w:szCs w:val="19"/>
                <w:spacing w:val="-43"/>
              </w:rPr>
              <w:t xml:space="preserve"> </w:t>
            </w:r>
            <w:r>
              <w:rPr>
                <w:sz w:val="19"/>
                <w:szCs w:val="19"/>
                <w:spacing w:val="21"/>
              </w:rPr>
              <w:t>…</w:t>
            </w:r>
            <w:r>
              <w:rPr>
                <w:sz w:val="19"/>
                <w:szCs w:val="19"/>
                <w:spacing w:val="-43"/>
              </w:rPr>
              <w:t xml:space="preserve"> </w:t>
            </w:r>
            <w:r>
              <w:rPr>
                <w:sz w:val="19"/>
                <w:szCs w:val="19"/>
                <w:spacing w:val="21"/>
              </w:rPr>
              <w:t>…</w:t>
            </w:r>
            <w:r>
              <w:rPr>
                <w:sz w:val="19"/>
                <w:szCs w:val="19"/>
                <w:spacing w:val="5"/>
              </w:rPr>
              <w:t xml:space="preserve">    </w:t>
            </w:r>
            <w:r>
              <w:rPr>
                <w:sz w:val="19"/>
                <w:szCs w:val="19"/>
                <w:spacing w:val="21"/>
              </w:rPr>
              <w:t>………缺</w:t>
            </w:r>
            <w:r>
              <w:rPr>
                <w:rFonts w:ascii="Times New Roman" w:hAnsi="Times New Roman" w:eastAsia="Times New Roman" w:cs="Times New Roman"/>
                <w:sz w:val="19"/>
                <w:szCs w:val="19"/>
              </w:rPr>
              <w:t>Fe</w:t>
            </w:r>
          </w:p>
          <w:p>
            <w:pPr>
              <w:spacing w:line="350" w:lineRule="auto"/>
              <w:rPr>
                <w:rFonts w:ascii="Arial"/>
                <w:sz w:val="21"/>
              </w:rPr>
            </w:pPr>
            <w:r/>
          </w:p>
          <w:p>
            <w:pPr>
              <w:pStyle w:val="TableText"/>
              <w:ind w:left="185"/>
              <w:spacing w:before="84" w:line="177" w:lineRule="auto"/>
              <w:rPr>
                <w:sz w:val="26"/>
                <w:szCs w:val="26"/>
              </w:rPr>
            </w:pPr>
            <w:r>
              <w:rPr>
                <w:sz w:val="26"/>
                <w:szCs w:val="26"/>
                <w:spacing w:val="-9"/>
              </w:rPr>
              <w:t>图6-2-45缺素症分析结构图</w:t>
            </w:r>
          </w:p>
        </w:tc>
      </w:tr>
    </w:tbl>
    <w:p>
      <w:pPr>
        <w:spacing w:line="14" w:lineRule="auto"/>
        <w:rPr>
          <w:rFonts w:ascii="Arial"/>
          <w:sz w:val="2"/>
        </w:rPr>
      </w:pPr>
      <w:r/>
    </w:p>
    <w:p>
      <w:pPr>
        <w:spacing w:line="14" w:lineRule="auto"/>
        <w:sectPr>
          <w:type w:val="continuous"/>
          <w:pgSz w:w="14490" w:h="20470"/>
          <w:pgMar w:top="400" w:right="1795" w:bottom="1395" w:left="2150" w:header="0" w:footer="1233" w:gutter="0"/>
          <w:cols w:equalWidth="0" w:num="2">
            <w:col w:w="2410" w:space="100"/>
            <w:col w:w="8035" w:space="0"/>
          </w:cols>
        </w:sectPr>
        <w:rPr>
          <w:rFonts w:ascii="Arial" w:hAnsi="Arial" w:eastAsia="Arial" w:cs="Arial"/>
          <w:sz w:val="2"/>
          <w:szCs w:val="2"/>
        </w:rPr>
      </w:pP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BodyText"/>
        <w:ind w:firstLine="725"/>
        <w:spacing w:line="5930" w:lineRule="exact"/>
        <w:rPr/>
      </w:pPr>
      <w:r>
        <w:rPr>
          <w:position w:val="-118"/>
        </w:rPr>
        <w:pict>
          <v:group id="_x0000_s36" style="mso-position-vertical-relative:line;mso-position-horizontal-relative:char;width:455.05pt;height:296.5pt;" filled="false" stroked="false" coordsize="9100,5930" coordorigin="0,0">
            <v:shape id="_x0000_s38" style="position:absolute;left:0;top:0;width:9100;height:5930;" filled="false" stroked="false" type="#_x0000_t75">
              <v:imagedata o:title="" r:id="rId314"/>
            </v:shape>
            <v:shape id="_x0000_s40" style="position:absolute;left:5949;top:254;width:3052;height:5275;" filled="false" stroked="false" type="#_x0000_t202">
              <v:fill on="false"/>
              <v:stroke on="false"/>
              <v:path/>
              <v:imagedata o:title=""/>
              <o:lock v:ext="edit" aspectratio="false"/>
              <v:textbox inset="0mm,0mm,0mm,0mm">
                <w:txbxContent>
                  <w:p>
                    <w:pPr>
                      <w:ind w:left="950"/>
                      <w:spacing w:before="20" w:line="220" w:lineRule="auto"/>
                      <w:rPr>
                        <w:rFonts w:ascii="SimSun" w:hAnsi="SimSun" w:eastAsia="SimSun" w:cs="SimSun"/>
                        <w:sz w:val="34"/>
                        <w:szCs w:val="34"/>
                      </w:rPr>
                    </w:pPr>
                    <w:r>
                      <w:rPr>
                        <w:rFonts w:ascii="SimSun" w:hAnsi="SimSun" w:eastAsia="SimSun" w:cs="SimSun"/>
                        <w:sz w:val="34"/>
                        <w:szCs w:val="34"/>
                        <w:spacing w:val="39"/>
                      </w:rPr>
                      <w:t>[缺钙]</w:t>
                    </w:r>
                  </w:p>
                  <w:p>
                    <w:pPr>
                      <w:ind w:left="230"/>
                      <w:spacing w:before="11" w:line="219" w:lineRule="auto"/>
                      <w:rPr>
                        <w:rFonts w:ascii="SimSun" w:hAnsi="SimSun" w:eastAsia="SimSun" w:cs="SimSun"/>
                        <w:sz w:val="27"/>
                        <w:szCs w:val="27"/>
                      </w:rPr>
                    </w:pPr>
                    <w:r>
                      <w:rPr>
                        <w:rFonts w:ascii="SimSun" w:hAnsi="SimSun" w:eastAsia="SimSun" w:cs="SimSun"/>
                        <w:sz w:val="27"/>
                        <w:szCs w:val="27"/>
                        <w:spacing w:val="20"/>
                      </w:rPr>
                      <w:t>生长点异常，易裂果</w:t>
                    </w:r>
                  </w:p>
                  <w:p>
                    <w:pPr>
                      <w:ind w:left="639" w:right="658" w:hanging="229"/>
                      <w:spacing w:before="201" w:line="213" w:lineRule="auto"/>
                      <w:rPr>
                        <w:rFonts w:ascii="SimSun" w:hAnsi="SimSun" w:eastAsia="SimSun" w:cs="SimSun"/>
                        <w:sz w:val="27"/>
                        <w:szCs w:val="27"/>
                      </w:rPr>
                    </w:pPr>
                    <w:r>
                      <w:rPr>
                        <w:rFonts w:ascii="SimSun" w:hAnsi="SimSun" w:eastAsia="SimSun" w:cs="SimSun"/>
                        <w:sz w:val="32"/>
                        <w:szCs w:val="32"/>
                        <w:spacing w:val="-27"/>
                      </w:rPr>
                      <w:t>[</w:t>
                    </w:r>
                    <w:r>
                      <w:rPr>
                        <w:rFonts w:ascii="SimSun" w:hAnsi="SimSun" w:eastAsia="SimSun" w:cs="SimSun"/>
                        <w:sz w:val="32"/>
                        <w:szCs w:val="32"/>
                        <w:spacing w:val="-55"/>
                      </w:rPr>
                      <w:t xml:space="preserve"> </w:t>
                    </w:r>
                    <w:r>
                      <w:rPr>
                        <w:rFonts w:ascii="SimSun" w:hAnsi="SimSun" w:eastAsia="SimSun" w:cs="SimSun"/>
                        <w:sz w:val="32"/>
                        <w:szCs w:val="32"/>
                        <w:spacing w:val="-27"/>
                      </w:rPr>
                      <w:t>影</w:t>
                    </w:r>
                    <w:r>
                      <w:rPr>
                        <w:rFonts w:ascii="SimSun" w:hAnsi="SimSun" w:eastAsia="SimSun" w:cs="SimSun"/>
                        <w:sz w:val="32"/>
                        <w:szCs w:val="32"/>
                        <w:spacing w:val="-42"/>
                      </w:rPr>
                      <w:t xml:space="preserve"> </w:t>
                    </w:r>
                    <w:r>
                      <w:rPr>
                        <w:rFonts w:ascii="SimSun" w:hAnsi="SimSun" w:eastAsia="SimSun" w:cs="SimSun"/>
                        <w:sz w:val="32"/>
                        <w:szCs w:val="32"/>
                        <w:spacing w:val="-27"/>
                      </w:rPr>
                      <w:t>响</w:t>
                    </w:r>
                    <w:r>
                      <w:rPr>
                        <w:rFonts w:ascii="SimSun" w:hAnsi="SimSun" w:eastAsia="SimSun" w:cs="SimSun"/>
                        <w:sz w:val="32"/>
                        <w:szCs w:val="32"/>
                        <w:spacing w:val="-57"/>
                      </w:rPr>
                      <w:t xml:space="preserve"> </w:t>
                    </w:r>
                    <w:r>
                      <w:rPr>
                        <w:rFonts w:ascii="SimSun" w:hAnsi="SimSun" w:eastAsia="SimSun" w:cs="SimSun"/>
                        <w:sz w:val="32"/>
                        <w:szCs w:val="32"/>
                        <w:spacing w:val="-27"/>
                      </w:rPr>
                      <w:t>花</w:t>
                    </w:r>
                    <w:r>
                      <w:rPr>
                        <w:rFonts w:ascii="SimSun" w:hAnsi="SimSun" w:eastAsia="SimSun" w:cs="SimSun"/>
                        <w:sz w:val="32"/>
                        <w:szCs w:val="32"/>
                        <w:spacing w:val="-52"/>
                      </w:rPr>
                      <w:t xml:space="preserve"> </w:t>
                    </w:r>
                    <w:r>
                      <w:rPr>
                        <w:rFonts w:ascii="SimSun" w:hAnsi="SimSun" w:eastAsia="SimSun" w:cs="SimSun"/>
                        <w:sz w:val="32"/>
                        <w:szCs w:val="32"/>
                        <w:spacing w:val="-27"/>
                      </w:rPr>
                      <w:t>果</w:t>
                    </w:r>
                    <w:r>
                      <w:rPr>
                        <w:rFonts w:ascii="SimSun" w:hAnsi="SimSun" w:eastAsia="SimSun" w:cs="SimSun"/>
                        <w:sz w:val="32"/>
                        <w:szCs w:val="32"/>
                        <w:spacing w:val="-50"/>
                      </w:rPr>
                      <w:t xml:space="preserve"> </w:t>
                    </w:r>
                    <w:r>
                      <w:rPr>
                        <w:rFonts w:ascii="SimSun" w:hAnsi="SimSun" w:eastAsia="SimSun" w:cs="SimSun"/>
                        <w:sz w:val="32"/>
                        <w:szCs w:val="32"/>
                        <w:spacing w:val="-27"/>
                      </w:rPr>
                      <w:t>]</w:t>
                    </w:r>
                    <w:r>
                      <w:rPr>
                        <w:rFonts w:ascii="SimSun" w:hAnsi="SimSun" w:eastAsia="SimSun" w:cs="SimSun"/>
                        <w:sz w:val="32"/>
                        <w:szCs w:val="32"/>
                      </w:rPr>
                      <w:t xml:space="preserve"> </w:t>
                    </w:r>
                    <w:r>
                      <w:rPr>
                        <w:rFonts w:ascii="SimSun" w:hAnsi="SimSun" w:eastAsia="SimSun" w:cs="SimSun"/>
                        <w:sz w:val="27"/>
                        <w:szCs w:val="27"/>
                        <w:spacing w:val="24"/>
                      </w:rPr>
                      <w:t>磷/钾/硼/钙</w:t>
                    </w:r>
                  </w:p>
                  <w:p>
                    <w:pPr>
                      <w:ind w:left="880"/>
                      <w:spacing w:before="191" w:line="220" w:lineRule="auto"/>
                      <w:rPr>
                        <w:rFonts w:ascii="SimSun" w:hAnsi="SimSun" w:eastAsia="SimSun" w:cs="SimSun"/>
                        <w:sz w:val="33"/>
                        <w:szCs w:val="33"/>
                      </w:rPr>
                    </w:pPr>
                    <w:r>
                      <w:rPr>
                        <w:rFonts w:ascii="SimSun" w:hAnsi="SimSun" w:eastAsia="SimSun" w:cs="SimSun"/>
                        <w:sz w:val="33"/>
                        <w:szCs w:val="33"/>
                        <w:spacing w:val="-23"/>
                      </w:rPr>
                      <w:t>[</w:t>
                    </w:r>
                    <w:r>
                      <w:rPr>
                        <w:rFonts w:ascii="SimSun" w:hAnsi="SimSun" w:eastAsia="SimSun" w:cs="SimSun"/>
                        <w:sz w:val="33"/>
                        <w:szCs w:val="33"/>
                        <w:spacing w:val="-75"/>
                      </w:rPr>
                      <w:t xml:space="preserve"> </w:t>
                    </w:r>
                    <w:r>
                      <w:rPr>
                        <w:rFonts w:ascii="SimSun" w:hAnsi="SimSun" w:eastAsia="SimSun" w:cs="SimSun"/>
                        <w:sz w:val="33"/>
                        <w:szCs w:val="33"/>
                        <w:spacing w:val="-23"/>
                      </w:rPr>
                      <w:t>缺</w:t>
                    </w:r>
                    <w:r>
                      <w:rPr>
                        <w:rFonts w:ascii="SimSun" w:hAnsi="SimSun" w:eastAsia="SimSun" w:cs="SimSun"/>
                        <w:sz w:val="33"/>
                        <w:szCs w:val="33"/>
                        <w:spacing w:val="-76"/>
                      </w:rPr>
                      <w:t xml:space="preserve"> </w:t>
                    </w:r>
                    <w:r>
                      <w:rPr>
                        <w:rFonts w:ascii="SimSun" w:hAnsi="SimSun" w:eastAsia="SimSun" w:cs="SimSun"/>
                        <w:sz w:val="33"/>
                        <w:szCs w:val="33"/>
                        <w:spacing w:val="-23"/>
                      </w:rPr>
                      <w:t>锰</w:t>
                    </w:r>
                    <w:r>
                      <w:rPr>
                        <w:rFonts w:ascii="SimSun" w:hAnsi="SimSun" w:eastAsia="SimSun" w:cs="SimSun"/>
                        <w:sz w:val="33"/>
                        <w:szCs w:val="33"/>
                        <w:spacing w:val="-66"/>
                      </w:rPr>
                      <w:t xml:space="preserve"> </w:t>
                    </w:r>
                    <w:r>
                      <w:rPr>
                        <w:rFonts w:ascii="SimSun" w:hAnsi="SimSun" w:eastAsia="SimSun" w:cs="SimSun"/>
                        <w:sz w:val="33"/>
                        <w:szCs w:val="33"/>
                        <w:spacing w:val="-23"/>
                      </w:rPr>
                      <w:t>]</w:t>
                    </w:r>
                  </w:p>
                  <w:p>
                    <w:pPr>
                      <w:ind w:left="120"/>
                      <w:spacing w:before="2" w:line="219" w:lineRule="auto"/>
                      <w:rPr>
                        <w:rFonts w:ascii="SimSun" w:hAnsi="SimSun" w:eastAsia="SimSun" w:cs="SimSun"/>
                        <w:sz w:val="26"/>
                        <w:szCs w:val="26"/>
                      </w:rPr>
                    </w:pPr>
                    <w:r>
                      <w:rPr>
                        <w:rFonts w:ascii="SimSun" w:hAnsi="SimSun" w:eastAsia="SimSun" w:cs="SimSun"/>
                        <w:sz w:val="26"/>
                        <w:szCs w:val="26"/>
                        <w:spacing w:val="27"/>
                      </w:rPr>
                      <w:t>新叶黄化，叶片失绿</w:t>
                    </w:r>
                  </w:p>
                  <w:p>
                    <w:pPr>
                      <w:ind w:left="400"/>
                      <w:spacing w:before="225" w:line="220" w:lineRule="auto"/>
                      <w:rPr>
                        <w:rFonts w:ascii="SimSun" w:hAnsi="SimSun" w:eastAsia="SimSun" w:cs="SimSun"/>
                        <w:sz w:val="32"/>
                        <w:szCs w:val="32"/>
                      </w:rPr>
                    </w:pPr>
                    <w:r>
                      <w:rPr>
                        <w:rFonts w:ascii="SimSun" w:hAnsi="SimSun" w:eastAsia="SimSun" w:cs="SimSun"/>
                        <w:sz w:val="32"/>
                        <w:szCs w:val="32"/>
                        <w:spacing w:val="-22"/>
                      </w:rPr>
                      <w:t>—[ 缺 镁</w:t>
                    </w:r>
                    <w:r>
                      <w:rPr>
                        <w:rFonts w:ascii="SimSun" w:hAnsi="SimSun" w:eastAsia="SimSun" w:cs="SimSun"/>
                        <w:sz w:val="32"/>
                        <w:szCs w:val="32"/>
                        <w:spacing w:val="-3"/>
                      </w:rPr>
                      <w:t xml:space="preserve"> </w:t>
                    </w:r>
                    <w:r>
                      <w:rPr>
                        <w:rFonts w:ascii="SimSun" w:hAnsi="SimSun" w:eastAsia="SimSun" w:cs="SimSun"/>
                        <w:sz w:val="32"/>
                        <w:szCs w:val="32"/>
                        <w:spacing w:val="-22"/>
                      </w:rPr>
                      <w:t>]</w:t>
                    </w:r>
                  </w:p>
                  <w:p>
                    <w:pPr>
                      <w:ind w:left="190"/>
                      <w:spacing w:before="24" w:line="219" w:lineRule="auto"/>
                      <w:rPr>
                        <w:rFonts w:ascii="SimSun" w:hAnsi="SimSun" w:eastAsia="SimSun" w:cs="SimSun"/>
                        <w:sz w:val="24"/>
                        <w:szCs w:val="24"/>
                      </w:rPr>
                    </w:pPr>
                    <w:r>
                      <w:rPr>
                        <w:rFonts w:ascii="SimSun" w:hAnsi="SimSun" w:eastAsia="SimSun" w:cs="SimSun"/>
                        <w:sz w:val="24"/>
                        <w:szCs w:val="24"/>
                        <w:spacing w:val="33"/>
                      </w:rPr>
                      <w:t>中下部叶斑块状黄化</w:t>
                    </w:r>
                  </w:p>
                  <w:p>
                    <w:pPr>
                      <w:ind w:left="20"/>
                      <w:spacing w:before="198" w:line="219" w:lineRule="auto"/>
                      <w:rPr>
                        <w:rFonts w:ascii="SimSun" w:hAnsi="SimSun" w:eastAsia="SimSun" w:cs="SimSun"/>
                        <w:sz w:val="33"/>
                        <w:szCs w:val="33"/>
                      </w:rPr>
                    </w:pPr>
                    <w:r>
                      <w:rPr>
                        <w:rFonts w:ascii="SimSun" w:hAnsi="SimSun" w:eastAsia="SimSun" w:cs="SimSun"/>
                        <w:sz w:val="33"/>
                        <w:szCs w:val="33"/>
                        <w:spacing w:val="-20"/>
                        <w:w w:val="74"/>
                      </w:rPr>
                      <w:t>—</w:t>
                    </w:r>
                    <w:r>
                      <w:rPr>
                        <w:rFonts w:ascii="SimSun" w:hAnsi="SimSun" w:eastAsia="SimSun" w:cs="SimSun"/>
                        <w:sz w:val="33"/>
                        <w:szCs w:val="33"/>
                        <w:spacing w:val="13"/>
                      </w:rPr>
                      <w:t xml:space="preserve">   </w:t>
                    </w:r>
                    <w:r>
                      <w:rPr>
                        <w:rFonts w:ascii="SimSun" w:hAnsi="SimSun" w:eastAsia="SimSun" w:cs="SimSun"/>
                        <w:sz w:val="33"/>
                        <w:szCs w:val="33"/>
                        <w:spacing w:val="-20"/>
                        <w:w w:val="74"/>
                      </w:rPr>
                      <w:t>—[</w:t>
                    </w:r>
                    <w:r>
                      <w:rPr>
                        <w:rFonts w:ascii="SimSun" w:hAnsi="SimSun" w:eastAsia="SimSun" w:cs="SimSun"/>
                        <w:sz w:val="33"/>
                        <w:szCs w:val="33"/>
                        <w:spacing w:val="-72"/>
                      </w:rPr>
                      <w:t xml:space="preserve"> </w:t>
                    </w:r>
                    <w:r>
                      <w:rPr>
                        <w:rFonts w:ascii="SimSun" w:hAnsi="SimSun" w:eastAsia="SimSun" w:cs="SimSun"/>
                        <w:sz w:val="33"/>
                        <w:szCs w:val="33"/>
                        <w:spacing w:val="-7"/>
                      </w:rPr>
                      <w:t>缺</w:t>
                    </w:r>
                    <w:r>
                      <w:rPr>
                        <w:rFonts w:ascii="SimSun" w:hAnsi="SimSun" w:eastAsia="SimSun" w:cs="SimSun"/>
                        <w:sz w:val="33"/>
                        <w:szCs w:val="33"/>
                        <w:spacing w:val="-72"/>
                      </w:rPr>
                      <w:t xml:space="preserve"> </w:t>
                    </w:r>
                    <w:r>
                      <w:rPr>
                        <w:rFonts w:ascii="SimSun" w:hAnsi="SimSun" w:eastAsia="SimSun" w:cs="SimSun"/>
                        <w:sz w:val="33"/>
                        <w:szCs w:val="33"/>
                        <w:spacing w:val="-7"/>
                      </w:rPr>
                      <w:t>磷</w:t>
                    </w:r>
                    <w:r>
                      <w:rPr>
                        <w:rFonts w:ascii="SimSun" w:hAnsi="SimSun" w:eastAsia="SimSun" w:cs="SimSun"/>
                        <w:sz w:val="33"/>
                        <w:szCs w:val="33"/>
                        <w:spacing w:val="-64"/>
                      </w:rPr>
                      <w:t xml:space="preserve"> </w:t>
                    </w:r>
                    <w:r>
                      <w:rPr>
                        <w:rFonts w:ascii="SimSun" w:hAnsi="SimSun" w:eastAsia="SimSun" w:cs="SimSun"/>
                        <w:sz w:val="33"/>
                        <w:szCs w:val="33"/>
                        <w:spacing w:val="-7"/>
                      </w:rPr>
                      <w:t>]</w:t>
                    </w:r>
                  </w:p>
                  <w:p>
                    <w:pPr>
                      <w:ind w:right="20"/>
                      <w:spacing w:before="16" w:line="219" w:lineRule="auto"/>
                      <w:jc w:val="right"/>
                      <w:rPr>
                        <w:rFonts w:ascii="SimSun" w:hAnsi="SimSun" w:eastAsia="SimSun" w:cs="SimSun"/>
                        <w:sz w:val="27"/>
                        <w:szCs w:val="27"/>
                      </w:rPr>
                    </w:pPr>
                    <w:r>
                      <w:rPr>
                        <w:rFonts w:ascii="SimSun" w:hAnsi="SimSun" w:eastAsia="SimSun" w:cs="SimSun"/>
                        <w:sz w:val="27"/>
                        <w:szCs w:val="27"/>
                        <w:spacing w:val="21"/>
                      </w:rPr>
                      <w:t>叶片紫红色，植株矮小</w:t>
                    </w:r>
                  </w:p>
                  <w:p>
                    <w:pPr>
                      <w:ind w:left="120" w:right="339" w:firstLine="209"/>
                      <w:spacing w:before="253" w:line="229" w:lineRule="auto"/>
                      <w:rPr>
                        <w:rFonts w:ascii="SimSun" w:hAnsi="SimSun" w:eastAsia="SimSun" w:cs="SimSun"/>
                        <w:sz w:val="26"/>
                        <w:szCs w:val="26"/>
                      </w:rPr>
                    </w:pPr>
                    <w:r>
                      <w:rPr>
                        <w:rFonts w:ascii="SimSun" w:hAnsi="SimSun" w:eastAsia="SimSun" w:cs="SimSun"/>
                        <w:sz w:val="30"/>
                        <w:szCs w:val="30"/>
                        <w:spacing w:val="-23"/>
                      </w:rPr>
                      <w:t>[</w:t>
                    </w:r>
                    <w:r>
                      <w:rPr>
                        <w:rFonts w:ascii="SimSun" w:hAnsi="SimSun" w:eastAsia="SimSun" w:cs="SimSun"/>
                        <w:sz w:val="30"/>
                        <w:szCs w:val="30"/>
                        <w:spacing w:val="-48"/>
                      </w:rPr>
                      <w:t xml:space="preserve"> </w:t>
                    </w:r>
                    <w:r>
                      <w:rPr>
                        <w:rFonts w:ascii="SimSun" w:hAnsi="SimSun" w:eastAsia="SimSun" w:cs="SimSun"/>
                        <w:sz w:val="30"/>
                        <w:szCs w:val="30"/>
                        <w:spacing w:val="-23"/>
                      </w:rPr>
                      <w:t>影</w:t>
                    </w:r>
                    <w:r>
                      <w:rPr>
                        <w:rFonts w:ascii="SimSun" w:hAnsi="SimSun" w:eastAsia="SimSun" w:cs="SimSun"/>
                        <w:sz w:val="30"/>
                        <w:szCs w:val="30"/>
                        <w:spacing w:val="-37"/>
                      </w:rPr>
                      <w:t xml:space="preserve"> </w:t>
                    </w:r>
                    <w:r>
                      <w:rPr>
                        <w:rFonts w:ascii="SimSun" w:hAnsi="SimSun" w:eastAsia="SimSun" w:cs="SimSun"/>
                        <w:sz w:val="30"/>
                        <w:szCs w:val="30"/>
                        <w:spacing w:val="-23"/>
                      </w:rPr>
                      <w:t>响</w:t>
                    </w:r>
                    <w:r>
                      <w:rPr>
                        <w:rFonts w:ascii="SimSun" w:hAnsi="SimSun" w:eastAsia="SimSun" w:cs="SimSun"/>
                        <w:sz w:val="30"/>
                        <w:szCs w:val="30"/>
                        <w:spacing w:val="-52"/>
                      </w:rPr>
                      <w:t xml:space="preserve"> </w:t>
                    </w:r>
                    <w:r>
                      <w:rPr>
                        <w:rFonts w:ascii="SimSun" w:hAnsi="SimSun" w:eastAsia="SimSun" w:cs="SimSun"/>
                        <w:sz w:val="30"/>
                        <w:szCs w:val="30"/>
                        <w:spacing w:val="-23"/>
                      </w:rPr>
                      <w:t>根</w:t>
                    </w:r>
                    <w:r>
                      <w:rPr>
                        <w:rFonts w:ascii="SimSun" w:hAnsi="SimSun" w:eastAsia="SimSun" w:cs="SimSun"/>
                        <w:sz w:val="30"/>
                        <w:szCs w:val="30"/>
                        <w:spacing w:val="-49"/>
                      </w:rPr>
                      <w:t xml:space="preserve"> </w:t>
                    </w:r>
                    <w:r>
                      <w:rPr>
                        <w:rFonts w:ascii="SimSun" w:hAnsi="SimSun" w:eastAsia="SimSun" w:cs="SimSun"/>
                        <w:sz w:val="30"/>
                        <w:szCs w:val="30"/>
                        <w:spacing w:val="-23"/>
                      </w:rPr>
                      <w:t>生</w:t>
                    </w:r>
                    <w:r>
                      <w:rPr>
                        <w:rFonts w:ascii="SimSun" w:hAnsi="SimSun" w:eastAsia="SimSun" w:cs="SimSun"/>
                        <w:sz w:val="30"/>
                        <w:szCs w:val="30"/>
                        <w:spacing w:val="-51"/>
                      </w:rPr>
                      <w:t xml:space="preserve"> </w:t>
                    </w:r>
                    <w:r>
                      <w:rPr>
                        <w:rFonts w:ascii="SimSun" w:hAnsi="SimSun" w:eastAsia="SimSun" w:cs="SimSun"/>
                        <w:sz w:val="30"/>
                        <w:szCs w:val="30"/>
                        <w:spacing w:val="-23"/>
                      </w:rPr>
                      <w:t>长</w:t>
                    </w:r>
                    <w:r>
                      <w:rPr>
                        <w:rFonts w:ascii="SimSun" w:hAnsi="SimSun" w:eastAsia="SimSun" w:cs="SimSun"/>
                        <w:sz w:val="30"/>
                        <w:szCs w:val="30"/>
                        <w:spacing w:val="-44"/>
                      </w:rPr>
                      <w:t xml:space="preserve"> </w:t>
                    </w:r>
                    <w:r>
                      <w:rPr>
                        <w:rFonts w:ascii="SimSun" w:hAnsi="SimSun" w:eastAsia="SimSun" w:cs="SimSun"/>
                        <w:sz w:val="30"/>
                        <w:szCs w:val="30"/>
                        <w:spacing w:val="-23"/>
                      </w:rPr>
                      <w:t>]</w:t>
                    </w:r>
                    <w:r>
                      <w:rPr>
                        <w:rFonts w:ascii="SimSun" w:hAnsi="SimSun" w:eastAsia="SimSun" w:cs="SimSun"/>
                        <w:sz w:val="30"/>
                        <w:szCs w:val="30"/>
                      </w:rPr>
                      <w:t xml:space="preserve"> </w:t>
                    </w:r>
                    <w:r>
                      <w:rPr>
                        <w:rFonts w:ascii="SimSun" w:hAnsi="SimSun" w:eastAsia="SimSun" w:cs="SimSun"/>
                        <w:sz w:val="26"/>
                        <w:szCs w:val="26"/>
                        <w:spacing w:val="28"/>
                      </w:rPr>
                      <w:t>硼、钙、铁、钾、磷</w:t>
                    </w:r>
                  </w:p>
                </w:txbxContent>
              </v:textbox>
            </v:shape>
            <v:shape id="_x0000_s42" style="position:absolute;left:309;top:284;width:2787;height:5247;" filled="false" stroked="false" type="#_x0000_t202">
              <v:fill on="false"/>
              <v:stroke on="false"/>
              <v:path/>
              <v:imagedata o:title=""/>
              <o:lock v:ext="edit" aspectratio="false"/>
              <v:textbox inset="0mm,0mm,0mm,0mm">
                <w:txbxContent>
                  <w:p>
                    <w:pPr>
                      <w:ind w:left="789"/>
                      <w:spacing w:before="20" w:line="220" w:lineRule="auto"/>
                      <w:rPr>
                        <w:rFonts w:ascii="SimSun" w:hAnsi="SimSun" w:eastAsia="SimSun" w:cs="SimSun"/>
                        <w:sz w:val="34"/>
                        <w:szCs w:val="34"/>
                      </w:rPr>
                    </w:pPr>
                    <w:r>
                      <w:rPr>
                        <w:rFonts w:ascii="SimSun" w:hAnsi="SimSun" w:eastAsia="SimSun" w:cs="SimSun"/>
                        <w:sz w:val="34"/>
                        <w:szCs w:val="34"/>
                        <w:spacing w:val="-10"/>
                      </w:rPr>
                      <w:t>[缺锌]一</w:t>
                    </w:r>
                  </w:p>
                  <w:p>
                    <w:pPr>
                      <w:ind w:left="159"/>
                      <w:spacing w:before="1" w:line="219" w:lineRule="auto"/>
                      <w:rPr>
                        <w:rFonts w:ascii="SimSun" w:hAnsi="SimSun" w:eastAsia="SimSun" w:cs="SimSun"/>
                        <w:sz w:val="28"/>
                        <w:szCs w:val="28"/>
                      </w:rPr>
                    </w:pPr>
                    <w:r>
                      <w:rPr>
                        <w:rFonts w:ascii="SimSun" w:hAnsi="SimSun" w:eastAsia="SimSun" w:cs="SimSun"/>
                        <w:sz w:val="28"/>
                        <w:szCs w:val="28"/>
                        <w:spacing w:val="19"/>
                      </w:rPr>
                      <w:t>小叶丛生，白条症</w:t>
                    </w:r>
                  </w:p>
                  <w:p>
                    <w:pPr>
                      <w:ind w:left="789"/>
                      <w:spacing w:before="200" w:line="220" w:lineRule="auto"/>
                      <w:rPr>
                        <w:rFonts w:ascii="SimSun" w:hAnsi="SimSun" w:eastAsia="SimSun" w:cs="SimSun"/>
                        <w:sz w:val="32"/>
                        <w:szCs w:val="32"/>
                      </w:rPr>
                    </w:pPr>
                    <w:r>
                      <w:rPr>
                        <w:rFonts w:ascii="SimSun" w:hAnsi="SimSun" w:eastAsia="SimSun" w:cs="SimSun"/>
                        <w:sz w:val="32"/>
                        <w:szCs w:val="32"/>
                        <w:spacing w:val="-22"/>
                      </w:rPr>
                      <w:t>[</w:t>
                    </w:r>
                    <w:r>
                      <w:rPr>
                        <w:rFonts w:ascii="SimSun" w:hAnsi="SimSun" w:eastAsia="SimSun" w:cs="SimSun"/>
                        <w:sz w:val="32"/>
                        <w:szCs w:val="32"/>
                        <w:spacing w:val="18"/>
                      </w:rPr>
                      <w:t xml:space="preserve"> </w:t>
                    </w:r>
                    <w:r>
                      <w:rPr>
                        <w:rFonts w:ascii="SimSun" w:hAnsi="SimSun" w:eastAsia="SimSun" w:cs="SimSun"/>
                        <w:sz w:val="32"/>
                        <w:szCs w:val="32"/>
                        <w:spacing w:val="-22"/>
                      </w:rPr>
                      <w:t>缺</w:t>
                    </w:r>
                    <w:r>
                      <w:rPr>
                        <w:rFonts w:ascii="SimSun" w:hAnsi="SimSun" w:eastAsia="SimSun" w:cs="SimSun"/>
                        <w:sz w:val="32"/>
                        <w:szCs w:val="32"/>
                        <w:spacing w:val="17"/>
                      </w:rPr>
                      <w:t xml:space="preserve"> </w:t>
                    </w:r>
                    <w:r>
                      <w:rPr>
                        <w:rFonts w:ascii="SimSun" w:hAnsi="SimSun" w:eastAsia="SimSun" w:cs="SimSun"/>
                        <w:sz w:val="32"/>
                        <w:szCs w:val="32"/>
                        <w:spacing w:val="-22"/>
                      </w:rPr>
                      <w:t>硼</w:t>
                    </w:r>
                    <w:r>
                      <w:rPr>
                        <w:rFonts w:ascii="SimSun" w:hAnsi="SimSun" w:eastAsia="SimSun" w:cs="SimSun"/>
                        <w:sz w:val="32"/>
                        <w:szCs w:val="32"/>
                        <w:spacing w:val="26"/>
                      </w:rPr>
                      <w:t xml:space="preserve"> </w:t>
                    </w:r>
                    <w:r>
                      <w:rPr>
                        <w:rFonts w:ascii="SimSun" w:hAnsi="SimSun" w:eastAsia="SimSun" w:cs="SimSun"/>
                        <w:sz w:val="32"/>
                        <w:szCs w:val="32"/>
                        <w:spacing w:val="-22"/>
                      </w:rPr>
                      <w:t>]</w:t>
                    </w:r>
                  </w:p>
                  <w:p>
                    <w:pPr>
                      <w:ind w:left="20"/>
                      <w:spacing w:before="56" w:line="220" w:lineRule="auto"/>
                      <w:rPr>
                        <w:rFonts w:ascii="SimSun" w:hAnsi="SimSun" w:eastAsia="SimSun" w:cs="SimSun"/>
                        <w:sz w:val="27"/>
                        <w:szCs w:val="27"/>
                      </w:rPr>
                    </w:pPr>
                    <w:r>
                      <w:rPr>
                        <w:rFonts w:ascii="SimSun" w:hAnsi="SimSun" w:eastAsia="SimSun" w:cs="SimSun"/>
                        <w:sz w:val="27"/>
                        <w:szCs w:val="27"/>
                        <w:spacing w:val="35"/>
                      </w:rPr>
                      <w:t>花而不实，落花落果</w:t>
                    </w:r>
                  </w:p>
                  <w:p>
                    <w:pPr>
                      <w:ind w:left="789"/>
                      <w:spacing w:line="220" w:lineRule="auto"/>
                      <w:rPr>
                        <w:rFonts w:ascii="SimSun" w:hAnsi="SimSun" w:eastAsia="SimSun" w:cs="SimSun"/>
                        <w:sz w:val="32"/>
                        <w:szCs w:val="32"/>
                      </w:rPr>
                    </w:pPr>
                    <w:r>
                      <w:rPr>
                        <w:rFonts w:ascii="SimSun" w:hAnsi="SimSun" w:eastAsia="SimSun" w:cs="SimSun"/>
                        <w:sz w:val="32"/>
                        <w:szCs w:val="32"/>
                        <w:spacing w:val="-22"/>
                      </w:rPr>
                      <w:t>[</w:t>
                    </w:r>
                    <w:r>
                      <w:rPr>
                        <w:rFonts w:ascii="SimSun" w:hAnsi="SimSun" w:eastAsia="SimSun" w:cs="SimSun"/>
                        <w:sz w:val="32"/>
                        <w:szCs w:val="32"/>
                        <w:spacing w:val="25"/>
                      </w:rPr>
                      <w:t xml:space="preserve"> </w:t>
                    </w:r>
                    <w:r>
                      <w:rPr>
                        <w:rFonts w:ascii="SimSun" w:hAnsi="SimSun" w:eastAsia="SimSun" w:cs="SimSun"/>
                        <w:sz w:val="32"/>
                        <w:szCs w:val="32"/>
                        <w:spacing w:val="-22"/>
                      </w:rPr>
                      <w:t>缺</w:t>
                    </w:r>
                    <w:r>
                      <w:rPr>
                        <w:rFonts w:ascii="SimSun" w:hAnsi="SimSun" w:eastAsia="SimSun" w:cs="SimSun"/>
                        <w:sz w:val="32"/>
                        <w:szCs w:val="32"/>
                        <w:spacing w:val="23"/>
                      </w:rPr>
                      <w:t xml:space="preserve"> </w:t>
                    </w:r>
                    <w:r>
                      <w:rPr>
                        <w:rFonts w:ascii="SimSun" w:hAnsi="SimSun" w:eastAsia="SimSun" w:cs="SimSun"/>
                        <w:sz w:val="32"/>
                        <w:szCs w:val="32"/>
                        <w:spacing w:val="-22"/>
                      </w:rPr>
                      <w:t>铁</w:t>
                    </w:r>
                    <w:r>
                      <w:rPr>
                        <w:rFonts w:ascii="SimSun" w:hAnsi="SimSun" w:eastAsia="SimSun" w:cs="SimSun"/>
                        <w:sz w:val="32"/>
                        <w:szCs w:val="32"/>
                        <w:spacing w:val="33"/>
                      </w:rPr>
                      <w:t xml:space="preserve"> </w:t>
                    </w:r>
                    <w:r>
                      <w:rPr>
                        <w:rFonts w:ascii="SimSun" w:hAnsi="SimSun" w:eastAsia="SimSun" w:cs="SimSun"/>
                        <w:sz w:val="32"/>
                        <w:szCs w:val="32"/>
                        <w:spacing w:val="-22"/>
                      </w:rPr>
                      <w:t>]</w:t>
                    </w:r>
                  </w:p>
                  <w:p>
                    <w:pPr>
                      <w:ind w:left="20"/>
                      <w:spacing w:before="35" w:line="219" w:lineRule="auto"/>
                      <w:rPr>
                        <w:rFonts w:ascii="SimSun" w:hAnsi="SimSun" w:eastAsia="SimSun" w:cs="SimSun"/>
                        <w:sz w:val="27"/>
                        <w:szCs w:val="27"/>
                      </w:rPr>
                    </w:pPr>
                    <w:r>
                      <w:rPr>
                        <w:rFonts w:ascii="SimSun" w:hAnsi="SimSun" w:eastAsia="SimSun" w:cs="SimSun"/>
                        <w:sz w:val="27"/>
                        <w:szCs w:val="27"/>
                        <w:spacing w:val="20"/>
                      </w:rPr>
                      <w:t>新叶黄化，脉间失绿</w:t>
                    </w:r>
                  </w:p>
                  <w:p>
                    <w:pPr>
                      <w:ind w:left="199" w:right="290" w:firstLine="590"/>
                      <w:spacing w:before="144" w:line="261" w:lineRule="auto"/>
                      <w:rPr>
                        <w:rFonts w:ascii="SimSun" w:hAnsi="SimSun" w:eastAsia="SimSun" w:cs="SimSun"/>
                        <w:sz w:val="27"/>
                        <w:szCs w:val="27"/>
                      </w:rPr>
                    </w:pPr>
                    <w:r>
                      <w:rPr>
                        <w:rFonts w:ascii="SimSun" w:hAnsi="SimSun" w:eastAsia="SimSun" w:cs="SimSun"/>
                        <w:sz w:val="34"/>
                        <w:szCs w:val="34"/>
                        <w:spacing w:val="16"/>
                      </w:rPr>
                      <w:t>[缺钾]</w:t>
                    </w:r>
                    <w:r>
                      <w:rPr>
                        <w:rFonts w:ascii="SimSun" w:hAnsi="SimSun" w:eastAsia="SimSun" w:cs="SimSun"/>
                        <w:sz w:val="34"/>
                        <w:szCs w:val="34"/>
                        <w:spacing w:val="-102"/>
                      </w:rPr>
                      <w:t xml:space="preserve"> </w:t>
                    </w:r>
                    <w:r>
                      <w:rPr>
                        <w:rFonts w:ascii="SimSun" w:hAnsi="SimSun" w:eastAsia="SimSun" w:cs="SimSun"/>
                        <w:sz w:val="34"/>
                        <w:szCs w:val="34"/>
                        <w:spacing w:val="16"/>
                      </w:rPr>
                      <w:t>—</w:t>
                    </w:r>
                    <w:r>
                      <w:rPr>
                        <w:rFonts w:ascii="SimSun" w:hAnsi="SimSun" w:eastAsia="SimSun" w:cs="SimSun"/>
                        <w:sz w:val="34"/>
                        <w:szCs w:val="34"/>
                      </w:rPr>
                      <w:t xml:space="preserve">  </w:t>
                    </w:r>
                    <w:r>
                      <w:rPr>
                        <w:rFonts w:ascii="SimSun" w:hAnsi="SimSun" w:eastAsia="SimSun" w:cs="SimSun"/>
                        <w:sz w:val="27"/>
                        <w:szCs w:val="27"/>
                        <w:spacing w:val="16"/>
                      </w:rPr>
                      <w:t>老叶边缘黄化枯焦</w:t>
                    </w:r>
                  </w:p>
                  <w:p>
                    <w:pPr>
                      <w:ind w:left="789"/>
                      <w:spacing w:before="143" w:line="219" w:lineRule="auto"/>
                      <w:rPr>
                        <w:rFonts w:ascii="SimSun" w:hAnsi="SimSun" w:eastAsia="SimSun" w:cs="SimSun"/>
                        <w:sz w:val="30"/>
                        <w:szCs w:val="30"/>
                      </w:rPr>
                    </w:pPr>
                    <w:r>
                      <w:rPr>
                        <w:rFonts w:ascii="SimSun" w:hAnsi="SimSun" w:eastAsia="SimSun" w:cs="SimSun"/>
                        <w:sz w:val="30"/>
                        <w:szCs w:val="30"/>
                        <w:spacing w:val="19"/>
                      </w:rPr>
                      <w:t>[缺氮]</w:t>
                    </w:r>
                    <w:r>
                      <w:rPr>
                        <w:rFonts w:ascii="SimSun" w:hAnsi="SimSun" w:eastAsia="SimSun" w:cs="SimSun"/>
                        <w:sz w:val="30"/>
                        <w:szCs w:val="30"/>
                        <w:spacing w:val="-83"/>
                      </w:rPr>
                      <w:t xml:space="preserve"> </w:t>
                    </w:r>
                    <w:r>
                      <w:rPr>
                        <w:rFonts w:ascii="SimSun" w:hAnsi="SimSun" w:eastAsia="SimSun" w:cs="SimSun"/>
                        <w:sz w:val="30"/>
                        <w:szCs w:val="30"/>
                        <w:spacing w:val="19"/>
                      </w:rPr>
                      <w:t>一</w:t>
                    </w:r>
                  </w:p>
                  <w:p>
                    <w:pPr>
                      <w:ind w:left="199"/>
                      <w:spacing w:before="14" w:line="219" w:lineRule="auto"/>
                      <w:rPr>
                        <w:rFonts w:ascii="SimSun" w:hAnsi="SimSun" w:eastAsia="SimSun" w:cs="SimSun"/>
                        <w:sz w:val="26"/>
                        <w:szCs w:val="26"/>
                      </w:rPr>
                    </w:pPr>
                    <w:r>
                      <w:rPr>
                        <w:rFonts w:ascii="SimSun" w:hAnsi="SimSun" w:eastAsia="SimSun" w:cs="SimSun"/>
                        <w:sz w:val="26"/>
                        <w:szCs w:val="26"/>
                        <w:spacing w:val="27"/>
                      </w:rPr>
                      <w:t>老叶黄化植株瘦弱</w:t>
                    </w:r>
                  </w:p>
                  <w:p>
                    <w:pPr>
                      <w:ind w:left="390"/>
                      <w:spacing w:before="313" w:line="219" w:lineRule="auto"/>
                      <w:rPr>
                        <w:rFonts w:ascii="SimSun" w:hAnsi="SimSun" w:eastAsia="SimSun" w:cs="SimSun"/>
                        <w:sz w:val="30"/>
                        <w:szCs w:val="30"/>
                      </w:rPr>
                    </w:pPr>
                    <w:r>
                      <w:rPr>
                        <w:rFonts w:ascii="SimSun" w:hAnsi="SimSun" w:eastAsia="SimSun" w:cs="SimSun"/>
                        <w:sz w:val="30"/>
                        <w:szCs w:val="30"/>
                        <w:spacing w:val="-19"/>
                      </w:rPr>
                      <w:t>[</w:t>
                    </w:r>
                    <w:r>
                      <w:rPr>
                        <w:rFonts w:ascii="SimSun" w:hAnsi="SimSun" w:eastAsia="SimSun" w:cs="SimSun"/>
                        <w:sz w:val="30"/>
                        <w:szCs w:val="30"/>
                        <w:spacing w:val="-49"/>
                      </w:rPr>
                      <w:t xml:space="preserve"> </w:t>
                    </w:r>
                    <w:r>
                      <w:rPr>
                        <w:rFonts w:ascii="SimSun" w:hAnsi="SimSun" w:eastAsia="SimSun" w:cs="SimSun"/>
                        <w:sz w:val="30"/>
                        <w:szCs w:val="30"/>
                        <w:spacing w:val="-19"/>
                      </w:rPr>
                      <w:t>稀</w:t>
                    </w:r>
                    <w:r>
                      <w:rPr>
                        <w:rFonts w:ascii="SimSun" w:hAnsi="SimSun" w:eastAsia="SimSun" w:cs="SimSun"/>
                        <w:sz w:val="30"/>
                        <w:szCs w:val="30"/>
                        <w:spacing w:val="-47"/>
                      </w:rPr>
                      <w:t xml:space="preserve"> </w:t>
                    </w:r>
                    <w:r>
                      <w:rPr>
                        <w:rFonts w:ascii="SimSun" w:hAnsi="SimSun" w:eastAsia="SimSun" w:cs="SimSun"/>
                        <w:sz w:val="30"/>
                        <w:szCs w:val="30"/>
                        <w:spacing w:val="-19"/>
                      </w:rPr>
                      <w:t>土</w:t>
                    </w:r>
                    <w:r>
                      <w:rPr>
                        <w:rFonts w:ascii="SimSun" w:hAnsi="SimSun" w:eastAsia="SimSun" w:cs="SimSun"/>
                        <w:sz w:val="30"/>
                        <w:szCs w:val="30"/>
                        <w:spacing w:val="-46"/>
                      </w:rPr>
                      <w:t xml:space="preserve"> </w:t>
                    </w:r>
                    <w:r>
                      <w:rPr>
                        <w:rFonts w:ascii="SimSun" w:hAnsi="SimSun" w:eastAsia="SimSun" w:cs="SimSun"/>
                        <w:sz w:val="30"/>
                        <w:szCs w:val="30"/>
                        <w:spacing w:val="-19"/>
                      </w:rPr>
                      <w:t>元</w:t>
                    </w:r>
                    <w:r>
                      <w:rPr>
                        <w:rFonts w:ascii="SimSun" w:hAnsi="SimSun" w:eastAsia="SimSun" w:cs="SimSun"/>
                        <w:sz w:val="30"/>
                        <w:szCs w:val="30"/>
                        <w:spacing w:val="-46"/>
                      </w:rPr>
                      <w:t xml:space="preserve"> </w:t>
                    </w:r>
                    <w:r>
                      <w:rPr>
                        <w:rFonts w:ascii="SimSun" w:hAnsi="SimSun" w:eastAsia="SimSun" w:cs="SimSun"/>
                        <w:sz w:val="30"/>
                        <w:szCs w:val="30"/>
                        <w:spacing w:val="-19"/>
                      </w:rPr>
                      <w:t>素</w:t>
                    </w:r>
                    <w:r>
                      <w:rPr>
                        <w:rFonts w:ascii="SimSun" w:hAnsi="SimSun" w:eastAsia="SimSun" w:cs="SimSun"/>
                        <w:sz w:val="30"/>
                        <w:szCs w:val="30"/>
                        <w:spacing w:val="-40"/>
                      </w:rPr>
                      <w:t xml:space="preserve"> </w:t>
                    </w:r>
                    <w:r>
                      <w:rPr>
                        <w:rFonts w:ascii="SimSun" w:hAnsi="SimSun" w:eastAsia="SimSun" w:cs="SimSun"/>
                        <w:sz w:val="30"/>
                        <w:szCs w:val="30"/>
                        <w:spacing w:val="-19"/>
                      </w:rPr>
                      <w:t>]</w:t>
                    </w:r>
                  </w:p>
                  <w:p>
                    <w:pPr>
                      <w:ind w:left="20"/>
                      <w:spacing w:before="13" w:line="220" w:lineRule="auto"/>
                      <w:rPr>
                        <w:rFonts w:ascii="SimSun" w:hAnsi="SimSun" w:eastAsia="SimSun" w:cs="SimSun"/>
                        <w:sz w:val="26"/>
                        <w:szCs w:val="26"/>
                      </w:rPr>
                    </w:pPr>
                    <w:r>
                      <w:rPr>
                        <w:rFonts w:ascii="SimSun" w:hAnsi="SimSun" w:eastAsia="SimSun" w:cs="SimSun"/>
                        <w:sz w:val="26"/>
                        <w:szCs w:val="26"/>
                        <w:spacing w:val="26"/>
                      </w:rPr>
                      <w:t>品质差，根系不发达</w:t>
                    </w:r>
                  </w:p>
                </w:txbxContent>
              </v:textbox>
            </v:shape>
          </v:group>
        </w:pict>
      </w:r>
    </w:p>
    <w:p>
      <w:pPr>
        <w:pStyle w:val="BodyText"/>
        <w:ind w:left="3444"/>
        <w:spacing w:before="88" w:line="219" w:lineRule="auto"/>
        <w:rPr>
          <w:sz w:val="24"/>
          <w:szCs w:val="24"/>
        </w:rPr>
      </w:pPr>
      <w:r>
        <w:rPr>
          <w:sz w:val="24"/>
          <w:szCs w:val="24"/>
          <w:spacing w:val="7"/>
        </w:rPr>
        <w:t>图6-1-46缺素症植株分布示意图</w:t>
      </w:r>
    </w:p>
    <w:p>
      <w:pPr>
        <w:spacing w:line="263" w:lineRule="auto"/>
        <w:rPr>
          <w:rFonts w:ascii="Arial"/>
          <w:sz w:val="21"/>
        </w:rPr>
      </w:pPr>
      <w:r/>
    </w:p>
    <w:p>
      <w:pPr>
        <w:spacing w:line="263" w:lineRule="auto"/>
        <w:rPr>
          <w:rFonts w:ascii="Arial"/>
          <w:sz w:val="21"/>
        </w:rPr>
      </w:pPr>
      <w:r/>
    </w:p>
    <w:p>
      <w:pPr>
        <w:pStyle w:val="BodyText"/>
        <w:ind w:left="129"/>
        <w:spacing w:before="94" w:line="196" w:lineRule="auto"/>
        <w:rPr>
          <w:sz w:val="29"/>
          <w:szCs w:val="29"/>
        </w:rPr>
      </w:pPr>
      <w:r>
        <w:rPr>
          <w:sz w:val="29"/>
          <w:szCs w:val="29"/>
          <w:b/>
          <w:bCs/>
          <w:spacing w:val="-3"/>
        </w:rPr>
        <w:t>14、缺素症矫正措施</w:t>
      </w:r>
    </w:p>
    <w:tbl>
      <w:tblPr>
        <w:tblStyle w:val="TableNormal"/>
        <w:tblW w:w="103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93"/>
        <w:gridCol w:w="9076"/>
      </w:tblGrid>
      <w:tr>
        <w:trPr>
          <w:trHeight w:val="894" w:hRule="atLeast"/>
        </w:trPr>
        <w:tc>
          <w:tcPr>
            <w:tcW w:w="1293" w:type="dxa"/>
            <w:vAlign w:val="top"/>
          </w:tcPr>
          <w:p>
            <w:pPr>
              <w:pStyle w:val="TableText"/>
              <w:ind w:left="374"/>
              <w:spacing w:before="324" w:line="219" w:lineRule="auto"/>
              <w:rPr>
                <w:sz w:val="26"/>
                <w:szCs w:val="26"/>
              </w:rPr>
            </w:pPr>
            <w:r>
              <w:rPr>
                <w:sz w:val="26"/>
                <w:szCs w:val="26"/>
                <w:spacing w:val="5"/>
              </w:rPr>
              <w:t>缺氮</w:t>
            </w:r>
          </w:p>
        </w:tc>
        <w:tc>
          <w:tcPr>
            <w:tcW w:w="9076" w:type="dxa"/>
            <w:vAlign w:val="top"/>
          </w:tcPr>
          <w:p>
            <w:pPr>
              <w:pStyle w:val="TableText"/>
              <w:ind w:left="4401" w:right="172" w:hanging="4229"/>
              <w:spacing w:before="151" w:line="260" w:lineRule="auto"/>
              <w:rPr>
                <w:sz w:val="26"/>
                <w:szCs w:val="26"/>
              </w:rPr>
            </w:pPr>
            <w:r>
              <w:rPr>
                <w:sz w:val="26"/>
                <w:szCs w:val="26"/>
              </w:rPr>
              <w:t>尿素、碳铵等都是速效氮肥，一般是0.3%,即1升水(1公斤),约溶于3克叶面喷</w:t>
            </w:r>
            <w:r>
              <w:rPr>
                <w:sz w:val="26"/>
                <w:szCs w:val="26"/>
                <w:spacing w:val="10"/>
              </w:rPr>
              <w:t xml:space="preserve"> </w:t>
            </w:r>
            <w:r>
              <w:rPr>
                <w:sz w:val="26"/>
                <w:szCs w:val="26"/>
              </w:rPr>
              <w:t>施</w:t>
            </w:r>
          </w:p>
        </w:tc>
      </w:tr>
      <w:tr>
        <w:trPr>
          <w:trHeight w:val="599" w:hRule="atLeast"/>
        </w:trPr>
        <w:tc>
          <w:tcPr>
            <w:tcW w:w="1293" w:type="dxa"/>
            <w:vAlign w:val="top"/>
          </w:tcPr>
          <w:p>
            <w:pPr>
              <w:pStyle w:val="TableText"/>
              <w:ind w:left="374"/>
              <w:spacing w:before="172" w:line="219" w:lineRule="auto"/>
              <w:rPr>
                <w:sz w:val="26"/>
                <w:szCs w:val="26"/>
              </w:rPr>
            </w:pPr>
            <w:r>
              <w:rPr>
                <w:sz w:val="26"/>
                <w:szCs w:val="26"/>
                <w:spacing w:val="6"/>
              </w:rPr>
              <w:t>缺磷</w:t>
            </w:r>
          </w:p>
        </w:tc>
        <w:tc>
          <w:tcPr>
            <w:tcW w:w="9076" w:type="dxa"/>
            <w:vAlign w:val="top"/>
          </w:tcPr>
          <w:p>
            <w:pPr>
              <w:pStyle w:val="TableText"/>
              <w:ind w:left="172"/>
              <w:spacing w:before="168" w:line="216" w:lineRule="auto"/>
              <w:rPr>
                <w:sz w:val="26"/>
                <w:szCs w:val="26"/>
              </w:rPr>
            </w:pPr>
            <w:r>
              <w:rPr>
                <w:sz w:val="26"/>
                <w:szCs w:val="26"/>
                <w:spacing w:val="-3"/>
              </w:rPr>
              <w:t>叶面喷施用过磷酸钙浓度为1—2%,钙镁磷肥，磷酸一</w:t>
            </w:r>
            <w:r>
              <w:rPr>
                <w:sz w:val="26"/>
                <w:szCs w:val="26"/>
                <w:spacing w:val="-4"/>
              </w:rPr>
              <w:t>铵和磷酸二铵用作基肥好</w:t>
            </w:r>
          </w:p>
        </w:tc>
      </w:tr>
      <w:tr>
        <w:trPr>
          <w:trHeight w:val="719" w:hRule="atLeast"/>
        </w:trPr>
        <w:tc>
          <w:tcPr>
            <w:tcW w:w="1293" w:type="dxa"/>
            <w:vAlign w:val="top"/>
          </w:tcPr>
          <w:p>
            <w:pPr>
              <w:pStyle w:val="TableText"/>
              <w:ind w:left="374"/>
              <w:spacing w:before="233" w:line="220" w:lineRule="auto"/>
              <w:rPr>
                <w:sz w:val="26"/>
                <w:szCs w:val="26"/>
              </w:rPr>
            </w:pPr>
            <w:r>
              <w:rPr>
                <w:sz w:val="26"/>
                <w:szCs w:val="26"/>
                <w:spacing w:val="10"/>
              </w:rPr>
              <w:t>缺钾</w:t>
            </w:r>
          </w:p>
        </w:tc>
        <w:tc>
          <w:tcPr>
            <w:tcW w:w="9076" w:type="dxa"/>
            <w:vAlign w:val="top"/>
          </w:tcPr>
          <w:p>
            <w:pPr>
              <w:pStyle w:val="TableText"/>
              <w:ind w:left="1080" w:right="232" w:hanging="839"/>
              <w:spacing w:before="61" w:line="230" w:lineRule="auto"/>
              <w:rPr>
                <w:sz w:val="26"/>
                <w:szCs w:val="26"/>
              </w:rPr>
            </w:pPr>
            <w:r>
              <w:rPr>
                <w:sz w:val="26"/>
                <w:szCs w:val="26"/>
                <w:spacing w:val="-3"/>
              </w:rPr>
              <w:t>国光甲(磷酸二氢钾)稀释500—1000倍，叶面喷施，喷叶片正反</w:t>
            </w:r>
            <w:r>
              <w:rPr>
                <w:sz w:val="26"/>
                <w:szCs w:val="26"/>
                <w:spacing w:val="-4"/>
              </w:rPr>
              <w:t>面生育期共喷</w:t>
            </w:r>
            <w:r>
              <w:rPr>
                <w:sz w:val="26"/>
                <w:szCs w:val="26"/>
              </w:rPr>
              <w:t xml:space="preserve"> </w:t>
            </w:r>
            <w:r>
              <w:rPr>
                <w:sz w:val="26"/>
                <w:szCs w:val="26"/>
                <w:spacing w:val="-8"/>
              </w:rPr>
              <w:t>2—3次，两次施用需间隔7—10天。磷酸二氢钾作基肥每亩30斤</w:t>
            </w:r>
          </w:p>
        </w:tc>
      </w:tr>
      <w:tr>
        <w:trPr>
          <w:trHeight w:val="749" w:hRule="atLeast"/>
        </w:trPr>
        <w:tc>
          <w:tcPr>
            <w:tcW w:w="1293" w:type="dxa"/>
            <w:vAlign w:val="top"/>
          </w:tcPr>
          <w:p>
            <w:pPr>
              <w:pStyle w:val="TableText"/>
              <w:ind w:left="374"/>
              <w:spacing w:before="254" w:line="220" w:lineRule="auto"/>
              <w:rPr>
                <w:sz w:val="26"/>
                <w:szCs w:val="26"/>
              </w:rPr>
            </w:pPr>
            <w:r>
              <w:rPr>
                <w:sz w:val="26"/>
                <w:szCs w:val="26"/>
                <w:spacing w:val="6"/>
              </w:rPr>
              <w:t>缺钙</w:t>
            </w:r>
          </w:p>
        </w:tc>
        <w:tc>
          <w:tcPr>
            <w:tcW w:w="9076" w:type="dxa"/>
            <w:vAlign w:val="top"/>
          </w:tcPr>
          <w:p>
            <w:pPr>
              <w:pStyle w:val="TableText"/>
              <w:ind w:left="1410" w:right="232" w:hanging="1169"/>
              <w:spacing w:before="63"/>
              <w:rPr>
                <w:sz w:val="26"/>
                <w:szCs w:val="26"/>
              </w:rPr>
            </w:pPr>
            <w:r>
              <w:rPr>
                <w:sz w:val="26"/>
                <w:szCs w:val="26"/>
              </w:rPr>
              <w:t>土壤施肥与叶面(果面)相结合。硝酸钙、氯化钙、氨基酸钙等均可作为叶面</w:t>
            </w:r>
            <w:r>
              <w:rPr>
                <w:sz w:val="26"/>
                <w:szCs w:val="26"/>
                <w:spacing w:val="10"/>
              </w:rPr>
              <w:t xml:space="preserve"> </w:t>
            </w:r>
            <w:r>
              <w:rPr>
                <w:sz w:val="26"/>
                <w:szCs w:val="26"/>
              </w:rPr>
              <w:t>喷施，土壤施钙可以用钙镁磷肥、过磷酸钙、硝酸钙等</w:t>
            </w:r>
          </w:p>
        </w:tc>
      </w:tr>
      <w:tr>
        <w:trPr>
          <w:trHeight w:val="719" w:hRule="atLeast"/>
        </w:trPr>
        <w:tc>
          <w:tcPr>
            <w:tcW w:w="1293" w:type="dxa"/>
            <w:vAlign w:val="top"/>
          </w:tcPr>
          <w:p>
            <w:pPr>
              <w:pStyle w:val="TableText"/>
              <w:ind w:left="374"/>
              <w:spacing w:before="235" w:line="220" w:lineRule="auto"/>
              <w:rPr>
                <w:sz w:val="26"/>
                <w:szCs w:val="26"/>
              </w:rPr>
            </w:pPr>
            <w:r>
              <w:rPr>
                <w:sz w:val="26"/>
                <w:szCs w:val="26"/>
                <w:spacing w:val="5"/>
              </w:rPr>
              <w:t>缺镁</w:t>
            </w:r>
          </w:p>
        </w:tc>
        <w:tc>
          <w:tcPr>
            <w:tcW w:w="9076" w:type="dxa"/>
            <w:vAlign w:val="top"/>
          </w:tcPr>
          <w:p>
            <w:pPr>
              <w:pStyle w:val="TableText"/>
              <w:ind w:left="3750" w:right="231" w:hanging="3509"/>
              <w:spacing w:before="52" w:line="233" w:lineRule="auto"/>
              <w:rPr>
                <w:sz w:val="26"/>
                <w:szCs w:val="26"/>
              </w:rPr>
            </w:pPr>
            <w:r>
              <w:rPr>
                <w:sz w:val="26"/>
                <w:szCs w:val="26"/>
                <w:spacing w:val="-3"/>
              </w:rPr>
              <w:t>用0.05%—0.1%硫酸镁根外追肥，用富含腐殖质的土壤(花土，5元钱1大袋)或</w:t>
            </w:r>
            <w:r>
              <w:rPr>
                <w:sz w:val="26"/>
                <w:szCs w:val="26"/>
                <w:spacing w:val="1"/>
              </w:rPr>
              <w:t xml:space="preserve"> </w:t>
            </w:r>
            <w:r>
              <w:rPr>
                <w:sz w:val="26"/>
                <w:szCs w:val="26"/>
                <w:spacing w:val="1"/>
              </w:rPr>
              <w:t>有机肥作基肥</w:t>
            </w:r>
          </w:p>
        </w:tc>
      </w:tr>
      <w:tr>
        <w:trPr>
          <w:trHeight w:val="719" w:hRule="atLeast"/>
        </w:trPr>
        <w:tc>
          <w:tcPr>
            <w:tcW w:w="1293" w:type="dxa"/>
            <w:vAlign w:val="top"/>
          </w:tcPr>
          <w:p>
            <w:pPr>
              <w:pStyle w:val="TableText"/>
              <w:ind w:left="374"/>
              <w:spacing w:before="236" w:line="220" w:lineRule="auto"/>
              <w:rPr>
                <w:sz w:val="26"/>
                <w:szCs w:val="26"/>
              </w:rPr>
            </w:pPr>
            <w:r>
              <w:rPr>
                <w:sz w:val="26"/>
                <w:szCs w:val="26"/>
                <w:spacing w:val="5"/>
              </w:rPr>
              <w:t>缺铁</w:t>
            </w:r>
          </w:p>
        </w:tc>
        <w:tc>
          <w:tcPr>
            <w:tcW w:w="9076" w:type="dxa"/>
            <w:vAlign w:val="top"/>
          </w:tcPr>
          <w:p>
            <w:pPr>
              <w:pStyle w:val="TableText"/>
              <w:ind w:left="2581" w:right="304" w:hanging="2280"/>
              <w:spacing w:before="94" w:line="218" w:lineRule="auto"/>
              <w:rPr>
                <w:sz w:val="26"/>
                <w:szCs w:val="26"/>
              </w:rPr>
            </w:pPr>
            <w:r>
              <w:rPr>
                <w:sz w:val="26"/>
                <w:szCs w:val="26"/>
                <w:spacing w:val="-3"/>
              </w:rPr>
              <w:t>叶面喷施，用螯合态的铁肥如EDTA—Fe并多</w:t>
            </w:r>
            <w:r>
              <w:rPr>
                <w:sz w:val="26"/>
                <w:szCs w:val="26"/>
                <w:spacing w:val="-4"/>
              </w:rPr>
              <w:t>次喷施能有效防治缺铁。可将铁</w:t>
            </w:r>
            <w:r>
              <w:rPr>
                <w:sz w:val="26"/>
                <w:szCs w:val="26"/>
              </w:rPr>
              <w:t xml:space="preserve"> </w:t>
            </w:r>
            <w:r>
              <w:rPr>
                <w:sz w:val="26"/>
                <w:szCs w:val="26"/>
              </w:rPr>
              <w:t>肥与有机肥混合，采用条施或穴施</w:t>
            </w:r>
          </w:p>
        </w:tc>
      </w:tr>
      <w:tr>
        <w:trPr>
          <w:trHeight w:val="490" w:hRule="atLeast"/>
        </w:trPr>
        <w:tc>
          <w:tcPr>
            <w:tcW w:w="1293" w:type="dxa"/>
            <w:vAlign w:val="top"/>
          </w:tcPr>
          <w:p>
            <w:pPr>
              <w:pStyle w:val="TableText"/>
              <w:ind w:left="374"/>
              <w:spacing w:before="127" w:line="220" w:lineRule="auto"/>
              <w:rPr>
                <w:sz w:val="26"/>
                <w:szCs w:val="26"/>
              </w:rPr>
            </w:pPr>
            <w:r>
              <w:rPr>
                <w:sz w:val="26"/>
                <w:szCs w:val="26"/>
                <w:spacing w:val="10"/>
              </w:rPr>
              <w:t>缺硼</w:t>
            </w:r>
          </w:p>
        </w:tc>
        <w:tc>
          <w:tcPr>
            <w:tcW w:w="9076" w:type="dxa"/>
            <w:vAlign w:val="top"/>
          </w:tcPr>
          <w:p>
            <w:pPr>
              <w:pStyle w:val="TableText"/>
              <w:ind w:left="2771"/>
              <w:spacing w:before="125" w:line="219" w:lineRule="auto"/>
              <w:rPr>
                <w:sz w:val="26"/>
                <w:szCs w:val="26"/>
              </w:rPr>
            </w:pPr>
            <w:r>
              <w:rPr>
                <w:sz w:val="26"/>
                <w:szCs w:val="26"/>
              </w:rPr>
              <w:t>用0.01%硼砂或硼酸作根外追肥</w:t>
            </w:r>
          </w:p>
        </w:tc>
      </w:tr>
      <w:tr>
        <w:trPr>
          <w:trHeight w:val="749" w:hRule="atLeast"/>
        </w:trPr>
        <w:tc>
          <w:tcPr>
            <w:tcW w:w="1293" w:type="dxa"/>
            <w:vAlign w:val="top"/>
          </w:tcPr>
          <w:p>
            <w:pPr>
              <w:pStyle w:val="TableText"/>
              <w:ind w:left="374"/>
              <w:spacing w:before="257" w:line="220" w:lineRule="auto"/>
              <w:rPr>
                <w:sz w:val="26"/>
                <w:szCs w:val="26"/>
              </w:rPr>
            </w:pPr>
            <w:r>
              <w:rPr>
                <w:sz w:val="26"/>
                <w:szCs w:val="26"/>
                <w:spacing w:val="-3"/>
              </w:rPr>
              <w:t>缺锰</w:t>
            </w:r>
          </w:p>
        </w:tc>
        <w:tc>
          <w:tcPr>
            <w:tcW w:w="9076" w:type="dxa"/>
            <w:vAlign w:val="top"/>
          </w:tcPr>
          <w:p>
            <w:pPr>
              <w:pStyle w:val="TableText"/>
              <w:ind w:left="4071" w:right="173" w:hanging="3899"/>
              <w:spacing w:before="77" w:line="235" w:lineRule="auto"/>
              <w:rPr>
                <w:sz w:val="26"/>
                <w:szCs w:val="26"/>
              </w:rPr>
            </w:pPr>
            <w:r>
              <w:rPr>
                <w:sz w:val="26"/>
                <w:szCs w:val="26"/>
                <w:spacing w:val="-6"/>
              </w:rPr>
              <w:t>用0.1—0.2%硫酸锰溶液，每亩每次用液量50—75升，</w:t>
            </w:r>
            <w:r>
              <w:rPr>
                <w:sz w:val="26"/>
                <w:szCs w:val="26"/>
                <w:spacing w:val="-7"/>
              </w:rPr>
              <w:t>分别在苗期、生长盛期喷</w:t>
            </w:r>
            <w:r>
              <w:rPr>
                <w:sz w:val="26"/>
                <w:szCs w:val="26"/>
              </w:rPr>
              <w:t xml:space="preserve"> </w:t>
            </w:r>
            <w:r>
              <w:rPr>
                <w:sz w:val="26"/>
                <w:szCs w:val="26"/>
                <w:spacing w:val="-19"/>
              </w:rPr>
              <w:t>施2—3次</w:t>
            </w:r>
          </w:p>
        </w:tc>
      </w:tr>
      <w:tr>
        <w:trPr>
          <w:trHeight w:val="819" w:hRule="atLeast"/>
        </w:trPr>
        <w:tc>
          <w:tcPr>
            <w:tcW w:w="1293" w:type="dxa"/>
            <w:vAlign w:val="top"/>
          </w:tcPr>
          <w:p>
            <w:pPr>
              <w:pStyle w:val="TableText"/>
              <w:ind w:left="374"/>
              <w:spacing w:before="288" w:line="220" w:lineRule="auto"/>
              <w:rPr>
                <w:sz w:val="26"/>
                <w:szCs w:val="26"/>
              </w:rPr>
            </w:pPr>
            <w:r>
              <w:rPr>
                <w:sz w:val="26"/>
                <w:szCs w:val="26"/>
                <w:spacing w:val="7"/>
              </w:rPr>
              <w:t>缺锌</w:t>
            </w:r>
          </w:p>
        </w:tc>
        <w:tc>
          <w:tcPr>
            <w:tcW w:w="9076" w:type="dxa"/>
            <w:vAlign w:val="top"/>
          </w:tcPr>
          <w:p>
            <w:pPr>
              <w:pStyle w:val="TableText"/>
              <w:ind w:left="891" w:right="38" w:hanging="850"/>
              <w:spacing w:before="116" w:line="246" w:lineRule="auto"/>
              <w:rPr>
                <w:sz w:val="26"/>
                <w:szCs w:val="26"/>
              </w:rPr>
            </w:pPr>
            <w:r>
              <w:rPr>
                <w:sz w:val="26"/>
                <w:szCs w:val="26"/>
                <w:spacing w:val="-6"/>
              </w:rPr>
              <w:t>喷肥，当作物出现缺锌症状时，可喷施，浓度为0.2—0.5%。基肥，亩施用1—1.5</w:t>
            </w:r>
            <w:r>
              <w:rPr>
                <w:sz w:val="26"/>
                <w:szCs w:val="26"/>
              </w:rPr>
              <w:t xml:space="preserve"> </w:t>
            </w:r>
            <w:r>
              <w:rPr>
                <w:sz w:val="26"/>
                <w:szCs w:val="26"/>
                <w:spacing w:val="1"/>
              </w:rPr>
              <w:t>公斤，与碳铵、硫酸钾混合做底肥，但不能与过磷酸钙混合施用</w:t>
            </w:r>
          </w:p>
        </w:tc>
      </w:tr>
      <w:tr>
        <w:trPr>
          <w:trHeight w:val="1209" w:hRule="atLeast"/>
        </w:trPr>
        <w:tc>
          <w:tcPr>
            <w:tcW w:w="1293" w:type="dxa"/>
            <w:vAlign w:val="top"/>
          </w:tcPr>
          <w:p>
            <w:pPr>
              <w:spacing w:line="402" w:lineRule="auto"/>
              <w:rPr>
                <w:rFonts w:ascii="Arial"/>
                <w:sz w:val="21"/>
              </w:rPr>
            </w:pPr>
            <w:r/>
          </w:p>
          <w:p>
            <w:pPr>
              <w:pStyle w:val="TableText"/>
              <w:ind w:left="374"/>
              <w:spacing w:before="85" w:line="220" w:lineRule="auto"/>
              <w:rPr>
                <w:sz w:val="26"/>
                <w:szCs w:val="26"/>
              </w:rPr>
            </w:pPr>
            <w:r>
              <w:rPr>
                <w:sz w:val="26"/>
                <w:szCs w:val="26"/>
                <w:spacing w:val="5"/>
              </w:rPr>
              <w:t>缺硫</w:t>
            </w:r>
          </w:p>
        </w:tc>
        <w:tc>
          <w:tcPr>
            <w:tcW w:w="9076" w:type="dxa"/>
            <w:vAlign w:val="top"/>
          </w:tcPr>
          <w:p>
            <w:pPr>
              <w:pStyle w:val="TableText"/>
              <w:ind w:left="241"/>
              <w:spacing w:before="127" w:line="219" w:lineRule="auto"/>
              <w:rPr>
                <w:sz w:val="26"/>
                <w:szCs w:val="26"/>
              </w:rPr>
            </w:pPr>
            <w:r>
              <w:rPr>
                <w:sz w:val="26"/>
                <w:szCs w:val="26"/>
              </w:rPr>
              <w:t>根部施肥和喷洒施肥。根部施肥是把硫酸亚铁溶解在清水中，溶液的浓度为</w:t>
            </w:r>
          </w:p>
          <w:p>
            <w:pPr>
              <w:pStyle w:val="TableText"/>
              <w:ind w:left="172"/>
              <w:spacing w:before="79" w:line="216" w:lineRule="auto"/>
              <w:rPr>
                <w:sz w:val="26"/>
                <w:szCs w:val="26"/>
              </w:rPr>
            </w:pPr>
            <w:r>
              <w:rPr>
                <w:sz w:val="26"/>
                <w:szCs w:val="26"/>
                <w:spacing w:val="-6"/>
              </w:rPr>
              <w:t>1—2%,溶液配好后直接浇灌在花卉的根部。喷洒施肥是指把浓度为0.1—0.3%硫</w:t>
            </w:r>
          </w:p>
          <w:p>
            <w:pPr>
              <w:pStyle w:val="TableText"/>
              <w:ind w:left="691"/>
              <w:spacing w:before="69" w:line="219" w:lineRule="auto"/>
              <w:rPr>
                <w:sz w:val="26"/>
                <w:szCs w:val="26"/>
              </w:rPr>
            </w:pPr>
            <w:r>
              <w:rPr>
                <w:sz w:val="26"/>
                <w:szCs w:val="26"/>
                <w:spacing w:val="-4"/>
              </w:rPr>
              <w:t>酸亚铁溶液装在喷雾器中直接向叶面喷雾，喷雾需要连续喷洒2—3次</w:t>
            </w:r>
          </w:p>
        </w:tc>
      </w:tr>
      <w:tr>
        <w:trPr>
          <w:trHeight w:val="510" w:hRule="atLeast"/>
        </w:trPr>
        <w:tc>
          <w:tcPr>
            <w:tcW w:w="1293" w:type="dxa"/>
            <w:vAlign w:val="top"/>
          </w:tcPr>
          <w:p>
            <w:pPr>
              <w:pStyle w:val="TableText"/>
              <w:ind w:left="374"/>
              <w:spacing w:before="140" w:line="220" w:lineRule="auto"/>
              <w:rPr>
                <w:sz w:val="26"/>
                <w:szCs w:val="26"/>
              </w:rPr>
            </w:pPr>
            <w:r>
              <w:rPr>
                <w:sz w:val="26"/>
                <w:szCs w:val="26"/>
                <w:spacing w:val="9"/>
              </w:rPr>
              <w:t>缺铜</w:t>
            </w:r>
          </w:p>
        </w:tc>
        <w:tc>
          <w:tcPr>
            <w:tcW w:w="9076" w:type="dxa"/>
            <w:vAlign w:val="top"/>
          </w:tcPr>
          <w:p>
            <w:pPr>
              <w:pStyle w:val="TableText"/>
              <w:ind w:left="2581"/>
              <w:spacing w:before="138" w:line="219" w:lineRule="auto"/>
              <w:rPr>
                <w:sz w:val="26"/>
                <w:szCs w:val="26"/>
              </w:rPr>
            </w:pPr>
            <w:r>
              <w:rPr>
                <w:sz w:val="26"/>
                <w:szCs w:val="26"/>
                <w:spacing w:val="-6"/>
              </w:rPr>
              <w:t>用0.01—0.02%的硫酸铜作根外追肥</w:t>
            </w:r>
          </w:p>
        </w:tc>
      </w:tr>
      <w:tr>
        <w:trPr>
          <w:trHeight w:val="514" w:hRule="atLeast"/>
        </w:trPr>
        <w:tc>
          <w:tcPr>
            <w:tcW w:w="1293" w:type="dxa"/>
            <w:vAlign w:val="top"/>
          </w:tcPr>
          <w:p>
            <w:pPr>
              <w:pStyle w:val="TableText"/>
              <w:ind w:left="374"/>
              <w:spacing w:before="140" w:line="220" w:lineRule="auto"/>
              <w:rPr>
                <w:sz w:val="26"/>
                <w:szCs w:val="26"/>
              </w:rPr>
            </w:pPr>
            <w:r>
              <w:rPr>
                <w:sz w:val="26"/>
                <w:szCs w:val="26"/>
                <w:spacing w:val="10"/>
              </w:rPr>
              <w:t>缺钼</w:t>
            </w:r>
          </w:p>
        </w:tc>
        <w:tc>
          <w:tcPr>
            <w:tcW w:w="9076" w:type="dxa"/>
            <w:vAlign w:val="top"/>
          </w:tcPr>
          <w:p>
            <w:pPr>
              <w:pStyle w:val="TableText"/>
              <w:ind w:left="2511"/>
              <w:spacing w:before="139" w:line="219" w:lineRule="auto"/>
              <w:rPr>
                <w:sz w:val="26"/>
                <w:szCs w:val="26"/>
              </w:rPr>
            </w:pPr>
            <w:r>
              <w:rPr>
                <w:sz w:val="26"/>
                <w:szCs w:val="26"/>
              </w:rPr>
              <w:t>用0.01%钼酸铵或是钼酸钠叶面喷施</w:t>
            </w:r>
          </w:p>
        </w:tc>
      </w:tr>
    </w:tbl>
    <w:p>
      <w:pPr>
        <w:rPr>
          <w:rFonts w:ascii="Arial"/>
          <w:sz w:val="21"/>
        </w:rPr>
      </w:pPr>
      <w:r/>
    </w:p>
    <w:p>
      <w:pPr>
        <w:sectPr>
          <w:headerReference w:type="default" r:id="rId312"/>
          <w:footerReference w:type="default" r:id="rId313"/>
          <w:pgSz w:w="14490" w:h="20470"/>
          <w:pgMar w:top="400" w:right="2065" w:bottom="1405" w:left="2045" w:header="0" w:footer="1243" w:gutter="0"/>
        </w:sectPr>
        <w:rPr>
          <w:rFonts w:ascii="Arial" w:hAnsi="Arial" w:eastAsia="Arial" w:cs="Arial"/>
          <w:sz w:val="21"/>
          <w:szCs w:val="21"/>
        </w:rPr>
      </w:pP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before="88" w:line="223" w:lineRule="auto"/>
        <w:outlineLvl w:val="1"/>
        <w:rPr>
          <w:rFonts w:ascii="SimHei" w:hAnsi="SimHei" w:eastAsia="SimHei" w:cs="SimHei"/>
          <w:sz w:val="27"/>
          <w:szCs w:val="27"/>
        </w:rPr>
      </w:pPr>
      <w:bookmarkStart w:name="bookmark40" w:id="69"/>
      <w:bookmarkEnd w:id="69"/>
      <w:r>
        <w:rPr>
          <w:rFonts w:ascii="SimHei" w:hAnsi="SimHei" w:eastAsia="SimHei" w:cs="SimHei"/>
          <w:sz w:val="27"/>
          <w:szCs w:val="27"/>
          <w:spacing w:val="-8"/>
        </w:rPr>
        <w:t>二、植物虫害</w:t>
      </w:r>
    </w:p>
    <w:p>
      <w:pPr>
        <w:ind w:left="119"/>
        <w:spacing w:before="152" w:line="221" w:lineRule="auto"/>
        <w:outlineLvl w:val="2"/>
        <w:rPr>
          <w:rFonts w:ascii="SimHei" w:hAnsi="SimHei" w:eastAsia="SimHei" w:cs="SimHei"/>
          <w:sz w:val="32"/>
          <w:szCs w:val="32"/>
        </w:rPr>
      </w:pPr>
      <w:bookmarkStart w:name="bookmark108" w:id="70"/>
      <w:bookmarkEnd w:id="70"/>
      <w:bookmarkStart w:name="bookmark41" w:id="71"/>
      <w:bookmarkEnd w:id="71"/>
      <w:r>
        <w:rPr>
          <w:rFonts w:ascii="SimHei" w:hAnsi="SimHei" w:eastAsia="SimHei" w:cs="SimHei"/>
          <w:sz w:val="32"/>
          <w:szCs w:val="32"/>
          <w:spacing w:val="6"/>
        </w:rPr>
        <w:t>(一)基础知识</w:t>
      </w:r>
    </w:p>
    <w:p>
      <w:pPr>
        <w:pStyle w:val="BodyText"/>
        <w:ind w:right="446" w:firstLine="590"/>
        <w:spacing w:before="128" w:line="314" w:lineRule="auto"/>
        <w:rPr>
          <w:sz w:val="29"/>
          <w:szCs w:val="29"/>
        </w:rPr>
      </w:pPr>
      <w:r>
        <w:rPr>
          <w:sz w:val="29"/>
          <w:szCs w:val="29"/>
          <w:spacing w:val="-11"/>
        </w:rPr>
        <w:t>危害园林植物的害虫，目前已知的有3000多种，其中主要的有数百种之多。害</w:t>
      </w:r>
      <w:r>
        <w:rPr>
          <w:sz w:val="29"/>
          <w:szCs w:val="29"/>
          <w:spacing w:val="13"/>
        </w:rPr>
        <w:t xml:space="preserve"> </w:t>
      </w:r>
      <w:r>
        <w:rPr>
          <w:sz w:val="29"/>
          <w:szCs w:val="29"/>
          <w:spacing w:val="-11"/>
        </w:rPr>
        <w:t>虫分类：</w:t>
      </w:r>
    </w:p>
    <w:p>
      <w:pPr>
        <w:pStyle w:val="BodyText"/>
        <w:ind w:left="590"/>
        <w:spacing w:before="4" w:line="219" w:lineRule="auto"/>
        <w:rPr>
          <w:sz w:val="29"/>
          <w:szCs w:val="29"/>
        </w:rPr>
      </w:pPr>
      <w:r>
        <w:rPr>
          <w:sz w:val="29"/>
          <w:szCs w:val="29"/>
          <w:spacing w:val="-6"/>
        </w:rPr>
        <w:t>按口器结构分：</w:t>
      </w:r>
    </w:p>
    <w:p>
      <w:pPr>
        <w:pStyle w:val="BodyText"/>
        <w:ind w:right="601" w:firstLine="590"/>
        <w:spacing w:before="101" w:line="299" w:lineRule="auto"/>
        <w:rPr>
          <w:sz w:val="29"/>
          <w:szCs w:val="29"/>
        </w:rPr>
      </w:pPr>
      <w:r>
        <w:rPr>
          <w:rFonts w:ascii="SimHei" w:hAnsi="SimHei" w:eastAsia="SimHei" w:cs="SimHei"/>
          <w:sz w:val="29"/>
          <w:szCs w:val="29"/>
          <w:spacing w:val="-8"/>
        </w:rPr>
        <w:t>咀嚼式口器害虫，</w:t>
      </w:r>
      <w:r>
        <w:rPr>
          <w:sz w:val="29"/>
          <w:szCs w:val="29"/>
          <w:spacing w:val="-8"/>
        </w:rPr>
        <w:t>往往造成植物产生缺口、蛀孔、枯心、枝茎折断、植物各</w:t>
      </w:r>
      <w:r>
        <w:rPr>
          <w:sz w:val="29"/>
          <w:szCs w:val="29"/>
          <w:spacing w:val="16"/>
        </w:rPr>
        <w:t xml:space="preserve"> </w:t>
      </w:r>
      <w:r>
        <w:rPr>
          <w:sz w:val="29"/>
          <w:szCs w:val="29"/>
        </w:rPr>
        <w:t>器官损伤或死亡，常见的有蛾类的幼虫、金龟子成虫等；</w:t>
      </w:r>
    </w:p>
    <w:p>
      <w:pPr>
        <w:pStyle w:val="BodyText"/>
        <w:ind w:right="279" w:firstLine="590"/>
        <w:spacing w:line="307" w:lineRule="auto"/>
        <w:rPr>
          <w:sz w:val="29"/>
          <w:szCs w:val="29"/>
        </w:rPr>
      </w:pPr>
      <w:r>
        <w:rPr>
          <w:rFonts w:ascii="SimHei" w:hAnsi="SimHei" w:eastAsia="SimHei" w:cs="SimHei"/>
          <w:sz w:val="29"/>
          <w:szCs w:val="29"/>
          <w:spacing w:val="2"/>
        </w:rPr>
        <w:t>刺吸式口器害虫，</w:t>
      </w:r>
      <w:r>
        <w:rPr>
          <w:sz w:val="29"/>
          <w:szCs w:val="29"/>
          <w:spacing w:val="2"/>
        </w:rPr>
        <w:t>刺吸植物体内的汁液，受害部位常出现各种斑点或变色、</w:t>
      </w:r>
      <w:r>
        <w:rPr>
          <w:sz w:val="29"/>
          <w:szCs w:val="29"/>
          <w:spacing w:val="7"/>
        </w:rPr>
        <w:t xml:space="preserve"> </w:t>
      </w:r>
      <w:r>
        <w:rPr>
          <w:sz w:val="29"/>
          <w:szCs w:val="29"/>
          <w:spacing w:val="1"/>
        </w:rPr>
        <w:t>皱缩、卷曲、畸形、虫瘿等症状，常见的有蚜虫、红蜘蛛、介壳虫、蓟马等；</w:t>
      </w:r>
    </w:p>
    <w:p>
      <w:pPr>
        <w:pStyle w:val="BodyText"/>
        <w:ind w:left="590"/>
        <w:spacing w:line="219" w:lineRule="auto"/>
        <w:rPr>
          <w:sz w:val="29"/>
          <w:szCs w:val="29"/>
        </w:rPr>
      </w:pPr>
      <w:r>
        <w:rPr>
          <w:sz w:val="29"/>
          <w:szCs w:val="29"/>
          <w:spacing w:val="-6"/>
        </w:rPr>
        <w:t>按危害部位分：</w:t>
      </w:r>
    </w:p>
    <w:p>
      <w:pPr>
        <w:pStyle w:val="BodyText"/>
        <w:ind w:right="649" w:firstLine="590"/>
        <w:spacing w:before="100" w:line="315" w:lineRule="auto"/>
        <w:rPr>
          <w:sz w:val="29"/>
          <w:szCs w:val="29"/>
        </w:rPr>
      </w:pPr>
      <w:r>
        <w:rPr>
          <w:rFonts w:ascii="SimHei" w:hAnsi="SimHei" w:eastAsia="SimHei" w:cs="SimHei"/>
          <w:sz w:val="29"/>
          <w:szCs w:val="29"/>
          <w:spacing w:val="-9"/>
        </w:rPr>
        <w:t>蛀干害虫，</w:t>
      </w:r>
      <w:r>
        <w:rPr>
          <w:sz w:val="29"/>
          <w:szCs w:val="29"/>
          <w:spacing w:val="-9"/>
        </w:rPr>
        <w:t>钻蛀花木枝条、茎干，造成孔洞或隧道，如天牛、木蠹蛾、吉丁</w:t>
      </w:r>
      <w:r>
        <w:rPr>
          <w:sz w:val="29"/>
          <w:szCs w:val="29"/>
          <w:spacing w:val="1"/>
        </w:rPr>
        <w:t xml:space="preserve"> </w:t>
      </w:r>
      <w:r>
        <w:rPr>
          <w:sz w:val="29"/>
          <w:szCs w:val="29"/>
          <w:spacing w:val="-13"/>
        </w:rPr>
        <w:t>虫等；</w:t>
      </w:r>
    </w:p>
    <w:p>
      <w:pPr>
        <w:pStyle w:val="BodyText"/>
        <w:ind w:left="590"/>
        <w:spacing w:before="1" w:line="213" w:lineRule="auto"/>
        <w:rPr>
          <w:sz w:val="29"/>
          <w:szCs w:val="29"/>
        </w:rPr>
      </w:pPr>
      <w:r>
        <w:rPr>
          <w:rFonts w:ascii="SimHei" w:hAnsi="SimHei" w:eastAsia="SimHei" w:cs="SimHei"/>
          <w:sz w:val="29"/>
          <w:szCs w:val="29"/>
        </w:rPr>
        <w:t>食叶害虫，</w:t>
      </w:r>
      <w:r>
        <w:rPr>
          <w:sz w:val="29"/>
          <w:szCs w:val="29"/>
        </w:rPr>
        <w:t>具有咀嚼式口器，主要取食植物叶、花等器官；</w:t>
      </w:r>
    </w:p>
    <w:p>
      <w:pPr>
        <w:pStyle w:val="BodyText"/>
        <w:ind w:firstLine="590"/>
        <w:spacing w:before="166" w:line="310" w:lineRule="auto"/>
        <w:rPr>
          <w:sz w:val="29"/>
          <w:szCs w:val="29"/>
        </w:rPr>
      </w:pPr>
      <w:r>
        <w:rPr>
          <w:rFonts w:ascii="SimHei" w:hAnsi="SimHei" w:eastAsia="SimHei" w:cs="SimHei"/>
          <w:sz w:val="29"/>
          <w:szCs w:val="29"/>
          <w:spacing w:val="2"/>
        </w:rPr>
        <w:t>地下害虫，</w:t>
      </w:r>
      <w:r>
        <w:rPr>
          <w:sz w:val="29"/>
          <w:szCs w:val="29"/>
          <w:spacing w:val="2"/>
        </w:rPr>
        <w:t>在土中危害植物根部或近土主茎，常见的有蛴蜡、地老</w:t>
      </w:r>
      <w:r>
        <w:rPr>
          <w:sz w:val="29"/>
          <w:szCs w:val="29"/>
          <w:spacing w:val="1"/>
        </w:rPr>
        <w:t>虎、蝼蛄、</w:t>
      </w:r>
      <w:r>
        <w:rPr>
          <w:sz w:val="29"/>
          <w:szCs w:val="29"/>
        </w:rPr>
        <w:t xml:space="preserve"> </w:t>
      </w:r>
      <w:r>
        <w:rPr>
          <w:sz w:val="29"/>
          <w:szCs w:val="29"/>
          <w:spacing w:val="-2"/>
        </w:rPr>
        <w:t>金针虫等。世</w:t>
      </w:r>
    </w:p>
    <w:p>
      <w:pPr>
        <w:pStyle w:val="BodyText"/>
        <w:spacing w:line="219" w:lineRule="auto"/>
        <w:rPr>
          <w:sz w:val="29"/>
          <w:szCs w:val="29"/>
        </w:rPr>
      </w:pPr>
      <w:r>
        <w:rPr>
          <w:sz w:val="29"/>
          <w:szCs w:val="29"/>
          <w:spacing w:val="2"/>
        </w:rPr>
        <w:t>代和生活史</w:t>
      </w:r>
    </w:p>
    <w:p>
      <w:pPr>
        <w:pStyle w:val="BodyText"/>
        <w:ind w:right="367" w:firstLine="590"/>
        <w:spacing w:before="125" w:line="325" w:lineRule="auto"/>
        <w:rPr>
          <w:sz w:val="29"/>
          <w:szCs w:val="29"/>
        </w:rPr>
      </w:pPr>
      <w:r>
        <w:rPr>
          <w:sz w:val="29"/>
          <w:szCs w:val="29"/>
          <w:spacing w:val="-9"/>
        </w:rPr>
        <w:t>世代：从卵开始到成虫为止的一个发育周期称为一个世代，代数的多少依害虫</w:t>
      </w:r>
      <w:r>
        <w:rPr>
          <w:sz w:val="29"/>
          <w:szCs w:val="29"/>
          <w:spacing w:val="2"/>
        </w:rPr>
        <w:t xml:space="preserve"> </w:t>
      </w:r>
      <w:r>
        <w:rPr>
          <w:sz w:val="29"/>
          <w:szCs w:val="29"/>
          <w:spacing w:val="-2"/>
        </w:rPr>
        <w:t>种类和气候条件的不同而不同；</w:t>
      </w:r>
    </w:p>
    <w:p>
      <w:pPr>
        <w:pStyle w:val="BodyText"/>
        <w:ind w:right="129" w:firstLine="590"/>
        <w:spacing w:line="314" w:lineRule="auto"/>
        <w:rPr>
          <w:sz w:val="29"/>
          <w:szCs w:val="29"/>
        </w:rPr>
      </w:pPr>
      <w:r>
        <w:rPr>
          <w:sz w:val="29"/>
          <w:szCs w:val="29"/>
          <w:spacing w:val="-1"/>
        </w:rPr>
        <w:t>生活史：指害虫在一生中各个虫期经过的情况。害虫的卵、幼虫、蛹和成虫</w:t>
      </w:r>
      <w:r>
        <w:rPr>
          <w:sz w:val="29"/>
          <w:szCs w:val="29"/>
          <w:spacing w:val="9"/>
        </w:rPr>
        <w:t xml:space="preserve">  </w:t>
      </w:r>
      <w:r>
        <w:rPr>
          <w:sz w:val="29"/>
          <w:szCs w:val="29"/>
          <w:spacing w:val="-9"/>
        </w:rPr>
        <w:t>的发生期，都可分为初、盛、末三个时期，在盛期之</w:t>
      </w:r>
      <w:r>
        <w:rPr>
          <w:sz w:val="29"/>
          <w:szCs w:val="29"/>
          <w:spacing w:val="-10"/>
        </w:rPr>
        <w:t>前进行防治能达到较好的效果。</w:t>
      </w:r>
    </w:p>
    <w:p>
      <w:pPr>
        <w:ind w:left="109"/>
        <w:spacing w:before="72" w:line="222" w:lineRule="auto"/>
        <w:outlineLvl w:val="2"/>
        <w:rPr>
          <w:rFonts w:ascii="SimHei" w:hAnsi="SimHei" w:eastAsia="SimHei" w:cs="SimHei"/>
          <w:sz w:val="29"/>
          <w:szCs w:val="29"/>
        </w:rPr>
      </w:pPr>
      <w:bookmarkStart w:name="bookmark42" w:id="72"/>
      <w:bookmarkEnd w:id="72"/>
      <w:r>
        <w:rPr>
          <w:rFonts w:ascii="SimHei" w:hAnsi="SimHei" w:eastAsia="SimHei" w:cs="SimHei"/>
          <w:sz w:val="29"/>
          <w:szCs w:val="29"/>
          <w:spacing w:val="26"/>
        </w:rPr>
        <w:t>(二)刺吸式害虫</w:t>
      </w:r>
    </w:p>
    <w:p>
      <w:pPr>
        <w:pStyle w:val="BodyText"/>
        <w:spacing w:before="110" w:line="221"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叶蝉类</w:t>
      </w:r>
    </w:p>
    <w:p>
      <w:pPr>
        <w:ind w:left="590"/>
        <w:spacing w:before="154" w:line="222" w:lineRule="auto"/>
        <w:rPr>
          <w:rFonts w:ascii="SimHei" w:hAnsi="SimHei" w:eastAsia="SimHei" w:cs="SimHei"/>
          <w:sz w:val="29"/>
          <w:szCs w:val="29"/>
        </w:rPr>
      </w:pPr>
      <w:r>
        <w:rPr>
          <w:rFonts w:ascii="SimHei" w:hAnsi="SimHei" w:eastAsia="SimHei" w:cs="SimHei"/>
          <w:sz w:val="29"/>
          <w:szCs w:val="29"/>
          <w:spacing w:val="20"/>
        </w:rPr>
        <w:t>1)桃一点斑叶蝉</w:t>
      </w:r>
    </w:p>
    <w:p>
      <w:pPr>
        <w:pStyle w:val="BodyText"/>
        <w:ind w:left="590"/>
        <w:spacing w:before="103" w:line="219" w:lineRule="auto"/>
        <w:rPr>
          <w:sz w:val="29"/>
          <w:szCs w:val="29"/>
        </w:rPr>
      </w:pPr>
      <w:r>
        <w:rPr>
          <w:sz w:val="29"/>
          <w:szCs w:val="29"/>
          <w:spacing w:val="5"/>
        </w:rPr>
        <w:t>(1)危害植物：桃、桂花、梅花、月季、蔷薇、海棠、山茶、海桐等；</w:t>
      </w:r>
    </w:p>
    <w:p>
      <w:pPr>
        <w:pStyle w:val="BodyText"/>
        <w:ind w:right="562" w:firstLine="590"/>
        <w:spacing w:before="167" w:line="262" w:lineRule="auto"/>
        <w:rPr>
          <w:sz w:val="29"/>
          <w:szCs w:val="29"/>
        </w:rPr>
      </w:pPr>
      <w:r>
        <w:rPr>
          <w:sz w:val="29"/>
          <w:szCs w:val="29"/>
          <w:spacing w:val="-2"/>
        </w:rPr>
        <w:t>(2)表现症状：成虫和若虫在叶背面吸汁液，被害叶面呈现苍白色失绿小斑</w:t>
      </w:r>
      <w:r>
        <w:rPr>
          <w:sz w:val="29"/>
          <w:szCs w:val="29"/>
          <w:spacing w:val="4"/>
        </w:rPr>
        <w:t xml:space="preserve"> </w:t>
      </w:r>
      <w:r>
        <w:rPr>
          <w:sz w:val="29"/>
          <w:szCs w:val="29"/>
          <w:spacing w:val="-7"/>
        </w:rPr>
        <w:t>点，重时整片叶苍白，以致焦枯脱落；</w:t>
      </w:r>
    </w:p>
    <w:p>
      <w:pPr>
        <w:spacing w:before="14" w:line="2920" w:lineRule="exact"/>
        <w:rPr/>
      </w:pPr>
      <w:r>
        <w:rPr>
          <w:position w:val="-58"/>
        </w:rPr>
        <w:drawing>
          <wp:inline distT="0" distB="0" distL="0" distR="0">
            <wp:extent cx="6451569" cy="1854229"/>
            <wp:effectExtent l="0" t="0" r="0" b="0"/>
            <wp:docPr id="432" name="IM 432"/>
            <wp:cNvGraphicFramePr/>
            <a:graphic>
              <a:graphicData uri="http://schemas.openxmlformats.org/drawingml/2006/picture">
                <pic:pic>
                  <pic:nvPicPr>
                    <pic:cNvPr id="432" name="IM 432"/>
                    <pic:cNvPicPr/>
                  </pic:nvPicPr>
                  <pic:blipFill>
                    <a:blip r:embed="rId316"/>
                    <a:stretch>
                      <a:fillRect/>
                    </a:stretch>
                  </pic:blipFill>
                  <pic:spPr>
                    <a:xfrm rot="0">
                      <a:off x="0" y="0"/>
                      <a:ext cx="6451569" cy="1854229"/>
                    </a:xfrm>
                    <a:prstGeom prst="rect">
                      <a:avLst/>
                    </a:prstGeom>
                  </pic:spPr>
                </pic:pic>
              </a:graphicData>
            </a:graphic>
          </wp:inline>
        </w:drawing>
      </w:r>
    </w:p>
    <w:p>
      <w:pPr>
        <w:pStyle w:val="BodyText"/>
        <w:ind w:left="2270"/>
        <w:spacing w:before="160" w:line="219" w:lineRule="auto"/>
        <w:rPr>
          <w:sz w:val="24"/>
          <w:szCs w:val="24"/>
        </w:rPr>
      </w:pPr>
      <w:r>
        <w:rPr>
          <w:sz w:val="24"/>
          <w:szCs w:val="24"/>
          <w:spacing w:val="10"/>
        </w:rPr>
        <w:t>图6-2-1桃一点斑叶蝉幼虫、若虫、成虫及表现症状</w:t>
      </w:r>
    </w:p>
    <w:p>
      <w:pPr>
        <w:pStyle w:val="BodyText"/>
        <w:ind w:left="740"/>
        <w:spacing w:before="167" w:line="219" w:lineRule="auto"/>
        <w:rPr>
          <w:sz w:val="29"/>
          <w:szCs w:val="29"/>
        </w:rPr>
      </w:pPr>
      <w:r>
        <w:rPr>
          <w:sz w:val="29"/>
          <w:szCs w:val="29"/>
          <w:spacing w:val="4"/>
        </w:rPr>
        <w:t>(3)发生时期：5月上若虫始孵；6月上旬出现第1代成虫，后虫态不</w:t>
      </w:r>
      <w:r>
        <w:rPr>
          <w:sz w:val="29"/>
          <w:szCs w:val="29"/>
          <w:spacing w:val="3"/>
        </w:rPr>
        <w:t>齐，</w:t>
      </w:r>
    </w:p>
    <w:p>
      <w:pPr>
        <w:spacing w:line="219" w:lineRule="auto"/>
        <w:sectPr>
          <w:footerReference w:type="default" r:id="rId315"/>
          <w:pgSz w:w="14490" w:h="20470"/>
          <w:pgMar w:top="400" w:right="1825" w:bottom="1423" w:left="2150" w:header="0" w:footer="122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19"/>
        <w:spacing w:before="94" w:line="219" w:lineRule="auto"/>
        <w:rPr>
          <w:sz w:val="29"/>
          <w:szCs w:val="29"/>
        </w:rPr>
      </w:pPr>
      <w:r>
        <w:rPr>
          <w:sz w:val="29"/>
          <w:szCs w:val="29"/>
          <w:spacing w:val="1"/>
        </w:rPr>
        <w:t>世代重叠；7—8月虫口骤增，为害严重；9—10月发生最后一代成虫；</w:t>
      </w:r>
    </w:p>
    <w:p>
      <w:pPr>
        <w:pStyle w:val="BodyText"/>
        <w:ind w:left="19" w:right="102" w:firstLine="720"/>
        <w:spacing w:before="155" w:line="303" w:lineRule="auto"/>
        <w:rPr>
          <w:sz w:val="29"/>
          <w:szCs w:val="29"/>
        </w:rPr>
      </w:pPr>
      <w:r>
        <w:rPr>
          <w:sz w:val="29"/>
          <w:szCs w:val="29"/>
          <w:spacing w:val="6"/>
        </w:rPr>
        <w:t>(4)分布省份：分布于石家庄、西安、济南、南京、合肥、重庆、贵阳等</w:t>
      </w:r>
      <w:r>
        <w:rPr>
          <w:sz w:val="29"/>
          <w:szCs w:val="29"/>
        </w:rPr>
        <w:t xml:space="preserve"> </w:t>
      </w:r>
      <w:r>
        <w:rPr>
          <w:sz w:val="29"/>
          <w:szCs w:val="29"/>
          <w:spacing w:val="-2"/>
        </w:rPr>
        <w:t>地区。</w:t>
      </w:r>
    </w:p>
    <w:p>
      <w:pPr>
        <w:ind w:left="600"/>
        <w:spacing w:before="76" w:line="222" w:lineRule="auto"/>
        <w:rPr>
          <w:rFonts w:ascii="SimHei" w:hAnsi="SimHei" w:eastAsia="SimHei" w:cs="SimHei"/>
          <w:sz w:val="28"/>
          <w:szCs w:val="28"/>
        </w:rPr>
      </w:pPr>
      <w:r>
        <w:rPr>
          <w:rFonts w:ascii="SimHei" w:hAnsi="SimHei" w:eastAsia="SimHei" w:cs="SimHei"/>
          <w:sz w:val="28"/>
          <w:szCs w:val="28"/>
          <w:spacing w:val="7"/>
        </w:rPr>
        <w:t>2)</w:t>
      </w:r>
      <w:r>
        <w:rPr>
          <w:rFonts w:ascii="SimHei" w:hAnsi="SimHei" w:eastAsia="SimHei" w:cs="SimHei"/>
          <w:sz w:val="28"/>
          <w:szCs w:val="28"/>
          <w:spacing w:val="29"/>
        </w:rPr>
        <w:t xml:space="preserve"> </w:t>
      </w:r>
      <w:r>
        <w:rPr>
          <w:rFonts w:ascii="SimHei" w:hAnsi="SimHei" w:eastAsia="SimHei" w:cs="SimHei"/>
          <w:sz w:val="28"/>
          <w:szCs w:val="28"/>
          <w:spacing w:val="7"/>
        </w:rPr>
        <w:t>大青叶蝉</w:t>
      </w:r>
    </w:p>
    <w:p>
      <w:pPr>
        <w:pStyle w:val="BodyText"/>
        <w:ind w:left="19" w:right="172" w:firstLine="720"/>
        <w:spacing w:before="103" w:line="263" w:lineRule="auto"/>
        <w:rPr>
          <w:sz w:val="29"/>
          <w:szCs w:val="29"/>
        </w:rPr>
      </w:pPr>
      <w:r>
        <w:rPr>
          <w:sz w:val="29"/>
          <w:szCs w:val="29"/>
          <w:spacing w:val="-5"/>
        </w:rPr>
        <w:t>(1)危害植物：杨、柳、白蜡、刺槐、苹果、桃、梨、桧柏、梧桐、扁柏等</w:t>
      </w:r>
      <w:r>
        <w:rPr>
          <w:sz w:val="29"/>
          <w:szCs w:val="29"/>
          <w:spacing w:val="7"/>
        </w:rPr>
        <w:t xml:space="preserve"> </w:t>
      </w:r>
      <w:r>
        <w:rPr>
          <w:sz w:val="29"/>
          <w:szCs w:val="29"/>
          <w:spacing w:val="-8"/>
        </w:rPr>
        <w:t>160多种植物；</w:t>
      </w:r>
    </w:p>
    <w:p>
      <w:pPr>
        <w:pStyle w:val="BodyText"/>
        <w:ind w:left="19" w:right="151" w:firstLine="660"/>
        <w:spacing w:before="165" w:line="265" w:lineRule="auto"/>
        <w:rPr>
          <w:sz w:val="29"/>
          <w:szCs w:val="29"/>
        </w:rPr>
      </w:pPr>
      <w:r>
        <w:rPr>
          <w:sz w:val="29"/>
          <w:szCs w:val="29"/>
          <w:spacing w:val="6"/>
        </w:rPr>
        <w:t>(2)表现症状：大青叶蝉的为害特点是成虫和若虫为害叶片，刺吸汁液，</w:t>
      </w:r>
      <w:r>
        <w:rPr>
          <w:sz w:val="29"/>
          <w:szCs w:val="29"/>
          <w:spacing w:val="11"/>
        </w:rPr>
        <w:t xml:space="preserve"> </w:t>
      </w:r>
      <w:r>
        <w:rPr>
          <w:sz w:val="29"/>
          <w:szCs w:val="29"/>
          <w:spacing w:val="1"/>
        </w:rPr>
        <w:t>造成褪色、畸形、卷缩，甚至全叶枯死，大青叶蝉还可</w:t>
      </w:r>
      <w:r>
        <w:rPr>
          <w:sz w:val="29"/>
          <w:szCs w:val="29"/>
        </w:rPr>
        <w:t>传播病毒病；</w:t>
      </w:r>
    </w:p>
    <w:p>
      <w:pPr>
        <w:ind w:firstLine="9"/>
        <w:spacing w:before="56" w:line="3630" w:lineRule="exact"/>
        <w:rPr/>
      </w:pPr>
      <w:r>
        <w:drawing>
          <wp:anchor distT="0" distB="0" distL="0" distR="0" simplePos="0" relativeHeight="252091392" behindDoc="0" locked="0" layoutInCell="1" allowOverlap="1">
            <wp:simplePos x="0" y="0"/>
            <wp:positionH relativeFrom="column">
              <wp:posOffset>3333761</wp:posOffset>
            </wp:positionH>
            <wp:positionV relativeFrom="paragraph">
              <wp:posOffset>35445</wp:posOffset>
            </wp:positionV>
            <wp:extent cx="3047972" cy="2317753"/>
            <wp:effectExtent l="0" t="0" r="0" b="0"/>
            <wp:wrapNone/>
            <wp:docPr id="434" name="IM 434"/>
            <wp:cNvGraphicFramePr/>
            <a:graphic>
              <a:graphicData uri="http://schemas.openxmlformats.org/drawingml/2006/picture">
                <pic:pic>
                  <pic:nvPicPr>
                    <pic:cNvPr id="434" name="IM 434"/>
                    <pic:cNvPicPr/>
                  </pic:nvPicPr>
                  <pic:blipFill>
                    <a:blip r:embed="rId318"/>
                    <a:stretch>
                      <a:fillRect/>
                    </a:stretch>
                  </pic:blipFill>
                  <pic:spPr>
                    <a:xfrm rot="0">
                      <a:off x="0" y="0"/>
                      <a:ext cx="3047972" cy="2317753"/>
                    </a:xfrm>
                    <a:prstGeom prst="rect">
                      <a:avLst/>
                    </a:prstGeom>
                  </pic:spPr>
                </pic:pic>
              </a:graphicData>
            </a:graphic>
          </wp:anchor>
        </w:drawing>
      </w:r>
      <w:r>
        <w:rPr>
          <w:position w:val="-72"/>
        </w:rPr>
        <w:drawing>
          <wp:inline distT="0" distB="0" distL="0" distR="0">
            <wp:extent cx="3238528" cy="2305144"/>
            <wp:effectExtent l="0" t="0" r="0" b="0"/>
            <wp:docPr id="436" name="IM 436"/>
            <wp:cNvGraphicFramePr/>
            <a:graphic>
              <a:graphicData uri="http://schemas.openxmlformats.org/drawingml/2006/picture">
                <pic:pic>
                  <pic:nvPicPr>
                    <pic:cNvPr id="436" name="IM 436"/>
                    <pic:cNvPicPr/>
                  </pic:nvPicPr>
                  <pic:blipFill>
                    <a:blip r:embed="rId319"/>
                    <a:stretch>
                      <a:fillRect/>
                    </a:stretch>
                  </pic:blipFill>
                  <pic:spPr>
                    <a:xfrm rot="0">
                      <a:off x="0" y="0"/>
                      <a:ext cx="3238528" cy="2305144"/>
                    </a:xfrm>
                    <a:prstGeom prst="rect">
                      <a:avLst/>
                    </a:prstGeom>
                  </pic:spPr>
                </pic:pic>
              </a:graphicData>
            </a:graphic>
          </wp:inline>
        </w:drawing>
      </w:r>
    </w:p>
    <w:p>
      <w:pPr>
        <w:pStyle w:val="BodyText"/>
        <w:ind w:left="3529"/>
        <w:spacing w:before="149" w:line="219" w:lineRule="auto"/>
        <w:rPr>
          <w:sz w:val="26"/>
          <w:szCs w:val="26"/>
        </w:rPr>
      </w:pPr>
      <w:r>
        <w:rPr>
          <w:sz w:val="26"/>
          <w:szCs w:val="26"/>
          <w:spacing w:val="-9"/>
        </w:rPr>
        <w:t>图6-2-2大青叶蝉幼虫、成虫</w:t>
      </w:r>
    </w:p>
    <w:p>
      <w:pPr>
        <w:pStyle w:val="BodyText"/>
        <w:ind w:right="428" w:firstLine="740"/>
        <w:spacing w:before="135" w:line="283" w:lineRule="auto"/>
        <w:rPr>
          <w:sz w:val="29"/>
          <w:szCs w:val="29"/>
        </w:rPr>
      </w:pPr>
      <w:r>
        <w:rPr>
          <w:sz w:val="29"/>
          <w:szCs w:val="29"/>
          <w:spacing w:val="5"/>
        </w:rPr>
        <w:t>(3)发生时期：各地的世代有差异，从吉林的年生2代而至江西</w:t>
      </w:r>
      <w:r>
        <w:rPr>
          <w:sz w:val="29"/>
          <w:szCs w:val="29"/>
          <w:spacing w:val="4"/>
        </w:rPr>
        <w:t>的年生5</w:t>
      </w:r>
      <w:r>
        <w:rPr>
          <w:sz w:val="29"/>
          <w:szCs w:val="29"/>
        </w:rPr>
        <w:t xml:space="preserve"> </w:t>
      </w:r>
      <w:r>
        <w:rPr>
          <w:sz w:val="29"/>
          <w:szCs w:val="29"/>
          <w:spacing w:val="2"/>
        </w:rPr>
        <w:t>代。在甘肃、新疆、内蒙古1年发生2代；各代发生期为4月下旬</w:t>
      </w:r>
      <w:r>
        <w:rPr>
          <w:sz w:val="29"/>
          <w:szCs w:val="29"/>
          <w:spacing w:val="1"/>
        </w:rPr>
        <w:t>至7月中旬、</w:t>
      </w:r>
      <w:r>
        <w:rPr>
          <w:sz w:val="29"/>
          <w:szCs w:val="29"/>
        </w:rPr>
        <w:t xml:space="preserve"> </w:t>
      </w:r>
      <w:r>
        <w:rPr>
          <w:sz w:val="29"/>
          <w:szCs w:val="29"/>
          <w:spacing w:val="-1"/>
        </w:rPr>
        <w:t>6月中旬至11月上旬；</w:t>
      </w:r>
    </w:p>
    <w:p>
      <w:pPr>
        <w:pStyle w:val="BodyText"/>
        <w:ind w:left="19" w:right="27" w:firstLine="720"/>
        <w:spacing w:before="134" w:line="274" w:lineRule="auto"/>
        <w:rPr>
          <w:sz w:val="30"/>
          <w:szCs w:val="30"/>
        </w:rPr>
      </w:pPr>
      <w:r>
        <w:rPr>
          <w:sz w:val="30"/>
          <w:szCs w:val="30"/>
          <w:spacing w:val="-1"/>
        </w:rPr>
        <w:t>(4)分布省份：国内分布于黑龙江、吉林、辽宁、</w:t>
      </w:r>
      <w:r>
        <w:rPr>
          <w:sz w:val="30"/>
          <w:szCs w:val="30"/>
          <w:spacing w:val="-2"/>
        </w:rPr>
        <w:t>内蒙古、河北、河南、</w:t>
      </w:r>
      <w:r>
        <w:rPr>
          <w:sz w:val="30"/>
          <w:szCs w:val="30"/>
        </w:rPr>
        <w:t xml:space="preserve"> </w:t>
      </w:r>
      <w:r>
        <w:rPr>
          <w:sz w:val="30"/>
          <w:szCs w:val="30"/>
          <w:spacing w:val="-26"/>
        </w:rPr>
        <w:t>山东、江苏、浙江、安徽、江西、台湾、福建、湖北、湖南</w:t>
      </w:r>
      <w:r>
        <w:rPr>
          <w:sz w:val="30"/>
          <w:szCs w:val="30"/>
          <w:spacing w:val="-27"/>
        </w:rPr>
        <w:t>、广东、海南、贵州、四</w:t>
      </w:r>
      <w:r>
        <w:rPr>
          <w:sz w:val="30"/>
          <w:szCs w:val="30"/>
        </w:rPr>
        <w:t xml:space="preserve"> </w:t>
      </w:r>
      <w:r>
        <w:rPr>
          <w:sz w:val="30"/>
          <w:szCs w:val="30"/>
          <w:spacing w:val="-9"/>
        </w:rPr>
        <w:t>川、陕西、甘肃、宁夏、青海、新疆等省区。</w:t>
      </w:r>
    </w:p>
    <w:p>
      <w:pPr>
        <w:ind w:left="600"/>
        <w:spacing w:before="203" w:line="221" w:lineRule="auto"/>
        <w:rPr>
          <w:rFonts w:ascii="SimHei" w:hAnsi="SimHei" w:eastAsia="SimHei" w:cs="SimHei"/>
          <w:sz w:val="29"/>
          <w:szCs w:val="29"/>
        </w:rPr>
      </w:pPr>
      <w:r>
        <w:rPr>
          <w:rFonts w:ascii="SimHei" w:hAnsi="SimHei" w:eastAsia="SimHei" w:cs="SimHei"/>
          <w:sz w:val="29"/>
          <w:szCs w:val="29"/>
          <w:spacing w:val="19"/>
        </w:rPr>
        <w:t>3)叶蝉类防治方法</w:t>
      </w:r>
    </w:p>
    <w:p>
      <w:pPr>
        <w:pStyle w:val="BodyText"/>
        <w:ind w:left="19" w:right="99" w:firstLine="720"/>
        <w:spacing w:before="85" w:line="269" w:lineRule="auto"/>
        <w:rPr>
          <w:sz w:val="29"/>
          <w:szCs w:val="29"/>
        </w:rPr>
      </w:pPr>
      <w:r>
        <w:rPr>
          <w:sz w:val="29"/>
          <w:szCs w:val="29"/>
          <w:spacing w:val="6"/>
        </w:rPr>
        <w:t>(1)现场管理：加强管理，清洁庭园，冬春季清除杂草和枯枝落叶，并结</w:t>
      </w:r>
      <w:r>
        <w:rPr>
          <w:sz w:val="29"/>
          <w:szCs w:val="29"/>
          <w:spacing w:val="2"/>
        </w:rPr>
        <w:t xml:space="preserve"> </w:t>
      </w:r>
      <w:r>
        <w:rPr>
          <w:sz w:val="29"/>
          <w:szCs w:val="29"/>
          <w:spacing w:val="-3"/>
        </w:rPr>
        <w:t>合修剪，剪除产卵枝条或刮除卵块；</w:t>
      </w:r>
    </w:p>
    <w:p>
      <w:pPr>
        <w:pStyle w:val="BodyText"/>
        <w:ind w:left="740"/>
        <w:spacing w:before="156" w:line="219" w:lineRule="auto"/>
        <w:rPr>
          <w:sz w:val="29"/>
          <w:szCs w:val="29"/>
        </w:rPr>
      </w:pPr>
      <w:r>
        <w:rPr>
          <w:sz w:val="29"/>
          <w:szCs w:val="29"/>
          <w:spacing w:val="6"/>
        </w:rPr>
        <w:t>(2)物理防治：在成虫发生期，设置黑光灯，诱杀</w:t>
      </w:r>
      <w:r>
        <w:rPr>
          <w:sz w:val="29"/>
          <w:szCs w:val="29"/>
          <w:spacing w:val="5"/>
        </w:rPr>
        <w:t>具趋光性的成虫；</w:t>
      </w:r>
    </w:p>
    <w:p>
      <w:pPr>
        <w:pStyle w:val="BodyText"/>
        <w:ind w:left="19" w:right="101" w:firstLine="720"/>
        <w:spacing w:before="136" w:line="268" w:lineRule="auto"/>
        <w:rPr>
          <w:sz w:val="29"/>
          <w:szCs w:val="29"/>
        </w:rPr>
      </w:pPr>
      <w:r>
        <w:rPr>
          <w:sz w:val="29"/>
          <w:szCs w:val="29"/>
          <w:spacing w:val="6"/>
        </w:rPr>
        <w:t>(3)药剂防治：掌握在第一代若虫孵化盛期防治，对桃一点斑叶蝉，越冬</w:t>
      </w:r>
      <w:r>
        <w:rPr>
          <w:sz w:val="29"/>
          <w:szCs w:val="29"/>
          <w:spacing w:val="1"/>
        </w:rPr>
        <w:t xml:space="preserve"> </w:t>
      </w:r>
      <w:r>
        <w:rPr>
          <w:sz w:val="29"/>
          <w:szCs w:val="29"/>
          <w:spacing w:val="-3"/>
        </w:rPr>
        <w:t>成虫迁飞期也是防治适期，具体药剂参见《各地区农药肥</w:t>
      </w:r>
      <w:r>
        <w:rPr>
          <w:sz w:val="29"/>
          <w:szCs w:val="29"/>
          <w:spacing w:val="-4"/>
        </w:rPr>
        <w:t>料使用指导》。</w:t>
      </w:r>
    </w:p>
    <w:p>
      <w:pPr>
        <w:ind w:left="19"/>
        <w:spacing w:before="178" w:line="223" w:lineRule="auto"/>
        <w:rPr>
          <w:rFonts w:ascii="SimHei" w:hAnsi="SimHei" w:eastAsia="SimHei" w:cs="SimHei"/>
          <w:sz w:val="28"/>
          <w:szCs w:val="28"/>
        </w:rPr>
      </w:pPr>
      <w:r>
        <w:rPr>
          <w:rFonts w:ascii="SimHei" w:hAnsi="SimHei" w:eastAsia="SimHei" w:cs="SimHei"/>
          <w:sz w:val="28"/>
          <w:szCs w:val="28"/>
          <w:spacing w:val="15"/>
        </w:rPr>
        <w:t>2、蚜虫</w:t>
      </w:r>
    </w:p>
    <w:p>
      <w:pPr>
        <w:ind w:left="600"/>
        <w:spacing w:before="152" w:line="223" w:lineRule="auto"/>
        <w:rPr>
          <w:rFonts w:ascii="SimHei" w:hAnsi="SimHei" w:eastAsia="SimHei" w:cs="SimHei"/>
          <w:sz w:val="28"/>
          <w:szCs w:val="28"/>
        </w:rPr>
      </w:pPr>
      <w:r>
        <w:rPr>
          <w:rFonts w:ascii="SimHei" w:hAnsi="SimHei" w:eastAsia="SimHei" w:cs="SimHei"/>
          <w:sz w:val="28"/>
          <w:szCs w:val="28"/>
          <w:spacing w:val="1"/>
        </w:rPr>
        <w:t>1)</w:t>
      </w:r>
      <w:r>
        <w:rPr>
          <w:rFonts w:ascii="SimHei" w:hAnsi="SimHei" w:eastAsia="SimHei" w:cs="SimHei"/>
          <w:sz w:val="28"/>
          <w:szCs w:val="28"/>
          <w:spacing w:val="45"/>
        </w:rPr>
        <w:t xml:space="preserve"> </w:t>
      </w:r>
      <w:r>
        <w:rPr>
          <w:rFonts w:ascii="SimHei" w:hAnsi="SimHei" w:eastAsia="SimHei" w:cs="SimHei"/>
          <w:sz w:val="28"/>
          <w:szCs w:val="28"/>
          <w:spacing w:val="1"/>
        </w:rPr>
        <w:t>桃蚜</w:t>
      </w:r>
    </w:p>
    <w:p>
      <w:pPr>
        <w:pStyle w:val="BodyText"/>
        <w:ind w:left="740"/>
        <w:spacing w:before="108" w:line="217" w:lineRule="auto"/>
        <w:rPr>
          <w:sz w:val="29"/>
          <w:szCs w:val="29"/>
        </w:rPr>
      </w:pPr>
      <w:r>
        <w:rPr>
          <w:sz w:val="29"/>
          <w:szCs w:val="29"/>
          <w:spacing w:val="-5"/>
        </w:rPr>
        <w:t>①</w:t>
      </w:r>
      <w:r>
        <w:rPr>
          <w:sz w:val="29"/>
          <w:szCs w:val="29"/>
          <w:spacing w:val="36"/>
        </w:rPr>
        <w:t xml:space="preserve">  </w:t>
      </w:r>
      <w:r>
        <w:rPr>
          <w:sz w:val="29"/>
          <w:szCs w:val="29"/>
          <w:spacing w:val="-5"/>
        </w:rPr>
        <w:t>危害植物：桃、樱花、月季、香石竹等300多种</w:t>
      </w:r>
      <w:r>
        <w:rPr>
          <w:sz w:val="29"/>
          <w:szCs w:val="29"/>
          <w:spacing w:val="-6"/>
        </w:rPr>
        <w:t>花木；</w:t>
      </w:r>
    </w:p>
    <w:p>
      <w:pPr>
        <w:pStyle w:val="BodyText"/>
        <w:ind w:left="19" w:right="103" w:firstLine="720"/>
        <w:spacing w:before="148" w:line="270" w:lineRule="auto"/>
        <w:rPr>
          <w:sz w:val="29"/>
          <w:szCs w:val="29"/>
        </w:rPr>
      </w:pPr>
      <w:r>
        <w:rPr>
          <w:sz w:val="29"/>
          <w:szCs w:val="29"/>
          <w:spacing w:val="2"/>
        </w:rPr>
        <w:t>②  表现症状：吸食植物汁液，被害后向</w:t>
      </w:r>
      <w:r>
        <w:rPr>
          <w:sz w:val="29"/>
          <w:szCs w:val="29"/>
          <w:spacing w:val="1"/>
        </w:rPr>
        <w:t>反面横卷，呈不规则卷曲，严重</w:t>
      </w:r>
      <w:r>
        <w:rPr>
          <w:sz w:val="29"/>
          <w:szCs w:val="29"/>
        </w:rPr>
        <w:t xml:space="preserve"> </w:t>
      </w:r>
      <w:r>
        <w:rPr>
          <w:sz w:val="29"/>
          <w:szCs w:val="29"/>
          <w:spacing w:val="-1"/>
        </w:rPr>
        <w:t>时可致使叶枯黄脱落，排泄物诱发煤烟病；</w:t>
      </w:r>
    </w:p>
    <w:p>
      <w:pPr>
        <w:spacing w:line="270" w:lineRule="auto"/>
        <w:sectPr>
          <w:footerReference w:type="default" r:id="rId317"/>
          <w:pgSz w:w="14490" w:h="20470"/>
          <w:pgMar w:top="400" w:right="2173" w:bottom="1385" w:left="2140" w:header="0" w:footer="1223" w:gutter="0"/>
        </w:sectPr>
        <w:rPr>
          <w:sz w:val="29"/>
          <w:szCs w:val="29"/>
        </w:rPr>
      </w:pP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drawing>
          <wp:anchor distT="0" distB="0" distL="0" distR="0" simplePos="0" relativeHeight="252096512" behindDoc="0" locked="0" layoutInCell="1" allowOverlap="1">
            <wp:simplePos x="0" y="0"/>
            <wp:positionH relativeFrom="column">
              <wp:posOffset>0</wp:posOffset>
            </wp:positionH>
            <wp:positionV relativeFrom="paragraph">
              <wp:posOffset>173577</wp:posOffset>
            </wp:positionV>
            <wp:extent cx="2940043" cy="3333712"/>
            <wp:effectExtent l="0" t="0" r="0" b="0"/>
            <wp:wrapNone/>
            <wp:docPr id="438" name="IM 438"/>
            <wp:cNvGraphicFramePr/>
            <a:graphic>
              <a:graphicData uri="http://schemas.openxmlformats.org/drawingml/2006/picture">
                <pic:pic>
                  <pic:nvPicPr>
                    <pic:cNvPr id="438" name="IM 438"/>
                    <pic:cNvPicPr/>
                  </pic:nvPicPr>
                  <pic:blipFill>
                    <a:blip r:embed="rId321"/>
                    <a:stretch>
                      <a:fillRect/>
                    </a:stretch>
                  </pic:blipFill>
                  <pic:spPr>
                    <a:xfrm rot="0">
                      <a:off x="0" y="0"/>
                      <a:ext cx="2940043" cy="3333712"/>
                    </a:xfrm>
                    <a:prstGeom prst="rect">
                      <a:avLst/>
                    </a:prstGeom>
                  </pic:spPr>
                </pic:pic>
              </a:graphicData>
            </a:graphic>
          </wp:anchor>
        </w:drawing>
      </w:r>
      <w:r/>
    </w:p>
    <w:p>
      <w:pPr>
        <w:ind w:firstLine="4889"/>
        <w:spacing w:line="5260" w:lineRule="exact"/>
        <w:rPr/>
      </w:pPr>
      <w:r>
        <w:rPr>
          <w:position w:val="-105"/>
        </w:rPr>
        <w:drawing>
          <wp:inline distT="0" distB="0" distL="0" distR="0">
            <wp:extent cx="3390900" cy="3340080"/>
            <wp:effectExtent l="0" t="0" r="0" b="0"/>
            <wp:docPr id="440" name="IM 440"/>
            <wp:cNvGraphicFramePr/>
            <a:graphic>
              <a:graphicData uri="http://schemas.openxmlformats.org/drawingml/2006/picture">
                <pic:pic>
                  <pic:nvPicPr>
                    <pic:cNvPr id="440" name="IM 440"/>
                    <pic:cNvPicPr/>
                  </pic:nvPicPr>
                  <pic:blipFill>
                    <a:blip r:embed="rId322"/>
                    <a:stretch>
                      <a:fillRect/>
                    </a:stretch>
                  </pic:blipFill>
                  <pic:spPr>
                    <a:xfrm rot="0">
                      <a:off x="0" y="0"/>
                      <a:ext cx="3390900" cy="3340080"/>
                    </a:xfrm>
                    <a:prstGeom prst="rect">
                      <a:avLst/>
                    </a:prstGeom>
                  </pic:spPr>
                </pic:pic>
              </a:graphicData>
            </a:graphic>
          </wp:inline>
        </w:drawing>
      </w:r>
    </w:p>
    <w:p>
      <w:pPr>
        <w:pStyle w:val="BodyText"/>
        <w:ind w:left="3650"/>
        <w:spacing w:before="70" w:line="219" w:lineRule="auto"/>
        <w:rPr>
          <w:sz w:val="24"/>
          <w:szCs w:val="24"/>
        </w:rPr>
      </w:pPr>
      <w:r>
        <w:rPr>
          <w:sz w:val="24"/>
          <w:szCs w:val="24"/>
          <w:spacing w:val="6"/>
        </w:rPr>
        <w:t>图6-2-3桃蚜成虫表现症状</w:t>
      </w:r>
    </w:p>
    <w:p>
      <w:pPr>
        <w:pStyle w:val="BodyText"/>
        <w:ind w:right="400" w:firstLine="720"/>
        <w:spacing w:before="134" w:line="272" w:lineRule="auto"/>
        <w:rPr>
          <w:sz w:val="29"/>
          <w:szCs w:val="29"/>
        </w:rPr>
      </w:pPr>
      <w:r>
        <w:rPr>
          <w:sz w:val="29"/>
          <w:szCs w:val="29"/>
          <w:spacing w:val="-12"/>
        </w:rPr>
        <w:t>③</w:t>
      </w:r>
      <w:r>
        <w:rPr>
          <w:sz w:val="29"/>
          <w:szCs w:val="29"/>
          <w:spacing w:val="41"/>
        </w:rPr>
        <w:t xml:space="preserve">  </w:t>
      </w:r>
      <w:r>
        <w:rPr>
          <w:sz w:val="29"/>
          <w:szCs w:val="29"/>
          <w:spacing w:val="-12"/>
        </w:rPr>
        <w:t>发生时期：一年发生10—30多代，以卵在桃树的</w:t>
      </w:r>
      <w:r>
        <w:rPr>
          <w:sz w:val="29"/>
          <w:szCs w:val="29"/>
          <w:spacing w:val="-13"/>
        </w:rPr>
        <w:t>叶芽和花芽基部越冬，</w:t>
      </w:r>
      <w:r>
        <w:rPr>
          <w:sz w:val="29"/>
          <w:szCs w:val="29"/>
        </w:rPr>
        <w:t xml:space="preserve"> </w:t>
      </w:r>
      <w:r>
        <w:rPr>
          <w:sz w:val="29"/>
          <w:szCs w:val="29"/>
          <w:spacing w:val="-4"/>
        </w:rPr>
        <w:t>也有部分孤雌蚜在十字花科植物上越冬，4—5月为害盛期；</w:t>
      </w:r>
    </w:p>
    <w:p>
      <w:pPr>
        <w:pStyle w:val="BodyText"/>
        <w:ind w:left="720"/>
        <w:spacing w:before="174" w:line="217" w:lineRule="auto"/>
        <w:rPr>
          <w:sz w:val="29"/>
          <w:szCs w:val="29"/>
        </w:rPr>
      </w:pPr>
      <w:r>
        <w:rPr>
          <w:sz w:val="29"/>
          <w:szCs w:val="29"/>
          <w:spacing w:val="-3"/>
        </w:rPr>
        <w:t>④</w:t>
      </w:r>
      <w:r>
        <w:rPr>
          <w:sz w:val="29"/>
          <w:szCs w:val="29"/>
          <w:spacing w:val="40"/>
        </w:rPr>
        <w:t xml:space="preserve">  </w:t>
      </w:r>
      <w:r>
        <w:rPr>
          <w:sz w:val="29"/>
          <w:szCs w:val="29"/>
          <w:spacing w:val="-3"/>
        </w:rPr>
        <w:t>分布省份：华北地区、长江流域。</w:t>
      </w:r>
    </w:p>
    <w:p>
      <w:pPr>
        <w:ind w:left="560"/>
        <w:spacing w:before="114" w:line="220" w:lineRule="auto"/>
        <w:rPr>
          <w:rFonts w:ascii="SimHei" w:hAnsi="SimHei" w:eastAsia="SimHei" w:cs="SimHei"/>
          <w:sz w:val="28"/>
          <w:szCs w:val="28"/>
        </w:rPr>
      </w:pPr>
      <w:r>
        <w:rPr>
          <w:rFonts w:ascii="SimHei" w:hAnsi="SimHei" w:eastAsia="SimHei" w:cs="SimHei"/>
          <w:sz w:val="28"/>
          <w:szCs w:val="28"/>
          <w:spacing w:val="6"/>
        </w:rPr>
        <w:t>2)</w:t>
      </w:r>
      <w:r>
        <w:rPr>
          <w:rFonts w:ascii="SimHei" w:hAnsi="SimHei" w:eastAsia="SimHei" w:cs="SimHei"/>
          <w:sz w:val="28"/>
          <w:szCs w:val="28"/>
          <w:spacing w:val="35"/>
        </w:rPr>
        <w:t xml:space="preserve"> </w:t>
      </w:r>
      <w:r>
        <w:rPr>
          <w:rFonts w:ascii="SimHei" w:hAnsi="SimHei" w:eastAsia="SimHei" w:cs="SimHei"/>
          <w:sz w:val="28"/>
          <w:szCs w:val="28"/>
          <w:b/>
          <w:bCs/>
          <w:spacing w:val="6"/>
        </w:rPr>
        <w:t>桃粉蚜</w:t>
      </w:r>
    </w:p>
    <w:p>
      <w:pPr>
        <w:pStyle w:val="BodyText"/>
        <w:ind w:left="720"/>
        <w:spacing w:before="145" w:line="219" w:lineRule="auto"/>
        <w:rPr>
          <w:sz w:val="29"/>
          <w:szCs w:val="29"/>
        </w:rPr>
      </w:pPr>
      <w:r>
        <w:rPr>
          <w:sz w:val="29"/>
          <w:szCs w:val="29"/>
          <w:spacing w:val="7"/>
        </w:rPr>
        <w:t>(1)危害植物：桃、杏、红叶李、榆叶梅等；</w:t>
      </w:r>
    </w:p>
    <w:p>
      <w:pPr>
        <w:pStyle w:val="BodyText"/>
        <w:ind w:right="295" w:firstLine="720"/>
        <w:spacing w:before="146" w:line="271" w:lineRule="auto"/>
        <w:rPr>
          <w:sz w:val="29"/>
          <w:szCs w:val="29"/>
        </w:rPr>
      </w:pPr>
      <w:r>
        <w:rPr>
          <w:sz w:val="29"/>
          <w:szCs w:val="29"/>
          <w:spacing w:val="6"/>
        </w:rPr>
        <w:t>(2)为害特征：成、若虫群集于新梢和叶背刺吸汁液，被害叶失绿，并向 </w:t>
      </w:r>
      <w:r>
        <w:rPr>
          <w:sz w:val="29"/>
          <w:szCs w:val="29"/>
        </w:rPr>
        <w:t>叶背对合纵卷，被害茎、叶被有白色蜡粉，严重时叶片早落，嫩梢干枯；</w:t>
      </w:r>
    </w:p>
    <w:p>
      <w:pPr>
        <w:ind w:firstLine="1159"/>
        <w:spacing w:before="56" w:line="3430" w:lineRule="exact"/>
        <w:rPr/>
      </w:pPr>
      <w:r>
        <w:drawing>
          <wp:anchor distT="0" distB="0" distL="0" distR="0" simplePos="0" relativeHeight="252097536" behindDoc="0" locked="0" layoutInCell="1" allowOverlap="1">
            <wp:simplePos x="0" y="0"/>
            <wp:positionH relativeFrom="column">
              <wp:posOffset>3657549</wp:posOffset>
            </wp:positionH>
            <wp:positionV relativeFrom="paragraph">
              <wp:posOffset>60922</wp:posOffset>
            </wp:positionV>
            <wp:extent cx="1784379" cy="2152543"/>
            <wp:effectExtent l="0" t="0" r="0" b="0"/>
            <wp:wrapNone/>
            <wp:docPr id="442" name="IM 442"/>
            <wp:cNvGraphicFramePr/>
            <a:graphic>
              <a:graphicData uri="http://schemas.openxmlformats.org/drawingml/2006/picture">
                <pic:pic>
                  <pic:nvPicPr>
                    <pic:cNvPr id="442" name="IM 442"/>
                    <pic:cNvPicPr/>
                  </pic:nvPicPr>
                  <pic:blipFill>
                    <a:blip r:embed="rId323"/>
                    <a:stretch>
                      <a:fillRect/>
                    </a:stretch>
                  </pic:blipFill>
                  <pic:spPr>
                    <a:xfrm rot="0">
                      <a:off x="0" y="0"/>
                      <a:ext cx="1784379" cy="2152543"/>
                    </a:xfrm>
                    <a:prstGeom prst="rect">
                      <a:avLst/>
                    </a:prstGeom>
                  </pic:spPr>
                </pic:pic>
              </a:graphicData>
            </a:graphic>
          </wp:anchor>
        </w:drawing>
      </w:r>
      <w:r>
        <w:rPr>
          <w:position w:val="-68"/>
        </w:rPr>
        <w:drawing>
          <wp:inline distT="0" distB="0" distL="0" distR="0">
            <wp:extent cx="2882904" cy="2178020"/>
            <wp:effectExtent l="0" t="0" r="0" b="0"/>
            <wp:docPr id="444" name="IM 444"/>
            <wp:cNvGraphicFramePr/>
            <a:graphic>
              <a:graphicData uri="http://schemas.openxmlformats.org/drawingml/2006/picture">
                <pic:pic>
                  <pic:nvPicPr>
                    <pic:cNvPr id="444" name="IM 444"/>
                    <pic:cNvPicPr/>
                  </pic:nvPicPr>
                  <pic:blipFill>
                    <a:blip r:embed="rId324"/>
                    <a:stretch>
                      <a:fillRect/>
                    </a:stretch>
                  </pic:blipFill>
                  <pic:spPr>
                    <a:xfrm rot="0">
                      <a:off x="0" y="0"/>
                      <a:ext cx="2882904" cy="2178020"/>
                    </a:xfrm>
                    <a:prstGeom prst="rect">
                      <a:avLst/>
                    </a:prstGeom>
                  </pic:spPr>
                </pic:pic>
              </a:graphicData>
            </a:graphic>
          </wp:inline>
        </w:drawing>
      </w:r>
    </w:p>
    <w:p>
      <w:pPr>
        <w:pStyle w:val="BodyText"/>
        <w:ind w:left="3529"/>
        <w:spacing w:before="70" w:line="219" w:lineRule="auto"/>
        <w:rPr>
          <w:sz w:val="24"/>
          <w:szCs w:val="24"/>
        </w:rPr>
      </w:pPr>
      <w:r>
        <w:rPr>
          <w:sz w:val="24"/>
          <w:szCs w:val="24"/>
          <w:spacing w:val="7"/>
        </w:rPr>
        <w:t>图6-2-4桃粉蚜成虫表现症状</w:t>
      </w:r>
    </w:p>
    <w:p>
      <w:pPr>
        <w:pStyle w:val="BodyText"/>
        <w:ind w:firstLine="720"/>
        <w:spacing w:before="167" w:line="281" w:lineRule="auto"/>
        <w:rPr>
          <w:sz w:val="29"/>
          <w:szCs w:val="29"/>
        </w:rPr>
      </w:pPr>
      <w:r>
        <w:rPr>
          <w:sz w:val="29"/>
          <w:szCs w:val="29"/>
        </w:rPr>
        <w:t>(3)发生时期：一年发生10多代，南昌20多代，北京10余代；以卵在桃</w:t>
      </w:r>
      <w:r>
        <w:rPr>
          <w:sz w:val="29"/>
          <w:szCs w:val="29"/>
          <w:spacing w:val="-1"/>
        </w:rPr>
        <w:t>等冬</w:t>
      </w:r>
      <w:r>
        <w:rPr>
          <w:sz w:val="29"/>
          <w:szCs w:val="29"/>
        </w:rPr>
        <w:t xml:space="preserve">  </w:t>
      </w:r>
      <w:r>
        <w:rPr>
          <w:sz w:val="29"/>
          <w:szCs w:val="29"/>
          <w:spacing w:val="2"/>
        </w:rPr>
        <w:t>寄主的芽腋，裂缝及短枝叉处越冬；4—5月为害</w:t>
      </w:r>
      <w:r>
        <w:rPr>
          <w:sz w:val="29"/>
          <w:szCs w:val="29"/>
          <w:spacing w:val="1"/>
        </w:rPr>
        <w:t>盛期，6月以后迁至禾本科杂草，</w:t>
      </w:r>
      <w:r>
        <w:rPr>
          <w:sz w:val="29"/>
          <w:szCs w:val="29"/>
        </w:rPr>
        <w:t xml:space="preserve"> </w:t>
      </w:r>
      <w:r>
        <w:rPr>
          <w:sz w:val="29"/>
          <w:szCs w:val="29"/>
        </w:rPr>
        <w:t>10—11月产生有翅蚜，回迁，产生有性蚜交尾产卵越冬；</w:t>
      </w:r>
    </w:p>
    <w:p>
      <w:pPr>
        <w:pStyle w:val="BodyText"/>
        <w:ind w:left="720"/>
        <w:spacing w:before="154" w:line="219" w:lineRule="auto"/>
        <w:rPr>
          <w:sz w:val="29"/>
          <w:szCs w:val="29"/>
        </w:rPr>
      </w:pPr>
      <w:r>
        <w:rPr>
          <w:sz w:val="29"/>
          <w:szCs w:val="29"/>
          <w:spacing w:val="9"/>
        </w:rPr>
        <w:t>(4)分布省份：中国南北果区都有分布。</w:t>
      </w:r>
    </w:p>
    <w:p>
      <w:pPr>
        <w:ind w:left="560"/>
        <w:spacing w:before="132" w:line="222" w:lineRule="auto"/>
        <w:rPr>
          <w:rFonts w:ascii="SimHei" w:hAnsi="SimHei" w:eastAsia="SimHei" w:cs="SimHei"/>
          <w:sz w:val="27"/>
          <w:szCs w:val="27"/>
        </w:rPr>
      </w:pPr>
      <w:r>
        <w:rPr>
          <w:rFonts w:ascii="SimHei" w:hAnsi="SimHei" w:eastAsia="SimHei" w:cs="SimHei"/>
          <w:sz w:val="27"/>
          <w:szCs w:val="27"/>
          <w:spacing w:val="12"/>
        </w:rPr>
        <w:t>3)</w:t>
      </w:r>
      <w:r>
        <w:rPr>
          <w:rFonts w:ascii="SimHei" w:hAnsi="SimHei" w:eastAsia="SimHei" w:cs="SimHei"/>
          <w:sz w:val="27"/>
          <w:szCs w:val="27"/>
          <w:spacing w:val="50"/>
        </w:rPr>
        <w:t xml:space="preserve"> </w:t>
      </w:r>
      <w:r>
        <w:rPr>
          <w:rFonts w:ascii="SimHei" w:hAnsi="SimHei" w:eastAsia="SimHei" w:cs="SimHei"/>
          <w:sz w:val="27"/>
          <w:szCs w:val="27"/>
          <w:b/>
          <w:bCs/>
          <w:spacing w:val="12"/>
        </w:rPr>
        <w:t>桃瘤蚜</w:t>
      </w:r>
    </w:p>
    <w:p>
      <w:pPr>
        <w:pStyle w:val="BodyText"/>
        <w:ind w:left="560"/>
        <w:spacing w:before="171" w:line="219" w:lineRule="auto"/>
        <w:rPr>
          <w:sz w:val="29"/>
          <w:szCs w:val="29"/>
        </w:rPr>
      </w:pPr>
      <w:r>
        <w:rPr>
          <w:sz w:val="29"/>
          <w:szCs w:val="29"/>
          <w:spacing w:val="9"/>
        </w:rPr>
        <w:t>(1)危害植物：桃、碧桃、梅花等；</w:t>
      </w:r>
    </w:p>
    <w:p>
      <w:pPr>
        <w:spacing w:line="219" w:lineRule="auto"/>
        <w:sectPr>
          <w:footerReference w:type="default" r:id="rId320"/>
          <w:pgSz w:w="14490" w:h="20470"/>
          <w:pgMar w:top="400" w:right="1974" w:bottom="1395" w:left="2160" w:header="0" w:footer="1233"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14" w:firstLine="550"/>
        <w:spacing w:before="95" w:line="301" w:lineRule="auto"/>
        <w:jc w:val="both"/>
        <w:rPr>
          <w:sz w:val="29"/>
          <w:szCs w:val="29"/>
        </w:rPr>
      </w:pPr>
      <w:r>
        <w:drawing>
          <wp:anchor distT="0" distB="0" distL="0" distR="0" simplePos="0" relativeHeight="252101632" behindDoc="0" locked="0" layoutInCell="1" allowOverlap="1">
            <wp:simplePos x="0" y="0"/>
            <wp:positionH relativeFrom="column">
              <wp:posOffset>31743</wp:posOffset>
            </wp:positionH>
            <wp:positionV relativeFrom="paragraph">
              <wp:posOffset>954799</wp:posOffset>
            </wp:positionV>
            <wp:extent cx="3289319" cy="2114457"/>
            <wp:effectExtent l="0" t="0" r="0" b="0"/>
            <wp:wrapNone/>
            <wp:docPr id="446" name="IM 446"/>
            <wp:cNvGraphicFramePr/>
            <a:graphic>
              <a:graphicData uri="http://schemas.openxmlformats.org/drawingml/2006/picture">
                <pic:pic>
                  <pic:nvPicPr>
                    <pic:cNvPr id="446" name="IM 446"/>
                    <pic:cNvPicPr/>
                  </pic:nvPicPr>
                  <pic:blipFill>
                    <a:blip r:embed="rId326"/>
                    <a:stretch>
                      <a:fillRect/>
                    </a:stretch>
                  </pic:blipFill>
                  <pic:spPr>
                    <a:xfrm rot="0">
                      <a:off x="0" y="0"/>
                      <a:ext cx="3289319" cy="2114457"/>
                    </a:xfrm>
                    <a:prstGeom prst="rect">
                      <a:avLst/>
                    </a:prstGeom>
                  </pic:spPr>
                </pic:pic>
              </a:graphicData>
            </a:graphic>
          </wp:anchor>
        </w:drawing>
      </w:r>
      <w:r>
        <w:rPr>
          <w:sz w:val="29"/>
          <w:szCs w:val="29"/>
          <w:spacing w:val="5"/>
        </w:rPr>
        <w:t>(2)表现症状：以成、若虫群集叶背吸食汁液。受害叶的边缘向背后纵向卷</w:t>
      </w:r>
      <w:r>
        <w:rPr>
          <w:sz w:val="29"/>
          <w:szCs w:val="29"/>
          <w:spacing w:val="6"/>
        </w:rPr>
        <w:t xml:space="preserve"> </w:t>
      </w:r>
      <w:r>
        <w:rPr>
          <w:sz w:val="29"/>
          <w:szCs w:val="29"/>
          <w:spacing w:val="-9"/>
        </w:rPr>
        <w:t>曲，卷曲处组织肥厚，凸凹不平，初呈现淡绿色，后变红色，严重时整叶卷成</w:t>
      </w:r>
      <w:r>
        <w:rPr>
          <w:sz w:val="29"/>
          <w:szCs w:val="29"/>
          <w:spacing w:val="-10"/>
        </w:rPr>
        <w:t>细绳</w:t>
      </w:r>
      <w:r>
        <w:rPr>
          <w:sz w:val="29"/>
          <w:szCs w:val="29"/>
        </w:rPr>
        <w:t xml:space="preserve"> </w:t>
      </w:r>
      <w:r>
        <w:rPr>
          <w:sz w:val="29"/>
          <w:szCs w:val="29"/>
          <w:spacing w:val="-2"/>
        </w:rPr>
        <w:t>状，最后干枯脱落；</w:t>
      </w:r>
    </w:p>
    <w:p>
      <w:pPr>
        <w:ind w:firstLine="5449"/>
        <w:spacing w:line="3300" w:lineRule="exact"/>
        <w:rPr/>
      </w:pPr>
      <w:r>
        <w:rPr>
          <w:position w:val="-66"/>
        </w:rPr>
        <w:drawing>
          <wp:inline distT="0" distB="0" distL="0" distR="0">
            <wp:extent cx="2965438" cy="2095610"/>
            <wp:effectExtent l="0" t="0" r="0" b="0"/>
            <wp:docPr id="448" name="IM 448"/>
            <wp:cNvGraphicFramePr/>
            <a:graphic>
              <a:graphicData uri="http://schemas.openxmlformats.org/drawingml/2006/picture">
                <pic:pic>
                  <pic:nvPicPr>
                    <pic:cNvPr id="448" name="IM 448"/>
                    <pic:cNvPicPr/>
                  </pic:nvPicPr>
                  <pic:blipFill>
                    <a:blip r:embed="rId327"/>
                    <a:stretch>
                      <a:fillRect/>
                    </a:stretch>
                  </pic:blipFill>
                  <pic:spPr>
                    <a:xfrm rot="0">
                      <a:off x="0" y="0"/>
                      <a:ext cx="2965438" cy="2095610"/>
                    </a:xfrm>
                    <a:prstGeom prst="rect">
                      <a:avLst/>
                    </a:prstGeom>
                  </pic:spPr>
                </pic:pic>
              </a:graphicData>
            </a:graphic>
          </wp:inline>
        </w:drawing>
      </w:r>
    </w:p>
    <w:p>
      <w:pPr>
        <w:pStyle w:val="BodyText"/>
        <w:ind w:left="3539"/>
        <w:spacing w:before="200" w:line="219" w:lineRule="auto"/>
        <w:rPr>
          <w:sz w:val="26"/>
          <w:szCs w:val="26"/>
        </w:rPr>
      </w:pPr>
      <w:r>
        <w:rPr>
          <w:sz w:val="26"/>
          <w:szCs w:val="26"/>
          <w:spacing w:val="-10"/>
        </w:rPr>
        <w:t>图6-2-5桃瘤蚜成虫表现症状</w:t>
      </w:r>
    </w:p>
    <w:p>
      <w:pPr>
        <w:pStyle w:val="BodyText"/>
        <w:ind w:right="14" w:firstLine="730"/>
        <w:spacing w:before="142" w:line="281" w:lineRule="auto"/>
        <w:rPr>
          <w:sz w:val="29"/>
          <w:szCs w:val="29"/>
        </w:rPr>
      </w:pPr>
      <w:r>
        <w:rPr>
          <w:sz w:val="29"/>
          <w:szCs w:val="29"/>
          <w:spacing w:val="-1"/>
        </w:rPr>
        <w:t>(3)发生时期：一年发生10—30代；以</w:t>
      </w:r>
      <w:r>
        <w:rPr>
          <w:sz w:val="29"/>
          <w:szCs w:val="29"/>
          <w:spacing w:val="-2"/>
        </w:rPr>
        <w:t>卵在桃、樱桃等枝条的腋芽处越冬，</w:t>
      </w:r>
      <w:r>
        <w:rPr>
          <w:sz w:val="29"/>
          <w:szCs w:val="29"/>
        </w:rPr>
        <w:t xml:space="preserve"> </w:t>
      </w:r>
      <w:r>
        <w:rPr>
          <w:sz w:val="29"/>
          <w:szCs w:val="29"/>
          <w:spacing w:val="4"/>
        </w:rPr>
        <w:t>翌年春当桃芽萌动后，卵开始孵化；4—5月为害盛期，4月末有翅蚜迁移至艾蓬</w:t>
      </w:r>
      <w:r>
        <w:rPr>
          <w:sz w:val="29"/>
          <w:szCs w:val="29"/>
          <w:spacing w:val="2"/>
        </w:rPr>
        <w:t xml:space="preserve"> </w:t>
      </w:r>
      <w:r>
        <w:rPr>
          <w:sz w:val="29"/>
          <w:szCs w:val="29"/>
          <w:spacing w:val="-2"/>
        </w:rPr>
        <w:t>等植物上繁殖，10月下旬迁回为害，交配产卵越冬；</w:t>
      </w:r>
    </w:p>
    <w:p>
      <w:pPr>
        <w:pStyle w:val="BodyText"/>
        <w:ind w:left="730"/>
        <w:spacing w:before="154" w:line="219" w:lineRule="auto"/>
        <w:rPr>
          <w:sz w:val="29"/>
          <w:szCs w:val="29"/>
        </w:rPr>
      </w:pPr>
      <w:r>
        <w:rPr>
          <w:sz w:val="29"/>
          <w:szCs w:val="29"/>
          <w:spacing w:val="8"/>
        </w:rPr>
        <w:t>(4)分布省份：中国分布较广，南、北方均有</w:t>
      </w:r>
      <w:r>
        <w:rPr>
          <w:sz w:val="29"/>
          <w:szCs w:val="29"/>
          <w:spacing w:val="7"/>
        </w:rPr>
        <w:t>发生。</w:t>
      </w:r>
    </w:p>
    <w:p>
      <w:pPr>
        <w:ind w:left="590"/>
        <w:spacing w:before="125" w:line="221" w:lineRule="auto"/>
        <w:rPr>
          <w:rFonts w:ascii="SimHei" w:hAnsi="SimHei" w:eastAsia="SimHei" w:cs="SimHei"/>
          <w:sz w:val="29"/>
          <w:szCs w:val="29"/>
        </w:rPr>
      </w:pPr>
      <w:r>
        <w:rPr>
          <w:rFonts w:ascii="SimHei" w:hAnsi="SimHei" w:eastAsia="SimHei" w:cs="SimHei"/>
          <w:sz w:val="29"/>
          <w:szCs w:val="29"/>
          <w:spacing w:val="2"/>
        </w:rPr>
        <w:t>4)</w:t>
      </w:r>
      <w:r>
        <w:rPr>
          <w:rFonts w:ascii="SimHei" w:hAnsi="SimHei" w:eastAsia="SimHei" w:cs="SimHei"/>
          <w:sz w:val="29"/>
          <w:szCs w:val="29"/>
          <w:spacing w:val="2"/>
        </w:rPr>
        <w:t xml:space="preserve"> </w:t>
      </w:r>
      <w:r>
        <w:rPr>
          <w:rFonts w:ascii="SimHei" w:hAnsi="SimHei" w:eastAsia="SimHei" w:cs="SimHei"/>
          <w:sz w:val="29"/>
          <w:szCs w:val="29"/>
          <w:spacing w:val="2"/>
        </w:rPr>
        <w:t>蚜虫的防治措施</w:t>
      </w:r>
    </w:p>
    <w:p>
      <w:pPr>
        <w:pStyle w:val="BodyText"/>
        <w:ind w:left="730"/>
        <w:spacing w:before="145" w:line="219" w:lineRule="auto"/>
        <w:rPr>
          <w:sz w:val="29"/>
          <w:szCs w:val="29"/>
        </w:rPr>
      </w:pPr>
      <w:r>
        <w:rPr>
          <w:sz w:val="29"/>
          <w:szCs w:val="29"/>
          <w:spacing w:val="-10"/>
        </w:rPr>
        <w:t>(1)现场管理：清除周围杂草，结合修剪，剪除有</w:t>
      </w:r>
      <w:r>
        <w:rPr>
          <w:sz w:val="29"/>
          <w:szCs w:val="29"/>
          <w:spacing w:val="-11"/>
        </w:rPr>
        <w:t>蚜枝条，保持通风透光；</w:t>
      </w:r>
    </w:p>
    <w:p>
      <w:pPr>
        <w:pStyle w:val="BodyText"/>
        <w:ind w:right="7" w:firstLine="730"/>
        <w:spacing w:before="145" w:line="307" w:lineRule="auto"/>
        <w:rPr>
          <w:sz w:val="29"/>
          <w:szCs w:val="29"/>
        </w:rPr>
      </w:pPr>
      <w:r>
        <w:rPr>
          <w:sz w:val="29"/>
          <w:szCs w:val="29"/>
          <w:spacing w:val="4"/>
        </w:rPr>
        <w:t>(2  药剂防治：春季蚜虫卵大量孵化时，初夏有翅蚜虫迁飞前，秋后蚜虫</w:t>
      </w:r>
      <w:r>
        <w:rPr>
          <w:sz w:val="29"/>
          <w:szCs w:val="29"/>
          <w:spacing w:val="10"/>
        </w:rPr>
        <w:t xml:space="preserve"> </w:t>
      </w:r>
      <w:r>
        <w:rPr>
          <w:sz w:val="29"/>
          <w:szCs w:val="29"/>
        </w:rPr>
        <w:t>数量又增加时，都是施药的好时机，具体药剂使用参见《各地区农药肥料使用指</w:t>
      </w:r>
    </w:p>
    <w:p>
      <w:pPr>
        <w:pStyle w:val="BodyText"/>
        <w:spacing w:before="10" w:line="221" w:lineRule="auto"/>
        <w:rPr>
          <w:sz w:val="29"/>
          <w:szCs w:val="29"/>
        </w:rPr>
      </w:pPr>
      <w:r>
        <w:rPr>
          <w:sz w:val="29"/>
          <w:szCs w:val="29"/>
          <w:spacing w:val="-26"/>
        </w:rPr>
        <w:t>导》。</w:t>
      </w:r>
    </w:p>
    <w:p>
      <w:pPr>
        <w:pStyle w:val="BodyText"/>
        <w:spacing w:before="125" w:line="395" w:lineRule="exact"/>
        <w:rPr>
          <w:rFonts w:ascii="SimHei" w:hAnsi="SimHei" w:eastAsia="SimHei" w:cs="SimHei"/>
          <w:sz w:val="29"/>
          <w:szCs w:val="29"/>
        </w:rPr>
      </w:pPr>
      <w:r>
        <w:rPr>
          <w:rFonts w:ascii="Arial" w:hAnsi="Arial" w:eastAsia="Arial" w:cs="Arial"/>
          <w:sz w:val="29"/>
          <w:szCs w:val="29"/>
          <w:spacing w:val="4"/>
          <w:position w:val="2"/>
        </w:rPr>
        <w:t>3</w:t>
      </w:r>
      <w:r>
        <w:rPr>
          <w:sz w:val="29"/>
          <w:szCs w:val="29"/>
          <w:spacing w:val="4"/>
          <w:position w:val="2"/>
        </w:rPr>
        <w:t>、</w:t>
      </w:r>
      <w:r>
        <w:rPr>
          <w:rFonts w:ascii="SimHei" w:hAnsi="SimHei" w:eastAsia="SimHei" w:cs="SimHei"/>
          <w:sz w:val="29"/>
          <w:szCs w:val="29"/>
          <w:spacing w:val="4"/>
          <w:position w:val="2"/>
        </w:rPr>
        <w:t>常见蝽类</w:t>
      </w:r>
    </w:p>
    <w:p>
      <w:pPr>
        <w:ind w:left="550"/>
        <w:spacing w:before="126" w:line="221" w:lineRule="auto"/>
        <w:rPr>
          <w:rFonts w:ascii="SimHei" w:hAnsi="SimHei" w:eastAsia="SimHei" w:cs="SimHei"/>
          <w:sz w:val="29"/>
          <w:szCs w:val="29"/>
        </w:rPr>
      </w:pPr>
      <w:r>
        <w:rPr>
          <w:rFonts w:ascii="SimHei" w:hAnsi="SimHei" w:eastAsia="SimHei" w:cs="SimHei"/>
          <w:sz w:val="29"/>
          <w:szCs w:val="29"/>
          <w:spacing w:val="2"/>
        </w:rPr>
        <w:t>1)</w:t>
      </w:r>
      <w:r>
        <w:rPr>
          <w:rFonts w:ascii="SimHei" w:hAnsi="SimHei" w:eastAsia="SimHei" w:cs="SimHei"/>
          <w:sz w:val="29"/>
          <w:szCs w:val="29"/>
          <w:spacing w:val="2"/>
        </w:rPr>
        <w:t xml:space="preserve"> </w:t>
      </w:r>
      <w:r>
        <w:rPr>
          <w:rFonts w:ascii="SimHei" w:hAnsi="SimHei" w:eastAsia="SimHei" w:cs="SimHei"/>
          <w:sz w:val="29"/>
          <w:szCs w:val="29"/>
          <w:spacing w:val="2"/>
        </w:rPr>
        <w:t>梨网冠蝽</w:t>
      </w:r>
    </w:p>
    <w:p>
      <w:pPr>
        <w:ind w:firstLine="4849"/>
        <w:spacing w:before="34" w:line="3000" w:lineRule="exact"/>
        <w:rPr/>
      </w:pPr>
      <w:r>
        <w:drawing>
          <wp:anchor distT="0" distB="0" distL="0" distR="0" simplePos="0" relativeHeight="252102656" behindDoc="0" locked="0" layoutInCell="1" allowOverlap="1">
            <wp:simplePos x="0" y="0"/>
            <wp:positionH relativeFrom="column">
              <wp:posOffset>527041</wp:posOffset>
            </wp:positionH>
            <wp:positionV relativeFrom="paragraph">
              <wp:posOffset>27715</wp:posOffset>
            </wp:positionV>
            <wp:extent cx="2387606" cy="1911292"/>
            <wp:effectExtent l="0" t="0" r="0" b="0"/>
            <wp:wrapNone/>
            <wp:docPr id="450" name="IM 450"/>
            <wp:cNvGraphicFramePr/>
            <a:graphic>
              <a:graphicData uri="http://schemas.openxmlformats.org/drawingml/2006/picture">
                <pic:pic>
                  <pic:nvPicPr>
                    <pic:cNvPr id="450" name="IM 450"/>
                    <pic:cNvPicPr/>
                  </pic:nvPicPr>
                  <pic:blipFill>
                    <a:blip r:embed="rId328"/>
                    <a:stretch>
                      <a:fillRect/>
                    </a:stretch>
                  </pic:blipFill>
                  <pic:spPr>
                    <a:xfrm rot="0">
                      <a:off x="0" y="0"/>
                      <a:ext cx="2387606" cy="1911292"/>
                    </a:xfrm>
                    <a:prstGeom prst="rect">
                      <a:avLst/>
                    </a:prstGeom>
                  </pic:spPr>
                </pic:pic>
              </a:graphicData>
            </a:graphic>
          </wp:anchor>
        </w:drawing>
      </w:r>
      <w:r>
        <w:rPr>
          <w:position w:val="-59"/>
        </w:rPr>
        <w:drawing>
          <wp:inline distT="0" distB="0" distL="0" distR="0">
            <wp:extent cx="2565371" cy="1904922"/>
            <wp:effectExtent l="0" t="0" r="0" b="0"/>
            <wp:docPr id="452" name="IM 452"/>
            <wp:cNvGraphicFramePr/>
            <a:graphic>
              <a:graphicData uri="http://schemas.openxmlformats.org/drawingml/2006/picture">
                <pic:pic>
                  <pic:nvPicPr>
                    <pic:cNvPr id="452" name="IM 452"/>
                    <pic:cNvPicPr/>
                  </pic:nvPicPr>
                  <pic:blipFill>
                    <a:blip r:embed="rId329"/>
                    <a:stretch>
                      <a:fillRect/>
                    </a:stretch>
                  </pic:blipFill>
                  <pic:spPr>
                    <a:xfrm rot="0">
                      <a:off x="0" y="0"/>
                      <a:ext cx="2565371" cy="1904922"/>
                    </a:xfrm>
                    <a:prstGeom prst="rect">
                      <a:avLst/>
                    </a:prstGeom>
                  </pic:spPr>
                </pic:pic>
              </a:graphicData>
            </a:graphic>
          </wp:inline>
        </w:drawing>
      </w:r>
    </w:p>
    <w:p>
      <w:pPr>
        <w:pStyle w:val="BodyText"/>
        <w:ind w:left="3509"/>
        <w:spacing w:before="50" w:line="219" w:lineRule="auto"/>
        <w:rPr>
          <w:sz w:val="24"/>
          <w:szCs w:val="24"/>
        </w:rPr>
      </w:pPr>
      <w:r>
        <w:rPr>
          <w:sz w:val="24"/>
          <w:szCs w:val="24"/>
          <w:spacing w:val="8"/>
        </w:rPr>
        <w:t>图6-2-6梨网冠蝽幼虫、成虫</w:t>
      </w:r>
    </w:p>
    <w:p>
      <w:pPr>
        <w:pStyle w:val="BodyText"/>
        <w:ind w:left="889"/>
        <w:spacing w:before="97" w:line="219" w:lineRule="auto"/>
        <w:rPr>
          <w:sz w:val="29"/>
          <w:szCs w:val="29"/>
        </w:rPr>
      </w:pPr>
      <w:r>
        <w:rPr>
          <w:sz w:val="29"/>
          <w:szCs w:val="29"/>
          <w:spacing w:val="5"/>
        </w:rPr>
        <w:t>(1)危害植物：梅花、樱花、杜鹃、月季、海棠、梨、桃等花木等；</w:t>
      </w:r>
    </w:p>
    <w:p>
      <w:pPr>
        <w:pStyle w:val="BodyText"/>
        <w:ind w:left="730"/>
        <w:spacing w:before="176" w:line="219" w:lineRule="auto"/>
        <w:rPr>
          <w:sz w:val="29"/>
          <w:szCs w:val="29"/>
        </w:rPr>
      </w:pPr>
      <w:r>
        <w:rPr>
          <w:sz w:val="29"/>
          <w:szCs w:val="29"/>
          <w:spacing w:val="6"/>
        </w:rPr>
        <w:t>(2)发生时期：4月上旬开始发生，7—8月为盛期；</w:t>
      </w:r>
    </w:p>
    <w:p>
      <w:pPr>
        <w:pStyle w:val="BodyText"/>
        <w:ind w:right="85" w:firstLine="730"/>
        <w:spacing w:before="125" w:line="269" w:lineRule="auto"/>
        <w:rPr>
          <w:sz w:val="29"/>
          <w:szCs w:val="29"/>
        </w:rPr>
      </w:pPr>
      <w:r>
        <w:rPr>
          <w:sz w:val="29"/>
          <w:szCs w:val="29"/>
          <w:spacing w:val="6"/>
        </w:rPr>
        <w:t>(3)分布省份：分布于北京、天津、河北、山东、河南、浙江、湖北、江</w:t>
      </w:r>
      <w:r>
        <w:rPr>
          <w:sz w:val="29"/>
          <w:szCs w:val="29"/>
          <w:spacing w:val="17"/>
        </w:rPr>
        <w:t xml:space="preserve"> </w:t>
      </w:r>
      <w:r>
        <w:rPr>
          <w:sz w:val="29"/>
          <w:szCs w:val="29"/>
        </w:rPr>
        <w:t>西、湖南、福建、台湾、广东、海南、四川等。</w:t>
      </w:r>
    </w:p>
    <w:p>
      <w:pPr>
        <w:spacing w:line="269" w:lineRule="auto"/>
        <w:sectPr>
          <w:footerReference w:type="default" r:id="rId325"/>
          <w:pgSz w:w="14490" w:h="20470"/>
          <w:pgMar w:top="400" w:right="2173" w:bottom="1448" w:left="2150" w:header="0" w:footer="1203"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ind w:left="476"/>
        <w:spacing w:before="94" w:line="221" w:lineRule="auto"/>
        <w:rPr>
          <w:rFonts w:ascii="SimHei" w:hAnsi="SimHei" w:eastAsia="SimHei" w:cs="SimHei"/>
          <w:sz w:val="29"/>
          <w:szCs w:val="29"/>
        </w:rPr>
      </w:pPr>
      <w:r>
        <w:drawing>
          <wp:anchor distT="0" distB="0" distL="0" distR="0" simplePos="0" relativeHeight="252106752" behindDoc="0" locked="0" layoutInCell="1" allowOverlap="1">
            <wp:simplePos x="0" y="0"/>
            <wp:positionH relativeFrom="column">
              <wp:posOffset>3452179</wp:posOffset>
            </wp:positionH>
            <wp:positionV relativeFrom="paragraph">
              <wp:posOffset>276381</wp:posOffset>
            </wp:positionV>
            <wp:extent cx="1543032" cy="2292406"/>
            <wp:effectExtent l="0" t="0" r="0" b="0"/>
            <wp:wrapNone/>
            <wp:docPr id="454" name="IM 454"/>
            <wp:cNvGraphicFramePr/>
            <a:graphic>
              <a:graphicData uri="http://schemas.openxmlformats.org/drawingml/2006/picture">
                <pic:pic>
                  <pic:nvPicPr>
                    <pic:cNvPr id="454" name="IM 454"/>
                    <pic:cNvPicPr/>
                  </pic:nvPicPr>
                  <pic:blipFill>
                    <a:blip r:embed="rId331"/>
                    <a:stretch>
                      <a:fillRect/>
                    </a:stretch>
                  </pic:blipFill>
                  <pic:spPr>
                    <a:xfrm rot="0">
                      <a:off x="0" y="0"/>
                      <a:ext cx="1543032" cy="2292406"/>
                    </a:xfrm>
                    <a:prstGeom prst="rect">
                      <a:avLst/>
                    </a:prstGeom>
                  </pic:spPr>
                </pic:pic>
              </a:graphicData>
            </a:graphic>
          </wp:anchor>
        </w:drawing>
      </w:r>
      <w:r>
        <w:rPr>
          <w:rFonts w:ascii="SimHei" w:hAnsi="SimHei" w:eastAsia="SimHei" w:cs="SimHei"/>
          <w:sz w:val="29"/>
          <w:szCs w:val="29"/>
          <w:spacing w:val="36"/>
        </w:rPr>
        <w:t>2)柳网蝽</w:t>
      </w:r>
    </w:p>
    <w:p>
      <w:pPr>
        <w:ind w:firstLine="2456"/>
        <w:spacing w:before="3" w:line="3623" w:lineRule="exact"/>
        <w:rPr/>
      </w:pPr>
      <w:r>
        <w:rPr>
          <w:position w:val="-72"/>
        </w:rPr>
        <w:drawing>
          <wp:inline distT="0" distB="0" distL="0" distR="0">
            <wp:extent cx="1828820" cy="2300550"/>
            <wp:effectExtent l="0" t="0" r="0" b="0"/>
            <wp:docPr id="456" name="IM 456"/>
            <wp:cNvGraphicFramePr/>
            <a:graphic>
              <a:graphicData uri="http://schemas.openxmlformats.org/drawingml/2006/picture">
                <pic:pic>
                  <pic:nvPicPr>
                    <pic:cNvPr id="456" name="IM 456"/>
                    <pic:cNvPicPr/>
                  </pic:nvPicPr>
                  <pic:blipFill>
                    <a:blip r:embed="rId332"/>
                    <a:stretch>
                      <a:fillRect/>
                    </a:stretch>
                  </pic:blipFill>
                  <pic:spPr>
                    <a:xfrm rot="0">
                      <a:off x="0" y="0"/>
                      <a:ext cx="1828820" cy="2300550"/>
                    </a:xfrm>
                    <a:prstGeom prst="rect">
                      <a:avLst/>
                    </a:prstGeom>
                  </pic:spPr>
                </pic:pic>
              </a:graphicData>
            </a:graphic>
          </wp:inline>
        </w:drawing>
      </w:r>
    </w:p>
    <w:p>
      <w:pPr>
        <w:pStyle w:val="BodyText"/>
        <w:ind w:left="3656"/>
        <w:spacing w:line="210" w:lineRule="auto"/>
        <w:rPr>
          <w:sz w:val="16"/>
          <w:szCs w:val="16"/>
        </w:rPr>
      </w:pPr>
      <w:r>
        <w:pict>
          <v:shape id="_x0000_s44" style="position:absolute;margin-left:268.762pt;margin-top:-1.32999pt;mso-position-vertical-relative:text;mso-position-horizontal-relative:text;width:57.6pt;height:11.6pt;z-index:252108800;" filled="false" stroked="false" type="#_x0000_t202">
            <v:fill on="false"/>
            <v:stroke on="false"/>
            <v:path/>
            <v:imagedata o:title=""/>
            <o:lock v:ext="edit" aspectratio="false"/>
            <v:textbox inset="0mm,0mm,0mm,0mm">
              <w:txbxContent>
                <w:p>
                  <w:pPr>
                    <w:pStyle w:val="BodyText"/>
                    <w:ind w:left="20"/>
                    <w:spacing w:before="19" w:line="221" w:lineRule="auto"/>
                    <w:rPr>
                      <w:sz w:val="16"/>
                      <w:szCs w:val="16"/>
                    </w:rPr>
                  </w:pPr>
                  <w:r>
                    <w:rPr>
                      <w:sz w:val="16"/>
                      <w:szCs w:val="16"/>
                      <w:spacing w:val="-9"/>
                    </w:rPr>
                    <w:t>切</w:t>
                  </w:r>
                  <w:r>
                    <w:rPr>
                      <w:sz w:val="16"/>
                      <w:szCs w:val="16"/>
                      <w:spacing w:val="12"/>
                    </w:rPr>
                    <w:t xml:space="preserve"> </w:t>
                  </w:r>
                  <w:r>
                    <w:rPr>
                      <w:sz w:val="16"/>
                      <w:szCs w:val="16"/>
                      <w:spacing w:val="-9"/>
                    </w:rPr>
                    <w:t>虫</w:t>
                  </w:r>
                  <w:r>
                    <w:rPr>
                      <w:sz w:val="16"/>
                      <w:szCs w:val="16"/>
                      <w:spacing w:val="17"/>
                    </w:rPr>
                    <w:t xml:space="preserve"> </w:t>
                  </w:r>
                  <w:r>
                    <w:rPr>
                      <w:sz w:val="16"/>
                      <w:szCs w:val="16"/>
                      <w:spacing w:val="-9"/>
                    </w:rPr>
                    <w:t>、</w:t>
                  </w:r>
                  <w:r>
                    <w:rPr>
                      <w:sz w:val="16"/>
                      <w:szCs w:val="16"/>
                      <w:spacing w:val="6"/>
                    </w:rPr>
                    <w:t xml:space="preserve"> </w:t>
                  </w:r>
                  <w:r>
                    <w:rPr>
                      <w:sz w:val="16"/>
                      <w:szCs w:val="16"/>
                      <w:spacing w:val="-9"/>
                    </w:rPr>
                    <w:t>成</w:t>
                  </w:r>
                  <w:r>
                    <w:rPr>
                      <w:sz w:val="16"/>
                      <w:szCs w:val="16"/>
                      <w:spacing w:val="10"/>
                    </w:rPr>
                    <w:t xml:space="preserve"> </w:t>
                  </w:r>
                  <w:r>
                    <w:rPr>
                      <w:sz w:val="16"/>
                      <w:szCs w:val="16"/>
                      <w:spacing w:val="-9"/>
                    </w:rPr>
                    <w:t>虫</w:t>
                  </w:r>
                </w:p>
              </w:txbxContent>
            </v:textbox>
          </v:shape>
        </w:pict>
      </w:r>
      <w:r>
        <w:rPr>
          <w:sz w:val="16"/>
          <w:szCs w:val="16"/>
          <w:spacing w:val="-6"/>
        </w:rPr>
        <w:t>囹</w:t>
      </w:r>
      <w:r>
        <w:rPr>
          <w:sz w:val="16"/>
          <w:szCs w:val="16"/>
          <w:spacing w:val="6"/>
        </w:rPr>
        <w:t xml:space="preserve"> </w:t>
      </w:r>
      <w:r>
        <w:rPr>
          <w:sz w:val="16"/>
          <w:szCs w:val="16"/>
          <w:spacing w:val="-6"/>
        </w:rPr>
        <w:t>0 -</w:t>
      </w:r>
      <w:r>
        <w:rPr>
          <w:sz w:val="16"/>
          <w:szCs w:val="16"/>
          <w:spacing w:val="7"/>
        </w:rPr>
        <w:t xml:space="preserve"> </w:t>
      </w:r>
      <w:r>
        <w:rPr>
          <w:sz w:val="16"/>
          <w:szCs w:val="16"/>
          <w:spacing w:val="-6"/>
        </w:rPr>
        <w:t>2</w:t>
      </w:r>
      <w:r>
        <w:rPr>
          <w:sz w:val="16"/>
          <w:szCs w:val="16"/>
          <w:spacing w:val="4"/>
        </w:rPr>
        <w:t xml:space="preserve"> </w:t>
      </w:r>
      <w:r>
        <w:rPr>
          <w:sz w:val="16"/>
          <w:szCs w:val="16"/>
          <w:spacing w:val="-6"/>
        </w:rPr>
        <w:t>-</w:t>
      </w:r>
      <w:r>
        <w:rPr>
          <w:sz w:val="16"/>
          <w:szCs w:val="16"/>
          <w:spacing w:val="5"/>
        </w:rPr>
        <w:t xml:space="preserve"> </w:t>
      </w:r>
      <w:r>
        <w:rPr>
          <w:sz w:val="16"/>
          <w:szCs w:val="16"/>
          <w:spacing w:val="-6"/>
        </w:rPr>
        <w:t>/</w:t>
      </w:r>
      <w:r>
        <w:rPr>
          <w:sz w:val="16"/>
          <w:szCs w:val="16"/>
          <w:spacing w:val="5"/>
        </w:rPr>
        <w:t xml:space="preserve"> </w:t>
      </w:r>
      <w:r>
        <w:rPr>
          <w:sz w:val="16"/>
          <w:szCs w:val="16"/>
          <w:spacing w:val="-6"/>
        </w:rPr>
        <w:t>柳</w:t>
      </w:r>
      <w:r>
        <w:rPr>
          <w:sz w:val="16"/>
          <w:szCs w:val="16"/>
          <w:spacing w:val="6"/>
        </w:rPr>
        <w:t xml:space="preserve"> </w:t>
      </w:r>
      <w:r>
        <w:rPr>
          <w:sz w:val="16"/>
          <w:szCs w:val="16"/>
          <w:spacing w:val="-6"/>
        </w:rPr>
        <w:t>两</w:t>
      </w:r>
      <w:r>
        <w:rPr>
          <w:sz w:val="16"/>
          <w:szCs w:val="16"/>
          <w:spacing w:val="6"/>
        </w:rPr>
        <w:t xml:space="preserve"> </w:t>
      </w:r>
      <w:r>
        <w:rPr>
          <w:sz w:val="16"/>
          <w:szCs w:val="16"/>
          <w:spacing w:val="-6"/>
        </w:rPr>
        <w:t>蝽</w:t>
      </w:r>
    </w:p>
    <w:p>
      <w:pPr>
        <w:pStyle w:val="BodyText"/>
        <w:ind w:left="706"/>
        <w:spacing w:before="214" w:line="219" w:lineRule="auto"/>
        <w:rPr>
          <w:sz w:val="29"/>
          <w:szCs w:val="29"/>
        </w:rPr>
      </w:pPr>
      <w:r>
        <w:rPr>
          <w:sz w:val="29"/>
          <w:szCs w:val="29"/>
          <w:spacing w:val="6"/>
        </w:rPr>
        <w:t>(1)危害植物：柳、杨、樱桃、山楂、梨、李和扁桃等；</w:t>
      </w:r>
    </w:p>
    <w:p>
      <w:pPr>
        <w:pStyle w:val="BodyText"/>
        <w:ind w:left="706"/>
        <w:spacing w:before="128" w:line="219" w:lineRule="auto"/>
        <w:rPr>
          <w:sz w:val="29"/>
          <w:szCs w:val="29"/>
        </w:rPr>
      </w:pPr>
      <w:r>
        <w:rPr>
          <w:sz w:val="29"/>
          <w:szCs w:val="29"/>
          <w:spacing w:val="6"/>
        </w:rPr>
        <w:t>(2)发生时期：3月下旬开始发生，7—8月为盛期；</w:t>
      </w:r>
    </w:p>
    <w:p>
      <w:pPr>
        <w:pStyle w:val="BodyText"/>
        <w:ind w:left="706"/>
        <w:spacing w:before="164" w:line="219" w:lineRule="auto"/>
        <w:rPr>
          <w:sz w:val="29"/>
          <w:szCs w:val="29"/>
        </w:rPr>
      </w:pPr>
      <w:r>
        <w:rPr>
          <w:sz w:val="29"/>
          <w:szCs w:val="29"/>
          <w:spacing w:val="8"/>
        </w:rPr>
        <w:t>(3)分布省份：新疆、甘肃、宁夏、内蒙古等地区。</w:t>
      </w:r>
    </w:p>
    <w:p>
      <w:pPr>
        <w:ind w:left="476"/>
        <w:spacing w:before="105" w:line="221" w:lineRule="auto"/>
        <w:rPr>
          <w:rFonts w:ascii="SimHei" w:hAnsi="SimHei" w:eastAsia="SimHei" w:cs="SimHei"/>
          <w:sz w:val="29"/>
          <w:szCs w:val="29"/>
        </w:rPr>
      </w:pPr>
      <w:r>
        <w:drawing>
          <wp:anchor distT="0" distB="0" distL="0" distR="0" simplePos="0" relativeHeight="252107776" behindDoc="0" locked="0" layoutInCell="1" allowOverlap="1">
            <wp:simplePos x="0" y="0"/>
            <wp:positionH relativeFrom="column">
              <wp:posOffset>3528365</wp:posOffset>
            </wp:positionH>
            <wp:positionV relativeFrom="paragraph">
              <wp:posOffset>314757</wp:posOffset>
            </wp:positionV>
            <wp:extent cx="1466847" cy="2292276"/>
            <wp:effectExtent l="0" t="0" r="0" b="0"/>
            <wp:wrapNone/>
            <wp:docPr id="458" name="IM 458"/>
            <wp:cNvGraphicFramePr/>
            <a:graphic>
              <a:graphicData uri="http://schemas.openxmlformats.org/drawingml/2006/picture">
                <pic:pic>
                  <pic:nvPicPr>
                    <pic:cNvPr id="458" name="IM 458"/>
                    <pic:cNvPicPr/>
                  </pic:nvPicPr>
                  <pic:blipFill>
                    <a:blip r:embed="rId333"/>
                    <a:stretch>
                      <a:fillRect/>
                    </a:stretch>
                  </pic:blipFill>
                  <pic:spPr>
                    <a:xfrm rot="0">
                      <a:off x="0" y="0"/>
                      <a:ext cx="1466847" cy="2292276"/>
                    </a:xfrm>
                    <a:prstGeom prst="rect">
                      <a:avLst/>
                    </a:prstGeom>
                  </pic:spPr>
                </pic:pic>
              </a:graphicData>
            </a:graphic>
          </wp:anchor>
        </w:drawing>
      </w:r>
      <w:r>
        <w:rPr>
          <w:rFonts w:ascii="SimHei" w:hAnsi="SimHei" w:eastAsia="SimHei" w:cs="SimHei"/>
          <w:sz w:val="29"/>
          <w:szCs w:val="29"/>
          <w:spacing w:val="25"/>
        </w:rPr>
        <w:t>3)杜鹃冠网蝽</w:t>
      </w:r>
    </w:p>
    <w:p>
      <w:pPr>
        <w:ind w:firstLine="2666"/>
        <w:spacing w:before="54" w:line="3590" w:lineRule="exact"/>
        <w:rPr/>
      </w:pPr>
      <w:r>
        <w:rPr>
          <w:position w:val="-71"/>
        </w:rPr>
        <w:drawing>
          <wp:inline distT="0" distB="0" distL="0" distR="0">
            <wp:extent cx="1758983" cy="2279668"/>
            <wp:effectExtent l="0" t="0" r="0" b="0"/>
            <wp:docPr id="460" name="IM 460"/>
            <wp:cNvGraphicFramePr/>
            <a:graphic>
              <a:graphicData uri="http://schemas.openxmlformats.org/drawingml/2006/picture">
                <pic:pic>
                  <pic:nvPicPr>
                    <pic:cNvPr id="460" name="IM 460"/>
                    <pic:cNvPicPr/>
                  </pic:nvPicPr>
                  <pic:blipFill>
                    <a:blip r:embed="rId334"/>
                    <a:stretch>
                      <a:fillRect/>
                    </a:stretch>
                  </pic:blipFill>
                  <pic:spPr>
                    <a:xfrm rot="0">
                      <a:off x="0" y="0"/>
                      <a:ext cx="1758983" cy="2279668"/>
                    </a:xfrm>
                    <a:prstGeom prst="rect">
                      <a:avLst/>
                    </a:prstGeom>
                  </pic:spPr>
                </pic:pic>
              </a:graphicData>
            </a:graphic>
          </wp:inline>
        </w:drawing>
      </w:r>
    </w:p>
    <w:p>
      <w:pPr>
        <w:pStyle w:val="BodyText"/>
        <w:ind w:left="3636"/>
        <w:spacing w:before="190" w:line="219" w:lineRule="auto"/>
        <w:rPr>
          <w:sz w:val="24"/>
          <w:szCs w:val="24"/>
        </w:rPr>
      </w:pPr>
      <w:r>
        <w:rPr>
          <w:sz w:val="24"/>
          <w:szCs w:val="24"/>
          <w:spacing w:val="8"/>
        </w:rPr>
        <w:t>图6-2-8杜鹃冠网蝽幼虫、成虫</w:t>
      </w:r>
    </w:p>
    <w:p>
      <w:pPr>
        <w:pStyle w:val="BodyText"/>
        <w:ind w:left="706"/>
        <w:spacing w:before="157" w:line="219" w:lineRule="auto"/>
        <w:rPr>
          <w:sz w:val="29"/>
          <w:szCs w:val="29"/>
        </w:rPr>
      </w:pPr>
      <w:r>
        <w:rPr>
          <w:sz w:val="29"/>
          <w:szCs w:val="29"/>
          <w:spacing w:val="7"/>
        </w:rPr>
        <w:t>(1)危害植物：杜鹃、马醉木等；</w:t>
      </w:r>
    </w:p>
    <w:p>
      <w:pPr>
        <w:pStyle w:val="BodyText"/>
        <w:ind w:left="706"/>
        <w:spacing w:before="146" w:line="219" w:lineRule="auto"/>
        <w:rPr>
          <w:sz w:val="29"/>
          <w:szCs w:val="29"/>
        </w:rPr>
      </w:pPr>
      <w:r>
        <w:rPr>
          <w:sz w:val="29"/>
          <w:szCs w:val="29"/>
          <w:spacing w:val="6"/>
        </w:rPr>
        <w:t>(2)发生时期：3月下旬开始发生，6—9月为盛期；</w:t>
      </w:r>
    </w:p>
    <w:p>
      <w:pPr>
        <w:pStyle w:val="BodyText"/>
        <w:ind w:left="706"/>
        <w:spacing w:before="164" w:line="219" w:lineRule="auto"/>
        <w:rPr>
          <w:sz w:val="29"/>
          <w:szCs w:val="29"/>
        </w:rPr>
      </w:pPr>
      <w:r>
        <w:rPr>
          <w:sz w:val="29"/>
          <w:szCs w:val="29"/>
          <w:spacing w:val="7"/>
        </w:rPr>
        <w:t>(3)分布省份：广东、广西、浙江、江西</w:t>
      </w:r>
      <w:r>
        <w:rPr>
          <w:sz w:val="29"/>
          <w:szCs w:val="29"/>
          <w:spacing w:val="6"/>
        </w:rPr>
        <w:t>、福建、辽宁、台湾等。</w:t>
      </w:r>
    </w:p>
    <w:p>
      <w:pPr>
        <w:ind w:left="476"/>
        <w:spacing w:before="105" w:line="221" w:lineRule="auto"/>
        <w:rPr>
          <w:rFonts w:ascii="SimHei" w:hAnsi="SimHei" w:eastAsia="SimHei" w:cs="SimHei"/>
          <w:sz w:val="29"/>
          <w:szCs w:val="29"/>
        </w:rPr>
      </w:pPr>
      <w:r>
        <w:rPr>
          <w:rFonts w:ascii="SimHei" w:hAnsi="SimHei" w:eastAsia="SimHei" w:cs="SimHei"/>
          <w:sz w:val="29"/>
          <w:szCs w:val="29"/>
          <w:spacing w:val="31"/>
        </w:rPr>
        <w:t>4)方翅网蝽</w:t>
      </w:r>
    </w:p>
    <w:p>
      <w:pPr>
        <w:ind w:firstLine="2166"/>
        <w:spacing w:before="114" w:line="3580" w:lineRule="exact"/>
        <w:rPr/>
      </w:pPr>
      <w:r>
        <w:rPr>
          <w:position w:val="-71"/>
        </w:rPr>
        <w:drawing>
          <wp:inline distT="0" distB="0" distL="0" distR="0">
            <wp:extent cx="3759128" cy="2273406"/>
            <wp:effectExtent l="0" t="0" r="0" b="0"/>
            <wp:docPr id="462" name="IM 462"/>
            <wp:cNvGraphicFramePr/>
            <a:graphic>
              <a:graphicData uri="http://schemas.openxmlformats.org/drawingml/2006/picture">
                <pic:pic>
                  <pic:nvPicPr>
                    <pic:cNvPr id="462" name="IM 462"/>
                    <pic:cNvPicPr/>
                  </pic:nvPicPr>
                  <pic:blipFill>
                    <a:blip r:embed="rId335"/>
                    <a:stretch>
                      <a:fillRect/>
                    </a:stretch>
                  </pic:blipFill>
                  <pic:spPr>
                    <a:xfrm rot="0">
                      <a:off x="0" y="0"/>
                      <a:ext cx="3759128" cy="2273406"/>
                    </a:xfrm>
                    <a:prstGeom prst="rect">
                      <a:avLst/>
                    </a:prstGeom>
                  </pic:spPr>
                </pic:pic>
              </a:graphicData>
            </a:graphic>
          </wp:inline>
        </w:drawing>
      </w:r>
    </w:p>
    <w:p>
      <w:pPr>
        <w:pStyle w:val="BodyText"/>
        <w:ind w:left="3516"/>
        <w:spacing w:line="212" w:lineRule="auto"/>
        <w:rPr>
          <w:sz w:val="26"/>
          <w:szCs w:val="26"/>
        </w:rPr>
      </w:pPr>
      <w:r>
        <w:rPr>
          <w:sz w:val="26"/>
          <w:szCs w:val="26"/>
          <w:spacing w:val="-9"/>
        </w:rPr>
        <w:t>图6-2-9方翅网蝽幼虫、成虫</w:t>
      </w:r>
    </w:p>
    <w:p>
      <w:pPr>
        <w:spacing w:line="212" w:lineRule="auto"/>
        <w:sectPr>
          <w:footerReference w:type="default" r:id="rId330"/>
          <w:pgSz w:w="14490" w:h="20470"/>
          <w:pgMar w:top="400" w:right="2173" w:bottom="1385" w:left="2173" w:header="0" w:footer="1223" w:gutter="0"/>
        </w:sectPr>
        <w:rPr>
          <w:sz w:val="26"/>
          <w:szCs w:val="26"/>
        </w:rPr>
      </w:pP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pStyle w:val="BodyText"/>
        <w:ind w:left="740"/>
        <w:spacing w:before="91" w:line="219" w:lineRule="auto"/>
        <w:rPr/>
      </w:pPr>
      <w:r>
        <w:rPr>
          <w:spacing w:val="19"/>
        </w:rPr>
        <w:t>(1)危害植物：悬铃木等；</w:t>
      </w:r>
    </w:p>
    <w:p>
      <w:pPr>
        <w:pStyle w:val="BodyText"/>
        <w:ind w:left="740"/>
        <w:spacing w:before="148" w:line="219" w:lineRule="auto"/>
        <w:rPr>
          <w:sz w:val="29"/>
          <w:szCs w:val="29"/>
        </w:rPr>
      </w:pPr>
      <w:r>
        <w:rPr>
          <w:sz w:val="29"/>
          <w:szCs w:val="29"/>
          <w:spacing w:val="6"/>
        </w:rPr>
        <w:t>(2)发生时期：4月上旬开始发生，6—9月为盛期；</w:t>
      </w:r>
    </w:p>
    <w:p>
      <w:pPr>
        <w:pStyle w:val="BodyText"/>
        <w:ind w:left="740"/>
        <w:spacing w:before="154" w:line="219" w:lineRule="auto"/>
        <w:rPr>
          <w:sz w:val="29"/>
          <w:szCs w:val="29"/>
        </w:rPr>
      </w:pPr>
      <w:r>
        <w:rPr>
          <w:sz w:val="29"/>
          <w:szCs w:val="29"/>
          <w:spacing w:val="6"/>
        </w:rPr>
        <w:t>(3)分布省份：武汉、上海、南京、杭州、重庆、贵阳、郑州等；</w:t>
      </w:r>
    </w:p>
    <w:p>
      <w:pPr>
        <w:pStyle w:val="BodyText"/>
        <w:ind w:right="272" w:firstLine="740"/>
        <w:spacing w:before="136" w:line="269" w:lineRule="auto"/>
        <w:rPr>
          <w:sz w:val="29"/>
          <w:szCs w:val="29"/>
        </w:rPr>
      </w:pPr>
      <w:r>
        <w:rPr>
          <w:sz w:val="29"/>
          <w:szCs w:val="29"/>
          <w:spacing w:val="6"/>
        </w:rPr>
        <w:t>(4)表现症状：若虫在叶背吸食汁液，被害叶正面形成苍白色斑点，</w:t>
      </w:r>
      <w:r>
        <w:rPr>
          <w:sz w:val="29"/>
          <w:szCs w:val="29"/>
          <w:spacing w:val="5"/>
        </w:rPr>
        <w:t>叶片</w:t>
      </w:r>
      <w:r>
        <w:rPr>
          <w:sz w:val="29"/>
          <w:szCs w:val="29"/>
        </w:rPr>
        <w:t xml:space="preserve"> </w:t>
      </w:r>
      <w:r>
        <w:rPr>
          <w:sz w:val="29"/>
          <w:szCs w:val="29"/>
          <w:spacing w:val="1"/>
        </w:rPr>
        <w:t>背面有褐色斑点状虫粪及分泌物，使整个叶背呈锈黄色，严重时被害叶早落。</w:t>
      </w:r>
    </w:p>
    <w:p>
      <w:pPr>
        <w:ind w:left="600"/>
        <w:spacing w:before="193" w:line="221" w:lineRule="auto"/>
        <w:rPr>
          <w:rFonts w:ascii="SimHei" w:hAnsi="SimHei" w:eastAsia="SimHei" w:cs="SimHei"/>
          <w:sz w:val="29"/>
          <w:szCs w:val="29"/>
        </w:rPr>
      </w:pPr>
      <w:r>
        <w:rPr>
          <w:rFonts w:ascii="SimHei" w:hAnsi="SimHei" w:eastAsia="SimHei" w:cs="SimHei"/>
          <w:sz w:val="29"/>
          <w:szCs w:val="29"/>
          <w:spacing w:val="21"/>
        </w:rPr>
        <w:t>5)蝽类防治方法</w:t>
      </w:r>
    </w:p>
    <w:p>
      <w:pPr>
        <w:pStyle w:val="BodyText"/>
        <w:ind w:right="209" w:firstLine="740"/>
        <w:spacing w:before="94" w:line="308" w:lineRule="auto"/>
        <w:rPr>
          <w:sz w:val="29"/>
          <w:szCs w:val="29"/>
        </w:rPr>
      </w:pPr>
      <w:r>
        <w:rPr>
          <w:sz w:val="29"/>
          <w:szCs w:val="29"/>
          <w:spacing w:val="-1"/>
        </w:rPr>
        <w:t>(1)</w:t>
      </w:r>
      <w:r>
        <w:rPr>
          <w:sz w:val="29"/>
          <w:szCs w:val="29"/>
          <w:spacing w:val="147"/>
        </w:rPr>
        <w:t xml:space="preserve"> </w:t>
      </w:r>
      <w:r>
        <w:rPr>
          <w:sz w:val="29"/>
          <w:szCs w:val="29"/>
          <w:spacing w:val="-1"/>
        </w:rPr>
        <w:t>现场管理：冬季清除园内及周围杂草和枯枝落叶，减少越冬虫源；在</w:t>
      </w:r>
      <w:r>
        <w:rPr>
          <w:sz w:val="29"/>
          <w:szCs w:val="29"/>
        </w:rPr>
        <w:t xml:space="preserve"> </w:t>
      </w:r>
      <w:r>
        <w:rPr>
          <w:sz w:val="29"/>
          <w:szCs w:val="29"/>
          <w:spacing w:val="-17"/>
        </w:rPr>
        <w:t>发生季节，摘除卵块和群集的初孵若虫；夏季宜遮荫，适当喷水，可减</w:t>
      </w:r>
      <w:r>
        <w:rPr>
          <w:sz w:val="29"/>
          <w:szCs w:val="29"/>
          <w:spacing w:val="-18"/>
        </w:rPr>
        <w:t>轻为害；</w:t>
      </w:r>
    </w:p>
    <w:p>
      <w:pPr>
        <w:pStyle w:val="BodyText"/>
        <w:ind w:right="453" w:firstLine="740"/>
        <w:spacing w:line="315" w:lineRule="auto"/>
        <w:rPr>
          <w:sz w:val="29"/>
          <w:szCs w:val="29"/>
        </w:rPr>
      </w:pPr>
      <w:r>
        <w:rPr>
          <w:sz w:val="29"/>
          <w:szCs w:val="29"/>
        </w:rPr>
        <w:t>②  药剂防治：树冠喷雾，多在越冬成虫出蛰活动到第1代若虫孵化阶段</w:t>
      </w:r>
      <w:r>
        <w:rPr>
          <w:sz w:val="29"/>
          <w:szCs w:val="29"/>
          <w:spacing w:val="15"/>
        </w:rPr>
        <w:t xml:space="preserve"> </w:t>
      </w:r>
      <w:r>
        <w:rPr>
          <w:sz w:val="29"/>
          <w:szCs w:val="29"/>
          <w:spacing w:val="-4"/>
        </w:rPr>
        <w:t>进行，具体药剂使用参见《各地区农药肥料使用指导》。</w:t>
      </w:r>
    </w:p>
    <w:p>
      <w:pPr>
        <w:pStyle w:val="BodyText"/>
        <w:spacing w:before="41"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常见木虱类</w:t>
      </w:r>
    </w:p>
    <w:p>
      <w:pPr>
        <w:ind w:left="540"/>
        <w:spacing w:before="146" w:line="223" w:lineRule="auto"/>
        <w:rPr>
          <w:rFonts w:ascii="SimHei" w:hAnsi="SimHei" w:eastAsia="SimHei" w:cs="SimHei"/>
          <w:sz w:val="28"/>
          <w:szCs w:val="28"/>
        </w:rPr>
      </w:pPr>
      <w:r>
        <w:rPr>
          <w:rFonts w:ascii="SimHei" w:hAnsi="SimHei" w:eastAsia="SimHei" w:cs="SimHei"/>
          <w:sz w:val="28"/>
          <w:szCs w:val="28"/>
          <w:spacing w:val="7"/>
        </w:rPr>
        <w:t>1)</w:t>
      </w:r>
      <w:r>
        <w:rPr>
          <w:rFonts w:ascii="SimHei" w:hAnsi="SimHei" w:eastAsia="SimHei" w:cs="SimHei"/>
          <w:sz w:val="28"/>
          <w:szCs w:val="28"/>
          <w:spacing w:val="26"/>
        </w:rPr>
        <w:t xml:space="preserve"> </w:t>
      </w:r>
      <w:r>
        <w:rPr>
          <w:rFonts w:ascii="SimHei" w:hAnsi="SimHei" w:eastAsia="SimHei" w:cs="SimHei"/>
          <w:sz w:val="28"/>
          <w:szCs w:val="28"/>
          <w:spacing w:val="7"/>
        </w:rPr>
        <w:t>梧桐木虱</w:t>
      </w:r>
    </w:p>
    <w:p>
      <w:pPr>
        <w:ind w:firstLine="239"/>
        <w:spacing w:before="79" w:line="3220" w:lineRule="exact"/>
        <w:rPr/>
      </w:pPr>
      <w:r>
        <w:drawing>
          <wp:anchor distT="0" distB="0" distL="0" distR="0" simplePos="0" relativeHeight="252111872" behindDoc="0" locked="0" layoutInCell="1" allowOverlap="1">
            <wp:simplePos x="0" y="0"/>
            <wp:positionH relativeFrom="column">
              <wp:posOffset>3016229</wp:posOffset>
            </wp:positionH>
            <wp:positionV relativeFrom="paragraph">
              <wp:posOffset>50478</wp:posOffset>
            </wp:positionV>
            <wp:extent cx="2730533" cy="2044655"/>
            <wp:effectExtent l="0" t="0" r="0" b="0"/>
            <wp:wrapNone/>
            <wp:docPr id="464" name="IM 464"/>
            <wp:cNvGraphicFramePr/>
            <a:graphic>
              <a:graphicData uri="http://schemas.openxmlformats.org/drawingml/2006/picture">
                <pic:pic>
                  <pic:nvPicPr>
                    <pic:cNvPr id="464" name="IM 464"/>
                    <pic:cNvPicPr/>
                  </pic:nvPicPr>
                  <pic:blipFill>
                    <a:blip r:embed="rId337"/>
                    <a:stretch>
                      <a:fillRect/>
                    </a:stretch>
                  </pic:blipFill>
                  <pic:spPr>
                    <a:xfrm rot="0">
                      <a:off x="0" y="0"/>
                      <a:ext cx="2730533" cy="2044655"/>
                    </a:xfrm>
                    <a:prstGeom prst="rect">
                      <a:avLst/>
                    </a:prstGeom>
                  </pic:spPr>
                </pic:pic>
              </a:graphicData>
            </a:graphic>
          </wp:anchor>
        </w:drawing>
      </w:r>
      <w:r>
        <w:rPr>
          <w:position w:val="-64"/>
        </w:rPr>
        <w:drawing>
          <wp:inline distT="0" distB="0" distL="0" distR="0">
            <wp:extent cx="2768626" cy="2044655"/>
            <wp:effectExtent l="0" t="0" r="0" b="0"/>
            <wp:docPr id="466" name="IM 466"/>
            <wp:cNvGraphicFramePr/>
            <a:graphic>
              <a:graphicData uri="http://schemas.openxmlformats.org/drawingml/2006/picture">
                <pic:pic>
                  <pic:nvPicPr>
                    <pic:cNvPr id="466" name="IM 466"/>
                    <pic:cNvPicPr/>
                  </pic:nvPicPr>
                  <pic:blipFill>
                    <a:blip r:embed="rId338"/>
                    <a:stretch>
                      <a:fillRect/>
                    </a:stretch>
                  </pic:blipFill>
                  <pic:spPr>
                    <a:xfrm rot="0">
                      <a:off x="0" y="0"/>
                      <a:ext cx="2768626" cy="2044655"/>
                    </a:xfrm>
                    <a:prstGeom prst="rect">
                      <a:avLst/>
                    </a:prstGeom>
                  </pic:spPr>
                </pic:pic>
              </a:graphicData>
            </a:graphic>
          </wp:inline>
        </w:drawing>
      </w:r>
    </w:p>
    <w:p>
      <w:pPr>
        <w:pStyle w:val="BodyText"/>
        <w:ind w:left="3479"/>
        <w:spacing w:before="81" w:line="219" w:lineRule="auto"/>
        <w:rPr>
          <w:sz w:val="27"/>
          <w:szCs w:val="27"/>
        </w:rPr>
      </w:pPr>
      <w:r>
        <w:rPr>
          <w:sz w:val="27"/>
          <w:szCs w:val="27"/>
          <w:spacing w:val="-16"/>
        </w:rPr>
        <w:t>图6-2-10梧桐木虱及表现症状</w:t>
      </w:r>
    </w:p>
    <w:p>
      <w:pPr>
        <w:pStyle w:val="BodyText"/>
        <w:ind w:left="740"/>
        <w:spacing w:before="161" w:line="219" w:lineRule="auto"/>
        <w:rPr>
          <w:sz w:val="29"/>
          <w:szCs w:val="29"/>
        </w:rPr>
      </w:pPr>
      <w:r>
        <w:rPr>
          <w:sz w:val="29"/>
          <w:szCs w:val="29"/>
          <w:spacing w:val="8"/>
        </w:rPr>
        <w:t>(1)危害植物：梧桐、楸树、梓树等；</w:t>
      </w:r>
    </w:p>
    <w:p>
      <w:pPr>
        <w:pStyle w:val="BodyText"/>
        <w:ind w:firstLine="740"/>
        <w:spacing w:before="121" w:line="293" w:lineRule="auto"/>
        <w:rPr>
          <w:sz w:val="29"/>
          <w:szCs w:val="29"/>
        </w:rPr>
      </w:pPr>
      <w:r>
        <w:rPr>
          <w:sz w:val="29"/>
          <w:szCs w:val="29"/>
          <w:spacing w:val="9"/>
        </w:rPr>
        <w:t>(2)表现症状：发生期分泌白色蜡丝，布满树体、叶面，随风飘扬，</w:t>
      </w:r>
      <w:r>
        <w:rPr>
          <w:sz w:val="29"/>
          <w:szCs w:val="29"/>
          <w:spacing w:val="8"/>
        </w:rPr>
        <w:t>形如</w:t>
      </w:r>
      <w:r>
        <w:rPr>
          <w:sz w:val="29"/>
          <w:szCs w:val="29"/>
        </w:rPr>
        <w:t xml:space="preserve">  </w:t>
      </w:r>
      <w:r>
        <w:rPr>
          <w:sz w:val="29"/>
          <w:szCs w:val="29"/>
          <w:spacing w:val="-9"/>
        </w:rPr>
        <w:t>飞雾，严重污染周围环境，影响市容市貌；若虫分泌的白色棉絮状蜡质物，将叶面</w:t>
      </w:r>
      <w:r>
        <w:rPr>
          <w:sz w:val="29"/>
          <w:szCs w:val="29"/>
          <w:spacing w:val="7"/>
        </w:rPr>
        <w:t xml:space="preserve">  </w:t>
      </w:r>
      <w:r>
        <w:rPr>
          <w:sz w:val="29"/>
          <w:szCs w:val="29"/>
          <w:spacing w:val="-9"/>
        </w:rPr>
        <w:t>气孔堵塞，影响叶的正常光合作用和呼吸作用，使叶面呈现苍白萎缩症状；分泌物</w:t>
      </w:r>
      <w:r>
        <w:rPr>
          <w:sz w:val="29"/>
          <w:szCs w:val="29"/>
          <w:spacing w:val="8"/>
        </w:rPr>
        <w:t xml:space="preserve">  </w:t>
      </w:r>
      <w:r>
        <w:rPr>
          <w:sz w:val="29"/>
          <w:szCs w:val="29"/>
          <w:spacing w:val="-10"/>
        </w:rPr>
        <w:t>中含有糖分，常招致霉菌寄生；危害严重时，</w:t>
      </w:r>
      <w:r>
        <w:rPr>
          <w:sz w:val="29"/>
          <w:szCs w:val="29"/>
          <w:spacing w:val="-11"/>
        </w:rPr>
        <w:t>树叶早落，枝梢干枯，表皮粗糙脆弱，</w:t>
      </w:r>
      <w:r>
        <w:rPr>
          <w:sz w:val="29"/>
          <w:szCs w:val="29"/>
        </w:rPr>
        <w:t xml:space="preserve"> </w:t>
      </w:r>
      <w:r>
        <w:rPr>
          <w:sz w:val="29"/>
          <w:szCs w:val="29"/>
          <w:spacing w:val="-11"/>
        </w:rPr>
        <w:t>易风折；</w:t>
      </w:r>
    </w:p>
    <w:p>
      <w:pPr>
        <w:pStyle w:val="BodyText"/>
        <w:ind w:right="449" w:firstLine="740"/>
        <w:spacing w:before="184" w:line="259" w:lineRule="auto"/>
        <w:rPr>
          <w:sz w:val="29"/>
          <w:szCs w:val="29"/>
        </w:rPr>
      </w:pPr>
      <w:r>
        <w:rPr>
          <w:sz w:val="29"/>
          <w:szCs w:val="29"/>
          <w:spacing w:val="5"/>
        </w:rPr>
        <w:t>(3)发生时期：第一代6月上、中旬开始羽化为成虫，下旬为羽化盛期。</w:t>
      </w:r>
      <w:r>
        <w:rPr>
          <w:sz w:val="29"/>
          <w:szCs w:val="29"/>
        </w:rPr>
        <w:t xml:space="preserve"> </w:t>
      </w:r>
      <w:r>
        <w:rPr>
          <w:sz w:val="29"/>
          <w:szCs w:val="29"/>
        </w:rPr>
        <w:t>第二代若虫发生期在7月中旬，第三代于8月上、中旬羽化；</w:t>
      </w:r>
    </w:p>
    <w:p>
      <w:pPr>
        <w:pStyle w:val="BodyText"/>
        <w:ind w:right="479" w:firstLine="740"/>
        <w:spacing w:before="165" w:line="265" w:lineRule="auto"/>
        <w:rPr>
          <w:sz w:val="29"/>
          <w:szCs w:val="29"/>
        </w:rPr>
      </w:pPr>
      <w:r>
        <w:rPr>
          <w:sz w:val="29"/>
          <w:szCs w:val="29"/>
          <w:spacing w:val="-9"/>
        </w:rPr>
        <w:t>(4)分布省份：布于陕西、河北、河南、山西、山东、江苏、浙江、安徽、</w:t>
      </w:r>
      <w:r>
        <w:rPr>
          <w:sz w:val="29"/>
          <w:szCs w:val="29"/>
          <w:spacing w:val="5"/>
        </w:rPr>
        <w:t xml:space="preserve"> </w:t>
      </w:r>
      <w:r>
        <w:rPr>
          <w:sz w:val="29"/>
          <w:szCs w:val="29"/>
          <w:spacing w:val="-6"/>
        </w:rPr>
        <w:t>福建、贵州、江西、广东、广西等省区。</w:t>
      </w:r>
    </w:p>
    <w:p>
      <w:pPr>
        <w:ind w:left="600"/>
        <w:spacing w:before="199" w:line="223" w:lineRule="auto"/>
        <w:rPr>
          <w:rFonts w:ascii="SimHei" w:hAnsi="SimHei" w:eastAsia="SimHei" w:cs="SimHei"/>
          <w:sz w:val="29"/>
          <w:szCs w:val="29"/>
        </w:rPr>
      </w:pPr>
      <w:r>
        <w:rPr>
          <w:rFonts w:ascii="SimHei" w:hAnsi="SimHei" w:eastAsia="SimHei" w:cs="SimHei"/>
          <w:sz w:val="29"/>
          <w:szCs w:val="29"/>
          <w:spacing w:val="26"/>
        </w:rPr>
        <w:t>2)樟叶木虱</w:t>
      </w:r>
    </w:p>
    <w:p>
      <w:pPr>
        <w:pStyle w:val="BodyText"/>
        <w:ind w:left="740"/>
        <w:spacing w:before="69" w:line="219" w:lineRule="auto"/>
        <w:rPr>
          <w:sz w:val="29"/>
          <w:szCs w:val="29"/>
        </w:rPr>
      </w:pPr>
      <w:r>
        <w:rPr>
          <w:sz w:val="29"/>
          <w:szCs w:val="29"/>
          <w:spacing w:val="9"/>
        </w:rPr>
        <w:t>(1)危害植物：樟、香樟等；</w:t>
      </w:r>
    </w:p>
    <w:p>
      <w:pPr>
        <w:pStyle w:val="BodyText"/>
        <w:ind w:right="278" w:firstLine="740"/>
        <w:spacing w:before="164" w:line="266" w:lineRule="auto"/>
        <w:rPr>
          <w:sz w:val="29"/>
          <w:szCs w:val="29"/>
        </w:rPr>
      </w:pPr>
      <w:r>
        <w:rPr>
          <w:sz w:val="29"/>
          <w:szCs w:val="29"/>
          <w:spacing w:val="6"/>
        </w:rPr>
        <w:t>(2)表现症状：叶片被害初期，在叶面上呈现黄绿色椭</w:t>
      </w:r>
      <w:r>
        <w:rPr>
          <w:sz w:val="29"/>
          <w:szCs w:val="29"/>
          <w:spacing w:val="5"/>
        </w:rPr>
        <w:t>圆形小微突，随着</w:t>
      </w:r>
      <w:r>
        <w:rPr>
          <w:sz w:val="29"/>
          <w:szCs w:val="29"/>
        </w:rPr>
        <w:t xml:space="preserve"> </w:t>
      </w:r>
      <w:r>
        <w:rPr>
          <w:sz w:val="29"/>
          <w:szCs w:val="29"/>
        </w:rPr>
        <w:t>虫体的不断增长，逐渐变成紫红色突起，致</w:t>
      </w:r>
      <w:r>
        <w:rPr>
          <w:sz w:val="29"/>
          <w:szCs w:val="29"/>
          <w:spacing w:val="-1"/>
        </w:rPr>
        <w:t>使叶片早落；</w:t>
      </w:r>
    </w:p>
    <w:p>
      <w:pPr>
        <w:spacing w:line="266" w:lineRule="auto"/>
        <w:sectPr>
          <w:footerReference w:type="default" r:id="rId336"/>
          <w:pgSz w:w="14490" w:h="20470"/>
          <w:pgMar w:top="400" w:right="2005" w:bottom="1412" w:left="2140" w:header="0" w:footer="1241" w:gutter="0"/>
        </w:sectPr>
        <w:rPr>
          <w:sz w:val="29"/>
          <w:szCs w:val="29"/>
        </w:rPr>
      </w:pP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ind w:firstLine="1290"/>
        <w:spacing w:line="2809" w:lineRule="exact"/>
        <w:rPr/>
      </w:pPr>
      <w:r>
        <w:drawing>
          <wp:anchor distT="0" distB="0" distL="0" distR="0" simplePos="0" relativeHeight="252118016" behindDoc="0" locked="0" layoutInCell="1" allowOverlap="1">
            <wp:simplePos x="0" y="0"/>
            <wp:positionH relativeFrom="column">
              <wp:posOffset>3289318</wp:posOffset>
            </wp:positionH>
            <wp:positionV relativeFrom="paragraph">
              <wp:posOffset>43</wp:posOffset>
            </wp:positionV>
            <wp:extent cx="2368560" cy="1784297"/>
            <wp:effectExtent l="0" t="0" r="0" b="0"/>
            <wp:wrapNone/>
            <wp:docPr id="468" name="IM 468"/>
            <wp:cNvGraphicFramePr/>
            <a:graphic>
              <a:graphicData uri="http://schemas.openxmlformats.org/drawingml/2006/picture">
                <pic:pic>
                  <pic:nvPicPr>
                    <pic:cNvPr id="468" name="IM 468"/>
                    <pic:cNvPicPr/>
                  </pic:nvPicPr>
                  <pic:blipFill>
                    <a:blip r:embed="rId340"/>
                    <a:stretch>
                      <a:fillRect/>
                    </a:stretch>
                  </pic:blipFill>
                  <pic:spPr>
                    <a:xfrm rot="0">
                      <a:off x="0" y="0"/>
                      <a:ext cx="2368560" cy="1784297"/>
                    </a:xfrm>
                    <a:prstGeom prst="rect">
                      <a:avLst/>
                    </a:prstGeom>
                  </pic:spPr>
                </pic:pic>
              </a:graphicData>
            </a:graphic>
          </wp:anchor>
        </w:drawing>
      </w:r>
      <w:r>
        <w:rPr>
          <w:position w:val="-56"/>
        </w:rPr>
        <w:drawing>
          <wp:inline distT="0" distB="0" distL="0" distR="0">
            <wp:extent cx="2393862" cy="1784297"/>
            <wp:effectExtent l="0" t="0" r="0" b="0"/>
            <wp:docPr id="470" name="IM 470"/>
            <wp:cNvGraphicFramePr/>
            <a:graphic>
              <a:graphicData uri="http://schemas.openxmlformats.org/drawingml/2006/picture">
                <pic:pic>
                  <pic:nvPicPr>
                    <pic:cNvPr id="470" name="IM 470"/>
                    <pic:cNvPicPr/>
                  </pic:nvPicPr>
                  <pic:blipFill>
                    <a:blip r:embed="rId341"/>
                    <a:stretch>
                      <a:fillRect/>
                    </a:stretch>
                  </pic:blipFill>
                  <pic:spPr>
                    <a:xfrm rot="0">
                      <a:off x="0" y="0"/>
                      <a:ext cx="2393862" cy="1784297"/>
                    </a:xfrm>
                    <a:prstGeom prst="rect">
                      <a:avLst/>
                    </a:prstGeom>
                  </pic:spPr>
                </pic:pic>
              </a:graphicData>
            </a:graphic>
          </wp:inline>
        </w:drawing>
      </w:r>
    </w:p>
    <w:p>
      <w:pPr>
        <w:pStyle w:val="BodyText"/>
        <w:ind w:left="3469"/>
        <w:spacing w:before="120" w:line="219" w:lineRule="auto"/>
        <w:rPr>
          <w:sz w:val="24"/>
          <w:szCs w:val="24"/>
        </w:rPr>
      </w:pPr>
      <w:r>
        <w:rPr>
          <w:sz w:val="24"/>
          <w:szCs w:val="24"/>
          <w:spacing w:val="7"/>
        </w:rPr>
        <w:t>图6-2-11樟叶木虱幼虫、成虫</w:t>
      </w:r>
    </w:p>
    <w:p>
      <w:pPr>
        <w:pStyle w:val="BodyText"/>
        <w:ind w:right="335" w:firstLine="730"/>
        <w:spacing w:before="136" w:line="269" w:lineRule="auto"/>
        <w:rPr>
          <w:sz w:val="29"/>
          <w:szCs w:val="29"/>
        </w:rPr>
      </w:pPr>
      <w:r>
        <w:rPr>
          <w:sz w:val="29"/>
          <w:szCs w:val="29"/>
          <w:spacing w:val="3"/>
        </w:rPr>
        <w:t>(3)发生时期：第一代若虫于4月中旬孵出，少数若虫</w:t>
      </w:r>
      <w:r>
        <w:rPr>
          <w:sz w:val="29"/>
          <w:szCs w:val="29"/>
          <w:spacing w:val="2"/>
        </w:rPr>
        <w:t>于5月下旬羽化；第</w:t>
      </w:r>
      <w:r>
        <w:rPr>
          <w:sz w:val="29"/>
          <w:szCs w:val="29"/>
        </w:rPr>
        <w:t xml:space="preserve"> </w:t>
      </w:r>
      <w:r>
        <w:rPr>
          <w:sz w:val="29"/>
          <w:szCs w:val="29"/>
          <w:spacing w:val="-4"/>
        </w:rPr>
        <w:t>二代若虫于6月上旬孵出；成虫昼夜均可羽化，以10—14时最多；</w:t>
      </w:r>
    </w:p>
    <w:p>
      <w:pPr>
        <w:pStyle w:val="BodyText"/>
        <w:ind w:left="730"/>
        <w:spacing w:before="163" w:line="219" w:lineRule="auto"/>
        <w:rPr>
          <w:sz w:val="29"/>
          <w:szCs w:val="29"/>
        </w:rPr>
      </w:pPr>
      <w:r>
        <w:rPr>
          <w:sz w:val="29"/>
          <w:szCs w:val="29"/>
          <w:spacing w:val="8"/>
        </w:rPr>
        <w:t>(4)分布省份：浙江、湖北、江西、湖南、</w:t>
      </w:r>
      <w:r>
        <w:rPr>
          <w:sz w:val="29"/>
          <w:szCs w:val="29"/>
          <w:spacing w:val="7"/>
        </w:rPr>
        <w:t>福建、台湾等。</w:t>
      </w:r>
    </w:p>
    <w:p>
      <w:pPr>
        <w:ind w:left="590"/>
        <w:spacing w:before="105" w:line="221" w:lineRule="auto"/>
        <w:rPr>
          <w:rFonts w:ascii="SimHei" w:hAnsi="SimHei" w:eastAsia="SimHei" w:cs="SimHei"/>
          <w:sz w:val="29"/>
          <w:szCs w:val="29"/>
        </w:rPr>
      </w:pPr>
      <w:r>
        <w:rPr>
          <w:rFonts w:ascii="SimHei" w:hAnsi="SimHei" w:eastAsia="SimHei" w:cs="SimHei"/>
          <w:sz w:val="29"/>
          <w:szCs w:val="29"/>
          <w:spacing w:val="20"/>
        </w:rPr>
        <w:t>3)木虱类防治方法</w:t>
      </w:r>
    </w:p>
    <w:p>
      <w:pPr>
        <w:pStyle w:val="BodyText"/>
        <w:ind w:left="730"/>
        <w:spacing w:before="156" w:line="219" w:lineRule="auto"/>
        <w:rPr>
          <w:sz w:val="29"/>
          <w:szCs w:val="29"/>
        </w:rPr>
      </w:pPr>
      <w:r>
        <w:rPr>
          <w:sz w:val="29"/>
          <w:szCs w:val="29"/>
          <w:spacing w:val="7"/>
        </w:rPr>
        <w:t>(1)秋末至来年春：预防消杀，消灭过冬卵；</w:t>
      </w:r>
    </w:p>
    <w:p>
      <w:pPr>
        <w:pStyle w:val="BodyText"/>
        <w:ind w:left="730"/>
        <w:spacing w:before="146" w:line="219" w:lineRule="auto"/>
        <w:rPr>
          <w:sz w:val="29"/>
          <w:szCs w:val="29"/>
        </w:rPr>
      </w:pPr>
      <w:r>
        <w:rPr>
          <w:sz w:val="29"/>
          <w:szCs w:val="29"/>
          <w:spacing w:val="8"/>
        </w:rPr>
        <w:t>(2)结合冬季修剪，除去多余侧枝；</w:t>
      </w:r>
    </w:p>
    <w:p>
      <w:pPr>
        <w:pStyle w:val="BodyText"/>
        <w:ind w:left="730"/>
        <w:spacing w:before="134" w:line="219" w:lineRule="auto"/>
        <w:rPr>
          <w:sz w:val="29"/>
          <w:szCs w:val="29"/>
        </w:rPr>
      </w:pPr>
      <w:r>
        <w:rPr>
          <w:sz w:val="29"/>
          <w:szCs w:val="29"/>
          <w:spacing w:val="-1"/>
        </w:rPr>
        <w:t>(3)药剂防治参见《各地区农药肥料使用指导》。</w:t>
      </w:r>
    </w:p>
    <w:p>
      <w:pPr>
        <w:pStyle w:val="BodyText"/>
        <w:spacing w:before="103" w:line="395" w:lineRule="exact"/>
        <w:rPr>
          <w:rFonts w:ascii="SimHei" w:hAnsi="SimHei" w:eastAsia="SimHei" w:cs="SimHei"/>
          <w:sz w:val="29"/>
          <w:szCs w:val="29"/>
        </w:rPr>
      </w:pPr>
      <w:r>
        <w:rPr>
          <w:rFonts w:ascii="Arial" w:hAnsi="Arial" w:eastAsia="Arial" w:cs="Arial"/>
          <w:sz w:val="29"/>
          <w:szCs w:val="29"/>
          <w:spacing w:val="3"/>
          <w:position w:val="2"/>
        </w:rPr>
        <w:t>5</w:t>
      </w:r>
      <w:r>
        <w:rPr>
          <w:sz w:val="29"/>
          <w:szCs w:val="29"/>
          <w:spacing w:val="3"/>
          <w:position w:val="2"/>
        </w:rPr>
        <w:t>、</w:t>
      </w:r>
      <w:r>
        <w:rPr>
          <w:rFonts w:ascii="SimHei" w:hAnsi="SimHei" w:eastAsia="SimHei" w:cs="SimHei"/>
          <w:sz w:val="29"/>
          <w:szCs w:val="29"/>
          <w:spacing w:val="3"/>
          <w:position w:val="2"/>
        </w:rPr>
        <w:t>常见叶螨类</w:t>
      </w:r>
    </w:p>
    <w:p>
      <w:pPr>
        <w:ind w:left="509"/>
        <w:spacing w:before="189" w:line="222" w:lineRule="auto"/>
        <w:rPr>
          <w:rFonts w:ascii="SimHei" w:hAnsi="SimHei" w:eastAsia="SimHei" w:cs="SimHei"/>
          <w:sz w:val="27"/>
          <w:szCs w:val="27"/>
        </w:rPr>
      </w:pPr>
      <w:r>
        <w:rPr>
          <w:rFonts w:ascii="SimHei" w:hAnsi="SimHei" w:eastAsia="SimHei" w:cs="SimHei"/>
          <w:sz w:val="27"/>
          <w:szCs w:val="27"/>
          <w:spacing w:val="17"/>
        </w:rPr>
        <w:t>1)</w:t>
      </w:r>
      <w:r>
        <w:rPr>
          <w:rFonts w:ascii="SimHei" w:hAnsi="SimHei" w:eastAsia="SimHei" w:cs="SimHei"/>
          <w:sz w:val="27"/>
          <w:szCs w:val="27"/>
          <w:spacing w:val="27"/>
        </w:rPr>
        <w:t xml:space="preserve"> </w:t>
      </w:r>
      <w:r>
        <w:rPr>
          <w:rFonts w:ascii="SimHei" w:hAnsi="SimHei" w:eastAsia="SimHei" w:cs="SimHei"/>
          <w:sz w:val="27"/>
          <w:szCs w:val="27"/>
          <w:spacing w:val="17"/>
        </w:rPr>
        <w:t>柑桔全爪螨</w:t>
      </w:r>
    </w:p>
    <w:p>
      <w:pPr>
        <w:ind w:firstLine="1290"/>
        <w:spacing w:before="94" w:line="2630" w:lineRule="exact"/>
        <w:rPr/>
      </w:pPr>
      <w:r>
        <w:drawing>
          <wp:anchor distT="0" distB="0" distL="0" distR="0" simplePos="0" relativeHeight="252116992" behindDoc="0" locked="0" layoutInCell="1" allowOverlap="1">
            <wp:simplePos x="0" y="0"/>
            <wp:positionH relativeFrom="column">
              <wp:posOffset>3238528</wp:posOffset>
            </wp:positionH>
            <wp:positionV relativeFrom="paragraph">
              <wp:posOffset>66042</wp:posOffset>
            </wp:positionV>
            <wp:extent cx="2571722" cy="1663671"/>
            <wp:effectExtent l="0" t="0" r="0" b="0"/>
            <wp:wrapNone/>
            <wp:docPr id="472" name="IM 472"/>
            <wp:cNvGraphicFramePr/>
            <a:graphic>
              <a:graphicData uri="http://schemas.openxmlformats.org/drawingml/2006/picture">
                <pic:pic>
                  <pic:nvPicPr>
                    <pic:cNvPr id="472" name="IM 472"/>
                    <pic:cNvPicPr/>
                  </pic:nvPicPr>
                  <pic:blipFill>
                    <a:blip r:embed="rId342"/>
                    <a:stretch>
                      <a:fillRect/>
                    </a:stretch>
                  </pic:blipFill>
                  <pic:spPr>
                    <a:xfrm rot="0">
                      <a:off x="0" y="0"/>
                      <a:ext cx="2571722" cy="1663671"/>
                    </a:xfrm>
                    <a:prstGeom prst="rect">
                      <a:avLst/>
                    </a:prstGeom>
                  </pic:spPr>
                </pic:pic>
              </a:graphicData>
            </a:graphic>
          </wp:anchor>
        </w:drawing>
      </w:r>
      <w:r>
        <w:rPr>
          <w:position w:val="-52"/>
        </w:rPr>
        <w:drawing>
          <wp:inline distT="0" distB="0" distL="0" distR="0">
            <wp:extent cx="2355770" cy="1670041"/>
            <wp:effectExtent l="0" t="0" r="0" b="0"/>
            <wp:docPr id="474" name="IM 474"/>
            <wp:cNvGraphicFramePr/>
            <a:graphic>
              <a:graphicData uri="http://schemas.openxmlformats.org/drawingml/2006/picture">
                <pic:pic>
                  <pic:nvPicPr>
                    <pic:cNvPr id="474" name="IM 474"/>
                    <pic:cNvPicPr/>
                  </pic:nvPicPr>
                  <pic:blipFill>
                    <a:blip r:embed="rId343"/>
                    <a:stretch>
                      <a:fillRect/>
                    </a:stretch>
                  </pic:blipFill>
                  <pic:spPr>
                    <a:xfrm rot="0">
                      <a:off x="0" y="0"/>
                      <a:ext cx="2355770" cy="1670041"/>
                    </a:xfrm>
                    <a:prstGeom prst="rect">
                      <a:avLst/>
                    </a:prstGeom>
                  </pic:spPr>
                </pic:pic>
              </a:graphicData>
            </a:graphic>
          </wp:inline>
        </w:drawing>
      </w:r>
    </w:p>
    <w:p>
      <w:pPr>
        <w:pStyle w:val="BodyText"/>
        <w:ind w:left="3730"/>
        <w:spacing w:before="70" w:line="219" w:lineRule="auto"/>
        <w:rPr>
          <w:sz w:val="24"/>
          <w:szCs w:val="24"/>
        </w:rPr>
      </w:pPr>
      <w:r>
        <w:rPr>
          <w:sz w:val="24"/>
          <w:szCs w:val="24"/>
          <w:spacing w:val="6"/>
        </w:rPr>
        <w:t>图6-2-12柑桔全爪螨成虫</w:t>
      </w:r>
    </w:p>
    <w:p>
      <w:pPr>
        <w:pStyle w:val="BodyText"/>
        <w:ind w:left="730"/>
        <w:spacing w:before="167" w:line="219" w:lineRule="auto"/>
        <w:rPr>
          <w:sz w:val="29"/>
          <w:szCs w:val="29"/>
        </w:rPr>
      </w:pPr>
      <w:r>
        <w:rPr>
          <w:sz w:val="29"/>
          <w:szCs w:val="29"/>
          <w:spacing w:val="8"/>
        </w:rPr>
        <w:t>(1)危害植物：柑桔、桂花、蔷薇等；</w:t>
      </w:r>
    </w:p>
    <w:p>
      <w:pPr>
        <w:pStyle w:val="BodyText"/>
        <w:ind w:right="232" w:firstLine="730"/>
        <w:spacing w:before="146" w:line="272" w:lineRule="auto"/>
        <w:rPr>
          <w:sz w:val="29"/>
          <w:szCs w:val="29"/>
        </w:rPr>
      </w:pPr>
      <w:r>
        <w:rPr>
          <w:sz w:val="29"/>
          <w:szCs w:val="29"/>
          <w:spacing w:val="6"/>
        </w:rPr>
        <w:t>(2)表现症状：以口器刺破寄主叶片表皮吸食汁液，被害叶面呈现无</w:t>
      </w:r>
      <w:r>
        <w:rPr>
          <w:sz w:val="29"/>
          <w:szCs w:val="29"/>
          <w:spacing w:val="5"/>
        </w:rPr>
        <w:t>数灰</w:t>
      </w:r>
      <w:r>
        <w:rPr>
          <w:sz w:val="29"/>
          <w:szCs w:val="29"/>
        </w:rPr>
        <w:t xml:space="preserve"> </w:t>
      </w:r>
      <w:r>
        <w:rPr>
          <w:sz w:val="29"/>
          <w:szCs w:val="29"/>
        </w:rPr>
        <w:t>白色小斑点，严重时全叶失绿，变成灰白色，</w:t>
      </w:r>
      <w:r>
        <w:rPr>
          <w:sz w:val="29"/>
          <w:szCs w:val="29"/>
          <w:spacing w:val="-1"/>
        </w:rPr>
        <w:t>导致大量落叶；</w:t>
      </w:r>
    </w:p>
    <w:p>
      <w:pPr>
        <w:pStyle w:val="BodyText"/>
        <w:spacing w:before="146" w:line="219" w:lineRule="auto"/>
        <w:jc w:val="right"/>
        <w:rPr>
          <w:sz w:val="29"/>
          <w:szCs w:val="29"/>
        </w:rPr>
      </w:pPr>
      <w:r>
        <w:rPr>
          <w:sz w:val="29"/>
          <w:szCs w:val="29"/>
        </w:rPr>
        <w:t>(3)发生时期：2—3月卵大量孵化，4—5月间大发成灾，9—1</w:t>
      </w:r>
      <w:r>
        <w:rPr>
          <w:sz w:val="29"/>
          <w:szCs w:val="29"/>
          <w:spacing w:val="-1"/>
        </w:rPr>
        <w:t>1月发生量大；</w:t>
      </w:r>
    </w:p>
    <w:p>
      <w:pPr>
        <w:pStyle w:val="BodyText"/>
        <w:ind w:right="232" w:firstLine="730"/>
        <w:spacing w:before="145" w:line="262" w:lineRule="auto"/>
        <w:rPr>
          <w:sz w:val="29"/>
          <w:szCs w:val="29"/>
        </w:rPr>
      </w:pPr>
      <w:r>
        <w:rPr>
          <w:sz w:val="29"/>
          <w:szCs w:val="29"/>
          <w:spacing w:val="6"/>
        </w:rPr>
        <w:t>(4)分布省份：分布在江苏、上海、江西、福建、台湾、湖北、湖南</w:t>
      </w:r>
      <w:r>
        <w:rPr>
          <w:sz w:val="29"/>
          <w:szCs w:val="29"/>
          <w:spacing w:val="5"/>
        </w:rPr>
        <w:t>、浙</w:t>
      </w:r>
      <w:r>
        <w:rPr>
          <w:sz w:val="29"/>
          <w:szCs w:val="29"/>
        </w:rPr>
        <w:t xml:space="preserve"> </w:t>
      </w:r>
      <w:r>
        <w:rPr>
          <w:sz w:val="29"/>
          <w:szCs w:val="29"/>
        </w:rPr>
        <w:t>江、四川、贵州、重庆、广东、广西、云南等地。</w:t>
      </w:r>
    </w:p>
    <w:p>
      <w:pPr>
        <w:ind w:left="590"/>
        <w:spacing w:before="235" w:line="221" w:lineRule="auto"/>
        <w:rPr>
          <w:rFonts w:ascii="SimHei" w:hAnsi="SimHei" w:eastAsia="SimHei" w:cs="SimHei"/>
          <w:sz w:val="29"/>
          <w:szCs w:val="29"/>
        </w:rPr>
      </w:pPr>
      <w:r>
        <w:rPr>
          <w:rFonts w:ascii="SimHei" w:hAnsi="SimHei" w:eastAsia="SimHei" w:cs="SimHei"/>
          <w:sz w:val="29"/>
          <w:szCs w:val="29"/>
          <w:spacing w:val="17"/>
        </w:rPr>
        <w:t>2)</w:t>
      </w:r>
      <w:r>
        <w:rPr>
          <w:rFonts w:ascii="SimHei" w:hAnsi="SimHei" w:eastAsia="SimHei" w:cs="SimHei"/>
          <w:sz w:val="29"/>
          <w:szCs w:val="29"/>
          <w:spacing w:val="17"/>
        </w:rPr>
        <w:t xml:space="preserve"> </w:t>
      </w:r>
      <w:r>
        <w:rPr>
          <w:rFonts w:ascii="SimHei" w:hAnsi="SimHei" w:eastAsia="SimHei" w:cs="SimHei"/>
          <w:sz w:val="29"/>
          <w:szCs w:val="29"/>
          <w:spacing w:val="17"/>
        </w:rPr>
        <w:t>朱砂叶螨(棉花红蜘蛛、红叶螨)</w:t>
      </w:r>
    </w:p>
    <w:p>
      <w:pPr>
        <w:pStyle w:val="BodyText"/>
        <w:ind w:right="232" w:firstLine="730"/>
        <w:spacing w:before="65" w:line="265" w:lineRule="auto"/>
        <w:rPr>
          <w:sz w:val="29"/>
          <w:szCs w:val="29"/>
        </w:rPr>
      </w:pPr>
      <w:r>
        <w:rPr>
          <w:sz w:val="29"/>
          <w:szCs w:val="29"/>
          <w:spacing w:val="6"/>
        </w:rPr>
        <w:t>(1)危害植物：常见的有樟树、桂花、樱花、月季、三叶草、夹竹桃</w:t>
      </w:r>
      <w:r>
        <w:rPr>
          <w:sz w:val="29"/>
          <w:szCs w:val="29"/>
          <w:spacing w:val="5"/>
        </w:rPr>
        <w:t>、柑</w:t>
      </w:r>
      <w:r>
        <w:rPr>
          <w:sz w:val="29"/>
          <w:szCs w:val="29"/>
        </w:rPr>
        <w:t xml:space="preserve"> </w:t>
      </w:r>
      <w:r>
        <w:rPr>
          <w:sz w:val="29"/>
          <w:szCs w:val="29"/>
          <w:spacing w:val="-1"/>
        </w:rPr>
        <w:t>橘、木槿、萱草、爬山虎等植物；</w:t>
      </w:r>
    </w:p>
    <w:p>
      <w:pPr>
        <w:pStyle w:val="BodyText"/>
        <w:ind w:right="409" w:firstLine="730"/>
        <w:spacing w:before="158" w:line="259" w:lineRule="auto"/>
        <w:rPr>
          <w:sz w:val="29"/>
          <w:szCs w:val="29"/>
        </w:rPr>
      </w:pPr>
      <w:r>
        <w:rPr>
          <w:sz w:val="29"/>
          <w:szCs w:val="29"/>
          <w:spacing w:val="-8"/>
        </w:rPr>
        <w:t>(2)表现症状：靠爬行或吐丝飘扩散蔓延，一般从下而上，从老叶到新叶，</w:t>
      </w:r>
      <w:r>
        <w:rPr>
          <w:sz w:val="29"/>
          <w:szCs w:val="29"/>
          <w:spacing w:val="1"/>
        </w:rPr>
        <w:t xml:space="preserve"> </w:t>
      </w:r>
      <w:r>
        <w:rPr>
          <w:sz w:val="29"/>
          <w:szCs w:val="29"/>
          <w:spacing w:val="-5"/>
        </w:rPr>
        <w:t>从地边到中心；集中在叶背刺吸汁液，叶正面变灰白，最后变红枯落；</w:t>
      </w:r>
    </w:p>
    <w:p>
      <w:pPr>
        <w:pStyle w:val="BodyText"/>
        <w:ind w:left="730"/>
        <w:spacing w:before="154" w:line="219" w:lineRule="auto"/>
        <w:rPr>
          <w:sz w:val="29"/>
          <w:szCs w:val="29"/>
        </w:rPr>
      </w:pPr>
      <w:r>
        <w:rPr>
          <w:sz w:val="29"/>
          <w:szCs w:val="29"/>
          <w:spacing w:val="-1"/>
        </w:rPr>
        <w:t>(3)发生时期：该虫喜高温干燥气候，7、8、9三个月是发生危害高峰期；</w:t>
      </w:r>
    </w:p>
    <w:p>
      <w:pPr>
        <w:spacing w:line="219" w:lineRule="auto"/>
        <w:sectPr>
          <w:footerReference w:type="default" r:id="rId339"/>
          <w:pgSz w:w="14490" w:h="20470"/>
          <w:pgMar w:top="400" w:right="2045" w:bottom="1423" w:left="2150" w:header="0" w:footer="1224" w:gutter="0"/>
        </w:sectPr>
        <w:rPr>
          <w:sz w:val="29"/>
          <w:szCs w:val="29"/>
        </w:rPr>
      </w:pP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ind w:firstLine="4729"/>
        <w:spacing w:line="3190" w:lineRule="exact"/>
        <w:rPr/>
      </w:pPr>
      <w:r>
        <w:drawing>
          <wp:anchor distT="0" distB="0" distL="0" distR="0" simplePos="0" relativeHeight="252123136" behindDoc="0" locked="0" layoutInCell="1" allowOverlap="1">
            <wp:simplePos x="0" y="0"/>
            <wp:positionH relativeFrom="column">
              <wp:posOffset>152371</wp:posOffset>
            </wp:positionH>
            <wp:positionV relativeFrom="paragraph">
              <wp:posOffset>6492</wp:posOffset>
            </wp:positionV>
            <wp:extent cx="2762277" cy="2051025"/>
            <wp:effectExtent l="0" t="0" r="0" b="0"/>
            <wp:wrapNone/>
            <wp:docPr id="476" name="IM 476"/>
            <wp:cNvGraphicFramePr/>
            <a:graphic>
              <a:graphicData uri="http://schemas.openxmlformats.org/drawingml/2006/picture">
                <pic:pic>
                  <pic:nvPicPr>
                    <pic:cNvPr id="476" name="IM 476"/>
                    <pic:cNvPicPr/>
                  </pic:nvPicPr>
                  <pic:blipFill>
                    <a:blip r:embed="rId345"/>
                    <a:stretch>
                      <a:fillRect/>
                    </a:stretch>
                  </pic:blipFill>
                  <pic:spPr>
                    <a:xfrm rot="0">
                      <a:off x="0" y="0"/>
                      <a:ext cx="2762277" cy="2051025"/>
                    </a:xfrm>
                    <a:prstGeom prst="rect">
                      <a:avLst/>
                    </a:prstGeom>
                  </pic:spPr>
                </pic:pic>
              </a:graphicData>
            </a:graphic>
          </wp:anchor>
        </w:drawing>
      </w:r>
      <w:r>
        <w:rPr>
          <w:position w:val="-63"/>
        </w:rPr>
        <w:drawing>
          <wp:inline distT="0" distB="0" distL="0" distR="0">
            <wp:extent cx="3086065" cy="2025678"/>
            <wp:effectExtent l="0" t="0" r="0" b="0"/>
            <wp:docPr id="478" name="IM 478"/>
            <wp:cNvGraphicFramePr/>
            <a:graphic>
              <a:graphicData uri="http://schemas.openxmlformats.org/drawingml/2006/picture">
                <pic:pic>
                  <pic:nvPicPr>
                    <pic:cNvPr id="478" name="IM 478"/>
                    <pic:cNvPicPr/>
                  </pic:nvPicPr>
                  <pic:blipFill>
                    <a:blip r:embed="rId346"/>
                    <a:stretch>
                      <a:fillRect/>
                    </a:stretch>
                  </pic:blipFill>
                  <pic:spPr>
                    <a:xfrm rot="0">
                      <a:off x="0" y="0"/>
                      <a:ext cx="3086065" cy="2025678"/>
                    </a:xfrm>
                    <a:prstGeom prst="rect">
                      <a:avLst/>
                    </a:prstGeom>
                  </pic:spPr>
                </pic:pic>
              </a:graphicData>
            </a:graphic>
          </wp:inline>
        </w:drawing>
      </w:r>
    </w:p>
    <w:p>
      <w:pPr>
        <w:pStyle w:val="BodyText"/>
        <w:ind w:left="3859"/>
        <w:spacing w:before="120" w:line="219" w:lineRule="auto"/>
        <w:rPr>
          <w:sz w:val="24"/>
          <w:szCs w:val="24"/>
        </w:rPr>
      </w:pPr>
      <w:r>
        <w:rPr>
          <w:sz w:val="24"/>
          <w:szCs w:val="24"/>
          <w:spacing w:val="5"/>
        </w:rPr>
        <w:t>图6-2-13朱砂叶螨成虫</w:t>
      </w:r>
    </w:p>
    <w:p>
      <w:pPr>
        <w:pStyle w:val="BodyText"/>
        <w:ind w:left="740"/>
        <w:spacing w:before="155" w:line="219" w:lineRule="auto"/>
        <w:rPr>
          <w:sz w:val="29"/>
          <w:szCs w:val="29"/>
        </w:rPr>
      </w:pPr>
      <w:r>
        <w:rPr>
          <w:sz w:val="29"/>
          <w:szCs w:val="29"/>
          <w:spacing w:val="7"/>
        </w:rPr>
        <w:t>(4)分布省份：北京、上海、河北、山西、山东、河南、陕西等地。</w:t>
      </w:r>
    </w:p>
    <w:p>
      <w:pPr>
        <w:ind w:left="610"/>
        <w:spacing w:before="105" w:line="221" w:lineRule="auto"/>
        <w:rPr>
          <w:rFonts w:ascii="SimHei" w:hAnsi="SimHei" w:eastAsia="SimHei" w:cs="SimHei"/>
          <w:sz w:val="29"/>
          <w:szCs w:val="29"/>
        </w:rPr>
      </w:pPr>
      <w:r>
        <w:rPr>
          <w:rFonts w:ascii="SimHei" w:hAnsi="SimHei" w:eastAsia="SimHei" w:cs="SimHei"/>
          <w:sz w:val="29"/>
          <w:szCs w:val="29"/>
          <w:spacing w:val="29"/>
        </w:rPr>
        <w:t>3)防治方法</w:t>
      </w:r>
    </w:p>
    <w:p>
      <w:pPr>
        <w:pStyle w:val="BodyText"/>
        <w:ind w:right="92" w:firstLine="740"/>
        <w:spacing w:before="135" w:line="268" w:lineRule="auto"/>
        <w:rPr>
          <w:sz w:val="29"/>
          <w:szCs w:val="29"/>
        </w:rPr>
      </w:pPr>
      <w:r>
        <w:rPr>
          <w:sz w:val="29"/>
          <w:szCs w:val="29"/>
          <w:spacing w:val="6"/>
        </w:rPr>
        <w:t>(1)现场管理：清除园区中杂草及枯枝落叶，消灭越冬虫源；合理灌溉和</w:t>
      </w:r>
      <w:r>
        <w:rPr>
          <w:sz w:val="29"/>
          <w:szCs w:val="29"/>
          <w:spacing w:val="10"/>
        </w:rPr>
        <w:t xml:space="preserve"> </w:t>
      </w:r>
      <w:r>
        <w:rPr>
          <w:sz w:val="29"/>
          <w:szCs w:val="29"/>
        </w:rPr>
        <w:t>施肥，促进植株健壮生长，增强抗虫能力；</w:t>
      </w:r>
    </w:p>
    <w:p>
      <w:pPr>
        <w:pStyle w:val="BodyText"/>
        <w:ind w:left="740"/>
        <w:spacing w:before="155" w:line="219" w:lineRule="auto"/>
        <w:rPr>
          <w:sz w:val="29"/>
          <w:szCs w:val="29"/>
        </w:rPr>
      </w:pPr>
      <w:r>
        <w:rPr>
          <w:sz w:val="29"/>
          <w:szCs w:val="29"/>
          <w:spacing w:val="1"/>
        </w:rPr>
        <w:t>(2)药剂防治参见《各地区农药肥料使用</w:t>
      </w:r>
      <w:r>
        <w:rPr>
          <w:sz w:val="29"/>
          <w:szCs w:val="29"/>
        </w:rPr>
        <w:t>指导》。</w:t>
      </w:r>
    </w:p>
    <w:p>
      <w:pPr>
        <w:pStyle w:val="BodyText"/>
        <w:spacing w:before="82" w:line="395" w:lineRule="exact"/>
        <w:rPr>
          <w:rFonts w:ascii="SimHei" w:hAnsi="SimHei" w:eastAsia="SimHei" w:cs="SimHei"/>
          <w:sz w:val="29"/>
          <w:szCs w:val="29"/>
        </w:rPr>
      </w:pPr>
      <w:r>
        <w:rPr>
          <w:rFonts w:ascii="Arial" w:hAnsi="Arial" w:eastAsia="Arial" w:cs="Arial"/>
          <w:sz w:val="29"/>
          <w:szCs w:val="29"/>
          <w:spacing w:val="4"/>
          <w:position w:val="2"/>
        </w:rPr>
        <w:t>6</w:t>
      </w:r>
      <w:r>
        <w:rPr>
          <w:sz w:val="29"/>
          <w:szCs w:val="29"/>
          <w:spacing w:val="4"/>
          <w:position w:val="2"/>
        </w:rPr>
        <w:t>、</w:t>
      </w:r>
      <w:r>
        <w:rPr>
          <w:rFonts w:ascii="SimHei" w:hAnsi="SimHei" w:eastAsia="SimHei" w:cs="SimHei"/>
          <w:sz w:val="29"/>
          <w:szCs w:val="29"/>
          <w:spacing w:val="4"/>
          <w:position w:val="2"/>
        </w:rPr>
        <w:t>常见粉虱类</w:t>
      </w:r>
    </w:p>
    <w:p>
      <w:pPr>
        <w:ind w:left="620"/>
        <w:spacing w:before="168" w:line="211" w:lineRule="auto"/>
        <w:rPr>
          <w:rFonts w:ascii="SimHei" w:hAnsi="SimHei" w:eastAsia="SimHei" w:cs="SimHei"/>
          <w:sz w:val="29"/>
          <w:szCs w:val="29"/>
        </w:rPr>
      </w:pPr>
      <w:r>
        <w:rPr>
          <w:rFonts w:ascii="SimHei" w:hAnsi="SimHei" w:eastAsia="SimHei" w:cs="SimHei"/>
          <w:sz w:val="29"/>
          <w:szCs w:val="29"/>
          <w:spacing w:val="26"/>
        </w:rPr>
        <w:t>1)桔绿粉虱</w:t>
      </w:r>
    </w:p>
    <w:p>
      <w:pPr>
        <w:ind w:left="1460"/>
        <w:spacing w:line="2710" w:lineRule="exact"/>
        <w:rPr/>
      </w:pPr>
      <w:r>
        <w:rPr>
          <w:position w:val="-54"/>
        </w:rPr>
        <w:drawing>
          <wp:inline distT="0" distB="0" distL="0" distR="0">
            <wp:extent cx="2178004" cy="1720865"/>
            <wp:effectExtent l="0" t="0" r="0" b="0"/>
            <wp:docPr id="480" name="IM 480"/>
            <wp:cNvGraphicFramePr/>
            <a:graphic>
              <a:graphicData uri="http://schemas.openxmlformats.org/drawingml/2006/picture">
                <pic:pic>
                  <pic:nvPicPr>
                    <pic:cNvPr id="480" name="IM 480"/>
                    <pic:cNvPicPr/>
                  </pic:nvPicPr>
                  <pic:blipFill>
                    <a:blip r:embed="rId347"/>
                    <a:stretch>
                      <a:fillRect/>
                    </a:stretch>
                  </pic:blipFill>
                  <pic:spPr>
                    <a:xfrm rot="0">
                      <a:off x="0" y="0"/>
                      <a:ext cx="2178004" cy="1720865"/>
                    </a:xfrm>
                    <a:prstGeom prst="rect">
                      <a:avLst/>
                    </a:prstGeom>
                  </pic:spPr>
                </pic:pic>
              </a:graphicData>
            </a:graphic>
          </wp:inline>
        </w:drawing>
      </w:r>
    </w:p>
    <w:p>
      <w:pPr>
        <w:pStyle w:val="BodyText"/>
        <w:ind w:left="3859"/>
        <w:spacing w:before="9" w:line="219" w:lineRule="auto"/>
        <w:rPr>
          <w:sz w:val="24"/>
          <w:szCs w:val="24"/>
        </w:rPr>
      </w:pPr>
      <w:r>
        <w:drawing>
          <wp:anchor distT="0" distB="0" distL="0" distR="0" simplePos="0" relativeHeight="252122112" behindDoc="1" locked="0" layoutInCell="1" allowOverlap="1">
            <wp:simplePos x="0" y="0"/>
            <wp:positionH relativeFrom="column">
              <wp:posOffset>3111460</wp:posOffset>
            </wp:positionH>
            <wp:positionV relativeFrom="paragraph">
              <wp:posOffset>-1726958</wp:posOffset>
            </wp:positionV>
            <wp:extent cx="2673393" cy="1758951"/>
            <wp:effectExtent l="0" t="0" r="0" b="0"/>
            <wp:wrapNone/>
            <wp:docPr id="482" name="IM 482"/>
            <wp:cNvGraphicFramePr/>
            <a:graphic>
              <a:graphicData uri="http://schemas.openxmlformats.org/drawingml/2006/picture">
                <pic:pic>
                  <pic:nvPicPr>
                    <pic:cNvPr id="482" name="IM 482"/>
                    <pic:cNvPicPr/>
                  </pic:nvPicPr>
                  <pic:blipFill>
                    <a:blip r:embed="rId348"/>
                    <a:stretch>
                      <a:fillRect/>
                    </a:stretch>
                  </pic:blipFill>
                  <pic:spPr>
                    <a:xfrm rot="0">
                      <a:off x="0" y="0"/>
                      <a:ext cx="2673393" cy="1758951"/>
                    </a:xfrm>
                    <a:prstGeom prst="rect">
                      <a:avLst/>
                    </a:prstGeom>
                  </pic:spPr>
                </pic:pic>
              </a:graphicData>
            </a:graphic>
          </wp:anchor>
        </w:drawing>
      </w:r>
      <w:r>
        <w:rPr>
          <w:sz w:val="24"/>
          <w:szCs w:val="24"/>
          <w:spacing w:val="4"/>
        </w:rPr>
        <w:t>图</w:t>
      </w:r>
      <w:r>
        <w:rPr>
          <w:sz w:val="24"/>
          <w:szCs w:val="24"/>
          <w:spacing w:val="-59"/>
        </w:rPr>
        <w:t xml:space="preserve"> </w:t>
      </w:r>
      <w:r>
        <w:rPr>
          <w:sz w:val="24"/>
          <w:szCs w:val="24"/>
          <w:spacing w:val="4"/>
        </w:rPr>
        <w:t>6-2-14桔绿粉虱成虫</w:t>
      </w:r>
    </w:p>
    <w:p>
      <w:pPr>
        <w:pStyle w:val="BodyText"/>
        <w:ind w:left="740"/>
        <w:spacing w:before="148" w:line="219" w:lineRule="auto"/>
        <w:rPr>
          <w:sz w:val="29"/>
          <w:szCs w:val="29"/>
        </w:rPr>
      </w:pPr>
      <w:r>
        <w:rPr>
          <w:sz w:val="29"/>
          <w:szCs w:val="29"/>
          <w:spacing w:val="-10"/>
        </w:rPr>
        <w:t>(1)危害植物：柑桔、桂花、山茶、牡丹、常春藤</w:t>
      </w:r>
      <w:r>
        <w:rPr>
          <w:sz w:val="29"/>
          <w:szCs w:val="29"/>
          <w:spacing w:val="-11"/>
        </w:rPr>
        <w:t>、栀子、女贞和丁香等；</w:t>
      </w:r>
    </w:p>
    <w:p>
      <w:pPr>
        <w:pStyle w:val="BodyText"/>
        <w:ind w:right="141" w:firstLine="740"/>
        <w:spacing w:before="144" w:line="266" w:lineRule="auto"/>
        <w:rPr>
          <w:sz w:val="29"/>
          <w:szCs w:val="29"/>
        </w:rPr>
      </w:pPr>
      <w:r>
        <w:rPr>
          <w:sz w:val="29"/>
          <w:szCs w:val="29"/>
          <w:spacing w:val="5"/>
        </w:rPr>
        <w:t>(2)表现症状：若虫群集叶背吸食汁液，主要危害春、夏</w:t>
      </w:r>
      <w:r>
        <w:rPr>
          <w:sz w:val="29"/>
          <w:szCs w:val="29"/>
          <w:spacing w:val="4"/>
        </w:rPr>
        <w:t>梢，叶面失绿，</w:t>
      </w:r>
      <w:r>
        <w:rPr>
          <w:sz w:val="29"/>
          <w:szCs w:val="29"/>
        </w:rPr>
        <w:t xml:space="preserve"> </w:t>
      </w:r>
      <w:r>
        <w:rPr>
          <w:sz w:val="29"/>
          <w:szCs w:val="29"/>
          <w:spacing w:val="-3"/>
        </w:rPr>
        <w:t>诱发煤烟病，引起枯梢；</w:t>
      </w:r>
    </w:p>
    <w:p>
      <w:pPr>
        <w:pStyle w:val="BodyText"/>
        <w:ind w:left="740"/>
        <w:spacing w:before="166" w:line="219" w:lineRule="auto"/>
        <w:rPr>
          <w:sz w:val="29"/>
          <w:szCs w:val="29"/>
        </w:rPr>
      </w:pPr>
      <w:r>
        <w:rPr>
          <w:sz w:val="29"/>
          <w:szCs w:val="29"/>
          <w:spacing w:val="3"/>
        </w:rPr>
        <w:t>(3)发生时期：一年发生3—4代，4—5月、10</w:t>
      </w:r>
      <w:r>
        <w:rPr>
          <w:sz w:val="29"/>
          <w:szCs w:val="29"/>
          <w:spacing w:val="2"/>
        </w:rPr>
        <w:t>—11月为害盛期；</w:t>
      </w:r>
    </w:p>
    <w:p>
      <w:pPr>
        <w:pStyle w:val="BodyText"/>
        <w:ind w:left="740"/>
        <w:spacing w:before="114" w:line="219" w:lineRule="auto"/>
        <w:rPr>
          <w:sz w:val="29"/>
          <w:szCs w:val="29"/>
        </w:rPr>
      </w:pPr>
      <w:r>
        <w:rPr>
          <w:sz w:val="29"/>
          <w:szCs w:val="29"/>
          <w:spacing w:val="9"/>
        </w:rPr>
        <w:t>(4)分布省份：中国各柑橘产区均有发生。</w:t>
      </w:r>
    </w:p>
    <w:p>
      <w:pPr>
        <w:ind w:left="519"/>
        <w:spacing w:before="125" w:line="220" w:lineRule="auto"/>
        <w:rPr>
          <w:rFonts w:ascii="SimHei" w:hAnsi="SimHei" w:eastAsia="SimHei" w:cs="SimHei"/>
          <w:sz w:val="29"/>
          <w:szCs w:val="29"/>
        </w:rPr>
      </w:pPr>
      <w:r>
        <w:rPr>
          <w:rFonts w:ascii="SimHei" w:hAnsi="SimHei" w:eastAsia="SimHei" w:cs="SimHei"/>
          <w:sz w:val="29"/>
          <w:szCs w:val="29"/>
          <w:spacing w:val="30"/>
        </w:rPr>
        <w:t>2)黑刺粉虱</w:t>
      </w:r>
    </w:p>
    <w:p>
      <w:pPr>
        <w:ind w:firstLine="969"/>
        <w:spacing w:before="106" w:line="3009" w:lineRule="exact"/>
        <w:rPr/>
      </w:pPr>
      <w:r>
        <w:rPr>
          <w:position w:val="-60"/>
        </w:rPr>
        <w:drawing>
          <wp:inline distT="0" distB="0" distL="0" distR="0">
            <wp:extent cx="5048303" cy="1911292"/>
            <wp:effectExtent l="0" t="0" r="0" b="0"/>
            <wp:docPr id="484" name="IM 484"/>
            <wp:cNvGraphicFramePr/>
            <a:graphic>
              <a:graphicData uri="http://schemas.openxmlformats.org/drawingml/2006/picture">
                <pic:pic>
                  <pic:nvPicPr>
                    <pic:cNvPr id="484" name="IM 484"/>
                    <pic:cNvPicPr/>
                  </pic:nvPicPr>
                  <pic:blipFill>
                    <a:blip r:embed="rId349"/>
                    <a:stretch>
                      <a:fillRect/>
                    </a:stretch>
                  </pic:blipFill>
                  <pic:spPr>
                    <a:xfrm rot="0">
                      <a:off x="0" y="0"/>
                      <a:ext cx="5048303" cy="1911292"/>
                    </a:xfrm>
                    <a:prstGeom prst="rect">
                      <a:avLst/>
                    </a:prstGeom>
                  </pic:spPr>
                </pic:pic>
              </a:graphicData>
            </a:graphic>
          </wp:inline>
        </w:drawing>
      </w:r>
    </w:p>
    <w:p>
      <w:pPr>
        <w:pStyle w:val="BodyText"/>
        <w:ind w:left="3859"/>
        <w:spacing w:before="42" w:line="219" w:lineRule="auto"/>
        <w:rPr>
          <w:sz w:val="27"/>
          <w:szCs w:val="27"/>
        </w:rPr>
      </w:pPr>
      <w:r>
        <w:rPr>
          <w:sz w:val="27"/>
          <w:szCs w:val="27"/>
          <w:spacing w:val="-16"/>
        </w:rPr>
        <w:t>图6-2-15黑刺粉虱成虫</w:t>
      </w:r>
    </w:p>
    <w:p>
      <w:pPr>
        <w:spacing w:line="219" w:lineRule="auto"/>
        <w:sectPr>
          <w:footerReference w:type="default" r:id="rId344"/>
          <w:pgSz w:w="14490" w:h="20470"/>
          <w:pgMar w:top="400" w:right="2173" w:bottom="1413" w:left="2140" w:header="0" w:footer="1214" w:gutter="0"/>
        </w:sectPr>
        <w:rPr>
          <w:sz w:val="27"/>
          <w:szCs w:val="27"/>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40"/>
        <w:spacing w:before="94" w:line="219" w:lineRule="auto"/>
        <w:rPr>
          <w:sz w:val="29"/>
          <w:szCs w:val="29"/>
        </w:rPr>
      </w:pPr>
      <w:r>
        <w:rPr>
          <w:sz w:val="29"/>
          <w:szCs w:val="29"/>
          <w:spacing w:val="5"/>
        </w:rPr>
        <w:t>(1)危害植物：柑桔、桂花、兰花、玫瑰、月季、茶花等几十种植物；</w:t>
      </w:r>
    </w:p>
    <w:p>
      <w:pPr>
        <w:pStyle w:val="BodyText"/>
        <w:ind w:right="519" w:firstLine="740"/>
        <w:spacing w:before="158" w:line="266" w:lineRule="auto"/>
        <w:rPr>
          <w:sz w:val="29"/>
          <w:szCs w:val="29"/>
        </w:rPr>
      </w:pPr>
      <w:r>
        <w:rPr>
          <w:sz w:val="29"/>
          <w:szCs w:val="29"/>
          <w:spacing w:val="-8"/>
        </w:rPr>
        <w:t>(2)表现症状：以幼虫群集叶背吸食汁液，严重发生时，每叶有虫数百头，</w:t>
      </w:r>
      <w:r>
        <w:rPr>
          <w:sz w:val="29"/>
          <w:szCs w:val="29"/>
          <w:spacing w:val="1"/>
        </w:rPr>
        <w:t xml:space="preserve"> </w:t>
      </w:r>
      <w:r>
        <w:rPr>
          <w:sz w:val="29"/>
          <w:szCs w:val="29"/>
          <w:spacing w:val="-6"/>
        </w:rPr>
        <w:t>其排泄物物还能诱发煤污病；</w:t>
      </w:r>
    </w:p>
    <w:p>
      <w:pPr>
        <w:pStyle w:val="BodyText"/>
        <w:ind w:firstLine="740"/>
        <w:spacing w:before="154" w:line="262" w:lineRule="auto"/>
        <w:rPr>
          <w:sz w:val="29"/>
          <w:szCs w:val="29"/>
        </w:rPr>
      </w:pPr>
      <w:r>
        <w:rPr>
          <w:sz w:val="29"/>
          <w:szCs w:val="29"/>
          <w:spacing w:val="3"/>
        </w:rPr>
        <w:t>(3)发生时期：一年发生3—4代；老熟若虫在寄主叶背越冬；翌年</w:t>
      </w:r>
      <w:r>
        <w:rPr>
          <w:sz w:val="29"/>
          <w:szCs w:val="29"/>
          <w:spacing w:val="2"/>
        </w:rPr>
        <w:t>3月化蛹，</w:t>
      </w:r>
      <w:r>
        <w:rPr>
          <w:sz w:val="29"/>
          <w:szCs w:val="29"/>
        </w:rPr>
        <w:t xml:space="preserve"> </w:t>
      </w:r>
      <w:r>
        <w:rPr>
          <w:sz w:val="29"/>
          <w:szCs w:val="29"/>
          <w:spacing w:val="1"/>
        </w:rPr>
        <w:t>4月上、中旬成虫开始羽化；5月、6—7月、9月各发生一代。1、2</w:t>
      </w:r>
      <w:r>
        <w:rPr>
          <w:sz w:val="29"/>
          <w:szCs w:val="29"/>
        </w:rPr>
        <w:t>代发生整齐；</w:t>
      </w:r>
    </w:p>
    <w:p>
      <w:pPr>
        <w:pStyle w:val="BodyText"/>
        <w:ind w:left="740"/>
        <w:spacing w:before="154" w:line="219" w:lineRule="auto"/>
        <w:rPr>
          <w:sz w:val="29"/>
          <w:szCs w:val="29"/>
        </w:rPr>
      </w:pPr>
      <w:r>
        <w:rPr>
          <w:sz w:val="29"/>
          <w:szCs w:val="29"/>
          <w:spacing w:val="7"/>
        </w:rPr>
        <w:t>(4)分布省份：江苏、安徽、河南以南至台湾、广东、广</w:t>
      </w:r>
      <w:r>
        <w:rPr>
          <w:sz w:val="29"/>
          <w:szCs w:val="29"/>
          <w:spacing w:val="6"/>
        </w:rPr>
        <w:t>西、云南等。</w:t>
      </w:r>
    </w:p>
    <w:p>
      <w:pPr>
        <w:ind w:left="600"/>
        <w:spacing w:before="105"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right="344" w:firstLine="740"/>
        <w:spacing w:before="156" w:line="262" w:lineRule="auto"/>
        <w:rPr>
          <w:sz w:val="29"/>
          <w:szCs w:val="29"/>
        </w:rPr>
      </w:pPr>
      <w:r>
        <w:rPr>
          <w:sz w:val="29"/>
          <w:szCs w:val="29"/>
          <w:spacing w:val="6"/>
        </w:rPr>
        <w:t>(1)现场管理：适当修枝，保持通风透光的环境，可以减轻黑刺</w:t>
      </w:r>
      <w:r>
        <w:rPr>
          <w:sz w:val="29"/>
          <w:szCs w:val="29"/>
          <w:spacing w:val="5"/>
        </w:rPr>
        <w:t>粉虱和橘</w:t>
      </w:r>
      <w:r>
        <w:rPr>
          <w:sz w:val="29"/>
          <w:szCs w:val="29"/>
        </w:rPr>
        <w:t xml:space="preserve"> </w:t>
      </w:r>
      <w:r>
        <w:rPr>
          <w:sz w:val="29"/>
          <w:szCs w:val="29"/>
          <w:spacing w:val="-6"/>
        </w:rPr>
        <w:t>绿粉虱的危害；</w:t>
      </w:r>
    </w:p>
    <w:p>
      <w:pPr>
        <w:pStyle w:val="BodyText"/>
        <w:ind w:left="740"/>
        <w:spacing w:before="164" w:line="219" w:lineRule="auto"/>
        <w:rPr>
          <w:sz w:val="29"/>
          <w:szCs w:val="29"/>
        </w:rPr>
      </w:pPr>
      <w:r>
        <w:rPr>
          <w:sz w:val="29"/>
          <w:szCs w:val="29"/>
          <w:spacing w:val="1"/>
        </w:rPr>
        <w:t>(2)药剂防治参见《各地区农药肥料使用指导》。</w:t>
      </w:r>
    </w:p>
    <w:p>
      <w:pPr>
        <w:pStyle w:val="BodyText"/>
        <w:spacing w:before="13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蓟马类</w:t>
      </w:r>
    </w:p>
    <w:p>
      <w:pPr>
        <w:ind w:left="550"/>
        <w:spacing w:before="166" w:line="222" w:lineRule="auto"/>
        <w:rPr>
          <w:rFonts w:ascii="SimHei" w:hAnsi="SimHei" w:eastAsia="SimHei" w:cs="SimHei"/>
          <w:sz w:val="29"/>
          <w:szCs w:val="29"/>
        </w:rPr>
      </w:pPr>
      <w:r>
        <w:rPr>
          <w:rFonts w:ascii="SimHei" w:hAnsi="SimHei" w:eastAsia="SimHei" w:cs="SimHei"/>
          <w:sz w:val="29"/>
          <w:szCs w:val="29"/>
          <w:spacing w:val="31"/>
        </w:rPr>
        <w:t>1)花蓟马</w:t>
      </w:r>
    </w:p>
    <w:p>
      <w:pPr>
        <w:ind w:firstLine="4329"/>
        <w:spacing w:before="79" w:line="2380" w:lineRule="exact"/>
        <w:rPr/>
      </w:pPr>
      <w:r>
        <w:drawing>
          <wp:anchor distT="0" distB="0" distL="0" distR="0" simplePos="0" relativeHeight="252128256" behindDoc="0" locked="0" layoutInCell="1" allowOverlap="1">
            <wp:simplePos x="0" y="0"/>
            <wp:positionH relativeFrom="column">
              <wp:posOffset>1041386</wp:posOffset>
            </wp:positionH>
            <wp:positionV relativeFrom="paragraph">
              <wp:posOffset>56702</wp:posOffset>
            </wp:positionV>
            <wp:extent cx="1574776" cy="1492222"/>
            <wp:effectExtent l="0" t="0" r="0" b="0"/>
            <wp:wrapNone/>
            <wp:docPr id="486" name="IM 486"/>
            <wp:cNvGraphicFramePr/>
            <a:graphic>
              <a:graphicData uri="http://schemas.openxmlformats.org/drawingml/2006/picture">
                <pic:pic>
                  <pic:nvPicPr>
                    <pic:cNvPr id="486" name="IM 486"/>
                    <pic:cNvPicPr/>
                  </pic:nvPicPr>
                  <pic:blipFill>
                    <a:blip r:embed="rId351"/>
                    <a:stretch>
                      <a:fillRect/>
                    </a:stretch>
                  </pic:blipFill>
                  <pic:spPr>
                    <a:xfrm rot="0">
                      <a:off x="0" y="0"/>
                      <a:ext cx="1574776" cy="1492222"/>
                    </a:xfrm>
                    <a:prstGeom prst="rect">
                      <a:avLst/>
                    </a:prstGeom>
                  </pic:spPr>
                </pic:pic>
              </a:graphicData>
            </a:graphic>
          </wp:anchor>
        </w:drawing>
      </w:r>
      <w:r>
        <w:rPr>
          <w:position w:val="-47"/>
        </w:rPr>
        <w:drawing>
          <wp:inline distT="0" distB="0" distL="0" distR="0">
            <wp:extent cx="2393955" cy="1511330"/>
            <wp:effectExtent l="0" t="0" r="0" b="0"/>
            <wp:docPr id="488" name="IM 488"/>
            <wp:cNvGraphicFramePr/>
            <a:graphic>
              <a:graphicData uri="http://schemas.openxmlformats.org/drawingml/2006/picture">
                <pic:pic>
                  <pic:nvPicPr>
                    <pic:cNvPr id="488" name="IM 488"/>
                    <pic:cNvPicPr/>
                  </pic:nvPicPr>
                  <pic:blipFill>
                    <a:blip r:embed="rId352"/>
                    <a:stretch>
                      <a:fillRect/>
                    </a:stretch>
                  </pic:blipFill>
                  <pic:spPr>
                    <a:xfrm rot="0">
                      <a:off x="0" y="0"/>
                      <a:ext cx="2393955" cy="1511330"/>
                    </a:xfrm>
                    <a:prstGeom prst="rect">
                      <a:avLst/>
                    </a:prstGeom>
                  </pic:spPr>
                </pic:pic>
              </a:graphicData>
            </a:graphic>
          </wp:inline>
        </w:drawing>
      </w:r>
    </w:p>
    <w:p>
      <w:pPr>
        <w:pStyle w:val="BodyText"/>
        <w:ind w:left="4249"/>
        <w:spacing w:before="82" w:line="220" w:lineRule="auto"/>
        <w:rPr>
          <w:sz w:val="27"/>
          <w:szCs w:val="27"/>
        </w:rPr>
      </w:pPr>
      <w:r>
        <w:rPr>
          <w:sz w:val="27"/>
          <w:szCs w:val="27"/>
          <w:spacing w:val="-17"/>
        </w:rPr>
        <w:t>图6-2-16花蓟马</w:t>
      </w:r>
    </w:p>
    <w:p>
      <w:pPr>
        <w:pStyle w:val="BodyText"/>
        <w:ind w:left="740"/>
        <w:spacing w:before="149" w:line="219" w:lineRule="auto"/>
        <w:rPr>
          <w:sz w:val="29"/>
          <w:szCs w:val="29"/>
        </w:rPr>
      </w:pPr>
      <w:r>
        <w:rPr>
          <w:sz w:val="29"/>
          <w:szCs w:val="29"/>
          <w:spacing w:val="7"/>
        </w:rPr>
        <w:t>(1)危害植物：多种花卉的花器和花瓣；</w:t>
      </w:r>
    </w:p>
    <w:p>
      <w:pPr>
        <w:pStyle w:val="BodyText"/>
        <w:ind w:right="289" w:firstLine="740"/>
        <w:spacing w:before="143" w:line="279" w:lineRule="auto"/>
        <w:rPr>
          <w:sz w:val="29"/>
          <w:szCs w:val="29"/>
        </w:rPr>
      </w:pPr>
      <w:r>
        <w:rPr>
          <w:sz w:val="29"/>
          <w:szCs w:val="29"/>
          <w:spacing w:val="7"/>
        </w:rPr>
        <w:t>(2)表现症状：成虫、若虫多群集于花内取食为害，花器、花瓣受害后成</w:t>
      </w:r>
      <w:r>
        <w:rPr>
          <w:sz w:val="29"/>
          <w:szCs w:val="29"/>
          <w:spacing w:val="16"/>
        </w:rPr>
        <w:t xml:space="preserve"> </w:t>
      </w:r>
      <w:r>
        <w:rPr>
          <w:sz w:val="29"/>
          <w:szCs w:val="29"/>
          <w:spacing w:val="-1"/>
        </w:rPr>
        <w:t>白化，经日晒后变为黑褐色，危害严重的花朵萎蔫；叶受害后呈现银白色条斑，</w:t>
      </w:r>
      <w:r>
        <w:rPr>
          <w:sz w:val="29"/>
          <w:szCs w:val="29"/>
          <w:spacing w:val="9"/>
        </w:rPr>
        <w:t xml:space="preserve"> </w:t>
      </w:r>
      <w:r>
        <w:rPr>
          <w:sz w:val="29"/>
          <w:szCs w:val="29"/>
          <w:spacing w:val="-7"/>
        </w:rPr>
        <w:t>严重的枯焦萎缩；</w:t>
      </w:r>
    </w:p>
    <w:p>
      <w:pPr>
        <w:pStyle w:val="BodyText"/>
        <w:ind w:right="349" w:firstLine="740"/>
        <w:spacing w:before="188" w:line="259" w:lineRule="auto"/>
        <w:rPr>
          <w:sz w:val="29"/>
          <w:szCs w:val="29"/>
        </w:rPr>
      </w:pPr>
      <w:r>
        <w:rPr>
          <w:sz w:val="29"/>
          <w:szCs w:val="29"/>
          <w:spacing w:val="1"/>
        </w:rPr>
        <w:t>(3)发生时期：一年发生9—11代，每年6—7月、8—9月下旬是该蓟马的危</w:t>
      </w:r>
      <w:r>
        <w:rPr>
          <w:sz w:val="29"/>
          <w:szCs w:val="29"/>
          <w:spacing w:val="6"/>
        </w:rPr>
        <w:t xml:space="preserve"> </w:t>
      </w:r>
      <w:r>
        <w:rPr>
          <w:sz w:val="29"/>
          <w:szCs w:val="29"/>
          <w:spacing w:val="-6"/>
        </w:rPr>
        <w:t>害高峰期；</w:t>
      </w:r>
    </w:p>
    <w:p>
      <w:pPr>
        <w:pStyle w:val="BodyText"/>
        <w:ind w:left="740"/>
        <w:spacing w:before="164" w:line="219" w:lineRule="auto"/>
        <w:rPr>
          <w:sz w:val="29"/>
          <w:szCs w:val="29"/>
        </w:rPr>
      </w:pPr>
      <w:r>
        <w:rPr>
          <w:sz w:val="29"/>
          <w:szCs w:val="29"/>
          <w:spacing w:val="12"/>
        </w:rPr>
        <w:t>(4)分布省份：几乎遍布中国。</w:t>
      </w:r>
    </w:p>
    <w:p>
      <w:pPr>
        <w:ind w:left="519"/>
        <w:spacing w:before="98" w:line="222" w:lineRule="auto"/>
        <w:rPr>
          <w:rFonts w:ascii="SimHei" w:hAnsi="SimHei" w:eastAsia="SimHei" w:cs="SimHei"/>
          <w:sz w:val="29"/>
          <w:szCs w:val="29"/>
        </w:rPr>
      </w:pPr>
      <w:r>
        <w:rPr>
          <w:rFonts w:ascii="SimHei" w:hAnsi="SimHei" w:eastAsia="SimHei" w:cs="SimHei"/>
          <w:sz w:val="29"/>
          <w:szCs w:val="29"/>
          <w:spacing w:val="29"/>
        </w:rPr>
        <w:t>2)榕管蓟马</w:t>
      </w:r>
    </w:p>
    <w:p>
      <w:pPr>
        <w:ind w:firstLine="1749"/>
        <w:spacing w:before="79" w:line="2310" w:lineRule="exact"/>
        <w:rPr/>
      </w:pPr>
      <w:r>
        <w:rPr>
          <w:position w:val="-46"/>
        </w:rPr>
        <w:drawing>
          <wp:inline distT="0" distB="0" distL="0" distR="0">
            <wp:extent cx="4349751" cy="1466874"/>
            <wp:effectExtent l="0" t="0" r="0" b="0"/>
            <wp:docPr id="490" name="IM 490"/>
            <wp:cNvGraphicFramePr/>
            <a:graphic>
              <a:graphicData uri="http://schemas.openxmlformats.org/drawingml/2006/picture">
                <pic:pic>
                  <pic:nvPicPr>
                    <pic:cNvPr id="490" name="IM 490"/>
                    <pic:cNvPicPr/>
                  </pic:nvPicPr>
                  <pic:blipFill>
                    <a:blip r:embed="rId353"/>
                    <a:stretch>
                      <a:fillRect/>
                    </a:stretch>
                  </pic:blipFill>
                  <pic:spPr>
                    <a:xfrm rot="0">
                      <a:off x="0" y="0"/>
                      <a:ext cx="4349751" cy="1466874"/>
                    </a:xfrm>
                    <a:prstGeom prst="rect">
                      <a:avLst/>
                    </a:prstGeom>
                  </pic:spPr>
                </pic:pic>
              </a:graphicData>
            </a:graphic>
          </wp:inline>
        </w:drawing>
      </w:r>
    </w:p>
    <w:p>
      <w:pPr>
        <w:pStyle w:val="BodyText"/>
        <w:ind w:left="3219"/>
        <w:spacing w:before="160" w:line="219" w:lineRule="auto"/>
        <w:rPr>
          <w:sz w:val="24"/>
          <w:szCs w:val="24"/>
        </w:rPr>
      </w:pPr>
      <w:r>
        <w:rPr>
          <w:sz w:val="24"/>
          <w:szCs w:val="24"/>
          <w:spacing w:val="8"/>
        </w:rPr>
        <w:t>图6-2-17榕管蓟马幼虫及表现症状</w:t>
      </w:r>
    </w:p>
    <w:p>
      <w:pPr>
        <w:pStyle w:val="BodyText"/>
        <w:ind w:left="740"/>
        <w:spacing w:before="168" w:line="219" w:lineRule="auto"/>
        <w:rPr>
          <w:sz w:val="29"/>
          <w:szCs w:val="29"/>
        </w:rPr>
      </w:pPr>
      <w:r>
        <w:rPr>
          <w:sz w:val="29"/>
          <w:szCs w:val="29"/>
        </w:rPr>
        <w:t>(1)</w:t>
      </w:r>
      <w:r>
        <w:rPr>
          <w:sz w:val="29"/>
          <w:szCs w:val="29"/>
          <w:spacing w:val="72"/>
        </w:rPr>
        <w:t xml:space="preserve"> </w:t>
      </w:r>
      <w:r>
        <w:rPr>
          <w:sz w:val="29"/>
          <w:szCs w:val="29"/>
        </w:rPr>
        <w:t>主要寄主植物：榕树、气达榕、杜鹃、无花果、</w:t>
      </w:r>
      <w:r>
        <w:rPr>
          <w:sz w:val="29"/>
          <w:szCs w:val="29"/>
          <w:spacing w:val="-1"/>
        </w:rPr>
        <w:t>龙船花、人面子等；</w:t>
      </w:r>
    </w:p>
    <w:p>
      <w:pPr>
        <w:pStyle w:val="BodyText"/>
        <w:ind w:left="740"/>
        <w:spacing w:before="126" w:line="219" w:lineRule="auto"/>
        <w:rPr>
          <w:sz w:val="29"/>
          <w:szCs w:val="29"/>
        </w:rPr>
      </w:pPr>
      <w:r>
        <w:rPr>
          <w:sz w:val="29"/>
          <w:szCs w:val="29"/>
          <w:spacing w:val="8"/>
        </w:rPr>
        <w:t>(2)表现症状：成虫、若虫锉吸榕树等植物的嫩芽、嫩叶</w:t>
      </w:r>
      <w:r>
        <w:rPr>
          <w:sz w:val="29"/>
          <w:szCs w:val="29"/>
          <w:spacing w:val="7"/>
        </w:rPr>
        <w:t>，致使形成大小</w:t>
      </w:r>
    </w:p>
    <w:p>
      <w:pPr>
        <w:spacing w:line="219" w:lineRule="auto"/>
        <w:sectPr>
          <w:footerReference w:type="default" r:id="rId350"/>
          <w:pgSz w:w="14490" w:h="20470"/>
          <w:pgMar w:top="400" w:right="1935" w:bottom="1423" w:left="2140" w:header="0" w:footer="122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5"/>
        <w:spacing w:before="94" w:line="309" w:lineRule="auto"/>
        <w:jc w:val="both"/>
        <w:rPr>
          <w:sz w:val="29"/>
          <w:szCs w:val="29"/>
        </w:rPr>
      </w:pPr>
      <w:bookmarkStart w:name="bookmark109" w:id="73"/>
      <w:bookmarkEnd w:id="73"/>
      <w:r>
        <w:rPr>
          <w:sz w:val="29"/>
          <w:szCs w:val="29"/>
          <w:spacing w:val="-1"/>
        </w:rPr>
        <w:t>不一的紫红褐色斑点，后沿中脉向叶面折叠，形成饺子状的虫瘿，数十头致上百</w:t>
      </w:r>
      <w:r>
        <w:rPr>
          <w:sz w:val="29"/>
          <w:szCs w:val="29"/>
          <w:spacing w:val="18"/>
        </w:rPr>
        <w:t xml:space="preserve"> </w:t>
      </w:r>
      <w:r>
        <w:rPr>
          <w:sz w:val="29"/>
          <w:szCs w:val="29"/>
          <w:spacing w:val="-9"/>
        </w:rPr>
        <w:t>头成虫、若虫在虫瘿内吸食为害；受害严重者多数树叶成饺子状，且布满红褐色斑</w:t>
      </w:r>
      <w:r>
        <w:rPr>
          <w:sz w:val="29"/>
          <w:szCs w:val="29"/>
          <w:spacing w:val="15"/>
        </w:rPr>
        <w:t xml:space="preserve"> </w:t>
      </w:r>
      <w:r>
        <w:rPr>
          <w:sz w:val="29"/>
          <w:szCs w:val="29"/>
          <w:spacing w:val="-2"/>
        </w:rPr>
        <w:t>点，降低了观赏价值和经济价值；</w:t>
      </w:r>
    </w:p>
    <w:p>
      <w:pPr>
        <w:pStyle w:val="BodyText"/>
        <w:ind w:left="720"/>
        <w:spacing w:before="34" w:line="219" w:lineRule="auto"/>
        <w:rPr>
          <w:sz w:val="29"/>
          <w:szCs w:val="29"/>
        </w:rPr>
      </w:pPr>
      <w:r>
        <w:rPr>
          <w:sz w:val="29"/>
          <w:szCs w:val="29"/>
          <w:spacing w:val="-6"/>
        </w:rPr>
        <w:t>(3)发生规律：每年1月出现第一代；11月初出现第九代，并进入越冬期；</w:t>
      </w:r>
    </w:p>
    <w:p>
      <w:pPr>
        <w:pStyle w:val="BodyText"/>
        <w:ind w:left="580" w:right="87" w:firstLine="139"/>
        <w:spacing w:before="133" w:line="275" w:lineRule="auto"/>
        <w:rPr>
          <w:sz w:val="29"/>
          <w:szCs w:val="29"/>
        </w:rPr>
      </w:pPr>
      <w:r>
        <w:rPr>
          <w:sz w:val="29"/>
          <w:szCs w:val="29"/>
          <w:spacing w:val="6"/>
        </w:rPr>
        <w:t>(4)分布省份：主要发生在榕树生长地，特别在南宁、福州、贵阳发生严</w:t>
      </w:r>
      <w:r>
        <w:rPr>
          <w:sz w:val="29"/>
          <w:szCs w:val="29"/>
          <w:spacing w:val="18"/>
        </w:rPr>
        <w:t xml:space="preserve"> </w:t>
      </w:r>
      <w:r>
        <w:rPr>
          <w:sz w:val="29"/>
          <w:szCs w:val="29"/>
          <w:spacing w:val="-7"/>
        </w:rPr>
        <w:t>重。</w:t>
      </w:r>
    </w:p>
    <w:p>
      <w:pPr>
        <w:ind w:left="580"/>
        <w:spacing w:before="175" w:line="221" w:lineRule="auto"/>
        <w:rPr>
          <w:rFonts w:ascii="SimHei" w:hAnsi="SimHei" w:eastAsia="SimHei" w:cs="SimHei"/>
          <w:sz w:val="29"/>
          <w:szCs w:val="29"/>
        </w:rPr>
      </w:pPr>
      <w:r>
        <w:rPr>
          <w:rFonts w:ascii="SimHei" w:hAnsi="SimHei" w:eastAsia="SimHei" w:cs="SimHei"/>
          <w:sz w:val="29"/>
          <w:szCs w:val="29"/>
          <w:spacing w:val="19"/>
        </w:rPr>
        <w:t>3)蓟马类防治方法</w:t>
      </w:r>
    </w:p>
    <w:p>
      <w:pPr>
        <w:pStyle w:val="BodyText"/>
        <w:ind w:right="27" w:firstLine="720"/>
        <w:spacing w:before="61" w:line="286" w:lineRule="auto"/>
        <w:rPr>
          <w:sz w:val="29"/>
          <w:szCs w:val="29"/>
        </w:rPr>
      </w:pPr>
      <w:r>
        <w:rPr>
          <w:sz w:val="29"/>
          <w:szCs w:val="29"/>
          <w:spacing w:val="2"/>
        </w:rPr>
        <w:t>①  现场管理：冬季彻底清除花圃内外的枯枝落叶和杂草，并集中</w:t>
      </w:r>
      <w:r>
        <w:rPr>
          <w:sz w:val="29"/>
          <w:szCs w:val="29"/>
          <w:spacing w:val="1"/>
        </w:rPr>
        <w:t>销毁；</w:t>
      </w:r>
      <w:r>
        <w:rPr>
          <w:sz w:val="29"/>
          <w:szCs w:val="29"/>
        </w:rPr>
        <w:t xml:space="preserve"> </w:t>
      </w:r>
      <w:r>
        <w:rPr>
          <w:sz w:val="29"/>
          <w:szCs w:val="29"/>
          <w:spacing w:val="-16"/>
        </w:rPr>
        <w:t>早春灌水、翻地，消灭越冬虫体；清除枯枝杂草；及时喷水、灌水，</w:t>
      </w:r>
      <w:r>
        <w:rPr>
          <w:sz w:val="29"/>
          <w:szCs w:val="29"/>
          <w:spacing w:val="-17"/>
        </w:rPr>
        <w:t>或结合修剪，剪</w:t>
      </w:r>
      <w:r>
        <w:rPr>
          <w:sz w:val="29"/>
          <w:szCs w:val="29"/>
        </w:rPr>
        <w:t xml:space="preserve"> </w:t>
      </w:r>
      <w:r>
        <w:rPr>
          <w:sz w:val="29"/>
          <w:szCs w:val="29"/>
          <w:spacing w:val="-3"/>
        </w:rPr>
        <w:t>除被害枝，亦可降低虫口数量；</w:t>
      </w:r>
    </w:p>
    <w:p>
      <w:pPr>
        <w:pStyle w:val="BodyText"/>
        <w:ind w:left="720"/>
        <w:spacing w:before="163" w:line="217" w:lineRule="auto"/>
        <w:rPr>
          <w:sz w:val="29"/>
          <w:szCs w:val="29"/>
        </w:rPr>
      </w:pPr>
      <w:r>
        <w:rPr>
          <w:sz w:val="29"/>
          <w:szCs w:val="29"/>
          <w:spacing w:val="-5"/>
        </w:rPr>
        <w:t>②  药剂防治参见《各地区农药肥料使用指导》。</w:t>
      </w:r>
    </w:p>
    <w:p>
      <w:pPr>
        <w:ind w:left="109"/>
        <w:spacing w:before="213" w:line="223" w:lineRule="auto"/>
        <w:outlineLvl w:val="2"/>
        <w:rPr>
          <w:rFonts w:ascii="SimHei" w:hAnsi="SimHei" w:eastAsia="SimHei" w:cs="SimHei"/>
          <w:sz w:val="29"/>
          <w:szCs w:val="29"/>
        </w:rPr>
      </w:pPr>
      <w:bookmarkStart w:name="bookmark43" w:id="74"/>
      <w:bookmarkEnd w:id="74"/>
      <w:r>
        <w:rPr>
          <w:rFonts w:ascii="SimHei" w:hAnsi="SimHei" w:eastAsia="SimHei" w:cs="SimHei"/>
          <w:sz w:val="29"/>
          <w:szCs w:val="29"/>
          <w:spacing w:val="31"/>
        </w:rPr>
        <w:t>(三)蛀干害虫</w:t>
      </w:r>
    </w:p>
    <w:p>
      <w:pPr>
        <w:pStyle w:val="BodyText"/>
        <w:spacing w:before="126" w:line="221"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天牛类</w:t>
      </w:r>
    </w:p>
    <w:p>
      <w:pPr>
        <w:ind w:left="520"/>
        <w:spacing w:before="166" w:line="222" w:lineRule="auto"/>
        <w:rPr>
          <w:rFonts w:ascii="SimHei" w:hAnsi="SimHei" w:eastAsia="SimHei" w:cs="SimHei"/>
          <w:sz w:val="29"/>
          <w:szCs w:val="29"/>
        </w:rPr>
      </w:pPr>
      <w:r>
        <w:rPr>
          <w:rFonts w:ascii="SimHei" w:hAnsi="SimHei" w:eastAsia="SimHei" w:cs="SimHei"/>
          <w:sz w:val="29"/>
          <w:szCs w:val="29"/>
          <w:spacing w:val="32"/>
        </w:rPr>
        <w:t>1)桑天牛</w:t>
      </w:r>
    </w:p>
    <w:p>
      <w:pPr>
        <w:ind w:firstLine="1539"/>
        <w:spacing w:before="9" w:line="2500" w:lineRule="exact"/>
        <w:rPr/>
      </w:pPr>
      <w:r>
        <w:rPr>
          <w:position w:val="-50"/>
        </w:rPr>
        <w:drawing>
          <wp:inline distT="0" distB="0" distL="0" distR="0">
            <wp:extent cx="4476727" cy="1587500"/>
            <wp:effectExtent l="0" t="0" r="0" b="0"/>
            <wp:docPr id="492" name="IM 492"/>
            <wp:cNvGraphicFramePr/>
            <a:graphic>
              <a:graphicData uri="http://schemas.openxmlformats.org/drawingml/2006/picture">
                <pic:pic>
                  <pic:nvPicPr>
                    <pic:cNvPr id="492" name="IM 492"/>
                    <pic:cNvPicPr/>
                  </pic:nvPicPr>
                  <pic:blipFill>
                    <a:blip r:embed="rId355"/>
                    <a:stretch>
                      <a:fillRect/>
                    </a:stretch>
                  </pic:blipFill>
                  <pic:spPr>
                    <a:xfrm rot="0">
                      <a:off x="0" y="0"/>
                      <a:ext cx="4476727" cy="1587500"/>
                    </a:xfrm>
                    <a:prstGeom prst="rect">
                      <a:avLst/>
                    </a:prstGeom>
                  </pic:spPr>
                </pic:pic>
              </a:graphicData>
            </a:graphic>
          </wp:inline>
        </w:drawing>
      </w:r>
    </w:p>
    <w:p>
      <w:pPr>
        <w:pStyle w:val="BodyText"/>
        <w:ind w:left="4229"/>
        <w:spacing w:before="82" w:line="220" w:lineRule="auto"/>
        <w:rPr>
          <w:sz w:val="27"/>
          <w:szCs w:val="27"/>
        </w:rPr>
      </w:pPr>
      <w:r>
        <w:rPr>
          <w:sz w:val="27"/>
          <w:szCs w:val="27"/>
          <w:spacing w:val="-19"/>
        </w:rPr>
        <w:t>图6-2-18桑天牛</w:t>
      </w:r>
    </w:p>
    <w:p>
      <w:pPr>
        <w:pStyle w:val="BodyText"/>
        <w:ind w:right="87" w:firstLine="720"/>
        <w:spacing w:before="157" w:line="266" w:lineRule="auto"/>
        <w:rPr>
          <w:sz w:val="29"/>
          <w:szCs w:val="29"/>
        </w:rPr>
      </w:pPr>
      <w:r>
        <w:rPr>
          <w:sz w:val="29"/>
          <w:szCs w:val="29"/>
          <w:spacing w:val="6"/>
        </w:rPr>
        <w:t>(1)危害植物：榆、柳、杨、刺槐、桑、构、油桐、枫杨等，桑科植物受</w:t>
      </w:r>
      <w:r>
        <w:rPr>
          <w:sz w:val="29"/>
          <w:szCs w:val="29"/>
          <w:spacing w:val="18"/>
        </w:rPr>
        <w:t xml:space="preserve"> </w:t>
      </w:r>
      <w:r>
        <w:rPr>
          <w:sz w:val="29"/>
          <w:szCs w:val="29"/>
          <w:spacing w:val="-7"/>
        </w:rPr>
        <w:t>害最重；</w:t>
      </w:r>
    </w:p>
    <w:p>
      <w:pPr>
        <w:pStyle w:val="BodyText"/>
        <w:ind w:right="9" w:firstLine="720"/>
        <w:spacing w:before="166" w:line="281" w:lineRule="auto"/>
        <w:rPr>
          <w:sz w:val="29"/>
          <w:szCs w:val="29"/>
        </w:rPr>
      </w:pPr>
      <w:r>
        <w:rPr>
          <w:sz w:val="29"/>
          <w:szCs w:val="29"/>
          <w:spacing w:val="9"/>
        </w:rPr>
        <w:t>(2)表现症状：成虫食害嫩枝皮和叶；幼虫于枝干的皮下和木质部</w:t>
      </w:r>
      <w:r>
        <w:rPr>
          <w:sz w:val="29"/>
          <w:szCs w:val="29"/>
          <w:spacing w:val="8"/>
        </w:rPr>
        <w:t>内，向</w:t>
      </w:r>
      <w:r>
        <w:rPr>
          <w:sz w:val="29"/>
          <w:szCs w:val="29"/>
        </w:rPr>
        <w:t xml:space="preserve"> </w:t>
      </w:r>
      <w:r>
        <w:rPr>
          <w:sz w:val="29"/>
          <w:szCs w:val="29"/>
          <w:spacing w:val="-5"/>
        </w:rPr>
        <w:t>下蛀食，隧道通直干净，隔一定距离向外蛀1通气排粪屑孔，排出大量粪屑，粪渣</w:t>
      </w:r>
      <w:r>
        <w:rPr>
          <w:sz w:val="29"/>
          <w:szCs w:val="29"/>
          <w:spacing w:val="17"/>
        </w:rPr>
        <w:t xml:space="preserve"> </w:t>
      </w:r>
      <w:r>
        <w:rPr>
          <w:sz w:val="29"/>
          <w:szCs w:val="29"/>
          <w:spacing w:val="-6"/>
        </w:rPr>
        <w:t>打火石状；</w:t>
      </w:r>
    </w:p>
    <w:p>
      <w:pPr>
        <w:pStyle w:val="BodyText"/>
        <w:ind w:right="132" w:firstLine="720"/>
        <w:spacing w:before="134" w:line="266" w:lineRule="auto"/>
        <w:rPr>
          <w:sz w:val="29"/>
          <w:szCs w:val="29"/>
        </w:rPr>
      </w:pPr>
      <w:r>
        <w:rPr>
          <w:sz w:val="29"/>
          <w:szCs w:val="29"/>
          <w:spacing w:val="1"/>
        </w:rPr>
        <w:t>(3)发生规律：北方2—3年1代，广东1年1代；幼虫</w:t>
      </w:r>
      <w:r>
        <w:rPr>
          <w:sz w:val="29"/>
          <w:szCs w:val="29"/>
        </w:rPr>
        <w:t>在枝干内越冬，北方幼 </w:t>
      </w:r>
      <w:r>
        <w:rPr>
          <w:sz w:val="29"/>
          <w:szCs w:val="29"/>
          <w:spacing w:val="-17"/>
        </w:rPr>
        <w:t>虫经过2或3个冬天；于6—7月间老熟，在隧道内两端填塞木屑筑蛹室化蛹；</w:t>
      </w:r>
    </w:p>
    <w:p>
      <w:pPr>
        <w:pStyle w:val="BodyText"/>
        <w:spacing w:before="146" w:line="219" w:lineRule="auto"/>
        <w:rPr>
          <w:sz w:val="29"/>
          <w:szCs w:val="29"/>
        </w:rPr>
      </w:pPr>
      <w:r>
        <w:rPr>
          <w:sz w:val="29"/>
          <w:szCs w:val="29"/>
        </w:rPr>
        <w:t>7—8月间为成虫发生期，约经10—15天开始产卵；</w:t>
      </w:r>
    </w:p>
    <w:p>
      <w:pPr>
        <w:pStyle w:val="BodyText"/>
        <w:ind w:firstLine="720"/>
        <w:spacing w:before="163" w:line="268" w:lineRule="auto"/>
        <w:rPr>
          <w:sz w:val="30"/>
          <w:szCs w:val="30"/>
        </w:rPr>
      </w:pPr>
      <w:r>
        <w:rPr>
          <w:sz w:val="30"/>
          <w:szCs w:val="30"/>
          <w:spacing w:val="-2"/>
        </w:rPr>
        <w:t>(4)分布省份：分布在北京、天津、广东、广西、湖北、湖南、河北、辽</w:t>
      </w:r>
      <w:r>
        <w:rPr>
          <w:sz w:val="30"/>
          <w:szCs w:val="30"/>
        </w:rPr>
        <w:t xml:space="preserve"> </w:t>
      </w:r>
      <w:r>
        <w:rPr>
          <w:sz w:val="30"/>
          <w:szCs w:val="30"/>
          <w:spacing w:val="-10"/>
        </w:rPr>
        <w:t>宁、河南、山东、安徽、江苏、上海、浙江、福建、四川、江西、台湾、海南、</w:t>
      </w:r>
      <w:r>
        <w:rPr>
          <w:sz w:val="30"/>
          <w:szCs w:val="30"/>
          <w:spacing w:val="8"/>
        </w:rPr>
        <w:t xml:space="preserve"> </w:t>
      </w:r>
      <w:r>
        <w:rPr>
          <w:sz w:val="30"/>
          <w:szCs w:val="30"/>
          <w:spacing w:val="-8"/>
        </w:rPr>
        <w:t>云南、贵州、山西、陕西等省。</w:t>
      </w:r>
    </w:p>
    <w:p>
      <w:pPr>
        <w:ind w:left="580"/>
        <w:spacing w:before="206" w:line="222" w:lineRule="auto"/>
        <w:rPr>
          <w:rFonts w:ascii="SimHei" w:hAnsi="SimHei" w:eastAsia="SimHei" w:cs="SimHei"/>
          <w:sz w:val="29"/>
          <w:szCs w:val="29"/>
        </w:rPr>
      </w:pPr>
      <w:r>
        <w:rPr>
          <w:rFonts w:ascii="SimHei" w:hAnsi="SimHei" w:eastAsia="SimHei" w:cs="SimHei"/>
          <w:sz w:val="29"/>
          <w:szCs w:val="29"/>
          <w:spacing w:val="32"/>
        </w:rPr>
        <w:t>2)星天牛</w:t>
      </w:r>
    </w:p>
    <w:p>
      <w:pPr>
        <w:pStyle w:val="BodyText"/>
        <w:ind w:left="720"/>
        <w:spacing w:before="90" w:line="219" w:lineRule="auto"/>
        <w:rPr>
          <w:sz w:val="29"/>
          <w:szCs w:val="29"/>
        </w:rPr>
      </w:pPr>
      <w:r>
        <w:rPr>
          <w:sz w:val="29"/>
          <w:szCs w:val="29"/>
          <w:spacing w:val="7"/>
        </w:rPr>
        <w:t>(1)危害植物：樱花、枫杨、杨、柳、西府海棠等；</w:t>
      </w:r>
    </w:p>
    <w:p>
      <w:pPr>
        <w:pStyle w:val="BodyText"/>
        <w:ind w:left="720"/>
        <w:spacing w:before="156" w:line="219" w:lineRule="auto"/>
        <w:rPr>
          <w:sz w:val="29"/>
          <w:szCs w:val="29"/>
        </w:rPr>
      </w:pPr>
      <w:r>
        <w:rPr>
          <w:sz w:val="29"/>
          <w:szCs w:val="29"/>
        </w:rPr>
        <w:t>(2)表现症状：幼虫在树主干干基蛀食木质部及皮层，</w:t>
      </w:r>
      <w:r>
        <w:rPr>
          <w:sz w:val="29"/>
          <w:szCs w:val="29"/>
          <w:spacing w:val="-55"/>
        </w:rPr>
        <w:t xml:space="preserve"> </w:t>
      </w:r>
      <w:r>
        <w:rPr>
          <w:sz w:val="29"/>
          <w:szCs w:val="29"/>
        </w:rPr>
        <w:t>一般1个孔道1头</w:t>
      </w:r>
    </w:p>
    <w:p>
      <w:pPr>
        <w:spacing w:line="219" w:lineRule="auto"/>
        <w:sectPr>
          <w:footerReference w:type="default" r:id="rId354"/>
          <w:pgSz w:w="14490" w:h="20470"/>
          <w:pgMar w:top="400" w:right="2170" w:bottom="1395" w:left="2160" w:header="0" w:footer="1233" w:gutter="0"/>
        </w:sectPr>
        <w:rPr>
          <w:sz w:val="29"/>
          <w:szCs w:val="29"/>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15" w:firstLine="499"/>
        <w:spacing w:before="94" w:line="292" w:lineRule="auto"/>
        <w:rPr>
          <w:sz w:val="29"/>
          <w:szCs w:val="29"/>
        </w:rPr>
      </w:pPr>
      <w:r>
        <w:rPr>
          <w:sz w:val="29"/>
          <w:szCs w:val="29"/>
          <w:spacing w:val="2"/>
        </w:rPr>
        <w:t>虫，蛀道迂回、横向串食，粪渣粗锯木屑状，不完全外排，排出的木屑堆集</w:t>
      </w:r>
      <w:r>
        <w:rPr>
          <w:sz w:val="29"/>
          <w:szCs w:val="29"/>
          <w:spacing w:val="14"/>
        </w:rPr>
        <w:t xml:space="preserve"> </w:t>
      </w:r>
      <w:r>
        <w:rPr>
          <w:sz w:val="29"/>
          <w:szCs w:val="29"/>
          <w:spacing w:val="-5"/>
        </w:rPr>
        <w:t>在树干基部；</w:t>
      </w:r>
    </w:p>
    <w:p>
      <w:pPr>
        <w:ind w:firstLine="1609"/>
        <w:spacing w:line="2689" w:lineRule="exact"/>
        <w:rPr/>
      </w:pPr>
      <w:r>
        <w:rPr>
          <w:position w:val="-53"/>
        </w:rPr>
        <w:drawing>
          <wp:inline distT="0" distB="0" distL="0" distR="0">
            <wp:extent cx="4533866" cy="1708126"/>
            <wp:effectExtent l="0" t="0" r="0" b="0"/>
            <wp:docPr id="494" name="IM 494"/>
            <wp:cNvGraphicFramePr/>
            <a:graphic>
              <a:graphicData uri="http://schemas.openxmlformats.org/drawingml/2006/picture">
                <pic:pic>
                  <pic:nvPicPr>
                    <pic:cNvPr id="494" name="IM 494"/>
                    <pic:cNvPicPr/>
                  </pic:nvPicPr>
                  <pic:blipFill>
                    <a:blip r:embed="rId357"/>
                    <a:stretch>
                      <a:fillRect/>
                    </a:stretch>
                  </pic:blipFill>
                  <pic:spPr>
                    <a:xfrm rot="0">
                      <a:off x="0" y="0"/>
                      <a:ext cx="4533866" cy="1708126"/>
                    </a:xfrm>
                    <a:prstGeom prst="rect">
                      <a:avLst/>
                    </a:prstGeom>
                  </pic:spPr>
                </pic:pic>
              </a:graphicData>
            </a:graphic>
          </wp:inline>
        </w:drawing>
      </w:r>
    </w:p>
    <w:p>
      <w:pPr>
        <w:pStyle w:val="BodyText"/>
        <w:ind w:left="4239"/>
        <w:spacing w:before="1" w:line="220" w:lineRule="auto"/>
        <w:rPr>
          <w:sz w:val="27"/>
          <w:szCs w:val="27"/>
        </w:rPr>
      </w:pPr>
      <w:r>
        <w:rPr>
          <w:sz w:val="27"/>
          <w:szCs w:val="27"/>
          <w:spacing w:val="-18"/>
        </w:rPr>
        <w:t>图6-2-19星天牛</w:t>
      </w:r>
    </w:p>
    <w:p>
      <w:pPr>
        <w:pStyle w:val="BodyText"/>
        <w:ind w:left="730"/>
        <w:spacing w:before="158" w:line="219" w:lineRule="auto"/>
        <w:rPr>
          <w:sz w:val="29"/>
          <w:szCs w:val="29"/>
        </w:rPr>
      </w:pPr>
      <w:r>
        <w:rPr>
          <w:sz w:val="29"/>
          <w:szCs w:val="29"/>
          <w:spacing w:val="-15"/>
        </w:rPr>
        <w:t>(3)</w:t>
      </w:r>
      <w:r>
        <w:rPr>
          <w:sz w:val="29"/>
          <w:szCs w:val="29"/>
          <w:spacing w:val="82"/>
        </w:rPr>
        <w:t xml:space="preserve"> </w:t>
      </w:r>
      <w:r>
        <w:rPr>
          <w:sz w:val="29"/>
          <w:szCs w:val="29"/>
          <w:spacing w:val="-15"/>
        </w:rPr>
        <w:t>发生时期：每年发生1代，幼虫回春为害至11月；成虫于</w:t>
      </w:r>
      <w:r>
        <w:rPr>
          <w:sz w:val="29"/>
          <w:szCs w:val="29"/>
          <w:spacing w:val="-16"/>
        </w:rPr>
        <w:t>4—7月出现；</w:t>
      </w:r>
    </w:p>
    <w:p>
      <w:pPr>
        <w:pStyle w:val="BodyText"/>
        <w:ind w:left="730"/>
        <w:spacing w:before="154" w:line="219" w:lineRule="auto"/>
        <w:rPr>
          <w:sz w:val="29"/>
          <w:szCs w:val="29"/>
        </w:rPr>
      </w:pPr>
      <w:r>
        <w:rPr>
          <w:sz w:val="29"/>
          <w:szCs w:val="29"/>
          <w:spacing w:val="17"/>
        </w:rPr>
        <w:t>(4)分布省份：中国辽宁以南、甘肃以东各省(区)</w:t>
      </w:r>
      <w:r>
        <w:rPr>
          <w:sz w:val="29"/>
          <w:szCs w:val="29"/>
          <w:spacing w:val="16"/>
        </w:rPr>
        <w:t>都有分布。</w:t>
      </w:r>
    </w:p>
    <w:p>
      <w:pPr>
        <w:ind w:left="499"/>
        <w:spacing w:before="98" w:line="222" w:lineRule="auto"/>
        <w:rPr>
          <w:rFonts w:ascii="SimHei" w:hAnsi="SimHei" w:eastAsia="SimHei" w:cs="SimHei"/>
          <w:sz w:val="29"/>
          <w:szCs w:val="29"/>
        </w:rPr>
      </w:pPr>
      <w:r>
        <w:rPr>
          <w:rFonts w:ascii="SimHei" w:hAnsi="SimHei" w:eastAsia="SimHei" w:cs="SimHei"/>
          <w:sz w:val="29"/>
          <w:szCs w:val="29"/>
          <w:spacing w:val="26"/>
        </w:rPr>
        <w:t>3)光肩星天牛</w:t>
      </w:r>
    </w:p>
    <w:p>
      <w:pPr>
        <w:ind w:firstLine="2140"/>
        <w:spacing w:before="39" w:line="2680" w:lineRule="exact"/>
        <w:rPr/>
      </w:pPr>
      <w:r>
        <w:rPr>
          <w:position w:val="-53"/>
        </w:rPr>
        <w:drawing>
          <wp:inline distT="0" distB="0" distL="0" distR="0">
            <wp:extent cx="3829058" cy="1701886"/>
            <wp:effectExtent l="0" t="0" r="0" b="0"/>
            <wp:docPr id="496" name="IM 496"/>
            <wp:cNvGraphicFramePr/>
            <a:graphic>
              <a:graphicData uri="http://schemas.openxmlformats.org/drawingml/2006/picture">
                <pic:pic>
                  <pic:nvPicPr>
                    <pic:cNvPr id="496" name="IM 496"/>
                    <pic:cNvPicPr/>
                  </pic:nvPicPr>
                  <pic:blipFill>
                    <a:blip r:embed="rId358"/>
                    <a:stretch>
                      <a:fillRect/>
                    </a:stretch>
                  </pic:blipFill>
                  <pic:spPr>
                    <a:xfrm rot="0">
                      <a:off x="0" y="0"/>
                      <a:ext cx="3829058" cy="1701886"/>
                    </a:xfrm>
                    <a:prstGeom prst="rect">
                      <a:avLst/>
                    </a:prstGeom>
                  </pic:spPr>
                </pic:pic>
              </a:graphicData>
            </a:graphic>
          </wp:inline>
        </w:drawing>
      </w:r>
    </w:p>
    <w:p>
      <w:pPr>
        <w:pStyle w:val="BodyText"/>
        <w:ind w:left="3359"/>
        <w:spacing w:before="100" w:line="219" w:lineRule="auto"/>
        <w:rPr>
          <w:sz w:val="24"/>
          <w:szCs w:val="24"/>
        </w:rPr>
      </w:pPr>
      <w:r>
        <w:rPr>
          <w:sz w:val="24"/>
          <w:szCs w:val="24"/>
          <w:spacing w:val="7"/>
        </w:rPr>
        <w:t>图6-2-20光肩星天牛幼虫、成虫</w:t>
      </w:r>
    </w:p>
    <w:p>
      <w:pPr>
        <w:pStyle w:val="BodyText"/>
        <w:ind w:left="730"/>
        <w:spacing w:before="176" w:line="219" w:lineRule="auto"/>
        <w:rPr>
          <w:sz w:val="29"/>
          <w:szCs w:val="29"/>
        </w:rPr>
      </w:pPr>
      <w:r>
        <w:rPr>
          <w:sz w:val="29"/>
          <w:szCs w:val="29"/>
          <w:spacing w:val="6"/>
        </w:rPr>
        <w:t>(1)危害植物：榆、柳、杨、李、梅、樱桃等；</w:t>
      </w:r>
    </w:p>
    <w:p>
      <w:pPr>
        <w:pStyle w:val="BodyText"/>
        <w:ind w:right="45" w:firstLine="730"/>
        <w:spacing w:before="137" w:line="279" w:lineRule="auto"/>
        <w:rPr>
          <w:sz w:val="29"/>
          <w:szCs w:val="29"/>
        </w:rPr>
      </w:pPr>
      <w:r>
        <w:rPr>
          <w:sz w:val="29"/>
          <w:szCs w:val="29"/>
          <w:spacing w:val="-1"/>
        </w:rPr>
        <w:t>(2)表现症状：成虫食叶和嫩枝的皮；幼虫于枝干的皮层和</w:t>
      </w:r>
      <w:r>
        <w:rPr>
          <w:sz w:val="29"/>
          <w:szCs w:val="29"/>
          <w:spacing w:val="-2"/>
        </w:rPr>
        <w:t>木质部内蛀食，</w:t>
      </w:r>
      <w:r>
        <w:rPr>
          <w:sz w:val="29"/>
          <w:szCs w:val="29"/>
        </w:rPr>
        <w:t xml:space="preserve"> </w:t>
      </w:r>
      <w:r>
        <w:rPr>
          <w:sz w:val="29"/>
          <w:szCs w:val="29"/>
          <w:spacing w:val="-9"/>
        </w:rPr>
        <w:t>向上蛀食，蛀道多岔道，粪渣长锯木屑状，不完全外排；由排粪孔排出大量白色粪</w:t>
      </w:r>
      <w:r>
        <w:rPr>
          <w:sz w:val="29"/>
          <w:szCs w:val="29"/>
          <w:spacing w:val="3"/>
        </w:rPr>
        <w:t xml:space="preserve"> </w:t>
      </w:r>
      <w:r>
        <w:rPr>
          <w:sz w:val="29"/>
          <w:szCs w:val="29"/>
          <w:spacing w:val="-10"/>
        </w:rPr>
        <w:t>屑并有树汁流出；</w:t>
      </w:r>
    </w:p>
    <w:p>
      <w:pPr>
        <w:pStyle w:val="BodyText"/>
        <w:ind w:right="279" w:firstLine="730"/>
        <w:spacing w:before="155" w:line="269" w:lineRule="auto"/>
        <w:rPr>
          <w:sz w:val="29"/>
          <w:szCs w:val="29"/>
        </w:rPr>
      </w:pPr>
      <w:r>
        <w:rPr>
          <w:sz w:val="29"/>
          <w:szCs w:val="29"/>
          <w:spacing w:val="1"/>
        </w:rPr>
        <w:t>(3)发生时期：南方年生1代，北方2—3</w:t>
      </w:r>
      <w:r>
        <w:rPr>
          <w:sz w:val="29"/>
          <w:szCs w:val="29"/>
        </w:rPr>
        <w:t>年1代；以幼虫于隧道内越冬；寄 </w:t>
      </w:r>
      <w:r>
        <w:rPr>
          <w:sz w:val="29"/>
          <w:szCs w:val="29"/>
          <w:spacing w:val="-5"/>
        </w:rPr>
        <w:t>主萌动后始害，为害至11月；成虫发生期6—10</w:t>
      </w:r>
      <w:r>
        <w:rPr>
          <w:sz w:val="29"/>
          <w:szCs w:val="29"/>
          <w:spacing w:val="-6"/>
        </w:rPr>
        <w:t>月；</w:t>
      </w:r>
    </w:p>
    <w:p>
      <w:pPr>
        <w:pStyle w:val="BodyText"/>
        <w:ind w:left="59" w:right="94" w:firstLine="670"/>
        <w:spacing w:before="106" w:line="275" w:lineRule="auto"/>
        <w:rPr>
          <w:sz w:val="30"/>
          <w:szCs w:val="30"/>
        </w:rPr>
      </w:pPr>
      <w:r>
        <w:rPr>
          <w:sz w:val="30"/>
          <w:szCs w:val="30"/>
          <w:spacing w:val="-3"/>
        </w:rPr>
        <w:t>(4)分布省份：北京、天津、河北、内蒙古、山</w:t>
      </w:r>
      <w:r>
        <w:rPr>
          <w:sz w:val="30"/>
          <w:szCs w:val="30"/>
          <w:spacing w:val="-4"/>
        </w:rPr>
        <w:t>西、山东、辽宁、吉林、</w:t>
      </w:r>
      <w:r>
        <w:rPr>
          <w:sz w:val="30"/>
          <w:szCs w:val="30"/>
        </w:rPr>
        <w:t xml:space="preserve"> </w:t>
      </w:r>
      <w:r>
        <w:rPr>
          <w:sz w:val="30"/>
          <w:szCs w:val="30"/>
          <w:spacing w:val="-11"/>
        </w:rPr>
        <w:t>黑龙江、甘肃、宁夏、陕西等地。</w:t>
      </w:r>
    </w:p>
    <w:p>
      <w:pPr>
        <w:ind w:left="499"/>
        <w:spacing w:before="176" w:line="222" w:lineRule="auto"/>
        <w:rPr>
          <w:rFonts w:ascii="SimHei" w:hAnsi="SimHei" w:eastAsia="SimHei" w:cs="SimHei"/>
          <w:sz w:val="29"/>
          <w:szCs w:val="29"/>
        </w:rPr>
      </w:pPr>
      <w:r>
        <w:rPr>
          <w:rFonts w:ascii="SimHei" w:hAnsi="SimHei" w:eastAsia="SimHei" w:cs="SimHei"/>
          <w:sz w:val="29"/>
          <w:szCs w:val="29"/>
          <w:spacing w:val="29"/>
        </w:rPr>
        <w:t>4)云斑天牛</w:t>
      </w:r>
    </w:p>
    <w:p>
      <w:pPr>
        <w:ind w:firstLine="5220"/>
        <w:spacing w:before="59" w:line="2830" w:lineRule="exact"/>
        <w:rPr/>
      </w:pPr>
      <w:r>
        <w:drawing>
          <wp:anchor distT="0" distB="0" distL="0" distR="0" simplePos="0" relativeHeight="252138496" behindDoc="0" locked="0" layoutInCell="1" allowOverlap="1">
            <wp:simplePos x="0" y="0"/>
            <wp:positionH relativeFrom="column">
              <wp:posOffset>1123920</wp:posOffset>
            </wp:positionH>
            <wp:positionV relativeFrom="paragraph">
              <wp:posOffset>37596</wp:posOffset>
            </wp:positionV>
            <wp:extent cx="2133654" cy="1790796"/>
            <wp:effectExtent l="0" t="0" r="0" b="0"/>
            <wp:wrapNone/>
            <wp:docPr id="498" name="IM 498"/>
            <wp:cNvGraphicFramePr/>
            <a:graphic>
              <a:graphicData uri="http://schemas.openxmlformats.org/drawingml/2006/picture">
                <pic:pic>
                  <pic:nvPicPr>
                    <pic:cNvPr id="498" name="IM 498"/>
                    <pic:cNvPicPr/>
                  </pic:nvPicPr>
                  <pic:blipFill>
                    <a:blip r:embed="rId359"/>
                    <a:stretch>
                      <a:fillRect/>
                    </a:stretch>
                  </pic:blipFill>
                  <pic:spPr>
                    <a:xfrm rot="0">
                      <a:off x="0" y="0"/>
                      <a:ext cx="2133654" cy="1790796"/>
                    </a:xfrm>
                    <a:prstGeom prst="rect">
                      <a:avLst/>
                    </a:prstGeom>
                  </pic:spPr>
                </pic:pic>
              </a:graphicData>
            </a:graphic>
          </wp:anchor>
        </w:drawing>
      </w:r>
      <w:r>
        <w:rPr>
          <w:position w:val="-56"/>
        </w:rPr>
        <w:drawing>
          <wp:inline distT="0" distB="0" distL="0" distR="0">
            <wp:extent cx="2057376" cy="1797165"/>
            <wp:effectExtent l="0" t="0" r="0" b="0"/>
            <wp:docPr id="500" name="IM 500"/>
            <wp:cNvGraphicFramePr/>
            <a:graphic>
              <a:graphicData uri="http://schemas.openxmlformats.org/drawingml/2006/picture">
                <pic:pic>
                  <pic:nvPicPr>
                    <pic:cNvPr id="500" name="IM 500"/>
                    <pic:cNvPicPr/>
                  </pic:nvPicPr>
                  <pic:blipFill>
                    <a:blip r:embed="rId360"/>
                    <a:stretch>
                      <a:fillRect/>
                    </a:stretch>
                  </pic:blipFill>
                  <pic:spPr>
                    <a:xfrm rot="0">
                      <a:off x="0" y="0"/>
                      <a:ext cx="2057376" cy="1797165"/>
                    </a:xfrm>
                    <a:prstGeom prst="rect">
                      <a:avLst/>
                    </a:prstGeom>
                  </pic:spPr>
                </pic:pic>
              </a:graphicData>
            </a:graphic>
          </wp:inline>
        </w:drawing>
      </w:r>
    </w:p>
    <w:p>
      <w:pPr>
        <w:pStyle w:val="BodyText"/>
        <w:ind w:left="3469"/>
        <w:spacing w:before="40" w:line="219" w:lineRule="auto"/>
        <w:rPr>
          <w:sz w:val="24"/>
          <w:szCs w:val="24"/>
        </w:rPr>
      </w:pPr>
      <w:r>
        <w:rPr>
          <w:sz w:val="24"/>
          <w:szCs w:val="24"/>
          <w:spacing w:val="6"/>
        </w:rPr>
        <w:t>图6-2-21云斑天牛幼虫、成虫</w:t>
      </w:r>
    </w:p>
    <w:p>
      <w:pPr>
        <w:pStyle w:val="BodyText"/>
        <w:ind w:left="730"/>
        <w:spacing w:before="186" w:line="219" w:lineRule="auto"/>
        <w:rPr>
          <w:sz w:val="29"/>
          <w:szCs w:val="29"/>
        </w:rPr>
      </w:pPr>
      <w:r>
        <w:rPr>
          <w:sz w:val="29"/>
          <w:szCs w:val="29"/>
          <w:spacing w:val="7"/>
        </w:rPr>
        <w:t>(1)危害植物：油桐、乌柏、栎类、杨、柳、</w:t>
      </w:r>
      <w:r>
        <w:rPr>
          <w:sz w:val="29"/>
          <w:szCs w:val="29"/>
          <w:spacing w:val="6"/>
        </w:rPr>
        <w:t>榆、桑、梨等；</w:t>
      </w:r>
    </w:p>
    <w:p>
      <w:pPr>
        <w:spacing w:line="219" w:lineRule="auto"/>
        <w:sectPr>
          <w:footerReference w:type="default" r:id="rId356"/>
          <w:pgSz w:w="14490" w:h="20470"/>
          <w:pgMar w:top="400" w:right="2173" w:bottom="1423" w:left="2150" w:header="0" w:footer="1224"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BodyText"/>
        <w:ind w:right="260" w:firstLine="730"/>
        <w:spacing w:before="94" w:line="280" w:lineRule="auto"/>
        <w:rPr>
          <w:sz w:val="29"/>
          <w:szCs w:val="29"/>
        </w:rPr>
      </w:pPr>
      <w:r>
        <w:rPr>
          <w:sz w:val="29"/>
          <w:szCs w:val="29"/>
          <w:spacing w:val="8"/>
        </w:rPr>
        <w:t>(2)表现症状：成虫啃食新枝嫩皮、致枯死。幼虫蛀食主干韧皮部，后钻</w:t>
      </w:r>
      <w:r>
        <w:rPr>
          <w:sz w:val="29"/>
          <w:szCs w:val="29"/>
          <w:spacing w:val="13"/>
        </w:rPr>
        <w:t xml:space="preserve"> </w:t>
      </w:r>
      <w:r>
        <w:rPr>
          <w:sz w:val="29"/>
          <w:szCs w:val="29"/>
        </w:rPr>
        <w:t>入木质部，被害严重树可整株枯死。蛀道稍弯曲，多</w:t>
      </w:r>
      <w:r>
        <w:rPr>
          <w:sz w:val="29"/>
          <w:szCs w:val="29"/>
          <w:spacing w:val="-1"/>
        </w:rPr>
        <w:t>岔道。粪便粗糙丝状，不完</w:t>
      </w:r>
      <w:r>
        <w:rPr>
          <w:sz w:val="29"/>
          <w:szCs w:val="29"/>
        </w:rPr>
        <w:t xml:space="preserve"> </w:t>
      </w:r>
      <w:r>
        <w:rPr>
          <w:sz w:val="29"/>
          <w:szCs w:val="29"/>
          <w:spacing w:val="-11"/>
        </w:rPr>
        <w:t>全外排；</w:t>
      </w:r>
    </w:p>
    <w:p>
      <w:pPr>
        <w:pStyle w:val="BodyText"/>
        <w:ind w:right="261" w:firstLine="730"/>
        <w:spacing w:before="172" w:line="262" w:lineRule="auto"/>
        <w:rPr>
          <w:sz w:val="29"/>
          <w:szCs w:val="29"/>
        </w:rPr>
      </w:pPr>
      <w:r>
        <w:rPr>
          <w:sz w:val="29"/>
          <w:szCs w:val="29"/>
          <w:spacing w:val="4"/>
        </w:rPr>
        <w:t>(3)发生时期：2—3年1代；以幼虫、蛹及成虫越</w:t>
      </w:r>
      <w:r>
        <w:rPr>
          <w:sz w:val="29"/>
          <w:szCs w:val="29"/>
          <w:spacing w:val="3"/>
        </w:rPr>
        <w:t>冬；幼虫为害至11月；成</w:t>
      </w:r>
      <w:r>
        <w:rPr>
          <w:sz w:val="29"/>
          <w:szCs w:val="29"/>
        </w:rPr>
        <w:t xml:space="preserve"> </w:t>
      </w:r>
      <w:r>
        <w:rPr>
          <w:sz w:val="29"/>
          <w:szCs w:val="29"/>
          <w:spacing w:val="-4"/>
        </w:rPr>
        <w:t>虫5—6月出现，以睛天出现为多；</w:t>
      </w:r>
    </w:p>
    <w:p>
      <w:pPr>
        <w:pStyle w:val="BodyText"/>
        <w:ind w:right="335" w:firstLine="730"/>
        <w:spacing w:before="156" w:line="269" w:lineRule="auto"/>
        <w:rPr>
          <w:sz w:val="29"/>
          <w:szCs w:val="29"/>
        </w:rPr>
      </w:pPr>
      <w:r>
        <w:rPr>
          <w:sz w:val="29"/>
          <w:szCs w:val="29"/>
          <w:spacing w:val="6"/>
        </w:rPr>
        <w:t>(4)分布省份：分布于河北、安徽、江苏、浙江、江西、湖北、湖南、福</w:t>
      </w:r>
      <w:r>
        <w:rPr>
          <w:sz w:val="29"/>
          <w:szCs w:val="29"/>
          <w:spacing w:val="4"/>
        </w:rPr>
        <w:t xml:space="preserve"> </w:t>
      </w:r>
      <w:r>
        <w:rPr>
          <w:sz w:val="29"/>
          <w:szCs w:val="29"/>
          <w:spacing w:val="-1"/>
        </w:rPr>
        <w:t>建、台湾，广东、广西、四川、云南等地。</w:t>
      </w:r>
    </w:p>
    <w:p>
      <w:pPr>
        <w:ind w:left="600"/>
        <w:spacing w:before="186" w:line="222" w:lineRule="auto"/>
        <w:rPr>
          <w:rFonts w:ascii="SimHei" w:hAnsi="SimHei" w:eastAsia="SimHei" w:cs="SimHei"/>
          <w:sz w:val="29"/>
          <w:szCs w:val="29"/>
        </w:rPr>
      </w:pPr>
      <w:r>
        <w:rPr>
          <w:rFonts w:ascii="SimHei" w:hAnsi="SimHei" w:eastAsia="SimHei" w:cs="SimHei"/>
          <w:sz w:val="29"/>
          <w:szCs w:val="29"/>
          <w:spacing w:val="24"/>
        </w:rPr>
        <w:t>5)苹果枝天牛</w:t>
      </w:r>
    </w:p>
    <w:p>
      <w:pPr>
        <w:ind w:firstLine="1159"/>
        <w:spacing w:before="29" w:line="2960" w:lineRule="exact"/>
        <w:rPr/>
      </w:pPr>
      <w:r>
        <w:rPr>
          <w:position w:val="-59"/>
        </w:rPr>
        <w:drawing>
          <wp:inline distT="0" distB="0" distL="0" distR="0">
            <wp:extent cx="5092744" cy="1879575"/>
            <wp:effectExtent l="0" t="0" r="0" b="0"/>
            <wp:docPr id="502" name="IM 502"/>
            <wp:cNvGraphicFramePr/>
            <a:graphic>
              <a:graphicData uri="http://schemas.openxmlformats.org/drawingml/2006/picture">
                <pic:pic>
                  <pic:nvPicPr>
                    <pic:cNvPr id="502" name="IM 502"/>
                    <pic:cNvPicPr/>
                  </pic:nvPicPr>
                  <pic:blipFill>
                    <a:blip r:embed="rId362"/>
                    <a:stretch>
                      <a:fillRect/>
                    </a:stretch>
                  </pic:blipFill>
                  <pic:spPr>
                    <a:xfrm rot="0">
                      <a:off x="0" y="0"/>
                      <a:ext cx="5092744" cy="1879575"/>
                    </a:xfrm>
                    <a:prstGeom prst="rect">
                      <a:avLst/>
                    </a:prstGeom>
                  </pic:spPr>
                </pic:pic>
              </a:graphicData>
            </a:graphic>
          </wp:inline>
        </w:drawing>
      </w:r>
    </w:p>
    <w:p>
      <w:pPr>
        <w:pStyle w:val="BodyText"/>
        <w:ind w:left="3339"/>
        <w:spacing w:before="31" w:line="219" w:lineRule="auto"/>
        <w:rPr>
          <w:sz w:val="27"/>
          <w:szCs w:val="27"/>
        </w:rPr>
      </w:pPr>
      <w:r>
        <w:rPr>
          <w:sz w:val="27"/>
          <w:szCs w:val="27"/>
          <w:spacing w:val="-16"/>
        </w:rPr>
        <w:t>图6-2-22苹果枝天牛幼虫、成虫</w:t>
      </w:r>
    </w:p>
    <w:p>
      <w:pPr>
        <w:pStyle w:val="BodyText"/>
        <w:ind w:left="730"/>
        <w:spacing w:before="131" w:line="219" w:lineRule="auto"/>
        <w:rPr>
          <w:sz w:val="29"/>
          <w:szCs w:val="29"/>
        </w:rPr>
      </w:pPr>
      <w:r>
        <w:rPr>
          <w:sz w:val="29"/>
          <w:szCs w:val="29"/>
          <w:spacing w:val="6"/>
        </w:rPr>
        <w:t>(1)危害植物：苹果，也为害梨、红叶李等园林植物；</w:t>
      </w:r>
    </w:p>
    <w:p>
      <w:pPr>
        <w:pStyle w:val="BodyText"/>
        <w:ind w:right="268" w:firstLine="730"/>
        <w:spacing w:before="165" w:line="281" w:lineRule="auto"/>
        <w:rPr>
          <w:sz w:val="29"/>
          <w:szCs w:val="29"/>
        </w:rPr>
      </w:pPr>
      <w:r>
        <w:rPr>
          <w:sz w:val="29"/>
          <w:szCs w:val="29"/>
          <w:spacing w:val="8"/>
        </w:rPr>
        <w:t>(2)表现症状：成虫为害嫩梢，被害部呈环钩状裂口；叶片</w:t>
      </w:r>
      <w:r>
        <w:rPr>
          <w:sz w:val="29"/>
          <w:szCs w:val="29"/>
          <w:spacing w:val="7"/>
        </w:rPr>
        <w:t>受害破碎状。</w:t>
      </w:r>
      <w:r>
        <w:rPr>
          <w:sz w:val="29"/>
          <w:szCs w:val="29"/>
        </w:rPr>
        <w:t xml:space="preserve"> </w:t>
      </w:r>
      <w:r>
        <w:rPr>
          <w:sz w:val="29"/>
          <w:szCs w:val="29"/>
        </w:rPr>
        <w:t>幼虫蛀入幼嫩木质部和髓心，上转下行蛀食木</w:t>
      </w:r>
      <w:r>
        <w:rPr>
          <w:sz w:val="29"/>
          <w:szCs w:val="29"/>
          <w:spacing w:val="-1"/>
        </w:rPr>
        <w:t>质部，蛀道通直、干净，粪渣烟丝</w:t>
      </w:r>
      <w:r>
        <w:rPr>
          <w:sz w:val="29"/>
          <w:szCs w:val="29"/>
        </w:rPr>
        <w:t xml:space="preserve"> </w:t>
      </w:r>
      <w:r>
        <w:rPr>
          <w:sz w:val="29"/>
          <w:szCs w:val="29"/>
          <w:spacing w:val="-6"/>
        </w:rPr>
        <w:t>状；</w:t>
      </w:r>
    </w:p>
    <w:p>
      <w:pPr>
        <w:pStyle w:val="BodyText"/>
        <w:ind w:firstLine="730"/>
        <w:spacing w:before="146" w:line="272" w:lineRule="auto"/>
        <w:rPr>
          <w:sz w:val="29"/>
          <w:szCs w:val="29"/>
        </w:rPr>
      </w:pPr>
      <w:r>
        <w:rPr>
          <w:sz w:val="29"/>
          <w:szCs w:val="29"/>
          <w:spacing w:val="7"/>
        </w:rPr>
        <w:t>(3)发生时期：年发生1代；以幼虫在枝干内越冬；翌年4月越冬幼虫化蛹，</w:t>
      </w:r>
      <w:r>
        <w:rPr>
          <w:sz w:val="29"/>
          <w:szCs w:val="29"/>
          <w:spacing w:val="3"/>
        </w:rPr>
        <w:t xml:space="preserve"> </w:t>
      </w:r>
      <w:r>
        <w:rPr>
          <w:sz w:val="29"/>
          <w:szCs w:val="29"/>
          <w:spacing w:val="-2"/>
        </w:rPr>
        <w:t>5月上旬羽化为成虫，5月下旬至6月上旬为成虫盛发期；</w:t>
      </w:r>
    </w:p>
    <w:p>
      <w:pPr>
        <w:pStyle w:val="BodyText"/>
        <w:ind w:right="317" w:firstLine="730"/>
        <w:spacing w:before="144" w:line="263" w:lineRule="auto"/>
        <w:rPr>
          <w:sz w:val="29"/>
          <w:szCs w:val="29"/>
        </w:rPr>
      </w:pPr>
      <w:r>
        <w:rPr>
          <w:sz w:val="29"/>
          <w:szCs w:val="29"/>
          <w:spacing w:val="7"/>
        </w:rPr>
        <w:t>(4)分布省份：国内南北方均有分布，主要分布于</w:t>
      </w:r>
      <w:r>
        <w:rPr>
          <w:sz w:val="29"/>
          <w:szCs w:val="29"/>
          <w:spacing w:val="6"/>
        </w:rPr>
        <w:t>辽宁、河北、河南、山</w:t>
      </w:r>
      <w:r>
        <w:rPr>
          <w:sz w:val="29"/>
          <w:szCs w:val="29"/>
        </w:rPr>
        <w:t xml:space="preserve"> </w:t>
      </w:r>
      <w:r>
        <w:rPr>
          <w:sz w:val="29"/>
          <w:szCs w:val="29"/>
        </w:rPr>
        <w:t>东、江苏、江西等省。</w:t>
      </w:r>
    </w:p>
    <w:p>
      <w:pPr>
        <w:ind w:left="530"/>
        <w:spacing w:before="185" w:line="222" w:lineRule="auto"/>
        <w:rPr>
          <w:rFonts w:ascii="SimHei" w:hAnsi="SimHei" w:eastAsia="SimHei" w:cs="SimHei"/>
          <w:sz w:val="29"/>
          <w:szCs w:val="29"/>
        </w:rPr>
      </w:pPr>
      <w:r>
        <w:rPr>
          <w:rFonts w:ascii="SimHei" w:hAnsi="SimHei" w:eastAsia="SimHei" w:cs="SimHei"/>
          <w:sz w:val="29"/>
          <w:szCs w:val="29"/>
          <w:spacing w:val="24"/>
        </w:rPr>
        <w:t>6)桃红颈天牛</w:t>
      </w:r>
    </w:p>
    <w:p>
      <w:pPr>
        <w:ind w:firstLine="1829"/>
        <w:spacing w:before="20" w:line="2990" w:lineRule="exact"/>
        <w:rPr/>
      </w:pPr>
      <w:r>
        <w:drawing>
          <wp:anchor distT="0" distB="0" distL="0" distR="0" simplePos="0" relativeHeight="252143616" behindDoc="0" locked="0" layoutInCell="1" allowOverlap="1">
            <wp:simplePos x="0" y="0"/>
            <wp:positionH relativeFrom="column">
              <wp:posOffset>3594061</wp:posOffset>
            </wp:positionH>
            <wp:positionV relativeFrom="paragraph">
              <wp:posOffset>12248</wp:posOffset>
            </wp:positionV>
            <wp:extent cx="1930401" cy="1904922"/>
            <wp:effectExtent l="0" t="0" r="0" b="0"/>
            <wp:wrapNone/>
            <wp:docPr id="504" name="IM 504"/>
            <wp:cNvGraphicFramePr/>
            <a:graphic>
              <a:graphicData uri="http://schemas.openxmlformats.org/drawingml/2006/picture">
                <pic:pic>
                  <pic:nvPicPr>
                    <pic:cNvPr id="504" name="IM 504"/>
                    <pic:cNvPicPr/>
                  </pic:nvPicPr>
                  <pic:blipFill>
                    <a:blip r:embed="rId363"/>
                    <a:stretch>
                      <a:fillRect/>
                    </a:stretch>
                  </pic:blipFill>
                  <pic:spPr>
                    <a:xfrm rot="0">
                      <a:off x="0" y="0"/>
                      <a:ext cx="1930401" cy="1904922"/>
                    </a:xfrm>
                    <a:prstGeom prst="rect">
                      <a:avLst/>
                    </a:prstGeom>
                  </pic:spPr>
                </pic:pic>
              </a:graphicData>
            </a:graphic>
          </wp:anchor>
        </w:drawing>
      </w:r>
      <w:r>
        <w:rPr>
          <w:position w:val="-59"/>
        </w:rPr>
        <w:drawing>
          <wp:inline distT="0" distB="0" distL="0" distR="0">
            <wp:extent cx="2393954" cy="1898553"/>
            <wp:effectExtent l="0" t="0" r="0" b="0"/>
            <wp:docPr id="506" name="IM 506"/>
            <wp:cNvGraphicFramePr/>
            <a:graphic>
              <a:graphicData uri="http://schemas.openxmlformats.org/drawingml/2006/picture">
                <pic:pic>
                  <pic:nvPicPr>
                    <pic:cNvPr id="506" name="IM 506"/>
                    <pic:cNvPicPr/>
                  </pic:nvPicPr>
                  <pic:blipFill>
                    <a:blip r:embed="rId364"/>
                    <a:stretch>
                      <a:fillRect/>
                    </a:stretch>
                  </pic:blipFill>
                  <pic:spPr>
                    <a:xfrm rot="0">
                      <a:off x="0" y="0"/>
                      <a:ext cx="2393954" cy="1898553"/>
                    </a:xfrm>
                    <a:prstGeom prst="rect">
                      <a:avLst/>
                    </a:prstGeom>
                  </pic:spPr>
                </pic:pic>
              </a:graphicData>
            </a:graphic>
          </wp:inline>
        </w:drawing>
      </w:r>
    </w:p>
    <w:p>
      <w:pPr>
        <w:pStyle w:val="BodyText"/>
        <w:ind w:left="3119"/>
        <w:spacing w:before="130" w:line="219" w:lineRule="auto"/>
        <w:rPr>
          <w:sz w:val="24"/>
          <w:szCs w:val="24"/>
        </w:rPr>
      </w:pPr>
      <w:r>
        <w:rPr>
          <w:sz w:val="24"/>
          <w:szCs w:val="24"/>
          <w:spacing w:val="6"/>
        </w:rPr>
        <w:t>图6-2-23苹桃红颈天牛幼虫、成虫</w:t>
      </w:r>
    </w:p>
    <w:p>
      <w:pPr>
        <w:pStyle w:val="BodyText"/>
        <w:ind w:left="730"/>
        <w:spacing w:before="157" w:line="219" w:lineRule="auto"/>
        <w:rPr>
          <w:sz w:val="29"/>
          <w:szCs w:val="29"/>
        </w:rPr>
      </w:pPr>
      <w:r>
        <w:rPr>
          <w:sz w:val="29"/>
          <w:szCs w:val="29"/>
          <w:spacing w:val="6"/>
        </w:rPr>
        <w:t>(1)危害植物：桃、杏、李、梅、樱桃等；</w:t>
      </w:r>
    </w:p>
    <w:p>
      <w:pPr>
        <w:pStyle w:val="BodyText"/>
        <w:ind w:right="340" w:firstLine="730"/>
        <w:spacing w:before="145" w:line="269" w:lineRule="auto"/>
        <w:rPr>
          <w:sz w:val="29"/>
          <w:szCs w:val="29"/>
        </w:rPr>
      </w:pPr>
      <w:r>
        <w:rPr>
          <w:sz w:val="29"/>
          <w:szCs w:val="29"/>
          <w:spacing w:val="6"/>
        </w:rPr>
        <w:t>(2)表现症状：幼虫在串食主干、主枝形成层及边材，造成树干中空，皮</w:t>
      </w:r>
      <w:r>
        <w:rPr>
          <w:sz w:val="29"/>
          <w:szCs w:val="29"/>
        </w:rPr>
        <w:t xml:space="preserve"> </w:t>
      </w:r>
      <w:r>
        <w:rPr>
          <w:sz w:val="29"/>
          <w:szCs w:val="29"/>
          <w:spacing w:val="1"/>
        </w:rPr>
        <w:t>层脱离；幼虫一处多虫，多点为害；粪渣颗粒状，不完全外排；</w:t>
      </w:r>
    </w:p>
    <w:p>
      <w:pPr>
        <w:spacing w:line="269" w:lineRule="auto"/>
        <w:sectPr>
          <w:footerReference w:type="default" r:id="rId361"/>
          <w:pgSz w:w="14490" w:h="20470"/>
          <w:pgMar w:top="400" w:right="1935" w:bottom="1395" w:left="2150" w:header="0" w:footer="1233"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02" w:firstLine="730"/>
        <w:spacing w:before="94" w:line="280" w:lineRule="auto"/>
        <w:rPr>
          <w:sz w:val="29"/>
          <w:szCs w:val="29"/>
        </w:rPr>
      </w:pPr>
      <w:r>
        <w:rPr>
          <w:sz w:val="29"/>
          <w:szCs w:val="29"/>
          <w:spacing w:val="4"/>
        </w:rPr>
        <w:t>(3)发生时期：华北2—3年发生1代；幼虫在树干蛀道内越冬；来年春越冬 </w:t>
      </w:r>
      <w:r>
        <w:rPr>
          <w:sz w:val="29"/>
          <w:szCs w:val="29"/>
          <w:spacing w:val="-8"/>
        </w:rPr>
        <w:t>幼虫恢复活动，5—6月为害最烈，严重时树干被蛀空，蛀道粪</w:t>
      </w:r>
      <w:r>
        <w:rPr>
          <w:sz w:val="29"/>
          <w:szCs w:val="29"/>
          <w:spacing w:val="-9"/>
        </w:rPr>
        <w:t>渣不全外排；6—7月</w:t>
      </w:r>
      <w:r>
        <w:rPr>
          <w:sz w:val="29"/>
          <w:szCs w:val="29"/>
        </w:rPr>
        <w:t xml:space="preserve"> </w:t>
      </w:r>
      <w:r>
        <w:rPr>
          <w:sz w:val="29"/>
          <w:szCs w:val="29"/>
          <w:spacing w:val="-6"/>
        </w:rPr>
        <w:t>成虫羽化；</w:t>
      </w:r>
    </w:p>
    <w:p>
      <w:pPr>
        <w:pStyle w:val="BodyText"/>
        <w:ind w:left="730"/>
        <w:spacing w:before="169" w:line="219" w:lineRule="auto"/>
        <w:rPr>
          <w:sz w:val="29"/>
          <w:szCs w:val="29"/>
        </w:rPr>
      </w:pPr>
      <w:r>
        <w:rPr>
          <w:sz w:val="29"/>
          <w:szCs w:val="29"/>
          <w:spacing w:val="8"/>
        </w:rPr>
        <w:t>(4)分布省份：北京、东北、河北、河南、江苏等。</w:t>
      </w:r>
    </w:p>
    <w:p>
      <w:pPr>
        <w:ind w:left="590"/>
        <w:spacing w:before="105" w:line="221" w:lineRule="auto"/>
        <w:rPr>
          <w:rFonts w:ascii="SimHei" w:hAnsi="SimHei" w:eastAsia="SimHei" w:cs="SimHei"/>
          <w:sz w:val="29"/>
          <w:szCs w:val="29"/>
        </w:rPr>
      </w:pPr>
      <w:r>
        <w:rPr>
          <w:rFonts w:ascii="SimHei" w:hAnsi="SimHei" w:eastAsia="SimHei" w:cs="SimHei"/>
          <w:sz w:val="29"/>
          <w:szCs w:val="29"/>
          <w:spacing w:val="19"/>
        </w:rPr>
        <w:t>7)天牛类防治方法</w:t>
      </w:r>
    </w:p>
    <w:p>
      <w:pPr>
        <w:pStyle w:val="BodyText"/>
        <w:ind w:right="237" w:firstLine="730"/>
        <w:spacing w:before="154" w:line="280" w:lineRule="auto"/>
        <w:rPr>
          <w:sz w:val="29"/>
          <w:szCs w:val="29"/>
        </w:rPr>
      </w:pPr>
      <w:r>
        <w:rPr>
          <w:sz w:val="29"/>
          <w:szCs w:val="29"/>
          <w:spacing w:val="7"/>
        </w:rPr>
        <w:t>(1)现场管理：结合修剪整枝，及时剪除和处理有虫枯枝；生长衰弱的树</w:t>
      </w:r>
      <w:r>
        <w:rPr>
          <w:sz w:val="29"/>
          <w:szCs w:val="29"/>
          <w:spacing w:val="14"/>
        </w:rPr>
        <w:t xml:space="preserve"> </w:t>
      </w:r>
      <w:r>
        <w:rPr>
          <w:sz w:val="29"/>
          <w:szCs w:val="29"/>
          <w:spacing w:val="-1"/>
        </w:rPr>
        <w:t>易遭天牛危害，及时彻底清理和处理死树；保护树干防止成虫产卵，进行枝干包</w:t>
      </w:r>
      <w:r>
        <w:rPr>
          <w:sz w:val="29"/>
          <w:szCs w:val="29"/>
          <w:spacing w:val="3"/>
        </w:rPr>
        <w:t xml:space="preserve"> </w:t>
      </w:r>
      <w:r>
        <w:rPr>
          <w:sz w:val="29"/>
          <w:szCs w:val="29"/>
          <w:spacing w:val="-12"/>
        </w:rPr>
        <w:t>扎；</w:t>
      </w:r>
    </w:p>
    <w:p>
      <w:pPr>
        <w:pStyle w:val="BodyText"/>
        <w:ind w:left="660"/>
        <w:spacing w:before="141" w:line="219" w:lineRule="auto"/>
        <w:rPr>
          <w:sz w:val="29"/>
          <w:szCs w:val="29"/>
        </w:rPr>
      </w:pPr>
      <w:r>
        <w:drawing>
          <wp:anchor distT="0" distB="0" distL="0" distR="0" simplePos="0" relativeHeight="252148736" behindDoc="0" locked="0" layoutInCell="1" allowOverlap="1">
            <wp:simplePos x="0" y="0"/>
            <wp:positionH relativeFrom="column">
              <wp:posOffset>3124158</wp:posOffset>
            </wp:positionH>
            <wp:positionV relativeFrom="paragraph">
              <wp:posOffset>323671</wp:posOffset>
            </wp:positionV>
            <wp:extent cx="2832114" cy="1892313"/>
            <wp:effectExtent l="0" t="0" r="0" b="0"/>
            <wp:wrapNone/>
            <wp:docPr id="508" name="IM 508"/>
            <wp:cNvGraphicFramePr/>
            <a:graphic>
              <a:graphicData uri="http://schemas.openxmlformats.org/drawingml/2006/picture">
                <pic:pic>
                  <pic:nvPicPr>
                    <pic:cNvPr id="508" name="IM 508"/>
                    <pic:cNvPicPr/>
                  </pic:nvPicPr>
                  <pic:blipFill>
                    <a:blip r:embed="rId366"/>
                    <a:stretch>
                      <a:fillRect/>
                    </a:stretch>
                  </pic:blipFill>
                  <pic:spPr>
                    <a:xfrm rot="0">
                      <a:off x="0" y="0"/>
                      <a:ext cx="2832114" cy="1892313"/>
                    </a:xfrm>
                    <a:prstGeom prst="rect">
                      <a:avLst/>
                    </a:prstGeom>
                  </pic:spPr>
                </pic:pic>
              </a:graphicData>
            </a:graphic>
          </wp:anchor>
        </w:drawing>
      </w:r>
      <w:r>
        <w:rPr>
          <w:sz w:val="29"/>
          <w:szCs w:val="29"/>
          <w:spacing w:val="6"/>
        </w:rPr>
        <w:t>(2)人工捕杀。捕杀成虫，杀卵和低龄幼虫，钩杀幼虫；</w:t>
      </w:r>
    </w:p>
    <w:p>
      <w:pPr>
        <w:ind w:firstLine="660"/>
        <w:spacing w:before="34" w:line="2980" w:lineRule="exact"/>
        <w:rPr/>
      </w:pPr>
      <w:r>
        <w:rPr>
          <w:position w:val="-59"/>
        </w:rPr>
        <w:drawing>
          <wp:inline distT="0" distB="0" distL="0" distR="0">
            <wp:extent cx="2654255" cy="1892313"/>
            <wp:effectExtent l="0" t="0" r="0" b="0"/>
            <wp:docPr id="510" name="IM 510"/>
            <wp:cNvGraphicFramePr/>
            <a:graphic>
              <a:graphicData uri="http://schemas.openxmlformats.org/drawingml/2006/picture">
                <pic:pic>
                  <pic:nvPicPr>
                    <pic:cNvPr id="510" name="IM 510"/>
                    <pic:cNvPicPr/>
                  </pic:nvPicPr>
                  <pic:blipFill>
                    <a:blip r:embed="rId367"/>
                    <a:stretch>
                      <a:fillRect/>
                    </a:stretch>
                  </pic:blipFill>
                  <pic:spPr>
                    <a:xfrm rot="0">
                      <a:off x="0" y="0"/>
                      <a:ext cx="2654255" cy="1892313"/>
                    </a:xfrm>
                    <a:prstGeom prst="rect">
                      <a:avLst/>
                    </a:prstGeom>
                  </pic:spPr>
                </pic:pic>
              </a:graphicData>
            </a:graphic>
          </wp:inline>
        </w:drawing>
      </w:r>
    </w:p>
    <w:p>
      <w:pPr>
        <w:pStyle w:val="BodyText"/>
        <w:ind w:left="3119"/>
        <w:spacing w:before="141" w:line="219" w:lineRule="auto"/>
        <w:rPr>
          <w:sz w:val="26"/>
          <w:szCs w:val="26"/>
        </w:rPr>
      </w:pPr>
      <w:r>
        <w:rPr>
          <w:sz w:val="26"/>
          <w:szCs w:val="26"/>
          <w:spacing w:val="-9"/>
        </w:rPr>
        <w:t>图6-2-24人工捕杀成虫，钩杀幼虫</w:t>
      </w:r>
    </w:p>
    <w:p>
      <w:pPr>
        <w:pStyle w:val="BodyText"/>
        <w:ind w:left="730"/>
        <w:spacing w:before="151" w:line="219" w:lineRule="auto"/>
        <w:rPr>
          <w:sz w:val="29"/>
          <w:szCs w:val="29"/>
        </w:rPr>
      </w:pPr>
      <w:r>
        <w:rPr>
          <w:sz w:val="29"/>
          <w:szCs w:val="29"/>
          <w:spacing w:val="7"/>
        </w:rPr>
        <w:t>(3)药剂防治：诱杀成虫，涂药杀卵和低龄幼虫，杀蛀道内幼虫，具体用</w:t>
      </w:r>
    </w:p>
    <w:p>
      <w:pPr>
        <w:pStyle w:val="BodyText"/>
        <w:spacing w:before="156" w:line="219" w:lineRule="auto"/>
        <w:rPr>
          <w:sz w:val="29"/>
          <w:szCs w:val="29"/>
        </w:rPr>
      </w:pPr>
      <w:r>
        <w:rPr>
          <w:sz w:val="29"/>
          <w:szCs w:val="29"/>
        </w:rPr>
        <w:t>药参见《各地区农药肥料使用指导》。</w:t>
      </w:r>
    </w:p>
    <w:p>
      <w:pPr>
        <w:pStyle w:val="BodyText"/>
        <w:spacing w:before="165" w:line="221" w:lineRule="auto"/>
        <w:rPr>
          <w:rFonts w:ascii="SimHei" w:hAnsi="SimHei" w:eastAsia="SimHei" w:cs="SimHei"/>
          <w:sz w:val="29"/>
          <w:szCs w:val="29"/>
        </w:rPr>
      </w:pPr>
      <w:r>
        <w:rPr>
          <w:sz w:val="29"/>
          <w:szCs w:val="29"/>
          <w:spacing w:val="6"/>
        </w:rPr>
        <w:t>2、木蠹蛾</w:t>
      </w:r>
      <w:r>
        <w:rPr>
          <w:rFonts w:ascii="SimHei" w:hAnsi="SimHei" w:eastAsia="SimHei" w:cs="SimHei"/>
          <w:sz w:val="29"/>
          <w:szCs w:val="29"/>
          <w:spacing w:val="6"/>
        </w:rPr>
        <w:t>类</w:t>
      </w:r>
    </w:p>
    <w:p>
      <w:pPr>
        <w:ind w:left="530"/>
        <w:spacing w:before="145" w:line="222" w:lineRule="auto"/>
        <w:rPr>
          <w:rFonts w:ascii="SimHei" w:hAnsi="SimHei" w:eastAsia="SimHei" w:cs="SimHei"/>
          <w:sz w:val="29"/>
          <w:szCs w:val="29"/>
        </w:rPr>
      </w:pPr>
      <w:r>
        <w:rPr>
          <w:rFonts w:ascii="SimHei" w:hAnsi="SimHei" w:eastAsia="SimHei" w:cs="SimHei"/>
          <w:sz w:val="29"/>
          <w:szCs w:val="29"/>
          <w:spacing w:val="-3"/>
        </w:rPr>
        <w:t>1)</w:t>
      </w:r>
      <w:r>
        <w:rPr>
          <w:rFonts w:ascii="SimHei" w:hAnsi="SimHei" w:eastAsia="SimHei" w:cs="SimHei"/>
          <w:sz w:val="29"/>
          <w:szCs w:val="29"/>
          <w:spacing w:val="25"/>
        </w:rPr>
        <w:t xml:space="preserve"> </w:t>
      </w:r>
      <w:r>
        <w:rPr>
          <w:rFonts w:ascii="SimHei" w:hAnsi="SimHei" w:eastAsia="SimHei" w:cs="SimHei"/>
          <w:sz w:val="29"/>
          <w:szCs w:val="29"/>
          <w:spacing w:val="-3"/>
        </w:rPr>
        <w:t>咖啡木蠹蛾</w:t>
      </w:r>
    </w:p>
    <w:p>
      <w:pPr>
        <w:ind w:firstLine="1029"/>
        <w:spacing w:before="70" w:line="2810" w:lineRule="exact"/>
        <w:rPr/>
      </w:pPr>
      <w:r>
        <w:drawing>
          <wp:anchor distT="0" distB="0" distL="0" distR="0" simplePos="0" relativeHeight="252149760" behindDoc="0" locked="0" layoutInCell="1" allowOverlap="1">
            <wp:simplePos x="0" y="0"/>
            <wp:positionH relativeFrom="column">
              <wp:posOffset>3333760</wp:posOffset>
            </wp:positionH>
            <wp:positionV relativeFrom="paragraph">
              <wp:posOffset>43965</wp:posOffset>
            </wp:positionV>
            <wp:extent cx="2393955" cy="1790666"/>
            <wp:effectExtent l="0" t="0" r="0" b="0"/>
            <wp:wrapNone/>
            <wp:docPr id="512" name="IM 512"/>
            <wp:cNvGraphicFramePr/>
            <a:graphic>
              <a:graphicData uri="http://schemas.openxmlformats.org/drawingml/2006/picture">
                <pic:pic>
                  <pic:nvPicPr>
                    <pic:cNvPr id="512" name="IM 512"/>
                    <pic:cNvPicPr/>
                  </pic:nvPicPr>
                  <pic:blipFill>
                    <a:blip r:embed="rId368"/>
                    <a:stretch>
                      <a:fillRect/>
                    </a:stretch>
                  </pic:blipFill>
                  <pic:spPr>
                    <a:xfrm rot="0">
                      <a:off x="0" y="0"/>
                      <a:ext cx="2393955" cy="1790666"/>
                    </a:xfrm>
                    <a:prstGeom prst="rect">
                      <a:avLst/>
                    </a:prstGeom>
                  </pic:spPr>
                </pic:pic>
              </a:graphicData>
            </a:graphic>
          </wp:anchor>
        </w:drawing>
      </w:r>
      <w:r>
        <w:rPr>
          <w:position w:val="-56"/>
        </w:rPr>
        <w:drawing>
          <wp:inline distT="0" distB="0" distL="0" distR="0">
            <wp:extent cx="2603557" cy="1784296"/>
            <wp:effectExtent l="0" t="0" r="0" b="0"/>
            <wp:docPr id="514" name="IM 514"/>
            <wp:cNvGraphicFramePr/>
            <a:graphic>
              <a:graphicData uri="http://schemas.openxmlformats.org/drawingml/2006/picture">
                <pic:pic>
                  <pic:nvPicPr>
                    <pic:cNvPr id="514" name="IM 514"/>
                    <pic:cNvPicPr/>
                  </pic:nvPicPr>
                  <pic:blipFill>
                    <a:blip r:embed="rId369"/>
                    <a:stretch>
                      <a:fillRect/>
                    </a:stretch>
                  </pic:blipFill>
                  <pic:spPr>
                    <a:xfrm rot="0">
                      <a:off x="0" y="0"/>
                      <a:ext cx="2603557" cy="1784296"/>
                    </a:xfrm>
                    <a:prstGeom prst="rect">
                      <a:avLst/>
                    </a:prstGeom>
                  </pic:spPr>
                </pic:pic>
              </a:graphicData>
            </a:graphic>
          </wp:inline>
        </w:drawing>
      </w:r>
    </w:p>
    <w:p>
      <w:pPr>
        <w:pStyle w:val="BodyText"/>
        <w:ind w:left="3730"/>
        <w:spacing w:before="140" w:line="219" w:lineRule="auto"/>
        <w:rPr>
          <w:sz w:val="26"/>
          <w:szCs w:val="26"/>
        </w:rPr>
      </w:pPr>
      <w:r>
        <w:rPr>
          <w:sz w:val="26"/>
          <w:szCs w:val="26"/>
          <w:spacing w:val="-8"/>
        </w:rPr>
        <w:t>图6-2-25咖啡木蠹蛾幼虫</w:t>
      </w:r>
    </w:p>
    <w:p>
      <w:pPr>
        <w:pStyle w:val="BodyText"/>
        <w:ind w:right="244" w:firstLine="730"/>
        <w:spacing w:before="164" w:line="262" w:lineRule="auto"/>
        <w:rPr>
          <w:sz w:val="29"/>
          <w:szCs w:val="29"/>
        </w:rPr>
      </w:pPr>
      <w:r>
        <w:rPr>
          <w:sz w:val="29"/>
          <w:szCs w:val="29"/>
          <w:spacing w:val="7"/>
        </w:rPr>
        <w:t>(1)危害植物：水杉、乌柏、刺槐、咖啡、番石榴、枫杨、悬铃木、黄檀</w:t>
      </w:r>
      <w:r>
        <w:rPr>
          <w:sz w:val="29"/>
          <w:szCs w:val="29"/>
          <w:spacing w:val="15"/>
        </w:rPr>
        <w:t xml:space="preserve"> </w:t>
      </w:r>
      <w:r>
        <w:rPr>
          <w:sz w:val="29"/>
          <w:szCs w:val="29"/>
          <w:spacing w:val="-12"/>
        </w:rPr>
        <w:t>等；</w:t>
      </w:r>
    </w:p>
    <w:p>
      <w:pPr>
        <w:pStyle w:val="BodyText"/>
        <w:ind w:right="361" w:firstLine="730"/>
        <w:spacing w:before="146" w:line="268" w:lineRule="auto"/>
        <w:rPr>
          <w:sz w:val="29"/>
          <w:szCs w:val="29"/>
        </w:rPr>
      </w:pPr>
      <w:r>
        <w:rPr>
          <w:sz w:val="29"/>
          <w:szCs w:val="29"/>
          <w:spacing w:val="6"/>
        </w:rPr>
        <w:t>(2)表现症状：幼虫沿枝条、苗干髓部向下蛀害，每隔5—10</w:t>
      </w:r>
      <w:r>
        <w:rPr>
          <w:rFonts w:ascii="Times New Roman" w:hAnsi="Times New Roman" w:eastAsia="Times New Roman" w:cs="Times New Roman"/>
          <w:sz w:val="29"/>
          <w:szCs w:val="29"/>
        </w:rPr>
        <w:t>cm</w:t>
      </w:r>
      <w:r>
        <w:rPr>
          <w:sz w:val="29"/>
          <w:szCs w:val="29"/>
          <w:spacing w:val="6"/>
        </w:rPr>
        <w:t>向外咬一</w:t>
      </w:r>
      <w:r>
        <w:rPr>
          <w:sz w:val="29"/>
          <w:szCs w:val="29"/>
          <w:spacing w:val="12"/>
        </w:rPr>
        <w:t xml:space="preserve"> </w:t>
      </w:r>
      <w:r>
        <w:rPr>
          <w:sz w:val="29"/>
          <w:szCs w:val="29"/>
          <w:spacing w:val="-2"/>
        </w:rPr>
        <w:t>排粪孔，状如洞箫，被害枝梢上部常干枯；</w:t>
      </w:r>
    </w:p>
    <w:p>
      <w:pPr>
        <w:pStyle w:val="BodyText"/>
        <w:ind w:firstLine="730"/>
        <w:spacing w:before="148" w:line="279" w:lineRule="auto"/>
        <w:rPr>
          <w:sz w:val="29"/>
          <w:szCs w:val="29"/>
        </w:rPr>
      </w:pPr>
      <w:r>
        <w:rPr>
          <w:sz w:val="29"/>
          <w:szCs w:val="29"/>
        </w:rPr>
        <w:t>(3)发生时期：江西1年发生2代，河南1年1代；幼虫在被害枝条的</w:t>
      </w:r>
      <w:r>
        <w:rPr>
          <w:sz w:val="29"/>
          <w:szCs w:val="29"/>
          <w:spacing w:val="-1"/>
        </w:rPr>
        <w:t>蛀道中越</w:t>
      </w:r>
      <w:r>
        <w:rPr>
          <w:sz w:val="29"/>
          <w:szCs w:val="29"/>
        </w:rPr>
        <w:t xml:space="preserve">  </w:t>
      </w:r>
      <w:r>
        <w:rPr>
          <w:sz w:val="29"/>
          <w:szCs w:val="29"/>
          <w:spacing w:val="-2"/>
        </w:rPr>
        <w:t>冬；翌年3月中旬开始取食，4月中、下旬至6月中、下旬化蛹，5</w:t>
      </w:r>
      <w:r>
        <w:rPr>
          <w:sz w:val="29"/>
          <w:szCs w:val="29"/>
          <w:spacing w:val="-3"/>
        </w:rPr>
        <w:t>月中旬成虫羽化，</w:t>
      </w:r>
      <w:r>
        <w:rPr>
          <w:sz w:val="29"/>
          <w:szCs w:val="29"/>
        </w:rPr>
        <w:t xml:space="preserve"> </w:t>
      </w:r>
      <w:r>
        <w:rPr>
          <w:sz w:val="29"/>
          <w:szCs w:val="29"/>
          <w:spacing w:val="-1"/>
        </w:rPr>
        <w:t>5月底—6月上旬可孵幼虫；</w:t>
      </w:r>
    </w:p>
    <w:p>
      <w:pPr>
        <w:spacing w:line="279" w:lineRule="auto"/>
        <w:sectPr>
          <w:footerReference w:type="default" r:id="rId365"/>
          <w:pgSz w:w="14490" w:h="20470"/>
          <w:pgMar w:top="400" w:right="1982" w:bottom="1437" w:left="2150" w:header="0" w:footer="1221"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7"/>
        </w:rPr>
        <w:t>(4)分布省份：分布于华南、西南、华东、华中、台</w:t>
      </w:r>
      <w:r>
        <w:rPr>
          <w:sz w:val="29"/>
          <w:szCs w:val="29"/>
          <w:spacing w:val="6"/>
        </w:rPr>
        <w:t>湾等地区。</w:t>
      </w:r>
    </w:p>
    <w:p>
      <w:pPr>
        <w:ind w:left="499"/>
        <w:spacing w:before="118" w:line="222" w:lineRule="auto"/>
        <w:rPr>
          <w:rFonts w:ascii="SimHei" w:hAnsi="SimHei" w:eastAsia="SimHei" w:cs="SimHei"/>
          <w:sz w:val="29"/>
          <w:szCs w:val="29"/>
        </w:rPr>
      </w:pPr>
      <w:r>
        <w:rPr>
          <w:rFonts w:ascii="SimHei" w:hAnsi="SimHei" w:eastAsia="SimHei" w:cs="SimHei"/>
          <w:sz w:val="29"/>
          <w:szCs w:val="29"/>
          <w:spacing w:val="25"/>
        </w:rPr>
        <w:t>2)芳香木蠹蛾</w:t>
      </w:r>
    </w:p>
    <w:p>
      <w:pPr>
        <w:ind w:firstLine="1599"/>
        <w:spacing w:before="229" w:line="2860" w:lineRule="exact"/>
        <w:rPr/>
      </w:pPr>
      <w:r>
        <w:rPr>
          <w:position w:val="-57"/>
        </w:rPr>
        <w:drawing>
          <wp:inline distT="0" distB="0" distL="0" distR="0">
            <wp:extent cx="4597354" cy="1816143"/>
            <wp:effectExtent l="0" t="0" r="0" b="0"/>
            <wp:docPr id="516" name="IM 516"/>
            <wp:cNvGraphicFramePr/>
            <a:graphic>
              <a:graphicData uri="http://schemas.openxmlformats.org/drawingml/2006/picture">
                <pic:pic>
                  <pic:nvPicPr>
                    <pic:cNvPr id="516" name="IM 516"/>
                    <pic:cNvPicPr/>
                  </pic:nvPicPr>
                  <pic:blipFill>
                    <a:blip r:embed="rId371"/>
                    <a:stretch>
                      <a:fillRect/>
                    </a:stretch>
                  </pic:blipFill>
                  <pic:spPr>
                    <a:xfrm rot="0">
                      <a:off x="0" y="0"/>
                      <a:ext cx="4597354" cy="1816143"/>
                    </a:xfrm>
                    <a:prstGeom prst="rect">
                      <a:avLst/>
                    </a:prstGeom>
                  </pic:spPr>
                </pic:pic>
              </a:graphicData>
            </a:graphic>
          </wp:inline>
        </w:drawing>
      </w:r>
    </w:p>
    <w:p>
      <w:pPr>
        <w:pStyle w:val="BodyText"/>
        <w:ind w:left="3339"/>
        <w:spacing w:before="100" w:line="219" w:lineRule="auto"/>
        <w:rPr>
          <w:sz w:val="24"/>
          <w:szCs w:val="24"/>
        </w:rPr>
      </w:pPr>
      <w:r>
        <w:rPr>
          <w:sz w:val="24"/>
          <w:szCs w:val="24"/>
          <w:spacing w:val="7"/>
        </w:rPr>
        <w:t>图6-2-26芳香木蠹蛾幼虫、成虫</w:t>
      </w:r>
    </w:p>
    <w:p>
      <w:pPr>
        <w:pStyle w:val="BodyText"/>
        <w:ind w:left="730"/>
        <w:spacing w:before="165" w:line="219" w:lineRule="auto"/>
        <w:rPr>
          <w:sz w:val="29"/>
          <w:szCs w:val="29"/>
        </w:rPr>
      </w:pPr>
      <w:r>
        <w:rPr>
          <w:sz w:val="29"/>
          <w:szCs w:val="29"/>
          <w:spacing w:val="6"/>
        </w:rPr>
        <w:t>(1)危害植物：柳、杨、榆、桦、槐树、丁香、核桃等；</w:t>
      </w:r>
    </w:p>
    <w:p>
      <w:pPr>
        <w:pStyle w:val="BodyText"/>
        <w:ind w:right="13" w:firstLine="730"/>
        <w:spacing w:before="127" w:line="281" w:lineRule="auto"/>
        <w:rPr>
          <w:sz w:val="29"/>
          <w:szCs w:val="29"/>
        </w:rPr>
      </w:pPr>
      <w:r>
        <w:rPr>
          <w:sz w:val="29"/>
          <w:szCs w:val="29"/>
          <w:spacing w:val="9"/>
        </w:rPr>
        <w:t>(2)表现症状：幼虫孵化后，蛀入皮下取食韧皮部</w:t>
      </w:r>
      <w:r>
        <w:rPr>
          <w:sz w:val="29"/>
          <w:szCs w:val="29"/>
          <w:spacing w:val="8"/>
        </w:rPr>
        <w:t>和形成层，以后蛀入木</w:t>
      </w:r>
      <w:r>
        <w:rPr>
          <w:sz w:val="29"/>
          <w:szCs w:val="29"/>
        </w:rPr>
        <w:t xml:space="preserve"> </w:t>
      </w:r>
      <w:r>
        <w:rPr>
          <w:sz w:val="29"/>
          <w:szCs w:val="29"/>
          <w:spacing w:val="-8"/>
        </w:rPr>
        <w:t>质部，向上向下穿凿不规则虫道，被害处可有十几条幼虫，蛀孔堆有虫粪，幼虫受</w:t>
      </w:r>
      <w:r>
        <w:rPr>
          <w:sz w:val="29"/>
          <w:szCs w:val="29"/>
        </w:rPr>
        <w:t xml:space="preserve"> </w:t>
      </w:r>
      <w:r>
        <w:rPr>
          <w:sz w:val="29"/>
          <w:szCs w:val="29"/>
          <w:spacing w:val="-4"/>
        </w:rPr>
        <w:t>惊后能分泌一种特异香味；</w:t>
      </w:r>
    </w:p>
    <w:p>
      <w:pPr>
        <w:pStyle w:val="BodyText"/>
        <w:ind w:right="282" w:firstLine="730"/>
        <w:spacing w:before="156" w:line="262" w:lineRule="auto"/>
        <w:rPr>
          <w:sz w:val="29"/>
          <w:szCs w:val="29"/>
        </w:rPr>
      </w:pPr>
      <w:r>
        <w:rPr>
          <w:sz w:val="29"/>
          <w:szCs w:val="29"/>
          <w:spacing w:val="4"/>
        </w:rPr>
        <w:t>(3)发生时期：2—3年1代，老熟幼虫4—5月份化蛹，5—6月份羽化出成</w:t>
      </w:r>
      <w:r>
        <w:rPr>
          <w:sz w:val="29"/>
          <w:szCs w:val="29"/>
          <w:spacing w:val="18"/>
        </w:rPr>
        <w:t xml:space="preserve"> </w:t>
      </w:r>
      <w:r>
        <w:rPr>
          <w:sz w:val="29"/>
          <w:szCs w:val="29"/>
          <w:spacing w:val="-1"/>
        </w:rPr>
        <w:t>虫，6—7月孵化出幼虫，9—10月在蛀道内越冬；</w:t>
      </w:r>
    </w:p>
    <w:p>
      <w:pPr>
        <w:pStyle w:val="BodyText"/>
        <w:ind w:left="730"/>
        <w:spacing w:before="154" w:line="219" w:lineRule="auto"/>
        <w:rPr>
          <w:sz w:val="29"/>
          <w:szCs w:val="29"/>
        </w:rPr>
      </w:pPr>
      <w:r>
        <w:rPr>
          <w:sz w:val="29"/>
          <w:szCs w:val="29"/>
          <w:spacing w:val="7"/>
        </w:rPr>
        <w:t>(4)分布省份：分布于上海、山东、东北、华北、西北等。</w:t>
      </w:r>
    </w:p>
    <w:p>
      <w:pPr>
        <w:ind w:left="590"/>
        <w:spacing w:before="126"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right="103" w:firstLine="730"/>
        <w:spacing w:before="125" w:line="268" w:lineRule="auto"/>
        <w:rPr>
          <w:sz w:val="29"/>
          <w:szCs w:val="29"/>
        </w:rPr>
      </w:pPr>
      <w:r>
        <w:rPr>
          <w:sz w:val="29"/>
          <w:szCs w:val="29"/>
          <w:spacing w:val="6"/>
        </w:rPr>
        <w:t>(1)现场管理：伐除受害严重的枝干，及时剪除被害枝梢；树干涂石</w:t>
      </w:r>
      <w:r>
        <w:rPr>
          <w:sz w:val="29"/>
          <w:szCs w:val="29"/>
          <w:spacing w:val="5"/>
        </w:rPr>
        <w:t>硫合</w:t>
      </w:r>
      <w:r>
        <w:rPr>
          <w:sz w:val="29"/>
          <w:szCs w:val="29"/>
        </w:rPr>
        <w:t xml:space="preserve"> </w:t>
      </w:r>
      <w:r>
        <w:rPr>
          <w:sz w:val="29"/>
          <w:szCs w:val="29"/>
          <w:spacing w:val="1"/>
        </w:rPr>
        <w:t>剂，防止成虫产卵为害；秋季人工捕捉地下越冬幼虫，</w:t>
      </w:r>
      <w:r>
        <w:rPr>
          <w:sz w:val="29"/>
          <w:szCs w:val="29"/>
        </w:rPr>
        <w:t>刮除树皮缝处的卵块；</w:t>
      </w:r>
    </w:p>
    <w:p>
      <w:pPr>
        <w:pStyle w:val="BodyText"/>
        <w:ind w:left="730"/>
        <w:spacing w:before="158" w:line="219" w:lineRule="auto"/>
        <w:rPr>
          <w:sz w:val="29"/>
          <w:szCs w:val="29"/>
        </w:rPr>
      </w:pPr>
      <w:r>
        <w:rPr>
          <w:sz w:val="29"/>
          <w:szCs w:val="29"/>
          <w:spacing w:val="5"/>
        </w:rPr>
        <w:t>(2)灯光诱杀：木蠹蛾成虫均具有趋光性，强弱因虫种而异；</w:t>
      </w:r>
    </w:p>
    <w:p>
      <w:pPr>
        <w:pStyle w:val="BodyText"/>
        <w:ind w:right="10" w:firstLine="730"/>
        <w:spacing w:before="145" w:line="280" w:lineRule="auto"/>
        <w:rPr>
          <w:sz w:val="29"/>
          <w:szCs w:val="29"/>
        </w:rPr>
      </w:pPr>
      <w:r>
        <w:rPr>
          <w:sz w:val="29"/>
          <w:szCs w:val="29"/>
          <w:spacing w:val="9"/>
        </w:rPr>
        <w:t>(3)化学防治：喷雾杀尚未蛀入树干内的初孵幼虫，药</w:t>
      </w:r>
      <w:r>
        <w:rPr>
          <w:sz w:val="29"/>
          <w:szCs w:val="29"/>
          <w:spacing w:val="8"/>
        </w:rPr>
        <w:t>剂注射虫孔、毒杀</w:t>
      </w:r>
      <w:r>
        <w:rPr>
          <w:sz w:val="29"/>
          <w:szCs w:val="29"/>
        </w:rPr>
        <w:t xml:space="preserve"> </w:t>
      </w:r>
      <w:r>
        <w:rPr>
          <w:sz w:val="29"/>
          <w:szCs w:val="29"/>
          <w:spacing w:val="-8"/>
        </w:rPr>
        <w:t>幼虫，磷化铝片剂堵塞虫孔熏杀根、干内幼虫。具体用药参考《各地区农药肥料使</w:t>
      </w:r>
      <w:r>
        <w:rPr>
          <w:sz w:val="29"/>
          <w:szCs w:val="29"/>
          <w:spacing w:val="1"/>
        </w:rPr>
        <w:t xml:space="preserve"> </w:t>
      </w:r>
      <w:r>
        <w:rPr>
          <w:sz w:val="29"/>
          <w:szCs w:val="29"/>
          <w:spacing w:val="-21"/>
        </w:rPr>
        <w:t>用指导》。</w:t>
      </w:r>
    </w:p>
    <w:p>
      <w:pPr>
        <w:spacing w:before="189" w:line="221" w:lineRule="auto"/>
        <w:rPr>
          <w:rFonts w:ascii="SimHei" w:hAnsi="SimHei" w:eastAsia="SimHei" w:cs="SimHei"/>
          <w:sz w:val="28"/>
          <w:szCs w:val="28"/>
        </w:rPr>
      </w:pPr>
      <w:r>
        <w:rPr>
          <w:rFonts w:ascii="SimHei" w:hAnsi="SimHei" w:eastAsia="SimHei" w:cs="SimHei"/>
          <w:sz w:val="28"/>
          <w:szCs w:val="28"/>
          <w:spacing w:val="13"/>
        </w:rPr>
        <w:t>3、透翅蛾类</w:t>
      </w:r>
    </w:p>
    <w:p>
      <w:pPr>
        <w:ind w:left="590"/>
        <w:spacing w:before="157" w:line="222" w:lineRule="auto"/>
        <w:rPr>
          <w:rFonts w:ascii="SimHei" w:hAnsi="SimHei" w:eastAsia="SimHei" w:cs="SimHei"/>
          <w:sz w:val="27"/>
          <w:szCs w:val="27"/>
        </w:rPr>
      </w:pPr>
      <w:r>
        <w:rPr>
          <w:rFonts w:ascii="SimHei" w:hAnsi="SimHei" w:eastAsia="SimHei" w:cs="SimHei"/>
          <w:sz w:val="27"/>
          <w:szCs w:val="27"/>
          <w:spacing w:val="11"/>
        </w:rPr>
        <w:t>1)</w:t>
      </w:r>
      <w:r>
        <w:rPr>
          <w:rFonts w:ascii="SimHei" w:hAnsi="SimHei" w:eastAsia="SimHei" w:cs="SimHei"/>
          <w:sz w:val="27"/>
          <w:szCs w:val="27"/>
          <w:spacing w:val="59"/>
        </w:rPr>
        <w:t xml:space="preserve"> </w:t>
      </w:r>
      <w:r>
        <w:rPr>
          <w:rFonts w:ascii="SimHei" w:hAnsi="SimHei" w:eastAsia="SimHei" w:cs="SimHei"/>
          <w:sz w:val="27"/>
          <w:szCs w:val="27"/>
          <w:spacing w:val="11"/>
        </w:rPr>
        <w:t>透翅蛾</w:t>
      </w:r>
    </w:p>
    <w:p>
      <w:pPr>
        <w:pStyle w:val="BodyText"/>
        <w:ind w:left="730"/>
        <w:spacing w:before="136" w:line="219" w:lineRule="auto"/>
        <w:rPr>
          <w:sz w:val="29"/>
          <w:szCs w:val="29"/>
        </w:rPr>
      </w:pPr>
      <w:r>
        <w:rPr>
          <w:sz w:val="29"/>
          <w:szCs w:val="29"/>
          <w:spacing w:val="7"/>
        </w:rPr>
        <w:t>(1)危害植物：大多数园林苗木；</w:t>
      </w:r>
    </w:p>
    <w:p>
      <w:pPr>
        <w:pStyle w:val="BodyText"/>
        <w:ind w:right="4" w:firstLine="730"/>
        <w:spacing w:before="123" w:line="294" w:lineRule="auto"/>
        <w:rPr>
          <w:sz w:val="29"/>
          <w:szCs w:val="29"/>
        </w:rPr>
      </w:pPr>
      <w:r>
        <w:rPr>
          <w:sz w:val="29"/>
          <w:szCs w:val="29"/>
          <w:spacing w:val="9"/>
        </w:rPr>
        <w:t>(2)表现症状：以幼虫钻蛀树干和顶芽，抑制顶芽</w:t>
      </w:r>
      <w:r>
        <w:rPr>
          <w:sz w:val="29"/>
          <w:szCs w:val="29"/>
          <w:spacing w:val="8"/>
        </w:rPr>
        <w:t>生长，徒生侧枝，形成</w:t>
      </w:r>
      <w:r>
        <w:rPr>
          <w:sz w:val="29"/>
          <w:szCs w:val="29"/>
        </w:rPr>
        <w:t xml:space="preserve"> </w:t>
      </w:r>
      <w:r>
        <w:rPr>
          <w:sz w:val="29"/>
          <w:szCs w:val="29"/>
        </w:rPr>
        <w:t>秃梢，蛀入树干后，被害组织增生形成瘤状虫</w:t>
      </w:r>
      <w:r>
        <w:rPr>
          <w:sz w:val="29"/>
          <w:szCs w:val="29"/>
          <w:spacing w:val="-1"/>
        </w:rPr>
        <w:t>瘿，肿大，枝干内部蛀食一空，枯</w:t>
      </w:r>
      <w:r>
        <w:rPr>
          <w:sz w:val="29"/>
          <w:szCs w:val="29"/>
        </w:rPr>
        <w:t xml:space="preserve"> </w:t>
      </w:r>
      <w:r>
        <w:rPr>
          <w:sz w:val="29"/>
          <w:szCs w:val="29"/>
        </w:rPr>
        <w:t>干而死，易造成枯萎或风折；致使叶片发黄，果实脱落；蛀枝口外常有呈条状的</w:t>
      </w:r>
      <w:r>
        <w:rPr>
          <w:sz w:val="29"/>
          <w:szCs w:val="29"/>
          <w:spacing w:val="11"/>
        </w:rPr>
        <w:t xml:space="preserve"> </w:t>
      </w:r>
      <w:r>
        <w:rPr>
          <w:sz w:val="29"/>
          <w:szCs w:val="29"/>
          <w:spacing w:val="-6"/>
        </w:rPr>
        <w:t>粘性虫粪；</w:t>
      </w:r>
    </w:p>
    <w:p>
      <w:pPr>
        <w:pStyle w:val="BodyText"/>
        <w:ind w:right="172" w:firstLine="730"/>
        <w:spacing w:before="135" w:line="272" w:lineRule="auto"/>
        <w:rPr>
          <w:sz w:val="29"/>
          <w:szCs w:val="29"/>
        </w:rPr>
      </w:pPr>
      <w:r>
        <w:rPr>
          <w:sz w:val="29"/>
          <w:szCs w:val="29"/>
          <w:spacing w:val="4"/>
        </w:rPr>
        <w:t>(3)发生时期：幼虫在3月底4月上旬始化</w:t>
      </w:r>
      <w:r>
        <w:rPr>
          <w:sz w:val="29"/>
          <w:szCs w:val="29"/>
          <w:spacing w:val="3"/>
        </w:rPr>
        <w:t>蛹；4月底5月初羽化，6—8月为</w:t>
      </w:r>
      <w:r>
        <w:rPr>
          <w:sz w:val="29"/>
          <w:szCs w:val="29"/>
        </w:rPr>
        <w:t xml:space="preserve"> </w:t>
      </w:r>
      <w:r>
        <w:rPr>
          <w:sz w:val="29"/>
          <w:szCs w:val="29"/>
          <w:spacing w:val="-11"/>
        </w:rPr>
        <w:t>害最重；</w:t>
      </w:r>
    </w:p>
    <w:p>
      <w:pPr>
        <w:spacing w:line="272" w:lineRule="auto"/>
        <w:sectPr>
          <w:footerReference w:type="default" r:id="rId370"/>
          <w:pgSz w:w="14490" w:h="20470"/>
          <w:pgMar w:top="400" w:right="2173" w:bottom="1402" w:left="2150" w:header="0" w:footer="1231" w:gutter="0"/>
        </w:sectPr>
        <w:rPr>
          <w:sz w:val="29"/>
          <w:szCs w:val="29"/>
        </w:rPr>
      </w:pP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BodyText"/>
        <w:ind w:right="26" w:firstLine="740"/>
        <w:spacing w:before="98" w:line="283" w:lineRule="auto"/>
        <w:jc w:val="both"/>
        <w:rPr>
          <w:sz w:val="30"/>
          <w:szCs w:val="30"/>
        </w:rPr>
      </w:pPr>
      <w:r>
        <w:rPr>
          <w:sz w:val="30"/>
          <w:szCs w:val="30"/>
          <w:spacing w:val="-10"/>
        </w:rPr>
        <w:t>(4)分布省份：分布在黑龙江、吉林、辽宁、内蒙古、宁夏、甘肃、青海、</w:t>
      </w:r>
      <w:r>
        <w:rPr>
          <w:sz w:val="30"/>
          <w:szCs w:val="30"/>
        </w:rPr>
        <w:t xml:space="preserve"> </w:t>
      </w:r>
      <w:r>
        <w:rPr>
          <w:sz w:val="30"/>
          <w:szCs w:val="30"/>
          <w:spacing w:val="-26"/>
        </w:rPr>
        <w:t>新疆、陕西、山西、北京、河北、河南、山东、江苏、浙江、上海、四</w:t>
      </w:r>
      <w:r>
        <w:rPr>
          <w:sz w:val="30"/>
          <w:szCs w:val="30"/>
          <w:spacing w:val="-27"/>
        </w:rPr>
        <w:t>川、重庆、贵</w:t>
      </w:r>
      <w:r>
        <w:rPr>
          <w:sz w:val="30"/>
          <w:szCs w:val="30"/>
        </w:rPr>
        <w:t xml:space="preserve"> </w:t>
      </w:r>
      <w:r>
        <w:rPr>
          <w:sz w:val="30"/>
          <w:szCs w:val="30"/>
          <w:spacing w:val="-12"/>
        </w:rPr>
        <w:t>州、江苏、浙江等地。</w:t>
      </w:r>
    </w:p>
    <w:p>
      <w:pPr>
        <w:ind w:firstLine="1249"/>
        <w:spacing w:line="2950" w:lineRule="exact"/>
        <w:rPr/>
      </w:pPr>
      <w:r>
        <w:rPr>
          <w:position w:val="-59"/>
        </w:rPr>
        <w:drawing>
          <wp:inline distT="0" distB="0" distL="0" distR="0">
            <wp:extent cx="5029256" cy="1873336"/>
            <wp:effectExtent l="0" t="0" r="0" b="0"/>
            <wp:docPr id="518" name="IM 518"/>
            <wp:cNvGraphicFramePr/>
            <a:graphic>
              <a:graphicData uri="http://schemas.openxmlformats.org/drawingml/2006/picture">
                <pic:pic>
                  <pic:nvPicPr>
                    <pic:cNvPr id="518" name="IM 518"/>
                    <pic:cNvPicPr/>
                  </pic:nvPicPr>
                  <pic:blipFill>
                    <a:blip r:embed="rId373"/>
                    <a:stretch>
                      <a:fillRect/>
                    </a:stretch>
                  </pic:blipFill>
                  <pic:spPr>
                    <a:xfrm rot="0">
                      <a:off x="0" y="0"/>
                      <a:ext cx="5029256" cy="1873336"/>
                    </a:xfrm>
                    <a:prstGeom prst="rect">
                      <a:avLst/>
                    </a:prstGeom>
                  </pic:spPr>
                </pic:pic>
              </a:graphicData>
            </a:graphic>
          </wp:inline>
        </w:drawing>
      </w:r>
    </w:p>
    <w:p>
      <w:pPr>
        <w:pStyle w:val="BodyText"/>
        <w:ind w:left="3169"/>
        <w:spacing w:before="179" w:line="216" w:lineRule="auto"/>
        <w:rPr>
          <w:sz w:val="24"/>
          <w:szCs w:val="24"/>
        </w:rPr>
      </w:pPr>
      <w:r>
        <w:rPr>
          <w:sz w:val="24"/>
          <w:szCs w:val="24"/>
          <w:spacing w:val="8"/>
        </w:rPr>
        <w:t>图6-2-26葡萄透翅蛾类成虫、幼虫</w:t>
      </w:r>
    </w:p>
    <w:p>
      <w:pPr>
        <w:ind w:firstLine="1259"/>
        <w:spacing w:line="2759" w:lineRule="exact"/>
        <w:rPr/>
      </w:pPr>
      <w:r>
        <w:rPr>
          <w:position w:val="-55"/>
        </w:rPr>
        <w:drawing>
          <wp:inline distT="0" distB="0" distL="0" distR="0">
            <wp:extent cx="5022908" cy="1752581"/>
            <wp:effectExtent l="0" t="0" r="0" b="0"/>
            <wp:docPr id="520" name="IM 520"/>
            <wp:cNvGraphicFramePr/>
            <a:graphic>
              <a:graphicData uri="http://schemas.openxmlformats.org/drawingml/2006/picture">
                <pic:pic>
                  <pic:nvPicPr>
                    <pic:cNvPr id="520" name="IM 520"/>
                    <pic:cNvPicPr/>
                  </pic:nvPicPr>
                  <pic:blipFill>
                    <a:blip r:embed="rId374"/>
                    <a:stretch>
                      <a:fillRect/>
                    </a:stretch>
                  </pic:blipFill>
                  <pic:spPr>
                    <a:xfrm rot="0">
                      <a:off x="0" y="0"/>
                      <a:ext cx="5022908" cy="1752581"/>
                    </a:xfrm>
                    <a:prstGeom prst="rect">
                      <a:avLst/>
                    </a:prstGeom>
                  </pic:spPr>
                </pic:pic>
              </a:graphicData>
            </a:graphic>
          </wp:inline>
        </w:drawing>
      </w:r>
    </w:p>
    <w:p>
      <w:pPr>
        <w:pStyle w:val="BodyText"/>
        <w:ind w:left="3299"/>
        <w:spacing w:before="89" w:line="219" w:lineRule="auto"/>
        <w:rPr>
          <w:sz w:val="24"/>
          <w:szCs w:val="24"/>
        </w:rPr>
      </w:pPr>
      <w:r>
        <w:rPr>
          <w:sz w:val="24"/>
          <w:szCs w:val="24"/>
          <w:spacing w:val="7"/>
        </w:rPr>
        <w:t>图6-2-28白杨透翅蛾幼虫、成虫</w:t>
      </w:r>
    </w:p>
    <w:p>
      <w:pPr>
        <w:ind w:left="610"/>
        <w:spacing w:before="124" w:line="221" w:lineRule="auto"/>
        <w:rPr>
          <w:rFonts w:ascii="SimHei" w:hAnsi="SimHei" w:eastAsia="SimHei" w:cs="SimHei"/>
          <w:sz w:val="29"/>
          <w:szCs w:val="29"/>
        </w:rPr>
      </w:pPr>
      <w:r>
        <w:rPr>
          <w:rFonts w:ascii="SimHei" w:hAnsi="SimHei" w:eastAsia="SimHei" w:cs="SimHei"/>
          <w:sz w:val="29"/>
          <w:szCs w:val="29"/>
          <w:spacing w:val="29"/>
        </w:rPr>
        <w:t>2)防治方法</w:t>
      </w:r>
    </w:p>
    <w:p>
      <w:pPr>
        <w:pStyle w:val="BodyText"/>
        <w:ind w:right="61" w:firstLine="740"/>
        <w:spacing w:before="144" w:line="266" w:lineRule="auto"/>
        <w:rPr>
          <w:sz w:val="29"/>
          <w:szCs w:val="29"/>
        </w:rPr>
      </w:pPr>
      <w:r>
        <w:rPr>
          <w:sz w:val="29"/>
          <w:szCs w:val="29"/>
          <w:spacing w:val="7"/>
        </w:rPr>
        <w:t>(1)消灭越冬幼虫，可结合修剪将受害严重且藏有幼虫的枝蔓剪除，或用</w:t>
      </w:r>
      <w:r>
        <w:rPr>
          <w:sz w:val="29"/>
          <w:szCs w:val="29"/>
          <w:spacing w:val="8"/>
        </w:rPr>
        <w:t xml:space="preserve"> </w:t>
      </w:r>
      <w:r>
        <w:rPr>
          <w:sz w:val="29"/>
          <w:szCs w:val="29"/>
          <w:spacing w:val="-3"/>
        </w:rPr>
        <w:t>解剖刀等将虫瘤剖开，杀死幼虫；</w:t>
      </w:r>
    </w:p>
    <w:p>
      <w:pPr>
        <w:pStyle w:val="BodyText"/>
        <w:ind w:right="134" w:firstLine="670"/>
        <w:spacing w:before="157" w:line="262" w:lineRule="auto"/>
        <w:rPr>
          <w:sz w:val="29"/>
          <w:szCs w:val="29"/>
        </w:rPr>
      </w:pPr>
      <w:r>
        <w:rPr>
          <w:sz w:val="29"/>
          <w:szCs w:val="29"/>
          <w:spacing w:val="7"/>
        </w:rPr>
        <w:t>(2)6、7月份经常检查嫩梢，发现有虫粪或枯萎的枝条及时剪除；如</w:t>
      </w:r>
      <w:r>
        <w:rPr>
          <w:sz w:val="29"/>
          <w:szCs w:val="29"/>
          <w:spacing w:val="6"/>
        </w:rPr>
        <w:t>果被</w:t>
      </w:r>
      <w:r>
        <w:rPr>
          <w:sz w:val="29"/>
          <w:szCs w:val="29"/>
        </w:rPr>
        <w:t xml:space="preserve"> </w:t>
      </w:r>
      <w:r>
        <w:rPr>
          <w:sz w:val="29"/>
          <w:szCs w:val="29"/>
        </w:rPr>
        <w:t>害枝条较多，不宜全部剪除时，可用铁丝从蛀孔处刺入，杀死初龄幼虫；</w:t>
      </w:r>
    </w:p>
    <w:p>
      <w:pPr>
        <w:pStyle w:val="BodyText"/>
        <w:ind w:left="740"/>
        <w:spacing w:before="143" w:line="217" w:lineRule="auto"/>
        <w:rPr>
          <w:sz w:val="29"/>
          <w:szCs w:val="29"/>
        </w:rPr>
      </w:pPr>
      <w:r>
        <w:rPr>
          <w:sz w:val="29"/>
          <w:szCs w:val="29"/>
          <w:spacing w:val="-1"/>
        </w:rPr>
        <w:t>③  可从蛀孔处蛀入国光毒枪5—10倍液或用棉球蕉药液塞入孔口内；</w:t>
      </w:r>
    </w:p>
    <w:p>
      <w:pPr>
        <w:pStyle w:val="BodyText"/>
        <w:ind w:right="252" w:firstLine="740"/>
        <w:spacing w:before="149" w:line="266" w:lineRule="auto"/>
        <w:rPr>
          <w:sz w:val="29"/>
          <w:szCs w:val="29"/>
        </w:rPr>
      </w:pPr>
      <w:r>
        <w:rPr>
          <w:sz w:val="29"/>
          <w:szCs w:val="29"/>
          <w:spacing w:val="-3"/>
        </w:rPr>
        <w:t>④  可在成虫羽化盛期，灯光诱杀或性引诱剂诱杀成虫，或喷2.5%溴氰菊</w:t>
      </w:r>
      <w:r>
        <w:rPr>
          <w:sz w:val="29"/>
          <w:szCs w:val="29"/>
          <w:spacing w:val="7"/>
        </w:rPr>
        <w:t xml:space="preserve"> </w:t>
      </w:r>
      <w:r>
        <w:rPr>
          <w:sz w:val="29"/>
          <w:szCs w:val="29"/>
          <w:spacing w:val="-5"/>
        </w:rPr>
        <w:t>酯乳油3000倍液，以杀死成虫，具体用药参见《各地区农药肥料使用指导》。</w:t>
      </w:r>
    </w:p>
    <w:p>
      <w:pPr>
        <w:pStyle w:val="BodyText"/>
        <w:spacing w:before="185" w:line="221" w:lineRule="auto"/>
        <w:rPr>
          <w:rFonts w:ascii="SimHei" w:hAnsi="SimHei" w:eastAsia="SimHei" w:cs="SimHei"/>
          <w:sz w:val="29"/>
          <w:szCs w:val="29"/>
        </w:rPr>
      </w:pPr>
      <w:r>
        <w:rPr>
          <w:sz w:val="29"/>
          <w:szCs w:val="29"/>
          <w:spacing w:val="9"/>
        </w:rPr>
        <w:t>4、小蠹</w:t>
      </w:r>
      <w:r>
        <w:rPr>
          <w:rFonts w:ascii="SimHei" w:hAnsi="SimHei" w:eastAsia="SimHei" w:cs="SimHei"/>
          <w:sz w:val="29"/>
          <w:szCs w:val="29"/>
          <w:spacing w:val="9"/>
        </w:rPr>
        <w:t>类</w:t>
      </w:r>
    </w:p>
    <w:p>
      <w:pPr>
        <w:ind w:left="620"/>
        <w:spacing w:before="143" w:line="221" w:lineRule="auto"/>
        <w:rPr>
          <w:rFonts w:ascii="SimHei" w:hAnsi="SimHei" w:eastAsia="SimHei" w:cs="SimHei"/>
          <w:sz w:val="29"/>
          <w:szCs w:val="29"/>
        </w:rPr>
      </w:pPr>
      <w:r>
        <w:rPr>
          <w:rFonts w:ascii="SimHei" w:hAnsi="SimHei" w:eastAsia="SimHei" w:cs="SimHei"/>
          <w:sz w:val="29"/>
          <w:szCs w:val="29"/>
          <w:spacing w:val="27"/>
        </w:rPr>
        <w:t>1)柏肤小蠹</w:t>
      </w:r>
    </w:p>
    <w:p>
      <w:pPr>
        <w:spacing w:line="281" w:lineRule="auto"/>
        <w:rPr>
          <w:rFonts w:ascii="Arial"/>
          <w:sz w:val="21"/>
        </w:rPr>
      </w:pPr>
      <w:r/>
    </w:p>
    <w:p>
      <w:pPr>
        <w:ind w:firstLine="1729"/>
        <w:spacing w:line="3061" w:lineRule="exact"/>
        <w:rPr/>
      </w:pPr>
      <w:r>
        <w:rPr>
          <w:position w:val="-61"/>
        </w:rPr>
        <w:drawing>
          <wp:inline distT="0" distB="0" distL="0" distR="0">
            <wp:extent cx="4260868" cy="1943137"/>
            <wp:effectExtent l="0" t="0" r="0" b="0"/>
            <wp:docPr id="522" name="IM 522"/>
            <wp:cNvGraphicFramePr/>
            <a:graphic>
              <a:graphicData uri="http://schemas.openxmlformats.org/drawingml/2006/picture">
                <pic:pic>
                  <pic:nvPicPr>
                    <pic:cNvPr id="522" name="IM 522"/>
                    <pic:cNvPicPr/>
                  </pic:nvPicPr>
                  <pic:blipFill>
                    <a:blip r:embed="rId375"/>
                    <a:stretch>
                      <a:fillRect/>
                    </a:stretch>
                  </pic:blipFill>
                  <pic:spPr>
                    <a:xfrm rot="0">
                      <a:off x="0" y="0"/>
                      <a:ext cx="4260868" cy="1943137"/>
                    </a:xfrm>
                    <a:prstGeom prst="rect">
                      <a:avLst/>
                    </a:prstGeom>
                  </pic:spPr>
                </pic:pic>
              </a:graphicData>
            </a:graphic>
          </wp:inline>
        </w:drawing>
      </w:r>
    </w:p>
    <w:p>
      <w:pPr>
        <w:pStyle w:val="BodyText"/>
        <w:ind w:left="3479"/>
        <w:spacing w:before="111" w:line="219" w:lineRule="auto"/>
        <w:rPr>
          <w:sz w:val="27"/>
          <w:szCs w:val="27"/>
        </w:rPr>
      </w:pPr>
      <w:r>
        <w:rPr>
          <w:sz w:val="27"/>
          <w:szCs w:val="27"/>
          <w:spacing w:val="-16"/>
        </w:rPr>
        <w:t>图6-2-29柏肤小蠹成虫、幼虫</w:t>
      </w:r>
    </w:p>
    <w:p>
      <w:pPr>
        <w:spacing w:line="219" w:lineRule="auto"/>
        <w:sectPr>
          <w:footerReference w:type="default" r:id="rId372"/>
          <w:pgSz w:w="14490" w:h="20470"/>
          <w:pgMar w:top="400" w:right="2173" w:bottom="1412" w:left="2140" w:header="0" w:footer="1241" w:gutter="0"/>
        </w:sectPr>
        <w:rPr>
          <w:sz w:val="27"/>
          <w:szCs w:val="27"/>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20"/>
        <w:spacing w:before="94" w:line="219" w:lineRule="auto"/>
        <w:rPr>
          <w:sz w:val="29"/>
          <w:szCs w:val="29"/>
        </w:rPr>
      </w:pPr>
      <w:bookmarkStart w:name="bookmark110" w:id="75"/>
      <w:bookmarkEnd w:id="75"/>
      <w:r>
        <w:rPr>
          <w:sz w:val="29"/>
          <w:szCs w:val="29"/>
          <w:spacing w:val="7"/>
        </w:rPr>
        <w:t>(1)危害植物：侧柏、桧柏、柳杉等；</w:t>
      </w:r>
    </w:p>
    <w:p>
      <w:pPr>
        <w:pStyle w:val="BodyText"/>
        <w:ind w:left="720"/>
        <w:spacing w:before="158" w:line="219" w:lineRule="auto"/>
        <w:rPr>
          <w:sz w:val="29"/>
          <w:szCs w:val="29"/>
        </w:rPr>
      </w:pPr>
      <w:r>
        <w:rPr>
          <w:sz w:val="29"/>
          <w:szCs w:val="29"/>
          <w:spacing w:val="5"/>
        </w:rPr>
        <w:t>(2)表现症状：以成虫蛀食枝梢补充营养，常将枝梢蛀空，遇风即折；</w:t>
      </w:r>
    </w:p>
    <w:p>
      <w:pPr>
        <w:pStyle w:val="BodyText"/>
        <w:ind w:firstLine="720"/>
        <w:spacing w:before="144" w:line="269" w:lineRule="auto"/>
        <w:rPr>
          <w:sz w:val="29"/>
          <w:szCs w:val="29"/>
        </w:rPr>
      </w:pPr>
      <w:r>
        <w:rPr>
          <w:sz w:val="29"/>
          <w:szCs w:val="29"/>
          <w:spacing w:val="4"/>
        </w:rPr>
        <w:t>(3)发生时期：年发生1代；以成虫在柏树枝梢越冬；翌年3—4月飞出交尾</w:t>
      </w:r>
      <w:r>
        <w:rPr>
          <w:sz w:val="29"/>
          <w:szCs w:val="29"/>
          <w:spacing w:val="5"/>
        </w:rPr>
        <w:t xml:space="preserve">  </w:t>
      </w:r>
      <w:r>
        <w:rPr>
          <w:sz w:val="29"/>
          <w:szCs w:val="29"/>
          <w:spacing w:val="3"/>
        </w:rPr>
        <w:t>产卵；4月中初孵幼虫出现；5月中下化蛹；6月</w:t>
      </w:r>
      <w:r>
        <w:rPr>
          <w:sz w:val="29"/>
          <w:szCs w:val="29"/>
          <w:spacing w:val="2"/>
        </w:rPr>
        <w:t>中下成虫羽化盛期，10中始越冬；</w:t>
      </w:r>
    </w:p>
    <w:p>
      <w:pPr>
        <w:pStyle w:val="BodyText"/>
        <w:ind w:left="720"/>
        <w:spacing w:before="134" w:line="219" w:lineRule="auto"/>
        <w:rPr>
          <w:sz w:val="29"/>
          <w:szCs w:val="29"/>
        </w:rPr>
      </w:pPr>
      <w:r>
        <w:rPr>
          <w:sz w:val="29"/>
          <w:szCs w:val="29"/>
          <w:spacing w:val="6"/>
        </w:rPr>
        <w:t>(4)分布省份：北京、东北、华北、华东、华中、西北、华南都有分布。</w:t>
      </w:r>
    </w:p>
    <w:p>
      <w:pPr>
        <w:ind w:left="499"/>
        <w:spacing w:before="127" w:line="222" w:lineRule="auto"/>
        <w:rPr>
          <w:rFonts w:ascii="SimHei" w:hAnsi="SimHei" w:eastAsia="SimHei" w:cs="SimHei"/>
          <w:sz w:val="29"/>
          <w:szCs w:val="29"/>
        </w:rPr>
      </w:pPr>
      <w:r>
        <w:rPr>
          <w:rFonts w:ascii="SimHei" w:hAnsi="SimHei" w:eastAsia="SimHei" w:cs="SimHei"/>
          <w:sz w:val="29"/>
          <w:szCs w:val="29"/>
          <w:spacing w:val="21"/>
        </w:rPr>
        <w:t>2)松纵坑切梢小蠹</w:t>
      </w:r>
    </w:p>
    <w:p>
      <w:pPr>
        <w:ind w:left="1879"/>
        <w:spacing w:before="19" w:line="2650" w:lineRule="exact"/>
        <w:rPr/>
      </w:pPr>
      <w:r>
        <w:rPr>
          <w:position w:val="-53"/>
        </w:rPr>
        <w:drawing>
          <wp:inline distT="0" distB="0" distL="0" distR="0">
            <wp:extent cx="4152938" cy="1682779"/>
            <wp:effectExtent l="0" t="0" r="0" b="0"/>
            <wp:docPr id="524" name="IM 524"/>
            <wp:cNvGraphicFramePr/>
            <a:graphic>
              <a:graphicData uri="http://schemas.openxmlformats.org/drawingml/2006/picture">
                <pic:pic>
                  <pic:nvPicPr>
                    <pic:cNvPr id="524" name="IM 524"/>
                    <pic:cNvPicPr/>
                  </pic:nvPicPr>
                  <pic:blipFill>
                    <a:blip r:embed="rId377"/>
                    <a:stretch>
                      <a:fillRect/>
                    </a:stretch>
                  </pic:blipFill>
                  <pic:spPr>
                    <a:xfrm rot="0">
                      <a:off x="0" y="0"/>
                      <a:ext cx="4152938" cy="1682779"/>
                    </a:xfrm>
                    <a:prstGeom prst="rect">
                      <a:avLst/>
                    </a:prstGeom>
                  </pic:spPr>
                </pic:pic>
              </a:graphicData>
            </a:graphic>
          </wp:inline>
        </w:drawing>
      </w:r>
    </w:p>
    <w:p>
      <w:pPr>
        <w:pStyle w:val="BodyText"/>
        <w:ind w:left="3089"/>
        <w:spacing w:before="19" w:line="219" w:lineRule="auto"/>
        <w:rPr>
          <w:sz w:val="21"/>
          <w:szCs w:val="21"/>
        </w:rPr>
      </w:pPr>
      <w:r>
        <w:rPr>
          <w:sz w:val="21"/>
          <w:szCs w:val="21"/>
          <w:spacing w:val="24"/>
        </w:rPr>
        <w:t>图6</w:t>
      </w:r>
      <w:r>
        <w:rPr>
          <w:sz w:val="21"/>
          <w:szCs w:val="21"/>
          <w:spacing w:val="-44"/>
        </w:rPr>
        <w:t xml:space="preserve"> </w:t>
      </w:r>
      <w:r>
        <w:rPr>
          <w:sz w:val="21"/>
          <w:szCs w:val="21"/>
          <w:spacing w:val="24"/>
        </w:rPr>
        <w:t>-</w:t>
      </w:r>
      <w:r>
        <w:rPr>
          <w:sz w:val="21"/>
          <w:szCs w:val="21"/>
          <w:spacing w:val="-56"/>
        </w:rPr>
        <w:t xml:space="preserve"> </w:t>
      </w:r>
      <w:r>
        <w:rPr>
          <w:sz w:val="21"/>
          <w:szCs w:val="21"/>
          <w:spacing w:val="24"/>
        </w:rPr>
        <w:t>2</w:t>
      </w:r>
      <w:r>
        <w:rPr>
          <w:sz w:val="21"/>
          <w:szCs w:val="21"/>
          <w:spacing w:val="-60"/>
        </w:rPr>
        <w:t xml:space="preserve"> </w:t>
      </w:r>
      <w:r>
        <w:rPr>
          <w:sz w:val="21"/>
          <w:szCs w:val="21"/>
          <w:spacing w:val="24"/>
        </w:rPr>
        <w:t>-</w:t>
      </w:r>
      <w:r>
        <w:rPr>
          <w:sz w:val="21"/>
          <w:szCs w:val="21"/>
          <w:spacing w:val="-54"/>
        </w:rPr>
        <w:t xml:space="preserve"> </w:t>
      </w:r>
      <w:r>
        <w:rPr>
          <w:sz w:val="21"/>
          <w:szCs w:val="21"/>
          <w:spacing w:val="24"/>
        </w:rPr>
        <w:t>30松纵玩切稍小盆成虫、幼虫</w:t>
      </w:r>
    </w:p>
    <w:p>
      <w:pPr>
        <w:pStyle w:val="BodyText"/>
        <w:ind w:left="720"/>
        <w:spacing w:before="144" w:line="219" w:lineRule="auto"/>
        <w:rPr>
          <w:sz w:val="29"/>
          <w:szCs w:val="29"/>
        </w:rPr>
      </w:pPr>
      <w:r>
        <w:rPr>
          <w:sz w:val="29"/>
          <w:szCs w:val="29"/>
          <w:spacing w:val="5"/>
        </w:rPr>
        <w:t>(1)危害植物：危害华山松、高山松、油松、云南松及其他松属树种；</w:t>
      </w:r>
    </w:p>
    <w:p>
      <w:pPr>
        <w:pStyle w:val="BodyText"/>
        <w:ind w:right="343" w:firstLine="720"/>
        <w:spacing w:before="146" w:line="265" w:lineRule="auto"/>
        <w:rPr>
          <w:sz w:val="29"/>
          <w:szCs w:val="29"/>
        </w:rPr>
      </w:pPr>
      <w:r>
        <w:rPr>
          <w:sz w:val="29"/>
          <w:szCs w:val="29"/>
          <w:spacing w:val="6"/>
        </w:rPr>
        <w:t>(2)表现症状：主要取食寄主的干部韧皮组织和梢头的髓部组织，</w:t>
      </w:r>
      <w:r>
        <w:rPr>
          <w:sz w:val="29"/>
          <w:szCs w:val="29"/>
          <w:spacing w:val="5"/>
        </w:rPr>
        <w:t>切断树</w:t>
      </w:r>
      <w:r>
        <w:rPr>
          <w:sz w:val="29"/>
          <w:szCs w:val="29"/>
        </w:rPr>
        <w:t xml:space="preserve"> </w:t>
      </w:r>
      <w:r>
        <w:rPr>
          <w:sz w:val="29"/>
          <w:szCs w:val="29"/>
          <w:spacing w:val="-1"/>
        </w:rPr>
        <w:t>内水分和养分供应，造成树叶枯黄调落，树木枯死；</w:t>
      </w:r>
    </w:p>
    <w:p>
      <w:pPr>
        <w:pStyle w:val="BodyText"/>
        <w:ind w:left="720"/>
        <w:spacing w:before="136" w:line="219" w:lineRule="auto"/>
        <w:rPr>
          <w:sz w:val="29"/>
          <w:szCs w:val="29"/>
        </w:rPr>
      </w:pPr>
      <w:r>
        <w:rPr>
          <w:sz w:val="29"/>
          <w:szCs w:val="29"/>
          <w:spacing w:val="-10"/>
        </w:rPr>
        <w:t>(3)分布省份：该虫在我国云南、贵州、四川等西</w:t>
      </w:r>
      <w:r>
        <w:rPr>
          <w:sz w:val="29"/>
          <w:szCs w:val="29"/>
          <w:spacing w:val="-11"/>
        </w:rPr>
        <w:t>南部分省、市危害严重；</w:t>
      </w:r>
    </w:p>
    <w:p>
      <w:pPr>
        <w:pStyle w:val="BodyText"/>
        <w:ind w:left="650"/>
        <w:spacing w:before="158" w:line="219" w:lineRule="auto"/>
        <w:rPr>
          <w:sz w:val="29"/>
          <w:szCs w:val="29"/>
        </w:rPr>
      </w:pPr>
      <w:r>
        <w:rPr>
          <w:sz w:val="29"/>
          <w:szCs w:val="29"/>
          <w:spacing w:val="5"/>
        </w:rPr>
        <w:t>(4)发生时期：3月下旬成虫开始飞出，4月中幼虫孵化，幼虫期约1个</w:t>
      </w:r>
    </w:p>
    <w:p>
      <w:pPr>
        <w:pStyle w:val="BodyText"/>
        <w:ind w:left="169"/>
        <w:spacing w:before="146" w:line="219" w:lineRule="auto"/>
        <w:rPr>
          <w:sz w:val="29"/>
          <w:szCs w:val="29"/>
        </w:rPr>
      </w:pPr>
      <w:r>
        <w:rPr>
          <w:sz w:val="29"/>
          <w:szCs w:val="29"/>
          <w:spacing w:val="2"/>
        </w:rPr>
        <w:t>月，5月中旬开始化蛹；5月下至6月上新成虫出现</w:t>
      </w:r>
      <w:r>
        <w:rPr>
          <w:sz w:val="29"/>
          <w:szCs w:val="29"/>
          <w:spacing w:val="1"/>
        </w:rPr>
        <w:t>，8月底至9月初成虫越冬。</w:t>
      </w:r>
    </w:p>
    <w:p>
      <w:pPr>
        <w:ind w:left="580"/>
        <w:spacing w:before="93"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left="580"/>
        <w:spacing w:before="164" w:line="219" w:lineRule="auto"/>
        <w:rPr>
          <w:sz w:val="29"/>
          <w:szCs w:val="29"/>
        </w:rPr>
      </w:pPr>
      <w:r>
        <w:rPr>
          <w:sz w:val="29"/>
          <w:szCs w:val="29"/>
        </w:rPr>
        <w:t>药剂防治，具体用药参见《各地区农药肥料使用指导》。</w:t>
      </w:r>
    </w:p>
    <w:p>
      <w:pPr>
        <w:ind w:left="89"/>
        <w:spacing w:before="228" w:line="223" w:lineRule="auto"/>
        <w:outlineLvl w:val="2"/>
        <w:rPr>
          <w:rFonts w:ascii="SimHei" w:hAnsi="SimHei" w:eastAsia="SimHei" w:cs="SimHei"/>
          <w:sz w:val="29"/>
          <w:szCs w:val="29"/>
        </w:rPr>
      </w:pPr>
      <w:bookmarkStart w:name="bookmark44" w:id="76"/>
      <w:bookmarkEnd w:id="76"/>
      <w:r>
        <w:rPr>
          <w:rFonts w:ascii="SimHei" w:hAnsi="SimHei" w:eastAsia="SimHei" w:cs="SimHei"/>
          <w:sz w:val="29"/>
          <w:szCs w:val="29"/>
          <w:spacing w:val="31"/>
        </w:rPr>
        <w:t>(四)地下害虫</w:t>
      </w:r>
    </w:p>
    <w:p>
      <w:pPr>
        <w:pStyle w:val="BodyText"/>
        <w:spacing w:before="127"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白蚁</w:t>
      </w:r>
    </w:p>
    <w:p>
      <w:pPr>
        <w:ind w:firstLine="1239"/>
        <w:spacing w:before="71" w:line="2990" w:lineRule="exact"/>
        <w:rPr/>
      </w:pPr>
      <w:r>
        <w:rPr>
          <w:position w:val="-59"/>
        </w:rPr>
        <w:drawing>
          <wp:inline distT="0" distB="0" distL="0" distR="0">
            <wp:extent cx="5003862" cy="1898683"/>
            <wp:effectExtent l="0" t="0" r="0" b="0"/>
            <wp:docPr id="526" name="IM 526"/>
            <wp:cNvGraphicFramePr/>
            <a:graphic>
              <a:graphicData uri="http://schemas.openxmlformats.org/drawingml/2006/picture">
                <pic:pic>
                  <pic:nvPicPr>
                    <pic:cNvPr id="526" name="IM 526"/>
                    <pic:cNvPicPr/>
                  </pic:nvPicPr>
                  <pic:blipFill>
                    <a:blip r:embed="rId378"/>
                    <a:stretch>
                      <a:fillRect/>
                    </a:stretch>
                  </pic:blipFill>
                  <pic:spPr>
                    <a:xfrm rot="0">
                      <a:off x="0" y="0"/>
                      <a:ext cx="5003862" cy="1898683"/>
                    </a:xfrm>
                    <a:prstGeom prst="rect">
                      <a:avLst/>
                    </a:prstGeom>
                  </pic:spPr>
                </pic:pic>
              </a:graphicData>
            </a:graphic>
          </wp:inline>
        </w:drawing>
      </w:r>
    </w:p>
    <w:p>
      <w:pPr>
        <w:pStyle w:val="BodyText"/>
        <w:ind w:left="4350"/>
        <w:spacing w:before="91" w:line="220" w:lineRule="auto"/>
        <w:rPr>
          <w:sz w:val="24"/>
          <w:szCs w:val="24"/>
        </w:rPr>
      </w:pPr>
      <w:r>
        <w:rPr>
          <w:sz w:val="24"/>
          <w:szCs w:val="24"/>
          <w:spacing w:val="1"/>
        </w:rPr>
        <w:t>图6-2-31白蚁</w:t>
      </w:r>
    </w:p>
    <w:p>
      <w:pPr>
        <w:pStyle w:val="BodyText"/>
        <w:ind w:right="390" w:firstLine="580"/>
        <w:spacing w:before="154" w:line="266" w:lineRule="auto"/>
        <w:rPr>
          <w:sz w:val="29"/>
          <w:szCs w:val="29"/>
        </w:rPr>
      </w:pPr>
      <w:r>
        <w:rPr>
          <w:sz w:val="29"/>
          <w:szCs w:val="29"/>
          <w:spacing w:val="4"/>
        </w:rPr>
        <w:t>1)危害植物：樟树、樱花、梅花、桂花、桃花、广玉兰、红叶李、月季、</w:t>
      </w:r>
      <w:r>
        <w:rPr>
          <w:sz w:val="29"/>
          <w:szCs w:val="29"/>
          <w:spacing w:val="11"/>
        </w:rPr>
        <w:t xml:space="preserve"> </w:t>
      </w:r>
      <w:r>
        <w:rPr>
          <w:sz w:val="29"/>
          <w:szCs w:val="29"/>
          <w:spacing w:val="-2"/>
        </w:rPr>
        <w:t>栀子花、海棠和草坪等。</w:t>
      </w:r>
    </w:p>
    <w:p>
      <w:pPr>
        <w:pStyle w:val="BodyText"/>
        <w:ind w:right="381" w:firstLine="580"/>
        <w:spacing w:before="155" w:line="269" w:lineRule="auto"/>
        <w:rPr>
          <w:sz w:val="29"/>
          <w:szCs w:val="29"/>
        </w:rPr>
      </w:pPr>
      <w:r>
        <w:rPr>
          <w:sz w:val="29"/>
          <w:szCs w:val="29"/>
          <w:spacing w:val="4"/>
        </w:rPr>
        <w:t>2)发生时期：每年4—6月，有翅蚁从分飞孔群飞而出，落地脱翅配对，钻</w:t>
      </w:r>
      <w:r>
        <w:rPr>
          <w:sz w:val="29"/>
          <w:szCs w:val="29"/>
          <w:spacing w:val="16"/>
        </w:rPr>
        <w:t xml:space="preserve"> </w:t>
      </w:r>
      <w:r>
        <w:rPr>
          <w:sz w:val="29"/>
          <w:szCs w:val="29"/>
          <w:spacing w:val="-1"/>
        </w:rPr>
        <w:t>入地下建巢，繁殖后代。工蚁是为害虫态，一年</w:t>
      </w:r>
      <w:r>
        <w:rPr>
          <w:sz w:val="29"/>
          <w:szCs w:val="29"/>
          <w:spacing w:val="-2"/>
        </w:rPr>
        <w:t>中3—11月是工蚁的为害期。</w:t>
      </w:r>
    </w:p>
    <w:p>
      <w:pPr>
        <w:spacing w:line="269" w:lineRule="auto"/>
        <w:sectPr>
          <w:footerReference w:type="default" r:id="rId376"/>
          <w:pgSz w:w="14490" w:h="20470"/>
          <w:pgMar w:top="400" w:right="1935" w:bottom="1433" w:left="2160" w:header="0" w:footer="123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firstLine="590"/>
        <w:spacing w:before="94" w:line="268" w:lineRule="auto"/>
        <w:rPr>
          <w:sz w:val="29"/>
          <w:szCs w:val="29"/>
        </w:rPr>
      </w:pPr>
      <w:r>
        <w:rPr>
          <w:sz w:val="29"/>
          <w:szCs w:val="29"/>
          <w:spacing w:val="-9"/>
        </w:rPr>
        <w:t>3)分布省份：黑翅土白蚁分布于甘肃、陕西、山东</w:t>
      </w:r>
      <w:r>
        <w:rPr>
          <w:sz w:val="29"/>
          <w:szCs w:val="29"/>
          <w:spacing w:val="-10"/>
        </w:rPr>
        <w:t>、河南、江苏、广东、台湾、</w:t>
      </w:r>
      <w:r>
        <w:rPr>
          <w:sz w:val="29"/>
          <w:szCs w:val="29"/>
        </w:rPr>
        <w:t xml:space="preserve"> </w:t>
      </w:r>
      <w:r>
        <w:rPr>
          <w:sz w:val="29"/>
          <w:szCs w:val="29"/>
          <w:spacing w:val="-23"/>
        </w:rPr>
        <w:t>海南等地。黄翅大白蚁的分布于江苏、四川、安徽、湖南、台湾、海南等地。</w:t>
      </w:r>
    </w:p>
    <w:p>
      <w:pPr>
        <w:pStyle w:val="BodyText"/>
        <w:ind w:right="248" w:firstLine="509"/>
        <w:spacing w:before="148" w:line="286" w:lineRule="auto"/>
        <w:rPr>
          <w:sz w:val="29"/>
          <w:szCs w:val="29"/>
        </w:rPr>
      </w:pPr>
      <w:r>
        <w:rPr>
          <w:sz w:val="29"/>
          <w:szCs w:val="29"/>
          <w:spacing w:val="11"/>
        </w:rPr>
        <w:t>4)表现症状：以蛀食木质部为主，在树木表面发现蚁害比较少，还常在一</w:t>
      </w:r>
      <w:r>
        <w:rPr>
          <w:sz w:val="29"/>
          <w:szCs w:val="29"/>
          <w:spacing w:val="2"/>
        </w:rPr>
        <w:t xml:space="preserve"> </w:t>
      </w:r>
      <w:r>
        <w:rPr>
          <w:sz w:val="29"/>
          <w:szCs w:val="29"/>
          <w:spacing w:val="-1"/>
        </w:rPr>
        <w:t>些树干中或根部建筑巢穴；黑翅土白蚁和黄翅大白蚁一般先危害树干表皮、木栓</w:t>
      </w:r>
      <w:r>
        <w:rPr>
          <w:sz w:val="29"/>
          <w:szCs w:val="29"/>
          <w:spacing w:val="18"/>
        </w:rPr>
        <w:t xml:space="preserve"> </w:t>
      </w:r>
      <w:r>
        <w:rPr>
          <w:sz w:val="29"/>
          <w:szCs w:val="29"/>
          <w:spacing w:val="-8"/>
        </w:rPr>
        <w:t>层，后期逐步向木质部深入，但黄翅大白蚁蛀蚀比黑翅土白蚁更深；散白蚁一般危</w:t>
      </w:r>
      <w:r>
        <w:rPr>
          <w:sz w:val="29"/>
          <w:szCs w:val="29"/>
          <w:spacing w:val="1"/>
        </w:rPr>
        <w:t xml:space="preserve"> </w:t>
      </w:r>
      <w:r>
        <w:rPr>
          <w:sz w:val="29"/>
          <w:szCs w:val="29"/>
          <w:spacing w:val="-10"/>
        </w:rPr>
        <w:t>害表皮内的浅木质层，但后期也可逐步深入木质</w:t>
      </w:r>
      <w:r>
        <w:rPr>
          <w:sz w:val="29"/>
          <w:szCs w:val="29"/>
          <w:spacing w:val="-11"/>
        </w:rPr>
        <w:t>部深处危害。</w:t>
      </w:r>
    </w:p>
    <w:p>
      <w:pPr>
        <w:ind w:firstLine="1370"/>
        <w:spacing w:line="3060" w:lineRule="exact"/>
        <w:rPr/>
      </w:pPr>
      <w:r>
        <w:rPr>
          <w:position w:val="-61"/>
        </w:rPr>
        <w:drawing>
          <wp:inline distT="0" distB="0" distL="0" distR="0">
            <wp:extent cx="4616400" cy="1943138"/>
            <wp:effectExtent l="0" t="0" r="0" b="0"/>
            <wp:docPr id="528" name="IM 528"/>
            <wp:cNvGraphicFramePr/>
            <a:graphic>
              <a:graphicData uri="http://schemas.openxmlformats.org/drawingml/2006/picture">
                <pic:pic>
                  <pic:nvPicPr>
                    <pic:cNvPr id="528" name="IM 528"/>
                    <pic:cNvPicPr/>
                  </pic:nvPicPr>
                  <pic:blipFill>
                    <a:blip r:embed="rId380"/>
                    <a:stretch>
                      <a:fillRect/>
                    </a:stretch>
                  </pic:blipFill>
                  <pic:spPr>
                    <a:xfrm rot="0">
                      <a:off x="0" y="0"/>
                      <a:ext cx="4616400" cy="1943138"/>
                    </a:xfrm>
                    <a:prstGeom prst="rect">
                      <a:avLst/>
                    </a:prstGeom>
                  </pic:spPr>
                </pic:pic>
              </a:graphicData>
            </a:graphic>
          </wp:inline>
        </w:drawing>
      </w:r>
    </w:p>
    <w:p>
      <w:pPr>
        <w:pStyle w:val="BodyText"/>
        <w:ind w:left="3359"/>
        <w:spacing w:before="190" w:line="219" w:lineRule="auto"/>
        <w:rPr>
          <w:sz w:val="24"/>
          <w:szCs w:val="24"/>
        </w:rPr>
      </w:pPr>
      <w:r>
        <w:rPr>
          <w:sz w:val="24"/>
          <w:szCs w:val="24"/>
          <w:spacing w:val="7"/>
        </w:rPr>
        <w:t>图6-2-32白蚁危害特征、蚁巢</w:t>
      </w:r>
    </w:p>
    <w:p>
      <w:pPr>
        <w:pStyle w:val="BodyText"/>
        <w:ind w:left="590"/>
        <w:spacing w:before="157" w:line="220" w:lineRule="auto"/>
        <w:rPr>
          <w:sz w:val="29"/>
          <w:szCs w:val="29"/>
        </w:rPr>
      </w:pPr>
      <w:r>
        <w:rPr>
          <w:sz w:val="29"/>
          <w:szCs w:val="29"/>
          <w:spacing w:val="14"/>
        </w:rPr>
        <w:t>5)防治方法：</w:t>
      </w:r>
    </w:p>
    <w:p>
      <w:pPr>
        <w:pStyle w:val="BodyText"/>
        <w:ind w:right="266" w:firstLine="999"/>
        <w:spacing w:before="153" w:line="311" w:lineRule="auto"/>
        <w:jc w:val="both"/>
        <w:rPr>
          <w:sz w:val="29"/>
          <w:szCs w:val="29"/>
        </w:rPr>
      </w:pPr>
      <w:r>
        <w:rPr>
          <w:sz w:val="29"/>
          <w:szCs w:val="29"/>
        </w:rPr>
        <w:t>(1)</w:t>
      </w:r>
      <w:r>
        <w:rPr>
          <w:sz w:val="29"/>
          <w:szCs w:val="29"/>
          <w:spacing w:val="131"/>
        </w:rPr>
        <w:t xml:space="preserve"> </w:t>
      </w:r>
      <w:r>
        <w:rPr>
          <w:sz w:val="29"/>
          <w:szCs w:val="29"/>
        </w:rPr>
        <w:t>诱饵技术。用慢性胃毒作用的杀虫剂与纤维素饵料按一定比例混合 </w:t>
      </w:r>
      <w:r>
        <w:rPr>
          <w:sz w:val="29"/>
          <w:szCs w:val="29"/>
        </w:rPr>
        <w:t>制成诱饵剂，投到地下白蚁活动区域。觅食工蚁</w:t>
      </w:r>
      <w:r>
        <w:rPr>
          <w:sz w:val="29"/>
          <w:szCs w:val="29"/>
          <w:spacing w:val="-1"/>
        </w:rPr>
        <w:t>取食诱饵后，返回巢内，通过个</w:t>
      </w:r>
      <w:r>
        <w:rPr>
          <w:sz w:val="29"/>
          <w:szCs w:val="29"/>
        </w:rPr>
        <w:t xml:space="preserve"> </w:t>
      </w:r>
      <w:r>
        <w:rPr>
          <w:sz w:val="29"/>
          <w:szCs w:val="29"/>
        </w:rPr>
        <w:t>体间的交哺和修饰行为，将诱饵中的杀虫剂传递给</w:t>
      </w:r>
      <w:r>
        <w:rPr>
          <w:sz w:val="29"/>
          <w:szCs w:val="29"/>
          <w:spacing w:val="-1"/>
        </w:rPr>
        <w:t>巢内其他个体，最终整个白蚁</w:t>
      </w:r>
      <w:r>
        <w:rPr>
          <w:sz w:val="29"/>
          <w:szCs w:val="29"/>
        </w:rPr>
        <w:t xml:space="preserve"> </w:t>
      </w:r>
      <w:r>
        <w:rPr>
          <w:sz w:val="29"/>
          <w:szCs w:val="29"/>
          <w:spacing w:val="-5"/>
        </w:rPr>
        <w:t>巢群死亡；</w:t>
      </w:r>
    </w:p>
    <w:p>
      <w:pPr>
        <w:pStyle w:val="BodyText"/>
        <w:ind w:right="242" w:firstLine="1009"/>
        <w:spacing w:before="6" w:line="283" w:lineRule="auto"/>
        <w:rPr>
          <w:sz w:val="29"/>
          <w:szCs w:val="29"/>
        </w:rPr>
      </w:pPr>
      <w:r>
        <w:rPr>
          <w:rFonts w:ascii="Times New Roman" w:hAnsi="Times New Roman" w:eastAsia="Times New Roman" w:cs="Times New Roman"/>
          <w:sz w:val="29"/>
          <w:szCs w:val="29"/>
        </w:rPr>
        <w:t>2      </w:t>
      </w:r>
      <w:r>
        <w:rPr>
          <w:sz w:val="29"/>
          <w:szCs w:val="29"/>
        </w:rPr>
        <w:t>化学防治。将α—松油醇、99%绿颖乳油和水按1:5:44比例混合制成</w:t>
      </w:r>
      <w:r>
        <w:rPr>
          <w:sz w:val="29"/>
          <w:szCs w:val="29"/>
          <w:spacing w:val="16"/>
        </w:rPr>
        <w:t xml:space="preserve"> </w:t>
      </w:r>
      <w:r>
        <w:rPr>
          <w:sz w:val="29"/>
          <w:szCs w:val="29"/>
          <w:spacing w:val="-8"/>
        </w:rPr>
        <w:t>树木保护剂，用喷施法对松树和香樟等受白蚁危害树种施药后驱避和触杀效果都在</w:t>
      </w:r>
      <w:r>
        <w:rPr>
          <w:sz w:val="29"/>
          <w:szCs w:val="29"/>
          <w:spacing w:val="2"/>
        </w:rPr>
        <w:t xml:space="preserve"> </w:t>
      </w:r>
      <w:r>
        <w:rPr>
          <w:sz w:val="29"/>
          <w:szCs w:val="29"/>
          <w:spacing w:val="19"/>
        </w:rPr>
        <w:t>98%以上。</w:t>
      </w:r>
    </w:p>
    <w:p>
      <w:pPr>
        <w:spacing w:before="181" w:line="222" w:lineRule="auto"/>
        <w:rPr>
          <w:rFonts w:ascii="SimHei" w:hAnsi="SimHei" w:eastAsia="SimHei" w:cs="SimHei"/>
          <w:sz w:val="28"/>
          <w:szCs w:val="28"/>
        </w:rPr>
      </w:pPr>
      <w:r>
        <w:rPr>
          <w:rFonts w:ascii="SimHei" w:hAnsi="SimHei" w:eastAsia="SimHei" w:cs="SimHei"/>
          <w:sz w:val="28"/>
          <w:szCs w:val="28"/>
          <w:spacing w:val="14"/>
        </w:rPr>
        <w:t>2、</w:t>
      </w:r>
      <w:r>
        <w:rPr>
          <w:rFonts w:ascii="SimHei" w:hAnsi="SimHei" w:eastAsia="SimHei" w:cs="SimHei"/>
          <w:sz w:val="28"/>
          <w:szCs w:val="28"/>
          <w:b/>
          <w:bCs/>
          <w:spacing w:val="14"/>
        </w:rPr>
        <w:t>蛴蜡</w:t>
      </w:r>
    </w:p>
    <w:p>
      <w:pPr>
        <w:ind w:left="590"/>
        <w:spacing w:before="150" w:line="223" w:lineRule="auto"/>
        <w:rPr>
          <w:rFonts w:ascii="SimHei" w:hAnsi="SimHei" w:eastAsia="SimHei" w:cs="SimHei"/>
          <w:sz w:val="29"/>
          <w:szCs w:val="29"/>
        </w:rPr>
      </w:pPr>
      <w:r>
        <w:rPr>
          <w:rFonts w:ascii="SimHei" w:hAnsi="SimHei" w:eastAsia="SimHei" w:cs="SimHei"/>
          <w:sz w:val="29"/>
          <w:szCs w:val="29"/>
          <w:spacing w:val="24"/>
        </w:rPr>
        <w:t>1)小青花金龟</w:t>
      </w:r>
    </w:p>
    <w:p>
      <w:pPr>
        <w:pStyle w:val="BodyText"/>
        <w:ind w:left="730"/>
        <w:spacing w:before="97" w:line="219" w:lineRule="auto"/>
        <w:rPr>
          <w:sz w:val="29"/>
          <w:szCs w:val="29"/>
        </w:rPr>
      </w:pPr>
      <w:r>
        <w:rPr>
          <w:sz w:val="29"/>
          <w:szCs w:val="29"/>
          <w:spacing w:val="6"/>
        </w:rPr>
        <w:t>(1)危害植物：桃、杏、山楂、杨、柳榆、海棠、葡萄、柑桔、草坪等；</w:t>
      </w:r>
    </w:p>
    <w:p>
      <w:pPr>
        <w:pStyle w:val="BodyText"/>
        <w:ind w:right="241" w:firstLine="730"/>
        <w:spacing w:before="158" w:line="281" w:lineRule="auto"/>
        <w:rPr>
          <w:sz w:val="29"/>
          <w:szCs w:val="29"/>
        </w:rPr>
      </w:pPr>
      <w:r>
        <w:rPr>
          <w:sz w:val="29"/>
          <w:szCs w:val="29"/>
          <w:spacing w:val="9"/>
        </w:rPr>
        <w:t>(2)发生时期：幼虫白天藏在土中，晚上8—9时进行</w:t>
      </w:r>
      <w:r>
        <w:rPr>
          <w:sz w:val="29"/>
          <w:szCs w:val="29"/>
          <w:spacing w:val="8"/>
        </w:rPr>
        <w:t>取食等活动；土壤潮</w:t>
      </w:r>
      <w:r>
        <w:rPr>
          <w:sz w:val="29"/>
          <w:szCs w:val="29"/>
        </w:rPr>
        <w:t xml:space="preserve"> </w:t>
      </w:r>
      <w:r>
        <w:rPr>
          <w:sz w:val="29"/>
          <w:szCs w:val="29"/>
        </w:rPr>
        <w:t>湿活动加强，尤其是连续阴雨天气，春、秋季在表土层活动，夏季时多在清晨和</w:t>
      </w:r>
      <w:r>
        <w:rPr>
          <w:sz w:val="29"/>
          <w:szCs w:val="29"/>
          <w:spacing w:val="12"/>
        </w:rPr>
        <w:t xml:space="preserve"> </w:t>
      </w:r>
      <w:r>
        <w:rPr>
          <w:sz w:val="29"/>
          <w:szCs w:val="29"/>
          <w:spacing w:val="-8"/>
        </w:rPr>
        <w:t>夜间到表土层；成虫4月下旬至6月盛发；</w:t>
      </w:r>
    </w:p>
    <w:p>
      <w:pPr>
        <w:ind w:firstLine="6309"/>
        <w:spacing w:before="104" w:line="2180" w:lineRule="exact"/>
        <w:rPr/>
      </w:pPr>
      <w:r>
        <w:drawing>
          <wp:anchor distT="0" distB="0" distL="0" distR="0" simplePos="0" relativeHeight="252171264" behindDoc="0" locked="0" layoutInCell="1" allowOverlap="1">
            <wp:simplePos x="0" y="0"/>
            <wp:positionH relativeFrom="column">
              <wp:posOffset>2362211</wp:posOffset>
            </wp:positionH>
            <wp:positionV relativeFrom="paragraph">
              <wp:posOffset>142190</wp:posOffset>
            </wp:positionV>
            <wp:extent cx="698459" cy="1193777"/>
            <wp:effectExtent l="0" t="0" r="0" b="0"/>
            <wp:wrapNone/>
            <wp:docPr id="530" name="IM 530"/>
            <wp:cNvGraphicFramePr/>
            <a:graphic>
              <a:graphicData uri="http://schemas.openxmlformats.org/drawingml/2006/picture">
                <pic:pic>
                  <pic:nvPicPr>
                    <pic:cNvPr id="530" name="IM 530"/>
                    <pic:cNvPicPr/>
                  </pic:nvPicPr>
                  <pic:blipFill>
                    <a:blip r:embed="rId381"/>
                    <a:stretch>
                      <a:fillRect/>
                    </a:stretch>
                  </pic:blipFill>
                  <pic:spPr>
                    <a:xfrm rot="0">
                      <a:off x="0" y="0"/>
                      <a:ext cx="698459" cy="1193777"/>
                    </a:xfrm>
                    <a:prstGeom prst="rect">
                      <a:avLst/>
                    </a:prstGeom>
                  </pic:spPr>
                </pic:pic>
              </a:graphicData>
            </a:graphic>
          </wp:anchor>
        </w:drawing>
      </w:r>
      <w:r>
        <w:drawing>
          <wp:anchor distT="0" distB="0" distL="0" distR="0" simplePos="0" relativeHeight="252170240" behindDoc="0" locked="0" layoutInCell="1" allowOverlap="1">
            <wp:simplePos x="0" y="0"/>
            <wp:positionH relativeFrom="column">
              <wp:posOffset>3098762</wp:posOffset>
            </wp:positionH>
            <wp:positionV relativeFrom="paragraph">
              <wp:posOffset>161168</wp:posOffset>
            </wp:positionV>
            <wp:extent cx="844573" cy="1162061"/>
            <wp:effectExtent l="0" t="0" r="0" b="0"/>
            <wp:wrapNone/>
            <wp:docPr id="532" name="IM 532"/>
            <wp:cNvGraphicFramePr/>
            <a:graphic>
              <a:graphicData uri="http://schemas.openxmlformats.org/drawingml/2006/picture">
                <pic:pic>
                  <pic:nvPicPr>
                    <pic:cNvPr id="532" name="IM 532"/>
                    <pic:cNvPicPr/>
                  </pic:nvPicPr>
                  <pic:blipFill>
                    <a:blip r:embed="rId382"/>
                    <a:stretch>
                      <a:fillRect/>
                    </a:stretch>
                  </pic:blipFill>
                  <pic:spPr>
                    <a:xfrm rot="0">
                      <a:off x="0" y="0"/>
                      <a:ext cx="844573" cy="1162061"/>
                    </a:xfrm>
                    <a:prstGeom prst="rect">
                      <a:avLst/>
                    </a:prstGeom>
                  </pic:spPr>
                </pic:pic>
              </a:graphicData>
            </a:graphic>
          </wp:anchor>
        </w:drawing>
      </w:r>
      <w:r>
        <w:drawing>
          <wp:anchor distT="0" distB="0" distL="0" distR="0" simplePos="0" relativeHeight="252169216" behindDoc="0" locked="0" layoutInCell="1" allowOverlap="1">
            <wp:simplePos x="0" y="0"/>
            <wp:positionH relativeFrom="column">
              <wp:posOffset>654017</wp:posOffset>
            </wp:positionH>
            <wp:positionV relativeFrom="paragraph">
              <wp:posOffset>65889</wp:posOffset>
            </wp:positionV>
            <wp:extent cx="1625658" cy="1384335"/>
            <wp:effectExtent l="0" t="0" r="0" b="0"/>
            <wp:wrapNone/>
            <wp:docPr id="534" name="IM 534"/>
            <wp:cNvGraphicFramePr/>
            <a:graphic>
              <a:graphicData uri="http://schemas.openxmlformats.org/drawingml/2006/picture">
                <pic:pic>
                  <pic:nvPicPr>
                    <pic:cNvPr id="534" name="IM 534"/>
                    <pic:cNvPicPr/>
                  </pic:nvPicPr>
                  <pic:blipFill>
                    <a:blip r:embed="rId383"/>
                    <a:stretch>
                      <a:fillRect/>
                    </a:stretch>
                  </pic:blipFill>
                  <pic:spPr>
                    <a:xfrm rot="0">
                      <a:off x="0" y="0"/>
                      <a:ext cx="1625658" cy="1384335"/>
                    </a:xfrm>
                    <a:prstGeom prst="rect">
                      <a:avLst/>
                    </a:prstGeom>
                  </pic:spPr>
                </pic:pic>
              </a:graphicData>
            </a:graphic>
          </wp:anchor>
        </w:drawing>
      </w:r>
      <w:r>
        <w:rPr>
          <w:position w:val="-43"/>
        </w:rPr>
        <w:drawing>
          <wp:inline distT="0" distB="0" distL="0" distR="0">
            <wp:extent cx="1854215" cy="1384335"/>
            <wp:effectExtent l="0" t="0" r="0" b="0"/>
            <wp:docPr id="536" name="IM 536"/>
            <wp:cNvGraphicFramePr/>
            <a:graphic>
              <a:graphicData uri="http://schemas.openxmlformats.org/drawingml/2006/picture">
                <pic:pic>
                  <pic:nvPicPr>
                    <pic:cNvPr id="536" name="IM 536"/>
                    <pic:cNvPicPr/>
                  </pic:nvPicPr>
                  <pic:blipFill>
                    <a:blip r:embed="rId384"/>
                    <a:stretch>
                      <a:fillRect/>
                    </a:stretch>
                  </pic:blipFill>
                  <pic:spPr>
                    <a:xfrm rot="0">
                      <a:off x="0" y="0"/>
                      <a:ext cx="1854215" cy="1384335"/>
                    </a:xfrm>
                    <a:prstGeom prst="rect">
                      <a:avLst/>
                    </a:prstGeom>
                  </pic:spPr>
                </pic:pic>
              </a:graphicData>
            </a:graphic>
          </wp:inline>
        </w:drawing>
      </w:r>
    </w:p>
    <w:p>
      <w:pPr>
        <w:pStyle w:val="BodyText"/>
        <w:ind w:left="2850"/>
        <w:spacing w:before="118" w:line="219" w:lineRule="auto"/>
        <w:rPr>
          <w:sz w:val="24"/>
          <w:szCs w:val="24"/>
        </w:rPr>
      </w:pPr>
      <w:r>
        <w:rPr>
          <w:sz w:val="24"/>
          <w:szCs w:val="24"/>
          <w:spacing w:val="8"/>
        </w:rPr>
        <w:t>图6-2-33小青花金龟幼虫、成虫及危害</w:t>
      </w:r>
    </w:p>
    <w:p>
      <w:pPr>
        <w:pStyle w:val="BodyText"/>
        <w:ind w:left="730"/>
        <w:spacing w:before="177" w:line="219" w:lineRule="auto"/>
        <w:rPr>
          <w:sz w:val="29"/>
          <w:szCs w:val="29"/>
        </w:rPr>
      </w:pPr>
      <w:r>
        <w:rPr>
          <w:sz w:val="29"/>
          <w:szCs w:val="29"/>
          <w:spacing w:val="6"/>
        </w:rPr>
        <w:t>(4)分布省份：在中国的河北、山东、河南、山西、陕西等省均有分布；</w:t>
      </w:r>
    </w:p>
    <w:p>
      <w:pPr>
        <w:pStyle w:val="BodyText"/>
        <w:ind w:left="730"/>
        <w:spacing w:before="134" w:line="216" w:lineRule="auto"/>
        <w:rPr>
          <w:sz w:val="29"/>
          <w:szCs w:val="29"/>
        </w:rPr>
      </w:pPr>
      <w:r>
        <w:rPr>
          <w:sz w:val="29"/>
          <w:szCs w:val="29"/>
          <w:spacing w:val="12"/>
        </w:rPr>
        <w:t>(5)表现症状：幼虫危害幼苗的根茎部(受害部位切口比较整</w:t>
      </w:r>
      <w:r>
        <w:rPr>
          <w:sz w:val="29"/>
          <w:szCs w:val="29"/>
          <w:spacing w:val="11"/>
        </w:rPr>
        <w:t>齐),使其萎</w:t>
      </w:r>
    </w:p>
    <w:p>
      <w:pPr>
        <w:spacing w:line="216" w:lineRule="auto"/>
        <w:sectPr>
          <w:footerReference w:type="default" r:id="rId379"/>
          <w:pgSz w:w="14490" w:h="20470"/>
          <w:pgMar w:top="400" w:right="1935" w:bottom="1410" w:left="2150" w:header="0" w:footer="1212"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蔫枯死，造成缺苗断垄现象。成虫可啃食芽、花蕾、花瓣及嫩叶。</w:t>
      </w:r>
    </w:p>
    <w:p>
      <w:pPr>
        <w:ind w:left="499"/>
        <w:spacing w:before="116" w:line="222" w:lineRule="auto"/>
        <w:rPr>
          <w:rFonts w:ascii="SimHei" w:hAnsi="SimHei" w:eastAsia="SimHei" w:cs="SimHei"/>
          <w:sz w:val="29"/>
          <w:szCs w:val="29"/>
        </w:rPr>
      </w:pPr>
      <w:r>
        <w:rPr>
          <w:rFonts w:ascii="SimHei" w:hAnsi="SimHei" w:eastAsia="SimHei" w:cs="SimHei"/>
          <w:sz w:val="29"/>
          <w:szCs w:val="29"/>
          <w:spacing w:val="25"/>
        </w:rPr>
        <w:t>2)大黑鳃金龟</w:t>
      </w:r>
    </w:p>
    <w:p>
      <w:pPr>
        <w:ind w:firstLine="5260"/>
        <w:spacing w:before="139" w:line="2500" w:lineRule="exact"/>
        <w:rPr/>
      </w:pPr>
      <w:r>
        <w:drawing>
          <wp:anchor distT="0" distB="0" distL="0" distR="0" simplePos="0" relativeHeight="252174336" behindDoc="0" locked="0" layoutInCell="1" allowOverlap="1">
            <wp:simplePos x="0" y="0"/>
            <wp:positionH relativeFrom="column">
              <wp:posOffset>844573</wp:posOffset>
            </wp:positionH>
            <wp:positionV relativeFrom="paragraph">
              <wp:posOffset>88289</wp:posOffset>
            </wp:positionV>
            <wp:extent cx="2387514" cy="1587500"/>
            <wp:effectExtent l="0" t="0" r="0" b="0"/>
            <wp:wrapNone/>
            <wp:docPr id="538" name="IM 538"/>
            <wp:cNvGraphicFramePr/>
            <a:graphic>
              <a:graphicData uri="http://schemas.openxmlformats.org/drawingml/2006/picture">
                <pic:pic>
                  <pic:nvPicPr>
                    <pic:cNvPr id="538" name="IM 538"/>
                    <pic:cNvPicPr/>
                  </pic:nvPicPr>
                  <pic:blipFill>
                    <a:blip r:embed="rId386"/>
                    <a:stretch>
                      <a:fillRect/>
                    </a:stretch>
                  </pic:blipFill>
                  <pic:spPr>
                    <a:xfrm rot="0">
                      <a:off x="0" y="0"/>
                      <a:ext cx="2387514" cy="1587500"/>
                    </a:xfrm>
                    <a:prstGeom prst="rect">
                      <a:avLst/>
                    </a:prstGeom>
                  </pic:spPr>
                </pic:pic>
              </a:graphicData>
            </a:graphic>
          </wp:anchor>
        </w:drawing>
      </w:r>
      <w:r>
        <w:rPr>
          <w:position w:val="-50"/>
        </w:rPr>
        <w:drawing>
          <wp:inline distT="0" distB="0" distL="0" distR="0">
            <wp:extent cx="2298631" cy="1587500"/>
            <wp:effectExtent l="0" t="0" r="0" b="0"/>
            <wp:docPr id="540" name="IM 540"/>
            <wp:cNvGraphicFramePr/>
            <a:graphic>
              <a:graphicData uri="http://schemas.openxmlformats.org/drawingml/2006/picture">
                <pic:pic>
                  <pic:nvPicPr>
                    <pic:cNvPr id="540" name="IM 540"/>
                    <pic:cNvPicPr/>
                  </pic:nvPicPr>
                  <pic:blipFill>
                    <a:blip r:embed="rId387"/>
                    <a:stretch>
                      <a:fillRect/>
                    </a:stretch>
                  </pic:blipFill>
                  <pic:spPr>
                    <a:xfrm rot="0">
                      <a:off x="0" y="0"/>
                      <a:ext cx="2298631" cy="1587500"/>
                    </a:xfrm>
                    <a:prstGeom prst="rect">
                      <a:avLst/>
                    </a:prstGeom>
                  </pic:spPr>
                </pic:pic>
              </a:graphicData>
            </a:graphic>
          </wp:inline>
        </w:drawing>
      </w:r>
    </w:p>
    <w:p>
      <w:pPr>
        <w:pStyle w:val="BodyText"/>
        <w:ind w:left="3989"/>
        <w:spacing w:before="122" w:line="220" w:lineRule="auto"/>
        <w:rPr>
          <w:sz w:val="27"/>
          <w:szCs w:val="27"/>
        </w:rPr>
      </w:pPr>
      <w:r>
        <w:rPr>
          <w:sz w:val="27"/>
          <w:szCs w:val="27"/>
          <w:spacing w:val="-17"/>
        </w:rPr>
        <w:t>图6-2-34大黑鳃金龟</w:t>
      </w:r>
    </w:p>
    <w:p>
      <w:pPr>
        <w:pStyle w:val="BodyText"/>
        <w:ind w:right="51" w:firstLine="730"/>
        <w:spacing w:before="127" w:line="272" w:lineRule="auto"/>
        <w:rPr>
          <w:sz w:val="29"/>
          <w:szCs w:val="29"/>
        </w:rPr>
      </w:pPr>
      <w:r>
        <w:rPr>
          <w:sz w:val="29"/>
          <w:szCs w:val="29"/>
          <w:spacing w:val="7"/>
        </w:rPr>
        <w:t>(1)主要危害植物：成虫取食杨、柳、榆、桑、核桃、梅、樱桃、刺槐、</w:t>
      </w:r>
      <w:r>
        <w:rPr>
          <w:sz w:val="29"/>
          <w:szCs w:val="29"/>
          <w:spacing w:val="18"/>
        </w:rPr>
        <w:t xml:space="preserve"> </w:t>
      </w:r>
      <w:r>
        <w:rPr>
          <w:sz w:val="29"/>
          <w:szCs w:val="29"/>
        </w:rPr>
        <w:t>栎等多种果树和林木叶片，幼虫危害阔、针叶树及草坪等根部及幼苗；</w:t>
      </w:r>
    </w:p>
    <w:p>
      <w:pPr>
        <w:pStyle w:val="BodyText"/>
        <w:ind w:right="2" w:firstLine="730"/>
        <w:spacing w:before="146" w:line="285" w:lineRule="auto"/>
        <w:rPr>
          <w:sz w:val="29"/>
          <w:szCs w:val="29"/>
        </w:rPr>
      </w:pPr>
      <w:r>
        <w:rPr>
          <w:sz w:val="29"/>
          <w:szCs w:val="29"/>
          <w:spacing w:val="2"/>
        </w:rPr>
        <w:t>(2)发病时期：蛴蜡始终在地下活动，与土壤温湿度关系密</w:t>
      </w:r>
      <w:r>
        <w:rPr>
          <w:sz w:val="29"/>
          <w:szCs w:val="29"/>
          <w:spacing w:val="1"/>
        </w:rPr>
        <w:t>切，</w:t>
      </w:r>
      <w:r>
        <w:rPr>
          <w:sz w:val="29"/>
          <w:szCs w:val="29"/>
          <w:spacing w:val="92"/>
        </w:rPr>
        <w:t xml:space="preserve"> </w:t>
      </w:r>
      <w:r>
        <w:rPr>
          <w:sz w:val="29"/>
          <w:szCs w:val="29"/>
          <w:spacing w:val="1"/>
        </w:rPr>
        <w:t>一般当土</w:t>
      </w:r>
      <w:r>
        <w:rPr>
          <w:sz w:val="29"/>
          <w:szCs w:val="29"/>
        </w:rPr>
        <w:t xml:space="preserve"> </w:t>
      </w:r>
      <w:r>
        <w:rPr>
          <w:sz w:val="29"/>
          <w:szCs w:val="29"/>
          <w:spacing w:val="-3"/>
        </w:rPr>
        <w:t>温达5℃时开始上升至表土层，13—18℃时活动</w:t>
      </w:r>
      <w:r>
        <w:rPr>
          <w:sz w:val="29"/>
          <w:szCs w:val="29"/>
          <w:spacing w:val="-4"/>
        </w:rPr>
        <w:t>最盛，23℃以上则往深土中移动。</w:t>
      </w:r>
      <w:r>
        <w:rPr>
          <w:sz w:val="29"/>
          <w:szCs w:val="29"/>
        </w:rPr>
        <w:t xml:space="preserve"> </w:t>
      </w:r>
      <w:r>
        <w:rPr>
          <w:sz w:val="29"/>
          <w:szCs w:val="29"/>
          <w:spacing w:val="1"/>
        </w:rPr>
        <w:t>土壤湿润则活动性强，尤其小雨连绵天气为害加重。5—7月成虫大量出现；</w:t>
      </w:r>
    </w:p>
    <w:p>
      <w:pPr>
        <w:pStyle w:val="BodyText"/>
        <w:ind w:left="730"/>
        <w:spacing w:before="114" w:line="219" w:lineRule="auto"/>
        <w:rPr>
          <w:sz w:val="29"/>
          <w:szCs w:val="29"/>
        </w:rPr>
      </w:pPr>
      <w:r>
        <w:rPr>
          <w:sz w:val="29"/>
          <w:szCs w:val="29"/>
          <w:spacing w:val="7"/>
        </w:rPr>
        <w:t>(3)分布省份：分布东北、华北、西北等省区；</w:t>
      </w:r>
    </w:p>
    <w:p>
      <w:pPr>
        <w:pStyle w:val="BodyText"/>
        <w:ind w:right="2" w:firstLine="730"/>
        <w:spacing w:before="154" w:line="273" w:lineRule="auto"/>
        <w:rPr>
          <w:sz w:val="29"/>
          <w:szCs w:val="29"/>
        </w:rPr>
      </w:pPr>
      <w:r>
        <w:rPr>
          <w:sz w:val="29"/>
          <w:szCs w:val="29"/>
          <w:spacing w:val="13"/>
        </w:rPr>
        <w:t>(4)为害特征：幼虫危害幼苗的根茎部(受害部位切口比较整齐),使其萎</w:t>
      </w:r>
      <w:r>
        <w:rPr>
          <w:sz w:val="29"/>
          <w:szCs w:val="29"/>
        </w:rPr>
        <w:t xml:space="preserve"> </w:t>
      </w:r>
      <w:r>
        <w:rPr>
          <w:sz w:val="29"/>
          <w:szCs w:val="29"/>
          <w:spacing w:val="1"/>
        </w:rPr>
        <w:t>蔫枯死，造成缺苗断垄现象。成虫可啃食芽、花蕾、花瓣及嫩叶。</w:t>
      </w:r>
    </w:p>
    <w:p>
      <w:pPr>
        <w:ind w:left="600"/>
        <w:spacing w:before="184" w:line="221" w:lineRule="auto"/>
        <w:rPr>
          <w:rFonts w:ascii="SimHei" w:hAnsi="SimHei" w:eastAsia="SimHei" w:cs="SimHei"/>
          <w:sz w:val="29"/>
          <w:szCs w:val="29"/>
        </w:rPr>
      </w:pPr>
      <w:r>
        <w:rPr>
          <w:rFonts w:ascii="SimHei" w:hAnsi="SimHei" w:eastAsia="SimHei" w:cs="SimHei"/>
          <w:sz w:val="29"/>
          <w:szCs w:val="29"/>
          <w:spacing w:val="24"/>
        </w:rPr>
        <w:t>3)铜绿丽金龟</w:t>
      </w:r>
    </w:p>
    <w:p>
      <w:pPr>
        <w:ind w:firstLine="5920"/>
        <w:spacing w:before="63" w:line="2500" w:lineRule="exact"/>
        <w:rPr/>
      </w:pPr>
      <w:r>
        <w:drawing>
          <wp:anchor distT="0" distB="0" distL="0" distR="0" simplePos="0" relativeHeight="252176384" behindDoc="0" locked="0" layoutInCell="1" allowOverlap="1">
            <wp:simplePos x="0" y="0"/>
            <wp:positionH relativeFrom="column">
              <wp:posOffset>2247841</wp:posOffset>
            </wp:positionH>
            <wp:positionV relativeFrom="paragraph">
              <wp:posOffset>59301</wp:posOffset>
            </wp:positionV>
            <wp:extent cx="1466847" cy="1555784"/>
            <wp:effectExtent l="0" t="0" r="0" b="0"/>
            <wp:wrapNone/>
            <wp:docPr id="542" name="IM 542"/>
            <wp:cNvGraphicFramePr/>
            <a:graphic>
              <a:graphicData uri="http://schemas.openxmlformats.org/drawingml/2006/picture">
                <pic:pic>
                  <pic:nvPicPr>
                    <pic:cNvPr id="542" name="IM 542"/>
                    <pic:cNvPicPr/>
                  </pic:nvPicPr>
                  <pic:blipFill>
                    <a:blip r:embed="rId388"/>
                    <a:stretch>
                      <a:fillRect/>
                    </a:stretch>
                  </pic:blipFill>
                  <pic:spPr>
                    <a:xfrm rot="0">
                      <a:off x="0" y="0"/>
                      <a:ext cx="1466847" cy="1555784"/>
                    </a:xfrm>
                    <a:prstGeom prst="rect">
                      <a:avLst/>
                    </a:prstGeom>
                  </pic:spPr>
                </pic:pic>
              </a:graphicData>
            </a:graphic>
          </wp:anchor>
        </w:drawing>
      </w:r>
      <w:r>
        <w:drawing>
          <wp:anchor distT="0" distB="0" distL="0" distR="0" simplePos="0" relativeHeight="252175360" behindDoc="0" locked="0" layoutInCell="1" allowOverlap="1">
            <wp:simplePos x="0" y="0"/>
            <wp:positionH relativeFrom="column">
              <wp:posOffset>158719</wp:posOffset>
            </wp:positionH>
            <wp:positionV relativeFrom="paragraph">
              <wp:posOffset>40323</wp:posOffset>
            </wp:positionV>
            <wp:extent cx="1993889" cy="1587500"/>
            <wp:effectExtent l="0" t="0" r="0" b="0"/>
            <wp:wrapNone/>
            <wp:docPr id="544" name="IM 544"/>
            <wp:cNvGraphicFramePr/>
            <a:graphic>
              <a:graphicData uri="http://schemas.openxmlformats.org/drawingml/2006/picture">
                <pic:pic>
                  <pic:nvPicPr>
                    <pic:cNvPr id="544" name="IM 544"/>
                    <pic:cNvPicPr/>
                  </pic:nvPicPr>
                  <pic:blipFill>
                    <a:blip r:embed="rId389"/>
                    <a:stretch>
                      <a:fillRect/>
                    </a:stretch>
                  </pic:blipFill>
                  <pic:spPr>
                    <a:xfrm rot="0">
                      <a:off x="0" y="0"/>
                      <a:ext cx="1993889" cy="1587500"/>
                    </a:xfrm>
                    <a:prstGeom prst="rect">
                      <a:avLst/>
                    </a:prstGeom>
                  </pic:spPr>
                </pic:pic>
              </a:graphicData>
            </a:graphic>
          </wp:anchor>
        </w:drawing>
      </w:r>
      <w:r>
        <w:rPr>
          <w:position w:val="-50"/>
        </w:rPr>
        <w:drawing>
          <wp:inline distT="0" distB="0" distL="0" distR="0">
            <wp:extent cx="2527280" cy="1587500"/>
            <wp:effectExtent l="0" t="0" r="0" b="0"/>
            <wp:docPr id="546" name="IM 546"/>
            <wp:cNvGraphicFramePr/>
            <a:graphic>
              <a:graphicData uri="http://schemas.openxmlformats.org/drawingml/2006/picture">
                <pic:pic>
                  <pic:nvPicPr>
                    <pic:cNvPr id="546" name="IM 546"/>
                    <pic:cNvPicPr/>
                  </pic:nvPicPr>
                  <pic:blipFill>
                    <a:blip r:embed="rId390"/>
                    <a:stretch>
                      <a:fillRect/>
                    </a:stretch>
                  </pic:blipFill>
                  <pic:spPr>
                    <a:xfrm rot="0">
                      <a:off x="0" y="0"/>
                      <a:ext cx="2527280" cy="1587500"/>
                    </a:xfrm>
                    <a:prstGeom prst="rect">
                      <a:avLst/>
                    </a:prstGeom>
                  </pic:spPr>
                </pic:pic>
              </a:graphicData>
            </a:graphic>
          </wp:inline>
        </w:drawing>
      </w:r>
    </w:p>
    <w:p>
      <w:pPr>
        <w:pStyle w:val="BodyText"/>
        <w:ind w:left="3489"/>
        <w:spacing w:before="161" w:line="220" w:lineRule="auto"/>
        <w:rPr>
          <w:sz w:val="24"/>
          <w:szCs w:val="24"/>
        </w:rPr>
      </w:pPr>
      <w:r>
        <w:rPr>
          <w:sz w:val="24"/>
          <w:szCs w:val="24"/>
          <w:spacing w:val="5"/>
        </w:rPr>
        <w:t>图6-2-35铜绿丽金龟及其危害</w:t>
      </w:r>
    </w:p>
    <w:p>
      <w:pPr>
        <w:pStyle w:val="BodyText"/>
        <w:ind w:left="730"/>
        <w:spacing w:before="153" w:line="219" w:lineRule="auto"/>
        <w:rPr>
          <w:sz w:val="29"/>
          <w:szCs w:val="29"/>
        </w:rPr>
      </w:pPr>
      <w:r>
        <w:rPr>
          <w:sz w:val="29"/>
          <w:szCs w:val="29"/>
          <w:spacing w:val="-10"/>
        </w:rPr>
        <w:t>(1)危害植物：海棠、梨、杏、李、梅、柿、核桃</w:t>
      </w:r>
      <w:r>
        <w:rPr>
          <w:sz w:val="29"/>
          <w:szCs w:val="29"/>
          <w:spacing w:val="-11"/>
        </w:rPr>
        <w:t>、酯粟、草毒、草坪等；</w:t>
      </w:r>
    </w:p>
    <w:p>
      <w:pPr>
        <w:pStyle w:val="BodyText"/>
        <w:ind w:left="730"/>
        <w:spacing w:before="158" w:line="219" w:lineRule="auto"/>
        <w:rPr>
          <w:sz w:val="29"/>
          <w:szCs w:val="29"/>
        </w:rPr>
      </w:pPr>
      <w:r>
        <w:rPr>
          <w:sz w:val="29"/>
          <w:szCs w:val="29"/>
          <w:spacing w:val="7"/>
        </w:rPr>
        <w:t>(2)发病时期：幼虫在春、秋两季危害最烈；</w:t>
      </w:r>
    </w:p>
    <w:p>
      <w:pPr>
        <w:pStyle w:val="BodyText"/>
        <w:ind w:left="730"/>
        <w:spacing w:before="134" w:line="219" w:lineRule="auto"/>
        <w:rPr>
          <w:sz w:val="29"/>
          <w:szCs w:val="29"/>
        </w:rPr>
      </w:pPr>
      <w:r>
        <w:rPr>
          <w:sz w:val="29"/>
          <w:szCs w:val="29"/>
          <w:spacing w:val="6"/>
        </w:rPr>
        <w:t>(3)分布省份：东北、华北、华中、华东、西北等</w:t>
      </w:r>
      <w:r>
        <w:rPr>
          <w:sz w:val="29"/>
          <w:szCs w:val="29"/>
          <w:spacing w:val="5"/>
        </w:rPr>
        <w:t>地均有发生；</w:t>
      </w:r>
    </w:p>
    <w:p>
      <w:pPr>
        <w:pStyle w:val="BodyText"/>
        <w:ind w:right="3" w:firstLine="730"/>
        <w:spacing w:before="144" w:line="298" w:lineRule="auto"/>
        <w:rPr/>
      </w:pPr>
      <w:r>
        <w:rPr>
          <w:spacing w:val="22"/>
        </w:rPr>
        <w:t>(4)表现症状：幼虫危害幼苗的根茎部(受害部位切口比较整齐),使其萎</w:t>
      </w:r>
      <w:r>
        <w:rPr>
          <w:spacing w:val="3"/>
        </w:rPr>
        <w:t xml:space="preserve"> </w:t>
      </w:r>
      <w:r>
        <w:rPr>
          <w:spacing w:val="-5"/>
        </w:rPr>
        <w:t>蔫枯死，造成缺苗断垄现象；成虫取食叶片，常</w:t>
      </w:r>
      <w:r>
        <w:rPr>
          <w:spacing w:val="-6"/>
        </w:rPr>
        <w:t>造成大片幼龄果树叶片残缺不全，甚</w:t>
      </w:r>
      <w:r>
        <w:rPr/>
        <w:t xml:space="preserve"> </w:t>
      </w:r>
      <w:r>
        <w:rPr>
          <w:spacing w:val="7"/>
        </w:rPr>
        <w:t>至全树叶片被吃光。</w:t>
      </w:r>
    </w:p>
    <w:p>
      <w:pPr>
        <w:ind w:left="600"/>
        <w:spacing w:before="166" w:line="221" w:lineRule="auto"/>
        <w:rPr>
          <w:rFonts w:ascii="SimHei" w:hAnsi="SimHei" w:eastAsia="SimHei" w:cs="SimHei"/>
          <w:sz w:val="29"/>
          <w:szCs w:val="29"/>
        </w:rPr>
      </w:pPr>
      <w:r>
        <w:rPr>
          <w:rFonts w:ascii="SimHei" w:hAnsi="SimHei" w:eastAsia="SimHei" w:cs="SimHei"/>
          <w:sz w:val="29"/>
          <w:szCs w:val="29"/>
          <w:spacing w:val="29"/>
        </w:rPr>
        <w:t>4)防治方法</w:t>
      </w:r>
    </w:p>
    <w:p>
      <w:pPr>
        <w:pStyle w:val="BodyText"/>
        <w:ind w:right="40" w:firstLine="730"/>
        <w:spacing w:before="105" w:line="281" w:lineRule="auto"/>
        <w:rPr>
          <w:sz w:val="29"/>
          <w:szCs w:val="29"/>
        </w:rPr>
      </w:pPr>
      <w:r>
        <w:rPr>
          <w:sz w:val="29"/>
          <w:szCs w:val="29"/>
          <w:spacing w:val="1"/>
        </w:rPr>
        <w:t>(1)</w:t>
      </w:r>
      <w:r>
        <w:rPr>
          <w:sz w:val="29"/>
          <w:szCs w:val="29"/>
          <w:spacing w:val="93"/>
        </w:rPr>
        <w:t xml:space="preserve"> </w:t>
      </w:r>
      <w:r>
        <w:rPr>
          <w:sz w:val="29"/>
          <w:szCs w:val="29"/>
          <w:spacing w:val="1"/>
        </w:rPr>
        <w:t>人工防治：利用成虫的假死习性，早晚振落</w:t>
      </w:r>
      <w:r>
        <w:rPr>
          <w:sz w:val="29"/>
          <w:szCs w:val="29"/>
        </w:rPr>
        <w:t>捕杀成虫；有条件的果园 </w:t>
      </w:r>
      <w:r>
        <w:rPr>
          <w:sz w:val="29"/>
          <w:szCs w:val="29"/>
          <w:spacing w:val="-1"/>
        </w:rPr>
        <w:t>可利用黑光灯大量诱杀成虫；在成虫发生期，可实行人工捕杀成虫；春</w:t>
      </w:r>
      <w:r>
        <w:rPr>
          <w:sz w:val="29"/>
          <w:szCs w:val="29"/>
          <w:spacing w:val="-2"/>
        </w:rPr>
        <w:t>季翻树盘</w:t>
      </w:r>
      <w:r>
        <w:rPr>
          <w:sz w:val="29"/>
          <w:szCs w:val="29"/>
        </w:rPr>
        <w:t xml:space="preserve"> </w:t>
      </w:r>
      <w:r>
        <w:rPr>
          <w:sz w:val="29"/>
          <w:szCs w:val="29"/>
        </w:rPr>
        <w:t>也可消灭土中的幼虫；打孔松土；黑光灯、糖醋液诱杀成虫；捕杀幼虫；</w:t>
      </w:r>
    </w:p>
    <w:p>
      <w:pPr>
        <w:pStyle w:val="BodyText"/>
        <w:ind w:left="730"/>
        <w:spacing w:before="174" w:line="219" w:lineRule="auto"/>
        <w:rPr>
          <w:sz w:val="29"/>
          <w:szCs w:val="29"/>
        </w:rPr>
      </w:pPr>
      <w:r>
        <w:rPr>
          <w:sz w:val="29"/>
          <w:szCs w:val="29"/>
          <w:spacing w:val="8"/>
        </w:rPr>
        <w:t>(2)药剂防治：在成虫发生期树冠喷布50%杀螟硫磷乳油1500倍液，或</w:t>
      </w:r>
    </w:p>
    <w:p>
      <w:pPr>
        <w:spacing w:line="219" w:lineRule="auto"/>
        <w:sectPr>
          <w:footerReference w:type="default" r:id="rId385"/>
          <w:pgSz w:w="14490" w:h="20470"/>
          <w:pgMar w:top="400" w:right="2173" w:bottom="1420" w:left="2150" w:header="0" w:footer="1222"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305" w:lineRule="auto"/>
        <w:rPr>
          <w:sz w:val="29"/>
          <w:szCs w:val="29"/>
        </w:rPr>
      </w:pPr>
      <w:r>
        <w:rPr>
          <w:sz w:val="29"/>
          <w:szCs w:val="29"/>
          <w:spacing w:val="-4"/>
        </w:rPr>
        <w:t>50%对硫磷乳油1500倍液；在树盘内或园边杂草内施75%辛硫磷乳剂1000倍液，可毒</w:t>
      </w:r>
      <w:r>
        <w:rPr>
          <w:sz w:val="29"/>
          <w:szCs w:val="29"/>
          <w:spacing w:val="16"/>
        </w:rPr>
        <w:t xml:space="preserve"> </w:t>
      </w:r>
      <w:r>
        <w:rPr>
          <w:sz w:val="29"/>
          <w:szCs w:val="29"/>
          <w:spacing w:val="-1"/>
        </w:rPr>
        <w:t>杀大量潜伏在土中的成虫。</w:t>
      </w:r>
    </w:p>
    <w:p>
      <w:pPr>
        <w:pStyle w:val="BodyText"/>
        <w:spacing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地老虎</w:t>
      </w:r>
    </w:p>
    <w:p>
      <w:pPr>
        <w:ind w:left="620"/>
        <w:spacing w:before="146" w:line="222" w:lineRule="auto"/>
        <w:rPr>
          <w:rFonts w:ascii="SimHei" w:hAnsi="SimHei" w:eastAsia="SimHei" w:cs="SimHei"/>
          <w:sz w:val="29"/>
          <w:szCs w:val="29"/>
        </w:rPr>
      </w:pPr>
      <w:r>
        <w:rPr>
          <w:rFonts w:ascii="SimHei" w:hAnsi="SimHei" w:eastAsia="SimHei" w:cs="SimHei"/>
          <w:sz w:val="29"/>
          <w:szCs w:val="29"/>
          <w:spacing w:val="26"/>
        </w:rPr>
        <w:t>1)小地老虎</w:t>
      </w:r>
    </w:p>
    <w:p>
      <w:pPr>
        <w:ind w:firstLine="630"/>
        <w:spacing w:before="41" w:line="3240" w:lineRule="exact"/>
        <w:rPr/>
      </w:pPr>
      <w:r>
        <w:rPr>
          <w:position w:val="-64"/>
        </w:rPr>
        <w:drawing>
          <wp:inline distT="0" distB="0" distL="0" distR="0">
            <wp:extent cx="5873737" cy="2057524"/>
            <wp:effectExtent l="0" t="0" r="0" b="0"/>
            <wp:docPr id="548" name="IM 548"/>
            <wp:cNvGraphicFramePr/>
            <a:graphic>
              <a:graphicData uri="http://schemas.openxmlformats.org/drawingml/2006/picture">
                <pic:pic>
                  <pic:nvPicPr>
                    <pic:cNvPr id="548" name="IM 548"/>
                    <pic:cNvPicPr/>
                  </pic:nvPicPr>
                  <pic:blipFill>
                    <a:blip r:embed="rId392"/>
                    <a:stretch>
                      <a:fillRect/>
                    </a:stretch>
                  </pic:blipFill>
                  <pic:spPr>
                    <a:xfrm rot="0">
                      <a:off x="0" y="0"/>
                      <a:ext cx="5873737" cy="2057524"/>
                    </a:xfrm>
                    <a:prstGeom prst="rect">
                      <a:avLst/>
                    </a:prstGeom>
                  </pic:spPr>
                </pic:pic>
              </a:graphicData>
            </a:graphic>
          </wp:inline>
        </w:drawing>
      </w:r>
    </w:p>
    <w:p>
      <w:pPr>
        <w:pStyle w:val="BodyText"/>
        <w:ind w:left="3129"/>
        <w:spacing w:before="228" w:line="219" w:lineRule="auto"/>
        <w:rPr>
          <w:sz w:val="24"/>
          <w:szCs w:val="24"/>
        </w:rPr>
      </w:pPr>
      <w:r>
        <w:rPr>
          <w:sz w:val="24"/>
          <w:szCs w:val="24"/>
          <w:spacing w:val="7"/>
        </w:rPr>
        <w:t>图6-2-36小地老虎幼虫、蛹、成虫</w:t>
      </w:r>
    </w:p>
    <w:p>
      <w:pPr>
        <w:pStyle w:val="BodyText"/>
        <w:ind w:right="230" w:firstLine="740"/>
        <w:spacing w:before="168" w:line="269" w:lineRule="auto"/>
        <w:rPr>
          <w:sz w:val="29"/>
          <w:szCs w:val="29"/>
        </w:rPr>
      </w:pPr>
      <w:r>
        <w:rPr>
          <w:sz w:val="29"/>
          <w:szCs w:val="29"/>
          <w:spacing w:val="5"/>
        </w:rPr>
        <w:t>(1)危害植物：落叶松、马尾松、油松、红松、水曲柳、核桃楸、杉木、</w:t>
      </w:r>
      <w:r>
        <w:rPr>
          <w:sz w:val="29"/>
          <w:szCs w:val="29"/>
          <w:spacing w:val="13"/>
        </w:rPr>
        <w:t xml:space="preserve"> </w:t>
      </w:r>
      <w:r>
        <w:rPr>
          <w:sz w:val="29"/>
          <w:szCs w:val="29"/>
          <w:spacing w:val="-3"/>
        </w:rPr>
        <w:t>桑、沙枣、茶、草坪等；</w:t>
      </w:r>
    </w:p>
    <w:p>
      <w:pPr>
        <w:pStyle w:val="BodyText"/>
        <w:ind w:right="551" w:firstLine="740"/>
        <w:spacing w:before="145" w:line="256" w:lineRule="auto"/>
        <w:rPr>
          <w:sz w:val="29"/>
          <w:szCs w:val="29"/>
        </w:rPr>
      </w:pPr>
      <w:r>
        <w:rPr>
          <w:sz w:val="29"/>
          <w:szCs w:val="29"/>
          <w:spacing w:val="-4"/>
        </w:rPr>
        <w:t>(2)发病时期：3月底到4月中旬是第1代幼虫为害的严重时期，每年3—10</w:t>
      </w:r>
      <w:r>
        <w:rPr>
          <w:sz w:val="29"/>
          <w:szCs w:val="29"/>
          <w:spacing w:val="2"/>
        </w:rPr>
        <w:t xml:space="preserve"> </w:t>
      </w:r>
      <w:r>
        <w:rPr>
          <w:sz w:val="29"/>
          <w:szCs w:val="29"/>
          <w:spacing w:val="10"/>
        </w:rPr>
        <w:t>月，温暖(13—25℃)及潮湿条件下为活动盛期；</w:t>
      </w:r>
    </w:p>
    <w:p>
      <w:pPr>
        <w:pStyle w:val="BodyText"/>
        <w:ind w:right="193" w:firstLine="740"/>
        <w:spacing w:before="155" w:line="269" w:lineRule="auto"/>
        <w:rPr>
          <w:sz w:val="29"/>
          <w:szCs w:val="29"/>
        </w:rPr>
      </w:pPr>
      <w:r>
        <w:rPr>
          <w:sz w:val="29"/>
          <w:szCs w:val="29"/>
          <w:spacing w:val="6"/>
        </w:rPr>
        <w:t>(3)分布省份：小地老虎属广布性种类，以雨量丰富、气候湿润的长江流</w:t>
      </w:r>
      <w:r>
        <w:rPr>
          <w:sz w:val="29"/>
          <w:szCs w:val="29"/>
          <w:spacing w:val="18"/>
        </w:rPr>
        <w:t xml:space="preserve"> </w:t>
      </w:r>
      <w:r>
        <w:rPr>
          <w:sz w:val="29"/>
          <w:szCs w:val="29"/>
        </w:rPr>
        <w:t>域和东南沿海发生量大，东北地区多发生在东部和南部湿润地区；</w:t>
      </w:r>
    </w:p>
    <w:p>
      <w:pPr>
        <w:pStyle w:val="BodyText"/>
        <w:ind w:right="107" w:firstLine="740"/>
        <w:spacing w:before="137" w:line="292" w:lineRule="auto"/>
        <w:rPr>
          <w:sz w:val="29"/>
          <w:szCs w:val="29"/>
        </w:rPr>
      </w:pPr>
      <w:r>
        <w:rPr>
          <w:sz w:val="29"/>
          <w:szCs w:val="29"/>
          <w:spacing w:val="13"/>
        </w:rPr>
        <w:t>(4)为害特征：1—2龄幼虫昼夜均可群集于幼苗顶心嫩叶处取食危害；3</w:t>
      </w:r>
      <w:r>
        <w:rPr>
          <w:sz w:val="29"/>
          <w:szCs w:val="29"/>
          <w:spacing w:val="4"/>
        </w:rPr>
        <w:t xml:space="preserve"> </w:t>
      </w:r>
      <w:r>
        <w:rPr>
          <w:sz w:val="29"/>
          <w:szCs w:val="29"/>
          <w:spacing w:val="-15"/>
        </w:rPr>
        <w:t>龄后分散，幼虫行动敏捷、有假死习性、对光线极为敏感、受到惊扰即卷缩成团，白</w:t>
      </w:r>
      <w:r>
        <w:rPr>
          <w:sz w:val="29"/>
          <w:szCs w:val="29"/>
        </w:rPr>
        <w:t xml:space="preserve"> </w:t>
      </w:r>
      <w:r>
        <w:rPr>
          <w:sz w:val="29"/>
          <w:szCs w:val="29"/>
        </w:rPr>
        <w:t>天潜伏于表土的干湿层之间，夜晚出土从地面将幼苗植株咬断拖入土穴、或咬食</w:t>
      </w:r>
      <w:r>
        <w:rPr>
          <w:sz w:val="29"/>
          <w:szCs w:val="29"/>
          <w:spacing w:val="2"/>
        </w:rPr>
        <w:t xml:space="preserve"> </w:t>
      </w:r>
      <w:r>
        <w:rPr>
          <w:sz w:val="29"/>
          <w:szCs w:val="29"/>
          <w:spacing w:val="-8"/>
        </w:rPr>
        <w:t>未出土的种子，幼苗主茎硬化后改食嫩叶和叶片及生长点，食物不足或寻找越冬场</w:t>
      </w:r>
      <w:r>
        <w:rPr>
          <w:sz w:val="29"/>
          <w:szCs w:val="29"/>
          <w:spacing w:val="4"/>
        </w:rPr>
        <w:t xml:space="preserve"> </w:t>
      </w:r>
      <w:r>
        <w:rPr>
          <w:sz w:val="29"/>
          <w:szCs w:val="29"/>
          <w:spacing w:val="-12"/>
        </w:rPr>
        <w:t>所时，有迁移现象。</w:t>
      </w:r>
    </w:p>
    <w:p>
      <w:pPr>
        <w:ind w:left="540"/>
        <w:spacing w:before="224" w:line="222" w:lineRule="auto"/>
        <w:rPr>
          <w:rFonts w:ascii="SimHei" w:hAnsi="SimHei" w:eastAsia="SimHei" w:cs="SimHei"/>
          <w:sz w:val="29"/>
          <w:szCs w:val="29"/>
        </w:rPr>
      </w:pPr>
      <w:r>
        <w:rPr>
          <w:rFonts w:ascii="SimHei" w:hAnsi="SimHei" w:eastAsia="SimHei" w:cs="SimHei"/>
          <w:sz w:val="29"/>
          <w:szCs w:val="29"/>
          <w:spacing w:val="26"/>
        </w:rPr>
        <w:t>2)大地老虎</w:t>
      </w:r>
    </w:p>
    <w:p>
      <w:pPr>
        <w:ind w:firstLine="1049"/>
        <w:spacing w:before="161" w:line="2330" w:lineRule="exact"/>
        <w:rPr/>
      </w:pPr>
      <w:r>
        <w:drawing>
          <wp:anchor distT="0" distB="0" distL="0" distR="0" simplePos="0" relativeHeight="252179456" behindDoc="0" locked="0" layoutInCell="1" allowOverlap="1">
            <wp:simplePos x="0" y="0"/>
            <wp:positionH relativeFrom="column">
              <wp:posOffset>3613107</wp:posOffset>
            </wp:positionH>
            <wp:positionV relativeFrom="paragraph">
              <wp:posOffset>108669</wp:posOffset>
            </wp:positionV>
            <wp:extent cx="2260631" cy="1473244"/>
            <wp:effectExtent l="0" t="0" r="0" b="0"/>
            <wp:wrapNone/>
            <wp:docPr id="550" name="IM 550"/>
            <wp:cNvGraphicFramePr/>
            <a:graphic>
              <a:graphicData uri="http://schemas.openxmlformats.org/drawingml/2006/picture">
                <pic:pic>
                  <pic:nvPicPr>
                    <pic:cNvPr id="550" name="IM 550"/>
                    <pic:cNvPicPr/>
                  </pic:nvPicPr>
                  <pic:blipFill>
                    <a:blip r:embed="rId393"/>
                    <a:stretch>
                      <a:fillRect/>
                    </a:stretch>
                  </pic:blipFill>
                  <pic:spPr>
                    <a:xfrm rot="0">
                      <a:off x="0" y="0"/>
                      <a:ext cx="2260631" cy="1473244"/>
                    </a:xfrm>
                    <a:prstGeom prst="rect">
                      <a:avLst/>
                    </a:prstGeom>
                  </pic:spPr>
                </pic:pic>
              </a:graphicData>
            </a:graphic>
          </wp:anchor>
        </w:drawing>
      </w:r>
      <w:r>
        <w:rPr>
          <w:position w:val="-46"/>
        </w:rPr>
        <w:drawing>
          <wp:inline distT="0" distB="0" distL="0" distR="0">
            <wp:extent cx="2895601" cy="1479613"/>
            <wp:effectExtent l="0" t="0" r="0" b="0"/>
            <wp:docPr id="552" name="IM 552"/>
            <wp:cNvGraphicFramePr/>
            <a:graphic>
              <a:graphicData uri="http://schemas.openxmlformats.org/drawingml/2006/picture">
                <pic:pic>
                  <pic:nvPicPr>
                    <pic:cNvPr id="552" name="IM 552"/>
                    <pic:cNvPicPr/>
                  </pic:nvPicPr>
                  <pic:blipFill>
                    <a:blip r:embed="rId394"/>
                    <a:stretch>
                      <a:fillRect/>
                    </a:stretch>
                  </pic:blipFill>
                  <pic:spPr>
                    <a:xfrm rot="0">
                      <a:off x="0" y="0"/>
                      <a:ext cx="2895601" cy="1479613"/>
                    </a:xfrm>
                    <a:prstGeom prst="rect">
                      <a:avLst/>
                    </a:prstGeom>
                  </pic:spPr>
                </pic:pic>
              </a:graphicData>
            </a:graphic>
          </wp:inline>
        </w:drawing>
      </w:r>
    </w:p>
    <w:p>
      <w:pPr>
        <w:pStyle w:val="BodyText"/>
        <w:ind w:left="3479"/>
        <w:spacing w:before="108" w:line="219" w:lineRule="auto"/>
        <w:rPr>
          <w:sz w:val="24"/>
          <w:szCs w:val="24"/>
        </w:rPr>
      </w:pPr>
      <w:r>
        <w:rPr>
          <w:sz w:val="24"/>
          <w:szCs w:val="24"/>
          <w:spacing w:val="7"/>
        </w:rPr>
        <w:t>图6-2-37大地老虎幼虫、成虫</w:t>
      </w:r>
    </w:p>
    <w:p>
      <w:pPr>
        <w:pStyle w:val="BodyText"/>
        <w:ind w:right="230" w:firstLine="740"/>
        <w:spacing w:before="139" w:line="268" w:lineRule="auto"/>
        <w:rPr>
          <w:sz w:val="29"/>
          <w:szCs w:val="29"/>
        </w:rPr>
      </w:pPr>
      <w:r>
        <w:rPr>
          <w:sz w:val="29"/>
          <w:szCs w:val="29"/>
          <w:spacing w:val="5"/>
        </w:rPr>
        <w:t>(1)危害植物：杉树、罗汉松、柳树、杨树、桉树、牡丹、月季、菊花、</w:t>
      </w:r>
      <w:r>
        <w:rPr>
          <w:sz w:val="29"/>
          <w:szCs w:val="29"/>
          <w:spacing w:val="13"/>
        </w:rPr>
        <w:t xml:space="preserve"> </w:t>
      </w:r>
      <w:r>
        <w:rPr>
          <w:sz w:val="29"/>
          <w:szCs w:val="29"/>
          <w:spacing w:val="-2"/>
        </w:rPr>
        <w:t>女贞、香石竹及多种草本植物；</w:t>
      </w:r>
    </w:p>
    <w:p>
      <w:pPr>
        <w:pStyle w:val="BodyText"/>
        <w:ind w:left="740"/>
        <w:spacing w:before="168" w:line="219" w:lineRule="auto"/>
        <w:rPr>
          <w:sz w:val="29"/>
          <w:szCs w:val="29"/>
        </w:rPr>
      </w:pPr>
      <w:r>
        <w:rPr>
          <w:sz w:val="29"/>
          <w:szCs w:val="29"/>
          <w:spacing w:val="3"/>
        </w:rPr>
        <w:t>(2)发病时期：3月幼虫开始咬食幼苗，可持续到10月；</w:t>
      </w:r>
    </w:p>
    <w:p>
      <w:pPr>
        <w:pStyle w:val="BodyText"/>
        <w:ind w:left="740"/>
        <w:spacing w:before="144" w:line="219" w:lineRule="auto"/>
        <w:rPr>
          <w:sz w:val="29"/>
          <w:szCs w:val="29"/>
        </w:rPr>
      </w:pPr>
      <w:r>
        <w:rPr>
          <w:sz w:val="29"/>
          <w:szCs w:val="29"/>
          <w:spacing w:val="6"/>
        </w:rPr>
        <w:t>(3)分布省份：东北、华北、华东、西北等地均有发生；</w:t>
      </w:r>
    </w:p>
    <w:p>
      <w:pPr>
        <w:spacing w:line="219" w:lineRule="auto"/>
        <w:sectPr>
          <w:footerReference w:type="default" r:id="rId391"/>
          <w:pgSz w:w="14490" w:h="20470"/>
          <w:pgMar w:top="400" w:right="2064" w:bottom="1413" w:left="2140" w:header="0" w:footer="121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50" w:firstLine="740"/>
        <w:spacing w:before="94" w:line="314" w:lineRule="auto"/>
        <w:rPr>
          <w:sz w:val="29"/>
          <w:szCs w:val="29"/>
        </w:rPr>
      </w:pPr>
      <w:bookmarkStart w:name="bookmark111" w:id="77"/>
      <w:bookmarkEnd w:id="77"/>
      <w:r>
        <w:rPr>
          <w:sz w:val="29"/>
          <w:szCs w:val="29"/>
          <w:spacing w:val="8"/>
        </w:rPr>
        <w:t>(4)表现症状：幼虫咬食地面处根茎为害，导致缺株，严</w:t>
      </w:r>
      <w:r>
        <w:rPr>
          <w:sz w:val="29"/>
          <w:szCs w:val="29"/>
          <w:spacing w:val="7"/>
        </w:rPr>
        <w:t>重影响植株的生</w:t>
      </w:r>
      <w:r>
        <w:rPr>
          <w:sz w:val="29"/>
          <w:szCs w:val="29"/>
        </w:rPr>
        <w:t xml:space="preserve"> </w:t>
      </w:r>
      <w:r>
        <w:rPr>
          <w:sz w:val="29"/>
          <w:szCs w:val="29"/>
          <w:spacing w:val="-5"/>
        </w:rPr>
        <w:t>长发育。</w:t>
      </w:r>
    </w:p>
    <w:p>
      <w:pPr>
        <w:ind w:left="600"/>
        <w:spacing w:before="31"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right="58" w:firstLine="740"/>
        <w:spacing w:before="95" w:line="309" w:lineRule="auto"/>
        <w:rPr>
          <w:sz w:val="29"/>
          <w:szCs w:val="29"/>
        </w:rPr>
      </w:pPr>
      <w:r>
        <w:rPr>
          <w:sz w:val="29"/>
          <w:szCs w:val="29"/>
          <w:spacing w:val="-9"/>
        </w:rPr>
        <w:t>(1)</w:t>
      </w:r>
      <w:r>
        <w:rPr>
          <w:sz w:val="29"/>
          <w:szCs w:val="29"/>
          <w:spacing w:val="129"/>
        </w:rPr>
        <w:t xml:space="preserve"> </w:t>
      </w:r>
      <w:r>
        <w:rPr>
          <w:sz w:val="29"/>
          <w:szCs w:val="29"/>
          <w:spacing w:val="-9"/>
        </w:rPr>
        <w:t>诱杀防治：黑光灯诱杀成虫；播种及栽植前深翻</w:t>
      </w:r>
      <w:r>
        <w:rPr>
          <w:sz w:val="29"/>
          <w:szCs w:val="29"/>
          <w:spacing w:val="-10"/>
        </w:rPr>
        <w:t>土壤，消灭幼虫及蛹；</w:t>
      </w:r>
      <w:r>
        <w:rPr>
          <w:sz w:val="29"/>
          <w:szCs w:val="29"/>
        </w:rPr>
        <w:t xml:space="preserve"> </w:t>
      </w:r>
      <w:r>
        <w:rPr>
          <w:sz w:val="29"/>
          <w:szCs w:val="29"/>
          <w:spacing w:val="-7"/>
        </w:rPr>
        <w:t>打孔松土；灯光、糖醋液诱杀成虫；捕杀幼虫；</w:t>
      </w:r>
    </w:p>
    <w:p>
      <w:pPr>
        <w:pStyle w:val="BodyText"/>
        <w:ind w:firstLine="740"/>
        <w:spacing w:line="322" w:lineRule="auto"/>
        <w:rPr>
          <w:sz w:val="29"/>
          <w:szCs w:val="29"/>
        </w:rPr>
      </w:pPr>
      <w:r>
        <w:rPr>
          <w:sz w:val="29"/>
          <w:szCs w:val="29"/>
          <w:spacing w:val="3"/>
        </w:rPr>
        <w:t>②  药物防治：喷雾，每公顷可选用50%辛硫磷乳油750</w:t>
      </w:r>
      <w:r>
        <w:rPr>
          <w:rFonts w:ascii="Times New Roman" w:hAnsi="Times New Roman" w:eastAsia="Times New Roman" w:cs="Times New Roman"/>
          <w:sz w:val="29"/>
          <w:szCs w:val="29"/>
        </w:rPr>
        <w:t>mL</w:t>
      </w:r>
      <w:r>
        <w:rPr>
          <w:rFonts w:ascii="Times New Roman" w:hAnsi="Times New Roman" w:eastAsia="Times New Roman" w:cs="Times New Roman"/>
          <w:sz w:val="29"/>
          <w:szCs w:val="29"/>
          <w:spacing w:val="3"/>
        </w:rPr>
        <w:t>,  </w:t>
      </w:r>
      <w:r>
        <w:rPr>
          <w:sz w:val="29"/>
          <w:szCs w:val="29"/>
          <w:spacing w:val="3"/>
        </w:rPr>
        <w:t>或2.5%溴氰菊</w:t>
      </w:r>
      <w:r>
        <w:rPr>
          <w:sz w:val="29"/>
          <w:szCs w:val="29"/>
          <w:spacing w:val="5"/>
        </w:rPr>
        <w:t xml:space="preserve"> </w:t>
      </w:r>
      <w:r>
        <w:rPr>
          <w:sz w:val="29"/>
          <w:szCs w:val="29"/>
          <w:spacing w:val="3"/>
        </w:rPr>
        <w:t>酯乳油或40%氯氰菊酯乳油300—450</w:t>
      </w:r>
      <w:r>
        <w:rPr>
          <w:rFonts w:ascii="Times New Roman" w:hAnsi="Times New Roman" w:eastAsia="Times New Roman" w:cs="Times New Roman"/>
          <w:sz w:val="29"/>
          <w:szCs w:val="29"/>
        </w:rPr>
        <w:t>mL</w:t>
      </w:r>
      <w:r>
        <w:rPr>
          <w:sz w:val="29"/>
          <w:szCs w:val="29"/>
          <w:spacing w:val="3"/>
        </w:rPr>
        <w:t>对水750</w:t>
      </w:r>
      <w:r>
        <w:rPr>
          <w:rFonts w:ascii="Times New Roman" w:hAnsi="Times New Roman" w:eastAsia="Times New Roman" w:cs="Times New Roman"/>
          <w:sz w:val="29"/>
          <w:szCs w:val="29"/>
          <w:spacing w:val="3"/>
        </w:rPr>
        <w:t>L</w:t>
      </w:r>
      <w:r>
        <w:rPr>
          <w:sz w:val="29"/>
          <w:szCs w:val="29"/>
          <w:spacing w:val="3"/>
        </w:rPr>
        <w:t>喷雾。喷药适期应在有虫3龄盛</w:t>
      </w:r>
      <w:r>
        <w:rPr>
          <w:sz w:val="29"/>
          <w:szCs w:val="29"/>
          <w:spacing w:val="11"/>
        </w:rPr>
        <w:t xml:space="preserve"> </w:t>
      </w:r>
      <w:r>
        <w:rPr>
          <w:sz w:val="29"/>
          <w:szCs w:val="29"/>
          <w:spacing w:val="-4"/>
        </w:rPr>
        <w:t>发前。</w:t>
      </w:r>
    </w:p>
    <w:p>
      <w:pPr>
        <w:spacing w:before="39" w:line="222" w:lineRule="auto"/>
        <w:rPr>
          <w:rFonts w:ascii="SimHei" w:hAnsi="SimHei" w:eastAsia="SimHei" w:cs="SimHei"/>
          <w:sz w:val="28"/>
          <w:szCs w:val="28"/>
        </w:rPr>
      </w:pPr>
      <w:r>
        <w:rPr>
          <w:rFonts w:ascii="SimHei" w:hAnsi="SimHei" w:eastAsia="SimHei" w:cs="SimHei"/>
          <w:sz w:val="28"/>
          <w:szCs w:val="28"/>
          <w:spacing w:val="20"/>
        </w:rPr>
        <w:t>4、蝼蛄</w:t>
      </w:r>
    </w:p>
    <w:p>
      <w:pPr>
        <w:pStyle w:val="BodyText"/>
        <w:ind w:left="600"/>
        <w:spacing w:before="95" w:line="219" w:lineRule="auto"/>
        <w:rPr>
          <w:sz w:val="29"/>
          <w:szCs w:val="29"/>
        </w:rPr>
      </w:pPr>
      <w:r>
        <w:rPr>
          <w:sz w:val="29"/>
          <w:szCs w:val="29"/>
          <w:spacing w:val="7"/>
        </w:rPr>
        <w:t>1)危害植物：多种园林植物的花卉、林木及草坪。</w:t>
      </w:r>
    </w:p>
    <w:p>
      <w:pPr>
        <w:pStyle w:val="BodyText"/>
        <w:ind w:left="600"/>
        <w:spacing w:before="146" w:line="219" w:lineRule="auto"/>
        <w:rPr>
          <w:sz w:val="29"/>
          <w:szCs w:val="29"/>
        </w:rPr>
      </w:pPr>
      <w:r>
        <w:rPr>
          <w:sz w:val="29"/>
          <w:szCs w:val="29"/>
          <w:spacing w:val="6"/>
        </w:rPr>
        <w:t>2)发病时期：5月上旬—6月中旬、9月发生为害重。</w:t>
      </w:r>
    </w:p>
    <w:p>
      <w:pPr>
        <w:pStyle w:val="BodyText"/>
        <w:ind w:left="600"/>
        <w:spacing w:before="164" w:line="219" w:lineRule="auto"/>
        <w:rPr>
          <w:sz w:val="29"/>
          <w:szCs w:val="29"/>
        </w:rPr>
      </w:pPr>
      <w:r>
        <w:rPr>
          <w:sz w:val="29"/>
          <w:szCs w:val="29"/>
          <w:spacing w:val="6"/>
        </w:rPr>
        <w:t>3)分布省份：东方蝼蛄分布全国，但以南方为多；华北蝼蛄分</w:t>
      </w:r>
      <w:r>
        <w:rPr>
          <w:sz w:val="29"/>
          <w:szCs w:val="29"/>
          <w:spacing w:val="5"/>
        </w:rPr>
        <w:t>布于北方。</w:t>
      </w:r>
    </w:p>
    <w:p>
      <w:pPr>
        <w:pStyle w:val="BodyText"/>
        <w:ind w:right="50" w:firstLine="600"/>
        <w:spacing w:before="146" w:line="275" w:lineRule="auto"/>
        <w:rPr>
          <w:sz w:val="29"/>
          <w:szCs w:val="29"/>
        </w:rPr>
      </w:pPr>
      <w:r>
        <w:rPr>
          <w:sz w:val="29"/>
          <w:szCs w:val="29"/>
          <w:spacing w:val="8"/>
        </w:rPr>
        <w:t>4)为害特征：蝼蛄食性很杂，主要以成虫、若</w:t>
      </w:r>
      <w:r>
        <w:rPr>
          <w:sz w:val="29"/>
          <w:szCs w:val="29"/>
          <w:spacing w:val="7"/>
        </w:rPr>
        <w:t>虫危害植物幼苗的根部和靠</w:t>
      </w:r>
      <w:r>
        <w:rPr>
          <w:sz w:val="29"/>
          <w:szCs w:val="29"/>
        </w:rPr>
        <w:t xml:space="preserve"> </w:t>
      </w:r>
      <w:r>
        <w:rPr>
          <w:sz w:val="29"/>
          <w:szCs w:val="29"/>
          <w:spacing w:val="-17"/>
        </w:rPr>
        <w:t>近地面的幼茎；同时，成、若虫常在土表层活动，造成幼苗根土分离，干枯死亡，清</w:t>
      </w:r>
      <w:r>
        <w:rPr>
          <w:sz w:val="29"/>
          <w:szCs w:val="29"/>
          <w:spacing w:val="11"/>
        </w:rPr>
        <w:t xml:space="preserve"> </w:t>
      </w:r>
      <w:r>
        <w:rPr>
          <w:sz w:val="29"/>
          <w:szCs w:val="29"/>
          <w:spacing w:val="1"/>
        </w:rPr>
        <w:t>晨在苗圃床面上可见大量不规则隧道、虚土隆起。</w:t>
      </w:r>
    </w:p>
    <w:p>
      <w:pPr>
        <w:spacing w:line="257" w:lineRule="auto"/>
        <w:rPr>
          <w:rFonts w:ascii="Arial"/>
          <w:sz w:val="21"/>
        </w:rPr>
      </w:pPr>
      <w:r>
        <w:drawing>
          <wp:anchor distT="0" distB="0" distL="0" distR="0" simplePos="0" relativeHeight="252185600" behindDoc="0" locked="0" layoutInCell="1" allowOverlap="1">
            <wp:simplePos x="0" y="0"/>
            <wp:positionH relativeFrom="column">
              <wp:posOffset>228556</wp:posOffset>
            </wp:positionH>
            <wp:positionV relativeFrom="paragraph">
              <wp:posOffset>47180</wp:posOffset>
            </wp:positionV>
            <wp:extent cx="1270034" cy="1549414"/>
            <wp:effectExtent l="0" t="0" r="0" b="0"/>
            <wp:wrapNone/>
            <wp:docPr id="554" name="IM 554"/>
            <wp:cNvGraphicFramePr/>
            <a:graphic>
              <a:graphicData uri="http://schemas.openxmlformats.org/drawingml/2006/picture">
                <pic:pic>
                  <pic:nvPicPr>
                    <pic:cNvPr id="554" name="IM 554"/>
                    <pic:cNvPicPr/>
                  </pic:nvPicPr>
                  <pic:blipFill>
                    <a:blip r:embed="rId396"/>
                    <a:stretch>
                      <a:fillRect/>
                    </a:stretch>
                  </pic:blipFill>
                  <pic:spPr>
                    <a:xfrm rot="0">
                      <a:off x="0" y="0"/>
                      <a:ext cx="1270034" cy="1549414"/>
                    </a:xfrm>
                    <a:prstGeom prst="rect">
                      <a:avLst/>
                    </a:prstGeom>
                  </pic:spPr>
                </pic:pic>
              </a:graphicData>
            </a:graphic>
          </wp:anchor>
        </w:drawing>
      </w:r>
      <w:r>
        <w:drawing>
          <wp:anchor distT="0" distB="0" distL="0" distR="0" simplePos="0" relativeHeight="252184576" behindDoc="0" locked="0" layoutInCell="1" allowOverlap="1">
            <wp:simplePos x="0" y="0"/>
            <wp:positionH relativeFrom="column">
              <wp:posOffset>2673302</wp:posOffset>
            </wp:positionH>
            <wp:positionV relativeFrom="paragraph">
              <wp:posOffset>21702</wp:posOffset>
            </wp:positionV>
            <wp:extent cx="3759221" cy="1720864"/>
            <wp:effectExtent l="0" t="0" r="0" b="0"/>
            <wp:wrapNone/>
            <wp:docPr id="556" name="IM 556"/>
            <wp:cNvGraphicFramePr/>
            <a:graphic>
              <a:graphicData uri="http://schemas.openxmlformats.org/drawingml/2006/picture">
                <pic:pic>
                  <pic:nvPicPr>
                    <pic:cNvPr id="556" name="IM 556"/>
                    <pic:cNvPicPr/>
                  </pic:nvPicPr>
                  <pic:blipFill>
                    <a:blip r:embed="rId397"/>
                    <a:stretch>
                      <a:fillRect/>
                    </a:stretch>
                  </pic:blipFill>
                  <pic:spPr>
                    <a:xfrm rot="0">
                      <a:off x="0" y="0"/>
                      <a:ext cx="3759221" cy="1720864"/>
                    </a:xfrm>
                    <a:prstGeom prst="rect">
                      <a:avLst/>
                    </a:prstGeom>
                  </pic:spPr>
                </pic:pic>
              </a:graphicData>
            </a:graphic>
          </wp:anchor>
        </w:drawing>
      </w:r>
      <w:r/>
    </w:p>
    <w:p>
      <w:pPr>
        <w:spacing w:line="258" w:lineRule="auto"/>
        <w:rPr>
          <w:rFonts w:ascii="Arial"/>
          <w:sz w:val="21"/>
        </w:rPr>
      </w:pPr>
      <w:r/>
    </w:p>
    <w:p>
      <w:pPr>
        <w:ind w:left="3389"/>
        <w:spacing w:before="51" w:line="241" w:lineRule="auto"/>
        <w:rPr>
          <w:rFonts w:ascii="STXingkai" w:hAnsi="STXingkai" w:eastAsia="STXingkai" w:cs="STXingkai"/>
          <w:sz w:val="15"/>
          <w:szCs w:val="15"/>
        </w:rPr>
      </w:pPr>
      <w:r>
        <w:rPr>
          <w:rFonts w:ascii="STXingkai" w:hAnsi="STXingkai" w:eastAsia="STXingkai" w:cs="STXingkai"/>
          <w:sz w:val="15"/>
          <w:szCs w:val="15"/>
        </w:rPr>
        <w:t>卵</w:t>
      </w:r>
    </w:p>
    <w:p>
      <w:pPr>
        <w:spacing w:line="286" w:lineRule="auto"/>
        <w:rPr>
          <w:rFonts w:ascii="Arial"/>
          <w:sz w:val="21"/>
        </w:rPr>
      </w:pPr>
      <w:r/>
    </w:p>
    <w:p>
      <w:pPr>
        <w:ind w:firstLine="2479"/>
        <w:spacing w:before="1" w:line="1230" w:lineRule="exact"/>
        <w:rPr/>
      </w:pPr>
      <w:r>
        <w:rPr>
          <w:position w:val="-24"/>
        </w:rPr>
        <w:drawing>
          <wp:inline distT="0" distB="0" distL="0" distR="0">
            <wp:extent cx="1073130" cy="781076"/>
            <wp:effectExtent l="0" t="0" r="0" b="0"/>
            <wp:docPr id="558" name="IM 558"/>
            <wp:cNvGraphicFramePr/>
            <a:graphic>
              <a:graphicData uri="http://schemas.openxmlformats.org/drawingml/2006/picture">
                <pic:pic>
                  <pic:nvPicPr>
                    <pic:cNvPr id="558" name="IM 558"/>
                    <pic:cNvPicPr/>
                  </pic:nvPicPr>
                  <pic:blipFill>
                    <a:blip r:embed="rId398"/>
                    <a:stretch>
                      <a:fillRect/>
                    </a:stretch>
                  </pic:blipFill>
                  <pic:spPr>
                    <a:xfrm rot="0">
                      <a:off x="0" y="0"/>
                      <a:ext cx="1073130" cy="781076"/>
                    </a:xfrm>
                    <a:prstGeom prst="rect">
                      <a:avLst/>
                    </a:prstGeom>
                  </pic:spPr>
                </pic:pic>
              </a:graphicData>
            </a:graphic>
          </wp:inline>
        </w:drawing>
      </w:r>
    </w:p>
    <w:p>
      <w:pPr>
        <w:pStyle w:val="BodyText"/>
        <w:ind w:left="3020"/>
        <w:spacing w:before="25" w:line="219" w:lineRule="auto"/>
        <w:rPr>
          <w:sz w:val="17"/>
          <w:szCs w:val="17"/>
        </w:rPr>
      </w:pPr>
      <w:r>
        <w:rPr>
          <w:rFonts w:ascii="FangSong" w:hAnsi="FangSong" w:eastAsia="FangSong" w:cs="FangSong"/>
          <w:sz w:val="17"/>
          <w:szCs w:val="17"/>
          <w:spacing w:val="-4"/>
        </w:rPr>
        <w:t>为</w:t>
      </w:r>
      <w:r>
        <w:rPr>
          <w:sz w:val="17"/>
          <w:szCs w:val="17"/>
          <w:b/>
          <w:bCs/>
          <w:spacing w:val="-4"/>
        </w:rPr>
        <w:t>害状</w:t>
      </w:r>
    </w:p>
    <w:p>
      <w:pPr>
        <w:pStyle w:val="BodyText"/>
        <w:ind w:left="740"/>
        <w:spacing w:line="235" w:lineRule="auto"/>
        <w:rPr>
          <w:rFonts w:ascii="SimHei" w:hAnsi="SimHei" w:eastAsia="SimHei" w:cs="SimHei"/>
          <w:sz w:val="17"/>
          <w:szCs w:val="17"/>
        </w:rPr>
      </w:pPr>
      <w:r>
        <w:rPr>
          <w:rFonts w:ascii="STXingkai" w:hAnsi="STXingkai" w:eastAsia="STXingkai" w:cs="STXingkai"/>
          <w:sz w:val="16"/>
          <w:szCs w:val="16"/>
          <w:spacing w:val="-9"/>
          <w:position w:val="1"/>
        </w:rPr>
        <w:t>成 </w:t>
      </w:r>
      <w:r>
        <w:rPr>
          <w:sz w:val="16"/>
          <w:szCs w:val="16"/>
          <w:b/>
          <w:bCs/>
          <w:spacing w:val="-9"/>
          <w:position w:val="1"/>
        </w:rPr>
        <w:t>虫</w:t>
      </w:r>
      <w:r>
        <w:rPr>
          <w:sz w:val="16"/>
          <w:szCs w:val="16"/>
          <w:spacing w:val="2"/>
          <w:position w:val="1"/>
        </w:rPr>
        <w:t xml:space="preserve">        </w:t>
      </w:r>
      <w:r>
        <w:rPr>
          <w:rFonts w:ascii="SimHei" w:hAnsi="SimHei" w:eastAsia="SimHei" w:cs="SimHei"/>
          <w:sz w:val="17"/>
          <w:szCs w:val="17"/>
          <w:spacing w:val="-9"/>
          <w:position w:val="-1"/>
        </w:rPr>
        <w:t>若虫</w:t>
      </w:r>
    </w:p>
    <w:p>
      <w:pPr>
        <w:pStyle w:val="BodyText"/>
        <w:ind w:left="3369"/>
        <w:spacing w:before="146" w:line="220" w:lineRule="auto"/>
        <w:rPr>
          <w:sz w:val="24"/>
          <w:szCs w:val="24"/>
        </w:rPr>
      </w:pPr>
      <w:r>
        <w:rPr>
          <w:sz w:val="24"/>
          <w:szCs w:val="24"/>
          <w:spacing w:val="7"/>
        </w:rPr>
        <w:t>图6-2-38蝼蛄成虫、卵及危害</w:t>
      </w:r>
    </w:p>
    <w:p>
      <w:pPr>
        <w:pStyle w:val="BodyText"/>
        <w:ind w:left="600"/>
        <w:spacing w:before="166" w:line="220" w:lineRule="auto"/>
        <w:rPr>
          <w:sz w:val="29"/>
          <w:szCs w:val="29"/>
        </w:rPr>
      </w:pPr>
      <w:r>
        <w:rPr>
          <w:sz w:val="29"/>
          <w:szCs w:val="29"/>
          <w:spacing w:val="14"/>
        </w:rPr>
        <w:t>5)防治方法：</w:t>
      </w:r>
    </w:p>
    <w:p>
      <w:pPr>
        <w:pStyle w:val="BodyText"/>
        <w:ind w:right="47" w:firstLine="740"/>
        <w:spacing w:before="141" w:line="311" w:lineRule="auto"/>
        <w:rPr>
          <w:sz w:val="29"/>
          <w:szCs w:val="29"/>
        </w:rPr>
      </w:pPr>
      <w:r>
        <w:rPr>
          <w:sz w:val="29"/>
          <w:szCs w:val="29"/>
          <w:spacing w:val="-18"/>
        </w:rPr>
        <w:t>①   灯光诱杀成虫：特别在闷热天气、雨前的夜晚更有效，可在19:00-22:00时</w:t>
      </w:r>
      <w:r>
        <w:rPr>
          <w:sz w:val="29"/>
          <w:szCs w:val="29"/>
        </w:rPr>
        <w:t xml:space="preserve"> </w:t>
      </w:r>
      <w:r>
        <w:rPr>
          <w:sz w:val="29"/>
          <w:szCs w:val="29"/>
          <w:spacing w:val="-9"/>
        </w:rPr>
        <w:t>点灯诱杀；播种及栽植前深翻土壤，消灭幼虫及蛹；加强管理，中耕除草、松土；</w:t>
      </w:r>
      <w:r>
        <w:rPr>
          <w:sz w:val="29"/>
          <w:szCs w:val="29"/>
          <w:spacing w:val="18"/>
        </w:rPr>
        <w:t xml:space="preserve"> </w:t>
      </w:r>
      <w:r>
        <w:rPr>
          <w:sz w:val="29"/>
          <w:szCs w:val="29"/>
          <w:spacing w:val="-9"/>
        </w:rPr>
        <w:t>糖醋液诱杀成虫；</w:t>
      </w:r>
    </w:p>
    <w:p>
      <w:pPr>
        <w:pStyle w:val="BodyText"/>
        <w:ind w:right="329" w:firstLine="740"/>
        <w:spacing w:before="26" w:line="309" w:lineRule="auto"/>
        <w:rPr>
          <w:sz w:val="29"/>
          <w:szCs w:val="29"/>
        </w:rPr>
      </w:pPr>
      <w:r>
        <w:rPr>
          <w:rFonts w:ascii="Times New Roman" w:hAnsi="Times New Roman" w:eastAsia="Times New Roman" w:cs="Times New Roman"/>
          <w:sz w:val="29"/>
          <w:szCs w:val="29"/>
          <w:spacing w:val="-8"/>
        </w:rPr>
        <w:t>0      </w:t>
      </w:r>
      <w:r>
        <w:rPr>
          <w:sz w:val="29"/>
          <w:szCs w:val="29"/>
          <w:spacing w:val="-8"/>
        </w:rPr>
        <w:t>药物防治：灌药毒杀，在受害植株根际或苗床浇灌50%辛硫磷乳油1000</w:t>
      </w:r>
      <w:r>
        <w:rPr>
          <w:sz w:val="29"/>
          <w:szCs w:val="29"/>
          <w:spacing w:val="16"/>
        </w:rPr>
        <w:t xml:space="preserve"> </w:t>
      </w:r>
      <w:r>
        <w:rPr>
          <w:sz w:val="29"/>
          <w:szCs w:val="29"/>
          <w:spacing w:val="-4"/>
        </w:rPr>
        <w:t>倍液。</w:t>
      </w:r>
    </w:p>
    <w:p>
      <w:pPr>
        <w:ind w:left="119"/>
        <w:spacing w:before="101" w:line="223" w:lineRule="auto"/>
        <w:outlineLvl w:val="2"/>
        <w:rPr>
          <w:rFonts w:ascii="SimHei" w:hAnsi="SimHei" w:eastAsia="SimHei" w:cs="SimHei"/>
          <w:sz w:val="29"/>
          <w:szCs w:val="29"/>
        </w:rPr>
      </w:pPr>
      <w:bookmarkStart w:name="bookmark45" w:id="78"/>
      <w:bookmarkEnd w:id="78"/>
      <w:r>
        <w:rPr>
          <w:rFonts w:ascii="SimHei" w:hAnsi="SimHei" w:eastAsia="SimHei" w:cs="SimHei"/>
          <w:sz w:val="29"/>
          <w:szCs w:val="29"/>
          <w:spacing w:val="36"/>
        </w:rPr>
        <w:t>(五)金针虫</w:t>
      </w:r>
    </w:p>
    <w:p>
      <w:pPr>
        <w:pStyle w:val="BodyText"/>
        <w:spacing w:before="120" w:line="223"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沟金针虫</w:t>
      </w:r>
    </w:p>
    <w:p>
      <w:pPr>
        <w:pStyle w:val="BodyText"/>
        <w:ind w:right="25" w:firstLine="600"/>
        <w:spacing w:before="99" w:line="268" w:lineRule="auto"/>
        <w:rPr>
          <w:sz w:val="29"/>
          <w:szCs w:val="29"/>
        </w:rPr>
      </w:pPr>
      <w:r>
        <w:rPr>
          <w:sz w:val="29"/>
          <w:szCs w:val="29"/>
          <w:spacing w:val="8"/>
        </w:rPr>
        <w:t>1)主要危害植物：多种园林植物的花卉、林木及草坪。如桔梗、菊花、白</w:t>
      </w:r>
      <w:r>
        <w:rPr>
          <w:sz w:val="29"/>
          <w:szCs w:val="29"/>
          <w:spacing w:val="12"/>
        </w:rPr>
        <w:t xml:space="preserve"> </w:t>
      </w:r>
      <w:r>
        <w:rPr>
          <w:sz w:val="29"/>
          <w:szCs w:val="29"/>
          <w:spacing w:val="-7"/>
        </w:rPr>
        <w:t>芍、麦冬等；</w:t>
      </w:r>
    </w:p>
    <w:p>
      <w:pPr>
        <w:pStyle w:val="BodyText"/>
        <w:ind w:right="43" w:firstLine="600"/>
        <w:spacing w:before="158" w:line="263" w:lineRule="auto"/>
        <w:rPr>
          <w:sz w:val="29"/>
          <w:szCs w:val="29"/>
        </w:rPr>
      </w:pPr>
      <w:r>
        <w:rPr>
          <w:sz w:val="29"/>
          <w:szCs w:val="29"/>
          <w:spacing w:val="8"/>
        </w:rPr>
        <w:t>2)发病时期：在华北地区，越冬成虫于3月上</w:t>
      </w:r>
      <w:r>
        <w:rPr>
          <w:sz w:val="29"/>
          <w:szCs w:val="29"/>
          <w:spacing w:val="7"/>
        </w:rPr>
        <w:t>旬开始活动，4月上旬为活动</w:t>
      </w:r>
      <w:r>
        <w:rPr>
          <w:sz w:val="29"/>
          <w:szCs w:val="29"/>
        </w:rPr>
        <w:t xml:space="preserve"> </w:t>
      </w:r>
      <w:r>
        <w:rPr>
          <w:sz w:val="29"/>
          <w:szCs w:val="29"/>
          <w:spacing w:val="-13"/>
        </w:rPr>
        <w:t>盛期；</w:t>
      </w:r>
    </w:p>
    <w:p>
      <w:pPr>
        <w:pStyle w:val="BodyText"/>
        <w:ind w:left="600"/>
        <w:spacing w:before="171" w:line="219" w:lineRule="auto"/>
        <w:rPr>
          <w:sz w:val="29"/>
          <w:szCs w:val="29"/>
        </w:rPr>
      </w:pPr>
      <w:r>
        <w:rPr>
          <w:sz w:val="29"/>
          <w:szCs w:val="29"/>
          <w:spacing w:val="8"/>
        </w:rPr>
        <w:t>3)分布省份：辽宁、内蒙古、山东、山西</w:t>
      </w:r>
      <w:r>
        <w:rPr>
          <w:sz w:val="29"/>
          <w:szCs w:val="29"/>
          <w:spacing w:val="7"/>
        </w:rPr>
        <w:t>、河南、河北、北京、天津、江</w:t>
      </w:r>
    </w:p>
    <w:p>
      <w:pPr>
        <w:spacing w:line="219" w:lineRule="auto"/>
        <w:sectPr>
          <w:footerReference w:type="default" r:id="rId395"/>
          <w:pgSz w:w="14490" w:h="20470"/>
          <w:pgMar w:top="400" w:right="2166" w:bottom="1410" w:left="2140" w:header="0" w:footer="1212"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bookmarkStart w:name="bookmark112" w:id="79"/>
      <w:bookmarkEnd w:id="79"/>
      <w:r>
        <w:rPr>
          <w:sz w:val="29"/>
          <w:szCs w:val="29"/>
        </w:rPr>
        <w:t>苏、湖北、安徽、陕西、甘肃等省、市、自治区均有分布；</w:t>
      </w:r>
    </w:p>
    <w:p>
      <w:pPr>
        <w:pStyle w:val="BodyText"/>
        <w:ind w:left="600"/>
        <w:spacing w:before="153" w:line="216" w:lineRule="auto"/>
        <w:rPr>
          <w:sz w:val="29"/>
          <w:szCs w:val="29"/>
        </w:rPr>
      </w:pPr>
      <w:r>
        <w:rPr>
          <w:sz w:val="29"/>
          <w:szCs w:val="29"/>
          <w:spacing w:val="9"/>
        </w:rPr>
        <w:t>4)为害特征：幼虫生活在土壤中，咬食苗木嫩茎、嫩根(缺刻),幼</w:t>
      </w:r>
      <w:r>
        <w:rPr>
          <w:sz w:val="29"/>
          <w:szCs w:val="29"/>
          <w:spacing w:val="8"/>
        </w:rPr>
        <w:t>苗受害</w:t>
      </w:r>
    </w:p>
    <w:p>
      <w:pPr>
        <w:pStyle w:val="BodyText"/>
        <w:spacing w:before="155" w:line="220" w:lineRule="auto"/>
        <w:rPr>
          <w:sz w:val="29"/>
          <w:szCs w:val="29"/>
        </w:rPr>
      </w:pPr>
      <w:r>
        <w:rPr>
          <w:sz w:val="29"/>
          <w:szCs w:val="29"/>
          <w:spacing w:val="-11"/>
        </w:rPr>
        <w:t>后渐枯；</w:t>
      </w:r>
    </w:p>
    <w:p>
      <w:pPr>
        <w:spacing w:line="257" w:lineRule="auto"/>
        <w:rPr>
          <w:rFonts w:ascii="Arial"/>
          <w:sz w:val="21"/>
        </w:rPr>
      </w:pPr>
      <w:r>
        <w:pict>
          <v:shape id="_x0000_s46" style="position:absolute;margin-left:242.225pt;margin-top:7.83679pt;mso-position-vertical-relative:text;mso-position-horizontal-relative:text;width:17.7pt;height:50.8pt;z-index:252192768;" filled="false" stroked="false" type="#_x0000_t202">
            <v:fill on="false"/>
            <v:stroke on="false"/>
            <v:path/>
            <v:imagedata o:title=""/>
            <o:lock v:ext="edit" aspectratio="false"/>
            <v:textbox inset="0mm,0mm,0mm,0mm" style="layout-flow:vertical-ideographic;">
              <w:txbxContent>
                <w:p>
                  <w:pPr>
                    <w:pStyle w:val="BodyText"/>
                    <w:spacing w:before="19" w:line="201" w:lineRule="auto"/>
                    <w:jc w:val="right"/>
                    <w:rPr/>
                  </w:pPr>
                  <w:r>
                    <w:rPr>
                      <w:spacing w:val="-24"/>
                      <w:w w:val="94"/>
                    </w:rPr>
                    <w:t>沟金</w:t>
                  </w:r>
                  <w:r>
                    <w:rPr>
                      <w:spacing w:val="-23"/>
                      <w:w w:val="94"/>
                    </w:rPr>
                    <w:t>针</w:t>
                  </w:r>
                  <w:r>
                    <w:rPr>
                      <w:spacing w:val="-17"/>
                      <w:w w:val="94"/>
                    </w:rPr>
                    <w:t>虫</w:t>
                  </w:r>
                </w:p>
              </w:txbxContent>
            </v:textbox>
          </v:shape>
        </w:pict>
      </w:r>
      <w:r>
        <w:drawing>
          <wp:anchor distT="0" distB="0" distL="0" distR="0" simplePos="0" relativeHeight="252190720" behindDoc="0" locked="0" layoutInCell="1" allowOverlap="1">
            <wp:simplePos x="0" y="0"/>
            <wp:positionH relativeFrom="column">
              <wp:posOffset>3384551</wp:posOffset>
            </wp:positionH>
            <wp:positionV relativeFrom="paragraph">
              <wp:posOffset>848</wp:posOffset>
            </wp:positionV>
            <wp:extent cx="2343164" cy="3060614"/>
            <wp:effectExtent l="0" t="0" r="0" b="0"/>
            <wp:wrapNone/>
            <wp:docPr id="560" name="IM 560"/>
            <wp:cNvGraphicFramePr/>
            <a:graphic>
              <a:graphicData uri="http://schemas.openxmlformats.org/drawingml/2006/picture">
                <pic:pic>
                  <pic:nvPicPr>
                    <pic:cNvPr id="560" name="IM 560"/>
                    <pic:cNvPicPr/>
                  </pic:nvPicPr>
                  <pic:blipFill>
                    <a:blip r:embed="rId400"/>
                    <a:stretch>
                      <a:fillRect/>
                    </a:stretch>
                  </pic:blipFill>
                  <pic:spPr>
                    <a:xfrm rot="0">
                      <a:off x="0" y="0"/>
                      <a:ext cx="2343164" cy="3060614"/>
                    </a:xfrm>
                    <a:prstGeom prst="rect">
                      <a:avLst/>
                    </a:prstGeom>
                  </pic:spPr>
                </pic:pic>
              </a:graphicData>
            </a:graphic>
          </wp:anchor>
        </w:drawing>
      </w: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ict>
          <v:shape id="_x0000_s48" style="position:absolute;margin-left:228.469pt;margin-top:12.8777pt;mso-position-vertical-relative:text;mso-position-horizontal-relative:text;width:11.3pt;height:19pt;z-index:252193792;" filled="false" stroked="false" type="#_x0000_t202">
            <v:fill on="false"/>
            <v:stroke on="false"/>
            <v:path/>
            <v:imagedata o:title=""/>
            <o:lock v:ext="edit" aspectratio="false"/>
            <v:textbox inset="0mm,0mm,0mm,0mm" style="layout-flow:vertical-ideographic;">
              <w:txbxContent>
                <w:p>
                  <w:pPr>
                    <w:pStyle w:val="BodyText"/>
                    <w:ind w:left="20"/>
                    <w:spacing w:before="19" w:line="196" w:lineRule="auto"/>
                    <w:rPr>
                      <w:sz w:val="17"/>
                      <w:szCs w:val="17"/>
                    </w:rPr>
                  </w:pPr>
                  <w:r>
                    <w:rPr>
                      <w:sz w:val="17"/>
                      <w:szCs w:val="17"/>
                    </w:rPr>
                    <w:t>幼虽</w:t>
                  </w:r>
                </w:p>
              </w:txbxContent>
            </v:textbox>
          </v:shape>
        </w:pict>
      </w: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pStyle w:val="BodyText"/>
        <w:spacing w:before="94" w:line="221" w:lineRule="auto"/>
        <w:rPr>
          <w:rFonts w:ascii="SimHei" w:hAnsi="SimHei" w:eastAsia="SimHei" w:cs="SimHei"/>
          <w:sz w:val="29"/>
          <w:szCs w:val="29"/>
        </w:rPr>
      </w:pPr>
      <w:r>
        <w:drawing>
          <wp:anchor distT="0" distB="0" distL="0" distR="0" simplePos="0" relativeHeight="252189696" behindDoc="1" locked="0" layoutInCell="1" allowOverlap="1">
            <wp:simplePos x="0" y="0"/>
            <wp:positionH relativeFrom="column">
              <wp:posOffset>952503</wp:posOffset>
            </wp:positionH>
            <wp:positionV relativeFrom="paragraph">
              <wp:posOffset>-1813010</wp:posOffset>
            </wp:positionV>
            <wp:extent cx="1930401" cy="2870187"/>
            <wp:effectExtent l="0" t="0" r="0" b="0"/>
            <wp:wrapNone/>
            <wp:docPr id="562" name="IM 562"/>
            <wp:cNvGraphicFramePr/>
            <a:graphic>
              <a:graphicData uri="http://schemas.openxmlformats.org/drawingml/2006/picture">
                <pic:pic>
                  <pic:nvPicPr>
                    <pic:cNvPr id="562" name="IM 562"/>
                    <pic:cNvPicPr/>
                  </pic:nvPicPr>
                  <pic:blipFill>
                    <a:blip r:embed="rId401"/>
                    <a:stretch>
                      <a:fillRect/>
                    </a:stretch>
                  </pic:blipFill>
                  <pic:spPr>
                    <a:xfrm rot="0">
                      <a:off x="0" y="0"/>
                      <a:ext cx="1930401" cy="2870187"/>
                    </a:xfrm>
                    <a:prstGeom prst="rect">
                      <a:avLst/>
                    </a:prstGeom>
                  </pic:spPr>
                </pic:pic>
              </a:graphicData>
            </a:graphic>
          </wp:anchor>
        </w:drawing>
      </w: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细胸金针虫</w:t>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2051"/>
        <w:spacing w:before="36" w:line="238" w:lineRule="auto"/>
        <w:rPr>
          <w:rFonts w:ascii="STXingkai" w:hAnsi="STXingkai" w:eastAsia="STXingkai" w:cs="STXingkai"/>
          <w:sz w:val="10"/>
          <w:szCs w:val="10"/>
        </w:rPr>
      </w:pPr>
      <w:r>
        <w:rPr>
          <w:rFonts w:ascii="KaiTi" w:hAnsi="KaiTi" w:eastAsia="KaiTi" w:cs="KaiTi"/>
          <w:sz w:val="11"/>
          <w:szCs w:val="11"/>
          <w:b/>
          <w:bCs/>
          <w:color w:val="B02030"/>
          <w:spacing w:val="1"/>
          <w:position w:val="2"/>
        </w:rPr>
        <w:t>雄成痂</w:t>
      </w:r>
      <w:r>
        <w:rPr>
          <w:rFonts w:ascii="KaiTi" w:hAnsi="KaiTi" w:eastAsia="KaiTi" w:cs="KaiTi"/>
          <w:sz w:val="11"/>
          <w:szCs w:val="11"/>
          <w:color w:val="B02030"/>
          <w:position w:val="2"/>
        </w:rPr>
        <w:t xml:space="preserve">                      </w:t>
      </w:r>
      <w:r>
        <w:rPr>
          <w:rFonts w:ascii="STXingkai" w:hAnsi="STXingkai" w:eastAsia="STXingkai" w:cs="STXingkai"/>
          <w:sz w:val="10"/>
          <w:szCs w:val="10"/>
          <w:color w:val="D01020"/>
          <w:spacing w:val="1"/>
          <w:position w:val="-2"/>
        </w:rPr>
        <w:t>雌   成</w:t>
      </w:r>
      <w:r>
        <w:rPr>
          <w:rFonts w:ascii="STXingkai" w:hAnsi="STXingkai" w:eastAsia="STXingkai" w:cs="STXingkai"/>
          <w:sz w:val="10"/>
          <w:szCs w:val="10"/>
          <w:color w:val="D01020"/>
          <w:spacing w:val="10"/>
          <w:position w:val="-2"/>
        </w:rPr>
        <w:t xml:space="preserve">   </w:t>
      </w:r>
      <w:r>
        <w:rPr>
          <w:rFonts w:ascii="STXingkai" w:hAnsi="STXingkai" w:eastAsia="STXingkai" w:cs="STXingkai"/>
          <w:sz w:val="10"/>
          <w:szCs w:val="10"/>
          <w:color w:val="D01020"/>
          <w:spacing w:val="1"/>
          <w:position w:val="-2"/>
        </w:rPr>
        <w:t>虫</w:t>
      </w:r>
    </w:p>
    <w:p>
      <w:pPr>
        <w:pStyle w:val="BodyText"/>
        <w:ind w:left="3780"/>
        <w:spacing w:before="93" w:line="220" w:lineRule="auto"/>
        <w:rPr>
          <w:sz w:val="27"/>
          <w:szCs w:val="27"/>
        </w:rPr>
      </w:pPr>
      <w:r>
        <w:drawing>
          <wp:anchor distT="0" distB="0" distL="0" distR="0" simplePos="0" relativeHeight="252191744" behindDoc="0" locked="0" layoutInCell="1" allowOverlap="1">
            <wp:simplePos x="0" y="0"/>
            <wp:positionH relativeFrom="column">
              <wp:posOffset>3644851</wp:posOffset>
            </wp:positionH>
            <wp:positionV relativeFrom="paragraph">
              <wp:posOffset>261341</wp:posOffset>
            </wp:positionV>
            <wp:extent cx="2038422" cy="1562153"/>
            <wp:effectExtent l="0" t="0" r="0" b="0"/>
            <wp:wrapNone/>
            <wp:docPr id="564" name="IM 564"/>
            <wp:cNvGraphicFramePr/>
            <a:graphic>
              <a:graphicData uri="http://schemas.openxmlformats.org/drawingml/2006/picture">
                <pic:pic>
                  <pic:nvPicPr>
                    <pic:cNvPr id="564" name="IM 564"/>
                    <pic:cNvPicPr/>
                  </pic:nvPicPr>
                  <pic:blipFill>
                    <a:blip r:embed="rId402"/>
                    <a:stretch>
                      <a:fillRect/>
                    </a:stretch>
                  </pic:blipFill>
                  <pic:spPr>
                    <a:xfrm rot="0">
                      <a:off x="0" y="0"/>
                      <a:ext cx="2038422" cy="1562153"/>
                    </a:xfrm>
                    <a:prstGeom prst="rect">
                      <a:avLst/>
                    </a:prstGeom>
                  </pic:spPr>
                </pic:pic>
              </a:graphicData>
            </a:graphic>
          </wp:anchor>
        </w:drawing>
      </w:r>
      <w:r>
        <w:rPr>
          <w:sz w:val="27"/>
          <w:szCs w:val="27"/>
          <w:spacing w:val="-17"/>
        </w:rPr>
        <w:t>图6-2-39沟金针虫危害</w:t>
      </w:r>
    </w:p>
    <w:p>
      <w:pPr>
        <w:ind w:firstLine="1310"/>
        <w:spacing w:before="7" w:line="2530" w:lineRule="exact"/>
        <w:rPr/>
      </w:pPr>
      <w:r>
        <w:rPr>
          <w:position w:val="-50"/>
        </w:rPr>
        <w:drawing>
          <wp:inline distT="0" distB="0" distL="0" distR="0">
            <wp:extent cx="2571721" cy="1606478"/>
            <wp:effectExtent l="0" t="0" r="0" b="0"/>
            <wp:docPr id="566" name="IM 566"/>
            <wp:cNvGraphicFramePr/>
            <a:graphic>
              <a:graphicData uri="http://schemas.openxmlformats.org/drawingml/2006/picture">
                <pic:pic>
                  <pic:nvPicPr>
                    <pic:cNvPr id="566" name="IM 566"/>
                    <pic:cNvPicPr/>
                  </pic:nvPicPr>
                  <pic:blipFill>
                    <a:blip r:embed="rId403"/>
                    <a:stretch>
                      <a:fillRect/>
                    </a:stretch>
                  </pic:blipFill>
                  <pic:spPr>
                    <a:xfrm rot="0">
                      <a:off x="0" y="0"/>
                      <a:ext cx="2571721" cy="1606478"/>
                    </a:xfrm>
                    <a:prstGeom prst="rect">
                      <a:avLst/>
                    </a:prstGeom>
                  </pic:spPr>
                </pic:pic>
              </a:graphicData>
            </a:graphic>
          </wp:inline>
        </w:drawing>
      </w:r>
    </w:p>
    <w:p>
      <w:pPr>
        <w:pStyle w:val="BodyText"/>
        <w:ind w:left="3349"/>
        <w:spacing w:before="70" w:line="219" w:lineRule="auto"/>
        <w:rPr>
          <w:sz w:val="24"/>
          <w:szCs w:val="24"/>
        </w:rPr>
      </w:pPr>
      <w:r>
        <w:rPr>
          <w:sz w:val="24"/>
          <w:szCs w:val="24"/>
          <w:spacing w:val="7"/>
        </w:rPr>
        <w:t>图6-2-40细胸金针虫幼虫、成虫</w:t>
      </w:r>
    </w:p>
    <w:p>
      <w:pPr>
        <w:pStyle w:val="BodyText"/>
        <w:ind w:left="600"/>
        <w:spacing w:before="165" w:line="219" w:lineRule="auto"/>
        <w:rPr>
          <w:sz w:val="29"/>
          <w:szCs w:val="29"/>
        </w:rPr>
      </w:pPr>
      <w:r>
        <w:rPr>
          <w:sz w:val="29"/>
          <w:szCs w:val="29"/>
          <w:spacing w:val="5"/>
        </w:rPr>
        <w:t>1)危害植物：桔梗、菊花、白芍、麦冬等多种园林植物</w:t>
      </w:r>
      <w:r>
        <w:rPr>
          <w:sz w:val="29"/>
          <w:szCs w:val="29"/>
          <w:spacing w:val="4"/>
        </w:rPr>
        <w:t>的花木及草坪；</w:t>
      </w:r>
    </w:p>
    <w:p>
      <w:pPr>
        <w:pStyle w:val="BodyText"/>
        <w:ind w:left="600"/>
        <w:spacing w:before="138" w:line="219" w:lineRule="auto"/>
        <w:rPr>
          <w:sz w:val="29"/>
          <w:szCs w:val="29"/>
        </w:rPr>
      </w:pPr>
      <w:r>
        <w:rPr>
          <w:sz w:val="29"/>
          <w:szCs w:val="29"/>
          <w:spacing w:val="8"/>
        </w:rPr>
        <w:t>2)发病时期：4—10月均可发生；</w:t>
      </w:r>
    </w:p>
    <w:p>
      <w:pPr>
        <w:pStyle w:val="BodyText"/>
        <w:ind w:right="121" w:firstLine="600"/>
        <w:spacing w:before="145" w:line="269" w:lineRule="auto"/>
        <w:rPr>
          <w:sz w:val="29"/>
          <w:szCs w:val="29"/>
        </w:rPr>
      </w:pPr>
      <w:r>
        <w:rPr>
          <w:sz w:val="29"/>
          <w:szCs w:val="29"/>
          <w:spacing w:val="5"/>
        </w:rPr>
        <w:t>3)分布省份：黑龙江、吉林、内蒙古、河北、陕西、宁夏、甘肃、陕西、</w:t>
      </w:r>
      <w:r>
        <w:rPr>
          <w:sz w:val="29"/>
          <w:szCs w:val="29"/>
          <w:spacing w:val="9"/>
        </w:rPr>
        <w:t xml:space="preserve"> </w:t>
      </w:r>
      <w:r>
        <w:rPr>
          <w:sz w:val="29"/>
          <w:szCs w:val="29"/>
          <w:spacing w:val="-2"/>
        </w:rPr>
        <w:t>河南、山东等省区；</w:t>
      </w:r>
    </w:p>
    <w:p>
      <w:pPr>
        <w:pStyle w:val="BodyText"/>
        <w:ind w:right="7" w:firstLine="600"/>
        <w:spacing w:before="133" w:line="280" w:lineRule="auto"/>
        <w:rPr>
          <w:sz w:val="29"/>
          <w:szCs w:val="29"/>
        </w:rPr>
      </w:pPr>
      <w:r>
        <w:rPr>
          <w:sz w:val="29"/>
          <w:szCs w:val="29"/>
          <w:spacing w:val="13"/>
        </w:rPr>
        <w:t>4)表现症状：幼虫生活在土壤中，咬食苗木嫩茎、嫩根</w:t>
      </w:r>
      <w:r>
        <w:rPr>
          <w:sz w:val="29"/>
          <w:szCs w:val="29"/>
          <w:spacing w:val="12"/>
        </w:rPr>
        <w:t>(缺刻),幼苗受害</w:t>
      </w:r>
      <w:r>
        <w:rPr>
          <w:sz w:val="29"/>
          <w:szCs w:val="29"/>
        </w:rPr>
        <w:t xml:space="preserve"> </w:t>
      </w:r>
      <w:r>
        <w:rPr>
          <w:sz w:val="29"/>
          <w:szCs w:val="29"/>
          <w:spacing w:val="-9"/>
        </w:rPr>
        <w:t>后渐枯；成虫夜晚取食，取食叶肉幼嫩组织，尤喜吮食折断麦茎或其它禾本科杂草</w:t>
      </w:r>
      <w:r>
        <w:rPr>
          <w:sz w:val="29"/>
          <w:szCs w:val="29"/>
          <w:spacing w:val="16"/>
        </w:rPr>
        <w:t xml:space="preserve"> </w:t>
      </w:r>
      <w:r>
        <w:rPr>
          <w:sz w:val="29"/>
          <w:szCs w:val="29"/>
          <w:spacing w:val="-1"/>
        </w:rPr>
        <w:t>茎秆中的汁液，但食量甚小。</w:t>
      </w:r>
    </w:p>
    <w:p>
      <w:pPr>
        <w:pStyle w:val="BodyText"/>
        <w:ind w:left="600"/>
        <w:spacing w:before="159" w:line="395" w:lineRule="exact"/>
        <w:rPr>
          <w:rFonts w:ascii="SimHei" w:hAnsi="SimHei" w:eastAsia="SimHei" w:cs="SimHei"/>
          <w:sz w:val="29"/>
          <w:szCs w:val="29"/>
        </w:rPr>
      </w:pPr>
      <w:r>
        <w:rPr>
          <w:rFonts w:ascii="Arial" w:hAnsi="Arial" w:eastAsia="Arial" w:cs="Arial"/>
          <w:sz w:val="29"/>
          <w:szCs w:val="29"/>
          <w:position w:val="1"/>
        </w:rPr>
        <w:t>3</w:t>
      </w:r>
      <w:r>
        <w:rPr>
          <w:sz w:val="29"/>
          <w:szCs w:val="29"/>
          <w:position w:val="1"/>
        </w:rPr>
        <w:t>、</w:t>
      </w:r>
      <w:r>
        <w:rPr>
          <w:rFonts w:ascii="SimHei" w:hAnsi="SimHei" w:eastAsia="SimHei" w:cs="SimHei"/>
          <w:sz w:val="29"/>
          <w:szCs w:val="29"/>
          <w:position w:val="1"/>
        </w:rPr>
        <w:t>防治方法</w:t>
      </w:r>
    </w:p>
    <w:p>
      <w:pPr>
        <w:pStyle w:val="BodyText"/>
        <w:ind w:left="600"/>
        <w:spacing w:before="88" w:line="219" w:lineRule="auto"/>
        <w:rPr>
          <w:sz w:val="29"/>
          <w:szCs w:val="29"/>
        </w:rPr>
      </w:pPr>
      <w:r>
        <w:rPr>
          <w:sz w:val="29"/>
          <w:szCs w:val="29"/>
          <w:spacing w:val="5"/>
        </w:rPr>
        <w:t>沟施或穴施50%辛硫磷乳油1000倍液喷</w:t>
      </w:r>
      <w:r>
        <w:rPr>
          <w:sz w:val="29"/>
          <w:szCs w:val="29"/>
          <w:spacing w:val="4"/>
        </w:rPr>
        <w:t>浇苗间及根际附近的土壤。</w:t>
      </w:r>
    </w:p>
    <w:p>
      <w:pPr>
        <w:ind w:left="129"/>
        <w:spacing w:before="227" w:line="222" w:lineRule="auto"/>
        <w:outlineLvl w:val="2"/>
        <w:rPr>
          <w:rFonts w:ascii="SimHei" w:hAnsi="SimHei" w:eastAsia="SimHei" w:cs="SimHei"/>
          <w:sz w:val="29"/>
          <w:szCs w:val="29"/>
        </w:rPr>
      </w:pPr>
      <w:bookmarkStart w:name="bookmark46" w:id="80"/>
      <w:bookmarkEnd w:id="80"/>
      <w:r>
        <w:rPr>
          <w:rFonts w:ascii="SimHei" w:hAnsi="SimHei" w:eastAsia="SimHei" w:cs="SimHei"/>
          <w:sz w:val="29"/>
          <w:szCs w:val="29"/>
          <w:spacing w:val="31"/>
        </w:rPr>
        <w:t>(六)食叶害虫</w:t>
      </w:r>
    </w:p>
    <w:p>
      <w:pPr>
        <w:spacing w:before="139" w:line="221" w:lineRule="auto"/>
        <w:rPr>
          <w:rFonts w:ascii="SimHei" w:hAnsi="SimHei" w:eastAsia="SimHei" w:cs="SimHei"/>
          <w:sz w:val="28"/>
          <w:szCs w:val="28"/>
        </w:rPr>
      </w:pPr>
      <w:r>
        <w:rPr>
          <w:rFonts w:ascii="SimHei" w:hAnsi="SimHei" w:eastAsia="SimHei" w:cs="SimHei"/>
          <w:sz w:val="28"/>
          <w:szCs w:val="28"/>
          <w:spacing w:val="9"/>
        </w:rPr>
        <w:t>1、刺蛾类</w:t>
      </w:r>
    </w:p>
    <w:p>
      <w:pPr>
        <w:spacing w:line="221" w:lineRule="auto"/>
        <w:sectPr>
          <w:footerReference w:type="default" r:id="rId399"/>
          <w:pgSz w:w="14490" w:h="20470"/>
          <w:pgMar w:top="400" w:right="2173" w:bottom="1413" w:left="2140" w:header="0" w:footer="1214" w:gutter="0"/>
        </w:sectPr>
        <w:rPr>
          <w:rFonts w:ascii="SimHei" w:hAnsi="SimHei" w:eastAsia="SimHei" w:cs="SimHei"/>
          <w:sz w:val="28"/>
          <w:szCs w:val="28"/>
        </w:rPr>
      </w:pP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ind w:left="574"/>
        <w:spacing w:before="94" w:line="222" w:lineRule="auto"/>
        <w:rPr>
          <w:rFonts w:ascii="SimHei" w:hAnsi="SimHei" w:eastAsia="SimHei" w:cs="SimHei"/>
          <w:sz w:val="29"/>
          <w:szCs w:val="29"/>
        </w:rPr>
      </w:pPr>
      <w:r>
        <w:drawing>
          <wp:anchor distT="0" distB="0" distL="0" distR="0" simplePos="0" relativeHeight="252199936" behindDoc="0" locked="0" layoutInCell="1" allowOverlap="1">
            <wp:simplePos x="0" y="0"/>
            <wp:positionH relativeFrom="column">
              <wp:posOffset>2984484</wp:posOffset>
            </wp:positionH>
            <wp:positionV relativeFrom="paragraph">
              <wp:posOffset>278041</wp:posOffset>
            </wp:positionV>
            <wp:extent cx="1092176" cy="1358987"/>
            <wp:effectExtent l="0" t="0" r="0" b="0"/>
            <wp:wrapNone/>
            <wp:docPr id="568" name="IM 568"/>
            <wp:cNvGraphicFramePr/>
            <a:graphic>
              <a:graphicData uri="http://schemas.openxmlformats.org/drawingml/2006/picture">
                <pic:pic>
                  <pic:nvPicPr>
                    <pic:cNvPr id="568" name="IM 568"/>
                    <pic:cNvPicPr/>
                  </pic:nvPicPr>
                  <pic:blipFill>
                    <a:blip r:embed="rId405"/>
                    <a:stretch>
                      <a:fillRect/>
                    </a:stretch>
                  </pic:blipFill>
                  <pic:spPr>
                    <a:xfrm rot="0">
                      <a:off x="0" y="0"/>
                      <a:ext cx="1092176" cy="1358987"/>
                    </a:xfrm>
                    <a:prstGeom prst="rect">
                      <a:avLst/>
                    </a:prstGeom>
                  </pic:spPr>
                </pic:pic>
              </a:graphicData>
            </a:graphic>
          </wp:anchor>
        </w:drawing>
      </w:r>
      <w:r>
        <w:rPr>
          <w:rFonts w:ascii="SimHei" w:hAnsi="SimHei" w:eastAsia="SimHei" w:cs="SimHei"/>
          <w:sz w:val="29"/>
          <w:szCs w:val="29"/>
          <w:b/>
          <w:bCs/>
          <w:spacing w:val="27"/>
        </w:rPr>
        <w:t>1)黄刺蛾</w:t>
      </w:r>
    </w:p>
    <w:p>
      <w:pPr>
        <w:ind w:firstLine="1330"/>
        <w:spacing w:before="5" w:line="2120" w:lineRule="exact"/>
        <w:rPr/>
      </w:pPr>
      <w:r>
        <w:drawing>
          <wp:anchor distT="0" distB="0" distL="0" distR="0" simplePos="0" relativeHeight="252198912" behindDoc="0" locked="0" layoutInCell="1" allowOverlap="1">
            <wp:simplePos x="0" y="0"/>
            <wp:positionH relativeFrom="column">
              <wp:posOffset>4425937</wp:posOffset>
            </wp:positionH>
            <wp:positionV relativeFrom="paragraph">
              <wp:posOffset>9784</wp:posOffset>
            </wp:positionV>
            <wp:extent cx="1619218" cy="1314403"/>
            <wp:effectExtent l="0" t="0" r="0" b="0"/>
            <wp:wrapNone/>
            <wp:docPr id="570" name="IM 570"/>
            <wp:cNvGraphicFramePr/>
            <a:graphic>
              <a:graphicData uri="http://schemas.openxmlformats.org/drawingml/2006/picture">
                <pic:pic>
                  <pic:nvPicPr>
                    <pic:cNvPr id="570" name="IM 570"/>
                    <pic:cNvPicPr/>
                  </pic:nvPicPr>
                  <pic:blipFill>
                    <a:blip r:embed="rId406"/>
                    <a:stretch>
                      <a:fillRect/>
                    </a:stretch>
                  </pic:blipFill>
                  <pic:spPr>
                    <a:xfrm rot="0">
                      <a:off x="0" y="0"/>
                      <a:ext cx="1619218" cy="1314403"/>
                    </a:xfrm>
                    <a:prstGeom prst="rect">
                      <a:avLst/>
                    </a:prstGeom>
                  </pic:spPr>
                </pic:pic>
              </a:graphicData>
            </a:graphic>
          </wp:anchor>
        </w:drawing>
      </w:r>
      <w:r>
        <w:rPr>
          <w:position w:val="-42"/>
        </w:rPr>
        <w:drawing>
          <wp:inline distT="0" distB="0" distL="0" distR="0">
            <wp:extent cx="1803333" cy="1346248"/>
            <wp:effectExtent l="0" t="0" r="0" b="0"/>
            <wp:docPr id="572" name="IM 572"/>
            <wp:cNvGraphicFramePr/>
            <a:graphic>
              <a:graphicData uri="http://schemas.openxmlformats.org/drawingml/2006/picture">
                <pic:pic>
                  <pic:nvPicPr>
                    <pic:cNvPr id="572" name="IM 572"/>
                    <pic:cNvPicPr/>
                  </pic:nvPicPr>
                  <pic:blipFill>
                    <a:blip r:embed="rId407"/>
                    <a:stretch>
                      <a:fillRect/>
                    </a:stretch>
                  </pic:blipFill>
                  <pic:spPr>
                    <a:xfrm rot="0">
                      <a:off x="0" y="0"/>
                      <a:ext cx="1803333" cy="1346248"/>
                    </a:xfrm>
                    <a:prstGeom prst="rect">
                      <a:avLst/>
                    </a:prstGeom>
                  </pic:spPr>
                </pic:pic>
              </a:graphicData>
            </a:graphic>
          </wp:inline>
        </w:drawing>
      </w:r>
    </w:p>
    <w:p>
      <w:pPr>
        <w:pStyle w:val="BodyText"/>
        <w:ind w:left="3359"/>
        <w:spacing w:before="40" w:line="219" w:lineRule="auto"/>
        <w:rPr>
          <w:sz w:val="24"/>
          <w:szCs w:val="24"/>
        </w:rPr>
      </w:pPr>
      <w:r>
        <w:rPr>
          <w:sz w:val="24"/>
          <w:szCs w:val="24"/>
          <w:spacing w:val="7"/>
        </w:rPr>
        <w:t>图6-2-41黄刺蛾幼虫、茧、成虫</w:t>
      </w:r>
    </w:p>
    <w:p>
      <w:pPr>
        <w:pStyle w:val="BodyText"/>
        <w:ind w:firstLine="730"/>
        <w:spacing w:before="144" w:line="260" w:lineRule="auto"/>
        <w:rPr>
          <w:sz w:val="29"/>
          <w:szCs w:val="29"/>
        </w:rPr>
      </w:pPr>
      <w:r>
        <w:rPr>
          <w:sz w:val="29"/>
          <w:szCs w:val="29"/>
          <w:spacing w:val="-9"/>
        </w:rPr>
        <w:t>(1)危害植物：枫杨、杨、榆、梧桐、油桐、乌柏、楝、栎、</w:t>
      </w:r>
      <w:r>
        <w:rPr>
          <w:sz w:val="29"/>
          <w:szCs w:val="29"/>
          <w:spacing w:val="-10"/>
        </w:rPr>
        <w:t>紫荆、刺槐、桑、</w:t>
      </w:r>
      <w:r>
        <w:rPr>
          <w:sz w:val="29"/>
          <w:szCs w:val="29"/>
        </w:rPr>
        <w:t xml:space="preserve"> </w:t>
      </w:r>
      <w:r>
        <w:rPr>
          <w:sz w:val="29"/>
          <w:szCs w:val="29"/>
          <w:spacing w:val="-19"/>
        </w:rPr>
        <w:t>茶等；</w:t>
      </w:r>
    </w:p>
    <w:p>
      <w:pPr>
        <w:pStyle w:val="BodyText"/>
        <w:ind w:left="730"/>
        <w:spacing w:before="185" w:line="219" w:lineRule="auto"/>
        <w:rPr>
          <w:sz w:val="29"/>
          <w:szCs w:val="29"/>
        </w:rPr>
      </w:pPr>
      <w:r>
        <w:rPr>
          <w:sz w:val="29"/>
          <w:szCs w:val="29"/>
          <w:spacing w:val="3"/>
        </w:rPr>
        <w:t>(2)发病时期：年发生1—2代，6月上旬幼虫出现始害，7—9月为害最重；</w:t>
      </w:r>
    </w:p>
    <w:p>
      <w:pPr>
        <w:pStyle w:val="BodyText"/>
        <w:ind w:left="730"/>
        <w:spacing w:before="124" w:line="219" w:lineRule="auto"/>
        <w:rPr>
          <w:sz w:val="29"/>
          <w:szCs w:val="29"/>
        </w:rPr>
      </w:pPr>
      <w:r>
        <w:rPr>
          <w:sz w:val="29"/>
          <w:szCs w:val="29"/>
          <w:spacing w:val="6"/>
        </w:rPr>
        <w:t>(3)分布省份：除宁夏、新疆、贵州、西藏外的全</w:t>
      </w:r>
      <w:r>
        <w:rPr>
          <w:sz w:val="29"/>
          <w:szCs w:val="29"/>
          <w:spacing w:val="5"/>
        </w:rPr>
        <w:t>国各地；</w:t>
      </w:r>
    </w:p>
    <w:p>
      <w:pPr>
        <w:pStyle w:val="BodyText"/>
        <w:ind w:left="730"/>
        <w:spacing w:before="158" w:line="219" w:lineRule="auto"/>
        <w:rPr>
          <w:sz w:val="29"/>
          <w:szCs w:val="29"/>
        </w:rPr>
      </w:pPr>
      <w:r>
        <w:rPr>
          <w:sz w:val="29"/>
          <w:szCs w:val="29"/>
          <w:spacing w:val="6"/>
        </w:rPr>
        <w:t>(4)表现症状：初孵幼虫取食后呈透明小斑，4龄孔洞，5龄后仅留叶脉。</w:t>
      </w:r>
    </w:p>
    <w:p>
      <w:pPr>
        <w:ind w:left="574"/>
        <w:spacing w:before="99" w:line="221" w:lineRule="auto"/>
        <w:rPr>
          <w:rFonts w:ascii="SimHei" w:hAnsi="SimHei" w:eastAsia="SimHei" w:cs="SimHei"/>
          <w:sz w:val="29"/>
          <w:szCs w:val="29"/>
        </w:rPr>
      </w:pPr>
      <w:r>
        <w:drawing>
          <wp:anchor distT="0" distB="0" distL="0" distR="0" simplePos="0" relativeHeight="252195840" behindDoc="0" locked="0" layoutInCell="1" allowOverlap="1">
            <wp:simplePos x="0" y="0"/>
            <wp:positionH relativeFrom="column">
              <wp:posOffset>2838462</wp:posOffset>
            </wp:positionH>
            <wp:positionV relativeFrom="paragraph">
              <wp:posOffset>332594</wp:posOffset>
            </wp:positionV>
            <wp:extent cx="3035275" cy="1365226"/>
            <wp:effectExtent l="0" t="0" r="0" b="0"/>
            <wp:wrapNone/>
            <wp:docPr id="574" name="IM 574"/>
            <wp:cNvGraphicFramePr/>
            <a:graphic>
              <a:graphicData uri="http://schemas.openxmlformats.org/drawingml/2006/picture">
                <pic:pic>
                  <pic:nvPicPr>
                    <pic:cNvPr id="574" name="IM 574"/>
                    <pic:cNvPicPr/>
                  </pic:nvPicPr>
                  <pic:blipFill>
                    <a:blip r:embed="rId408"/>
                    <a:stretch>
                      <a:fillRect/>
                    </a:stretch>
                  </pic:blipFill>
                  <pic:spPr>
                    <a:xfrm rot="0">
                      <a:off x="0" y="0"/>
                      <a:ext cx="3035275" cy="1365226"/>
                    </a:xfrm>
                    <a:prstGeom prst="rect">
                      <a:avLst/>
                    </a:prstGeom>
                  </pic:spPr>
                </pic:pic>
              </a:graphicData>
            </a:graphic>
          </wp:anchor>
        </w:drawing>
      </w:r>
      <w:r>
        <w:rPr>
          <w:rFonts w:ascii="SimHei" w:hAnsi="SimHei" w:eastAsia="SimHei" w:cs="SimHei"/>
          <w:sz w:val="29"/>
          <w:szCs w:val="29"/>
          <w:b/>
          <w:bCs/>
          <w:spacing w:val="27"/>
        </w:rPr>
        <w:t>2)扁刺蛾</w:t>
      </w:r>
    </w:p>
    <w:p>
      <w:pPr>
        <w:ind w:firstLine="1300"/>
        <w:spacing w:before="88" w:line="2110" w:lineRule="exact"/>
        <w:rPr/>
      </w:pPr>
      <w:r>
        <w:rPr>
          <w:position w:val="-42"/>
        </w:rPr>
        <w:drawing>
          <wp:inline distT="0" distB="0" distL="0" distR="0">
            <wp:extent cx="1816031" cy="1339750"/>
            <wp:effectExtent l="0" t="0" r="0" b="0"/>
            <wp:docPr id="576" name="IM 576"/>
            <wp:cNvGraphicFramePr/>
            <a:graphic>
              <a:graphicData uri="http://schemas.openxmlformats.org/drawingml/2006/picture">
                <pic:pic>
                  <pic:nvPicPr>
                    <pic:cNvPr id="576" name="IM 576"/>
                    <pic:cNvPicPr/>
                  </pic:nvPicPr>
                  <pic:blipFill>
                    <a:blip r:embed="rId409"/>
                    <a:stretch>
                      <a:fillRect/>
                    </a:stretch>
                  </pic:blipFill>
                  <pic:spPr>
                    <a:xfrm rot="0">
                      <a:off x="0" y="0"/>
                      <a:ext cx="1816031" cy="1339750"/>
                    </a:xfrm>
                    <a:prstGeom prst="rect">
                      <a:avLst/>
                    </a:prstGeom>
                  </pic:spPr>
                </pic:pic>
              </a:graphicData>
            </a:graphic>
          </wp:inline>
        </w:drawing>
      </w:r>
    </w:p>
    <w:p>
      <w:pPr>
        <w:pStyle w:val="BodyText"/>
        <w:ind w:left="3359"/>
        <w:spacing w:before="190" w:line="219" w:lineRule="auto"/>
        <w:rPr>
          <w:sz w:val="24"/>
          <w:szCs w:val="24"/>
        </w:rPr>
      </w:pPr>
      <w:r>
        <w:rPr>
          <w:sz w:val="24"/>
          <w:szCs w:val="24"/>
          <w:spacing w:val="7"/>
        </w:rPr>
        <w:t>图6-2-42扁刺蛾幼虫、茧、成虫</w:t>
      </w:r>
    </w:p>
    <w:p>
      <w:pPr>
        <w:pStyle w:val="BodyText"/>
        <w:ind w:right="268" w:firstLine="730"/>
        <w:spacing w:before="158" w:line="262" w:lineRule="auto"/>
        <w:rPr>
          <w:sz w:val="29"/>
          <w:szCs w:val="29"/>
        </w:rPr>
      </w:pPr>
      <w:r>
        <w:rPr>
          <w:sz w:val="29"/>
          <w:szCs w:val="29"/>
          <w:spacing w:val="-9"/>
        </w:rPr>
        <w:t>(1)危害植物：山茶、海棠、月季、悬铃木、广玉兰、槐树、梧桐、枫杨、白</w:t>
      </w:r>
      <w:r>
        <w:rPr>
          <w:sz w:val="29"/>
          <w:szCs w:val="29"/>
          <w:spacing w:val="5"/>
        </w:rPr>
        <w:t xml:space="preserve"> </w:t>
      </w:r>
      <w:r>
        <w:rPr>
          <w:sz w:val="29"/>
          <w:szCs w:val="29"/>
          <w:spacing w:val="-12"/>
        </w:rPr>
        <w:t>杨、泡桐等；</w:t>
      </w:r>
    </w:p>
    <w:p>
      <w:pPr>
        <w:pStyle w:val="BodyText"/>
        <w:ind w:left="730"/>
        <w:spacing w:before="156" w:line="219" w:lineRule="auto"/>
        <w:rPr>
          <w:sz w:val="29"/>
          <w:szCs w:val="29"/>
        </w:rPr>
      </w:pPr>
      <w:r>
        <w:rPr>
          <w:sz w:val="29"/>
          <w:szCs w:val="29"/>
          <w:spacing w:val="6"/>
        </w:rPr>
        <w:t>(2)发病时期：6月上旬幼虫出现始害，6、8月为害最重；</w:t>
      </w:r>
    </w:p>
    <w:p>
      <w:pPr>
        <w:pStyle w:val="BodyText"/>
        <w:ind w:left="730"/>
        <w:spacing w:before="134" w:line="219" w:lineRule="auto"/>
        <w:rPr>
          <w:sz w:val="29"/>
          <w:szCs w:val="29"/>
        </w:rPr>
      </w:pPr>
      <w:r>
        <w:rPr>
          <w:sz w:val="29"/>
          <w:szCs w:val="29"/>
          <w:spacing w:val="6"/>
        </w:rPr>
        <w:t>(3)分布省份：东北、华北、华东、中南及四川、云南、陕西等；</w:t>
      </w:r>
    </w:p>
    <w:p>
      <w:pPr>
        <w:pStyle w:val="BodyText"/>
        <w:ind w:right="312" w:firstLine="730"/>
        <w:spacing w:before="156" w:line="266" w:lineRule="auto"/>
        <w:rPr>
          <w:sz w:val="29"/>
          <w:szCs w:val="29"/>
        </w:rPr>
      </w:pPr>
      <w:r>
        <w:rPr>
          <w:sz w:val="29"/>
          <w:szCs w:val="29"/>
          <w:spacing w:val="7"/>
        </w:rPr>
        <w:t>(4)表现症状：以幼虫蚕食植株叶片，低龄啃食叶肉，稍大食</w:t>
      </w:r>
      <w:r>
        <w:rPr>
          <w:sz w:val="29"/>
          <w:szCs w:val="29"/>
          <w:spacing w:val="6"/>
        </w:rPr>
        <w:t>成缺刻和孔</w:t>
      </w:r>
      <w:r>
        <w:rPr>
          <w:sz w:val="29"/>
          <w:szCs w:val="29"/>
        </w:rPr>
        <w:t xml:space="preserve"> </w:t>
      </w:r>
      <w:r>
        <w:rPr>
          <w:sz w:val="29"/>
          <w:szCs w:val="29"/>
          <w:spacing w:val="-2"/>
        </w:rPr>
        <w:t>洞，严重时食成光杆。</w:t>
      </w:r>
    </w:p>
    <w:p>
      <w:pPr>
        <w:ind w:left="570"/>
        <w:spacing w:before="209" w:line="221" w:lineRule="auto"/>
        <w:rPr>
          <w:rFonts w:ascii="SimHei" w:hAnsi="SimHei" w:eastAsia="SimHei" w:cs="SimHei"/>
          <w:sz w:val="28"/>
          <w:szCs w:val="28"/>
        </w:rPr>
      </w:pPr>
      <w:r>
        <w:rPr>
          <w:rFonts w:ascii="SimHei" w:hAnsi="SimHei" w:eastAsia="SimHei" w:cs="SimHei"/>
          <w:sz w:val="28"/>
          <w:szCs w:val="28"/>
          <w:spacing w:val="6"/>
        </w:rPr>
        <w:t>3)</w:t>
      </w:r>
      <w:r>
        <w:rPr>
          <w:rFonts w:ascii="SimHei" w:hAnsi="SimHei" w:eastAsia="SimHei" w:cs="SimHei"/>
          <w:sz w:val="28"/>
          <w:szCs w:val="28"/>
          <w:spacing w:val="37"/>
        </w:rPr>
        <w:t xml:space="preserve"> </w:t>
      </w:r>
      <w:r>
        <w:rPr>
          <w:rFonts w:ascii="SimHei" w:hAnsi="SimHei" w:eastAsia="SimHei" w:cs="SimHei"/>
          <w:sz w:val="28"/>
          <w:szCs w:val="28"/>
          <w:b/>
          <w:bCs/>
          <w:spacing w:val="6"/>
        </w:rPr>
        <w:t>丽绿刺蛾</w:t>
      </w:r>
    </w:p>
    <w:p>
      <w:pPr>
        <w:ind w:firstLine="1999"/>
        <w:spacing w:before="20" w:line="4240" w:lineRule="exact"/>
        <w:rPr/>
      </w:pPr>
      <w:r>
        <w:drawing>
          <wp:anchor distT="0" distB="0" distL="0" distR="0" simplePos="0" relativeHeight="252196864" behindDoc="0" locked="0" layoutInCell="1" allowOverlap="1">
            <wp:simplePos x="0" y="0"/>
            <wp:positionH relativeFrom="column">
              <wp:posOffset>3289318</wp:posOffset>
            </wp:positionH>
            <wp:positionV relativeFrom="paragraph">
              <wp:posOffset>18845</wp:posOffset>
            </wp:positionV>
            <wp:extent cx="1796984" cy="1314533"/>
            <wp:effectExtent l="0" t="0" r="0" b="0"/>
            <wp:wrapNone/>
            <wp:docPr id="578" name="IM 578"/>
            <wp:cNvGraphicFramePr/>
            <a:graphic>
              <a:graphicData uri="http://schemas.openxmlformats.org/drawingml/2006/picture">
                <pic:pic>
                  <pic:nvPicPr>
                    <pic:cNvPr id="578" name="IM 578"/>
                    <pic:cNvPicPr/>
                  </pic:nvPicPr>
                  <pic:blipFill>
                    <a:blip r:embed="rId410"/>
                    <a:stretch>
                      <a:fillRect/>
                    </a:stretch>
                  </pic:blipFill>
                  <pic:spPr>
                    <a:xfrm rot="0">
                      <a:off x="0" y="0"/>
                      <a:ext cx="1796984" cy="1314533"/>
                    </a:xfrm>
                    <a:prstGeom prst="rect">
                      <a:avLst/>
                    </a:prstGeom>
                  </pic:spPr>
                </pic:pic>
              </a:graphicData>
            </a:graphic>
          </wp:anchor>
        </w:drawing>
      </w:r>
      <w:r>
        <w:drawing>
          <wp:anchor distT="0" distB="0" distL="0" distR="0" simplePos="0" relativeHeight="252197888" behindDoc="0" locked="0" layoutInCell="1" allowOverlap="1">
            <wp:simplePos x="0" y="0"/>
            <wp:positionH relativeFrom="column">
              <wp:posOffset>3289318</wp:posOffset>
            </wp:positionH>
            <wp:positionV relativeFrom="paragraph">
              <wp:posOffset>1454003</wp:posOffset>
            </wp:positionV>
            <wp:extent cx="1816031" cy="1244601"/>
            <wp:effectExtent l="0" t="0" r="0" b="0"/>
            <wp:wrapNone/>
            <wp:docPr id="580" name="IM 580"/>
            <wp:cNvGraphicFramePr/>
            <a:graphic>
              <a:graphicData uri="http://schemas.openxmlformats.org/drawingml/2006/picture">
                <pic:pic>
                  <pic:nvPicPr>
                    <pic:cNvPr id="580" name="IM 580"/>
                    <pic:cNvPicPr/>
                  </pic:nvPicPr>
                  <pic:blipFill>
                    <a:blip r:embed="rId411"/>
                    <a:stretch>
                      <a:fillRect/>
                    </a:stretch>
                  </pic:blipFill>
                  <pic:spPr>
                    <a:xfrm rot="0">
                      <a:off x="0" y="0"/>
                      <a:ext cx="1816031" cy="1244601"/>
                    </a:xfrm>
                    <a:prstGeom prst="rect">
                      <a:avLst/>
                    </a:prstGeom>
                  </pic:spPr>
                </pic:pic>
              </a:graphicData>
            </a:graphic>
          </wp:anchor>
        </w:drawing>
      </w:r>
      <w:r>
        <w:rPr>
          <w:position w:val="-84"/>
        </w:rPr>
        <w:drawing>
          <wp:inline distT="0" distB="0" distL="0" distR="0">
            <wp:extent cx="1835169" cy="2692498"/>
            <wp:effectExtent l="0" t="0" r="0" b="0"/>
            <wp:docPr id="582" name="IM 582"/>
            <wp:cNvGraphicFramePr/>
            <a:graphic>
              <a:graphicData uri="http://schemas.openxmlformats.org/drawingml/2006/picture">
                <pic:pic>
                  <pic:nvPicPr>
                    <pic:cNvPr id="582" name="IM 582"/>
                    <pic:cNvPicPr/>
                  </pic:nvPicPr>
                  <pic:blipFill>
                    <a:blip r:embed="rId412"/>
                    <a:stretch>
                      <a:fillRect/>
                    </a:stretch>
                  </pic:blipFill>
                  <pic:spPr>
                    <a:xfrm rot="0">
                      <a:off x="0" y="0"/>
                      <a:ext cx="1835169" cy="2692498"/>
                    </a:xfrm>
                    <a:prstGeom prst="rect">
                      <a:avLst/>
                    </a:prstGeom>
                  </pic:spPr>
                </pic:pic>
              </a:graphicData>
            </a:graphic>
          </wp:inline>
        </w:drawing>
      </w:r>
    </w:p>
    <w:p>
      <w:pPr>
        <w:pStyle w:val="BodyText"/>
        <w:ind w:left="2850"/>
        <w:spacing w:before="110" w:line="219" w:lineRule="auto"/>
        <w:rPr>
          <w:sz w:val="24"/>
          <w:szCs w:val="24"/>
        </w:rPr>
      </w:pPr>
      <w:r>
        <w:rPr>
          <w:sz w:val="24"/>
          <w:szCs w:val="24"/>
          <w:spacing w:val="9"/>
        </w:rPr>
        <w:t>图6-2-43丽绿刺蛾幼虫、成虫及幼虫取食</w:t>
      </w:r>
    </w:p>
    <w:p>
      <w:pPr>
        <w:spacing w:line="219" w:lineRule="auto"/>
        <w:sectPr>
          <w:footerReference w:type="default" r:id="rId404"/>
          <w:pgSz w:w="14490" w:h="20470"/>
          <w:pgMar w:top="400" w:right="1935" w:bottom="1433" w:left="2150" w:header="0" w:footer="1234" w:gutter="0"/>
        </w:sectPr>
        <w:rPr>
          <w:sz w:val="24"/>
          <w:szCs w:val="24"/>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6"/>
        </w:rPr>
        <w:t>(1)危害植物：悬铃木、香樟、枫杨、石榴、樱花、枫、紫荆等；</w:t>
      </w:r>
    </w:p>
    <w:p>
      <w:pPr>
        <w:pStyle w:val="BodyText"/>
        <w:ind w:right="17" w:firstLine="730"/>
        <w:spacing w:before="157" w:line="267" w:lineRule="auto"/>
        <w:rPr>
          <w:sz w:val="29"/>
          <w:szCs w:val="29"/>
        </w:rPr>
      </w:pPr>
      <w:r>
        <w:rPr>
          <w:sz w:val="29"/>
          <w:szCs w:val="29"/>
        </w:rPr>
        <w:t>(2)发病时期：一代幼虫为害期为6月中旬一7月下旬，二代</w:t>
      </w:r>
      <w:r>
        <w:rPr>
          <w:sz w:val="29"/>
          <w:szCs w:val="29"/>
          <w:spacing w:val="-1"/>
        </w:rPr>
        <w:t>为8月中旬一9月</w:t>
      </w:r>
      <w:r>
        <w:rPr>
          <w:sz w:val="29"/>
          <w:szCs w:val="29"/>
        </w:rPr>
        <w:t xml:space="preserve"> </w:t>
      </w:r>
      <w:r>
        <w:rPr>
          <w:sz w:val="29"/>
          <w:szCs w:val="29"/>
          <w:spacing w:val="-13"/>
        </w:rPr>
        <w:t>下旬；</w:t>
      </w:r>
    </w:p>
    <w:p>
      <w:pPr>
        <w:pStyle w:val="BodyText"/>
        <w:ind w:left="730"/>
        <w:spacing w:before="119" w:line="219" w:lineRule="auto"/>
        <w:rPr>
          <w:sz w:val="29"/>
          <w:szCs w:val="29"/>
        </w:rPr>
      </w:pPr>
      <w:r>
        <w:rPr>
          <w:sz w:val="29"/>
          <w:szCs w:val="29"/>
          <w:spacing w:val="6"/>
        </w:rPr>
        <w:t>(3)分布省份：我国大部分地区均有分布；</w:t>
      </w:r>
    </w:p>
    <w:p>
      <w:pPr>
        <w:pStyle w:val="BodyText"/>
        <w:ind w:right="90" w:firstLine="730"/>
        <w:spacing w:before="168" w:line="262" w:lineRule="auto"/>
        <w:rPr>
          <w:sz w:val="29"/>
          <w:szCs w:val="29"/>
        </w:rPr>
      </w:pPr>
      <w:r>
        <w:rPr>
          <w:sz w:val="29"/>
          <w:szCs w:val="29"/>
          <w:spacing w:val="6"/>
        </w:rPr>
        <w:t>(4)表现症状：幼虫早期群集取食，后期分散；初孵幼虫只取食叶肉，留</w:t>
      </w:r>
      <w:r>
        <w:rPr>
          <w:sz w:val="29"/>
          <w:szCs w:val="29"/>
          <w:spacing w:val="11"/>
        </w:rPr>
        <w:t xml:space="preserve"> </w:t>
      </w:r>
      <w:r>
        <w:rPr>
          <w:sz w:val="29"/>
          <w:szCs w:val="29"/>
        </w:rPr>
        <w:t>表皮，5龄后取食全叶。</w:t>
      </w:r>
    </w:p>
    <w:p>
      <w:pPr>
        <w:ind w:left="570"/>
        <w:spacing w:before="204" w:line="221" w:lineRule="auto"/>
        <w:rPr>
          <w:rFonts w:ascii="SimHei" w:hAnsi="SimHei" w:eastAsia="SimHei" w:cs="SimHei"/>
          <w:sz w:val="29"/>
          <w:szCs w:val="29"/>
        </w:rPr>
      </w:pPr>
      <w:r>
        <w:rPr>
          <w:rFonts w:ascii="SimHei" w:hAnsi="SimHei" w:eastAsia="SimHei" w:cs="SimHei"/>
          <w:sz w:val="29"/>
          <w:szCs w:val="29"/>
          <w:spacing w:val="27"/>
        </w:rPr>
        <w:t>4)褐边绿刺蛾</w:t>
      </w:r>
    </w:p>
    <w:p>
      <w:pPr>
        <w:spacing w:line="271" w:lineRule="auto"/>
        <w:rPr>
          <w:rFonts w:ascii="Arial"/>
          <w:sz w:val="21"/>
        </w:rPr>
      </w:pPr>
      <w:r>
        <w:drawing>
          <wp:anchor distT="0" distB="0" distL="0" distR="0" simplePos="0" relativeHeight="252201984" behindDoc="0" locked="0" layoutInCell="1" allowOverlap="1">
            <wp:simplePos x="0" y="0"/>
            <wp:positionH relativeFrom="column">
              <wp:posOffset>984247</wp:posOffset>
            </wp:positionH>
            <wp:positionV relativeFrom="paragraph">
              <wp:posOffset>154578</wp:posOffset>
            </wp:positionV>
            <wp:extent cx="1606520" cy="1320902"/>
            <wp:effectExtent l="0" t="0" r="0" b="0"/>
            <wp:wrapNone/>
            <wp:docPr id="584" name="IM 584"/>
            <wp:cNvGraphicFramePr/>
            <a:graphic>
              <a:graphicData uri="http://schemas.openxmlformats.org/drawingml/2006/picture">
                <pic:pic>
                  <pic:nvPicPr>
                    <pic:cNvPr id="584" name="IM 584"/>
                    <pic:cNvPicPr/>
                  </pic:nvPicPr>
                  <pic:blipFill>
                    <a:blip r:embed="rId414"/>
                    <a:stretch>
                      <a:fillRect/>
                    </a:stretch>
                  </pic:blipFill>
                  <pic:spPr>
                    <a:xfrm rot="0">
                      <a:off x="0" y="0"/>
                      <a:ext cx="1606520" cy="1320902"/>
                    </a:xfrm>
                    <a:prstGeom prst="rect">
                      <a:avLst/>
                    </a:prstGeom>
                  </pic:spPr>
                </pic:pic>
              </a:graphicData>
            </a:graphic>
          </wp:anchor>
        </w:drawing>
      </w:r>
      <w:r/>
    </w:p>
    <w:p>
      <w:pPr>
        <w:ind w:firstLine="4380"/>
        <w:spacing w:line="2050" w:lineRule="exact"/>
        <w:rPr/>
      </w:pPr>
      <w:r>
        <w:drawing>
          <wp:anchor distT="0" distB="0" distL="0" distR="0" simplePos="0" relativeHeight="252204032" behindDoc="0" locked="0" layoutInCell="1" allowOverlap="1">
            <wp:simplePos x="0" y="0"/>
            <wp:positionH relativeFrom="column">
              <wp:posOffset>4940281</wp:posOffset>
            </wp:positionH>
            <wp:positionV relativeFrom="paragraph">
              <wp:posOffset>13279</wp:posOffset>
            </wp:positionV>
            <wp:extent cx="1244639" cy="1289056"/>
            <wp:effectExtent l="0" t="0" r="0" b="0"/>
            <wp:wrapNone/>
            <wp:docPr id="586" name="IM 586"/>
            <wp:cNvGraphicFramePr/>
            <a:graphic>
              <a:graphicData uri="http://schemas.openxmlformats.org/drawingml/2006/picture">
                <pic:pic>
                  <pic:nvPicPr>
                    <pic:cNvPr id="586" name="IM 586"/>
                    <pic:cNvPicPr/>
                  </pic:nvPicPr>
                  <pic:blipFill>
                    <a:blip r:embed="rId415"/>
                    <a:stretch>
                      <a:fillRect/>
                    </a:stretch>
                  </pic:blipFill>
                  <pic:spPr>
                    <a:xfrm rot="0">
                      <a:off x="0" y="0"/>
                      <a:ext cx="1244639" cy="1289056"/>
                    </a:xfrm>
                    <a:prstGeom prst="rect">
                      <a:avLst/>
                    </a:prstGeom>
                  </pic:spPr>
                </pic:pic>
              </a:graphicData>
            </a:graphic>
          </wp:anchor>
        </w:drawing>
      </w:r>
      <w:r>
        <w:rPr>
          <w:position w:val="-41"/>
        </w:rPr>
        <w:drawing>
          <wp:inline distT="0" distB="0" distL="0" distR="0">
            <wp:extent cx="1987540" cy="1301794"/>
            <wp:effectExtent l="0" t="0" r="0" b="0"/>
            <wp:docPr id="588" name="IM 588"/>
            <wp:cNvGraphicFramePr/>
            <a:graphic>
              <a:graphicData uri="http://schemas.openxmlformats.org/drawingml/2006/picture">
                <pic:pic>
                  <pic:nvPicPr>
                    <pic:cNvPr id="588" name="IM 588"/>
                    <pic:cNvPicPr/>
                  </pic:nvPicPr>
                  <pic:blipFill>
                    <a:blip r:embed="rId416"/>
                    <a:stretch>
                      <a:fillRect/>
                    </a:stretch>
                  </pic:blipFill>
                  <pic:spPr>
                    <a:xfrm rot="0">
                      <a:off x="0" y="0"/>
                      <a:ext cx="1987540" cy="1301794"/>
                    </a:xfrm>
                    <a:prstGeom prst="rect">
                      <a:avLst/>
                    </a:prstGeom>
                  </pic:spPr>
                </pic:pic>
              </a:graphicData>
            </a:graphic>
          </wp:inline>
        </w:drawing>
      </w:r>
    </w:p>
    <w:p>
      <w:pPr>
        <w:pStyle w:val="BodyText"/>
        <w:ind w:left="3000"/>
        <w:spacing w:before="120" w:line="219" w:lineRule="auto"/>
        <w:rPr>
          <w:sz w:val="24"/>
          <w:szCs w:val="24"/>
        </w:rPr>
      </w:pPr>
      <w:r>
        <w:rPr>
          <w:sz w:val="24"/>
          <w:szCs w:val="24"/>
          <w:spacing w:val="8"/>
        </w:rPr>
        <w:t>图6-2-44褐边绿刺蛾幼虫、茧、成虫</w:t>
      </w:r>
    </w:p>
    <w:p>
      <w:pPr>
        <w:pStyle w:val="BodyText"/>
        <w:ind w:right="311" w:firstLine="730"/>
        <w:spacing w:before="127" w:line="269" w:lineRule="auto"/>
        <w:rPr>
          <w:sz w:val="29"/>
          <w:szCs w:val="29"/>
        </w:rPr>
      </w:pPr>
      <w:r>
        <w:rPr>
          <w:sz w:val="29"/>
          <w:szCs w:val="29"/>
          <w:spacing w:val="-15"/>
        </w:rPr>
        <w:t>(1)</w:t>
      </w:r>
      <w:r>
        <w:rPr>
          <w:sz w:val="29"/>
          <w:szCs w:val="29"/>
          <w:spacing w:val="73"/>
        </w:rPr>
        <w:t xml:space="preserve"> </w:t>
      </w:r>
      <w:r>
        <w:rPr>
          <w:sz w:val="29"/>
          <w:szCs w:val="29"/>
          <w:spacing w:val="-15"/>
        </w:rPr>
        <w:t>危害植物：大叶黄杨、月季、海棠、桂花、牡丹、</w:t>
      </w:r>
      <w:r>
        <w:rPr>
          <w:sz w:val="29"/>
          <w:szCs w:val="29"/>
          <w:spacing w:val="-16"/>
        </w:rPr>
        <w:t>芍药、柳、悬铃木、</w:t>
      </w:r>
      <w:r>
        <w:rPr>
          <w:sz w:val="29"/>
          <w:szCs w:val="29"/>
        </w:rPr>
        <w:t xml:space="preserve"> </w:t>
      </w:r>
      <w:r>
        <w:rPr>
          <w:sz w:val="29"/>
          <w:szCs w:val="29"/>
          <w:spacing w:val="-13"/>
        </w:rPr>
        <w:t>榆等；</w:t>
      </w:r>
    </w:p>
    <w:p>
      <w:pPr>
        <w:pStyle w:val="BodyText"/>
        <w:ind w:right="1071" w:firstLine="730"/>
        <w:spacing w:before="166" w:line="259" w:lineRule="auto"/>
        <w:rPr>
          <w:sz w:val="29"/>
          <w:szCs w:val="29"/>
        </w:rPr>
      </w:pPr>
      <w:r>
        <w:rPr>
          <w:sz w:val="29"/>
          <w:szCs w:val="29"/>
          <w:spacing w:val="3"/>
        </w:rPr>
        <w:t>(2)发病时期：1代8月为害最重，2代在6月末至7月、8月下旬</w:t>
      </w:r>
      <w:r>
        <w:rPr>
          <w:sz w:val="29"/>
          <w:szCs w:val="29"/>
          <w:spacing w:val="2"/>
        </w:rPr>
        <w:t>至10</w:t>
      </w:r>
      <w:r>
        <w:rPr>
          <w:sz w:val="29"/>
          <w:szCs w:val="29"/>
        </w:rPr>
        <w:t xml:space="preserve"> </w:t>
      </w:r>
      <w:r>
        <w:rPr>
          <w:sz w:val="29"/>
          <w:szCs w:val="29"/>
          <w:spacing w:val="-5"/>
        </w:rPr>
        <w:t>月中旬为害最重；</w:t>
      </w:r>
    </w:p>
    <w:p>
      <w:pPr>
        <w:pStyle w:val="BodyText"/>
        <w:ind w:right="26" w:firstLine="730"/>
        <w:spacing w:before="146" w:line="272" w:lineRule="auto"/>
        <w:rPr>
          <w:sz w:val="30"/>
          <w:szCs w:val="30"/>
        </w:rPr>
      </w:pPr>
      <w:r>
        <w:rPr>
          <w:sz w:val="30"/>
          <w:szCs w:val="30"/>
          <w:spacing w:val="-10"/>
        </w:rPr>
        <w:t>(3)分布省份：分布在黑龙江、辽宁、内蒙古、陕西、山西、北京、河北、</w:t>
      </w:r>
      <w:r>
        <w:rPr>
          <w:sz w:val="30"/>
          <w:szCs w:val="30"/>
        </w:rPr>
        <w:t xml:space="preserve"> </w:t>
      </w:r>
      <w:r>
        <w:rPr>
          <w:sz w:val="30"/>
          <w:szCs w:val="30"/>
          <w:spacing w:val="-18"/>
        </w:rPr>
        <w:t>河南、山东、安徽、江苏、上海、浙江、江西、广东</w:t>
      </w:r>
      <w:r>
        <w:rPr>
          <w:sz w:val="30"/>
          <w:szCs w:val="30"/>
          <w:spacing w:val="-19"/>
        </w:rPr>
        <w:t>、广西、湖南、湖北、贵州、</w:t>
      </w:r>
      <w:r>
        <w:rPr>
          <w:sz w:val="30"/>
          <w:szCs w:val="30"/>
        </w:rPr>
        <w:t xml:space="preserve"> </w:t>
      </w:r>
      <w:r>
        <w:rPr>
          <w:sz w:val="30"/>
          <w:szCs w:val="30"/>
          <w:spacing w:val="-14"/>
        </w:rPr>
        <w:t>重庆、四川、云南等地；</w:t>
      </w:r>
    </w:p>
    <w:p>
      <w:pPr>
        <w:pStyle w:val="BodyText"/>
        <w:ind w:right="102" w:firstLine="730"/>
        <w:spacing w:before="163" w:line="272" w:lineRule="auto"/>
        <w:rPr>
          <w:sz w:val="29"/>
          <w:szCs w:val="29"/>
        </w:rPr>
      </w:pPr>
      <w:r>
        <w:rPr>
          <w:sz w:val="29"/>
          <w:szCs w:val="29"/>
          <w:spacing w:val="6"/>
        </w:rPr>
        <w:t>(4)表现症状：幼虫取食叶片，低龄幼虫取食叶肉，仅留表皮，老龄时将</w:t>
      </w:r>
      <w:r>
        <w:rPr>
          <w:sz w:val="29"/>
          <w:szCs w:val="29"/>
        </w:rPr>
        <w:t xml:space="preserve"> </w:t>
      </w:r>
      <w:r>
        <w:rPr>
          <w:sz w:val="29"/>
          <w:szCs w:val="29"/>
          <w:spacing w:val="1"/>
        </w:rPr>
        <w:t>叶片吃成孔洞或缺刻，有时仅留叶柄，严重影响树势。</w:t>
      </w:r>
    </w:p>
    <w:p>
      <w:pPr>
        <w:ind w:left="570"/>
        <w:spacing w:before="190" w:line="222" w:lineRule="auto"/>
        <w:rPr>
          <w:rFonts w:ascii="SimHei" w:hAnsi="SimHei" w:eastAsia="SimHei" w:cs="SimHei"/>
          <w:sz w:val="28"/>
          <w:szCs w:val="28"/>
        </w:rPr>
      </w:pPr>
      <w:r>
        <w:drawing>
          <wp:anchor distT="0" distB="0" distL="0" distR="0" simplePos="0" relativeHeight="252203008" behindDoc="0" locked="0" layoutInCell="1" allowOverlap="1">
            <wp:simplePos x="0" y="0"/>
            <wp:positionH relativeFrom="column">
              <wp:posOffset>2749487</wp:posOffset>
            </wp:positionH>
            <wp:positionV relativeFrom="paragraph">
              <wp:posOffset>363917</wp:posOffset>
            </wp:positionV>
            <wp:extent cx="1308127" cy="1314533"/>
            <wp:effectExtent l="0" t="0" r="0" b="0"/>
            <wp:wrapNone/>
            <wp:docPr id="590" name="IM 590"/>
            <wp:cNvGraphicFramePr/>
            <a:graphic>
              <a:graphicData uri="http://schemas.openxmlformats.org/drawingml/2006/picture">
                <pic:pic>
                  <pic:nvPicPr>
                    <pic:cNvPr id="590" name="IM 590"/>
                    <pic:cNvPicPr/>
                  </pic:nvPicPr>
                  <pic:blipFill>
                    <a:blip r:embed="rId417"/>
                    <a:stretch>
                      <a:fillRect/>
                    </a:stretch>
                  </pic:blipFill>
                  <pic:spPr>
                    <a:xfrm rot="0">
                      <a:off x="0" y="0"/>
                      <a:ext cx="1308127" cy="1314533"/>
                    </a:xfrm>
                    <a:prstGeom prst="rect">
                      <a:avLst/>
                    </a:prstGeom>
                  </pic:spPr>
                </pic:pic>
              </a:graphicData>
            </a:graphic>
          </wp:anchor>
        </w:drawing>
      </w:r>
      <w:r>
        <w:rPr>
          <w:rFonts w:ascii="SimHei" w:hAnsi="SimHei" w:eastAsia="SimHei" w:cs="SimHei"/>
          <w:sz w:val="28"/>
          <w:szCs w:val="28"/>
          <w:spacing w:val="4"/>
        </w:rPr>
        <w:t>5)</w:t>
      </w:r>
      <w:r>
        <w:rPr>
          <w:rFonts w:ascii="SimHei" w:hAnsi="SimHei" w:eastAsia="SimHei" w:cs="SimHei"/>
          <w:sz w:val="28"/>
          <w:szCs w:val="28"/>
          <w:spacing w:val="49"/>
        </w:rPr>
        <w:t xml:space="preserve"> </w:t>
      </w:r>
      <w:r>
        <w:rPr>
          <w:rFonts w:ascii="SimHei" w:hAnsi="SimHei" w:eastAsia="SimHei" w:cs="SimHei"/>
          <w:sz w:val="28"/>
          <w:szCs w:val="28"/>
          <w:b/>
          <w:bCs/>
          <w:spacing w:val="4"/>
        </w:rPr>
        <w:t>桑褐刺蛾</w:t>
      </w:r>
    </w:p>
    <w:p>
      <w:pPr>
        <w:ind w:firstLine="1079"/>
        <w:spacing w:before="58" w:line="2050" w:lineRule="exact"/>
        <w:rPr/>
      </w:pPr>
      <w:r>
        <w:drawing>
          <wp:anchor distT="0" distB="0" distL="0" distR="0" simplePos="0" relativeHeight="252200960" behindDoc="0" locked="0" layoutInCell="1" allowOverlap="1">
            <wp:simplePos x="0" y="0"/>
            <wp:positionH relativeFrom="column">
              <wp:posOffset>4254519</wp:posOffset>
            </wp:positionH>
            <wp:positionV relativeFrom="paragraph">
              <wp:posOffset>36546</wp:posOffset>
            </wp:positionV>
            <wp:extent cx="1822379" cy="1308163"/>
            <wp:effectExtent l="0" t="0" r="0" b="0"/>
            <wp:wrapNone/>
            <wp:docPr id="592" name="IM 592"/>
            <wp:cNvGraphicFramePr/>
            <a:graphic>
              <a:graphicData uri="http://schemas.openxmlformats.org/drawingml/2006/picture">
                <pic:pic>
                  <pic:nvPicPr>
                    <pic:cNvPr id="592" name="IM 592"/>
                    <pic:cNvPicPr/>
                  </pic:nvPicPr>
                  <pic:blipFill>
                    <a:blip r:embed="rId418"/>
                    <a:stretch>
                      <a:fillRect/>
                    </a:stretch>
                  </pic:blipFill>
                  <pic:spPr>
                    <a:xfrm rot="0">
                      <a:off x="0" y="0"/>
                      <a:ext cx="1822379" cy="1308163"/>
                    </a:xfrm>
                    <a:prstGeom prst="rect">
                      <a:avLst/>
                    </a:prstGeom>
                  </pic:spPr>
                </pic:pic>
              </a:graphicData>
            </a:graphic>
          </wp:anchor>
        </w:drawing>
      </w:r>
      <w:r>
        <w:rPr>
          <w:position w:val="-41"/>
        </w:rPr>
        <w:drawing>
          <wp:inline distT="0" distB="0" distL="0" distR="0">
            <wp:extent cx="1873261" cy="1301794"/>
            <wp:effectExtent l="0" t="0" r="0" b="0"/>
            <wp:docPr id="594" name="IM 594"/>
            <wp:cNvGraphicFramePr/>
            <a:graphic>
              <a:graphicData uri="http://schemas.openxmlformats.org/drawingml/2006/picture">
                <pic:pic>
                  <pic:nvPicPr>
                    <pic:cNvPr id="594" name="IM 594"/>
                    <pic:cNvPicPr/>
                  </pic:nvPicPr>
                  <pic:blipFill>
                    <a:blip r:embed="rId419"/>
                    <a:stretch>
                      <a:fillRect/>
                    </a:stretch>
                  </pic:blipFill>
                  <pic:spPr>
                    <a:xfrm rot="0">
                      <a:off x="0" y="0"/>
                      <a:ext cx="1873261" cy="1301794"/>
                    </a:xfrm>
                    <a:prstGeom prst="rect">
                      <a:avLst/>
                    </a:prstGeom>
                  </pic:spPr>
                </pic:pic>
              </a:graphicData>
            </a:graphic>
          </wp:inline>
        </w:drawing>
      </w:r>
    </w:p>
    <w:p>
      <w:pPr>
        <w:pStyle w:val="BodyText"/>
        <w:ind w:left="3159"/>
        <w:spacing w:before="160" w:line="219" w:lineRule="auto"/>
        <w:rPr>
          <w:sz w:val="24"/>
          <w:szCs w:val="24"/>
        </w:rPr>
      </w:pPr>
      <w:r>
        <w:rPr>
          <w:sz w:val="24"/>
          <w:szCs w:val="24"/>
          <w:spacing w:val="8"/>
        </w:rPr>
        <w:t>图6-2-45桑褐刺蛾幼虫、茧、成虫</w:t>
      </w:r>
    </w:p>
    <w:p>
      <w:pPr>
        <w:pStyle w:val="BodyText"/>
        <w:ind w:right="91" w:firstLine="730"/>
        <w:spacing w:before="165" w:line="259" w:lineRule="auto"/>
        <w:rPr>
          <w:sz w:val="29"/>
          <w:szCs w:val="29"/>
        </w:rPr>
      </w:pPr>
      <w:r>
        <w:rPr>
          <w:sz w:val="29"/>
          <w:szCs w:val="29"/>
          <w:spacing w:val="6"/>
        </w:rPr>
        <w:t>(1)危害植物：茶、桑、柑桔、桃、梨、柿、木槿、桂花、紫荆、紫薇、</w:t>
      </w:r>
      <w:r>
        <w:rPr>
          <w:sz w:val="29"/>
          <w:szCs w:val="29"/>
          <w:spacing w:val="10"/>
        </w:rPr>
        <w:t xml:space="preserve"> </w:t>
      </w:r>
      <w:r>
        <w:rPr>
          <w:sz w:val="29"/>
          <w:szCs w:val="29"/>
          <w:spacing w:val="-2"/>
        </w:rPr>
        <w:t>柳、榆、白杨等；</w:t>
      </w:r>
    </w:p>
    <w:p>
      <w:pPr>
        <w:pStyle w:val="BodyText"/>
        <w:ind w:left="730"/>
        <w:spacing w:before="168" w:line="219" w:lineRule="auto"/>
        <w:rPr>
          <w:sz w:val="29"/>
          <w:szCs w:val="29"/>
        </w:rPr>
      </w:pPr>
      <w:r>
        <w:rPr>
          <w:sz w:val="29"/>
          <w:szCs w:val="29"/>
          <w:spacing w:val="7"/>
        </w:rPr>
        <w:t>(2)发病时期：6月中旬始见初孵幼虫，7月较</w:t>
      </w:r>
      <w:r>
        <w:rPr>
          <w:sz w:val="29"/>
          <w:szCs w:val="29"/>
          <w:spacing w:val="6"/>
        </w:rPr>
        <w:t>为严重；</w:t>
      </w:r>
    </w:p>
    <w:p>
      <w:pPr>
        <w:pStyle w:val="BodyText"/>
        <w:ind w:right="91" w:firstLine="730"/>
        <w:spacing w:before="145" w:line="266" w:lineRule="auto"/>
        <w:rPr>
          <w:sz w:val="29"/>
          <w:szCs w:val="29"/>
        </w:rPr>
      </w:pPr>
      <w:r>
        <w:rPr>
          <w:sz w:val="29"/>
          <w:szCs w:val="29"/>
          <w:spacing w:val="6"/>
        </w:rPr>
        <w:t>(3)分布省份：主要分布山东、河北、陕西、安徽、江苏、浙江、江西、</w:t>
      </w:r>
      <w:r>
        <w:rPr>
          <w:sz w:val="29"/>
          <w:szCs w:val="29"/>
          <w:spacing w:val="10"/>
        </w:rPr>
        <w:t xml:space="preserve"> </w:t>
      </w:r>
      <w:r>
        <w:rPr>
          <w:sz w:val="29"/>
          <w:szCs w:val="29"/>
          <w:spacing w:val="1"/>
        </w:rPr>
        <w:t>湖南、福建、台湾、广东、广西、四川、云南等；</w:t>
      </w:r>
    </w:p>
    <w:p>
      <w:pPr>
        <w:pStyle w:val="BodyText"/>
        <w:ind w:left="730"/>
        <w:spacing w:before="156" w:line="219" w:lineRule="auto"/>
        <w:rPr>
          <w:sz w:val="29"/>
          <w:szCs w:val="29"/>
        </w:rPr>
      </w:pPr>
      <w:r>
        <w:rPr>
          <w:sz w:val="29"/>
          <w:szCs w:val="29"/>
          <w:spacing w:val="6"/>
        </w:rPr>
        <w:t>(4)表现症状：幼虫孵化后在叶背群集并取食叶肉，仅残留表皮和叶脉。</w:t>
      </w:r>
    </w:p>
    <w:p>
      <w:pPr>
        <w:spacing w:line="219" w:lineRule="auto"/>
        <w:sectPr>
          <w:footerReference w:type="default" r:id="rId413"/>
          <w:pgSz w:w="14490" w:h="20470"/>
          <w:pgMar w:top="400" w:right="2173" w:bottom="1403" w:left="2150" w:header="0" w:footer="120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半月后分散为害。</w:t>
      </w:r>
    </w:p>
    <w:p>
      <w:pPr>
        <w:ind w:left="600"/>
        <w:spacing w:before="113" w:line="221" w:lineRule="auto"/>
        <w:rPr>
          <w:rFonts w:ascii="SimHei" w:hAnsi="SimHei" w:eastAsia="SimHei" w:cs="SimHei"/>
          <w:sz w:val="29"/>
          <w:szCs w:val="29"/>
        </w:rPr>
      </w:pPr>
      <w:r>
        <w:rPr>
          <w:rFonts w:ascii="SimHei" w:hAnsi="SimHei" w:eastAsia="SimHei" w:cs="SimHei"/>
          <w:sz w:val="29"/>
          <w:szCs w:val="29"/>
          <w:spacing w:val="27"/>
        </w:rPr>
        <w:t>6)防治方法</w:t>
      </w:r>
    </w:p>
    <w:p>
      <w:pPr>
        <w:pStyle w:val="BodyText"/>
        <w:ind w:left="740"/>
        <w:spacing w:before="155" w:line="219" w:lineRule="auto"/>
        <w:rPr>
          <w:sz w:val="29"/>
          <w:szCs w:val="29"/>
        </w:rPr>
      </w:pPr>
      <w:r>
        <w:rPr>
          <w:sz w:val="29"/>
          <w:szCs w:val="29"/>
          <w:spacing w:val="6"/>
        </w:rPr>
        <w:t>(1)灭除虫茧：根据不同刺蛾结茧习性与部位，于冬、春季除茧；</w:t>
      </w:r>
    </w:p>
    <w:p>
      <w:pPr>
        <w:pStyle w:val="BodyText"/>
        <w:ind w:right="106" w:firstLine="740"/>
        <w:spacing w:before="136" w:line="259" w:lineRule="auto"/>
        <w:rPr>
          <w:sz w:val="29"/>
          <w:szCs w:val="29"/>
        </w:rPr>
      </w:pPr>
      <w:r>
        <w:rPr>
          <w:sz w:val="29"/>
          <w:szCs w:val="29"/>
          <w:spacing w:val="6"/>
        </w:rPr>
        <w:t>(2)灯光诱杀成虫：刺蛾成虫大都有较强的趋光性，成虫羽化</w:t>
      </w:r>
      <w:r>
        <w:rPr>
          <w:sz w:val="29"/>
          <w:szCs w:val="29"/>
          <w:spacing w:val="5"/>
        </w:rPr>
        <w:t>期间可安置</w:t>
      </w:r>
      <w:r>
        <w:rPr>
          <w:sz w:val="29"/>
          <w:szCs w:val="29"/>
        </w:rPr>
        <w:t xml:space="preserve"> </w:t>
      </w:r>
      <w:r>
        <w:rPr>
          <w:sz w:val="29"/>
          <w:szCs w:val="29"/>
          <w:spacing w:val="-7"/>
        </w:rPr>
        <w:t>黑光灯诱杀成虫；</w:t>
      </w:r>
    </w:p>
    <w:p>
      <w:pPr>
        <w:pStyle w:val="BodyText"/>
        <w:ind w:left="740"/>
        <w:spacing w:before="154" w:line="219" w:lineRule="auto"/>
        <w:rPr>
          <w:sz w:val="29"/>
          <w:szCs w:val="29"/>
        </w:rPr>
      </w:pPr>
      <w:r>
        <w:rPr>
          <w:sz w:val="29"/>
          <w:szCs w:val="29"/>
          <w:spacing w:val="1"/>
        </w:rPr>
        <w:t>(3)药物防治参见《各地区农药肥料使用指导》。</w:t>
      </w:r>
    </w:p>
    <w:p>
      <w:pPr>
        <w:pStyle w:val="BodyText"/>
        <w:spacing w:before="155" w:line="221"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袋蛾类</w:t>
      </w:r>
    </w:p>
    <w:p>
      <w:pPr>
        <w:ind w:left="600"/>
        <w:spacing w:before="225" w:line="179" w:lineRule="auto"/>
        <w:rPr>
          <w:rFonts w:ascii="SimHei" w:hAnsi="SimHei" w:eastAsia="SimHei" w:cs="SimHei"/>
          <w:sz w:val="29"/>
          <w:szCs w:val="29"/>
        </w:rPr>
      </w:pPr>
      <w:r>
        <w:drawing>
          <wp:anchor distT="0" distB="0" distL="0" distR="0" simplePos="0" relativeHeight="252206080" behindDoc="1" locked="0" layoutInCell="1" allowOverlap="1">
            <wp:simplePos x="0" y="0"/>
            <wp:positionH relativeFrom="column">
              <wp:posOffset>787342</wp:posOffset>
            </wp:positionH>
            <wp:positionV relativeFrom="paragraph">
              <wp:posOffset>300796</wp:posOffset>
            </wp:positionV>
            <wp:extent cx="2794021" cy="1638324"/>
            <wp:effectExtent l="0" t="0" r="0" b="0"/>
            <wp:wrapNone/>
            <wp:docPr id="596" name="IM 596"/>
            <wp:cNvGraphicFramePr/>
            <a:graphic>
              <a:graphicData uri="http://schemas.openxmlformats.org/drawingml/2006/picture">
                <pic:pic>
                  <pic:nvPicPr>
                    <pic:cNvPr id="596" name="IM 596"/>
                    <pic:cNvPicPr/>
                  </pic:nvPicPr>
                  <pic:blipFill>
                    <a:blip r:embed="rId421"/>
                    <a:stretch>
                      <a:fillRect/>
                    </a:stretch>
                  </pic:blipFill>
                  <pic:spPr>
                    <a:xfrm rot="0">
                      <a:off x="0" y="0"/>
                      <a:ext cx="2794021" cy="1638324"/>
                    </a:xfrm>
                    <a:prstGeom prst="rect">
                      <a:avLst/>
                    </a:prstGeom>
                  </pic:spPr>
                </pic:pic>
              </a:graphicData>
            </a:graphic>
          </wp:anchor>
        </w:drawing>
      </w:r>
      <w:r>
        <w:rPr>
          <w:rFonts w:ascii="SimHei" w:hAnsi="SimHei" w:eastAsia="SimHei" w:cs="SimHei"/>
          <w:sz w:val="29"/>
          <w:szCs w:val="29"/>
          <w:spacing w:val="34"/>
        </w:rPr>
        <w:t>1)茶袋蛾</w:t>
      </w:r>
    </w:p>
    <w:p>
      <w:pPr>
        <w:ind w:firstLine="5709"/>
        <w:spacing w:line="2547" w:lineRule="exact"/>
        <w:rPr/>
      </w:pPr>
      <w:r>
        <w:rPr>
          <w:position w:val="-50"/>
        </w:rPr>
        <w:drawing>
          <wp:inline distT="0" distB="0" distL="0" distR="0">
            <wp:extent cx="2152700" cy="1617236"/>
            <wp:effectExtent l="0" t="0" r="0" b="0"/>
            <wp:docPr id="598" name="IM 598"/>
            <wp:cNvGraphicFramePr/>
            <a:graphic>
              <a:graphicData uri="http://schemas.openxmlformats.org/drawingml/2006/picture">
                <pic:pic>
                  <pic:nvPicPr>
                    <pic:cNvPr id="598" name="IM 598"/>
                    <pic:cNvPicPr/>
                  </pic:nvPicPr>
                  <pic:blipFill>
                    <a:blip r:embed="rId422"/>
                    <a:stretch>
                      <a:fillRect/>
                    </a:stretch>
                  </pic:blipFill>
                  <pic:spPr>
                    <a:xfrm rot="0">
                      <a:off x="0" y="0"/>
                      <a:ext cx="2152700" cy="1617236"/>
                    </a:xfrm>
                    <a:prstGeom prst="rect">
                      <a:avLst/>
                    </a:prstGeom>
                  </pic:spPr>
                </pic:pic>
              </a:graphicData>
            </a:graphic>
          </wp:inline>
        </w:drawing>
      </w:r>
    </w:p>
    <w:p>
      <w:pPr>
        <w:pStyle w:val="BodyText"/>
        <w:ind w:left="2970"/>
        <w:spacing w:line="211" w:lineRule="auto"/>
        <w:rPr>
          <w:sz w:val="24"/>
          <w:szCs w:val="24"/>
        </w:rPr>
      </w:pPr>
      <w:r>
        <w:rPr>
          <w:sz w:val="24"/>
          <w:szCs w:val="24"/>
          <w:spacing w:val="8"/>
        </w:rPr>
        <w:t>图6-2-46茶袋蛾护囊、蛹、成虫及危害</w:t>
      </w:r>
    </w:p>
    <w:p>
      <w:pPr>
        <w:pStyle w:val="BodyText"/>
        <w:ind w:left="740"/>
        <w:spacing w:before="158" w:line="219" w:lineRule="auto"/>
        <w:rPr>
          <w:sz w:val="29"/>
          <w:szCs w:val="29"/>
        </w:rPr>
      </w:pPr>
      <w:r>
        <w:rPr>
          <w:sz w:val="29"/>
          <w:szCs w:val="29"/>
          <w:spacing w:val="6"/>
        </w:rPr>
        <w:t>(1)危害植物：悬铃木、紫薇、月季、侧柏、南天</w:t>
      </w:r>
      <w:r>
        <w:rPr>
          <w:sz w:val="29"/>
          <w:szCs w:val="29"/>
          <w:spacing w:val="5"/>
        </w:rPr>
        <w:t>竹、杨、香樟等；</w:t>
      </w:r>
    </w:p>
    <w:p>
      <w:pPr>
        <w:pStyle w:val="BodyText"/>
        <w:ind w:left="740"/>
        <w:spacing w:before="166" w:line="219" w:lineRule="auto"/>
        <w:rPr>
          <w:sz w:val="29"/>
          <w:szCs w:val="29"/>
        </w:rPr>
      </w:pPr>
      <w:r>
        <w:rPr>
          <w:sz w:val="29"/>
          <w:szCs w:val="29"/>
          <w:spacing w:val="4"/>
        </w:rPr>
        <w:t>(2)发病时期：年发2代区，6月上旬幼虫始害，9月</w:t>
      </w:r>
      <w:r>
        <w:rPr>
          <w:sz w:val="29"/>
          <w:szCs w:val="29"/>
          <w:spacing w:val="3"/>
        </w:rPr>
        <w:t>中下旬为害最重；</w:t>
      </w:r>
    </w:p>
    <w:p>
      <w:pPr>
        <w:pStyle w:val="BodyText"/>
        <w:ind w:left="740"/>
        <w:spacing w:before="124" w:line="219" w:lineRule="auto"/>
        <w:rPr>
          <w:sz w:val="29"/>
          <w:szCs w:val="29"/>
        </w:rPr>
      </w:pPr>
      <w:r>
        <w:rPr>
          <w:sz w:val="29"/>
          <w:szCs w:val="29"/>
          <w:spacing w:val="8"/>
        </w:rPr>
        <w:t>(3)分布省份：国内大部分地区有分布；</w:t>
      </w:r>
    </w:p>
    <w:p>
      <w:pPr>
        <w:pStyle w:val="BodyText"/>
        <w:ind w:right="99" w:firstLine="740"/>
        <w:spacing w:before="147" w:line="269" w:lineRule="auto"/>
        <w:rPr>
          <w:sz w:val="29"/>
          <w:szCs w:val="29"/>
        </w:rPr>
      </w:pPr>
      <w:r>
        <w:rPr>
          <w:sz w:val="29"/>
          <w:szCs w:val="29"/>
          <w:spacing w:val="6"/>
        </w:rPr>
        <w:t>(4)表现症状：幼虫在护囊中咬食叶片、嫩梢或剥食枝干、剥食枝干、果</w:t>
      </w:r>
      <w:r>
        <w:rPr>
          <w:sz w:val="29"/>
          <w:szCs w:val="29"/>
          <w:spacing w:val="2"/>
        </w:rPr>
        <w:t xml:space="preserve"> </w:t>
      </w:r>
      <w:r>
        <w:rPr>
          <w:sz w:val="29"/>
          <w:szCs w:val="29"/>
          <w:spacing w:val="-3"/>
        </w:rPr>
        <w:t>实皮层，喜集中为害。</w:t>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BodyText"/>
        <w:ind w:left="4119"/>
        <w:spacing w:before="59" w:line="228" w:lineRule="auto"/>
        <w:rPr>
          <w:rFonts w:ascii="KaiTi" w:hAnsi="KaiTi" w:eastAsia="KaiTi" w:cs="KaiTi"/>
          <w:sz w:val="18"/>
          <w:szCs w:val="18"/>
        </w:rPr>
      </w:pPr>
      <w:r>
        <w:drawing>
          <wp:anchor distT="0" distB="0" distL="0" distR="0" simplePos="0" relativeHeight="252207104" behindDoc="1" locked="0" layoutInCell="1" allowOverlap="1">
            <wp:simplePos x="0" y="0"/>
            <wp:positionH relativeFrom="column">
              <wp:posOffset>1619218</wp:posOffset>
            </wp:positionH>
            <wp:positionV relativeFrom="paragraph">
              <wp:posOffset>-1021665</wp:posOffset>
            </wp:positionV>
            <wp:extent cx="3168692" cy="2457486"/>
            <wp:effectExtent l="0" t="0" r="0" b="0"/>
            <wp:wrapNone/>
            <wp:docPr id="600" name="IM 600"/>
            <wp:cNvGraphicFramePr/>
            <a:graphic>
              <a:graphicData uri="http://schemas.openxmlformats.org/drawingml/2006/picture">
                <pic:pic>
                  <pic:nvPicPr>
                    <pic:cNvPr id="600" name="IM 600"/>
                    <pic:cNvPicPr/>
                  </pic:nvPicPr>
                  <pic:blipFill>
                    <a:blip r:embed="rId423"/>
                    <a:stretch>
                      <a:fillRect/>
                    </a:stretch>
                  </pic:blipFill>
                  <pic:spPr>
                    <a:xfrm rot="0">
                      <a:off x="0" y="0"/>
                      <a:ext cx="3168692" cy="2457486"/>
                    </a:xfrm>
                    <a:prstGeom prst="rect">
                      <a:avLst/>
                    </a:prstGeom>
                  </pic:spPr>
                </pic:pic>
              </a:graphicData>
            </a:graphic>
          </wp:anchor>
        </w:drawing>
      </w:r>
      <w:r>
        <w:rPr>
          <w:sz w:val="18"/>
          <w:szCs w:val="18"/>
          <w:spacing w:val="-3"/>
        </w:rPr>
        <w:t>雄成</w:t>
      </w:r>
      <w:r>
        <w:rPr>
          <w:rFonts w:ascii="KaiTi" w:hAnsi="KaiTi" w:eastAsia="KaiTi" w:cs="KaiTi"/>
          <w:sz w:val="18"/>
          <w:szCs w:val="18"/>
          <w:spacing w:val="-3"/>
        </w:rPr>
        <w:t>虫</w:t>
      </w:r>
    </w:p>
    <w:p>
      <w:pPr>
        <w:spacing w:line="348" w:lineRule="auto"/>
        <w:rPr>
          <w:rFonts w:ascii="Arial"/>
          <w:sz w:val="21"/>
        </w:rPr>
      </w:pPr>
      <w:r/>
    </w:p>
    <w:p>
      <w:pPr>
        <w:pStyle w:val="BodyText"/>
        <w:ind w:left="6959"/>
        <w:spacing w:before="68" w:line="219" w:lineRule="auto"/>
        <w:rPr>
          <w:sz w:val="21"/>
          <w:szCs w:val="21"/>
        </w:rPr>
      </w:pPr>
      <w:r>
        <w:rPr>
          <w:sz w:val="21"/>
          <w:szCs w:val="21"/>
          <w:spacing w:val="-18"/>
          <w:w w:val="91"/>
        </w:rPr>
        <w:t>为害状</w:t>
      </w:r>
    </w:p>
    <w:p>
      <w:pPr>
        <w:spacing w:line="324" w:lineRule="auto"/>
        <w:rPr>
          <w:rFonts w:ascii="Arial"/>
          <w:sz w:val="21"/>
        </w:rPr>
      </w:pPr>
      <w:r/>
    </w:p>
    <w:p>
      <w:pPr>
        <w:spacing w:line="324" w:lineRule="auto"/>
        <w:rPr>
          <w:rFonts w:ascii="Arial"/>
          <w:sz w:val="21"/>
        </w:rPr>
      </w:pPr>
      <w:r/>
    </w:p>
    <w:p>
      <w:pPr>
        <w:pStyle w:val="BodyText"/>
        <w:ind w:left="3869" w:right="4645" w:firstLine="1159"/>
        <w:spacing w:before="59" w:line="263" w:lineRule="auto"/>
        <w:rPr/>
      </w:pPr>
      <w:r>
        <w:pict>
          <v:shape id="_x0000_s50" style="position:absolute;margin-left:301.136pt;margin-top:4.94527pt;mso-position-vertical-relative:text;mso-position-horizontal-relative:text;width:27.5pt;height:13.7pt;z-index:252208128;" filled="false" stroked="false" type="#_x0000_t202">
            <v:fill on="false"/>
            <v:stroke on="false"/>
            <v:path/>
            <v:imagedata o:title=""/>
            <o:lock v:ext="edit" aspectratio="false"/>
            <v:textbox inset="0mm,0mm,0mm,0mm">
              <w:txbxContent>
                <w:p>
                  <w:pPr>
                    <w:pStyle w:val="BodyText"/>
                    <w:ind w:left="20"/>
                    <w:spacing w:before="20" w:line="227" w:lineRule="auto"/>
                    <w:rPr>
                      <w:sz w:val="19"/>
                      <w:szCs w:val="19"/>
                    </w:rPr>
                  </w:pPr>
                  <w:r>
                    <w:rPr>
                      <w:rFonts w:ascii="KaiTi" w:hAnsi="KaiTi" w:eastAsia="KaiTi" w:cs="KaiTi"/>
                      <w:sz w:val="19"/>
                      <w:szCs w:val="19"/>
                      <w:b/>
                      <w:bCs/>
                      <w:color w:val="909070"/>
                      <w:spacing w:val="-6"/>
                    </w:rPr>
                    <w:t>护</w:t>
                  </w:r>
                  <w:r>
                    <w:rPr>
                      <w:rFonts w:ascii="KaiTi" w:hAnsi="KaiTi" w:eastAsia="KaiTi" w:cs="KaiTi"/>
                      <w:sz w:val="19"/>
                      <w:szCs w:val="19"/>
                      <w:color w:val="909070"/>
                      <w:spacing w:val="51"/>
                    </w:rPr>
                    <w:t xml:space="preserve"> </w:t>
                  </w:r>
                  <w:r>
                    <w:rPr>
                      <w:sz w:val="19"/>
                      <w:szCs w:val="19"/>
                      <w:spacing w:val="-6"/>
                    </w:rPr>
                    <w:t>囊</w:t>
                  </w:r>
                </w:p>
              </w:txbxContent>
            </v:textbox>
          </v:shape>
        </w:pict>
      </w:r>
      <w:r>
        <w:pict>
          <v:shape id="_x0000_s52" style="position:absolute;margin-left:133.496pt;margin-top:9.46313pt;mso-position-vertical-relative:text;mso-position-horizontal-relative:text;width:19.65pt;height:12.75pt;z-index:252209152;" filled="false" stroked="false" type="#_x0000_t202">
            <v:fill on="false"/>
            <v:stroke on="false"/>
            <v:path/>
            <v:imagedata o:title=""/>
            <o:lock v:ext="edit" aspectratio="false"/>
            <v:textbox inset="0mm,0mm,0mm,0mm">
              <w:txbxContent>
                <w:p>
                  <w:pPr>
                    <w:pStyle w:val="BodyText"/>
                    <w:ind w:left="20"/>
                    <w:spacing w:before="20" w:line="220" w:lineRule="auto"/>
                    <w:rPr>
                      <w:sz w:val="18"/>
                      <w:szCs w:val="18"/>
                    </w:rPr>
                  </w:pPr>
                  <w:r>
                    <w:rPr>
                      <w:sz w:val="18"/>
                      <w:szCs w:val="18"/>
                      <w:spacing w:val="-2"/>
                    </w:rPr>
                    <w:t>雄蛹</w:t>
                  </w:r>
                </w:p>
              </w:txbxContent>
            </v:textbox>
          </v:shape>
        </w:pict>
      </w:r>
      <w:r>
        <w:rPr>
          <w:sz w:val="18"/>
          <w:szCs w:val="18"/>
          <w:spacing w:val="-14"/>
        </w:rPr>
        <w:t>雌成虫</w:t>
      </w:r>
      <w:r>
        <w:rPr>
          <w:sz w:val="18"/>
          <w:szCs w:val="18"/>
          <w:spacing w:val="1"/>
        </w:rPr>
        <w:t xml:space="preserve"> </w:t>
      </w:r>
      <w:r>
        <w:rPr>
          <w:rFonts w:ascii="LiSu" w:hAnsi="LiSu" w:eastAsia="LiSu" w:cs="LiSu"/>
          <w:spacing w:val="-25"/>
          <w:w w:val="91"/>
        </w:rPr>
        <w:t>幼</w:t>
      </w:r>
      <w:r>
        <w:rPr>
          <w:spacing w:val="-25"/>
          <w:w w:val="91"/>
        </w:rPr>
        <w:t>虫</w:t>
      </w:r>
    </w:p>
    <w:p>
      <w:pPr>
        <w:pStyle w:val="BodyText"/>
        <w:ind w:left="3259"/>
        <w:spacing w:before="116" w:line="219" w:lineRule="auto"/>
        <w:rPr>
          <w:sz w:val="24"/>
          <w:szCs w:val="24"/>
        </w:rPr>
      </w:pPr>
      <w:r>
        <w:rPr>
          <w:sz w:val="24"/>
          <w:szCs w:val="24"/>
          <w:spacing w:val="7"/>
        </w:rPr>
        <w:t>图6-2-47大袋蛾护囊、蛹、成虫</w:t>
      </w:r>
    </w:p>
    <w:p>
      <w:pPr>
        <w:ind w:left="600"/>
        <w:spacing w:before="117" w:line="222" w:lineRule="auto"/>
        <w:rPr>
          <w:rFonts w:ascii="SimHei" w:hAnsi="SimHei" w:eastAsia="SimHei" w:cs="SimHei"/>
          <w:sz w:val="29"/>
          <w:szCs w:val="29"/>
        </w:rPr>
      </w:pPr>
      <w:r>
        <w:rPr>
          <w:rFonts w:ascii="SimHei" w:hAnsi="SimHei" w:eastAsia="SimHei" w:cs="SimHei"/>
          <w:sz w:val="29"/>
          <w:szCs w:val="29"/>
          <w:spacing w:val="30"/>
        </w:rPr>
        <w:t>2)大袋蛾</w:t>
      </w:r>
    </w:p>
    <w:p>
      <w:pPr>
        <w:pStyle w:val="BodyText"/>
        <w:ind w:right="101" w:firstLine="740"/>
        <w:spacing w:before="140" w:line="265" w:lineRule="auto"/>
        <w:rPr>
          <w:sz w:val="29"/>
          <w:szCs w:val="29"/>
        </w:rPr>
      </w:pPr>
      <w:r>
        <w:rPr>
          <w:sz w:val="29"/>
          <w:szCs w:val="29"/>
          <w:spacing w:val="6"/>
        </w:rPr>
        <w:t>(1)危害植物：以蔷薇科、豆科、杨柳科、胡桃科及悬铃木科植物受害最</w:t>
      </w:r>
      <w:r>
        <w:rPr>
          <w:sz w:val="29"/>
          <w:szCs w:val="29"/>
          <w:spacing w:val="1"/>
        </w:rPr>
        <w:t xml:space="preserve"> </w:t>
      </w:r>
      <w:r>
        <w:rPr>
          <w:sz w:val="29"/>
          <w:szCs w:val="29"/>
          <w:spacing w:val="-12"/>
        </w:rPr>
        <w:t>重；</w:t>
      </w:r>
    </w:p>
    <w:p>
      <w:pPr>
        <w:pStyle w:val="BodyText"/>
        <w:ind w:left="740"/>
        <w:spacing w:before="149" w:line="219" w:lineRule="auto"/>
        <w:rPr>
          <w:sz w:val="29"/>
          <w:szCs w:val="29"/>
        </w:rPr>
      </w:pPr>
      <w:r>
        <w:rPr>
          <w:sz w:val="29"/>
          <w:szCs w:val="29"/>
          <w:spacing w:val="6"/>
        </w:rPr>
        <w:t>(2)发病时期：6月上旬幼虫出现始害，7—8月为害最重；</w:t>
      </w:r>
    </w:p>
    <w:p>
      <w:pPr>
        <w:pStyle w:val="BodyText"/>
        <w:ind w:left="740"/>
        <w:spacing w:before="164" w:line="219" w:lineRule="auto"/>
        <w:rPr>
          <w:sz w:val="29"/>
          <w:szCs w:val="29"/>
        </w:rPr>
      </w:pPr>
      <w:r>
        <w:rPr>
          <w:sz w:val="29"/>
          <w:szCs w:val="29"/>
          <w:spacing w:val="7"/>
        </w:rPr>
        <w:t>(3)分布省份：国内华北、华东、华中、西南</w:t>
      </w:r>
      <w:r>
        <w:rPr>
          <w:sz w:val="29"/>
          <w:szCs w:val="29"/>
          <w:spacing w:val="6"/>
        </w:rPr>
        <w:t>、西北均分布；</w:t>
      </w:r>
    </w:p>
    <w:p>
      <w:pPr>
        <w:pStyle w:val="BodyText"/>
        <w:ind w:right="49"/>
        <w:spacing w:before="128" w:line="219" w:lineRule="auto"/>
        <w:jc w:val="right"/>
        <w:rPr>
          <w:sz w:val="29"/>
          <w:szCs w:val="29"/>
        </w:rPr>
      </w:pPr>
      <w:r>
        <w:rPr>
          <w:sz w:val="29"/>
          <w:szCs w:val="29"/>
          <w:spacing w:val="8"/>
        </w:rPr>
        <w:t>(4)表现症状：幼虫体外有用植物叶片和</w:t>
      </w:r>
      <w:r>
        <w:rPr>
          <w:sz w:val="29"/>
          <w:szCs w:val="29"/>
          <w:spacing w:val="7"/>
        </w:rPr>
        <w:t>小枝等残屑编织而成的护囊，幼</w:t>
      </w:r>
    </w:p>
    <w:p>
      <w:pPr>
        <w:spacing w:line="219" w:lineRule="auto"/>
        <w:sectPr>
          <w:footerReference w:type="default" r:id="rId420"/>
          <w:pgSz w:w="14490" w:h="20470"/>
          <w:pgMar w:top="400" w:right="2173" w:bottom="1423" w:left="2140" w:header="0" w:footer="122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虫终生负囊生活，蚕食叶片形成大孔洞和缺刻，严重时把叶食光。</w:t>
      </w:r>
    </w:p>
    <w:p>
      <w:pPr>
        <w:ind w:left="600"/>
        <w:spacing w:before="103"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right="105" w:firstLine="740"/>
        <w:spacing w:before="145" w:line="272" w:lineRule="auto"/>
        <w:rPr>
          <w:sz w:val="29"/>
          <w:szCs w:val="29"/>
        </w:rPr>
      </w:pPr>
      <w:r>
        <w:rPr>
          <w:sz w:val="29"/>
          <w:szCs w:val="29"/>
          <w:spacing w:val="6"/>
        </w:rPr>
        <w:t>(1)现场管理：幼虫行动迟缓，又无毒害，可用人工摘除；初龄幼</w:t>
      </w:r>
      <w:r>
        <w:rPr>
          <w:sz w:val="29"/>
          <w:szCs w:val="29"/>
          <w:spacing w:val="5"/>
        </w:rPr>
        <w:t>虫密集</w:t>
      </w:r>
      <w:r>
        <w:rPr>
          <w:sz w:val="29"/>
          <w:szCs w:val="29"/>
        </w:rPr>
        <w:t xml:space="preserve"> </w:t>
      </w:r>
      <w:r>
        <w:rPr>
          <w:sz w:val="29"/>
          <w:szCs w:val="29"/>
          <w:spacing w:val="-3"/>
        </w:rPr>
        <w:t>树冠外围枝梢上为害，可剪除有虫枝；</w:t>
      </w:r>
    </w:p>
    <w:p>
      <w:pPr>
        <w:pStyle w:val="BodyText"/>
        <w:ind w:left="740"/>
        <w:spacing w:before="123" w:line="219" w:lineRule="auto"/>
        <w:rPr>
          <w:sz w:val="29"/>
          <w:szCs w:val="29"/>
        </w:rPr>
      </w:pPr>
      <w:r>
        <w:rPr>
          <w:sz w:val="29"/>
          <w:szCs w:val="29"/>
          <w:spacing w:val="4"/>
        </w:rPr>
        <w:t>(2)药物防治：防治参见《各地区农药肥料使用指导》。</w:t>
      </w:r>
    </w:p>
    <w:p>
      <w:pPr>
        <w:spacing w:before="177" w:line="222" w:lineRule="auto"/>
        <w:rPr>
          <w:rFonts w:ascii="SimHei" w:hAnsi="SimHei" w:eastAsia="SimHei" w:cs="SimHei"/>
          <w:sz w:val="27"/>
          <w:szCs w:val="27"/>
        </w:rPr>
      </w:pPr>
      <w:r>
        <w:rPr>
          <w:rFonts w:ascii="SimHei" w:hAnsi="SimHei" w:eastAsia="SimHei" w:cs="SimHei"/>
          <w:sz w:val="27"/>
          <w:szCs w:val="27"/>
          <w:spacing w:val="-7"/>
        </w:rPr>
        <w:t>3、</w:t>
      </w:r>
      <w:r>
        <w:rPr>
          <w:rFonts w:ascii="SimHei" w:hAnsi="SimHei" w:eastAsia="SimHei" w:cs="SimHei"/>
          <w:sz w:val="27"/>
          <w:szCs w:val="27"/>
          <w:spacing w:val="-80"/>
        </w:rPr>
        <w:t xml:space="preserve"> </w:t>
      </w:r>
      <w:r>
        <w:rPr>
          <w:rFonts w:ascii="SimHei" w:hAnsi="SimHei" w:eastAsia="SimHei" w:cs="SimHei"/>
          <w:sz w:val="27"/>
          <w:szCs w:val="27"/>
          <w:spacing w:val="-7"/>
        </w:rPr>
        <w:t>毒</w:t>
      </w:r>
      <w:r>
        <w:rPr>
          <w:rFonts w:ascii="SimHei" w:hAnsi="SimHei" w:eastAsia="SimHei" w:cs="SimHei"/>
          <w:sz w:val="27"/>
          <w:szCs w:val="27"/>
          <w:spacing w:val="-40"/>
        </w:rPr>
        <w:t xml:space="preserve"> </w:t>
      </w:r>
      <w:r>
        <w:rPr>
          <w:rFonts w:ascii="SimHei" w:hAnsi="SimHei" w:eastAsia="SimHei" w:cs="SimHei"/>
          <w:sz w:val="27"/>
          <w:szCs w:val="27"/>
          <w:spacing w:val="-7"/>
        </w:rPr>
        <w:t>蛾</w:t>
      </w:r>
    </w:p>
    <w:p>
      <w:pPr>
        <w:ind w:left="600"/>
        <w:spacing w:before="174" w:line="222" w:lineRule="auto"/>
        <w:rPr>
          <w:rFonts w:ascii="SimHei" w:hAnsi="SimHei" w:eastAsia="SimHei" w:cs="SimHei"/>
          <w:sz w:val="29"/>
          <w:szCs w:val="29"/>
        </w:rPr>
      </w:pPr>
      <w:r>
        <w:rPr>
          <w:rFonts w:ascii="SimHei" w:hAnsi="SimHei" w:eastAsia="SimHei" w:cs="SimHei"/>
          <w:sz w:val="29"/>
          <w:szCs w:val="29"/>
          <w:spacing w:val="26"/>
        </w:rPr>
        <w:t>1)黄尾毒蛾</w:t>
      </w:r>
    </w:p>
    <w:p>
      <w:pPr>
        <w:ind w:firstLine="2039"/>
        <w:spacing w:before="91" w:line="2240" w:lineRule="exact"/>
        <w:rPr/>
      </w:pPr>
      <w:r>
        <w:drawing>
          <wp:anchor distT="0" distB="0" distL="0" distR="0" simplePos="0" relativeHeight="252214272" behindDoc="0" locked="0" layoutInCell="1" allowOverlap="1">
            <wp:simplePos x="0" y="0"/>
            <wp:positionH relativeFrom="column">
              <wp:posOffset>3682943</wp:posOffset>
            </wp:positionH>
            <wp:positionV relativeFrom="paragraph">
              <wp:posOffset>57845</wp:posOffset>
            </wp:positionV>
            <wp:extent cx="1822472" cy="1416050"/>
            <wp:effectExtent l="0" t="0" r="0" b="0"/>
            <wp:wrapNone/>
            <wp:docPr id="602" name="IM 602"/>
            <wp:cNvGraphicFramePr/>
            <a:graphic>
              <a:graphicData uri="http://schemas.openxmlformats.org/drawingml/2006/picture">
                <pic:pic>
                  <pic:nvPicPr>
                    <pic:cNvPr id="602" name="IM 602"/>
                    <pic:cNvPicPr/>
                  </pic:nvPicPr>
                  <pic:blipFill>
                    <a:blip r:embed="rId425"/>
                    <a:stretch>
                      <a:fillRect/>
                    </a:stretch>
                  </pic:blipFill>
                  <pic:spPr>
                    <a:xfrm rot="0">
                      <a:off x="0" y="0"/>
                      <a:ext cx="1822472" cy="1416050"/>
                    </a:xfrm>
                    <a:prstGeom prst="rect">
                      <a:avLst/>
                    </a:prstGeom>
                  </pic:spPr>
                </pic:pic>
              </a:graphicData>
            </a:graphic>
          </wp:anchor>
        </w:drawing>
      </w:r>
      <w:r>
        <w:rPr>
          <w:position w:val="-44"/>
        </w:rPr>
        <w:drawing>
          <wp:inline distT="0" distB="0" distL="0" distR="0">
            <wp:extent cx="2343164" cy="1422420"/>
            <wp:effectExtent l="0" t="0" r="0" b="0"/>
            <wp:docPr id="604" name="IM 604"/>
            <wp:cNvGraphicFramePr/>
            <a:graphic>
              <a:graphicData uri="http://schemas.openxmlformats.org/drawingml/2006/picture">
                <pic:pic>
                  <pic:nvPicPr>
                    <pic:cNvPr id="604" name="IM 604"/>
                    <pic:cNvPicPr/>
                  </pic:nvPicPr>
                  <pic:blipFill>
                    <a:blip r:embed="rId426"/>
                    <a:stretch>
                      <a:fillRect/>
                    </a:stretch>
                  </pic:blipFill>
                  <pic:spPr>
                    <a:xfrm rot="0">
                      <a:off x="0" y="0"/>
                      <a:ext cx="2343164" cy="1422420"/>
                    </a:xfrm>
                    <a:prstGeom prst="rect">
                      <a:avLst/>
                    </a:prstGeom>
                  </pic:spPr>
                </pic:pic>
              </a:graphicData>
            </a:graphic>
          </wp:inline>
        </w:drawing>
      </w:r>
    </w:p>
    <w:p>
      <w:pPr>
        <w:pStyle w:val="BodyText"/>
        <w:ind w:left="3479"/>
        <w:spacing w:before="50" w:line="219" w:lineRule="auto"/>
        <w:rPr>
          <w:sz w:val="24"/>
          <w:szCs w:val="24"/>
        </w:rPr>
      </w:pPr>
      <w:r>
        <w:rPr>
          <w:sz w:val="24"/>
          <w:szCs w:val="24"/>
          <w:spacing w:val="7"/>
        </w:rPr>
        <w:t>图6-2-48黄尾毒蛾幼虫、成虫</w:t>
      </w:r>
    </w:p>
    <w:p>
      <w:pPr>
        <w:pStyle w:val="BodyText"/>
        <w:ind w:right="111" w:firstLine="740"/>
        <w:spacing w:before="136" w:line="278" w:lineRule="auto"/>
        <w:rPr>
          <w:sz w:val="29"/>
          <w:szCs w:val="29"/>
        </w:rPr>
      </w:pPr>
      <w:r>
        <w:rPr>
          <w:sz w:val="29"/>
          <w:szCs w:val="29"/>
          <w:spacing w:val="6"/>
        </w:rPr>
        <w:t>(1)危害植物：月季、玫瑰、蔷薇、桃、桑、苹果</w:t>
      </w:r>
      <w:r>
        <w:rPr>
          <w:sz w:val="29"/>
          <w:szCs w:val="29"/>
          <w:spacing w:val="5"/>
        </w:rPr>
        <w:t>、梨、山楂、杏、李、</w:t>
      </w:r>
      <w:r>
        <w:rPr>
          <w:sz w:val="29"/>
          <w:szCs w:val="29"/>
        </w:rPr>
        <w:t xml:space="preserve"> </w:t>
      </w:r>
      <w:r>
        <w:rPr>
          <w:sz w:val="29"/>
          <w:szCs w:val="29"/>
          <w:spacing w:val="-2"/>
        </w:rPr>
        <w:t>枣、柿、栗、海棠、樱桃、柳等；</w:t>
      </w:r>
    </w:p>
    <w:p>
      <w:pPr>
        <w:pStyle w:val="BodyText"/>
        <w:ind w:left="740"/>
        <w:spacing w:before="138" w:line="219" w:lineRule="auto"/>
        <w:rPr>
          <w:sz w:val="29"/>
          <w:szCs w:val="29"/>
        </w:rPr>
      </w:pPr>
      <w:r>
        <w:rPr>
          <w:sz w:val="29"/>
          <w:szCs w:val="29"/>
          <w:spacing w:val="2"/>
        </w:rPr>
        <w:t>(2)发病时期：幼虫为害高峰期主要在6月</w:t>
      </w:r>
      <w:r>
        <w:rPr>
          <w:sz w:val="29"/>
          <w:szCs w:val="29"/>
          <w:spacing w:val="1"/>
        </w:rPr>
        <w:t>中、8月上中和9月上中旬；</w:t>
      </w:r>
    </w:p>
    <w:p>
      <w:pPr>
        <w:pStyle w:val="BodyText"/>
        <w:ind w:left="740"/>
        <w:spacing w:before="134" w:line="219" w:lineRule="auto"/>
        <w:rPr/>
      </w:pPr>
      <w:r>
        <w:rPr>
          <w:spacing w:val="15"/>
        </w:rPr>
        <w:t>(3)分布省份：我国大部分地区，北方分布较多；</w:t>
      </w:r>
    </w:p>
    <w:p>
      <w:pPr>
        <w:pStyle w:val="BodyText"/>
        <w:ind w:right="215" w:firstLine="740"/>
        <w:spacing w:before="169" w:line="269" w:lineRule="auto"/>
        <w:rPr>
          <w:sz w:val="29"/>
          <w:szCs w:val="29"/>
        </w:rPr>
      </w:pPr>
      <w:r>
        <w:rPr>
          <w:sz w:val="29"/>
          <w:szCs w:val="29"/>
          <w:spacing w:val="7"/>
        </w:rPr>
        <w:t>(4)表现症状：初孵幼虫群集在叶背取食叶肉，叶面成块透明斑，3龄后</w:t>
      </w:r>
      <w:r>
        <w:rPr>
          <w:sz w:val="29"/>
          <w:szCs w:val="29"/>
        </w:rPr>
        <w:t xml:space="preserve"> </w:t>
      </w:r>
      <w:r>
        <w:rPr>
          <w:sz w:val="29"/>
          <w:szCs w:val="29"/>
          <w:spacing w:val="-1"/>
        </w:rPr>
        <w:t>分散为害形成大缺刻，仅剩叶脉。</w:t>
      </w:r>
    </w:p>
    <w:p>
      <w:pPr>
        <w:ind w:left="600"/>
        <w:spacing w:before="185" w:line="222" w:lineRule="auto"/>
        <w:rPr>
          <w:rFonts w:ascii="SimHei" w:hAnsi="SimHei" w:eastAsia="SimHei" w:cs="SimHei"/>
          <w:sz w:val="28"/>
          <w:szCs w:val="28"/>
        </w:rPr>
      </w:pPr>
      <w:r>
        <w:drawing>
          <wp:anchor distT="0" distB="0" distL="0" distR="0" simplePos="0" relativeHeight="252213248" behindDoc="0" locked="0" layoutInCell="1" allowOverlap="1">
            <wp:simplePos x="0" y="0"/>
            <wp:positionH relativeFrom="column">
              <wp:posOffset>2901950</wp:posOffset>
            </wp:positionH>
            <wp:positionV relativeFrom="paragraph">
              <wp:posOffset>333025</wp:posOffset>
            </wp:positionV>
            <wp:extent cx="2266887" cy="1650933"/>
            <wp:effectExtent l="0" t="0" r="0" b="0"/>
            <wp:wrapNone/>
            <wp:docPr id="606" name="IM 606"/>
            <wp:cNvGraphicFramePr/>
            <a:graphic>
              <a:graphicData uri="http://schemas.openxmlformats.org/drawingml/2006/picture">
                <pic:pic>
                  <pic:nvPicPr>
                    <pic:cNvPr id="606" name="IM 606"/>
                    <pic:cNvPicPr/>
                  </pic:nvPicPr>
                  <pic:blipFill>
                    <a:blip r:embed="rId427"/>
                    <a:stretch>
                      <a:fillRect/>
                    </a:stretch>
                  </pic:blipFill>
                  <pic:spPr>
                    <a:xfrm rot="0">
                      <a:off x="0" y="0"/>
                      <a:ext cx="2266887" cy="1650933"/>
                    </a:xfrm>
                    <a:prstGeom prst="rect">
                      <a:avLst/>
                    </a:prstGeom>
                  </pic:spPr>
                </pic:pic>
              </a:graphicData>
            </a:graphic>
          </wp:anchor>
        </w:drawing>
      </w:r>
      <w:r>
        <w:rPr>
          <w:rFonts w:ascii="SimHei" w:hAnsi="SimHei" w:eastAsia="SimHei" w:cs="SimHei"/>
          <w:sz w:val="28"/>
          <w:szCs w:val="28"/>
          <w:spacing w:val="6"/>
        </w:rPr>
        <w:t>2)</w:t>
      </w:r>
      <w:r>
        <w:rPr>
          <w:rFonts w:ascii="SimHei" w:hAnsi="SimHei" w:eastAsia="SimHei" w:cs="SimHei"/>
          <w:sz w:val="28"/>
          <w:szCs w:val="28"/>
          <w:spacing w:val="28"/>
        </w:rPr>
        <w:t xml:space="preserve"> </w:t>
      </w:r>
      <w:r>
        <w:rPr>
          <w:rFonts w:ascii="SimHei" w:hAnsi="SimHei" w:eastAsia="SimHei" w:cs="SimHei"/>
          <w:sz w:val="28"/>
          <w:szCs w:val="28"/>
          <w:spacing w:val="6"/>
        </w:rPr>
        <w:t>柳毒蛾</w:t>
      </w:r>
    </w:p>
    <w:p>
      <w:pPr>
        <w:ind w:firstLine="2260"/>
        <w:spacing w:before="22" w:line="2620" w:lineRule="exact"/>
        <w:rPr/>
      </w:pPr>
      <w:r>
        <w:rPr>
          <w:position w:val="-52"/>
        </w:rPr>
        <w:drawing>
          <wp:inline distT="0" distB="0" distL="0" distR="0">
            <wp:extent cx="1301686" cy="1663801"/>
            <wp:effectExtent l="0" t="0" r="0" b="0"/>
            <wp:docPr id="608" name="IM 608"/>
            <wp:cNvGraphicFramePr/>
            <a:graphic>
              <a:graphicData uri="http://schemas.openxmlformats.org/drawingml/2006/picture">
                <pic:pic>
                  <pic:nvPicPr>
                    <pic:cNvPr id="608" name="IM 608"/>
                    <pic:cNvPicPr/>
                  </pic:nvPicPr>
                  <pic:blipFill>
                    <a:blip r:embed="rId428"/>
                    <a:stretch>
                      <a:fillRect/>
                    </a:stretch>
                  </pic:blipFill>
                  <pic:spPr>
                    <a:xfrm rot="0">
                      <a:off x="0" y="0"/>
                      <a:ext cx="1301686" cy="1663801"/>
                    </a:xfrm>
                    <a:prstGeom prst="rect">
                      <a:avLst/>
                    </a:prstGeom>
                  </pic:spPr>
                </pic:pic>
              </a:graphicData>
            </a:graphic>
          </wp:inline>
        </w:drawing>
      </w:r>
    </w:p>
    <w:p>
      <w:pPr>
        <w:pStyle w:val="BodyText"/>
        <w:ind w:left="3349"/>
        <w:spacing w:before="78" w:line="219" w:lineRule="auto"/>
        <w:rPr>
          <w:sz w:val="24"/>
          <w:szCs w:val="24"/>
        </w:rPr>
      </w:pPr>
      <w:r>
        <w:rPr>
          <w:sz w:val="24"/>
          <w:szCs w:val="24"/>
          <w:spacing w:val="7"/>
        </w:rPr>
        <w:t>图6-2-49柳毒蛾幼虫、蛹、成虫</w:t>
      </w:r>
    </w:p>
    <w:p>
      <w:pPr>
        <w:pStyle w:val="BodyText"/>
        <w:ind w:left="740"/>
        <w:spacing w:before="157" w:line="219" w:lineRule="auto"/>
        <w:rPr>
          <w:sz w:val="29"/>
          <w:szCs w:val="29"/>
        </w:rPr>
      </w:pPr>
      <w:r>
        <w:rPr>
          <w:sz w:val="29"/>
          <w:szCs w:val="29"/>
          <w:spacing w:val="5"/>
        </w:rPr>
        <w:t>(1)危害植物：茶树、栎树、栗、樱桃、梨、梅、杏、桃、杨、柳等；</w:t>
      </w:r>
    </w:p>
    <w:p>
      <w:pPr>
        <w:pStyle w:val="BodyText"/>
        <w:ind w:left="740"/>
        <w:spacing w:before="158" w:line="219" w:lineRule="auto"/>
        <w:rPr>
          <w:sz w:val="29"/>
          <w:szCs w:val="29"/>
        </w:rPr>
      </w:pPr>
      <w:r>
        <w:rPr>
          <w:sz w:val="29"/>
          <w:szCs w:val="29"/>
          <w:spacing w:val="6"/>
        </w:rPr>
        <w:t>(2)发病时期：4月份开始活动危害，5月中旬较为严重；</w:t>
      </w:r>
    </w:p>
    <w:p>
      <w:pPr>
        <w:pStyle w:val="BodyText"/>
        <w:ind w:right="101" w:firstLine="740"/>
        <w:spacing w:before="116" w:line="268" w:lineRule="auto"/>
        <w:rPr>
          <w:sz w:val="29"/>
          <w:szCs w:val="29"/>
        </w:rPr>
      </w:pPr>
      <w:r>
        <w:rPr>
          <w:sz w:val="29"/>
          <w:szCs w:val="29"/>
          <w:spacing w:val="6"/>
        </w:rPr>
        <w:t>(3)分布省份：北起黑龙江、内蒙古、新疆，南至浙江、江西、湖南、贵</w:t>
      </w:r>
      <w:r>
        <w:rPr>
          <w:sz w:val="29"/>
          <w:szCs w:val="29"/>
          <w:spacing w:val="1"/>
        </w:rPr>
        <w:t xml:space="preserve"> </w:t>
      </w:r>
      <w:r>
        <w:rPr>
          <w:sz w:val="29"/>
          <w:szCs w:val="29"/>
          <w:spacing w:val="-2"/>
        </w:rPr>
        <w:t>州、云南，淮河以北密度较大；</w:t>
      </w:r>
    </w:p>
    <w:p>
      <w:pPr>
        <w:pStyle w:val="BodyText"/>
        <w:ind w:right="97" w:firstLine="740"/>
        <w:spacing w:before="159" w:line="270" w:lineRule="auto"/>
        <w:rPr>
          <w:sz w:val="29"/>
          <w:szCs w:val="29"/>
        </w:rPr>
      </w:pPr>
      <w:r>
        <w:rPr>
          <w:sz w:val="29"/>
          <w:szCs w:val="29"/>
          <w:spacing w:val="6"/>
        </w:rPr>
        <w:t>(4)表现症状：低龄幼虫只啃食叶肉，留下表皮，长大后咬食叶片成缺刻</w:t>
      </w:r>
      <w:r>
        <w:rPr>
          <w:sz w:val="29"/>
          <w:szCs w:val="29"/>
          <w:spacing w:val="4"/>
        </w:rPr>
        <w:t xml:space="preserve"> </w:t>
      </w:r>
      <w:r>
        <w:rPr>
          <w:sz w:val="29"/>
          <w:szCs w:val="29"/>
          <w:spacing w:val="-5"/>
        </w:rPr>
        <w:t>或孔洞。</w:t>
      </w:r>
    </w:p>
    <w:p>
      <w:pPr>
        <w:ind w:left="600"/>
        <w:spacing w:before="178"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left="740"/>
        <w:spacing w:before="86" w:line="219" w:lineRule="auto"/>
        <w:rPr>
          <w:sz w:val="29"/>
          <w:szCs w:val="29"/>
        </w:rPr>
      </w:pPr>
      <w:r>
        <w:rPr>
          <w:sz w:val="29"/>
          <w:szCs w:val="29"/>
          <w:spacing w:val="7"/>
        </w:rPr>
        <w:t>(1)人工捕杀：利用初孵幼虫群集性人工捕杀，秋、冬刮除卵块；灯光诱</w:t>
      </w:r>
    </w:p>
    <w:p>
      <w:pPr>
        <w:spacing w:line="219" w:lineRule="auto"/>
        <w:sectPr>
          <w:footerReference w:type="default" r:id="rId424"/>
          <w:pgSz w:w="14490" w:h="20470"/>
          <w:pgMar w:top="400" w:right="2173" w:bottom="1433" w:left="214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2"/>
        </w:rPr>
        <w:t>杀成虫；利用其假死性震落捕杀；</w:t>
      </w:r>
    </w:p>
    <w:p>
      <w:pPr>
        <w:pStyle w:val="BodyText"/>
        <w:ind w:right="62" w:firstLine="740"/>
        <w:spacing w:before="155" w:line="314" w:lineRule="auto"/>
        <w:rPr>
          <w:sz w:val="29"/>
          <w:szCs w:val="29"/>
        </w:rPr>
      </w:pPr>
      <w:r>
        <w:rPr>
          <w:sz w:val="29"/>
          <w:szCs w:val="29"/>
          <w:spacing w:val="5"/>
        </w:rPr>
        <w:t>(2)药物防治：在树干及树干基部喷涂30</w:t>
      </w:r>
      <w:r>
        <w:rPr>
          <w:rFonts w:ascii="Times New Roman" w:hAnsi="Times New Roman" w:eastAsia="Times New Roman" w:cs="Times New Roman"/>
          <w:sz w:val="29"/>
          <w:szCs w:val="29"/>
        </w:rPr>
        <w:t>cm</w:t>
      </w:r>
      <w:r>
        <w:rPr>
          <w:sz w:val="29"/>
          <w:szCs w:val="29"/>
          <w:spacing w:val="5"/>
        </w:rPr>
        <w:t>宽的杀虫药药环，毒杀上、下</w:t>
      </w:r>
      <w:r>
        <w:rPr>
          <w:sz w:val="29"/>
          <w:szCs w:val="29"/>
          <w:spacing w:val="8"/>
        </w:rPr>
        <w:t xml:space="preserve"> </w:t>
      </w:r>
      <w:r>
        <w:rPr>
          <w:sz w:val="29"/>
          <w:szCs w:val="29"/>
          <w:spacing w:val="-4"/>
        </w:rPr>
        <w:t>树的幼虫，药剂具体使用参见《各地区农药肥料使用指导》。</w:t>
      </w:r>
    </w:p>
    <w:p>
      <w:pPr>
        <w:pStyle w:val="BodyText"/>
        <w:spacing w:before="1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夜蛾</w:t>
      </w:r>
    </w:p>
    <w:p>
      <w:pPr>
        <w:ind w:left="610"/>
        <w:spacing w:before="152" w:line="221" w:lineRule="auto"/>
        <w:rPr>
          <w:rFonts w:ascii="SimHei" w:hAnsi="SimHei" w:eastAsia="SimHei" w:cs="SimHei"/>
          <w:sz w:val="29"/>
          <w:szCs w:val="29"/>
        </w:rPr>
      </w:pPr>
      <w:r>
        <w:rPr>
          <w:rFonts w:ascii="SimHei" w:hAnsi="SimHei" w:eastAsia="SimHei" w:cs="SimHei"/>
          <w:sz w:val="29"/>
          <w:szCs w:val="29"/>
          <w:spacing w:val="24"/>
        </w:rPr>
        <w:t>1)桃剑纹夜蛾</w:t>
      </w:r>
    </w:p>
    <w:p>
      <w:pPr>
        <w:ind w:firstLine="2820"/>
        <w:spacing w:before="13" w:line="3570" w:lineRule="exact"/>
        <w:rPr/>
      </w:pPr>
      <w:r>
        <w:rPr>
          <w:position w:val="-71"/>
        </w:rPr>
        <w:drawing>
          <wp:inline distT="0" distB="0" distL="0" distR="0">
            <wp:extent cx="3136855" cy="2266929"/>
            <wp:effectExtent l="0" t="0" r="0" b="0"/>
            <wp:docPr id="610" name="IM 610"/>
            <wp:cNvGraphicFramePr/>
            <a:graphic>
              <a:graphicData uri="http://schemas.openxmlformats.org/drawingml/2006/picture">
                <pic:pic>
                  <pic:nvPicPr>
                    <pic:cNvPr id="610" name="IM 610"/>
                    <pic:cNvPicPr/>
                  </pic:nvPicPr>
                  <pic:blipFill>
                    <a:blip r:embed="rId430"/>
                    <a:stretch>
                      <a:fillRect/>
                    </a:stretch>
                  </pic:blipFill>
                  <pic:spPr>
                    <a:xfrm rot="0">
                      <a:off x="0" y="0"/>
                      <a:ext cx="3136855" cy="2266929"/>
                    </a:xfrm>
                    <a:prstGeom prst="rect">
                      <a:avLst/>
                    </a:prstGeom>
                  </pic:spPr>
                </pic:pic>
              </a:graphicData>
            </a:graphic>
          </wp:inline>
        </w:drawing>
      </w:r>
    </w:p>
    <w:p>
      <w:pPr>
        <w:pStyle w:val="BodyText"/>
        <w:ind w:left="3109"/>
        <w:spacing w:before="110" w:line="219" w:lineRule="auto"/>
        <w:rPr>
          <w:sz w:val="24"/>
          <w:szCs w:val="24"/>
        </w:rPr>
      </w:pPr>
      <w:r>
        <w:rPr>
          <w:sz w:val="24"/>
          <w:szCs w:val="24"/>
          <w:spacing w:val="7"/>
        </w:rPr>
        <w:t>图6-2-50桃剑纹夜蛾幼虫、蛹、成虫</w:t>
      </w:r>
    </w:p>
    <w:p>
      <w:pPr>
        <w:pStyle w:val="BodyText"/>
        <w:ind w:left="740"/>
        <w:spacing w:before="168" w:line="219" w:lineRule="auto"/>
        <w:rPr>
          <w:sz w:val="29"/>
          <w:szCs w:val="29"/>
        </w:rPr>
      </w:pPr>
      <w:r>
        <w:rPr>
          <w:sz w:val="29"/>
          <w:szCs w:val="29"/>
          <w:spacing w:val="5"/>
        </w:rPr>
        <w:t>(1)危害植物：桃、红叶李、梨、苹果以及桑、杨等树木等多种花木；</w:t>
      </w:r>
    </w:p>
    <w:p>
      <w:pPr>
        <w:pStyle w:val="BodyText"/>
        <w:ind w:right="604" w:firstLine="740"/>
        <w:spacing w:before="144" w:line="266" w:lineRule="auto"/>
        <w:rPr>
          <w:sz w:val="29"/>
          <w:szCs w:val="29"/>
        </w:rPr>
      </w:pPr>
      <w:r>
        <w:rPr>
          <w:sz w:val="29"/>
          <w:szCs w:val="29"/>
          <w:spacing w:val="4"/>
        </w:rPr>
        <w:t>(2)发病时期：幼虫5月中下旬开始发生，为害至6月下旬，7月下旬开</w:t>
      </w:r>
      <w:r>
        <w:rPr>
          <w:sz w:val="29"/>
          <w:szCs w:val="29"/>
        </w:rPr>
        <w:t xml:space="preserve"> </w:t>
      </w:r>
      <w:r>
        <w:rPr>
          <w:sz w:val="29"/>
          <w:szCs w:val="29"/>
          <w:spacing w:val="-4"/>
        </w:rPr>
        <w:t>始出现第2代幼虫；</w:t>
      </w:r>
    </w:p>
    <w:p>
      <w:pPr>
        <w:pStyle w:val="BodyText"/>
        <w:ind w:left="740"/>
        <w:spacing w:before="164" w:line="219" w:lineRule="auto"/>
        <w:rPr>
          <w:sz w:val="29"/>
          <w:szCs w:val="29"/>
        </w:rPr>
      </w:pPr>
      <w:r>
        <w:rPr>
          <w:sz w:val="29"/>
          <w:szCs w:val="29"/>
          <w:spacing w:val="6"/>
        </w:rPr>
        <w:t>(3)分布省份：国内南北地区普遍分布；</w:t>
      </w:r>
    </w:p>
    <w:p>
      <w:pPr>
        <w:pStyle w:val="BodyText"/>
        <w:ind w:left="740"/>
        <w:spacing w:before="138" w:line="219" w:lineRule="auto"/>
        <w:rPr>
          <w:sz w:val="29"/>
          <w:szCs w:val="29"/>
        </w:rPr>
      </w:pPr>
      <w:r>
        <w:rPr>
          <w:sz w:val="29"/>
          <w:szCs w:val="29"/>
          <w:spacing w:val="-12"/>
        </w:rPr>
        <w:t>(4)表现症状：小幼虫啃食叶片下表皮成纱网状，大幼虫食成孔洞和缺刻。</w:t>
      </w:r>
    </w:p>
    <w:p>
      <w:pPr>
        <w:ind w:left="610"/>
        <w:spacing w:before="113" w:line="221" w:lineRule="auto"/>
        <w:rPr>
          <w:rFonts w:ascii="SimHei" w:hAnsi="SimHei" w:eastAsia="SimHei" w:cs="SimHei"/>
          <w:sz w:val="29"/>
          <w:szCs w:val="29"/>
        </w:rPr>
      </w:pPr>
      <w:r>
        <w:rPr>
          <w:rFonts w:ascii="SimHei" w:hAnsi="SimHei" w:eastAsia="SimHei" w:cs="SimHei"/>
          <w:sz w:val="29"/>
          <w:szCs w:val="29"/>
          <w:spacing w:val="28"/>
        </w:rPr>
        <w:t>2)斜纹夜蛾</w:t>
      </w:r>
    </w:p>
    <w:p>
      <w:pPr>
        <w:ind w:firstLine="1729"/>
        <w:spacing w:before="134" w:line="2210" w:lineRule="exact"/>
        <w:rPr/>
      </w:pPr>
      <w:r>
        <w:rPr>
          <w:position w:val="-44"/>
        </w:rPr>
        <w:drawing>
          <wp:inline distT="0" distB="0" distL="0" distR="0">
            <wp:extent cx="4794259" cy="1403442"/>
            <wp:effectExtent l="0" t="0" r="0" b="0"/>
            <wp:docPr id="612" name="IM 612"/>
            <wp:cNvGraphicFramePr/>
            <a:graphic>
              <a:graphicData uri="http://schemas.openxmlformats.org/drawingml/2006/picture">
                <pic:pic>
                  <pic:nvPicPr>
                    <pic:cNvPr id="612" name="IM 612"/>
                    <pic:cNvPicPr/>
                  </pic:nvPicPr>
                  <pic:blipFill>
                    <a:blip r:embed="rId431"/>
                    <a:stretch>
                      <a:fillRect/>
                    </a:stretch>
                  </pic:blipFill>
                  <pic:spPr>
                    <a:xfrm rot="0">
                      <a:off x="0" y="0"/>
                      <a:ext cx="4794259" cy="1403442"/>
                    </a:xfrm>
                    <a:prstGeom prst="rect">
                      <a:avLst/>
                    </a:prstGeom>
                  </pic:spPr>
                </pic:pic>
              </a:graphicData>
            </a:graphic>
          </wp:inline>
        </w:drawing>
      </w:r>
    </w:p>
    <w:p>
      <w:pPr>
        <w:pStyle w:val="BodyText"/>
        <w:ind w:left="3239"/>
        <w:spacing w:before="60" w:line="219" w:lineRule="auto"/>
        <w:rPr>
          <w:sz w:val="24"/>
          <w:szCs w:val="24"/>
        </w:rPr>
      </w:pPr>
      <w:r>
        <w:rPr>
          <w:sz w:val="24"/>
          <w:szCs w:val="24"/>
          <w:spacing w:val="8"/>
        </w:rPr>
        <w:t>图6-2-51斜纹夜蛾卵、幼虫、成虫</w:t>
      </w:r>
    </w:p>
    <w:p>
      <w:pPr>
        <w:pStyle w:val="BodyText"/>
        <w:ind w:left="740"/>
        <w:spacing w:before="145" w:line="219" w:lineRule="auto"/>
        <w:rPr>
          <w:sz w:val="29"/>
          <w:szCs w:val="29"/>
        </w:rPr>
      </w:pPr>
      <w:r>
        <w:rPr>
          <w:sz w:val="29"/>
          <w:szCs w:val="29"/>
          <w:spacing w:val="7"/>
        </w:rPr>
        <w:t>(1)危害植物：藜科、百合科、莲花、草坪等；</w:t>
      </w:r>
    </w:p>
    <w:p>
      <w:pPr>
        <w:pStyle w:val="BodyText"/>
        <w:ind w:left="740"/>
        <w:spacing w:before="148" w:line="219" w:lineRule="auto"/>
        <w:rPr>
          <w:sz w:val="29"/>
          <w:szCs w:val="29"/>
        </w:rPr>
      </w:pPr>
      <w:r>
        <w:rPr>
          <w:sz w:val="29"/>
          <w:szCs w:val="29"/>
          <w:spacing w:val="-8"/>
        </w:rPr>
        <w:t>(2)发病时期：长江流域多在7—8月大发生，黄河流域多在8—9月大发生；</w:t>
      </w:r>
    </w:p>
    <w:p>
      <w:pPr>
        <w:pStyle w:val="BodyText"/>
        <w:ind w:right="121" w:firstLine="740"/>
        <w:spacing w:before="153" w:line="260" w:lineRule="auto"/>
        <w:rPr>
          <w:sz w:val="29"/>
          <w:szCs w:val="29"/>
        </w:rPr>
      </w:pPr>
      <w:r>
        <w:rPr>
          <w:sz w:val="29"/>
          <w:szCs w:val="29"/>
          <w:spacing w:val="5"/>
        </w:rPr>
        <w:t>(3)分布省份：国内各地都有发生，主要发生在长江流域的江西、江苏、</w:t>
      </w:r>
      <w:r>
        <w:rPr>
          <w:sz w:val="29"/>
          <w:szCs w:val="29"/>
          <w:spacing w:val="13"/>
        </w:rPr>
        <w:t xml:space="preserve"> </w:t>
      </w:r>
      <w:r>
        <w:rPr>
          <w:sz w:val="29"/>
          <w:szCs w:val="29"/>
          <w:spacing w:val="1"/>
        </w:rPr>
        <w:t>湖南、湖北、浙江、安徽，黄河流域的河南、河北、山</w:t>
      </w:r>
      <w:r>
        <w:rPr>
          <w:sz w:val="29"/>
          <w:szCs w:val="29"/>
        </w:rPr>
        <w:t>东等省；</w:t>
      </w:r>
    </w:p>
    <w:p>
      <w:pPr>
        <w:pStyle w:val="BodyText"/>
        <w:ind w:right="5" w:firstLine="740"/>
        <w:spacing w:before="174" w:line="282" w:lineRule="auto"/>
        <w:rPr>
          <w:sz w:val="29"/>
          <w:szCs w:val="29"/>
        </w:rPr>
      </w:pPr>
      <w:r>
        <w:rPr>
          <w:sz w:val="29"/>
          <w:szCs w:val="29"/>
          <w:spacing w:val="13"/>
        </w:rPr>
        <w:t>(4)表现症状：主要以幼虫为害全株、小龄时群集叶背啃食；3龄后分散</w:t>
      </w:r>
      <w:r>
        <w:rPr>
          <w:sz w:val="29"/>
          <w:szCs w:val="29"/>
          <w:spacing w:val="11"/>
        </w:rPr>
        <w:t xml:space="preserve"> </w:t>
      </w:r>
      <w:r>
        <w:rPr>
          <w:sz w:val="29"/>
          <w:szCs w:val="29"/>
          <w:spacing w:val="-9"/>
        </w:rPr>
        <w:t>为害叶片、嫩茎、老龄幼虫可蛀食果实；其食性既杂又危害各器官，老龄时形成暴</w:t>
      </w:r>
      <w:r>
        <w:rPr>
          <w:sz w:val="29"/>
          <w:szCs w:val="29"/>
          <w:spacing w:val="3"/>
        </w:rPr>
        <w:t xml:space="preserve"> </w:t>
      </w:r>
      <w:r>
        <w:rPr>
          <w:sz w:val="29"/>
          <w:szCs w:val="29"/>
          <w:spacing w:val="-2"/>
        </w:rPr>
        <w:t>食，是一种危害性很大的害虫。</w:t>
      </w:r>
    </w:p>
    <w:p>
      <w:pPr>
        <w:ind w:left="610"/>
        <w:spacing w:before="171" w:line="221" w:lineRule="auto"/>
        <w:rPr>
          <w:rFonts w:ascii="SimHei" w:hAnsi="SimHei" w:eastAsia="SimHei" w:cs="SimHei"/>
          <w:sz w:val="29"/>
          <w:szCs w:val="29"/>
        </w:rPr>
      </w:pPr>
      <w:r>
        <w:rPr>
          <w:rFonts w:ascii="SimHei" w:hAnsi="SimHei" w:eastAsia="SimHei" w:cs="SimHei"/>
          <w:sz w:val="29"/>
          <w:szCs w:val="29"/>
          <w:spacing w:val="29"/>
        </w:rPr>
        <w:t>3)防治方法</w:t>
      </w:r>
    </w:p>
    <w:p>
      <w:pPr>
        <w:pStyle w:val="BodyText"/>
        <w:ind w:right="39"/>
        <w:spacing w:before="105" w:line="219" w:lineRule="auto"/>
        <w:jc w:val="right"/>
        <w:rPr>
          <w:sz w:val="29"/>
          <w:szCs w:val="29"/>
        </w:rPr>
      </w:pPr>
      <w:r>
        <w:rPr>
          <w:sz w:val="29"/>
          <w:szCs w:val="29"/>
          <w:spacing w:val="8"/>
        </w:rPr>
        <w:t>(1)秋后树盘消杀、刮粗翘皮、灭越冬蛹有一定效果；结合修剪，</w:t>
      </w:r>
      <w:r>
        <w:rPr>
          <w:sz w:val="29"/>
          <w:szCs w:val="29"/>
          <w:spacing w:val="7"/>
        </w:rPr>
        <w:t>摘除卵</w:t>
      </w:r>
    </w:p>
    <w:p>
      <w:pPr>
        <w:spacing w:line="219" w:lineRule="auto"/>
        <w:sectPr>
          <w:footerReference w:type="default" r:id="rId429"/>
          <w:pgSz w:w="14490" w:h="20470"/>
          <w:pgMar w:top="400" w:right="2173" w:bottom="1405" w:left="2140" w:header="0" w:footer="1243"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5"/>
        </w:rPr>
        <w:t>块和初孵幼虫；</w:t>
      </w:r>
    </w:p>
    <w:p>
      <w:pPr>
        <w:pStyle w:val="BodyText"/>
        <w:ind w:right="225" w:firstLine="740"/>
        <w:spacing w:before="165" w:line="301" w:lineRule="auto"/>
        <w:rPr>
          <w:sz w:val="29"/>
          <w:szCs w:val="29"/>
        </w:rPr>
      </w:pPr>
      <w:r>
        <w:rPr>
          <w:sz w:val="29"/>
          <w:szCs w:val="29"/>
          <w:spacing w:val="6"/>
        </w:rPr>
        <w:t>(2)药物防治：可喷洒5%顺式氰戊菊酯乳油5000</w:t>
      </w:r>
      <w:r>
        <w:rPr>
          <w:sz w:val="29"/>
          <w:szCs w:val="29"/>
          <w:spacing w:val="5"/>
        </w:rPr>
        <w:t>—8000倍液、30%氟氰戊</w:t>
      </w:r>
      <w:r>
        <w:rPr>
          <w:sz w:val="29"/>
          <w:szCs w:val="29"/>
        </w:rPr>
        <w:t xml:space="preserve"> </w:t>
      </w:r>
      <w:r>
        <w:rPr>
          <w:sz w:val="29"/>
          <w:szCs w:val="29"/>
          <w:spacing w:val="-1"/>
        </w:rPr>
        <w:t>菊酯乳油2000—3000倍液或10%醚菊酯悬浮剂</w:t>
      </w:r>
      <w:r>
        <w:rPr>
          <w:sz w:val="29"/>
          <w:szCs w:val="29"/>
          <w:spacing w:val="-2"/>
        </w:rPr>
        <w:t>800—1500倍液等。</w:t>
      </w:r>
    </w:p>
    <w:p>
      <w:pPr>
        <w:pStyle w:val="BodyText"/>
        <w:spacing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尺蛾类</w:t>
      </w:r>
    </w:p>
    <w:p>
      <w:pPr>
        <w:ind w:left="600"/>
        <w:spacing w:before="156" w:line="221" w:lineRule="auto"/>
        <w:rPr>
          <w:rFonts w:ascii="SimHei" w:hAnsi="SimHei" w:eastAsia="SimHei" w:cs="SimHei"/>
          <w:sz w:val="29"/>
          <w:szCs w:val="29"/>
        </w:rPr>
      </w:pPr>
      <w:r>
        <w:drawing>
          <wp:anchor distT="0" distB="0" distL="0" distR="0" simplePos="0" relativeHeight="252226560" behindDoc="0" locked="0" layoutInCell="1" allowOverlap="1">
            <wp:simplePos x="0" y="0"/>
            <wp:positionH relativeFrom="column">
              <wp:posOffset>4375146</wp:posOffset>
            </wp:positionH>
            <wp:positionV relativeFrom="paragraph">
              <wp:posOffset>347424</wp:posOffset>
            </wp:positionV>
            <wp:extent cx="1574776" cy="1670040"/>
            <wp:effectExtent l="0" t="0" r="0" b="0"/>
            <wp:wrapNone/>
            <wp:docPr id="614" name="IM 614"/>
            <wp:cNvGraphicFramePr/>
            <a:graphic>
              <a:graphicData uri="http://schemas.openxmlformats.org/drawingml/2006/picture">
                <pic:pic>
                  <pic:nvPicPr>
                    <pic:cNvPr id="614" name="IM 614"/>
                    <pic:cNvPicPr/>
                  </pic:nvPicPr>
                  <pic:blipFill>
                    <a:blip r:embed="rId433"/>
                    <a:stretch>
                      <a:fillRect/>
                    </a:stretch>
                  </pic:blipFill>
                  <pic:spPr>
                    <a:xfrm rot="0">
                      <a:off x="0" y="0"/>
                      <a:ext cx="1574776" cy="1670040"/>
                    </a:xfrm>
                    <a:prstGeom prst="rect">
                      <a:avLst/>
                    </a:prstGeom>
                  </pic:spPr>
                </pic:pic>
              </a:graphicData>
            </a:graphic>
          </wp:anchor>
        </w:drawing>
      </w:r>
      <w:r>
        <w:rPr>
          <w:rFonts w:ascii="SimHei" w:hAnsi="SimHei" w:eastAsia="SimHei" w:cs="SimHei"/>
          <w:sz w:val="29"/>
          <w:szCs w:val="29"/>
          <w:spacing w:val="18"/>
        </w:rPr>
        <w:t>1)丝棉木金星尺蛾</w:t>
      </w:r>
    </w:p>
    <w:p>
      <w:pPr>
        <w:ind w:firstLine="4159"/>
        <w:spacing w:before="53" w:line="2600" w:lineRule="exact"/>
        <w:rPr/>
      </w:pPr>
      <w:r>
        <w:drawing>
          <wp:anchor distT="0" distB="0" distL="0" distR="0" simplePos="0" relativeHeight="252224512" behindDoc="0" locked="0" layoutInCell="1" allowOverlap="1">
            <wp:simplePos x="0" y="0"/>
            <wp:positionH relativeFrom="column">
              <wp:posOffset>793691</wp:posOffset>
            </wp:positionH>
            <wp:positionV relativeFrom="paragraph">
              <wp:posOffset>33954</wp:posOffset>
            </wp:positionV>
            <wp:extent cx="1714542" cy="1625586"/>
            <wp:effectExtent l="0" t="0" r="0" b="0"/>
            <wp:wrapNone/>
            <wp:docPr id="616" name="IM 616"/>
            <wp:cNvGraphicFramePr/>
            <a:graphic>
              <a:graphicData uri="http://schemas.openxmlformats.org/drawingml/2006/picture">
                <pic:pic>
                  <pic:nvPicPr>
                    <pic:cNvPr id="616" name="IM 616"/>
                    <pic:cNvPicPr/>
                  </pic:nvPicPr>
                  <pic:blipFill>
                    <a:blip r:embed="rId434"/>
                    <a:stretch>
                      <a:fillRect/>
                    </a:stretch>
                  </pic:blipFill>
                  <pic:spPr>
                    <a:xfrm rot="0">
                      <a:off x="0" y="0"/>
                      <a:ext cx="1714542" cy="1625586"/>
                    </a:xfrm>
                    <a:prstGeom prst="rect">
                      <a:avLst/>
                    </a:prstGeom>
                  </pic:spPr>
                </pic:pic>
              </a:graphicData>
            </a:graphic>
          </wp:anchor>
        </w:drawing>
      </w:r>
      <w:r>
        <w:rPr>
          <w:position w:val="-51"/>
        </w:rPr>
        <w:drawing>
          <wp:inline distT="0" distB="0" distL="0" distR="0">
            <wp:extent cx="1593915" cy="1650932"/>
            <wp:effectExtent l="0" t="0" r="0" b="0"/>
            <wp:docPr id="618" name="IM 618"/>
            <wp:cNvGraphicFramePr/>
            <a:graphic>
              <a:graphicData uri="http://schemas.openxmlformats.org/drawingml/2006/picture">
                <pic:pic>
                  <pic:nvPicPr>
                    <pic:cNvPr id="618" name="IM 618"/>
                    <pic:cNvPicPr/>
                  </pic:nvPicPr>
                  <pic:blipFill>
                    <a:blip r:embed="rId435"/>
                    <a:stretch>
                      <a:fillRect/>
                    </a:stretch>
                  </pic:blipFill>
                  <pic:spPr>
                    <a:xfrm rot="0">
                      <a:off x="0" y="0"/>
                      <a:ext cx="1593915" cy="1650932"/>
                    </a:xfrm>
                    <a:prstGeom prst="rect">
                      <a:avLst/>
                    </a:prstGeom>
                  </pic:spPr>
                </pic:pic>
              </a:graphicData>
            </a:graphic>
          </wp:inline>
        </w:drawing>
      </w:r>
    </w:p>
    <w:p>
      <w:pPr>
        <w:pStyle w:val="BodyText"/>
        <w:ind w:left="2749"/>
        <w:spacing w:before="109" w:line="219" w:lineRule="auto"/>
        <w:rPr>
          <w:sz w:val="24"/>
          <w:szCs w:val="24"/>
        </w:rPr>
      </w:pPr>
      <w:r>
        <w:rPr>
          <w:sz w:val="24"/>
          <w:szCs w:val="24"/>
          <w:spacing w:val="8"/>
        </w:rPr>
        <w:t>图6-2-52丝棉木金星尺蛾幼虫、蛹、成虫</w:t>
      </w:r>
    </w:p>
    <w:p>
      <w:pPr>
        <w:pStyle w:val="BodyText"/>
        <w:ind w:left="740"/>
        <w:spacing w:before="167" w:line="219" w:lineRule="auto"/>
        <w:rPr>
          <w:sz w:val="29"/>
          <w:szCs w:val="29"/>
        </w:rPr>
      </w:pPr>
      <w:r>
        <w:rPr>
          <w:sz w:val="29"/>
          <w:szCs w:val="29"/>
          <w:spacing w:val="6"/>
        </w:rPr>
        <w:t>(1)危害植物：黄杨、丝棉木、榆、杨、柳、扶芳藤等；</w:t>
      </w:r>
    </w:p>
    <w:p>
      <w:pPr>
        <w:pStyle w:val="BodyText"/>
        <w:ind w:right="219" w:firstLine="740"/>
        <w:spacing w:before="136" w:line="270" w:lineRule="auto"/>
        <w:rPr>
          <w:sz w:val="29"/>
          <w:szCs w:val="29"/>
        </w:rPr>
      </w:pPr>
      <w:r>
        <w:rPr>
          <w:sz w:val="29"/>
          <w:szCs w:val="29"/>
          <w:spacing w:val="2"/>
        </w:rPr>
        <w:t>(2)发病时期：5月上中旬、6月下旬至7月初、9月下旬至10月中旬均为幼</w:t>
      </w:r>
      <w:r>
        <w:rPr>
          <w:sz w:val="29"/>
          <w:szCs w:val="29"/>
          <w:spacing w:val="8"/>
        </w:rPr>
        <w:t xml:space="preserve"> </w:t>
      </w:r>
      <w:r>
        <w:rPr>
          <w:sz w:val="29"/>
          <w:szCs w:val="29"/>
          <w:spacing w:val="-7"/>
        </w:rPr>
        <w:t>虫为害盛期；</w:t>
      </w:r>
    </w:p>
    <w:p>
      <w:pPr>
        <w:pStyle w:val="BodyText"/>
        <w:ind w:left="740"/>
        <w:spacing w:before="131" w:line="219" w:lineRule="auto"/>
        <w:rPr>
          <w:sz w:val="29"/>
          <w:szCs w:val="29"/>
        </w:rPr>
      </w:pPr>
      <w:r>
        <w:rPr>
          <w:sz w:val="29"/>
          <w:szCs w:val="29"/>
          <w:spacing w:val="6"/>
        </w:rPr>
        <w:t>(3)分布省份：华北、中南、华东、西北、东北地区等；</w:t>
      </w:r>
    </w:p>
    <w:p>
      <w:pPr>
        <w:pStyle w:val="BodyText"/>
        <w:ind w:firstLine="740"/>
        <w:spacing w:before="125" w:line="294" w:lineRule="auto"/>
        <w:rPr>
          <w:sz w:val="29"/>
          <w:szCs w:val="29"/>
        </w:rPr>
      </w:pPr>
      <w:r>
        <w:rPr>
          <w:sz w:val="29"/>
          <w:szCs w:val="29"/>
          <w:spacing w:val="9"/>
        </w:rPr>
        <w:t>(4)表现症状：幼虫在背光叶片上取食，1—2龄幼虫取食嫩</w:t>
      </w:r>
      <w:r>
        <w:rPr>
          <w:sz w:val="29"/>
          <w:szCs w:val="29"/>
          <w:spacing w:val="8"/>
        </w:rPr>
        <w:t>叶叶肉，残留</w:t>
      </w:r>
      <w:r>
        <w:rPr>
          <w:sz w:val="29"/>
          <w:szCs w:val="29"/>
        </w:rPr>
        <w:t xml:space="preserve"> </w:t>
      </w:r>
      <w:r>
        <w:rPr>
          <w:sz w:val="29"/>
          <w:szCs w:val="29"/>
          <w:spacing w:val="4"/>
        </w:rPr>
        <w:t>上表皮，或咬成小孔，有时亦取食撤芽；3龄幼</w:t>
      </w:r>
      <w:r>
        <w:rPr>
          <w:sz w:val="29"/>
          <w:szCs w:val="29"/>
          <w:spacing w:val="3"/>
        </w:rPr>
        <w:t>虫从叶缘取食，食成大小不等的</w:t>
      </w:r>
      <w:r>
        <w:rPr>
          <w:sz w:val="29"/>
          <w:szCs w:val="29"/>
        </w:rPr>
        <w:t xml:space="preserve"> </w:t>
      </w:r>
      <w:r>
        <w:rPr>
          <w:sz w:val="29"/>
          <w:szCs w:val="29"/>
          <w:spacing w:val="8"/>
        </w:rPr>
        <w:t>缺刻；4龄幼虫取食整个叶片仅留叶柄；5龄</w:t>
      </w:r>
      <w:r>
        <w:rPr>
          <w:sz w:val="29"/>
          <w:szCs w:val="29"/>
          <w:spacing w:val="7"/>
        </w:rPr>
        <w:t>幼虫不仅可取食叶柄，还可啃食枝</w:t>
      </w:r>
      <w:r>
        <w:rPr>
          <w:sz w:val="29"/>
          <w:szCs w:val="29"/>
        </w:rPr>
        <w:t xml:space="preserve"> </w:t>
      </w:r>
      <w:r>
        <w:rPr>
          <w:sz w:val="29"/>
          <w:szCs w:val="29"/>
          <w:spacing w:val="-5"/>
        </w:rPr>
        <w:t>条皮层和嫩茎。</w:t>
      </w:r>
    </w:p>
    <w:p>
      <w:pPr>
        <w:ind w:left="610"/>
        <w:spacing w:before="193" w:line="221" w:lineRule="auto"/>
        <w:rPr>
          <w:rFonts w:ascii="SimHei" w:hAnsi="SimHei" w:eastAsia="SimHei" w:cs="SimHei"/>
          <w:sz w:val="29"/>
          <w:szCs w:val="29"/>
        </w:rPr>
      </w:pPr>
      <w:r>
        <w:rPr>
          <w:rFonts w:ascii="SimHei" w:hAnsi="SimHei" w:eastAsia="SimHei" w:cs="SimHei"/>
          <w:sz w:val="29"/>
          <w:szCs w:val="29"/>
          <w:spacing w:val="28"/>
        </w:rPr>
        <w:t>2)国槐尺蛾</w:t>
      </w:r>
    </w:p>
    <w:p>
      <w:pPr>
        <w:ind w:firstLine="1400"/>
        <w:spacing w:before="24" w:line="2660" w:lineRule="exact"/>
        <w:rPr/>
      </w:pPr>
      <w:r>
        <w:drawing>
          <wp:anchor distT="0" distB="0" distL="0" distR="0" simplePos="0" relativeHeight="252225536" behindDoc="0" locked="0" layoutInCell="1" allowOverlap="1">
            <wp:simplePos x="0" y="0"/>
            <wp:positionH relativeFrom="column">
              <wp:posOffset>2622511</wp:posOffset>
            </wp:positionH>
            <wp:positionV relativeFrom="paragraph">
              <wp:posOffset>14977</wp:posOffset>
            </wp:positionV>
            <wp:extent cx="1600264" cy="1695387"/>
            <wp:effectExtent l="0" t="0" r="0" b="0"/>
            <wp:wrapNone/>
            <wp:docPr id="620" name="IM 620"/>
            <wp:cNvGraphicFramePr/>
            <a:graphic>
              <a:graphicData uri="http://schemas.openxmlformats.org/drawingml/2006/picture">
                <pic:pic>
                  <pic:nvPicPr>
                    <pic:cNvPr id="620" name="IM 620"/>
                    <pic:cNvPicPr/>
                  </pic:nvPicPr>
                  <pic:blipFill>
                    <a:blip r:embed="rId436"/>
                    <a:stretch>
                      <a:fillRect/>
                    </a:stretch>
                  </pic:blipFill>
                  <pic:spPr>
                    <a:xfrm rot="0">
                      <a:off x="0" y="0"/>
                      <a:ext cx="1600264" cy="1695387"/>
                    </a:xfrm>
                    <a:prstGeom prst="rect">
                      <a:avLst/>
                    </a:prstGeom>
                  </pic:spPr>
                </pic:pic>
              </a:graphicData>
            </a:graphic>
          </wp:anchor>
        </w:drawing>
      </w:r>
      <w:r>
        <w:drawing>
          <wp:anchor distT="0" distB="0" distL="0" distR="0" simplePos="0" relativeHeight="252223488" behindDoc="0" locked="0" layoutInCell="1" allowOverlap="1">
            <wp:simplePos x="0" y="0"/>
            <wp:positionH relativeFrom="column">
              <wp:posOffset>4292612</wp:posOffset>
            </wp:positionH>
            <wp:positionV relativeFrom="paragraph">
              <wp:posOffset>14977</wp:posOffset>
            </wp:positionV>
            <wp:extent cx="1714450" cy="1689148"/>
            <wp:effectExtent l="0" t="0" r="0" b="0"/>
            <wp:wrapNone/>
            <wp:docPr id="622" name="IM 622"/>
            <wp:cNvGraphicFramePr/>
            <a:graphic>
              <a:graphicData uri="http://schemas.openxmlformats.org/drawingml/2006/picture">
                <pic:pic>
                  <pic:nvPicPr>
                    <pic:cNvPr id="622" name="IM 622"/>
                    <pic:cNvPicPr/>
                  </pic:nvPicPr>
                  <pic:blipFill>
                    <a:blip r:embed="rId437"/>
                    <a:stretch>
                      <a:fillRect/>
                    </a:stretch>
                  </pic:blipFill>
                  <pic:spPr>
                    <a:xfrm rot="0">
                      <a:off x="0" y="0"/>
                      <a:ext cx="1714450" cy="1689148"/>
                    </a:xfrm>
                    <a:prstGeom prst="rect">
                      <a:avLst/>
                    </a:prstGeom>
                  </pic:spPr>
                </pic:pic>
              </a:graphicData>
            </a:graphic>
          </wp:anchor>
        </w:drawing>
      </w:r>
      <w:r>
        <w:rPr>
          <w:position w:val="-53"/>
        </w:rPr>
        <w:drawing>
          <wp:inline distT="0" distB="0" distL="0" distR="0">
            <wp:extent cx="1663659" cy="1689148"/>
            <wp:effectExtent l="0" t="0" r="0" b="0"/>
            <wp:docPr id="624" name="IM 624"/>
            <wp:cNvGraphicFramePr/>
            <a:graphic>
              <a:graphicData uri="http://schemas.openxmlformats.org/drawingml/2006/picture">
                <pic:pic>
                  <pic:nvPicPr>
                    <pic:cNvPr id="624" name="IM 624"/>
                    <pic:cNvPicPr/>
                  </pic:nvPicPr>
                  <pic:blipFill>
                    <a:blip r:embed="rId438"/>
                    <a:stretch>
                      <a:fillRect/>
                    </a:stretch>
                  </pic:blipFill>
                  <pic:spPr>
                    <a:xfrm rot="0">
                      <a:off x="0" y="0"/>
                      <a:ext cx="1663659" cy="1689148"/>
                    </a:xfrm>
                    <a:prstGeom prst="rect">
                      <a:avLst/>
                    </a:prstGeom>
                  </pic:spPr>
                </pic:pic>
              </a:graphicData>
            </a:graphic>
          </wp:inline>
        </w:drawing>
      </w:r>
    </w:p>
    <w:p>
      <w:pPr>
        <w:pStyle w:val="BodyText"/>
        <w:ind w:left="3129"/>
        <w:spacing w:before="108" w:line="219" w:lineRule="auto"/>
        <w:rPr>
          <w:sz w:val="24"/>
          <w:szCs w:val="24"/>
        </w:rPr>
      </w:pPr>
      <w:r>
        <w:rPr>
          <w:sz w:val="24"/>
          <w:szCs w:val="24"/>
          <w:spacing w:val="8"/>
        </w:rPr>
        <w:t>图6-2-53国槐尺蛾幼虫、蛹、成虫</w:t>
      </w:r>
    </w:p>
    <w:p>
      <w:pPr>
        <w:pStyle w:val="BodyText"/>
        <w:ind w:left="740"/>
        <w:spacing w:before="169" w:line="219" w:lineRule="auto"/>
        <w:rPr>
          <w:sz w:val="29"/>
          <w:szCs w:val="29"/>
        </w:rPr>
      </w:pPr>
      <w:r>
        <w:rPr>
          <w:sz w:val="29"/>
          <w:szCs w:val="29"/>
          <w:spacing w:val="6"/>
        </w:rPr>
        <w:t>(1)危害植物：国槐、龙爪槐等，有时也为害刺槐；</w:t>
      </w:r>
    </w:p>
    <w:p>
      <w:pPr>
        <w:pStyle w:val="BodyText"/>
        <w:ind w:right="794" w:firstLine="740"/>
        <w:spacing w:before="157" w:line="270" w:lineRule="auto"/>
        <w:rPr>
          <w:sz w:val="29"/>
          <w:szCs w:val="29"/>
        </w:rPr>
      </w:pPr>
      <w:r>
        <w:rPr>
          <w:sz w:val="29"/>
          <w:szCs w:val="29"/>
          <w:spacing w:val="3"/>
        </w:rPr>
        <w:t>(2)发病时期：为害盛期分别为5月下旬、</w:t>
      </w:r>
      <w:r>
        <w:rPr>
          <w:sz w:val="29"/>
          <w:szCs w:val="29"/>
          <w:spacing w:val="2"/>
        </w:rPr>
        <w:t>7月中旬及8月下旬至9月上</w:t>
      </w:r>
      <w:r>
        <w:rPr>
          <w:sz w:val="29"/>
          <w:szCs w:val="29"/>
        </w:rPr>
        <w:t xml:space="preserve"> </w:t>
      </w:r>
      <w:r>
        <w:rPr>
          <w:sz w:val="29"/>
          <w:szCs w:val="29"/>
          <w:spacing w:val="-12"/>
        </w:rPr>
        <w:t>旬；</w:t>
      </w:r>
    </w:p>
    <w:p>
      <w:pPr>
        <w:pStyle w:val="BodyText"/>
        <w:ind w:right="311" w:firstLine="740"/>
        <w:spacing w:before="110" w:line="278" w:lineRule="auto"/>
        <w:rPr>
          <w:sz w:val="29"/>
          <w:szCs w:val="29"/>
        </w:rPr>
      </w:pPr>
      <w:r>
        <w:rPr>
          <w:sz w:val="29"/>
          <w:szCs w:val="29"/>
          <w:spacing w:val="-9"/>
        </w:rPr>
        <w:t>(3)分布省份：主要分布于北京、河北、山东、江苏、浙江、江西、台湾、</w:t>
      </w:r>
      <w:r>
        <w:rPr>
          <w:sz w:val="29"/>
          <w:szCs w:val="29"/>
          <w:spacing w:val="5"/>
        </w:rPr>
        <w:t xml:space="preserve"> </w:t>
      </w:r>
      <w:r>
        <w:rPr>
          <w:sz w:val="29"/>
          <w:szCs w:val="29"/>
          <w:spacing w:val="-3"/>
        </w:rPr>
        <w:t>陕西、甘肃、西藏等地；</w:t>
      </w:r>
    </w:p>
    <w:p>
      <w:pPr>
        <w:pStyle w:val="BodyText"/>
        <w:ind w:right="215" w:firstLine="740"/>
        <w:spacing w:before="127" w:line="269" w:lineRule="auto"/>
        <w:rPr>
          <w:sz w:val="29"/>
          <w:szCs w:val="29"/>
        </w:rPr>
      </w:pPr>
      <w:r>
        <w:rPr>
          <w:sz w:val="29"/>
          <w:szCs w:val="29"/>
          <w:spacing w:val="7"/>
        </w:rPr>
        <w:t>(4)表现症状：幼虫孵化后即开始取食，幼龄幼虫食叶呈网状，3龄以后</w:t>
      </w:r>
      <w:r>
        <w:rPr>
          <w:sz w:val="29"/>
          <w:szCs w:val="29"/>
        </w:rPr>
        <w:t xml:space="preserve"> </w:t>
      </w:r>
      <w:r>
        <w:rPr>
          <w:sz w:val="29"/>
          <w:szCs w:val="29"/>
        </w:rPr>
        <w:t>取食叶肉，仅留中脉，严重时可使植株死亡。</w:t>
      </w:r>
    </w:p>
    <w:p>
      <w:pPr>
        <w:spacing w:line="269" w:lineRule="auto"/>
        <w:sectPr>
          <w:footerReference w:type="default" r:id="rId432"/>
          <w:pgSz w:w="14490" w:h="20470"/>
          <w:pgMar w:top="400" w:right="2173" w:bottom="1410" w:left="2140" w:header="0" w:footer="1212"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ind w:left="600"/>
        <w:spacing w:before="94" w:line="221" w:lineRule="auto"/>
        <w:rPr>
          <w:rFonts w:ascii="SimHei" w:hAnsi="SimHei" w:eastAsia="SimHei" w:cs="SimHei"/>
          <w:sz w:val="29"/>
          <w:szCs w:val="29"/>
        </w:rPr>
      </w:pPr>
      <w:r>
        <w:rPr>
          <w:rFonts w:ascii="SimHei" w:hAnsi="SimHei" w:eastAsia="SimHei" w:cs="SimHei"/>
          <w:sz w:val="29"/>
          <w:szCs w:val="29"/>
          <w:spacing w:val="29"/>
        </w:rPr>
        <w:t>3)防治方法</w:t>
      </w:r>
    </w:p>
    <w:p>
      <w:pPr>
        <w:pStyle w:val="BodyText"/>
        <w:ind w:left="730"/>
        <w:spacing w:before="125" w:line="219" w:lineRule="auto"/>
        <w:rPr>
          <w:sz w:val="29"/>
          <w:szCs w:val="29"/>
        </w:rPr>
      </w:pPr>
      <w:r>
        <w:rPr>
          <w:sz w:val="29"/>
          <w:szCs w:val="29"/>
          <w:spacing w:val="-16"/>
        </w:rPr>
        <w:t>(1)  人工防治：冬季松土灭蛹；利用吐丝下垂习性，</w:t>
      </w:r>
      <w:r>
        <w:rPr>
          <w:sz w:val="29"/>
          <w:szCs w:val="29"/>
          <w:spacing w:val="-17"/>
        </w:rPr>
        <w:t>可震落收集幼虫捕杀；</w:t>
      </w:r>
    </w:p>
    <w:p>
      <w:pPr>
        <w:pStyle w:val="BodyText"/>
        <w:ind w:left="730"/>
        <w:spacing w:before="136" w:line="219" w:lineRule="auto"/>
        <w:rPr>
          <w:sz w:val="29"/>
          <w:szCs w:val="29"/>
        </w:rPr>
      </w:pPr>
      <w:r>
        <w:rPr>
          <w:rFonts w:ascii="Times New Roman" w:hAnsi="Times New Roman" w:eastAsia="Times New Roman" w:cs="Times New Roman"/>
          <w:sz w:val="29"/>
          <w:szCs w:val="29"/>
          <w:spacing w:val="2"/>
        </w:rPr>
        <w:t>2      </w:t>
      </w:r>
      <w:r>
        <w:rPr>
          <w:sz w:val="29"/>
          <w:szCs w:val="29"/>
          <w:spacing w:val="2"/>
        </w:rPr>
        <w:t>化学防治：幼虫发生期，喷50%杀螟松乳油或50%辛硫磷，并</w:t>
      </w:r>
      <w:r>
        <w:rPr>
          <w:sz w:val="29"/>
          <w:szCs w:val="29"/>
          <w:spacing w:val="1"/>
        </w:rPr>
        <w:t>可利用幼</w:t>
      </w:r>
    </w:p>
    <w:p>
      <w:pPr>
        <w:pStyle w:val="BodyText"/>
        <w:spacing w:before="146" w:line="219" w:lineRule="auto"/>
        <w:rPr>
          <w:sz w:val="29"/>
          <w:szCs w:val="29"/>
        </w:rPr>
      </w:pPr>
      <w:r>
        <w:rPr>
          <w:sz w:val="29"/>
          <w:szCs w:val="29"/>
        </w:rPr>
        <w:t>虫下树化蛹越冬习性，涂毒环阻杀幼虫。</w:t>
      </w:r>
    </w:p>
    <w:p>
      <w:pPr>
        <w:pStyle w:val="BodyText"/>
        <w:spacing w:before="131"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大蚕蛾类</w:t>
      </w:r>
    </w:p>
    <w:p>
      <w:pPr>
        <w:ind w:left="600"/>
        <w:spacing w:before="190" w:line="223" w:lineRule="auto"/>
        <w:rPr>
          <w:rFonts w:ascii="SimHei" w:hAnsi="SimHei" w:eastAsia="SimHei" w:cs="SimHei"/>
          <w:sz w:val="29"/>
          <w:szCs w:val="29"/>
        </w:rPr>
      </w:pPr>
      <w:r>
        <w:rPr>
          <w:rFonts w:ascii="SimHei" w:hAnsi="SimHei" w:eastAsia="SimHei" w:cs="SimHei"/>
          <w:sz w:val="29"/>
          <w:szCs w:val="29"/>
          <w:spacing w:val="32"/>
        </w:rPr>
        <w:t>1)</w:t>
      </w:r>
      <w:r>
        <w:rPr>
          <w:rFonts w:ascii="SimHei" w:hAnsi="SimHei" w:eastAsia="SimHei" w:cs="SimHei"/>
          <w:sz w:val="29"/>
          <w:szCs w:val="29"/>
          <w:spacing w:val="32"/>
        </w:rPr>
        <w:t xml:space="preserve"> </w:t>
      </w:r>
      <w:r>
        <w:rPr>
          <w:rFonts w:ascii="SimHei" w:hAnsi="SimHei" w:eastAsia="SimHei" w:cs="SimHei"/>
          <w:sz w:val="29"/>
          <w:szCs w:val="29"/>
          <w:spacing w:val="32"/>
        </w:rPr>
        <w:t>樟蚕(枫蚕)</w:t>
      </w:r>
    </w:p>
    <w:p>
      <w:pPr>
        <w:ind w:firstLine="1889"/>
        <w:spacing w:before="97" w:line="2049" w:lineRule="exact"/>
        <w:rPr/>
      </w:pPr>
      <w:r>
        <w:drawing>
          <wp:anchor distT="0" distB="0" distL="0" distR="0" simplePos="0" relativeHeight="252229632" behindDoc="0" locked="0" layoutInCell="1" allowOverlap="1">
            <wp:simplePos x="0" y="0"/>
            <wp:positionH relativeFrom="column">
              <wp:posOffset>3568665</wp:posOffset>
            </wp:positionH>
            <wp:positionV relativeFrom="paragraph">
              <wp:posOffset>61616</wp:posOffset>
            </wp:positionV>
            <wp:extent cx="2019284" cy="1301664"/>
            <wp:effectExtent l="0" t="0" r="0" b="0"/>
            <wp:wrapNone/>
            <wp:docPr id="626" name="IM 626"/>
            <wp:cNvGraphicFramePr/>
            <a:graphic>
              <a:graphicData uri="http://schemas.openxmlformats.org/drawingml/2006/picture">
                <pic:pic>
                  <pic:nvPicPr>
                    <pic:cNvPr id="626" name="IM 626"/>
                    <pic:cNvPicPr/>
                  </pic:nvPicPr>
                  <pic:blipFill>
                    <a:blip r:embed="rId440"/>
                    <a:stretch>
                      <a:fillRect/>
                    </a:stretch>
                  </pic:blipFill>
                  <pic:spPr>
                    <a:xfrm rot="0">
                      <a:off x="0" y="0"/>
                      <a:ext cx="2019284" cy="1301664"/>
                    </a:xfrm>
                    <a:prstGeom prst="rect">
                      <a:avLst/>
                    </a:prstGeom>
                  </pic:spPr>
                </pic:pic>
              </a:graphicData>
            </a:graphic>
          </wp:anchor>
        </w:drawing>
      </w:r>
      <w:r>
        <w:rPr>
          <w:position w:val="-40"/>
        </w:rPr>
        <w:drawing>
          <wp:inline distT="0" distB="0" distL="0" distR="0">
            <wp:extent cx="2247932" cy="1301664"/>
            <wp:effectExtent l="0" t="0" r="0" b="0"/>
            <wp:docPr id="628" name="IM 628"/>
            <wp:cNvGraphicFramePr/>
            <a:graphic>
              <a:graphicData uri="http://schemas.openxmlformats.org/drawingml/2006/picture">
                <pic:pic>
                  <pic:nvPicPr>
                    <pic:cNvPr id="628" name="IM 628"/>
                    <pic:cNvPicPr/>
                  </pic:nvPicPr>
                  <pic:blipFill>
                    <a:blip r:embed="rId441"/>
                    <a:stretch>
                      <a:fillRect/>
                    </a:stretch>
                  </pic:blipFill>
                  <pic:spPr>
                    <a:xfrm rot="0">
                      <a:off x="0" y="0"/>
                      <a:ext cx="2247932" cy="1301664"/>
                    </a:xfrm>
                    <a:prstGeom prst="rect">
                      <a:avLst/>
                    </a:prstGeom>
                  </pic:spPr>
                </pic:pic>
              </a:graphicData>
            </a:graphic>
          </wp:inline>
        </w:drawing>
      </w:r>
    </w:p>
    <w:p>
      <w:pPr>
        <w:pStyle w:val="BodyText"/>
        <w:ind w:left="3630"/>
        <w:spacing w:before="91" w:line="219" w:lineRule="auto"/>
        <w:rPr>
          <w:sz w:val="26"/>
          <w:szCs w:val="26"/>
        </w:rPr>
      </w:pPr>
      <w:r>
        <w:rPr>
          <w:sz w:val="26"/>
          <w:szCs w:val="26"/>
          <w:spacing w:val="-9"/>
        </w:rPr>
        <w:t>图6-2-54樟蚕幼虫、成虫</w:t>
      </w:r>
    </w:p>
    <w:p>
      <w:pPr>
        <w:pStyle w:val="BodyText"/>
        <w:ind w:right="111" w:firstLine="730"/>
        <w:spacing w:before="161" w:line="263" w:lineRule="auto"/>
        <w:rPr>
          <w:sz w:val="29"/>
          <w:szCs w:val="29"/>
        </w:rPr>
      </w:pPr>
      <w:r>
        <w:rPr>
          <w:sz w:val="29"/>
          <w:szCs w:val="29"/>
          <w:spacing w:val="6"/>
        </w:rPr>
        <w:t>(1)危害植物：樟树、枫树、桦木、檫木、银杏、</w:t>
      </w:r>
      <w:r>
        <w:rPr>
          <w:sz w:val="29"/>
          <w:szCs w:val="29"/>
          <w:spacing w:val="5"/>
        </w:rPr>
        <w:t>柜柳、野蔷薇、沙梨、</w:t>
      </w:r>
      <w:r>
        <w:rPr>
          <w:sz w:val="29"/>
          <w:szCs w:val="29"/>
        </w:rPr>
        <w:t xml:space="preserve"> </w:t>
      </w:r>
      <w:r>
        <w:rPr>
          <w:sz w:val="29"/>
          <w:szCs w:val="29"/>
          <w:spacing w:val="-2"/>
        </w:rPr>
        <w:t>番石榴、紫壳木及柯树等；</w:t>
      </w:r>
    </w:p>
    <w:p>
      <w:pPr>
        <w:pStyle w:val="BodyText"/>
        <w:ind w:left="730"/>
        <w:spacing w:before="166" w:line="219" w:lineRule="auto"/>
        <w:rPr>
          <w:sz w:val="29"/>
          <w:szCs w:val="29"/>
        </w:rPr>
      </w:pPr>
      <w:r>
        <w:rPr>
          <w:sz w:val="29"/>
          <w:szCs w:val="29"/>
          <w:spacing w:val="8"/>
        </w:rPr>
        <w:t>(2)发病时期：5—8月幼虫为害；</w:t>
      </w:r>
    </w:p>
    <w:p>
      <w:pPr>
        <w:pStyle w:val="BodyText"/>
        <w:ind w:left="730"/>
        <w:spacing w:before="124" w:line="219" w:lineRule="auto"/>
        <w:rPr>
          <w:sz w:val="29"/>
          <w:szCs w:val="29"/>
        </w:rPr>
      </w:pPr>
      <w:r>
        <w:rPr>
          <w:sz w:val="29"/>
          <w:szCs w:val="29"/>
          <w:spacing w:val="5"/>
        </w:rPr>
        <w:t>(3)分布省份：主要分布广东、广西、台湾、福建、湖南、江西等地；</w:t>
      </w:r>
    </w:p>
    <w:p>
      <w:pPr>
        <w:pStyle w:val="BodyText"/>
        <w:ind w:right="45" w:firstLine="730"/>
        <w:spacing w:before="169" w:line="262" w:lineRule="auto"/>
        <w:rPr>
          <w:sz w:val="29"/>
          <w:szCs w:val="29"/>
        </w:rPr>
      </w:pPr>
      <w:r>
        <w:rPr>
          <w:sz w:val="29"/>
          <w:szCs w:val="29"/>
          <w:spacing w:val="3"/>
        </w:rPr>
        <w:t>(4)表现症状：1—3龄幼虫群集取食，4龄以后分散为害，幼虫食叶，呈缺</w:t>
      </w:r>
      <w:r>
        <w:rPr>
          <w:sz w:val="29"/>
          <w:szCs w:val="29"/>
          <w:spacing w:val="5"/>
        </w:rPr>
        <w:t xml:space="preserve"> </w:t>
      </w:r>
      <w:r>
        <w:rPr>
          <w:sz w:val="29"/>
          <w:szCs w:val="29"/>
          <w:spacing w:val="-2"/>
        </w:rPr>
        <w:t>刻。</w:t>
      </w:r>
    </w:p>
    <w:p>
      <w:pPr>
        <w:ind w:left="600"/>
        <w:spacing w:before="93" w:line="221" w:lineRule="auto"/>
        <w:rPr>
          <w:rFonts w:ascii="SimHei" w:hAnsi="SimHei" w:eastAsia="SimHei" w:cs="SimHei"/>
          <w:sz w:val="29"/>
          <w:szCs w:val="29"/>
        </w:rPr>
      </w:pPr>
      <w:r>
        <w:drawing>
          <wp:anchor distT="0" distB="0" distL="0" distR="0" simplePos="0" relativeHeight="252230656" behindDoc="0" locked="0" layoutInCell="1" allowOverlap="1">
            <wp:simplePos x="0" y="0"/>
            <wp:positionH relativeFrom="column">
              <wp:posOffset>3441689</wp:posOffset>
            </wp:positionH>
            <wp:positionV relativeFrom="paragraph">
              <wp:posOffset>345202</wp:posOffset>
            </wp:positionV>
            <wp:extent cx="1911354" cy="1289056"/>
            <wp:effectExtent l="0" t="0" r="0" b="0"/>
            <wp:wrapNone/>
            <wp:docPr id="630" name="IM 630"/>
            <wp:cNvGraphicFramePr/>
            <a:graphic>
              <a:graphicData uri="http://schemas.openxmlformats.org/drawingml/2006/picture">
                <pic:pic>
                  <pic:nvPicPr>
                    <pic:cNvPr id="630" name="IM 630"/>
                    <pic:cNvPicPr/>
                  </pic:nvPicPr>
                  <pic:blipFill>
                    <a:blip r:embed="rId442"/>
                    <a:stretch>
                      <a:fillRect/>
                    </a:stretch>
                  </pic:blipFill>
                  <pic:spPr>
                    <a:xfrm rot="0">
                      <a:off x="0" y="0"/>
                      <a:ext cx="1911354" cy="1289056"/>
                    </a:xfrm>
                    <a:prstGeom prst="rect">
                      <a:avLst/>
                    </a:prstGeom>
                  </pic:spPr>
                </pic:pic>
              </a:graphicData>
            </a:graphic>
          </wp:anchor>
        </w:drawing>
      </w:r>
      <w:r>
        <w:rPr>
          <w:rFonts w:ascii="SimHei" w:hAnsi="SimHei" w:eastAsia="SimHei" w:cs="SimHei"/>
          <w:sz w:val="29"/>
          <w:szCs w:val="29"/>
          <w:spacing w:val="24"/>
        </w:rPr>
        <w:t>2)绿尾大蚕蛾</w:t>
      </w:r>
    </w:p>
    <w:p>
      <w:pPr>
        <w:ind w:firstLine="1989"/>
        <w:spacing w:before="154" w:line="4619" w:lineRule="exact"/>
        <w:rPr/>
      </w:pPr>
      <w:r>
        <w:drawing>
          <wp:anchor distT="0" distB="0" distL="0" distR="0" simplePos="0" relativeHeight="252228608" behindDoc="0" locked="0" layoutInCell="1" allowOverlap="1">
            <wp:simplePos x="0" y="0"/>
            <wp:positionH relativeFrom="column">
              <wp:posOffset>3448038</wp:posOffset>
            </wp:positionH>
            <wp:positionV relativeFrom="paragraph">
              <wp:posOffset>1469113</wp:posOffset>
            </wp:positionV>
            <wp:extent cx="1905006" cy="1568393"/>
            <wp:effectExtent l="0" t="0" r="0" b="0"/>
            <wp:wrapNone/>
            <wp:docPr id="632" name="IM 632"/>
            <wp:cNvGraphicFramePr/>
            <a:graphic>
              <a:graphicData uri="http://schemas.openxmlformats.org/drawingml/2006/picture">
                <pic:pic>
                  <pic:nvPicPr>
                    <pic:cNvPr id="632" name="IM 632"/>
                    <pic:cNvPicPr/>
                  </pic:nvPicPr>
                  <pic:blipFill>
                    <a:blip r:embed="rId443"/>
                    <a:stretch>
                      <a:fillRect/>
                    </a:stretch>
                  </pic:blipFill>
                  <pic:spPr>
                    <a:xfrm rot="0">
                      <a:off x="0" y="0"/>
                      <a:ext cx="1905006" cy="1568393"/>
                    </a:xfrm>
                    <a:prstGeom prst="rect">
                      <a:avLst/>
                    </a:prstGeom>
                  </pic:spPr>
                </pic:pic>
              </a:graphicData>
            </a:graphic>
          </wp:anchor>
        </w:drawing>
      </w:r>
      <w:r>
        <w:rPr>
          <w:position w:val="-92"/>
        </w:rPr>
        <w:drawing>
          <wp:inline distT="0" distB="0" distL="0" distR="0">
            <wp:extent cx="2089212" cy="2933619"/>
            <wp:effectExtent l="0" t="0" r="0" b="0"/>
            <wp:docPr id="634" name="IM 634"/>
            <wp:cNvGraphicFramePr/>
            <a:graphic>
              <a:graphicData uri="http://schemas.openxmlformats.org/drawingml/2006/picture">
                <pic:pic>
                  <pic:nvPicPr>
                    <pic:cNvPr id="634" name="IM 634"/>
                    <pic:cNvPicPr/>
                  </pic:nvPicPr>
                  <pic:blipFill>
                    <a:blip r:embed="rId444"/>
                    <a:stretch>
                      <a:fillRect/>
                    </a:stretch>
                  </pic:blipFill>
                  <pic:spPr>
                    <a:xfrm rot="0">
                      <a:off x="0" y="0"/>
                      <a:ext cx="2089212" cy="2933619"/>
                    </a:xfrm>
                    <a:prstGeom prst="rect">
                      <a:avLst/>
                    </a:prstGeom>
                  </pic:spPr>
                </pic:pic>
              </a:graphicData>
            </a:graphic>
          </wp:inline>
        </w:drawing>
      </w:r>
    </w:p>
    <w:p>
      <w:pPr>
        <w:pStyle w:val="BodyText"/>
        <w:ind w:left="2990"/>
        <w:spacing w:before="111" w:line="219" w:lineRule="auto"/>
        <w:rPr>
          <w:sz w:val="24"/>
          <w:szCs w:val="24"/>
        </w:rPr>
      </w:pPr>
      <w:r>
        <w:rPr>
          <w:sz w:val="24"/>
          <w:szCs w:val="24"/>
          <w:spacing w:val="8"/>
        </w:rPr>
        <w:t>图6-2-55绿尾大蚕蛾幼虫、成虫、卵</w:t>
      </w:r>
    </w:p>
    <w:p>
      <w:pPr>
        <w:pStyle w:val="BodyText"/>
        <w:ind w:left="730"/>
        <w:spacing w:before="145" w:line="219" w:lineRule="auto"/>
        <w:rPr>
          <w:sz w:val="29"/>
          <w:szCs w:val="29"/>
        </w:rPr>
      </w:pPr>
      <w:r>
        <w:rPr>
          <w:sz w:val="29"/>
          <w:szCs w:val="29"/>
          <w:spacing w:val="7"/>
        </w:rPr>
        <w:t>(1)危害植物：乌柏、杨、柳、樱桃等；</w:t>
      </w:r>
    </w:p>
    <w:p>
      <w:pPr>
        <w:pStyle w:val="BodyText"/>
        <w:ind w:right="767" w:firstLine="730"/>
        <w:spacing w:before="179" w:line="262" w:lineRule="auto"/>
        <w:rPr>
          <w:sz w:val="29"/>
          <w:szCs w:val="29"/>
        </w:rPr>
      </w:pPr>
      <w:r>
        <w:rPr>
          <w:sz w:val="29"/>
          <w:szCs w:val="29"/>
          <w:spacing w:val="-1"/>
        </w:rPr>
        <w:t>(2)发病时期：1代幼虫于5月下旬至6月上旬发生；2代幼虫8月中旬始</w:t>
      </w:r>
      <w:r>
        <w:rPr>
          <w:sz w:val="29"/>
          <w:szCs w:val="29"/>
          <w:spacing w:val="2"/>
        </w:rPr>
        <w:t xml:space="preserve"> </w:t>
      </w:r>
      <w:r>
        <w:rPr>
          <w:sz w:val="29"/>
          <w:szCs w:val="29"/>
          <w:spacing w:val="-2"/>
        </w:rPr>
        <w:t>发，为害至9月中下旬；</w:t>
      </w:r>
    </w:p>
    <w:p>
      <w:pPr>
        <w:pStyle w:val="BodyText"/>
        <w:ind w:right="84" w:firstLine="730"/>
        <w:spacing w:before="155" w:line="269" w:lineRule="auto"/>
        <w:rPr>
          <w:sz w:val="29"/>
          <w:szCs w:val="29"/>
        </w:rPr>
      </w:pPr>
      <w:r>
        <w:rPr>
          <w:sz w:val="29"/>
          <w:szCs w:val="29"/>
          <w:spacing w:val="6"/>
        </w:rPr>
        <w:t>(3)分布省份：北京、河北、河南、陕西、山东、江苏、湖北、湖南、浙</w:t>
      </w:r>
      <w:r>
        <w:rPr>
          <w:sz w:val="29"/>
          <w:szCs w:val="29"/>
          <w:spacing w:val="18"/>
        </w:rPr>
        <w:t xml:space="preserve"> </w:t>
      </w:r>
      <w:r>
        <w:rPr>
          <w:sz w:val="29"/>
          <w:szCs w:val="29"/>
          <w:spacing w:val="-3"/>
        </w:rPr>
        <w:t>江、台湾、广东等地；</w:t>
      </w:r>
    </w:p>
    <w:p>
      <w:pPr>
        <w:spacing w:line="269" w:lineRule="auto"/>
        <w:sectPr>
          <w:footerReference w:type="default" r:id="rId439"/>
          <w:pgSz w:w="14490" w:h="20470"/>
          <w:pgMar w:top="400" w:right="2173" w:bottom="1430" w:left="2150" w:header="0" w:footer="1232"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59" w:right="99" w:firstLine="680"/>
        <w:spacing w:before="94" w:line="314" w:lineRule="auto"/>
        <w:rPr>
          <w:sz w:val="29"/>
          <w:szCs w:val="29"/>
        </w:rPr>
      </w:pPr>
      <w:r>
        <w:rPr>
          <w:sz w:val="29"/>
          <w:szCs w:val="29"/>
          <w:spacing w:val="6"/>
        </w:rPr>
        <w:t>(4)表现症状：幼虫食叶，低龄幼虫食叶成缺刻或孔洞，稍大便把全叶吃</w:t>
      </w:r>
      <w:r>
        <w:rPr>
          <w:sz w:val="29"/>
          <w:szCs w:val="29"/>
          <w:spacing w:val="2"/>
        </w:rPr>
        <w:t xml:space="preserve"> </w:t>
      </w:r>
      <w:r>
        <w:rPr>
          <w:sz w:val="29"/>
          <w:szCs w:val="29"/>
          <w:spacing w:val="-3"/>
        </w:rPr>
        <w:t>光，仅残留叶柄或粗脉。</w:t>
      </w:r>
    </w:p>
    <w:p>
      <w:pPr>
        <w:ind w:left="600"/>
        <w:spacing w:before="31"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left="740"/>
        <w:spacing w:before="105" w:line="219" w:lineRule="auto"/>
        <w:rPr>
          <w:sz w:val="29"/>
          <w:szCs w:val="29"/>
        </w:rPr>
      </w:pPr>
      <w:r>
        <w:rPr>
          <w:sz w:val="29"/>
          <w:szCs w:val="29"/>
          <w:spacing w:val="6"/>
        </w:rPr>
        <w:t>(1)秋后至发芽前清除落叶、杂草，并摘除树上虫茧，集中处理；</w:t>
      </w:r>
    </w:p>
    <w:p>
      <w:pPr>
        <w:pStyle w:val="BodyText"/>
        <w:ind w:left="740"/>
        <w:spacing w:before="151" w:line="216" w:lineRule="auto"/>
        <w:rPr>
          <w:sz w:val="29"/>
          <w:szCs w:val="29"/>
        </w:rPr>
      </w:pPr>
      <w:r>
        <w:rPr>
          <w:sz w:val="29"/>
          <w:szCs w:val="29"/>
          <w:spacing w:val="16"/>
        </w:rPr>
        <w:t>(2)利用黑光灯诱蛾(成虫有趋光性),并结合管理捕杀幼虫；</w:t>
      </w:r>
    </w:p>
    <w:p>
      <w:pPr>
        <w:pStyle w:val="BodyText"/>
        <w:ind w:left="740"/>
        <w:spacing w:before="142" w:line="219" w:lineRule="auto"/>
        <w:rPr>
          <w:sz w:val="29"/>
          <w:szCs w:val="29"/>
        </w:rPr>
      </w:pPr>
      <w:r>
        <w:rPr>
          <w:sz w:val="29"/>
          <w:szCs w:val="29"/>
          <w:spacing w:val="7"/>
        </w:rPr>
        <w:t>(3)此虫不需单独防治，结合其他害虫，使</w:t>
      </w:r>
      <w:r>
        <w:rPr>
          <w:sz w:val="29"/>
          <w:szCs w:val="29"/>
          <w:spacing w:val="6"/>
        </w:rPr>
        <w:t>用药剂兼治即可。</w:t>
      </w:r>
    </w:p>
    <w:p>
      <w:pPr>
        <w:pStyle w:val="BodyText"/>
        <w:spacing w:before="156"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凤蝶类</w:t>
      </w:r>
    </w:p>
    <w:p>
      <w:pPr>
        <w:ind w:left="600"/>
        <w:spacing w:before="191" w:line="220" w:lineRule="auto"/>
        <w:rPr>
          <w:rFonts w:ascii="SimHei" w:hAnsi="SimHei" w:eastAsia="SimHei" w:cs="SimHei"/>
          <w:sz w:val="27"/>
          <w:szCs w:val="27"/>
        </w:rPr>
      </w:pPr>
      <w:r>
        <w:rPr>
          <w:rFonts w:ascii="SimHei" w:hAnsi="SimHei" w:eastAsia="SimHei" w:cs="SimHei"/>
          <w:sz w:val="27"/>
          <w:szCs w:val="27"/>
          <w:spacing w:val="43"/>
        </w:rPr>
        <w:t>1)柑桔凤蝶</w:t>
      </w:r>
    </w:p>
    <w:p>
      <w:pPr>
        <w:ind w:firstLine="829"/>
        <w:spacing w:line="2340" w:lineRule="exact"/>
        <w:rPr/>
      </w:pPr>
      <w:r>
        <w:rPr>
          <w:position w:val="-46"/>
        </w:rPr>
        <w:drawing>
          <wp:inline distT="0" distB="0" distL="0" distR="0">
            <wp:extent cx="5226068" cy="1485852"/>
            <wp:effectExtent l="0" t="0" r="0" b="0"/>
            <wp:docPr id="636" name="IM 636"/>
            <wp:cNvGraphicFramePr/>
            <a:graphic>
              <a:graphicData uri="http://schemas.openxmlformats.org/drawingml/2006/picture">
                <pic:pic>
                  <pic:nvPicPr>
                    <pic:cNvPr id="636" name="IM 636"/>
                    <pic:cNvPicPr/>
                  </pic:nvPicPr>
                  <pic:blipFill>
                    <a:blip r:embed="rId446"/>
                    <a:stretch>
                      <a:fillRect/>
                    </a:stretch>
                  </pic:blipFill>
                  <pic:spPr>
                    <a:xfrm rot="0">
                      <a:off x="0" y="0"/>
                      <a:ext cx="5226068" cy="1485852"/>
                    </a:xfrm>
                    <a:prstGeom prst="rect">
                      <a:avLst/>
                    </a:prstGeom>
                  </pic:spPr>
                </pic:pic>
              </a:graphicData>
            </a:graphic>
          </wp:inline>
        </w:drawing>
      </w:r>
    </w:p>
    <w:p>
      <w:pPr>
        <w:pStyle w:val="BodyText"/>
        <w:ind w:left="3129"/>
        <w:spacing w:before="100" w:line="219" w:lineRule="auto"/>
        <w:rPr>
          <w:sz w:val="24"/>
          <w:szCs w:val="24"/>
        </w:rPr>
      </w:pPr>
      <w:r>
        <w:rPr>
          <w:sz w:val="24"/>
          <w:szCs w:val="24"/>
          <w:spacing w:val="7"/>
        </w:rPr>
        <w:t>图6-2-56柑桔凤蝶卵、幼虫、成虫</w:t>
      </w:r>
    </w:p>
    <w:p>
      <w:pPr>
        <w:pStyle w:val="BodyText"/>
        <w:ind w:left="740"/>
        <w:spacing w:before="146" w:line="219" w:lineRule="auto"/>
        <w:rPr>
          <w:sz w:val="29"/>
          <w:szCs w:val="29"/>
        </w:rPr>
      </w:pPr>
      <w:r>
        <w:rPr>
          <w:sz w:val="29"/>
          <w:szCs w:val="29"/>
          <w:spacing w:val="-10"/>
        </w:rPr>
        <w:t>(1)危害植物：柑橘、金桔、佛手、枸桔、柠檬、</w:t>
      </w:r>
      <w:r>
        <w:rPr>
          <w:sz w:val="29"/>
          <w:szCs w:val="29"/>
          <w:spacing w:val="-11"/>
        </w:rPr>
        <w:t>黄梁、黄菠萝、柚子等；</w:t>
      </w:r>
    </w:p>
    <w:p>
      <w:pPr>
        <w:pStyle w:val="BodyText"/>
        <w:ind w:left="740"/>
        <w:spacing w:before="138" w:line="219" w:lineRule="auto"/>
        <w:rPr>
          <w:sz w:val="29"/>
          <w:szCs w:val="29"/>
        </w:rPr>
      </w:pPr>
      <w:r>
        <w:rPr>
          <w:sz w:val="29"/>
          <w:szCs w:val="29"/>
          <w:spacing w:val="3"/>
        </w:rPr>
        <w:t>(2)发病时期：大约5—10月幼虫食叶为害；</w:t>
      </w:r>
    </w:p>
    <w:p>
      <w:pPr>
        <w:pStyle w:val="BodyText"/>
        <w:ind w:left="740"/>
        <w:spacing w:before="154" w:line="219" w:lineRule="auto"/>
        <w:rPr>
          <w:sz w:val="29"/>
          <w:szCs w:val="29"/>
        </w:rPr>
      </w:pPr>
      <w:r>
        <w:rPr>
          <w:sz w:val="29"/>
          <w:szCs w:val="29"/>
          <w:spacing w:val="7"/>
        </w:rPr>
        <w:t>(3)分布省份：除新疆外，全国各省均有分布；</w:t>
      </w:r>
    </w:p>
    <w:p>
      <w:pPr>
        <w:pStyle w:val="BodyText"/>
        <w:ind w:left="59" w:right="321" w:firstLine="680"/>
        <w:spacing w:before="146" w:line="266" w:lineRule="auto"/>
        <w:rPr>
          <w:sz w:val="29"/>
          <w:szCs w:val="29"/>
        </w:rPr>
      </w:pPr>
      <w:r>
        <w:rPr>
          <w:sz w:val="29"/>
          <w:szCs w:val="29"/>
          <w:spacing w:val="-9"/>
        </w:rPr>
        <w:t>(4)表现症状：幼虫食芽、叶，初龄食成缺刻与孔洞，稍大常将</w:t>
      </w:r>
      <w:r>
        <w:rPr>
          <w:sz w:val="29"/>
          <w:szCs w:val="29"/>
          <w:spacing w:val="-10"/>
        </w:rPr>
        <w:t>叶片吃光，</w:t>
      </w:r>
      <w:r>
        <w:rPr>
          <w:sz w:val="29"/>
          <w:szCs w:val="29"/>
        </w:rPr>
        <w:t xml:space="preserve"> </w:t>
      </w:r>
      <w:r>
        <w:rPr>
          <w:sz w:val="29"/>
          <w:szCs w:val="29"/>
          <w:spacing w:val="-8"/>
        </w:rPr>
        <w:t>只留叶柄。</w:t>
      </w:r>
    </w:p>
    <w:p>
      <w:pPr>
        <w:ind w:left="600"/>
        <w:spacing w:before="203" w:line="221" w:lineRule="auto"/>
        <w:rPr>
          <w:rFonts w:ascii="SimHei" w:hAnsi="SimHei" w:eastAsia="SimHei" w:cs="SimHei"/>
          <w:sz w:val="27"/>
          <w:szCs w:val="27"/>
        </w:rPr>
      </w:pPr>
      <w:r>
        <w:rPr>
          <w:rFonts w:ascii="SimHei" w:hAnsi="SimHei" w:eastAsia="SimHei" w:cs="SimHei"/>
          <w:sz w:val="27"/>
          <w:szCs w:val="27"/>
          <w:spacing w:val="13"/>
        </w:rPr>
        <w:t>2)</w:t>
      </w:r>
      <w:r>
        <w:rPr>
          <w:rFonts w:ascii="SimHei" w:hAnsi="SimHei" w:eastAsia="SimHei" w:cs="SimHei"/>
          <w:sz w:val="27"/>
          <w:szCs w:val="27"/>
          <w:spacing w:val="44"/>
        </w:rPr>
        <w:t xml:space="preserve"> </w:t>
      </w:r>
      <w:r>
        <w:rPr>
          <w:rFonts w:ascii="SimHei" w:hAnsi="SimHei" w:eastAsia="SimHei" w:cs="SimHei"/>
          <w:sz w:val="27"/>
          <w:szCs w:val="27"/>
          <w:spacing w:val="13"/>
        </w:rPr>
        <w:t>玉带凤蝶</w:t>
      </w:r>
    </w:p>
    <w:p>
      <w:pPr>
        <w:ind w:firstLine="1979"/>
        <w:spacing w:before="28" w:line="2070" w:lineRule="exact"/>
        <w:rPr/>
      </w:pPr>
      <w:r>
        <w:drawing>
          <wp:anchor distT="0" distB="0" distL="0" distR="0" simplePos="0" relativeHeight="252234752" behindDoc="0" locked="0" layoutInCell="1" allowOverlap="1">
            <wp:simplePos x="0" y="0"/>
            <wp:positionH relativeFrom="column">
              <wp:posOffset>3282970</wp:posOffset>
            </wp:positionH>
            <wp:positionV relativeFrom="paragraph">
              <wp:posOffset>30496</wp:posOffset>
            </wp:positionV>
            <wp:extent cx="1955796" cy="1314403"/>
            <wp:effectExtent l="0" t="0" r="0" b="0"/>
            <wp:wrapNone/>
            <wp:docPr id="638" name="IM 638"/>
            <wp:cNvGraphicFramePr/>
            <a:graphic>
              <a:graphicData uri="http://schemas.openxmlformats.org/drawingml/2006/picture">
                <pic:pic>
                  <pic:nvPicPr>
                    <pic:cNvPr id="638" name="IM 638"/>
                    <pic:cNvPicPr/>
                  </pic:nvPicPr>
                  <pic:blipFill>
                    <a:blip r:embed="rId447"/>
                    <a:stretch>
                      <a:fillRect/>
                    </a:stretch>
                  </pic:blipFill>
                  <pic:spPr>
                    <a:xfrm rot="0">
                      <a:off x="0" y="0"/>
                      <a:ext cx="1955796" cy="1314403"/>
                    </a:xfrm>
                    <a:prstGeom prst="rect">
                      <a:avLst/>
                    </a:prstGeom>
                  </pic:spPr>
                </pic:pic>
              </a:graphicData>
            </a:graphic>
          </wp:anchor>
        </w:drawing>
      </w:r>
      <w:r>
        <w:rPr>
          <w:position w:val="-41"/>
        </w:rPr>
        <w:drawing>
          <wp:inline distT="0" distB="0" distL="0" distR="0">
            <wp:extent cx="1841518" cy="1314533"/>
            <wp:effectExtent l="0" t="0" r="0" b="0"/>
            <wp:docPr id="640" name="IM 640"/>
            <wp:cNvGraphicFramePr/>
            <a:graphic>
              <a:graphicData uri="http://schemas.openxmlformats.org/drawingml/2006/picture">
                <pic:pic>
                  <pic:nvPicPr>
                    <pic:cNvPr id="640" name="IM 640"/>
                    <pic:cNvPicPr/>
                  </pic:nvPicPr>
                  <pic:blipFill>
                    <a:blip r:embed="rId448"/>
                    <a:stretch>
                      <a:fillRect/>
                    </a:stretch>
                  </pic:blipFill>
                  <pic:spPr>
                    <a:xfrm rot="0">
                      <a:off x="0" y="0"/>
                      <a:ext cx="1841518" cy="1314533"/>
                    </a:xfrm>
                    <a:prstGeom prst="rect">
                      <a:avLst/>
                    </a:prstGeom>
                  </pic:spPr>
                </pic:pic>
              </a:graphicData>
            </a:graphic>
          </wp:inline>
        </w:drawing>
      </w:r>
    </w:p>
    <w:p>
      <w:pPr>
        <w:ind w:firstLine="1949"/>
        <w:spacing w:before="210" w:line="2200" w:lineRule="exact"/>
        <w:rPr/>
      </w:pPr>
      <w:r>
        <w:drawing>
          <wp:anchor distT="0" distB="0" distL="0" distR="0" simplePos="0" relativeHeight="252233728" behindDoc="0" locked="0" layoutInCell="1" allowOverlap="1">
            <wp:simplePos x="0" y="0"/>
            <wp:positionH relativeFrom="column">
              <wp:posOffset>3302016</wp:posOffset>
            </wp:positionH>
            <wp:positionV relativeFrom="paragraph">
              <wp:posOffset>158711</wp:posOffset>
            </wp:positionV>
            <wp:extent cx="1936750" cy="1390574"/>
            <wp:effectExtent l="0" t="0" r="0" b="0"/>
            <wp:wrapNone/>
            <wp:docPr id="642" name="IM 642"/>
            <wp:cNvGraphicFramePr/>
            <a:graphic>
              <a:graphicData uri="http://schemas.openxmlformats.org/drawingml/2006/picture">
                <pic:pic>
                  <pic:nvPicPr>
                    <pic:cNvPr id="642" name="IM 642"/>
                    <pic:cNvPicPr/>
                  </pic:nvPicPr>
                  <pic:blipFill>
                    <a:blip r:embed="rId449"/>
                    <a:stretch>
                      <a:fillRect/>
                    </a:stretch>
                  </pic:blipFill>
                  <pic:spPr>
                    <a:xfrm rot="0">
                      <a:off x="0" y="0"/>
                      <a:ext cx="1936750" cy="1390574"/>
                    </a:xfrm>
                    <a:prstGeom prst="rect">
                      <a:avLst/>
                    </a:prstGeom>
                  </pic:spPr>
                </pic:pic>
              </a:graphicData>
            </a:graphic>
          </wp:anchor>
        </w:drawing>
      </w:r>
      <w:r>
        <w:rPr>
          <w:position w:val="-43"/>
        </w:rPr>
        <w:drawing>
          <wp:inline distT="0" distB="0" distL="0" distR="0">
            <wp:extent cx="1873262" cy="1396943"/>
            <wp:effectExtent l="0" t="0" r="0" b="0"/>
            <wp:docPr id="644" name="IM 644"/>
            <wp:cNvGraphicFramePr/>
            <a:graphic>
              <a:graphicData uri="http://schemas.openxmlformats.org/drawingml/2006/picture">
                <pic:pic>
                  <pic:nvPicPr>
                    <pic:cNvPr id="644" name="IM 644"/>
                    <pic:cNvPicPr/>
                  </pic:nvPicPr>
                  <pic:blipFill>
                    <a:blip r:embed="rId450"/>
                    <a:stretch>
                      <a:fillRect/>
                    </a:stretch>
                  </pic:blipFill>
                  <pic:spPr>
                    <a:xfrm rot="0">
                      <a:off x="0" y="0"/>
                      <a:ext cx="1873262" cy="1396943"/>
                    </a:xfrm>
                    <a:prstGeom prst="rect">
                      <a:avLst/>
                    </a:prstGeom>
                  </pic:spPr>
                </pic:pic>
              </a:graphicData>
            </a:graphic>
          </wp:inline>
        </w:drawing>
      </w:r>
    </w:p>
    <w:p>
      <w:pPr>
        <w:pStyle w:val="BodyText"/>
        <w:ind w:left="3129"/>
        <w:spacing w:before="130" w:line="219" w:lineRule="auto"/>
        <w:rPr>
          <w:sz w:val="24"/>
          <w:szCs w:val="24"/>
        </w:rPr>
      </w:pPr>
      <w:r>
        <w:rPr>
          <w:sz w:val="24"/>
          <w:szCs w:val="24"/>
          <w:spacing w:val="7"/>
        </w:rPr>
        <w:t>图6-2-57玉带凤蝶卵、幼虫、成虫</w:t>
      </w:r>
    </w:p>
    <w:p>
      <w:pPr>
        <w:pStyle w:val="BodyText"/>
        <w:ind w:left="740"/>
        <w:spacing w:before="137" w:line="219" w:lineRule="auto"/>
        <w:rPr>
          <w:sz w:val="29"/>
          <w:szCs w:val="29"/>
        </w:rPr>
      </w:pPr>
      <w:r>
        <w:rPr>
          <w:sz w:val="29"/>
          <w:szCs w:val="29"/>
          <w:spacing w:val="6"/>
        </w:rPr>
        <w:t>(1)危害植物：柑橘、九里香、樟、桔梗、花椒、</w:t>
      </w:r>
      <w:r>
        <w:rPr>
          <w:sz w:val="29"/>
          <w:szCs w:val="29"/>
          <w:spacing w:val="5"/>
        </w:rPr>
        <w:t>山椒等；</w:t>
      </w:r>
    </w:p>
    <w:p>
      <w:pPr>
        <w:pStyle w:val="BodyText"/>
        <w:ind w:left="740"/>
        <w:spacing w:before="156" w:line="219" w:lineRule="auto"/>
        <w:rPr>
          <w:sz w:val="29"/>
          <w:szCs w:val="29"/>
        </w:rPr>
      </w:pPr>
      <w:r>
        <w:rPr>
          <w:sz w:val="29"/>
          <w:szCs w:val="29"/>
          <w:spacing w:val="4"/>
        </w:rPr>
        <w:t>(2)发病时期：幼虫3—10月均可出现，热带</w:t>
      </w:r>
      <w:r>
        <w:rPr>
          <w:sz w:val="29"/>
          <w:szCs w:val="29"/>
          <w:spacing w:val="3"/>
        </w:rPr>
        <w:t>终年可见；</w:t>
      </w:r>
    </w:p>
    <w:p>
      <w:pPr>
        <w:pStyle w:val="BodyText"/>
        <w:ind w:left="740"/>
        <w:spacing w:before="154" w:line="219" w:lineRule="auto"/>
        <w:rPr>
          <w:sz w:val="29"/>
          <w:szCs w:val="29"/>
        </w:rPr>
      </w:pPr>
      <w:r>
        <w:rPr>
          <w:sz w:val="29"/>
          <w:szCs w:val="29"/>
          <w:spacing w:val="6"/>
        </w:rPr>
        <w:t>(3)分布省份：黄河以南一直到台湾岛、海南岛均</w:t>
      </w:r>
      <w:r>
        <w:rPr>
          <w:sz w:val="29"/>
          <w:szCs w:val="29"/>
          <w:spacing w:val="5"/>
        </w:rPr>
        <w:t>有分布；</w:t>
      </w:r>
    </w:p>
    <w:p>
      <w:pPr>
        <w:pStyle w:val="BodyText"/>
        <w:ind w:left="740"/>
        <w:spacing w:before="148" w:line="219" w:lineRule="auto"/>
        <w:rPr>
          <w:sz w:val="29"/>
          <w:szCs w:val="29"/>
        </w:rPr>
      </w:pPr>
      <w:r>
        <w:rPr>
          <w:sz w:val="29"/>
          <w:szCs w:val="29"/>
          <w:spacing w:val="-9"/>
        </w:rPr>
        <w:t>(4)表现症状：幼虫食芽、叶，初龄食成缺刻与孔洞，稍大常将叶片吃光，</w:t>
      </w:r>
    </w:p>
    <w:p>
      <w:pPr>
        <w:spacing w:line="219" w:lineRule="auto"/>
        <w:sectPr>
          <w:footerReference w:type="default" r:id="rId445"/>
          <w:pgSz w:w="14490" w:h="20470"/>
          <w:pgMar w:top="400" w:right="2173" w:bottom="1423" w:left="2140" w:header="0" w:footer="1224"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5"/>
        </w:rPr>
        <w:t>只留叶柄。</w:t>
      </w:r>
    </w:p>
    <w:p>
      <w:pPr>
        <w:ind w:left="600"/>
        <w:spacing w:before="132" w:line="221" w:lineRule="auto"/>
        <w:rPr>
          <w:rFonts w:ascii="SimHei" w:hAnsi="SimHei" w:eastAsia="SimHei" w:cs="SimHei"/>
          <w:sz w:val="27"/>
          <w:szCs w:val="27"/>
        </w:rPr>
      </w:pPr>
      <w:r>
        <w:rPr>
          <w:rFonts w:ascii="SimHei" w:hAnsi="SimHei" w:eastAsia="SimHei" w:cs="SimHei"/>
          <w:sz w:val="27"/>
          <w:szCs w:val="27"/>
          <w:spacing w:val="43"/>
        </w:rPr>
        <w:t>3)樟青凤蝶</w:t>
      </w:r>
    </w:p>
    <w:p>
      <w:pPr>
        <w:pStyle w:val="BodyText"/>
        <w:ind w:left="740"/>
        <w:spacing w:before="170" w:line="219" w:lineRule="auto"/>
        <w:rPr>
          <w:sz w:val="29"/>
          <w:szCs w:val="29"/>
        </w:rPr>
      </w:pPr>
      <w:r>
        <w:rPr>
          <w:sz w:val="29"/>
          <w:szCs w:val="29"/>
          <w:spacing w:val="5"/>
        </w:rPr>
        <w:t>(1)危害植物：樟树、楠、月桂、白兰、含笑、阴香、鳄梨、柑橘等；</w:t>
      </w:r>
    </w:p>
    <w:p>
      <w:pPr>
        <w:ind w:firstLine="730"/>
        <w:spacing w:before="53" w:line="2320" w:lineRule="exact"/>
        <w:rPr/>
      </w:pPr>
      <w:r>
        <w:rPr>
          <w:position w:val="-46"/>
        </w:rPr>
        <w:drawing>
          <wp:inline distT="0" distB="0" distL="0" distR="0">
            <wp:extent cx="5524462" cy="1473244"/>
            <wp:effectExtent l="0" t="0" r="0" b="0"/>
            <wp:docPr id="646" name="IM 646"/>
            <wp:cNvGraphicFramePr/>
            <a:graphic>
              <a:graphicData uri="http://schemas.openxmlformats.org/drawingml/2006/picture">
                <pic:pic>
                  <pic:nvPicPr>
                    <pic:cNvPr id="646" name="IM 646"/>
                    <pic:cNvPicPr/>
                  </pic:nvPicPr>
                  <pic:blipFill>
                    <a:blip r:embed="rId452"/>
                    <a:stretch>
                      <a:fillRect/>
                    </a:stretch>
                  </pic:blipFill>
                  <pic:spPr>
                    <a:xfrm rot="0">
                      <a:off x="0" y="0"/>
                      <a:ext cx="5524462" cy="1473244"/>
                    </a:xfrm>
                    <a:prstGeom prst="rect">
                      <a:avLst/>
                    </a:prstGeom>
                  </pic:spPr>
                </pic:pic>
              </a:graphicData>
            </a:graphic>
          </wp:inline>
        </w:drawing>
      </w:r>
    </w:p>
    <w:p>
      <w:pPr>
        <w:pStyle w:val="BodyText"/>
        <w:ind w:left="3129"/>
        <w:spacing w:before="108" w:line="219" w:lineRule="auto"/>
        <w:rPr>
          <w:sz w:val="24"/>
          <w:szCs w:val="24"/>
        </w:rPr>
      </w:pPr>
      <w:r>
        <w:rPr>
          <w:sz w:val="24"/>
          <w:szCs w:val="24"/>
          <w:spacing w:val="8"/>
        </w:rPr>
        <w:t>图6-2-58樟青凤蝶卵、幼虫、成虫</w:t>
      </w:r>
    </w:p>
    <w:p>
      <w:pPr>
        <w:pStyle w:val="BodyText"/>
        <w:ind w:right="110" w:firstLine="740"/>
        <w:spacing w:before="160" w:line="259" w:lineRule="auto"/>
        <w:rPr>
          <w:sz w:val="29"/>
          <w:szCs w:val="29"/>
        </w:rPr>
      </w:pPr>
      <w:r>
        <w:rPr>
          <w:sz w:val="29"/>
          <w:szCs w:val="29"/>
          <w:spacing w:val="5"/>
        </w:rPr>
        <w:t>(2)发病时期：主要5月中旬—6月中旬、7月上旬—8月中旬、8月下旬一9</w:t>
      </w:r>
      <w:r>
        <w:rPr>
          <w:sz w:val="29"/>
          <w:szCs w:val="29"/>
          <w:spacing w:val="10"/>
        </w:rPr>
        <w:t xml:space="preserve"> </w:t>
      </w:r>
      <w:r>
        <w:rPr>
          <w:sz w:val="29"/>
          <w:szCs w:val="29"/>
          <w:spacing w:val="-10"/>
        </w:rPr>
        <w:t>月下旬发病；</w:t>
      </w:r>
    </w:p>
    <w:p>
      <w:pPr>
        <w:pStyle w:val="BodyText"/>
        <w:ind w:right="95" w:firstLine="740"/>
        <w:spacing w:before="165" w:line="269" w:lineRule="auto"/>
        <w:rPr>
          <w:sz w:val="29"/>
          <w:szCs w:val="29"/>
        </w:rPr>
      </w:pPr>
      <w:r>
        <w:rPr>
          <w:sz w:val="29"/>
          <w:szCs w:val="29"/>
          <w:spacing w:val="6"/>
        </w:rPr>
        <w:t>(3)分布省份：陕西、四川、西藏、云南、贵州、湖北、海南、广东、台</w:t>
      </w:r>
      <w:r>
        <w:rPr>
          <w:sz w:val="29"/>
          <w:szCs w:val="29"/>
          <w:spacing w:val="7"/>
        </w:rPr>
        <w:t xml:space="preserve"> </w:t>
      </w:r>
      <w:r>
        <w:rPr>
          <w:sz w:val="29"/>
          <w:szCs w:val="29"/>
          <w:spacing w:val="-5"/>
        </w:rPr>
        <w:t>湾、香港等；</w:t>
      </w:r>
    </w:p>
    <w:p>
      <w:pPr>
        <w:pStyle w:val="BodyText"/>
        <w:ind w:left="740"/>
        <w:spacing w:before="155" w:line="219" w:lineRule="auto"/>
        <w:rPr>
          <w:sz w:val="29"/>
          <w:szCs w:val="29"/>
        </w:rPr>
      </w:pPr>
      <w:r>
        <w:rPr>
          <w:sz w:val="29"/>
          <w:szCs w:val="29"/>
          <w:spacing w:val="-9"/>
        </w:rPr>
        <w:t>(4)表现症状：幼虫食芽、叶，形成孔洞，稍大常将叶片吃光，只留叶柄。</w:t>
      </w:r>
    </w:p>
    <w:p>
      <w:pPr>
        <w:ind w:left="600"/>
        <w:spacing w:before="94" w:line="221" w:lineRule="auto"/>
        <w:rPr>
          <w:rFonts w:ascii="SimHei" w:hAnsi="SimHei" w:eastAsia="SimHei" w:cs="SimHei"/>
          <w:sz w:val="29"/>
          <w:szCs w:val="29"/>
        </w:rPr>
      </w:pPr>
      <w:r>
        <w:rPr>
          <w:rFonts w:ascii="SimHei" w:hAnsi="SimHei" w:eastAsia="SimHei" w:cs="SimHei"/>
          <w:sz w:val="29"/>
          <w:szCs w:val="29"/>
          <w:spacing w:val="27"/>
        </w:rPr>
        <w:t>4)防治方法</w:t>
      </w:r>
    </w:p>
    <w:p>
      <w:pPr>
        <w:pStyle w:val="BodyText"/>
        <w:ind w:right="49" w:firstLine="740"/>
        <w:spacing w:before="106" w:line="274" w:lineRule="auto"/>
        <w:rPr>
          <w:sz w:val="29"/>
          <w:szCs w:val="29"/>
        </w:rPr>
      </w:pPr>
      <w:r>
        <w:rPr>
          <w:sz w:val="29"/>
          <w:szCs w:val="29"/>
          <w:spacing w:val="8"/>
        </w:rPr>
        <w:t>(1)人工防治：人工捕杀幼虫和蛹，剪除</w:t>
      </w:r>
      <w:r>
        <w:rPr>
          <w:sz w:val="29"/>
          <w:szCs w:val="29"/>
          <w:spacing w:val="7"/>
        </w:rPr>
        <w:t>越冬虫巢、蛹，震落捕杀老龄幼</w:t>
      </w:r>
      <w:r>
        <w:rPr>
          <w:sz w:val="29"/>
          <w:szCs w:val="29"/>
        </w:rPr>
        <w:t xml:space="preserve"> </w:t>
      </w:r>
      <w:r>
        <w:rPr>
          <w:sz w:val="29"/>
          <w:szCs w:val="29"/>
          <w:spacing w:val="-12"/>
        </w:rPr>
        <w:t>虫；</w:t>
      </w:r>
    </w:p>
    <w:p>
      <w:pPr>
        <w:pStyle w:val="BodyText"/>
        <w:ind w:right="292" w:firstLine="740"/>
        <w:spacing w:before="148" w:line="281" w:lineRule="auto"/>
        <w:rPr>
          <w:sz w:val="29"/>
          <w:szCs w:val="29"/>
        </w:rPr>
      </w:pPr>
      <w:r>
        <w:rPr>
          <w:sz w:val="29"/>
          <w:szCs w:val="29"/>
        </w:rPr>
        <w:t>(2)药物防治：低龄幼虫期喷药，喷施20%除虫菊酯乳油2000倍液</w:t>
      </w:r>
      <w:r>
        <w:rPr>
          <w:sz w:val="29"/>
          <w:szCs w:val="29"/>
          <w:spacing w:val="-1"/>
        </w:rPr>
        <w:t>、2.5%</w:t>
      </w:r>
      <w:r>
        <w:rPr>
          <w:sz w:val="29"/>
          <w:szCs w:val="29"/>
        </w:rPr>
        <w:t xml:space="preserve">  </w:t>
      </w:r>
      <w:r>
        <w:rPr>
          <w:sz w:val="29"/>
          <w:szCs w:val="29"/>
          <w:spacing w:val="-3"/>
        </w:rPr>
        <w:t>溴氰菊酯乳油3000倍液、20%杀灭菊酯2000倍液。亦可使用毒死蜱、高效</w:t>
      </w:r>
      <w:r>
        <w:rPr>
          <w:sz w:val="29"/>
          <w:szCs w:val="29"/>
          <w:spacing w:val="-4"/>
        </w:rPr>
        <w:t>氯氰菊</w:t>
      </w:r>
      <w:r>
        <w:rPr>
          <w:sz w:val="29"/>
          <w:szCs w:val="29"/>
        </w:rPr>
        <w:t xml:space="preserve"> </w:t>
      </w:r>
      <w:r>
        <w:rPr>
          <w:sz w:val="29"/>
          <w:szCs w:val="29"/>
          <w:spacing w:val="-2"/>
        </w:rPr>
        <w:t>酯，灭多威对虫卵有杀灭效果。</w:t>
      </w:r>
    </w:p>
    <w:p>
      <w:pPr>
        <w:pStyle w:val="BodyText"/>
        <w:spacing w:before="122" w:line="395"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叶蜂类</w:t>
      </w:r>
    </w:p>
    <w:p>
      <w:pPr>
        <w:ind w:left="600"/>
        <w:spacing w:before="157" w:line="186" w:lineRule="auto"/>
        <w:rPr>
          <w:rFonts w:ascii="SimHei" w:hAnsi="SimHei" w:eastAsia="SimHei" w:cs="SimHei"/>
          <w:sz w:val="29"/>
          <w:szCs w:val="29"/>
        </w:rPr>
      </w:pPr>
      <w:r>
        <w:rPr>
          <w:rFonts w:ascii="SimHei" w:hAnsi="SimHei" w:eastAsia="SimHei" w:cs="SimHei"/>
          <w:sz w:val="29"/>
          <w:szCs w:val="29"/>
          <w:spacing w:val="-1"/>
        </w:rPr>
        <w:t>1)</w:t>
      </w:r>
      <w:r>
        <w:rPr>
          <w:rFonts w:ascii="SimHei" w:hAnsi="SimHei" w:eastAsia="SimHei" w:cs="SimHei"/>
          <w:sz w:val="29"/>
          <w:szCs w:val="29"/>
          <w:spacing w:val="31"/>
        </w:rPr>
        <w:t xml:space="preserve"> </w:t>
      </w:r>
      <w:r>
        <w:rPr>
          <w:rFonts w:ascii="SimHei" w:hAnsi="SimHei" w:eastAsia="SimHei" w:cs="SimHei"/>
          <w:sz w:val="29"/>
          <w:szCs w:val="29"/>
          <w:spacing w:val="-1"/>
        </w:rPr>
        <w:t>蔷薇三节叶蜂</w:t>
      </w:r>
    </w:p>
    <w:p>
      <w:pPr>
        <w:ind w:firstLine="2170"/>
        <w:spacing w:line="5058" w:lineRule="exact"/>
        <w:rPr/>
      </w:pPr>
      <w:r>
        <w:rPr>
          <w:position w:val="-101"/>
        </w:rPr>
        <w:drawing>
          <wp:inline distT="0" distB="0" distL="0" distR="0">
            <wp:extent cx="3841756" cy="3211852"/>
            <wp:effectExtent l="0" t="0" r="0" b="0"/>
            <wp:docPr id="648" name="IM 648"/>
            <wp:cNvGraphicFramePr/>
            <a:graphic>
              <a:graphicData uri="http://schemas.openxmlformats.org/drawingml/2006/picture">
                <pic:pic>
                  <pic:nvPicPr>
                    <pic:cNvPr id="648" name="IM 648"/>
                    <pic:cNvPicPr/>
                  </pic:nvPicPr>
                  <pic:blipFill>
                    <a:blip r:embed="rId453"/>
                    <a:stretch>
                      <a:fillRect/>
                    </a:stretch>
                  </pic:blipFill>
                  <pic:spPr>
                    <a:xfrm rot="0">
                      <a:off x="0" y="0"/>
                      <a:ext cx="3841756" cy="3211852"/>
                    </a:xfrm>
                    <a:prstGeom prst="rect">
                      <a:avLst/>
                    </a:prstGeom>
                  </pic:spPr>
                </pic:pic>
              </a:graphicData>
            </a:graphic>
          </wp:inline>
        </w:drawing>
      </w:r>
    </w:p>
    <w:p>
      <w:pPr>
        <w:pStyle w:val="BodyText"/>
        <w:ind w:left="2629"/>
        <w:spacing w:before="80" w:line="219" w:lineRule="auto"/>
        <w:rPr>
          <w:sz w:val="24"/>
          <w:szCs w:val="24"/>
        </w:rPr>
      </w:pPr>
      <w:r>
        <w:rPr>
          <w:sz w:val="24"/>
          <w:szCs w:val="24"/>
          <w:spacing w:val="9"/>
        </w:rPr>
        <w:t>图6-2-59蔷薇三节叶蜂卵、幼虫、茧、成虫</w:t>
      </w:r>
    </w:p>
    <w:p>
      <w:pPr>
        <w:pStyle w:val="BodyText"/>
        <w:ind w:left="740"/>
        <w:spacing w:before="168" w:line="219" w:lineRule="auto"/>
        <w:rPr>
          <w:sz w:val="29"/>
          <w:szCs w:val="29"/>
        </w:rPr>
      </w:pPr>
      <w:r>
        <w:rPr>
          <w:sz w:val="29"/>
          <w:szCs w:val="29"/>
          <w:spacing w:val="7"/>
        </w:rPr>
        <w:t>(1)危害植物：月季、玫瑰、蔷薇、黄刺梅、榔榆、刺梨、多花蔷薇、野</w:t>
      </w:r>
    </w:p>
    <w:p>
      <w:pPr>
        <w:spacing w:line="219" w:lineRule="auto"/>
        <w:sectPr>
          <w:footerReference w:type="default" r:id="rId451"/>
          <w:pgSz w:w="14490" w:h="20470"/>
          <w:pgMar w:top="400" w:right="2173" w:bottom="1393" w:left="2140" w:header="0" w:footer="1231"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1"/>
        </w:rPr>
        <w:t>蔷薇等；</w:t>
      </w:r>
    </w:p>
    <w:p>
      <w:pPr>
        <w:pStyle w:val="BodyText"/>
        <w:ind w:left="740"/>
        <w:spacing w:before="156" w:line="219" w:lineRule="auto"/>
        <w:rPr>
          <w:sz w:val="29"/>
          <w:szCs w:val="29"/>
        </w:rPr>
      </w:pPr>
      <w:r>
        <w:rPr>
          <w:sz w:val="29"/>
          <w:szCs w:val="29"/>
          <w:spacing w:val="1"/>
        </w:rPr>
        <w:t>(2)发病时期：从5月中旬至10月中旬末均有幼虫危害；</w:t>
      </w:r>
    </w:p>
    <w:p>
      <w:pPr>
        <w:pStyle w:val="BodyText"/>
        <w:ind w:right="121" w:firstLine="740"/>
        <w:spacing w:before="145" w:line="268" w:lineRule="auto"/>
        <w:rPr>
          <w:sz w:val="29"/>
          <w:szCs w:val="29"/>
        </w:rPr>
      </w:pPr>
      <w:r>
        <w:rPr>
          <w:sz w:val="29"/>
          <w:szCs w:val="29"/>
          <w:spacing w:val="5"/>
        </w:rPr>
        <w:t>(3)分布省份：分布在内蒙古、青海、北京、河北、河南、山东、安徽、</w:t>
      </w:r>
      <w:r>
        <w:rPr>
          <w:sz w:val="29"/>
          <w:szCs w:val="29"/>
          <w:spacing w:val="13"/>
        </w:rPr>
        <w:t xml:space="preserve"> </w:t>
      </w:r>
      <w:r>
        <w:rPr>
          <w:sz w:val="29"/>
          <w:szCs w:val="29"/>
          <w:spacing w:val="1"/>
        </w:rPr>
        <w:t>江苏、上海、浙江、福建、湖南、广东、香港、贵州</w:t>
      </w:r>
      <w:r>
        <w:rPr>
          <w:sz w:val="29"/>
          <w:szCs w:val="29"/>
        </w:rPr>
        <w:t>、四川、云南等；</w:t>
      </w:r>
    </w:p>
    <w:p>
      <w:pPr>
        <w:pStyle w:val="BodyText"/>
        <w:ind w:right="40" w:firstLine="740"/>
        <w:spacing w:before="135" w:line="282" w:lineRule="auto"/>
        <w:rPr>
          <w:sz w:val="29"/>
          <w:szCs w:val="29"/>
        </w:rPr>
      </w:pPr>
      <w:r>
        <w:rPr>
          <w:sz w:val="29"/>
          <w:szCs w:val="29"/>
          <w:spacing w:val="6"/>
        </w:rPr>
        <w:t>(4)表现症状：以幼虫食叶成缺刻或孔洞，该虫常数十头群集在叶片上，</w:t>
      </w:r>
      <w:r>
        <w:rPr>
          <w:sz w:val="29"/>
          <w:szCs w:val="29"/>
          <w:spacing w:val="11"/>
        </w:rPr>
        <w:t xml:space="preserve"> </w:t>
      </w:r>
      <w:r>
        <w:rPr>
          <w:sz w:val="29"/>
          <w:szCs w:val="29"/>
        </w:rPr>
        <w:t>可将叶片吃光，仅残留叶脉。雌成虫产卵会纵</w:t>
      </w:r>
      <w:r>
        <w:rPr>
          <w:sz w:val="29"/>
          <w:szCs w:val="29"/>
          <w:spacing w:val="-1"/>
        </w:rPr>
        <w:t>切枝皮，可使枝条折断枯萎，影响</w:t>
      </w:r>
      <w:r>
        <w:rPr>
          <w:sz w:val="29"/>
          <w:szCs w:val="29"/>
        </w:rPr>
        <w:t xml:space="preserve"> </w:t>
      </w:r>
      <w:r>
        <w:rPr>
          <w:sz w:val="29"/>
          <w:szCs w:val="29"/>
          <w:spacing w:val="-2"/>
        </w:rPr>
        <w:t>观赏。</w:t>
      </w:r>
    </w:p>
    <w:p>
      <w:pPr>
        <w:ind w:left="600"/>
        <w:spacing w:before="193" w:line="223" w:lineRule="auto"/>
        <w:rPr>
          <w:rFonts w:ascii="SimHei" w:hAnsi="SimHei" w:eastAsia="SimHei" w:cs="SimHei"/>
          <w:sz w:val="27"/>
          <w:szCs w:val="27"/>
        </w:rPr>
      </w:pPr>
      <w:r>
        <w:drawing>
          <wp:anchor distT="0" distB="0" distL="0" distR="0" simplePos="0" relativeHeight="252243968" behindDoc="0" locked="0" layoutInCell="1" allowOverlap="1">
            <wp:simplePos x="0" y="0"/>
            <wp:positionH relativeFrom="column">
              <wp:posOffset>3346458</wp:posOffset>
            </wp:positionH>
            <wp:positionV relativeFrom="paragraph">
              <wp:posOffset>324801</wp:posOffset>
            </wp:positionV>
            <wp:extent cx="1714450" cy="3048006"/>
            <wp:effectExtent l="0" t="0" r="0" b="0"/>
            <wp:wrapNone/>
            <wp:docPr id="650" name="IM 650"/>
            <wp:cNvGraphicFramePr/>
            <a:graphic>
              <a:graphicData uri="http://schemas.openxmlformats.org/drawingml/2006/picture">
                <pic:pic>
                  <pic:nvPicPr>
                    <pic:cNvPr id="650" name="IM 650"/>
                    <pic:cNvPicPr/>
                  </pic:nvPicPr>
                  <pic:blipFill>
                    <a:blip r:embed="rId455"/>
                    <a:stretch>
                      <a:fillRect/>
                    </a:stretch>
                  </pic:blipFill>
                  <pic:spPr>
                    <a:xfrm rot="0">
                      <a:off x="0" y="0"/>
                      <a:ext cx="1714450" cy="3048006"/>
                    </a:xfrm>
                    <a:prstGeom prst="rect">
                      <a:avLst/>
                    </a:prstGeom>
                  </pic:spPr>
                </pic:pic>
              </a:graphicData>
            </a:graphic>
          </wp:anchor>
        </w:drawing>
      </w:r>
      <w:r>
        <w:rPr>
          <w:rFonts w:ascii="SimHei" w:hAnsi="SimHei" w:eastAsia="SimHei" w:cs="SimHei"/>
          <w:sz w:val="27"/>
          <w:szCs w:val="27"/>
          <w:spacing w:val="17"/>
        </w:rPr>
        <w:t>2)</w:t>
      </w:r>
      <w:r>
        <w:rPr>
          <w:rFonts w:ascii="SimHei" w:hAnsi="SimHei" w:eastAsia="SimHei" w:cs="SimHei"/>
          <w:sz w:val="27"/>
          <w:szCs w:val="27"/>
          <w:spacing w:val="27"/>
        </w:rPr>
        <w:t xml:space="preserve"> </w:t>
      </w:r>
      <w:r>
        <w:rPr>
          <w:rFonts w:ascii="SimHei" w:hAnsi="SimHei" w:eastAsia="SimHei" w:cs="SimHei"/>
          <w:sz w:val="27"/>
          <w:szCs w:val="27"/>
          <w:spacing w:val="17"/>
        </w:rPr>
        <w:t>樟叶蜂</w:t>
      </w:r>
    </w:p>
    <w:p>
      <w:pPr>
        <w:ind w:firstLine="2070"/>
        <w:spacing w:before="12" w:line="4810" w:lineRule="exact"/>
        <w:rPr/>
      </w:pPr>
      <w:r>
        <w:rPr>
          <w:position w:val="-96"/>
        </w:rPr>
        <w:drawing>
          <wp:inline distT="0" distB="0" distL="0" distR="0">
            <wp:extent cx="1828728" cy="3054374"/>
            <wp:effectExtent l="0" t="0" r="0" b="0"/>
            <wp:docPr id="652" name="IM 652"/>
            <wp:cNvGraphicFramePr/>
            <a:graphic>
              <a:graphicData uri="http://schemas.openxmlformats.org/drawingml/2006/picture">
                <pic:pic>
                  <pic:nvPicPr>
                    <pic:cNvPr id="652" name="IM 652"/>
                    <pic:cNvPicPr/>
                  </pic:nvPicPr>
                  <pic:blipFill>
                    <a:blip r:embed="rId456"/>
                    <a:stretch>
                      <a:fillRect/>
                    </a:stretch>
                  </pic:blipFill>
                  <pic:spPr>
                    <a:xfrm rot="0">
                      <a:off x="0" y="0"/>
                      <a:ext cx="1828728" cy="3054374"/>
                    </a:xfrm>
                    <a:prstGeom prst="rect">
                      <a:avLst/>
                    </a:prstGeom>
                  </pic:spPr>
                </pic:pic>
              </a:graphicData>
            </a:graphic>
          </wp:inline>
        </w:drawing>
      </w:r>
    </w:p>
    <w:p>
      <w:pPr>
        <w:pStyle w:val="BodyText"/>
        <w:ind w:left="3109"/>
        <w:spacing w:before="80" w:line="219" w:lineRule="auto"/>
        <w:rPr>
          <w:sz w:val="24"/>
          <w:szCs w:val="24"/>
        </w:rPr>
      </w:pPr>
      <w:r>
        <w:rPr>
          <w:sz w:val="24"/>
          <w:szCs w:val="24"/>
          <w:spacing w:val="7"/>
        </w:rPr>
        <w:t>图6-2-60樟叶蜂卵、幼虫、蛹、成虫</w:t>
      </w:r>
    </w:p>
    <w:p>
      <w:pPr>
        <w:pStyle w:val="BodyText"/>
        <w:ind w:left="740"/>
        <w:spacing w:before="148" w:line="219" w:lineRule="auto"/>
        <w:rPr>
          <w:sz w:val="29"/>
          <w:szCs w:val="29"/>
        </w:rPr>
      </w:pPr>
      <w:r>
        <w:rPr>
          <w:sz w:val="29"/>
          <w:szCs w:val="29"/>
          <w:spacing w:val="12"/>
        </w:rPr>
        <w:t>(1)危害植物：樟树等；</w:t>
      </w:r>
    </w:p>
    <w:p>
      <w:pPr>
        <w:pStyle w:val="BodyText"/>
        <w:ind w:left="740"/>
        <w:spacing w:before="165" w:line="219" w:lineRule="auto"/>
        <w:rPr>
          <w:sz w:val="29"/>
          <w:szCs w:val="29"/>
        </w:rPr>
      </w:pPr>
      <w:r>
        <w:rPr>
          <w:sz w:val="29"/>
          <w:szCs w:val="29"/>
          <w:spacing w:val="4"/>
        </w:rPr>
        <w:t>(2)发病时期：4月中旬到7月均有幼虫危害；</w:t>
      </w:r>
    </w:p>
    <w:p>
      <w:pPr>
        <w:pStyle w:val="BodyText"/>
        <w:ind w:left="740"/>
        <w:spacing w:before="115" w:line="219" w:lineRule="auto"/>
        <w:rPr>
          <w:sz w:val="29"/>
          <w:szCs w:val="29"/>
        </w:rPr>
      </w:pPr>
      <w:r>
        <w:rPr>
          <w:sz w:val="29"/>
          <w:szCs w:val="29"/>
          <w:spacing w:val="-9"/>
        </w:rPr>
        <w:t>(3)分布省份：广东、广西、浙江、福建</w:t>
      </w:r>
      <w:r>
        <w:rPr>
          <w:sz w:val="29"/>
          <w:szCs w:val="29"/>
          <w:spacing w:val="-10"/>
        </w:rPr>
        <w:t>、湖南、四川、台湾、江西等省。</w:t>
      </w:r>
    </w:p>
    <w:p>
      <w:pPr>
        <w:pStyle w:val="BodyText"/>
        <w:ind w:right="45" w:firstLine="740"/>
        <w:spacing w:before="158" w:line="285" w:lineRule="auto"/>
        <w:rPr>
          <w:sz w:val="29"/>
          <w:szCs w:val="29"/>
        </w:rPr>
      </w:pPr>
      <w:r>
        <w:rPr>
          <w:sz w:val="29"/>
          <w:szCs w:val="29"/>
          <w:spacing w:val="8"/>
        </w:rPr>
        <w:t>(4)表现症状：幼树受害则上部嫩叶被吃光，形成秃</w:t>
      </w:r>
      <w:r>
        <w:rPr>
          <w:sz w:val="29"/>
          <w:szCs w:val="29"/>
          <w:spacing w:val="7"/>
        </w:rPr>
        <w:t>枝；林木树冠上部嫩</w:t>
      </w:r>
      <w:r>
        <w:rPr>
          <w:sz w:val="29"/>
          <w:szCs w:val="29"/>
        </w:rPr>
        <w:t xml:space="preserve"> </w:t>
      </w:r>
      <w:r>
        <w:rPr>
          <w:sz w:val="29"/>
          <w:szCs w:val="29"/>
          <w:spacing w:val="-1"/>
        </w:rPr>
        <w:t>叶也常被食尽，严重影响树木生长，特别是高生长，使香樟分叉低、分叉多、枝</w:t>
      </w:r>
      <w:r>
        <w:rPr>
          <w:sz w:val="29"/>
          <w:szCs w:val="29"/>
          <w:spacing w:val="4"/>
        </w:rPr>
        <w:t xml:space="preserve"> </w:t>
      </w:r>
      <w:r>
        <w:rPr>
          <w:sz w:val="29"/>
          <w:szCs w:val="29"/>
          <w:spacing w:val="-3"/>
        </w:rPr>
        <w:t>条丛生。</w:t>
      </w:r>
    </w:p>
    <w:p>
      <w:pPr>
        <w:ind w:left="600"/>
        <w:spacing w:before="184" w:line="221" w:lineRule="auto"/>
        <w:rPr>
          <w:rFonts w:ascii="SimHei" w:hAnsi="SimHei" w:eastAsia="SimHei" w:cs="SimHei"/>
          <w:sz w:val="29"/>
          <w:szCs w:val="29"/>
        </w:rPr>
      </w:pPr>
      <w:r>
        <w:rPr>
          <w:rFonts w:ascii="SimHei" w:hAnsi="SimHei" w:eastAsia="SimHei" w:cs="SimHei"/>
          <w:sz w:val="29"/>
          <w:szCs w:val="29"/>
          <w:spacing w:val="27"/>
        </w:rPr>
        <w:t>3)防治方法</w:t>
      </w:r>
    </w:p>
    <w:p>
      <w:pPr>
        <w:pStyle w:val="BodyText"/>
        <w:ind w:left="740"/>
        <w:spacing w:before="105" w:line="219" w:lineRule="auto"/>
        <w:rPr>
          <w:sz w:val="29"/>
          <w:szCs w:val="29"/>
        </w:rPr>
      </w:pPr>
      <w:r>
        <w:rPr>
          <w:sz w:val="29"/>
          <w:szCs w:val="29"/>
          <w:spacing w:val="8"/>
        </w:rPr>
        <w:t>(1)利用幼虫群集特性，捕杀幼虫；</w:t>
      </w:r>
    </w:p>
    <w:p>
      <w:pPr>
        <w:pStyle w:val="BodyText"/>
        <w:ind w:left="740"/>
        <w:spacing w:before="146" w:line="219" w:lineRule="auto"/>
        <w:rPr>
          <w:sz w:val="29"/>
          <w:szCs w:val="29"/>
        </w:rPr>
      </w:pPr>
      <w:r>
        <w:rPr>
          <w:sz w:val="29"/>
          <w:szCs w:val="29"/>
          <w:spacing w:val="5"/>
        </w:rPr>
        <w:t>(2)利用老熟幼虫落地化蛹习性，在林地喷撒农药，毒死树下害虫；</w:t>
      </w:r>
    </w:p>
    <w:p>
      <w:pPr>
        <w:pStyle w:val="BodyText"/>
        <w:ind w:left="740"/>
        <w:spacing w:before="126" w:line="219" w:lineRule="auto"/>
        <w:rPr>
          <w:sz w:val="29"/>
          <w:szCs w:val="29"/>
        </w:rPr>
      </w:pPr>
      <w:r>
        <w:rPr>
          <w:sz w:val="29"/>
          <w:szCs w:val="29"/>
          <w:spacing w:val="-2"/>
        </w:rPr>
        <w:t>(3)</w:t>
      </w:r>
      <w:r>
        <w:rPr>
          <w:sz w:val="29"/>
          <w:szCs w:val="29"/>
          <w:spacing w:val="76"/>
        </w:rPr>
        <w:t xml:space="preserve"> </w:t>
      </w:r>
      <w:r>
        <w:rPr>
          <w:sz w:val="29"/>
          <w:szCs w:val="29"/>
          <w:spacing w:val="-2"/>
        </w:rPr>
        <w:t>除卵：在成虫产卵盛期，剪除产卵枝条，集中销毁；</w:t>
      </w:r>
    </w:p>
    <w:p>
      <w:pPr>
        <w:pStyle w:val="BodyText"/>
        <w:ind w:left="740"/>
        <w:spacing w:before="174" w:line="219" w:lineRule="auto"/>
        <w:rPr>
          <w:sz w:val="29"/>
          <w:szCs w:val="29"/>
        </w:rPr>
      </w:pPr>
      <w:r>
        <w:rPr>
          <w:sz w:val="29"/>
          <w:szCs w:val="29"/>
          <w:spacing w:val="1"/>
        </w:rPr>
        <w:t>(4)药剂防治参见《各地区农药肥料使用指导》。</w:t>
      </w:r>
    </w:p>
    <w:p>
      <w:pPr>
        <w:pStyle w:val="BodyText"/>
        <w:spacing w:before="94" w:line="395" w:lineRule="exact"/>
        <w:rPr>
          <w:rFonts w:ascii="SimHei" w:hAnsi="SimHei" w:eastAsia="SimHei" w:cs="SimHei"/>
          <w:sz w:val="29"/>
          <w:szCs w:val="29"/>
        </w:rPr>
      </w:pPr>
      <w:r>
        <w:rPr>
          <w:rFonts w:ascii="Arial" w:hAnsi="Arial" w:eastAsia="Arial" w:cs="Arial"/>
          <w:sz w:val="29"/>
          <w:szCs w:val="29"/>
          <w:spacing w:val="4"/>
          <w:position w:val="2"/>
        </w:rPr>
        <w:t>9</w:t>
      </w:r>
      <w:r>
        <w:rPr>
          <w:sz w:val="29"/>
          <w:szCs w:val="29"/>
          <w:spacing w:val="4"/>
          <w:position w:val="2"/>
        </w:rPr>
        <w:t>、</w:t>
      </w:r>
      <w:r>
        <w:rPr>
          <w:rFonts w:ascii="SimHei" w:hAnsi="SimHei" w:eastAsia="SimHei" w:cs="SimHei"/>
          <w:sz w:val="29"/>
          <w:szCs w:val="29"/>
          <w:spacing w:val="4"/>
          <w:position w:val="2"/>
        </w:rPr>
        <w:t>叶甲类</w:t>
      </w:r>
    </w:p>
    <w:p>
      <w:pPr>
        <w:ind w:left="600"/>
        <w:spacing w:before="160" w:line="223" w:lineRule="auto"/>
        <w:rPr>
          <w:rFonts w:ascii="SimHei" w:hAnsi="SimHei" w:eastAsia="SimHei" w:cs="SimHei"/>
          <w:sz w:val="29"/>
          <w:szCs w:val="29"/>
        </w:rPr>
      </w:pPr>
      <w:r>
        <w:rPr>
          <w:rFonts w:ascii="SimHei" w:hAnsi="SimHei" w:eastAsia="SimHei" w:cs="SimHei"/>
          <w:sz w:val="29"/>
          <w:szCs w:val="29"/>
          <w:spacing w:val="30"/>
        </w:rPr>
        <w:t>1)柳蓝叶甲</w:t>
      </w:r>
    </w:p>
    <w:p>
      <w:pPr>
        <w:pStyle w:val="BodyText"/>
        <w:ind w:left="740"/>
        <w:spacing w:before="97" w:line="219" w:lineRule="auto"/>
        <w:rPr>
          <w:sz w:val="29"/>
          <w:szCs w:val="29"/>
        </w:rPr>
      </w:pPr>
      <w:r>
        <w:rPr>
          <w:sz w:val="29"/>
          <w:szCs w:val="29"/>
          <w:spacing w:val="-16"/>
        </w:rPr>
        <w:t>(1)</w:t>
      </w:r>
      <w:r>
        <w:rPr>
          <w:sz w:val="29"/>
          <w:szCs w:val="29"/>
          <w:spacing w:val="103"/>
        </w:rPr>
        <w:t xml:space="preserve"> </w:t>
      </w:r>
      <w:r>
        <w:rPr>
          <w:sz w:val="29"/>
          <w:szCs w:val="29"/>
          <w:spacing w:val="-16"/>
        </w:rPr>
        <w:t>危害植物：垂柳、旱柳、黄金柳等柳树为主，也会危害杨树、桑树等；</w:t>
      </w:r>
    </w:p>
    <w:p>
      <w:pPr>
        <w:pStyle w:val="BodyText"/>
        <w:ind w:left="740"/>
        <w:spacing w:before="158" w:line="219" w:lineRule="auto"/>
        <w:rPr>
          <w:sz w:val="29"/>
          <w:szCs w:val="29"/>
        </w:rPr>
      </w:pPr>
      <w:r>
        <w:rPr>
          <w:sz w:val="29"/>
          <w:szCs w:val="29"/>
          <w:spacing w:val="-9"/>
        </w:rPr>
        <w:t>(2)</w:t>
      </w:r>
      <w:r>
        <w:rPr>
          <w:sz w:val="29"/>
          <w:szCs w:val="29"/>
          <w:spacing w:val="102"/>
        </w:rPr>
        <w:t xml:space="preserve"> </w:t>
      </w:r>
      <w:r>
        <w:rPr>
          <w:sz w:val="29"/>
          <w:szCs w:val="29"/>
          <w:spacing w:val="-9"/>
        </w:rPr>
        <w:t>发病时期：从4月至9月均有幼虫危</w:t>
      </w:r>
      <w:r>
        <w:rPr>
          <w:sz w:val="29"/>
          <w:szCs w:val="29"/>
          <w:spacing w:val="-10"/>
        </w:rPr>
        <w:t>害；</w:t>
      </w:r>
    </w:p>
    <w:p>
      <w:pPr>
        <w:spacing w:line="219" w:lineRule="auto"/>
        <w:sectPr>
          <w:footerReference w:type="default" r:id="rId454"/>
          <w:pgSz w:w="14490" w:h="20470"/>
          <w:pgMar w:top="400" w:right="2173" w:bottom="1423" w:left="2140" w:header="0" w:footer="1224" w:gutter="0"/>
        </w:sectPr>
        <w:rPr>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14" w:firstLine="730"/>
        <w:spacing w:before="94" w:line="272" w:lineRule="auto"/>
        <w:rPr>
          <w:sz w:val="29"/>
          <w:szCs w:val="29"/>
        </w:rPr>
      </w:pPr>
      <w:r>
        <w:rPr>
          <w:sz w:val="29"/>
          <w:szCs w:val="29"/>
          <w:spacing w:val="-8"/>
        </w:rPr>
        <w:t>(3)分布省份：黑龙江、吉林、辽宁、内蒙古</w:t>
      </w:r>
      <w:r>
        <w:rPr>
          <w:sz w:val="29"/>
          <w:szCs w:val="29"/>
          <w:spacing w:val="-9"/>
        </w:rPr>
        <w:t>、甘肃、宁夏、河北、山西、陕</w:t>
      </w:r>
      <w:r>
        <w:rPr>
          <w:sz w:val="29"/>
          <w:szCs w:val="29"/>
        </w:rPr>
        <w:t xml:space="preserve"> </w:t>
      </w:r>
      <w:r>
        <w:rPr>
          <w:sz w:val="29"/>
          <w:szCs w:val="29"/>
          <w:spacing w:val="-5"/>
        </w:rPr>
        <w:t>西、山东、江苏、河南、湖北、安徽、浙江、贵州、四川、云南等地；</w:t>
      </w:r>
    </w:p>
    <w:p>
      <w:pPr>
        <w:pStyle w:val="BodyText"/>
        <w:ind w:right="141" w:firstLine="730"/>
        <w:spacing w:before="146" w:line="269" w:lineRule="auto"/>
        <w:rPr>
          <w:sz w:val="29"/>
          <w:szCs w:val="29"/>
        </w:rPr>
      </w:pPr>
      <w:r>
        <w:rPr>
          <w:sz w:val="29"/>
          <w:szCs w:val="29"/>
          <w:spacing w:val="5"/>
        </w:rPr>
        <w:t>(4)为害特征：成、幼虫取食叶片成缺刻或孔洞，柳叶被</w:t>
      </w:r>
      <w:r>
        <w:rPr>
          <w:sz w:val="29"/>
          <w:szCs w:val="29"/>
          <w:spacing w:val="4"/>
        </w:rPr>
        <w:t>害时叶肉被食，</w:t>
      </w:r>
      <w:r>
        <w:rPr>
          <w:sz w:val="29"/>
          <w:szCs w:val="29"/>
        </w:rPr>
        <w:t xml:space="preserve"> </w:t>
      </w:r>
      <w:r>
        <w:rPr>
          <w:sz w:val="29"/>
          <w:szCs w:val="29"/>
          <w:spacing w:val="-3"/>
        </w:rPr>
        <w:t>成网状。</w:t>
      </w:r>
    </w:p>
    <w:p>
      <w:pPr>
        <w:ind w:firstLine="1939"/>
        <w:spacing w:before="3" w:line="3860" w:lineRule="exact"/>
        <w:rPr/>
      </w:pPr>
      <w:r>
        <w:drawing>
          <wp:anchor distT="0" distB="0" distL="0" distR="0" simplePos="0" relativeHeight="252249088" behindDoc="0" locked="0" layoutInCell="1" allowOverlap="1">
            <wp:simplePos x="0" y="0"/>
            <wp:positionH relativeFrom="column">
              <wp:posOffset>3854453</wp:posOffset>
            </wp:positionH>
            <wp:positionV relativeFrom="paragraph">
              <wp:posOffset>8825</wp:posOffset>
            </wp:positionV>
            <wp:extent cx="1562079" cy="2457487"/>
            <wp:effectExtent l="0" t="0" r="0" b="0"/>
            <wp:wrapNone/>
            <wp:docPr id="654" name="IM 654"/>
            <wp:cNvGraphicFramePr/>
            <a:graphic>
              <a:graphicData uri="http://schemas.openxmlformats.org/drawingml/2006/picture">
                <pic:pic>
                  <pic:nvPicPr>
                    <pic:cNvPr id="654" name="IM 654"/>
                    <pic:cNvPicPr/>
                  </pic:nvPicPr>
                  <pic:blipFill>
                    <a:blip r:embed="rId458"/>
                    <a:stretch>
                      <a:fillRect/>
                    </a:stretch>
                  </pic:blipFill>
                  <pic:spPr>
                    <a:xfrm rot="0">
                      <a:off x="0" y="0"/>
                      <a:ext cx="1562079" cy="2457487"/>
                    </a:xfrm>
                    <a:prstGeom prst="rect">
                      <a:avLst/>
                    </a:prstGeom>
                  </pic:spPr>
                </pic:pic>
              </a:graphicData>
            </a:graphic>
          </wp:anchor>
        </w:drawing>
      </w:r>
      <w:r>
        <w:rPr>
          <w:position w:val="-77"/>
        </w:rPr>
        <w:drawing>
          <wp:inline distT="0" distB="0" distL="0" distR="0">
            <wp:extent cx="2584510" cy="2451117"/>
            <wp:effectExtent l="0" t="0" r="0" b="0"/>
            <wp:docPr id="656" name="IM 656"/>
            <wp:cNvGraphicFramePr/>
            <a:graphic>
              <a:graphicData uri="http://schemas.openxmlformats.org/drawingml/2006/picture">
                <pic:pic>
                  <pic:nvPicPr>
                    <pic:cNvPr id="656" name="IM 656"/>
                    <pic:cNvPicPr/>
                  </pic:nvPicPr>
                  <pic:blipFill>
                    <a:blip r:embed="rId459"/>
                    <a:stretch>
                      <a:fillRect/>
                    </a:stretch>
                  </pic:blipFill>
                  <pic:spPr>
                    <a:xfrm rot="0">
                      <a:off x="0" y="0"/>
                      <a:ext cx="2584510" cy="2451117"/>
                    </a:xfrm>
                    <a:prstGeom prst="rect">
                      <a:avLst/>
                    </a:prstGeom>
                  </pic:spPr>
                </pic:pic>
              </a:graphicData>
            </a:graphic>
          </wp:inline>
        </w:drawing>
      </w:r>
    </w:p>
    <w:p>
      <w:pPr>
        <w:pStyle w:val="BodyText"/>
        <w:ind w:left="570" w:right="3040" w:firstLine="2280"/>
        <w:spacing w:before="140" w:line="267" w:lineRule="auto"/>
        <w:rPr>
          <w:rFonts w:ascii="SimHei" w:hAnsi="SimHei" w:eastAsia="SimHei" w:cs="SimHei"/>
          <w:sz w:val="29"/>
          <w:szCs w:val="29"/>
        </w:rPr>
      </w:pPr>
      <w:r>
        <w:rPr>
          <w:sz w:val="27"/>
          <w:szCs w:val="27"/>
          <w:spacing w:val="-16"/>
        </w:rPr>
        <w:t>图6-2-61柳蓝叶甲卵、幼虫、茧、成虫</w:t>
      </w:r>
      <w:r>
        <w:rPr>
          <w:sz w:val="27"/>
          <w:szCs w:val="27"/>
          <w:spacing w:val="4"/>
        </w:rPr>
        <w:t xml:space="preserve"> </w:t>
      </w:r>
      <w:r>
        <w:rPr>
          <w:rFonts w:ascii="SimHei" w:hAnsi="SimHei" w:eastAsia="SimHei" w:cs="SimHei"/>
          <w:sz w:val="29"/>
          <w:szCs w:val="29"/>
          <w:spacing w:val="21"/>
        </w:rPr>
        <w:t>2)葡萄十星叶甲</w:t>
      </w:r>
    </w:p>
    <w:p>
      <w:pPr>
        <w:ind w:firstLine="1929"/>
        <w:spacing w:line="2800" w:lineRule="exact"/>
        <w:rPr/>
      </w:pPr>
      <w:r>
        <w:rPr>
          <w:position w:val="-56"/>
        </w:rPr>
        <w:drawing>
          <wp:inline distT="0" distB="0" distL="0" distR="0">
            <wp:extent cx="4006917" cy="1778058"/>
            <wp:effectExtent l="0" t="0" r="0" b="0"/>
            <wp:docPr id="658" name="IM 658"/>
            <wp:cNvGraphicFramePr/>
            <a:graphic>
              <a:graphicData uri="http://schemas.openxmlformats.org/drawingml/2006/picture">
                <pic:pic>
                  <pic:nvPicPr>
                    <pic:cNvPr id="658" name="IM 658"/>
                    <pic:cNvPicPr/>
                  </pic:nvPicPr>
                  <pic:blipFill>
                    <a:blip r:embed="rId460"/>
                    <a:stretch>
                      <a:fillRect/>
                    </a:stretch>
                  </pic:blipFill>
                  <pic:spPr>
                    <a:xfrm rot="0">
                      <a:off x="0" y="0"/>
                      <a:ext cx="4006917" cy="1778058"/>
                    </a:xfrm>
                    <a:prstGeom prst="rect">
                      <a:avLst/>
                    </a:prstGeom>
                  </pic:spPr>
                </pic:pic>
              </a:graphicData>
            </a:graphic>
          </wp:inline>
        </w:drawing>
      </w:r>
    </w:p>
    <w:p>
      <w:pPr>
        <w:pStyle w:val="BodyText"/>
        <w:ind w:left="3219"/>
        <w:spacing w:before="71" w:line="219" w:lineRule="auto"/>
        <w:rPr>
          <w:sz w:val="27"/>
          <w:szCs w:val="27"/>
        </w:rPr>
      </w:pPr>
      <w:r>
        <w:rPr>
          <w:sz w:val="27"/>
          <w:szCs w:val="27"/>
          <w:spacing w:val="-16"/>
        </w:rPr>
        <w:t>图6-2-62葡萄十星叶甲幼虫、成虫</w:t>
      </w:r>
    </w:p>
    <w:p>
      <w:pPr>
        <w:pStyle w:val="BodyText"/>
        <w:ind w:left="730"/>
        <w:spacing w:before="158" w:line="219" w:lineRule="auto"/>
        <w:rPr>
          <w:sz w:val="29"/>
          <w:szCs w:val="29"/>
        </w:rPr>
      </w:pPr>
      <w:r>
        <w:rPr>
          <w:sz w:val="29"/>
          <w:szCs w:val="29"/>
          <w:spacing w:val="3"/>
        </w:rPr>
        <w:t>(1)危害植物：除葡萄外，还有爬墙虎(福建)</w:t>
      </w:r>
      <w:r>
        <w:rPr>
          <w:sz w:val="29"/>
          <w:szCs w:val="29"/>
          <w:spacing w:val="2"/>
        </w:rPr>
        <w:t>、黄荆树等；</w:t>
      </w:r>
    </w:p>
    <w:p>
      <w:pPr>
        <w:pStyle w:val="BodyText"/>
        <w:ind w:right="111" w:firstLine="730"/>
        <w:spacing w:before="137" w:line="270" w:lineRule="auto"/>
        <w:rPr>
          <w:sz w:val="29"/>
          <w:szCs w:val="29"/>
        </w:rPr>
      </w:pPr>
      <w:r>
        <w:rPr>
          <w:sz w:val="29"/>
          <w:szCs w:val="29"/>
          <w:spacing w:val="5"/>
        </w:rPr>
        <w:t>(2)发病时期：5月中下旬孵化，幼虫开始为害，6月下旬开始入土化蛹，</w:t>
      </w:r>
      <w:r>
        <w:rPr>
          <w:sz w:val="29"/>
          <w:szCs w:val="29"/>
          <w:spacing w:val="18"/>
        </w:rPr>
        <w:t xml:space="preserve"> </w:t>
      </w:r>
      <w:r>
        <w:rPr>
          <w:sz w:val="29"/>
          <w:szCs w:val="29"/>
          <w:spacing w:val="-2"/>
        </w:rPr>
        <w:t>10多天后羽化为成虫，出土为害；</w:t>
      </w:r>
    </w:p>
    <w:p>
      <w:pPr>
        <w:pStyle w:val="BodyText"/>
        <w:ind w:right="99" w:firstLine="730"/>
        <w:spacing w:before="113" w:line="268" w:lineRule="auto"/>
        <w:rPr>
          <w:sz w:val="29"/>
          <w:szCs w:val="29"/>
        </w:rPr>
      </w:pPr>
      <w:r>
        <w:rPr>
          <w:sz w:val="29"/>
          <w:szCs w:val="29"/>
          <w:spacing w:val="6"/>
        </w:rPr>
        <w:t>(3)分布省份：吉林、河北、山西、陕西、甘肃、山东、河南、江苏、安</w:t>
      </w:r>
      <w:r>
        <w:rPr>
          <w:sz w:val="29"/>
          <w:szCs w:val="29"/>
          <w:spacing w:val="2"/>
        </w:rPr>
        <w:t xml:space="preserve"> </w:t>
      </w:r>
      <w:r>
        <w:rPr>
          <w:sz w:val="29"/>
          <w:szCs w:val="29"/>
          <w:spacing w:val="1"/>
        </w:rPr>
        <w:t>徽、浙江、福建、广东、海南、广西、四川和贵州等；</w:t>
      </w:r>
    </w:p>
    <w:p>
      <w:pPr>
        <w:pStyle w:val="BodyText"/>
        <w:ind w:right="141" w:firstLine="730"/>
        <w:spacing w:before="169" w:line="262" w:lineRule="auto"/>
        <w:rPr>
          <w:sz w:val="29"/>
          <w:szCs w:val="29"/>
        </w:rPr>
      </w:pPr>
      <w:r>
        <w:rPr>
          <w:sz w:val="29"/>
          <w:szCs w:val="29"/>
          <w:spacing w:val="5"/>
        </w:rPr>
        <w:t>(4)表现症状：成、幼虫食芽、叶成孔洞或缺刻，残留一</w:t>
      </w:r>
      <w:r>
        <w:rPr>
          <w:sz w:val="29"/>
          <w:szCs w:val="29"/>
          <w:spacing w:val="4"/>
        </w:rPr>
        <w:t>层绒毛和叶脉，</w:t>
      </w:r>
      <w:r>
        <w:rPr>
          <w:sz w:val="29"/>
          <w:szCs w:val="29"/>
        </w:rPr>
        <w:t xml:space="preserve"> </w:t>
      </w:r>
      <w:r>
        <w:rPr>
          <w:sz w:val="29"/>
          <w:szCs w:val="29"/>
          <w:spacing w:val="1"/>
        </w:rPr>
        <w:t>严重的可把叶吃光，残留主脉。</w:t>
      </w:r>
    </w:p>
    <w:p>
      <w:pPr>
        <w:ind w:left="590"/>
        <w:spacing w:before="214" w:line="222" w:lineRule="auto"/>
        <w:rPr>
          <w:rFonts w:ascii="SimHei" w:hAnsi="SimHei" w:eastAsia="SimHei" w:cs="SimHei"/>
          <w:sz w:val="29"/>
          <w:szCs w:val="29"/>
        </w:rPr>
      </w:pPr>
      <w:r>
        <w:rPr>
          <w:rFonts w:ascii="SimHei" w:hAnsi="SimHei" w:eastAsia="SimHei" w:cs="SimHei"/>
          <w:sz w:val="29"/>
          <w:szCs w:val="29"/>
          <w:spacing w:val="26"/>
        </w:rPr>
        <w:t>3)枸桔潜跳甲</w:t>
      </w:r>
    </w:p>
    <w:p>
      <w:pPr>
        <w:ind w:firstLine="1579"/>
        <w:spacing w:before="11" w:line="2500" w:lineRule="exact"/>
        <w:rPr/>
      </w:pPr>
      <w:r>
        <w:drawing>
          <wp:anchor distT="0" distB="0" distL="0" distR="0" simplePos="0" relativeHeight="252250112" behindDoc="0" locked="0" layoutInCell="1" allowOverlap="1">
            <wp:simplePos x="0" y="0"/>
            <wp:positionH relativeFrom="column">
              <wp:posOffset>3321063</wp:posOffset>
            </wp:positionH>
            <wp:positionV relativeFrom="paragraph">
              <wp:posOffset>38867</wp:posOffset>
            </wp:positionV>
            <wp:extent cx="2095469" cy="1530307"/>
            <wp:effectExtent l="0" t="0" r="0" b="0"/>
            <wp:wrapNone/>
            <wp:docPr id="660" name="IM 660"/>
            <wp:cNvGraphicFramePr/>
            <a:graphic>
              <a:graphicData uri="http://schemas.openxmlformats.org/drawingml/2006/picture">
                <pic:pic>
                  <pic:nvPicPr>
                    <pic:cNvPr id="660" name="IM 660"/>
                    <pic:cNvPicPr/>
                  </pic:nvPicPr>
                  <pic:blipFill>
                    <a:blip r:embed="rId461"/>
                    <a:stretch>
                      <a:fillRect/>
                    </a:stretch>
                  </pic:blipFill>
                  <pic:spPr>
                    <a:xfrm rot="0">
                      <a:off x="0" y="0"/>
                      <a:ext cx="2095469" cy="1530307"/>
                    </a:xfrm>
                    <a:prstGeom prst="rect">
                      <a:avLst/>
                    </a:prstGeom>
                  </pic:spPr>
                </pic:pic>
              </a:graphicData>
            </a:graphic>
          </wp:anchor>
        </w:drawing>
      </w:r>
      <w:r>
        <w:rPr>
          <w:position w:val="-50"/>
        </w:rPr>
        <w:drawing>
          <wp:inline distT="0" distB="0" distL="0" distR="0">
            <wp:extent cx="2171655" cy="1587500"/>
            <wp:effectExtent l="0" t="0" r="0" b="0"/>
            <wp:docPr id="662" name="IM 662"/>
            <wp:cNvGraphicFramePr/>
            <a:graphic>
              <a:graphicData uri="http://schemas.openxmlformats.org/drawingml/2006/picture">
                <pic:pic>
                  <pic:nvPicPr>
                    <pic:cNvPr id="662" name="IM 662"/>
                    <pic:cNvPicPr/>
                  </pic:nvPicPr>
                  <pic:blipFill>
                    <a:blip r:embed="rId462"/>
                    <a:stretch>
                      <a:fillRect/>
                    </a:stretch>
                  </pic:blipFill>
                  <pic:spPr>
                    <a:xfrm rot="0">
                      <a:off x="0" y="0"/>
                      <a:ext cx="2171655" cy="1587500"/>
                    </a:xfrm>
                    <a:prstGeom prst="rect">
                      <a:avLst/>
                    </a:prstGeom>
                  </pic:spPr>
                </pic:pic>
              </a:graphicData>
            </a:graphic>
          </wp:inline>
        </w:drawing>
      </w:r>
    </w:p>
    <w:p>
      <w:pPr>
        <w:pStyle w:val="BodyText"/>
        <w:ind w:left="3359"/>
        <w:spacing w:before="50" w:line="219" w:lineRule="auto"/>
        <w:rPr>
          <w:sz w:val="24"/>
          <w:szCs w:val="24"/>
        </w:rPr>
      </w:pPr>
      <w:r>
        <w:rPr>
          <w:sz w:val="24"/>
          <w:szCs w:val="24"/>
          <w:spacing w:val="7"/>
        </w:rPr>
        <w:t>图6-2-63枸桔潜跳甲幼虫、成虫</w:t>
      </w:r>
    </w:p>
    <w:p>
      <w:pPr>
        <w:spacing w:line="219" w:lineRule="auto"/>
        <w:sectPr>
          <w:footerReference w:type="default" r:id="rId457"/>
          <w:pgSz w:w="14490" w:h="20470"/>
          <w:pgMar w:top="400" w:right="2173" w:bottom="1433" w:left="2150" w:header="0" w:footer="1234" w:gutter="0"/>
        </w:sectPr>
        <w:rPr>
          <w:sz w:val="24"/>
          <w:szCs w:val="24"/>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20"/>
        <w:spacing w:before="94" w:line="219" w:lineRule="auto"/>
        <w:rPr>
          <w:sz w:val="29"/>
          <w:szCs w:val="29"/>
        </w:rPr>
      </w:pPr>
      <w:r>
        <w:rPr>
          <w:sz w:val="29"/>
          <w:szCs w:val="29"/>
          <w:spacing w:val="5"/>
        </w:rPr>
        <w:t>(1)主要危害植物：为害柑桔类植物，如柑、桔、橙、柚等；</w:t>
      </w:r>
    </w:p>
    <w:p>
      <w:pPr>
        <w:pStyle w:val="BodyText"/>
        <w:ind w:left="720"/>
        <w:spacing w:before="158" w:line="219" w:lineRule="auto"/>
        <w:rPr>
          <w:sz w:val="29"/>
          <w:szCs w:val="29"/>
        </w:rPr>
      </w:pPr>
      <w:r>
        <w:rPr>
          <w:sz w:val="29"/>
          <w:szCs w:val="29"/>
          <w:spacing w:val="3"/>
        </w:rPr>
        <w:t>(2)发病时期：4月中、下旬至5月初为幼虫为害盛期；</w:t>
      </w:r>
    </w:p>
    <w:p>
      <w:pPr>
        <w:pStyle w:val="BodyText"/>
        <w:ind w:left="720"/>
        <w:spacing w:before="144" w:line="219" w:lineRule="auto"/>
        <w:rPr>
          <w:sz w:val="29"/>
          <w:szCs w:val="29"/>
        </w:rPr>
      </w:pPr>
      <w:r>
        <w:rPr>
          <w:sz w:val="29"/>
          <w:szCs w:val="29"/>
          <w:spacing w:val="6"/>
        </w:rPr>
        <w:t>(3)分布省份：江苏、浙江、江西、湖北、湖南、广东、四川等；</w:t>
      </w:r>
    </w:p>
    <w:p>
      <w:pPr>
        <w:pStyle w:val="BodyText"/>
        <w:ind w:right="399" w:firstLine="720"/>
        <w:spacing w:before="136" w:line="266" w:lineRule="auto"/>
        <w:rPr>
          <w:sz w:val="29"/>
          <w:szCs w:val="29"/>
        </w:rPr>
      </w:pPr>
      <w:r>
        <w:rPr>
          <w:sz w:val="29"/>
          <w:szCs w:val="29"/>
          <w:spacing w:val="4"/>
        </w:rPr>
        <w:t>(4)表现症状：成虫取食嫩芽、幼叶，食成缺刻或孔洞；幼虫潜叶为害，</w:t>
      </w:r>
      <w:r>
        <w:rPr>
          <w:sz w:val="29"/>
          <w:szCs w:val="29"/>
          <w:spacing w:val="17"/>
        </w:rPr>
        <w:t xml:space="preserve"> </w:t>
      </w:r>
      <w:r>
        <w:rPr>
          <w:sz w:val="29"/>
          <w:szCs w:val="29"/>
          <w:spacing w:val="-1"/>
        </w:rPr>
        <w:t>造成隧道和落叶。</w:t>
      </w:r>
    </w:p>
    <w:p>
      <w:pPr>
        <w:ind w:left="590"/>
        <w:spacing w:before="206" w:line="221" w:lineRule="auto"/>
        <w:rPr>
          <w:rFonts w:ascii="SimHei" w:hAnsi="SimHei" w:eastAsia="SimHei" w:cs="SimHei"/>
          <w:sz w:val="29"/>
          <w:szCs w:val="29"/>
        </w:rPr>
      </w:pPr>
      <w:r>
        <w:rPr>
          <w:rFonts w:ascii="SimHei" w:hAnsi="SimHei" w:eastAsia="SimHei" w:cs="SimHei"/>
          <w:sz w:val="29"/>
          <w:szCs w:val="29"/>
          <w:spacing w:val="30"/>
        </w:rPr>
        <w:t>4)椰心叶甲</w:t>
      </w:r>
    </w:p>
    <w:p>
      <w:pPr>
        <w:ind w:firstLine="1579"/>
        <w:spacing w:line="2200" w:lineRule="exact"/>
        <w:rPr/>
      </w:pPr>
      <w:r>
        <w:drawing>
          <wp:anchor distT="0" distB="0" distL="0" distR="0" simplePos="0" relativeHeight="252257280" behindDoc="0" locked="0" layoutInCell="1" allowOverlap="1">
            <wp:simplePos x="0" y="0"/>
            <wp:positionH relativeFrom="column">
              <wp:posOffset>2730441</wp:posOffset>
            </wp:positionH>
            <wp:positionV relativeFrom="paragraph">
              <wp:posOffset>6369</wp:posOffset>
            </wp:positionV>
            <wp:extent cx="1181151" cy="1416051"/>
            <wp:effectExtent l="0" t="0" r="0" b="0"/>
            <wp:wrapNone/>
            <wp:docPr id="664" name="IM 664"/>
            <wp:cNvGraphicFramePr/>
            <a:graphic>
              <a:graphicData uri="http://schemas.openxmlformats.org/drawingml/2006/picture">
                <pic:pic>
                  <pic:nvPicPr>
                    <pic:cNvPr id="664" name="IM 664"/>
                    <pic:cNvPicPr/>
                  </pic:nvPicPr>
                  <pic:blipFill>
                    <a:blip r:embed="rId464"/>
                    <a:stretch>
                      <a:fillRect/>
                    </a:stretch>
                  </pic:blipFill>
                  <pic:spPr>
                    <a:xfrm rot="0">
                      <a:off x="0" y="0"/>
                      <a:ext cx="1181151" cy="1416051"/>
                    </a:xfrm>
                    <a:prstGeom prst="rect">
                      <a:avLst/>
                    </a:prstGeom>
                  </pic:spPr>
                </pic:pic>
              </a:graphicData>
            </a:graphic>
          </wp:anchor>
        </w:drawing>
      </w:r>
      <w:r>
        <w:drawing>
          <wp:anchor distT="0" distB="0" distL="0" distR="0" simplePos="0" relativeHeight="252254208" behindDoc="0" locked="0" layoutInCell="1" allowOverlap="1">
            <wp:simplePos x="0" y="0"/>
            <wp:positionH relativeFrom="column">
              <wp:posOffset>4070312</wp:posOffset>
            </wp:positionH>
            <wp:positionV relativeFrom="paragraph">
              <wp:posOffset>0</wp:posOffset>
            </wp:positionV>
            <wp:extent cx="1485893" cy="1397072"/>
            <wp:effectExtent l="0" t="0" r="0" b="0"/>
            <wp:wrapNone/>
            <wp:docPr id="666" name="IM 666"/>
            <wp:cNvGraphicFramePr/>
            <a:graphic>
              <a:graphicData uri="http://schemas.openxmlformats.org/drawingml/2006/picture">
                <pic:pic>
                  <pic:nvPicPr>
                    <pic:cNvPr id="666" name="IM 666"/>
                    <pic:cNvPicPr/>
                  </pic:nvPicPr>
                  <pic:blipFill>
                    <a:blip r:embed="rId465"/>
                    <a:stretch>
                      <a:fillRect/>
                    </a:stretch>
                  </pic:blipFill>
                  <pic:spPr>
                    <a:xfrm rot="0">
                      <a:off x="0" y="0"/>
                      <a:ext cx="1485893" cy="1397072"/>
                    </a:xfrm>
                    <a:prstGeom prst="rect">
                      <a:avLst/>
                    </a:prstGeom>
                  </pic:spPr>
                </pic:pic>
              </a:graphicData>
            </a:graphic>
          </wp:anchor>
        </w:drawing>
      </w:r>
      <w:r>
        <w:rPr>
          <w:position w:val="-44"/>
        </w:rPr>
        <w:drawing>
          <wp:inline distT="0" distB="0" distL="0" distR="0">
            <wp:extent cx="1593823" cy="1397072"/>
            <wp:effectExtent l="0" t="0" r="0" b="0"/>
            <wp:docPr id="668" name="IM 668"/>
            <wp:cNvGraphicFramePr/>
            <a:graphic>
              <a:graphicData uri="http://schemas.openxmlformats.org/drawingml/2006/picture">
                <pic:pic>
                  <pic:nvPicPr>
                    <pic:cNvPr id="668" name="IM 668"/>
                    <pic:cNvPicPr/>
                  </pic:nvPicPr>
                  <pic:blipFill>
                    <a:blip r:embed="rId466"/>
                    <a:stretch>
                      <a:fillRect/>
                    </a:stretch>
                  </pic:blipFill>
                  <pic:spPr>
                    <a:xfrm rot="0">
                      <a:off x="0" y="0"/>
                      <a:ext cx="1593823" cy="1397072"/>
                    </a:xfrm>
                    <a:prstGeom prst="rect">
                      <a:avLst/>
                    </a:prstGeom>
                  </pic:spPr>
                </pic:pic>
              </a:graphicData>
            </a:graphic>
          </wp:inline>
        </w:drawing>
      </w:r>
    </w:p>
    <w:p>
      <w:pPr>
        <w:pStyle w:val="BodyText"/>
        <w:ind w:left="3129"/>
        <w:spacing w:before="79" w:line="219" w:lineRule="auto"/>
        <w:rPr>
          <w:sz w:val="24"/>
          <w:szCs w:val="24"/>
        </w:rPr>
      </w:pPr>
      <w:r>
        <w:rPr>
          <w:sz w:val="24"/>
          <w:szCs w:val="24"/>
          <w:spacing w:val="8"/>
        </w:rPr>
        <w:t>图6-2-64椰心叶甲幼虫、蛹、成虫</w:t>
      </w:r>
    </w:p>
    <w:p>
      <w:pPr>
        <w:pStyle w:val="BodyText"/>
        <w:ind w:right="260" w:firstLine="1330"/>
        <w:spacing w:before="137" w:line="300" w:lineRule="auto"/>
        <w:jc w:val="both"/>
        <w:rPr>
          <w:sz w:val="30"/>
          <w:szCs w:val="30"/>
        </w:rPr>
      </w:pPr>
      <w:r>
        <w:rPr>
          <w:sz w:val="30"/>
          <w:szCs w:val="30"/>
          <w:spacing w:val="-6"/>
        </w:rPr>
        <w:t>危害植物：椰子、槟榔、假槟榔、鱼尾葵、散尾葵、</w:t>
      </w:r>
      <w:r>
        <w:rPr>
          <w:sz w:val="30"/>
          <w:szCs w:val="30"/>
          <w:spacing w:val="-7"/>
        </w:rPr>
        <w:t>西谷椰子、大王</w:t>
      </w:r>
      <w:r>
        <w:rPr>
          <w:sz w:val="30"/>
          <w:szCs w:val="30"/>
        </w:rPr>
        <w:t xml:space="preserve"> </w:t>
      </w:r>
      <w:r>
        <w:rPr>
          <w:sz w:val="30"/>
          <w:szCs w:val="30"/>
          <w:spacing w:val="-18"/>
        </w:rPr>
        <w:t>椰子、棕榈、卡喷特木、油椰、蒲葵、酒瓶椰子、老人葵、海枣、刺葵(糠榔)、孔</w:t>
      </w:r>
      <w:r>
        <w:rPr>
          <w:sz w:val="30"/>
          <w:szCs w:val="30"/>
          <w:spacing w:val="7"/>
        </w:rPr>
        <w:t xml:space="preserve"> </w:t>
      </w:r>
      <w:r>
        <w:rPr>
          <w:sz w:val="30"/>
          <w:szCs w:val="30"/>
          <w:spacing w:val="-13"/>
        </w:rPr>
        <w:t>雀椰子，其中椰子为最主要的寄主；</w:t>
      </w:r>
    </w:p>
    <w:p>
      <w:pPr>
        <w:pStyle w:val="BodyText"/>
        <w:ind w:left="720"/>
        <w:spacing w:before="14" w:line="216" w:lineRule="auto"/>
        <w:rPr>
          <w:sz w:val="29"/>
          <w:szCs w:val="29"/>
        </w:rPr>
      </w:pPr>
      <w:r>
        <w:rPr>
          <w:rFonts w:ascii="Times New Roman" w:hAnsi="Times New Roman" w:eastAsia="Times New Roman" w:cs="Times New Roman"/>
          <w:sz w:val="29"/>
          <w:szCs w:val="29"/>
          <w:spacing w:val="-3"/>
        </w:rPr>
        <w:t>2      </w:t>
      </w:r>
      <w:r>
        <w:rPr>
          <w:sz w:val="29"/>
          <w:szCs w:val="29"/>
          <w:spacing w:val="-3"/>
        </w:rPr>
        <w:t>发病时期：椰心叶甲生长适温区为20—2</w:t>
      </w:r>
      <w:r>
        <w:rPr>
          <w:sz w:val="29"/>
          <w:szCs w:val="29"/>
          <w:spacing w:val="-4"/>
        </w:rPr>
        <w:t>8℃,在此气温区间发病严重；</w:t>
      </w:r>
    </w:p>
    <w:p>
      <w:pPr>
        <w:pStyle w:val="BodyText"/>
        <w:ind w:left="720"/>
        <w:spacing w:before="153" w:line="219" w:lineRule="auto"/>
        <w:rPr>
          <w:sz w:val="29"/>
          <w:szCs w:val="29"/>
        </w:rPr>
      </w:pPr>
      <w:r>
        <w:rPr>
          <w:sz w:val="29"/>
          <w:szCs w:val="29"/>
          <w:spacing w:val="-4"/>
        </w:rPr>
        <w:t>3</w:t>
      </w:r>
      <w:r>
        <w:rPr>
          <w:sz w:val="29"/>
          <w:szCs w:val="29"/>
          <w:spacing w:val="16"/>
        </w:rPr>
        <w:t xml:space="preserve">   </w:t>
      </w:r>
      <w:r>
        <w:rPr>
          <w:sz w:val="29"/>
          <w:szCs w:val="29"/>
          <w:spacing w:val="-4"/>
        </w:rPr>
        <w:t>分布省份：华南地区；</w:t>
      </w:r>
    </w:p>
    <w:p>
      <w:pPr>
        <w:pStyle w:val="BodyText"/>
        <w:ind w:firstLine="720"/>
        <w:spacing w:before="147" w:line="287" w:lineRule="auto"/>
        <w:rPr>
          <w:sz w:val="29"/>
          <w:szCs w:val="29"/>
        </w:rPr>
      </w:pPr>
      <w:r>
        <w:rPr>
          <w:rFonts w:ascii="Times New Roman" w:hAnsi="Times New Roman" w:eastAsia="Times New Roman" w:cs="Times New Roman"/>
          <w:sz w:val="29"/>
          <w:szCs w:val="29"/>
          <w:spacing w:val="8"/>
        </w:rPr>
        <w:t>4      </w:t>
      </w:r>
      <w:r>
        <w:rPr>
          <w:sz w:val="29"/>
          <w:szCs w:val="29"/>
          <w:spacing w:val="8"/>
        </w:rPr>
        <w:t>表现症状：主要危害4年生以上的棕榈科植物。幼</w:t>
      </w:r>
      <w:r>
        <w:rPr>
          <w:sz w:val="29"/>
          <w:szCs w:val="29"/>
          <w:spacing w:val="7"/>
        </w:rPr>
        <w:t>虫孵化后，沿箭叶</w:t>
      </w:r>
      <w:r>
        <w:rPr>
          <w:sz w:val="29"/>
          <w:szCs w:val="29"/>
        </w:rPr>
        <w:t xml:space="preserve">  </w:t>
      </w:r>
      <w:r>
        <w:rPr>
          <w:sz w:val="29"/>
          <w:szCs w:val="29"/>
        </w:rPr>
        <w:t>叶轴纵向取食叶片的薄壁组织，在叶上留下与叶脉平行、褐</w:t>
      </w:r>
      <w:r>
        <w:rPr>
          <w:sz w:val="29"/>
          <w:szCs w:val="29"/>
          <w:spacing w:val="-1"/>
        </w:rPr>
        <w:t>色至深褐色的狭长条</w:t>
      </w:r>
      <w:r>
        <w:rPr>
          <w:sz w:val="29"/>
          <w:szCs w:val="29"/>
        </w:rPr>
        <w:t xml:space="preserve">  </w:t>
      </w:r>
      <w:r>
        <w:rPr>
          <w:sz w:val="29"/>
          <w:szCs w:val="29"/>
          <w:spacing w:val="-9"/>
        </w:rPr>
        <w:t>纹，严重时食痕连成坏死斑，叶尖枯萎下垂，整叶坏死，导致树势减弱、果实脱落、</w:t>
      </w:r>
      <w:r>
        <w:rPr>
          <w:sz w:val="29"/>
          <w:szCs w:val="29"/>
          <w:spacing w:val="6"/>
        </w:rPr>
        <w:t xml:space="preserve"> </w:t>
      </w:r>
      <w:r>
        <w:rPr>
          <w:sz w:val="29"/>
          <w:szCs w:val="29"/>
          <w:spacing w:val="-1"/>
        </w:rPr>
        <w:t>茎干变细，甚至整株死亡。</w:t>
      </w:r>
    </w:p>
    <w:p>
      <w:pPr>
        <w:spacing w:line="158" w:lineRule="exact"/>
        <w:rPr/>
      </w:pPr>
      <w:r/>
    </w:p>
    <w:p>
      <w:pPr>
        <w:spacing w:line="158" w:lineRule="exact"/>
        <w:sectPr>
          <w:footerReference w:type="default" r:id="rId463"/>
          <w:pgSz w:w="14490" w:h="20470"/>
          <w:pgMar w:top="400" w:right="1935" w:bottom="1423" w:left="2150" w:header="0" w:footer="1225" w:gutter="0"/>
          <w:cols w:equalWidth="0" w:num="1">
            <w:col w:w="10405" w:space="0"/>
          </w:cols>
        </w:sectPr>
        <w:rPr/>
      </w:pPr>
    </w:p>
    <w:p>
      <w:pPr>
        <w:ind w:left="590"/>
        <w:spacing w:before="60" w:line="222" w:lineRule="auto"/>
        <w:rPr>
          <w:rFonts w:ascii="SimHei" w:hAnsi="SimHei" w:eastAsia="SimHei" w:cs="SimHei"/>
          <w:sz w:val="29"/>
          <w:szCs w:val="29"/>
        </w:rPr>
      </w:pPr>
      <w:r>
        <w:rPr>
          <w:rFonts w:ascii="SimHei" w:hAnsi="SimHei" w:eastAsia="SimHei" w:cs="SimHei"/>
          <w:sz w:val="29"/>
          <w:szCs w:val="29"/>
          <w:spacing w:val="30"/>
        </w:rPr>
        <w:t>5)红棕象甲</w:t>
      </w:r>
    </w:p>
    <w:p>
      <w:pPr>
        <w:ind w:firstLine="1139"/>
        <w:spacing w:before="39" w:line="1740" w:lineRule="exact"/>
        <w:rPr/>
      </w:pPr>
      <w:r>
        <w:rPr>
          <w:position w:val="-34"/>
        </w:rPr>
        <w:drawing>
          <wp:inline distT="0" distB="0" distL="0" distR="0">
            <wp:extent cx="1295429" cy="1104868"/>
            <wp:effectExtent l="0" t="0" r="0" b="0"/>
            <wp:docPr id="670" name="IM 670"/>
            <wp:cNvGraphicFramePr/>
            <a:graphic>
              <a:graphicData uri="http://schemas.openxmlformats.org/drawingml/2006/picture">
                <pic:pic>
                  <pic:nvPicPr>
                    <pic:cNvPr id="670" name="IM 670"/>
                    <pic:cNvPicPr/>
                  </pic:nvPicPr>
                  <pic:blipFill>
                    <a:blip r:embed="rId467"/>
                    <a:stretch>
                      <a:fillRect/>
                    </a:stretch>
                  </pic:blipFill>
                  <pic:spPr>
                    <a:xfrm rot="0">
                      <a:off x="0" y="0"/>
                      <a:ext cx="1295429" cy="1104868"/>
                    </a:xfrm>
                    <a:prstGeom prst="rect">
                      <a:avLst/>
                    </a:prstGeom>
                  </pic:spPr>
                </pic:pic>
              </a:graphicData>
            </a:graphic>
          </wp:inline>
        </w:drawing>
      </w:r>
    </w:p>
    <w:p>
      <w:pPr>
        <w:spacing w:line="367" w:lineRule="auto"/>
        <w:rPr>
          <w:rFonts w:ascii="Arial"/>
          <w:sz w:val="21"/>
        </w:rPr>
      </w:pPr>
      <w:r/>
    </w:p>
    <w:p>
      <w:pPr>
        <w:ind w:firstLine="1149"/>
        <w:spacing w:line="1470" w:lineRule="exact"/>
        <w:rPr/>
      </w:pPr>
      <w:r>
        <w:rPr>
          <w:position w:val="-29"/>
        </w:rPr>
        <w:drawing>
          <wp:inline distT="0" distB="0" distL="0" distR="0">
            <wp:extent cx="1333522" cy="933418"/>
            <wp:effectExtent l="0" t="0" r="0" b="0"/>
            <wp:docPr id="672" name="IM 672"/>
            <wp:cNvGraphicFramePr/>
            <a:graphic>
              <a:graphicData uri="http://schemas.openxmlformats.org/drawingml/2006/picture">
                <pic:pic>
                  <pic:nvPicPr>
                    <pic:cNvPr id="672" name="IM 672"/>
                    <pic:cNvPicPr/>
                  </pic:nvPicPr>
                  <pic:blipFill>
                    <a:blip r:embed="rId468"/>
                    <a:stretch>
                      <a:fillRect/>
                    </a:stretch>
                  </pic:blipFill>
                  <pic:spPr>
                    <a:xfrm rot="0">
                      <a:off x="0" y="0"/>
                      <a:ext cx="1333522" cy="933418"/>
                    </a:xfrm>
                    <a:prstGeom prst="rect">
                      <a:avLst/>
                    </a:prstGeom>
                  </pic:spPr>
                </pic:pic>
              </a:graphicData>
            </a:graphic>
          </wp:inline>
        </w:drawing>
      </w:r>
    </w:p>
    <w:p>
      <w:pPr>
        <w:spacing w:line="257" w:lineRule="auto"/>
        <w:rPr>
          <w:rFonts w:ascii="Arial"/>
          <w:sz w:val="21"/>
        </w:rPr>
      </w:pPr>
      <w:r/>
    </w:p>
    <w:p>
      <w:pPr>
        <w:pStyle w:val="BodyText"/>
        <w:ind w:left="1390"/>
        <w:spacing w:before="70" w:line="213" w:lineRule="auto"/>
        <w:rPr>
          <w:sz w:val="21"/>
          <w:szCs w:val="21"/>
        </w:rPr>
      </w:pPr>
      <w:r>
        <w:rPr>
          <w:sz w:val="21"/>
          <w:szCs w:val="21"/>
          <w:color w:val="E01010"/>
          <w:spacing w:val="13"/>
        </w:rPr>
        <w:t>老熟幼虫</w:t>
      </w:r>
    </w:p>
    <w:p>
      <w:pPr>
        <w:spacing w:line="14" w:lineRule="auto"/>
        <w:rPr>
          <w:rFonts w:ascii="Arial"/>
          <w:sz w:val="2"/>
        </w:rPr>
      </w:pPr>
      <w:r>
        <w:rPr>
          <w:rFonts w:ascii="Arial" w:hAnsi="Arial" w:eastAsia="Arial" w:cs="Arial"/>
          <w:sz w:val="2"/>
          <w:szCs w:val="2"/>
        </w:rPr>
        <w:br w:type="column"/>
      </w:r>
    </w:p>
    <w:p>
      <w:pPr>
        <w:spacing w:line="286" w:lineRule="auto"/>
        <w:rPr>
          <w:rFonts w:ascii="Arial"/>
          <w:sz w:val="21"/>
        </w:rPr>
      </w:pPr>
      <w:r/>
    </w:p>
    <w:p>
      <w:pPr>
        <w:spacing w:line="286" w:lineRule="auto"/>
        <w:rPr>
          <w:rFonts w:ascii="Arial"/>
          <w:sz w:val="21"/>
        </w:rPr>
      </w:pPr>
      <w:r>
        <w:drawing>
          <wp:anchor distT="0" distB="0" distL="0" distR="0" simplePos="0" relativeHeight="252259328" behindDoc="0" locked="0" layoutInCell="1" allowOverlap="1">
            <wp:simplePos x="0" y="0"/>
            <wp:positionH relativeFrom="column">
              <wp:posOffset>1619310</wp:posOffset>
            </wp:positionH>
            <wp:positionV relativeFrom="paragraph">
              <wp:posOffset>93993</wp:posOffset>
            </wp:positionV>
            <wp:extent cx="901620" cy="1104868"/>
            <wp:effectExtent l="0" t="0" r="0" b="0"/>
            <wp:wrapNone/>
            <wp:docPr id="674" name="IM 674"/>
            <wp:cNvGraphicFramePr/>
            <a:graphic>
              <a:graphicData uri="http://schemas.openxmlformats.org/drawingml/2006/picture">
                <pic:pic>
                  <pic:nvPicPr>
                    <pic:cNvPr id="674" name="IM 674"/>
                    <pic:cNvPicPr/>
                  </pic:nvPicPr>
                  <pic:blipFill>
                    <a:blip r:embed="rId469"/>
                    <a:stretch>
                      <a:fillRect/>
                    </a:stretch>
                  </pic:blipFill>
                  <pic:spPr>
                    <a:xfrm rot="0">
                      <a:off x="0" y="0"/>
                      <a:ext cx="901620" cy="1104868"/>
                    </a:xfrm>
                    <a:prstGeom prst="rect">
                      <a:avLst/>
                    </a:prstGeom>
                  </pic:spPr>
                </pic:pic>
              </a:graphicData>
            </a:graphic>
          </wp:anchor>
        </w:drawing>
      </w:r>
      <w:r/>
    </w:p>
    <w:p>
      <w:pPr>
        <w:spacing w:line="1600" w:lineRule="exact"/>
        <w:rPr/>
      </w:pPr>
      <w:r>
        <w:drawing>
          <wp:anchor distT="0" distB="0" distL="0" distR="0" simplePos="0" relativeHeight="252260352" behindDoc="0" locked="0" layoutInCell="1" allowOverlap="1">
            <wp:simplePos x="0" y="0"/>
            <wp:positionH relativeFrom="column">
              <wp:posOffset>3041625</wp:posOffset>
            </wp:positionH>
            <wp:positionV relativeFrom="paragraph">
              <wp:posOffset>82713</wp:posOffset>
            </wp:positionV>
            <wp:extent cx="381019" cy="838270"/>
            <wp:effectExtent l="0" t="0" r="0" b="0"/>
            <wp:wrapNone/>
            <wp:docPr id="676" name="IM 676"/>
            <wp:cNvGraphicFramePr/>
            <a:graphic>
              <a:graphicData uri="http://schemas.openxmlformats.org/drawingml/2006/picture">
                <pic:pic>
                  <pic:nvPicPr>
                    <pic:cNvPr id="676" name="IM 676"/>
                    <pic:cNvPicPr/>
                  </pic:nvPicPr>
                  <pic:blipFill>
                    <a:blip r:embed="rId470"/>
                    <a:stretch>
                      <a:fillRect/>
                    </a:stretch>
                  </pic:blipFill>
                  <pic:spPr>
                    <a:xfrm rot="0">
                      <a:off x="0" y="0"/>
                      <a:ext cx="381019" cy="838270"/>
                    </a:xfrm>
                    <a:prstGeom prst="rect">
                      <a:avLst/>
                    </a:prstGeom>
                  </pic:spPr>
                </pic:pic>
              </a:graphicData>
            </a:graphic>
          </wp:anchor>
        </w:drawing>
      </w:r>
      <w:r>
        <w:rPr>
          <w:position w:val="-31"/>
        </w:rPr>
        <w:drawing>
          <wp:inline distT="0" distB="0" distL="0" distR="0">
            <wp:extent cx="1523986" cy="1015958"/>
            <wp:effectExtent l="0" t="0" r="0" b="0"/>
            <wp:docPr id="678" name="IM 678"/>
            <wp:cNvGraphicFramePr/>
            <a:graphic>
              <a:graphicData uri="http://schemas.openxmlformats.org/drawingml/2006/picture">
                <pic:pic>
                  <pic:nvPicPr>
                    <pic:cNvPr id="678" name="IM 678"/>
                    <pic:cNvPicPr/>
                  </pic:nvPicPr>
                  <pic:blipFill>
                    <a:blip r:embed="rId471"/>
                    <a:stretch>
                      <a:fillRect/>
                    </a:stretch>
                  </pic:blipFill>
                  <pic:spPr>
                    <a:xfrm rot="0">
                      <a:off x="0" y="0"/>
                      <a:ext cx="1523986" cy="1015958"/>
                    </a:xfrm>
                    <a:prstGeom prst="rect">
                      <a:avLst/>
                    </a:prstGeom>
                  </pic:spPr>
                </pic:pic>
              </a:graphicData>
            </a:graphic>
          </wp:inline>
        </w:drawing>
      </w:r>
    </w:p>
    <w:p>
      <w:pPr>
        <w:ind w:left="52"/>
        <w:spacing w:before="32" w:line="233" w:lineRule="auto"/>
        <w:rPr>
          <w:rFonts w:ascii="SimHei" w:hAnsi="SimHei" w:eastAsia="SimHei" w:cs="SimHei"/>
          <w:sz w:val="21"/>
          <w:szCs w:val="21"/>
        </w:rPr>
      </w:pPr>
      <w:r>
        <w:pict>
          <v:shape id="_x0000_s54" style="position:absolute;margin-left:240.505pt;margin-top:2.70655pt;mso-position-vertical-relative:text;mso-position-horizontal-relative:text;width:24.55pt;height:16.15pt;z-index:252262400;" filled="false" stroked="false" type="#_x0000_t202">
            <v:fill on="false"/>
            <v:stroke on="false"/>
            <v:path/>
            <v:imagedata o:title=""/>
            <o:lock v:ext="edit" aspectratio="false"/>
            <v:textbox inset="0mm,0mm,0mm,0mm">
              <w:txbxContent>
                <w:p>
                  <w:pPr>
                    <w:spacing w:before="19" w:line="174" w:lineRule="auto"/>
                    <w:jc w:val="right"/>
                    <w:rPr>
                      <w:rFonts w:ascii="LiSu" w:hAnsi="LiSu" w:eastAsia="LiSu" w:cs="LiSu"/>
                      <w:sz w:val="30"/>
                      <w:szCs w:val="30"/>
                    </w:rPr>
                  </w:pPr>
                  <w:r>
                    <w:rPr>
                      <w:rFonts w:ascii="LiSu" w:hAnsi="LiSu" w:eastAsia="LiSu" w:cs="LiSu"/>
                      <w:sz w:val="30"/>
                      <w:szCs w:val="30"/>
                      <w:color w:val="D01020"/>
                      <w:spacing w:val="-21"/>
                      <w:w w:val="81"/>
                    </w:rPr>
                    <w:t>幼</w:t>
                  </w:r>
                  <w:r>
                    <w:rPr>
                      <w:rFonts w:ascii="LiSu" w:hAnsi="LiSu" w:eastAsia="LiSu" w:cs="LiSu"/>
                      <w:sz w:val="30"/>
                      <w:szCs w:val="30"/>
                      <w:color w:val="D01020"/>
                      <w:spacing w:val="-15"/>
                      <w:w w:val="81"/>
                    </w:rPr>
                    <w:t>独</w:t>
                  </w:r>
                </w:p>
              </w:txbxContent>
            </v:textbox>
          </v:shape>
        </w:pict>
      </w:r>
      <w:r>
        <w:rPr>
          <w:rFonts w:ascii="SimHei" w:hAnsi="SimHei" w:eastAsia="SimHei" w:cs="SimHei"/>
          <w:sz w:val="21"/>
          <w:szCs w:val="21"/>
          <w:b/>
          <w:bCs/>
          <w:color w:val="D01020"/>
          <w:spacing w:val="2"/>
          <w:position w:val="-1"/>
        </w:rPr>
        <w:t>产在加</w:t>
      </w:r>
      <w:r>
        <w:rPr>
          <w:rFonts w:ascii="SimHei" w:hAnsi="SimHei" w:eastAsia="SimHei" w:cs="SimHei"/>
          <w:sz w:val="21"/>
          <w:szCs w:val="21"/>
          <w:b/>
          <w:bCs/>
          <w:color w:val="FF0000"/>
          <w:spacing w:val="2"/>
          <w:position w:val="-1"/>
        </w:rPr>
        <w:t>拿利枣上的卵</w:t>
      </w:r>
      <w:r>
        <w:rPr>
          <w:rFonts w:ascii="SimHei" w:hAnsi="SimHei" w:eastAsia="SimHei" w:cs="SimHei"/>
          <w:sz w:val="21"/>
          <w:szCs w:val="21"/>
          <w:color w:val="FF0000"/>
          <w:spacing w:val="10"/>
          <w:position w:val="-1"/>
        </w:rPr>
        <w:t xml:space="preserve">     </w:t>
      </w:r>
      <w:r>
        <w:rPr>
          <w:rFonts w:ascii="KaiTi" w:hAnsi="KaiTi" w:eastAsia="KaiTi" w:cs="KaiTi"/>
          <w:sz w:val="21"/>
          <w:szCs w:val="21"/>
          <w:b/>
          <w:bCs/>
          <w:color w:val="FF0000"/>
          <w:spacing w:val="2"/>
          <w:position w:val="2"/>
        </w:rPr>
        <w:t>学</w:t>
      </w:r>
      <w:r>
        <w:rPr>
          <w:rFonts w:ascii="KaiTi" w:hAnsi="KaiTi" w:eastAsia="KaiTi" w:cs="KaiTi"/>
          <w:sz w:val="21"/>
          <w:szCs w:val="21"/>
          <w:color w:val="FF0000"/>
          <w:spacing w:val="-37"/>
          <w:position w:val="2"/>
        </w:rPr>
        <w:t xml:space="preserve"> </w:t>
      </w:r>
      <w:r>
        <w:rPr>
          <w:rFonts w:ascii="SimHei" w:hAnsi="SimHei" w:eastAsia="SimHei" w:cs="SimHei"/>
          <w:sz w:val="21"/>
          <w:szCs w:val="21"/>
          <w:b/>
          <w:bCs/>
          <w:color w:val="C02030"/>
          <w:spacing w:val="2"/>
          <w:position w:val="2"/>
        </w:rPr>
        <w:t>化幼</w:t>
      </w:r>
      <w:r>
        <w:rPr>
          <w:rFonts w:ascii="SimHei" w:hAnsi="SimHei" w:eastAsia="SimHei" w:cs="SimHei"/>
          <w:sz w:val="21"/>
          <w:szCs w:val="21"/>
          <w:color w:val="C02030"/>
          <w:spacing w:val="48"/>
          <w:position w:val="2"/>
        </w:rPr>
        <w:t xml:space="preserve"> </w:t>
      </w:r>
      <w:r>
        <w:rPr>
          <w:rFonts w:ascii="SimHei" w:hAnsi="SimHei" w:eastAsia="SimHei" w:cs="SimHei"/>
          <w:sz w:val="21"/>
          <w:szCs w:val="21"/>
          <w:b/>
          <w:bCs/>
          <w:color w:val="C02030"/>
          <w:spacing w:val="2"/>
          <w:position w:val="2"/>
        </w:rPr>
        <w:t>虫</w:t>
      </w:r>
    </w:p>
    <w:p>
      <w:pPr>
        <w:ind w:firstLine="149"/>
        <w:spacing w:before="23" w:line="1760" w:lineRule="exact"/>
        <w:rPr/>
      </w:pPr>
      <w:r>
        <w:drawing>
          <wp:anchor distT="0" distB="0" distL="0" distR="0" simplePos="0" relativeHeight="252255232" behindDoc="0" locked="0" layoutInCell="1" allowOverlap="1">
            <wp:simplePos x="0" y="0"/>
            <wp:positionH relativeFrom="column">
              <wp:posOffset>1466847</wp:posOffset>
            </wp:positionH>
            <wp:positionV relativeFrom="paragraph">
              <wp:posOffset>27475</wp:posOffset>
            </wp:positionV>
            <wp:extent cx="1606612" cy="1130345"/>
            <wp:effectExtent l="0" t="0" r="0" b="0"/>
            <wp:wrapNone/>
            <wp:docPr id="680" name="IM 680"/>
            <wp:cNvGraphicFramePr/>
            <a:graphic>
              <a:graphicData uri="http://schemas.openxmlformats.org/drawingml/2006/picture">
                <pic:pic>
                  <pic:nvPicPr>
                    <pic:cNvPr id="680" name="IM 680"/>
                    <pic:cNvPicPr/>
                  </pic:nvPicPr>
                  <pic:blipFill>
                    <a:blip r:embed="rId472"/>
                    <a:stretch>
                      <a:fillRect/>
                    </a:stretch>
                  </pic:blipFill>
                  <pic:spPr>
                    <a:xfrm rot="0">
                      <a:off x="0" y="0"/>
                      <a:ext cx="1606612" cy="1130345"/>
                    </a:xfrm>
                    <a:prstGeom prst="rect">
                      <a:avLst/>
                    </a:prstGeom>
                  </pic:spPr>
                </pic:pic>
              </a:graphicData>
            </a:graphic>
          </wp:anchor>
        </w:drawing>
      </w:r>
      <w:r>
        <w:rPr>
          <w:position w:val="-35"/>
        </w:rPr>
        <w:drawing>
          <wp:inline distT="0" distB="0" distL="0" distR="0">
            <wp:extent cx="1143058" cy="1117606"/>
            <wp:effectExtent l="0" t="0" r="0" b="0"/>
            <wp:docPr id="682" name="IM 682"/>
            <wp:cNvGraphicFramePr/>
            <a:graphic>
              <a:graphicData uri="http://schemas.openxmlformats.org/drawingml/2006/picture">
                <pic:pic>
                  <pic:nvPicPr>
                    <pic:cNvPr id="682" name="IM 682"/>
                    <pic:cNvPicPr/>
                  </pic:nvPicPr>
                  <pic:blipFill>
                    <a:blip r:embed="rId473"/>
                    <a:stretch>
                      <a:fillRect/>
                    </a:stretch>
                  </pic:blipFill>
                  <pic:spPr>
                    <a:xfrm rot="0">
                      <a:off x="0" y="0"/>
                      <a:ext cx="1143058" cy="1117606"/>
                    </a:xfrm>
                    <a:prstGeom prst="rect">
                      <a:avLst/>
                    </a:prstGeom>
                  </pic:spPr>
                </pic:pic>
              </a:graphicData>
            </a:graphic>
          </wp:inline>
        </w:drawing>
      </w:r>
    </w:p>
    <w:p>
      <w:pPr>
        <w:ind w:left="3162"/>
        <w:spacing w:before="65" w:line="216" w:lineRule="auto"/>
        <w:rPr>
          <w:rFonts w:ascii="SimHei" w:hAnsi="SimHei" w:eastAsia="SimHei" w:cs="SimHei"/>
          <w:sz w:val="21"/>
          <w:szCs w:val="21"/>
        </w:rPr>
      </w:pPr>
      <w:r>
        <w:pict>
          <v:shape id="_x0000_s56" style="position:absolute;margin-left:34.6578pt;margin-top:0.946568pt;mso-position-vertical-relative:text;mso-position-horizontal-relative:text;width:25.25pt;height:15.7pt;z-index:252261376;" filled="false" stroked="false" type="#_x0000_t202">
            <v:fill on="false"/>
            <v:stroke on="false"/>
            <v:path/>
            <v:imagedata o:title=""/>
            <o:lock v:ext="edit" aspectratio="false"/>
            <v:textbox inset="0mm,0mm,0mm,0mm">
              <w:txbxContent>
                <w:p>
                  <w:pPr>
                    <w:ind w:left="20"/>
                    <w:spacing w:before="20" w:line="229" w:lineRule="auto"/>
                    <w:rPr>
                      <w:rFonts w:ascii="KaiTi" w:hAnsi="KaiTi" w:eastAsia="KaiTi" w:cs="KaiTi"/>
                      <w:sz w:val="22"/>
                      <w:szCs w:val="22"/>
                    </w:rPr>
                  </w:pPr>
                  <w:r>
                    <w:rPr>
                      <w:rFonts w:ascii="KaiTi" w:hAnsi="KaiTi" w:eastAsia="KaiTi" w:cs="KaiTi"/>
                      <w:sz w:val="22"/>
                      <w:szCs w:val="22"/>
                      <w:b/>
                      <w:bCs/>
                      <w:color w:val="D01020"/>
                      <w:spacing w:val="9"/>
                    </w:rPr>
                    <w:t>化蛹</w:t>
                  </w:r>
                </w:p>
              </w:txbxContent>
            </v:textbox>
          </v:shape>
        </w:pict>
      </w:r>
      <w:r>
        <w:drawing>
          <wp:anchor distT="0" distB="0" distL="0" distR="0" simplePos="0" relativeHeight="252258304" behindDoc="0" locked="0" layoutInCell="1" allowOverlap="1">
            <wp:simplePos x="0" y="0"/>
            <wp:positionH relativeFrom="column">
              <wp:posOffset>126975</wp:posOffset>
            </wp:positionH>
            <wp:positionV relativeFrom="paragraph">
              <wp:posOffset>254303</wp:posOffset>
            </wp:positionV>
            <wp:extent cx="1581217" cy="1003350"/>
            <wp:effectExtent l="0" t="0" r="0" b="0"/>
            <wp:wrapNone/>
            <wp:docPr id="684" name="IM 684"/>
            <wp:cNvGraphicFramePr/>
            <a:graphic>
              <a:graphicData uri="http://schemas.openxmlformats.org/drawingml/2006/picture">
                <pic:pic>
                  <pic:nvPicPr>
                    <pic:cNvPr id="684" name="IM 684"/>
                    <pic:cNvPicPr/>
                  </pic:nvPicPr>
                  <pic:blipFill>
                    <a:blip r:embed="rId474"/>
                    <a:stretch>
                      <a:fillRect/>
                    </a:stretch>
                  </pic:blipFill>
                  <pic:spPr>
                    <a:xfrm rot="0">
                      <a:off x="0" y="0"/>
                      <a:ext cx="1581217" cy="1003350"/>
                    </a:xfrm>
                    <a:prstGeom prst="rect">
                      <a:avLst/>
                    </a:prstGeom>
                  </pic:spPr>
                </pic:pic>
              </a:graphicData>
            </a:graphic>
          </wp:anchor>
        </w:drawing>
      </w:r>
      <w:r>
        <w:drawing>
          <wp:anchor distT="0" distB="0" distL="0" distR="0" simplePos="0" relativeHeight="252256256" behindDoc="0" locked="0" layoutInCell="1" allowOverlap="1">
            <wp:simplePos x="0" y="0"/>
            <wp:positionH relativeFrom="column">
              <wp:posOffset>1879611</wp:posOffset>
            </wp:positionH>
            <wp:positionV relativeFrom="paragraph">
              <wp:posOffset>178132</wp:posOffset>
            </wp:positionV>
            <wp:extent cx="1568428" cy="1079521"/>
            <wp:effectExtent l="0" t="0" r="0" b="0"/>
            <wp:wrapNone/>
            <wp:docPr id="686" name="IM 686"/>
            <wp:cNvGraphicFramePr/>
            <a:graphic>
              <a:graphicData uri="http://schemas.openxmlformats.org/drawingml/2006/picture">
                <pic:pic>
                  <pic:nvPicPr>
                    <pic:cNvPr id="686" name="IM 686"/>
                    <pic:cNvPicPr/>
                  </pic:nvPicPr>
                  <pic:blipFill>
                    <a:blip r:embed="rId475"/>
                    <a:stretch>
                      <a:fillRect/>
                    </a:stretch>
                  </pic:blipFill>
                  <pic:spPr>
                    <a:xfrm rot="0">
                      <a:off x="0" y="0"/>
                      <a:ext cx="1568428" cy="1079521"/>
                    </a:xfrm>
                    <a:prstGeom prst="rect">
                      <a:avLst/>
                    </a:prstGeom>
                  </pic:spPr>
                </pic:pic>
              </a:graphicData>
            </a:graphic>
          </wp:anchor>
        </w:drawing>
      </w:r>
      <w:r>
        <w:rPr>
          <w:rFonts w:ascii="SimHei" w:hAnsi="SimHei" w:eastAsia="SimHei" w:cs="SimHei"/>
          <w:sz w:val="21"/>
          <w:szCs w:val="21"/>
          <w:b/>
          <w:bCs/>
          <w:color w:val="F00020"/>
          <w:spacing w:val="11"/>
        </w:rPr>
        <w:t>老熟蛹</w:t>
      </w:r>
    </w:p>
    <w:p>
      <w:pPr>
        <w:spacing w:line="216" w:lineRule="auto"/>
        <w:sectPr>
          <w:type w:val="continuous"/>
          <w:pgSz w:w="14490" w:h="20470"/>
          <w:pgMar w:top="400" w:right="1935" w:bottom="1423" w:left="2150" w:header="0" w:footer="1225" w:gutter="0"/>
          <w:cols w:equalWidth="0" w:num="2">
            <w:col w:w="3250" w:space="99"/>
            <w:col w:w="7055" w:space="0"/>
          </w:cols>
        </w:sectPr>
        <w:rPr>
          <w:rFonts w:ascii="SimHei" w:hAnsi="SimHei" w:eastAsia="SimHei" w:cs="SimHei"/>
          <w:sz w:val="21"/>
          <w:szCs w:val="21"/>
        </w:rPr>
      </w:pPr>
    </w:p>
    <w:p>
      <w:pPr>
        <w:ind w:firstLine="1149"/>
        <w:spacing w:line="1670" w:lineRule="exact"/>
        <w:rPr/>
      </w:pPr>
      <w:r>
        <w:rPr>
          <w:position w:val="-33"/>
        </w:rPr>
        <w:drawing>
          <wp:inline distT="0" distB="0" distL="0" distR="0">
            <wp:extent cx="1384313" cy="1060413"/>
            <wp:effectExtent l="0" t="0" r="0" b="0"/>
            <wp:docPr id="688" name="IM 688"/>
            <wp:cNvGraphicFramePr/>
            <a:graphic>
              <a:graphicData uri="http://schemas.openxmlformats.org/drawingml/2006/picture">
                <pic:pic>
                  <pic:nvPicPr>
                    <pic:cNvPr id="688" name="IM 688"/>
                    <pic:cNvPicPr/>
                  </pic:nvPicPr>
                  <pic:blipFill>
                    <a:blip r:embed="rId476"/>
                    <a:stretch>
                      <a:fillRect/>
                    </a:stretch>
                  </pic:blipFill>
                  <pic:spPr>
                    <a:xfrm rot="0">
                      <a:off x="0" y="0"/>
                      <a:ext cx="1384313" cy="1060413"/>
                    </a:xfrm>
                    <a:prstGeom prst="rect">
                      <a:avLst/>
                    </a:prstGeom>
                  </pic:spPr>
                </pic:pic>
              </a:graphicData>
            </a:graphic>
          </wp:inline>
        </w:drawing>
      </w:r>
    </w:p>
    <w:p>
      <w:pPr>
        <w:pStyle w:val="BodyText"/>
        <w:ind w:left="4109"/>
        <w:spacing w:before="161" w:line="184" w:lineRule="auto"/>
        <w:rPr>
          <w:sz w:val="27"/>
          <w:szCs w:val="27"/>
        </w:rPr>
      </w:pPr>
      <w:r>
        <w:rPr>
          <w:sz w:val="27"/>
          <w:szCs w:val="27"/>
          <w:spacing w:val="-18"/>
        </w:rPr>
        <w:t>图6-2-65红棕象甲</w:t>
      </w:r>
    </w:p>
    <w:p>
      <w:pPr>
        <w:spacing w:line="184" w:lineRule="auto"/>
        <w:sectPr>
          <w:type w:val="continuous"/>
          <w:pgSz w:w="14490" w:h="20470"/>
          <w:pgMar w:top="400" w:right="1935" w:bottom="1423" w:left="2150" w:header="0" w:footer="1225" w:gutter="0"/>
          <w:cols w:equalWidth="0" w:num="1">
            <w:col w:w="10405" w:space="0"/>
          </w:cols>
        </w:sectPr>
        <w:rPr>
          <w:sz w:val="27"/>
          <w:szCs w:val="27"/>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7"/>
        </w:rPr>
        <w:t>(1)危害植物：椰子、油棕等棕榈科植物，龙</w:t>
      </w:r>
      <w:r>
        <w:rPr>
          <w:sz w:val="29"/>
          <w:szCs w:val="29"/>
          <w:spacing w:val="6"/>
        </w:rPr>
        <w:t>舌兰也可危害；</w:t>
      </w:r>
    </w:p>
    <w:p>
      <w:pPr>
        <w:pStyle w:val="BodyText"/>
        <w:ind w:left="730"/>
        <w:spacing w:before="158" w:line="219" w:lineRule="auto"/>
        <w:rPr>
          <w:sz w:val="29"/>
          <w:szCs w:val="29"/>
        </w:rPr>
      </w:pPr>
      <w:r>
        <w:rPr>
          <w:sz w:val="29"/>
          <w:szCs w:val="29"/>
          <w:spacing w:val="1"/>
        </w:rPr>
        <w:t>(2)发病时期：一年中成虫出现较集中时期为5月</w:t>
      </w:r>
      <w:r>
        <w:rPr>
          <w:sz w:val="29"/>
          <w:szCs w:val="29"/>
        </w:rPr>
        <w:t>和11月；</w:t>
      </w:r>
    </w:p>
    <w:p>
      <w:pPr>
        <w:pStyle w:val="BodyText"/>
        <w:ind w:right="363" w:firstLine="730"/>
        <w:spacing w:before="143" w:line="265" w:lineRule="auto"/>
        <w:rPr>
          <w:sz w:val="29"/>
          <w:szCs w:val="29"/>
        </w:rPr>
      </w:pPr>
      <w:r>
        <w:rPr>
          <w:sz w:val="29"/>
          <w:szCs w:val="29"/>
          <w:spacing w:val="7"/>
        </w:rPr>
        <w:t>(3)分布省份：广东、广西、海南、云南、福建、香港、台湾等地华南地</w:t>
      </w:r>
      <w:r>
        <w:rPr>
          <w:sz w:val="29"/>
          <w:szCs w:val="29"/>
          <w:spacing w:val="14"/>
        </w:rPr>
        <w:t xml:space="preserve"> </w:t>
      </w:r>
      <w:r>
        <w:rPr>
          <w:sz w:val="29"/>
          <w:szCs w:val="29"/>
          <w:spacing w:val="-17"/>
        </w:rPr>
        <w:t>区。</w:t>
      </w:r>
    </w:p>
    <w:p>
      <w:pPr>
        <w:pStyle w:val="BodyText"/>
        <w:ind w:left="730"/>
        <w:spacing w:before="147" w:line="219" w:lineRule="auto"/>
        <w:rPr>
          <w:sz w:val="29"/>
          <w:szCs w:val="29"/>
        </w:rPr>
      </w:pPr>
      <w:r>
        <w:rPr>
          <w:sz w:val="29"/>
          <w:szCs w:val="29"/>
          <w:spacing w:val="6"/>
        </w:rPr>
        <w:t>(4)表现症状：以幼虫蛀食茎干内部及生长点取食柔软组织，造成隧道，</w:t>
      </w:r>
    </w:p>
    <w:p>
      <w:pPr>
        <w:pStyle w:val="BodyText"/>
        <w:spacing w:before="136" w:line="219" w:lineRule="auto"/>
        <w:jc w:val="right"/>
        <w:rPr>
          <w:sz w:val="29"/>
          <w:szCs w:val="29"/>
        </w:rPr>
      </w:pPr>
      <w:r>
        <w:rPr>
          <w:sz w:val="29"/>
          <w:szCs w:val="29"/>
          <w:spacing w:val="1"/>
        </w:rPr>
        <w:t>导致受害组织坏死腐烂，并产生特殊气味，严重时造成茎干中空，遇风很易</w:t>
      </w:r>
      <w:r>
        <w:rPr>
          <w:sz w:val="29"/>
          <w:szCs w:val="29"/>
        </w:rPr>
        <w:t>折断。</w:t>
      </w:r>
    </w:p>
    <w:p>
      <w:pPr>
        <w:ind w:left="570"/>
        <w:spacing w:before="115" w:line="221" w:lineRule="auto"/>
        <w:rPr>
          <w:rFonts w:ascii="SimHei" w:hAnsi="SimHei" w:eastAsia="SimHei" w:cs="SimHei"/>
          <w:sz w:val="29"/>
          <w:szCs w:val="29"/>
        </w:rPr>
      </w:pPr>
      <w:r>
        <w:rPr>
          <w:rFonts w:ascii="SimHei" w:hAnsi="SimHei" w:eastAsia="SimHei" w:cs="SimHei"/>
          <w:sz w:val="29"/>
          <w:szCs w:val="29"/>
          <w:spacing w:val="30"/>
        </w:rPr>
        <w:t>6)防治方法</w:t>
      </w:r>
    </w:p>
    <w:p>
      <w:pPr>
        <w:pStyle w:val="BodyText"/>
        <w:ind w:right="359" w:firstLine="730"/>
        <w:spacing w:before="151" w:line="309" w:lineRule="auto"/>
        <w:rPr>
          <w:sz w:val="29"/>
          <w:szCs w:val="29"/>
        </w:rPr>
      </w:pPr>
      <w:r>
        <w:rPr>
          <w:sz w:val="29"/>
          <w:szCs w:val="29"/>
          <w:spacing w:val="-1"/>
        </w:rPr>
        <w:t>(①  落叶后清理树下枯枝落叶和其他杂物，破坏成虫越</w:t>
      </w:r>
      <w:r>
        <w:rPr>
          <w:sz w:val="29"/>
          <w:szCs w:val="29"/>
          <w:spacing w:val="-2"/>
        </w:rPr>
        <w:t>冬场所，减少越冬</w:t>
      </w:r>
      <w:r>
        <w:rPr>
          <w:sz w:val="29"/>
          <w:szCs w:val="29"/>
        </w:rPr>
        <w:t xml:space="preserve"> </w:t>
      </w:r>
      <w:r>
        <w:rPr>
          <w:sz w:val="29"/>
          <w:szCs w:val="29"/>
          <w:spacing w:val="-2"/>
        </w:rPr>
        <w:t>成虫；初冬时用3度石硫合剂仔细喷洒柳树主干，消灭越冬成虫；</w:t>
      </w:r>
    </w:p>
    <w:p>
      <w:pPr>
        <w:pStyle w:val="BodyText"/>
        <w:ind w:right="357" w:firstLine="730"/>
        <w:spacing w:before="19" w:line="260" w:lineRule="auto"/>
        <w:rPr>
          <w:sz w:val="29"/>
          <w:szCs w:val="29"/>
        </w:rPr>
      </w:pPr>
      <w:r>
        <w:rPr>
          <w:sz w:val="29"/>
          <w:szCs w:val="29"/>
          <w:spacing w:val="3"/>
        </w:rPr>
        <w:t>②  诱杀和人工捕捉。采用灯光诱杀、性激素诱杀，降低虫口密度；对于</w:t>
      </w:r>
      <w:r>
        <w:rPr>
          <w:sz w:val="29"/>
          <w:szCs w:val="29"/>
          <w:spacing w:val="7"/>
        </w:rPr>
        <w:t xml:space="preserve"> </w:t>
      </w:r>
      <w:r>
        <w:rPr>
          <w:sz w:val="29"/>
          <w:szCs w:val="29"/>
          <w:spacing w:val="1"/>
        </w:rPr>
        <w:t>晨间或傍晚出来活动的成虫，可利用其假死性，敲击茎干将其振落捕杀；</w:t>
      </w:r>
    </w:p>
    <w:p>
      <w:pPr>
        <w:pStyle w:val="BodyText"/>
        <w:ind w:right="312" w:firstLine="730"/>
        <w:spacing w:before="147" w:line="287" w:lineRule="auto"/>
        <w:rPr>
          <w:sz w:val="29"/>
          <w:szCs w:val="29"/>
        </w:rPr>
      </w:pPr>
      <w:r>
        <w:rPr>
          <w:sz w:val="29"/>
          <w:szCs w:val="29"/>
          <w:spacing w:val="4"/>
        </w:rPr>
        <w:t>③  成虫和幼虫危害前期，最好在危害高峰期到达之前，选用内吸性杀虫</w:t>
      </w:r>
      <w:r>
        <w:rPr>
          <w:sz w:val="29"/>
          <w:szCs w:val="29"/>
          <w:spacing w:val="14"/>
        </w:rPr>
        <w:t xml:space="preserve"> </w:t>
      </w:r>
      <w:r>
        <w:rPr>
          <w:sz w:val="29"/>
          <w:szCs w:val="29"/>
          <w:spacing w:val="-8"/>
        </w:rPr>
        <w:t>剂对叶片、树木伤口及周围进行喷药、涂药、注射处理；针对成虫喜欢在植株上的</w:t>
      </w:r>
      <w:r>
        <w:rPr>
          <w:sz w:val="29"/>
          <w:szCs w:val="29"/>
          <w:spacing w:val="9"/>
        </w:rPr>
        <w:t xml:space="preserve"> </w:t>
      </w:r>
      <w:r>
        <w:rPr>
          <w:sz w:val="29"/>
          <w:szCs w:val="29"/>
        </w:rPr>
        <w:t>孔穴或伤口产卵的习性，可用沥青涂封或用泥浆</w:t>
      </w:r>
      <w:r>
        <w:rPr>
          <w:sz w:val="29"/>
          <w:szCs w:val="29"/>
          <w:spacing w:val="-1"/>
        </w:rPr>
        <w:t>涂抹，防止成虫产卵；常用药剂</w:t>
      </w:r>
      <w:r>
        <w:rPr>
          <w:sz w:val="29"/>
          <w:szCs w:val="29"/>
        </w:rPr>
        <w:t xml:space="preserve"> </w:t>
      </w:r>
      <w:r>
        <w:rPr>
          <w:sz w:val="29"/>
          <w:szCs w:val="29"/>
          <w:spacing w:val="-15"/>
        </w:rPr>
        <w:t>参见《各地区农药肥料使用指导》。</w:t>
      </w:r>
    </w:p>
    <w:p>
      <w:pPr>
        <w:spacing w:line="287" w:lineRule="auto"/>
        <w:sectPr>
          <w:footerReference w:type="default" r:id="rId477"/>
          <w:pgSz w:w="14490" w:h="20470"/>
          <w:pgMar w:top="400" w:right="1865" w:bottom="1413" w:left="2150" w:header="0" w:footer="1214" w:gutter="0"/>
        </w:sectPr>
        <w:rPr>
          <w:sz w:val="29"/>
          <w:szCs w:val="29"/>
        </w:rPr>
      </w:pP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spacing w:line="288" w:lineRule="auto"/>
        <w:rPr>
          <w:rFonts w:ascii="Arial"/>
          <w:sz w:val="21"/>
        </w:rPr>
      </w:pPr>
      <w:r/>
    </w:p>
    <w:p>
      <w:pPr>
        <w:ind w:left="2035"/>
        <w:spacing w:before="133" w:line="222" w:lineRule="auto"/>
        <w:outlineLvl w:val="0"/>
        <w:rPr>
          <w:rFonts w:ascii="SimHei" w:hAnsi="SimHei" w:eastAsia="SimHei" w:cs="SimHei"/>
          <w:sz w:val="41"/>
          <w:szCs w:val="41"/>
        </w:rPr>
      </w:pPr>
      <w:bookmarkStart w:name="bookmark113" w:id="81"/>
      <w:bookmarkEnd w:id="81"/>
      <w:bookmarkStart w:name="bookmark47" w:id="82"/>
      <w:bookmarkEnd w:id="82"/>
      <w:r>
        <w:rPr>
          <w:rFonts w:ascii="SimHei" w:hAnsi="SimHei" w:eastAsia="SimHei" w:cs="SimHei"/>
          <w:sz w:val="41"/>
          <w:szCs w:val="41"/>
          <w:b/>
          <w:bCs/>
          <w:spacing w:val="20"/>
        </w:rPr>
        <w:t>附件一：常用园林机械操作指引</w:t>
      </w:r>
    </w:p>
    <w:p>
      <w:pPr>
        <w:spacing w:line="296" w:lineRule="auto"/>
        <w:rPr>
          <w:rFonts w:ascii="Arial"/>
          <w:sz w:val="21"/>
        </w:rPr>
      </w:pPr>
      <w:r/>
    </w:p>
    <w:p>
      <w:pPr>
        <w:spacing w:line="296" w:lineRule="auto"/>
        <w:rPr>
          <w:rFonts w:ascii="Arial"/>
          <w:sz w:val="21"/>
        </w:rPr>
      </w:pPr>
      <w:r/>
    </w:p>
    <w:p>
      <w:pPr>
        <w:pStyle w:val="BodyText"/>
        <w:ind w:left="29" w:right="71" w:firstLine="600"/>
        <w:spacing w:before="95" w:line="321" w:lineRule="auto"/>
        <w:rPr>
          <w:sz w:val="29"/>
          <w:szCs w:val="29"/>
        </w:rPr>
      </w:pPr>
      <w:r>
        <w:rPr>
          <w:sz w:val="29"/>
          <w:szCs w:val="29"/>
          <w:spacing w:val="3"/>
        </w:rPr>
        <w:t>为提高园林绿化机械使用效率，延长使用寿命</w:t>
      </w:r>
      <w:r>
        <w:rPr>
          <w:sz w:val="29"/>
          <w:szCs w:val="29"/>
          <w:spacing w:val="2"/>
        </w:rPr>
        <w:t>，保证操作安全，特制定本细</w:t>
      </w:r>
      <w:r>
        <w:rPr>
          <w:sz w:val="29"/>
          <w:szCs w:val="29"/>
        </w:rPr>
        <w:t xml:space="preserve"> </w:t>
      </w:r>
      <w:r>
        <w:rPr>
          <w:sz w:val="29"/>
          <w:szCs w:val="29"/>
          <w:spacing w:val="-4"/>
        </w:rPr>
        <w:t>则。</w:t>
      </w:r>
    </w:p>
    <w:p>
      <w:pPr>
        <w:pStyle w:val="BodyText"/>
        <w:ind w:left="29" w:right="75" w:firstLine="600"/>
        <w:spacing w:line="320" w:lineRule="auto"/>
        <w:rPr>
          <w:sz w:val="29"/>
          <w:szCs w:val="29"/>
        </w:rPr>
      </w:pPr>
      <w:r>
        <w:rPr>
          <w:sz w:val="29"/>
          <w:szCs w:val="29"/>
          <w:spacing w:val="2"/>
        </w:rPr>
        <w:t>我司常用园林绿化机械有绿篱机、汽油水泵、潜水泵、割草机、割灌机、打</w:t>
      </w:r>
      <w:r>
        <w:rPr>
          <w:sz w:val="29"/>
          <w:szCs w:val="29"/>
          <w:spacing w:val="16"/>
        </w:rPr>
        <w:t xml:space="preserve"> </w:t>
      </w:r>
      <w:r>
        <w:rPr>
          <w:sz w:val="29"/>
          <w:szCs w:val="29"/>
          <w:spacing w:val="2"/>
        </w:rPr>
        <w:t>药机、油锯、电动链锯、背负式喷药喷粉机、背负式手动喷雾器、手拉葫芦等。</w:t>
      </w:r>
    </w:p>
    <w:p>
      <w:pPr>
        <w:pStyle w:val="BodyText"/>
        <w:ind w:left="33"/>
        <w:spacing w:before="152" w:line="221" w:lineRule="auto"/>
        <w:outlineLvl w:val="1"/>
        <w:rPr>
          <w:rFonts w:ascii="SimHei" w:hAnsi="SimHei" w:eastAsia="SimHei" w:cs="SimHei"/>
        </w:rPr>
      </w:pPr>
      <w:bookmarkStart w:name="bookmark48" w:id="83"/>
      <w:bookmarkEnd w:id="83"/>
      <w:r>
        <w:rPr>
          <w:b/>
          <w:bCs/>
          <w:spacing w:val="-4"/>
        </w:rPr>
        <w:t>一</w:t>
      </w:r>
      <w:r>
        <w:rPr>
          <w:spacing w:val="-72"/>
        </w:rPr>
        <w:t xml:space="preserve"> </w:t>
      </w:r>
      <w:r>
        <w:rPr>
          <w:b/>
          <w:bCs/>
          <w:spacing w:val="-4"/>
        </w:rPr>
        <w:t>、</w:t>
      </w:r>
      <w:r>
        <w:rPr>
          <w:rFonts w:ascii="SimHei" w:hAnsi="SimHei" w:eastAsia="SimHei" w:cs="SimHei"/>
          <w:spacing w:val="-4"/>
        </w:rPr>
        <w:t>绿篱机</w:t>
      </w:r>
    </w:p>
    <w:p>
      <w:pPr>
        <w:pStyle w:val="BodyText"/>
        <w:ind w:left="29" w:right="128" w:firstLine="600"/>
        <w:spacing w:before="146" w:line="321" w:lineRule="auto"/>
        <w:rPr>
          <w:sz w:val="29"/>
          <w:szCs w:val="29"/>
        </w:rPr>
      </w:pPr>
      <w:r>
        <w:rPr>
          <w:sz w:val="29"/>
          <w:szCs w:val="29"/>
          <w:spacing w:val="-16"/>
        </w:rPr>
        <w:t>绿篱机又称绿篱剪，其依靠小汽油机为动力带动刀片切割转动，适用于庭园、路</w:t>
      </w:r>
      <w:r>
        <w:rPr>
          <w:sz w:val="29"/>
          <w:szCs w:val="29"/>
          <w:spacing w:val="9"/>
        </w:rPr>
        <w:t xml:space="preserve"> </w:t>
      </w:r>
      <w:r>
        <w:rPr>
          <w:sz w:val="29"/>
          <w:szCs w:val="29"/>
          <w:spacing w:val="-1"/>
        </w:rPr>
        <w:t>旁树篱的专业修剪。</w:t>
      </w:r>
    </w:p>
    <w:p>
      <w:pPr>
        <w:pStyle w:val="BodyText"/>
        <w:spacing w:before="51" w:line="5290" w:lineRule="exact"/>
        <w:rPr/>
      </w:pPr>
      <w:r>
        <w:rPr>
          <w:position w:val="-105"/>
        </w:rPr>
        <w:pict>
          <v:group id="_x0000_s58" style="mso-position-vertical-relative:line;mso-position-horizontal-relative:char;width:482pt;height:264.55pt;" filled="false" stroked="false" coordsize="9640,5290" coordorigin="0,0">
            <v:shape id="_x0000_s60" style="position:absolute;left:0;top:0;width:8460;height:5290;" filled="false" stroked="false" type="#_x0000_t75">
              <v:imagedata o:title="" r:id="rId479"/>
            </v:shape>
            <v:shape id="_x0000_s62" style="position:absolute;left:1470;top:589;width:8190;height:4351;" filled="false" stroked="false" type="#_x0000_t202">
              <v:fill on="false"/>
              <v:stroke on="false"/>
              <v:path/>
              <v:imagedata o:title=""/>
              <o:lock v:ext="edit" aspectratio="false"/>
              <v:textbox inset="0mm,0mm,0mm,0mm">
                <w:txbxContent>
                  <w:p>
                    <w:pPr>
                      <w:spacing w:line="20" w:lineRule="exact"/>
                      <w:rPr/>
                    </w:pPr>
                    <w:r/>
                  </w:p>
                  <w:tbl>
                    <w:tblPr>
                      <w:tblStyle w:val="TableNormal"/>
                      <w:tblW w:w="8149" w:type="dxa"/>
                      <w:tblInd w:w="2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1385"/>
                      <w:gridCol w:w="4730"/>
                      <w:gridCol w:w="2034"/>
                    </w:tblGrid>
                    <w:tr>
                      <w:trPr>
                        <w:trHeight w:val="466" w:hRule="atLeast"/>
                      </w:trPr>
                      <w:tc>
                        <w:tcPr>
                          <w:tcW w:w="1385" w:type="dxa"/>
                          <w:vAlign w:val="top"/>
                        </w:tcPr>
                        <w:p>
                          <w:pPr>
                            <w:rPr>
                              <w:rFonts w:ascii="Arial"/>
                              <w:sz w:val="21"/>
                            </w:rPr>
                          </w:pPr>
                          <w:r/>
                        </w:p>
                      </w:tc>
                      <w:tc>
                        <w:tcPr>
                          <w:tcW w:w="4730" w:type="dxa"/>
                          <w:vAlign w:val="top"/>
                        </w:tcPr>
                        <w:p>
                          <w:pPr>
                            <w:ind w:left="865"/>
                            <w:spacing w:line="219" w:lineRule="auto"/>
                            <w:rPr>
                              <w:rFonts w:ascii="SimSun" w:hAnsi="SimSun" w:eastAsia="SimSun" w:cs="SimSun"/>
                              <w:sz w:val="24"/>
                              <w:szCs w:val="24"/>
                            </w:rPr>
                          </w:pPr>
                          <w:r>
                            <w:rPr>
                              <w:rFonts w:ascii="SimSun" w:hAnsi="SimSun" w:eastAsia="SimSun" w:cs="SimSun"/>
                              <w:sz w:val="24"/>
                              <w:szCs w:val="24"/>
                              <w:spacing w:val="17"/>
                            </w:rPr>
                            <w:t>前操作手把</w:t>
                          </w:r>
                        </w:p>
                      </w:tc>
                      <w:tc>
                        <w:tcPr>
                          <w:tcW w:w="2034" w:type="dxa"/>
                          <w:vAlign w:val="top"/>
                        </w:tcPr>
                        <w:p>
                          <w:pPr>
                            <w:rPr>
                              <w:rFonts w:ascii="Arial"/>
                              <w:sz w:val="21"/>
                            </w:rPr>
                          </w:pPr>
                          <w:r/>
                        </w:p>
                      </w:tc>
                    </w:tr>
                    <w:tr>
                      <w:trPr>
                        <w:trHeight w:val="782" w:hRule="atLeast"/>
                      </w:trPr>
                      <w:tc>
                        <w:tcPr>
                          <w:tcW w:w="1385" w:type="dxa"/>
                          <w:vAlign w:val="top"/>
                        </w:tcPr>
                        <w:p>
                          <w:pPr>
                            <w:rPr>
                              <w:rFonts w:ascii="Arial"/>
                              <w:sz w:val="21"/>
                            </w:rPr>
                          </w:pPr>
                          <w:r/>
                        </w:p>
                      </w:tc>
                      <w:tc>
                        <w:tcPr>
                          <w:tcW w:w="4730" w:type="dxa"/>
                          <w:vAlign w:val="top"/>
                        </w:tcPr>
                        <w:p>
                          <w:pPr>
                            <w:ind w:left="3634"/>
                            <w:spacing w:before="226" w:line="220" w:lineRule="auto"/>
                            <w:rPr>
                              <w:rFonts w:ascii="SimSun" w:hAnsi="SimSun" w:eastAsia="SimSun" w:cs="SimSun"/>
                              <w:sz w:val="27"/>
                              <w:szCs w:val="27"/>
                            </w:rPr>
                          </w:pPr>
                          <w:r>
                            <w:rPr>
                              <w:rFonts w:ascii="SimSun" w:hAnsi="SimSun" w:eastAsia="SimSun" w:cs="SimSun"/>
                              <w:sz w:val="27"/>
                              <w:szCs w:val="27"/>
                              <w:spacing w:val="-9"/>
                            </w:rPr>
                            <w:t>启动器</w:t>
                          </w:r>
                        </w:p>
                      </w:tc>
                      <w:tc>
                        <w:tcPr>
                          <w:tcW w:w="2034" w:type="dxa"/>
                          <w:vAlign w:val="top"/>
                        </w:tcPr>
                        <w:p>
                          <w:pPr>
                            <w:rPr>
                              <w:rFonts w:ascii="Arial"/>
                              <w:sz w:val="21"/>
                            </w:rPr>
                          </w:pPr>
                          <w:r/>
                        </w:p>
                      </w:tc>
                    </w:tr>
                    <w:tr>
                      <w:trPr>
                        <w:trHeight w:val="719" w:hRule="atLeast"/>
                      </w:trPr>
                      <w:tc>
                        <w:tcPr>
                          <w:tcW w:w="1385" w:type="dxa"/>
                          <w:vAlign w:val="top"/>
                        </w:tcPr>
                        <w:p>
                          <w:pPr>
                            <w:spacing w:before="287" w:line="220" w:lineRule="auto"/>
                            <w:rPr>
                              <w:rFonts w:ascii="SimSun" w:hAnsi="SimSun" w:eastAsia="SimSun" w:cs="SimSun"/>
                              <w:sz w:val="34"/>
                              <w:szCs w:val="34"/>
                            </w:rPr>
                          </w:pPr>
                          <w:r>
                            <w:rPr>
                              <w:rFonts w:ascii="SimSun" w:hAnsi="SimSun" w:eastAsia="SimSun" w:cs="SimSun"/>
                              <w:sz w:val="34"/>
                              <w:szCs w:val="34"/>
                              <w:spacing w:val="-40"/>
                            </w:rPr>
                            <w:t>刀片</w:t>
                          </w:r>
                        </w:p>
                      </w:tc>
                      <w:tc>
                        <w:tcPr>
                          <w:tcW w:w="4730" w:type="dxa"/>
                          <w:vAlign w:val="top"/>
                        </w:tcPr>
                        <w:p>
                          <w:pPr>
                            <w:rPr>
                              <w:rFonts w:ascii="Arial"/>
                              <w:sz w:val="21"/>
                            </w:rPr>
                          </w:pPr>
                          <w:r/>
                        </w:p>
                      </w:tc>
                      <w:tc>
                        <w:tcPr>
                          <w:tcW w:w="2034" w:type="dxa"/>
                          <w:vAlign w:val="top"/>
                        </w:tcPr>
                        <w:p>
                          <w:pPr>
                            <w:rPr>
                              <w:rFonts w:ascii="Arial"/>
                              <w:sz w:val="21"/>
                            </w:rPr>
                          </w:pPr>
                          <w:r/>
                        </w:p>
                      </w:tc>
                    </w:tr>
                    <w:tr>
                      <w:trPr>
                        <w:trHeight w:val="1369" w:hRule="atLeast"/>
                      </w:trPr>
                      <w:tc>
                        <w:tcPr>
                          <w:tcW w:w="1385" w:type="dxa"/>
                          <w:vAlign w:val="top"/>
                        </w:tcPr>
                        <w:p>
                          <w:pPr>
                            <w:rPr>
                              <w:rFonts w:ascii="Arial"/>
                              <w:sz w:val="21"/>
                            </w:rPr>
                          </w:pPr>
                          <w:r/>
                        </w:p>
                      </w:tc>
                      <w:tc>
                        <w:tcPr>
                          <w:tcW w:w="4730" w:type="dxa"/>
                          <w:vAlign w:val="top"/>
                        </w:tcPr>
                        <w:p>
                          <w:pPr>
                            <w:rPr>
                              <w:rFonts w:ascii="Arial"/>
                              <w:sz w:val="21"/>
                            </w:rPr>
                          </w:pPr>
                          <w:r/>
                        </w:p>
                      </w:tc>
                      <w:tc>
                        <w:tcPr>
                          <w:tcW w:w="2034" w:type="dxa"/>
                          <w:vAlign w:val="top"/>
                        </w:tcPr>
                        <w:p>
                          <w:pPr>
                            <w:ind w:left="324"/>
                            <w:spacing w:before="93" w:line="219" w:lineRule="auto"/>
                            <w:rPr>
                              <w:rFonts w:ascii="SimSun" w:hAnsi="SimSun" w:eastAsia="SimSun" w:cs="SimSun"/>
                              <w:sz w:val="24"/>
                              <w:szCs w:val="24"/>
                            </w:rPr>
                          </w:pPr>
                          <w:r>
                            <w:rPr>
                              <w:rFonts w:ascii="SimSun" w:hAnsi="SimSun" w:eastAsia="SimSun" w:cs="SimSun"/>
                              <w:sz w:val="24"/>
                              <w:szCs w:val="24"/>
                              <w:spacing w:val="17"/>
                            </w:rPr>
                            <w:t>引擎开关</w:t>
                          </w:r>
                        </w:p>
                        <w:p>
                          <w:pPr>
                            <w:spacing w:line="365" w:lineRule="auto"/>
                            <w:rPr>
                              <w:rFonts w:ascii="Arial"/>
                              <w:sz w:val="21"/>
                            </w:rPr>
                          </w:pPr>
                          <w:r/>
                        </w:p>
                        <w:p>
                          <w:pPr>
                            <w:spacing w:before="78" w:line="219" w:lineRule="auto"/>
                            <w:jc w:val="right"/>
                            <w:rPr>
                              <w:rFonts w:ascii="SimSun" w:hAnsi="SimSun" w:eastAsia="SimSun" w:cs="SimSun"/>
                              <w:sz w:val="24"/>
                              <w:szCs w:val="24"/>
                            </w:rPr>
                          </w:pPr>
                          <w:r>
                            <w:rPr>
                              <w:rFonts w:ascii="SimSun" w:hAnsi="SimSun" w:eastAsia="SimSun" w:cs="SimSun"/>
                              <w:sz w:val="24"/>
                              <w:szCs w:val="24"/>
                              <w:spacing w:val="23"/>
                            </w:rPr>
                            <w:t>节流杆</w:t>
                          </w:r>
                        </w:p>
                      </w:tc>
                    </w:tr>
                    <w:tr>
                      <w:trPr>
                        <w:trHeight w:val="640" w:hRule="atLeast"/>
                      </w:trPr>
                      <w:tc>
                        <w:tcPr>
                          <w:tcW w:w="1385" w:type="dxa"/>
                          <w:vAlign w:val="top"/>
                        </w:tcPr>
                        <w:p>
                          <w:pPr>
                            <w:rPr>
                              <w:rFonts w:ascii="Arial"/>
                              <w:sz w:val="21"/>
                            </w:rPr>
                          </w:pPr>
                          <w:r/>
                        </w:p>
                      </w:tc>
                      <w:tc>
                        <w:tcPr>
                          <w:tcW w:w="4730" w:type="dxa"/>
                          <w:vAlign w:val="top"/>
                        </w:tcPr>
                        <w:p>
                          <w:pPr>
                            <w:ind w:left="1254"/>
                            <w:spacing w:before="306" w:line="221" w:lineRule="auto"/>
                            <w:rPr>
                              <w:rFonts w:ascii="SimSun" w:hAnsi="SimSun" w:eastAsia="SimSun" w:cs="SimSun"/>
                              <w:sz w:val="27"/>
                              <w:szCs w:val="27"/>
                            </w:rPr>
                          </w:pPr>
                          <w:r>
                            <w:rPr>
                              <w:rFonts w:ascii="SimSun" w:hAnsi="SimSun" w:eastAsia="SimSun" w:cs="SimSun"/>
                              <w:sz w:val="27"/>
                              <w:szCs w:val="27"/>
                              <w:spacing w:val="-11"/>
                            </w:rPr>
                            <w:t>消音器</w:t>
                          </w:r>
                        </w:p>
                      </w:tc>
                      <w:tc>
                        <w:tcPr>
                          <w:tcW w:w="2034" w:type="dxa"/>
                          <w:vAlign w:val="top"/>
                        </w:tcPr>
                        <w:p>
                          <w:pPr>
                            <w:rPr>
                              <w:rFonts w:ascii="Arial"/>
                              <w:sz w:val="21"/>
                            </w:rPr>
                          </w:pPr>
                          <w:r/>
                        </w:p>
                      </w:tc>
                    </w:tr>
                    <w:tr>
                      <w:trPr>
                        <w:trHeight w:val="334" w:hRule="atLeast"/>
                      </w:trPr>
                      <w:tc>
                        <w:tcPr>
                          <w:tcW w:w="1385" w:type="dxa"/>
                          <w:vAlign w:val="top"/>
                        </w:tcPr>
                        <w:p>
                          <w:pPr>
                            <w:rPr>
                              <w:rFonts w:ascii="Arial"/>
                              <w:sz w:val="21"/>
                            </w:rPr>
                          </w:pPr>
                          <w:r/>
                        </w:p>
                      </w:tc>
                      <w:tc>
                        <w:tcPr>
                          <w:tcW w:w="4730" w:type="dxa"/>
                          <w:vAlign w:val="top"/>
                        </w:tcPr>
                        <w:p>
                          <w:pPr>
                            <w:ind w:left="2714"/>
                            <w:spacing w:before="65" w:line="177" w:lineRule="auto"/>
                            <w:rPr>
                              <w:rFonts w:ascii="SimSun" w:hAnsi="SimSun" w:eastAsia="SimSun" w:cs="SimSun"/>
                              <w:sz w:val="27"/>
                              <w:szCs w:val="27"/>
                            </w:rPr>
                          </w:pPr>
                          <w:r>
                            <w:rPr>
                              <w:rFonts w:ascii="SimSun" w:hAnsi="SimSun" w:eastAsia="SimSun" w:cs="SimSun"/>
                              <w:sz w:val="27"/>
                              <w:szCs w:val="27"/>
                              <w:spacing w:val="-3"/>
                            </w:rPr>
                            <w:t>燃料罐</w:t>
                          </w:r>
                        </w:p>
                      </w:tc>
                      <w:tc>
                        <w:tcPr>
                          <w:tcW w:w="2034" w:type="dxa"/>
                          <w:vAlign w:val="top"/>
                        </w:tcPr>
                        <w:p>
                          <w:pPr>
                            <w:rPr>
                              <w:rFonts w:ascii="Arial"/>
                              <w:sz w:val="21"/>
                            </w:rPr>
                          </w:pPr>
                          <w:r/>
                        </w:p>
                      </w:tc>
                    </w:tr>
                  </w:tbl>
                  <w:p>
                    <w:pPr>
                      <w:rPr>
                        <w:rFonts w:ascii="Arial"/>
                        <w:sz w:val="21"/>
                      </w:rPr>
                    </w:pPr>
                    <w:r/>
                  </w:p>
                </w:txbxContent>
              </v:textbox>
            </v:shape>
          </v:group>
        </w:pict>
      </w:r>
    </w:p>
    <w:p>
      <w:pPr>
        <w:pStyle w:val="BodyText"/>
        <w:ind w:left="7620"/>
        <w:spacing w:before="81" w:line="219" w:lineRule="auto"/>
        <w:rPr>
          <w:sz w:val="27"/>
          <w:szCs w:val="27"/>
        </w:rPr>
      </w:pPr>
      <w:r>
        <w:rPr>
          <w:sz w:val="27"/>
          <w:szCs w:val="27"/>
          <w:spacing w:val="-10"/>
        </w:rPr>
        <w:t>后操作手把</w:t>
      </w:r>
    </w:p>
    <w:p>
      <w:pPr>
        <w:pStyle w:val="BodyText"/>
        <w:ind w:left="4219"/>
        <w:spacing w:before="167" w:line="219" w:lineRule="auto"/>
        <w:rPr>
          <w:sz w:val="26"/>
          <w:szCs w:val="26"/>
        </w:rPr>
      </w:pPr>
      <w:r>
        <w:rPr>
          <w:sz w:val="26"/>
          <w:szCs w:val="26"/>
          <w:spacing w:val="-11"/>
        </w:rPr>
        <w:t>图7-1-1绿篱机</w:t>
      </w:r>
    </w:p>
    <w:p>
      <w:pPr>
        <w:pStyle w:val="BodyText"/>
        <w:ind w:left="29"/>
        <w:spacing w:before="216" w:line="224"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领用</w:t>
      </w:r>
    </w:p>
    <w:p>
      <w:pPr>
        <w:pStyle w:val="BodyText"/>
        <w:ind w:left="630"/>
        <w:spacing w:before="135" w:line="219" w:lineRule="auto"/>
        <w:rPr>
          <w:sz w:val="29"/>
          <w:szCs w:val="29"/>
        </w:rPr>
      </w:pPr>
      <w:r>
        <w:rPr>
          <w:sz w:val="29"/>
          <w:szCs w:val="29"/>
          <w:spacing w:val="1"/>
        </w:rPr>
        <w:t>绿篱机申领前须检查设备状况，确认正常后方可签字领取。</w:t>
      </w:r>
    </w:p>
    <w:p>
      <w:pPr>
        <w:pStyle w:val="BodyText"/>
        <w:ind w:left="760"/>
        <w:spacing w:before="146" w:line="219" w:lineRule="auto"/>
        <w:rPr>
          <w:sz w:val="29"/>
          <w:szCs w:val="29"/>
        </w:rPr>
      </w:pPr>
      <w:r>
        <w:rPr>
          <w:sz w:val="29"/>
          <w:szCs w:val="29"/>
          <w:spacing w:val="9"/>
        </w:rPr>
        <w:t>(1)机器部件连接是否紧固；</w:t>
      </w:r>
    </w:p>
    <w:p>
      <w:pPr>
        <w:pStyle w:val="BodyText"/>
        <w:ind w:left="760"/>
        <w:spacing w:before="136" w:line="219" w:lineRule="auto"/>
        <w:rPr>
          <w:sz w:val="29"/>
          <w:szCs w:val="29"/>
        </w:rPr>
      </w:pPr>
      <w:r>
        <w:rPr>
          <w:sz w:val="29"/>
          <w:szCs w:val="29"/>
          <w:spacing w:val="7"/>
        </w:rPr>
        <w:t>(2)刀片是否出现崩刃、裂口、弯曲等情况；</w:t>
      </w:r>
    </w:p>
    <w:p>
      <w:pPr>
        <w:pStyle w:val="BodyText"/>
        <w:ind w:left="29" w:right="164" w:firstLine="730"/>
        <w:spacing w:before="177" w:line="262" w:lineRule="auto"/>
        <w:rPr>
          <w:sz w:val="29"/>
          <w:szCs w:val="29"/>
        </w:rPr>
      </w:pPr>
      <w:r>
        <w:rPr>
          <w:sz w:val="29"/>
          <w:szCs w:val="29"/>
          <w:spacing w:val="13"/>
        </w:rPr>
        <w:t>(3)油箱油位是否过低，否则需补充燃料(燃料为</w:t>
      </w:r>
      <w:r>
        <w:rPr>
          <w:sz w:val="29"/>
          <w:szCs w:val="29"/>
          <w:spacing w:val="12"/>
        </w:rPr>
        <w:t>机油、汽油按1:35配制</w:t>
      </w:r>
      <w:r>
        <w:rPr>
          <w:sz w:val="29"/>
          <w:szCs w:val="29"/>
        </w:rPr>
        <w:t xml:space="preserve"> </w:t>
      </w:r>
      <w:r>
        <w:rPr>
          <w:sz w:val="29"/>
          <w:szCs w:val="29"/>
          <w:spacing w:val="-2"/>
        </w:rPr>
        <w:t>的混合油，配制比例不得超过1:50或低于1:2</w:t>
      </w:r>
      <w:r>
        <w:rPr>
          <w:sz w:val="29"/>
          <w:szCs w:val="29"/>
          <w:spacing w:val="-3"/>
        </w:rPr>
        <w:t>5;机油必须是2冲程的2</w:t>
      </w:r>
      <w:r>
        <w:rPr>
          <w:rFonts w:ascii="Times New Roman" w:hAnsi="Times New Roman" w:eastAsia="Times New Roman" w:cs="Times New Roman"/>
          <w:sz w:val="29"/>
          <w:szCs w:val="29"/>
          <w:spacing w:val="-3"/>
        </w:rPr>
        <w:t>T</w:t>
      </w:r>
      <w:r>
        <w:rPr>
          <w:sz w:val="29"/>
          <w:szCs w:val="29"/>
          <w:spacing w:val="-3"/>
        </w:rPr>
        <w:t>专用机油，</w:t>
      </w:r>
    </w:p>
    <w:p>
      <w:pPr>
        <w:pStyle w:val="BodyText"/>
        <w:ind w:left="29"/>
        <w:spacing w:before="142" w:line="268" w:lineRule="auto"/>
        <w:rPr>
          <w:sz w:val="29"/>
          <w:szCs w:val="29"/>
        </w:rPr>
      </w:pPr>
      <w:r>
        <w:rPr>
          <w:sz w:val="29"/>
          <w:szCs w:val="29"/>
          <w:spacing w:val="1"/>
        </w:rPr>
        <w:t>汽油须在90号以上，在8小时内配制完成，严禁使用配置好且久置不用的</w:t>
      </w:r>
      <w:r>
        <w:rPr>
          <w:sz w:val="29"/>
          <w:szCs w:val="29"/>
        </w:rPr>
        <w:t>混合油), </w:t>
      </w:r>
      <w:r>
        <w:rPr>
          <w:sz w:val="29"/>
          <w:szCs w:val="29"/>
          <w:spacing w:val="-12"/>
        </w:rPr>
        <w:t>以不超过油箱的3/4为宜；</w:t>
      </w:r>
    </w:p>
    <w:p>
      <w:pPr>
        <w:pStyle w:val="BodyText"/>
        <w:ind w:left="29" w:right="209" w:firstLine="730"/>
        <w:spacing w:before="161" w:line="279" w:lineRule="auto"/>
        <w:rPr>
          <w:sz w:val="29"/>
          <w:szCs w:val="29"/>
        </w:rPr>
      </w:pPr>
      <w:r>
        <w:rPr>
          <w:sz w:val="29"/>
          <w:szCs w:val="29"/>
          <w:spacing w:val="12"/>
        </w:rPr>
        <w:t>(4)机油油位是否过低(检查机油情况，可将机器放置于水平，卸下机油</w:t>
      </w:r>
      <w:r>
        <w:rPr>
          <w:sz w:val="29"/>
          <w:szCs w:val="29"/>
          <w:spacing w:val="3"/>
        </w:rPr>
        <w:t xml:space="preserve"> </w:t>
      </w:r>
      <w:r>
        <w:rPr>
          <w:sz w:val="29"/>
          <w:szCs w:val="29"/>
          <w:spacing w:val="-16"/>
        </w:rPr>
        <w:t>尺擦净上面的机油，再把机油尺插入机油口，但不要拧紧</w:t>
      </w:r>
      <w:r>
        <w:rPr>
          <w:sz w:val="29"/>
          <w:szCs w:val="29"/>
          <w:spacing w:val="-17"/>
        </w:rPr>
        <w:t>，拔除机油尺检查机油),否</w:t>
      </w:r>
      <w:r>
        <w:rPr>
          <w:sz w:val="29"/>
          <w:szCs w:val="29"/>
        </w:rPr>
        <w:t xml:space="preserve"> </w:t>
      </w:r>
      <w:r>
        <w:rPr>
          <w:sz w:val="29"/>
          <w:szCs w:val="29"/>
        </w:rPr>
        <w:t>则需加入机油直至油口。</w:t>
      </w:r>
    </w:p>
    <w:p>
      <w:pPr>
        <w:spacing w:line="279" w:lineRule="auto"/>
        <w:sectPr>
          <w:footerReference w:type="default" r:id="rId478"/>
          <w:pgSz w:w="14490" w:h="20470"/>
          <w:pgMar w:top="400" w:right="2010" w:bottom="1433" w:left="2120" w:header="0" w:footer="1235"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BodyText"/>
        <w:spacing w:before="94" w:line="223"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准备</w:t>
      </w:r>
    </w:p>
    <w:p>
      <w:pPr>
        <w:pStyle w:val="BodyText"/>
        <w:ind w:firstLine="740"/>
        <w:spacing w:before="118" w:line="269" w:lineRule="auto"/>
        <w:rPr>
          <w:sz w:val="29"/>
          <w:szCs w:val="29"/>
        </w:rPr>
      </w:pPr>
      <w:r>
        <w:rPr>
          <w:sz w:val="29"/>
          <w:szCs w:val="29"/>
          <w:spacing w:val="-9"/>
        </w:rPr>
        <w:t>(1)</w:t>
      </w:r>
      <w:r>
        <w:rPr>
          <w:sz w:val="29"/>
          <w:szCs w:val="29"/>
          <w:spacing w:val="97"/>
        </w:rPr>
        <w:t xml:space="preserve"> </w:t>
      </w:r>
      <w:r>
        <w:rPr>
          <w:sz w:val="29"/>
          <w:szCs w:val="29"/>
          <w:spacing w:val="-9"/>
        </w:rPr>
        <w:t>进行修剪作业前，应在工作区域放置工作标识牌，半径10米内为危险区，</w:t>
      </w:r>
      <w:r>
        <w:rPr>
          <w:sz w:val="29"/>
          <w:szCs w:val="29"/>
        </w:rPr>
        <w:t xml:space="preserve"> </w:t>
      </w:r>
      <w:r>
        <w:rPr>
          <w:sz w:val="29"/>
          <w:szCs w:val="29"/>
          <w:spacing w:val="-9"/>
        </w:rPr>
        <w:t>业主、行人等不得靠近；</w:t>
      </w:r>
    </w:p>
    <w:p>
      <w:pPr>
        <w:pStyle w:val="BodyText"/>
        <w:ind w:right="261" w:firstLine="740"/>
        <w:spacing w:before="135" w:line="268" w:lineRule="auto"/>
        <w:rPr>
          <w:sz w:val="29"/>
          <w:szCs w:val="29"/>
        </w:rPr>
      </w:pPr>
      <w:r>
        <w:rPr>
          <w:sz w:val="29"/>
          <w:szCs w:val="29"/>
        </w:rPr>
        <w:t>(2)</w:t>
      </w:r>
      <w:r>
        <w:rPr>
          <w:sz w:val="29"/>
          <w:szCs w:val="29"/>
          <w:spacing w:val="92"/>
        </w:rPr>
        <w:t xml:space="preserve"> </w:t>
      </w:r>
      <w:r>
        <w:rPr>
          <w:sz w:val="29"/>
          <w:szCs w:val="29"/>
        </w:rPr>
        <w:t>操作人员应穿戴合身的工作服、防滑鞋，戴防护眼镜、纱手套，安全 </w:t>
      </w:r>
      <w:r>
        <w:rPr>
          <w:sz w:val="29"/>
          <w:szCs w:val="29"/>
          <w:spacing w:val="-2"/>
        </w:rPr>
        <w:t>帽等劳动保护品。</w:t>
      </w:r>
    </w:p>
    <w:p>
      <w:pPr>
        <w:pStyle w:val="BodyText"/>
        <w:spacing w:before="134" w:line="395" w:lineRule="exact"/>
        <w:rPr>
          <w:rFonts w:ascii="SimHei" w:hAnsi="SimHei" w:eastAsia="SimHei" w:cs="SimHei"/>
          <w:sz w:val="29"/>
          <w:szCs w:val="29"/>
        </w:rPr>
      </w:pPr>
      <w:r>
        <w:rPr>
          <w:rFonts w:ascii="Arial" w:hAnsi="Arial" w:eastAsia="Arial" w:cs="Arial"/>
          <w:sz w:val="29"/>
          <w:szCs w:val="29"/>
          <w:spacing w:val="8"/>
          <w:position w:val="1"/>
        </w:rPr>
        <w:t>3</w:t>
      </w:r>
      <w:r>
        <w:rPr>
          <w:sz w:val="29"/>
          <w:szCs w:val="29"/>
          <w:spacing w:val="8"/>
          <w:position w:val="1"/>
        </w:rPr>
        <w:t>、</w:t>
      </w:r>
      <w:r>
        <w:rPr>
          <w:rFonts w:ascii="SimHei" w:hAnsi="SimHei" w:eastAsia="SimHei" w:cs="SimHei"/>
          <w:sz w:val="29"/>
          <w:szCs w:val="29"/>
          <w:spacing w:val="8"/>
          <w:position w:val="1"/>
        </w:rPr>
        <w:t>启动</w:t>
      </w:r>
    </w:p>
    <w:p>
      <w:pPr>
        <w:pStyle w:val="BodyText"/>
        <w:ind w:right="134" w:firstLine="610"/>
        <w:spacing w:before="78" w:line="318" w:lineRule="auto"/>
        <w:jc w:val="both"/>
        <w:rPr>
          <w:sz w:val="29"/>
          <w:szCs w:val="29"/>
        </w:rPr>
      </w:pPr>
      <w:r>
        <w:rPr>
          <w:sz w:val="29"/>
          <w:szCs w:val="29"/>
          <w:spacing w:val="-17"/>
        </w:rPr>
        <w:t>首先扳动风门控制钮，使风门处于打开状态，接着把燃油开关扳到打开位置，油</w:t>
      </w:r>
      <w:r>
        <w:rPr>
          <w:sz w:val="29"/>
          <w:szCs w:val="29"/>
          <w:spacing w:val="12"/>
        </w:rPr>
        <w:t xml:space="preserve"> </w:t>
      </w:r>
      <w:r>
        <w:rPr>
          <w:sz w:val="29"/>
          <w:szCs w:val="29"/>
          <w:spacing w:val="-6"/>
        </w:rPr>
        <w:t>门调至低速位置，抓住上把手，轻轻拉动传动引绳直至拉满，在顺着回弹力的方向</w:t>
      </w:r>
      <w:r>
        <w:rPr>
          <w:sz w:val="29"/>
          <w:szCs w:val="29"/>
          <w:spacing w:val="14"/>
        </w:rPr>
        <w:t xml:space="preserve"> </w:t>
      </w:r>
      <w:r>
        <w:rPr>
          <w:sz w:val="29"/>
          <w:szCs w:val="29"/>
          <w:spacing w:val="-2"/>
        </w:rPr>
        <w:t>慢慢回放，而后快速拉动引绳，启动机器(在拉引绳回放时，不得直接放开手柄，</w:t>
      </w:r>
      <w:r>
        <w:rPr>
          <w:sz w:val="29"/>
          <w:szCs w:val="29"/>
          <w:spacing w:val="15"/>
        </w:rPr>
        <w:t xml:space="preserve"> </w:t>
      </w:r>
      <w:r>
        <w:rPr>
          <w:sz w:val="29"/>
          <w:szCs w:val="29"/>
          <w:spacing w:val="-5"/>
        </w:rPr>
        <w:t>以免撞坏启动器)。启动时须注意以下事项：</w:t>
      </w:r>
    </w:p>
    <w:p>
      <w:pPr>
        <w:pStyle w:val="BodyText"/>
        <w:ind w:left="740"/>
        <w:spacing w:before="1" w:line="218" w:lineRule="auto"/>
        <w:rPr>
          <w:sz w:val="29"/>
          <w:szCs w:val="29"/>
        </w:rPr>
      </w:pPr>
      <w:r>
        <w:rPr>
          <w:sz w:val="29"/>
          <w:szCs w:val="29"/>
          <w:spacing w:val="6"/>
        </w:rPr>
        <w:t>(1)启动时，机体要放在地上按住，勿使加油柄碰</w:t>
      </w:r>
      <w:r>
        <w:rPr>
          <w:sz w:val="29"/>
          <w:szCs w:val="29"/>
          <w:spacing w:val="5"/>
        </w:rPr>
        <w:t>到地面或周围障碍物；</w:t>
      </w:r>
    </w:p>
    <w:p>
      <w:pPr>
        <w:pStyle w:val="BodyText"/>
        <w:ind w:right="289" w:firstLine="740"/>
        <w:spacing w:before="138" w:line="272" w:lineRule="auto"/>
        <w:rPr>
          <w:sz w:val="29"/>
          <w:szCs w:val="29"/>
        </w:rPr>
      </w:pPr>
      <w:r>
        <w:rPr>
          <w:sz w:val="29"/>
          <w:szCs w:val="29"/>
          <w:spacing w:val="6"/>
        </w:rPr>
        <w:t>(2)启动后，如调解阀安全退回但刀片仍旋转不停，则须停机对加油门以</w:t>
      </w:r>
      <w:r>
        <w:rPr>
          <w:sz w:val="29"/>
          <w:szCs w:val="29"/>
          <w:spacing w:val="11"/>
        </w:rPr>
        <w:t xml:space="preserve"> </w:t>
      </w:r>
      <w:r>
        <w:rPr>
          <w:sz w:val="29"/>
          <w:szCs w:val="29"/>
          <w:spacing w:val="-4"/>
        </w:rPr>
        <w:t>及其他部位进行检查；</w:t>
      </w:r>
    </w:p>
    <w:p>
      <w:pPr>
        <w:pStyle w:val="BodyText"/>
        <w:ind w:right="203" w:firstLine="740"/>
        <w:spacing w:before="144" w:line="287" w:lineRule="auto"/>
        <w:rPr>
          <w:sz w:val="29"/>
          <w:szCs w:val="29"/>
        </w:rPr>
      </w:pPr>
      <w:r>
        <w:rPr>
          <w:sz w:val="29"/>
          <w:szCs w:val="29"/>
          <w:spacing w:val="9"/>
        </w:rPr>
        <w:t>(3)工作前，先怠速运转1—2分钟，使发动机预</w:t>
      </w:r>
      <w:r>
        <w:rPr>
          <w:sz w:val="29"/>
          <w:szCs w:val="29"/>
          <w:spacing w:val="8"/>
        </w:rPr>
        <w:t>热后再进行下步操作。如</w:t>
      </w:r>
      <w:r>
        <w:rPr>
          <w:sz w:val="29"/>
          <w:szCs w:val="29"/>
        </w:rPr>
        <w:t xml:space="preserve"> </w:t>
      </w:r>
      <w:r>
        <w:rPr>
          <w:sz w:val="29"/>
          <w:szCs w:val="29"/>
        </w:rPr>
        <w:t>预热或实际工作过程中发现发动机冒黑烟，应</w:t>
      </w:r>
      <w:r>
        <w:rPr>
          <w:sz w:val="29"/>
          <w:szCs w:val="29"/>
          <w:spacing w:val="-1"/>
        </w:rPr>
        <w:t>立即停止机器，观察混合油配比是</w:t>
      </w:r>
      <w:r>
        <w:rPr>
          <w:sz w:val="29"/>
          <w:szCs w:val="29"/>
        </w:rPr>
        <w:t xml:space="preserve"> </w:t>
      </w:r>
      <w:r>
        <w:rPr>
          <w:sz w:val="29"/>
          <w:szCs w:val="29"/>
          <w:spacing w:val="-9"/>
        </w:rPr>
        <w:t>否正确，如混合油配比有问题，应导出机器油缸内的混合油重新配置；</w:t>
      </w:r>
      <w:r>
        <w:rPr>
          <w:sz w:val="29"/>
          <w:szCs w:val="29"/>
          <w:spacing w:val="-10"/>
        </w:rPr>
        <w:t>如混合油无</w:t>
      </w:r>
      <w:r>
        <w:rPr>
          <w:sz w:val="29"/>
          <w:szCs w:val="29"/>
        </w:rPr>
        <w:t xml:space="preserve"> </w:t>
      </w:r>
      <w:r>
        <w:rPr>
          <w:sz w:val="29"/>
          <w:szCs w:val="29"/>
          <w:spacing w:val="1"/>
        </w:rPr>
        <w:t>问题又不确定真正原因，应立即停机，并进行检测维</w:t>
      </w:r>
      <w:r>
        <w:rPr>
          <w:sz w:val="29"/>
          <w:szCs w:val="29"/>
        </w:rPr>
        <w:t>修。</w:t>
      </w:r>
    </w:p>
    <w:p>
      <w:pPr>
        <w:pStyle w:val="BodyText"/>
        <w:spacing w:before="216" w:line="222"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作业</w:t>
      </w:r>
    </w:p>
    <w:p>
      <w:pPr>
        <w:pStyle w:val="BodyText"/>
        <w:ind w:right="292" w:firstLine="740"/>
        <w:spacing w:before="92" w:line="266" w:lineRule="auto"/>
        <w:rPr>
          <w:sz w:val="29"/>
          <w:szCs w:val="29"/>
        </w:rPr>
      </w:pPr>
      <w:r>
        <w:rPr>
          <w:sz w:val="29"/>
          <w:szCs w:val="29"/>
          <w:spacing w:val="6"/>
        </w:rPr>
        <w:t>(1)作业时须集中精神，行走要稳，注意左右及前方人员情况，未观察确</w:t>
      </w:r>
      <w:r>
        <w:rPr>
          <w:sz w:val="29"/>
          <w:szCs w:val="29"/>
          <w:spacing w:val="8"/>
        </w:rPr>
        <w:t xml:space="preserve"> </w:t>
      </w:r>
      <w:r>
        <w:rPr>
          <w:sz w:val="29"/>
          <w:szCs w:val="29"/>
          <w:spacing w:val="-1"/>
        </w:rPr>
        <w:t>定背后情况下不得直接转身，不得闲聊、抽烟；</w:t>
      </w:r>
    </w:p>
    <w:p>
      <w:pPr>
        <w:pStyle w:val="BodyText"/>
        <w:ind w:right="209" w:firstLine="740"/>
        <w:spacing w:before="136" w:line="281" w:lineRule="auto"/>
        <w:rPr>
          <w:sz w:val="29"/>
          <w:szCs w:val="29"/>
        </w:rPr>
      </w:pPr>
      <w:r>
        <w:rPr>
          <w:sz w:val="29"/>
          <w:szCs w:val="29"/>
          <w:spacing w:val="9"/>
        </w:rPr>
        <w:t>(2)作业时紧握机体握把，保持转速稳定，按水平面向</w:t>
      </w:r>
      <w:r>
        <w:rPr>
          <w:sz w:val="29"/>
          <w:szCs w:val="29"/>
          <w:spacing w:val="8"/>
        </w:rPr>
        <w:t>前推进修剪，每工</w:t>
      </w:r>
      <w:r>
        <w:rPr>
          <w:sz w:val="29"/>
          <w:szCs w:val="29"/>
        </w:rPr>
        <w:t xml:space="preserve"> </w:t>
      </w:r>
      <w:r>
        <w:rPr>
          <w:sz w:val="29"/>
          <w:szCs w:val="29"/>
          <w:spacing w:val="3"/>
        </w:rPr>
        <w:t>作一缸油或连续运行2小时，休息10分钟，中断作业时须将加油柄扳回到『启动</w:t>
      </w:r>
      <w:r>
        <w:rPr>
          <w:sz w:val="29"/>
          <w:szCs w:val="29"/>
          <w:spacing w:val="5"/>
        </w:rPr>
        <w:t xml:space="preserve"> </w:t>
      </w:r>
      <w:r>
        <w:rPr>
          <w:sz w:val="29"/>
          <w:szCs w:val="29"/>
          <w:spacing w:val="-1"/>
        </w:rPr>
        <w:t>速度』位置后再松开把手；</w:t>
      </w:r>
    </w:p>
    <w:p>
      <w:pPr>
        <w:pStyle w:val="BodyText"/>
        <w:ind w:right="300" w:firstLine="740"/>
        <w:spacing w:before="165" w:line="265" w:lineRule="auto"/>
        <w:rPr>
          <w:sz w:val="29"/>
          <w:szCs w:val="29"/>
        </w:rPr>
      </w:pPr>
      <w:r>
        <w:rPr>
          <w:sz w:val="29"/>
          <w:szCs w:val="29"/>
          <w:spacing w:val="-3"/>
        </w:rPr>
        <w:t>(3)每工作25小时，需给刀片、离合补充润滑油，用铁片或钢丝除去火花塞</w:t>
      </w:r>
      <w:r>
        <w:rPr>
          <w:sz w:val="29"/>
          <w:szCs w:val="29"/>
          <w:spacing w:val="13"/>
        </w:rPr>
        <w:t xml:space="preserve"> </w:t>
      </w:r>
      <w:r>
        <w:rPr>
          <w:sz w:val="29"/>
          <w:szCs w:val="29"/>
          <w:spacing w:val="-4"/>
        </w:rPr>
        <w:t>电极上的污尘，采用汽油或洗涤液清洗空气滤清器并浸上机油；</w:t>
      </w:r>
    </w:p>
    <w:p>
      <w:pPr>
        <w:pStyle w:val="BodyText"/>
        <w:ind w:right="249" w:firstLine="740"/>
        <w:spacing w:before="158" w:line="259" w:lineRule="auto"/>
        <w:rPr>
          <w:sz w:val="29"/>
          <w:szCs w:val="29"/>
        </w:rPr>
      </w:pPr>
      <w:r>
        <w:rPr>
          <w:sz w:val="29"/>
          <w:szCs w:val="29"/>
          <w:spacing w:val="7"/>
        </w:rPr>
        <w:t>(4)石块、钢筋、等坚硬物品应事先清理，若刀片碰到坚硬的东西时，应</w:t>
      </w:r>
      <w:r>
        <w:rPr>
          <w:sz w:val="29"/>
          <w:szCs w:val="29"/>
          <w:spacing w:val="5"/>
        </w:rPr>
        <w:t xml:space="preserve"> </w:t>
      </w:r>
      <w:r>
        <w:rPr>
          <w:sz w:val="29"/>
          <w:szCs w:val="29"/>
          <w:spacing w:val="-1"/>
        </w:rPr>
        <w:t>立即将引擎关闭，检查刀片是否磨损，发现有异常时，要中止作业并更换刀片；</w:t>
      </w:r>
    </w:p>
    <w:p>
      <w:pPr>
        <w:pStyle w:val="BodyText"/>
        <w:ind w:right="284" w:firstLine="740"/>
        <w:spacing w:before="175" w:line="266" w:lineRule="auto"/>
        <w:rPr>
          <w:sz w:val="29"/>
          <w:szCs w:val="29"/>
        </w:rPr>
      </w:pPr>
      <w:r>
        <w:rPr>
          <w:sz w:val="29"/>
          <w:szCs w:val="29"/>
          <w:spacing w:val="6"/>
        </w:rPr>
        <w:t>(5)修剪时应及时去除缠绕在刀片上的枝叶，清除枝叶、机体检查或加油</w:t>
      </w:r>
      <w:r>
        <w:rPr>
          <w:sz w:val="29"/>
          <w:szCs w:val="29"/>
          <w:spacing w:val="16"/>
        </w:rPr>
        <w:t xml:space="preserve"> </w:t>
      </w:r>
      <w:r>
        <w:rPr>
          <w:sz w:val="29"/>
          <w:szCs w:val="29"/>
        </w:rPr>
        <w:t>时，须先关闭引擎，待刀片完全停止转动后再进行上述作业；</w:t>
      </w:r>
    </w:p>
    <w:p>
      <w:pPr>
        <w:pStyle w:val="BodyText"/>
        <w:ind w:right="303" w:firstLine="740"/>
        <w:spacing w:before="145" w:line="269" w:lineRule="auto"/>
        <w:rPr>
          <w:sz w:val="29"/>
          <w:szCs w:val="29"/>
        </w:rPr>
      </w:pPr>
      <w:r>
        <w:rPr>
          <w:sz w:val="29"/>
          <w:szCs w:val="29"/>
          <w:spacing w:val="6"/>
        </w:rPr>
        <w:t>(6)碰到较大的杂苗或枝条时，应用手锯进行清理，不得强行使用</w:t>
      </w:r>
      <w:r>
        <w:rPr>
          <w:sz w:val="29"/>
          <w:szCs w:val="29"/>
          <w:spacing w:val="5"/>
        </w:rPr>
        <w:t>绿篱机</w:t>
      </w:r>
      <w:r>
        <w:rPr>
          <w:sz w:val="29"/>
          <w:szCs w:val="29"/>
        </w:rPr>
        <w:t xml:space="preserve"> </w:t>
      </w:r>
      <w:r>
        <w:rPr>
          <w:sz w:val="29"/>
          <w:szCs w:val="29"/>
          <w:spacing w:val="-1"/>
        </w:rPr>
        <w:t>进行修剪。</w:t>
      </w:r>
    </w:p>
    <w:p>
      <w:pPr>
        <w:spacing w:before="186" w:line="223" w:lineRule="auto"/>
        <w:rPr>
          <w:rFonts w:ascii="SimHei" w:hAnsi="SimHei" w:eastAsia="SimHei" w:cs="SimHei"/>
          <w:sz w:val="28"/>
          <w:szCs w:val="28"/>
        </w:rPr>
      </w:pPr>
      <w:r>
        <w:rPr>
          <w:rFonts w:ascii="SimHei" w:hAnsi="SimHei" w:eastAsia="SimHei" w:cs="SimHei"/>
          <w:sz w:val="28"/>
          <w:szCs w:val="28"/>
          <w:spacing w:val="-4"/>
        </w:rPr>
        <w:t>5、</w:t>
      </w:r>
      <w:r>
        <w:rPr>
          <w:rFonts w:ascii="SimHei" w:hAnsi="SimHei" w:eastAsia="SimHei" w:cs="SimHei"/>
          <w:sz w:val="28"/>
          <w:szCs w:val="28"/>
          <w:spacing w:val="-114"/>
        </w:rPr>
        <w:t xml:space="preserve"> </w:t>
      </w:r>
      <w:r>
        <w:rPr>
          <w:rFonts w:ascii="SimHei" w:hAnsi="SimHei" w:eastAsia="SimHei" w:cs="SimHei"/>
          <w:sz w:val="28"/>
          <w:szCs w:val="28"/>
          <w:spacing w:val="-4"/>
        </w:rPr>
        <w:t>停</w:t>
      </w:r>
      <w:r>
        <w:rPr>
          <w:rFonts w:ascii="SimHei" w:hAnsi="SimHei" w:eastAsia="SimHei" w:cs="SimHei"/>
          <w:sz w:val="28"/>
          <w:szCs w:val="28"/>
          <w:spacing w:val="-63"/>
        </w:rPr>
        <w:t xml:space="preserve"> </w:t>
      </w:r>
      <w:r>
        <w:rPr>
          <w:rFonts w:ascii="SimHei" w:hAnsi="SimHei" w:eastAsia="SimHei" w:cs="SimHei"/>
          <w:sz w:val="28"/>
          <w:szCs w:val="28"/>
          <w:spacing w:val="-4"/>
        </w:rPr>
        <w:t>机</w:t>
      </w:r>
    </w:p>
    <w:p>
      <w:pPr>
        <w:pStyle w:val="BodyText"/>
        <w:ind w:right="337" w:firstLine="740"/>
        <w:spacing w:before="101" w:line="308" w:lineRule="auto"/>
        <w:rPr>
          <w:sz w:val="29"/>
          <w:szCs w:val="29"/>
        </w:rPr>
      </w:pPr>
      <w:r>
        <w:rPr>
          <w:sz w:val="29"/>
          <w:szCs w:val="29"/>
          <w:spacing w:val="-4"/>
        </w:rPr>
        <w:t>(1)</w:t>
      </w:r>
      <w:r>
        <w:rPr>
          <w:sz w:val="29"/>
          <w:szCs w:val="29"/>
          <w:spacing w:val="152"/>
        </w:rPr>
        <w:t xml:space="preserve"> </w:t>
      </w:r>
      <w:r>
        <w:rPr>
          <w:sz w:val="29"/>
          <w:szCs w:val="29"/>
          <w:spacing w:val="-4"/>
        </w:rPr>
        <w:t>停机时，发动机应怠速运转1—2分钟，然后关闭引擎，待机器冷却后</w:t>
      </w:r>
      <w:r>
        <w:rPr>
          <w:sz w:val="29"/>
          <w:szCs w:val="29"/>
        </w:rPr>
        <w:t xml:space="preserve"> </w:t>
      </w:r>
      <w:r>
        <w:rPr>
          <w:sz w:val="29"/>
          <w:szCs w:val="29"/>
        </w:rPr>
        <w:t>检查与保养，禁止冷却前用手触摸消音器或火花塞，以免高温烫伤；</w:t>
      </w:r>
    </w:p>
    <w:p>
      <w:pPr>
        <w:spacing w:line="308" w:lineRule="auto"/>
        <w:sectPr>
          <w:footerReference w:type="default" r:id="rId480"/>
          <w:pgSz w:w="14490" w:h="20470"/>
          <w:pgMar w:top="400" w:right="1975" w:bottom="1405" w:left="2140" w:header="0" w:footer="1243"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BodyText"/>
        <w:ind w:right="22" w:firstLine="740"/>
        <w:spacing w:before="94" w:line="312" w:lineRule="auto"/>
        <w:jc w:val="both"/>
        <w:rPr>
          <w:sz w:val="29"/>
          <w:szCs w:val="29"/>
        </w:rPr>
      </w:pPr>
      <w:r>
        <w:rPr>
          <w:sz w:val="29"/>
          <w:szCs w:val="29"/>
        </w:rPr>
        <w:t>(②  完成工作后，应对机器机身及刀片进</w:t>
      </w:r>
      <w:r>
        <w:rPr>
          <w:sz w:val="29"/>
          <w:szCs w:val="29"/>
          <w:spacing w:val="-1"/>
        </w:rPr>
        <w:t>行清洁，并用稀释后的杀菌剂对</w:t>
      </w:r>
      <w:r>
        <w:rPr>
          <w:sz w:val="29"/>
          <w:szCs w:val="29"/>
        </w:rPr>
        <w:t xml:space="preserve"> </w:t>
      </w:r>
      <w:r>
        <w:rPr>
          <w:sz w:val="29"/>
          <w:szCs w:val="29"/>
        </w:rPr>
        <w:t>刀片进行喷洒消毒，擦拭干净，防止下次使用时有病菌感染其他苗木，禁止用水</w:t>
      </w:r>
      <w:r>
        <w:rPr>
          <w:sz w:val="29"/>
          <w:szCs w:val="29"/>
          <w:spacing w:val="2"/>
        </w:rPr>
        <w:t xml:space="preserve"> </w:t>
      </w:r>
      <w:r>
        <w:rPr>
          <w:sz w:val="29"/>
          <w:szCs w:val="29"/>
          <w:spacing w:val="-2"/>
        </w:rPr>
        <w:t>冲洗。</w:t>
      </w:r>
    </w:p>
    <w:p>
      <w:pPr>
        <w:pStyle w:val="BodyText"/>
        <w:spacing w:line="395" w:lineRule="exact"/>
        <w:rPr>
          <w:rFonts w:ascii="SimHei" w:hAnsi="SimHei" w:eastAsia="SimHei" w:cs="SimHei"/>
          <w:sz w:val="29"/>
          <w:szCs w:val="29"/>
        </w:rPr>
      </w:pPr>
      <w:r>
        <w:rPr>
          <w:rFonts w:ascii="Arial" w:hAnsi="Arial" w:eastAsia="Arial" w:cs="Arial"/>
          <w:sz w:val="29"/>
          <w:szCs w:val="29"/>
          <w:spacing w:val="8"/>
          <w:position w:val="1"/>
        </w:rPr>
        <w:t>6</w:t>
      </w:r>
      <w:r>
        <w:rPr>
          <w:sz w:val="29"/>
          <w:szCs w:val="29"/>
          <w:spacing w:val="8"/>
          <w:position w:val="1"/>
        </w:rPr>
        <w:t>、</w:t>
      </w:r>
      <w:r>
        <w:rPr>
          <w:rFonts w:ascii="SimHei" w:hAnsi="SimHei" w:eastAsia="SimHei" w:cs="SimHei"/>
          <w:sz w:val="29"/>
          <w:szCs w:val="29"/>
          <w:spacing w:val="8"/>
          <w:position w:val="1"/>
        </w:rPr>
        <w:t>储存</w:t>
      </w:r>
    </w:p>
    <w:p>
      <w:pPr>
        <w:pStyle w:val="BodyText"/>
        <w:ind w:left="740"/>
        <w:spacing w:before="106" w:line="219" w:lineRule="auto"/>
        <w:rPr>
          <w:sz w:val="29"/>
          <w:szCs w:val="29"/>
        </w:rPr>
      </w:pPr>
      <w:r>
        <w:rPr>
          <w:sz w:val="29"/>
          <w:szCs w:val="29"/>
          <w:spacing w:val="6"/>
        </w:rPr>
        <w:t>(1)到仓库归还机器时，在检查机器状况无误后，方可签字入库；</w:t>
      </w:r>
    </w:p>
    <w:p>
      <w:pPr>
        <w:pStyle w:val="BodyText"/>
        <w:ind w:left="69" w:right="22" w:firstLine="670"/>
        <w:spacing w:before="138" w:line="268" w:lineRule="auto"/>
        <w:rPr>
          <w:sz w:val="29"/>
          <w:szCs w:val="29"/>
        </w:rPr>
      </w:pPr>
      <w:r>
        <w:rPr>
          <w:sz w:val="29"/>
          <w:szCs w:val="29"/>
          <w:spacing w:val="8"/>
        </w:rPr>
        <w:t>(2)机器存放时应将发动机和消音器上的油污、枝叶清理干净，燃油系统</w:t>
      </w:r>
      <w:r>
        <w:rPr>
          <w:sz w:val="29"/>
          <w:szCs w:val="29"/>
          <w:spacing w:val="13"/>
        </w:rPr>
        <w:t xml:space="preserve"> </w:t>
      </w:r>
      <w:r>
        <w:rPr>
          <w:sz w:val="29"/>
          <w:szCs w:val="29"/>
          <w:spacing w:val="-1"/>
        </w:rPr>
        <w:t>内的油应放净，确保刀片干净并涂防锈油。</w:t>
      </w:r>
    </w:p>
    <w:p>
      <w:pPr>
        <w:pStyle w:val="BodyText"/>
        <w:spacing w:before="185" w:line="221" w:lineRule="auto"/>
        <w:rPr>
          <w:rFonts w:ascii="SimHei" w:hAnsi="SimHei" w:eastAsia="SimHei" w:cs="SimHei"/>
          <w:sz w:val="29"/>
          <w:szCs w:val="29"/>
        </w:rPr>
      </w:pPr>
      <w:r>
        <w:rPr>
          <w:rFonts w:ascii="Arial" w:hAnsi="Arial" w:eastAsia="Arial" w:cs="Arial"/>
          <w:sz w:val="29"/>
          <w:szCs w:val="29"/>
          <w:spacing w:val="5"/>
        </w:rPr>
        <w:t>7</w:t>
      </w:r>
      <w:r>
        <w:rPr>
          <w:sz w:val="29"/>
          <w:szCs w:val="29"/>
          <w:spacing w:val="5"/>
        </w:rPr>
        <w:t>、</w:t>
      </w:r>
      <w:r>
        <w:rPr>
          <w:rFonts w:ascii="SimHei" w:hAnsi="SimHei" w:eastAsia="SimHei" w:cs="SimHei"/>
          <w:sz w:val="29"/>
          <w:szCs w:val="29"/>
          <w:spacing w:val="5"/>
        </w:rPr>
        <w:t>保养及维护</w:t>
      </w:r>
    </w:p>
    <w:p>
      <w:pPr>
        <w:pStyle w:val="BodyText"/>
        <w:ind w:right="20" w:firstLine="740"/>
        <w:spacing w:before="94" w:line="269" w:lineRule="auto"/>
        <w:rPr>
          <w:sz w:val="29"/>
          <w:szCs w:val="29"/>
        </w:rPr>
      </w:pPr>
      <w:r>
        <w:rPr>
          <w:sz w:val="29"/>
          <w:szCs w:val="29"/>
          <w:spacing w:val="8"/>
        </w:rPr>
        <w:t>(1)按产品使用说明书定期保养，清除草屑、土粒、杂物，清洁刀片并涂</w:t>
      </w:r>
      <w:r>
        <w:rPr>
          <w:sz w:val="29"/>
          <w:szCs w:val="29"/>
          <w:spacing w:val="15"/>
        </w:rPr>
        <w:t xml:space="preserve"> </w:t>
      </w:r>
      <w:r>
        <w:rPr>
          <w:sz w:val="29"/>
          <w:szCs w:val="29"/>
        </w:rPr>
        <w:t>防锈油，检查是否有紧固件松动、零件丢失等现象，检查是否漏油；</w:t>
      </w:r>
    </w:p>
    <w:p>
      <w:pPr>
        <w:pStyle w:val="BodyText"/>
        <w:ind w:right="23" w:firstLine="740"/>
        <w:spacing w:before="164" w:line="266" w:lineRule="auto"/>
        <w:rPr>
          <w:sz w:val="29"/>
          <w:szCs w:val="29"/>
        </w:rPr>
      </w:pPr>
      <w:r>
        <w:rPr>
          <w:sz w:val="29"/>
          <w:szCs w:val="29"/>
          <w:spacing w:val="8"/>
        </w:rPr>
        <w:t>(2)出现零部件严重变形、断裂、过量磨损或机件失灵均属大故障，需经</w:t>
      </w:r>
      <w:r>
        <w:rPr>
          <w:sz w:val="29"/>
          <w:szCs w:val="29"/>
          <w:spacing w:val="12"/>
        </w:rPr>
        <w:t xml:space="preserve"> </w:t>
      </w:r>
      <w:r>
        <w:rPr>
          <w:sz w:val="29"/>
          <w:szCs w:val="29"/>
          <w:spacing w:val="-2"/>
        </w:rPr>
        <w:t>彻底修复后方可继续使用；</w:t>
      </w:r>
    </w:p>
    <w:p>
      <w:pPr>
        <w:pStyle w:val="BodyText"/>
        <w:ind w:right="23" w:firstLine="740"/>
        <w:spacing w:before="114" w:line="275" w:lineRule="auto"/>
        <w:rPr>
          <w:sz w:val="29"/>
          <w:szCs w:val="29"/>
        </w:rPr>
      </w:pPr>
      <w:r>
        <w:rPr>
          <w:sz w:val="29"/>
          <w:szCs w:val="29"/>
          <w:spacing w:val="8"/>
        </w:rPr>
        <w:t>(3)出现发动机起动不着或起动困难、输出功率不足、齿轮箱过热等情况</w:t>
      </w:r>
      <w:r>
        <w:rPr>
          <w:sz w:val="29"/>
          <w:szCs w:val="29"/>
          <w:spacing w:val="12"/>
        </w:rPr>
        <w:t xml:space="preserve"> </w:t>
      </w:r>
      <w:r>
        <w:rPr>
          <w:sz w:val="29"/>
          <w:szCs w:val="29"/>
          <w:spacing w:val="-2"/>
        </w:rPr>
        <w:t>时，应按机器说明书规定检查并修理；</w:t>
      </w:r>
    </w:p>
    <w:p>
      <w:pPr>
        <w:pStyle w:val="BodyText"/>
        <w:ind w:right="20" w:firstLine="740"/>
        <w:spacing w:before="158" w:line="259" w:lineRule="auto"/>
        <w:rPr>
          <w:sz w:val="29"/>
          <w:szCs w:val="29"/>
        </w:rPr>
      </w:pPr>
      <w:r>
        <w:rPr>
          <w:sz w:val="29"/>
          <w:szCs w:val="29"/>
          <w:spacing w:val="8"/>
        </w:rPr>
        <w:t>(4)出现紧固件松动，电器接触不良等小故障时，在不影响工作质量及工</w:t>
      </w:r>
      <w:r>
        <w:rPr>
          <w:sz w:val="29"/>
          <w:szCs w:val="29"/>
          <w:spacing w:val="15"/>
        </w:rPr>
        <w:t xml:space="preserve"> </w:t>
      </w:r>
      <w:r>
        <w:rPr>
          <w:sz w:val="29"/>
          <w:szCs w:val="29"/>
        </w:rPr>
        <w:t>作安全时，允许作业完成后再修理或调整。</w:t>
      </w:r>
    </w:p>
    <w:p>
      <w:pPr>
        <w:spacing w:line="259" w:lineRule="auto"/>
        <w:sectPr>
          <w:footerReference w:type="default" r:id="rId481"/>
          <w:pgSz w:w="14490" w:h="20470"/>
          <w:pgMar w:top="400" w:right="2173" w:bottom="1413" w:left="2140" w:header="0" w:footer="1214"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before="94" w:line="221" w:lineRule="auto"/>
        <w:outlineLvl w:val="1"/>
        <w:rPr>
          <w:rFonts w:ascii="SimHei" w:hAnsi="SimHei" w:eastAsia="SimHei" w:cs="SimHei"/>
          <w:sz w:val="29"/>
          <w:szCs w:val="29"/>
        </w:rPr>
      </w:pPr>
      <w:bookmarkStart w:name="bookmark114" w:id="84"/>
      <w:bookmarkEnd w:id="84"/>
      <w:bookmarkStart w:name="bookmark49" w:id="85"/>
      <w:bookmarkEnd w:id="85"/>
      <w:r>
        <w:rPr>
          <w:rFonts w:ascii="SimHei" w:hAnsi="SimHei" w:eastAsia="SimHei" w:cs="SimHei"/>
          <w:sz w:val="29"/>
          <w:szCs w:val="29"/>
          <w:spacing w:val="3"/>
        </w:rPr>
        <w:t>二、汽油水泵</w:t>
      </w:r>
    </w:p>
    <w:p>
      <w:pPr>
        <w:pStyle w:val="BodyText"/>
        <w:ind w:right="23" w:firstLine="600"/>
        <w:spacing w:before="123" w:line="310" w:lineRule="auto"/>
        <w:jc w:val="both"/>
        <w:rPr>
          <w:sz w:val="29"/>
          <w:szCs w:val="29"/>
        </w:rPr>
      </w:pPr>
      <w:r>
        <w:rPr>
          <w:sz w:val="29"/>
          <w:szCs w:val="29"/>
          <w:spacing w:val="-1"/>
        </w:rPr>
        <w:t>常见的汽油水泵是一种离心泵，即在泵内充满水的情况下，发动机带动叶轮</w:t>
      </w:r>
      <w:r>
        <w:rPr>
          <w:sz w:val="29"/>
          <w:szCs w:val="29"/>
          <w:spacing w:val="13"/>
        </w:rPr>
        <w:t xml:space="preserve"> </w:t>
      </w:r>
      <w:r>
        <w:rPr>
          <w:sz w:val="29"/>
          <w:szCs w:val="29"/>
        </w:rPr>
        <w:t>旋转产生离心力，叶轮槽道中的水在离心力的</w:t>
      </w:r>
      <w:r>
        <w:rPr>
          <w:sz w:val="29"/>
          <w:szCs w:val="29"/>
          <w:spacing w:val="-1"/>
        </w:rPr>
        <w:t>作用下流进泵壳，叶轮中心压力降</w:t>
      </w:r>
      <w:r>
        <w:rPr>
          <w:sz w:val="29"/>
          <w:szCs w:val="29"/>
        </w:rPr>
        <w:t xml:space="preserve"> </w:t>
      </w:r>
      <w:r>
        <w:rPr>
          <w:sz w:val="29"/>
          <w:szCs w:val="29"/>
          <w:spacing w:val="1"/>
        </w:rPr>
        <w:t>低，与进水管产生压力差，使水由吸水池流入叶轮，从而不断地吸水、供水。</w:t>
      </w:r>
    </w:p>
    <w:p>
      <w:pPr>
        <w:spacing w:line="262" w:lineRule="auto"/>
        <w:rPr>
          <w:rFonts w:ascii="Arial"/>
          <w:sz w:val="21"/>
        </w:rPr>
      </w:pPr>
      <w:r/>
    </w:p>
    <w:p>
      <w:pPr>
        <w:spacing w:line="263" w:lineRule="auto"/>
        <w:rPr>
          <w:rFonts w:ascii="Arial"/>
          <w:sz w:val="21"/>
        </w:rPr>
      </w:pPr>
      <w:r/>
    </w:p>
    <w:p>
      <w:pPr>
        <w:spacing w:line="3640" w:lineRule="exact"/>
        <w:rPr/>
      </w:pPr>
      <w:r>
        <w:pict>
          <v:group id="_x0000_s64" style="position:absolute;margin-left:278.498pt;margin-top:4.03075pt;mso-position-vertical-relative:text;mso-position-horizontal-relative:text;width:214.55pt;height:181.5pt;z-index:252300288;" filled="false" stroked="false" coordsize="4291,3630" coordorigin="0,0">
            <v:shape id="_x0000_s66" style="position:absolute;left:0;top:0;width:4291;height:3630;" filled="false" stroked="false" type="#_x0000_t75">
              <v:imagedata o:title="" r:id="rId483"/>
            </v:shape>
            <v:shape id="_x0000_s68" style="position:absolute;left:-10;top:-16;width:4262;height:3567;" filled="false" stroked="false" type="#_x0000_t202">
              <v:fill on="false"/>
              <v:stroke on="false"/>
              <v:path/>
              <v:imagedata o:title=""/>
              <o:lock v:ext="edit" aspectratio="false"/>
              <v:textbox inset="0mm,0mm,0mm,0mm">
                <w:txbxContent>
                  <w:p>
                    <w:pPr>
                      <w:pStyle w:val="BodyText"/>
                      <w:ind w:left="352"/>
                      <w:spacing w:before="19" w:line="225" w:lineRule="auto"/>
                      <w:rPr>
                        <w:rFonts w:ascii="STXingkai" w:hAnsi="STXingkai" w:eastAsia="STXingkai" w:cs="STXingkai"/>
                        <w:sz w:val="16"/>
                        <w:szCs w:val="16"/>
                      </w:rPr>
                    </w:pPr>
                    <w:r>
                      <w:rPr>
                        <w:rFonts w:ascii="KaiTi" w:hAnsi="KaiTi" w:eastAsia="KaiTi" w:cs="KaiTi"/>
                        <w:sz w:val="17"/>
                        <w:szCs w:val="17"/>
                        <w:b/>
                        <w:bCs/>
                        <w:spacing w:val="-23"/>
                      </w:rPr>
                      <w:t>消</w:t>
                    </w:r>
                    <w:r>
                      <w:rPr>
                        <w:rFonts w:ascii="STXingkai" w:hAnsi="STXingkai" w:eastAsia="STXingkai" w:cs="STXingkai"/>
                        <w:sz w:val="17"/>
                        <w:szCs w:val="17"/>
                        <w:spacing w:val="-23"/>
                      </w:rPr>
                      <w:t>者器       </w:t>
                    </w:r>
                    <w:r>
                      <w:rPr>
                        <w:sz w:val="19"/>
                        <w:szCs w:val="19"/>
                        <w:spacing w:val="-23"/>
                      </w:rPr>
                      <w:t>空</w:t>
                    </w:r>
                    <w:r>
                      <w:rPr>
                        <w:rFonts w:ascii="KaiTi" w:hAnsi="KaiTi" w:eastAsia="KaiTi" w:cs="KaiTi"/>
                        <w:sz w:val="19"/>
                        <w:szCs w:val="19"/>
                        <w:spacing w:val="-23"/>
                      </w:rPr>
                      <w:t>气滤清器</w:t>
                    </w:r>
                    <w:r>
                      <w:rPr>
                        <w:rFonts w:ascii="KaiTi" w:hAnsi="KaiTi" w:eastAsia="KaiTi" w:cs="KaiTi"/>
                        <w:sz w:val="19"/>
                        <w:szCs w:val="19"/>
                        <w:spacing w:val="4"/>
                      </w:rPr>
                      <w:t xml:space="preserve">          </w:t>
                    </w:r>
                    <w:r>
                      <w:rPr>
                        <w:rFonts w:ascii="STXingkai" w:hAnsi="STXingkai" w:eastAsia="STXingkai" w:cs="STXingkai"/>
                        <w:sz w:val="16"/>
                        <w:szCs w:val="16"/>
                        <w:spacing w:val="-23"/>
                      </w:rPr>
                      <w:t>节气门痘制手杨</w:t>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ind w:left="3500" w:right="20" w:firstLine="9"/>
                      <w:spacing w:before="37" w:line="224" w:lineRule="auto"/>
                      <w:rPr>
                        <w:rFonts w:ascii="KaiTi" w:hAnsi="KaiTi" w:eastAsia="KaiTi" w:cs="KaiTi"/>
                        <w:sz w:val="16"/>
                        <w:szCs w:val="16"/>
                      </w:rPr>
                    </w:pPr>
                    <w:r>
                      <w:rPr>
                        <w:rFonts w:ascii="STXingkai" w:hAnsi="STXingkai" w:eastAsia="STXingkai" w:cs="STXingkai"/>
                        <w:sz w:val="11"/>
                        <w:szCs w:val="11"/>
                        <w:spacing w:val="-11"/>
                      </w:rPr>
                      <w:t>发</w:t>
                    </w:r>
                    <w:r>
                      <w:rPr>
                        <w:rFonts w:ascii="STXingkai" w:hAnsi="STXingkai" w:eastAsia="STXingkai" w:cs="STXingkai"/>
                        <w:sz w:val="11"/>
                        <w:szCs w:val="11"/>
                        <w:spacing w:val="7"/>
                        <w:w w:val="101"/>
                      </w:rPr>
                      <w:t xml:space="preserve">  </w:t>
                    </w:r>
                    <w:r>
                      <w:rPr>
                        <w:rFonts w:ascii="KaiTi" w:hAnsi="KaiTi" w:eastAsia="KaiTi" w:cs="KaiTi"/>
                        <w:sz w:val="11"/>
                        <w:szCs w:val="11"/>
                        <w:b/>
                        <w:bCs/>
                        <w:spacing w:val="-11"/>
                      </w:rPr>
                      <w:t>动</w:t>
                    </w:r>
                    <w:r>
                      <w:rPr>
                        <w:rFonts w:ascii="KaiTi" w:hAnsi="KaiTi" w:eastAsia="KaiTi" w:cs="KaiTi"/>
                        <w:sz w:val="11"/>
                        <w:szCs w:val="11"/>
                        <w:spacing w:val="-11"/>
                      </w:rPr>
                      <w:t xml:space="preserve"> </w:t>
                    </w:r>
                    <w:r>
                      <w:rPr>
                        <w:rFonts w:ascii="KaiTi" w:hAnsi="KaiTi" w:eastAsia="KaiTi" w:cs="KaiTi"/>
                        <w:sz w:val="11"/>
                        <w:szCs w:val="11"/>
                        <w:b/>
                        <w:bCs/>
                        <w:spacing w:val="-11"/>
                      </w:rPr>
                      <w:t>叽</w:t>
                    </w:r>
                    <w:r>
                      <w:rPr>
                        <w:rFonts w:ascii="STXingkai" w:hAnsi="STXingkai" w:eastAsia="STXingkai" w:cs="STXingkai"/>
                        <w:sz w:val="11"/>
                        <w:szCs w:val="11"/>
                        <w:spacing w:val="-11"/>
                      </w:rPr>
                      <w:t>开  关</w:t>
                    </w:r>
                    <w:r>
                      <w:rPr>
                        <w:rFonts w:ascii="STXingkai" w:hAnsi="STXingkai" w:eastAsia="STXingkai" w:cs="STXingkai"/>
                        <w:sz w:val="11"/>
                        <w:szCs w:val="11"/>
                      </w:rPr>
                      <w:t xml:space="preserve">     </w:t>
                    </w:r>
                    <w:r>
                      <w:rPr>
                        <w:rFonts w:ascii="Arial" w:hAnsi="Arial" w:eastAsia="Arial" w:cs="Arial"/>
                        <w:sz w:val="16"/>
                        <w:szCs w:val="16"/>
                        <w:spacing w:val="-5"/>
                      </w:rPr>
                      <w:t>(QAE</w:t>
                    </w:r>
                    <w:r>
                      <w:rPr>
                        <w:rFonts w:ascii="KaiTi" w:hAnsi="KaiTi" w:eastAsia="KaiTi" w:cs="KaiTi"/>
                        <w:sz w:val="16"/>
                        <w:szCs w:val="16"/>
                        <w:spacing w:val="-5"/>
                      </w:rPr>
                      <w:t>类</w:t>
                    </w:r>
                    <w:r>
                      <w:rPr>
                        <w:rFonts w:ascii="KaiTi" w:hAnsi="KaiTi" w:eastAsia="KaiTi" w:cs="KaiTi"/>
                        <w:sz w:val="16"/>
                        <w:szCs w:val="16"/>
                        <w:spacing w:val="-20"/>
                      </w:rPr>
                      <w:t xml:space="preserve"> </w:t>
                    </w:r>
                    <w:r>
                      <w:rPr>
                        <w:rFonts w:ascii="KaiTi" w:hAnsi="KaiTi" w:eastAsia="KaiTi" w:cs="KaiTi"/>
                        <w:sz w:val="16"/>
                        <w:szCs w:val="16"/>
                        <w:spacing w:val="-5"/>
                      </w:rPr>
                      <w:t>型</w:t>
                    </w:r>
                  </w:p>
                  <w:p>
                    <w:pPr>
                      <w:ind w:left="20"/>
                      <w:spacing w:before="11" w:line="225" w:lineRule="auto"/>
                      <w:rPr>
                        <w:rFonts w:ascii="STXingkai" w:hAnsi="STXingkai" w:eastAsia="STXingkai" w:cs="STXingkai"/>
                        <w:sz w:val="19"/>
                        <w:szCs w:val="19"/>
                      </w:rPr>
                    </w:pPr>
                    <w:r>
                      <w:rPr>
                        <w:rFonts w:ascii="KaiTi" w:hAnsi="KaiTi" w:eastAsia="KaiTi" w:cs="KaiTi"/>
                        <w:sz w:val="19"/>
                        <w:szCs w:val="19"/>
                        <w:spacing w:val="-6"/>
                        <w:w w:val="84"/>
                      </w:rPr>
                      <w:t>火花</w:t>
                    </w:r>
                    <w:r>
                      <w:rPr>
                        <w:rFonts w:ascii="STXingkai" w:hAnsi="STXingkai" w:eastAsia="STXingkai" w:cs="STXingkai"/>
                        <w:sz w:val="19"/>
                        <w:szCs w:val="19"/>
                        <w:spacing w:val="-6"/>
                        <w:w w:val="84"/>
                      </w:rPr>
                      <w:t>塞</w:t>
                    </w:r>
                  </w:p>
                  <w:p>
                    <w:pPr>
                      <w:spacing w:line="308" w:lineRule="auto"/>
                      <w:rPr>
                        <w:rFonts w:ascii="Arial"/>
                        <w:sz w:val="21"/>
                      </w:rPr>
                    </w:pPr>
                    <w:r/>
                  </w:p>
                  <w:p>
                    <w:pPr>
                      <w:ind w:left="3299"/>
                      <w:spacing w:before="52" w:line="229" w:lineRule="auto"/>
                      <w:rPr>
                        <w:rFonts w:ascii="SimHei" w:hAnsi="SimHei" w:eastAsia="SimHei" w:cs="SimHei"/>
                        <w:sz w:val="16"/>
                        <w:szCs w:val="16"/>
                      </w:rPr>
                    </w:pPr>
                    <w:r>
                      <w:rPr>
                        <w:rFonts w:ascii="KaiTi" w:hAnsi="KaiTi" w:eastAsia="KaiTi" w:cs="KaiTi"/>
                        <w:sz w:val="16"/>
                        <w:szCs w:val="16"/>
                        <w:spacing w:val="-7"/>
                        <w:w w:val="96"/>
                      </w:rPr>
                      <w:t>所路</w:t>
                    </w:r>
                    <w:r>
                      <w:rPr>
                        <w:rFonts w:ascii="SimHei" w:hAnsi="SimHei" w:eastAsia="SimHei" w:cs="SimHei"/>
                        <w:sz w:val="16"/>
                        <w:szCs w:val="16"/>
                        <w:spacing w:val="-7"/>
                        <w:w w:val="96"/>
                      </w:rPr>
                      <w:t>器</w:t>
                    </w:r>
                  </w:p>
                  <w:p>
                    <w:pPr>
                      <w:ind w:left="3299"/>
                      <w:spacing w:before="27" w:line="241" w:lineRule="exact"/>
                      <w:rPr>
                        <w:rFonts w:ascii="STXingkai" w:hAnsi="STXingkai" w:eastAsia="STXingkai" w:cs="STXingkai"/>
                        <w:sz w:val="17"/>
                        <w:szCs w:val="17"/>
                      </w:rPr>
                    </w:pPr>
                    <w:r>
                      <w:rPr>
                        <w:rFonts w:ascii="STXingkai" w:hAnsi="STXingkai" w:eastAsia="STXingkai" w:cs="STXingkai"/>
                        <w:sz w:val="17"/>
                        <w:szCs w:val="17"/>
                        <w:spacing w:val="-7"/>
                        <w:position w:val="2"/>
                      </w:rPr>
                      <w:t>( </w:t>
                    </w:r>
                    <w:r>
                      <w:rPr>
                        <w:rFonts w:ascii="Arial" w:hAnsi="Arial" w:eastAsia="Arial" w:cs="Arial"/>
                        <w:sz w:val="17"/>
                        <w:szCs w:val="17"/>
                        <w:spacing w:val="-7"/>
                        <w:position w:val="2"/>
                      </w:rPr>
                      <w:t>QAE</w:t>
                    </w:r>
                    <w:r>
                      <w:rPr>
                        <w:rFonts w:ascii="STXingkai" w:hAnsi="STXingkai" w:eastAsia="STXingkai" w:cs="STXingkai"/>
                        <w:sz w:val="17"/>
                        <w:szCs w:val="17"/>
                        <w:spacing w:val="-7"/>
                        <w:position w:val="2"/>
                      </w:rPr>
                      <w:t>类型)</w:t>
                    </w:r>
                  </w:p>
                  <w:p>
                    <w:pPr>
                      <w:spacing w:line="408" w:lineRule="auto"/>
                      <w:rPr>
                        <w:rFonts w:ascii="Arial"/>
                        <w:sz w:val="21"/>
                      </w:rPr>
                    </w:pPr>
                    <w:r/>
                  </w:p>
                  <w:p>
                    <w:pPr>
                      <w:ind w:left="2270" w:right="240" w:firstLine="1029"/>
                      <w:spacing w:before="58" w:line="282" w:lineRule="auto"/>
                      <w:rPr>
                        <w:rFonts w:ascii="KaiTi" w:hAnsi="KaiTi" w:eastAsia="KaiTi" w:cs="KaiTi"/>
                        <w:sz w:val="16"/>
                        <w:szCs w:val="16"/>
                      </w:rPr>
                    </w:pPr>
                    <w:r>
                      <w:rPr>
                        <w:rFonts w:ascii="STXingkai" w:hAnsi="STXingkai" w:eastAsia="STXingkai" w:cs="STXingkai"/>
                        <w:sz w:val="17"/>
                        <w:szCs w:val="17"/>
                        <w:spacing w:val="-26"/>
                      </w:rPr>
                      <w:t>反冲启动器</w:t>
                    </w:r>
                    <w:r>
                      <w:rPr>
                        <w:rFonts w:ascii="STXingkai" w:hAnsi="STXingkai" w:eastAsia="STXingkai" w:cs="STXingkai"/>
                        <w:sz w:val="17"/>
                        <w:szCs w:val="17"/>
                        <w:spacing w:val="1"/>
                      </w:rPr>
                      <w:t xml:space="preserve"> </w:t>
                    </w:r>
                    <w:r>
                      <w:rPr>
                        <w:rFonts w:ascii="KaiTi" w:hAnsi="KaiTi" w:eastAsia="KaiTi" w:cs="KaiTi"/>
                        <w:sz w:val="16"/>
                        <w:szCs w:val="16"/>
                        <w:spacing w:val="-10"/>
                        <w:w w:val="98"/>
                      </w:rPr>
                      <w:t>启动拉绳握手</w:t>
                    </w:r>
                  </w:p>
                </w:txbxContent>
              </v:textbox>
            </v:shape>
            <v:shape id="_x0000_s70" style="position:absolute;left:490;top:2914;width:770;height:236;" filled="false" stroked="false" type="#_x0000_t202">
              <v:fill on="false"/>
              <v:stroke on="false"/>
              <v:path/>
              <v:imagedata o:title=""/>
              <o:lock v:ext="edit" aspectratio="false"/>
              <v:textbox inset="0mm,0mm,0mm,0mm">
                <w:txbxContent>
                  <w:p>
                    <w:pPr>
                      <w:ind w:left="20"/>
                      <w:spacing w:before="20" w:line="225" w:lineRule="auto"/>
                      <w:rPr>
                        <w:rFonts w:ascii="KaiTi" w:hAnsi="KaiTi" w:eastAsia="KaiTi" w:cs="KaiTi"/>
                        <w:sz w:val="16"/>
                        <w:szCs w:val="16"/>
                      </w:rPr>
                    </w:pPr>
                    <w:r>
                      <w:rPr>
                        <w:rFonts w:ascii="KaiTi" w:hAnsi="KaiTi" w:eastAsia="KaiTi" w:cs="KaiTi"/>
                        <w:sz w:val="16"/>
                        <w:szCs w:val="16"/>
                        <w:spacing w:val="-12"/>
                      </w:rPr>
                      <w:t>阻风门手柄</w:t>
                    </w:r>
                  </w:p>
                </w:txbxContent>
              </v:textbox>
            </v:shape>
            <v:shape id="_x0000_s72" style="position:absolute;left:1649;top:3414;width:425;height:198;" filled="false" stroked="false" type="#_x0000_t202">
              <v:fill on="false"/>
              <v:stroke on="false"/>
              <v:path/>
              <v:imagedata o:title=""/>
              <o:lock v:ext="edit" aspectratio="false"/>
              <v:textbox inset="0mm,0mm,0mm,0mm">
                <w:txbxContent>
                  <w:p>
                    <w:pPr>
                      <w:pStyle w:val="BodyText"/>
                      <w:ind w:right="1"/>
                      <w:spacing w:before="20" w:line="225" w:lineRule="auto"/>
                      <w:jc w:val="right"/>
                      <w:rPr>
                        <w:sz w:val="13"/>
                        <w:szCs w:val="13"/>
                      </w:rPr>
                    </w:pPr>
                    <w:r>
                      <w:rPr>
                        <w:rFonts w:ascii="FangSong" w:hAnsi="FangSong" w:eastAsia="FangSong" w:cs="FangSong"/>
                        <w:sz w:val="13"/>
                        <w:szCs w:val="13"/>
                        <w:spacing w:val="-6"/>
                      </w:rPr>
                      <w:t>燃</w:t>
                    </w:r>
                    <w:r>
                      <w:rPr>
                        <w:rFonts w:ascii="FangSong" w:hAnsi="FangSong" w:eastAsia="FangSong" w:cs="FangSong"/>
                        <w:sz w:val="13"/>
                        <w:szCs w:val="13"/>
                        <w:spacing w:val="-36"/>
                      </w:rPr>
                      <w:t xml:space="preserve"> </w:t>
                    </w:r>
                    <w:r>
                      <w:rPr>
                        <w:sz w:val="13"/>
                        <w:szCs w:val="13"/>
                        <w:spacing w:val="-6"/>
                      </w:rPr>
                      <w:t>油</w:t>
                    </w:r>
                    <w:r>
                      <w:rPr>
                        <w:sz w:val="13"/>
                        <w:szCs w:val="13"/>
                        <w:b/>
                        <w:bCs/>
                        <w:spacing w:val="-6"/>
                      </w:rPr>
                      <w:t>阀</w:t>
                    </w:r>
                  </w:p>
                </w:txbxContent>
              </v:textbox>
            </v:shape>
          </v:group>
        </w:pict>
      </w:r>
      <w:r>
        <w:pict>
          <v:shape id="_x0000_s74" style="position:absolute;margin-left:4.49897pt;margin-top:174.199pt;mso-position-vertical-relative:text;mso-position-horizontal-relative:text;width:60.6pt;height:11.7pt;z-index:252302336;" filled="false" stroked="false" type="#_x0000_t202">
            <v:fill on="false"/>
            <v:stroke on="false"/>
            <v:path/>
            <v:imagedata o:title=""/>
            <o:lock v:ext="edit" aspectratio="false"/>
            <v:textbox inset="0mm,0mm,0mm,0mm">
              <w:txbxContent>
                <w:p>
                  <w:pPr>
                    <w:ind w:left="20"/>
                    <w:spacing w:before="19" w:line="224" w:lineRule="auto"/>
                    <w:rPr>
                      <w:rFonts w:ascii="KaiTi" w:hAnsi="KaiTi" w:eastAsia="KaiTi" w:cs="KaiTi"/>
                      <w:sz w:val="16"/>
                      <w:szCs w:val="16"/>
                    </w:rPr>
                  </w:pPr>
                  <w:r>
                    <w:rPr>
                      <w:rFonts w:ascii="KaiTi" w:hAnsi="KaiTi" w:eastAsia="KaiTi" w:cs="KaiTi"/>
                      <w:sz w:val="16"/>
                      <w:szCs w:val="16"/>
                      <w:spacing w:val="7"/>
                    </w:rPr>
                    <w:t>放润滑油口螺栓</w:t>
                  </w:r>
                </w:p>
              </w:txbxContent>
            </v:textbox>
          </v:shape>
        </w:pict>
      </w:r>
      <w:r>
        <w:rPr>
          <w:position w:val="-72"/>
        </w:rPr>
        <w:pict>
          <v:group id="_x0000_s76" style="mso-position-vertical-relative:line;mso-position-horizontal-relative:char;width:267.5pt;height:182pt;" filled="false" stroked="false" coordsize="5350,3640" coordorigin="0,0">
            <v:shape id="_x0000_s78" style="position:absolute;left:29;top:0;width:5320;height:3640;" filled="false" stroked="false" type="#_x0000_t75">
              <v:imagedata o:title="" r:id="rId484"/>
            </v:shape>
            <v:shape id="_x0000_s80" style="position:absolute;left:-20;top:44;width:4792;height:3017;" filled="false" stroked="false" type="#_x0000_t202">
              <v:fill on="false"/>
              <v:stroke on="false"/>
              <v:path/>
              <v:imagedata o:title=""/>
              <o:lock v:ext="edit" aspectratio="false"/>
              <v:textbox inset="0mm,0mm,0mm,0mm">
                <w:txbxContent>
                  <w:p>
                    <w:pPr>
                      <w:ind w:left="3439"/>
                      <w:spacing w:before="20" w:line="225" w:lineRule="auto"/>
                      <w:rPr>
                        <w:rFonts w:ascii="KaiTi" w:hAnsi="KaiTi" w:eastAsia="KaiTi" w:cs="KaiTi"/>
                        <w:sz w:val="16"/>
                        <w:szCs w:val="16"/>
                      </w:rPr>
                    </w:pPr>
                    <w:r>
                      <w:rPr>
                        <w:rFonts w:ascii="KaiTi" w:hAnsi="KaiTi" w:eastAsia="KaiTi" w:cs="KaiTi"/>
                        <w:sz w:val="16"/>
                        <w:szCs w:val="16"/>
                        <w:spacing w:val="8"/>
                      </w:rPr>
                      <w:t>[内通风型】</w:t>
                    </w:r>
                  </w:p>
                  <w:p>
                    <w:pPr>
                      <w:ind w:left="4169"/>
                      <w:spacing w:before="12" w:line="223" w:lineRule="auto"/>
                      <w:rPr>
                        <w:rFonts w:ascii="KaiTi" w:hAnsi="KaiTi" w:eastAsia="KaiTi" w:cs="KaiTi"/>
                        <w:sz w:val="16"/>
                        <w:szCs w:val="16"/>
                      </w:rPr>
                    </w:pPr>
                    <w:r>
                      <w:rPr>
                        <w:rFonts w:ascii="KaiTi" w:hAnsi="KaiTi" w:eastAsia="KaiTi" w:cs="KaiTi"/>
                        <w:sz w:val="16"/>
                        <w:szCs w:val="16"/>
                        <w:spacing w:val="17"/>
                      </w:rPr>
                      <w:t>呼吸管</w:t>
                    </w:r>
                  </w:p>
                  <w:p>
                    <w:pPr>
                      <w:ind w:left="20"/>
                      <w:spacing w:before="295" w:line="233" w:lineRule="auto"/>
                      <w:rPr>
                        <w:rFonts w:ascii="KaiTi" w:hAnsi="KaiTi" w:eastAsia="KaiTi" w:cs="KaiTi"/>
                        <w:sz w:val="16"/>
                        <w:szCs w:val="16"/>
                      </w:rPr>
                    </w:pPr>
                    <w:r>
                      <w:rPr>
                        <w:rFonts w:ascii="STXingkai" w:hAnsi="STXingkai" w:eastAsia="STXingkai" w:cs="STXingkai"/>
                        <w:sz w:val="16"/>
                        <w:szCs w:val="16"/>
                        <w:spacing w:val="-3"/>
                      </w:rPr>
                      <w:t>燃</w:t>
                    </w:r>
                    <w:r>
                      <w:rPr>
                        <w:rFonts w:ascii="KaiTi" w:hAnsi="KaiTi" w:eastAsia="KaiTi" w:cs="KaiTi"/>
                        <w:sz w:val="16"/>
                        <w:szCs w:val="16"/>
                        <w:spacing w:val="-3"/>
                      </w:rPr>
                      <w:t>油</w:t>
                    </w:r>
                    <w:r>
                      <w:rPr>
                        <w:rFonts w:ascii="KaiTi" w:hAnsi="KaiTi" w:eastAsia="KaiTi" w:cs="KaiTi"/>
                        <w:sz w:val="16"/>
                        <w:szCs w:val="16"/>
                        <w:spacing w:val="-19"/>
                      </w:rPr>
                      <w:t xml:space="preserve"> </w:t>
                    </w:r>
                    <w:r>
                      <w:rPr>
                        <w:rFonts w:ascii="KaiTi" w:hAnsi="KaiTi" w:eastAsia="KaiTi" w:cs="KaiTi"/>
                        <w:sz w:val="16"/>
                        <w:szCs w:val="16"/>
                        <w:spacing w:val="-3"/>
                      </w:rPr>
                      <w:t>箱</w:t>
                    </w:r>
                  </w:p>
                  <w:p>
                    <w:pPr>
                      <w:spacing w:line="347" w:lineRule="auto"/>
                      <w:rPr>
                        <w:rFonts w:ascii="Arial"/>
                        <w:sz w:val="21"/>
                      </w:rPr>
                    </w:pPr>
                    <w:r/>
                  </w:p>
                  <w:p>
                    <w:pPr>
                      <w:spacing w:line="347" w:lineRule="auto"/>
                      <w:rPr>
                        <w:rFonts w:ascii="Arial"/>
                        <w:sz w:val="21"/>
                      </w:rPr>
                    </w:pPr>
                    <w:r/>
                  </w:p>
                  <w:p>
                    <w:pPr>
                      <w:ind w:left="4169"/>
                      <w:spacing w:before="56" w:line="223" w:lineRule="auto"/>
                      <w:rPr>
                        <w:rFonts w:ascii="KaiTi" w:hAnsi="KaiTi" w:eastAsia="KaiTi" w:cs="KaiTi"/>
                        <w:sz w:val="17"/>
                        <w:szCs w:val="17"/>
                      </w:rPr>
                    </w:pPr>
                    <w:r>
                      <w:rPr>
                        <w:rFonts w:ascii="KaiTi" w:hAnsi="KaiTi" w:eastAsia="KaiTi" w:cs="KaiTi"/>
                        <w:sz w:val="17"/>
                        <w:szCs w:val="17"/>
                        <w:spacing w:val="-9"/>
                      </w:rPr>
                      <w:t>管</w:t>
                    </w:r>
                    <w:r>
                      <w:rPr>
                        <w:rFonts w:ascii="KaiTi" w:hAnsi="KaiTi" w:eastAsia="KaiTi" w:cs="KaiTi"/>
                        <w:sz w:val="17"/>
                        <w:szCs w:val="17"/>
                        <w:b/>
                        <w:bCs/>
                        <w:spacing w:val="-9"/>
                      </w:rPr>
                      <w:t>箍</w:t>
                    </w:r>
                  </w:p>
                  <w:p>
                    <w:pPr>
                      <w:ind w:left="3020"/>
                      <w:spacing w:before="150" w:line="239" w:lineRule="auto"/>
                      <w:rPr>
                        <w:rFonts w:ascii="FangSong" w:hAnsi="FangSong" w:eastAsia="FangSong" w:cs="FangSong"/>
                        <w:sz w:val="13"/>
                        <w:szCs w:val="13"/>
                      </w:rPr>
                    </w:pPr>
                    <w:r>
                      <w:rPr>
                        <w:rFonts w:ascii="STXingkai" w:hAnsi="STXingkai" w:eastAsia="STXingkai" w:cs="STXingkai"/>
                        <w:sz w:val="13"/>
                        <w:szCs w:val="13"/>
                        <w:spacing w:val="-7"/>
                      </w:rPr>
                      <w:t>电  起</w:t>
                    </w:r>
                    <w:r>
                      <w:rPr>
                        <w:rFonts w:ascii="STXingkai" w:hAnsi="STXingkai" w:eastAsia="STXingkai" w:cs="STXingkai"/>
                        <w:sz w:val="13"/>
                        <w:szCs w:val="13"/>
                        <w:spacing w:val="13"/>
                        <w:w w:val="101"/>
                      </w:rPr>
                      <w:t xml:space="preserve">  </w:t>
                    </w:r>
                    <w:r>
                      <w:rPr>
                        <w:rFonts w:ascii="STXingkai" w:hAnsi="STXingkai" w:eastAsia="STXingkai" w:cs="STXingkai"/>
                        <w:sz w:val="13"/>
                        <w:szCs w:val="13"/>
                        <w:spacing w:val="-7"/>
                      </w:rPr>
                      <w:t>动</w:t>
                    </w:r>
                    <w:r>
                      <w:rPr>
                        <w:rFonts w:ascii="STXingkai" w:hAnsi="STXingkai" w:eastAsia="STXingkai" w:cs="STXingkai"/>
                        <w:sz w:val="13"/>
                        <w:szCs w:val="13"/>
                        <w:spacing w:val="7"/>
                      </w:rPr>
                      <w:t xml:space="preserve">  </w:t>
                    </w:r>
                    <w:r>
                      <w:rPr>
                        <w:rFonts w:ascii="STXingkai" w:hAnsi="STXingkai" w:eastAsia="STXingkai" w:cs="STXingkai"/>
                        <w:sz w:val="13"/>
                        <w:szCs w:val="13"/>
                        <w:spacing w:val="-7"/>
                      </w:rPr>
                      <w:t>器</w:t>
                    </w:r>
                    <w:r>
                      <w:rPr>
                        <w:rFonts w:ascii="STXingkai" w:hAnsi="STXingkai" w:eastAsia="STXingkai" w:cs="STXingkai"/>
                        <w:sz w:val="13"/>
                        <w:szCs w:val="13"/>
                        <w:spacing w:val="-12"/>
                      </w:rPr>
                      <w:t xml:space="preserve"> </w:t>
                    </w:r>
                    <w:r>
                      <w:rPr>
                        <w:rFonts w:ascii="STXingkai" w:hAnsi="STXingkai" w:eastAsia="STXingkai" w:cs="STXingkai"/>
                        <w:sz w:val="13"/>
                        <w:szCs w:val="13"/>
                        <w:spacing w:val="-7"/>
                      </w:rPr>
                      <w:t>(  </w:t>
                    </w:r>
                    <w:r>
                      <w:rPr>
                        <w:rFonts w:ascii="Arial" w:hAnsi="Arial" w:eastAsia="Arial" w:cs="Arial"/>
                        <w:sz w:val="13"/>
                        <w:szCs w:val="13"/>
                        <w:spacing w:val="-7"/>
                      </w:rPr>
                      <w:t>QAE2</w:t>
                    </w:r>
                    <w:r>
                      <w:rPr>
                        <w:rFonts w:ascii="Arial" w:hAnsi="Arial" w:eastAsia="Arial" w:cs="Arial"/>
                        <w:sz w:val="13"/>
                        <w:szCs w:val="13"/>
                        <w:spacing w:val="1"/>
                      </w:rPr>
                      <w:t xml:space="preserve">    </w:t>
                    </w:r>
                    <w:r>
                      <w:rPr>
                        <w:rFonts w:ascii="FangSong" w:hAnsi="FangSong" w:eastAsia="FangSong" w:cs="FangSong"/>
                        <w:sz w:val="13"/>
                        <w:szCs w:val="13"/>
                        <w:spacing w:val="-7"/>
                      </w:rPr>
                      <w:t>类</w:t>
                    </w:r>
                    <w:r>
                      <w:rPr>
                        <w:rFonts w:ascii="FangSong" w:hAnsi="FangSong" w:eastAsia="FangSong" w:cs="FangSong"/>
                        <w:sz w:val="13"/>
                        <w:szCs w:val="13"/>
                        <w:spacing w:val="-7"/>
                      </w:rPr>
                      <w:t xml:space="preserve"> </w:t>
                    </w:r>
                    <w:r>
                      <w:rPr>
                        <w:rFonts w:ascii="FangSong" w:hAnsi="FangSong" w:eastAsia="FangSong" w:cs="FangSong"/>
                        <w:sz w:val="13"/>
                        <w:szCs w:val="13"/>
                        <w:spacing w:val="-7"/>
                      </w:rPr>
                      <w:t>型</w:t>
                    </w:r>
                    <w:r>
                      <w:rPr>
                        <w:rFonts w:ascii="FangSong" w:hAnsi="FangSong" w:eastAsia="FangSong" w:cs="FangSong"/>
                        <w:sz w:val="13"/>
                        <w:szCs w:val="13"/>
                        <w:spacing w:val="-7"/>
                      </w:rPr>
                      <w:t xml:space="preserve"> </w:t>
                    </w:r>
                    <w:r>
                      <w:rPr>
                        <w:rFonts w:ascii="FangSong" w:hAnsi="FangSong" w:eastAsia="FangSong" w:cs="FangSong"/>
                        <w:sz w:val="13"/>
                        <w:szCs w:val="13"/>
                        <w:spacing w:val="-7"/>
                      </w:rPr>
                      <w:t>)</w:t>
                    </w:r>
                  </w:p>
                  <w:p>
                    <w:pPr>
                      <w:spacing w:line="265" w:lineRule="auto"/>
                      <w:rPr>
                        <w:rFonts w:ascii="Arial"/>
                        <w:sz w:val="21"/>
                      </w:rPr>
                    </w:pPr>
                    <w:r/>
                  </w:p>
                  <w:p>
                    <w:pPr>
                      <w:spacing w:line="266" w:lineRule="auto"/>
                      <w:rPr>
                        <w:rFonts w:ascii="Arial"/>
                        <w:sz w:val="21"/>
                      </w:rPr>
                    </w:pPr>
                    <w:r/>
                  </w:p>
                  <w:p>
                    <w:pPr>
                      <w:ind w:right="20"/>
                      <w:spacing w:before="53" w:line="225" w:lineRule="auto"/>
                      <w:jc w:val="right"/>
                      <w:rPr>
                        <w:rFonts w:ascii="KaiTi" w:hAnsi="KaiTi" w:eastAsia="KaiTi" w:cs="KaiTi"/>
                        <w:sz w:val="16"/>
                        <w:szCs w:val="16"/>
                      </w:rPr>
                    </w:pPr>
                    <w:r>
                      <w:rPr>
                        <w:rFonts w:ascii="KaiTi" w:hAnsi="KaiTi" w:eastAsia="KaiTi" w:cs="KaiTi"/>
                        <w:sz w:val="16"/>
                        <w:szCs w:val="16"/>
                        <w:spacing w:val="8"/>
                      </w:rPr>
                      <w:t>序列号和发动机类型</w:t>
                    </w:r>
                  </w:p>
                </w:txbxContent>
              </v:textbox>
            </v:shape>
            <v:shape id="_x0000_s82" style="position:absolute;left:979;top:168;width:675;height:203;" filled="false" stroked="false" type="#_x0000_t202">
              <v:fill on="false"/>
              <v:stroke on="false"/>
              <v:path/>
              <v:imagedata o:title=""/>
              <o:lock v:ext="edit" aspectratio="false"/>
              <v:textbox inset="0mm,0mm,0mm,0mm">
                <w:txbxContent>
                  <w:p>
                    <w:pPr>
                      <w:ind w:left="20"/>
                      <w:spacing w:before="20" w:line="209" w:lineRule="exact"/>
                      <w:rPr>
                        <w:rFonts w:ascii="STXingkai" w:hAnsi="STXingkai" w:eastAsia="STXingkai" w:cs="STXingkai"/>
                        <w:sz w:val="15"/>
                        <w:szCs w:val="15"/>
                      </w:rPr>
                    </w:pPr>
                    <w:r>
                      <w:rPr>
                        <w:rFonts w:ascii="STXingkai" w:hAnsi="STXingkai" w:eastAsia="STXingkai" w:cs="STXingkai"/>
                        <w:sz w:val="15"/>
                        <w:szCs w:val="15"/>
                        <w:spacing w:val="8"/>
                        <w:position w:val="2"/>
                      </w:rPr>
                      <w:t>燃油箱盖</w:t>
                    </w:r>
                  </w:p>
                </w:txbxContent>
              </v:textbox>
            </v:shape>
          </v:group>
        </w:pict>
      </w:r>
    </w:p>
    <w:p>
      <w:pPr>
        <w:ind w:left="1259"/>
        <w:spacing w:before="203" w:line="220" w:lineRule="auto"/>
        <w:rPr>
          <w:rFonts w:ascii="KaiTi" w:hAnsi="KaiTi" w:eastAsia="KaiTi" w:cs="KaiTi"/>
          <w:sz w:val="19"/>
          <w:szCs w:val="19"/>
        </w:rPr>
      </w:pPr>
      <w:r>
        <w:rPr>
          <w:rFonts w:ascii="KaiTi" w:hAnsi="KaiTi" w:eastAsia="KaiTi" w:cs="KaiTi"/>
          <w:sz w:val="19"/>
          <w:szCs w:val="19"/>
          <w:spacing w:val="26"/>
        </w:rPr>
        <w:t>(发动机润滑油)</w:t>
      </w:r>
    </w:p>
    <w:p>
      <w:pPr>
        <w:ind w:firstLine="1310"/>
        <w:spacing w:line="2400" w:lineRule="exact"/>
        <w:rPr/>
      </w:pPr>
      <w:r>
        <w:rPr>
          <w:position w:val="-47"/>
        </w:rPr>
        <w:pict>
          <v:group id="_x0000_s84" style="mso-position-vertical-relative:line;mso-position-horizontal-relative:char;width:337pt;height:120pt;" filled="false" stroked="false" coordsize="6740,2400" coordorigin="0,0">
            <v:shape id="_x0000_s86" style="position:absolute;left:0;top:0;width:6740;height:2400;" filled="false" stroked="false" type="#_x0000_t75">
              <v:imagedata o:title="" r:id="rId485"/>
            </v:shape>
            <v:shape id="_x0000_s88" style="position:absolute;left:-20;top:-20;width:6780;height:2440;" filled="false" stroked="false" type="#_x0000_t202">
              <v:fill on="false"/>
              <v:stroke on="false"/>
              <v:path/>
              <v:imagedata o:title=""/>
              <o:lock v:ext="edit" aspectratio="false"/>
              <v:textbox inset="0mm,0mm,0mm,0mm">
                <w:txbxContent>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ind w:left="2859"/>
                      <w:spacing w:before="62" w:line="235" w:lineRule="auto"/>
                      <w:rPr>
                        <w:rFonts w:ascii="KaiTi" w:hAnsi="KaiTi" w:eastAsia="KaiTi" w:cs="KaiTi"/>
                        <w:sz w:val="19"/>
                        <w:szCs w:val="19"/>
                      </w:rPr>
                    </w:pPr>
                    <w:r>
                      <w:rPr>
                        <w:rFonts w:ascii="KaiTi" w:hAnsi="KaiTi" w:eastAsia="KaiTi" w:cs="KaiTi"/>
                        <w:sz w:val="19"/>
                        <w:szCs w:val="19"/>
                        <w:spacing w:val="19"/>
                      </w:rPr>
                      <w:t>加油口盖</w:t>
                    </w:r>
                  </w:p>
                  <w:p>
                    <w:pPr>
                      <w:spacing w:line="276" w:lineRule="auto"/>
                      <w:rPr>
                        <w:rFonts w:ascii="Arial"/>
                        <w:sz w:val="21"/>
                      </w:rPr>
                    </w:pPr>
                    <w:r/>
                  </w:p>
                  <w:p>
                    <w:pPr>
                      <w:spacing w:line="277" w:lineRule="auto"/>
                      <w:rPr>
                        <w:rFonts w:ascii="Arial"/>
                        <w:sz w:val="21"/>
                      </w:rPr>
                    </w:pPr>
                    <w:r/>
                  </w:p>
                  <w:p>
                    <w:pPr>
                      <w:ind w:left="3139"/>
                      <w:spacing w:before="72" w:line="234" w:lineRule="auto"/>
                      <w:rPr>
                        <w:rFonts w:ascii="KaiTi" w:hAnsi="KaiTi" w:eastAsia="KaiTi" w:cs="KaiTi"/>
                        <w:sz w:val="22"/>
                        <w:szCs w:val="22"/>
                      </w:rPr>
                    </w:pPr>
                    <w:r>
                      <w:rPr>
                        <w:rFonts w:ascii="KaiTi" w:hAnsi="KaiTi" w:eastAsia="KaiTi" w:cs="KaiTi"/>
                        <w:sz w:val="22"/>
                        <w:szCs w:val="22"/>
                        <w:spacing w:val="-6"/>
                      </w:rPr>
                      <w:t>油位</w:t>
                    </w:r>
                  </w:p>
                </w:txbxContent>
              </v:textbox>
            </v:shape>
          </v:group>
        </w:pict>
      </w:r>
    </w:p>
    <w:p>
      <w:pPr>
        <w:ind w:left="1553"/>
        <w:spacing w:before="161" w:line="224" w:lineRule="auto"/>
        <w:rPr>
          <w:rFonts w:ascii="KaiTi" w:hAnsi="KaiTi" w:eastAsia="KaiTi" w:cs="KaiTi"/>
          <w:sz w:val="22"/>
          <w:szCs w:val="22"/>
        </w:rPr>
      </w:pPr>
      <w:r>
        <w:drawing>
          <wp:anchor distT="0" distB="0" distL="0" distR="0" simplePos="0" relativeHeight="252301312" behindDoc="0" locked="0" layoutInCell="1" allowOverlap="1">
            <wp:simplePos x="0" y="0"/>
            <wp:positionH relativeFrom="column">
              <wp:posOffset>2457443</wp:posOffset>
            </wp:positionH>
            <wp:positionV relativeFrom="paragraph">
              <wp:posOffset>158458</wp:posOffset>
            </wp:positionV>
            <wp:extent cx="2559023" cy="1130345"/>
            <wp:effectExtent l="0" t="0" r="0" b="0"/>
            <wp:wrapNone/>
            <wp:docPr id="690" name="IM 690"/>
            <wp:cNvGraphicFramePr/>
            <a:graphic>
              <a:graphicData uri="http://schemas.openxmlformats.org/drawingml/2006/picture">
                <pic:pic>
                  <pic:nvPicPr>
                    <pic:cNvPr id="690" name="IM 690"/>
                    <pic:cNvPicPr/>
                  </pic:nvPicPr>
                  <pic:blipFill>
                    <a:blip r:embed="rId486"/>
                    <a:stretch>
                      <a:fillRect/>
                    </a:stretch>
                  </pic:blipFill>
                  <pic:spPr>
                    <a:xfrm rot="0">
                      <a:off x="0" y="0"/>
                      <a:ext cx="2559023" cy="1130345"/>
                    </a:xfrm>
                    <a:prstGeom prst="rect">
                      <a:avLst/>
                    </a:prstGeom>
                  </pic:spPr>
                </pic:pic>
              </a:graphicData>
            </a:graphic>
          </wp:anchor>
        </w:drawing>
      </w:r>
      <w:r>
        <w:rPr>
          <w:rFonts w:ascii="KaiTi" w:hAnsi="KaiTi" w:eastAsia="KaiTi" w:cs="KaiTi"/>
          <w:sz w:val="22"/>
          <w:szCs w:val="22"/>
          <w:b/>
          <w:bCs/>
          <w:spacing w:val="-1"/>
        </w:rPr>
        <w:t>(减速箱润滑油)</w:t>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BodyText"/>
        <w:ind w:left="4059"/>
        <w:spacing w:before="86" w:line="219" w:lineRule="auto"/>
        <w:rPr>
          <w:sz w:val="26"/>
          <w:szCs w:val="26"/>
        </w:rPr>
      </w:pPr>
      <w:r>
        <w:rPr>
          <w:sz w:val="26"/>
          <w:szCs w:val="26"/>
          <w:spacing w:val="-10"/>
        </w:rPr>
        <w:t>图7-2-1汽油水泵</w:t>
      </w:r>
    </w:p>
    <w:p>
      <w:pPr>
        <w:pStyle w:val="BodyText"/>
        <w:spacing w:before="224" w:line="224"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领用</w:t>
      </w:r>
    </w:p>
    <w:p>
      <w:pPr>
        <w:pStyle w:val="BodyText"/>
        <w:ind w:left="580"/>
        <w:spacing w:before="137" w:line="219" w:lineRule="auto"/>
        <w:rPr>
          <w:sz w:val="29"/>
          <w:szCs w:val="29"/>
        </w:rPr>
      </w:pPr>
      <w:r>
        <w:rPr>
          <w:sz w:val="29"/>
          <w:szCs w:val="29"/>
          <w:spacing w:val="1"/>
        </w:rPr>
        <w:t>汽油水泵申领前须检查设备状况，确认正常后方可签字领取。</w:t>
      </w:r>
    </w:p>
    <w:p>
      <w:pPr>
        <w:pStyle w:val="BodyText"/>
        <w:ind w:left="720"/>
        <w:spacing w:before="134" w:line="219" w:lineRule="auto"/>
        <w:rPr>
          <w:sz w:val="29"/>
          <w:szCs w:val="29"/>
        </w:rPr>
      </w:pPr>
      <w:r>
        <w:rPr>
          <w:sz w:val="29"/>
          <w:szCs w:val="29"/>
          <w:spacing w:val="8"/>
        </w:rPr>
        <w:t>(1)是否存在汽油或机油漏油；</w:t>
      </w:r>
    </w:p>
    <w:p>
      <w:pPr>
        <w:pStyle w:val="BodyText"/>
        <w:ind w:left="720"/>
        <w:spacing w:before="158" w:line="219" w:lineRule="auto"/>
        <w:rPr>
          <w:sz w:val="29"/>
          <w:szCs w:val="29"/>
        </w:rPr>
      </w:pPr>
      <w:r>
        <w:rPr>
          <w:sz w:val="29"/>
          <w:szCs w:val="29"/>
          <w:spacing w:val="10"/>
        </w:rPr>
        <w:t>(2)各接连部件是否紧固；</w:t>
      </w:r>
    </w:p>
    <w:p>
      <w:pPr>
        <w:pStyle w:val="BodyText"/>
        <w:ind w:left="720"/>
        <w:spacing w:before="165" w:line="219" w:lineRule="auto"/>
        <w:rPr>
          <w:sz w:val="29"/>
          <w:szCs w:val="29"/>
        </w:rPr>
      </w:pPr>
      <w:r>
        <w:rPr>
          <w:sz w:val="29"/>
          <w:szCs w:val="29"/>
          <w:spacing w:val="6"/>
        </w:rPr>
        <w:t>(3)油位是否过低，否则需补充燃油，油位不要超过过滤网顶部；</w:t>
      </w:r>
    </w:p>
    <w:p>
      <w:pPr>
        <w:pStyle w:val="BodyText"/>
        <w:spacing w:before="122" w:line="216" w:lineRule="auto"/>
        <w:jc w:val="right"/>
        <w:rPr>
          <w:sz w:val="29"/>
          <w:szCs w:val="29"/>
        </w:rPr>
      </w:pPr>
      <w:r>
        <w:rPr>
          <w:sz w:val="29"/>
          <w:szCs w:val="29"/>
          <w:spacing w:val="14"/>
        </w:rPr>
        <w:t>(4)机油油位是否过低(检查机油量方法同绿篱</w:t>
      </w:r>
      <w:r>
        <w:rPr>
          <w:sz w:val="29"/>
          <w:szCs w:val="29"/>
          <w:spacing w:val="13"/>
        </w:rPr>
        <w:t>机),否侧需加油至油口；</w:t>
      </w:r>
    </w:p>
    <w:p>
      <w:pPr>
        <w:pStyle w:val="BodyText"/>
        <w:ind w:left="720"/>
        <w:spacing w:before="163" w:line="219" w:lineRule="auto"/>
        <w:rPr>
          <w:sz w:val="29"/>
          <w:szCs w:val="29"/>
        </w:rPr>
      </w:pPr>
      <w:r>
        <w:rPr>
          <w:sz w:val="29"/>
          <w:szCs w:val="29"/>
          <w:spacing w:val="6"/>
        </w:rPr>
        <w:t>(5)空气滤清器滤芯是否干净、完好，如有必要进行清洗或更换。</w:t>
      </w:r>
    </w:p>
    <w:p>
      <w:pPr>
        <w:pStyle w:val="BodyText"/>
        <w:spacing w:before="119" w:line="223" w:lineRule="auto"/>
        <w:rPr>
          <w:rFonts w:ascii="SimHei" w:hAnsi="SimHei" w:eastAsia="SimHei" w:cs="SimHei"/>
          <w:sz w:val="29"/>
          <w:szCs w:val="29"/>
        </w:rPr>
      </w:pPr>
      <w:r>
        <w:rPr>
          <w:rFonts w:ascii="Arial" w:hAnsi="Arial" w:eastAsia="Arial" w:cs="Arial"/>
          <w:sz w:val="29"/>
          <w:szCs w:val="29"/>
          <w:spacing w:val="-1"/>
        </w:rPr>
        <w:t>2</w:t>
      </w:r>
      <w:r>
        <w:rPr>
          <w:sz w:val="29"/>
          <w:szCs w:val="29"/>
          <w:spacing w:val="-1"/>
        </w:rPr>
        <w:t>、</w:t>
      </w:r>
      <w:r>
        <w:rPr>
          <w:rFonts w:ascii="SimHei" w:hAnsi="SimHei" w:eastAsia="SimHei" w:cs="SimHei"/>
          <w:sz w:val="29"/>
          <w:szCs w:val="29"/>
          <w:spacing w:val="-1"/>
        </w:rPr>
        <w:t>准备</w:t>
      </w:r>
    </w:p>
    <w:p>
      <w:pPr>
        <w:pStyle w:val="BodyText"/>
        <w:ind w:left="720"/>
        <w:spacing w:before="139" w:line="219" w:lineRule="auto"/>
        <w:rPr>
          <w:sz w:val="29"/>
          <w:szCs w:val="29"/>
        </w:rPr>
      </w:pPr>
      <w:r>
        <w:rPr>
          <w:sz w:val="29"/>
          <w:szCs w:val="29"/>
          <w:spacing w:val="6"/>
        </w:rPr>
        <w:t>(1)仓库领取汽油水泵需配进水管、皮管；</w:t>
      </w:r>
    </w:p>
    <w:p>
      <w:pPr>
        <w:pStyle w:val="BodyText"/>
        <w:ind w:left="720"/>
        <w:spacing w:before="134" w:line="219" w:lineRule="auto"/>
        <w:rPr>
          <w:sz w:val="29"/>
          <w:szCs w:val="29"/>
        </w:rPr>
      </w:pPr>
      <w:r>
        <w:rPr>
          <w:sz w:val="29"/>
          <w:szCs w:val="29"/>
          <w:spacing w:val="7"/>
        </w:rPr>
        <w:t>(2)到工作现场后，水泵整机应水平固定于地面，在进水口处接连进水管</w:t>
      </w:r>
    </w:p>
    <w:p>
      <w:pPr>
        <w:spacing w:line="219" w:lineRule="auto"/>
        <w:sectPr>
          <w:footerReference w:type="default" r:id="rId482"/>
          <w:pgSz w:w="14490" w:h="20470"/>
          <w:pgMar w:top="400" w:right="2154" w:bottom="1405" w:left="2160" w:header="0" w:footer="1243"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并拧紧，在出水口处接上皮管拧紧，进出水</w:t>
      </w:r>
      <w:r>
        <w:rPr>
          <w:sz w:val="29"/>
          <w:szCs w:val="29"/>
          <w:spacing w:val="-1"/>
        </w:rPr>
        <w:t>应防止漏气；</w:t>
      </w:r>
    </w:p>
    <w:p>
      <w:pPr>
        <w:pStyle w:val="BodyText"/>
        <w:ind w:left="740"/>
        <w:spacing w:before="156" w:line="219" w:lineRule="auto"/>
        <w:rPr>
          <w:sz w:val="29"/>
          <w:szCs w:val="29"/>
        </w:rPr>
      </w:pPr>
      <w:r>
        <w:rPr>
          <w:sz w:val="29"/>
          <w:szCs w:val="29"/>
          <w:spacing w:val="5"/>
        </w:rPr>
        <w:t>(3)拧开进水箱加注引水，加满拧紧，泵内无水，严禁启动；</w:t>
      </w:r>
    </w:p>
    <w:p>
      <w:pPr>
        <w:pStyle w:val="BodyText"/>
        <w:ind w:left="740"/>
        <w:spacing w:before="146" w:line="219" w:lineRule="auto"/>
        <w:rPr>
          <w:sz w:val="29"/>
          <w:szCs w:val="29"/>
        </w:rPr>
      </w:pPr>
      <w:r>
        <w:rPr>
          <w:sz w:val="29"/>
          <w:szCs w:val="29"/>
          <w:spacing w:val="8"/>
        </w:rPr>
        <w:t>(4)泵起动前应检查各连按部件，不得松动。</w:t>
      </w:r>
    </w:p>
    <w:p>
      <w:pPr>
        <w:pStyle w:val="BodyText"/>
        <w:spacing w:before="62" w:line="395" w:lineRule="exact"/>
        <w:rPr>
          <w:rFonts w:ascii="SimHei" w:hAnsi="SimHei" w:eastAsia="SimHei" w:cs="SimHei"/>
          <w:sz w:val="29"/>
          <w:szCs w:val="29"/>
        </w:rPr>
      </w:pPr>
      <w:r>
        <w:rPr>
          <w:rFonts w:ascii="Arial" w:hAnsi="Arial" w:eastAsia="Arial" w:cs="Arial"/>
          <w:sz w:val="29"/>
          <w:szCs w:val="29"/>
          <w:spacing w:val="8"/>
          <w:position w:val="2"/>
        </w:rPr>
        <w:t>3</w:t>
      </w:r>
      <w:r>
        <w:rPr>
          <w:sz w:val="29"/>
          <w:szCs w:val="29"/>
          <w:spacing w:val="8"/>
          <w:position w:val="2"/>
        </w:rPr>
        <w:t>、</w:t>
      </w:r>
      <w:r>
        <w:rPr>
          <w:rFonts w:ascii="SimHei" w:hAnsi="SimHei" w:eastAsia="SimHei" w:cs="SimHei"/>
          <w:sz w:val="29"/>
          <w:szCs w:val="29"/>
          <w:spacing w:val="8"/>
          <w:position w:val="2"/>
        </w:rPr>
        <w:t>后动</w:t>
      </w:r>
    </w:p>
    <w:p>
      <w:pPr>
        <w:pStyle w:val="BodyText"/>
        <w:ind w:left="740"/>
        <w:spacing w:before="118" w:line="219" w:lineRule="auto"/>
        <w:rPr>
          <w:sz w:val="29"/>
          <w:szCs w:val="29"/>
        </w:rPr>
      </w:pPr>
      <w:r>
        <w:rPr>
          <w:sz w:val="29"/>
          <w:szCs w:val="29"/>
          <w:spacing w:val="8"/>
        </w:rPr>
        <w:t>(1)将燃油开关扳到打开位置；</w:t>
      </w:r>
    </w:p>
    <w:p>
      <w:pPr>
        <w:pStyle w:val="BodyText"/>
        <w:ind w:left="740"/>
        <w:spacing w:before="154" w:line="219" w:lineRule="auto"/>
        <w:rPr>
          <w:sz w:val="29"/>
          <w:szCs w:val="29"/>
        </w:rPr>
      </w:pPr>
      <w:r>
        <w:rPr>
          <w:sz w:val="29"/>
          <w:szCs w:val="29"/>
          <w:spacing w:val="12"/>
        </w:rPr>
        <w:t>(2)将阻风门拨到关闭位置(如发动机温度较高，阻风门无需关闭);</w:t>
      </w:r>
    </w:p>
    <w:p>
      <w:pPr>
        <w:pStyle w:val="BodyText"/>
        <w:ind w:left="740"/>
        <w:spacing w:before="155" w:line="219" w:lineRule="auto"/>
        <w:rPr>
          <w:sz w:val="29"/>
          <w:szCs w:val="29"/>
        </w:rPr>
      </w:pPr>
      <w:r>
        <w:rPr>
          <w:sz w:val="29"/>
          <w:szCs w:val="29"/>
          <w:spacing w:val="-2"/>
        </w:rPr>
        <w:t>(3)</w:t>
      </w:r>
      <w:r>
        <w:rPr>
          <w:sz w:val="29"/>
          <w:szCs w:val="29"/>
          <w:spacing w:val="76"/>
        </w:rPr>
        <w:t xml:space="preserve"> </w:t>
      </w:r>
      <w:r>
        <w:rPr>
          <w:sz w:val="29"/>
          <w:szCs w:val="29"/>
          <w:spacing w:val="-2"/>
        </w:rPr>
        <w:t>将发动机开关调至打开的位置，油门调至低速状态；</w:t>
      </w:r>
    </w:p>
    <w:p>
      <w:pPr>
        <w:pStyle w:val="BodyText"/>
        <w:ind w:right="96" w:firstLine="740"/>
        <w:spacing w:before="157" w:line="262" w:lineRule="auto"/>
        <w:rPr>
          <w:sz w:val="29"/>
          <w:szCs w:val="29"/>
        </w:rPr>
      </w:pPr>
      <w:r>
        <w:rPr>
          <w:sz w:val="29"/>
          <w:szCs w:val="29"/>
          <w:spacing w:val="6"/>
        </w:rPr>
        <w:t>(4)轻轻将发动引绳拉满，再顺着回弹力的方向慢慢回放，而后快速拉动 </w:t>
      </w:r>
      <w:r>
        <w:rPr>
          <w:sz w:val="29"/>
          <w:szCs w:val="29"/>
          <w:spacing w:val="7"/>
        </w:rPr>
        <w:t>引绳，启动发动机(拉引绳回放时，不得直接</w:t>
      </w:r>
      <w:r>
        <w:rPr>
          <w:sz w:val="29"/>
          <w:szCs w:val="29"/>
          <w:spacing w:val="6"/>
        </w:rPr>
        <w:t>放开手柄，以免撞伤启动器);</w:t>
      </w:r>
    </w:p>
    <w:p>
      <w:pPr>
        <w:pStyle w:val="BodyText"/>
        <w:ind w:right="134" w:firstLine="740"/>
        <w:spacing w:before="166" w:line="266" w:lineRule="auto"/>
        <w:rPr>
          <w:sz w:val="29"/>
          <w:szCs w:val="29"/>
        </w:rPr>
      </w:pPr>
      <w:r>
        <w:rPr>
          <w:sz w:val="29"/>
          <w:szCs w:val="29"/>
          <w:spacing w:val="5"/>
        </w:rPr>
        <w:t>(5)在发动机怠速运转3—5分钟后，逐渐把阻风门开关扳至打</w:t>
      </w:r>
      <w:r>
        <w:rPr>
          <w:sz w:val="29"/>
          <w:szCs w:val="29"/>
          <w:spacing w:val="4"/>
        </w:rPr>
        <w:t>开位置，如</w:t>
      </w:r>
      <w:r>
        <w:rPr>
          <w:sz w:val="29"/>
          <w:szCs w:val="29"/>
        </w:rPr>
        <w:t xml:space="preserve"> </w:t>
      </w:r>
      <w:r>
        <w:rPr>
          <w:sz w:val="29"/>
          <w:szCs w:val="29"/>
          <w:spacing w:val="-2"/>
        </w:rPr>
        <w:t>设备阻风门已开，则此步骤省略；</w:t>
      </w:r>
    </w:p>
    <w:p>
      <w:pPr>
        <w:pStyle w:val="BodyText"/>
        <w:ind w:left="740"/>
        <w:spacing w:before="134" w:line="219" w:lineRule="auto"/>
        <w:rPr>
          <w:sz w:val="29"/>
          <w:szCs w:val="29"/>
        </w:rPr>
      </w:pPr>
      <w:r>
        <w:rPr>
          <w:sz w:val="29"/>
          <w:szCs w:val="29"/>
          <w:spacing w:val="9"/>
        </w:rPr>
        <w:t>(6)将调速手柄调至机器所需转速的位置。</w:t>
      </w:r>
    </w:p>
    <w:p>
      <w:pPr>
        <w:pStyle w:val="BodyText"/>
        <w:spacing w:before="96" w:line="222"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作业</w:t>
      </w:r>
    </w:p>
    <w:p>
      <w:pPr>
        <w:pStyle w:val="BodyText"/>
        <w:ind w:left="740"/>
        <w:spacing w:before="162" w:line="219" w:lineRule="auto"/>
        <w:rPr>
          <w:sz w:val="29"/>
          <w:szCs w:val="29"/>
        </w:rPr>
      </w:pPr>
      <w:r>
        <w:rPr>
          <w:sz w:val="29"/>
          <w:szCs w:val="29"/>
          <w:spacing w:val="5"/>
        </w:rPr>
        <w:t>(1)水流量不宜过大，防止大流量时轴功率增大，使泵长期重负何工作；</w:t>
      </w:r>
    </w:p>
    <w:p>
      <w:pPr>
        <w:pStyle w:val="BodyText"/>
        <w:ind w:left="740"/>
        <w:spacing w:before="148" w:line="219" w:lineRule="auto"/>
        <w:rPr>
          <w:sz w:val="29"/>
          <w:szCs w:val="29"/>
        </w:rPr>
      </w:pPr>
      <w:r>
        <w:rPr>
          <w:sz w:val="29"/>
          <w:szCs w:val="29"/>
          <w:spacing w:val="7"/>
        </w:rPr>
        <w:t>(2)正常运转后，注意检查，保证各部位处</w:t>
      </w:r>
      <w:r>
        <w:rPr>
          <w:sz w:val="29"/>
          <w:szCs w:val="29"/>
          <w:spacing w:val="6"/>
        </w:rPr>
        <w:t>于正常工作状态。</w:t>
      </w:r>
    </w:p>
    <w:p>
      <w:pPr>
        <w:spacing w:before="126" w:line="223" w:lineRule="auto"/>
        <w:rPr>
          <w:rFonts w:ascii="SimHei" w:hAnsi="SimHei" w:eastAsia="SimHei" w:cs="SimHei"/>
          <w:sz w:val="28"/>
          <w:szCs w:val="28"/>
        </w:rPr>
      </w:pPr>
      <w:r>
        <w:rPr>
          <w:rFonts w:ascii="SimHei" w:hAnsi="SimHei" w:eastAsia="SimHei" w:cs="SimHei"/>
          <w:sz w:val="28"/>
          <w:szCs w:val="28"/>
          <w:spacing w:val="-4"/>
        </w:rPr>
        <w:t>5、</w:t>
      </w:r>
      <w:r>
        <w:rPr>
          <w:rFonts w:ascii="SimHei" w:hAnsi="SimHei" w:eastAsia="SimHei" w:cs="SimHei"/>
          <w:sz w:val="28"/>
          <w:szCs w:val="28"/>
          <w:spacing w:val="-114"/>
        </w:rPr>
        <w:t xml:space="preserve"> </w:t>
      </w:r>
      <w:r>
        <w:rPr>
          <w:rFonts w:ascii="SimHei" w:hAnsi="SimHei" w:eastAsia="SimHei" w:cs="SimHei"/>
          <w:sz w:val="28"/>
          <w:szCs w:val="28"/>
          <w:spacing w:val="-4"/>
        </w:rPr>
        <w:t>停</w:t>
      </w:r>
      <w:r>
        <w:rPr>
          <w:rFonts w:ascii="SimHei" w:hAnsi="SimHei" w:eastAsia="SimHei" w:cs="SimHei"/>
          <w:sz w:val="28"/>
          <w:szCs w:val="28"/>
          <w:spacing w:val="-63"/>
        </w:rPr>
        <w:t xml:space="preserve"> </w:t>
      </w:r>
      <w:r>
        <w:rPr>
          <w:rFonts w:ascii="SimHei" w:hAnsi="SimHei" w:eastAsia="SimHei" w:cs="SimHei"/>
          <w:sz w:val="28"/>
          <w:szCs w:val="28"/>
          <w:spacing w:val="-4"/>
        </w:rPr>
        <w:t>机</w:t>
      </w:r>
    </w:p>
    <w:p>
      <w:pPr>
        <w:pStyle w:val="BodyText"/>
        <w:ind w:right="121" w:firstLine="740"/>
        <w:spacing w:before="129" w:line="270" w:lineRule="auto"/>
        <w:rPr>
          <w:sz w:val="29"/>
          <w:szCs w:val="29"/>
        </w:rPr>
      </w:pPr>
      <w:r>
        <w:rPr>
          <w:sz w:val="29"/>
          <w:szCs w:val="29"/>
          <w:spacing w:val="5"/>
        </w:rPr>
        <w:t>(1)在浇水结束后，将调速手柄按减小方向扳到底，依次将发动机开关、</w:t>
      </w:r>
      <w:r>
        <w:rPr>
          <w:sz w:val="29"/>
          <w:szCs w:val="29"/>
          <w:spacing w:val="13"/>
        </w:rPr>
        <w:t xml:space="preserve"> </w:t>
      </w:r>
      <w:r>
        <w:rPr>
          <w:sz w:val="29"/>
          <w:szCs w:val="29"/>
          <w:spacing w:val="-2"/>
        </w:rPr>
        <w:t>燃油开关扳到关闭的位置；</w:t>
      </w:r>
    </w:p>
    <w:p>
      <w:pPr>
        <w:pStyle w:val="BodyText"/>
        <w:ind w:left="740"/>
        <w:spacing w:before="164" w:line="219" w:lineRule="auto"/>
        <w:rPr>
          <w:sz w:val="29"/>
          <w:szCs w:val="29"/>
        </w:rPr>
      </w:pPr>
      <w:r>
        <w:rPr>
          <w:sz w:val="29"/>
          <w:szCs w:val="29"/>
          <w:spacing w:val="7"/>
        </w:rPr>
        <w:t>(2)卸下进水管、皮管倒出管内余留水并盘好；</w:t>
      </w:r>
    </w:p>
    <w:p>
      <w:pPr>
        <w:pStyle w:val="BodyText"/>
        <w:ind w:left="740"/>
        <w:spacing w:before="136" w:line="219" w:lineRule="auto"/>
        <w:rPr>
          <w:sz w:val="29"/>
          <w:szCs w:val="29"/>
        </w:rPr>
      </w:pPr>
      <w:r>
        <w:rPr>
          <w:sz w:val="29"/>
          <w:szCs w:val="29"/>
          <w:spacing w:val="6"/>
        </w:rPr>
        <w:t>(3)当天使用完毕，应将泵内水放尽，防止进水箱生锈；</w:t>
      </w:r>
    </w:p>
    <w:p>
      <w:pPr>
        <w:pStyle w:val="BodyText"/>
        <w:ind w:left="740"/>
        <w:spacing w:before="134" w:line="219" w:lineRule="auto"/>
        <w:rPr>
          <w:sz w:val="29"/>
          <w:szCs w:val="29"/>
        </w:rPr>
      </w:pPr>
      <w:r>
        <w:rPr>
          <w:sz w:val="29"/>
          <w:szCs w:val="29"/>
          <w:spacing w:val="8"/>
        </w:rPr>
        <w:t>(4)清洁皮管、进水管、机器；</w:t>
      </w:r>
    </w:p>
    <w:p>
      <w:pPr>
        <w:pStyle w:val="BodyText"/>
        <w:ind w:left="740"/>
        <w:spacing w:before="146" w:line="219" w:lineRule="auto"/>
        <w:rPr>
          <w:sz w:val="29"/>
          <w:szCs w:val="29"/>
        </w:rPr>
      </w:pPr>
      <w:r>
        <w:rPr>
          <w:sz w:val="29"/>
          <w:szCs w:val="29"/>
          <w:spacing w:val="7"/>
        </w:rPr>
        <w:t>(5)为了避免烫伤或者发生火灾，待发动机冷却后方能搬运或储存。</w:t>
      </w:r>
    </w:p>
    <w:p>
      <w:pPr>
        <w:pStyle w:val="BodyText"/>
        <w:spacing w:before="53" w:line="396" w:lineRule="exact"/>
        <w:rPr>
          <w:rFonts w:ascii="SimHei" w:hAnsi="SimHei" w:eastAsia="SimHei" w:cs="SimHei"/>
          <w:sz w:val="29"/>
          <w:szCs w:val="29"/>
        </w:rPr>
      </w:pPr>
      <w:r>
        <w:rPr>
          <w:rFonts w:ascii="Arial" w:hAnsi="Arial" w:eastAsia="Arial" w:cs="Arial"/>
          <w:sz w:val="29"/>
          <w:szCs w:val="29"/>
          <w:spacing w:val="2"/>
          <w:position w:val="1"/>
        </w:rPr>
        <w:t>6</w:t>
      </w:r>
      <w:r>
        <w:rPr>
          <w:sz w:val="29"/>
          <w:szCs w:val="29"/>
          <w:spacing w:val="2"/>
          <w:position w:val="1"/>
        </w:rPr>
        <w:t>、</w:t>
      </w:r>
      <w:r>
        <w:rPr>
          <w:rFonts w:ascii="SimHei" w:hAnsi="SimHei" w:eastAsia="SimHei" w:cs="SimHei"/>
          <w:sz w:val="29"/>
          <w:szCs w:val="29"/>
          <w:spacing w:val="2"/>
          <w:position w:val="1"/>
        </w:rPr>
        <w:t>保养及维护</w:t>
      </w:r>
    </w:p>
    <w:p>
      <w:pPr>
        <w:pStyle w:val="BodyText"/>
        <w:ind w:left="620"/>
        <w:spacing w:before="169" w:line="219" w:lineRule="auto"/>
        <w:rPr>
          <w:sz w:val="29"/>
          <w:szCs w:val="29"/>
        </w:rPr>
      </w:pPr>
      <w:r>
        <w:rPr>
          <w:sz w:val="29"/>
          <w:szCs w:val="29"/>
          <w:spacing w:val="-1"/>
        </w:rPr>
        <w:t>3个月以上不使用的，按以下步骤进行保养：</w:t>
      </w:r>
    </w:p>
    <w:p>
      <w:pPr>
        <w:pStyle w:val="BodyText"/>
        <w:ind w:left="740"/>
        <w:spacing w:before="136" w:line="219" w:lineRule="auto"/>
        <w:rPr>
          <w:sz w:val="29"/>
          <w:szCs w:val="29"/>
        </w:rPr>
      </w:pPr>
      <w:r>
        <w:rPr>
          <w:sz w:val="29"/>
          <w:szCs w:val="29"/>
          <w:spacing w:val="8"/>
        </w:rPr>
        <w:t>(1)将油箱和化油器中的汽油放净；</w:t>
      </w:r>
    </w:p>
    <w:p>
      <w:pPr>
        <w:pStyle w:val="BodyText"/>
        <w:ind w:left="740"/>
        <w:spacing w:before="154" w:line="219" w:lineRule="auto"/>
        <w:rPr>
          <w:sz w:val="29"/>
          <w:szCs w:val="29"/>
        </w:rPr>
      </w:pPr>
      <w:r>
        <w:rPr>
          <w:sz w:val="29"/>
          <w:szCs w:val="29"/>
          <w:spacing w:val="6"/>
        </w:rPr>
        <w:t>(2)将曲轴箱中的机油放净，加注新机油到机油尺</w:t>
      </w:r>
      <w:r>
        <w:rPr>
          <w:sz w:val="29"/>
          <w:szCs w:val="29"/>
          <w:spacing w:val="5"/>
        </w:rPr>
        <w:t>的油位上限；</w:t>
      </w:r>
    </w:p>
    <w:p>
      <w:pPr>
        <w:pStyle w:val="BodyText"/>
        <w:ind w:left="740"/>
        <w:spacing w:before="128" w:line="219" w:lineRule="auto"/>
        <w:rPr>
          <w:sz w:val="29"/>
          <w:szCs w:val="29"/>
        </w:rPr>
      </w:pPr>
      <w:r>
        <w:rPr>
          <w:sz w:val="29"/>
          <w:szCs w:val="29"/>
          <w:spacing w:val="7"/>
        </w:rPr>
        <w:t>(3)关闭阻风门，并将启动器手把拉起到感到</w:t>
      </w:r>
      <w:r>
        <w:rPr>
          <w:sz w:val="29"/>
          <w:szCs w:val="29"/>
          <w:spacing w:val="6"/>
        </w:rPr>
        <w:t>有阻力的地方；</w:t>
      </w:r>
    </w:p>
    <w:p>
      <w:pPr>
        <w:pStyle w:val="BodyText"/>
        <w:ind w:left="740"/>
        <w:spacing w:before="154" w:line="219" w:lineRule="auto"/>
        <w:rPr>
          <w:sz w:val="29"/>
          <w:szCs w:val="29"/>
        </w:rPr>
      </w:pPr>
      <w:r>
        <w:rPr>
          <w:sz w:val="29"/>
          <w:szCs w:val="29"/>
          <w:spacing w:val="8"/>
        </w:rPr>
        <w:t>(4)将机组擦拭干净，用纸箱或塑料罩罩住，防止灰尘。</w:t>
      </w:r>
    </w:p>
    <w:p>
      <w:pPr>
        <w:spacing w:line="219" w:lineRule="auto"/>
        <w:sectPr>
          <w:footerReference w:type="default" r:id="rId487"/>
          <w:pgSz w:w="14490" w:h="20470"/>
          <w:pgMar w:top="400" w:right="2173" w:bottom="1423" w:left="2140" w:header="0" w:footer="1224"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94"/>
        <w:spacing w:before="94" w:line="222" w:lineRule="auto"/>
        <w:rPr>
          <w:rFonts w:ascii="SimHei" w:hAnsi="SimHei" w:eastAsia="SimHei" w:cs="SimHei"/>
          <w:sz w:val="29"/>
          <w:szCs w:val="29"/>
        </w:rPr>
      </w:pPr>
      <w:bookmarkStart w:name="bookmark115" w:id="86"/>
      <w:bookmarkEnd w:id="86"/>
      <w:r>
        <w:rPr>
          <w:rFonts w:ascii="SimHei" w:hAnsi="SimHei" w:eastAsia="SimHei" w:cs="SimHei"/>
          <w:sz w:val="29"/>
          <w:szCs w:val="29"/>
          <w:spacing w:val="3"/>
        </w:rPr>
        <w:t>7、机械故障排除</w:t>
      </w:r>
    </w:p>
    <w:p>
      <w:pPr>
        <w:pStyle w:val="BodyText"/>
        <w:ind w:left="3765"/>
        <w:spacing w:before="201" w:line="219" w:lineRule="auto"/>
        <w:rPr>
          <w:sz w:val="24"/>
          <w:szCs w:val="24"/>
        </w:rPr>
      </w:pPr>
      <w:r>
        <w:rPr>
          <w:sz w:val="24"/>
          <w:szCs w:val="24"/>
          <w:spacing w:val="9"/>
        </w:rPr>
        <w:t>表6-1汽油水泵故障排除</w:t>
      </w:r>
    </w:p>
    <w:p>
      <w:pPr>
        <w:spacing w:line="110" w:lineRule="exact"/>
        <w:rPr/>
      </w:pPr>
      <w:r/>
    </w:p>
    <w:tbl>
      <w:tblPr>
        <w:tblStyle w:val="TableNormal"/>
        <w:tblW w:w="103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63"/>
        <w:gridCol w:w="5055"/>
        <w:gridCol w:w="3461"/>
      </w:tblGrid>
      <w:tr>
        <w:trPr>
          <w:trHeight w:val="393" w:hRule="atLeast"/>
        </w:trPr>
        <w:tc>
          <w:tcPr>
            <w:tcW w:w="1863" w:type="dxa"/>
            <w:vAlign w:val="top"/>
          </w:tcPr>
          <w:p>
            <w:pPr>
              <w:pStyle w:val="TableText"/>
              <w:ind w:left="108"/>
              <w:spacing w:before="71" w:line="219" w:lineRule="auto"/>
              <w:rPr>
                <w:sz w:val="25"/>
                <w:szCs w:val="25"/>
              </w:rPr>
            </w:pPr>
            <w:r>
              <w:rPr>
                <w:sz w:val="25"/>
                <w:szCs w:val="25"/>
                <w:b/>
                <w:bCs/>
                <w:spacing w:val="-7"/>
              </w:rPr>
              <w:t>故障</w:t>
            </w:r>
          </w:p>
        </w:tc>
        <w:tc>
          <w:tcPr>
            <w:tcW w:w="5055" w:type="dxa"/>
            <w:vAlign w:val="top"/>
          </w:tcPr>
          <w:p>
            <w:pPr>
              <w:pStyle w:val="TableText"/>
              <w:ind w:left="125"/>
              <w:spacing w:before="75" w:line="222" w:lineRule="auto"/>
              <w:rPr>
                <w:sz w:val="25"/>
                <w:szCs w:val="25"/>
              </w:rPr>
            </w:pPr>
            <w:r>
              <w:rPr>
                <w:sz w:val="25"/>
                <w:szCs w:val="25"/>
                <w:b/>
                <w:bCs/>
                <w:spacing w:val="6"/>
              </w:rPr>
              <w:t>原因</w:t>
            </w:r>
          </w:p>
        </w:tc>
        <w:tc>
          <w:tcPr>
            <w:tcW w:w="3461" w:type="dxa"/>
            <w:vAlign w:val="top"/>
          </w:tcPr>
          <w:p>
            <w:pPr>
              <w:pStyle w:val="TableText"/>
              <w:ind w:left="140"/>
              <w:spacing w:before="71" w:line="219" w:lineRule="auto"/>
              <w:rPr>
                <w:sz w:val="25"/>
                <w:szCs w:val="25"/>
              </w:rPr>
            </w:pPr>
            <w:r>
              <w:rPr>
                <w:sz w:val="25"/>
                <w:szCs w:val="25"/>
                <w:b/>
                <w:bCs/>
                <w:spacing w:val="-5"/>
              </w:rPr>
              <w:t>解决方法</w:t>
            </w:r>
          </w:p>
        </w:tc>
      </w:tr>
      <w:tr>
        <w:trPr>
          <w:trHeight w:val="369" w:hRule="atLeast"/>
        </w:trPr>
        <w:tc>
          <w:tcPr>
            <w:tcW w:w="1863" w:type="dxa"/>
            <w:vAlign w:val="top"/>
            <w:vMerge w:val="restart"/>
            <w:tcBorders>
              <w:bottom w:val="nil"/>
            </w:tcBorders>
          </w:tcPr>
          <w:p>
            <w:pPr>
              <w:pStyle w:val="TableText"/>
              <w:ind w:left="104" w:right="181" w:firstLine="29"/>
              <w:spacing w:before="281" w:line="277" w:lineRule="auto"/>
              <w:rPr>
                <w:sz w:val="25"/>
                <w:szCs w:val="25"/>
              </w:rPr>
            </w:pPr>
            <w:r>
              <w:rPr>
                <w:sz w:val="25"/>
                <w:szCs w:val="25"/>
                <w:spacing w:val="6"/>
              </w:rPr>
              <w:t>发动机不能启</w:t>
            </w:r>
            <w:r>
              <w:rPr>
                <w:sz w:val="25"/>
                <w:szCs w:val="25"/>
              </w:rPr>
              <w:t xml:space="preserve"> </w:t>
            </w:r>
            <w:r>
              <w:rPr>
                <w:sz w:val="25"/>
                <w:szCs w:val="25"/>
              </w:rPr>
              <w:t>动</w:t>
            </w:r>
          </w:p>
        </w:tc>
        <w:tc>
          <w:tcPr>
            <w:tcW w:w="5055" w:type="dxa"/>
            <w:vAlign w:val="top"/>
          </w:tcPr>
          <w:p>
            <w:pPr>
              <w:pStyle w:val="TableText"/>
              <w:ind w:left="121"/>
              <w:spacing w:before="62" w:line="219" w:lineRule="auto"/>
              <w:rPr>
                <w:sz w:val="25"/>
                <w:szCs w:val="25"/>
              </w:rPr>
            </w:pPr>
            <w:r>
              <w:rPr>
                <w:sz w:val="25"/>
                <w:szCs w:val="25"/>
              </w:rPr>
              <w:t>火花塞被淹或火花塞表面有较多污垢</w:t>
            </w:r>
          </w:p>
        </w:tc>
        <w:tc>
          <w:tcPr>
            <w:tcW w:w="3461" w:type="dxa"/>
            <w:vAlign w:val="top"/>
          </w:tcPr>
          <w:p>
            <w:pPr>
              <w:pStyle w:val="TableText"/>
              <w:ind w:left="136"/>
              <w:spacing w:before="62" w:line="219" w:lineRule="auto"/>
              <w:rPr>
                <w:sz w:val="25"/>
                <w:szCs w:val="25"/>
              </w:rPr>
            </w:pPr>
            <w:r>
              <w:rPr>
                <w:sz w:val="25"/>
                <w:szCs w:val="25"/>
                <w:spacing w:val="2"/>
              </w:rPr>
              <w:t>更换火花塞</w:t>
            </w:r>
          </w:p>
        </w:tc>
      </w:tr>
      <w:tr>
        <w:trPr>
          <w:trHeight w:val="408" w:hRule="atLeast"/>
        </w:trPr>
        <w:tc>
          <w:tcPr>
            <w:tcW w:w="1863" w:type="dxa"/>
            <w:vAlign w:val="top"/>
            <w:vMerge w:val="continue"/>
            <w:tcBorders>
              <w:top w:val="nil"/>
              <w:bottom w:val="nil"/>
            </w:tcBorders>
          </w:tcPr>
          <w:p>
            <w:pPr>
              <w:rPr>
                <w:rFonts w:ascii="Arial"/>
                <w:sz w:val="21"/>
              </w:rPr>
            </w:pPr>
            <w:r/>
          </w:p>
        </w:tc>
        <w:tc>
          <w:tcPr>
            <w:tcW w:w="5055" w:type="dxa"/>
            <w:vAlign w:val="top"/>
          </w:tcPr>
          <w:p>
            <w:pPr>
              <w:pStyle w:val="TableText"/>
              <w:ind w:left="121"/>
              <w:spacing w:before="81" w:line="219" w:lineRule="auto"/>
              <w:rPr>
                <w:sz w:val="25"/>
                <w:szCs w:val="25"/>
              </w:rPr>
            </w:pPr>
            <w:r>
              <w:rPr>
                <w:sz w:val="25"/>
                <w:szCs w:val="25"/>
              </w:rPr>
              <w:t>发动机是否处于打开位置</w:t>
            </w:r>
          </w:p>
        </w:tc>
        <w:tc>
          <w:tcPr>
            <w:tcW w:w="3461" w:type="dxa"/>
            <w:vAlign w:val="top"/>
          </w:tcPr>
          <w:p>
            <w:pPr>
              <w:pStyle w:val="TableText"/>
              <w:ind w:left="136"/>
              <w:spacing w:before="83" w:line="219" w:lineRule="auto"/>
              <w:rPr>
                <w:sz w:val="25"/>
                <w:szCs w:val="25"/>
              </w:rPr>
            </w:pPr>
            <w:r>
              <w:rPr>
                <w:sz w:val="25"/>
                <w:szCs w:val="25"/>
                <w:spacing w:val="-2"/>
              </w:rPr>
              <w:t>将开关打开</w:t>
            </w:r>
          </w:p>
        </w:tc>
      </w:tr>
      <w:tr>
        <w:trPr>
          <w:trHeight w:val="389" w:hRule="atLeast"/>
        </w:trPr>
        <w:tc>
          <w:tcPr>
            <w:tcW w:w="1863" w:type="dxa"/>
            <w:vAlign w:val="top"/>
            <w:vMerge w:val="continue"/>
            <w:tcBorders>
              <w:top w:val="nil"/>
            </w:tcBorders>
          </w:tcPr>
          <w:p>
            <w:pPr>
              <w:rPr>
                <w:rFonts w:ascii="Arial"/>
                <w:sz w:val="21"/>
              </w:rPr>
            </w:pPr>
            <w:r/>
          </w:p>
        </w:tc>
        <w:tc>
          <w:tcPr>
            <w:tcW w:w="5055" w:type="dxa"/>
            <w:vAlign w:val="top"/>
          </w:tcPr>
          <w:p>
            <w:pPr>
              <w:pStyle w:val="TableText"/>
              <w:ind w:left="121"/>
              <w:spacing w:before="76" w:line="220" w:lineRule="auto"/>
              <w:rPr>
                <w:sz w:val="25"/>
                <w:szCs w:val="25"/>
              </w:rPr>
            </w:pPr>
            <w:r>
              <w:rPr>
                <w:sz w:val="25"/>
                <w:szCs w:val="25"/>
                <w:spacing w:val="1"/>
              </w:rPr>
              <w:t>润滑油是否充足</w:t>
            </w:r>
          </w:p>
        </w:tc>
        <w:tc>
          <w:tcPr>
            <w:tcW w:w="3461" w:type="dxa"/>
            <w:vAlign w:val="top"/>
          </w:tcPr>
          <w:p>
            <w:pPr>
              <w:pStyle w:val="TableText"/>
              <w:ind w:left="136"/>
              <w:spacing w:before="76" w:line="220" w:lineRule="auto"/>
              <w:rPr>
                <w:sz w:val="25"/>
                <w:szCs w:val="25"/>
              </w:rPr>
            </w:pPr>
            <w:r>
              <w:rPr>
                <w:sz w:val="25"/>
                <w:szCs w:val="25"/>
                <w:spacing w:val="5"/>
              </w:rPr>
              <w:t>补充润滑油</w:t>
            </w:r>
          </w:p>
        </w:tc>
      </w:tr>
      <w:tr>
        <w:trPr>
          <w:trHeight w:val="369" w:hRule="atLeast"/>
        </w:trPr>
        <w:tc>
          <w:tcPr>
            <w:tcW w:w="1863" w:type="dxa"/>
            <w:vAlign w:val="top"/>
            <w:vMerge w:val="restart"/>
            <w:tcBorders>
              <w:bottom w:val="nil"/>
            </w:tcBorders>
          </w:tcPr>
          <w:p>
            <w:pPr>
              <w:pStyle w:val="TableText"/>
              <w:ind w:left="104" w:right="206" w:firstLine="29"/>
              <w:spacing w:before="267" w:line="297" w:lineRule="auto"/>
              <w:rPr>
                <w:sz w:val="25"/>
                <w:szCs w:val="25"/>
              </w:rPr>
            </w:pPr>
            <w:r>
              <w:rPr>
                <w:sz w:val="25"/>
                <w:szCs w:val="25"/>
                <w:spacing w:val="1"/>
              </w:rPr>
              <w:t>启动后不出水</w:t>
            </w:r>
            <w:r>
              <w:rPr>
                <w:sz w:val="25"/>
                <w:szCs w:val="25"/>
                <w:spacing w:val="4"/>
              </w:rPr>
              <w:t xml:space="preserve"> </w:t>
            </w:r>
            <w:r>
              <w:rPr>
                <w:sz w:val="25"/>
                <w:szCs w:val="25"/>
                <w:spacing w:val="4"/>
              </w:rPr>
              <w:t>或出水量小</w:t>
            </w:r>
          </w:p>
        </w:tc>
        <w:tc>
          <w:tcPr>
            <w:tcW w:w="5055" w:type="dxa"/>
            <w:vAlign w:val="top"/>
          </w:tcPr>
          <w:p>
            <w:pPr>
              <w:pStyle w:val="TableText"/>
              <w:ind w:left="121"/>
              <w:spacing w:before="66" w:line="216" w:lineRule="auto"/>
              <w:rPr>
                <w:sz w:val="25"/>
                <w:szCs w:val="25"/>
              </w:rPr>
            </w:pPr>
            <w:r>
              <w:rPr>
                <w:sz w:val="25"/>
                <w:szCs w:val="25"/>
              </w:rPr>
              <w:t>没有灌引水或灌引水不足</w:t>
            </w:r>
          </w:p>
        </w:tc>
        <w:tc>
          <w:tcPr>
            <w:tcW w:w="3461" w:type="dxa"/>
            <w:vAlign w:val="top"/>
          </w:tcPr>
          <w:p>
            <w:pPr>
              <w:pStyle w:val="TableText"/>
              <w:ind w:left="136"/>
              <w:spacing w:before="66" w:line="216" w:lineRule="auto"/>
              <w:rPr>
                <w:sz w:val="25"/>
                <w:szCs w:val="25"/>
              </w:rPr>
            </w:pPr>
            <w:r>
              <w:rPr>
                <w:sz w:val="25"/>
                <w:szCs w:val="25"/>
                <w:spacing w:val="1"/>
              </w:rPr>
              <w:t>排尽空气加满引灌水</w:t>
            </w:r>
          </w:p>
        </w:tc>
      </w:tr>
      <w:tr>
        <w:trPr>
          <w:trHeight w:val="389" w:hRule="atLeast"/>
        </w:trPr>
        <w:tc>
          <w:tcPr>
            <w:tcW w:w="1863" w:type="dxa"/>
            <w:vAlign w:val="top"/>
            <w:vMerge w:val="continue"/>
            <w:tcBorders>
              <w:top w:val="nil"/>
              <w:bottom w:val="nil"/>
            </w:tcBorders>
          </w:tcPr>
          <w:p>
            <w:pPr>
              <w:rPr>
                <w:rFonts w:ascii="Arial"/>
                <w:sz w:val="21"/>
              </w:rPr>
            </w:pPr>
            <w:r/>
          </w:p>
        </w:tc>
        <w:tc>
          <w:tcPr>
            <w:tcW w:w="5055" w:type="dxa"/>
            <w:vAlign w:val="top"/>
          </w:tcPr>
          <w:p>
            <w:pPr>
              <w:pStyle w:val="TableText"/>
              <w:ind w:left="121"/>
              <w:spacing w:before="77" w:line="219" w:lineRule="auto"/>
              <w:rPr>
                <w:sz w:val="25"/>
                <w:szCs w:val="25"/>
              </w:rPr>
            </w:pPr>
            <w:r>
              <w:rPr>
                <w:sz w:val="25"/>
                <w:szCs w:val="25"/>
                <w:spacing w:val="1"/>
              </w:rPr>
              <w:t>进水管探头堵塞</w:t>
            </w:r>
          </w:p>
        </w:tc>
        <w:tc>
          <w:tcPr>
            <w:tcW w:w="3461" w:type="dxa"/>
            <w:vAlign w:val="top"/>
          </w:tcPr>
          <w:p>
            <w:pPr>
              <w:pStyle w:val="TableText"/>
              <w:ind w:left="136"/>
              <w:spacing w:before="77" w:line="219" w:lineRule="auto"/>
              <w:rPr>
                <w:sz w:val="25"/>
                <w:szCs w:val="25"/>
              </w:rPr>
            </w:pPr>
            <w:r>
              <w:rPr>
                <w:sz w:val="25"/>
                <w:szCs w:val="25"/>
                <w:spacing w:val="2"/>
              </w:rPr>
              <w:t>清除堵塞物、检查底阀</w:t>
            </w:r>
          </w:p>
        </w:tc>
      </w:tr>
      <w:tr>
        <w:trPr>
          <w:trHeight w:val="393" w:hRule="atLeast"/>
        </w:trPr>
        <w:tc>
          <w:tcPr>
            <w:tcW w:w="1863" w:type="dxa"/>
            <w:vAlign w:val="top"/>
            <w:vMerge w:val="continue"/>
            <w:tcBorders>
              <w:top w:val="nil"/>
            </w:tcBorders>
          </w:tcPr>
          <w:p>
            <w:pPr>
              <w:rPr>
                <w:rFonts w:ascii="Arial"/>
                <w:sz w:val="21"/>
              </w:rPr>
            </w:pPr>
            <w:r/>
          </w:p>
        </w:tc>
        <w:tc>
          <w:tcPr>
            <w:tcW w:w="5055" w:type="dxa"/>
            <w:vAlign w:val="top"/>
          </w:tcPr>
          <w:p>
            <w:pPr>
              <w:pStyle w:val="TableText"/>
              <w:ind w:left="121"/>
              <w:spacing w:before="78" w:line="219" w:lineRule="auto"/>
              <w:rPr>
                <w:sz w:val="25"/>
                <w:szCs w:val="25"/>
              </w:rPr>
            </w:pPr>
            <w:r>
              <w:rPr>
                <w:sz w:val="25"/>
                <w:szCs w:val="25"/>
                <w:spacing w:val="-1"/>
              </w:rPr>
              <w:t>进水管探头露出水面</w:t>
            </w:r>
          </w:p>
        </w:tc>
        <w:tc>
          <w:tcPr>
            <w:tcW w:w="3461" w:type="dxa"/>
            <w:vAlign w:val="top"/>
          </w:tcPr>
          <w:p>
            <w:pPr>
              <w:pStyle w:val="TableText"/>
              <w:ind w:left="136"/>
              <w:spacing w:before="78" w:line="219" w:lineRule="auto"/>
              <w:rPr>
                <w:sz w:val="25"/>
                <w:szCs w:val="25"/>
              </w:rPr>
            </w:pPr>
            <w:r>
              <w:rPr>
                <w:sz w:val="25"/>
                <w:szCs w:val="25"/>
                <w:spacing w:val="4"/>
              </w:rPr>
              <w:t>重新压入水中</w:t>
            </w:r>
          </w:p>
        </w:tc>
      </w:tr>
    </w:tbl>
    <w:p>
      <w:pPr>
        <w:pStyle w:val="BodyText"/>
        <w:ind w:left="94"/>
        <w:spacing w:before="53" w:line="395"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储存</w:t>
      </w:r>
    </w:p>
    <w:p>
      <w:pPr>
        <w:pStyle w:val="BodyText"/>
        <w:ind w:left="695"/>
        <w:spacing w:before="138" w:line="219" w:lineRule="auto"/>
        <w:rPr>
          <w:sz w:val="29"/>
          <w:szCs w:val="29"/>
        </w:rPr>
      </w:pPr>
      <w:r>
        <w:rPr>
          <w:sz w:val="29"/>
          <w:szCs w:val="29"/>
          <w:spacing w:val="1"/>
        </w:rPr>
        <w:t>设备使用完毕后，由领班检查正常后归还仓库，并签字</w:t>
      </w:r>
      <w:r>
        <w:rPr>
          <w:sz w:val="29"/>
          <w:szCs w:val="29"/>
        </w:rPr>
        <w:t>确认。</w:t>
      </w:r>
    </w:p>
    <w:p>
      <w:pPr>
        <w:ind w:left="94"/>
        <w:spacing w:before="294" w:line="222" w:lineRule="auto"/>
        <w:outlineLvl w:val="1"/>
        <w:rPr>
          <w:rFonts w:ascii="SimHei" w:hAnsi="SimHei" w:eastAsia="SimHei" w:cs="SimHei"/>
          <w:sz w:val="29"/>
          <w:szCs w:val="29"/>
        </w:rPr>
      </w:pPr>
      <w:bookmarkStart w:name="bookmark50" w:id="87"/>
      <w:bookmarkEnd w:id="87"/>
      <w:r>
        <w:rPr>
          <w:rFonts w:ascii="SimHei" w:hAnsi="SimHei" w:eastAsia="SimHei" w:cs="SimHei"/>
          <w:sz w:val="29"/>
          <w:szCs w:val="29"/>
          <w:spacing w:val="2"/>
        </w:rPr>
        <w:t>三、潜水泵</w:t>
      </w:r>
    </w:p>
    <w:p>
      <w:pPr>
        <w:pStyle w:val="BodyText"/>
        <w:ind w:left="94" w:right="282" w:firstLine="600"/>
        <w:spacing w:before="160" w:line="315" w:lineRule="auto"/>
        <w:rPr>
          <w:sz w:val="29"/>
          <w:szCs w:val="29"/>
        </w:rPr>
      </w:pPr>
      <w:r>
        <w:rPr>
          <w:sz w:val="29"/>
          <w:szCs w:val="29"/>
          <w:spacing w:val="-5"/>
        </w:rPr>
        <w:t>潜水泵是潜入水中工作的提水机具，适用于从深井提取地下水，也可用于人</w:t>
      </w:r>
      <w:r>
        <w:rPr>
          <w:sz w:val="29"/>
          <w:szCs w:val="29"/>
          <w:spacing w:val="6"/>
        </w:rPr>
        <w:t xml:space="preserve"> </w:t>
      </w:r>
      <w:r>
        <w:rPr>
          <w:sz w:val="29"/>
          <w:szCs w:val="29"/>
          <w:spacing w:val="-1"/>
        </w:rPr>
        <w:t>工湖等提水工程。</w:t>
      </w:r>
    </w:p>
    <w:p>
      <w:pPr>
        <w:pStyle w:val="BodyText"/>
        <w:ind w:left="94"/>
        <w:spacing w:before="35" w:line="224"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领用</w:t>
      </w:r>
    </w:p>
    <w:p>
      <w:pPr>
        <w:pStyle w:val="BodyText"/>
        <w:ind w:left="695"/>
        <w:spacing w:before="96" w:line="219" w:lineRule="auto"/>
        <w:rPr>
          <w:sz w:val="29"/>
          <w:szCs w:val="29"/>
        </w:rPr>
      </w:pPr>
      <w:r>
        <w:rPr>
          <w:sz w:val="29"/>
          <w:szCs w:val="29"/>
          <w:spacing w:val="-1"/>
        </w:rPr>
        <w:t>申领前须检查设备状况，确认正常后方可签字领取。</w:t>
      </w:r>
    </w:p>
    <w:p>
      <w:pPr>
        <w:pStyle w:val="BodyText"/>
        <w:ind w:left="834"/>
        <w:spacing w:before="134" w:line="219" w:lineRule="auto"/>
        <w:rPr>
          <w:sz w:val="29"/>
          <w:szCs w:val="29"/>
        </w:rPr>
      </w:pPr>
      <w:r>
        <w:rPr>
          <w:sz w:val="29"/>
          <w:szCs w:val="29"/>
          <w:spacing w:val="7"/>
        </w:rPr>
        <w:t>(1)机壳是否有裂纹，若有裂纹则不可使用；</w:t>
      </w:r>
    </w:p>
    <w:p>
      <w:pPr>
        <w:pStyle w:val="BodyText"/>
        <w:ind w:left="834"/>
        <w:spacing w:before="148" w:line="219" w:lineRule="auto"/>
        <w:rPr>
          <w:sz w:val="29"/>
          <w:szCs w:val="29"/>
        </w:rPr>
      </w:pPr>
      <w:r>
        <w:rPr>
          <w:sz w:val="29"/>
          <w:szCs w:val="29"/>
          <w:spacing w:val="6"/>
        </w:rPr>
        <w:t>(2)放气眼、放水孔、放油孔和电缆接头处的封口是否松弛；</w:t>
      </w:r>
    </w:p>
    <w:p>
      <w:pPr>
        <w:pStyle w:val="BodyText"/>
        <w:ind w:left="94" w:right="269" w:firstLine="740"/>
        <w:spacing w:before="166" w:line="265" w:lineRule="auto"/>
        <w:rPr>
          <w:sz w:val="29"/>
          <w:szCs w:val="29"/>
        </w:rPr>
      </w:pPr>
      <w:r>
        <w:rPr>
          <w:sz w:val="29"/>
          <w:szCs w:val="29"/>
          <w:spacing w:val="4"/>
        </w:rPr>
        <w:t>(3)电缆线不要有接头，无破损、攀折、漏电现象，若有接头应绑扎好，</w:t>
      </w:r>
      <w:r>
        <w:rPr>
          <w:sz w:val="29"/>
          <w:szCs w:val="29"/>
          <w:spacing w:val="17"/>
        </w:rPr>
        <w:t xml:space="preserve"> </w:t>
      </w:r>
      <w:r>
        <w:rPr>
          <w:sz w:val="29"/>
          <w:szCs w:val="29"/>
          <w:spacing w:val="-1"/>
        </w:rPr>
        <w:t>破损、攀折的应改易新电缆；</w:t>
      </w:r>
    </w:p>
    <w:p>
      <w:pPr>
        <w:pStyle w:val="BodyText"/>
        <w:ind w:left="834"/>
        <w:spacing w:before="158" w:line="219" w:lineRule="auto"/>
        <w:rPr>
          <w:sz w:val="29"/>
          <w:szCs w:val="29"/>
        </w:rPr>
      </w:pPr>
      <w:r>
        <w:rPr>
          <w:sz w:val="29"/>
          <w:szCs w:val="29"/>
          <w:spacing w:val="6"/>
        </w:rPr>
        <w:t>(4)潜水泵应装设保护接零或漏电保护装置，若未装设则需更换；</w:t>
      </w:r>
    </w:p>
    <w:p>
      <w:pPr>
        <w:pStyle w:val="BodyText"/>
        <w:ind w:left="834"/>
        <w:spacing w:before="106" w:line="219" w:lineRule="auto"/>
        <w:rPr>
          <w:sz w:val="29"/>
          <w:szCs w:val="29"/>
        </w:rPr>
      </w:pPr>
      <w:r>
        <w:rPr>
          <w:sz w:val="29"/>
          <w:szCs w:val="29"/>
          <w:spacing w:val="6"/>
        </w:rPr>
        <w:t>(5)配用的橡胶管或帆管内径符合要求，无裂缝，</w:t>
      </w:r>
      <w:r>
        <w:rPr>
          <w:sz w:val="29"/>
          <w:szCs w:val="29"/>
          <w:spacing w:val="5"/>
        </w:rPr>
        <w:t>出水管不要屈曲；</w:t>
      </w:r>
    </w:p>
    <w:p>
      <w:pPr>
        <w:pStyle w:val="BodyText"/>
        <w:ind w:left="94" w:right="219" w:firstLine="740"/>
        <w:spacing w:before="155" w:line="269" w:lineRule="auto"/>
        <w:rPr>
          <w:sz w:val="29"/>
          <w:szCs w:val="29"/>
        </w:rPr>
      </w:pPr>
      <w:r>
        <w:rPr>
          <w:sz w:val="29"/>
          <w:szCs w:val="29"/>
          <w:spacing w:val="6"/>
        </w:rPr>
        <w:t>(6)仔细检查水管结扎是否牢固，放气、放水、注油等螺塞是否旋紧，叶</w:t>
      </w:r>
      <w:r>
        <w:rPr>
          <w:sz w:val="29"/>
          <w:szCs w:val="29"/>
          <w:spacing w:val="1"/>
        </w:rPr>
        <w:t xml:space="preserve"> </w:t>
      </w:r>
      <w:r>
        <w:rPr>
          <w:sz w:val="29"/>
          <w:szCs w:val="29"/>
        </w:rPr>
        <w:t>轮和进水节无杂物。</w:t>
      </w:r>
    </w:p>
    <w:p>
      <w:pPr>
        <w:pStyle w:val="BodyText"/>
        <w:ind w:left="94"/>
        <w:spacing w:before="174" w:line="222"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启动</w:t>
      </w:r>
    </w:p>
    <w:p>
      <w:pPr>
        <w:pStyle w:val="BodyText"/>
        <w:ind w:left="94" w:right="166" w:firstLine="740"/>
        <w:spacing w:before="122" w:line="269" w:lineRule="auto"/>
        <w:rPr>
          <w:sz w:val="29"/>
          <w:szCs w:val="29"/>
        </w:rPr>
      </w:pPr>
      <w:r>
        <w:rPr>
          <w:sz w:val="29"/>
          <w:szCs w:val="29"/>
          <w:spacing w:val="7"/>
        </w:rPr>
        <w:t>(1)启动前对供电线路、开关施行各个方面检查，并在地面通电空转3—5</w:t>
      </w:r>
      <w:r>
        <w:rPr>
          <w:sz w:val="29"/>
          <w:szCs w:val="29"/>
          <w:spacing w:val="14"/>
        </w:rPr>
        <w:t xml:space="preserve"> </w:t>
      </w:r>
      <w:r>
        <w:rPr>
          <w:sz w:val="29"/>
          <w:szCs w:val="29"/>
          <w:spacing w:val="-1"/>
        </w:rPr>
        <w:t>分钟，若运行正常，再放入水中投入使用；</w:t>
      </w:r>
    </w:p>
    <w:p>
      <w:pPr>
        <w:pStyle w:val="BodyText"/>
        <w:ind w:left="94" w:right="221" w:firstLine="740"/>
        <w:spacing w:before="136" w:line="263" w:lineRule="auto"/>
        <w:rPr>
          <w:sz w:val="29"/>
          <w:szCs w:val="29"/>
        </w:rPr>
      </w:pPr>
      <w:r>
        <w:rPr>
          <w:sz w:val="29"/>
          <w:szCs w:val="29"/>
          <w:spacing w:val="6"/>
        </w:rPr>
        <w:t>(2)潜水泵宜先装在坚固的篮筐里再放入水中，亦可在水中将泵的四周设</w:t>
      </w:r>
      <w:r>
        <w:rPr>
          <w:sz w:val="29"/>
          <w:szCs w:val="29"/>
        </w:rPr>
        <w:t xml:space="preserve"> </w:t>
      </w:r>
      <w:r>
        <w:rPr>
          <w:sz w:val="29"/>
          <w:szCs w:val="29"/>
          <w:spacing w:val="-3"/>
        </w:rPr>
        <w:t>立坚固的防护围网；</w:t>
      </w:r>
    </w:p>
    <w:p>
      <w:pPr>
        <w:pStyle w:val="BodyText"/>
        <w:ind w:left="94" w:right="171" w:firstLine="740"/>
        <w:spacing w:before="164" w:line="262" w:lineRule="auto"/>
        <w:rPr>
          <w:sz w:val="29"/>
          <w:szCs w:val="29"/>
        </w:rPr>
      </w:pPr>
      <w:r>
        <w:rPr>
          <w:sz w:val="29"/>
          <w:szCs w:val="29"/>
          <w:spacing w:val="7"/>
        </w:rPr>
        <w:t>(3)潜水泵放入水中或提出水面时，应先切断电源，严禁拉拽电缆或出水</w:t>
      </w:r>
      <w:r>
        <w:rPr>
          <w:sz w:val="29"/>
          <w:szCs w:val="29"/>
          <w:spacing w:val="16"/>
        </w:rPr>
        <w:t xml:space="preserve"> </w:t>
      </w:r>
      <w:r>
        <w:rPr>
          <w:sz w:val="29"/>
          <w:szCs w:val="29"/>
          <w:spacing w:val="-10"/>
        </w:rPr>
        <w:t>管。</w:t>
      </w:r>
    </w:p>
    <w:p>
      <w:pPr>
        <w:pStyle w:val="BodyText"/>
        <w:ind w:left="94"/>
        <w:spacing w:before="53"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作业</w:t>
      </w:r>
    </w:p>
    <w:p>
      <w:pPr>
        <w:pStyle w:val="BodyText"/>
        <w:ind w:left="94" w:right="223" w:firstLine="740"/>
        <w:spacing w:before="167" w:line="266" w:lineRule="auto"/>
        <w:rPr>
          <w:sz w:val="29"/>
          <w:szCs w:val="29"/>
        </w:rPr>
      </w:pPr>
      <w:r>
        <w:rPr>
          <w:sz w:val="29"/>
          <w:szCs w:val="29"/>
          <w:spacing w:val="6"/>
        </w:rPr>
        <w:t>(1)泵应直立于水中，避免在含泥沙的水中使用，电缆不得与井壁</w:t>
      </w:r>
      <w:r>
        <w:rPr>
          <w:sz w:val="29"/>
          <w:szCs w:val="29"/>
          <w:spacing w:val="5"/>
        </w:rPr>
        <w:t>、池壁</w:t>
      </w:r>
      <w:r>
        <w:rPr>
          <w:sz w:val="29"/>
          <w:szCs w:val="29"/>
        </w:rPr>
        <w:t xml:space="preserve"> </w:t>
      </w:r>
      <w:r>
        <w:rPr>
          <w:sz w:val="29"/>
          <w:szCs w:val="29"/>
        </w:rPr>
        <w:t>相擦，若发觉漏电现象，应迅疾截断电源，检查处置；</w:t>
      </w:r>
    </w:p>
    <w:p>
      <w:pPr>
        <w:pStyle w:val="BodyText"/>
        <w:ind w:left="834"/>
        <w:spacing w:before="134" w:line="219" w:lineRule="auto"/>
        <w:rPr>
          <w:sz w:val="29"/>
          <w:szCs w:val="29"/>
        </w:rPr>
      </w:pPr>
      <w:r>
        <w:rPr>
          <w:sz w:val="29"/>
          <w:szCs w:val="29"/>
          <w:spacing w:val="3"/>
        </w:rPr>
        <w:t>(2)潜水泵不适宜过于频繁地开、停，停机后应间隔3—5分钟再起动；</w:t>
      </w:r>
    </w:p>
    <w:p>
      <w:pPr>
        <w:spacing w:line="219" w:lineRule="auto"/>
        <w:sectPr>
          <w:footerReference w:type="default" r:id="rId488"/>
          <w:pgSz w:w="14490" w:h="20470"/>
          <w:pgMar w:top="400" w:right="2055" w:bottom="1398" w:left="2045" w:header="0" w:footer="124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40"/>
        <w:spacing w:before="94" w:line="219" w:lineRule="auto"/>
        <w:rPr>
          <w:sz w:val="29"/>
          <w:szCs w:val="29"/>
        </w:rPr>
      </w:pPr>
      <w:r>
        <w:rPr>
          <w:sz w:val="29"/>
          <w:szCs w:val="29"/>
          <w:spacing w:val="6"/>
        </w:rPr>
        <w:t>(3)潜水泵不宜脱水运转，当池中水位降低时，应避免泵体露</w:t>
      </w:r>
      <w:r>
        <w:rPr>
          <w:sz w:val="29"/>
          <w:szCs w:val="29"/>
          <w:spacing w:val="5"/>
        </w:rPr>
        <w:t>出水面；</w:t>
      </w:r>
    </w:p>
    <w:p>
      <w:pPr>
        <w:pStyle w:val="BodyText"/>
        <w:ind w:right="390" w:firstLine="740"/>
        <w:spacing w:before="156" w:line="266" w:lineRule="auto"/>
        <w:rPr>
          <w:sz w:val="29"/>
          <w:szCs w:val="29"/>
        </w:rPr>
      </w:pPr>
      <w:r>
        <w:rPr>
          <w:sz w:val="29"/>
          <w:szCs w:val="29"/>
          <w:spacing w:val="4"/>
        </w:rPr>
        <w:t>(4)潜水泵每工作50小时后，应将其提出地面，对严密</w:t>
      </w:r>
      <w:r>
        <w:rPr>
          <w:sz w:val="29"/>
          <w:szCs w:val="29"/>
          <w:spacing w:val="3"/>
        </w:rPr>
        <w:t>封闭件施行检查，</w:t>
      </w:r>
      <w:r>
        <w:rPr>
          <w:sz w:val="29"/>
          <w:szCs w:val="29"/>
        </w:rPr>
        <w:t xml:space="preserve"> </w:t>
      </w:r>
      <w:r>
        <w:rPr>
          <w:sz w:val="29"/>
          <w:szCs w:val="29"/>
          <w:spacing w:val="-8"/>
        </w:rPr>
        <w:t>以保证运用安全；</w:t>
      </w:r>
    </w:p>
    <w:p>
      <w:pPr>
        <w:pStyle w:val="BodyText"/>
        <w:ind w:left="740"/>
        <w:spacing w:before="151" w:line="219" w:lineRule="auto"/>
        <w:rPr>
          <w:sz w:val="29"/>
          <w:szCs w:val="29"/>
        </w:rPr>
      </w:pPr>
      <w:r>
        <w:rPr>
          <w:sz w:val="29"/>
          <w:szCs w:val="29"/>
          <w:spacing w:val="6"/>
        </w:rPr>
        <w:t>(1)当水泵运转后显露出来叶轮倒转时，应迅即停机，检查线路。</w:t>
      </w:r>
    </w:p>
    <w:p>
      <w:pPr>
        <w:pStyle w:val="BodyText"/>
        <w:spacing w:before="7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保养</w:t>
      </w:r>
    </w:p>
    <w:p>
      <w:pPr>
        <w:pStyle w:val="BodyText"/>
        <w:ind w:firstLine="740"/>
        <w:spacing w:before="155" w:line="268" w:lineRule="auto"/>
        <w:rPr>
          <w:sz w:val="29"/>
          <w:szCs w:val="29"/>
        </w:rPr>
      </w:pPr>
      <w:r>
        <w:rPr>
          <w:sz w:val="29"/>
          <w:szCs w:val="29"/>
          <w:spacing w:val="-1"/>
        </w:rPr>
        <w:t>(1)</w:t>
      </w:r>
      <w:r>
        <w:rPr>
          <w:sz w:val="29"/>
          <w:szCs w:val="29"/>
          <w:spacing w:val="119"/>
        </w:rPr>
        <w:t xml:space="preserve"> </w:t>
      </w:r>
      <w:r>
        <w:rPr>
          <w:sz w:val="29"/>
          <w:szCs w:val="29"/>
          <w:spacing w:val="-1"/>
        </w:rPr>
        <w:t>工作一年时间后，应换新马达腔内的机油(一般为5号机油或10号机油，</w:t>
      </w:r>
      <w:r>
        <w:rPr>
          <w:sz w:val="29"/>
          <w:szCs w:val="29"/>
        </w:rPr>
        <w:t xml:space="preserve"> </w:t>
      </w:r>
      <w:r>
        <w:rPr>
          <w:sz w:val="29"/>
          <w:szCs w:val="29"/>
          <w:spacing w:val="-3"/>
        </w:rPr>
        <w:t>不同牌号的机油不可以混合运用);</w:t>
      </w:r>
    </w:p>
    <w:p>
      <w:pPr>
        <w:pStyle w:val="BodyText"/>
        <w:ind w:right="370" w:firstLine="740"/>
        <w:spacing w:before="157" w:line="266" w:lineRule="auto"/>
        <w:rPr>
          <w:sz w:val="29"/>
          <w:szCs w:val="29"/>
        </w:rPr>
      </w:pPr>
      <w:r>
        <w:rPr>
          <w:sz w:val="29"/>
          <w:szCs w:val="29"/>
          <w:spacing w:val="4"/>
        </w:rPr>
        <w:t>(2)新泵或新换密封圈，在使用50小时后，应旋开放水封口塞，检查水、</w:t>
      </w:r>
      <w:r>
        <w:rPr>
          <w:sz w:val="29"/>
          <w:szCs w:val="29"/>
          <w:spacing w:val="12"/>
        </w:rPr>
        <w:t xml:space="preserve"> </w:t>
      </w:r>
      <w:r>
        <w:rPr>
          <w:sz w:val="29"/>
          <w:szCs w:val="29"/>
          <w:spacing w:val="-3"/>
        </w:rPr>
        <w:t>油的泄露量，检查后应换上规定的润滑油；</w:t>
      </w:r>
    </w:p>
    <w:p>
      <w:pPr>
        <w:pStyle w:val="BodyText"/>
        <w:ind w:left="740"/>
        <w:spacing w:before="156" w:line="219" w:lineRule="auto"/>
        <w:rPr>
          <w:sz w:val="29"/>
          <w:szCs w:val="29"/>
        </w:rPr>
      </w:pPr>
      <w:r>
        <w:rPr>
          <w:sz w:val="29"/>
          <w:szCs w:val="29"/>
          <w:spacing w:val="6"/>
        </w:rPr>
        <w:t>(3)潜水泵每用一年，对锈蚀情况检查，并去掉铁锈，涂防锈漆；</w:t>
      </w:r>
    </w:p>
    <w:p>
      <w:pPr>
        <w:pStyle w:val="BodyText"/>
        <w:ind w:right="322" w:firstLine="740"/>
        <w:spacing w:before="114" w:line="270" w:lineRule="auto"/>
        <w:rPr>
          <w:sz w:val="29"/>
          <w:szCs w:val="29"/>
        </w:rPr>
      </w:pPr>
      <w:r>
        <w:rPr>
          <w:sz w:val="29"/>
          <w:szCs w:val="29"/>
          <w:spacing w:val="6"/>
        </w:rPr>
        <w:t>(4)潜水泵每使用两年，应施行各个方面检查，拆开全部的器件，施</w:t>
      </w:r>
      <w:r>
        <w:rPr>
          <w:sz w:val="29"/>
          <w:szCs w:val="29"/>
          <w:spacing w:val="5"/>
        </w:rPr>
        <w:t>行检</w:t>
      </w:r>
      <w:r>
        <w:rPr>
          <w:sz w:val="29"/>
          <w:szCs w:val="29"/>
        </w:rPr>
        <w:t xml:space="preserve"> </w:t>
      </w:r>
      <w:r>
        <w:rPr>
          <w:sz w:val="29"/>
          <w:szCs w:val="29"/>
          <w:spacing w:val="-1"/>
        </w:rPr>
        <w:t>查、清洗、润滑油后，从新装配；</w:t>
      </w:r>
    </w:p>
    <w:p>
      <w:pPr>
        <w:pStyle w:val="BodyText"/>
        <w:ind w:left="740"/>
        <w:spacing w:before="161" w:line="219" w:lineRule="auto"/>
        <w:rPr>
          <w:sz w:val="29"/>
          <w:szCs w:val="29"/>
        </w:rPr>
      </w:pPr>
      <w:r>
        <w:rPr>
          <w:sz w:val="29"/>
          <w:szCs w:val="29"/>
          <w:spacing w:val="6"/>
        </w:rPr>
        <w:t>(5)潜水泵长时期不用时，应将其提出水面，擦干水渍。</w:t>
      </w:r>
    </w:p>
    <w:p>
      <w:pPr>
        <w:spacing w:before="102" w:line="222" w:lineRule="auto"/>
        <w:rPr>
          <w:rFonts w:ascii="SimHei" w:hAnsi="SimHei" w:eastAsia="SimHei" w:cs="SimHei"/>
          <w:sz w:val="28"/>
          <w:szCs w:val="28"/>
        </w:rPr>
      </w:pPr>
      <w:r>
        <w:rPr>
          <w:rFonts w:ascii="SimHei" w:hAnsi="SimHei" w:eastAsia="SimHei" w:cs="SimHei"/>
          <w:sz w:val="28"/>
          <w:szCs w:val="28"/>
          <w:spacing w:val="12"/>
        </w:rPr>
        <w:t>5、</w:t>
      </w:r>
      <w:r>
        <w:rPr>
          <w:rFonts w:ascii="SimHei" w:hAnsi="SimHei" w:eastAsia="SimHei" w:cs="SimHei"/>
          <w:sz w:val="28"/>
          <w:szCs w:val="28"/>
          <w:b/>
          <w:bCs/>
          <w:spacing w:val="12"/>
        </w:rPr>
        <w:t>故障排除</w:t>
      </w:r>
    </w:p>
    <w:p>
      <w:pPr>
        <w:pStyle w:val="BodyText"/>
        <w:ind w:left="600"/>
        <w:spacing w:before="141" w:line="220" w:lineRule="auto"/>
        <w:rPr>
          <w:sz w:val="29"/>
          <w:szCs w:val="29"/>
        </w:rPr>
      </w:pPr>
      <w:r>
        <w:rPr>
          <w:sz w:val="29"/>
          <w:szCs w:val="29"/>
          <w:spacing w:val="21"/>
        </w:rPr>
        <w:t>1)无法启动</w:t>
      </w:r>
    </w:p>
    <w:p>
      <w:pPr>
        <w:pStyle w:val="BodyText"/>
        <w:ind w:right="322" w:firstLine="740"/>
        <w:spacing w:before="163" w:line="265" w:lineRule="auto"/>
        <w:rPr>
          <w:sz w:val="29"/>
          <w:szCs w:val="29"/>
        </w:rPr>
      </w:pPr>
      <w:r>
        <w:rPr>
          <w:sz w:val="29"/>
          <w:szCs w:val="29"/>
          <w:spacing w:val="-1"/>
        </w:rPr>
        <w:t>(1)</w:t>
      </w:r>
      <w:r>
        <w:rPr>
          <w:sz w:val="29"/>
          <w:szCs w:val="29"/>
          <w:spacing w:val="84"/>
        </w:rPr>
        <w:t xml:space="preserve"> </w:t>
      </w:r>
      <w:r>
        <w:rPr>
          <w:sz w:val="29"/>
          <w:szCs w:val="29"/>
          <w:spacing w:val="-1"/>
        </w:rPr>
        <w:t>原因：电源电压太低、电路某处断路、泵叶轮被异物卡住、电缆线断</w:t>
      </w:r>
      <w:r>
        <w:rPr>
          <w:sz w:val="29"/>
          <w:szCs w:val="29"/>
        </w:rPr>
        <w:t xml:space="preserve"> </w:t>
      </w:r>
      <w:r>
        <w:rPr>
          <w:sz w:val="29"/>
          <w:szCs w:val="29"/>
          <w:spacing w:val="1"/>
        </w:rPr>
        <w:t>开、电缆线插头毁坏、三相电缆线中有一相不通、马达烧</w:t>
      </w:r>
      <w:r>
        <w:rPr>
          <w:sz w:val="29"/>
          <w:szCs w:val="29"/>
        </w:rPr>
        <w:t>坏。</w:t>
      </w:r>
    </w:p>
    <w:p>
      <w:pPr>
        <w:pStyle w:val="BodyText"/>
        <w:ind w:right="322" w:firstLine="740"/>
        <w:spacing w:before="137" w:line="269" w:lineRule="auto"/>
        <w:rPr>
          <w:sz w:val="29"/>
          <w:szCs w:val="29"/>
        </w:rPr>
      </w:pPr>
      <w:r>
        <w:rPr>
          <w:sz w:val="29"/>
          <w:szCs w:val="29"/>
          <w:spacing w:val="6"/>
        </w:rPr>
        <w:t>(2)排除办法：查出断电端由，并除尽杂物，改用较粗的电缆，改易</w:t>
      </w:r>
      <w:r>
        <w:rPr>
          <w:sz w:val="29"/>
          <w:szCs w:val="29"/>
          <w:spacing w:val="5"/>
        </w:rPr>
        <w:t>新插</w:t>
      </w:r>
      <w:r>
        <w:rPr>
          <w:sz w:val="29"/>
          <w:szCs w:val="29"/>
        </w:rPr>
        <w:t xml:space="preserve"> </w:t>
      </w:r>
      <w:r>
        <w:rPr>
          <w:sz w:val="29"/>
          <w:szCs w:val="29"/>
          <w:spacing w:val="-1"/>
        </w:rPr>
        <w:t>头，检查开关出线头及电缆线，大修马达。</w:t>
      </w:r>
    </w:p>
    <w:p>
      <w:pPr>
        <w:pStyle w:val="BodyText"/>
        <w:ind w:left="600"/>
        <w:spacing w:before="156" w:line="219" w:lineRule="auto"/>
        <w:rPr>
          <w:sz w:val="29"/>
          <w:szCs w:val="29"/>
        </w:rPr>
      </w:pPr>
      <w:r>
        <w:rPr>
          <w:sz w:val="29"/>
          <w:szCs w:val="29"/>
          <w:spacing w:val="10"/>
        </w:rPr>
        <w:t>2)泵起动后不出水，出水少或间歇出水</w:t>
      </w:r>
    </w:p>
    <w:p>
      <w:pPr>
        <w:pStyle w:val="BodyText"/>
        <w:ind w:right="369" w:firstLine="740"/>
        <w:spacing w:before="146" w:line="259" w:lineRule="auto"/>
        <w:rPr>
          <w:sz w:val="29"/>
          <w:szCs w:val="29"/>
        </w:rPr>
      </w:pPr>
      <w:r>
        <w:rPr>
          <w:sz w:val="29"/>
          <w:szCs w:val="29"/>
          <w:spacing w:val="4"/>
        </w:rPr>
        <w:t>(1)原因：马达无法起动、管路拥塞、管路出现裂缝、吸水口露出水面；</w:t>
      </w:r>
      <w:r>
        <w:rPr>
          <w:sz w:val="29"/>
          <w:szCs w:val="29"/>
          <w:spacing w:val="17"/>
        </w:rPr>
        <w:t xml:space="preserve"> </w:t>
      </w:r>
      <w:r>
        <w:rPr>
          <w:sz w:val="29"/>
          <w:szCs w:val="29"/>
        </w:rPr>
        <w:t>叶轮毁坏或反转；扬程超过潜水泵扬程定额值过多。</w:t>
      </w:r>
    </w:p>
    <w:p>
      <w:pPr>
        <w:pStyle w:val="BodyText"/>
        <w:ind w:right="320" w:firstLine="740"/>
        <w:spacing w:before="176" w:line="259" w:lineRule="auto"/>
        <w:rPr>
          <w:sz w:val="29"/>
          <w:szCs w:val="29"/>
        </w:rPr>
      </w:pPr>
      <w:r>
        <w:rPr>
          <w:sz w:val="29"/>
          <w:szCs w:val="29"/>
          <w:spacing w:val="6"/>
        </w:rPr>
        <w:t>(2)排除办法：排除电路故障、除尽拥塞物、补焊或换管、重新安装、掉</w:t>
      </w:r>
      <w:r>
        <w:rPr>
          <w:sz w:val="29"/>
          <w:szCs w:val="29"/>
        </w:rPr>
        <w:t xml:space="preserve"> </w:t>
      </w:r>
      <w:r>
        <w:rPr>
          <w:sz w:val="29"/>
          <w:szCs w:val="29"/>
          <w:spacing w:val="-1"/>
        </w:rPr>
        <w:t>换电源线接线位置、更换新件。</w:t>
      </w:r>
    </w:p>
    <w:p>
      <w:pPr>
        <w:pStyle w:val="BodyText"/>
        <w:ind w:left="600"/>
        <w:spacing w:before="156" w:line="219" w:lineRule="auto"/>
        <w:rPr>
          <w:sz w:val="29"/>
          <w:szCs w:val="29"/>
        </w:rPr>
      </w:pPr>
      <w:r>
        <w:rPr>
          <w:sz w:val="29"/>
          <w:szCs w:val="29"/>
          <w:spacing w:val="13"/>
        </w:rPr>
        <w:t>3)马达无法起动并伴有声音</w:t>
      </w:r>
    </w:p>
    <w:p>
      <w:pPr>
        <w:pStyle w:val="BodyText"/>
        <w:ind w:left="740"/>
        <w:spacing w:before="144" w:line="219" w:lineRule="auto"/>
        <w:rPr>
          <w:sz w:val="29"/>
          <w:szCs w:val="29"/>
        </w:rPr>
      </w:pPr>
      <w:r>
        <w:rPr>
          <w:sz w:val="29"/>
          <w:szCs w:val="29"/>
          <w:spacing w:val="7"/>
        </w:rPr>
        <w:t>(1)原因：一相断路、轴承抱轴、叶轮内有异物与泵体卡死。</w:t>
      </w:r>
    </w:p>
    <w:p>
      <w:pPr>
        <w:pStyle w:val="BodyText"/>
        <w:ind w:left="740"/>
        <w:spacing w:before="126" w:line="219" w:lineRule="auto"/>
        <w:rPr>
          <w:sz w:val="29"/>
          <w:szCs w:val="29"/>
        </w:rPr>
      </w:pPr>
      <w:r>
        <w:rPr>
          <w:sz w:val="29"/>
          <w:szCs w:val="29"/>
          <w:spacing w:val="8"/>
        </w:rPr>
        <w:t>(2)排除办法：修复线路、修复或更换轴承、除尽异物。</w:t>
      </w:r>
    </w:p>
    <w:p>
      <w:pPr>
        <w:pStyle w:val="BodyText"/>
        <w:ind w:left="600"/>
        <w:spacing w:before="148" w:line="219" w:lineRule="auto"/>
        <w:rPr>
          <w:sz w:val="29"/>
          <w:szCs w:val="29"/>
        </w:rPr>
      </w:pPr>
      <w:r>
        <w:rPr>
          <w:sz w:val="29"/>
          <w:szCs w:val="29"/>
          <w:spacing w:val="12"/>
        </w:rPr>
        <w:t>4)泵出水忽然中断，马达停转</w:t>
      </w:r>
    </w:p>
    <w:p>
      <w:pPr>
        <w:pStyle w:val="BodyText"/>
        <w:ind w:right="322" w:firstLine="740"/>
        <w:spacing w:before="156" w:line="268" w:lineRule="auto"/>
        <w:rPr>
          <w:sz w:val="29"/>
          <w:szCs w:val="29"/>
        </w:rPr>
      </w:pPr>
      <w:r>
        <w:rPr>
          <w:sz w:val="29"/>
          <w:szCs w:val="29"/>
          <w:spacing w:val="-1"/>
        </w:rPr>
        <w:t>(1)</w:t>
      </w:r>
      <w:r>
        <w:rPr>
          <w:sz w:val="29"/>
          <w:szCs w:val="29"/>
          <w:spacing w:val="84"/>
        </w:rPr>
        <w:t xml:space="preserve"> </w:t>
      </w:r>
      <w:r>
        <w:rPr>
          <w:sz w:val="29"/>
          <w:szCs w:val="29"/>
          <w:spacing w:val="-1"/>
        </w:rPr>
        <w:t>原因：空气开关跳开或断电丝烧断，电源断电，定子绕组烧坏，叶轮</w:t>
      </w:r>
      <w:r>
        <w:rPr>
          <w:sz w:val="29"/>
          <w:szCs w:val="29"/>
        </w:rPr>
        <w:t xml:space="preserve"> </w:t>
      </w:r>
      <w:r>
        <w:rPr>
          <w:sz w:val="29"/>
          <w:szCs w:val="29"/>
        </w:rPr>
        <w:t>卡死，湿式潜水泵电机内缺水，充油式湿式潜水泵电机内缺油。</w:t>
      </w:r>
    </w:p>
    <w:p>
      <w:pPr>
        <w:pStyle w:val="BodyText"/>
        <w:ind w:left="740"/>
        <w:spacing w:before="156" w:line="219" w:lineRule="auto"/>
        <w:rPr>
          <w:sz w:val="29"/>
          <w:szCs w:val="29"/>
        </w:rPr>
      </w:pPr>
      <w:r>
        <w:rPr>
          <w:sz w:val="29"/>
          <w:szCs w:val="29"/>
          <w:spacing w:val="6"/>
        </w:rPr>
        <w:t>(2)排除办法：检查线路故障，检查断电端由，去除杂物，修理</w:t>
      </w:r>
      <w:r>
        <w:rPr>
          <w:sz w:val="29"/>
          <w:szCs w:val="29"/>
          <w:spacing w:val="5"/>
        </w:rPr>
        <w:t>电机。</w:t>
      </w:r>
    </w:p>
    <w:p>
      <w:pPr>
        <w:pStyle w:val="BodyText"/>
        <w:ind w:left="600"/>
        <w:spacing w:before="148" w:line="219" w:lineRule="auto"/>
        <w:rPr>
          <w:sz w:val="29"/>
          <w:szCs w:val="29"/>
        </w:rPr>
      </w:pPr>
      <w:r>
        <w:rPr>
          <w:sz w:val="29"/>
          <w:szCs w:val="29"/>
          <w:spacing w:val="12"/>
        </w:rPr>
        <w:t>5)电流过大，安培表指针来回摇动</w:t>
      </w:r>
    </w:p>
    <w:p>
      <w:pPr>
        <w:pStyle w:val="BodyText"/>
        <w:ind w:left="740"/>
        <w:spacing w:before="134" w:line="219" w:lineRule="auto"/>
        <w:rPr>
          <w:sz w:val="29"/>
          <w:szCs w:val="29"/>
        </w:rPr>
      </w:pPr>
      <w:r>
        <w:rPr>
          <w:sz w:val="29"/>
          <w:szCs w:val="29"/>
          <w:spacing w:val="7"/>
        </w:rPr>
        <w:t>(1)原因：轴屈曲，叶轮漫过深度不够，叶轮压紧螺丝松弛。</w:t>
      </w:r>
    </w:p>
    <w:p>
      <w:pPr>
        <w:pStyle w:val="BodyText"/>
        <w:ind w:left="740"/>
        <w:spacing w:before="156" w:line="219" w:lineRule="auto"/>
        <w:rPr>
          <w:sz w:val="29"/>
          <w:szCs w:val="29"/>
        </w:rPr>
      </w:pPr>
      <w:r>
        <w:rPr>
          <w:sz w:val="29"/>
          <w:szCs w:val="29"/>
          <w:spacing w:val="6"/>
        </w:rPr>
        <w:t>(2)排除办法：更换或修理轴承，送厂修理，调试油门儿，紧固螺丝帽。</w:t>
      </w:r>
    </w:p>
    <w:p>
      <w:pPr>
        <w:spacing w:line="219" w:lineRule="auto"/>
        <w:sectPr>
          <w:footerReference w:type="default" r:id="rId489"/>
          <w:pgSz w:w="14490" w:h="20470"/>
          <w:pgMar w:top="400" w:right="1955" w:bottom="1423" w:left="2140" w:header="0" w:footer="1224"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600"/>
        <w:spacing w:before="94" w:line="219" w:lineRule="auto"/>
        <w:rPr>
          <w:sz w:val="29"/>
          <w:szCs w:val="29"/>
        </w:rPr>
      </w:pPr>
      <w:bookmarkStart w:name="bookmark116" w:id="88"/>
      <w:bookmarkEnd w:id="88"/>
      <w:r>
        <w:rPr>
          <w:sz w:val="29"/>
          <w:szCs w:val="29"/>
          <w:spacing w:val="15"/>
        </w:rPr>
        <w:t>6)机组运行时猛烈振荡</w:t>
      </w:r>
    </w:p>
    <w:p>
      <w:pPr>
        <w:pStyle w:val="BodyText"/>
        <w:ind w:left="740"/>
        <w:spacing w:before="156" w:line="219" w:lineRule="auto"/>
        <w:rPr>
          <w:sz w:val="29"/>
          <w:szCs w:val="29"/>
        </w:rPr>
      </w:pPr>
      <w:r>
        <w:rPr>
          <w:sz w:val="29"/>
          <w:szCs w:val="29"/>
          <w:spacing w:val="7"/>
        </w:rPr>
        <w:t>(1)原因：马达转子不平衡、水泵叶轮不</w:t>
      </w:r>
      <w:r>
        <w:rPr>
          <w:sz w:val="29"/>
          <w:szCs w:val="29"/>
          <w:spacing w:val="6"/>
        </w:rPr>
        <w:t>平衡、马达或泵轴弯曲。</w:t>
      </w:r>
    </w:p>
    <w:p>
      <w:pPr>
        <w:pStyle w:val="BodyText"/>
        <w:ind w:left="740"/>
        <w:spacing w:before="146" w:line="219" w:lineRule="auto"/>
        <w:rPr>
          <w:sz w:val="29"/>
          <w:szCs w:val="29"/>
        </w:rPr>
      </w:pPr>
      <w:r>
        <w:rPr>
          <w:sz w:val="29"/>
          <w:szCs w:val="29"/>
          <w:spacing w:val="7"/>
        </w:rPr>
        <w:t>(2)排除办法：更换马达转子、水泵叶轮或泵轴。</w:t>
      </w:r>
    </w:p>
    <w:p>
      <w:pPr>
        <w:spacing w:before="298" w:line="223" w:lineRule="auto"/>
        <w:outlineLvl w:val="1"/>
        <w:rPr>
          <w:rFonts w:ascii="SimHei" w:hAnsi="SimHei" w:eastAsia="SimHei" w:cs="SimHei"/>
          <w:sz w:val="29"/>
          <w:szCs w:val="29"/>
        </w:rPr>
      </w:pPr>
      <w:bookmarkStart w:name="bookmark51" w:id="89"/>
      <w:bookmarkEnd w:id="89"/>
      <w:r>
        <w:rPr>
          <w:rFonts w:ascii="SimHei" w:hAnsi="SimHei" w:eastAsia="SimHei" w:cs="SimHei"/>
          <w:sz w:val="29"/>
          <w:szCs w:val="29"/>
          <w:spacing w:val="-13"/>
        </w:rPr>
        <w:t>四</w:t>
      </w:r>
      <w:r>
        <w:rPr>
          <w:rFonts w:ascii="SimHei" w:hAnsi="SimHei" w:eastAsia="SimHei" w:cs="SimHei"/>
          <w:sz w:val="29"/>
          <w:szCs w:val="29"/>
          <w:spacing w:val="-71"/>
        </w:rPr>
        <w:t xml:space="preserve"> </w:t>
      </w:r>
      <w:r>
        <w:rPr>
          <w:rFonts w:ascii="SimHei" w:hAnsi="SimHei" w:eastAsia="SimHei" w:cs="SimHei"/>
          <w:sz w:val="29"/>
          <w:szCs w:val="29"/>
          <w:spacing w:val="-13"/>
        </w:rPr>
        <w:t>、割草机</w:t>
      </w:r>
    </w:p>
    <w:p>
      <w:pPr>
        <w:pStyle w:val="BodyText"/>
        <w:ind w:right="174" w:firstLine="600"/>
        <w:spacing w:before="146" w:line="314" w:lineRule="auto"/>
        <w:rPr>
          <w:sz w:val="29"/>
          <w:szCs w:val="29"/>
        </w:rPr>
      </w:pPr>
      <w:r>
        <w:rPr>
          <w:sz w:val="29"/>
          <w:szCs w:val="29"/>
          <w:spacing w:val="-21"/>
        </w:rPr>
        <w:t>割草机又称除草机、剪草机、草坪修剪机，可</w:t>
      </w:r>
      <w:r>
        <w:rPr>
          <w:sz w:val="29"/>
          <w:szCs w:val="29"/>
          <w:spacing w:val="-22"/>
        </w:rPr>
        <w:t>用于修剪草坪、植被，由刀盘、发</w:t>
      </w:r>
      <w:r>
        <w:rPr>
          <w:sz w:val="29"/>
          <w:szCs w:val="29"/>
        </w:rPr>
        <w:t xml:space="preserve"> </w:t>
      </w:r>
      <w:r>
        <w:rPr>
          <w:sz w:val="29"/>
          <w:szCs w:val="29"/>
          <w:spacing w:val="1"/>
        </w:rPr>
        <w:t>动机、行走轮、行走机构、刀片、扶手、控制部分组成。</w:t>
      </w:r>
    </w:p>
    <w:p>
      <w:pPr>
        <w:spacing w:line="262" w:lineRule="auto"/>
        <w:rPr>
          <w:rFonts w:ascii="Arial"/>
          <w:sz w:val="21"/>
        </w:rPr>
      </w:pPr>
      <w:r/>
    </w:p>
    <w:p>
      <w:pPr>
        <w:ind w:firstLine="1689"/>
        <w:spacing w:line="3080" w:lineRule="exact"/>
        <w:rPr/>
      </w:pPr>
      <w:r>
        <w:rPr>
          <w:position w:val="-61"/>
        </w:rPr>
        <w:drawing>
          <wp:inline distT="0" distB="0" distL="0" distR="0">
            <wp:extent cx="4381496" cy="1955876"/>
            <wp:effectExtent l="0" t="0" r="0" b="0"/>
            <wp:docPr id="692" name="IM 692"/>
            <wp:cNvGraphicFramePr/>
            <a:graphic>
              <a:graphicData uri="http://schemas.openxmlformats.org/drawingml/2006/picture">
                <pic:pic>
                  <pic:nvPicPr>
                    <pic:cNvPr id="692" name="IM 692"/>
                    <pic:cNvPicPr/>
                  </pic:nvPicPr>
                  <pic:blipFill>
                    <a:blip r:embed="rId491"/>
                    <a:stretch>
                      <a:fillRect/>
                    </a:stretch>
                  </pic:blipFill>
                  <pic:spPr>
                    <a:xfrm rot="0">
                      <a:off x="0" y="0"/>
                      <a:ext cx="4381496" cy="1955876"/>
                    </a:xfrm>
                    <a:prstGeom prst="rect">
                      <a:avLst/>
                    </a:prstGeom>
                  </pic:spPr>
                </pic:pic>
              </a:graphicData>
            </a:graphic>
          </wp:inline>
        </w:drawing>
      </w:r>
    </w:p>
    <w:p>
      <w:pPr>
        <w:pStyle w:val="BodyText"/>
        <w:ind w:left="4249"/>
        <w:spacing w:before="298" w:line="219" w:lineRule="auto"/>
        <w:rPr>
          <w:sz w:val="24"/>
          <w:szCs w:val="24"/>
        </w:rPr>
      </w:pPr>
      <w:r>
        <w:rPr>
          <w:sz w:val="24"/>
          <w:szCs w:val="24"/>
          <w:spacing w:val="3"/>
        </w:rPr>
        <w:t>图7-4-1草坪修剪机</w:t>
      </w:r>
    </w:p>
    <w:p>
      <w:pPr>
        <w:pStyle w:val="BodyText"/>
        <w:spacing w:before="150" w:line="223"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准备</w:t>
      </w:r>
    </w:p>
    <w:p>
      <w:pPr>
        <w:pStyle w:val="BodyText"/>
        <w:ind w:right="106" w:firstLine="740"/>
        <w:spacing w:before="217" w:line="266" w:lineRule="auto"/>
        <w:rPr>
          <w:sz w:val="29"/>
          <w:szCs w:val="29"/>
        </w:rPr>
      </w:pPr>
      <w:r>
        <w:rPr>
          <w:sz w:val="29"/>
          <w:szCs w:val="29"/>
          <w:spacing w:val="-1"/>
        </w:rPr>
        <w:t>(1)</w:t>
      </w:r>
      <w:r>
        <w:rPr>
          <w:sz w:val="29"/>
          <w:szCs w:val="29"/>
          <w:spacing w:val="82"/>
        </w:rPr>
        <w:t xml:space="preserve"> </w:t>
      </w:r>
      <w:r>
        <w:rPr>
          <w:sz w:val="29"/>
          <w:szCs w:val="29"/>
          <w:spacing w:val="-1"/>
        </w:rPr>
        <w:t>调试草坪机，将集草袋从设备上拿开，折叠把手锁紧，检查停机装置</w:t>
      </w:r>
      <w:r>
        <w:rPr>
          <w:sz w:val="29"/>
          <w:szCs w:val="29"/>
        </w:rPr>
        <w:t xml:space="preserve"> </w:t>
      </w:r>
      <w:r>
        <w:rPr>
          <w:sz w:val="29"/>
          <w:szCs w:val="29"/>
        </w:rPr>
        <w:t>是否可靠，带有离合器或紧急制动的设备应使离合处于分离状态；</w:t>
      </w:r>
    </w:p>
    <w:p>
      <w:pPr>
        <w:pStyle w:val="BodyText"/>
        <w:ind w:right="98" w:firstLine="740"/>
        <w:spacing w:before="126" w:line="275" w:lineRule="auto"/>
        <w:rPr>
          <w:sz w:val="29"/>
          <w:szCs w:val="29"/>
        </w:rPr>
      </w:pPr>
      <w:r>
        <w:rPr>
          <w:sz w:val="29"/>
          <w:szCs w:val="29"/>
          <w:spacing w:val="6"/>
        </w:rPr>
        <w:t>(2)拣掉石头、树枝、电线、骨头和其他异物，规划好修剪路线，防止异</w:t>
      </w:r>
      <w:r>
        <w:rPr>
          <w:sz w:val="29"/>
          <w:szCs w:val="29"/>
          <w:spacing w:val="4"/>
        </w:rPr>
        <w:t xml:space="preserve"> </w:t>
      </w:r>
      <w:r>
        <w:rPr>
          <w:sz w:val="29"/>
          <w:szCs w:val="29"/>
        </w:rPr>
        <w:t>物伤人或草屑向道路处排出；</w:t>
      </w:r>
    </w:p>
    <w:p>
      <w:pPr>
        <w:pStyle w:val="BodyText"/>
        <w:ind w:left="740"/>
        <w:spacing w:before="134" w:line="219" w:lineRule="auto"/>
        <w:rPr>
          <w:sz w:val="29"/>
          <w:szCs w:val="29"/>
        </w:rPr>
      </w:pPr>
      <w:r>
        <w:rPr>
          <w:sz w:val="29"/>
          <w:szCs w:val="29"/>
          <w:spacing w:val="8"/>
        </w:rPr>
        <w:t>(3)在防护罩、挡板和其他保护装备安装好</w:t>
      </w:r>
      <w:r>
        <w:rPr>
          <w:sz w:val="29"/>
          <w:szCs w:val="29"/>
          <w:spacing w:val="7"/>
        </w:rPr>
        <w:t>前，不许开机。</w:t>
      </w:r>
    </w:p>
    <w:p>
      <w:pPr>
        <w:pStyle w:val="BodyText"/>
        <w:spacing w:before="96" w:line="222" w:lineRule="auto"/>
        <w:rPr>
          <w:rFonts w:ascii="SimHei" w:hAnsi="SimHei" w:eastAsia="SimHei" w:cs="SimHei"/>
          <w:sz w:val="29"/>
          <w:szCs w:val="29"/>
        </w:rPr>
      </w:pPr>
      <w:r>
        <w:rPr>
          <w:rFonts w:ascii="Arial" w:hAnsi="Arial" w:eastAsia="Arial" w:cs="Arial"/>
          <w:sz w:val="29"/>
          <w:szCs w:val="29"/>
          <w:spacing w:val="1"/>
        </w:rPr>
        <w:t>2</w:t>
      </w:r>
      <w:r>
        <w:rPr>
          <w:sz w:val="29"/>
          <w:szCs w:val="29"/>
          <w:spacing w:val="1"/>
        </w:rPr>
        <w:t>、</w:t>
      </w:r>
      <w:r>
        <w:rPr>
          <w:rFonts w:ascii="SimHei" w:hAnsi="SimHei" w:eastAsia="SimHei" w:cs="SimHei"/>
          <w:sz w:val="29"/>
          <w:szCs w:val="29"/>
          <w:spacing w:val="1"/>
        </w:rPr>
        <w:t>启动</w:t>
      </w:r>
    </w:p>
    <w:p>
      <w:pPr>
        <w:pStyle w:val="BodyText"/>
        <w:ind w:left="740"/>
        <w:spacing w:before="241" w:line="219" w:lineRule="auto"/>
        <w:rPr>
          <w:sz w:val="29"/>
          <w:szCs w:val="29"/>
        </w:rPr>
      </w:pPr>
      <w:r>
        <w:rPr>
          <w:sz w:val="29"/>
          <w:szCs w:val="29"/>
          <w:spacing w:val="6"/>
        </w:rPr>
        <w:t>(1)将油门朝前扳到底，按压油帽，压下刀片控制</w:t>
      </w:r>
      <w:r>
        <w:rPr>
          <w:sz w:val="29"/>
          <w:szCs w:val="29"/>
          <w:spacing w:val="5"/>
        </w:rPr>
        <w:t>手柄，将上扶手握紧；</w:t>
      </w:r>
    </w:p>
    <w:p>
      <w:pPr>
        <w:pStyle w:val="BodyText"/>
        <w:ind w:right="84" w:firstLine="740"/>
        <w:spacing w:before="128" w:line="272" w:lineRule="auto"/>
        <w:rPr>
          <w:sz w:val="29"/>
          <w:szCs w:val="29"/>
        </w:rPr>
      </w:pPr>
      <w:r>
        <w:rPr>
          <w:sz w:val="29"/>
          <w:szCs w:val="29"/>
          <w:spacing w:val="6"/>
        </w:rPr>
        <w:t>(2)握紧动绳手柄，缓慢拉出绳子至汽油机的压缩行程开始点，将绳子回</w:t>
      </w:r>
      <w:r>
        <w:rPr>
          <w:sz w:val="29"/>
          <w:szCs w:val="29"/>
          <w:spacing w:val="17"/>
        </w:rPr>
        <w:t xml:space="preserve"> </w:t>
      </w:r>
      <w:r>
        <w:rPr>
          <w:sz w:val="29"/>
          <w:szCs w:val="29"/>
          <w:spacing w:val="1"/>
        </w:rPr>
        <w:t>放少许，快速、连续拉动起动绳，启动轻轻地将起动</w:t>
      </w:r>
      <w:r>
        <w:rPr>
          <w:sz w:val="29"/>
          <w:szCs w:val="29"/>
        </w:rPr>
        <w:t>手柄放回止挡圈；</w:t>
      </w:r>
    </w:p>
    <w:p>
      <w:pPr>
        <w:pStyle w:val="BodyText"/>
        <w:ind w:left="740"/>
        <w:spacing w:before="144" w:line="219" w:lineRule="auto"/>
        <w:rPr>
          <w:sz w:val="29"/>
          <w:szCs w:val="29"/>
        </w:rPr>
      </w:pPr>
      <w:r>
        <w:rPr>
          <w:sz w:val="29"/>
          <w:szCs w:val="29"/>
          <w:spacing w:val="6"/>
        </w:rPr>
        <w:t>(3)汽油机启动后，油门扳手可以扳到所需的位置进行工作；</w:t>
      </w:r>
    </w:p>
    <w:p>
      <w:pPr>
        <w:pStyle w:val="BodyText"/>
        <w:ind w:right="321" w:firstLine="740"/>
        <w:spacing w:before="147" w:line="265" w:lineRule="auto"/>
        <w:rPr>
          <w:sz w:val="29"/>
          <w:szCs w:val="29"/>
        </w:rPr>
      </w:pPr>
      <w:r>
        <w:rPr>
          <w:sz w:val="29"/>
          <w:szCs w:val="29"/>
          <w:spacing w:val="-9"/>
        </w:rPr>
        <w:t>(4)离合空档调试：松开离合时，前后推动割草机，活动自如；</w:t>
      </w:r>
      <w:r>
        <w:rPr>
          <w:sz w:val="29"/>
          <w:szCs w:val="29"/>
          <w:spacing w:val="-10"/>
        </w:rPr>
        <w:t>压下离合，</w:t>
      </w:r>
      <w:r>
        <w:rPr>
          <w:sz w:val="29"/>
          <w:szCs w:val="29"/>
        </w:rPr>
        <w:t xml:space="preserve"> </w:t>
      </w:r>
      <w:r>
        <w:rPr>
          <w:sz w:val="29"/>
          <w:szCs w:val="29"/>
          <w:spacing w:val="-5"/>
        </w:rPr>
        <w:t>朝后拖动，割草机后轮应咬死。</w:t>
      </w:r>
    </w:p>
    <w:p>
      <w:pPr>
        <w:pStyle w:val="BodyText"/>
        <w:spacing w:before="145" w:line="395" w:lineRule="exact"/>
        <w:rPr>
          <w:rFonts w:ascii="SimHei" w:hAnsi="SimHei" w:eastAsia="SimHei" w:cs="SimHei"/>
          <w:sz w:val="29"/>
          <w:szCs w:val="29"/>
        </w:rPr>
      </w:pPr>
      <w:r>
        <w:rPr>
          <w:rFonts w:ascii="Arial" w:hAnsi="Arial" w:eastAsia="Arial" w:cs="Arial"/>
          <w:sz w:val="29"/>
          <w:szCs w:val="29"/>
          <w:spacing w:val="8"/>
          <w:position w:val="1"/>
        </w:rPr>
        <w:t>3</w:t>
      </w:r>
      <w:r>
        <w:rPr>
          <w:sz w:val="29"/>
          <w:szCs w:val="29"/>
          <w:spacing w:val="8"/>
          <w:position w:val="1"/>
        </w:rPr>
        <w:t>、</w:t>
      </w:r>
      <w:r>
        <w:rPr>
          <w:rFonts w:ascii="SimHei" w:hAnsi="SimHei" w:eastAsia="SimHei" w:cs="SimHei"/>
          <w:sz w:val="29"/>
          <w:szCs w:val="29"/>
          <w:spacing w:val="8"/>
          <w:position w:val="1"/>
        </w:rPr>
        <w:t>作业</w:t>
      </w:r>
    </w:p>
    <w:p>
      <w:pPr>
        <w:pStyle w:val="BodyText"/>
        <w:ind w:left="600"/>
        <w:spacing w:before="198" w:line="219" w:lineRule="auto"/>
        <w:rPr>
          <w:sz w:val="29"/>
          <w:szCs w:val="29"/>
        </w:rPr>
      </w:pPr>
      <w:r>
        <w:rPr>
          <w:sz w:val="29"/>
          <w:szCs w:val="29"/>
          <w:spacing w:val="35"/>
        </w:rPr>
        <w:t>1)剪草</w:t>
      </w:r>
    </w:p>
    <w:p>
      <w:pPr>
        <w:pStyle w:val="BodyText"/>
        <w:ind w:right="103" w:firstLine="740"/>
        <w:spacing w:before="106" w:line="272" w:lineRule="auto"/>
        <w:rPr>
          <w:sz w:val="29"/>
          <w:szCs w:val="29"/>
        </w:rPr>
      </w:pPr>
      <w:r>
        <w:rPr>
          <w:sz w:val="29"/>
          <w:szCs w:val="29"/>
          <w:spacing w:val="-1"/>
        </w:rPr>
        <w:t>(1)</w:t>
      </w:r>
      <w:r>
        <w:rPr>
          <w:sz w:val="29"/>
          <w:szCs w:val="29"/>
          <w:spacing w:val="84"/>
        </w:rPr>
        <w:t xml:space="preserve"> </w:t>
      </w:r>
      <w:r>
        <w:rPr>
          <w:sz w:val="29"/>
          <w:szCs w:val="29"/>
          <w:spacing w:val="-1"/>
        </w:rPr>
        <w:t>坡地剪草不许拖着割草机剪草，只能横向修剪，原则上不允许顺坡上</w:t>
      </w:r>
      <w:r>
        <w:rPr>
          <w:sz w:val="29"/>
          <w:szCs w:val="29"/>
        </w:rPr>
        <w:t xml:space="preserve"> </w:t>
      </w:r>
      <w:r>
        <w:rPr>
          <w:sz w:val="29"/>
          <w:szCs w:val="29"/>
          <w:spacing w:val="1"/>
        </w:rPr>
        <w:t>下修剪，避免草皮露白茬，若作业场地确实狭窄，则</w:t>
      </w:r>
      <w:r>
        <w:rPr>
          <w:sz w:val="29"/>
          <w:szCs w:val="29"/>
        </w:rPr>
        <w:t>小心顺坡修剪；</w:t>
      </w:r>
    </w:p>
    <w:p>
      <w:pPr>
        <w:pStyle w:val="BodyText"/>
        <w:ind w:left="740"/>
        <w:spacing w:before="156" w:line="219" w:lineRule="auto"/>
        <w:rPr>
          <w:sz w:val="29"/>
          <w:szCs w:val="29"/>
        </w:rPr>
      </w:pPr>
      <w:r>
        <w:rPr>
          <w:sz w:val="29"/>
          <w:szCs w:val="29"/>
          <w:spacing w:val="-2"/>
        </w:rPr>
        <w:t>(2)在坡地或凹凸不平的草坪上作业时，应适当降低行驶速度，以防意外。</w:t>
      </w:r>
    </w:p>
    <w:p>
      <w:pPr>
        <w:pStyle w:val="BodyText"/>
        <w:ind w:left="600"/>
        <w:spacing w:before="136" w:line="219" w:lineRule="auto"/>
        <w:rPr>
          <w:sz w:val="29"/>
          <w:szCs w:val="29"/>
        </w:rPr>
      </w:pPr>
      <w:r>
        <w:rPr>
          <w:sz w:val="29"/>
          <w:szCs w:val="29"/>
          <w:spacing w:val="26"/>
        </w:rPr>
        <w:t>2)草屑收集</w:t>
      </w:r>
    </w:p>
    <w:p>
      <w:pPr>
        <w:spacing w:line="219" w:lineRule="auto"/>
        <w:sectPr>
          <w:footerReference w:type="default" r:id="rId490"/>
          <w:pgSz w:w="14490" w:h="20470"/>
          <w:pgMar w:top="400" w:right="2173" w:bottom="1395" w:left="2140" w:header="0" w:footer="1233"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40"/>
        <w:spacing w:before="94" w:line="219" w:lineRule="auto"/>
        <w:rPr>
          <w:sz w:val="29"/>
          <w:szCs w:val="29"/>
        </w:rPr>
      </w:pPr>
      <w:r>
        <w:rPr>
          <w:sz w:val="29"/>
          <w:szCs w:val="29"/>
          <w:spacing w:val="6"/>
        </w:rPr>
        <w:t>(1)将紧固碎草挡板或侧管的翼形螺母拧下，取下碎草嵌块或者侧排管；</w:t>
      </w:r>
    </w:p>
    <w:p>
      <w:pPr>
        <w:pStyle w:val="BodyText"/>
        <w:ind w:left="740"/>
        <w:spacing w:before="158" w:line="219" w:lineRule="auto"/>
        <w:rPr>
          <w:sz w:val="29"/>
          <w:szCs w:val="29"/>
        </w:rPr>
      </w:pPr>
      <w:r>
        <w:rPr>
          <w:sz w:val="29"/>
          <w:szCs w:val="29"/>
          <w:spacing w:val="9"/>
        </w:rPr>
        <w:t>(2)放上集草袋适配管，用翼形螺母拧紧。</w:t>
      </w:r>
    </w:p>
    <w:p>
      <w:pPr>
        <w:pStyle w:val="BodyText"/>
        <w:ind w:left="600"/>
        <w:spacing w:before="144" w:line="219" w:lineRule="auto"/>
        <w:rPr>
          <w:sz w:val="29"/>
          <w:szCs w:val="29"/>
        </w:rPr>
      </w:pPr>
      <w:r>
        <w:rPr>
          <w:sz w:val="29"/>
          <w:szCs w:val="29"/>
          <w:spacing w:val="19"/>
        </w:rPr>
        <w:t>3)发动机注意事项</w:t>
      </w:r>
    </w:p>
    <w:p>
      <w:pPr>
        <w:pStyle w:val="BodyText"/>
        <w:ind w:left="740"/>
        <w:spacing w:before="136" w:line="219" w:lineRule="auto"/>
        <w:rPr>
          <w:sz w:val="29"/>
          <w:szCs w:val="29"/>
        </w:rPr>
      </w:pPr>
      <w:r>
        <w:rPr>
          <w:sz w:val="29"/>
          <w:szCs w:val="29"/>
          <w:spacing w:val="10"/>
        </w:rPr>
        <w:t>(1)发动机不得超速运转；</w:t>
      </w:r>
    </w:p>
    <w:p>
      <w:pPr>
        <w:pStyle w:val="BodyText"/>
        <w:ind w:left="740"/>
        <w:spacing w:before="145" w:line="219" w:lineRule="auto"/>
        <w:rPr>
          <w:sz w:val="29"/>
          <w:szCs w:val="29"/>
        </w:rPr>
      </w:pPr>
      <w:r>
        <w:rPr>
          <w:sz w:val="29"/>
          <w:szCs w:val="29"/>
          <w:spacing w:val="7"/>
        </w:rPr>
        <w:t>(2)发动机过热时，应经怠速运转后才可停机；</w:t>
      </w:r>
    </w:p>
    <w:p>
      <w:pPr>
        <w:pStyle w:val="BodyText"/>
        <w:ind w:left="740"/>
        <w:spacing w:before="146" w:line="219" w:lineRule="auto"/>
        <w:rPr>
          <w:sz w:val="29"/>
          <w:szCs w:val="29"/>
        </w:rPr>
      </w:pPr>
      <w:r>
        <w:rPr>
          <w:sz w:val="29"/>
          <w:szCs w:val="29"/>
          <w:spacing w:val="-3"/>
        </w:rPr>
        <w:t>(3)</w:t>
      </w:r>
      <w:r>
        <w:rPr>
          <w:sz w:val="29"/>
          <w:szCs w:val="29"/>
          <w:spacing w:val="76"/>
        </w:rPr>
        <w:t xml:space="preserve"> </w:t>
      </w:r>
      <w:r>
        <w:rPr>
          <w:sz w:val="29"/>
          <w:szCs w:val="29"/>
          <w:spacing w:val="-3"/>
        </w:rPr>
        <w:t>操作者中途远离剪草机时，发动机应熄火停机；</w:t>
      </w:r>
    </w:p>
    <w:p>
      <w:pPr>
        <w:pStyle w:val="BodyText"/>
        <w:ind w:right="84" w:firstLine="740"/>
        <w:spacing w:before="166" w:line="260" w:lineRule="auto"/>
        <w:rPr>
          <w:sz w:val="29"/>
          <w:szCs w:val="29"/>
        </w:rPr>
      </w:pPr>
      <w:r>
        <w:rPr>
          <w:sz w:val="29"/>
          <w:szCs w:val="29"/>
          <w:spacing w:val="2"/>
        </w:rPr>
        <w:t>(4)发动机正在运转或发动机过热时禁止加油，等机械休息5—10分钟后方</w:t>
      </w:r>
      <w:r>
        <w:rPr>
          <w:sz w:val="29"/>
          <w:szCs w:val="29"/>
        </w:rPr>
        <w:t xml:space="preserve"> </w:t>
      </w:r>
      <w:r>
        <w:rPr>
          <w:sz w:val="29"/>
          <w:szCs w:val="29"/>
          <w:spacing w:val="-11"/>
        </w:rPr>
        <w:t>可加油。</w:t>
      </w:r>
    </w:p>
    <w:p>
      <w:pPr>
        <w:spacing w:before="205" w:line="223" w:lineRule="auto"/>
        <w:rPr>
          <w:rFonts w:ascii="SimHei" w:hAnsi="SimHei" w:eastAsia="SimHei" w:cs="SimHei"/>
          <w:sz w:val="28"/>
          <w:szCs w:val="28"/>
        </w:rPr>
      </w:pPr>
      <w:r>
        <w:rPr>
          <w:rFonts w:ascii="SimHei" w:hAnsi="SimHei" w:eastAsia="SimHei" w:cs="SimHei"/>
          <w:sz w:val="28"/>
          <w:szCs w:val="28"/>
          <w:spacing w:val="17"/>
        </w:rPr>
        <w:t>4、停机</w:t>
      </w:r>
    </w:p>
    <w:p>
      <w:pPr>
        <w:pStyle w:val="BodyText"/>
        <w:ind w:left="740"/>
        <w:spacing w:before="189" w:line="219" w:lineRule="auto"/>
        <w:rPr>
          <w:sz w:val="29"/>
          <w:szCs w:val="29"/>
        </w:rPr>
      </w:pPr>
      <w:r>
        <w:rPr>
          <w:sz w:val="29"/>
          <w:szCs w:val="29"/>
          <w:spacing w:val="5"/>
        </w:rPr>
        <w:t>(1)发动机停止运转前，严禁检查和搬动剪草机，当心被排气管烫伤；</w:t>
      </w:r>
    </w:p>
    <w:p>
      <w:pPr>
        <w:pStyle w:val="BodyText"/>
        <w:ind w:left="740"/>
        <w:spacing w:before="146" w:line="219" w:lineRule="auto"/>
        <w:rPr>
          <w:sz w:val="29"/>
          <w:szCs w:val="29"/>
        </w:rPr>
      </w:pPr>
      <w:r>
        <w:rPr>
          <w:sz w:val="29"/>
          <w:szCs w:val="29"/>
          <w:spacing w:val="6"/>
        </w:rPr>
        <w:t>(2)转移作业场地时，应使割草机停止转动；</w:t>
      </w:r>
    </w:p>
    <w:p>
      <w:pPr>
        <w:pStyle w:val="BodyText"/>
        <w:ind w:right="73" w:firstLine="740"/>
        <w:spacing w:before="148" w:line="268" w:lineRule="auto"/>
        <w:rPr>
          <w:sz w:val="29"/>
          <w:szCs w:val="29"/>
        </w:rPr>
      </w:pPr>
      <w:r>
        <w:rPr>
          <w:sz w:val="29"/>
          <w:szCs w:val="29"/>
          <w:spacing w:val="7"/>
        </w:rPr>
        <w:t>(3)当天工作完后，在作业现场彻底对机械各部件进行清洁，</w:t>
      </w:r>
      <w:r>
        <w:rPr>
          <w:sz w:val="29"/>
          <w:szCs w:val="29"/>
          <w:spacing w:val="6"/>
        </w:rPr>
        <w:t>将机械上的</w:t>
      </w:r>
      <w:r>
        <w:rPr>
          <w:sz w:val="29"/>
          <w:szCs w:val="29"/>
        </w:rPr>
        <w:t xml:space="preserve"> </w:t>
      </w:r>
      <w:r>
        <w:rPr>
          <w:sz w:val="29"/>
          <w:szCs w:val="29"/>
        </w:rPr>
        <w:t>油污、残渣等清理干净。</w:t>
      </w:r>
    </w:p>
    <w:p>
      <w:pPr>
        <w:pStyle w:val="BodyText"/>
        <w:spacing w:before="143" w:line="396" w:lineRule="exact"/>
        <w:rPr>
          <w:rFonts w:ascii="SimHei" w:hAnsi="SimHei" w:eastAsia="SimHei" w:cs="SimHei"/>
          <w:sz w:val="29"/>
          <w:szCs w:val="29"/>
        </w:rPr>
      </w:pPr>
      <w:r>
        <w:rPr>
          <w:rFonts w:ascii="Arial" w:hAnsi="Arial" w:eastAsia="Arial" w:cs="Arial"/>
          <w:sz w:val="29"/>
          <w:szCs w:val="29"/>
          <w:spacing w:val="6"/>
          <w:position w:val="1"/>
        </w:rPr>
        <w:t>5</w:t>
      </w:r>
      <w:r>
        <w:rPr>
          <w:sz w:val="29"/>
          <w:szCs w:val="29"/>
          <w:spacing w:val="6"/>
          <w:position w:val="1"/>
        </w:rPr>
        <w:t>、</w:t>
      </w:r>
      <w:r>
        <w:rPr>
          <w:rFonts w:ascii="SimHei" w:hAnsi="SimHei" w:eastAsia="SimHei" w:cs="SimHei"/>
          <w:sz w:val="29"/>
          <w:szCs w:val="29"/>
          <w:spacing w:val="6"/>
          <w:position w:val="1"/>
        </w:rPr>
        <w:t>保养</w:t>
      </w:r>
    </w:p>
    <w:p>
      <w:pPr>
        <w:pStyle w:val="BodyText"/>
        <w:ind w:left="740"/>
        <w:spacing w:before="167" w:line="219" w:lineRule="auto"/>
        <w:rPr>
          <w:sz w:val="29"/>
          <w:szCs w:val="29"/>
        </w:rPr>
      </w:pPr>
      <w:r>
        <w:rPr>
          <w:sz w:val="29"/>
          <w:szCs w:val="29"/>
          <w:spacing w:val="5"/>
        </w:rPr>
        <w:t>(1)应按产品制造厂家规定的机器使用说明书正确维护保养；</w:t>
      </w:r>
    </w:p>
    <w:p>
      <w:pPr>
        <w:pStyle w:val="BodyText"/>
        <w:ind w:right="54" w:firstLine="740"/>
        <w:spacing w:before="147" w:line="285" w:lineRule="auto"/>
        <w:rPr>
          <w:sz w:val="29"/>
          <w:szCs w:val="29"/>
        </w:rPr>
      </w:pPr>
      <w:r>
        <w:rPr>
          <w:sz w:val="29"/>
          <w:szCs w:val="29"/>
          <w:spacing w:val="7"/>
        </w:rPr>
        <w:t>(2)刀片不平衡、震动严重、操作者耳旁噪声超标、剪草抛出不理想、发</w:t>
      </w:r>
      <w:r>
        <w:rPr>
          <w:sz w:val="29"/>
          <w:szCs w:val="29"/>
          <w:spacing w:val="15"/>
        </w:rPr>
        <w:t xml:space="preserve"> </w:t>
      </w:r>
      <w:r>
        <w:rPr>
          <w:sz w:val="29"/>
          <w:szCs w:val="29"/>
          <w:spacing w:val="-17"/>
        </w:rPr>
        <w:t>动机起动困难、传动系统有严重响声及紧急制动系统失灵等故障，</w:t>
      </w:r>
      <w:r>
        <w:rPr>
          <w:sz w:val="29"/>
          <w:szCs w:val="29"/>
          <w:spacing w:val="-18"/>
        </w:rPr>
        <w:t>均属严重缺陷。一</w:t>
      </w:r>
      <w:r>
        <w:rPr>
          <w:sz w:val="29"/>
          <w:szCs w:val="29"/>
        </w:rPr>
        <w:t xml:space="preserve"> </w:t>
      </w:r>
      <w:r>
        <w:rPr>
          <w:sz w:val="29"/>
          <w:szCs w:val="29"/>
        </w:rPr>
        <w:t>旦发生上述严重缺陷，必须彻底修复后，才允许工作；</w:t>
      </w:r>
    </w:p>
    <w:p>
      <w:pPr>
        <w:pStyle w:val="BodyText"/>
        <w:ind w:right="84" w:firstLine="740"/>
        <w:spacing w:before="149" w:line="267" w:lineRule="auto"/>
        <w:rPr>
          <w:sz w:val="29"/>
          <w:szCs w:val="29"/>
        </w:rPr>
      </w:pPr>
      <w:r>
        <w:rPr>
          <w:sz w:val="29"/>
          <w:szCs w:val="29"/>
          <w:spacing w:val="6"/>
        </w:rPr>
        <w:t>(3)工作过程中发现紧固件松动等现象时，在不影响剪草质量及安全情况</w:t>
      </w:r>
      <w:r>
        <w:rPr>
          <w:sz w:val="29"/>
          <w:szCs w:val="29"/>
          <w:spacing w:val="18"/>
        </w:rPr>
        <w:t xml:space="preserve"> </w:t>
      </w:r>
      <w:r>
        <w:rPr>
          <w:sz w:val="29"/>
          <w:szCs w:val="29"/>
        </w:rPr>
        <w:t>下，可允许在作业暂告一段落后在工作现场停机修理，然后继续使用；</w:t>
      </w:r>
    </w:p>
    <w:p>
      <w:pPr>
        <w:pStyle w:val="BodyText"/>
        <w:ind w:right="201" w:firstLine="740"/>
        <w:spacing w:before="138" w:line="272" w:lineRule="auto"/>
        <w:rPr>
          <w:sz w:val="29"/>
          <w:szCs w:val="29"/>
        </w:rPr>
      </w:pPr>
      <w:r>
        <w:rPr>
          <w:sz w:val="29"/>
          <w:szCs w:val="29"/>
          <w:spacing w:val="-6"/>
        </w:rPr>
        <w:t>(4)剪草机储存时，燃油系统内的油应放净，将发动机和消声器上的油污、</w:t>
      </w:r>
      <w:r>
        <w:rPr>
          <w:sz w:val="29"/>
          <w:szCs w:val="29"/>
          <w:spacing w:val="12"/>
        </w:rPr>
        <w:t xml:space="preserve"> </w:t>
      </w:r>
      <w:r>
        <w:rPr>
          <w:sz w:val="29"/>
          <w:szCs w:val="29"/>
          <w:spacing w:val="-5"/>
        </w:rPr>
        <w:t>草屑等清理干净，储存在干燥、通风的屋内。</w:t>
      </w:r>
    </w:p>
    <w:p>
      <w:pPr>
        <w:pStyle w:val="BodyText"/>
        <w:spacing w:before="126"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故障处理</w:t>
      </w:r>
    </w:p>
    <w:p>
      <w:pPr>
        <w:pStyle w:val="BodyText"/>
        <w:ind w:left="600"/>
        <w:spacing w:before="177" w:line="219" w:lineRule="auto"/>
        <w:rPr>
          <w:sz w:val="29"/>
          <w:szCs w:val="29"/>
        </w:rPr>
      </w:pPr>
      <w:r>
        <w:rPr>
          <w:sz w:val="29"/>
          <w:szCs w:val="29"/>
          <w:spacing w:val="26"/>
        </w:rPr>
        <w:t>1)维修前</w:t>
      </w:r>
    </w:p>
    <w:p>
      <w:pPr>
        <w:pStyle w:val="BodyText"/>
        <w:ind w:left="740"/>
        <w:spacing w:before="146" w:line="219" w:lineRule="auto"/>
        <w:rPr>
          <w:sz w:val="29"/>
          <w:szCs w:val="29"/>
        </w:rPr>
      </w:pPr>
      <w:r>
        <w:rPr>
          <w:sz w:val="29"/>
          <w:szCs w:val="29"/>
          <w:spacing w:val="6"/>
        </w:rPr>
        <w:t>(1)进行任何修理之前都应拔掉火花塞线并接地；</w:t>
      </w:r>
    </w:p>
    <w:p>
      <w:pPr>
        <w:pStyle w:val="BodyText"/>
        <w:ind w:right="201" w:firstLine="740"/>
        <w:spacing w:before="163" w:line="256" w:lineRule="auto"/>
        <w:rPr>
          <w:sz w:val="29"/>
          <w:szCs w:val="29"/>
        </w:rPr>
      </w:pPr>
      <w:r>
        <w:rPr>
          <w:sz w:val="29"/>
          <w:szCs w:val="29"/>
          <w:spacing w:val="3"/>
        </w:rPr>
        <w:t>(2)前后翻动机器时，应先将燃油倒尽，草坪机前后翻动不能超过9</w:t>
      </w:r>
      <w:r>
        <w:rPr>
          <w:sz w:val="29"/>
          <w:szCs w:val="29"/>
          <w:spacing w:val="2"/>
        </w:rPr>
        <w:t>0度，</w:t>
      </w:r>
      <w:r>
        <w:rPr>
          <w:sz w:val="29"/>
          <w:szCs w:val="29"/>
        </w:rPr>
        <w:t xml:space="preserve"> </w:t>
      </w:r>
      <w:r>
        <w:rPr>
          <w:sz w:val="29"/>
          <w:szCs w:val="29"/>
          <w:spacing w:val="2"/>
        </w:rPr>
        <w:t>翻动时间也不能太长，因为机油可能进入汽油机顶部，造成启动困难。</w:t>
      </w:r>
    </w:p>
    <w:p>
      <w:pPr>
        <w:pStyle w:val="BodyText"/>
        <w:ind w:left="600"/>
        <w:spacing w:before="156" w:line="219" w:lineRule="auto"/>
        <w:rPr>
          <w:sz w:val="29"/>
          <w:szCs w:val="29"/>
        </w:rPr>
      </w:pPr>
      <w:r>
        <w:rPr>
          <w:sz w:val="29"/>
          <w:szCs w:val="29"/>
          <w:spacing w:val="14"/>
        </w:rPr>
        <w:t>2)草坪机的故障检测与排除</w:t>
      </w:r>
    </w:p>
    <w:p>
      <w:pPr>
        <w:spacing w:line="219" w:lineRule="auto"/>
        <w:sectPr>
          <w:footerReference w:type="default" r:id="rId492"/>
          <w:pgSz w:w="14490" w:h="20470"/>
          <w:pgMar w:top="400" w:right="2173" w:bottom="1413" w:left="2140" w:header="0" w:footer="1215" w:gutter="0"/>
        </w:sectPr>
        <w:rPr>
          <w:sz w:val="29"/>
          <w:szCs w:val="29"/>
        </w:rPr>
      </w:pP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pStyle w:val="BodyText"/>
        <w:ind w:left="3494"/>
        <w:spacing w:before="78" w:line="219" w:lineRule="auto"/>
        <w:rPr>
          <w:sz w:val="24"/>
          <w:szCs w:val="24"/>
        </w:rPr>
      </w:pPr>
      <w:r>
        <w:rPr>
          <w:sz w:val="24"/>
          <w:szCs w:val="24"/>
          <w:spacing w:val="11"/>
        </w:rPr>
        <w:t>表6-2草坪机的故障检测与排除</w:t>
      </w:r>
    </w:p>
    <w:p>
      <w:pPr>
        <w:spacing w:line="101" w:lineRule="exact"/>
        <w:rPr/>
      </w:pPr>
      <w:r/>
    </w:p>
    <w:tbl>
      <w:tblPr>
        <w:tblStyle w:val="TableNormal"/>
        <w:tblW w:w="1081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93"/>
        <w:gridCol w:w="3606"/>
        <w:gridCol w:w="5520"/>
      </w:tblGrid>
      <w:tr>
        <w:trPr>
          <w:trHeight w:val="594" w:hRule="atLeast"/>
        </w:trPr>
        <w:tc>
          <w:tcPr>
            <w:tcW w:w="1693" w:type="dxa"/>
            <w:vAlign w:val="top"/>
          </w:tcPr>
          <w:p>
            <w:pPr>
              <w:pStyle w:val="TableText"/>
              <w:ind w:left="128"/>
              <w:spacing w:before="171" w:line="219" w:lineRule="auto"/>
              <w:rPr>
                <w:sz w:val="25"/>
                <w:szCs w:val="25"/>
              </w:rPr>
            </w:pPr>
            <w:bookmarkStart w:name="bookmark117" w:id="90"/>
            <w:bookmarkEnd w:id="90"/>
            <w:r>
              <w:rPr>
                <w:sz w:val="25"/>
                <w:szCs w:val="25"/>
                <w:b/>
                <w:bCs/>
                <w:spacing w:val="-1"/>
              </w:rPr>
              <w:t>故障类型</w:t>
            </w:r>
          </w:p>
        </w:tc>
        <w:tc>
          <w:tcPr>
            <w:tcW w:w="3606" w:type="dxa"/>
            <w:vAlign w:val="top"/>
          </w:tcPr>
          <w:p>
            <w:pPr>
              <w:pStyle w:val="TableText"/>
              <w:ind w:left="105"/>
              <w:spacing w:before="175" w:line="222" w:lineRule="auto"/>
              <w:rPr>
                <w:sz w:val="25"/>
                <w:szCs w:val="25"/>
              </w:rPr>
            </w:pPr>
            <w:r>
              <w:rPr>
                <w:sz w:val="25"/>
                <w:szCs w:val="25"/>
                <w:b/>
                <w:bCs/>
                <w:spacing w:val="6"/>
              </w:rPr>
              <w:t>原因</w:t>
            </w:r>
          </w:p>
        </w:tc>
        <w:tc>
          <w:tcPr>
            <w:tcW w:w="5520" w:type="dxa"/>
            <w:vAlign w:val="top"/>
          </w:tcPr>
          <w:p>
            <w:pPr>
              <w:pStyle w:val="TableText"/>
              <w:ind w:left="149"/>
              <w:spacing w:before="171" w:line="219" w:lineRule="auto"/>
              <w:rPr>
                <w:sz w:val="25"/>
                <w:szCs w:val="25"/>
              </w:rPr>
            </w:pPr>
            <w:r>
              <w:rPr>
                <w:sz w:val="25"/>
                <w:szCs w:val="25"/>
                <w:b/>
                <w:bCs/>
                <w:spacing w:val="-5"/>
              </w:rPr>
              <w:t>解决办法</w:t>
            </w:r>
          </w:p>
        </w:tc>
      </w:tr>
      <w:tr>
        <w:trPr>
          <w:trHeight w:val="370" w:hRule="atLeast"/>
        </w:trPr>
        <w:tc>
          <w:tcPr>
            <w:tcW w:w="1693" w:type="dxa"/>
            <w:vAlign w:val="top"/>
            <w:vMerge w:val="restart"/>
            <w:tcBorders>
              <w:bottom w:val="nil"/>
            </w:tcBorders>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24" w:right="205" w:firstLine="89"/>
              <w:spacing w:before="81" w:line="278" w:lineRule="auto"/>
              <w:rPr>
                <w:sz w:val="25"/>
                <w:szCs w:val="25"/>
              </w:rPr>
            </w:pPr>
            <w:r>
              <w:rPr>
                <w:sz w:val="25"/>
                <w:szCs w:val="25"/>
                <w:spacing w:val="2"/>
              </w:rPr>
              <w:t>汽油机没有</w:t>
            </w:r>
            <w:r>
              <w:rPr>
                <w:sz w:val="25"/>
                <w:szCs w:val="25"/>
                <w:spacing w:val="1"/>
              </w:rPr>
              <w:t xml:space="preserve"> </w:t>
            </w:r>
            <w:r>
              <w:rPr>
                <w:sz w:val="25"/>
                <w:szCs w:val="25"/>
                <w:spacing w:val="5"/>
              </w:rPr>
              <w:t>反应</w:t>
            </w:r>
          </w:p>
        </w:tc>
        <w:tc>
          <w:tcPr>
            <w:tcW w:w="3606" w:type="dxa"/>
            <w:vAlign w:val="top"/>
          </w:tcPr>
          <w:p>
            <w:pPr>
              <w:pStyle w:val="TableText"/>
              <w:ind w:left="101"/>
              <w:spacing w:before="61" w:line="219" w:lineRule="auto"/>
              <w:rPr>
                <w:sz w:val="25"/>
                <w:szCs w:val="25"/>
              </w:rPr>
            </w:pPr>
            <w:r>
              <w:rPr>
                <w:sz w:val="25"/>
                <w:szCs w:val="25"/>
                <w:spacing w:val="1"/>
              </w:rPr>
              <w:t>刀片离合手杆没有拉下</w:t>
            </w:r>
          </w:p>
        </w:tc>
        <w:tc>
          <w:tcPr>
            <w:tcW w:w="5520" w:type="dxa"/>
            <w:vAlign w:val="top"/>
          </w:tcPr>
          <w:p>
            <w:pPr>
              <w:pStyle w:val="TableText"/>
              <w:ind w:left="145"/>
              <w:spacing w:before="61" w:line="219" w:lineRule="auto"/>
              <w:rPr>
                <w:sz w:val="25"/>
                <w:szCs w:val="25"/>
              </w:rPr>
            </w:pPr>
            <w:r>
              <w:rPr>
                <w:sz w:val="25"/>
                <w:szCs w:val="25"/>
                <w:spacing w:val="2"/>
              </w:rPr>
              <w:t>压下手杆</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1" w:line="219" w:lineRule="auto"/>
              <w:rPr>
                <w:sz w:val="25"/>
                <w:szCs w:val="25"/>
              </w:rPr>
            </w:pPr>
            <w:r>
              <w:rPr>
                <w:sz w:val="25"/>
                <w:szCs w:val="25"/>
                <w:spacing w:val="2"/>
              </w:rPr>
              <w:t>火花塞线没有插下</w:t>
            </w:r>
          </w:p>
        </w:tc>
        <w:tc>
          <w:tcPr>
            <w:tcW w:w="5520" w:type="dxa"/>
            <w:vAlign w:val="top"/>
          </w:tcPr>
          <w:p>
            <w:pPr>
              <w:pStyle w:val="TableText"/>
              <w:ind w:left="145"/>
              <w:spacing w:before="71" w:line="219" w:lineRule="auto"/>
              <w:rPr>
                <w:sz w:val="25"/>
                <w:szCs w:val="25"/>
              </w:rPr>
            </w:pPr>
            <w:r>
              <w:rPr>
                <w:sz w:val="25"/>
                <w:szCs w:val="25"/>
                <w:spacing w:val="1"/>
              </w:rPr>
              <w:t>将火花塞线插入火花塞</w:t>
            </w:r>
          </w:p>
        </w:tc>
      </w:tr>
      <w:tr>
        <w:trPr>
          <w:trHeight w:val="369"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62" w:line="219" w:lineRule="auto"/>
              <w:rPr>
                <w:sz w:val="25"/>
                <w:szCs w:val="25"/>
              </w:rPr>
            </w:pPr>
            <w:r>
              <w:rPr>
                <w:sz w:val="25"/>
                <w:szCs w:val="25"/>
              </w:rPr>
              <w:t>油门扳手没有放在启动位置</w:t>
            </w:r>
          </w:p>
        </w:tc>
        <w:tc>
          <w:tcPr>
            <w:tcW w:w="5520" w:type="dxa"/>
            <w:vAlign w:val="top"/>
          </w:tcPr>
          <w:p>
            <w:pPr>
              <w:pStyle w:val="TableText"/>
              <w:ind w:left="145"/>
              <w:spacing w:before="61" w:line="219" w:lineRule="auto"/>
              <w:rPr>
                <w:sz w:val="25"/>
                <w:szCs w:val="25"/>
              </w:rPr>
            </w:pPr>
            <w:r>
              <w:rPr>
                <w:sz w:val="25"/>
                <w:szCs w:val="25"/>
                <w:spacing w:val="-1"/>
              </w:rPr>
              <w:t>将扳手扳到相应位置</w:t>
            </w:r>
          </w:p>
        </w:tc>
      </w:tr>
      <w:tr>
        <w:trPr>
          <w:trHeight w:val="379"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2" w:line="219" w:lineRule="auto"/>
              <w:rPr>
                <w:sz w:val="25"/>
                <w:szCs w:val="25"/>
              </w:rPr>
            </w:pPr>
            <w:r>
              <w:rPr>
                <w:sz w:val="25"/>
                <w:szCs w:val="25"/>
                <w:spacing w:val="1"/>
              </w:rPr>
              <w:t>燃油箱油位很低或者燃油过期</w:t>
            </w:r>
          </w:p>
        </w:tc>
        <w:tc>
          <w:tcPr>
            <w:tcW w:w="5520" w:type="dxa"/>
            <w:vAlign w:val="top"/>
          </w:tcPr>
          <w:p>
            <w:pPr>
              <w:pStyle w:val="TableText"/>
              <w:ind w:left="145"/>
              <w:spacing w:before="70" w:line="219" w:lineRule="auto"/>
              <w:rPr>
                <w:sz w:val="25"/>
                <w:szCs w:val="25"/>
              </w:rPr>
            </w:pPr>
            <w:r>
              <w:rPr>
                <w:sz w:val="25"/>
                <w:szCs w:val="25"/>
                <w:spacing w:val="2"/>
              </w:rPr>
              <w:t>向燃油箱加入新鲜干净的燃油</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3" w:line="219" w:lineRule="auto"/>
              <w:rPr>
                <w:sz w:val="25"/>
                <w:szCs w:val="25"/>
              </w:rPr>
            </w:pPr>
            <w:r>
              <w:rPr>
                <w:sz w:val="25"/>
                <w:szCs w:val="25"/>
                <w:spacing w:val="2"/>
              </w:rPr>
              <w:t>油管不通</w:t>
            </w:r>
          </w:p>
        </w:tc>
        <w:tc>
          <w:tcPr>
            <w:tcW w:w="5520" w:type="dxa"/>
            <w:vAlign w:val="top"/>
          </w:tcPr>
          <w:p>
            <w:pPr>
              <w:pStyle w:val="TableText"/>
              <w:ind w:left="145"/>
              <w:spacing w:before="73" w:line="219" w:lineRule="auto"/>
              <w:rPr>
                <w:sz w:val="25"/>
                <w:szCs w:val="25"/>
              </w:rPr>
            </w:pPr>
            <w:r>
              <w:rPr>
                <w:sz w:val="25"/>
                <w:szCs w:val="25"/>
                <w:spacing w:val="4"/>
              </w:rPr>
              <w:t>通油管</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3" w:line="219" w:lineRule="auto"/>
              <w:rPr>
                <w:sz w:val="25"/>
                <w:szCs w:val="25"/>
              </w:rPr>
            </w:pPr>
            <w:r>
              <w:rPr>
                <w:sz w:val="25"/>
                <w:szCs w:val="25"/>
                <w:spacing w:val="2"/>
              </w:rPr>
              <w:t>火花塞故障</w:t>
            </w:r>
          </w:p>
        </w:tc>
        <w:tc>
          <w:tcPr>
            <w:tcW w:w="5520" w:type="dxa"/>
            <w:vAlign w:val="top"/>
          </w:tcPr>
          <w:p>
            <w:pPr>
              <w:pStyle w:val="TableText"/>
              <w:ind w:left="105"/>
              <w:spacing w:before="73" w:line="219" w:lineRule="auto"/>
              <w:rPr>
                <w:sz w:val="25"/>
                <w:szCs w:val="25"/>
              </w:rPr>
            </w:pPr>
            <w:r>
              <w:rPr>
                <w:sz w:val="25"/>
                <w:szCs w:val="25"/>
              </w:rPr>
              <w:t>清洁火花塞，检查火花塞间距，或者更换火花塞</w:t>
            </w:r>
          </w:p>
        </w:tc>
      </w:tr>
      <w:tr>
        <w:trPr>
          <w:trHeight w:val="360"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65" w:line="210" w:lineRule="auto"/>
              <w:rPr>
                <w:sz w:val="25"/>
                <w:szCs w:val="25"/>
              </w:rPr>
            </w:pPr>
            <w:r>
              <w:rPr>
                <w:sz w:val="25"/>
                <w:szCs w:val="25"/>
                <w:spacing w:val="5"/>
              </w:rPr>
              <w:t>化油器呛油</w:t>
            </w:r>
          </w:p>
        </w:tc>
        <w:tc>
          <w:tcPr>
            <w:tcW w:w="5520" w:type="dxa"/>
            <w:vAlign w:val="top"/>
          </w:tcPr>
          <w:p>
            <w:pPr>
              <w:pStyle w:val="TableText"/>
              <w:ind w:left="145"/>
              <w:spacing w:before="62" w:line="212" w:lineRule="auto"/>
              <w:rPr>
                <w:sz w:val="25"/>
                <w:szCs w:val="25"/>
              </w:rPr>
            </w:pPr>
            <w:r>
              <w:rPr>
                <w:sz w:val="25"/>
                <w:szCs w:val="25"/>
              </w:rPr>
              <w:t>油门扳到最大位置，连续拉动汽油机</w:t>
            </w:r>
          </w:p>
        </w:tc>
      </w:tr>
      <w:tr>
        <w:trPr>
          <w:trHeight w:val="390" w:hRule="atLeast"/>
        </w:trPr>
        <w:tc>
          <w:tcPr>
            <w:tcW w:w="1693" w:type="dxa"/>
            <w:vAlign w:val="top"/>
            <w:vMerge w:val="restart"/>
            <w:tcBorders>
              <w:bottom w:val="nil"/>
            </w:tcBorders>
          </w:tcPr>
          <w:p>
            <w:pPr>
              <w:spacing w:line="290" w:lineRule="auto"/>
              <w:rPr>
                <w:rFonts w:ascii="Arial"/>
                <w:sz w:val="21"/>
              </w:rPr>
            </w:pPr>
            <w:r/>
          </w:p>
          <w:p>
            <w:pPr>
              <w:spacing w:line="291" w:lineRule="auto"/>
              <w:rPr>
                <w:rFonts w:ascii="Arial"/>
                <w:sz w:val="21"/>
              </w:rPr>
            </w:pPr>
            <w:r/>
          </w:p>
          <w:p>
            <w:pPr>
              <w:spacing w:line="291" w:lineRule="auto"/>
              <w:rPr>
                <w:rFonts w:ascii="Arial"/>
                <w:sz w:val="21"/>
              </w:rPr>
            </w:pPr>
            <w:r/>
          </w:p>
          <w:p>
            <w:pPr>
              <w:spacing w:line="291" w:lineRule="auto"/>
              <w:rPr>
                <w:rFonts w:ascii="Arial"/>
                <w:sz w:val="21"/>
              </w:rPr>
            </w:pPr>
            <w:r/>
          </w:p>
          <w:p>
            <w:pPr>
              <w:pStyle w:val="TableText"/>
              <w:ind w:left="214"/>
              <w:spacing w:before="81" w:line="219" w:lineRule="auto"/>
              <w:rPr>
                <w:sz w:val="25"/>
                <w:szCs w:val="25"/>
              </w:rPr>
            </w:pPr>
            <w:r>
              <w:rPr>
                <w:sz w:val="25"/>
                <w:szCs w:val="25"/>
                <w:spacing w:val="-2"/>
              </w:rPr>
              <w:t>汽油机熄火</w:t>
            </w:r>
          </w:p>
        </w:tc>
        <w:tc>
          <w:tcPr>
            <w:tcW w:w="3606" w:type="dxa"/>
            <w:vAlign w:val="top"/>
          </w:tcPr>
          <w:p>
            <w:pPr>
              <w:pStyle w:val="TableText"/>
              <w:ind w:left="101"/>
              <w:spacing w:before="71" w:line="219" w:lineRule="auto"/>
              <w:rPr>
                <w:sz w:val="25"/>
                <w:szCs w:val="25"/>
              </w:rPr>
            </w:pPr>
            <w:r>
              <w:rPr>
                <w:sz w:val="25"/>
                <w:szCs w:val="25"/>
              </w:rPr>
              <w:t>机器在阻风或者起动状态运行</w:t>
            </w:r>
          </w:p>
        </w:tc>
        <w:tc>
          <w:tcPr>
            <w:tcW w:w="5520" w:type="dxa"/>
            <w:vAlign w:val="top"/>
          </w:tcPr>
          <w:p>
            <w:pPr>
              <w:pStyle w:val="TableText"/>
              <w:ind w:left="145"/>
              <w:spacing w:before="73" w:line="219" w:lineRule="auto"/>
              <w:rPr>
                <w:sz w:val="25"/>
                <w:szCs w:val="25"/>
              </w:rPr>
            </w:pPr>
            <w:r>
              <w:rPr>
                <w:sz w:val="25"/>
                <w:szCs w:val="25"/>
                <w:spacing w:val="-1"/>
              </w:rPr>
              <w:t>将油门扳到最大</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3" w:line="219" w:lineRule="auto"/>
              <w:rPr>
                <w:sz w:val="25"/>
                <w:szCs w:val="25"/>
              </w:rPr>
            </w:pPr>
            <w:r>
              <w:rPr>
                <w:sz w:val="25"/>
                <w:szCs w:val="25"/>
                <w:spacing w:val="5"/>
              </w:rPr>
              <w:t>火花塞线松了</w:t>
            </w:r>
          </w:p>
        </w:tc>
        <w:tc>
          <w:tcPr>
            <w:tcW w:w="5520" w:type="dxa"/>
            <w:vAlign w:val="top"/>
          </w:tcPr>
          <w:p>
            <w:pPr>
              <w:pStyle w:val="TableText"/>
              <w:ind w:left="145"/>
              <w:spacing w:before="73" w:line="219" w:lineRule="auto"/>
              <w:rPr>
                <w:sz w:val="25"/>
                <w:szCs w:val="25"/>
              </w:rPr>
            </w:pPr>
            <w:r>
              <w:rPr>
                <w:sz w:val="25"/>
                <w:szCs w:val="25"/>
                <w:spacing w:val="1"/>
              </w:rPr>
              <w:t>火花塞线插紧</w:t>
            </w:r>
          </w:p>
        </w:tc>
      </w:tr>
      <w:tr>
        <w:trPr>
          <w:trHeight w:val="369"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63" w:line="218" w:lineRule="auto"/>
              <w:rPr>
                <w:sz w:val="25"/>
                <w:szCs w:val="25"/>
              </w:rPr>
            </w:pPr>
            <w:r>
              <w:rPr>
                <w:sz w:val="25"/>
                <w:szCs w:val="25"/>
                <w:spacing w:val="2"/>
              </w:rPr>
              <w:t>燃油管路堵塞</w:t>
            </w:r>
          </w:p>
        </w:tc>
        <w:tc>
          <w:tcPr>
            <w:tcW w:w="5520" w:type="dxa"/>
            <w:vAlign w:val="top"/>
          </w:tcPr>
          <w:p>
            <w:pPr>
              <w:pStyle w:val="TableText"/>
              <w:ind w:left="145"/>
              <w:spacing w:before="61" w:line="219" w:lineRule="auto"/>
              <w:rPr>
                <w:sz w:val="25"/>
                <w:szCs w:val="25"/>
              </w:rPr>
            </w:pPr>
            <w:r>
              <w:rPr>
                <w:sz w:val="25"/>
                <w:szCs w:val="25"/>
                <w:spacing w:val="1"/>
              </w:rPr>
              <w:t>进行清洗，然后重新新鲜干净的汽油</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5" w:line="220" w:lineRule="auto"/>
              <w:rPr>
                <w:sz w:val="25"/>
                <w:szCs w:val="25"/>
              </w:rPr>
            </w:pPr>
            <w:r>
              <w:rPr>
                <w:sz w:val="25"/>
                <w:szCs w:val="25"/>
                <w:spacing w:val="1"/>
              </w:rPr>
              <w:t>油箱盖的透气孔堵塞</w:t>
            </w:r>
          </w:p>
        </w:tc>
        <w:tc>
          <w:tcPr>
            <w:tcW w:w="5520" w:type="dxa"/>
            <w:vAlign w:val="top"/>
          </w:tcPr>
          <w:p>
            <w:pPr>
              <w:pStyle w:val="TableText"/>
              <w:ind w:left="145"/>
              <w:spacing w:before="75" w:line="220" w:lineRule="auto"/>
              <w:rPr>
                <w:sz w:val="25"/>
                <w:szCs w:val="25"/>
              </w:rPr>
            </w:pPr>
            <w:r>
              <w:rPr>
                <w:sz w:val="25"/>
                <w:szCs w:val="25"/>
                <w:spacing w:val="2"/>
              </w:rPr>
              <w:t>清理通气孔</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4" w:line="219" w:lineRule="auto"/>
              <w:rPr>
                <w:sz w:val="25"/>
                <w:szCs w:val="25"/>
              </w:rPr>
            </w:pPr>
            <w:r>
              <w:rPr>
                <w:sz w:val="25"/>
                <w:szCs w:val="25"/>
              </w:rPr>
              <w:t>燃油中混入了雨水或者尘土</w:t>
            </w:r>
          </w:p>
        </w:tc>
        <w:tc>
          <w:tcPr>
            <w:tcW w:w="5520" w:type="dxa"/>
            <w:vAlign w:val="top"/>
          </w:tcPr>
          <w:p>
            <w:pPr>
              <w:pStyle w:val="TableText"/>
              <w:ind w:left="145"/>
              <w:spacing w:before="72" w:line="219" w:lineRule="auto"/>
              <w:rPr>
                <w:sz w:val="25"/>
                <w:szCs w:val="25"/>
              </w:rPr>
            </w:pPr>
            <w:r>
              <w:rPr>
                <w:sz w:val="25"/>
                <w:szCs w:val="25"/>
                <w:spacing w:val="1"/>
              </w:rPr>
              <w:t>将旧油放干净，换上新鲜干净的汽油</w:t>
            </w:r>
          </w:p>
        </w:tc>
      </w:tr>
      <w:tr>
        <w:trPr>
          <w:trHeight w:val="359"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64" w:line="210" w:lineRule="auto"/>
              <w:rPr>
                <w:sz w:val="25"/>
                <w:szCs w:val="25"/>
              </w:rPr>
            </w:pPr>
            <w:r>
              <w:rPr>
                <w:sz w:val="25"/>
                <w:szCs w:val="25"/>
                <w:spacing w:val="4"/>
              </w:rPr>
              <w:t>空气滤清器脏了</w:t>
            </w:r>
          </w:p>
        </w:tc>
        <w:tc>
          <w:tcPr>
            <w:tcW w:w="5520" w:type="dxa"/>
            <w:vAlign w:val="top"/>
          </w:tcPr>
          <w:p>
            <w:pPr>
              <w:pStyle w:val="TableText"/>
              <w:ind w:left="145"/>
              <w:spacing w:before="64" w:line="210" w:lineRule="auto"/>
              <w:rPr>
                <w:sz w:val="25"/>
                <w:szCs w:val="25"/>
              </w:rPr>
            </w:pPr>
            <w:r>
              <w:rPr>
                <w:sz w:val="25"/>
                <w:szCs w:val="25"/>
              </w:rPr>
              <w:t>清洗或者更换空气滤清器</w:t>
            </w:r>
          </w:p>
        </w:tc>
      </w:tr>
      <w:tr>
        <w:trPr>
          <w:trHeight w:val="390"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76" w:line="220" w:lineRule="auto"/>
              <w:rPr>
                <w:sz w:val="25"/>
                <w:szCs w:val="25"/>
              </w:rPr>
            </w:pPr>
            <w:r>
              <w:rPr>
                <w:sz w:val="25"/>
                <w:szCs w:val="25"/>
                <w:spacing w:val="1"/>
              </w:rPr>
              <w:t>化油器配器不正常</w:t>
            </w:r>
          </w:p>
        </w:tc>
        <w:tc>
          <w:tcPr>
            <w:tcW w:w="5520" w:type="dxa"/>
            <w:vAlign w:val="top"/>
          </w:tcPr>
          <w:p>
            <w:pPr>
              <w:pStyle w:val="TableText"/>
              <w:ind w:left="145"/>
              <w:spacing w:before="75" w:line="219" w:lineRule="auto"/>
              <w:rPr>
                <w:sz w:val="25"/>
                <w:szCs w:val="25"/>
              </w:rPr>
            </w:pPr>
            <w:r>
              <w:rPr>
                <w:sz w:val="25"/>
                <w:szCs w:val="25"/>
                <w:spacing w:val="-1"/>
              </w:rPr>
              <w:t>进行必要的检测和调试</w:t>
            </w:r>
          </w:p>
        </w:tc>
      </w:tr>
      <w:tr>
        <w:trPr>
          <w:trHeight w:val="370" w:hRule="atLeast"/>
        </w:trPr>
        <w:tc>
          <w:tcPr>
            <w:tcW w:w="1693" w:type="dxa"/>
            <w:vAlign w:val="top"/>
            <w:vMerge w:val="restart"/>
            <w:tcBorders>
              <w:bottom w:val="nil"/>
            </w:tcBorders>
          </w:tcPr>
          <w:p>
            <w:pPr>
              <w:spacing w:line="380" w:lineRule="auto"/>
              <w:rPr>
                <w:rFonts w:ascii="Arial"/>
                <w:sz w:val="21"/>
              </w:rPr>
            </w:pPr>
            <w:r/>
          </w:p>
          <w:p>
            <w:pPr>
              <w:pStyle w:val="TableText"/>
              <w:ind w:left="214"/>
              <w:spacing w:before="81" w:line="219" w:lineRule="auto"/>
              <w:rPr>
                <w:sz w:val="25"/>
                <w:szCs w:val="25"/>
              </w:rPr>
            </w:pPr>
            <w:r>
              <w:rPr>
                <w:sz w:val="25"/>
                <w:szCs w:val="25"/>
                <w:spacing w:val="2"/>
              </w:rPr>
              <w:t>汽油机过热</w:t>
            </w:r>
          </w:p>
        </w:tc>
        <w:tc>
          <w:tcPr>
            <w:tcW w:w="3606" w:type="dxa"/>
            <w:vAlign w:val="top"/>
          </w:tcPr>
          <w:p>
            <w:pPr>
              <w:pStyle w:val="TableText"/>
              <w:ind w:left="101"/>
              <w:spacing w:before="64" w:line="218" w:lineRule="auto"/>
              <w:rPr>
                <w:sz w:val="25"/>
                <w:szCs w:val="25"/>
              </w:rPr>
            </w:pPr>
            <w:r>
              <w:rPr>
                <w:sz w:val="25"/>
                <w:szCs w:val="25"/>
                <w:spacing w:val="5"/>
              </w:rPr>
              <w:t>机油太少</w:t>
            </w:r>
          </w:p>
        </w:tc>
        <w:tc>
          <w:tcPr>
            <w:tcW w:w="5520" w:type="dxa"/>
            <w:vAlign w:val="top"/>
          </w:tcPr>
          <w:p>
            <w:pPr>
              <w:pStyle w:val="TableText"/>
              <w:ind w:left="145"/>
              <w:spacing w:before="64" w:line="218" w:lineRule="auto"/>
              <w:rPr>
                <w:sz w:val="25"/>
                <w:szCs w:val="25"/>
              </w:rPr>
            </w:pPr>
            <w:r>
              <w:rPr>
                <w:sz w:val="25"/>
                <w:szCs w:val="25"/>
                <w:spacing w:val="2"/>
              </w:rPr>
              <w:t>向曲轴箱加注必要的润滑油</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5" w:line="219" w:lineRule="auto"/>
              <w:rPr>
                <w:sz w:val="25"/>
                <w:szCs w:val="25"/>
              </w:rPr>
            </w:pPr>
            <w:r>
              <w:rPr>
                <w:sz w:val="25"/>
                <w:szCs w:val="25"/>
                <w:spacing w:val="1"/>
              </w:rPr>
              <w:t>空气循环受阻</w:t>
            </w:r>
          </w:p>
        </w:tc>
        <w:tc>
          <w:tcPr>
            <w:tcW w:w="5520" w:type="dxa"/>
            <w:vAlign w:val="top"/>
          </w:tcPr>
          <w:p>
            <w:pPr>
              <w:pStyle w:val="TableText"/>
              <w:ind w:left="145"/>
              <w:spacing w:before="75" w:line="219" w:lineRule="auto"/>
              <w:rPr>
                <w:sz w:val="25"/>
                <w:szCs w:val="25"/>
              </w:rPr>
            </w:pPr>
            <w:r>
              <w:rPr>
                <w:sz w:val="25"/>
                <w:szCs w:val="25"/>
                <w:spacing w:val="-2"/>
              </w:rPr>
              <w:t>拆开导风罩并清洗</w:t>
            </w:r>
          </w:p>
        </w:tc>
      </w:tr>
      <w:tr>
        <w:trPr>
          <w:trHeight w:val="390"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75" w:line="219" w:lineRule="auto"/>
              <w:rPr>
                <w:sz w:val="25"/>
                <w:szCs w:val="25"/>
              </w:rPr>
            </w:pPr>
            <w:r>
              <w:rPr>
                <w:sz w:val="25"/>
                <w:szCs w:val="25"/>
                <w:spacing w:val="1"/>
              </w:rPr>
              <w:t>化油器没有调校好</w:t>
            </w:r>
          </w:p>
        </w:tc>
        <w:tc>
          <w:tcPr>
            <w:tcW w:w="5520" w:type="dxa"/>
            <w:vAlign w:val="top"/>
          </w:tcPr>
          <w:p>
            <w:pPr>
              <w:pStyle w:val="TableText"/>
              <w:ind w:left="145"/>
              <w:spacing w:before="75" w:line="219" w:lineRule="auto"/>
              <w:rPr>
                <w:sz w:val="25"/>
                <w:szCs w:val="25"/>
              </w:rPr>
            </w:pPr>
            <w:r>
              <w:rPr>
                <w:sz w:val="25"/>
                <w:szCs w:val="25"/>
                <w:spacing w:val="-1"/>
              </w:rPr>
              <w:t>进行必要的检测和调试</w:t>
            </w:r>
          </w:p>
        </w:tc>
      </w:tr>
      <w:tr>
        <w:trPr>
          <w:trHeight w:val="390" w:hRule="atLeast"/>
        </w:trPr>
        <w:tc>
          <w:tcPr>
            <w:tcW w:w="1693" w:type="dxa"/>
            <w:vAlign w:val="top"/>
            <w:vMerge w:val="restart"/>
            <w:tcBorders>
              <w:bottom w:val="nil"/>
            </w:tcBorders>
          </w:tcPr>
          <w:p>
            <w:pPr>
              <w:pStyle w:val="TableText"/>
              <w:ind w:left="214" w:right="203"/>
              <w:spacing w:before="85" w:line="245" w:lineRule="auto"/>
              <w:rPr>
                <w:sz w:val="25"/>
                <w:szCs w:val="25"/>
              </w:rPr>
            </w:pPr>
            <w:r>
              <w:rPr>
                <w:sz w:val="25"/>
                <w:szCs w:val="25"/>
                <w:spacing w:val="2"/>
              </w:rPr>
              <w:t>高速运转时</w:t>
            </w:r>
            <w:r>
              <w:rPr>
                <w:sz w:val="25"/>
                <w:szCs w:val="25"/>
                <w:spacing w:val="3"/>
              </w:rPr>
              <w:t xml:space="preserve"> </w:t>
            </w:r>
            <w:r>
              <w:rPr>
                <w:sz w:val="25"/>
                <w:szCs w:val="25"/>
                <w:spacing w:val="2"/>
              </w:rPr>
              <w:t>汽油机振歇</w:t>
            </w:r>
          </w:p>
        </w:tc>
        <w:tc>
          <w:tcPr>
            <w:tcW w:w="3606" w:type="dxa"/>
            <w:vAlign w:val="top"/>
          </w:tcPr>
          <w:p>
            <w:pPr>
              <w:pStyle w:val="TableText"/>
              <w:ind w:left="101"/>
              <w:spacing w:before="75" w:line="219" w:lineRule="auto"/>
              <w:rPr>
                <w:sz w:val="25"/>
                <w:szCs w:val="25"/>
              </w:rPr>
            </w:pPr>
            <w:r>
              <w:rPr>
                <w:sz w:val="25"/>
                <w:szCs w:val="25"/>
                <w:spacing w:val="1"/>
              </w:rPr>
              <w:t>火花塞间隙不对</w:t>
            </w:r>
          </w:p>
        </w:tc>
        <w:tc>
          <w:tcPr>
            <w:tcW w:w="5520" w:type="dxa"/>
            <w:vAlign w:val="top"/>
          </w:tcPr>
          <w:p>
            <w:pPr>
              <w:pStyle w:val="TableText"/>
              <w:ind w:left="145"/>
              <w:spacing w:before="75" w:line="219" w:lineRule="auto"/>
              <w:rPr>
                <w:sz w:val="25"/>
                <w:szCs w:val="25"/>
              </w:rPr>
            </w:pPr>
            <w:r>
              <w:rPr>
                <w:sz w:val="25"/>
                <w:szCs w:val="25"/>
                <w:spacing w:val="18"/>
              </w:rPr>
              <w:t>调校火花塞间距到0.03”</w:t>
            </w:r>
          </w:p>
        </w:tc>
      </w:tr>
      <w:tr>
        <w:trPr>
          <w:trHeight w:val="359"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64" w:line="210" w:lineRule="auto"/>
              <w:rPr>
                <w:sz w:val="25"/>
                <w:szCs w:val="25"/>
              </w:rPr>
            </w:pPr>
            <w:r>
              <w:rPr>
                <w:sz w:val="25"/>
                <w:szCs w:val="25"/>
              </w:rPr>
              <w:t>化油器怠速比没有调好</w:t>
            </w:r>
          </w:p>
        </w:tc>
        <w:tc>
          <w:tcPr>
            <w:tcW w:w="5520" w:type="dxa"/>
            <w:vAlign w:val="top"/>
          </w:tcPr>
          <w:p>
            <w:pPr>
              <w:pStyle w:val="TableText"/>
              <w:ind w:left="145"/>
              <w:spacing w:before="64" w:line="210" w:lineRule="auto"/>
              <w:rPr>
                <w:sz w:val="25"/>
                <w:szCs w:val="25"/>
              </w:rPr>
            </w:pPr>
            <w:r>
              <w:rPr>
                <w:sz w:val="25"/>
                <w:szCs w:val="25"/>
                <w:spacing w:val="-1"/>
              </w:rPr>
              <w:t>进行必要的检测与调试</w:t>
            </w:r>
          </w:p>
        </w:tc>
      </w:tr>
      <w:tr>
        <w:trPr>
          <w:trHeight w:val="759" w:hRule="atLeast"/>
        </w:trPr>
        <w:tc>
          <w:tcPr>
            <w:tcW w:w="1693" w:type="dxa"/>
            <w:vAlign w:val="top"/>
          </w:tcPr>
          <w:p>
            <w:pPr>
              <w:pStyle w:val="TableText"/>
              <w:ind w:left="124"/>
              <w:spacing w:before="267" w:line="220" w:lineRule="auto"/>
              <w:rPr>
                <w:sz w:val="25"/>
                <w:szCs w:val="25"/>
              </w:rPr>
            </w:pPr>
            <w:r>
              <w:rPr>
                <w:sz w:val="25"/>
                <w:szCs w:val="25"/>
                <w:spacing w:val="3"/>
              </w:rPr>
              <w:t>过度振颤</w:t>
            </w:r>
          </w:p>
        </w:tc>
        <w:tc>
          <w:tcPr>
            <w:tcW w:w="3606" w:type="dxa"/>
            <w:vAlign w:val="top"/>
          </w:tcPr>
          <w:p>
            <w:pPr>
              <w:pStyle w:val="TableText"/>
              <w:ind w:left="101"/>
              <w:spacing w:before="266" w:line="219" w:lineRule="auto"/>
              <w:rPr>
                <w:sz w:val="25"/>
                <w:szCs w:val="25"/>
              </w:rPr>
            </w:pPr>
            <w:r>
              <w:rPr>
                <w:sz w:val="25"/>
                <w:szCs w:val="25"/>
              </w:rPr>
              <w:t>刀片松了、弯了或失去平衡</w:t>
            </w:r>
          </w:p>
        </w:tc>
        <w:tc>
          <w:tcPr>
            <w:tcW w:w="5520" w:type="dxa"/>
            <w:vAlign w:val="top"/>
          </w:tcPr>
          <w:p>
            <w:pPr>
              <w:pStyle w:val="TableText"/>
              <w:ind w:left="145" w:right="108"/>
              <w:spacing w:before="96" w:line="241" w:lineRule="auto"/>
              <w:rPr>
                <w:sz w:val="25"/>
                <w:szCs w:val="25"/>
              </w:rPr>
            </w:pPr>
            <w:r>
              <w:rPr>
                <w:sz w:val="25"/>
                <w:szCs w:val="25"/>
                <w:spacing w:val="6"/>
              </w:rPr>
              <w:t>立即停机!紧固刀片和连刀器；平衡打磨刀片；</w:t>
            </w:r>
            <w:r>
              <w:rPr>
                <w:sz w:val="25"/>
                <w:szCs w:val="25"/>
                <w:spacing w:val="3"/>
              </w:rPr>
              <w:t xml:space="preserve"> </w:t>
            </w:r>
            <w:r>
              <w:rPr>
                <w:sz w:val="25"/>
                <w:szCs w:val="25"/>
                <w:spacing w:val="1"/>
              </w:rPr>
              <w:t>更换新的原厂提供的刀片</w:t>
            </w:r>
          </w:p>
        </w:tc>
      </w:tr>
      <w:tr>
        <w:trPr>
          <w:trHeight w:val="390" w:hRule="atLeast"/>
        </w:trPr>
        <w:tc>
          <w:tcPr>
            <w:tcW w:w="1693" w:type="dxa"/>
            <w:vAlign w:val="top"/>
            <w:vMerge w:val="restart"/>
            <w:tcBorders>
              <w:bottom w:val="nil"/>
            </w:tcBorders>
          </w:tcPr>
          <w:p>
            <w:pPr>
              <w:pStyle w:val="TableText"/>
              <w:ind w:left="124" w:right="203" w:firstLine="89"/>
              <w:spacing w:before="309" w:line="274" w:lineRule="auto"/>
              <w:rPr>
                <w:sz w:val="25"/>
                <w:szCs w:val="25"/>
              </w:rPr>
            </w:pPr>
            <w:r>
              <w:rPr>
                <w:sz w:val="25"/>
                <w:szCs w:val="25"/>
                <w:spacing w:val="2"/>
              </w:rPr>
              <w:t>怠速运转时</w:t>
            </w:r>
            <w:r>
              <w:rPr>
                <w:sz w:val="25"/>
                <w:szCs w:val="25"/>
                <w:spacing w:val="3"/>
              </w:rPr>
              <w:t xml:space="preserve"> </w:t>
            </w:r>
            <w:r>
              <w:rPr>
                <w:sz w:val="25"/>
                <w:szCs w:val="25"/>
                <w:spacing w:val="3"/>
              </w:rPr>
              <w:t>熄火频繁</w:t>
            </w:r>
          </w:p>
        </w:tc>
        <w:tc>
          <w:tcPr>
            <w:tcW w:w="3606" w:type="dxa"/>
            <w:vAlign w:val="top"/>
          </w:tcPr>
          <w:p>
            <w:pPr>
              <w:pStyle w:val="TableText"/>
              <w:ind w:left="101"/>
              <w:spacing w:before="77" w:line="219" w:lineRule="auto"/>
              <w:rPr>
                <w:sz w:val="25"/>
                <w:szCs w:val="25"/>
              </w:rPr>
            </w:pPr>
            <w:r>
              <w:rPr>
                <w:sz w:val="25"/>
                <w:szCs w:val="25"/>
              </w:rPr>
              <w:t>火花塞太旧或点火间隙太长</w:t>
            </w:r>
          </w:p>
        </w:tc>
        <w:tc>
          <w:tcPr>
            <w:tcW w:w="5520" w:type="dxa"/>
            <w:vAlign w:val="top"/>
          </w:tcPr>
          <w:p>
            <w:pPr>
              <w:pStyle w:val="TableText"/>
              <w:ind w:left="145"/>
              <w:spacing w:before="77" w:line="219" w:lineRule="auto"/>
              <w:rPr>
                <w:sz w:val="25"/>
                <w:szCs w:val="25"/>
              </w:rPr>
            </w:pPr>
            <w:r>
              <w:rPr>
                <w:sz w:val="25"/>
                <w:szCs w:val="25"/>
                <w:spacing w:val="1"/>
              </w:rPr>
              <w:t>调校点火频率或更换火花塞</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8" w:line="220" w:lineRule="auto"/>
              <w:rPr>
                <w:sz w:val="25"/>
                <w:szCs w:val="25"/>
              </w:rPr>
            </w:pPr>
            <w:r>
              <w:rPr>
                <w:sz w:val="25"/>
                <w:szCs w:val="25"/>
                <w:spacing w:val="3"/>
              </w:rPr>
              <w:t>化油器没有调</w:t>
            </w:r>
          </w:p>
        </w:tc>
        <w:tc>
          <w:tcPr>
            <w:tcW w:w="5520" w:type="dxa"/>
            <w:vAlign w:val="top"/>
          </w:tcPr>
          <w:p>
            <w:pPr>
              <w:pStyle w:val="TableText"/>
              <w:ind w:left="145"/>
              <w:spacing w:before="77" w:line="219" w:lineRule="auto"/>
              <w:rPr>
                <w:sz w:val="25"/>
                <w:szCs w:val="25"/>
              </w:rPr>
            </w:pPr>
            <w:r>
              <w:rPr>
                <w:sz w:val="25"/>
                <w:szCs w:val="25"/>
                <w:spacing w:val="-1"/>
              </w:rPr>
              <w:t>进行必要的检测和调试</w:t>
            </w:r>
          </w:p>
        </w:tc>
      </w:tr>
      <w:tr>
        <w:trPr>
          <w:trHeight w:val="439"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108" w:line="220" w:lineRule="auto"/>
              <w:rPr>
                <w:sz w:val="25"/>
                <w:szCs w:val="25"/>
              </w:rPr>
            </w:pPr>
            <w:r>
              <w:rPr>
                <w:sz w:val="25"/>
                <w:szCs w:val="25"/>
                <w:spacing w:val="4"/>
              </w:rPr>
              <w:t>空气滤清器脏了</w:t>
            </w:r>
          </w:p>
        </w:tc>
        <w:tc>
          <w:tcPr>
            <w:tcW w:w="5520" w:type="dxa"/>
            <w:vAlign w:val="top"/>
          </w:tcPr>
          <w:p>
            <w:pPr>
              <w:pStyle w:val="TableText"/>
              <w:ind w:left="145"/>
              <w:spacing w:before="108" w:line="220" w:lineRule="auto"/>
              <w:rPr>
                <w:sz w:val="25"/>
                <w:szCs w:val="25"/>
              </w:rPr>
            </w:pPr>
            <w:r>
              <w:rPr>
                <w:sz w:val="25"/>
                <w:szCs w:val="25"/>
                <w:spacing w:val="-1"/>
              </w:rPr>
              <w:t>进行清洗或更换</w:t>
            </w:r>
          </w:p>
        </w:tc>
      </w:tr>
      <w:tr>
        <w:trPr>
          <w:trHeight w:val="370" w:hRule="atLeast"/>
        </w:trPr>
        <w:tc>
          <w:tcPr>
            <w:tcW w:w="1693" w:type="dxa"/>
            <w:vAlign w:val="top"/>
            <w:vMerge w:val="restart"/>
            <w:tcBorders>
              <w:bottom w:val="nil"/>
            </w:tcBorders>
          </w:tcPr>
          <w:p>
            <w:pPr>
              <w:spacing w:line="372" w:lineRule="auto"/>
              <w:rPr>
                <w:rFonts w:ascii="Arial"/>
                <w:sz w:val="21"/>
              </w:rPr>
            </w:pPr>
            <w:r/>
          </w:p>
          <w:p>
            <w:pPr>
              <w:pStyle w:val="TableText"/>
              <w:ind w:left="104" w:right="205" w:firstLine="109"/>
              <w:spacing w:before="81" w:line="269" w:lineRule="auto"/>
              <w:rPr>
                <w:sz w:val="25"/>
                <w:szCs w:val="25"/>
              </w:rPr>
            </w:pPr>
            <w:r>
              <w:rPr>
                <w:sz w:val="25"/>
                <w:szCs w:val="25"/>
                <w:spacing w:val="2"/>
              </w:rPr>
              <w:t>草坪机不能</w:t>
            </w:r>
            <w:r>
              <w:rPr>
                <w:sz w:val="25"/>
                <w:szCs w:val="25"/>
                <w:spacing w:val="1"/>
              </w:rPr>
              <w:t xml:space="preserve"> </w:t>
            </w:r>
            <w:r>
              <w:rPr>
                <w:sz w:val="25"/>
                <w:szCs w:val="25"/>
                <w:spacing w:val="5"/>
              </w:rPr>
              <w:t>碎草</w:t>
            </w:r>
          </w:p>
        </w:tc>
        <w:tc>
          <w:tcPr>
            <w:tcW w:w="3606" w:type="dxa"/>
            <w:vAlign w:val="top"/>
          </w:tcPr>
          <w:p>
            <w:pPr>
              <w:pStyle w:val="TableText"/>
              <w:ind w:left="101"/>
              <w:spacing w:before="67" w:line="216" w:lineRule="auto"/>
              <w:rPr>
                <w:sz w:val="25"/>
                <w:szCs w:val="25"/>
              </w:rPr>
            </w:pPr>
            <w:r>
              <w:rPr>
                <w:sz w:val="25"/>
                <w:szCs w:val="25"/>
                <w:spacing w:val="2"/>
              </w:rPr>
              <w:t>汽油机转速太低</w:t>
            </w:r>
          </w:p>
        </w:tc>
        <w:tc>
          <w:tcPr>
            <w:tcW w:w="5520" w:type="dxa"/>
            <w:vAlign w:val="top"/>
          </w:tcPr>
          <w:p>
            <w:pPr>
              <w:pStyle w:val="TableText"/>
              <w:ind w:left="145"/>
              <w:spacing w:before="67" w:line="216" w:lineRule="auto"/>
              <w:rPr>
                <w:sz w:val="25"/>
                <w:szCs w:val="25"/>
              </w:rPr>
            </w:pPr>
            <w:r>
              <w:rPr>
                <w:sz w:val="25"/>
                <w:szCs w:val="25"/>
                <w:spacing w:val="1"/>
              </w:rPr>
              <w:t>把风门放到最大到四分之三大之间</w:t>
            </w:r>
          </w:p>
        </w:tc>
      </w:tr>
      <w:tr>
        <w:trPr>
          <w:trHeight w:val="390" w:hRule="atLeast"/>
        </w:trPr>
        <w:tc>
          <w:tcPr>
            <w:tcW w:w="1693" w:type="dxa"/>
            <w:vAlign w:val="top"/>
            <w:vMerge w:val="continue"/>
            <w:tcBorders>
              <w:top w:val="nil"/>
              <w:bottom w:val="nil"/>
            </w:tcBorders>
          </w:tcPr>
          <w:p>
            <w:pPr>
              <w:rPr>
                <w:rFonts w:ascii="Arial"/>
                <w:sz w:val="21"/>
              </w:rPr>
            </w:pPr>
            <w:r/>
          </w:p>
        </w:tc>
        <w:tc>
          <w:tcPr>
            <w:tcW w:w="3606" w:type="dxa"/>
            <w:vAlign w:val="top"/>
          </w:tcPr>
          <w:p>
            <w:pPr>
              <w:pStyle w:val="TableText"/>
              <w:ind w:left="101"/>
              <w:spacing w:before="78" w:line="219" w:lineRule="auto"/>
              <w:rPr>
                <w:sz w:val="25"/>
                <w:szCs w:val="25"/>
              </w:rPr>
            </w:pPr>
            <w:r>
              <w:rPr>
                <w:sz w:val="25"/>
                <w:szCs w:val="25"/>
                <w:spacing w:val="1"/>
              </w:rPr>
              <w:t>草坪湿度过大</w:t>
            </w:r>
          </w:p>
        </w:tc>
        <w:tc>
          <w:tcPr>
            <w:tcW w:w="5520" w:type="dxa"/>
            <w:vAlign w:val="top"/>
          </w:tcPr>
          <w:p>
            <w:pPr>
              <w:pStyle w:val="TableText"/>
              <w:ind w:left="145"/>
              <w:spacing w:before="76" w:line="219" w:lineRule="auto"/>
              <w:rPr>
                <w:sz w:val="25"/>
                <w:szCs w:val="25"/>
              </w:rPr>
            </w:pPr>
            <w:r>
              <w:rPr>
                <w:sz w:val="25"/>
                <w:szCs w:val="25"/>
                <w:spacing w:val="1"/>
              </w:rPr>
              <w:t>等草在干一些再剪草</w:t>
            </w:r>
          </w:p>
        </w:tc>
      </w:tr>
      <w:tr>
        <w:trPr>
          <w:trHeight w:val="759"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268" w:line="219" w:lineRule="auto"/>
              <w:rPr>
                <w:sz w:val="25"/>
                <w:szCs w:val="25"/>
              </w:rPr>
            </w:pPr>
            <w:r>
              <w:rPr>
                <w:sz w:val="25"/>
                <w:szCs w:val="25"/>
                <w:spacing w:val="2"/>
              </w:rPr>
              <w:t>草坪过长</w:t>
            </w:r>
          </w:p>
        </w:tc>
        <w:tc>
          <w:tcPr>
            <w:tcW w:w="5520" w:type="dxa"/>
            <w:vAlign w:val="top"/>
          </w:tcPr>
          <w:p>
            <w:pPr>
              <w:pStyle w:val="TableText"/>
              <w:ind w:left="144" w:right="153" w:hanging="19"/>
              <w:spacing w:before="88" w:line="244" w:lineRule="auto"/>
              <w:rPr>
                <w:sz w:val="25"/>
                <w:szCs w:val="25"/>
              </w:rPr>
            </w:pPr>
            <w:r>
              <w:rPr>
                <w:sz w:val="25"/>
                <w:szCs w:val="25"/>
                <w:spacing w:val="-1"/>
              </w:rPr>
              <w:t>将刀盘高度调高，一次只剪草叶的三分之一。或</w:t>
            </w:r>
            <w:r>
              <w:rPr>
                <w:sz w:val="25"/>
                <w:szCs w:val="25"/>
              </w:rPr>
              <w:t xml:space="preserve"> </w:t>
            </w:r>
            <w:r>
              <w:rPr>
                <w:sz w:val="25"/>
                <w:szCs w:val="25"/>
                <w:spacing w:val="1"/>
              </w:rPr>
              <w:t>者一次只剪半幅草</w:t>
            </w:r>
          </w:p>
        </w:tc>
      </w:tr>
      <w:tr>
        <w:trPr>
          <w:trHeight w:val="390" w:hRule="atLeast"/>
        </w:trPr>
        <w:tc>
          <w:tcPr>
            <w:tcW w:w="1693" w:type="dxa"/>
            <w:vAlign w:val="top"/>
            <w:vMerge w:val="restart"/>
            <w:tcBorders>
              <w:bottom w:val="nil"/>
            </w:tcBorders>
          </w:tcPr>
          <w:p>
            <w:pPr>
              <w:pStyle w:val="TableText"/>
              <w:ind w:left="114" w:right="204" w:firstLine="99"/>
              <w:spacing w:before="78" w:line="253" w:lineRule="auto"/>
              <w:rPr>
                <w:sz w:val="25"/>
                <w:szCs w:val="25"/>
              </w:rPr>
            </w:pPr>
            <w:r>
              <w:rPr>
                <w:sz w:val="25"/>
                <w:szCs w:val="25"/>
                <w:spacing w:val="2"/>
              </w:rPr>
              <w:t>剪草质量不 </w:t>
            </w:r>
            <w:r>
              <w:rPr>
                <w:sz w:val="25"/>
                <w:szCs w:val="25"/>
              </w:rPr>
              <w:t>好</w:t>
            </w:r>
          </w:p>
        </w:tc>
        <w:tc>
          <w:tcPr>
            <w:tcW w:w="3606" w:type="dxa"/>
            <w:vAlign w:val="top"/>
          </w:tcPr>
          <w:p>
            <w:pPr>
              <w:pStyle w:val="TableText"/>
              <w:ind w:left="101"/>
              <w:spacing w:before="80" w:line="220" w:lineRule="auto"/>
              <w:rPr>
                <w:sz w:val="25"/>
                <w:szCs w:val="25"/>
              </w:rPr>
            </w:pPr>
            <w:r>
              <w:rPr>
                <w:sz w:val="25"/>
                <w:szCs w:val="25"/>
                <w:spacing w:val="8"/>
              </w:rPr>
              <w:t>刀片钝了</w:t>
            </w:r>
          </w:p>
        </w:tc>
        <w:tc>
          <w:tcPr>
            <w:tcW w:w="5520" w:type="dxa"/>
            <w:vAlign w:val="top"/>
          </w:tcPr>
          <w:p>
            <w:pPr>
              <w:pStyle w:val="TableText"/>
              <w:ind w:left="145"/>
              <w:spacing w:before="80" w:line="220" w:lineRule="auto"/>
              <w:rPr>
                <w:sz w:val="25"/>
                <w:szCs w:val="25"/>
              </w:rPr>
            </w:pPr>
            <w:r>
              <w:rPr>
                <w:sz w:val="25"/>
                <w:szCs w:val="25"/>
                <w:spacing w:val="2"/>
              </w:rPr>
              <w:t>磨刀或者更换新刀片</w:t>
            </w:r>
          </w:p>
        </w:tc>
      </w:tr>
      <w:tr>
        <w:trPr>
          <w:trHeight w:val="374" w:hRule="atLeast"/>
        </w:trPr>
        <w:tc>
          <w:tcPr>
            <w:tcW w:w="1693" w:type="dxa"/>
            <w:vAlign w:val="top"/>
            <w:vMerge w:val="continue"/>
            <w:tcBorders>
              <w:top w:val="nil"/>
            </w:tcBorders>
          </w:tcPr>
          <w:p>
            <w:pPr>
              <w:rPr>
                <w:rFonts w:ascii="Arial"/>
                <w:sz w:val="21"/>
              </w:rPr>
            </w:pPr>
            <w:r/>
          </w:p>
        </w:tc>
        <w:tc>
          <w:tcPr>
            <w:tcW w:w="3606" w:type="dxa"/>
            <w:vAlign w:val="top"/>
          </w:tcPr>
          <w:p>
            <w:pPr>
              <w:pStyle w:val="TableText"/>
              <w:ind w:left="101"/>
              <w:spacing w:before="68" w:line="218" w:lineRule="auto"/>
              <w:rPr>
                <w:sz w:val="25"/>
                <w:szCs w:val="25"/>
              </w:rPr>
            </w:pPr>
            <w:r>
              <w:rPr>
                <w:sz w:val="25"/>
                <w:szCs w:val="25"/>
                <w:spacing w:val="4"/>
              </w:rPr>
              <w:t>轮子高度不一</w:t>
            </w:r>
          </w:p>
        </w:tc>
        <w:tc>
          <w:tcPr>
            <w:tcW w:w="5520" w:type="dxa"/>
            <w:vAlign w:val="top"/>
          </w:tcPr>
          <w:p>
            <w:pPr>
              <w:pStyle w:val="TableText"/>
              <w:ind w:left="145"/>
              <w:spacing w:before="68" w:line="218" w:lineRule="auto"/>
              <w:rPr>
                <w:sz w:val="25"/>
                <w:szCs w:val="25"/>
              </w:rPr>
            </w:pPr>
            <w:r>
              <w:rPr>
                <w:sz w:val="25"/>
                <w:szCs w:val="25"/>
                <w:spacing w:val="2"/>
              </w:rPr>
              <w:t>把四个轮子高度调为一</w:t>
            </w:r>
          </w:p>
        </w:tc>
      </w:tr>
    </w:tbl>
    <w:p>
      <w:pPr>
        <w:ind w:left="104"/>
        <w:spacing w:before="302" w:line="222" w:lineRule="auto"/>
        <w:outlineLvl w:val="1"/>
        <w:rPr>
          <w:rFonts w:ascii="SimHei" w:hAnsi="SimHei" w:eastAsia="SimHei" w:cs="SimHei"/>
          <w:sz w:val="29"/>
          <w:szCs w:val="29"/>
        </w:rPr>
      </w:pPr>
      <w:bookmarkStart w:name="bookmark52" w:id="91"/>
      <w:bookmarkEnd w:id="91"/>
      <w:r>
        <w:rPr>
          <w:rFonts w:ascii="SimHei" w:hAnsi="SimHei" w:eastAsia="SimHei" w:cs="SimHei"/>
          <w:sz w:val="29"/>
          <w:szCs w:val="29"/>
          <w:spacing w:val="5"/>
        </w:rPr>
        <w:t>五、</w:t>
      </w:r>
      <w:r>
        <w:rPr>
          <w:rFonts w:ascii="SimHei" w:hAnsi="SimHei" w:eastAsia="SimHei" w:cs="SimHei"/>
          <w:sz w:val="29"/>
          <w:szCs w:val="29"/>
          <w:b/>
          <w:bCs/>
          <w:spacing w:val="5"/>
        </w:rPr>
        <w:t>割灌机</w:t>
      </w:r>
    </w:p>
    <w:p>
      <w:pPr>
        <w:pStyle w:val="BodyText"/>
        <w:ind w:left="114" w:right="690" w:firstLine="540"/>
        <w:spacing w:before="135" w:line="307" w:lineRule="auto"/>
        <w:rPr>
          <w:sz w:val="29"/>
          <w:szCs w:val="29"/>
        </w:rPr>
      </w:pPr>
      <w:r>
        <w:rPr>
          <w:sz w:val="29"/>
          <w:szCs w:val="29"/>
          <w:spacing w:val="-3"/>
        </w:rPr>
        <w:t>割灌机又被称为背负式割草机，实际操作时可以背负亦可以手拎，它主要是</w:t>
      </w:r>
      <w:r>
        <w:rPr>
          <w:sz w:val="29"/>
          <w:szCs w:val="29"/>
          <w:spacing w:val="12"/>
        </w:rPr>
        <w:t xml:space="preserve"> </w:t>
      </w:r>
      <w:r>
        <w:rPr>
          <w:sz w:val="29"/>
          <w:szCs w:val="29"/>
          <w:spacing w:val="-6"/>
        </w:rPr>
        <w:t>用于大面积草坪的扫边或者修剪枯草灌木。在割灌机上配备一些可更换的附加装</w:t>
      </w:r>
    </w:p>
    <w:p>
      <w:pPr>
        <w:ind w:firstLine="2704"/>
        <w:spacing w:before="54" w:line="3710" w:lineRule="exact"/>
        <w:rPr/>
      </w:pPr>
      <w:r>
        <w:rPr>
          <w:position w:val="-74"/>
        </w:rPr>
        <w:drawing>
          <wp:inline distT="0" distB="0" distL="0" distR="0">
            <wp:extent cx="2940043" cy="2355858"/>
            <wp:effectExtent l="0" t="0" r="0" b="0"/>
            <wp:docPr id="694" name="IM 694"/>
            <wp:cNvGraphicFramePr/>
            <a:graphic>
              <a:graphicData uri="http://schemas.openxmlformats.org/drawingml/2006/picture">
                <pic:pic>
                  <pic:nvPicPr>
                    <pic:cNvPr id="694" name="IM 694"/>
                    <pic:cNvPicPr/>
                  </pic:nvPicPr>
                  <pic:blipFill>
                    <a:blip r:embed="rId494"/>
                    <a:stretch>
                      <a:fillRect/>
                    </a:stretch>
                  </pic:blipFill>
                  <pic:spPr>
                    <a:xfrm rot="0">
                      <a:off x="0" y="0"/>
                      <a:ext cx="2940043" cy="2355858"/>
                    </a:xfrm>
                    <a:prstGeom prst="rect">
                      <a:avLst/>
                    </a:prstGeom>
                  </pic:spPr>
                </pic:pic>
              </a:graphicData>
            </a:graphic>
          </wp:inline>
        </w:drawing>
      </w:r>
    </w:p>
    <w:p>
      <w:pPr>
        <w:spacing w:line="3710" w:lineRule="exact"/>
        <w:sectPr>
          <w:footerReference w:type="default" r:id="rId493"/>
          <w:pgSz w:w="14490" w:h="20470"/>
          <w:pgMar w:top="400" w:right="1614" w:bottom="280" w:left="2045" w:header="0" w:footer="0" w:gutter="0"/>
        </w:sectPr>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置或设备，还可用于抽水、打穴钻孔、喷施农药等作</w:t>
      </w:r>
      <w:r>
        <w:rPr>
          <w:sz w:val="29"/>
          <w:szCs w:val="29"/>
        </w:rPr>
        <w:t>业。</w:t>
      </w:r>
    </w:p>
    <w:p>
      <w:pPr>
        <w:pStyle w:val="BodyText"/>
        <w:ind w:left="3939"/>
        <w:spacing w:before="172" w:line="219" w:lineRule="auto"/>
        <w:rPr>
          <w:sz w:val="24"/>
          <w:szCs w:val="24"/>
        </w:rPr>
      </w:pPr>
      <w:r>
        <w:rPr>
          <w:sz w:val="24"/>
          <w:szCs w:val="24"/>
          <w:spacing w:val="4"/>
        </w:rPr>
        <w:t>图附7-5-1草坪割灌机</w:t>
      </w:r>
    </w:p>
    <w:p>
      <w:pPr>
        <w:pStyle w:val="BodyText"/>
        <w:spacing w:before="280" w:line="224"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领用</w:t>
      </w:r>
    </w:p>
    <w:p>
      <w:pPr>
        <w:pStyle w:val="BodyText"/>
        <w:ind w:left="620"/>
        <w:spacing w:before="126" w:line="219" w:lineRule="auto"/>
        <w:rPr>
          <w:sz w:val="29"/>
          <w:szCs w:val="29"/>
        </w:rPr>
      </w:pPr>
      <w:r>
        <w:rPr>
          <w:sz w:val="29"/>
          <w:szCs w:val="29"/>
          <w:spacing w:val="1"/>
        </w:rPr>
        <w:t>申领前须检查设备状况，待确认无误后方可签字领取。</w:t>
      </w:r>
    </w:p>
    <w:p>
      <w:pPr>
        <w:pStyle w:val="BodyText"/>
        <w:ind w:right="105" w:firstLine="730"/>
        <w:spacing w:before="143" w:line="260" w:lineRule="auto"/>
        <w:rPr>
          <w:sz w:val="29"/>
          <w:szCs w:val="29"/>
        </w:rPr>
      </w:pPr>
      <w:r>
        <w:rPr>
          <w:sz w:val="29"/>
          <w:szCs w:val="29"/>
          <w:spacing w:val="6"/>
        </w:rPr>
        <w:t>(1)检查机体各部，在确认没有螺丝的松动、漏油、损伤或变形等情况后</w:t>
      </w:r>
      <w:r>
        <w:rPr>
          <w:sz w:val="29"/>
          <w:szCs w:val="29"/>
          <w:spacing w:val="7"/>
        </w:rPr>
        <w:t xml:space="preserve"> </w:t>
      </w:r>
      <w:r>
        <w:rPr>
          <w:sz w:val="29"/>
          <w:szCs w:val="29"/>
        </w:rPr>
        <w:t>方可作业，特别是刀片和刀片连接的部位更</w:t>
      </w:r>
      <w:r>
        <w:rPr>
          <w:sz w:val="29"/>
          <w:szCs w:val="29"/>
          <w:spacing w:val="-1"/>
        </w:rPr>
        <w:t>要仔细检查；</w:t>
      </w:r>
    </w:p>
    <w:p>
      <w:pPr>
        <w:pStyle w:val="BodyText"/>
        <w:ind w:left="730"/>
        <w:spacing w:before="156" w:line="219" w:lineRule="auto"/>
        <w:rPr>
          <w:sz w:val="29"/>
          <w:szCs w:val="29"/>
        </w:rPr>
      </w:pPr>
      <w:r>
        <w:rPr>
          <w:sz w:val="29"/>
          <w:szCs w:val="29"/>
          <w:spacing w:val="6"/>
        </w:rPr>
        <w:t>(2)查看油箱油位，如果油位过低，则补充燃料，</w:t>
      </w:r>
      <w:r>
        <w:rPr>
          <w:sz w:val="29"/>
          <w:szCs w:val="29"/>
          <w:spacing w:val="5"/>
        </w:rPr>
        <w:t>加油时禁止吸烟；</w:t>
      </w:r>
    </w:p>
    <w:p>
      <w:pPr>
        <w:pStyle w:val="BodyText"/>
        <w:ind w:left="730"/>
        <w:spacing w:before="154" w:line="219" w:lineRule="auto"/>
        <w:rPr>
          <w:sz w:val="29"/>
          <w:szCs w:val="29"/>
        </w:rPr>
      </w:pPr>
      <w:r>
        <w:rPr>
          <w:sz w:val="29"/>
          <w:szCs w:val="29"/>
          <w:spacing w:val="8"/>
        </w:rPr>
        <w:t>(3)检查机油油位是否过低，否则加入机油至</w:t>
      </w:r>
      <w:r>
        <w:rPr>
          <w:sz w:val="29"/>
          <w:szCs w:val="29"/>
          <w:spacing w:val="7"/>
        </w:rPr>
        <w:t>油口。</w:t>
      </w:r>
    </w:p>
    <w:p>
      <w:pPr>
        <w:pStyle w:val="BodyText"/>
        <w:spacing w:before="109" w:line="223"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准备</w:t>
      </w:r>
    </w:p>
    <w:p>
      <w:pPr>
        <w:pStyle w:val="BodyText"/>
        <w:ind w:left="730"/>
        <w:spacing w:before="146" w:line="218" w:lineRule="auto"/>
        <w:rPr>
          <w:sz w:val="29"/>
          <w:szCs w:val="29"/>
        </w:rPr>
      </w:pPr>
      <w:r>
        <w:rPr>
          <w:sz w:val="29"/>
          <w:szCs w:val="29"/>
          <w:spacing w:val="5"/>
        </w:rPr>
        <w:t>(1)作业地点须应先放置工作告示牌，15米范围内为危险区；</w:t>
      </w:r>
    </w:p>
    <w:p>
      <w:pPr>
        <w:pStyle w:val="BodyText"/>
        <w:ind w:left="730"/>
        <w:spacing w:before="150" w:line="219" w:lineRule="auto"/>
        <w:rPr>
          <w:sz w:val="29"/>
          <w:szCs w:val="29"/>
        </w:rPr>
      </w:pPr>
      <w:r>
        <w:rPr>
          <w:sz w:val="29"/>
          <w:szCs w:val="29"/>
          <w:spacing w:val="5"/>
        </w:rPr>
        <w:t>(2)在开始作业前，弄清地形，清除可以移动的障碍物与草皮内的石块；</w:t>
      </w:r>
    </w:p>
    <w:p>
      <w:pPr>
        <w:pStyle w:val="BodyText"/>
        <w:ind w:left="730"/>
        <w:spacing w:before="144" w:line="219" w:lineRule="auto"/>
        <w:rPr>
          <w:sz w:val="29"/>
          <w:szCs w:val="29"/>
        </w:rPr>
      </w:pPr>
      <w:r>
        <w:rPr>
          <w:sz w:val="29"/>
          <w:szCs w:val="29"/>
          <w:spacing w:val="4"/>
        </w:rPr>
        <w:t>(3)加油时如燃料碰洒，</w:t>
      </w:r>
      <w:r>
        <w:rPr>
          <w:sz w:val="29"/>
          <w:szCs w:val="29"/>
          <w:spacing w:val="-69"/>
        </w:rPr>
        <w:t xml:space="preserve"> </w:t>
      </w:r>
      <w:r>
        <w:rPr>
          <w:sz w:val="29"/>
          <w:szCs w:val="29"/>
          <w:spacing w:val="4"/>
        </w:rPr>
        <w:t>一定要将机体上附着的燃料擦净方可启动引擎。</w:t>
      </w:r>
    </w:p>
    <w:p>
      <w:pPr>
        <w:pStyle w:val="BodyText"/>
        <w:spacing w:before="64" w:line="396"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启动</w:t>
      </w:r>
    </w:p>
    <w:p>
      <w:pPr>
        <w:pStyle w:val="BodyText"/>
        <w:ind w:left="730"/>
        <w:spacing w:before="125" w:line="217" w:lineRule="auto"/>
        <w:rPr>
          <w:sz w:val="29"/>
          <w:szCs w:val="29"/>
        </w:rPr>
      </w:pPr>
      <w:r>
        <w:rPr>
          <w:sz w:val="29"/>
          <w:szCs w:val="29"/>
          <w:spacing w:val="-4"/>
        </w:rPr>
        <w:t>①</w:t>
      </w:r>
      <w:r>
        <w:rPr>
          <w:sz w:val="29"/>
          <w:szCs w:val="29"/>
          <w:spacing w:val="44"/>
        </w:rPr>
        <w:t xml:space="preserve">  </w:t>
      </w:r>
      <w:r>
        <w:rPr>
          <w:sz w:val="29"/>
          <w:szCs w:val="29"/>
          <w:spacing w:val="-4"/>
        </w:rPr>
        <w:t>调节打草绳长15</w:t>
      </w:r>
      <w:r>
        <w:rPr>
          <w:rFonts w:ascii="Times New Roman" w:hAnsi="Times New Roman" w:eastAsia="Times New Roman" w:cs="Times New Roman"/>
          <w:sz w:val="29"/>
          <w:szCs w:val="29"/>
          <w:spacing w:val="-4"/>
        </w:rPr>
        <w:t>cm</w:t>
      </w:r>
      <w:r>
        <w:rPr>
          <w:sz w:val="29"/>
          <w:szCs w:val="29"/>
          <w:spacing w:val="-4"/>
        </w:rPr>
        <w:t>左右，打开风门，油门调至怠速或小油门位置；</w:t>
      </w:r>
    </w:p>
    <w:p>
      <w:pPr>
        <w:pStyle w:val="BodyText"/>
        <w:ind w:right="331" w:firstLine="730"/>
        <w:spacing w:before="159" w:line="269" w:lineRule="auto"/>
        <w:rPr>
          <w:sz w:val="29"/>
          <w:szCs w:val="29"/>
        </w:rPr>
      </w:pPr>
      <w:r>
        <w:rPr>
          <w:sz w:val="29"/>
          <w:szCs w:val="29"/>
          <w:spacing w:val="-13"/>
        </w:rPr>
        <w:t>②  找处平缓地面，放稳机器，抓住上把手</w:t>
      </w:r>
      <w:r>
        <w:rPr>
          <w:sz w:val="29"/>
          <w:szCs w:val="29"/>
          <w:spacing w:val="-14"/>
        </w:rPr>
        <w:t>，轻轻拉动传动引绳直至拉满，</w:t>
      </w:r>
      <w:r>
        <w:rPr>
          <w:sz w:val="29"/>
          <w:szCs w:val="29"/>
        </w:rPr>
        <w:t xml:space="preserve"> </w:t>
      </w:r>
      <w:r>
        <w:rPr>
          <w:sz w:val="29"/>
          <w:szCs w:val="29"/>
          <w:spacing w:val="-4"/>
        </w:rPr>
        <w:t>在顺着回弹力的方向慢慢回放，而后快速拉动引绳，启动机器。</w:t>
      </w:r>
    </w:p>
    <w:p>
      <w:pPr>
        <w:pStyle w:val="BodyText"/>
        <w:spacing w:before="176" w:line="222"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作业</w:t>
      </w:r>
    </w:p>
    <w:p>
      <w:pPr>
        <w:pStyle w:val="BodyText"/>
        <w:ind w:right="24" w:firstLine="1340"/>
        <w:spacing w:before="83" w:line="311" w:lineRule="auto"/>
        <w:jc w:val="both"/>
        <w:rPr>
          <w:sz w:val="29"/>
          <w:szCs w:val="29"/>
        </w:rPr>
      </w:pPr>
      <w:r>
        <w:rPr>
          <w:sz w:val="29"/>
          <w:szCs w:val="29"/>
          <w:spacing w:val="4"/>
        </w:rPr>
        <w:t>用吊带把机器背起，紧握机体把手，速度均匀，</w:t>
      </w:r>
      <w:r>
        <w:rPr>
          <w:sz w:val="29"/>
          <w:szCs w:val="29"/>
          <w:spacing w:val="3"/>
        </w:rPr>
        <w:t>沿地面轻压草皮，开</w:t>
      </w:r>
      <w:r>
        <w:rPr>
          <w:sz w:val="29"/>
          <w:szCs w:val="29"/>
        </w:rPr>
        <w:t xml:space="preserve"> </w:t>
      </w:r>
      <w:r>
        <w:rPr>
          <w:sz w:val="29"/>
          <w:szCs w:val="29"/>
          <w:spacing w:val="4"/>
        </w:rPr>
        <w:t>始割草，割草动作要一致，左右来回，保持草皮的平整(在割草时要避免传动器</w:t>
      </w:r>
      <w:r>
        <w:rPr>
          <w:sz w:val="29"/>
          <w:szCs w:val="29"/>
          <w:spacing w:val="6"/>
        </w:rPr>
        <w:t xml:space="preserve"> </w:t>
      </w:r>
      <w:r>
        <w:rPr>
          <w:sz w:val="29"/>
          <w:szCs w:val="29"/>
          <w:spacing w:val="-5"/>
        </w:rPr>
        <w:t>经常性撞击地面),中断作业时，将加油柄扳回到“启动速度”位置后再松开手；</w:t>
      </w:r>
    </w:p>
    <w:p>
      <w:pPr>
        <w:pStyle w:val="BodyText"/>
        <w:ind w:right="105" w:firstLine="730"/>
        <w:spacing w:before="6" w:line="262" w:lineRule="auto"/>
        <w:rPr>
          <w:sz w:val="29"/>
          <w:szCs w:val="29"/>
        </w:rPr>
      </w:pPr>
      <w:r>
        <w:rPr>
          <w:rFonts w:ascii="Times New Roman" w:hAnsi="Times New Roman" w:eastAsia="Times New Roman" w:cs="Times New Roman"/>
          <w:sz w:val="29"/>
          <w:szCs w:val="29"/>
          <w:spacing w:val="2"/>
        </w:rPr>
        <w:t>2      </w:t>
      </w:r>
      <w:r>
        <w:rPr>
          <w:sz w:val="29"/>
          <w:szCs w:val="29"/>
          <w:spacing w:val="2"/>
        </w:rPr>
        <w:t>当刀片碰到石块等坚硬的东西时，应</w:t>
      </w:r>
      <w:r>
        <w:rPr>
          <w:sz w:val="29"/>
          <w:szCs w:val="29"/>
          <w:spacing w:val="1"/>
        </w:rPr>
        <w:t>立即将引擎关闭，检查刀片是否</w:t>
      </w:r>
      <w:r>
        <w:rPr>
          <w:sz w:val="29"/>
          <w:szCs w:val="29"/>
        </w:rPr>
        <w:t xml:space="preserve"> </w:t>
      </w:r>
      <w:r>
        <w:rPr>
          <w:sz w:val="29"/>
          <w:szCs w:val="29"/>
          <w:spacing w:val="-2"/>
        </w:rPr>
        <w:t>磨损，发现有异常时，要中止作业并更换刀片；</w:t>
      </w:r>
    </w:p>
    <w:p>
      <w:pPr>
        <w:pStyle w:val="BodyText"/>
        <w:ind w:right="96" w:firstLine="730"/>
        <w:spacing w:before="183" w:line="276" w:lineRule="auto"/>
        <w:rPr>
          <w:sz w:val="29"/>
          <w:szCs w:val="29"/>
        </w:rPr>
      </w:pPr>
      <w:r>
        <w:rPr>
          <w:rFonts w:ascii="Times New Roman" w:hAnsi="Times New Roman" w:eastAsia="Times New Roman" w:cs="Times New Roman"/>
          <w:sz w:val="29"/>
          <w:szCs w:val="29"/>
          <w:spacing w:val="2"/>
        </w:rPr>
        <w:t>3      </w:t>
      </w:r>
      <w:r>
        <w:rPr>
          <w:sz w:val="29"/>
          <w:szCs w:val="29"/>
          <w:spacing w:val="2"/>
        </w:rPr>
        <w:t>修剪时应及时去除缠绕在刀片上的枝叶，清除枝叶、机体</w:t>
      </w:r>
      <w:r>
        <w:rPr>
          <w:sz w:val="29"/>
          <w:szCs w:val="29"/>
          <w:spacing w:val="1"/>
        </w:rPr>
        <w:t>检查或加油</w:t>
      </w:r>
      <w:r>
        <w:rPr>
          <w:sz w:val="29"/>
          <w:szCs w:val="29"/>
        </w:rPr>
        <w:t xml:space="preserve"> </w:t>
      </w:r>
      <w:r>
        <w:rPr>
          <w:sz w:val="29"/>
          <w:szCs w:val="29"/>
        </w:rPr>
        <w:t>时，须先关闭引擎，待刀片完全停止转动后再进行上述作业；</w:t>
      </w:r>
    </w:p>
    <w:p>
      <w:pPr>
        <w:pStyle w:val="BodyText"/>
        <w:ind w:right="111" w:firstLine="730"/>
        <w:spacing w:before="134" w:line="269" w:lineRule="auto"/>
        <w:rPr>
          <w:sz w:val="29"/>
          <w:szCs w:val="29"/>
        </w:rPr>
      </w:pPr>
      <w:r>
        <w:rPr>
          <w:rFonts w:ascii="Times New Roman" w:hAnsi="Times New Roman" w:eastAsia="Times New Roman" w:cs="Times New Roman"/>
          <w:sz w:val="29"/>
          <w:szCs w:val="29"/>
          <w:spacing w:val="1"/>
        </w:rPr>
        <w:t>4      </w:t>
      </w:r>
      <w:r>
        <w:rPr>
          <w:sz w:val="29"/>
          <w:szCs w:val="29"/>
          <w:spacing w:val="1"/>
        </w:rPr>
        <w:t>在开动机器进行修剪时，要注意左右及前方人员情况，不允许在未观</w:t>
      </w:r>
      <w:r>
        <w:rPr>
          <w:sz w:val="29"/>
          <w:szCs w:val="29"/>
          <w:spacing w:val="16"/>
        </w:rPr>
        <w:t xml:space="preserve"> </w:t>
      </w:r>
      <w:r>
        <w:rPr>
          <w:sz w:val="29"/>
          <w:szCs w:val="29"/>
          <w:spacing w:val="-2"/>
        </w:rPr>
        <w:t>察确定背后情况下直接转身，禁止吸烟、打闹；</w:t>
      </w:r>
    </w:p>
    <w:p>
      <w:pPr>
        <w:pStyle w:val="BodyText"/>
        <w:ind w:right="109" w:firstLine="730"/>
        <w:spacing w:before="136" w:line="272" w:lineRule="auto"/>
        <w:rPr>
          <w:sz w:val="29"/>
          <w:szCs w:val="29"/>
        </w:rPr>
      </w:pPr>
      <w:r>
        <w:rPr>
          <w:rFonts w:ascii="Times New Roman" w:hAnsi="Times New Roman" w:eastAsia="Times New Roman" w:cs="Times New Roman"/>
          <w:sz w:val="29"/>
          <w:szCs w:val="29"/>
          <w:spacing w:val="1"/>
        </w:rPr>
        <w:t>5      </w:t>
      </w:r>
      <w:r>
        <w:rPr>
          <w:sz w:val="29"/>
          <w:szCs w:val="29"/>
          <w:spacing w:val="1"/>
        </w:rPr>
        <w:t>作业时如果尼龙割刀揽进的草过多，转速会降低，这时应使割刀暂离</w:t>
      </w:r>
      <w:r>
        <w:rPr>
          <w:sz w:val="29"/>
          <w:szCs w:val="29"/>
          <w:spacing w:val="18"/>
        </w:rPr>
        <w:t xml:space="preserve"> </w:t>
      </w:r>
      <w:r>
        <w:rPr>
          <w:sz w:val="29"/>
          <w:szCs w:val="29"/>
          <w:spacing w:val="2"/>
        </w:rPr>
        <w:t>开草面，待提高转速以后再次吃进，每次吃进的深</w:t>
      </w:r>
      <w:r>
        <w:rPr>
          <w:sz w:val="29"/>
          <w:szCs w:val="29"/>
          <w:spacing w:val="1"/>
        </w:rPr>
        <w:t>度可调浅一些。</w:t>
      </w:r>
    </w:p>
    <w:p>
      <w:pPr>
        <w:spacing w:before="196" w:line="223" w:lineRule="auto"/>
        <w:rPr>
          <w:rFonts w:ascii="SimHei" w:hAnsi="SimHei" w:eastAsia="SimHei" w:cs="SimHei"/>
          <w:sz w:val="28"/>
          <w:szCs w:val="28"/>
        </w:rPr>
      </w:pPr>
      <w:r>
        <w:rPr>
          <w:rFonts w:ascii="SimHei" w:hAnsi="SimHei" w:eastAsia="SimHei" w:cs="SimHei"/>
          <w:sz w:val="28"/>
          <w:szCs w:val="28"/>
          <w:spacing w:val="17"/>
        </w:rPr>
        <w:t>5、停机</w:t>
      </w:r>
    </w:p>
    <w:p>
      <w:pPr>
        <w:pStyle w:val="BodyText"/>
        <w:ind w:right="148" w:firstLine="730"/>
        <w:spacing w:before="89" w:line="318" w:lineRule="auto"/>
        <w:rPr>
          <w:sz w:val="29"/>
          <w:szCs w:val="29"/>
        </w:rPr>
      </w:pPr>
      <w:r>
        <w:rPr>
          <w:sz w:val="29"/>
          <w:szCs w:val="29"/>
          <w:spacing w:val="-4"/>
        </w:rPr>
        <w:t>(1)  停机前发动机应怠速运转1—2分钟，然后关闭引擎开关，待设备冷却</w:t>
      </w:r>
      <w:r>
        <w:rPr>
          <w:sz w:val="29"/>
          <w:szCs w:val="29"/>
          <w:spacing w:val="15"/>
        </w:rPr>
        <w:t xml:space="preserve"> </w:t>
      </w:r>
      <w:r>
        <w:rPr>
          <w:sz w:val="29"/>
          <w:szCs w:val="29"/>
        </w:rPr>
        <w:t>后方可检查与保养，严禁未冷却后用手触模消音器火花塞；</w:t>
      </w:r>
    </w:p>
    <w:p>
      <w:pPr>
        <w:pStyle w:val="BodyText"/>
        <w:ind w:right="110" w:firstLine="730"/>
        <w:spacing w:before="2" w:line="309" w:lineRule="auto"/>
        <w:rPr>
          <w:sz w:val="29"/>
          <w:szCs w:val="29"/>
        </w:rPr>
      </w:pPr>
      <w:r>
        <w:rPr>
          <w:sz w:val="29"/>
          <w:szCs w:val="29"/>
          <w:spacing w:val="2"/>
        </w:rPr>
        <w:t>②  工作完毕后应将刀片固定座打开，将草渣</w:t>
      </w:r>
      <w:r>
        <w:rPr>
          <w:sz w:val="29"/>
          <w:szCs w:val="29"/>
          <w:spacing w:val="1"/>
        </w:rPr>
        <w:t>清理干净，并用干布擦拭齿</w:t>
      </w:r>
      <w:r>
        <w:rPr>
          <w:sz w:val="29"/>
          <w:szCs w:val="29"/>
        </w:rPr>
        <w:t xml:space="preserve"> </w:t>
      </w:r>
      <w:r>
        <w:rPr>
          <w:sz w:val="29"/>
          <w:szCs w:val="29"/>
          <w:spacing w:val="-1"/>
        </w:rPr>
        <w:t>轮盒及操作杆。</w:t>
      </w:r>
    </w:p>
    <w:p>
      <w:pPr>
        <w:spacing w:line="309" w:lineRule="auto"/>
        <w:sectPr>
          <w:footerReference w:type="default" r:id="rId495"/>
          <w:pgSz w:w="14490" w:h="20470"/>
          <w:pgMar w:top="400" w:right="2173" w:bottom="1143" w:left="2140" w:header="0" w:footer="945" w:gutter="0"/>
        </w:sectPr>
        <w:rPr>
          <w:sz w:val="29"/>
          <w:szCs w:val="29"/>
        </w:rPr>
      </w:pP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BodyText"/>
        <w:spacing w:before="95" w:line="395" w:lineRule="exact"/>
        <w:rPr>
          <w:rFonts w:ascii="SimHei" w:hAnsi="SimHei" w:eastAsia="SimHei" w:cs="SimHei"/>
          <w:sz w:val="29"/>
          <w:szCs w:val="29"/>
        </w:rPr>
      </w:pPr>
      <w:bookmarkStart w:name="bookmark118" w:id="92"/>
      <w:bookmarkEnd w:id="92"/>
      <w:r>
        <w:rPr>
          <w:rFonts w:ascii="Arial" w:hAnsi="Arial" w:eastAsia="Arial" w:cs="Arial"/>
          <w:sz w:val="29"/>
          <w:szCs w:val="29"/>
          <w:spacing w:val="8"/>
          <w:position w:val="1"/>
        </w:rPr>
        <w:t>6</w:t>
      </w:r>
      <w:r>
        <w:rPr>
          <w:sz w:val="29"/>
          <w:szCs w:val="29"/>
          <w:spacing w:val="8"/>
          <w:position w:val="1"/>
        </w:rPr>
        <w:t>、</w:t>
      </w:r>
      <w:r>
        <w:rPr>
          <w:rFonts w:ascii="SimHei" w:hAnsi="SimHei" w:eastAsia="SimHei" w:cs="SimHei"/>
          <w:sz w:val="29"/>
          <w:szCs w:val="29"/>
          <w:spacing w:val="8"/>
          <w:position w:val="1"/>
        </w:rPr>
        <w:t>保养</w:t>
      </w:r>
    </w:p>
    <w:p>
      <w:pPr>
        <w:pStyle w:val="BodyText"/>
        <w:ind w:left="740"/>
        <w:spacing w:before="127" w:line="219" w:lineRule="auto"/>
        <w:rPr>
          <w:sz w:val="29"/>
          <w:szCs w:val="29"/>
        </w:rPr>
      </w:pPr>
      <w:r>
        <w:rPr>
          <w:sz w:val="29"/>
          <w:szCs w:val="29"/>
          <w:spacing w:val="7"/>
        </w:rPr>
        <w:t>(1)按产品制造厂家规定的机器使用说明书，</w:t>
      </w:r>
      <w:r>
        <w:rPr>
          <w:sz w:val="29"/>
          <w:szCs w:val="29"/>
          <w:spacing w:val="6"/>
        </w:rPr>
        <w:t>正确维护保养；</w:t>
      </w:r>
    </w:p>
    <w:p>
      <w:pPr>
        <w:pStyle w:val="BodyText"/>
        <w:ind w:left="740"/>
        <w:spacing w:before="138" w:line="219" w:lineRule="auto"/>
        <w:rPr>
          <w:sz w:val="29"/>
          <w:szCs w:val="29"/>
        </w:rPr>
      </w:pPr>
      <w:r>
        <w:rPr>
          <w:sz w:val="29"/>
          <w:szCs w:val="29"/>
          <w:spacing w:val="6"/>
        </w:rPr>
        <w:t>(2)进行修理、调整时，应关掉引擎，并将火花塞拔掉后方可进行；</w:t>
      </w:r>
    </w:p>
    <w:p>
      <w:pPr>
        <w:pStyle w:val="BodyText"/>
        <w:ind w:right="157" w:firstLine="740"/>
        <w:spacing w:before="154" w:line="269" w:lineRule="auto"/>
        <w:rPr>
          <w:sz w:val="29"/>
          <w:szCs w:val="29"/>
        </w:rPr>
      </w:pPr>
      <w:r>
        <w:rPr>
          <w:sz w:val="29"/>
          <w:szCs w:val="29"/>
          <w:spacing w:val="4"/>
        </w:rPr>
        <w:t>(3)长期放置时，应将燃料放掉，并启动发动机耗净燃油系统中的汽油；</w:t>
      </w:r>
      <w:r>
        <w:rPr>
          <w:sz w:val="29"/>
          <w:szCs w:val="29"/>
          <w:spacing w:val="17"/>
        </w:rPr>
        <w:t xml:space="preserve"> </w:t>
      </w:r>
      <w:r>
        <w:rPr>
          <w:sz w:val="29"/>
          <w:szCs w:val="29"/>
          <w:spacing w:val="1"/>
        </w:rPr>
        <w:t>将化油器放空；彻底清洁整台设备，特别是汽缸散热片</w:t>
      </w:r>
      <w:r>
        <w:rPr>
          <w:sz w:val="29"/>
          <w:szCs w:val="29"/>
        </w:rPr>
        <w:t>和空气滤清器；</w:t>
      </w:r>
    </w:p>
    <w:p>
      <w:pPr>
        <w:pStyle w:val="BodyText"/>
        <w:ind w:left="740"/>
        <w:spacing w:before="154" w:line="219" w:lineRule="auto"/>
        <w:rPr>
          <w:sz w:val="29"/>
          <w:szCs w:val="29"/>
        </w:rPr>
      </w:pPr>
      <w:r>
        <w:rPr>
          <w:sz w:val="29"/>
          <w:szCs w:val="29"/>
          <w:spacing w:val="-8"/>
        </w:rPr>
        <w:t>(4)清除机体的脏污，检查各部位有无损伤、松动</w:t>
      </w:r>
      <w:r>
        <w:rPr>
          <w:sz w:val="29"/>
          <w:szCs w:val="29"/>
          <w:spacing w:val="-9"/>
        </w:rPr>
        <w:t>，发现异常应彻底调整；</w:t>
      </w:r>
    </w:p>
    <w:p>
      <w:pPr>
        <w:pStyle w:val="BodyText"/>
        <w:ind w:left="740"/>
        <w:spacing w:before="146" w:line="219" w:lineRule="auto"/>
        <w:rPr>
          <w:sz w:val="29"/>
          <w:szCs w:val="29"/>
        </w:rPr>
      </w:pPr>
      <w:r>
        <w:rPr>
          <w:sz w:val="29"/>
          <w:szCs w:val="29"/>
          <w:spacing w:val="9"/>
        </w:rPr>
        <w:t>(5)机器放置在通风、干燥、安全处保管。</w:t>
      </w:r>
    </w:p>
    <w:p>
      <w:pPr>
        <w:spacing w:before="278" w:line="223" w:lineRule="auto"/>
        <w:outlineLvl w:val="1"/>
        <w:rPr>
          <w:rFonts w:ascii="SimHei" w:hAnsi="SimHei" w:eastAsia="SimHei" w:cs="SimHei"/>
          <w:sz w:val="29"/>
          <w:szCs w:val="29"/>
        </w:rPr>
      </w:pPr>
      <w:bookmarkStart w:name="bookmark53" w:id="93"/>
      <w:bookmarkEnd w:id="93"/>
      <w:r>
        <w:rPr>
          <w:rFonts w:ascii="SimHei" w:hAnsi="SimHei" w:eastAsia="SimHei" w:cs="SimHei"/>
          <w:sz w:val="29"/>
          <w:szCs w:val="29"/>
          <w:spacing w:val="2"/>
        </w:rPr>
        <w:t>六、打药机</w:t>
      </w:r>
    </w:p>
    <w:p>
      <w:pPr>
        <w:pStyle w:val="BodyText"/>
        <w:ind w:firstLine="540"/>
        <w:spacing w:before="159" w:line="324" w:lineRule="auto"/>
        <w:rPr>
          <w:sz w:val="29"/>
          <w:szCs w:val="29"/>
        </w:rPr>
      </w:pPr>
      <w:r>
        <w:rPr>
          <w:sz w:val="29"/>
          <w:szCs w:val="29"/>
          <w:spacing w:val="2"/>
        </w:rPr>
        <w:t>打药机适用于园林病虫害的防治，用于公共设施的消毒与杀菌，还可配上推</w:t>
      </w:r>
      <w:r>
        <w:rPr>
          <w:sz w:val="29"/>
          <w:szCs w:val="29"/>
          <w:spacing w:val="5"/>
        </w:rPr>
        <w:t xml:space="preserve"> </w:t>
      </w:r>
      <w:r>
        <w:rPr>
          <w:sz w:val="29"/>
          <w:szCs w:val="29"/>
          <w:spacing w:val="-2"/>
        </w:rPr>
        <w:t>车用于城市绿化、公园和小区草坪等的喷雾。</w:t>
      </w:r>
    </w:p>
    <w:p>
      <w:pPr>
        <w:ind w:firstLine="1330"/>
        <w:spacing w:line="3440" w:lineRule="exact"/>
        <w:rPr/>
      </w:pPr>
      <w:r>
        <w:rPr>
          <w:position w:val="-68"/>
        </w:rPr>
        <w:drawing>
          <wp:inline distT="0" distB="0" distL="0" distR="0">
            <wp:extent cx="5035513" cy="2184389"/>
            <wp:effectExtent l="0" t="0" r="0" b="0"/>
            <wp:docPr id="696" name="IM 696"/>
            <wp:cNvGraphicFramePr/>
            <a:graphic>
              <a:graphicData uri="http://schemas.openxmlformats.org/drawingml/2006/picture">
                <pic:pic>
                  <pic:nvPicPr>
                    <pic:cNvPr id="696" name="IM 696"/>
                    <pic:cNvPicPr/>
                  </pic:nvPicPr>
                  <pic:blipFill>
                    <a:blip r:embed="rId497"/>
                    <a:stretch>
                      <a:fillRect/>
                    </a:stretch>
                  </pic:blipFill>
                  <pic:spPr>
                    <a:xfrm rot="0">
                      <a:off x="0" y="0"/>
                      <a:ext cx="5035513" cy="2184389"/>
                    </a:xfrm>
                    <a:prstGeom prst="rect">
                      <a:avLst/>
                    </a:prstGeom>
                  </pic:spPr>
                </pic:pic>
              </a:graphicData>
            </a:graphic>
          </wp:inline>
        </w:drawing>
      </w:r>
    </w:p>
    <w:p>
      <w:pPr>
        <w:pStyle w:val="BodyText"/>
        <w:ind w:left="4219"/>
        <w:spacing w:before="238" w:line="219" w:lineRule="auto"/>
        <w:rPr>
          <w:sz w:val="24"/>
          <w:szCs w:val="24"/>
        </w:rPr>
      </w:pPr>
      <w:r>
        <w:rPr>
          <w:sz w:val="24"/>
          <w:szCs w:val="24"/>
          <w:spacing w:val="-1"/>
        </w:rPr>
        <w:t>图7-6-1打药机</w:t>
      </w:r>
    </w:p>
    <w:p>
      <w:pPr>
        <w:spacing w:before="240" w:line="224" w:lineRule="auto"/>
        <w:rPr>
          <w:rFonts w:ascii="SimHei" w:hAnsi="SimHei" w:eastAsia="SimHei" w:cs="SimHei"/>
          <w:sz w:val="28"/>
          <w:szCs w:val="28"/>
        </w:rPr>
      </w:pPr>
      <w:r>
        <w:rPr>
          <w:rFonts w:ascii="SimHei" w:hAnsi="SimHei" w:eastAsia="SimHei" w:cs="SimHei"/>
          <w:sz w:val="28"/>
          <w:szCs w:val="28"/>
          <w:spacing w:val="-5"/>
        </w:rPr>
        <w:t>1、领</w:t>
      </w:r>
      <w:r>
        <w:rPr>
          <w:rFonts w:ascii="SimHei" w:hAnsi="SimHei" w:eastAsia="SimHei" w:cs="SimHei"/>
          <w:sz w:val="28"/>
          <w:szCs w:val="28"/>
          <w:spacing w:val="-47"/>
        </w:rPr>
        <w:t xml:space="preserve"> </w:t>
      </w:r>
      <w:r>
        <w:rPr>
          <w:rFonts w:ascii="SimHei" w:hAnsi="SimHei" w:eastAsia="SimHei" w:cs="SimHei"/>
          <w:sz w:val="28"/>
          <w:szCs w:val="28"/>
          <w:spacing w:val="-5"/>
        </w:rPr>
        <w:t>用</w:t>
      </w:r>
    </w:p>
    <w:p>
      <w:pPr>
        <w:pStyle w:val="BodyText"/>
        <w:ind w:right="280" w:firstLine="620"/>
        <w:spacing w:before="120" w:line="320" w:lineRule="auto"/>
        <w:rPr>
          <w:sz w:val="29"/>
          <w:szCs w:val="29"/>
        </w:rPr>
      </w:pPr>
      <w:r>
        <w:rPr>
          <w:sz w:val="29"/>
          <w:szCs w:val="29"/>
          <w:spacing w:val="-9"/>
        </w:rPr>
        <w:t>检查设备的油量、吸水头、加压器、水枪、喷管等是否正常，加足汽油，确</w:t>
      </w:r>
      <w:r>
        <w:rPr>
          <w:sz w:val="29"/>
          <w:szCs w:val="29"/>
          <w:spacing w:val="7"/>
        </w:rPr>
        <w:t xml:space="preserve"> </w:t>
      </w:r>
      <w:r>
        <w:rPr>
          <w:sz w:val="29"/>
          <w:szCs w:val="29"/>
          <w:spacing w:val="-5"/>
        </w:rPr>
        <w:t>认设备完好后签字领用。</w:t>
      </w:r>
    </w:p>
    <w:p>
      <w:pPr>
        <w:pStyle w:val="BodyText"/>
        <w:spacing w:before="35" w:line="223" w:lineRule="auto"/>
        <w:rPr>
          <w:rFonts w:ascii="SimHei" w:hAnsi="SimHei" w:eastAsia="SimHei" w:cs="SimHei"/>
          <w:sz w:val="29"/>
          <w:szCs w:val="29"/>
        </w:rPr>
      </w:pPr>
      <w:r>
        <w:rPr>
          <w:rFonts w:ascii="Arial" w:hAnsi="Arial" w:eastAsia="Arial" w:cs="Arial"/>
          <w:sz w:val="29"/>
          <w:szCs w:val="29"/>
          <w:spacing w:val="-2"/>
        </w:rPr>
        <w:t>2</w:t>
      </w:r>
      <w:r>
        <w:rPr>
          <w:sz w:val="29"/>
          <w:szCs w:val="29"/>
          <w:spacing w:val="-2"/>
        </w:rPr>
        <w:t>、</w:t>
      </w:r>
      <w:r>
        <w:rPr>
          <w:rFonts w:ascii="SimHei" w:hAnsi="SimHei" w:eastAsia="SimHei" w:cs="SimHei"/>
          <w:sz w:val="29"/>
          <w:szCs w:val="29"/>
          <w:spacing w:val="-2"/>
        </w:rPr>
        <w:t>准备</w:t>
      </w:r>
    </w:p>
    <w:p>
      <w:pPr>
        <w:pStyle w:val="BodyText"/>
        <w:ind w:right="207" w:firstLine="740"/>
        <w:spacing w:before="108" w:line="314" w:lineRule="auto"/>
        <w:rPr>
          <w:sz w:val="29"/>
          <w:szCs w:val="29"/>
        </w:rPr>
      </w:pPr>
      <w:r>
        <w:rPr>
          <w:sz w:val="29"/>
          <w:szCs w:val="29"/>
          <w:spacing w:val="-5"/>
        </w:rPr>
        <w:t>(1)</w:t>
      </w:r>
      <w:r>
        <w:rPr>
          <w:sz w:val="29"/>
          <w:szCs w:val="29"/>
          <w:spacing w:val="124"/>
        </w:rPr>
        <w:t xml:space="preserve"> </w:t>
      </w:r>
      <w:r>
        <w:rPr>
          <w:sz w:val="29"/>
          <w:szCs w:val="29"/>
          <w:spacing w:val="-5"/>
        </w:rPr>
        <w:t>每次打药提前2—3天张贴打药通知，提醒业主注意安全，带好小孩，</w:t>
      </w:r>
      <w:r>
        <w:rPr>
          <w:sz w:val="29"/>
          <w:szCs w:val="29"/>
        </w:rPr>
        <w:t xml:space="preserve"> </w:t>
      </w:r>
      <w:r>
        <w:rPr>
          <w:sz w:val="29"/>
          <w:szCs w:val="29"/>
          <w:spacing w:val="-5"/>
        </w:rPr>
        <w:t>管好宠物等；</w:t>
      </w:r>
    </w:p>
    <w:p>
      <w:pPr>
        <w:pStyle w:val="BodyText"/>
        <w:ind w:left="740"/>
        <w:spacing w:before="3" w:line="219" w:lineRule="auto"/>
        <w:rPr>
          <w:sz w:val="29"/>
          <w:szCs w:val="29"/>
        </w:rPr>
      </w:pPr>
      <w:r>
        <w:rPr>
          <w:sz w:val="29"/>
          <w:szCs w:val="29"/>
          <w:spacing w:val="1"/>
        </w:rPr>
        <w:t>(2  严格按使用说明调配好肥料或农药，将工作区域内的无关人员劝离；</w:t>
      </w:r>
    </w:p>
    <w:p>
      <w:pPr>
        <w:pStyle w:val="BodyText"/>
        <w:ind w:left="740"/>
        <w:spacing w:before="134" w:line="217" w:lineRule="auto"/>
        <w:rPr>
          <w:sz w:val="29"/>
          <w:szCs w:val="29"/>
        </w:rPr>
      </w:pPr>
      <w:r>
        <w:rPr>
          <w:sz w:val="29"/>
          <w:szCs w:val="29"/>
          <w:spacing w:val="-26"/>
        </w:rPr>
        <w:t>(③)</w:t>
      </w:r>
      <w:r>
        <w:rPr>
          <w:sz w:val="29"/>
          <w:szCs w:val="29"/>
          <w:spacing w:val="49"/>
        </w:rPr>
        <w:t xml:space="preserve">  </w:t>
      </w:r>
      <w:r>
        <w:rPr>
          <w:sz w:val="29"/>
          <w:szCs w:val="29"/>
          <w:spacing w:val="-26"/>
        </w:rPr>
        <w:t>操作人员须带好口罩、胶手套，穿长衣长裤，戴防风眼镜，以防中毒；</w:t>
      </w:r>
    </w:p>
    <w:p>
      <w:pPr>
        <w:pStyle w:val="BodyText"/>
        <w:ind w:left="740"/>
        <w:spacing w:before="149" w:line="217" w:lineRule="auto"/>
        <w:rPr>
          <w:sz w:val="29"/>
          <w:szCs w:val="29"/>
        </w:rPr>
      </w:pPr>
      <w:r>
        <w:rPr>
          <w:sz w:val="29"/>
          <w:szCs w:val="29"/>
          <w:spacing w:val="1"/>
        </w:rPr>
        <w:t>④  在无风的天气进行，以保证喷药的效果，避免用药浪费。</w:t>
      </w:r>
    </w:p>
    <w:p>
      <w:pPr>
        <w:pStyle w:val="BodyText"/>
        <w:spacing w:before="59" w:line="396" w:lineRule="exact"/>
        <w:rPr>
          <w:rFonts w:ascii="SimHei" w:hAnsi="SimHei" w:eastAsia="SimHei" w:cs="SimHei"/>
          <w:sz w:val="29"/>
          <w:szCs w:val="29"/>
        </w:rPr>
      </w:pPr>
      <w:r>
        <w:rPr>
          <w:rFonts w:ascii="Arial" w:hAnsi="Arial" w:eastAsia="Arial" w:cs="Arial"/>
          <w:sz w:val="29"/>
          <w:szCs w:val="29"/>
          <w:spacing w:val="8"/>
          <w:position w:val="2"/>
        </w:rPr>
        <w:t>3</w:t>
      </w:r>
      <w:r>
        <w:rPr>
          <w:sz w:val="29"/>
          <w:szCs w:val="29"/>
          <w:spacing w:val="8"/>
          <w:position w:val="2"/>
        </w:rPr>
        <w:t>、</w:t>
      </w:r>
      <w:r>
        <w:rPr>
          <w:rFonts w:ascii="SimHei" w:hAnsi="SimHei" w:eastAsia="SimHei" w:cs="SimHei"/>
          <w:sz w:val="29"/>
          <w:szCs w:val="29"/>
          <w:spacing w:val="8"/>
          <w:position w:val="2"/>
        </w:rPr>
        <w:t>后动</w:t>
      </w:r>
    </w:p>
    <w:p>
      <w:pPr>
        <w:pStyle w:val="BodyText"/>
        <w:ind w:right="103" w:firstLine="740"/>
        <w:spacing w:before="127" w:line="272" w:lineRule="auto"/>
        <w:rPr>
          <w:sz w:val="29"/>
          <w:szCs w:val="29"/>
        </w:rPr>
      </w:pPr>
      <w:r>
        <w:rPr>
          <w:sz w:val="29"/>
          <w:szCs w:val="29"/>
          <w:spacing w:val="-2"/>
        </w:rPr>
        <w:t>(1)冷机启动时先关闭风门，将开关打向“</w:t>
      </w:r>
      <w:r>
        <w:rPr>
          <w:rFonts w:ascii="Times New Roman" w:hAnsi="Times New Roman" w:eastAsia="Times New Roman" w:cs="Times New Roman"/>
          <w:sz w:val="29"/>
          <w:szCs w:val="29"/>
          <w:spacing w:val="-2"/>
        </w:rPr>
        <w:t>ON”</w:t>
      </w:r>
      <w:r>
        <w:rPr>
          <w:sz w:val="29"/>
          <w:szCs w:val="29"/>
          <w:spacing w:val="-2"/>
        </w:rPr>
        <w:t>、油门调好、加压阀置于低</w:t>
      </w:r>
      <w:r>
        <w:rPr>
          <w:sz w:val="29"/>
          <w:szCs w:val="29"/>
          <w:spacing w:val="15"/>
        </w:rPr>
        <w:t xml:space="preserve"> </w:t>
      </w:r>
      <w:r>
        <w:rPr>
          <w:sz w:val="29"/>
          <w:szCs w:val="29"/>
          <w:spacing w:val="-2"/>
        </w:rPr>
        <w:t>压档，关闭喷枪；</w:t>
      </w:r>
    </w:p>
    <w:p>
      <w:pPr>
        <w:pStyle w:val="BodyText"/>
        <w:ind w:left="740"/>
        <w:spacing w:before="154" w:line="219" w:lineRule="auto"/>
        <w:rPr>
          <w:sz w:val="29"/>
          <w:szCs w:val="29"/>
        </w:rPr>
      </w:pPr>
      <w:r>
        <w:rPr>
          <w:sz w:val="29"/>
          <w:szCs w:val="29"/>
          <w:spacing w:val="7"/>
        </w:rPr>
        <w:t>(2)拉启动绳启动后打开风门，将喷枪拉到喷施点，开枪喷药或肥。</w:t>
      </w:r>
    </w:p>
    <w:p>
      <w:pPr>
        <w:pStyle w:val="BodyText"/>
        <w:spacing w:before="116" w:line="222"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作业</w:t>
      </w:r>
    </w:p>
    <w:p>
      <w:pPr>
        <w:pStyle w:val="BodyText"/>
        <w:ind w:left="740"/>
        <w:spacing w:before="144" w:line="219" w:lineRule="auto"/>
        <w:rPr>
          <w:sz w:val="29"/>
          <w:szCs w:val="29"/>
        </w:rPr>
      </w:pPr>
      <w:r>
        <w:rPr>
          <w:sz w:val="29"/>
          <w:szCs w:val="29"/>
          <w:spacing w:val="7"/>
        </w:rPr>
        <w:t>(1)喷药时注意喷植物的叶背，避免药雾飘到</w:t>
      </w:r>
      <w:r>
        <w:rPr>
          <w:sz w:val="29"/>
          <w:szCs w:val="29"/>
          <w:spacing w:val="6"/>
        </w:rPr>
        <w:t>旁边的植物上；</w:t>
      </w:r>
    </w:p>
    <w:p>
      <w:pPr>
        <w:spacing w:line="219" w:lineRule="auto"/>
        <w:sectPr>
          <w:footerReference w:type="default" r:id="rId496"/>
          <w:pgSz w:w="14490" w:h="20470"/>
          <w:pgMar w:top="400" w:right="2167" w:bottom="1115" w:left="2140" w:header="0" w:footer="953" w:gutter="0"/>
        </w:sectPr>
        <w:rPr>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740"/>
        <w:spacing w:before="94" w:line="219" w:lineRule="auto"/>
        <w:rPr>
          <w:sz w:val="29"/>
          <w:szCs w:val="29"/>
        </w:rPr>
      </w:pPr>
      <w:bookmarkStart w:name="bookmark119" w:id="94"/>
      <w:bookmarkEnd w:id="94"/>
      <w:r>
        <w:rPr>
          <w:sz w:val="29"/>
          <w:szCs w:val="29"/>
          <w:spacing w:val="8"/>
        </w:rPr>
        <w:t>(2)喷药或喷肥过程中有人走过时要将枪头压低。</w:t>
      </w:r>
    </w:p>
    <w:p>
      <w:pPr>
        <w:spacing w:before="138" w:line="223" w:lineRule="auto"/>
        <w:rPr>
          <w:rFonts w:ascii="SimHei" w:hAnsi="SimHei" w:eastAsia="SimHei" w:cs="SimHei"/>
          <w:sz w:val="28"/>
          <w:szCs w:val="28"/>
        </w:rPr>
      </w:pPr>
      <w:r>
        <w:rPr>
          <w:rFonts w:ascii="SimHei" w:hAnsi="SimHei" w:eastAsia="SimHei" w:cs="SimHei"/>
          <w:sz w:val="28"/>
          <w:szCs w:val="28"/>
          <w:spacing w:val="17"/>
        </w:rPr>
        <w:t>5、停机</w:t>
      </w:r>
    </w:p>
    <w:p>
      <w:pPr>
        <w:pStyle w:val="BodyText"/>
        <w:ind w:left="740"/>
        <w:spacing w:before="129" w:line="219" w:lineRule="auto"/>
        <w:rPr>
          <w:sz w:val="29"/>
          <w:szCs w:val="29"/>
        </w:rPr>
      </w:pPr>
      <w:r>
        <w:rPr>
          <w:sz w:val="29"/>
          <w:szCs w:val="29"/>
        </w:rPr>
        <w:t>(1)喷完药或肥后将开关打向“</w:t>
      </w:r>
      <w:r>
        <w:rPr>
          <w:rFonts w:ascii="Times New Roman" w:hAnsi="Times New Roman" w:eastAsia="Times New Roman" w:cs="Times New Roman"/>
          <w:sz w:val="29"/>
          <w:szCs w:val="29"/>
        </w:rPr>
        <w:t>OFF”</w:t>
      </w:r>
      <w:r>
        <w:rPr>
          <w:sz w:val="29"/>
          <w:szCs w:val="29"/>
        </w:rPr>
        <w:t>关机，收好高压管；</w:t>
      </w:r>
    </w:p>
    <w:p>
      <w:pPr>
        <w:pStyle w:val="BodyText"/>
        <w:ind w:left="740"/>
        <w:spacing w:before="176" w:line="219" w:lineRule="auto"/>
        <w:rPr>
          <w:sz w:val="29"/>
          <w:szCs w:val="29"/>
        </w:rPr>
      </w:pPr>
      <w:r>
        <w:rPr>
          <w:sz w:val="29"/>
          <w:szCs w:val="29"/>
          <w:spacing w:val="7"/>
        </w:rPr>
        <w:t>(2)将手、脸洗干净、漱口，更换衣服。</w:t>
      </w:r>
    </w:p>
    <w:p>
      <w:pPr>
        <w:pStyle w:val="BodyText"/>
        <w:spacing w:before="4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保养</w:t>
      </w:r>
    </w:p>
    <w:p>
      <w:pPr>
        <w:pStyle w:val="BodyText"/>
        <w:ind w:left="650"/>
        <w:spacing w:before="147" w:line="219" w:lineRule="auto"/>
        <w:rPr>
          <w:sz w:val="29"/>
          <w:szCs w:val="29"/>
        </w:rPr>
      </w:pPr>
      <w:r>
        <w:rPr>
          <w:sz w:val="29"/>
          <w:szCs w:val="29"/>
          <w:spacing w:val="19"/>
        </w:rPr>
        <w:t>1)打药机保养</w:t>
      </w:r>
    </w:p>
    <w:p>
      <w:pPr>
        <w:pStyle w:val="BodyText"/>
        <w:ind w:left="740"/>
        <w:spacing w:before="156" w:line="219" w:lineRule="auto"/>
        <w:rPr>
          <w:sz w:val="29"/>
          <w:szCs w:val="29"/>
        </w:rPr>
      </w:pPr>
      <w:r>
        <w:rPr>
          <w:sz w:val="29"/>
          <w:szCs w:val="29"/>
          <w:spacing w:val="6"/>
        </w:rPr>
        <w:t>(1)喷雾后，应将各部位擦洗干净，药箱内不留残液；</w:t>
      </w:r>
    </w:p>
    <w:p>
      <w:pPr>
        <w:pStyle w:val="BodyText"/>
        <w:ind w:left="740"/>
        <w:spacing w:before="126" w:line="219" w:lineRule="auto"/>
        <w:rPr>
          <w:sz w:val="29"/>
          <w:szCs w:val="29"/>
        </w:rPr>
      </w:pPr>
      <w:r>
        <w:rPr>
          <w:sz w:val="29"/>
          <w:szCs w:val="29"/>
          <w:spacing w:val="6"/>
        </w:rPr>
        <w:t>(2)喷粉后，应将粉门药箱内外清扫干净；</w:t>
      </w:r>
    </w:p>
    <w:p>
      <w:pPr>
        <w:pStyle w:val="BodyText"/>
        <w:ind w:left="740"/>
        <w:spacing w:before="168" w:line="219" w:lineRule="auto"/>
        <w:rPr>
          <w:sz w:val="29"/>
          <w:szCs w:val="29"/>
        </w:rPr>
      </w:pPr>
      <w:r>
        <w:rPr>
          <w:sz w:val="29"/>
          <w:szCs w:val="29"/>
          <w:spacing w:val="9"/>
        </w:rPr>
        <w:t>(3)不使用时，应将药箱盖松开；</w:t>
      </w:r>
    </w:p>
    <w:p>
      <w:pPr>
        <w:pStyle w:val="BodyText"/>
        <w:ind w:left="740"/>
        <w:spacing w:before="144" w:line="219" w:lineRule="auto"/>
        <w:rPr>
          <w:sz w:val="29"/>
          <w:szCs w:val="29"/>
        </w:rPr>
      </w:pPr>
      <w:r>
        <w:rPr>
          <w:sz w:val="29"/>
          <w:szCs w:val="29"/>
          <w:spacing w:val="4"/>
        </w:rPr>
        <w:t>(4)清扫干净后，将清水加入药桶，低速运转2—3分钟</w:t>
      </w:r>
      <w:r>
        <w:rPr>
          <w:sz w:val="29"/>
          <w:szCs w:val="29"/>
          <w:spacing w:val="3"/>
        </w:rPr>
        <w:t>，清洗药管药箱。</w:t>
      </w:r>
    </w:p>
    <w:p>
      <w:pPr>
        <w:pStyle w:val="BodyText"/>
        <w:ind w:left="610"/>
        <w:spacing w:before="118" w:line="219" w:lineRule="auto"/>
        <w:rPr>
          <w:sz w:val="29"/>
          <w:szCs w:val="29"/>
        </w:rPr>
      </w:pPr>
      <w:r>
        <w:rPr>
          <w:sz w:val="29"/>
          <w:szCs w:val="29"/>
          <w:spacing w:val="25"/>
        </w:rPr>
        <w:t>2)燃油系统保养</w:t>
      </w:r>
    </w:p>
    <w:p>
      <w:pPr>
        <w:pStyle w:val="BodyText"/>
        <w:ind w:left="740"/>
        <w:spacing w:before="174" w:line="219" w:lineRule="auto"/>
        <w:rPr>
          <w:sz w:val="29"/>
          <w:szCs w:val="29"/>
        </w:rPr>
      </w:pPr>
      <w:r>
        <w:rPr>
          <w:sz w:val="29"/>
          <w:szCs w:val="29"/>
          <w:spacing w:val="6"/>
        </w:rPr>
        <w:t>(1)清灰：燃油里混有灰尘是发动机工作失调的主</w:t>
      </w:r>
      <w:r>
        <w:rPr>
          <w:sz w:val="29"/>
          <w:szCs w:val="29"/>
          <w:spacing w:val="5"/>
        </w:rPr>
        <w:t>要原因，应经常清理；</w:t>
      </w:r>
    </w:p>
    <w:p>
      <w:pPr>
        <w:pStyle w:val="BodyText"/>
        <w:ind w:right="85" w:firstLine="740"/>
        <w:spacing w:before="128" w:line="268" w:lineRule="auto"/>
        <w:rPr>
          <w:sz w:val="29"/>
          <w:szCs w:val="29"/>
        </w:rPr>
      </w:pPr>
      <w:r>
        <w:rPr>
          <w:sz w:val="29"/>
          <w:szCs w:val="29"/>
        </w:rPr>
        <w:t>(2)清油：油箱及化油器内如留有残油，</w:t>
      </w:r>
      <w:r>
        <w:rPr>
          <w:sz w:val="29"/>
          <w:szCs w:val="29"/>
          <w:spacing w:val="-25"/>
        </w:rPr>
        <w:t xml:space="preserve"> </w:t>
      </w:r>
      <w:r>
        <w:rPr>
          <w:sz w:val="29"/>
          <w:szCs w:val="29"/>
        </w:rPr>
        <w:t>一周不使用设备时，</w:t>
      </w:r>
      <w:r>
        <w:rPr>
          <w:sz w:val="29"/>
          <w:szCs w:val="29"/>
          <w:spacing w:val="-50"/>
        </w:rPr>
        <w:t xml:space="preserve"> </w:t>
      </w:r>
      <w:r>
        <w:rPr>
          <w:sz w:val="29"/>
          <w:szCs w:val="29"/>
        </w:rPr>
        <w:t>一定要将燃 </w:t>
      </w:r>
      <w:r>
        <w:rPr>
          <w:sz w:val="29"/>
          <w:szCs w:val="29"/>
          <w:spacing w:val="-1"/>
        </w:rPr>
        <w:t>油放干净，并启动发动机自行把燃油耗尽；</w:t>
      </w:r>
    </w:p>
    <w:p>
      <w:pPr>
        <w:pStyle w:val="BodyText"/>
        <w:ind w:right="85" w:firstLine="740"/>
        <w:spacing w:before="137" w:line="273" w:lineRule="auto"/>
        <w:rPr>
          <w:sz w:val="29"/>
          <w:szCs w:val="29"/>
        </w:rPr>
      </w:pPr>
      <w:r>
        <w:rPr>
          <w:sz w:val="29"/>
          <w:szCs w:val="29"/>
          <w:spacing w:val="6"/>
        </w:rPr>
        <w:t>(3)每天作业完成后都要清洗滤清器；海绵体需用汽油清洗，待汽油挤干</w:t>
      </w:r>
      <w:r>
        <w:rPr>
          <w:sz w:val="29"/>
          <w:szCs w:val="29"/>
          <w:spacing w:val="17"/>
        </w:rPr>
        <w:t xml:space="preserve"> </w:t>
      </w:r>
      <w:r>
        <w:rPr>
          <w:sz w:val="29"/>
          <w:szCs w:val="29"/>
          <w:spacing w:val="-5"/>
        </w:rPr>
        <w:t>后再装入。</w:t>
      </w:r>
    </w:p>
    <w:p>
      <w:pPr>
        <w:pStyle w:val="BodyText"/>
        <w:ind w:left="610"/>
        <w:spacing w:before="153" w:line="219" w:lineRule="auto"/>
        <w:rPr>
          <w:sz w:val="29"/>
          <w:szCs w:val="29"/>
        </w:rPr>
      </w:pPr>
      <w:r>
        <w:rPr>
          <w:sz w:val="29"/>
          <w:szCs w:val="29"/>
          <w:spacing w:val="28"/>
        </w:rPr>
        <w:t>3)长期保存</w:t>
      </w:r>
    </w:p>
    <w:p>
      <w:pPr>
        <w:pStyle w:val="BodyText"/>
        <w:ind w:left="740"/>
        <w:spacing w:before="124" w:line="219" w:lineRule="auto"/>
        <w:rPr>
          <w:sz w:val="29"/>
          <w:szCs w:val="29"/>
        </w:rPr>
      </w:pPr>
      <w:r>
        <w:rPr>
          <w:sz w:val="29"/>
          <w:szCs w:val="29"/>
          <w:spacing w:val="6"/>
        </w:rPr>
        <w:t>(1)将机械外表面擦洗干净，在金属表面上涂上防绣油；</w:t>
      </w:r>
    </w:p>
    <w:p>
      <w:pPr>
        <w:pStyle w:val="BodyText"/>
        <w:ind w:right="133" w:firstLine="740"/>
        <w:spacing w:before="167" w:line="266" w:lineRule="auto"/>
        <w:rPr>
          <w:sz w:val="29"/>
          <w:szCs w:val="29"/>
        </w:rPr>
      </w:pPr>
      <w:r>
        <w:rPr>
          <w:sz w:val="29"/>
          <w:szCs w:val="29"/>
          <w:spacing w:val="5"/>
        </w:rPr>
        <w:t>(2)拆下火花塞，向汽缸内注入15—20克二冲程汽油</w:t>
      </w:r>
      <w:r>
        <w:rPr>
          <w:sz w:val="29"/>
          <w:szCs w:val="29"/>
          <w:spacing w:val="4"/>
        </w:rPr>
        <w:t>机专用机油，用手转</w:t>
      </w:r>
      <w:r>
        <w:rPr>
          <w:sz w:val="29"/>
          <w:szCs w:val="29"/>
        </w:rPr>
        <w:t xml:space="preserve"> </w:t>
      </w:r>
      <w:r>
        <w:rPr>
          <w:sz w:val="29"/>
          <w:szCs w:val="29"/>
          <w:spacing w:val="-4"/>
        </w:rPr>
        <w:t>动4—5转，将活塞转到上火点，再装上火花塞；</w:t>
      </w:r>
    </w:p>
    <w:p>
      <w:pPr>
        <w:pStyle w:val="BodyText"/>
        <w:ind w:right="81" w:firstLine="740"/>
        <w:spacing w:before="113" w:line="276" w:lineRule="auto"/>
        <w:rPr>
          <w:sz w:val="29"/>
          <w:szCs w:val="29"/>
        </w:rPr>
      </w:pPr>
      <w:r>
        <w:rPr>
          <w:sz w:val="29"/>
          <w:szCs w:val="29"/>
          <w:spacing w:val="7"/>
        </w:rPr>
        <w:t>(3)旋下两个螺母取下药箱，将风门处及药</w:t>
      </w:r>
      <w:r>
        <w:rPr>
          <w:sz w:val="29"/>
          <w:szCs w:val="29"/>
          <w:spacing w:val="6"/>
        </w:rPr>
        <w:t>箱内外表面清洗干净，特别是</w:t>
      </w:r>
      <w:r>
        <w:rPr>
          <w:sz w:val="29"/>
          <w:szCs w:val="29"/>
        </w:rPr>
        <w:t xml:space="preserve"> </w:t>
      </w:r>
      <w:r>
        <w:rPr>
          <w:sz w:val="29"/>
          <w:szCs w:val="29"/>
        </w:rPr>
        <w:t>粉门部位，然后装入药箱，拧松药箱盖；</w:t>
      </w:r>
    </w:p>
    <w:p>
      <w:pPr>
        <w:pStyle w:val="BodyText"/>
        <w:ind w:left="740"/>
        <w:spacing w:before="164" w:line="219" w:lineRule="auto"/>
        <w:rPr>
          <w:sz w:val="29"/>
          <w:szCs w:val="29"/>
        </w:rPr>
      </w:pPr>
      <w:r>
        <w:rPr>
          <w:sz w:val="29"/>
          <w:szCs w:val="29"/>
          <w:spacing w:val="-5"/>
        </w:rPr>
        <w:t>(4)</w:t>
      </w:r>
      <w:r>
        <w:rPr>
          <w:sz w:val="29"/>
          <w:szCs w:val="29"/>
          <w:spacing w:val="99"/>
        </w:rPr>
        <w:t xml:space="preserve"> </w:t>
      </w:r>
      <w:r>
        <w:rPr>
          <w:sz w:val="29"/>
          <w:szCs w:val="29"/>
          <w:spacing w:val="-5"/>
        </w:rPr>
        <w:t>取下喷洒部件清洗干净，另外存放；</w:t>
      </w:r>
    </w:p>
    <w:p>
      <w:pPr>
        <w:pStyle w:val="BodyText"/>
        <w:ind w:left="740"/>
        <w:spacing w:before="115" w:line="219" w:lineRule="auto"/>
        <w:rPr>
          <w:sz w:val="29"/>
          <w:szCs w:val="29"/>
        </w:rPr>
      </w:pPr>
      <w:r>
        <w:rPr>
          <w:sz w:val="29"/>
          <w:szCs w:val="29"/>
          <w:spacing w:val="9"/>
        </w:rPr>
        <w:t>(5)油箱内和化油器内的燃油应全部放干净。</w:t>
      </w:r>
    </w:p>
    <w:p>
      <w:pPr>
        <w:spacing w:before="319" w:line="223" w:lineRule="auto"/>
        <w:outlineLvl w:val="1"/>
        <w:rPr>
          <w:rFonts w:ascii="SimHei" w:hAnsi="SimHei" w:eastAsia="SimHei" w:cs="SimHei"/>
          <w:sz w:val="29"/>
          <w:szCs w:val="29"/>
        </w:rPr>
      </w:pPr>
      <w:bookmarkStart w:name="bookmark54" w:id="95"/>
      <w:bookmarkEnd w:id="95"/>
      <w:r>
        <w:rPr>
          <w:rFonts w:ascii="SimHei" w:hAnsi="SimHei" w:eastAsia="SimHei" w:cs="SimHei"/>
          <w:sz w:val="29"/>
          <w:szCs w:val="29"/>
          <w:spacing w:val="6"/>
        </w:rPr>
        <w:t>七、油锯</w:t>
      </w:r>
    </w:p>
    <w:p>
      <w:pPr>
        <w:pStyle w:val="BodyText"/>
        <w:ind w:right="208" w:firstLine="540"/>
        <w:spacing w:before="119" w:line="321" w:lineRule="auto"/>
        <w:rPr>
          <w:sz w:val="29"/>
          <w:szCs w:val="29"/>
        </w:rPr>
      </w:pPr>
      <w:r>
        <w:rPr>
          <w:sz w:val="29"/>
          <w:szCs w:val="29"/>
          <w:spacing w:val="1"/>
        </w:rPr>
        <w:t>油锯用于胸径在30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2"/>
        </w:rPr>
        <w:t xml:space="preserve"> </w:t>
      </w:r>
      <w:r>
        <w:rPr>
          <w:sz w:val="29"/>
          <w:szCs w:val="29"/>
          <w:spacing w:val="1"/>
        </w:rPr>
        <w:t>以上死树伐除、树木修剪、杉木干等支架切割、防寒</w:t>
      </w:r>
      <w:r>
        <w:rPr>
          <w:sz w:val="29"/>
          <w:szCs w:val="29"/>
        </w:rPr>
        <w:t xml:space="preserve"> </w:t>
      </w:r>
      <w:r>
        <w:rPr>
          <w:sz w:val="29"/>
          <w:szCs w:val="29"/>
          <w:spacing w:val="-2"/>
        </w:rPr>
        <w:t>设施中木质材料切割。</w:t>
      </w:r>
    </w:p>
    <w:p>
      <w:pPr>
        <w:ind w:firstLine="5009"/>
        <w:spacing w:line="2280" w:lineRule="exact"/>
        <w:rPr/>
      </w:pPr>
      <w:r>
        <w:drawing>
          <wp:anchor distT="0" distB="0" distL="0" distR="0" simplePos="0" relativeHeight="252383232" behindDoc="0" locked="0" layoutInCell="1" allowOverlap="1">
            <wp:simplePos x="0" y="0"/>
            <wp:positionH relativeFrom="column">
              <wp:posOffset>780993</wp:posOffset>
            </wp:positionH>
            <wp:positionV relativeFrom="paragraph">
              <wp:posOffset>114256</wp:posOffset>
            </wp:positionV>
            <wp:extent cx="2114608" cy="1168430"/>
            <wp:effectExtent l="0" t="0" r="0" b="0"/>
            <wp:wrapNone/>
            <wp:docPr id="698" name="IM 698"/>
            <wp:cNvGraphicFramePr/>
            <a:graphic>
              <a:graphicData uri="http://schemas.openxmlformats.org/drawingml/2006/picture">
                <pic:pic>
                  <pic:nvPicPr>
                    <pic:cNvPr id="698" name="IM 698"/>
                    <pic:cNvPicPr/>
                  </pic:nvPicPr>
                  <pic:blipFill>
                    <a:blip r:embed="rId499"/>
                    <a:stretch>
                      <a:fillRect/>
                    </a:stretch>
                  </pic:blipFill>
                  <pic:spPr>
                    <a:xfrm rot="0">
                      <a:off x="0" y="0"/>
                      <a:ext cx="2114608" cy="1168430"/>
                    </a:xfrm>
                    <a:prstGeom prst="rect">
                      <a:avLst/>
                    </a:prstGeom>
                  </pic:spPr>
                </pic:pic>
              </a:graphicData>
            </a:graphic>
          </wp:anchor>
        </w:drawing>
      </w:r>
      <w:r>
        <w:rPr>
          <w:position w:val="-45"/>
        </w:rPr>
        <w:drawing>
          <wp:inline distT="0" distB="0" distL="0" distR="0">
            <wp:extent cx="2679743" cy="1447767"/>
            <wp:effectExtent l="0" t="0" r="0" b="0"/>
            <wp:docPr id="700" name="IM 700"/>
            <wp:cNvGraphicFramePr/>
            <a:graphic>
              <a:graphicData uri="http://schemas.openxmlformats.org/drawingml/2006/picture">
                <pic:pic>
                  <pic:nvPicPr>
                    <pic:cNvPr id="700" name="IM 700"/>
                    <pic:cNvPicPr/>
                  </pic:nvPicPr>
                  <pic:blipFill>
                    <a:blip r:embed="rId500"/>
                    <a:stretch>
                      <a:fillRect/>
                    </a:stretch>
                  </pic:blipFill>
                  <pic:spPr>
                    <a:xfrm rot="0">
                      <a:off x="0" y="0"/>
                      <a:ext cx="2679743" cy="1447767"/>
                    </a:xfrm>
                    <a:prstGeom prst="rect">
                      <a:avLst/>
                    </a:prstGeom>
                  </pic:spPr>
                </pic:pic>
              </a:graphicData>
            </a:graphic>
          </wp:inline>
        </w:drawing>
      </w:r>
    </w:p>
    <w:p>
      <w:pPr>
        <w:spacing w:line="291" w:lineRule="auto"/>
        <w:rPr>
          <w:rFonts w:ascii="Arial"/>
          <w:sz w:val="21"/>
        </w:rPr>
      </w:pPr>
      <w:r/>
    </w:p>
    <w:p>
      <w:pPr>
        <w:pStyle w:val="BodyText"/>
        <w:ind w:left="4430"/>
        <w:spacing w:before="78" w:line="221" w:lineRule="auto"/>
        <w:rPr>
          <w:sz w:val="24"/>
          <w:szCs w:val="24"/>
        </w:rPr>
      </w:pPr>
      <w:r>
        <w:rPr>
          <w:sz w:val="24"/>
          <w:szCs w:val="24"/>
        </w:rPr>
        <w:t>图7-7-1油锯</w:t>
      </w:r>
    </w:p>
    <w:p>
      <w:pPr>
        <w:spacing w:line="221" w:lineRule="auto"/>
        <w:sectPr>
          <w:footerReference w:type="default" r:id="rId498"/>
          <w:pgSz w:w="14490" w:h="20470"/>
          <w:pgMar w:top="400" w:right="2173" w:bottom="1143" w:left="2140" w:header="0" w:footer="981" w:gutter="0"/>
        </w:sectPr>
        <w:rPr>
          <w:sz w:val="24"/>
          <w:szCs w:val="24"/>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BodyText"/>
        <w:spacing w:before="94" w:line="223"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准备</w:t>
      </w:r>
    </w:p>
    <w:p>
      <w:pPr>
        <w:pStyle w:val="BodyText"/>
        <w:ind w:left="580"/>
        <w:spacing w:before="119" w:line="219" w:lineRule="auto"/>
        <w:rPr>
          <w:sz w:val="29"/>
          <w:szCs w:val="29"/>
        </w:rPr>
      </w:pPr>
      <w:r>
        <w:rPr>
          <w:sz w:val="29"/>
          <w:szCs w:val="29"/>
          <w:spacing w:val="5"/>
        </w:rPr>
        <w:t>1)按规定穿工作服和戴相应劳保用品，如</w:t>
      </w:r>
      <w:r>
        <w:rPr>
          <w:sz w:val="29"/>
          <w:szCs w:val="29"/>
          <w:spacing w:val="4"/>
        </w:rPr>
        <w:t>头盔、防护眼镜、手套等；</w:t>
      </w:r>
    </w:p>
    <w:p>
      <w:pPr>
        <w:pStyle w:val="BodyText"/>
        <w:ind w:left="580"/>
        <w:spacing w:before="136" w:line="219" w:lineRule="auto"/>
        <w:rPr>
          <w:sz w:val="29"/>
          <w:szCs w:val="29"/>
        </w:rPr>
      </w:pPr>
      <w:r>
        <w:rPr>
          <w:sz w:val="29"/>
          <w:szCs w:val="29"/>
          <w:spacing w:val="5"/>
        </w:rPr>
        <w:t>2)起动前检查高枝锯的操作安全状况，不要在密闭的房间使用油锯；</w:t>
      </w:r>
    </w:p>
    <w:p>
      <w:pPr>
        <w:pStyle w:val="BodyText"/>
        <w:ind w:left="580"/>
        <w:spacing w:before="146" w:line="219" w:lineRule="auto"/>
        <w:rPr>
          <w:sz w:val="29"/>
          <w:szCs w:val="29"/>
        </w:rPr>
      </w:pPr>
      <w:r>
        <w:rPr>
          <w:sz w:val="29"/>
          <w:szCs w:val="29"/>
          <w:spacing w:val="6"/>
        </w:rPr>
        <w:t>3)起动高枝锯时，必须与加油地点保持三米以上的距离；</w:t>
      </w:r>
    </w:p>
    <w:p>
      <w:pPr>
        <w:pStyle w:val="BodyText"/>
        <w:ind w:left="580"/>
        <w:spacing w:before="165" w:line="219" w:lineRule="auto"/>
        <w:rPr>
          <w:sz w:val="29"/>
          <w:szCs w:val="29"/>
        </w:rPr>
      </w:pPr>
      <w:r>
        <w:rPr>
          <w:sz w:val="29"/>
          <w:szCs w:val="29"/>
          <w:spacing w:val="17"/>
        </w:rPr>
        <w:t>4)油品使用：</w:t>
      </w:r>
    </w:p>
    <w:p>
      <w:pPr>
        <w:pStyle w:val="BodyText"/>
        <w:ind w:right="640" w:firstLine="740"/>
        <w:spacing w:before="134" w:line="266" w:lineRule="auto"/>
        <w:rPr>
          <w:sz w:val="29"/>
          <w:szCs w:val="29"/>
        </w:rPr>
      </w:pPr>
      <w:r>
        <w:rPr>
          <w:sz w:val="29"/>
          <w:szCs w:val="29"/>
        </w:rPr>
        <w:t>(1)汽油只能使用90号以上的无铅汽油，不能把油箱灌得太满，加油后拧</w:t>
      </w:r>
      <w:r>
        <w:rPr>
          <w:sz w:val="29"/>
          <w:szCs w:val="29"/>
          <w:spacing w:val="18"/>
        </w:rPr>
        <w:t xml:space="preserve"> </w:t>
      </w:r>
      <w:r>
        <w:rPr>
          <w:sz w:val="29"/>
          <w:szCs w:val="29"/>
          <w:spacing w:val="-11"/>
        </w:rPr>
        <w:t>紧油箱盖；</w:t>
      </w:r>
    </w:p>
    <w:p>
      <w:pPr>
        <w:pStyle w:val="BodyText"/>
        <w:ind w:right="459" w:firstLine="740"/>
        <w:spacing w:before="134" w:line="278" w:lineRule="auto"/>
        <w:rPr>
          <w:sz w:val="29"/>
          <w:szCs w:val="29"/>
        </w:rPr>
      </w:pPr>
      <w:r>
        <w:rPr>
          <w:sz w:val="29"/>
          <w:szCs w:val="29"/>
          <w:spacing w:val="6"/>
        </w:rPr>
        <w:t>(2)机油只能使用优质的二冲程发动机机油，最好使用高枝锯发动机专用</w:t>
      </w:r>
      <w:r>
        <w:rPr>
          <w:sz w:val="29"/>
          <w:szCs w:val="29"/>
          <w:spacing w:val="1"/>
        </w:rPr>
        <w:t xml:space="preserve"> </w:t>
      </w:r>
      <w:r>
        <w:rPr>
          <w:sz w:val="29"/>
          <w:szCs w:val="29"/>
          <w:spacing w:val="1"/>
        </w:rPr>
        <w:t>的二冲程发动机机油，以保证发动机有较长使用寿命。</w:t>
      </w:r>
    </w:p>
    <w:p>
      <w:pPr>
        <w:pStyle w:val="BodyText"/>
        <w:spacing w:before="176" w:line="222" w:lineRule="auto"/>
        <w:rPr>
          <w:rFonts w:ascii="SimHei" w:hAnsi="SimHei" w:eastAsia="SimHei" w:cs="SimHei"/>
          <w:sz w:val="29"/>
          <w:szCs w:val="29"/>
        </w:rPr>
      </w:pPr>
      <w:r>
        <w:rPr>
          <w:rFonts w:ascii="Arial" w:hAnsi="Arial" w:eastAsia="Arial" w:cs="Arial"/>
          <w:sz w:val="29"/>
          <w:szCs w:val="29"/>
          <w:spacing w:val="1"/>
        </w:rPr>
        <w:t>2</w:t>
      </w:r>
      <w:r>
        <w:rPr>
          <w:sz w:val="29"/>
          <w:szCs w:val="29"/>
          <w:spacing w:val="1"/>
        </w:rPr>
        <w:t>、</w:t>
      </w:r>
      <w:r>
        <w:rPr>
          <w:rFonts w:ascii="SimHei" w:hAnsi="SimHei" w:eastAsia="SimHei" w:cs="SimHei"/>
          <w:sz w:val="29"/>
          <w:szCs w:val="29"/>
          <w:spacing w:val="1"/>
        </w:rPr>
        <w:t>启动</w:t>
      </w:r>
    </w:p>
    <w:p>
      <w:pPr>
        <w:pStyle w:val="BodyText"/>
        <w:ind w:left="740"/>
        <w:spacing w:before="94" w:line="220" w:lineRule="auto"/>
        <w:rPr>
          <w:sz w:val="29"/>
          <w:szCs w:val="29"/>
        </w:rPr>
      </w:pPr>
      <w:r>
        <w:rPr>
          <w:sz w:val="29"/>
          <w:szCs w:val="29"/>
          <w:spacing w:val="27"/>
        </w:rPr>
        <w:t>(1)起动方法</w:t>
      </w:r>
    </w:p>
    <w:p>
      <w:pPr>
        <w:pStyle w:val="BodyText"/>
        <w:ind w:right="249" w:firstLine="580"/>
        <w:spacing w:before="115" w:line="319" w:lineRule="auto"/>
        <w:rPr>
          <w:sz w:val="29"/>
          <w:szCs w:val="29"/>
        </w:rPr>
      </w:pPr>
      <w:r>
        <w:rPr>
          <w:sz w:val="29"/>
          <w:szCs w:val="29"/>
          <w:spacing w:val="-7"/>
        </w:rPr>
        <w:t>打开油开关，提上阻风阀按扭，打开电路开关，先慢慢拉开起动把手，当感觉</w:t>
      </w:r>
      <w:r>
        <w:rPr>
          <w:sz w:val="29"/>
          <w:szCs w:val="29"/>
          <w:spacing w:val="12"/>
        </w:rPr>
        <w:t xml:space="preserve"> </w:t>
      </w:r>
      <w:r>
        <w:rPr>
          <w:sz w:val="29"/>
          <w:szCs w:val="29"/>
          <w:spacing w:val="-8"/>
        </w:rPr>
        <w:t>到起动轴爪已勾上拨块后猛地拉起动绳起动(在未装减速箱时，不要起动</w:t>
      </w:r>
      <w:r>
        <w:rPr>
          <w:sz w:val="29"/>
          <w:szCs w:val="29"/>
          <w:spacing w:val="-9"/>
        </w:rPr>
        <w:t>油锯，以防</w:t>
      </w:r>
      <w:r>
        <w:rPr>
          <w:sz w:val="29"/>
          <w:szCs w:val="29"/>
        </w:rPr>
        <w:t xml:space="preserve"> </w:t>
      </w:r>
      <w:r>
        <w:rPr>
          <w:sz w:val="29"/>
          <w:szCs w:val="29"/>
          <w:spacing w:val="-11"/>
        </w:rPr>
        <w:t>离合块飞出，发生危险)。起动着火后，按上阻风阀拉杆使其处于全开状态。热机起</w:t>
      </w:r>
      <w:r>
        <w:rPr>
          <w:sz w:val="29"/>
          <w:szCs w:val="29"/>
          <w:spacing w:val="3"/>
        </w:rPr>
        <w:t xml:space="preserve"> </w:t>
      </w:r>
      <w:r>
        <w:rPr>
          <w:sz w:val="29"/>
          <w:szCs w:val="29"/>
          <w:spacing w:val="-14"/>
        </w:rPr>
        <w:t>动时，可少许提起阻风阀拉杆，起动后，压下该按钮。</w:t>
      </w:r>
    </w:p>
    <w:p>
      <w:pPr>
        <w:pStyle w:val="BodyText"/>
        <w:ind w:left="740"/>
        <w:spacing w:before="8" w:line="221" w:lineRule="auto"/>
        <w:rPr>
          <w:sz w:val="29"/>
          <w:szCs w:val="29"/>
        </w:rPr>
      </w:pPr>
      <w:r>
        <w:rPr>
          <w:sz w:val="29"/>
          <w:szCs w:val="29"/>
          <w:spacing w:val="23"/>
        </w:rPr>
        <w:t>(2)怠速的调整</w:t>
      </w:r>
    </w:p>
    <w:p>
      <w:pPr>
        <w:pStyle w:val="BodyText"/>
        <w:ind w:left="580"/>
        <w:spacing w:before="130" w:line="220" w:lineRule="auto"/>
        <w:rPr>
          <w:sz w:val="29"/>
          <w:szCs w:val="29"/>
        </w:rPr>
      </w:pPr>
      <w:r>
        <w:rPr>
          <w:sz w:val="29"/>
          <w:szCs w:val="29"/>
          <w:spacing w:val="10"/>
        </w:rPr>
        <w:t>怠速由化油器的怠速油针和锯把上(油门扳手)的怠速限位</w:t>
      </w:r>
      <w:r>
        <w:rPr>
          <w:sz w:val="29"/>
          <w:szCs w:val="29"/>
          <w:spacing w:val="9"/>
        </w:rPr>
        <w:t>螺钉配合调整。</w:t>
      </w:r>
    </w:p>
    <w:p>
      <w:pPr>
        <w:pStyle w:val="BodyText"/>
        <w:spacing w:before="143" w:line="219" w:lineRule="auto"/>
        <w:rPr>
          <w:sz w:val="29"/>
          <w:szCs w:val="29"/>
        </w:rPr>
      </w:pPr>
      <w:r>
        <w:rPr>
          <w:sz w:val="29"/>
          <w:szCs w:val="29"/>
          <w:spacing w:val="-5"/>
        </w:rPr>
        <w:t>怠速时锯链不应转动，怠速油针的开度一般在3/4圈左右。若转</w:t>
      </w:r>
      <w:r>
        <w:rPr>
          <w:sz w:val="29"/>
          <w:szCs w:val="29"/>
          <w:spacing w:val="-6"/>
        </w:rPr>
        <w:t>速较高，松限位螺</w:t>
      </w:r>
    </w:p>
    <w:p>
      <w:pPr>
        <w:pStyle w:val="BodyText"/>
        <w:spacing w:before="134" w:line="219" w:lineRule="auto"/>
        <w:rPr>
          <w:sz w:val="29"/>
          <w:szCs w:val="29"/>
        </w:rPr>
      </w:pPr>
      <w:r>
        <w:rPr>
          <w:sz w:val="29"/>
          <w:szCs w:val="29"/>
          <w:spacing w:val="-10"/>
        </w:rPr>
        <w:t>钉也降不下来，说明供油太稀，应增大怠速油针</w:t>
      </w:r>
      <w:r>
        <w:rPr>
          <w:sz w:val="29"/>
          <w:szCs w:val="29"/>
          <w:spacing w:val="-11"/>
        </w:rPr>
        <w:t>的开度，转速会下降，应相应拧限</w:t>
      </w:r>
    </w:p>
    <w:p>
      <w:pPr>
        <w:pStyle w:val="BodyText"/>
        <w:spacing w:before="148" w:line="313" w:lineRule="auto"/>
        <w:rPr>
          <w:sz w:val="29"/>
          <w:szCs w:val="29"/>
        </w:rPr>
      </w:pPr>
      <w:r>
        <w:rPr>
          <w:sz w:val="29"/>
          <w:szCs w:val="29"/>
          <w:spacing w:val="-13"/>
        </w:rPr>
        <w:t>位螺钉；若怠速不能长时间运转，速度慢慢下降，消音器排出的烟越来越浓直至灭火，</w:t>
      </w:r>
      <w:r>
        <w:rPr>
          <w:sz w:val="29"/>
          <w:szCs w:val="29"/>
          <w:spacing w:val="7"/>
        </w:rPr>
        <w:t xml:space="preserve"> </w:t>
      </w:r>
      <w:r>
        <w:rPr>
          <w:sz w:val="29"/>
          <w:szCs w:val="29"/>
          <w:spacing w:val="-12"/>
        </w:rPr>
        <w:t>表明供油太浓，应关小油针，转速会升高，应相应地</w:t>
      </w:r>
      <w:r>
        <w:rPr>
          <w:sz w:val="29"/>
          <w:szCs w:val="29"/>
          <w:spacing w:val="-13"/>
        </w:rPr>
        <w:t>松限位螺钉。</w:t>
      </w:r>
    </w:p>
    <w:p>
      <w:pPr>
        <w:pStyle w:val="BodyText"/>
        <w:ind w:left="740"/>
        <w:spacing w:before="27" w:line="219" w:lineRule="auto"/>
        <w:rPr>
          <w:sz w:val="29"/>
          <w:szCs w:val="29"/>
        </w:rPr>
      </w:pPr>
      <w:r>
        <w:rPr>
          <w:sz w:val="29"/>
          <w:szCs w:val="29"/>
          <w:spacing w:val="23"/>
        </w:rPr>
        <w:t>(3)高速的调整</w:t>
      </w:r>
    </w:p>
    <w:p>
      <w:pPr>
        <w:pStyle w:val="BodyText"/>
        <w:ind w:right="381" w:firstLine="580"/>
        <w:spacing w:before="132" w:line="311" w:lineRule="auto"/>
        <w:rPr>
          <w:sz w:val="29"/>
          <w:szCs w:val="29"/>
        </w:rPr>
      </w:pPr>
      <w:r>
        <w:rPr>
          <w:sz w:val="29"/>
          <w:szCs w:val="29"/>
        </w:rPr>
        <w:t>高速由化油器的高速油针调整。高速油针的开度在一圈左右。若听起来转速 </w:t>
      </w:r>
      <w:r>
        <w:rPr>
          <w:sz w:val="29"/>
          <w:szCs w:val="29"/>
          <w:spacing w:val="-8"/>
        </w:rPr>
        <w:t>很高，但工作起来感到力量不够，而且发动机温度较高，这说明供油太稀，应开大</w:t>
      </w:r>
      <w:r>
        <w:rPr>
          <w:sz w:val="29"/>
          <w:szCs w:val="29"/>
        </w:rPr>
        <w:t xml:space="preserve"> </w:t>
      </w:r>
      <w:r>
        <w:rPr>
          <w:sz w:val="29"/>
          <w:szCs w:val="29"/>
          <w:spacing w:val="-9"/>
        </w:rPr>
        <w:t>油针；若高速时发动机声音较闷、排烟较浓、猛松油门扳手发动机突然从高速回到</w:t>
      </w:r>
      <w:r>
        <w:rPr>
          <w:sz w:val="29"/>
          <w:szCs w:val="29"/>
          <w:spacing w:val="12"/>
        </w:rPr>
        <w:t xml:space="preserve"> </w:t>
      </w:r>
      <w:r>
        <w:rPr>
          <w:sz w:val="29"/>
          <w:szCs w:val="29"/>
          <w:spacing w:val="1"/>
        </w:rPr>
        <w:t>怠速时，有灭火，停顿现象，表明供油太浓，应关小油</w:t>
      </w:r>
      <w:r>
        <w:rPr>
          <w:sz w:val="29"/>
          <w:szCs w:val="29"/>
        </w:rPr>
        <w:t>针。</w:t>
      </w:r>
    </w:p>
    <w:p>
      <w:pPr>
        <w:pStyle w:val="BodyText"/>
        <w:spacing w:before="16" w:line="395" w:lineRule="exact"/>
        <w:rPr>
          <w:rFonts w:ascii="SimHei" w:hAnsi="SimHei" w:eastAsia="SimHei" w:cs="SimHei"/>
          <w:sz w:val="29"/>
          <w:szCs w:val="29"/>
        </w:rPr>
      </w:pPr>
      <w:r>
        <w:rPr>
          <w:rFonts w:ascii="Arial" w:hAnsi="Arial" w:eastAsia="Arial" w:cs="Arial"/>
          <w:sz w:val="29"/>
          <w:szCs w:val="29"/>
          <w:spacing w:val="8"/>
          <w:position w:val="1"/>
        </w:rPr>
        <w:t>3</w:t>
      </w:r>
      <w:r>
        <w:rPr>
          <w:sz w:val="29"/>
          <w:szCs w:val="29"/>
          <w:spacing w:val="8"/>
          <w:position w:val="1"/>
        </w:rPr>
        <w:t>、</w:t>
      </w:r>
      <w:r>
        <w:rPr>
          <w:rFonts w:ascii="SimHei" w:hAnsi="SimHei" w:eastAsia="SimHei" w:cs="SimHei"/>
          <w:sz w:val="29"/>
          <w:szCs w:val="29"/>
          <w:spacing w:val="8"/>
          <w:position w:val="1"/>
        </w:rPr>
        <w:t>作业</w:t>
      </w:r>
    </w:p>
    <w:p>
      <w:pPr>
        <w:pStyle w:val="BodyText"/>
        <w:ind w:left="580"/>
        <w:spacing w:before="100" w:line="220" w:lineRule="auto"/>
        <w:rPr>
          <w:sz w:val="29"/>
          <w:szCs w:val="29"/>
        </w:rPr>
      </w:pPr>
      <w:r>
        <w:rPr>
          <w:sz w:val="29"/>
          <w:szCs w:val="29"/>
          <w:spacing w:val="-3"/>
        </w:rPr>
        <w:t>1)</w:t>
      </w:r>
      <w:r>
        <w:rPr>
          <w:sz w:val="29"/>
          <w:szCs w:val="29"/>
          <w:spacing w:val="9"/>
        </w:rPr>
        <w:t xml:space="preserve"> </w:t>
      </w:r>
      <w:r>
        <w:rPr>
          <w:sz w:val="29"/>
          <w:szCs w:val="29"/>
          <w:spacing w:val="-3"/>
        </w:rPr>
        <w:t>锯木</w:t>
      </w:r>
    </w:p>
    <w:p>
      <w:pPr>
        <w:pStyle w:val="BodyText"/>
        <w:ind w:right="509" w:firstLine="740"/>
        <w:spacing w:before="113" w:line="279" w:lineRule="auto"/>
        <w:rPr>
          <w:sz w:val="29"/>
          <w:szCs w:val="29"/>
        </w:rPr>
      </w:pPr>
      <w:r>
        <w:rPr>
          <w:sz w:val="29"/>
          <w:szCs w:val="29"/>
          <w:spacing w:val="4"/>
        </w:rPr>
        <w:t>(1)将插木齿的最下面一个齿插入树干，使锯平稳，然后慢慢加大油门，</w:t>
      </w:r>
      <w:r>
        <w:rPr>
          <w:sz w:val="29"/>
          <w:szCs w:val="29"/>
          <w:spacing w:val="17"/>
        </w:rPr>
        <w:t xml:space="preserve"> </w:t>
      </w:r>
      <w:r>
        <w:rPr>
          <w:sz w:val="29"/>
          <w:szCs w:val="29"/>
          <w:spacing w:val="-6"/>
        </w:rPr>
        <w:t>进行切削；</w:t>
      </w:r>
    </w:p>
    <w:p>
      <w:pPr>
        <w:pStyle w:val="BodyText"/>
        <w:ind w:right="443" w:firstLine="740"/>
        <w:spacing w:before="143" w:line="269" w:lineRule="auto"/>
        <w:rPr>
          <w:sz w:val="29"/>
          <w:szCs w:val="29"/>
        </w:rPr>
      </w:pPr>
      <w:r>
        <w:rPr>
          <w:sz w:val="29"/>
          <w:szCs w:val="29"/>
          <w:spacing w:val="6"/>
        </w:rPr>
        <w:t>(2)油锯马达比较大，一般情况开中等油门即可，锯链刚搭上树木时要轻</w:t>
      </w:r>
      <w:r>
        <w:rPr>
          <w:sz w:val="29"/>
          <w:szCs w:val="29"/>
          <w:spacing w:val="17"/>
        </w:rPr>
        <w:t xml:space="preserve"> </w:t>
      </w:r>
      <w:r>
        <w:rPr>
          <w:sz w:val="29"/>
          <w:szCs w:val="29"/>
        </w:rPr>
        <w:t>而慢，切进去数</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31"/>
        </w:rPr>
        <w:t xml:space="preserve"> </w:t>
      </w:r>
      <w:r>
        <w:rPr>
          <w:sz w:val="29"/>
          <w:szCs w:val="29"/>
        </w:rPr>
        <w:t>后再加大进给速度；</w:t>
      </w:r>
    </w:p>
    <w:p>
      <w:pPr>
        <w:pStyle w:val="BodyText"/>
        <w:ind w:right="412" w:firstLine="740"/>
        <w:spacing w:before="144" w:line="266" w:lineRule="auto"/>
        <w:rPr>
          <w:sz w:val="29"/>
          <w:szCs w:val="29"/>
        </w:rPr>
      </w:pPr>
      <w:r>
        <w:rPr>
          <w:sz w:val="29"/>
          <w:szCs w:val="29"/>
        </w:rPr>
        <w:t>(3)锯木时，施加在锯把上的力量要与发动机的功率相适应，</w:t>
      </w:r>
      <w:r>
        <w:rPr>
          <w:sz w:val="29"/>
          <w:szCs w:val="29"/>
          <w:spacing w:val="101"/>
        </w:rPr>
        <w:t xml:space="preserve"> </w:t>
      </w:r>
      <w:r>
        <w:rPr>
          <w:sz w:val="29"/>
          <w:szCs w:val="29"/>
        </w:rPr>
        <w:t>一发现卡锯 </w:t>
      </w:r>
      <w:r>
        <w:rPr>
          <w:sz w:val="29"/>
          <w:szCs w:val="29"/>
          <w:spacing w:val="-9"/>
        </w:rPr>
        <w:t>现象，就应迅速减小油门并同时退锯，严禁在锯链被卡的情况下仍开</w:t>
      </w:r>
      <w:r>
        <w:rPr>
          <w:sz w:val="29"/>
          <w:szCs w:val="29"/>
          <w:spacing w:val="-10"/>
        </w:rPr>
        <w:t>大油门，这</w:t>
      </w:r>
    </w:p>
    <w:p>
      <w:pPr>
        <w:spacing w:line="266" w:lineRule="auto"/>
        <w:sectPr>
          <w:footerReference w:type="default" r:id="rId501"/>
          <w:pgSz w:w="14490" w:h="20470"/>
          <w:pgMar w:top="400" w:right="1815" w:bottom="1140" w:left="2140" w:header="0" w:footer="942"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样会产生高温，使离合器弹簧失效，或大大降低离合器</w:t>
      </w:r>
      <w:r>
        <w:rPr>
          <w:sz w:val="29"/>
          <w:szCs w:val="29"/>
        </w:rPr>
        <w:t>的使用寿命；</w:t>
      </w:r>
    </w:p>
    <w:p>
      <w:pPr>
        <w:pStyle w:val="BodyText"/>
        <w:ind w:left="730"/>
        <w:spacing w:before="156" w:line="219" w:lineRule="auto"/>
        <w:rPr>
          <w:sz w:val="29"/>
          <w:szCs w:val="29"/>
        </w:rPr>
      </w:pPr>
      <w:r>
        <w:rPr>
          <w:sz w:val="29"/>
          <w:szCs w:val="29"/>
          <w:spacing w:val="7"/>
        </w:rPr>
        <w:t>(4)锯木时应注意锯木机构的正确移动，严禁</w:t>
      </w:r>
      <w:r>
        <w:rPr>
          <w:sz w:val="29"/>
          <w:szCs w:val="29"/>
          <w:spacing w:val="6"/>
        </w:rPr>
        <w:t>导板扭曲偏斜；</w:t>
      </w:r>
    </w:p>
    <w:p>
      <w:pPr>
        <w:pStyle w:val="BodyText"/>
        <w:ind w:right="82" w:firstLine="730"/>
        <w:spacing w:before="145" w:line="270" w:lineRule="auto"/>
        <w:rPr>
          <w:sz w:val="29"/>
          <w:szCs w:val="29"/>
        </w:rPr>
      </w:pPr>
      <w:r>
        <w:rPr>
          <w:sz w:val="29"/>
          <w:szCs w:val="29"/>
          <w:spacing w:val="7"/>
        </w:rPr>
        <w:t>(5)在树木快要被切断时应拨出插木齿，</w:t>
      </w:r>
      <w:r>
        <w:rPr>
          <w:sz w:val="29"/>
          <w:szCs w:val="29"/>
          <w:spacing w:val="6"/>
        </w:rPr>
        <w:t>不然容易折断插木齿，甚至造成</w:t>
      </w:r>
      <w:r>
        <w:rPr>
          <w:sz w:val="29"/>
          <w:szCs w:val="29"/>
        </w:rPr>
        <w:t xml:space="preserve"> </w:t>
      </w:r>
      <w:r>
        <w:rPr>
          <w:sz w:val="29"/>
          <w:szCs w:val="29"/>
          <w:spacing w:val="-4"/>
        </w:rPr>
        <w:t>事故。</w:t>
      </w:r>
    </w:p>
    <w:p>
      <w:pPr>
        <w:pStyle w:val="BodyText"/>
        <w:ind w:left="600"/>
        <w:spacing w:before="134" w:line="220" w:lineRule="auto"/>
        <w:rPr>
          <w:sz w:val="29"/>
          <w:szCs w:val="29"/>
        </w:rPr>
      </w:pPr>
      <w:r>
        <w:rPr>
          <w:sz w:val="29"/>
          <w:szCs w:val="29"/>
          <w:spacing w:val="25"/>
        </w:rPr>
        <w:t>2)转移或加油</w:t>
      </w:r>
    </w:p>
    <w:p>
      <w:pPr>
        <w:pStyle w:val="BodyText"/>
        <w:ind w:right="78" w:firstLine="730"/>
        <w:spacing w:before="132" w:line="270" w:lineRule="auto"/>
        <w:rPr>
          <w:sz w:val="29"/>
          <w:szCs w:val="29"/>
        </w:rPr>
      </w:pPr>
      <w:r>
        <w:rPr>
          <w:sz w:val="29"/>
          <w:szCs w:val="29"/>
          <w:spacing w:val="7"/>
        </w:rPr>
        <w:t>(1)在作业中短时间转移，油锯不应熄火，而应是怠</w:t>
      </w:r>
      <w:r>
        <w:rPr>
          <w:sz w:val="29"/>
          <w:szCs w:val="29"/>
          <w:spacing w:val="6"/>
        </w:rPr>
        <w:t>速运转，但锯链不允</w:t>
      </w:r>
      <w:r>
        <w:rPr>
          <w:sz w:val="29"/>
          <w:szCs w:val="29"/>
        </w:rPr>
        <w:t xml:space="preserve"> </w:t>
      </w:r>
      <w:r>
        <w:rPr>
          <w:sz w:val="29"/>
          <w:szCs w:val="29"/>
          <w:spacing w:val="-5"/>
        </w:rPr>
        <w:t>许转动，以免造成事故；</w:t>
      </w:r>
    </w:p>
    <w:p>
      <w:pPr>
        <w:pStyle w:val="BodyText"/>
        <w:ind w:right="285" w:firstLine="730"/>
        <w:spacing w:before="153" w:line="268" w:lineRule="auto"/>
        <w:rPr>
          <w:sz w:val="29"/>
          <w:szCs w:val="29"/>
        </w:rPr>
      </w:pPr>
      <w:r>
        <w:rPr>
          <w:sz w:val="29"/>
          <w:szCs w:val="29"/>
        </w:rPr>
        <w:t>(2)在中间加油时发动机应熄火，并关掉油路开关，待停机15分钟、发动</w:t>
      </w:r>
      <w:r>
        <w:rPr>
          <w:sz w:val="29"/>
          <w:szCs w:val="29"/>
          <w:spacing w:val="14"/>
        </w:rPr>
        <w:t xml:space="preserve"> </w:t>
      </w:r>
      <w:r>
        <w:rPr>
          <w:sz w:val="29"/>
          <w:szCs w:val="29"/>
          <w:spacing w:val="2"/>
        </w:rPr>
        <w:t>机冷却后方可加油，发动机运转时加油容易</w:t>
      </w:r>
      <w:r>
        <w:rPr>
          <w:sz w:val="29"/>
          <w:szCs w:val="29"/>
          <w:spacing w:val="1"/>
        </w:rPr>
        <w:t>发生火灾。</w:t>
      </w:r>
    </w:p>
    <w:p>
      <w:pPr>
        <w:spacing w:before="184" w:line="223" w:lineRule="auto"/>
        <w:rPr>
          <w:rFonts w:ascii="SimHei" w:hAnsi="SimHei" w:eastAsia="SimHei" w:cs="SimHei"/>
          <w:sz w:val="28"/>
          <w:szCs w:val="28"/>
        </w:rPr>
      </w:pPr>
      <w:r>
        <w:rPr>
          <w:rFonts w:ascii="SimHei" w:hAnsi="SimHei" w:eastAsia="SimHei" w:cs="SimHei"/>
          <w:sz w:val="28"/>
          <w:szCs w:val="28"/>
          <w:spacing w:val="17"/>
        </w:rPr>
        <w:t>4、</w:t>
      </w:r>
      <w:r>
        <w:rPr>
          <w:rFonts w:ascii="SimHei" w:hAnsi="SimHei" w:eastAsia="SimHei" w:cs="SimHei"/>
          <w:sz w:val="28"/>
          <w:szCs w:val="28"/>
          <w:b/>
          <w:bCs/>
          <w:spacing w:val="17"/>
        </w:rPr>
        <w:t>停机</w:t>
      </w:r>
    </w:p>
    <w:p>
      <w:pPr>
        <w:pStyle w:val="BodyText"/>
        <w:ind w:right="213" w:firstLine="730"/>
        <w:spacing w:before="93" w:line="314" w:lineRule="auto"/>
        <w:rPr>
          <w:sz w:val="29"/>
          <w:szCs w:val="29"/>
        </w:rPr>
      </w:pPr>
      <w:r>
        <w:rPr>
          <w:sz w:val="29"/>
          <w:szCs w:val="29"/>
          <w:spacing w:val="-6"/>
        </w:rPr>
        <w:t>(1)</w:t>
      </w:r>
      <w:r>
        <w:rPr>
          <w:sz w:val="29"/>
          <w:szCs w:val="29"/>
          <w:spacing w:val="145"/>
        </w:rPr>
        <w:t xml:space="preserve"> </w:t>
      </w:r>
      <w:r>
        <w:rPr>
          <w:sz w:val="29"/>
          <w:szCs w:val="29"/>
          <w:spacing w:val="-6"/>
        </w:rPr>
        <w:t>停机时，发动机应在怠速运转1—2分钟，然后再关掉电路开关停机，</w:t>
      </w:r>
      <w:r>
        <w:rPr>
          <w:sz w:val="29"/>
          <w:szCs w:val="29"/>
        </w:rPr>
        <w:t xml:space="preserve"> </w:t>
      </w:r>
      <w:r>
        <w:rPr>
          <w:sz w:val="29"/>
          <w:szCs w:val="29"/>
          <w:spacing w:val="-3"/>
        </w:rPr>
        <w:t>停机后再关油路开关；</w:t>
      </w:r>
    </w:p>
    <w:p>
      <w:pPr>
        <w:pStyle w:val="BodyText"/>
        <w:ind w:right="161" w:firstLine="730"/>
        <w:spacing w:before="14" w:line="308" w:lineRule="auto"/>
        <w:rPr>
          <w:sz w:val="29"/>
          <w:szCs w:val="29"/>
        </w:rPr>
      </w:pPr>
      <w:r>
        <w:rPr>
          <w:sz w:val="29"/>
          <w:szCs w:val="29"/>
          <w:spacing w:val="-5"/>
        </w:rPr>
        <w:t>(②  在使用过程中应随时观察油锯的工作态度，发现有不正常的情况时，</w:t>
      </w:r>
      <w:r>
        <w:rPr>
          <w:sz w:val="29"/>
          <w:szCs w:val="29"/>
          <w:spacing w:val="18"/>
        </w:rPr>
        <w:t xml:space="preserve"> </w:t>
      </w:r>
      <w:r>
        <w:rPr>
          <w:sz w:val="29"/>
          <w:szCs w:val="29"/>
          <w:spacing w:val="-2"/>
        </w:rPr>
        <w:t>应立即停机检查，不要带病作业。</w:t>
      </w:r>
    </w:p>
    <w:p>
      <w:pPr>
        <w:pStyle w:val="BodyText"/>
        <w:spacing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保养及维护</w:t>
      </w:r>
    </w:p>
    <w:p>
      <w:pPr>
        <w:pStyle w:val="BodyText"/>
        <w:ind w:left="600"/>
        <w:spacing w:before="110" w:line="219" w:lineRule="auto"/>
        <w:rPr>
          <w:sz w:val="29"/>
          <w:szCs w:val="29"/>
        </w:rPr>
      </w:pPr>
      <w:r>
        <w:rPr>
          <w:sz w:val="29"/>
          <w:szCs w:val="29"/>
          <w:spacing w:val="6"/>
        </w:rPr>
        <w:t>)  小时保养(即油锯每运转50小时后保养):</w:t>
      </w:r>
    </w:p>
    <w:p>
      <w:pPr>
        <w:pStyle w:val="BodyText"/>
        <w:ind w:right="81" w:firstLine="730"/>
        <w:spacing w:before="135" w:line="269" w:lineRule="auto"/>
        <w:rPr>
          <w:sz w:val="29"/>
          <w:szCs w:val="29"/>
        </w:rPr>
      </w:pPr>
      <w:r>
        <w:rPr>
          <w:sz w:val="29"/>
          <w:szCs w:val="29"/>
          <w:spacing w:val="7"/>
        </w:rPr>
        <w:t>(1)拆下气缸，清除气缸燃烧室和排气口的</w:t>
      </w:r>
      <w:r>
        <w:rPr>
          <w:sz w:val="29"/>
          <w:szCs w:val="29"/>
          <w:spacing w:val="6"/>
        </w:rPr>
        <w:t>积炭、散热片奖的赃物，清除</w:t>
      </w:r>
      <w:r>
        <w:rPr>
          <w:sz w:val="29"/>
          <w:szCs w:val="29"/>
        </w:rPr>
        <w:t xml:space="preserve"> </w:t>
      </w:r>
      <w:r>
        <w:rPr>
          <w:sz w:val="29"/>
          <w:szCs w:val="29"/>
        </w:rPr>
        <w:t>活塞顶部、活塞环、消音器口处积炭，注意不得损坏零件；</w:t>
      </w:r>
    </w:p>
    <w:p>
      <w:pPr>
        <w:pStyle w:val="BodyText"/>
        <w:ind w:right="82" w:firstLine="730"/>
        <w:spacing w:before="155" w:line="256" w:lineRule="auto"/>
        <w:rPr>
          <w:sz w:val="29"/>
          <w:szCs w:val="29"/>
        </w:rPr>
      </w:pPr>
      <w:r>
        <w:rPr>
          <w:sz w:val="29"/>
          <w:szCs w:val="29"/>
          <w:spacing w:val="7"/>
        </w:rPr>
        <w:t>(2)清洗并检查曲轴箱、曲轴、连杆；清</w:t>
      </w:r>
      <w:r>
        <w:rPr>
          <w:sz w:val="29"/>
          <w:szCs w:val="29"/>
          <w:spacing w:val="6"/>
        </w:rPr>
        <w:t>除飞轮、风扇、缸罩、起动器等</w:t>
      </w:r>
      <w:r>
        <w:rPr>
          <w:sz w:val="29"/>
          <w:szCs w:val="29"/>
        </w:rPr>
        <w:t xml:space="preserve"> </w:t>
      </w:r>
      <w:r>
        <w:rPr>
          <w:sz w:val="29"/>
          <w:szCs w:val="29"/>
        </w:rPr>
        <w:t>零件表面的赃物，并检查是否有不正常现象；</w:t>
      </w:r>
    </w:p>
    <w:p>
      <w:pPr>
        <w:pStyle w:val="BodyText"/>
        <w:ind w:left="730"/>
        <w:spacing w:before="167" w:line="219" w:lineRule="auto"/>
        <w:rPr>
          <w:sz w:val="29"/>
          <w:szCs w:val="29"/>
        </w:rPr>
      </w:pPr>
      <w:r>
        <w:rPr>
          <w:sz w:val="29"/>
          <w:szCs w:val="29"/>
          <w:spacing w:val="7"/>
        </w:rPr>
        <w:t>(3)拆下化油器，清洗泵油室和平衡室；</w:t>
      </w:r>
    </w:p>
    <w:p>
      <w:pPr>
        <w:pStyle w:val="BodyText"/>
        <w:ind w:right="84" w:firstLine="730"/>
        <w:spacing w:before="135" w:line="272" w:lineRule="auto"/>
        <w:rPr>
          <w:sz w:val="29"/>
          <w:szCs w:val="29"/>
        </w:rPr>
      </w:pPr>
      <w:r>
        <w:rPr>
          <w:sz w:val="29"/>
          <w:szCs w:val="29"/>
          <w:spacing w:val="6"/>
        </w:rPr>
        <w:t>(4)卸下离合块座和离合块，清洗并擦干离合器表面的油污，清洗被动盘</w:t>
      </w:r>
      <w:r>
        <w:rPr>
          <w:sz w:val="29"/>
          <w:szCs w:val="29"/>
          <w:spacing w:val="18"/>
        </w:rPr>
        <w:t xml:space="preserve"> </w:t>
      </w:r>
      <w:r>
        <w:rPr>
          <w:sz w:val="29"/>
          <w:szCs w:val="29"/>
          <w:spacing w:val="-8"/>
        </w:rPr>
        <w:t>的内表面；</w:t>
      </w:r>
    </w:p>
    <w:p>
      <w:pPr>
        <w:pStyle w:val="BodyText"/>
        <w:ind w:right="84" w:firstLine="730"/>
        <w:spacing w:before="154" w:line="266" w:lineRule="auto"/>
        <w:rPr>
          <w:sz w:val="29"/>
          <w:szCs w:val="29"/>
        </w:rPr>
      </w:pPr>
      <w:r>
        <w:rPr>
          <w:sz w:val="29"/>
          <w:szCs w:val="29"/>
          <w:spacing w:val="6"/>
        </w:rPr>
        <w:t>(5)卸下减速油盖，用汽油清洗减速箱、油箱和滤清器，在轴承和齿轮上</w:t>
      </w:r>
      <w:r>
        <w:rPr>
          <w:sz w:val="29"/>
          <w:szCs w:val="29"/>
          <w:spacing w:val="18"/>
        </w:rPr>
        <w:t xml:space="preserve"> </w:t>
      </w:r>
      <w:r>
        <w:rPr>
          <w:sz w:val="29"/>
          <w:szCs w:val="29"/>
          <w:spacing w:val="-8"/>
        </w:rPr>
        <w:t>涂上黄油；</w:t>
      </w:r>
    </w:p>
    <w:p>
      <w:pPr>
        <w:pStyle w:val="BodyText"/>
        <w:ind w:right="111" w:firstLine="730"/>
        <w:spacing w:before="125" w:line="269" w:lineRule="auto"/>
        <w:rPr>
          <w:sz w:val="29"/>
          <w:szCs w:val="29"/>
        </w:rPr>
      </w:pPr>
      <w:r>
        <w:rPr>
          <w:sz w:val="29"/>
          <w:szCs w:val="29"/>
          <w:spacing w:val="6"/>
        </w:rPr>
        <w:t>(6)在清洗过程中，应检查气缸、活塞、活塞环、</w:t>
      </w:r>
      <w:r>
        <w:rPr>
          <w:sz w:val="29"/>
          <w:szCs w:val="29"/>
          <w:spacing w:val="5"/>
        </w:rPr>
        <w:t>连杆、大小头轴承付、</w:t>
      </w:r>
      <w:r>
        <w:rPr>
          <w:sz w:val="29"/>
          <w:szCs w:val="29"/>
        </w:rPr>
        <w:t xml:space="preserve"> </w:t>
      </w:r>
      <w:r>
        <w:rPr>
          <w:sz w:val="29"/>
          <w:szCs w:val="29"/>
          <w:spacing w:val="1"/>
        </w:rPr>
        <w:t>减速箱齿轮、链轮等重要零件是否有严重磨损或损坏，及时修理或更换零件；</w:t>
      </w:r>
    </w:p>
    <w:p>
      <w:pPr>
        <w:pStyle w:val="BodyText"/>
        <w:ind w:right="261" w:firstLine="730"/>
        <w:spacing w:before="174" w:line="259" w:lineRule="auto"/>
        <w:rPr>
          <w:sz w:val="29"/>
          <w:szCs w:val="29"/>
        </w:rPr>
      </w:pPr>
      <w:r>
        <w:rPr>
          <w:sz w:val="29"/>
          <w:szCs w:val="29"/>
          <w:spacing w:val="-7"/>
        </w:rPr>
        <w:t>(7)清洗组装后，发动机应低速运转10分钟后才可以锯木；</w:t>
      </w:r>
      <w:r>
        <w:rPr>
          <w:sz w:val="29"/>
          <w:szCs w:val="29"/>
          <w:spacing w:val="-8"/>
        </w:rPr>
        <w:t>若更换过气缸、</w:t>
      </w:r>
      <w:r>
        <w:rPr>
          <w:sz w:val="29"/>
          <w:szCs w:val="29"/>
        </w:rPr>
        <w:t xml:space="preserve"> </w:t>
      </w:r>
      <w:r>
        <w:rPr>
          <w:sz w:val="29"/>
          <w:szCs w:val="29"/>
          <w:spacing w:val="1"/>
        </w:rPr>
        <w:t>活塞、活塞环、曲轴杆总成等，应磨合1个小时方可锯木。</w:t>
      </w:r>
    </w:p>
    <w:p>
      <w:pPr>
        <w:pStyle w:val="BodyText"/>
        <w:ind w:left="600"/>
        <w:spacing w:before="148" w:line="219" w:lineRule="auto"/>
        <w:rPr>
          <w:sz w:val="29"/>
          <w:szCs w:val="29"/>
        </w:rPr>
      </w:pPr>
      <w:r>
        <w:rPr>
          <w:rFonts w:ascii="Times New Roman" w:hAnsi="Times New Roman" w:eastAsia="Times New Roman" w:cs="Times New Roman"/>
          <w:sz w:val="29"/>
          <w:szCs w:val="29"/>
          <w:spacing w:val="-2"/>
        </w:rPr>
        <w:t>2    </w:t>
      </w:r>
      <w:r>
        <w:rPr>
          <w:sz w:val="29"/>
          <w:szCs w:val="29"/>
          <w:spacing w:val="-2"/>
        </w:rPr>
        <w:t>每日保养：</w:t>
      </w:r>
    </w:p>
    <w:p>
      <w:pPr>
        <w:pStyle w:val="BodyText"/>
        <w:ind w:right="82" w:firstLine="730"/>
        <w:spacing w:before="145" w:line="270" w:lineRule="auto"/>
        <w:rPr>
          <w:sz w:val="29"/>
          <w:szCs w:val="29"/>
        </w:rPr>
      </w:pPr>
      <w:r>
        <w:rPr>
          <w:sz w:val="29"/>
          <w:szCs w:val="29"/>
          <w:spacing w:val="7"/>
        </w:rPr>
        <w:t>(1)卸下油锯导板，并用汽油或混合油洗</w:t>
      </w:r>
      <w:r>
        <w:rPr>
          <w:sz w:val="29"/>
          <w:szCs w:val="29"/>
          <w:spacing w:val="6"/>
        </w:rPr>
        <w:t>净，将锯链泡入机油中，第二天</w:t>
      </w:r>
      <w:r>
        <w:rPr>
          <w:sz w:val="29"/>
          <w:szCs w:val="29"/>
        </w:rPr>
        <w:t xml:space="preserve"> </w:t>
      </w:r>
      <w:r>
        <w:rPr>
          <w:sz w:val="29"/>
          <w:szCs w:val="29"/>
          <w:spacing w:val="-8"/>
        </w:rPr>
        <w:t>再装上用；</w:t>
      </w:r>
    </w:p>
    <w:p>
      <w:pPr>
        <w:pStyle w:val="BodyText"/>
        <w:ind w:left="730"/>
        <w:spacing w:before="143" w:line="219" w:lineRule="auto"/>
        <w:rPr>
          <w:sz w:val="29"/>
          <w:szCs w:val="29"/>
        </w:rPr>
      </w:pPr>
      <w:r>
        <w:rPr>
          <w:sz w:val="29"/>
          <w:szCs w:val="29"/>
          <w:spacing w:val="8"/>
        </w:rPr>
        <w:t>(2)擦净外表所有锯屑、泥土等赃物；</w:t>
      </w:r>
    </w:p>
    <w:p>
      <w:pPr>
        <w:pStyle w:val="BodyText"/>
        <w:ind w:left="730"/>
        <w:spacing w:before="147" w:line="220" w:lineRule="auto"/>
        <w:rPr>
          <w:sz w:val="29"/>
          <w:szCs w:val="29"/>
        </w:rPr>
      </w:pPr>
      <w:r>
        <w:rPr>
          <w:sz w:val="29"/>
          <w:szCs w:val="29"/>
          <w:spacing w:val="6"/>
        </w:rPr>
        <w:t>(3)拆下空滤器滤网用汽油或混合油洗净；</w:t>
      </w:r>
    </w:p>
    <w:p>
      <w:pPr>
        <w:spacing w:line="220" w:lineRule="auto"/>
        <w:sectPr>
          <w:footerReference w:type="default" r:id="rId502"/>
          <w:pgSz w:w="14490" w:h="20470"/>
          <w:pgMar w:top="400" w:right="2173" w:bottom="1143" w:left="2150" w:header="0" w:footer="94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844"/>
        <w:spacing w:before="94" w:line="219" w:lineRule="auto"/>
        <w:rPr>
          <w:sz w:val="29"/>
          <w:szCs w:val="29"/>
        </w:rPr>
      </w:pPr>
      <w:r>
        <w:rPr>
          <w:sz w:val="29"/>
          <w:szCs w:val="29"/>
          <w:spacing w:val="8"/>
        </w:rPr>
        <w:t>(4)检查所有的螺母、螺钉是否紧固。</w:t>
      </w:r>
    </w:p>
    <w:p>
      <w:pPr>
        <w:pStyle w:val="BodyText"/>
        <w:ind w:left="705"/>
        <w:spacing w:before="146" w:line="219" w:lineRule="auto"/>
        <w:rPr>
          <w:sz w:val="29"/>
          <w:szCs w:val="29"/>
        </w:rPr>
      </w:pPr>
      <w:r>
        <w:rPr>
          <w:rFonts w:ascii="Times New Roman" w:hAnsi="Times New Roman" w:eastAsia="Times New Roman" w:cs="Times New Roman"/>
          <w:sz w:val="29"/>
          <w:szCs w:val="29"/>
        </w:rPr>
        <w:t>3</w:t>
      </w:r>
      <w:r>
        <w:rPr>
          <w:rFonts w:ascii="Times New Roman" w:hAnsi="Times New Roman" w:eastAsia="Times New Roman" w:cs="Times New Roman"/>
          <w:sz w:val="29"/>
          <w:szCs w:val="29"/>
          <w:spacing w:val="4"/>
        </w:rPr>
        <w:t xml:space="preserve">    </w:t>
      </w:r>
      <w:r>
        <w:rPr>
          <w:sz w:val="29"/>
          <w:szCs w:val="29"/>
        </w:rPr>
        <w:t>故障排除</w:t>
      </w:r>
    </w:p>
    <w:p>
      <w:pPr>
        <w:pStyle w:val="BodyText"/>
        <w:ind w:left="224"/>
        <w:spacing w:before="155" w:line="219" w:lineRule="auto"/>
        <w:rPr>
          <w:sz w:val="27"/>
          <w:szCs w:val="27"/>
        </w:rPr>
      </w:pPr>
      <w:r>
        <w:rPr>
          <w:sz w:val="27"/>
          <w:szCs w:val="27"/>
          <w:spacing w:val="-15"/>
        </w:rPr>
        <w:t>表6-3油锯常见故障排除</w:t>
      </w:r>
    </w:p>
    <w:p>
      <w:pPr>
        <w:spacing w:line="113" w:lineRule="exact"/>
        <w:rPr/>
      </w:pPr>
      <w:r/>
    </w:p>
    <w:tbl>
      <w:tblPr>
        <w:tblStyle w:val="TableNormal"/>
        <w:tblW w:w="1036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693"/>
        <w:gridCol w:w="8676"/>
      </w:tblGrid>
      <w:tr>
        <w:trPr>
          <w:trHeight w:val="385" w:hRule="atLeast"/>
        </w:trPr>
        <w:tc>
          <w:tcPr>
            <w:tcW w:w="1693" w:type="dxa"/>
            <w:vAlign w:val="top"/>
          </w:tcPr>
          <w:p>
            <w:pPr>
              <w:pStyle w:val="TableText"/>
              <w:ind w:left="118"/>
              <w:spacing w:before="72" w:line="219" w:lineRule="auto"/>
              <w:rPr>
                <w:sz w:val="25"/>
                <w:szCs w:val="25"/>
              </w:rPr>
            </w:pPr>
            <w:r>
              <w:rPr>
                <w:sz w:val="25"/>
                <w:szCs w:val="25"/>
                <w:b/>
                <w:bCs/>
                <w:spacing w:val="-7"/>
              </w:rPr>
              <w:t>故障</w:t>
            </w:r>
          </w:p>
        </w:tc>
        <w:tc>
          <w:tcPr>
            <w:tcW w:w="8676" w:type="dxa"/>
            <w:vAlign w:val="top"/>
          </w:tcPr>
          <w:p>
            <w:pPr>
              <w:pStyle w:val="TableText"/>
              <w:ind w:left="135"/>
              <w:spacing w:before="72" w:line="219" w:lineRule="auto"/>
              <w:rPr>
                <w:sz w:val="25"/>
                <w:szCs w:val="25"/>
              </w:rPr>
            </w:pPr>
            <w:r>
              <w:rPr>
                <w:sz w:val="25"/>
                <w:szCs w:val="25"/>
                <w:b/>
                <w:bCs/>
                <w:spacing w:val="-5"/>
              </w:rPr>
              <w:t>排除方法</w:t>
            </w:r>
          </w:p>
        </w:tc>
      </w:tr>
      <w:tr>
        <w:trPr>
          <w:trHeight w:val="539" w:hRule="atLeast"/>
        </w:trPr>
        <w:tc>
          <w:tcPr>
            <w:tcW w:w="1693" w:type="dxa"/>
            <w:vAlign w:val="top"/>
            <w:vMerge w:val="restart"/>
            <w:tcBorders>
              <w:bottom w:val="nil"/>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pStyle w:val="TableText"/>
              <w:ind w:left="214"/>
              <w:spacing w:before="81" w:line="220" w:lineRule="auto"/>
              <w:rPr>
                <w:sz w:val="25"/>
                <w:szCs w:val="25"/>
              </w:rPr>
            </w:pPr>
            <w:r>
              <w:rPr>
                <w:sz w:val="25"/>
                <w:szCs w:val="25"/>
                <w:spacing w:val="2"/>
              </w:rPr>
              <w:t>冷启动困难</w:t>
            </w:r>
          </w:p>
        </w:tc>
        <w:tc>
          <w:tcPr>
            <w:tcW w:w="8676" w:type="dxa"/>
            <w:vAlign w:val="top"/>
          </w:tcPr>
          <w:p>
            <w:pPr>
              <w:pStyle w:val="TableText"/>
              <w:ind w:left="131"/>
              <w:spacing w:before="150" w:line="219" w:lineRule="auto"/>
              <w:rPr>
                <w:sz w:val="25"/>
                <w:szCs w:val="25"/>
              </w:rPr>
            </w:pPr>
            <w:r>
              <w:rPr>
                <w:sz w:val="25"/>
                <w:szCs w:val="25"/>
                <w:spacing w:val="3"/>
              </w:rPr>
              <w:t>检查油箱是否有油</w:t>
            </w:r>
          </w:p>
        </w:tc>
      </w:tr>
      <w:tr>
        <w:trPr>
          <w:trHeight w:val="510" w:hRule="atLeast"/>
        </w:trPr>
        <w:tc>
          <w:tcPr>
            <w:tcW w:w="1693" w:type="dxa"/>
            <w:vAlign w:val="top"/>
            <w:vMerge w:val="continue"/>
            <w:tcBorders>
              <w:top w:val="nil"/>
              <w:bottom w:val="nil"/>
            </w:tcBorders>
          </w:tcPr>
          <w:p>
            <w:pPr>
              <w:rPr>
                <w:rFonts w:ascii="Arial"/>
                <w:sz w:val="21"/>
              </w:rPr>
            </w:pPr>
            <w:r/>
          </w:p>
        </w:tc>
        <w:tc>
          <w:tcPr>
            <w:tcW w:w="8676" w:type="dxa"/>
            <w:vAlign w:val="top"/>
          </w:tcPr>
          <w:p>
            <w:pPr>
              <w:pStyle w:val="TableText"/>
              <w:ind w:left="131"/>
              <w:spacing w:before="131" w:line="219" w:lineRule="auto"/>
              <w:rPr>
                <w:sz w:val="25"/>
                <w:szCs w:val="25"/>
              </w:rPr>
            </w:pPr>
            <w:r>
              <w:rPr>
                <w:sz w:val="25"/>
                <w:szCs w:val="25"/>
              </w:rPr>
              <w:t>油路开关与电路开关是否打开</w:t>
            </w:r>
          </w:p>
        </w:tc>
      </w:tr>
      <w:tr>
        <w:trPr>
          <w:trHeight w:val="879" w:hRule="atLeast"/>
        </w:trPr>
        <w:tc>
          <w:tcPr>
            <w:tcW w:w="1693" w:type="dxa"/>
            <w:vAlign w:val="top"/>
            <w:vMerge w:val="continue"/>
            <w:tcBorders>
              <w:top w:val="nil"/>
              <w:bottom w:val="nil"/>
            </w:tcBorders>
          </w:tcPr>
          <w:p>
            <w:pPr>
              <w:rPr>
                <w:rFonts w:ascii="Arial"/>
                <w:sz w:val="21"/>
              </w:rPr>
            </w:pPr>
            <w:r/>
          </w:p>
        </w:tc>
        <w:tc>
          <w:tcPr>
            <w:tcW w:w="8676" w:type="dxa"/>
            <w:vAlign w:val="top"/>
          </w:tcPr>
          <w:p>
            <w:pPr>
              <w:pStyle w:val="TableText"/>
              <w:ind w:left="130" w:right="267" w:hanging="9"/>
              <w:spacing w:before="129" w:line="268" w:lineRule="auto"/>
              <w:rPr>
                <w:sz w:val="25"/>
                <w:szCs w:val="25"/>
              </w:rPr>
            </w:pPr>
            <w:r>
              <w:rPr>
                <w:sz w:val="25"/>
                <w:szCs w:val="25"/>
                <w:spacing w:val="1"/>
              </w:rPr>
              <w:t>检查火花塞，若有油珠，表明供油太多，火花塞被淹死，</w:t>
            </w:r>
            <w:r>
              <w:rPr>
                <w:sz w:val="25"/>
                <w:szCs w:val="25"/>
              </w:rPr>
              <w:t>须将气缸中的燃油 </w:t>
            </w:r>
            <w:r>
              <w:rPr>
                <w:sz w:val="25"/>
                <w:szCs w:val="25"/>
              </w:rPr>
              <w:t>排除，将火花塞擦干，再启动；若火花塞很干，</w:t>
            </w:r>
            <w:r>
              <w:rPr>
                <w:sz w:val="25"/>
                <w:szCs w:val="25"/>
                <w:spacing w:val="-1"/>
              </w:rPr>
              <w:t>应检查油针开度是否合适</w:t>
            </w:r>
          </w:p>
        </w:tc>
      </w:tr>
      <w:tr>
        <w:trPr>
          <w:trHeight w:val="520" w:hRule="atLeast"/>
        </w:trPr>
        <w:tc>
          <w:tcPr>
            <w:tcW w:w="1693" w:type="dxa"/>
            <w:vAlign w:val="top"/>
            <w:vMerge w:val="continue"/>
            <w:tcBorders>
              <w:top w:val="nil"/>
              <w:bottom w:val="nil"/>
            </w:tcBorders>
          </w:tcPr>
          <w:p>
            <w:pPr>
              <w:rPr>
                <w:rFonts w:ascii="Arial"/>
                <w:sz w:val="21"/>
              </w:rPr>
            </w:pPr>
            <w:r/>
          </w:p>
        </w:tc>
        <w:tc>
          <w:tcPr>
            <w:tcW w:w="8676" w:type="dxa"/>
            <w:vAlign w:val="top"/>
          </w:tcPr>
          <w:p>
            <w:pPr>
              <w:pStyle w:val="TableText"/>
              <w:ind w:left="131"/>
              <w:spacing w:before="142" w:line="219" w:lineRule="auto"/>
              <w:rPr>
                <w:sz w:val="25"/>
                <w:szCs w:val="25"/>
              </w:rPr>
            </w:pPr>
            <w:r>
              <w:rPr>
                <w:sz w:val="25"/>
                <w:szCs w:val="25"/>
              </w:rPr>
              <w:t>化油器是否堵塞或漏油，寒冷地区就检查在化油器油路中是否结冰</w:t>
            </w:r>
          </w:p>
        </w:tc>
      </w:tr>
      <w:tr>
        <w:trPr>
          <w:trHeight w:val="759" w:hRule="atLeast"/>
        </w:trPr>
        <w:tc>
          <w:tcPr>
            <w:tcW w:w="1693" w:type="dxa"/>
            <w:vAlign w:val="top"/>
            <w:vMerge w:val="continue"/>
            <w:tcBorders>
              <w:top w:val="nil"/>
            </w:tcBorders>
          </w:tcPr>
          <w:p>
            <w:pPr>
              <w:rPr>
                <w:rFonts w:ascii="Arial"/>
                <w:sz w:val="21"/>
              </w:rPr>
            </w:pPr>
            <w:r/>
          </w:p>
        </w:tc>
        <w:tc>
          <w:tcPr>
            <w:tcW w:w="8676" w:type="dxa"/>
            <w:vAlign w:val="top"/>
          </w:tcPr>
          <w:p>
            <w:pPr>
              <w:pStyle w:val="TableText"/>
              <w:ind w:left="131"/>
              <w:spacing w:before="61" w:line="254" w:lineRule="auto"/>
              <w:rPr>
                <w:sz w:val="25"/>
                <w:szCs w:val="25"/>
              </w:rPr>
            </w:pPr>
            <w:r>
              <w:rPr>
                <w:sz w:val="25"/>
                <w:szCs w:val="25"/>
                <w:spacing w:val="1"/>
              </w:rPr>
              <w:t>若火花塞火弱或无火，先检查磁电机，若油路和电路都无故障，应检查油封、</w:t>
            </w:r>
            <w:r>
              <w:rPr>
                <w:sz w:val="25"/>
                <w:szCs w:val="25"/>
              </w:rPr>
              <w:t xml:space="preserve"> </w:t>
            </w:r>
            <w:r>
              <w:rPr>
                <w:sz w:val="25"/>
                <w:szCs w:val="25"/>
                <w:spacing w:val="-1"/>
              </w:rPr>
              <w:t>运动件是否有损坏</w:t>
            </w:r>
          </w:p>
        </w:tc>
      </w:tr>
      <w:tr>
        <w:trPr>
          <w:trHeight w:val="949" w:hRule="atLeast"/>
        </w:trPr>
        <w:tc>
          <w:tcPr>
            <w:tcW w:w="1693"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214" w:right="200"/>
              <w:spacing w:before="81" w:line="277" w:lineRule="auto"/>
              <w:rPr>
                <w:sz w:val="25"/>
                <w:szCs w:val="25"/>
              </w:rPr>
            </w:pPr>
            <w:r>
              <w:rPr>
                <w:sz w:val="25"/>
                <w:szCs w:val="25"/>
                <w:spacing w:val="1"/>
              </w:rPr>
              <w:t>作业时停机</w:t>
            </w:r>
            <w:r>
              <w:rPr>
                <w:sz w:val="25"/>
                <w:szCs w:val="25"/>
                <w:spacing w:val="3"/>
              </w:rPr>
              <w:t xml:space="preserve"> </w:t>
            </w:r>
            <w:r>
              <w:rPr>
                <w:sz w:val="25"/>
                <w:szCs w:val="25"/>
                <w:spacing w:val="3"/>
              </w:rPr>
              <w:t>后不易启动</w:t>
            </w:r>
          </w:p>
        </w:tc>
        <w:tc>
          <w:tcPr>
            <w:tcW w:w="8676" w:type="dxa"/>
            <w:vAlign w:val="top"/>
          </w:tcPr>
          <w:p>
            <w:pPr>
              <w:pStyle w:val="TableText"/>
              <w:ind w:left="131" w:firstLine="9"/>
              <w:spacing w:before="161" w:line="287" w:lineRule="auto"/>
              <w:rPr>
                <w:sz w:val="25"/>
                <w:szCs w:val="25"/>
              </w:rPr>
            </w:pPr>
            <w:r>
              <w:rPr>
                <w:sz w:val="25"/>
                <w:szCs w:val="25"/>
                <w:spacing w:val="-7"/>
              </w:rPr>
              <w:t>若在工作时发动机突然飞车后停机，再也不易起动，可能是油路系统的故障，无</w:t>
            </w:r>
            <w:r>
              <w:rPr>
                <w:sz w:val="25"/>
                <w:szCs w:val="25"/>
                <w:spacing w:val="18"/>
              </w:rPr>
              <w:t xml:space="preserve"> </w:t>
            </w:r>
            <w:r>
              <w:rPr>
                <w:sz w:val="25"/>
                <w:szCs w:val="25"/>
              </w:rPr>
              <w:t>油，化油器堵塞、油管破裂、燃油中含水多等</w:t>
            </w:r>
          </w:p>
        </w:tc>
      </w:tr>
      <w:tr>
        <w:trPr>
          <w:trHeight w:val="839" w:hRule="atLeast"/>
        </w:trPr>
        <w:tc>
          <w:tcPr>
            <w:tcW w:w="1693" w:type="dxa"/>
            <w:vAlign w:val="top"/>
            <w:vMerge w:val="continue"/>
            <w:tcBorders>
              <w:top w:val="nil"/>
              <w:bottom w:val="nil"/>
            </w:tcBorders>
          </w:tcPr>
          <w:p>
            <w:pPr>
              <w:rPr>
                <w:rFonts w:ascii="Arial"/>
                <w:sz w:val="21"/>
              </w:rPr>
            </w:pPr>
            <w:r/>
          </w:p>
        </w:tc>
        <w:tc>
          <w:tcPr>
            <w:tcW w:w="8676" w:type="dxa"/>
            <w:vAlign w:val="top"/>
          </w:tcPr>
          <w:p>
            <w:pPr>
              <w:pStyle w:val="TableText"/>
              <w:ind w:left="130" w:right="24" w:hanging="9"/>
              <w:spacing w:before="103" w:line="268" w:lineRule="auto"/>
              <w:rPr>
                <w:sz w:val="25"/>
                <w:szCs w:val="25"/>
              </w:rPr>
            </w:pPr>
            <w:r>
              <w:rPr>
                <w:sz w:val="25"/>
                <w:szCs w:val="25"/>
              </w:rPr>
              <w:t>若在工作时突然“啪”地一声响后停机，再也不易起动，则可能使电路系统的</w:t>
            </w:r>
            <w:r>
              <w:rPr>
                <w:sz w:val="25"/>
                <w:szCs w:val="25"/>
                <w:spacing w:val="18"/>
              </w:rPr>
              <w:t xml:space="preserve"> </w:t>
            </w:r>
            <w:r>
              <w:rPr>
                <w:sz w:val="25"/>
                <w:szCs w:val="25"/>
              </w:rPr>
              <w:t>故障，火花塞粘连、接头松脱等</w:t>
            </w:r>
          </w:p>
        </w:tc>
      </w:tr>
      <w:tr>
        <w:trPr>
          <w:trHeight w:val="949" w:hRule="atLeast"/>
        </w:trPr>
        <w:tc>
          <w:tcPr>
            <w:tcW w:w="1693" w:type="dxa"/>
            <w:vAlign w:val="top"/>
            <w:vMerge w:val="continue"/>
            <w:tcBorders>
              <w:top w:val="nil"/>
            </w:tcBorders>
          </w:tcPr>
          <w:p>
            <w:pPr>
              <w:rPr>
                <w:rFonts w:ascii="Arial"/>
                <w:sz w:val="21"/>
              </w:rPr>
            </w:pPr>
            <w:r/>
          </w:p>
        </w:tc>
        <w:tc>
          <w:tcPr>
            <w:tcW w:w="8676" w:type="dxa"/>
            <w:vAlign w:val="top"/>
          </w:tcPr>
          <w:p>
            <w:pPr>
              <w:pStyle w:val="TableText"/>
              <w:ind w:left="131" w:right="262" w:firstLine="9"/>
              <w:spacing w:before="174" w:line="277" w:lineRule="auto"/>
              <w:rPr>
                <w:sz w:val="25"/>
                <w:szCs w:val="25"/>
              </w:rPr>
            </w:pPr>
            <w:r>
              <w:rPr>
                <w:sz w:val="25"/>
                <w:szCs w:val="25"/>
              </w:rPr>
              <w:t>若正常的停机后不易再起动，应先检查火花是否弱，再检查油封、运动件等</w:t>
            </w:r>
            <w:r>
              <w:rPr>
                <w:sz w:val="25"/>
                <w:szCs w:val="25"/>
                <w:spacing w:val="10"/>
              </w:rPr>
              <w:t xml:space="preserve"> </w:t>
            </w:r>
            <w:r>
              <w:rPr>
                <w:sz w:val="25"/>
                <w:szCs w:val="25"/>
                <w:spacing w:val="2"/>
              </w:rPr>
              <w:t>是否有损坏</w:t>
            </w:r>
          </w:p>
        </w:tc>
      </w:tr>
      <w:tr>
        <w:trPr>
          <w:trHeight w:val="949" w:hRule="atLeast"/>
        </w:trPr>
        <w:tc>
          <w:tcPr>
            <w:tcW w:w="1693" w:type="dxa"/>
            <w:vAlign w:val="top"/>
          </w:tcPr>
          <w:p>
            <w:pPr>
              <w:pStyle w:val="TableText"/>
              <w:ind w:left="134" w:right="204" w:firstLine="79"/>
              <w:spacing w:before="175" w:line="280" w:lineRule="auto"/>
              <w:rPr>
                <w:sz w:val="25"/>
                <w:szCs w:val="25"/>
              </w:rPr>
            </w:pPr>
            <w:r>
              <w:rPr>
                <w:sz w:val="25"/>
                <w:szCs w:val="25"/>
                <w:spacing w:val="2"/>
              </w:rPr>
              <w:t>油锯功率不 </w:t>
            </w:r>
            <w:r>
              <w:rPr>
                <w:sz w:val="25"/>
                <w:szCs w:val="25"/>
              </w:rPr>
              <w:t>足</w:t>
            </w:r>
          </w:p>
        </w:tc>
        <w:tc>
          <w:tcPr>
            <w:tcW w:w="8676" w:type="dxa"/>
            <w:vAlign w:val="top"/>
          </w:tcPr>
          <w:p>
            <w:pPr>
              <w:spacing w:line="271" w:lineRule="auto"/>
              <w:rPr>
                <w:rFonts w:ascii="Arial"/>
                <w:sz w:val="21"/>
              </w:rPr>
            </w:pPr>
            <w:r/>
          </w:p>
          <w:p>
            <w:pPr>
              <w:pStyle w:val="TableText"/>
              <w:ind w:left="131"/>
              <w:spacing w:before="82" w:line="219" w:lineRule="auto"/>
              <w:rPr>
                <w:sz w:val="25"/>
                <w:szCs w:val="25"/>
              </w:rPr>
            </w:pPr>
            <w:r>
              <w:rPr>
                <w:sz w:val="25"/>
                <w:szCs w:val="25"/>
              </w:rPr>
              <w:t>先检查锯链润滑是否良好，离合器是否打滑，然后再检查发动机</w:t>
            </w:r>
          </w:p>
        </w:tc>
      </w:tr>
      <w:tr>
        <w:trPr>
          <w:trHeight w:val="830" w:hRule="atLeast"/>
        </w:trPr>
        <w:tc>
          <w:tcPr>
            <w:tcW w:w="1693"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214"/>
              <w:spacing w:before="82" w:line="219" w:lineRule="auto"/>
              <w:rPr>
                <w:sz w:val="25"/>
                <w:szCs w:val="25"/>
              </w:rPr>
            </w:pPr>
            <w:r>
              <w:rPr>
                <w:sz w:val="25"/>
                <w:szCs w:val="25"/>
                <w:spacing w:val="4"/>
              </w:rPr>
              <w:t>发动机无力</w:t>
            </w:r>
          </w:p>
        </w:tc>
        <w:tc>
          <w:tcPr>
            <w:tcW w:w="8676" w:type="dxa"/>
            <w:vAlign w:val="top"/>
          </w:tcPr>
          <w:p>
            <w:pPr>
              <w:pStyle w:val="TableText"/>
              <w:ind w:left="130" w:right="280" w:hanging="9"/>
              <w:spacing w:before="96" w:line="267" w:lineRule="auto"/>
              <w:rPr>
                <w:sz w:val="25"/>
                <w:szCs w:val="25"/>
              </w:rPr>
            </w:pPr>
            <w:r>
              <w:rPr>
                <w:sz w:val="25"/>
                <w:szCs w:val="25"/>
              </w:rPr>
              <w:t>虽然无力但不过热，多半是由于油封破裂，单向阀片破裂，气缸、曲轴箱有</w:t>
            </w:r>
            <w:r>
              <w:rPr>
                <w:sz w:val="25"/>
                <w:szCs w:val="25"/>
                <w:spacing w:val="12"/>
              </w:rPr>
              <w:t xml:space="preserve"> </w:t>
            </w:r>
            <w:r>
              <w:rPr>
                <w:sz w:val="25"/>
                <w:szCs w:val="25"/>
                <w:spacing w:val="1"/>
              </w:rPr>
              <w:t>漏汽现象所造成</w:t>
            </w:r>
          </w:p>
        </w:tc>
      </w:tr>
      <w:tr>
        <w:trPr>
          <w:trHeight w:val="859" w:hRule="atLeast"/>
        </w:trPr>
        <w:tc>
          <w:tcPr>
            <w:tcW w:w="1693" w:type="dxa"/>
            <w:vAlign w:val="top"/>
            <w:vMerge w:val="continue"/>
            <w:tcBorders>
              <w:top w:val="nil"/>
              <w:bottom w:val="nil"/>
            </w:tcBorders>
          </w:tcPr>
          <w:p>
            <w:pPr>
              <w:rPr>
                <w:rFonts w:ascii="Arial"/>
                <w:sz w:val="21"/>
              </w:rPr>
            </w:pPr>
            <w:r/>
          </w:p>
        </w:tc>
        <w:tc>
          <w:tcPr>
            <w:tcW w:w="8676" w:type="dxa"/>
            <w:vAlign w:val="top"/>
          </w:tcPr>
          <w:p>
            <w:pPr>
              <w:pStyle w:val="TableText"/>
              <w:ind w:left="130" w:right="289" w:hanging="19"/>
              <w:spacing w:before="96" w:line="278" w:lineRule="auto"/>
              <w:rPr>
                <w:sz w:val="25"/>
                <w:szCs w:val="25"/>
              </w:rPr>
            </w:pPr>
            <w:r>
              <w:rPr>
                <w:sz w:val="25"/>
                <w:szCs w:val="25"/>
              </w:rPr>
              <w:t>无力的同时有过热现象，首先查看消音器排烟的浓度和温度，若浓度和温度</w:t>
            </w:r>
            <w:r>
              <w:rPr>
                <w:sz w:val="25"/>
                <w:szCs w:val="25"/>
                <w:spacing w:val="13"/>
              </w:rPr>
              <w:t xml:space="preserve"> </w:t>
            </w:r>
            <w:r>
              <w:rPr>
                <w:sz w:val="25"/>
                <w:szCs w:val="25"/>
              </w:rPr>
              <w:t>正常，可能是气缸散热片堵塞、空气滤清器堵塞所造成</w:t>
            </w:r>
          </w:p>
        </w:tc>
      </w:tr>
      <w:tr>
        <w:trPr>
          <w:trHeight w:val="1199" w:hRule="atLeast"/>
        </w:trPr>
        <w:tc>
          <w:tcPr>
            <w:tcW w:w="1693" w:type="dxa"/>
            <w:vAlign w:val="top"/>
            <w:vMerge w:val="continue"/>
            <w:tcBorders>
              <w:top w:val="nil"/>
            </w:tcBorders>
          </w:tcPr>
          <w:p>
            <w:pPr>
              <w:rPr>
                <w:rFonts w:ascii="Arial"/>
                <w:sz w:val="21"/>
              </w:rPr>
            </w:pPr>
            <w:r/>
          </w:p>
        </w:tc>
        <w:tc>
          <w:tcPr>
            <w:tcW w:w="8676" w:type="dxa"/>
            <w:vAlign w:val="top"/>
          </w:tcPr>
          <w:p>
            <w:pPr>
              <w:pStyle w:val="TableText"/>
              <w:ind w:left="121" w:right="260" w:firstLine="19"/>
              <w:spacing w:before="88" w:line="271" w:lineRule="auto"/>
              <w:jc w:val="both"/>
              <w:rPr>
                <w:sz w:val="25"/>
                <w:szCs w:val="25"/>
              </w:rPr>
            </w:pPr>
            <w:r>
              <w:rPr>
                <w:sz w:val="25"/>
                <w:szCs w:val="25"/>
              </w:rPr>
              <w:t>若消音器排烟很稀、温度很高，可能是化油器供油太稀、混合油的混合比不</w:t>
            </w:r>
            <w:r>
              <w:rPr>
                <w:sz w:val="25"/>
                <w:szCs w:val="25"/>
                <w:spacing w:val="12"/>
              </w:rPr>
              <w:t xml:space="preserve"> </w:t>
            </w:r>
            <w:r>
              <w:rPr>
                <w:sz w:val="25"/>
                <w:szCs w:val="25"/>
              </w:rPr>
              <w:t>对，燃油中含水、气缸壁和活塞、活塞环磨损等所造成；若感到发动机工作</w:t>
            </w:r>
            <w:r>
              <w:rPr>
                <w:sz w:val="25"/>
                <w:szCs w:val="25"/>
                <w:spacing w:val="15"/>
              </w:rPr>
              <w:t xml:space="preserve"> </w:t>
            </w:r>
            <w:r>
              <w:rPr>
                <w:sz w:val="25"/>
                <w:szCs w:val="25"/>
                <w:spacing w:val="28"/>
              </w:rPr>
              <w:t>明显地变得“粗暴”</w:t>
            </w:r>
          </w:p>
        </w:tc>
      </w:tr>
      <w:tr>
        <w:trPr>
          <w:trHeight w:val="1024" w:hRule="atLeast"/>
        </w:trPr>
        <w:tc>
          <w:tcPr>
            <w:tcW w:w="1693" w:type="dxa"/>
            <w:vAlign w:val="top"/>
          </w:tcPr>
          <w:p>
            <w:pPr>
              <w:pStyle w:val="TableText"/>
              <w:ind w:left="214" w:right="203"/>
              <w:spacing w:before="198" w:line="301" w:lineRule="auto"/>
              <w:rPr>
                <w:sz w:val="25"/>
                <w:szCs w:val="25"/>
              </w:rPr>
            </w:pPr>
            <w:r>
              <w:rPr>
                <w:sz w:val="25"/>
                <w:szCs w:val="25"/>
                <w:spacing w:val="2"/>
              </w:rPr>
              <w:t>锯切跑偏时</w:t>
            </w:r>
            <w:r>
              <w:rPr>
                <w:sz w:val="25"/>
                <w:szCs w:val="25"/>
                <w:spacing w:val="3"/>
              </w:rPr>
              <w:t xml:space="preserve"> </w:t>
            </w:r>
            <w:r>
              <w:rPr>
                <w:sz w:val="25"/>
                <w:szCs w:val="25"/>
                <w:spacing w:val="2"/>
              </w:rPr>
              <w:t>和吃不进锯</w:t>
            </w:r>
          </w:p>
        </w:tc>
        <w:tc>
          <w:tcPr>
            <w:tcW w:w="8676" w:type="dxa"/>
            <w:vAlign w:val="top"/>
          </w:tcPr>
          <w:p>
            <w:pPr>
              <w:pStyle w:val="TableText"/>
              <w:ind w:left="130" w:right="279" w:hanging="9"/>
              <w:spacing w:before="187" w:line="305" w:lineRule="auto"/>
              <w:rPr>
                <w:sz w:val="25"/>
                <w:szCs w:val="25"/>
              </w:rPr>
            </w:pPr>
            <w:r>
              <w:rPr>
                <w:sz w:val="25"/>
                <w:szCs w:val="25"/>
              </w:rPr>
              <w:t>左右切齿锉磨角度不一致，导板头部两侧磨损不易都造成跑偏。切持的角度</w:t>
            </w:r>
            <w:r>
              <w:rPr>
                <w:sz w:val="25"/>
                <w:szCs w:val="25"/>
                <w:spacing w:val="13"/>
              </w:rPr>
              <w:t xml:space="preserve"> </w:t>
            </w:r>
            <w:r>
              <w:rPr>
                <w:sz w:val="25"/>
                <w:szCs w:val="25"/>
              </w:rPr>
              <w:t>锉磨不对、限位齿太高，都造成吃不进锯</w:t>
            </w:r>
          </w:p>
        </w:tc>
      </w:tr>
    </w:tbl>
    <w:p>
      <w:pPr>
        <w:pStyle w:val="BodyText"/>
        <w:ind w:left="705"/>
        <w:spacing w:before="127" w:line="219" w:lineRule="auto"/>
        <w:rPr>
          <w:sz w:val="29"/>
          <w:szCs w:val="29"/>
        </w:rPr>
      </w:pPr>
      <w:r>
        <w:rPr>
          <w:rFonts w:ascii="Times New Roman" w:hAnsi="Times New Roman" w:eastAsia="Times New Roman" w:cs="Times New Roman"/>
          <w:sz w:val="29"/>
          <w:szCs w:val="29"/>
          <w:spacing w:val="2"/>
        </w:rPr>
        <w:t>4    </w:t>
      </w:r>
      <w:r>
        <w:rPr>
          <w:sz w:val="29"/>
          <w:szCs w:val="29"/>
          <w:spacing w:val="2"/>
        </w:rPr>
        <w:t>长期存放保养</w:t>
      </w:r>
    </w:p>
    <w:p>
      <w:pPr>
        <w:pStyle w:val="BodyText"/>
        <w:ind w:left="844"/>
        <w:spacing w:before="173" w:line="219" w:lineRule="auto"/>
        <w:rPr>
          <w:sz w:val="29"/>
          <w:szCs w:val="29"/>
        </w:rPr>
      </w:pPr>
      <w:r>
        <w:rPr>
          <w:sz w:val="29"/>
          <w:szCs w:val="29"/>
          <w:spacing w:val="5"/>
        </w:rPr>
        <w:t>(1)使油锯发动机怠速运转，关闭油门开关，让化油器中的燃油用</w:t>
      </w:r>
      <w:r>
        <w:rPr>
          <w:sz w:val="29"/>
          <w:szCs w:val="29"/>
          <w:spacing w:val="4"/>
        </w:rPr>
        <w:t>完；</w:t>
      </w:r>
    </w:p>
    <w:p>
      <w:pPr>
        <w:pStyle w:val="BodyText"/>
        <w:ind w:left="844"/>
        <w:spacing w:before="146" w:line="219" w:lineRule="auto"/>
        <w:rPr>
          <w:sz w:val="29"/>
          <w:szCs w:val="29"/>
        </w:rPr>
      </w:pPr>
      <w:r>
        <w:rPr>
          <w:sz w:val="29"/>
          <w:szCs w:val="29"/>
          <w:spacing w:val="10"/>
        </w:rPr>
        <w:t>(2)倒尽燃油，机油；</w:t>
      </w:r>
    </w:p>
    <w:p>
      <w:pPr>
        <w:pStyle w:val="BodyText"/>
        <w:ind w:left="844"/>
        <w:spacing w:before="128" w:line="219" w:lineRule="auto"/>
        <w:rPr>
          <w:sz w:val="29"/>
          <w:szCs w:val="29"/>
        </w:rPr>
      </w:pPr>
      <w:r>
        <w:rPr>
          <w:sz w:val="29"/>
          <w:szCs w:val="29"/>
          <w:spacing w:val="12"/>
        </w:rPr>
        <w:t>(3)油锯全部擦净；</w:t>
      </w:r>
    </w:p>
    <w:p>
      <w:pPr>
        <w:pStyle w:val="BodyText"/>
        <w:ind w:left="844"/>
        <w:spacing w:before="164" w:line="219" w:lineRule="auto"/>
        <w:rPr>
          <w:sz w:val="29"/>
          <w:szCs w:val="29"/>
        </w:rPr>
      </w:pPr>
      <w:r>
        <w:rPr>
          <w:sz w:val="29"/>
          <w:szCs w:val="29"/>
          <w:spacing w:val="7"/>
        </w:rPr>
        <w:t>(4)锯链、导板浸黄油后用塑料布包好；</w:t>
      </w:r>
    </w:p>
    <w:p>
      <w:pPr>
        <w:pStyle w:val="BodyText"/>
        <w:ind w:left="844"/>
        <w:spacing w:before="126" w:line="219" w:lineRule="auto"/>
        <w:rPr>
          <w:sz w:val="29"/>
          <w:szCs w:val="29"/>
        </w:rPr>
      </w:pPr>
      <w:r>
        <w:rPr>
          <w:sz w:val="29"/>
          <w:szCs w:val="29"/>
          <w:spacing w:val="3"/>
        </w:rPr>
        <w:t>(5)向气缸中倒入10毫升机油，转动曲轴，以防内部零件生锈；</w:t>
      </w:r>
    </w:p>
    <w:p>
      <w:pPr>
        <w:pStyle w:val="BodyText"/>
        <w:ind w:left="844"/>
        <w:spacing w:before="168" w:line="219" w:lineRule="auto"/>
        <w:rPr>
          <w:sz w:val="29"/>
          <w:szCs w:val="29"/>
        </w:rPr>
      </w:pPr>
      <w:r>
        <w:rPr>
          <w:sz w:val="29"/>
          <w:szCs w:val="29"/>
          <w:spacing w:val="6"/>
        </w:rPr>
        <w:t>(6)卸下减速箱的前盖，放入少许黄油，转动链轮</w:t>
      </w:r>
      <w:r>
        <w:rPr>
          <w:sz w:val="29"/>
          <w:szCs w:val="29"/>
          <w:spacing w:val="5"/>
        </w:rPr>
        <w:t>，以防内部零件生锈；</w:t>
      </w:r>
    </w:p>
    <w:p>
      <w:pPr>
        <w:pStyle w:val="BodyText"/>
        <w:ind w:left="844"/>
        <w:spacing w:before="146" w:line="219" w:lineRule="auto"/>
        <w:rPr>
          <w:sz w:val="29"/>
          <w:szCs w:val="29"/>
        </w:rPr>
      </w:pPr>
      <w:r>
        <w:rPr>
          <w:sz w:val="29"/>
          <w:szCs w:val="29"/>
          <w:spacing w:val="7"/>
        </w:rPr>
        <w:t>(7)在所有裸露在外部的钢制零件表面涂上黄</w:t>
      </w:r>
      <w:r>
        <w:rPr>
          <w:sz w:val="29"/>
          <w:szCs w:val="29"/>
          <w:spacing w:val="6"/>
        </w:rPr>
        <w:t>油，以防生锈；</w:t>
      </w:r>
    </w:p>
    <w:p>
      <w:pPr>
        <w:spacing w:line="219" w:lineRule="auto"/>
        <w:sectPr>
          <w:footerReference w:type="default" r:id="rId503"/>
          <w:pgSz w:w="14490" w:h="20470"/>
          <w:pgMar w:top="400" w:right="2075" w:bottom="1143" w:left="2035" w:header="0" w:footer="981"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40"/>
        <w:spacing w:before="94" w:line="219" w:lineRule="auto"/>
        <w:rPr>
          <w:sz w:val="29"/>
          <w:szCs w:val="29"/>
        </w:rPr>
      </w:pPr>
      <w:bookmarkStart w:name="bookmark120" w:id="96"/>
      <w:bookmarkEnd w:id="96"/>
      <w:r>
        <w:rPr>
          <w:sz w:val="29"/>
          <w:szCs w:val="29"/>
          <w:spacing w:val="8"/>
        </w:rPr>
        <w:t>(8)封存的油锯应装入木箱中，放在干燥处。</w:t>
      </w:r>
    </w:p>
    <w:p>
      <w:pPr>
        <w:spacing w:before="306" w:line="222" w:lineRule="auto"/>
        <w:outlineLvl w:val="1"/>
        <w:rPr>
          <w:rFonts w:ascii="SimHei" w:hAnsi="SimHei" w:eastAsia="SimHei" w:cs="SimHei"/>
          <w:sz w:val="29"/>
          <w:szCs w:val="29"/>
        </w:rPr>
      </w:pPr>
      <w:bookmarkStart w:name="bookmark55" w:id="97"/>
      <w:bookmarkEnd w:id="97"/>
      <w:r>
        <w:rPr>
          <w:rFonts w:ascii="SimHei" w:hAnsi="SimHei" w:eastAsia="SimHei" w:cs="SimHei"/>
          <w:sz w:val="29"/>
          <w:szCs w:val="29"/>
          <w:spacing w:val="2"/>
        </w:rPr>
        <w:t>八、电动链锯</w:t>
      </w:r>
    </w:p>
    <w:p>
      <w:pPr>
        <w:pStyle w:val="BodyText"/>
        <w:ind w:right="151" w:firstLine="630"/>
        <w:spacing w:before="140" w:line="314" w:lineRule="auto"/>
        <w:rPr>
          <w:sz w:val="29"/>
          <w:szCs w:val="29"/>
        </w:rPr>
      </w:pPr>
      <w:r>
        <w:rPr>
          <w:sz w:val="29"/>
          <w:szCs w:val="29"/>
        </w:rPr>
        <w:t>电动链锯用于胸径在30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3"/>
        </w:rPr>
        <w:t xml:space="preserve"> </w:t>
      </w:r>
      <w:r>
        <w:rPr>
          <w:sz w:val="29"/>
          <w:szCs w:val="29"/>
        </w:rPr>
        <w:t>以下死树伐除、树木修剪、杉木干等支架切割、 </w:t>
      </w:r>
      <w:r>
        <w:rPr>
          <w:sz w:val="29"/>
          <w:szCs w:val="29"/>
          <w:spacing w:val="-1"/>
        </w:rPr>
        <w:t>防寒设施中木质材料切割。</w:t>
      </w:r>
    </w:p>
    <w:p>
      <w:pPr>
        <w:ind w:firstLine="2110"/>
        <w:spacing w:before="233" w:line="2520" w:lineRule="exact"/>
        <w:rPr/>
      </w:pPr>
      <w:r>
        <w:rPr>
          <w:position w:val="-50"/>
        </w:rPr>
        <w:drawing>
          <wp:inline distT="0" distB="0" distL="0" distR="0">
            <wp:extent cx="3682944" cy="1600109"/>
            <wp:effectExtent l="0" t="0" r="0" b="0"/>
            <wp:docPr id="702" name="IM 702"/>
            <wp:cNvGraphicFramePr/>
            <a:graphic>
              <a:graphicData uri="http://schemas.openxmlformats.org/drawingml/2006/picture">
                <pic:pic>
                  <pic:nvPicPr>
                    <pic:cNvPr id="702" name="IM 702"/>
                    <pic:cNvPicPr/>
                  </pic:nvPicPr>
                  <pic:blipFill>
                    <a:blip r:embed="rId505"/>
                    <a:stretch>
                      <a:fillRect/>
                    </a:stretch>
                  </pic:blipFill>
                  <pic:spPr>
                    <a:xfrm rot="0">
                      <a:off x="0" y="0"/>
                      <a:ext cx="3682944" cy="1600109"/>
                    </a:xfrm>
                    <a:prstGeom prst="rect">
                      <a:avLst/>
                    </a:prstGeom>
                  </pic:spPr>
                </pic:pic>
              </a:graphicData>
            </a:graphic>
          </wp:inline>
        </w:drawing>
      </w:r>
    </w:p>
    <w:p>
      <w:pPr>
        <w:pStyle w:val="BodyText"/>
        <w:ind w:left="4079"/>
        <w:spacing w:before="121" w:line="220" w:lineRule="auto"/>
        <w:rPr>
          <w:sz w:val="26"/>
          <w:szCs w:val="26"/>
        </w:rPr>
      </w:pPr>
      <w:r>
        <w:rPr>
          <w:sz w:val="26"/>
          <w:szCs w:val="26"/>
          <w:spacing w:val="-10"/>
        </w:rPr>
        <w:t>图7-8-1电动链锯</w:t>
      </w:r>
    </w:p>
    <w:p>
      <w:pPr>
        <w:pStyle w:val="BodyText"/>
        <w:spacing w:before="222" w:line="224"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领用</w:t>
      </w:r>
    </w:p>
    <w:p>
      <w:pPr>
        <w:pStyle w:val="BodyText"/>
        <w:ind w:left="650"/>
        <w:spacing w:before="137" w:line="219" w:lineRule="auto"/>
        <w:rPr>
          <w:sz w:val="29"/>
          <w:szCs w:val="29"/>
        </w:rPr>
      </w:pPr>
      <w:r>
        <w:rPr>
          <w:sz w:val="29"/>
          <w:szCs w:val="29"/>
          <w:spacing w:val="-2"/>
        </w:rPr>
        <w:t>申领时需检查设备情况，待确认正常后签字领用。</w:t>
      </w:r>
    </w:p>
    <w:p>
      <w:pPr>
        <w:pStyle w:val="BodyText"/>
        <w:ind w:left="740"/>
        <w:spacing w:before="154" w:line="219" w:lineRule="auto"/>
        <w:rPr>
          <w:sz w:val="29"/>
          <w:szCs w:val="29"/>
        </w:rPr>
      </w:pPr>
      <w:r>
        <w:rPr>
          <w:sz w:val="29"/>
          <w:szCs w:val="29"/>
          <w:spacing w:val="6"/>
        </w:rPr>
        <w:t>(1)检查锯链、导板、链轮等组件的磨损程度和锯</w:t>
      </w:r>
      <w:r>
        <w:rPr>
          <w:sz w:val="29"/>
          <w:szCs w:val="29"/>
          <w:spacing w:val="5"/>
        </w:rPr>
        <w:t>链的张紧度；</w:t>
      </w:r>
    </w:p>
    <w:p>
      <w:pPr>
        <w:pStyle w:val="BodyText"/>
        <w:ind w:left="740"/>
        <w:spacing w:before="148" w:line="219" w:lineRule="auto"/>
        <w:rPr>
          <w:sz w:val="29"/>
          <w:szCs w:val="29"/>
        </w:rPr>
      </w:pPr>
      <w:r>
        <w:rPr>
          <w:sz w:val="29"/>
          <w:szCs w:val="29"/>
          <w:spacing w:val="6"/>
        </w:rPr>
        <w:t>(2)电链锯开关是否完好，电源接头是否接牢，电缆绝缘层是否磨损。</w:t>
      </w:r>
    </w:p>
    <w:p>
      <w:pPr>
        <w:pStyle w:val="BodyText"/>
        <w:spacing w:before="87" w:line="223"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准备</w:t>
      </w:r>
    </w:p>
    <w:p>
      <w:pPr>
        <w:pStyle w:val="BodyText"/>
        <w:ind w:left="740"/>
        <w:spacing w:before="169" w:line="219" w:lineRule="auto"/>
        <w:rPr>
          <w:sz w:val="29"/>
          <w:szCs w:val="29"/>
        </w:rPr>
      </w:pPr>
      <w:r>
        <w:rPr>
          <w:sz w:val="29"/>
          <w:szCs w:val="29"/>
          <w:spacing w:val="6"/>
        </w:rPr>
        <w:t>(1)作业时必须穿安全鞋、长衣长裤，不准佩带装饰品；</w:t>
      </w:r>
    </w:p>
    <w:p>
      <w:pPr>
        <w:pStyle w:val="BodyText"/>
        <w:ind w:left="740"/>
        <w:spacing w:before="136" w:line="219" w:lineRule="auto"/>
        <w:rPr>
          <w:sz w:val="29"/>
          <w:szCs w:val="29"/>
        </w:rPr>
      </w:pPr>
      <w:r>
        <w:rPr>
          <w:sz w:val="29"/>
          <w:szCs w:val="29"/>
          <w:spacing w:val="7"/>
        </w:rPr>
        <w:t>(2)检查作业场地并清除石块、金属物、枝丫和其它丢弃物。</w:t>
      </w:r>
    </w:p>
    <w:p>
      <w:pPr>
        <w:pStyle w:val="BodyText"/>
        <w:spacing w:before="42" w:line="396"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启动</w:t>
      </w:r>
    </w:p>
    <w:p>
      <w:pPr>
        <w:pStyle w:val="BodyText"/>
        <w:ind w:left="740"/>
        <w:spacing w:before="159" w:line="220" w:lineRule="auto"/>
        <w:rPr>
          <w:sz w:val="29"/>
          <w:szCs w:val="29"/>
        </w:rPr>
      </w:pPr>
      <w:r>
        <w:rPr>
          <w:sz w:val="29"/>
          <w:szCs w:val="29"/>
          <w:spacing w:val="6"/>
        </w:rPr>
        <w:t>(1)在接通电源之前，须关闭电链锯开关，防止意</w:t>
      </w:r>
      <w:r>
        <w:rPr>
          <w:sz w:val="29"/>
          <w:szCs w:val="29"/>
          <w:spacing w:val="5"/>
        </w:rPr>
        <w:t>外启动；</w:t>
      </w:r>
    </w:p>
    <w:p>
      <w:pPr>
        <w:pStyle w:val="BodyText"/>
        <w:ind w:left="740"/>
        <w:spacing w:before="161" w:line="219" w:lineRule="auto"/>
        <w:rPr>
          <w:sz w:val="29"/>
          <w:szCs w:val="29"/>
        </w:rPr>
      </w:pPr>
      <w:r>
        <w:rPr>
          <w:sz w:val="29"/>
          <w:szCs w:val="29"/>
          <w:spacing w:val="3"/>
        </w:rPr>
        <w:t>(2)造材前先启动电链锯空转1分钟，检查运转是否正常；</w:t>
      </w:r>
    </w:p>
    <w:p>
      <w:pPr>
        <w:pStyle w:val="BodyText"/>
        <w:ind w:left="740"/>
        <w:spacing w:before="126" w:line="219" w:lineRule="auto"/>
        <w:rPr>
          <w:sz w:val="29"/>
          <w:szCs w:val="29"/>
        </w:rPr>
      </w:pPr>
      <w:r>
        <w:rPr>
          <w:sz w:val="29"/>
          <w:szCs w:val="29"/>
          <w:spacing w:val="6"/>
        </w:rPr>
        <w:t>(3)启动或操作时，手和脚不得靠近旋转部件，特别是链条的上下方。</w:t>
      </w:r>
    </w:p>
    <w:p>
      <w:pPr>
        <w:spacing w:before="97" w:line="222" w:lineRule="auto"/>
        <w:rPr>
          <w:rFonts w:ascii="SimHei" w:hAnsi="SimHei" w:eastAsia="SimHei" w:cs="SimHei"/>
          <w:sz w:val="32"/>
          <w:szCs w:val="32"/>
        </w:rPr>
      </w:pPr>
      <w:r>
        <w:rPr>
          <w:rFonts w:ascii="SimHei" w:hAnsi="SimHei" w:eastAsia="SimHei" w:cs="SimHei"/>
          <w:sz w:val="32"/>
          <w:szCs w:val="32"/>
          <w:spacing w:val="-12"/>
        </w:rPr>
        <w:t>4、作业</w:t>
      </w:r>
    </w:p>
    <w:p>
      <w:pPr>
        <w:pStyle w:val="BodyText"/>
        <w:ind w:left="740"/>
        <w:spacing w:before="107" w:line="219" w:lineRule="auto"/>
        <w:rPr>
          <w:sz w:val="29"/>
          <w:szCs w:val="29"/>
        </w:rPr>
      </w:pPr>
      <w:r>
        <w:rPr>
          <w:sz w:val="29"/>
          <w:szCs w:val="29"/>
          <w:spacing w:val="10"/>
        </w:rPr>
        <w:t>(1)必须用双手操作电链锯。</w:t>
      </w:r>
    </w:p>
    <w:p>
      <w:pPr>
        <w:pStyle w:val="BodyText"/>
        <w:ind w:left="740"/>
        <w:spacing w:before="176" w:line="219" w:lineRule="auto"/>
        <w:rPr>
          <w:sz w:val="29"/>
          <w:szCs w:val="29"/>
        </w:rPr>
      </w:pPr>
      <w:r>
        <w:rPr>
          <w:sz w:val="29"/>
          <w:szCs w:val="29"/>
          <w:spacing w:val="6"/>
        </w:rPr>
        <w:t>(2)排除夹锯故障时，应特别注意辅助人员的安全；</w:t>
      </w:r>
    </w:p>
    <w:p>
      <w:pPr>
        <w:pStyle w:val="BodyText"/>
        <w:ind w:left="740"/>
        <w:spacing w:before="156" w:line="219" w:lineRule="auto"/>
        <w:rPr>
          <w:sz w:val="29"/>
          <w:szCs w:val="29"/>
        </w:rPr>
      </w:pPr>
      <w:r>
        <w:rPr>
          <w:sz w:val="29"/>
          <w:szCs w:val="29"/>
          <w:spacing w:val="5"/>
        </w:rPr>
        <w:t>(3)当枝条即将锯断时，应注意枝条的动向，锯断后迅速提起电链锯；</w:t>
      </w:r>
    </w:p>
    <w:p>
      <w:pPr>
        <w:pStyle w:val="BodyText"/>
        <w:ind w:left="740"/>
        <w:spacing w:before="126" w:line="219" w:lineRule="auto"/>
        <w:rPr>
          <w:sz w:val="29"/>
          <w:szCs w:val="29"/>
        </w:rPr>
      </w:pPr>
      <w:r>
        <w:rPr>
          <w:sz w:val="29"/>
          <w:szCs w:val="29"/>
          <w:spacing w:val="7"/>
        </w:rPr>
        <w:t>(4)转移作业时必须先关闭电链锯开关。</w:t>
      </w:r>
    </w:p>
    <w:p>
      <w:pPr>
        <w:spacing w:before="126" w:line="223" w:lineRule="auto"/>
        <w:rPr>
          <w:rFonts w:ascii="SimHei" w:hAnsi="SimHei" w:eastAsia="SimHei" w:cs="SimHei"/>
          <w:sz w:val="28"/>
          <w:szCs w:val="28"/>
        </w:rPr>
      </w:pPr>
      <w:r>
        <w:rPr>
          <w:rFonts w:ascii="SimHei" w:hAnsi="SimHei" w:eastAsia="SimHei" w:cs="SimHei"/>
          <w:sz w:val="28"/>
          <w:szCs w:val="28"/>
          <w:spacing w:val="17"/>
        </w:rPr>
        <w:t>5、停机</w:t>
      </w:r>
    </w:p>
    <w:p>
      <w:pPr>
        <w:pStyle w:val="BodyText"/>
        <w:ind w:right="40" w:firstLine="740"/>
        <w:spacing w:before="136" w:line="282" w:lineRule="auto"/>
        <w:rPr>
          <w:sz w:val="29"/>
          <w:szCs w:val="29"/>
        </w:rPr>
      </w:pPr>
      <w:r>
        <w:rPr>
          <w:sz w:val="29"/>
          <w:szCs w:val="29"/>
          <w:spacing w:val="-8"/>
        </w:rPr>
        <w:t>①</w:t>
      </w:r>
      <w:r>
        <w:rPr>
          <w:sz w:val="29"/>
          <w:szCs w:val="29"/>
          <w:spacing w:val="40"/>
        </w:rPr>
        <w:t xml:space="preserve">  </w:t>
      </w:r>
      <w:r>
        <w:rPr>
          <w:sz w:val="29"/>
          <w:szCs w:val="29"/>
          <w:spacing w:val="-8"/>
        </w:rPr>
        <w:t>有人靠近时，造材辅助人员撤到安全地区之前，作业区原条堆放不稳，</w:t>
      </w:r>
      <w:r>
        <w:rPr>
          <w:sz w:val="29"/>
          <w:szCs w:val="29"/>
        </w:rPr>
        <w:t xml:space="preserve"> </w:t>
      </w:r>
      <w:r>
        <w:rPr>
          <w:sz w:val="29"/>
          <w:szCs w:val="29"/>
          <w:spacing w:val="-9"/>
        </w:rPr>
        <w:t>光线不充足，雨天及有雷电时的露天场地，没有断链保护装置及反弹保护装置时不</w:t>
      </w:r>
      <w:r>
        <w:rPr>
          <w:sz w:val="29"/>
          <w:szCs w:val="29"/>
          <w:spacing w:val="18"/>
        </w:rPr>
        <w:t xml:space="preserve"> </w:t>
      </w:r>
      <w:r>
        <w:rPr>
          <w:sz w:val="29"/>
          <w:szCs w:val="29"/>
          <w:spacing w:val="-9"/>
        </w:rPr>
        <w:t>准操作电动链锯；</w:t>
      </w:r>
    </w:p>
    <w:p>
      <w:pPr>
        <w:pStyle w:val="BodyText"/>
        <w:ind w:right="102" w:firstLine="740"/>
        <w:spacing w:before="172" w:line="263" w:lineRule="auto"/>
        <w:rPr>
          <w:sz w:val="29"/>
          <w:szCs w:val="29"/>
        </w:rPr>
      </w:pPr>
      <w:r>
        <w:rPr>
          <w:sz w:val="29"/>
          <w:szCs w:val="29"/>
          <w:spacing w:val="-1"/>
        </w:rPr>
        <w:t>②</w:t>
      </w:r>
      <w:r>
        <w:rPr>
          <w:sz w:val="29"/>
          <w:szCs w:val="29"/>
          <w:spacing w:val="46"/>
        </w:rPr>
        <w:t xml:space="preserve">  </w:t>
      </w:r>
      <w:r>
        <w:rPr>
          <w:sz w:val="29"/>
          <w:szCs w:val="29"/>
          <w:spacing w:val="-1"/>
        </w:rPr>
        <w:t>下列情况应立即切断电源：检查损坏或排除故障</w:t>
      </w:r>
      <w:r>
        <w:rPr>
          <w:sz w:val="29"/>
          <w:szCs w:val="29"/>
          <w:spacing w:val="-2"/>
        </w:rPr>
        <w:t>时，操作者离开电链</w:t>
      </w:r>
      <w:r>
        <w:rPr>
          <w:sz w:val="29"/>
          <w:szCs w:val="29"/>
        </w:rPr>
        <w:t xml:space="preserve"> </w:t>
      </w:r>
      <w:r>
        <w:rPr>
          <w:sz w:val="29"/>
          <w:szCs w:val="29"/>
          <w:spacing w:val="1"/>
        </w:rPr>
        <w:t>锯时，发现附近原条或原木移动时，造材夹锯时，发现漏电时，作业结束时。</w:t>
      </w:r>
    </w:p>
    <w:p>
      <w:pPr>
        <w:pStyle w:val="BodyText"/>
        <w:spacing w:before="133" w:line="396"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保养</w:t>
      </w:r>
    </w:p>
    <w:p>
      <w:pPr>
        <w:spacing w:line="396" w:lineRule="exact"/>
        <w:sectPr>
          <w:footerReference w:type="default" r:id="rId504"/>
          <w:pgSz w:w="14490" w:h="20470"/>
          <w:pgMar w:top="400" w:right="2173" w:bottom="1143" w:left="2140" w:header="0" w:footer="944"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13" w:firstLine="730"/>
        <w:spacing w:before="94" w:line="263" w:lineRule="auto"/>
        <w:rPr>
          <w:sz w:val="29"/>
          <w:szCs w:val="29"/>
        </w:rPr>
      </w:pPr>
      <w:bookmarkStart w:name="bookmark121" w:id="98"/>
      <w:bookmarkEnd w:id="98"/>
      <w:r>
        <w:rPr>
          <w:sz w:val="29"/>
          <w:szCs w:val="29"/>
          <w:spacing w:val="9"/>
        </w:rPr>
        <w:t>(1)每天作业后，应拧紧所有螺母、螺栓、螺钉</w:t>
      </w:r>
      <w:r>
        <w:rPr>
          <w:sz w:val="29"/>
          <w:szCs w:val="29"/>
          <w:spacing w:val="8"/>
        </w:rPr>
        <w:t>，检查锯链、导板及链轮</w:t>
      </w:r>
      <w:r>
        <w:rPr>
          <w:sz w:val="29"/>
          <w:szCs w:val="29"/>
        </w:rPr>
        <w:t xml:space="preserve"> </w:t>
      </w:r>
      <w:r>
        <w:rPr>
          <w:sz w:val="29"/>
          <w:szCs w:val="29"/>
          <w:spacing w:val="-3"/>
        </w:rPr>
        <w:t>磨损程度，进行必要的调整和更换；</w:t>
      </w:r>
    </w:p>
    <w:p>
      <w:pPr>
        <w:pStyle w:val="BodyText"/>
        <w:ind w:left="730"/>
        <w:spacing w:before="153" w:line="219" w:lineRule="auto"/>
        <w:rPr>
          <w:sz w:val="29"/>
          <w:szCs w:val="29"/>
        </w:rPr>
      </w:pPr>
      <w:r>
        <w:rPr>
          <w:sz w:val="29"/>
          <w:szCs w:val="29"/>
          <w:spacing w:val="5"/>
        </w:rPr>
        <w:t>(2)检查电源插头及电缆绝缘层的磨损，发现损坏应及时更换或修复；</w:t>
      </w:r>
    </w:p>
    <w:p>
      <w:pPr>
        <w:pStyle w:val="BodyText"/>
        <w:ind w:left="730"/>
        <w:spacing w:before="134" w:line="219" w:lineRule="auto"/>
        <w:rPr>
          <w:sz w:val="29"/>
          <w:szCs w:val="29"/>
        </w:rPr>
      </w:pPr>
      <w:r>
        <w:rPr>
          <w:sz w:val="29"/>
          <w:szCs w:val="29"/>
          <w:spacing w:val="5"/>
        </w:rPr>
        <w:t>(3)长期贮存前应清理残留木屑及污物，拆下锯链和导板并涂防锈油；</w:t>
      </w:r>
    </w:p>
    <w:p>
      <w:pPr>
        <w:pStyle w:val="BodyText"/>
        <w:ind w:left="730"/>
        <w:spacing w:before="165" w:line="219" w:lineRule="auto"/>
        <w:rPr>
          <w:sz w:val="29"/>
          <w:szCs w:val="29"/>
        </w:rPr>
      </w:pPr>
      <w:r>
        <w:rPr>
          <w:sz w:val="29"/>
          <w:szCs w:val="29"/>
          <w:spacing w:val="13"/>
        </w:rPr>
        <w:t>(4)贮存在干燥环境中。</w:t>
      </w:r>
    </w:p>
    <w:p>
      <w:pPr>
        <w:spacing w:before="284" w:line="220" w:lineRule="auto"/>
        <w:outlineLvl w:val="1"/>
        <w:rPr>
          <w:rFonts w:ascii="SimHei" w:hAnsi="SimHei" w:eastAsia="SimHei" w:cs="SimHei"/>
          <w:sz w:val="29"/>
          <w:szCs w:val="29"/>
        </w:rPr>
      </w:pPr>
      <w:bookmarkStart w:name="bookmark56" w:id="99"/>
      <w:bookmarkEnd w:id="99"/>
      <w:r>
        <w:rPr>
          <w:rFonts w:ascii="SimHei" w:hAnsi="SimHei" w:eastAsia="SimHei" w:cs="SimHei"/>
          <w:sz w:val="29"/>
          <w:szCs w:val="29"/>
          <w:spacing w:val="2"/>
        </w:rPr>
        <w:t>九、背负式喷药喷粉机</w:t>
      </w:r>
    </w:p>
    <w:p>
      <w:pPr>
        <w:pStyle w:val="BodyText"/>
        <w:ind w:right="11" w:firstLine="509"/>
        <w:spacing w:before="155" w:line="314" w:lineRule="auto"/>
        <w:jc w:val="both"/>
        <w:rPr>
          <w:sz w:val="29"/>
          <w:szCs w:val="29"/>
        </w:rPr>
      </w:pPr>
      <w:r>
        <w:rPr>
          <w:sz w:val="29"/>
          <w:szCs w:val="29"/>
          <w:spacing w:val="2"/>
        </w:rPr>
        <w:t>背负式喷药喷粉机广泛用于较大面积的病虫害防治工作，以及化学除草、叶</w:t>
      </w:r>
      <w:r>
        <w:rPr>
          <w:sz w:val="29"/>
          <w:szCs w:val="29"/>
          <w:spacing w:val="7"/>
        </w:rPr>
        <w:t xml:space="preserve"> </w:t>
      </w:r>
      <w:r>
        <w:rPr>
          <w:sz w:val="29"/>
          <w:szCs w:val="29"/>
          <w:spacing w:val="-9"/>
        </w:rPr>
        <w:t>面施肥、喷洒植物生长调节剂、卫生防疫、消灭仓储害虫及家畜体外寄生虫</w:t>
      </w:r>
      <w:r>
        <w:rPr>
          <w:sz w:val="29"/>
          <w:szCs w:val="29"/>
          <w:spacing w:val="-10"/>
        </w:rPr>
        <w:t>、喷洒</w:t>
      </w:r>
      <w:r>
        <w:rPr>
          <w:sz w:val="29"/>
          <w:szCs w:val="29"/>
        </w:rPr>
        <w:t xml:space="preserve"> </w:t>
      </w:r>
      <w:r>
        <w:rPr>
          <w:sz w:val="29"/>
          <w:szCs w:val="29"/>
          <w:spacing w:val="-1"/>
        </w:rPr>
        <w:t>颗粒等工作。</w:t>
      </w:r>
    </w:p>
    <w:p>
      <w:pPr>
        <w:ind w:firstLine="2019"/>
        <w:spacing w:before="12" w:line="3459" w:lineRule="exact"/>
        <w:rPr/>
      </w:pPr>
      <w:r>
        <w:rPr>
          <w:position w:val="-69"/>
        </w:rPr>
        <w:drawing>
          <wp:inline distT="0" distB="0" distL="0" distR="0">
            <wp:extent cx="3683036" cy="2196997"/>
            <wp:effectExtent l="0" t="0" r="0" b="0"/>
            <wp:docPr id="704" name="IM 704"/>
            <wp:cNvGraphicFramePr/>
            <a:graphic>
              <a:graphicData uri="http://schemas.openxmlformats.org/drawingml/2006/picture">
                <pic:pic>
                  <pic:nvPicPr>
                    <pic:cNvPr id="704" name="IM 704"/>
                    <pic:cNvPicPr/>
                  </pic:nvPicPr>
                  <pic:blipFill>
                    <a:blip r:embed="rId507"/>
                    <a:stretch>
                      <a:fillRect/>
                    </a:stretch>
                  </pic:blipFill>
                  <pic:spPr>
                    <a:xfrm rot="0">
                      <a:off x="0" y="0"/>
                      <a:ext cx="3683036" cy="2196997"/>
                    </a:xfrm>
                    <a:prstGeom prst="rect">
                      <a:avLst/>
                    </a:prstGeom>
                  </pic:spPr>
                </pic:pic>
              </a:graphicData>
            </a:graphic>
          </wp:inline>
        </w:drawing>
      </w:r>
    </w:p>
    <w:p>
      <w:pPr>
        <w:pStyle w:val="BodyText"/>
        <w:ind w:left="3549"/>
        <w:spacing w:before="219" w:line="219" w:lineRule="auto"/>
        <w:rPr>
          <w:sz w:val="24"/>
          <w:szCs w:val="24"/>
        </w:rPr>
      </w:pPr>
      <w:r>
        <w:rPr>
          <w:sz w:val="24"/>
          <w:szCs w:val="24"/>
          <w:spacing w:val="6"/>
        </w:rPr>
        <w:t>图7-9-1背负式喷药喷粉机</w:t>
      </w:r>
    </w:p>
    <w:p>
      <w:pPr>
        <w:pStyle w:val="BodyText"/>
        <w:spacing w:before="230" w:line="223"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准备</w:t>
      </w:r>
    </w:p>
    <w:p>
      <w:pPr>
        <w:pStyle w:val="BodyText"/>
        <w:ind w:right="141" w:firstLine="730"/>
        <w:spacing w:before="130" w:line="262" w:lineRule="auto"/>
        <w:rPr>
          <w:sz w:val="29"/>
          <w:szCs w:val="29"/>
        </w:rPr>
      </w:pPr>
      <w:r>
        <w:rPr>
          <w:sz w:val="29"/>
          <w:szCs w:val="29"/>
          <w:spacing w:val="5"/>
        </w:rPr>
        <w:t>(1)检查各连接部分、密封部分和开关控制等是否妥当，</w:t>
      </w:r>
      <w:r>
        <w:rPr>
          <w:sz w:val="29"/>
          <w:szCs w:val="29"/>
          <w:spacing w:val="4"/>
        </w:rPr>
        <w:t>以防出现松脱、</w:t>
      </w:r>
      <w:r>
        <w:rPr>
          <w:sz w:val="29"/>
          <w:szCs w:val="29"/>
        </w:rPr>
        <w:t xml:space="preserve"> </w:t>
      </w:r>
      <w:r>
        <w:rPr>
          <w:sz w:val="29"/>
          <w:szCs w:val="29"/>
          <w:spacing w:val="-5"/>
        </w:rPr>
        <w:t>泄漏等现象；</w:t>
      </w:r>
    </w:p>
    <w:p>
      <w:pPr>
        <w:pStyle w:val="BodyText"/>
        <w:ind w:left="730"/>
        <w:spacing w:before="146" w:line="219" w:lineRule="auto"/>
        <w:rPr>
          <w:sz w:val="29"/>
          <w:szCs w:val="29"/>
        </w:rPr>
      </w:pPr>
      <w:r>
        <w:rPr>
          <w:sz w:val="29"/>
          <w:szCs w:val="29"/>
          <w:spacing w:val="6"/>
        </w:rPr>
        <w:t>(2)严格按照要求的混合比配制燃料，保证润滑油足量；</w:t>
      </w:r>
    </w:p>
    <w:p>
      <w:pPr>
        <w:pStyle w:val="BodyText"/>
        <w:ind w:right="311" w:firstLine="730"/>
        <w:spacing w:before="154" w:line="266" w:lineRule="auto"/>
        <w:rPr>
          <w:sz w:val="29"/>
          <w:szCs w:val="29"/>
        </w:rPr>
      </w:pPr>
      <w:r>
        <w:rPr>
          <w:sz w:val="29"/>
          <w:szCs w:val="29"/>
          <w:spacing w:val="-9"/>
        </w:rPr>
        <w:t>(3)使用的药物、粉剂要干燥过筛，液剂要过滤，防止结块杂物堵塞开关、</w:t>
      </w:r>
      <w:r>
        <w:rPr>
          <w:sz w:val="29"/>
          <w:szCs w:val="29"/>
          <w:spacing w:val="5"/>
        </w:rPr>
        <w:t xml:space="preserve"> </w:t>
      </w:r>
      <w:r>
        <w:rPr>
          <w:sz w:val="29"/>
          <w:szCs w:val="29"/>
          <w:spacing w:val="-12"/>
        </w:rPr>
        <w:t>管道或喷嘴；</w:t>
      </w:r>
    </w:p>
    <w:p>
      <w:pPr>
        <w:pStyle w:val="BodyText"/>
        <w:ind w:right="102" w:firstLine="730"/>
        <w:spacing w:before="155" w:line="269" w:lineRule="auto"/>
        <w:rPr>
          <w:sz w:val="29"/>
          <w:szCs w:val="29"/>
        </w:rPr>
      </w:pPr>
      <w:r>
        <w:rPr>
          <w:sz w:val="29"/>
          <w:szCs w:val="29"/>
          <w:spacing w:val="6"/>
        </w:rPr>
        <w:t>(4)喷药前首先校正背机人的行走速度，并按行进速度和喷量大小核算施</w:t>
      </w:r>
      <w:r>
        <w:rPr>
          <w:sz w:val="29"/>
          <w:szCs w:val="29"/>
        </w:rPr>
        <w:t xml:space="preserve"> </w:t>
      </w:r>
      <w:r>
        <w:rPr>
          <w:sz w:val="29"/>
          <w:szCs w:val="29"/>
          <w:spacing w:val="-1"/>
        </w:rPr>
        <w:t>液量，喷药时严格按预定的喷量大小和行走速度进行；</w:t>
      </w:r>
    </w:p>
    <w:p>
      <w:pPr>
        <w:pStyle w:val="BodyText"/>
        <w:ind w:right="100" w:firstLine="730"/>
        <w:spacing w:before="154" w:line="266" w:lineRule="auto"/>
        <w:rPr>
          <w:sz w:val="29"/>
          <w:szCs w:val="29"/>
        </w:rPr>
      </w:pPr>
      <w:r>
        <w:rPr>
          <w:sz w:val="29"/>
          <w:szCs w:val="29"/>
          <w:spacing w:val="6"/>
        </w:rPr>
        <w:t>(5)背机人必须配带口罩，口罩应经常洗换。作业时携带毛巾、肥皂，随</w:t>
      </w:r>
      <w:r>
        <w:rPr>
          <w:sz w:val="29"/>
          <w:szCs w:val="29"/>
          <w:spacing w:val="1"/>
        </w:rPr>
        <w:t xml:space="preserve"> </w:t>
      </w:r>
      <w:r>
        <w:rPr>
          <w:sz w:val="29"/>
          <w:szCs w:val="29"/>
          <w:spacing w:val="-3"/>
        </w:rPr>
        <w:t>时洗脸、洗手、漱口；</w:t>
      </w:r>
    </w:p>
    <w:p>
      <w:pPr>
        <w:pStyle w:val="BodyText"/>
        <w:ind w:left="730"/>
        <w:spacing w:before="136" w:line="219" w:lineRule="auto"/>
        <w:rPr>
          <w:sz w:val="29"/>
          <w:szCs w:val="29"/>
        </w:rPr>
      </w:pPr>
      <w:r>
        <w:rPr>
          <w:sz w:val="29"/>
          <w:szCs w:val="29"/>
          <w:spacing w:val="7"/>
        </w:rPr>
        <w:t>(6)加药前，应将控制药物的开关闭合；</w:t>
      </w:r>
      <w:r>
        <w:rPr>
          <w:sz w:val="29"/>
          <w:szCs w:val="29"/>
          <w:spacing w:val="6"/>
        </w:rPr>
        <w:t>加药后，应旋紧药箱盖。</w:t>
      </w:r>
    </w:p>
    <w:p>
      <w:pPr>
        <w:spacing w:before="75" w:line="222" w:lineRule="auto"/>
        <w:rPr>
          <w:rFonts w:ascii="SimHei" w:hAnsi="SimHei" w:eastAsia="SimHei" w:cs="SimHei"/>
          <w:sz w:val="32"/>
          <w:szCs w:val="32"/>
        </w:rPr>
      </w:pPr>
      <w:r>
        <w:rPr>
          <w:rFonts w:ascii="SimHei" w:hAnsi="SimHei" w:eastAsia="SimHei" w:cs="SimHei"/>
          <w:sz w:val="32"/>
          <w:szCs w:val="32"/>
          <w:spacing w:val="-12"/>
        </w:rPr>
        <w:t>3、作业</w:t>
      </w:r>
    </w:p>
    <w:p>
      <w:pPr>
        <w:pStyle w:val="BodyText"/>
        <w:ind w:right="28" w:firstLine="730"/>
        <w:spacing w:before="144" w:line="281" w:lineRule="auto"/>
        <w:rPr>
          <w:sz w:val="29"/>
          <w:szCs w:val="29"/>
        </w:rPr>
      </w:pPr>
      <w:r>
        <w:rPr>
          <w:sz w:val="29"/>
          <w:szCs w:val="29"/>
          <w:spacing w:val="7"/>
        </w:rPr>
        <w:t>(1)作业时先将汽油机油门操纵把手徐徐提到所需转速的位置，待稳定运</w:t>
      </w:r>
      <w:r>
        <w:rPr>
          <w:sz w:val="29"/>
          <w:szCs w:val="29"/>
          <w:spacing w:val="14"/>
        </w:rPr>
        <w:t xml:space="preserve"> </w:t>
      </w:r>
      <w:r>
        <w:rPr>
          <w:sz w:val="29"/>
          <w:szCs w:val="29"/>
        </w:rPr>
        <w:t>转片刻，才能打开控制药物开关进行喷撒；停止</w:t>
      </w:r>
      <w:r>
        <w:rPr>
          <w:sz w:val="29"/>
          <w:szCs w:val="29"/>
          <w:spacing w:val="-1"/>
        </w:rPr>
        <w:t>喷撒时，先关闭药物开关，再关</w:t>
      </w:r>
      <w:r>
        <w:rPr>
          <w:sz w:val="29"/>
          <w:szCs w:val="29"/>
        </w:rPr>
        <w:t xml:space="preserve"> </w:t>
      </w:r>
      <w:r>
        <w:rPr>
          <w:sz w:val="29"/>
          <w:szCs w:val="29"/>
          <w:spacing w:val="-5"/>
        </w:rPr>
        <w:t>闭汽油机油门。</w:t>
      </w:r>
    </w:p>
    <w:p>
      <w:pPr>
        <w:pStyle w:val="BodyText"/>
        <w:ind w:left="730"/>
        <w:spacing w:before="156" w:line="219" w:lineRule="auto"/>
        <w:rPr>
          <w:sz w:val="29"/>
          <w:szCs w:val="29"/>
        </w:rPr>
      </w:pPr>
      <w:r>
        <w:rPr>
          <w:sz w:val="29"/>
          <w:szCs w:val="29"/>
          <w:spacing w:val="7"/>
        </w:rPr>
        <w:t>(2)一般允许不停机加药，但汽油机应处于低速状态，并注意不让药物溢</w:t>
      </w:r>
    </w:p>
    <w:p>
      <w:pPr>
        <w:spacing w:line="219" w:lineRule="auto"/>
        <w:sectPr>
          <w:footerReference w:type="default" r:id="rId506"/>
          <w:pgSz w:w="14490" w:h="20470"/>
          <w:pgMar w:top="400" w:right="2173" w:bottom="1143" w:left="2150" w:header="0" w:footer="94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出，以免浸湿发动机、磁电机和风机壳，腐蚀机体；</w:t>
      </w:r>
    </w:p>
    <w:p>
      <w:pPr>
        <w:pStyle w:val="BodyText"/>
        <w:ind w:right="291" w:firstLine="740"/>
        <w:spacing w:before="128" w:line="275" w:lineRule="auto"/>
        <w:rPr>
          <w:sz w:val="29"/>
          <w:szCs w:val="29"/>
        </w:rPr>
      </w:pPr>
      <w:r>
        <w:rPr>
          <w:sz w:val="29"/>
          <w:szCs w:val="29"/>
          <w:spacing w:val="6"/>
        </w:rPr>
        <w:t>(3)弥雾作业使用的药液浓度较大，喷出的雾点细而密，当打开手把开关</w:t>
      </w:r>
      <w:r>
        <w:rPr>
          <w:sz w:val="29"/>
          <w:szCs w:val="29"/>
        </w:rPr>
        <w:t xml:space="preserve"> </w:t>
      </w:r>
      <w:r>
        <w:rPr>
          <w:sz w:val="29"/>
          <w:szCs w:val="29"/>
        </w:rPr>
        <w:t>后，应随即左右摆动喷管进行均匀喷洒，切不可停在一处，以防引起药害；</w:t>
      </w:r>
    </w:p>
    <w:p>
      <w:pPr>
        <w:pStyle w:val="BodyText"/>
        <w:ind w:right="282" w:firstLine="740"/>
        <w:spacing w:before="156" w:line="259" w:lineRule="auto"/>
        <w:rPr>
          <w:sz w:val="29"/>
          <w:szCs w:val="29"/>
        </w:rPr>
      </w:pPr>
      <w:r>
        <w:rPr>
          <w:sz w:val="29"/>
          <w:szCs w:val="29"/>
          <w:spacing w:val="6"/>
        </w:rPr>
        <w:t>(3)使用长薄膜喷粉时，先将薄膜管从绞车上放出所需长度，然后逐渐加</w:t>
      </w:r>
      <w:r>
        <w:rPr>
          <w:sz w:val="29"/>
          <w:szCs w:val="29"/>
          <w:spacing w:val="8"/>
        </w:rPr>
        <w:t xml:space="preserve"> </w:t>
      </w:r>
      <w:r>
        <w:rPr>
          <w:sz w:val="29"/>
          <w:szCs w:val="29"/>
        </w:rPr>
        <w:t>大油门，并调整粉门进行喷撒，同时上下轻微摆动绞车，使撒粉均匀；</w:t>
      </w:r>
    </w:p>
    <w:p>
      <w:pPr>
        <w:pStyle w:val="BodyText"/>
        <w:ind w:right="200" w:firstLine="740"/>
        <w:spacing w:before="154" w:line="285" w:lineRule="auto"/>
        <w:rPr>
          <w:sz w:val="29"/>
          <w:szCs w:val="29"/>
        </w:rPr>
      </w:pPr>
      <w:r>
        <w:rPr>
          <w:sz w:val="29"/>
          <w:szCs w:val="29"/>
          <w:spacing w:val="9"/>
        </w:rPr>
        <w:t>(4)喷烟时，汽油机先低速运转预热喷烟器，然后徐</w:t>
      </w:r>
      <w:r>
        <w:rPr>
          <w:sz w:val="29"/>
          <w:szCs w:val="29"/>
          <w:spacing w:val="8"/>
        </w:rPr>
        <w:t>徐打开喷烟开关，调</w:t>
      </w:r>
      <w:r>
        <w:rPr>
          <w:sz w:val="29"/>
          <w:szCs w:val="29"/>
        </w:rPr>
        <w:t xml:space="preserve"> </w:t>
      </w:r>
      <w:r>
        <w:rPr>
          <w:sz w:val="29"/>
          <w:szCs w:val="29"/>
        </w:rPr>
        <w:t>节烟雾剂供量至适当烟化浓度，喷烟时汽油机控制</w:t>
      </w:r>
      <w:r>
        <w:rPr>
          <w:sz w:val="29"/>
          <w:szCs w:val="29"/>
          <w:spacing w:val="-1"/>
        </w:rPr>
        <w:t>在中速运转，停止时先关闭喷</w:t>
      </w:r>
      <w:r>
        <w:rPr>
          <w:sz w:val="29"/>
          <w:szCs w:val="29"/>
        </w:rPr>
        <w:t xml:space="preserve"> </w:t>
      </w:r>
      <w:r>
        <w:rPr>
          <w:sz w:val="29"/>
          <w:szCs w:val="29"/>
          <w:spacing w:val="-2"/>
        </w:rPr>
        <w:t>烟开关，后停机。</w:t>
      </w:r>
    </w:p>
    <w:p>
      <w:pPr>
        <w:pStyle w:val="BodyText"/>
        <w:ind w:firstLine="740"/>
        <w:spacing w:before="130" w:line="288" w:lineRule="auto"/>
        <w:rPr>
          <w:sz w:val="29"/>
          <w:szCs w:val="29"/>
        </w:rPr>
      </w:pPr>
      <w:r>
        <w:rPr>
          <w:sz w:val="29"/>
          <w:szCs w:val="29"/>
          <w:spacing w:val="13"/>
        </w:rPr>
        <w:t>(5)喷火时，药箱内盛柴油(绝不可用汽油),先将柴枝</w:t>
      </w:r>
      <w:r>
        <w:rPr>
          <w:sz w:val="29"/>
          <w:szCs w:val="29"/>
          <w:spacing w:val="12"/>
        </w:rPr>
        <w:t>或蘸柴油的废布团</w:t>
      </w:r>
      <w:r>
        <w:rPr>
          <w:sz w:val="29"/>
          <w:szCs w:val="29"/>
        </w:rPr>
        <w:t xml:space="preserve">  </w:t>
      </w:r>
      <w:r>
        <w:rPr>
          <w:sz w:val="29"/>
          <w:szCs w:val="29"/>
          <w:spacing w:val="-8"/>
        </w:rPr>
        <w:t>点燃，加热喷火箱的头部，然后起动汽油机；控制在中速运转，并徐徐打开手把开</w:t>
      </w:r>
      <w:r>
        <w:rPr>
          <w:sz w:val="29"/>
          <w:szCs w:val="29"/>
        </w:rPr>
        <w:t xml:space="preserve">  </w:t>
      </w:r>
      <w:r>
        <w:rPr>
          <w:sz w:val="29"/>
          <w:szCs w:val="29"/>
          <w:spacing w:val="-10"/>
        </w:rPr>
        <w:t>关，使柴油流至筒口雾化点燃喷出火焰；注意调节开关，控制适当的供油量和风量，</w:t>
      </w:r>
      <w:r>
        <w:rPr>
          <w:sz w:val="29"/>
          <w:szCs w:val="29"/>
          <w:spacing w:val="3"/>
        </w:rPr>
        <w:t xml:space="preserve"> </w:t>
      </w:r>
      <w:r>
        <w:rPr>
          <w:sz w:val="29"/>
          <w:szCs w:val="29"/>
          <w:spacing w:val="-11"/>
        </w:rPr>
        <w:t>使火焰喷射有力且白亮；停止时，先关闭手把开关，待火</w:t>
      </w:r>
      <w:r>
        <w:rPr>
          <w:sz w:val="29"/>
          <w:szCs w:val="29"/>
          <w:spacing w:val="-12"/>
        </w:rPr>
        <w:t>焰完全熄灭才可停机。</w:t>
      </w:r>
    </w:p>
    <w:p>
      <w:pPr>
        <w:pStyle w:val="BodyText"/>
        <w:ind w:right="289" w:firstLine="740"/>
        <w:spacing w:before="176" w:line="266" w:lineRule="auto"/>
        <w:rPr>
          <w:sz w:val="29"/>
          <w:szCs w:val="29"/>
        </w:rPr>
      </w:pPr>
      <w:r>
        <w:rPr>
          <w:sz w:val="29"/>
          <w:szCs w:val="29"/>
          <w:spacing w:val="6"/>
        </w:rPr>
        <w:t>(6)喷洒较高的作物时，转速可偏高些，但要尽量避免发动机长时间连续</w:t>
      </w:r>
      <w:r>
        <w:rPr>
          <w:sz w:val="29"/>
          <w:szCs w:val="29"/>
          <w:spacing w:val="1"/>
        </w:rPr>
        <w:t xml:space="preserve"> </w:t>
      </w:r>
      <w:r>
        <w:rPr>
          <w:sz w:val="29"/>
          <w:szCs w:val="29"/>
          <w:spacing w:val="1"/>
        </w:rPr>
        <w:t>高速运转；喷洒灌木丛时将弯管口朝下，防止雾粒向上飞扬。</w:t>
      </w:r>
    </w:p>
    <w:p>
      <w:pPr>
        <w:pStyle w:val="BodyText"/>
        <w:ind w:right="333" w:firstLine="740"/>
        <w:spacing w:before="155" w:line="259" w:lineRule="auto"/>
        <w:rPr>
          <w:sz w:val="29"/>
          <w:szCs w:val="29"/>
        </w:rPr>
      </w:pPr>
      <w:r>
        <w:rPr>
          <w:sz w:val="29"/>
          <w:szCs w:val="29"/>
          <w:spacing w:val="5"/>
        </w:rPr>
        <w:t>(7)背机时间不要过长，应以3—4人组</w:t>
      </w:r>
      <w:r>
        <w:rPr>
          <w:sz w:val="29"/>
          <w:szCs w:val="29"/>
          <w:spacing w:val="4"/>
        </w:rPr>
        <w:t>成一组，轮流背负，相互交替，避</w:t>
      </w:r>
      <w:r>
        <w:rPr>
          <w:sz w:val="29"/>
          <w:szCs w:val="29"/>
        </w:rPr>
        <w:t xml:space="preserve"> </w:t>
      </w:r>
      <w:r>
        <w:rPr>
          <w:sz w:val="29"/>
          <w:szCs w:val="29"/>
        </w:rPr>
        <w:t>免背机人长期处于药雾中吸不到新鲜空气。</w:t>
      </w:r>
    </w:p>
    <w:p>
      <w:pPr>
        <w:pStyle w:val="BodyText"/>
        <w:ind w:left="740"/>
        <w:spacing w:before="158" w:line="219" w:lineRule="auto"/>
        <w:rPr>
          <w:sz w:val="29"/>
          <w:szCs w:val="29"/>
        </w:rPr>
      </w:pPr>
      <w:r>
        <w:rPr>
          <w:sz w:val="29"/>
          <w:szCs w:val="29"/>
          <w:spacing w:val="7"/>
        </w:rPr>
        <w:t>(8)避免顶风作业，禁止喷管在作业者前方以八</w:t>
      </w:r>
      <w:r>
        <w:rPr>
          <w:sz w:val="29"/>
          <w:szCs w:val="29"/>
          <w:spacing w:val="6"/>
        </w:rPr>
        <w:t>字形交叉方式喷洒。</w:t>
      </w:r>
    </w:p>
    <w:p>
      <w:pPr>
        <w:pStyle w:val="BodyText"/>
        <w:ind w:right="289" w:firstLine="740"/>
        <w:spacing w:before="156" w:line="268" w:lineRule="auto"/>
        <w:rPr>
          <w:sz w:val="29"/>
          <w:szCs w:val="29"/>
        </w:rPr>
      </w:pPr>
      <w:r>
        <w:rPr>
          <w:sz w:val="29"/>
          <w:szCs w:val="29"/>
          <w:spacing w:val="6"/>
        </w:rPr>
        <w:t>(9)本机工作药液浓度大，喷洒雾粒细，除人身要安全外，还应注意植物</w:t>
      </w:r>
      <w:r>
        <w:rPr>
          <w:sz w:val="29"/>
          <w:szCs w:val="29"/>
          <w:spacing w:val="1"/>
        </w:rPr>
        <w:t xml:space="preserve"> </w:t>
      </w:r>
      <w:r>
        <w:rPr>
          <w:sz w:val="29"/>
          <w:szCs w:val="29"/>
          <w:spacing w:val="2"/>
        </w:rPr>
        <w:t>中毒，产生药害，操作人员有中毒症状时，应立即</w:t>
      </w:r>
      <w:r>
        <w:rPr>
          <w:sz w:val="29"/>
          <w:szCs w:val="29"/>
          <w:spacing w:val="1"/>
        </w:rPr>
        <w:t>停止背机，求医诊治。</w:t>
      </w:r>
    </w:p>
    <w:p>
      <w:pPr>
        <w:pStyle w:val="BodyText"/>
        <w:spacing w:before="113" w:line="395" w:lineRule="exact"/>
        <w:rPr>
          <w:rFonts w:ascii="SimHei" w:hAnsi="SimHei" w:eastAsia="SimHei" w:cs="SimHei"/>
          <w:sz w:val="29"/>
          <w:szCs w:val="29"/>
        </w:rPr>
      </w:pPr>
      <w:r>
        <w:rPr>
          <w:rFonts w:ascii="Arial" w:hAnsi="Arial" w:eastAsia="Arial" w:cs="Arial"/>
          <w:sz w:val="29"/>
          <w:szCs w:val="29"/>
          <w:spacing w:val="8"/>
          <w:position w:val="1"/>
        </w:rPr>
        <w:t>3</w:t>
      </w:r>
      <w:r>
        <w:rPr>
          <w:sz w:val="29"/>
          <w:szCs w:val="29"/>
          <w:spacing w:val="8"/>
          <w:position w:val="1"/>
        </w:rPr>
        <w:t>、</w:t>
      </w:r>
      <w:r>
        <w:rPr>
          <w:rFonts w:ascii="SimHei" w:hAnsi="SimHei" w:eastAsia="SimHei" w:cs="SimHei"/>
          <w:sz w:val="29"/>
          <w:szCs w:val="29"/>
          <w:spacing w:val="8"/>
          <w:position w:val="1"/>
        </w:rPr>
        <w:t>保养</w:t>
      </w:r>
    </w:p>
    <w:p>
      <w:pPr>
        <w:pStyle w:val="BodyText"/>
        <w:ind w:left="650"/>
        <w:spacing w:before="98" w:line="219" w:lineRule="auto"/>
        <w:rPr>
          <w:sz w:val="29"/>
          <w:szCs w:val="29"/>
        </w:rPr>
      </w:pPr>
      <w:r>
        <w:rPr>
          <w:sz w:val="29"/>
          <w:szCs w:val="29"/>
          <w:spacing w:val="6"/>
        </w:rPr>
        <w:t>1)机具部分日保养：</w:t>
      </w:r>
    </w:p>
    <w:p>
      <w:pPr>
        <w:pStyle w:val="BodyText"/>
        <w:ind w:left="740"/>
        <w:spacing w:before="155" w:line="219" w:lineRule="auto"/>
        <w:rPr>
          <w:sz w:val="29"/>
          <w:szCs w:val="29"/>
        </w:rPr>
      </w:pPr>
      <w:r>
        <w:rPr>
          <w:sz w:val="29"/>
          <w:szCs w:val="29"/>
          <w:spacing w:val="8"/>
        </w:rPr>
        <w:t>(1)药箱内不得残存粉剂和液剂；</w:t>
      </w:r>
    </w:p>
    <w:p>
      <w:pPr>
        <w:pStyle w:val="BodyText"/>
        <w:ind w:left="740"/>
        <w:spacing w:before="167" w:line="219" w:lineRule="auto"/>
        <w:rPr>
          <w:sz w:val="29"/>
          <w:szCs w:val="29"/>
        </w:rPr>
      </w:pPr>
      <w:r>
        <w:rPr>
          <w:sz w:val="29"/>
          <w:szCs w:val="29"/>
          <w:spacing w:val="7"/>
        </w:rPr>
        <w:t>(2)用清水洗刷药箱，尤其是橡胶件：汽油机</w:t>
      </w:r>
      <w:r>
        <w:rPr>
          <w:sz w:val="29"/>
          <w:szCs w:val="29"/>
          <w:spacing w:val="6"/>
        </w:rPr>
        <w:t>且勿用水洗刷；</w:t>
      </w:r>
    </w:p>
    <w:p>
      <w:pPr>
        <w:pStyle w:val="BodyText"/>
        <w:ind w:left="740"/>
        <w:spacing w:before="148" w:line="219" w:lineRule="auto"/>
        <w:rPr>
          <w:sz w:val="29"/>
          <w:szCs w:val="29"/>
        </w:rPr>
      </w:pPr>
      <w:r>
        <w:rPr>
          <w:sz w:val="29"/>
          <w:szCs w:val="29"/>
          <w:spacing w:val="6"/>
        </w:rPr>
        <w:t>(3)检查各连接处是否漏水、漏油，并及时排除；</w:t>
      </w:r>
    </w:p>
    <w:p>
      <w:pPr>
        <w:pStyle w:val="BodyText"/>
        <w:ind w:left="740"/>
        <w:spacing w:before="116" w:line="219" w:lineRule="auto"/>
        <w:rPr>
          <w:sz w:val="29"/>
          <w:szCs w:val="29"/>
        </w:rPr>
      </w:pPr>
      <w:r>
        <w:rPr>
          <w:sz w:val="29"/>
          <w:szCs w:val="29"/>
          <w:spacing w:val="6"/>
        </w:rPr>
        <w:t>(4)检查各部件螺钉是否松动、丢失，若有，应及时旋紧或补齐；</w:t>
      </w:r>
    </w:p>
    <w:p>
      <w:pPr>
        <w:pStyle w:val="BodyText"/>
        <w:ind w:left="740"/>
        <w:spacing w:before="186" w:line="219" w:lineRule="auto"/>
        <w:rPr>
          <w:sz w:val="29"/>
          <w:szCs w:val="29"/>
        </w:rPr>
      </w:pPr>
      <w:r>
        <w:rPr>
          <w:sz w:val="29"/>
          <w:szCs w:val="29"/>
          <w:spacing w:val="8"/>
        </w:rPr>
        <w:t>(5)喷粉作业时，要每天清理化油器；</w:t>
      </w:r>
    </w:p>
    <w:p>
      <w:pPr>
        <w:pStyle w:val="BodyText"/>
        <w:ind w:left="740"/>
        <w:spacing w:before="113" w:line="219" w:lineRule="auto"/>
        <w:rPr>
          <w:sz w:val="29"/>
          <w:szCs w:val="29"/>
        </w:rPr>
      </w:pPr>
      <w:r>
        <w:rPr>
          <w:sz w:val="29"/>
          <w:szCs w:val="29"/>
          <w:spacing w:val="7"/>
        </w:rPr>
        <w:t>(6)保养后的机器应放在干燥通风处，勿近火</w:t>
      </w:r>
      <w:r>
        <w:rPr>
          <w:sz w:val="29"/>
          <w:szCs w:val="29"/>
          <w:spacing w:val="6"/>
        </w:rPr>
        <w:t>源，避免日晒；</w:t>
      </w:r>
    </w:p>
    <w:p>
      <w:pPr>
        <w:pStyle w:val="BodyText"/>
        <w:ind w:left="740"/>
        <w:spacing w:before="176" w:line="219" w:lineRule="auto"/>
        <w:rPr>
          <w:sz w:val="29"/>
          <w:szCs w:val="29"/>
        </w:rPr>
      </w:pPr>
      <w:r>
        <w:rPr>
          <w:sz w:val="29"/>
          <w:szCs w:val="29"/>
          <w:spacing w:val="4"/>
        </w:rPr>
        <w:t>(7)喷管内不得存粉，拆卸之前空机运转1—3分钟，</w:t>
      </w:r>
      <w:r>
        <w:rPr>
          <w:sz w:val="29"/>
          <w:szCs w:val="29"/>
          <w:spacing w:val="3"/>
        </w:rPr>
        <w:t>将残粉吹净。</w:t>
      </w:r>
    </w:p>
    <w:p>
      <w:pPr>
        <w:pStyle w:val="BodyText"/>
        <w:ind w:left="600"/>
        <w:spacing w:before="136" w:line="219" w:lineRule="auto"/>
        <w:rPr>
          <w:sz w:val="29"/>
          <w:szCs w:val="29"/>
        </w:rPr>
      </w:pPr>
      <w:r>
        <w:rPr>
          <w:sz w:val="29"/>
          <w:szCs w:val="29"/>
          <w:spacing w:val="9"/>
        </w:rPr>
        <w:t>2)汽油机部分日常保养：</w:t>
      </w:r>
    </w:p>
    <w:p>
      <w:pPr>
        <w:pStyle w:val="BodyText"/>
        <w:ind w:left="740"/>
        <w:spacing w:before="156" w:line="219" w:lineRule="auto"/>
        <w:rPr>
          <w:sz w:val="29"/>
          <w:szCs w:val="29"/>
        </w:rPr>
      </w:pPr>
      <w:r>
        <w:rPr>
          <w:sz w:val="29"/>
          <w:szCs w:val="29"/>
          <w:spacing w:val="8"/>
        </w:rPr>
        <w:t>(1)清理汽油机表面油污和灰尘；</w:t>
      </w:r>
    </w:p>
    <w:p>
      <w:pPr>
        <w:pStyle w:val="BodyText"/>
        <w:ind w:left="740"/>
        <w:spacing w:before="128" w:line="219" w:lineRule="auto"/>
        <w:rPr>
          <w:sz w:val="29"/>
          <w:szCs w:val="29"/>
        </w:rPr>
      </w:pPr>
      <w:r>
        <w:rPr>
          <w:sz w:val="29"/>
          <w:szCs w:val="29"/>
          <w:spacing w:val="7"/>
        </w:rPr>
        <w:t>(2)拆除空气滤清器，用汽油清洗滤网；</w:t>
      </w:r>
    </w:p>
    <w:p>
      <w:pPr>
        <w:pStyle w:val="BodyText"/>
        <w:ind w:left="740"/>
        <w:spacing w:before="144" w:line="219" w:lineRule="auto"/>
        <w:rPr>
          <w:sz w:val="29"/>
          <w:szCs w:val="29"/>
        </w:rPr>
      </w:pPr>
      <w:r>
        <w:rPr>
          <w:sz w:val="29"/>
          <w:szCs w:val="29"/>
          <w:spacing w:val="6"/>
        </w:rPr>
        <w:t>(3)检查油管接头是否漏油，结合面是否漏气，压</w:t>
      </w:r>
      <w:r>
        <w:rPr>
          <w:sz w:val="29"/>
          <w:szCs w:val="29"/>
          <w:spacing w:val="5"/>
        </w:rPr>
        <w:t>缩是否正常；</w:t>
      </w:r>
    </w:p>
    <w:p>
      <w:pPr>
        <w:pStyle w:val="BodyText"/>
        <w:ind w:left="740"/>
        <w:spacing w:before="166" w:line="219" w:lineRule="auto"/>
        <w:rPr>
          <w:sz w:val="29"/>
          <w:szCs w:val="29"/>
        </w:rPr>
      </w:pPr>
      <w:r>
        <w:rPr>
          <w:sz w:val="29"/>
          <w:szCs w:val="29"/>
          <w:spacing w:val="6"/>
        </w:rPr>
        <w:t>(4)检查汽油机外部禁锢螺钉，如松动要旋紧，如</w:t>
      </w:r>
      <w:r>
        <w:rPr>
          <w:sz w:val="29"/>
          <w:szCs w:val="29"/>
          <w:spacing w:val="5"/>
        </w:rPr>
        <w:t>脱落要补齐；</w:t>
      </w:r>
    </w:p>
    <w:p>
      <w:pPr>
        <w:spacing w:line="219" w:lineRule="auto"/>
        <w:sectPr>
          <w:footerReference w:type="default" r:id="rId508"/>
          <w:pgSz w:w="14490" w:h="20470"/>
          <w:pgMar w:top="400" w:right="1985" w:bottom="1143" w:left="2140" w:header="0" w:footer="94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80" w:firstLine="730"/>
        <w:spacing w:before="94" w:line="314" w:lineRule="auto"/>
        <w:rPr>
          <w:sz w:val="29"/>
          <w:szCs w:val="29"/>
        </w:rPr>
      </w:pPr>
      <w:bookmarkStart w:name="bookmark122" w:id="100"/>
      <w:bookmarkEnd w:id="100"/>
      <w:r>
        <w:rPr>
          <w:sz w:val="29"/>
          <w:szCs w:val="29"/>
          <w:spacing w:val="6"/>
        </w:rPr>
        <w:t>(5)保养后将汽油机放在干燥阴凉处用塑料布或纸罩盖好，防止灰尘油污</w:t>
      </w:r>
      <w:r>
        <w:rPr>
          <w:sz w:val="29"/>
          <w:szCs w:val="29"/>
          <w:spacing w:val="1"/>
        </w:rPr>
        <w:t xml:space="preserve"> </w:t>
      </w:r>
      <w:r>
        <w:rPr>
          <w:sz w:val="29"/>
          <w:szCs w:val="29"/>
          <w:spacing w:val="1"/>
        </w:rPr>
        <w:t>弄脏，防止磁电机受潮受热，导致汽油机起动困难。</w:t>
      </w:r>
    </w:p>
    <w:p>
      <w:pPr>
        <w:pStyle w:val="BodyText"/>
        <w:ind w:left="600"/>
        <w:spacing w:before="6" w:line="219" w:lineRule="auto"/>
        <w:rPr>
          <w:sz w:val="29"/>
          <w:szCs w:val="29"/>
        </w:rPr>
      </w:pPr>
      <w:r>
        <w:rPr>
          <w:sz w:val="29"/>
          <w:szCs w:val="29"/>
          <w:spacing w:val="17"/>
        </w:rPr>
        <w:t>3)长期存放：</w:t>
      </w:r>
    </w:p>
    <w:p>
      <w:pPr>
        <w:pStyle w:val="BodyText"/>
        <w:ind w:left="730"/>
        <w:spacing w:before="123" w:line="219" w:lineRule="auto"/>
        <w:rPr>
          <w:sz w:val="29"/>
          <w:szCs w:val="29"/>
        </w:rPr>
      </w:pPr>
      <w:r>
        <w:rPr>
          <w:sz w:val="29"/>
          <w:szCs w:val="29"/>
          <w:spacing w:val="6"/>
        </w:rPr>
        <w:t>(1)将机器全部拆开，仔细清洗各部件油污灰尘；</w:t>
      </w:r>
    </w:p>
    <w:p>
      <w:pPr>
        <w:pStyle w:val="BodyText"/>
        <w:ind w:left="730"/>
        <w:spacing w:before="165" w:line="219" w:lineRule="auto"/>
        <w:rPr>
          <w:sz w:val="29"/>
          <w:szCs w:val="29"/>
        </w:rPr>
      </w:pPr>
      <w:r>
        <w:rPr>
          <w:sz w:val="29"/>
          <w:szCs w:val="29"/>
          <w:spacing w:val="-1"/>
        </w:rPr>
        <w:t>(2)</w:t>
      </w:r>
      <w:r>
        <w:rPr>
          <w:sz w:val="29"/>
          <w:szCs w:val="29"/>
          <w:spacing w:val="72"/>
        </w:rPr>
        <w:t xml:space="preserve"> </w:t>
      </w:r>
      <w:r>
        <w:rPr>
          <w:sz w:val="29"/>
          <w:szCs w:val="29"/>
          <w:spacing w:val="-1"/>
        </w:rPr>
        <w:t>用碱水或肥皂水清洗药箱、风机、输液管，之</w:t>
      </w:r>
      <w:r>
        <w:rPr>
          <w:sz w:val="29"/>
          <w:szCs w:val="29"/>
          <w:spacing w:val="-2"/>
        </w:rPr>
        <w:t>后再用清水清洗；</w:t>
      </w:r>
    </w:p>
    <w:p>
      <w:pPr>
        <w:pStyle w:val="BodyText"/>
        <w:ind w:left="730"/>
        <w:spacing w:before="145" w:line="218" w:lineRule="auto"/>
        <w:rPr>
          <w:sz w:val="29"/>
          <w:szCs w:val="29"/>
        </w:rPr>
      </w:pPr>
      <w:r>
        <w:rPr>
          <w:sz w:val="29"/>
          <w:szCs w:val="29"/>
          <w:spacing w:val="6"/>
        </w:rPr>
        <w:t>(3)各种塑料件不要长期爆晒、不得磕碰、挤压；</w:t>
      </w:r>
    </w:p>
    <w:p>
      <w:pPr>
        <w:pStyle w:val="BodyText"/>
        <w:ind w:left="730"/>
        <w:spacing w:before="148" w:line="219" w:lineRule="auto"/>
        <w:rPr>
          <w:sz w:val="29"/>
          <w:szCs w:val="29"/>
        </w:rPr>
      </w:pPr>
      <w:r>
        <w:rPr>
          <w:sz w:val="29"/>
          <w:szCs w:val="29"/>
          <w:spacing w:val="8"/>
        </w:rPr>
        <w:t>(4)整机用塑料罩盖好，放于干燥通风处。</w:t>
      </w:r>
    </w:p>
    <w:p>
      <w:pPr>
        <w:spacing w:before="295" w:line="221" w:lineRule="auto"/>
        <w:outlineLvl w:val="1"/>
        <w:rPr>
          <w:rFonts w:ascii="SimHei" w:hAnsi="SimHei" w:eastAsia="SimHei" w:cs="SimHei"/>
          <w:sz w:val="29"/>
          <w:szCs w:val="29"/>
        </w:rPr>
      </w:pPr>
      <w:bookmarkStart w:name="bookmark57" w:id="101"/>
      <w:bookmarkEnd w:id="101"/>
      <w:r>
        <w:rPr>
          <w:rFonts w:ascii="SimHei" w:hAnsi="SimHei" w:eastAsia="SimHei" w:cs="SimHei"/>
          <w:sz w:val="29"/>
          <w:szCs w:val="29"/>
        </w:rPr>
        <w:t>十、背负式手动喷雾器</w:t>
      </w:r>
    </w:p>
    <w:p>
      <w:pPr>
        <w:pStyle w:val="BodyText"/>
        <w:ind w:right="321" w:firstLine="600"/>
        <w:spacing w:before="145" w:line="365" w:lineRule="auto"/>
        <w:rPr>
          <w:sz w:val="29"/>
          <w:szCs w:val="29"/>
        </w:rPr>
      </w:pPr>
      <w:r>
        <w:rPr>
          <w:sz w:val="29"/>
          <w:szCs w:val="29"/>
          <w:spacing w:val="-5"/>
        </w:rPr>
        <w:t>背负式手动喷雾器适用于小面积园林、农作物病虫害的防治，用于公共设施</w:t>
      </w:r>
      <w:r>
        <w:rPr>
          <w:sz w:val="29"/>
          <w:szCs w:val="29"/>
          <w:spacing w:val="17"/>
        </w:rPr>
        <w:t xml:space="preserve"> </w:t>
      </w:r>
      <w:r>
        <w:rPr>
          <w:sz w:val="29"/>
          <w:szCs w:val="29"/>
          <w:spacing w:val="1"/>
        </w:rPr>
        <w:t>的消毒与杀菌，还可配上推车用于小区草坪等的喷雾。</w:t>
      </w:r>
    </w:p>
    <w:p>
      <w:pPr>
        <w:ind w:firstLine="3630"/>
        <w:spacing w:before="32" w:line="4280" w:lineRule="exact"/>
        <w:rPr/>
      </w:pPr>
      <w:r>
        <w:rPr>
          <w:position w:val="-85"/>
        </w:rPr>
        <w:drawing>
          <wp:inline distT="0" distB="0" distL="0" distR="0">
            <wp:extent cx="1568427" cy="2717715"/>
            <wp:effectExtent l="0" t="0" r="0" b="0"/>
            <wp:docPr id="706" name="IM 706"/>
            <wp:cNvGraphicFramePr/>
            <a:graphic>
              <a:graphicData uri="http://schemas.openxmlformats.org/drawingml/2006/picture">
                <pic:pic>
                  <pic:nvPicPr>
                    <pic:cNvPr id="706" name="IM 706"/>
                    <pic:cNvPicPr/>
                  </pic:nvPicPr>
                  <pic:blipFill>
                    <a:blip r:embed="rId510"/>
                    <a:stretch>
                      <a:fillRect/>
                    </a:stretch>
                  </pic:blipFill>
                  <pic:spPr>
                    <a:xfrm rot="0">
                      <a:off x="0" y="0"/>
                      <a:ext cx="1568427" cy="2717715"/>
                    </a:xfrm>
                    <a:prstGeom prst="rect">
                      <a:avLst/>
                    </a:prstGeom>
                  </pic:spPr>
                </pic:pic>
              </a:graphicData>
            </a:graphic>
          </wp:inline>
        </w:drawing>
      </w:r>
    </w:p>
    <w:p>
      <w:pPr>
        <w:spacing w:line="310" w:lineRule="auto"/>
        <w:rPr>
          <w:rFonts w:ascii="Arial"/>
          <w:sz w:val="21"/>
        </w:rPr>
      </w:pPr>
      <w:r/>
    </w:p>
    <w:p>
      <w:pPr>
        <w:pStyle w:val="BodyText"/>
        <w:ind w:left="3489"/>
        <w:spacing w:before="78" w:line="219" w:lineRule="auto"/>
        <w:rPr>
          <w:sz w:val="24"/>
          <w:szCs w:val="24"/>
        </w:rPr>
      </w:pPr>
      <w:r>
        <w:rPr>
          <w:sz w:val="24"/>
          <w:szCs w:val="24"/>
          <w:spacing w:val="6"/>
        </w:rPr>
        <w:t>图7-10-1背负式手动喷雾器</w:t>
      </w:r>
    </w:p>
    <w:p>
      <w:pPr>
        <w:pStyle w:val="BodyText"/>
        <w:spacing w:before="256" w:line="222" w:lineRule="auto"/>
        <w:rPr>
          <w:rFonts w:ascii="SimHei" w:hAnsi="SimHei" w:eastAsia="SimHei" w:cs="SimHei"/>
          <w:sz w:val="29"/>
          <w:szCs w:val="29"/>
        </w:rPr>
      </w:pPr>
      <w:r>
        <w:rPr>
          <w:rFonts w:ascii="Arial" w:hAnsi="Arial" w:eastAsia="Arial" w:cs="Arial"/>
          <w:sz w:val="29"/>
          <w:szCs w:val="29"/>
          <w:spacing w:val="2"/>
        </w:rPr>
        <w:t>1</w:t>
      </w:r>
      <w:r>
        <w:rPr>
          <w:sz w:val="29"/>
          <w:szCs w:val="29"/>
          <w:spacing w:val="2"/>
        </w:rPr>
        <w:t>、</w:t>
      </w:r>
      <w:r>
        <w:rPr>
          <w:rFonts w:ascii="SimHei" w:hAnsi="SimHei" w:eastAsia="SimHei" w:cs="SimHei"/>
          <w:sz w:val="29"/>
          <w:szCs w:val="29"/>
          <w:spacing w:val="2"/>
        </w:rPr>
        <w:t>使用</w:t>
      </w:r>
    </w:p>
    <w:p>
      <w:pPr>
        <w:pStyle w:val="BodyText"/>
        <w:ind w:right="281" w:firstLine="730"/>
        <w:spacing w:before="121" w:line="271" w:lineRule="auto"/>
        <w:rPr>
          <w:sz w:val="29"/>
          <w:szCs w:val="29"/>
        </w:rPr>
      </w:pPr>
      <w:r>
        <w:rPr>
          <w:sz w:val="29"/>
          <w:szCs w:val="29"/>
          <w:spacing w:val="-3"/>
        </w:rPr>
        <w:t>(1)使用时，要先加药剂后再加水，药液的液面不能超过安全水位线；喷药</w:t>
      </w:r>
      <w:r>
        <w:rPr>
          <w:sz w:val="29"/>
          <w:szCs w:val="29"/>
          <w:spacing w:val="9"/>
        </w:rPr>
        <w:t xml:space="preserve"> </w:t>
      </w:r>
      <w:r>
        <w:rPr>
          <w:sz w:val="29"/>
          <w:szCs w:val="29"/>
          <w:spacing w:val="-2"/>
        </w:rPr>
        <w:t>前，先扳动摇杆10余次，扳动摇杆时不能过分用力，以免气室爆炸；</w:t>
      </w:r>
    </w:p>
    <w:p>
      <w:pPr>
        <w:pStyle w:val="BodyText"/>
        <w:ind w:left="730"/>
        <w:spacing w:before="161" w:line="219" w:lineRule="auto"/>
        <w:rPr>
          <w:sz w:val="29"/>
          <w:szCs w:val="29"/>
        </w:rPr>
      </w:pPr>
      <w:r>
        <w:rPr>
          <w:sz w:val="29"/>
          <w:szCs w:val="29"/>
          <w:spacing w:val="5"/>
        </w:rPr>
        <w:t>(2)初次装药液时，由于气室及喷杆内含有清水，在喷雾起初的2分</w:t>
      </w:r>
      <w:r>
        <w:rPr>
          <w:sz w:val="29"/>
          <w:szCs w:val="29"/>
          <w:spacing w:val="4"/>
        </w:rPr>
        <w:t>钟至</w:t>
      </w:r>
    </w:p>
    <w:p>
      <w:pPr>
        <w:pStyle w:val="BodyText"/>
        <w:spacing w:before="136" w:line="219" w:lineRule="auto"/>
        <w:jc w:val="right"/>
        <w:rPr>
          <w:sz w:val="29"/>
          <w:szCs w:val="29"/>
        </w:rPr>
      </w:pPr>
      <w:r>
        <w:rPr>
          <w:sz w:val="29"/>
          <w:szCs w:val="29"/>
          <w:spacing w:val="1"/>
        </w:rPr>
        <w:t>3分钟内所喷出的药液浓度较低，所以应注意补喷，以免影响病虫害的防治效果；</w:t>
      </w:r>
    </w:p>
    <w:p>
      <w:pPr>
        <w:pStyle w:val="BodyText"/>
        <w:ind w:right="330" w:firstLine="730"/>
        <w:spacing w:before="125" w:line="269" w:lineRule="auto"/>
        <w:rPr>
          <w:sz w:val="29"/>
          <w:szCs w:val="29"/>
        </w:rPr>
      </w:pPr>
      <w:r>
        <w:rPr>
          <w:sz w:val="29"/>
          <w:szCs w:val="29"/>
          <w:spacing w:val="4"/>
        </w:rPr>
        <w:t>(3)工作完毕，应及时倒出桶内残留的药液，并用清水洗净倒干，同时，</w:t>
      </w:r>
      <w:r>
        <w:rPr>
          <w:sz w:val="29"/>
          <w:szCs w:val="29"/>
          <w:spacing w:val="17"/>
        </w:rPr>
        <w:t xml:space="preserve"> </w:t>
      </w:r>
      <w:r>
        <w:rPr>
          <w:sz w:val="29"/>
          <w:szCs w:val="29"/>
        </w:rPr>
        <w:t>检查气室内有无积水，如有积水，要拆下水接头放出积水；</w:t>
      </w:r>
    </w:p>
    <w:p>
      <w:pPr>
        <w:pStyle w:val="BodyText"/>
        <w:ind w:right="278" w:firstLine="730"/>
        <w:spacing w:before="155" w:line="265" w:lineRule="auto"/>
        <w:rPr>
          <w:sz w:val="29"/>
          <w:szCs w:val="29"/>
        </w:rPr>
      </w:pPr>
      <w:r>
        <w:rPr>
          <w:sz w:val="29"/>
          <w:szCs w:val="29"/>
          <w:spacing w:val="6"/>
        </w:rPr>
        <w:t>(4)若短期内不使用喷雾器，应将主要零部件清洗干净，擦干装好，置于</w:t>
      </w:r>
      <w:r>
        <w:rPr>
          <w:sz w:val="29"/>
          <w:szCs w:val="29"/>
          <w:spacing w:val="2"/>
        </w:rPr>
        <w:t xml:space="preserve"> </w:t>
      </w:r>
      <w:r>
        <w:rPr>
          <w:sz w:val="29"/>
          <w:szCs w:val="29"/>
          <w:spacing w:val="1"/>
        </w:rPr>
        <w:t>阴凉干燥处存放；若长期不用，则要将各个金属零部件涂上黄油，防止生锈。</w:t>
      </w:r>
    </w:p>
    <w:p>
      <w:pPr>
        <w:pStyle w:val="BodyText"/>
        <w:spacing w:before="196" w:line="222" w:lineRule="auto"/>
        <w:rPr>
          <w:rFonts w:ascii="SimHei" w:hAnsi="SimHei" w:eastAsia="SimHei" w:cs="SimHei"/>
          <w:sz w:val="29"/>
          <w:szCs w:val="29"/>
        </w:rPr>
      </w:pPr>
      <w:r>
        <w:rPr>
          <w:rFonts w:ascii="Arial" w:hAnsi="Arial" w:eastAsia="Arial" w:cs="Arial"/>
          <w:sz w:val="29"/>
          <w:szCs w:val="29"/>
          <w:spacing w:val="1"/>
        </w:rPr>
        <w:t>2</w:t>
      </w:r>
      <w:r>
        <w:rPr>
          <w:sz w:val="29"/>
          <w:szCs w:val="29"/>
          <w:spacing w:val="1"/>
        </w:rPr>
        <w:t>、</w:t>
      </w:r>
      <w:r>
        <w:rPr>
          <w:rFonts w:ascii="SimHei" w:hAnsi="SimHei" w:eastAsia="SimHei" w:cs="SimHei"/>
          <w:sz w:val="29"/>
          <w:szCs w:val="29"/>
          <w:spacing w:val="1"/>
        </w:rPr>
        <w:t>故障排除</w:t>
      </w:r>
    </w:p>
    <w:p>
      <w:pPr>
        <w:pStyle w:val="BodyText"/>
        <w:ind w:left="600"/>
        <w:spacing w:before="73" w:line="219" w:lineRule="auto"/>
        <w:rPr>
          <w:sz w:val="29"/>
          <w:szCs w:val="29"/>
        </w:rPr>
      </w:pPr>
      <w:r>
        <w:rPr>
          <w:sz w:val="29"/>
          <w:szCs w:val="29"/>
          <w:spacing w:val="12"/>
        </w:rPr>
        <w:t>1)喷雾压力不足，雾化不良</w:t>
      </w:r>
    </w:p>
    <w:p>
      <w:pPr>
        <w:pStyle w:val="BodyText"/>
        <w:ind w:left="730"/>
        <w:spacing w:before="154" w:line="219" w:lineRule="auto"/>
        <w:rPr>
          <w:sz w:val="29"/>
          <w:szCs w:val="29"/>
        </w:rPr>
      </w:pPr>
      <w:r>
        <w:rPr>
          <w:sz w:val="29"/>
          <w:szCs w:val="29"/>
          <w:spacing w:val="6"/>
        </w:rPr>
        <w:t>(1)若因进水球阀被污物搁起，可拆下进水阀，用</w:t>
      </w:r>
      <w:r>
        <w:rPr>
          <w:sz w:val="29"/>
          <w:szCs w:val="29"/>
          <w:spacing w:val="5"/>
        </w:rPr>
        <w:t>布清除污物；</w:t>
      </w:r>
    </w:p>
    <w:p>
      <w:pPr>
        <w:pStyle w:val="BodyText"/>
        <w:ind w:left="730"/>
        <w:spacing w:before="159" w:line="220" w:lineRule="auto"/>
        <w:rPr>
          <w:sz w:val="29"/>
          <w:szCs w:val="29"/>
        </w:rPr>
      </w:pPr>
      <w:r>
        <w:rPr>
          <w:sz w:val="29"/>
          <w:szCs w:val="29"/>
          <w:spacing w:val="8"/>
        </w:rPr>
        <w:t>(2)若因皮碗破损，可更换新皮碗；</w:t>
      </w:r>
    </w:p>
    <w:p>
      <w:pPr>
        <w:spacing w:line="220" w:lineRule="auto"/>
        <w:sectPr>
          <w:footerReference w:type="default" r:id="rId509"/>
          <w:pgSz w:w="14490" w:h="20470"/>
          <w:pgMar w:top="400" w:right="1994" w:bottom="1115" w:left="2150" w:header="0" w:footer="953"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720"/>
        <w:spacing w:before="94" w:line="219" w:lineRule="auto"/>
        <w:rPr>
          <w:sz w:val="29"/>
          <w:szCs w:val="29"/>
        </w:rPr>
      </w:pPr>
      <w:bookmarkStart w:name="bookmark123" w:id="102"/>
      <w:bookmarkEnd w:id="102"/>
      <w:r>
        <w:rPr>
          <w:sz w:val="29"/>
          <w:szCs w:val="29"/>
          <w:spacing w:val="-1"/>
        </w:rPr>
        <w:t>(3)</w:t>
      </w:r>
      <w:r>
        <w:rPr>
          <w:sz w:val="29"/>
          <w:szCs w:val="29"/>
          <w:spacing w:val="84"/>
        </w:rPr>
        <w:t xml:space="preserve"> </w:t>
      </w:r>
      <w:r>
        <w:rPr>
          <w:sz w:val="29"/>
          <w:szCs w:val="29"/>
          <w:spacing w:val="-1"/>
        </w:rPr>
        <w:t>若因连接部位未装密封圈或密封圈损坏，可加装或更换密封圈。</w:t>
      </w:r>
    </w:p>
    <w:p>
      <w:pPr>
        <w:pStyle w:val="BodyText"/>
        <w:ind w:left="580"/>
        <w:spacing w:before="166" w:line="220" w:lineRule="auto"/>
        <w:rPr>
          <w:sz w:val="29"/>
          <w:szCs w:val="29"/>
        </w:rPr>
      </w:pPr>
      <w:r>
        <w:rPr>
          <w:sz w:val="29"/>
          <w:szCs w:val="29"/>
          <w:spacing w:val="27"/>
        </w:rPr>
        <w:t>2)喷不成雾</w:t>
      </w:r>
    </w:p>
    <w:p>
      <w:pPr>
        <w:pStyle w:val="BodyText"/>
        <w:ind w:left="720"/>
        <w:spacing w:before="143" w:line="219" w:lineRule="auto"/>
        <w:rPr>
          <w:sz w:val="29"/>
          <w:szCs w:val="29"/>
        </w:rPr>
      </w:pPr>
      <w:r>
        <w:rPr>
          <w:sz w:val="29"/>
          <w:szCs w:val="29"/>
          <w:spacing w:val="6"/>
        </w:rPr>
        <w:t>(1)若因喷头体的斜孔被污物堵塞，可疏通斜孔；</w:t>
      </w:r>
    </w:p>
    <w:p>
      <w:pPr>
        <w:pStyle w:val="BodyText"/>
        <w:ind w:right="111" w:firstLine="720"/>
        <w:spacing w:before="135" w:line="269" w:lineRule="auto"/>
        <w:rPr>
          <w:sz w:val="29"/>
          <w:szCs w:val="29"/>
        </w:rPr>
      </w:pPr>
      <w:r>
        <w:rPr>
          <w:sz w:val="29"/>
          <w:szCs w:val="29"/>
          <w:spacing w:val="-3"/>
        </w:rPr>
        <w:t>(2)若因喷孔堵塞可拆开清洗喷孔，但不可使用铁丝或铜针等硬物捅喷孔，</w:t>
      </w:r>
      <w:r>
        <w:rPr>
          <w:sz w:val="29"/>
          <w:szCs w:val="29"/>
          <w:spacing w:val="1"/>
        </w:rPr>
        <w:t xml:space="preserve"> </w:t>
      </w:r>
      <w:r>
        <w:rPr>
          <w:sz w:val="29"/>
          <w:szCs w:val="29"/>
          <w:spacing w:val="-7"/>
        </w:rPr>
        <w:t>防止孔眼扩大，使喷雾质量变差；</w:t>
      </w:r>
    </w:p>
    <w:p>
      <w:pPr>
        <w:pStyle w:val="BodyText"/>
        <w:ind w:right="103" w:firstLine="720"/>
        <w:spacing w:before="146" w:line="270" w:lineRule="auto"/>
        <w:rPr>
          <w:sz w:val="29"/>
          <w:szCs w:val="29"/>
        </w:rPr>
      </w:pPr>
      <w:r>
        <w:rPr>
          <w:sz w:val="29"/>
          <w:szCs w:val="29"/>
          <w:spacing w:val="6"/>
        </w:rPr>
        <w:t>(3)若因套管内滤网堵塞或过水阀小球搁起，应清洗滤网及清洗搁起</w:t>
      </w:r>
      <w:r>
        <w:rPr>
          <w:sz w:val="29"/>
          <w:szCs w:val="29"/>
          <w:spacing w:val="5"/>
        </w:rPr>
        <w:t>小球</w:t>
      </w:r>
      <w:r>
        <w:rPr>
          <w:sz w:val="29"/>
          <w:szCs w:val="29"/>
        </w:rPr>
        <w:t xml:space="preserve"> </w:t>
      </w:r>
      <w:r>
        <w:rPr>
          <w:sz w:val="29"/>
          <w:szCs w:val="29"/>
          <w:spacing w:val="-7"/>
        </w:rPr>
        <w:t>的污物。</w:t>
      </w:r>
    </w:p>
    <w:p>
      <w:pPr>
        <w:pStyle w:val="BodyText"/>
        <w:ind w:left="580"/>
        <w:spacing w:before="141" w:line="219" w:lineRule="auto"/>
        <w:rPr>
          <w:sz w:val="29"/>
          <w:szCs w:val="29"/>
        </w:rPr>
      </w:pPr>
      <w:r>
        <w:rPr>
          <w:sz w:val="29"/>
          <w:szCs w:val="29"/>
          <w:spacing w:val="20"/>
        </w:rPr>
        <w:t>3)开关漏水或拧不动</w:t>
      </w:r>
    </w:p>
    <w:p>
      <w:pPr>
        <w:pStyle w:val="BodyText"/>
        <w:ind w:left="720"/>
        <w:spacing w:before="124" w:line="219" w:lineRule="auto"/>
        <w:rPr>
          <w:sz w:val="29"/>
          <w:szCs w:val="29"/>
        </w:rPr>
      </w:pPr>
      <w:r>
        <w:rPr>
          <w:sz w:val="29"/>
          <w:szCs w:val="29"/>
          <w:spacing w:val="7"/>
        </w:rPr>
        <w:t>(1)若因开关帽未拧紧，应旋紧开关帽；</w:t>
      </w:r>
    </w:p>
    <w:p>
      <w:pPr>
        <w:pStyle w:val="BodyText"/>
        <w:ind w:left="720"/>
        <w:spacing w:before="159" w:line="220" w:lineRule="auto"/>
        <w:rPr>
          <w:sz w:val="29"/>
          <w:szCs w:val="29"/>
        </w:rPr>
      </w:pPr>
      <w:r>
        <w:rPr>
          <w:sz w:val="29"/>
          <w:szCs w:val="29"/>
          <w:spacing w:val="7"/>
        </w:rPr>
        <w:t>(2)若因开关芯上的垫圈磨损，应更换垫圈；</w:t>
      </w:r>
    </w:p>
    <w:p>
      <w:pPr>
        <w:pStyle w:val="BodyText"/>
        <w:ind w:right="101" w:firstLine="720"/>
        <w:spacing w:before="143" w:line="272" w:lineRule="auto"/>
        <w:rPr>
          <w:sz w:val="29"/>
          <w:szCs w:val="29"/>
        </w:rPr>
      </w:pPr>
      <w:r>
        <w:rPr>
          <w:sz w:val="29"/>
          <w:szCs w:val="29"/>
          <w:spacing w:val="6"/>
        </w:rPr>
        <w:t>(3)开关拧不动，原因是放置较久，或使用过久，开关芯因药剂的浸蚀而</w:t>
      </w:r>
      <w:r>
        <w:rPr>
          <w:sz w:val="29"/>
          <w:szCs w:val="29"/>
          <w:spacing w:val="1"/>
        </w:rPr>
        <w:t xml:space="preserve"> </w:t>
      </w:r>
      <w:r>
        <w:rPr>
          <w:sz w:val="29"/>
          <w:szCs w:val="29"/>
        </w:rPr>
        <w:t>粘结住，应拆下零件在煤油或柴油中清洗；</w:t>
      </w:r>
    </w:p>
    <w:p>
      <w:pPr>
        <w:pStyle w:val="BodyText"/>
        <w:ind w:right="81" w:firstLine="720"/>
        <w:spacing w:before="135" w:line="269" w:lineRule="auto"/>
        <w:rPr>
          <w:sz w:val="29"/>
          <w:szCs w:val="29"/>
        </w:rPr>
      </w:pPr>
      <w:r>
        <w:rPr>
          <w:sz w:val="29"/>
          <w:szCs w:val="29"/>
          <w:spacing w:val="7"/>
        </w:rPr>
        <w:t>(4)拆下有困难时，可在煤油中浸泡一段时</w:t>
      </w:r>
      <w:r>
        <w:rPr>
          <w:sz w:val="29"/>
          <w:szCs w:val="29"/>
          <w:spacing w:val="6"/>
        </w:rPr>
        <w:t>间，再拆卸即可拆下，不可用</w:t>
      </w:r>
      <w:r>
        <w:rPr>
          <w:sz w:val="29"/>
          <w:szCs w:val="29"/>
        </w:rPr>
        <w:t xml:space="preserve"> </w:t>
      </w:r>
      <w:r>
        <w:rPr>
          <w:sz w:val="29"/>
          <w:szCs w:val="29"/>
          <w:spacing w:val="-1"/>
        </w:rPr>
        <w:t>硬物敲打。</w:t>
      </w:r>
    </w:p>
    <w:p>
      <w:pPr>
        <w:pStyle w:val="BodyText"/>
        <w:ind w:left="580"/>
        <w:spacing w:before="156" w:line="219" w:lineRule="auto"/>
        <w:rPr>
          <w:sz w:val="29"/>
          <w:szCs w:val="29"/>
        </w:rPr>
      </w:pPr>
      <w:r>
        <w:rPr>
          <w:sz w:val="29"/>
          <w:szCs w:val="29"/>
          <w:spacing w:val="18"/>
        </w:rPr>
        <w:t>4)各连接部位漏水</w:t>
      </w:r>
    </w:p>
    <w:p>
      <w:pPr>
        <w:pStyle w:val="BodyText"/>
        <w:ind w:left="720"/>
        <w:spacing w:before="126" w:line="219" w:lineRule="auto"/>
        <w:rPr>
          <w:sz w:val="29"/>
          <w:szCs w:val="29"/>
        </w:rPr>
      </w:pPr>
      <w:r>
        <w:rPr>
          <w:sz w:val="29"/>
          <w:szCs w:val="29"/>
          <w:spacing w:val="7"/>
        </w:rPr>
        <w:t>(1)若因接头松动，应旋紧螺母；</w:t>
      </w:r>
    </w:p>
    <w:p>
      <w:pPr>
        <w:pStyle w:val="BodyText"/>
        <w:ind w:left="720"/>
        <w:spacing w:before="166" w:line="219" w:lineRule="auto"/>
        <w:rPr>
          <w:sz w:val="29"/>
          <w:szCs w:val="29"/>
        </w:rPr>
      </w:pPr>
      <w:r>
        <w:rPr>
          <w:sz w:val="29"/>
          <w:szCs w:val="29"/>
          <w:spacing w:val="6"/>
        </w:rPr>
        <w:t>(2)若因垫圈未放平或破损，应将垫圈放平，或更</w:t>
      </w:r>
      <w:r>
        <w:rPr>
          <w:sz w:val="29"/>
          <w:szCs w:val="29"/>
          <w:spacing w:val="5"/>
        </w:rPr>
        <w:t>换垫圈；</w:t>
      </w:r>
    </w:p>
    <w:p>
      <w:pPr>
        <w:pStyle w:val="BodyText"/>
        <w:ind w:left="720"/>
        <w:spacing w:before="134" w:line="219" w:lineRule="auto"/>
        <w:rPr>
          <w:sz w:val="29"/>
          <w:szCs w:val="29"/>
        </w:rPr>
      </w:pPr>
      <w:r>
        <w:rPr>
          <w:sz w:val="29"/>
          <w:szCs w:val="29"/>
          <w:spacing w:val="-1"/>
        </w:rPr>
        <w:t>(3)</w:t>
      </w:r>
      <w:r>
        <w:rPr>
          <w:sz w:val="29"/>
          <w:szCs w:val="29"/>
          <w:spacing w:val="72"/>
        </w:rPr>
        <w:t xml:space="preserve"> </w:t>
      </w:r>
      <w:r>
        <w:rPr>
          <w:sz w:val="29"/>
          <w:szCs w:val="29"/>
          <w:spacing w:val="-1"/>
        </w:rPr>
        <w:t>若因垫圈干缩硬化，可在动物油中浸软后</w:t>
      </w:r>
      <w:r>
        <w:rPr>
          <w:sz w:val="29"/>
          <w:szCs w:val="29"/>
          <w:spacing w:val="-2"/>
        </w:rPr>
        <w:t>再使用。</w:t>
      </w:r>
    </w:p>
    <w:p>
      <w:pPr>
        <w:spacing w:before="308" w:line="222" w:lineRule="auto"/>
        <w:outlineLvl w:val="1"/>
        <w:rPr>
          <w:rFonts w:ascii="SimHei" w:hAnsi="SimHei" w:eastAsia="SimHei" w:cs="SimHei"/>
          <w:sz w:val="28"/>
          <w:szCs w:val="28"/>
        </w:rPr>
      </w:pPr>
      <w:bookmarkStart w:name="bookmark58" w:id="103"/>
      <w:bookmarkEnd w:id="103"/>
      <w:r>
        <w:rPr>
          <w:rFonts w:ascii="SimHei" w:hAnsi="SimHei" w:eastAsia="SimHei" w:cs="SimHei"/>
          <w:sz w:val="28"/>
          <w:szCs w:val="28"/>
          <w:spacing w:val="9"/>
        </w:rPr>
        <w:t>十一、手拉葫芦</w:t>
      </w:r>
    </w:p>
    <w:p>
      <w:pPr>
        <w:pStyle w:val="BodyText"/>
        <w:ind w:right="127" w:firstLine="580"/>
        <w:spacing w:before="151" w:line="317" w:lineRule="auto"/>
        <w:rPr>
          <w:sz w:val="29"/>
          <w:szCs w:val="29"/>
        </w:rPr>
      </w:pPr>
      <w:r>
        <w:rPr>
          <w:sz w:val="29"/>
          <w:szCs w:val="29"/>
          <w:spacing w:val="-20"/>
        </w:rPr>
        <w:t>手拉葫芦是一种使用简单、携带方便的手动起重机械，也称‘环链葫芦”</w:t>
      </w:r>
      <w:r>
        <w:rPr>
          <w:sz w:val="29"/>
          <w:szCs w:val="29"/>
          <w:spacing w:val="-21"/>
        </w:rPr>
        <w:t>或“倒</w:t>
      </w:r>
      <w:r>
        <w:rPr>
          <w:sz w:val="29"/>
          <w:szCs w:val="29"/>
        </w:rPr>
        <w:t xml:space="preserve"> </w:t>
      </w:r>
      <w:r>
        <w:rPr>
          <w:sz w:val="29"/>
          <w:szCs w:val="29"/>
          <w:spacing w:val="1"/>
        </w:rPr>
        <w:t>链”,适用于小型设备和货物的短距离吊运、歪倒苗木的扶正。</w:t>
      </w:r>
    </w:p>
    <w:p>
      <w:pPr>
        <w:ind w:firstLine="3119"/>
        <w:spacing w:before="24" w:line="4970" w:lineRule="exact"/>
        <w:rPr/>
      </w:pPr>
      <w:r>
        <w:rPr>
          <w:position w:val="-99"/>
        </w:rPr>
        <w:drawing>
          <wp:inline distT="0" distB="0" distL="0" distR="0">
            <wp:extent cx="2114516" cy="3155893"/>
            <wp:effectExtent l="0" t="0" r="0" b="0"/>
            <wp:docPr id="708" name="IM 708"/>
            <wp:cNvGraphicFramePr/>
            <a:graphic>
              <a:graphicData uri="http://schemas.openxmlformats.org/drawingml/2006/picture">
                <pic:pic>
                  <pic:nvPicPr>
                    <pic:cNvPr id="708" name="IM 708"/>
                    <pic:cNvPicPr/>
                  </pic:nvPicPr>
                  <pic:blipFill>
                    <a:blip r:embed="rId512"/>
                    <a:stretch>
                      <a:fillRect/>
                    </a:stretch>
                  </pic:blipFill>
                  <pic:spPr>
                    <a:xfrm rot="0">
                      <a:off x="0" y="0"/>
                      <a:ext cx="2114516" cy="3155893"/>
                    </a:xfrm>
                    <a:prstGeom prst="rect">
                      <a:avLst/>
                    </a:prstGeom>
                  </pic:spPr>
                </pic:pic>
              </a:graphicData>
            </a:graphic>
          </wp:inline>
        </w:drawing>
      </w:r>
    </w:p>
    <w:p>
      <w:pPr>
        <w:pStyle w:val="BodyText"/>
        <w:ind w:left="4099"/>
        <w:spacing w:before="189" w:line="219" w:lineRule="auto"/>
        <w:rPr>
          <w:sz w:val="24"/>
          <w:szCs w:val="24"/>
        </w:rPr>
      </w:pPr>
      <w:r>
        <w:rPr>
          <w:sz w:val="24"/>
          <w:szCs w:val="24"/>
          <w:spacing w:val="3"/>
        </w:rPr>
        <w:t>图7-11-1手拉葫芦</w:t>
      </w:r>
    </w:p>
    <w:p>
      <w:pPr>
        <w:spacing w:line="219" w:lineRule="auto"/>
        <w:sectPr>
          <w:footerReference w:type="default" r:id="rId511"/>
          <w:pgSz w:w="14490" w:h="20470"/>
          <w:pgMar w:top="400" w:right="2173" w:bottom="1115" w:left="2160" w:header="0" w:footer="953" w:gutter="0"/>
        </w:sectPr>
        <w:rPr>
          <w:sz w:val="24"/>
          <w:szCs w:val="24"/>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BodyText"/>
        <w:spacing w:before="94" w:line="223"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准备</w:t>
      </w:r>
    </w:p>
    <w:p>
      <w:pPr>
        <w:pStyle w:val="BodyText"/>
        <w:ind w:right="103" w:firstLine="740"/>
        <w:spacing w:before="117" w:line="270" w:lineRule="auto"/>
        <w:rPr>
          <w:sz w:val="29"/>
          <w:szCs w:val="29"/>
        </w:rPr>
      </w:pPr>
      <w:r>
        <w:rPr>
          <w:sz w:val="29"/>
          <w:szCs w:val="29"/>
          <w:spacing w:val="6"/>
        </w:rPr>
        <w:t>(1)在使用前须确认机件完好无损，传动部分及起重链条润滑良好，</w:t>
      </w:r>
      <w:r>
        <w:rPr>
          <w:sz w:val="29"/>
          <w:szCs w:val="29"/>
          <w:spacing w:val="5"/>
        </w:rPr>
        <w:t>空转</w:t>
      </w:r>
      <w:r>
        <w:rPr>
          <w:sz w:val="29"/>
          <w:szCs w:val="29"/>
        </w:rPr>
        <w:t xml:space="preserve"> </w:t>
      </w:r>
      <w:r>
        <w:rPr>
          <w:sz w:val="29"/>
          <w:szCs w:val="29"/>
          <w:spacing w:val="-1"/>
        </w:rPr>
        <w:t>情况正常。</w:t>
      </w:r>
    </w:p>
    <w:p>
      <w:pPr>
        <w:pStyle w:val="BodyText"/>
        <w:ind w:right="93" w:firstLine="740"/>
        <w:spacing w:before="122" w:line="269" w:lineRule="auto"/>
        <w:rPr>
          <w:sz w:val="29"/>
          <w:szCs w:val="29"/>
        </w:rPr>
      </w:pPr>
      <w:r>
        <w:rPr>
          <w:sz w:val="29"/>
          <w:szCs w:val="29"/>
          <w:spacing w:val="6"/>
        </w:rPr>
        <w:t>(2)起吊前检查上下吊钩是否挂牢，起重链条应垂直悬挂，不得有错扭的</w:t>
      </w:r>
      <w:r>
        <w:rPr>
          <w:sz w:val="29"/>
          <w:szCs w:val="29"/>
          <w:spacing w:val="8"/>
        </w:rPr>
        <w:t xml:space="preserve"> </w:t>
      </w:r>
      <w:r>
        <w:rPr>
          <w:sz w:val="29"/>
          <w:szCs w:val="29"/>
          <w:spacing w:val="1"/>
        </w:rPr>
        <w:t>链环，双行链的下吊钩架不得翻转。</w:t>
      </w:r>
    </w:p>
    <w:p>
      <w:pPr>
        <w:pStyle w:val="BodyText"/>
        <w:spacing w:before="203" w:line="222"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作业</w:t>
      </w:r>
    </w:p>
    <w:p>
      <w:pPr>
        <w:pStyle w:val="BodyText"/>
        <w:ind w:right="102" w:firstLine="740"/>
        <w:spacing w:before="84" w:line="262" w:lineRule="auto"/>
        <w:rPr>
          <w:sz w:val="29"/>
          <w:szCs w:val="29"/>
        </w:rPr>
      </w:pPr>
      <w:r>
        <w:rPr>
          <w:sz w:val="29"/>
          <w:szCs w:val="29"/>
          <w:spacing w:val="6"/>
        </w:rPr>
        <w:t>(1)操作者应站在与手链轮同一平面内均匀和缓拽动手链条，使手链轮沿</w:t>
      </w:r>
      <w:r>
        <w:rPr>
          <w:sz w:val="29"/>
          <w:szCs w:val="29"/>
        </w:rPr>
        <w:t xml:space="preserve"> </w:t>
      </w:r>
      <w:r>
        <w:rPr>
          <w:sz w:val="29"/>
          <w:szCs w:val="29"/>
          <w:spacing w:val="1"/>
        </w:rPr>
        <w:t>顺时针方向旋转，即可使重物上升；反向拽动手链条</w:t>
      </w:r>
      <w:r>
        <w:rPr>
          <w:sz w:val="29"/>
          <w:szCs w:val="29"/>
        </w:rPr>
        <w:t>，重物即可缓缓下降；</w:t>
      </w:r>
    </w:p>
    <w:p>
      <w:pPr>
        <w:pStyle w:val="BodyText"/>
        <w:ind w:right="231" w:firstLine="740"/>
        <w:spacing w:before="155" w:line="269" w:lineRule="auto"/>
        <w:rPr>
          <w:sz w:val="29"/>
          <w:szCs w:val="29"/>
        </w:rPr>
      </w:pPr>
      <w:r>
        <w:rPr>
          <w:sz w:val="29"/>
          <w:szCs w:val="29"/>
          <w:spacing w:val="-7"/>
        </w:rPr>
        <w:t>(2)在起吊重物时，严禁人员在重物下做任何工作或行走动作；严禁斜拉、</w:t>
      </w:r>
      <w:r>
        <w:rPr>
          <w:sz w:val="29"/>
          <w:szCs w:val="29"/>
          <w:spacing w:val="16"/>
        </w:rPr>
        <w:t xml:space="preserve"> </w:t>
      </w:r>
      <w:r>
        <w:rPr>
          <w:sz w:val="29"/>
          <w:szCs w:val="29"/>
          <w:spacing w:val="-6"/>
        </w:rPr>
        <w:t>超载使用设备；严禁用人力以外的其他动力操作；</w:t>
      </w:r>
    </w:p>
    <w:p>
      <w:pPr>
        <w:pStyle w:val="BodyText"/>
        <w:ind w:right="76" w:firstLine="740"/>
        <w:spacing w:before="135" w:line="272" w:lineRule="auto"/>
        <w:rPr>
          <w:sz w:val="29"/>
          <w:szCs w:val="29"/>
        </w:rPr>
      </w:pPr>
      <w:r>
        <w:rPr>
          <w:sz w:val="29"/>
          <w:szCs w:val="29"/>
          <w:spacing w:val="7"/>
        </w:rPr>
        <w:t>(3)操作者如发现手拉力大于正常拉力时，应立即停止使</w:t>
      </w:r>
      <w:r>
        <w:rPr>
          <w:sz w:val="29"/>
          <w:szCs w:val="29"/>
          <w:spacing w:val="6"/>
        </w:rPr>
        <w:t>用，以防破坏内</w:t>
      </w:r>
      <w:r>
        <w:rPr>
          <w:sz w:val="29"/>
          <w:szCs w:val="29"/>
        </w:rPr>
        <w:t xml:space="preserve"> </w:t>
      </w:r>
      <w:r>
        <w:rPr>
          <w:sz w:val="29"/>
          <w:szCs w:val="29"/>
          <w:spacing w:val="-3"/>
        </w:rPr>
        <w:t>部结构，发生坠物事故；</w:t>
      </w:r>
    </w:p>
    <w:p>
      <w:pPr>
        <w:pStyle w:val="BodyText"/>
        <w:ind w:left="740"/>
        <w:spacing w:before="154" w:line="219" w:lineRule="auto"/>
        <w:rPr>
          <w:sz w:val="29"/>
          <w:szCs w:val="29"/>
        </w:rPr>
      </w:pPr>
      <w:r>
        <w:rPr>
          <w:sz w:val="29"/>
          <w:szCs w:val="29"/>
          <w:spacing w:val="-1"/>
        </w:rPr>
        <w:t>(4)</w:t>
      </w:r>
      <w:r>
        <w:rPr>
          <w:sz w:val="29"/>
          <w:szCs w:val="29"/>
          <w:spacing w:val="77"/>
        </w:rPr>
        <w:t xml:space="preserve"> </w:t>
      </w:r>
      <w:r>
        <w:rPr>
          <w:sz w:val="29"/>
          <w:szCs w:val="29"/>
          <w:spacing w:val="-1"/>
        </w:rPr>
        <w:t>待重物安全稳固着陆后，再取下手拉葫芦下钩。</w:t>
      </w:r>
    </w:p>
    <w:p>
      <w:pPr>
        <w:pStyle w:val="BodyText"/>
        <w:spacing w:before="53" w:line="395" w:lineRule="exact"/>
        <w:rPr>
          <w:rFonts w:ascii="SimHei" w:hAnsi="SimHei" w:eastAsia="SimHei" w:cs="SimHei"/>
          <w:sz w:val="29"/>
          <w:szCs w:val="29"/>
        </w:rPr>
      </w:pPr>
      <w:r>
        <w:rPr>
          <w:rFonts w:ascii="Arial" w:hAnsi="Arial" w:eastAsia="Arial" w:cs="Arial"/>
          <w:sz w:val="29"/>
          <w:szCs w:val="29"/>
          <w:spacing w:val="8"/>
          <w:position w:val="1"/>
        </w:rPr>
        <w:t>3</w:t>
      </w:r>
      <w:r>
        <w:rPr>
          <w:sz w:val="29"/>
          <w:szCs w:val="29"/>
          <w:spacing w:val="8"/>
          <w:position w:val="1"/>
        </w:rPr>
        <w:t>、</w:t>
      </w:r>
      <w:r>
        <w:rPr>
          <w:rFonts w:ascii="SimHei" w:hAnsi="SimHei" w:eastAsia="SimHei" w:cs="SimHei"/>
          <w:sz w:val="29"/>
          <w:szCs w:val="29"/>
          <w:spacing w:val="8"/>
          <w:position w:val="1"/>
        </w:rPr>
        <w:t>保养</w:t>
      </w:r>
    </w:p>
    <w:p>
      <w:pPr>
        <w:pStyle w:val="BodyText"/>
        <w:ind w:left="740"/>
        <w:spacing w:before="148" w:line="219" w:lineRule="auto"/>
        <w:rPr>
          <w:sz w:val="29"/>
          <w:szCs w:val="29"/>
        </w:rPr>
      </w:pPr>
      <w:r>
        <w:rPr>
          <w:sz w:val="29"/>
          <w:szCs w:val="29"/>
          <w:spacing w:val="6"/>
        </w:rPr>
        <w:t>(1)使用完毕应将葫芦清理干净并涂上防锈油脂，</w:t>
      </w:r>
      <w:r>
        <w:rPr>
          <w:sz w:val="29"/>
          <w:szCs w:val="29"/>
          <w:spacing w:val="5"/>
        </w:rPr>
        <w:t>存放在干燥地方；</w:t>
      </w:r>
    </w:p>
    <w:p>
      <w:pPr>
        <w:pStyle w:val="BodyText"/>
        <w:ind w:left="740"/>
        <w:spacing w:before="126" w:line="219" w:lineRule="auto"/>
        <w:rPr>
          <w:sz w:val="29"/>
          <w:szCs w:val="29"/>
        </w:rPr>
      </w:pPr>
      <w:r>
        <w:rPr>
          <w:sz w:val="29"/>
          <w:szCs w:val="29"/>
          <w:spacing w:val="6"/>
        </w:rPr>
        <w:t>(2)可用煤油清洗葫芦机件，齿轮和轴承部分可加</w:t>
      </w:r>
      <w:r>
        <w:rPr>
          <w:sz w:val="29"/>
          <w:szCs w:val="29"/>
          <w:spacing w:val="5"/>
        </w:rPr>
        <w:t>黄油润滑装；</w:t>
      </w:r>
    </w:p>
    <w:p>
      <w:pPr>
        <w:pStyle w:val="BodyText"/>
        <w:ind w:left="740"/>
        <w:spacing w:before="166" w:line="219" w:lineRule="auto"/>
        <w:rPr>
          <w:sz w:val="29"/>
          <w:szCs w:val="29"/>
        </w:rPr>
      </w:pPr>
      <w:r>
        <w:rPr>
          <w:sz w:val="29"/>
          <w:szCs w:val="29"/>
          <w:spacing w:val="6"/>
        </w:rPr>
        <w:t>(3)葫芦经过清洗维修，应进行空载试验，确认正</w:t>
      </w:r>
      <w:r>
        <w:rPr>
          <w:sz w:val="29"/>
          <w:szCs w:val="29"/>
          <w:spacing w:val="5"/>
        </w:rPr>
        <w:t>常方可交付使用；</w:t>
      </w:r>
    </w:p>
    <w:p>
      <w:pPr>
        <w:pStyle w:val="BodyText"/>
        <w:ind w:left="740"/>
        <w:spacing w:before="146" w:line="219" w:lineRule="auto"/>
        <w:rPr>
          <w:sz w:val="29"/>
          <w:szCs w:val="29"/>
        </w:rPr>
      </w:pPr>
      <w:r>
        <w:rPr>
          <w:sz w:val="29"/>
          <w:szCs w:val="29"/>
          <w:spacing w:val="6"/>
        </w:rPr>
        <w:t>(4)制动器的摩擦表面必须保持干净并经常检查，防止制动失灵；</w:t>
      </w:r>
    </w:p>
    <w:p>
      <w:pPr>
        <w:pStyle w:val="BodyText"/>
        <w:ind w:left="740"/>
        <w:spacing w:before="146" w:line="219" w:lineRule="auto"/>
        <w:rPr>
          <w:sz w:val="29"/>
          <w:szCs w:val="29"/>
        </w:rPr>
      </w:pPr>
      <w:r>
        <w:rPr>
          <w:sz w:val="29"/>
          <w:szCs w:val="29"/>
          <w:spacing w:val="7"/>
        </w:rPr>
        <w:t>(5)使用完毕后，轻拿轻放，置于干燥、通风处</w:t>
      </w:r>
      <w:r>
        <w:rPr>
          <w:sz w:val="29"/>
          <w:szCs w:val="29"/>
          <w:spacing w:val="6"/>
        </w:rPr>
        <w:t>，涂抹润滑油放好。</w:t>
      </w:r>
    </w:p>
    <w:p>
      <w:pPr>
        <w:spacing w:line="219" w:lineRule="auto"/>
        <w:sectPr>
          <w:footerReference w:type="default" r:id="rId513"/>
          <w:pgSz w:w="14490" w:h="20470"/>
          <w:pgMar w:top="400" w:right="2173" w:bottom="1143" w:left="2140" w:header="0" w:footer="945" w:gutter="0"/>
        </w:sectPr>
        <w:rPr>
          <w:sz w:val="29"/>
          <w:szCs w:val="29"/>
        </w:rPr>
      </w:pP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ind w:left="6"/>
        <w:spacing w:before="156" w:line="221" w:lineRule="auto"/>
        <w:outlineLvl w:val="0"/>
        <w:rPr>
          <w:rFonts w:ascii="SimHei" w:hAnsi="SimHei" w:eastAsia="SimHei" w:cs="SimHei"/>
          <w:sz w:val="48"/>
          <w:szCs w:val="48"/>
        </w:rPr>
      </w:pPr>
      <w:bookmarkStart w:name="bookmark124" w:id="104"/>
      <w:bookmarkEnd w:id="104"/>
      <w:bookmarkStart w:name="bookmark59" w:id="105"/>
      <w:bookmarkEnd w:id="105"/>
      <w:r>
        <w:rPr>
          <w:rFonts w:ascii="SimHei" w:hAnsi="SimHei" w:eastAsia="SimHei" w:cs="SimHei"/>
          <w:sz w:val="48"/>
          <w:szCs w:val="48"/>
          <w:b/>
          <w:bCs/>
          <w:spacing w:val="-44"/>
        </w:rPr>
        <w:t>附件二：各地区养护管理月历</w:t>
      </w:r>
    </w:p>
    <w:p>
      <w:pPr>
        <w:spacing w:line="293" w:lineRule="auto"/>
        <w:rPr>
          <w:rFonts w:ascii="Arial"/>
          <w:sz w:val="21"/>
        </w:rPr>
      </w:pPr>
      <w:r/>
    </w:p>
    <w:p>
      <w:pPr>
        <w:spacing w:line="294" w:lineRule="auto"/>
        <w:rPr>
          <w:rFonts w:ascii="Arial"/>
          <w:sz w:val="21"/>
        </w:rPr>
      </w:pPr>
      <w:r/>
    </w:p>
    <w:p>
      <w:pPr>
        <w:ind w:left="3904"/>
        <w:spacing w:before="104" w:line="222" w:lineRule="auto"/>
        <w:outlineLvl w:val="1"/>
        <w:rPr>
          <w:rFonts w:ascii="SimHei" w:hAnsi="SimHei" w:eastAsia="SimHei" w:cs="SimHei"/>
          <w:sz w:val="32"/>
          <w:szCs w:val="32"/>
        </w:rPr>
      </w:pPr>
      <w:bookmarkStart w:name="bookmark60" w:id="106"/>
      <w:bookmarkEnd w:id="106"/>
      <w:r>
        <w:rPr>
          <w:rFonts w:ascii="SimHei" w:hAnsi="SimHei" w:eastAsia="SimHei" w:cs="SimHei"/>
          <w:sz w:val="32"/>
          <w:szCs w:val="32"/>
          <w:b/>
          <w:bCs/>
          <w:spacing w:val="-25"/>
        </w:rPr>
        <w:t>吉林、黑龙江地区</w:t>
      </w:r>
    </w:p>
    <w:p>
      <w:pPr>
        <w:pStyle w:val="BodyText"/>
        <w:ind w:left="4"/>
        <w:spacing w:before="169" w:line="223" w:lineRule="auto"/>
        <w:rPr>
          <w:rFonts w:ascii="SimHei" w:hAnsi="SimHei" w:eastAsia="SimHei" w:cs="SimHei"/>
          <w:sz w:val="30"/>
          <w:szCs w:val="30"/>
        </w:rPr>
      </w:pPr>
      <w:r>
        <w:rPr>
          <w:sz w:val="30"/>
          <w:szCs w:val="30"/>
          <w:b/>
          <w:bCs/>
          <w:spacing w:val="-11"/>
        </w:rPr>
        <w:t>一、</w:t>
      </w:r>
      <w:r>
        <w:rPr>
          <w:rFonts w:ascii="SimHei" w:hAnsi="SimHei" w:eastAsia="SimHei" w:cs="SimHei"/>
          <w:sz w:val="30"/>
          <w:szCs w:val="30"/>
          <w:spacing w:val="-11"/>
        </w:rPr>
        <w:t>二月份</w:t>
      </w:r>
    </w:p>
    <w:p>
      <w:pPr>
        <w:pStyle w:val="BodyText"/>
        <w:ind w:left="570"/>
        <w:spacing w:before="146" w:line="219" w:lineRule="auto"/>
        <w:rPr>
          <w:sz w:val="29"/>
          <w:szCs w:val="29"/>
        </w:rPr>
      </w:pPr>
      <w:r>
        <w:rPr>
          <w:sz w:val="29"/>
          <w:szCs w:val="29"/>
          <w:spacing w:val="3"/>
        </w:rPr>
        <w:t>全年中气温最低的月份，重点是保洁和防寒。</w:t>
      </w:r>
    </w:p>
    <w:p>
      <w:pPr>
        <w:pStyle w:val="BodyText"/>
        <w:ind w:left="570"/>
        <w:spacing w:before="274"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现场检查</w:t>
      </w:r>
    </w:p>
    <w:p>
      <w:pPr>
        <w:pStyle w:val="BodyText"/>
        <w:ind w:left="730"/>
        <w:spacing w:before="13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(2)及时检查乔木支撑情况，发现松绑、摇晃等立</w:t>
      </w:r>
      <w:r>
        <w:rPr>
          <w:sz w:val="29"/>
          <w:szCs w:val="29"/>
          <w:spacing w:val="5"/>
        </w:rPr>
        <w:t>即加固；</w:t>
      </w:r>
    </w:p>
    <w:p>
      <w:pPr>
        <w:pStyle w:val="BodyText"/>
        <w:ind w:left="730"/>
        <w:spacing w:before="146" w:line="219" w:lineRule="auto"/>
        <w:rPr>
          <w:sz w:val="29"/>
          <w:szCs w:val="29"/>
        </w:rPr>
      </w:pPr>
      <w:r>
        <w:rPr>
          <w:sz w:val="29"/>
          <w:szCs w:val="29"/>
          <w:spacing w:val="7"/>
        </w:rPr>
        <w:t>(3)雪后及时清理常绿乔木上的积雪，避免对树枝造成伤害。</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修剪</w:t>
      </w:r>
    </w:p>
    <w:p>
      <w:pPr>
        <w:pStyle w:val="BodyText"/>
        <w:ind w:right="443" w:firstLine="730"/>
        <w:spacing w:before="154" w:line="266" w:lineRule="auto"/>
        <w:rPr>
          <w:sz w:val="29"/>
          <w:szCs w:val="29"/>
        </w:rPr>
      </w:pPr>
      <w:r>
        <w:rPr>
          <w:sz w:val="29"/>
          <w:szCs w:val="29"/>
          <w:spacing w:val="6"/>
        </w:rPr>
        <w:t>(1)以整形为主，衰弱树可重剪；对苗木的风折枝、病虫枝、断枝</w:t>
      </w:r>
      <w:r>
        <w:rPr>
          <w:sz w:val="29"/>
          <w:szCs w:val="29"/>
          <w:spacing w:val="5"/>
        </w:rPr>
        <w:t>、枯死</w:t>
      </w:r>
      <w:r>
        <w:rPr>
          <w:sz w:val="29"/>
          <w:szCs w:val="29"/>
        </w:rPr>
        <w:t xml:space="preserve"> </w:t>
      </w:r>
      <w:r>
        <w:rPr>
          <w:sz w:val="29"/>
          <w:szCs w:val="29"/>
          <w:spacing w:val="1"/>
        </w:rPr>
        <w:t>枝、内膛枝进行修剪并对苗木进行整形修剪，保证乔木树形优美；</w:t>
      </w:r>
    </w:p>
    <w:p>
      <w:pPr>
        <w:pStyle w:val="BodyText"/>
        <w:ind w:left="730"/>
        <w:spacing w:before="144" w:line="219" w:lineRule="auto"/>
        <w:rPr>
          <w:sz w:val="29"/>
          <w:szCs w:val="29"/>
        </w:rPr>
      </w:pPr>
      <w:r>
        <w:rPr>
          <w:sz w:val="29"/>
          <w:szCs w:val="29"/>
          <w:spacing w:val="6"/>
        </w:rPr>
        <w:t>(2)在本地耐寒性弱的苗木改为春季化冻后修剪；</w:t>
      </w:r>
    </w:p>
    <w:p>
      <w:pPr>
        <w:pStyle w:val="BodyText"/>
        <w:ind w:right="442" w:firstLine="730"/>
        <w:spacing w:before="128" w:line="272" w:lineRule="auto"/>
        <w:rPr>
          <w:sz w:val="29"/>
          <w:szCs w:val="29"/>
        </w:rPr>
      </w:pPr>
      <w:r>
        <w:rPr>
          <w:sz w:val="29"/>
          <w:szCs w:val="29"/>
          <w:spacing w:val="6"/>
        </w:rPr>
        <w:t>(3)冬季易有流伤的植物，如槭树科中的大多数，在晚秋落叶时或春</w:t>
      </w:r>
      <w:r>
        <w:rPr>
          <w:sz w:val="29"/>
          <w:szCs w:val="29"/>
          <w:spacing w:val="5"/>
        </w:rPr>
        <w:t>季新</w:t>
      </w:r>
      <w:r>
        <w:rPr>
          <w:sz w:val="29"/>
          <w:szCs w:val="29"/>
        </w:rPr>
        <w:t xml:space="preserve"> </w:t>
      </w:r>
      <w:r>
        <w:rPr>
          <w:sz w:val="29"/>
          <w:szCs w:val="29"/>
          <w:spacing w:val="-2"/>
        </w:rPr>
        <w:t>芽膨大时修剪。</w:t>
      </w:r>
    </w:p>
    <w:p>
      <w:pPr>
        <w:pStyle w:val="BodyText"/>
        <w:ind w:left="570"/>
        <w:spacing w:before="136" w:line="396" w:lineRule="exact"/>
        <w:rPr>
          <w:rFonts w:ascii="SimHei" w:hAnsi="SimHei" w:eastAsia="SimHei" w:cs="SimHei"/>
          <w:sz w:val="29"/>
          <w:szCs w:val="29"/>
        </w:rPr>
      </w:pPr>
      <w:r>
        <w:rPr>
          <w:rFonts w:ascii="Arial" w:hAnsi="Arial" w:eastAsia="Arial" w:cs="Arial"/>
          <w:sz w:val="29"/>
          <w:szCs w:val="29"/>
          <w:spacing w:val="7"/>
          <w:position w:val="1"/>
        </w:rPr>
        <w:t>3</w:t>
      </w:r>
      <w:r>
        <w:rPr>
          <w:sz w:val="29"/>
          <w:szCs w:val="29"/>
          <w:spacing w:val="7"/>
          <w:position w:val="1"/>
        </w:rPr>
        <w:t>、</w:t>
      </w:r>
      <w:r>
        <w:rPr>
          <w:rFonts w:ascii="SimHei" w:hAnsi="SimHei" w:eastAsia="SimHei" w:cs="SimHei"/>
          <w:sz w:val="29"/>
          <w:szCs w:val="29"/>
          <w:spacing w:val="7"/>
          <w:position w:val="1"/>
        </w:rPr>
        <w:t>保洁</w:t>
      </w:r>
    </w:p>
    <w:p>
      <w:pPr>
        <w:pStyle w:val="BodyText"/>
        <w:ind w:right="439" w:firstLine="730"/>
        <w:spacing w:before="7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41" w:firstLine="730"/>
        <w:spacing w:before="15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570"/>
        <w:spacing w:before="185" w:line="222" w:lineRule="auto"/>
        <w:rPr>
          <w:rFonts w:ascii="SimHei" w:hAnsi="SimHei" w:eastAsia="SimHei" w:cs="SimHei"/>
          <w:sz w:val="29"/>
          <w:szCs w:val="29"/>
        </w:rPr>
      </w:pPr>
      <w:r>
        <w:rPr>
          <w:rFonts w:ascii="Arial" w:hAnsi="Arial" w:eastAsia="Arial" w:cs="Arial"/>
          <w:sz w:val="29"/>
          <w:szCs w:val="29"/>
          <w:spacing w:val="11"/>
        </w:rPr>
        <w:t>4</w:t>
      </w:r>
      <w:r>
        <w:rPr>
          <w:sz w:val="29"/>
          <w:szCs w:val="29"/>
          <w:spacing w:val="11"/>
        </w:rPr>
        <w:t>、</w:t>
      </w:r>
      <w:r>
        <w:rPr>
          <w:rFonts w:ascii="SimHei" w:hAnsi="SimHei" w:eastAsia="SimHei" w:cs="SimHei"/>
          <w:sz w:val="29"/>
          <w:szCs w:val="29"/>
          <w:spacing w:val="11"/>
        </w:rPr>
        <w:t>时花摆放</w:t>
      </w:r>
    </w:p>
    <w:p>
      <w:pPr>
        <w:pStyle w:val="BodyText"/>
        <w:ind w:right="702" w:firstLine="730"/>
        <w:spacing w:before="90" w:line="270" w:lineRule="auto"/>
        <w:rPr>
          <w:sz w:val="29"/>
          <w:szCs w:val="29"/>
        </w:rPr>
      </w:pPr>
      <w:r>
        <w:rPr>
          <w:sz w:val="29"/>
          <w:szCs w:val="29"/>
          <w:spacing w:val="-2"/>
        </w:rPr>
        <w:t>(1)月初提交时花或假花需求计划，选择亮色花卉，安排腊月20号左右进</w:t>
      </w:r>
      <w:r>
        <w:rPr>
          <w:sz w:val="29"/>
          <w:szCs w:val="29"/>
          <w:spacing w:val="4"/>
        </w:rPr>
        <w:t xml:space="preserve"> </w:t>
      </w:r>
      <w:r>
        <w:rPr>
          <w:sz w:val="29"/>
          <w:szCs w:val="29"/>
          <w:spacing w:val="-6"/>
        </w:rPr>
        <w:t>场；</w:t>
      </w:r>
    </w:p>
    <w:p>
      <w:pPr>
        <w:pStyle w:val="BodyText"/>
        <w:ind w:left="730"/>
        <w:spacing w:before="142" w:line="219" w:lineRule="auto"/>
        <w:rPr>
          <w:sz w:val="29"/>
          <w:szCs w:val="29"/>
        </w:rPr>
      </w:pPr>
      <w:r>
        <w:rPr>
          <w:sz w:val="29"/>
          <w:szCs w:val="29"/>
          <w:spacing w:val="6"/>
        </w:rPr>
        <w:t>(2)春假放假前将时花摆放完毕，注意摆放外侧避免黑色塑料盆出现。</w:t>
      </w:r>
    </w:p>
    <w:p>
      <w:pPr>
        <w:ind w:left="570"/>
        <w:spacing w:before="115" w:line="222" w:lineRule="auto"/>
        <w:rPr>
          <w:rFonts w:ascii="SimHei" w:hAnsi="SimHei" w:eastAsia="SimHei" w:cs="SimHei"/>
          <w:sz w:val="29"/>
          <w:szCs w:val="29"/>
        </w:rPr>
      </w:pPr>
      <w:r>
        <w:rPr>
          <w:rFonts w:ascii="SimHei" w:hAnsi="SimHei" w:eastAsia="SimHei" w:cs="SimHei"/>
          <w:sz w:val="29"/>
          <w:szCs w:val="29"/>
          <w:spacing w:val="-1"/>
        </w:rPr>
        <w:t>5、物资管理</w:t>
      </w:r>
    </w:p>
    <w:p>
      <w:pPr>
        <w:pStyle w:val="BodyText"/>
        <w:spacing w:before="154" w:line="219" w:lineRule="auto"/>
        <w:jc w:val="right"/>
        <w:rPr>
          <w:sz w:val="29"/>
          <w:szCs w:val="29"/>
        </w:rPr>
      </w:pPr>
      <w:r>
        <w:rPr>
          <w:sz w:val="29"/>
          <w:szCs w:val="29"/>
          <w:spacing w:val="2"/>
        </w:rPr>
        <w:t>库房物品整理，物料工具出入库及领用登记，注意保管汽油、农药等危险品。</w:t>
      </w:r>
    </w:p>
    <w:p>
      <w:pPr>
        <w:pStyle w:val="BodyText"/>
        <w:ind w:left="570"/>
        <w:spacing w:before="51" w:line="395" w:lineRule="exact"/>
        <w:rPr>
          <w:rFonts w:ascii="SimHei" w:hAnsi="SimHei" w:eastAsia="SimHei" w:cs="SimHei"/>
          <w:sz w:val="29"/>
          <w:szCs w:val="29"/>
        </w:rPr>
      </w:pPr>
      <w:r>
        <w:rPr>
          <w:rFonts w:ascii="Arial" w:hAnsi="Arial" w:eastAsia="Arial" w:cs="Arial"/>
          <w:sz w:val="29"/>
          <w:szCs w:val="29"/>
          <w:spacing w:val="11"/>
          <w:position w:val="1"/>
        </w:rPr>
        <w:t>6</w:t>
      </w:r>
      <w:r>
        <w:rPr>
          <w:sz w:val="29"/>
          <w:szCs w:val="29"/>
          <w:spacing w:val="11"/>
          <w:position w:val="1"/>
        </w:rPr>
        <w:t>、</w:t>
      </w:r>
      <w:r>
        <w:rPr>
          <w:rFonts w:ascii="SimHei" w:hAnsi="SimHei" w:eastAsia="SimHei" w:cs="SimHei"/>
          <w:sz w:val="29"/>
          <w:szCs w:val="29"/>
          <w:spacing w:val="11"/>
          <w:position w:val="1"/>
        </w:rPr>
        <w:t>防火防盗</w:t>
      </w:r>
    </w:p>
    <w:p>
      <w:pPr>
        <w:pStyle w:val="BodyText"/>
        <w:ind w:right="99" w:firstLine="570"/>
        <w:spacing w:before="148" w:line="311" w:lineRule="auto"/>
        <w:rPr>
          <w:sz w:val="29"/>
          <w:szCs w:val="29"/>
        </w:rPr>
      </w:pPr>
      <w:r>
        <w:rPr>
          <w:sz w:val="29"/>
          <w:szCs w:val="29"/>
          <w:spacing w:val="3"/>
        </w:rPr>
        <w:t>每天绿化工人在保洁的同时要注意行人随意丢弃烟头现</w:t>
      </w:r>
      <w:r>
        <w:rPr>
          <w:sz w:val="29"/>
          <w:szCs w:val="29"/>
          <w:spacing w:val="2"/>
        </w:rPr>
        <w:t>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1" w:lineRule="auto"/>
        <w:sectPr>
          <w:footerReference w:type="default" r:id="rId514"/>
          <w:pgSz w:w="14490" w:h="20470"/>
          <w:pgMar w:top="400" w:right="1835" w:bottom="1143" w:left="2150" w:header="0" w:footer="944" w:gutter="0"/>
        </w:sectPr>
        <w:rPr>
          <w:sz w:val="29"/>
          <w:szCs w:val="29"/>
        </w:rPr>
      </w:pPr>
    </w:p>
    <w:p>
      <w:pPr>
        <w:spacing w:line="287"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70"/>
        <w:spacing w:before="109" w:line="219" w:lineRule="auto"/>
        <w:rPr>
          <w:sz w:val="29"/>
          <w:szCs w:val="29"/>
        </w:rPr>
      </w:pPr>
      <w:r>
        <w:rPr>
          <w:sz w:val="29"/>
          <w:szCs w:val="29"/>
          <w:spacing w:val="5"/>
        </w:rPr>
        <w:t>气温多变，中下旬开始融雪，做好保洁工作。</w:t>
      </w:r>
    </w:p>
    <w:p>
      <w:pPr>
        <w:ind w:left="570"/>
        <w:spacing w:before="253" w:line="222" w:lineRule="auto"/>
        <w:rPr>
          <w:rFonts w:ascii="SimHei" w:hAnsi="SimHei" w:eastAsia="SimHei" w:cs="SimHei"/>
          <w:sz w:val="29"/>
          <w:szCs w:val="29"/>
        </w:rPr>
      </w:pPr>
      <w:r>
        <w:rPr>
          <w:rFonts w:ascii="SimHei" w:hAnsi="SimHei" w:eastAsia="SimHei" w:cs="SimHei"/>
          <w:sz w:val="29"/>
          <w:szCs w:val="29"/>
          <w:spacing w:val="-1"/>
        </w:rPr>
        <w:t>1、</w:t>
      </w:r>
      <w:r>
        <w:rPr>
          <w:rFonts w:ascii="SimHei" w:hAnsi="SimHei" w:eastAsia="SimHei" w:cs="SimHei"/>
          <w:sz w:val="29"/>
          <w:szCs w:val="29"/>
          <w:spacing w:val="-83"/>
        </w:rPr>
        <w:t xml:space="preserve"> </w:t>
      </w:r>
      <w:r>
        <w:rPr>
          <w:rFonts w:ascii="SimHei" w:hAnsi="SimHei" w:eastAsia="SimHei" w:cs="SimHei"/>
          <w:sz w:val="29"/>
          <w:szCs w:val="29"/>
          <w:spacing w:val="-1"/>
        </w:rPr>
        <w:t>现场检查</w:t>
      </w:r>
    </w:p>
    <w:p>
      <w:pPr>
        <w:pStyle w:val="BodyText"/>
        <w:ind w:left="730"/>
        <w:spacing w:before="153" w:line="219" w:lineRule="auto"/>
        <w:rPr>
          <w:sz w:val="29"/>
          <w:szCs w:val="29"/>
        </w:rPr>
      </w:pPr>
      <w:r>
        <w:rPr>
          <w:sz w:val="29"/>
          <w:szCs w:val="29"/>
          <w:spacing w:val="9"/>
        </w:rPr>
        <w:t>(1)及时检查乔木支撑情况，发现松动或缺失立即加固</w:t>
      </w:r>
    </w:p>
    <w:p>
      <w:pPr>
        <w:pStyle w:val="BodyText"/>
        <w:ind w:right="257" w:firstLine="730"/>
        <w:spacing w:before="154" w:line="266" w:lineRule="auto"/>
        <w:rPr>
          <w:sz w:val="29"/>
          <w:szCs w:val="29"/>
        </w:rPr>
      </w:pPr>
      <w:r>
        <w:rPr>
          <w:sz w:val="29"/>
          <w:szCs w:val="29"/>
          <w:spacing w:val="4"/>
        </w:rPr>
        <w:t>(2)采取循序渐进的方法拆除防寒，根据天气情况，可于3月中下旬在防寒</w:t>
      </w:r>
      <w:r>
        <w:rPr>
          <w:sz w:val="29"/>
          <w:szCs w:val="29"/>
        </w:rPr>
        <w:t xml:space="preserve"> </w:t>
      </w:r>
      <w:r>
        <w:rPr>
          <w:sz w:val="29"/>
          <w:szCs w:val="29"/>
          <w:spacing w:val="-6"/>
        </w:rPr>
        <w:t>障南侧通风透气，此后根据天气状况逐步拆除，4月初将防寒设施全部拆除。</w:t>
      </w:r>
    </w:p>
    <w:p>
      <w:pPr>
        <w:pStyle w:val="BodyText"/>
        <w:ind w:left="570"/>
        <w:spacing w:before="16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21" w:firstLine="570"/>
        <w:spacing w:before="125" w:line="308" w:lineRule="auto"/>
        <w:rPr>
          <w:sz w:val="29"/>
          <w:szCs w:val="29"/>
        </w:rPr>
      </w:pPr>
      <w:r>
        <w:rPr>
          <w:sz w:val="29"/>
          <w:szCs w:val="29"/>
          <w:spacing w:val="-10"/>
        </w:rPr>
        <w:t>以整形为主，可重剪；对苗木的折枝、断枝、枯死枝、内膛</w:t>
      </w:r>
      <w:r>
        <w:rPr>
          <w:sz w:val="29"/>
          <w:szCs w:val="29"/>
          <w:spacing w:val="-11"/>
        </w:rPr>
        <w:t>枝进行修剪并对苗</w:t>
      </w:r>
      <w:r>
        <w:rPr>
          <w:sz w:val="29"/>
          <w:szCs w:val="29"/>
        </w:rPr>
        <w:t xml:space="preserve"> </w:t>
      </w:r>
      <w:r>
        <w:rPr>
          <w:sz w:val="29"/>
          <w:szCs w:val="29"/>
          <w:spacing w:val="-3"/>
        </w:rPr>
        <w:t>木进行整形修剪，保证乔木树形优美。3月下旬全园区修剪一次。</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293" w:firstLine="570"/>
        <w:spacing w:before="106" w:line="315" w:lineRule="auto"/>
        <w:rPr>
          <w:sz w:val="29"/>
          <w:szCs w:val="29"/>
        </w:rPr>
      </w:pPr>
      <w:r>
        <w:rPr>
          <w:sz w:val="29"/>
          <w:szCs w:val="29"/>
          <w:spacing w:val="3"/>
        </w:rPr>
        <w:t>视土壤情况(土壤过干，且地温高于3度)中下旬开始对乔灌木及草坪地被进</w:t>
      </w:r>
      <w:r>
        <w:rPr>
          <w:sz w:val="29"/>
          <w:szCs w:val="29"/>
          <w:spacing w:val="12"/>
        </w:rPr>
        <w:t xml:space="preserve"> </w:t>
      </w:r>
      <w:r>
        <w:rPr>
          <w:sz w:val="29"/>
          <w:szCs w:val="29"/>
          <w:spacing w:val="1"/>
        </w:rPr>
        <w:t>行二次春灌，保证一次浇透，浇足。</w:t>
      </w:r>
    </w:p>
    <w:p>
      <w:pPr>
        <w:pStyle w:val="BodyText"/>
        <w:ind w:left="570"/>
        <w:spacing w:before="2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15" w:line="219" w:lineRule="auto"/>
        <w:rPr>
          <w:sz w:val="29"/>
          <w:szCs w:val="29"/>
        </w:rPr>
      </w:pPr>
      <w:r>
        <w:rPr>
          <w:sz w:val="29"/>
          <w:szCs w:val="29"/>
          <w:spacing w:val="8"/>
        </w:rPr>
        <w:t>(1)病害：根腐病、流胶病等；</w:t>
      </w:r>
    </w:p>
    <w:p>
      <w:pPr>
        <w:pStyle w:val="BodyText"/>
        <w:ind w:left="730"/>
        <w:spacing w:before="144" w:line="219" w:lineRule="auto"/>
        <w:rPr>
          <w:sz w:val="29"/>
          <w:szCs w:val="29"/>
        </w:rPr>
      </w:pPr>
      <w:r>
        <w:rPr>
          <w:sz w:val="29"/>
          <w:szCs w:val="29"/>
          <w:spacing w:val="7"/>
        </w:rPr>
        <w:t>(2)虫害：柏肤小蠹、铜绿丽金龟、小地老虎、大地老虎等。</w:t>
      </w:r>
    </w:p>
    <w:p>
      <w:pPr>
        <w:pStyle w:val="BodyText"/>
        <w:ind w:left="570"/>
        <w:spacing w:before="49"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54" w:line="271"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rPr>
        <w:t>池、灯杆、垃圾桶保持干净；</w:t>
      </w:r>
    </w:p>
    <w:p>
      <w:pPr>
        <w:pStyle w:val="BodyText"/>
        <w:ind w:right="313" w:firstLine="730"/>
        <w:spacing w:before="13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9"/>
        </w:rPr>
        <w:t>售展示区)进行彻底清理；</w:t>
      </w:r>
    </w:p>
    <w:p>
      <w:pPr>
        <w:pStyle w:val="BodyText"/>
        <w:ind w:right="241" w:firstLine="730"/>
        <w:spacing w:before="12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rPr>
        <w:t>雪融化后露出的垃圾、废弃物的全面全面清理。</w:t>
      </w:r>
    </w:p>
    <w:p>
      <w:pPr>
        <w:pStyle w:val="BodyText"/>
        <w:ind w:left="570"/>
        <w:spacing w:before="132" w:line="396"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ind w:right="321" w:firstLine="730"/>
        <w:spacing w:before="76" w:line="270" w:lineRule="auto"/>
        <w:rPr>
          <w:sz w:val="29"/>
          <w:szCs w:val="29"/>
        </w:rPr>
      </w:pPr>
      <w:r>
        <w:rPr>
          <w:sz w:val="29"/>
          <w:szCs w:val="29"/>
        </w:rPr>
        <w:t>(1)</w:t>
      </w:r>
      <w:r>
        <w:rPr>
          <w:sz w:val="29"/>
          <w:szCs w:val="29"/>
          <w:spacing w:val="72"/>
        </w:rPr>
        <w:t xml:space="preserve"> </w:t>
      </w:r>
      <w:r>
        <w:rPr>
          <w:sz w:val="29"/>
          <w:szCs w:val="29"/>
        </w:rPr>
        <w:t>库房物品整理，物料工具出入库及领用登记，注意保管汽油、农药等 </w:t>
      </w:r>
      <w:r>
        <w:rPr>
          <w:sz w:val="29"/>
          <w:szCs w:val="29"/>
          <w:spacing w:val="-7"/>
        </w:rPr>
        <w:t>危险品；</w:t>
      </w:r>
    </w:p>
    <w:p>
      <w:pPr>
        <w:pStyle w:val="BodyText"/>
        <w:ind w:right="319" w:firstLine="730"/>
        <w:spacing w:before="161" w:line="271" w:lineRule="auto"/>
        <w:rPr>
          <w:sz w:val="29"/>
          <w:szCs w:val="29"/>
        </w:rPr>
      </w:pPr>
      <w:r>
        <w:rPr>
          <w:sz w:val="29"/>
          <w:szCs w:val="29"/>
          <w:spacing w:val="2"/>
        </w:rPr>
        <w:t>(2)根据现场的实际情况，申请购置4、5、6月份的农药、化肥、营养剂及</w:t>
      </w:r>
      <w:r>
        <w:rPr>
          <w:sz w:val="29"/>
          <w:szCs w:val="29"/>
          <w:spacing w:val="4"/>
        </w:rPr>
        <w:t xml:space="preserve"> </w:t>
      </w:r>
      <w:r>
        <w:rPr>
          <w:sz w:val="29"/>
          <w:szCs w:val="29"/>
          <w:spacing w:val="-3"/>
        </w:rPr>
        <w:t>其它物资。</w:t>
      </w:r>
    </w:p>
    <w:p>
      <w:pPr>
        <w:pStyle w:val="BodyText"/>
        <w:ind w:left="570"/>
        <w:spacing w:before="188"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firstLine="570"/>
        <w:spacing w:before="8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107"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570"/>
        <w:spacing w:before="97" w:line="219" w:lineRule="auto"/>
        <w:rPr>
          <w:sz w:val="29"/>
          <w:szCs w:val="29"/>
        </w:rPr>
      </w:pPr>
      <w:r>
        <w:rPr>
          <w:sz w:val="29"/>
          <w:szCs w:val="29"/>
          <w:spacing w:val="4"/>
        </w:rPr>
        <w:t>冰雪基本融化，气温基本稳定，注意返青水的浇灌与病虫害防治。</w:t>
      </w:r>
    </w:p>
    <w:p>
      <w:pPr>
        <w:spacing w:line="219" w:lineRule="auto"/>
        <w:sectPr>
          <w:footerReference w:type="default" r:id="rId515"/>
          <w:pgSz w:w="14490" w:h="20470"/>
          <w:pgMar w:top="400" w:right="1935" w:bottom="1143" w:left="2150" w:header="0" w:footer="944" w:gutter="0"/>
        </w:sectPr>
        <w:rPr>
          <w:sz w:val="29"/>
          <w:szCs w:val="29"/>
        </w:rPr>
      </w:pP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left="570"/>
        <w:spacing w:before="94" w:line="222" w:lineRule="auto"/>
        <w:rPr>
          <w:rFonts w:ascii="SimHei" w:hAnsi="SimHei" w:eastAsia="SimHei" w:cs="SimHei"/>
          <w:sz w:val="29"/>
          <w:szCs w:val="29"/>
        </w:rPr>
      </w:pPr>
      <w:r>
        <w:rPr>
          <w:rFonts w:ascii="Arial" w:hAnsi="Arial" w:eastAsia="Arial" w:cs="Arial"/>
          <w:sz w:val="29"/>
          <w:szCs w:val="29"/>
          <w:spacing w:val="-4"/>
        </w:rPr>
        <w:t>1</w:t>
      </w:r>
      <w:r>
        <w:rPr>
          <w:sz w:val="29"/>
          <w:szCs w:val="29"/>
          <w:spacing w:val="-4"/>
        </w:rPr>
        <w:t>、</w:t>
      </w:r>
      <w:r>
        <w:rPr>
          <w:rFonts w:ascii="SimHei" w:hAnsi="SimHei" w:eastAsia="SimHei" w:cs="SimHei"/>
          <w:sz w:val="29"/>
          <w:szCs w:val="29"/>
          <w:spacing w:val="-4"/>
        </w:rPr>
        <w:t>现场检查</w:t>
      </w:r>
    </w:p>
    <w:p>
      <w:pPr>
        <w:pStyle w:val="BodyText"/>
        <w:ind w:left="730"/>
        <w:spacing w:before="100" w:line="217" w:lineRule="auto"/>
        <w:rPr>
          <w:sz w:val="29"/>
          <w:szCs w:val="29"/>
        </w:rPr>
      </w:pPr>
      <w:r>
        <w:rPr>
          <w:sz w:val="29"/>
          <w:szCs w:val="29"/>
          <w:spacing w:val="-12"/>
        </w:rPr>
        <w:t>①</w:t>
      </w:r>
      <w:r>
        <w:rPr>
          <w:sz w:val="29"/>
          <w:szCs w:val="29"/>
          <w:spacing w:val="41"/>
        </w:rPr>
        <w:t xml:space="preserve">  </w:t>
      </w:r>
      <w:r>
        <w:rPr>
          <w:sz w:val="29"/>
          <w:szCs w:val="29"/>
          <w:spacing w:val="-12"/>
        </w:rPr>
        <w:t>本月4级以上大风多发，注意检查苗木支撑，如有松动及时</w:t>
      </w:r>
      <w:r>
        <w:rPr>
          <w:sz w:val="29"/>
          <w:szCs w:val="29"/>
          <w:spacing w:val="-13"/>
        </w:rPr>
        <w:t>加固；</w:t>
      </w:r>
    </w:p>
    <w:p>
      <w:pPr>
        <w:pStyle w:val="BodyText"/>
        <w:ind w:left="730"/>
        <w:spacing w:before="159" w:line="217" w:lineRule="auto"/>
        <w:rPr>
          <w:sz w:val="29"/>
          <w:szCs w:val="29"/>
        </w:rPr>
      </w:pPr>
      <w:r>
        <w:rPr>
          <w:sz w:val="29"/>
          <w:szCs w:val="29"/>
          <w:spacing w:val="2"/>
        </w:rPr>
        <w:t>②  要及时发现下沉严重的地形，提早处理，避免</w:t>
      </w:r>
      <w:r>
        <w:rPr>
          <w:sz w:val="29"/>
          <w:szCs w:val="29"/>
          <w:spacing w:val="1"/>
        </w:rPr>
        <w:t>影响景观效果。</w:t>
      </w:r>
    </w:p>
    <w:p>
      <w:pPr>
        <w:pStyle w:val="BodyText"/>
        <w:ind w:left="570"/>
        <w:spacing w:before="129" w:line="221" w:lineRule="auto"/>
        <w:rPr>
          <w:rFonts w:ascii="SimHei" w:hAnsi="SimHei" w:eastAsia="SimHei" w:cs="SimHei"/>
          <w:sz w:val="27"/>
          <w:szCs w:val="27"/>
        </w:rPr>
      </w:pPr>
      <w:r>
        <w:rPr>
          <w:rFonts w:ascii="Arial" w:hAnsi="Arial" w:eastAsia="Arial" w:cs="Arial"/>
          <w:sz w:val="27"/>
          <w:szCs w:val="27"/>
          <w:spacing w:val="13"/>
        </w:rPr>
        <w:t>2</w:t>
      </w:r>
      <w:r>
        <w:rPr>
          <w:sz w:val="27"/>
          <w:szCs w:val="27"/>
          <w:spacing w:val="13"/>
        </w:rPr>
        <w:t>、</w:t>
      </w:r>
      <w:r>
        <w:rPr>
          <w:rFonts w:ascii="SimHei" w:hAnsi="SimHei" w:eastAsia="SimHei" w:cs="SimHei"/>
          <w:sz w:val="27"/>
          <w:szCs w:val="27"/>
          <w:spacing w:val="13"/>
        </w:rPr>
        <w:t>修剪</w:t>
      </w:r>
    </w:p>
    <w:p>
      <w:pPr>
        <w:pStyle w:val="BodyText"/>
        <w:ind w:left="730"/>
        <w:spacing w:before="158" w:line="219" w:lineRule="auto"/>
        <w:rPr>
          <w:sz w:val="29"/>
          <w:szCs w:val="29"/>
        </w:rPr>
      </w:pPr>
      <w:r>
        <w:rPr>
          <w:sz w:val="29"/>
          <w:szCs w:val="29"/>
          <w:spacing w:val="6"/>
        </w:rPr>
        <w:t>(1)4月下旬，气温基本稳定后，以调整树势为主，</w:t>
      </w:r>
      <w:r>
        <w:rPr>
          <w:sz w:val="29"/>
          <w:szCs w:val="29"/>
          <w:spacing w:val="5"/>
        </w:rPr>
        <w:t>宜轻剪；</w:t>
      </w:r>
    </w:p>
    <w:p>
      <w:pPr>
        <w:pStyle w:val="BodyText"/>
        <w:ind w:right="156" w:firstLine="730"/>
        <w:spacing w:before="135" w:line="279" w:lineRule="auto"/>
        <w:rPr>
          <w:sz w:val="29"/>
          <w:szCs w:val="29"/>
        </w:rPr>
      </w:pPr>
      <w:r>
        <w:rPr>
          <w:sz w:val="29"/>
          <w:szCs w:val="29"/>
          <w:spacing w:val="9"/>
        </w:rPr>
        <w:t>(2)对苗木的内膛枝、徒长枝、平行枝、下垂枝、</w:t>
      </w:r>
      <w:r>
        <w:rPr>
          <w:sz w:val="29"/>
          <w:szCs w:val="29"/>
          <w:spacing w:val="8"/>
        </w:rPr>
        <w:t>病虫枝、萌蘖枝等修剪</w:t>
      </w:r>
      <w:r>
        <w:rPr>
          <w:sz w:val="29"/>
          <w:szCs w:val="29"/>
        </w:rPr>
        <w:t xml:space="preserve"> </w:t>
      </w:r>
      <w:r>
        <w:rPr>
          <w:sz w:val="29"/>
          <w:szCs w:val="29"/>
          <w:spacing w:val="-8"/>
        </w:rPr>
        <w:t>到位，并要做到剪口平滑，对于较大的剪口要进行防腐处理。对于过于粗壮的大枝</w:t>
      </w:r>
      <w:r>
        <w:rPr>
          <w:sz w:val="29"/>
          <w:szCs w:val="29"/>
          <w:spacing w:val="2"/>
        </w:rPr>
        <w:t xml:space="preserve"> </w:t>
      </w:r>
      <w:r>
        <w:rPr>
          <w:sz w:val="29"/>
          <w:szCs w:val="29"/>
        </w:rPr>
        <w:t>应采取分段截枝法，以免撕裂树干；</w:t>
      </w:r>
    </w:p>
    <w:p>
      <w:pPr>
        <w:pStyle w:val="BodyText"/>
        <w:ind w:right="248" w:firstLine="730"/>
        <w:spacing w:before="167" w:line="265" w:lineRule="auto"/>
        <w:rPr>
          <w:sz w:val="29"/>
          <w:szCs w:val="29"/>
        </w:rPr>
      </w:pPr>
      <w:r>
        <w:rPr>
          <w:sz w:val="29"/>
          <w:szCs w:val="29"/>
          <w:spacing w:val="6"/>
        </w:rPr>
        <w:t>(3)对于生长过量需要回缩的灌木、绿篱与地被小灌木在新芽刚开始膨大</w:t>
      </w:r>
      <w:r>
        <w:rPr>
          <w:sz w:val="29"/>
          <w:szCs w:val="29"/>
        </w:rPr>
        <w:t xml:space="preserve"> </w:t>
      </w:r>
      <w:r>
        <w:rPr>
          <w:sz w:val="29"/>
          <w:szCs w:val="29"/>
          <w:spacing w:val="-2"/>
        </w:rPr>
        <w:t>时一次性回缩到位。</w:t>
      </w:r>
    </w:p>
    <w:p>
      <w:pPr>
        <w:pStyle w:val="BodyText"/>
        <w:ind w:left="570"/>
        <w:spacing w:before="134"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firstLine="730"/>
        <w:spacing w:before="105" w:line="311" w:lineRule="auto"/>
        <w:rPr>
          <w:sz w:val="29"/>
          <w:szCs w:val="29"/>
        </w:rPr>
      </w:pPr>
      <w:r>
        <w:rPr>
          <w:sz w:val="29"/>
          <w:szCs w:val="29"/>
          <w:spacing w:val="-8"/>
        </w:rPr>
        <w:t>①   浇返青水：一般浇返青水的时间应在地温超过3度，最好达</w:t>
      </w:r>
      <w:r>
        <w:rPr>
          <w:sz w:val="29"/>
          <w:szCs w:val="29"/>
          <w:spacing w:val="-9"/>
        </w:rPr>
        <w:t>到5度以后才</w:t>
      </w:r>
      <w:r>
        <w:rPr>
          <w:sz w:val="29"/>
          <w:szCs w:val="29"/>
        </w:rPr>
        <w:t xml:space="preserve">  </w:t>
      </w:r>
      <w:r>
        <w:rPr>
          <w:sz w:val="29"/>
          <w:szCs w:val="29"/>
          <w:spacing w:val="-11"/>
        </w:rPr>
        <w:t>能进行，总之浇水的时间要因地制宜，视土壤和天气情</w:t>
      </w:r>
      <w:r>
        <w:rPr>
          <w:sz w:val="29"/>
          <w:szCs w:val="29"/>
          <w:spacing w:val="-12"/>
        </w:rPr>
        <w:t>况而定。不论乔木、灌木返青</w:t>
      </w:r>
      <w:r>
        <w:rPr>
          <w:sz w:val="29"/>
          <w:szCs w:val="29"/>
        </w:rPr>
        <w:t xml:space="preserve"> </w:t>
      </w:r>
      <w:r>
        <w:rPr>
          <w:sz w:val="29"/>
          <w:szCs w:val="29"/>
          <w:spacing w:val="-19"/>
        </w:rPr>
        <w:t>水1次要浇足浇透，这样有利于苗木根系向下生长，切不可水过地</w:t>
      </w:r>
      <w:r>
        <w:rPr>
          <w:sz w:val="29"/>
          <w:szCs w:val="29"/>
          <w:spacing w:val="-20"/>
        </w:rPr>
        <w:t>皮湿，</w:t>
      </w:r>
    </w:p>
    <w:p>
      <w:pPr>
        <w:pStyle w:val="BodyText"/>
        <w:ind w:right="173"/>
        <w:spacing w:before="24" w:line="314" w:lineRule="auto"/>
        <w:jc w:val="both"/>
        <w:rPr>
          <w:sz w:val="29"/>
          <w:szCs w:val="29"/>
        </w:rPr>
      </w:pPr>
      <w:r>
        <w:rPr>
          <w:sz w:val="29"/>
          <w:szCs w:val="29"/>
          <w:spacing w:val="-5"/>
        </w:rPr>
        <w:t>引起土壤返碱。一般苗木在春季需浇2-3次水。关键是第一次的返青水，适宜</w:t>
      </w:r>
      <w:r>
        <w:rPr>
          <w:sz w:val="29"/>
          <w:szCs w:val="29"/>
          <w:spacing w:val="-6"/>
        </w:rPr>
        <w:t>的返</w:t>
      </w:r>
      <w:r>
        <w:rPr>
          <w:sz w:val="29"/>
          <w:szCs w:val="29"/>
        </w:rPr>
        <w:t xml:space="preserve"> </w:t>
      </w:r>
      <w:r>
        <w:rPr>
          <w:sz w:val="29"/>
          <w:szCs w:val="29"/>
        </w:rPr>
        <w:t>青水可以有效降低地温，延缓苗木发芽，以免遭受</w:t>
      </w:r>
      <w:r>
        <w:rPr>
          <w:sz w:val="29"/>
          <w:szCs w:val="29"/>
          <w:spacing w:val="-1"/>
        </w:rPr>
        <w:t>晚霜和倒春寒的危害。如果浇</w:t>
      </w:r>
      <w:r>
        <w:rPr>
          <w:sz w:val="29"/>
          <w:szCs w:val="29"/>
        </w:rPr>
        <w:t xml:space="preserve"> </w:t>
      </w:r>
      <w:r>
        <w:rPr>
          <w:sz w:val="29"/>
          <w:szCs w:val="29"/>
          <w:spacing w:val="-6"/>
        </w:rPr>
        <w:t>水过晚，则起不到防寒、防冻的作用。在4月上旬完毕；</w:t>
      </w:r>
    </w:p>
    <w:p>
      <w:pPr>
        <w:pStyle w:val="BodyText"/>
        <w:ind w:left="730"/>
        <w:spacing w:before="2" w:line="219" w:lineRule="auto"/>
        <w:rPr>
          <w:sz w:val="29"/>
          <w:szCs w:val="29"/>
        </w:rPr>
      </w:pPr>
      <w:r>
        <w:rPr>
          <w:rFonts w:ascii="Times New Roman" w:hAnsi="Times New Roman" w:eastAsia="Times New Roman" w:cs="Times New Roman"/>
          <w:sz w:val="29"/>
          <w:szCs w:val="29"/>
          <w:spacing w:val="3"/>
        </w:rPr>
        <w:t>0      </w:t>
      </w:r>
      <w:r>
        <w:rPr>
          <w:sz w:val="29"/>
          <w:szCs w:val="29"/>
          <w:spacing w:val="3"/>
        </w:rPr>
        <w:t>根据天气情况进行浇水，为使绿地早日返青，草坪</w:t>
      </w:r>
      <w:r>
        <w:rPr>
          <w:sz w:val="29"/>
          <w:szCs w:val="29"/>
          <w:spacing w:val="2"/>
        </w:rPr>
        <w:t>每周浇水一次。为</w:t>
      </w:r>
    </w:p>
    <w:p>
      <w:pPr>
        <w:pStyle w:val="BodyText"/>
        <w:ind w:right="866"/>
        <w:spacing w:before="147" w:line="308" w:lineRule="auto"/>
        <w:rPr>
          <w:sz w:val="29"/>
          <w:szCs w:val="29"/>
        </w:rPr>
      </w:pPr>
      <w:r>
        <w:rPr>
          <w:sz w:val="29"/>
          <w:szCs w:val="29"/>
          <w:spacing w:val="-8"/>
        </w:rPr>
        <w:t>了使苗木早日发芽返青，在4月下旬，连浇两遍透水，时间可安排在上午10点</w:t>
      </w:r>
      <w:r>
        <w:rPr>
          <w:sz w:val="29"/>
          <w:szCs w:val="29"/>
          <w:spacing w:val="9"/>
        </w:rPr>
        <w:t xml:space="preserve"> </w:t>
      </w:r>
      <w:r>
        <w:rPr>
          <w:sz w:val="29"/>
          <w:szCs w:val="29"/>
          <w:spacing w:val="-1"/>
        </w:rPr>
        <w:t>至下午4点之间，有利于土壤渗水吸收；</w:t>
      </w:r>
    </w:p>
    <w:p>
      <w:pPr>
        <w:pStyle w:val="BodyText"/>
        <w:ind w:right="247" w:firstLine="730"/>
        <w:spacing w:before="1" w:line="281" w:lineRule="auto"/>
        <w:rPr>
          <w:sz w:val="29"/>
          <w:szCs w:val="29"/>
        </w:rPr>
      </w:pPr>
      <w:r>
        <w:rPr>
          <w:sz w:val="29"/>
          <w:szCs w:val="29"/>
          <w:spacing w:val="-3"/>
        </w:rPr>
        <w:t>3   本月中旬或下旬养护期超过3年的黑土地及沙土地或黄土地，全园施</w:t>
      </w:r>
      <w:r>
        <w:rPr>
          <w:sz w:val="29"/>
          <w:szCs w:val="29"/>
          <w:spacing w:val="3"/>
        </w:rPr>
        <w:t xml:space="preserve">   </w:t>
      </w:r>
      <w:r>
        <w:rPr>
          <w:sz w:val="29"/>
          <w:szCs w:val="29"/>
          <w:spacing w:val="9"/>
        </w:rPr>
        <w:t>1次有机复合肥(有机质45%)养护期不足3年的黑土地施有益菌类生物肥一次，</w:t>
      </w:r>
      <w:r>
        <w:rPr>
          <w:sz w:val="29"/>
          <w:szCs w:val="29"/>
          <w:spacing w:val="15"/>
        </w:rPr>
        <w:t xml:space="preserve"> </w:t>
      </w:r>
      <w:r>
        <w:rPr>
          <w:sz w:val="29"/>
          <w:szCs w:val="29"/>
        </w:rPr>
        <w:t>土质过于粘重的黑土地施松土肥一次。</w:t>
      </w:r>
    </w:p>
    <w:p>
      <w:pPr>
        <w:pStyle w:val="BodyText"/>
        <w:ind w:left="570"/>
        <w:spacing w:before="195"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730"/>
        <w:spacing w:before="96" w:line="219" w:lineRule="auto"/>
        <w:rPr>
          <w:sz w:val="29"/>
          <w:szCs w:val="29"/>
        </w:rPr>
      </w:pPr>
      <w:r>
        <w:rPr>
          <w:sz w:val="29"/>
          <w:szCs w:val="29"/>
          <w:spacing w:val="5"/>
        </w:rPr>
        <w:t>(1)病害：炭疽病、叶斑类病害、锈病、根腐病、流胶病等；</w:t>
      </w:r>
    </w:p>
    <w:p>
      <w:pPr>
        <w:pStyle w:val="BodyText"/>
        <w:ind w:right="237" w:firstLine="730"/>
        <w:spacing w:before="143" w:line="272" w:lineRule="auto"/>
        <w:rPr>
          <w:sz w:val="29"/>
          <w:szCs w:val="29"/>
        </w:rPr>
      </w:pPr>
      <w:r>
        <w:rPr>
          <w:sz w:val="29"/>
          <w:szCs w:val="29"/>
          <w:spacing w:val="6"/>
        </w:rPr>
        <w:t>(2)虫害：大青叶蝉、桃瘤蚜、桔绿粉虱、芳香木蠹蛾、白杨透翅蛾、柏</w:t>
      </w:r>
      <w:r>
        <w:rPr>
          <w:sz w:val="29"/>
          <w:szCs w:val="29"/>
          <w:spacing w:val="10"/>
        </w:rPr>
        <w:t xml:space="preserve"> </w:t>
      </w:r>
      <w:r>
        <w:rPr>
          <w:sz w:val="29"/>
          <w:szCs w:val="29"/>
          <w:spacing w:val="-22"/>
        </w:rPr>
        <w:t>肤小蠹、铜绿丽金龟、小地老虎、大地老虎、细胸金针</w:t>
      </w:r>
      <w:r>
        <w:rPr>
          <w:sz w:val="29"/>
          <w:szCs w:val="29"/>
          <w:spacing w:val="-23"/>
        </w:rPr>
        <w:t>虫、柳毒蛾、柳蓝叶甲等。</w:t>
      </w:r>
    </w:p>
    <w:p>
      <w:pPr>
        <w:pStyle w:val="BodyText"/>
        <w:ind w:left="570"/>
        <w:spacing w:before="11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246" w:firstLine="730"/>
        <w:spacing w:before="123" w:line="259"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240" w:firstLine="730"/>
        <w:spacing w:before="157" w:line="26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1"/>
        </w:rPr>
        <w:t>售展示区)进行彻底清理；</w:t>
      </w:r>
    </w:p>
    <w:p>
      <w:pPr>
        <w:pStyle w:val="BodyText"/>
        <w:ind w:left="730"/>
        <w:spacing w:before="136" w:line="219" w:lineRule="auto"/>
        <w:rPr>
          <w:sz w:val="29"/>
          <w:szCs w:val="29"/>
        </w:rPr>
      </w:pPr>
      <w:r>
        <w:rPr>
          <w:sz w:val="29"/>
          <w:szCs w:val="29"/>
          <w:spacing w:val="6"/>
        </w:rPr>
        <w:t>(3)随着冰雪消融逐步清理湖底淤泥、落叶等垃圾，为注水前做准备。</w:t>
      </w:r>
    </w:p>
    <w:p>
      <w:pPr>
        <w:ind w:left="570"/>
        <w:spacing w:before="115" w:line="222" w:lineRule="auto"/>
        <w:rPr>
          <w:rFonts w:ascii="SimHei" w:hAnsi="SimHei" w:eastAsia="SimHei" w:cs="SimHei"/>
          <w:sz w:val="29"/>
          <w:szCs w:val="29"/>
        </w:rPr>
      </w:pPr>
      <w:r>
        <w:rPr>
          <w:rFonts w:ascii="SimHei" w:hAnsi="SimHei" w:eastAsia="SimHei" w:cs="SimHei"/>
          <w:sz w:val="29"/>
          <w:szCs w:val="29"/>
          <w:spacing w:val="9"/>
        </w:rPr>
        <w:t>6、时花摆放</w:t>
      </w:r>
    </w:p>
    <w:p>
      <w:pPr>
        <w:spacing w:line="222" w:lineRule="auto"/>
        <w:sectPr>
          <w:footerReference w:type="default" r:id="rId516"/>
          <w:pgSz w:w="14490" w:h="20470"/>
          <w:pgMar w:top="400" w:right="2028" w:bottom="1157" w:left="2150" w:header="0" w:footer="940"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730"/>
        <w:spacing w:before="94"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23"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2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7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263" w:firstLine="600"/>
        <w:spacing w:before="139" w:line="309" w:lineRule="auto"/>
        <w:rPr>
          <w:sz w:val="29"/>
          <w:szCs w:val="29"/>
        </w:rPr>
      </w:pPr>
      <w:r>
        <w:rPr>
          <w:sz w:val="29"/>
          <w:szCs w:val="29"/>
          <w:spacing w:val="2"/>
        </w:rPr>
        <w:t>每天绿化工人在保洁的同时要注意行人随意丢弃烟头现象，并对其进行防火</w:t>
      </w:r>
      <w:r>
        <w:rPr>
          <w:sz w:val="29"/>
          <w:szCs w:val="29"/>
          <w:spacing w:val="14"/>
        </w:rPr>
        <w:t xml:space="preserve"> </w:t>
      </w:r>
      <w:r>
        <w:rPr>
          <w:sz w:val="29"/>
          <w:szCs w:val="29"/>
          <w:spacing w:val="2"/>
        </w:rPr>
        <w:t>教育，加强防火意识；及时清扫落叶、树挂，消除火灾隐患；注意库房的防火、</w:t>
      </w:r>
      <w:r>
        <w:rPr>
          <w:sz w:val="29"/>
          <w:szCs w:val="29"/>
          <w:spacing w:val="4"/>
        </w:rPr>
        <w:t xml:space="preserve"> </w:t>
      </w:r>
      <w:r>
        <w:rPr>
          <w:sz w:val="29"/>
          <w:szCs w:val="29"/>
          <w:spacing w:val="-5"/>
        </w:rPr>
        <w:t>防盗情况。</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4"/>
          <w:position w:val="1"/>
        </w:rPr>
        <w:t>9</w:t>
      </w:r>
      <w:r>
        <w:rPr>
          <w:sz w:val="29"/>
          <w:szCs w:val="29"/>
          <w:spacing w:val="4"/>
          <w:position w:val="1"/>
        </w:rPr>
        <w:t>、</w:t>
      </w:r>
      <w:r>
        <w:rPr>
          <w:rFonts w:ascii="SimHei" w:hAnsi="SimHei" w:eastAsia="SimHei" w:cs="SimHei"/>
          <w:sz w:val="29"/>
          <w:szCs w:val="29"/>
          <w:spacing w:val="4"/>
          <w:position w:val="1"/>
        </w:rPr>
        <w:t>防寒设施拆除</w:t>
      </w:r>
    </w:p>
    <w:p>
      <w:pPr>
        <w:pStyle w:val="BodyText"/>
        <w:ind w:right="382" w:firstLine="600"/>
        <w:spacing w:before="127" w:line="345" w:lineRule="auto"/>
        <w:rPr>
          <w:rFonts w:ascii="SimHei" w:hAnsi="SimHei" w:eastAsia="SimHei" w:cs="SimHei"/>
          <w:sz w:val="32"/>
          <w:szCs w:val="32"/>
        </w:rPr>
      </w:pPr>
      <w:r>
        <w:rPr>
          <w:sz w:val="29"/>
          <w:szCs w:val="29"/>
          <w:spacing w:val="-5"/>
        </w:rPr>
        <w:t>树体缠草绳的可待苗木萌芽时去除，将腐烂发霉草绳集中焚烧，销毁草绳中</w:t>
      </w:r>
      <w:r>
        <w:rPr>
          <w:sz w:val="29"/>
          <w:szCs w:val="29"/>
          <w:spacing w:val="15"/>
        </w:rPr>
        <w:t xml:space="preserve"> </w:t>
      </w:r>
      <w:r>
        <w:rPr>
          <w:sz w:val="29"/>
          <w:szCs w:val="29"/>
          <w:spacing w:val="-5"/>
        </w:rPr>
        <w:t>的虫卵。根据天气情况，一般在4月初将花灌木、地被的防寒设施全部拆除。</w:t>
      </w:r>
      <w:r>
        <w:rPr>
          <w:rFonts w:ascii="SimHei" w:hAnsi="SimHei" w:eastAsia="SimHei" w:cs="SimHei"/>
          <w:sz w:val="29"/>
          <w:szCs w:val="29"/>
          <w:spacing w:val="-5"/>
        </w:rPr>
        <w:t>五月</w:t>
      </w:r>
      <w:r>
        <w:rPr>
          <w:rFonts w:ascii="SimHei" w:hAnsi="SimHei" w:eastAsia="SimHei" w:cs="SimHei"/>
          <w:sz w:val="29"/>
          <w:szCs w:val="29"/>
          <w:spacing w:val="16"/>
        </w:rPr>
        <w:t xml:space="preserve"> </w:t>
      </w:r>
      <w:r>
        <w:rPr>
          <w:rFonts w:ascii="SimHei" w:hAnsi="SimHei" w:eastAsia="SimHei" w:cs="SimHei"/>
          <w:sz w:val="32"/>
          <w:szCs w:val="32"/>
        </w:rPr>
        <w:t>份</w:t>
      </w:r>
    </w:p>
    <w:p>
      <w:pPr>
        <w:pStyle w:val="BodyText"/>
        <w:ind w:left="600"/>
        <w:spacing w:line="219" w:lineRule="auto"/>
        <w:rPr>
          <w:sz w:val="29"/>
          <w:szCs w:val="29"/>
        </w:rPr>
      </w:pPr>
      <w:r>
        <w:rPr>
          <w:sz w:val="29"/>
          <w:szCs w:val="29"/>
          <w:spacing w:val="4"/>
        </w:rPr>
        <w:t>气温急骤上升，树木生长迅速，有大风天气，注意防风预警。</w:t>
      </w:r>
    </w:p>
    <w:p>
      <w:pPr>
        <w:pStyle w:val="BodyText"/>
        <w:ind w:left="600"/>
        <w:spacing w:before="22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64" w:line="219" w:lineRule="auto"/>
        <w:rPr>
          <w:sz w:val="29"/>
          <w:szCs w:val="29"/>
        </w:rPr>
      </w:pPr>
      <w:r>
        <w:rPr>
          <w:sz w:val="29"/>
          <w:szCs w:val="29"/>
          <w:spacing w:val="6"/>
        </w:rPr>
        <w:t>(1)及时检查乔木支撑情况，发现松动或缺失立即加固；</w:t>
      </w:r>
    </w:p>
    <w:p>
      <w:pPr>
        <w:pStyle w:val="BodyText"/>
        <w:ind w:right="457" w:firstLine="730"/>
        <w:spacing w:before="135" w:line="269" w:lineRule="auto"/>
        <w:rPr>
          <w:sz w:val="29"/>
          <w:szCs w:val="29"/>
        </w:rPr>
      </w:pPr>
      <w:r>
        <w:rPr>
          <w:sz w:val="29"/>
          <w:szCs w:val="29"/>
          <w:spacing w:val="6"/>
        </w:rPr>
        <w:t>(2)草坪管理：重点是覆盖率，返青不好的，如斑秃或者</w:t>
      </w:r>
      <w:r>
        <w:rPr>
          <w:sz w:val="29"/>
          <w:szCs w:val="29"/>
          <w:spacing w:val="5"/>
        </w:rPr>
        <w:t>病虫害区域及时</w:t>
      </w:r>
      <w:r>
        <w:rPr>
          <w:sz w:val="29"/>
          <w:szCs w:val="29"/>
        </w:rPr>
        <w:t xml:space="preserve"> </w:t>
      </w:r>
      <w:r>
        <w:rPr>
          <w:sz w:val="29"/>
          <w:szCs w:val="29"/>
          <w:spacing w:val="-3"/>
        </w:rPr>
        <w:t>消杀病虫害或更换草皮；</w:t>
      </w:r>
    </w:p>
    <w:p>
      <w:pPr>
        <w:pStyle w:val="BodyText"/>
        <w:ind w:right="464" w:firstLine="730"/>
        <w:spacing w:before="144" w:line="266" w:lineRule="auto"/>
        <w:rPr>
          <w:sz w:val="29"/>
          <w:szCs w:val="29"/>
        </w:rPr>
      </w:pPr>
      <w:r>
        <w:rPr>
          <w:sz w:val="29"/>
          <w:szCs w:val="29"/>
          <w:spacing w:val="6"/>
        </w:rPr>
        <w:t>(3)贵重乔木：大门口及其他区域的造型</w:t>
      </w:r>
      <w:r>
        <w:rPr>
          <w:sz w:val="29"/>
          <w:szCs w:val="29"/>
          <w:spacing w:val="5"/>
        </w:rPr>
        <w:t>树注意病虫害防治和修剪，保持</w:t>
      </w:r>
      <w:r>
        <w:rPr>
          <w:sz w:val="29"/>
          <w:szCs w:val="29"/>
        </w:rPr>
        <w:t xml:space="preserve"> </w:t>
      </w:r>
      <w:r>
        <w:rPr>
          <w:sz w:val="29"/>
          <w:szCs w:val="29"/>
          <w:spacing w:val="-2"/>
        </w:rPr>
        <w:t>树形。</w:t>
      </w:r>
    </w:p>
    <w:p>
      <w:pPr>
        <w:pStyle w:val="BodyText"/>
        <w:ind w:left="600"/>
        <w:spacing w:before="18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421" w:firstLine="730"/>
        <w:spacing w:before="85" w:line="272" w:lineRule="auto"/>
        <w:rPr>
          <w:sz w:val="29"/>
          <w:szCs w:val="29"/>
        </w:rPr>
      </w:pPr>
      <w:r>
        <w:rPr>
          <w:sz w:val="29"/>
          <w:szCs w:val="29"/>
          <w:spacing w:val="7"/>
        </w:rPr>
        <w:t>(1)对园区干枯枝、萌蘖枝进行清除，对开花灌木进行花后修剪</w:t>
      </w:r>
      <w:r>
        <w:rPr>
          <w:sz w:val="29"/>
          <w:szCs w:val="29"/>
          <w:spacing w:val="6"/>
        </w:rPr>
        <w:t>、对乔木</w:t>
      </w:r>
      <w:r>
        <w:rPr>
          <w:sz w:val="29"/>
          <w:szCs w:val="29"/>
        </w:rPr>
        <w:t xml:space="preserve"> </w:t>
      </w:r>
      <w:r>
        <w:rPr>
          <w:sz w:val="29"/>
          <w:szCs w:val="29"/>
          <w:spacing w:val="-1"/>
        </w:rPr>
        <w:t>进行适当修剪，除萌蘖；</w:t>
      </w:r>
    </w:p>
    <w:p>
      <w:pPr>
        <w:pStyle w:val="BodyText"/>
        <w:ind w:right="461" w:firstLine="730"/>
        <w:spacing w:before="134" w:line="275" w:lineRule="auto"/>
        <w:rPr>
          <w:sz w:val="29"/>
          <w:szCs w:val="29"/>
        </w:rPr>
      </w:pPr>
      <w:r>
        <w:rPr>
          <w:sz w:val="29"/>
          <w:szCs w:val="29"/>
          <w:spacing w:val="6"/>
        </w:rPr>
        <w:t>(2)对于生长过量需要回缩的灌木、绿篱与地被</w:t>
      </w:r>
      <w:r>
        <w:rPr>
          <w:sz w:val="29"/>
          <w:szCs w:val="29"/>
          <w:spacing w:val="5"/>
        </w:rPr>
        <w:t>小灌木在新芽刚开始膨大</w:t>
      </w:r>
      <w:r>
        <w:rPr>
          <w:sz w:val="29"/>
          <w:szCs w:val="29"/>
        </w:rPr>
        <w:t xml:space="preserve"> </w:t>
      </w:r>
      <w:r>
        <w:rPr>
          <w:sz w:val="29"/>
          <w:szCs w:val="29"/>
          <w:spacing w:val="-3"/>
        </w:rPr>
        <w:t>时一次性回缩到位；</w:t>
      </w:r>
    </w:p>
    <w:p>
      <w:pPr>
        <w:pStyle w:val="BodyText"/>
        <w:ind w:right="440" w:firstLine="730"/>
        <w:spacing w:before="157" w:line="253" w:lineRule="auto"/>
        <w:rPr>
          <w:sz w:val="29"/>
          <w:szCs w:val="29"/>
        </w:rPr>
      </w:pPr>
      <w:r>
        <w:rPr>
          <w:sz w:val="29"/>
          <w:szCs w:val="29"/>
          <w:spacing w:val="-2"/>
        </w:rPr>
        <w:t>(3)根据实际情况对草坪进行修剪。具体修</w:t>
      </w:r>
      <w:r>
        <w:rPr>
          <w:sz w:val="29"/>
          <w:szCs w:val="29"/>
          <w:spacing w:val="-3"/>
        </w:rPr>
        <w:t>剪次数依据现场实际情况而定，</w:t>
      </w:r>
      <w:r>
        <w:rPr>
          <w:sz w:val="29"/>
          <w:szCs w:val="29"/>
        </w:rPr>
        <w:t xml:space="preserve"> </w:t>
      </w:r>
      <w:r>
        <w:rPr>
          <w:sz w:val="29"/>
          <w:szCs w:val="29"/>
          <w:spacing w:val="2"/>
        </w:rPr>
        <w:t>高度保持4-5</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2"/>
        </w:rPr>
        <w:t>,</w:t>
      </w:r>
      <w:r>
        <w:rPr>
          <w:rFonts w:ascii="Times New Roman" w:hAnsi="Times New Roman" w:eastAsia="Times New Roman" w:cs="Times New Roman"/>
          <w:sz w:val="29"/>
          <w:szCs w:val="29"/>
          <w:spacing w:val="-27"/>
        </w:rPr>
        <w:t xml:space="preserve"> </w:t>
      </w:r>
      <w:r>
        <w:rPr>
          <w:sz w:val="29"/>
          <w:szCs w:val="29"/>
          <w:spacing w:val="2"/>
        </w:rPr>
        <w:t>与地被相交处保持线形流畅，与园建、井盖等切边顺畅；</w:t>
      </w:r>
    </w:p>
    <w:p>
      <w:pPr>
        <w:pStyle w:val="BodyText"/>
        <w:ind w:left="730"/>
        <w:spacing w:before="175" w:line="219" w:lineRule="auto"/>
        <w:rPr>
          <w:sz w:val="29"/>
          <w:szCs w:val="29"/>
        </w:rPr>
      </w:pPr>
      <w:r>
        <w:rPr>
          <w:sz w:val="29"/>
          <w:szCs w:val="29"/>
          <w:spacing w:val="-10"/>
        </w:rPr>
        <w:t>(4)除杂草：尤其是围蔽下、综合楼角落、人工湖驳岸需清理到位、干净。</w:t>
      </w:r>
    </w:p>
    <w:p>
      <w:pPr>
        <w:ind w:left="600"/>
        <w:spacing w:before="10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60" w:firstLine="730"/>
        <w:spacing w:before="155" w:line="262" w:lineRule="auto"/>
        <w:rPr>
          <w:sz w:val="29"/>
          <w:szCs w:val="29"/>
        </w:rPr>
      </w:pPr>
      <w:r>
        <w:rPr>
          <w:sz w:val="29"/>
          <w:szCs w:val="29"/>
          <w:spacing w:val="6"/>
        </w:rPr>
        <w:t>(1)五月份气温升高，树木生长盛期，需水量很大</w:t>
      </w:r>
      <w:r>
        <w:rPr>
          <w:sz w:val="29"/>
          <w:szCs w:val="29"/>
          <w:spacing w:val="5"/>
        </w:rPr>
        <w:t>，应适时浇水，同时注</w:t>
      </w:r>
      <w:r>
        <w:rPr>
          <w:sz w:val="29"/>
          <w:szCs w:val="29"/>
        </w:rPr>
        <w:t xml:space="preserve"> </w:t>
      </w:r>
      <w:r>
        <w:rPr>
          <w:sz w:val="29"/>
          <w:szCs w:val="29"/>
          <w:spacing w:val="-3"/>
        </w:rPr>
        <w:t>意时花的适时浇水；</w:t>
      </w:r>
    </w:p>
    <w:p>
      <w:pPr>
        <w:pStyle w:val="BodyText"/>
        <w:ind w:right="341" w:firstLine="730"/>
        <w:spacing w:before="164" w:line="287" w:lineRule="auto"/>
        <w:rPr>
          <w:sz w:val="29"/>
          <w:szCs w:val="29"/>
        </w:rPr>
      </w:pPr>
      <w:r>
        <w:rPr>
          <w:sz w:val="29"/>
          <w:szCs w:val="29"/>
          <w:spacing w:val="5"/>
        </w:rPr>
        <w:t>(2)本月中旬或下旬养护期超过3年的黑土地及沙土地或</w:t>
      </w:r>
      <w:r>
        <w:rPr>
          <w:sz w:val="29"/>
          <w:szCs w:val="29"/>
          <w:spacing w:val="4"/>
        </w:rPr>
        <w:t>黄土地，全园追施</w:t>
      </w:r>
      <w:r>
        <w:rPr>
          <w:sz w:val="29"/>
          <w:szCs w:val="29"/>
        </w:rPr>
        <w:t xml:space="preserve"> </w:t>
      </w:r>
      <w:r>
        <w:rPr>
          <w:sz w:val="29"/>
          <w:szCs w:val="29"/>
          <w:spacing w:val="19"/>
        </w:rPr>
        <w:t>1次有机复合肥(有机质含量45</w:t>
      </w:r>
      <w:r>
        <w:rPr>
          <w:sz w:val="29"/>
          <w:szCs w:val="29"/>
          <w:spacing w:val="55"/>
        </w:rPr>
        <w:t xml:space="preserve"> </w:t>
      </w:r>
      <w:r>
        <w:rPr>
          <w:sz w:val="29"/>
          <w:szCs w:val="29"/>
          <w:spacing w:val="19"/>
        </w:rPr>
        <w:t>),植物长势较差的可以施高</w:t>
      </w:r>
      <w:r>
        <w:rPr>
          <w:sz w:val="29"/>
          <w:szCs w:val="29"/>
          <w:spacing w:val="18"/>
        </w:rPr>
        <w:t>氮低磷中钾复肥</w:t>
      </w:r>
      <w:r>
        <w:rPr>
          <w:sz w:val="29"/>
          <w:szCs w:val="29"/>
        </w:rPr>
        <w:t xml:space="preserve"> </w:t>
      </w:r>
      <w:r>
        <w:rPr>
          <w:sz w:val="29"/>
          <w:szCs w:val="29"/>
          <w:spacing w:val="-4"/>
        </w:rPr>
        <w:t>一次。养护期不足3年的黑土地施有益菌类生物肥一次，土质</w:t>
      </w:r>
      <w:r>
        <w:rPr>
          <w:sz w:val="29"/>
          <w:szCs w:val="29"/>
          <w:spacing w:val="-5"/>
        </w:rPr>
        <w:t>过于粘重的黑土地施</w:t>
      </w:r>
      <w:r>
        <w:rPr>
          <w:sz w:val="29"/>
          <w:szCs w:val="29"/>
        </w:rPr>
        <w:t xml:space="preserve"> </w:t>
      </w:r>
      <w:r>
        <w:rPr>
          <w:sz w:val="29"/>
          <w:szCs w:val="29"/>
          <w:spacing w:val="-1"/>
        </w:rPr>
        <w:t>松土肥一次。乔木及大灌木穴施；</w:t>
      </w:r>
    </w:p>
    <w:p>
      <w:pPr>
        <w:spacing w:line="287" w:lineRule="auto"/>
        <w:sectPr>
          <w:footerReference w:type="default" r:id="rId517"/>
          <w:pgSz w:w="14490" w:h="20470"/>
          <w:pgMar w:top="400" w:right="1824" w:bottom="1143" w:left="2150" w:header="0" w:footer="94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110" w:firstLine="730"/>
        <w:spacing w:before="95" w:line="301" w:lineRule="auto"/>
        <w:rPr>
          <w:sz w:val="29"/>
          <w:szCs w:val="29"/>
        </w:rPr>
      </w:pPr>
      <w:r>
        <w:rPr>
          <w:sz w:val="29"/>
          <w:szCs w:val="29"/>
          <w:spacing w:val="15"/>
        </w:rPr>
        <w:t>(3)对树势不良的贵重乔木进行大树营养液(如施它活或吊针原液)滴注，</w:t>
      </w:r>
      <w:r>
        <w:rPr>
          <w:sz w:val="29"/>
          <w:szCs w:val="29"/>
          <w:spacing w:val="8"/>
        </w:rPr>
        <w:t xml:space="preserve"> </w:t>
      </w:r>
      <w:r>
        <w:rPr>
          <w:sz w:val="29"/>
          <w:szCs w:val="29"/>
          <w:spacing w:val="-3"/>
        </w:rPr>
        <w:t>确定大树健康无误后再撤除吊袋，并将输液</w:t>
      </w:r>
      <w:r>
        <w:rPr>
          <w:sz w:val="29"/>
          <w:szCs w:val="29"/>
          <w:spacing w:val="-4"/>
        </w:rPr>
        <w:t>孔封死。</w:t>
      </w:r>
    </w:p>
    <w:p>
      <w:pPr>
        <w:pStyle w:val="BodyText"/>
        <w:ind w:left="570"/>
        <w:spacing w:before="7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29" w:firstLine="730"/>
        <w:spacing w:before="104" w:line="269"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2"/>
        </w:rPr>
        <w:t>病、细菌性穿孔病等；</w:t>
      </w:r>
    </w:p>
    <w:p>
      <w:pPr>
        <w:pStyle w:val="BodyText"/>
        <w:ind w:right="328" w:firstLine="730"/>
        <w:spacing w:before="133" w:line="279" w:lineRule="auto"/>
        <w:rPr>
          <w:sz w:val="29"/>
          <w:szCs w:val="29"/>
        </w:rPr>
      </w:pPr>
      <w:r>
        <w:rPr>
          <w:sz w:val="29"/>
          <w:szCs w:val="29"/>
          <w:spacing w:val="8"/>
        </w:rPr>
        <w:t>(2)虫害：大青叶蝉、桃瘤蚜、桔绿粉虱、桃红颈天牛、芳香木蠹蛾、白</w:t>
      </w:r>
      <w:r>
        <w:rPr>
          <w:sz w:val="29"/>
          <w:szCs w:val="29"/>
          <w:spacing w:val="7"/>
        </w:rPr>
        <w:t xml:space="preserve"> </w:t>
      </w:r>
      <w:r>
        <w:rPr>
          <w:sz w:val="29"/>
          <w:szCs w:val="29"/>
          <w:spacing w:val="-15"/>
        </w:rPr>
        <w:t>杨透翅蛾、柏肤小蠹、大黑鳃金龟、铜绿丽金龟、大地老虎、</w:t>
      </w:r>
      <w:r>
        <w:rPr>
          <w:sz w:val="29"/>
          <w:szCs w:val="29"/>
          <w:spacing w:val="-16"/>
        </w:rPr>
        <w:t>蝼蛄、细胸金针虫、柳</w:t>
      </w:r>
      <w:r>
        <w:rPr>
          <w:sz w:val="29"/>
          <w:szCs w:val="29"/>
        </w:rPr>
        <w:t xml:space="preserve"> </w:t>
      </w:r>
      <w:r>
        <w:rPr>
          <w:sz w:val="29"/>
          <w:szCs w:val="29"/>
          <w:spacing w:val="-25"/>
        </w:rPr>
        <w:t>毒蛾、桃剑纹夜蛾、丝棉木金星尺蛾、柑桔凤蝶、柳蓝叶甲、葡萄</w:t>
      </w:r>
      <w:r>
        <w:rPr>
          <w:sz w:val="29"/>
          <w:szCs w:val="29"/>
          <w:spacing w:val="-26"/>
        </w:rPr>
        <w:t>十星叶甲等。</w:t>
      </w:r>
    </w:p>
    <w:p>
      <w:pPr>
        <w:pStyle w:val="BodyText"/>
        <w:ind w:left="570"/>
        <w:spacing w:before="15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579" w:firstLine="730"/>
        <w:spacing w:before="112" w:line="315" w:lineRule="auto"/>
        <w:rPr>
          <w:sz w:val="29"/>
          <w:szCs w:val="29"/>
        </w:rPr>
      </w:pPr>
      <w:r>
        <w:rPr>
          <w:sz w:val="29"/>
          <w:szCs w:val="29"/>
          <w:spacing w:val="-14"/>
        </w:rPr>
        <w:t>(1)</w:t>
      </w:r>
      <w:r>
        <w:rPr>
          <w:sz w:val="29"/>
          <w:szCs w:val="29"/>
          <w:spacing w:val="90"/>
        </w:rPr>
        <w:t xml:space="preserve"> </w:t>
      </w:r>
      <w:r>
        <w:rPr>
          <w:sz w:val="29"/>
          <w:szCs w:val="29"/>
          <w:spacing w:val="-14"/>
        </w:rPr>
        <w:t>保洁人员合理分区，全天候巡视，及时清理烟头、树挂等垃圾，铺装、</w:t>
      </w:r>
      <w:r>
        <w:rPr>
          <w:sz w:val="29"/>
          <w:szCs w:val="29"/>
        </w:rPr>
        <w:t xml:space="preserve"> </w:t>
      </w:r>
      <w:r>
        <w:rPr>
          <w:sz w:val="29"/>
          <w:szCs w:val="29"/>
          <w:spacing w:val="-6"/>
        </w:rPr>
        <w:t>水景池、灯杆、垃圾桶保持干净；</w:t>
      </w:r>
    </w:p>
    <w:p>
      <w:pPr>
        <w:pStyle w:val="BodyText"/>
        <w:ind w:right="423" w:firstLine="730"/>
        <w:spacing w:before="1" w:line="314" w:lineRule="auto"/>
        <w:rPr>
          <w:sz w:val="29"/>
          <w:szCs w:val="29"/>
        </w:rPr>
      </w:pPr>
      <w:r>
        <w:rPr>
          <w:sz w:val="29"/>
          <w:szCs w:val="29"/>
          <w:spacing w:val="6"/>
        </w:rPr>
        <w:t>(2  在业主上班高峰期前对园区内的重点区域(大门内外、主干通道、销</w:t>
      </w:r>
      <w:r>
        <w:rPr>
          <w:sz w:val="29"/>
          <w:szCs w:val="29"/>
          <w:spacing w:val="1"/>
        </w:rPr>
        <w:t xml:space="preserve"> </w:t>
      </w:r>
      <w:r>
        <w:rPr>
          <w:sz w:val="29"/>
          <w:szCs w:val="29"/>
          <w:spacing w:val="12"/>
        </w:rPr>
        <w:t>售展示区)进行彻底清理。</w:t>
      </w:r>
    </w:p>
    <w:p>
      <w:pPr>
        <w:ind w:left="570"/>
        <w:spacing w:before="21"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spacing w:before="9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90" w:firstLine="570"/>
        <w:spacing w:before="14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570"/>
        <w:spacing w:before="127" w:line="219" w:lineRule="auto"/>
        <w:rPr>
          <w:sz w:val="29"/>
          <w:szCs w:val="29"/>
        </w:rPr>
      </w:pPr>
      <w:r>
        <w:rPr>
          <w:sz w:val="29"/>
          <w:szCs w:val="29"/>
          <w:spacing w:val="2"/>
        </w:rPr>
        <w:t>气温逐渐升高。偶尔有大风雷雨天气，注意防</w:t>
      </w:r>
      <w:r>
        <w:rPr>
          <w:sz w:val="29"/>
          <w:szCs w:val="29"/>
          <w:spacing w:val="1"/>
        </w:rPr>
        <w:t>涝，对零星病虫害专项防治。</w:t>
      </w:r>
    </w:p>
    <w:p>
      <w:pPr>
        <w:pStyle w:val="BodyText"/>
        <w:ind w:left="570"/>
        <w:spacing w:before="276"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44" w:line="219" w:lineRule="auto"/>
        <w:rPr>
          <w:sz w:val="29"/>
          <w:szCs w:val="29"/>
        </w:rPr>
      </w:pPr>
      <w:r>
        <w:rPr>
          <w:sz w:val="29"/>
          <w:szCs w:val="29"/>
          <w:spacing w:val="9"/>
        </w:rPr>
        <w:t>(1)及时检查乔木支撑情况，发现松动或缺失立即加固</w:t>
      </w:r>
    </w:p>
    <w:p>
      <w:pPr>
        <w:pStyle w:val="BodyText"/>
        <w:ind w:right="429" w:firstLine="730"/>
        <w:spacing w:before="135" w:line="268" w:lineRule="auto"/>
        <w:rPr>
          <w:sz w:val="29"/>
          <w:szCs w:val="29"/>
        </w:rPr>
      </w:pPr>
      <w:r>
        <w:rPr>
          <w:sz w:val="29"/>
          <w:szCs w:val="29"/>
          <w:spacing w:val="6"/>
        </w:rPr>
        <w:t>(2)有返青不好的苗木，视具体情况采取土层浅播硫酸亚铁改善土壤小环</w:t>
      </w:r>
      <w:r>
        <w:rPr>
          <w:sz w:val="29"/>
          <w:szCs w:val="29"/>
          <w:spacing w:val="1"/>
        </w:rPr>
        <w:t xml:space="preserve"> </w:t>
      </w:r>
      <w:r>
        <w:rPr>
          <w:sz w:val="29"/>
          <w:szCs w:val="29"/>
          <w:spacing w:val="2"/>
        </w:rPr>
        <w:t>境、使用营养剂、根部施肥透气透水等措施提</w:t>
      </w:r>
      <w:r>
        <w:rPr>
          <w:sz w:val="29"/>
          <w:szCs w:val="29"/>
          <w:spacing w:val="1"/>
        </w:rPr>
        <w:t>高苗木成活，提高养护效果。</w:t>
      </w:r>
    </w:p>
    <w:p>
      <w:pPr>
        <w:ind w:left="570"/>
        <w:spacing w:before="196" w:line="221" w:lineRule="auto"/>
        <w:rPr>
          <w:rFonts w:ascii="SimHei" w:hAnsi="SimHei" w:eastAsia="SimHei" w:cs="SimHei"/>
          <w:sz w:val="29"/>
          <w:szCs w:val="29"/>
        </w:rPr>
      </w:pPr>
      <w:r>
        <w:rPr>
          <w:rFonts w:ascii="SimHei" w:hAnsi="SimHei" w:eastAsia="SimHei" w:cs="SimHei"/>
          <w:sz w:val="29"/>
          <w:szCs w:val="29"/>
          <w:spacing w:val="-1"/>
        </w:rPr>
        <w:t>2、修剪</w:t>
      </w:r>
    </w:p>
    <w:p>
      <w:pPr>
        <w:pStyle w:val="BodyText"/>
        <w:ind w:left="730"/>
        <w:spacing w:before="85" w:line="219" w:lineRule="auto"/>
        <w:rPr>
          <w:sz w:val="29"/>
          <w:szCs w:val="29"/>
        </w:rPr>
      </w:pPr>
      <w:r>
        <w:rPr>
          <w:sz w:val="29"/>
          <w:szCs w:val="29"/>
          <w:spacing w:val="6"/>
        </w:rPr>
        <w:t>(1)对乔木进行剥芽除蘖，对绿篱、球类及部分花灌木实施修剪；</w:t>
      </w:r>
    </w:p>
    <w:p>
      <w:pPr>
        <w:pStyle w:val="BodyText"/>
        <w:ind w:right="429" w:firstLine="730"/>
        <w:spacing w:before="167" w:line="262" w:lineRule="auto"/>
        <w:rPr>
          <w:sz w:val="29"/>
          <w:szCs w:val="29"/>
        </w:rPr>
      </w:pPr>
      <w:r>
        <w:rPr>
          <w:sz w:val="29"/>
          <w:szCs w:val="29"/>
          <w:spacing w:val="6"/>
        </w:rPr>
        <w:t>(2)及时修剪影响园路行走的枝条，特别是道路两侧的行道树，要注意不</w:t>
      </w:r>
      <w:r>
        <w:rPr>
          <w:sz w:val="29"/>
          <w:szCs w:val="29"/>
          <w:spacing w:val="1"/>
        </w:rPr>
        <w:t xml:space="preserve"> </w:t>
      </w:r>
      <w:r>
        <w:rPr>
          <w:sz w:val="29"/>
          <w:szCs w:val="29"/>
          <w:spacing w:val="-13"/>
        </w:rPr>
        <w:t>能影响线路安全；</w:t>
      </w:r>
    </w:p>
    <w:p>
      <w:pPr>
        <w:pStyle w:val="BodyText"/>
        <w:ind w:right="651" w:firstLine="730"/>
        <w:spacing w:before="156" w:line="265" w:lineRule="auto"/>
        <w:rPr>
          <w:sz w:val="29"/>
          <w:szCs w:val="29"/>
        </w:rPr>
      </w:pPr>
      <w:r>
        <w:rPr>
          <w:sz w:val="29"/>
          <w:szCs w:val="29"/>
          <w:spacing w:val="2"/>
        </w:rPr>
        <w:t>(3)及时对草坪进行修剪，高度保持4-5</w:t>
      </w:r>
      <w:r>
        <w:rPr>
          <w:rFonts w:ascii="Times New Roman" w:hAnsi="Times New Roman" w:eastAsia="Times New Roman" w:cs="Times New Roman"/>
          <w:sz w:val="29"/>
          <w:szCs w:val="29"/>
        </w:rPr>
        <w:t>cm</w:t>
      </w:r>
      <w:r>
        <w:rPr>
          <w:sz w:val="29"/>
          <w:szCs w:val="29"/>
          <w:spacing w:val="2"/>
        </w:rPr>
        <w:t>。避免出现</w:t>
      </w:r>
      <w:r>
        <w:rPr>
          <w:sz w:val="29"/>
          <w:szCs w:val="29"/>
          <w:spacing w:val="1"/>
        </w:rPr>
        <w:t>剪短露白茬；或者</w:t>
      </w:r>
      <w:r>
        <w:rPr>
          <w:sz w:val="29"/>
          <w:szCs w:val="29"/>
        </w:rPr>
        <w:t xml:space="preserve"> </w:t>
      </w:r>
      <w:r>
        <w:rPr>
          <w:sz w:val="29"/>
          <w:szCs w:val="29"/>
          <w:spacing w:val="-1"/>
        </w:rPr>
        <w:t>修剪不及时草皮过高倒伏，捂黄等现象；</w:t>
      </w:r>
    </w:p>
    <w:p>
      <w:pPr>
        <w:pStyle w:val="BodyText"/>
        <w:ind w:right="378" w:firstLine="730"/>
        <w:spacing w:before="149" w:line="285" w:lineRule="auto"/>
        <w:rPr>
          <w:sz w:val="29"/>
          <w:szCs w:val="29"/>
        </w:rPr>
      </w:pPr>
      <w:r>
        <w:rPr>
          <w:sz w:val="29"/>
          <w:szCs w:val="29"/>
          <w:spacing w:val="8"/>
        </w:rPr>
        <w:t>(4)除杂草：本月天气开始炎热，杂草生</w:t>
      </w:r>
      <w:r>
        <w:rPr>
          <w:sz w:val="29"/>
          <w:szCs w:val="29"/>
          <w:spacing w:val="7"/>
        </w:rPr>
        <w:t>长快，对全园区的早熟禾、高羊</w:t>
      </w:r>
      <w:r>
        <w:rPr>
          <w:sz w:val="29"/>
          <w:szCs w:val="29"/>
        </w:rPr>
        <w:t xml:space="preserve"> </w:t>
      </w:r>
      <w:r>
        <w:rPr>
          <w:sz w:val="29"/>
          <w:szCs w:val="29"/>
          <w:spacing w:val="11"/>
        </w:rPr>
        <w:t>茅与黑麦草草坪喷雾除杂草，喷施一次即可(注意防护其他植物),有剩余则人 </w:t>
      </w:r>
      <w:r>
        <w:rPr>
          <w:sz w:val="29"/>
          <w:szCs w:val="29"/>
          <w:spacing w:val="-3"/>
        </w:rPr>
        <w:t>工拔除。</w:t>
      </w:r>
    </w:p>
    <w:p>
      <w:pPr>
        <w:spacing w:line="285" w:lineRule="auto"/>
        <w:sectPr>
          <w:footerReference w:type="default" r:id="rId518"/>
          <w:pgSz w:w="14490" w:h="20470"/>
          <w:pgMar w:top="400" w:right="1844" w:bottom="1145" w:left="2150" w:header="0" w:footer="983" w:gutter="0"/>
        </w:sectPr>
        <w:rPr>
          <w:sz w:val="29"/>
          <w:szCs w:val="29"/>
        </w:rPr>
      </w:pP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pStyle w:val="BodyText"/>
        <w:ind w:left="570"/>
        <w:spacing w:before="94"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511" w:firstLine="570"/>
        <w:spacing w:before="105" w:line="315" w:lineRule="auto"/>
        <w:rPr>
          <w:sz w:val="29"/>
          <w:szCs w:val="29"/>
        </w:rPr>
      </w:pPr>
      <w:r>
        <w:rPr>
          <w:sz w:val="29"/>
          <w:szCs w:val="29"/>
          <w:spacing w:val="-24"/>
        </w:rPr>
        <w:t>天气温度继续攀高，植物需水量大，要及时浇水。本月也是暴雨较多的月份，要</w:t>
      </w:r>
      <w:r>
        <w:rPr>
          <w:sz w:val="29"/>
          <w:szCs w:val="29"/>
          <w:spacing w:val="12"/>
        </w:rPr>
        <w:t xml:space="preserve"> </w:t>
      </w:r>
      <w:r>
        <w:rPr>
          <w:sz w:val="29"/>
          <w:szCs w:val="29"/>
          <w:spacing w:val="-9"/>
        </w:rPr>
        <w:t>注意防涝。</w:t>
      </w:r>
    </w:p>
    <w:p>
      <w:pPr>
        <w:pStyle w:val="BodyText"/>
        <w:ind w:left="570"/>
        <w:spacing w:before="6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9" w:firstLine="730"/>
        <w:spacing w:before="94" w:line="269" w:lineRule="auto"/>
        <w:rPr>
          <w:sz w:val="29"/>
          <w:szCs w:val="29"/>
        </w:rPr>
      </w:pPr>
      <w:r>
        <w:rPr>
          <w:sz w:val="29"/>
          <w:szCs w:val="29"/>
          <w:spacing w:val="6"/>
        </w:rPr>
        <w:t>(1)病害：白粉病、炭疽病、锈病、煤污病、叶枯</w:t>
      </w:r>
      <w:r>
        <w:rPr>
          <w:sz w:val="29"/>
          <w:szCs w:val="29"/>
          <w:spacing w:val="5"/>
        </w:rPr>
        <w:t>病、干腐病、枝枯病、</w:t>
      </w:r>
      <w:r>
        <w:rPr>
          <w:sz w:val="29"/>
          <w:szCs w:val="29"/>
        </w:rPr>
        <w:t xml:space="preserve"> </w:t>
      </w:r>
      <w:r>
        <w:rPr>
          <w:sz w:val="29"/>
          <w:szCs w:val="29"/>
          <w:spacing w:val="1"/>
        </w:rPr>
        <w:t>流胶病、枯萎病、草坪腐霉枯萎病、细菌性穿孔病、冠瘿病等；</w:t>
      </w:r>
    </w:p>
    <w:p>
      <w:pPr>
        <w:pStyle w:val="BodyText"/>
        <w:ind w:right="270" w:firstLine="730"/>
        <w:spacing w:before="117" w:line="293" w:lineRule="auto"/>
        <w:rPr>
          <w:sz w:val="29"/>
          <w:szCs w:val="29"/>
        </w:rPr>
      </w:pPr>
      <w:r>
        <w:rPr>
          <w:sz w:val="29"/>
          <w:szCs w:val="29"/>
          <w:spacing w:val="6"/>
        </w:rPr>
        <w:t>(2)虫害：大青叶蝉、花蓟马、光肩星天牛、桃红颈天牛、芳香木蠹蛾、</w:t>
      </w:r>
      <w:r>
        <w:rPr>
          <w:sz w:val="29"/>
          <w:szCs w:val="29"/>
          <w:spacing w:val="10"/>
        </w:rPr>
        <w:t xml:space="preserve"> </w:t>
      </w:r>
      <w:r>
        <w:rPr>
          <w:sz w:val="29"/>
          <w:szCs w:val="29"/>
          <w:spacing w:val="-1"/>
        </w:rPr>
        <w:t>白杨透翅蛾、柏肤小蠹、大黑鳃金龟、大地老虎、蝼蛄、细胸金针虫、黄刺蛾、</w:t>
      </w:r>
      <w:r>
        <w:rPr>
          <w:sz w:val="29"/>
          <w:szCs w:val="29"/>
          <w:spacing w:val="18"/>
        </w:rPr>
        <w:t xml:space="preserve"> </w:t>
      </w:r>
      <w:r>
        <w:rPr>
          <w:sz w:val="29"/>
          <w:szCs w:val="29"/>
          <w:spacing w:val="-9"/>
        </w:rPr>
        <w:t>扁刺蛾、丽绿刺蛾、褐边绿刺蛾、茶袋蛾、黄尾毒蛾、桃剑纹夜蛾、丝棉</w:t>
      </w:r>
      <w:r>
        <w:rPr>
          <w:sz w:val="29"/>
          <w:szCs w:val="29"/>
          <w:spacing w:val="-10"/>
        </w:rPr>
        <w:t>木金星尺</w:t>
      </w:r>
      <w:r>
        <w:rPr>
          <w:sz w:val="29"/>
          <w:szCs w:val="29"/>
        </w:rPr>
        <w:t xml:space="preserve"> </w:t>
      </w:r>
      <w:r>
        <w:rPr>
          <w:sz w:val="29"/>
          <w:szCs w:val="29"/>
          <w:spacing w:val="-10"/>
        </w:rPr>
        <w:t>蛾、柑桔凤蝶、柳蓝叶甲、葡萄十星叶甲等。</w:t>
      </w:r>
    </w:p>
    <w:p>
      <w:pPr>
        <w:pStyle w:val="BodyText"/>
        <w:ind w:left="570"/>
        <w:spacing w:before="15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5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52" w:line="396"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ind w:right="341" w:firstLine="730"/>
        <w:spacing w:before="87"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338" w:firstLine="730"/>
        <w:spacing w:before="121" w:line="271"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6"/>
        </w:rPr>
        <w:t>其它物资；</w:t>
      </w:r>
    </w:p>
    <w:p>
      <w:pPr>
        <w:pStyle w:val="BodyText"/>
        <w:ind w:left="730"/>
        <w:spacing w:before="159" w:line="219" w:lineRule="auto"/>
        <w:rPr>
          <w:sz w:val="29"/>
          <w:szCs w:val="29"/>
        </w:rPr>
      </w:pPr>
      <w:r>
        <w:rPr>
          <w:sz w:val="29"/>
          <w:szCs w:val="29"/>
          <w:spacing w:val="12"/>
        </w:rPr>
        <w:t>(3)进行机械工具的检查维修。</w:t>
      </w:r>
    </w:p>
    <w:p>
      <w:pPr>
        <w:pStyle w:val="BodyText"/>
        <w:ind w:left="570"/>
        <w:spacing w:before="85"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firstLine="570"/>
        <w:spacing w:before="16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6"/>
        </w:rPr>
        <w:t>防盗情况。</w:t>
      </w:r>
    </w:p>
    <w:p>
      <w:pPr>
        <w:spacing w:before="62" w:line="223" w:lineRule="auto"/>
        <w:rPr>
          <w:rFonts w:ascii="SimHei" w:hAnsi="SimHei" w:eastAsia="SimHei" w:cs="SimHei"/>
          <w:sz w:val="29"/>
          <w:szCs w:val="29"/>
        </w:rPr>
      </w:pPr>
      <w:r>
        <w:rPr>
          <w:rFonts w:ascii="SimHei" w:hAnsi="SimHei" w:eastAsia="SimHei" w:cs="SimHei"/>
          <w:sz w:val="29"/>
          <w:szCs w:val="29"/>
          <w:spacing w:val="12"/>
        </w:rPr>
        <w:t>七月份</w:t>
      </w:r>
    </w:p>
    <w:p>
      <w:pPr>
        <w:pStyle w:val="BodyText"/>
        <w:ind w:left="570"/>
        <w:spacing w:before="137" w:line="219" w:lineRule="auto"/>
        <w:rPr>
          <w:sz w:val="29"/>
          <w:szCs w:val="29"/>
        </w:rPr>
      </w:pPr>
      <w:r>
        <w:rPr>
          <w:sz w:val="29"/>
          <w:szCs w:val="29"/>
          <w:spacing w:val="4"/>
        </w:rPr>
        <w:t>气温最高，中旬以后会出现大风大雨情况，做好防风、防涝工作。</w:t>
      </w:r>
    </w:p>
    <w:p>
      <w:pPr>
        <w:pStyle w:val="BodyText"/>
        <w:ind w:left="570"/>
        <w:spacing w:before="256"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53" w:line="219" w:lineRule="auto"/>
        <w:rPr>
          <w:sz w:val="29"/>
          <w:szCs w:val="29"/>
        </w:rPr>
      </w:pPr>
      <w:r>
        <w:rPr>
          <w:sz w:val="29"/>
          <w:szCs w:val="29"/>
          <w:spacing w:val="1"/>
        </w:rPr>
        <w:t>及时检查乔木支撑情况，发现松动或缺失立即加固</w:t>
      </w:r>
    </w:p>
    <w:p>
      <w:pPr>
        <w:pStyle w:val="BodyText"/>
        <w:ind w:left="570"/>
        <w:spacing w:before="123" w:line="221"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修剪</w:t>
      </w:r>
    </w:p>
    <w:p>
      <w:pPr>
        <w:pStyle w:val="BodyText"/>
        <w:ind w:right="49" w:firstLine="570"/>
        <w:spacing w:before="156" w:line="307" w:lineRule="auto"/>
        <w:rPr>
          <w:sz w:val="29"/>
          <w:szCs w:val="29"/>
        </w:rPr>
      </w:pPr>
      <w:r>
        <w:rPr>
          <w:sz w:val="29"/>
          <w:szCs w:val="29"/>
          <w:spacing w:val="-11"/>
        </w:rPr>
        <w:t>乔木、花灌木及草坪生长迅速，要及时对乔木、灌木、草坪进行修剪。行道树，</w:t>
      </w:r>
      <w:r>
        <w:rPr>
          <w:sz w:val="29"/>
          <w:szCs w:val="29"/>
          <w:spacing w:val="18"/>
        </w:rPr>
        <w:t xml:space="preserve"> </w:t>
      </w:r>
      <w:r>
        <w:rPr>
          <w:sz w:val="29"/>
          <w:szCs w:val="29"/>
          <w:spacing w:val="-16"/>
        </w:rPr>
        <w:t>进行剥芽修剪，对与电线及道路有矛盾的树枝一律修剪，并对树桩逐个检查，发现松</w:t>
      </w:r>
      <w:r>
        <w:rPr>
          <w:sz w:val="29"/>
          <w:szCs w:val="29"/>
          <w:spacing w:val="8"/>
        </w:rPr>
        <w:t xml:space="preserve">  </w:t>
      </w:r>
      <w:r>
        <w:rPr>
          <w:sz w:val="29"/>
          <w:szCs w:val="29"/>
          <w:spacing w:val="1"/>
        </w:rPr>
        <w:t>垮、不稳立即扶正绑紧。</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spacing w:line="395" w:lineRule="exact"/>
        <w:sectPr>
          <w:footerReference w:type="default" r:id="rId519"/>
          <w:pgSz w:w="14490" w:h="20470"/>
          <w:pgMar w:top="400" w:right="1935" w:bottom="1143" w:left="2150" w:header="0" w:footer="944" w:gutter="0"/>
        </w:sectPr>
        <w:rPr>
          <w:rFonts w:ascii="SimHei" w:hAnsi="SimHei" w:eastAsia="SimHei" w:cs="SimHei"/>
          <w:sz w:val="29"/>
          <w:szCs w:val="29"/>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483" w:firstLine="570"/>
        <w:spacing w:before="95" w:line="308" w:lineRule="auto"/>
        <w:rPr>
          <w:sz w:val="29"/>
          <w:szCs w:val="29"/>
        </w:rPr>
      </w:pPr>
      <w:r>
        <w:rPr>
          <w:sz w:val="29"/>
          <w:szCs w:val="29"/>
          <w:spacing w:val="-6"/>
        </w:rPr>
        <w:t>本月为高温高湿的多雨季节，仍注意苗木实时浇水，同时也要注意时花的适</w:t>
      </w:r>
      <w:r>
        <w:rPr>
          <w:sz w:val="29"/>
          <w:szCs w:val="29"/>
          <w:spacing w:val="8"/>
        </w:rPr>
        <w:t xml:space="preserve"> </w:t>
      </w:r>
      <w:r>
        <w:rPr>
          <w:sz w:val="29"/>
          <w:szCs w:val="29"/>
          <w:spacing w:val="-1"/>
        </w:rPr>
        <w:t>时浇水。做好排涝工作。</w:t>
      </w:r>
    </w:p>
    <w:p>
      <w:pPr>
        <w:pStyle w:val="BodyText"/>
        <w:ind w:left="570"/>
        <w:spacing w:before="5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11" w:firstLine="730"/>
        <w:spacing w:before="94" w:line="266" w:lineRule="auto"/>
        <w:rPr>
          <w:sz w:val="29"/>
          <w:szCs w:val="29"/>
        </w:rPr>
      </w:pPr>
      <w:r>
        <w:rPr>
          <w:sz w:val="29"/>
          <w:szCs w:val="29"/>
          <w:spacing w:val="-9"/>
        </w:rPr>
        <w:t>(1)病害：锈病、煤污病、叶枯病、干腐病、紫纹羽病、枝</w:t>
      </w:r>
      <w:r>
        <w:rPr>
          <w:sz w:val="29"/>
          <w:szCs w:val="29"/>
          <w:spacing w:val="-10"/>
        </w:rPr>
        <w:t>枯病、枯萎病、草</w:t>
      </w:r>
      <w:r>
        <w:rPr>
          <w:sz w:val="29"/>
          <w:szCs w:val="29"/>
        </w:rPr>
        <w:t xml:space="preserve"> </w:t>
      </w:r>
      <w:r>
        <w:rPr>
          <w:sz w:val="29"/>
          <w:szCs w:val="29"/>
          <w:spacing w:val="-5"/>
        </w:rPr>
        <w:t>坪腐霉枯萎病、细菌性穿孔病、冠瘿病、花叶病等；</w:t>
      </w:r>
    </w:p>
    <w:p>
      <w:pPr>
        <w:pStyle w:val="BodyText"/>
        <w:ind w:left="730"/>
        <w:spacing w:before="153" w:line="219" w:lineRule="auto"/>
        <w:rPr>
          <w:sz w:val="29"/>
          <w:szCs w:val="29"/>
        </w:rPr>
      </w:pPr>
      <w:r>
        <w:rPr>
          <w:sz w:val="29"/>
          <w:szCs w:val="29"/>
          <w:spacing w:val="8"/>
        </w:rPr>
        <w:t>(2)虫害：大青叶蝉、花蓟马、光肩星天牛、桃红颈天牛、</w:t>
      </w:r>
      <w:r>
        <w:rPr>
          <w:sz w:val="29"/>
          <w:szCs w:val="29"/>
          <w:spacing w:val="7"/>
        </w:rPr>
        <w:t>芳香木蠹蛾、</w:t>
      </w:r>
    </w:p>
    <w:p>
      <w:pPr>
        <w:pStyle w:val="BodyText"/>
        <w:spacing w:before="137" w:line="265" w:lineRule="auto"/>
        <w:rPr>
          <w:sz w:val="29"/>
          <w:szCs w:val="29"/>
        </w:rPr>
      </w:pPr>
      <w:r>
        <w:rPr>
          <w:sz w:val="29"/>
          <w:szCs w:val="29"/>
          <w:spacing w:val="-8"/>
        </w:rPr>
        <w:t>大黑鳃金龟、大地老虎、蝼蛄、细胸金针虫、黄刺蛾、扁刺蛾、丽绿刺蛾、褐边绿</w:t>
      </w:r>
      <w:r>
        <w:rPr>
          <w:sz w:val="29"/>
          <w:szCs w:val="29"/>
          <w:spacing w:val="2"/>
        </w:rPr>
        <w:t xml:space="preserve">   </w:t>
      </w:r>
      <w:r>
        <w:rPr>
          <w:sz w:val="29"/>
          <w:szCs w:val="29"/>
          <w:spacing w:val="-8"/>
        </w:rPr>
        <w:t>刺蛾、茶袋蛾、黄尾毒蛾、桃剑纹夜蛾、丝棉木金星尺蛾、柑桔凤蝶、柳蓝叶甲等。</w:t>
      </w:r>
    </w:p>
    <w:p>
      <w:pPr>
        <w:pStyle w:val="BodyText"/>
        <w:ind w:left="570"/>
        <w:spacing w:before="14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69" w:firstLine="730"/>
        <w:spacing w:before="10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63" w:firstLine="730"/>
        <w:spacing w:before="155" w:line="263"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4"/>
        </w:rPr>
        <w:t>6、物资管理</w:t>
      </w:r>
    </w:p>
    <w:p>
      <w:pPr>
        <w:pStyle w:val="BodyText"/>
        <w:ind w:right="371" w:firstLine="730"/>
        <w:spacing w:before="62"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3"/>
        </w:rPr>
        <w:t>危险品。</w:t>
      </w:r>
    </w:p>
    <w:p>
      <w:pPr>
        <w:pStyle w:val="BodyText"/>
        <w:ind w:left="730"/>
        <w:spacing w:before="171" w:line="219" w:lineRule="auto"/>
        <w:rPr>
          <w:sz w:val="29"/>
          <w:szCs w:val="29"/>
        </w:rPr>
      </w:pPr>
      <w:r>
        <w:rPr>
          <w:sz w:val="29"/>
          <w:szCs w:val="29"/>
          <w:spacing w:val="9"/>
        </w:rPr>
        <w:t>(2)进行机械工具的检查维修。</w:t>
      </w:r>
    </w:p>
    <w:p>
      <w:pPr>
        <w:pStyle w:val="BodyText"/>
        <w:ind w:left="570"/>
        <w:spacing w:before="106"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30" w:firstLine="570"/>
        <w:spacing w:before="12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570"/>
        <w:spacing w:before="149" w:line="219" w:lineRule="auto"/>
        <w:rPr>
          <w:sz w:val="29"/>
          <w:szCs w:val="29"/>
        </w:rPr>
      </w:pPr>
      <w:r>
        <w:rPr>
          <w:sz w:val="29"/>
          <w:szCs w:val="29"/>
          <w:spacing w:val="3"/>
        </w:rPr>
        <w:t>气温最高，下旬出现大风大雨情况，继续做好防风排涝、除害灭病工作。</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33" w:line="219" w:lineRule="auto"/>
        <w:rPr>
          <w:sz w:val="29"/>
          <w:szCs w:val="29"/>
        </w:rPr>
      </w:pPr>
      <w:r>
        <w:rPr>
          <w:sz w:val="29"/>
          <w:szCs w:val="29"/>
          <w:spacing w:val="1"/>
        </w:rPr>
        <w:t>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570"/>
        <w:spacing w:before="146" w:line="219" w:lineRule="auto"/>
        <w:rPr>
          <w:sz w:val="29"/>
          <w:szCs w:val="29"/>
        </w:rPr>
      </w:pPr>
      <w:r>
        <w:rPr>
          <w:sz w:val="29"/>
          <w:szCs w:val="29"/>
          <w:spacing w:val="1"/>
        </w:rPr>
        <w:t>乔木、花灌木及草坪生长迅速，要及时对乔木、灌木、草坪进行修剪。</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83" w:firstLine="570"/>
        <w:spacing w:before="143" w:line="308" w:lineRule="auto"/>
        <w:rPr>
          <w:sz w:val="29"/>
          <w:szCs w:val="29"/>
        </w:rPr>
      </w:pPr>
      <w:r>
        <w:rPr>
          <w:sz w:val="29"/>
          <w:szCs w:val="29"/>
          <w:spacing w:val="-6"/>
        </w:rPr>
        <w:t>本月为高温高湿的多雨季节，仍注意苗木实时浇水，同时也要注意时花的适</w:t>
      </w:r>
      <w:r>
        <w:rPr>
          <w:sz w:val="29"/>
          <w:szCs w:val="29"/>
          <w:spacing w:val="8"/>
        </w:rPr>
        <w:t xml:space="preserve"> </w:t>
      </w:r>
      <w:r>
        <w:rPr>
          <w:sz w:val="29"/>
          <w:szCs w:val="29"/>
          <w:spacing w:val="-1"/>
        </w:rPr>
        <w:t>时浇水。做好排涝工作。</w:t>
      </w:r>
    </w:p>
    <w:p>
      <w:pPr>
        <w:pStyle w:val="BodyText"/>
        <w:ind w:left="570"/>
        <w:spacing w:before="6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73" w:firstLine="730"/>
        <w:spacing w:before="93" w:line="315"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rPr>
        <w:t>腐霉枯萎病、细菌性穿孔病、冠瘿病、花叶病等；</w:t>
      </w:r>
    </w:p>
    <w:p>
      <w:pPr>
        <w:spacing w:line="315" w:lineRule="auto"/>
        <w:sectPr>
          <w:footerReference w:type="default" r:id="rId520"/>
          <w:pgSz w:w="14490" w:h="20470"/>
          <w:pgMar w:top="400" w:right="1905" w:bottom="1157" w:left="2150" w:header="0" w:footer="941" w:gutter="0"/>
        </w:sectPr>
        <w:rPr>
          <w:sz w:val="29"/>
          <w:szCs w:val="29"/>
        </w:rPr>
      </w:pP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right="342" w:firstLine="730"/>
        <w:spacing w:before="94" w:line="310" w:lineRule="auto"/>
        <w:jc w:val="both"/>
        <w:rPr>
          <w:sz w:val="29"/>
          <w:szCs w:val="29"/>
        </w:rPr>
      </w:pPr>
      <w:r>
        <w:rPr>
          <w:sz w:val="29"/>
          <w:szCs w:val="29"/>
          <w:spacing w:val="9"/>
        </w:rPr>
        <w:t>(2)虫害：大青叶蝉、花蓟马、光肩星天牛、芳香木蠹蛾、大地老虎、蝼</w:t>
      </w:r>
      <w:r>
        <w:rPr>
          <w:sz w:val="29"/>
          <w:szCs w:val="29"/>
        </w:rPr>
        <w:t xml:space="preserve"> </w:t>
      </w:r>
      <w:r>
        <w:rPr>
          <w:sz w:val="29"/>
          <w:szCs w:val="29"/>
          <w:spacing w:val="-16"/>
        </w:rPr>
        <w:t>蛄、细胸金针虫、黄刺蛾、扁刺蛾、丽绿刺蛾、</w:t>
      </w:r>
      <w:r>
        <w:rPr>
          <w:sz w:val="29"/>
          <w:szCs w:val="29"/>
          <w:spacing w:val="-17"/>
        </w:rPr>
        <w:t>褐边绿刺蛾、茶袋蛾、黄尾毒蛾、丝</w:t>
      </w:r>
      <w:r>
        <w:rPr>
          <w:sz w:val="29"/>
          <w:szCs w:val="29"/>
        </w:rPr>
        <w:t xml:space="preserve"> </w:t>
      </w:r>
      <w:r>
        <w:rPr>
          <w:sz w:val="29"/>
          <w:szCs w:val="29"/>
        </w:rPr>
        <w:t>棉木金星尺蛾、柑桔凤蝶、柳蓝叶甲等。</w:t>
      </w:r>
    </w:p>
    <w:p>
      <w:pPr>
        <w:pStyle w:val="BodyText"/>
        <w:ind w:left="590"/>
        <w:spacing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440" w:firstLine="730"/>
        <w:spacing w:before="10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33" w:firstLine="730"/>
        <w:spacing w:before="156" w:line="26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pStyle w:val="BodyText"/>
        <w:ind w:left="590"/>
        <w:spacing w:before="122"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spacing w:before="99"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90"/>
        <w:spacing w:before="9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00" w:firstLine="590"/>
        <w:spacing w:before="165" w:line="314"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81"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90"/>
        <w:spacing w:before="87" w:line="219" w:lineRule="auto"/>
        <w:rPr>
          <w:sz w:val="29"/>
          <w:szCs w:val="29"/>
        </w:rPr>
      </w:pPr>
      <w:r>
        <w:rPr>
          <w:sz w:val="29"/>
          <w:szCs w:val="29"/>
          <w:spacing w:val="2"/>
        </w:rPr>
        <w:t>气温较高，天气较干燥，注意浇水与病虫害防治。</w:t>
      </w:r>
    </w:p>
    <w:p>
      <w:pPr>
        <w:pStyle w:val="BodyText"/>
        <w:ind w:left="590"/>
        <w:spacing w:before="32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14" w:line="219" w:lineRule="auto"/>
        <w:rPr>
          <w:sz w:val="29"/>
          <w:szCs w:val="29"/>
        </w:rPr>
      </w:pPr>
      <w:r>
        <w:rPr>
          <w:sz w:val="29"/>
          <w:szCs w:val="29"/>
          <w:spacing w:val="1"/>
        </w:rPr>
        <w:t>及时检查乔木支撑情况，发现松动或缺失立即加固</w:t>
      </w:r>
    </w:p>
    <w:p>
      <w:pPr>
        <w:ind w:left="590"/>
        <w:spacing w:before="12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590"/>
        <w:spacing w:before="114" w:line="219" w:lineRule="auto"/>
        <w:rPr>
          <w:sz w:val="29"/>
          <w:szCs w:val="29"/>
        </w:rPr>
      </w:pPr>
      <w:r>
        <w:rPr>
          <w:sz w:val="29"/>
          <w:szCs w:val="29"/>
        </w:rPr>
        <w:t>乔木、花灌木及草坪生长迅速，及时做好修剪工作。</w:t>
      </w:r>
    </w:p>
    <w:p>
      <w:pPr>
        <w:ind w:left="590"/>
        <w:spacing w:before="10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81" w:firstLine="730"/>
        <w:spacing w:before="171" w:line="263" w:lineRule="auto"/>
        <w:rPr>
          <w:sz w:val="29"/>
          <w:szCs w:val="29"/>
        </w:rPr>
      </w:pPr>
      <w:r>
        <w:rPr>
          <w:sz w:val="29"/>
          <w:szCs w:val="29"/>
          <w:spacing w:val="8"/>
        </w:rPr>
        <w:t>(1)本月相对干燥少雨，注意苗木实时浇水，同时也要注</w:t>
      </w:r>
      <w:r>
        <w:rPr>
          <w:sz w:val="29"/>
          <w:szCs w:val="29"/>
          <w:spacing w:val="7"/>
        </w:rPr>
        <w:t>意时花的适时浇</w:t>
      </w:r>
      <w:r>
        <w:rPr>
          <w:sz w:val="29"/>
          <w:szCs w:val="29"/>
        </w:rPr>
        <w:t xml:space="preserve"> </w:t>
      </w:r>
      <w:r>
        <w:rPr>
          <w:sz w:val="29"/>
          <w:szCs w:val="29"/>
          <w:spacing w:val="-8"/>
        </w:rPr>
        <w:t>水；</w:t>
      </w:r>
    </w:p>
    <w:p>
      <w:pPr>
        <w:pStyle w:val="BodyText"/>
        <w:ind w:right="373" w:firstLine="730"/>
        <w:spacing w:before="123" w:line="272" w:lineRule="auto"/>
        <w:rPr>
          <w:sz w:val="29"/>
          <w:szCs w:val="29"/>
        </w:rPr>
      </w:pPr>
      <w:r>
        <w:rPr>
          <w:sz w:val="29"/>
          <w:szCs w:val="29"/>
          <w:spacing w:val="8"/>
        </w:rPr>
        <w:t>(2)施秋肥：植物长势较差的可以施氮磷钾均衡的无机复合肥一次。养护</w:t>
      </w:r>
      <w:r>
        <w:rPr>
          <w:sz w:val="29"/>
          <w:szCs w:val="29"/>
          <w:spacing w:val="1"/>
        </w:rPr>
        <w:t xml:space="preserve"> </w:t>
      </w:r>
      <w:r>
        <w:rPr>
          <w:sz w:val="29"/>
          <w:szCs w:val="29"/>
          <w:spacing w:val="1"/>
        </w:rPr>
        <w:t>期不足3年的黑土地施有益菌类生物肥一次；</w:t>
      </w:r>
    </w:p>
    <w:p>
      <w:pPr>
        <w:pStyle w:val="BodyText"/>
        <w:ind w:left="730"/>
        <w:spacing w:before="156" w:line="219" w:lineRule="auto"/>
        <w:rPr>
          <w:sz w:val="29"/>
          <w:szCs w:val="29"/>
        </w:rPr>
      </w:pPr>
      <w:r>
        <w:rPr>
          <w:sz w:val="29"/>
          <w:szCs w:val="29"/>
          <w:spacing w:val="2"/>
        </w:rPr>
        <w:t>(3)九月下旬至十月上旬对本地耐寒差的植</w:t>
      </w:r>
      <w:r>
        <w:rPr>
          <w:sz w:val="29"/>
          <w:szCs w:val="29"/>
          <w:spacing w:val="1"/>
        </w:rPr>
        <w:t>物喷施2次植物专用防冻液。</w:t>
      </w:r>
    </w:p>
    <w:p>
      <w:pPr>
        <w:pStyle w:val="BodyText"/>
        <w:ind w:left="590"/>
        <w:spacing w:before="95" w:line="221" w:lineRule="auto"/>
        <w:rPr>
          <w:rFonts w:ascii="SimHei" w:hAnsi="SimHei" w:eastAsia="SimHei" w:cs="SimHei"/>
          <w:sz w:val="29"/>
          <w:szCs w:val="29"/>
        </w:rPr>
      </w:pPr>
      <w:r>
        <w:rPr>
          <w:rFonts w:ascii="Arial" w:hAnsi="Arial" w:eastAsia="Arial" w:cs="Arial"/>
          <w:sz w:val="29"/>
          <w:szCs w:val="29"/>
          <w:spacing w:val="-6"/>
        </w:rPr>
        <w:t>4</w:t>
      </w:r>
      <w:r>
        <w:rPr>
          <w:sz w:val="29"/>
          <w:szCs w:val="29"/>
          <w:spacing w:val="-6"/>
        </w:rPr>
        <w:t>、</w:t>
      </w:r>
      <w:r>
        <w:rPr>
          <w:rFonts w:ascii="SimHei" w:hAnsi="SimHei" w:eastAsia="SimHei" w:cs="SimHei"/>
          <w:sz w:val="29"/>
          <w:szCs w:val="29"/>
          <w:spacing w:val="-6"/>
        </w:rPr>
        <w:t>病虫害防治</w:t>
      </w:r>
    </w:p>
    <w:p>
      <w:pPr>
        <w:pStyle w:val="BodyText"/>
        <w:ind w:right="439" w:firstLine="730"/>
        <w:spacing w:before="164" w:line="263"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1"/>
        </w:rPr>
        <w:t>枯病、草坪腐霉枯萎病、冠瘿病、花叶病等；</w:t>
      </w:r>
    </w:p>
    <w:p>
      <w:pPr>
        <w:pStyle w:val="BodyText"/>
        <w:ind w:right="379" w:firstLine="730"/>
        <w:spacing w:before="143" w:line="281" w:lineRule="auto"/>
        <w:rPr>
          <w:sz w:val="29"/>
          <w:szCs w:val="29"/>
        </w:rPr>
      </w:pPr>
      <w:r>
        <w:rPr>
          <w:sz w:val="29"/>
          <w:szCs w:val="29"/>
          <w:spacing w:val="8"/>
        </w:rPr>
        <w:t>(2)虫害：大青叶蝉、花蓟马、光肩星天牛、芳香木蠹蛾、</w:t>
      </w:r>
      <w:r>
        <w:rPr>
          <w:sz w:val="29"/>
          <w:szCs w:val="29"/>
          <w:spacing w:val="7"/>
        </w:rPr>
        <w:t>铜绿丽金龟、</w:t>
      </w:r>
      <w:r>
        <w:rPr>
          <w:sz w:val="29"/>
          <w:szCs w:val="29"/>
        </w:rPr>
        <w:t xml:space="preserve"> </w:t>
      </w:r>
      <w:r>
        <w:rPr>
          <w:sz w:val="29"/>
          <w:szCs w:val="29"/>
          <w:spacing w:val="-9"/>
        </w:rPr>
        <w:t>大地老虎、蝼蛄、细胸金针虫、黄刺蛾、丽绿刺蛾、褐边绿刺蛾、茶袋蛾、黄尾毒</w:t>
      </w:r>
      <w:r>
        <w:rPr>
          <w:sz w:val="29"/>
          <w:szCs w:val="29"/>
          <w:spacing w:val="8"/>
        </w:rPr>
        <w:t xml:space="preserve"> </w:t>
      </w:r>
      <w:r>
        <w:rPr>
          <w:sz w:val="29"/>
          <w:szCs w:val="29"/>
        </w:rPr>
        <w:t>蛾、丝棉木金星尺蛾、柑桔凤蝶、柳蓝叶甲等。</w:t>
      </w:r>
    </w:p>
    <w:p>
      <w:pPr>
        <w:pStyle w:val="BodyText"/>
        <w:ind w:left="590"/>
        <w:spacing w:before="139"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left="730"/>
        <w:spacing w:before="124" w:line="219" w:lineRule="auto"/>
        <w:rPr>
          <w:sz w:val="29"/>
          <w:szCs w:val="29"/>
        </w:rPr>
      </w:pPr>
      <w:r>
        <w:rPr>
          <w:sz w:val="29"/>
          <w:szCs w:val="29"/>
          <w:spacing w:val="8"/>
        </w:rPr>
        <w:t>(1)保洁人员合理分区，全天候巡视，及时清理烟头、树挂</w:t>
      </w:r>
      <w:r>
        <w:rPr>
          <w:sz w:val="29"/>
          <w:szCs w:val="29"/>
          <w:spacing w:val="7"/>
        </w:rPr>
        <w:t>等垃圾，水景</w:t>
      </w:r>
    </w:p>
    <w:p>
      <w:pPr>
        <w:spacing w:line="219" w:lineRule="auto"/>
        <w:sectPr>
          <w:footerReference w:type="default" r:id="rId521"/>
          <w:pgSz w:w="14490" w:h="20470"/>
          <w:pgMar w:top="400" w:right="1834" w:bottom="1143" w:left="2150" w:header="0" w:footer="94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池、灯杆、垃圾桶保持干净；</w:t>
      </w:r>
    </w:p>
    <w:p>
      <w:pPr>
        <w:pStyle w:val="BodyText"/>
        <w:ind w:right="333" w:firstLine="730"/>
        <w:spacing w:before="157" w:line="308"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2"/>
          <w:position w:val="1"/>
        </w:rPr>
        <w:t>6</w:t>
      </w:r>
      <w:r>
        <w:rPr>
          <w:sz w:val="29"/>
          <w:szCs w:val="29"/>
          <w:spacing w:val="2"/>
          <w:position w:val="1"/>
        </w:rPr>
        <w:t>、</w:t>
      </w:r>
      <w:r>
        <w:rPr>
          <w:rFonts w:ascii="SimHei" w:hAnsi="SimHei" w:eastAsia="SimHei" w:cs="SimHei"/>
          <w:sz w:val="29"/>
          <w:szCs w:val="29"/>
          <w:spacing w:val="2"/>
          <w:position w:val="1"/>
        </w:rPr>
        <w:t>时花摆放</w:t>
      </w:r>
    </w:p>
    <w:p>
      <w:pPr>
        <w:pStyle w:val="BodyText"/>
        <w:ind w:left="730"/>
        <w:spacing w:before="10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23"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341" w:firstLine="730"/>
        <w:spacing w:before="144"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3"/>
        </w:rPr>
        <w:t>危险品。</w:t>
      </w:r>
    </w:p>
    <w:p>
      <w:pPr>
        <w:pStyle w:val="BodyText"/>
        <w:ind w:right="287" w:firstLine="730"/>
        <w:spacing w:before="163" w:line="267"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1"/>
        </w:rPr>
        <w:t>及其它物资。</w:t>
      </w:r>
    </w:p>
    <w:p>
      <w:pPr>
        <w:pStyle w:val="BodyText"/>
        <w:ind w:left="570"/>
        <w:spacing w:before="127"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firstLine="570"/>
        <w:spacing w:before="10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62"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570"/>
        <w:spacing w:before="117" w:line="219" w:lineRule="auto"/>
        <w:rPr>
          <w:sz w:val="29"/>
          <w:szCs w:val="29"/>
        </w:rPr>
      </w:pPr>
      <w:r>
        <w:rPr>
          <w:sz w:val="29"/>
          <w:szCs w:val="29"/>
          <w:spacing w:val="4"/>
        </w:rPr>
        <w:t>气温逐渐变凉，天气干燥，注意水肥管理。</w:t>
      </w:r>
    </w:p>
    <w:p>
      <w:pPr>
        <w:pStyle w:val="BodyText"/>
        <w:ind w:left="570"/>
        <w:spacing w:before="26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43" w:line="219" w:lineRule="auto"/>
        <w:rPr>
          <w:sz w:val="29"/>
          <w:szCs w:val="29"/>
        </w:rPr>
      </w:pPr>
      <w:r>
        <w:rPr>
          <w:sz w:val="29"/>
          <w:szCs w:val="29"/>
          <w:spacing w:val="2"/>
        </w:rPr>
        <w:t>及时检查乔木支撑情况，发现松动或缺失立即加固</w:t>
      </w:r>
    </w:p>
    <w:p>
      <w:pPr>
        <w:ind w:left="570"/>
        <w:spacing w:before="104"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339" w:firstLine="730"/>
        <w:spacing w:before="141" w:line="266" w:lineRule="auto"/>
        <w:rPr>
          <w:sz w:val="29"/>
          <w:szCs w:val="29"/>
        </w:rPr>
      </w:pPr>
      <w:r>
        <w:rPr>
          <w:sz w:val="29"/>
          <w:szCs w:val="29"/>
          <w:spacing w:val="6"/>
        </w:rPr>
        <w:t>(1)进行绿篱及小乔木、灌木的全面修剪。剪去病枝，枯枝、有虫卵枝及</w:t>
      </w:r>
      <w:r>
        <w:rPr>
          <w:sz w:val="29"/>
          <w:szCs w:val="29"/>
          <w:spacing w:val="1"/>
        </w:rPr>
        <w:t xml:space="preserve"> </w:t>
      </w:r>
      <w:r>
        <w:rPr>
          <w:sz w:val="29"/>
          <w:szCs w:val="29"/>
          <w:spacing w:val="-2"/>
        </w:rPr>
        <w:t>竞争枝、过密枝等；</w:t>
      </w:r>
    </w:p>
    <w:p>
      <w:pPr>
        <w:pStyle w:val="BodyText"/>
        <w:ind w:right="380" w:firstLine="730"/>
        <w:spacing w:before="157" w:line="259" w:lineRule="auto"/>
        <w:rPr>
          <w:sz w:val="29"/>
          <w:szCs w:val="29"/>
        </w:rPr>
      </w:pPr>
      <w:r>
        <w:rPr>
          <w:sz w:val="29"/>
          <w:szCs w:val="29"/>
          <w:spacing w:val="5"/>
        </w:rPr>
        <w:t>(2)修剪行道树时，操作时要严格掌握操作规程和技术要</w:t>
      </w:r>
      <w:r>
        <w:rPr>
          <w:sz w:val="29"/>
          <w:szCs w:val="29"/>
          <w:spacing w:val="4"/>
        </w:rPr>
        <w:t>求。注意安全，</w:t>
      </w:r>
      <w:r>
        <w:rPr>
          <w:sz w:val="29"/>
          <w:szCs w:val="29"/>
        </w:rPr>
        <w:t xml:space="preserve"> </w:t>
      </w:r>
      <w:r>
        <w:rPr>
          <w:sz w:val="29"/>
          <w:szCs w:val="29"/>
          <w:spacing w:val="1"/>
        </w:rPr>
        <w:t>耐寒性差的植物晚秋与冬季尽量不进行修剪。</w:t>
      </w:r>
    </w:p>
    <w:p>
      <w:pPr>
        <w:ind w:left="570"/>
        <w:spacing w:before="193"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114" w:line="219" w:lineRule="auto"/>
        <w:rPr>
          <w:sz w:val="29"/>
          <w:szCs w:val="29"/>
        </w:rPr>
      </w:pPr>
      <w:r>
        <w:rPr>
          <w:sz w:val="29"/>
          <w:szCs w:val="29"/>
          <w:spacing w:val="6"/>
        </w:rPr>
        <w:t>(1)注意苗木实时浇水，同时也要注意时花的适时浇水；</w:t>
      </w:r>
    </w:p>
    <w:p>
      <w:pPr>
        <w:pStyle w:val="BodyText"/>
        <w:ind w:right="653" w:firstLine="730"/>
        <w:spacing w:before="145" w:line="266" w:lineRule="auto"/>
        <w:rPr>
          <w:sz w:val="29"/>
          <w:szCs w:val="29"/>
        </w:rPr>
      </w:pPr>
      <w:r>
        <w:rPr>
          <w:sz w:val="29"/>
          <w:szCs w:val="29"/>
          <w:spacing w:val="1"/>
        </w:rPr>
        <w:t>(2)本月中旬养护期超过3年的黑土地及沙土地或黄土地，全园追</w:t>
      </w:r>
      <w:r>
        <w:rPr>
          <w:sz w:val="29"/>
          <w:szCs w:val="29"/>
        </w:rPr>
        <w:t>施一次 </w:t>
      </w:r>
      <w:r>
        <w:rPr>
          <w:sz w:val="29"/>
          <w:szCs w:val="29"/>
          <w:spacing w:val="10"/>
        </w:rPr>
        <w:t>有机复合肥(有机质45%,养护期不足3年的黑土地施有益菌类生物肥一次。</w:t>
      </w:r>
    </w:p>
    <w:p>
      <w:pPr>
        <w:pStyle w:val="BodyText"/>
        <w:ind w:left="570"/>
        <w:spacing w:before="112"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44" w:line="219" w:lineRule="auto"/>
        <w:rPr>
          <w:sz w:val="29"/>
          <w:szCs w:val="29"/>
        </w:rPr>
      </w:pPr>
      <w:r>
        <w:rPr>
          <w:sz w:val="29"/>
          <w:szCs w:val="29"/>
          <w:spacing w:val="5"/>
        </w:rPr>
        <w:t>(1)病害：白粉病、叶斑类病害、锈病、叶枯病、干腐病、冠瘿病等；</w:t>
      </w:r>
    </w:p>
    <w:p>
      <w:pPr>
        <w:pStyle w:val="BodyText"/>
        <w:ind w:right="284" w:firstLine="730"/>
        <w:spacing w:before="138" w:line="268" w:lineRule="auto"/>
        <w:rPr>
          <w:sz w:val="29"/>
          <w:szCs w:val="29"/>
        </w:rPr>
      </w:pPr>
      <w:r>
        <w:rPr>
          <w:sz w:val="29"/>
          <w:szCs w:val="29"/>
          <w:spacing w:val="8"/>
        </w:rPr>
        <w:t>(2)虫害：大青叶蝉、桃瘤蚜、桔绿粉虱、光肩星</w:t>
      </w:r>
      <w:r>
        <w:rPr>
          <w:sz w:val="29"/>
          <w:szCs w:val="29"/>
          <w:spacing w:val="7"/>
        </w:rPr>
        <w:t>天牛、芳香木蠹蛾、铜</w:t>
      </w:r>
      <w:r>
        <w:rPr>
          <w:sz w:val="29"/>
          <w:szCs w:val="29"/>
        </w:rPr>
        <w:t xml:space="preserve"> </w:t>
      </w:r>
      <w:r>
        <w:rPr>
          <w:sz w:val="29"/>
          <w:szCs w:val="29"/>
          <w:spacing w:val="-23"/>
        </w:rPr>
        <w:t>绿丽金龟、大地老虎、细胸金针虫、褐边绿刺蛾、丝棉木金星尺蛾、柑</w:t>
      </w:r>
      <w:r>
        <w:rPr>
          <w:sz w:val="29"/>
          <w:szCs w:val="29"/>
          <w:spacing w:val="-24"/>
        </w:rPr>
        <w:t>桔凤蝶等。</w:t>
      </w:r>
    </w:p>
    <w:p>
      <w:pPr>
        <w:pStyle w:val="BodyText"/>
        <w:ind w:left="570"/>
        <w:spacing w:before="14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left="730"/>
        <w:spacing w:before="94" w:line="219" w:lineRule="auto"/>
        <w:rPr>
          <w:sz w:val="29"/>
          <w:szCs w:val="29"/>
        </w:rPr>
      </w:pPr>
      <w:r>
        <w:rPr>
          <w:sz w:val="29"/>
          <w:szCs w:val="29"/>
          <w:spacing w:val="7"/>
        </w:rPr>
        <w:t>(1)保洁人员合理分区，全天候巡视，及时清理烟头、树挂等垃圾，水景</w:t>
      </w:r>
    </w:p>
    <w:p>
      <w:pPr>
        <w:spacing w:line="219" w:lineRule="auto"/>
        <w:sectPr>
          <w:footerReference w:type="default" r:id="rId522"/>
          <w:pgSz w:w="14490" w:h="20470"/>
          <w:pgMar w:top="400" w:right="1935" w:bottom="1143" w:left="2150" w:header="0" w:footer="94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池、灯杆、垃圾桶保持干净；</w:t>
      </w:r>
    </w:p>
    <w:p>
      <w:pPr>
        <w:pStyle w:val="BodyText"/>
        <w:ind w:right="403" w:firstLine="730"/>
        <w:spacing w:before="146" w:line="321"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70"/>
        <w:spacing w:before="10"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11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90" w:firstLine="570"/>
        <w:spacing w:before="14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before="35"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7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49"/>
          <w:position w:val="1"/>
        </w:rPr>
        <w:t xml:space="preserve"> </w:t>
      </w:r>
      <w:r>
        <w:rPr>
          <w:rFonts w:ascii="SimHei" w:hAnsi="SimHei" w:eastAsia="SimHei" w:cs="SimHei"/>
          <w:sz w:val="27"/>
          <w:szCs w:val="27"/>
          <w:spacing w:val="-17"/>
          <w:position w:val="1"/>
        </w:rPr>
        <w:t>寒</w:t>
      </w:r>
    </w:p>
    <w:p>
      <w:pPr>
        <w:pStyle w:val="BodyText"/>
        <w:ind w:right="463" w:firstLine="570"/>
        <w:spacing w:before="91" w:line="322" w:lineRule="auto"/>
        <w:rPr>
          <w:sz w:val="29"/>
          <w:szCs w:val="29"/>
        </w:rPr>
      </w:pPr>
      <w:r>
        <w:rPr>
          <w:sz w:val="29"/>
          <w:szCs w:val="29"/>
          <w:spacing w:val="-3"/>
        </w:rPr>
        <w:t>根据天气情况在十月下旬开始陆续对乔灌木进行防</w:t>
      </w:r>
      <w:r>
        <w:rPr>
          <w:sz w:val="29"/>
          <w:szCs w:val="29"/>
          <w:spacing w:val="-4"/>
        </w:rPr>
        <w:t>寒。温度出现突降，做好</w:t>
      </w:r>
      <w:r>
        <w:rPr>
          <w:sz w:val="29"/>
          <w:szCs w:val="29"/>
        </w:rPr>
        <w:t xml:space="preserve"> </w:t>
      </w:r>
      <w:r>
        <w:rPr>
          <w:sz w:val="29"/>
          <w:szCs w:val="29"/>
          <w:spacing w:val="-5"/>
        </w:rPr>
        <w:t>时花防寒。</w:t>
      </w:r>
    </w:p>
    <w:p>
      <w:pPr>
        <w:spacing w:before="42"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126" w:line="219" w:lineRule="auto"/>
        <w:rPr>
          <w:sz w:val="29"/>
          <w:szCs w:val="29"/>
        </w:rPr>
      </w:pPr>
      <w:r>
        <w:rPr>
          <w:sz w:val="29"/>
          <w:szCs w:val="29"/>
          <w:spacing w:val="3"/>
        </w:rPr>
        <w:t>气温继续下降，有雨雪出现，注意防寒浇冻水。</w:t>
      </w:r>
    </w:p>
    <w:p>
      <w:pPr>
        <w:pStyle w:val="BodyText"/>
        <w:ind w:left="570"/>
        <w:spacing w:before="27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23" w:line="219" w:lineRule="auto"/>
        <w:rPr>
          <w:sz w:val="29"/>
          <w:szCs w:val="29"/>
        </w:rPr>
      </w:pPr>
      <w:r>
        <w:rPr>
          <w:sz w:val="29"/>
          <w:szCs w:val="29"/>
          <w:spacing w:val="6"/>
        </w:rPr>
        <w:t>(1)检查防寒设施的完好情况，发现破损立即修补；</w:t>
      </w:r>
    </w:p>
    <w:p>
      <w:pPr>
        <w:pStyle w:val="BodyText"/>
        <w:ind w:left="730"/>
        <w:spacing w:before="147" w:line="219" w:lineRule="auto"/>
        <w:rPr>
          <w:sz w:val="29"/>
          <w:szCs w:val="29"/>
        </w:rPr>
      </w:pPr>
      <w:r>
        <w:rPr>
          <w:sz w:val="29"/>
          <w:szCs w:val="29"/>
          <w:spacing w:val="9"/>
        </w:rPr>
        <w:t>(2)及时检查乔木支撑情况，发现松动或缺失立即加固</w:t>
      </w:r>
    </w:p>
    <w:p>
      <w:pPr>
        <w:ind w:left="570"/>
        <w:spacing w:before="13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410" w:firstLine="570"/>
        <w:spacing w:before="114" w:line="324" w:lineRule="auto"/>
        <w:rPr>
          <w:sz w:val="29"/>
          <w:szCs w:val="29"/>
        </w:rPr>
      </w:pPr>
      <w:r>
        <w:rPr>
          <w:sz w:val="29"/>
          <w:szCs w:val="29"/>
          <w:spacing w:val="-10"/>
        </w:rPr>
        <w:t>以整形为主，衰弱树可重剪；对苗木的风折枝、病虫枝、断枝</w:t>
      </w:r>
      <w:r>
        <w:rPr>
          <w:sz w:val="29"/>
          <w:szCs w:val="29"/>
          <w:spacing w:val="-11"/>
        </w:rPr>
        <w:t>、枯死枝、内膛</w:t>
      </w:r>
      <w:r>
        <w:rPr>
          <w:sz w:val="29"/>
          <w:szCs w:val="29"/>
        </w:rPr>
        <w:t xml:space="preserve"> </w:t>
      </w:r>
      <w:r>
        <w:rPr>
          <w:sz w:val="29"/>
          <w:szCs w:val="29"/>
          <w:spacing w:val="1"/>
        </w:rPr>
        <w:t>枝进行修剪并对苗木进行整形修剪，保证乔木树形优</w:t>
      </w:r>
      <w:r>
        <w:rPr>
          <w:sz w:val="29"/>
          <w:szCs w:val="29"/>
        </w:rPr>
        <w:t>美。</w:t>
      </w:r>
    </w:p>
    <w:p>
      <w:pPr>
        <w:ind w:left="570"/>
        <w:spacing w:before="1" w:line="221"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563" w:firstLine="570"/>
        <w:spacing w:before="124" w:line="320" w:lineRule="auto"/>
        <w:rPr>
          <w:sz w:val="29"/>
          <w:szCs w:val="29"/>
        </w:rPr>
      </w:pPr>
      <w:r>
        <w:rPr>
          <w:sz w:val="29"/>
          <w:szCs w:val="29"/>
          <w:spacing w:val="2"/>
        </w:rPr>
        <w:t>在封冻前完成冬灌工作，并在浇完冻水后封树穴，11月底完成。注：封冻</w:t>
      </w:r>
      <w:r>
        <w:rPr>
          <w:sz w:val="29"/>
          <w:szCs w:val="29"/>
          <w:spacing w:val="14"/>
        </w:rPr>
        <w:t xml:space="preserve"> </w:t>
      </w:r>
      <w:r>
        <w:rPr>
          <w:sz w:val="29"/>
          <w:szCs w:val="29"/>
        </w:rPr>
        <w:t>水对植物安然越冬意义重大，必须浇透。</w:t>
      </w:r>
    </w:p>
    <w:p>
      <w:pPr>
        <w:pStyle w:val="BodyText"/>
        <w:ind w:left="570"/>
        <w:spacing w:before="1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05" w:line="219" w:lineRule="auto"/>
        <w:rPr>
          <w:sz w:val="27"/>
          <w:szCs w:val="27"/>
        </w:rPr>
      </w:pPr>
      <w:r>
        <w:rPr>
          <w:sz w:val="27"/>
          <w:szCs w:val="27"/>
          <w:spacing w:val="28"/>
        </w:rPr>
        <w:t>(1)病害：白粉病、叶斑类病害、叶枯病</w:t>
      </w:r>
    </w:p>
    <w:p>
      <w:pPr>
        <w:pStyle w:val="BodyText"/>
        <w:ind w:left="730"/>
        <w:spacing w:before="159" w:line="219" w:lineRule="auto"/>
        <w:rPr>
          <w:sz w:val="29"/>
          <w:szCs w:val="29"/>
        </w:rPr>
      </w:pPr>
      <w:r>
        <w:rPr>
          <w:sz w:val="29"/>
          <w:szCs w:val="29"/>
          <w:spacing w:val="9"/>
        </w:rPr>
        <w:t>(2)虫害：大青叶蝉、桔绿粉虱、光肩星天牛、芳香木蠹蛾</w:t>
      </w:r>
    </w:p>
    <w:p>
      <w:pPr>
        <w:pStyle w:val="BodyText"/>
        <w:ind w:left="570"/>
        <w:spacing w:before="6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10" w:firstLine="730"/>
        <w:spacing w:before="14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rPr>
        <w:t>池、灯杆、垃圾桶保持干净；</w:t>
      </w:r>
    </w:p>
    <w:p>
      <w:pPr>
        <w:pStyle w:val="BodyText"/>
        <w:ind w:right="403" w:firstLine="730"/>
        <w:spacing w:before="126"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right="331" w:firstLine="730"/>
        <w:spacing w:before="15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rPr>
        <w:t>雪融化后露出的垃圾、废弃物的全面全面清理。</w:t>
      </w:r>
    </w:p>
    <w:p>
      <w:pPr>
        <w:spacing w:line="281" w:lineRule="auto"/>
        <w:sectPr>
          <w:footerReference w:type="default" r:id="rId523"/>
          <w:pgSz w:w="14490" w:h="20470"/>
          <w:pgMar w:top="400" w:right="1844" w:bottom="1143" w:left="2150" w:header="0" w:footer="944" w:gutter="0"/>
        </w:sectPr>
        <w:rPr>
          <w:sz w:val="29"/>
          <w:szCs w:val="29"/>
        </w:rPr>
      </w:pP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pStyle w:val="BodyText"/>
        <w:ind w:left="590"/>
        <w:spacing w:before="94"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spacing w:before="128"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90"/>
        <w:spacing w:before="11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10" w:firstLine="59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90"/>
        <w:spacing w:before="24"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7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59"/>
          <w:position w:val="1"/>
        </w:rPr>
        <w:t xml:space="preserve"> </w:t>
      </w:r>
      <w:r>
        <w:rPr>
          <w:rFonts w:ascii="SimHei" w:hAnsi="SimHei" w:eastAsia="SimHei" w:cs="SimHei"/>
          <w:sz w:val="27"/>
          <w:szCs w:val="27"/>
          <w:spacing w:val="-17"/>
          <w:position w:val="1"/>
        </w:rPr>
        <w:t>寒</w:t>
      </w:r>
    </w:p>
    <w:p>
      <w:pPr>
        <w:pStyle w:val="BodyText"/>
        <w:ind w:right="641" w:firstLine="590"/>
        <w:spacing w:before="124" w:line="316" w:lineRule="auto"/>
        <w:rPr>
          <w:sz w:val="29"/>
          <w:szCs w:val="29"/>
        </w:rPr>
      </w:pPr>
      <w:r>
        <w:rPr>
          <w:sz w:val="29"/>
          <w:szCs w:val="29"/>
          <w:spacing w:val="-9"/>
        </w:rPr>
        <w:t>对于有新栽植的苗木，要做好防寒、灌封冻水等措施，保证新栽植苗木安全</w:t>
      </w:r>
      <w:r>
        <w:rPr>
          <w:sz w:val="29"/>
          <w:szCs w:val="29"/>
          <w:spacing w:val="9"/>
        </w:rPr>
        <w:t xml:space="preserve"> </w:t>
      </w:r>
      <w:r>
        <w:rPr>
          <w:sz w:val="29"/>
          <w:szCs w:val="29"/>
          <w:spacing w:val="-2"/>
        </w:rPr>
        <w:t>越冬。</w:t>
      </w:r>
    </w:p>
    <w:p>
      <w:pPr>
        <w:spacing w:before="28"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590"/>
        <w:spacing w:before="111" w:line="219" w:lineRule="auto"/>
        <w:rPr>
          <w:sz w:val="29"/>
          <w:szCs w:val="29"/>
        </w:rPr>
      </w:pPr>
      <w:r>
        <w:rPr>
          <w:sz w:val="29"/>
          <w:szCs w:val="29"/>
          <w:spacing w:val="6"/>
        </w:rPr>
        <w:t>低气温，开始冬季养护工作。</w:t>
      </w:r>
    </w:p>
    <w:p>
      <w:pPr>
        <w:pStyle w:val="BodyText"/>
        <w:ind w:left="590"/>
        <w:spacing w:before="26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134" w:line="219" w:lineRule="auto"/>
        <w:rPr>
          <w:sz w:val="29"/>
          <w:szCs w:val="29"/>
        </w:rPr>
      </w:pPr>
      <w:r>
        <w:rPr>
          <w:sz w:val="29"/>
          <w:szCs w:val="29"/>
          <w:spacing w:val="6"/>
        </w:rPr>
        <w:t>(1)检查防寒设施的完好情况，发现破损立即修补；</w:t>
      </w:r>
    </w:p>
    <w:p>
      <w:pPr>
        <w:pStyle w:val="BodyText"/>
        <w:ind w:left="730"/>
        <w:spacing w:before="146" w:line="219" w:lineRule="auto"/>
        <w:rPr>
          <w:sz w:val="29"/>
          <w:szCs w:val="29"/>
        </w:rPr>
      </w:pPr>
      <w:r>
        <w:rPr>
          <w:sz w:val="29"/>
          <w:szCs w:val="29"/>
          <w:spacing w:val="9"/>
        </w:rPr>
        <w:t>(2)及时检查乔木支撑情况，发现松动或缺失立即加固</w:t>
      </w:r>
    </w:p>
    <w:p>
      <w:pPr>
        <w:pStyle w:val="BodyText"/>
        <w:ind w:left="590"/>
        <w:spacing w:before="129" w:line="224"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保洁</w:t>
      </w:r>
    </w:p>
    <w:p>
      <w:pPr>
        <w:pStyle w:val="BodyText"/>
        <w:ind w:right="449" w:firstLine="730"/>
        <w:spacing w:before="103" w:line="27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51" w:firstLine="730"/>
        <w:spacing w:before="165"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3"/>
        </w:rPr>
        <w:t>雪融化后露出的垃圾、废弃物的全面清理</w:t>
      </w:r>
    </w:p>
    <w:p>
      <w:pPr>
        <w:pStyle w:val="BodyText"/>
        <w:ind w:left="590"/>
        <w:spacing w:before="134"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时花摆放</w:t>
      </w:r>
    </w:p>
    <w:p>
      <w:pPr>
        <w:pStyle w:val="BodyText"/>
        <w:ind w:left="730"/>
        <w:spacing w:before="98" w:line="219" w:lineRule="auto"/>
        <w:rPr>
          <w:sz w:val="29"/>
          <w:szCs w:val="29"/>
        </w:rPr>
      </w:pPr>
      <w:r>
        <w:rPr>
          <w:sz w:val="29"/>
          <w:szCs w:val="29"/>
          <w:spacing w:val="7"/>
        </w:rPr>
        <w:t>(1)月初提交时花需求计划，选择亮色花卉，安排下旬进场；</w:t>
      </w:r>
    </w:p>
    <w:p>
      <w:pPr>
        <w:pStyle w:val="BodyText"/>
        <w:ind w:left="730"/>
        <w:spacing w:before="165"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04" w:line="222" w:lineRule="auto"/>
        <w:rPr>
          <w:rFonts w:ascii="SimHei" w:hAnsi="SimHei" w:eastAsia="SimHei" w:cs="SimHei"/>
          <w:sz w:val="28"/>
          <w:szCs w:val="28"/>
        </w:rPr>
      </w:pPr>
      <w:r>
        <w:rPr>
          <w:rFonts w:ascii="SimHei" w:hAnsi="SimHei" w:eastAsia="SimHei" w:cs="SimHei"/>
          <w:sz w:val="28"/>
          <w:szCs w:val="28"/>
          <w:spacing w:val="16"/>
        </w:rPr>
        <w:t>4、物资管理</w:t>
      </w:r>
    </w:p>
    <w:p>
      <w:pPr>
        <w:pStyle w:val="BodyText"/>
        <w:ind w:right="451" w:firstLine="730"/>
        <w:spacing w:before="125" w:line="27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right="401" w:firstLine="730"/>
        <w:spacing w:before="143" w:line="262" w:lineRule="auto"/>
        <w:rPr>
          <w:sz w:val="29"/>
          <w:szCs w:val="29"/>
        </w:rPr>
      </w:pPr>
      <w:r>
        <w:rPr>
          <w:sz w:val="29"/>
          <w:szCs w:val="29"/>
          <w:spacing w:val="3"/>
        </w:rPr>
        <w:t>(2)根据现场的实际情况，申请购置翌年1、2、3月份的农药、化肥</w:t>
      </w:r>
      <w:r>
        <w:rPr>
          <w:sz w:val="29"/>
          <w:szCs w:val="29"/>
          <w:spacing w:val="2"/>
        </w:rPr>
        <w:t>、营养</w:t>
      </w:r>
      <w:r>
        <w:rPr>
          <w:sz w:val="29"/>
          <w:szCs w:val="29"/>
        </w:rPr>
        <w:t xml:space="preserve"> </w:t>
      </w:r>
      <w:r>
        <w:rPr>
          <w:sz w:val="29"/>
          <w:szCs w:val="29"/>
        </w:rPr>
        <w:t>剂及其它物资。</w:t>
      </w:r>
    </w:p>
    <w:p>
      <w:pPr>
        <w:pStyle w:val="BodyText"/>
        <w:ind w:left="590"/>
        <w:spacing w:before="153"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防火防盗</w:t>
      </w:r>
    </w:p>
    <w:p>
      <w:pPr>
        <w:pStyle w:val="BodyText"/>
        <w:ind w:right="110" w:firstLine="590"/>
        <w:spacing w:before="10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14" w:lineRule="auto"/>
        <w:sectPr>
          <w:footerReference w:type="default" r:id="rId524"/>
          <w:pgSz w:w="14490" w:h="20470"/>
          <w:pgMar w:top="400" w:right="1825" w:bottom="1173" w:left="2150" w:header="0" w:footer="975"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4500"/>
        <w:spacing w:before="94" w:line="224" w:lineRule="auto"/>
        <w:outlineLvl w:val="1"/>
        <w:rPr>
          <w:rFonts w:ascii="SimHei" w:hAnsi="SimHei" w:eastAsia="SimHei" w:cs="SimHei"/>
          <w:sz w:val="29"/>
          <w:szCs w:val="29"/>
        </w:rPr>
      </w:pPr>
      <w:bookmarkStart w:name="bookmark61" w:id="107"/>
      <w:bookmarkEnd w:id="107"/>
      <w:r>
        <w:rPr>
          <w:rFonts w:ascii="SimHei" w:hAnsi="SimHei" w:eastAsia="SimHei" w:cs="SimHei"/>
          <w:sz w:val="29"/>
          <w:szCs w:val="29"/>
          <w:spacing w:val="6"/>
        </w:rPr>
        <w:t>辽宁地区</w:t>
      </w:r>
    </w:p>
    <w:p>
      <w:pPr>
        <w:pStyle w:val="BodyText"/>
        <w:ind w:left="4"/>
        <w:spacing w:before="167" w:line="223" w:lineRule="auto"/>
        <w:rPr>
          <w:rFonts w:ascii="SimHei" w:hAnsi="SimHei" w:eastAsia="SimHei" w:cs="SimHei"/>
          <w:sz w:val="30"/>
          <w:szCs w:val="30"/>
        </w:rPr>
      </w:pPr>
      <w:bookmarkStart w:name="bookmark125" w:id="108"/>
      <w:bookmarkEnd w:id="108"/>
      <w:r>
        <w:rPr>
          <w:sz w:val="30"/>
          <w:szCs w:val="30"/>
          <w:b/>
          <w:bCs/>
          <w:spacing w:val="-13"/>
        </w:rPr>
        <w:t>一、</w:t>
      </w:r>
      <w:r>
        <w:rPr>
          <w:rFonts w:ascii="SimHei" w:hAnsi="SimHei" w:eastAsia="SimHei" w:cs="SimHei"/>
          <w:sz w:val="30"/>
          <w:szCs w:val="30"/>
          <w:spacing w:val="-13"/>
        </w:rPr>
        <w:t>二月份</w:t>
      </w:r>
    </w:p>
    <w:p>
      <w:pPr>
        <w:pStyle w:val="BodyText"/>
        <w:ind w:left="590"/>
        <w:spacing w:before="146" w:line="219" w:lineRule="auto"/>
        <w:rPr>
          <w:sz w:val="29"/>
          <w:szCs w:val="29"/>
        </w:rPr>
      </w:pPr>
      <w:r>
        <w:rPr>
          <w:sz w:val="29"/>
          <w:szCs w:val="29"/>
          <w:spacing w:val="4"/>
        </w:rPr>
        <w:t>全年中气温最低的月份，重点是保洁和防寒。</w:t>
      </w:r>
    </w:p>
    <w:p>
      <w:pPr>
        <w:pStyle w:val="BodyText"/>
        <w:ind w:left="590"/>
        <w:spacing w:before="274" w:line="222" w:lineRule="auto"/>
        <w:rPr>
          <w:rFonts w:ascii="SimHei" w:hAnsi="SimHei" w:eastAsia="SimHei" w:cs="SimHei"/>
          <w:sz w:val="29"/>
          <w:szCs w:val="29"/>
        </w:rPr>
      </w:pPr>
      <w:r>
        <w:rPr>
          <w:rFonts w:ascii="Arial" w:hAnsi="Arial" w:eastAsia="Arial" w:cs="Arial"/>
          <w:sz w:val="29"/>
          <w:szCs w:val="29"/>
        </w:rPr>
        <w:t>1</w:t>
      </w:r>
      <w:r>
        <w:rPr>
          <w:sz w:val="29"/>
          <w:szCs w:val="29"/>
        </w:rPr>
        <w:t>、</w:t>
      </w:r>
      <w:r>
        <w:rPr>
          <w:rFonts w:ascii="SimHei" w:hAnsi="SimHei" w:eastAsia="SimHei" w:cs="SimHei"/>
          <w:sz w:val="29"/>
          <w:szCs w:val="29"/>
        </w:rPr>
        <w:t>现场检查</w:t>
      </w:r>
    </w:p>
    <w:p>
      <w:pPr>
        <w:pStyle w:val="BodyText"/>
        <w:ind w:left="730"/>
        <w:spacing w:before="11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(2)及时检查乔木支撑情况，发现松动或缺失立即加固；</w:t>
      </w:r>
    </w:p>
    <w:p>
      <w:pPr>
        <w:pStyle w:val="BodyText"/>
        <w:ind w:right="320" w:firstLine="730"/>
        <w:spacing w:before="155" w:line="269" w:lineRule="auto"/>
        <w:rPr>
          <w:sz w:val="29"/>
          <w:szCs w:val="29"/>
        </w:rPr>
      </w:pPr>
      <w:r>
        <w:rPr>
          <w:sz w:val="29"/>
          <w:szCs w:val="29"/>
          <w:spacing w:val="7"/>
        </w:rPr>
        <w:t>(3)检查苗木是否缺水，如缺水尽量利用降雪堆雪进行补充水分，检查支</w:t>
      </w:r>
      <w:r>
        <w:rPr>
          <w:sz w:val="29"/>
          <w:szCs w:val="29"/>
          <w:spacing w:val="18"/>
        </w:rPr>
        <w:t xml:space="preserve"> </w:t>
      </w:r>
      <w:r>
        <w:rPr>
          <w:sz w:val="29"/>
          <w:szCs w:val="29"/>
          <w:spacing w:val="1"/>
        </w:rPr>
        <w:t>撑是否有松动及时维护，检查是否有风折枝，及时清</w:t>
      </w:r>
      <w:r>
        <w:rPr>
          <w:sz w:val="29"/>
          <w:szCs w:val="29"/>
        </w:rPr>
        <w:t>理，避免对行人产生危险。</w:t>
      </w:r>
    </w:p>
    <w:p>
      <w:pPr>
        <w:pStyle w:val="BodyText"/>
        <w:ind w:left="590"/>
        <w:spacing w:before="17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14" w:firstLine="730"/>
        <w:spacing w:before="114" w:line="266" w:lineRule="auto"/>
        <w:rPr>
          <w:sz w:val="29"/>
          <w:szCs w:val="29"/>
        </w:rPr>
      </w:pPr>
      <w:r>
        <w:rPr>
          <w:sz w:val="29"/>
          <w:szCs w:val="29"/>
          <w:spacing w:val="6"/>
        </w:rPr>
        <w:t>(1)以整形为主，衰弱树可重剪；对苗木的风折枝、病虫枝、断枝、枯死</w:t>
      </w:r>
      <w:r>
        <w:rPr>
          <w:sz w:val="29"/>
          <w:szCs w:val="29"/>
          <w:spacing w:val="17"/>
        </w:rPr>
        <w:t xml:space="preserve"> </w:t>
      </w:r>
      <w:r>
        <w:rPr>
          <w:sz w:val="29"/>
          <w:szCs w:val="29"/>
        </w:rPr>
        <w:t>枝、内膛枝进行修剪并对苗木进行整形修剪，保证乔木树形优美；</w:t>
      </w:r>
    </w:p>
    <w:p>
      <w:pPr>
        <w:pStyle w:val="BodyText"/>
        <w:ind w:left="730"/>
        <w:spacing w:before="144" w:line="219" w:lineRule="auto"/>
        <w:rPr>
          <w:sz w:val="29"/>
          <w:szCs w:val="29"/>
        </w:rPr>
      </w:pPr>
      <w:r>
        <w:rPr>
          <w:sz w:val="29"/>
          <w:szCs w:val="29"/>
          <w:spacing w:val="6"/>
        </w:rPr>
        <w:t>(2)在本地耐寒性弱的苗木改为春季化冻后修剪；</w:t>
      </w:r>
    </w:p>
    <w:p>
      <w:pPr>
        <w:pStyle w:val="BodyText"/>
        <w:ind w:right="536" w:firstLine="730"/>
        <w:spacing w:before="137" w:line="269" w:lineRule="auto"/>
        <w:rPr>
          <w:sz w:val="29"/>
          <w:szCs w:val="29"/>
        </w:rPr>
      </w:pPr>
      <w:r>
        <w:rPr>
          <w:sz w:val="29"/>
          <w:szCs w:val="29"/>
          <w:spacing w:val="3"/>
        </w:rPr>
        <w:t>(3)冬季易有流伤的植物如槭树科中的大多数，在晚秋落</w:t>
      </w:r>
      <w:r>
        <w:rPr>
          <w:sz w:val="29"/>
          <w:szCs w:val="29"/>
          <w:spacing w:val="2"/>
        </w:rPr>
        <w:t>叶时或春季新芽</w:t>
      </w:r>
      <w:r>
        <w:rPr>
          <w:sz w:val="29"/>
          <w:szCs w:val="29"/>
        </w:rPr>
        <w:t xml:space="preserve"> </w:t>
      </w:r>
      <w:r>
        <w:rPr>
          <w:sz w:val="29"/>
          <w:szCs w:val="29"/>
          <w:spacing w:val="-8"/>
        </w:rPr>
        <w:t>膨大时修剪。</w:t>
      </w:r>
    </w:p>
    <w:p>
      <w:pPr>
        <w:pStyle w:val="BodyText"/>
        <w:ind w:left="590"/>
        <w:spacing w:before="137"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保洁</w:t>
      </w:r>
    </w:p>
    <w:p>
      <w:pPr>
        <w:pStyle w:val="BodyText"/>
        <w:ind w:right="410" w:firstLine="730"/>
        <w:spacing w:before="103"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03" w:firstLine="730"/>
        <w:spacing w:before="157" w:line="266" w:lineRule="auto"/>
        <w:rPr>
          <w:sz w:val="29"/>
          <w:szCs w:val="29"/>
        </w:rPr>
      </w:pPr>
      <w:r>
        <w:rPr>
          <w:sz w:val="29"/>
          <w:szCs w:val="29"/>
          <w:spacing w:val="5"/>
        </w:rPr>
        <w:t>(2)</w:t>
      </w:r>
      <w:r>
        <w:rPr>
          <w:sz w:val="29"/>
          <w:szCs w:val="29"/>
          <w:spacing w:val="73"/>
        </w:rPr>
        <w:t xml:space="preserve"> </w:t>
      </w:r>
      <w:r>
        <w:rPr>
          <w:sz w:val="29"/>
          <w:szCs w:val="29"/>
          <w:spacing w:val="5"/>
        </w:rPr>
        <w:t>在业主上班高峰期前对园区内的重点区</w:t>
      </w:r>
      <w:r>
        <w:rPr>
          <w:sz w:val="29"/>
          <w:szCs w:val="29"/>
          <w:spacing w:val="4"/>
        </w:rPr>
        <w:t>域(大门内外、主干通道、销</w:t>
      </w:r>
      <w:r>
        <w:rPr>
          <w:sz w:val="29"/>
          <w:szCs w:val="29"/>
        </w:rPr>
        <w:t xml:space="preserve"> </w:t>
      </w:r>
      <w:r>
        <w:rPr>
          <w:sz w:val="29"/>
          <w:szCs w:val="29"/>
          <w:spacing w:val="11"/>
        </w:rPr>
        <w:t>售展示区)进行彻底清理；</w:t>
      </w:r>
    </w:p>
    <w:p>
      <w:pPr>
        <w:pStyle w:val="BodyText"/>
        <w:ind w:left="730"/>
        <w:spacing w:before="156" w:line="219" w:lineRule="auto"/>
        <w:rPr>
          <w:sz w:val="29"/>
          <w:szCs w:val="29"/>
        </w:rPr>
      </w:pPr>
      <w:r>
        <w:rPr>
          <w:sz w:val="29"/>
          <w:szCs w:val="29"/>
          <w:spacing w:val="6"/>
        </w:rPr>
        <w:t>(3)保洁专项问题：冬季路面除冰要及时，确保老</w:t>
      </w:r>
      <w:r>
        <w:rPr>
          <w:sz w:val="29"/>
          <w:szCs w:val="29"/>
          <w:spacing w:val="5"/>
        </w:rPr>
        <w:t>人小孩出行方便；</w:t>
      </w:r>
    </w:p>
    <w:p>
      <w:pPr>
        <w:pStyle w:val="BodyText"/>
        <w:ind w:right="331" w:firstLine="730"/>
        <w:spacing w:before="116" w:line="281" w:lineRule="auto"/>
        <w:rPr>
          <w:sz w:val="29"/>
          <w:szCs w:val="29"/>
        </w:rPr>
      </w:pPr>
      <w:r>
        <w:rPr>
          <w:sz w:val="29"/>
          <w:szCs w:val="29"/>
          <w:spacing w:val="7"/>
        </w:rPr>
        <w:t>(4)遇到下雪天气，小雪务必当天清完，大雪在当天务必将大门至各个单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rPr>
        <w:t>雪融化后露出的垃圾、废弃物的全面全面清理。</w:t>
      </w:r>
    </w:p>
    <w:p>
      <w:pPr>
        <w:ind w:left="590"/>
        <w:spacing w:before="196" w:line="222" w:lineRule="auto"/>
        <w:rPr>
          <w:rFonts w:ascii="SimHei" w:hAnsi="SimHei" w:eastAsia="SimHei" w:cs="SimHei"/>
          <w:sz w:val="29"/>
          <w:szCs w:val="29"/>
        </w:rPr>
      </w:pPr>
      <w:r>
        <w:rPr>
          <w:rFonts w:ascii="SimHei" w:hAnsi="SimHei" w:eastAsia="SimHei" w:cs="SimHei"/>
          <w:sz w:val="29"/>
          <w:szCs w:val="29"/>
          <w:spacing w:val="7"/>
        </w:rPr>
        <w:t>4、时花摆放</w:t>
      </w:r>
    </w:p>
    <w:p>
      <w:pPr>
        <w:pStyle w:val="BodyText"/>
        <w:ind w:right="654" w:firstLine="730"/>
        <w:spacing w:before="119" w:line="270" w:lineRule="auto"/>
        <w:rPr>
          <w:sz w:val="29"/>
          <w:szCs w:val="29"/>
        </w:rPr>
      </w:pPr>
      <w:r>
        <w:rPr>
          <w:sz w:val="29"/>
          <w:szCs w:val="29"/>
          <w:spacing w:val="-8"/>
        </w:rPr>
        <w:t>(1)</w:t>
      </w:r>
      <w:r>
        <w:rPr>
          <w:sz w:val="29"/>
          <w:szCs w:val="29"/>
          <w:spacing w:val="102"/>
        </w:rPr>
        <w:t xml:space="preserve"> </w:t>
      </w:r>
      <w:r>
        <w:rPr>
          <w:sz w:val="29"/>
          <w:szCs w:val="29"/>
          <w:spacing w:val="-8"/>
        </w:rPr>
        <w:t>月初提交时花或假花需求计划，选择亮色花卉，安排腊月20号左右进</w:t>
      </w:r>
      <w:r>
        <w:rPr>
          <w:sz w:val="29"/>
          <w:szCs w:val="29"/>
        </w:rPr>
        <w:t xml:space="preserve"> </w:t>
      </w:r>
      <w:r>
        <w:rPr>
          <w:sz w:val="29"/>
          <w:szCs w:val="29"/>
          <w:spacing w:val="-6"/>
        </w:rPr>
        <w:t>场；</w:t>
      </w:r>
    </w:p>
    <w:p>
      <w:pPr>
        <w:pStyle w:val="BodyText"/>
        <w:ind w:left="730"/>
        <w:spacing w:before="132" w:line="219" w:lineRule="auto"/>
        <w:rPr>
          <w:sz w:val="29"/>
          <w:szCs w:val="29"/>
        </w:rPr>
      </w:pPr>
      <w:r>
        <w:rPr>
          <w:sz w:val="29"/>
          <w:szCs w:val="29"/>
          <w:spacing w:val="-1"/>
        </w:rPr>
        <w:t>(2)</w:t>
      </w:r>
      <w:r>
        <w:rPr>
          <w:sz w:val="29"/>
          <w:szCs w:val="29"/>
          <w:spacing w:val="115"/>
        </w:rPr>
        <w:t xml:space="preserve"> </w:t>
      </w:r>
      <w:r>
        <w:rPr>
          <w:sz w:val="29"/>
          <w:szCs w:val="29"/>
          <w:spacing w:val="-1"/>
        </w:rPr>
        <w:t>春假放假前将时花摆放完毕，注意摆放外侧避免黑色塑料盆出现。</w:t>
      </w:r>
    </w:p>
    <w:p>
      <w:pPr>
        <w:ind w:left="590"/>
        <w:spacing w:before="96" w:line="222" w:lineRule="auto"/>
        <w:rPr>
          <w:rFonts w:ascii="SimHei" w:hAnsi="SimHei" w:eastAsia="SimHei" w:cs="SimHei"/>
          <w:sz w:val="29"/>
          <w:szCs w:val="29"/>
        </w:rPr>
      </w:pPr>
      <w:r>
        <w:rPr>
          <w:rFonts w:ascii="SimHei" w:hAnsi="SimHei" w:eastAsia="SimHei" w:cs="SimHei"/>
          <w:sz w:val="29"/>
          <w:szCs w:val="29"/>
          <w:spacing w:val="-1"/>
        </w:rPr>
        <w:t>5、物资管理</w:t>
      </w:r>
    </w:p>
    <w:p>
      <w:pPr>
        <w:pStyle w:val="BodyText"/>
        <w:spacing w:before="163" w:line="219" w:lineRule="auto"/>
        <w:jc w:val="right"/>
        <w:rPr>
          <w:sz w:val="29"/>
          <w:szCs w:val="29"/>
        </w:rPr>
      </w:pPr>
      <w:r>
        <w:rPr>
          <w:sz w:val="29"/>
          <w:szCs w:val="29"/>
          <w:spacing w:val="1"/>
        </w:rPr>
        <w:t>库房物品整理，物料工具出入库及领用登记，注意保管汽油、农药等危险品。</w:t>
      </w:r>
    </w:p>
    <w:p>
      <w:pPr>
        <w:pStyle w:val="BodyText"/>
        <w:ind w:left="590"/>
        <w:spacing w:before="31"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防火防盗</w:t>
      </w:r>
    </w:p>
    <w:p>
      <w:pPr>
        <w:pStyle w:val="BodyText"/>
        <w:ind w:right="90" w:firstLine="590"/>
        <w:spacing w:before="169" w:line="314" w:lineRule="auto"/>
        <w:rPr>
          <w:sz w:val="29"/>
          <w:szCs w:val="29"/>
        </w:rPr>
      </w:pPr>
      <w:r>
        <w:rPr>
          <w:sz w:val="29"/>
          <w:szCs w:val="29"/>
          <w:spacing w:val="3"/>
        </w:rPr>
        <w:t>每天绿化工人在保洁的同时要注意行人随意丢弃烟头现</w:t>
      </w:r>
      <w:r>
        <w:rPr>
          <w:sz w:val="29"/>
          <w:szCs w:val="29"/>
          <w:spacing w:val="2"/>
        </w:rPr>
        <w:t>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14" w:lineRule="auto"/>
        <w:sectPr>
          <w:footerReference w:type="default" r:id="rId525"/>
          <w:pgSz w:w="14490" w:h="20470"/>
          <w:pgMar w:top="400" w:right="1844" w:bottom="1173" w:left="2150" w:header="0" w:footer="975" w:gutter="0"/>
        </w:sectPr>
        <w:rPr>
          <w:sz w:val="29"/>
          <w:szCs w:val="29"/>
        </w:rPr>
      </w:pPr>
    </w:p>
    <w:p>
      <w:pPr>
        <w:spacing w:line="287"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90"/>
        <w:spacing w:before="137" w:line="219" w:lineRule="auto"/>
        <w:rPr>
          <w:sz w:val="29"/>
          <w:szCs w:val="29"/>
        </w:rPr>
      </w:pPr>
      <w:r>
        <w:rPr>
          <w:sz w:val="29"/>
          <w:szCs w:val="29"/>
          <w:spacing w:val="4"/>
        </w:rPr>
        <w:t>气温明显回升，下旬树木开始萌芽，有些苗木本月已经开花，做</w:t>
      </w:r>
      <w:r>
        <w:rPr>
          <w:sz w:val="29"/>
          <w:szCs w:val="29"/>
          <w:spacing w:val="3"/>
        </w:rPr>
        <w:t>好春灌。</w:t>
      </w:r>
    </w:p>
    <w:p>
      <w:pPr>
        <w:pStyle w:val="BodyText"/>
        <w:ind w:left="590"/>
        <w:spacing w:before="145"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9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(2)及时检查乔木支撑情况，发现松绑、摇晃等立</w:t>
      </w:r>
      <w:r>
        <w:rPr>
          <w:sz w:val="29"/>
          <w:szCs w:val="29"/>
          <w:spacing w:val="5"/>
        </w:rPr>
        <w:t>即加固；</w:t>
      </w:r>
    </w:p>
    <w:p>
      <w:pPr>
        <w:pStyle w:val="BodyText"/>
        <w:ind w:right="40"/>
        <w:spacing w:before="156" w:line="219" w:lineRule="auto"/>
        <w:jc w:val="right"/>
        <w:rPr>
          <w:sz w:val="29"/>
          <w:szCs w:val="29"/>
        </w:rPr>
      </w:pPr>
      <w:r>
        <w:rPr>
          <w:sz w:val="29"/>
          <w:szCs w:val="29"/>
          <w:spacing w:val="-1"/>
        </w:rPr>
        <w:t>(3)土壤解冻后立即进行乔木补植工作，苗木处于有萌动初期成活率较高。</w:t>
      </w:r>
    </w:p>
    <w:p>
      <w:pPr>
        <w:ind w:left="590"/>
        <w:spacing w:before="93"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right="53" w:firstLine="590"/>
        <w:spacing w:before="123" w:line="314" w:lineRule="auto"/>
        <w:rPr>
          <w:sz w:val="29"/>
          <w:szCs w:val="29"/>
        </w:rPr>
      </w:pPr>
      <w:r>
        <w:rPr>
          <w:sz w:val="29"/>
          <w:szCs w:val="29"/>
          <w:spacing w:val="-10"/>
        </w:rPr>
        <w:t>以整形为主，可重剪；对苗木的折枝、断枝、枯死枝、内膛枝进行修剪并对苗</w:t>
      </w:r>
      <w:r>
        <w:rPr>
          <w:sz w:val="29"/>
          <w:szCs w:val="29"/>
          <w:spacing w:val="2"/>
        </w:rPr>
        <w:t xml:space="preserve"> </w:t>
      </w:r>
      <w:r>
        <w:rPr>
          <w:sz w:val="29"/>
          <w:szCs w:val="29"/>
          <w:spacing w:val="-5"/>
        </w:rPr>
        <w:t>木进行整形修剪，保证乔木树形优美。3月下旬全园区修剪1次。</w:t>
      </w:r>
    </w:p>
    <w:p>
      <w:pPr>
        <w:pStyle w:val="BodyText"/>
        <w:ind w:left="590"/>
        <w:spacing w:line="396"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300" w:firstLine="730"/>
        <w:spacing w:before="84" w:line="273" w:lineRule="auto"/>
        <w:rPr>
          <w:sz w:val="29"/>
          <w:szCs w:val="29"/>
        </w:rPr>
      </w:pPr>
      <w:r>
        <w:rPr>
          <w:sz w:val="29"/>
          <w:szCs w:val="29"/>
          <w:spacing w:val="9"/>
        </w:rPr>
        <w:t>①  视土壤情(土壤过干，且地温高于3度)况中旬下旬</w:t>
      </w:r>
      <w:r>
        <w:rPr>
          <w:sz w:val="29"/>
          <w:szCs w:val="29"/>
          <w:spacing w:val="8"/>
        </w:rPr>
        <w:t>开始对乔灌木及</w:t>
      </w:r>
      <w:r>
        <w:rPr>
          <w:sz w:val="29"/>
          <w:szCs w:val="29"/>
        </w:rPr>
        <w:t xml:space="preserve"> </w:t>
      </w:r>
      <w:r>
        <w:rPr>
          <w:sz w:val="29"/>
          <w:szCs w:val="29"/>
          <w:spacing w:val="-2"/>
        </w:rPr>
        <w:t>草坪地被进行2次春灌，保证一次浇透，浇足；</w:t>
      </w:r>
    </w:p>
    <w:p>
      <w:pPr>
        <w:pStyle w:val="BodyText"/>
        <w:ind w:right="282" w:firstLine="730"/>
        <w:spacing w:before="121" w:line="286" w:lineRule="auto"/>
        <w:rPr>
          <w:sz w:val="29"/>
          <w:szCs w:val="29"/>
        </w:rPr>
      </w:pPr>
      <w:r>
        <w:rPr>
          <w:sz w:val="29"/>
          <w:szCs w:val="29"/>
          <w:spacing w:val="-9"/>
        </w:rPr>
        <w:t>②</w:t>
      </w:r>
      <w:r>
        <w:rPr>
          <w:sz w:val="29"/>
          <w:szCs w:val="29"/>
          <w:spacing w:val="41"/>
        </w:rPr>
        <w:t xml:space="preserve">  </w:t>
      </w:r>
      <w:r>
        <w:rPr>
          <w:sz w:val="29"/>
          <w:szCs w:val="29"/>
          <w:spacing w:val="-9"/>
        </w:rPr>
        <w:t>本月下旬养护期超过3年的黑土地及沙土地或黄土地，全园追施一次</w:t>
      </w:r>
      <w:r>
        <w:rPr>
          <w:sz w:val="29"/>
          <w:szCs w:val="29"/>
        </w:rPr>
        <w:t xml:space="preserve">  </w:t>
      </w:r>
      <w:r>
        <w:rPr>
          <w:sz w:val="29"/>
          <w:szCs w:val="29"/>
          <w:spacing w:val="1"/>
        </w:rPr>
        <w:t>有机复合肥(有机质45%)。养护期不足3年的</w:t>
      </w:r>
      <w:r>
        <w:rPr>
          <w:sz w:val="29"/>
          <w:szCs w:val="29"/>
        </w:rPr>
        <w:t>黑土地施有益菌类生物肥一次，土 </w:t>
      </w:r>
      <w:r>
        <w:rPr>
          <w:sz w:val="29"/>
          <w:szCs w:val="29"/>
        </w:rPr>
        <w:t>质过于粘重的黑土地施松土肥1次。</w:t>
      </w:r>
    </w:p>
    <w:p>
      <w:pPr>
        <w:pStyle w:val="BodyText"/>
        <w:ind w:left="590"/>
        <w:spacing w:before="9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30"/>
        <w:spacing w:before="156" w:line="219" w:lineRule="auto"/>
        <w:rPr>
          <w:sz w:val="29"/>
          <w:szCs w:val="29"/>
        </w:rPr>
      </w:pPr>
      <w:r>
        <w:rPr>
          <w:sz w:val="29"/>
          <w:szCs w:val="29"/>
          <w:spacing w:val="8"/>
        </w:rPr>
        <w:t>(1)病害：根腐病、流胶病；</w:t>
      </w:r>
    </w:p>
    <w:p>
      <w:pPr>
        <w:pStyle w:val="BodyText"/>
        <w:ind w:right="111" w:firstLine="730"/>
        <w:spacing w:before="155" w:line="260" w:lineRule="auto"/>
        <w:rPr>
          <w:sz w:val="29"/>
          <w:szCs w:val="29"/>
        </w:rPr>
      </w:pPr>
      <w:r>
        <w:rPr>
          <w:sz w:val="29"/>
          <w:szCs w:val="29"/>
          <w:spacing w:val="6"/>
        </w:rPr>
        <w:t>(2)虫害：杜鹃冠网蝽、柏肤小蠹、铜绿丽金龟、</w:t>
      </w:r>
      <w:r>
        <w:rPr>
          <w:sz w:val="29"/>
          <w:szCs w:val="29"/>
          <w:spacing w:val="5"/>
        </w:rPr>
        <w:t>小地老虎、大地老虎、</w:t>
      </w:r>
      <w:r>
        <w:rPr>
          <w:sz w:val="29"/>
          <w:szCs w:val="29"/>
        </w:rPr>
        <w:t xml:space="preserve"> </w:t>
      </w:r>
      <w:r>
        <w:rPr>
          <w:sz w:val="29"/>
          <w:szCs w:val="29"/>
          <w:spacing w:val="-3"/>
        </w:rPr>
        <w:t>沟金针虫。</w:t>
      </w:r>
    </w:p>
    <w:p>
      <w:pPr>
        <w:pStyle w:val="BodyText"/>
        <w:ind w:left="590"/>
        <w:spacing w:before="154"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101" w:firstLine="730"/>
        <w:spacing w:before="9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95" w:firstLine="730"/>
        <w:spacing w:before="166" w:line="266"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9"/>
        </w:rPr>
        <w:t>售展示区)进行彻底清理；</w:t>
      </w:r>
    </w:p>
    <w:p>
      <w:pPr>
        <w:pStyle w:val="BodyText"/>
        <w:ind w:right="3" w:firstLine="730"/>
        <w:spacing w:before="135"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730"/>
        <w:spacing w:before="176" w:line="219" w:lineRule="auto"/>
        <w:rPr>
          <w:sz w:val="29"/>
          <w:szCs w:val="29"/>
        </w:rPr>
      </w:pPr>
      <w:r>
        <w:rPr>
          <w:sz w:val="29"/>
          <w:szCs w:val="29"/>
          <w:spacing w:val="6"/>
        </w:rPr>
        <w:t>(4)保洁专项问题：三月中下旬可对路面进行冲洗，清除冬季积尘积垢。</w:t>
      </w:r>
    </w:p>
    <w:p>
      <w:pPr>
        <w:ind w:left="590"/>
        <w:spacing w:before="104" w:line="222" w:lineRule="auto"/>
        <w:rPr>
          <w:rFonts w:ascii="SimHei" w:hAnsi="SimHei" w:eastAsia="SimHei" w:cs="SimHei"/>
          <w:sz w:val="29"/>
          <w:szCs w:val="29"/>
        </w:rPr>
      </w:pPr>
      <w:r>
        <w:rPr>
          <w:rFonts w:ascii="SimHei" w:hAnsi="SimHei" w:eastAsia="SimHei" w:cs="SimHei"/>
          <w:sz w:val="29"/>
          <w:szCs w:val="29"/>
          <w:spacing w:val="2"/>
        </w:rPr>
        <w:t>6、物资管理</w:t>
      </w:r>
    </w:p>
    <w:p>
      <w:pPr>
        <w:pStyle w:val="BodyText"/>
        <w:ind w:right="102" w:firstLine="730"/>
        <w:spacing w:before="153"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6"/>
        </w:rPr>
        <w:t>危险品；</w:t>
      </w:r>
    </w:p>
    <w:p>
      <w:pPr>
        <w:pStyle w:val="BodyText"/>
        <w:ind w:right="100" w:firstLine="730"/>
        <w:spacing w:before="164" w:line="267"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3"/>
        </w:rPr>
        <w:t>其它物资。</w:t>
      </w:r>
    </w:p>
    <w:p>
      <w:pPr>
        <w:pStyle w:val="BodyText"/>
        <w:ind w:left="590"/>
        <w:spacing w:before="169"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spacing w:line="221" w:lineRule="auto"/>
        <w:sectPr>
          <w:footerReference w:type="default" r:id="rId526"/>
          <w:pgSz w:w="14490" w:h="20470"/>
          <w:pgMar w:top="400" w:right="2173" w:bottom="1143" w:left="2150" w:header="0" w:footer="944" w:gutter="0"/>
        </w:sectPr>
        <w:rPr>
          <w:rFonts w:ascii="SimHei" w:hAnsi="SimHei" w:eastAsia="SimHei" w:cs="SimHei"/>
          <w:sz w:val="29"/>
          <w:szCs w:val="29"/>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firstLine="600"/>
        <w:spacing w:before="94" w:line="309"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防寒设施拆除</w:t>
      </w:r>
    </w:p>
    <w:p>
      <w:pPr>
        <w:pStyle w:val="BodyText"/>
        <w:ind w:right="264" w:firstLine="600"/>
        <w:spacing w:before="80" w:line="313" w:lineRule="auto"/>
        <w:rPr>
          <w:sz w:val="29"/>
          <w:szCs w:val="29"/>
        </w:rPr>
      </w:pPr>
      <w:r>
        <w:rPr>
          <w:sz w:val="29"/>
          <w:szCs w:val="29"/>
          <w:spacing w:val="-1"/>
        </w:rPr>
        <w:t>防寒设施及时维护保持有效美观。视天气情况月初即可对防寒棚进行顶部通</w:t>
      </w:r>
      <w:r>
        <w:rPr>
          <w:sz w:val="29"/>
          <w:szCs w:val="29"/>
          <w:spacing w:val="2"/>
        </w:rPr>
        <w:t xml:space="preserve"> </w:t>
      </w:r>
      <w:r>
        <w:rPr>
          <w:sz w:val="29"/>
          <w:szCs w:val="29"/>
          <w:spacing w:val="-9"/>
        </w:rPr>
        <w:t>风，逐步加大通风量，保持棚内与外界温度一致。根据天气情况下旬开始部分防寒</w:t>
      </w:r>
      <w:r>
        <w:rPr>
          <w:sz w:val="29"/>
          <w:szCs w:val="29"/>
        </w:rPr>
        <w:t xml:space="preserve"> </w:t>
      </w:r>
      <w:r>
        <w:rPr>
          <w:sz w:val="29"/>
          <w:szCs w:val="29"/>
          <w:spacing w:val="-3"/>
        </w:rPr>
        <w:t>棚拆除。</w:t>
      </w:r>
    </w:p>
    <w:p>
      <w:pPr>
        <w:spacing w:before="104" w:line="223" w:lineRule="auto"/>
        <w:rPr>
          <w:rFonts w:ascii="SimHei" w:hAnsi="SimHei" w:eastAsia="SimHei" w:cs="SimHei"/>
          <w:sz w:val="29"/>
          <w:szCs w:val="29"/>
        </w:rPr>
      </w:pPr>
      <w:r>
        <w:rPr>
          <w:rFonts w:ascii="SimHei" w:hAnsi="SimHei" w:eastAsia="SimHei" w:cs="SimHei"/>
          <w:sz w:val="29"/>
          <w:szCs w:val="29"/>
          <w:spacing w:val="6"/>
        </w:rPr>
        <w:t>四月份</w:t>
      </w:r>
    </w:p>
    <w:p>
      <w:pPr>
        <w:pStyle w:val="BodyText"/>
        <w:ind w:left="600"/>
        <w:spacing w:before="107" w:line="219" w:lineRule="auto"/>
        <w:rPr>
          <w:sz w:val="29"/>
          <w:szCs w:val="29"/>
        </w:rPr>
      </w:pPr>
      <w:r>
        <w:rPr>
          <w:sz w:val="29"/>
          <w:szCs w:val="29"/>
          <w:spacing w:val="4"/>
        </w:rPr>
        <w:t>树木已经发芽展叶，气温回升明显，空气干燥，大风天气常态</w:t>
      </w:r>
      <w:r>
        <w:rPr>
          <w:sz w:val="29"/>
          <w:szCs w:val="29"/>
          <w:spacing w:val="3"/>
        </w:rPr>
        <w:t>化。</w:t>
      </w:r>
    </w:p>
    <w:p>
      <w:pPr>
        <w:pStyle w:val="BodyText"/>
        <w:ind w:left="600"/>
        <w:spacing w:before="26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143" w:line="219" w:lineRule="auto"/>
        <w:rPr>
          <w:sz w:val="29"/>
          <w:szCs w:val="29"/>
        </w:rPr>
      </w:pPr>
      <w:r>
        <w:rPr>
          <w:sz w:val="29"/>
          <w:szCs w:val="29"/>
          <w:spacing w:val="6"/>
        </w:rPr>
        <w:t>(1)及时检查乔木支撑情况，发现松动或缺失立即加固；</w:t>
      </w:r>
    </w:p>
    <w:p>
      <w:pPr>
        <w:pStyle w:val="BodyText"/>
        <w:ind w:right="343" w:firstLine="730"/>
        <w:spacing w:before="154" w:line="263" w:lineRule="auto"/>
        <w:rPr>
          <w:sz w:val="29"/>
          <w:szCs w:val="29"/>
        </w:rPr>
      </w:pPr>
      <w:r>
        <w:rPr>
          <w:sz w:val="29"/>
          <w:szCs w:val="29"/>
          <w:spacing w:val="6"/>
        </w:rPr>
        <w:t>(2)防寒设施拆除：去除缠干包裹物，防寒绷带回收，将腐烂发霉</w:t>
      </w:r>
      <w:r>
        <w:rPr>
          <w:sz w:val="29"/>
          <w:szCs w:val="29"/>
          <w:spacing w:val="5"/>
        </w:rPr>
        <w:t>草绳集</w:t>
      </w:r>
      <w:r>
        <w:rPr>
          <w:sz w:val="29"/>
          <w:szCs w:val="29"/>
        </w:rPr>
        <w:t xml:space="preserve"> </w:t>
      </w:r>
      <w:r>
        <w:rPr>
          <w:sz w:val="29"/>
          <w:szCs w:val="29"/>
          <w:spacing w:val="-5"/>
        </w:rPr>
        <w:t>中销毁。视天气情况，4月上中旬将灌木、地被的防寒设施全部拆除。</w:t>
      </w:r>
    </w:p>
    <w:p>
      <w:pPr>
        <w:ind w:left="600"/>
        <w:spacing w:before="19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36" w:firstLine="730"/>
        <w:spacing w:before="54" w:line="275" w:lineRule="auto"/>
        <w:rPr>
          <w:sz w:val="29"/>
          <w:szCs w:val="29"/>
        </w:rPr>
      </w:pPr>
      <w:r>
        <w:rPr>
          <w:sz w:val="29"/>
          <w:szCs w:val="29"/>
          <w:spacing w:val="6"/>
        </w:rPr>
        <w:t>(1)去除枯死枝条，做好整形修剪，乔木以调整树势为主，草坪褐斑病宜</w:t>
      </w:r>
      <w:r>
        <w:rPr>
          <w:sz w:val="29"/>
          <w:szCs w:val="29"/>
          <w:spacing w:val="4"/>
        </w:rPr>
        <w:t xml:space="preserve"> </w:t>
      </w:r>
      <w:r>
        <w:rPr>
          <w:sz w:val="29"/>
          <w:szCs w:val="29"/>
          <w:spacing w:val="-10"/>
        </w:rPr>
        <w:t>轻剪；</w:t>
      </w:r>
    </w:p>
    <w:p>
      <w:pPr>
        <w:pStyle w:val="BodyText"/>
        <w:ind w:right="292" w:firstLine="730"/>
        <w:spacing w:before="166" w:line="259" w:lineRule="auto"/>
        <w:rPr>
          <w:sz w:val="29"/>
          <w:szCs w:val="29"/>
        </w:rPr>
      </w:pPr>
      <w:r>
        <w:rPr>
          <w:sz w:val="29"/>
          <w:szCs w:val="29"/>
          <w:spacing w:val="7"/>
        </w:rPr>
        <w:t>(2)内膛枝、徒长枝、平行枝、下垂枝、病虫枝、萌蘖枝等修剪到位，并</w:t>
      </w:r>
      <w:r>
        <w:rPr>
          <w:sz w:val="29"/>
          <w:szCs w:val="29"/>
          <w:spacing w:val="15"/>
        </w:rPr>
        <w:t xml:space="preserve"> </w:t>
      </w:r>
      <w:r>
        <w:rPr>
          <w:sz w:val="29"/>
          <w:szCs w:val="29"/>
          <w:spacing w:val="-18"/>
        </w:rPr>
        <w:t>要做到剪口平滑，对于较大的剪口要进行防腐处理。草坪生长情况决定是否修剪；</w:t>
      </w:r>
    </w:p>
    <w:p>
      <w:pPr>
        <w:pStyle w:val="BodyText"/>
        <w:ind w:right="342" w:firstLine="730"/>
        <w:spacing w:before="164" w:line="266" w:lineRule="auto"/>
        <w:rPr>
          <w:sz w:val="29"/>
          <w:szCs w:val="29"/>
        </w:rPr>
      </w:pPr>
      <w:r>
        <w:rPr>
          <w:sz w:val="29"/>
          <w:szCs w:val="29"/>
          <w:spacing w:val="6"/>
        </w:rPr>
        <w:t>(3)改及装饰：伐除更换确定死亡的苗木，对沉降地形进行处理。补</w:t>
      </w:r>
      <w:r>
        <w:rPr>
          <w:sz w:val="29"/>
          <w:szCs w:val="29"/>
          <w:spacing w:val="5"/>
        </w:rPr>
        <w:t>植乔</w:t>
      </w:r>
      <w:r>
        <w:rPr>
          <w:sz w:val="29"/>
          <w:szCs w:val="29"/>
        </w:rPr>
        <w:t xml:space="preserve"> </w:t>
      </w:r>
      <w:r>
        <w:rPr>
          <w:sz w:val="29"/>
          <w:szCs w:val="29"/>
        </w:rPr>
        <w:t>灌木，月末可补植草皮。下旬完成五一时花装饰种植工作；</w:t>
      </w:r>
    </w:p>
    <w:p>
      <w:pPr>
        <w:pStyle w:val="BodyText"/>
        <w:ind w:right="343" w:firstLine="730"/>
        <w:spacing w:before="136" w:line="268" w:lineRule="auto"/>
        <w:rPr>
          <w:sz w:val="29"/>
          <w:szCs w:val="29"/>
        </w:rPr>
      </w:pPr>
      <w:r>
        <w:rPr>
          <w:sz w:val="29"/>
          <w:szCs w:val="29"/>
          <w:spacing w:val="6"/>
        </w:rPr>
        <w:t>(4)地被小灌木、篱修剪注意保留更新枝，对生长过量的地被小灌</w:t>
      </w:r>
      <w:r>
        <w:rPr>
          <w:sz w:val="29"/>
          <w:szCs w:val="29"/>
          <w:spacing w:val="5"/>
        </w:rPr>
        <w:t>木、绿</w:t>
      </w:r>
      <w:r>
        <w:rPr>
          <w:sz w:val="29"/>
          <w:szCs w:val="29"/>
        </w:rPr>
        <w:t xml:space="preserve"> </w:t>
      </w:r>
      <w:r>
        <w:rPr>
          <w:sz w:val="29"/>
          <w:szCs w:val="29"/>
          <w:spacing w:val="1"/>
        </w:rPr>
        <w:t>篱及灌木在新芽刚刚开始膨大时进行回缩。</w:t>
      </w:r>
    </w:p>
    <w:p>
      <w:pPr>
        <w:pStyle w:val="BodyText"/>
        <w:ind w:left="600"/>
        <w:spacing w:before="145"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291" w:firstLine="730"/>
        <w:spacing w:before="95" w:line="269" w:lineRule="auto"/>
        <w:rPr>
          <w:sz w:val="29"/>
          <w:szCs w:val="29"/>
        </w:rPr>
      </w:pPr>
      <w:r>
        <w:rPr>
          <w:sz w:val="29"/>
          <w:szCs w:val="29"/>
          <w:spacing w:val="1"/>
        </w:rPr>
        <w:t>①</w:t>
      </w:r>
      <w:r>
        <w:rPr>
          <w:sz w:val="29"/>
          <w:szCs w:val="29"/>
          <w:spacing w:val="41"/>
        </w:rPr>
        <w:t xml:space="preserve">  </w:t>
      </w:r>
      <w:r>
        <w:rPr>
          <w:sz w:val="29"/>
          <w:szCs w:val="29"/>
          <w:spacing w:val="1"/>
        </w:rPr>
        <w:t>发现干旱及时补充水分，浇足浇透，避免</w:t>
      </w:r>
      <w:r>
        <w:rPr>
          <w:sz w:val="29"/>
          <w:szCs w:val="29"/>
        </w:rPr>
        <w:t>水过地皮湿。结合灌水对草</w:t>
      </w:r>
      <w:r>
        <w:rPr>
          <w:sz w:val="29"/>
          <w:szCs w:val="29"/>
          <w:spacing w:val="1"/>
        </w:rPr>
        <w:t xml:space="preserve"> </w:t>
      </w:r>
      <w:r>
        <w:rPr>
          <w:sz w:val="29"/>
          <w:szCs w:val="29"/>
          <w:spacing w:val="-9"/>
        </w:rPr>
        <w:t>坪乔灌木进行施肥，本月中旬养护期超过3</w:t>
      </w:r>
      <w:r>
        <w:rPr>
          <w:sz w:val="29"/>
          <w:szCs w:val="29"/>
          <w:spacing w:val="-10"/>
        </w:rPr>
        <w:t>年的黑土地及沙土地或黄土地，全园</w:t>
      </w:r>
    </w:p>
    <w:p>
      <w:pPr>
        <w:pStyle w:val="BodyText"/>
        <w:ind w:right="462"/>
        <w:spacing w:before="158" w:line="268" w:lineRule="auto"/>
        <w:rPr>
          <w:sz w:val="29"/>
          <w:szCs w:val="29"/>
        </w:rPr>
      </w:pPr>
      <w:r>
        <w:rPr>
          <w:sz w:val="29"/>
          <w:szCs w:val="29"/>
          <w:spacing w:val="6"/>
        </w:rPr>
        <w:t>追施一次有机复合肥(有机质45%)沙土地或黄土地植物长势较弱的追施一次高</w:t>
      </w:r>
      <w:r>
        <w:rPr>
          <w:sz w:val="29"/>
          <w:szCs w:val="29"/>
          <w:spacing w:val="10"/>
        </w:rPr>
        <w:t xml:space="preserve"> </w:t>
      </w:r>
      <w:r>
        <w:rPr>
          <w:sz w:val="29"/>
          <w:szCs w:val="29"/>
          <w:spacing w:val="-1"/>
        </w:rPr>
        <w:t>氮低磷中钾无机复合肥；</w:t>
      </w:r>
    </w:p>
    <w:p>
      <w:pPr>
        <w:pStyle w:val="BodyText"/>
        <w:ind w:right="431" w:firstLine="730"/>
        <w:spacing w:before="146" w:line="272" w:lineRule="auto"/>
        <w:rPr>
          <w:sz w:val="29"/>
          <w:szCs w:val="29"/>
        </w:rPr>
      </w:pPr>
      <w:r>
        <w:rPr>
          <w:sz w:val="29"/>
          <w:szCs w:val="29"/>
          <w:spacing w:val="-8"/>
        </w:rPr>
        <w:t>②</w:t>
      </w:r>
      <w:r>
        <w:rPr>
          <w:sz w:val="29"/>
          <w:szCs w:val="29"/>
          <w:spacing w:val="36"/>
        </w:rPr>
        <w:t xml:space="preserve">  </w:t>
      </w:r>
      <w:r>
        <w:rPr>
          <w:sz w:val="29"/>
          <w:szCs w:val="29"/>
          <w:spacing w:val="-8"/>
        </w:rPr>
        <w:t>养护期不足3年的黑土地施有益菌类生物肥一次，土质过于粘重的黑土</w:t>
      </w:r>
      <w:r>
        <w:rPr>
          <w:sz w:val="29"/>
          <w:szCs w:val="29"/>
          <w:spacing w:val="1"/>
        </w:rPr>
        <w:t xml:space="preserve"> </w:t>
      </w:r>
      <w:r>
        <w:rPr>
          <w:sz w:val="29"/>
          <w:szCs w:val="29"/>
          <w:spacing w:val="1"/>
        </w:rPr>
        <w:t>地施松土肥一次。乔木与大灌木穴施。</w:t>
      </w:r>
    </w:p>
    <w:p>
      <w:pPr>
        <w:pStyle w:val="BodyText"/>
        <w:ind w:left="600"/>
        <w:spacing w:before="175"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left="730"/>
        <w:spacing w:before="76" w:line="219" w:lineRule="auto"/>
        <w:rPr>
          <w:sz w:val="29"/>
          <w:szCs w:val="29"/>
        </w:rPr>
      </w:pPr>
      <w:r>
        <w:rPr>
          <w:sz w:val="29"/>
          <w:szCs w:val="29"/>
          <w:spacing w:val="7"/>
        </w:rPr>
        <w:t>(1)病害：炭疽病、叶斑类病害、锈病、根腐</w:t>
      </w:r>
      <w:r>
        <w:rPr>
          <w:sz w:val="29"/>
          <w:szCs w:val="29"/>
          <w:spacing w:val="6"/>
        </w:rPr>
        <w:t>病、流胶病等；</w:t>
      </w:r>
    </w:p>
    <w:p>
      <w:pPr>
        <w:pStyle w:val="BodyText"/>
        <w:ind w:firstLine="730"/>
        <w:spacing w:before="115" w:line="285" w:lineRule="auto"/>
        <w:rPr>
          <w:sz w:val="29"/>
          <w:szCs w:val="29"/>
        </w:rPr>
      </w:pPr>
      <w:r>
        <w:rPr>
          <w:sz w:val="29"/>
          <w:szCs w:val="29"/>
          <w:spacing w:val="9"/>
        </w:rPr>
        <w:t>(2)虫害：大青叶蝉、桃瘤蚜、杜鹃冠网蝽、桔绿粉虱、苹果枝</w:t>
      </w:r>
      <w:r>
        <w:rPr>
          <w:sz w:val="29"/>
          <w:szCs w:val="29"/>
          <w:spacing w:val="8"/>
        </w:rPr>
        <w:t>天牛、芳</w:t>
      </w:r>
      <w:r>
        <w:rPr>
          <w:sz w:val="29"/>
          <w:szCs w:val="29"/>
        </w:rPr>
        <w:t xml:space="preserve">  </w:t>
      </w:r>
      <w:r>
        <w:rPr>
          <w:sz w:val="29"/>
          <w:szCs w:val="29"/>
          <w:spacing w:val="-9"/>
        </w:rPr>
        <w:t>香木蠹蛾、白杨透翅蛾、柏肤小蠹、铜绿丽金龟、小地老虎、大地老虎、沟金针虫、</w:t>
      </w:r>
      <w:r>
        <w:rPr>
          <w:sz w:val="29"/>
          <w:szCs w:val="29"/>
          <w:spacing w:val="6"/>
        </w:rPr>
        <w:t xml:space="preserve"> </w:t>
      </w:r>
      <w:r>
        <w:rPr>
          <w:sz w:val="29"/>
          <w:szCs w:val="29"/>
          <w:spacing w:val="2"/>
        </w:rPr>
        <w:t>柳蓝叶甲等。</w:t>
      </w:r>
    </w:p>
    <w:p>
      <w:pPr>
        <w:spacing w:line="285" w:lineRule="auto"/>
        <w:sectPr>
          <w:footerReference w:type="default" r:id="rId527"/>
          <w:pgSz w:w="14490" w:h="20470"/>
          <w:pgMar w:top="400" w:right="1934" w:bottom="1143" w:left="2150" w:header="0" w:footer="944" w:gutter="0"/>
        </w:sectPr>
        <w:rPr>
          <w:sz w:val="29"/>
          <w:szCs w:val="29"/>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590"/>
        <w:spacing w:before="94"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30" w:firstLine="730"/>
        <w:spacing w:before="122"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4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730"/>
        <w:spacing w:before="166" w:line="219" w:lineRule="auto"/>
        <w:rPr>
          <w:sz w:val="29"/>
          <w:szCs w:val="29"/>
        </w:rPr>
      </w:pPr>
      <w:r>
        <w:rPr>
          <w:sz w:val="29"/>
          <w:szCs w:val="29"/>
          <w:spacing w:val="6"/>
        </w:rPr>
        <w:t>(3)随着冰雪消融逐步清理湖底淤泥、落叶等垃圾，为注水前</w:t>
      </w:r>
      <w:r>
        <w:rPr>
          <w:sz w:val="29"/>
          <w:szCs w:val="29"/>
          <w:spacing w:val="5"/>
        </w:rPr>
        <w:t>做准备；</w:t>
      </w:r>
    </w:p>
    <w:p>
      <w:pPr>
        <w:pStyle w:val="BodyText"/>
        <w:ind w:right="630" w:firstLine="730"/>
        <w:spacing w:before="105" w:line="269" w:lineRule="auto"/>
        <w:rPr>
          <w:sz w:val="29"/>
          <w:szCs w:val="29"/>
        </w:rPr>
      </w:pPr>
      <w:r>
        <w:rPr>
          <w:sz w:val="29"/>
          <w:szCs w:val="29"/>
        </w:rPr>
        <w:t>(4)水系清理湖底清淤卵石冲洗：15日前完成卵石冲洗工作，确保五</w:t>
      </w:r>
      <w:r>
        <w:rPr>
          <w:sz w:val="29"/>
          <w:szCs w:val="29"/>
          <w:spacing w:val="-1"/>
        </w:rPr>
        <w:t>一前</w:t>
      </w:r>
      <w:r>
        <w:rPr>
          <w:sz w:val="29"/>
          <w:szCs w:val="29"/>
        </w:rPr>
        <w:t xml:space="preserve"> </w:t>
      </w:r>
      <w:r>
        <w:rPr>
          <w:sz w:val="29"/>
          <w:szCs w:val="29"/>
          <w:spacing w:val="-5"/>
        </w:rPr>
        <w:t>人工湖注水。</w:t>
      </w:r>
    </w:p>
    <w:p>
      <w:pPr>
        <w:ind w:left="590"/>
        <w:spacing w:before="206"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30"/>
        <w:spacing w:before="101"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90"/>
        <w:spacing w:before="104" w:line="222"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物资管理</w:t>
      </w:r>
    </w:p>
    <w:p>
      <w:pPr>
        <w:pStyle w:val="BodyText"/>
        <w:spacing w:before="164" w:line="219" w:lineRule="auto"/>
        <w:jc w:val="right"/>
        <w:rPr>
          <w:sz w:val="29"/>
          <w:szCs w:val="29"/>
        </w:rPr>
      </w:pPr>
      <w:r>
        <w:rPr>
          <w:sz w:val="29"/>
          <w:szCs w:val="29"/>
          <w:spacing w:val="1"/>
        </w:rPr>
        <w:t>库房物品整理，物料工具出入库及领用登记，注意保管汽油、农药等危险品。</w:t>
      </w:r>
    </w:p>
    <w:p>
      <w:pPr>
        <w:pStyle w:val="BodyText"/>
        <w:ind w:left="590"/>
        <w:spacing w:before="4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90" w:firstLine="590"/>
        <w:spacing w:before="15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72" w:line="223" w:lineRule="auto"/>
        <w:rPr>
          <w:rFonts w:ascii="SimHei" w:hAnsi="SimHei" w:eastAsia="SimHei" w:cs="SimHei"/>
          <w:sz w:val="29"/>
          <w:szCs w:val="29"/>
        </w:rPr>
      </w:pPr>
      <w:r>
        <w:rPr>
          <w:rFonts w:ascii="SimHei" w:hAnsi="SimHei" w:eastAsia="SimHei" w:cs="SimHei"/>
          <w:sz w:val="29"/>
          <w:szCs w:val="29"/>
          <w:spacing w:val="12"/>
        </w:rPr>
        <w:t>五月份</w:t>
      </w:r>
    </w:p>
    <w:p>
      <w:pPr>
        <w:pStyle w:val="BodyText"/>
        <w:ind w:left="590"/>
        <w:spacing w:before="109" w:line="219" w:lineRule="auto"/>
        <w:rPr>
          <w:sz w:val="29"/>
          <w:szCs w:val="29"/>
        </w:rPr>
      </w:pPr>
      <w:r>
        <w:rPr>
          <w:sz w:val="29"/>
          <w:szCs w:val="29"/>
          <w:spacing w:val="3"/>
        </w:rPr>
        <w:t>气温急骤上升，树木生长迅速，有大风天气</w:t>
      </w:r>
      <w:r>
        <w:rPr>
          <w:sz w:val="29"/>
          <w:szCs w:val="29"/>
          <w:spacing w:val="2"/>
        </w:rPr>
        <w:t>，注意防风预警。</w:t>
      </w:r>
    </w:p>
    <w:p>
      <w:pPr>
        <w:pStyle w:val="BodyText"/>
        <w:ind w:left="590"/>
        <w:spacing w:before="27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43" w:line="219" w:lineRule="auto"/>
        <w:rPr>
          <w:sz w:val="29"/>
          <w:szCs w:val="29"/>
        </w:rPr>
      </w:pPr>
      <w:r>
        <w:rPr>
          <w:sz w:val="29"/>
          <w:szCs w:val="29"/>
          <w:spacing w:val="6"/>
        </w:rPr>
        <w:t>(1)及时检查乔木支撑情况，发现松动或缺失立即加固；</w:t>
      </w:r>
    </w:p>
    <w:p>
      <w:pPr>
        <w:pStyle w:val="BodyText"/>
        <w:ind w:right="351" w:firstLine="730"/>
        <w:spacing w:before="143" w:line="279" w:lineRule="auto"/>
        <w:rPr>
          <w:sz w:val="29"/>
          <w:szCs w:val="29"/>
        </w:rPr>
      </w:pPr>
      <w:r>
        <w:rPr>
          <w:sz w:val="29"/>
          <w:szCs w:val="29"/>
          <w:spacing w:val="8"/>
        </w:rPr>
        <w:t>(2)根据树木的萌芽情况提前或延后。对贵重苗木进行缠干保湿，打营养</w:t>
      </w:r>
      <w:r>
        <w:rPr>
          <w:sz w:val="29"/>
          <w:szCs w:val="29"/>
          <w:spacing w:val="13"/>
        </w:rPr>
        <w:t xml:space="preserve"> </w:t>
      </w:r>
      <w:r>
        <w:rPr>
          <w:sz w:val="29"/>
          <w:szCs w:val="29"/>
          <w:spacing w:val="-1"/>
        </w:rPr>
        <w:t>液(如施它活或吊针原液)。确定大树健康无误后再撤除吊袋，并将输液孔封死。</w:t>
      </w:r>
      <w:r>
        <w:rPr>
          <w:sz w:val="29"/>
          <w:szCs w:val="29"/>
          <w:spacing w:val="10"/>
        </w:rPr>
        <w:t xml:space="preserve"> </w:t>
      </w:r>
      <w:r>
        <w:rPr>
          <w:sz w:val="29"/>
          <w:szCs w:val="29"/>
          <w:spacing w:val="1"/>
        </w:rPr>
        <w:t>叶面喷施稀施美等微肥。新种植的苗木同时还要进行</w:t>
      </w:r>
      <w:r>
        <w:rPr>
          <w:sz w:val="29"/>
          <w:szCs w:val="29"/>
        </w:rPr>
        <w:t>抗蒸腾剂喷洒；</w:t>
      </w:r>
    </w:p>
    <w:p>
      <w:pPr>
        <w:pStyle w:val="BodyText"/>
        <w:ind w:right="598" w:firstLine="730"/>
        <w:spacing w:before="149" w:line="271" w:lineRule="auto"/>
        <w:rPr>
          <w:sz w:val="29"/>
          <w:szCs w:val="29"/>
        </w:rPr>
      </w:pPr>
      <w:r>
        <w:rPr>
          <w:sz w:val="29"/>
          <w:szCs w:val="29"/>
          <w:spacing w:val="-8"/>
        </w:rPr>
        <w:t>(3)持续修补更换斑秃草坪，销售区高度保持4-6</w:t>
      </w:r>
      <w:r>
        <w:rPr>
          <w:rFonts w:ascii="Times New Roman" w:hAnsi="Times New Roman" w:eastAsia="Times New Roman" w:cs="Times New Roman"/>
          <w:sz w:val="29"/>
          <w:szCs w:val="29"/>
          <w:spacing w:val="-8"/>
        </w:rPr>
        <w:t>cm</w:t>
      </w:r>
      <w:r>
        <w:rPr>
          <w:sz w:val="29"/>
          <w:szCs w:val="29"/>
          <w:spacing w:val="-8"/>
        </w:rPr>
        <w:t>。其他区域不高于1</w:t>
      </w:r>
      <w:r>
        <w:rPr>
          <w:sz w:val="29"/>
          <w:szCs w:val="29"/>
          <w:spacing w:val="-9"/>
        </w:rPr>
        <w:t>0</w:t>
      </w:r>
      <w:r>
        <w:rPr>
          <w:rFonts w:ascii="Times New Roman" w:hAnsi="Times New Roman" w:eastAsia="Times New Roman" w:cs="Times New Roman"/>
          <w:sz w:val="29"/>
          <w:szCs w:val="29"/>
          <w:spacing w:val="-9"/>
        </w:rPr>
        <w:t>cm,</w:t>
      </w:r>
      <w:r>
        <w:rPr>
          <w:rFonts w:ascii="Times New Roman" w:hAnsi="Times New Roman" w:eastAsia="Times New Roman" w:cs="Times New Roman"/>
          <w:sz w:val="29"/>
          <w:szCs w:val="29"/>
        </w:rPr>
        <w:t xml:space="preserve"> </w:t>
      </w:r>
      <w:r>
        <w:rPr>
          <w:sz w:val="29"/>
          <w:szCs w:val="29"/>
          <w:spacing w:val="-1"/>
        </w:rPr>
        <w:t>做好草坪打边工作。杂草也阔叶为主，伴有少量和本科杂草。</w:t>
      </w:r>
    </w:p>
    <w:p>
      <w:pPr>
        <w:pStyle w:val="BodyText"/>
        <w:ind w:left="590"/>
        <w:spacing w:before="185"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30" w:firstLine="730"/>
        <w:spacing w:before="74" w:line="269" w:lineRule="auto"/>
        <w:rPr>
          <w:sz w:val="29"/>
          <w:szCs w:val="29"/>
        </w:rPr>
      </w:pPr>
      <w:r>
        <w:rPr>
          <w:sz w:val="29"/>
          <w:szCs w:val="29"/>
          <w:spacing w:val="6"/>
        </w:rPr>
        <w:t>(1)对开花灌木进行花后修剪、对乔木进行适当修剪，除萌蘖。时花摘除</w:t>
      </w:r>
      <w:r>
        <w:rPr>
          <w:sz w:val="29"/>
          <w:szCs w:val="29"/>
          <w:spacing w:val="1"/>
        </w:rPr>
        <w:t xml:space="preserve"> </w:t>
      </w:r>
      <w:r>
        <w:rPr>
          <w:sz w:val="29"/>
          <w:szCs w:val="29"/>
          <w:spacing w:val="-10"/>
        </w:rPr>
        <w:t>败花；</w:t>
      </w:r>
    </w:p>
    <w:p>
      <w:pPr>
        <w:pStyle w:val="BodyText"/>
        <w:ind w:right="431" w:firstLine="730"/>
        <w:spacing w:before="156" w:line="268" w:lineRule="auto"/>
        <w:rPr>
          <w:sz w:val="29"/>
          <w:szCs w:val="29"/>
        </w:rPr>
      </w:pPr>
      <w:r>
        <w:rPr>
          <w:sz w:val="29"/>
          <w:szCs w:val="29"/>
          <w:spacing w:val="6"/>
        </w:rPr>
        <w:t>(2)对于生长过量需要回缩的灌木、绿篱与地被小灌木在新芽刚开始膨大</w:t>
      </w:r>
      <w:r>
        <w:rPr>
          <w:sz w:val="29"/>
          <w:szCs w:val="29"/>
        </w:rPr>
        <w:t xml:space="preserve"> </w:t>
      </w:r>
      <w:r>
        <w:rPr>
          <w:sz w:val="29"/>
          <w:szCs w:val="29"/>
          <w:spacing w:val="-3"/>
        </w:rPr>
        <w:t>时一次性回缩到位；</w:t>
      </w:r>
    </w:p>
    <w:p>
      <w:pPr>
        <w:pStyle w:val="BodyText"/>
        <w:ind w:left="730"/>
        <w:spacing w:before="166" w:line="219" w:lineRule="auto"/>
        <w:rPr>
          <w:sz w:val="29"/>
          <w:szCs w:val="29"/>
        </w:rPr>
      </w:pPr>
      <w:r>
        <w:rPr>
          <w:sz w:val="29"/>
          <w:szCs w:val="29"/>
          <w:spacing w:val="-10"/>
        </w:rPr>
        <w:t>(3)除杂草：尤其是围蔽下、综合楼角落、人工湖驳岸需清理到位、干净。</w:t>
      </w:r>
    </w:p>
    <w:p>
      <w:pPr>
        <w:pStyle w:val="BodyText"/>
        <w:ind w:left="590"/>
        <w:spacing w:before="35"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730"/>
        <w:spacing w:before="168" w:line="219" w:lineRule="auto"/>
        <w:rPr>
          <w:sz w:val="29"/>
          <w:szCs w:val="29"/>
        </w:rPr>
      </w:pPr>
      <w:r>
        <w:rPr>
          <w:sz w:val="29"/>
          <w:szCs w:val="29"/>
          <w:spacing w:val="7"/>
        </w:rPr>
        <w:t>(1)五月份气温升高，树木生长盛期，需水量很大，应适时浇水，同时注</w:t>
      </w:r>
    </w:p>
    <w:p>
      <w:pPr>
        <w:spacing w:line="219" w:lineRule="auto"/>
        <w:sectPr>
          <w:footerReference w:type="default" r:id="rId528"/>
          <w:pgSz w:w="14490" w:h="20470"/>
          <w:pgMar w:top="400" w:right="1844" w:bottom="1173" w:left="2150" w:header="0" w:footer="975"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3"/>
        </w:rPr>
        <w:t>意时花的适时浇水；</w:t>
      </w:r>
    </w:p>
    <w:p>
      <w:pPr>
        <w:pStyle w:val="BodyText"/>
        <w:ind w:right="332" w:firstLine="730"/>
        <w:spacing w:before="133" w:line="313" w:lineRule="auto"/>
        <w:jc w:val="both"/>
        <w:rPr>
          <w:sz w:val="29"/>
          <w:szCs w:val="29"/>
        </w:rPr>
      </w:pPr>
      <w:r>
        <w:rPr>
          <w:sz w:val="29"/>
          <w:szCs w:val="29"/>
          <w:spacing w:val="9"/>
        </w:rPr>
        <w:t>(2)结合灌水追肥，可在上、中旬对弱树、花灌</w:t>
      </w:r>
      <w:r>
        <w:rPr>
          <w:sz w:val="29"/>
          <w:szCs w:val="29"/>
          <w:spacing w:val="8"/>
        </w:rPr>
        <w:t>木、果树、草坪、宿根花</w:t>
      </w:r>
      <w:r>
        <w:rPr>
          <w:sz w:val="29"/>
          <w:szCs w:val="29"/>
        </w:rPr>
        <w:t xml:space="preserve"> </w:t>
      </w:r>
      <w:r>
        <w:rPr>
          <w:sz w:val="29"/>
          <w:szCs w:val="29"/>
        </w:rPr>
        <w:t>卉等进行追肥以有机肥复合肥为主，有条件的可以使用微生物肥料。对开过花的</w:t>
      </w:r>
      <w:r>
        <w:rPr>
          <w:sz w:val="29"/>
          <w:szCs w:val="29"/>
          <w:spacing w:val="11"/>
        </w:rPr>
        <w:t xml:space="preserve"> </w:t>
      </w:r>
      <w:r>
        <w:rPr>
          <w:sz w:val="29"/>
          <w:szCs w:val="29"/>
          <w:spacing w:val="-9"/>
        </w:rPr>
        <w:t>时花进行追肥。复合肥促花。沙土地或黄土地植物长势较弱的追施一次有机复合肥</w:t>
      </w:r>
      <w:r>
        <w:rPr>
          <w:sz w:val="29"/>
          <w:szCs w:val="29"/>
          <w:spacing w:val="2"/>
        </w:rPr>
        <w:t xml:space="preserve"> </w:t>
      </w:r>
      <w:r>
        <w:rPr>
          <w:sz w:val="29"/>
          <w:szCs w:val="29"/>
          <w:spacing w:val="-1"/>
        </w:rPr>
        <w:t>(有机质45%)。</w:t>
      </w:r>
    </w:p>
    <w:p>
      <w:pPr>
        <w:pStyle w:val="BodyText"/>
        <w:ind w:left="570"/>
        <w:spacing w:before="7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69" w:firstLine="730"/>
        <w:spacing w:before="105" w:line="256" w:lineRule="auto"/>
        <w:rPr>
          <w:sz w:val="29"/>
          <w:szCs w:val="29"/>
        </w:rPr>
      </w:pPr>
      <w:r>
        <w:rPr>
          <w:sz w:val="29"/>
          <w:szCs w:val="29"/>
          <w:spacing w:val="8"/>
        </w:rPr>
        <w:t>(1)病害：白粉病、炭疽病、叶斑类病害、锈病、干腐病、根</w:t>
      </w:r>
      <w:r>
        <w:rPr>
          <w:sz w:val="29"/>
          <w:szCs w:val="29"/>
          <w:spacing w:val="7"/>
        </w:rPr>
        <w:t>腐病、流胶</w:t>
      </w:r>
      <w:r>
        <w:rPr>
          <w:sz w:val="29"/>
          <w:szCs w:val="29"/>
        </w:rPr>
        <w:t xml:space="preserve"> </w:t>
      </w:r>
      <w:r>
        <w:rPr>
          <w:sz w:val="29"/>
          <w:szCs w:val="29"/>
          <w:spacing w:val="-2"/>
        </w:rPr>
        <w:t>病、细菌性穿孔病等；</w:t>
      </w:r>
    </w:p>
    <w:p>
      <w:pPr>
        <w:pStyle w:val="BodyText"/>
        <w:ind w:right="337" w:firstLine="730"/>
        <w:spacing w:before="154" w:line="285" w:lineRule="auto"/>
        <w:rPr>
          <w:sz w:val="29"/>
          <w:szCs w:val="29"/>
        </w:rPr>
      </w:pPr>
      <w:r>
        <w:rPr>
          <w:sz w:val="29"/>
          <w:szCs w:val="29"/>
          <w:spacing w:val="9"/>
        </w:rPr>
        <w:t>(2)虫害：大青叶蝉、桃瘤蚜、杜鹃冠网蝽、桔绿粉虱、苹</w:t>
      </w:r>
      <w:r>
        <w:rPr>
          <w:sz w:val="29"/>
          <w:szCs w:val="29"/>
          <w:spacing w:val="8"/>
        </w:rPr>
        <w:t>果枝天牛、桃</w:t>
      </w:r>
      <w:r>
        <w:rPr>
          <w:sz w:val="29"/>
          <w:szCs w:val="29"/>
        </w:rPr>
        <w:t xml:space="preserve"> </w:t>
      </w:r>
      <w:r>
        <w:rPr>
          <w:sz w:val="29"/>
          <w:szCs w:val="29"/>
          <w:spacing w:val="-9"/>
        </w:rPr>
        <w:t>红颈天牛、芳香木蠹蛾、白杨透翅蛾、柏肤小蠹、大黑鳃金龟、铜绿丽金龟、大地</w:t>
      </w:r>
      <w:r>
        <w:rPr>
          <w:sz w:val="29"/>
          <w:szCs w:val="29"/>
          <w:spacing w:val="3"/>
        </w:rPr>
        <w:t xml:space="preserve"> </w:t>
      </w:r>
      <w:r>
        <w:rPr>
          <w:sz w:val="29"/>
          <w:szCs w:val="29"/>
          <w:spacing w:val="2"/>
        </w:rPr>
        <w:t>老虎、蝼蛄、桃剑纹夜蛾、丝棉木金星尺蛾、柑桔</w:t>
      </w:r>
      <w:r>
        <w:rPr>
          <w:sz w:val="29"/>
          <w:szCs w:val="29"/>
          <w:spacing w:val="1"/>
        </w:rPr>
        <w:t>凤蝶、柳蓝叶甲等。</w:t>
      </w:r>
    </w:p>
    <w:p>
      <w:pPr>
        <w:pStyle w:val="BodyText"/>
        <w:ind w:left="570"/>
        <w:spacing w:before="14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70" w:firstLine="730"/>
        <w:spacing w:before="104" w:line="265" w:lineRule="auto"/>
        <w:rPr>
          <w:sz w:val="29"/>
          <w:szCs w:val="29"/>
        </w:rPr>
      </w:pPr>
      <w:r>
        <w:rPr>
          <w:sz w:val="29"/>
          <w:szCs w:val="29"/>
          <w:spacing w:val="8"/>
        </w:rPr>
        <w:t>(1)保洁人员合理分区，全天候巡视，及时清理烟头、树挂</w:t>
      </w:r>
      <w:r>
        <w:rPr>
          <w:sz w:val="29"/>
          <w:szCs w:val="29"/>
          <w:spacing w:val="7"/>
        </w:rPr>
        <w:t>等垃圾，水景</w:t>
      </w:r>
      <w:r>
        <w:rPr>
          <w:sz w:val="29"/>
          <w:szCs w:val="29"/>
        </w:rPr>
        <w:t xml:space="preserve"> </w:t>
      </w:r>
      <w:r>
        <w:rPr>
          <w:sz w:val="29"/>
          <w:szCs w:val="29"/>
          <w:spacing w:val="1"/>
        </w:rPr>
        <w:t>池、灯杆、垃圾桶保持干净；</w:t>
      </w:r>
    </w:p>
    <w:p>
      <w:pPr>
        <w:pStyle w:val="BodyText"/>
        <w:ind w:right="363" w:firstLine="730"/>
        <w:spacing w:before="126" w:line="269" w:lineRule="auto"/>
        <w:rPr>
          <w:sz w:val="29"/>
          <w:szCs w:val="29"/>
        </w:rPr>
      </w:pPr>
      <w:r>
        <w:rPr>
          <w:sz w:val="29"/>
          <w:szCs w:val="29"/>
          <w:spacing w:val="12"/>
        </w:rPr>
        <w:t>(2)在业主上班高峰期前对园区内的重点区域(大门内外、主干通道、销</w:t>
      </w:r>
      <w:r>
        <w:rPr>
          <w:sz w:val="29"/>
          <w:szCs w:val="29"/>
          <w:spacing w:val="14"/>
        </w:rPr>
        <w:t xml:space="preserve"> </w:t>
      </w:r>
      <w:r>
        <w:rPr>
          <w:sz w:val="29"/>
          <w:szCs w:val="29"/>
          <w:spacing w:val="12"/>
        </w:rPr>
        <w:t>售展示区)进行彻底清理。</w:t>
      </w:r>
    </w:p>
    <w:p>
      <w:pPr>
        <w:pStyle w:val="BodyText"/>
        <w:ind w:right="372" w:firstLine="730"/>
        <w:spacing w:before="164" w:line="263" w:lineRule="auto"/>
        <w:rPr>
          <w:sz w:val="29"/>
          <w:szCs w:val="29"/>
        </w:rPr>
      </w:pPr>
      <w:r>
        <w:rPr>
          <w:sz w:val="29"/>
          <w:szCs w:val="29"/>
          <w:spacing w:val="8"/>
        </w:rPr>
        <w:t>(3)本月各工地已经复工，保洁压力上升，尘土大，外</w:t>
      </w:r>
      <w:r>
        <w:rPr>
          <w:sz w:val="29"/>
          <w:szCs w:val="29"/>
          <w:spacing w:val="7"/>
        </w:rPr>
        <w:t>保温材料飘落，车</w:t>
      </w:r>
      <w:r>
        <w:rPr>
          <w:sz w:val="29"/>
          <w:szCs w:val="29"/>
        </w:rPr>
        <w:t xml:space="preserve"> </w:t>
      </w:r>
      <w:r>
        <w:rPr>
          <w:sz w:val="29"/>
          <w:szCs w:val="29"/>
        </w:rPr>
        <w:t>辆出入增多需要定期进行地面冲洗。</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7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34"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90" w:firstLine="570"/>
        <w:spacing w:before="11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62"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889"/>
        <w:spacing w:before="159" w:line="219" w:lineRule="auto"/>
        <w:rPr>
          <w:sz w:val="29"/>
          <w:szCs w:val="29"/>
        </w:rPr>
      </w:pPr>
      <w:r>
        <w:rPr>
          <w:sz w:val="29"/>
          <w:szCs w:val="29"/>
          <w:spacing w:val="3"/>
        </w:rPr>
        <w:t>气温逐渐升高。做好防风工作，全面对排涝设施</w:t>
      </w:r>
      <w:r>
        <w:rPr>
          <w:sz w:val="29"/>
          <w:szCs w:val="29"/>
          <w:spacing w:val="2"/>
        </w:rPr>
        <w:t>进行检查。</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13" w:line="219" w:lineRule="auto"/>
        <w:rPr>
          <w:sz w:val="29"/>
          <w:szCs w:val="29"/>
        </w:rPr>
      </w:pPr>
      <w:r>
        <w:rPr>
          <w:sz w:val="29"/>
          <w:szCs w:val="29"/>
          <w:spacing w:val="2"/>
        </w:rPr>
        <w:t>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372" w:firstLine="730"/>
        <w:spacing w:before="145" w:line="266" w:lineRule="auto"/>
        <w:rPr>
          <w:sz w:val="29"/>
          <w:szCs w:val="29"/>
        </w:rPr>
      </w:pPr>
      <w:r>
        <w:rPr>
          <w:sz w:val="29"/>
          <w:szCs w:val="29"/>
          <w:spacing w:val="8"/>
        </w:rPr>
        <w:t>(1)继续对乔木进行剥芽除蘖工作，对灌木、球类及时</w:t>
      </w:r>
      <w:r>
        <w:rPr>
          <w:sz w:val="29"/>
          <w:szCs w:val="29"/>
          <w:spacing w:val="7"/>
        </w:rPr>
        <w:t>修剪，修剪灌木球</w:t>
      </w:r>
      <w:r>
        <w:rPr>
          <w:sz w:val="29"/>
          <w:szCs w:val="29"/>
        </w:rPr>
        <w:t xml:space="preserve"> </w:t>
      </w:r>
      <w:r>
        <w:rPr>
          <w:sz w:val="29"/>
          <w:szCs w:val="29"/>
          <w:spacing w:val="-6"/>
        </w:rPr>
        <w:t>需要放量修剪；</w:t>
      </w:r>
    </w:p>
    <w:p>
      <w:pPr>
        <w:pStyle w:val="BodyText"/>
        <w:ind w:right="365" w:firstLine="730"/>
        <w:spacing w:before="144" w:line="283" w:lineRule="auto"/>
        <w:rPr>
          <w:sz w:val="29"/>
          <w:szCs w:val="29"/>
        </w:rPr>
      </w:pPr>
      <w:r>
        <w:rPr>
          <w:sz w:val="29"/>
          <w:szCs w:val="29"/>
          <w:spacing w:val="2"/>
        </w:rPr>
        <w:t>(2)及时对草坪进行修剪，销售区高度保持4-6</w:t>
      </w:r>
      <w:r>
        <w:rPr>
          <w:rFonts w:ascii="Times New Roman" w:hAnsi="Times New Roman" w:eastAsia="Times New Roman" w:cs="Times New Roman"/>
          <w:sz w:val="29"/>
          <w:szCs w:val="29"/>
        </w:rPr>
        <w:t>cm</w:t>
      </w:r>
      <w:r>
        <w:rPr>
          <w:sz w:val="29"/>
          <w:szCs w:val="29"/>
          <w:spacing w:val="2"/>
        </w:rPr>
        <w:t>。其他区域不高</w:t>
      </w:r>
      <w:r>
        <w:rPr>
          <w:sz w:val="29"/>
          <w:szCs w:val="29"/>
          <w:spacing w:val="1"/>
        </w:rPr>
        <w:t>于10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
        </w:rPr>
        <w:t>,</w:t>
      </w:r>
      <w:r>
        <w:rPr>
          <w:rFonts w:ascii="Times New Roman" w:hAnsi="Times New Roman" w:eastAsia="Times New Roman" w:cs="Times New Roman"/>
          <w:sz w:val="29"/>
          <w:szCs w:val="29"/>
        </w:rPr>
        <w:t xml:space="preserve">   </w:t>
      </w:r>
      <w:r>
        <w:rPr>
          <w:sz w:val="29"/>
          <w:szCs w:val="29"/>
          <w:spacing w:val="-9"/>
        </w:rPr>
        <w:t>做好草坪打边工作；草坪坚持三分之一修剪原则保持美观。修剪不及时草皮过高倒</w:t>
      </w:r>
      <w:r>
        <w:rPr>
          <w:sz w:val="29"/>
          <w:szCs w:val="29"/>
          <w:spacing w:val="12"/>
        </w:rPr>
        <w:t xml:space="preserve"> </w:t>
      </w:r>
      <w:r>
        <w:rPr>
          <w:sz w:val="29"/>
          <w:szCs w:val="29"/>
          <w:spacing w:val="-11"/>
        </w:rPr>
        <w:t>伏，捂黄等现象。本月禾本科杂草为主，草坪可以使用消禾防除，或者人工清</w:t>
      </w:r>
    </w:p>
    <w:p>
      <w:pPr>
        <w:spacing w:line="283" w:lineRule="auto"/>
        <w:sectPr>
          <w:footerReference w:type="default" r:id="rId529"/>
          <w:pgSz w:w="14490" w:h="20470"/>
          <w:pgMar w:top="400" w:right="1844" w:bottom="1143" w:left="2150" w:header="0" w:footer="944"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2"/>
        </w:rPr>
        <w:t>理。使用除草剂要注意药害。</w:t>
      </w:r>
    </w:p>
    <w:p>
      <w:pPr>
        <w:pStyle w:val="BodyText"/>
        <w:ind w:left="570"/>
        <w:spacing w:before="54"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230" w:firstLine="730"/>
        <w:spacing w:before="145" w:line="279" w:lineRule="auto"/>
        <w:rPr>
          <w:sz w:val="29"/>
          <w:szCs w:val="29"/>
        </w:rPr>
      </w:pPr>
      <w:r>
        <w:rPr>
          <w:sz w:val="29"/>
          <w:szCs w:val="29"/>
          <w:spacing w:val="7"/>
        </w:rPr>
        <w:t>(1)继续抗旱，对绿植等要勤检查，发现旱情及时浇足水。浇水以干透浇</w:t>
      </w:r>
      <w:r>
        <w:rPr>
          <w:sz w:val="29"/>
          <w:szCs w:val="29"/>
          <w:spacing w:val="16"/>
        </w:rPr>
        <w:t xml:space="preserve"> </w:t>
      </w:r>
      <w:r>
        <w:rPr>
          <w:sz w:val="29"/>
          <w:szCs w:val="29"/>
          <w:spacing w:val="1"/>
        </w:rPr>
        <w:t>透为原则，在干旱时期忌讳浅水勤浇，这样会使根系</w:t>
      </w:r>
      <w:r>
        <w:rPr>
          <w:sz w:val="29"/>
          <w:szCs w:val="29"/>
        </w:rPr>
        <w:t>集中在地表，不利于抗旱。 </w:t>
      </w:r>
      <w:r>
        <w:rPr>
          <w:sz w:val="29"/>
          <w:szCs w:val="29"/>
          <w:spacing w:val="1"/>
        </w:rPr>
        <w:t>本月偶发暴雨，要注意防涝。同时做好松土工作能有效缓解旱情。</w:t>
      </w:r>
    </w:p>
    <w:p>
      <w:pPr>
        <w:pStyle w:val="BodyText"/>
        <w:ind w:right="520" w:firstLine="730"/>
        <w:spacing w:before="186" w:line="262" w:lineRule="auto"/>
        <w:rPr>
          <w:sz w:val="29"/>
          <w:szCs w:val="29"/>
        </w:rPr>
      </w:pPr>
      <w:r>
        <w:rPr>
          <w:sz w:val="29"/>
          <w:szCs w:val="29"/>
          <w:spacing w:val="5"/>
        </w:rPr>
        <w:t>(2)时花可以适当追肥促花。沙土地或黄土地植物长势较弱的追施1</w:t>
      </w:r>
      <w:r>
        <w:rPr>
          <w:sz w:val="29"/>
          <w:szCs w:val="29"/>
          <w:spacing w:val="4"/>
        </w:rPr>
        <w:t>次有</w:t>
      </w:r>
      <w:r>
        <w:rPr>
          <w:sz w:val="29"/>
          <w:szCs w:val="29"/>
        </w:rPr>
        <w:t xml:space="preserve"> </w:t>
      </w:r>
      <w:r>
        <w:rPr>
          <w:sz w:val="29"/>
          <w:szCs w:val="29"/>
        </w:rPr>
        <w:t>机复合肥(有机质45%)。</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60" w:firstLine="730"/>
        <w:spacing w:before="155" w:line="266" w:lineRule="auto"/>
        <w:rPr>
          <w:sz w:val="29"/>
          <w:szCs w:val="29"/>
        </w:rPr>
      </w:pPr>
      <w:r>
        <w:rPr>
          <w:sz w:val="29"/>
          <w:szCs w:val="29"/>
          <w:spacing w:val="5"/>
        </w:rPr>
        <w:t>(1)病害：白粉病、炭疽病、锈病、煤污病、叶枯病、干腐病、枝枯病、</w:t>
      </w:r>
      <w:r>
        <w:rPr>
          <w:sz w:val="29"/>
          <w:szCs w:val="29"/>
          <w:spacing w:val="13"/>
        </w:rPr>
        <w:t xml:space="preserve"> </w:t>
      </w:r>
      <w:r>
        <w:rPr>
          <w:sz w:val="29"/>
          <w:szCs w:val="29"/>
        </w:rPr>
        <w:t>流胶病、枯萎病、草坪腐霉枯萎病、细菌性穿孔病、冠瘿病等；</w:t>
      </w:r>
    </w:p>
    <w:p>
      <w:pPr>
        <w:pStyle w:val="BodyText"/>
        <w:ind w:left="730"/>
        <w:spacing w:before="144" w:line="219" w:lineRule="auto"/>
        <w:rPr>
          <w:sz w:val="29"/>
          <w:szCs w:val="29"/>
        </w:rPr>
      </w:pPr>
      <w:r>
        <w:rPr>
          <w:sz w:val="29"/>
          <w:szCs w:val="29"/>
          <w:spacing w:val="8"/>
        </w:rPr>
        <w:t>(2)虫害：大青叶蝉、杜鹃冠网蝽、花蓟马、光肩星天牛、</w:t>
      </w:r>
      <w:r>
        <w:rPr>
          <w:sz w:val="29"/>
          <w:szCs w:val="29"/>
          <w:spacing w:val="7"/>
        </w:rPr>
        <w:t>苹果枝天牛、</w:t>
      </w:r>
    </w:p>
    <w:p>
      <w:pPr>
        <w:pStyle w:val="BodyText"/>
        <w:spacing w:before="145" w:line="279" w:lineRule="auto"/>
        <w:rPr>
          <w:sz w:val="29"/>
          <w:szCs w:val="29"/>
        </w:rPr>
      </w:pPr>
      <w:r>
        <w:rPr>
          <w:sz w:val="29"/>
          <w:szCs w:val="29"/>
          <w:spacing w:val="-9"/>
        </w:rPr>
        <w:t>桃红颈天牛、芳香木蠹蛾、白杨透翅蛾、柏肤小蠹、大黑鳃金龟、大地老虎、蝼蛄、</w:t>
      </w:r>
      <w:r>
        <w:rPr>
          <w:sz w:val="29"/>
          <w:szCs w:val="29"/>
          <w:spacing w:val="6"/>
        </w:rPr>
        <w:t xml:space="preserve"> </w:t>
      </w:r>
      <w:r>
        <w:rPr>
          <w:sz w:val="29"/>
          <w:szCs w:val="29"/>
          <w:spacing w:val="-16"/>
        </w:rPr>
        <w:t>黄刺蛾、扁刺蛾、丽绿刺蛾、褐边绿刺蛾、茶袋蛾、黄尾毒蛾、桃剑纹夜蛾、丝棉木</w:t>
      </w:r>
      <w:r>
        <w:rPr>
          <w:sz w:val="29"/>
          <w:szCs w:val="29"/>
          <w:spacing w:val="6"/>
        </w:rPr>
        <w:t xml:space="preserve">  </w:t>
      </w:r>
      <w:r>
        <w:rPr>
          <w:sz w:val="29"/>
          <w:szCs w:val="29"/>
        </w:rPr>
        <w:t>金星尺蛾、柑桔凤蝶、柳蓝叶甲等。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03" w:line="262"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2"/>
        </w:rPr>
        <w:t>池、灯杆、垃圾桶保持干净；</w:t>
      </w:r>
    </w:p>
    <w:p>
      <w:pPr>
        <w:pStyle w:val="BodyText"/>
        <w:ind w:right="313" w:firstLine="730"/>
        <w:spacing w:before="155" w:line="260"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4"/>
        </w:rPr>
        <w:t>6、物资管理</w:t>
      </w:r>
    </w:p>
    <w:p>
      <w:pPr>
        <w:pStyle w:val="BodyText"/>
        <w:ind w:right="321" w:firstLine="730"/>
        <w:spacing w:before="72" w:line="276"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1"/>
        </w:rPr>
        <w:t>危险品；</w:t>
      </w:r>
    </w:p>
    <w:p>
      <w:pPr>
        <w:pStyle w:val="BodyText"/>
        <w:ind w:right="319" w:firstLine="730"/>
        <w:spacing w:before="133" w:line="280" w:lineRule="auto"/>
        <w:rPr>
          <w:sz w:val="29"/>
          <w:szCs w:val="29"/>
        </w:rPr>
      </w:pPr>
      <w:r>
        <w:rPr>
          <w:sz w:val="29"/>
          <w:szCs w:val="29"/>
          <w:spacing w:val="2"/>
        </w:rPr>
        <w:t>(2)根据现场的实际情况，申请购置7、8、9月份的农药、化肥、营养剂及</w:t>
      </w:r>
      <w:r>
        <w:rPr>
          <w:sz w:val="29"/>
          <w:szCs w:val="29"/>
          <w:spacing w:val="4"/>
        </w:rPr>
        <w:t xml:space="preserve"> </w:t>
      </w:r>
      <w:r>
        <w:rPr>
          <w:sz w:val="29"/>
          <w:szCs w:val="29"/>
          <w:spacing w:val="-6"/>
        </w:rPr>
        <w:t>其它物资；</w:t>
      </w:r>
    </w:p>
    <w:p>
      <w:pPr>
        <w:pStyle w:val="BodyText"/>
        <w:ind w:left="730"/>
        <w:spacing w:before="119" w:line="219" w:lineRule="auto"/>
        <w:rPr>
          <w:sz w:val="29"/>
          <w:szCs w:val="29"/>
        </w:rPr>
      </w:pPr>
      <w:r>
        <w:rPr>
          <w:sz w:val="29"/>
          <w:szCs w:val="29"/>
          <w:spacing w:val="9"/>
        </w:rPr>
        <w:t>(3)进行机械工具的检查维修。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4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82" w:line="223" w:lineRule="auto"/>
        <w:rPr>
          <w:rFonts w:ascii="SimHei" w:hAnsi="SimHei" w:eastAsia="SimHei" w:cs="SimHei"/>
          <w:sz w:val="29"/>
          <w:szCs w:val="29"/>
        </w:rPr>
      </w:pPr>
      <w:r>
        <w:rPr>
          <w:rFonts w:ascii="SimHei" w:hAnsi="SimHei" w:eastAsia="SimHei" w:cs="SimHei"/>
          <w:sz w:val="29"/>
          <w:szCs w:val="29"/>
          <w:spacing w:val="12"/>
        </w:rPr>
        <w:t>七月份</w:t>
      </w:r>
    </w:p>
    <w:p>
      <w:pPr>
        <w:pStyle w:val="BodyText"/>
        <w:ind w:left="570"/>
        <w:spacing w:before="127" w:line="219" w:lineRule="auto"/>
        <w:rPr>
          <w:sz w:val="29"/>
          <w:szCs w:val="29"/>
        </w:rPr>
      </w:pPr>
      <w:r>
        <w:rPr>
          <w:sz w:val="29"/>
          <w:szCs w:val="29"/>
          <w:spacing w:val="4"/>
        </w:rPr>
        <w:t>气温最高，中旬以后会出现大风大雨情况，做好防风、防涝工作。</w:t>
      </w:r>
    </w:p>
    <w:p>
      <w:pPr>
        <w:pStyle w:val="BodyText"/>
        <w:ind w:left="570"/>
        <w:spacing w:before="286"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现场检查</w:t>
      </w:r>
    </w:p>
    <w:p>
      <w:pPr>
        <w:pStyle w:val="BodyText"/>
        <w:ind w:left="730"/>
        <w:spacing w:before="113" w:line="219" w:lineRule="auto"/>
        <w:rPr>
          <w:sz w:val="29"/>
          <w:szCs w:val="29"/>
        </w:rPr>
      </w:pPr>
      <w:r>
        <w:rPr>
          <w:sz w:val="29"/>
          <w:szCs w:val="29"/>
          <w:spacing w:val="6"/>
        </w:rPr>
        <w:t>(1)及时检查乔木支撑情况，发现松动或缺失立即加固；</w:t>
      </w:r>
    </w:p>
    <w:p>
      <w:pPr>
        <w:pStyle w:val="BodyText"/>
        <w:ind w:left="730"/>
        <w:spacing w:before="154" w:line="219" w:lineRule="auto"/>
        <w:rPr>
          <w:sz w:val="29"/>
          <w:szCs w:val="29"/>
        </w:rPr>
      </w:pPr>
      <w:r>
        <w:rPr>
          <w:sz w:val="29"/>
          <w:szCs w:val="29"/>
          <w:spacing w:val="7"/>
        </w:rPr>
        <w:t>(2)杜绝积水，做好土壤微环境处理。前期种植的苗木可能在本月出现回</w:t>
      </w:r>
    </w:p>
    <w:p>
      <w:pPr>
        <w:spacing w:line="219" w:lineRule="auto"/>
        <w:sectPr>
          <w:footerReference w:type="default" r:id="rId530"/>
          <w:pgSz w:w="14490" w:h="20470"/>
          <w:pgMar w:top="400" w:right="1935" w:bottom="1187" w:left="2150" w:header="0" w:footer="971"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缩，注意观察对症治疗。</w:t>
      </w:r>
    </w:p>
    <w:p>
      <w:pPr>
        <w:ind w:left="600"/>
        <w:spacing w:before="105"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19" w:firstLine="600"/>
        <w:spacing w:before="143" w:line="310" w:lineRule="auto"/>
        <w:rPr>
          <w:sz w:val="29"/>
          <w:szCs w:val="29"/>
        </w:rPr>
      </w:pPr>
      <w:r>
        <w:rPr>
          <w:sz w:val="29"/>
          <w:szCs w:val="29"/>
          <w:spacing w:val="-11"/>
        </w:rPr>
        <w:t>及时对乔木、灌木、绿篱、草坪进行修剪，本月草坪处于休眠期不宜修剪过短，</w:t>
      </w:r>
      <w:r>
        <w:rPr>
          <w:sz w:val="29"/>
          <w:szCs w:val="29"/>
          <w:spacing w:val="18"/>
        </w:rPr>
        <w:t xml:space="preserve"> </w:t>
      </w:r>
      <w:r>
        <w:rPr>
          <w:sz w:val="29"/>
          <w:szCs w:val="29"/>
          <w:spacing w:val="-8"/>
        </w:rPr>
        <w:t>乔木进行剥芽除萌蘖，长势较旺盛乔木的进行适当修剪，控制长势。及时去除时花</w:t>
      </w:r>
      <w:r>
        <w:rPr>
          <w:sz w:val="29"/>
          <w:szCs w:val="29"/>
        </w:rPr>
        <w:t xml:space="preserve">  </w:t>
      </w:r>
      <w:r>
        <w:rPr>
          <w:sz w:val="29"/>
          <w:szCs w:val="29"/>
          <w:spacing w:val="-7"/>
        </w:rPr>
        <w:t>的败花。</w:t>
      </w:r>
    </w:p>
    <w:p>
      <w:pPr>
        <w:ind w:left="600"/>
        <w:spacing w:before="5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49" w:firstLine="600"/>
        <w:spacing w:before="105" w:line="313" w:lineRule="auto"/>
        <w:rPr>
          <w:sz w:val="29"/>
          <w:szCs w:val="29"/>
        </w:rPr>
      </w:pPr>
      <w:r>
        <w:rPr>
          <w:sz w:val="29"/>
          <w:szCs w:val="29"/>
          <w:spacing w:val="-1"/>
        </w:rPr>
        <w:t>为高温高湿的多雨季节，仍注意苗木实时浇水，同时也要注意时花的适时浇</w:t>
      </w:r>
      <w:r>
        <w:rPr>
          <w:sz w:val="29"/>
          <w:szCs w:val="29"/>
          <w:spacing w:val="17"/>
        </w:rPr>
        <w:t xml:space="preserve"> </w:t>
      </w:r>
      <w:r>
        <w:rPr>
          <w:sz w:val="29"/>
          <w:szCs w:val="29"/>
          <w:spacing w:val="-8"/>
        </w:rPr>
        <w:t>水。做好排涝工作，对于因积水导致烂根的苗木，应起挖出来重新种植，并</w:t>
      </w:r>
      <w:r>
        <w:rPr>
          <w:sz w:val="29"/>
          <w:szCs w:val="29"/>
          <w:spacing w:val="-9"/>
        </w:rPr>
        <w:t>对腐烂</w:t>
      </w:r>
      <w:r>
        <w:rPr>
          <w:sz w:val="29"/>
          <w:szCs w:val="29"/>
        </w:rPr>
        <w:t xml:space="preserve"> </w:t>
      </w:r>
      <w:r>
        <w:rPr>
          <w:sz w:val="29"/>
          <w:szCs w:val="29"/>
          <w:spacing w:val="2"/>
        </w:rPr>
        <w:t>根系断根，消毒处理。</w:t>
      </w:r>
    </w:p>
    <w:p>
      <w:pPr>
        <w:pStyle w:val="BodyText"/>
        <w:ind w:left="600"/>
        <w:spacing w:before="31"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251" w:firstLine="730"/>
        <w:spacing w:before="84" w:line="269"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5"/>
        </w:rPr>
        <w:t>坪腐霉枯萎病、细菌性穿孔病、冠瘿病、花叶病等；</w:t>
      </w:r>
    </w:p>
    <w:p>
      <w:pPr>
        <w:pStyle w:val="BodyText"/>
        <w:ind w:left="730"/>
        <w:spacing w:before="164" w:line="219" w:lineRule="auto"/>
        <w:rPr>
          <w:sz w:val="29"/>
          <w:szCs w:val="29"/>
        </w:rPr>
      </w:pPr>
      <w:r>
        <w:rPr>
          <w:sz w:val="29"/>
          <w:szCs w:val="29"/>
          <w:spacing w:val="8"/>
        </w:rPr>
        <w:t>(2)虫害：大青叶蝉、杜鹃冠网蝽、花蓟马、光肩星天牛、</w:t>
      </w:r>
      <w:r>
        <w:rPr>
          <w:sz w:val="29"/>
          <w:szCs w:val="29"/>
          <w:spacing w:val="7"/>
        </w:rPr>
        <w:t>桃红颈天牛、</w:t>
      </w:r>
    </w:p>
    <w:p>
      <w:pPr>
        <w:pStyle w:val="BodyText"/>
        <w:spacing w:before="148" w:line="265" w:lineRule="auto"/>
        <w:rPr>
          <w:sz w:val="29"/>
          <w:szCs w:val="29"/>
        </w:rPr>
      </w:pPr>
      <w:r>
        <w:rPr>
          <w:sz w:val="29"/>
          <w:szCs w:val="29"/>
          <w:spacing w:val="-8"/>
        </w:rPr>
        <w:t>芳香木蠹蛾、大黑鳃金龟、大地老虎、蝼蛄、黄刺蛾、扁刺蛾、丽绿刺蛾、</w:t>
      </w:r>
      <w:r>
        <w:rPr>
          <w:sz w:val="29"/>
          <w:szCs w:val="29"/>
          <w:spacing w:val="-9"/>
        </w:rPr>
        <w:t>褐边绿</w:t>
      </w:r>
      <w:r>
        <w:rPr>
          <w:sz w:val="29"/>
          <w:szCs w:val="29"/>
        </w:rPr>
        <w:t xml:space="preserve">  </w:t>
      </w:r>
      <w:r>
        <w:rPr>
          <w:sz w:val="29"/>
          <w:szCs w:val="29"/>
          <w:spacing w:val="-9"/>
        </w:rPr>
        <w:t>刺蛾、茶袋蛾、黄尾毒蛾、桃剑纹夜蛾、丝棉木金星尺蛾、柑桔凤蝶、柳蓝叶甲等。</w:t>
      </w:r>
    </w:p>
    <w:p>
      <w:pPr>
        <w:pStyle w:val="BodyText"/>
        <w:ind w:left="600"/>
        <w:spacing w:before="12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1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56" w:line="263"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8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left="730"/>
        <w:spacing w:before="142" w:line="219" w:lineRule="auto"/>
        <w:rPr>
          <w:sz w:val="29"/>
          <w:szCs w:val="29"/>
        </w:rPr>
      </w:pPr>
      <w:r>
        <w:rPr>
          <w:sz w:val="29"/>
          <w:szCs w:val="29"/>
          <w:spacing w:val="12"/>
        </w:rPr>
        <w:t>(2)进行机械工具的检查维修。</w:t>
      </w:r>
    </w:p>
    <w:p>
      <w:pPr>
        <w:pStyle w:val="BodyText"/>
        <w:ind w:left="600"/>
        <w:spacing w:before="10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3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107" w:line="223" w:lineRule="auto"/>
        <w:rPr>
          <w:rFonts w:ascii="SimHei" w:hAnsi="SimHei" w:eastAsia="SimHei" w:cs="SimHei"/>
          <w:sz w:val="29"/>
          <w:szCs w:val="29"/>
        </w:rPr>
      </w:pPr>
      <w:r>
        <w:rPr>
          <w:rFonts w:ascii="SimHei" w:hAnsi="SimHei" w:eastAsia="SimHei" w:cs="SimHei"/>
          <w:sz w:val="29"/>
          <w:szCs w:val="29"/>
          <w:spacing w:val="6"/>
        </w:rPr>
        <w:t>八月份</w:t>
      </w:r>
    </w:p>
    <w:p>
      <w:pPr>
        <w:pStyle w:val="BodyText"/>
        <w:ind w:left="600"/>
        <w:spacing w:before="120" w:line="219" w:lineRule="auto"/>
        <w:rPr>
          <w:sz w:val="29"/>
          <w:szCs w:val="29"/>
        </w:rPr>
      </w:pPr>
      <w:r>
        <w:rPr>
          <w:sz w:val="29"/>
          <w:szCs w:val="29"/>
          <w:spacing w:val="3"/>
        </w:rPr>
        <w:t>气温最高，下旬出现大风大雨情况，继续做好防风排涝、除害灭病工作。</w:t>
      </w:r>
    </w:p>
    <w:p>
      <w:pPr>
        <w:pStyle w:val="BodyText"/>
        <w:ind w:left="600"/>
        <w:spacing w:before="26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64" w:line="219" w:lineRule="auto"/>
        <w:rPr>
          <w:sz w:val="29"/>
          <w:szCs w:val="29"/>
        </w:rPr>
      </w:pPr>
      <w:r>
        <w:rPr>
          <w:sz w:val="29"/>
          <w:szCs w:val="29"/>
        </w:rPr>
        <w:t>及时检查乔木支撑情况，发现松动或缺失立即加固。</w:t>
      </w:r>
    </w:p>
    <w:p>
      <w:pPr>
        <w:pStyle w:val="BodyText"/>
        <w:ind w:left="600"/>
        <w:spacing w:before="9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spacing w:line="221" w:lineRule="auto"/>
        <w:sectPr>
          <w:footerReference w:type="default" r:id="rId531"/>
          <w:pgSz w:w="14490" w:h="20470"/>
          <w:pgMar w:top="400" w:right="1935" w:bottom="1143" w:left="2150" w:header="0" w:footer="944" w:gutter="0"/>
        </w:sectPr>
        <w:rPr>
          <w:rFonts w:ascii="SimHei" w:hAnsi="SimHei" w:eastAsia="SimHei" w:cs="SimHei"/>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448" w:firstLine="570"/>
        <w:spacing w:before="95" w:line="308" w:lineRule="auto"/>
        <w:rPr>
          <w:sz w:val="29"/>
          <w:szCs w:val="29"/>
        </w:rPr>
      </w:pPr>
      <w:r>
        <w:rPr>
          <w:sz w:val="29"/>
          <w:szCs w:val="29"/>
          <w:spacing w:val="-9"/>
        </w:rPr>
        <w:t>乔灌木草坪，及时修剪，销售区草坪应保持月</w:t>
      </w:r>
      <w:r>
        <w:rPr>
          <w:sz w:val="29"/>
          <w:szCs w:val="29"/>
          <w:spacing w:val="-10"/>
        </w:rPr>
        <w:t>修剪3-4次。及时对地被、绿篱</w:t>
      </w:r>
      <w:r>
        <w:rPr>
          <w:sz w:val="29"/>
          <w:szCs w:val="29"/>
        </w:rPr>
        <w:t xml:space="preserve"> </w:t>
      </w:r>
      <w:r>
        <w:rPr>
          <w:sz w:val="29"/>
          <w:szCs w:val="29"/>
          <w:spacing w:val="-1"/>
        </w:rPr>
        <w:t>及造型树进行修剪。</w:t>
      </w:r>
    </w:p>
    <w:p>
      <w:pPr>
        <w:ind w:left="570"/>
        <w:spacing w:before="51"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53" w:firstLine="570"/>
        <w:spacing w:before="90" w:line="315" w:lineRule="auto"/>
        <w:rPr>
          <w:sz w:val="29"/>
          <w:szCs w:val="29"/>
        </w:rPr>
      </w:pPr>
      <w:r>
        <w:rPr>
          <w:sz w:val="29"/>
          <w:szCs w:val="29"/>
          <w:spacing w:val="-6"/>
        </w:rPr>
        <w:t>本月为高温高湿的多雨季节，仍注意苗木实时浇水，同时也要注意时花的适</w:t>
      </w:r>
      <w:r>
        <w:rPr>
          <w:sz w:val="29"/>
          <w:szCs w:val="29"/>
          <w:spacing w:val="8"/>
        </w:rPr>
        <w:t xml:space="preserve"> </w:t>
      </w:r>
      <w:r>
        <w:rPr>
          <w:sz w:val="29"/>
          <w:szCs w:val="29"/>
        </w:rPr>
        <w:t>时浇水。做好排涝工作。</w:t>
      </w:r>
    </w:p>
    <w:p>
      <w:pPr>
        <w:pStyle w:val="BodyText"/>
        <w:ind w:left="570"/>
        <w:spacing w:before="3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3" w:firstLine="730"/>
        <w:spacing w:before="94" w:line="269"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rPr>
        <w:t>腐霉枯萎病、细菌性穿孔病、冠瘿病、花叶病等；</w:t>
      </w:r>
    </w:p>
    <w:p>
      <w:pPr>
        <w:pStyle w:val="BodyText"/>
        <w:ind w:right="280" w:firstLine="730"/>
        <w:spacing w:before="143" w:line="279" w:lineRule="auto"/>
        <w:rPr>
          <w:sz w:val="29"/>
          <w:szCs w:val="29"/>
        </w:rPr>
      </w:pPr>
      <w:r>
        <w:rPr>
          <w:sz w:val="29"/>
          <w:szCs w:val="29"/>
          <w:spacing w:val="8"/>
        </w:rPr>
        <w:t>(2)虫害：大青叶蝉、杜鹃冠网蝽、花蓟马、光肩星天牛、</w:t>
      </w:r>
      <w:r>
        <w:rPr>
          <w:sz w:val="29"/>
          <w:szCs w:val="29"/>
          <w:spacing w:val="7"/>
        </w:rPr>
        <w:t>芳香木蠹蛾、</w:t>
      </w:r>
      <w:r>
        <w:rPr>
          <w:sz w:val="29"/>
          <w:szCs w:val="29"/>
        </w:rPr>
        <w:t xml:space="preserve"> </w:t>
      </w:r>
      <w:r>
        <w:rPr>
          <w:sz w:val="29"/>
          <w:szCs w:val="29"/>
          <w:spacing w:val="-17"/>
        </w:rPr>
        <w:t>大地老虎、蝼蛄、黄刺蛾、扁刺蛾、丽绿刺蛾、褐边绿刺蛾、茶袋蛾、黄尾毒蛾、丝</w:t>
      </w:r>
      <w:r>
        <w:rPr>
          <w:sz w:val="29"/>
          <w:szCs w:val="29"/>
          <w:spacing w:val="11"/>
        </w:rPr>
        <w:t xml:space="preserve"> </w:t>
      </w:r>
      <w:r>
        <w:rPr>
          <w:sz w:val="29"/>
          <w:szCs w:val="29"/>
        </w:rPr>
        <w:t>棉木金星尺蛾、柑桔凤蝶、柳蓝叶甲等。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7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9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3"/>
        </w:rPr>
        <w:t>危险品。</w:t>
      </w:r>
    </w:p>
    <w:p>
      <w:pPr>
        <w:pStyle w:val="BodyText"/>
        <w:ind w:left="730"/>
        <w:spacing w:before="142" w:line="219" w:lineRule="auto"/>
        <w:rPr>
          <w:sz w:val="29"/>
          <w:szCs w:val="29"/>
        </w:rPr>
      </w:pPr>
      <w:r>
        <w:rPr>
          <w:sz w:val="29"/>
          <w:szCs w:val="29"/>
          <w:spacing w:val="9"/>
        </w:rPr>
        <w:t>(2)进行机械工具的检查维修。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77"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70"/>
        <w:spacing w:before="137" w:line="219" w:lineRule="auto"/>
        <w:rPr>
          <w:sz w:val="29"/>
          <w:szCs w:val="29"/>
        </w:rPr>
      </w:pPr>
      <w:r>
        <w:rPr>
          <w:sz w:val="29"/>
          <w:szCs w:val="29"/>
          <w:spacing w:val="3"/>
        </w:rPr>
        <w:t>气温较高，天气较干燥，注意浇水与病虫害防治，重点做好营销环境布置。</w:t>
      </w:r>
    </w:p>
    <w:p>
      <w:pPr>
        <w:pStyle w:val="BodyText"/>
        <w:ind w:left="570"/>
        <w:spacing w:before="31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03" w:line="219" w:lineRule="auto"/>
        <w:rPr>
          <w:sz w:val="29"/>
          <w:szCs w:val="29"/>
        </w:rPr>
      </w:pPr>
      <w:r>
        <w:rPr>
          <w:sz w:val="29"/>
          <w:szCs w:val="29"/>
          <w:spacing w:val="1"/>
        </w:rPr>
        <w:t>及时检查乔木支撑情况，发现松动或缺失立即加固。</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730"/>
        <w:spacing w:before="166" w:line="219" w:lineRule="auto"/>
        <w:rPr>
          <w:sz w:val="29"/>
          <w:szCs w:val="29"/>
        </w:rPr>
      </w:pPr>
      <w:r>
        <w:rPr>
          <w:sz w:val="29"/>
          <w:szCs w:val="29"/>
          <w:spacing w:val="6"/>
        </w:rPr>
        <w:t>(1)乔木、花灌木及草坪生长迅速，及时做好修剪工作；</w:t>
      </w:r>
    </w:p>
    <w:p>
      <w:pPr>
        <w:pStyle w:val="BodyText"/>
        <w:ind w:left="730"/>
        <w:spacing w:before="136" w:line="219" w:lineRule="auto"/>
        <w:rPr>
          <w:sz w:val="29"/>
          <w:szCs w:val="29"/>
        </w:rPr>
      </w:pPr>
      <w:r>
        <w:rPr>
          <w:sz w:val="29"/>
          <w:szCs w:val="29"/>
          <w:spacing w:val="7"/>
        </w:rPr>
        <w:t>(2)国庆节前彻底消灭杂草，避免种子落到地</w:t>
      </w:r>
      <w:r>
        <w:rPr>
          <w:sz w:val="29"/>
          <w:szCs w:val="29"/>
          <w:spacing w:val="6"/>
        </w:rPr>
        <w:t>面。</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91" w:firstLine="730"/>
        <w:spacing w:before="153" w:line="314" w:lineRule="auto"/>
        <w:rPr>
          <w:sz w:val="29"/>
          <w:szCs w:val="29"/>
        </w:rPr>
      </w:pPr>
      <w:r>
        <w:rPr>
          <w:sz w:val="29"/>
          <w:szCs w:val="29"/>
          <w:spacing w:val="7"/>
        </w:rPr>
        <w:t>(1)本月相对干燥少雨，注意苗木实时浇水，同时也要注意时花的适时浇</w:t>
      </w:r>
      <w:r>
        <w:rPr>
          <w:sz w:val="29"/>
          <w:szCs w:val="29"/>
          <w:spacing w:val="16"/>
        </w:rPr>
        <w:t xml:space="preserve"> </w:t>
      </w:r>
      <w:r>
        <w:rPr>
          <w:sz w:val="29"/>
          <w:szCs w:val="29"/>
          <w:spacing w:val="-8"/>
        </w:rPr>
        <w:t>水；</w:t>
      </w:r>
    </w:p>
    <w:p>
      <w:pPr>
        <w:spacing w:line="314" w:lineRule="auto"/>
        <w:sectPr>
          <w:footerReference w:type="default" r:id="rId532"/>
          <w:pgSz w:w="14490" w:h="20470"/>
          <w:pgMar w:top="400" w:right="1935" w:bottom="1143" w:left="2150" w:header="0" w:footer="94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1"/>
        </w:rPr>
        <w:t>(2)施秋肥：本月中旬养护期超过3年的黑土地及沙土地或黄土地，全园</w:t>
      </w:r>
    </w:p>
    <w:p>
      <w:pPr>
        <w:pStyle w:val="BodyText"/>
        <w:ind w:right="341"/>
        <w:spacing w:before="143" w:line="311" w:lineRule="auto"/>
        <w:rPr>
          <w:sz w:val="29"/>
          <w:szCs w:val="29"/>
        </w:rPr>
      </w:pPr>
      <w:r>
        <w:rPr>
          <w:sz w:val="29"/>
          <w:szCs w:val="29"/>
          <w:spacing w:val="5"/>
        </w:rPr>
        <w:t>追施一次有机复合肥(有机质45%),植物长势较差的可以施氮磷钾均衡的无机复</w:t>
      </w:r>
      <w:r>
        <w:rPr>
          <w:sz w:val="29"/>
          <w:szCs w:val="29"/>
          <w:spacing w:val="17"/>
        </w:rPr>
        <w:t xml:space="preserve"> </w:t>
      </w:r>
      <w:r>
        <w:rPr>
          <w:sz w:val="29"/>
          <w:szCs w:val="29"/>
          <w:spacing w:val="-10"/>
        </w:rPr>
        <w:t>合肥一次。养护期不足3年的黑土地施有益菌类生物肥一次，土质过于粘重</w:t>
      </w:r>
      <w:r>
        <w:rPr>
          <w:sz w:val="29"/>
          <w:szCs w:val="29"/>
          <w:spacing w:val="-11"/>
        </w:rPr>
        <w:t>的黑土</w:t>
      </w:r>
      <w:r>
        <w:rPr>
          <w:sz w:val="29"/>
          <w:szCs w:val="29"/>
        </w:rPr>
        <w:t xml:space="preserve">  </w:t>
      </w:r>
      <w:r>
        <w:rPr>
          <w:sz w:val="29"/>
          <w:szCs w:val="29"/>
        </w:rPr>
        <w:t>地施松土肥一次。乔木及大灌木穴施；</w:t>
      </w:r>
    </w:p>
    <w:p>
      <w:pPr>
        <w:pStyle w:val="BodyText"/>
        <w:ind w:left="600"/>
        <w:spacing w:before="56" w:line="221" w:lineRule="auto"/>
        <w:rPr>
          <w:rFonts w:ascii="SimHei" w:hAnsi="SimHei" w:eastAsia="SimHei" w:cs="SimHei"/>
          <w:sz w:val="29"/>
          <w:szCs w:val="29"/>
        </w:rPr>
      </w:pPr>
      <w:r>
        <w:rPr>
          <w:rFonts w:ascii="Arial" w:hAnsi="Arial" w:eastAsia="Arial" w:cs="Arial"/>
          <w:sz w:val="29"/>
          <w:szCs w:val="29"/>
          <w:spacing w:val="1"/>
        </w:rPr>
        <w:t>4</w:t>
      </w:r>
      <w:r>
        <w:rPr>
          <w:sz w:val="29"/>
          <w:szCs w:val="29"/>
          <w:spacing w:val="1"/>
        </w:rPr>
        <w:t>、</w:t>
      </w:r>
      <w:r>
        <w:rPr>
          <w:rFonts w:ascii="SimHei" w:hAnsi="SimHei" w:eastAsia="SimHei" w:cs="SimHei"/>
          <w:sz w:val="29"/>
          <w:szCs w:val="29"/>
          <w:spacing w:val="1"/>
        </w:rPr>
        <w:t>病虫害防治</w:t>
      </w:r>
    </w:p>
    <w:p>
      <w:pPr>
        <w:pStyle w:val="BodyText"/>
        <w:ind w:right="339" w:firstLine="730"/>
        <w:spacing w:before="94" w:line="269"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1"/>
        </w:rPr>
        <w:t>枯病、草坪腐霉枯萎病、冠瘿病、花叶病等；</w:t>
      </w:r>
    </w:p>
    <w:p>
      <w:pPr>
        <w:pStyle w:val="BodyText"/>
        <w:ind w:right="279" w:firstLine="730"/>
        <w:spacing w:before="143" w:line="279" w:lineRule="auto"/>
        <w:rPr>
          <w:sz w:val="29"/>
          <w:szCs w:val="29"/>
        </w:rPr>
      </w:pPr>
      <w:r>
        <w:rPr>
          <w:sz w:val="29"/>
          <w:szCs w:val="29"/>
          <w:spacing w:val="8"/>
        </w:rPr>
        <w:t>(2)虫害：大青叶蝉、杜鹃冠网蝽、花蓟马、光肩星天牛、</w:t>
      </w:r>
      <w:r>
        <w:rPr>
          <w:sz w:val="29"/>
          <w:szCs w:val="29"/>
          <w:spacing w:val="7"/>
        </w:rPr>
        <w:t>芳香木蠹蛾、</w:t>
      </w:r>
      <w:r>
        <w:rPr>
          <w:sz w:val="29"/>
          <w:szCs w:val="29"/>
        </w:rPr>
        <w:t xml:space="preserve"> </w:t>
      </w:r>
      <w:r>
        <w:rPr>
          <w:sz w:val="29"/>
          <w:szCs w:val="29"/>
          <w:spacing w:val="-9"/>
        </w:rPr>
        <w:t>铜绿丽金龟、大地老虎、蝼蛄、黄刺蛾、丽绿刺蛾、褐边绿刺蛾、茶袋蛾、黄尾毒</w:t>
      </w:r>
      <w:r>
        <w:rPr>
          <w:sz w:val="29"/>
          <w:szCs w:val="29"/>
          <w:spacing w:val="8"/>
        </w:rPr>
        <w:t xml:space="preserve"> </w:t>
      </w:r>
      <w:r>
        <w:rPr>
          <w:sz w:val="29"/>
          <w:szCs w:val="29"/>
          <w:spacing w:val="1"/>
        </w:rPr>
        <w:t>蛾、丝棉木金星尺蛾、柑桔凤蝶、柳蓝叶甲等。</w:t>
      </w:r>
    </w:p>
    <w:p>
      <w:pPr>
        <w:pStyle w:val="BodyText"/>
        <w:ind w:left="600"/>
        <w:spacing w:before="16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600"/>
        <w:spacing w:before="113" w:line="396"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时花摆放</w:t>
      </w:r>
    </w:p>
    <w:p>
      <w:pPr>
        <w:pStyle w:val="BodyText"/>
        <w:ind w:left="730"/>
        <w:spacing w:before="97" w:line="219" w:lineRule="auto"/>
        <w:rPr>
          <w:sz w:val="29"/>
          <w:szCs w:val="29"/>
        </w:rPr>
      </w:pPr>
      <w:r>
        <w:rPr>
          <w:sz w:val="29"/>
          <w:szCs w:val="29"/>
          <w:spacing w:val="6"/>
        </w:rPr>
        <w:t>(1)月初提交时花需求计划，选择亮色花卉，安排下旬进场；</w:t>
      </w:r>
    </w:p>
    <w:p>
      <w:pPr>
        <w:pStyle w:val="BodyText"/>
        <w:ind w:left="73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0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ind w:right="341" w:firstLine="730"/>
        <w:spacing w:before="103" w:line="27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277" w:firstLine="730"/>
        <w:spacing w:before="173" w:line="267" w:lineRule="auto"/>
        <w:rPr>
          <w:sz w:val="29"/>
          <w:szCs w:val="29"/>
        </w:rPr>
      </w:pPr>
      <w:r>
        <w:rPr>
          <w:sz w:val="29"/>
          <w:szCs w:val="29"/>
          <w:spacing w:val="-1"/>
        </w:rPr>
        <w:t>(2)根据现场的实际情况，申请购置10、11、12月份的农药、化肥、营养剂</w:t>
      </w:r>
      <w:r>
        <w:rPr>
          <w:sz w:val="29"/>
          <w:szCs w:val="29"/>
          <w:spacing w:val="8"/>
        </w:rPr>
        <w:t xml:space="preserve"> </w:t>
      </w:r>
      <w:r>
        <w:rPr>
          <w:sz w:val="29"/>
          <w:szCs w:val="29"/>
          <w:spacing w:val="-5"/>
        </w:rPr>
        <w:t>及其它物资；</w:t>
      </w:r>
    </w:p>
    <w:p>
      <w:pPr>
        <w:pStyle w:val="BodyText"/>
        <w:ind w:left="730"/>
        <w:spacing w:before="139" w:line="219" w:lineRule="auto"/>
        <w:rPr>
          <w:sz w:val="29"/>
          <w:szCs w:val="29"/>
        </w:rPr>
      </w:pPr>
      <w:r>
        <w:rPr>
          <w:sz w:val="29"/>
          <w:szCs w:val="29"/>
          <w:spacing w:val="10"/>
        </w:rPr>
        <w:t>(3)进行机械工具的检查维修。</w:t>
      </w:r>
    </w:p>
    <w:p>
      <w:pPr>
        <w:pStyle w:val="BodyText"/>
        <w:ind w:left="600"/>
        <w:spacing w:before="54"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firstLine="600"/>
        <w:spacing w:before="137" w:line="311" w:lineRule="auto"/>
        <w:rPr>
          <w:sz w:val="29"/>
          <w:szCs w:val="29"/>
        </w:rPr>
      </w:pPr>
      <w:r>
        <w:rPr>
          <w:sz w:val="29"/>
          <w:szCs w:val="29"/>
          <w:spacing w:val="-2"/>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97" w:line="223" w:lineRule="auto"/>
        <w:rPr>
          <w:rFonts w:ascii="SimHei" w:hAnsi="SimHei" w:eastAsia="SimHei" w:cs="SimHei"/>
          <w:sz w:val="29"/>
          <w:szCs w:val="29"/>
        </w:rPr>
      </w:pPr>
      <w:r>
        <w:rPr>
          <w:rFonts w:ascii="SimHei" w:hAnsi="SimHei" w:eastAsia="SimHei" w:cs="SimHei"/>
          <w:sz w:val="29"/>
          <w:szCs w:val="29"/>
          <w:spacing w:val="9"/>
        </w:rPr>
        <w:t>十月份</w:t>
      </w:r>
    </w:p>
    <w:p>
      <w:pPr>
        <w:pStyle w:val="BodyText"/>
        <w:ind w:left="600"/>
        <w:spacing w:before="107" w:line="219" w:lineRule="auto"/>
        <w:rPr>
          <w:sz w:val="29"/>
          <w:szCs w:val="29"/>
        </w:rPr>
      </w:pPr>
      <w:r>
        <w:rPr>
          <w:sz w:val="29"/>
          <w:szCs w:val="29"/>
          <w:spacing w:val="4"/>
        </w:rPr>
        <w:t>气温逐渐变凉，天气干燥，注意水肥管理。</w:t>
      </w:r>
    </w:p>
    <w:p>
      <w:pPr>
        <w:pStyle w:val="BodyText"/>
        <w:ind w:left="600"/>
        <w:spacing w:before="27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144" w:line="219" w:lineRule="auto"/>
        <w:rPr>
          <w:sz w:val="29"/>
          <w:szCs w:val="29"/>
        </w:rPr>
      </w:pPr>
      <w:r>
        <w:rPr>
          <w:sz w:val="29"/>
          <w:szCs w:val="29"/>
        </w:rPr>
        <w:t>及时检查乔木支撑情况，发现松动或缺失立即加固。</w:t>
      </w:r>
    </w:p>
    <w:p>
      <w:pPr>
        <w:ind w:left="600"/>
        <w:spacing w:before="10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143" w:line="219" w:lineRule="auto"/>
        <w:rPr>
          <w:sz w:val="29"/>
          <w:szCs w:val="29"/>
        </w:rPr>
      </w:pPr>
      <w:r>
        <w:rPr>
          <w:sz w:val="29"/>
          <w:szCs w:val="29"/>
          <w:spacing w:val="8"/>
        </w:rPr>
        <w:t>(1)进行绿篱及小乔木、灌木的全面修剪。剪去病枝，枯枝、</w:t>
      </w:r>
      <w:r>
        <w:rPr>
          <w:sz w:val="29"/>
          <w:szCs w:val="29"/>
          <w:spacing w:val="7"/>
        </w:rPr>
        <w:t>有虫卵枝及</w:t>
      </w:r>
    </w:p>
    <w:p>
      <w:pPr>
        <w:spacing w:line="219" w:lineRule="auto"/>
        <w:sectPr>
          <w:footerReference w:type="default" r:id="rId533"/>
          <w:pgSz w:w="14490" w:h="20470"/>
          <w:pgMar w:top="400" w:right="1935" w:bottom="1157" w:left="2150" w:header="0" w:footer="941"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3"/>
        </w:rPr>
        <w:t>竞争枝、过密枝等；</w:t>
      </w:r>
    </w:p>
    <w:p>
      <w:pPr>
        <w:pStyle w:val="BodyText"/>
        <w:ind w:right="470" w:firstLine="730"/>
        <w:spacing w:before="145" w:line="311" w:lineRule="auto"/>
        <w:rPr>
          <w:sz w:val="29"/>
          <w:szCs w:val="29"/>
        </w:rPr>
      </w:pPr>
      <w:r>
        <w:rPr>
          <w:sz w:val="29"/>
          <w:szCs w:val="29"/>
          <w:spacing w:val="5"/>
        </w:rPr>
        <w:t>(2)修剪行道树时，操作时要严格掌握操作规程和技术要</w:t>
      </w:r>
      <w:r>
        <w:rPr>
          <w:sz w:val="29"/>
          <w:szCs w:val="29"/>
          <w:spacing w:val="4"/>
        </w:rPr>
        <w:t>求。注意安全，</w:t>
      </w:r>
      <w:r>
        <w:rPr>
          <w:sz w:val="29"/>
          <w:szCs w:val="29"/>
        </w:rPr>
        <w:t xml:space="preserve"> </w:t>
      </w:r>
      <w:r>
        <w:rPr>
          <w:sz w:val="29"/>
          <w:szCs w:val="29"/>
        </w:rPr>
        <w:t>耐寒性差的植物晚秋与冬季尽量不进行修剪。</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429" w:firstLine="730"/>
        <w:spacing w:before="109" w:line="262" w:lineRule="auto"/>
        <w:rPr>
          <w:sz w:val="29"/>
          <w:szCs w:val="29"/>
        </w:rPr>
      </w:pPr>
      <w:r>
        <w:rPr>
          <w:sz w:val="29"/>
          <w:szCs w:val="29"/>
          <w:spacing w:val="-1"/>
        </w:rPr>
        <w:t>(1)</w:t>
      </w:r>
      <w:r>
        <w:rPr>
          <w:sz w:val="29"/>
          <w:szCs w:val="29"/>
          <w:spacing w:val="86"/>
        </w:rPr>
        <w:t xml:space="preserve"> </w:t>
      </w:r>
      <w:r>
        <w:rPr>
          <w:sz w:val="29"/>
          <w:szCs w:val="29"/>
          <w:spacing w:val="-1"/>
        </w:rPr>
        <w:t>注意苗木实时浇水，同时也要注意时花的适时浇水，下旬可开始进行</w:t>
      </w:r>
      <w:r>
        <w:rPr>
          <w:sz w:val="29"/>
          <w:szCs w:val="29"/>
        </w:rPr>
        <w:t xml:space="preserve"> </w:t>
      </w:r>
      <w:r>
        <w:rPr>
          <w:sz w:val="29"/>
          <w:szCs w:val="29"/>
          <w:spacing w:val="-3"/>
        </w:rPr>
        <w:t>第一次冻水浇灌；</w:t>
      </w:r>
    </w:p>
    <w:p>
      <w:pPr>
        <w:pStyle w:val="BodyText"/>
        <w:ind w:right="982" w:firstLine="730"/>
        <w:spacing w:before="164" w:line="262" w:lineRule="auto"/>
        <w:rPr>
          <w:sz w:val="29"/>
          <w:szCs w:val="29"/>
        </w:rPr>
      </w:pPr>
      <w:r>
        <w:rPr>
          <w:sz w:val="29"/>
          <w:szCs w:val="29"/>
          <w:spacing w:val="-2"/>
        </w:rPr>
        <w:t>(2)本月中旬养护期超过3年的黑土地及沙土地或黄土地，全园追施1次</w:t>
      </w:r>
      <w:r>
        <w:rPr>
          <w:sz w:val="29"/>
          <w:szCs w:val="29"/>
          <w:spacing w:val="2"/>
        </w:rPr>
        <w:t xml:space="preserve"> </w:t>
      </w:r>
      <w:r>
        <w:rPr>
          <w:sz w:val="29"/>
          <w:szCs w:val="29"/>
          <w:spacing w:val="9"/>
        </w:rPr>
        <w:t>有机复合肥(有机质45%。</w:t>
      </w:r>
    </w:p>
    <w:p>
      <w:pPr>
        <w:pStyle w:val="BodyText"/>
        <w:ind w:left="570"/>
        <w:spacing w:before="8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74" w:line="219" w:lineRule="auto"/>
        <w:rPr>
          <w:sz w:val="29"/>
          <w:szCs w:val="29"/>
        </w:rPr>
      </w:pPr>
      <w:r>
        <w:rPr>
          <w:sz w:val="29"/>
          <w:szCs w:val="29"/>
          <w:spacing w:val="5"/>
        </w:rPr>
        <w:t>(1)病害：白粉病、叶斑类病害、锈病、叶枯病、干腐病、冠瘿病等；</w:t>
      </w:r>
    </w:p>
    <w:p>
      <w:pPr>
        <w:pStyle w:val="BodyText"/>
        <w:ind w:right="424" w:firstLine="730"/>
        <w:spacing w:before="128" w:line="268" w:lineRule="auto"/>
        <w:rPr>
          <w:sz w:val="29"/>
          <w:szCs w:val="29"/>
        </w:rPr>
      </w:pPr>
      <w:r>
        <w:rPr>
          <w:sz w:val="29"/>
          <w:szCs w:val="29"/>
          <w:spacing w:val="6"/>
        </w:rPr>
        <w:t>(2)虫害：大青叶蝉、桃瘤蚜、桔绿粉虱、光肩星天牛、芳香木蠹蛾、铜 </w:t>
      </w:r>
      <w:r>
        <w:rPr>
          <w:sz w:val="29"/>
          <w:szCs w:val="29"/>
          <w:spacing w:val="1"/>
        </w:rPr>
        <w:t>绿丽金龟、大地老虎、褐边绿刺蛾、丝棉木金星尺蛾、柑桔凤蝶等。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5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23"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spacing w:before="10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90" w:firstLine="570"/>
        <w:spacing w:before="167"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before="44"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6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59"/>
          <w:position w:val="1"/>
        </w:rPr>
        <w:t xml:space="preserve"> </w:t>
      </w:r>
      <w:r>
        <w:rPr>
          <w:rFonts w:ascii="SimHei" w:hAnsi="SimHei" w:eastAsia="SimHei" w:cs="SimHei"/>
          <w:sz w:val="27"/>
          <w:szCs w:val="27"/>
          <w:spacing w:val="-17"/>
          <w:position w:val="1"/>
        </w:rPr>
        <w:t>寒</w:t>
      </w:r>
    </w:p>
    <w:p>
      <w:pPr>
        <w:pStyle w:val="BodyText"/>
        <w:ind w:right="493" w:firstLine="570"/>
        <w:spacing w:before="113" w:line="314" w:lineRule="auto"/>
        <w:rPr>
          <w:sz w:val="29"/>
          <w:szCs w:val="29"/>
        </w:rPr>
      </w:pPr>
      <w:r>
        <w:rPr>
          <w:sz w:val="29"/>
          <w:szCs w:val="29"/>
          <w:spacing w:val="-4"/>
        </w:rPr>
        <w:t>在十月下旬开始陆续对乔灌木进行防寒。上旬容易出现温</w:t>
      </w:r>
      <w:r>
        <w:rPr>
          <w:sz w:val="29"/>
          <w:szCs w:val="29"/>
          <w:spacing w:val="-5"/>
        </w:rPr>
        <w:t>度出现突降，做好</w:t>
      </w:r>
      <w:r>
        <w:rPr>
          <w:sz w:val="29"/>
          <w:szCs w:val="29"/>
        </w:rPr>
        <w:t xml:space="preserve"> </w:t>
      </w:r>
      <w:r>
        <w:rPr>
          <w:sz w:val="29"/>
          <w:szCs w:val="29"/>
        </w:rPr>
        <w:t>时花防寒。新种植苗木可在灌水后松土，提高抗冻性。</w:t>
      </w:r>
    </w:p>
    <w:p>
      <w:pPr>
        <w:spacing w:before="55"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107" w:line="219" w:lineRule="auto"/>
        <w:rPr>
          <w:sz w:val="29"/>
          <w:szCs w:val="29"/>
        </w:rPr>
      </w:pPr>
      <w:r>
        <w:rPr>
          <w:sz w:val="29"/>
          <w:szCs w:val="29"/>
          <w:spacing w:val="4"/>
        </w:rPr>
        <w:t>气温继续下降，有雨雪出现，重点防寒，加强落叶清扫。</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63" w:line="219" w:lineRule="auto"/>
        <w:rPr>
          <w:sz w:val="29"/>
          <w:szCs w:val="29"/>
        </w:rPr>
      </w:pPr>
      <w:r>
        <w:rPr>
          <w:sz w:val="29"/>
          <w:szCs w:val="29"/>
          <w:spacing w:val="6"/>
        </w:rPr>
        <w:t>(1)检查防寒设施的完好情况，发现破损立即修补；</w:t>
      </w:r>
    </w:p>
    <w:p>
      <w:pPr>
        <w:pStyle w:val="BodyText"/>
        <w:ind w:left="730"/>
        <w:spacing w:before="146" w:line="219" w:lineRule="auto"/>
        <w:rPr>
          <w:sz w:val="29"/>
          <w:szCs w:val="29"/>
        </w:rPr>
      </w:pPr>
      <w:r>
        <w:rPr>
          <w:sz w:val="29"/>
          <w:szCs w:val="29"/>
          <w:spacing w:val="7"/>
        </w:rPr>
        <w:t>(2)及时检查乔木支撑情况，发现松动或缺失立即加固。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686" w:firstLine="570"/>
        <w:spacing w:before="147" w:line="320" w:lineRule="auto"/>
        <w:rPr>
          <w:sz w:val="29"/>
          <w:szCs w:val="29"/>
        </w:rPr>
      </w:pPr>
      <w:r>
        <w:rPr>
          <w:sz w:val="29"/>
          <w:szCs w:val="29"/>
          <w:spacing w:val="-10"/>
        </w:rPr>
        <w:t>以整形为主，衰弱树可重剪；对苗木的风折枝、病虫枝、断枝、枯死</w:t>
      </w:r>
      <w:r>
        <w:rPr>
          <w:sz w:val="29"/>
          <w:szCs w:val="29"/>
          <w:spacing w:val="-11"/>
        </w:rPr>
        <w:t>枝、内</w:t>
      </w:r>
      <w:r>
        <w:rPr>
          <w:sz w:val="29"/>
          <w:szCs w:val="29"/>
        </w:rPr>
        <w:t xml:space="preserve"> </w:t>
      </w:r>
      <w:r>
        <w:rPr>
          <w:sz w:val="29"/>
          <w:szCs w:val="29"/>
          <w:spacing w:val="2"/>
        </w:rPr>
        <w:t>膛枝进行修剪并对苗木进行整形修剪，保证乔木树形优美。</w:t>
      </w:r>
    </w:p>
    <w:p>
      <w:pPr>
        <w:spacing w:line="320" w:lineRule="auto"/>
        <w:sectPr>
          <w:footerReference w:type="default" r:id="rId534"/>
          <w:pgSz w:w="14490" w:h="20470"/>
          <w:pgMar w:top="400" w:right="1844" w:bottom="1143" w:left="2150" w:header="0" w:footer="945" w:gutter="0"/>
        </w:sectPr>
        <w:rPr>
          <w:sz w:val="29"/>
          <w:szCs w:val="29"/>
        </w:rPr>
      </w:pP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pStyle w:val="BodyText"/>
        <w:ind w:left="570"/>
        <w:spacing w:before="94"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left="570"/>
        <w:spacing w:before="128" w:line="219" w:lineRule="auto"/>
        <w:rPr>
          <w:sz w:val="29"/>
          <w:szCs w:val="29"/>
        </w:rPr>
      </w:pPr>
      <w:r>
        <w:rPr>
          <w:sz w:val="29"/>
          <w:szCs w:val="29"/>
          <w:spacing w:val="2"/>
        </w:rPr>
        <w:t>在封冻前完成冬灌工作，上中旬完成对草坪乔木的二次灌水。</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35" w:line="219" w:lineRule="auto"/>
        <w:rPr>
          <w:sz w:val="29"/>
          <w:szCs w:val="29"/>
        </w:rPr>
      </w:pPr>
      <w:r>
        <w:rPr>
          <w:sz w:val="29"/>
          <w:szCs w:val="29"/>
          <w:spacing w:val="7"/>
        </w:rPr>
        <w:t>(1)病害：白粉病、叶斑类病害、叶枯病等；</w:t>
      </w:r>
    </w:p>
    <w:p>
      <w:pPr>
        <w:pStyle w:val="BodyText"/>
        <w:ind w:left="730"/>
        <w:spacing w:before="134" w:line="219" w:lineRule="auto"/>
        <w:rPr>
          <w:sz w:val="29"/>
          <w:szCs w:val="29"/>
        </w:rPr>
      </w:pPr>
      <w:r>
        <w:rPr>
          <w:sz w:val="29"/>
          <w:szCs w:val="29"/>
          <w:spacing w:val="6"/>
        </w:rPr>
        <w:t>(2)虫害：大青叶蝉、桔绿粉虱、光肩星天牛、芳香木蠹蛾等。</w:t>
      </w:r>
    </w:p>
    <w:p>
      <w:pPr>
        <w:pStyle w:val="BodyText"/>
        <w:ind w:left="570"/>
        <w:spacing w:before="88" w:line="396" w:lineRule="exact"/>
        <w:rPr>
          <w:rFonts w:ascii="SimHei" w:hAnsi="SimHei" w:eastAsia="SimHei" w:cs="SimHei"/>
          <w:sz w:val="29"/>
          <w:szCs w:val="29"/>
        </w:rPr>
      </w:pPr>
      <w:r>
        <w:rPr>
          <w:rFonts w:ascii="Arial" w:hAnsi="Arial" w:eastAsia="Arial" w:cs="Arial"/>
          <w:sz w:val="29"/>
          <w:szCs w:val="29"/>
          <w:spacing w:val="6"/>
          <w:position w:val="1"/>
        </w:rPr>
        <w:t>5</w:t>
      </w:r>
      <w:r>
        <w:rPr>
          <w:sz w:val="29"/>
          <w:szCs w:val="29"/>
          <w:spacing w:val="6"/>
          <w:position w:val="1"/>
        </w:rPr>
        <w:t>、</w:t>
      </w:r>
      <w:r>
        <w:rPr>
          <w:rFonts w:ascii="SimHei" w:hAnsi="SimHei" w:eastAsia="SimHei" w:cs="SimHei"/>
          <w:sz w:val="29"/>
          <w:szCs w:val="29"/>
          <w:spacing w:val="6"/>
          <w:position w:val="1"/>
        </w:rPr>
        <w:t>保洁</w:t>
      </w:r>
    </w:p>
    <w:p>
      <w:pPr>
        <w:pStyle w:val="BodyText"/>
        <w:ind w:right="429" w:firstLine="730"/>
        <w:spacing w:before="12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23" w:firstLine="730"/>
        <w:spacing w:before="14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right="331" w:firstLine="730"/>
        <w:spacing w:before="145"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rPr>
        <w:t>雪融化后露出的垃圾、废弃物的全面全面清理；</w:t>
      </w:r>
    </w:p>
    <w:p>
      <w:pPr>
        <w:pStyle w:val="BodyText"/>
        <w:ind w:right="431" w:firstLine="730"/>
        <w:spacing w:before="145" w:line="269" w:lineRule="auto"/>
        <w:rPr>
          <w:sz w:val="29"/>
          <w:szCs w:val="29"/>
        </w:rPr>
      </w:pPr>
      <w:r>
        <w:rPr>
          <w:sz w:val="29"/>
          <w:szCs w:val="29"/>
          <w:spacing w:val="6"/>
        </w:rPr>
        <w:t>(4)保洁专项问题：在人工湖放水后对湖底淤泥进行初步清理。水系放水</w:t>
      </w:r>
      <w:r>
        <w:rPr>
          <w:sz w:val="29"/>
          <w:szCs w:val="29"/>
        </w:rPr>
        <w:t xml:space="preserve"> </w:t>
      </w:r>
      <w:r>
        <w:rPr>
          <w:sz w:val="29"/>
          <w:szCs w:val="29"/>
          <w:spacing w:val="1"/>
        </w:rPr>
        <w:t>后要经常擦拭内壁，杜绝积尘。</w:t>
      </w:r>
    </w:p>
    <w:p>
      <w:pPr>
        <w:ind w:left="570"/>
        <w:spacing w:before="17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spacing w:before="11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100" w:firstLine="570"/>
        <w:spacing w:before="14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
        </w:rPr>
        <w:t>防盗情况。</w:t>
      </w:r>
    </w:p>
    <w:p>
      <w:pPr>
        <w:pStyle w:val="BodyText"/>
        <w:ind w:left="570"/>
        <w:spacing w:before="15"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6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59"/>
          <w:position w:val="1"/>
        </w:rPr>
        <w:t xml:space="preserve"> </w:t>
      </w:r>
      <w:r>
        <w:rPr>
          <w:rFonts w:ascii="SimHei" w:hAnsi="SimHei" w:eastAsia="SimHei" w:cs="SimHei"/>
          <w:sz w:val="27"/>
          <w:szCs w:val="27"/>
          <w:spacing w:val="-17"/>
          <w:position w:val="1"/>
        </w:rPr>
        <w:t>寒</w:t>
      </w:r>
    </w:p>
    <w:p>
      <w:pPr>
        <w:pStyle w:val="BodyText"/>
        <w:ind w:right="228" w:firstLine="570"/>
        <w:spacing w:before="121" w:line="310" w:lineRule="auto"/>
        <w:rPr>
          <w:sz w:val="29"/>
          <w:szCs w:val="29"/>
        </w:rPr>
      </w:pPr>
      <w:r>
        <w:rPr>
          <w:sz w:val="29"/>
          <w:szCs w:val="29"/>
          <w:spacing w:val="-5"/>
        </w:rPr>
        <w:t>继续进行乔灌木防寒工作。当年种植乔木、边缘树种缠干，对不耐寒灌木搭设</w:t>
      </w:r>
      <w:r>
        <w:rPr>
          <w:sz w:val="29"/>
          <w:szCs w:val="29"/>
          <w:spacing w:val="2"/>
        </w:rPr>
        <w:t xml:space="preserve"> </w:t>
      </w:r>
      <w:r>
        <w:rPr>
          <w:sz w:val="29"/>
          <w:szCs w:val="29"/>
          <w:spacing w:val="-5"/>
        </w:rPr>
        <w:t>风障或者防寒棚，要做好防寒、灌封冻水等措施，保证新栽植苗木安全越冬。对于</w:t>
      </w:r>
      <w:r>
        <w:rPr>
          <w:sz w:val="29"/>
          <w:szCs w:val="29"/>
          <w:spacing w:val="5"/>
        </w:rPr>
        <w:t xml:space="preserve"> </w:t>
      </w:r>
      <w:r>
        <w:rPr>
          <w:sz w:val="29"/>
          <w:szCs w:val="29"/>
          <w:spacing w:val="1"/>
        </w:rPr>
        <w:t>部分怕冻的苗木可在浇冻水后松土、基本培土防寒，加强防寒效果。</w:t>
      </w:r>
    </w:p>
    <w:p>
      <w:pPr>
        <w:spacing w:before="43"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570"/>
        <w:spacing w:before="112" w:line="219" w:lineRule="auto"/>
        <w:rPr>
          <w:sz w:val="29"/>
          <w:szCs w:val="29"/>
        </w:rPr>
      </w:pPr>
      <w:r>
        <w:rPr>
          <w:sz w:val="29"/>
          <w:szCs w:val="29"/>
          <w:spacing w:val="5"/>
        </w:rPr>
        <w:t>低气温，开始冬季养护工作，保洁为重点。</w:t>
      </w:r>
    </w:p>
    <w:p>
      <w:pPr>
        <w:ind w:left="570"/>
        <w:spacing w:before="274" w:line="222" w:lineRule="auto"/>
        <w:rPr>
          <w:rFonts w:ascii="SimHei" w:hAnsi="SimHei" w:eastAsia="SimHei" w:cs="SimHei"/>
          <w:sz w:val="29"/>
          <w:szCs w:val="29"/>
        </w:rPr>
      </w:pPr>
      <w:r>
        <w:rPr>
          <w:rFonts w:ascii="SimHei" w:hAnsi="SimHei" w:eastAsia="SimHei" w:cs="SimHei"/>
          <w:sz w:val="29"/>
          <w:szCs w:val="29"/>
          <w:spacing w:val="-4"/>
        </w:rPr>
        <w:t>1</w:t>
      </w:r>
      <w:r>
        <w:rPr>
          <w:rFonts w:ascii="SimHei" w:hAnsi="SimHei" w:eastAsia="SimHei" w:cs="SimHei"/>
          <w:sz w:val="29"/>
          <w:szCs w:val="29"/>
          <w:spacing w:val="-64"/>
        </w:rPr>
        <w:t xml:space="preserve"> </w:t>
      </w:r>
      <w:r>
        <w:rPr>
          <w:rFonts w:ascii="SimHei" w:hAnsi="SimHei" w:eastAsia="SimHei" w:cs="SimHei"/>
          <w:sz w:val="29"/>
          <w:szCs w:val="29"/>
          <w:spacing w:val="-4"/>
        </w:rPr>
        <w:t>、现场检查</w:t>
      </w:r>
    </w:p>
    <w:p>
      <w:pPr>
        <w:pStyle w:val="BodyText"/>
        <w:ind w:left="730"/>
        <w:spacing w:before="153" w:line="219" w:lineRule="auto"/>
        <w:rPr>
          <w:sz w:val="29"/>
          <w:szCs w:val="29"/>
        </w:rPr>
      </w:pPr>
      <w:r>
        <w:rPr>
          <w:sz w:val="29"/>
          <w:szCs w:val="29"/>
          <w:spacing w:val="6"/>
        </w:rPr>
        <w:t>(1)检查防寒设施的完好情况，发现破损立即修补；</w:t>
      </w:r>
    </w:p>
    <w:p>
      <w:pPr>
        <w:pStyle w:val="BodyText"/>
        <w:ind w:left="730"/>
        <w:spacing w:before="126" w:line="219" w:lineRule="auto"/>
        <w:rPr>
          <w:sz w:val="29"/>
          <w:szCs w:val="29"/>
        </w:rPr>
      </w:pPr>
      <w:r>
        <w:rPr>
          <w:sz w:val="29"/>
          <w:szCs w:val="29"/>
          <w:spacing w:val="8"/>
        </w:rPr>
        <w:t>(2)及时检查乔木支撑情况，发现松动或缺失立即加固。</w:t>
      </w:r>
    </w:p>
    <w:p>
      <w:pPr>
        <w:pStyle w:val="BodyText"/>
        <w:ind w:left="570"/>
        <w:spacing w:before="140" w:line="224" w:lineRule="auto"/>
        <w:rPr>
          <w:rFonts w:ascii="SimHei" w:hAnsi="SimHei" w:eastAsia="SimHei" w:cs="SimHei"/>
          <w:sz w:val="29"/>
          <w:szCs w:val="29"/>
        </w:rPr>
      </w:pPr>
      <w:r>
        <w:rPr>
          <w:rFonts w:ascii="Arial" w:hAnsi="Arial" w:eastAsia="Arial" w:cs="Arial"/>
          <w:sz w:val="29"/>
          <w:szCs w:val="29"/>
          <w:spacing w:val="7"/>
        </w:rPr>
        <w:t>2</w:t>
      </w:r>
      <w:r>
        <w:rPr>
          <w:sz w:val="29"/>
          <w:szCs w:val="29"/>
          <w:spacing w:val="7"/>
        </w:rPr>
        <w:t>、</w:t>
      </w:r>
      <w:r>
        <w:rPr>
          <w:rFonts w:ascii="SimHei" w:hAnsi="SimHei" w:eastAsia="SimHei" w:cs="SimHei"/>
          <w:sz w:val="29"/>
          <w:szCs w:val="29"/>
          <w:spacing w:val="7"/>
        </w:rPr>
        <w:t>保洁</w:t>
      </w:r>
    </w:p>
    <w:p>
      <w:pPr>
        <w:pStyle w:val="BodyText"/>
        <w:ind w:right="429" w:firstLine="730"/>
        <w:spacing w:before="11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left="730"/>
        <w:spacing w:before="166" w:line="219" w:lineRule="auto"/>
        <w:rPr>
          <w:sz w:val="29"/>
          <w:szCs w:val="29"/>
        </w:rPr>
      </w:pPr>
      <w:r>
        <w:rPr>
          <w:sz w:val="29"/>
          <w:szCs w:val="29"/>
          <w:spacing w:val="12"/>
        </w:rPr>
        <w:t>(2)在业主上班高峰期前对园区内的重点区域(大门内外、主干通道、销</w:t>
      </w:r>
    </w:p>
    <w:p>
      <w:pPr>
        <w:spacing w:line="219" w:lineRule="auto"/>
        <w:sectPr>
          <w:footerReference w:type="default" r:id="rId535"/>
          <w:pgSz w:w="14490" w:h="20470"/>
          <w:pgMar w:top="400" w:right="1844" w:bottom="1173" w:left="2150" w:header="0" w:footer="97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0"/>
        </w:rPr>
        <w:t>售展示区)进行彻底清理；</w:t>
      </w:r>
    </w:p>
    <w:p>
      <w:pPr>
        <w:pStyle w:val="BodyText"/>
        <w:ind w:right="241" w:firstLine="730"/>
        <w:spacing w:before="11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雪融化后露出的垃圾、废弃物的全面全面清理；</w:t>
      </w:r>
    </w:p>
    <w:p>
      <w:pPr>
        <w:pStyle w:val="BodyText"/>
        <w:ind w:right="262" w:firstLine="730"/>
        <w:spacing w:before="165" w:line="281" w:lineRule="auto"/>
        <w:rPr>
          <w:sz w:val="29"/>
          <w:szCs w:val="29"/>
        </w:rPr>
      </w:pPr>
      <w:r>
        <w:rPr>
          <w:sz w:val="29"/>
          <w:szCs w:val="29"/>
          <w:spacing w:val="8"/>
        </w:rPr>
        <w:t>(4)保洁专项问题：冬季路面除冰要及时，确保老人小孩出行方便。针对</w:t>
      </w:r>
      <w:r>
        <w:rPr>
          <w:sz w:val="29"/>
          <w:szCs w:val="29"/>
          <w:spacing w:val="12"/>
        </w:rPr>
        <w:t xml:space="preserve"> </w:t>
      </w:r>
      <w:r>
        <w:rPr>
          <w:sz w:val="29"/>
          <w:szCs w:val="29"/>
          <w:spacing w:val="-8"/>
        </w:rPr>
        <w:t>冬季路面污渍，采取中午地温高于零度时用半干</w:t>
      </w:r>
      <w:r>
        <w:rPr>
          <w:sz w:val="29"/>
          <w:szCs w:val="29"/>
          <w:spacing w:val="-9"/>
        </w:rPr>
        <w:t>拖布进行擦拭。水系要经常擦拭内</w:t>
      </w:r>
      <w:r>
        <w:rPr>
          <w:sz w:val="29"/>
          <w:szCs w:val="29"/>
        </w:rPr>
        <w:t xml:space="preserve"> </w:t>
      </w:r>
      <w:r>
        <w:rPr>
          <w:sz w:val="29"/>
          <w:szCs w:val="29"/>
        </w:rPr>
        <w:t>壁，杜绝积尘。</w:t>
      </w:r>
    </w:p>
    <w:p>
      <w:pPr>
        <w:pStyle w:val="BodyText"/>
        <w:ind w:left="600"/>
        <w:spacing w:before="123"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0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24" w:line="222" w:lineRule="auto"/>
        <w:rPr>
          <w:rFonts w:ascii="SimHei" w:hAnsi="SimHei" w:eastAsia="SimHei" w:cs="SimHei"/>
          <w:sz w:val="29"/>
          <w:szCs w:val="29"/>
        </w:rPr>
      </w:pPr>
      <w:r>
        <w:rPr>
          <w:rFonts w:ascii="SimHei" w:hAnsi="SimHei" w:eastAsia="SimHei" w:cs="SimHei"/>
          <w:sz w:val="29"/>
          <w:szCs w:val="29"/>
          <w:spacing w:val="6"/>
        </w:rPr>
        <w:t>4、物资管理</w:t>
      </w:r>
    </w:p>
    <w:p>
      <w:pPr>
        <w:pStyle w:val="BodyText"/>
        <w:ind w:right="341" w:firstLine="730"/>
        <w:spacing w:before="12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291" w:firstLine="730"/>
        <w:spacing w:before="143" w:line="265" w:lineRule="auto"/>
        <w:rPr>
          <w:sz w:val="29"/>
          <w:szCs w:val="29"/>
        </w:rPr>
      </w:pPr>
      <w:r>
        <w:rPr>
          <w:sz w:val="29"/>
          <w:szCs w:val="29"/>
          <w:spacing w:val="3"/>
        </w:rPr>
        <w:t>(2)根据现场的实际情况，申请购置翌年1、2、3月份的农药、化肥</w:t>
      </w:r>
      <w:r>
        <w:rPr>
          <w:sz w:val="29"/>
          <w:szCs w:val="29"/>
          <w:spacing w:val="2"/>
        </w:rPr>
        <w:t>、营养</w:t>
      </w:r>
      <w:r>
        <w:rPr>
          <w:sz w:val="29"/>
          <w:szCs w:val="29"/>
        </w:rPr>
        <w:t xml:space="preserve"> </w:t>
      </w:r>
      <w:r>
        <w:rPr>
          <w:sz w:val="29"/>
          <w:szCs w:val="29"/>
        </w:rPr>
        <w:t>剂及其它物资。</w:t>
      </w:r>
    </w:p>
    <w:p>
      <w:pPr>
        <w:pStyle w:val="BodyText"/>
        <w:ind w:left="600"/>
        <w:spacing w:before="153" w:line="396"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防火防盗</w:t>
      </w:r>
    </w:p>
    <w:p>
      <w:pPr>
        <w:pStyle w:val="BodyText"/>
        <w:ind w:firstLine="600"/>
        <w:spacing w:before="8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4" w:lineRule="auto"/>
        <w:sectPr>
          <w:footerReference w:type="default" r:id="rId536"/>
          <w:pgSz w:w="14490" w:h="20470"/>
          <w:pgMar w:top="400" w:right="1935" w:bottom="1173" w:left="2150" w:header="0" w:footer="975" w:gutter="0"/>
        </w:sectPr>
        <w:rPr>
          <w:sz w:val="29"/>
          <w:szCs w:val="29"/>
        </w:rPr>
      </w:pP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ind w:left="3620"/>
        <w:spacing w:before="94" w:line="222" w:lineRule="auto"/>
        <w:outlineLvl w:val="1"/>
        <w:rPr>
          <w:rFonts w:ascii="SimHei" w:hAnsi="SimHei" w:eastAsia="SimHei" w:cs="SimHei"/>
          <w:sz w:val="29"/>
          <w:szCs w:val="29"/>
        </w:rPr>
      </w:pPr>
      <w:bookmarkStart w:name="bookmark62" w:id="109"/>
      <w:bookmarkEnd w:id="109"/>
      <w:r>
        <w:rPr>
          <w:rFonts w:ascii="SimHei" w:hAnsi="SimHei" w:eastAsia="SimHei" w:cs="SimHei"/>
          <w:sz w:val="29"/>
          <w:szCs w:val="29"/>
          <w:spacing w:val="2"/>
        </w:rPr>
        <w:t>河北、北京、天津地区</w:t>
      </w:r>
    </w:p>
    <w:p>
      <w:pPr>
        <w:pStyle w:val="BodyText"/>
        <w:ind w:left="4"/>
        <w:spacing w:before="154" w:line="223" w:lineRule="auto"/>
        <w:rPr>
          <w:rFonts w:ascii="SimHei" w:hAnsi="SimHei" w:eastAsia="SimHei" w:cs="SimHei"/>
          <w:sz w:val="30"/>
          <w:szCs w:val="30"/>
        </w:rPr>
      </w:pPr>
      <w:bookmarkStart w:name="bookmark126" w:id="110"/>
      <w:bookmarkEnd w:id="110"/>
      <w:r>
        <w:rPr>
          <w:sz w:val="30"/>
          <w:szCs w:val="30"/>
          <w:b/>
          <w:bCs/>
          <w:spacing w:val="-13"/>
        </w:rPr>
        <w:t>一、</w:t>
      </w:r>
      <w:r>
        <w:rPr>
          <w:rFonts w:ascii="SimHei" w:hAnsi="SimHei" w:eastAsia="SimHei" w:cs="SimHei"/>
          <w:sz w:val="30"/>
          <w:szCs w:val="30"/>
          <w:spacing w:val="-13"/>
        </w:rPr>
        <w:t>二月份</w:t>
      </w:r>
    </w:p>
    <w:p>
      <w:pPr>
        <w:pStyle w:val="BodyText"/>
        <w:ind w:left="600"/>
        <w:spacing w:before="146" w:line="219" w:lineRule="auto"/>
        <w:rPr>
          <w:sz w:val="29"/>
          <w:szCs w:val="29"/>
        </w:rPr>
      </w:pPr>
      <w:r>
        <w:rPr>
          <w:sz w:val="29"/>
          <w:szCs w:val="29"/>
          <w:spacing w:val="4"/>
        </w:rPr>
        <w:t>全年中气温最低的月份，重点是保洁和防寒。</w:t>
      </w:r>
    </w:p>
    <w:p>
      <w:pPr>
        <w:pStyle w:val="BodyText"/>
        <w:ind w:left="600"/>
        <w:spacing w:before="24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4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8"/>
        </w:rPr>
        <w:t>(2)及时检查乔木支撑情况，发现松动或缺失立即加固。</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50" w:firstLine="600"/>
        <w:spacing w:before="145" w:line="311" w:lineRule="auto"/>
        <w:rPr>
          <w:sz w:val="29"/>
          <w:szCs w:val="29"/>
        </w:rPr>
      </w:pPr>
      <w:r>
        <w:rPr>
          <w:sz w:val="29"/>
          <w:szCs w:val="29"/>
        </w:rPr>
        <w:t>对落叶树木的整形修剪工作，根据各种树木的树</w:t>
      </w:r>
      <w:r>
        <w:rPr>
          <w:sz w:val="29"/>
          <w:szCs w:val="29"/>
          <w:spacing w:val="-1"/>
        </w:rPr>
        <w:t>龄、生长习性、树型特点做</w:t>
      </w:r>
      <w:r>
        <w:rPr>
          <w:sz w:val="29"/>
          <w:szCs w:val="29"/>
        </w:rPr>
        <w:t xml:space="preserve"> </w:t>
      </w:r>
      <w:r>
        <w:rPr>
          <w:sz w:val="29"/>
          <w:szCs w:val="29"/>
          <w:spacing w:val="-8"/>
        </w:rPr>
        <w:t>到有针对性的修剪。去除病虫枝、枯死枝、徒长枝、交叉枝等在本地耐寒性弱的苗</w:t>
      </w:r>
      <w:r>
        <w:rPr>
          <w:sz w:val="29"/>
          <w:szCs w:val="29"/>
          <w:spacing w:val="10"/>
        </w:rPr>
        <w:t xml:space="preserve"> </w:t>
      </w:r>
      <w:r>
        <w:rPr>
          <w:sz w:val="29"/>
          <w:szCs w:val="29"/>
          <w:spacing w:val="4"/>
        </w:rPr>
        <w:t>木改为春季回暖后修剪.冬季易有流伤的植物如槭树科中的大多数，在晚秋落叶</w:t>
      </w:r>
      <w:r>
        <w:rPr>
          <w:sz w:val="29"/>
          <w:szCs w:val="29"/>
          <w:spacing w:val="18"/>
        </w:rPr>
        <w:t xml:space="preserve"> </w:t>
      </w:r>
      <w:r>
        <w:rPr>
          <w:sz w:val="29"/>
          <w:szCs w:val="29"/>
          <w:spacing w:val="-1"/>
        </w:rPr>
        <w:t>时或春季新芽膨大时修剪。</w:t>
      </w:r>
    </w:p>
    <w:p>
      <w:pPr>
        <w:ind w:left="600"/>
        <w:spacing w:before="6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600"/>
        <w:spacing w:before="93" w:line="219" w:lineRule="auto"/>
        <w:rPr>
          <w:sz w:val="29"/>
          <w:szCs w:val="29"/>
        </w:rPr>
      </w:pPr>
      <w:r>
        <w:rPr>
          <w:sz w:val="29"/>
          <w:szCs w:val="29"/>
          <w:spacing w:val="2"/>
        </w:rPr>
        <w:t>根据现场实际情况对草坪、地被、绿篱、灌木、乔木浇水封冻缓解旱情。</w:t>
      </w:r>
    </w:p>
    <w:p>
      <w:pPr>
        <w:pStyle w:val="BodyText"/>
        <w:ind w:left="600"/>
        <w:spacing w:before="10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600"/>
        <w:spacing w:before="154" w:line="219" w:lineRule="auto"/>
        <w:rPr>
          <w:sz w:val="29"/>
          <w:szCs w:val="29"/>
        </w:rPr>
      </w:pPr>
      <w:r>
        <w:rPr>
          <w:sz w:val="29"/>
          <w:szCs w:val="29"/>
          <w:spacing w:val="-1"/>
        </w:rPr>
        <w:t>本月下旬全园区常规消杀一次。</w:t>
      </w:r>
    </w:p>
    <w:p>
      <w:pPr>
        <w:pStyle w:val="BodyText"/>
        <w:ind w:left="600"/>
        <w:spacing w:before="4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50" w:firstLine="730"/>
        <w:spacing w:before="155"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05" w:line="27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1"/>
        </w:rPr>
        <w:t>售展示区)进行彻底清理；</w:t>
      </w:r>
    </w:p>
    <w:p>
      <w:pPr>
        <w:pStyle w:val="BodyText"/>
        <w:ind w:right="351" w:firstLine="730"/>
        <w:spacing w:before="146" w:line="283"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ind w:left="60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84"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12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10" w:firstLine="600"/>
        <w:spacing w:before="12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97"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600"/>
        <w:spacing w:before="117" w:line="219" w:lineRule="auto"/>
        <w:rPr>
          <w:sz w:val="29"/>
          <w:szCs w:val="29"/>
        </w:rPr>
      </w:pPr>
      <w:r>
        <w:rPr>
          <w:sz w:val="29"/>
          <w:szCs w:val="29"/>
          <w:spacing w:val="3"/>
        </w:rPr>
        <w:t>气温逐渐变暖，苗木开始返青，是预防病虫害的关键时期。</w:t>
      </w:r>
    </w:p>
    <w:p>
      <w:pPr>
        <w:pStyle w:val="BodyText"/>
        <w:ind w:left="600"/>
        <w:spacing w:before="25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33" w:line="219" w:lineRule="auto"/>
        <w:rPr>
          <w:sz w:val="29"/>
          <w:szCs w:val="29"/>
        </w:rPr>
      </w:pPr>
      <w:r>
        <w:rPr>
          <w:sz w:val="29"/>
          <w:szCs w:val="29"/>
          <w:spacing w:val="6"/>
        </w:rPr>
        <w:t>(1)检查防寒设施的完好情况，发现破损立即修补；</w:t>
      </w:r>
    </w:p>
    <w:p>
      <w:pPr>
        <w:spacing w:line="219" w:lineRule="auto"/>
        <w:sectPr>
          <w:footerReference w:type="default" r:id="rId537"/>
          <w:pgSz w:w="14490" w:h="20470"/>
          <w:pgMar w:top="400" w:right="1824" w:bottom="1447" w:left="2150" w:header="0" w:footer="1231"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7"/>
        </w:rPr>
        <w:t>(2)及时检查乔木支撑情况，发现松动或缺失立即加固。</w:t>
      </w:r>
    </w:p>
    <w:p>
      <w:pPr>
        <w:ind w:left="600"/>
        <w:spacing w:before="10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449" w:firstLine="730"/>
        <w:spacing w:before="139" w:line="270" w:lineRule="auto"/>
        <w:rPr>
          <w:sz w:val="29"/>
          <w:szCs w:val="29"/>
        </w:rPr>
      </w:pPr>
      <w:r>
        <w:rPr>
          <w:sz w:val="29"/>
          <w:szCs w:val="29"/>
          <w:spacing w:val="-13"/>
        </w:rPr>
        <w:t>①</w:t>
      </w:r>
      <w:r>
        <w:rPr>
          <w:sz w:val="29"/>
          <w:szCs w:val="29"/>
          <w:spacing w:val="41"/>
        </w:rPr>
        <w:t xml:space="preserve">  </w:t>
      </w:r>
      <w:r>
        <w:rPr>
          <w:sz w:val="29"/>
          <w:szCs w:val="29"/>
          <w:spacing w:val="-13"/>
        </w:rPr>
        <w:t>上旬全园区乔木修剪一次，以整形修剪为</w:t>
      </w:r>
      <w:r>
        <w:rPr>
          <w:sz w:val="29"/>
          <w:szCs w:val="29"/>
          <w:spacing w:val="-14"/>
        </w:rPr>
        <w:t>主，同时去除苗木的折断枝、</w:t>
      </w:r>
      <w:r>
        <w:rPr>
          <w:sz w:val="29"/>
          <w:szCs w:val="29"/>
          <w:spacing w:val="1"/>
        </w:rPr>
        <w:t xml:space="preserve"> </w:t>
      </w:r>
      <w:r>
        <w:rPr>
          <w:sz w:val="29"/>
          <w:szCs w:val="29"/>
          <w:spacing w:val="-8"/>
        </w:rPr>
        <w:t>枯死枝、过密内膛枝；</w:t>
      </w:r>
    </w:p>
    <w:p>
      <w:pPr>
        <w:pStyle w:val="BodyText"/>
        <w:ind w:left="730"/>
        <w:spacing w:before="152" w:line="217" w:lineRule="auto"/>
        <w:rPr>
          <w:sz w:val="29"/>
          <w:szCs w:val="29"/>
        </w:rPr>
      </w:pPr>
      <w:r>
        <w:rPr>
          <w:sz w:val="29"/>
          <w:szCs w:val="29"/>
          <w:spacing w:val="1"/>
        </w:rPr>
        <w:t>②  对生长过量的灌木、地被，在新芽刚刚开始膨大时进行回缩；</w:t>
      </w:r>
    </w:p>
    <w:p>
      <w:pPr>
        <w:pStyle w:val="BodyText"/>
        <w:ind w:left="600" w:right="339" w:firstLine="129"/>
        <w:spacing w:before="211" w:line="273" w:lineRule="auto"/>
        <w:rPr>
          <w:rFonts w:ascii="SimHei" w:hAnsi="SimHei" w:eastAsia="SimHei" w:cs="SimHei"/>
          <w:sz w:val="29"/>
          <w:szCs w:val="29"/>
        </w:rPr>
      </w:pPr>
      <w:r>
        <w:rPr>
          <w:sz w:val="29"/>
          <w:szCs w:val="29"/>
          <w:spacing w:val="-11"/>
        </w:rPr>
        <w:t>(3)3月上旬或中旬，及时修剪草坪，疏除枯草层，疏除的枯草集中烧毁。3、</w:t>
      </w:r>
      <w:r>
        <w:rPr>
          <w:sz w:val="29"/>
          <w:szCs w:val="29"/>
          <w:spacing w:val="14"/>
        </w:rPr>
        <w:t xml:space="preserve"> </w:t>
      </w:r>
      <w:r>
        <w:rPr>
          <w:rFonts w:ascii="SimHei" w:hAnsi="SimHei" w:eastAsia="SimHei" w:cs="SimHei"/>
          <w:sz w:val="29"/>
          <w:szCs w:val="29"/>
          <w:spacing w:val="5"/>
        </w:rPr>
        <w:t>水肥管理</w:t>
      </w:r>
    </w:p>
    <w:p>
      <w:pPr>
        <w:pStyle w:val="BodyText"/>
        <w:ind w:left="730"/>
        <w:spacing w:before="121" w:line="219" w:lineRule="auto"/>
        <w:rPr>
          <w:sz w:val="29"/>
          <w:szCs w:val="29"/>
        </w:rPr>
      </w:pPr>
      <w:r>
        <w:rPr>
          <w:sz w:val="29"/>
          <w:szCs w:val="29"/>
          <w:spacing w:val="8"/>
        </w:rPr>
        <w:t>(1)3月下旬全园浇一遍返青水；</w:t>
      </w:r>
    </w:p>
    <w:p>
      <w:pPr>
        <w:pStyle w:val="BodyText"/>
        <w:ind w:left="730"/>
        <w:spacing w:before="176" w:line="219" w:lineRule="auto"/>
        <w:rPr>
          <w:sz w:val="29"/>
          <w:szCs w:val="29"/>
        </w:rPr>
      </w:pPr>
      <w:r>
        <w:rPr>
          <w:sz w:val="29"/>
          <w:szCs w:val="29"/>
          <w:spacing w:val="16"/>
        </w:rPr>
        <w:t>(2)月底全园施有机复合肥(有机质含量45%)一次。</w:t>
      </w:r>
    </w:p>
    <w:p>
      <w:pPr>
        <w:pStyle w:val="BodyText"/>
        <w:ind w:left="600"/>
        <w:spacing w:before="1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26" w:line="219" w:lineRule="auto"/>
        <w:rPr>
          <w:sz w:val="29"/>
          <w:szCs w:val="29"/>
        </w:rPr>
      </w:pPr>
      <w:r>
        <w:rPr>
          <w:sz w:val="29"/>
          <w:szCs w:val="29"/>
          <w:spacing w:val="-6"/>
        </w:rPr>
        <w:t>(1)</w:t>
      </w:r>
      <w:r>
        <w:rPr>
          <w:sz w:val="29"/>
          <w:szCs w:val="29"/>
          <w:spacing w:val="70"/>
        </w:rPr>
        <w:t xml:space="preserve">  </w:t>
      </w:r>
      <w:r>
        <w:rPr>
          <w:sz w:val="29"/>
          <w:szCs w:val="29"/>
          <w:spacing w:val="-6"/>
        </w:rPr>
        <w:t>病害：根腐病、流胶病等；</w:t>
      </w:r>
    </w:p>
    <w:p>
      <w:pPr>
        <w:pStyle w:val="BodyText"/>
        <w:ind w:right="382" w:firstLine="730"/>
        <w:spacing w:before="142" w:line="307" w:lineRule="auto"/>
        <w:rPr>
          <w:sz w:val="29"/>
          <w:szCs w:val="29"/>
        </w:rPr>
      </w:pPr>
      <w:r>
        <w:rPr>
          <w:sz w:val="29"/>
          <w:szCs w:val="29"/>
          <w:spacing w:val="1"/>
        </w:rPr>
        <w:t>②</w:t>
      </w:r>
      <w:r>
        <w:rPr>
          <w:sz w:val="29"/>
          <w:szCs w:val="29"/>
          <w:spacing w:val="42"/>
        </w:rPr>
        <w:t xml:space="preserve">   </w:t>
      </w:r>
      <w:r>
        <w:rPr>
          <w:sz w:val="29"/>
          <w:szCs w:val="29"/>
          <w:spacing w:val="1"/>
        </w:rPr>
        <w:t>虫害：柏肤小蠹、白蚁、铜绿丽金龟、小地老虎、大地老虎、沟金</w:t>
      </w:r>
      <w:r>
        <w:rPr>
          <w:sz w:val="29"/>
          <w:szCs w:val="29"/>
        </w:rPr>
        <w:t xml:space="preserve"> </w:t>
      </w:r>
      <w:r>
        <w:rPr>
          <w:sz w:val="29"/>
          <w:szCs w:val="29"/>
          <w:spacing w:val="1"/>
        </w:rPr>
        <w:t>针虫、玉带凤蝶等。</w:t>
      </w:r>
    </w:p>
    <w:p>
      <w:pPr>
        <w:pStyle w:val="BodyText"/>
        <w:ind w:left="600"/>
        <w:spacing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3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5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241" w:firstLine="730"/>
        <w:spacing w:before="136"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600"/>
        <w:spacing w:before="162"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ind w:right="341" w:firstLine="730"/>
        <w:spacing w:before="97"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38" w:firstLine="730"/>
        <w:spacing w:before="132" w:line="264"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5"/>
        </w:rPr>
        <w:t>其它物资。</w:t>
      </w:r>
    </w:p>
    <w:p>
      <w:pPr>
        <w:pStyle w:val="BodyText"/>
        <w:ind w:left="600"/>
        <w:spacing w:before="199"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600"/>
        <w:spacing w:before="9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600"/>
        <w:spacing w:before="109" w:line="220" w:lineRule="auto"/>
        <w:rPr>
          <w:sz w:val="29"/>
          <w:szCs w:val="29"/>
        </w:rPr>
      </w:pPr>
      <w:r>
        <w:rPr>
          <w:sz w:val="29"/>
          <w:szCs w:val="29"/>
          <w:spacing w:val="3"/>
        </w:rPr>
        <w:t>气温上升，苗木生长较快，有大风天气，注意防风预警。</w:t>
      </w:r>
    </w:p>
    <w:p>
      <w:pPr>
        <w:pStyle w:val="BodyText"/>
        <w:ind w:left="600"/>
        <w:spacing w:before="272"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143" w:line="219" w:lineRule="auto"/>
        <w:rPr>
          <w:sz w:val="29"/>
          <w:szCs w:val="29"/>
        </w:rPr>
      </w:pPr>
      <w:r>
        <w:rPr>
          <w:sz w:val="29"/>
          <w:szCs w:val="29"/>
          <w:spacing w:val="2"/>
        </w:rPr>
        <w:t>及时检查乔木支撑情况，发现松动或缺失立即加固</w:t>
      </w:r>
    </w:p>
    <w:p>
      <w:pPr>
        <w:spacing w:line="219" w:lineRule="auto"/>
        <w:sectPr>
          <w:footerReference w:type="default" r:id="rId538"/>
          <w:pgSz w:w="14490" w:h="20470"/>
          <w:pgMar w:top="400" w:right="1935" w:bottom="1447" w:left="2150" w:header="0" w:footer="1231"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53" w:firstLine="1340"/>
        <w:spacing w:before="102" w:line="306" w:lineRule="auto"/>
        <w:jc w:val="both"/>
        <w:rPr>
          <w:rFonts w:ascii="Times New Roman" w:hAnsi="Times New Roman" w:eastAsia="Times New Roman" w:cs="Times New Roman"/>
          <w:sz w:val="29"/>
          <w:szCs w:val="29"/>
        </w:rPr>
      </w:pPr>
      <w:r>
        <w:rPr>
          <w:sz w:val="29"/>
          <w:szCs w:val="29"/>
          <w:spacing w:val="3"/>
        </w:rPr>
        <w:t>地被、草坪：气温基本稳定后，地被长势旺盛，需加强地被草坪的修</w:t>
      </w:r>
      <w:r>
        <w:rPr>
          <w:sz w:val="29"/>
          <w:szCs w:val="29"/>
          <w:spacing w:val="10"/>
        </w:rPr>
        <w:t xml:space="preserve"> </w:t>
      </w:r>
      <w:r>
        <w:rPr>
          <w:sz w:val="29"/>
          <w:szCs w:val="29"/>
          <w:spacing w:val="12"/>
        </w:rPr>
        <w:t>剪(地被修剪注意更新枝的保留),保持地被线饱满、流畅，地被高度不超过修</w:t>
      </w:r>
      <w:r>
        <w:rPr>
          <w:sz w:val="29"/>
          <w:szCs w:val="29"/>
          <w:spacing w:val="5"/>
        </w:rPr>
        <w:t xml:space="preserve"> </w:t>
      </w:r>
      <w:r>
        <w:rPr>
          <w:sz w:val="29"/>
          <w:szCs w:val="29"/>
          <w:spacing w:val="-12"/>
        </w:rPr>
        <w:t>剪面8</w:t>
      </w:r>
      <w:r>
        <w:rPr>
          <w:rFonts w:ascii="Times New Roman" w:hAnsi="Times New Roman" w:eastAsia="Times New Roman" w:cs="Times New Roman"/>
          <w:sz w:val="29"/>
          <w:szCs w:val="29"/>
          <w:spacing w:val="-12"/>
        </w:rPr>
        <w:t>cm;</w:t>
      </w:r>
    </w:p>
    <w:p>
      <w:pPr>
        <w:pStyle w:val="BodyText"/>
        <w:ind w:left="720"/>
        <w:spacing w:before="61" w:line="219" w:lineRule="auto"/>
        <w:rPr>
          <w:sz w:val="29"/>
          <w:szCs w:val="29"/>
        </w:rPr>
      </w:pPr>
      <w:r>
        <w:rPr>
          <w:rFonts w:ascii="Times New Roman" w:hAnsi="Times New Roman" w:eastAsia="Times New Roman" w:cs="Times New Roman"/>
          <w:sz w:val="29"/>
          <w:szCs w:val="29"/>
          <w:spacing w:val="3"/>
        </w:rPr>
        <w:t>2      </w:t>
      </w:r>
      <w:r>
        <w:rPr>
          <w:sz w:val="29"/>
          <w:szCs w:val="29"/>
          <w:spacing w:val="3"/>
        </w:rPr>
        <w:t>乔木以调整树势为主，对苗木的内膛枝、徒长枝、平行枝、下垂枝、</w:t>
      </w:r>
    </w:p>
    <w:p>
      <w:pPr>
        <w:pStyle w:val="BodyText"/>
        <w:spacing w:before="146" w:line="219" w:lineRule="auto"/>
        <w:rPr>
          <w:sz w:val="29"/>
          <w:szCs w:val="29"/>
        </w:rPr>
      </w:pPr>
      <w:r>
        <w:rPr>
          <w:sz w:val="29"/>
          <w:szCs w:val="29"/>
          <w:spacing w:val="-9"/>
        </w:rPr>
        <w:t>病虫枝、萌蘖枝等修剪到位，并要做到剪口平滑，对于较大的剪口要进行防腐处理；</w:t>
      </w:r>
    </w:p>
    <w:p>
      <w:pPr>
        <w:pStyle w:val="BodyText"/>
        <w:ind w:left="720"/>
        <w:spacing w:before="144" w:line="219" w:lineRule="auto"/>
        <w:rPr>
          <w:sz w:val="29"/>
          <w:szCs w:val="29"/>
        </w:rPr>
      </w:pPr>
      <w:r>
        <w:rPr>
          <w:rFonts w:ascii="Times New Roman" w:hAnsi="Times New Roman" w:eastAsia="Times New Roman" w:cs="Times New Roman"/>
          <w:sz w:val="29"/>
          <w:szCs w:val="29"/>
          <w:spacing w:val="-1"/>
        </w:rPr>
        <w:t>B      </w:t>
      </w:r>
      <w:r>
        <w:rPr>
          <w:sz w:val="29"/>
          <w:szCs w:val="29"/>
          <w:spacing w:val="-1"/>
        </w:rPr>
        <w:t>生长过量的灌木在新芽刚刚开始膨大时进行回缩。</w:t>
      </w:r>
    </w:p>
    <w:p>
      <w:pPr>
        <w:ind w:left="570"/>
        <w:spacing w:before="11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32" w:firstLine="720"/>
        <w:spacing w:before="130" w:line="279" w:lineRule="auto"/>
        <w:rPr>
          <w:sz w:val="29"/>
          <w:szCs w:val="29"/>
        </w:rPr>
      </w:pPr>
      <w:r>
        <w:rPr>
          <w:sz w:val="29"/>
          <w:szCs w:val="29"/>
          <w:spacing w:val="13"/>
        </w:rPr>
        <w:t>(1)</w:t>
      </w:r>
      <w:r>
        <w:rPr>
          <w:sz w:val="29"/>
          <w:szCs w:val="29"/>
          <w:spacing w:val="102"/>
        </w:rPr>
        <w:t xml:space="preserve"> </w:t>
      </w:r>
      <w:r>
        <w:rPr>
          <w:sz w:val="29"/>
          <w:szCs w:val="29"/>
          <w:spacing w:val="13"/>
        </w:rPr>
        <w:t>对地被、草皮，四月中下旬全园区施有机复合肥(有机</w:t>
      </w:r>
      <w:r>
        <w:rPr>
          <w:sz w:val="29"/>
          <w:szCs w:val="29"/>
          <w:spacing w:val="12"/>
        </w:rPr>
        <w:t>质含量45%)</w:t>
      </w:r>
      <w:r>
        <w:rPr>
          <w:sz w:val="29"/>
          <w:szCs w:val="29"/>
        </w:rPr>
        <w:t xml:space="preserve"> </w:t>
      </w:r>
      <w:r>
        <w:rPr>
          <w:sz w:val="29"/>
          <w:szCs w:val="29"/>
          <w:spacing w:val="4"/>
        </w:rPr>
        <w:t>一次，若苗木长势好可追施有机复合肥一次，若长势不佳则追施无机复合肥(高</w:t>
      </w:r>
      <w:r>
        <w:rPr>
          <w:sz w:val="29"/>
          <w:szCs w:val="29"/>
          <w:spacing w:val="16"/>
        </w:rPr>
        <w:t xml:space="preserve"> </w:t>
      </w:r>
      <w:r>
        <w:rPr>
          <w:sz w:val="29"/>
          <w:szCs w:val="29"/>
          <w:spacing w:val="11"/>
        </w:rPr>
        <w:t>氮低磷中钾)一次；</w:t>
      </w:r>
    </w:p>
    <w:p>
      <w:pPr>
        <w:pStyle w:val="BodyText"/>
        <w:ind w:right="557" w:firstLine="720"/>
        <w:spacing w:before="158" w:line="274" w:lineRule="auto"/>
        <w:rPr>
          <w:sz w:val="29"/>
          <w:szCs w:val="29"/>
        </w:rPr>
      </w:pPr>
      <w:r>
        <w:rPr>
          <w:sz w:val="29"/>
          <w:szCs w:val="29"/>
          <w:spacing w:val="-1"/>
        </w:rPr>
        <w:t>(2)</w:t>
      </w:r>
      <w:r>
        <w:rPr>
          <w:sz w:val="29"/>
          <w:szCs w:val="29"/>
          <w:spacing w:val="116"/>
        </w:rPr>
        <w:t xml:space="preserve"> </w:t>
      </w:r>
      <w:r>
        <w:rPr>
          <w:sz w:val="29"/>
          <w:szCs w:val="29"/>
          <w:spacing w:val="-1"/>
        </w:rPr>
        <w:t>乔木与大灌木穴施有无机复合肥(含有15 %总养分以上，有机质大于</w:t>
      </w:r>
      <w:r>
        <w:rPr>
          <w:sz w:val="29"/>
          <w:szCs w:val="29"/>
        </w:rPr>
        <w:t xml:space="preserve"> </w:t>
      </w:r>
      <w:r>
        <w:rPr>
          <w:sz w:val="29"/>
          <w:szCs w:val="29"/>
          <w:spacing w:val="-3"/>
        </w:rPr>
        <w:t>20%);</w:t>
      </w:r>
    </w:p>
    <w:p>
      <w:pPr>
        <w:pStyle w:val="BodyText"/>
        <w:ind w:left="720"/>
        <w:spacing w:before="138" w:line="219" w:lineRule="auto"/>
        <w:rPr>
          <w:sz w:val="29"/>
          <w:szCs w:val="29"/>
        </w:rPr>
      </w:pPr>
      <w:r>
        <w:rPr>
          <w:sz w:val="29"/>
          <w:szCs w:val="29"/>
          <w:spacing w:val="6"/>
        </w:rPr>
        <w:t>(3)全园再浇一次返青水，特别是大树，保证浇透；</w:t>
      </w:r>
    </w:p>
    <w:p>
      <w:pPr>
        <w:pStyle w:val="BodyText"/>
        <w:ind w:left="720"/>
        <w:spacing w:before="146" w:line="219" w:lineRule="auto"/>
        <w:rPr>
          <w:sz w:val="29"/>
          <w:szCs w:val="29"/>
        </w:rPr>
      </w:pPr>
      <w:r>
        <w:rPr>
          <w:sz w:val="29"/>
          <w:szCs w:val="29"/>
          <w:spacing w:val="6"/>
        </w:rPr>
        <w:t>(4)每周全园浇水一次，如土壤板结可配合打孔，有利于土壤渗水吸收。</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20"/>
        <w:spacing w:before="155" w:line="219" w:lineRule="auto"/>
        <w:rPr>
          <w:sz w:val="29"/>
          <w:szCs w:val="29"/>
        </w:rPr>
      </w:pPr>
      <w:r>
        <w:rPr>
          <w:sz w:val="29"/>
          <w:szCs w:val="29"/>
          <w:spacing w:val="6"/>
        </w:rPr>
        <w:t>(1)病害：炭疽病、叶斑类病害、锈病、根腐病、流胶病等；</w:t>
      </w:r>
    </w:p>
    <w:p>
      <w:pPr>
        <w:pStyle w:val="BodyText"/>
        <w:ind w:right="310" w:firstLine="720"/>
        <w:spacing w:before="113" w:line="294" w:lineRule="auto"/>
        <w:rPr>
          <w:sz w:val="29"/>
          <w:szCs w:val="29"/>
        </w:rPr>
      </w:pPr>
      <w:r>
        <w:rPr>
          <w:sz w:val="29"/>
          <w:szCs w:val="29"/>
          <w:spacing w:val="8"/>
        </w:rPr>
        <w:t>(2)虫害：大青叶蝉、桃蚜、桃粉蚜、桃</w:t>
      </w:r>
      <w:r>
        <w:rPr>
          <w:sz w:val="29"/>
          <w:szCs w:val="29"/>
          <w:spacing w:val="7"/>
        </w:rPr>
        <w:t>瘤蚜、梨网冠蝽、桔绿粉虱、星</w:t>
      </w:r>
      <w:r>
        <w:rPr>
          <w:sz w:val="29"/>
          <w:szCs w:val="29"/>
        </w:rPr>
        <w:t xml:space="preserve"> </w:t>
      </w:r>
      <w:r>
        <w:rPr>
          <w:sz w:val="29"/>
          <w:szCs w:val="29"/>
          <w:spacing w:val="1"/>
        </w:rPr>
        <w:t>天牛、苹果枝天牛、芳香木蠹蛾、白杨透翅蛾、柏肤小蠹、白蚁、小青花金</w:t>
      </w:r>
      <w:r>
        <w:rPr>
          <w:sz w:val="29"/>
          <w:szCs w:val="29"/>
        </w:rPr>
        <w:t>龟、 </w:t>
      </w:r>
      <w:r>
        <w:rPr>
          <w:sz w:val="29"/>
          <w:szCs w:val="29"/>
          <w:spacing w:val="-8"/>
        </w:rPr>
        <w:t>铜绿丽金龟、小地老虎、大地老虎、沟金针虫、细胸金针虫、玉带凤蝶、柳蓝叶甲</w:t>
      </w:r>
      <w:r>
        <w:rPr>
          <w:sz w:val="29"/>
          <w:szCs w:val="29"/>
          <w:spacing w:val="12"/>
        </w:rPr>
        <w:t xml:space="preserve"> </w:t>
      </w:r>
      <w:r>
        <w:rPr>
          <w:sz w:val="29"/>
          <w:szCs w:val="29"/>
          <w:spacing w:val="-9"/>
        </w:rPr>
        <w:t>等。</w:t>
      </w:r>
    </w:p>
    <w:p>
      <w:pPr>
        <w:pStyle w:val="BodyText"/>
        <w:ind w:left="570"/>
        <w:spacing w:before="13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39" w:firstLine="720"/>
        <w:spacing w:before="10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2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53" w:line="396" w:lineRule="exact"/>
        <w:rPr>
          <w:rFonts w:ascii="SimHei" w:hAnsi="SimHei" w:eastAsia="SimHei" w:cs="SimHei"/>
          <w:sz w:val="29"/>
          <w:szCs w:val="29"/>
        </w:rPr>
      </w:pPr>
      <w:r>
        <w:rPr>
          <w:rFonts w:ascii="Arial" w:hAnsi="Arial" w:eastAsia="Arial" w:cs="Arial"/>
          <w:sz w:val="29"/>
          <w:szCs w:val="29"/>
          <w:spacing w:val="2"/>
          <w:position w:val="1"/>
        </w:rPr>
        <w:t>6</w:t>
      </w:r>
      <w:r>
        <w:rPr>
          <w:sz w:val="29"/>
          <w:szCs w:val="29"/>
          <w:spacing w:val="2"/>
          <w:position w:val="1"/>
        </w:rPr>
        <w:t>、</w:t>
      </w:r>
      <w:r>
        <w:rPr>
          <w:rFonts w:ascii="SimHei" w:hAnsi="SimHei" w:eastAsia="SimHei" w:cs="SimHei"/>
          <w:sz w:val="29"/>
          <w:szCs w:val="29"/>
          <w:spacing w:val="2"/>
          <w:position w:val="1"/>
        </w:rPr>
        <w:t>时花摆放</w:t>
      </w:r>
    </w:p>
    <w:p>
      <w:pPr>
        <w:pStyle w:val="BodyText"/>
        <w:ind w:left="720"/>
        <w:spacing w:before="87" w:line="219" w:lineRule="auto"/>
        <w:rPr>
          <w:sz w:val="29"/>
          <w:szCs w:val="29"/>
        </w:rPr>
      </w:pPr>
      <w:r>
        <w:rPr>
          <w:sz w:val="29"/>
          <w:szCs w:val="29"/>
          <w:spacing w:val="6"/>
        </w:rPr>
        <w:t>(1)月初提交时花需求计划，选择亮色花卉，安排下旬进场；</w:t>
      </w:r>
    </w:p>
    <w:p>
      <w:pPr>
        <w:pStyle w:val="BodyText"/>
        <w:ind w:left="72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9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5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52"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left="570"/>
        <w:spacing w:before="139" w:line="219" w:lineRule="auto"/>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539"/>
          <w:pgSz w:w="14490" w:h="20470"/>
          <w:pgMar w:top="400" w:right="1844" w:bottom="1447" w:left="2150" w:header="0" w:footer="1231"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110"/>
        <w:spacing w:before="94" w:line="322" w:lineRule="auto"/>
        <w:rPr>
          <w:sz w:val="29"/>
          <w:szCs w:val="29"/>
        </w:rPr>
      </w:pP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12"/>
        </w:rPr>
        <w:t>五月份</w:t>
      </w:r>
    </w:p>
    <w:p>
      <w:pPr>
        <w:pStyle w:val="BodyText"/>
        <w:ind w:left="590"/>
        <w:spacing w:before="109" w:line="219" w:lineRule="auto"/>
        <w:rPr>
          <w:sz w:val="29"/>
          <w:szCs w:val="29"/>
        </w:rPr>
      </w:pPr>
      <w:r>
        <w:rPr>
          <w:sz w:val="29"/>
          <w:szCs w:val="29"/>
          <w:spacing w:val="4"/>
        </w:rPr>
        <w:t>气温急骤上升，树木生长迅速，注意病虫害防治，及时补充水分。</w:t>
      </w:r>
    </w:p>
    <w:p>
      <w:pPr>
        <w:pStyle w:val="BodyText"/>
        <w:ind w:left="590"/>
        <w:spacing w:before="273"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43" w:line="219" w:lineRule="auto"/>
        <w:rPr>
          <w:sz w:val="29"/>
          <w:szCs w:val="29"/>
        </w:rPr>
      </w:pPr>
      <w:r>
        <w:rPr>
          <w:sz w:val="29"/>
          <w:szCs w:val="29"/>
        </w:rPr>
        <w:t>及时检查乔木支撑情况，发现松动或缺失立即加固。</w:t>
      </w:r>
    </w:p>
    <w:p>
      <w:pPr>
        <w:pStyle w:val="BodyText"/>
        <w:ind w:left="590"/>
        <w:spacing w:before="10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21" w:firstLine="730"/>
        <w:spacing w:before="154" w:line="266" w:lineRule="auto"/>
        <w:rPr>
          <w:sz w:val="29"/>
          <w:szCs w:val="29"/>
        </w:rPr>
      </w:pPr>
      <w:r>
        <w:rPr>
          <w:sz w:val="29"/>
          <w:szCs w:val="29"/>
          <w:spacing w:val="7"/>
        </w:rPr>
        <w:t>(1)对园区干枯枝、萌蘖枝进行清除，对</w:t>
      </w:r>
      <w:r>
        <w:rPr>
          <w:sz w:val="29"/>
          <w:szCs w:val="29"/>
          <w:spacing w:val="6"/>
        </w:rPr>
        <w:t>开花灌木进行花后修剪、对乔木</w:t>
      </w:r>
      <w:r>
        <w:rPr>
          <w:sz w:val="29"/>
          <w:szCs w:val="29"/>
        </w:rPr>
        <w:t xml:space="preserve"> </w:t>
      </w:r>
      <w:r>
        <w:rPr>
          <w:sz w:val="29"/>
          <w:szCs w:val="29"/>
          <w:spacing w:val="-3"/>
        </w:rPr>
        <w:t>进行适当修剪，除萌蘖；</w:t>
      </w:r>
    </w:p>
    <w:p>
      <w:pPr>
        <w:pStyle w:val="BodyText"/>
        <w:ind w:right="420" w:firstLine="730"/>
        <w:spacing w:before="145" w:line="269" w:lineRule="auto"/>
        <w:rPr>
          <w:sz w:val="29"/>
          <w:szCs w:val="29"/>
        </w:rPr>
      </w:pPr>
      <w:r>
        <w:rPr>
          <w:sz w:val="29"/>
          <w:szCs w:val="29"/>
          <w:spacing w:val="7"/>
        </w:rPr>
        <w:t>(2)随着温度上升，草坪地被杂草开始大量</w:t>
      </w:r>
      <w:r>
        <w:rPr>
          <w:sz w:val="29"/>
          <w:szCs w:val="29"/>
          <w:spacing w:val="6"/>
        </w:rPr>
        <w:t>出现，须及时除杂草，做到除</w:t>
      </w:r>
      <w:r>
        <w:rPr>
          <w:sz w:val="29"/>
          <w:szCs w:val="29"/>
        </w:rPr>
        <w:t xml:space="preserve"> </w:t>
      </w:r>
      <w:r>
        <w:rPr>
          <w:sz w:val="29"/>
          <w:szCs w:val="29"/>
          <w:spacing w:val="-1"/>
        </w:rPr>
        <w:t>早、除小、除了。</w:t>
      </w:r>
    </w:p>
    <w:p>
      <w:pPr>
        <w:ind w:left="590"/>
        <w:spacing w:before="184" w:line="222"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right="420" w:firstLine="730"/>
        <w:spacing w:before="103" w:line="259" w:lineRule="auto"/>
        <w:rPr>
          <w:sz w:val="29"/>
          <w:szCs w:val="29"/>
        </w:rPr>
      </w:pPr>
      <w:r>
        <w:rPr>
          <w:sz w:val="29"/>
          <w:szCs w:val="29"/>
          <w:spacing w:val="7"/>
        </w:rPr>
        <w:t>(1)五月份气温升高，树木生长盛期，需水</w:t>
      </w:r>
      <w:r>
        <w:rPr>
          <w:sz w:val="29"/>
          <w:szCs w:val="29"/>
          <w:spacing w:val="6"/>
        </w:rPr>
        <w:t>量很大，应适时浇水，同时注</w:t>
      </w:r>
      <w:r>
        <w:rPr>
          <w:sz w:val="29"/>
          <w:szCs w:val="29"/>
        </w:rPr>
        <w:t xml:space="preserve"> </w:t>
      </w:r>
      <w:r>
        <w:rPr>
          <w:sz w:val="29"/>
          <w:szCs w:val="29"/>
          <w:spacing w:val="-6"/>
        </w:rPr>
        <w:t>意时花的适时浇水；</w:t>
      </w:r>
    </w:p>
    <w:p>
      <w:pPr>
        <w:pStyle w:val="BodyText"/>
        <w:ind w:right="378" w:firstLine="730"/>
        <w:spacing w:before="185" w:line="259" w:lineRule="auto"/>
        <w:rPr>
          <w:sz w:val="29"/>
          <w:szCs w:val="29"/>
        </w:rPr>
      </w:pPr>
      <w:r>
        <w:rPr>
          <w:sz w:val="29"/>
          <w:szCs w:val="29"/>
          <w:spacing w:val="7"/>
        </w:rPr>
        <w:t>(2)对长势不好的乔灌木、地被、草坪施有无机复合肥(含有15%总养分以</w:t>
      </w:r>
      <w:r>
        <w:rPr>
          <w:sz w:val="29"/>
          <w:szCs w:val="29"/>
          <w:spacing w:val="15"/>
        </w:rPr>
        <w:t xml:space="preserve"> </w:t>
      </w:r>
      <w:r>
        <w:rPr>
          <w:sz w:val="29"/>
          <w:szCs w:val="29"/>
          <w:spacing w:val="-5"/>
        </w:rPr>
        <w:t>上，有机质大于20%)环施、撒施一次，施肥后注意配合浇水，防止发生肥害；</w:t>
      </w:r>
    </w:p>
    <w:p>
      <w:pPr>
        <w:pStyle w:val="BodyText"/>
        <w:ind w:right="390" w:firstLine="730"/>
        <w:spacing w:before="166" w:line="270" w:lineRule="auto"/>
        <w:rPr>
          <w:sz w:val="29"/>
          <w:szCs w:val="29"/>
        </w:rPr>
      </w:pPr>
      <w:r>
        <w:rPr>
          <w:sz w:val="29"/>
          <w:szCs w:val="29"/>
          <w:spacing w:val="7"/>
        </w:rPr>
        <w:t>(3)北方早春干旱缺雨地区，应及时对草坪进行必要的灌水，及早解除旱</w:t>
      </w:r>
      <w:r>
        <w:rPr>
          <w:sz w:val="29"/>
          <w:szCs w:val="29"/>
          <w:spacing w:val="17"/>
        </w:rPr>
        <w:t xml:space="preserve"> </w:t>
      </w:r>
      <w:r>
        <w:rPr>
          <w:sz w:val="29"/>
          <w:szCs w:val="29"/>
          <w:spacing w:val="-4"/>
        </w:rPr>
        <w:t>情。</w:t>
      </w:r>
    </w:p>
    <w:p>
      <w:pPr>
        <w:pStyle w:val="BodyText"/>
        <w:ind w:left="590"/>
        <w:spacing w:before="101"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right="389" w:firstLine="730"/>
        <w:spacing w:before="134" w:line="269" w:lineRule="auto"/>
        <w:rPr>
          <w:sz w:val="29"/>
          <w:szCs w:val="29"/>
        </w:rPr>
      </w:pPr>
      <w:r>
        <w:rPr>
          <w:sz w:val="29"/>
          <w:szCs w:val="29"/>
          <w:spacing w:val="7"/>
        </w:rPr>
        <w:t>(1)病害：白粉病、炭疽病、叶斑类病害、锈病、干腐病、根腐病、流胶</w:t>
      </w:r>
      <w:r>
        <w:rPr>
          <w:sz w:val="29"/>
          <w:szCs w:val="29"/>
          <w:spacing w:val="18"/>
        </w:rPr>
        <w:t xml:space="preserve"> </w:t>
      </w:r>
      <w:r>
        <w:rPr>
          <w:sz w:val="29"/>
          <w:szCs w:val="29"/>
          <w:spacing w:val="-3"/>
        </w:rPr>
        <w:t>病、细菌性穿孔病等；</w:t>
      </w:r>
    </w:p>
    <w:p>
      <w:pPr>
        <w:pStyle w:val="BodyText"/>
        <w:ind w:right="110" w:firstLine="730"/>
        <w:spacing w:before="125" w:line="292" w:lineRule="auto"/>
        <w:rPr>
          <w:sz w:val="29"/>
          <w:szCs w:val="29"/>
        </w:rPr>
      </w:pPr>
      <w:r>
        <w:rPr>
          <w:sz w:val="29"/>
          <w:szCs w:val="29"/>
          <w:spacing w:val="-8"/>
        </w:rPr>
        <w:t>(2)虫害：桃一点斑叶蝉、大青叶蝉、桃蚜、桃粉蚜、桃瘤蚜、梨网冠蝽、桔</w:t>
      </w:r>
      <w:r>
        <w:rPr>
          <w:sz w:val="29"/>
          <w:szCs w:val="29"/>
          <w:spacing w:val="4"/>
        </w:rPr>
        <w:t xml:space="preserve">  </w:t>
      </w:r>
      <w:r>
        <w:rPr>
          <w:sz w:val="29"/>
          <w:szCs w:val="29"/>
          <w:spacing w:val="-9"/>
        </w:rPr>
        <w:t>绿粉虱、星天牛、云斑天牛、苹果枝天牛、桃红颈天牛、芳香木蠹蛾、白杨</w:t>
      </w:r>
      <w:r>
        <w:rPr>
          <w:sz w:val="29"/>
          <w:szCs w:val="29"/>
          <w:spacing w:val="-10"/>
        </w:rPr>
        <w:t>透翅蛾、</w:t>
      </w:r>
      <w:r>
        <w:rPr>
          <w:sz w:val="29"/>
          <w:szCs w:val="29"/>
        </w:rPr>
        <w:t xml:space="preserve"> </w:t>
      </w:r>
      <w:r>
        <w:rPr>
          <w:sz w:val="29"/>
          <w:szCs w:val="29"/>
          <w:spacing w:val="-8"/>
        </w:rPr>
        <w:t>柏肤小蠹、白蚁、小青花金龟、大黑鳃金龟、铜绿丽金龟、大地老虎、蝼蛄、细胸</w:t>
      </w:r>
      <w:r>
        <w:rPr>
          <w:sz w:val="29"/>
          <w:szCs w:val="29"/>
          <w:spacing w:val="3"/>
        </w:rPr>
        <w:t xml:space="preserve">  </w:t>
      </w:r>
      <w:r>
        <w:rPr>
          <w:sz w:val="29"/>
          <w:szCs w:val="29"/>
        </w:rPr>
        <w:t>金针虫、桃剑纹夜蛾、丝棉木金星尺蛾、国槐</w:t>
      </w:r>
      <w:r>
        <w:rPr>
          <w:sz w:val="29"/>
          <w:szCs w:val="29"/>
          <w:spacing w:val="-1"/>
        </w:rPr>
        <w:t>尺蛾、绿尾大蚕蛾、柑桔凤蝶、玉</w:t>
      </w:r>
      <w:r>
        <w:rPr>
          <w:sz w:val="29"/>
          <w:szCs w:val="29"/>
        </w:rPr>
        <w:t xml:space="preserve">  </w:t>
      </w:r>
      <w:r>
        <w:rPr>
          <w:sz w:val="29"/>
          <w:szCs w:val="29"/>
          <w:spacing w:val="-3"/>
        </w:rPr>
        <w:t>带凤蝶、蔷薇三节叶蜂、柳蓝叶甲、葡萄十星叶甲等。</w:t>
      </w:r>
    </w:p>
    <w:p>
      <w:pPr>
        <w:pStyle w:val="BodyText"/>
        <w:ind w:left="590"/>
        <w:spacing w:before="178"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20" w:firstLine="730"/>
        <w:spacing w:before="9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4"/>
        </w:rPr>
        <w:t>池、灯杆、垃圾桶保持干净；</w:t>
      </w:r>
    </w:p>
    <w:p>
      <w:pPr>
        <w:pStyle w:val="BodyText"/>
        <w:ind w:right="413" w:firstLine="730"/>
        <w:spacing w:before="127" w:line="272" w:lineRule="auto"/>
        <w:rPr>
          <w:sz w:val="29"/>
          <w:szCs w:val="29"/>
        </w:rPr>
      </w:pPr>
      <w:r>
        <w:rPr>
          <w:sz w:val="29"/>
          <w:szCs w:val="29"/>
          <w:spacing w:val="4"/>
        </w:rPr>
        <w:t>(2)</w:t>
      </w:r>
      <w:r>
        <w:rPr>
          <w:sz w:val="29"/>
          <w:szCs w:val="29"/>
          <w:spacing w:val="9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ind w:left="590"/>
        <w:spacing w:before="19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spacing w:before="11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90"/>
        <w:spacing w:before="94"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spacing w:line="221" w:lineRule="auto"/>
        <w:sectPr>
          <w:footerReference w:type="default" r:id="rId540"/>
          <w:pgSz w:w="14490" w:h="20470"/>
          <w:pgMar w:top="400" w:right="1834" w:bottom="1447" w:left="2150" w:header="0" w:footer="1231"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firstLine="570"/>
        <w:spacing w:before="95" w:line="311"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76"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570"/>
        <w:spacing w:before="146" w:line="219" w:lineRule="auto"/>
        <w:rPr>
          <w:sz w:val="29"/>
          <w:szCs w:val="29"/>
        </w:rPr>
      </w:pPr>
      <w:r>
        <w:rPr>
          <w:sz w:val="29"/>
          <w:szCs w:val="29"/>
          <w:spacing w:val="2"/>
        </w:rPr>
        <w:t>气温逐渐升高。偶尔有大风雷雨天气，注意防</w:t>
      </w:r>
      <w:r>
        <w:rPr>
          <w:sz w:val="29"/>
          <w:szCs w:val="29"/>
          <w:spacing w:val="1"/>
        </w:rPr>
        <w:t>涝，对零星病虫害专项防治。</w:t>
      </w:r>
    </w:p>
    <w:p>
      <w:pPr>
        <w:pStyle w:val="BodyText"/>
        <w:ind w:left="570"/>
        <w:spacing w:before="135"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24" w:line="219" w:lineRule="auto"/>
        <w:rPr>
          <w:sz w:val="29"/>
          <w:szCs w:val="29"/>
        </w:rPr>
      </w:pPr>
      <w:r>
        <w:rPr>
          <w:sz w:val="29"/>
          <w:szCs w:val="29"/>
          <w:spacing w:val="6"/>
        </w:rPr>
        <w:t>(1)及时检查乔木支撑情况，发现松动或缺失立即加固；</w:t>
      </w:r>
    </w:p>
    <w:p>
      <w:pPr>
        <w:pStyle w:val="BodyText"/>
        <w:ind w:right="339" w:firstLine="730"/>
        <w:spacing w:before="155" w:line="262" w:lineRule="auto"/>
        <w:rPr>
          <w:sz w:val="29"/>
          <w:szCs w:val="29"/>
        </w:rPr>
      </w:pPr>
      <w:r>
        <w:rPr>
          <w:sz w:val="29"/>
          <w:szCs w:val="29"/>
          <w:spacing w:val="6"/>
        </w:rPr>
        <w:t>(2)有返青不好的苗木，视具体情况采取土层浅播硫酸亚铁改善土壤小环</w:t>
      </w:r>
      <w:r>
        <w:rPr>
          <w:sz w:val="29"/>
          <w:szCs w:val="29"/>
          <w:spacing w:val="1"/>
        </w:rPr>
        <w:t xml:space="preserve"> </w:t>
      </w:r>
      <w:r>
        <w:rPr>
          <w:sz w:val="29"/>
          <w:szCs w:val="29"/>
          <w:spacing w:val="2"/>
        </w:rPr>
        <w:t>境、使用营养剂、根部施肥透气透水等措施提</w:t>
      </w:r>
      <w:r>
        <w:rPr>
          <w:sz w:val="29"/>
          <w:szCs w:val="29"/>
          <w:spacing w:val="1"/>
        </w:rPr>
        <w:t>高苗木成活，提高养护效果。</w:t>
      </w:r>
    </w:p>
    <w:p>
      <w:pPr>
        <w:ind w:left="570"/>
        <w:spacing w:before="185" w:line="221" w:lineRule="auto"/>
        <w:rPr>
          <w:rFonts w:ascii="SimHei" w:hAnsi="SimHei" w:eastAsia="SimHei" w:cs="SimHei"/>
          <w:sz w:val="29"/>
          <w:szCs w:val="29"/>
        </w:rPr>
      </w:pPr>
      <w:r>
        <w:rPr>
          <w:rFonts w:ascii="SimHei" w:hAnsi="SimHei" w:eastAsia="SimHei" w:cs="SimHei"/>
          <w:sz w:val="29"/>
          <w:szCs w:val="29"/>
          <w:spacing w:val="4"/>
        </w:rPr>
        <w:t>2、修剪</w:t>
      </w:r>
    </w:p>
    <w:p>
      <w:pPr>
        <w:pStyle w:val="BodyText"/>
        <w:ind w:left="730"/>
        <w:spacing w:before="105" w:line="219" w:lineRule="auto"/>
        <w:rPr>
          <w:sz w:val="29"/>
          <w:szCs w:val="29"/>
        </w:rPr>
      </w:pPr>
      <w:r>
        <w:rPr>
          <w:sz w:val="29"/>
          <w:szCs w:val="29"/>
          <w:spacing w:val="6"/>
        </w:rPr>
        <w:t>(1)对乔木进行剥芽除蘖，对绿篱、球类及部分花灌木实施修剪；</w:t>
      </w:r>
    </w:p>
    <w:p>
      <w:pPr>
        <w:pStyle w:val="BodyText"/>
        <w:ind w:right="339" w:firstLine="730"/>
        <w:spacing w:before="135" w:line="269" w:lineRule="auto"/>
        <w:rPr>
          <w:sz w:val="29"/>
          <w:szCs w:val="29"/>
        </w:rPr>
      </w:pPr>
      <w:r>
        <w:rPr>
          <w:sz w:val="29"/>
          <w:szCs w:val="29"/>
          <w:spacing w:val="6"/>
        </w:rPr>
        <w:t>(2)及时修剪影响园路行走的枝条，特别是道路两侧的行道树，要注意不</w:t>
      </w:r>
      <w:r>
        <w:rPr>
          <w:sz w:val="29"/>
          <w:szCs w:val="29"/>
          <w:spacing w:val="1"/>
        </w:rPr>
        <w:t xml:space="preserve"> </w:t>
      </w:r>
      <w:r>
        <w:rPr>
          <w:sz w:val="29"/>
          <w:szCs w:val="29"/>
          <w:spacing w:val="-5"/>
        </w:rPr>
        <w:t>能影响线路安全；</w:t>
      </w:r>
    </w:p>
    <w:p>
      <w:pPr>
        <w:pStyle w:val="BodyText"/>
        <w:ind w:right="241" w:firstLine="730"/>
        <w:spacing w:before="156" w:line="291" w:lineRule="auto"/>
        <w:rPr>
          <w:sz w:val="29"/>
          <w:szCs w:val="29"/>
        </w:rPr>
      </w:pPr>
      <w:r>
        <w:rPr>
          <w:sz w:val="29"/>
          <w:szCs w:val="29"/>
          <w:spacing w:val="5"/>
        </w:rPr>
        <w:t>(3)</w:t>
      </w:r>
      <w:r>
        <w:rPr>
          <w:sz w:val="29"/>
          <w:szCs w:val="29"/>
          <w:spacing w:val="73"/>
        </w:rPr>
        <w:t xml:space="preserve"> </w:t>
      </w:r>
      <w:r>
        <w:rPr>
          <w:sz w:val="29"/>
          <w:szCs w:val="29"/>
          <w:spacing w:val="5"/>
        </w:rPr>
        <w:t>及时对草坪进行修剪，高度保持4-5</w:t>
      </w:r>
      <w:r>
        <w:rPr>
          <w:rFonts w:ascii="Times New Roman" w:hAnsi="Times New Roman" w:eastAsia="Times New Roman" w:cs="Times New Roman"/>
          <w:sz w:val="29"/>
          <w:szCs w:val="29"/>
        </w:rPr>
        <w:t>cm</w:t>
      </w:r>
      <w:r>
        <w:rPr>
          <w:sz w:val="29"/>
          <w:szCs w:val="29"/>
          <w:spacing w:val="5"/>
        </w:rPr>
        <w:t>。避免出现剪短露</w:t>
      </w:r>
      <w:r>
        <w:rPr>
          <w:sz w:val="29"/>
          <w:szCs w:val="29"/>
          <w:spacing w:val="4"/>
        </w:rPr>
        <w:t>白茬；或者</w:t>
      </w:r>
      <w:r>
        <w:rPr>
          <w:sz w:val="29"/>
          <w:szCs w:val="29"/>
        </w:rPr>
        <w:t xml:space="preserve"> </w:t>
      </w:r>
      <w:r>
        <w:rPr>
          <w:sz w:val="29"/>
          <w:szCs w:val="29"/>
        </w:rPr>
        <w:t>修剪不及时草皮过高倒伏，捂黄等现象。从本月起</w:t>
      </w:r>
      <w:r>
        <w:rPr>
          <w:sz w:val="29"/>
          <w:szCs w:val="29"/>
          <w:spacing w:val="-1"/>
        </w:rPr>
        <w:t>应经常修整草坪边缘，保持草</w:t>
      </w:r>
      <w:r>
        <w:rPr>
          <w:sz w:val="29"/>
          <w:szCs w:val="29"/>
        </w:rPr>
        <w:t xml:space="preserve"> </w:t>
      </w:r>
      <w:r>
        <w:rPr>
          <w:sz w:val="29"/>
          <w:szCs w:val="29"/>
          <w:spacing w:val="11"/>
        </w:rPr>
        <w:t>坪边缘整齐。本月天气开始炎热，杂草生长快，以2.4</w:t>
      </w:r>
      <w:r>
        <w:rPr>
          <w:rFonts w:ascii="Times New Roman" w:hAnsi="Times New Roman" w:eastAsia="Times New Roman" w:cs="Times New Roman"/>
          <w:sz w:val="29"/>
          <w:szCs w:val="29"/>
          <w:spacing w:val="11"/>
        </w:rPr>
        <w:t>D+“ </w:t>
      </w:r>
      <w:r>
        <w:rPr>
          <w:sz w:val="29"/>
          <w:szCs w:val="29"/>
          <w:spacing w:val="11"/>
        </w:rPr>
        <w:t>骠马(除草</w:t>
      </w:r>
      <w:r>
        <w:rPr>
          <w:sz w:val="29"/>
          <w:szCs w:val="29"/>
          <w:spacing w:val="10"/>
        </w:rPr>
        <w:t>剂)”最</w:t>
      </w:r>
      <w:r>
        <w:rPr>
          <w:sz w:val="29"/>
          <w:szCs w:val="29"/>
        </w:rPr>
        <w:t xml:space="preserve"> </w:t>
      </w:r>
      <w:r>
        <w:rPr>
          <w:sz w:val="29"/>
          <w:szCs w:val="29"/>
          <w:spacing w:val="3"/>
        </w:rPr>
        <w:t>大配比对全园区的早熟禾、高羊茅与黑麦草草坪喷雾除杂草，喷施一次即可(注</w:t>
      </w:r>
      <w:r>
        <w:rPr>
          <w:sz w:val="29"/>
          <w:szCs w:val="29"/>
          <w:spacing w:val="13"/>
        </w:rPr>
        <w:t xml:space="preserve"> </w:t>
      </w:r>
      <w:r>
        <w:rPr>
          <w:sz w:val="29"/>
          <w:szCs w:val="29"/>
          <w:spacing w:val="7"/>
        </w:rPr>
        <w:t>意对其他植物进行避让),有剩余则人工拔除。</w:t>
      </w:r>
    </w:p>
    <w:p>
      <w:pPr>
        <w:pStyle w:val="BodyText"/>
        <w:ind w:left="570"/>
        <w:spacing w:before="161"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491" w:firstLine="570"/>
        <w:spacing w:before="107" w:line="321" w:lineRule="auto"/>
        <w:rPr>
          <w:sz w:val="29"/>
          <w:szCs w:val="29"/>
        </w:rPr>
      </w:pPr>
      <w:r>
        <w:rPr>
          <w:sz w:val="29"/>
          <w:szCs w:val="29"/>
          <w:spacing w:val="-23"/>
        </w:rPr>
        <w:t>天气温度继续攀高，植物需水量大，要及时浇水。本月也是暴雨较多的月</w:t>
      </w:r>
      <w:r>
        <w:rPr>
          <w:sz w:val="29"/>
          <w:szCs w:val="29"/>
          <w:spacing w:val="-24"/>
        </w:rPr>
        <w:t>份，要</w:t>
      </w:r>
      <w:r>
        <w:rPr>
          <w:sz w:val="29"/>
          <w:szCs w:val="29"/>
        </w:rPr>
        <w:t xml:space="preserve"> </w:t>
      </w:r>
      <w:r>
        <w:rPr>
          <w:sz w:val="29"/>
          <w:szCs w:val="29"/>
          <w:spacing w:val="-3"/>
        </w:rPr>
        <w:t>注意防涝。</w:t>
      </w:r>
    </w:p>
    <w:p>
      <w:pPr>
        <w:pStyle w:val="BodyText"/>
        <w:ind w:left="570"/>
        <w:spacing w:before="1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60" w:firstLine="730"/>
        <w:spacing w:before="95" w:line="272" w:lineRule="auto"/>
        <w:rPr>
          <w:sz w:val="29"/>
          <w:szCs w:val="29"/>
        </w:rPr>
      </w:pPr>
      <w:r>
        <w:rPr>
          <w:sz w:val="29"/>
          <w:szCs w:val="29"/>
          <w:spacing w:val="5"/>
        </w:rPr>
        <w:t>(1)病害：白粉病、炭疽病、锈病、煤污病、叶枯病、干腐病、枝枯病、</w:t>
      </w:r>
      <w:r>
        <w:rPr>
          <w:sz w:val="29"/>
          <w:szCs w:val="29"/>
          <w:spacing w:val="13"/>
        </w:rPr>
        <w:t xml:space="preserve"> </w:t>
      </w:r>
      <w:r>
        <w:rPr>
          <w:sz w:val="29"/>
          <w:szCs w:val="29"/>
          <w:spacing w:val="1"/>
        </w:rPr>
        <w:t>流胶病、枯萎病、草坪腐霉枯萎病、细菌性穿孔病、冠瘿病等；</w:t>
      </w:r>
    </w:p>
    <w:p>
      <w:pPr>
        <w:pStyle w:val="BodyText"/>
        <w:ind w:firstLine="730"/>
        <w:spacing w:before="144" w:line="292" w:lineRule="auto"/>
        <w:rPr>
          <w:sz w:val="29"/>
          <w:szCs w:val="29"/>
        </w:rPr>
      </w:pPr>
      <w:r>
        <w:rPr>
          <w:sz w:val="29"/>
          <w:szCs w:val="29"/>
          <w:spacing w:val="9"/>
        </w:rPr>
        <w:t>(2)虫害：桃一点斑叶蝉、大青叶蝉、桃粉蚜、梨网冠蝽、梧桐木虱、花</w:t>
      </w:r>
      <w:r>
        <w:rPr>
          <w:sz w:val="29"/>
          <w:szCs w:val="29"/>
        </w:rPr>
        <w:t xml:space="preserve">  </w:t>
      </w:r>
      <w:r>
        <w:rPr>
          <w:sz w:val="29"/>
          <w:szCs w:val="29"/>
          <w:spacing w:val="-8"/>
        </w:rPr>
        <w:t>蓟马、桑天牛、星天牛、光肩星天牛、云斑天牛、苹果枝天牛、桃红颈天牛、芳香</w:t>
      </w:r>
      <w:r>
        <w:rPr>
          <w:sz w:val="29"/>
          <w:szCs w:val="29"/>
          <w:spacing w:val="5"/>
        </w:rPr>
        <w:t xml:space="preserve">  </w:t>
      </w:r>
      <w:r>
        <w:rPr>
          <w:sz w:val="29"/>
          <w:szCs w:val="29"/>
          <w:spacing w:val="-16"/>
        </w:rPr>
        <w:t>木蠹蛾、白杨透翅蛾、柏肤小蠹、白蚁、小青花金龟、大黑鳃金龟</w:t>
      </w:r>
      <w:r>
        <w:rPr>
          <w:sz w:val="29"/>
          <w:szCs w:val="29"/>
          <w:spacing w:val="-17"/>
        </w:rPr>
        <w:t>、大地老虎、蝼蛄、</w:t>
      </w:r>
      <w:r>
        <w:rPr>
          <w:sz w:val="29"/>
          <w:szCs w:val="29"/>
        </w:rPr>
        <w:t xml:space="preserve"> </w:t>
      </w:r>
      <w:r>
        <w:rPr>
          <w:sz w:val="29"/>
          <w:szCs w:val="29"/>
          <w:spacing w:val="-8"/>
        </w:rPr>
        <w:t>细胸金针虫、黄刺蛾、扁刺蛾、丽绿刺蛾、褐边绿刺蛾、桑褐刺蛾、茶袋蛾、大袋</w:t>
      </w:r>
      <w:r>
        <w:rPr>
          <w:sz w:val="29"/>
          <w:szCs w:val="29"/>
          <w:spacing w:val="4"/>
        </w:rPr>
        <w:t xml:space="preserve">  </w:t>
      </w:r>
      <w:r>
        <w:rPr>
          <w:sz w:val="29"/>
          <w:szCs w:val="29"/>
          <w:spacing w:val="-16"/>
        </w:rPr>
        <w:t>蛾、黄尾毒蛾、桃剑纹夜蛾、丝棉木金星尺蛾、国槐尺蛾、绿尾大蚕蛾、柑桔凤蝶、</w:t>
      </w:r>
    </w:p>
    <w:p>
      <w:pPr>
        <w:pStyle w:val="BodyText"/>
        <w:spacing w:before="146" w:line="219" w:lineRule="auto"/>
        <w:rPr>
          <w:sz w:val="29"/>
          <w:szCs w:val="29"/>
        </w:rPr>
      </w:pPr>
      <w:r>
        <w:rPr>
          <w:sz w:val="29"/>
          <w:szCs w:val="29"/>
          <w:spacing w:val="-21"/>
        </w:rPr>
        <w:t>玉带凤蝶、蔷薇三节叶蜂、柳蓝叶甲、葡萄十星叶甲等。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7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left="730"/>
        <w:spacing w:before="156" w:line="219" w:lineRule="auto"/>
        <w:rPr>
          <w:sz w:val="29"/>
          <w:szCs w:val="29"/>
        </w:rPr>
      </w:pPr>
      <w:r>
        <w:rPr>
          <w:sz w:val="29"/>
          <w:szCs w:val="29"/>
          <w:spacing w:val="12"/>
        </w:rPr>
        <w:t>(2)在业主上班高峰期前对园区内的重点区域(大门内外、主干通道、销</w:t>
      </w:r>
    </w:p>
    <w:p>
      <w:pPr>
        <w:spacing w:line="219" w:lineRule="auto"/>
        <w:sectPr>
          <w:footerReference w:type="default" r:id="rId541"/>
          <w:pgSz w:w="14490" w:h="20470"/>
          <w:pgMar w:top="400" w:right="1934" w:bottom="1447" w:left="2150" w:header="0" w:footer="1231"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9"/>
        </w:rPr>
        <w:t>售展示区)进行彻底清理。</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491" w:firstLine="730"/>
        <w:spacing w:before="141" w:line="270" w:lineRule="auto"/>
        <w:rPr>
          <w:sz w:val="29"/>
          <w:szCs w:val="29"/>
        </w:rPr>
      </w:pPr>
      <w:r>
        <w:rPr>
          <w:sz w:val="29"/>
          <w:szCs w:val="29"/>
          <w:spacing w:val="6"/>
        </w:rPr>
        <w:t>(1)库房物品整理，物料工具出入库及领用登记</w:t>
      </w:r>
      <w:r>
        <w:rPr>
          <w:sz w:val="29"/>
          <w:szCs w:val="29"/>
          <w:spacing w:val="5"/>
        </w:rPr>
        <w:t>，注意保管汽油、农药等</w:t>
      </w:r>
      <w:r>
        <w:rPr>
          <w:sz w:val="29"/>
          <w:szCs w:val="29"/>
        </w:rPr>
        <w:t xml:space="preserve"> </w:t>
      </w:r>
      <w:r>
        <w:rPr>
          <w:sz w:val="29"/>
          <w:szCs w:val="29"/>
          <w:spacing w:val="-7"/>
        </w:rPr>
        <w:t>危险品；</w:t>
      </w:r>
    </w:p>
    <w:p>
      <w:pPr>
        <w:pStyle w:val="BodyText"/>
        <w:ind w:right="489" w:firstLine="730"/>
        <w:spacing w:before="123" w:line="267" w:lineRule="auto"/>
        <w:rPr>
          <w:sz w:val="29"/>
          <w:szCs w:val="29"/>
        </w:rPr>
      </w:pPr>
      <w:r>
        <w:rPr>
          <w:sz w:val="29"/>
          <w:szCs w:val="29"/>
          <w:spacing w:val="1"/>
        </w:rPr>
        <w:t>(2)根据现场的实际情况，申请购置7、8、9月份的农药、化肥、营养剂及</w:t>
      </w:r>
      <w:r>
        <w:rPr>
          <w:sz w:val="29"/>
          <w:szCs w:val="29"/>
          <w:spacing w:val="9"/>
        </w:rPr>
        <w:t xml:space="preserve"> </w:t>
      </w:r>
      <w:r>
        <w:rPr>
          <w:sz w:val="29"/>
          <w:szCs w:val="29"/>
          <w:spacing w:val="-6"/>
        </w:rPr>
        <w:t>其它物资；</w:t>
      </w:r>
    </w:p>
    <w:p>
      <w:pPr>
        <w:pStyle w:val="BodyText"/>
        <w:ind w:left="730"/>
        <w:spacing w:before="159" w:line="219" w:lineRule="auto"/>
        <w:rPr>
          <w:sz w:val="29"/>
          <w:szCs w:val="29"/>
        </w:rPr>
      </w:pPr>
      <w:r>
        <w:rPr>
          <w:sz w:val="29"/>
          <w:szCs w:val="29"/>
          <w:spacing w:val="10"/>
        </w:rPr>
        <w:t>(3)进行机械工具的检查维修。</w:t>
      </w:r>
    </w:p>
    <w:p>
      <w:pPr>
        <w:pStyle w:val="BodyText"/>
        <w:ind w:left="570"/>
        <w:spacing w:before="8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39" w:firstLine="570"/>
        <w:spacing w:before="16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6"/>
        </w:rPr>
        <w:t>防盗情况。</w:t>
      </w:r>
    </w:p>
    <w:p>
      <w:pPr>
        <w:spacing w:before="91"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570"/>
        <w:spacing w:before="87" w:line="219" w:lineRule="auto"/>
        <w:rPr>
          <w:sz w:val="29"/>
          <w:szCs w:val="29"/>
        </w:rPr>
      </w:pPr>
      <w:r>
        <w:rPr>
          <w:sz w:val="29"/>
          <w:szCs w:val="29"/>
          <w:spacing w:val="4"/>
        </w:rPr>
        <w:t>气温最高，中旬以后会出现大风大雨情况，做好防风、防涝工</w:t>
      </w:r>
      <w:r>
        <w:rPr>
          <w:sz w:val="29"/>
          <w:szCs w:val="29"/>
          <w:spacing w:val="3"/>
        </w:rPr>
        <w:t>作。</w:t>
      </w:r>
    </w:p>
    <w:p>
      <w:pPr>
        <w:pStyle w:val="BodyText"/>
        <w:ind w:left="570"/>
        <w:spacing w:before="29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24" w:line="219" w:lineRule="auto"/>
        <w:rPr>
          <w:sz w:val="29"/>
          <w:szCs w:val="29"/>
        </w:rPr>
      </w:pPr>
      <w:r>
        <w:rPr>
          <w:sz w:val="29"/>
          <w:szCs w:val="29"/>
          <w:spacing w:val="2"/>
        </w:rPr>
        <w:t>及时检查乔木支撑情况，发现松动或缺失立即加固</w:t>
      </w:r>
    </w:p>
    <w:p>
      <w:pPr>
        <w:ind w:left="570"/>
        <w:spacing w:before="13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94" w:firstLine="319"/>
        <w:spacing w:before="111" w:line="320" w:lineRule="auto"/>
        <w:jc w:val="both"/>
        <w:rPr>
          <w:sz w:val="29"/>
          <w:szCs w:val="29"/>
        </w:rPr>
      </w:pPr>
      <w:r>
        <w:rPr>
          <w:sz w:val="29"/>
          <w:szCs w:val="29"/>
          <w:spacing w:val="-17"/>
        </w:rPr>
        <w:t>乔木、花灌木及草坪生长迅速，要及时对乔木、灌木、草坪进行修剪。行道树，进</w:t>
      </w:r>
      <w:r>
        <w:rPr>
          <w:sz w:val="29"/>
          <w:szCs w:val="29"/>
          <w:spacing w:val="1"/>
        </w:rPr>
        <w:t xml:space="preserve"> </w:t>
      </w:r>
      <w:r>
        <w:rPr>
          <w:sz w:val="29"/>
          <w:szCs w:val="29"/>
          <w:spacing w:val="-1"/>
        </w:rPr>
        <w:t>行剥芽修剪，对与电线及道路有矛盾的树枝一律修剪，并对树桩逐个检查，发现</w:t>
      </w:r>
      <w:r>
        <w:rPr>
          <w:sz w:val="29"/>
          <w:szCs w:val="29"/>
          <w:spacing w:val="18"/>
        </w:rPr>
        <w:t xml:space="preserve"> </w:t>
      </w:r>
      <w:r>
        <w:rPr>
          <w:sz w:val="29"/>
          <w:szCs w:val="29"/>
        </w:rPr>
        <w:t>松垮、不稳立即扶正绑紧。</w:t>
      </w:r>
    </w:p>
    <w:p>
      <w:pPr>
        <w:ind w:left="570"/>
        <w:spacing w:before="32" w:line="222" w:lineRule="auto"/>
        <w:rPr>
          <w:rFonts w:ascii="SimHei" w:hAnsi="SimHei" w:eastAsia="SimHei" w:cs="SimHei"/>
          <w:sz w:val="29"/>
          <w:szCs w:val="29"/>
        </w:rPr>
      </w:pPr>
      <w:r>
        <w:rPr>
          <w:rFonts w:ascii="SimHei" w:hAnsi="SimHei" w:eastAsia="SimHei" w:cs="SimHei"/>
          <w:sz w:val="29"/>
          <w:szCs w:val="29"/>
          <w:spacing w:val="4"/>
        </w:rPr>
        <w:t>3、水肥管理</w:t>
      </w:r>
    </w:p>
    <w:p>
      <w:pPr>
        <w:pStyle w:val="BodyText"/>
        <w:ind w:right="443" w:firstLine="459"/>
        <w:spacing w:before="92" w:line="321" w:lineRule="auto"/>
        <w:rPr>
          <w:sz w:val="29"/>
          <w:szCs w:val="29"/>
        </w:rPr>
      </w:pPr>
      <w:r>
        <w:rPr>
          <w:sz w:val="29"/>
          <w:szCs w:val="29"/>
          <w:spacing w:val="2"/>
        </w:rPr>
        <w:t>本月为高温高湿的多雨季节，仍注意苗木实时浇水，同时也要注意时花的适</w:t>
      </w:r>
      <w:r>
        <w:rPr>
          <w:sz w:val="29"/>
          <w:szCs w:val="29"/>
          <w:spacing w:val="4"/>
        </w:rPr>
        <w:t xml:space="preserve"> </w:t>
      </w:r>
      <w:r>
        <w:rPr>
          <w:sz w:val="29"/>
          <w:szCs w:val="29"/>
          <w:spacing w:val="-1"/>
        </w:rPr>
        <w:t>时浇水。做好排涝工作。</w:t>
      </w:r>
    </w:p>
    <w:p>
      <w:pPr>
        <w:pStyle w:val="BodyText"/>
        <w:ind w:left="570"/>
        <w:spacing w:before="1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21" w:firstLine="730"/>
        <w:spacing w:before="114" w:line="266" w:lineRule="auto"/>
        <w:rPr>
          <w:sz w:val="29"/>
          <w:szCs w:val="29"/>
        </w:rPr>
      </w:pPr>
      <w:r>
        <w:rPr>
          <w:sz w:val="29"/>
          <w:szCs w:val="29"/>
          <w:spacing w:val="-9"/>
        </w:rPr>
        <w:t>(1)病害：锈病、煤污病、叶枯病、干腐病、紫纹羽病、枝</w:t>
      </w:r>
      <w:r>
        <w:rPr>
          <w:sz w:val="29"/>
          <w:szCs w:val="29"/>
          <w:spacing w:val="-10"/>
        </w:rPr>
        <w:t>枯病、枯萎病、草</w:t>
      </w:r>
      <w:r>
        <w:rPr>
          <w:sz w:val="29"/>
          <w:szCs w:val="29"/>
        </w:rPr>
        <w:t xml:space="preserve"> </w:t>
      </w:r>
      <w:r>
        <w:rPr>
          <w:sz w:val="29"/>
          <w:szCs w:val="29"/>
          <w:spacing w:val="-5"/>
        </w:rPr>
        <w:t>坪腐霉枯萎病、细菌性穿孔病、冠瘿病、花叶病等；</w:t>
      </w:r>
    </w:p>
    <w:p>
      <w:pPr>
        <w:pStyle w:val="BodyText"/>
        <w:ind w:right="332" w:firstLine="730"/>
        <w:spacing w:before="144" w:line="263" w:lineRule="auto"/>
        <w:rPr>
          <w:sz w:val="29"/>
          <w:szCs w:val="29"/>
        </w:rPr>
      </w:pPr>
      <w:r>
        <w:rPr>
          <w:sz w:val="29"/>
          <w:szCs w:val="29"/>
          <w:spacing w:val="-3"/>
        </w:rPr>
        <w:t>(2)虫害：桃一点斑叶蝉、大青叶蝉、梨网冠蝽、梧桐木虱、朱砂叶螨(棉花</w:t>
      </w:r>
      <w:r>
        <w:rPr>
          <w:sz w:val="29"/>
          <w:szCs w:val="29"/>
          <w:spacing w:val="16"/>
        </w:rPr>
        <w:t xml:space="preserve"> </w:t>
      </w:r>
      <w:r>
        <w:rPr>
          <w:sz w:val="29"/>
          <w:szCs w:val="29"/>
          <w:spacing w:val="3"/>
        </w:rPr>
        <w:t>红蜘蛛、红叶螨)、花蓟马、桑天牛、星天牛、光肩星天牛、桃红颈天牛、芳香</w:t>
      </w:r>
    </w:p>
    <w:p>
      <w:pPr>
        <w:pStyle w:val="BodyText"/>
        <w:spacing w:before="144" w:line="281" w:lineRule="auto"/>
        <w:rPr>
          <w:sz w:val="29"/>
          <w:szCs w:val="29"/>
        </w:rPr>
      </w:pPr>
      <w:r>
        <w:rPr>
          <w:sz w:val="29"/>
          <w:szCs w:val="29"/>
          <w:spacing w:val="-5"/>
        </w:rPr>
        <w:t>木蠹蛾、白蚁、小青花金龟、大黑鳃金龟、大地老虎、蝼蛄、细胸金针虫、黄刺</w:t>
      </w:r>
      <w:r>
        <w:rPr>
          <w:sz w:val="29"/>
          <w:szCs w:val="29"/>
          <w:spacing w:val="-6"/>
        </w:rPr>
        <w:t>蛾、</w:t>
      </w:r>
      <w:r>
        <w:rPr>
          <w:sz w:val="29"/>
          <w:szCs w:val="29"/>
        </w:rPr>
        <w:t xml:space="preserve"> </w:t>
      </w:r>
      <w:r>
        <w:rPr>
          <w:sz w:val="29"/>
          <w:szCs w:val="29"/>
          <w:spacing w:val="-20"/>
        </w:rPr>
        <w:t>扁刺蛾、丽绿刺蛾、褐边绿刺蛾、桑褐刺蛾、茶袋蛾、大袋蛾、黄尾毒蛾、桃剑纹夜蛾、</w:t>
      </w:r>
      <w:r>
        <w:rPr>
          <w:sz w:val="29"/>
          <w:szCs w:val="29"/>
          <w:spacing w:val="13"/>
        </w:rPr>
        <w:t xml:space="preserve"> </w:t>
      </w:r>
      <w:r>
        <w:rPr>
          <w:sz w:val="29"/>
          <w:szCs w:val="29"/>
          <w:spacing w:val="-11"/>
        </w:rPr>
        <w:t>斜纹夜蛾、丝棉木金星尺蛾、国槐尺蛾、绿尾大蚕蛾、柑桔凤蝶、玉带凤蝶、蔷薇</w:t>
      </w:r>
    </w:p>
    <w:p>
      <w:pPr>
        <w:pStyle w:val="BodyText"/>
        <w:spacing w:before="136" w:line="219" w:lineRule="auto"/>
        <w:rPr>
          <w:sz w:val="29"/>
          <w:szCs w:val="29"/>
        </w:rPr>
      </w:pPr>
      <w:r>
        <w:rPr>
          <w:sz w:val="29"/>
          <w:szCs w:val="29"/>
          <w:spacing w:val="-1"/>
        </w:rPr>
        <w:t>三节叶蜂、柳蓝叶甲等。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90" w:firstLine="730"/>
        <w:spacing w:before="102" w:line="320"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1"/>
        </w:rPr>
        <w:t>池、灯杆、垃圾桶保持干净；</w:t>
      </w:r>
    </w:p>
    <w:p>
      <w:pPr>
        <w:spacing w:line="320" w:lineRule="auto"/>
        <w:sectPr>
          <w:footerReference w:type="default" r:id="rId542"/>
          <w:pgSz w:w="14490" w:h="20470"/>
          <w:pgMar w:top="400" w:right="179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BodyText"/>
        <w:ind w:right="333" w:firstLine="730"/>
        <w:spacing w:before="95" w:line="315"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ind w:left="600"/>
        <w:spacing w:before="30"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right="341" w:firstLine="730"/>
        <w:spacing w:before="10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left="730"/>
        <w:spacing w:before="141" w:line="219" w:lineRule="auto"/>
        <w:rPr>
          <w:sz w:val="29"/>
          <w:szCs w:val="29"/>
        </w:rPr>
      </w:pPr>
      <w:r>
        <w:rPr>
          <w:sz w:val="29"/>
          <w:szCs w:val="29"/>
          <w:spacing w:val="9"/>
        </w:rPr>
        <w:t>(2)进行机械工具的检查维修。</w:t>
      </w:r>
    </w:p>
    <w:p>
      <w:pPr>
        <w:pStyle w:val="BodyText"/>
        <w:ind w:left="600"/>
        <w:spacing w:before="10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600"/>
        <w:spacing w:before="157"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117" w:line="223" w:lineRule="auto"/>
        <w:rPr>
          <w:rFonts w:ascii="SimHei" w:hAnsi="SimHei" w:eastAsia="SimHei" w:cs="SimHei"/>
          <w:sz w:val="29"/>
          <w:szCs w:val="29"/>
        </w:rPr>
      </w:pPr>
      <w:r>
        <w:rPr>
          <w:rFonts w:ascii="SimHei" w:hAnsi="SimHei" w:eastAsia="SimHei" w:cs="SimHei"/>
          <w:sz w:val="29"/>
          <w:szCs w:val="29"/>
          <w:spacing w:val="6"/>
        </w:rPr>
        <w:t>八月份</w:t>
      </w:r>
    </w:p>
    <w:p>
      <w:pPr>
        <w:pStyle w:val="BodyText"/>
        <w:ind w:left="600"/>
        <w:spacing w:before="109" w:line="219" w:lineRule="auto"/>
        <w:rPr>
          <w:sz w:val="29"/>
          <w:szCs w:val="29"/>
        </w:rPr>
      </w:pPr>
      <w:r>
        <w:rPr>
          <w:sz w:val="29"/>
          <w:szCs w:val="29"/>
          <w:spacing w:val="3"/>
        </w:rPr>
        <w:t>气温最高，下旬出现大风大雨情况，继续做好防风排涝、除害灭病工作。</w:t>
      </w:r>
    </w:p>
    <w:p>
      <w:pPr>
        <w:pStyle w:val="BodyText"/>
        <w:ind w:left="600"/>
        <w:spacing w:before="29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123" w:line="219" w:lineRule="auto"/>
        <w:rPr>
          <w:sz w:val="29"/>
          <w:szCs w:val="29"/>
        </w:rPr>
      </w:pPr>
      <w:r>
        <w:rPr>
          <w:sz w:val="29"/>
          <w:szCs w:val="29"/>
        </w:rPr>
        <w:t>及时检查乔木支撑情况，发现松动或缺失立即加固。</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600"/>
        <w:spacing w:before="156" w:line="219" w:lineRule="auto"/>
        <w:rPr>
          <w:sz w:val="29"/>
          <w:szCs w:val="29"/>
        </w:rPr>
      </w:pPr>
      <w:r>
        <w:rPr>
          <w:sz w:val="29"/>
          <w:szCs w:val="29"/>
          <w:spacing w:val="1"/>
        </w:rPr>
        <w:t>乔木、花灌木及草坪生长迅速，要及时对乔木、灌木、草坪进行修剪。</w:t>
      </w:r>
    </w:p>
    <w:p>
      <w:pPr>
        <w:pStyle w:val="BodyText"/>
        <w:ind w:left="600"/>
        <w:spacing w:before="42"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293" w:firstLine="459"/>
        <w:spacing w:before="166" w:line="315" w:lineRule="auto"/>
        <w:rPr>
          <w:sz w:val="29"/>
          <w:szCs w:val="29"/>
        </w:rPr>
      </w:pPr>
      <w:r>
        <w:rPr>
          <w:sz w:val="29"/>
          <w:szCs w:val="29"/>
          <w:spacing w:val="2"/>
        </w:rPr>
        <w:t>本月为高温高湿的多雨季节，仍注意苗木实时浇水，同时也要注意时花的适</w:t>
      </w:r>
      <w:r>
        <w:rPr>
          <w:sz w:val="29"/>
          <w:szCs w:val="29"/>
          <w:spacing w:val="14"/>
        </w:rPr>
        <w:t xml:space="preserve"> </w:t>
      </w:r>
      <w:r>
        <w:rPr>
          <w:sz w:val="29"/>
          <w:szCs w:val="29"/>
          <w:spacing w:val="-1"/>
        </w:rPr>
        <w:t>时浇水。做好排涝工作。</w:t>
      </w:r>
    </w:p>
    <w:p>
      <w:pPr>
        <w:pStyle w:val="BodyText"/>
        <w:ind w:left="600"/>
        <w:spacing w:before="40"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343" w:firstLine="730"/>
        <w:spacing w:before="95" w:line="269"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rPr>
        <w:t>腐霉枯萎病、细菌性穿孔病、冠瘿病、花叶病、丛枝病等；</w:t>
      </w:r>
    </w:p>
    <w:p>
      <w:pPr>
        <w:pStyle w:val="BodyText"/>
        <w:ind w:firstLine="730"/>
        <w:spacing w:before="134" w:line="292" w:lineRule="auto"/>
        <w:rPr>
          <w:sz w:val="29"/>
          <w:szCs w:val="29"/>
        </w:rPr>
      </w:pPr>
      <w:r>
        <w:rPr>
          <w:sz w:val="29"/>
          <w:szCs w:val="29"/>
          <w:spacing w:val="4"/>
        </w:rPr>
        <w:t>(2)虫害：桃一点斑叶蝉、大青叶蝉、梨网冠蝽、梧桐木虱、朱砂叶螨(棉</w:t>
      </w:r>
      <w:r>
        <w:rPr>
          <w:sz w:val="29"/>
          <w:szCs w:val="29"/>
          <w:spacing w:val="6"/>
        </w:rPr>
        <w:t xml:space="preserve">  </w:t>
      </w:r>
      <w:r>
        <w:rPr>
          <w:sz w:val="29"/>
          <w:szCs w:val="29"/>
          <w:spacing w:val="4"/>
        </w:rPr>
        <w:t>花红蜘蛛、红叶螨)、花蓟马、桑天牛、光肩星天牛、芳香木蠹蛾、白蚁、小青</w:t>
      </w:r>
      <w:r>
        <w:rPr>
          <w:sz w:val="29"/>
          <w:szCs w:val="29"/>
          <w:spacing w:val="3"/>
        </w:rPr>
        <w:t xml:space="preserve">  </w:t>
      </w:r>
      <w:r>
        <w:rPr>
          <w:sz w:val="29"/>
          <w:szCs w:val="29"/>
          <w:spacing w:val="-9"/>
        </w:rPr>
        <w:t>花金龟、大地老虎、蝼蛄、细胸金针虫、黄刺蛾、扁刺蛾、丽绿刺蛾、褐边绿刺蛾、</w:t>
      </w:r>
      <w:r>
        <w:rPr>
          <w:sz w:val="29"/>
          <w:szCs w:val="29"/>
          <w:spacing w:val="6"/>
        </w:rPr>
        <w:t xml:space="preserve"> </w:t>
      </w:r>
      <w:r>
        <w:rPr>
          <w:sz w:val="29"/>
          <w:szCs w:val="29"/>
          <w:spacing w:val="-9"/>
        </w:rPr>
        <w:t>茶袋蛾、大袋蛾、黄尾毒蛾、斜纹夜蛾、丝棉木金星尺蛾、国槐尺蛾、绿尾大蚕蛾、</w:t>
      </w:r>
      <w:r>
        <w:rPr>
          <w:sz w:val="29"/>
          <w:szCs w:val="29"/>
          <w:spacing w:val="6"/>
        </w:rPr>
        <w:t xml:space="preserve"> </w:t>
      </w:r>
      <w:r>
        <w:rPr>
          <w:sz w:val="29"/>
          <w:szCs w:val="29"/>
          <w:spacing w:val="-12"/>
        </w:rPr>
        <w:t>柑桔凤蝶、玉带凤蝶、蔷薇三节叶蜂、柳蓝叶甲等。</w:t>
      </w:r>
    </w:p>
    <w:p>
      <w:pPr>
        <w:pStyle w:val="BodyText"/>
        <w:ind w:left="60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73" w:line="27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17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left="730"/>
        <w:spacing w:before="94" w:line="219" w:lineRule="auto"/>
        <w:rPr>
          <w:sz w:val="29"/>
          <w:szCs w:val="29"/>
        </w:rPr>
      </w:pPr>
      <w:r>
        <w:rPr>
          <w:sz w:val="29"/>
          <w:szCs w:val="29"/>
          <w:spacing w:val="7"/>
        </w:rPr>
        <w:t>(1)库房物品整理，物料工具出入库及领用登记，注意保管汽油、农药等</w:t>
      </w:r>
    </w:p>
    <w:p>
      <w:pPr>
        <w:spacing w:line="219" w:lineRule="auto"/>
        <w:sectPr>
          <w:footerReference w:type="default" r:id="rId543"/>
          <w:pgSz w:w="14490" w:h="20470"/>
          <w:pgMar w:top="400" w:right="1935" w:bottom="1433" w:left="2150" w:header="0" w:footer="1235" w:gutter="0"/>
        </w:sectPr>
        <w:rPr>
          <w:sz w:val="29"/>
          <w:szCs w:val="29"/>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20" w:lineRule="auto"/>
        <w:rPr>
          <w:sz w:val="29"/>
          <w:szCs w:val="29"/>
        </w:rPr>
      </w:pPr>
      <w:r>
        <w:rPr>
          <w:sz w:val="29"/>
          <w:szCs w:val="29"/>
          <w:spacing w:val="-5"/>
        </w:rPr>
        <w:t>危险品；</w:t>
      </w:r>
    </w:p>
    <w:p>
      <w:pPr>
        <w:pStyle w:val="BodyText"/>
        <w:ind w:left="730"/>
        <w:spacing w:before="151" w:line="219" w:lineRule="auto"/>
        <w:rPr>
          <w:sz w:val="29"/>
          <w:szCs w:val="29"/>
        </w:rPr>
      </w:pPr>
      <w:r>
        <w:rPr>
          <w:sz w:val="29"/>
          <w:szCs w:val="29"/>
          <w:spacing w:val="12"/>
        </w:rPr>
        <w:t>(2)进行机械工具的检查维修。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firstLine="570"/>
        <w:spacing w:before="157" w:line="304"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96" w:line="223" w:lineRule="auto"/>
        <w:rPr>
          <w:rFonts w:ascii="SimHei" w:hAnsi="SimHei" w:eastAsia="SimHei" w:cs="SimHei"/>
          <w:sz w:val="29"/>
          <w:szCs w:val="29"/>
        </w:rPr>
      </w:pPr>
      <w:r>
        <w:rPr>
          <w:rFonts w:ascii="SimHei" w:hAnsi="SimHei" w:eastAsia="SimHei" w:cs="SimHei"/>
          <w:sz w:val="29"/>
          <w:szCs w:val="29"/>
          <w:spacing w:val="9"/>
        </w:rPr>
        <w:t>九月份</w:t>
      </w:r>
    </w:p>
    <w:p>
      <w:pPr>
        <w:pStyle w:val="BodyText"/>
        <w:ind w:left="570"/>
        <w:spacing w:before="107" w:line="219" w:lineRule="auto"/>
        <w:rPr>
          <w:sz w:val="29"/>
          <w:szCs w:val="29"/>
        </w:rPr>
      </w:pPr>
      <w:r>
        <w:rPr>
          <w:sz w:val="29"/>
          <w:szCs w:val="29"/>
          <w:spacing w:val="4"/>
        </w:rPr>
        <w:t>气温较高，天气较干燥，注意浇水与病虫害防治。</w:t>
      </w:r>
    </w:p>
    <w:p>
      <w:pPr>
        <w:pStyle w:val="BodyText"/>
        <w:ind w:left="570"/>
        <w:spacing w:before="296"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13" w:line="219" w:lineRule="auto"/>
        <w:rPr>
          <w:sz w:val="29"/>
          <w:szCs w:val="29"/>
        </w:rPr>
      </w:pPr>
      <w:r>
        <w:rPr>
          <w:sz w:val="29"/>
          <w:szCs w:val="29"/>
          <w:spacing w:val="1"/>
        </w:rPr>
        <w:t>及时检查乔木支撑情况，发现松动或缺失立即加固。</w:t>
      </w:r>
    </w:p>
    <w:p>
      <w:pPr>
        <w:pStyle w:val="BodyText"/>
        <w:ind w:left="570"/>
        <w:spacing w:before="13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570"/>
        <w:spacing w:before="146" w:line="219" w:lineRule="auto"/>
        <w:rPr>
          <w:sz w:val="29"/>
          <w:szCs w:val="29"/>
        </w:rPr>
      </w:pPr>
      <w:r>
        <w:rPr>
          <w:sz w:val="29"/>
          <w:szCs w:val="29"/>
          <w:spacing w:val="1"/>
        </w:rPr>
        <w:t>乔木、花灌木及草坪生长迅速，及时做好修剪工作。</w:t>
      </w:r>
    </w:p>
    <w:p>
      <w:pPr>
        <w:pStyle w:val="BodyText"/>
        <w:ind w:left="570"/>
        <w:spacing w:before="52"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left="570"/>
        <w:spacing w:before="125" w:line="217" w:lineRule="auto"/>
        <w:rPr>
          <w:sz w:val="29"/>
          <w:szCs w:val="29"/>
        </w:rPr>
      </w:pPr>
      <w:r>
        <w:rPr>
          <w:sz w:val="29"/>
          <w:szCs w:val="29"/>
          <w:spacing w:val="-20"/>
        </w:rPr>
        <w:t>①   本月相对干燥少雨，注意苗木实时浇水，同时</w:t>
      </w:r>
      <w:r>
        <w:rPr>
          <w:sz w:val="29"/>
          <w:szCs w:val="29"/>
          <w:spacing w:val="-21"/>
        </w:rPr>
        <w:t>也要注意时花的适时浇水；</w:t>
      </w:r>
    </w:p>
    <w:p>
      <w:pPr>
        <w:pStyle w:val="BodyText"/>
        <w:ind w:firstLine="570"/>
        <w:spacing w:before="153" w:line="287" w:lineRule="auto"/>
        <w:rPr>
          <w:sz w:val="29"/>
          <w:szCs w:val="29"/>
        </w:rPr>
      </w:pPr>
      <w:r>
        <w:rPr>
          <w:rFonts w:ascii="Times New Roman" w:hAnsi="Times New Roman" w:eastAsia="Times New Roman" w:cs="Times New Roman"/>
          <w:sz w:val="29"/>
          <w:szCs w:val="29"/>
          <w:spacing w:val="12"/>
        </w:rPr>
        <w:t>2      </w:t>
      </w:r>
      <w:r>
        <w:rPr>
          <w:sz w:val="29"/>
          <w:szCs w:val="29"/>
          <w:spacing w:val="12"/>
        </w:rPr>
        <w:t>全区追肥一次，如果绿化效果较好使用有机复合肥(有机质含量40%以</w:t>
      </w:r>
      <w:r>
        <w:rPr>
          <w:sz w:val="29"/>
          <w:szCs w:val="29"/>
          <w:spacing w:val="7"/>
        </w:rPr>
        <w:t xml:space="preserve"> </w:t>
      </w:r>
      <w:r>
        <w:rPr>
          <w:sz w:val="29"/>
          <w:szCs w:val="29"/>
          <w:spacing w:val="-12"/>
        </w:rPr>
        <w:t>上)或高磷钾、低氮的无机复合肥，提高抗寒能力</w:t>
      </w:r>
      <w:r>
        <w:rPr>
          <w:sz w:val="29"/>
          <w:szCs w:val="29"/>
          <w:spacing w:val="-13"/>
        </w:rPr>
        <w:t>；如果绿化效果较差则使用氮、磷、</w:t>
      </w:r>
      <w:r>
        <w:rPr>
          <w:sz w:val="29"/>
          <w:szCs w:val="29"/>
        </w:rPr>
        <w:t xml:space="preserve"> </w:t>
      </w:r>
      <w:r>
        <w:rPr>
          <w:sz w:val="29"/>
          <w:szCs w:val="29"/>
          <w:spacing w:val="-3"/>
        </w:rPr>
        <w:t>钾均衡型速效性复合肥氮15-18、磷15-18、钾15-18),</w:t>
      </w:r>
      <w:r>
        <w:rPr>
          <w:sz w:val="29"/>
          <w:szCs w:val="29"/>
          <w:spacing w:val="-4"/>
        </w:rPr>
        <w:t>避免氮素含量过高，苗木越</w:t>
      </w:r>
      <w:r>
        <w:rPr>
          <w:sz w:val="29"/>
          <w:szCs w:val="29"/>
        </w:rPr>
        <w:t xml:space="preserve">  </w:t>
      </w:r>
      <w:r>
        <w:rPr>
          <w:sz w:val="29"/>
          <w:szCs w:val="29"/>
          <w:spacing w:val="-13"/>
        </w:rPr>
        <w:t>冬抗寒能力降低；</w:t>
      </w:r>
    </w:p>
    <w:p>
      <w:pPr>
        <w:pStyle w:val="BodyText"/>
        <w:ind w:left="570"/>
        <w:spacing w:before="144" w:line="219" w:lineRule="auto"/>
        <w:rPr>
          <w:sz w:val="29"/>
          <w:szCs w:val="29"/>
        </w:rPr>
      </w:pPr>
      <w:r>
        <w:rPr>
          <w:rFonts w:ascii="Times New Roman" w:hAnsi="Times New Roman" w:eastAsia="Times New Roman" w:cs="Times New Roman"/>
          <w:sz w:val="29"/>
          <w:szCs w:val="29"/>
          <w:spacing w:val="-2"/>
        </w:rPr>
        <w:t>3      </w:t>
      </w:r>
      <w:r>
        <w:rPr>
          <w:sz w:val="29"/>
          <w:szCs w:val="29"/>
          <w:spacing w:val="-2"/>
        </w:rPr>
        <w:t>九月下旬至十月上旬对本地耐寒差的植物喷施2次植物专用</w:t>
      </w:r>
      <w:r>
        <w:rPr>
          <w:sz w:val="29"/>
          <w:szCs w:val="29"/>
          <w:spacing w:val="-3"/>
        </w:rPr>
        <w:t>防冻液。</w:t>
      </w:r>
    </w:p>
    <w:p>
      <w:pPr>
        <w:pStyle w:val="BodyText"/>
        <w:ind w:left="570"/>
        <w:spacing w:before="146"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339" w:firstLine="730"/>
        <w:spacing w:before="164" w:line="266"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1"/>
        </w:rPr>
        <w:t>枯病、草坪腐霉枯萎病、冠瘿病、花叶病、丛枝病等；</w:t>
      </w:r>
    </w:p>
    <w:p>
      <w:pPr>
        <w:pStyle w:val="BodyText"/>
        <w:ind w:right="169" w:firstLine="730"/>
        <w:spacing w:before="154" w:line="292" w:lineRule="auto"/>
        <w:rPr>
          <w:sz w:val="29"/>
          <w:szCs w:val="29"/>
        </w:rPr>
      </w:pPr>
      <w:r>
        <w:rPr>
          <w:sz w:val="29"/>
          <w:szCs w:val="29"/>
          <w:spacing w:val="11"/>
        </w:rPr>
        <w:t>(2)虫害：桃一点斑叶蝉、大青叶蝉、朱砂叶螨(棉花红蜘蛛、</w:t>
      </w:r>
      <w:r>
        <w:rPr>
          <w:sz w:val="29"/>
          <w:szCs w:val="29"/>
          <w:spacing w:val="10"/>
        </w:rPr>
        <w:t>红叶螨)、</w:t>
      </w:r>
      <w:r>
        <w:rPr>
          <w:sz w:val="29"/>
          <w:szCs w:val="29"/>
        </w:rPr>
        <w:t xml:space="preserve"> </w:t>
      </w:r>
      <w:r>
        <w:rPr>
          <w:sz w:val="29"/>
          <w:szCs w:val="29"/>
          <w:spacing w:val="1"/>
        </w:rPr>
        <w:t>花蓟马、桑天牛、光肩星天牛、芳香木蠹蛾、白蚁、小</w:t>
      </w:r>
      <w:r>
        <w:rPr>
          <w:sz w:val="29"/>
          <w:szCs w:val="29"/>
        </w:rPr>
        <w:t>青花金龟、铜绿丽金龟、 </w:t>
      </w:r>
      <w:r>
        <w:rPr>
          <w:sz w:val="29"/>
          <w:szCs w:val="29"/>
          <w:spacing w:val="-9"/>
        </w:rPr>
        <w:t>大地老虎、蝼蛄、细胸金针虫、黄刺蛾、丽绿刺蛾、褐</w:t>
      </w:r>
      <w:r>
        <w:rPr>
          <w:sz w:val="29"/>
          <w:szCs w:val="29"/>
          <w:spacing w:val="-10"/>
        </w:rPr>
        <w:t>边绿刺蛾、茶袋蛾、黄尾毒</w:t>
      </w:r>
      <w:r>
        <w:rPr>
          <w:sz w:val="29"/>
          <w:szCs w:val="29"/>
        </w:rPr>
        <w:t xml:space="preserve">  </w:t>
      </w:r>
      <w:r>
        <w:rPr>
          <w:sz w:val="29"/>
          <w:szCs w:val="29"/>
          <w:spacing w:val="-7"/>
        </w:rPr>
        <w:t>蛾、斜纹夜蛾、丝棉木金星尺蛾、国槐尺蛾、绿尾大蚕蛾、柑桔凤蝶、玉带凤蝶、</w:t>
      </w:r>
      <w:r>
        <w:rPr>
          <w:sz w:val="29"/>
          <w:szCs w:val="29"/>
          <w:spacing w:val="2"/>
        </w:rPr>
        <w:t xml:space="preserve"> </w:t>
      </w:r>
      <w:r>
        <w:rPr>
          <w:sz w:val="29"/>
          <w:szCs w:val="29"/>
          <w:spacing w:val="-13"/>
        </w:rPr>
        <w:t>蔷薇三节叶蜂、柳蓝叶甲。</w:t>
      </w:r>
    </w:p>
    <w:p>
      <w:pPr>
        <w:pStyle w:val="BodyText"/>
        <w:ind w:left="570"/>
        <w:spacing w:before="14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right="333" w:firstLine="730"/>
        <w:spacing w:before="146" w:line="260"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6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时花摆放</w:t>
      </w:r>
    </w:p>
    <w:p>
      <w:pPr>
        <w:pStyle w:val="BodyText"/>
        <w:ind w:left="730"/>
        <w:spacing w:before="87" w:line="219" w:lineRule="auto"/>
        <w:rPr>
          <w:sz w:val="29"/>
          <w:szCs w:val="29"/>
        </w:rPr>
      </w:pPr>
      <w:r>
        <w:rPr>
          <w:sz w:val="29"/>
          <w:szCs w:val="29"/>
          <w:spacing w:val="7"/>
        </w:rPr>
        <w:t>(1)月初提交时花需求计划，选择亮色花卉，</w:t>
      </w:r>
      <w:r>
        <w:rPr>
          <w:sz w:val="29"/>
          <w:szCs w:val="29"/>
          <w:spacing w:val="6"/>
        </w:rPr>
        <w:t>安排下旬进场；</w:t>
      </w:r>
    </w:p>
    <w:p>
      <w:pPr>
        <w:spacing w:line="219" w:lineRule="auto"/>
        <w:sectPr>
          <w:footerReference w:type="default" r:id="rId544"/>
          <w:pgSz w:w="14490" w:h="20470"/>
          <w:pgMar w:top="400" w:right="1934" w:bottom="1405" w:left="2150" w:header="0" w:footer="1243"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right="341" w:firstLine="730"/>
        <w:spacing w:before="14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287" w:firstLine="730"/>
        <w:spacing w:before="123" w:line="267"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5"/>
        </w:rPr>
        <w:t>及其它物资；</w:t>
      </w:r>
    </w:p>
    <w:p>
      <w:pPr>
        <w:pStyle w:val="BodyText"/>
        <w:ind w:left="730"/>
        <w:spacing w:before="149" w:line="219" w:lineRule="auto"/>
        <w:rPr>
          <w:sz w:val="29"/>
          <w:szCs w:val="29"/>
        </w:rPr>
      </w:pPr>
      <w:r>
        <w:rPr>
          <w:sz w:val="29"/>
          <w:szCs w:val="29"/>
          <w:spacing w:val="8"/>
        </w:rPr>
        <w:t>(3)进行机械工具的检查维修。</w:t>
      </w:r>
    </w:p>
    <w:p>
      <w:pPr>
        <w:pStyle w:val="BodyText"/>
        <w:ind w:left="570"/>
        <w:spacing w:before="83"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firstLine="570"/>
        <w:spacing w:before="12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6"/>
        </w:rPr>
        <w:t>防盗情况。</w:t>
      </w:r>
    </w:p>
    <w:p>
      <w:pPr>
        <w:spacing w:before="91"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570"/>
        <w:spacing w:before="87" w:line="219" w:lineRule="auto"/>
        <w:rPr>
          <w:sz w:val="29"/>
          <w:szCs w:val="29"/>
        </w:rPr>
      </w:pPr>
      <w:r>
        <w:rPr>
          <w:sz w:val="29"/>
          <w:szCs w:val="29"/>
          <w:spacing w:val="4"/>
        </w:rPr>
        <w:t>气温逐渐变凉，天气干燥，注意水肥管理。</w:t>
      </w:r>
    </w:p>
    <w:p>
      <w:pPr>
        <w:pStyle w:val="BodyText"/>
        <w:ind w:left="570"/>
        <w:spacing w:before="26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54" w:line="219" w:lineRule="auto"/>
        <w:rPr>
          <w:sz w:val="29"/>
          <w:szCs w:val="29"/>
        </w:rPr>
      </w:pPr>
      <w:r>
        <w:rPr>
          <w:sz w:val="29"/>
          <w:szCs w:val="29"/>
          <w:spacing w:val="2"/>
        </w:rPr>
        <w:t>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570"/>
        <w:spacing w:before="166" w:line="219" w:lineRule="auto"/>
        <w:rPr>
          <w:sz w:val="29"/>
          <w:szCs w:val="29"/>
        </w:rPr>
      </w:pPr>
      <w:r>
        <w:rPr>
          <w:sz w:val="29"/>
          <w:szCs w:val="29"/>
        </w:rPr>
        <w:t>进行绿篱及小乔木、灌木的全面修剪。</w:t>
      </w:r>
    </w:p>
    <w:p>
      <w:pPr>
        <w:pStyle w:val="BodyText"/>
        <w:ind w:left="570"/>
        <w:spacing w:before="42"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429"/>
        <w:spacing w:before="148" w:line="219" w:lineRule="auto"/>
        <w:rPr>
          <w:sz w:val="29"/>
          <w:szCs w:val="29"/>
        </w:rPr>
      </w:pPr>
      <w:r>
        <w:rPr>
          <w:sz w:val="29"/>
          <w:szCs w:val="29"/>
          <w:spacing w:val="-2"/>
        </w:rPr>
        <w:t>(1)</w:t>
      </w:r>
      <w:r>
        <w:rPr>
          <w:sz w:val="29"/>
          <w:szCs w:val="29"/>
          <w:spacing w:val="82"/>
        </w:rPr>
        <w:t xml:space="preserve"> </w:t>
      </w:r>
      <w:r>
        <w:rPr>
          <w:sz w:val="29"/>
          <w:szCs w:val="29"/>
          <w:spacing w:val="-2"/>
        </w:rPr>
        <w:t>注意苗木实时浇水，同时也要注意时</w:t>
      </w:r>
      <w:r>
        <w:rPr>
          <w:sz w:val="29"/>
          <w:szCs w:val="29"/>
          <w:spacing w:val="-3"/>
        </w:rPr>
        <w:t>花的适时浇水；</w:t>
      </w:r>
    </w:p>
    <w:p>
      <w:pPr>
        <w:pStyle w:val="BodyText"/>
        <w:ind w:right="489" w:firstLine="429"/>
        <w:spacing w:before="155" w:line="269" w:lineRule="auto"/>
        <w:rPr>
          <w:sz w:val="29"/>
          <w:szCs w:val="29"/>
        </w:rPr>
      </w:pPr>
      <w:r>
        <w:rPr>
          <w:sz w:val="29"/>
          <w:szCs w:val="29"/>
          <w:spacing w:val="-7"/>
        </w:rPr>
        <w:t>(2)以有机复合肥为主，全园区撒播，乔木与大灌木穴施，提高苗木的抗寒、</w:t>
      </w:r>
      <w:r>
        <w:rPr>
          <w:sz w:val="29"/>
          <w:szCs w:val="29"/>
          <w:spacing w:val="14"/>
        </w:rPr>
        <w:t xml:space="preserve"> </w:t>
      </w:r>
      <w:r>
        <w:rPr>
          <w:sz w:val="29"/>
          <w:szCs w:val="29"/>
          <w:spacing w:val="-6"/>
        </w:rPr>
        <w:t>抗病能力；</w:t>
      </w:r>
    </w:p>
    <w:p>
      <w:pPr>
        <w:pStyle w:val="BodyText"/>
        <w:ind w:left="429"/>
        <w:spacing w:before="146" w:line="219" w:lineRule="auto"/>
        <w:rPr>
          <w:sz w:val="29"/>
          <w:szCs w:val="29"/>
        </w:rPr>
      </w:pPr>
      <w:r>
        <w:rPr>
          <w:sz w:val="29"/>
          <w:szCs w:val="29"/>
          <w:spacing w:val="7"/>
        </w:rPr>
        <w:t>(3)月初对耐寒性差的苗木喷植物专用防冻液一次。</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right="339" w:firstLine="730"/>
        <w:spacing w:before="135" w:line="269" w:lineRule="auto"/>
        <w:rPr>
          <w:sz w:val="29"/>
          <w:szCs w:val="29"/>
        </w:rPr>
      </w:pPr>
      <w:r>
        <w:rPr>
          <w:sz w:val="29"/>
          <w:szCs w:val="29"/>
          <w:spacing w:val="6"/>
        </w:rPr>
        <w:t>(1)病害：白粉病、叶斑类病害、锈病、叶枯病、干腐病、冠瘿病、丛枝</w:t>
      </w:r>
      <w:r>
        <w:rPr>
          <w:sz w:val="29"/>
          <w:szCs w:val="29"/>
          <w:spacing w:val="1"/>
        </w:rPr>
        <w:t xml:space="preserve"> </w:t>
      </w:r>
      <w:r>
        <w:rPr>
          <w:sz w:val="29"/>
          <w:szCs w:val="29"/>
          <w:spacing w:val="-10"/>
        </w:rPr>
        <w:t>病等；</w:t>
      </w:r>
    </w:p>
    <w:p>
      <w:pPr>
        <w:pStyle w:val="BodyText"/>
        <w:ind w:right="268" w:firstLine="730"/>
        <w:spacing w:before="144" w:line="281" w:lineRule="auto"/>
        <w:rPr>
          <w:sz w:val="29"/>
          <w:szCs w:val="29"/>
        </w:rPr>
      </w:pPr>
      <w:r>
        <w:rPr>
          <w:sz w:val="29"/>
          <w:szCs w:val="29"/>
          <w:spacing w:val="8"/>
        </w:rPr>
        <w:t>(2)虫害：桃一点斑叶蝉、大青叶蝉、桃粉蚜、桃瘤蚜、桔绿粉虱、光肩</w:t>
      </w:r>
      <w:r>
        <w:rPr>
          <w:sz w:val="29"/>
          <w:szCs w:val="29"/>
          <w:spacing w:val="6"/>
        </w:rPr>
        <w:t xml:space="preserve"> </w:t>
      </w:r>
      <w:r>
        <w:rPr>
          <w:sz w:val="29"/>
          <w:szCs w:val="29"/>
          <w:spacing w:val="-17"/>
        </w:rPr>
        <w:t>星天牛、芳香木蠹蛾、白蚁、小青花金龟、铜绿丽金龟、大地老虎、细胸金针虫、褐</w:t>
      </w:r>
      <w:r>
        <w:rPr>
          <w:sz w:val="29"/>
          <w:szCs w:val="29"/>
          <w:spacing w:val="14"/>
        </w:rPr>
        <w:t xml:space="preserve"> </w:t>
      </w:r>
      <w:r>
        <w:rPr>
          <w:sz w:val="29"/>
          <w:szCs w:val="29"/>
          <w:spacing w:val="2"/>
        </w:rPr>
        <w:t>边绿刺蛾、丝棉木金星尺蛾、柑桔凤蝶、玉带凤蝶、</w:t>
      </w:r>
      <w:r>
        <w:rPr>
          <w:sz w:val="29"/>
          <w:szCs w:val="29"/>
          <w:spacing w:val="1"/>
        </w:rPr>
        <w:t>蔷薇三节叶蜂等。</w:t>
      </w:r>
    </w:p>
    <w:p>
      <w:pPr>
        <w:pStyle w:val="BodyText"/>
        <w:ind w:left="570"/>
        <w:spacing w:before="13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6" w:line="263"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pStyle w:val="BodyText"/>
        <w:ind w:left="570"/>
        <w:spacing w:before="14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spacing w:line="395" w:lineRule="exact"/>
        <w:sectPr>
          <w:footerReference w:type="default" r:id="rId545"/>
          <w:pgSz w:w="14490" w:h="20470"/>
          <w:pgMar w:top="400" w:right="1935" w:bottom="1405" w:left="2150" w:header="0" w:footer="1243"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7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90" w:firstLine="570"/>
        <w:spacing w:before="175" w:line="317"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37"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116" w:line="219" w:lineRule="auto"/>
        <w:rPr>
          <w:sz w:val="29"/>
          <w:szCs w:val="29"/>
        </w:rPr>
      </w:pPr>
      <w:r>
        <w:rPr>
          <w:sz w:val="29"/>
          <w:szCs w:val="29"/>
          <w:spacing w:val="4"/>
        </w:rPr>
        <w:t>气温继续下降，有雨雪出现，注意防寒浇冻水。</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43" w:line="219" w:lineRule="auto"/>
        <w:rPr>
          <w:sz w:val="29"/>
          <w:szCs w:val="29"/>
        </w:rPr>
      </w:pPr>
      <w:r>
        <w:rPr>
          <w:sz w:val="29"/>
          <w:szCs w:val="29"/>
          <w:spacing w:val="6"/>
        </w:rPr>
        <w:t>(1)检查防寒设施的完好情况，发现破损立即修补；</w:t>
      </w:r>
    </w:p>
    <w:p>
      <w:pPr>
        <w:pStyle w:val="BodyText"/>
        <w:ind w:left="730"/>
        <w:spacing w:before="146" w:line="219" w:lineRule="auto"/>
        <w:rPr>
          <w:sz w:val="29"/>
          <w:szCs w:val="29"/>
        </w:rPr>
      </w:pPr>
      <w:r>
        <w:rPr>
          <w:sz w:val="29"/>
          <w:szCs w:val="29"/>
          <w:spacing w:val="8"/>
        </w:rPr>
        <w:t>(2)及时检查乔木支撑情况，发现松动或缺失立即加固。</w:t>
      </w:r>
    </w:p>
    <w:p>
      <w:pPr>
        <w:ind w:left="570"/>
        <w:spacing w:before="12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350" w:firstLine="570"/>
        <w:spacing w:before="144" w:line="310" w:lineRule="auto"/>
        <w:rPr>
          <w:sz w:val="29"/>
          <w:szCs w:val="29"/>
        </w:rPr>
      </w:pPr>
      <w:r>
        <w:rPr>
          <w:sz w:val="29"/>
          <w:szCs w:val="29"/>
        </w:rPr>
        <w:t>对落叶树木的整形修剪工作，根据各种树木的树</w:t>
      </w:r>
      <w:r>
        <w:rPr>
          <w:sz w:val="29"/>
          <w:szCs w:val="29"/>
          <w:spacing w:val="-1"/>
        </w:rPr>
        <w:t>龄、生长习性、树型特点做</w:t>
      </w:r>
      <w:r>
        <w:rPr>
          <w:sz w:val="29"/>
          <w:szCs w:val="29"/>
        </w:rPr>
        <w:t xml:space="preserve"> </w:t>
      </w:r>
      <w:r>
        <w:rPr>
          <w:sz w:val="29"/>
          <w:szCs w:val="29"/>
          <w:spacing w:val="-8"/>
        </w:rPr>
        <w:t>到有针对性的修剪。去除病虫枝、枯死枝、徒长枝、交叉枝</w:t>
      </w:r>
      <w:r>
        <w:rPr>
          <w:sz w:val="29"/>
          <w:szCs w:val="29"/>
          <w:spacing w:val="-9"/>
        </w:rPr>
        <w:t>等在本地耐寒性弱的苗</w:t>
      </w:r>
      <w:r>
        <w:rPr>
          <w:sz w:val="29"/>
          <w:szCs w:val="29"/>
        </w:rPr>
        <w:t xml:space="preserve"> </w:t>
      </w:r>
      <w:r>
        <w:rPr>
          <w:sz w:val="29"/>
          <w:szCs w:val="29"/>
          <w:spacing w:val="4"/>
        </w:rPr>
        <w:t>木改为春季回暖后修剪.冬季易有流伤的植物如槭树科中的大多数，在晚秋</w:t>
      </w:r>
      <w:r>
        <w:rPr>
          <w:sz w:val="29"/>
          <w:szCs w:val="29"/>
          <w:spacing w:val="3"/>
        </w:rPr>
        <w:t>落叶</w:t>
      </w:r>
      <w:r>
        <w:rPr>
          <w:sz w:val="29"/>
          <w:szCs w:val="29"/>
        </w:rPr>
        <w:t xml:space="preserve"> </w:t>
      </w:r>
      <w:r>
        <w:rPr>
          <w:sz w:val="29"/>
          <w:szCs w:val="29"/>
          <w:spacing w:val="-1"/>
        </w:rPr>
        <w:t>时或春季新芽膨大时修剪。</w:t>
      </w:r>
    </w:p>
    <w:p>
      <w:pPr>
        <w:pStyle w:val="BodyText"/>
        <w:ind w:left="570"/>
        <w:spacing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440" w:firstLine="730"/>
        <w:spacing w:before="107" w:line="269" w:lineRule="auto"/>
        <w:rPr>
          <w:sz w:val="29"/>
          <w:szCs w:val="29"/>
        </w:rPr>
      </w:pPr>
      <w:r>
        <w:rPr>
          <w:sz w:val="29"/>
          <w:szCs w:val="29"/>
          <w:spacing w:val="5"/>
        </w:rPr>
        <w:t>(1)在封冻前完成冬灌工作，并在浇完冻水后封树穴，11月底完成。注：</w:t>
      </w:r>
      <w:r>
        <w:rPr>
          <w:sz w:val="29"/>
          <w:szCs w:val="29"/>
          <w:spacing w:val="18"/>
        </w:rPr>
        <w:t xml:space="preserve"> </w:t>
      </w:r>
      <w:r>
        <w:rPr>
          <w:sz w:val="29"/>
          <w:szCs w:val="29"/>
          <w:spacing w:val="1"/>
        </w:rPr>
        <w:t>封冻水对植物安然越冬意义重大，必须浇透；</w:t>
      </w:r>
    </w:p>
    <w:p>
      <w:pPr>
        <w:pStyle w:val="BodyText"/>
        <w:ind w:right="431" w:firstLine="730"/>
        <w:spacing w:before="156" w:line="263" w:lineRule="auto"/>
        <w:rPr>
          <w:sz w:val="29"/>
          <w:szCs w:val="29"/>
        </w:rPr>
      </w:pPr>
      <w:r>
        <w:rPr>
          <w:sz w:val="29"/>
          <w:szCs w:val="29"/>
          <w:spacing w:val="6"/>
        </w:rPr>
        <w:t>(2)对于有新栽植的苗木，要做好防寒、灌封冻水等措施，保证新栽植苗</w:t>
      </w:r>
      <w:r>
        <w:rPr>
          <w:sz w:val="29"/>
          <w:szCs w:val="29"/>
        </w:rPr>
        <w:t xml:space="preserve"> </w:t>
      </w:r>
      <w:r>
        <w:rPr>
          <w:sz w:val="29"/>
          <w:szCs w:val="29"/>
          <w:spacing w:val="2"/>
        </w:rPr>
        <w:t>木安全越冬。</w:t>
      </w:r>
    </w:p>
    <w:p>
      <w:pPr>
        <w:pStyle w:val="BodyText"/>
        <w:ind w:left="570"/>
        <w:spacing w:before="171"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06" w:line="219" w:lineRule="auto"/>
        <w:rPr>
          <w:sz w:val="29"/>
          <w:szCs w:val="29"/>
        </w:rPr>
      </w:pPr>
      <w:r>
        <w:rPr>
          <w:sz w:val="29"/>
          <w:szCs w:val="29"/>
          <w:spacing w:val="6"/>
        </w:rPr>
        <w:t>(1)病害：白粉病、叶斑类病害、叶枯病等；</w:t>
      </w:r>
    </w:p>
    <w:p>
      <w:pPr>
        <w:pStyle w:val="BodyText"/>
        <w:ind w:right="407" w:firstLine="730"/>
        <w:spacing w:before="154" w:line="266" w:lineRule="auto"/>
        <w:rPr>
          <w:sz w:val="29"/>
          <w:szCs w:val="29"/>
        </w:rPr>
      </w:pPr>
      <w:r>
        <w:rPr>
          <w:sz w:val="29"/>
          <w:szCs w:val="29"/>
          <w:spacing w:val="7"/>
        </w:rPr>
        <w:t>(2)虫害：大青叶蝉、桃粉蚜、桔绿粉虱、光肩星</w:t>
      </w:r>
      <w:r>
        <w:rPr>
          <w:sz w:val="29"/>
          <w:szCs w:val="29"/>
          <w:spacing w:val="6"/>
        </w:rPr>
        <w:t>天牛、芳香木蠹蛾、白</w:t>
      </w:r>
      <w:r>
        <w:rPr>
          <w:sz w:val="29"/>
          <w:szCs w:val="29"/>
        </w:rPr>
        <w:t xml:space="preserve"> </w:t>
      </w:r>
      <w:r>
        <w:rPr>
          <w:sz w:val="29"/>
          <w:szCs w:val="29"/>
          <w:spacing w:val="-4"/>
        </w:rPr>
        <w:t>蚁等。</w:t>
      </w:r>
    </w:p>
    <w:p>
      <w:pPr>
        <w:pStyle w:val="BodyText"/>
        <w:ind w:left="570"/>
        <w:spacing w:before="127"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pStyle w:val="BodyText"/>
        <w:ind w:right="429" w:firstLine="730"/>
        <w:spacing w:before="10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right="423" w:firstLine="730"/>
        <w:spacing w:before="156" w:line="263"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9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453" w:firstLine="570"/>
        <w:spacing w:before="146" w:line="301" w:lineRule="auto"/>
        <w:rPr>
          <w:sz w:val="29"/>
          <w:szCs w:val="29"/>
        </w:rPr>
      </w:pPr>
      <w:r>
        <w:rPr>
          <w:sz w:val="29"/>
          <w:szCs w:val="29"/>
          <w:spacing w:val="-3"/>
        </w:rPr>
        <w:t>每天绿化工人在保洁的同时要注意行人随意丢弃烟头现象，并对其进行防火</w:t>
      </w:r>
      <w:r>
        <w:rPr>
          <w:sz w:val="29"/>
          <w:szCs w:val="29"/>
        </w:rPr>
        <w:t xml:space="preserve"> </w:t>
      </w:r>
      <w:r>
        <w:rPr>
          <w:sz w:val="29"/>
          <w:szCs w:val="29"/>
          <w:spacing w:val="-10"/>
        </w:rPr>
        <w:t>教育，加强防火意识。及时清扫落叶、树挂，消除火灾隐患。同时</w:t>
      </w:r>
      <w:r>
        <w:rPr>
          <w:sz w:val="29"/>
          <w:szCs w:val="29"/>
          <w:spacing w:val="-11"/>
        </w:rPr>
        <w:t>注意库房的防</w:t>
      </w:r>
    </w:p>
    <w:p>
      <w:pPr>
        <w:spacing w:line="301" w:lineRule="auto"/>
        <w:sectPr>
          <w:footerReference w:type="default" r:id="rId546"/>
          <w:pgSz w:w="14490" w:h="20470"/>
          <w:pgMar w:top="400" w:right="1844" w:bottom="1405" w:left="2150" w:header="0" w:footer="1243"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2"/>
        </w:rPr>
        <w:t>火、防盗情况。</w:t>
      </w:r>
    </w:p>
    <w:p>
      <w:pPr>
        <w:spacing w:before="146" w:line="223" w:lineRule="auto"/>
        <w:rPr>
          <w:rFonts w:ascii="SimHei" w:hAnsi="SimHei" w:eastAsia="SimHei" w:cs="SimHei"/>
          <w:sz w:val="29"/>
          <w:szCs w:val="29"/>
        </w:rPr>
      </w:pPr>
      <w:r>
        <w:rPr>
          <w:rFonts w:ascii="SimHei" w:hAnsi="SimHei" w:eastAsia="SimHei" w:cs="SimHei"/>
          <w:sz w:val="29"/>
          <w:szCs w:val="29"/>
          <w:spacing w:val="4"/>
        </w:rPr>
        <w:t>十二月份</w:t>
      </w:r>
    </w:p>
    <w:p>
      <w:pPr>
        <w:pStyle w:val="BodyText"/>
        <w:ind w:left="570"/>
        <w:spacing w:before="209" w:line="219" w:lineRule="auto"/>
        <w:rPr>
          <w:sz w:val="29"/>
          <w:szCs w:val="29"/>
        </w:rPr>
      </w:pPr>
      <w:r>
        <w:rPr>
          <w:sz w:val="29"/>
          <w:szCs w:val="29"/>
          <w:spacing w:val="7"/>
        </w:rPr>
        <w:t>低气温，开始冬季养护工作。</w:t>
      </w:r>
    </w:p>
    <w:p>
      <w:pPr>
        <w:pStyle w:val="BodyText"/>
        <w:ind w:left="570"/>
        <w:spacing w:before="233"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33" w:line="219" w:lineRule="auto"/>
        <w:rPr>
          <w:sz w:val="29"/>
          <w:szCs w:val="29"/>
        </w:rPr>
      </w:pPr>
      <w:r>
        <w:rPr>
          <w:sz w:val="29"/>
          <w:szCs w:val="29"/>
          <w:spacing w:val="6"/>
        </w:rPr>
        <w:t>(1)检查防寒设施的完好情况，发现破损立即修补；</w:t>
      </w:r>
    </w:p>
    <w:p>
      <w:pPr>
        <w:pStyle w:val="BodyText"/>
        <w:ind w:left="730"/>
        <w:spacing w:before="166" w:line="219" w:lineRule="auto"/>
        <w:rPr>
          <w:sz w:val="29"/>
          <w:szCs w:val="29"/>
        </w:rPr>
      </w:pPr>
      <w:r>
        <w:rPr>
          <w:sz w:val="29"/>
          <w:szCs w:val="29"/>
          <w:spacing w:val="6"/>
        </w:rPr>
        <w:t>(2)及时检查乔木支撑情况，发现松动或缺失立即加固。</w:t>
      </w:r>
    </w:p>
    <w:p>
      <w:pPr>
        <w:ind w:left="570"/>
        <w:spacing w:before="10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66" w:firstLine="570"/>
        <w:spacing w:before="132" w:line="311" w:lineRule="auto"/>
        <w:rPr>
          <w:sz w:val="29"/>
          <w:szCs w:val="29"/>
        </w:rPr>
      </w:pPr>
      <w:r>
        <w:rPr>
          <w:sz w:val="29"/>
          <w:szCs w:val="29"/>
        </w:rPr>
        <w:t>对落叶树木的整形修剪工作，根据各种树木的树</w:t>
      </w:r>
      <w:r>
        <w:rPr>
          <w:sz w:val="29"/>
          <w:szCs w:val="29"/>
          <w:spacing w:val="-1"/>
        </w:rPr>
        <w:t>龄、生长习性、树型特点做</w:t>
      </w:r>
      <w:r>
        <w:rPr>
          <w:sz w:val="29"/>
          <w:szCs w:val="29"/>
        </w:rPr>
        <w:t xml:space="preserve"> </w:t>
      </w:r>
      <w:r>
        <w:rPr>
          <w:sz w:val="29"/>
          <w:szCs w:val="29"/>
          <w:spacing w:val="-8"/>
        </w:rPr>
        <w:t>到有针对性的修剪。去除病虫枝、枯死枝、徒长枝、交叉枝等在本地耐寒性弱的苗</w:t>
      </w:r>
      <w:r>
        <w:rPr>
          <w:sz w:val="29"/>
          <w:szCs w:val="29"/>
        </w:rPr>
        <w:t xml:space="preserve"> </w:t>
      </w:r>
      <w:r>
        <w:rPr>
          <w:sz w:val="29"/>
          <w:szCs w:val="29"/>
          <w:spacing w:val="4"/>
        </w:rPr>
        <w:t>木改为春季回暖后修剪.冬季易有流伤的植物如槭树科中的大多数，在晚秋落叶</w:t>
      </w:r>
      <w:r>
        <w:rPr>
          <w:sz w:val="29"/>
          <w:szCs w:val="29"/>
          <w:spacing w:val="9"/>
        </w:rPr>
        <w:t xml:space="preserve"> </w:t>
      </w:r>
      <w:r>
        <w:rPr>
          <w:sz w:val="29"/>
          <w:szCs w:val="29"/>
          <w:spacing w:val="-2"/>
        </w:rPr>
        <w:t>时或春季新芽膨大时修剪。</w:t>
      </w:r>
    </w:p>
    <w:p>
      <w:pPr>
        <w:ind w:left="570"/>
        <w:spacing w:before="55"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right="166" w:firstLine="730"/>
        <w:spacing w:before="102" w:line="266" w:lineRule="auto"/>
        <w:rPr>
          <w:sz w:val="29"/>
          <w:szCs w:val="29"/>
        </w:rPr>
      </w:pPr>
      <w:r>
        <w:rPr>
          <w:sz w:val="29"/>
          <w:szCs w:val="29"/>
          <w:spacing w:val="5"/>
        </w:rPr>
        <w:t>(1)在封冻前完成冬灌工作，并在浇完冻水后封树穴，11月底完成。注：</w:t>
      </w:r>
      <w:r>
        <w:rPr>
          <w:sz w:val="29"/>
          <w:szCs w:val="29"/>
          <w:spacing w:val="18"/>
        </w:rPr>
        <w:t xml:space="preserve"> </w:t>
      </w:r>
      <w:r>
        <w:rPr>
          <w:sz w:val="29"/>
          <w:szCs w:val="29"/>
          <w:spacing w:val="-2"/>
        </w:rPr>
        <w:t>封冻水对植物安然越冬意义重大，必须浇透；</w:t>
      </w:r>
    </w:p>
    <w:p>
      <w:pPr>
        <w:pStyle w:val="BodyText"/>
        <w:ind w:right="157" w:firstLine="730"/>
        <w:spacing w:before="133" w:line="270" w:lineRule="auto"/>
        <w:rPr>
          <w:sz w:val="29"/>
          <w:szCs w:val="29"/>
        </w:rPr>
      </w:pPr>
      <w:r>
        <w:rPr>
          <w:sz w:val="29"/>
          <w:szCs w:val="29"/>
          <w:spacing w:val="6"/>
        </w:rPr>
        <w:t>(2)对于有新栽植的苗木，要做好防寒、灌封冻水等措施，保证新栽植苗</w:t>
      </w:r>
      <w:r>
        <w:rPr>
          <w:sz w:val="29"/>
          <w:szCs w:val="29"/>
        </w:rPr>
        <w:t xml:space="preserve"> </w:t>
      </w:r>
      <w:r>
        <w:rPr>
          <w:sz w:val="29"/>
          <w:szCs w:val="29"/>
          <w:spacing w:val="-4"/>
        </w:rPr>
        <w:t>木安全越冬。</w:t>
      </w:r>
    </w:p>
    <w:p>
      <w:pPr>
        <w:pStyle w:val="BodyText"/>
        <w:ind w:left="570"/>
        <w:spacing w:before="208" w:line="224" w:lineRule="auto"/>
        <w:rPr>
          <w:rFonts w:ascii="SimHei" w:hAnsi="SimHei" w:eastAsia="SimHei" w:cs="SimHei"/>
          <w:sz w:val="29"/>
          <w:szCs w:val="29"/>
        </w:rPr>
      </w:pPr>
      <w:r>
        <w:rPr>
          <w:rFonts w:ascii="Arial" w:hAnsi="Arial" w:eastAsia="Arial" w:cs="Arial"/>
          <w:sz w:val="29"/>
          <w:szCs w:val="29"/>
          <w:spacing w:val="6"/>
        </w:rPr>
        <w:t>4</w:t>
      </w:r>
      <w:r>
        <w:rPr>
          <w:sz w:val="29"/>
          <w:szCs w:val="29"/>
          <w:spacing w:val="6"/>
        </w:rPr>
        <w:t>、</w:t>
      </w:r>
      <w:r>
        <w:rPr>
          <w:rFonts w:ascii="SimHei" w:hAnsi="SimHei" w:eastAsia="SimHei" w:cs="SimHei"/>
          <w:sz w:val="29"/>
          <w:szCs w:val="29"/>
          <w:spacing w:val="6"/>
        </w:rPr>
        <w:t>保洁</w:t>
      </w:r>
    </w:p>
    <w:p>
      <w:pPr>
        <w:pStyle w:val="BodyText"/>
        <w:ind w:right="156" w:firstLine="730"/>
        <w:spacing w:before="9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150" w:firstLine="730"/>
        <w:spacing w:before="137" w:line="266"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0"/>
        </w:rPr>
        <w:t>售展示区)进行彻底清理；</w:t>
      </w:r>
    </w:p>
    <w:p>
      <w:pPr>
        <w:pStyle w:val="BodyText"/>
        <w:ind w:right="108" w:firstLine="730"/>
        <w:spacing w:before="15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5"/>
        </w:rPr>
        <w:t>元门及销售中心清理完毕，剩余残雪在3天内清理完毕，沿路两侧要堆雪造</w:t>
      </w:r>
      <w:r>
        <w:rPr>
          <w:sz w:val="29"/>
          <w:szCs w:val="29"/>
          <w:spacing w:val="-6"/>
        </w:rPr>
        <w:t>型；冰</w:t>
      </w:r>
      <w:r>
        <w:rPr>
          <w:sz w:val="29"/>
          <w:szCs w:val="29"/>
        </w:rPr>
        <w:t xml:space="preserve"> </w:t>
      </w:r>
      <w:r>
        <w:rPr>
          <w:sz w:val="29"/>
          <w:szCs w:val="29"/>
          <w:spacing w:val="1"/>
        </w:rPr>
        <w:t>雪融化后露出的垃圾、废弃物的全面清理。</w:t>
      </w:r>
    </w:p>
    <w:p>
      <w:pPr>
        <w:pStyle w:val="BodyText"/>
        <w:ind w:left="570"/>
        <w:spacing w:before="113" w:line="395" w:lineRule="exact"/>
        <w:rPr>
          <w:rFonts w:ascii="SimHei" w:hAnsi="SimHei" w:eastAsia="SimHei" w:cs="SimHei"/>
          <w:sz w:val="29"/>
          <w:szCs w:val="29"/>
        </w:rPr>
      </w:pPr>
      <w:r>
        <w:rPr>
          <w:rFonts w:ascii="Arial" w:hAnsi="Arial" w:eastAsia="Arial" w:cs="Arial"/>
          <w:sz w:val="29"/>
          <w:szCs w:val="29"/>
          <w:spacing w:val="6"/>
          <w:position w:val="1"/>
        </w:rPr>
        <w:t>5</w:t>
      </w:r>
      <w:r>
        <w:rPr>
          <w:sz w:val="29"/>
          <w:szCs w:val="29"/>
          <w:spacing w:val="6"/>
          <w:position w:val="1"/>
        </w:rPr>
        <w:t>、</w:t>
      </w:r>
      <w:r>
        <w:rPr>
          <w:rFonts w:ascii="SimHei" w:hAnsi="SimHei" w:eastAsia="SimHei" w:cs="SimHei"/>
          <w:sz w:val="29"/>
          <w:szCs w:val="29"/>
          <w:spacing w:val="6"/>
          <w:position w:val="1"/>
        </w:rPr>
        <w:t>时花摆放</w:t>
      </w:r>
    </w:p>
    <w:p>
      <w:pPr>
        <w:pStyle w:val="BodyText"/>
        <w:ind w:left="730"/>
        <w:spacing w:before="127" w:line="219" w:lineRule="auto"/>
        <w:rPr>
          <w:sz w:val="29"/>
          <w:szCs w:val="29"/>
        </w:rPr>
      </w:pPr>
      <w:r>
        <w:rPr>
          <w:sz w:val="29"/>
          <w:szCs w:val="29"/>
          <w:spacing w:val="5"/>
        </w:rPr>
        <w:t>(1)月初提交时花需求计划，选择亮色花卉，安排下旬进场；</w:t>
      </w:r>
    </w:p>
    <w:p>
      <w:pPr>
        <w:pStyle w:val="BodyText"/>
        <w:ind w:left="730"/>
        <w:spacing w:before="136" w:line="219" w:lineRule="auto"/>
        <w:rPr>
          <w:sz w:val="29"/>
          <w:szCs w:val="29"/>
        </w:rPr>
      </w:pPr>
      <w:r>
        <w:rPr>
          <w:sz w:val="29"/>
          <w:szCs w:val="29"/>
          <w:spacing w:val="6"/>
        </w:rPr>
        <w:t>(2)月底将时花摆放完毕，注意摆放外侧避免黑色塑料盆出现。</w:t>
      </w:r>
    </w:p>
    <w:p>
      <w:pPr>
        <w:ind w:left="570"/>
        <w:spacing w:before="105"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right="157" w:firstLine="730"/>
        <w:spacing w:before="15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127" w:firstLine="730"/>
        <w:spacing w:before="131" w:line="272" w:lineRule="auto"/>
        <w:rPr>
          <w:sz w:val="29"/>
          <w:szCs w:val="29"/>
        </w:rPr>
      </w:pPr>
      <w:r>
        <w:rPr>
          <w:sz w:val="29"/>
          <w:szCs w:val="29"/>
          <w:spacing w:val="2"/>
        </w:rPr>
        <w:t>(2)根据现场的实际情况，申请购置翌年1、2、3月份的农药、化肥、营养</w:t>
      </w:r>
      <w:r>
        <w:rPr>
          <w:sz w:val="29"/>
          <w:szCs w:val="29"/>
          <w:spacing w:val="12"/>
        </w:rPr>
        <w:t xml:space="preserve"> </w:t>
      </w:r>
      <w:r>
        <w:rPr>
          <w:sz w:val="29"/>
          <w:szCs w:val="29"/>
        </w:rPr>
        <w:t>剂及其它物资。</w:t>
      </w:r>
    </w:p>
    <w:p>
      <w:pPr>
        <w:pStyle w:val="BodyText"/>
        <w:ind w:left="570"/>
        <w:spacing w:before="165"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spacing w:before="106" w:line="219" w:lineRule="auto"/>
        <w:jc w:val="right"/>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547"/>
          <w:pgSz w:w="14490" w:h="20470"/>
          <w:pgMar w:top="400" w:right="2118" w:bottom="1405" w:left="2150" w:header="0" w:footer="1243"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8" w:hanging="9"/>
        <w:spacing w:before="94" w:line="322" w:lineRule="auto"/>
        <w:rPr>
          <w:sz w:val="29"/>
          <w:szCs w:val="29"/>
        </w:rPr>
      </w:pPr>
      <w:r>
        <w:rPr>
          <w:sz w:val="29"/>
          <w:szCs w:val="29"/>
          <w:spacing w:val="-9"/>
        </w:rPr>
        <w:t>教育，加强防火意识。及时清扫落叶、树挂，消除火灾隐患。同时注意库房的防火、</w:t>
      </w:r>
      <w:r>
        <w:rPr>
          <w:sz w:val="29"/>
          <w:szCs w:val="29"/>
          <w:spacing w:val="6"/>
        </w:rPr>
        <w:t xml:space="preserve"> </w:t>
      </w:r>
      <w:r>
        <w:rPr>
          <w:sz w:val="29"/>
          <w:szCs w:val="29"/>
          <w:spacing w:val="-4"/>
        </w:rPr>
        <w:t>防盗情况。</w:t>
      </w:r>
    </w:p>
    <w:p>
      <w:pPr>
        <w:spacing w:line="322" w:lineRule="auto"/>
        <w:sectPr>
          <w:footerReference w:type="default" r:id="rId548"/>
          <w:pgSz w:w="14490" w:h="20470"/>
          <w:pgMar w:top="400" w:right="1935" w:bottom="1405" w:left="2150" w:header="0" w:footer="1243"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4510"/>
        <w:spacing w:before="94" w:line="223" w:lineRule="auto"/>
        <w:outlineLvl w:val="1"/>
        <w:rPr>
          <w:rFonts w:ascii="SimHei" w:hAnsi="SimHei" w:eastAsia="SimHei" w:cs="SimHei"/>
          <w:sz w:val="29"/>
          <w:szCs w:val="29"/>
        </w:rPr>
      </w:pPr>
      <w:bookmarkStart w:name="bookmark127" w:id="111"/>
      <w:bookmarkEnd w:id="111"/>
      <w:bookmarkStart w:name="bookmark63" w:id="112"/>
      <w:bookmarkEnd w:id="112"/>
      <w:r>
        <w:rPr>
          <w:rFonts w:ascii="SimHei" w:hAnsi="SimHei" w:eastAsia="SimHei" w:cs="SimHei"/>
          <w:sz w:val="29"/>
          <w:szCs w:val="29"/>
          <w:spacing w:val="6"/>
        </w:rPr>
        <w:t>山东地区</w:t>
      </w:r>
    </w:p>
    <w:p>
      <w:pPr>
        <w:spacing w:before="177" w:line="223" w:lineRule="auto"/>
        <w:rPr>
          <w:rFonts w:ascii="FangSong" w:hAnsi="FangSong" w:eastAsia="FangSong" w:cs="FangSong"/>
          <w:sz w:val="32"/>
          <w:szCs w:val="32"/>
        </w:rPr>
      </w:pPr>
      <w:r>
        <w:rPr>
          <w:rFonts w:ascii="STXingkai" w:hAnsi="STXingkai" w:eastAsia="STXingkai" w:cs="STXingkai"/>
          <w:sz w:val="32"/>
          <w:szCs w:val="32"/>
          <w:spacing w:val="-27"/>
        </w:rPr>
        <w:t>一 、</w:t>
      </w:r>
      <w:r>
        <w:rPr>
          <w:rFonts w:ascii="FangSong" w:hAnsi="FangSong" w:eastAsia="FangSong" w:cs="FangSong"/>
          <w:sz w:val="32"/>
          <w:szCs w:val="32"/>
          <w:spacing w:val="-27"/>
        </w:rPr>
        <w:t>二月份</w:t>
      </w:r>
    </w:p>
    <w:p>
      <w:pPr>
        <w:pStyle w:val="BodyText"/>
        <w:ind w:left="560"/>
        <w:spacing w:before="86" w:line="219" w:lineRule="auto"/>
        <w:rPr>
          <w:sz w:val="29"/>
          <w:szCs w:val="29"/>
        </w:rPr>
      </w:pPr>
      <w:r>
        <w:rPr>
          <w:sz w:val="29"/>
          <w:szCs w:val="29"/>
          <w:spacing w:val="4"/>
        </w:rPr>
        <w:t>全年中气温最低的月份，重点是修剪和保洁。</w:t>
      </w:r>
    </w:p>
    <w:p>
      <w:pPr>
        <w:pStyle w:val="BodyText"/>
        <w:ind w:left="560"/>
        <w:spacing w:before="263"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20"/>
        <w:spacing w:before="173" w:line="219" w:lineRule="auto"/>
        <w:rPr>
          <w:sz w:val="29"/>
          <w:szCs w:val="29"/>
        </w:rPr>
      </w:pPr>
      <w:r>
        <w:rPr>
          <w:sz w:val="29"/>
          <w:szCs w:val="29"/>
          <w:spacing w:val="6"/>
        </w:rPr>
        <w:t>(1)检查防寒设施的完好情况，发现破损立即修补；</w:t>
      </w:r>
    </w:p>
    <w:p>
      <w:pPr>
        <w:pStyle w:val="BodyText"/>
        <w:ind w:left="720"/>
        <w:spacing w:before="136" w:line="219" w:lineRule="auto"/>
        <w:rPr>
          <w:sz w:val="29"/>
          <w:szCs w:val="29"/>
        </w:rPr>
      </w:pPr>
      <w:r>
        <w:rPr>
          <w:sz w:val="29"/>
          <w:szCs w:val="29"/>
          <w:spacing w:val="7"/>
        </w:rPr>
        <w:t>(2)及时检查乔木支撑情况，发现松动或缺失立即加固。</w:t>
      </w:r>
    </w:p>
    <w:p>
      <w:pPr>
        <w:pStyle w:val="BodyText"/>
        <w:ind w:left="560"/>
        <w:spacing w:before="103" w:line="221" w:lineRule="auto"/>
        <w:rPr>
          <w:rFonts w:ascii="SimHei" w:hAnsi="SimHei" w:eastAsia="SimHei" w:cs="SimHei"/>
          <w:sz w:val="29"/>
          <w:szCs w:val="29"/>
        </w:rPr>
      </w:pPr>
      <w:r>
        <w:rPr>
          <w:rFonts w:ascii="Arial" w:hAnsi="Arial" w:eastAsia="Arial" w:cs="Arial"/>
          <w:sz w:val="29"/>
          <w:szCs w:val="29"/>
          <w:spacing w:val="7"/>
        </w:rPr>
        <w:t>2</w:t>
      </w:r>
      <w:r>
        <w:rPr>
          <w:sz w:val="29"/>
          <w:szCs w:val="29"/>
          <w:spacing w:val="7"/>
        </w:rPr>
        <w:t>、</w:t>
      </w:r>
      <w:r>
        <w:rPr>
          <w:rFonts w:ascii="SimHei" w:hAnsi="SimHei" w:eastAsia="SimHei" w:cs="SimHei"/>
          <w:sz w:val="29"/>
          <w:szCs w:val="29"/>
          <w:spacing w:val="7"/>
        </w:rPr>
        <w:t>病虫害防治</w:t>
      </w:r>
    </w:p>
    <w:p>
      <w:pPr>
        <w:pStyle w:val="BodyText"/>
        <w:ind w:left="560"/>
        <w:spacing w:before="164" w:line="219" w:lineRule="auto"/>
        <w:rPr>
          <w:sz w:val="29"/>
          <w:szCs w:val="29"/>
        </w:rPr>
      </w:pPr>
      <w:r>
        <w:rPr>
          <w:sz w:val="29"/>
          <w:szCs w:val="29"/>
        </w:rPr>
        <w:t>本月下旬全园区常规消杀1次。</w:t>
      </w:r>
    </w:p>
    <w:p>
      <w:pPr>
        <w:pStyle w:val="BodyText"/>
        <w:ind w:left="560"/>
        <w:spacing w:before="49"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保洁</w:t>
      </w:r>
    </w:p>
    <w:p>
      <w:pPr>
        <w:pStyle w:val="BodyText"/>
        <w:ind w:right="410" w:firstLine="720"/>
        <w:spacing w:before="143" w:line="265"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403" w:firstLine="720"/>
        <w:spacing w:before="166" w:line="260"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0"/>
        </w:rPr>
        <w:t>售展示区)进行彻底清理；</w:t>
      </w:r>
    </w:p>
    <w:p>
      <w:pPr>
        <w:pStyle w:val="BodyText"/>
        <w:ind w:right="321" w:firstLine="720"/>
        <w:spacing w:before="165"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
        </w:rPr>
        <w:t xml:space="preserve"> </w:t>
      </w:r>
      <w:r>
        <w:rPr>
          <w:sz w:val="29"/>
          <w:szCs w:val="29"/>
        </w:rPr>
        <w:t>雪融化后露出的垃圾、废弃物的全面清理。</w:t>
      </w:r>
    </w:p>
    <w:p>
      <w:pPr>
        <w:ind w:left="560"/>
        <w:spacing w:before="206" w:line="222" w:lineRule="auto"/>
        <w:rPr>
          <w:rFonts w:ascii="SimHei" w:hAnsi="SimHei" w:eastAsia="SimHei" w:cs="SimHei"/>
          <w:sz w:val="28"/>
          <w:szCs w:val="28"/>
        </w:rPr>
      </w:pPr>
      <w:r>
        <w:rPr>
          <w:rFonts w:ascii="SimHei" w:hAnsi="SimHei" w:eastAsia="SimHei" w:cs="SimHei"/>
          <w:sz w:val="28"/>
          <w:szCs w:val="28"/>
          <w:spacing w:val="11"/>
        </w:rPr>
        <w:t>4、</w:t>
      </w:r>
      <w:r>
        <w:rPr>
          <w:rFonts w:ascii="SimHei" w:hAnsi="SimHei" w:eastAsia="SimHei" w:cs="SimHei"/>
          <w:sz w:val="28"/>
          <w:szCs w:val="28"/>
          <w:spacing w:val="-67"/>
        </w:rPr>
        <w:t xml:space="preserve"> </w:t>
      </w:r>
      <w:r>
        <w:rPr>
          <w:rFonts w:ascii="SimHei" w:hAnsi="SimHei" w:eastAsia="SimHei" w:cs="SimHei"/>
          <w:sz w:val="28"/>
          <w:szCs w:val="28"/>
          <w:spacing w:val="11"/>
        </w:rPr>
        <w:t>时花摆放</w:t>
      </w:r>
    </w:p>
    <w:p>
      <w:pPr>
        <w:pStyle w:val="BodyText"/>
        <w:ind w:right="643" w:firstLine="720"/>
        <w:spacing w:before="72" w:line="270" w:lineRule="auto"/>
        <w:rPr>
          <w:sz w:val="29"/>
          <w:szCs w:val="29"/>
        </w:rPr>
      </w:pPr>
      <w:r>
        <w:rPr>
          <w:sz w:val="29"/>
          <w:szCs w:val="29"/>
          <w:spacing w:val="-8"/>
        </w:rPr>
        <w:t>(1)</w:t>
      </w:r>
      <w:r>
        <w:rPr>
          <w:sz w:val="29"/>
          <w:szCs w:val="29"/>
          <w:spacing w:val="102"/>
        </w:rPr>
        <w:t xml:space="preserve"> </w:t>
      </w:r>
      <w:r>
        <w:rPr>
          <w:sz w:val="29"/>
          <w:szCs w:val="29"/>
          <w:spacing w:val="-8"/>
        </w:rPr>
        <w:t>月初提交时花或假花需求计划，选择亮色花卉，安排腊月20号左右进</w:t>
      </w:r>
      <w:r>
        <w:rPr>
          <w:sz w:val="29"/>
          <w:szCs w:val="29"/>
        </w:rPr>
        <w:t xml:space="preserve"> </w:t>
      </w:r>
      <w:r>
        <w:rPr>
          <w:sz w:val="29"/>
          <w:szCs w:val="29"/>
          <w:spacing w:val="-9"/>
        </w:rPr>
        <w:t>场；</w:t>
      </w:r>
    </w:p>
    <w:p>
      <w:pPr>
        <w:pStyle w:val="BodyText"/>
        <w:ind w:left="720"/>
        <w:spacing w:before="151" w:line="219" w:lineRule="auto"/>
        <w:rPr>
          <w:sz w:val="29"/>
          <w:szCs w:val="29"/>
        </w:rPr>
      </w:pPr>
      <w:r>
        <w:rPr>
          <w:sz w:val="29"/>
          <w:szCs w:val="29"/>
          <w:spacing w:val="7"/>
        </w:rPr>
        <w:t>(2)春假放假前将时花摆放完毕，注意摆放外侧避免黑色</w:t>
      </w:r>
      <w:r>
        <w:rPr>
          <w:sz w:val="29"/>
          <w:szCs w:val="29"/>
          <w:spacing w:val="6"/>
        </w:rPr>
        <w:t>塑料盆出现。</w:t>
      </w:r>
    </w:p>
    <w:p>
      <w:pPr>
        <w:ind w:left="560"/>
        <w:spacing w:before="116" w:line="222" w:lineRule="auto"/>
        <w:rPr>
          <w:rFonts w:ascii="SimHei" w:hAnsi="SimHei" w:eastAsia="SimHei" w:cs="SimHei"/>
          <w:sz w:val="29"/>
          <w:szCs w:val="29"/>
        </w:rPr>
      </w:pPr>
      <w:r>
        <w:rPr>
          <w:rFonts w:ascii="SimHei" w:hAnsi="SimHei" w:eastAsia="SimHei" w:cs="SimHei"/>
          <w:sz w:val="29"/>
          <w:szCs w:val="29"/>
          <w:spacing w:val="-3"/>
        </w:rPr>
        <w:t>5、物资管理</w:t>
      </w:r>
    </w:p>
    <w:p>
      <w:pPr>
        <w:pStyle w:val="BodyText"/>
        <w:spacing w:before="124"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60"/>
        <w:spacing w:before="81"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防火防盗</w:t>
      </w:r>
    </w:p>
    <w:p>
      <w:pPr>
        <w:pStyle w:val="BodyText"/>
        <w:ind w:right="80" w:firstLine="560"/>
        <w:spacing w:before="129" w:line="318" w:lineRule="auto"/>
        <w:rPr>
          <w:sz w:val="29"/>
          <w:szCs w:val="29"/>
        </w:rPr>
      </w:pPr>
      <w:r>
        <w:rPr>
          <w:sz w:val="29"/>
          <w:szCs w:val="29"/>
          <w:spacing w:val="2"/>
        </w:rPr>
        <w:t>每天绿化工人在保洁的同时要注意行人随意丢弃烟头现象，并对其进行防火</w:t>
      </w:r>
      <w:r>
        <w:rPr>
          <w:sz w:val="29"/>
          <w:szCs w:val="29"/>
          <w:spacing w:val="7"/>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1" w:line="222" w:lineRule="auto"/>
        <w:rPr>
          <w:rFonts w:ascii="FangSong" w:hAnsi="FangSong" w:eastAsia="FangSong" w:cs="FangSong"/>
          <w:sz w:val="32"/>
          <w:szCs w:val="32"/>
        </w:rPr>
      </w:pPr>
      <w:r>
        <w:rPr>
          <w:rFonts w:ascii="FangSong" w:hAnsi="FangSong" w:eastAsia="FangSong" w:cs="FangSong"/>
          <w:sz w:val="32"/>
          <w:szCs w:val="32"/>
          <w:spacing w:val="-20"/>
        </w:rPr>
        <w:t>三月份</w:t>
      </w:r>
    </w:p>
    <w:p>
      <w:pPr>
        <w:pStyle w:val="BodyText"/>
        <w:ind w:left="560"/>
        <w:spacing w:before="146" w:line="219" w:lineRule="auto"/>
        <w:rPr>
          <w:sz w:val="29"/>
          <w:szCs w:val="29"/>
        </w:rPr>
      </w:pPr>
      <w:r>
        <w:rPr>
          <w:sz w:val="29"/>
          <w:szCs w:val="29"/>
          <w:spacing w:val="4"/>
        </w:rPr>
        <w:t>气温继续上升，中旬以后，树木开始萌芽。</w:t>
      </w:r>
    </w:p>
    <w:p>
      <w:pPr>
        <w:pStyle w:val="BodyText"/>
        <w:ind w:left="560"/>
        <w:spacing w:before="26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20"/>
        <w:spacing w:before="134" w:line="219" w:lineRule="auto"/>
        <w:rPr>
          <w:sz w:val="29"/>
          <w:szCs w:val="29"/>
        </w:rPr>
      </w:pPr>
      <w:r>
        <w:rPr>
          <w:sz w:val="29"/>
          <w:szCs w:val="29"/>
          <w:spacing w:val="6"/>
        </w:rPr>
        <w:t>(1)及时检查乔木支撑情况，发现松动或缺失立即加固；</w:t>
      </w:r>
    </w:p>
    <w:p>
      <w:pPr>
        <w:pStyle w:val="BodyText"/>
        <w:ind w:right="323" w:firstLine="720"/>
        <w:spacing w:before="155" w:line="280" w:lineRule="auto"/>
        <w:rPr>
          <w:rFonts w:ascii="FangSong" w:hAnsi="FangSong" w:eastAsia="FangSong" w:cs="FangSong"/>
          <w:sz w:val="29"/>
          <w:szCs w:val="29"/>
        </w:rPr>
      </w:pPr>
      <w:r>
        <w:rPr>
          <w:sz w:val="29"/>
          <w:szCs w:val="29"/>
          <w:spacing w:val="7"/>
        </w:rPr>
        <w:t>(2)土壤解冻后，应立即抓紧时机补植苗木</w:t>
      </w:r>
      <w:r>
        <w:rPr>
          <w:sz w:val="29"/>
          <w:szCs w:val="29"/>
          <w:spacing w:val="6"/>
        </w:rPr>
        <w:t>。补植苗木前作好规划设计，</w:t>
      </w:r>
      <w:r>
        <w:rPr>
          <w:sz w:val="29"/>
          <w:szCs w:val="29"/>
        </w:rPr>
        <w:t xml:space="preserve"> </w:t>
      </w:r>
      <w:r>
        <w:rPr>
          <w:sz w:val="29"/>
          <w:szCs w:val="29"/>
          <w:spacing w:val="8"/>
        </w:rPr>
        <w:t>事先挖(刨)好树坑，要做到随挖、随运、随种，并充分浇水，以提高苗木存活</w:t>
      </w:r>
      <w:r>
        <w:rPr>
          <w:sz w:val="29"/>
          <w:szCs w:val="29"/>
          <w:spacing w:val="10"/>
        </w:rPr>
        <w:t xml:space="preserve"> </w:t>
      </w:r>
      <w:r>
        <w:rPr>
          <w:rFonts w:ascii="FangSong" w:hAnsi="FangSong" w:eastAsia="FangSong" w:cs="FangSong"/>
          <w:sz w:val="29"/>
          <w:szCs w:val="29"/>
          <w:spacing w:val="-15"/>
        </w:rPr>
        <w:t>率。</w:t>
      </w:r>
    </w:p>
    <w:p>
      <w:pPr>
        <w:spacing w:line="280" w:lineRule="auto"/>
        <w:sectPr>
          <w:footerReference w:type="default" r:id="rId549"/>
          <w:pgSz w:w="14490" w:h="20470"/>
          <w:pgMar w:top="400" w:right="1864" w:bottom="1433" w:left="2150" w:header="0" w:footer="1235" w:gutter="0"/>
        </w:sectPr>
        <w:rPr>
          <w:rFonts w:ascii="FangSong" w:hAnsi="FangSong" w:eastAsia="FangSong" w:cs="FangSong"/>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60"/>
        <w:spacing w:before="94"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720"/>
        <w:spacing w:before="123" w:line="219" w:lineRule="auto"/>
        <w:rPr>
          <w:sz w:val="29"/>
          <w:szCs w:val="29"/>
        </w:rPr>
      </w:pPr>
      <w:r>
        <w:rPr>
          <w:sz w:val="29"/>
          <w:szCs w:val="29"/>
          <w:spacing w:val="6"/>
        </w:rPr>
        <w:t>(1)对生长过量的地被、灌木及绿篱，在新芽刚刚开始膨大时进行回缩；</w:t>
      </w:r>
    </w:p>
    <w:p>
      <w:pPr>
        <w:pStyle w:val="BodyText"/>
        <w:ind w:left="720"/>
        <w:spacing w:before="158" w:line="219" w:lineRule="auto"/>
        <w:rPr>
          <w:sz w:val="29"/>
          <w:szCs w:val="29"/>
        </w:rPr>
      </w:pPr>
      <w:r>
        <w:rPr>
          <w:sz w:val="29"/>
          <w:szCs w:val="29"/>
          <w:spacing w:val="6"/>
        </w:rPr>
        <w:t>(2)草坪解除休眠前进行疏除枯草层工作；</w:t>
      </w:r>
    </w:p>
    <w:p>
      <w:pPr>
        <w:pStyle w:val="BodyText"/>
        <w:ind w:left="720"/>
        <w:spacing w:before="123" w:line="219" w:lineRule="auto"/>
        <w:rPr>
          <w:sz w:val="29"/>
          <w:szCs w:val="29"/>
        </w:rPr>
      </w:pPr>
      <w:r>
        <w:rPr>
          <w:sz w:val="29"/>
          <w:szCs w:val="29"/>
          <w:spacing w:val="7"/>
        </w:rPr>
        <w:t>(3)根据冰雪融化时期，应严格采取措施，防止草坪遭受踩踏。</w:t>
      </w:r>
    </w:p>
    <w:p>
      <w:pPr>
        <w:pStyle w:val="BodyText"/>
        <w:ind w:left="560"/>
        <w:spacing w:before="64"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352" w:firstLine="720"/>
        <w:spacing w:before="145" w:line="269" w:lineRule="auto"/>
        <w:rPr>
          <w:sz w:val="29"/>
          <w:szCs w:val="29"/>
        </w:rPr>
      </w:pPr>
      <w:r>
        <w:rPr>
          <w:sz w:val="29"/>
          <w:szCs w:val="29"/>
          <w:spacing w:val="1"/>
        </w:rPr>
        <w:t>①  春灌：因春季干旱多风，蒸发量大，为防止春旱，化冻后对绿地等应</w:t>
      </w:r>
      <w:r>
        <w:rPr>
          <w:sz w:val="29"/>
          <w:szCs w:val="29"/>
          <w:spacing w:val="18"/>
        </w:rPr>
        <w:t xml:space="preserve"> </w:t>
      </w:r>
      <w:r>
        <w:rPr>
          <w:sz w:val="29"/>
          <w:szCs w:val="29"/>
          <w:spacing w:val="-12"/>
        </w:rPr>
        <w:t>及时浇返青水，大约浇灌2-3次；</w:t>
      </w:r>
    </w:p>
    <w:p>
      <w:pPr>
        <w:pStyle w:val="BodyText"/>
        <w:ind w:left="720"/>
        <w:spacing w:before="164" w:line="216" w:lineRule="auto"/>
        <w:rPr>
          <w:sz w:val="29"/>
          <w:szCs w:val="29"/>
        </w:rPr>
      </w:pPr>
      <w:r>
        <w:rPr>
          <w:sz w:val="29"/>
          <w:szCs w:val="29"/>
          <w:spacing w:val="-2"/>
        </w:rPr>
        <w:t>②  施肥：3月下旬追施一次有机复合肥(有机质45%),板结区域施松土肥。</w:t>
      </w:r>
    </w:p>
    <w:p>
      <w:pPr>
        <w:pStyle w:val="BodyText"/>
        <w:ind w:left="560"/>
        <w:spacing w:before="102"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20"/>
        <w:spacing w:before="155" w:line="219" w:lineRule="auto"/>
        <w:rPr>
          <w:sz w:val="29"/>
          <w:szCs w:val="29"/>
        </w:rPr>
      </w:pPr>
      <w:r>
        <w:rPr>
          <w:sz w:val="29"/>
          <w:szCs w:val="29"/>
          <w:spacing w:val="9"/>
        </w:rPr>
        <w:t>(1)病害：根腐病、流胶病等；</w:t>
      </w:r>
    </w:p>
    <w:p>
      <w:pPr>
        <w:pStyle w:val="BodyText"/>
        <w:ind w:right="352" w:firstLine="720"/>
        <w:spacing w:before="116" w:line="275" w:lineRule="auto"/>
        <w:rPr>
          <w:sz w:val="29"/>
          <w:szCs w:val="29"/>
        </w:rPr>
      </w:pPr>
      <w:r>
        <w:rPr>
          <w:sz w:val="29"/>
          <w:szCs w:val="29"/>
          <w:spacing w:val="6"/>
        </w:rPr>
        <w:t>(2)虫害：柏肤小蠹、白蚁、铜绿丽金龟、小地老虎、大地老虎、沟</w:t>
      </w:r>
      <w:r>
        <w:rPr>
          <w:sz w:val="29"/>
          <w:szCs w:val="29"/>
          <w:spacing w:val="5"/>
        </w:rPr>
        <w:t>金针</w:t>
      </w:r>
      <w:r>
        <w:rPr>
          <w:sz w:val="29"/>
          <w:szCs w:val="29"/>
        </w:rPr>
        <w:t xml:space="preserve"> </w:t>
      </w:r>
      <w:r>
        <w:rPr>
          <w:sz w:val="29"/>
          <w:szCs w:val="29"/>
        </w:rPr>
        <w:t>虫、玉带凤蝶等。</w:t>
      </w:r>
    </w:p>
    <w:p>
      <w:pPr>
        <w:pStyle w:val="BodyText"/>
        <w:ind w:left="560"/>
        <w:spacing w:before="13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50" w:firstLine="720"/>
        <w:spacing w:before="95" w:line="268" w:lineRule="auto"/>
        <w:rPr>
          <w:sz w:val="29"/>
          <w:szCs w:val="29"/>
        </w:rPr>
      </w:pPr>
      <w:r>
        <w:rPr>
          <w:sz w:val="29"/>
          <w:szCs w:val="29"/>
          <w:spacing w:val="-1"/>
        </w:rPr>
        <w:t>(1)</w:t>
      </w:r>
      <w:r>
        <w:rPr>
          <w:sz w:val="29"/>
          <w:szCs w:val="29"/>
          <w:spacing w:val="86"/>
        </w:rPr>
        <w:t xml:space="preserve"> </w:t>
      </w:r>
      <w:r>
        <w:rPr>
          <w:sz w:val="29"/>
          <w:szCs w:val="29"/>
          <w:spacing w:val="-1"/>
        </w:rPr>
        <w:t>保洁人员合理分区，全天候巡视，及时清理烟头、树挂等垃圾，水景</w:t>
      </w:r>
      <w:r>
        <w:rPr>
          <w:sz w:val="29"/>
          <w:szCs w:val="29"/>
        </w:rPr>
        <w:t xml:space="preserve"> </w:t>
      </w:r>
      <w:r>
        <w:rPr>
          <w:sz w:val="29"/>
          <w:szCs w:val="29"/>
          <w:spacing w:val="-2"/>
        </w:rPr>
        <w:t>池、灯杆、垃圾桶保持干净；</w:t>
      </w:r>
    </w:p>
    <w:p>
      <w:pPr>
        <w:pStyle w:val="BodyText"/>
        <w:ind w:right="343" w:firstLine="720"/>
        <w:spacing w:before="134" w:line="27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ind w:left="560"/>
        <w:spacing w:before="174" w:line="222" w:lineRule="auto"/>
        <w:rPr>
          <w:rFonts w:ascii="SimHei" w:hAnsi="SimHei" w:eastAsia="SimHei" w:cs="SimHei"/>
          <w:sz w:val="29"/>
          <w:szCs w:val="29"/>
        </w:rPr>
      </w:pPr>
      <w:r>
        <w:rPr>
          <w:rFonts w:ascii="SimHei" w:hAnsi="SimHei" w:eastAsia="SimHei" w:cs="SimHei"/>
          <w:sz w:val="29"/>
          <w:szCs w:val="29"/>
          <w:spacing w:val="4"/>
        </w:rPr>
        <w:t>6、物资管理</w:t>
      </w:r>
    </w:p>
    <w:p>
      <w:pPr>
        <w:pStyle w:val="BodyText"/>
        <w:ind w:right="351" w:firstLine="720"/>
        <w:spacing w:before="103" w:line="26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308" w:firstLine="720"/>
        <w:spacing w:before="164" w:line="267" w:lineRule="auto"/>
        <w:rPr>
          <w:sz w:val="29"/>
          <w:szCs w:val="29"/>
        </w:rPr>
      </w:pPr>
      <w:r>
        <w:rPr>
          <w:sz w:val="29"/>
          <w:szCs w:val="29"/>
          <w:spacing w:val="3"/>
        </w:rPr>
        <w:t>(2)根据现场的实际情况，申请购置4、5、6月份的</w:t>
      </w:r>
      <w:r>
        <w:rPr>
          <w:sz w:val="29"/>
          <w:szCs w:val="29"/>
          <w:spacing w:val="2"/>
        </w:rPr>
        <w:t>农药、化肥、营养剂及</w:t>
      </w:r>
      <w:r>
        <w:rPr>
          <w:sz w:val="29"/>
          <w:szCs w:val="29"/>
        </w:rPr>
        <w:t xml:space="preserve"> </w:t>
      </w:r>
      <w:r>
        <w:rPr>
          <w:sz w:val="29"/>
          <w:szCs w:val="29"/>
          <w:spacing w:val="-5"/>
        </w:rPr>
        <w:t>其它物资。</w:t>
      </w:r>
    </w:p>
    <w:p>
      <w:pPr>
        <w:pStyle w:val="BodyText"/>
        <w:ind w:left="560"/>
        <w:spacing w:before="178"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60"/>
        <w:spacing w:before="105" w:line="314" w:lineRule="auto"/>
        <w:rPr>
          <w:sz w:val="29"/>
          <w:szCs w:val="29"/>
        </w:rPr>
      </w:pPr>
      <w:r>
        <w:rPr>
          <w:sz w:val="29"/>
          <w:szCs w:val="29"/>
          <w:spacing w:val="1"/>
        </w:rPr>
        <w:t>每天绿化工人在保洁的同时要注意行人随意丢</w:t>
      </w:r>
      <w:r>
        <w:rPr>
          <w:sz w:val="29"/>
          <w:szCs w:val="29"/>
        </w:rPr>
        <w:t>弃烟头现象，并对其进行防火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72" w:line="223" w:lineRule="auto"/>
        <w:rPr>
          <w:rFonts w:ascii="SimHei" w:hAnsi="SimHei" w:eastAsia="SimHei" w:cs="SimHei"/>
          <w:sz w:val="29"/>
          <w:szCs w:val="29"/>
        </w:rPr>
      </w:pPr>
      <w:r>
        <w:rPr>
          <w:rFonts w:ascii="SimHei" w:hAnsi="SimHei" w:eastAsia="SimHei" w:cs="SimHei"/>
          <w:sz w:val="29"/>
          <w:szCs w:val="29"/>
          <w:spacing w:val="6"/>
        </w:rPr>
        <w:t>四月份</w:t>
      </w:r>
    </w:p>
    <w:p>
      <w:pPr>
        <w:pStyle w:val="BodyText"/>
        <w:ind w:left="560"/>
        <w:spacing w:before="99" w:line="219" w:lineRule="auto"/>
        <w:rPr>
          <w:sz w:val="29"/>
          <w:szCs w:val="29"/>
        </w:rPr>
      </w:pPr>
      <w:r>
        <w:rPr>
          <w:sz w:val="29"/>
          <w:szCs w:val="29"/>
          <w:spacing w:val="4"/>
        </w:rPr>
        <w:t>气温继续上升，树木均萌芽开花或展叶开始进入生长旺盛期。</w:t>
      </w:r>
    </w:p>
    <w:p>
      <w:pPr>
        <w:pStyle w:val="BodyText"/>
        <w:ind w:left="56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60"/>
        <w:spacing w:before="153" w:line="219" w:lineRule="auto"/>
        <w:rPr>
          <w:sz w:val="29"/>
          <w:szCs w:val="29"/>
        </w:rPr>
      </w:pPr>
      <w:r>
        <w:rPr>
          <w:sz w:val="29"/>
          <w:szCs w:val="29"/>
          <w:spacing w:val="2"/>
        </w:rPr>
        <w:t>及时检查乔木支撑情况，发现松动或缺失立即加固</w:t>
      </w:r>
    </w:p>
    <w:p>
      <w:pPr>
        <w:pStyle w:val="BodyText"/>
        <w:ind w:left="560"/>
        <w:spacing w:before="133"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right="353" w:firstLine="720"/>
        <w:spacing w:before="134" w:line="263" w:lineRule="auto"/>
        <w:rPr>
          <w:sz w:val="29"/>
          <w:szCs w:val="29"/>
        </w:rPr>
      </w:pPr>
      <w:r>
        <w:rPr>
          <w:sz w:val="29"/>
          <w:szCs w:val="29"/>
          <w:spacing w:val="-1"/>
        </w:rPr>
        <w:t>(1)</w:t>
      </w:r>
      <w:r>
        <w:rPr>
          <w:sz w:val="29"/>
          <w:szCs w:val="29"/>
          <w:spacing w:val="83"/>
        </w:rPr>
        <w:t xml:space="preserve"> </w:t>
      </w:r>
      <w:r>
        <w:rPr>
          <w:sz w:val="29"/>
          <w:szCs w:val="29"/>
          <w:spacing w:val="-1"/>
        </w:rPr>
        <w:t>对园区内长势较快的草坪进行修剪，剪除冬、春季干枯的枝条，并修</w:t>
      </w:r>
      <w:r>
        <w:rPr>
          <w:sz w:val="29"/>
          <w:szCs w:val="29"/>
        </w:rPr>
        <w:t xml:space="preserve"> </w:t>
      </w:r>
      <w:r>
        <w:rPr>
          <w:sz w:val="29"/>
          <w:szCs w:val="29"/>
          <w:spacing w:val="19"/>
        </w:rPr>
        <w:t>剪常绿(地被)绿篱等徒长枝；</w:t>
      </w:r>
    </w:p>
    <w:p>
      <w:pPr>
        <w:pStyle w:val="BodyText"/>
        <w:ind w:left="720"/>
        <w:spacing w:before="164" w:line="219" w:lineRule="auto"/>
        <w:rPr>
          <w:sz w:val="29"/>
          <w:szCs w:val="29"/>
        </w:rPr>
      </w:pPr>
      <w:r>
        <w:rPr>
          <w:sz w:val="29"/>
          <w:szCs w:val="29"/>
          <w:spacing w:val="6"/>
        </w:rPr>
        <w:t>(2)对生长过量的地被、灌木及绿篱，在新芽刚刚开始膨大时进行回缩；</w:t>
      </w:r>
    </w:p>
    <w:p>
      <w:pPr>
        <w:spacing w:line="219" w:lineRule="auto"/>
        <w:sectPr>
          <w:footerReference w:type="default" r:id="rId550"/>
          <w:pgSz w:w="14490" w:h="20470"/>
          <w:pgMar w:top="400" w:right="193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20"/>
        <w:spacing w:before="94" w:line="219" w:lineRule="auto"/>
        <w:rPr>
          <w:sz w:val="29"/>
          <w:szCs w:val="29"/>
        </w:rPr>
      </w:pPr>
      <w:r>
        <w:rPr>
          <w:sz w:val="29"/>
          <w:szCs w:val="29"/>
          <w:spacing w:val="8"/>
        </w:rPr>
        <w:t>(3)注意大型绿地内的杂草及攀援植物的挑除。</w:t>
      </w:r>
    </w:p>
    <w:p>
      <w:pPr>
        <w:ind w:left="570"/>
        <w:spacing w:before="10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41" w:firstLine="720"/>
        <w:spacing w:before="152" w:line="269" w:lineRule="auto"/>
        <w:rPr>
          <w:sz w:val="29"/>
          <w:szCs w:val="29"/>
        </w:rPr>
      </w:pPr>
      <w:r>
        <w:rPr>
          <w:sz w:val="29"/>
          <w:szCs w:val="29"/>
          <w:spacing w:val="6"/>
        </w:rPr>
        <w:t>(1)灌水：继续对养护绿地进行及时的浇水，注意对迎五一节日摆放的草</w:t>
      </w:r>
      <w:r>
        <w:rPr>
          <w:sz w:val="29"/>
          <w:szCs w:val="29"/>
          <w:spacing w:val="9"/>
        </w:rPr>
        <w:t xml:space="preserve"> </w:t>
      </w:r>
      <w:r>
        <w:rPr>
          <w:sz w:val="29"/>
          <w:szCs w:val="29"/>
          <w:spacing w:val="-3"/>
        </w:rPr>
        <w:t>花做好浇水工作；</w:t>
      </w:r>
    </w:p>
    <w:p>
      <w:pPr>
        <w:pStyle w:val="BodyText"/>
        <w:ind w:right="572" w:firstLine="720"/>
        <w:spacing w:before="145" w:line="268" w:lineRule="auto"/>
        <w:rPr>
          <w:sz w:val="29"/>
          <w:szCs w:val="29"/>
        </w:rPr>
      </w:pPr>
      <w:r>
        <w:rPr>
          <w:sz w:val="29"/>
          <w:szCs w:val="29"/>
          <w:spacing w:val="7"/>
        </w:rPr>
        <w:t>(2)施肥：4月中旬，若植物长势一般或较差追施</w:t>
      </w:r>
      <w:r>
        <w:rPr>
          <w:sz w:val="29"/>
          <w:szCs w:val="29"/>
          <w:spacing w:val="6"/>
        </w:rPr>
        <w:t>一次高氮低磷中钾的无</w:t>
      </w:r>
      <w:r>
        <w:rPr>
          <w:sz w:val="29"/>
          <w:szCs w:val="29"/>
        </w:rPr>
        <w:t xml:space="preserve"> </w:t>
      </w:r>
      <w:r>
        <w:rPr>
          <w:sz w:val="29"/>
          <w:szCs w:val="29"/>
        </w:rPr>
        <w:t>机复合肥，乔木及大灌木应穴施或环施。</w:t>
      </w:r>
    </w:p>
    <w:p>
      <w:pPr>
        <w:pStyle w:val="BodyText"/>
        <w:ind w:left="570"/>
        <w:spacing w:before="18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20"/>
        <w:spacing w:before="95" w:line="219" w:lineRule="auto"/>
        <w:rPr>
          <w:sz w:val="29"/>
          <w:szCs w:val="29"/>
        </w:rPr>
      </w:pPr>
      <w:r>
        <w:rPr>
          <w:sz w:val="29"/>
          <w:szCs w:val="29"/>
          <w:spacing w:val="5"/>
        </w:rPr>
        <w:t>(1)病害：炭疽病、叶斑类病害、锈病、根腐病、流胶病等；</w:t>
      </w:r>
    </w:p>
    <w:p>
      <w:pPr>
        <w:pStyle w:val="BodyText"/>
        <w:ind w:right="329" w:firstLine="720"/>
        <w:spacing w:before="147" w:line="287" w:lineRule="auto"/>
        <w:rPr>
          <w:sz w:val="29"/>
          <w:szCs w:val="29"/>
        </w:rPr>
      </w:pPr>
      <w:r>
        <w:rPr>
          <w:sz w:val="29"/>
          <w:szCs w:val="29"/>
          <w:spacing w:val="8"/>
        </w:rPr>
        <w:t>(2)虫害：大青叶蝉、桃蚜、桃粉蚜、桃瘤蚜、梨网冠蝽、桔绿粉</w:t>
      </w:r>
      <w:r>
        <w:rPr>
          <w:sz w:val="29"/>
          <w:szCs w:val="29"/>
          <w:spacing w:val="7"/>
        </w:rPr>
        <w:t>虱、星</w:t>
      </w:r>
      <w:r>
        <w:rPr>
          <w:sz w:val="29"/>
          <w:szCs w:val="29"/>
        </w:rPr>
        <w:t xml:space="preserve"> </w:t>
      </w:r>
      <w:r>
        <w:rPr>
          <w:sz w:val="29"/>
          <w:szCs w:val="29"/>
          <w:spacing w:val="1"/>
        </w:rPr>
        <w:t>天牛、苹果枝天牛、芳香木蠹蛾、白杨透翅蛾、柏肤小</w:t>
      </w:r>
      <w:r>
        <w:rPr>
          <w:sz w:val="29"/>
          <w:szCs w:val="29"/>
        </w:rPr>
        <w:t>蠹、白蚁、小青花金龟、 </w:t>
      </w:r>
      <w:r>
        <w:rPr>
          <w:sz w:val="29"/>
          <w:szCs w:val="29"/>
          <w:spacing w:val="-9"/>
        </w:rPr>
        <w:t>铜绿丽金龟、小地老虎、大地老虎、沟金针虫、细胸金针虫、玉带凤蝶、柳蓝叶甲</w:t>
      </w:r>
      <w:r>
        <w:rPr>
          <w:sz w:val="29"/>
          <w:szCs w:val="29"/>
          <w:spacing w:val="18"/>
        </w:rPr>
        <w:t xml:space="preserve"> </w:t>
      </w:r>
      <w:r>
        <w:rPr>
          <w:sz w:val="29"/>
          <w:szCs w:val="29"/>
          <w:spacing w:val="-14"/>
        </w:rPr>
        <w:t>等。</w:t>
      </w:r>
    </w:p>
    <w:p>
      <w:pPr>
        <w:pStyle w:val="BodyText"/>
        <w:ind w:left="570"/>
        <w:spacing w:before="15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39" w:firstLine="720"/>
        <w:spacing w:before="85" w:line="271" w:lineRule="auto"/>
        <w:rPr>
          <w:sz w:val="29"/>
          <w:szCs w:val="29"/>
        </w:rPr>
      </w:pPr>
      <w:r>
        <w:rPr>
          <w:sz w:val="29"/>
          <w:szCs w:val="29"/>
          <w:spacing w:val="-1"/>
        </w:rPr>
        <w:t>(1)</w:t>
      </w:r>
      <w:r>
        <w:rPr>
          <w:sz w:val="29"/>
          <w:szCs w:val="29"/>
          <w:spacing w:val="96"/>
        </w:rPr>
        <w:t xml:space="preserve"> </w:t>
      </w:r>
      <w:r>
        <w:rPr>
          <w:sz w:val="29"/>
          <w:szCs w:val="29"/>
          <w:spacing w:val="-1"/>
        </w:rPr>
        <w:t>保洁人员合理分区，全天候巡视，及时清理烟头、树挂等垃圾，水景</w:t>
      </w:r>
      <w:r>
        <w:rPr>
          <w:sz w:val="29"/>
          <w:szCs w:val="29"/>
        </w:rPr>
        <w:t xml:space="preserve"> </w:t>
      </w:r>
      <w:r>
        <w:rPr>
          <w:sz w:val="29"/>
          <w:szCs w:val="29"/>
          <w:spacing w:val="-1"/>
        </w:rPr>
        <w:t>池、灯杆、垃圾桶保持干净；</w:t>
      </w:r>
    </w:p>
    <w:p>
      <w:pPr>
        <w:pStyle w:val="BodyText"/>
        <w:ind w:right="433" w:firstLine="720"/>
        <w:spacing w:before="136" w:line="269"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ind w:left="570"/>
        <w:spacing w:before="206"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20"/>
        <w:spacing w:before="82" w:line="219" w:lineRule="auto"/>
        <w:rPr>
          <w:sz w:val="29"/>
          <w:szCs w:val="29"/>
        </w:rPr>
      </w:pPr>
      <w:r>
        <w:rPr>
          <w:sz w:val="29"/>
          <w:szCs w:val="29"/>
          <w:spacing w:val="5"/>
        </w:rPr>
        <w:t>(1)月初提交时花需求计划，选择亮色花卉，安排下旬进场；</w:t>
      </w:r>
    </w:p>
    <w:p>
      <w:pPr>
        <w:pStyle w:val="BodyText"/>
        <w:ind w:left="72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13" w:line="219" w:lineRule="auto"/>
        <w:jc w:val="right"/>
        <w:rPr>
          <w:sz w:val="29"/>
          <w:szCs w:val="29"/>
        </w:rPr>
      </w:pPr>
      <w:r>
        <w:rPr>
          <w:sz w:val="29"/>
          <w:szCs w:val="29"/>
          <w:spacing w:val="2"/>
        </w:rPr>
        <w:t>库房物品整理，物料工具出入库及领用登记，注意保管汽油、农药等危险品。</w:t>
      </w:r>
    </w:p>
    <w:p>
      <w:pPr>
        <w:pStyle w:val="BodyText"/>
        <w:ind w:left="570"/>
        <w:spacing w:before="81" w:line="396" w:lineRule="exact"/>
        <w:rPr>
          <w:rFonts w:ascii="SimHei" w:hAnsi="SimHei" w:eastAsia="SimHei" w:cs="SimHei"/>
          <w:sz w:val="29"/>
          <w:szCs w:val="29"/>
        </w:rPr>
      </w:pPr>
      <w:r>
        <w:rPr>
          <w:rFonts w:ascii="Arial" w:hAnsi="Arial" w:eastAsia="Arial" w:cs="Arial"/>
          <w:sz w:val="29"/>
          <w:szCs w:val="29"/>
          <w:spacing w:val="9"/>
          <w:position w:val="1"/>
        </w:rPr>
        <w:t>8</w:t>
      </w:r>
      <w:r>
        <w:rPr>
          <w:sz w:val="29"/>
          <w:szCs w:val="29"/>
          <w:spacing w:val="9"/>
          <w:position w:val="1"/>
        </w:rPr>
        <w:t>、</w:t>
      </w:r>
      <w:r>
        <w:rPr>
          <w:rFonts w:ascii="SimHei" w:hAnsi="SimHei" w:eastAsia="SimHei" w:cs="SimHei"/>
          <w:sz w:val="29"/>
          <w:szCs w:val="29"/>
          <w:spacing w:val="9"/>
          <w:position w:val="1"/>
        </w:rPr>
        <w:t>防火防盗</w:t>
      </w:r>
    </w:p>
    <w:p>
      <w:pPr>
        <w:pStyle w:val="BodyText"/>
        <w:ind w:right="99" w:firstLine="570"/>
        <w:spacing w:before="12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72" w:line="223" w:lineRule="auto"/>
        <w:rPr>
          <w:rFonts w:ascii="SimHei" w:hAnsi="SimHei" w:eastAsia="SimHei" w:cs="SimHei"/>
          <w:sz w:val="29"/>
          <w:szCs w:val="29"/>
        </w:rPr>
      </w:pPr>
      <w:r>
        <w:rPr>
          <w:rFonts w:ascii="SimHei" w:hAnsi="SimHei" w:eastAsia="SimHei" w:cs="SimHei"/>
          <w:sz w:val="29"/>
          <w:szCs w:val="29"/>
          <w:spacing w:val="9"/>
        </w:rPr>
        <w:t>五月份</w:t>
      </w:r>
    </w:p>
    <w:p>
      <w:pPr>
        <w:pStyle w:val="BodyText"/>
        <w:ind w:left="570"/>
        <w:spacing w:before="129" w:line="219" w:lineRule="auto"/>
        <w:rPr>
          <w:sz w:val="29"/>
          <w:szCs w:val="29"/>
        </w:rPr>
      </w:pPr>
      <w:r>
        <w:rPr>
          <w:sz w:val="29"/>
          <w:szCs w:val="29"/>
          <w:spacing w:val="6"/>
        </w:rPr>
        <w:t>气温急骤上升，树木生长迅速。</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53" w:line="219" w:lineRule="auto"/>
        <w:rPr>
          <w:sz w:val="29"/>
          <w:szCs w:val="29"/>
        </w:rPr>
      </w:pPr>
      <w:r>
        <w:rPr>
          <w:sz w:val="29"/>
          <w:szCs w:val="29"/>
        </w:rPr>
        <w:t>(1)</w:t>
      </w:r>
      <w:r>
        <w:rPr>
          <w:sz w:val="29"/>
          <w:szCs w:val="29"/>
          <w:spacing w:val="88"/>
        </w:rPr>
        <w:t xml:space="preserve"> </w:t>
      </w:r>
      <w:r>
        <w:rPr>
          <w:sz w:val="29"/>
          <w:szCs w:val="29"/>
        </w:rPr>
        <w:t>及时检查乔木支撑情况，发现松动或缺失立即加固</w:t>
      </w:r>
    </w:p>
    <w:p>
      <w:pPr>
        <w:pStyle w:val="BodyText"/>
        <w:ind w:left="720"/>
        <w:spacing w:before="156" w:line="219" w:lineRule="auto"/>
        <w:rPr>
          <w:sz w:val="29"/>
          <w:szCs w:val="29"/>
        </w:rPr>
      </w:pPr>
      <w:r>
        <w:rPr>
          <w:sz w:val="29"/>
          <w:szCs w:val="29"/>
          <w:spacing w:val="6"/>
        </w:rPr>
        <w:t>(2)做好日常养护保洁人员防暑降温的工作，高温时段避开重体力劳动。</w:t>
      </w:r>
    </w:p>
    <w:p>
      <w:pPr>
        <w:ind w:left="570"/>
        <w:spacing w:before="79" w:line="221" w:lineRule="auto"/>
        <w:rPr>
          <w:rFonts w:ascii="SimHei" w:hAnsi="SimHei" w:eastAsia="SimHei" w:cs="SimHei"/>
          <w:sz w:val="29"/>
          <w:szCs w:val="29"/>
        </w:rPr>
      </w:pPr>
      <w:r>
        <w:rPr>
          <w:rFonts w:ascii="SimHei" w:hAnsi="SimHei" w:eastAsia="SimHei" w:cs="SimHei"/>
          <w:sz w:val="29"/>
          <w:szCs w:val="29"/>
          <w:spacing w:val="10"/>
        </w:rPr>
        <w:t>2、</w:t>
      </w:r>
      <w:r>
        <w:rPr>
          <w:rFonts w:ascii="SimHei" w:hAnsi="SimHei" w:eastAsia="SimHei" w:cs="SimHei"/>
          <w:sz w:val="29"/>
          <w:szCs w:val="29"/>
          <w:b/>
          <w:bCs/>
          <w:spacing w:val="10"/>
        </w:rPr>
        <w:t>修剪</w:t>
      </w:r>
    </w:p>
    <w:p>
      <w:pPr>
        <w:pStyle w:val="BodyText"/>
        <w:ind w:right="440" w:firstLine="720"/>
        <w:spacing w:before="151" w:line="320" w:lineRule="auto"/>
        <w:rPr>
          <w:sz w:val="29"/>
          <w:szCs w:val="29"/>
        </w:rPr>
      </w:pPr>
      <w:r>
        <w:rPr>
          <w:sz w:val="29"/>
          <w:szCs w:val="29"/>
          <w:spacing w:val="6"/>
        </w:rPr>
        <w:t>(1)对开花灌木进行花后修剪、对乔木进行适当修剪，除萌蘖。时花摘除</w:t>
      </w:r>
      <w:r>
        <w:rPr>
          <w:sz w:val="29"/>
          <w:szCs w:val="29"/>
          <w:spacing w:val="10"/>
        </w:rPr>
        <w:t xml:space="preserve"> </w:t>
      </w:r>
      <w:r>
        <w:rPr>
          <w:sz w:val="29"/>
          <w:szCs w:val="29"/>
          <w:spacing w:val="-10"/>
        </w:rPr>
        <w:t>败花；</w:t>
      </w:r>
    </w:p>
    <w:p>
      <w:pPr>
        <w:spacing w:line="320" w:lineRule="auto"/>
        <w:sectPr>
          <w:footerReference w:type="default" r:id="rId551"/>
          <w:pgSz w:w="14490" w:h="20470"/>
          <w:pgMar w:top="400" w:right="1835" w:bottom="1405" w:left="2150" w:header="0" w:footer="1243"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441" w:firstLine="720"/>
        <w:spacing w:before="95" w:line="265" w:lineRule="auto"/>
        <w:rPr>
          <w:sz w:val="29"/>
          <w:szCs w:val="29"/>
        </w:rPr>
      </w:pPr>
      <w:r>
        <w:rPr>
          <w:sz w:val="29"/>
          <w:szCs w:val="29"/>
          <w:spacing w:val="6"/>
        </w:rPr>
        <w:t>(2)对于生长过量需要回缩的灌木、绿篱与地被小灌木在新芽刚开始膨大</w:t>
      </w:r>
      <w:r>
        <w:rPr>
          <w:sz w:val="29"/>
          <w:szCs w:val="29"/>
        </w:rPr>
        <w:t xml:space="preserve"> </w:t>
      </w:r>
      <w:r>
        <w:rPr>
          <w:sz w:val="29"/>
          <w:szCs w:val="29"/>
          <w:spacing w:val="-4"/>
        </w:rPr>
        <w:t>时一次性回缩到位；</w:t>
      </w:r>
    </w:p>
    <w:p>
      <w:pPr>
        <w:pStyle w:val="BodyText"/>
        <w:ind w:left="720"/>
        <w:spacing w:before="156" w:line="219" w:lineRule="auto"/>
        <w:rPr>
          <w:sz w:val="29"/>
          <w:szCs w:val="29"/>
        </w:rPr>
      </w:pPr>
      <w:r>
        <w:rPr>
          <w:sz w:val="29"/>
          <w:szCs w:val="29"/>
          <w:spacing w:val="-10"/>
        </w:rPr>
        <w:t>(3)除杂草：尤其是围蔽下、综合楼角落、人工湖驳岸需清理到位、干净。</w:t>
      </w:r>
    </w:p>
    <w:p>
      <w:pPr>
        <w:ind w:left="590"/>
        <w:spacing w:before="10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153" w:line="219" w:lineRule="auto"/>
        <w:rPr>
          <w:sz w:val="29"/>
          <w:szCs w:val="29"/>
        </w:rPr>
      </w:pPr>
      <w:r>
        <w:rPr>
          <w:sz w:val="29"/>
          <w:szCs w:val="29"/>
          <w:spacing w:val="6"/>
        </w:rPr>
        <w:t>(1)浇水：树木展叶盛期，需水量很大，应适时浇水；</w:t>
      </w:r>
    </w:p>
    <w:p>
      <w:pPr>
        <w:pStyle w:val="BodyText"/>
        <w:ind w:right="348" w:firstLine="720"/>
        <w:spacing w:before="125" w:line="268" w:lineRule="auto"/>
        <w:rPr>
          <w:sz w:val="29"/>
          <w:szCs w:val="29"/>
        </w:rPr>
      </w:pPr>
      <w:r>
        <w:rPr>
          <w:sz w:val="29"/>
          <w:szCs w:val="29"/>
          <w:spacing w:val="-4"/>
        </w:rPr>
        <w:t>(2)施肥：5月中旬，对长势较差的植物追施一次有无机复合肥(含有15</w:t>
      </w:r>
      <w:r>
        <w:rPr>
          <w:sz w:val="29"/>
          <w:szCs w:val="29"/>
          <w:spacing w:val="50"/>
        </w:rPr>
        <w:t xml:space="preserve"> </w:t>
      </w:r>
      <w:r>
        <w:rPr>
          <w:sz w:val="29"/>
          <w:szCs w:val="29"/>
          <w:spacing w:val="-4"/>
        </w:rPr>
        <w:t>总</w:t>
      </w:r>
      <w:r>
        <w:rPr>
          <w:sz w:val="29"/>
          <w:szCs w:val="29"/>
          <w:spacing w:val="-51"/>
        </w:rPr>
        <w:t xml:space="preserve"> </w:t>
      </w:r>
      <w:r>
        <w:rPr>
          <w:sz w:val="29"/>
          <w:szCs w:val="29"/>
          <w:spacing w:val="-4"/>
        </w:rPr>
        <w:t>%</w:t>
      </w:r>
      <w:r>
        <w:rPr>
          <w:sz w:val="29"/>
          <w:szCs w:val="29"/>
        </w:rPr>
        <w:t xml:space="preserve"> </w:t>
      </w:r>
      <w:r>
        <w:rPr>
          <w:sz w:val="29"/>
          <w:szCs w:val="29"/>
          <w:spacing w:val="9"/>
        </w:rPr>
        <w:t>养分以上，有机质大于20%。</w:t>
      </w:r>
    </w:p>
    <w:p>
      <w:pPr>
        <w:pStyle w:val="BodyText"/>
        <w:ind w:left="590"/>
        <w:spacing w:before="195"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right="439" w:firstLine="720"/>
        <w:spacing w:before="105" w:line="269"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2"/>
        </w:rPr>
        <w:t>病、细菌性穿孔病等；</w:t>
      </w:r>
    </w:p>
    <w:p>
      <w:pPr>
        <w:pStyle w:val="BodyText"/>
        <w:ind w:right="310" w:firstLine="720"/>
        <w:spacing w:before="154" w:line="292" w:lineRule="auto"/>
        <w:rPr>
          <w:sz w:val="29"/>
          <w:szCs w:val="29"/>
        </w:rPr>
      </w:pPr>
      <w:r>
        <w:rPr>
          <w:sz w:val="29"/>
          <w:szCs w:val="29"/>
          <w:spacing w:val="-10"/>
        </w:rPr>
        <w:t>(2)虫害：桃一点斑叶蝉、大青叶蝉、桃蚜、桃粉蚜、桃瘤蚜、梨网冠蝽、桔</w:t>
      </w:r>
      <w:r>
        <w:rPr>
          <w:sz w:val="29"/>
          <w:szCs w:val="29"/>
          <w:spacing w:val="18"/>
        </w:rPr>
        <w:t xml:space="preserve"> </w:t>
      </w:r>
      <w:r>
        <w:rPr>
          <w:sz w:val="29"/>
          <w:szCs w:val="29"/>
          <w:spacing w:val="-9"/>
        </w:rPr>
        <w:t>绿粉虱、星天牛、苹果枝天牛、芳香木蠹蛾、白</w:t>
      </w:r>
      <w:r>
        <w:rPr>
          <w:sz w:val="29"/>
          <w:szCs w:val="29"/>
          <w:spacing w:val="-10"/>
        </w:rPr>
        <w:t>杨透翅蛾、柏肤小蠹、白蚁、小青</w:t>
      </w:r>
      <w:r>
        <w:rPr>
          <w:sz w:val="29"/>
          <w:szCs w:val="29"/>
        </w:rPr>
        <w:t xml:space="preserve"> </w:t>
      </w:r>
      <w:r>
        <w:rPr>
          <w:sz w:val="29"/>
          <w:szCs w:val="29"/>
          <w:spacing w:val="-7"/>
        </w:rPr>
        <w:t>花金龟、大黑鳃金龟、铜绿丽金龟、大地老虎、蝼蛄、细胸金针虫、桃</w:t>
      </w:r>
      <w:r>
        <w:rPr>
          <w:sz w:val="29"/>
          <w:szCs w:val="29"/>
          <w:spacing w:val="-8"/>
        </w:rPr>
        <w:t>剑纹夜蛾、</w:t>
      </w:r>
      <w:r>
        <w:rPr>
          <w:sz w:val="29"/>
          <w:szCs w:val="29"/>
        </w:rPr>
        <w:t xml:space="preserve"> </w:t>
      </w:r>
      <w:r>
        <w:rPr>
          <w:sz w:val="29"/>
          <w:szCs w:val="29"/>
          <w:spacing w:val="-7"/>
        </w:rPr>
        <w:t>丝棉木金星尺蛾、国槐尺蛾、绿尾大蚕蛾、柑桔凤蝶、玉带凤蝶、蔷薇</w:t>
      </w:r>
      <w:r>
        <w:rPr>
          <w:sz w:val="29"/>
          <w:szCs w:val="29"/>
          <w:spacing w:val="-8"/>
        </w:rPr>
        <w:t>三节叶蜂、</w:t>
      </w:r>
      <w:r>
        <w:rPr>
          <w:sz w:val="29"/>
          <w:szCs w:val="29"/>
        </w:rPr>
        <w:t xml:space="preserve"> </w:t>
      </w:r>
      <w:r>
        <w:rPr>
          <w:sz w:val="29"/>
          <w:szCs w:val="29"/>
          <w:spacing w:val="-12"/>
        </w:rPr>
        <w:t>柳蓝叶甲、葡萄十星叶甲等。</w:t>
      </w:r>
    </w:p>
    <w:p>
      <w:pPr>
        <w:pStyle w:val="BodyText"/>
        <w:ind w:left="590"/>
        <w:spacing w:before="13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40" w:firstLine="720"/>
        <w:spacing w:before="123" w:line="259" w:lineRule="auto"/>
        <w:rPr>
          <w:sz w:val="29"/>
          <w:szCs w:val="29"/>
        </w:rPr>
      </w:pPr>
      <w:r>
        <w:rPr>
          <w:sz w:val="29"/>
          <w:szCs w:val="29"/>
          <w:spacing w:val="-1"/>
        </w:rPr>
        <w:t>(1)</w:t>
      </w:r>
      <w:r>
        <w:rPr>
          <w:sz w:val="29"/>
          <w:szCs w:val="29"/>
          <w:spacing w:val="86"/>
        </w:rPr>
        <w:t xml:space="preserve"> </w:t>
      </w:r>
      <w:r>
        <w:rPr>
          <w:sz w:val="29"/>
          <w:szCs w:val="29"/>
          <w:spacing w:val="-1"/>
        </w:rPr>
        <w:t>保洁人员合理分区，全天候巡视，及时清理烟头、树挂等垃圾，水景</w:t>
      </w:r>
      <w:r>
        <w:rPr>
          <w:sz w:val="29"/>
          <w:szCs w:val="29"/>
        </w:rPr>
        <w:t xml:space="preserve"> </w:t>
      </w:r>
      <w:r>
        <w:rPr>
          <w:sz w:val="29"/>
          <w:szCs w:val="29"/>
          <w:spacing w:val="-2"/>
        </w:rPr>
        <w:t>池、灯杆、垃圾桶保持干净；</w:t>
      </w:r>
    </w:p>
    <w:p>
      <w:pPr>
        <w:pStyle w:val="BodyText"/>
        <w:ind w:right="433" w:firstLine="720"/>
        <w:spacing w:before="16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90"/>
        <w:spacing w:before="152"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spacing w:before="88" w:line="219" w:lineRule="auto"/>
        <w:jc w:val="right"/>
        <w:rPr>
          <w:sz w:val="29"/>
          <w:szCs w:val="29"/>
        </w:rPr>
      </w:pPr>
      <w:r>
        <w:rPr>
          <w:sz w:val="29"/>
          <w:szCs w:val="29"/>
          <w:spacing w:val="1"/>
        </w:rPr>
        <w:t>库房物品整理，物料工具出入库及领用登记，注意保管汽油、农药等危险品。</w:t>
      </w:r>
    </w:p>
    <w:p>
      <w:pPr>
        <w:pStyle w:val="BodyText"/>
        <w:ind w:left="590"/>
        <w:spacing w:before="10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00" w:firstLine="590"/>
        <w:spacing w:before="13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71" w:line="223" w:lineRule="auto"/>
        <w:rPr>
          <w:rFonts w:ascii="SimHei" w:hAnsi="SimHei" w:eastAsia="SimHei" w:cs="SimHei"/>
          <w:sz w:val="29"/>
          <w:szCs w:val="29"/>
        </w:rPr>
      </w:pPr>
      <w:r>
        <w:rPr>
          <w:rFonts w:ascii="SimHei" w:hAnsi="SimHei" w:eastAsia="SimHei" w:cs="SimHei"/>
          <w:sz w:val="29"/>
          <w:szCs w:val="29"/>
          <w:spacing w:val="12"/>
        </w:rPr>
        <w:t>六月份</w:t>
      </w:r>
    </w:p>
    <w:p>
      <w:pPr>
        <w:pStyle w:val="BodyText"/>
        <w:ind w:left="590"/>
        <w:spacing w:before="110" w:line="219" w:lineRule="auto"/>
        <w:rPr>
          <w:sz w:val="29"/>
          <w:szCs w:val="29"/>
        </w:rPr>
      </w:pPr>
      <w:r>
        <w:rPr>
          <w:sz w:val="29"/>
          <w:szCs w:val="29"/>
          <w:spacing w:val="3"/>
        </w:rPr>
        <w:t>气温升高，注意及时浇水、摘除杂草，对零星病虫害专项防治。</w:t>
      </w:r>
    </w:p>
    <w:p>
      <w:pPr>
        <w:pStyle w:val="BodyText"/>
        <w:ind w:left="590"/>
        <w:spacing w:before="27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54" w:line="219" w:lineRule="auto"/>
        <w:rPr>
          <w:sz w:val="29"/>
          <w:szCs w:val="29"/>
        </w:rPr>
      </w:pPr>
      <w:r>
        <w:rPr>
          <w:sz w:val="29"/>
          <w:szCs w:val="29"/>
          <w:spacing w:val="1"/>
        </w:rPr>
        <w:t>及时检查乔木支撑情况，发现松动或缺失立即加固。</w:t>
      </w:r>
    </w:p>
    <w:p>
      <w:pPr>
        <w:ind w:left="590"/>
        <w:spacing w:before="89" w:line="221" w:lineRule="auto"/>
        <w:rPr>
          <w:rFonts w:ascii="SimHei" w:hAnsi="SimHei" w:eastAsia="SimHei" w:cs="SimHei"/>
          <w:sz w:val="30"/>
          <w:szCs w:val="30"/>
        </w:rPr>
      </w:pPr>
      <w:r>
        <w:rPr>
          <w:rFonts w:ascii="SimHei" w:hAnsi="SimHei" w:eastAsia="SimHei" w:cs="SimHei"/>
          <w:sz w:val="30"/>
          <w:szCs w:val="30"/>
          <w:spacing w:val="-2"/>
        </w:rPr>
        <w:t>2、</w:t>
      </w:r>
      <w:r>
        <w:rPr>
          <w:rFonts w:ascii="SimHei" w:hAnsi="SimHei" w:eastAsia="SimHei" w:cs="SimHei"/>
          <w:sz w:val="30"/>
          <w:szCs w:val="30"/>
          <w:b/>
          <w:bCs/>
          <w:spacing w:val="-2"/>
        </w:rPr>
        <w:t>修剪</w:t>
      </w:r>
    </w:p>
    <w:p>
      <w:pPr>
        <w:pStyle w:val="BodyText"/>
        <w:ind w:right="280" w:firstLine="590"/>
        <w:spacing w:before="136" w:line="326" w:lineRule="auto"/>
        <w:rPr>
          <w:sz w:val="29"/>
          <w:szCs w:val="29"/>
        </w:rPr>
      </w:pPr>
      <w:r>
        <w:rPr>
          <w:sz w:val="29"/>
          <w:szCs w:val="29"/>
          <w:spacing w:val="2"/>
        </w:rPr>
        <w:t>继续对乔灌木进行剥芽除蘖工作，及时修剪地</w:t>
      </w:r>
      <w:r>
        <w:rPr>
          <w:sz w:val="29"/>
          <w:szCs w:val="29"/>
          <w:spacing w:val="1"/>
        </w:rPr>
        <w:t>被、小灌木、绿篱与造型树。</w:t>
      </w:r>
      <w:r>
        <w:rPr>
          <w:sz w:val="29"/>
          <w:szCs w:val="29"/>
        </w:rPr>
        <w:t xml:space="preserve"> </w:t>
      </w:r>
      <w:r>
        <w:rPr>
          <w:sz w:val="29"/>
          <w:szCs w:val="29"/>
          <w:spacing w:val="1"/>
        </w:rPr>
        <w:t>从本月起应经常修整草坪边缘，通常使用月牙状的铲子和长木板将草坪边切</w:t>
      </w:r>
      <w:r>
        <w:rPr>
          <w:sz w:val="29"/>
          <w:szCs w:val="29"/>
        </w:rPr>
        <w:t>齐。</w:t>
      </w:r>
    </w:p>
    <w:p>
      <w:pPr>
        <w:ind w:left="590"/>
        <w:spacing w:before="15" w:line="222" w:lineRule="auto"/>
        <w:rPr>
          <w:rFonts w:ascii="SimHei" w:hAnsi="SimHei" w:eastAsia="SimHei" w:cs="SimHei"/>
          <w:sz w:val="29"/>
          <w:szCs w:val="29"/>
        </w:rPr>
      </w:pPr>
      <w:r>
        <w:rPr>
          <w:rFonts w:ascii="SimHei" w:hAnsi="SimHei" w:eastAsia="SimHei" w:cs="SimHei"/>
          <w:sz w:val="29"/>
          <w:szCs w:val="29"/>
          <w:spacing w:val="6"/>
        </w:rPr>
        <w:t>3、水肥管理</w:t>
      </w:r>
    </w:p>
    <w:p>
      <w:pPr>
        <w:spacing w:line="222" w:lineRule="auto"/>
        <w:sectPr>
          <w:footerReference w:type="default" r:id="rId552"/>
          <w:pgSz w:w="14490" w:h="20470"/>
          <w:pgMar w:top="400" w:right="1844" w:bottom="1405" w:left="2150" w:header="0" w:footer="1243"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right="301" w:firstLine="720"/>
        <w:spacing w:before="94" w:line="263" w:lineRule="auto"/>
        <w:rPr>
          <w:sz w:val="29"/>
          <w:szCs w:val="29"/>
        </w:rPr>
      </w:pPr>
      <w:r>
        <w:rPr>
          <w:sz w:val="29"/>
          <w:szCs w:val="29"/>
          <w:spacing w:val="7"/>
        </w:rPr>
        <w:t>(1)浇水：植物需水量大，要及时浇水，对土壤板结的地方要人工打孔浇</w:t>
      </w:r>
      <w:r>
        <w:rPr>
          <w:sz w:val="29"/>
          <w:szCs w:val="29"/>
          <w:spacing w:val="16"/>
        </w:rPr>
        <w:t xml:space="preserve"> </w:t>
      </w:r>
      <w:r>
        <w:rPr>
          <w:sz w:val="29"/>
          <w:szCs w:val="29"/>
          <w:spacing w:val="-12"/>
        </w:rPr>
        <w:t>水；</w:t>
      </w:r>
    </w:p>
    <w:p>
      <w:pPr>
        <w:pStyle w:val="BodyText"/>
        <w:ind w:left="720"/>
        <w:spacing w:before="165" w:line="219" w:lineRule="auto"/>
        <w:rPr>
          <w:sz w:val="29"/>
          <w:szCs w:val="29"/>
        </w:rPr>
      </w:pPr>
      <w:r>
        <w:rPr>
          <w:sz w:val="29"/>
          <w:szCs w:val="29"/>
          <w:spacing w:val="8"/>
        </w:rPr>
        <w:t>(2)排水：大雨天气时要注意低洼处的排水工作。</w:t>
      </w:r>
    </w:p>
    <w:p>
      <w:pPr>
        <w:pStyle w:val="BodyText"/>
        <w:ind w:left="590"/>
        <w:spacing w:before="93" w:line="221" w:lineRule="auto"/>
        <w:rPr>
          <w:rFonts w:ascii="SimHei" w:hAnsi="SimHei" w:eastAsia="SimHei" w:cs="SimHei"/>
          <w:sz w:val="29"/>
          <w:szCs w:val="29"/>
        </w:rPr>
      </w:pPr>
      <w:r>
        <w:rPr>
          <w:rFonts w:ascii="Arial" w:hAnsi="Arial" w:eastAsia="Arial" w:cs="Arial"/>
          <w:sz w:val="29"/>
          <w:szCs w:val="29"/>
          <w:spacing w:val="-9"/>
        </w:rPr>
        <w:t>4</w:t>
      </w:r>
      <w:r>
        <w:rPr>
          <w:sz w:val="29"/>
          <w:szCs w:val="29"/>
          <w:spacing w:val="-9"/>
        </w:rPr>
        <w:t>、</w:t>
      </w:r>
      <w:r>
        <w:rPr>
          <w:rFonts w:ascii="SimHei" w:hAnsi="SimHei" w:eastAsia="SimHei" w:cs="SimHei"/>
          <w:sz w:val="29"/>
          <w:szCs w:val="29"/>
          <w:spacing w:val="-9"/>
        </w:rPr>
        <w:t>病虫害防治</w:t>
      </w:r>
    </w:p>
    <w:p>
      <w:pPr>
        <w:pStyle w:val="BodyText"/>
        <w:ind w:right="340" w:firstLine="720"/>
        <w:spacing w:before="144" w:line="266" w:lineRule="auto"/>
        <w:rPr>
          <w:sz w:val="29"/>
          <w:szCs w:val="29"/>
        </w:rPr>
      </w:pPr>
      <w:r>
        <w:rPr>
          <w:sz w:val="29"/>
          <w:szCs w:val="29"/>
          <w:spacing w:val="6"/>
        </w:rPr>
        <w:t>(1)病害：白粉病、炭疽病、锈病、煤污病、叶枯病、干腐病、枝枯病、</w:t>
      </w:r>
      <w:r>
        <w:rPr>
          <w:sz w:val="29"/>
          <w:szCs w:val="29"/>
          <w:spacing w:val="10"/>
        </w:rPr>
        <w:t xml:space="preserve"> </w:t>
      </w:r>
      <w:r>
        <w:rPr>
          <w:sz w:val="29"/>
          <w:szCs w:val="29"/>
        </w:rPr>
        <w:t>流胶病、枯萎病、草坪腐霉枯萎病、细菌性穿孔病、冠瘿病等；</w:t>
      </w:r>
    </w:p>
    <w:p>
      <w:pPr>
        <w:pStyle w:val="BodyText"/>
        <w:ind w:right="204" w:firstLine="720"/>
        <w:spacing w:before="167" w:line="295" w:lineRule="auto"/>
        <w:rPr>
          <w:sz w:val="29"/>
          <w:szCs w:val="29"/>
        </w:rPr>
      </w:pPr>
      <w:r>
        <w:rPr>
          <w:sz w:val="29"/>
          <w:szCs w:val="29"/>
          <w:spacing w:val="7"/>
        </w:rPr>
        <w:t>(2)虫害：桃一点斑叶蝉、大青叶蝉、桃粉蚜、梨网冠蝽、梧桐木虱、花</w:t>
      </w:r>
      <w:r>
        <w:rPr>
          <w:sz w:val="29"/>
          <w:szCs w:val="29"/>
          <w:spacing w:val="15"/>
        </w:rPr>
        <w:t xml:space="preserve"> </w:t>
      </w:r>
      <w:r>
        <w:rPr>
          <w:sz w:val="29"/>
          <w:szCs w:val="29"/>
        </w:rPr>
        <w:t>蓟马、桑天牛、星天牛、光肩星天牛、苹果枝天牛、芳香木蠹蛾、白杨透翅蛾、</w:t>
      </w:r>
      <w:r>
        <w:rPr>
          <w:sz w:val="29"/>
          <w:szCs w:val="29"/>
          <w:spacing w:val="14"/>
        </w:rPr>
        <w:t xml:space="preserve"> </w:t>
      </w:r>
      <w:r>
        <w:rPr>
          <w:sz w:val="29"/>
          <w:szCs w:val="29"/>
          <w:spacing w:val="-9"/>
        </w:rPr>
        <w:t>柏肤小蠹、白蚁、小青花金龟、大黑鳃金龟、大地老虎、蝼蛄、细胸金针</w:t>
      </w:r>
      <w:r>
        <w:rPr>
          <w:sz w:val="29"/>
          <w:szCs w:val="29"/>
          <w:spacing w:val="-10"/>
        </w:rPr>
        <w:t>虫、黄刺</w:t>
      </w:r>
      <w:r>
        <w:rPr>
          <w:sz w:val="29"/>
          <w:szCs w:val="29"/>
        </w:rPr>
        <w:t xml:space="preserve"> </w:t>
      </w:r>
      <w:r>
        <w:rPr>
          <w:sz w:val="29"/>
          <w:szCs w:val="29"/>
          <w:spacing w:val="-22"/>
        </w:rPr>
        <w:t>蛾、扁刺蛾、丽绿刺蛾、褐边绿刺蛾、桑褐刺蛾、茶袋蛾、大袋蛾、黄尾毒蛾、桃剑纹</w:t>
      </w:r>
      <w:r>
        <w:rPr>
          <w:sz w:val="29"/>
          <w:szCs w:val="29"/>
          <w:spacing w:val="15"/>
        </w:rPr>
        <w:t xml:space="preserve"> </w:t>
      </w:r>
      <w:r>
        <w:rPr>
          <w:sz w:val="29"/>
          <w:szCs w:val="29"/>
          <w:spacing w:val="-11"/>
        </w:rPr>
        <w:t>夜蛾、丝棉木金星尺蛾、国槐尺蛾、绿尾大蚕蛾、柑桔凤</w:t>
      </w:r>
      <w:r>
        <w:rPr>
          <w:sz w:val="29"/>
          <w:szCs w:val="29"/>
          <w:spacing w:val="-12"/>
        </w:rPr>
        <w:t>蝶、玉带凤蝶、蔷薇三节</w:t>
      </w:r>
      <w:r>
        <w:rPr>
          <w:sz w:val="29"/>
          <w:szCs w:val="29"/>
        </w:rPr>
        <w:t xml:space="preserve">  </w:t>
      </w:r>
      <w:r>
        <w:rPr>
          <w:sz w:val="29"/>
          <w:szCs w:val="29"/>
        </w:rPr>
        <w:t>叶蜂、柳蓝叶甲、葡萄十星叶甲等。</w:t>
      </w:r>
    </w:p>
    <w:p>
      <w:pPr>
        <w:pStyle w:val="BodyText"/>
        <w:ind w:left="590"/>
        <w:spacing w:before="149"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40" w:firstLine="720"/>
        <w:spacing w:before="113" w:line="265"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1"/>
        </w:rPr>
        <w:t>池、灯杆、垃圾桶保持干净；</w:t>
      </w:r>
    </w:p>
    <w:p>
      <w:pPr>
        <w:pStyle w:val="BodyText"/>
        <w:ind w:right="333" w:firstLine="720"/>
        <w:spacing w:before="138" w:line="275"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pStyle w:val="BodyText"/>
        <w:ind w:left="590"/>
        <w:spacing w:before="123"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ind w:right="341" w:firstLine="720"/>
        <w:spacing w:before="76" w:line="270"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338" w:firstLine="720"/>
        <w:spacing w:before="161" w:line="271" w:lineRule="auto"/>
        <w:rPr>
          <w:sz w:val="29"/>
          <w:szCs w:val="29"/>
        </w:rPr>
      </w:pPr>
      <w:r>
        <w:rPr>
          <w:sz w:val="29"/>
          <w:szCs w:val="29"/>
          <w:spacing w:val="2"/>
        </w:rPr>
        <w:t>(2)根据现场的实际情况，申请购置7、8、9月份的农药、化肥</w:t>
      </w:r>
      <w:r>
        <w:rPr>
          <w:sz w:val="29"/>
          <w:szCs w:val="29"/>
          <w:spacing w:val="1"/>
        </w:rPr>
        <w:t>、营养剂及</w:t>
      </w:r>
      <w:r>
        <w:rPr>
          <w:sz w:val="29"/>
          <w:szCs w:val="29"/>
        </w:rPr>
        <w:t xml:space="preserve"> </w:t>
      </w:r>
      <w:r>
        <w:rPr>
          <w:sz w:val="29"/>
          <w:szCs w:val="29"/>
          <w:spacing w:val="-6"/>
        </w:rPr>
        <w:t>其它物资；</w:t>
      </w:r>
    </w:p>
    <w:p>
      <w:pPr>
        <w:pStyle w:val="BodyText"/>
        <w:ind w:left="720"/>
        <w:spacing w:before="130" w:line="219" w:lineRule="auto"/>
        <w:rPr>
          <w:sz w:val="29"/>
          <w:szCs w:val="29"/>
        </w:rPr>
      </w:pPr>
      <w:r>
        <w:rPr>
          <w:sz w:val="29"/>
          <w:szCs w:val="29"/>
          <w:spacing w:val="11"/>
        </w:rPr>
        <w:t>(3)进行机械工具的检查维修。</w:t>
      </w:r>
    </w:p>
    <w:p>
      <w:pPr>
        <w:pStyle w:val="BodyText"/>
        <w:ind w:left="590"/>
        <w:spacing w:before="11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59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77" w:line="223" w:lineRule="auto"/>
        <w:rPr>
          <w:rFonts w:ascii="SimHei" w:hAnsi="SimHei" w:eastAsia="SimHei" w:cs="SimHei"/>
          <w:sz w:val="29"/>
          <w:szCs w:val="29"/>
        </w:rPr>
      </w:pPr>
      <w:r>
        <w:rPr>
          <w:rFonts w:ascii="SimHei" w:hAnsi="SimHei" w:eastAsia="SimHei" w:cs="SimHei"/>
          <w:sz w:val="29"/>
          <w:szCs w:val="29"/>
          <w:spacing w:val="6"/>
        </w:rPr>
        <w:t>七月份</w:t>
      </w:r>
    </w:p>
    <w:p>
      <w:pPr>
        <w:pStyle w:val="BodyText"/>
        <w:ind w:left="590"/>
        <w:spacing w:before="127" w:line="219" w:lineRule="auto"/>
        <w:rPr>
          <w:sz w:val="29"/>
          <w:szCs w:val="29"/>
        </w:rPr>
      </w:pPr>
      <w:r>
        <w:rPr>
          <w:sz w:val="29"/>
          <w:szCs w:val="29"/>
          <w:spacing w:val="3"/>
        </w:rPr>
        <w:t>气温最高，中旬以后会出现大风大雨情况。</w:t>
      </w:r>
    </w:p>
    <w:p>
      <w:pPr>
        <w:pStyle w:val="BodyText"/>
        <w:ind w:left="590"/>
        <w:spacing w:before="27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20"/>
        <w:spacing w:before="133" w:line="219" w:lineRule="auto"/>
        <w:rPr>
          <w:sz w:val="29"/>
          <w:szCs w:val="29"/>
        </w:rPr>
      </w:pPr>
      <w:r>
        <w:rPr>
          <w:sz w:val="29"/>
          <w:szCs w:val="29"/>
          <w:spacing w:val="-2"/>
        </w:rPr>
        <w:t>(1)</w:t>
      </w:r>
      <w:r>
        <w:rPr>
          <w:sz w:val="29"/>
          <w:szCs w:val="29"/>
          <w:spacing w:val="82"/>
        </w:rPr>
        <w:t xml:space="preserve"> </w:t>
      </w:r>
      <w:r>
        <w:rPr>
          <w:sz w:val="29"/>
          <w:szCs w:val="29"/>
          <w:spacing w:val="-2"/>
        </w:rPr>
        <w:t>及时检查乔木支撑情况，发现松动或</w:t>
      </w:r>
      <w:r>
        <w:rPr>
          <w:sz w:val="29"/>
          <w:szCs w:val="29"/>
          <w:spacing w:val="-3"/>
        </w:rPr>
        <w:t>缺失立即加固；</w:t>
      </w:r>
    </w:p>
    <w:p>
      <w:pPr>
        <w:pStyle w:val="BodyText"/>
        <w:ind w:right="263" w:firstLine="720"/>
        <w:spacing w:before="136" w:line="281" w:lineRule="auto"/>
        <w:rPr>
          <w:sz w:val="29"/>
          <w:szCs w:val="29"/>
        </w:rPr>
      </w:pPr>
      <w:r>
        <w:rPr>
          <w:sz w:val="29"/>
          <w:szCs w:val="29"/>
          <w:spacing w:val="5"/>
        </w:rPr>
        <w:t>(2)雨季期间，天气变化多端，</w:t>
      </w:r>
      <w:r>
        <w:rPr>
          <w:sz w:val="29"/>
          <w:szCs w:val="29"/>
          <w:spacing w:val="-25"/>
        </w:rPr>
        <w:t xml:space="preserve"> </w:t>
      </w:r>
      <w:r>
        <w:rPr>
          <w:sz w:val="29"/>
          <w:szCs w:val="29"/>
          <w:spacing w:val="5"/>
        </w:rPr>
        <w:t>一旦碰到高温要及时浇水；继续做好夏季</w:t>
      </w:r>
      <w:r>
        <w:rPr>
          <w:sz w:val="29"/>
          <w:szCs w:val="29"/>
        </w:rPr>
        <w:t xml:space="preserve"> </w:t>
      </w:r>
      <w:r>
        <w:rPr>
          <w:sz w:val="29"/>
          <w:szCs w:val="29"/>
        </w:rPr>
        <w:t>草坪抗旱浇水工作。大雨过后要及时排涝。使</w:t>
      </w:r>
      <w:r>
        <w:rPr>
          <w:sz w:val="29"/>
          <w:szCs w:val="29"/>
          <w:spacing w:val="-1"/>
        </w:rPr>
        <w:t>用除莠剂对草坪中的恶性杂草进行</w:t>
      </w:r>
      <w:r>
        <w:rPr>
          <w:sz w:val="29"/>
          <w:szCs w:val="29"/>
        </w:rPr>
        <w:t xml:space="preserve"> </w:t>
      </w:r>
      <w:r>
        <w:rPr>
          <w:sz w:val="29"/>
          <w:szCs w:val="29"/>
          <w:spacing w:val="-6"/>
        </w:rPr>
        <w:t>防除。</w:t>
      </w:r>
    </w:p>
    <w:p>
      <w:pPr>
        <w:spacing w:line="281" w:lineRule="auto"/>
        <w:sectPr>
          <w:footerReference w:type="default" r:id="rId553"/>
          <w:pgSz w:w="14490" w:h="20470"/>
          <w:pgMar w:top="400" w:right="1935" w:bottom="1433" w:left="2150" w:header="0" w:footer="12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179" w:firstLine="720"/>
        <w:spacing w:before="103" w:line="282" w:lineRule="auto"/>
        <w:rPr>
          <w:sz w:val="29"/>
          <w:szCs w:val="29"/>
        </w:rPr>
      </w:pPr>
      <w:r>
        <w:rPr>
          <w:sz w:val="29"/>
          <w:szCs w:val="29"/>
          <w:spacing w:val="9"/>
        </w:rPr>
        <w:t>(1)灌木：进行防风剥芽修剪，对树桩逐个检查，发现松垮、不稳</w:t>
      </w:r>
      <w:r>
        <w:rPr>
          <w:sz w:val="29"/>
          <w:szCs w:val="29"/>
          <w:spacing w:val="8"/>
        </w:rPr>
        <w:t>立即扶</w:t>
      </w:r>
      <w:r>
        <w:rPr>
          <w:sz w:val="29"/>
          <w:szCs w:val="29"/>
        </w:rPr>
        <w:t xml:space="preserve">  </w:t>
      </w:r>
      <w:r>
        <w:rPr>
          <w:sz w:val="29"/>
          <w:szCs w:val="29"/>
          <w:spacing w:val="-10"/>
        </w:rPr>
        <w:t>正绑紧。事先做好劳力组织、物资材料、工具设备等方面的准备，并随时派人检查，</w:t>
      </w:r>
      <w:r>
        <w:rPr>
          <w:sz w:val="29"/>
          <w:szCs w:val="29"/>
          <w:spacing w:val="3"/>
        </w:rPr>
        <w:t xml:space="preserve"> </w:t>
      </w:r>
      <w:r>
        <w:rPr>
          <w:sz w:val="29"/>
          <w:szCs w:val="29"/>
          <w:spacing w:val="-3"/>
        </w:rPr>
        <w:t>发现险情及时处理；</w:t>
      </w:r>
    </w:p>
    <w:p>
      <w:pPr>
        <w:pStyle w:val="BodyText"/>
        <w:ind w:right="382" w:firstLine="720"/>
        <w:spacing w:before="163" w:line="281" w:lineRule="auto"/>
        <w:rPr>
          <w:sz w:val="29"/>
          <w:szCs w:val="29"/>
        </w:rPr>
      </w:pPr>
      <w:r>
        <w:rPr>
          <w:sz w:val="29"/>
          <w:szCs w:val="29"/>
          <w:spacing w:val="9"/>
        </w:rPr>
        <w:t>(2)夏季是修剪草坪、地被徒长枝比较频繁的季节，要安排人工及</w:t>
      </w:r>
      <w:r>
        <w:rPr>
          <w:sz w:val="29"/>
          <w:szCs w:val="29"/>
          <w:spacing w:val="8"/>
        </w:rPr>
        <w:t>时清理</w:t>
      </w:r>
      <w:r>
        <w:rPr>
          <w:sz w:val="29"/>
          <w:szCs w:val="29"/>
        </w:rPr>
        <w:t xml:space="preserve"> </w:t>
      </w:r>
      <w:r>
        <w:rPr>
          <w:sz w:val="29"/>
          <w:szCs w:val="29"/>
        </w:rPr>
        <w:t>洒落在路面及湖面上的绿化垃圾，保证可视区域干净整洁，人工浇水时对坡面的</w:t>
      </w:r>
      <w:r>
        <w:rPr>
          <w:sz w:val="29"/>
          <w:szCs w:val="29"/>
          <w:spacing w:val="11"/>
        </w:rPr>
        <w:t xml:space="preserve"> </w:t>
      </w:r>
      <w:r>
        <w:rPr>
          <w:sz w:val="29"/>
          <w:szCs w:val="29"/>
          <w:spacing w:val="-1"/>
        </w:rPr>
        <w:t>草坪与路面交接处时有泥土也要及时清理。</w:t>
      </w:r>
    </w:p>
    <w:p>
      <w:pPr>
        <w:ind w:left="570"/>
        <w:spacing w:before="183"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94" w:firstLine="570"/>
        <w:spacing w:before="101" w:line="320" w:lineRule="auto"/>
        <w:rPr>
          <w:sz w:val="29"/>
          <w:szCs w:val="29"/>
        </w:rPr>
      </w:pPr>
      <w:r>
        <w:rPr>
          <w:sz w:val="29"/>
          <w:szCs w:val="29"/>
          <w:spacing w:val="-1"/>
        </w:rPr>
        <w:t>为高温高湿的多雨季节，仍注意苗木实时浇水，同时也要注意时花的适时浇</w:t>
      </w:r>
      <w:r>
        <w:rPr>
          <w:sz w:val="29"/>
          <w:szCs w:val="29"/>
          <w:spacing w:val="17"/>
        </w:rPr>
        <w:t xml:space="preserve"> </w:t>
      </w:r>
      <w:r>
        <w:rPr>
          <w:sz w:val="29"/>
          <w:szCs w:val="29"/>
          <w:spacing w:val="-8"/>
        </w:rPr>
        <w:t>水。做好排涝工作，对于因积水导致烂根的苗木，应起挖出来重新种植，并</w:t>
      </w:r>
      <w:r>
        <w:rPr>
          <w:sz w:val="29"/>
          <w:szCs w:val="29"/>
          <w:spacing w:val="-9"/>
        </w:rPr>
        <w:t>对腐烂</w:t>
      </w:r>
      <w:r>
        <w:rPr>
          <w:sz w:val="29"/>
          <w:szCs w:val="29"/>
        </w:rPr>
        <w:t xml:space="preserve"> </w:t>
      </w:r>
      <w:r>
        <w:rPr>
          <w:sz w:val="29"/>
          <w:szCs w:val="29"/>
          <w:spacing w:val="2"/>
        </w:rPr>
        <w:t>根系断根，消毒处理。</w:t>
      </w:r>
    </w:p>
    <w:p>
      <w:pPr>
        <w:pStyle w:val="BodyText"/>
        <w:ind w:left="570"/>
        <w:spacing w:before="2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699" w:firstLine="720"/>
        <w:spacing w:before="103" w:line="260" w:lineRule="auto"/>
        <w:rPr>
          <w:sz w:val="29"/>
          <w:szCs w:val="29"/>
        </w:rPr>
      </w:pPr>
      <w:r>
        <w:rPr>
          <w:sz w:val="29"/>
          <w:szCs w:val="29"/>
          <w:spacing w:val="-9"/>
        </w:rPr>
        <w:t>(1)病害：锈病、煤污病、叶枯病、干腐病、紫纹羽病、枝枯病、枯萎病、</w:t>
      </w:r>
      <w:r>
        <w:rPr>
          <w:sz w:val="29"/>
          <w:szCs w:val="29"/>
          <w:spacing w:val="5"/>
        </w:rPr>
        <w:t xml:space="preserve"> </w:t>
      </w:r>
      <w:r>
        <w:rPr>
          <w:sz w:val="29"/>
          <w:szCs w:val="29"/>
          <w:spacing w:val="-5"/>
        </w:rPr>
        <w:t>草坪腐霉枯萎病、细菌性穿孔病、冠瘿病、花叶病等；</w:t>
      </w:r>
    </w:p>
    <w:p>
      <w:pPr>
        <w:pStyle w:val="BodyText"/>
        <w:ind w:firstLine="720"/>
        <w:spacing w:before="164" w:line="289" w:lineRule="auto"/>
        <w:rPr>
          <w:sz w:val="29"/>
          <w:szCs w:val="29"/>
        </w:rPr>
      </w:pPr>
      <w:r>
        <w:rPr>
          <w:sz w:val="29"/>
          <w:szCs w:val="29"/>
          <w:spacing w:val="-2"/>
        </w:rPr>
        <w:t>(2)虫害：桃一点斑叶蝉、大青叶蝉、梨网冠蝽、梧桐木虱、朱砂叶螨(棉花</w:t>
      </w:r>
      <w:r>
        <w:rPr>
          <w:sz w:val="29"/>
          <w:szCs w:val="29"/>
          <w:spacing w:val="2"/>
        </w:rPr>
        <w:t xml:space="preserve">   </w:t>
      </w:r>
      <w:r>
        <w:rPr>
          <w:sz w:val="29"/>
          <w:szCs w:val="29"/>
          <w:spacing w:val="7"/>
        </w:rPr>
        <w:t>红蜘蛛、红叶螨)、花蓟马、桑天牛、星天牛、光肩星天牛、芳香木蠹蛾</w:t>
      </w:r>
      <w:r>
        <w:rPr>
          <w:sz w:val="29"/>
          <w:szCs w:val="29"/>
          <w:spacing w:val="6"/>
        </w:rPr>
        <w:t>、白蚁、</w:t>
      </w:r>
      <w:r>
        <w:rPr>
          <w:sz w:val="29"/>
          <w:szCs w:val="29"/>
        </w:rPr>
        <w:t xml:space="preserve"> </w:t>
      </w:r>
      <w:r>
        <w:rPr>
          <w:sz w:val="29"/>
          <w:szCs w:val="29"/>
          <w:spacing w:val="-20"/>
        </w:rPr>
        <w:t>小青花金龟、大黑鳃金龟、大地老虎、蝼蛄、细胸金针虫、黄刺蛾、扁刺蛾、丽绿刺蛾、</w:t>
      </w:r>
      <w:r>
        <w:rPr>
          <w:sz w:val="29"/>
          <w:szCs w:val="29"/>
          <w:spacing w:val="13"/>
        </w:rPr>
        <w:t xml:space="preserve"> </w:t>
      </w:r>
      <w:r>
        <w:rPr>
          <w:sz w:val="29"/>
          <w:szCs w:val="29"/>
          <w:spacing w:val="-10"/>
        </w:rPr>
        <w:t>褐边绿刺蛾、桑褐刺蛾、茶袋蛾、大袋蛾、</w:t>
      </w:r>
      <w:r>
        <w:rPr>
          <w:sz w:val="29"/>
          <w:szCs w:val="29"/>
          <w:spacing w:val="-11"/>
        </w:rPr>
        <w:t>黄尾毒蛾、桃剑纹夜蛾、斜纹夜蛾、丝</w:t>
      </w:r>
    </w:p>
    <w:p>
      <w:pPr>
        <w:pStyle w:val="BodyText"/>
        <w:ind w:right="328"/>
        <w:spacing w:before="135" w:line="266" w:lineRule="auto"/>
        <w:rPr>
          <w:sz w:val="29"/>
          <w:szCs w:val="29"/>
        </w:rPr>
      </w:pPr>
      <w:r>
        <w:rPr>
          <w:sz w:val="29"/>
          <w:szCs w:val="29"/>
          <w:spacing w:val="-6"/>
        </w:rPr>
        <w:t>棉木金星尺蛾、国槐尺蛾、绿尾大蚕蛾、柑桔凤蝶、玉带凤蝶</w:t>
      </w:r>
      <w:r>
        <w:rPr>
          <w:sz w:val="29"/>
          <w:szCs w:val="29"/>
          <w:spacing w:val="-7"/>
        </w:rPr>
        <w:t>、蔷薇三节叶蜂、柳</w:t>
      </w:r>
      <w:r>
        <w:rPr>
          <w:sz w:val="29"/>
          <w:szCs w:val="29"/>
        </w:rPr>
        <w:t xml:space="preserve"> </w:t>
      </w:r>
      <w:r>
        <w:rPr>
          <w:sz w:val="29"/>
          <w:szCs w:val="29"/>
          <w:spacing w:val="-9"/>
        </w:rPr>
        <w:t>蓝叶甲等。</w:t>
      </w:r>
    </w:p>
    <w:p>
      <w:pPr>
        <w:pStyle w:val="BodyText"/>
        <w:ind w:left="570"/>
        <w:spacing w:before="166"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89" w:firstLine="720"/>
        <w:spacing w:before="112" w:line="259"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83" w:firstLine="720"/>
        <w:spacing w:before="135" w:line="276" w:lineRule="auto"/>
        <w:rPr>
          <w:sz w:val="29"/>
          <w:szCs w:val="29"/>
        </w:rPr>
      </w:pPr>
      <w:r>
        <w:rPr>
          <w:sz w:val="29"/>
          <w:szCs w:val="29"/>
          <w:spacing w:val="4"/>
        </w:rPr>
        <w:t>(2)</w:t>
      </w:r>
      <w:r>
        <w:rPr>
          <w:sz w:val="29"/>
          <w:szCs w:val="29"/>
          <w:spacing w:val="82"/>
        </w:rPr>
        <w:t xml:space="preserve"> </w:t>
      </w:r>
      <w:r>
        <w:rPr>
          <w:sz w:val="29"/>
          <w:szCs w:val="29"/>
          <w:spacing w:val="4"/>
        </w:rPr>
        <w:t>在业主上班高峰期前对园区内的重点区域(大门</w:t>
      </w:r>
      <w:r>
        <w:rPr>
          <w:sz w:val="29"/>
          <w:szCs w:val="29"/>
          <w:spacing w:val="3"/>
        </w:rPr>
        <w:t>内外、主干通道、销</w:t>
      </w:r>
      <w:r>
        <w:rPr>
          <w:sz w:val="29"/>
          <w:szCs w:val="29"/>
        </w:rPr>
        <w:t xml:space="preserve"> </w:t>
      </w:r>
      <w:r>
        <w:rPr>
          <w:sz w:val="29"/>
          <w:szCs w:val="29"/>
          <w:spacing w:val="12"/>
        </w:rPr>
        <w:t>售展示区)进行彻底清理。</w:t>
      </w:r>
    </w:p>
    <w:p>
      <w:pPr>
        <w:ind w:left="570"/>
        <w:spacing w:before="18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491" w:firstLine="720"/>
        <w:spacing w:before="9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20"/>
        <w:spacing w:before="142" w:line="219" w:lineRule="auto"/>
        <w:rPr>
          <w:sz w:val="29"/>
          <w:szCs w:val="29"/>
        </w:rPr>
      </w:pPr>
      <w:r>
        <w:rPr>
          <w:sz w:val="29"/>
          <w:szCs w:val="29"/>
          <w:spacing w:val="11"/>
        </w:rPr>
        <w:t>(2)进行机械工具的检查维修。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9"/>
        </w:rPr>
        <w:t>7</w:t>
      </w:r>
      <w:r>
        <w:rPr>
          <w:sz w:val="29"/>
          <w:szCs w:val="29"/>
          <w:spacing w:val="9"/>
        </w:rPr>
        <w:t>、</w:t>
      </w:r>
      <w:r>
        <w:rPr>
          <w:rFonts w:ascii="SimHei" w:hAnsi="SimHei" w:eastAsia="SimHei" w:cs="SimHei"/>
          <w:sz w:val="29"/>
          <w:szCs w:val="29"/>
          <w:spacing w:val="9"/>
        </w:rPr>
        <w:t>防火防盗</w:t>
      </w:r>
    </w:p>
    <w:p>
      <w:pPr>
        <w:pStyle w:val="BodyText"/>
        <w:ind w:right="140" w:firstLine="570"/>
        <w:spacing w:before="106" w:line="320" w:lineRule="auto"/>
        <w:rPr>
          <w:sz w:val="29"/>
          <w:szCs w:val="29"/>
        </w:rPr>
      </w:pPr>
      <w:r>
        <w:rPr>
          <w:sz w:val="29"/>
          <w:szCs w:val="29"/>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line="320" w:lineRule="auto"/>
        <w:sectPr>
          <w:footerReference w:type="default" r:id="rId554"/>
          <w:pgSz w:w="14490" w:h="20470"/>
          <w:pgMar w:top="400" w:right="1795" w:bottom="1433" w:left="2150" w:header="0" w:footer="1235" w:gutter="0"/>
        </w:sectPr>
        <w:rPr>
          <w:sz w:val="29"/>
          <w:szCs w:val="29"/>
        </w:rPr>
      </w:pP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9"/>
        </w:rPr>
        <w:t>八月份</w:t>
      </w:r>
    </w:p>
    <w:p>
      <w:pPr>
        <w:pStyle w:val="BodyText"/>
        <w:ind w:left="570"/>
        <w:spacing w:before="139" w:line="219" w:lineRule="auto"/>
        <w:rPr>
          <w:sz w:val="29"/>
          <w:szCs w:val="29"/>
        </w:rPr>
      </w:pPr>
      <w:r>
        <w:rPr>
          <w:sz w:val="29"/>
          <w:szCs w:val="29"/>
          <w:spacing w:val="4"/>
        </w:rPr>
        <w:t>台风、雨水较多，应做好防台排涝工作</w:t>
      </w:r>
    </w:p>
    <w:p>
      <w:pPr>
        <w:pStyle w:val="BodyText"/>
        <w:ind w:left="570"/>
        <w:spacing w:before="28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13" w:line="219" w:lineRule="auto"/>
        <w:rPr>
          <w:sz w:val="29"/>
          <w:szCs w:val="29"/>
        </w:rPr>
      </w:pPr>
      <w:r>
        <w:rPr>
          <w:sz w:val="29"/>
          <w:szCs w:val="29"/>
          <w:spacing w:val="-2"/>
        </w:rPr>
        <w:t>(1)</w:t>
      </w:r>
      <w:r>
        <w:rPr>
          <w:sz w:val="29"/>
          <w:szCs w:val="29"/>
          <w:spacing w:val="82"/>
        </w:rPr>
        <w:t xml:space="preserve"> </w:t>
      </w:r>
      <w:r>
        <w:rPr>
          <w:sz w:val="29"/>
          <w:szCs w:val="29"/>
          <w:spacing w:val="-2"/>
        </w:rPr>
        <w:t>及时检查乔木支撑情况，发现松动或</w:t>
      </w:r>
      <w:r>
        <w:rPr>
          <w:sz w:val="29"/>
          <w:szCs w:val="29"/>
          <w:spacing w:val="-3"/>
        </w:rPr>
        <w:t>缺失立即加固；</w:t>
      </w:r>
    </w:p>
    <w:p>
      <w:pPr>
        <w:pStyle w:val="BodyText"/>
        <w:ind w:left="720"/>
        <w:spacing w:before="146" w:line="219" w:lineRule="auto"/>
        <w:rPr>
          <w:sz w:val="29"/>
          <w:szCs w:val="29"/>
        </w:rPr>
      </w:pPr>
      <w:r>
        <w:rPr>
          <w:sz w:val="29"/>
          <w:szCs w:val="29"/>
          <w:spacing w:val="-4"/>
        </w:rPr>
        <w:t>(2)继续做好乔灌木的防台风工作，大雨过后，对低洼积水处要及时排涝。</w:t>
      </w:r>
    </w:p>
    <w:p>
      <w:pPr>
        <w:pStyle w:val="BodyText"/>
        <w:ind w:left="570"/>
        <w:spacing w:before="13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720"/>
        <w:spacing w:before="126" w:line="219" w:lineRule="auto"/>
        <w:rPr>
          <w:sz w:val="29"/>
          <w:szCs w:val="29"/>
        </w:rPr>
      </w:pPr>
      <w:r>
        <w:rPr>
          <w:sz w:val="29"/>
          <w:szCs w:val="29"/>
          <w:spacing w:val="6"/>
        </w:rPr>
        <w:t>(1)树木摘除修剪徒长枝外，要对绿篱、地被、造</w:t>
      </w:r>
      <w:r>
        <w:rPr>
          <w:sz w:val="29"/>
          <w:szCs w:val="29"/>
          <w:spacing w:val="5"/>
        </w:rPr>
        <w:t>型树与草坪及时修剪；</w:t>
      </w:r>
    </w:p>
    <w:p>
      <w:pPr>
        <w:pStyle w:val="BodyText"/>
        <w:ind w:left="720"/>
        <w:spacing w:before="164" w:line="219" w:lineRule="auto"/>
        <w:rPr>
          <w:sz w:val="29"/>
          <w:szCs w:val="29"/>
        </w:rPr>
      </w:pPr>
      <w:r>
        <w:rPr>
          <w:sz w:val="29"/>
          <w:szCs w:val="29"/>
          <w:spacing w:val="7"/>
        </w:rPr>
        <w:t>(2)除草：杂草生长也旺盛，要及时的除草，并可结合除</w:t>
      </w:r>
      <w:r>
        <w:rPr>
          <w:sz w:val="29"/>
          <w:szCs w:val="29"/>
          <w:spacing w:val="6"/>
        </w:rPr>
        <w:t>草进行施肥。</w:t>
      </w:r>
    </w:p>
    <w:p>
      <w:pPr>
        <w:pStyle w:val="BodyText"/>
        <w:ind w:left="570"/>
        <w:spacing w:before="54"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right="183" w:firstLine="570"/>
        <w:spacing w:before="148" w:line="327" w:lineRule="auto"/>
        <w:rPr>
          <w:sz w:val="29"/>
          <w:szCs w:val="29"/>
        </w:rPr>
      </w:pPr>
      <w:r>
        <w:rPr>
          <w:sz w:val="29"/>
          <w:szCs w:val="29"/>
          <w:spacing w:val="2"/>
        </w:rPr>
        <w:t>本月为高温高湿的多雨季节，仍注意苗木实时浇水，同时也要注意时花的适</w:t>
      </w:r>
      <w:r>
        <w:rPr>
          <w:sz w:val="29"/>
          <w:szCs w:val="29"/>
          <w:spacing w:val="13"/>
        </w:rPr>
        <w:t xml:space="preserve"> </w:t>
      </w:r>
      <w:r>
        <w:rPr>
          <w:sz w:val="29"/>
          <w:szCs w:val="29"/>
          <w:spacing w:val="-1"/>
        </w:rPr>
        <w:t>时浇水。做好排涝工作。</w:t>
      </w:r>
    </w:p>
    <w:p>
      <w:pPr>
        <w:pStyle w:val="BodyText"/>
        <w:ind w:left="570"/>
        <w:spacing w:before="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3" w:firstLine="720"/>
        <w:spacing w:before="85" w:line="275" w:lineRule="auto"/>
        <w:rPr>
          <w:sz w:val="29"/>
          <w:szCs w:val="29"/>
        </w:rPr>
      </w:pPr>
      <w:r>
        <w:rPr>
          <w:sz w:val="29"/>
          <w:szCs w:val="29"/>
          <w:spacing w:val="6"/>
        </w:rPr>
        <w:t>(1)病害：煤污病、叶枯病、干腐病、紫纹羽病、枝枯病、枯萎病、草坪</w:t>
      </w:r>
      <w:r>
        <w:rPr>
          <w:sz w:val="29"/>
          <w:szCs w:val="29"/>
          <w:spacing w:val="7"/>
        </w:rPr>
        <w:t xml:space="preserve"> </w:t>
      </w:r>
      <w:r>
        <w:rPr>
          <w:sz w:val="29"/>
          <w:szCs w:val="29"/>
        </w:rPr>
        <w:t>腐霉枯萎病、细菌性穿孔病、冠瘿病、花叶病、丛枝病等；</w:t>
      </w:r>
    </w:p>
    <w:p>
      <w:pPr>
        <w:pStyle w:val="BodyText"/>
        <w:ind w:firstLine="720"/>
        <w:spacing w:before="125" w:line="292" w:lineRule="auto"/>
        <w:rPr>
          <w:sz w:val="29"/>
          <w:szCs w:val="29"/>
        </w:rPr>
      </w:pPr>
      <w:r>
        <w:rPr>
          <w:sz w:val="29"/>
          <w:szCs w:val="29"/>
          <w:spacing w:val="5"/>
        </w:rPr>
        <w:t>(2)虫害：桃一点斑叶蝉、大青叶蝉、梨网冠蝽、</w:t>
      </w:r>
      <w:r>
        <w:rPr>
          <w:sz w:val="29"/>
          <w:szCs w:val="29"/>
          <w:spacing w:val="4"/>
        </w:rPr>
        <w:t>梧桐木虱、朱砂叶螨(棉</w:t>
      </w:r>
      <w:r>
        <w:rPr>
          <w:sz w:val="29"/>
          <w:szCs w:val="29"/>
        </w:rPr>
        <w:t xml:space="preserve">  </w:t>
      </w:r>
      <w:r>
        <w:rPr>
          <w:sz w:val="29"/>
          <w:szCs w:val="29"/>
          <w:spacing w:val="4"/>
        </w:rPr>
        <w:t>花红蜘蛛、红叶螨)、花蓟马、桑天牛、光肩星天牛、芳香木蠹蛾、白蚁、小青</w:t>
      </w:r>
      <w:r>
        <w:rPr>
          <w:sz w:val="29"/>
          <w:szCs w:val="29"/>
          <w:spacing w:val="3"/>
        </w:rPr>
        <w:t xml:space="preserve">  </w:t>
      </w:r>
      <w:r>
        <w:rPr>
          <w:sz w:val="29"/>
          <w:szCs w:val="29"/>
          <w:spacing w:val="-9"/>
        </w:rPr>
        <w:t>花金龟、大地老虎、蝼蛄、细胸金针虫、黄刺蛾、扁刺蛾、丽绿刺蛾、褐边绿刺蛾、</w:t>
      </w:r>
      <w:r>
        <w:rPr>
          <w:sz w:val="29"/>
          <w:szCs w:val="29"/>
          <w:spacing w:val="6"/>
        </w:rPr>
        <w:t xml:space="preserve"> </w:t>
      </w:r>
      <w:r>
        <w:rPr>
          <w:sz w:val="29"/>
          <w:szCs w:val="29"/>
          <w:spacing w:val="-9"/>
        </w:rPr>
        <w:t>茶袋蛾、大袋蛾、黄尾毒蛾、斜纹夜蛾、丝棉木金星尺蛾、国槐尺蛾、绿尾大蚕蛾、</w:t>
      </w:r>
      <w:r>
        <w:rPr>
          <w:sz w:val="29"/>
          <w:szCs w:val="29"/>
          <w:spacing w:val="6"/>
        </w:rPr>
        <w:t xml:space="preserve"> </w:t>
      </w:r>
      <w:r>
        <w:rPr>
          <w:sz w:val="29"/>
          <w:szCs w:val="29"/>
          <w:spacing w:val="-12"/>
        </w:rPr>
        <w:t>柑桔凤蝶、玉带凤蝶、蔷薇三节叶蜂、柳蓝叶甲等。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40" w:firstLine="720"/>
        <w:spacing w:before="113" w:line="265"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333" w:firstLine="720"/>
        <w:spacing w:before="138" w:line="272"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1"/>
        </w:rPr>
        <w:t>售展示区)进行彻底清理。</w:t>
      </w:r>
    </w:p>
    <w:p>
      <w:pPr>
        <w:ind w:left="570"/>
        <w:spacing w:before="17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20"/>
        <w:spacing w:before="92" w:line="273"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11"/>
        </w:rPr>
        <w:t>危险品；</w:t>
      </w:r>
    </w:p>
    <w:p>
      <w:pPr>
        <w:pStyle w:val="BodyText"/>
        <w:ind w:left="720"/>
        <w:spacing w:before="131" w:line="219" w:lineRule="auto"/>
        <w:rPr>
          <w:sz w:val="29"/>
          <w:szCs w:val="29"/>
        </w:rPr>
      </w:pPr>
      <w:r>
        <w:rPr>
          <w:sz w:val="29"/>
          <w:szCs w:val="29"/>
          <w:spacing w:val="9"/>
        </w:rPr>
        <w:t>(2)进行机械工具的检查维修。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70"/>
        <w:spacing w:before="145" w:line="311" w:lineRule="auto"/>
        <w:rPr>
          <w:sz w:val="29"/>
          <w:szCs w:val="29"/>
        </w:rPr>
      </w:pPr>
      <w:r>
        <w:rPr>
          <w:sz w:val="29"/>
          <w:szCs w:val="29"/>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86"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70"/>
        <w:spacing w:before="119" w:line="219" w:lineRule="auto"/>
        <w:rPr>
          <w:sz w:val="29"/>
          <w:szCs w:val="29"/>
        </w:rPr>
      </w:pPr>
      <w:r>
        <w:rPr>
          <w:sz w:val="29"/>
          <w:szCs w:val="29"/>
          <w:spacing w:val="4"/>
        </w:rPr>
        <w:t>气温有所下降，做好迎中秋、国庆的相关工作。</w:t>
      </w:r>
    </w:p>
    <w:p>
      <w:pPr>
        <w:spacing w:line="219" w:lineRule="auto"/>
        <w:sectPr>
          <w:footerReference w:type="default" r:id="rId555"/>
          <w:pgSz w:w="14490" w:h="20470"/>
          <w:pgMar w:top="400" w:right="1935" w:bottom="1433" w:left="2150" w:header="0" w:footer="1235" w:gutter="0"/>
        </w:sectPr>
        <w:rPr>
          <w:sz w:val="29"/>
          <w:szCs w:val="29"/>
        </w:rPr>
      </w:pP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left="570"/>
        <w:spacing w:before="9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93" w:line="219" w:lineRule="auto"/>
        <w:rPr>
          <w:sz w:val="29"/>
          <w:szCs w:val="29"/>
        </w:rPr>
      </w:pPr>
      <w:r>
        <w:rPr>
          <w:sz w:val="29"/>
          <w:szCs w:val="29"/>
          <w:spacing w:val="1"/>
        </w:rPr>
        <w:t>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219" w:firstLine="570"/>
        <w:spacing w:before="146" w:line="324" w:lineRule="auto"/>
        <w:rPr>
          <w:sz w:val="29"/>
          <w:szCs w:val="29"/>
        </w:rPr>
      </w:pPr>
      <w:r>
        <w:rPr>
          <w:sz w:val="29"/>
          <w:szCs w:val="29"/>
          <w:spacing w:val="1"/>
        </w:rPr>
        <w:t>迎接市容工作，乔灌木分叉以下剥芽，绿篱造型及草坪修剪。绿地内除草， </w:t>
      </w:r>
      <w:r>
        <w:rPr>
          <w:sz w:val="29"/>
          <w:szCs w:val="29"/>
        </w:rPr>
        <w:t>草坪切边，及时清理死树，做到树木青枝绿叶，绿地干净整齐。</w:t>
      </w:r>
    </w:p>
    <w:p>
      <w:pPr>
        <w:ind w:left="570"/>
        <w:spacing w:line="221" w:lineRule="auto"/>
        <w:rPr>
          <w:rFonts w:ascii="SimHei" w:hAnsi="SimHei" w:eastAsia="SimHei" w:cs="SimHei"/>
          <w:sz w:val="29"/>
          <w:szCs w:val="29"/>
        </w:rPr>
      </w:pPr>
      <w:r>
        <w:rPr>
          <w:rFonts w:ascii="SimHei" w:hAnsi="SimHei" w:eastAsia="SimHei" w:cs="SimHei"/>
          <w:sz w:val="29"/>
          <w:szCs w:val="29"/>
          <w:spacing w:val="-1"/>
        </w:rPr>
        <w:t>3、水肥管理</w:t>
      </w:r>
    </w:p>
    <w:p>
      <w:pPr>
        <w:pStyle w:val="BodyText"/>
        <w:ind w:left="720"/>
        <w:spacing w:before="93" w:line="219" w:lineRule="auto"/>
        <w:rPr>
          <w:sz w:val="29"/>
          <w:szCs w:val="29"/>
        </w:rPr>
      </w:pPr>
      <w:r>
        <w:rPr>
          <w:sz w:val="29"/>
          <w:szCs w:val="29"/>
          <w:spacing w:val="6"/>
        </w:rPr>
        <w:t>(1)迎国庆，草花更换，选择颜色鲜艳的草花品种，注意浇水要充足；</w:t>
      </w:r>
    </w:p>
    <w:p>
      <w:pPr>
        <w:pStyle w:val="BodyText"/>
        <w:ind w:firstLine="720"/>
        <w:spacing w:before="149" w:line="282" w:lineRule="auto"/>
        <w:rPr>
          <w:sz w:val="29"/>
          <w:szCs w:val="29"/>
        </w:rPr>
      </w:pPr>
      <w:r>
        <w:rPr>
          <w:sz w:val="29"/>
          <w:szCs w:val="29"/>
          <w:spacing w:val="5"/>
        </w:rPr>
        <w:t>(2)中旬追施一次有无机复合肥(含有1%  总养分以上，有机质大于20%)。,</w:t>
      </w:r>
      <w:r>
        <w:rPr>
          <w:sz w:val="29"/>
          <w:szCs w:val="29"/>
          <w:spacing w:val="16"/>
        </w:rPr>
        <w:t xml:space="preserve"> </w:t>
      </w:r>
      <w:r>
        <w:rPr>
          <w:sz w:val="29"/>
          <w:szCs w:val="29"/>
          <w:spacing w:val="-9"/>
        </w:rPr>
        <w:t>若植物长势一般或较差追施一次氮、磷、钾均衡的无机复合肥、乔木及大灌</w:t>
      </w:r>
      <w:r>
        <w:rPr>
          <w:sz w:val="29"/>
          <w:szCs w:val="29"/>
          <w:spacing w:val="-10"/>
        </w:rPr>
        <w:t>木穴施、</w:t>
      </w:r>
      <w:r>
        <w:rPr>
          <w:sz w:val="29"/>
          <w:szCs w:val="29"/>
        </w:rPr>
        <w:t xml:space="preserve"> </w:t>
      </w:r>
      <w:r>
        <w:rPr>
          <w:sz w:val="29"/>
          <w:szCs w:val="29"/>
          <w:spacing w:val="-3"/>
        </w:rPr>
        <w:t>板结区域施松土肥。</w:t>
      </w:r>
    </w:p>
    <w:p>
      <w:pPr>
        <w:pStyle w:val="BodyText"/>
        <w:ind w:left="570"/>
        <w:spacing w:before="21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29" w:firstLine="720"/>
        <w:spacing w:before="64" w:line="269" w:lineRule="auto"/>
        <w:rPr>
          <w:sz w:val="29"/>
          <w:szCs w:val="29"/>
        </w:rPr>
      </w:pPr>
      <w:r>
        <w:rPr>
          <w:sz w:val="29"/>
          <w:szCs w:val="29"/>
          <w:spacing w:val="6"/>
        </w:rPr>
        <w:t>(1)病害：叶斑类病害、锈病、煤污病、叶枯病、干腐病、紫纹羽病、枝</w:t>
      </w:r>
      <w:r>
        <w:rPr>
          <w:sz w:val="29"/>
          <w:szCs w:val="29"/>
          <w:spacing w:val="11"/>
        </w:rPr>
        <w:t xml:space="preserve"> </w:t>
      </w:r>
      <w:r>
        <w:rPr>
          <w:sz w:val="29"/>
          <w:szCs w:val="29"/>
        </w:rPr>
        <w:t>枯病、草坪腐霉枯萎病、冠瘿病、花叶病、丛枝病等；</w:t>
      </w:r>
    </w:p>
    <w:p>
      <w:pPr>
        <w:pStyle w:val="BodyText"/>
        <w:ind w:right="159" w:firstLine="720"/>
        <w:spacing w:before="166" w:line="265" w:lineRule="auto"/>
        <w:rPr>
          <w:sz w:val="29"/>
          <w:szCs w:val="29"/>
        </w:rPr>
      </w:pPr>
      <w:r>
        <w:rPr>
          <w:sz w:val="29"/>
          <w:szCs w:val="29"/>
          <w:spacing w:val="11"/>
        </w:rPr>
        <w:t>(2)虫害：桃一点斑叶蝉、大青叶蝉、朱砂叶螨(棉花红蜘蛛、红叶螨)、</w:t>
      </w:r>
      <w:r>
        <w:rPr>
          <w:sz w:val="29"/>
          <w:szCs w:val="29"/>
          <w:spacing w:val="5"/>
        </w:rPr>
        <w:t xml:space="preserve"> </w:t>
      </w:r>
      <w:r>
        <w:rPr>
          <w:sz w:val="29"/>
          <w:szCs w:val="29"/>
          <w:spacing w:val="1"/>
        </w:rPr>
        <w:t>花蓟马、桑天牛、光肩星天牛、芳香木蠹蛾、白蚁、小</w:t>
      </w:r>
      <w:r>
        <w:rPr>
          <w:sz w:val="29"/>
          <w:szCs w:val="29"/>
        </w:rPr>
        <w:t>青花金龟、铜绿丽金龟、</w:t>
      </w:r>
    </w:p>
    <w:p>
      <w:pPr>
        <w:pStyle w:val="BodyText"/>
        <w:ind w:right="79"/>
        <w:spacing w:before="145" w:line="279" w:lineRule="auto"/>
        <w:rPr>
          <w:sz w:val="29"/>
          <w:szCs w:val="29"/>
        </w:rPr>
      </w:pPr>
      <w:r>
        <w:rPr>
          <w:sz w:val="29"/>
          <w:szCs w:val="29"/>
          <w:spacing w:val="-9"/>
        </w:rPr>
        <w:t>大地老虎、蝼蛄、细胸金针虫、黄刺蛾、丽绿刺蛾、褐</w:t>
      </w:r>
      <w:r>
        <w:rPr>
          <w:sz w:val="29"/>
          <w:szCs w:val="29"/>
          <w:spacing w:val="-10"/>
        </w:rPr>
        <w:t>边绿刺蛾、茶袋蛾、黄尾毒</w:t>
      </w:r>
      <w:r>
        <w:rPr>
          <w:sz w:val="29"/>
          <w:szCs w:val="29"/>
        </w:rPr>
        <w:t xml:space="preserve">  </w:t>
      </w:r>
      <w:r>
        <w:rPr>
          <w:sz w:val="29"/>
          <w:szCs w:val="29"/>
          <w:spacing w:val="-11"/>
        </w:rPr>
        <w:t>蛾、斜纹夜蛾、丝棉木金星尺蛾、国槐尺蛾、绿尾大蚕蛾、柑桔</w:t>
      </w:r>
      <w:r>
        <w:rPr>
          <w:sz w:val="29"/>
          <w:szCs w:val="29"/>
          <w:spacing w:val="-12"/>
        </w:rPr>
        <w:t>凤蝶、玉带凤蝶、蔷</w:t>
      </w:r>
      <w:r>
        <w:rPr>
          <w:sz w:val="29"/>
          <w:szCs w:val="29"/>
        </w:rPr>
        <w:t xml:space="preserve"> </w:t>
      </w:r>
      <w:r>
        <w:rPr>
          <w:sz w:val="29"/>
          <w:szCs w:val="29"/>
          <w:spacing w:val="-12"/>
        </w:rPr>
        <w:t>薇三节叶蜂、柳蓝叶甲等。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0" w:firstLine="720"/>
        <w:spacing w:before="74" w:line="271"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1"/>
        </w:rPr>
        <w:t>池、灯杆、垃圾桶保持干净；</w:t>
      </w:r>
    </w:p>
    <w:p>
      <w:pPr>
        <w:pStyle w:val="BodyText"/>
        <w:ind w:right="323" w:firstLine="720"/>
        <w:spacing w:before="148" w:line="272"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1"/>
        </w:rPr>
        <w:t>售展示区)进行彻底清理。</w:t>
      </w:r>
    </w:p>
    <w:p>
      <w:pPr>
        <w:pStyle w:val="BodyText"/>
        <w:ind w:left="570"/>
        <w:spacing w:before="12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时花摆放</w:t>
      </w:r>
    </w:p>
    <w:p>
      <w:pPr>
        <w:pStyle w:val="BodyText"/>
        <w:ind w:left="720"/>
        <w:spacing w:before="9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2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04" w:line="222"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物资管理</w:t>
      </w:r>
    </w:p>
    <w:p>
      <w:pPr>
        <w:pStyle w:val="BodyText"/>
        <w:ind w:right="331" w:firstLine="720"/>
        <w:spacing w:before="153" w:line="263"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287" w:firstLine="720"/>
        <w:spacing w:before="153" w:line="264"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5"/>
        </w:rPr>
        <w:t>及其它物资；</w:t>
      </w:r>
    </w:p>
    <w:p>
      <w:pPr>
        <w:pStyle w:val="BodyText"/>
        <w:ind w:left="720"/>
        <w:spacing w:before="149" w:line="219" w:lineRule="auto"/>
        <w:rPr>
          <w:sz w:val="29"/>
          <w:szCs w:val="29"/>
        </w:rPr>
      </w:pPr>
      <w:r>
        <w:rPr>
          <w:sz w:val="29"/>
          <w:szCs w:val="29"/>
          <w:spacing w:val="11"/>
        </w:rPr>
        <w:t>(3)进行机械工具的检查维修。</w:t>
      </w:r>
    </w:p>
    <w:p>
      <w:pPr>
        <w:pStyle w:val="BodyText"/>
        <w:ind w:left="570"/>
        <w:spacing w:before="74" w:line="395"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防火防盗</w:t>
      </w:r>
    </w:p>
    <w:p>
      <w:pPr>
        <w:pStyle w:val="BodyText"/>
        <w:ind w:left="570"/>
        <w:spacing w:before="129" w:line="219" w:lineRule="auto"/>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556"/>
          <w:pgSz w:w="14490" w:h="20470"/>
          <w:pgMar w:top="400" w:right="194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80"/>
        <w:spacing w:before="94" w:line="322" w:lineRule="auto"/>
        <w:rPr>
          <w:sz w:val="29"/>
          <w:szCs w:val="29"/>
        </w:rPr>
      </w:pP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12"/>
        </w:rPr>
        <w:t>十月份</w:t>
      </w:r>
    </w:p>
    <w:p>
      <w:pPr>
        <w:pStyle w:val="BodyText"/>
        <w:ind w:right="351" w:firstLine="570"/>
        <w:spacing w:before="118" w:line="282" w:lineRule="auto"/>
        <w:rPr>
          <w:sz w:val="29"/>
          <w:szCs w:val="29"/>
        </w:rPr>
      </w:pPr>
      <w:r>
        <w:rPr>
          <w:sz w:val="29"/>
          <w:szCs w:val="29"/>
          <w:spacing w:val="-9"/>
        </w:rPr>
        <w:t>气温下降，十月下旬进入初冬，树木开始落叶，陆续进入休眠期，下旬名</w:t>
      </w:r>
      <w:r>
        <w:rPr>
          <w:sz w:val="29"/>
          <w:szCs w:val="29"/>
          <w:spacing w:val="-10"/>
        </w:rPr>
        <w:t>贵苗</w:t>
      </w:r>
      <w:r>
        <w:rPr>
          <w:sz w:val="29"/>
          <w:szCs w:val="29"/>
        </w:rPr>
        <w:t xml:space="preserve"> </w:t>
      </w:r>
      <w:r>
        <w:rPr>
          <w:sz w:val="29"/>
          <w:szCs w:val="29"/>
          <w:spacing w:val="6"/>
        </w:rPr>
        <w:t>木防寒棚骨架开始陆续搭建。</w:t>
      </w:r>
    </w:p>
    <w:p>
      <w:pPr>
        <w:pStyle w:val="BodyText"/>
        <w:ind w:left="570"/>
        <w:spacing w:before="162"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53" w:line="219" w:lineRule="auto"/>
        <w:rPr>
          <w:sz w:val="29"/>
          <w:szCs w:val="29"/>
        </w:rPr>
      </w:pPr>
      <w:r>
        <w:rPr>
          <w:sz w:val="29"/>
          <w:szCs w:val="29"/>
          <w:spacing w:val="6"/>
        </w:rPr>
        <w:t>(1)做好秋季补植的准备，下旬耐寒树木一落叶，</w:t>
      </w:r>
      <w:r>
        <w:rPr>
          <w:sz w:val="29"/>
          <w:szCs w:val="29"/>
          <w:spacing w:val="5"/>
        </w:rPr>
        <w:t>就可以开始补植；</w:t>
      </w:r>
    </w:p>
    <w:p>
      <w:pPr>
        <w:pStyle w:val="BodyText"/>
        <w:ind w:left="720"/>
        <w:spacing w:before="144" w:line="219" w:lineRule="auto"/>
        <w:rPr>
          <w:sz w:val="29"/>
          <w:szCs w:val="29"/>
        </w:rPr>
      </w:pPr>
      <w:r>
        <w:rPr>
          <w:sz w:val="29"/>
          <w:szCs w:val="29"/>
          <w:spacing w:val="6"/>
        </w:rPr>
        <w:t>(2)绿地、草坪挑草切边工作要做好，草花生长不良的要施肥；</w:t>
      </w:r>
    </w:p>
    <w:p>
      <w:pPr>
        <w:pStyle w:val="BodyText"/>
        <w:ind w:left="720"/>
        <w:spacing w:before="148" w:line="219" w:lineRule="auto"/>
        <w:rPr>
          <w:sz w:val="29"/>
          <w:szCs w:val="29"/>
        </w:rPr>
      </w:pPr>
      <w:r>
        <w:rPr>
          <w:sz w:val="29"/>
          <w:szCs w:val="29"/>
          <w:spacing w:val="-2"/>
        </w:rPr>
        <w:t>(3)</w:t>
      </w:r>
      <w:r>
        <w:rPr>
          <w:sz w:val="29"/>
          <w:szCs w:val="29"/>
          <w:spacing w:val="53"/>
        </w:rPr>
        <w:t xml:space="preserve"> </w:t>
      </w:r>
      <w:r>
        <w:rPr>
          <w:sz w:val="29"/>
          <w:szCs w:val="29"/>
          <w:spacing w:val="-2"/>
        </w:rPr>
        <w:t>对需做防寒的名贵苗木人工搭建防寒棚</w:t>
      </w:r>
      <w:r>
        <w:rPr>
          <w:sz w:val="29"/>
          <w:szCs w:val="29"/>
          <w:spacing w:val="-3"/>
        </w:rPr>
        <w:t>骨架；</w:t>
      </w:r>
    </w:p>
    <w:p>
      <w:pPr>
        <w:pStyle w:val="BodyText"/>
        <w:ind w:left="720"/>
        <w:spacing w:before="126" w:line="219" w:lineRule="auto"/>
        <w:rPr>
          <w:sz w:val="29"/>
          <w:szCs w:val="29"/>
        </w:rPr>
      </w:pPr>
      <w:r>
        <w:rPr>
          <w:sz w:val="29"/>
          <w:szCs w:val="29"/>
          <w:spacing w:val="8"/>
        </w:rPr>
        <w:t>(4)及时检查乔木支撑情况，发现松动或缺失立即加固。</w:t>
      </w:r>
    </w:p>
    <w:p>
      <w:pPr>
        <w:ind w:left="570"/>
        <w:spacing w:before="119" w:line="221" w:lineRule="auto"/>
        <w:rPr>
          <w:rFonts w:ascii="SimHei" w:hAnsi="SimHei" w:eastAsia="SimHei" w:cs="SimHei"/>
          <w:sz w:val="30"/>
          <w:szCs w:val="30"/>
        </w:rPr>
      </w:pPr>
      <w:r>
        <w:rPr>
          <w:rFonts w:ascii="SimHei" w:hAnsi="SimHei" w:eastAsia="SimHei" w:cs="SimHei"/>
          <w:sz w:val="30"/>
          <w:szCs w:val="30"/>
        </w:rPr>
        <w:t>2、</w:t>
      </w:r>
      <w:r>
        <w:rPr>
          <w:rFonts w:ascii="SimHei" w:hAnsi="SimHei" w:eastAsia="SimHei" w:cs="SimHei"/>
          <w:sz w:val="30"/>
          <w:szCs w:val="30"/>
          <w:b/>
          <w:bCs/>
        </w:rPr>
        <w:t>修剪</w:t>
      </w:r>
    </w:p>
    <w:p>
      <w:pPr>
        <w:pStyle w:val="BodyText"/>
        <w:ind w:right="419" w:firstLine="720"/>
        <w:spacing w:before="136" w:line="266" w:lineRule="auto"/>
        <w:rPr>
          <w:sz w:val="29"/>
          <w:szCs w:val="29"/>
        </w:rPr>
      </w:pPr>
      <w:r>
        <w:rPr>
          <w:sz w:val="29"/>
          <w:szCs w:val="29"/>
          <w:spacing w:val="6"/>
        </w:rPr>
        <w:t>(1)进行绿篱及小乔木、灌木的全面修剪。剪去病枝，枯枝、有虫卵枝及</w:t>
      </w:r>
      <w:r>
        <w:rPr>
          <w:sz w:val="29"/>
          <w:szCs w:val="29"/>
          <w:spacing w:val="1"/>
        </w:rPr>
        <w:t xml:space="preserve"> </w:t>
      </w:r>
      <w:r>
        <w:rPr>
          <w:sz w:val="29"/>
          <w:szCs w:val="29"/>
          <w:spacing w:val="-3"/>
        </w:rPr>
        <w:t>竞争枝、过密枝等；</w:t>
      </w:r>
    </w:p>
    <w:p>
      <w:pPr>
        <w:pStyle w:val="BodyText"/>
        <w:ind w:right="470" w:firstLine="720"/>
        <w:spacing w:before="145" w:line="272" w:lineRule="auto"/>
        <w:rPr>
          <w:sz w:val="29"/>
          <w:szCs w:val="29"/>
        </w:rPr>
      </w:pPr>
      <w:r>
        <w:rPr>
          <w:sz w:val="29"/>
          <w:szCs w:val="29"/>
          <w:spacing w:val="4"/>
        </w:rPr>
        <w:t>(2)修剪行道树时，操作时要严格掌握操作规程和技术要求。注意安全，</w:t>
      </w:r>
      <w:r>
        <w:rPr>
          <w:sz w:val="29"/>
          <w:szCs w:val="29"/>
          <w:spacing w:val="17"/>
        </w:rPr>
        <w:t xml:space="preserve"> </w:t>
      </w:r>
      <w:r>
        <w:rPr>
          <w:sz w:val="29"/>
          <w:szCs w:val="29"/>
        </w:rPr>
        <w:t>耐寒性差的植物晚秋与冬季尽量不进行修剪。</w:t>
      </w:r>
    </w:p>
    <w:p>
      <w:pPr>
        <w:pStyle w:val="BodyText"/>
        <w:ind w:left="570"/>
        <w:spacing w:before="133"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324" w:firstLine="570"/>
        <w:spacing w:before="107" w:line="311" w:lineRule="auto"/>
        <w:rPr>
          <w:sz w:val="29"/>
          <w:szCs w:val="29"/>
        </w:rPr>
      </w:pPr>
      <w:r>
        <w:rPr>
          <w:sz w:val="29"/>
          <w:szCs w:val="29"/>
          <w:spacing w:val="-1"/>
        </w:rPr>
        <w:t>园区内苗木人工浇灌冻水要浇透，十月中旬追施一次高磷钾、低氮</w:t>
      </w:r>
      <w:r>
        <w:rPr>
          <w:sz w:val="29"/>
          <w:szCs w:val="29"/>
          <w:spacing w:val="-2"/>
        </w:rPr>
        <w:t>的无机复</w:t>
      </w:r>
      <w:r>
        <w:rPr>
          <w:sz w:val="29"/>
          <w:szCs w:val="29"/>
        </w:rPr>
        <w:t xml:space="preserve"> </w:t>
      </w:r>
      <w:r>
        <w:rPr>
          <w:sz w:val="29"/>
          <w:szCs w:val="29"/>
          <w:spacing w:val="-8"/>
        </w:rPr>
        <w:t>合肥，提高苗木抗寒能力；草坪追施一次高氮、低磷、中钾的无机复合肥，</w:t>
      </w:r>
      <w:r>
        <w:rPr>
          <w:sz w:val="29"/>
          <w:szCs w:val="29"/>
          <w:spacing w:val="-9"/>
        </w:rPr>
        <w:t>延长绿</w:t>
      </w:r>
      <w:r>
        <w:rPr>
          <w:sz w:val="29"/>
          <w:szCs w:val="29"/>
        </w:rPr>
        <w:t xml:space="preserve"> </w:t>
      </w:r>
      <w:r>
        <w:rPr>
          <w:sz w:val="29"/>
          <w:szCs w:val="29"/>
          <w:spacing w:val="-9"/>
        </w:rPr>
        <w:t>期。</w:t>
      </w:r>
    </w:p>
    <w:p>
      <w:pPr>
        <w:pStyle w:val="BodyText"/>
        <w:ind w:left="570"/>
        <w:spacing w:before="4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19" w:firstLine="720"/>
        <w:spacing w:before="113" w:line="263" w:lineRule="auto"/>
        <w:rPr>
          <w:sz w:val="29"/>
          <w:szCs w:val="29"/>
        </w:rPr>
      </w:pPr>
      <w:r>
        <w:rPr>
          <w:sz w:val="29"/>
          <w:szCs w:val="29"/>
          <w:spacing w:val="6"/>
        </w:rPr>
        <w:t>(1)病害：白粉病、叶斑类病害、锈病、叶枯病、干腐病、冠瘿病、丛枝</w:t>
      </w:r>
      <w:r>
        <w:rPr>
          <w:sz w:val="29"/>
          <w:szCs w:val="29"/>
          <w:spacing w:val="1"/>
        </w:rPr>
        <w:t xml:space="preserve"> </w:t>
      </w:r>
      <w:r>
        <w:rPr>
          <w:sz w:val="29"/>
          <w:szCs w:val="29"/>
          <w:spacing w:val="-6"/>
        </w:rPr>
        <w:t>病等；</w:t>
      </w:r>
    </w:p>
    <w:p>
      <w:pPr>
        <w:pStyle w:val="BodyText"/>
        <w:ind w:right="329" w:firstLine="720"/>
        <w:spacing w:before="134" w:line="281" w:lineRule="auto"/>
        <w:rPr>
          <w:sz w:val="29"/>
          <w:szCs w:val="29"/>
        </w:rPr>
      </w:pPr>
      <w:r>
        <w:rPr>
          <w:sz w:val="29"/>
          <w:szCs w:val="29"/>
          <w:spacing w:val="9"/>
        </w:rPr>
        <w:t>(2)虫害：桃一点斑叶蝉、大青叶蝉、桃粉蚜、桃瘤蚜</w:t>
      </w:r>
      <w:r>
        <w:rPr>
          <w:sz w:val="29"/>
          <w:szCs w:val="29"/>
          <w:spacing w:val="8"/>
        </w:rPr>
        <w:t>、桔绿粉虱、光肩</w:t>
      </w:r>
      <w:r>
        <w:rPr>
          <w:sz w:val="29"/>
          <w:szCs w:val="29"/>
        </w:rPr>
        <w:t xml:space="preserve"> </w:t>
      </w:r>
      <w:r>
        <w:rPr>
          <w:sz w:val="29"/>
          <w:szCs w:val="29"/>
          <w:spacing w:val="-16"/>
        </w:rPr>
        <w:t>星天牛、芳香木蠹蛾、白蚁、小青花金龟、铜绿丽金龟</w:t>
      </w:r>
      <w:r>
        <w:rPr>
          <w:sz w:val="29"/>
          <w:szCs w:val="29"/>
          <w:spacing w:val="-17"/>
        </w:rPr>
        <w:t>、大地老虎、细胸金针虫、褐</w:t>
      </w:r>
      <w:r>
        <w:rPr>
          <w:sz w:val="29"/>
          <w:szCs w:val="29"/>
        </w:rPr>
        <w:t xml:space="preserve"> </w:t>
      </w:r>
      <w:r>
        <w:rPr>
          <w:sz w:val="29"/>
          <w:szCs w:val="29"/>
          <w:spacing w:val="2"/>
        </w:rPr>
        <w:t>边绿刺蛾、丝棉木金星尺蛾、柑桔凤蝶、玉带凤蝶、蔷薇三节叶蜂等。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0" w:firstLine="720"/>
        <w:spacing w:before="82" w:line="27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13" w:firstLine="72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73" w:line="219" w:lineRule="auto"/>
        <w:jc w:val="right"/>
        <w:rPr>
          <w:sz w:val="29"/>
          <w:szCs w:val="29"/>
        </w:rPr>
      </w:pPr>
      <w:r>
        <w:rPr>
          <w:sz w:val="29"/>
          <w:szCs w:val="29"/>
          <w:spacing w:val="1"/>
        </w:rPr>
        <w:t>库房物品整理，物料工具出入库及领用登记，注意保管汽油、农药等危险品。</w:t>
      </w:r>
    </w:p>
    <w:p>
      <w:pPr>
        <w:pStyle w:val="BodyText"/>
        <w:ind w:left="570"/>
        <w:spacing w:before="134"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left="570"/>
        <w:spacing w:before="155" w:line="219" w:lineRule="auto"/>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557"/>
          <w:pgSz w:w="14490" w:h="20470"/>
          <w:pgMar w:top="400" w:right="1864" w:bottom="1433" w:left="2150" w:header="0" w:footer="1235" w:gutter="0"/>
        </w:sectPr>
        <w:rPr>
          <w:sz w:val="29"/>
          <w:szCs w:val="29"/>
        </w:rPr>
      </w:pPr>
    </w:p>
    <w:p>
      <w:pPr>
        <w:pStyle w:val="BodyText"/>
        <w:spacing w:before="133" w:line="220" w:lineRule="auto"/>
        <w:rPr>
          <w:sz w:val="29"/>
          <w:szCs w:val="29"/>
        </w:rPr>
      </w:pPr>
      <w:r>
        <w:rPr>
          <w:sz w:val="29"/>
          <w:szCs w:val="29"/>
          <w:spacing w:val="-5"/>
        </w:rPr>
        <w:t>防盗情况。</w:t>
      </w:r>
    </w:p>
    <w:p>
      <w:pPr>
        <w:spacing w:before="204"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96" w:line="219" w:lineRule="auto"/>
        <w:rPr>
          <w:sz w:val="29"/>
          <w:szCs w:val="29"/>
        </w:rPr>
      </w:pPr>
      <w:r>
        <w:rPr>
          <w:sz w:val="29"/>
          <w:szCs w:val="29"/>
          <w:spacing w:val="1"/>
        </w:rPr>
        <w:t>土壤开始冻结，进入隆冬季节。</w:t>
      </w:r>
    </w:p>
    <w:p>
      <w:pPr>
        <w:pStyle w:val="BodyText"/>
        <w:ind w:left="570"/>
        <w:spacing w:before="28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43" w:line="219" w:lineRule="auto"/>
        <w:rPr>
          <w:sz w:val="29"/>
          <w:szCs w:val="29"/>
        </w:rPr>
      </w:pPr>
      <w:r>
        <w:rPr>
          <w:sz w:val="29"/>
          <w:szCs w:val="29"/>
          <w:spacing w:val="6"/>
        </w:rPr>
        <w:t>(1)及时检查乔木支撑情况，发现松动或缺失立即加固；</w:t>
      </w:r>
    </w:p>
    <w:p>
      <w:pPr>
        <w:pStyle w:val="BodyText"/>
        <w:ind w:left="720"/>
        <w:spacing w:before="156" w:line="219" w:lineRule="auto"/>
        <w:rPr>
          <w:sz w:val="29"/>
          <w:szCs w:val="29"/>
        </w:rPr>
      </w:pPr>
      <w:r>
        <w:rPr>
          <w:sz w:val="29"/>
          <w:szCs w:val="29"/>
          <w:spacing w:val="9"/>
        </w:rPr>
        <w:t>(2)若要补植耐寒植物，应在土壤冻结前完成。</w:t>
      </w:r>
    </w:p>
    <w:p>
      <w:pPr>
        <w:ind w:left="570"/>
        <w:spacing w:before="94"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321" w:firstLine="570"/>
        <w:spacing w:before="136" w:line="312" w:lineRule="auto"/>
        <w:rPr>
          <w:sz w:val="29"/>
          <w:szCs w:val="29"/>
        </w:rPr>
      </w:pPr>
      <w:r>
        <w:rPr>
          <w:sz w:val="29"/>
          <w:szCs w:val="29"/>
          <w:spacing w:val="13"/>
        </w:rPr>
        <w:t>对园区内草坪进行一次大修剪、大梳理(人工用铁耙清理干枯的草叶),本</w:t>
      </w:r>
      <w:r>
        <w:rPr>
          <w:sz w:val="29"/>
          <w:szCs w:val="29"/>
          <w:spacing w:val="18"/>
        </w:rPr>
        <w:t xml:space="preserve"> </w:t>
      </w:r>
      <w:r>
        <w:rPr>
          <w:sz w:val="29"/>
          <w:szCs w:val="29"/>
          <w:spacing w:val="4"/>
        </w:rPr>
        <w:t>地耐寒性弱的苗木改为春季化冻后修剪、冬季易有流伤的植物(如槭树科中的大</w:t>
      </w:r>
      <w:r>
        <w:rPr>
          <w:sz w:val="29"/>
          <w:szCs w:val="29"/>
          <w:spacing w:val="7"/>
        </w:rPr>
        <w:t xml:space="preserve"> </w:t>
      </w:r>
      <w:r>
        <w:rPr>
          <w:sz w:val="29"/>
          <w:szCs w:val="29"/>
          <w:spacing w:val="5"/>
        </w:rPr>
        <w:t>多数)在晚秋落叶时或春季新芽膨大时修剪。</w:t>
      </w:r>
    </w:p>
    <w:p>
      <w:pPr>
        <w:ind w:left="570"/>
        <w:spacing w:before="5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70"/>
        <w:spacing w:before="103" w:line="219" w:lineRule="auto"/>
        <w:rPr>
          <w:sz w:val="29"/>
          <w:szCs w:val="29"/>
        </w:rPr>
      </w:pPr>
      <w:r>
        <w:rPr>
          <w:sz w:val="29"/>
          <w:szCs w:val="29"/>
          <w:spacing w:val="1"/>
        </w:rPr>
        <w:t>在封冻前完成冬灌工作，上中旬完成对草坪乔木的二次灌水。</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20"/>
        <w:spacing w:before="156" w:line="219" w:lineRule="auto"/>
        <w:rPr>
          <w:sz w:val="29"/>
          <w:szCs w:val="29"/>
        </w:rPr>
      </w:pPr>
      <w:r>
        <w:rPr>
          <w:sz w:val="29"/>
          <w:szCs w:val="29"/>
          <w:spacing w:val="7"/>
        </w:rPr>
        <w:t>(1)病害：白粉病、叶斑类病害、叶枯病等；</w:t>
      </w:r>
    </w:p>
    <w:p>
      <w:pPr>
        <w:pStyle w:val="BodyText"/>
        <w:ind w:right="407" w:firstLine="720"/>
        <w:spacing w:before="145" w:line="269" w:lineRule="auto"/>
        <w:rPr>
          <w:sz w:val="29"/>
          <w:szCs w:val="29"/>
        </w:rPr>
      </w:pPr>
      <w:r>
        <w:rPr>
          <w:sz w:val="29"/>
          <w:szCs w:val="29"/>
          <w:spacing w:val="6"/>
        </w:rPr>
        <w:t>(2)虫害：大青叶蝉、桃粉蚜、桔绿粉虱、光肩星天牛、芳香木蠹蛾、白</w:t>
      </w:r>
      <w:r>
        <w:rPr>
          <w:sz w:val="29"/>
          <w:szCs w:val="29"/>
          <w:spacing w:val="13"/>
        </w:rPr>
        <w:t xml:space="preserve"> </w:t>
      </w:r>
      <w:r>
        <w:rPr>
          <w:sz w:val="29"/>
          <w:szCs w:val="29"/>
          <w:spacing w:val="-2"/>
        </w:rPr>
        <w:t>蚁等。</w:t>
      </w:r>
    </w:p>
    <w:p>
      <w:pPr>
        <w:pStyle w:val="BodyText"/>
        <w:ind w:left="570"/>
        <w:spacing w:before="12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10" w:firstLine="720"/>
        <w:spacing w:before="94" w:line="268"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403" w:firstLine="720"/>
        <w:spacing w:before="156" w:line="266"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pStyle w:val="BodyText"/>
        <w:ind w:left="570"/>
        <w:spacing w:before="12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spacing w:before="108" w:line="219" w:lineRule="auto"/>
        <w:jc w:val="right"/>
        <w:rPr>
          <w:sz w:val="29"/>
          <w:szCs w:val="29"/>
        </w:rPr>
      </w:pPr>
      <w:r>
        <w:rPr>
          <w:sz w:val="29"/>
          <w:szCs w:val="29"/>
          <w:spacing w:val="1"/>
        </w:rPr>
        <w:t>库房物品整理，物料工具出入库及领用登记，注意保管汽油、农药等危险品。</w:t>
      </w:r>
    </w:p>
    <w:p>
      <w:pPr>
        <w:pStyle w:val="BodyText"/>
        <w:ind w:left="570"/>
        <w:spacing w:before="124"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80" w:firstLine="570"/>
        <w:spacing w:before="144" w:line="314" w:lineRule="auto"/>
        <w:rPr>
          <w:sz w:val="29"/>
          <w:szCs w:val="29"/>
        </w:rPr>
      </w:pPr>
      <w:r>
        <w:rPr>
          <w:sz w:val="29"/>
          <w:szCs w:val="29"/>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pStyle w:val="BodyText"/>
        <w:ind w:right="120" w:firstLine="570"/>
        <w:spacing w:before="50" w:line="306" w:lineRule="auto"/>
        <w:rPr>
          <w:rFonts w:ascii="SimHei" w:hAnsi="SimHei" w:eastAsia="SimHei" w:cs="SimHei"/>
          <w:sz w:val="29"/>
          <w:szCs w:val="29"/>
        </w:rPr>
      </w:pPr>
      <w:r>
        <w:rPr>
          <w:rFonts w:ascii="SimHei" w:hAnsi="SimHei" w:eastAsia="SimHei" w:cs="SimHei"/>
          <w:sz w:val="29"/>
          <w:szCs w:val="29"/>
          <w:spacing w:val="-3"/>
        </w:rPr>
        <w:t>8、防</w:t>
      </w:r>
      <w:r>
        <w:rPr>
          <w:rFonts w:ascii="SimHei" w:hAnsi="SimHei" w:eastAsia="SimHei" w:cs="SimHei"/>
          <w:sz w:val="29"/>
          <w:szCs w:val="29"/>
          <w:spacing w:val="-52"/>
        </w:rPr>
        <w:t xml:space="preserve"> </w:t>
      </w:r>
      <w:r>
        <w:rPr>
          <w:rFonts w:ascii="SimHei" w:hAnsi="SimHei" w:eastAsia="SimHei" w:cs="SimHei"/>
          <w:sz w:val="29"/>
          <w:szCs w:val="29"/>
          <w:spacing w:val="-3"/>
        </w:rPr>
        <w:t>寒</w:t>
      </w:r>
      <w:r>
        <w:rPr>
          <w:rFonts w:ascii="SimHei" w:hAnsi="SimHei" w:eastAsia="SimHei" w:cs="SimHei"/>
          <w:sz w:val="29"/>
          <w:szCs w:val="29"/>
          <w:spacing w:val="-68"/>
        </w:rPr>
        <w:t xml:space="preserve"> </w:t>
      </w:r>
      <w:r>
        <w:rPr>
          <w:rFonts w:ascii="SimHei" w:hAnsi="SimHei" w:eastAsia="SimHei" w:cs="SimHei"/>
          <w:sz w:val="29"/>
          <w:szCs w:val="29"/>
          <w:spacing w:val="-3"/>
        </w:rPr>
        <w:t>：</w:t>
      </w:r>
      <w:r>
        <w:rPr>
          <w:sz w:val="29"/>
          <w:szCs w:val="29"/>
          <w:spacing w:val="-3"/>
        </w:rPr>
        <w:t>继续搭建名贵苗木防寒棚，争取月底前全部完成保温材料的覆盖。</w:t>
      </w:r>
      <w:r>
        <w:rPr>
          <w:sz w:val="29"/>
          <w:szCs w:val="29"/>
        </w:rPr>
        <w:t xml:space="preserve"> </w:t>
      </w:r>
      <w:r>
        <w:rPr>
          <w:rFonts w:ascii="SimHei" w:hAnsi="SimHei" w:eastAsia="SimHei" w:cs="SimHei"/>
          <w:sz w:val="29"/>
          <w:szCs w:val="29"/>
          <w:spacing w:val="4"/>
        </w:rPr>
        <w:t>十二月份</w:t>
      </w:r>
    </w:p>
    <w:p>
      <w:pPr>
        <w:pStyle w:val="BodyText"/>
        <w:ind w:left="570"/>
        <w:spacing w:line="219" w:lineRule="auto"/>
        <w:rPr>
          <w:sz w:val="29"/>
          <w:szCs w:val="29"/>
        </w:rPr>
      </w:pPr>
      <w:r>
        <w:rPr>
          <w:sz w:val="29"/>
          <w:szCs w:val="29"/>
          <w:spacing w:val="5"/>
        </w:rPr>
        <w:t>气温低，开始冬季养护工作。</w:t>
      </w:r>
    </w:p>
    <w:p>
      <w:pPr>
        <w:pStyle w:val="BodyText"/>
        <w:ind w:left="570"/>
        <w:spacing w:before="27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33" w:line="219" w:lineRule="auto"/>
        <w:rPr>
          <w:sz w:val="29"/>
          <w:szCs w:val="29"/>
        </w:rPr>
      </w:pPr>
      <w:r>
        <w:rPr>
          <w:sz w:val="29"/>
          <w:szCs w:val="29"/>
          <w:spacing w:val="6"/>
        </w:rPr>
        <w:t>(1)检查防寒设施的完好情况，发现破损立即修补；</w:t>
      </w:r>
    </w:p>
    <w:p>
      <w:pPr>
        <w:spacing w:line="219" w:lineRule="auto"/>
        <w:sectPr>
          <w:headerReference w:type="default" r:id="rId558"/>
          <w:footerReference w:type="default" r:id="rId559"/>
          <w:pgSz w:w="14490" w:h="20470"/>
          <w:pgMar w:top="2229" w:right="1864" w:bottom="1433" w:left="2150" w:header="1783" w:footer="123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20"/>
        <w:spacing w:before="94" w:line="219" w:lineRule="auto"/>
        <w:rPr>
          <w:sz w:val="29"/>
          <w:szCs w:val="29"/>
        </w:rPr>
      </w:pPr>
      <w:r>
        <w:rPr>
          <w:sz w:val="29"/>
          <w:szCs w:val="29"/>
          <w:spacing w:val="7"/>
        </w:rPr>
        <w:t>(2)及时检查乔木支撑情况，发现松动或缺失立即加固。</w:t>
      </w:r>
    </w:p>
    <w:p>
      <w:pPr>
        <w:pStyle w:val="BodyText"/>
        <w:ind w:left="590"/>
        <w:spacing w:before="119" w:line="224" w:lineRule="auto"/>
        <w:rPr>
          <w:rFonts w:ascii="SimHei" w:hAnsi="SimHei" w:eastAsia="SimHei" w:cs="SimHei"/>
          <w:sz w:val="29"/>
          <w:szCs w:val="29"/>
        </w:rPr>
      </w:pPr>
      <w:r>
        <w:rPr>
          <w:rFonts w:ascii="Arial" w:hAnsi="Arial" w:eastAsia="Arial" w:cs="Arial"/>
          <w:sz w:val="29"/>
          <w:szCs w:val="29"/>
          <w:spacing w:val="9"/>
        </w:rPr>
        <w:t>2</w:t>
      </w:r>
      <w:r>
        <w:rPr>
          <w:sz w:val="29"/>
          <w:szCs w:val="29"/>
          <w:spacing w:val="9"/>
        </w:rPr>
        <w:t>、</w:t>
      </w:r>
      <w:r>
        <w:rPr>
          <w:rFonts w:ascii="SimHei" w:hAnsi="SimHei" w:eastAsia="SimHei" w:cs="SimHei"/>
          <w:sz w:val="29"/>
          <w:szCs w:val="29"/>
          <w:spacing w:val="9"/>
        </w:rPr>
        <w:t>保洁</w:t>
      </w:r>
    </w:p>
    <w:p>
      <w:pPr>
        <w:pStyle w:val="BodyText"/>
        <w:ind w:right="339" w:firstLine="720"/>
        <w:spacing w:before="134" w:line="268" w:lineRule="auto"/>
        <w:rPr>
          <w:sz w:val="29"/>
          <w:szCs w:val="29"/>
        </w:rPr>
      </w:pPr>
      <w:r>
        <w:rPr>
          <w:sz w:val="29"/>
          <w:szCs w:val="29"/>
          <w:spacing w:val="-1"/>
        </w:rPr>
        <w:t>(1)</w:t>
      </w:r>
      <w:r>
        <w:rPr>
          <w:sz w:val="29"/>
          <w:szCs w:val="29"/>
          <w:spacing w:val="96"/>
        </w:rPr>
        <w:t xml:space="preserve"> </w:t>
      </w:r>
      <w:r>
        <w:rPr>
          <w:sz w:val="29"/>
          <w:szCs w:val="29"/>
          <w:spacing w:val="-1"/>
        </w:rPr>
        <w:t>保洁人员合理分区，全天候巡视，及时清理烟头、树挂等垃圾，水景</w:t>
      </w:r>
      <w:r>
        <w:rPr>
          <w:sz w:val="29"/>
          <w:szCs w:val="29"/>
        </w:rPr>
        <w:t xml:space="preserve"> </w:t>
      </w:r>
      <w:r>
        <w:rPr>
          <w:sz w:val="29"/>
          <w:szCs w:val="29"/>
          <w:spacing w:val="-2"/>
        </w:rPr>
        <w:t>池、灯杆、垃圾桶保持干净；</w:t>
      </w:r>
    </w:p>
    <w:p>
      <w:pPr>
        <w:pStyle w:val="BodyText"/>
        <w:ind w:right="333" w:firstLine="720"/>
        <w:spacing w:before="146" w:line="269"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0"/>
        </w:rPr>
        <w:t>售展示区)进行彻底清理；</w:t>
      </w:r>
    </w:p>
    <w:p>
      <w:pPr>
        <w:pStyle w:val="BodyText"/>
        <w:ind w:right="241" w:firstLine="720"/>
        <w:spacing w:before="13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590"/>
        <w:spacing w:before="153"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时花摆放</w:t>
      </w:r>
    </w:p>
    <w:p>
      <w:pPr>
        <w:pStyle w:val="BodyText"/>
        <w:ind w:left="720"/>
        <w:spacing w:before="97" w:line="219" w:lineRule="auto"/>
        <w:rPr>
          <w:sz w:val="29"/>
          <w:szCs w:val="29"/>
        </w:rPr>
      </w:pPr>
      <w:r>
        <w:rPr>
          <w:sz w:val="29"/>
          <w:szCs w:val="29"/>
          <w:spacing w:val="5"/>
        </w:rPr>
        <w:t>(1)月初提交时花需求计划，选择亮色花卉，安排下旬进场；</w:t>
      </w:r>
    </w:p>
    <w:p>
      <w:pPr>
        <w:pStyle w:val="BodyText"/>
        <w:ind w:left="72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90"/>
        <w:spacing w:before="104" w:line="222" w:lineRule="auto"/>
        <w:rPr>
          <w:rFonts w:ascii="SimHei" w:hAnsi="SimHei" w:eastAsia="SimHei" w:cs="SimHei"/>
          <w:sz w:val="29"/>
          <w:szCs w:val="29"/>
        </w:rPr>
      </w:pPr>
      <w:r>
        <w:rPr>
          <w:rFonts w:ascii="Arial" w:hAnsi="Arial" w:eastAsia="Arial" w:cs="Arial"/>
          <w:sz w:val="29"/>
          <w:szCs w:val="29"/>
          <w:spacing w:val="1"/>
        </w:rPr>
        <w:t>4</w:t>
      </w:r>
      <w:r>
        <w:rPr>
          <w:sz w:val="29"/>
          <w:szCs w:val="29"/>
          <w:spacing w:val="1"/>
        </w:rPr>
        <w:t>、</w:t>
      </w:r>
      <w:r>
        <w:rPr>
          <w:rFonts w:ascii="SimHei" w:hAnsi="SimHei" w:eastAsia="SimHei" w:cs="SimHei"/>
          <w:sz w:val="29"/>
          <w:szCs w:val="29"/>
          <w:spacing w:val="1"/>
        </w:rPr>
        <w:t>物资管理</w:t>
      </w:r>
    </w:p>
    <w:p>
      <w:pPr>
        <w:pStyle w:val="BodyText"/>
        <w:ind w:right="341" w:firstLine="720"/>
        <w:spacing w:before="144" w:line="266"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341" w:firstLine="720"/>
        <w:spacing w:before="173" w:line="265" w:lineRule="auto"/>
        <w:rPr>
          <w:sz w:val="29"/>
          <w:szCs w:val="29"/>
        </w:rPr>
      </w:pPr>
      <w:r>
        <w:rPr>
          <w:sz w:val="29"/>
          <w:szCs w:val="29"/>
          <w:spacing w:val="2"/>
        </w:rPr>
        <w:t>(2)根据现场的实际情况，申请购置翌年1、2、3月份的</w:t>
      </w:r>
      <w:r>
        <w:rPr>
          <w:sz w:val="29"/>
          <w:szCs w:val="29"/>
          <w:spacing w:val="1"/>
        </w:rPr>
        <w:t>农药、化肥、营养</w:t>
      </w:r>
      <w:r>
        <w:rPr>
          <w:sz w:val="29"/>
          <w:szCs w:val="29"/>
        </w:rPr>
        <w:t xml:space="preserve"> </w:t>
      </w:r>
      <w:r>
        <w:rPr>
          <w:sz w:val="29"/>
          <w:szCs w:val="29"/>
        </w:rPr>
        <w:t>剂及其它物资。</w:t>
      </w:r>
    </w:p>
    <w:p>
      <w:pPr>
        <w:pStyle w:val="BodyText"/>
        <w:ind w:left="590"/>
        <w:spacing w:before="123" w:line="396"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防火防盗</w:t>
      </w:r>
    </w:p>
    <w:p>
      <w:pPr>
        <w:pStyle w:val="BodyText"/>
        <w:ind w:firstLine="590"/>
        <w:spacing w:before="10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14" w:lineRule="auto"/>
        <w:sectPr>
          <w:headerReference w:type="default" r:id="rId312"/>
          <w:footerReference w:type="default" r:id="rId560"/>
          <w:pgSz w:w="14490" w:h="20470"/>
          <w:pgMar w:top="400" w:right="1935" w:bottom="1433" w:left="2150" w:header="0" w:footer="1235" w:gutter="0"/>
        </w:sectPr>
        <w:rPr>
          <w:sz w:val="29"/>
          <w:szCs w:val="29"/>
        </w:rPr>
      </w:pP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4500"/>
        <w:spacing w:before="94" w:line="224" w:lineRule="auto"/>
        <w:outlineLvl w:val="1"/>
        <w:rPr>
          <w:rFonts w:ascii="SimHei" w:hAnsi="SimHei" w:eastAsia="SimHei" w:cs="SimHei"/>
          <w:sz w:val="29"/>
          <w:szCs w:val="29"/>
        </w:rPr>
      </w:pPr>
      <w:bookmarkStart w:name="bookmark64" w:id="113"/>
      <w:bookmarkEnd w:id="113"/>
      <w:r>
        <w:rPr>
          <w:rFonts w:ascii="SimHei" w:hAnsi="SimHei" w:eastAsia="SimHei" w:cs="SimHei"/>
          <w:sz w:val="29"/>
          <w:szCs w:val="29"/>
          <w:spacing w:val="4"/>
        </w:rPr>
        <w:t>山西地区</w:t>
      </w:r>
    </w:p>
    <w:p>
      <w:pPr>
        <w:pStyle w:val="BodyText"/>
        <w:ind w:left="4"/>
        <w:spacing w:before="165" w:line="223" w:lineRule="auto"/>
        <w:rPr>
          <w:rFonts w:ascii="SimHei" w:hAnsi="SimHei" w:eastAsia="SimHei" w:cs="SimHei"/>
          <w:sz w:val="30"/>
          <w:szCs w:val="30"/>
        </w:rPr>
      </w:pPr>
      <w:bookmarkStart w:name="bookmark128" w:id="114"/>
      <w:bookmarkEnd w:id="114"/>
      <w:r>
        <w:rPr>
          <w:sz w:val="30"/>
          <w:szCs w:val="30"/>
          <w:b/>
          <w:bCs/>
          <w:spacing w:val="-13"/>
        </w:rPr>
        <w:t>一、</w:t>
      </w:r>
      <w:r>
        <w:rPr>
          <w:rFonts w:ascii="SimHei" w:hAnsi="SimHei" w:eastAsia="SimHei" w:cs="SimHei"/>
          <w:sz w:val="30"/>
          <w:szCs w:val="30"/>
          <w:spacing w:val="-13"/>
        </w:rPr>
        <w:t>二月份</w:t>
      </w:r>
    </w:p>
    <w:p>
      <w:pPr>
        <w:pStyle w:val="BodyText"/>
        <w:ind w:left="570"/>
        <w:spacing w:before="146" w:line="219" w:lineRule="auto"/>
        <w:rPr>
          <w:sz w:val="29"/>
          <w:szCs w:val="29"/>
        </w:rPr>
      </w:pPr>
      <w:r>
        <w:rPr>
          <w:sz w:val="29"/>
          <w:szCs w:val="29"/>
          <w:spacing w:val="1"/>
        </w:rPr>
        <w:t>全年中气温最低的月份，重点是保洁和防寒。</w:t>
      </w:r>
    </w:p>
    <w:p>
      <w:pPr>
        <w:pStyle w:val="BodyText"/>
        <w:ind w:left="570"/>
        <w:spacing w:before="263"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33" w:line="219" w:lineRule="auto"/>
        <w:rPr>
          <w:sz w:val="29"/>
          <w:szCs w:val="29"/>
        </w:rPr>
      </w:pPr>
      <w:r>
        <w:rPr>
          <w:sz w:val="29"/>
          <w:szCs w:val="29"/>
          <w:spacing w:val="6"/>
        </w:rPr>
        <w:t>(1)检查防寒设施的完好情况，发现破损立即修补；</w:t>
      </w:r>
    </w:p>
    <w:p>
      <w:pPr>
        <w:pStyle w:val="BodyText"/>
        <w:ind w:left="730"/>
        <w:spacing w:before="146" w:line="219" w:lineRule="auto"/>
        <w:rPr>
          <w:sz w:val="29"/>
          <w:szCs w:val="29"/>
        </w:rPr>
      </w:pPr>
      <w:r>
        <w:rPr>
          <w:sz w:val="29"/>
          <w:szCs w:val="29"/>
          <w:spacing w:val="6"/>
        </w:rPr>
        <w:t>(2)及时检查乔木支撑情况，发现松动或缺失立即加固。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730"/>
        <w:spacing w:before="144" w:line="219" w:lineRule="auto"/>
        <w:rPr>
          <w:sz w:val="29"/>
          <w:szCs w:val="29"/>
        </w:rPr>
      </w:pPr>
      <w:r>
        <w:rPr>
          <w:sz w:val="29"/>
          <w:szCs w:val="29"/>
          <w:spacing w:val="6"/>
        </w:rPr>
        <w:t>(1)在本地耐寒性弱的苗木改为春季化冻后修剪；</w:t>
      </w:r>
    </w:p>
    <w:p>
      <w:pPr>
        <w:pStyle w:val="BodyText"/>
        <w:ind w:right="536" w:firstLine="730"/>
        <w:spacing w:before="157" w:line="269" w:lineRule="auto"/>
        <w:rPr>
          <w:sz w:val="29"/>
          <w:szCs w:val="29"/>
        </w:rPr>
      </w:pPr>
      <w:r>
        <w:rPr>
          <w:sz w:val="29"/>
          <w:szCs w:val="29"/>
          <w:spacing w:val="3"/>
        </w:rPr>
        <w:t>(2)冬季易有流伤的植物如槭树科中的大多数，在晚秋落</w:t>
      </w:r>
      <w:r>
        <w:rPr>
          <w:sz w:val="29"/>
          <w:szCs w:val="29"/>
          <w:spacing w:val="2"/>
        </w:rPr>
        <w:t>叶时或春季新芽</w:t>
      </w:r>
      <w:r>
        <w:rPr>
          <w:sz w:val="29"/>
          <w:szCs w:val="29"/>
        </w:rPr>
        <w:t xml:space="preserve"> </w:t>
      </w:r>
      <w:r>
        <w:rPr>
          <w:sz w:val="29"/>
          <w:szCs w:val="29"/>
          <w:spacing w:val="-11"/>
        </w:rPr>
        <w:t>膨大时修剪；</w:t>
      </w:r>
    </w:p>
    <w:p>
      <w:pPr>
        <w:pStyle w:val="BodyText"/>
        <w:ind w:left="730"/>
        <w:spacing w:before="136" w:line="219" w:lineRule="auto"/>
        <w:rPr>
          <w:sz w:val="29"/>
          <w:szCs w:val="29"/>
        </w:rPr>
      </w:pPr>
      <w:r>
        <w:rPr>
          <w:sz w:val="29"/>
          <w:szCs w:val="29"/>
          <w:spacing w:val="8"/>
        </w:rPr>
        <w:t>(3)耙搂枯草，刺激草坪萌发。</w:t>
      </w:r>
    </w:p>
    <w:p>
      <w:pPr>
        <w:ind w:left="570"/>
        <w:spacing w:before="124"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left="730"/>
        <w:spacing w:before="133" w:line="219" w:lineRule="auto"/>
        <w:rPr>
          <w:sz w:val="29"/>
          <w:szCs w:val="29"/>
        </w:rPr>
      </w:pPr>
      <w:r>
        <w:rPr>
          <w:sz w:val="29"/>
          <w:szCs w:val="29"/>
          <w:spacing w:val="7"/>
        </w:rPr>
        <w:t>(1)二月中下旬视天气情况进行春灌；</w:t>
      </w:r>
    </w:p>
    <w:p>
      <w:pPr>
        <w:pStyle w:val="BodyText"/>
        <w:ind w:right="429" w:firstLine="730"/>
        <w:spacing w:before="155" w:line="269" w:lineRule="auto"/>
        <w:rPr>
          <w:sz w:val="29"/>
          <w:szCs w:val="29"/>
        </w:rPr>
      </w:pPr>
      <w:r>
        <w:rPr>
          <w:sz w:val="29"/>
          <w:szCs w:val="29"/>
          <w:spacing w:val="6"/>
        </w:rPr>
        <w:t>(2)树穴修整：在二月中下旬化冻后进行树穴修整、松土，为春水浇灌做</w:t>
      </w:r>
      <w:r>
        <w:rPr>
          <w:sz w:val="29"/>
          <w:szCs w:val="29"/>
          <w:spacing w:val="1"/>
        </w:rPr>
        <w:t xml:space="preserve"> </w:t>
      </w:r>
      <w:r>
        <w:rPr>
          <w:sz w:val="29"/>
          <w:szCs w:val="29"/>
          <w:spacing w:val="-5"/>
        </w:rPr>
        <w:t>好准备工作；</w:t>
      </w:r>
    </w:p>
    <w:p>
      <w:pPr>
        <w:pStyle w:val="BodyText"/>
        <w:ind w:right="431" w:firstLine="730"/>
        <w:spacing w:before="136" w:line="263" w:lineRule="auto"/>
        <w:rPr>
          <w:sz w:val="29"/>
          <w:szCs w:val="29"/>
        </w:rPr>
      </w:pPr>
      <w:r>
        <w:rPr>
          <w:sz w:val="29"/>
          <w:szCs w:val="29"/>
          <w:spacing w:val="6"/>
        </w:rPr>
        <w:t>(3)将积雪及时堆在树根上，以增加土壤水分，对安全越冬和次年生长大</w:t>
      </w:r>
      <w:r>
        <w:rPr>
          <w:sz w:val="29"/>
          <w:szCs w:val="29"/>
        </w:rPr>
        <w:t xml:space="preserve"> </w:t>
      </w:r>
      <w:r>
        <w:rPr>
          <w:sz w:val="29"/>
          <w:szCs w:val="29"/>
          <w:spacing w:val="-3"/>
        </w:rPr>
        <w:t>有益处。</w:t>
      </w:r>
    </w:p>
    <w:p>
      <w:pPr>
        <w:pStyle w:val="BodyText"/>
        <w:ind w:left="570"/>
        <w:spacing w:before="20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570"/>
        <w:spacing w:before="76" w:line="219" w:lineRule="auto"/>
        <w:rPr>
          <w:sz w:val="29"/>
          <w:szCs w:val="29"/>
        </w:rPr>
      </w:pPr>
      <w:r>
        <w:rPr>
          <w:sz w:val="29"/>
          <w:szCs w:val="29"/>
          <w:spacing w:val="1"/>
        </w:rPr>
        <w:t>清理绿地上的枯枝、落叶，清除过冬的虫卵、成虫等。</w:t>
      </w:r>
    </w:p>
    <w:p>
      <w:pPr>
        <w:pStyle w:val="BodyText"/>
        <w:ind w:left="570"/>
        <w:spacing w:before="86"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142" w:line="259"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6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51" w:firstLine="730"/>
        <w:spacing w:before="145"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w:t>
      </w:r>
      <w:r>
        <w:rPr>
          <w:sz w:val="29"/>
          <w:szCs w:val="29"/>
          <w:spacing w:val="-5"/>
        </w:rPr>
        <w:t>两侧要堆雪造型；冰</w:t>
      </w:r>
      <w:r>
        <w:rPr>
          <w:sz w:val="29"/>
          <w:szCs w:val="29"/>
        </w:rPr>
        <w:t xml:space="preserve"> </w:t>
      </w:r>
      <w:r>
        <w:rPr>
          <w:sz w:val="29"/>
          <w:szCs w:val="29"/>
          <w:spacing w:val="-1"/>
        </w:rPr>
        <w:t>雪融化后露出的垃圾、废弃物的全面清理。</w:t>
      </w:r>
    </w:p>
    <w:p>
      <w:pPr>
        <w:pStyle w:val="BodyText"/>
        <w:ind w:left="570"/>
        <w:spacing w:before="153" w:line="396"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时花摆放</w:t>
      </w:r>
    </w:p>
    <w:p>
      <w:pPr>
        <w:pStyle w:val="BodyText"/>
        <w:ind w:right="692" w:firstLine="730"/>
        <w:spacing w:before="94" w:line="267" w:lineRule="auto"/>
        <w:rPr>
          <w:sz w:val="29"/>
          <w:szCs w:val="29"/>
        </w:rPr>
      </w:pPr>
      <w:r>
        <w:rPr>
          <w:sz w:val="29"/>
          <w:szCs w:val="29"/>
          <w:spacing w:val="-2"/>
        </w:rPr>
        <w:t>(1)月初提交时花或假花需求计划，选择亮色花卉，安排腊月20号左右进</w:t>
      </w:r>
      <w:r>
        <w:rPr>
          <w:sz w:val="29"/>
          <w:szCs w:val="29"/>
          <w:spacing w:val="4"/>
        </w:rPr>
        <w:t xml:space="preserve"> </w:t>
      </w:r>
      <w:r>
        <w:rPr>
          <w:sz w:val="29"/>
          <w:szCs w:val="29"/>
          <w:spacing w:val="-12"/>
        </w:rPr>
        <w:t>场；</w:t>
      </w:r>
    </w:p>
    <w:p>
      <w:pPr>
        <w:pStyle w:val="BodyText"/>
        <w:ind w:left="730"/>
        <w:spacing w:before="142" w:line="219" w:lineRule="auto"/>
        <w:rPr>
          <w:sz w:val="29"/>
          <w:szCs w:val="29"/>
        </w:rPr>
      </w:pPr>
      <w:r>
        <w:rPr>
          <w:sz w:val="29"/>
          <w:szCs w:val="29"/>
          <w:spacing w:val="6"/>
        </w:rPr>
        <w:t>(2)春假放假前将时花摆放完毕，注意摆放外侧避免黑色塑料盆出现。</w:t>
      </w:r>
    </w:p>
    <w:p>
      <w:pPr>
        <w:pStyle w:val="BodyText"/>
        <w:ind w:left="570"/>
        <w:spacing w:before="116" w:line="222"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物资管理</w:t>
      </w:r>
    </w:p>
    <w:p>
      <w:pPr>
        <w:pStyle w:val="BodyText"/>
        <w:spacing w:before="14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62" w:line="395"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防火防盗</w:t>
      </w:r>
    </w:p>
    <w:p>
      <w:pPr>
        <w:spacing w:line="395" w:lineRule="exact"/>
        <w:sectPr>
          <w:footerReference w:type="default" r:id="rId561"/>
          <w:pgSz w:w="14490" w:h="20470"/>
          <w:pgMar w:top="400" w:right="1844" w:bottom="1033" w:left="2150" w:header="0" w:footer="835" w:gutter="0"/>
        </w:sectPr>
        <w:rPr>
          <w:rFonts w:ascii="SimHei" w:hAnsi="SimHei" w:eastAsia="SimHei" w:cs="SimHei"/>
          <w:sz w:val="29"/>
          <w:szCs w:val="29"/>
        </w:rPr>
      </w:pP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BodyText"/>
        <w:ind w:firstLine="580"/>
        <w:spacing w:before="94" w:line="320"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4"/>
        </w:rPr>
        <w:t>防盗情况。</w:t>
      </w:r>
    </w:p>
    <w:p>
      <w:pPr>
        <w:pStyle w:val="BodyText"/>
        <w:ind w:left="580"/>
        <w:spacing w:before="19" w:line="368" w:lineRule="exact"/>
        <w:rPr>
          <w:rFonts w:ascii="SimHei" w:hAnsi="SimHei" w:eastAsia="SimHei" w:cs="SimHei"/>
          <w:sz w:val="27"/>
          <w:szCs w:val="27"/>
        </w:rPr>
      </w:pPr>
      <w:r>
        <w:rPr>
          <w:rFonts w:ascii="Arial" w:hAnsi="Arial" w:eastAsia="Arial" w:cs="Arial"/>
          <w:sz w:val="27"/>
          <w:szCs w:val="27"/>
          <w:spacing w:val="5"/>
          <w:position w:val="1"/>
        </w:rPr>
        <w:t>9</w:t>
      </w:r>
      <w:r>
        <w:rPr>
          <w:sz w:val="27"/>
          <w:szCs w:val="27"/>
          <w:spacing w:val="5"/>
          <w:position w:val="1"/>
        </w:rPr>
        <w:t>、</w:t>
      </w:r>
      <w:r>
        <w:rPr>
          <w:sz w:val="27"/>
          <w:szCs w:val="27"/>
          <w:spacing w:val="-64"/>
          <w:position w:val="1"/>
        </w:rPr>
        <w:t xml:space="preserve"> </w:t>
      </w:r>
      <w:r>
        <w:rPr>
          <w:rFonts w:ascii="SimHei" w:hAnsi="SimHei" w:eastAsia="SimHei" w:cs="SimHei"/>
          <w:sz w:val="27"/>
          <w:szCs w:val="27"/>
          <w:spacing w:val="5"/>
          <w:position w:val="1"/>
        </w:rPr>
        <w:t>防寒</w:t>
      </w:r>
    </w:p>
    <w:p>
      <w:pPr>
        <w:pStyle w:val="BodyText"/>
        <w:ind w:right="1670" w:firstLine="580"/>
        <w:spacing w:before="73" w:line="336" w:lineRule="auto"/>
        <w:rPr>
          <w:rFonts w:ascii="SimHei" w:hAnsi="SimHei" w:eastAsia="SimHei" w:cs="SimHei"/>
          <w:sz w:val="29"/>
          <w:szCs w:val="29"/>
        </w:rPr>
      </w:pPr>
      <w:r>
        <w:rPr>
          <w:sz w:val="29"/>
          <w:szCs w:val="29"/>
          <w:spacing w:val="1"/>
        </w:rPr>
        <w:t>防寒设施要在二月下旬开始适应性锻炼，视天气情况适当放风。</w:t>
      </w:r>
      <w:r>
        <w:rPr>
          <w:sz w:val="29"/>
          <w:szCs w:val="29"/>
          <w:spacing w:val="5"/>
        </w:rPr>
        <w:t xml:space="preserve"> </w:t>
      </w:r>
      <w:r>
        <w:rPr>
          <w:rFonts w:ascii="SimHei" w:hAnsi="SimHei" w:eastAsia="SimHei" w:cs="SimHei"/>
          <w:sz w:val="29"/>
          <w:szCs w:val="29"/>
          <w:spacing w:val="2"/>
        </w:rPr>
        <w:t>三月份</w:t>
      </w:r>
    </w:p>
    <w:p>
      <w:pPr>
        <w:pStyle w:val="BodyText"/>
        <w:ind w:left="580"/>
        <w:spacing w:before="22" w:line="219" w:lineRule="auto"/>
        <w:rPr>
          <w:sz w:val="29"/>
          <w:szCs w:val="29"/>
        </w:rPr>
      </w:pPr>
      <w:r>
        <w:rPr>
          <w:sz w:val="29"/>
          <w:szCs w:val="29"/>
          <w:spacing w:val="3"/>
        </w:rPr>
        <w:t>气温逐渐变暖，苗木开始返青，注意保洁和防寒。</w:t>
      </w:r>
    </w:p>
    <w:p>
      <w:pPr>
        <w:pStyle w:val="BodyText"/>
        <w:ind w:left="580"/>
        <w:spacing w:before="23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43" w:line="219" w:lineRule="auto"/>
        <w:rPr>
          <w:sz w:val="29"/>
          <w:szCs w:val="29"/>
        </w:rPr>
      </w:pPr>
      <w:r>
        <w:rPr>
          <w:sz w:val="29"/>
          <w:szCs w:val="29"/>
          <w:spacing w:val="6"/>
        </w:rPr>
        <w:t>(1)及时检查乔木支撑情况，发现松动或缺失立即加固；</w:t>
      </w:r>
    </w:p>
    <w:p>
      <w:pPr>
        <w:pStyle w:val="BodyText"/>
        <w:ind w:left="720"/>
        <w:spacing w:before="126" w:line="219" w:lineRule="auto"/>
        <w:rPr>
          <w:sz w:val="29"/>
          <w:szCs w:val="29"/>
        </w:rPr>
      </w:pPr>
      <w:r>
        <w:rPr>
          <w:sz w:val="29"/>
          <w:szCs w:val="29"/>
          <w:spacing w:val="7"/>
        </w:rPr>
        <w:t>(2)防寒设施拆除：视天气情况于三月中旬开始拆除</w:t>
      </w:r>
      <w:r>
        <w:rPr>
          <w:sz w:val="29"/>
          <w:szCs w:val="29"/>
          <w:spacing w:val="6"/>
        </w:rPr>
        <w:t>防寒设施。</w:t>
      </w:r>
    </w:p>
    <w:p>
      <w:pPr>
        <w:ind w:left="580"/>
        <w:spacing w:before="119" w:line="221" w:lineRule="auto"/>
        <w:rPr>
          <w:rFonts w:ascii="SimHei" w:hAnsi="SimHei" w:eastAsia="SimHei" w:cs="SimHei"/>
          <w:sz w:val="30"/>
          <w:szCs w:val="30"/>
        </w:rPr>
      </w:pPr>
      <w:r>
        <w:rPr>
          <w:rFonts w:ascii="SimHei" w:hAnsi="SimHei" w:eastAsia="SimHei" w:cs="SimHei"/>
          <w:sz w:val="30"/>
          <w:szCs w:val="30"/>
          <w:spacing w:val="3"/>
        </w:rPr>
        <w:t>2、</w:t>
      </w:r>
      <w:r>
        <w:rPr>
          <w:rFonts w:ascii="SimHei" w:hAnsi="SimHei" w:eastAsia="SimHei" w:cs="SimHei"/>
          <w:sz w:val="30"/>
          <w:szCs w:val="30"/>
          <w:b/>
          <w:bCs/>
          <w:spacing w:val="3"/>
        </w:rPr>
        <w:t>修剪</w:t>
      </w:r>
    </w:p>
    <w:p>
      <w:pPr>
        <w:pStyle w:val="BodyText"/>
        <w:ind w:left="720"/>
        <w:spacing w:before="146" w:line="219" w:lineRule="auto"/>
        <w:rPr>
          <w:sz w:val="29"/>
          <w:szCs w:val="29"/>
        </w:rPr>
      </w:pPr>
      <w:r>
        <w:rPr>
          <w:sz w:val="29"/>
          <w:szCs w:val="29"/>
          <w:spacing w:val="6"/>
        </w:rPr>
        <w:t>(1)结束冬季整形修剪，对苗木干枯枝加强修剪，</w:t>
      </w:r>
      <w:r>
        <w:rPr>
          <w:sz w:val="29"/>
          <w:szCs w:val="29"/>
          <w:spacing w:val="5"/>
        </w:rPr>
        <w:t>并做好伤口处理；</w:t>
      </w:r>
    </w:p>
    <w:p>
      <w:pPr>
        <w:pStyle w:val="BodyText"/>
        <w:ind w:left="720"/>
        <w:spacing w:before="126" w:line="219" w:lineRule="auto"/>
        <w:rPr>
          <w:sz w:val="29"/>
          <w:szCs w:val="29"/>
        </w:rPr>
      </w:pPr>
      <w:r>
        <w:rPr>
          <w:sz w:val="29"/>
          <w:szCs w:val="29"/>
          <w:spacing w:val="6"/>
        </w:rPr>
        <w:t>(2)对生长过量的地被、绿篱及灌木枝条在其新芽</w:t>
      </w:r>
      <w:r>
        <w:rPr>
          <w:sz w:val="29"/>
          <w:szCs w:val="29"/>
          <w:spacing w:val="5"/>
        </w:rPr>
        <w:t>开始膨大前进行回缩；</w:t>
      </w:r>
    </w:p>
    <w:p>
      <w:pPr>
        <w:pStyle w:val="BodyText"/>
        <w:ind w:left="720"/>
        <w:spacing w:before="168" w:line="219" w:lineRule="auto"/>
        <w:rPr>
          <w:sz w:val="29"/>
          <w:szCs w:val="29"/>
        </w:rPr>
      </w:pPr>
      <w:r>
        <w:rPr>
          <w:sz w:val="29"/>
          <w:szCs w:val="29"/>
          <w:spacing w:val="8"/>
        </w:rPr>
        <w:t>(3)草坪解除休眠前进行疏除枯草层工作。</w:t>
      </w:r>
    </w:p>
    <w:p>
      <w:pPr>
        <w:ind w:left="580"/>
        <w:spacing w:before="12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121" w:line="219" w:lineRule="auto"/>
        <w:rPr>
          <w:sz w:val="29"/>
          <w:szCs w:val="29"/>
        </w:rPr>
      </w:pPr>
      <w:r>
        <w:rPr>
          <w:sz w:val="29"/>
          <w:szCs w:val="29"/>
          <w:spacing w:val="7"/>
        </w:rPr>
        <w:t>(1)三月上中旬，及时进行返青水浇灌；</w:t>
      </w:r>
    </w:p>
    <w:p>
      <w:pPr>
        <w:pStyle w:val="BodyText"/>
        <w:ind w:left="720"/>
        <w:spacing w:before="156" w:line="219" w:lineRule="auto"/>
        <w:rPr>
          <w:sz w:val="29"/>
          <w:szCs w:val="29"/>
        </w:rPr>
      </w:pPr>
      <w:r>
        <w:rPr>
          <w:sz w:val="29"/>
          <w:szCs w:val="29"/>
          <w:spacing w:val="12"/>
        </w:rPr>
        <w:t>(2)三月中下旬，追施一次有机复合肥(有机质4</w:t>
      </w:r>
      <w:r>
        <w:rPr>
          <w:sz w:val="29"/>
          <w:szCs w:val="29"/>
          <w:spacing w:val="11"/>
        </w:rPr>
        <w:t>5%。</w:t>
      </w:r>
    </w:p>
    <w:p>
      <w:pPr>
        <w:pStyle w:val="BodyText"/>
        <w:ind w:left="580"/>
        <w:spacing w:before="105"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720"/>
        <w:spacing w:before="146" w:line="219" w:lineRule="auto"/>
        <w:rPr>
          <w:sz w:val="29"/>
          <w:szCs w:val="29"/>
        </w:rPr>
      </w:pPr>
      <w:r>
        <w:rPr>
          <w:sz w:val="29"/>
          <w:szCs w:val="29"/>
          <w:spacing w:val="8"/>
        </w:rPr>
        <w:t>(1)病害：根腐病、流胶病等；</w:t>
      </w:r>
    </w:p>
    <w:p>
      <w:pPr>
        <w:pStyle w:val="BodyText"/>
        <w:ind w:right="347" w:firstLine="720"/>
        <w:spacing w:before="116" w:line="272" w:lineRule="auto"/>
        <w:rPr>
          <w:sz w:val="29"/>
          <w:szCs w:val="29"/>
        </w:rPr>
      </w:pPr>
      <w:r>
        <w:rPr>
          <w:sz w:val="29"/>
          <w:szCs w:val="29"/>
          <w:spacing w:val="6"/>
        </w:rPr>
        <w:t>(2)虫害：柏肤小蠹、白蚁、铜绿丽金龟、大地老虎、沟金针虫、玉带凤</w:t>
      </w:r>
      <w:r>
        <w:rPr>
          <w:sz w:val="29"/>
          <w:szCs w:val="29"/>
          <w:spacing w:val="2"/>
        </w:rPr>
        <w:t xml:space="preserve"> </w:t>
      </w:r>
      <w:r>
        <w:rPr>
          <w:sz w:val="29"/>
          <w:szCs w:val="29"/>
          <w:spacing w:val="-4"/>
        </w:rPr>
        <w:t>蝶等。</w:t>
      </w:r>
    </w:p>
    <w:p>
      <w:pPr>
        <w:pStyle w:val="BodyText"/>
        <w:ind w:left="580"/>
        <w:spacing w:before="146" w:line="396"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pStyle w:val="BodyText"/>
        <w:ind w:right="349" w:firstLine="720"/>
        <w:spacing w:before="10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43" w:firstLine="720"/>
        <w:spacing w:before="13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left="720"/>
        <w:spacing w:before="157" w:line="219" w:lineRule="auto"/>
        <w:rPr>
          <w:sz w:val="29"/>
          <w:szCs w:val="29"/>
        </w:rPr>
      </w:pPr>
      <w:r>
        <w:rPr>
          <w:sz w:val="29"/>
          <w:szCs w:val="29"/>
          <w:spacing w:val="8"/>
        </w:rPr>
        <w:t>(3)随着冰雪消融逐步清理湖底淤泥、落叶等垃圾。</w:t>
      </w:r>
    </w:p>
    <w:p>
      <w:pPr>
        <w:ind w:left="580"/>
        <w:spacing w:before="103"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51" w:firstLine="720"/>
        <w:spacing w:before="122"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9"/>
        </w:rPr>
        <w:t>危险品；</w:t>
      </w:r>
    </w:p>
    <w:p>
      <w:pPr>
        <w:pStyle w:val="BodyText"/>
        <w:ind w:right="348" w:firstLine="720"/>
        <w:spacing w:before="173" w:line="267"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4"/>
        </w:rPr>
        <w:t>其它物资。</w:t>
      </w:r>
    </w:p>
    <w:p>
      <w:pPr>
        <w:pStyle w:val="BodyText"/>
        <w:ind w:left="580"/>
        <w:spacing w:before="179"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left="580"/>
        <w:spacing w:before="105" w:line="219" w:lineRule="auto"/>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562"/>
          <w:pgSz w:w="14490" w:h="20470"/>
          <w:pgMar w:top="400" w:right="1925" w:bottom="1005" w:left="2160" w:header="0" w:footer="843" w:gutter="0"/>
        </w:sectPr>
        <w:rPr>
          <w:sz w:val="29"/>
          <w:szCs w:val="29"/>
        </w:rPr>
      </w:pP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spacing w:before="94" w:line="328" w:lineRule="auto"/>
        <w:rPr>
          <w:sz w:val="29"/>
          <w:szCs w:val="29"/>
        </w:rPr>
      </w:pP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41"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570"/>
        <w:spacing w:before="159" w:line="220" w:lineRule="auto"/>
        <w:rPr>
          <w:sz w:val="29"/>
          <w:szCs w:val="29"/>
        </w:rPr>
      </w:pPr>
      <w:r>
        <w:rPr>
          <w:sz w:val="29"/>
          <w:szCs w:val="29"/>
          <w:spacing w:val="4"/>
        </w:rPr>
        <w:t>气温上升，苗木生长较快，有大风天气，重点关注病虫害防治。</w:t>
      </w:r>
    </w:p>
    <w:p>
      <w:pPr>
        <w:pStyle w:val="BodyText"/>
        <w:ind w:left="570"/>
        <w:spacing w:before="111"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33"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left="730"/>
        <w:spacing w:before="156" w:line="219" w:lineRule="auto"/>
        <w:rPr>
          <w:sz w:val="29"/>
          <w:szCs w:val="29"/>
        </w:rPr>
      </w:pPr>
      <w:r>
        <w:rPr>
          <w:sz w:val="29"/>
          <w:szCs w:val="29"/>
          <w:spacing w:val="6"/>
        </w:rPr>
        <w:t>(2)要及时发现下沉严重的地形，提早处理，避免影响景观效果；</w:t>
      </w:r>
    </w:p>
    <w:p>
      <w:pPr>
        <w:pStyle w:val="BodyText"/>
        <w:ind w:right="243" w:firstLine="730"/>
        <w:spacing w:before="136" w:line="281" w:lineRule="auto"/>
        <w:rPr>
          <w:sz w:val="29"/>
          <w:szCs w:val="29"/>
        </w:rPr>
      </w:pPr>
      <w:r>
        <w:rPr>
          <w:sz w:val="29"/>
          <w:szCs w:val="29"/>
          <w:spacing w:val="13"/>
        </w:rPr>
        <w:t>(3)根据树木的萌芽情况提前或延后对贵重苗木进行大树营养液(如施它</w:t>
      </w:r>
      <w:r>
        <w:rPr>
          <w:sz w:val="29"/>
          <w:szCs w:val="29"/>
          <w:spacing w:val="1"/>
        </w:rPr>
        <w:t xml:space="preserve"> </w:t>
      </w:r>
      <w:r>
        <w:rPr>
          <w:sz w:val="29"/>
          <w:szCs w:val="29"/>
          <w:spacing w:val="4"/>
        </w:rPr>
        <w:t>活或吊针原液)滴注。若不良表现轻微可补充清水。确定大树健康无误后再</w:t>
      </w:r>
      <w:r>
        <w:rPr>
          <w:sz w:val="29"/>
          <w:szCs w:val="29"/>
          <w:spacing w:val="3"/>
        </w:rPr>
        <w:t>撤除</w:t>
      </w:r>
      <w:r>
        <w:rPr>
          <w:sz w:val="29"/>
          <w:szCs w:val="29"/>
        </w:rPr>
        <w:t xml:space="preserve"> </w:t>
      </w:r>
      <w:r>
        <w:rPr>
          <w:sz w:val="29"/>
          <w:szCs w:val="29"/>
          <w:spacing w:val="1"/>
        </w:rPr>
        <w:t>吊袋，并将输液孔封死。</w:t>
      </w:r>
    </w:p>
    <w:p>
      <w:pPr>
        <w:ind w:left="570"/>
        <w:spacing w:before="2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308" w:firstLine="730"/>
        <w:spacing w:before="74" w:line="266" w:lineRule="auto"/>
        <w:rPr>
          <w:sz w:val="29"/>
          <w:szCs w:val="29"/>
        </w:rPr>
      </w:pPr>
      <w:r>
        <w:rPr>
          <w:sz w:val="29"/>
          <w:szCs w:val="29"/>
          <w:spacing w:val="7"/>
        </w:rPr>
        <w:t>(1)剪除冬春季干梢的枝条，及时对芽后地被、</w:t>
      </w:r>
      <w:r>
        <w:rPr>
          <w:sz w:val="29"/>
          <w:szCs w:val="29"/>
          <w:spacing w:val="6"/>
        </w:rPr>
        <w:t>绿篱进行修剪注意留取部</w:t>
      </w:r>
      <w:r>
        <w:rPr>
          <w:sz w:val="29"/>
          <w:szCs w:val="29"/>
        </w:rPr>
        <w:t xml:space="preserve"> </w:t>
      </w:r>
      <w:r>
        <w:rPr>
          <w:sz w:val="29"/>
          <w:szCs w:val="29"/>
          <w:spacing w:val="-7"/>
        </w:rPr>
        <w:t>分当年枝更新；</w:t>
      </w:r>
    </w:p>
    <w:p>
      <w:pPr>
        <w:pStyle w:val="BodyText"/>
        <w:ind w:right="293" w:firstLine="730"/>
        <w:spacing w:before="166" w:line="268" w:lineRule="auto"/>
        <w:rPr>
          <w:sz w:val="29"/>
          <w:szCs w:val="29"/>
        </w:rPr>
      </w:pPr>
      <w:r>
        <w:rPr>
          <w:sz w:val="29"/>
          <w:szCs w:val="29"/>
          <w:spacing w:val="7"/>
        </w:rPr>
        <w:t>(2)对生长过量的地被小灌木、绿篱及灌木在新芽刚刚开始膨大时进行回</w:t>
      </w:r>
      <w:r>
        <w:rPr>
          <w:sz w:val="29"/>
          <w:szCs w:val="29"/>
          <w:spacing w:val="4"/>
        </w:rPr>
        <w:t xml:space="preserve"> </w:t>
      </w:r>
      <w:r>
        <w:rPr>
          <w:sz w:val="29"/>
          <w:szCs w:val="29"/>
          <w:spacing w:val="-12"/>
        </w:rPr>
        <w:t>缩；</w:t>
      </w:r>
    </w:p>
    <w:p>
      <w:pPr>
        <w:pStyle w:val="BodyText"/>
        <w:ind w:right="229" w:firstLine="730"/>
        <w:spacing w:before="137" w:line="288" w:lineRule="auto"/>
        <w:rPr>
          <w:sz w:val="29"/>
          <w:szCs w:val="29"/>
        </w:rPr>
      </w:pPr>
      <w:r>
        <w:rPr>
          <w:sz w:val="29"/>
          <w:szCs w:val="29"/>
        </w:rPr>
        <w:t>(3)根据实际情况对草坪进行修剪。具体修剪次数依据现场实际情况而定， </w:t>
      </w:r>
      <w:r>
        <w:rPr>
          <w:sz w:val="29"/>
          <w:szCs w:val="29"/>
          <w:spacing w:val="-6"/>
        </w:rPr>
        <w:t>高度保持4-5</w:t>
      </w:r>
      <w:r>
        <w:rPr>
          <w:rFonts w:ascii="Times New Roman" w:hAnsi="Times New Roman" w:eastAsia="Times New Roman" w:cs="Times New Roman"/>
          <w:sz w:val="29"/>
          <w:szCs w:val="29"/>
          <w:spacing w:val="-6"/>
        </w:rPr>
        <w:t>cm</w:t>
      </w:r>
      <w:r>
        <w:rPr>
          <w:sz w:val="29"/>
          <w:szCs w:val="29"/>
          <w:spacing w:val="-6"/>
        </w:rPr>
        <w:t>。处理好树木周边，围挡边，综合楼角落，人工湖驳岸、园建设施</w:t>
      </w:r>
      <w:r>
        <w:rPr>
          <w:sz w:val="29"/>
          <w:szCs w:val="29"/>
          <w:spacing w:val="11"/>
        </w:rPr>
        <w:t xml:space="preserve"> </w:t>
      </w:r>
      <w:r>
        <w:rPr>
          <w:sz w:val="29"/>
          <w:szCs w:val="29"/>
        </w:rPr>
        <w:t>等地生长过高的草坪。遇雨水较多情况，要增加草坪修剪次数，高度亦可适当降</w:t>
      </w:r>
      <w:r>
        <w:rPr>
          <w:sz w:val="29"/>
          <w:szCs w:val="29"/>
          <w:spacing w:val="13"/>
        </w:rPr>
        <w:t xml:space="preserve"> </w:t>
      </w:r>
      <w:r>
        <w:rPr>
          <w:sz w:val="29"/>
          <w:szCs w:val="29"/>
          <w:spacing w:val="-10"/>
        </w:rPr>
        <w:t>低至3-4</w:t>
      </w:r>
      <w:r>
        <w:rPr>
          <w:rFonts w:ascii="Times New Roman" w:hAnsi="Times New Roman" w:eastAsia="Times New Roman" w:cs="Times New Roman"/>
          <w:sz w:val="29"/>
          <w:szCs w:val="29"/>
          <w:spacing w:val="-10"/>
        </w:rPr>
        <w:t>cm</w:t>
      </w:r>
      <w:r>
        <w:rPr>
          <w:sz w:val="29"/>
          <w:szCs w:val="29"/>
          <w:spacing w:val="-10"/>
        </w:rPr>
        <w:t>。</w:t>
      </w:r>
    </w:p>
    <w:p>
      <w:pPr>
        <w:ind w:left="570"/>
        <w:spacing w:before="200"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left="730"/>
        <w:spacing w:before="111" w:line="219" w:lineRule="auto"/>
        <w:rPr>
          <w:sz w:val="29"/>
          <w:szCs w:val="29"/>
        </w:rPr>
      </w:pPr>
      <w:r>
        <w:rPr>
          <w:sz w:val="29"/>
          <w:szCs w:val="29"/>
        </w:rPr>
        <w:t>(1)加强返青水浇灌，浇灌彻底， 一般3次左</w:t>
      </w:r>
      <w:r>
        <w:rPr>
          <w:sz w:val="29"/>
          <w:szCs w:val="29"/>
          <w:spacing w:val="-1"/>
        </w:rPr>
        <w:t>右；</w:t>
      </w:r>
    </w:p>
    <w:p>
      <w:pPr>
        <w:pStyle w:val="BodyText"/>
        <w:ind w:right="410" w:firstLine="730"/>
        <w:spacing w:before="138" w:line="268" w:lineRule="auto"/>
        <w:rPr>
          <w:sz w:val="29"/>
          <w:szCs w:val="29"/>
        </w:rPr>
      </w:pPr>
      <w:r>
        <w:rPr>
          <w:sz w:val="29"/>
          <w:szCs w:val="29"/>
          <w:spacing w:val="-5"/>
        </w:rPr>
        <w:t>(2)4月中旬或下旬环施、撒施一次有无机复合肥(含有15</w:t>
      </w:r>
      <w:r>
        <w:rPr>
          <w:sz w:val="29"/>
          <w:szCs w:val="29"/>
          <w:spacing w:val="147"/>
        </w:rPr>
        <w:t xml:space="preserve"> </w:t>
      </w:r>
      <w:r>
        <w:rPr>
          <w:sz w:val="29"/>
          <w:szCs w:val="29"/>
          <w:spacing w:val="-5"/>
        </w:rPr>
        <w:t>总养分以上，有</w:t>
      </w:r>
      <w:r>
        <w:rPr>
          <w:sz w:val="29"/>
          <w:szCs w:val="29"/>
        </w:rPr>
        <w:t xml:space="preserve"> </w:t>
      </w:r>
      <w:r>
        <w:rPr>
          <w:sz w:val="29"/>
          <w:szCs w:val="29"/>
          <w:spacing w:val="6"/>
        </w:rPr>
        <w:t>机质大于20%一次，施肥后注意配合浇水，防止发生肥害。</w:t>
      </w:r>
    </w:p>
    <w:p>
      <w:pPr>
        <w:pStyle w:val="BodyText"/>
        <w:ind w:left="570"/>
        <w:spacing w:before="18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96" w:line="219" w:lineRule="auto"/>
        <w:rPr>
          <w:sz w:val="29"/>
          <w:szCs w:val="29"/>
        </w:rPr>
      </w:pPr>
      <w:r>
        <w:rPr>
          <w:sz w:val="29"/>
          <w:szCs w:val="29"/>
          <w:spacing w:val="7"/>
        </w:rPr>
        <w:t>(1)病害：炭疽病、叶斑类病害、锈病、根腐</w:t>
      </w:r>
      <w:r>
        <w:rPr>
          <w:sz w:val="29"/>
          <w:szCs w:val="29"/>
          <w:spacing w:val="6"/>
        </w:rPr>
        <w:t>病、流胶病等；</w:t>
      </w:r>
    </w:p>
    <w:p>
      <w:pPr>
        <w:pStyle w:val="BodyText"/>
        <w:ind w:right="219" w:firstLine="730"/>
        <w:spacing w:before="134" w:line="283" w:lineRule="auto"/>
        <w:rPr>
          <w:sz w:val="29"/>
          <w:szCs w:val="29"/>
        </w:rPr>
      </w:pPr>
      <w:r>
        <w:rPr>
          <w:sz w:val="29"/>
          <w:szCs w:val="29"/>
          <w:spacing w:val="8"/>
        </w:rPr>
        <w:t>(2)虫害：大青叶蝉、桃蚜、桃粉蚜、桃</w:t>
      </w:r>
      <w:r>
        <w:rPr>
          <w:sz w:val="29"/>
          <w:szCs w:val="29"/>
          <w:spacing w:val="7"/>
        </w:rPr>
        <w:t>瘤蚜、梨网冠蝽、桔绿粉虱、星</w:t>
      </w:r>
      <w:r>
        <w:rPr>
          <w:sz w:val="29"/>
          <w:szCs w:val="29"/>
        </w:rPr>
        <w:t xml:space="preserve"> </w:t>
      </w:r>
      <w:r>
        <w:rPr>
          <w:sz w:val="29"/>
          <w:szCs w:val="29"/>
          <w:spacing w:val="1"/>
        </w:rPr>
        <w:t>天牛、芳香木蠹蛾、白杨透翅蛾、柏肤小蠹、白蚁、小</w:t>
      </w:r>
      <w:r>
        <w:rPr>
          <w:sz w:val="29"/>
          <w:szCs w:val="29"/>
        </w:rPr>
        <w:t>青花金龟、铜绿丽金龟、 </w:t>
      </w:r>
      <w:r>
        <w:rPr>
          <w:sz w:val="29"/>
          <w:szCs w:val="29"/>
        </w:rPr>
        <w:t>大地老虎、沟金针虫、玉带凤蝶、柳蓝叶甲等。</w:t>
      </w:r>
    </w:p>
    <w:p>
      <w:pPr>
        <w:pStyle w:val="BodyText"/>
        <w:ind w:left="570"/>
        <w:spacing w:before="14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10" w:firstLine="730"/>
        <w:spacing w:before="10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2"/>
        </w:rPr>
        <w:t>池、灯杆、垃圾桶保持干净；</w:t>
      </w:r>
    </w:p>
    <w:p>
      <w:pPr>
        <w:pStyle w:val="BodyText"/>
        <w:ind w:right="303" w:firstLine="730"/>
        <w:spacing w:before="156" w:line="263"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before="13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时花摆放</w:t>
      </w:r>
    </w:p>
    <w:p>
      <w:pPr>
        <w:spacing w:line="395" w:lineRule="exact"/>
        <w:sectPr>
          <w:footerReference w:type="default" r:id="rId563"/>
          <w:pgSz w:w="14490" w:h="20470"/>
          <w:pgMar w:top="400" w:right="1945" w:bottom="1005" w:left="2150" w:header="0" w:footer="843" w:gutter="0"/>
        </w:sectPr>
        <w:rPr>
          <w:rFonts w:ascii="SimHei" w:hAnsi="SimHei" w:eastAsia="SimHei" w:cs="SimHei"/>
          <w:sz w:val="29"/>
          <w:szCs w:val="29"/>
        </w:rPr>
      </w:pP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left="730"/>
        <w:spacing w:before="94" w:line="219" w:lineRule="auto"/>
        <w:rPr>
          <w:sz w:val="29"/>
          <w:szCs w:val="29"/>
        </w:rPr>
      </w:pPr>
      <w:r>
        <w:rPr>
          <w:sz w:val="29"/>
          <w:szCs w:val="29"/>
          <w:spacing w:val="7"/>
        </w:rPr>
        <w:t>(1)月初提交时花需求计划，选择亮色花卉，安排下旬进场；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33"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23" w:line="219" w:lineRule="auto"/>
        <w:jc w:val="right"/>
        <w:rPr>
          <w:sz w:val="29"/>
          <w:szCs w:val="29"/>
        </w:rPr>
      </w:pPr>
      <w:r>
        <w:rPr>
          <w:sz w:val="29"/>
          <w:szCs w:val="29"/>
          <w:spacing w:val="1"/>
        </w:rPr>
        <w:t>库房物品整理，物料工具出入库及领用登记，注意保管汽油、农药等危险品。</w:t>
      </w:r>
    </w:p>
    <w:p>
      <w:pPr>
        <w:pStyle w:val="BodyText"/>
        <w:ind w:left="590"/>
        <w:spacing w:before="7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10" w:firstLine="590"/>
        <w:spacing w:before="129"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5"/>
        </w:rPr>
        <w:t>防盗情况。</w:t>
      </w:r>
    </w:p>
    <w:p>
      <w:pPr>
        <w:pStyle w:val="BodyText"/>
        <w:ind w:left="590"/>
        <w:spacing w:line="396" w:lineRule="exact"/>
        <w:rPr>
          <w:rFonts w:ascii="SimHei" w:hAnsi="SimHei" w:eastAsia="SimHei" w:cs="SimHei"/>
          <w:sz w:val="29"/>
          <w:szCs w:val="29"/>
        </w:rPr>
      </w:pPr>
      <w:r>
        <w:rPr>
          <w:rFonts w:ascii="Arial" w:hAnsi="Arial" w:eastAsia="Arial" w:cs="Arial"/>
          <w:sz w:val="29"/>
          <w:szCs w:val="29"/>
          <w:spacing w:val="2"/>
          <w:position w:val="1"/>
        </w:rPr>
        <w:t>9</w:t>
      </w:r>
      <w:r>
        <w:rPr>
          <w:sz w:val="29"/>
          <w:szCs w:val="29"/>
          <w:spacing w:val="2"/>
          <w:position w:val="1"/>
        </w:rPr>
        <w:t>、</w:t>
      </w:r>
      <w:r>
        <w:rPr>
          <w:rFonts w:ascii="SimHei" w:hAnsi="SimHei" w:eastAsia="SimHei" w:cs="SimHei"/>
          <w:sz w:val="29"/>
          <w:szCs w:val="29"/>
          <w:spacing w:val="2"/>
          <w:position w:val="1"/>
        </w:rPr>
        <w:t>防寒设施拆除</w:t>
      </w:r>
    </w:p>
    <w:p>
      <w:pPr>
        <w:pStyle w:val="BodyText"/>
        <w:ind w:left="590"/>
        <w:spacing w:before="129" w:line="219" w:lineRule="auto"/>
        <w:rPr>
          <w:sz w:val="29"/>
          <w:szCs w:val="29"/>
        </w:rPr>
      </w:pPr>
      <w:r>
        <w:rPr>
          <w:sz w:val="29"/>
          <w:szCs w:val="29"/>
          <w:spacing w:val="7"/>
        </w:rPr>
        <w:t>视天气情况逐步完全拆除苗木防寒设施(专项工作)。</w:t>
      </w:r>
    </w:p>
    <w:p>
      <w:pPr>
        <w:spacing w:before="127" w:line="223" w:lineRule="auto"/>
        <w:rPr>
          <w:rFonts w:ascii="SimHei" w:hAnsi="SimHei" w:eastAsia="SimHei" w:cs="SimHei"/>
          <w:sz w:val="29"/>
          <w:szCs w:val="29"/>
        </w:rPr>
      </w:pPr>
      <w:r>
        <w:rPr>
          <w:rFonts w:ascii="SimHei" w:hAnsi="SimHei" w:eastAsia="SimHei" w:cs="SimHei"/>
          <w:sz w:val="29"/>
          <w:szCs w:val="29"/>
          <w:spacing w:val="6"/>
        </w:rPr>
        <w:t>五月份</w:t>
      </w:r>
    </w:p>
    <w:p>
      <w:pPr>
        <w:pStyle w:val="BodyText"/>
        <w:ind w:left="590"/>
        <w:spacing w:before="209" w:line="219" w:lineRule="auto"/>
        <w:rPr>
          <w:sz w:val="29"/>
          <w:szCs w:val="29"/>
        </w:rPr>
      </w:pPr>
      <w:r>
        <w:rPr>
          <w:sz w:val="29"/>
          <w:szCs w:val="29"/>
          <w:spacing w:val="3"/>
        </w:rPr>
        <w:t>气温急骤上升，树木生长迅速，注意病虫害防治，及时补充水分。</w:t>
      </w:r>
    </w:p>
    <w:p>
      <w:pPr>
        <w:pStyle w:val="BodyText"/>
        <w:ind w:left="590"/>
        <w:spacing w:before="25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33" w:line="219" w:lineRule="auto"/>
        <w:rPr>
          <w:sz w:val="29"/>
          <w:szCs w:val="29"/>
        </w:rPr>
      </w:pPr>
      <w:r>
        <w:rPr>
          <w:sz w:val="29"/>
          <w:szCs w:val="29"/>
          <w:spacing w:val="-1"/>
        </w:rPr>
        <w:t>及时检查乔木支撑情况，发现松动或缺失立即加</w:t>
      </w:r>
      <w:r>
        <w:rPr>
          <w:sz w:val="29"/>
          <w:szCs w:val="29"/>
          <w:spacing w:val="-2"/>
        </w:rPr>
        <w:t>固。</w:t>
      </w:r>
    </w:p>
    <w:p>
      <w:pPr>
        <w:ind w:left="590"/>
        <w:spacing w:before="114" w:line="221" w:lineRule="auto"/>
        <w:rPr>
          <w:rFonts w:ascii="SimHei" w:hAnsi="SimHei" w:eastAsia="SimHei" w:cs="SimHei"/>
          <w:sz w:val="30"/>
          <w:szCs w:val="30"/>
        </w:rPr>
      </w:pPr>
      <w:r>
        <w:rPr>
          <w:rFonts w:ascii="SimHei" w:hAnsi="SimHei" w:eastAsia="SimHei" w:cs="SimHei"/>
          <w:sz w:val="30"/>
          <w:szCs w:val="30"/>
          <w:spacing w:val="3"/>
        </w:rPr>
        <w:t>2、修剪</w:t>
      </w:r>
    </w:p>
    <w:p>
      <w:pPr>
        <w:pStyle w:val="BodyText"/>
        <w:ind w:left="590"/>
        <w:spacing w:before="113" w:line="219" w:lineRule="auto"/>
        <w:rPr>
          <w:sz w:val="29"/>
          <w:szCs w:val="29"/>
        </w:rPr>
      </w:pPr>
      <w:r>
        <w:rPr>
          <w:sz w:val="29"/>
          <w:szCs w:val="29"/>
          <w:spacing w:val="2"/>
        </w:rPr>
        <w:t>剪残花，新植树木剥芽、去蘖等。及时修剪地被小灌木、绿篱与造型树。</w:t>
      </w:r>
    </w:p>
    <w:p>
      <w:pPr>
        <w:ind w:left="590"/>
        <w:spacing w:before="13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81" w:firstLine="730"/>
        <w:spacing w:before="124" w:line="266" w:lineRule="auto"/>
        <w:rPr>
          <w:sz w:val="29"/>
          <w:szCs w:val="29"/>
        </w:rPr>
      </w:pPr>
      <w:r>
        <w:rPr>
          <w:sz w:val="29"/>
          <w:szCs w:val="29"/>
          <w:spacing w:val="7"/>
        </w:rPr>
        <w:t>(1)浇水：苗木展叶生长期，对水分的需求较大，需要及时浇水，满足苗</w:t>
      </w:r>
      <w:r>
        <w:rPr>
          <w:sz w:val="29"/>
          <w:szCs w:val="29"/>
          <w:spacing w:val="16"/>
        </w:rPr>
        <w:t xml:space="preserve"> </w:t>
      </w:r>
      <w:r>
        <w:rPr>
          <w:sz w:val="29"/>
          <w:szCs w:val="29"/>
          <w:spacing w:val="-3"/>
        </w:rPr>
        <w:t>木的正常生长需求；</w:t>
      </w:r>
    </w:p>
    <w:p>
      <w:pPr>
        <w:pStyle w:val="BodyText"/>
        <w:ind w:right="245" w:firstLine="730"/>
        <w:spacing w:before="151" w:line="281" w:lineRule="auto"/>
        <w:rPr>
          <w:sz w:val="29"/>
          <w:szCs w:val="29"/>
        </w:rPr>
      </w:pPr>
      <w:r>
        <w:rPr>
          <w:sz w:val="29"/>
          <w:szCs w:val="29"/>
          <w:spacing w:val="7"/>
        </w:rPr>
        <w:t>(2)5月中旬如果苗木长势效果较差则使用氮、磷、钾均衡型速效性复合肥</w:t>
      </w:r>
      <w:r>
        <w:rPr>
          <w:sz w:val="29"/>
          <w:szCs w:val="29"/>
        </w:rPr>
        <w:t xml:space="preserve"> </w:t>
      </w:r>
      <w:r>
        <w:rPr>
          <w:sz w:val="29"/>
          <w:szCs w:val="29"/>
        </w:rPr>
        <w:t>氮15-18、磷15-18、钾15-18)。对检查发现生长欠佳的草坪，如色泽失常，则应</w:t>
      </w:r>
      <w:r>
        <w:rPr>
          <w:sz w:val="29"/>
          <w:szCs w:val="29"/>
          <w:spacing w:val="11"/>
        </w:rPr>
        <w:t xml:space="preserve"> </w:t>
      </w:r>
      <w:r>
        <w:rPr>
          <w:sz w:val="29"/>
          <w:szCs w:val="29"/>
        </w:rPr>
        <w:t>迅速增施一次高氮素肥料，可以促进绿叶返青。</w:t>
      </w:r>
    </w:p>
    <w:p>
      <w:pPr>
        <w:pStyle w:val="BodyText"/>
        <w:ind w:left="590"/>
        <w:spacing w:before="19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429" w:firstLine="730"/>
        <w:spacing w:before="96" w:line="272"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3"/>
        </w:rPr>
        <w:t>病、细菌性穿孔病等；</w:t>
      </w:r>
    </w:p>
    <w:p>
      <w:pPr>
        <w:pStyle w:val="BodyText"/>
        <w:ind w:right="330" w:firstLine="730"/>
        <w:spacing w:before="152" w:line="289" w:lineRule="auto"/>
        <w:rPr>
          <w:sz w:val="29"/>
          <w:szCs w:val="29"/>
        </w:rPr>
      </w:pPr>
      <w:r>
        <w:rPr>
          <w:sz w:val="29"/>
          <w:szCs w:val="29"/>
          <w:spacing w:val="8"/>
        </w:rPr>
        <w:t>(2)虫害：大青叶蝉、桃蚜、桃粉蚜、桃</w:t>
      </w:r>
      <w:r>
        <w:rPr>
          <w:sz w:val="29"/>
          <w:szCs w:val="29"/>
          <w:spacing w:val="7"/>
        </w:rPr>
        <w:t>瘤蚜、梨网冠蝽、桔绿粉虱、星</w:t>
      </w:r>
      <w:r>
        <w:rPr>
          <w:sz w:val="29"/>
          <w:szCs w:val="29"/>
        </w:rPr>
        <w:t xml:space="preserve"> </w:t>
      </w:r>
      <w:r>
        <w:rPr>
          <w:sz w:val="29"/>
          <w:szCs w:val="29"/>
        </w:rPr>
        <w:t>天牛、芳香木蠹蛾、白杨透翅蛾、柏肤小蠹、白蚁、小青花金龟、大黑鳃金龟、</w:t>
      </w:r>
      <w:r>
        <w:rPr>
          <w:sz w:val="29"/>
          <w:szCs w:val="29"/>
          <w:spacing w:val="13"/>
        </w:rPr>
        <w:t xml:space="preserve"> </w:t>
      </w:r>
      <w:r>
        <w:rPr>
          <w:sz w:val="29"/>
          <w:szCs w:val="29"/>
          <w:spacing w:val="-8"/>
        </w:rPr>
        <w:t>铜绿丽金龟、大地老虎、蝼蛄、桃剑纹夜蛾、丝棉木金星尺蛾、柑</w:t>
      </w:r>
      <w:r>
        <w:rPr>
          <w:sz w:val="29"/>
          <w:szCs w:val="29"/>
          <w:spacing w:val="-9"/>
        </w:rPr>
        <w:t>桔凤蝶、玉带凤</w:t>
      </w:r>
      <w:r>
        <w:rPr>
          <w:sz w:val="29"/>
          <w:szCs w:val="29"/>
        </w:rPr>
        <w:t xml:space="preserve"> </w:t>
      </w:r>
      <w:r>
        <w:rPr>
          <w:sz w:val="29"/>
          <w:szCs w:val="29"/>
          <w:spacing w:val="-10"/>
        </w:rPr>
        <w:t>蝶、柳蓝叶甲、葡萄十星叶甲等。</w:t>
      </w:r>
    </w:p>
    <w:p>
      <w:pPr>
        <w:pStyle w:val="BodyText"/>
        <w:ind w:left="590"/>
        <w:spacing w:before="138"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30" w:firstLine="730"/>
        <w:spacing w:before="11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45" w:line="260"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spacing w:line="260" w:lineRule="auto"/>
        <w:sectPr>
          <w:footerReference w:type="default" r:id="rId564"/>
          <w:pgSz w:w="14490" w:h="20470"/>
          <w:pgMar w:top="400" w:right="1844" w:bottom="1033" w:left="2150" w:header="0" w:footer="834"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590"/>
        <w:spacing w:before="9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spacing w:before="12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90"/>
        <w:spacing w:before="11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20" w:firstLine="590"/>
        <w:spacing w:before="134" w:line="311"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3"/>
        </w:rPr>
        <w:t>防盗情况。</w:t>
      </w:r>
    </w:p>
    <w:p>
      <w:pPr>
        <w:spacing w:before="86" w:line="223" w:lineRule="auto"/>
        <w:rPr>
          <w:rFonts w:ascii="SimHei" w:hAnsi="SimHei" w:eastAsia="SimHei" w:cs="SimHei"/>
          <w:sz w:val="29"/>
          <w:szCs w:val="29"/>
        </w:rPr>
      </w:pPr>
      <w:r>
        <w:rPr>
          <w:rFonts w:ascii="SimHei" w:hAnsi="SimHei" w:eastAsia="SimHei" w:cs="SimHei"/>
          <w:sz w:val="29"/>
          <w:szCs w:val="29"/>
          <w:spacing w:val="12"/>
        </w:rPr>
        <w:t>六月份</w:t>
      </w:r>
    </w:p>
    <w:p>
      <w:pPr>
        <w:pStyle w:val="BodyText"/>
        <w:ind w:left="590"/>
        <w:spacing w:before="147" w:line="219" w:lineRule="auto"/>
        <w:rPr>
          <w:sz w:val="29"/>
          <w:szCs w:val="29"/>
        </w:rPr>
      </w:pPr>
      <w:r>
        <w:rPr>
          <w:sz w:val="29"/>
          <w:szCs w:val="29"/>
          <w:spacing w:val="1"/>
        </w:rPr>
        <w:t>气温逐渐升高。偶尔有大风雷雨天气，注意防涝，对零星病虫害专项防治。</w:t>
      </w:r>
    </w:p>
    <w:p>
      <w:pPr>
        <w:pStyle w:val="BodyText"/>
        <w:ind w:left="590"/>
        <w:spacing w:before="125"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124" w:line="219" w:lineRule="auto"/>
        <w:rPr>
          <w:sz w:val="29"/>
          <w:szCs w:val="29"/>
        </w:rPr>
      </w:pPr>
      <w:r>
        <w:rPr>
          <w:sz w:val="29"/>
          <w:szCs w:val="29"/>
          <w:spacing w:val="6"/>
        </w:rPr>
        <w:t>(1)及时检查乔木支撑情况，发现松动或缺失立即加固；</w:t>
      </w:r>
    </w:p>
    <w:p>
      <w:pPr>
        <w:pStyle w:val="BodyText"/>
        <w:ind w:right="449" w:firstLine="730"/>
        <w:spacing w:before="167" w:line="258" w:lineRule="auto"/>
        <w:rPr>
          <w:sz w:val="29"/>
          <w:szCs w:val="29"/>
        </w:rPr>
      </w:pPr>
      <w:r>
        <w:rPr>
          <w:sz w:val="29"/>
          <w:szCs w:val="29"/>
          <w:spacing w:val="6"/>
        </w:rPr>
        <w:t>(2)关注苗木生长情况，对于发芽不良及未发芽苗木积极巡查原因，对症</w:t>
      </w:r>
      <w:r>
        <w:rPr>
          <w:sz w:val="29"/>
          <w:szCs w:val="29"/>
          <w:spacing w:val="1"/>
        </w:rPr>
        <w:t xml:space="preserve"> </w:t>
      </w:r>
      <w:r>
        <w:rPr>
          <w:sz w:val="29"/>
          <w:szCs w:val="29"/>
          <w:spacing w:val="1"/>
        </w:rPr>
        <w:t>下药，及时进行地上部及地下部处理，促进生长。</w:t>
      </w:r>
    </w:p>
    <w:p>
      <w:pPr>
        <w:ind w:left="590"/>
        <w:spacing w:before="205"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left="730"/>
        <w:spacing w:before="86" w:line="219" w:lineRule="auto"/>
        <w:rPr>
          <w:sz w:val="29"/>
          <w:szCs w:val="29"/>
        </w:rPr>
      </w:pPr>
      <w:r>
        <w:rPr>
          <w:sz w:val="29"/>
          <w:szCs w:val="29"/>
          <w:spacing w:val="11"/>
        </w:rPr>
        <w:t>(1)及时清除树木萌蘖；</w:t>
      </w:r>
    </w:p>
    <w:p>
      <w:pPr>
        <w:pStyle w:val="BodyText"/>
        <w:ind w:right="393" w:firstLine="730"/>
        <w:spacing w:before="156" w:line="281" w:lineRule="auto"/>
        <w:rPr>
          <w:sz w:val="29"/>
          <w:szCs w:val="29"/>
        </w:rPr>
      </w:pPr>
      <w:r>
        <w:rPr>
          <w:sz w:val="29"/>
          <w:szCs w:val="29"/>
          <w:spacing w:val="8"/>
        </w:rPr>
        <w:t>(2)及时消灭绿地内的野草，防止草荒，及时对草坪</w:t>
      </w:r>
      <w:r>
        <w:rPr>
          <w:sz w:val="29"/>
          <w:szCs w:val="29"/>
          <w:spacing w:val="7"/>
        </w:rPr>
        <w:t>进行修剪，高度保持</w:t>
      </w:r>
      <w:r>
        <w:rPr>
          <w:sz w:val="29"/>
          <w:szCs w:val="29"/>
        </w:rPr>
        <w:t xml:space="preserve"> </w:t>
      </w:r>
      <w:r>
        <w:rPr>
          <w:rFonts w:ascii="Times New Roman" w:hAnsi="Times New Roman" w:eastAsia="Times New Roman" w:cs="Times New Roman"/>
          <w:sz w:val="29"/>
          <w:szCs w:val="29"/>
          <w:spacing w:val="2"/>
        </w:rPr>
        <w:t>4-5</w:t>
      </w:r>
      <w:r>
        <w:rPr>
          <w:rFonts w:ascii="Times New Roman" w:hAnsi="Times New Roman" w:eastAsia="Times New Roman" w:cs="Times New Roman"/>
          <w:sz w:val="29"/>
          <w:szCs w:val="29"/>
        </w:rPr>
        <w:t>cm</w:t>
      </w:r>
      <w:r>
        <w:rPr>
          <w:sz w:val="29"/>
          <w:szCs w:val="29"/>
          <w:spacing w:val="2"/>
        </w:rPr>
        <w:t>。避免出现剪短露白茬；或者修剪不及时草皮过高倒伏，捂黄等现像。雨</w:t>
      </w:r>
      <w:r>
        <w:rPr>
          <w:sz w:val="29"/>
          <w:szCs w:val="29"/>
          <w:spacing w:val="10"/>
        </w:rPr>
        <w:t xml:space="preserve"> </w:t>
      </w:r>
      <w:r>
        <w:rPr>
          <w:sz w:val="29"/>
          <w:szCs w:val="29"/>
          <w:spacing w:val="-2"/>
        </w:rPr>
        <w:t>水量较多时增加修剪次数，可适当放低修剪高度保持3-4</w:t>
      </w:r>
      <w:r>
        <w:rPr>
          <w:rFonts w:ascii="Times New Roman" w:hAnsi="Times New Roman" w:eastAsia="Times New Roman" w:cs="Times New Roman"/>
          <w:sz w:val="29"/>
          <w:szCs w:val="29"/>
          <w:spacing w:val="-2"/>
        </w:rPr>
        <w:t>cm</w:t>
      </w:r>
      <w:r>
        <w:rPr>
          <w:sz w:val="29"/>
          <w:szCs w:val="29"/>
          <w:spacing w:val="-2"/>
        </w:rPr>
        <w:t>。</w:t>
      </w:r>
    </w:p>
    <w:p>
      <w:pPr>
        <w:pStyle w:val="BodyText"/>
        <w:ind w:left="590"/>
        <w:spacing w:before="132"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119" w:firstLine="590"/>
        <w:spacing w:before="76" w:line="334" w:lineRule="auto"/>
        <w:rPr>
          <w:sz w:val="29"/>
          <w:szCs w:val="29"/>
        </w:rPr>
      </w:pPr>
      <w:r>
        <w:rPr>
          <w:sz w:val="29"/>
          <w:szCs w:val="29"/>
          <w:spacing w:val="7"/>
        </w:rPr>
        <w:t>气温升高，植物需水量大，要及时浇水。把握灌水“不干不浇，浇则浇透”</w:t>
      </w:r>
      <w:r>
        <w:rPr>
          <w:sz w:val="29"/>
          <w:szCs w:val="29"/>
          <w:spacing w:val="3"/>
        </w:rPr>
        <w:t xml:space="preserve"> </w:t>
      </w:r>
      <w:r>
        <w:rPr>
          <w:sz w:val="29"/>
          <w:szCs w:val="29"/>
          <w:spacing w:val="1"/>
        </w:rPr>
        <w:t>原则，避开高温时段，选择上午11点以前，或者下午3点以后进行浇灌。</w:t>
      </w:r>
    </w:p>
    <w:p>
      <w:pPr>
        <w:pStyle w:val="BodyText"/>
        <w:ind w:left="590"/>
        <w:spacing w:before="11"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459" w:firstLine="730"/>
        <w:spacing w:before="85" w:line="272" w:lineRule="auto"/>
        <w:rPr>
          <w:sz w:val="29"/>
          <w:szCs w:val="29"/>
        </w:rPr>
      </w:pPr>
      <w:r>
        <w:rPr>
          <w:sz w:val="29"/>
          <w:szCs w:val="29"/>
          <w:spacing w:val="6"/>
        </w:rPr>
        <w:t>(1)病害：白粉病、炭疽病、锈病、煤污病、叶枯</w:t>
      </w:r>
      <w:r>
        <w:rPr>
          <w:sz w:val="29"/>
          <w:szCs w:val="29"/>
          <w:spacing w:val="5"/>
        </w:rPr>
        <w:t>病、干腐病、枝枯病、</w:t>
      </w:r>
      <w:r>
        <w:rPr>
          <w:sz w:val="29"/>
          <w:szCs w:val="29"/>
        </w:rPr>
        <w:t xml:space="preserve"> </w:t>
      </w:r>
      <w:r>
        <w:rPr>
          <w:sz w:val="29"/>
          <w:szCs w:val="29"/>
          <w:spacing w:val="1"/>
        </w:rPr>
        <w:t>流胶病、枯萎病、草坪腐霉枯萎病、细菌性穿孔病、冠瘿病等；</w:t>
      </w:r>
    </w:p>
    <w:p>
      <w:pPr>
        <w:pStyle w:val="BodyText"/>
        <w:ind w:right="348" w:firstLine="730"/>
        <w:spacing w:before="126" w:line="292" w:lineRule="auto"/>
        <w:rPr>
          <w:sz w:val="29"/>
          <w:szCs w:val="29"/>
        </w:rPr>
      </w:pPr>
      <w:r>
        <w:rPr>
          <w:sz w:val="29"/>
          <w:szCs w:val="29"/>
          <w:spacing w:val="8"/>
        </w:rPr>
        <w:t>(2)虫害：大青叶蝉、桃粉蚜、梨网冠蝽、梧桐木虱、花蓟</w:t>
      </w:r>
      <w:r>
        <w:rPr>
          <w:sz w:val="29"/>
          <w:szCs w:val="29"/>
          <w:spacing w:val="7"/>
        </w:rPr>
        <w:t>马、桑天牛、</w:t>
      </w:r>
      <w:r>
        <w:rPr>
          <w:sz w:val="29"/>
          <w:szCs w:val="29"/>
        </w:rPr>
        <w:t xml:space="preserve"> </w:t>
      </w:r>
      <w:r>
        <w:rPr>
          <w:sz w:val="29"/>
          <w:szCs w:val="29"/>
          <w:spacing w:val="-15"/>
        </w:rPr>
        <w:t>星天牛、光肩星天牛、芳香木蠹蛾、白杨透翅蛾、柏</w:t>
      </w:r>
      <w:r>
        <w:rPr>
          <w:sz w:val="29"/>
          <w:szCs w:val="29"/>
          <w:spacing w:val="-16"/>
        </w:rPr>
        <w:t>肤小蠹、白蚁、小青花金龟、大</w:t>
      </w:r>
      <w:r>
        <w:rPr>
          <w:sz w:val="29"/>
          <w:szCs w:val="29"/>
        </w:rPr>
        <w:t xml:space="preserve"> </w:t>
      </w:r>
      <w:r>
        <w:rPr>
          <w:sz w:val="29"/>
          <w:szCs w:val="29"/>
          <w:spacing w:val="-15"/>
        </w:rPr>
        <w:t>黑鳃金龟、大地老虎、蝼蛄、黄刺蛾、丽绿刺蛾</w:t>
      </w:r>
      <w:r>
        <w:rPr>
          <w:sz w:val="29"/>
          <w:szCs w:val="29"/>
          <w:spacing w:val="-16"/>
        </w:rPr>
        <w:t>、褐边绿刺蛾、茶袋蛾、大袋蛾、黄</w:t>
      </w:r>
      <w:r>
        <w:rPr>
          <w:sz w:val="29"/>
          <w:szCs w:val="29"/>
        </w:rPr>
        <w:t xml:space="preserve"> </w:t>
      </w:r>
      <w:r>
        <w:rPr>
          <w:sz w:val="29"/>
          <w:szCs w:val="29"/>
          <w:spacing w:val="-15"/>
        </w:rPr>
        <w:t>尾毒蛾、桃剑纹夜蛾、丝棉木金星尺蛾、柑桔凤蝶、玉带凤蝶</w:t>
      </w:r>
      <w:r>
        <w:rPr>
          <w:sz w:val="29"/>
          <w:szCs w:val="29"/>
          <w:spacing w:val="-16"/>
        </w:rPr>
        <w:t>、柳蓝叶甲、葡萄十星</w:t>
      </w:r>
      <w:r>
        <w:rPr>
          <w:sz w:val="29"/>
          <w:szCs w:val="29"/>
        </w:rPr>
        <w:t xml:space="preserve"> </w:t>
      </w:r>
      <w:r>
        <w:rPr>
          <w:sz w:val="29"/>
          <w:szCs w:val="29"/>
          <w:spacing w:val="-14"/>
        </w:rPr>
        <w:t>叶甲等。</w:t>
      </w:r>
    </w:p>
    <w:p>
      <w:pPr>
        <w:pStyle w:val="BodyText"/>
        <w:ind w:left="590"/>
        <w:spacing w:before="19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49" w:firstLine="730"/>
        <w:spacing w:before="9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43" w:firstLine="730"/>
        <w:spacing w:before="14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ind w:left="590"/>
        <w:spacing w:before="194" w:line="222" w:lineRule="auto"/>
        <w:rPr>
          <w:rFonts w:ascii="SimHei" w:hAnsi="SimHei" w:eastAsia="SimHei" w:cs="SimHei"/>
          <w:sz w:val="29"/>
          <w:szCs w:val="29"/>
        </w:rPr>
      </w:pPr>
      <w:r>
        <w:rPr>
          <w:rFonts w:ascii="SimHei" w:hAnsi="SimHei" w:eastAsia="SimHei" w:cs="SimHei"/>
          <w:sz w:val="29"/>
          <w:szCs w:val="29"/>
          <w:spacing w:val="7"/>
        </w:rPr>
        <w:t>6、物资管理</w:t>
      </w:r>
    </w:p>
    <w:p>
      <w:pPr>
        <w:spacing w:line="222" w:lineRule="auto"/>
        <w:sectPr>
          <w:footerReference w:type="default" r:id="rId565"/>
          <w:pgSz w:w="14490" w:h="20470"/>
          <w:pgMar w:top="400" w:right="1825" w:bottom="1033" w:left="2150" w:header="0" w:footer="834" w:gutter="0"/>
        </w:sectPr>
        <w:rPr>
          <w:rFonts w:ascii="SimHei" w:hAnsi="SimHei" w:eastAsia="SimHei" w:cs="SimHei"/>
          <w:sz w:val="29"/>
          <w:szCs w:val="29"/>
        </w:rPr>
      </w:pP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BodyText"/>
        <w:ind w:right="321" w:firstLine="730"/>
        <w:spacing w:before="94" w:line="273"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1"/>
        </w:rPr>
        <w:t>危险品；</w:t>
      </w:r>
    </w:p>
    <w:p>
      <w:pPr>
        <w:pStyle w:val="BodyText"/>
        <w:ind w:right="319" w:firstLine="730"/>
        <w:spacing w:before="163" w:line="267" w:lineRule="auto"/>
        <w:rPr>
          <w:sz w:val="29"/>
          <w:szCs w:val="29"/>
        </w:rPr>
      </w:pPr>
      <w:r>
        <w:rPr>
          <w:sz w:val="29"/>
          <w:szCs w:val="29"/>
          <w:spacing w:val="2"/>
        </w:rPr>
        <w:t>(2)根据现场的实际情况，申请购置7、8、9月份的农药、化肥、营养剂及</w:t>
      </w:r>
      <w:r>
        <w:rPr>
          <w:sz w:val="29"/>
          <w:szCs w:val="29"/>
          <w:spacing w:val="4"/>
        </w:rPr>
        <w:t xml:space="preserve"> </w:t>
      </w:r>
      <w:r>
        <w:rPr>
          <w:sz w:val="29"/>
          <w:szCs w:val="29"/>
          <w:spacing w:val="-8"/>
        </w:rPr>
        <w:t>其它物资；</w:t>
      </w:r>
    </w:p>
    <w:p>
      <w:pPr>
        <w:pStyle w:val="BodyText"/>
        <w:ind w:left="730"/>
        <w:spacing w:before="139" w:line="219" w:lineRule="auto"/>
        <w:rPr>
          <w:sz w:val="29"/>
          <w:szCs w:val="29"/>
        </w:rPr>
      </w:pPr>
      <w:r>
        <w:rPr>
          <w:sz w:val="29"/>
          <w:szCs w:val="29"/>
          <w:spacing w:val="11"/>
        </w:rPr>
        <w:t>(3)进行机械工具的检查维修。</w:t>
      </w:r>
    </w:p>
    <w:p>
      <w:pPr>
        <w:pStyle w:val="BodyText"/>
        <w:ind w:left="590"/>
        <w:spacing w:before="11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90"/>
        <w:spacing w:before="13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77"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590"/>
        <w:spacing w:before="147" w:line="219" w:lineRule="auto"/>
        <w:rPr>
          <w:sz w:val="29"/>
          <w:szCs w:val="29"/>
        </w:rPr>
      </w:pPr>
      <w:r>
        <w:rPr>
          <w:sz w:val="29"/>
          <w:szCs w:val="29"/>
          <w:spacing w:val="3"/>
        </w:rPr>
        <w:t>气温最高，中旬以后会出现大风大雨情况，做好防风、防涝工作。</w:t>
      </w:r>
    </w:p>
    <w:p>
      <w:pPr>
        <w:pStyle w:val="BodyText"/>
        <w:ind w:left="590"/>
        <w:spacing w:before="26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33" w:line="219" w:lineRule="auto"/>
        <w:rPr>
          <w:sz w:val="29"/>
          <w:szCs w:val="29"/>
        </w:rPr>
      </w:pPr>
      <w:r>
        <w:rPr>
          <w:sz w:val="29"/>
          <w:szCs w:val="29"/>
          <w:spacing w:val="-1"/>
        </w:rPr>
        <w:t>及时检查乔木支撑情况，发现松动或缺失立即加固。</w:t>
      </w:r>
    </w:p>
    <w:p>
      <w:pPr>
        <w:ind w:left="590"/>
        <w:spacing w:before="11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39" w:firstLine="590"/>
        <w:spacing w:before="156" w:line="309" w:lineRule="auto"/>
        <w:rPr>
          <w:sz w:val="29"/>
          <w:szCs w:val="29"/>
        </w:rPr>
      </w:pPr>
      <w:r>
        <w:rPr>
          <w:sz w:val="29"/>
          <w:szCs w:val="29"/>
          <w:spacing w:val="-11"/>
        </w:rPr>
        <w:t>乔木、花灌木及草坪生长迅速，要及时对乔木、灌木、草坪进行修剪。行道树，</w:t>
      </w:r>
      <w:r>
        <w:rPr>
          <w:sz w:val="29"/>
          <w:szCs w:val="29"/>
          <w:spacing w:val="8"/>
        </w:rPr>
        <w:t xml:space="preserve"> </w:t>
      </w:r>
      <w:r>
        <w:rPr>
          <w:sz w:val="29"/>
          <w:szCs w:val="29"/>
          <w:spacing w:val="-16"/>
        </w:rPr>
        <w:t>进行剥芽修剪，对与电线及道路有矛盾的树枝一律修剪，并对树桩逐个检查，发现松</w:t>
      </w:r>
      <w:r>
        <w:rPr>
          <w:sz w:val="29"/>
          <w:szCs w:val="29"/>
          <w:spacing w:val="3"/>
        </w:rPr>
        <w:t xml:space="preserve">  </w:t>
      </w:r>
      <w:r>
        <w:rPr>
          <w:sz w:val="29"/>
          <w:szCs w:val="29"/>
          <w:spacing w:val="-3"/>
        </w:rPr>
        <w:t>垮、不稳立即扶正绑紧。</w:t>
      </w:r>
    </w:p>
    <w:p>
      <w:pPr>
        <w:pStyle w:val="BodyText"/>
        <w:ind w:left="590"/>
        <w:spacing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433" w:firstLine="590"/>
        <w:spacing w:before="98" w:line="327" w:lineRule="auto"/>
        <w:rPr>
          <w:sz w:val="29"/>
          <w:szCs w:val="29"/>
        </w:rPr>
      </w:pPr>
      <w:r>
        <w:rPr>
          <w:sz w:val="29"/>
          <w:szCs w:val="29"/>
          <w:spacing w:val="-6"/>
        </w:rPr>
        <w:t>本月为高温高湿的多雨季节，仍注意苗木实时浇水，同时也要注意时花的适</w:t>
      </w:r>
      <w:r>
        <w:rPr>
          <w:sz w:val="29"/>
          <w:szCs w:val="29"/>
          <w:spacing w:val="8"/>
        </w:rPr>
        <w:t xml:space="preserve"> </w:t>
      </w:r>
      <w:r>
        <w:rPr>
          <w:sz w:val="29"/>
          <w:szCs w:val="29"/>
          <w:spacing w:val="-3"/>
        </w:rPr>
        <w:t>时浇水。做好排涝工作。</w:t>
      </w:r>
    </w:p>
    <w:p>
      <w:pPr>
        <w:pStyle w:val="BodyText"/>
        <w:ind w:left="590"/>
        <w:spacing w:before="10"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261" w:firstLine="730"/>
        <w:spacing w:before="93" w:line="263" w:lineRule="auto"/>
        <w:rPr>
          <w:sz w:val="29"/>
          <w:szCs w:val="29"/>
        </w:rPr>
      </w:pPr>
      <w:r>
        <w:rPr>
          <w:sz w:val="29"/>
          <w:szCs w:val="29"/>
          <w:spacing w:val="-9"/>
        </w:rPr>
        <w:t>(1)病害：锈病、煤污病、叶枯病、干腐病、紫纹羽病、枝枯病、枯萎病、草</w:t>
      </w:r>
      <w:r>
        <w:rPr>
          <w:sz w:val="29"/>
          <w:szCs w:val="29"/>
          <w:spacing w:val="12"/>
        </w:rPr>
        <w:t xml:space="preserve"> </w:t>
      </w:r>
      <w:r>
        <w:rPr>
          <w:sz w:val="29"/>
          <w:szCs w:val="29"/>
          <w:spacing w:val="-5"/>
        </w:rPr>
        <w:t>坪腐霉枯萎病、细菌性穿孔病、冠瘿病、花叶病等；</w:t>
      </w:r>
    </w:p>
    <w:p>
      <w:pPr>
        <w:pStyle w:val="BodyText"/>
        <w:ind w:right="239" w:firstLine="730"/>
        <w:spacing w:before="132" w:line="299" w:lineRule="auto"/>
        <w:rPr>
          <w:sz w:val="29"/>
          <w:szCs w:val="29"/>
        </w:rPr>
      </w:pPr>
      <w:r>
        <w:rPr>
          <w:sz w:val="29"/>
          <w:szCs w:val="29"/>
          <w:spacing w:val="12"/>
        </w:rPr>
        <w:t>(2)虫害：大青叶蝉、梨网冠蝽、梧桐木虱、朱砂叶螨(棉花红</w:t>
      </w:r>
      <w:r>
        <w:rPr>
          <w:sz w:val="29"/>
          <w:szCs w:val="29"/>
          <w:spacing w:val="11"/>
        </w:rPr>
        <w:t>蜘蛛、红</w:t>
      </w:r>
      <w:r>
        <w:rPr>
          <w:sz w:val="29"/>
          <w:szCs w:val="29"/>
        </w:rPr>
        <w:t xml:space="preserve"> </w:t>
      </w:r>
      <w:r>
        <w:rPr>
          <w:sz w:val="29"/>
          <w:szCs w:val="29"/>
          <w:spacing w:val="2"/>
        </w:rPr>
        <w:t>叶螨)、花蓟马、桑天牛、星天牛、光肩星天牛、芳香木蠹蛾、白蚁、小青花金</w:t>
      </w:r>
      <w:r>
        <w:rPr>
          <w:sz w:val="29"/>
          <w:szCs w:val="29"/>
          <w:spacing w:val="6"/>
        </w:rPr>
        <w:t xml:space="preserve"> </w:t>
      </w:r>
      <w:r>
        <w:rPr>
          <w:sz w:val="29"/>
          <w:szCs w:val="29"/>
        </w:rPr>
        <w:t>龟、大黑鳃金龟、大地老虎、蝼蛄、黄刺蛾、丽绿刺蛾、褐边绿刺蛾、茶袋蛾、</w:t>
      </w:r>
      <w:r>
        <w:rPr>
          <w:sz w:val="29"/>
          <w:szCs w:val="29"/>
          <w:spacing w:val="14"/>
        </w:rPr>
        <w:t xml:space="preserve"> </w:t>
      </w:r>
      <w:r>
        <w:rPr>
          <w:sz w:val="29"/>
          <w:szCs w:val="29"/>
          <w:spacing w:val="-9"/>
        </w:rPr>
        <w:t>大袋蛾、黄尾毒蛾、桃剑纹夜蛾、丝棉木金星尺蛾、柑桔凤蝶、玉带凤蝶、</w:t>
      </w:r>
      <w:r>
        <w:rPr>
          <w:sz w:val="29"/>
          <w:szCs w:val="29"/>
          <w:spacing w:val="-10"/>
        </w:rPr>
        <w:t>柳蓝叶</w:t>
      </w:r>
      <w:r>
        <w:rPr>
          <w:sz w:val="29"/>
          <w:szCs w:val="29"/>
        </w:rPr>
        <w:t xml:space="preserve"> </w:t>
      </w:r>
      <w:r>
        <w:rPr>
          <w:sz w:val="29"/>
          <w:szCs w:val="29"/>
          <w:spacing w:val="-15"/>
        </w:rPr>
        <w:t>甲等。</w:t>
      </w:r>
    </w:p>
    <w:p>
      <w:pPr>
        <w:pStyle w:val="BodyText"/>
        <w:ind w:left="590"/>
        <w:spacing w:before="13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20" w:firstLine="730"/>
        <w:spacing w:before="9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46" w:line="263"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1"/>
        </w:rPr>
        <w:t>售展示区)进行彻底清理。</w:t>
      </w:r>
    </w:p>
    <w:p>
      <w:pPr>
        <w:ind w:left="590"/>
        <w:spacing w:before="203" w:line="222" w:lineRule="auto"/>
        <w:rPr>
          <w:rFonts w:ascii="SimHei" w:hAnsi="SimHei" w:eastAsia="SimHei" w:cs="SimHei"/>
          <w:sz w:val="29"/>
          <w:szCs w:val="29"/>
        </w:rPr>
      </w:pPr>
      <w:r>
        <w:rPr>
          <w:rFonts w:ascii="SimHei" w:hAnsi="SimHei" w:eastAsia="SimHei" w:cs="SimHei"/>
          <w:sz w:val="29"/>
          <w:szCs w:val="29"/>
          <w:spacing w:val="6"/>
        </w:rPr>
        <w:t>6、物资管理</w:t>
      </w:r>
    </w:p>
    <w:p>
      <w:pPr>
        <w:spacing w:line="222" w:lineRule="auto"/>
        <w:sectPr>
          <w:footerReference w:type="default" r:id="rId566"/>
          <w:pgSz w:w="14490" w:h="20470"/>
          <w:pgMar w:top="400" w:right="1935" w:bottom="1033" w:left="2150" w:header="0" w:footer="834" w:gutter="0"/>
        </w:sectPr>
        <w:rPr>
          <w:rFonts w:ascii="SimHei" w:hAnsi="SimHei" w:eastAsia="SimHei" w:cs="SimHei"/>
          <w:sz w:val="29"/>
          <w:szCs w:val="29"/>
        </w:rPr>
      </w:pP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BodyText"/>
        <w:ind w:right="341" w:firstLine="730"/>
        <w:spacing w:before="94"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30"/>
        <w:spacing w:before="161" w:line="219" w:lineRule="auto"/>
        <w:rPr>
          <w:sz w:val="29"/>
          <w:szCs w:val="29"/>
        </w:rPr>
      </w:pPr>
      <w:r>
        <w:rPr>
          <w:sz w:val="29"/>
          <w:szCs w:val="29"/>
          <w:spacing w:val="12"/>
        </w:rPr>
        <w:t>(2)进行机械工具的检查维修。</w:t>
      </w:r>
    </w:p>
    <w:p>
      <w:pPr>
        <w:pStyle w:val="BodyText"/>
        <w:ind w:left="590"/>
        <w:spacing w:before="11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90"/>
        <w:spacing w:before="12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590"/>
        <w:spacing w:before="139" w:line="219" w:lineRule="auto"/>
        <w:rPr>
          <w:sz w:val="29"/>
          <w:szCs w:val="29"/>
        </w:rPr>
      </w:pPr>
      <w:r>
        <w:rPr>
          <w:sz w:val="29"/>
          <w:szCs w:val="29"/>
          <w:spacing w:val="4"/>
        </w:rPr>
        <w:t>气温最高，下旬出现大风大雨情况，继续做好防风排涝、除害灭</w:t>
      </w:r>
      <w:r>
        <w:rPr>
          <w:sz w:val="29"/>
          <w:szCs w:val="29"/>
          <w:spacing w:val="3"/>
        </w:rPr>
        <w:t>病工作。</w:t>
      </w:r>
    </w:p>
    <w:p>
      <w:pPr>
        <w:pStyle w:val="BodyText"/>
        <w:ind w:left="590"/>
        <w:spacing w:before="24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44" w:line="219" w:lineRule="auto"/>
        <w:rPr>
          <w:sz w:val="29"/>
          <w:szCs w:val="29"/>
        </w:rPr>
      </w:pPr>
      <w:r>
        <w:rPr>
          <w:sz w:val="29"/>
          <w:szCs w:val="29"/>
        </w:rPr>
        <w:t>及时检查乔木支撑情况，发现松动或缺失立即加固。</w:t>
      </w:r>
    </w:p>
    <w:p>
      <w:pPr>
        <w:pStyle w:val="BodyText"/>
        <w:ind w:left="590"/>
        <w:spacing w:before="13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730"/>
        <w:spacing w:before="126" w:line="219" w:lineRule="auto"/>
        <w:rPr>
          <w:sz w:val="29"/>
          <w:szCs w:val="29"/>
        </w:rPr>
      </w:pPr>
      <w:r>
        <w:rPr>
          <w:sz w:val="29"/>
          <w:szCs w:val="29"/>
          <w:spacing w:val="7"/>
        </w:rPr>
        <w:t>(1)疏截枯枝、病枝，保持树木美观健康生长；</w:t>
      </w:r>
    </w:p>
    <w:p>
      <w:pPr>
        <w:pStyle w:val="BodyText"/>
        <w:ind w:left="730"/>
        <w:spacing w:before="146" w:line="219" w:lineRule="auto"/>
        <w:rPr>
          <w:sz w:val="29"/>
          <w:szCs w:val="29"/>
        </w:rPr>
      </w:pPr>
      <w:r>
        <w:rPr>
          <w:sz w:val="29"/>
          <w:szCs w:val="29"/>
          <w:spacing w:val="6"/>
        </w:rPr>
        <w:t>(2)及时修剪地被小灌木、绿篱与造型树；</w:t>
      </w:r>
    </w:p>
    <w:p>
      <w:pPr>
        <w:pStyle w:val="BodyText"/>
        <w:ind w:left="730"/>
        <w:spacing w:before="165" w:line="219" w:lineRule="auto"/>
        <w:rPr>
          <w:sz w:val="29"/>
          <w:szCs w:val="29"/>
        </w:rPr>
      </w:pPr>
      <w:r>
        <w:rPr>
          <w:sz w:val="29"/>
          <w:szCs w:val="29"/>
          <w:spacing w:val="7"/>
        </w:rPr>
        <w:t>(3)草坪修剪美观，根据情况增加修剪次数，并保持</w:t>
      </w:r>
      <w:r>
        <w:rPr>
          <w:sz w:val="29"/>
          <w:szCs w:val="29"/>
          <w:spacing w:val="6"/>
        </w:rPr>
        <w:t>适宜高度。</w:t>
      </w:r>
    </w:p>
    <w:p>
      <w:pPr>
        <w:ind w:left="590"/>
        <w:spacing w:before="10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68" w:firstLine="590"/>
        <w:spacing w:before="133" w:line="327" w:lineRule="auto"/>
        <w:rPr>
          <w:sz w:val="29"/>
          <w:szCs w:val="29"/>
        </w:rPr>
      </w:pPr>
      <w:r>
        <w:rPr>
          <w:sz w:val="29"/>
          <w:szCs w:val="29"/>
          <w:spacing w:val="-7"/>
        </w:rPr>
        <w:t>进入高温少雨季节，加强苗木浇水，做到不干不浇，浇则浇透原则；浇水时</w:t>
      </w:r>
      <w:r>
        <w:rPr>
          <w:sz w:val="29"/>
          <w:szCs w:val="29"/>
          <w:spacing w:val="6"/>
        </w:rPr>
        <w:t xml:space="preserve"> </w:t>
      </w:r>
      <w:r>
        <w:rPr>
          <w:sz w:val="29"/>
          <w:szCs w:val="29"/>
          <w:spacing w:val="-7"/>
        </w:rPr>
        <w:t>避开高温期，宜选在上午10点前，下午16点后进行浇灌。</w:t>
      </w:r>
    </w:p>
    <w:p>
      <w:pPr>
        <w:pStyle w:val="BodyText"/>
        <w:ind w:left="590"/>
        <w:spacing w:before="21"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343" w:firstLine="730"/>
        <w:spacing w:before="75" w:line="272"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rPr>
        <w:t>腐霉枯萎病、细菌性穿孔病、冠瘿病、花叶病、丛枝病等；</w:t>
      </w:r>
    </w:p>
    <w:p>
      <w:pPr>
        <w:pStyle w:val="BodyText"/>
        <w:ind w:right="245" w:firstLine="730"/>
        <w:spacing w:before="152" w:line="289" w:lineRule="auto"/>
        <w:rPr>
          <w:sz w:val="29"/>
          <w:szCs w:val="29"/>
        </w:rPr>
      </w:pPr>
      <w:r>
        <w:rPr>
          <w:sz w:val="29"/>
          <w:szCs w:val="29"/>
          <w:spacing w:val="13"/>
        </w:rPr>
        <w:t>(2)虫害：大青叶蝉、梨网冠蝽、梧桐木虱、朱砂叶螨(棉花红蜘蛛、红</w:t>
      </w:r>
      <w:r>
        <w:rPr>
          <w:sz w:val="29"/>
          <w:szCs w:val="29"/>
          <w:spacing w:val="3"/>
        </w:rPr>
        <w:t xml:space="preserve"> </w:t>
      </w:r>
      <w:r>
        <w:rPr>
          <w:sz w:val="29"/>
          <w:szCs w:val="29"/>
          <w:spacing w:val="3"/>
        </w:rPr>
        <w:t>叶螨)、花蓟马、桑天牛、光肩星天牛、芳香木蠹蛾、白蚁、小青花金龟、大地</w:t>
      </w:r>
      <w:r>
        <w:rPr>
          <w:sz w:val="29"/>
          <w:szCs w:val="29"/>
          <w:spacing w:val="9"/>
        </w:rPr>
        <w:t xml:space="preserve"> </w:t>
      </w:r>
      <w:r>
        <w:rPr>
          <w:sz w:val="29"/>
          <w:szCs w:val="29"/>
          <w:spacing w:val="-8"/>
        </w:rPr>
        <w:t>老虎、蝼蛄、黄刺蛾、丽绿刺蛾、褐边绿刺蛾、茶袋蛾、大袋蛾、黄尾毒蛾、丝棉</w:t>
      </w:r>
      <w:r>
        <w:rPr>
          <w:sz w:val="29"/>
          <w:szCs w:val="29"/>
          <w:spacing w:val="6"/>
        </w:rPr>
        <w:t xml:space="preserve"> </w:t>
      </w:r>
      <w:r>
        <w:rPr>
          <w:sz w:val="29"/>
          <w:szCs w:val="29"/>
        </w:rPr>
        <w:t>木金星尺蛾、柑桔凤蝶、玉带凤蝶、柳蓝叶甲等。</w:t>
      </w:r>
    </w:p>
    <w:p>
      <w:pPr>
        <w:pStyle w:val="BodyText"/>
        <w:ind w:left="590"/>
        <w:spacing w:before="13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39" w:firstLine="730"/>
        <w:spacing w:before="11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46" w:line="263"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1"/>
        </w:rPr>
        <w:t>售展示区)进行彻底清理。</w:t>
      </w:r>
    </w:p>
    <w:p>
      <w:pPr>
        <w:ind w:left="59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93"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30"/>
        <w:spacing w:before="162" w:line="219" w:lineRule="auto"/>
        <w:rPr>
          <w:sz w:val="29"/>
          <w:szCs w:val="29"/>
        </w:rPr>
      </w:pPr>
      <w:r>
        <w:rPr>
          <w:sz w:val="29"/>
          <w:szCs w:val="29"/>
          <w:spacing w:val="12"/>
        </w:rPr>
        <w:t>(2)进行机械工具的检查维修。</w:t>
      </w:r>
    </w:p>
    <w:p>
      <w:pPr>
        <w:spacing w:line="219" w:lineRule="auto"/>
        <w:sectPr>
          <w:footerReference w:type="default" r:id="rId567"/>
          <w:pgSz w:w="14490" w:h="20470"/>
          <w:pgMar w:top="400" w:right="1935" w:bottom="1033" w:left="2150" w:header="0" w:footer="834"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600"/>
        <w:spacing w:before="94"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04"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81" w:line="223" w:lineRule="auto"/>
        <w:rPr>
          <w:rFonts w:ascii="SimHei" w:hAnsi="SimHei" w:eastAsia="SimHei" w:cs="SimHei"/>
          <w:sz w:val="29"/>
          <w:szCs w:val="29"/>
        </w:rPr>
      </w:pPr>
      <w:r>
        <w:rPr>
          <w:rFonts w:ascii="SimHei" w:hAnsi="SimHei" w:eastAsia="SimHei" w:cs="SimHei"/>
          <w:sz w:val="29"/>
          <w:szCs w:val="29"/>
          <w:spacing w:val="6"/>
        </w:rPr>
        <w:t>九月份</w:t>
      </w:r>
    </w:p>
    <w:p>
      <w:pPr>
        <w:pStyle w:val="BodyText"/>
        <w:ind w:left="600"/>
        <w:spacing w:before="117" w:line="219" w:lineRule="auto"/>
        <w:rPr>
          <w:sz w:val="29"/>
          <w:szCs w:val="29"/>
        </w:rPr>
      </w:pPr>
      <w:r>
        <w:rPr>
          <w:sz w:val="29"/>
          <w:szCs w:val="29"/>
          <w:spacing w:val="3"/>
        </w:rPr>
        <w:t>气温较高，天气较干燥，注意浇水与病虫害防治。</w:t>
      </w:r>
    </w:p>
    <w:p>
      <w:pPr>
        <w:pStyle w:val="BodyText"/>
        <w:ind w:left="600"/>
        <w:spacing w:before="27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43" w:line="219" w:lineRule="auto"/>
        <w:rPr>
          <w:sz w:val="29"/>
          <w:szCs w:val="29"/>
        </w:rPr>
      </w:pPr>
      <w:r>
        <w:rPr>
          <w:sz w:val="29"/>
          <w:szCs w:val="29"/>
          <w:spacing w:val="-1"/>
        </w:rPr>
        <w:t>及时检查乔木支撑情况，发现松动或缺失立即加固。</w:t>
      </w:r>
    </w:p>
    <w:p>
      <w:pPr>
        <w:ind w:left="600"/>
        <w:spacing w:before="113" w:line="221" w:lineRule="auto"/>
        <w:rPr>
          <w:rFonts w:ascii="SimHei" w:hAnsi="SimHei" w:eastAsia="SimHei" w:cs="SimHei"/>
          <w:sz w:val="29"/>
          <w:szCs w:val="29"/>
        </w:rPr>
      </w:pPr>
      <w:r>
        <w:rPr>
          <w:rFonts w:ascii="SimHei" w:hAnsi="SimHei" w:eastAsia="SimHei" w:cs="SimHei"/>
          <w:sz w:val="29"/>
          <w:szCs w:val="29"/>
          <w:spacing w:val="8"/>
        </w:rPr>
        <w:t>2、修剪</w:t>
      </w:r>
    </w:p>
    <w:p>
      <w:pPr>
        <w:pStyle w:val="BodyText"/>
        <w:ind w:left="600"/>
        <w:spacing w:before="116" w:line="219" w:lineRule="auto"/>
        <w:rPr>
          <w:sz w:val="29"/>
          <w:szCs w:val="29"/>
        </w:rPr>
      </w:pPr>
      <w:r>
        <w:rPr>
          <w:sz w:val="29"/>
          <w:szCs w:val="29"/>
          <w:spacing w:val="1"/>
        </w:rPr>
        <w:t>乔木、花灌木及草坪生长迅速，要及时修剪，国庆节前彻底消灭杂草。</w:t>
      </w:r>
    </w:p>
    <w:p>
      <w:pPr>
        <w:ind w:left="600"/>
        <w:spacing w:before="12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41" w:firstLine="730"/>
        <w:spacing w:before="162" w:line="262" w:lineRule="auto"/>
        <w:rPr>
          <w:sz w:val="29"/>
          <w:szCs w:val="29"/>
        </w:rPr>
      </w:pPr>
      <w:r>
        <w:rPr>
          <w:sz w:val="29"/>
          <w:szCs w:val="29"/>
          <w:spacing w:val="6"/>
        </w:rPr>
        <w:t>(1)适当控制苗木浇水量，促进苗木枝条木质化</w:t>
      </w:r>
      <w:r>
        <w:rPr>
          <w:sz w:val="29"/>
          <w:szCs w:val="29"/>
          <w:spacing w:val="5"/>
        </w:rPr>
        <w:t>；并对部分不耐寒苗木施</w:t>
      </w:r>
      <w:r>
        <w:rPr>
          <w:sz w:val="29"/>
          <w:szCs w:val="29"/>
        </w:rPr>
        <w:t xml:space="preserve"> </w:t>
      </w:r>
      <w:r>
        <w:rPr>
          <w:sz w:val="29"/>
          <w:szCs w:val="29"/>
          <w:spacing w:val="-11"/>
        </w:rPr>
        <w:t>用</w:t>
      </w:r>
      <w:r>
        <w:rPr>
          <w:rFonts w:ascii="Times New Roman" w:hAnsi="Times New Roman" w:eastAsia="Times New Roman" w:cs="Times New Roman"/>
          <w:sz w:val="29"/>
          <w:szCs w:val="29"/>
          <w:spacing w:val="-11"/>
        </w:rPr>
        <w:t>P</w:t>
      </w:r>
      <w:r>
        <w:rPr>
          <w:sz w:val="29"/>
          <w:szCs w:val="29"/>
          <w:spacing w:val="-11"/>
        </w:rPr>
        <w:t>、</w:t>
      </w:r>
      <w:r>
        <w:rPr>
          <w:rFonts w:ascii="Times New Roman" w:hAnsi="Times New Roman" w:eastAsia="Times New Roman" w:cs="Times New Roman"/>
          <w:sz w:val="29"/>
          <w:szCs w:val="29"/>
          <w:spacing w:val="-11"/>
        </w:rPr>
        <w:t>K</w:t>
      </w:r>
      <w:r>
        <w:rPr>
          <w:sz w:val="29"/>
          <w:szCs w:val="29"/>
          <w:spacing w:val="-11"/>
        </w:rPr>
        <w:t>肥，增强自身抗性；</w:t>
      </w:r>
    </w:p>
    <w:p>
      <w:pPr>
        <w:pStyle w:val="BodyText"/>
        <w:ind w:right="461" w:firstLine="730"/>
        <w:spacing w:before="155" w:line="266" w:lineRule="auto"/>
        <w:rPr>
          <w:sz w:val="29"/>
          <w:szCs w:val="29"/>
        </w:rPr>
      </w:pPr>
      <w:r>
        <w:rPr>
          <w:sz w:val="29"/>
          <w:szCs w:val="29"/>
          <w:spacing w:val="10"/>
        </w:rPr>
        <w:t>(2)9月中旬追施一次有机复合肥(有机质45%,若植物长势一般或较差追</w:t>
      </w:r>
      <w:r>
        <w:rPr>
          <w:sz w:val="29"/>
          <w:szCs w:val="29"/>
          <w:spacing w:val="7"/>
        </w:rPr>
        <w:t xml:space="preserve"> </w:t>
      </w:r>
      <w:r>
        <w:rPr>
          <w:sz w:val="29"/>
          <w:szCs w:val="29"/>
          <w:spacing w:val="1"/>
        </w:rPr>
        <w:t>施一次氮、磷、钾均衡的无机复合肥，乔木及大灌木穴施。</w:t>
      </w:r>
    </w:p>
    <w:p>
      <w:pPr>
        <w:pStyle w:val="BodyText"/>
        <w:ind w:left="600"/>
        <w:spacing w:before="2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38" w:firstLine="730"/>
        <w:spacing w:before="83" w:line="260" w:lineRule="auto"/>
        <w:rPr>
          <w:sz w:val="29"/>
          <w:szCs w:val="29"/>
        </w:rPr>
      </w:pPr>
      <w:r>
        <w:rPr>
          <w:sz w:val="29"/>
          <w:szCs w:val="29"/>
          <w:spacing w:val="6"/>
        </w:rPr>
        <w:t>(1)病害：叶斑类病害、锈病、煤污病、叶枯病、干腐</w:t>
      </w:r>
      <w:r>
        <w:rPr>
          <w:sz w:val="29"/>
          <w:szCs w:val="29"/>
          <w:spacing w:val="5"/>
        </w:rPr>
        <w:t>病、紫纹羽病、枝</w:t>
      </w:r>
      <w:r>
        <w:rPr>
          <w:sz w:val="29"/>
          <w:szCs w:val="29"/>
        </w:rPr>
        <w:t xml:space="preserve"> </w:t>
      </w:r>
      <w:r>
        <w:rPr>
          <w:sz w:val="29"/>
          <w:szCs w:val="29"/>
          <w:spacing w:val="1"/>
        </w:rPr>
        <w:t>枯病、草坪腐霉枯萎病、冠瘿病、花叶病、丛枝病等；</w:t>
      </w:r>
    </w:p>
    <w:p>
      <w:pPr>
        <w:pStyle w:val="BodyText"/>
        <w:ind w:right="289" w:firstLine="730"/>
        <w:spacing w:before="154" w:line="287" w:lineRule="auto"/>
        <w:rPr>
          <w:sz w:val="29"/>
          <w:szCs w:val="29"/>
        </w:rPr>
      </w:pPr>
      <w:r>
        <w:rPr>
          <w:sz w:val="29"/>
          <w:szCs w:val="29"/>
          <w:spacing w:val="-2"/>
        </w:rPr>
        <w:t>(2)虫害：大青叶蝉、朱砂叶螨(棉花红蜘蛛、红叶螨)、花蓟马、桑天牛、</w:t>
      </w:r>
      <w:r>
        <w:rPr>
          <w:sz w:val="29"/>
          <w:szCs w:val="29"/>
          <w:spacing w:val="18"/>
        </w:rPr>
        <w:t xml:space="preserve"> </w:t>
      </w:r>
      <w:r>
        <w:rPr>
          <w:sz w:val="29"/>
          <w:szCs w:val="29"/>
          <w:spacing w:val="-11"/>
        </w:rPr>
        <w:t>光肩星天牛、芳香木蠹蛾、白蚁、小青花金龟、铜绿丽金龟、大地老虎、蝼蛄、黄</w:t>
      </w:r>
      <w:r>
        <w:rPr>
          <w:sz w:val="29"/>
          <w:szCs w:val="29"/>
          <w:spacing w:val="5"/>
        </w:rPr>
        <w:t xml:space="preserve"> </w:t>
      </w:r>
      <w:r>
        <w:rPr>
          <w:sz w:val="29"/>
          <w:szCs w:val="29"/>
          <w:spacing w:val="-9"/>
        </w:rPr>
        <w:t>刺蛾、丽绿刺蛾、褐边绿刺蛾、茶袋蛾、黄尾毒蛾、丝</w:t>
      </w:r>
      <w:r>
        <w:rPr>
          <w:sz w:val="29"/>
          <w:szCs w:val="29"/>
          <w:spacing w:val="-10"/>
        </w:rPr>
        <w:t>棉木金星尺蛾、柑桔凤蝶、</w:t>
      </w:r>
      <w:r>
        <w:rPr>
          <w:sz w:val="29"/>
          <w:szCs w:val="29"/>
        </w:rPr>
        <w:t xml:space="preserve"> </w:t>
      </w:r>
      <w:r>
        <w:rPr>
          <w:sz w:val="29"/>
          <w:szCs w:val="29"/>
          <w:spacing w:val="-12"/>
        </w:rPr>
        <w:t>玉带凤蝶、柳蓝叶甲等。</w:t>
      </w:r>
    </w:p>
    <w:p>
      <w:pPr>
        <w:pStyle w:val="BodyText"/>
        <w:ind w:left="600"/>
        <w:spacing w:before="189"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40" w:firstLine="730"/>
        <w:spacing w:before="84" w:line="268"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1"/>
        </w:rPr>
        <w:t>池、灯杆、垃圾桶保持干净；</w:t>
      </w:r>
    </w:p>
    <w:p>
      <w:pPr>
        <w:pStyle w:val="BodyText"/>
        <w:ind w:right="303" w:firstLine="730"/>
        <w:spacing w:before="14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600"/>
        <w:spacing w:before="144"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6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3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right="341" w:firstLine="730"/>
        <w:spacing w:before="134" w:line="266" w:lineRule="auto"/>
        <w:rPr>
          <w:sz w:val="29"/>
          <w:szCs w:val="29"/>
        </w:rPr>
      </w:pPr>
      <w:r>
        <w:rPr>
          <w:sz w:val="29"/>
          <w:szCs w:val="29"/>
          <w:spacing w:val="6"/>
        </w:rPr>
        <w:t>(1)库房物品整理，物料工具出入库及领用登记</w:t>
      </w:r>
      <w:r>
        <w:rPr>
          <w:sz w:val="29"/>
          <w:szCs w:val="29"/>
          <w:spacing w:val="5"/>
        </w:rPr>
        <w:t>，注意保管汽油、农药等</w:t>
      </w:r>
      <w:r>
        <w:rPr>
          <w:sz w:val="29"/>
          <w:szCs w:val="29"/>
        </w:rPr>
        <w:t xml:space="preserve"> </w:t>
      </w:r>
      <w:r>
        <w:rPr>
          <w:sz w:val="29"/>
          <w:szCs w:val="29"/>
          <w:spacing w:val="-11"/>
        </w:rPr>
        <w:t>危险品；</w:t>
      </w:r>
    </w:p>
    <w:p>
      <w:pPr>
        <w:pStyle w:val="BodyText"/>
        <w:ind w:left="730"/>
        <w:spacing w:before="152" w:line="219" w:lineRule="auto"/>
        <w:rPr>
          <w:sz w:val="29"/>
          <w:szCs w:val="29"/>
        </w:rPr>
      </w:pPr>
      <w:r>
        <w:rPr>
          <w:sz w:val="29"/>
          <w:szCs w:val="29"/>
          <w:spacing w:val="-1"/>
        </w:rPr>
        <w:t>(2)根据现场的实际情况，申请购置10、11、12月份的农药、化肥、营养</w:t>
      </w:r>
    </w:p>
    <w:p>
      <w:pPr>
        <w:spacing w:line="219" w:lineRule="auto"/>
        <w:sectPr>
          <w:footerReference w:type="default" r:id="rId568"/>
          <w:pgSz w:w="14490" w:h="20470"/>
          <w:pgMar w:top="400" w:right="1945" w:bottom="1033" w:left="2150" w:header="0" w:footer="835" w:gutter="0"/>
        </w:sectPr>
        <w:rPr>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5"/>
        </w:rPr>
        <w:t>剂及其它物资；</w:t>
      </w:r>
    </w:p>
    <w:p>
      <w:pPr>
        <w:pStyle w:val="BodyText"/>
        <w:ind w:left="730"/>
        <w:spacing w:before="166" w:line="219" w:lineRule="auto"/>
        <w:rPr>
          <w:sz w:val="29"/>
          <w:szCs w:val="29"/>
        </w:rPr>
      </w:pPr>
      <w:r>
        <w:rPr>
          <w:sz w:val="29"/>
          <w:szCs w:val="29"/>
          <w:spacing w:val="12"/>
        </w:rPr>
        <w:t>(3)进行机械工具的检查维修。</w:t>
      </w:r>
    </w:p>
    <w:p>
      <w:pPr>
        <w:pStyle w:val="BodyText"/>
        <w:ind w:left="570"/>
        <w:spacing w:before="53" w:line="395"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防火防盗</w:t>
      </w:r>
    </w:p>
    <w:p>
      <w:pPr>
        <w:pStyle w:val="BodyText"/>
        <w:ind w:right="100" w:firstLine="570"/>
        <w:spacing w:before="160"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96"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570"/>
        <w:spacing w:before="107" w:line="219" w:lineRule="auto"/>
        <w:rPr>
          <w:sz w:val="29"/>
          <w:szCs w:val="29"/>
        </w:rPr>
      </w:pPr>
      <w:r>
        <w:rPr>
          <w:sz w:val="29"/>
          <w:szCs w:val="29"/>
          <w:spacing w:val="4"/>
        </w:rPr>
        <w:t>气温逐渐变凉，天气干燥，注意水肥管理。</w:t>
      </w:r>
    </w:p>
    <w:p>
      <w:pPr>
        <w:pStyle w:val="BodyText"/>
        <w:ind w:left="570"/>
        <w:spacing w:before="296"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14" w:line="219" w:lineRule="auto"/>
        <w:rPr>
          <w:sz w:val="29"/>
          <w:szCs w:val="29"/>
        </w:rPr>
      </w:pPr>
      <w:r>
        <w:rPr>
          <w:sz w:val="29"/>
          <w:szCs w:val="29"/>
          <w:spacing w:val="6"/>
        </w:rPr>
        <w:t>(1)及时检查乔木支撑情况，发现松动或缺失立即加固；</w:t>
      </w:r>
    </w:p>
    <w:p>
      <w:pPr>
        <w:pStyle w:val="BodyText"/>
        <w:ind w:right="432" w:firstLine="730"/>
        <w:spacing w:before="144" w:line="270" w:lineRule="auto"/>
        <w:rPr>
          <w:sz w:val="29"/>
          <w:szCs w:val="29"/>
        </w:rPr>
      </w:pPr>
      <w:r>
        <w:rPr>
          <w:sz w:val="29"/>
          <w:szCs w:val="29"/>
          <w:spacing w:val="-1"/>
        </w:rPr>
        <w:t>(2)</w:t>
      </w:r>
      <w:r>
        <w:rPr>
          <w:sz w:val="29"/>
          <w:szCs w:val="29"/>
          <w:spacing w:val="93"/>
        </w:rPr>
        <w:t xml:space="preserve"> </w:t>
      </w:r>
      <w:r>
        <w:rPr>
          <w:sz w:val="29"/>
          <w:szCs w:val="29"/>
          <w:spacing w:val="-1"/>
        </w:rPr>
        <w:t>国庆节时花月底基本枯败，及时清理，露土处覆</w:t>
      </w:r>
      <w:r>
        <w:rPr>
          <w:sz w:val="29"/>
          <w:szCs w:val="29"/>
          <w:spacing w:val="-2"/>
        </w:rPr>
        <w:t>盖绿色无纺布，并跟</w:t>
      </w:r>
      <w:r>
        <w:rPr>
          <w:sz w:val="29"/>
          <w:szCs w:val="29"/>
        </w:rPr>
        <w:t xml:space="preserve"> </w:t>
      </w:r>
      <w:r>
        <w:rPr>
          <w:sz w:val="29"/>
          <w:szCs w:val="29"/>
          <w:spacing w:val="-3"/>
        </w:rPr>
        <w:t>进维护。</w:t>
      </w:r>
    </w:p>
    <w:p>
      <w:pPr>
        <w:ind w:left="570"/>
        <w:spacing w:before="191"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83" w:line="219" w:lineRule="auto"/>
        <w:rPr>
          <w:sz w:val="29"/>
          <w:szCs w:val="29"/>
        </w:rPr>
      </w:pPr>
      <w:r>
        <w:rPr>
          <w:sz w:val="29"/>
          <w:szCs w:val="29"/>
          <w:spacing w:val="6"/>
        </w:rPr>
        <w:t>(1)对苗木进行轻剪，去除多余的徒长枝；</w:t>
      </w:r>
    </w:p>
    <w:p>
      <w:pPr>
        <w:pStyle w:val="BodyText"/>
        <w:ind w:left="730"/>
        <w:spacing w:before="154" w:line="219" w:lineRule="auto"/>
        <w:rPr>
          <w:sz w:val="29"/>
          <w:szCs w:val="29"/>
        </w:rPr>
      </w:pPr>
      <w:r>
        <w:rPr>
          <w:sz w:val="29"/>
          <w:szCs w:val="29"/>
          <w:spacing w:val="6"/>
        </w:rPr>
        <w:t>(2)在本地耐寒性弱的苗木改为春季化冻后修剪；</w:t>
      </w:r>
    </w:p>
    <w:p>
      <w:pPr>
        <w:pStyle w:val="BodyText"/>
        <w:ind w:right="536" w:firstLine="730"/>
        <w:spacing w:before="138" w:line="272" w:lineRule="auto"/>
        <w:rPr>
          <w:sz w:val="29"/>
          <w:szCs w:val="29"/>
        </w:rPr>
      </w:pPr>
      <w:r>
        <w:rPr>
          <w:sz w:val="29"/>
          <w:szCs w:val="29"/>
          <w:spacing w:val="3"/>
        </w:rPr>
        <w:t>(3)冬季易有流伤的植物如槭树科中的大多数，在晚秋落</w:t>
      </w:r>
      <w:r>
        <w:rPr>
          <w:sz w:val="29"/>
          <w:szCs w:val="29"/>
          <w:spacing w:val="2"/>
        </w:rPr>
        <w:t>叶时或春季新芽</w:t>
      </w:r>
      <w:r>
        <w:rPr>
          <w:sz w:val="29"/>
          <w:szCs w:val="29"/>
        </w:rPr>
        <w:t xml:space="preserve"> </w:t>
      </w:r>
      <w:r>
        <w:rPr>
          <w:sz w:val="29"/>
          <w:szCs w:val="29"/>
          <w:spacing w:val="-8"/>
        </w:rPr>
        <w:t>膨大时修剪。</w:t>
      </w:r>
    </w:p>
    <w:p>
      <w:pPr>
        <w:pStyle w:val="BodyText"/>
        <w:ind w:left="570"/>
        <w:spacing w:before="132"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563" w:firstLine="570"/>
        <w:spacing w:before="112" w:line="310" w:lineRule="auto"/>
        <w:rPr>
          <w:sz w:val="29"/>
          <w:szCs w:val="29"/>
        </w:rPr>
      </w:pPr>
      <w:r>
        <w:rPr>
          <w:sz w:val="29"/>
          <w:szCs w:val="29"/>
          <w:spacing w:val="6"/>
        </w:rPr>
        <w:t>10月中旬追施一次有机复合肥(有机质45%,草坪追施一次高氮、低磷、中</w:t>
      </w:r>
      <w:r>
        <w:rPr>
          <w:sz w:val="29"/>
          <w:szCs w:val="29"/>
          <w:spacing w:val="15"/>
        </w:rPr>
        <w:t xml:space="preserve"> </w:t>
      </w:r>
      <w:r>
        <w:rPr>
          <w:sz w:val="29"/>
          <w:szCs w:val="29"/>
          <w:spacing w:val="5"/>
        </w:rPr>
        <w:t>钾的无机复合肥。(延长绿期)</w:t>
      </w:r>
    </w:p>
    <w:p>
      <w:pPr>
        <w:pStyle w:val="BodyText"/>
        <w:ind w:left="570"/>
        <w:spacing w:before="4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29" w:firstLine="730"/>
        <w:spacing w:before="85" w:line="272" w:lineRule="auto"/>
        <w:rPr>
          <w:sz w:val="29"/>
          <w:szCs w:val="29"/>
        </w:rPr>
      </w:pPr>
      <w:r>
        <w:rPr>
          <w:sz w:val="29"/>
          <w:szCs w:val="29"/>
          <w:spacing w:val="6"/>
        </w:rPr>
        <w:t>(1)病害：白粉病、叶斑类病害、锈病、叶枯病、干腐病、冠瘿病、丛枝</w:t>
      </w:r>
      <w:r>
        <w:rPr>
          <w:sz w:val="29"/>
          <w:szCs w:val="29"/>
          <w:spacing w:val="1"/>
        </w:rPr>
        <w:t xml:space="preserve"> </w:t>
      </w:r>
      <w:r>
        <w:rPr>
          <w:sz w:val="29"/>
          <w:szCs w:val="29"/>
          <w:spacing w:val="-10"/>
        </w:rPr>
        <w:t>病等；</w:t>
      </w:r>
    </w:p>
    <w:p>
      <w:pPr>
        <w:pStyle w:val="BodyText"/>
        <w:ind w:right="100" w:firstLine="730"/>
        <w:spacing w:before="145" w:line="279" w:lineRule="auto"/>
        <w:rPr>
          <w:sz w:val="29"/>
          <w:szCs w:val="29"/>
        </w:rPr>
      </w:pPr>
      <w:r>
        <w:rPr>
          <w:sz w:val="29"/>
          <w:szCs w:val="29"/>
          <w:spacing w:val="9"/>
        </w:rPr>
        <w:t>(2)虫害：大青叶蝉、桃粉蚜、桃瘤蚜、桔绿粉虱、光肩星天牛、芳香木</w:t>
      </w:r>
      <w:r>
        <w:rPr>
          <w:sz w:val="29"/>
          <w:szCs w:val="29"/>
        </w:rPr>
        <w:t xml:space="preserve">  </w:t>
      </w:r>
      <w:r>
        <w:rPr>
          <w:sz w:val="29"/>
          <w:szCs w:val="29"/>
          <w:spacing w:val="-9"/>
        </w:rPr>
        <w:t>蠹蛾、白蚁、小青花金龟、铜绿丽金龟、大地老虎、褐边绿刺蛾、丝棉木金</w:t>
      </w:r>
      <w:r>
        <w:rPr>
          <w:sz w:val="29"/>
          <w:szCs w:val="29"/>
          <w:spacing w:val="-10"/>
        </w:rPr>
        <w:t>星尺蛾、</w:t>
      </w:r>
      <w:r>
        <w:rPr>
          <w:sz w:val="29"/>
          <w:szCs w:val="29"/>
        </w:rPr>
        <w:t xml:space="preserve"> </w:t>
      </w:r>
      <w:r>
        <w:rPr>
          <w:sz w:val="29"/>
          <w:szCs w:val="29"/>
        </w:rPr>
        <w:t>柑桔凤蝶、玉带凤蝶等。</w:t>
      </w:r>
    </w:p>
    <w:p>
      <w:pPr>
        <w:pStyle w:val="BodyText"/>
        <w:ind w:left="570"/>
        <w:spacing w:before="16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8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23" w:firstLine="730"/>
        <w:spacing w:before="14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pStyle w:val="BodyText"/>
        <w:ind w:left="730"/>
        <w:spacing w:before="136" w:line="219" w:lineRule="auto"/>
        <w:rPr>
          <w:sz w:val="29"/>
          <w:szCs w:val="29"/>
        </w:rPr>
      </w:pPr>
      <w:r>
        <w:rPr>
          <w:sz w:val="29"/>
          <w:szCs w:val="29"/>
          <w:spacing w:val="8"/>
        </w:rPr>
        <w:t>(3)制作防寒设施产生的垃圾做到随时产生随时清</w:t>
      </w:r>
      <w:r>
        <w:rPr>
          <w:sz w:val="29"/>
          <w:szCs w:val="29"/>
          <w:spacing w:val="7"/>
        </w:rPr>
        <w:t>理。</w:t>
      </w:r>
    </w:p>
    <w:p>
      <w:pPr>
        <w:pStyle w:val="BodyText"/>
        <w:ind w:left="570"/>
        <w:spacing w:before="5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spacing w:before="148"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spacing w:line="219" w:lineRule="auto"/>
        <w:sectPr>
          <w:footerReference w:type="default" r:id="rId569"/>
          <w:pgSz w:w="14490" w:h="20470"/>
          <w:pgMar w:top="400" w:right="1844" w:bottom="1047" w:left="2150" w:header="0" w:footer="830"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60"/>
        <w:spacing w:before="94"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90" w:firstLine="560"/>
        <w:spacing w:before="9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spacing w:before="42"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60"/>
        <w:spacing w:before="126" w:line="219" w:lineRule="auto"/>
        <w:rPr>
          <w:sz w:val="29"/>
          <w:szCs w:val="29"/>
        </w:rPr>
      </w:pPr>
      <w:r>
        <w:rPr>
          <w:sz w:val="29"/>
          <w:szCs w:val="29"/>
          <w:spacing w:val="4"/>
        </w:rPr>
        <w:t>气温继续下降，有雨雪出现，注意防寒浇冻水。</w:t>
      </w:r>
    </w:p>
    <w:p>
      <w:pPr>
        <w:pStyle w:val="BodyText"/>
        <w:ind w:left="560"/>
        <w:spacing w:before="27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60"/>
        <w:spacing w:before="144" w:line="219" w:lineRule="auto"/>
        <w:rPr>
          <w:sz w:val="29"/>
          <w:szCs w:val="29"/>
        </w:rPr>
      </w:pPr>
      <w:r>
        <w:rPr>
          <w:sz w:val="29"/>
          <w:szCs w:val="29"/>
          <w:spacing w:val="-1"/>
        </w:rPr>
        <w:t>及时检查乔木支撑情况，发现松动或缺失立即加固。</w:t>
      </w:r>
    </w:p>
    <w:p>
      <w:pPr>
        <w:ind w:left="560"/>
        <w:spacing w:before="11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560"/>
        <w:spacing w:before="116" w:line="219" w:lineRule="auto"/>
        <w:rPr>
          <w:sz w:val="29"/>
          <w:szCs w:val="29"/>
        </w:rPr>
      </w:pPr>
      <w:r>
        <w:rPr>
          <w:sz w:val="29"/>
          <w:szCs w:val="29"/>
        </w:rPr>
        <w:t>疏截枯枝、病枝，保持树木美观健康生长。</w:t>
      </w:r>
    </w:p>
    <w:p>
      <w:pPr>
        <w:ind w:left="560"/>
        <w:spacing w:before="12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60"/>
        <w:spacing w:before="133" w:line="219" w:lineRule="auto"/>
        <w:rPr>
          <w:sz w:val="29"/>
          <w:szCs w:val="29"/>
        </w:rPr>
      </w:pPr>
      <w:r>
        <w:rPr>
          <w:sz w:val="29"/>
          <w:szCs w:val="29"/>
        </w:rPr>
        <w:t>保证所有苗木的浇透，直到上冻，并进行封穴。</w:t>
      </w:r>
    </w:p>
    <w:p>
      <w:pPr>
        <w:pStyle w:val="BodyText"/>
        <w:ind w:left="560"/>
        <w:spacing w:before="13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20"/>
        <w:spacing w:before="126" w:line="219" w:lineRule="auto"/>
        <w:rPr>
          <w:sz w:val="29"/>
          <w:szCs w:val="29"/>
        </w:rPr>
      </w:pPr>
      <w:r>
        <w:rPr>
          <w:sz w:val="29"/>
          <w:szCs w:val="29"/>
          <w:spacing w:val="6"/>
        </w:rPr>
        <w:t>(1)病害：白粉病、叶斑类病害、叶枯病等；</w:t>
      </w:r>
    </w:p>
    <w:p>
      <w:pPr>
        <w:pStyle w:val="BodyText"/>
        <w:ind w:right="407" w:firstLine="720"/>
        <w:spacing w:before="155" w:line="272" w:lineRule="auto"/>
        <w:rPr>
          <w:sz w:val="29"/>
          <w:szCs w:val="29"/>
        </w:rPr>
      </w:pPr>
      <w:r>
        <w:rPr>
          <w:sz w:val="29"/>
          <w:szCs w:val="29"/>
          <w:spacing w:val="7"/>
        </w:rPr>
        <w:t>(2)虫害：大青叶蝉、桃粉蚜、桔绿粉虱、光肩星</w:t>
      </w:r>
      <w:r>
        <w:rPr>
          <w:sz w:val="29"/>
          <w:szCs w:val="29"/>
          <w:spacing w:val="6"/>
        </w:rPr>
        <w:t>天牛、芳香木蠹蛾、白</w:t>
      </w:r>
      <w:r>
        <w:rPr>
          <w:sz w:val="29"/>
          <w:szCs w:val="29"/>
        </w:rPr>
        <w:t xml:space="preserve"> </w:t>
      </w:r>
      <w:r>
        <w:rPr>
          <w:sz w:val="29"/>
          <w:szCs w:val="29"/>
          <w:spacing w:val="-4"/>
        </w:rPr>
        <w:t>蚁等。</w:t>
      </w:r>
    </w:p>
    <w:p>
      <w:pPr>
        <w:pStyle w:val="BodyText"/>
        <w:ind w:left="560"/>
        <w:spacing w:before="13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20"/>
        <w:spacing w:before="10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20"/>
        <w:spacing w:before="12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ind w:left="560"/>
        <w:spacing w:before="18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9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60"/>
        <w:spacing w:before="12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90" w:firstLine="56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pStyle w:val="BodyText"/>
        <w:ind w:left="560"/>
        <w:spacing w:before="24"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6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59"/>
          <w:position w:val="1"/>
        </w:rPr>
        <w:t xml:space="preserve"> </w:t>
      </w:r>
      <w:r>
        <w:rPr>
          <w:rFonts w:ascii="SimHei" w:hAnsi="SimHei" w:eastAsia="SimHei" w:cs="SimHei"/>
          <w:sz w:val="27"/>
          <w:szCs w:val="27"/>
          <w:spacing w:val="-17"/>
          <w:position w:val="1"/>
        </w:rPr>
        <w:t>寒</w:t>
      </w:r>
    </w:p>
    <w:p>
      <w:pPr>
        <w:pStyle w:val="BodyText"/>
        <w:ind w:left="560"/>
        <w:spacing w:before="102" w:line="219" w:lineRule="auto"/>
        <w:rPr>
          <w:sz w:val="29"/>
          <w:szCs w:val="29"/>
        </w:rPr>
      </w:pPr>
      <w:r>
        <w:rPr>
          <w:sz w:val="29"/>
          <w:szCs w:val="29"/>
        </w:rPr>
        <w:t>对不耐寒的苗木做好防寒工作，本月全部完成。</w:t>
      </w:r>
    </w:p>
    <w:p>
      <w:pPr>
        <w:spacing w:before="168" w:line="223" w:lineRule="auto"/>
        <w:rPr>
          <w:rFonts w:ascii="SimHei" w:hAnsi="SimHei" w:eastAsia="SimHei" w:cs="SimHei"/>
          <w:sz w:val="29"/>
          <w:szCs w:val="29"/>
        </w:rPr>
      </w:pPr>
      <w:r>
        <w:rPr>
          <w:rFonts w:ascii="SimHei" w:hAnsi="SimHei" w:eastAsia="SimHei" w:cs="SimHei"/>
          <w:sz w:val="29"/>
          <w:szCs w:val="29"/>
          <w:spacing w:val="4"/>
        </w:rPr>
        <w:t>十二月份</w:t>
      </w:r>
    </w:p>
    <w:p>
      <w:pPr>
        <w:pStyle w:val="BodyText"/>
        <w:ind w:left="560"/>
        <w:spacing w:before="189" w:line="219" w:lineRule="auto"/>
        <w:rPr>
          <w:sz w:val="29"/>
          <w:szCs w:val="29"/>
        </w:rPr>
      </w:pPr>
      <w:r>
        <w:rPr>
          <w:sz w:val="29"/>
          <w:szCs w:val="29"/>
          <w:spacing w:val="7"/>
        </w:rPr>
        <w:t>低气温，开始冬季养护工作。</w:t>
      </w:r>
    </w:p>
    <w:p>
      <w:pPr>
        <w:ind w:left="560"/>
        <w:spacing w:before="244" w:line="222" w:lineRule="auto"/>
        <w:rPr>
          <w:rFonts w:ascii="SimHei" w:hAnsi="SimHei" w:eastAsia="SimHei" w:cs="SimHei"/>
          <w:sz w:val="29"/>
          <w:szCs w:val="29"/>
        </w:rPr>
      </w:pPr>
      <w:r>
        <w:rPr>
          <w:rFonts w:ascii="SimHei" w:hAnsi="SimHei" w:eastAsia="SimHei" w:cs="SimHei"/>
          <w:sz w:val="29"/>
          <w:szCs w:val="29"/>
          <w:spacing w:val="-6"/>
        </w:rPr>
        <w:t>1</w:t>
      </w:r>
      <w:r>
        <w:rPr>
          <w:rFonts w:ascii="SimHei" w:hAnsi="SimHei" w:eastAsia="SimHei" w:cs="SimHei"/>
          <w:sz w:val="29"/>
          <w:szCs w:val="29"/>
          <w:spacing w:val="-73"/>
        </w:rPr>
        <w:t xml:space="preserve"> </w:t>
      </w:r>
      <w:r>
        <w:rPr>
          <w:rFonts w:ascii="SimHei" w:hAnsi="SimHei" w:eastAsia="SimHei" w:cs="SimHei"/>
          <w:sz w:val="29"/>
          <w:szCs w:val="29"/>
          <w:spacing w:val="-6"/>
        </w:rPr>
        <w:t>、现场检查</w:t>
      </w:r>
    </w:p>
    <w:p>
      <w:pPr>
        <w:pStyle w:val="BodyText"/>
        <w:ind w:left="720"/>
        <w:spacing w:before="134" w:line="219" w:lineRule="auto"/>
        <w:rPr>
          <w:sz w:val="29"/>
          <w:szCs w:val="29"/>
        </w:rPr>
      </w:pPr>
      <w:r>
        <w:rPr>
          <w:sz w:val="29"/>
          <w:szCs w:val="29"/>
          <w:spacing w:val="6"/>
        </w:rPr>
        <w:t>(1)检查防寒设施的完好情况，发现破损立即修补；</w:t>
      </w:r>
    </w:p>
    <w:p>
      <w:pPr>
        <w:spacing w:line="219" w:lineRule="auto"/>
        <w:sectPr>
          <w:footerReference w:type="default" r:id="rId570"/>
          <w:pgSz w:w="14490" w:h="20470"/>
          <w:pgMar w:top="400" w:right="1844" w:bottom="1047" w:left="2160" w:header="0" w:footer="830"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730"/>
        <w:spacing w:before="94" w:line="219" w:lineRule="auto"/>
        <w:rPr>
          <w:sz w:val="29"/>
          <w:szCs w:val="29"/>
        </w:rPr>
      </w:pPr>
      <w:r>
        <w:rPr>
          <w:sz w:val="29"/>
          <w:szCs w:val="29"/>
          <w:spacing w:val="7"/>
        </w:rPr>
        <w:t>(2)及时检查乔木支撑情况，发现松动或缺失立即加固。</w:t>
      </w:r>
    </w:p>
    <w:p>
      <w:pPr>
        <w:pStyle w:val="BodyText"/>
        <w:ind w:left="590"/>
        <w:spacing w:before="129" w:line="224"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保洁</w:t>
      </w:r>
    </w:p>
    <w:p>
      <w:pPr>
        <w:pStyle w:val="BodyText"/>
        <w:ind w:right="329" w:firstLine="730"/>
        <w:spacing w:before="14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23" w:firstLine="730"/>
        <w:spacing w:before="14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right="241" w:firstLine="730"/>
        <w:spacing w:before="12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
        </w:rPr>
        <w:t xml:space="preserve"> </w:t>
      </w:r>
      <w:r>
        <w:rPr>
          <w:sz w:val="29"/>
          <w:szCs w:val="29"/>
          <w:spacing w:val="1"/>
        </w:rPr>
        <w:t>雪融化后露出的垃圾、废弃物的全面清理。</w:t>
      </w:r>
    </w:p>
    <w:p>
      <w:pPr>
        <w:pStyle w:val="BodyText"/>
        <w:ind w:left="590"/>
        <w:spacing w:before="143"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时花摆放</w:t>
      </w:r>
    </w:p>
    <w:p>
      <w:pPr>
        <w:pStyle w:val="BodyText"/>
        <w:ind w:left="730"/>
        <w:spacing w:before="9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04" w:line="222" w:lineRule="auto"/>
        <w:rPr>
          <w:rFonts w:ascii="SimHei" w:hAnsi="SimHei" w:eastAsia="SimHei" w:cs="SimHei"/>
          <w:sz w:val="29"/>
          <w:szCs w:val="29"/>
        </w:rPr>
      </w:pPr>
      <w:r>
        <w:rPr>
          <w:rFonts w:ascii="SimHei" w:hAnsi="SimHei" w:eastAsia="SimHei" w:cs="SimHei"/>
          <w:sz w:val="29"/>
          <w:szCs w:val="29"/>
          <w:spacing w:val="-3"/>
        </w:rPr>
        <w:t>4</w:t>
      </w:r>
      <w:r>
        <w:rPr>
          <w:rFonts w:ascii="SimHei" w:hAnsi="SimHei" w:eastAsia="SimHei" w:cs="SimHei"/>
          <w:sz w:val="29"/>
          <w:szCs w:val="29"/>
          <w:spacing w:val="-62"/>
        </w:rPr>
        <w:t xml:space="preserve"> </w:t>
      </w:r>
      <w:r>
        <w:rPr>
          <w:rFonts w:ascii="SimHei" w:hAnsi="SimHei" w:eastAsia="SimHei" w:cs="SimHei"/>
          <w:sz w:val="29"/>
          <w:szCs w:val="29"/>
          <w:spacing w:val="-3"/>
        </w:rPr>
        <w:t>、物资管理</w:t>
      </w:r>
    </w:p>
    <w:p>
      <w:pPr>
        <w:pStyle w:val="BodyText"/>
        <w:ind w:right="331" w:firstLine="730"/>
        <w:spacing w:before="14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281" w:firstLine="730"/>
        <w:spacing w:before="163" w:line="265" w:lineRule="auto"/>
        <w:rPr>
          <w:sz w:val="29"/>
          <w:szCs w:val="29"/>
        </w:rPr>
      </w:pPr>
      <w:r>
        <w:rPr>
          <w:sz w:val="29"/>
          <w:szCs w:val="29"/>
          <w:spacing w:val="3"/>
        </w:rPr>
        <w:t>(2)根据现场的实际情况，申请购置翌年1、2、3月份的农药、化肥</w:t>
      </w:r>
      <w:r>
        <w:rPr>
          <w:sz w:val="29"/>
          <w:szCs w:val="29"/>
          <w:spacing w:val="2"/>
        </w:rPr>
        <w:t>、营养</w:t>
      </w:r>
      <w:r>
        <w:rPr>
          <w:sz w:val="29"/>
          <w:szCs w:val="29"/>
        </w:rPr>
        <w:t xml:space="preserve"> </w:t>
      </w:r>
      <w:r>
        <w:rPr>
          <w:sz w:val="29"/>
          <w:szCs w:val="29"/>
          <w:spacing w:val="-7"/>
        </w:rPr>
        <w:t>剂及其它物资。</w:t>
      </w:r>
    </w:p>
    <w:p>
      <w:pPr>
        <w:pStyle w:val="BodyText"/>
        <w:ind w:left="590"/>
        <w:spacing w:before="123"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防火防盗</w:t>
      </w:r>
    </w:p>
    <w:p>
      <w:pPr>
        <w:pStyle w:val="BodyText"/>
        <w:ind w:firstLine="590"/>
        <w:spacing w:before="110" w:line="304" w:lineRule="auto"/>
        <w:rPr>
          <w:sz w:val="29"/>
          <w:szCs w:val="29"/>
        </w:rPr>
      </w:pPr>
      <w:r>
        <w:rPr>
          <w:sz w:val="29"/>
          <w:szCs w:val="29"/>
          <w:spacing w:val="-2"/>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line="304" w:lineRule="auto"/>
        <w:sectPr>
          <w:footerReference w:type="default" r:id="rId571"/>
          <w:pgSz w:w="14490" w:h="20470"/>
          <w:pgMar w:top="400" w:right="1945" w:bottom="1047" w:left="2150" w:header="0" w:footer="831"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ind w:left="3479"/>
        <w:spacing w:before="94" w:line="221" w:lineRule="auto"/>
        <w:outlineLvl w:val="1"/>
        <w:rPr>
          <w:rFonts w:ascii="SimHei" w:hAnsi="SimHei" w:eastAsia="SimHei" w:cs="SimHei"/>
          <w:sz w:val="29"/>
          <w:szCs w:val="29"/>
        </w:rPr>
      </w:pPr>
      <w:bookmarkStart w:name="bookmark65" w:id="115"/>
      <w:bookmarkEnd w:id="115"/>
      <w:r>
        <w:rPr>
          <w:rFonts w:ascii="SimHei" w:hAnsi="SimHei" w:eastAsia="SimHei" w:cs="SimHei"/>
          <w:sz w:val="29"/>
          <w:szCs w:val="29"/>
          <w:spacing w:val="2"/>
        </w:rPr>
        <w:t>内蒙古、银川、青海地区</w:t>
      </w:r>
    </w:p>
    <w:p>
      <w:pPr>
        <w:pStyle w:val="BodyText"/>
        <w:ind w:left="4"/>
        <w:spacing w:before="176" w:line="223" w:lineRule="auto"/>
        <w:rPr>
          <w:rFonts w:ascii="SimHei" w:hAnsi="SimHei" w:eastAsia="SimHei" w:cs="SimHei"/>
          <w:sz w:val="30"/>
          <w:szCs w:val="30"/>
        </w:rPr>
      </w:pPr>
      <w:bookmarkStart w:name="bookmark129" w:id="116"/>
      <w:bookmarkEnd w:id="116"/>
      <w:r>
        <w:rPr>
          <w:sz w:val="30"/>
          <w:szCs w:val="30"/>
          <w:b/>
          <w:bCs/>
          <w:spacing w:val="-13"/>
        </w:rPr>
        <w:t>一、</w:t>
      </w:r>
      <w:r>
        <w:rPr>
          <w:rFonts w:ascii="SimHei" w:hAnsi="SimHei" w:eastAsia="SimHei" w:cs="SimHei"/>
          <w:sz w:val="30"/>
          <w:szCs w:val="30"/>
          <w:spacing w:val="-13"/>
        </w:rPr>
        <w:t>二月份</w:t>
      </w:r>
    </w:p>
    <w:p>
      <w:pPr>
        <w:pStyle w:val="BodyText"/>
        <w:ind w:left="580"/>
        <w:spacing w:before="144" w:line="219" w:lineRule="auto"/>
        <w:rPr>
          <w:sz w:val="29"/>
          <w:szCs w:val="29"/>
        </w:rPr>
      </w:pPr>
      <w:r>
        <w:rPr>
          <w:sz w:val="29"/>
          <w:szCs w:val="29"/>
          <w:spacing w:val="4"/>
        </w:rPr>
        <w:t>本月是全年中气温最低的月份，露地树木处于</w:t>
      </w:r>
      <w:r>
        <w:rPr>
          <w:sz w:val="29"/>
          <w:szCs w:val="29"/>
          <w:spacing w:val="3"/>
        </w:rPr>
        <w:t>休眠状态，重点是保洁。</w:t>
      </w:r>
    </w:p>
    <w:p>
      <w:pPr>
        <w:pStyle w:val="BodyText"/>
        <w:ind w:left="580"/>
        <w:spacing w:before="26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20"/>
        <w:spacing w:before="133" w:line="219" w:lineRule="auto"/>
        <w:rPr>
          <w:sz w:val="29"/>
          <w:szCs w:val="29"/>
        </w:rPr>
      </w:pPr>
      <w:r>
        <w:rPr>
          <w:sz w:val="29"/>
          <w:szCs w:val="29"/>
          <w:spacing w:val="6"/>
        </w:rPr>
        <w:t>(1)检查防寒设施的完好情况，发现破损立即修补；</w:t>
      </w:r>
    </w:p>
    <w:p>
      <w:pPr>
        <w:pStyle w:val="BodyText"/>
        <w:ind w:left="720"/>
        <w:spacing w:before="146" w:line="219" w:lineRule="auto"/>
        <w:rPr>
          <w:sz w:val="29"/>
          <w:szCs w:val="29"/>
        </w:rPr>
      </w:pPr>
      <w:r>
        <w:rPr>
          <w:sz w:val="29"/>
          <w:szCs w:val="29"/>
          <w:spacing w:val="6"/>
        </w:rPr>
        <w:t>(2)及时检查乔木支撑情况，发现松动或缺失立即加固。</w:t>
      </w:r>
    </w:p>
    <w:p>
      <w:pPr>
        <w:pStyle w:val="BodyText"/>
        <w:ind w:left="580"/>
        <w:spacing w:before="11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24" w:firstLine="720"/>
        <w:spacing w:before="145" w:line="272" w:lineRule="auto"/>
        <w:rPr>
          <w:sz w:val="29"/>
          <w:szCs w:val="29"/>
        </w:rPr>
      </w:pPr>
      <w:r>
        <w:rPr>
          <w:sz w:val="29"/>
          <w:szCs w:val="29"/>
          <w:spacing w:val="6"/>
        </w:rPr>
        <w:t>(1)以整形为主，衰弱树可重剪；对苗木的风折枝、病虫枝、断枝、枯死</w:t>
      </w:r>
      <w:r>
        <w:rPr>
          <w:sz w:val="29"/>
          <w:szCs w:val="29"/>
          <w:spacing w:val="17"/>
        </w:rPr>
        <w:t xml:space="preserve"> </w:t>
      </w:r>
      <w:r>
        <w:rPr>
          <w:sz w:val="29"/>
          <w:szCs w:val="29"/>
          <w:spacing w:val="1"/>
        </w:rPr>
        <w:t>枝、内膛枝进行修剪并对苗木进行整形修剪，保证乔</w:t>
      </w:r>
      <w:r>
        <w:rPr>
          <w:sz w:val="29"/>
          <w:szCs w:val="29"/>
        </w:rPr>
        <w:t>木树形优美；</w:t>
      </w:r>
    </w:p>
    <w:p>
      <w:pPr>
        <w:pStyle w:val="BodyText"/>
        <w:ind w:left="720"/>
        <w:spacing w:before="154" w:line="219" w:lineRule="auto"/>
        <w:rPr>
          <w:sz w:val="29"/>
          <w:szCs w:val="29"/>
        </w:rPr>
      </w:pPr>
      <w:r>
        <w:rPr>
          <w:sz w:val="29"/>
          <w:szCs w:val="29"/>
          <w:spacing w:val="6"/>
        </w:rPr>
        <w:t>(2)在本地耐寒性弱的苗木改为春季化冻后修剪；</w:t>
      </w:r>
    </w:p>
    <w:p>
      <w:pPr>
        <w:pStyle w:val="BodyText"/>
        <w:ind w:right="416" w:firstLine="720"/>
        <w:spacing w:before="128" w:line="272" w:lineRule="auto"/>
        <w:rPr>
          <w:sz w:val="29"/>
          <w:szCs w:val="29"/>
        </w:rPr>
      </w:pPr>
      <w:r>
        <w:rPr>
          <w:sz w:val="29"/>
          <w:szCs w:val="29"/>
          <w:spacing w:val="7"/>
        </w:rPr>
        <w:t>(3)冬季易流伤的植物，如槭树科中的大多数，在晚</w:t>
      </w:r>
      <w:r>
        <w:rPr>
          <w:sz w:val="29"/>
          <w:szCs w:val="29"/>
          <w:spacing w:val="6"/>
        </w:rPr>
        <w:t>秋落叶时或春季新芽</w:t>
      </w:r>
      <w:r>
        <w:rPr>
          <w:sz w:val="29"/>
          <w:szCs w:val="29"/>
        </w:rPr>
        <w:t xml:space="preserve"> </w:t>
      </w:r>
      <w:r>
        <w:rPr>
          <w:sz w:val="29"/>
          <w:szCs w:val="29"/>
          <w:spacing w:val="-1"/>
        </w:rPr>
        <w:t>膨大时修剪。</w:t>
      </w:r>
    </w:p>
    <w:p>
      <w:pPr>
        <w:pStyle w:val="BodyText"/>
        <w:ind w:left="580"/>
        <w:spacing w:before="116" w:line="396"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保洁</w:t>
      </w:r>
    </w:p>
    <w:p>
      <w:pPr>
        <w:pStyle w:val="BodyText"/>
        <w:ind w:right="420" w:firstLine="720"/>
        <w:spacing w:before="84" w:line="271"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2"/>
        </w:rPr>
        <w:t>池、灯杆、垃圾桶保持干净；</w:t>
      </w:r>
    </w:p>
    <w:p>
      <w:pPr>
        <w:pStyle w:val="BodyText"/>
        <w:ind w:right="413" w:firstLine="720"/>
        <w:spacing w:before="148" w:line="272"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1"/>
        </w:rPr>
        <w:t>售展示区)进行彻底清理；</w:t>
      </w:r>
    </w:p>
    <w:p>
      <w:pPr>
        <w:pStyle w:val="BodyText"/>
        <w:ind w:right="361" w:firstLine="720"/>
        <w:spacing w:before="12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5"/>
        </w:rPr>
        <w:t>元门及销售中心清理完毕，剩余残雪在3天内清理完毕，沿路两侧要堆雪造型；冰</w:t>
      </w:r>
      <w:r>
        <w:rPr>
          <w:sz w:val="29"/>
          <w:szCs w:val="29"/>
          <w:spacing w:val="17"/>
        </w:rPr>
        <w:t xml:space="preserve"> </w:t>
      </w:r>
      <w:r>
        <w:rPr>
          <w:sz w:val="29"/>
          <w:szCs w:val="29"/>
          <w:spacing w:val="-1"/>
        </w:rPr>
        <w:t>雪融化后露出的垃圾、废弃物的全面清理。</w:t>
      </w:r>
    </w:p>
    <w:p>
      <w:pPr>
        <w:pStyle w:val="BodyText"/>
        <w:ind w:left="580"/>
        <w:spacing w:before="184" w:line="222"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物资管理</w:t>
      </w:r>
    </w:p>
    <w:p>
      <w:pPr>
        <w:pStyle w:val="BodyText"/>
        <w:spacing w:before="10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80"/>
        <w:spacing w:before="31"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防火防盗</w:t>
      </w:r>
    </w:p>
    <w:p>
      <w:pPr>
        <w:pStyle w:val="BodyText"/>
        <w:ind w:right="100" w:firstLine="580"/>
        <w:spacing w:before="15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spacing w:before="72"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80"/>
        <w:spacing w:before="129" w:line="219" w:lineRule="auto"/>
        <w:rPr>
          <w:sz w:val="29"/>
          <w:szCs w:val="29"/>
        </w:rPr>
      </w:pPr>
      <w:r>
        <w:rPr>
          <w:sz w:val="29"/>
          <w:szCs w:val="29"/>
          <w:spacing w:val="4"/>
        </w:rPr>
        <w:t>气温较上月有所上升，注意修剪和病虫害防治。</w:t>
      </w:r>
    </w:p>
    <w:p>
      <w:pPr>
        <w:ind w:left="580"/>
        <w:spacing w:before="304" w:line="222" w:lineRule="auto"/>
        <w:rPr>
          <w:rFonts w:ascii="SimHei" w:hAnsi="SimHei" w:eastAsia="SimHei" w:cs="SimHei"/>
          <w:sz w:val="29"/>
          <w:szCs w:val="29"/>
        </w:rPr>
      </w:pPr>
      <w:r>
        <w:rPr>
          <w:rFonts w:ascii="SimHei" w:hAnsi="SimHei" w:eastAsia="SimHei" w:cs="SimHei"/>
          <w:sz w:val="29"/>
          <w:szCs w:val="29"/>
          <w:spacing w:val="-3"/>
        </w:rPr>
        <w:t>1</w:t>
      </w:r>
      <w:r>
        <w:rPr>
          <w:rFonts w:ascii="SimHei" w:hAnsi="SimHei" w:eastAsia="SimHei" w:cs="SimHei"/>
          <w:sz w:val="29"/>
          <w:szCs w:val="29"/>
          <w:spacing w:val="-81"/>
        </w:rPr>
        <w:t xml:space="preserve"> </w:t>
      </w:r>
      <w:r>
        <w:rPr>
          <w:rFonts w:ascii="SimHei" w:hAnsi="SimHei" w:eastAsia="SimHei" w:cs="SimHei"/>
          <w:sz w:val="29"/>
          <w:szCs w:val="29"/>
          <w:spacing w:val="-3"/>
        </w:rPr>
        <w:t>、现场检查</w:t>
      </w:r>
    </w:p>
    <w:p>
      <w:pPr>
        <w:pStyle w:val="BodyText"/>
        <w:ind w:left="580"/>
        <w:spacing w:before="123" w:line="219" w:lineRule="auto"/>
        <w:rPr>
          <w:sz w:val="29"/>
          <w:szCs w:val="29"/>
        </w:rPr>
      </w:pPr>
      <w:r>
        <w:rPr>
          <w:sz w:val="29"/>
          <w:szCs w:val="29"/>
          <w:spacing w:val="2"/>
        </w:rPr>
        <w:t>及时检查乔木支撑情况，发现松动或缺失立即加固</w:t>
      </w:r>
    </w:p>
    <w:p>
      <w:pPr>
        <w:ind w:left="580"/>
        <w:spacing w:before="11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403" w:firstLine="720"/>
        <w:spacing w:before="135" w:line="326" w:lineRule="auto"/>
        <w:rPr>
          <w:sz w:val="29"/>
          <w:szCs w:val="29"/>
        </w:rPr>
      </w:pPr>
      <w:r>
        <w:rPr>
          <w:sz w:val="29"/>
          <w:szCs w:val="29"/>
          <w:spacing w:val="7"/>
        </w:rPr>
        <w:t>(1)对生长过量的地被小灌木、绿篱及灌木在新芽刚刚开始膨大时进行回</w:t>
      </w:r>
      <w:r>
        <w:rPr>
          <w:sz w:val="29"/>
          <w:szCs w:val="29"/>
          <w:spacing w:val="4"/>
        </w:rPr>
        <w:t xml:space="preserve"> </w:t>
      </w:r>
      <w:r>
        <w:rPr>
          <w:sz w:val="29"/>
          <w:szCs w:val="29"/>
          <w:spacing w:val="-12"/>
        </w:rPr>
        <w:t>缩；</w:t>
      </w:r>
    </w:p>
    <w:p>
      <w:pPr>
        <w:spacing w:line="326" w:lineRule="auto"/>
        <w:sectPr>
          <w:footerReference w:type="default" r:id="rId572"/>
          <w:pgSz w:w="14490" w:h="20470"/>
          <w:pgMar w:top="400" w:right="1834" w:bottom="1033" w:left="2160" w:header="0" w:footer="835" w:gutter="0"/>
        </w:sectPr>
        <w:rPr>
          <w:sz w:val="29"/>
          <w:szCs w:val="29"/>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BodyText"/>
        <w:ind w:right="252" w:firstLine="730"/>
        <w:spacing w:before="95" w:line="292" w:lineRule="auto"/>
        <w:rPr>
          <w:sz w:val="29"/>
          <w:szCs w:val="29"/>
        </w:rPr>
      </w:pPr>
      <w:r>
        <w:rPr>
          <w:sz w:val="29"/>
          <w:szCs w:val="29"/>
          <w:spacing w:val="8"/>
        </w:rPr>
        <w:t>(2)对苗木干枯枝加强修剪，并做好伤口处理。在本地耐寒性弱的苗木改</w:t>
      </w:r>
      <w:r>
        <w:rPr>
          <w:sz w:val="29"/>
          <w:szCs w:val="29"/>
          <w:spacing w:val="12"/>
        </w:rPr>
        <w:t xml:space="preserve"> </w:t>
      </w:r>
      <w:r>
        <w:rPr>
          <w:sz w:val="29"/>
          <w:szCs w:val="29"/>
        </w:rPr>
        <w:t>为春季化冻后修剪、冬季易有流伤的植物如</w:t>
      </w:r>
      <w:r>
        <w:rPr>
          <w:sz w:val="29"/>
          <w:szCs w:val="29"/>
          <w:spacing w:val="-1"/>
        </w:rPr>
        <w:t>槭树科中的大多数，在晚秋落叶时或</w:t>
      </w:r>
      <w:r>
        <w:rPr>
          <w:sz w:val="29"/>
          <w:szCs w:val="29"/>
        </w:rPr>
        <w:t xml:space="preserve"> </w:t>
      </w:r>
      <w:r>
        <w:rPr>
          <w:sz w:val="29"/>
          <w:szCs w:val="29"/>
        </w:rPr>
        <w:t>春季新芽膨大时修剪、对生长过量的地被小灌木、绿</w:t>
      </w:r>
      <w:r>
        <w:rPr>
          <w:sz w:val="29"/>
          <w:szCs w:val="29"/>
          <w:spacing w:val="-1"/>
        </w:rPr>
        <w:t>篱及灌木在新芽刚刚开始膨</w:t>
      </w:r>
      <w:r>
        <w:rPr>
          <w:sz w:val="29"/>
          <w:szCs w:val="29"/>
        </w:rPr>
        <w:t xml:space="preserve"> </w:t>
      </w:r>
      <w:r>
        <w:rPr>
          <w:sz w:val="29"/>
          <w:szCs w:val="29"/>
          <w:spacing w:val="-6"/>
        </w:rPr>
        <w:t>大时进行回缩；</w:t>
      </w:r>
    </w:p>
    <w:p>
      <w:pPr>
        <w:pStyle w:val="BodyText"/>
        <w:ind w:left="730"/>
        <w:spacing w:before="157" w:line="219" w:lineRule="auto"/>
        <w:rPr>
          <w:sz w:val="29"/>
          <w:szCs w:val="29"/>
        </w:rPr>
      </w:pPr>
      <w:r>
        <w:rPr>
          <w:sz w:val="29"/>
          <w:szCs w:val="29"/>
          <w:spacing w:val="-6"/>
        </w:rPr>
        <w:t>(3)拆除部分防寒物：冬季所加的防寒物，可逐渐</w:t>
      </w:r>
      <w:r>
        <w:rPr>
          <w:sz w:val="29"/>
          <w:szCs w:val="29"/>
          <w:spacing w:val="-7"/>
        </w:rPr>
        <w:t>部分拆除，但不能过早。</w:t>
      </w:r>
    </w:p>
    <w:p>
      <w:pPr>
        <w:ind w:left="570"/>
        <w:spacing w:before="123"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34" w:firstLine="730"/>
        <w:spacing w:before="120" w:line="269" w:lineRule="auto"/>
        <w:rPr>
          <w:sz w:val="29"/>
          <w:szCs w:val="29"/>
        </w:rPr>
      </w:pPr>
      <w:r>
        <w:rPr>
          <w:sz w:val="29"/>
          <w:szCs w:val="29"/>
          <w:spacing w:val="1"/>
        </w:rPr>
        <w:t>①  春灌：为防止春旱，对需要浇水的树木及时灌水。化冻后及时浇灌返</w:t>
      </w:r>
      <w:r>
        <w:rPr>
          <w:sz w:val="29"/>
          <w:szCs w:val="29"/>
          <w:spacing w:val="16"/>
        </w:rPr>
        <w:t xml:space="preserve"> </w:t>
      </w:r>
      <w:r>
        <w:rPr>
          <w:sz w:val="29"/>
          <w:szCs w:val="29"/>
          <w:spacing w:val="-19"/>
        </w:rPr>
        <w:t>青水3遍；</w:t>
      </w:r>
    </w:p>
    <w:p>
      <w:pPr>
        <w:pStyle w:val="BodyText"/>
        <w:ind w:left="730"/>
        <w:spacing w:before="144" w:line="217" w:lineRule="auto"/>
        <w:rPr>
          <w:sz w:val="29"/>
          <w:szCs w:val="29"/>
        </w:rPr>
      </w:pPr>
      <w:r>
        <w:rPr>
          <w:sz w:val="29"/>
          <w:szCs w:val="29"/>
          <w:spacing w:val="1"/>
        </w:rPr>
        <w:t>②  施肥：3月下旬追施1次有机复合肥(有机质45%)。</w:t>
      </w:r>
    </w:p>
    <w:p>
      <w:pPr>
        <w:pStyle w:val="BodyText"/>
        <w:ind w:left="570"/>
        <w:spacing w:before="12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55" w:line="219" w:lineRule="auto"/>
        <w:rPr/>
      </w:pPr>
      <w:r>
        <w:rPr>
          <w:spacing w:val="22"/>
        </w:rPr>
        <w:t>(1)病害：根腐病、流胶病</w:t>
      </w:r>
    </w:p>
    <w:p>
      <w:pPr>
        <w:pStyle w:val="BodyText"/>
        <w:ind w:left="730"/>
        <w:spacing w:before="147" w:line="219" w:lineRule="auto"/>
        <w:rPr>
          <w:sz w:val="29"/>
          <w:szCs w:val="29"/>
        </w:rPr>
      </w:pPr>
      <w:r>
        <w:rPr>
          <w:sz w:val="29"/>
          <w:szCs w:val="29"/>
          <w:spacing w:val="8"/>
        </w:rPr>
        <w:t>(2)虫害：柳网蝽、柏肤小蠹、铜绿丽金龟、</w:t>
      </w:r>
      <w:r>
        <w:rPr>
          <w:sz w:val="29"/>
          <w:szCs w:val="29"/>
          <w:spacing w:val="7"/>
        </w:rPr>
        <w:t>大地老虎、沟金针虫</w:t>
      </w:r>
    </w:p>
    <w:p>
      <w:pPr>
        <w:pStyle w:val="BodyText"/>
        <w:ind w:left="570"/>
        <w:spacing w:before="81" w:line="368" w:lineRule="exact"/>
        <w:rPr>
          <w:rFonts w:ascii="SimHei" w:hAnsi="SimHei" w:eastAsia="SimHei" w:cs="SimHei"/>
          <w:sz w:val="27"/>
          <w:szCs w:val="27"/>
        </w:rPr>
      </w:pPr>
      <w:r>
        <w:rPr>
          <w:rFonts w:ascii="Arial" w:hAnsi="Arial" w:eastAsia="Arial" w:cs="Arial"/>
          <w:sz w:val="27"/>
          <w:szCs w:val="27"/>
          <w:spacing w:val="12"/>
          <w:position w:val="1"/>
        </w:rPr>
        <w:t>5</w:t>
      </w:r>
      <w:r>
        <w:rPr>
          <w:sz w:val="27"/>
          <w:szCs w:val="27"/>
          <w:spacing w:val="12"/>
          <w:position w:val="1"/>
        </w:rPr>
        <w:t>、</w:t>
      </w:r>
      <w:r>
        <w:rPr>
          <w:rFonts w:ascii="SimHei" w:hAnsi="SimHei" w:eastAsia="SimHei" w:cs="SimHei"/>
          <w:sz w:val="27"/>
          <w:szCs w:val="27"/>
          <w:spacing w:val="12"/>
          <w:position w:val="1"/>
        </w:rPr>
        <w:t>保洁</w:t>
      </w:r>
    </w:p>
    <w:p>
      <w:pPr>
        <w:pStyle w:val="BodyText"/>
        <w:ind w:right="329" w:firstLine="730"/>
        <w:spacing w:before="138"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23"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right="251" w:firstLine="730"/>
        <w:spacing w:before="15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w:t>
      </w:r>
      <w:r>
        <w:rPr>
          <w:sz w:val="29"/>
          <w:szCs w:val="29"/>
          <w:spacing w:val="-5"/>
        </w:rPr>
        <w:t>两侧要堆雪造型；冰</w:t>
      </w:r>
      <w:r>
        <w:rPr>
          <w:sz w:val="29"/>
          <w:szCs w:val="29"/>
        </w:rPr>
        <w:t xml:space="preserve"> </w:t>
      </w:r>
      <w:r>
        <w:rPr>
          <w:sz w:val="29"/>
          <w:szCs w:val="29"/>
        </w:rPr>
        <w:t>雪融化后露出的垃圾、废弃物的全面全面清理。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31" w:firstLine="730"/>
        <w:spacing w:before="103"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28" w:firstLine="730"/>
        <w:spacing w:before="121" w:line="271"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6"/>
        </w:rPr>
        <w:t>其它物资；</w:t>
      </w:r>
    </w:p>
    <w:p>
      <w:pPr>
        <w:pStyle w:val="BodyText"/>
        <w:ind w:left="570"/>
        <w:spacing w:before="199"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8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6"/>
        </w:rPr>
        <w:t>防盗情况。</w:t>
      </w:r>
    </w:p>
    <w:p>
      <w:pPr>
        <w:spacing w:line="395"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right="120" w:firstLine="570"/>
        <w:spacing w:before="147" w:line="297" w:lineRule="auto"/>
        <w:rPr>
          <w:sz w:val="29"/>
          <w:szCs w:val="29"/>
        </w:rPr>
      </w:pPr>
      <w:r>
        <w:rPr>
          <w:sz w:val="29"/>
          <w:szCs w:val="29"/>
          <w:spacing w:val="4"/>
        </w:rPr>
        <w:t>气温继续上升，干旱少雨。树木均已发芽、展叶，开始进入旺长期。大风，</w:t>
      </w:r>
      <w:r>
        <w:rPr>
          <w:sz w:val="29"/>
          <w:szCs w:val="29"/>
          <w:spacing w:val="1"/>
        </w:rPr>
        <w:t xml:space="preserve"> </w:t>
      </w:r>
      <w:r>
        <w:rPr>
          <w:sz w:val="29"/>
          <w:szCs w:val="29"/>
          <w:spacing w:val="9"/>
        </w:rPr>
        <w:t>霜冻时有发生。</w:t>
      </w:r>
    </w:p>
    <w:p>
      <w:pPr>
        <w:pStyle w:val="BodyText"/>
        <w:ind w:left="57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spacing w:line="222" w:lineRule="auto"/>
        <w:sectPr>
          <w:footerReference w:type="default" r:id="rId573"/>
          <w:pgSz w:w="14490" w:h="20470"/>
          <w:pgMar w:top="400" w:right="1945" w:bottom="1033" w:left="2150" w:header="0" w:footer="835"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580"/>
        <w:spacing w:before="94" w:line="219" w:lineRule="auto"/>
        <w:rPr>
          <w:sz w:val="29"/>
          <w:szCs w:val="29"/>
        </w:rPr>
      </w:pPr>
      <w:r>
        <w:rPr>
          <w:sz w:val="29"/>
          <w:szCs w:val="29"/>
          <w:spacing w:val="2"/>
        </w:rPr>
        <w:t>及时检查乔木支撑情况，发现松动或缺失立即加固</w:t>
      </w:r>
    </w:p>
    <w:p>
      <w:pPr>
        <w:pStyle w:val="BodyText"/>
        <w:ind w:left="580"/>
        <w:spacing w:before="9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398" w:firstLine="580"/>
        <w:spacing w:before="153" w:line="317" w:lineRule="auto"/>
        <w:rPr>
          <w:sz w:val="29"/>
          <w:szCs w:val="29"/>
        </w:rPr>
      </w:pPr>
      <w:r>
        <w:rPr>
          <w:sz w:val="29"/>
          <w:szCs w:val="29"/>
          <w:spacing w:val="-1"/>
        </w:rPr>
        <w:t>以促进苗木萌发为主要修剪目的，剪除冬春季</w:t>
      </w:r>
      <w:r>
        <w:rPr>
          <w:sz w:val="29"/>
          <w:szCs w:val="29"/>
          <w:spacing w:val="-2"/>
        </w:rPr>
        <w:t>干梢的枝条等。对生长过量的</w:t>
      </w:r>
      <w:r>
        <w:rPr>
          <w:sz w:val="29"/>
          <w:szCs w:val="29"/>
        </w:rPr>
        <w:t xml:space="preserve"> </w:t>
      </w:r>
      <w:r>
        <w:rPr>
          <w:sz w:val="29"/>
          <w:szCs w:val="29"/>
          <w:spacing w:val="-9"/>
        </w:rPr>
        <w:t>地被小灌木、绿篱及灌木在新芽刚刚开始膨大时进行回缩</w:t>
      </w:r>
      <w:r>
        <w:rPr>
          <w:sz w:val="29"/>
          <w:szCs w:val="29"/>
          <w:spacing w:val="-10"/>
        </w:rPr>
        <w:t>，其他地被小灌木、绿篱</w:t>
      </w:r>
      <w:r>
        <w:rPr>
          <w:sz w:val="29"/>
          <w:szCs w:val="29"/>
        </w:rPr>
        <w:t xml:space="preserve"> </w:t>
      </w:r>
      <w:r>
        <w:rPr>
          <w:sz w:val="29"/>
          <w:szCs w:val="29"/>
          <w:spacing w:val="-2"/>
        </w:rPr>
        <w:t>芽后修剪时注意保留更新枝。</w:t>
      </w:r>
    </w:p>
    <w:p>
      <w:pPr>
        <w:ind w:left="580"/>
        <w:spacing w:before="2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529" w:firstLine="720"/>
        <w:spacing w:before="103" w:line="304" w:lineRule="auto"/>
        <w:rPr>
          <w:sz w:val="29"/>
          <w:szCs w:val="29"/>
        </w:rPr>
      </w:pPr>
      <w:r>
        <w:rPr>
          <w:sz w:val="29"/>
          <w:szCs w:val="29"/>
          <w:spacing w:val="-9"/>
        </w:rPr>
        <w:t>(1)</w:t>
      </w:r>
      <w:r>
        <w:rPr>
          <w:sz w:val="29"/>
          <w:szCs w:val="29"/>
          <w:spacing w:val="135"/>
        </w:rPr>
        <w:t xml:space="preserve"> </w:t>
      </w:r>
      <w:r>
        <w:rPr>
          <w:sz w:val="29"/>
          <w:szCs w:val="29"/>
          <w:spacing w:val="-9"/>
        </w:rPr>
        <w:t>灌水：上月3遍返青水没有浇完的继续加强返青水浇灌，浇灌彻底，具</w:t>
      </w:r>
      <w:r>
        <w:rPr>
          <w:sz w:val="29"/>
          <w:szCs w:val="29"/>
        </w:rPr>
        <w:t xml:space="preserve"> </w:t>
      </w:r>
      <w:r>
        <w:rPr>
          <w:sz w:val="29"/>
          <w:szCs w:val="29"/>
          <w:spacing w:val="-2"/>
        </w:rPr>
        <w:t>体视气温及土壤解冻情况确定；</w:t>
      </w:r>
    </w:p>
    <w:p>
      <w:pPr>
        <w:pStyle w:val="BodyText"/>
        <w:ind w:right="621" w:firstLine="720"/>
        <w:spacing w:before="1" w:line="269" w:lineRule="auto"/>
        <w:rPr>
          <w:sz w:val="29"/>
          <w:szCs w:val="29"/>
        </w:rPr>
      </w:pPr>
      <w:r>
        <w:rPr>
          <w:rFonts w:ascii="Times New Roman" w:hAnsi="Times New Roman" w:eastAsia="Times New Roman" w:cs="Times New Roman"/>
          <w:sz w:val="29"/>
          <w:szCs w:val="29"/>
          <w:spacing w:val="4"/>
        </w:rPr>
        <w:t>2      </w:t>
      </w:r>
      <w:r>
        <w:rPr>
          <w:sz w:val="29"/>
          <w:szCs w:val="29"/>
          <w:spacing w:val="4"/>
        </w:rPr>
        <w:t>施肥：4月中旬追施1次有机复合肥(有机质45%),若植物长势一般或</w:t>
      </w:r>
      <w:r>
        <w:rPr>
          <w:sz w:val="29"/>
          <w:szCs w:val="29"/>
          <w:spacing w:val="12"/>
        </w:rPr>
        <w:t xml:space="preserve"> </w:t>
      </w:r>
      <w:r>
        <w:rPr>
          <w:sz w:val="29"/>
          <w:szCs w:val="29"/>
          <w:spacing w:val="1"/>
        </w:rPr>
        <w:t>较差追施一次高氮低磷中钾的无机复合肥、乔木及大灌木穴施。</w:t>
      </w:r>
    </w:p>
    <w:p>
      <w:pPr>
        <w:pStyle w:val="BodyText"/>
        <w:ind w:left="580"/>
        <w:spacing w:before="206"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720"/>
        <w:spacing w:before="105" w:line="219" w:lineRule="auto"/>
        <w:rPr>
          <w:sz w:val="29"/>
          <w:szCs w:val="29"/>
        </w:rPr>
      </w:pPr>
      <w:r>
        <w:rPr>
          <w:sz w:val="29"/>
          <w:szCs w:val="29"/>
          <w:spacing w:val="7"/>
        </w:rPr>
        <w:t>(1)病害：炭疽病、叶斑类病害、锈病、根腐</w:t>
      </w:r>
      <w:r>
        <w:rPr>
          <w:sz w:val="29"/>
          <w:szCs w:val="29"/>
          <w:spacing w:val="6"/>
        </w:rPr>
        <w:t>病、流胶病等；</w:t>
      </w:r>
    </w:p>
    <w:p>
      <w:pPr>
        <w:pStyle w:val="BodyText"/>
        <w:ind w:right="361" w:firstLine="720"/>
        <w:spacing w:before="145" w:line="279" w:lineRule="auto"/>
        <w:rPr>
          <w:sz w:val="29"/>
          <w:szCs w:val="29"/>
        </w:rPr>
      </w:pPr>
      <w:r>
        <w:rPr>
          <w:sz w:val="29"/>
          <w:szCs w:val="29"/>
          <w:spacing w:val="9"/>
        </w:rPr>
        <w:t>(2)虫害：大青叶蝉、桃瘤蚜、柳网蝽、桔绿</w:t>
      </w:r>
      <w:r>
        <w:rPr>
          <w:sz w:val="29"/>
          <w:szCs w:val="29"/>
          <w:spacing w:val="8"/>
        </w:rPr>
        <w:t>粉虱、芳香木蠹蛾、白杨透</w:t>
      </w:r>
      <w:r>
        <w:rPr>
          <w:sz w:val="29"/>
          <w:szCs w:val="29"/>
        </w:rPr>
        <w:t xml:space="preserve"> </w:t>
      </w:r>
      <w:r>
        <w:rPr>
          <w:sz w:val="29"/>
          <w:szCs w:val="29"/>
          <w:spacing w:val="-8"/>
        </w:rPr>
        <w:t>翅蛾、柏肤小蠹、铜绿丽金龟、大地老虎、沟金针虫、细胸</w:t>
      </w:r>
      <w:r>
        <w:rPr>
          <w:sz w:val="29"/>
          <w:szCs w:val="29"/>
          <w:spacing w:val="-9"/>
        </w:rPr>
        <w:t>金针虫、柳毒蛾、柳蓝</w:t>
      </w:r>
      <w:r>
        <w:rPr>
          <w:sz w:val="29"/>
          <w:szCs w:val="29"/>
        </w:rPr>
        <w:t xml:space="preserve"> </w:t>
      </w:r>
      <w:r>
        <w:rPr>
          <w:sz w:val="29"/>
          <w:szCs w:val="29"/>
          <w:spacing w:val="-5"/>
        </w:rPr>
        <w:t>叶甲等。</w:t>
      </w:r>
    </w:p>
    <w:p>
      <w:pPr>
        <w:pStyle w:val="BodyText"/>
        <w:ind w:left="580"/>
        <w:spacing w:before="14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49" w:firstLine="720"/>
        <w:spacing w:before="10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43" w:firstLine="720"/>
        <w:spacing w:before="13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pStyle w:val="BodyText"/>
        <w:ind w:right="451" w:firstLine="720"/>
        <w:spacing w:before="145" w:line="272" w:lineRule="auto"/>
        <w:rPr>
          <w:sz w:val="29"/>
          <w:szCs w:val="29"/>
        </w:rPr>
      </w:pPr>
      <w:r>
        <w:rPr>
          <w:sz w:val="29"/>
          <w:szCs w:val="29"/>
          <w:spacing w:val="-1"/>
        </w:rPr>
        <w:t>(3)</w:t>
      </w:r>
      <w:r>
        <w:rPr>
          <w:sz w:val="29"/>
          <w:szCs w:val="29"/>
          <w:spacing w:val="85"/>
        </w:rPr>
        <w:t xml:space="preserve"> </w:t>
      </w:r>
      <w:r>
        <w:rPr>
          <w:sz w:val="29"/>
          <w:szCs w:val="29"/>
          <w:spacing w:val="-1"/>
        </w:rPr>
        <w:t>湖底清淤：冰雪逐渐融化，抓紧机会，随着冰雪消融逐步清理淤泥落</w:t>
      </w:r>
      <w:r>
        <w:rPr>
          <w:sz w:val="29"/>
          <w:szCs w:val="29"/>
        </w:rPr>
        <w:t xml:space="preserve"> </w:t>
      </w:r>
      <w:r>
        <w:rPr>
          <w:sz w:val="29"/>
          <w:szCs w:val="29"/>
          <w:spacing w:val="-4"/>
        </w:rPr>
        <w:t>叶等垃圾，为注水前做准备。4月中旬以前清理完毕；</w:t>
      </w:r>
    </w:p>
    <w:p>
      <w:pPr>
        <w:pStyle w:val="BodyText"/>
        <w:ind w:left="720"/>
        <w:spacing w:before="136" w:line="219" w:lineRule="auto"/>
        <w:rPr>
          <w:sz w:val="29"/>
          <w:szCs w:val="29"/>
        </w:rPr>
      </w:pPr>
      <w:r>
        <w:rPr>
          <w:sz w:val="29"/>
          <w:szCs w:val="29"/>
          <w:spacing w:val="7"/>
        </w:rPr>
        <w:t>(4)拆除全部防寒物：视天气情况逐步完全拆除苗木</w:t>
      </w:r>
      <w:r>
        <w:rPr>
          <w:sz w:val="29"/>
          <w:szCs w:val="29"/>
          <w:spacing w:val="6"/>
        </w:rPr>
        <w:t>防寒设施。</w:t>
      </w:r>
    </w:p>
    <w:p>
      <w:pPr>
        <w:pStyle w:val="BodyText"/>
        <w:ind w:left="580"/>
        <w:spacing w:before="63"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20"/>
        <w:spacing w:before="11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20"/>
        <w:spacing w:before="176" w:line="219" w:lineRule="auto"/>
        <w:rPr>
          <w:sz w:val="29"/>
          <w:szCs w:val="29"/>
        </w:rPr>
      </w:pPr>
      <w:r>
        <w:rPr>
          <w:sz w:val="29"/>
          <w:szCs w:val="29"/>
          <w:spacing w:val="7"/>
        </w:rPr>
        <w:t>(2)月底将时花摆放完毕，注意摆放外侧避免黑色塑</w:t>
      </w:r>
      <w:r>
        <w:rPr>
          <w:sz w:val="29"/>
          <w:szCs w:val="29"/>
          <w:spacing w:val="6"/>
        </w:rPr>
        <w:t>料盆出现。</w:t>
      </w:r>
    </w:p>
    <w:p>
      <w:pPr>
        <w:ind w:left="580"/>
        <w:spacing w:before="10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2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80"/>
        <w:spacing w:before="72"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10" w:firstLine="580"/>
        <w:spacing w:before="140"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2"/>
        </w:rPr>
        <w:t>五月份</w:t>
      </w:r>
    </w:p>
    <w:p>
      <w:pPr>
        <w:pStyle w:val="BodyText"/>
        <w:ind w:left="580"/>
        <w:spacing w:before="97" w:line="219" w:lineRule="auto"/>
        <w:rPr>
          <w:sz w:val="29"/>
          <w:szCs w:val="29"/>
        </w:rPr>
      </w:pPr>
      <w:r>
        <w:rPr>
          <w:sz w:val="29"/>
          <w:szCs w:val="29"/>
          <w:spacing w:val="4"/>
        </w:rPr>
        <w:t>气温急骤上升，树木迅速生长。热干风，大风</w:t>
      </w:r>
      <w:r>
        <w:rPr>
          <w:sz w:val="29"/>
          <w:szCs w:val="29"/>
          <w:spacing w:val="3"/>
        </w:rPr>
        <w:t>，冰雹，霜冻时有发生。</w:t>
      </w:r>
    </w:p>
    <w:p>
      <w:pPr>
        <w:spacing w:line="219" w:lineRule="auto"/>
        <w:sectPr>
          <w:footerReference w:type="default" r:id="rId574"/>
          <w:pgSz w:w="14490" w:h="20470"/>
          <w:pgMar w:top="400" w:right="1825" w:bottom="1033" w:left="2160" w:header="0" w:footer="834" w:gutter="0"/>
        </w:sectPr>
        <w:rPr>
          <w:sz w:val="29"/>
          <w:szCs w:val="29"/>
        </w:rPr>
      </w:pP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left="600"/>
        <w:spacing w:before="9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93" w:line="219" w:lineRule="auto"/>
        <w:rPr>
          <w:sz w:val="29"/>
          <w:szCs w:val="29"/>
        </w:rPr>
      </w:pPr>
      <w:r>
        <w:rPr>
          <w:sz w:val="29"/>
          <w:szCs w:val="29"/>
          <w:spacing w:val="1"/>
        </w:rPr>
        <w:t>及时检查乔木支撑情况，发现松动或缺失立即加固</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53" w:firstLine="600"/>
        <w:spacing w:before="146" w:line="324" w:lineRule="auto"/>
        <w:rPr>
          <w:sz w:val="29"/>
          <w:szCs w:val="29"/>
        </w:rPr>
      </w:pPr>
      <w:r>
        <w:rPr>
          <w:sz w:val="29"/>
          <w:szCs w:val="29"/>
          <w:spacing w:val="-9"/>
        </w:rPr>
        <w:t>剪残花，新植树木剥芽、去蘖等。及时修剪地被小灌木、绿篱与造型树</w:t>
      </w:r>
      <w:r>
        <w:rPr>
          <w:sz w:val="29"/>
          <w:szCs w:val="29"/>
          <w:spacing w:val="-10"/>
        </w:rPr>
        <w:t>。地被</w:t>
      </w:r>
      <w:r>
        <w:rPr>
          <w:sz w:val="29"/>
          <w:szCs w:val="29"/>
        </w:rPr>
        <w:t xml:space="preserve"> </w:t>
      </w:r>
      <w:r>
        <w:rPr>
          <w:sz w:val="29"/>
          <w:szCs w:val="29"/>
          <w:spacing w:val="-1"/>
        </w:rPr>
        <w:t>小灌木、绿篱芽后修剪时注意保留更新枝。</w:t>
      </w:r>
    </w:p>
    <w:p>
      <w:pPr>
        <w:ind w:left="600"/>
        <w:spacing w:line="221"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left="730"/>
        <w:spacing w:before="123" w:line="219" w:lineRule="auto"/>
        <w:rPr>
          <w:sz w:val="29"/>
          <w:szCs w:val="29"/>
        </w:rPr>
      </w:pPr>
      <w:r>
        <w:rPr>
          <w:sz w:val="29"/>
          <w:szCs w:val="29"/>
          <w:spacing w:val="6"/>
        </w:rPr>
        <w:t>(1)灌水：树木抽枝展叶盛期，需水量很大，应适时灌水；</w:t>
      </w:r>
    </w:p>
    <w:p>
      <w:pPr>
        <w:pStyle w:val="BodyText"/>
        <w:ind w:right="563" w:firstLine="730"/>
        <w:spacing w:before="136" w:line="265" w:lineRule="auto"/>
        <w:rPr>
          <w:sz w:val="29"/>
          <w:szCs w:val="29"/>
        </w:rPr>
      </w:pPr>
      <w:r>
        <w:rPr>
          <w:sz w:val="29"/>
          <w:szCs w:val="29"/>
          <w:spacing w:val="2"/>
        </w:rPr>
        <w:t>(2)施肥：可结合灌水追施化肥，5月中旬对长势较差的植物追施1次有机</w:t>
      </w:r>
      <w:r>
        <w:rPr>
          <w:sz w:val="29"/>
          <w:szCs w:val="29"/>
          <w:spacing w:val="7"/>
        </w:rPr>
        <w:t xml:space="preserve"> </w:t>
      </w:r>
      <w:r>
        <w:rPr>
          <w:sz w:val="29"/>
          <w:szCs w:val="29"/>
          <w:spacing w:val="7"/>
        </w:rPr>
        <w:t>复合肥(有机质45%);草坪常规养护参考草坪养护指引)</w:t>
      </w:r>
    </w:p>
    <w:p>
      <w:pPr>
        <w:pStyle w:val="BodyText"/>
        <w:ind w:right="351" w:firstLine="730"/>
        <w:spacing w:before="155" w:line="281" w:lineRule="auto"/>
        <w:rPr>
          <w:sz w:val="29"/>
          <w:szCs w:val="29"/>
        </w:rPr>
      </w:pPr>
      <w:r>
        <w:rPr>
          <w:sz w:val="29"/>
          <w:szCs w:val="29"/>
          <w:spacing w:val="13"/>
        </w:rPr>
        <w:t>(3)根据树木的萌芽情况提前或延后。对贵重苗木进行大树营养液(如施</w:t>
      </w:r>
      <w:r>
        <w:rPr>
          <w:sz w:val="29"/>
          <w:szCs w:val="29"/>
          <w:spacing w:val="3"/>
        </w:rPr>
        <w:t xml:space="preserve"> </w:t>
      </w:r>
      <w:r>
        <w:rPr>
          <w:sz w:val="29"/>
          <w:szCs w:val="29"/>
          <w:spacing w:val="4"/>
        </w:rPr>
        <w:t>它活或吊针原液)滴注。若不良表现轻微可补充清水。确定大树健康无误后再撤</w:t>
      </w:r>
      <w:r>
        <w:rPr>
          <w:sz w:val="29"/>
          <w:szCs w:val="29"/>
          <w:spacing w:val="5"/>
        </w:rPr>
        <w:t xml:space="preserve"> </w:t>
      </w:r>
      <w:r>
        <w:rPr>
          <w:sz w:val="29"/>
          <w:szCs w:val="29"/>
          <w:spacing w:val="4"/>
        </w:rPr>
        <w:t>除吊袋，并将输液孔封死。(本项工作可在所有</w:t>
      </w:r>
      <w:r>
        <w:rPr>
          <w:sz w:val="29"/>
          <w:szCs w:val="29"/>
          <w:spacing w:val="3"/>
        </w:rPr>
        <w:t>生长季进行)</w:t>
      </w:r>
    </w:p>
    <w:p>
      <w:pPr>
        <w:pStyle w:val="BodyText"/>
        <w:ind w:left="600"/>
        <w:spacing w:before="19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39" w:firstLine="730"/>
        <w:spacing w:before="75" w:line="275"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3"/>
        </w:rPr>
        <w:t>病、细菌性穿孔病等；</w:t>
      </w:r>
    </w:p>
    <w:p>
      <w:pPr>
        <w:pStyle w:val="BodyText"/>
        <w:ind w:right="349" w:firstLine="730"/>
        <w:spacing w:before="137" w:line="287" w:lineRule="auto"/>
        <w:rPr>
          <w:sz w:val="29"/>
          <w:szCs w:val="29"/>
        </w:rPr>
      </w:pPr>
      <w:r>
        <w:rPr>
          <w:sz w:val="29"/>
          <w:szCs w:val="29"/>
          <w:spacing w:val="9"/>
        </w:rPr>
        <w:t>(2)虫害：大青叶蝉、桃瘤蚜、柳网蝽、桔绿</w:t>
      </w:r>
      <w:r>
        <w:rPr>
          <w:sz w:val="29"/>
          <w:szCs w:val="29"/>
          <w:spacing w:val="8"/>
        </w:rPr>
        <w:t>粉虱、芳香木蠹蛾、白杨透</w:t>
      </w:r>
      <w:r>
        <w:rPr>
          <w:sz w:val="29"/>
          <w:szCs w:val="29"/>
        </w:rPr>
        <w:t xml:space="preserve"> </w:t>
      </w:r>
      <w:r>
        <w:rPr>
          <w:sz w:val="29"/>
          <w:szCs w:val="29"/>
          <w:spacing w:val="-8"/>
        </w:rPr>
        <w:t>翅蛾、柏肤小蠹、大黑鳃金龟、铜绿丽金龟、大地老虎、蝼蛄、细胸金针虫、柳毒</w:t>
      </w:r>
      <w:r>
        <w:rPr>
          <w:sz w:val="29"/>
          <w:szCs w:val="29"/>
          <w:spacing w:val="2"/>
        </w:rPr>
        <w:t xml:space="preserve"> </w:t>
      </w:r>
      <w:r>
        <w:rPr>
          <w:sz w:val="29"/>
          <w:szCs w:val="29"/>
          <w:spacing w:val="-8"/>
        </w:rPr>
        <w:t>蛾、桃剑纹夜蛾、丝棉木金星尺蛾、国槐尺蛾、柑桔凤蝶、蔷薇三节叶蜂、柳蓝叶</w:t>
      </w:r>
      <w:r>
        <w:rPr>
          <w:sz w:val="29"/>
          <w:szCs w:val="29"/>
          <w:spacing w:val="1"/>
        </w:rPr>
        <w:t xml:space="preserve"> </w:t>
      </w:r>
      <w:r>
        <w:rPr>
          <w:sz w:val="29"/>
          <w:szCs w:val="29"/>
          <w:spacing w:val="-5"/>
        </w:rPr>
        <w:t>甲、葡萄十星叶甲等。</w:t>
      </w:r>
    </w:p>
    <w:p>
      <w:pPr>
        <w:pStyle w:val="BodyText"/>
        <w:ind w:left="600"/>
        <w:spacing w:before="17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40" w:firstLine="730"/>
        <w:spacing w:before="85"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33" w:firstLine="730"/>
        <w:spacing w:before="14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600"/>
        <w:spacing w:before="142" w:line="396"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spacing w:before="88" w:line="219" w:lineRule="auto"/>
        <w:jc w:val="right"/>
        <w:rPr>
          <w:sz w:val="29"/>
          <w:szCs w:val="29"/>
        </w:rPr>
      </w:pPr>
      <w:r>
        <w:rPr>
          <w:sz w:val="29"/>
          <w:szCs w:val="29"/>
          <w:spacing w:val="1"/>
        </w:rPr>
        <w:t>库房物品整理，物料工具出入库及领用登记，注意保管汽油、农药等危险品。</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10" w:firstLine="600"/>
        <w:spacing w:before="14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82"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600"/>
        <w:spacing w:before="107" w:line="219" w:lineRule="auto"/>
        <w:rPr>
          <w:sz w:val="29"/>
          <w:szCs w:val="29"/>
        </w:rPr>
      </w:pPr>
      <w:r>
        <w:rPr>
          <w:sz w:val="29"/>
          <w:szCs w:val="29"/>
          <w:spacing w:val="5"/>
        </w:rPr>
        <w:t>气温逐渐升高，天气干燥。</w:t>
      </w:r>
    </w:p>
    <w:p>
      <w:pPr>
        <w:pStyle w:val="BodyText"/>
        <w:ind w:left="600"/>
        <w:spacing w:before="26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153" w:line="219" w:lineRule="auto"/>
        <w:rPr>
          <w:sz w:val="29"/>
          <w:szCs w:val="29"/>
        </w:rPr>
      </w:pPr>
      <w:r>
        <w:rPr>
          <w:sz w:val="29"/>
          <w:szCs w:val="29"/>
          <w:spacing w:val="1"/>
        </w:rPr>
        <w:t>及时检查乔木支撑情况，发现松动或缺失立即加固</w:t>
      </w:r>
    </w:p>
    <w:p>
      <w:pPr>
        <w:spacing w:line="219" w:lineRule="auto"/>
        <w:sectPr>
          <w:footerReference w:type="default" r:id="rId575"/>
          <w:pgSz w:w="14490" w:h="20470"/>
          <w:pgMar w:top="400" w:right="1834" w:bottom="1030" w:left="2150" w:header="0" w:footer="832"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32" w:firstLine="730"/>
        <w:spacing w:before="124" w:line="269" w:lineRule="auto"/>
        <w:rPr>
          <w:sz w:val="29"/>
          <w:szCs w:val="29"/>
        </w:rPr>
      </w:pPr>
      <w:r>
        <w:rPr>
          <w:sz w:val="29"/>
          <w:szCs w:val="29"/>
          <w:spacing w:val="6"/>
        </w:rPr>
        <w:t>(1)继续对乔木进行剥芽除蘖工作，对灌木、球类及时修剪，修剪灌</w:t>
      </w:r>
      <w:r>
        <w:rPr>
          <w:sz w:val="29"/>
          <w:szCs w:val="29"/>
          <w:spacing w:val="5"/>
        </w:rPr>
        <w:t>木球</w:t>
      </w:r>
      <w:r>
        <w:rPr>
          <w:sz w:val="29"/>
          <w:szCs w:val="29"/>
        </w:rPr>
        <w:t xml:space="preserve"> </w:t>
      </w:r>
      <w:r>
        <w:rPr>
          <w:sz w:val="29"/>
          <w:szCs w:val="29"/>
          <w:spacing w:val="-8"/>
        </w:rPr>
        <w:t>需要放量修剪；</w:t>
      </w:r>
    </w:p>
    <w:p>
      <w:pPr>
        <w:pStyle w:val="BodyText"/>
        <w:ind w:right="235" w:firstLine="730"/>
        <w:spacing w:before="119" w:line="291" w:lineRule="auto"/>
        <w:rPr>
          <w:sz w:val="29"/>
          <w:szCs w:val="29"/>
        </w:rPr>
      </w:pPr>
      <w:r>
        <w:rPr>
          <w:sz w:val="29"/>
          <w:szCs w:val="29"/>
          <w:spacing w:val="2"/>
        </w:rPr>
        <w:t>(2)及时对草坪进行修剪，销售区高度保持4-6</w:t>
      </w:r>
      <w:r>
        <w:rPr>
          <w:rFonts w:ascii="Times New Roman" w:hAnsi="Times New Roman" w:eastAsia="Times New Roman" w:cs="Times New Roman"/>
          <w:sz w:val="29"/>
          <w:szCs w:val="29"/>
        </w:rPr>
        <w:t>cm</w:t>
      </w:r>
      <w:r>
        <w:rPr>
          <w:sz w:val="29"/>
          <w:szCs w:val="29"/>
          <w:spacing w:val="2"/>
        </w:rPr>
        <w:t>。其他区域不高</w:t>
      </w:r>
      <w:r>
        <w:rPr>
          <w:sz w:val="29"/>
          <w:szCs w:val="29"/>
          <w:spacing w:val="1"/>
        </w:rPr>
        <w:t>于10</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
        </w:rPr>
        <w:t>,</w:t>
      </w:r>
      <w:r>
        <w:rPr>
          <w:rFonts w:ascii="Times New Roman" w:hAnsi="Times New Roman" w:eastAsia="Times New Roman" w:cs="Times New Roman"/>
          <w:sz w:val="29"/>
          <w:szCs w:val="29"/>
        </w:rPr>
        <w:t xml:space="preserve">   </w:t>
      </w:r>
      <w:r>
        <w:rPr>
          <w:sz w:val="29"/>
          <w:szCs w:val="29"/>
          <w:spacing w:val="-8"/>
        </w:rPr>
        <w:t>做好草坪打边工作；草坪坚持三分之一修剪原则保持美观。修剪不及时草皮过高倒</w:t>
      </w:r>
      <w:r>
        <w:rPr>
          <w:sz w:val="29"/>
          <w:szCs w:val="29"/>
          <w:spacing w:val="6"/>
        </w:rPr>
        <w:t xml:space="preserve"> </w:t>
      </w:r>
      <w:r>
        <w:rPr>
          <w:sz w:val="29"/>
          <w:szCs w:val="29"/>
          <w:spacing w:val="-8"/>
        </w:rPr>
        <w:t>伏，捂黄等现象。本月禾本科杂草为主，草坪可以使用消禾防除，或者人工清理。</w:t>
      </w:r>
      <w:r>
        <w:rPr>
          <w:sz w:val="29"/>
          <w:szCs w:val="29"/>
          <w:spacing w:val="6"/>
        </w:rPr>
        <w:t xml:space="preserve"> </w:t>
      </w:r>
      <w:r>
        <w:rPr>
          <w:sz w:val="29"/>
          <w:szCs w:val="29"/>
          <w:spacing w:val="-1"/>
        </w:rPr>
        <w:t>使用除草剂要注意药害。</w:t>
      </w:r>
    </w:p>
    <w:p>
      <w:pPr>
        <w:pStyle w:val="BodyText"/>
        <w:ind w:left="570"/>
        <w:spacing w:before="144" w:line="395" w:lineRule="exact"/>
        <w:rPr>
          <w:rFonts w:ascii="SimHei" w:hAnsi="SimHei" w:eastAsia="SimHei" w:cs="SimHei"/>
          <w:sz w:val="29"/>
          <w:szCs w:val="29"/>
        </w:rPr>
      </w:pPr>
      <w:r>
        <w:rPr>
          <w:rFonts w:ascii="Arial" w:hAnsi="Arial" w:eastAsia="Arial" w:cs="Arial"/>
          <w:sz w:val="29"/>
          <w:szCs w:val="29"/>
          <w:spacing w:val="-7"/>
          <w:position w:val="1"/>
        </w:rPr>
        <w:t>3</w:t>
      </w:r>
      <w:r>
        <w:rPr>
          <w:sz w:val="29"/>
          <w:szCs w:val="29"/>
          <w:spacing w:val="-7"/>
          <w:position w:val="1"/>
        </w:rPr>
        <w:t>、</w:t>
      </w:r>
      <w:r>
        <w:rPr>
          <w:rFonts w:ascii="SimHei" w:hAnsi="SimHei" w:eastAsia="SimHei" w:cs="SimHei"/>
          <w:sz w:val="29"/>
          <w:szCs w:val="29"/>
          <w:spacing w:val="-7"/>
          <w:position w:val="1"/>
        </w:rPr>
        <w:t>水肥管理</w:t>
      </w:r>
    </w:p>
    <w:p>
      <w:pPr>
        <w:pStyle w:val="BodyText"/>
        <w:ind w:right="276" w:firstLine="570"/>
        <w:spacing w:before="99" w:line="320" w:lineRule="auto"/>
        <w:rPr>
          <w:sz w:val="29"/>
          <w:szCs w:val="29"/>
        </w:rPr>
      </w:pPr>
      <w:r>
        <w:rPr>
          <w:sz w:val="29"/>
          <w:szCs w:val="29"/>
          <w:spacing w:val="-9"/>
        </w:rPr>
        <w:t>气温升高，雨水少时，植物需水量大，要及时浇水，不能“看</w:t>
      </w:r>
      <w:r>
        <w:rPr>
          <w:sz w:val="29"/>
          <w:szCs w:val="29"/>
          <w:spacing w:val="-10"/>
        </w:rPr>
        <w:t>天吃饭”应注意</w:t>
      </w:r>
      <w:r>
        <w:rPr>
          <w:sz w:val="29"/>
          <w:szCs w:val="29"/>
        </w:rPr>
        <w:t xml:space="preserve"> </w:t>
      </w:r>
      <w:r>
        <w:rPr>
          <w:sz w:val="29"/>
          <w:szCs w:val="29"/>
          <w:spacing w:val="-6"/>
        </w:rPr>
        <w:t>灌溉问题。</w:t>
      </w:r>
    </w:p>
    <w:p>
      <w:pPr>
        <w:pStyle w:val="BodyText"/>
        <w:ind w:left="570"/>
        <w:spacing w:before="3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69" w:firstLine="730"/>
        <w:spacing w:before="95" w:line="272" w:lineRule="auto"/>
        <w:rPr>
          <w:sz w:val="29"/>
          <w:szCs w:val="29"/>
        </w:rPr>
      </w:pPr>
      <w:r>
        <w:rPr>
          <w:sz w:val="29"/>
          <w:szCs w:val="29"/>
          <w:spacing w:val="5"/>
        </w:rPr>
        <w:t>(1)病害：白粉病、炭疽病、锈病、煤污病、叶枯病、干</w:t>
      </w:r>
      <w:r>
        <w:rPr>
          <w:sz w:val="29"/>
          <w:szCs w:val="29"/>
          <w:spacing w:val="4"/>
        </w:rPr>
        <w:t>腐病、枝枯病、</w:t>
      </w:r>
      <w:r>
        <w:rPr>
          <w:sz w:val="29"/>
          <w:szCs w:val="29"/>
        </w:rPr>
        <w:t xml:space="preserve"> </w:t>
      </w:r>
      <w:r>
        <w:rPr>
          <w:sz w:val="29"/>
          <w:szCs w:val="29"/>
        </w:rPr>
        <w:t>流胶病、枯萎病、草坪腐霉枯萎病、细菌性穿孔病、冠瘿病等；</w:t>
      </w:r>
    </w:p>
    <w:p>
      <w:pPr>
        <w:pStyle w:val="BodyText"/>
        <w:ind w:right="231" w:firstLine="730"/>
        <w:spacing w:before="145" w:line="287" w:lineRule="auto"/>
        <w:rPr>
          <w:sz w:val="29"/>
          <w:szCs w:val="29"/>
        </w:rPr>
      </w:pPr>
      <w:r>
        <w:rPr>
          <w:sz w:val="29"/>
          <w:szCs w:val="29"/>
          <w:spacing w:val="9"/>
        </w:rPr>
        <w:t>(2)虫害：大青叶蝉、柳网蝽、花蓟马、光肩星天牛、芳香</w:t>
      </w:r>
      <w:r>
        <w:rPr>
          <w:sz w:val="29"/>
          <w:szCs w:val="29"/>
          <w:spacing w:val="8"/>
        </w:rPr>
        <w:t>木蠹蛾、白杨</w:t>
      </w:r>
      <w:r>
        <w:rPr>
          <w:sz w:val="29"/>
          <w:szCs w:val="29"/>
        </w:rPr>
        <w:t xml:space="preserve"> </w:t>
      </w:r>
      <w:r>
        <w:rPr>
          <w:sz w:val="29"/>
          <w:szCs w:val="29"/>
          <w:spacing w:val="-8"/>
        </w:rPr>
        <w:t>透翅蛾、柏肤小蠹、大黑鳃金龟、大地老虎、蝼蛄、细胸金针虫、黄刺蛾、丽绿刺</w:t>
      </w:r>
      <w:r>
        <w:rPr>
          <w:sz w:val="29"/>
          <w:szCs w:val="29"/>
          <w:spacing w:val="10"/>
        </w:rPr>
        <w:t xml:space="preserve"> </w:t>
      </w:r>
      <w:r>
        <w:rPr>
          <w:sz w:val="29"/>
          <w:szCs w:val="29"/>
          <w:spacing w:val="-16"/>
        </w:rPr>
        <w:t>蛾、褐边绿刺蛾、茶袋蛾、大袋蛾、黄尾毒蛾、桃剑纹夜蛾、丝棉木金星尺蛾、国槐</w:t>
      </w:r>
      <w:r>
        <w:rPr>
          <w:sz w:val="29"/>
          <w:szCs w:val="29"/>
          <w:spacing w:val="11"/>
        </w:rPr>
        <w:t xml:space="preserve"> </w:t>
      </w:r>
      <w:r>
        <w:rPr>
          <w:sz w:val="29"/>
          <w:szCs w:val="29"/>
          <w:spacing w:val="-21"/>
        </w:rPr>
        <w:t>尺蛾、柑桔凤蝶、蔷薇三节叶蜂、柳蓝叶甲、葡</w:t>
      </w:r>
      <w:r>
        <w:rPr>
          <w:sz w:val="29"/>
          <w:szCs w:val="29"/>
          <w:spacing w:val="-22"/>
        </w:rPr>
        <w:t>萄十星叶甲等。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9" w:firstLine="730"/>
        <w:spacing w:before="6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23" w:firstLine="730"/>
        <w:spacing w:before="167"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right="331" w:firstLine="730"/>
        <w:spacing w:before="8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3"/>
        </w:rPr>
        <w:t>危险品。</w:t>
      </w:r>
    </w:p>
    <w:p>
      <w:pPr>
        <w:pStyle w:val="BodyText"/>
        <w:ind w:right="388" w:firstLine="730"/>
        <w:spacing w:before="161" w:line="271" w:lineRule="auto"/>
        <w:rPr>
          <w:sz w:val="29"/>
          <w:szCs w:val="29"/>
        </w:rPr>
      </w:pPr>
      <w:r>
        <w:rPr>
          <w:sz w:val="29"/>
          <w:szCs w:val="29"/>
        </w:rPr>
        <w:t>(2)根据现场的实际情况，申请购置7、8、9月份的农药、化肥</w:t>
      </w:r>
      <w:r>
        <w:rPr>
          <w:sz w:val="29"/>
          <w:szCs w:val="29"/>
          <w:spacing w:val="-1"/>
        </w:rPr>
        <w:t>、营养剂及</w:t>
      </w:r>
      <w:r>
        <w:rPr>
          <w:sz w:val="29"/>
          <w:szCs w:val="29"/>
        </w:rPr>
        <w:t xml:space="preserve"> </w:t>
      </w:r>
      <w:r>
        <w:rPr>
          <w:sz w:val="29"/>
          <w:szCs w:val="29"/>
          <w:spacing w:val="-6"/>
        </w:rPr>
        <w:t>其它物资；</w:t>
      </w:r>
    </w:p>
    <w:p>
      <w:pPr>
        <w:pStyle w:val="BodyText"/>
        <w:ind w:left="730"/>
        <w:spacing w:before="139" w:line="219" w:lineRule="auto"/>
        <w:rPr>
          <w:sz w:val="29"/>
          <w:szCs w:val="29"/>
        </w:rPr>
      </w:pPr>
      <w:r>
        <w:rPr>
          <w:sz w:val="29"/>
          <w:szCs w:val="29"/>
          <w:spacing w:val="9"/>
        </w:rPr>
        <w:t>(3)进行机械工具的检查维修。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firstLine="57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6"/>
        </w:rPr>
        <w:t>防盗情况。</w:t>
      </w:r>
    </w:p>
    <w:p>
      <w:pPr>
        <w:spacing w:before="107"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570"/>
        <w:spacing w:before="87" w:line="219" w:lineRule="auto"/>
        <w:rPr>
          <w:sz w:val="29"/>
          <w:szCs w:val="29"/>
        </w:rPr>
      </w:pPr>
      <w:r>
        <w:rPr>
          <w:sz w:val="29"/>
          <w:szCs w:val="29"/>
          <w:spacing w:val="4"/>
        </w:rPr>
        <w:t>进入暑期温度很高，中旬以后进入雨季，偶有暴风雨。</w:t>
      </w:r>
    </w:p>
    <w:p>
      <w:pPr>
        <w:spacing w:line="219" w:lineRule="auto"/>
        <w:sectPr>
          <w:footerReference w:type="default" r:id="rId576"/>
          <w:pgSz w:w="14490" w:h="20470"/>
          <w:pgMar w:top="400" w:right="1945" w:bottom="1030" w:left="2150" w:header="0" w:footer="832" w:gutter="0"/>
        </w:sectPr>
        <w:rPr>
          <w:sz w:val="29"/>
          <w:szCs w:val="29"/>
        </w:rPr>
      </w:pP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left="600"/>
        <w:spacing w:before="9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93" w:line="219" w:lineRule="auto"/>
        <w:rPr>
          <w:sz w:val="29"/>
          <w:szCs w:val="29"/>
        </w:rPr>
      </w:pPr>
      <w:r>
        <w:rPr>
          <w:sz w:val="29"/>
          <w:szCs w:val="29"/>
          <w:spacing w:val="-1"/>
        </w:rPr>
        <w:t>及时检查乔木支撑情况，发现松动或缺失立即加固。</w:t>
      </w:r>
    </w:p>
    <w:p>
      <w:pPr>
        <w:pStyle w:val="BodyText"/>
        <w:ind w:left="600"/>
        <w:spacing w:before="13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468" w:firstLine="600"/>
        <w:spacing w:before="136" w:line="320" w:lineRule="auto"/>
        <w:rPr>
          <w:sz w:val="29"/>
          <w:szCs w:val="29"/>
        </w:rPr>
      </w:pPr>
      <w:r>
        <w:rPr>
          <w:sz w:val="29"/>
          <w:szCs w:val="29"/>
          <w:spacing w:val="-11"/>
        </w:rPr>
        <w:t>疏截枯枝、病枝，保持树木美观健康生长；草坪修剪美观。及时修剪地被小灌</w:t>
      </w:r>
      <w:r>
        <w:rPr>
          <w:sz w:val="29"/>
          <w:szCs w:val="29"/>
        </w:rPr>
        <w:t xml:space="preserve"> </w:t>
      </w:r>
      <w:r>
        <w:rPr>
          <w:sz w:val="29"/>
          <w:szCs w:val="29"/>
          <w:spacing w:val="-2"/>
        </w:rPr>
        <w:t>木、绿篱与造型树。</w:t>
      </w:r>
    </w:p>
    <w:p>
      <w:pPr>
        <w:ind w:left="600"/>
        <w:spacing w:before="1"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40" w:firstLine="600"/>
        <w:spacing w:before="121" w:line="302" w:lineRule="auto"/>
        <w:rPr>
          <w:sz w:val="29"/>
          <w:szCs w:val="29"/>
        </w:rPr>
      </w:pPr>
      <w:r>
        <w:rPr>
          <w:sz w:val="29"/>
          <w:szCs w:val="29"/>
          <w:spacing w:val="1"/>
        </w:rPr>
        <w:t>灌水：进入高温少雨季节，加强苗木浇水，做到不干不浇，浇则浇透原则，</w:t>
      </w:r>
      <w:r>
        <w:rPr>
          <w:sz w:val="29"/>
          <w:szCs w:val="29"/>
          <w:spacing w:val="10"/>
        </w:rPr>
        <w:t xml:space="preserve"> </w:t>
      </w:r>
      <w:r>
        <w:rPr>
          <w:sz w:val="29"/>
          <w:szCs w:val="29"/>
          <w:spacing w:val="-2"/>
        </w:rPr>
        <w:t>保证所有苗木的浇水量，满足苗木生长需求；</w:t>
      </w:r>
    </w:p>
    <w:p>
      <w:pPr>
        <w:pStyle w:val="BodyText"/>
        <w:ind w:left="600"/>
        <w:spacing w:before="61"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right="411" w:firstLine="730"/>
        <w:spacing w:before="114" w:line="266" w:lineRule="auto"/>
        <w:rPr>
          <w:sz w:val="29"/>
          <w:szCs w:val="29"/>
        </w:rPr>
      </w:pPr>
      <w:r>
        <w:rPr>
          <w:sz w:val="29"/>
          <w:szCs w:val="29"/>
          <w:spacing w:val="-9"/>
        </w:rPr>
        <w:t>(1)病害：锈病、煤污病、叶枯病、干腐病、紫纹羽病、枝枯病、枯萎病、草</w:t>
      </w:r>
      <w:r>
        <w:rPr>
          <w:sz w:val="29"/>
          <w:szCs w:val="29"/>
          <w:spacing w:val="12"/>
        </w:rPr>
        <w:t xml:space="preserve"> </w:t>
      </w:r>
      <w:r>
        <w:rPr>
          <w:sz w:val="29"/>
          <w:szCs w:val="29"/>
          <w:spacing w:val="-5"/>
        </w:rPr>
        <w:t>坪腐霉枯萎病、细菌性穿孔病、冠瘿病、花叶病等；</w:t>
      </w:r>
    </w:p>
    <w:p>
      <w:pPr>
        <w:pStyle w:val="BodyText"/>
        <w:ind w:left="730"/>
        <w:spacing w:before="124" w:line="219" w:lineRule="auto"/>
        <w:rPr>
          <w:sz w:val="29"/>
          <w:szCs w:val="29"/>
        </w:rPr>
      </w:pPr>
      <w:r>
        <w:rPr>
          <w:sz w:val="29"/>
          <w:szCs w:val="29"/>
          <w:spacing w:val="8"/>
        </w:rPr>
        <w:t>(2)虫害：大青叶蝉、柳网蝽、花蓟马、光肩</w:t>
      </w:r>
      <w:r>
        <w:rPr>
          <w:sz w:val="29"/>
          <w:szCs w:val="29"/>
          <w:spacing w:val="7"/>
        </w:rPr>
        <w:t>星天牛、芳香木蠹蛾、大黑</w:t>
      </w:r>
    </w:p>
    <w:p>
      <w:pPr>
        <w:pStyle w:val="BodyText"/>
        <w:spacing w:before="158" w:line="268" w:lineRule="auto"/>
        <w:rPr>
          <w:sz w:val="29"/>
          <w:szCs w:val="29"/>
        </w:rPr>
      </w:pPr>
      <w:r>
        <w:rPr>
          <w:sz w:val="29"/>
          <w:szCs w:val="29"/>
          <w:spacing w:val="-5"/>
        </w:rPr>
        <w:t>鳃金龟、大地老虎、蝼蛄、细胸金针虫、黄刺蛾、丽绿刺蛾、褐边绿刺蛾、茶袋蛾、</w:t>
      </w:r>
      <w:r>
        <w:rPr>
          <w:sz w:val="29"/>
          <w:szCs w:val="29"/>
          <w:spacing w:val="8"/>
        </w:rPr>
        <w:t xml:space="preserve"> </w:t>
      </w:r>
      <w:r>
        <w:rPr>
          <w:sz w:val="29"/>
          <w:szCs w:val="29"/>
          <w:spacing w:val="-9"/>
        </w:rPr>
        <w:t>大袋蛾、黄尾毒蛾、桃剑纹夜蛾、丝棉木金星尺蛾、国槐尺蛾、柑桔凤蝶、蔷薇三</w:t>
      </w:r>
    </w:p>
    <w:p>
      <w:pPr>
        <w:pStyle w:val="BodyText"/>
        <w:spacing w:before="156" w:line="219" w:lineRule="auto"/>
        <w:rPr>
          <w:sz w:val="29"/>
          <w:szCs w:val="29"/>
        </w:rPr>
      </w:pPr>
      <w:r>
        <w:rPr>
          <w:sz w:val="29"/>
          <w:szCs w:val="29"/>
        </w:rPr>
        <w:t>节叶蜂、柳蓝叶甲等。</w:t>
      </w:r>
    </w:p>
    <w:p>
      <w:pPr>
        <w:pStyle w:val="BodyText"/>
        <w:ind w:left="600"/>
        <w:spacing w:before="14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69" w:firstLine="730"/>
        <w:spacing w:before="9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63" w:firstLine="730"/>
        <w:spacing w:before="12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600"/>
        <w:spacing w:before="193"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471" w:firstLine="730"/>
        <w:spacing w:before="104" w:line="266"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5"/>
        </w:rPr>
        <w:t>危险品。</w:t>
      </w:r>
    </w:p>
    <w:p>
      <w:pPr>
        <w:pStyle w:val="BodyText"/>
        <w:ind w:left="730"/>
        <w:spacing w:before="132" w:line="219" w:lineRule="auto"/>
        <w:rPr>
          <w:sz w:val="29"/>
          <w:szCs w:val="29"/>
        </w:rPr>
      </w:pPr>
      <w:r>
        <w:rPr>
          <w:sz w:val="29"/>
          <w:szCs w:val="29"/>
          <w:spacing w:val="10"/>
        </w:rPr>
        <w:t>(2)进行机械工具的检查维修。</w:t>
      </w:r>
    </w:p>
    <w:p>
      <w:pPr>
        <w:pStyle w:val="BodyText"/>
        <w:ind w:left="600"/>
        <w:spacing w:before="12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69" w:firstLine="600"/>
        <w:spacing w:before="13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5"/>
        </w:rPr>
        <w:t>防盗情况。</w:t>
      </w:r>
    </w:p>
    <w:p>
      <w:pPr>
        <w:spacing w:before="72"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600"/>
        <w:spacing w:before="97" w:line="219" w:lineRule="auto"/>
        <w:rPr>
          <w:sz w:val="29"/>
          <w:szCs w:val="29"/>
        </w:rPr>
      </w:pPr>
      <w:r>
        <w:rPr>
          <w:sz w:val="29"/>
          <w:szCs w:val="29"/>
          <w:spacing w:val="4"/>
        </w:rPr>
        <w:t>气温最高，干燥，有大雨，注意防涝。</w:t>
      </w:r>
    </w:p>
    <w:p>
      <w:pPr>
        <w:pStyle w:val="BodyText"/>
        <w:ind w:left="600"/>
        <w:spacing w:before="30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13" w:line="219" w:lineRule="auto"/>
        <w:rPr>
          <w:sz w:val="29"/>
          <w:szCs w:val="29"/>
        </w:rPr>
      </w:pPr>
      <w:r>
        <w:rPr>
          <w:sz w:val="29"/>
          <w:szCs w:val="29"/>
          <w:spacing w:val="1"/>
        </w:rPr>
        <w:t>及时检查乔木支撑情况，发现松动或缺失立即加固</w:t>
      </w:r>
    </w:p>
    <w:p>
      <w:pPr>
        <w:ind w:left="600"/>
        <w:spacing w:before="13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600"/>
        <w:spacing w:before="126" w:line="219" w:lineRule="auto"/>
        <w:rPr>
          <w:sz w:val="29"/>
          <w:szCs w:val="29"/>
        </w:rPr>
      </w:pPr>
      <w:r>
        <w:rPr>
          <w:sz w:val="29"/>
          <w:szCs w:val="29"/>
          <w:spacing w:val="2"/>
        </w:rPr>
        <w:t>疏截枯枝、病枝，保持树木美观健康生长；草坪修剪整齐美观。及时修剪地</w:t>
      </w:r>
    </w:p>
    <w:p>
      <w:pPr>
        <w:spacing w:line="219" w:lineRule="auto"/>
        <w:sectPr>
          <w:footerReference w:type="default" r:id="rId577"/>
          <w:pgSz w:w="14490" w:h="20470"/>
          <w:pgMar w:top="400" w:right="1785" w:bottom="1033" w:left="2150" w:header="0" w:footer="834"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1"/>
        </w:rPr>
        <w:t>被小灌木、绿篱与造型树。</w:t>
      </w:r>
    </w:p>
    <w:p>
      <w:pPr>
        <w:ind w:left="590"/>
        <w:spacing w:before="12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90"/>
        <w:spacing w:before="133" w:line="219" w:lineRule="auto"/>
        <w:rPr>
          <w:sz w:val="29"/>
          <w:szCs w:val="29"/>
        </w:rPr>
      </w:pPr>
      <w:r>
        <w:rPr>
          <w:sz w:val="29"/>
          <w:szCs w:val="29"/>
          <w:spacing w:val="1"/>
        </w:rPr>
        <w:t>处于夏季高温期，保证所有苗木的浇水量，满足苗木生</w:t>
      </w:r>
      <w:r>
        <w:rPr>
          <w:sz w:val="29"/>
          <w:szCs w:val="29"/>
        </w:rPr>
        <w:t>长需求。</w:t>
      </w:r>
    </w:p>
    <w:p>
      <w:pPr>
        <w:pStyle w:val="BodyText"/>
        <w:ind w:left="590"/>
        <w:spacing w:before="12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53" w:firstLine="720"/>
        <w:spacing w:before="144" w:line="266"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spacing w:val="-1"/>
        </w:rPr>
        <w:t>腐霉枯萎病、细菌性穿孔病、冠瘿病、花叶</w:t>
      </w:r>
      <w:r>
        <w:rPr>
          <w:sz w:val="29"/>
          <w:szCs w:val="29"/>
          <w:spacing w:val="-2"/>
        </w:rPr>
        <w:t>病等；</w:t>
      </w:r>
    </w:p>
    <w:p>
      <w:pPr>
        <w:pStyle w:val="BodyText"/>
        <w:ind w:right="219" w:firstLine="720"/>
        <w:spacing w:before="143" w:line="279" w:lineRule="auto"/>
        <w:rPr>
          <w:sz w:val="29"/>
          <w:szCs w:val="29"/>
        </w:rPr>
      </w:pPr>
      <w:r>
        <w:rPr>
          <w:sz w:val="29"/>
          <w:szCs w:val="29"/>
          <w:spacing w:val="7"/>
        </w:rPr>
        <w:t>(2)虫害：大青叶蝉、柳网蝽、花蓟马、光肩星天牛、芳香木蠹蛾、大地</w:t>
      </w:r>
      <w:r>
        <w:rPr>
          <w:sz w:val="29"/>
          <w:szCs w:val="29"/>
          <w:spacing w:val="14"/>
        </w:rPr>
        <w:t xml:space="preserve"> </w:t>
      </w:r>
      <w:r>
        <w:rPr>
          <w:sz w:val="29"/>
          <w:szCs w:val="29"/>
          <w:spacing w:val="1"/>
        </w:rPr>
        <w:t>老虎、蝼蛄、细胸金针虫、黄刺蛾、丽绿刺蛾、褐边绿刺蛾、茶袋蛾、大袋蛾、</w:t>
      </w:r>
      <w:r>
        <w:rPr>
          <w:sz w:val="29"/>
          <w:szCs w:val="29"/>
        </w:rPr>
        <w:t xml:space="preserve"> </w:t>
      </w:r>
      <w:r>
        <w:rPr>
          <w:sz w:val="29"/>
          <w:szCs w:val="29"/>
          <w:spacing w:val="-24"/>
        </w:rPr>
        <w:t>黄尾毒蛾、丝棉木金星尺蛾、国槐尺蛾、柑桔凤蝶、蔷薇三节叶蜂、柳蓝叶甲等。</w:t>
      </w:r>
    </w:p>
    <w:p>
      <w:pPr>
        <w:pStyle w:val="BodyText"/>
        <w:ind w:left="590"/>
        <w:spacing w:before="16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49" w:firstLine="720"/>
        <w:spacing w:before="61" w:line="27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43" w:firstLine="720"/>
        <w:spacing w:before="136" w:line="266"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8"/>
        </w:rPr>
        <w:t>售展示区)进行彻底清理。</w:t>
      </w:r>
    </w:p>
    <w:p>
      <w:pPr>
        <w:ind w:left="590"/>
        <w:spacing w:before="21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51" w:firstLine="720"/>
        <w:spacing w:before="83" w:line="26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9"/>
        </w:rPr>
        <w:t>危险品；</w:t>
      </w:r>
    </w:p>
    <w:p>
      <w:pPr>
        <w:pStyle w:val="BodyText"/>
        <w:ind w:left="720"/>
        <w:spacing w:before="152" w:line="219" w:lineRule="auto"/>
        <w:rPr>
          <w:sz w:val="29"/>
          <w:szCs w:val="29"/>
        </w:rPr>
      </w:pPr>
      <w:r>
        <w:rPr>
          <w:sz w:val="29"/>
          <w:szCs w:val="29"/>
          <w:spacing w:val="10"/>
        </w:rPr>
        <w:t>(2)进行机械工具的检查维修。</w:t>
      </w:r>
    </w:p>
    <w:p>
      <w:pPr>
        <w:pStyle w:val="BodyText"/>
        <w:ind w:left="590"/>
        <w:spacing w:before="10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90"/>
        <w:spacing w:before="176" w:line="317"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4"/>
        </w:rPr>
        <w:t>防盗情况。</w:t>
      </w:r>
    </w:p>
    <w:p>
      <w:pPr>
        <w:spacing w:before="46" w:line="223" w:lineRule="auto"/>
        <w:rPr>
          <w:rFonts w:ascii="SimHei" w:hAnsi="SimHei" w:eastAsia="SimHei" w:cs="SimHei"/>
          <w:sz w:val="29"/>
          <w:szCs w:val="29"/>
        </w:rPr>
      </w:pPr>
      <w:r>
        <w:rPr>
          <w:rFonts w:ascii="SimHei" w:hAnsi="SimHei" w:eastAsia="SimHei" w:cs="SimHei"/>
          <w:sz w:val="29"/>
          <w:szCs w:val="29"/>
          <w:spacing w:val="6"/>
        </w:rPr>
        <w:t>九月份</w:t>
      </w:r>
    </w:p>
    <w:p>
      <w:pPr>
        <w:pStyle w:val="BodyText"/>
        <w:ind w:left="590"/>
        <w:spacing w:before="117" w:line="219" w:lineRule="auto"/>
        <w:rPr>
          <w:sz w:val="29"/>
          <w:szCs w:val="29"/>
        </w:rPr>
      </w:pPr>
      <w:r>
        <w:rPr>
          <w:sz w:val="29"/>
          <w:szCs w:val="29"/>
          <w:spacing w:val="5"/>
        </w:rPr>
        <w:t>气温逐步下降，天气干燥。</w:t>
      </w:r>
    </w:p>
    <w:p>
      <w:pPr>
        <w:pStyle w:val="BodyText"/>
        <w:ind w:left="590"/>
        <w:spacing w:before="27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34" w:line="219" w:lineRule="auto"/>
        <w:rPr>
          <w:sz w:val="29"/>
          <w:szCs w:val="29"/>
        </w:rPr>
      </w:pPr>
      <w:r>
        <w:rPr>
          <w:sz w:val="29"/>
          <w:szCs w:val="29"/>
        </w:rPr>
        <w:t>及时检查乔木支撑情况，发现松动或缺失立即加固。</w:t>
      </w:r>
    </w:p>
    <w:p>
      <w:pPr>
        <w:ind w:left="590"/>
        <w:spacing w:before="12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20"/>
        <w:spacing w:before="126" w:line="219" w:lineRule="auto"/>
        <w:rPr>
          <w:sz w:val="29"/>
          <w:szCs w:val="29"/>
        </w:rPr>
      </w:pPr>
      <w:r>
        <w:rPr>
          <w:sz w:val="29"/>
          <w:szCs w:val="29"/>
          <w:spacing w:val="-9"/>
        </w:rPr>
        <w:t>(1)乔木、花灌木及草坪生长迅速，要及时对乔木、灌木、草</w:t>
      </w:r>
      <w:r>
        <w:rPr>
          <w:sz w:val="29"/>
          <w:szCs w:val="29"/>
          <w:spacing w:val="-10"/>
        </w:rPr>
        <w:t>坪进行修剪；</w:t>
      </w:r>
    </w:p>
    <w:p>
      <w:pPr>
        <w:pStyle w:val="BodyText"/>
        <w:ind w:right="354" w:firstLine="720"/>
        <w:spacing w:before="143" w:line="272" w:lineRule="auto"/>
        <w:rPr>
          <w:sz w:val="29"/>
          <w:szCs w:val="29"/>
        </w:rPr>
      </w:pPr>
      <w:r>
        <w:rPr>
          <w:sz w:val="29"/>
          <w:szCs w:val="29"/>
          <w:spacing w:val="-1"/>
        </w:rPr>
        <w:t>(2)</w:t>
      </w:r>
      <w:r>
        <w:rPr>
          <w:sz w:val="29"/>
          <w:szCs w:val="29"/>
          <w:spacing w:val="82"/>
        </w:rPr>
        <w:t xml:space="preserve"> </w:t>
      </w:r>
      <w:r>
        <w:rPr>
          <w:sz w:val="29"/>
          <w:szCs w:val="29"/>
          <w:spacing w:val="-1"/>
        </w:rPr>
        <w:t>准备迎国庆：伐除死树、修剪干枯树杈、绿篱整形修剪、绿地内整理</w:t>
      </w:r>
      <w:r>
        <w:rPr>
          <w:sz w:val="29"/>
          <w:szCs w:val="29"/>
        </w:rPr>
        <w:t xml:space="preserve"> </w:t>
      </w:r>
      <w:r>
        <w:rPr>
          <w:sz w:val="29"/>
          <w:szCs w:val="29"/>
        </w:rPr>
        <w:t>园容，做到树木青枝绿叶，园容干净整齐。</w:t>
      </w:r>
    </w:p>
    <w:p>
      <w:pPr>
        <w:ind w:left="590"/>
        <w:spacing w:before="19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61" w:line="219" w:lineRule="auto"/>
        <w:rPr>
          <w:sz w:val="29"/>
          <w:szCs w:val="29"/>
        </w:rPr>
      </w:pPr>
      <w:r>
        <w:rPr>
          <w:sz w:val="29"/>
          <w:szCs w:val="29"/>
          <w:spacing w:val="6"/>
        </w:rPr>
        <w:t>(1)浇水：适当控制苗木浇水量，促进苗木枝条木质化；</w:t>
      </w:r>
    </w:p>
    <w:p>
      <w:pPr>
        <w:pStyle w:val="BodyText"/>
        <w:ind w:right="299" w:firstLine="720"/>
        <w:spacing w:before="158" w:line="266" w:lineRule="auto"/>
        <w:rPr>
          <w:sz w:val="29"/>
          <w:szCs w:val="29"/>
        </w:rPr>
      </w:pPr>
      <w:r>
        <w:rPr>
          <w:sz w:val="29"/>
          <w:szCs w:val="29"/>
          <w:spacing w:val="7"/>
        </w:rPr>
        <w:t>(2)施秋肥：以有机复合肥为主，全园区施用，提高苗木的抗寒、抗病能</w:t>
      </w:r>
      <w:r>
        <w:rPr>
          <w:sz w:val="29"/>
          <w:szCs w:val="29"/>
          <w:spacing w:val="17"/>
        </w:rPr>
        <w:t xml:space="preserve"> </w:t>
      </w:r>
      <w:r>
        <w:rPr>
          <w:sz w:val="29"/>
          <w:szCs w:val="29"/>
          <w:spacing w:val="6"/>
        </w:rPr>
        <w:t>力。9月上旬完毕，追施1次有机复合肥(</w:t>
      </w:r>
      <w:r>
        <w:rPr>
          <w:sz w:val="29"/>
          <w:szCs w:val="29"/>
          <w:spacing w:val="5"/>
        </w:rPr>
        <w:t>有机质45%),若植物长势一般或较差</w:t>
      </w:r>
    </w:p>
    <w:p>
      <w:pPr>
        <w:spacing w:line="266" w:lineRule="auto"/>
        <w:sectPr>
          <w:footerReference w:type="default" r:id="rId578"/>
          <w:pgSz w:w="14490" w:h="20470"/>
          <w:pgMar w:top="400" w:right="1925" w:bottom="1030" w:left="2160" w:header="0" w:footer="832" w:gutter="0"/>
        </w:sectPr>
        <w:rPr>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1"/>
        </w:rPr>
        <w:t>追施1次氮、磷、钾均衡的无机复合肥。</w:t>
      </w:r>
    </w:p>
    <w:p>
      <w:pPr>
        <w:pStyle w:val="BodyText"/>
        <w:ind w:left="600"/>
        <w:spacing w:before="1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29" w:firstLine="730"/>
        <w:spacing w:before="163" w:line="266"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1"/>
        </w:rPr>
        <w:t>枯病、草坪腐霉枯萎病、冠瘿病、花叶病等；</w:t>
      </w:r>
    </w:p>
    <w:p>
      <w:pPr>
        <w:pStyle w:val="BodyText"/>
        <w:ind w:right="269" w:firstLine="730"/>
        <w:spacing w:before="123" w:line="281" w:lineRule="auto"/>
        <w:rPr>
          <w:sz w:val="29"/>
          <w:szCs w:val="29"/>
        </w:rPr>
      </w:pPr>
      <w:r>
        <w:rPr>
          <w:sz w:val="29"/>
          <w:szCs w:val="29"/>
          <w:spacing w:val="8"/>
        </w:rPr>
        <w:t>(2)虫害：大青叶蝉、花蓟马、光肩星天牛、芳香木蠹蛾、</w:t>
      </w:r>
      <w:r>
        <w:rPr>
          <w:sz w:val="29"/>
          <w:szCs w:val="29"/>
          <w:spacing w:val="7"/>
        </w:rPr>
        <w:t>铜绿丽金龟、</w:t>
      </w:r>
      <w:r>
        <w:rPr>
          <w:sz w:val="29"/>
          <w:szCs w:val="29"/>
        </w:rPr>
        <w:t xml:space="preserve"> </w:t>
      </w:r>
      <w:r>
        <w:rPr>
          <w:sz w:val="29"/>
          <w:szCs w:val="29"/>
          <w:spacing w:val="-9"/>
        </w:rPr>
        <w:t>大地老虎、蝼蛄、细胸金针虫、黄刺蛾、丽绿刺蛾、褐边绿刺蛾、茶袋蛾、黄尾毒</w:t>
      </w:r>
      <w:r>
        <w:rPr>
          <w:sz w:val="29"/>
          <w:szCs w:val="29"/>
          <w:spacing w:val="8"/>
        </w:rPr>
        <w:t xml:space="preserve"> </w:t>
      </w:r>
      <w:r>
        <w:rPr>
          <w:sz w:val="29"/>
          <w:szCs w:val="29"/>
          <w:spacing w:val="2"/>
        </w:rPr>
        <w:t>蛾、丝棉木金星尺蛾、国槐尺蛾、柑桔凤蝶、</w:t>
      </w:r>
      <w:r>
        <w:rPr>
          <w:sz w:val="29"/>
          <w:szCs w:val="29"/>
          <w:spacing w:val="1"/>
        </w:rPr>
        <w:t>蔷薇三节叶蜂、柳蓝叶甲等。</w:t>
      </w:r>
    </w:p>
    <w:p>
      <w:pPr>
        <w:pStyle w:val="BodyText"/>
        <w:ind w:left="60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9" w:firstLine="730"/>
        <w:spacing w:before="9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23" w:firstLine="73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206"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30"/>
        <w:spacing w:before="71" w:line="219" w:lineRule="auto"/>
        <w:rPr>
          <w:sz w:val="29"/>
          <w:szCs w:val="29"/>
        </w:rPr>
      </w:pPr>
      <w:r>
        <w:rPr>
          <w:sz w:val="29"/>
          <w:szCs w:val="29"/>
          <w:spacing w:val="6"/>
        </w:rPr>
        <w:t>(1)月初提交时花需求计划，选择亮色花卉，安排下旬进场；</w:t>
      </w:r>
    </w:p>
    <w:p>
      <w:pPr>
        <w:pStyle w:val="BodyText"/>
        <w:ind w:left="73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2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right="331" w:firstLine="730"/>
        <w:spacing w:before="9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3"/>
        </w:rPr>
        <w:t>危险品。</w:t>
      </w:r>
    </w:p>
    <w:p>
      <w:pPr>
        <w:pStyle w:val="BodyText"/>
        <w:ind w:right="267" w:firstLine="730"/>
        <w:spacing w:before="151" w:line="271" w:lineRule="auto"/>
        <w:rPr>
          <w:sz w:val="29"/>
          <w:szCs w:val="29"/>
        </w:rPr>
      </w:pPr>
      <w:r>
        <w:rPr>
          <w:sz w:val="29"/>
          <w:szCs w:val="29"/>
          <w:spacing w:val="-1"/>
        </w:rPr>
        <w:t>(2)根据现场的实际情况，申请购置10、11、12月份的农药、化肥、营养剂</w:t>
      </w:r>
      <w:r>
        <w:rPr>
          <w:sz w:val="29"/>
          <w:szCs w:val="29"/>
          <w:spacing w:val="8"/>
        </w:rPr>
        <w:t xml:space="preserve"> </w:t>
      </w:r>
      <w:r>
        <w:rPr>
          <w:sz w:val="29"/>
          <w:szCs w:val="29"/>
          <w:spacing w:val="-5"/>
        </w:rPr>
        <w:t>及其它物资；</w:t>
      </w:r>
    </w:p>
    <w:p>
      <w:pPr>
        <w:pStyle w:val="BodyText"/>
        <w:ind w:left="730"/>
        <w:spacing w:before="140" w:line="219" w:lineRule="auto"/>
        <w:rPr>
          <w:sz w:val="29"/>
          <w:szCs w:val="29"/>
        </w:rPr>
      </w:pPr>
      <w:r>
        <w:rPr>
          <w:sz w:val="29"/>
          <w:szCs w:val="29"/>
          <w:spacing w:val="9"/>
        </w:rPr>
        <w:t>(3)进行机械工具的检查维修。</w:t>
      </w:r>
    </w:p>
    <w:p>
      <w:pPr>
        <w:pStyle w:val="BodyText"/>
        <w:ind w:left="600"/>
        <w:spacing w:before="73"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firstLine="600"/>
        <w:spacing w:before="138" w:line="311" w:lineRule="auto"/>
        <w:rPr>
          <w:sz w:val="29"/>
          <w:szCs w:val="29"/>
        </w:rPr>
      </w:pPr>
      <w:r>
        <w:rPr>
          <w:sz w:val="29"/>
          <w:szCs w:val="29"/>
          <w:spacing w:val="-2"/>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87" w:line="223" w:lineRule="auto"/>
        <w:rPr>
          <w:rFonts w:ascii="SimHei" w:hAnsi="SimHei" w:eastAsia="SimHei" w:cs="SimHei"/>
          <w:sz w:val="29"/>
          <w:szCs w:val="29"/>
        </w:rPr>
      </w:pPr>
      <w:r>
        <w:rPr>
          <w:rFonts w:ascii="SimHei" w:hAnsi="SimHei" w:eastAsia="SimHei" w:cs="SimHei"/>
          <w:sz w:val="29"/>
          <w:szCs w:val="29"/>
          <w:spacing w:val="6"/>
        </w:rPr>
        <w:t>十月份</w:t>
      </w:r>
    </w:p>
    <w:p>
      <w:pPr>
        <w:pStyle w:val="BodyText"/>
        <w:ind w:left="600"/>
        <w:spacing w:before="109" w:line="219" w:lineRule="auto"/>
        <w:rPr>
          <w:sz w:val="29"/>
          <w:szCs w:val="29"/>
        </w:rPr>
      </w:pPr>
      <w:r>
        <w:rPr>
          <w:sz w:val="29"/>
          <w:szCs w:val="29"/>
          <w:spacing w:val="3"/>
        </w:rPr>
        <w:t>气温继续下降，树木开始落叶，进入半休眠状态。</w:t>
      </w:r>
    </w:p>
    <w:p>
      <w:pPr>
        <w:pStyle w:val="BodyText"/>
        <w:ind w:left="600"/>
        <w:spacing w:before="27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33" w:line="219" w:lineRule="auto"/>
        <w:rPr>
          <w:sz w:val="29"/>
          <w:szCs w:val="29"/>
        </w:rPr>
      </w:pPr>
      <w:r>
        <w:rPr>
          <w:sz w:val="29"/>
          <w:szCs w:val="29"/>
        </w:rPr>
        <w:t>及时检查乔木支撑情况，发现松动或缺失立即加固。</w:t>
      </w:r>
    </w:p>
    <w:p>
      <w:pPr>
        <w:ind w:left="600"/>
        <w:spacing w:before="11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257" w:firstLine="600"/>
        <w:spacing w:before="134" w:line="313" w:lineRule="auto"/>
        <w:rPr>
          <w:sz w:val="29"/>
          <w:szCs w:val="29"/>
        </w:rPr>
      </w:pPr>
      <w:r>
        <w:rPr>
          <w:sz w:val="29"/>
          <w:szCs w:val="29"/>
          <w:spacing w:val="-1"/>
        </w:rPr>
        <w:t>气温继续下降，树木开始落叶，逐渐进入休眠期，对苗木进行轻剪，去除多</w:t>
      </w:r>
      <w:r>
        <w:rPr>
          <w:sz w:val="29"/>
          <w:szCs w:val="29"/>
        </w:rPr>
        <w:t xml:space="preserve"> </w:t>
      </w:r>
      <w:r>
        <w:rPr>
          <w:sz w:val="29"/>
          <w:szCs w:val="29"/>
          <w:spacing w:val="-9"/>
        </w:rPr>
        <w:t>余的徒长枝。在本地耐寒性弱的苗木改为春季化冻后修剪、冬季易有流伤的植物如</w:t>
      </w:r>
      <w:r>
        <w:rPr>
          <w:sz w:val="29"/>
          <w:szCs w:val="29"/>
          <w:spacing w:val="13"/>
        </w:rPr>
        <w:t xml:space="preserve"> </w:t>
      </w:r>
      <w:r>
        <w:rPr>
          <w:sz w:val="29"/>
          <w:szCs w:val="29"/>
          <w:spacing w:val="2"/>
        </w:rPr>
        <w:t>槭树科中的大多数，在晚秋落叶时或春季新芽膨大时修剪。</w:t>
      </w:r>
    </w:p>
    <w:p>
      <w:pPr>
        <w:pStyle w:val="BodyText"/>
        <w:ind w:left="600"/>
        <w:spacing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spacing w:line="396" w:lineRule="exact"/>
        <w:sectPr>
          <w:footerReference w:type="default" r:id="rId579"/>
          <w:pgSz w:w="14490" w:h="20470"/>
          <w:pgMar w:top="400" w:right="1945" w:bottom="1033" w:left="2150" w:header="0" w:footer="834" w:gutter="0"/>
        </w:sectPr>
        <w:rPr>
          <w:rFonts w:ascii="SimHei" w:hAnsi="SimHei" w:eastAsia="SimHei" w:cs="SimHei"/>
          <w:sz w:val="29"/>
          <w:szCs w:val="29"/>
        </w:rPr>
      </w:pP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BodyText"/>
        <w:ind w:right="499" w:firstLine="730"/>
        <w:spacing w:before="94" w:line="273" w:lineRule="auto"/>
        <w:rPr>
          <w:sz w:val="29"/>
          <w:szCs w:val="29"/>
        </w:rPr>
      </w:pPr>
      <w:r>
        <w:rPr>
          <w:sz w:val="29"/>
          <w:szCs w:val="29"/>
          <w:spacing w:val="4"/>
        </w:rPr>
        <w:t>(1)浇水：注意控水，促进苗木枝条木质化；冻水浇灌视气温情况决定，</w:t>
      </w:r>
      <w:r>
        <w:rPr>
          <w:sz w:val="29"/>
          <w:szCs w:val="29"/>
          <w:spacing w:val="17"/>
        </w:rPr>
        <w:t xml:space="preserve"> </w:t>
      </w:r>
      <w:r>
        <w:rPr>
          <w:sz w:val="29"/>
          <w:szCs w:val="29"/>
          <w:spacing w:val="-5"/>
        </w:rPr>
        <w:t>浇到上冻为止；</w:t>
      </w:r>
    </w:p>
    <w:p>
      <w:pPr>
        <w:pStyle w:val="BodyText"/>
        <w:ind w:right="572" w:firstLine="730"/>
        <w:spacing w:before="159" w:line="266" w:lineRule="auto"/>
        <w:rPr>
          <w:sz w:val="29"/>
          <w:szCs w:val="29"/>
        </w:rPr>
      </w:pPr>
      <w:r>
        <w:rPr>
          <w:sz w:val="29"/>
          <w:szCs w:val="29"/>
          <w:spacing w:val="10"/>
        </w:rPr>
        <w:t>(2)施肥：10月上旬追施一次有机复合肥(有机质45%),草坪追施一次高</w:t>
      </w:r>
      <w:r>
        <w:rPr>
          <w:sz w:val="29"/>
          <w:szCs w:val="29"/>
          <w:spacing w:val="6"/>
        </w:rPr>
        <w:t xml:space="preserve"> </w:t>
      </w:r>
      <w:r>
        <w:rPr>
          <w:sz w:val="29"/>
          <w:szCs w:val="29"/>
          <w:spacing w:val="1"/>
        </w:rPr>
        <w:t>氮、低磷、中钾的无机复合肥，延长绿期。</w:t>
      </w:r>
    </w:p>
    <w:p>
      <w:pPr>
        <w:pStyle w:val="BodyText"/>
        <w:ind w:left="590"/>
        <w:spacing w:before="19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30"/>
        <w:spacing w:before="93" w:line="219" w:lineRule="auto"/>
        <w:rPr>
          <w:sz w:val="29"/>
          <w:szCs w:val="29"/>
        </w:rPr>
      </w:pPr>
      <w:r>
        <w:rPr>
          <w:sz w:val="29"/>
          <w:szCs w:val="29"/>
          <w:spacing w:val="6"/>
        </w:rPr>
        <w:t>(1)病害：白粉病、叶斑类病害、锈病、叶枯病、干腐病、冠</w:t>
      </w:r>
      <w:r>
        <w:rPr>
          <w:sz w:val="29"/>
          <w:szCs w:val="29"/>
          <w:spacing w:val="5"/>
        </w:rPr>
        <w:t>瘿病等；</w:t>
      </w:r>
    </w:p>
    <w:p>
      <w:pPr>
        <w:pStyle w:val="BodyText"/>
        <w:ind w:right="349" w:firstLine="730"/>
        <w:spacing w:before="129" w:line="285" w:lineRule="auto"/>
        <w:rPr>
          <w:sz w:val="29"/>
          <w:szCs w:val="29"/>
        </w:rPr>
      </w:pPr>
      <w:r>
        <w:rPr>
          <w:sz w:val="29"/>
          <w:szCs w:val="29"/>
          <w:spacing w:val="8"/>
        </w:rPr>
        <w:t>(2)虫害：大青叶蝉、桃瘤蚜、桔绿粉虱、光肩星</w:t>
      </w:r>
      <w:r>
        <w:rPr>
          <w:sz w:val="29"/>
          <w:szCs w:val="29"/>
          <w:spacing w:val="7"/>
        </w:rPr>
        <w:t>天牛、芳香木蠹蛾、铜</w:t>
      </w:r>
      <w:r>
        <w:rPr>
          <w:sz w:val="29"/>
          <w:szCs w:val="29"/>
        </w:rPr>
        <w:t xml:space="preserve"> </w:t>
      </w:r>
      <w:r>
        <w:rPr>
          <w:sz w:val="29"/>
          <w:szCs w:val="29"/>
        </w:rPr>
        <w:t>绿丽金龟、大地老虎、细胸金针虫、褐边绿刺蛾、丝棉木金星尺蛾、柑桔凤蝶、</w:t>
      </w:r>
      <w:r>
        <w:rPr>
          <w:sz w:val="29"/>
          <w:szCs w:val="29"/>
          <w:spacing w:val="14"/>
        </w:rPr>
        <w:t xml:space="preserve"> </w:t>
      </w:r>
      <w:r>
        <w:rPr>
          <w:sz w:val="29"/>
          <w:szCs w:val="29"/>
          <w:spacing w:val="-1"/>
        </w:rPr>
        <w:t>蔷薇三节叶蜂等。</w:t>
      </w:r>
    </w:p>
    <w:p>
      <w:pPr>
        <w:pStyle w:val="BodyText"/>
        <w:ind w:left="590"/>
        <w:spacing w:before="14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50" w:firstLine="730"/>
        <w:spacing w:before="64" w:line="268" w:lineRule="auto"/>
        <w:rPr>
          <w:sz w:val="29"/>
          <w:szCs w:val="29"/>
        </w:rPr>
      </w:pPr>
      <w:r>
        <w:rPr>
          <w:sz w:val="29"/>
          <w:szCs w:val="29"/>
        </w:rPr>
        <w:t>(1)</w:t>
      </w:r>
      <w:r>
        <w:rPr>
          <w:sz w:val="29"/>
          <w:szCs w:val="29"/>
          <w:spacing w:val="62"/>
        </w:rPr>
        <w:t xml:space="preserve"> </w:t>
      </w:r>
      <w:r>
        <w:rPr>
          <w:sz w:val="29"/>
          <w:szCs w:val="29"/>
        </w:rPr>
        <w:t>保洁人员合理分区，全天候巡视，及时清理烟头</w:t>
      </w:r>
      <w:r>
        <w:rPr>
          <w:sz w:val="29"/>
          <w:szCs w:val="29"/>
          <w:spacing w:val="-1"/>
        </w:rPr>
        <w:t>、树挂等垃圾，水景</w:t>
      </w:r>
      <w:r>
        <w:rPr>
          <w:sz w:val="29"/>
          <w:szCs w:val="29"/>
        </w:rPr>
        <w:t xml:space="preserve"> </w:t>
      </w:r>
      <w:r>
        <w:rPr>
          <w:sz w:val="29"/>
          <w:szCs w:val="29"/>
          <w:spacing w:val="-2"/>
        </w:rPr>
        <w:t>池、灯杆、垃圾桶保持干净；</w:t>
      </w:r>
    </w:p>
    <w:p>
      <w:pPr>
        <w:pStyle w:val="BodyText"/>
        <w:ind w:right="443" w:firstLine="730"/>
        <w:spacing w:before="16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ind w:left="59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6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90"/>
        <w:spacing w:before="13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20" w:firstLine="590"/>
        <w:spacing w:before="11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pStyle w:val="BodyText"/>
        <w:ind w:right="403" w:firstLine="590"/>
        <w:spacing w:before="39" w:line="288" w:lineRule="auto"/>
        <w:rPr>
          <w:sz w:val="29"/>
          <w:szCs w:val="29"/>
        </w:rPr>
      </w:pPr>
      <w:r>
        <w:rPr>
          <w:rFonts w:ascii="SimHei" w:hAnsi="SimHei" w:eastAsia="SimHei" w:cs="SimHei"/>
          <w:sz w:val="29"/>
          <w:szCs w:val="29"/>
          <w:spacing w:val="-2"/>
        </w:rPr>
        <w:t>8、防</w:t>
      </w:r>
      <w:r>
        <w:rPr>
          <w:rFonts w:ascii="SimHei" w:hAnsi="SimHei" w:eastAsia="SimHei" w:cs="SimHei"/>
          <w:sz w:val="29"/>
          <w:szCs w:val="29"/>
          <w:spacing w:val="-56"/>
        </w:rPr>
        <w:t xml:space="preserve"> </w:t>
      </w:r>
      <w:r>
        <w:rPr>
          <w:rFonts w:ascii="SimHei" w:hAnsi="SimHei" w:eastAsia="SimHei" w:cs="SimHei"/>
          <w:sz w:val="29"/>
          <w:szCs w:val="29"/>
          <w:spacing w:val="-2"/>
        </w:rPr>
        <w:t>寒</w:t>
      </w:r>
      <w:r>
        <w:rPr>
          <w:rFonts w:ascii="SimHei" w:hAnsi="SimHei" w:eastAsia="SimHei" w:cs="SimHei"/>
          <w:sz w:val="29"/>
          <w:szCs w:val="29"/>
          <w:spacing w:val="-73"/>
        </w:rPr>
        <w:t xml:space="preserve"> </w:t>
      </w:r>
      <w:r>
        <w:rPr>
          <w:rFonts w:ascii="SimHei" w:hAnsi="SimHei" w:eastAsia="SimHei" w:cs="SimHei"/>
          <w:sz w:val="29"/>
          <w:szCs w:val="29"/>
          <w:spacing w:val="-2"/>
        </w:rPr>
        <w:t>：</w:t>
      </w:r>
      <w:r>
        <w:rPr>
          <w:sz w:val="29"/>
          <w:szCs w:val="29"/>
          <w:spacing w:val="-2"/>
        </w:rPr>
        <w:t>根据天气情况在十月下旬开始陆续对乔灌木进行防寒。温度出现</w:t>
      </w:r>
      <w:r>
        <w:rPr>
          <w:sz w:val="29"/>
          <w:szCs w:val="29"/>
        </w:rPr>
        <w:t xml:space="preserve"> </w:t>
      </w:r>
      <w:r>
        <w:rPr>
          <w:sz w:val="29"/>
          <w:szCs w:val="29"/>
          <w:spacing w:val="-2"/>
        </w:rPr>
        <w:t>突降，做好时花防寒。</w:t>
      </w:r>
    </w:p>
    <w:p>
      <w:pPr>
        <w:spacing w:before="18"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90"/>
        <w:spacing w:before="177" w:line="219" w:lineRule="auto"/>
        <w:rPr>
          <w:sz w:val="29"/>
          <w:szCs w:val="29"/>
        </w:rPr>
      </w:pPr>
      <w:r>
        <w:rPr>
          <w:sz w:val="29"/>
          <w:szCs w:val="29"/>
          <w:spacing w:val="4"/>
        </w:rPr>
        <w:t>气温继续下降，光照强烈，雨雪少。</w:t>
      </w:r>
    </w:p>
    <w:p>
      <w:pPr>
        <w:pStyle w:val="BodyText"/>
        <w:ind w:left="59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63" w:line="219" w:lineRule="auto"/>
        <w:rPr>
          <w:sz w:val="29"/>
          <w:szCs w:val="29"/>
        </w:rPr>
      </w:pPr>
      <w:r>
        <w:rPr>
          <w:sz w:val="29"/>
          <w:szCs w:val="29"/>
          <w:spacing w:val="-1"/>
        </w:rPr>
        <w:t>及时检查乔木支撑情况，发现松动或缺失立即加固。</w:t>
      </w:r>
    </w:p>
    <w:p>
      <w:pPr>
        <w:ind w:left="590"/>
        <w:spacing w:before="10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357" w:firstLine="590"/>
        <w:spacing w:before="137" w:line="310" w:lineRule="auto"/>
        <w:rPr>
          <w:sz w:val="29"/>
          <w:szCs w:val="29"/>
        </w:rPr>
      </w:pPr>
      <w:r>
        <w:rPr>
          <w:sz w:val="29"/>
          <w:szCs w:val="29"/>
          <w:spacing w:val="-9"/>
        </w:rPr>
        <w:t>疏截枯枝、病枝，保持树木美观健康生长，在本地耐寒性弱的苗木改为春季化</w:t>
      </w:r>
      <w:r>
        <w:rPr>
          <w:sz w:val="29"/>
          <w:szCs w:val="29"/>
          <w:spacing w:val="7"/>
        </w:rPr>
        <w:t xml:space="preserve"> </w:t>
      </w:r>
      <w:r>
        <w:rPr>
          <w:sz w:val="29"/>
          <w:szCs w:val="29"/>
          <w:spacing w:val="-8"/>
        </w:rPr>
        <w:t>冻后修剪；冬季易有流伤的植物，如槭树科中的大多数，在晚秋落叶时或春季新芽</w:t>
      </w:r>
      <w:r>
        <w:rPr>
          <w:sz w:val="29"/>
          <w:szCs w:val="29"/>
          <w:spacing w:val="4"/>
        </w:rPr>
        <w:t xml:space="preserve"> </w:t>
      </w:r>
      <w:r>
        <w:rPr>
          <w:sz w:val="29"/>
          <w:szCs w:val="29"/>
          <w:spacing w:val="-4"/>
        </w:rPr>
        <w:t>膨大时修剪。</w:t>
      </w:r>
    </w:p>
    <w:p>
      <w:pPr>
        <w:pStyle w:val="BodyText"/>
        <w:ind w:left="590"/>
        <w:spacing w:before="5" w:line="395" w:lineRule="exact"/>
        <w:rPr>
          <w:rFonts w:ascii="SimHei" w:hAnsi="SimHei" w:eastAsia="SimHei" w:cs="SimHei"/>
          <w:sz w:val="29"/>
          <w:szCs w:val="29"/>
        </w:rPr>
      </w:pPr>
      <w:r>
        <w:rPr>
          <w:rFonts w:ascii="Arial" w:hAnsi="Arial" w:eastAsia="Arial" w:cs="Arial"/>
          <w:sz w:val="29"/>
          <w:szCs w:val="29"/>
          <w:spacing w:val="-7"/>
          <w:position w:val="1"/>
        </w:rPr>
        <w:t>3</w:t>
      </w:r>
      <w:r>
        <w:rPr>
          <w:sz w:val="29"/>
          <w:szCs w:val="29"/>
          <w:spacing w:val="-7"/>
          <w:position w:val="1"/>
        </w:rPr>
        <w:t>、</w:t>
      </w:r>
      <w:r>
        <w:rPr>
          <w:rFonts w:ascii="SimHei" w:hAnsi="SimHei" w:eastAsia="SimHei" w:cs="SimHei"/>
          <w:sz w:val="29"/>
          <w:szCs w:val="29"/>
          <w:spacing w:val="-7"/>
          <w:position w:val="1"/>
        </w:rPr>
        <w:t>水肥管理</w:t>
      </w:r>
    </w:p>
    <w:p>
      <w:pPr>
        <w:pStyle w:val="BodyText"/>
        <w:ind w:left="590"/>
        <w:spacing w:before="109" w:line="220" w:lineRule="auto"/>
        <w:rPr>
          <w:sz w:val="29"/>
          <w:szCs w:val="29"/>
        </w:rPr>
      </w:pPr>
      <w:r>
        <w:rPr>
          <w:sz w:val="29"/>
          <w:szCs w:val="29"/>
        </w:rPr>
        <w:t>保证所有苗木的浇透，直到上冻。</w:t>
      </w:r>
    </w:p>
    <w:p>
      <w:pPr>
        <w:pStyle w:val="BodyText"/>
        <w:ind w:left="590"/>
        <w:spacing w:before="101"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left="730"/>
        <w:spacing w:before="145" w:line="219" w:lineRule="auto"/>
        <w:rPr>
          <w:sz w:val="29"/>
          <w:szCs w:val="29"/>
        </w:rPr>
      </w:pPr>
      <w:r>
        <w:rPr>
          <w:sz w:val="29"/>
          <w:szCs w:val="29"/>
          <w:spacing w:val="7"/>
        </w:rPr>
        <w:t>(1)病害：白粉病、叶斑类病害、叶枯病等；</w:t>
      </w:r>
    </w:p>
    <w:p>
      <w:pPr>
        <w:spacing w:line="219" w:lineRule="auto"/>
        <w:sectPr>
          <w:footerReference w:type="default" r:id="rId580"/>
          <w:pgSz w:w="14490" w:h="20470"/>
          <w:pgMar w:top="400" w:right="1825" w:bottom="1033" w:left="2150" w:header="0" w:footer="834" w:gutter="0"/>
        </w:sectPr>
        <w:rPr>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730"/>
        <w:spacing w:before="94" w:line="219" w:lineRule="auto"/>
        <w:rPr>
          <w:sz w:val="29"/>
          <w:szCs w:val="29"/>
        </w:rPr>
      </w:pPr>
      <w:r>
        <w:rPr>
          <w:sz w:val="29"/>
          <w:szCs w:val="29"/>
          <w:spacing w:val="7"/>
        </w:rPr>
        <w:t>(2)虫害：大青叶蝉、桔绿粉虱、光肩星天牛、芳香</w:t>
      </w:r>
      <w:r>
        <w:rPr>
          <w:sz w:val="29"/>
          <w:szCs w:val="29"/>
          <w:spacing w:val="6"/>
        </w:rPr>
        <w:t>木蠹蛾等。</w:t>
      </w:r>
    </w:p>
    <w:p>
      <w:pPr>
        <w:pStyle w:val="BodyText"/>
        <w:ind w:left="600"/>
        <w:spacing w:before="7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40" w:firstLine="730"/>
        <w:spacing w:before="15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30"/>
        <w:spacing w:before="127" w:line="275"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right="351" w:firstLine="730"/>
        <w:spacing w:before="12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
        </w:rPr>
        <w:t xml:space="preserve"> </w:t>
      </w:r>
      <w:r>
        <w:rPr>
          <w:sz w:val="29"/>
          <w:szCs w:val="29"/>
        </w:rPr>
        <w:t>雪融化后露出的垃圾、废弃物的全面清理。</w:t>
      </w:r>
    </w:p>
    <w:p>
      <w:pPr>
        <w:pStyle w:val="BodyText"/>
        <w:ind w:left="600"/>
        <w:spacing w:before="142"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spacing w:before="99" w:line="219" w:lineRule="auto"/>
        <w:jc w:val="right"/>
        <w:rPr>
          <w:sz w:val="29"/>
          <w:szCs w:val="29"/>
        </w:rPr>
      </w:pPr>
      <w:r>
        <w:rPr>
          <w:sz w:val="29"/>
          <w:szCs w:val="29"/>
          <w:spacing w:val="1"/>
        </w:rPr>
        <w:t>库房物品整理，物料工具出入库及领用登记，注意保管汽油、农药等危险品。</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10" w:firstLine="600"/>
        <w:spacing w:before="11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pStyle w:val="BodyText"/>
        <w:ind w:left="600"/>
        <w:spacing w:before="9"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7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49"/>
          <w:position w:val="1"/>
        </w:rPr>
        <w:t xml:space="preserve"> </w:t>
      </w:r>
      <w:r>
        <w:rPr>
          <w:rFonts w:ascii="SimHei" w:hAnsi="SimHei" w:eastAsia="SimHei" w:cs="SimHei"/>
          <w:sz w:val="27"/>
          <w:szCs w:val="27"/>
          <w:spacing w:val="-17"/>
          <w:position w:val="1"/>
        </w:rPr>
        <w:t>寒</w:t>
      </w:r>
    </w:p>
    <w:p>
      <w:pPr>
        <w:pStyle w:val="BodyText"/>
        <w:ind w:left="600"/>
        <w:spacing w:before="102" w:line="219" w:lineRule="auto"/>
        <w:rPr>
          <w:sz w:val="29"/>
          <w:szCs w:val="29"/>
        </w:rPr>
      </w:pPr>
      <w:r>
        <w:rPr>
          <w:sz w:val="29"/>
          <w:szCs w:val="29"/>
        </w:rPr>
        <w:t>对不耐寒的苗木做好防寒工作，本月全部完成。</w:t>
      </w:r>
    </w:p>
    <w:p>
      <w:pPr>
        <w:spacing w:before="110"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600"/>
        <w:spacing w:before="181" w:line="219" w:lineRule="auto"/>
        <w:rPr>
          <w:sz w:val="29"/>
          <w:szCs w:val="29"/>
        </w:rPr>
      </w:pPr>
      <w:r>
        <w:rPr>
          <w:sz w:val="29"/>
          <w:szCs w:val="29"/>
          <w:spacing w:val="3"/>
        </w:rPr>
        <w:t>温度降至零下，植物完全进入休眠期。</w:t>
      </w:r>
    </w:p>
    <w:p>
      <w:pPr>
        <w:ind w:left="600"/>
        <w:spacing w:before="254" w:line="222" w:lineRule="auto"/>
        <w:rPr>
          <w:rFonts w:ascii="SimHei" w:hAnsi="SimHei" w:eastAsia="SimHei" w:cs="SimHei"/>
          <w:sz w:val="29"/>
          <w:szCs w:val="29"/>
        </w:rPr>
      </w:pPr>
      <w:r>
        <w:rPr>
          <w:rFonts w:ascii="SimHei" w:hAnsi="SimHei" w:eastAsia="SimHei" w:cs="SimHei"/>
          <w:sz w:val="29"/>
          <w:szCs w:val="29"/>
          <w:spacing w:val="7"/>
        </w:rPr>
        <w:t>1、现场检查</w:t>
      </w:r>
    </w:p>
    <w:p>
      <w:pPr>
        <w:pStyle w:val="BodyText"/>
        <w:ind w:left="730"/>
        <w:spacing w:before="153" w:line="219" w:lineRule="auto"/>
        <w:rPr>
          <w:sz w:val="29"/>
          <w:szCs w:val="29"/>
        </w:rPr>
      </w:pPr>
      <w:r>
        <w:rPr>
          <w:sz w:val="29"/>
          <w:szCs w:val="29"/>
          <w:spacing w:val="6"/>
        </w:rPr>
        <w:t>(1)检查防寒设施的完好情况，发现破损立即修补；</w:t>
      </w:r>
    </w:p>
    <w:p>
      <w:pPr>
        <w:pStyle w:val="BodyText"/>
        <w:ind w:left="730"/>
        <w:spacing w:before="126" w:line="219" w:lineRule="auto"/>
        <w:rPr>
          <w:sz w:val="29"/>
          <w:szCs w:val="29"/>
        </w:rPr>
      </w:pPr>
      <w:r>
        <w:rPr>
          <w:sz w:val="29"/>
          <w:szCs w:val="29"/>
          <w:spacing w:val="8"/>
        </w:rPr>
        <w:t>(2)及时检查乔木支撑情况，发现松动或缺失立即加固。</w:t>
      </w:r>
    </w:p>
    <w:p>
      <w:pPr>
        <w:pStyle w:val="BodyText"/>
        <w:ind w:left="600"/>
        <w:spacing w:before="130" w:line="224" w:lineRule="auto"/>
        <w:rPr>
          <w:rFonts w:ascii="SimHei" w:hAnsi="SimHei" w:eastAsia="SimHei" w:cs="SimHei"/>
          <w:sz w:val="29"/>
          <w:szCs w:val="29"/>
        </w:rPr>
      </w:pPr>
      <w:r>
        <w:rPr>
          <w:rFonts w:ascii="Arial" w:hAnsi="Arial" w:eastAsia="Arial" w:cs="Arial"/>
          <w:sz w:val="29"/>
          <w:szCs w:val="29"/>
          <w:spacing w:val="7"/>
        </w:rPr>
        <w:t>2</w:t>
      </w:r>
      <w:r>
        <w:rPr>
          <w:sz w:val="29"/>
          <w:szCs w:val="29"/>
          <w:spacing w:val="7"/>
        </w:rPr>
        <w:t>、</w:t>
      </w:r>
      <w:r>
        <w:rPr>
          <w:rFonts w:ascii="SimHei" w:hAnsi="SimHei" w:eastAsia="SimHei" w:cs="SimHei"/>
          <w:sz w:val="29"/>
          <w:szCs w:val="29"/>
          <w:spacing w:val="7"/>
        </w:rPr>
        <w:t>保洁</w:t>
      </w:r>
    </w:p>
    <w:p>
      <w:pPr>
        <w:pStyle w:val="BodyText"/>
        <w:ind w:right="440" w:firstLine="730"/>
        <w:spacing w:before="14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30"/>
        <w:spacing w:before="157"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right="351" w:firstLine="730"/>
        <w:spacing w:before="164" w:line="27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
        </w:rPr>
        <w:t xml:space="preserve"> </w:t>
      </w:r>
      <w:r>
        <w:rPr>
          <w:sz w:val="29"/>
          <w:szCs w:val="29"/>
        </w:rPr>
        <w:t>雪融化后露出的垃圾、废弃物的全面清理。</w:t>
      </w:r>
    </w:p>
    <w:p>
      <w:pPr>
        <w:pStyle w:val="BodyText"/>
        <w:ind w:left="600"/>
        <w:spacing w:before="162"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物资管理</w:t>
      </w:r>
    </w:p>
    <w:p>
      <w:pPr>
        <w:pStyle w:val="BodyText"/>
        <w:ind w:right="441" w:firstLine="730"/>
        <w:spacing w:before="109"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30"/>
        <w:spacing w:before="161" w:line="219" w:lineRule="auto"/>
        <w:rPr>
          <w:sz w:val="29"/>
          <w:szCs w:val="29"/>
        </w:rPr>
      </w:pPr>
      <w:r>
        <w:rPr>
          <w:sz w:val="29"/>
          <w:szCs w:val="29"/>
          <w:spacing w:val="3"/>
        </w:rPr>
        <w:t>(2)根据现场的实际情况，申请购置翌年1、2、3月份的农药、化肥、营</w:t>
      </w:r>
    </w:p>
    <w:p>
      <w:pPr>
        <w:spacing w:line="219" w:lineRule="auto"/>
        <w:sectPr>
          <w:footerReference w:type="default" r:id="rId581"/>
          <w:pgSz w:w="14490" w:h="20470"/>
          <w:pgMar w:top="400" w:right="1834" w:bottom="1047" w:left="2150" w:header="0" w:footer="831" w:gutter="0"/>
        </w:sectPr>
        <w:rPr>
          <w:sz w:val="29"/>
          <w:szCs w:val="29"/>
        </w:rPr>
      </w:pP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1"/>
        </w:rPr>
        <w:t>养剂及其它物资。</w:t>
      </w:r>
    </w:p>
    <w:p>
      <w:pPr>
        <w:pStyle w:val="BodyText"/>
        <w:ind w:left="590"/>
        <w:spacing w:before="125"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防火防盗</w:t>
      </w:r>
    </w:p>
    <w:p>
      <w:pPr>
        <w:pStyle w:val="BodyText"/>
        <w:ind w:firstLine="590"/>
        <w:spacing w:before="13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1" w:lineRule="auto"/>
        <w:sectPr>
          <w:footerReference w:type="default" r:id="rId582"/>
          <w:pgSz w:w="14490" w:h="20470"/>
          <w:pgMar w:top="400" w:right="1935" w:bottom="1033" w:left="2150" w:header="0" w:footer="834" w:gutter="0"/>
        </w:sectPr>
        <w:rPr>
          <w:sz w:val="29"/>
          <w:szCs w:val="29"/>
        </w:rPr>
      </w:pPr>
    </w:p>
    <w:p>
      <w:pPr>
        <w:spacing w:line="297" w:lineRule="auto"/>
        <w:rPr>
          <w:rFonts w:ascii="Arial"/>
          <w:sz w:val="21"/>
        </w:rPr>
      </w:pPr>
      <w:r/>
    </w:p>
    <w:p>
      <w:pPr>
        <w:spacing w:line="298" w:lineRule="auto"/>
        <w:rPr>
          <w:rFonts w:ascii="Arial"/>
          <w:sz w:val="21"/>
        </w:rPr>
      </w:pPr>
      <w:r/>
    </w:p>
    <w:p>
      <w:pPr>
        <w:ind w:left="4560"/>
        <w:spacing w:before="94" w:line="224" w:lineRule="auto"/>
        <w:outlineLvl w:val="1"/>
        <w:rPr>
          <w:rFonts w:ascii="SimHei" w:hAnsi="SimHei" w:eastAsia="SimHei" w:cs="SimHei"/>
          <w:sz w:val="29"/>
          <w:szCs w:val="29"/>
        </w:rPr>
      </w:pPr>
      <w:bookmarkStart w:name="bookmark66" w:id="117"/>
      <w:bookmarkEnd w:id="117"/>
      <w:r>
        <w:rPr>
          <w:rFonts w:ascii="SimHei" w:hAnsi="SimHei" w:eastAsia="SimHei" w:cs="SimHei"/>
          <w:sz w:val="29"/>
          <w:szCs w:val="29"/>
          <w:spacing w:val="4"/>
        </w:rPr>
        <w:t>陕西地区</w:t>
      </w:r>
    </w:p>
    <w:p>
      <w:pPr>
        <w:pStyle w:val="BodyText"/>
        <w:ind w:left="64"/>
        <w:spacing w:before="167" w:line="223" w:lineRule="auto"/>
        <w:rPr>
          <w:rFonts w:ascii="SimHei" w:hAnsi="SimHei" w:eastAsia="SimHei" w:cs="SimHei"/>
          <w:sz w:val="30"/>
          <w:szCs w:val="30"/>
        </w:rPr>
      </w:pPr>
      <w:bookmarkStart w:name="bookmark130" w:id="118"/>
      <w:bookmarkEnd w:id="118"/>
      <w:r>
        <w:rPr>
          <w:sz w:val="30"/>
          <w:szCs w:val="30"/>
          <w:b/>
          <w:bCs/>
          <w:spacing w:val="-13"/>
        </w:rPr>
        <w:t>一、</w:t>
      </w:r>
      <w:r>
        <w:rPr>
          <w:rFonts w:ascii="SimHei" w:hAnsi="SimHei" w:eastAsia="SimHei" w:cs="SimHei"/>
          <w:sz w:val="30"/>
          <w:szCs w:val="30"/>
          <w:spacing w:val="-13"/>
        </w:rPr>
        <w:t>二月份</w:t>
      </w:r>
    </w:p>
    <w:p>
      <w:pPr>
        <w:pStyle w:val="BodyText"/>
        <w:ind w:left="640"/>
        <w:spacing w:before="146" w:line="219" w:lineRule="auto"/>
        <w:rPr>
          <w:sz w:val="29"/>
          <w:szCs w:val="29"/>
        </w:rPr>
      </w:pPr>
      <w:r>
        <w:rPr>
          <w:sz w:val="29"/>
          <w:szCs w:val="29"/>
          <w:spacing w:val="3"/>
        </w:rPr>
        <w:t>全年中气温最低的月份，小区树木还处于休眠状态，重点工作保洁。</w:t>
      </w:r>
    </w:p>
    <w:p>
      <w:pPr>
        <w:ind w:left="640"/>
        <w:spacing w:before="234" w:line="222" w:lineRule="auto"/>
        <w:rPr>
          <w:rFonts w:ascii="SimHei" w:hAnsi="SimHei" w:eastAsia="SimHei" w:cs="SimHei"/>
          <w:sz w:val="29"/>
          <w:szCs w:val="29"/>
        </w:rPr>
      </w:pPr>
      <w:r>
        <w:rPr>
          <w:rFonts w:ascii="SimHei" w:hAnsi="SimHei" w:eastAsia="SimHei" w:cs="SimHei"/>
          <w:sz w:val="29"/>
          <w:szCs w:val="29"/>
          <w:spacing w:val="7"/>
        </w:rPr>
        <w:t>1、现场检查</w:t>
      </w:r>
    </w:p>
    <w:p>
      <w:pPr>
        <w:pStyle w:val="BodyText"/>
        <w:ind w:left="779"/>
        <w:spacing w:before="123" w:line="219" w:lineRule="auto"/>
        <w:rPr>
          <w:sz w:val="29"/>
          <w:szCs w:val="29"/>
        </w:rPr>
      </w:pPr>
      <w:r>
        <w:rPr>
          <w:sz w:val="29"/>
          <w:szCs w:val="29"/>
          <w:spacing w:val="5"/>
        </w:rPr>
        <w:t>(1)检查防寒设施的完好情况，发现破损立即修补；</w:t>
      </w:r>
    </w:p>
    <w:p>
      <w:pPr>
        <w:pStyle w:val="BodyText"/>
        <w:ind w:left="779"/>
        <w:spacing w:before="136" w:line="219" w:lineRule="auto"/>
        <w:rPr>
          <w:sz w:val="29"/>
          <w:szCs w:val="29"/>
        </w:rPr>
      </w:pPr>
      <w:r>
        <w:rPr>
          <w:sz w:val="29"/>
          <w:szCs w:val="29"/>
          <w:spacing w:val="7"/>
        </w:rPr>
        <w:t>(2)及时检查乔木支撑情况，发现松动或缺失立即加固。</w:t>
      </w:r>
    </w:p>
    <w:p>
      <w:pPr>
        <w:pStyle w:val="BodyText"/>
        <w:ind w:left="640"/>
        <w:spacing w:before="133" w:line="221"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病虫害防治</w:t>
      </w:r>
    </w:p>
    <w:p>
      <w:pPr>
        <w:pStyle w:val="BodyText"/>
        <w:ind w:left="640"/>
        <w:spacing w:before="146" w:line="219" w:lineRule="auto"/>
        <w:rPr>
          <w:sz w:val="29"/>
          <w:szCs w:val="29"/>
        </w:rPr>
      </w:pPr>
      <w:r>
        <w:rPr>
          <w:sz w:val="29"/>
          <w:szCs w:val="29"/>
          <w:spacing w:val="-5"/>
        </w:rPr>
        <w:t>清理各类病虫害的越冬体，对其越冬环境进行破坏。</w:t>
      </w:r>
    </w:p>
    <w:p>
      <w:pPr>
        <w:pStyle w:val="BodyText"/>
        <w:ind w:left="640"/>
        <w:spacing w:before="57"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保洁</w:t>
      </w:r>
    </w:p>
    <w:p>
      <w:pPr>
        <w:pStyle w:val="BodyText"/>
        <w:ind w:left="59" w:right="449" w:firstLine="720"/>
        <w:spacing w:before="13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left="59" w:right="443" w:firstLine="720"/>
        <w:spacing w:before="157" w:line="26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9"/>
        </w:rPr>
        <w:t>售展示区)进行彻底清理；</w:t>
      </w:r>
    </w:p>
    <w:p>
      <w:pPr>
        <w:pStyle w:val="BodyText"/>
        <w:ind w:left="59" w:right="341" w:firstLine="720"/>
        <w:spacing w:before="145"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ind w:left="640"/>
        <w:spacing w:before="216" w:line="222" w:lineRule="auto"/>
        <w:rPr>
          <w:rFonts w:ascii="SimHei" w:hAnsi="SimHei" w:eastAsia="SimHei" w:cs="SimHei"/>
          <w:sz w:val="29"/>
          <w:szCs w:val="29"/>
        </w:rPr>
      </w:pPr>
      <w:r>
        <w:rPr>
          <w:rFonts w:ascii="SimHei" w:hAnsi="SimHei" w:eastAsia="SimHei" w:cs="SimHei"/>
          <w:sz w:val="29"/>
          <w:szCs w:val="29"/>
          <w:spacing w:val="7"/>
        </w:rPr>
        <w:t>4、时花摆放</w:t>
      </w:r>
    </w:p>
    <w:p>
      <w:pPr>
        <w:pStyle w:val="BodyText"/>
        <w:ind w:left="59" w:right="712" w:firstLine="720"/>
        <w:spacing w:before="69" w:line="270" w:lineRule="auto"/>
        <w:rPr>
          <w:sz w:val="29"/>
          <w:szCs w:val="29"/>
        </w:rPr>
      </w:pPr>
      <w:r>
        <w:rPr>
          <w:sz w:val="29"/>
          <w:szCs w:val="29"/>
          <w:spacing w:val="-2"/>
        </w:rPr>
        <w:t>(1)月初提交时花或假花需求计划，选择亮色花卉，安排腊月20号左右进</w:t>
      </w:r>
      <w:r>
        <w:rPr>
          <w:sz w:val="29"/>
          <w:szCs w:val="29"/>
          <w:spacing w:val="4"/>
        </w:rPr>
        <w:t xml:space="preserve"> </w:t>
      </w:r>
      <w:r>
        <w:rPr>
          <w:sz w:val="29"/>
          <w:szCs w:val="29"/>
          <w:spacing w:val="-6"/>
        </w:rPr>
        <w:t>场；</w:t>
      </w:r>
    </w:p>
    <w:p>
      <w:pPr>
        <w:pStyle w:val="BodyText"/>
        <w:ind w:left="779"/>
        <w:spacing w:before="142" w:line="219" w:lineRule="auto"/>
        <w:rPr>
          <w:sz w:val="29"/>
          <w:szCs w:val="29"/>
        </w:rPr>
      </w:pPr>
      <w:r>
        <w:rPr>
          <w:sz w:val="29"/>
          <w:szCs w:val="29"/>
          <w:spacing w:val="7"/>
        </w:rPr>
        <w:t>(2)春假放假前将时花摆放完毕，注意摆放外侧避免黑色</w:t>
      </w:r>
      <w:r>
        <w:rPr>
          <w:sz w:val="29"/>
          <w:szCs w:val="29"/>
          <w:spacing w:val="6"/>
        </w:rPr>
        <w:t>塑料盆出现。</w:t>
      </w:r>
    </w:p>
    <w:p>
      <w:pPr>
        <w:ind w:left="640"/>
        <w:spacing w:before="116" w:line="222" w:lineRule="auto"/>
        <w:rPr>
          <w:rFonts w:ascii="SimHei" w:hAnsi="SimHei" w:eastAsia="SimHei" w:cs="SimHei"/>
          <w:sz w:val="29"/>
          <w:szCs w:val="29"/>
        </w:rPr>
      </w:pPr>
      <w:r>
        <w:rPr>
          <w:rFonts w:ascii="SimHei" w:hAnsi="SimHei" w:eastAsia="SimHei" w:cs="SimHei"/>
          <w:sz w:val="29"/>
          <w:szCs w:val="29"/>
          <w:spacing w:val="-1"/>
        </w:rPr>
        <w:t>5、物资管理</w:t>
      </w:r>
    </w:p>
    <w:p>
      <w:pPr>
        <w:pStyle w:val="BodyText"/>
        <w:spacing w:before="14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640"/>
        <w:spacing w:before="61" w:line="396"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防火防盗</w:t>
      </w:r>
    </w:p>
    <w:p>
      <w:pPr>
        <w:pStyle w:val="BodyText"/>
        <w:ind w:left="59" w:right="110" w:firstLine="580"/>
        <w:spacing w:before="120" w:line="320" w:lineRule="auto"/>
        <w:rPr>
          <w:sz w:val="29"/>
          <w:szCs w:val="29"/>
        </w:rPr>
      </w:pPr>
      <w:r>
        <w:rPr>
          <w:sz w:val="29"/>
          <w:szCs w:val="29"/>
          <w:spacing w:val="2"/>
        </w:rPr>
        <w:t>每天绿化工人在保洁的同时要注意行人随意丢弃烟头现象，并对其进行防火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ind w:left="59"/>
        <w:spacing w:before="52"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640"/>
        <w:spacing w:before="129" w:line="219" w:lineRule="auto"/>
        <w:rPr>
          <w:sz w:val="29"/>
          <w:szCs w:val="29"/>
        </w:rPr>
      </w:pPr>
      <w:r>
        <w:rPr>
          <w:sz w:val="29"/>
          <w:szCs w:val="29"/>
          <w:spacing w:val="4"/>
        </w:rPr>
        <w:t>气温继续上升，重点工作是补植苗木和预防病虫害。</w:t>
      </w:r>
    </w:p>
    <w:p>
      <w:pPr>
        <w:pStyle w:val="BodyText"/>
        <w:ind w:left="640"/>
        <w:spacing w:before="22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79"/>
        <w:spacing w:before="133" w:line="219" w:lineRule="auto"/>
        <w:rPr>
          <w:sz w:val="29"/>
          <w:szCs w:val="29"/>
        </w:rPr>
      </w:pPr>
      <w:r>
        <w:rPr>
          <w:sz w:val="29"/>
          <w:szCs w:val="29"/>
          <w:spacing w:val="6"/>
        </w:rPr>
        <w:t>(1)及时检查乔木支撑情况，发现松动或缺失立即加固；</w:t>
      </w:r>
    </w:p>
    <w:p>
      <w:pPr>
        <w:pStyle w:val="BodyText"/>
        <w:ind w:left="59" w:right="449" w:firstLine="720"/>
        <w:spacing w:before="146" w:line="265" w:lineRule="auto"/>
        <w:rPr>
          <w:sz w:val="29"/>
          <w:szCs w:val="29"/>
        </w:rPr>
      </w:pPr>
      <w:r>
        <w:rPr>
          <w:sz w:val="29"/>
          <w:szCs w:val="29"/>
          <w:spacing w:val="6"/>
        </w:rPr>
        <w:t>(2)拆除防寒：对去年做防寒措施的苗木在本月中下旬可适当打开防寒措</w:t>
      </w:r>
      <w:r>
        <w:rPr>
          <w:sz w:val="29"/>
          <w:szCs w:val="29"/>
          <w:spacing w:val="1"/>
        </w:rPr>
        <w:t xml:space="preserve"> </w:t>
      </w:r>
      <w:r>
        <w:rPr>
          <w:sz w:val="29"/>
          <w:szCs w:val="29"/>
        </w:rPr>
        <w:t>施，以防止苗木地上部分因水分不足造成的干枯。</w:t>
      </w:r>
    </w:p>
    <w:p>
      <w:pPr>
        <w:pStyle w:val="BodyText"/>
        <w:ind w:left="640"/>
        <w:spacing w:before="205"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spacing w:line="221" w:lineRule="auto"/>
        <w:sectPr>
          <w:headerReference w:type="default" r:id="rId583"/>
          <w:footerReference w:type="default" r:id="rId584"/>
          <w:pgSz w:w="14490" w:h="20470"/>
          <w:pgMar w:top="1189" w:right="1825" w:bottom="1033" w:left="2100" w:header="799" w:footer="835" w:gutter="0"/>
        </w:sectPr>
        <w:rPr>
          <w:rFonts w:ascii="SimHei" w:hAnsi="SimHei" w:eastAsia="SimHei" w:cs="SimHei"/>
          <w:sz w:val="29"/>
          <w:szCs w:val="29"/>
        </w:rPr>
      </w:pPr>
    </w:p>
    <w:p>
      <w:pPr>
        <w:spacing w:line="271" w:lineRule="auto"/>
        <w:rPr>
          <w:rFonts w:ascii="Arial"/>
          <w:sz w:val="21"/>
        </w:rPr>
      </w:pPr>
      <w:r/>
    </w:p>
    <w:p>
      <w:pPr>
        <w:spacing w:line="271" w:lineRule="auto"/>
        <w:rPr>
          <w:rFonts w:ascii="Arial"/>
          <w:sz w:val="21"/>
        </w:rPr>
      </w:pPr>
      <w:r/>
    </w:p>
    <w:p>
      <w:pPr>
        <w:pStyle w:val="BodyText"/>
        <w:ind w:left="779"/>
        <w:spacing w:before="94" w:line="219" w:lineRule="auto"/>
        <w:rPr>
          <w:sz w:val="29"/>
          <w:szCs w:val="29"/>
        </w:rPr>
      </w:pPr>
      <w:r>
        <w:rPr>
          <w:sz w:val="29"/>
          <w:szCs w:val="29"/>
          <w:spacing w:val="4"/>
        </w:rPr>
        <w:t>(1)对生长过量的地被、绿篱及灌木枝条在其新芽开始膨大前进行回缩；</w:t>
      </w:r>
    </w:p>
    <w:p>
      <w:pPr>
        <w:pStyle w:val="BodyText"/>
        <w:ind w:left="779"/>
        <w:spacing w:before="147" w:line="219" w:lineRule="auto"/>
        <w:rPr>
          <w:sz w:val="29"/>
          <w:szCs w:val="29"/>
        </w:rPr>
      </w:pPr>
      <w:r>
        <w:rPr>
          <w:sz w:val="29"/>
          <w:szCs w:val="29"/>
          <w:spacing w:val="8"/>
        </w:rPr>
        <w:t>(2)草坪解除休眠前进行疏除枯草层工作。</w:t>
      </w:r>
    </w:p>
    <w:p>
      <w:pPr>
        <w:ind w:left="640"/>
        <w:spacing w:before="123"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49" w:right="292" w:firstLine="730"/>
        <w:spacing w:before="121" w:line="282" w:lineRule="auto"/>
        <w:rPr>
          <w:sz w:val="29"/>
          <w:szCs w:val="29"/>
        </w:rPr>
      </w:pPr>
      <w:r>
        <w:rPr>
          <w:sz w:val="29"/>
          <w:szCs w:val="29"/>
          <w:spacing w:val="7"/>
        </w:rPr>
        <w:t>(1)春灌：春季干旱多风，且蒸发量大，为防止苗木出现干旱的情况，应</w:t>
      </w:r>
      <w:r>
        <w:rPr>
          <w:sz w:val="29"/>
          <w:szCs w:val="29"/>
          <w:spacing w:val="15"/>
        </w:rPr>
        <w:t xml:space="preserve"> </w:t>
      </w:r>
      <w:r>
        <w:rPr>
          <w:sz w:val="29"/>
          <w:szCs w:val="29"/>
          <w:spacing w:val="-1"/>
        </w:rPr>
        <w:t>对绿化地及时浇水，以确保苗木不会出现旱情。且春灌对苗木特别是草</w:t>
      </w:r>
      <w:r>
        <w:rPr>
          <w:sz w:val="29"/>
          <w:szCs w:val="29"/>
          <w:spacing w:val="-2"/>
        </w:rPr>
        <w:t>坪的返青</w:t>
      </w:r>
      <w:r>
        <w:rPr>
          <w:sz w:val="29"/>
          <w:szCs w:val="29"/>
        </w:rPr>
        <w:t xml:space="preserve"> </w:t>
      </w:r>
      <w:r>
        <w:rPr>
          <w:sz w:val="29"/>
          <w:szCs w:val="29"/>
          <w:spacing w:val="-6"/>
        </w:rPr>
        <w:t>非常重要；</w:t>
      </w:r>
    </w:p>
    <w:p>
      <w:pPr>
        <w:pStyle w:val="BodyText"/>
        <w:ind w:left="779"/>
        <w:spacing w:before="142" w:line="219" w:lineRule="auto"/>
        <w:rPr>
          <w:sz w:val="29"/>
          <w:szCs w:val="29"/>
        </w:rPr>
      </w:pPr>
      <w:r>
        <w:rPr>
          <w:sz w:val="29"/>
          <w:szCs w:val="29"/>
          <w:spacing w:val="5"/>
        </w:rPr>
        <w:t>(2)3月底追施一次有机复合肥(有机质45%)。</w:t>
      </w:r>
    </w:p>
    <w:p>
      <w:pPr>
        <w:pStyle w:val="BodyText"/>
        <w:ind w:left="640"/>
        <w:spacing w:before="125"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779"/>
        <w:spacing w:before="145" w:line="219" w:lineRule="auto"/>
        <w:rPr>
          <w:sz w:val="29"/>
          <w:szCs w:val="29"/>
        </w:rPr>
      </w:pPr>
      <w:r>
        <w:rPr>
          <w:sz w:val="29"/>
          <w:szCs w:val="29"/>
          <w:spacing w:val="8"/>
        </w:rPr>
        <w:t>(1)病害：根腐病、流胶病等；</w:t>
      </w:r>
    </w:p>
    <w:p>
      <w:pPr>
        <w:pStyle w:val="BodyText"/>
        <w:ind w:left="49" w:right="347" w:firstLine="730"/>
        <w:spacing w:before="125" w:line="269" w:lineRule="auto"/>
        <w:rPr>
          <w:sz w:val="29"/>
          <w:szCs w:val="29"/>
        </w:rPr>
      </w:pPr>
      <w:r>
        <w:rPr>
          <w:sz w:val="29"/>
          <w:szCs w:val="29"/>
          <w:spacing w:val="6"/>
        </w:rPr>
        <w:t>(2)虫害：柏肤小蠹、白蚁、铜绿丽金龟、大地老虎、沟</w:t>
      </w:r>
      <w:r>
        <w:rPr>
          <w:sz w:val="29"/>
          <w:szCs w:val="29"/>
          <w:spacing w:val="5"/>
        </w:rPr>
        <w:t>金针虫、玉带凤</w:t>
      </w:r>
      <w:r>
        <w:rPr>
          <w:sz w:val="29"/>
          <w:szCs w:val="29"/>
        </w:rPr>
        <w:t xml:space="preserve"> </w:t>
      </w:r>
      <w:r>
        <w:rPr>
          <w:sz w:val="29"/>
          <w:szCs w:val="29"/>
          <w:spacing w:val="-4"/>
        </w:rPr>
        <w:t>蝶等。</w:t>
      </w:r>
    </w:p>
    <w:p>
      <w:pPr>
        <w:pStyle w:val="BodyText"/>
        <w:ind w:left="640"/>
        <w:spacing w:before="15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49" w:right="350" w:firstLine="730"/>
        <w:spacing w:before="103" w:line="262"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2"/>
        </w:rPr>
        <w:t>池、灯杆、垃圾桶保持干净；</w:t>
      </w:r>
    </w:p>
    <w:p>
      <w:pPr>
        <w:pStyle w:val="BodyText"/>
        <w:ind w:left="49" w:right="303" w:firstLine="730"/>
        <w:spacing w:before="127" w:line="269"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0"/>
        </w:rPr>
        <w:t>售展示区)进行彻底清理。</w:t>
      </w:r>
    </w:p>
    <w:p>
      <w:pPr>
        <w:ind w:left="640"/>
        <w:spacing w:before="22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left="49" w:right="351" w:firstLine="730"/>
        <w:spacing w:before="74" w:line="266" w:lineRule="auto"/>
        <w:rPr>
          <w:sz w:val="29"/>
          <w:szCs w:val="29"/>
        </w:rPr>
      </w:pPr>
      <w:r>
        <w:rPr>
          <w:sz w:val="29"/>
          <w:szCs w:val="29"/>
          <w:spacing w:val="6"/>
        </w:rPr>
        <w:t>(1)库房物品整理，物料工具出入库及领用登记</w:t>
      </w:r>
      <w:r>
        <w:rPr>
          <w:sz w:val="29"/>
          <w:szCs w:val="29"/>
          <w:spacing w:val="5"/>
        </w:rPr>
        <w:t>，注意保管汽油、农药等</w:t>
      </w:r>
      <w:r>
        <w:rPr>
          <w:sz w:val="29"/>
          <w:szCs w:val="29"/>
        </w:rPr>
        <w:t xml:space="preserve"> </w:t>
      </w:r>
      <w:r>
        <w:rPr>
          <w:sz w:val="29"/>
          <w:szCs w:val="29"/>
          <w:spacing w:val="-11"/>
        </w:rPr>
        <w:t>危险品；</w:t>
      </w:r>
    </w:p>
    <w:p>
      <w:pPr>
        <w:pStyle w:val="BodyText"/>
        <w:ind w:left="49" w:right="349" w:firstLine="730"/>
        <w:spacing w:before="161" w:line="271" w:lineRule="auto"/>
        <w:rPr>
          <w:sz w:val="29"/>
          <w:szCs w:val="29"/>
        </w:rPr>
      </w:pPr>
      <w:r>
        <w:rPr>
          <w:sz w:val="29"/>
          <w:szCs w:val="29"/>
          <w:spacing w:val="1"/>
        </w:rPr>
        <w:t>(2)根据现场的实际情况，申请购置4、5、6月份的农药、化肥、营养剂及</w:t>
      </w:r>
      <w:r>
        <w:rPr>
          <w:sz w:val="29"/>
          <w:szCs w:val="29"/>
          <w:spacing w:val="9"/>
        </w:rPr>
        <w:t xml:space="preserve"> </w:t>
      </w:r>
      <w:r>
        <w:rPr>
          <w:sz w:val="29"/>
          <w:szCs w:val="29"/>
          <w:spacing w:val="-9"/>
        </w:rPr>
        <w:t>其它物资。</w:t>
      </w:r>
    </w:p>
    <w:p>
      <w:pPr>
        <w:pStyle w:val="BodyText"/>
        <w:ind w:left="640"/>
        <w:spacing w:before="168"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left="49" w:firstLine="590"/>
        <w:spacing w:before="108"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6"/>
        </w:rPr>
        <w:t>防盗情况。</w:t>
      </w:r>
    </w:p>
    <w:p>
      <w:pPr>
        <w:ind w:left="49"/>
        <w:spacing w:before="106"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49" w:right="281" w:firstLine="590"/>
        <w:spacing w:before="96" w:line="297" w:lineRule="auto"/>
        <w:rPr>
          <w:sz w:val="29"/>
          <w:szCs w:val="29"/>
        </w:rPr>
      </w:pPr>
      <w:r>
        <w:rPr>
          <w:sz w:val="29"/>
          <w:szCs w:val="29"/>
          <w:spacing w:val="-10"/>
        </w:rPr>
        <w:t>气温继续上升，苗木开始萌芽开花展叶，进入生长旺盛期，重点是肥水管理和</w:t>
      </w:r>
      <w:r>
        <w:rPr>
          <w:sz w:val="29"/>
          <w:szCs w:val="29"/>
          <w:spacing w:val="11"/>
        </w:rPr>
        <w:t xml:space="preserve"> </w:t>
      </w:r>
      <w:r>
        <w:rPr>
          <w:sz w:val="29"/>
          <w:szCs w:val="29"/>
          <w:spacing w:val="10"/>
        </w:rPr>
        <w:t>预防病虫害。</w:t>
      </w:r>
    </w:p>
    <w:p>
      <w:pPr>
        <w:pStyle w:val="BodyText"/>
        <w:ind w:left="640"/>
        <w:spacing w:before="98"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79"/>
        <w:spacing w:before="144" w:line="219" w:lineRule="auto"/>
        <w:rPr>
          <w:sz w:val="29"/>
          <w:szCs w:val="29"/>
        </w:rPr>
      </w:pPr>
      <w:r>
        <w:rPr>
          <w:sz w:val="29"/>
          <w:szCs w:val="29"/>
          <w:spacing w:val="-2"/>
        </w:rPr>
        <w:t>(1)</w:t>
      </w:r>
      <w:r>
        <w:rPr>
          <w:sz w:val="29"/>
          <w:szCs w:val="29"/>
          <w:spacing w:val="55"/>
        </w:rPr>
        <w:t xml:space="preserve"> </w:t>
      </w:r>
      <w:r>
        <w:rPr>
          <w:sz w:val="29"/>
          <w:szCs w:val="29"/>
          <w:spacing w:val="-2"/>
        </w:rPr>
        <w:t>及时检查乔木支撑情况，发现松动或缺失立即加固；</w:t>
      </w:r>
    </w:p>
    <w:p>
      <w:pPr>
        <w:pStyle w:val="BodyText"/>
        <w:ind w:left="49" w:right="342" w:firstLine="730"/>
        <w:spacing w:before="145" w:line="272" w:lineRule="auto"/>
        <w:rPr>
          <w:sz w:val="29"/>
          <w:szCs w:val="29"/>
        </w:rPr>
      </w:pPr>
      <w:r>
        <w:rPr>
          <w:sz w:val="29"/>
          <w:szCs w:val="29"/>
          <w:spacing w:val="6"/>
        </w:rPr>
        <w:t>(2)本月继续对园区内需要整改的区域进行整改补植苗木，对需要更</w:t>
      </w:r>
      <w:r>
        <w:rPr>
          <w:sz w:val="29"/>
          <w:szCs w:val="29"/>
          <w:spacing w:val="5"/>
        </w:rPr>
        <w:t>换的</w:t>
      </w:r>
      <w:r>
        <w:rPr>
          <w:sz w:val="29"/>
          <w:szCs w:val="29"/>
        </w:rPr>
        <w:t xml:space="preserve"> </w:t>
      </w:r>
      <w:r>
        <w:rPr>
          <w:sz w:val="29"/>
          <w:szCs w:val="29"/>
          <w:spacing w:val="-1"/>
        </w:rPr>
        <w:t>苗木进行及时更换，对新栽植的苗木要及时浇水。</w:t>
      </w:r>
    </w:p>
    <w:p>
      <w:pPr>
        <w:pStyle w:val="BodyText"/>
        <w:ind w:left="640"/>
        <w:spacing w:before="16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779"/>
        <w:spacing w:before="106" w:line="219" w:lineRule="auto"/>
        <w:rPr>
          <w:sz w:val="29"/>
          <w:szCs w:val="29"/>
        </w:rPr>
      </w:pPr>
      <w:r>
        <w:rPr>
          <w:sz w:val="29"/>
          <w:szCs w:val="29"/>
          <w:spacing w:val="6"/>
        </w:rPr>
        <w:t>(1)地被、绿篱、造型树及时修剪，注意对地被、绿篱保留部分更新枝。</w:t>
      </w:r>
    </w:p>
    <w:p>
      <w:pPr>
        <w:spacing w:line="219" w:lineRule="auto"/>
        <w:sectPr>
          <w:headerReference w:type="default" r:id="rId585"/>
          <w:footerReference w:type="default" r:id="rId586"/>
          <w:pgSz w:w="14490" w:h="20470"/>
          <w:pgMar w:top="1199" w:right="1935" w:bottom="1033" w:left="2100" w:header="799" w:footer="834" w:gutter="0"/>
        </w:sectPr>
        <w:rPr>
          <w:sz w:val="29"/>
          <w:szCs w:val="29"/>
        </w:rPr>
      </w:pPr>
    </w:p>
    <w:p>
      <w:pPr>
        <w:spacing w:line="276" w:lineRule="auto"/>
        <w:rPr>
          <w:rFonts w:ascii="Arial"/>
          <w:sz w:val="21"/>
        </w:rPr>
      </w:pPr>
      <w:r/>
    </w:p>
    <w:p>
      <w:pPr>
        <w:spacing w:line="276" w:lineRule="auto"/>
        <w:rPr>
          <w:rFonts w:ascii="Arial"/>
          <w:sz w:val="21"/>
        </w:rPr>
      </w:pPr>
      <w:r/>
    </w:p>
    <w:p>
      <w:pPr>
        <w:pStyle w:val="BodyText"/>
        <w:ind w:left="49"/>
        <w:spacing w:before="94" w:line="219" w:lineRule="auto"/>
        <w:rPr>
          <w:sz w:val="29"/>
          <w:szCs w:val="29"/>
        </w:rPr>
      </w:pPr>
      <w:r>
        <w:rPr>
          <w:sz w:val="29"/>
          <w:szCs w:val="29"/>
          <w:spacing w:val="1"/>
        </w:rPr>
        <w:t>对生长过量的地被、绿篱及灌木枝条在新芽开始膨大时进行回缩；</w:t>
      </w:r>
    </w:p>
    <w:p>
      <w:pPr>
        <w:pStyle w:val="BodyText"/>
        <w:ind w:left="779"/>
        <w:spacing w:before="156" w:line="219" w:lineRule="auto"/>
        <w:rPr>
          <w:sz w:val="29"/>
          <w:szCs w:val="29"/>
        </w:rPr>
      </w:pPr>
      <w:r>
        <w:rPr>
          <w:sz w:val="29"/>
          <w:szCs w:val="29"/>
          <w:spacing w:val="7"/>
        </w:rPr>
        <w:t>(2)草皮地被内出现杂草，要对其进行及时清理干净。</w:t>
      </w:r>
    </w:p>
    <w:p>
      <w:pPr>
        <w:pStyle w:val="BodyText"/>
        <w:ind w:left="640"/>
        <w:spacing w:before="64"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left="49" w:right="423" w:firstLine="730"/>
        <w:spacing w:before="167" w:line="262" w:lineRule="auto"/>
        <w:rPr>
          <w:sz w:val="29"/>
          <w:szCs w:val="29"/>
        </w:rPr>
      </w:pPr>
      <w:r>
        <w:rPr>
          <w:sz w:val="29"/>
          <w:szCs w:val="29"/>
          <w:spacing w:val="7"/>
        </w:rPr>
        <w:t>(1)继续对绿化带内苗木及草坪进行浇水以保证苗木正常生</w:t>
      </w:r>
      <w:r>
        <w:rPr>
          <w:sz w:val="29"/>
          <w:szCs w:val="29"/>
          <w:spacing w:val="6"/>
        </w:rPr>
        <w:t>长，草坪早日</w:t>
      </w:r>
      <w:r>
        <w:rPr>
          <w:sz w:val="29"/>
          <w:szCs w:val="29"/>
        </w:rPr>
        <w:t xml:space="preserve"> </w:t>
      </w:r>
      <w:r>
        <w:rPr>
          <w:sz w:val="29"/>
          <w:szCs w:val="29"/>
          <w:spacing w:val="-18"/>
        </w:rPr>
        <w:t>返青；</w:t>
      </w:r>
    </w:p>
    <w:p>
      <w:pPr>
        <w:pStyle w:val="BodyText"/>
        <w:ind w:left="49" w:right="521" w:firstLine="730"/>
        <w:spacing w:before="156" w:line="259" w:lineRule="auto"/>
        <w:rPr>
          <w:sz w:val="29"/>
          <w:szCs w:val="29"/>
        </w:rPr>
      </w:pPr>
      <w:r>
        <w:rPr>
          <w:sz w:val="29"/>
          <w:szCs w:val="29"/>
          <w:spacing w:val="-4"/>
        </w:rPr>
        <w:t>(2)4月中旬或下旬环施、撒施一次有无机复合</w:t>
      </w:r>
      <w:r>
        <w:rPr>
          <w:sz w:val="29"/>
          <w:szCs w:val="29"/>
          <w:spacing w:val="-5"/>
        </w:rPr>
        <w:t>肥(含有15  总养分以上，有</w:t>
      </w:r>
      <w:r>
        <w:rPr>
          <w:sz w:val="29"/>
          <w:szCs w:val="29"/>
        </w:rPr>
        <w:t xml:space="preserve"> </w:t>
      </w:r>
      <w:r>
        <w:rPr>
          <w:sz w:val="29"/>
          <w:szCs w:val="29"/>
          <w:spacing w:val="5"/>
        </w:rPr>
        <w:t>机质大于20%一次，施肥后注意配合浇水，防止发生肥害；</w:t>
      </w:r>
    </w:p>
    <w:p>
      <w:pPr>
        <w:pStyle w:val="BodyText"/>
        <w:ind w:left="779"/>
        <w:spacing w:before="185" w:line="219" w:lineRule="auto"/>
        <w:rPr>
          <w:sz w:val="29"/>
          <w:szCs w:val="29"/>
        </w:rPr>
      </w:pPr>
      <w:r>
        <w:rPr>
          <w:sz w:val="29"/>
          <w:szCs w:val="29"/>
          <w:spacing w:val="6"/>
        </w:rPr>
        <w:t>(3)每周全园浇水一次，如土壤板结可配合打孔，有</w:t>
      </w:r>
      <w:r>
        <w:rPr>
          <w:sz w:val="29"/>
          <w:szCs w:val="29"/>
          <w:spacing w:val="5"/>
        </w:rPr>
        <w:t>利于土壤渗水吸收。</w:t>
      </w:r>
    </w:p>
    <w:p>
      <w:pPr>
        <w:pStyle w:val="BodyText"/>
        <w:ind w:left="640"/>
        <w:spacing w:before="106"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79"/>
        <w:spacing w:before="125" w:line="219" w:lineRule="auto"/>
        <w:rPr>
          <w:sz w:val="29"/>
          <w:szCs w:val="29"/>
        </w:rPr>
      </w:pPr>
      <w:r>
        <w:rPr>
          <w:sz w:val="29"/>
          <w:szCs w:val="29"/>
          <w:spacing w:val="7"/>
        </w:rPr>
        <w:t>(1)病害：炭疽病、叶斑类病害、锈病、根腐</w:t>
      </w:r>
      <w:r>
        <w:rPr>
          <w:sz w:val="29"/>
          <w:szCs w:val="29"/>
          <w:spacing w:val="6"/>
        </w:rPr>
        <w:t>病、流胶病等；</w:t>
      </w:r>
    </w:p>
    <w:p>
      <w:pPr>
        <w:pStyle w:val="BodyText"/>
        <w:ind w:left="49" w:right="330" w:firstLine="730"/>
        <w:spacing w:before="164" w:line="281" w:lineRule="auto"/>
        <w:rPr>
          <w:sz w:val="29"/>
          <w:szCs w:val="29"/>
        </w:rPr>
      </w:pPr>
      <w:r>
        <w:rPr>
          <w:sz w:val="29"/>
          <w:szCs w:val="29"/>
          <w:spacing w:val="8"/>
        </w:rPr>
        <w:t>(2)虫害：大青叶蝉、桃蚜、桃粉蚜、桃</w:t>
      </w:r>
      <w:r>
        <w:rPr>
          <w:sz w:val="29"/>
          <w:szCs w:val="29"/>
          <w:spacing w:val="7"/>
        </w:rPr>
        <w:t>瘤蚜、梨网冠蝽、桔绿粉虱、星</w:t>
      </w:r>
      <w:r>
        <w:rPr>
          <w:sz w:val="29"/>
          <w:szCs w:val="29"/>
        </w:rPr>
        <w:t xml:space="preserve"> </w:t>
      </w:r>
      <w:r>
        <w:rPr>
          <w:sz w:val="29"/>
          <w:szCs w:val="29"/>
          <w:spacing w:val="1"/>
        </w:rPr>
        <w:t>天牛、芳香木蠹蛾、白杨透翅蛾、柏肤小蠹、白蚁、小青花金龟、铜绿丽金</w:t>
      </w:r>
      <w:r>
        <w:rPr>
          <w:sz w:val="29"/>
          <w:szCs w:val="29"/>
        </w:rPr>
        <w:t>龟、 </w:t>
      </w:r>
      <w:r>
        <w:rPr>
          <w:sz w:val="29"/>
          <w:szCs w:val="29"/>
          <w:spacing w:val="1"/>
        </w:rPr>
        <w:t>大地老虎、沟金针虫、细胸金针虫、玉带凤蝶、柳蓝叶甲等。</w:t>
      </w:r>
    </w:p>
    <w:p>
      <w:pPr>
        <w:pStyle w:val="BodyText"/>
        <w:ind w:left="640"/>
        <w:spacing w:before="12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49" w:right="460" w:firstLine="730"/>
        <w:spacing w:before="114" w:line="265"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1"/>
        </w:rPr>
        <w:t>池、灯杆、垃圾桶保持干净；</w:t>
      </w:r>
    </w:p>
    <w:p>
      <w:pPr>
        <w:pStyle w:val="BodyText"/>
        <w:ind w:left="49" w:right="423" w:firstLine="730"/>
        <w:spacing w:before="157" w:line="256"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640"/>
        <w:spacing w:before="173" w:line="396"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时花摆放</w:t>
      </w:r>
    </w:p>
    <w:p>
      <w:pPr>
        <w:pStyle w:val="BodyText"/>
        <w:ind w:left="779"/>
        <w:spacing w:before="87" w:line="219" w:lineRule="auto"/>
        <w:rPr>
          <w:sz w:val="29"/>
          <w:szCs w:val="29"/>
        </w:rPr>
      </w:pPr>
      <w:r>
        <w:rPr>
          <w:sz w:val="29"/>
          <w:szCs w:val="29"/>
          <w:spacing w:val="5"/>
        </w:rPr>
        <w:t>(1)月初提交时花需求计划，选择亮色花卉，安排下旬进场；</w:t>
      </w:r>
    </w:p>
    <w:p>
      <w:pPr>
        <w:pStyle w:val="BodyText"/>
        <w:ind w:left="779"/>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640"/>
        <w:spacing w:before="11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spacing w:before="14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640"/>
        <w:spacing w:before="51"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left="49" w:right="120" w:firstLine="590"/>
        <w:spacing w:before="150"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49"/>
        <w:spacing w:before="52" w:line="223" w:lineRule="auto"/>
        <w:rPr>
          <w:rFonts w:ascii="SimHei" w:hAnsi="SimHei" w:eastAsia="SimHei" w:cs="SimHei"/>
          <w:sz w:val="29"/>
          <w:szCs w:val="29"/>
        </w:rPr>
      </w:pPr>
      <w:r>
        <w:rPr>
          <w:rFonts w:ascii="SimHei" w:hAnsi="SimHei" w:eastAsia="SimHei" w:cs="SimHei"/>
          <w:sz w:val="29"/>
          <w:szCs w:val="29"/>
          <w:spacing w:val="6"/>
        </w:rPr>
        <w:t>五月份</w:t>
      </w:r>
    </w:p>
    <w:p>
      <w:pPr>
        <w:pStyle w:val="BodyText"/>
        <w:ind w:left="640"/>
        <w:spacing w:before="117" w:line="219" w:lineRule="auto"/>
        <w:rPr>
          <w:sz w:val="29"/>
          <w:szCs w:val="29"/>
        </w:rPr>
      </w:pPr>
      <w:r>
        <w:rPr>
          <w:sz w:val="29"/>
          <w:szCs w:val="29"/>
          <w:spacing w:val="4"/>
        </w:rPr>
        <w:t>本月气温上升较快，苗木进人快速生长期，注意病虫</w:t>
      </w:r>
      <w:r>
        <w:rPr>
          <w:sz w:val="29"/>
          <w:szCs w:val="29"/>
          <w:spacing w:val="3"/>
        </w:rPr>
        <w:t>害防治。</w:t>
      </w:r>
    </w:p>
    <w:p>
      <w:pPr>
        <w:pStyle w:val="BodyText"/>
        <w:ind w:left="640"/>
        <w:spacing w:before="22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40"/>
        <w:spacing w:before="133" w:line="219" w:lineRule="auto"/>
        <w:rPr>
          <w:sz w:val="29"/>
          <w:szCs w:val="29"/>
        </w:rPr>
      </w:pPr>
      <w:r>
        <w:rPr>
          <w:sz w:val="29"/>
          <w:szCs w:val="29"/>
        </w:rPr>
        <w:t>及时检查乔木支撑情况，发现松动或缺失立即加固。</w:t>
      </w:r>
    </w:p>
    <w:p>
      <w:pPr>
        <w:ind w:left="640"/>
        <w:spacing w:before="114"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left="779"/>
        <w:spacing w:before="123" w:line="219" w:lineRule="auto"/>
        <w:rPr>
          <w:sz w:val="29"/>
          <w:szCs w:val="29"/>
        </w:rPr>
      </w:pPr>
      <w:r>
        <w:rPr>
          <w:sz w:val="29"/>
          <w:szCs w:val="29"/>
          <w:spacing w:val="8"/>
        </w:rPr>
        <w:t>(1)对已经开过花的植株进行修剪；</w:t>
      </w:r>
    </w:p>
    <w:p>
      <w:pPr>
        <w:pStyle w:val="BodyText"/>
        <w:ind w:left="779"/>
        <w:spacing w:before="156" w:line="219" w:lineRule="auto"/>
        <w:rPr>
          <w:sz w:val="29"/>
          <w:szCs w:val="29"/>
        </w:rPr>
      </w:pPr>
      <w:r>
        <w:rPr>
          <w:sz w:val="29"/>
          <w:szCs w:val="29"/>
          <w:spacing w:val="8"/>
        </w:rPr>
        <w:t>(2)乔木进行萌芽枝条的修剪；</w:t>
      </w:r>
    </w:p>
    <w:p>
      <w:pPr>
        <w:spacing w:line="219" w:lineRule="auto"/>
        <w:sectPr>
          <w:headerReference w:type="default" r:id="rId587"/>
          <w:footerReference w:type="default" r:id="rId588"/>
          <w:pgSz w:w="14490" w:h="20470"/>
          <w:pgMar w:top="1199" w:right="1825" w:bottom="1061" w:left="2100" w:header="789" w:footer="862" w:gutter="0"/>
        </w:sectPr>
        <w:rPr>
          <w:sz w:val="29"/>
          <w:szCs w:val="29"/>
        </w:rPr>
      </w:pPr>
    </w:p>
    <w:p>
      <w:pPr>
        <w:spacing w:line="294" w:lineRule="auto"/>
        <w:rPr>
          <w:rFonts w:ascii="Arial"/>
          <w:sz w:val="21"/>
        </w:rPr>
      </w:pPr>
      <w:r/>
    </w:p>
    <w:p>
      <w:pPr>
        <w:spacing w:line="295" w:lineRule="auto"/>
        <w:rPr>
          <w:rFonts w:ascii="Arial"/>
          <w:sz w:val="21"/>
        </w:rPr>
      </w:pPr>
      <w:r/>
    </w:p>
    <w:p>
      <w:pPr>
        <w:pStyle w:val="BodyText"/>
        <w:ind w:left="779"/>
        <w:spacing w:before="88" w:line="219" w:lineRule="auto"/>
        <w:rPr>
          <w:sz w:val="27"/>
          <w:szCs w:val="27"/>
        </w:rPr>
      </w:pPr>
      <w:r>
        <w:rPr>
          <w:sz w:val="27"/>
          <w:szCs w:val="27"/>
          <w:spacing w:val="27"/>
        </w:rPr>
        <w:t>(3)地被、绿篱、造型树及时修剪。</w:t>
      </w:r>
    </w:p>
    <w:p>
      <w:pPr>
        <w:ind w:left="640"/>
        <w:spacing w:before="118" w:line="222"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left="49" w:right="380" w:firstLine="730"/>
        <w:spacing w:before="153" w:line="263" w:lineRule="auto"/>
        <w:rPr>
          <w:sz w:val="29"/>
          <w:szCs w:val="29"/>
        </w:rPr>
      </w:pPr>
      <w:r>
        <w:rPr>
          <w:sz w:val="29"/>
          <w:szCs w:val="29"/>
          <w:spacing w:val="7"/>
        </w:rPr>
        <w:t>(1)浇水：苗木展叶生长期，对水分的需求较大，需要及时浇水</w:t>
      </w:r>
      <w:r>
        <w:rPr>
          <w:sz w:val="29"/>
          <w:szCs w:val="29"/>
          <w:spacing w:val="6"/>
        </w:rPr>
        <w:t>，满足苗</w:t>
      </w:r>
      <w:r>
        <w:rPr>
          <w:sz w:val="29"/>
          <w:szCs w:val="29"/>
        </w:rPr>
        <w:t xml:space="preserve"> </w:t>
      </w:r>
      <w:r>
        <w:rPr>
          <w:sz w:val="29"/>
          <w:szCs w:val="29"/>
          <w:spacing w:val="-3"/>
        </w:rPr>
        <w:t>木的正常生长需求；</w:t>
      </w:r>
    </w:p>
    <w:p>
      <w:pPr>
        <w:pStyle w:val="BodyText"/>
        <w:ind w:left="49" w:right="244" w:firstLine="730"/>
        <w:spacing w:before="131" w:line="281" w:lineRule="auto"/>
        <w:rPr>
          <w:sz w:val="29"/>
          <w:szCs w:val="29"/>
        </w:rPr>
      </w:pPr>
      <w:r>
        <w:rPr>
          <w:sz w:val="29"/>
          <w:szCs w:val="29"/>
          <w:spacing w:val="6"/>
        </w:rPr>
        <w:t>(2)5月中旬如果苗木长势效果较差则使用氮、磷、钾均衡型速效性复合肥</w:t>
      </w:r>
      <w:r>
        <w:rPr>
          <w:sz w:val="29"/>
          <w:szCs w:val="29"/>
          <w:spacing w:val="15"/>
        </w:rPr>
        <w:t xml:space="preserve"> </w:t>
      </w:r>
      <w:r>
        <w:rPr>
          <w:sz w:val="29"/>
          <w:szCs w:val="29"/>
        </w:rPr>
        <w:t>氮15-18、磷15-18、钾15-18)。对检查发现生长欠佳的草</w:t>
      </w:r>
      <w:r>
        <w:rPr>
          <w:sz w:val="29"/>
          <w:szCs w:val="29"/>
          <w:spacing w:val="-1"/>
        </w:rPr>
        <w:t>坪，如色泽失常，则应</w:t>
      </w:r>
      <w:r>
        <w:rPr>
          <w:sz w:val="29"/>
          <w:szCs w:val="29"/>
        </w:rPr>
        <w:t xml:space="preserve"> </w:t>
      </w:r>
      <w:r>
        <w:rPr>
          <w:sz w:val="29"/>
          <w:szCs w:val="29"/>
        </w:rPr>
        <w:t>迅速增施一次高氮素肥料，可以促进绿叶返青。</w:t>
      </w:r>
    </w:p>
    <w:p>
      <w:pPr>
        <w:pStyle w:val="BodyText"/>
        <w:ind w:left="640"/>
        <w:spacing w:before="21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49" w:right="409" w:firstLine="730"/>
        <w:spacing w:before="94" w:line="266"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4"/>
        </w:rPr>
        <w:t>病、细菌性穿孔病等；</w:t>
      </w:r>
    </w:p>
    <w:p>
      <w:pPr>
        <w:pStyle w:val="BodyText"/>
        <w:ind w:left="49" w:right="321" w:firstLine="730"/>
        <w:spacing w:before="154" w:line="291" w:lineRule="auto"/>
        <w:rPr>
          <w:sz w:val="29"/>
          <w:szCs w:val="29"/>
        </w:rPr>
      </w:pPr>
      <w:r>
        <w:rPr>
          <w:sz w:val="29"/>
          <w:szCs w:val="29"/>
          <w:spacing w:val="-10"/>
        </w:rPr>
        <w:t>(2)虫害：桃一点斑叶蝉、大青叶蝉、桃蚜、桃粉蚜、桃瘤蚜、梨网冠蝽、桔</w:t>
      </w:r>
      <w:r>
        <w:rPr>
          <w:sz w:val="29"/>
          <w:szCs w:val="29"/>
          <w:spacing w:val="18"/>
        </w:rPr>
        <w:t xml:space="preserve"> </w:t>
      </w:r>
      <w:r>
        <w:rPr>
          <w:sz w:val="29"/>
          <w:szCs w:val="29"/>
          <w:spacing w:val="-12"/>
        </w:rPr>
        <w:t>绿粉虱、星天牛、芳香木蠹蛾、白杨透翅蛾、柏肤小蠹、白蚁、小青花金龟、大黑</w:t>
      </w:r>
      <w:r>
        <w:rPr>
          <w:sz w:val="29"/>
          <w:szCs w:val="29"/>
        </w:rPr>
        <w:t xml:space="preserve">  </w:t>
      </w:r>
      <w:r>
        <w:rPr>
          <w:sz w:val="29"/>
          <w:szCs w:val="29"/>
          <w:spacing w:val="-8"/>
        </w:rPr>
        <w:t>鳃金龟、铜绿丽金龟、大地老虎、蝼蛄、细胸金针虫、桃剑纹夜蛾、丝棉木金星尺</w:t>
      </w:r>
      <w:r>
        <w:rPr>
          <w:sz w:val="29"/>
          <w:szCs w:val="29"/>
        </w:rPr>
        <w:t xml:space="preserve"> </w:t>
      </w:r>
      <w:r>
        <w:rPr>
          <w:sz w:val="29"/>
          <w:szCs w:val="29"/>
          <w:spacing w:val="-24"/>
        </w:rPr>
        <w:t>蛾、国槐尺蛾、绿尾大蚕蛾、柑桔凤蝶、玉带凤蝶、樟青凤蝶、柳蓝叶甲、葡萄十星叶</w:t>
      </w:r>
      <w:r>
        <w:rPr>
          <w:sz w:val="29"/>
          <w:szCs w:val="29"/>
          <w:spacing w:val="4"/>
        </w:rPr>
        <w:t xml:space="preserve"> </w:t>
      </w:r>
      <w:r>
        <w:rPr>
          <w:sz w:val="29"/>
          <w:szCs w:val="29"/>
          <w:spacing w:val="-21"/>
        </w:rPr>
        <w:t>甲等。</w:t>
      </w:r>
    </w:p>
    <w:p>
      <w:pPr>
        <w:pStyle w:val="BodyText"/>
        <w:ind w:left="640"/>
        <w:spacing w:before="17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49" w:right="409" w:firstLine="730"/>
        <w:spacing w:before="7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left="49" w:right="402" w:firstLine="730"/>
        <w:spacing w:before="157"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left="640"/>
        <w:spacing w:before="132"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spacing w:before="119" w:line="219" w:lineRule="auto"/>
        <w:jc w:val="right"/>
        <w:rPr>
          <w:sz w:val="29"/>
          <w:szCs w:val="29"/>
        </w:rPr>
      </w:pPr>
      <w:r>
        <w:rPr>
          <w:sz w:val="29"/>
          <w:szCs w:val="29"/>
          <w:spacing w:val="1"/>
        </w:rPr>
        <w:t>库房物品整理，物料工具出入库及领用登记，注意保</w:t>
      </w:r>
      <w:r>
        <w:rPr>
          <w:sz w:val="29"/>
          <w:szCs w:val="29"/>
        </w:rPr>
        <w:t>管汽油、农药等危险品。</w:t>
      </w:r>
    </w:p>
    <w:p>
      <w:pPr>
        <w:pStyle w:val="BodyText"/>
        <w:ind w:left="640"/>
        <w:spacing w:before="8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left="49" w:right="79" w:firstLine="590"/>
        <w:spacing w:before="14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49"/>
        <w:spacing w:before="52"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640"/>
        <w:spacing w:before="129" w:line="219" w:lineRule="auto"/>
        <w:rPr>
          <w:sz w:val="29"/>
          <w:szCs w:val="29"/>
        </w:rPr>
      </w:pPr>
      <w:r>
        <w:rPr>
          <w:sz w:val="29"/>
          <w:szCs w:val="29"/>
          <w:spacing w:val="4"/>
        </w:rPr>
        <w:t>气温逐渐达到高峰，可能出现雷雨大风天气，工人注</w:t>
      </w:r>
      <w:r>
        <w:rPr>
          <w:sz w:val="29"/>
          <w:szCs w:val="29"/>
          <w:spacing w:val="3"/>
        </w:rPr>
        <w:t>意防暑。</w:t>
      </w:r>
    </w:p>
    <w:p>
      <w:pPr>
        <w:pStyle w:val="BodyText"/>
        <w:ind w:left="640"/>
        <w:spacing w:before="22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40"/>
        <w:spacing w:before="143" w:line="219" w:lineRule="auto"/>
        <w:rPr>
          <w:sz w:val="29"/>
          <w:szCs w:val="29"/>
        </w:rPr>
      </w:pPr>
      <w:r>
        <w:rPr>
          <w:sz w:val="29"/>
          <w:szCs w:val="29"/>
        </w:rPr>
        <w:t>及时检查乔木支撑情况，发现松动或缺失立即加固。</w:t>
      </w:r>
    </w:p>
    <w:p>
      <w:pPr>
        <w:ind w:left="640"/>
        <w:spacing w:before="104"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left="49" w:right="413" w:firstLine="730"/>
        <w:spacing w:before="124" w:line="269" w:lineRule="auto"/>
        <w:rPr>
          <w:sz w:val="29"/>
          <w:szCs w:val="29"/>
        </w:rPr>
      </w:pPr>
      <w:r>
        <w:rPr>
          <w:sz w:val="29"/>
          <w:szCs w:val="29"/>
          <w:spacing w:val="6"/>
        </w:rPr>
        <w:t>(1)继续对行道树进行剥芽除蘖工作。对绿篱、球类及部分花灌木</w:t>
      </w:r>
      <w:r>
        <w:rPr>
          <w:sz w:val="29"/>
          <w:szCs w:val="29"/>
          <w:spacing w:val="5"/>
        </w:rPr>
        <w:t>实施修</w:t>
      </w:r>
      <w:r>
        <w:rPr>
          <w:sz w:val="29"/>
          <w:szCs w:val="29"/>
        </w:rPr>
        <w:t xml:space="preserve"> </w:t>
      </w:r>
      <w:r>
        <w:rPr>
          <w:sz w:val="29"/>
          <w:szCs w:val="29"/>
          <w:spacing w:val="-12"/>
        </w:rPr>
        <w:t>剪；</w:t>
      </w:r>
    </w:p>
    <w:p>
      <w:pPr>
        <w:pStyle w:val="BodyText"/>
        <w:ind w:left="779"/>
        <w:spacing w:before="154" w:line="219" w:lineRule="auto"/>
        <w:rPr>
          <w:sz w:val="29"/>
          <w:szCs w:val="29"/>
        </w:rPr>
      </w:pPr>
      <w:r>
        <w:rPr>
          <w:sz w:val="29"/>
          <w:szCs w:val="29"/>
          <w:spacing w:val="7"/>
        </w:rPr>
        <w:t>(2)从本月起应经常修整草坪边缘，通常使用月牙状的铲子和长木板将草</w:t>
      </w:r>
    </w:p>
    <w:p>
      <w:pPr>
        <w:spacing w:line="219" w:lineRule="auto"/>
        <w:sectPr>
          <w:headerReference w:type="default" r:id="rId589"/>
          <w:footerReference w:type="default" r:id="rId590"/>
          <w:pgSz w:w="14490" w:h="20470"/>
          <w:pgMar w:top="1199" w:right="1865" w:bottom="1061" w:left="2100" w:header="799" w:footer="862" w:gutter="0"/>
        </w:sectPr>
        <w:rPr>
          <w:sz w:val="29"/>
          <w:szCs w:val="29"/>
        </w:rPr>
      </w:pPr>
    </w:p>
    <w:p>
      <w:pPr>
        <w:spacing w:line="282" w:lineRule="auto"/>
        <w:rPr>
          <w:rFonts w:ascii="Arial"/>
          <w:sz w:val="21"/>
        </w:rPr>
      </w:pPr>
      <w:r/>
    </w:p>
    <w:p>
      <w:pPr>
        <w:spacing w:line="282" w:lineRule="auto"/>
        <w:rPr>
          <w:rFonts w:ascii="Arial"/>
          <w:sz w:val="21"/>
        </w:rPr>
      </w:pPr>
      <w:r/>
    </w:p>
    <w:p>
      <w:pPr>
        <w:pStyle w:val="BodyText"/>
        <w:ind w:left="49"/>
        <w:spacing w:before="94" w:line="219" w:lineRule="auto"/>
        <w:rPr>
          <w:sz w:val="29"/>
          <w:szCs w:val="29"/>
        </w:rPr>
      </w:pPr>
      <w:r>
        <w:rPr>
          <w:sz w:val="29"/>
          <w:szCs w:val="29"/>
          <w:spacing w:val="1"/>
        </w:rPr>
        <w:t>坪边切齐。</w:t>
      </w:r>
    </w:p>
    <w:p>
      <w:pPr>
        <w:pStyle w:val="BodyText"/>
        <w:ind w:left="640"/>
        <w:spacing w:before="62"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left="640"/>
        <w:spacing w:before="158" w:line="219" w:lineRule="auto"/>
        <w:rPr>
          <w:sz w:val="29"/>
          <w:szCs w:val="29"/>
        </w:rPr>
      </w:pPr>
      <w:r>
        <w:rPr>
          <w:sz w:val="29"/>
          <w:szCs w:val="29"/>
          <w:spacing w:val="-1"/>
        </w:rPr>
        <w:t>植物需水量大，要及时浇水，不能“看天吃饭”。</w:t>
      </w:r>
    </w:p>
    <w:p>
      <w:pPr>
        <w:pStyle w:val="BodyText"/>
        <w:ind w:left="640"/>
        <w:spacing w:before="113"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49" w:right="379" w:firstLine="730"/>
        <w:spacing w:before="134" w:line="269" w:lineRule="auto"/>
        <w:rPr>
          <w:sz w:val="29"/>
          <w:szCs w:val="29"/>
        </w:rPr>
      </w:pPr>
      <w:r>
        <w:rPr>
          <w:sz w:val="29"/>
          <w:szCs w:val="29"/>
          <w:spacing w:val="4"/>
        </w:rPr>
        <w:t>(1)病害：白粉病、炭疽病、锈病、煤污病、叶枯病、干腐病、枝枯病、</w:t>
      </w:r>
      <w:r>
        <w:rPr>
          <w:sz w:val="29"/>
          <w:szCs w:val="29"/>
          <w:spacing w:val="17"/>
        </w:rPr>
        <w:t xml:space="preserve"> </w:t>
      </w:r>
      <w:r>
        <w:rPr>
          <w:sz w:val="29"/>
          <w:szCs w:val="29"/>
        </w:rPr>
        <w:t>流胶病、枯萎病、草坪腐霉枯萎病、细菌性穿孔病、冠瘿病等；</w:t>
      </w:r>
    </w:p>
    <w:p>
      <w:pPr>
        <w:pStyle w:val="BodyText"/>
        <w:ind w:left="49" w:firstLine="730"/>
        <w:spacing w:before="159" w:line="294" w:lineRule="auto"/>
        <w:rPr>
          <w:sz w:val="29"/>
          <w:szCs w:val="29"/>
        </w:rPr>
      </w:pPr>
      <w:r>
        <w:rPr>
          <w:sz w:val="29"/>
          <w:szCs w:val="29"/>
          <w:spacing w:val="8"/>
        </w:rPr>
        <w:t>(2)虫害：桃一点斑叶蝉、大青叶蝉、桃粉蚜、梨网冠蝽、梧桐木虱、花</w:t>
      </w:r>
      <w:r>
        <w:rPr>
          <w:sz w:val="29"/>
          <w:szCs w:val="29"/>
          <w:spacing w:val="6"/>
        </w:rPr>
        <w:t xml:space="preserve">  </w:t>
      </w:r>
      <w:r>
        <w:rPr>
          <w:sz w:val="29"/>
          <w:szCs w:val="29"/>
          <w:spacing w:val="-9"/>
        </w:rPr>
        <w:t>蓟马、桑天牛、星天牛、光肩星天牛、芳香木蠹蛾、白杨透翅蛾、柏肤小蠹</w:t>
      </w:r>
      <w:r>
        <w:rPr>
          <w:sz w:val="29"/>
          <w:szCs w:val="29"/>
          <w:spacing w:val="-10"/>
        </w:rPr>
        <w:t>、白蚁、</w:t>
      </w:r>
      <w:r>
        <w:rPr>
          <w:sz w:val="29"/>
          <w:szCs w:val="29"/>
        </w:rPr>
        <w:t xml:space="preserve"> </w:t>
      </w:r>
      <w:r>
        <w:rPr>
          <w:sz w:val="29"/>
          <w:szCs w:val="29"/>
          <w:spacing w:val="-8"/>
        </w:rPr>
        <w:t>小青花金龟、大黑鳃金龟、大地老虎、蝼蛄、细胸金针虫、黄刺蛾、</w:t>
      </w:r>
      <w:r>
        <w:rPr>
          <w:sz w:val="29"/>
          <w:szCs w:val="29"/>
          <w:spacing w:val="-9"/>
        </w:rPr>
        <w:t>丽绿刺蛾、褐</w:t>
      </w:r>
      <w:r>
        <w:rPr>
          <w:sz w:val="29"/>
          <w:szCs w:val="29"/>
        </w:rPr>
        <w:t xml:space="preserve">  </w:t>
      </w:r>
      <w:r>
        <w:rPr>
          <w:sz w:val="29"/>
          <w:szCs w:val="29"/>
          <w:spacing w:val="-9"/>
        </w:rPr>
        <w:t>边绿刺蛾、桑褐刺蛾、茶袋蛾、大袋蛾、黄尾毒蛾、桃剑纹夜蛾、丝棉木金</w:t>
      </w:r>
      <w:r>
        <w:rPr>
          <w:sz w:val="29"/>
          <w:szCs w:val="29"/>
          <w:spacing w:val="-10"/>
        </w:rPr>
        <w:t>星尺蛾、</w:t>
      </w:r>
      <w:r>
        <w:rPr>
          <w:sz w:val="29"/>
          <w:szCs w:val="29"/>
        </w:rPr>
        <w:t xml:space="preserve"> </w:t>
      </w:r>
      <w:r>
        <w:rPr>
          <w:sz w:val="29"/>
          <w:szCs w:val="29"/>
          <w:spacing w:val="-15"/>
        </w:rPr>
        <w:t>国槐尺蛾、绿尾大蚕蛾、柑桔凤蝶、玉带凤蝶、樟青凤蝶</w:t>
      </w:r>
      <w:r>
        <w:rPr>
          <w:sz w:val="29"/>
          <w:szCs w:val="29"/>
          <w:spacing w:val="-16"/>
        </w:rPr>
        <w:t>、柳蓝叶甲、葡萄十星叶甲</w:t>
      </w:r>
      <w:r>
        <w:rPr>
          <w:sz w:val="29"/>
          <w:szCs w:val="29"/>
        </w:rPr>
        <w:t xml:space="preserve">  </w:t>
      </w:r>
      <w:r>
        <w:rPr>
          <w:sz w:val="29"/>
          <w:szCs w:val="29"/>
          <w:spacing w:val="-14"/>
        </w:rPr>
        <w:t>等。</w:t>
      </w:r>
    </w:p>
    <w:p>
      <w:pPr>
        <w:pStyle w:val="BodyText"/>
        <w:ind w:left="640"/>
        <w:spacing w:before="16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49" w:right="329" w:firstLine="730"/>
        <w:spacing w:before="8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left="49" w:right="323" w:firstLine="730"/>
        <w:spacing w:before="16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40"/>
        <w:spacing w:before="17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left="49" w:right="331" w:firstLine="730"/>
        <w:spacing w:before="9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49" w:right="329" w:firstLine="730"/>
        <w:spacing w:before="154" w:line="267"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8"/>
        </w:rPr>
        <w:t>其它物资；</w:t>
      </w:r>
    </w:p>
    <w:p>
      <w:pPr>
        <w:pStyle w:val="BodyText"/>
        <w:ind w:left="779"/>
        <w:spacing w:before="149" w:line="219" w:lineRule="auto"/>
        <w:rPr>
          <w:sz w:val="29"/>
          <w:szCs w:val="29"/>
        </w:rPr>
      </w:pPr>
      <w:r>
        <w:rPr>
          <w:sz w:val="29"/>
          <w:szCs w:val="29"/>
          <w:spacing w:val="9"/>
        </w:rPr>
        <w:t>(3)进行机械工具的检查维修。</w:t>
      </w:r>
    </w:p>
    <w:p>
      <w:pPr>
        <w:pStyle w:val="BodyText"/>
        <w:ind w:left="640"/>
        <w:spacing w:before="11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left="49" w:firstLine="590"/>
        <w:spacing w:before="12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49"/>
        <w:spacing w:before="72"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640"/>
        <w:spacing w:before="127" w:line="219" w:lineRule="auto"/>
        <w:rPr>
          <w:sz w:val="29"/>
          <w:szCs w:val="29"/>
        </w:rPr>
      </w:pPr>
      <w:r>
        <w:rPr>
          <w:sz w:val="29"/>
          <w:szCs w:val="29"/>
          <w:spacing w:val="3"/>
        </w:rPr>
        <w:t>气温最高，中旬以后会出现大风，矣中及以北地区</w:t>
      </w:r>
      <w:r>
        <w:rPr>
          <w:sz w:val="29"/>
          <w:szCs w:val="29"/>
          <w:spacing w:val="2"/>
        </w:rPr>
        <w:t>偶尔有大雨出现</w:t>
      </w:r>
    </w:p>
    <w:p>
      <w:pPr>
        <w:pStyle w:val="BodyText"/>
        <w:ind w:left="640"/>
        <w:spacing w:before="23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40"/>
        <w:spacing w:before="113" w:line="219" w:lineRule="auto"/>
        <w:rPr>
          <w:sz w:val="29"/>
          <w:szCs w:val="29"/>
        </w:rPr>
      </w:pPr>
      <w:r>
        <w:rPr>
          <w:sz w:val="29"/>
          <w:szCs w:val="29"/>
        </w:rPr>
        <w:t>及时检查乔木支撑情况，发现松动或缺失立即加固。</w:t>
      </w:r>
    </w:p>
    <w:p>
      <w:pPr>
        <w:ind w:left="640"/>
        <w:spacing w:before="13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left="49" w:right="333" w:firstLine="730"/>
        <w:spacing w:before="115" w:line="340" w:lineRule="auto"/>
        <w:rPr>
          <w:sz w:val="29"/>
          <w:szCs w:val="29"/>
        </w:rPr>
      </w:pPr>
      <w:r>
        <w:rPr>
          <w:sz w:val="29"/>
          <w:szCs w:val="29"/>
        </w:rPr>
        <w:t>(1)</w:t>
      </w:r>
      <w:r>
        <w:rPr>
          <w:sz w:val="29"/>
          <w:szCs w:val="29"/>
          <w:spacing w:val="63"/>
        </w:rPr>
        <w:t xml:space="preserve"> </w:t>
      </w:r>
      <w:r>
        <w:rPr>
          <w:sz w:val="29"/>
          <w:szCs w:val="29"/>
        </w:rPr>
        <w:t>及时修剪地被、绿篱与造型树的徒长枝</w:t>
      </w:r>
      <w:r>
        <w:rPr>
          <w:sz w:val="29"/>
          <w:szCs w:val="29"/>
          <w:spacing w:val="-1"/>
        </w:rPr>
        <w:t>。对与电线、园路有矛盾的树</w:t>
      </w:r>
      <w:r>
        <w:rPr>
          <w:sz w:val="29"/>
          <w:szCs w:val="29"/>
        </w:rPr>
        <w:t xml:space="preserve"> </w:t>
      </w:r>
      <w:r>
        <w:rPr>
          <w:sz w:val="29"/>
          <w:szCs w:val="29"/>
          <w:spacing w:val="1"/>
        </w:rPr>
        <w:t>枝一律修剪，并对树桩逐个检查，发现松垮、不稳立</w:t>
      </w:r>
      <w:r>
        <w:rPr>
          <w:sz w:val="29"/>
          <w:szCs w:val="29"/>
        </w:rPr>
        <w:t>即扶正绑紧；</w:t>
      </w:r>
    </w:p>
    <w:p>
      <w:pPr>
        <w:spacing w:line="340" w:lineRule="auto"/>
        <w:sectPr>
          <w:headerReference w:type="default" r:id="rId591"/>
          <w:footerReference w:type="default" r:id="rId592"/>
          <w:pgSz w:w="14490" w:h="20470"/>
          <w:pgMar w:top="1189" w:right="1944" w:bottom="1047" w:left="2100" w:header="799" w:footer="830" w:gutter="0"/>
        </w:sectPr>
        <w:rPr>
          <w:sz w:val="29"/>
          <w:szCs w:val="29"/>
        </w:rPr>
      </w:pPr>
    </w:p>
    <w:p>
      <w:pPr>
        <w:spacing w:line="276" w:lineRule="auto"/>
        <w:rPr>
          <w:rFonts w:ascii="Arial"/>
          <w:sz w:val="21"/>
        </w:rPr>
      </w:pPr>
      <w:r/>
    </w:p>
    <w:p>
      <w:pPr>
        <w:spacing w:line="276" w:lineRule="auto"/>
        <w:rPr>
          <w:rFonts w:ascii="Arial"/>
          <w:sz w:val="21"/>
        </w:rPr>
      </w:pPr>
      <w:r/>
    </w:p>
    <w:p>
      <w:pPr>
        <w:pStyle w:val="BodyText"/>
        <w:ind w:left="59" w:right="352" w:firstLine="720"/>
        <w:spacing w:before="95" w:line="321" w:lineRule="auto"/>
        <w:rPr>
          <w:sz w:val="29"/>
          <w:szCs w:val="29"/>
        </w:rPr>
      </w:pPr>
      <w:r>
        <w:rPr>
          <w:sz w:val="29"/>
          <w:szCs w:val="29"/>
          <w:spacing w:val="6"/>
        </w:rPr>
        <w:t>(2)事先做好劳力组织、物资材料、工具设备</w:t>
      </w:r>
      <w:r>
        <w:rPr>
          <w:sz w:val="29"/>
          <w:szCs w:val="29"/>
          <w:spacing w:val="5"/>
        </w:rPr>
        <w:t>等方面的准备，并随时派人</w:t>
      </w:r>
      <w:r>
        <w:rPr>
          <w:sz w:val="29"/>
          <w:szCs w:val="29"/>
        </w:rPr>
        <w:t xml:space="preserve"> </w:t>
      </w:r>
      <w:r>
        <w:rPr>
          <w:sz w:val="29"/>
          <w:szCs w:val="29"/>
          <w:spacing w:val="-1"/>
        </w:rPr>
        <w:t>检查，发现险情及时处理。</w:t>
      </w:r>
    </w:p>
    <w:p>
      <w:pPr>
        <w:ind w:left="640"/>
        <w:spacing w:before="40" w:line="222"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left="59" w:right="348" w:firstLine="580"/>
        <w:spacing w:before="102" w:line="308" w:lineRule="auto"/>
        <w:rPr>
          <w:sz w:val="29"/>
          <w:szCs w:val="29"/>
        </w:rPr>
      </w:pPr>
      <w:r>
        <w:rPr>
          <w:sz w:val="29"/>
          <w:szCs w:val="29"/>
          <w:spacing w:val="-12"/>
        </w:rPr>
        <w:t>本月为高温、干旱、雨水少，仍注意苗木实时浇水，同时也要注意时花的适时</w:t>
      </w:r>
      <w:r>
        <w:rPr>
          <w:sz w:val="29"/>
          <w:szCs w:val="29"/>
          <w:spacing w:val="13"/>
        </w:rPr>
        <w:t xml:space="preserve"> </w:t>
      </w:r>
      <w:r>
        <w:rPr>
          <w:sz w:val="29"/>
          <w:szCs w:val="29"/>
          <w:spacing w:val="-2"/>
        </w:rPr>
        <w:t>浇水。</w:t>
      </w:r>
    </w:p>
    <w:p>
      <w:pPr>
        <w:pStyle w:val="BodyText"/>
        <w:ind w:left="640"/>
        <w:spacing w:before="40"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59" w:right="251" w:firstLine="720"/>
        <w:spacing w:before="104" w:line="266"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4"/>
        </w:rPr>
        <w:t>坪腐霉枯萎病、细菌性穿孔病、冠瘿病、花叶病等；</w:t>
      </w:r>
    </w:p>
    <w:p>
      <w:pPr>
        <w:pStyle w:val="BodyText"/>
        <w:ind w:left="59" w:firstLine="720"/>
        <w:spacing w:before="134" w:line="292" w:lineRule="auto"/>
        <w:rPr>
          <w:sz w:val="29"/>
          <w:szCs w:val="29"/>
        </w:rPr>
      </w:pPr>
      <w:r>
        <w:rPr>
          <w:sz w:val="29"/>
          <w:szCs w:val="29"/>
          <w:spacing w:val="4"/>
        </w:rPr>
        <w:t>(2)虫害：桃一点斑叶蝉、大青叶蝉、梨网冠蝽、梧桐木虱、朱砂叶螨(棉</w:t>
      </w:r>
      <w:r>
        <w:rPr>
          <w:sz w:val="29"/>
          <w:szCs w:val="29"/>
          <w:spacing w:val="6"/>
        </w:rPr>
        <w:t xml:space="preserve">  </w:t>
      </w:r>
      <w:r>
        <w:rPr>
          <w:sz w:val="29"/>
          <w:szCs w:val="29"/>
          <w:spacing w:val="5"/>
        </w:rPr>
        <w:t>花红蜘蛛、红叶螨)、花蓟马、桑天牛、星天牛</w:t>
      </w:r>
      <w:r>
        <w:rPr>
          <w:sz w:val="29"/>
          <w:szCs w:val="29"/>
          <w:spacing w:val="4"/>
        </w:rPr>
        <w:t>、光肩星天牛、芳香木蠹蛾、白</w:t>
      </w:r>
      <w:r>
        <w:rPr>
          <w:sz w:val="29"/>
          <w:szCs w:val="29"/>
        </w:rPr>
        <w:t xml:space="preserve">  </w:t>
      </w:r>
      <w:r>
        <w:rPr>
          <w:sz w:val="29"/>
          <w:szCs w:val="29"/>
          <w:spacing w:val="-9"/>
        </w:rPr>
        <w:t>蚁、小青花金龟、大黑鳃金龟、大地老虎、蝼蛄、细胸金针虫、黄刺蛾、丽</w:t>
      </w:r>
      <w:r>
        <w:rPr>
          <w:sz w:val="29"/>
          <w:szCs w:val="29"/>
          <w:spacing w:val="-10"/>
        </w:rPr>
        <w:t>绿刺蛾、</w:t>
      </w:r>
      <w:r>
        <w:rPr>
          <w:sz w:val="29"/>
          <w:szCs w:val="29"/>
        </w:rPr>
        <w:t xml:space="preserve"> </w:t>
      </w:r>
      <w:r>
        <w:rPr>
          <w:sz w:val="29"/>
          <w:szCs w:val="29"/>
          <w:spacing w:val="-8"/>
        </w:rPr>
        <w:t>褐边绿刺蛾、桑褐刺蛾、茶袋蛾、大袋蛾、黄尾毒蛾、桃剑</w:t>
      </w:r>
      <w:r>
        <w:rPr>
          <w:sz w:val="29"/>
          <w:szCs w:val="29"/>
          <w:spacing w:val="-9"/>
        </w:rPr>
        <w:t>纹夜蛾、丝棉木金星尺</w:t>
      </w:r>
      <w:r>
        <w:rPr>
          <w:sz w:val="29"/>
          <w:szCs w:val="29"/>
        </w:rPr>
        <w:t xml:space="preserve">  </w:t>
      </w:r>
      <w:r>
        <w:rPr>
          <w:sz w:val="29"/>
          <w:szCs w:val="29"/>
          <w:spacing w:val="-13"/>
        </w:rPr>
        <w:t>蛾、国槐尺蛾、绿尾大蚕蛾、柑桔凤蝶、玉带凤蝶、</w:t>
      </w:r>
      <w:r>
        <w:rPr>
          <w:sz w:val="29"/>
          <w:szCs w:val="29"/>
          <w:spacing w:val="-14"/>
        </w:rPr>
        <w:t>樟青凤蝶、柳蓝叶甲等。</w:t>
      </w:r>
    </w:p>
    <w:p>
      <w:pPr>
        <w:pStyle w:val="BodyText"/>
        <w:ind w:left="64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59" w:right="350" w:firstLine="720"/>
        <w:spacing w:before="123" w:line="262"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2"/>
        </w:rPr>
        <w:t>池、灯杆、垃圾桶保持干净；</w:t>
      </w:r>
    </w:p>
    <w:p>
      <w:pPr>
        <w:pStyle w:val="BodyText"/>
        <w:ind w:left="59" w:right="343" w:firstLine="720"/>
        <w:spacing w:before="156" w:line="263" w:lineRule="auto"/>
        <w:rPr>
          <w:sz w:val="29"/>
          <w:szCs w:val="29"/>
        </w:rPr>
      </w:pPr>
      <w:r>
        <w:rPr>
          <w:sz w:val="29"/>
          <w:szCs w:val="29"/>
          <w:spacing w:val="10"/>
        </w:rPr>
        <w:t>(2)在业主上班高峰期前对园区内的重点区域(大门内外、主干通道、销 </w:t>
      </w:r>
      <w:r>
        <w:rPr>
          <w:sz w:val="29"/>
          <w:szCs w:val="29"/>
          <w:spacing w:val="11"/>
        </w:rPr>
        <w:t>售展示区)进行彻底清理。</w:t>
      </w:r>
    </w:p>
    <w:p>
      <w:pPr>
        <w:pStyle w:val="BodyText"/>
        <w:ind w:left="640"/>
        <w:spacing w:before="122" w:line="396"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ind w:left="59" w:right="351" w:firstLine="720"/>
        <w:spacing w:before="106" w:line="270" w:lineRule="auto"/>
        <w:rPr>
          <w:sz w:val="29"/>
          <w:szCs w:val="29"/>
        </w:rPr>
      </w:pPr>
      <w:r>
        <w:rPr>
          <w:sz w:val="29"/>
          <w:szCs w:val="29"/>
          <w:spacing w:val="6"/>
        </w:rPr>
        <w:t>(1)库房物品整理，物料工具出入库及领用登记</w:t>
      </w:r>
      <w:r>
        <w:rPr>
          <w:sz w:val="29"/>
          <w:szCs w:val="29"/>
          <w:spacing w:val="5"/>
        </w:rPr>
        <w:t>，注意保管汽油、农药等</w:t>
      </w:r>
      <w:r>
        <w:rPr>
          <w:sz w:val="29"/>
          <w:szCs w:val="29"/>
        </w:rPr>
        <w:t xml:space="preserve"> </w:t>
      </w:r>
      <w:r>
        <w:rPr>
          <w:sz w:val="29"/>
          <w:szCs w:val="29"/>
          <w:spacing w:val="-9"/>
        </w:rPr>
        <w:t>危险品；</w:t>
      </w:r>
    </w:p>
    <w:p>
      <w:pPr>
        <w:pStyle w:val="BodyText"/>
        <w:ind w:left="779"/>
        <w:spacing w:before="162" w:line="219" w:lineRule="auto"/>
        <w:rPr>
          <w:sz w:val="29"/>
          <w:szCs w:val="29"/>
        </w:rPr>
      </w:pPr>
      <w:r>
        <w:rPr>
          <w:sz w:val="29"/>
          <w:szCs w:val="29"/>
          <w:spacing w:val="11"/>
        </w:rPr>
        <w:t>(2)进行机械工具的检查维修。</w:t>
      </w:r>
    </w:p>
    <w:p>
      <w:pPr>
        <w:pStyle w:val="BodyText"/>
        <w:ind w:left="640"/>
        <w:spacing w:before="9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left="59" w:firstLine="580"/>
        <w:spacing w:before="13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ind w:left="59"/>
        <w:spacing w:before="52"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640"/>
        <w:spacing w:before="127" w:line="219" w:lineRule="auto"/>
        <w:rPr>
          <w:sz w:val="29"/>
          <w:szCs w:val="29"/>
        </w:rPr>
      </w:pPr>
      <w:r>
        <w:rPr>
          <w:sz w:val="29"/>
          <w:szCs w:val="29"/>
          <w:spacing w:val="3"/>
        </w:rPr>
        <w:t>高温天气，矣中及以北地区偶有大雨，秦岭以南注意排涝。</w:t>
      </w:r>
    </w:p>
    <w:p>
      <w:pPr>
        <w:ind w:left="640"/>
        <w:spacing w:before="206" w:line="222" w:lineRule="auto"/>
        <w:rPr>
          <w:rFonts w:ascii="SimHei" w:hAnsi="SimHei" w:eastAsia="SimHei" w:cs="SimHei"/>
          <w:sz w:val="29"/>
          <w:szCs w:val="29"/>
        </w:rPr>
      </w:pPr>
      <w:r>
        <w:rPr>
          <w:rFonts w:ascii="SimHei" w:hAnsi="SimHei" w:eastAsia="SimHei" w:cs="SimHei"/>
          <w:sz w:val="29"/>
          <w:szCs w:val="29"/>
          <w:spacing w:val="-4"/>
        </w:rPr>
        <w:t>1</w:t>
      </w:r>
      <w:r>
        <w:rPr>
          <w:rFonts w:ascii="SimHei" w:hAnsi="SimHei" w:eastAsia="SimHei" w:cs="SimHei"/>
          <w:sz w:val="29"/>
          <w:szCs w:val="29"/>
          <w:spacing w:val="-74"/>
        </w:rPr>
        <w:t xml:space="preserve"> </w:t>
      </w:r>
      <w:r>
        <w:rPr>
          <w:rFonts w:ascii="SimHei" w:hAnsi="SimHei" w:eastAsia="SimHei" w:cs="SimHei"/>
          <w:sz w:val="29"/>
          <w:szCs w:val="29"/>
          <w:spacing w:val="-4"/>
        </w:rPr>
        <w:t>、现场检查</w:t>
      </w:r>
    </w:p>
    <w:p>
      <w:pPr>
        <w:pStyle w:val="BodyText"/>
        <w:ind w:left="640"/>
        <w:spacing w:before="143" w:line="219" w:lineRule="auto"/>
        <w:rPr>
          <w:sz w:val="29"/>
          <w:szCs w:val="29"/>
        </w:rPr>
      </w:pPr>
      <w:r>
        <w:rPr>
          <w:sz w:val="29"/>
          <w:szCs w:val="29"/>
        </w:rPr>
        <w:t>及时检查乔木支撑情况，发现松动或缺失立即加固。</w:t>
      </w:r>
    </w:p>
    <w:p>
      <w:pPr>
        <w:pStyle w:val="BodyText"/>
        <w:ind w:left="640"/>
        <w:spacing w:before="114"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779"/>
        <w:spacing w:before="155" w:line="219" w:lineRule="auto"/>
        <w:rPr>
          <w:sz w:val="29"/>
          <w:szCs w:val="29"/>
        </w:rPr>
      </w:pPr>
      <w:r>
        <w:rPr>
          <w:sz w:val="29"/>
          <w:szCs w:val="29"/>
          <w:spacing w:val="6"/>
        </w:rPr>
        <w:t>(1)树木夏修外，要对绿篱、地被进行造型修剪；</w:t>
      </w:r>
    </w:p>
    <w:p>
      <w:pPr>
        <w:pStyle w:val="BodyText"/>
        <w:ind w:left="779"/>
        <w:spacing w:before="134" w:line="219" w:lineRule="auto"/>
        <w:rPr>
          <w:sz w:val="29"/>
          <w:szCs w:val="29"/>
        </w:rPr>
      </w:pPr>
      <w:r>
        <w:rPr>
          <w:sz w:val="29"/>
          <w:szCs w:val="29"/>
          <w:spacing w:val="8"/>
        </w:rPr>
        <w:t>(2)本月天气开始炎热，杂草生长快，应对全</w:t>
      </w:r>
      <w:r>
        <w:rPr>
          <w:sz w:val="29"/>
          <w:szCs w:val="29"/>
          <w:spacing w:val="7"/>
        </w:rPr>
        <w:t>园区的早熟禾、高羊茅与黑</w:t>
      </w:r>
    </w:p>
    <w:p>
      <w:pPr>
        <w:spacing w:line="219" w:lineRule="auto"/>
        <w:sectPr>
          <w:headerReference w:type="default" r:id="rId593"/>
          <w:footerReference w:type="default" r:id="rId594"/>
          <w:pgSz w:w="14490" w:h="20470"/>
          <w:pgMar w:top="1199" w:right="1935" w:bottom="1030" w:left="2100" w:header="799" w:footer="832" w:gutter="0"/>
        </w:sectPr>
        <w:rPr>
          <w:sz w:val="29"/>
          <w:szCs w:val="29"/>
        </w:rPr>
      </w:pPr>
    </w:p>
    <w:p>
      <w:pPr>
        <w:spacing w:line="280" w:lineRule="auto"/>
        <w:rPr>
          <w:rFonts w:ascii="Arial"/>
          <w:sz w:val="21"/>
        </w:rPr>
      </w:pPr>
      <w:r/>
    </w:p>
    <w:p>
      <w:pPr>
        <w:spacing w:line="280" w:lineRule="auto"/>
        <w:rPr>
          <w:rFonts w:ascii="Arial"/>
          <w:sz w:val="21"/>
        </w:rPr>
      </w:pPr>
      <w:r/>
    </w:p>
    <w:p>
      <w:pPr>
        <w:pStyle w:val="BodyText"/>
        <w:ind w:left="59" w:right="302"/>
        <w:spacing w:before="94" w:line="323" w:lineRule="auto"/>
        <w:rPr>
          <w:sz w:val="29"/>
          <w:szCs w:val="29"/>
        </w:rPr>
      </w:pPr>
      <w:r>
        <w:rPr>
          <w:sz w:val="29"/>
          <w:szCs w:val="29"/>
          <w:spacing w:val="11"/>
        </w:rPr>
        <w:t>麦草草坪喷雾除杂草，喷施一次即可(注意对其他植物进行</w:t>
      </w:r>
      <w:r>
        <w:rPr>
          <w:sz w:val="29"/>
          <w:szCs w:val="29"/>
          <w:spacing w:val="10"/>
        </w:rPr>
        <w:t>避让),有剩余则人</w:t>
      </w:r>
      <w:r>
        <w:rPr>
          <w:sz w:val="29"/>
          <w:szCs w:val="29"/>
        </w:rPr>
        <w:t xml:space="preserve"> </w:t>
      </w:r>
      <w:r>
        <w:rPr>
          <w:sz w:val="29"/>
          <w:szCs w:val="29"/>
          <w:spacing w:val="-5"/>
        </w:rPr>
        <w:t>工拔除。</w:t>
      </w:r>
    </w:p>
    <w:p>
      <w:pPr>
        <w:ind w:left="640"/>
        <w:spacing w:before="37" w:line="222"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left="59" w:right="337" w:firstLine="720"/>
        <w:spacing w:before="101" w:line="263" w:lineRule="auto"/>
        <w:rPr>
          <w:sz w:val="29"/>
          <w:szCs w:val="29"/>
        </w:rPr>
      </w:pPr>
      <w:r>
        <w:rPr>
          <w:sz w:val="29"/>
          <w:szCs w:val="29"/>
          <w:spacing w:val="6"/>
        </w:rPr>
        <w:t>(1)关中及以北地区高温、干旱、雨水少，仍注意苗木实时浇水，同时也</w:t>
      </w:r>
      <w:r>
        <w:rPr>
          <w:sz w:val="29"/>
          <w:szCs w:val="29"/>
          <w:spacing w:val="2"/>
        </w:rPr>
        <w:t xml:space="preserve"> </w:t>
      </w:r>
      <w:r>
        <w:rPr>
          <w:sz w:val="29"/>
          <w:szCs w:val="29"/>
          <w:spacing w:val="-3"/>
        </w:rPr>
        <w:t>要注意时花的适时浇水；</w:t>
      </w:r>
    </w:p>
    <w:p>
      <w:pPr>
        <w:pStyle w:val="BodyText"/>
        <w:ind w:left="779"/>
        <w:spacing w:before="134" w:line="219" w:lineRule="auto"/>
        <w:rPr>
          <w:sz w:val="29"/>
          <w:szCs w:val="29"/>
        </w:rPr>
      </w:pPr>
      <w:r>
        <w:rPr>
          <w:sz w:val="29"/>
          <w:szCs w:val="29"/>
          <w:spacing w:val="7"/>
        </w:rPr>
        <w:t>(2)秦岭以南汉中地区，会有暴雨出现，注意排涝。</w:t>
      </w:r>
    </w:p>
    <w:p>
      <w:pPr>
        <w:pStyle w:val="BodyText"/>
        <w:ind w:left="640"/>
        <w:spacing w:before="115" w:line="221" w:lineRule="auto"/>
        <w:rPr>
          <w:rFonts w:ascii="SimHei" w:hAnsi="SimHei" w:eastAsia="SimHei" w:cs="SimHei"/>
          <w:sz w:val="29"/>
          <w:szCs w:val="29"/>
        </w:rPr>
      </w:pPr>
      <w:r>
        <w:rPr>
          <w:rFonts w:ascii="Arial" w:hAnsi="Arial" w:eastAsia="Arial" w:cs="Arial"/>
          <w:sz w:val="29"/>
          <w:szCs w:val="29"/>
          <w:spacing w:val="1"/>
        </w:rPr>
        <w:t>4</w:t>
      </w:r>
      <w:r>
        <w:rPr>
          <w:sz w:val="29"/>
          <w:szCs w:val="29"/>
          <w:spacing w:val="1"/>
        </w:rPr>
        <w:t>、</w:t>
      </w:r>
      <w:r>
        <w:rPr>
          <w:rFonts w:ascii="SimHei" w:hAnsi="SimHei" w:eastAsia="SimHei" w:cs="SimHei"/>
          <w:sz w:val="29"/>
          <w:szCs w:val="29"/>
          <w:spacing w:val="1"/>
        </w:rPr>
        <w:t>病虫害防治</w:t>
      </w:r>
    </w:p>
    <w:p>
      <w:pPr>
        <w:pStyle w:val="BodyText"/>
        <w:ind w:left="59" w:right="343" w:firstLine="720"/>
        <w:spacing w:before="153" w:line="263"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spacing w:val="-1"/>
        </w:rPr>
        <w:t>腐霉枯萎病、细菌性穿孔病、冠瘿病、花叶病等；</w:t>
      </w:r>
    </w:p>
    <w:p>
      <w:pPr>
        <w:pStyle w:val="BodyText"/>
        <w:ind w:left="59" w:right="212" w:firstLine="720"/>
        <w:spacing w:before="153" w:line="279" w:lineRule="auto"/>
        <w:rPr>
          <w:sz w:val="29"/>
          <w:szCs w:val="29"/>
        </w:rPr>
      </w:pPr>
      <w:r>
        <w:rPr>
          <w:sz w:val="29"/>
          <w:szCs w:val="29"/>
          <w:spacing w:val="-3"/>
        </w:rPr>
        <w:t>(2)虫害：桃一点斑叶蝉、大青叶蝉、梨网冠蝽、梧桐木虱、朱砂叶</w:t>
      </w:r>
      <w:r>
        <w:rPr>
          <w:sz w:val="29"/>
          <w:szCs w:val="29"/>
          <w:spacing w:val="-4"/>
        </w:rPr>
        <w:t>螨(棉花</w:t>
      </w:r>
      <w:r>
        <w:rPr>
          <w:sz w:val="29"/>
          <w:szCs w:val="29"/>
        </w:rPr>
        <w:t xml:space="preserve"> </w:t>
      </w:r>
      <w:r>
        <w:rPr>
          <w:sz w:val="29"/>
          <w:szCs w:val="29"/>
          <w:spacing w:val="2"/>
        </w:rPr>
        <w:t>红蜘蛛、红叶螨)、花蓟马、桑天牛、光肩星天牛、芳香木蠹蛾、白蚁、小青花</w:t>
      </w:r>
      <w:r>
        <w:rPr>
          <w:sz w:val="29"/>
          <w:szCs w:val="29"/>
          <w:spacing w:val="16"/>
        </w:rPr>
        <w:t xml:space="preserve"> </w:t>
      </w:r>
      <w:r>
        <w:rPr>
          <w:sz w:val="29"/>
          <w:szCs w:val="29"/>
          <w:spacing w:val="-12"/>
        </w:rPr>
        <w:t>金龟、大地老虎、蝼蛄、细胸金针虫、黄刺蛾、丽绿刺蛾、褐边绿刺蛾、茶袋蛾、</w:t>
      </w:r>
    </w:p>
    <w:p>
      <w:pPr>
        <w:pStyle w:val="BodyText"/>
        <w:ind w:left="59" w:right="258"/>
        <w:spacing w:before="147" w:line="265" w:lineRule="auto"/>
        <w:rPr>
          <w:sz w:val="29"/>
          <w:szCs w:val="29"/>
        </w:rPr>
      </w:pPr>
      <w:r>
        <w:rPr>
          <w:sz w:val="29"/>
          <w:szCs w:val="29"/>
          <w:spacing w:val="-8"/>
        </w:rPr>
        <w:t>大袋蛾、黄尾毒蛾、丝棉木金星尺蛾、国槐</w:t>
      </w:r>
      <w:r>
        <w:rPr>
          <w:sz w:val="29"/>
          <w:szCs w:val="29"/>
          <w:spacing w:val="-9"/>
        </w:rPr>
        <w:t>尺蛾、绿尾大蚕蛾、柑桔凤蝶、玉带凤</w:t>
      </w:r>
      <w:r>
        <w:rPr>
          <w:sz w:val="29"/>
          <w:szCs w:val="29"/>
        </w:rPr>
        <w:t xml:space="preserve"> </w:t>
      </w:r>
      <w:r>
        <w:rPr>
          <w:sz w:val="29"/>
          <w:szCs w:val="29"/>
          <w:spacing w:val="-1"/>
        </w:rPr>
        <w:t>蝶、樟青凤蝶、柳蓝叶甲等。</w:t>
      </w:r>
    </w:p>
    <w:p>
      <w:pPr>
        <w:pStyle w:val="BodyText"/>
        <w:ind w:left="640"/>
        <w:spacing w:before="179"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pStyle w:val="BodyText"/>
        <w:ind w:left="59" w:right="339" w:firstLine="720"/>
        <w:spacing w:before="7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left="59" w:right="333" w:firstLine="720"/>
        <w:spacing w:before="157" w:line="26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0"/>
        </w:rPr>
        <w:t>售展示区)进行彻底清理。</w:t>
      </w:r>
    </w:p>
    <w:p>
      <w:pPr>
        <w:pStyle w:val="BodyText"/>
        <w:ind w:left="640"/>
        <w:spacing w:before="132"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物资管理</w:t>
      </w:r>
    </w:p>
    <w:p>
      <w:pPr>
        <w:pStyle w:val="BodyText"/>
        <w:ind w:left="59" w:right="341" w:firstLine="720"/>
        <w:spacing w:before="109"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9"/>
        </w:rPr>
        <w:t>危险品；</w:t>
      </w:r>
    </w:p>
    <w:p>
      <w:pPr>
        <w:pStyle w:val="BodyText"/>
        <w:ind w:left="779"/>
        <w:spacing w:before="132" w:line="219" w:lineRule="auto"/>
        <w:rPr>
          <w:sz w:val="29"/>
          <w:szCs w:val="29"/>
        </w:rPr>
      </w:pPr>
      <w:r>
        <w:rPr>
          <w:sz w:val="29"/>
          <w:szCs w:val="29"/>
          <w:spacing w:val="11"/>
        </w:rPr>
        <w:t>(2)进行机械工具的检查维修。</w:t>
      </w:r>
    </w:p>
    <w:p>
      <w:pPr>
        <w:pStyle w:val="BodyText"/>
        <w:ind w:left="640"/>
        <w:spacing w:before="10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left="59" w:firstLine="580"/>
        <w:spacing w:before="14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4"/>
        </w:rPr>
        <w:t>防盗情况。</w:t>
      </w:r>
    </w:p>
    <w:p>
      <w:pPr>
        <w:ind w:left="59"/>
        <w:spacing w:before="82" w:line="223" w:lineRule="auto"/>
        <w:rPr>
          <w:rFonts w:ascii="SimHei" w:hAnsi="SimHei" w:eastAsia="SimHei" w:cs="SimHei"/>
          <w:sz w:val="29"/>
          <w:szCs w:val="29"/>
        </w:rPr>
      </w:pPr>
      <w:r>
        <w:rPr>
          <w:rFonts w:ascii="SimHei" w:hAnsi="SimHei" w:eastAsia="SimHei" w:cs="SimHei"/>
          <w:sz w:val="29"/>
          <w:szCs w:val="29"/>
          <w:spacing w:val="6"/>
        </w:rPr>
        <w:t>九月份</w:t>
      </w:r>
    </w:p>
    <w:p>
      <w:pPr>
        <w:pStyle w:val="BodyText"/>
        <w:ind w:left="640"/>
        <w:spacing w:before="99" w:line="219" w:lineRule="auto"/>
        <w:rPr>
          <w:sz w:val="29"/>
          <w:szCs w:val="29"/>
        </w:rPr>
      </w:pPr>
      <w:r>
        <w:rPr>
          <w:sz w:val="29"/>
          <w:szCs w:val="29"/>
          <w:spacing w:val="4"/>
        </w:rPr>
        <w:t>气温有所下降，华西秋雨开始，迎国庆做好相关</w:t>
      </w:r>
      <w:r>
        <w:rPr>
          <w:sz w:val="29"/>
          <w:szCs w:val="29"/>
          <w:spacing w:val="3"/>
        </w:rPr>
        <w:t>工作。</w:t>
      </w:r>
    </w:p>
    <w:p>
      <w:pPr>
        <w:pStyle w:val="BodyText"/>
        <w:ind w:left="640"/>
        <w:spacing w:before="24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40"/>
        <w:spacing w:before="123" w:line="219" w:lineRule="auto"/>
        <w:rPr>
          <w:sz w:val="29"/>
          <w:szCs w:val="29"/>
        </w:rPr>
      </w:pPr>
      <w:r>
        <w:rPr>
          <w:sz w:val="29"/>
          <w:szCs w:val="29"/>
        </w:rPr>
        <w:t>及时检查乔木支撑情况，发现松动或缺失立即加固。</w:t>
      </w:r>
    </w:p>
    <w:p>
      <w:pPr>
        <w:ind w:left="640"/>
        <w:spacing w:before="133" w:line="221" w:lineRule="auto"/>
        <w:rPr>
          <w:rFonts w:ascii="SimHei" w:hAnsi="SimHei" w:eastAsia="SimHei" w:cs="SimHei"/>
          <w:sz w:val="29"/>
          <w:szCs w:val="29"/>
        </w:rPr>
      </w:pPr>
      <w:r>
        <w:rPr>
          <w:rFonts w:ascii="SimHei" w:hAnsi="SimHei" w:eastAsia="SimHei" w:cs="SimHei"/>
          <w:sz w:val="29"/>
          <w:szCs w:val="29"/>
          <w:spacing w:val="7"/>
        </w:rPr>
        <w:t>2、修剪</w:t>
      </w:r>
    </w:p>
    <w:p>
      <w:pPr>
        <w:pStyle w:val="BodyText"/>
        <w:ind w:left="59" w:right="510" w:firstLine="580"/>
        <w:spacing w:before="136" w:line="313" w:lineRule="auto"/>
        <w:rPr>
          <w:sz w:val="29"/>
          <w:szCs w:val="29"/>
        </w:rPr>
      </w:pPr>
      <w:r>
        <w:rPr>
          <w:sz w:val="29"/>
          <w:szCs w:val="29"/>
          <w:spacing w:val="-8"/>
        </w:rPr>
        <w:t>迎接市容工作，行道树三级分叉以下剥芽。绿篱、地被造型修剪。绿</w:t>
      </w:r>
      <w:r>
        <w:rPr>
          <w:sz w:val="29"/>
          <w:szCs w:val="29"/>
          <w:spacing w:val="-9"/>
        </w:rPr>
        <w:t>地内除</w:t>
      </w:r>
      <w:r>
        <w:rPr>
          <w:sz w:val="29"/>
          <w:szCs w:val="29"/>
        </w:rPr>
        <w:t xml:space="preserve"> </w:t>
      </w:r>
      <w:r>
        <w:rPr>
          <w:sz w:val="29"/>
          <w:szCs w:val="29"/>
          <w:spacing w:val="1"/>
        </w:rPr>
        <w:t>草，草坪切边，及时清理死树，做到树木青枝绿叶，</w:t>
      </w:r>
      <w:r>
        <w:rPr>
          <w:sz w:val="29"/>
          <w:szCs w:val="29"/>
        </w:rPr>
        <w:t>绿地干净整齐。</w:t>
      </w:r>
    </w:p>
    <w:p>
      <w:pPr>
        <w:spacing w:line="313" w:lineRule="auto"/>
        <w:sectPr>
          <w:headerReference w:type="default" r:id="rId595"/>
          <w:footerReference w:type="default" r:id="rId596"/>
          <w:pgSz w:w="14490" w:h="20470"/>
          <w:pgMar w:top="1189" w:right="1935" w:bottom="1047" w:left="2100" w:header="799" w:footer="830" w:gutter="0"/>
        </w:sectPr>
        <w:rPr>
          <w:sz w:val="29"/>
          <w:szCs w:val="29"/>
        </w:rPr>
      </w:pPr>
    </w:p>
    <w:p>
      <w:pPr>
        <w:spacing w:line="270" w:lineRule="auto"/>
        <w:rPr>
          <w:rFonts w:ascii="Arial"/>
          <w:sz w:val="21"/>
        </w:rPr>
      </w:pPr>
      <w:r/>
    </w:p>
    <w:p>
      <w:pPr>
        <w:spacing w:line="271" w:lineRule="auto"/>
        <w:rPr>
          <w:rFonts w:ascii="Arial"/>
          <w:sz w:val="21"/>
        </w:rPr>
      </w:pPr>
      <w:r/>
    </w:p>
    <w:p>
      <w:pPr>
        <w:pStyle w:val="BodyText"/>
        <w:ind w:left="640"/>
        <w:spacing w:before="94"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left="49" w:right="227" w:firstLine="590"/>
        <w:spacing w:before="100" w:line="319" w:lineRule="auto"/>
        <w:rPr>
          <w:sz w:val="29"/>
          <w:szCs w:val="29"/>
        </w:rPr>
      </w:pPr>
      <w:r>
        <w:rPr>
          <w:sz w:val="29"/>
          <w:szCs w:val="29"/>
          <w:spacing w:val="13"/>
        </w:rPr>
        <w:t>全区追肥一次，如果绿化效果较好使用有机</w:t>
      </w:r>
      <w:r>
        <w:rPr>
          <w:sz w:val="29"/>
          <w:szCs w:val="29"/>
          <w:spacing w:val="12"/>
        </w:rPr>
        <w:t>复合肥(有机质含量40%以上)</w:t>
      </w:r>
      <w:r>
        <w:rPr>
          <w:sz w:val="29"/>
          <w:szCs w:val="29"/>
        </w:rPr>
        <w:t xml:space="preserve"> </w:t>
      </w:r>
      <w:r>
        <w:rPr>
          <w:sz w:val="29"/>
          <w:szCs w:val="29"/>
          <w:spacing w:val="-22"/>
        </w:rPr>
        <w:t>或高磷钾、低氮的无机复合肥，提高抗寒能力</w:t>
      </w:r>
      <w:r>
        <w:rPr>
          <w:sz w:val="29"/>
          <w:szCs w:val="29"/>
          <w:spacing w:val="-23"/>
        </w:rPr>
        <w:t>；如果绿化效果较差则使用氮、磷、钾均</w:t>
      </w:r>
      <w:r>
        <w:rPr>
          <w:sz w:val="29"/>
          <w:szCs w:val="29"/>
        </w:rPr>
        <w:t xml:space="preserve"> </w:t>
      </w:r>
      <w:r>
        <w:rPr>
          <w:sz w:val="29"/>
          <w:szCs w:val="29"/>
          <w:spacing w:val="-5"/>
        </w:rPr>
        <w:t>衡型速效性复合肥氮15-18、磷15-18、钾15-18)</w:t>
      </w:r>
      <w:r>
        <w:rPr>
          <w:sz w:val="29"/>
          <w:szCs w:val="29"/>
          <w:spacing w:val="-6"/>
        </w:rPr>
        <w:t>,避免氮素含量过高，苗木越冬抗</w:t>
      </w:r>
      <w:r>
        <w:rPr>
          <w:sz w:val="29"/>
          <w:szCs w:val="29"/>
        </w:rPr>
        <w:t xml:space="preserve"> </w:t>
      </w:r>
      <w:r>
        <w:rPr>
          <w:sz w:val="29"/>
          <w:szCs w:val="29"/>
          <w:spacing w:val="-2"/>
        </w:rPr>
        <w:t>寒能力降低.。</w:t>
      </w:r>
    </w:p>
    <w:p>
      <w:pPr>
        <w:pStyle w:val="BodyText"/>
        <w:ind w:left="640"/>
        <w:spacing w:before="30"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49" w:right="329" w:firstLine="730"/>
        <w:spacing w:before="53" w:line="282"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1"/>
        </w:rPr>
        <w:t>枯病、草坪腐霉枯萎病、冠瘿病、花叶病等；</w:t>
      </w:r>
    </w:p>
    <w:p>
      <w:pPr>
        <w:pStyle w:val="BodyText"/>
        <w:ind w:left="49" w:right="159" w:firstLine="730"/>
        <w:spacing w:before="134" w:line="292" w:lineRule="auto"/>
        <w:rPr>
          <w:sz w:val="29"/>
          <w:szCs w:val="29"/>
        </w:rPr>
      </w:pPr>
      <w:r>
        <w:rPr>
          <w:sz w:val="29"/>
          <w:szCs w:val="29"/>
          <w:spacing w:val="11"/>
        </w:rPr>
        <w:t>(2)虫害：桃一点斑叶蝉、大青叶蝉、朱砂叶螨(棉花红蜘蛛、</w:t>
      </w:r>
      <w:r>
        <w:rPr>
          <w:sz w:val="29"/>
          <w:szCs w:val="29"/>
          <w:spacing w:val="10"/>
        </w:rPr>
        <w:t>红叶螨)、</w:t>
      </w:r>
      <w:r>
        <w:rPr>
          <w:sz w:val="29"/>
          <w:szCs w:val="29"/>
        </w:rPr>
        <w:t xml:space="preserve"> </w:t>
      </w:r>
      <w:r>
        <w:rPr>
          <w:sz w:val="29"/>
          <w:szCs w:val="29"/>
          <w:spacing w:val="1"/>
        </w:rPr>
        <w:t>花蓟马、桑天牛、光肩星天牛、芳香木蠹蛾、白蚁、小</w:t>
      </w:r>
      <w:r>
        <w:rPr>
          <w:sz w:val="29"/>
          <w:szCs w:val="29"/>
        </w:rPr>
        <w:t>青花金龟、铜绿丽金龟、 </w:t>
      </w:r>
      <w:r>
        <w:rPr>
          <w:sz w:val="29"/>
          <w:szCs w:val="29"/>
          <w:spacing w:val="-9"/>
        </w:rPr>
        <w:t>大地老虎、蝼蛄、细胸金针虫、黄刺蛾、丽绿刺蛾、褐</w:t>
      </w:r>
      <w:r>
        <w:rPr>
          <w:sz w:val="29"/>
          <w:szCs w:val="29"/>
          <w:spacing w:val="-10"/>
        </w:rPr>
        <w:t>边绿刺蛾、茶袋蛾、黄尾毒</w:t>
      </w:r>
      <w:r>
        <w:rPr>
          <w:sz w:val="29"/>
          <w:szCs w:val="29"/>
        </w:rPr>
        <w:t xml:space="preserve">  </w:t>
      </w:r>
      <w:r>
        <w:rPr>
          <w:sz w:val="29"/>
          <w:szCs w:val="29"/>
          <w:spacing w:val="-6"/>
        </w:rPr>
        <w:t>蛾、丝棉木金星尺蛾、国槐尺蛾、绿尾大蚕蛾、柑桔凤蝶、玉带凤蝶、樟青凤蝶、</w:t>
      </w:r>
      <w:r>
        <w:rPr>
          <w:sz w:val="29"/>
          <w:szCs w:val="29"/>
          <w:spacing w:val="6"/>
        </w:rPr>
        <w:t xml:space="preserve"> </w:t>
      </w:r>
      <w:r>
        <w:rPr>
          <w:sz w:val="29"/>
          <w:szCs w:val="29"/>
          <w:spacing w:val="-11"/>
        </w:rPr>
        <w:t>柳蓝叶甲等。</w:t>
      </w:r>
    </w:p>
    <w:p>
      <w:pPr>
        <w:pStyle w:val="BodyText"/>
        <w:ind w:left="64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49" w:right="329" w:firstLine="730"/>
        <w:spacing w:before="12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left="49" w:right="323" w:firstLine="730"/>
        <w:spacing w:before="156" w:line="263"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left="640"/>
        <w:spacing w:before="153" w:line="396"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时花摆放</w:t>
      </w:r>
    </w:p>
    <w:p>
      <w:pPr>
        <w:pStyle w:val="BodyText"/>
        <w:ind w:left="779"/>
        <w:spacing w:before="7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79"/>
        <w:spacing w:before="156" w:line="219" w:lineRule="auto"/>
        <w:rPr>
          <w:sz w:val="29"/>
          <w:szCs w:val="29"/>
        </w:rPr>
      </w:pPr>
      <w:r>
        <w:rPr>
          <w:sz w:val="29"/>
          <w:szCs w:val="29"/>
          <w:spacing w:val="6"/>
        </w:rPr>
        <w:t>(2)月底将时花摆放完毕，注意摆放外侧避免黑色塑料盆出现。</w:t>
      </w:r>
    </w:p>
    <w:p>
      <w:pPr>
        <w:ind w:left="640"/>
        <w:spacing w:before="12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ind w:left="49" w:right="331" w:firstLine="730"/>
        <w:spacing w:before="13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49" w:right="302" w:firstLine="730"/>
        <w:spacing w:before="152" w:line="258" w:lineRule="auto"/>
        <w:rPr>
          <w:sz w:val="29"/>
          <w:szCs w:val="29"/>
        </w:rPr>
      </w:pPr>
      <w:r>
        <w:rPr>
          <w:sz w:val="29"/>
          <w:szCs w:val="29"/>
          <w:spacing w:val="-2"/>
        </w:rPr>
        <w:t>(2)根据现场的实际情况，申请购置10、11、12月份的农药、化肥、营养剂</w:t>
      </w:r>
      <w:r>
        <w:rPr>
          <w:sz w:val="29"/>
          <w:szCs w:val="29"/>
          <w:spacing w:val="10"/>
        </w:rPr>
        <w:t xml:space="preserve"> </w:t>
      </w:r>
      <w:r>
        <w:rPr>
          <w:sz w:val="29"/>
          <w:szCs w:val="29"/>
          <w:spacing w:val="-5"/>
        </w:rPr>
        <w:t>及其它物资；</w:t>
      </w:r>
    </w:p>
    <w:p>
      <w:pPr>
        <w:pStyle w:val="BodyText"/>
        <w:ind w:left="779"/>
        <w:spacing w:before="150" w:line="219" w:lineRule="auto"/>
        <w:rPr>
          <w:sz w:val="29"/>
          <w:szCs w:val="29"/>
        </w:rPr>
      </w:pPr>
      <w:r>
        <w:rPr>
          <w:sz w:val="29"/>
          <w:szCs w:val="29"/>
          <w:spacing w:val="12"/>
        </w:rPr>
        <w:t>(3)进行机械工具的检查维修。</w:t>
      </w:r>
    </w:p>
    <w:p>
      <w:pPr>
        <w:pStyle w:val="BodyText"/>
        <w:ind w:left="640"/>
        <w:spacing w:before="73"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left="49" w:firstLine="590"/>
        <w:spacing w:before="12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49"/>
        <w:spacing w:before="82"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640"/>
        <w:spacing w:before="119" w:line="219" w:lineRule="auto"/>
        <w:rPr>
          <w:sz w:val="29"/>
          <w:szCs w:val="29"/>
        </w:rPr>
      </w:pPr>
      <w:r>
        <w:rPr>
          <w:sz w:val="29"/>
          <w:szCs w:val="29"/>
          <w:spacing w:val="4"/>
        </w:rPr>
        <w:t>气温下降，十月下旬进入初冬，树木开始落叶，陆续进入休眠</w:t>
      </w:r>
      <w:r>
        <w:rPr>
          <w:sz w:val="29"/>
          <w:szCs w:val="29"/>
          <w:spacing w:val="3"/>
        </w:rPr>
        <w:t>期。</w:t>
      </w:r>
    </w:p>
    <w:p>
      <w:pPr>
        <w:pStyle w:val="BodyText"/>
        <w:ind w:left="640"/>
        <w:spacing w:before="223"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spacing w:line="222" w:lineRule="auto"/>
        <w:sectPr>
          <w:headerReference w:type="default" r:id="rId597"/>
          <w:footerReference w:type="default" r:id="rId598"/>
          <w:pgSz w:w="14490" w:h="20470"/>
          <w:pgMar w:top="1189" w:right="1945" w:bottom="1033" w:left="2100" w:header="799" w:footer="834" w:gutter="0"/>
        </w:sectPr>
        <w:rPr>
          <w:rFonts w:ascii="SimHei" w:hAnsi="SimHei" w:eastAsia="SimHei" w:cs="SimHei"/>
          <w:sz w:val="29"/>
          <w:szCs w:val="29"/>
        </w:rPr>
      </w:pPr>
    </w:p>
    <w:p>
      <w:pPr>
        <w:spacing w:line="277" w:lineRule="auto"/>
        <w:rPr>
          <w:rFonts w:ascii="Arial"/>
          <w:sz w:val="21"/>
        </w:rPr>
      </w:pPr>
      <w:r/>
    </w:p>
    <w:p>
      <w:pPr>
        <w:spacing w:line="277" w:lineRule="auto"/>
        <w:rPr>
          <w:rFonts w:ascii="Arial"/>
          <w:sz w:val="21"/>
        </w:rPr>
      </w:pPr>
      <w:r/>
    </w:p>
    <w:p>
      <w:pPr>
        <w:pStyle w:val="BodyText"/>
        <w:ind w:left="640"/>
        <w:spacing w:before="94" w:line="219" w:lineRule="auto"/>
        <w:rPr>
          <w:sz w:val="29"/>
          <w:szCs w:val="29"/>
        </w:rPr>
      </w:pPr>
      <w:r>
        <w:rPr>
          <w:sz w:val="29"/>
          <w:szCs w:val="29"/>
        </w:rPr>
        <w:t>及时检查乔木支撑情况，发现松动或缺失立即加固。</w:t>
      </w:r>
    </w:p>
    <w:p>
      <w:pPr>
        <w:pStyle w:val="BodyText"/>
        <w:ind w:left="640"/>
        <w:spacing w:before="9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49" w:right="495" w:firstLine="590"/>
        <w:spacing w:before="154" w:line="308" w:lineRule="auto"/>
        <w:rPr>
          <w:sz w:val="29"/>
          <w:szCs w:val="29"/>
        </w:rPr>
      </w:pPr>
      <w:r>
        <w:rPr>
          <w:sz w:val="29"/>
          <w:szCs w:val="29"/>
          <w:spacing w:val="-4"/>
        </w:rPr>
        <w:t>在本地耐寒性弱的苗木改为春季化冻后修剪、冬季易</w:t>
      </w:r>
      <w:r>
        <w:rPr>
          <w:sz w:val="29"/>
          <w:szCs w:val="29"/>
          <w:spacing w:val="-5"/>
        </w:rPr>
        <w:t>有流伤的植物如槭树科</w:t>
      </w:r>
      <w:r>
        <w:rPr>
          <w:sz w:val="29"/>
          <w:szCs w:val="29"/>
        </w:rPr>
        <w:t xml:space="preserve"> </w:t>
      </w:r>
      <w:r>
        <w:rPr>
          <w:sz w:val="29"/>
          <w:szCs w:val="29"/>
          <w:spacing w:val="-6"/>
        </w:rPr>
        <w:t>中的大多数，在晚秋落叶时或春季新芽膨大时修剪。</w:t>
      </w:r>
    </w:p>
    <w:p>
      <w:pPr>
        <w:pStyle w:val="BodyText"/>
        <w:ind w:left="640"/>
        <w:spacing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left="49" w:right="390" w:firstLine="590"/>
        <w:spacing w:before="115" w:line="305" w:lineRule="auto"/>
        <w:rPr>
          <w:sz w:val="29"/>
          <w:szCs w:val="29"/>
        </w:rPr>
      </w:pPr>
      <w:r>
        <w:rPr>
          <w:sz w:val="29"/>
          <w:szCs w:val="29"/>
          <w:spacing w:val="-1"/>
        </w:rPr>
        <w:t>园区内苗木人工浇灌冻水要浇透，十月中旬追施一次高磷钾、低氮</w:t>
      </w:r>
      <w:r>
        <w:rPr>
          <w:sz w:val="29"/>
          <w:szCs w:val="29"/>
          <w:spacing w:val="-2"/>
        </w:rPr>
        <w:t>的无机复</w:t>
      </w:r>
      <w:r>
        <w:rPr>
          <w:sz w:val="29"/>
          <w:szCs w:val="29"/>
        </w:rPr>
        <w:t xml:space="preserve"> </w:t>
      </w:r>
      <w:r>
        <w:rPr>
          <w:sz w:val="29"/>
          <w:szCs w:val="29"/>
          <w:spacing w:val="-9"/>
        </w:rPr>
        <w:t>合肥，提高苗木抗寒能力；草坪追施一次高氮、低磷、中钾的无机复合肥，延长绿</w:t>
      </w:r>
      <w:r>
        <w:rPr>
          <w:sz w:val="29"/>
          <w:szCs w:val="29"/>
          <w:spacing w:val="3"/>
        </w:rPr>
        <w:t xml:space="preserve"> </w:t>
      </w:r>
      <w:r>
        <w:rPr>
          <w:sz w:val="29"/>
          <w:szCs w:val="29"/>
          <w:spacing w:val="-4"/>
        </w:rPr>
        <w:t>期。</w:t>
      </w:r>
    </w:p>
    <w:p>
      <w:pPr>
        <w:pStyle w:val="BodyText"/>
        <w:ind w:left="640"/>
        <w:spacing w:before="72"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79"/>
        <w:spacing w:before="94" w:line="219" w:lineRule="auto"/>
        <w:rPr>
          <w:sz w:val="29"/>
          <w:szCs w:val="29"/>
        </w:rPr>
      </w:pPr>
      <w:r>
        <w:rPr>
          <w:sz w:val="29"/>
          <w:szCs w:val="29"/>
          <w:spacing w:val="5"/>
        </w:rPr>
        <w:t>(1)病害：白粉病、叶斑类病害、锈病、叶枯病、干腐病、冠瘿病</w:t>
      </w:r>
      <w:r>
        <w:rPr>
          <w:sz w:val="29"/>
          <w:szCs w:val="29"/>
          <w:spacing w:val="4"/>
        </w:rPr>
        <w:t>等；</w:t>
      </w:r>
    </w:p>
    <w:p>
      <w:pPr>
        <w:pStyle w:val="BodyText"/>
        <w:ind w:left="49" w:right="368" w:firstLine="730"/>
        <w:spacing w:before="159" w:line="274" w:lineRule="auto"/>
        <w:rPr>
          <w:sz w:val="29"/>
          <w:szCs w:val="29"/>
        </w:rPr>
      </w:pPr>
      <w:r>
        <w:rPr>
          <w:sz w:val="29"/>
          <w:szCs w:val="29"/>
          <w:spacing w:val="8"/>
        </w:rPr>
        <w:t>(2)虫害：桃一点斑叶蝉、大青叶蝉、桃粉蚜、桃瘤蚜、桔绿粉虱、光肩</w:t>
      </w:r>
      <w:r>
        <w:rPr>
          <w:sz w:val="29"/>
          <w:szCs w:val="29"/>
          <w:spacing w:val="16"/>
        </w:rPr>
        <w:t xml:space="preserve"> </w:t>
      </w:r>
      <w:r>
        <w:rPr>
          <w:sz w:val="29"/>
          <w:szCs w:val="29"/>
          <w:spacing w:val="-16"/>
        </w:rPr>
        <w:t>星天牛、芳香木蠹蛾、白蚁、小青花金龟、铜绿丽金龟</w:t>
      </w:r>
      <w:r>
        <w:rPr>
          <w:sz w:val="29"/>
          <w:szCs w:val="29"/>
          <w:spacing w:val="-17"/>
        </w:rPr>
        <w:t>、大地老虎、细胸金针虫、褐</w:t>
      </w:r>
      <w:r>
        <w:rPr>
          <w:sz w:val="29"/>
          <w:szCs w:val="29"/>
        </w:rPr>
        <w:t xml:space="preserve"> </w:t>
      </w:r>
      <w:r>
        <w:rPr>
          <w:sz w:val="29"/>
          <w:szCs w:val="29"/>
          <w:spacing w:val="1"/>
        </w:rPr>
        <w:t>边绿刺蛾、丝棉木金星尺蛾、柑桔凤蝶、玉带凤蝶等。</w:t>
      </w:r>
    </w:p>
    <w:p>
      <w:pPr>
        <w:pStyle w:val="BodyText"/>
        <w:ind w:left="64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49" w:right="449" w:firstLine="730"/>
        <w:spacing w:before="11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left="49" w:right="443" w:firstLine="730"/>
        <w:spacing w:before="156" w:line="263"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1"/>
        </w:rPr>
        <w:t>售展示区)进行彻底清理。</w:t>
      </w:r>
    </w:p>
    <w:p>
      <w:pPr>
        <w:ind w:left="640"/>
        <w:spacing w:before="174" w:line="222" w:lineRule="auto"/>
        <w:rPr>
          <w:rFonts w:ascii="SimHei" w:hAnsi="SimHei" w:eastAsia="SimHei" w:cs="SimHei"/>
          <w:sz w:val="30"/>
          <w:szCs w:val="30"/>
        </w:rPr>
      </w:pPr>
      <w:r>
        <w:rPr>
          <w:rFonts w:ascii="SimHei" w:hAnsi="SimHei" w:eastAsia="SimHei" w:cs="SimHei"/>
          <w:sz w:val="30"/>
          <w:szCs w:val="30"/>
          <w:spacing w:val="2"/>
        </w:rPr>
        <w:t>6、物资管理</w:t>
      </w:r>
    </w:p>
    <w:p>
      <w:pPr>
        <w:pStyle w:val="BodyText"/>
        <w:spacing w:before="101"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640"/>
        <w:spacing w:before="10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left="49" w:right="110" w:firstLine="590"/>
        <w:spacing w:before="157" w:line="304"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ind w:left="49"/>
        <w:spacing w:before="108"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640"/>
        <w:spacing w:before="96" w:line="219" w:lineRule="auto"/>
        <w:rPr>
          <w:sz w:val="29"/>
          <w:szCs w:val="29"/>
        </w:rPr>
      </w:pPr>
      <w:r>
        <w:rPr>
          <w:sz w:val="29"/>
          <w:szCs w:val="29"/>
          <w:spacing w:val="4"/>
        </w:rPr>
        <w:t>土壤开始夜冻日化，进入隆冬季节。</w:t>
      </w:r>
    </w:p>
    <w:p>
      <w:pPr>
        <w:pStyle w:val="BodyText"/>
        <w:ind w:left="640"/>
        <w:spacing w:before="21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79"/>
        <w:spacing w:before="163"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left="779"/>
        <w:spacing w:before="136" w:line="219" w:lineRule="auto"/>
        <w:rPr>
          <w:sz w:val="29"/>
          <w:szCs w:val="29"/>
        </w:rPr>
      </w:pPr>
      <w:r>
        <w:rPr>
          <w:sz w:val="29"/>
          <w:szCs w:val="29"/>
          <w:spacing w:val="9"/>
        </w:rPr>
        <w:t>(2)继续补植耐寒植物，土壤冻结前完成。</w:t>
      </w:r>
    </w:p>
    <w:p>
      <w:pPr>
        <w:ind w:left="640"/>
        <w:spacing w:before="114" w:line="221" w:lineRule="auto"/>
        <w:rPr>
          <w:rFonts w:ascii="SimHei" w:hAnsi="SimHei" w:eastAsia="SimHei" w:cs="SimHei"/>
          <w:sz w:val="29"/>
          <w:szCs w:val="29"/>
        </w:rPr>
      </w:pPr>
      <w:r>
        <w:rPr>
          <w:rFonts w:ascii="SimHei" w:hAnsi="SimHei" w:eastAsia="SimHei" w:cs="SimHei"/>
          <w:sz w:val="29"/>
          <w:szCs w:val="29"/>
          <w:spacing w:val="7"/>
        </w:rPr>
        <w:t>2、修剪</w:t>
      </w:r>
    </w:p>
    <w:p>
      <w:pPr>
        <w:pStyle w:val="BodyText"/>
        <w:ind w:left="49" w:right="351" w:firstLine="590"/>
        <w:spacing w:before="141" w:line="312" w:lineRule="auto"/>
        <w:rPr>
          <w:sz w:val="29"/>
          <w:szCs w:val="29"/>
        </w:rPr>
      </w:pPr>
      <w:r>
        <w:rPr>
          <w:sz w:val="29"/>
          <w:szCs w:val="29"/>
          <w:spacing w:val="13"/>
        </w:rPr>
        <w:t>对园区内草坪进行一次大修剪、大梳理(人工用铁耙清理干枯的草叶),本</w:t>
      </w:r>
      <w:r>
        <w:rPr>
          <w:sz w:val="29"/>
          <w:szCs w:val="29"/>
          <w:spacing w:val="8"/>
        </w:rPr>
        <w:t xml:space="preserve"> </w:t>
      </w:r>
      <w:r>
        <w:rPr>
          <w:sz w:val="29"/>
          <w:szCs w:val="29"/>
          <w:spacing w:val="4"/>
        </w:rPr>
        <w:t>地耐寒性弱的苗木改为春季化冻后修剪、冬季易有流伤的植物(如槭树科中的大</w:t>
      </w:r>
      <w:r>
        <w:rPr>
          <w:sz w:val="29"/>
          <w:szCs w:val="29"/>
          <w:spacing w:val="17"/>
        </w:rPr>
        <w:t xml:space="preserve"> </w:t>
      </w:r>
      <w:r>
        <w:rPr>
          <w:sz w:val="29"/>
          <w:szCs w:val="29"/>
          <w:spacing w:val="5"/>
        </w:rPr>
        <w:t>多数)在晚秋落叶时或春季新芽膨大时修剪。</w:t>
      </w:r>
    </w:p>
    <w:p>
      <w:pPr>
        <w:pStyle w:val="BodyText"/>
        <w:ind w:left="640"/>
        <w:spacing w:line="396"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spacing w:line="396" w:lineRule="exact"/>
        <w:sectPr>
          <w:headerReference w:type="default" r:id="rId599"/>
          <w:footerReference w:type="default" r:id="rId600"/>
          <w:pgSz w:w="14490" w:h="20470"/>
          <w:pgMar w:top="1199" w:right="1825" w:bottom="1077" w:left="2100" w:header="799" w:footer="861" w:gutter="0"/>
        </w:sectPr>
        <w:rPr>
          <w:rFonts w:ascii="SimHei" w:hAnsi="SimHei" w:eastAsia="SimHei" w:cs="SimHei"/>
          <w:sz w:val="29"/>
          <w:szCs w:val="29"/>
        </w:rPr>
      </w:pPr>
    </w:p>
    <w:p>
      <w:pPr>
        <w:spacing w:line="261" w:lineRule="auto"/>
        <w:rPr>
          <w:rFonts w:ascii="Arial"/>
          <w:sz w:val="21"/>
        </w:rPr>
      </w:pPr>
      <w:r/>
    </w:p>
    <w:p>
      <w:pPr>
        <w:spacing w:line="261" w:lineRule="auto"/>
        <w:rPr>
          <w:rFonts w:ascii="Arial"/>
          <w:sz w:val="21"/>
        </w:rPr>
      </w:pPr>
      <w:r/>
    </w:p>
    <w:p>
      <w:pPr>
        <w:pStyle w:val="BodyText"/>
        <w:ind w:left="640"/>
        <w:spacing w:before="94" w:line="219" w:lineRule="auto"/>
        <w:rPr>
          <w:sz w:val="29"/>
          <w:szCs w:val="29"/>
        </w:rPr>
      </w:pPr>
      <w:r>
        <w:rPr>
          <w:sz w:val="29"/>
          <w:szCs w:val="29"/>
          <w:spacing w:val="-1"/>
        </w:rPr>
        <w:t>对干旱板结的土壤浇水，要在封冻前完成。</w:t>
      </w:r>
    </w:p>
    <w:p>
      <w:pPr>
        <w:pStyle w:val="BodyText"/>
        <w:ind w:left="640"/>
        <w:spacing w:before="13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79"/>
        <w:spacing w:before="125" w:line="219" w:lineRule="auto"/>
        <w:rPr>
          <w:sz w:val="29"/>
          <w:szCs w:val="29"/>
        </w:rPr>
      </w:pPr>
      <w:r>
        <w:rPr>
          <w:sz w:val="29"/>
          <w:szCs w:val="29"/>
          <w:spacing w:val="7"/>
        </w:rPr>
        <w:t>(1)病害：白粉病、叶斑类病害、叶枯病等；</w:t>
      </w:r>
    </w:p>
    <w:p>
      <w:pPr>
        <w:pStyle w:val="BodyText"/>
        <w:ind w:left="59" w:right="427" w:firstLine="720"/>
        <w:spacing w:before="154" w:line="269" w:lineRule="auto"/>
        <w:rPr>
          <w:sz w:val="29"/>
          <w:szCs w:val="29"/>
        </w:rPr>
      </w:pPr>
      <w:r>
        <w:rPr>
          <w:sz w:val="29"/>
          <w:szCs w:val="29"/>
          <w:spacing w:val="7"/>
        </w:rPr>
        <w:t>(2)虫害：大青叶蝉、桃粉蚜、桔绿粉虱、光肩星</w:t>
      </w:r>
      <w:r>
        <w:rPr>
          <w:sz w:val="29"/>
          <w:szCs w:val="29"/>
          <w:spacing w:val="6"/>
        </w:rPr>
        <w:t>天牛、芳香木蠹蛾、白</w:t>
      </w:r>
      <w:r>
        <w:rPr>
          <w:sz w:val="29"/>
          <w:szCs w:val="29"/>
        </w:rPr>
        <w:t xml:space="preserve"> </w:t>
      </w:r>
      <w:r>
        <w:rPr>
          <w:sz w:val="29"/>
          <w:szCs w:val="29"/>
          <w:spacing w:val="-4"/>
        </w:rPr>
        <w:t>蚁等。</w:t>
      </w:r>
    </w:p>
    <w:p>
      <w:pPr>
        <w:pStyle w:val="BodyText"/>
        <w:ind w:left="640"/>
        <w:spacing w:before="14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59" w:right="450" w:firstLine="720"/>
        <w:spacing w:before="64" w:line="268" w:lineRule="auto"/>
        <w:rPr>
          <w:sz w:val="29"/>
          <w:szCs w:val="29"/>
        </w:rPr>
      </w:pPr>
      <w:r>
        <w:rPr>
          <w:sz w:val="29"/>
          <w:szCs w:val="29"/>
        </w:rPr>
        <w:t>(1)</w:t>
      </w:r>
      <w:r>
        <w:rPr>
          <w:sz w:val="29"/>
          <w:szCs w:val="29"/>
          <w:spacing w:val="62"/>
        </w:rPr>
        <w:t xml:space="preserve"> </w:t>
      </w:r>
      <w:r>
        <w:rPr>
          <w:sz w:val="29"/>
          <w:szCs w:val="29"/>
        </w:rPr>
        <w:t>保洁人员合理分区，全天候巡视，及时清理烟头</w:t>
      </w:r>
      <w:r>
        <w:rPr>
          <w:sz w:val="29"/>
          <w:szCs w:val="29"/>
          <w:spacing w:val="-1"/>
        </w:rPr>
        <w:t>、树挂等垃圾，水景</w:t>
      </w:r>
      <w:r>
        <w:rPr>
          <w:sz w:val="29"/>
          <w:szCs w:val="29"/>
        </w:rPr>
        <w:t xml:space="preserve"> </w:t>
      </w:r>
      <w:r>
        <w:rPr>
          <w:sz w:val="29"/>
          <w:szCs w:val="29"/>
          <w:spacing w:val="-2"/>
        </w:rPr>
        <w:t>池、灯杆、垃圾桶保持干净；</w:t>
      </w:r>
    </w:p>
    <w:p>
      <w:pPr>
        <w:pStyle w:val="BodyText"/>
        <w:ind w:left="59" w:right="443" w:firstLine="72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ind w:left="640"/>
        <w:spacing w:before="20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spacing w:before="9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640"/>
        <w:spacing w:before="11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left="59" w:right="100" w:firstLine="580"/>
        <w:spacing w:before="10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4"/>
        </w:rPr>
        <w:t>防盗情况。</w:t>
      </w:r>
    </w:p>
    <w:p>
      <w:pPr>
        <w:ind w:left="59"/>
        <w:spacing w:before="33"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640"/>
        <w:spacing w:before="132" w:line="219" w:lineRule="auto"/>
        <w:rPr>
          <w:sz w:val="29"/>
          <w:szCs w:val="29"/>
        </w:rPr>
      </w:pPr>
      <w:r>
        <w:rPr>
          <w:sz w:val="29"/>
          <w:szCs w:val="29"/>
          <w:spacing w:val="5"/>
        </w:rPr>
        <w:t>低气温，开始冬季养护工作，重点是防寒。</w:t>
      </w:r>
    </w:p>
    <w:p>
      <w:pPr>
        <w:pStyle w:val="BodyText"/>
        <w:ind w:left="640"/>
        <w:spacing w:before="22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79"/>
        <w:spacing w:before="123" w:line="219" w:lineRule="auto"/>
        <w:rPr>
          <w:sz w:val="29"/>
          <w:szCs w:val="29"/>
        </w:rPr>
      </w:pPr>
      <w:r>
        <w:rPr>
          <w:sz w:val="29"/>
          <w:szCs w:val="29"/>
          <w:spacing w:val="5"/>
        </w:rPr>
        <w:t>(1)检查防寒设施的完好情况，发现破损立即修补；</w:t>
      </w:r>
    </w:p>
    <w:p>
      <w:pPr>
        <w:pStyle w:val="BodyText"/>
        <w:ind w:left="779"/>
        <w:spacing w:before="166" w:line="219" w:lineRule="auto"/>
        <w:rPr>
          <w:sz w:val="29"/>
          <w:szCs w:val="29"/>
        </w:rPr>
      </w:pPr>
      <w:r>
        <w:rPr>
          <w:sz w:val="29"/>
          <w:szCs w:val="29"/>
          <w:spacing w:val="7"/>
        </w:rPr>
        <w:t>(2)及时检查乔木支撑情况，发现松动或缺失立即加固。</w:t>
      </w:r>
    </w:p>
    <w:p>
      <w:pPr>
        <w:pStyle w:val="BodyText"/>
        <w:ind w:left="640"/>
        <w:spacing w:before="110" w:line="224"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保洁</w:t>
      </w:r>
    </w:p>
    <w:p>
      <w:pPr>
        <w:pStyle w:val="BodyText"/>
        <w:ind w:left="59" w:right="449" w:firstLine="720"/>
        <w:spacing w:before="11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left="59" w:right="443" w:firstLine="720"/>
        <w:spacing w:before="158"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pStyle w:val="BodyText"/>
        <w:ind w:left="59" w:right="341" w:firstLine="720"/>
        <w:spacing w:before="154" w:line="27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rPr>
        <w:t>雪融化后露出的垃圾、废弃物的全面清理。</w:t>
      </w:r>
    </w:p>
    <w:p>
      <w:pPr>
        <w:ind w:left="640"/>
        <w:spacing w:before="206" w:line="222" w:lineRule="auto"/>
        <w:rPr>
          <w:rFonts w:ascii="SimHei" w:hAnsi="SimHei" w:eastAsia="SimHei" w:cs="SimHei"/>
          <w:sz w:val="29"/>
          <w:szCs w:val="29"/>
        </w:rPr>
      </w:pPr>
      <w:r>
        <w:rPr>
          <w:rFonts w:ascii="SimHei" w:hAnsi="SimHei" w:eastAsia="SimHei" w:cs="SimHei"/>
          <w:sz w:val="29"/>
          <w:szCs w:val="29"/>
          <w:spacing w:val="7"/>
        </w:rPr>
        <w:t>3、时花摆放</w:t>
      </w:r>
    </w:p>
    <w:p>
      <w:pPr>
        <w:pStyle w:val="BodyText"/>
        <w:ind w:left="779"/>
        <w:spacing w:before="101" w:line="219" w:lineRule="auto"/>
        <w:rPr>
          <w:sz w:val="29"/>
          <w:szCs w:val="29"/>
        </w:rPr>
      </w:pPr>
      <w:r>
        <w:rPr>
          <w:sz w:val="29"/>
          <w:szCs w:val="29"/>
          <w:spacing w:val="5"/>
        </w:rPr>
        <w:t>(1)月初提交时花需求计划，选择亮色花卉，安排下旬进场；</w:t>
      </w:r>
    </w:p>
    <w:p>
      <w:pPr>
        <w:pStyle w:val="BodyText"/>
        <w:ind w:left="779"/>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640"/>
        <w:spacing w:before="104" w:line="222"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物资管理</w:t>
      </w:r>
    </w:p>
    <w:p>
      <w:pPr>
        <w:pStyle w:val="BodyText"/>
        <w:ind w:left="779"/>
        <w:spacing w:before="154" w:line="219" w:lineRule="auto"/>
        <w:rPr>
          <w:sz w:val="29"/>
          <w:szCs w:val="29"/>
        </w:rPr>
      </w:pPr>
      <w:r>
        <w:rPr>
          <w:sz w:val="29"/>
          <w:szCs w:val="29"/>
          <w:spacing w:val="7"/>
        </w:rPr>
        <w:t>(1)库房物品整理，物料工具出入库及领用登记，注意保管汽油、农药等</w:t>
      </w:r>
    </w:p>
    <w:p>
      <w:pPr>
        <w:spacing w:line="219" w:lineRule="auto"/>
        <w:sectPr>
          <w:footerReference w:type="default" r:id="rId601"/>
          <w:pgSz w:w="14490" w:h="20470"/>
          <w:pgMar w:top="1199" w:right="1825" w:bottom="1033" w:left="2100" w:header="799" w:footer="834" w:gutter="0"/>
        </w:sectPr>
        <w:rPr>
          <w:sz w:val="29"/>
          <w:szCs w:val="29"/>
        </w:rPr>
      </w:pPr>
    </w:p>
    <w:p>
      <w:pPr>
        <w:spacing w:line="277" w:lineRule="auto"/>
        <w:rPr>
          <w:rFonts w:ascii="Arial"/>
          <w:sz w:val="21"/>
        </w:rPr>
      </w:pPr>
      <w:r/>
    </w:p>
    <w:p>
      <w:pPr>
        <w:spacing w:line="278" w:lineRule="auto"/>
        <w:rPr>
          <w:rFonts w:ascii="Arial"/>
          <w:sz w:val="21"/>
        </w:rPr>
      </w:pPr>
      <w:r/>
    </w:p>
    <w:p>
      <w:pPr>
        <w:pStyle w:val="BodyText"/>
        <w:ind w:left="59"/>
        <w:spacing w:before="94" w:line="220" w:lineRule="auto"/>
        <w:rPr>
          <w:sz w:val="29"/>
          <w:szCs w:val="29"/>
        </w:rPr>
      </w:pPr>
      <w:r>
        <w:rPr>
          <w:sz w:val="29"/>
          <w:szCs w:val="29"/>
          <w:spacing w:val="-5"/>
        </w:rPr>
        <w:t>危险品。</w:t>
      </w:r>
    </w:p>
    <w:p>
      <w:pPr>
        <w:pStyle w:val="BodyText"/>
        <w:ind w:left="59" w:right="261" w:firstLine="720"/>
        <w:spacing w:before="161" w:line="308" w:lineRule="auto"/>
        <w:rPr>
          <w:sz w:val="29"/>
          <w:szCs w:val="29"/>
        </w:rPr>
      </w:pPr>
      <w:r>
        <w:rPr>
          <w:sz w:val="29"/>
          <w:szCs w:val="29"/>
          <w:spacing w:val="4"/>
        </w:rPr>
        <w:t>(2)根据现场的实际情况，申请购置翌年1、2、3月份的农药、化肥、营养</w:t>
      </w:r>
      <w:r>
        <w:rPr>
          <w:sz w:val="29"/>
          <w:szCs w:val="29"/>
          <w:spacing w:val="2"/>
        </w:rPr>
        <w:t xml:space="preserve"> </w:t>
      </w:r>
      <w:r>
        <w:rPr>
          <w:sz w:val="29"/>
          <w:szCs w:val="29"/>
          <w:spacing w:val="-2"/>
        </w:rPr>
        <w:t>剂及其它物资。</w:t>
      </w:r>
    </w:p>
    <w:p>
      <w:pPr>
        <w:pStyle w:val="BodyText"/>
        <w:ind w:left="650"/>
        <w:spacing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防火防盗</w:t>
      </w:r>
    </w:p>
    <w:p>
      <w:pPr>
        <w:pStyle w:val="BodyText"/>
        <w:ind w:left="59" w:firstLine="580"/>
        <w:spacing w:before="10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4"/>
        </w:rPr>
        <w:t>防盗情况。</w:t>
      </w:r>
    </w:p>
    <w:p>
      <w:pPr>
        <w:spacing w:line="314" w:lineRule="auto"/>
        <w:sectPr>
          <w:headerReference w:type="default" r:id="rId602"/>
          <w:footerReference w:type="default" r:id="rId603"/>
          <w:pgSz w:w="14490" w:h="20470"/>
          <w:pgMar w:top="1199" w:right="1925" w:bottom="1033" w:left="2100" w:header="799" w:footer="8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ind w:left="4490"/>
        <w:spacing w:before="94" w:line="221" w:lineRule="auto"/>
        <w:outlineLvl w:val="1"/>
        <w:rPr>
          <w:rFonts w:ascii="SimHei" w:hAnsi="SimHei" w:eastAsia="SimHei" w:cs="SimHei"/>
          <w:sz w:val="29"/>
          <w:szCs w:val="29"/>
        </w:rPr>
      </w:pPr>
      <w:bookmarkStart w:name="bookmark131" w:id="119"/>
      <w:bookmarkEnd w:id="119"/>
      <w:bookmarkStart w:name="bookmark67" w:id="120"/>
      <w:bookmarkEnd w:id="120"/>
      <w:r>
        <w:rPr>
          <w:rFonts w:ascii="SimHei" w:hAnsi="SimHei" w:eastAsia="SimHei" w:cs="SimHei"/>
          <w:sz w:val="29"/>
          <w:szCs w:val="29"/>
          <w:spacing w:val="6"/>
        </w:rPr>
        <w:t>新疆地区</w:t>
      </w:r>
    </w:p>
    <w:p>
      <w:pPr>
        <w:pStyle w:val="BodyText"/>
        <w:spacing w:before="176" w:line="223" w:lineRule="auto"/>
        <w:rPr>
          <w:rFonts w:ascii="SimHei" w:hAnsi="SimHei" w:eastAsia="SimHei" w:cs="SimHei"/>
          <w:sz w:val="29"/>
          <w:szCs w:val="29"/>
        </w:rPr>
      </w:pPr>
      <w:r>
        <w:rPr>
          <w:sz w:val="29"/>
          <w:szCs w:val="29"/>
          <w:spacing w:val="3"/>
        </w:rPr>
        <w:t>一、</w:t>
      </w:r>
      <w:r>
        <w:rPr>
          <w:rFonts w:ascii="SimHei" w:hAnsi="SimHei" w:eastAsia="SimHei" w:cs="SimHei"/>
          <w:sz w:val="29"/>
          <w:szCs w:val="29"/>
          <w:spacing w:val="3"/>
        </w:rPr>
        <w:t>二月份</w:t>
      </w:r>
    </w:p>
    <w:p>
      <w:pPr>
        <w:pStyle w:val="BodyText"/>
        <w:ind w:left="570"/>
        <w:spacing w:before="209" w:line="219" w:lineRule="auto"/>
        <w:rPr>
          <w:sz w:val="29"/>
          <w:szCs w:val="29"/>
        </w:rPr>
      </w:pPr>
      <w:r>
        <w:rPr>
          <w:sz w:val="29"/>
          <w:szCs w:val="29"/>
          <w:spacing w:val="4"/>
        </w:rPr>
        <w:t>乌鲁木齐全年中气温最低的月份，重点是保洁和防寒。</w:t>
      </w:r>
    </w:p>
    <w:p>
      <w:pPr>
        <w:pStyle w:val="BodyText"/>
        <w:ind w:left="570"/>
        <w:spacing w:before="12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03" w:line="219" w:lineRule="auto"/>
        <w:rPr>
          <w:sz w:val="29"/>
          <w:szCs w:val="29"/>
        </w:rPr>
      </w:pPr>
      <w:r>
        <w:rPr>
          <w:sz w:val="29"/>
          <w:szCs w:val="29"/>
          <w:spacing w:val="6"/>
        </w:rPr>
        <w:t>(1)检查防寒设施的完好情况，发现破损立即修补；</w:t>
      </w:r>
    </w:p>
    <w:p>
      <w:pPr>
        <w:pStyle w:val="BodyText"/>
        <w:ind w:left="730"/>
        <w:spacing w:before="136" w:line="219" w:lineRule="auto"/>
        <w:rPr>
          <w:sz w:val="29"/>
          <w:szCs w:val="29"/>
        </w:rPr>
      </w:pPr>
      <w:r>
        <w:rPr>
          <w:sz w:val="29"/>
          <w:szCs w:val="29"/>
          <w:spacing w:val="7"/>
        </w:rPr>
        <w:t>(2)及时检查乔木支撑情况，发现松动或缺失立即加固。</w:t>
      </w:r>
    </w:p>
    <w:p>
      <w:pPr>
        <w:pStyle w:val="BodyText"/>
        <w:ind w:left="570"/>
        <w:spacing w:before="130" w:line="224" w:lineRule="auto"/>
        <w:rPr>
          <w:rFonts w:ascii="SimHei" w:hAnsi="SimHei" w:eastAsia="SimHei" w:cs="SimHei"/>
          <w:sz w:val="29"/>
          <w:szCs w:val="29"/>
        </w:rPr>
      </w:pPr>
      <w:r>
        <w:rPr>
          <w:rFonts w:ascii="Arial" w:hAnsi="Arial" w:eastAsia="Arial" w:cs="Arial"/>
          <w:sz w:val="29"/>
          <w:szCs w:val="29"/>
          <w:spacing w:val="4"/>
        </w:rPr>
        <w:t>2</w:t>
      </w:r>
      <w:r>
        <w:rPr>
          <w:sz w:val="29"/>
          <w:szCs w:val="29"/>
          <w:spacing w:val="4"/>
        </w:rPr>
        <w:t>、</w:t>
      </w:r>
      <w:r>
        <w:rPr>
          <w:rFonts w:ascii="SimHei" w:hAnsi="SimHei" w:eastAsia="SimHei" w:cs="SimHei"/>
          <w:sz w:val="29"/>
          <w:szCs w:val="29"/>
          <w:spacing w:val="4"/>
        </w:rPr>
        <w:t>保洁</w:t>
      </w:r>
    </w:p>
    <w:p>
      <w:pPr>
        <w:pStyle w:val="BodyText"/>
        <w:ind w:right="429" w:firstLine="730"/>
        <w:spacing w:before="13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93" w:firstLine="730"/>
        <w:spacing w:before="155" w:line="260"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0"/>
        </w:rPr>
        <w:t>售展示区)进行彻底清理；</w:t>
      </w:r>
    </w:p>
    <w:p>
      <w:pPr>
        <w:pStyle w:val="BodyText"/>
        <w:ind w:right="381" w:firstLine="730"/>
        <w:spacing w:before="15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5"/>
        </w:rPr>
        <w:t>元门及销售中心清理完毕，剩余残雪在3天内清理完毕，沿路两侧要堆雪造</w:t>
      </w:r>
      <w:r>
        <w:rPr>
          <w:sz w:val="29"/>
          <w:szCs w:val="29"/>
          <w:spacing w:val="-6"/>
        </w:rPr>
        <w:t>型；冰</w:t>
      </w:r>
      <w:r>
        <w:rPr>
          <w:sz w:val="29"/>
          <w:szCs w:val="29"/>
        </w:rPr>
        <w:t xml:space="preserve"> </w:t>
      </w:r>
      <w:r>
        <w:rPr>
          <w:sz w:val="29"/>
          <w:szCs w:val="29"/>
          <w:spacing w:val="-1"/>
        </w:rPr>
        <w:t>雪融化后露出的垃圾、废弃物的全面清理。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3、物资管理</w:t>
      </w:r>
    </w:p>
    <w:p>
      <w:pPr>
        <w:pStyle w:val="BodyText"/>
        <w:spacing w:before="7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ind w:left="570"/>
        <w:spacing w:before="123" w:line="221" w:lineRule="auto"/>
        <w:rPr>
          <w:rFonts w:ascii="SimHei" w:hAnsi="SimHei" w:eastAsia="SimHei" w:cs="SimHei"/>
          <w:sz w:val="29"/>
          <w:szCs w:val="29"/>
        </w:rPr>
      </w:pPr>
      <w:r>
        <w:rPr>
          <w:rFonts w:ascii="SimHei" w:hAnsi="SimHei" w:eastAsia="SimHei" w:cs="SimHei"/>
          <w:sz w:val="29"/>
          <w:szCs w:val="29"/>
          <w:spacing w:val="4"/>
        </w:rPr>
        <w:t>4、防火防盗</w:t>
      </w:r>
    </w:p>
    <w:p>
      <w:pPr>
        <w:pStyle w:val="BodyText"/>
        <w:ind w:right="140" w:firstLine="570"/>
        <w:spacing w:before="12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10"/>
        </w:rPr>
        <w:t>教育，加强防火意识。及时清扫落叶、树挂，消除火灾隐患。同时注</w:t>
      </w:r>
      <w:r>
        <w:rPr>
          <w:sz w:val="29"/>
          <w:szCs w:val="29"/>
          <w:spacing w:val="-11"/>
        </w:rPr>
        <w:t>意库房的防火、</w:t>
      </w:r>
      <w:r>
        <w:rPr>
          <w:sz w:val="29"/>
          <w:szCs w:val="29"/>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70"/>
        <w:spacing w:before="129" w:line="219" w:lineRule="auto"/>
        <w:rPr>
          <w:sz w:val="29"/>
          <w:szCs w:val="29"/>
        </w:rPr>
      </w:pPr>
      <w:r>
        <w:rPr>
          <w:sz w:val="29"/>
          <w:szCs w:val="29"/>
          <w:spacing w:val="3"/>
        </w:rPr>
        <w:t>3月下旬气温开始升高，积雪开始融化，随时做好复工准备。</w:t>
      </w:r>
    </w:p>
    <w:p>
      <w:pPr>
        <w:pStyle w:val="BodyText"/>
        <w:ind w:left="570"/>
        <w:spacing w:before="30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13" w:line="219" w:lineRule="auto"/>
        <w:rPr>
          <w:sz w:val="29"/>
          <w:szCs w:val="29"/>
        </w:rPr>
      </w:pPr>
      <w:r>
        <w:rPr>
          <w:sz w:val="29"/>
          <w:szCs w:val="29"/>
          <w:spacing w:val="6"/>
        </w:rPr>
        <w:t>(1)及时检查乔木支撑情况，发现松动或缺失立即加固；</w:t>
      </w:r>
    </w:p>
    <w:p>
      <w:pPr>
        <w:pStyle w:val="BodyText"/>
        <w:ind w:right="382" w:firstLine="730"/>
        <w:spacing w:before="146" w:line="267" w:lineRule="auto"/>
        <w:rPr>
          <w:sz w:val="29"/>
          <w:szCs w:val="29"/>
        </w:rPr>
      </w:pPr>
      <w:r>
        <w:rPr>
          <w:sz w:val="29"/>
          <w:szCs w:val="29"/>
          <w:spacing w:val="7"/>
        </w:rPr>
        <w:t>(2)根据气温情况，可对防寒设施进行部分拆除，使植物逐步适应气候变</w:t>
      </w:r>
      <w:r>
        <w:rPr>
          <w:sz w:val="29"/>
          <w:szCs w:val="29"/>
          <w:spacing w:val="15"/>
        </w:rPr>
        <w:t xml:space="preserve"> </w:t>
      </w:r>
      <w:r>
        <w:rPr>
          <w:sz w:val="29"/>
          <w:szCs w:val="29"/>
          <w:spacing w:val="-7"/>
        </w:rPr>
        <w:t>化。</w:t>
      </w:r>
    </w:p>
    <w:p>
      <w:pPr>
        <w:ind w:left="570"/>
        <w:spacing w:before="98"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left="570"/>
        <w:spacing w:before="156" w:line="219" w:lineRule="auto"/>
        <w:rPr>
          <w:sz w:val="29"/>
          <w:szCs w:val="29"/>
        </w:rPr>
      </w:pPr>
      <w:r>
        <w:rPr>
          <w:sz w:val="29"/>
          <w:szCs w:val="29"/>
          <w:spacing w:val="2"/>
        </w:rPr>
        <w:t>乔灌木萌发前，需对枝条进行全面修剪，去除断枝、枯枝，并修整树形。</w:t>
      </w:r>
    </w:p>
    <w:p>
      <w:pPr>
        <w:ind w:left="570"/>
        <w:spacing w:before="10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71" w:firstLine="570"/>
        <w:spacing w:before="143" w:line="305" w:lineRule="auto"/>
        <w:rPr>
          <w:sz w:val="29"/>
          <w:szCs w:val="29"/>
        </w:rPr>
      </w:pPr>
      <w:r>
        <w:rPr>
          <w:sz w:val="29"/>
          <w:szCs w:val="29"/>
          <w:spacing w:val="2"/>
        </w:rPr>
        <w:t>冬季防寒时已对植物根部进行培土，为保证返青水浇透，需对浇水盘进行恢</w:t>
      </w:r>
      <w:r>
        <w:rPr>
          <w:sz w:val="29"/>
          <w:szCs w:val="29"/>
          <w:spacing w:val="16"/>
        </w:rPr>
        <w:t xml:space="preserve"> </w:t>
      </w:r>
      <w:r>
        <w:rPr>
          <w:sz w:val="29"/>
          <w:szCs w:val="29"/>
          <w:spacing w:val="-10"/>
        </w:rPr>
        <w:t>复。</w:t>
      </w:r>
    </w:p>
    <w:p>
      <w:pPr>
        <w:pStyle w:val="BodyText"/>
        <w:ind w:left="570"/>
        <w:spacing w:before="1" w:line="220"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36" w:line="219" w:lineRule="auto"/>
        <w:rPr>
          <w:sz w:val="29"/>
          <w:szCs w:val="29"/>
        </w:rPr>
      </w:pPr>
      <w:r>
        <w:rPr>
          <w:sz w:val="29"/>
          <w:szCs w:val="29"/>
          <w:spacing w:val="8"/>
        </w:rPr>
        <w:t>(1)病害：根腐病、流胶病等；</w:t>
      </w:r>
    </w:p>
    <w:p>
      <w:pPr>
        <w:pStyle w:val="BodyText"/>
        <w:ind w:left="730"/>
        <w:spacing w:before="164" w:line="219" w:lineRule="auto"/>
        <w:rPr>
          <w:sz w:val="29"/>
          <w:szCs w:val="29"/>
        </w:rPr>
      </w:pPr>
      <w:r>
        <w:rPr>
          <w:sz w:val="29"/>
          <w:szCs w:val="29"/>
          <w:spacing w:val="7"/>
        </w:rPr>
        <w:t>(2)虫害：柳网蝽、柏肤小蠹、铜绿丽金龟、地老虎等。</w:t>
      </w:r>
    </w:p>
    <w:p>
      <w:pPr>
        <w:spacing w:line="219" w:lineRule="auto"/>
        <w:sectPr>
          <w:headerReference w:type="default" r:id="rId312"/>
          <w:footerReference w:type="default" r:id="rId604"/>
          <w:pgSz w:w="14490" w:h="20470"/>
          <w:pgMar w:top="400" w:right="1844" w:bottom="1447" w:left="2150" w:header="0" w:footer="1231" w:gutter="0"/>
        </w:sectPr>
        <w:rPr>
          <w:sz w:val="29"/>
          <w:szCs w:val="29"/>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600"/>
        <w:spacing w:before="94"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39" w:firstLine="730"/>
        <w:spacing w:before="12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2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pStyle w:val="BodyText"/>
        <w:ind w:left="600"/>
        <w:spacing w:before="152" w:line="395" w:lineRule="exact"/>
        <w:rPr>
          <w:rFonts w:ascii="SimHei" w:hAnsi="SimHei" w:eastAsia="SimHei" w:cs="SimHei"/>
          <w:sz w:val="29"/>
          <w:szCs w:val="29"/>
        </w:rPr>
      </w:pPr>
      <w:r>
        <w:rPr>
          <w:rFonts w:ascii="Arial" w:hAnsi="Arial" w:eastAsia="Arial" w:cs="Arial"/>
          <w:sz w:val="29"/>
          <w:szCs w:val="29"/>
          <w:spacing w:val="3"/>
          <w:position w:val="1"/>
        </w:rPr>
        <w:t>5</w:t>
      </w:r>
      <w:r>
        <w:rPr>
          <w:sz w:val="29"/>
          <w:szCs w:val="29"/>
          <w:spacing w:val="3"/>
          <w:position w:val="1"/>
        </w:rPr>
        <w:t>、</w:t>
      </w:r>
      <w:r>
        <w:rPr>
          <w:rFonts w:ascii="SimHei" w:hAnsi="SimHei" w:eastAsia="SimHei" w:cs="SimHei"/>
          <w:sz w:val="29"/>
          <w:szCs w:val="29"/>
          <w:spacing w:val="3"/>
          <w:position w:val="1"/>
        </w:rPr>
        <w:t>物资管理</w:t>
      </w:r>
    </w:p>
    <w:p>
      <w:pPr>
        <w:pStyle w:val="BodyText"/>
        <w:ind w:right="341" w:firstLine="730"/>
        <w:spacing w:before="88"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338" w:firstLine="730"/>
        <w:spacing w:before="151" w:line="271"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3"/>
        </w:rPr>
        <w:t>其它物资。</w:t>
      </w:r>
    </w:p>
    <w:p>
      <w:pPr>
        <w:pStyle w:val="BodyText"/>
        <w:ind w:left="600"/>
        <w:spacing w:before="137" w:line="395" w:lineRule="exact"/>
        <w:rPr>
          <w:rFonts w:ascii="SimHei" w:hAnsi="SimHei" w:eastAsia="SimHei" w:cs="SimHei"/>
          <w:sz w:val="29"/>
          <w:szCs w:val="29"/>
        </w:rPr>
      </w:pPr>
      <w:r>
        <w:rPr>
          <w:rFonts w:ascii="Arial" w:hAnsi="Arial" w:eastAsia="Arial" w:cs="Arial"/>
          <w:sz w:val="29"/>
          <w:szCs w:val="29"/>
          <w:spacing w:val="2"/>
          <w:position w:val="1"/>
        </w:rPr>
        <w:t>6</w:t>
      </w:r>
      <w:r>
        <w:rPr>
          <w:sz w:val="29"/>
          <w:szCs w:val="29"/>
          <w:spacing w:val="2"/>
          <w:position w:val="1"/>
        </w:rPr>
        <w:t>、</w:t>
      </w:r>
      <w:r>
        <w:rPr>
          <w:rFonts w:ascii="SimHei" w:hAnsi="SimHei" w:eastAsia="SimHei" w:cs="SimHei"/>
          <w:sz w:val="29"/>
          <w:szCs w:val="29"/>
          <w:spacing w:val="2"/>
          <w:position w:val="1"/>
        </w:rPr>
        <w:t>防火防盗</w:t>
      </w:r>
    </w:p>
    <w:p>
      <w:pPr>
        <w:pStyle w:val="BodyText"/>
        <w:ind w:firstLine="600"/>
        <w:spacing w:before="111"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117"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right="520" w:firstLine="600"/>
        <w:spacing w:before="108" w:line="288" w:lineRule="auto"/>
        <w:rPr>
          <w:sz w:val="29"/>
          <w:szCs w:val="29"/>
        </w:rPr>
      </w:pPr>
      <w:r>
        <w:rPr>
          <w:sz w:val="29"/>
          <w:szCs w:val="29"/>
          <w:spacing w:val="-9"/>
        </w:rPr>
        <w:t>气温迅速回升，积雪逐渐融化完毕，地面开始干燥，植物结束休眠，陆续萌</w:t>
      </w:r>
      <w:r>
        <w:rPr>
          <w:sz w:val="29"/>
          <w:szCs w:val="29"/>
          <w:spacing w:val="10"/>
        </w:rPr>
        <w:t xml:space="preserve"> </w:t>
      </w:r>
      <w:r>
        <w:rPr>
          <w:sz w:val="29"/>
          <w:szCs w:val="29"/>
          <w:spacing w:val="4"/>
        </w:rPr>
        <w:t>发新芽，本月多大风天气，易发倒春寒，重点是修剪和肥水管</w:t>
      </w:r>
      <w:r>
        <w:rPr>
          <w:sz w:val="29"/>
          <w:szCs w:val="29"/>
          <w:spacing w:val="3"/>
        </w:rPr>
        <w:t>理。</w:t>
      </w:r>
    </w:p>
    <w:p>
      <w:pPr>
        <w:pStyle w:val="BodyText"/>
        <w:ind w:left="600"/>
        <w:spacing w:before="1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23" w:line="219" w:lineRule="auto"/>
        <w:rPr>
          <w:sz w:val="29"/>
          <w:szCs w:val="29"/>
        </w:rPr>
      </w:pPr>
      <w:r>
        <w:rPr>
          <w:sz w:val="29"/>
          <w:szCs w:val="29"/>
          <w:spacing w:val="6"/>
        </w:rPr>
        <w:t>(1)及时检查乔木支撑情况，发现松动或缺失立即加固；</w:t>
      </w:r>
    </w:p>
    <w:p>
      <w:pPr>
        <w:pStyle w:val="BodyText"/>
        <w:ind w:left="730"/>
        <w:spacing w:before="166" w:line="219" w:lineRule="auto"/>
        <w:rPr>
          <w:sz w:val="29"/>
          <w:szCs w:val="29"/>
        </w:rPr>
      </w:pPr>
      <w:r>
        <w:rPr>
          <w:sz w:val="29"/>
          <w:szCs w:val="29"/>
          <w:spacing w:val="7"/>
        </w:rPr>
        <w:t>(2)防寒设施拆除，根据气温情况，逐步拆除防寒设施。</w:t>
      </w:r>
    </w:p>
    <w:p>
      <w:pPr>
        <w:ind w:left="600"/>
        <w:spacing w:before="10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39" w:firstLine="730"/>
        <w:spacing w:before="112" w:line="269" w:lineRule="auto"/>
        <w:rPr>
          <w:sz w:val="29"/>
          <w:szCs w:val="29"/>
        </w:rPr>
      </w:pPr>
      <w:r>
        <w:rPr>
          <w:sz w:val="29"/>
          <w:szCs w:val="29"/>
          <w:spacing w:val="6"/>
        </w:rPr>
        <w:t>(1)乔灌木枯枝及死枝应及时修剪，在树木萌发前需对死枝、断枝、枯枝</w:t>
      </w:r>
      <w:r>
        <w:rPr>
          <w:sz w:val="29"/>
          <w:szCs w:val="29"/>
          <w:spacing w:val="1"/>
        </w:rPr>
        <w:t xml:space="preserve"> </w:t>
      </w:r>
      <w:r>
        <w:rPr>
          <w:sz w:val="29"/>
          <w:szCs w:val="29"/>
          <w:spacing w:val="-3"/>
        </w:rPr>
        <w:t>进行修剪；</w:t>
      </w:r>
    </w:p>
    <w:p>
      <w:pPr>
        <w:pStyle w:val="BodyText"/>
        <w:ind w:right="509" w:firstLine="730"/>
        <w:spacing w:before="155" w:line="265" w:lineRule="auto"/>
        <w:rPr>
          <w:sz w:val="29"/>
          <w:szCs w:val="29"/>
        </w:rPr>
      </w:pPr>
      <w:r>
        <w:rPr>
          <w:sz w:val="29"/>
          <w:szCs w:val="29"/>
          <w:spacing w:val="-8"/>
        </w:rPr>
        <w:t>(2)地被、绿篱芽后修剪注意保留部分更新枝、生长过量需要回缩的地被、</w:t>
      </w:r>
      <w:r>
        <w:rPr>
          <w:sz w:val="29"/>
          <w:szCs w:val="29"/>
          <w:spacing w:val="10"/>
        </w:rPr>
        <w:t xml:space="preserve"> </w:t>
      </w:r>
      <w:r>
        <w:rPr>
          <w:sz w:val="29"/>
          <w:szCs w:val="29"/>
          <w:spacing w:val="-7"/>
        </w:rPr>
        <w:t>绿篱在新芽开始膨大时及时做回缩修剪；</w:t>
      </w:r>
    </w:p>
    <w:p>
      <w:pPr>
        <w:pStyle w:val="BodyText"/>
        <w:ind w:right="339" w:firstLine="730"/>
        <w:spacing w:before="118" w:line="272" w:lineRule="auto"/>
        <w:rPr>
          <w:sz w:val="29"/>
          <w:szCs w:val="29"/>
        </w:rPr>
      </w:pPr>
      <w:r>
        <w:rPr>
          <w:sz w:val="29"/>
          <w:szCs w:val="29"/>
          <w:spacing w:val="6"/>
        </w:rPr>
        <w:t>(3)抹芽，新栽植树木树干上会抽出许多嫩芽、嫩枝，在树干基部也会有</w:t>
      </w:r>
      <w:r>
        <w:rPr>
          <w:sz w:val="29"/>
          <w:szCs w:val="29"/>
          <w:spacing w:val="1"/>
        </w:rPr>
        <w:t xml:space="preserve"> </w:t>
      </w:r>
      <w:r>
        <w:rPr>
          <w:sz w:val="29"/>
          <w:szCs w:val="29"/>
        </w:rPr>
        <w:t>萌芽产生，应进行抹芽和除萌，以减少养分消耗。</w:t>
      </w:r>
    </w:p>
    <w:p>
      <w:pPr>
        <w:ind w:left="600"/>
        <w:spacing w:before="20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52" w:firstLine="730"/>
        <w:spacing w:before="71" w:line="290" w:lineRule="auto"/>
        <w:rPr>
          <w:sz w:val="29"/>
          <w:szCs w:val="29"/>
        </w:rPr>
      </w:pPr>
      <w:r>
        <w:rPr>
          <w:sz w:val="29"/>
          <w:szCs w:val="29"/>
          <w:spacing w:val="4"/>
        </w:rPr>
        <w:t>①  浇返青水，苗木进入萌芽期，对水分需求较大，保证灌透灌足，以促</w:t>
      </w:r>
      <w:r>
        <w:rPr>
          <w:sz w:val="29"/>
          <w:szCs w:val="29"/>
          <w:spacing w:val="9"/>
        </w:rPr>
        <w:t xml:space="preserve"> </w:t>
      </w:r>
      <w:r>
        <w:rPr>
          <w:sz w:val="29"/>
          <w:szCs w:val="29"/>
        </w:rPr>
        <w:t>进新芽萌发，草坪及地被需及时浇水，保持土壤湿度适宜，4</w:t>
      </w:r>
      <w:r>
        <w:rPr>
          <w:sz w:val="29"/>
          <w:szCs w:val="29"/>
          <w:spacing w:val="-1"/>
        </w:rPr>
        <w:t>月15日前完成(返青</w:t>
      </w:r>
      <w:r>
        <w:rPr>
          <w:sz w:val="29"/>
          <w:szCs w:val="29"/>
        </w:rPr>
        <w:t xml:space="preserve"> </w:t>
      </w:r>
      <w:r>
        <w:rPr>
          <w:sz w:val="29"/>
          <w:szCs w:val="29"/>
          <w:spacing w:val="-9"/>
        </w:rPr>
        <w:t>水2-3遍);</w:t>
      </w:r>
    </w:p>
    <w:p>
      <w:pPr>
        <w:pStyle w:val="BodyText"/>
        <w:ind w:right="251" w:firstLine="730"/>
        <w:spacing w:before="133" w:line="281" w:lineRule="auto"/>
        <w:rPr>
          <w:sz w:val="29"/>
          <w:szCs w:val="29"/>
        </w:rPr>
      </w:pPr>
      <w:r>
        <w:rPr>
          <w:sz w:val="29"/>
          <w:szCs w:val="29"/>
          <w:spacing w:val="9"/>
        </w:rPr>
        <w:t>②  春季施肥，春季为保证苗木萌发及生长所需的</w:t>
      </w:r>
      <w:r>
        <w:rPr>
          <w:sz w:val="29"/>
          <w:szCs w:val="29"/>
          <w:spacing w:val="8"/>
        </w:rPr>
        <w:t>养分，4月初防寒包裹</w:t>
      </w:r>
      <w:r>
        <w:rPr>
          <w:sz w:val="29"/>
          <w:szCs w:val="29"/>
        </w:rPr>
        <w:t xml:space="preserve"> </w:t>
      </w:r>
      <w:r>
        <w:rPr>
          <w:sz w:val="29"/>
          <w:szCs w:val="29"/>
          <w:spacing w:val="-8"/>
        </w:rPr>
        <w:t>拆除后，全园追施一次有机复合肥，四月底再追施一次有无机复合肥，植物长势较</w:t>
      </w:r>
      <w:r>
        <w:rPr>
          <w:sz w:val="29"/>
          <w:szCs w:val="29"/>
        </w:rPr>
        <w:t xml:space="preserve"> </w:t>
      </w:r>
      <w:r>
        <w:rPr>
          <w:sz w:val="29"/>
          <w:szCs w:val="29"/>
          <w:spacing w:val="1"/>
        </w:rPr>
        <w:t>弱的追施一次高氮低磷中钾无机复合肥。乔木与大灌木穴施或环施。</w:t>
      </w:r>
    </w:p>
    <w:p>
      <w:pPr>
        <w:spacing w:line="281" w:lineRule="auto"/>
        <w:sectPr>
          <w:footerReference w:type="default" r:id="rId605"/>
          <w:pgSz w:w="14490" w:h="20470"/>
          <w:pgMar w:top="400" w:right="1935" w:bottom="1433" w:left="2150" w:header="0" w:footer="1234"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25" w:line="219" w:lineRule="auto"/>
        <w:rPr>
          <w:sz w:val="29"/>
          <w:szCs w:val="29"/>
        </w:rPr>
      </w:pPr>
      <w:r>
        <w:rPr>
          <w:sz w:val="29"/>
          <w:szCs w:val="29"/>
          <w:spacing w:val="7"/>
        </w:rPr>
        <w:t>(1)病害：炭疽病、叶斑类病害、锈病、根腐</w:t>
      </w:r>
      <w:r>
        <w:rPr>
          <w:sz w:val="29"/>
          <w:szCs w:val="29"/>
          <w:spacing w:val="6"/>
        </w:rPr>
        <w:t>病、流胶病等；</w:t>
      </w:r>
    </w:p>
    <w:p>
      <w:pPr>
        <w:pStyle w:val="BodyText"/>
        <w:ind w:right="413" w:firstLine="730"/>
        <w:spacing w:before="154" w:line="259" w:lineRule="auto"/>
        <w:rPr>
          <w:sz w:val="29"/>
          <w:szCs w:val="29"/>
        </w:rPr>
      </w:pPr>
      <w:r>
        <w:rPr>
          <w:sz w:val="29"/>
          <w:szCs w:val="29"/>
          <w:spacing w:val="6"/>
        </w:rPr>
        <w:t>(2)虫害：大青叶蝉、桃瘤蚜、柳网蝽、桔绿粉虱、芳香木蠹蛾、白杨透</w:t>
      </w:r>
      <w:r>
        <w:rPr>
          <w:sz w:val="29"/>
          <w:szCs w:val="29"/>
          <w:spacing w:val="17"/>
        </w:rPr>
        <w:t xml:space="preserve"> </w:t>
      </w:r>
      <w:r>
        <w:rPr>
          <w:sz w:val="29"/>
          <w:szCs w:val="29"/>
          <w:spacing w:val="2"/>
        </w:rPr>
        <w:t>翅蛾、柏肤小蠹、铜绿丽金龟、大地老虎、柳</w:t>
      </w:r>
      <w:r>
        <w:rPr>
          <w:sz w:val="29"/>
          <w:szCs w:val="29"/>
          <w:spacing w:val="1"/>
        </w:rPr>
        <w:t>毒蛾等。</w:t>
      </w:r>
    </w:p>
    <w:p>
      <w:pPr>
        <w:pStyle w:val="BodyText"/>
        <w:ind w:left="570"/>
        <w:spacing w:before="168"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10" w:firstLine="730"/>
        <w:spacing w:before="93" w:line="262"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03" w:firstLine="730"/>
        <w:spacing w:before="13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before="153"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07" w:line="219" w:lineRule="auto"/>
        <w:rPr>
          <w:sz w:val="29"/>
          <w:szCs w:val="29"/>
        </w:rPr>
      </w:pPr>
      <w:r>
        <w:rPr>
          <w:sz w:val="29"/>
          <w:szCs w:val="29"/>
          <w:spacing w:val="5"/>
        </w:rPr>
        <w:t>(1)月初提交时花需求计划，选择亮色花卉，安排下旬进场；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2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72"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right="90" w:firstLine="570"/>
        <w:spacing w:before="148"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96" w:line="223" w:lineRule="auto"/>
        <w:rPr>
          <w:rFonts w:ascii="SimHei" w:hAnsi="SimHei" w:eastAsia="SimHei" w:cs="SimHei"/>
          <w:sz w:val="29"/>
          <w:szCs w:val="29"/>
        </w:rPr>
      </w:pPr>
      <w:r>
        <w:rPr>
          <w:rFonts w:ascii="SimHei" w:hAnsi="SimHei" w:eastAsia="SimHei" w:cs="SimHei"/>
          <w:sz w:val="29"/>
          <w:szCs w:val="29"/>
          <w:spacing w:val="2"/>
        </w:rPr>
        <w:t>五月份</w:t>
      </w:r>
    </w:p>
    <w:p>
      <w:pPr>
        <w:pStyle w:val="BodyText"/>
        <w:ind w:right="473" w:firstLine="570"/>
        <w:spacing w:before="87" w:line="295" w:lineRule="auto"/>
        <w:rPr>
          <w:sz w:val="29"/>
          <w:szCs w:val="29"/>
        </w:rPr>
      </w:pPr>
      <w:r>
        <w:rPr>
          <w:sz w:val="29"/>
          <w:szCs w:val="29"/>
          <w:spacing w:val="5"/>
        </w:rPr>
        <w:t>本月气温迅速升高，下旬温度会达到30℃以上，高温会导致植物蒸腾量速 </w:t>
      </w:r>
      <w:r>
        <w:rPr>
          <w:sz w:val="29"/>
          <w:szCs w:val="29"/>
          <w:spacing w:val="4"/>
        </w:rPr>
        <w:t>加大，根部供给不足，导致苗木出现干旱缺水情况，重点是肥水管理。</w:t>
      </w:r>
    </w:p>
    <w:p>
      <w:pPr>
        <w:pStyle w:val="BodyText"/>
        <w:ind w:left="570"/>
        <w:spacing w:before="14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43" w:line="219" w:lineRule="auto"/>
        <w:rPr>
          <w:sz w:val="29"/>
          <w:szCs w:val="29"/>
        </w:rPr>
      </w:pPr>
      <w:r>
        <w:rPr>
          <w:sz w:val="29"/>
          <w:szCs w:val="29"/>
          <w:spacing w:val="1"/>
        </w:rPr>
        <w:t>及时检查乔木支撑情况，发现松动或缺失立即加固。</w:t>
      </w:r>
    </w:p>
    <w:p>
      <w:pPr>
        <w:ind w:left="570"/>
        <w:spacing w:before="11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413" w:firstLine="730"/>
        <w:spacing w:before="146" w:line="259" w:lineRule="auto"/>
        <w:rPr>
          <w:sz w:val="29"/>
          <w:szCs w:val="29"/>
        </w:rPr>
      </w:pPr>
      <w:r>
        <w:rPr>
          <w:sz w:val="29"/>
          <w:szCs w:val="29"/>
          <w:spacing w:val="6"/>
        </w:rPr>
        <w:t>(1)乔灌木及时修剪枯枝死枝断枝，按规范修整树型，地被及球类定期修</w:t>
      </w:r>
      <w:r>
        <w:rPr>
          <w:sz w:val="29"/>
          <w:szCs w:val="29"/>
          <w:spacing w:val="17"/>
        </w:rPr>
        <w:t xml:space="preserve"> </w:t>
      </w:r>
      <w:r>
        <w:rPr>
          <w:sz w:val="29"/>
          <w:szCs w:val="29"/>
        </w:rPr>
        <w:t>剪，保证造型，草坪定期修剪，修剪高度不得过低；</w:t>
      </w:r>
    </w:p>
    <w:p>
      <w:pPr>
        <w:pStyle w:val="BodyText"/>
        <w:ind w:right="411" w:firstLine="730"/>
        <w:spacing w:before="165" w:line="269" w:lineRule="auto"/>
        <w:rPr>
          <w:sz w:val="29"/>
          <w:szCs w:val="29"/>
        </w:rPr>
      </w:pPr>
      <w:r>
        <w:rPr>
          <w:sz w:val="29"/>
          <w:szCs w:val="29"/>
          <w:spacing w:val="7"/>
        </w:rPr>
        <w:t>(2)除杂草，按照除早除小的原则，尽量</w:t>
      </w:r>
      <w:r>
        <w:rPr>
          <w:sz w:val="29"/>
          <w:szCs w:val="29"/>
          <w:spacing w:val="6"/>
        </w:rPr>
        <w:t>不使用除草剂，草坪板结部位打</w:t>
      </w:r>
      <w:r>
        <w:rPr>
          <w:sz w:val="29"/>
          <w:szCs w:val="29"/>
        </w:rPr>
        <w:t xml:space="preserve"> </w:t>
      </w:r>
      <w:r>
        <w:rPr>
          <w:sz w:val="29"/>
          <w:szCs w:val="29"/>
          <w:spacing w:val="-3"/>
        </w:rPr>
        <w:t>孔松土。</w:t>
      </w:r>
    </w:p>
    <w:p>
      <w:pPr>
        <w:ind w:left="570"/>
        <w:spacing w:before="16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33" w:firstLine="730"/>
        <w:spacing w:before="80" w:line="294" w:lineRule="auto"/>
        <w:rPr>
          <w:sz w:val="29"/>
          <w:szCs w:val="29"/>
        </w:rPr>
      </w:pPr>
      <w:r>
        <w:rPr>
          <w:sz w:val="29"/>
          <w:szCs w:val="29"/>
          <w:spacing w:val="9"/>
        </w:rPr>
        <w:t>(1)浇水，气温上升导致树体及地表水分蒸腾加大，浇水成为本地区</w:t>
      </w:r>
      <w:r>
        <w:rPr>
          <w:sz w:val="29"/>
          <w:szCs w:val="29"/>
          <w:spacing w:val="8"/>
        </w:rPr>
        <w:t>养护</w:t>
      </w:r>
      <w:r>
        <w:rPr>
          <w:sz w:val="29"/>
          <w:szCs w:val="29"/>
        </w:rPr>
        <w:t xml:space="preserve"> </w:t>
      </w:r>
      <w:r>
        <w:rPr>
          <w:sz w:val="29"/>
          <w:szCs w:val="29"/>
          <w:spacing w:val="-9"/>
        </w:rPr>
        <w:t>工作的重点，土壤为砂质盐碱土，保水保湿效果差，易板结，浇水不易浇透，需定</w:t>
      </w:r>
      <w:r>
        <w:rPr>
          <w:sz w:val="29"/>
          <w:szCs w:val="29"/>
          <w:spacing w:val="1"/>
        </w:rPr>
        <w:t xml:space="preserve"> </w:t>
      </w:r>
      <w:r>
        <w:rPr>
          <w:sz w:val="29"/>
          <w:szCs w:val="29"/>
          <w:spacing w:val="-8"/>
        </w:rPr>
        <w:t>期松土，浇水时避开中午高温期，乔灌木浇透浇足，不干不浇，每日喷洒叶面水，</w:t>
      </w:r>
      <w:r>
        <w:rPr>
          <w:sz w:val="29"/>
          <w:szCs w:val="29"/>
          <w:spacing w:val="8"/>
        </w:rPr>
        <w:t xml:space="preserve"> </w:t>
      </w:r>
      <w:r>
        <w:rPr>
          <w:sz w:val="29"/>
          <w:szCs w:val="29"/>
        </w:rPr>
        <w:t>草坪灌透撒匀，避开高温期，时花小水喷洒，水量适中；</w:t>
      </w:r>
    </w:p>
    <w:p>
      <w:pPr>
        <w:pStyle w:val="BodyText"/>
        <w:ind w:left="730"/>
        <w:spacing w:before="154" w:line="219" w:lineRule="auto"/>
        <w:rPr>
          <w:sz w:val="29"/>
          <w:szCs w:val="29"/>
        </w:rPr>
      </w:pPr>
      <w:r>
        <w:rPr>
          <w:sz w:val="29"/>
          <w:szCs w:val="29"/>
          <w:spacing w:val="1"/>
        </w:rPr>
        <w:t>(2)对长势较弱的植物，追施一次高氮、中磷钾的速效无机复合肥；</w:t>
      </w:r>
    </w:p>
    <w:p>
      <w:pPr>
        <w:spacing w:line="219" w:lineRule="auto"/>
        <w:sectPr>
          <w:footerReference w:type="default" r:id="rId606"/>
          <w:pgSz w:w="14490" w:h="20470"/>
          <w:pgMar w:top="400" w:right="1844" w:bottom="1447" w:left="2150" w:header="0" w:footer="1230" w:gutter="0"/>
        </w:sectPr>
        <w:rPr>
          <w:sz w:val="29"/>
          <w:szCs w:val="29"/>
        </w:rPr>
      </w:pP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BodyText"/>
        <w:ind w:right="412" w:firstLine="730"/>
        <w:spacing w:before="95" w:line="307" w:lineRule="auto"/>
        <w:rPr>
          <w:sz w:val="29"/>
          <w:szCs w:val="29"/>
        </w:rPr>
      </w:pPr>
      <w:r>
        <w:rPr>
          <w:sz w:val="29"/>
          <w:szCs w:val="29"/>
          <w:spacing w:val="6"/>
        </w:rPr>
        <w:t>(3)补充生长调节剂，由于气候炎热干燥，需根据现场情况定期对苗木喷</w:t>
      </w:r>
      <w:r>
        <w:rPr>
          <w:sz w:val="29"/>
          <w:szCs w:val="29"/>
          <w:spacing w:val="18"/>
        </w:rPr>
        <w:t xml:space="preserve"> </w:t>
      </w:r>
      <w:r>
        <w:rPr>
          <w:sz w:val="29"/>
          <w:szCs w:val="29"/>
          <w:spacing w:val="1"/>
        </w:rPr>
        <w:t>施抑制蒸腾剂，树体挂吊针营养液，树动力，根部灌根动力。</w:t>
      </w:r>
    </w:p>
    <w:p>
      <w:pPr>
        <w:pStyle w:val="BodyText"/>
        <w:ind w:left="570"/>
        <w:spacing w:before="3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08" w:firstLine="730"/>
        <w:spacing w:before="85" w:line="272" w:lineRule="auto"/>
        <w:rPr>
          <w:sz w:val="29"/>
          <w:szCs w:val="29"/>
        </w:rPr>
      </w:pPr>
      <w:r>
        <w:rPr>
          <w:sz w:val="29"/>
          <w:szCs w:val="29"/>
          <w:spacing w:val="7"/>
        </w:rPr>
        <w:t>(1)病害：白粉病、炭疽病、叶斑类病害、锈病</w:t>
      </w:r>
      <w:r>
        <w:rPr>
          <w:sz w:val="29"/>
          <w:szCs w:val="29"/>
          <w:spacing w:val="6"/>
        </w:rPr>
        <w:t>、干腐病、根腐病、流胶</w:t>
      </w:r>
      <w:r>
        <w:rPr>
          <w:sz w:val="29"/>
          <w:szCs w:val="29"/>
        </w:rPr>
        <w:t xml:space="preserve"> </w:t>
      </w:r>
      <w:r>
        <w:rPr>
          <w:sz w:val="29"/>
          <w:szCs w:val="29"/>
          <w:spacing w:val="-3"/>
        </w:rPr>
        <w:t>病、细菌性穿孔病等；</w:t>
      </w:r>
    </w:p>
    <w:p>
      <w:pPr>
        <w:pStyle w:val="BodyText"/>
        <w:ind w:right="90" w:firstLine="730"/>
        <w:spacing w:before="143" w:line="279" w:lineRule="auto"/>
        <w:rPr>
          <w:sz w:val="29"/>
          <w:szCs w:val="29"/>
        </w:rPr>
      </w:pPr>
      <w:r>
        <w:rPr>
          <w:sz w:val="29"/>
          <w:szCs w:val="29"/>
          <w:spacing w:val="9"/>
        </w:rPr>
        <w:t>(2)虫害：大青叶蝉、桃瘤蚜、柳网蝽、桔绿粉虱、芳香木蠹蛾、白</w:t>
      </w:r>
      <w:r>
        <w:rPr>
          <w:sz w:val="29"/>
          <w:szCs w:val="29"/>
          <w:spacing w:val="8"/>
        </w:rPr>
        <w:t>杨透</w:t>
      </w:r>
      <w:r>
        <w:rPr>
          <w:sz w:val="29"/>
          <w:szCs w:val="29"/>
        </w:rPr>
        <w:t xml:space="preserve">  </w:t>
      </w:r>
      <w:r>
        <w:rPr>
          <w:sz w:val="29"/>
          <w:szCs w:val="29"/>
          <w:spacing w:val="-9"/>
        </w:rPr>
        <w:t>翅蛾、柏肤小蠹、大黑鳃金龟、铜绿丽金龟、地老虎、蝼蛄、柳毒蛾、桃剑纹夜蛾、</w:t>
      </w:r>
      <w:r>
        <w:rPr>
          <w:sz w:val="29"/>
          <w:szCs w:val="29"/>
          <w:spacing w:val="6"/>
        </w:rPr>
        <w:t xml:space="preserve"> </w:t>
      </w:r>
      <w:r>
        <w:rPr>
          <w:sz w:val="29"/>
          <w:szCs w:val="29"/>
          <w:spacing w:val="-2"/>
        </w:rPr>
        <w:t>丝棉木金星尺蛾等。</w:t>
      </w:r>
    </w:p>
    <w:p>
      <w:pPr>
        <w:pStyle w:val="BodyText"/>
        <w:ind w:left="570"/>
        <w:spacing w:before="158"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10" w:firstLine="730"/>
        <w:spacing w:before="104" w:line="271"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03" w:firstLine="730"/>
        <w:spacing w:before="145" w:line="263"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9"/>
        </w:rPr>
        <w:t>售展示区)进行彻底清理。</w:t>
      </w:r>
    </w:p>
    <w:p>
      <w:pPr>
        <w:ind w:left="570"/>
        <w:spacing w:before="183"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9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90" w:firstLine="570"/>
        <w:spacing w:before="14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right="451" w:firstLine="570"/>
        <w:spacing w:before="98" w:line="301" w:lineRule="auto"/>
        <w:rPr>
          <w:sz w:val="29"/>
          <w:szCs w:val="29"/>
        </w:rPr>
      </w:pPr>
      <w:r>
        <w:rPr>
          <w:sz w:val="29"/>
          <w:szCs w:val="29"/>
          <w:spacing w:val="6"/>
        </w:rPr>
        <w:t>本月进人夏季高温炎热时期，气温将持续保持在30℃以上，</w:t>
      </w:r>
      <w:r>
        <w:rPr>
          <w:sz w:val="29"/>
          <w:szCs w:val="29"/>
          <w:spacing w:val="5"/>
        </w:rPr>
        <w:t>干旱少雨，光</w:t>
      </w:r>
      <w:r>
        <w:rPr>
          <w:sz w:val="29"/>
          <w:szCs w:val="29"/>
        </w:rPr>
        <w:t xml:space="preserve"> </w:t>
      </w:r>
      <w:r>
        <w:rPr>
          <w:sz w:val="29"/>
          <w:szCs w:val="29"/>
          <w:spacing w:val="5"/>
        </w:rPr>
        <w:t>灼热，苗木死亡率较高，注意水肥管理。</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43" w:line="219" w:lineRule="auto"/>
        <w:rPr>
          <w:sz w:val="29"/>
          <w:szCs w:val="29"/>
        </w:rPr>
      </w:pPr>
      <w:r>
        <w:rPr>
          <w:sz w:val="29"/>
          <w:szCs w:val="29"/>
          <w:spacing w:val="1"/>
        </w:rPr>
        <w:t>及时检查乔木支撑情况，发现松动或缺失立即加固。</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413" w:firstLine="730"/>
        <w:spacing w:before="145" w:line="272" w:lineRule="auto"/>
        <w:rPr>
          <w:sz w:val="29"/>
          <w:szCs w:val="29"/>
        </w:rPr>
      </w:pPr>
      <w:r>
        <w:rPr>
          <w:sz w:val="29"/>
          <w:szCs w:val="29"/>
          <w:spacing w:val="6"/>
        </w:rPr>
        <w:t>(1)乔灌木及时修剪枯枝死枝断枝，按规范修整树型，地被及球类定期修</w:t>
      </w:r>
      <w:r>
        <w:rPr>
          <w:sz w:val="29"/>
          <w:szCs w:val="29"/>
          <w:spacing w:val="17"/>
        </w:rPr>
        <w:t xml:space="preserve"> </w:t>
      </w:r>
      <w:r>
        <w:rPr>
          <w:sz w:val="29"/>
          <w:szCs w:val="29"/>
        </w:rPr>
        <w:t>剪，保证造型，草坪定期修剪，修剪高度不得过低；</w:t>
      </w:r>
    </w:p>
    <w:p>
      <w:pPr>
        <w:pStyle w:val="BodyText"/>
        <w:ind w:right="411" w:firstLine="730"/>
        <w:spacing w:before="134" w:line="263" w:lineRule="auto"/>
        <w:rPr>
          <w:sz w:val="29"/>
          <w:szCs w:val="29"/>
        </w:rPr>
      </w:pPr>
      <w:r>
        <w:rPr>
          <w:sz w:val="29"/>
          <w:szCs w:val="29"/>
          <w:spacing w:val="7"/>
        </w:rPr>
        <w:t>(2)从本月起应经常修整草坪边缘，通常</w:t>
      </w:r>
      <w:r>
        <w:rPr>
          <w:sz w:val="29"/>
          <w:szCs w:val="29"/>
          <w:spacing w:val="6"/>
        </w:rPr>
        <w:t>使用月牙状的铲子和长木板将草</w:t>
      </w:r>
      <w:r>
        <w:rPr>
          <w:sz w:val="29"/>
          <w:szCs w:val="29"/>
        </w:rPr>
        <w:t xml:space="preserve"> </w:t>
      </w:r>
      <w:r>
        <w:rPr>
          <w:sz w:val="29"/>
          <w:szCs w:val="29"/>
          <w:spacing w:val="-3"/>
        </w:rPr>
        <w:t>坪边切齐。</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83" w:firstLine="730"/>
        <w:spacing w:before="98" w:line="267" w:lineRule="auto"/>
        <w:rPr>
          <w:sz w:val="29"/>
          <w:szCs w:val="29"/>
        </w:rPr>
      </w:pPr>
      <w:r>
        <w:rPr>
          <w:sz w:val="29"/>
          <w:szCs w:val="29"/>
          <w:spacing w:val="3"/>
        </w:rPr>
        <w:t>①  浇水，夏季极易发生干旱，浇水为重点工作，乔灌木浇透浇足，不干</w:t>
      </w:r>
      <w:r>
        <w:rPr>
          <w:sz w:val="29"/>
          <w:szCs w:val="29"/>
          <w:spacing w:val="1"/>
        </w:rPr>
        <w:t xml:space="preserve"> </w:t>
      </w:r>
      <w:r>
        <w:rPr>
          <w:sz w:val="29"/>
          <w:szCs w:val="29"/>
          <w:spacing w:val="-24"/>
        </w:rPr>
        <w:t>不浇，每日喷洒叶面水，草坪灌透撒匀，避开高温期，时花小水喷洒，水量适中；</w:t>
      </w:r>
    </w:p>
    <w:p>
      <w:pPr>
        <w:pStyle w:val="BodyText"/>
        <w:ind w:right="412" w:firstLine="730"/>
        <w:spacing w:before="142" w:line="263" w:lineRule="auto"/>
        <w:rPr>
          <w:sz w:val="29"/>
          <w:szCs w:val="29"/>
        </w:rPr>
      </w:pPr>
      <w:r>
        <w:rPr>
          <w:sz w:val="29"/>
          <w:szCs w:val="29"/>
          <w:spacing w:val="2"/>
        </w:rPr>
        <w:t>②  施肥，夏季以复合肥为主，不宜多施氮肥，可根据具体情况使用叶面</w:t>
      </w:r>
      <w:r>
        <w:rPr>
          <w:sz w:val="29"/>
          <w:szCs w:val="29"/>
          <w:spacing w:val="5"/>
        </w:rPr>
        <w:t xml:space="preserve"> </w:t>
      </w:r>
      <w:r>
        <w:rPr>
          <w:sz w:val="29"/>
          <w:szCs w:val="29"/>
          <w:spacing w:val="-3"/>
        </w:rPr>
        <w:t>肥及有机复合肥；</w:t>
      </w:r>
    </w:p>
    <w:p>
      <w:pPr>
        <w:spacing w:line="263" w:lineRule="auto"/>
        <w:sectPr>
          <w:footerReference w:type="default" r:id="rId607"/>
          <w:pgSz w:w="14490" w:h="20470"/>
          <w:pgMar w:top="400" w:right="1844" w:bottom="1433" w:left="2150" w:header="0" w:footer="1235" w:gutter="0"/>
        </w:sectPr>
        <w:rPr>
          <w:sz w:val="29"/>
          <w:szCs w:val="29"/>
        </w:rPr>
      </w:pPr>
    </w:p>
    <w:p>
      <w:pPr>
        <w:pStyle w:val="BodyText"/>
        <w:ind w:left="570"/>
        <w:spacing w:before="15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9" w:firstLine="730"/>
        <w:spacing w:before="95" w:line="272" w:lineRule="auto"/>
        <w:rPr>
          <w:sz w:val="29"/>
          <w:szCs w:val="29"/>
        </w:rPr>
      </w:pPr>
      <w:r>
        <w:rPr>
          <w:sz w:val="29"/>
          <w:szCs w:val="29"/>
          <w:spacing w:val="6"/>
        </w:rPr>
        <w:t>(1)病害：白粉病、炭疽病、锈病、煤污病、叶枯</w:t>
      </w:r>
      <w:r>
        <w:rPr>
          <w:sz w:val="29"/>
          <w:szCs w:val="29"/>
          <w:spacing w:val="5"/>
        </w:rPr>
        <w:t>病、干腐病、枝枯病、</w:t>
      </w:r>
      <w:r>
        <w:rPr>
          <w:sz w:val="29"/>
          <w:szCs w:val="29"/>
        </w:rPr>
        <w:t xml:space="preserve"> </w:t>
      </w:r>
      <w:r>
        <w:rPr>
          <w:sz w:val="29"/>
          <w:szCs w:val="29"/>
          <w:spacing w:val="1"/>
        </w:rPr>
        <w:t>流胶病、枯萎病、草坪腐霉枯萎病、细菌性穿孔病等；</w:t>
      </w:r>
    </w:p>
    <w:p>
      <w:pPr>
        <w:pStyle w:val="BodyText"/>
        <w:ind w:right="244" w:firstLine="730"/>
        <w:spacing w:before="133" w:line="279" w:lineRule="auto"/>
        <w:rPr>
          <w:sz w:val="29"/>
          <w:szCs w:val="29"/>
        </w:rPr>
      </w:pPr>
      <w:r>
        <w:rPr>
          <w:sz w:val="29"/>
          <w:szCs w:val="29"/>
          <w:spacing w:val="9"/>
        </w:rPr>
        <w:t>(2)虫害：大青叶蝉、柳网蝽、花蓟马、芳香木蠹蛾、白杨透翅蛾</w:t>
      </w:r>
      <w:r>
        <w:rPr>
          <w:sz w:val="29"/>
          <w:szCs w:val="29"/>
          <w:spacing w:val="8"/>
        </w:rPr>
        <w:t>、柏肤</w:t>
      </w:r>
      <w:r>
        <w:rPr>
          <w:sz w:val="29"/>
          <w:szCs w:val="29"/>
        </w:rPr>
        <w:t xml:space="preserve"> </w:t>
      </w:r>
      <w:r>
        <w:rPr>
          <w:sz w:val="29"/>
          <w:szCs w:val="29"/>
          <w:spacing w:val="-9"/>
        </w:rPr>
        <w:t>小蠹、大黑鳃金龟、大地老虎、蝼蛄、黄刺蛾、丽绿刺蛾、茶袋蛾、大</w:t>
      </w:r>
      <w:r>
        <w:rPr>
          <w:sz w:val="29"/>
          <w:szCs w:val="29"/>
          <w:spacing w:val="-10"/>
        </w:rPr>
        <w:t>袋蛾、黄尾</w:t>
      </w:r>
      <w:r>
        <w:rPr>
          <w:sz w:val="29"/>
          <w:szCs w:val="29"/>
        </w:rPr>
        <w:t xml:space="preserve"> </w:t>
      </w:r>
      <w:r>
        <w:rPr>
          <w:sz w:val="29"/>
          <w:szCs w:val="29"/>
        </w:rPr>
        <w:t>毒蛾、桃剑纹夜蛾、丝棉木金星尺蛾等。</w:t>
      </w:r>
    </w:p>
    <w:p>
      <w:pPr>
        <w:pStyle w:val="BodyText"/>
        <w:ind w:left="570"/>
        <w:spacing w:before="15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13"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45" w:line="263"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9"/>
        </w:rPr>
        <w:t>售展示区)进行彻底清理。</w:t>
      </w:r>
    </w:p>
    <w:p>
      <w:pPr>
        <w:ind w:left="570"/>
        <w:spacing w:before="18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21" w:firstLine="730"/>
        <w:spacing w:before="102" w:line="270"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6"/>
        </w:rPr>
        <w:t>危险品；</w:t>
      </w:r>
    </w:p>
    <w:p>
      <w:pPr>
        <w:pStyle w:val="BodyText"/>
        <w:ind w:right="319" w:firstLine="730"/>
        <w:spacing w:before="140" w:line="271" w:lineRule="auto"/>
        <w:rPr>
          <w:sz w:val="29"/>
          <w:szCs w:val="29"/>
        </w:rPr>
      </w:pPr>
      <w:r>
        <w:rPr>
          <w:sz w:val="29"/>
          <w:szCs w:val="29"/>
          <w:spacing w:val="2"/>
        </w:rPr>
        <w:t>(2)根据现场的实际情况，申请购置7、8、9月份的农药、化肥、营养剂及</w:t>
      </w:r>
      <w:r>
        <w:rPr>
          <w:sz w:val="29"/>
          <w:szCs w:val="29"/>
          <w:spacing w:val="4"/>
        </w:rPr>
        <w:t xml:space="preserve"> </w:t>
      </w:r>
      <w:r>
        <w:rPr>
          <w:sz w:val="29"/>
          <w:szCs w:val="29"/>
          <w:spacing w:val="-5"/>
        </w:rPr>
        <w:t>其它物资；</w:t>
      </w:r>
    </w:p>
    <w:p>
      <w:pPr>
        <w:pStyle w:val="BodyText"/>
        <w:ind w:left="730"/>
        <w:spacing w:before="150" w:line="219" w:lineRule="auto"/>
        <w:rPr>
          <w:sz w:val="29"/>
          <w:szCs w:val="29"/>
        </w:rPr>
      </w:pPr>
      <w:r>
        <w:rPr>
          <w:sz w:val="29"/>
          <w:szCs w:val="29"/>
          <w:spacing w:val="12"/>
        </w:rPr>
        <w:t>(3)进行机械工具的检查维修。</w:t>
      </w:r>
    </w:p>
    <w:p>
      <w:pPr>
        <w:pStyle w:val="BodyText"/>
        <w:ind w:left="570"/>
        <w:spacing w:before="8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6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67" w:line="223" w:lineRule="auto"/>
        <w:rPr>
          <w:rFonts w:ascii="SimHei" w:hAnsi="SimHei" w:eastAsia="SimHei" w:cs="SimHei"/>
          <w:sz w:val="29"/>
          <w:szCs w:val="29"/>
        </w:rPr>
      </w:pPr>
      <w:r>
        <w:rPr>
          <w:rFonts w:ascii="SimHei" w:hAnsi="SimHei" w:eastAsia="SimHei" w:cs="SimHei"/>
          <w:sz w:val="29"/>
          <w:szCs w:val="29"/>
          <w:spacing w:val="6"/>
        </w:rPr>
        <w:t>七月份</w:t>
      </w:r>
    </w:p>
    <w:p>
      <w:pPr>
        <w:pStyle w:val="BodyText"/>
        <w:ind w:right="472" w:firstLine="570"/>
        <w:spacing w:before="117" w:line="288" w:lineRule="auto"/>
        <w:rPr>
          <w:sz w:val="29"/>
          <w:szCs w:val="29"/>
        </w:rPr>
      </w:pPr>
      <w:r>
        <w:rPr>
          <w:sz w:val="29"/>
          <w:szCs w:val="29"/>
          <w:spacing w:val="-6"/>
        </w:rPr>
        <w:t>进入夏季最炎热的时期，是养护工作的重要时期，</w:t>
      </w:r>
      <w:r>
        <w:rPr>
          <w:sz w:val="29"/>
          <w:szCs w:val="29"/>
          <w:spacing w:val="-7"/>
        </w:rPr>
        <w:t>苗木极易发生死亡，需加</w:t>
      </w:r>
      <w:r>
        <w:rPr>
          <w:sz w:val="29"/>
          <w:szCs w:val="29"/>
        </w:rPr>
        <w:t xml:space="preserve"> </w:t>
      </w:r>
      <w:r>
        <w:rPr>
          <w:sz w:val="29"/>
          <w:szCs w:val="29"/>
          <w:spacing w:val="-20"/>
        </w:rPr>
        <w:t>强肥水管理，保持树木长势，及时发现异常的</w:t>
      </w:r>
      <w:r>
        <w:rPr>
          <w:sz w:val="29"/>
          <w:szCs w:val="29"/>
          <w:spacing w:val="-21"/>
        </w:rPr>
        <w:t>苗木，根据具体情况采取相应措施。</w:t>
      </w:r>
    </w:p>
    <w:p>
      <w:pPr>
        <w:pStyle w:val="BodyText"/>
        <w:ind w:left="570"/>
        <w:spacing w:before="16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43" w:line="219" w:lineRule="auto"/>
        <w:rPr>
          <w:sz w:val="29"/>
          <w:szCs w:val="29"/>
        </w:rPr>
      </w:pPr>
      <w:r>
        <w:rPr>
          <w:sz w:val="29"/>
          <w:szCs w:val="29"/>
          <w:spacing w:val="1"/>
        </w:rPr>
        <w:t>及时检查乔木支撑情况，发现松动或缺失立即加固。</w:t>
      </w:r>
    </w:p>
    <w:p>
      <w:pPr>
        <w:ind w:left="570"/>
        <w:spacing w:before="104"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30"/>
        <w:spacing w:before="155" w:line="219" w:lineRule="auto"/>
        <w:rPr>
          <w:sz w:val="29"/>
          <w:szCs w:val="29"/>
        </w:rPr>
      </w:pPr>
      <w:r>
        <w:rPr>
          <w:sz w:val="29"/>
          <w:szCs w:val="29"/>
          <w:spacing w:val="10"/>
        </w:rPr>
        <w:t>(1)按规范修剪苗木草坪；</w:t>
      </w:r>
    </w:p>
    <w:p>
      <w:pPr>
        <w:pStyle w:val="BodyText"/>
        <w:ind w:right="322" w:firstLine="730"/>
        <w:spacing w:before="136" w:line="268" w:lineRule="auto"/>
        <w:rPr>
          <w:sz w:val="29"/>
          <w:szCs w:val="29"/>
        </w:rPr>
      </w:pPr>
      <w:r>
        <w:rPr>
          <w:sz w:val="29"/>
          <w:szCs w:val="29"/>
          <w:spacing w:val="6"/>
        </w:rPr>
        <w:t>(2)除杂草，重点及隐蔽部位的杂草需及时发现并及时清除，地被、时花</w:t>
      </w:r>
      <w:r>
        <w:rPr>
          <w:sz w:val="29"/>
          <w:szCs w:val="29"/>
          <w:spacing w:val="18"/>
        </w:rPr>
        <w:t xml:space="preserve"> </w:t>
      </w:r>
      <w:r>
        <w:rPr>
          <w:sz w:val="29"/>
          <w:szCs w:val="29"/>
        </w:rPr>
        <w:t>当中需随时清除，芦苇、菟丝子等顽固性杂草必须重点防治。</w:t>
      </w:r>
    </w:p>
    <w:p>
      <w:pPr>
        <w:pStyle w:val="BodyText"/>
        <w:ind w:left="570"/>
        <w:spacing w:before="145" w:line="395" w:lineRule="exact"/>
        <w:rPr>
          <w:rFonts w:ascii="SimHei" w:hAnsi="SimHei" w:eastAsia="SimHei" w:cs="SimHei"/>
          <w:sz w:val="29"/>
          <w:szCs w:val="29"/>
        </w:rPr>
      </w:pPr>
      <w:r>
        <w:rPr>
          <w:rFonts w:ascii="Arial" w:hAnsi="Arial" w:eastAsia="Arial" w:cs="Arial"/>
          <w:sz w:val="29"/>
          <w:szCs w:val="29"/>
          <w:spacing w:val="1"/>
          <w:position w:val="1"/>
        </w:rPr>
        <w:t>3</w:t>
      </w:r>
      <w:r>
        <w:rPr>
          <w:sz w:val="29"/>
          <w:szCs w:val="29"/>
          <w:spacing w:val="1"/>
          <w:position w:val="1"/>
        </w:rPr>
        <w:t>、</w:t>
      </w:r>
      <w:r>
        <w:rPr>
          <w:rFonts w:ascii="SimHei" w:hAnsi="SimHei" w:eastAsia="SimHei" w:cs="SimHei"/>
          <w:sz w:val="29"/>
          <w:szCs w:val="29"/>
          <w:spacing w:val="1"/>
          <w:position w:val="1"/>
        </w:rPr>
        <w:t>水肥管理</w:t>
      </w:r>
    </w:p>
    <w:p>
      <w:pPr>
        <w:pStyle w:val="BodyText"/>
        <w:ind w:left="730"/>
        <w:spacing w:before="98" w:line="219" w:lineRule="auto"/>
        <w:rPr>
          <w:sz w:val="29"/>
          <w:szCs w:val="29"/>
        </w:rPr>
      </w:pPr>
      <w:r>
        <w:rPr>
          <w:sz w:val="29"/>
          <w:szCs w:val="29"/>
          <w:spacing w:val="7"/>
        </w:rPr>
        <w:t>(1)浇水，观察树木叶片及草坪颜色是否正常，判断是否缺水，每日喷洒</w:t>
      </w:r>
    </w:p>
    <w:p>
      <w:pPr>
        <w:spacing w:line="219" w:lineRule="auto"/>
        <w:sectPr>
          <w:headerReference w:type="default" r:id="rId608"/>
          <w:footerReference w:type="default" r:id="rId609"/>
          <w:pgSz w:w="14490" w:h="20470"/>
          <w:pgMar w:top="2728" w:right="1935" w:bottom="1433" w:left="2150" w:header="180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叶面水，每日喷湿树干草绳，降低树体水分流失；</w:t>
      </w:r>
    </w:p>
    <w:p>
      <w:pPr>
        <w:pStyle w:val="BodyText"/>
        <w:ind w:right="336" w:firstLine="730"/>
        <w:spacing w:before="128" w:line="275" w:lineRule="auto"/>
        <w:rPr>
          <w:sz w:val="29"/>
          <w:szCs w:val="29"/>
        </w:rPr>
      </w:pPr>
      <w:r>
        <w:rPr>
          <w:sz w:val="29"/>
          <w:szCs w:val="29"/>
          <w:spacing w:val="6"/>
        </w:rPr>
        <w:t>(2)搭荫网，高温期出现部分树木、地被严重卷叶回芽，应搭设荫网降低</w:t>
      </w:r>
      <w:r>
        <w:rPr>
          <w:sz w:val="29"/>
          <w:szCs w:val="29"/>
          <w:spacing w:val="4"/>
        </w:rPr>
        <w:t xml:space="preserve"> </w:t>
      </w:r>
      <w:r>
        <w:rPr>
          <w:sz w:val="29"/>
          <w:szCs w:val="29"/>
          <w:spacing w:val="-1"/>
        </w:rPr>
        <w:t>水分蒸腾损耗，待恢复后撤除；</w:t>
      </w:r>
    </w:p>
    <w:p>
      <w:pPr>
        <w:pStyle w:val="BodyText"/>
        <w:ind w:right="339" w:firstLine="730"/>
        <w:spacing w:before="153" w:line="263" w:lineRule="auto"/>
        <w:rPr>
          <w:sz w:val="29"/>
          <w:szCs w:val="29"/>
        </w:rPr>
      </w:pPr>
      <w:r>
        <w:rPr>
          <w:sz w:val="29"/>
          <w:szCs w:val="29"/>
          <w:spacing w:val="6"/>
        </w:rPr>
        <w:t>(3)缠草绳，乔木夏季树干受太阳灼射，水分散失严重，采取树干缠草绳</w:t>
      </w:r>
      <w:r>
        <w:rPr>
          <w:sz w:val="29"/>
          <w:szCs w:val="29"/>
          <w:spacing w:val="1"/>
        </w:rPr>
        <w:t xml:space="preserve"> </w:t>
      </w:r>
      <w:r>
        <w:rPr>
          <w:sz w:val="29"/>
          <w:szCs w:val="29"/>
          <w:spacing w:val="-3"/>
        </w:rPr>
        <w:t>可有效降低灼伤、蒸腾。</w:t>
      </w:r>
    </w:p>
    <w:p>
      <w:pPr>
        <w:pStyle w:val="BodyText"/>
        <w:ind w:left="600"/>
        <w:spacing w:before="20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51" w:firstLine="730"/>
        <w:spacing w:before="94" w:line="269"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7"/>
        </w:rPr>
        <w:t>坪腐霉枯萎病、细菌性穿孔病、花叶病等；</w:t>
      </w:r>
    </w:p>
    <w:p>
      <w:pPr>
        <w:pStyle w:val="BodyText"/>
        <w:ind w:right="245" w:firstLine="730"/>
        <w:spacing w:before="115" w:line="285" w:lineRule="auto"/>
        <w:rPr>
          <w:sz w:val="29"/>
          <w:szCs w:val="29"/>
        </w:rPr>
      </w:pPr>
      <w:r>
        <w:rPr>
          <w:sz w:val="29"/>
          <w:szCs w:val="29"/>
          <w:spacing w:val="9"/>
        </w:rPr>
        <w:t>(2)虫害：大青叶蝉、柳网蝽、花蓟马、芳香</w:t>
      </w:r>
      <w:r>
        <w:rPr>
          <w:sz w:val="29"/>
          <w:szCs w:val="29"/>
          <w:spacing w:val="8"/>
        </w:rPr>
        <w:t>木蠹蛾、大黑鳃金龟、大地</w:t>
      </w:r>
      <w:r>
        <w:rPr>
          <w:sz w:val="29"/>
          <w:szCs w:val="29"/>
        </w:rPr>
        <w:t xml:space="preserve"> </w:t>
      </w:r>
      <w:r>
        <w:rPr>
          <w:sz w:val="29"/>
          <w:szCs w:val="29"/>
          <w:spacing w:val="-8"/>
        </w:rPr>
        <w:t>老虎、蝼蛄、黄刺蛾、丽绿刺蛾、茶袋蛾、大袋蛾、黄尾毒蛾、桃剑纹夜蛾、丝棉</w:t>
      </w:r>
      <w:r>
        <w:rPr>
          <w:sz w:val="29"/>
          <w:szCs w:val="29"/>
          <w:spacing w:val="6"/>
        </w:rPr>
        <w:t xml:space="preserve"> </w:t>
      </w:r>
      <w:r>
        <w:rPr>
          <w:sz w:val="29"/>
          <w:szCs w:val="29"/>
          <w:spacing w:val="-2"/>
        </w:rPr>
        <w:t>木金星尺蛾等。</w:t>
      </w:r>
    </w:p>
    <w:p>
      <w:pPr>
        <w:pStyle w:val="BodyText"/>
        <w:ind w:left="600"/>
        <w:spacing w:before="13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1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92" w:line="269"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6"/>
        </w:rPr>
        <w:t>危险品等；</w:t>
      </w:r>
    </w:p>
    <w:p>
      <w:pPr>
        <w:pStyle w:val="BodyText"/>
        <w:ind w:left="730"/>
        <w:spacing w:before="143" w:line="219" w:lineRule="auto"/>
        <w:rPr>
          <w:sz w:val="27"/>
          <w:szCs w:val="27"/>
        </w:rPr>
      </w:pPr>
      <w:r>
        <w:rPr>
          <w:sz w:val="27"/>
          <w:szCs w:val="27"/>
          <w:spacing w:val="26"/>
        </w:rPr>
        <w:t>(2)进行机械工具的检查维修。</w:t>
      </w:r>
    </w:p>
    <w:p>
      <w:pPr>
        <w:pStyle w:val="BodyText"/>
        <w:ind w:left="600"/>
        <w:spacing w:before="140"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1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61" w:line="223" w:lineRule="auto"/>
        <w:rPr>
          <w:rFonts w:ascii="SimHei" w:hAnsi="SimHei" w:eastAsia="SimHei" w:cs="SimHei"/>
          <w:sz w:val="29"/>
          <w:szCs w:val="29"/>
        </w:rPr>
      </w:pPr>
      <w:r>
        <w:rPr>
          <w:rFonts w:ascii="SimHei" w:hAnsi="SimHei" w:eastAsia="SimHei" w:cs="SimHei"/>
          <w:sz w:val="29"/>
          <w:szCs w:val="29"/>
          <w:spacing w:val="6"/>
        </w:rPr>
        <w:t>八月份</w:t>
      </w:r>
    </w:p>
    <w:p>
      <w:pPr>
        <w:pStyle w:val="BodyText"/>
        <w:ind w:right="247" w:firstLine="600"/>
        <w:spacing w:before="118" w:line="278" w:lineRule="auto"/>
        <w:jc w:val="both"/>
        <w:rPr>
          <w:sz w:val="29"/>
          <w:szCs w:val="29"/>
        </w:rPr>
      </w:pPr>
      <w:r>
        <w:rPr>
          <w:sz w:val="29"/>
          <w:szCs w:val="29"/>
        </w:rPr>
        <w:t>本月气温持续高温，降水量极低，白天气温</w:t>
      </w:r>
      <w:r>
        <w:rPr>
          <w:sz w:val="29"/>
          <w:szCs w:val="29"/>
          <w:spacing w:val="-1"/>
        </w:rPr>
        <w:t>升高时植物叶片气孔矣闭，光合</w:t>
      </w:r>
      <w:r>
        <w:rPr>
          <w:sz w:val="29"/>
          <w:szCs w:val="29"/>
        </w:rPr>
        <w:t xml:space="preserve"> </w:t>
      </w:r>
      <w:r>
        <w:rPr>
          <w:sz w:val="29"/>
          <w:szCs w:val="29"/>
        </w:rPr>
        <w:t>作用受到抑制，生长受阻，叶片易受到灼伤，树</w:t>
      </w:r>
      <w:r>
        <w:rPr>
          <w:sz w:val="29"/>
          <w:szCs w:val="29"/>
          <w:spacing w:val="-1"/>
        </w:rPr>
        <w:t>皮向阳面也容易灼伤，植物生长</w:t>
      </w:r>
      <w:r>
        <w:rPr>
          <w:sz w:val="29"/>
          <w:szCs w:val="29"/>
        </w:rPr>
        <w:t xml:space="preserve"> </w:t>
      </w:r>
      <w:r>
        <w:rPr>
          <w:sz w:val="29"/>
          <w:szCs w:val="29"/>
          <w:spacing w:val="3"/>
        </w:rPr>
        <w:t>时期主要在清晨和傍晚，重点工作是水肥管理。</w:t>
      </w:r>
    </w:p>
    <w:p>
      <w:pPr>
        <w:pStyle w:val="BodyText"/>
        <w:ind w:left="600"/>
        <w:spacing w:before="209"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14" w:line="219" w:lineRule="auto"/>
        <w:rPr>
          <w:sz w:val="29"/>
          <w:szCs w:val="29"/>
        </w:rPr>
      </w:pPr>
      <w:r>
        <w:rPr>
          <w:sz w:val="29"/>
          <w:szCs w:val="29"/>
        </w:rPr>
        <w:t>及时检查乔木支撑情况，发现松动或缺失立即加固。</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42" w:firstLine="730"/>
        <w:spacing w:before="154" w:line="266" w:lineRule="auto"/>
        <w:rPr>
          <w:sz w:val="29"/>
          <w:szCs w:val="29"/>
        </w:rPr>
      </w:pPr>
      <w:r>
        <w:rPr>
          <w:sz w:val="29"/>
          <w:szCs w:val="29"/>
          <w:spacing w:val="6"/>
        </w:rPr>
        <w:t>(1)草坪适当降低修剪频率，修剪幅度不可过大，按照三分之一原则</w:t>
      </w:r>
      <w:r>
        <w:rPr>
          <w:sz w:val="29"/>
          <w:szCs w:val="29"/>
          <w:spacing w:val="5"/>
        </w:rPr>
        <w:t>，乔</w:t>
      </w:r>
      <w:r>
        <w:rPr>
          <w:sz w:val="29"/>
          <w:szCs w:val="29"/>
        </w:rPr>
        <w:t xml:space="preserve"> </w:t>
      </w:r>
      <w:r>
        <w:rPr>
          <w:sz w:val="29"/>
          <w:szCs w:val="29"/>
          <w:spacing w:val="-2"/>
        </w:rPr>
        <w:t>灌木可适当疏枝，降低蒸腾；</w:t>
      </w:r>
    </w:p>
    <w:p>
      <w:pPr>
        <w:pStyle w:val="BodyText"/>
        <w:ind w:left="730"/>
        <w:spacing w:before="144" w:line="219" w:lineRule="auto"/>
        <w:rPr>
          <w:sz w:val="29"/>
          <w:szCs w:val="29"/>
        </w:rPr>
      </w:pPr>
      <w:r>
        <w:rPr>
          <w:sz w:val="29"/>
          <w:szCs w:val="29"/>
          <w:spacing w:val="7"/>
        </w:rPr>
        <w:t>(2)除杂草，本月杂草处于旺盛时期，生</w:t>
      </w:r>
      <w:r>
        <w:rPr>
          <w:sz w:val="29"/>
          <w:szCs w:val="29"/>
          <w:spacing w:val="6"/>
        </w:rPr>
        <w:t>长速度快，需及时清除。</w:t>
      </w:r>
    </w:p>
    <w:p>
      <w:pPr>
        <w:spacing w:line="219" w:lineRule="auto"/>
        <w:sectPr>
          <w:headerReference w:type="default" r:id="rId312"/>
          <w:footerReference w:type="default" r:id="rId610"/>
          <w:pgSz w:w="14490" w:h="20470"/>
          <w:pgMar w:top="400" w:right="1935" w:bottom="1447" w:left="2150" w:header="0" w:footer="1230"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590"/>
        <w:spacing w:before="9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65" w:firstLine="730"/>
        <w:spacing w:before="103" w:line="281" w:lineRule="auto"/>
        <w:rPr>
          <w:sz w:val="29"/>
          <w:szCs w:val="29"/>
        </w:rPr>
      </w:pPr>
      <w:r>
        <w:rPr>
          <w:sz w:val="29"/>
          <w:szCs w:val="29"/>
          <w:spacing w:val="8"/>
        </w:rPr>
        <w:t>(1)浇水，乔灌木浇水前检查浇水盘是否损坏，地表土壤是否结壳，是否</w:t>
      </w:r>
      <w:r>
        <w:rPr>
          <w:sz w:val="29"/>
          <w:szCs w:val="29"/>
          <w:spacing w:val="1"/>
        </w:rPr>
        <w:t xml:space="preserve"> </w:t>
      </w:r>
      <w:r>
        <w:rPr>
          <w:sz w:val="29"/>
          <w:szCs w:val="29"/>
        </w:rPr>
        <w:t>存在空洞，草坪应针对不同部位控制浇水量，如坡顶</w:t>
      </w:r>
      <w:r>
        <w:rPr>
          <w:sz w:val="29"/>
          <w:szCs w:val="29"/>
          <w:spacing w:val="-1"/>
        </w:rPr>
        <w:t>处多浇，坑洼处少浇，避免</w:t>
      </w:r>
      <w:r>
        <w:rPr>
          <w:sz w:val="29"/>
          <w:szCs w:val="29"/>
        </w:rPr>
        <w:t xml:space="preserve"> </w:t>
      </w:r>
      <w:r>
        <w:rPr>
          <w:sz w:val="29"/>
          <w:szCs w:val="29"/>
          <w:spacing w:val="-5"/>
        </w:rPr>
        <w:t>长期积水；</w:t>
      </w:r>
    </w:p>
    <w:p>
      <w:pPr>
        <w:pStyle w:val="BodyText"/>
        <w:ind w:right="339" w:firstLine="730"/>
        <w:spacing w:before="173" w:line="263" w:lineRule="auto"/>
        <w:rPr>
          <w:sz w:val="29"/>
          <w:szCs w:val="29"/>
        </w:rPr>
      </w:pPr>
      <w:r>
        <w:rPr>
          <w:sz w:val="29"/>
          <w:szCs w:val="29"/>
          <w:spacing w:val="6"/>
        </w:rPr>
        <w:t>(2)缠草绳，乔木夏季树干受太阳灼射，水分散失严重，采取树干缠草绳</w:t>
      </w:r>
      <w:r>
        <w:rPr>
          <w:sz w:val="29"/>
          <w:szCs w:val="29"/>
          <w:spacing w:val="1"/>
        </w:rPr>
        <w:t xml:space="preserve"> </w:t>
      </w:r>
      <w:r>
        <w:rPr>
          <w:sz w:val="29"/>
          <w:szCs w:val="29"/>
          <w:spacing w:val="-3"/>
        </w:rPr>
        <w:t>可有效降低灼伤、蒸腾；</w:t>
      </w:r>
    </w:p>
    <w:p>
      <w:pPr>
        <w:pStyle w:val="BodyText"/>
        <w:ind w:right="342" w:firstLine="730"/>
        <w:spacing w:before="164" w:line="262" w:lineRule="auto"/>
        <w:rPr>
          <w:sz w:val="29"/>
          <w:szCs w:val="29"/>
        </w:rPr>
      </w:pPr>
      <w:r>
        <w:rPr>
          <w:sz w:val="29"/>
          <w:szCs w:val="29"/>
          <w:spacing w:val="6"/>
        </w:rPr>
        <w:t>(3)补充生长调节剂，由于气候炎热干燥，需根据现场情况定期对苗</w:t>
      </w:r>
      <w:r>
        <w:rPr>
          <w:sz w:val="29"/>
          <w:szCs w:val="29"/>
          <w:spacing w:val="5"/>
        </w:rPr>
        <w:t>木喷</w:t>
      </w:r>
      <w:r>
        <w:rPr>
          <w:sz w:val="29"/>
          <w:szCs w:val="29"/>
        </w:rPr>
        <w:t xml:space="preserve"> </w:t>
      </w:r>
      <w:r>
        <w:rPr>
          <w:sz w:val="29"/>
          <w:szCs w:val="29"/>
          <w:spacing w:val="2"/>
        </w:rPr>
        <w:t>施抑制蒸腾剂，树体挂吊针营养液，树动力，根部灌根动力。</w:t>
      </w:r>
    </w:p>
    <w:p>
      <w:pPr>
        <w:pStyle w:val="BodyText"/>
        <w:ind w:left="590"/>
        <w:spacing w:before="19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343" w:firstLine="730"/>
        <w:spacing w:before="94" w:line="266"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rPr>
        <w:t>腐霉枯萎病、细菌性穿孔病、花叶病等；</w:t>
      </w:r>
    </w:p>
    <w:p>
      <w:pPr>
        <w:pStyle w:val="BodyText"/>
        <w:ind w:right="349" w:firstLine="730"/>
        <w:spacing w:before="165" w:line="265" w:lineRule="auto"/>
        <w:rPr>
          <w:sz w:val="29"/>
          <w:szCs w:val="29"/>
        </w:rPr>
      </w:pPr>
      <w:r>
        <w:rPr>
          <w:sz w:val="29"/>
          <w:szCs w:val="29"/>
          <w:spacing w:val="6"/>
        </w:rPr>
        <w:t>(2)虫害：大青叶蝉、柳网蝽、花蓟马、芳香木蠹</w:t>
      </w:r>
      <w:r>
        <w:rPr>
          <w:sz w:val="29"/>
          <w:szCs w:val="29"/>
          <w:spacing w:val="5"/>
        </w:rPr>
        <w:t>蛾、大地老虎、蝼蛄、</w:t>
      </w:r>
      <w:r>
        <w:rPr>
          <w:sz w:val="29"/>
          <w:szCs w:val="29"/>
        </w:rPr>
        <w:t xml:space="preserve"> </w:t>
      </w:r>
      <w:r>
        <w:rPr>
          <w:sz w:val="29"/>
          <w:szCs w:val="29"/>
          <w:spacing w:val="2"/>
        </w:rPr>
        <w:t>黄刺蛾、丽绿刺蛾、茶袋蛾、大袋蛾、黄尾毒蛾、丝棉木金星尺蛾等。</w:t>
      </w:r>
    </w:p>
    <w:p>
      <w:pPr>
        <w:pStyle w:val="BodyText"/>
        <w:ind w:left="590"/>
        <w:spacing w:before="12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39" w:firstLine="730"/>
        <w:spacing w:before="12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90"/>
        <w:spacing w:before="16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10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30"/>
        <w:spacing w:before="162" w:line="219" w:lineRule="auto"/>
        <w:rPr>
          <w:sz w:val="29"/>
          <w:szCs w:val="29"/>
        </w:rPr>
      </w:pPr>
      <w:r>
        <w:rPr>
          <w:sz w:val="29"/>
          <w:szCs w:val="29"/>
          <w:spacing w:val="9"/>
        </w:rPr>
        <w:t>(2)进行机械工具的检查维修。</w:t>
      </w:r>
    </w:p>
    <w:p>
      <w:pPr>
        <w:pStyle w:val="BodyText"/>
        <w:ind w:left="590"/>
        <w:spacing w:before="10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90"/>
        <w:spacing w:before="144" w:line="311"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87" w:line="223" w:lineRule="auto"/>
        <w:rPr>
          <w:rFonts w:ascii="SimHei" w:hAnsi="SimHei" w:eastAsia="SimHei" w:cs="SimHei"/>
          <w:sz w:val="29"/>
          <w:szCs w:val="29"/>
        </w:rPr>
      </w:pPr>
      <w:r>
        <w:rPr>
          <w:rFonts w:ascii="SimHei" w:hAnsi="SimHei" w:eastAsia="SimHei" w:cs="SimHei"/>
          <w:sz w:val="29"/>
          <w:szCs w:val="29"/>
          <w:spacing w:val="12"/>
        </w:rPr>
        <w:t>九月份</w:t>
      </w:r>
    </w:p>
    <w:p>
      <w:pPr>
        <w:pStyle w:val="BodyText"/>
        <w:ind w:right="521" w:firstLine="590"/>
        <w:spacing w:before="98" w:line="288" w:lineRule="auto"/>
        <w:rPr>
          <w:sz w:val="29"/>
          <w:szCs w:val="29"/>
        </w:rPr>
      </w:pPr>
      <w:r>
        <w:rPr>
          <w:sz w:val="29"/>
          <w:szCs w:val="29"/>
          <w:spacing w:val="-8"/>
        </w:rPr>
        <w:t>本月气温逐渐降低，昼夜温差逐渐拉大，植</w:t>
      </w:r>
      <w:r>
        <w:rPr>
          <w:sz w:val="29"/>
          <w:szCs w:val="29"/>
          <w:spacing w:val="-9"/>
        </w:rPr>
        <w:t>物根系生长较快，需注意控制水</w:t>
      </w:r>
      <w:r>
        <w:rPr>
          <w:sz w:val="29"/>
          <w:szCs w:val="29"/>
        </w:rPr>
        <w:t xml:space="preserve"> </w:t>
      </w:r>
      <w:r>
        <w:rPr>
          <w:sz w:val="29"/>
          <w:szCs w:val="29"/>
          <w:spacing w:val="6"/>
        </w:rPr>
        <w:t>分，多补充磷钾肥。</w:t>
      </w:r>
    </w:p>
    <w:p>
      <w:pPr>
        <w:pStyle w:val="BodyText"/>
        <w:ind w:left="590"/>
        <w:spacing w:before="1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53" w:line="219" w:lineRule="auto"/>
        <w:rPr>
          <w:sz w:val="29"/>
          <w:szCs w:val="29"/>
        </w:rPr>
      </w:pPr>
      <w:r>
        <w:rPr>
          <w:sz w:val="29"/>
          <w:szCs w:val="29"/>
        </w:rPr>
        <w:t>及时检查乔木支撑情况，发现松动或缺失立即加固。</w:t>
      </w:r>
    </w:p>
    <w:p>
      <w:pPr>
        <w:pStyle w:val="BodyText"/>
        <w:ind w:left="590"/>
        <w:spacing w:before="9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337" w:firstLine="730"/>
        <w:spacing w:before="157" w:line="320" w:lineRule="auto"/>
        <w:rPr>
          <w:sz w:val="29"/>
          <w:szCs w:val="29"/>
        </w:rPr>
      </w:pPr>
      <w:r>
        <w:rPr>
          <w:sz w:val="29"/>
          <w:szCs w:val="29"/>
          <w:spacing w:val="6"/>
        </w:rPr>
        <w:t>(1)乔灌木对枯枝、病枝、徒长枝、萌襞枝进行修剪，草坪进入生长旺盛</w:t>
      </w:r>
      <w:r>
        <w:rPr>
          <w:sz w:val="29"/>
          <w:szCs w:val="29"/>
          <w:spacing w:val="2"/>
        </w:rPr>
        <w:t xml:space="preserve"> </w:t>
      </w:r>
      <w:r>
        <w:rPr>
          <w:sz w:val="29"/>
          <w:szCs w:val="29"/>
          <w:spacing w:val="-1"/>
        </w:rPr>
        <w:t>时期，易结子，修剪频率可适当增加；</w:t>
      </w:r>
    </w:p>
    <w:p>
      <w:pPr>
        <w:spacing w:line="320" w:lineRule="auto"/>
        <w:sectPr>
          <w:footerReference w:type="default" r:id="rId611"/>
          <w:pgSz w:w="14490" w:h="20470"/>
          <w:pgMar w:top="400" w:right="1935"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7"/>
        </w:rPr>
        <w:t>(2)除杂草，杂草易出现结子，需及早清除，避免扩散。</w:t>
      </w:r>
    </w:p>
    <w:p>
      <w:pPr>
        <w:pStyle w:val="BodyText"/>
        <w:ind w:left="590"/>
        <w:spacing w:before="52"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333" w:firstLine="730"/>
        <w:spacing w:before="145" w:line="272" w:lineRule="auto"/>
        <w:rPr>
          <w:sz w:val="29"/>
          <w:szCs w:val="29"/>
        </w:rPr>
      </w:pPr>
      <w:r>
        <w:rPr>
          <w:sz w:val="29"/>
          <w:szCs w:val="29"/>
          <w:spacing w:val="6"/>
        </w:rPr>
        <w:t>(1)浇水，浇水不宜过多，浇透为主，不干不浇，避免植物徒长，</w:t>
      </w:r>
      <w:r>
        <w:rPr>
          <w:sz w:val="29"/>
          <w:szCs w:val="29"/>
          <w:spacing w:val="5"/>
        </w:rPr>
        <w:t>应尽量</w:t>
      </w:r>
      <w:r>
        <w:rPr>
          <w:sz w:val="29"/>
          <w:szCs w:val="29"/>
        </w:rPr>
        <w:t xml:space="preserve"> </w:t>
      </w:r>
      <w:r>
        <w:rPr>
          <w:sz w:val="29"/>
          <w:szCs w:val="29"/>
          <w:spacing w:val="-5"/>
        </w:rPr>
        <w:t>促进根系生长；</w:t>
      </w:r>
    </w:p>
    <w:p>
      <w:pPr>
        <w:pStyle w:val="BodyText"/>
        <w:ind w:right="205" w:firstLine="730"/>
        <w:spacing w:before="121" w:line="289" w:lineRule="auto"/>
        <w:rPr>
          <w:sz w:val="29"/>
          <w:szCs w:val="29"/>
        </w:rPr>
      </w:pPr>
      <w:r>
        <w:rPr>
          <w:sz w:val="29"/>
          <w:szCs w:val="29"/>
          <w:spacing w:val="5"/>
        </w:rPr>
        <w:t>(2)施肥，全园追施一次高磷钾、低氮的有无机复合肥，提高抗寒能力；,</w:t>
      </w:r>
      <w:r>
        <w:rPr>
          <w:sz w:val="29"/>
          <w:szCs w:val="29"/>
          <w:spacing w:val="8"/>
        </w:rPr>
        <w:t xml:space="preserve"> </w:t>
      </w:r>
      <w:r>
        <w:rPr>
          <w:sz w:val="29"/>
          <w:szCs w:val="29"/>
        </w:rPr>
        <w:t>植物长势较弱的追施一次氮磷钾均衡的无机复合</w:t>
      </w:r>
      <w:r>
        <w:rPr>
          <w:sz w:val="29"/>
          <w:szCs w:val="29"/>
          <w:spacing w:val="-1"/>
        </w:rPr>
        <w:t>肥，可加入生根剂，促进根系生</w:t>
      </w:r>
      <w:r>
        <w:rPr>
          <w:sz w:val="29"/>
          <w:szCs w:val="29"/>
        </w:rPr>
        <w:t xml:space="preserve"> </w:t>
      </w:r>
      <w:r>
        <w:rPr>
          <w:sz w:val="29"/>
          <w:szCs w:val="29"/>
          <w:spacing w:val="-7"/>
        </w:rPr>
        <w:t>长。</w:t>
      </w:r>
    </w:p>
    <w:p>
      <w:pPr>
        <w:pStyle w:val="BodyText"/>
        <w:ind w:left="590"/>
        <w:spacing w:before="182"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329" w:firstLine="730"/>
        <w:spacing w:before="95" w:line="269"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3"/>
        </w:rPr>
        <w:t>枯病、草坪腐霉枯萎病、花叶病等；</w:t>
      </w:r>
    </w:p>
    <w:p>
      <w:pPr>
        <w:pStyle w:val="BodyText"/>
        <w:ind w:right="332" w:firstLine="730"/>
        <w:spacing w:before="146" w:line="268" w:lineRule="auto"/>
        <w:rPr>
          <w:sz w:val="29"/>
          <w:szCs w:val="29"/>
        </w:rPr>
      </w:pPr>
      <w:r>
        <w:rPr>
          <w:sz w:val="29"/>
          <w:szCs w:val="29"/>
          <w:spacing w:val="6"/>
        </w:rPr>
        <w:t>(2)虫害：大青叶蝉、花蓟马、芳香木蠹蛾、铜绿丽金龟、大地老虎</w:t>
      </w:r>
      <w:r>
        <w:rPr>
          <w:sz w:val="29"/>
          <w:szCs w:val="29"/>
          <w:spacing w:val="5"/>
        </w:rPr>
        <w:t>、蝼</w:t>
      </w:r>
      <w:r>
        <w:rPr>
          <w:sz w:val="29"/>
          <w:szCs w:val="29"/>
        </w:rPr>
        <w:t xml:space="preserve"> </w:t>
      </w:r>
      <w:r>
        <w:rPr>
          <w:sz w:val="29"/>
          <w:szCs w:val="29"/>
          <w:spacing w:val="1"/>
        </w:rPr>
        <w:t>蛄、黄刺蛾、丽绿刺蛾、茶袋蛾、黄尾毒蛾、丝棉木金星尺蛾等。</w:t>
      </w:r>
    </w:p>
    <w:p>
      <w:pPr>
        <w:pStyle w:val="BodyText"/>
        <w:ind w:left="590"/>
        <w:spacing w:before="138"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29" w:firstLine="730"/>
        <w:spacing w:before="9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right="323" w:firstLine="730"/>
        <w:spacing w:before="137" w:line="26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1"/>
        </w:rPr>
        <w:t>售展示区)进行彻底清理。</w:t>
      </w:r>
    </w:p>
    <w:p>
      <w:pPr>
        <w:pStyle w:val="BodyText"/>
        <w:ind w:left="590"/>
        <w:spacing w:before="153"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时花摆放</w:t>
      </w:r>
    </w:p>
    <w:p>
      <w:pPr>
        <w:pStyle w:val="BodyText"/>
        <w:ind w:left="730"/>
        <w:spacing w:before="8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1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ind w:right="331" w:firstLine="730"/>
        <w:spacing w:before="122" w:line="27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277" w:firstLine="730"/>
        <w:spacing w:before="121" w:line="271"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8"/>
        </w:rPr>
        <w:t>及其它物资；</w:t>
      </w:r>
    </w:p>
    <w:p>
      <w:pPr>
        <w:pStyle w:val="BodyText"/>
        <w:ind w:left="730"/>
        <w:spacing w:before="160" w:line="219" w:lineRule="auto"/>
        <w:rPr>
          <w:sz w:val="29"/>
          <w:szCs w:val="29"/>
        </w:rPr>
      </w:pPr>
      <w:r>
        <w:rPr>
          <w:sz w:val="29"/>
          <w:szCs w:val="29"/>
          <w:spacing w:val="12"/>
        </w:rPr>
        <w:t>(3)进行机械工具的检查维修。</w:t>
      </w:r>
    </w:p>
    <w:p>
      <w:pPr>
        <w:pStyle w:val="BodyText"/>
        <w:ind w:left="590"/>
        <w:spacing w:before="53"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firstLine="590"/>
        <w:spacing w:before="138"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97"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right="120" w:firstLine="590"/>
        <w:spacing w:before="107" w:line="288" w:lineRule="auto"/>
        <w:rPr>
          <w:sz w:val="29"/>
          <w:szCs w:val="29"/>
        </w:rPr>
      </w:pPr>
      <w:r>
        <w:rPr>
          <w:sz w:val="29"/>
          <w:szCs w:val="29"/>
          <w:spacing w:val="3"/>
        </w:rPr>
        <w:t>气温逐渐降低，昼夜温差逐渐增大，苗木逐渐停止生长，叶色变黄，脱落，</w:t>
      </w:r>
      <w:r>
        <w:rPr>
          <w:sz w:val="29"/>
          <w:szCs w:val="29"/>
          <w:spacing w:val="14"/>
        </w:rPr>
        <w:t xml:space="preserve"> </w:t>
      </w:r>
      <w:r>
        <w:rPr>
          <w:sz w:val="29"/>
          <w:szCs w:val="29"/>
          <w:spacing w:val="5"/>
        </w:rPr>
        <w:t>草坪生长逐渐缓慢，时花开始凋谢，重点是修剪和施</w:t>
      </w:r>
      <w:r>
        <w:rPr>
          <w:sz w:val="29"/>
          <w:szCs w:val="29"/>
          <w:spacing w:val="4"/>
        </w:rPr>
        <w:t>肥。</w:t>
      </w:r>
    </w:p>
    <w:p>
      <w:pPr>
        <w:pStyle w:val="BodyText"/>
        <w:ind w:left="590"/>
        <w:spacing w:before="155"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spacing w:line="222" w:lineRule="auto"/>
        <w:sectPr>
          <w:footerReference w:type="default" r:id="rId612"/>
          <w:pgSz w:w="14490" w:h="20470"/>
          <w:pgMar w:top="400" w:right="1945" w:bottom="1447" w:left="2150" w:header="0" w:footer="1231"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600"/>
        <w:spacing w:before="94" w:line="219" w:lineRule="auto"/>
        <w:rPr>
          <w:sz w:val="29"/>
          <w:szCs w:val="29"/>
        </w:rPr>
      </w:pPr>
      <w:r>
        <w:rPr>
          <w:sz w:val="29"/>
          <w:szCs w:val="29"/>
        </w:rPr>
        <w:t>及时检查乔木支撑情况，发现松动或缺失立即加固。</w:t>
      </w:r>
    </w:p>
    <w:p>
      <w:pPr>
        <w:pStyle w:val="BodyText"/>
        <w:ind w:left="600"/>
        <w:spacing w:before="9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firstLine="600"/>
        <w:spacing w:before="155" w:line="316" w:lineRule="auto"/>
        <w:rPr>
          <w:sz w:val="29"/>
          <w:szCs w:val="29"/>
        </w:rPr>
      </w:pPr>
      <w:r>
        <w:rPr>
          <w:sz w:val="29"/>
          <w:szCs w:val="29"/>
          <w:spacing w:val="-10"/>
        </w:rPr>
        <w:t>树木落叶后，进行疏枝整型，以利于来年恢复树势，地被落叶后可进</w:t>
      </w:r>
      <w:r>
        <w:rPr>
          <w:sz w:val="29"/>
          <w:szCs w:val="29"/>
          <w:spacing w:val="-11"/>
        </w:rPr>
        <w:t>行适当重剪，</w:t>
      </w:r>
      <w:r>
        <w:rPr>
          <w:sz w:val="29"/>
          <w:szCs w:val="29"/>
        </w:rPr>
        <w:t xml:space="preserve"> </w:t>
      </w:r>
      <w:r>
        <w:rPr>
          <w:sz w:val="29"/>
          <w:szCs w:val="29"/>
          <w:spacing w:val="-12"/>
        </w:rPr>
        <w:t>草坪在入冬前全部需修剪完成在本地耐寒性弱的苗木改</w:t>
      </w:r>
      <w:r>
        <w:rPr>
          <w:sz w:val="29"/>
          <w:szCs w:val="29"/>
          <w:spacing w:val="-13"/>
        </w:rPr>
        <w:t>为春季化冻后修剪、冬季易有</w:t>
      </w:r>
      <w:r>
        <w:rPr>
          <w:sz w:val="29"/>
          <w:szCs w:val="29"/>
        </w:rPr>
        <w:t xml:space="preserve">   </w:t>
      </w:r>
      <w:r>
        <w:rPr>
          <w:sz w:val="29"/>
          <w:szCs w:val="29"/>
          <w:spacing w:val="-4"/>
        </w:rPr>
        <w:t>流伤的植物如槭树科中的大多数，在晚秋落叶时或春季新芽膨大时修剪。</w:t>
      </w:r>
    </w:p>
    <w:p>
      <w:pPr>
        <w:ind w:left="600"/>
        <w:spacing w:before="29"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583" w:firstLine="730"/>
        <w:spacing w:before="98" w:line="267" w:lineRule="auto"/>
        <w:rPr>
          <w:sz w:val="29"/>
          <w:szCs w:val="29"/>
        </w:rPr>
      </w:pPr>
      <w:r>
        <w:rPr>
          <w:sz w:val="29"/>
          <w:szCs w:val="29"/>
          <w:spacing w:val="2"/>
        </w:rPr>
        <w:t>①  入冬前控制浇水量，提高植物木质化程度，利于越冬防寒，土壤封冻</w:t>
      </w:r>
      <w:r>
        <w:rPr>
          <w:sz w:val="29"/>
          <w:szCs w:val="29"/>
          <w:spacing w:val="14"/>
        </w:rPr>
        <w:t xml:space="preserve"> </w:t>
      </w:r>
      <w:r>
        <w:rPr>
          <w:sz w:val="29"/>
          <w:szCs w:val="29"/>
          <w:spacing w:val="-9"/>
        </w:rPr>
        <w:t>前需浇灌冻水2-3遍，时刻注意气温变化，及时灌冻水；</w:t>
      </w:r>
    </w:p>
    <w:p>
      <w:pPr>
        <w:pStyle w:val="BodyText"/>
        <w:ind w:left="730"/>
        <w:spacing w:before="122" w:line="217" w:lineRule="auto"/>
        <w:rPr>
          <w:sz w:val="29"/>
          <w:szCs w:val="29"/>
        </w:rPr>
      </w:pPr>
      <w:r>
        <w:rPr>
          <w:sz w:val="29"/>
          <w:szCs w:val="29"/>
          <w:spacing w:val="4"/>
        </w:rPr>
        <w:t>②</w:t>
      </w:r>
      <w:r>
        <w:rPr>
          <w:sz w:val="29"/>
          <w:szCs w:val="29"/>
          <w:spacing w:val="36"/>
        </w:rPr>
        <w:t xml:space="preserve">  </w:t>
      </w:r>
      <w:r>
        <w:rPr>
          <w:sz w:val="29"/>
          <w:szCs w:val="29"/>
          <w:spacing w:val="4"/>
        </w:rPr>
        <w:t>施肥，10月初追施一次有机复合肥(有机质45%。</w:t>
      </w:r>
    </w:p>
    <w:p>
      <w:pPr>
        <w:pStyle w:val="BodyText"/>
        <w:ind w:left="600"/>
        <w:spacing w:before="140"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23" w:line="219" w:lineRule="auto"/>
        <w:rPr>
          <w:sz w:val="29"/>
          <w:szCs w:val="29"/>
        </w:rPr>
      </w:pPr>
      <w:r>
        <w:rPr>
          <w:sz w:val="29"/>
          <w:szCs w:val="29"/>
          <w:spacing w:val="7"/>
        </w:rPr>
        <w:t>(1)病害：白粉病、叶斑类病害、锈病、叶枯</w:t>
      </w:r>
      <w:r>
        <w:rPr>
          <w:sz w:val="29"/>
          <w:szCs w:val="29"/>
          <w:spacing w:val="6"/>
        </w:rPr>
        <w:t>病、干腐病等；</w:t>
      </w:r>
    </w:p>
    <w:p>
      <w:pPr>
        <w:pStyle w:val="BodyText"/>
        <w:ind w:right="591" w:firstLine="730"/>
        <w:spacing w:before="167" w:line="259" w:lineRule="auto"/>
        <w:rPr>
          <w:sz w:val="29"/>
          <w:szCs w:val="29"/>
        </w:rPr>
      </w:pPr>
      <w:r>
        <w:rPr>
          <w:sz w:val="29"/>
          <w:szCs w:val="29"/>
          <w:spacing w:val="7"/>
        </w:rPr>
        <w:t>(2)虫害：大青叶蝉、桃瘤蚜、桔绿粉虱</w:t>
      </w:r>
      <w:r>
        <w:rPr>
          <w:sz w:val="29"/>
          <w:szCs w:val="29"/>
          <w:spacing w:val="6"/>
        </w:rPr>
        <w:t>、芳香木蠹蛾、铜绿丽金龟、大</w:t>
      </w:r>
      <w:r>
        <w:rPr>
          <w:sz w:val="29"/>
          <w:szCs w:val="29"/>
        </w:rPr>
        <w:t xml:space="preserve"> </w:t>
      </w:r>
      <w:r>
        <w:rPr>
          <w:sz w:val="29"/>
          <w:szCs w:val="29"/>
          <w:spacing w:val="-2"/>
        </w:rPr>
        <w:t>地老虎、丝棉木金星尺蛾等。</w:t>
      </w:r>
    </w:p>
    <w:p>
      <w:pPr>
        <w:pStyle w:val="BodyText"/>
        <w:ind w:left="600"/>
        <w:spacing w:before="13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590" w:firstLine="730"/>
        <w:spacing w:before="122" w:line="259"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2"/>
        </w:rPr>
        <w:t>池、灯杆、垃圾桶保持干净；</w:t>
      </w:r>
    </w:p>
    <w:p>
      <w:pPr>
        <w:pStyle w:val="BodyText"/>
        <w:ind w:right="583" w:firstLine="730"/>
        <w:spacing w:before="15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600"/>
        <w:spacing w:before="17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left="600"/>
        <w:spacing w:before="93" w:line="219" w:lineRule="auto"/>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13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270" w:firstLine="600"/>
        <w:spacing w:before="14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pStyle w:val="BodyText"/>
        <w:ind w:right="545" w:firstLine="600"/>
        <w:spacing w:before="74" w:line="270" w:lineRule="auto"/>
        <w:rPr>
          <w:sz w:val="29"/>
          <w:szCs w:val="29"/>
        </w:rPr>
      </w:pPr>
      <w:r>
        <w:rPr>
          <w:rFonts w:ascii="SimHei" w:hAnsi="SimHei" w:eastAsia="SimHei" w:cs="SimHei"/>
          <w:sz w:val="29"/>
          <w:szCs w:val="29"/>
          <w:spacing w:val="3"/>
        </w:rPr>
        <w:t>8、防寒</w:t>
      </w:r>
      <w:r>
        <w:rPr>
          <w:sz w:val="29"/>
          <w:szCs w:val="29"/>
          <w:spacing w:val="3"/>
        </w:rPr>
        <w:t>：10月下旬可根据气温变化情况制定防寒方案，确保在降雪前完成</w:t>
      </w:r>
      <w:r>
        <w:rPr>
          <w:sz w:val="29"/>
          <w:szCs w:val="29"/>
          <w:spacing w:val="1"/>
        </w:rPr>
        <w:t xml:space="preserve"> </w:t>
      </w:r>
      <w:r>
        <w:rPr>
          <w:sz w:val="29"/>
          <w:szCs w:val="29"/>
          <w:spacing w:val="1"/>
        </w:rPr>
        <w:t>防寒工作。</w:t>
      </w:r>
    </w:p>
    <w:p>
      <w:pPr>
        <w:spacing w:before="65"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right="418" w:firstLine="600"/>
        <w:spacing w:before="194" w:line="278" w:lineRule="auto"/>
        <w:rPr>
          <w:sz w:val="29"/>
          <w:szCs w:val="29"/>
        </w:rPr>
      </w:pPr>
      <w:r>
        <w:rPr>
          <w:sz w:val="29"/>
          <w:szCs w:val="29"/>
          <w:spacing w:val="3"/>
        </w:rPr>
        <w:t>本月将进入封冻期，植物停止生长进入休眠</w:t>
      </w:r>
      <w:r>
        <w:rPr>
          <w:sz w:val="29"/>
          <w:szCs w:val="29"/>
          <w:spacing w:val="2"/>
        </w:rPr>
        <w:t>，本月是进行苗木种植的重要时</w:t>
      </w:r>
      <w:r>
        <w:rPr>
          <w:sz w:val="29"/>
          <w:szCs w:val="29"/>
        </w:rPr>
        <w:t xml:space="preserve"> </w:t>
      </w:r>
      <w:r>
        <w:rPr>
          <w:sz w:val="29"/>
          <w:szCs w:val="29"/>
          <w:spacing w:val="10"/>
        </w:rPr>
        <w:t>期，重点是防寒。</w:t>
      </w:r>
    </w:p>
    <w:p>
      <w:pPr>
        <w:pStyle w:val="BodyText"/>
        <w:ind w:left="600"/>
        <w:spacing w:before="157"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154" w:line="219" w:lineRule="auto"/>
        <w:rPr>
          <w:sz w:val="29"/>
          <w:szCs w:val="29"/>
        </w:rPr>
      </w:pPr>
      <w:r>
        <w:rPr>
          <w:sz w:val="29"/>
          <w:szCs w:val="29"/>
        </w:rPr>
        <w:t>及时检查乔木支撑情况，发现松动或缺失立即加固。</w:t>
      </w:r>
    </w:p>
    <w:p>
      <w:pPr>
        <w:ind w:left="60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600"/>
        <w:spacing w:before="166" w:line="219" w:lineRule="auto"/>
        <w:rPr>
          <w:sz w:val="29"/>
          <w:szCs w:val="29"/>
        </w:rPr>
      </w:pPr>
      <w:r>
        <w:rPr>
          <w:sz w:val="29"/>
          <w:szCs w:val="29"/>
        </w:rPr>
        <w:t>新栽植苗木根据具体情况进行重剪、疏枝。</w:t>
      </w:r>
    </w:p>
    <w:p>
      <w:pPr>
        <w:pStyle w:val="BodyText"/>
        <w:ind w:left="600"/>
        <w:spacing w:before="42"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spacing w:line="395" w:lineRule="exact"/>
        <w:sectPr>
          <w:footerReference w:type="default" r:id="rId613"/>
          <w:pgSz w:w="14490" w:h="20470"/>
          <w:pgMar w:top="400" w:right="1664" w:bottom="1447" w:left="2150" w:header="0" w:footer="1231"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right="621" w:firstLine="600"/>
        <w:spacing w:before="94" w:line="308" w:lineRule="auto"/>
        <w:rPr>
          <w:sz w:val="29"/>
          <w:szCs w:val="29"/>
        </w:rPr>
      </w:pPr>
      <w:r>
        <w:rPr>
          <w:sz w:val="29"/>
          <w:szCs w:val="29"/>
          <w:spacing w:val="-8"/>
        </w:rPr>
        <w:t>在土壤封冻前，全园树木及草坪务必浇透浇</w:t>
      </w:r>
      <w:r>
        <w:rPr>
          <w:sz w:val="29"/>
          <w:szCs w:val="29"/>
          <w:spacing w:val="-9"/>
        </w:rPr>
        <w:t>足，确保封冻后植。根系周围水</w:t>
      </w:r>
      <w:r>
        <w:rPr>
          <w:sz w:val="29"/>
          <w:szCs w:val="29"/>
        </w:rPr>
        <w:t xml:space="preserve"> </w:t>
      </w:r>
      <w:r>
        <w:rPr>
          <w:sz w:val="29"/>
          <w:szCs w:val="29"/>
          <w:spacing w:val="3"/>
        </w:rPr>
        <w:t>分充足，乔灌木冻水完成后进行根部培土，保墒防冻</w:t>
      </w:r>
    </w:p>
    <w:p>
      <w:pPr>
        <w:pStyle w:val="BodyText"/>
        <w:ind w:left="600"/>
        <w:spacing w:before="6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95" w:line="219" w:lineRule="auto"/>
        <w:rPr>
          <w:sz w:val="29"/>
          <w:szCs w:val="29"/>
        </w:rPr>
      </w:pPr>
      <w:r>
        <w:rPr>
          <w:sz w:val="29"/>
          <w:szCs w:val="29"/>
          <w:spacing w:val="7"/>
        </w:rPr>
        <w:t>(1)病害：白粉病、叶斑类病害、叶枯病等；</w:t>
      </w:r>
    </w:p>
    <w:p>
      <w:pPr>
        <w:pStyle w:val="BodyText"/>
        <w:ind w:left="730"/>
        <w:spacing w:before="124" w:line="219" w:lineRule="auto"/>
        <w:rPr>
          <w:sz w:val="29"/>
          <w:szCs w:val="29"/>
        </w:rPr>
      </w:pPr>
      <w:r>
        <w:rPr>
          <w:sz w:val="29"/>
          <w:szCs w:val="29"/>
          <w:spacing w:val="7"/>
        </w:rPr>
        <w:t>(2)虫害：大青叶蝉、桔绿粉虱、芳香木蠹蛾等。</w:t>
      </w:r>
    </w:p>
    <w:p>
      <w:pPr>
        <w:pStyle w:val="BodyText"/>
        <w:ind w:left="600"/>
        <w:spacing w:before="9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30" w:firstLine="730"/>
        <w:spacing w:before="143"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23" w:firstLine="730"/>
        <w:spacing w:before="12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1"/>
        </w:rPr>
        <w:t>售展示区)进行彻底清理。</w:t>
      </w:r>
    </w:p>
    <w:p>
      <w:pPr>
        <w:ind w:left="60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10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10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10" w:firstLine="600"/>
        <w:spacing w:before="10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33"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600"/>
        <w:spacing w:before="119" w:line="219" w:lineRule="auto"/>
        <w:rPr>
          <w:sz w:val="29"/>
          <w:szCs w:val="29"/>
        </w:rPr>
      </w:pPr>
      <w:r>
        <w:rPr>
          <w:sz w:val="29"/>
          <w:szCs w:val="29"/>
          <w:spacing w:val="3"/>
        </w:rPr>
        <w:t>本月进入封冻期，工人开始冬歇</w:t>
      </w:r>
    </w:p>
    <w:p>
      <w:pPr>
        <w:pStyle w:val="BodyText"/>
        <w:ind w:left="600"/>
        <w:spacing w:before="27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44" w:line="219" w:lineRule="auto"/>
        <w:rPr>
          <w:sz w:val="29"/>
          <w:szCs w:val="29"/>
        </w:rPr>
      </w:pPr>
      <w:r>
        <w:rPr>
          <w:sz w:val="29"/>
          <w:szCs w:val="29"/>
          <w:spacing w:val="6"/>
        </w:rPr>
        <w:t>(1)检查防寒设施的完好情况，发现破损立即修补；</w:t>
      </w:r>
    </w:p>
    <w:p>
      <w:pPr>
        <w:pStyle w:val="BodyText"/>
        <w:ind w:left="730"/>
        <w:spacing w:before="126" w:line="219" w:lineRule="auto"/>
        <w:rPr>
          <w:sz w:val="29"/>
          <w:szCs w:val="29"/>
        </w:rPr>
      </w:pPr>
      <w:r>
        <w:rPr>
          <w:sz w:val="29"/>
          <w:szCs w:val="29"/>
          <w:spacing w:val="8"/>
        </w:rPr>
        <w:t>(2)及时检查乔木支撑情况，发现松动或缺失立即加固。</w:t>
      </w:r>
    </w:p>
    <w:p>
      <w:pPr>
        <w:pStyle w:val="BodyText"/>
        <w:ind w:left="600"/>
        <w:spacing w:before="109" w:line="224" w:lineRule="auto"/>
        <w:rPr>
          <w:rFonts w:ascii="SimHei" w:hAnsi="SimHei" w:eastAsia="SimHei" w:cs="SimHei"/>
          <w:sz w:val="29"/>
          <w:szCs w:val="29"/>
        </w:rPr>
      </w:pPr>
      <w:r>
        <w:rPr>
          <w:rFonts w:ascii="Arial" w:hAnsi="Arial" w:eastAsia="Arial" w:cs="Arial"/>
          <w:sz w:val="29"/>
          <w:szCs w:val="29"/>
          <w:spacing w:val="7"/>
        </w:rPr>
        <w:t>2</w:t>
      </w:r>
      <w:r>
        <w:rPr>
          <w:sz w:val="29"/>
          <w:szCs w:val="29"/>
          <w:spacing w:val="7"/>
        </w:rPr>
        <w:t>、</w:t>
      </w:r>
      <w:r>
        <w:rPr>
          <w:rFonts w:ascii="SimHei" w:hAnsi="SimHei" w:eastAsia="SimHei" w:cs="SimHei"/>
          <w:sz w:val="29"/>
          <w:szCs w:val="29"/>
          <w:spacing w:val="7"/>
        </w:rPr>
        <w:t>保洁</w:t>
      </w:r>
    </w:p>
    <w:p>
      <w:pPr>
        <w:pStyle w:val="BodyText"/>
        <w:ind w:right="430" w:firstLine="730"/>
        <w:spacing w:before="135"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23" w:firstLine="730"/>
        <w:spacing w:before="156" w:line="266" w:lineRule="auto"/>
        <w:rPr>
          <w:sz w:val="29"/>
          <w:szCs w:val="29"/>
        </w:rPr>
      </w:pPr>
      <w:r>
        <w:rPr>
          <w:sz w:val="29"/>
          <w:szCs w:val="29"/>
          <w:spacing w:val="5"/>
        </w:rPr>
        <w:t>(2)</w:t>
      </w:r>
      <w:r>
        <w:rPr>
          <w:sz w:val="29"/>
          <w:szCs w:val="29"/>
          <w:spacing w:val="73"/>
        </w:rPr>
        <w:t xml:space="preserve"> </w:t>
      </w:r>
      <w:r>
        <w:rPr>
          <w:sz w:val="29"/>
          <w:szCs w:val="29"/>
          <w:spacing w:val="5"/>
        </w:rPr>
        <w:t>在业主上班高峰期前对园区内的重点区</w:t>
      </w:r>
      <w:r>
        <w:rPr>
          <w:sz w:val="29"/>
          <w:szCs w:val="29"/>
          <w:spacing w:val="4"/>
        </w:rPr>
        <w:t>域(大门内外、主干通道、销</w:t>
      </w:r>
      <w:r>
        <w:rPr>
          <w:sz w:val="29"/>
          <w:szCs w:val="29"/>
        </w:rPr>
        <w:t xml:space="preserve"> </w:t>
      </w:r>
      <w:r>
        <w:rPr>
          <w:sz w:val="29"/>
          <w:szCs w:val="29"/>
          <w:spacing w:val="11"/>
        </w:rPr>
        <w:t>售展示区)进行彻底清理；</w:t>
      </w:r>
    </w:p>
    <w:p>
      <w:pPr>
        <w:pStyle w:val="BodyText"/>
        <w:ind w:right="351" w:firstLine="730"/>
        <w:spacing w:before="127" w:line="28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600"/>
        <w:spacing w:before="153"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物资管理</w:t>
      </w:r>
    </w:p>
    <w:p>
      <w:pPr>
        <w:pStyle w:val="BodyText"/>
        <w:ind w:right="431" w:firstLine="730"/>
        <w:spacing w:before="96" w:line="270"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right="431" w:firstLine="730"/>
        <w:spacing w:before="144" w:line="268" w:lineRule="auto"/>
        <w:rPr>
          <w:sz w:val="29"/>
          <w:szCs w:val="29"/>
        </w:rPr>
      </w:pPr>
      <w:r>
        <w:rPr>
          <w:sz w:val="29"/>
          <w:szCs w:val="29"/>
          <w:spacing w:val="2"/>
        </w:rPr>
        <w:t>(2)根据现场的实际情况，申请购置翌年1、2、3月份的农药、化肥、营养 </w:t>
      </w:r>
      <w:r>
        <w:rPr>
          <w:sz w:val="29"/>
          <w:szCs w:val="29"/>
          <w:spacing w:val="-2"/>
        </w:rPr>
        <w:t>剂及其它物资。</w:t>
      </w:r>
    </w:p>
    <w:p>
      <w:pPr>
        <w:spacing w:line="268" w:lineRule="auto"/>
        <w:sectPr>
          <w:footerReference w:type="default" r:id="rId614"/>
          <w:pgSz w:w="14490" w:h="20470"/>
          <w:pgMar w:top="400" w:right="1824" w:bottom="1433" w:left="2150" w:header="0" w:footer="12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60"/>
        <w:spacing w:before="94" w:line="221" w:lineRule="auto"/>
        <w:rPr>
          <w:rFonts w:ascii="SimHei" w:hAnsi="SimHei" w:eastAsia="SimHei" w:cs="SimHei"/>
          <w:sz w:val="29"/>
          <w:szCs w:val="29"/>
        </w:rPr>
      </w:pPr>
      <w:r>
        <w:rPr>
          <w:rFonts w:ascii="Arial" w:hAnsi="Arial" w:eastAsia="Arial" w:cs="Arial"/>
          <w:sz w:val="29"/>
          <w:szCs w:val="29"/>
          <w:spacing w:val="11"/>
        </w:rPr>
        <w:t>4</w:t>
      </w:r>
      <w:r>
        <w:rPr>
          <w:sz w:val="29"/>
          <w:szCs w:val="29"/>
          <w:spacing w:val="11"/>
        </w:rPr>
        <w:t>、</w:t>
      </w:r>
      <w:r>
        <w:rPr>
          <w:rFonts w:ascii="SimHei" w:hAnsi="SimHei" w:eastAsia="SimHei" w:cs="SimHei"/>
          <w:sz w:val="29"/>
          <w:szCs w:val="29"/>
          <w:spacing w:val="11"/>
        </w:rPr>
        <w:t>防火防盗</w:t>
      </w:r>
    </w:p>
    <w:p>
      <w:pPr>
        <w:pStyle w:val="BodyText"/>
        <w:ind w:firstLine="580"/>
        <w:spacing w:before="104"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4"/>
        </w:rPr>
        <w:t>防盗情况。</w:t>
      </w:r>
    </w:p>
    <w:p>
      <w:pPr>
        <w:spacing w:line="314" w:lineRule="auto"/>
        <w:sectPr>
          <w:footerReference w:type="default" r:id="rId615"/>
          <w:pgSz w:w="14490" w:h="20470"/>
          <w:pgMar w:top="400" w:right="1945" w:bottom="1433" w:left="2160" w:header="0" w:footer="1235"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4019"/>
        <w:spacing w:before="94" w:line="223" w:lineRule="auto"/>
        <w:outlineLvl w:val="1"/>
        <w:rPr>
          <w:rFonts w:ascii="SimHei" w:hAnsi="SimHei" w:eastAsia="SimHei" w:cs="SimHei"/>
          <w:sz w:val="29"/>
          <w:szCs w:val="29"/>
        </w:rPr>
      </w:pPr>
      <w:bookmarkStart w:name="bookmark132" w:id="121"/>
      <w:bookmarkEnd w:id="121"/>
      <w:bookmarkStart w:name="bookmark68" w:id="122"/>
      <w:bookmarkEnd w:id="122"/>
      <w:r>
        <w:rPr>
          <w:rFonts w:ascii="SimHei" w:hAnsi="SimHei" w:eastAsia="SimHei" w:cs="SimHei"/>
          <w:sz w:val="29"/>
          <w:szCs w:val="29"/>
          <w:spacing w:val="6"/>
        </w:rPr>
        <w:t>江苏、安徽地区</w:t>
      </w:r>
    </w:p>
    <w:p>
      <w:pPr>
        <w:spacing w:line="242" w:lineRule="auto"/>
        <w:rPr>
          <w:rFonts w:ascii="Arial"/>
          <w:sz w:val="21"/>
        </w:rPr>
      </w:pPr>
      <w:r/>
    </w:p>
    <w:p>
      <w:pPr>
        <w:pStyle w:val="BodyText"/>
        <w:ind w:right="221" w:firstLine="570"/>
        <w:spacing w:before="94" w:line="327" w:lineRule="auto"/>
        <w:rPr>
          <w:sz w:val="29"/>
          <w:szCs w:val="29"/>
        </w:rPr>
      </w:pPr>
      <w:r>
        <w:rPr>
          <w:sz w:val="29"/>
          <w:szCs w:val="29"/>
          <w:spacing w:val="-5"/>
        </w:rPr>
        <w:t>本月历以淮河以南时间为准，淮河以北相关水肥、病虫害、修剪、防寒等养</w:t>
      </w:r>
      <w:r>
        <w:rPr>
          <w:sz w:val="29"/>
          <w:szCs w:val="29"/>
          <w:spacing w:val="17"/>
        </w:rPr>
        <w:t xml:space="preserve"> </w:t>
      </w:r>
      <w:r>
        <w:rPr>
          <w:sz w:val="29"/>
          <w:szCs w:val="29"/>
          <w:spacing w:val="-8"/>
        </w:rPr>
        <w:t>护工作1-4月份顺延10-20天，9-12</w:t>
      </w:r>
      <w:r>
        <w:rPr>
          <w:sz w:val="29"/>
          <w:szCs w:val="29"/>
          <w:spacing w:val="-9"/>
        </w:rPr>
        <w:t>月份提前10-20天执行。</w:t>
      </w:r>
    </w:p>
    <w:p>
      <w:pPr>
        <w:spacing w:before="164" w:line="223" w:lineRule="auto"/>
        <w:rPr>
          <w:rFonts w:ascii="SimHei" w:hAnsi="SimHei" w:eastAsia="SimHei" w:cs="SimHei"/>
          <w:sz w:val="30"/>
          <w:szCs w:val="30"/>
        </w:rPr>
      </w:pPr>
      <w:r>
        <w:rPr>
          <w:rFonts w:ascii="SimHei" w:hAnsi="SimHei" w:eastAsia="SimHei" w:cs="SimHei"/>
          <w:sz w:val="30"/>
          <w:szCs w:val="30"/>
          <w:spacing w:val="-9"/>
        </w:rPr>
        <w:t>一、二月份</w:t>
      </w:r>
    </w:p>
    <w:p>
      <w:pPr>
        <w:pStyle w:val="BodyText"/>
        <w:ind w:left="570"/>
        <w:spacing w:before="156" w:line="219" w:lineRule="auto"/>
        <w:rPr>
          <w:sz w:val="29"/>
          <w:szCs w:val="29"/>
        </w:rPr>
      </w:pPr>
      <w:r>
        <w:rPr>
          <w:sz w:val="29"/>
          <w:szCs w:val="29"/>
          <w:spacing w:val="4"/>
        </w:rPr>
        <w:t>全年中气温最低的月份，重点是保洁和防寒。</w:t>
      </w:r>
    </w:p>
    <w:p>
      <w:pPr>
        <w:pStyle w:val="BodyText"/>
        <w:ind w:left="570"/>
        <w:spacing w:before="263" w:line="222" w:lineRule="auto"/>
        <w:rPr>
          <w:rFonts w:ascii="SimHei" w:hAnsi="SimHei" w:eastAsia="SimHei" w:cs="SimHei"/>
          <w:sz w:val="29"/>
          <w:szCs w:val="29"/>
        </w:rPr>
      </w:pPr>
      <w:r>
        <w:rPr>
          <w:rFonts w:ascii="Arial" w:hAnsi="Arial" w:eastAsia="Arial" w:cs="Arial"/>
          <w:sz w:val="29"/>
          <w:szCs w:val="29"/>
          <w:spacing w:val="-4"/>
        </w:rPr>
        <w:t>1</w:t>
      </w:r>
      <w:r>
        <w:rPr>
          <w:sz w:val="29"/>
          <w:szCs w:val="29"/>
          <w:spacing w:val="-4"/>
        </w:rPr>
        <w:t>、</w:t>
      </w:r>
      <w:r>
        <w:rPr>
          <w:sz w:val="29"/>
          <w:szCs w:val="29"/>
          <w:spacing w:val="-81"/>
        </w:rPr>
        <w:t xml:space="preserve"> </w:t>
      </w:r>
      <w:r>
        <w:rPr>
          <w:rFonts w:ascii="SimHei" w:hAnsi="SimHei" w:eastAsia="SimHei" w:cs="SimHei"/>
          <w:sz w:val="29"/>
          <w:szCs w:val="29"/>
          <w:spacing w:val="-4"/>
        </w:rPr>
        <w:t>现场检查</w:t>
      </w:r>
    </w:p>
    <w:p>
      <w:pPr>
        <w:pStyle w:val="BodyText"/>
        <w:ind w:left="730"/>
        <w:spacing w:before="144" w:line="219" w:lineRule="auto"/>
        <w:rPr>
          <w:sz w:val="29"/>
          <w:szCs w:val="29"/>
        </w:rPr>
      </w:pPr>
      <w:r>
        <w:rPr>
          <w:sz w:val="29"/>
          <w:szCs w:val="29"/>
          <w:spacing w:val="6"/>
        </w:rPr>
        <w:t>(1)检查防寒设施的完好情况，发现破损立即修补；</w:t>
      </w:r>
    </w:p>
    <w:p>
      <w:pPr>
        <w:pStyle w:val="BodyText"/>
        <w:ind w:right="132" w:firstLine="730"/>
        <w:spacing w:before="115" w:line="266" w:lineRule="auto"/>
        <w:rPr>
          <w:sz w:val="29"/>
          <w:szCs w:val="29"/>
        </w:rPr>
      </w:pPr>
      <w:r>
        <w:rPr>
          <w:sz w:val="29"/>
          <w:szCs w:val="29"/>
          <w:spacing w:val="11"/>
        </w:rPr>
        <w:t>(2)大雪大风后及时检查苗木的损伤及支撑情况，及时处理苗木(除</w:t>
      </w:r>
      <w:r>
        <w:rPr>
          <w:sz w:val="29"/>
          <w:szCs w:val="29"/>
          <w:spacing w:val="10"/>
        </w:rPr>
        <w:t>去断</w:t>
      </w:r>
      <w:r>
        <w:rPr>
          <w:sz w:val="29"/>
          <w:szCs w:val="29"/>
        </w:rPr>
        <w:t xml:space="preserve"> </w:t>
      </w:r>
      <w:r>
        <w:rPr>
          <w:sz w:val="29"/>
          <w:szCs w:val="29"/>
          <w:spacing w:val="10"/>
        </w:rPr>
        <w:t>劈枝),并加固支撑；</w:t>
      </w:r>
    </w:p>
    <w:p>
      <w:pPr>
        <w:pStyle w:val="BodyText"/>
        <w:ind w:left="730"/>
        <w:spacing w:before="165" w:line="219" w:lineRule="auto"/>
        <w:rPr>
          <w:sz w:val="29"/>
          <w:szCs w:val="29"/>
        </w:rPr>
      </w:pPr>
      <w:r>
        <w:rPr>
          <w:sz w:val="29"/>
          <w:szCs w:val="29"/>
          <w:spacing w:val="-2"/>
        </w:rPr>
        <w:t>(3)</w:t>
      </w:r>
      <w:r>
        <w:rPr>
          <w:sz w:val="29"/>
          <w:szCs w:val="29"/>
          <w:spacing w:val="72"/>
        </w:rPr>
        <w:t xml:space="preserve"> </w:t>
      </w:r>
      <w:r>
        <w:rPr>
          <w:sz w:val="29"/>
          <w:szCs w:val="29"/>
          <w:spacing w:val="-2"/>
        </w:rPr>
        <w:t>雪后及时清理树木上的积雪，防治积雪过后</w:t>
      </w:r>
      <w:r>
        <w:rPr>
          <w:sz w:val="29"/>
          <w:szCs w:val="29"/>
          <w:spacing w:val="-3"/>
        </w:rPr>
        <w:t>压断树枝；</w:t>
      </w:r>
    </w:p>
    <w:p>
      <w:pPr>
        <w:pStyle w:val="BodyText"/>
        <w:ind w:left="730"/>
        <w:spacing w:before="166" w:line="219" w:lineRule="auto"/>
        <w:rPr>
          <w:sz w:val="29"/>
          <w:szCs w:val="29"/>
        </w:rPr>
      </w:pPr>
      <w:r>
        <w:rPr>
          <w:sz w:val="29"/>
          <w:szCs w:val="29"/>
          <w:spacing w:val="10"/>
        </w:rPr>
        <w:t>(4)检查防寒棚架，天晴的时候可在10:00-15:30进行通风；</w:t>
      </w:r>
    </w:p>
    <w:p>
      <w:pPr>
        <w:pStyle w:val="BodyText"/>
        <w:ind w:left="730"/>
        <w:spacing w:before="226" w:line="219" w:lineRule="auto"/>
        <w:rPr>
          <w:sz w:val="29"/>
          <w:szCs w:val="29"/>
        </w:rPr>
      </w:pPr>
      <w:r>
        <w:rPr>
          <w:sz w:val="29"/>
          <w:szCs w:val="29"/>
          <w:spacing w:val="7"/>
        </w:rPr>
        <w:t>(5)百慕大、马尼拉单种草做好防止踩踏措施。</w:t>
      </w:r>
    </w:p>
    <w:p>
      <w:pPr>
        <w:pStyle w:val="BodyText"/>
        <w:ind w:left="570"/>
        <w:spacing w:before="18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124" w:firstLine="730"/>
        <w:spacing w:before="144" w:line="266" w:lineRule="auto"/>
        <w:rPr>
          <w:sz w:val="29"/>
          <w:szCs w:val="29"/>
        </w:rPr>
      </w:pPr>
      <w:r>
        <w:rPr>
          <w:sz w:val="29"/>
          <w:szCs w:val="29"/>
          <w:spacing w:val="7"/>
        </w:rPr>
        <w:t>(1)去除乔灌木内膛枝、病虫枝、枯死枝、徒长枝、交叉</w:t>
      </w:r>
      <w:r>
        <w:rPr>
          <w:sz w:val="29"/>
          <w:szCs w:val="29"/>
          <w:spacing w:val="6"/>
        </w:rPr>
        <w:t>枝及妨碍架空线</w:t>
      </w:r>
      <w:r>
        <w:rPr>
          <w:sz w:val="29"/>
          <w:szCs w:val="29"/>
        </w:rPr>
        <w:t xml:space="preserve"> </w:t>
      </w:r>
      <w:r>
        <w:rPr>
          <w:sz w:val="29"/>
          <w:szCs w:val="29"/>
          <w:spacing w:val="-3"/>
        </w:rPr>
        <w:t>和建筑物的枝权等；</w:t>
      </w:r>
    </w:p>
    <w:p>
      <w:pPr>
        <w:pStyle w:val="BodyText"/>
        <w:ind w:left="730"/>
        <w:spacing w:before="164" w:line="219" w:lineRule="auto"/>
        <w:rPr>
          <w:sz w:val="29"/>
          <w:szCs w:val="29"/>
        </w:rPr>
      </w:pPr>
      <w:r>
        <w:rPr>
          <w:sz w:val="29"/>
          <w:szCs w:val="29"/>
          <w:spacing w:val="5"/>
        </w:rPr>
        <w:t>(2)花灌木在保证整体树形的情况下抽剪枝条促进冠型生长；</w:t>
      </w:r>
    </w:p>
    <w:p>
      <w:pPr>
        <w:pStyle w:val="BodyText"/>
        <w:ind w:left="730"/>
        <w:spacing w:before="128" w:line="219" w:lineRule="auto"/>
        <w:rPr>
          <w:sz w:val="29"/>
          <w:szCs w:val="29"/>
        </w:rPr>
      </w:pPr>
      <w:r>
        <w:rPr>
          <w:sz w:val="29"/>
          <w:szCs w:val="29"/>
          <w:spacing w:val="-1"/>
        </w:rPr>
        <w:t>(3)混播草根据公司要求保证3-5</w:t>
      </w:r>
      <w:r>
        <w:rPr>
          <w:rFonts w:ascii="Times New Roman" w:hAnsi="Times New Roman" w:eastAsia="Times New Roman" w:cs="Times New Roman"/>
          <w:sz w:val="29"/>
          <w:szCs w:val="29"/>
          <w:spacing w:val="-1"/>
        </w:rPr>
        <w:t>cm</w:t>
      </w:r>
      <w:r>
        <w:rPr>
          <w:sz w:val="29"/>
          <w:szCs w:val="29"/>
          <w:spacing w:val="-1"/>
        </w:rPr>
        <w:t>景观效</w:t>
      </w:r>
      <w:r>
        <w:rPr>
          <w:sz w:val="29"/>
          <w:szCs w:val="29"/>
          <w:spacing w:val="-2"/>
        </w:rPr>
        <w:t>果。</w:t>
      </w:r>
    </w:p>
    <w:p>
      <w:pPr>
        <w:ind w:left="570"/>
        <w:spacing w:before="124"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firstLine="570"/>
        <w:spacing w:before="123" w:line="327" w:lineRule="auto"/>
        <w:rPr>
          <w:sz w:val="29"/>
          <w:szCs w:val="29"/>
        </w:rPr>
      </w:pPr>
      <w:r>
        <w:rPr>
          <w:sz w:val="29"/>
          <w:szCs w:val="29"/>
          <w:spacing w:val="2"/>
        </w:rPr>
        <w:t>选择气温较高的某天中午浇灌一次冻水，缓解冬季干旱对树木造成的危害，</w:t>
      </w:r>
      <w:r>
        <w:rPr>
          <w:sz w:val="29"/>
          <w:szCs w:val="29"/>
          <w:spacing w:val="7"/>
        </w:rPr>
        <w:t xml:space="preserve"> </w:t>
      </w:r>
      <w:r>
        <w:rPr>
          <w:sz w:val="29"/>
          <w:szCs w:val="29"/>
          <w:spacing w:val="-2"/>
        </w:rPr>
        <w:t>特别是对草坪和灌木类树种。</w:t>
      </w:r>
    </w:p>
    <w:p>
      <w:pPr>
        <w:pStyle w:val="BodyText"/>
        <w:ind w:left="570"/>
        <w:spacing w:before="4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570"/>
        <w:spacing w:before="76" w:line="219" w:lineRule="auto"/>
        <w:rPr>
          <w:sz w:val="29"/>
          <w:szCs w:val="29"/>
        </w:rPr>
      </w:pPr>
      <w:r>
        <w:rPr>
          <w:sz w:val="29"/>
          <w:szCs w:val="29"/>
          <w:spacing w:val="-3"/>
        </w:rPr>
        <w:t>虫害：柑桔全爪螨等。</w:t>
      </w:r>
    </w:p>
    <w:p>
      <w:pPr>
        <w:pStyle w:val="BodyText"/>
        <w:ind w:left="570"/>
        <w:spacing w:before="4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130" w:firstLine="730"/>
        <w:spacing w:before="124" w:line="268" w:lineRule="auto"/>
        <w:rPr>
          <w:sz w:val="29"/>
          <w:szCs w:val="29"/>
        </w:rPr>
      </w:pPr>
      <w:r>
        <w:rPr>
          <w:sz w:val="29"/>
          <w:szCs w:val="29"/>
        </w:rPr>
        <w:t>(1)</w:t>
      </w:r>
      <w:r>
        <w:rPr>
          <w:sz w:val="29"/>
          <w:szCs w:val="29"/>
          <w:spacing w:val="73"/>
        </w:rPr>
        <w:t xml:space="preserve"> </w:t>
      </w:r>
      <w:r>
        <w:rPr>
          <w:sz w:val="29"/>
          <w:szCs w:val="29"/>
        </w:rPr>
        <w:t>保洁人员合理分区，全天候巡视，及时清理烟头、树挂等垃圾，水景 </w:t>
      </w:r>
      <w:r>
        <w:rPr>
          <w:sz w:val="29"/>
          <w:szCs w:val="29"/>
          <w:spacing w:val="-2"/>
        </w:rPr>
        <w:t>池、灯杆、垃圾桶保持干净；</w:t>
      </w:r>
    </w:p>
    <w:p>
      <w:pPr>
        <w:pStyle w:val="BodyText"/>
        <w:ind w:right="123" w:firstLine="730"/>
        <w:spacing w:before="185" w:line="260"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9"/>
        </w:rPr>
        <w:t>售展示区)进行彻底清理；</w:t>
      </w:r>
    </w:p>
    <w:p>
      <w:pPr>
        <w:pStyle w:val="BodyText"/>
        <w:ind w:right="51" w:firstLine="730"/>
        <w:spacing w:before="155"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rPr>
        <w:t>雪融化后露出的垃圾、废弃物的全面清理。</w:t>
      </w:r>
    </w:p>
    <w:p>
      <w:pPr>
        <w:ind w:left="570"/>
        <w:spacing w:before="206" w:line="222" w:lineRule="auto"/>
        <w:rPr>
          <w:rFonts w:ascii="SimHei" w:hAnsi="SimHei" w:eastAsia="SimHei" w:cs="SimHei"/>
          <w:sz w:val="29"/>
          <w:szCs w:val="29"/>
        </w:rPr>
      </w:pPr>
      <w:r>
        <w:rPr>
          <w:rFonts w:ascii="SimHei" w:hAnsi="SimHei" w:eastAsia="SimHei" w:cs="SimHei"/>
          <w:sz w:val="29"/>
          <w:szCs w:val="29"/>
          <w:spacing w:val="9"/>
        </w:rPr>
        <w:t>6、时花摆放</w:t>
      </w:r>
    </w:p>
    <w:p>
      <w:pPr>
        <w:pStyle w:val="BodyText"/>
        <w:ind w:right="373" w:firstLine="730"/>
        <w:spacing w:before="89" w:line="316" w:lineRule="auto"/>
        <w:rPr>
          <w:sz w:val="29"/>
          <w:szCs w:val="29"/>
        </w:rPr>
      </w:pPr>
      <w:r>
        <w:rPr>
          <w:sz w:val="29"/>
          <w:szCs w:val="29"/>
          <w:spacing w:val="-8"/>
        </w:rPr>
        <w:t>(1)</w:t>
      </w:r>
      <w:r>
        <w:rPr>
          <w:sz w:val="29"/>
          <w:szCs w:val="29"/>
          <w:spacing w:val="102"/>
        </w:rPr>
        <w:t xml:space="preserve"> </w:t>
      </w:r>
      <w:r>
        <w:rPr>
          <w:sz w:val="29"/>
          <w:szCs w:val="29"/>
          <w:spacing w:val="-8"/>
        </w:rPr>
        <w:t>月初提交时花或假花需求计划，选择亮色花卉，安排腊月20号左右进</w:t>
      </w:r>
      <w:r>
        <w:rPr>
          <w:sz w:val="29"/>
          <w:szCs w:val="29"/>
        </w:rPr>
        <w:t xml:space="preserve"> </w:t>
      </w:r>
      <w:r>
        <w:rPr>
          <w:sz w:val="29"/>
          <w:szCs w:val="29"/>
          <w:spacing w:val="-9"/>
        </w:rPr>
        <w:t>场；</w:t>
      </w:r>
    </w:p>
    <w:p>
      <w:pPr>
        <w:spacing w:line="316" w:lineRule="auto"/>
        <w:sectPr>
          <w:footerReference w:type="default" r:id="rId616"/>
          <w:pgSz w:w="14490" w:h="20470"/>
          <w:pgMar w:top="400" w:right="2124" w:bottom="1444" w:left="2150" w:header="0" w:footer="1228"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6"/>
        </w:rPr>
        <w:t>(2)春假放假前将时花摆放完毕，注意摆放外侧避免黑色塑料盆出现。</w:t>
      </w:r>
    </w:p>
    <w:p>
      <w:pPr>
        <w:pStyle w:val="BodyText"/>
        <w:ind w:left="590"/>
        <w:spacing w:before="106" w:line="222"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90"/>
        <w:spacing w:before="71"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right="100" w:firstLine="590"/>
        <w:spacing w:before="150" w:line="304"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77" w:line="223" w:lineRule="auto"/>
        <w:rPr>
          <w:rFonts w:ascii="SimHei" w:hAnsi="SimHei" w:eastAsia="SimHei" w:cs="SimHei"/>
          <w:sz w:val="29"/>
          <w:szCs w:val="29"/>
        </w:rPr>
      </w:pPr>
      <w:r>
        <w:rPr>
          <w:rFonts w:ascii="SimHei" w:hAnsi="SimHei" w:eastAsia="SimHei" w:cs="SimHei"/>
          <w:sz w:val="29"/>
          <w:szCs w:val="29"/>
          <w:spacing w:val="6"/>
        </w:rPr>
        <w:t>三月份</w:t>
      </w:r>
    </w:p>
    <w:p>
      <w:pPr>
        <w:pStyle w:val="BodyText"/>
        <w:ind w:left="590"/>
        <w:spacing w:before="156"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134" w:line="219" w:lineRule="auto"/>
        <w:rPr>
          <w:sz w:val="29"/>
          <w:szCs w:val="29"/>
        </w:rPr>
      </w:pPr>
      <w:r>
        <w:rPr>
          <w:sz w:val="29"/>
          <w:szCs w:val="29"/>
          <w:spacing w:val="8"/>
        </w:rPr>
        <w:t>(1)检查浇水盘，发现损坏的及时维护；</w:t>
      </w:r>
    </w:p>
    <w:p>
      <w:pPr>
        <w:pStyle w:val="BodyText"/>
        <w:ind w:left="730"/>
        <w:spacing w:before="144" w:line="219" w:lineRule="auto"/>
        <w:rPr>
          <w:sz w:val="29"/>
          <w:szCs w:val="29"/>
        </w:rPr>
      </w:pPr>
      <w:r>
        <w:rPr>
          <w:sz w:val="29"/>
          <w:szCs w:val="29"/>
          <w:spacing w:val="5"/>
        </w:rPr>
        <w:t>(2)关注气候变化，倒春寒前，喷施防冻剂，耐寒差的苗木及时包裹；</w:t>
      </w:r>
    </w:p>
    <w:p>
      <w:pPr>
        <w:pStyle w:val="BodyText"/>
        <w:ind w:left="730"/>
        <w:spacing w:before="158" w:line="219" w:lineRule="auto"/>
        <w:rPr>
          <w:sz w:val="29"/>
          <w:szCs w:val="29"/>
        </w:rPr>
      </w:pPr>
      <w:r>
        <w:rPr>
          <w:sz w:val="29"/>
          <w:szCs w:val="29"/>
          <w:spacing w:val="6"/>
        </w:rPr>
        <w:t>(3)要及时发现下沉严重的地形，中旬前处理完毕</w:t>
      </w:r>
      <w:r>
        <w:rPr>
          <w:sz w:val="29"/>
          <w:szCs w:val="29"/>
          <w:spacing w:val="5"/>
        </w:rPr>
        <w:t>，避免影响景观效果；</w:t>
      </w:r>
    </w:p>
    <w:p>
      <w:pPr>
        <w:pStyle w:val="BodyText"/>
        <w:ind w:left="730"/>
        <w:spacing w:before="135" w:line="224" w:lineRule="auto"/>
        <w:rPr>
          <w:sz w:val="29"/>
          <w:szCs w:val="29"/>
        </w:rPr>
      </w:pPr>
      <w:r>
        <w:rPr>
          <w:rFonts w:ascii="FangSong" w:hAnsi="FangSong" w:eastAsia="FangSong" w:cs="FangSong"/>
          <w:sz w:val="29"/>
          <w:szCs w:val="29"/>
          <w:spacing w:val="-5"/>
        </w:rPr>
        <w:t>(</w:t>
      </w:r>
      <w:r>
        <w:rPr>
          <w:rFonts w:ascii="FangSong" w:hAnsi="FangSong" w:eastAsia="FangSong" w:cs="FangSong"/>
          <w:sz w:val="29"/>
          <w:szCs w:val="29"/>
          <w:spacing w:val="-45"/>
        </w:rPr>
        <w:t xml:space="preserve"> </w:t>
      </w:r>
      <w:r>
        <w:rPr>
          <w:rFonts w:ascii="FangSong" w:hAnsi="FangSong" w:eastAsia="FangSong" w:cs="FangSong"/>
          <w:sz w:val="29"/>
          <w:szCs w:val="29"/>
          <w:spacing w:val="-5"/>
        </w:rPr>
        <w:t>4</w:t>
      </w:r>
      <w:r>
        <w:rPr>
          <w:rFonts w:ascii="FangSong" w:hAnsi="FangSong" w:eastAsia="FangSong" w:cs="FangSong"/>
          <w:sz w:val="29"/>
          <w:szCs w:val="29"/>
          <w:spacing w:val="-51"/>
        </w:rPr>
        <w:t xml:space="preserve"> </w:t>
      </w:r>
      <w:r>
        <w:rPr>
          <w:rFonts w:ascii="FangSong" w:hAnsi="FangSong" w:eastAsia="FangSong" w:cs="FangSong"/>
          <w:sz w:val="29"/>
          <w:szCs w:val="29"/>
          <w:spacing w:val="-5"/>
        </w:rPr>
        <w:t>)</w:t>
      </w:r>
      <w:r>
        <w:rPr>
          <w:rFonts w:ascii="FangSong" w:hAnsi="FangSong" w:eastAsia="FangSong" w:cs="FangSong"/>
          <w:sz w:val="29"/>
          <w:szCs w:val="29"/>
          <w:spacing w:val="-40"/>
        </w:rPr>
        <w:t xml:space="preserve"> </w:t>
      </w:r>
      <w:r>
        <w:rPr>
          <w:rFonts w:ascii="FangSong" w:hAnsi="FangSong" w:eastAsia="FangSong" w:cs="FangSong"/>
          <w:sz w:val="29"/>
          <w:szCs w:val="29"/>
          <w:spacing w:val="-5"/>
        </w:rPr>
        <w:t>及</w:t>
      </w:r>
      <w:r>
        <w:rPr>
          <w:sz w:val="29"/>
          <w:szCs w:val="29"/>
          <w:spacing w:val="-5"/>
        </w:rPr>
        <w:t>时检查乔木支撑情况，发现松动或缺失立即加固；</w:t>
      </w:r>
    </w:p>
    <w:p>
      <w:pPr>
        <w:pStyle w:val="BodyText"/>
        <w:ind w:right="120" w:firstLine="730"/>
        <w:spacing w:before="137" w:line="266" w:lineRule="auto"/>
        <w:rPr>
          <w:sz w:val="29"/>
          <w:szCs w:val="29"/>
        </w:rPr>
      </w:pPr>
      <w:r>
        <w:rPr>
          <w:sz w:val="29"/>
          <w:szCs w:val="29"/>
          <w:spacing w:val="7"/>
        </w:rPr>
        <w:t>(5)淮河以南本月底冬季所用的防寒物应适时拆除，淮</w:t>
      </w:r>
      <w:r>
        <w:rPr>
          <w:sz w:val="29"/>
          <w:szCs w:val="29"/>
          <w:spacing w:val="6"/>
        </w:rPr>
        <w:t>河以北拆除防寒布，</w:t>
      </w:r>
      <w:r>
        <w:rPr>
          <w:sz w:val="29"/>
          <w:szCs w:val="29"/>
        </w:rPr>
        <w:t xml:space="preserve"> </w:t>
      </w:r>
      <w:r>
        <w:rPr>
          <w:sz w:val="29"/>
          <w:szCs w:val="29"/>
          <w:spacing w:val="-6"/>
        </w:rPr>
        <w:t>草绳根据气温树木的耐寒性进行拆除。</w:t>
      </w:r>
    </w:p>
    <w:p>
      <w:pPr>
        <w:pStyle w:val="BodyText"/>
        <w:ind w:left="590"/>
        <w:spacing w:before="173"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left="730"/>
        <w:spacing w:before="116" w:line="219" w:lineRule="auto"/>
        <w:rPr>
          <w:sz w:val="29"/>
          <w:szCs w:val="29"/>
        </w:rPr>
      </w:pPr>
      <w:r>
        <w:rPr>
          <w:sz w:val="29"/>
          <w:szCs w:val="29"/>
          <w:spacing w:val="8"/>
        </w:rPr>
        <w:t>(1)在冬季修剪的基础上进行复剪；</w:t>
      </w:r>
    </w:p>
    <w:p>
      <w:pPr>
        <w:pStyle w:val="BodyText"/>
        <w:ind w:left="730"/>
        <w:spacing w:before="144" w:line="219" w:lineRule="auto"/>
        <w:rPr>
          <w:sz w:val="29"/>
          <w:szCs w:val="29"/>
        </w:rPr>
      </w:pPr>
      <w:r>
        <w:rPr>
          <w:sz w:val="29"/>
          <w:szCs w:val="29"/>
          <w:spacing w:val="6"/>
        </w:rPr>
        <w:t>(2)剪除风干抽梢严重、各种原因造成伤害的枝条；</w:t>
      </w:r>
    </w:p>
    <w:p>
      <w:pPr>
        <w:pStyle w:val="BodyText"/>
        <w:ind w:left="730"/>
        <w:spacing w:before="148" w:line="219" w:lineRule="auto"/>
        <w:rPr>
          <w:sz w:val="29"/>
          <w:szCs w:val="29"/>
        </w:rPr>
      </w:pPr>
      <w:r>
        <w:rPr>
          <w:sz w:val="29"/>
          <w:szCs w:val="29"/>
          <w:spacing w:val="13"/>
        </w:rPr>
        <w:t>(3)适时进行植物剥芽；</w:t>
      </w:r>
    </w:p>
    <w:p>
      <w:pPr>
        <w:pStyle w:val="BodyText"/>
        <w:ind w:left="730"/>
        <w:spacing w:before="166" w:line="219" w:lineRule="auto"/>
        <w:rPr>
          <w:sz w:val="29"/>
          <w:szCs w:val="29"/>
        </w:rPr>
      </w:pPr>
      <w:r>
        <w:rPr>
          <w:sz w:val="29"/>
          <w:szCs w:val="29"/>
          <w:spacing w:val="-9"/>
        </w:rPr>
        <w:t>(4)</w:t>
      </w:r>
      <w:r>
        <w:rPr>
          <w:sz w:val="29"/>
          <w:szCs w:val="29"/>
          <w:spacing w:val="79"/>
        </w:rPr>
        <w:t xml:space="preserve"> </w:t>
      </w:r>
      <w:r>
        <w:rPr>
          <w:sz w:val="29"/>
          <w:szCs w:val="29"/>
          <w:spacing w:val="-9"/>
        </w:rPr>
        <w:t>草坪控制在3-5公分，并于上次修剪呈现十字形修剪。</w:t>
      </w:r>
    </w:p>
    <w:p>
      <w:pPr>
        <w:pStyle w:val="BodyText"/>
        <w:ind w:left="590"/>
        <w:spacing w:before="43"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557" w:firstLine="730"/>
        <w:spacing w:before="148" w:line="268" w:lineRule="auto"/>
        <w:rPr>
          <w:sz w:val="29"/>
          <w:szCs w:val="29"/>
        </w:rPr>
      </w:pPr>
      <w:r>
        <w:rPr>
          <w:sz w:val="29"/>
          <w:szCs w:val="29"/>
          <w:spacing w:val="-2"/>
        </w:rPr>
        <w:t>(1)春灌：气温6-10℃开始灌返青水，安徽淮河以北浇2-3次返青水，淮河</w:t>
      </w:r>
      <w:r>
        <w:rPr>
          <w:sz w:val="29"/>
          <w:szCs w:val="29"/>
          <w:spacing w:val="10"/>
        </w:rPr>
        <w:t xml:space="preserve"> </w:t>
      </w:r>
      <w:r>
        <w:rPr>
          <w:sz w:val="29"/>
          <w:szCs w:val="29"/>
          <w:spacing w:val="-6"/>
        </w:rPr>
        <w:t>以南根据气温和降雨情况一般浇3-5次返青水。保证苗木的水分需求；</w:t>
      </w:r>
    </w:p>
    <w:p>
      <w:pPr>
        <w:pStyle w:val="BodyText"/>
        <w:ind w:left="730"/>
        <w:spacing w:before="136" w:line="219" w:lineRule="auto"/>
        <w:rPr>
          <w:sz w:val="29"/>
          <w:szCs w:val="29"/>
        </w:rPr>
      </w:pPr>
      <w:r>
        <w:rPr>
          <w:sz w:val="29"/>
          <w:szCs w:val="29"/>
          <w:spacing w:val="-1"/>
        </w:rPr>
        <w:t>(2)淮河以南可根据情况每10-15天，采用少施多次方式使用一次薄肥。</w:t>
      </w:r>
    </w:p>
    <w:p>
      <w:pPr>
        <w:pStyle w:val="BodyText"/>
        <w:ind w:left="590"/>
        <w:spacing w:before="12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30"/>
        <w:spacing w:before="136" w:line="219" w:lineRule="auto"/>
        <w:rPr>
          <w:sz w:val="29"/>
          <w:szCs w:val="29"/>
        </w:rPr>
      </w:pPr>
      <w:r>
        <w:rPr>
          <w:sz w:val="29"/>
          <w:szCs w:val="29"/>
          <w:spacing w:val="8"/>
        </w:rPr>
        <w:t>(1)病害：根腐病、流胶病等；</w:t>
      </w:r>
    </w:p>
    <w:p>
      <w:pPr>
        <w:pStyle w:val="BodyText"/>
        <w:ind w:right="649" w:firstLine="730"/>
        <w:spacing w:before="146" w:line="265" w:lineRule="auto"/>
        <w:rPr>
          <w:sz w:val="29"/>
          <w:szCs w:val="29"/>
        </w:rPr>
      </w:pPr>
      <w:r>
        <w:rPr>
          <w:sz w:val="29"/>
          <w:szCs w:val="29"/>
          <w:spacing w:val="-9"/>
        </w:rPr>
        <w:t>(2)虫害：柑桔全爪螨、黑刺粉虱、咖啡木蠹蛾、葡萄透翅蛾、柏肤小蠹、</w:t>
      </w:r>
      <w:r>
        <w:rPr>
          <w:sz w:val="29"/>
          <w:szCs w:val="29"/>
          <w:spacing w:val="5"/>
        </w:rPr>
        <w:t xml:space="preserve"> </w:t>
      </w:r>
      <w:r>
        <w:rPr>
          <w:sz w:val="29"/>
          <w:szCs w:val="29"/>
          <w:spacing w:val="-3"/>
        </w:rPr>
        <w:t>白蚁、铜绿丽金龟、小地老虎、大地老虎、沟金针虫、玉带</w:t>
      </w:r>
      <w:r>
        <w:rPr>
          <w:sz w:val="29"/>
          <w:szCs w:val="29"/>
          <w:spacing w:val="-4"/>
        </w:rPr>
        <w:t>凤蝶等。</w:t>
      </w:r>
    </w:p>
    <w:p>
      <w:pPr>
        <w:pStyle w:val="BodyText"/>
        <w:ind w:left="590"/>
        <w:spacing w:before="138" w:line="396"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440" w:firstLine="730"/>
        <w:spacing w:before="9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30"/>
        <w:spacing w:before="16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90"/>
        <w:spacing w:before="184" w:line="222" w:lineRule="auto"/>
        <w:rPr>
          <w:rFonts w:ascii="SimHei" w:hAnsi="SimHei" w:eastAsia="SimHei" w:cs="SimHei"/>
          <w:sz w:val="29"/>
          <w:szCs w:val="29"/>
        </w:rPr>
      </w:pPr>
      <w:r>
        <w:rPr>
          <w:rFonts w:ascii="SimHei" w:hAnsi="SimHei" w:eastAsia="SimHei" w:cs="SimHei"/>
          <w:sz w:val="29"/>
          <w:szCs w:val="29"/>
          <w:spacing w:val="7"/>
        </w:rPr>
        <w:t>6、物资管理</w:t>
      </w:r>
    </w:p>
    <w:p>
      <w:pPr>
        <w:spacing w:line="222" w:lineRule="auto"/>
        <w:sectPr>
          <w:footerReference w:type="default" r:id="rId617"/>
          <w:pgSz w:w="14490" w:h="20470"/>
          <w:pgMar w:top="400" w:right="1834" w:bottom="1444" w:left="2150" w:header="0" w:footer="1228"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341" w:firstLine="730"/>
        <w:spacing w:before="94"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38" w:firstLine="730"/>
        <w:spacing w:before="153" w:line="267"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5"/>
        </w:rPr>
        <w:t>其它物资。</w:t>
      </w:r>
    </w:p>
    <w:p>
      <w:pPr>
        <w:pStyle w:val="BodyText"/>
        <w:ind w:left="570"/>
        <w:spacing w:before="178"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243" w:firstLine="730"/>
        <w:spacing w:before="85" w:line="281" w:lineRule="auto"/>
        <w:rPr>
          <w:sz w:val="29"/>
          <w:szCs w:val="29"/>
        </w:rPr>
      </w:pPr>
      <w:r>
        <w:rPr>
          <w:sz w:val="29"/>
          <w:szCs w:val="29"/>
          <w:spacing w:val="9"/>
        </w:rPr>
        <w:t>(1)每天绿化工人在保洁的同时要注意行人随意丢弃烟头现象，并对</w:t>
      </w:r>
      <w:r>
        <w:rPr>
          <w:sz w:val="29"/>
          <w:szCs w:val="29"/>
          <w:spacing w:val="8"/>
        </w:rPr>
        <w:t>其进</w:t>
      </w:r>
      <w:r>
        <w:rPr>
          <w:sz w:val="29"/>
          <w:szCs w:val="29"/>
        </w:rPr>
        <w:t xml:space="preserve"> </w:t>
      </w:r>
      <w:r>
        <w:rPr>
          <w:sz w:val="29"/>
          <w:szCs w:val="29"/>
          <w:spacing w:val="-9"/>
        </w:rPr>
        <w:t>行防火教育，加强防火意识。及时清扫落叶、树挂，消除火灾隐患。同时注意库房</w:t>
      </w:r>
      <w:r>
        <w:rPr>
          <w:sz w:val="29"/>
          <w:szCs w:val="29"/>
          <w:spacing w:val="12"/>
        </w:rPr>
        <w:t xml:space="preserve"> </w:t>
      </w:r>
      <w:r>
        <w:rPr>
          <w:sz w:val="29"/>
          <w:szCs w:val="29"/>
          <w:spacing w:val="-4"/>
        </w:rPr>
        <w:t>的防火、防盗情况；</w:t>
      </w:r>
    </w:p>
    <w:p>
      <w:pPr>
        <w:pStyle w:val="BodyText"/>
        <w:ind w:right="338" w:firstLine="730"/>
        <w:spacing w:before="176" w:line="267"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5"/>
        </w:rPr>
        <w:t>其它物资。</w:t>
      </w:r>
    </w:p>
    <w:p>
      <w:pPr>
        <w:spacing w:before="202" w:line="223" w:lineRule="auto"/>
        <w:rPr>
          <w:rFonts w:ascii="SimHei" w:hAnsi="SimHei" w:eastAsia="SimHei" w:cs="SimHei"/>
          <w:sz w:val="29"/>
          <w:szCs w:val="29"/>
        </w:rPr>
      </w:pPr>
      <w:r>
        <w:rPr>
          <w:rFonts w:ascii="SimHei" w:hAnsi="SimHei" w:eastAsia="SimHei" w:cs="SimHei"/>
          <w:sz w:val="29"/>
          <w:szCs w:val="29"/>
          <w:spacing w:val="9"/>
        </w:rPr>
        <w:t>四月份</w:t>
      </w:r>
    </w:p>
    <w:p>
      <w:pPr>
        <w:pStyle w:val="BodyText"/>
        <w:ind w:left="57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23"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left="730"/>
        <w:spacing w:before="146" w:line="219" w:lineRule="auto"/>
        <w:rPr>
          <w:sz w:val="29"/>
          <w:szCs w:val="29"/>
        </w:rPr>
      </w:pPr>
      <w:r>
        <w:rPr>
          <w:sz w:val="29"/>
          <w:szCs w:val="29"/>
          <w:spacing w:val="7"/>
        </w:rPr>
        <w:t>(2)检查草皮缺漏、地被破坏情况，并对缺苗处及时补栽。</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730"/>
        <w:spacing w:before="156" w:line="219" w:lineRule="auto"/>
        <w:rPr>
          <w:sz w:val="29"/>
          <w:szCs w:val="29"/>
        </w:rPr>
      </w:pPr>
      <w:r>
        <w:rPr>
          <w:sz w:val="29"/>
          <w:szCs w:val="29"/>
          <w:spacing w:val="6"/>
        </w:rPr>
        <w:t>(1)对开花灌木进行花后修剪、对乔木进行适当修</w:t>
      </w:r>
      <w:r>
        <w:rPr>
          <w:sz w:val="29"/>
          <w:szCs w:val="29"/>
          <w:spacing w:val="5"/>
        </w:rPr>
        <w:t>剪，除萌蘖；</w:t>
      </w:r>
    </w:p>
    <w:p>
      <w:pPr>
        <w:pStyle w:val="BodyText"/>
        <w:ind w:right="742" w:firstLine="730"/>
        <w:spacing w:before="135" w:line="281" w:lineRule="auto"/>
        <w:rPr/>
      </w:pPr>
      <w:r>
        <w:rPr>
          <w:spacing w:val="12"/>
        </w:rPr>
        <w:t>(2)修整草坪、地被的线条，控制地被、草坪生长，草坪控制在3-5</w:t>
      </w:r>
      <w:r>
        <w:rPr>
          <w:rFonts w:ascii="Times New Roman" w:hAnsi="Times New Roman" w:eastAsia="Times New Roman" w:cs="Times New Roman"/>
        </w:rPr>
        <w:t>cm</w:t>
      </w:r>
      <w:r>
        <w:rPr>
          <w:rFonts w:ascii="Times New Roman" w:hAnsi="Times New Roman" w:eastAsia="Times New Roman" w:cs="Times New Roman"/>
          <w:spacing w:val="12"/>
        </w:rPr>
        <w:t>,</w:t>
      </w:r>
      <w:r>
        <w:rPr>
          <w:rFonts w:ascii="Times New Roman" w:hAnsi="Times New Roman" w:eastAsia="Times New Roman" w:cs="Times New Roman"/>
          <w:spacing w:val="2"/>
        </w:rPr>
        <w:t xml:space="preserve"> </w:t>
      </w:r>
      <w:r>
        <w:rPr>
          <w:spacing w:val="10"/>
        </w:rPr>
        <w:t>上次修建呈十字形修剪，对往年生长旺盛的草地，第一次修剪可以重</w:t>
      </w:r>
      <w:r>
        <w:rPr>
          <w:spacing w:val="9"/>
        </w:rPr>
        <w:t>剪；</w:t>
      </w:r>
    </w:p>
    <w:p>
      <w:pPr>
        <w:pStyle w:val="BodyText"/>
        <w:ind w:right="341" w:firstLine="730"/>
        <w:spacing w:before="126" w:line="270" w:lineRule="auto"/>
        <w:rPr>
          <w:sz w:val="29"/>
          <w:szCs w:val="29"/>
        </w:rPr>
      </w:pPr>
      <w:r>
        <w:rPr>
          <w:sz w:val="29"/>
          <w:szCs w:val="29"/>
        </w:rPr>
        <w:t>(3)</w:t>
      </w:r>
      <w:r>
        <w:rPr>
          <w:sz w:val="29"/>
          <w:szCs w:val="29"/>
          <w:spacing w:val="62"/>
        </w:rPr>
        <w:t xml:space="preserve"> </w:t>
      </w:r>
      <w:r>
        <w:rPr>
          <w:sz w:val="29"/>
          <w:szCs w:val="29"/>
        </w:rPr>
        <w:t>及时人工连根清除杂草，重点是围蔽下、综合</w:t>
      </w:r>
      <w:r>
        <w:rPr>
          <w:sz w:val="29"/>
          <w:szCs w:val="29"/>
          <w:spacing w:val="-1"/>
        </w:rPr>
        <w:t>楼角落、人工湖驳岸等</w:t>
      </w:r>
      <w:r>
        <w:rPr>
          <w:sz w:val="29"/>
          <w:szCs w:val="29"/>
        </w:rPr>
        <w:t xml:space="preserve"> </w:t>
      </w:r>
      <w:r>
        <w:rPr>
          <w:sz w:val="29"/>
          <w:szCs w:val="29"/>
          <w:spacing w:val="-6"/>
        </w:rPr>
        <w:t>区域。</w:t>
      </w:r>
    </w:p>
    <w:p>
      <w:pPr>
        <w:ind w:left="570"/>
        <w:spacing w:before="192"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84" w:line="219" w:lineRule="auto"/>
        <w:rPr>
          <w:sz w:val="29"/>
          <w:szCs w:val="29"/>
        </w:rPr>
      </w:pPr>
      <w:r>
        <w:rPr>
          <w:sz w:val="29"/>
          <w:szCs w:val="29"/>
          <w:spacing w:val="6"/>
        </w:rPr>
        <w:t>(1)各种植物的需水量很大，应适时浇水、松土；</w:t>
      </w:r>
    </w:p>
    <w:p>
      <w:pPr>
        <w:pStyle w:val="BodyText"/>
        <w:ind w:left="730"/>
        <w:spacing w:before="144" w:line="219" w:lineRule="auto"/>
        <w:rPr>
          <w:sz w:val="29"/>
          <w:szCs w:val="29"/>
        </w:rPr>
      </w:pPr>
      <w:r>
        <w:rPr>
          <w:sz w:val="29"/>
          <w:szCs w:val="29"/>
          <w:spacing w:val="8"/>
        </w:rPr>
        <w:t>(2)原有绿地可浇第一遍肥水；</w:t>
      </w:r>
    </w:p>
    <w:p>
      <w:pPr>
        <w:pStyle w:val="BodyText"/>
        <w:ind w:left="730"/>
        <w:spacing w:before="145" w:line="219" w:lineRule="auto"/>
        <w:rPr>
          <w:sz w:val="29"/>
          <w:szCs w:val="29"/>
        </w:rPr>
      </w:pPr>
      <w:r>
        <w:rPr>
          <w:sz w:val="29"/>
          <w:szCs w:val="29"/>
          <w:spacing w:val="9"/>
        </w:rPr>
        <w:t>(3)全园施有机肥，结合浇水进行。</w:t>
      </w:r>
    </w:p>
    <w:p>
      <w:pPr>
        <w:pStyle w:val="BodyText"/>
        <w:ind w:left="570"/>
        <w:spacing w:before="106"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55" w:line="219" w:lineRule="auto"/>
        <w:rPr>
          <w:sz w:val="29"/>
          <w:szCs w:val="29"/>
        </w:rPr>
      </w:pPr>
      <w:r>
        <w:rPr>
          <w:sz w:val="29"/>
          <w:szCs w:val="29"/>
          <w:spacing w:val="7"/>
        </w:rPr>
        <w:t>(1)病害：炭疽病、叶斑类病害、锈病、根腐</w:t>
      </w:r>
      <w:r>
        <w:rPr>
          <w:sz w:val="29"/>
          <w:szCs w:val="29"/>
          <w:spacing w:val="6"/>
        </w:rPr>
        <w:t>病、流胶病等；</w:t>
      </w:r>
    </w:p>
    <w:p>
      <w:pPr>
        <w:pStyle w:val="BodyText"/>
        <w:ind w:firstLine="730"/>
        <w:spacing w:before="167" w:line="274" w:lineRule="auto"/>
        <w:rPr>
          <w:sz w:val="29"/>
          <w:szCs w:val="29"/>
        </w:rPr>
      </w:pPr>
      <w:r>
        <w:rPr>
          <w:sz w:val="29"/>
          <w:szCs w:val="29"/>
          <w:spacing w:val="8"/>
        </w:rPr>
        <w:t>(2)虫害：大青叶蝉、桃蚜、桃粉蚜、桃瘤蚜、梨网冠</w:t>
      </w:r>
      <w:r>
        <w:rPr>
          <w:sz w:val="29"/>
          <w:szCs w:val="29"/>
          <w:spacing w:val="7"/>
        </w:rPr>
        <w:t>蝽、方翅网蝽、柑</w:t>
      </w:r>
      <w:r>
        <w:rPr>
          <w:sz w:val="29"/>
          <w:szCs w:val="29"/>
        </w:rPr>
        <w:t xml:space="preserve">   </w:t>
      </w:r>
      <w:r>
        <w:rPr>
          <w:sz w:val="29"/>
          <w:szCs w:val="29"/>
          <w:spacing w:val="-9"/>
        </w:rPr>
        <w:t>桔全爪螨、桔绿粉虱、黑刺粉虱、星天牛、苹果枝天牛、咖啡木蠹蛾、芳香木蠹蛾、</w:t>
      </w:r>
      <w:r>
        <w:rPr>
          <w:sz w:val="29"/>
          <w:szCs w:val="29"/>
          <w:spacing w:val="6"/>
        </w:rPr>
        <w:t xml:space="preserve"> </w:t>
      </w:r>
      <w:r>
        <w:rPr>
          <w:sz w:val="29"/>
          <w:szCs w:val="29"/>
          <w:spacing w:val="-9"/>
        </w:rPr>
        <w:t>葡萄透翅蛾、白杨透翅蛾、柏肤小蠹、白蚁、铜绿丽金龟、小地老虎、大地老虎、</w:t>
      </w:r>
    </w:p>
    <w:p>
      <w:pPr>
        <w:pStyle w:val="BodyText"/>
        <w:spacing w:before="136" w:line="219" w:lineRule="auto"/>
        <w:rPr>
          <w:sz w:val="29"/>
          <w:szCs w:val="29"/>
        </w:rPr>
      </w:pPr>
      <w:r>
        <w:rPr>
          <w:sz w:val="29"/>
          <w:szCs w:val="29"/>
          <w:spacing w:val="-11"/>
        </w:rPr>
        <w:t>沟金针虫、玉带凤蝶、柳蓝叶甲、枸桔潜跳</w:t>
      </w:r>
      <w:r>
        <w:rPr>
          <w:sz w:val="29"/>
          <w:szCs w:val="29"/>
          <w:spacing w:val="-12"/>
        </w:rPr>
        <w:t>甲等。</w:t>
      </w:r>
    </w:p>
    <w:p>
      <w:pPr>
        <w:pStyle w:val="BodyText"/>
        <w:ind w:left="570"/>
        <w:spacing w:before="17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0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left="730"/>
        <w:spacing w:before="157" w:line="219" w:lineRule="auto"/>
        <w:rPr>
          <w:sz w:val="29"/>
          <w:szCs w:val="29"/>
        </w:rPr>
      </w:pPr>
      <w:r>
        <w:rPr>
          <w:sz w:val="29"/>
          <w:szCs w:val="29"/>
          <w:spacing w:val="12"/>
        </w:rPr>
        <w:t>(2)在业主上班高峰期前对园区内的重点区域(大门内外、主干通道、销</w:t>
      </w:r>
    </w:p>
    <w:p>
      <w:pPr>
        <w:spacing w:line="219" w:lineRule="auto"/>
        <w:sectPr>
          <w:footerReference w:type="default" r:id="rId618"/>
          <w:pgSz w:w="14490" w:h="20470"/>
          <w:pgMar w:top="400" w:right="1935" w:bottom="1433" w:left="2150" w:header="0" w:footer="123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9"/>
        </w:rPr>
        <w:t>售展示区)进行彻底清理。</w:t>
      </w:r>
    </w:p>
    <w:p>
      <w:pPr>
        <w:ind w:left="600"/>
        <w:spacing w:before="116"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30"/>
        <w:spacing w:before="131"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600"/>
        <w:spacing w:before="103"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5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10" w:firstLine="600"/>
        <w:spacing w:before="131"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6"/>
        </w:rPr>
        <w:t>五月份</w:t>
      </w:r>
    </w:p>
    <w:p>
      <w:pPr>
        <w:pStyle w:val="BodyText"/>
        <w:ind w:left="60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94" w:line="219" w:lineRule="auto"/>
        <w:rPr>
          <w:sz w:val="29"/>
          <w:szCs w:val="29"/>
        </w:rPr>
      </w:pPr>
      <w:r>
        <w:rPr>
          <w:sz w:val="29"/>
          <w:szCs w:val="29"/>
        </w:rPr>
        <w:t>及时检查乔木支撑情况，发现松动或缺失立即加固。</w:t>
      </w:r>
    </w:p>
    <w:p>
      <w:pPr>
        <w:ind w:left="600"/>
        <w:spacing w:before="14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30"/>
        <w:spacing w:before="146" w:line="219" w:lineRule="auto"/>
        <w:rPr>
          <w:sz w:val="29"/>
          <w:szCs w:val="29"/>
        </w:rPr>
      </w:pPr>
      <w:r>
        <w:rPr>
          <w:sz w:val="29"/>
          <w:szCs w:val="29"/>
          <w:spacing w:val="6"/>
        </w:rPr>
        <w:t>(1)花期结束的花灌木应及时摘除残花、剪除枯黄枝叶；</w:t>
      </w:r>
    </w:p>
    <w:p>
      <w:pPr>
        <w:pStyle w:val="BodyText"/>
        <w:ind w:left="730"/>
        <w:spacing w:before="136" w:line="219" w:lineRule="auto"/>
        <w:rPr>
          <w:sz w:val="29"/>
          <w:szCs w:val="29"/>
        </w:rPr>
      </w:pPr>
      <w:r>
        <w:rPr>
          <w:sz w:val="29"/>
          <w:szCs w:val="29"/>
        </w:rPr>
        <w:t>(2)绿篱、色块修剪1-2次，保证造型；</w:t>
      </w:r>
    </w:p>
    <w:p>
      <w:pPr>
        <w:pStyle w:val="BodyText"/>
        <w:ind w:right="664" w:firstLine="730"/>
        <w:spacing w:before="125" w:line="272" w:lineRule="auto"/>
        <w:rPr>
          <w:sz w:val="29"/>
          <w:szCs w:val="29"/>
        </w:rPr>
      </w:pPr>
      <w:r>
        <w:rPr>
          <w:sz w:val="29"/>
          <w:szCs w:val="29"/>
          <w:spacing w:val="-1"/>
        </w:rPr>
        <w:t>(3)对混播草继续进行控制性修建，促进百慕大生长，</w:t>
      </w:r>
      <w:r>
        <w:rPr>
          <w:sz w:val="29"/>
          <w:szCs w:val="29"/>
          <w:spacing w:val="-45"/>
        </w:rPr>
        <w:t xml:space="preserve"> </w:t>
      </w:r>
      <w:r>
        <w:rPr>
          <w:sz w:val="29"/>
          <w:szCs w:val="29"/>
          <w:spacing w:val="-1"/>
        </w:rPr>
        <w:t>一般控制在3-4</w:t>
      </w:r>
      <w:r>
        <w:rPr>
          <w:rFonts w:ascii="Times New Roman" w:hAnsi="Times New Roman" w:eastAsia="Times New Roman" w:cs="Times New Roman"/>
          <w:sz w:val="29"/>
          <w:szCs w:val="29"/>
          <w:spacing w:val="-1"/>
        </w:rPr>
        <w:t>cm</w:t>
      </w:r>
      <w:r>
        <w:rPr>
          <w:rFonts w:ascii="Times New Roman" w:hAnsi="Times New Roman" w:eastAsia="Times New Roman" w:cs="Times New Roman"/>
          <w:sz w:val="29"/>
          <w:szCs w:val="29"/>
        </w:rPr>
        <w:t xml:space="preserve"> </w:t>
      </w:r>
      <w:r>
        <w:rPr>
          <w:sz w:val="29"/>
          <w:szCs w:val="29"/>
          <w:spacing w:val="-5"/>
        </w:rPr>
        <w:t>为宜，于上次修建呈十字形修剪，修剪2-3</w:t>
      </w:r>
      <w:r>
        <w:rPr>
          <w:sz w:val="29"/>
          <w:szCs w:val="29"/>
          <w:spacing w:val="-6"/>
        </w:rPr>
        <w:t>次；</w:t>
      </w:r>
    </w:p>
    <w:p>
      <w:pPr>
        <w:pStyle w:val="BodyText"/>
        <w:ind w:right="448" w:firstLine="730"/>
        <w:spacing w:before="145" w:line="272" w:lineRule="auto"/>
        <w:rPr>
          <w:sz w:val="29"/>
          <w:szCs w:val="29"/>
        </w:rPr>
      </w:pPr>
      <w:r>
        <w:rPr>
          <w:sz w:val="29"/>
          <w:szCs w:val="29"/>
          <w:spacing w:val="6"/>
        </w:rPr>
        <w:t>(4)及时清除草坪杂草，绿篱及色块内生出的杂生植物、爬藤等应及时予</w:t>
      </w:r>
      <w:r>
        <w:rPr>
          <w:sz w:val="29"/>
          <w:szCs w:val="29"/>
          <w:spacing w:val="2"/>
        </w:rPr>
        <w:t xml:space="preserve"> </w:t>
      </w:r>
      <w:r>
        <w:rPr>
          <w:sz w:val="29"/>
          <w:szCs w:val="29"/>
          <w:spacing w:val="-7"/>
        </w:rPr>
        <w:t>以连根清除。</w:t>
      </w:r>
    </w:p>
    <w:p>
      <w:pPr>
        <w:ind w:left="600"/>
        <w:spacing w:before="17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112" w:line="219" w:lineRule="auto"/>
        <w:rPr>
          <w:sz w:val="29"/>
          <w:szCs w:val="29"/>
        </w:rPr>
      </w:pPr>
      <w:r>
        <w:rPr>
          <w:sz w:val="29"/>
          <w:szCs w:val="29"/>
          <w:spacing w:val="5"/>
        </w:rPr>
        <w:t>(1)根据植物的生长发育情况，结合浇水追施一些速效氮肥、磷肥；</w:t>
      </w:r>
    </w:p>
    <w:p>
      <w:pPr>
        <w:pStyle w:val="BodyText"/>
        <w:ind w:left="730"/>
        <w:spacing w:before="136" w:line="219" w:lineRule="auto"/>
        <w:rPr>
          <w:sz w:val="29"/>
          <w:szCs w:val="29"/>
        </w:rPr>
      </w:pPr>
      <w:r>
        <w:rPr>
          <w:sz w:val="29"/>
          <w:szCs w:val="29"/>
        </w:rPr>
        <w:t>(2)乔灌木应挖掘施肥沟、穴，深度不浅于30公分，以不伤根为宜；</w:t>
      </w:r>
    </w:p>
    <w:p>
      <w:pPr>
        <w:pStyle w:val="BodyText"/>
        <w:ind w:left="730"/>
        <w:spacing w:before="146" w:line="219" w:lineRule="auto"/>
        <w:rPr>
          <w:sz w:val="29"/>
          <w:szCs w:val="29"/>
        </w:rPr>
      </w:pPr>
      <w:r>
        <w:rPr>
          <w:sz w:val="29"/>
          <w:szCs w:val="29"/>
          <w:spacing w:val="-3"/>
        </w:rPr>
        <w:t>(3)</w:t>
      </w:r>
      <w:r>
        <w:rPr>
          <w:sz w:val="29"/>
          <w:szCs w:val="29"/>
          <w:spacing w:val="75"/>
        </w:rPr>
        <w:t xml:space="preserve"> </w:t>
      </w:r>
      <w:r>
        <w:rPr>
          <w:sz w:val="29"/>
          <w:szCs w:val="29"/>
          <w:spacing w:val="-3"/>
        </w:rPr>
        <w:t>草坪要做到有针对性的施肥，以速效氮肥为主；</w:t>
      </w:r>
    </w:p>
    <w:p>
      <w:pPr>
        <w:pStyle w:val="BodyText"/>
        <w:ind w:left="730"/>
        <w:spacing w:before="158" w:line="219" w:lineRule="auto"/>
        <w:rPr>
          <w:sz w:val="29"/>
          <w:szCs w:val="29"/>
        </w:rPr>
      </w:pPr>
      <w:r>
        <w:rPr>
          <w:sz w:val="29"/>
          <w:szCs w:val="29"/>
          <w:spacing w:val="7"/>
        </w:rPr>
        <w:t>(4)各种植物的需水量很大，应适时浇水满足苗木的</w:t>
      </w:r>
      <w:r>
        <w:rPr>
          <w:sz w:val="29"/>
          <w:szCs w:val="29"/>
          <w:spacing w:val="6"/>
        </w:rPr>
        <w:t>生长要求。</w:t>
      </w:r>
    </w:p>
    <w:p>
      <w:pPr>
        <w:pStyle w:val="BodyText"/>
        <w:ind w:left="600"/>
        <w:spacing w:before="93"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right="449" w:firstLine="730"/>
        <w:spacing w:before="163" w:line="260"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3"/>
        </w:rPr>
        <w:t>病、细菌性穿孔病等；</w:t>
      </w:r>
    </w:p>
    <w:p>
      <w:pPr>
        <w:pStyle w:val="BodyText"/>
        <w:ind w:right="311" w:firstLine="730"/>
        <w:spacing w:before="154" w:line="292" w:lineRule="auto"/>
        <w:rPr>
          <w:sz w:val="29"/>
          <w:szCs w:val="29"/>
        </w:rPr>
      </w:pPr>
      <w:r>
        <w:rPr>
          <w:sz w:val="29"/>
          <w:szCs w:val="29"/>
          <w:spacing w:val="-9"/>
        </w:rPr>
        <w:t>(2)虫害：桃一点斑叶蝉、大青叶蝉、桃蚜、桃粉蚜</w:t>
      </w:r>
      <w:r>
        <w:rPr>
          <w:sz w:val="29"/>
          <w:szCs w:val="29"/>
          <w:spacing w:val="-10"/>
        </w:rPr>
        <w:t>、桃瘤蚜、梨网冠蝽、方</w:t>
      </w:r>
      <w:r>
        <w:rPr>
          <w:sz w:val="29"/>
          <w:szCs w:val="29"/>
        </w:rPr>
        <w:t xml:space="preserve"> </w:t>
      </w:r>
      <w:r>
        <w:rPr>
          <w:sz w:val="29"/>
          <w:szCs w:val="29"/>
          <w:spacing w:val="-24"/>
        </w:rPr>
        <w:t>翅网蝽、柑桔全爪螨、桔绿粉虱、黑刺粉虱、星天牛、云斑天牛、苹果枝天牛、桃红颈</w:t>
      </w:r>
      <w:r>
        <w:rPr>
          <w:sz w:val="29"/>
          <w:szCs w:val="29"/>
          <w:spacing w:val="13"/>
        </w:rPr>
        <w:t xml:space="preserve"> </w:t>
      </w:r>
      <w:r>
        <w:rPr>
          <w:sz w:val="29"/>
          <w:szCs w:val="29"/>
          <w:spacing w:val="-24"/>
        </w:rPr>
        <w:t>天牛、咖啡木蠹蛾、芳香木蠹蛾、葡萄透翅蛾、白杨透翅蛾、柏肤小蠹、白蚁、铜绿丽</w:t>
      </w:r>
      <w:r>
        <w:rPr>
          <w:sz w:val="29"/>
          <w:szCs w:val="29"/>
          <w:spacing w:val="11"/>
        </w:rPr>
        <w:t xml:space="preserve"> </w:t>
      </w:r>
      <w:r>
        <w:rPr>
          <w:sz w:val="29"/>
          <w:szCs w:val="29"/>
          <w:spacing w:val="-22"/>
        </w:rPr>
        <w:t>金龟、大地老虎、蝼蛄、桃剑纹夜蛾、丝棉木金星尺蛾、国槐尺蛾、绿尾大蚕蛾、柑桔</w:t>
      </w:r>
      <w:r>
        <w:rPr>
          <w:sz w:val="29"/>
          <w:szCs w:val="29"/>
          <w:spacing w:val="18"/>
        </w:rPr>
        <w:t xml:space="preserve"> </w:t>
      </w:r>
      <w:r>
        <w:rPr>
          <w:sz w:val="29"/>
          <w:szCs w:val="29"/>
          <w:spacing w:val="-18"/>
        </w:rPr>
        <w:t>凤蝶、玉带凤蝶、蔷薇三节叶蜂、柳蓝叶甲、葡萄十星叶甲、枸桔潜跳甲等。</w:t>
      </w:r>
    </w:p>
    <w:p>
      <w:pPr>
        <w:spacing w:line="292" w:lineRule="auto"/>
        <w:sectPr>
          <w:footerReference w:type="default" r:id="rId619"/>
          <w:pgSz w:w="14490" w:h="20470"/>
          <w:pgMar w:top="400" w:right="1824" w:bottom="1430" w:left="2150" w:header="0" w:footer="1232" w:gutter="0"/>
        </w:sectPr>
        <w:rPr>
          <w:sz w:val="29"/>
          <w:szCs w:val="29"/>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570"/>
        <w:spacing w:before="94"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12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3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pStyle w:val="BodyText"/>
        <w:ind w:left="570"/>
        <w:spacing w:before="142"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spacing w:before="98"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04"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90" w:firstLine="570"/>
        <w:spacing w:before="15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67"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570"/>
        <w:spacing w:before="129" w:line="219" w:lineRule="auto"/>
        <w:rPr>
          <w:sz w:val="29"/>
          <w:szCs w:val="29"/>
        </w:rPr>
      </w:pPr>
      <w:r>
        <w:rPr>
          <w:sz w:val="29"/>
          <w:szCs w:val="29"/>
          <w:spacing w:val="5"/>
        </w:rPr>
        <w:t>进人高温天气，注意防风抗涝。</w:t>
      </w:r>
    </w:p>
    <w:p>
      <w:pPr>
        <w:pStyle w:val="BodyText"/>
        <w:ind w:left="570"/>
        <w:spacing w:before="25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63" w:line="219" w:lineRule="auto"/>
        <w:rPr>
          <w:sz w:val="29"/>
          <w:szCs w:val="29"/>
        </w:rPr>
      </w:pPr>
      <w:r>
        <w:rPr>
          <w:sz w:val="29"/>
          <w:szCs w:val="29"/>
          <w:spacing w:val="6"/>
        </w:rPr>
        <w:t>(1)及时检查乔木支撑情况，发现松动或缺失立即加固；</w:t>
      </w:r>
    </w:p>
    <w:p>
      <w:pPr>
        <w:pStyle w:val="BodyText"/>
        <w:ind w:left="730"/>
        <w:spacing w:before="126" w:line="219" w:lineRule="auto"/>
        <w:rPr>
          <w:sz w:val="29"/>
          <w:szCs w:val="29"/>
        </w:rPr>
      </w:pPr>
      <w:r>
        <w:rPr>
          <w:sz w:val="29"/>
          <w:szCs w:val="29"/>
          <w:spacing w:val="8"/>
        </w:rPr>
        <w:t>(2)检查水盘完成程度，有破坏的及时修补。</w:t>
      </w:r>
    </w:p>
    <w:p>
      <w:pPr>
        <w:pStyle w:val="BodyText"/>
        <w:ind w:left="570"/>
        <w:spacing w:before="124"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41" w:firstLine="730"/>
        <w:spacing w:before="126" w:line="316" w:lineRule="auto"/>
        <w:jc w:val="both"/>
        <w:rPr>
          <w:sz w:val="29"/>
          <w:szCs w:val="29"/>
        </w:rPr>
      </w:pPr>
      <w:r>
        <w:rPr>
          <w:sz w:val="29"/>
          <w:szCs w:val="29"/>
          <w:spacing w:val="11"/>
        </w:rPr>
        <w:t>(1)</w:t>
      </w:r>
      <w:r>
        <w:rPr>
          <w:sz w:val="29"/>
          <w:szCs w:val="29"/>
          <w:spacing w:val="72"/>
        </w:rPr>
        <w:t xml:space="preserve"> </w:t>
      </w:r>
      <w:r>
        <w:rPr>
          <w:sz w:val="29"/>
          <w:szCs w:val="29"/>
          <w:spacing w:val="11"/>
        </w:rPr>
        <w:t>可将树冠大、叶密、根浅的苗木(洋槐、法桐等)适当进行疏</w:t>
      </w:r>
      <w:r>
        <w:rPr>
          <w:sz w:val="29"/>
          <w:szCs w:val="29"/>
          <w:spacing w:val="10"/>
        </w:rPr>
        <w:t>剪，剪</w:t>
      </w:r>
      <w:r>
        <w:rPr>
          <w:sz w:val="29"/>
          <w:szCs w:val="29"/>
        </w:rPr>
        <w:t xml:space="preserve"> </w:t>
      </w:r>
      <w:r>
        <w:rPr>
          <w:sz w:val="29"/>
          <w:szCs w:val="29"/>
        </w:rPr>
        <w:t>除与高压电线及路灯、建筑物有矛盾的枝杈，去除萌蘖枝和因刮风下雨而折断等</w:t>
      </w:r>
      <w:r>
        <w:rPr>
          <w:sz w:val="29"/>
          <w:szCs w:val="29"/>
          <w:spacing w:val="2"/>
        </w:rPr>
        <w:t xml:space="preserve"> </w:t>
      </w:r>
      <w:r>
        <w:rPr>
          <w:sz w:val="29"/>
          <w:szCs w:val="29"/>
          <w:spacing w:val="-6"/>
        </w:rPr>
        <w:t>而枯黄的枝叶；</w:t>
      </w:r>
    </w:p>
    <w:p>
      <w:pPr>
        <w:pStyle w:val="BodyText"/>
        <w:ind w:right="434" w:firstLine="730"/>
        <w:spacing w:before="3" w:line="310" w:lineRule="auto"/>
        <w:rPr>
          <w:sz w:val="29"/>
          <w:szCs w:val="29"/>
        </w:rPr>
      </w:pPr>
      <w:r>
        <w:rPr>
          <w:sz w:val="29"/>
          <w:szCs w:val="29"/>
          <w:spacing w:val="1"/>
        </w:rPr>
        <w:t>(2  修整绿篱及色块要剪除个别长枝条，对路沿、花坛的草坪地被做切边</w:t>
      </w:r>
      <w:r>
        <w:rPr>
          <w:sz w:val="29"/>
          <w:szCs w:val="29"/>
          <w:spacing w:val="15"/>
        </w:rPr>
        <w:t xml:space="preserve"> </w:t>
      </w:r>
      <w:r>
        <w:rPr>
          <w:sz w:val="29"/>
          <w:szCs w:val="29"/>
          <w:spacing w:val="-10"/>
        </w:rPr>
        <w:t>修剪；</w:t>
      </w:r>
    </w:p>
    <w:p>
      <w:pPr>
        <w:pStyle w:val="BodyText"/>
        <w:ind w:right="643" w:firstLine="730"/>
        <w:spacing w:line="316" w:lineRule="auto"/>
        <w:rPr>
          <w:sz w:val="29"/>
          <w:szCs w:val="29"/>
        </w:rPr>
      </w:pPr>
      <w:r>
        <w:rPr>
          <w:sz w:val="29"/>
          <w:szCs w:val="29"/>
          <w:spacing w:val="-6"/>
        </w:rPr>
        <w:t>③)</w:t>
      </w:r>
      <w:r>
        <w:rPr>
          <w:sz w:val="29"/>
          <w:szCs w:val="29"/>
          <w:spacing w:val="128"/>
        </w:rPr>
        <w:t xml:space="preserve"> </w:t>
      </w:r>
      <w:r>
        <w:rPr>
          <w:sz w:val="29"/>
          <w:szCs w:val="29"/>
          <w:spacing w:val="-6"/>
        </w:rPr>
        <w:t>对混播草继续进行控制性修建，促进百慕大生长，一般控制在3</w:t>
      </w:r>
      <w:r>
        <w:rPr>
          <w:sz w:val="29"/>
          <w:szCs w:val="29"/>
          <w:spacing w:val="-7"/>
        </w:rPr>
        <w:t>-5</w:t>
      </w:r>
      <w:r>
        <w:rPr>
          <w:rFonts w:ascii="Times New Roman" w:hAnsi="Times New Roman" w:eastAsia="Times New Roman" w:cs="Times New Roman"/>
          <w:sz w:val="29"/>
          <w:szCs w:val="29"/>
          <w:spacing w:val="-7"/>
        </w:rPr>
        <w:t>cm</w:t>
      </w:r>
      <w:r>
        <w:rPr>
          <w:rFonts w:ascii="Times New Roman" w:hAnsi="Times New Roman" w:eastAsia="Times New Roman" w:cs="Times New Roman"/>
          <w:sz w:val="29"/>
          <w:szCs w:val="29"/>
        </w:rPr>
        <w:t xml:space="preserve"> </w:t>
      </w:r>
      <w:r>
        <w:rPr>
          <w:sz w:val="29"/>
          <w:szCs w:val="29"/>
          <w:spacing w:val="-3"/>
        </w:rPr>
        <w:t>为宜，于上次修建呈十字形修剪，一般10-15天开展</w:t>
      </w:r>
      <w:r>
        <w:rPr>
          <w:sz w:val="29"/>
          <w:szCs w:val="29"/>
          <w:spacing w:val="-4"/>
        </w:rPr>
        <w:t>一次；</w:t>
      </w:r>
    </w:p>
    <w:p>
      <w:pPr>
        <w:pStyle w:val="BodyText"/>
        <w:ind w:left="730"/>
        <w:spacing w:line="219" w:lineRule="auto"/>
        <w:rPr>
          <w:sz w:val="29"/>
          <w:szCs w:val="29"/>
        </w:rPr>
      </w:pPr>
      <w:r>
        <w:rPr>
          <w:rFonts w:ascii="Times New Roman" w:hAnsi="Times New Roman" w:eastAsia="Times New Roman" w:cs="Times New Roman"/>
          <w:sz w:val="29"/>
          <w:szCs w:val="29"/>
          <w:spacing w:val="1"/>
        </w:rPr>
        <w:t>4      </w:t>
      </w:r>
      <w:r>
        <w:rPr>
          <w:sz w:val="29"/>
          <w:szCs w:val="29"/>
          <w:spacing w:val="1"/>
        </w:rPr>
        <w:t>及时清除草坪及各种树木下的杂草，</w:t>
      </w:r>
      <w:r>
        <w:rPr>
          <w:sz w:val="29"/>
          <w:szCs w:val="29"/>
        </w:rPr>
        <w:t>爬藤等应及时予以连根清除；</w:t>
      </w:r>
    </w:p>
    <w:p>
      <w:pPr>
        <w:pStyle w:val="BodyText"/>
        <w:ind w:left="730"/>
        <w:spacing w:before="157" w:line="219" w:lineRule="auto"/>
        <w:rPr>
          <w:sz w:val="29"/>
          <w:szCs w:val="29"/>
        </w:rPr>
      </w:pPr>
      <w:r>
        <w:rPr>
          <w:sz w:val="29"/>
          <w:szCs w:val="29"/>
          <w:spacing w:val="-4"/>
        </w:rPr>
        <w:t>(5)</w:t>
      </w:r>
      <w:r>
        <w:rPr>
          <w:sz w:val="29"/>
          <w:szCs w:val="29"/>
          <w:spacing w:val="123"/>
        </w:rPr>
        <w:t xml:space="preserve"> </w:t>
      </w:r>
      <w:r>
        <w:rPr>
          <w:sz w:val="29"/>
          <w:szCs w:val="29"/>
          <w:spacing w:val="-4"/>
        </w:rPr>
        <w:t>苗木修剪后及时喷药进行病害的防治。</w:t>
      </w:r>
    </w:p>
    <w:p>
      <w:pPr>
        <w:ind w:left="570"/>
        <w:spacing w:before="113" w:line="222" w:lineRule="auto"/>
        <w:rPr>
          <w:rFonts w:ascii="SimHei" w:hAnsi="SimHei" w:eastAsia="SimHei" w:cs="SimHei"/>
          <w:sz w:val="29"/>
          <w:szCs w:val="29"/>
        </w:rPr>
      </w:pPr>
      <w:r>
        <w:rPr>
          <w:rFonts w:ascii="SimHei" w:hAnsi="SimHei" w:eastAsia="SimHei" w:cs="SimHei"/>
          <w:sz w:val="29"/>
          <w:szCs w:val="29"/>
          <w:spacing w:val="4"/>
        </w:rPr>
        <w:t>3、水肥管理</w:t>
      </w:r>
    </w:p>
    <w:p>
      <w:pPr>
        <w:pStyle w:val="BodyText"/>
        <w:ind w:right="432" w:firstLine="730"/>
        <w:spacing w:before="129" w:line="309" w:lineRule="auto"/>
        <w:rPr>
          <w:sz w:val="29"/>
          <w:szCs w:val="29"/>
        </w:rPr>
      </w:pPr>
      <w:r>
        <w:rPr>
          <w:sz w:val="29"/>
          <w:szCs w:val="29"/>
          <w:spacing w:val="-3"/>
        </w:rPr>
        <w:t>①)  伏天气温高，雨水少时，植物需水量大，要及时浇水，灌溉时间一般</w:t>
      </w:r>
      <w:r>
        <w:rPr>
          <w:sz w:val="29"/>
          <w:szCs w:val="29"/>
          <w:spacing w:val="8"/>
        </w:rPr>
        <w:t xml:space="preserve"> </w:t>
      </w:r>
      <w:r>
        <w:rPr>
          <w:sz w:val="29"/>
          <w:szCs w:val="29"/>
          <w:spacing w:val="3"/>
        </w:rPr>
        <w:t>选择上午10:00以前，下午16:00</w:t>
      </w:r>
      <w:r>
        <w:rPr>
          <w:sz w:val="29"/>
          <w:szCs w:val="29"/>
          <w:spacing w:val="2"/>
        </w:rPr>
        <w:t>以后；</w:t>
      </w:r>
    </w:p>
    <w:p>
      <w:pPr>
        <w:pStyle w:val="BodyText"/>
        <w:ind w:right="420" w:firstLine="730"/>
        <w:spacing w:before="2" w:line="331" w:lineRule="auto"/>
        <w:rPr>
          <w:sz w:val="29"/>
          <w:szCs w:val="29"/>
        </w:rPr>
      </w:pPr>
      <w:r>
        <w:rPr>
          <w:sz w:val="29"/>
          <w:szCs w:val="29"/>
          <w:spacing w:val="2"/>
        </w:rPr>
        <w:t>②  雨季期间，应根据雨量减少浇水量和次数，对于低洼易积水的</w:t>
      </w:r>
      <w:r>
        <w:rPr>
          <w:sz w:val="29"/>
          <w:szCs w:val="29"/>
          <w:spacing w:val="1"/>
        </w:rPr>
        <w:t>绿化区</w:t>
      </w:r>
      <w:r>
        <w:rPr>
          <w:sz w:val="29"/>
          <w:szCs w:val="29"/>
        </w:rPr>
        <w:t xml:space="preserve"> </w:t>
      </w:r>
      <w:r>
        <w:rPr>
          <w:sz w:val="29"/>
          <w:szCs w:val="29"/>
          <w:spacing w:val="-1"/>
        </w:rPr>
        <w:t>域，应预先做好排水准备。</w:t>
      </w:r>
    </w:p>
    <w:p>
      <w:pPr>
        <w:pStyle w:val="BodyText"/>
        <w:ind w:left="570"/>
        <w:spacing w:before="1" w:line="220"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39" w:firstLine="730"/>
        <w:spacing w:before="104" w:line="321" w:lineRule="auto"/>
        <w:rPr>
          <w:sz w:val="29"/>
          <w:szCs w:val="29"/>
        </w:rPr>
      </w:pPr>
      <w:r>
        <w:rPr>
          <w:sz w:val="29"/>
          <w:szCs w:val="29"/>
          <w:spacing w:val="6"/>
        </w:rPr>
        <w:t>(1)病害：白粉病、炭疽病、锈病、煤污病、叶枯</w:t>
      </w:r>
      <w:r>
        <w:rPr>
          <w:sz w:val="29"/>
          <w:szCs w:val="29"/>
          <w:spacing w:val="5"/>
        </w:rPr>
        <w:t>病、干腐病、枝枯病、</w:t>
      </w:r>
      <w:r>
        <w:rPr>
          <w:sz w:val="29"/>
          <w:szCs w:val="29"/>
        </w:rPr>
        <w:t xml:space="preserve"> </w:t>
      </w:r>
      <w:r>
        <w:rPr>
          <w:sz w:val="29"/>
          <w:szCs w:val="29"/>
          <w:spacing w:val="1"/>
        </w:rPr>
        <w:t>流胶病、枯萎病、草坪腐霉枯萎病、细菌性穿孔病等；</w:t>
      </w:r>
    </w:p>
    <w:p>
      <w:pPr>
        <w:spacing w:line="321" w:lineRule="auto"/>
        <w:sectPr>
          <w:footerReference w:type="default" r:id="rId620"/>
          <w:pgSz w:w="14490" w:h="20470"/>
          <w:pgMar w:top="400" w:right="1844" w:bottom="1447" w:left="2150" w:header="0" w:footer="1230" w:gutter="0"/>
        </w:sectPr>
        <w:rPr>
          <w:sz w:val="29"/>
          <w:szCs w:val="29"/>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180" w:firstLine="730"/>
        <w:spacing w:before="94" w:line="311" w:lineRule="auto"/>
        <w:rPr>
          <w:sz w:val="29"/>
          <w:szCs w:val="29"/>
        </w:rPr>
      </w:pPr>
      <w:r>
        <w:rPr>
          <w:sz w:val="29"/>
          <w:szCs w:val="29"/>
          <w:spacing w:val="7"/>
        </w:rPr>
        <w:t>(2)虫害：桃一点斑叶蝉、大青叶蝉、桃粉蚜、梨网冠蝽、方翅网蝽、梧</w:t>
      </w:r>
      <w:r>
        <w:rPr>
          <w:sz w:val="29"/>
          <w:szCs w:val="29"/>
          <w:spacing w:val="4"/>
        </w:rPr>
        <w:t xml:space="preserve"> </w:t>
      </w:r>
      <w:r>
        <w:rPr>
          <w:sz w:val="29"/>
          <w:szCs w:val="29"/>
          <w:spacing w:val="-11"/>
        </w:rPr>
        <w:t>桐木虱、黑刺粉虱、花蓟马、桑天牛、星天牛、云斑天牛、苹果枝天牛、桃红颈天</w:t>
      </w:r>
      <w:r>
        <w:rPr>
          <w:sz w:val="29"/>
          <w:szCs w:val="29"/>
          <w:spacing w:val="9"/>
        </w:rPr>
        <w:t xml:space="preserve">  </w:t>
      </w:r>
      <w:r>
        <w:rPr>
          <w:sz w:val="29"/>
          <w:szCs w:val="29"/>
          <w:spacing w:val="-9"/>
        </w:rPr>
        <w:t>牛、咖啡木蠹蛾、芳香木蠹蛾、葡萄透翅蛾</w:t>
      </w:r>
      <w:r>
        <w:rPr>
          <w:sz w:val="29"/>
          <w:szCs w:val="29"/>
          <w:spacing w:val="-10"/>
        </w:rPr>
        <w:t>、白杨透翅蛾、柏肤小蠹、白蚁、大地</w:t>
      </w:r>
      <w:r>
        <w:rPr>
          <w:sz w:val="29"/>
          <w:szCs w:val="29"/>
        </w:rPr>
        <w:t xml:space="preserve"> </w:t>
      </w:r>
      <w:r>
        <w:rPr>
          <w:sz w:val="29"/>
          <w:szCs w:val="29"/>
          <w:spacing w:val="-21"/>
        </w:rPr>
        <w:t>老虎、蝼蛄、黄刺蛾、扁刺蛾、丽绿刺蛾、褐边绿刺蛾、桑褐刺蛾</w:t>
      </w:r>
      <w:r>
        <w:rPr>
          <w:sz w:val="29"/>
          <w:szCs w:val="29"/>
          <w:spacing w:val="-22"/>
        </w:rPr>
        <w:t>、茶袋蛾、大袋蛾、</w:t>
      </w:r>
      <w:r>
        <w:rPr>
          <w:sz w:val="29"/>
          <w:szCs w:val="29"/>
        </w:rPr>
        <w:t xml:space="preserve"> </w:t>
      </w:r>
      <w:r>
        <w:rPr>
          <w:sz w:val="29"/>
          <w:szCs w:val="29"/>
          <w:spacing w:val="-14"/>
        </w:rPr>
        <w:t>黄尾毒蛾、桃剑纹夜蛾、丝棉木金星尺蛾、国槐尺蛾、绿尾大蚕蛾、柑桔凤蝶、玉带</w:t>
      </w:r>
      <w:r>
        <w:rPr>
          <w:sz w:val="29"/>
          <w:szCs w:val="29"/>
          <w:spacing w:val="1"/>
        </w:rPr>
        <w:t xml:space="preserve"> </w:t>
      </w:r>
      <w:r>
        <w:rPr>
          <w:sz w:val="29"/>
          <w:szCs w:val="29"/>
          <w:spacing w:val="-15"/>
        </w:rPr>
        <w:t>凤蝶、蔷薇三节叶蜂、柳蓝叶甲、葡萄十星叶甲等。</w:t>
      </w:r>
    </w:p>
    <w:p>
      <w:pPr>
        <w:pStyle w:val="BodyText"/>
        <w:ind w:left="600"/>
        <w:spacing w:before="18" w:line="396"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29" w:firstLine="730"/>
        <w:spacing w:before="10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23" w:firstLine="730"/>
        <w:spacing w:before="12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730"/>
        <w:spacing w:before="134" w:line="219" w:lineRule="auto"/>
        <w:rPr>
          <w:sz w:val="29"/>
          <w:szCs w:val="29"/>
        </w:rPr>
      </w:pPr>
      <w:r>
        <w:rPr>
          <w:sz w:val="29"/>
          <w:szCs w:val="29"/>
          <w:spacing w:val="12"/>
        </w:rPr>
        <w:t>(3)进行机械工具的检查维修。</w:t>
      </w:r>
    </w:p>
    <w:p>
      <w:pPr>
        <w:ind w:left="600"/>
        <w:spacing w:before="115"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31" w:firstLine="730"/>
        <w:spacing w:before="14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328" w:firstLine="730"/>
        <w:spacing w:before="132" w:line="277"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5"/>
        </w:rPr>
        <w:t>其它物资；</w:t>
      </w:r>
    </w:p>
    <w:p>
      <w:pPr>
        <w:pStyle w:val="BodyText"/>
        <w:ind w:left="730"/>
        <w:spacing w:before="119" w:line="219" w:lineRule="auto"/>
        <w:rPr>
          <w:sz w:val="29"/>
          <w:szCs w:val="29"/>
        </w:rPr>
      </w:pPr>
      <w:r>
        <w:rPr>
          <w:sz w:val="29"/>
          <w:szCs w:val="29"/>
          <w:spacing w:val="12"/>
        </w:rPr>
        <w:t>(3)进行机械工具的检查维修。</w:t>
      </w:r>
    </w:p>
    <w:p>
      <w:pPr>
        <w:pStyle w:val="BodyText"/>
        <w:ind w:left="600"/>
        <w:spacing w:before="11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4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92"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600"/>
        <w:spacing w:before="87" w:line="219" w:lineRule="auto"/>
        <w:rPr>
          <w:sz w:val="29"/>
          <w:szCs w:val="29"/>
        </w:rPr>
      </w:pPr>
      <w:r>
        <w:rPr>
          <w:sz w:val="29"/>
          <w:szCs w:val="29"/>
          <w:spacing w:val="5"/>
        </w:rPr>
        <w:t>本月气温最高，典型的高温高湿。</w:t>
      </w:r>
    </w:p>
    <w:p>
      <w:pPr>
        <w:pStyle w:val="BodyText"/>
        <w:ind w:left="600"/>
        <w:spacing w:before="29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20" w:line="217" w:lineRule="auto"/>
        <w:rPr>
          <w:sz w:val="29"/>
          <w:szCs w:val="29"/>
        </w:rPr>
      </w:pPr>
      <w:r>
        <w:rPr>
          <w:sz w:val="29"/>
          <w:szCs w:val="29"/>
          <w:spacing w:val="-6"/>
        </w:rPr>
        <w:t>①</w:t>
      </w:r>
      <w:r>
        <w:rPr>
          <w:sz w:val="29"/>
          <w:szCs w:val="29"/>
          <w:spacing w:val="37"/>
        </w:rPr>
        <w:t xml:space="preserve">  </w:t>
      </w:r>
      <w:r>
        <w:rPr>
          <w:sz w:val="29"/>
          <w:szCs w:val="29"/>
          <w:spacing w:val="-6"/>
        </w:rPr>
        <w:t>检查土壤情况，土壤板结时要及时进行松土，松土深度5-10</w:t>
      </w:r>
      <w:r>
        <w:rPr>
          <w:rFonts w:ascii="Times New Roman" w:hAnsi="Times New Roman" w:eastAsia="Times New Roman" w:cs="Times New Roman"/>
          <w:sz w:val="29"/>
          <w:szCs w:val="29"/>
          <w:spacing w:val="-6"/>
        </w:rPr>
        <w:t>cm</w:t>
      </w:r>
      <w:r>
        <w:rPr>
          <w:sz w:val="29"/>
          <w:szCs w:val="29"/>
          <w:spacing w:val="-6"/>
        </w:rPr>
        <w:t>为宜；</w:t>
      </w:r>
    </w:p>
    <w:p>
      <w:pPr>
        <w:pStyle w:val="BodyText"/>
        <w:ind w:left="730"/>
        <w:spacing w:before="159" w:line="217" w:lineRule="auto"/>
        <w:rPr>
          <w:sz w:val="29"/>
          <w:szCs w:val="29"/>
        </w:rPr>
      </w:pPr>
      <w:r>
        <w:rPr>
          <w:sz w:val="29"/>
          <w:szCs w:val="29"/>
          <w:spacing w:val="-2"/>
        </w:rPr>
        <w:t>②</w:t>
      </w:r>
      <w:r>
        <w:rPr>
          <w:sz w:val="29"/>
          <w:szCs w:val="29"/>
          <w:spacing w:val="35"/>
        </w:rPr>
        <w:t xml:space="preserve">  </w:t>
      </w:r>
      <w:r>
        <w:rPr>
          <w:sz w:val="29"/>
          <w:szCs w:val="29"/>
          <w:spacing w:val="-2"/>
        </w:rPr>
        <w:t>及时检查乔木支撑情况，发现松动或缺失立即加固；</w:t>
      </w:r>
    </w:p>
    <w:p>
      <w:pPr>
        <w:pStyle w:val="BodyText"/>
        <w:ind w:left="730"/>
        <w:spacing w:before="139" w:line="217" w:lineRule="auto"/>
        <w:rPr>
          <w:sz w:val="29"/>
          <w:szCs w:val="29"/>
        </w:rPr>
      </w:pPr>
      <w:r>
        <w:rPr>
          <w:sz w:val="29"/>
          <w:szCs w:val="29"/>
          <w:spacing w:val="-3"/>
        </w:rPr>
        <w:t>③</w:t>
      </w:r>
      <w:r>
        <w:rPr>
          <w:sz w:val="29"/>
          <w:szCs w:val="29"/>
          <w:spacing w:val="37"/>
        </w:rPr>
        <w:t xml:space="preserve">  </w:t>
      </w:r>
      <w:r>
        <w:rPr>
          <w:sz w:val="29"/>
          <w:szCs w:val="29"/>
          <w:spacing w:val="-3"/>
        </w:rPr>
        <w:t>绿地中缺株、断行应进行及时补栽。</w:t>
      </w:r>
    </w:p>
    <w:p>
      <w:pPr>
        <w:pStyle w:val="BodyText"/>
        <w:ind w:left="600"/>
        <w:spacing w:before="129"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right="329" w:firstLine="730"/>
        <w:spacing w:before="145" w:line="269" w:lineRule="auto"/>
        <w:rPr>
          <w:sz w:val="29"/>
          <w:szCs w:val="29"/>
        </w:rPr>
      </w:pPr>
      <w:r>
        <w:rPr>
          <w:sz w:val="29"/>
          <w:szCs w:val="29"/>
          <w:spacing w:val="6"/>
        </w:rPr>
        <w:t>(1)雨季来临，对树冠大、叶密、根浅的苗木适当进行疏剪，去除萌蘖枝</w:t>
      </w:r>
      <w:r>
        <w:rPr>
          <w:sz w:val="29"/>
          <w:szCs w:val="29"/>
          <w:spacing w:val="1"/>
        </w:rPr>
        <w:t xml:space="preserve"> </w:t>
      </w:r>
      <w:r>
        <w:rPr>
          <w:sz w:val="29"/>
          <w:szCs w:val="29"/>
          <w:spacing w:val="-1"/>
        </w:rPr>
        <w:t>和因刮风下雨而折断等而枯黄的枝叶；</w:t>
      </w:r>
    </w:p>
    <w:p>
      <w:pPr>
        <w:pStyle w:val="BodyText"/>
        <w:ind w:left="730"/>
        <w:spacing w:before="126" w:line="219" w:lineRule="auto"/>
        <w:rPr>
          <w:sz w:val="29"/>
          <w:szCs w:val="29"/>
        </w:rPr>
      </w:pPr>
      <w:r>
        <w:rPr>
          <w:sz w:val="29"/>
          <w:szCs w:val="29"/>
          <w:spacing w:val="6"/>
        </w:rPr>
        <w:t>(2)花期结束的花灌木应及时摘除残花、剪除枯黄枝叶；</w:t>
      </w:r>
    </w:p>
    <w:p>
      <w:pPr>
        <w:pStyle w:val="BodyText"/>
        <w:ind w:right="333" w:firstLine="730"/>
        <w:spacing w:before="154" w:line="266" w:lineRule="auto"/>
        <w:rPr>
          <w:sz w:val="29"/>
          <w:szCs w:val="29"/>
        </w:rPr>
      </w:pPr>
      <w:r>
        <w:rPr>
          <w:sz w:val="29"/>
          <w:szCs w:val="29"/>
          <w:spacing w:val="6"/>
        </w:rPr>
        <w:t>(3)绿篱及色块要剪除个别长枝条进行局部修整，对路沿、花坛的</w:t>
      </w:r>
      <w:r>
        <w:rPr>
          <w:sz w:val="29"/>
          <w:szCs w:val="29"/>
          <w:spacing w:val="5"/>
        </w:rPr>
        <w:t>草坪地</w:t>
      </w:r>
      <w:r>
        <w:rPr>
          <w:sz w:val="29"/>
          <w:szCs w:val="29"/>
        </w:rPr>
        <w:t xml:space="preserve"> </w:t>
      </w:r>
      <w:r>
        <w:rPr>
          <w:sz w:val="29"/>
          <w:szCs w:val="29"/>
          <w:spacing w:val="-5"/>
        </w:rPr>
        <w:t>被做切边修剪；</w:t>
      </w:r>
    </w:p>
    <w:p>
      <w:pPr>
        <w:spacing w:line="266" w:lineRule="auto"/>
        <w:sectPr>
          <w:footerReference w:type="default" r:id="rId621"/>
          <w:pgSz w:w="14490" w:h="20470"/>
          <w:pgMar w:top="400" w:right="1945" w:bottom="1433" w:left="2150" w:header="0" w:footer="123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6"/>
        </w:rPr>
        <w:t>(4)及时去除杂草，人工湖内水草及时找捞，可使用硫酸铜杀除藻类。</w:t>
      </w:r>
    </w:p>
    <w:p>
      <w:pPr>
        <w:ind w:left="60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133" w:line="219" w:lineRule="auto"/>
        <w:rPr>
          <w:sz w:val="29"/>
          <w:szCs w:val="29"/>
        </w:rPr>
      </w:pPr>
      <w:r>
        <w:rPr>
          <w:sz w:val="29"/>
          <w:szCs w:val="29"/>
          <w:spacing w:val="6"/>
        </w:rPr>
        <w:t>(1)大雨过后，对于低洼易积水的绿化区域，应及时好排水防涝；</w:t>
      </w:r>
    </w:p>
    <w:p>
      <w:pPr>
        <w:pStyle w:val="BodyText"/>
        <w:ind w:left="730"/>
        <w:spacing w:before="164" w:line="219" w:lineRule="auto"/>
        <w:rPr>
          <w:sz w:val="29"/>
          <w:szCs w:val="29"/>
        </w:rPr>
      </w:pPr>
      <w:r>
        <w:rPr>
          <w:sz w:val="29"/>
          <w:szCs w:val="29"/>
          <w:spacing w:val="6"/>
        </w:rPr>
        <w:t>(2)适时浇水，及时松土保墒，注意水量控制防止土壤板结及流泥浆。</w:t>
      </w:r>
    </w:p>
    <w:p>
      <w:pPr>
        <w:pStyle w:val="BodyText"/>
        <w:ind w:left="600"/>
        <w:spacing w:before="95" w:line="221" w:lineRule="auto"/>
        <w:rPr>
          <w:rFonts w:ascii="SimHei" w:hAnsi="SimHei" w:eastAsia="SimHei" w:cs="SimHei"/>
          <w:sz w:val="29"/>
          <w:szCs w:val="29"/>
        </w:rPr>
      </w:pPr>
      <w:r>
        <w:rPr>
          <w:rFonts w:ascii="Arial" w:hAnsi="Arial" w:eastAsia="Arial" w:cs="Arial"/>
          <w:sz w:val="29"/>
          <w:szCs w:val="29"/>
          <w:spacing w:val="1"/>
        </w:rPr>
        <w:t>4</w:t>
      </w:r>
      <w:r>
        <w:rPr>
          <w:sz w:val="29"/>
          <w:szCs w:val="29"/>
          <w:spacing w:val="1"/>
        </w:rPr>
        <w:t>、</w:t>
      </w:r>
      <w:r>
        <w:rPr>
          <w:rFonts w:ascii="SimHei" w:hAnsi="SimHei" w:eastAsia="SimHei" w:cs="SimHei"/>
          <w:sz w:val="29"/>
          <w:szCs w:val="29"/>
          <w:spacing w:val="1"/>
        </w:rPr>
        <w:t>病虫害防治</w:t>
      </w:r>
    </w:p>
    <w:p>
      <w:pPr>
        <w:pStyle w:val="BodyText"/>
        <w:ind w:right="251" w:firstLine="730"/>
        <w:spacing w:before="145" w:line="272"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4"/>
        </w:rPr>
        <w:t>坪腐霉枯萎病、细菌性穿孔病、花叶病等；</w:t>
      </w:r>
    </w:p>
    <w:p>
      <w:pPr>
        <w:pStyle w:val="BodyText"/>
        <w:ind w:left="730"/>
        <w:spacing w:before="133" w:line="219" w:lineRule="auto"/>
        <w:rPr>
          <w:sz w:val="29"/>
          <w:szCs w:val="29"/>
        </w:rPr>
      </w:pPr>
      <w:r>
        <w:rPr>
          <w:sz w:val="29"/>
          <w:szCs w:val="29"/>
          <w:spacing w:val="6"/>
        </w:rPr>
        <w:t>(2)虫害：桃一点斑叶蝉、大青叶蝉、梨网冠蝽、方翅网蝽、梧桐木虱、</w:t>
      </w:r>
    </w:p>
    <w:p>
      <w:pPr>
        <w:pStyle w:val="BodyText"/>
        <w:ind w:right="203"/>
        <w:spacing w:before="146" w:line="292" w:lineRule="auto"/>
        <w:rPr>
          <w:sz w:val="29"/>
          <w:szCs w:val="29"/>
        </w:rPr>
      </w:pPr>
      <w:r>
        <w:rPr>
          <w:sz w:val="29"/>
          <w:szCs w:val="29"/>
          <w:spacing w:val="7"/>
        </w:rPr>
        <w:t>朱砂叶螨(棉花红蜘蛛、红叶螨)、黑刺粉虱、花蓟马、桑天牛、星天牛</w:t>
      </w:r>
      <w:r>
        <w:rPr>
          <w:sz w:val="29"/>
          <w:szCs w:val="29"/>
          <w:spacing w:val="6"/>
        </w:rPr>
        <w:t>、桃红</w:t>
      </w:r>
      <w:r>
        <w:rPr>
          <w:sz w:val="29"/>
          <w:szCs w:val="29"/>
        </w:rPr>
        <w:t xml:space="preserve"> </w:t>
      </w:r>
      <w:r>
        <w:rPr>
          <w:sz w:val="29"/>
          <w:szCs w:val="29"/>
          <w:spacing w:val="1"/>
        </w:rPr>
        <w:t>颈天牛、芳香木蠹蛾、葡萄透翅蛾、白蚁、大地老虎、</w:t>
      </w:r>
      <w:r>
        <w:rPr>
          <w:sz w:val="29"/>
          <w:szCs w:val="29"/>
        </w:rPr>
        <w:t>蝼蛄、黄刺蛾、扁刺蛾、 </w:t>
      </w:r>
      <w:r>
        <w:rPr>
          <w:sz w:val="29"/>
          <w:szCs w:val="29"/>
          <w:spacing w:val="1"/>
        </w:rPr>
        <w:t>丽绿刺蛾、褐边绿刺蛾、桑褐刺蛾、茶袋蛾、大袋蛾</w:t>
      </w:r>
      <w:r>
        <w:rPr>
          <w:sz w:val="29"/>
          <w:szCs w:val="29"/>
        </w:rPr>
        <w:t>、黄尾毒蛾、桃剑纹夜蛾、 </w:t>
      </w:r>
      <w:r>
        <w:rPr>
          <w:sz w:val="29"/>
          <w:szCs w:val="29"/>
          <w:spacing w:val="-7"/>
        </w:rPr>
        <w:t>斜纹夜蛾、丝棉木金星尺蛾、国槐尺蛾、绿尾大蚕蛾、柑桔凤蝶、玉带凤蝶、蔷薇</w:t>
      </w:r>
      <w:r>
        <w:rPr>
          <w:sz w:val="29"/>
          <w:szCs w:val="29"/>
          <w:spacing w:val="12"/>
        </w:rPr>
        <w:t xml:space="preserve"> </w:t>
      </w:r>
      <w:r>
        <w:rPr>
          <w:sz w:val="29"/>
          <w:szCs w:val="29"/>
          <w:spacing w:val="-8"/>
        </w:rPr>
        <w:t>三节叶蜂、柳蓝叶甲等。</w:t>
      </w:r>
    </w:p>
    <w:p>
      <w:pPr>
        <w:pStyle w:val="BodyText"/>
        <w:ind w:left="60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5"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left="49" w:right="333" w:firstLine="680"/>
        <w:spacing w:before="135" w:line="260"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9"/>
        </w:rPr>
        <w:t>售展示区)进行彻底清理。</w:t>
      </w:r>
    </w:p>
    <w:p>
      <w:pPr>
        <w:ind w:left="60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92"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left="730"/>
        <w:spacing w:before="161" w:line="219" w:lineRule="auto"/>
        <w:rPr>
          <w:sz w:val="29"/>
          <w:szCs w:val="29"/>
        </w:rPr>
      </w:pPr>
      <w:r>
        <w:rPr>
          <w:sz w:val="29"/>
          <w:szCs w:val="29"/>
          <w:spacing w:val="12"/>
        </w:rPr>
        <w:t>(2)进行机械工具的检查维修。</w:t>
      </w:r>
    </w:p>
    <w:p>
      <w:pPr>
        <w:pStyle w:val="BodyText"/>
        <w:ind w:left="600"/>
        <w:spacing w:before="8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67"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87"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60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03" w:line="219" w:lineRule="auto"/>
        <w:rPr>
          <w:sz w:val="29"/>
          <w:szCs w:val="29"/>
        </w:rPr>
      </w:pPr>
      <w:r>
        <w:rPr>
          <w:sz w:val="29"/>
          <w:szCs w:val="29"/>
        </w:rPr>
        <w:t>及时检查乔木支撑情况，发现松动或缺失立即加固。</w:t>
      </w:r>
    </w:p>
    <w:p>
      <w:pPr>
        <w:ind w:left="600"/>
        <w:spacing w:before="124"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600"/>
        <w:spacing w:before="135" w:line="219" w:lineRule="auto"/>
        <w:rPr>
          <w:sz w:val="29"/>
          <w:szCs w:val="29"/>
        </w:rPr>
      </w:pPr>
      <w:r>
        <w:rPr>
          <w:sz w:val="29"/>
          <w:szCs w:val="29"/>
          <w:spacing w:val="-1"/>
        </w:rPr>
        <w:t>注意地被、草坪边线切边，及时去除杂草。</w:t>
      </w:r>
    </w:p>
    <w:p>
      <w:pPr>
        <w:pStyle w:val="BodyText"/>
        <w:ind w:left="600"/>
        <w:spacing w:before="83"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730"/>
        <w:spacing w:before="125" w:line="217" w:lineRule="auto"/>
        <w:rPr>
          <w:sz w:val="29"/>
          <w:szCs w:val="29"/>
        </w:rPr>
      </w:pPr>
      <w:r>
        <w:rPr>
          <w:sz w:val="29"/>
          <w:szCs w:val="29"/>
          <w:spacing w:val="2"/>
        </w:rPr>
        <w:t>①  根据天气情况见干进行浇水，早10:00以前及下午16:00后进行；</w:t>
      </w:r>
    </w:p>
    <w:p>
      <w:pPr>
        <w:pStyle w:val="BodyText"/>
        <w:ind w:left="730"/>
        <w:spacing w:before="159" w:line="217" w:lineRule="auto"/>
        <w:rPr>
          <w:sz w:val="29"/>
          <w:szCs w:val="29"/>
        </w:rPr>
      </w:pPr>
      <w:r>
        <w:rPr>
          <w:sz w:val="29"/>
          <w:szCs w:val="29"/>
          <w:spacing w:val="-4"/>
        </w:rPr>
        <w:t>②</w:t>
      </w:r>
      <w:r>
        <w:rPr>
          <w:sz w:val="29"/>
          <w:szCs w:val="29"/>
          <w:spacing w:val="31"/>
        </w:rPr>
        <w:t xml:space="preserve">  </w:t>
      </w:r>
      <w:r>
        <w:rPr>
          <w:sz w:val="29"/>
          <w:szCs w:val="29"/>
          <w:spacing w:val="-4"/>
        </w:rPr>
        <w:t>控制水量，防止土壤板结及流泥浆；</w:t>
      </w:r>
    </w:p>
    <w:p>
      <w:pPr>
        <w:spacing w:line="217" w:lineRule="auto"/>
        <w:sectPr>
          <w:footerReference w:type="default" r:id="rId622"/>
          <w:pgSz w:w="14490" w:h="20470"/>
          <w:pgMar w:top="400" w:right="193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BodyText"/>
        <w:ind w:left="730"/>
        <w:spacing w:before="94" w:line="217" w:lineRule="auto"/>
        <w:rPr>
          <w:sz w:val="29"/>
          <w:szCs w:val="29"/>
        </w:rPr>
      </w:pPr>
      <w:r>
        <w:rPr>
          <w:sz w:val="29"/>
          <w:szCs w:val="29"/>
          <w:spacing w:val="-2"/>
        </w:rPr>
        <w:t>③</w:t>
      </w:r>
      <w:r>
        <w:rPr>
          <w:sz w:val="29"/>
          <w:szCs w:val="29"/>
          <w:spacing w:val="37"/>
        </w:rPr>
        <w:t xml:space="preserve">  </w:t>
      </w:r>
      <w:r>
        <w:rPr>
          <w:sz w:val="29"/>
          <w:szCs w:val="29"/>
          <w:spacing w:val="-2"/>
        </w:rPr>
        <w:t>大雨过后，对低洼积水区域，做好排水防涝。</w:t>
      </w:r>
    </w:p>
    <w:p>
      <w:pPr>
        <w:pStyle w:val="BodyText"/>
        <w:ind w:left="570"/>
        <w:spacing w:before="119"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49" w:right="343" w:firstLine="680"/>
        <w:spacing w:before="132" w:line="276"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spacing w:val="-2"/>
        </w:rPr>
        <w:t>腐霉枯萎病、细菌性穿孔病、花叶病、丛枝病等；</w:t>
      </w:r>
    </w:p>
    <w:p>
      <w:pPr>
        <w:pStyle w:val="BodyText"/>
        <w:ind w:right="243" w:firstLine="730"/>
        <w:spacing w:before="114" w:line="292" w:lineRule="auto"/>
        <w:rPr>
          <w:sz w:val="29"/>
          <w:szCs w:val="29"/>
        </w:rPr>
      </w:pPr>
      <w:r>
        <w:rPr>
          <w:sz w:val="29"/>
          <w:szCs w:val="29"/>
          <w:spacing w:val="7"/>
        </w:rPr>
        <w:t>(2)虫害：桃一点斑叶蝉、大青叶蝉、梨网冠蝽、方翅网蝽、梧桐木虱、</w:t>
      </w:r>
      <w:r>
        <w:rPr>
          <w:sz w:val="29"/>
          <w:szCs w:val="29"/>
          <w:spacing w:val="18"/>
        </w:rPr>
        <w:t xml:space="preserve"> </w:t>
      </w:r>
      <w:r>
        <w:rPr>
          <w:sz w:val="29"/>
          <w:szCs w:val="29"/>
          <w:spacing w:val="7"/>
        </w:rPr>
        <w:t>朱砂叶螨(棉花红蜘蛛、红叶螨)、黑刺粉虱、花蓟马、桑天牛、芳香木蠹蛾、</w:t>
      </w:r>
      <w:r>
        <w:rPr>
          <w:sz w:val="29"/>
          <w:szCs w:val="29"/>
          <w:spacing w:val="8"/>
        </w:rPr>
        <w:t xml:space="preserve"> </w:t>
      </w:r>
      <w:r>
        <w:rPr>
          <w:sz w:val="29"/>
          <w:szCs w:val="29"/>
          <w:spacing w:val="-15"/>
        </w:rPr>
        <w:t>葡萄透翅蛾、白蚁、大地老虎、蝼蛄、黄刺蛾、扁</w:t>
      </w:r>
      <w:r>
        <w:rPr>
          <w:sz w:val="29"/>
          <w:szCs w:val="29"/>
          <w:spacing w:val="-16"/>
        </w:rPr>
        <w:t>刺蛾、丽绿刺蛾、褐边绿刺蛾、茶</w:t>
      </w:r>
      <w:r>
        <w:rPr>
          <w:sz w:val="29"/>
          <w:szCs w:val="29"/>
        </w:rPr>
        <w:t xml:space="preserve"> </w:t>
      </w:r>
      <w:r>
        <w:rPr>
          <w:sz w:val="29"/>
          <w:szCs w:val="29"/>
          <w:spacing w:val="-8"/>
        </w:rPr>
        <w:t>袋蛾、大袋蛾、黄尾毒蛾、斜纹夜蛾、丝棉木金星尺蛾、国槐尺蛾、绿尾大蚕蛾、</w:t>
      </w:r>
      <w:r>
        <w:rPr>
          <w:sz w:val="29"/>
          <w:szCs w:val="29"/>
          <w:spacing w:val="8"/>
        </w:rPr>
        <w:t xml:space="preserve"> </w:t>
      </w:r>
      <w:r>
        <w:rPr>
          <w:sz w:val="29"/>
          <w:szCs w:val="29"/>
          <w:spacing w:val="1"/>
        </w:rPr>
        <w:t>柑桔凤蝶、玉带凤蝶、蔷薇三节叶蜂、柳蓝叶甲等。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0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6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7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left="730"/>
        <w:spacing w:before="142" w:line="219" w:lineRule="auto"/>
        <w:rPr>
          <w:sz w:val="29"/>
          <w:szCs w:val="29"/>
        </w:rPr>
      </w:pPr>
      <w:r>
        <w:rPr>
          <w:sz w:val="29"/>
          <w:szCs w:val="29"/>
          <w:spacing w:val="7"/>
        </w:rPr>
        <w:t>(2)进行机械工具的检查维修。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87"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70"/>
        <w:spacing w:before="12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30" w:line="217" w:lineRule="auto"/>
        <w:rPr>
          <w:sz w:val="29"/>
          <w:szCs w:val="29"/>
        </w:rPr>
      </w:pPr>
      <w:r>
        <w:rPr>
          <w:sz w:val="29"/>
          <w:szCs w:val="29"/>
          <w:spacing w:val="-3"/>
        </w:rPr>
        <w:t>①  检查土壤情况，土壤板结时要及时进行松土，松土深度5-10</w:t>
      </w:r>
      <w:r>
        <w:rPr>
          <w:rFonts w:ascii="Times New Roman" w:hAnsi="Times New Roman" w:eastAsia="Times New Roman" w:cs="Times New Roman"/>
          <w:sz w:val="29"/>
          <w:szCs w:val="29"/>
          <w:spacing w:val="-3"/>
        </w:rPr>
        <w:t>cm</w:t>
      </w:r>
      <w:r>
        <w:rPr>
          <w:sz w:val="29"/>
          <w:szCs w:val="29"/>
          <w:spacing w:val="-3"/>
        </w:rPr>
        <w:t>为宜；</w:t>
      </w:r>
    </w:p>
    <w:p>
      <w:pPr>
        <w:pStyle w:val="BodyText"/>
        <w:ind w:left="730"/>
        <w:spacing w:before="149" w:line="217" w:lineRule="auto"/>
        <w:rPr>
          <w:sz w:val="29"/>
          <w:szCs w:val="29"/>
        </w:rPr>
      </w:pPr>
      <w:r>
        <w:rPr>
          <w:sz w:val="29"/>
          <w:szCs w:val="29"/>
          <w:spacing w:val="3"/>
        </w:rPr>
        <w:t>②  及时检查乔木支撑情况，发现松动或缺失立即加固</w:t>
      </w:r>
    </w:p>
    <w:p>
      <w:pPr>
        <w:pStyle w:val="BodyText"/>
        <w:ind w:left="730"/>
        <w:spacing w:before="139" w:line="217" w:lineRule="auto"/>
        <w:rPr>
          <w:sz w:val="29"/>
          <w:szCs w:val="29"/>
        </w:rPr>
      </w:pPr>
      <w:r>
        <w:rPr>
          <w:sz w:val="29"/>
          <w:szCs w:val="29"/>
          <w:spacing w:val="-6"/>
        </w:rPr>
        <w:t>③</w:t>
      </w:r>
      <w:r>
        <w:rPr>
          <w:sz w:val="29"/>
          <w:szCs w:val="29"/>
          <w:spacing w:val="48"/>
        </w:rPr>
        <w:t xml:space="preserve">  </w:t>
      </w:r>
      <w:r>
        <w:rPr>
          <w:sz w:val="29"/>
          <w:szCs w:val="29"/>
          <w:spacing w:val="-6"/>
        </w:rPr>
        <w:t>绿地中缺株、断行应进行及时补栽。</w:t>
      </w:r>
    </w:p>
    <w:p>
      <w:pPr>
        <w:pStyle w:val="BodyText"/>
        <w:ind w:left="570"/>
        <w:spacing w:before="130"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730"/>
        <w:spacing w:before="124" w:line="219" w:lineRule="auto"/>
        <w:rPr>
          <w:sz w:val="29"/>
          <w:szCs w:val="29"/>
        </w:rPr>
      </w:pPr>
      <w:r>
        <w:rPr>
          <w:sz w:val="29"/>
          <w:szCs w:val="29"/>
          <w:spacing w:val="6"/>
        </w:rPr>
        <w:t>(1)伐除死去的苗木，修剪枯干枝、萌蘖枝，摘除残花；</w:t>
      </w:r>
    </w:p>
    <w:p>
      <w:pPr>
        <w:pStyle w:val="BodyText"/>
        <w:ind w:left="730"/>
        <w:spacing w:before="167" w:line="219" w:lineRule="auto"/>
        <w:rPr>
          <w:sz w:val="29"/>
          <w:szCs w:val="29"/>
        </w:rPr>
      </w:pPr>
      <w:r>
        <w:rPr>
          <w:sz w:val="29"/>
          <w:szCs w:val="29"/>
          <w:spacing w:val="6"/>
        </w:rPr>
        <w:t>(2)栽植两年以上的乔灌木适当疏枝处理；</w:t>
      </w:r>
    </w:p>
    <w:p>
      <w:pPr>
        <w:pStyle w:val="BodyText"/>
        <w:ind w:left="730"/>
        <w:spacing w:before="157" w:line="219" w:lineRule="auto"/>
        <w:rPr>
          <w:sz w:val="29"/>
          <w:szCs w:val="29"/>
        </w:rPr>
      </w:pPr>
      <w:r>
        <w:rPr>
          <w:sz w:val="29"/>
          <w:szCs w:val="29"/>
          <w:spacing w:val="7"/>
        </w:rPr>
        <w:t>(3)做好绿篱及地被整型修剪，国庆前夕全部修剪一遍；</w:t>
      </w:r>
    </w:p>
    <w:p>
      <w:pPr>
        <w:pStyle w:val="BodyText"/>
        <w:ind w:left="730"/>
        <w:spacing w:before="146" w:line="219" w:lineRule="auto"/>
        <w:rPr>
          <w:sz w:val="29"/>
          <w:szCs w:val="29"/>
        </w:rPr>
      </w:pPr>
      <w:r>
        <w:rPr>
          <w:sz w:val="29"/>
          <w:szCs w:val="29"/>
          <w:spacing w:val="12"/>
        </w:rPr>
        <w:t>(4)注意水生植物的黄叶修剪。</w:t>
      </w:r>
    </w:p>
    <w:p>
      <w:pPr>
        <w:ind w:left="570"/>
        <w:spacing w:before="113" w:line="222" w:lineRule="auto"/>
        <w:rPr>
          <w:rFonts w:ascii="SimHei" w:hAnsi="SimHei" w:eastAsia="SimHei" w:cs="SimHei"/>
          <w:sz w:val="29"/>
          <w:szCs w:val="29"/>
        </w:rPr>
      </w:pPr>
      <w:r>
        <w:rPr>
          <w:rFonts w:ascii="SimHei" w:hAnsi="SimHei" w:eastAsia="SimHei" w:cs="SimHei"/>
          <w:sz w:val="29"/>
          <w:szCs w:val="29"/>
          <w:spacing w:val="4"/>
        </w:rPr>
        <w:t>3、水肥管理</w:t>
      </w:r>
    </w:p>
    <w:p>
      <w:pPr>
        <w:pStyle w:val="BodyText"/>
        <w:ind w:left="570"/>
        <w:spacing w:before="122" w:line="219" w:lineRule="auto"/>
        <w:rPr>
          <w:sz w:val="29"/>
          <w:szCs w:val="29"/>
        </w:rPr>
      </w:pPr>
      <w:r>
        <w:rPr>
          <w:sz w:val="29"/>
          <w:szCs w:val="29"/>
          <w:spacing w:val="-1"/>
        </w:rPr>
        <w:t>采取有机肥与复合肥相结合的方式施肥；</w:t>
      </w:r>
    </w:p>
    <w:p>
      <w:pPr>
        <w:spacing w:line="219" w:lineRule="auto"/>
        <w:sectPr>
          <w:footerReference w:type="default" r:id="rId623"/>
          <w:pgSz w:w="14490" w:h="20470"/>
          <w:pgMar w:top="400" w:right="1935" w:bottom="1433" w:left="2150" w:header="0" w:footer="12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600"/>
        <w:spacing w:before="94"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318" w:firstLine="730"/>
        <w:spacing w:before="124" w:line="269" w:lineRule="auto"/>
        <w:rPr>
          <w:sz w:val="29"/>
          <w:szCs w:val="29"/>
        </w:rPr>
      </w:pPr>
      <w:r>
        <w:rPr>
          <w:sz w:val="29"/>
          <w:szCs w:val="29"/>
          <w:spacing w:val="7"/>
        </w:rPr>
        <w:t>(1)病害：叶斑类病害、锈病、煤污病、叶枯病</w:t>
      </w:r>
      <w:r>
        <w:rPr>
          <w:sz w:val="29"/>
          <w:szCs w:val="29"/>
          <w:spacing w:val="6"/>
        </w:rPr>
        <w:t>、干腐病、紫纹羽病、枝</w:t>
      </w:r>
      <w:r>
        <w:rPr>
          <w:sz w:val="29"/>
          <w:szCs w:val="29"/>
        </w:rPr>
        <w:t xml:space="preserve"> </w:t>
      </w:r>
      <w:r>
        <w:rPr>
          <w:sz w:val="29"/>
          <w:szCs w:val="29"/>
          <w:spacing w:val="-2"/>
        </w:rPr>
        <w:t>枯病、草坪腐霉枯萎病、花叶病、丛枝病等；</w:t>
      </w:r>
    </w:p>
    <w:p>
      <w:pPr>
        <w:pStyle w:val="BodyText"/>
        <w:ind w:firstLine="730"/>
        <w:spacing w:before="134" w:line="292" w:lineRule="auto"/>
        <w:tabs>
          <w:tab w:val="left" w:pos="168"/>
        </w:tabs>
        <w:rPr>
          <w:sz w:val="29"/>
          <w:szCs w:val="29"/>
        </w:rPr>
      </w:pPr>
      <w:r>
        <w:rPr>
          <w:sz w:val="29"/>
          <w:szCs w:val="29"/>
          <w:spacing w:val="7"/>
        </w:rPr>
        <w:t>(2)虫害：桃一点斑叶蝉、大青叶蝉、方翅网蝽、柑桔全爪螨、朱砂叶螨</w:t>
      </w:r>
      <w:r>
        <w:rPr>
          <w:sz w:val="29"/>
          <w:szCs w:val="29"/>
          <w:spacing w:val="6"/>
        </w:rPr>
        <w:t xml:space="preserve">   </w:t>
      </w:r>
      <w:r>
        <w:rPr>
          <w:sz w:val="29"/>
          <w:szCs w:val="29"/>
        </w:rPr>
        <w:tab/>
      </w:r>
      <w:r>
        <w:rPr>
          <w:sz w:val="29"/>
          <w:szCs w:val="29"/>
          <w:spacing w:val="4"/>
        </w:rPr>
        <w:t>(棉花红蜘蛛、红叶螨)、黑刺粉虱、花蓟马、桑天牛、</w:t>
      </w:r>
      <w:r>
        <w:rPr>
          <w:sz w:val="29"/>
          <w:szCs w:val="29"/>
          <w:spacing w:val="3"/>
        </w:rPr>
        <w:t>芳香木蠹蛾、白蚁、铜</w:t>
      </w:r>
      <w:r>
        <w:rPr>
          <w:sz w:val="29"/>
          <w:szCs w:val="29"/>
        </w:rPr>
        <w:t xml:space="preserve">  </w:t>
      </w:r>
      <w:r>
        <w:rPr>
          <w:sz w:val="29"/>
          <w:szCs w:val="29"/>
          <w:spacing w:val="-9"/>
        </w:rPr>
        <w:t>绿丽金龟、大地老虎、蝼蛄、黄刺蛾、丽绿刺蛾、褐边绿刺蛾、茶袋蛾、黄尾毒蛾、</w:t>
      </w:r>
      <w:r>
        <w:rPr>
          <w:sz w:val="29"/>
          <w:szCs w:val="29"/>
          <w:spacing w:val="6"/>
        </w:rPr>
        <w:t xml:space="preserve"> </w:t>
      </w:r>
      <w:r>
        <w:rPr>
          <w:sz w:val="29"/>
          <w:szCs w:val="29"/>
          <w:spacing w:val="-16"/>
        </w:rPr>
        <w:t>斜纹夜蛾、丝棉木金星尺蛾、国槐尺蛾、绿尾大蚕蛾、柑桔凤蝶、玉带凤蝶、蔷薇三</w:t>
      </w:r>
      <w:r>
        <w:rPr>
          <w:sz w:val="29"/>
          <w:szCs w:val="29"/>
          <w:spacing w:val="5"/>
        </w:rPr>
        <w:t xml:space="preserve">  </w:t>
      </w:r>
      <w:r>
        <w:rPr>
          <w:sz w:val="29"/>
          <w:szCs w:val="29"/>
          <w:spacing w:val="-22"/>
        </w:rPr>
        <w:t>节叶蜂、柳蓝叶甲等。</w:t>
      </w:r>
    </w:p>
    <w:p>
      <w:pPr>
        <w:pStyle w:val="BodyText"/>
        <w:ind w:left="600"/>
        <w:spacing w:before="15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03"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47" w:line="272"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600"/>
        <w:spacing w:before="124"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9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6"/>
        </w:rPr>
        <w:t>(2)月底将时花摆放完毕，注意摆放外侧避免黑色</w:t>
      </w:r>
      <w:r>
        <w:rPr>
          <w:sz w:val="29"/>
          <w:szCs w:val="29"/>
          <w:spacing w:val="5"/>
        </w:rPr>
        <w:t>塑料盆出现。</w:t>
      </w:r>
    </w:p>
    <w:p>
      <w:pPr>
        <w:pStyle w:val="BodyText"/>
        <w:ind w:left="600"/>
        <w:spacing w:before="11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321" w:firstLine="730"/>
        <w:spacing w:before="154" w:line="263"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3"/>
        </w:rPr>
        <w:t>危险品。</w:t>
      </w:r>
    </w:p>
    <w:p>
      <w:pPr>
        <w:pStyle w:val="BodyText"/>
        <w:ind w:right="287" w:firstLine="730"/>
        <w:spacing w:before="131" w:line="271"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5"/>
        </w:rPr>
        <w:t>及其它物资；</w:t>
      </w:r>
    </w:p>
    <w:p>
      <w:pPr>
        <w:pStyle w:val="BodyText"/>
        <w:ind w:left="730"/>
        <w:spacing w:before="139" w:line="219" w:lineRule="auto"/>
        <w:rPr>
          <w:sz w:val="29"/>
          <w:szCs w:val="29"/>
        </w:rPr>
      </w:pPr>
      <w:r>
        <w:rPr>
          <w:sz w:val="29"/>
          <w:szCs w:val="29"/>
          <w:spacing w:val="8"/>
        </w:rPr>
        <w:t>(3)进行机械工具的检查维修。</w:t>
      </w:r>
    </w:p>
    <w:p>
      <w:pPr>
        <w:pStyle w:val="BodyText"/>
        <w:ind w:left="600"/>
        <w:spacing w:before="63"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firstLine="600"/>
        <w:spacing w:before="161"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97" w:line="223" w:lineRule="auto"/>
        <w:rPr>
          <w:rFonts w:ascii="SimHei" w:hAnsi="SimHei" w:eastAsia="SimHei" w:cs="SimHei"/>
          <w:sz w:val="29"/>
          <w:szCs w:val="29"/>
        </w:rPr>
      </w:pPr>
      <w:r>
        <w:rPr>
          <w:rFonts w:ascii="SimHei" w:hAnsi="SimHei" w:eastAsia="SimHei" w:cs="SimHei"/>
          <w:sz w:val="29"/>
          <w:szCs w:val="29"/>
          <w:spacing w:val="6"/>
        </w:rPr>
        <w:t>十月份</w:t>
      </w:r>
    </w:p>
    <w:p>
      <w:pPr>
        <w:pStyle w:val="BodyText"/>
        <w:ind w:left="60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13" w:line="219" w:lineRule="auto"/>
        <w:rPr>
          <w:sz w:val="29"/>
          <w:szCs w:val="29"/>
        </w:rPr>
      </w:pPr>
      <w:r>
        <w:rPr>
          <w:sz w:val="29"/>
          <w:szCs w:val="29"/>
          <w:spacing w:val="1"/>
        </w:rPr>
        <w:t>及时检查乔木支撑情况，发现松动或缺失立即加固。</w:t>
      </w:r>
    </w:p>
    <w:p>
      <w:pPr>
        <w:ind w:left="600"/>
        <w:spacing w:before="10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141" w:line="219" w:lineRule="auto"/>
        <w:rPr>
          <w:sz w:val="29"/>
          <w:szCs w:val="29"/>
        </w:rPr>
      </w:pPr>
      <w:r>
        <w:rPr>
          <w:sz w:val="29"/>
          <w:szCs w:val="29"/>
          <w:spacing w:val="7"/>
        </w:rPr>
        <w:t>(1)草坪、地被与灌木球的日常修剪，树干及</w:t>
      </w:r>
      <w:r>
        <w:rPr>
          <w:sz w:val="29"/>
          <w:szCs w:val="29"/>
          <w:spacing w:val="6"/>
        </w:rPr>
        <w:t>根部萌蘖抹除；</w:t>
      </w:r>
    </w:p>
    <w:p>
      <w:pPr>
        <w:pStyle w:val="BodyText"/>
        <w:ind w:left="730"/>
        <w:spacing w:before="148" w:line="219" w:lineRule="auto"/>
        <w:rPr>
          <w:sz w:val="29"/>
          <w:szCs w:val="29"/>
        </w:rPr>
      </w:pPr>
      <w:r>
        <w:rPr>
          <w:sz w:val="29"/>
          <w:szCs w:val="29"/>
          <w:spacing w:val="14"/>
        </w:rPr>
        <w:t>(2)及时去除杂草。</w:t>
      </w:r>
    </w:p>
    <w:p>
      <w:pPr>
        <w:pStyle w:val="BodyText"/>
        <w:ind w:left="600"/>
        <w:spacing w:before="63"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730"/>
        <w:spacing w:before="146" w:line="218" w:lineRule="auto"/>
        <w:rPr>
          <w:sz w:val="29"/>
          <w:szCs w:val="29"/>
        </w:rPr>
      </w:pPr>
      <w:r>
        <w:rPr>
          <w:sz w:val="29"/>
          <w:szCs w:val="29"/>
          <w:spacing w:val="7"/>
        </w:rPr>
        <w:t>(1)每天适时对一些不耐干旱的植物进行淋</w:t>
      </w:r>
      <w:r>
        <w:rPr>
          <w:sz w:val="29"/>
          <w:szCs w:val="29"/>
          <w:spacing w:val="6"/>
        </w:rPr>
        <w:t>水，浇水时要先喷洗树叶，清</w:t>
      </w:r>
    </w:p>
    <w:p>
      <w:pPr>
        <w:spacing w:line="218" w:lineRule="auto"/>
        <w:sectPr>
          <w:footerReference w:type="default" r:id="rId624"/>
          <w:pgSz w:w="14490" w:h="20470"/>
          <w:pgMar w:top="400" w:right="1934" w:bottom="1433" w:left="2150" w:header="0" w:footer="1235"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5"/>
        </w:rPr>
        <w:t>洗叶面灰尘；</w:t>
      </w:r>
    </w:p>
    <w:p>
      <w:pPr>
        <w:pStyle w:val="BodyText"/>
        <w:ind w:left="730"/>
        <w:spacing w:before="164" w:line="219" w:lineRule="auto"/>
        <w:rPr>
          <w:sz w:val="29"/>
          <w:szCs w:val="29"/>
        </w:rPr>
      </w:pPr>
      <w:r>
        <w:rPr>
          <w:sz w:val="29"/>
          <w:szCs w:val="29"/>
          <w:spacing w:val="8"/>
        </w:rPr>
        <w:t>(2)秋季施用秋基肥以有机肥为主，结合施</w:t>
      </w:r>
      <w:r>
        <w:rPr>
          <w:sz w:val="29"/>
          <w:szCs w:val="29"/>
          <w:spacing w:val="7"/>
        </w:rPr>
        <w:t>用磷钾肥少量。</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43" w:line="219" w:lineRule="auto"/>
        <w:rPr>
          <w:sz w:val="29"/>
          <w:szCs w:val="29"/>
        </w:rPr>
      </w:pPr>
      <w:r>
        <w:rPr>
          <w:sz w:val="29"/>
          <w:szCs w:val="29"/>
          <w:spacing w:val="5"/>
        </w:rPr>
        <w:t>(1)病害：白粉病、叶斑类病害、锈病、叶枯病、干腐病、丛枝病等；</w:t>
      </w:r>
    </w:p>
    <w:p>
      <w:pPr>
        <w:pStyle w:val="BodyText"/>
        <w:ind w:right="330" w:firstLine="730"/>
        <w:spacing w:before="118" w:line="285" w:lineRule="auto"/>
        <w:rPr>
          <w:sz w:val="29"/>
          <w:szCs w:val="29"/>
        </w:rPr>
      </w:pPr>
      <w:r>
        <w:rPr>
          <w:sz w:val="29"/>
          <w:szCs w:val="29"/>
          <w:spacing w:val="9"/>
        </w:rPr>
        <w:t>(2)虫害：桃一点斑叶蝉、大青叶蝉、桃粉蚜、桃瘤蚜、柑桔全爪螨、桔</w:t>
      </w:r>
      <w:r>
        <w:rPr>
          <w:sz w:val="29"/>
          <w:szCs w:val="29"/>
          <w:spacing w:val="1"/>
        </w:rPr>
        <w:t xml:space="preserve"> </w:t>
      </w:r>
      <w:r>
        <w:rPr>
          <w:sz w:val="29"/>
          <w:szCs w:val="29"/>
          <w:spacing w:val="-9"/>
        </w:rPr>
        <w:t>绿粉虱、芳香木蠹蛾、白蚁、铜绿丽金龟、大地老虎、褐边绿刺蛾、丝棉木金星尺</w:t>
      </w:r>
      <w:r>
        <w:rPr>
          <w:sz w:val="29"/>
          <w:szCs w:val="29"/>
          <w:spacing w:val="6"/>
        </w:rPr>
        <w:t xml:space="preserve"> </w:t>
      </w:r>
      <w:r>
        <w:rPr>
          <w:sz w:val="29"/>
          <w:szCs w:val="29"/>
        </w:rPr>
        <w:t>蛾、柑桔凤蝶、玉带凤蝶、蔷薇三节叶蜂等。</w:t>
      </w:r>
    </w:p>
    <w:p>
      <w:pPr>
        <w:pStyle w:val="BodyText"/>
        <w:ind w:left="570"/>
        <w:spacing w:before="137"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pStyle w:val="BodyText"/>
        <w:ind w:right="429" w:firstLine="730"/>
        <w:spacing w:before="11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730"/>
        <w:spacing w:before="156" w:line="219" w:lineRule="auto"/>
        <w:rPr>
          <w:sz w:val="29"/>
          <w:szCs w:val="29"/>
        </w:rPr>
      </w:pPr>
      <w:r>
        <w:rPr>
          <w:sz w:val="29"/>
          <w:szCs w:val="29"/>
          <w:spacing w:val="6"/>
        </w:rPr>
        <w:t>(3)入秋乔木落叶增多，保证重点区域人员配置，检查、及时清除落叶。</w:t>
      </w:r>
    </w:p>
    <w:p>
      <w:pPr>
        <w:ind w:left="570"/>
        <w:spacing w:before="9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spacing w:before="15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90" w:firstLine="570"/>
        <w:spacing w:before="14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8"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16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03" w:line="219" w:lineRule="auto"/>
        <w:rPr>
          <w:sz w:val="29"/>
          <w:szCs w:val="29"/>
        </w:rPr>
      </w:pPr>
      <w:r>
        <w:rPr>
          <w:sz w:val="29"/>
          <w:szCs w:val="29"/>
          <w:spacing w:val="1"/>
        </w:rPr>
        <w:t>及时检查乔木支撑情况，发现松动或缺失立即加固。</w:t>
      </w:r>
    </w:p>
    <w:p>
      <w:pPr>
        <w:pStyle w:val="BodyText"/>
        <w:ind w:left="570"/>
        <w:spacing w:before="124"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69" w:firstLine="730"/>
        <w:spacing w:before="114" w:line="324" w:lineRule="auto"/>
        <w:rPr>
          <w:sz w:val="29"/>
          <w:szCs w:val="29"/>
        </w:rPr>
      </w:pPr>
      <w:r>
        <w:rPr>
          <w:sz w:val="29"/>
          <w:szCs w:val="29"/>
          <w:spacing w:val="-12"/>
        </w:rPr>
        <w:t>(1)</w:t>
      </w:r>
      <w:r>
        <w:rPr>
          <w:sz w:val="29"/>
          <w:szCs w:val="29"/>
          <w:spacing w:val="132"/>
        </w:rPr>
        <w:t xml:space="preserve"> </w:t>
      </w:r>
      <w:r>
        <w:rPr>
          <w:sz w:val="29"/>
          <w:szCs w:val="29"/>
          <w:spacing w:val="-12"/>
        </w:rPr>
        <w:t>全面开展落叶乔灌木的整形修剪工作，去除病虫枝、枯死枝、徒长枝、</w:t>
      </w:r>
      <w:r>
        <w:rPr>
          <w:sz w:val="29"/>
          <w:szCs w:val="29"/>
        </w:rPr>
        <w:t xml:space="preserve"> </w:t>
      </w:r>
      <w:r>
        <w:rPr>
          <w:sz w:val="29"/>
          <w:szCs w:val="29"/>
          <w:spacing w:val="-14"/>
        </w:rPr>
        <w:t>交叉枝等；</w:t>
      </w:r>
    </w:p>
    <w:p>
      <w:pPr>
        <w:pStyle w:val="BodyText"/>
        <w:ind w:left="730"/>
        <w:spacing w:line="217" w:lineRule="auto"/>
        <w:rPr>
          <w:sz w:val="29"/>
          <w:szCs w:val="29"/>
        </w:rPr>
      </w:pPr>
      <w:r>
        <w:rPr>
          <w:sz w:val="29"/>
          <w:szCs w:val="29"/>
        </w:rPr>
        <w:t>②  对于花冠木根据观赏需要通风透光进行缩修保证树型；</w:t>
      </w:r>
    </w:p>
    <w:p>
      <w:pPr>
        <w:pStyle w:val="BodyText"/>
        <w:ind w:left="730"/>
        <w:spacing w:before="129" w:line="217" w:lineRule="auto"/>
        <w:rPr>
          <w:sz w:val="29"/>
          <w:szCs w:val="29"/>
        </w:rPr>
      </w:pPr>
      <w:r>
        <w:rPr>
          <w:sz w:val="29"/>
          <w:szCs w:val="29"/>
          <w:spacing w:val="-4"/>
        </w:rPr>
        <w:t>③)</w:t>
      </w:r>
      <w:r>
        <w:rPr>
          <w:sz w:val="29"/>
          <w:szCs w:val="29"/>
          <w:spacing w:val="140"/>
        </w:rPr>
        <w:t xml:space="preserve"> </w:t>
      </w:r>
      <w:r>
        <w:rPr>
          <w:sz w:val="29"/>
          <w:szCs w:val="29"/>
          <w:spacing w:val="-4"/>
        </w:rPr>
        <w:t>对长江以北区域水生植物冬季修剪，清除枯枝叶。</w:t>
      </w:r>
    </w:p>
    <w:p>
      <w:pPr>
        <w:pStyle w:val="BodyText"/>
        <w:ind w:left="570"/>
        <w:spacing w:before="59"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left="570"/>
        <w:spacing w:before="159" w:line="219" w:lineRule="auto"/>
        <w:rPr>
          <w:sz w:val="29"/>
          <w:szCs w:val="29"/>
        </w:rPr>
      </w:pPr>
      <w:r>
        <w:rPr>
          <w:sz w:val="29"/>
          <w:szCs w:val="29"/>
          <w:spacing w:val="1"/>
        </w:rPr>
        <w:t>淮河以北地区根据气温、第一次霜冻后开始灌防冻水。</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45" w:line="219" w:lineRule="auto"/>
        <w:rPr>
          <w:sz w:val="29"/>
          <w:szCs w:val="29"/>
        </w:rPr>
      </w:pPr>
      <w:r>
        <w:rPr>
          <w:sz w:val="29"/>
          <w:szCs w:val="29"/>
          <w:spacing w:val="7"/>
        </w:rPr>
        <w:t>(1)病害：白粉病、叶斑类病害、叶枯病等；</w:t>
      </w:r>
    </w:p>
    <w:p>
      <w:pPr>
        <w:pStyle w:val="BodyText"/>
        <w:ind w:right="407" w:firstLine="730"/>
        <w:spacing w:before="143" w:line="260" w:lineRule="auto"/>
        <w:rPr>
          <w:sz w:val="29"/>
          <w:szCs w:val="29"/>
        </w:rPr>
      </w:pPr>
      <w:r>
        <w:rPr>
          <w:sz w:val="29"/>
          <w:szCs w:val="29"/>
          <w:spacing w:val="7"/>
        </w:rPr>
        <w:t>(2)虫害：大青叶蝉、桃粉蚜、柑桔全爪螨、桔绿</w:t>
      </w:r>
      <w:r>
        <w:rPr>
          <w:sz w:val="29"/>
          <w:szCs w:val="29"/>
          <w:spacing w:val="6"/>
        </w:rPr>
        <w:t>粉虱、芳香木蠹蛾、白</w:t>
      </w:r>
      <w:r>
        <w:rPr>
          <w:sz w:val="29"/>
          <w:szCs w:val="29"/>
        </w:rPr>
        <w:t xml:space="preserve"> </w:t>
      </w:r>
      <w:r>
        <w:rPr>
          <w:sz w:val="29"/>
          <w:szCs w:val="29"/>
          <w:spacing w:val="-4"/>
        </w:rPr>
        <w:t>蚁等。</w:t>
      </w:r>
    </w:p>
    <w:p>
      <w:pPr>
        <w:pStyle w:val="BodyText"/>
        <w:ind w:left="570"/>
        <w:spacing w:before="157" w:line="396"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spacing w:line="396" w:lineRule="exact"/>
        <w:sectPr>
          <w:footerReference w:type="default" r:id="rId625"/>
          <w:pgSz w:w="14490" w:h="20470"/>
          <w:pgMar w:top="400" w:right="1844" w:bottom="1433" w:left="2150" w:header="0" w:footer="1235"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right="440" w:firstLine="730"/>
        <w:spacing w:before="94"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30"/>
        <w:spacing w:before="15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730"/>
        <w:spacing w:before="165" w:line="219" w:lineRule="auto"/>
        <w:rPr>
          <w:sz w:val="29"/>
          <w:szCs w:val="29"/>
        </w:rPr>
      </w:pPr>
      <w:r>
        <w:rPr>
          <w:sz w:val="29"/>
          <w:szCs w:val="29"/>
          <w:spacing w:val="7"/>
        </w:rPr>
        <w:t>(3)乔灌木落叶增多，保证重点区域人员配置，检查、及</w:t>
      </w:r>
      <w:r>
        <w:rPr>
          <w:sz w:val="29"/>
          <w:szCs w:val="29"/>
          <w:spacing w:val="6"/>
        </w:rPr>
        <w:t>时清除落叶。</w:t>
      </w:r>
    </w:p>
    <w:p>
      <w:pPr>
        <w:ind w:left="590"/>
        <w:spacing w:before="1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90"/>
        <w:spacing w:before="11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00" w:firstLine="590"/>
        <w:spacing w:before="96" w:line="320"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ind w:left="590"/>
        <w:spacing w:before="49" w:line="221" w:lineRule="auto"/>
        <w:rPr>
          <w:rFonts w:ascii="SimHei" w:hAnsi="SimHei" w:eastAsia="SimHei" w:cs="SimHei"/>
          <w:sz w:val="28"/>
          <w:szCs w:val="28"/>
        </w:rPr>
      </w:pPr>
      <w:r>
        <w:rPr>
          <w:rFonts w:ascii="SimHei" w:hAnsi="SimHei" w:eastAsia="SimHei" w:cs="SimHei"/>
          <w:sz w:val="28"/>
          <w:szCs w:val="28"/>
          <w:spacing w:val="17"/>
        </w:rPr>
        <w:t>8、防寒</w:t>
      </w:r>
    </w:p>
    <w:p>
      <w:pPr>
        <w:pStyle w:val="BodyText"/>
        <w:ind w:right="355" w:firstLine="590"/>
        <w:spacing w:before="109" w:line="311" w:lineRule="auto"/>
        <w:rPr>
          <w:sz w:val="29"/>
          <w:szCs w:val="29"/>
        </w:rPr>
      </w:pPr>
      <w:r>
        <w:rPr>
          <w:sz w:val="29"/>
          <w:szCs w:val="29"/>
        </w:rPr>
        <w:t>对于当年种植的乔木，长江以北区域开始做防寒</w:t>
      </w:r>
      <w:r>
        <w:rPr>
          <w:sz w:val="29"/>
          <w:szCs w:val="29"/>
          <w:spacing w:val="-1"/>
        </w:rPr>
        <w:t>保暖工作，完成草绳绕裹和</w:t>
      </w:r>
      <w:r>
        <w:rPr>
          <w:sz w:val="29"/>
          <w:szCs w:val="29"/>
        </w:rPr>
        <w:t xml:space="preserve"> </w:t>
      </w:r>
      <w:r>
        <w:rPr>
          <w:sz w:val="29"/>
          <w:szCs w:val="29"/>
        </w:rPr>
        <w:t>部分的园林布的缠绕工作，长江南完成草绳</w:t>
      </w:r>
      <w:r>
        <w:rPr>
          <w:sz w:val="29"/>
          <w:szCs w:val="29"/>
          <w:spacing w:val="-1"/>
        </w:rPr>
        <w:t>缠绕工作；造型树的防寒架的搭建完</w:t>
      </w:r>
      <w:r>
        <w:rPr>
          <w:sz w:val="29"/>
          <w:szCs w:val="29"/>
        </w:rPr>
        <w:t xml:space="preserve"> </w:t>
      </w:r>
      <w:r>
        <w:rPr>
          <w:sz w:val="29"/>
          <w:szCs w:val="29"/>
          <w:spacing w:val="-9"/>
        </w:rPr>
        <w:t>成。</w:t>
      </w:r>
    </w:p>
    <w:p>
      <w:pPr>
        <w:spacing w:before="25"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590"/>
        <w:spacing w:before="169"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04" w:line="219" w:lineRule="auto"/>
        <w:rPr>
          <w:sz w:val="29"/>
          <w:szCs w:val="29"/>
        </w:rPr>
      </w:pPr>
      <w:r>
        <w:rPr>
          <w:sz w:val="29"/>
          <w:szCs w:val="29"/>
          <w:spacing w:val="6"/>
        </w:rPr>
        <w:t>(1)检查防寒设施的完好情况，发现破损立即修补；</w:t>
      </w:r>
    </w:p>
    <w:p>
      <w:pPr>
        <w:pStyle w:val="BodyText"/>
        <w:ind w:left="730"/>
        <w:spacing w:before="136" w:line="219" w:lineRule="auto"/>
        <w:rPr>
          <w:sz w:val="29"/>
          <w:szCs w:val="29"/>
        </w:rPr>
      </w:pPr>
      <w:r>
        <w:rPr>
          <w:sz w:val="29"/>
          <w:szCs w:val="29"/>
          <w:spacing w:val="6"/>
        </w:rPr>
        <w:t>(2)及时检查乔木支撑情况，发现松动或缺失立即加固；</w:t>
      </w:r>
    </w:p>
    <w:p>
      <w:pPr>
        <w:pStyle w:val="BodyText"/>
        <w:ind w:right="382" w:firstLine="730"/>
        <w:spacing w:before="174" w:line="265" w:lineRule="auto"/>
        <w:rPr>
          <w:sz w:val="29"/>
          <w:szCs w:val="29"/>
        </w:rPr>
      </w:pPr>
      <w:r>
        <w:rPr>
          <w:sz w:val="29"/>
          <w:szCs w:val="29"/>
          <w:spacing w:val="8"/>
        </w:rPr>
        <w:t>(3)下雪后及时检查乔木大雪压折枝情况，及时清除，</w:t>
      </w:r>
      <w:r>
        <w:rPr>
          <w:sz w:val="29"/>
          <w:szCs w:val="29"/>
          <w:spacing w:val="7"/>
        </w:rPr>
        <w:t>并可对乔木根部堆</w:t>
      </w:r>
      <w:r>
        <w:rPr>
          <w:sz w:val="29"/>
          <w:szCs w:val="29"/>
        </w:rPr>
        <w:t xml:space="preserve"> </w:t>
      </w:r>
      <w:r>
        <w:rPr>
          <w:sz w:val="29"/>
          <w:szCs w:val="29"/>
          <w:spacing w:val="-9"/>
        </w:rPr>
        <w:t>雪。</w:t>
      </w:r>
    </w:p>
    <w:p>
      <w:pPr>
        <w:pStyle w:val="BodyText"/>
        <w:ind w:left="590"/>
        <w:spacing w:before="86"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left="590"/>
        <w:spacing w:before="156" w:line="219" w:lineRule="auto"/>
        <w:rPr>
          <w:sz w:val="29"/>
          <w:szCs w:val="29"/>
        </w:rPr>
      </w:pPr>
      <w:r>
        <w:rPr>
          <w:sz w:val="29"/>
          <w:szCs w:val="29"/>
          <w:spacing w:val="-5"/>
        </w:rPr>
        <w:t>开展冬修工作：</w:t>
      </w:r>
    </w:p>
    <w:p>
      <w:pPr>
        <w:pStyle w:val="BodyText"/>
        <w:ind w:left="730"/>
        <w:spacing w:before="156" w:line="219" w:lineRule="auto"/>
        <w:rPr>
          <w:sz w:val="29"/>
          <w:szCs w:val="29"/>
        </w:rPr>
      </w:pPr>
      <w:r>
        <w:rPr>
          <w:sz w:val="29"/>
          <w:szCs w:val="29"/>
          <w:spacing w:val="5"/>
        </w:rPr>
        <w:t>(1)去除乔灌木病虫枝、枯死枝、徒长枝、交叉</w:t>
      </w:r>
      <w:r>
        <w:rPr>
          <w:sz w:val="29"/>
          <w:szCs w:val="29"/>
          <w:spacing w:val="4"/>
        </w:rPr>
        <w:t>枝、内膛枝等；</w:t>
      </w:r>
    </w:p>
    <w:p>
      <w:pPr>
        <w:pStyle w:val="BodyText"/>
        <w:ind w:left="730"/>
        <w:spacing w:before="136" w:line="219" w:lineRule="auto"/>
        <w:rPr>
          <w:sz w:val="29"/>
          <w:szCs w:val="29"/>
        </w:rPr>
      </w:pPr>
      <w:r>
        <w:rPr>
          <w:sz w:val="29"/>
          <w:szCs w:val="29"/>
          <w:spacing w:val="5"/>
        </w:rPr>
        <w:t>(1)对于花灌木根据观赏需要通风透光进行修剪，保证树型；</w:t>
      </w:r>
    </w:p>
    <w:p>
      <w:pPr>
        <w:pStyle w:val="BodyText"/>
        <w:ind w:left="730"/>
        <w:spacing w:before="163" w:line="217" w:lineRule="auto"/>
        <w:rPr>
          <w:sz w:val="29"/>
          <w:szCs w:val="29"/>
        </w:rPr>
      </w:pPr>
      <w:r>
        <w:rPr>
          <w:sz w:val="29"/>
          <w:szCs w:val="29"/>
          <w:spacing w:val="-10"/>
        </w:rPr>
        <w:t>③</w:t>
      </w:r>
      <w:r>
        <w:rPr>
          <w:sz w:val="29"/>
          <w:szCs w:val="29"/>
          <w:spacing w:val="48"/>
        </w:rPr>
        <w:t xml:space="preserve">  </w:t>
      </w:r>
      <w:r>
        <w:rPr>
          <w:sz w:val="29"/>
          <w:szCs w:val="29"/>
          <w:spacing w:val="-10"/>
        </w:rPr>
        <w:t>草坪修剪尽可能低些，保持2-3</w:t>
      </w:r>
      <w:r>
        <w:rPr>
          <w:rFonts w:ascii="Times New Roman" w:hAnsi="Times New Roman" w:eastAsia="Times New Roman" w:cs="Times New Roman"/>
          <w:sz w:val="29"/>
          <w:szCs w:val="29"/>
          <w:spacing w:val="-10"/>
        </w:rPr>
        <w:t>cm</w:t>
      </w:r>
      <w:r>
        <w:rPr>
          <w:sz w:val="29"/>
          <w:szCs w:val="29"/>
          <w:spacing w:val="-10"/>
        </w:rPr>
        <w:t>为宜，便于来年采光萌芽；</w:t>
      </w:r>
    </w:p>
    <w:p>
      <w:pPr>
        <w:pStyle w:val="BodyText"/>
        <w:ind w:left="730"/>
        <w:spacing w:before="149" w:line="217" w:lineRule="auto"/>
        <w:rPr>
          <w:sz w:val="29"/>
          <w:szCs w:val="29"/>
        </w:rPr>
      </w:pPr>
      <w:r>
        <w:rPr>
          <w:sz w:val="29"/>
          <w:szCs w:val="29"/>
          <w:spacing w:val="-3"/>
        </w:rPr>
        <w:t>④</w:t>
      </w:r>
      <w:r>
        <w:rPr>
          <w:sz w:val="29"/>
          <w:szCs w:val="29"/>
          <w:spacing w:val="40"/>
        </w:rPr>
        <w:t xml:space="preserve">  </w:t>
      </w:r>
      <w:r>
        <w:rPr>
          <w:sz w:val="29"/>
          <w:szCs w:val="29"/>
          <w:spacing w:val="-3"/>
        </w:rPr>
        <w:t>长江以南区域水生植物冬季修剪。</w:t>
      </w:r>
    </w:p>
    <w:p>
      <w:pPr>
        <w:ind w:left="590"/>
        <w:spacing w:before="90"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90"/>
        <w:spacing w:before="173" w:line="219" w:lineRule="auto"/>
        <w:rPr>
          <w:sz w:val="29"/>
          <w:szCs w:val="29"/>
        </w:rPr>
      </w:pPr>
      <w:r>
        <w:rPr>
          <w:sz w:val="29"/>
          <w:szCs w:val="29"/>
          <w:spacing w:val="2"/>
        </w:rPr>
        <w:t>地被草坪灌一次透水</w:t>
      </w:r>
    </w:p>
    <w:p>
      <w:pPr>
        <w:pStyle w:val="BodyText"/>
        <w:ind w:left="590"/>
        <w:spacing w:before="110" w:line="224" w:lineRule="auto"/>
        <w:rPr>
          <w:rFonts w:ascii="SimHei" w:hAnsi="SimHei" w:eastAsia="SimHei" w:cs="SimHei"/>
          <w:sz w:val="29"/>
          <w:szCs w:val="29"/>
        </w:rPr>
      </w:pPr>
      <w:r>
        <w:rPr>
          <w:rFonts w:ascii="Arial" w:hAnsi="Arial" w:eastAsia="Arial" w:cs="Arial"/>
          <w:sz w:val="29"/>
          <w:szCs w:val="29"/>
          <w:spacing w:val="12"/>
        </w:rPr>
        <w:t>4</w:t>
      </w:r>
      <w:r>
        <w:rPr>
          <w:sz w:val="29"/>
          <w:szCs w:val="29"/>
          <w:spacing w:val="12"/>
        </w:rPr>
        <w:t>、</w:t>
      </w:r>
      <w:r>
        <w:rPr>
          <w:rFonts w:ascii="SimHei" w:hAnsi="SimHei" w:eastAsia="SimHei" w:cs="SimHei"/>
          <w:sz w:val="29"/>
          <w:szCs w:val="29"/>
          <w:spacing w:val="12"/>
        </w:rPr>
        <w:t>保洁</w:t>
      </w:r>
    </w:p>
    <w:p>
      <w:pPr>
        <w:pStyle w:val="BodyText"/>
        <w:ind w:right="380" w:firstLine="730"/>
        <w:spacing w:before="115" w:line="271" w:lineRule="auto"/>
        <w:rPr>
          <w:sz w:val="29"/>
          <w:szCs w:val="29"/>
        </w:rPr>
      </w:pPr>
      <w:r>
        <w:rPr>
          <w:sz w:val="29"/>
          <w:szCs w:val="29"/>
          <w:spacing w:val="8"/>
        </w:rPr>
        <w:t>(1)保洁人员合理分区，全天候巡视，及时清理烟头、树挂</w:t>
      </w:r>
      <w:r>
        <w:rPr>
          <w:sz w:val="29"/>
          <w:szCs w:val="29"/>
          <w:spacing w:val="7"/>
        </w:rPr>
        <w:t>等垃圾，水景</w:t>
      </w:r>
      <w:r>
        <w:rPr>
          <w:sz w:val="29"/>
          <w:szCs w:val="29"/>
        </w:rPr>
        <w:t xml:space="preserve"> </w:t>
      </w:r>
      <w:r>
        <w:rPr>
          <w:sz w:val="29"/>
          <w:szCs w:val="29"/>
          <w:spacing w:val="-2"/>
        </w:rPr>
        <w:t>池、灯杆、垃圾桶保持干净；</w:t>
      </w:r>
    </w:p>
    <w:p>
      <w:pPr>
        <w:pStyle w:val="BodyText"/>
        <w:ind w:right="433" w:firstLine="73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7"/>
        </w:rPr>
        <w:t>售展示区)进行彻底清理；</w:t>
      </w:r>
    </w:p>
    <w:p>
      <w:pPr>
        <w:spacing w:line="269" w:lineRule="auto"/>
        <w:sectPr>
          <w:footerReference w:type="default" r:id="rId626"/>
          <w:pgSz w:w="14490" w:h="20470"/>
          <w:pgMar w:top="400" w:right="1834"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61" w:firstLine="730"/>
        <w:spacing w:before="94" w:line="310" w:lineRule="auto"/>
        <w:jc w:val="both"/>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w:t>
      </w:r>
      <w:r>
        <w:rPr>
          <w:sz w:val="29"/>
          <w:szCs w:val="29"/>
          <w:spacing w:val="-5"/>
        </w:rPr>
        <w:t>两侧要堆雪造型；冰</w:t>
      </w:r>
      <w:r>
        <w:rPr>
          <w:sz w:val="29"/>
          <w:szCs w:val="29"/>
        </w:rPr>
        <w:t xml:space="preserve"> </w:t>
      </w:r>
      <w:r>
        <w:rPr>
          <w:sz w:val="29"/>
          <w:szCs w:val="29"/>
          <w:spacing w:val="1"/>
        </w:rPr>
        <w:t>雪融化后露出的垃圾、废弃物的全面清理。</w:t>
      </w:r>
    </w:p>
    <w:p>
      <w:pPr>
        <w:pStyle w:val="BodyText"/>
        <w:ind w:left="600"/>
        <w:spacing w:before="6"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时花摆放</w:t>
      </w:r>
    </w:p>
    <w:p>
      <w:pPr>
        <w:pStyle w:val="BodyText"/>
        <w:ind w:left="730"/>
        <w:spacing w:before="10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13"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right="341" w:firstLine="730"/>
        <w:spacing w:before="15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right="311" w:firstLine="730"/>
        <w:spacing w:before="153" w:line="265" w:lineRule="auto"/>
        <w:rPr>
          <w:sz w:val="29"/>
          <w:szCs w:val="29"/>
        </w:rPr>
      </w:pPr>
      <w:r>
        <w:rPr>
          <w:sz w:val="29"/>
          <w:szCs w:val="29"/>
          <w:spacing w:val="2"/>
        </w:rPr>
        <w:t>(2)根据现场的实际情况，申请购置翌年1、2、3月份的农药、化肥、营养</w:t>
      </w:r>
      <w:r>
        <w:rPr>
          <w:sz w:val="29"/>
          <w:szCs w:val="29"/>
          <w:spacing w:val="12"/>
        </w:rPr>
        <w:t xml:space="preserve"> </w:t>
      </w:r>
      <w:r>
        <w:rPr>
          <w:sz w:val="29"/>
          <w:szCs w:val="29"/>
          <w:spacing w:val="-2"/>
        </w:rPr>
        <w:t>剂及其它物资。</w:t>
      </w:r>
    </w:p>
    <w:p>
      <w:pPr>
        <w:pStyle w:val="BodyText"/>
        <w:ind w:left="600"/>
        <w:spacing w:before="186"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600"/>
        <w:spacing w:before="103" w:line="312"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600"/>
        <w:spacing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7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49"/>
          <w:position w:val="1"/>
        </w:rPr>
        <w:t xml:space="preserve"> </w:t>
      </w:r>
      <w:r>
        <w:rPr>
          <w:rFonts w:ascii="SimHei" w:hAnsi="SimHei" w:eastAsia="SimHei" w:cs="SimHei"/>
          <w:sz w:val="27"/>
          <w:szCs w:val="27"/>
          <w:spacing w:val="-17"/>
          <w:position w:val="1"/>
        </w:rPr>
        <w:t>寒</w:t>
      </w:r>
    </w:p>
    <w:p>
      <w:pPr>
        <w:pStyle w:val="BodyText"/>
        <w:ind w:right="372" w:firstLine="600"/>
        <w:spacing w:before="121" w:line="315" w:lineRule="auto"/>
        <w:rPr>
          <w:sz w:val="29"/>
          <w:szCs w:val="29"/>
        </w:rPr>
      </w:pPr>
      <w:r>
        <w:rPr>
          <w:sz w:val="29"/>
          <w:szCs w:val="29"/>
          <w:spacing w:val="-4"/>
        </w:rPr>
        <w:t>本月中旬完成新种植乔木和重点花灌木、造型树的防寒完成</w:t>
      </w:r>
      <w:r>
        <w:rPr>
          <w:sz w:val="29"/>
          <w:szCs w:val="29"/>
          <w:spacing w:val="-5"/>
        </w:rPr>
        <w:t>，并每天安排人</w:t>
      </w:r>
      <w:r>
        <w:rPr>
          <w:sz w:val="29"/>
          <w:szCs w:val="29"/>
        </w:rPr>
        <w:t xml:space="preserve"> </w:t>
      </w:r>
      <w:r>
        <w:rPr>
          <w:sz w:val="29"/>
          <w:szCs w:val="29"/>
        </w:rPr>
        <w:t>员对造型树、铁树等通风观察生长情况工作。</w:t>
      </w:r>
    </w:p>
    <w:p>
      <w:pPr>
        <w:spacing w:line="315" w:lineRule="auto"/>
        <w:sectPr>
          <w:footerReference w:type="default" r:id="rId627"/>
          <w:pgSz w:w="14490" w:h="20470"/>
          <w:pgMar w:top="400" w:right="1935" w:bottom="1447" w:left="2150" w:header="0" w:footer="1230"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3620"/>
        <w:spacing w:before="94" w:line="222" w:lineRule="auto"/>
        <w:outlineLvl w:val="1"/>
        <w:rPr>
          <w:rFonts w:ascii="SimHei" w:hAnsi="SimHei" w:eastAsia="SimHei" w:cs="SimHei"/>
          <w:sz w:val="29"/>
          <w:szCs w:val="29"/>
        </w:rPr>
      </w:pPr>
      <w:bookmarkStart w:name="bookmark133" w:id="123"/>
      <w:bookmarkEnd w:id="123"/>
      <w:bookmarkStart w:name="bookmark69" w:id="124"/>
      <w:bookmarkEnd w:id="124"/>
      <w:r>
        <w:rPr>
          <w:rFonts w:ascii="SimHei" w:hAnsi="SimHei" w:eastAsia="SimHei" w:cs="SimHei"/>
          <w:sz w:val="29"/>
          <w:szCs w:val="29"/>
          <w:spacing w:val="2"/>
        </w:rPr>
        <w:t>浙江、福建、上海地区</w:t>
      </w:r>
    </w:p>
    <w:p>
      <w:pPr>
        <w:spacing w:line="384" w:lineRule="auto"/>
        <w:rPr>
          <w:rFonts w:ascii="Arial"/>
          <w:sz w:val="21"/>
        </w:rPr>
      </w:pPr>
      <w:r/>
    </w:p>
    <w:p>
      <w:pPr>
        <w:pStyle w:val="BodyText"/>
        <w:ind w:left="604"/>
        <w:spacing w:before="98" w:line="223" w:lineRule="auto"/>
        <w:rPr>
          <w:rFonts w:ascii="SimHei" w:hAnsi="SimHei" w:eastAsia="SimHei" w:cs="SimHei"/>
          <w:sz w:val="30"/>
          <w:szCs w:val="30"/>
        </w:rPr>
      </w:pPr>
      <w:r>
        <w:rPr>
          <w:sz w:val="30"/>
          <w:szCs w:val="30"/>
          <w:b/>
          <w:bCs/>
          <w:spacing w:val="-9"/>
        </w:rPr>
        <w:t>一、</w:t>
      </w:r>
      <w:r>
        <w:rPr>
          <w:rFonts w:ascii="SimHei" w:hAnsi="SimHei" w:eastAsia="SimHei" w:cs="SimHei"/>
          <w:sz w:val="30"/>
          <w:szCs w:val="30"/>
          <w:spacing w:val="-9"/>
        </w:rPr>
        <w:t>二月份</w:t>
      </w:r>
    </w:p>
    <w:p>
      <w:pPr>
        <w:spacing w:line="320" w:lineRule="auto"/>
        <w:rPr>
          <w:rFonts w:ascii="Arial"/>
          <w:sz w:val="21"/>
        </w:rPr>
      </w:pPr>
      <w:r/>
    </w:p>
    <w:p>
      <w:pPr>
        <w:pStyle w:val="BodyText"/>
        <w:ind w:left="600"/>
        <w:spacing w:before="94" w:line="219" w:lineRule="auto"/>
        <w:rPr>
          <w:sz w:val="29"/>
          <w:szCs w:val="29"/>
        </w:rPr>
      </w:pPr>
      <w:r>
        <w:rPr>
          <w:sz w:val="29"/>
          <w:szCs w:val="29"/>
          <w:spacing w:val="3"/>
        </w:rPr>
        <w:t>上海全年中气温最低的月份，重点是修剪和保洁。</w:t>
      </w:r>
    </w:p>
    <w:p>
      <w:pPr>
        <w:pStyle w:val="BodyText"/>
        <w:ind w:left="600"/>
        <w:spacing w:before="13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03" w:line="219" w:lineRule="auto"/>
        <w:rPr>
          <w:sz w:val="29"/>
          <w:szCs w:val="29"/>
        </w:rPr>
      </w:pPr>
      <w:r>
        <w:rPr>
          <w:sz w:val="29"/>
          <w:szCs w:val="29"/>
          <w:spacing w:val="6"/>
        </w:rPr>
        <w:t>(1)检查防寒设施的完好情况，发现破损立即修补；</w:t>
      </w:r>
    </w:p>
    <w:p>
      <w:pPr>
        <w:pStyle w:val="BodyText"/>
        <w:ind w:left="730"/>
        <w:spacing w:before="166" w:line="219" w:lineRule="auto"/>
        <w:rPr>
          <w:sz w:val="29"/>
          <w:szCs w:val="29"/>
        </w:rPr>
      </w:pPr>
      <w:r>
        <w:rPr>
          <w:sz w:val="29"/>
          <w:szCs w:val="29"/>
          <w:spacing w:val="7"/>
        </w:rPr>
        <w:t>(2)及时检查乔木支撑情况，发现松动或缺失立即加固。</w:t>
      </w:r>
    </w:p>
    <w:p>
      <w:pPr>
        <w:pStyle w:val="BodyText"/>
        <w:ind w:left="600"/>
        <w:spacing w:before="113"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left="600"/>
        <w:spacing w:before="146" w:line="219" w:lineRule="auto"/>
        <w:rPr>
          <w:sz w:val="29"/>
          <w:szCs w:val="29"/>
        </w:rPr>
      </w:pPr>
      <w:r>
        <w:rPr>
          <w:sz w:val="29"/>
          <w:szCs w:val="29"/>
        </w:rPr>
        <w:t>(1)根据各种树木的树龄、生长习性、树型特点和做到有针对性的修</w:t>
      </w:r>
      <w:r>
        <w:rPr>
          <w:sz w:val="29"/>
          <w:szCs w:val="29"/>
          <w:spacing w:val="-1"/>
        </w:rPr>
        <w:t>剪；</w:t>
      </w:r>
    </w:p>
    <w:p>
      <w:pPr>
        <w:pStyle w:val="BodyText"/>
        <w:ind w:right="382" w:firstLine="600"/>
        <w:spacing w:before="114" w:line="281" w:lineRule="auto"/>
        <w:rPr>
          <w:sz w:val="29"/>
          <w:szCs w:val="29"/>
        </w:rPr>
      </w:pPr>
      <w:r>
        <w:rPr>
          <w:sz w:val="29"/>
          <w:szCs w:val="29"/>
          <w:spacing w:val="2"/>
        </w:rPr>
        <w:t>(2)去除内膛枝、病虫枝、枯死枝、徒长枝、交叉枝等，对于没有做到定型</w:t>
      </w:r>
      <w:r>
        <w:rPr>
          <w:sz w:val="29"/>
          <w:szCs w:val="29"/>
          <w:spacing w:val="15"/>
        </w:rPr>
        <w:t xml:space="preserve"> </w:t>
      </w:r>
      <w:r>
        <w:rPr>
          <w:sz w:val="29"/>
          <w:szCs w:val="29"/>
          <w:spacing w:val="-9"/>
        </w:rPr>
        <w:t>乔木，协调整体统一截干定型，树木做到三叉六股十二头，保证树型的整体协调和</w:t>
      </w:r>
      <w:r>
        <w:rPr>
          <w:sz w:val="29"/>
          <w:szCs w:val="29"/>
          <w:spacing w:val="16"/>
        </w:rPr>
        <w:t xml:space="preserve"> </w:t>
      </w:r>
      <w:r>
        <w:rPr>
          <w:sz w:val="29"/>
          <w:szCs w:val="29"/>
          <w:spacing w:val="1"/>
        </w:rPr>
        <w:t>丰满。对于花灌木根据观赏需要、通风透光进行疏除</w:t>
      </w:r>
      <w:r>
        <w:rPr>
          <w:sz w:val="29"/>
          <w:szCs w:val="29"/>
        </w:rPr>
        <w:t>、缩修保证树型；</w:t>
      </w:r>
    </w:p>
    <w:p>
      <w:pPr>
        <w:pStyle w:val="BodyText"/>
        <w:ind w:right="395" w:firstLine="600"/>
        <w:spacing w:before="158" w:line="285" w:lineRule="auto"/>
        <w:rPr>
          <w:sz w:val="29"/>
          <w:szCs w:val="29"/>
        </w:rPr>
      </w:pPr>
      <w:r>
        <w:rPr>
          <w:sz w:val="29"/>
          <w:szCs w:val="29"/>
          <w:spacing w:val="2"/>
        </w:rPr>
        <w:t>(3)大小乔木上的枯枝、伤残枝、病虫枝及妨碍架空线和建筑物的枝权进行</w:t>
      </w:r>
      <w:r>
        <w:rPr>
          <w:sz w:val="29"/>
          <w:szCs w:val="29"/>
          <w:spacing w:val="10"/>
        </w:rPr>
        <w:t xml:space="preserve"> </w:t>
      </w:r>
      <w:r>
        <w:rPr>
          <w:sz w:val="29"/>
          <w:szCs w:val="29"/>
          <w:spacing w:val="-9"/>
        </w:rPr>
        <w:t>修剪。及时检查行道树绑扎、立桩情况，发现松绑、铅丝嵌皮、摇桩等情况时立即</w:t>
      </w:r>
      <w:r>
        <w:rPr>
          <w:sz w:val="29"/>
          <w:szCs w:val="29"/>
          <w:spacing w:val="2"/>
        </w:rPr>
        <w:t xml:space="preserve"> </w:t>
      </w:r>
      <w:r>
        <w:rPr>
          <w:sz w:val="29"/>
          <w:szCs w:val="29"/>
          <w:spacing w:val="-6"/>
        </w:rPr>
        <w:t>整改；</w:t>
      </w:r>
    </w:p>
    <w:p>
      <w:pPr>
        <w:pStyle w:val="BodyText"/>
        <w:ind w:left="600"/>
        <w:spacing w:before="134" w:line="219" w:lineRule="auto"/>
        <w:rPr>
          <w:sz w:val="29"/>
          <w:szCs w:val="29"/>
        </w:rPr>
      </w:pPr>
      <w:r>
        <w:rPr>
          <w:sz w:val="29"/>
          <w:szCs w:val="29"/>
          <w:spacing w:val="-9"/>
        </w:rPr>
        <w:t>(4)直接大于3公分的枝条需涂伤口涂抹剂，不留残</w:t>
      </w:r>
      <w:r>
        <w:rPr>
          <w:sz w:val="29"/>
          <w:szCs w:val="29"/>
          <w:spacing w:val="-10"/>
        </w:rPr>
        <w:t>桩，切口要平滑。</w:t>
      </w:r>
    </w:p>
    <w:p>
      <w:pPr>
        <w:ind w:left="600"/>
        <w:spacing w:before="12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20" w:firstLine="600"/>
        <w:spacing w:before="153" w:line="308" w:lineRule="auto"/>
        <w:rPr>
          <w:sz w:val="29"/>
          <w:szCs w:val="29"/>
        </w:rPr>
      </w:pPr>
      <w:r>
        <w:rPr>
          <w:sz w:val="29"/>
          <w:szCs w:val="29"/>
          <w:spacing w:val="1"/>
        </w:rPr>
        <w:t>选择气温较高的某天中午浇灌一次冻水，缓解冬季干旱</w:t>
      </w:r>
      <w:r>
        <w:rPr>
          <w:sz w:val="29"/>
          <w:szCs w:val="29"/>
        </w:rPr>
        <w:t>对树木造成的危害， </w:t>
      </w:r>
      <w:r>
        <w:rPr>
          <w:sz w:val="29"/>
          <w:szCs w:val="29"/>
        </w:rPr>
        <w:t>特别是对草坪和灌木类树种。</w:t>
      </w:r>
    </w:p>
    <w:p>
      <w:pPr>
        <w:pStyle w:val="BodyText"/>
        <w:ind w:left="570"/>
        <w:spacing w:before="40"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600"/>
        <w:spacing w:before="126" w:line="219" w:lineRule="auto"/>
        <w:rPr>
          <w:sz w:val="29"/>
          <w:szCs w:val="29"/>
        </w:rPr>
      </w:pPr>
      <w:r>
        <w:rPr>
          <w:sz w:val="29"/>
          <w:szCs w:val="29"/>
          <w:spacing w:val="-1"/>
        </w:rPr>
        <w:t>虫害：榕管蓟马、柑桔全爪螨等。</w:t>
      </w:r>
    </w:p>
    <w:p>
      <w:pPr>
        <w:pStyle w:val="BodyText"/>
        <w:ind w:left="600"/>
        <w:spacing w:before="47"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450" w:firstLine="730"/>
        <w:spacing w:before="14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right="443"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451" w:firstLine="600"/>
        <w:spacing w:before="125" w:line="269" w:lineRule="auto"/>
        <w:rPr>
          <w:sz w:val="29"/>
          <w:szCs w:val="29"/>
        </w:rPr>
      </w:pPr>
      <w:r>
        <w:rPr>
          <w:sz w:val="29"/>
          <w:szCs w:val="29"/>
          <w:spacing w:val="1"/>
        </w:rPr>
        <w:t>(2)雪后及时清理树木上的积雪，防治积雪过后压断树枝。及时辅助清理道</w:t>
      </w:r>
      <w:r>
        <w:rPr>
          <w:sz w:val="29"/>
          <w:szCs w:val="29"/>
          <w:spacing w:val="3"/>
        </w:rPr>
        <w:t xml:space="preserve"> </w:t>
      </w:r>
      <w:r>
        <w:rPr>
          <w:sz w:val="29"/>
          <w:szCs w:val="29"/>
          <w:spacing w:val="-3"/>
        </w:rPr>
        <w:t>路积雪。</w:t>
      </w:r>
    </w:p>
    <w:p>
      <w:pPr>
        <w:pStyle w:val="BodyText"/>
        <w:ind w:left="600"/>
        <w:spacing w:before="144"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right="712" w:firstLine="730"/>
        <w:spacing w:before="97" w:line="263" w:lineRule="auto"/>
        <w:rPr>
          <w:sz w:val="29"/>
          <w:szCs w:val="29"/>
        </w:rPr>
      </w:pPr>
      <w:r>
        <w:rPr>
          <w:sz w:val="29"/>
          <w:szCs w:val="29"/>
          <w:spacing w:val="-2"/>
        </w:rPr>
        <w:t>(1)月初提交时花或假花需求计划，选择亮色花卉，安排腊月20号左右进</w:t>
      </w:r>
      <w:r>
        <w:rPr>
          <w:sz w:val="29"/>
          <w:szCs w:val="29"/>
          <w:spacing w:val="4"/>
        </w:rPr>
        <w:t xml:space="preserve"> </w:t>
      </w:r>
      <w:r>
        <w:rPr>
          <w:sz w:val="29"/>
          <w:szCs w:val="29"/>
          <w:spacing w:val="-9"/>
        </w:rPr>
        <w:t>场；</w:t>
      </w:r>
    </w:p>
    <w:p>
      <w:pPr>
        <w:pStyle w:val="BodyText"/>
        <w:ind w:left="730"/>
        <w:spacing w:before="152" w:line="219" w:lineRule="auto"/>
        <w:rPr>
          <w:sz w:val="29"/>
          <w:szCs w:val="29"/>
        </w:rPr>
      </w:pPr>
      <w:r>
        <w:rPr>
          <w:sz w:val="29"/>
          <w:szCs w:val="29"/>
          <w:spacing w:val="6"/>
        </w:rPr>
        <w:t>(2)春假放假前将时花摆放完毕，注意摆放外侧避免黑色塑料盆出现。</w:t>
      </w:r>
    </w:p>
    <w:p>
      <w:pPr>
        <w:ind w:left="570"/>
        <w:spacing w:before="126" w:line="222" w:lineRule="auto"/>
        <w:rPr>
          <w:rFonts w:ascii="SimHei" w:hAnsi="SimHei" w:eastAsia="SimHei" w:cs="SimHei"/>
          <w:sz w:val="29"/>
          <w:szCs w:val="29"/>
        </w:rPr>
      </w:pPr>
      <w:r>
        <w:rPr>
          <w:rFonts w:ascii="SimHei" w:hAnsi="SimHei" w:eastAsia="SimHei" w:cs="SimHei"/>
          <w:sz w:val="29"/>
          <w:szCs w:val="29"/>
          <w:spacing w:val="-2"/>
        </w:rPr>
        <w:t>7、物资管理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spacing w:line="219" w:lineRule="auto"/>
        <w:sectPr>
          <w:footerReference w:type="default" r:id="rId628"/>
          <w:pgSz w:w="14490" w:h="20470"/>
          <w:pgMar w:top="400" w:right="1824" w:bottom="1447" w:left="2150" w:header="0" w:footer="1230" w:gutter="0"/>
        </w:sectPr>
        <w:rPr>
          <w:sz w:val="29"/>
          <w:szCs w:val="29"/>
        </w:rPr>
      </w:pP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BodyText"/>
        <w:ind w:left="570"/>
        <w:spacing w:before="95"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firstLine="570"/>
        <w:spacing w:before="127"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570"/>
        <w:spacing w:before="286" w:line="223" w:lineRule="auto"/>
        <w:rPr>
          <w:rFonts w:ascii="SimHei" w:hAnsi="SimHei" w:eastAsia="SimHei" w:cs="SimHei"/>
          <w:sz w:val="29"/>
          <w:szCs w:val="29"/>
        </w:rPr>
      </w:pPr>
      <w:r>
        <w:rPr>
          <w:rFonts w:ascii="SimHei" w:hAnsi="SimHei" w:eastAsia="SimHei" w:cs="SimHei"/>
          <w:sz w:val="29"/>
          <w:szCs w:val="29"/>
          <w:spacing w:val="6"/>
        </w:rPr>
        <w:t>三月份</w:t>
      </w:r>
    </w:p>
    <w:p>
      <w:pPr>
        <w:spacing w:line="332" w:lineRule="auto"/>
        <w:rPr>
          <w:rFonts w:ascii="Arial"/>
          <w:sz w:val="21"/>
        </w:rPr>
      </w:pPr>
      <w:r/>
    </w:p>
    <w:p>
      <w:pPr>
        <w:pStyle w:val="BodyText"/>
        <w:ind w:left="570"/>
        <w:spacing w:before="95" w:line="219" w:lineRule="auto"/>
        <w:rPr>
          <w:sz w:val="29"/>
          <w:szCs w:val="29"/>
        </w:rPr>
      </w:pPr>
      <w:r>
        <w:rPr>
          <w:sz w:val="29"/>
          <w:szCs w:val="29"/>
          <w:spacing w:val="4"/>
        </w:rPr>
        <w:t>气温继续上升，中旬以后，树木开始萌芽。</w:t>
      </w:r>
    </w:p>
    <w:p>
      <w:pPr>
        <w:pStyle w:val="BodyText"/>
        <w:ind w:left="570"/>
        <w:spacing w:before="13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03" w:line="219" w:lineRule="auto"/>
        <w:rPr>
          <w:sz w:val="29"/>
          <w:szCs w:val="29"/>
        </w:rPr>
      </w:pPr>
      <w:r>
        <w:rPr>
          <w:sz w:val="29"/>
          <w:szCs w:val="29"/>
          <w:spacing w:val="2"/>
        </w:rPr>
        <w:t>及时检查乔木支撑情况，发现松动或缺失立即加</w:t>
      </w:r>
      <w:r>
        <w:rPr>
          <w:sz w:val="29"/>
          <w:szCs w:val="29"/>
          <w:spacing w:val="1"/>
        </w:rPr>
        <w:t>固。</w:t>
      </w:r>
    </w:p>
    <w:p>
      <w:pPr>
        <w:ind w:left="570"/>
        <w:spacing w:before="11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27" w:firstLine="730"/>
        <w:spacing w:before="132" w:line="269" w:lineRule="auto"/>
        <w:rPr>
          <w:sz w:val="29"/>
          <w:szCs w:val="29"/>
        </w:rPr>
      </w:pPr>
      <w:r>
        <w:rPr>
          <w:sz w:val="29"/>
          <w:szCs w:val="29"/>
          <w:spacing w:val="6"/>
        </w:rPr>
        <w:t>(1)剪除风干抽梢严重的枝条，以及各种原因造成伤害的枝条短截。适时</w:t>
      </w:r>
      <w:r>
        <w:rPr>
          <w:sz w:val="29"/>
          <w:szCs w:val="29"/>
          <w:spacing w:val="2"/>
        </w:rPr>
        <w:t xml:space="preserve"> </w:t>
      </w:r>
      <w:r>
        <w:rPr>
          <w:sz w:val="29"/>
          <w:szCs w:val="29"/>
          <w:spacing w:val="-5"/>
        </w:rPr>
        <w:t>进行植物剥芽；</w:t>
      </w:r>
    </w:p>
    <w:p>
      <w:pPr>
        <w:pStyle w:val="BodyText"/>
        <w:ind w:right="379" w:firstLine="730"/>
        <w:spacing w:before="137" w:line="268" w:lineRule="auto"/>
        <w:rPr>
          <w:sz w:val="29"/>
          <w:szCs w:val="29"/>
        </w:rPr>
      </w:pPr>
      <w:r>
        <w:rPr>
          <w:sz w:val="29"/>
          <w:szCs w:val="29"/>
          <w:spacing w:val="4"/>
        </w:rPr>
        <w:t>(2)草坪修剪，修剪时注意不要有明显的漏剪痕迹，修剪尽可能的低些，</w:t>
      </w:r>
      <w:r>
        <w:rPr>
          <w:sz w:val="29"/>
          <w:szCs w:val="29"/>
          <w:spacing w:val="17"/>
        </w:rPr>
        <w:t xml:space="preserve"> </w:t>
      </w:r>
      <w:r>
        <w:rPr>
          <w:sz w:val="29"/>
          <w:szCs w:val="29"/>
          <w:spacing w:val="1"/>
        </w:rPr>
        <w:t>便于来年采光萌芽。草屑不得堆积在草坪里，局部浓密处可做梳草处理；</w:t>
      </w:r>
    </w:p>
    <w:p>
      <w:pPr>
        <w:pStyle w:val="BodyText"/>
        <w:ind w:left="730"/>
        <w:spacing w:before="176" w:line="219" w:lineRule="auto"/>
        <w:rPr>
          <w:sz w:val="29"/>
          <w:szCs w:val="29"/>
        </w:rPr>
      </w:pPr>
      <w:r>
        <w:rPr>
          <w:sz w:val="29"/>
          <w:szCs w:val="29"/>
          <w:spacing w:val="9"/>
        </w:rPr>
        <w:t>(3)本月底冬季所用的防寒物应适时拆除。</w:t>
      </w:r>
    </w:p>
    <w:p>
      <w:pPr>
        <w:ind w:left="570"/>
        <w:spacing w:before="8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37" w:firstLine="730"/>
        <w:spacing w:before="149" w:line="290" w:lineRule="auto"/>
        <w:rPr>
          <w:sz w:val="29"/>
          <w:szCs w:val="29"/>
        </w:rPr>
      </w:pPr>
      <w:r>
        <w:rPr>
          <w:sz w:val="29"/>
          <w:szCs w:val="29"/>
          <w:spacing w:val="4"/>
        </w:rPr>
        <w:t>①  春灌：中旬植物复苏，防止春旱给绿化苗木带来的严重伤害，对需要</w:t>
      </w:r>
      <w:r>
        <w:rPr>
          <w:sz w:val="29"/>
          <w:szCs w:val="29"/>
          <w:spacing w:val="12"/>
        </w:rPr>
        <w:t xml:space="preserve"> </w:t>
      </w:r>
      <w:r>
        <w:rPr>
          <w:sz w:val="29"/>
          <w:szCs w:val="29"/>
          <w:spacing w:val="-4"/>
        </w:rPr>
        <w:t>浇水的各种树木、花卉、草坪应及时灌透水2-3次。上年新种植的苗木，冻水量不</w:t>
      </w:r>
      <w:r>
        <w:rPr>
          <w:sz w:val="29"/>
          <w:szCs w:val="29"/>
          <w:spacing w:val="7"/>
        </w:rPr>
        <w:t xml:space="preserve"> </w:t>
      </w:r>
      <w:r>
        <w:rPr>
          <w:sz w:val="29"/>
          <w:szCs w:val="29"/>
        </w:rPr>
        <w:t>足的植物等根据气候回升情况、土壤解冻情况合理安排灌水。保证苗木的水分需</w:t>
      </w:r>
      <w:r>
        <w:rPr>
          <w:sz w:val="29"/>
          <w:szCs w:val="29"/>
          <w:spacing w:val="6"/>
        </w:rPr>
        <w:t xml:space="preserve"> </w:t>
      </w:r>
      <w:r>
        <w:rPr>
          <w:sz w:val="29"/>
          <w:szCs w:val="29"/>
          <w:spacing w:val="-12"/>
        </w:rPr>
        <w:t>求；</w:t>
      </w:r>
    </w:p>
    <w:p>
      <w:pPr>
        <w:pStyle w:val="BodyText"/>
        <w:ind w:right="327" w:firstLine="730"/>
        <w:spacing w:before="119" w:line="269" w:lineRule="auto"/>
        <w:rPr>
          <w:sz w:val="29"/>
          <w:szCs w:val="29"/>
        </w:rPr>
      </w:pPr>
      <w:r>
        <w:rPr>
          <w:sz w:val="29"/>
          <w:szCs w:val="29"/>
          <w:spacing w:val="2"/>
        </w:rPr>
        <w:t>②  施肥土壤解冻后，根据植物的生长特点及日常</w:t>
      </w:r>
      <w:r>
        <w:rPr>
          <w:sz w:val="29"/>
          <w:szCs w:val="29"/>
          <w:spacing w:val="1"/>
        </w:rPr>
        <w:t>管理措施结合灌水并需</w:t>
      </w:r>
      <w:r>
        <w:rPr>
          <w:sz w:val="29"/>
          <w:szCs w:val="29"/>
        </w:rPr>
        <w:t xml:space="preserve"> </w:t>
      </w:r>
      <w:r>
        <w:rPr>
          <w:sz w:val="29"/>
          <w:szCs w:val="29"/>
          <w:spacing w:val="2"/>
        </w:rPr>
        <w:t>进行适当的追肥，已速效复合肥为主，保证开会植物和草坪营养供给。</w:t>
      </w:r>
    </w:p>
    <w:p>
      <w:pPr>
        <w:pStyle w:val="BodyText"/>
        <w:ind w:left="570"/>
        <w:spacing w:before="19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05" w:line="219" w:lineRule="auto"/>
        <w:rPr>
          <w:sz w:val="29"/>
          <w:szCs w:val="29"/>
        </w:rPr>
      </w:pPr>
      <w:r>
        <w:rPr>
          <w:sz w:val="29"/>
          <w:szCs w:val="29"/>
          <w:spacing w:val="8"/>
        </w:rPr>
        <w:t>(1)病害：根腐病、流胶病等；</w:t>
      </w:r>
    </w:p>
    <w:p>
      <w:pPr>
        <w:pStyle w:val="BodyText"/>
        <w:ind w:right="320" w:firstLine="730"/>
        <w:spacing w:before="156" w:line="268" w:lineRule="auto"/>
        <w:rPr>
          <w:sz w:val="29"/>
          <w:szCs w:val="29"/>
        </w:rPr>
      </w:pPr>
      <w:r>
        <w:rPr>
          <w:sz w:val="29"/>
          <w:szCs w:val="29"/>
          <w:spacing w:val="6"/>
        </w:rPr>
        <w:t>(2)虫害：杜鹃冠网蝽、柑桔全爪螨、咖啡木蠹蛾、葡萄透翅蛾、柏肤小</w:t>
      </w:r>
      <w:r>
        <w:rPr>
          <w:sz w:val="29"/>
          <w:szCs w:val="29"/>
          <w:spacing w:val="10"/>
        </w:rPr>
        <w:t xml:space="preserve"> </w:t>
      </w:r>
      <w:r>
        <w:rPr>
          <w:sz w:val="29"/>
          <w:szCs w:val="29"/>
          <w:spacing w:val="1"/>
        </w:rPr>
        <w:t>蠹、白蚁、铜绿丽金龟、小地老虎、大地老虎、玉带凤蝶等。</w:t>
      </w:r>
    </w:p>
    <w:p>
      <w:pPr>
        <w:pStyle w:val="BodyText"/>
        <w:ind w:left="570"/>
        <w:spacing w:before="12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9" w:firstLine="730"/>
        <w:spacing w:before="10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right="323" w:firstLine="73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31" w:firstLine="730"/>
        <w:spacing w:before="103" w:line="315"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spacing w:line="315" w:lineRule="auto"/>
        <w:sectPr>
          <w:footerReference w:type="default" r:id="rId629"/>
          <w:pgSz w:w="14490" w:h="20470"/>
          <w:pgMar w:top="400" w:right="1945" w:bottom="1447" w:left="2150" w:header="0" w:footer="1231"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49" w:firstLine="730"/>
        <w:spacing w:before="94" w:line="323" w:lineRule="auto"/>
        <w:rPr>
          <w:sz w:val="29"/>
          <w:szCs w:val="29"/>
        </w:rPr>
      </w:pPr>
      <w:r>
        <w:rPr>
          <w:sz w:val="29"/>
          <w:szCs w:val="29"/>
          <w:spacing w:val="4"/>
        </w:rPr>
        <w:t>(2)根据现场的实际情况，申请购置4、5、6月份的农药、化肥、营养剂及 </w:t>
      </w:r>
      <w:r>
        <w:rPr>
          <w:sz w:val="29"/>
          <w:szCs w:val="29"/>
          <w:spacing w:val="-3"/>
        </w:rPr>
        <w:t>其它物资。</w:t>
      </w:r>
    </w:p>
    <w:p>
      <w:pPr>
        <w:pStyle w:val="BodyText"/>
        <w:ind w:left="570"/>
        <w:spacing w:before="3"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0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ind w:left="570"/>
        <w:spacing w:before="211" w:line="223" w:lineRule="auto"/>
        <w:rPr>
          <w:rFonts w:ascii="SimHei" w:hAnsi="SimHei" w:eastAsia="SimHei" w:cs="SimHei"/>
          <w:sz w:val="29"/>
          <w:szCs w:val="29"/>
        </w:rPr>
      </w:pPr>
      <w:r>
        <w:rPr>
          <w:rFonts w:ascii="SimHei" w:hAnsi="SimHei" w:eastAsia="SimHei" w:cs="SimHei"/>
          <w:sz w:val="29"/>
          <w:szCs w:val="29"/>
          <w:spacing w:val="2"/>
        </w:rPr>
        <w:t>四月份</w:t>
      </w:r>
    </w:p>
    <w:p>
      <w:pPr>
        <w:spacing w:line="372" w:lineRule="auto"/>
        <w:rPr>
          <w:rFonts w:ascii="Arial"/>
          <w:sz w:val="21"/>
        </w:rPr>
      </w:pPr>
      <w:r/>
    </w:p>
    <w:p>
      <w:pPr>
        <w:pStyle w:val="BodyText"/>
        <w:ind w:left="570"/>
        <w:spacing w:before="95" w:line="219" w:lineRule="auto"/>
        <w:rPr>
          <w:sz w:val="29"/>
          <w:szCs w:val="29"/>
        </w:rPr>
      </w:pPr>
      <w:r>
        <w:rPr>
          <w:sz w:val="29"/>
          <w:szCs w:val="29"/>
          <w:spacing w:val="4"/>
        </w:rPr>
        <w:t>气温继续上升，树木均萌芽开花或展叶开始进入生长旺盛期。</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03" w:line="219" w:lineRule="auto"/>
        <w:rPr>
          <w:sz w:val="29"/>
          <w:szCs w:val="29"/>
        </w:rPr>
      </w:pPr>
      <w:r>
        <w:rPr>
          <w:sz w:val="29"/>
          <w:szCs w:val="29"/>
          <w:spacing w:val="1"/>
        </w:rPr>
        <w:t>及时检查乔木支撑情况，发现松动或缺失立即加固。</w:t>
      </w:r>
    </w:p>
    <w:p>
      <w:pPr>
        <w:ind w:left="570"/>
        <w:spacing w:before="12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289" w:firstLine="730"/>
        <w:spacing w:before="140" w:line="261" w:lineRule="auto"/>
        <w:rPr>
          <w:sz w:val="29"/>
          <w:szCs w:val="29"/>
        </w:rPr>
      </w:pPr>
      <w:r>
        <w:rPr>
          <w:sz w:val="29"/>
          <w:szCs w:val="29"/>
          <w:spacing w:val="-6"/>
        </w:rPr>
        <w:t>①  剪除冬春干枯的枝条，对于早春开花的灌木适时进行花后修剪，以疏、</w:t>
      </w:r>
      <w:r>
        <w:rPr>
          <w:sz w:val="29"/>
          <w:szCs w:val="29"/>
          <w:spacing w:val="17"/>
        </w:rPr>
        <w:t xml:space="preserve"> </w:t>
      </w:r>
      <w:r>
        <w:rPr>
          <w:sz w:val="29"/>
          <w:szCs w:val="29"/>
          <w:spacing w:val="-15"/>
        </w:rPr>
        <w:t>截为主；</w:t>
      </w:r>
    </w:p>
    <w:p>
      <w:pPr>
        <w:pStyle w:val="BodyText"/>
        <w:ind w:right="292" w:firstLine="730"/>
        <w:spacing w:before="150" w:line="273" w:lineRule="auto"/>
        <w:rPr>
          <w:sz w:val="29"/>
          <w:szCs w:val="29"/>
        </w:rPr>
      </w:pPr>
      <w:r>
        <w:rPr>
          <w:sz w:val="29"/>
          <w:szCs w:val="29"/>
          <w:spacing w:val="3"/>
        </w:rPr>
        <w:t>②  对常绿树木及地被进行修剪，地被的修建高度根据观赏需要而定，但</w:t>
      </w:r>
      <w:r>
        <w:rPr>
          <w:sz w:val="29"/>
          <w:szCs w:val="29"/>
          <w:spacing w:val="2"/>
        </w:rPr>
        <w:t xml:space="preserve"> </w:t>
      </w:r>
      <w:r>
        <w:rPr>
          <w:sz w:val="29"/>
          <w:szCs w:val="29"/>
          <w:spacing w:val="-2"/>
        </w:rPr>
        <w:t>不应低于上年的修剪高度；</w:t>
      </w:r>
    </w:p>
    <w:p>
      <w:pPr>
        <w:pStyle w:val="BodyText"/>
        <w:ind w:right="289" w:firstLine="730"/>
        <w:spacing w:before="132" w:line="270" w:lineRule="auto"/>
        <w:rPr>
          <w:sz w:val="29"/>
          <w:szCs w:val="29"/>
        </w:rPr>
      </w:pPr>
      <w:r>
        <w:rPr>
          <w:sz w:val="29"/>
          <w:szCs w:val="29"/>
          <w:spacing w:val="3"/>
        </w:rPr>
        <w:t>③  对于造型色块要保证其原有的形状特征，使其轮廓清晰、表面平整、</w:t>
      </w:r>
      <w:r>
        <w:rPr>
          <w:sz w:val="29"/>
          <w:szCs w:val="29"/>
          <w:spacing w:val="5"/>
        </w:rPr>
        <w:t xml:space="preserve"> </w:t>
      </w:r>
      <w:r>
        <w:rPr>
          <w:sz w:val="29"/>
          <w:szCs w:val="29"/>
          <w:spacing w:val="-3"/>
        </w:rPr>
        <w:t>层次有序；</w:t>
      </w:r>
    </w:p>
    <w:p>
      <w:pPr>
        <w:pStyle w:val="BodyText"/>
        <w:ind w:right="319" w:firstLine="730"/>
        <w:spacing w:before="142" w:line="273" w:lineRule="auto"/>
        <w:rPr>
          <w:sz w:val="29"/>
          <w:szCs w:val="29"/>
        </w:rPr>
      </w:pPr>
      <w:r>
        <w:rPr>
          <w:sz w:val="29"/>
          <w:szCs w:val="29"/>
          <w:spacing w:val="-9"/>
        </w:rPr>
        <w:t>④</w:t>
      </w:r>
      <w:r>
        <w:rPr>
          <w:sz w:val="29"/>
          <w:szCs w:val="29"/>
          <w:spacing w:val="40"/>
        </w:rPr>
        <w:t xml:space="preserve">  </w:t>
      </w:r>
      <w:r>
        <w:rPr>
          <w:sz w:val="29"/>
          <w:szCs w:val="29"/>
          <w:spacing w:val="-9"/>
        </w:rPr>
        <w:t>根据草坪的长势、高度进行修剪。对上年生长旺</w:t>
      </w:r>
      <w:r>
        <w:rPr>
          <w:sz w:val="29"/>
          <w:szCs w:val="29"/>
          <w:spacing w:val="-10"/>
        </w:rPr>
        <w:t>盛、密度较大的草地，</w:t>
      </w:r>
      <w:r>
        <w:rPr>
          <w:sz w:val="29"/>
          <w:szCs w:val="29"/>
          <w:spacing w:val="1"/>
        </w:rPr>
        <w:t xml:space="preserve"> </w:t>
      </w:r>
      <w:r>
        <w:rPr>
          <w:sz w:val="29"/>
          <w:szCs w:val="29"/>
          <w:spacing w:val="-8"/>
        </w:rPr>
        <w:t>第一次修剪可以重剪；</w:t>
      </w:r>
    </w:p>
    <w:p>
      <w:pPr>
        <w:pStyle w:val="BodyText"/>
        <w:ind w:right="251" w:firstLine="730"/>
        <w:spacing w:before="124" w:line="272" w:lineRule="auto"/>
        <w:rPr>
          <w:sz w:val="29"/>
          <w:szCs w:val="29"/>
        </w:rPr>
      </w:pPr>
      <w:r>
        <w:rPr>
          <w:sz w:val="29"/>
          <w:szCs w:val="29"/>
          <w:spacing w:val="9"/>
        </w:rPr>
        <w:t>⑤  除草：阔叶杂草出现，要及时人工清除(新发</w:t>
      </w:r>
      <w:r>
        <w:rPr>
          <w:sz w:val="29"/>
          <w:szCs w:val="29"/>
          <w:spacing w:val="8"/>
        </w:rPr>
        <w:t>叶的嫩草不宜用化学药</w:t>
      </w:r>
      <w:r>
        <w:rPr>
          <w:sz w:val="29"/>
          <w:szCs w:val="29"/>
        </w:rPr>
        <w:t xml:space="preserve"> </w:t>
      </w:r>
      <w:r>
        <w:rPr>
          <w:sz w:val="29"/>
          <w:szCs w:val="29"/>
          <w:spacing w:val="-2"/>
        </w:rPr>
        <w:t>剂处理)。</w:t>
      </w:r>
    </w:p>
    <w:p>
      <w:pPr>
        <w:pStyle w:val="BodyText"/>
        <w:ind w:left="570"/>
        <w:spacing w:before="134"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right="247" w:firstLine="730"/>
        <w:spacing w:before="96" w:line="310" w:lineRule="auto"/>
        <w:jc w:val="both"/>
        <w:rPr>
          <w:sz w:val="29"/>
          <w:szCs w:val="29"/>
        </w:rPr>
      </w:pPr>
      <w:r>
        <w:rPr>
          <w:sz w:val="29"/>
          <w:szCs w:val="29"/>
          <w:spacing w:val="1"/>
        </w:rPr>
        <w:t>(1)</w:t>
      </w:r>
      <w:r>
        <w:rPr>
          <w:sz w:val="29"/>
          <w:szCs w:val="29"/>
          <w:spacing w:val="120"/>
        </w:rPr>
        <w:t xml:space="preserve"> </w:t>
      </w:r>
      <w:r>
        <w:rPr>
          <w:sz w:val="29"/>
          <w:szCs w:val="29"/>
          <w:spacing w:val="1"/>
        </w:rPr>
        <w:t>浇水：树木抽枝展叶盛期，春季开花的花灌木也正处</w:t>
      </w:r>
      <w:r>
        <w:rPr>
          <w:sz w:val="29"/>
          <w:szCs w:val="29"/>
        </w:rPr>
        <w:t>于开花期，绿篱 </w:t>
      </w:r>
      <w:r>
        <w:rPr>
          <w:sz w:val="29"/>
          <w:szCs w:val="29"/>
        </w:rPr>
        <w:t>及各种色块也逐渐进入生长期，草坪草的长势也进一</w:t>
      </w:r>
      <w:r>
        <w:rPr>
          <w:sz w:val="29"/>
          <w:szCs w:val="29"/>
          <w:spacing w:val="-1"/>
        </w:rPr>
        <w:t>步加速，各种植物的需水量</w:t>
      </w:r>
      <w:r>
        <w:rPr>
          <w:sz w:val="29"/>
          <w:szCs w:val="29"/>
        </w:rPr>
        <w:t xml:space="preserve"> </w:t>
      </w:r>
      <w:r>
        <w:rPr>
          <w:sz w:val="29"/>
          <w:szCs w:val="29"/>
        </w:rPr>
        <w:t>很大，应适时浇水满足苗木的生长要求，并及时松土保墒；</w:t>
      </w:r>
    </w:p>
    <w:p>
      <w:pPr>
        <w:pStyle w:val="BodyText"/>
        <w:ind w:right="267" w:firstLine="730"/>
        <w:spacing w:before="3" w:line="319" w:lineRule="auto"/>
        <w:jc w:val="both"/>
        <w:rPr>
          <w:sz w:val="29"/>
          <w:szCs w:val="29"/>
        </w:rPr>
      </w:pPr>
      <w:r>
        <w:rPr>
          <w:sz w:val="29"/>
          <w:szCs w:val="29"/>
          <w:spacing w:val="3"/>
        </w:rPr>
        <w:t>(2  施肥：结合浇水施入基肥，特别是喜肥植物，考虑到特殊性注重对种</w:t>
      </w:r>
      <w:r>
        <w:rPr>
          <w:sz w:val="29"/>
          <w:szCs w:val="29"/>
          <w:spacing w:val="8"/>
        </w:rPr>
        <w:t xml:space="preserve"> </w:t>
      </w:r>
      <w:r>
        <w:rPr>
          <w:sz w:val="29"/>
          <w:szCs w:val="29"/>
        </w:rPr>
        <w:t>植池内乔灌木、盐碱地有机肥、水的施用，争取</w:t>
      </w:r>
      <w:r>
        <w:rPr>
          <w:sz w:val="29"/>
          <w:szCs w:val="29"/>
          <w:spacing w:val="-1"/>
        </w:rPr>
        <w:t>月底所有苗木都春灌一次、草坪</w:t>
      </w:r>
      <w:r>
        <w:rPr>
          <w:sz w:val="29"/>
          <w:szCs w:val="29"/>
        </w:rPr>
        <w:t xml:space="preserve"> </w:t>
      </w:r>
      <w:r>
        <w:rPr>
          <w:sz w:val="29"/>
          <w:szCs w:val="29"/>
          <w:spacing w:val="1"/>
        </w:rPr>
        <w:t>尿素施肥一次促返青。</w:t>
      </w:r>
    </w:p>
    <w:p>
      <w:pPr>
        <w:pStyle w:val="BodyText"/>
        <w:ind w:left="570"/>
        <w:spacing w:before="1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15" w:line="219" w:lineRule="auto"/>
        <w:rPr>
          <w:sz w:val="29"/>
          <w:szCs w:val="29"/>
        </w:rPr>
      </w:pPr>
      <w:r>
        <w:rPr>
          <w:sz w:val="29"/>
          <w:szCs w:val="29"/>
          <w:spacing w:val="7"/>
        </w:rPr>
        <w:t>(1)病害：炭疽病、叶斑类病害、锈病、根腐</w:t>
      </w:r>
      <w:r>
        <w:rPr>
          <w:sz w:val="29"/>
          <w:szCs w:val="29"/>
          <w:spacing w:val="6"/>
        </w:rPr>
        <w:t>病、流胶病等；</w:t>
      </w:r>
    </w:p>
    <w:p>
      <w:pPr>
        <w:pStyle w:val="BodyText"/>
        <w:ind w:right="253" w:firstLine="730"/>
        <w:spacing w:before="134" w:line="279" w:lineRule="auto"/>
        <w:rPr>
          <w:sz w:val="29"/>
          <w:szCs w:val="29"/>
        </w:rPr>
      </w:pPr>
      <w:r>
        <w:rPr>
          <w:sz w:val="29"/>
          <w:szCs w:val="29"/>
          <w:spacing w:val="7"/>
        </w:rPr>
        <w:t>(2)虫害：大青叶蝉、桃蚜、桃粉蚜、桃瘤蚜、梨网冠蝽、杜鹃冠网蝽、</w:t>
      </w:r>
      <w:r>
        <w:rPr>
          <w:sz w:val="29"/>
          <w:szCs w:val="29"/>
          <w:spacing w:val="18"/>
        </w:rPr>
        <w:t xml:space="preserve"> </w:t>
      </w:r>
      <w:r>
        <w:rPr>
          <w:sz w:val="29"/>
          <w:szCs w:val="29"/>
          <w:spacing w:val="-8"/>
        </w:rPr>
        <w:t>樟叶木虱、柑桔全爪螨、桔绿粉虱、星天牛、咖啡木蠹蛾、葡萄透翅蛾、白</w:t>
      </w:r>
      <w:r>
        <w:rPr>
          <w:sz w:val="29"/>
          <w:szCs w:val="29"/>
          <w:spacing w:val="-9"/>
        </w:rPr>
        <w:t>杨透翅</w:t>
      </w:r>
      <w:r>
        <w:rPr>
          <w:sz w:val="29"/>
          <w:szCs w:val="29"/>
        </w:rPr>
        <w:t xml:space="preserve"> </w:t>
      </w:r>
      <w:r>
        <w:rPr>
          <w:sz w:val="29"/>
          <w:szCs w:val="29"/>
          <w:spacing w:val="-22"/>
        </w:rPr>
        <w:t>蛾、柏肤小蠹、白蚁、铜绿丽金龟、小地老虎、</w:t>
      </w:r>
      <w:r>
        <w:rPr>
          <w:sz w:val="29"/>
          <w:szCs w:val="29"/>
          <w:spacing w:val="-23"/>
        </w:rPr>
        <w:t>大地老虎、柳毒蛾、玉带凤蝶、</w:t>
      </w:r>
    </w:p>
    <w:p>
      <w:pPr>
        <w:spacing w:line="279" w:lineRule="auto"/>
        <w:sectPr>
          <w:footerReference w:type="default" r:id="rId630"/>
          <w:pgSz w:w="14490" w:h="20470"/>
          <w:pgMar w:top="400" w:right="1935" w:bottom="1447" w:left="2150" w:header="0" w:footer="1230"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樟叶蜂、柳蓝叶甲、枸桔潜跳甲等。</w:t>
      </w:r>
    </w:p>
    <w:p>
      <w:pPr>
        <w:pStyle w:val="BodyText"/>
        <w:ind w:left="600"/>
        <w:spacing w:before="6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50" w:firstLine="730"/>
        <w:spacing w:before="13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27" w:line="275"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186"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30"/>
        <w:spacing w:before="91"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1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1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82"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50" w:firstLine="600"/>
        <w:spacing w:before="12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10"/>
        </w:rPr>
        <w:t>教育，加强防火意识。及时清扫落叶、树挂，消除火灾隐患。同时注意库房的防火、</w:t>
      </w:r>
      <w:r>
        <w:rPr>
          <w:sz w:val="29"/>
          <w:szCs w:val="29"/>
          <w:spacing w:val="3"/>
        </w:rPr>
        <w:t xml:space="preserve"> </w:t>
      </w:r>
      <w:r>
        <w:rPr>
          <w:sz w:val="29"/>
          <w:szCs w:val="29"/>
          <w:spacing w:val="-5"/>
        </w:rPr>
        <w:t>防盗情况。</w:t>
      </w:r>
    </w:p>
    <w:p>
      <w:pPr>
        <w:ind w:left="600"/>
        <w:spacing w:before="282" w:line="223" w:lineRule="auto"/>
        <w:rPr>
          <w:rFonts w:ascii="SimHei" w:hAnsi="SimHei" w:eastAsia="SimHei" w:cs="SimHei"/>
          <w:sz w:val="29"/>
          <w:szCs w:val="29"/>
        </w:rPr>
      </w:pPr>
      <w:r>
        <w:rPr>
          <w:rFonts w:ascii="SimHei" w:hAnsi="SimHei" w:eastAsia="SimHei" w:cs="SimHei"/>
          <w:sz w:val="29"/>
          <w:szCs w:val="29"/>
          <w:spacing w:val="6"/>
        </w:rPr>
        <w:t>五月份</w:t>
      </w:r>
    </w:p>
    <w:p>
      <w:pPr>
        <w:spacing w:line="352" w:lineRule="auto"/>
        <w:rPr>
          <w:rFonts w:ascii="Arial"/>
          <w:sz w:val="21"/>
        </w:rPr>
      </w:pPr>
      <w:r/>
    </w:p>
    <w:p>
      <w:pPr>
        <w:pStyle w:val="BodyText"/>
        <w:ind w:left="600"/>
        <w:spacing w:before="95" w:line="219" w:lineRule="auto"/>
        <w:rPr>
          <w:sz w:val="29"/>
          <w:szCs w:val="29"/>
        </w:rPr>
      </w:pPr>
      <w:r>
        <w:rPr>
          <w:sz w:val="29"/>
          <w:szCs w:val="29"/>
          <w:spacing w:val="4"/>
        </w:rPr>
        <w:t>气温急骤上升，树木生长迅速。</w:t>
      </w:r>
    </w:p>
    <w:p>
      <w:pPr>
        <w:pStyle w:val="BodyText"/>
        <w:ind w:left="600"/>
        <w:spacing w:before="13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93" w:line="219" w:lineRule="auto"/>
        <w:rPr>
          <w:sz w:val="29"/>
          <w:szCs w:val="29"/>
        </w:rPr>
      </w:pPr>
      <w:r>
        <w:rPr>
          <w:sz w:val="29"/>
          <w:szCs w:val="29"/>
        </w:rPr>
        <w:t>及时检查乔木支撑情况，发现松动或缺失立即加固。</w:t>
      </w:r>
    </w:p>
    <w:p>
      <w:pPr>
        <w:pStyle w:val="BodyText"/>
        <w:ind w:left="600"/>
        <w:spacing w:before="124"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63" w:firstLine="730"/>
        <w:spacing w:before="145" w:line="279" w:lineRule="auto"/>
        <w:rPr>
          <w:sz w:val="29"/>
          <w:szCs w:val="29"/>
        </w:rPr>
      </w:pPr>
      <w:r>
        <w:rPr>
          <w:sz w:val="29"/>
          <w:szCs w:val="29"/>
          <w:spacing w:val="9"/>
        </w:rPr>
        <w:t>(1)新栽苗木的剥芽、去蘖。早春花灌木已陆</w:t>
      </w:r>
      <w:r>
        <w:rPr>
          <w:sz w:val="29"/>
          <w:szCs w:val="29"/>
          <w:spacing w:val="8"/>
        </w:rPr>
        <w:t>续进入开花末期，加强花后</w:t>
      </w:r>
      <w:r>
        <w:rPr>
          <w:sz w:val="29"/>
          <w:szCs w:val="29"/>
        </w:rPr>
        <w:t xml:space="preserve"> </w:t>
      </w:r>
      <w:r>
        <w:rPr>
          <w:sz w:val="29"/>
          <w:szCs w:val="29"/>
          <w:spacing w:val="-8"/>
        </w:rPr>
        <w:t>修剪工作，以疏枝、短截措施为主，及时剪除因折断等而枯黄的枝叶，</w:t>
      </w:r>
      <w:r>
        <w:rPr>
          <w:sz w:val="29"/>
          <w:szCs w:val="29"/>
          <w:spacing w:val="-9"/>
        </w:rPr>
        <w:t>维持树型均</w:t>
      </w:r>
      <w:r>
        <w:rPr>
          <w:sz w:val="29"/>
          <w:szCs w:val="29"/>
        </w:rPr>
        <w:t xml:space="preserve"> </w:t>
      </w:r>
      <w:r>
        <w:rPr>
          <w:sz w:val="29"/>
          <w:szCs w:val="29"/>
          <w:spacing w:val="-5"/>
        </w:rPr>
        <w:t>衡树势；</w:t>
      </w:r>
    </w:p>
    <w:p>
      <w:pPr>
        <w:pStyle w:val="BodyText"/>
        <w:ind w:left="730"/>
        <w:spacing w:before="155" w:line="219" w:lineRule="auto"/>
        <w:rPr>
          <w:sz w:val="29"/>
          <w:szCs w:val="29"/>
        </w:rPr>
      </w:pPr>
      <w:r>
        <w:rPr>
          <w:sz w:val="29"/>
          <w:szCs w:val="29"/>
          <w:spacing w:val="6"/>
        </w:rPr>
        <w:t>(2)对于常年开花的植物，例如月季，要及时剪除</w:t>
      </w:r>
      <w:r>
        <w:rPr>
          <w:sz w:val="29"/>
          <w:szCs w:val="29"/>
          <w:spacing w:val="5"/>
        </w:rPr>
        <w:t>残花，减少营养损失；</w:t>
      </w:r>
    </w:p>
    <w:p>
      <w:pPr>
        <w:pStyle w:val="BodyText"/>
        <w:ind w:right="380" w:firstLine="730"/>
        <w:spacing w:before="146" w:line="272" w:lineRule="auto"/>
        <w:rPr>
          <w:sz w:val="29"/>
          <w:szCs w:val="29"/>
        </w:rPr>
      </w:pPr>
      <w:r>
        <w:rPr>
          <w:sz w:val="29"/>
          <w:szCs w:val="29"/>
          <w:spacing w:val="7"/>
        </w:rPr>
        <w:t>(3)绿篱及色块新发叶期，要延迟修剪，平时剪除个别长枝条进行局部修</w:t>
      </w:r>
      <w:r>
        <w:rPr>
          <w:sz w:val="29"/>
          <w:szCs w:val="29"/>
          <w:spacing w:val="14"/>
        </w:rPr>
        <w:t xml:space="preserve"> </w:t>
      </w:r>
      <w:r>
        <w:rPr>
          <w:sz w:val="29"/>
          <w:szCs w:val="29"/>
          <w:spacing w:val="-1"/>
        </w:rPr>
        <w:t>整，待新叶大量生长时再修剪已保证造型轮廓明显，层次分明，提高观赏效果；</w:t>
      </w:r>
    </w:p>
    <w:p>
      <w:pPr>
        <w:pStyle w:val="BodyText"/>
        <w:ind w:right="369" w:firstLine="730"/>
        <w:spacing w:before="96" w:line="290" w:lineRule="auto"/>
        <w:rPr>
          <w:sz w:val="29"/>
          <w:szCs w:val="29"/>
        </w:rPr>
      </w:pPr>
      <w:r>
        <w:rPr>
          <w:sz w:val="29"/>
          <w:szCs w:val="29"/>
          <w:spacing w:val="8"/>
        </w:rPr>
        <w:t>(4)对草坪进行修剪，修剪时注意不要有明显的漏剪痕迹，剪下的草屑及</w:t>
      </w:r>
      <w:r>
        <w:rPr>
          <w:sz w:val="29"/>
          <w:szCs w:val="29"/>
          <w:spacing w:val="15"/>
        </w:rPr>
        <w:t xml:space="preserve"> </w:t>
      </w:r>
      <w:r>
        <w:rPr>
          <w:sz w:val="29"/>
          <w:szCs w:val="29"/>
          <w:spacing w:val="-8"/>
        </w:rPr>
        <w:t>时清运，不得堆积在草坪里，以减少病害源泉。以及</w:t>
      </w:r>
      <w:r>
        <w:rPr>
          <w:sz w:val="29"/>
          <w:szCs w:val="29"/>
          <w:spacing w:val="-9"/>
        </w:rPr>
        <w:t>草坪边线的修剪、浇水盘的修</w:t>
      </w:r>
      <w:r>
        <w:rPr>
          <w:sz w:val="29"/>
          <w:szCs w:val="29"/>
        </w:rPr>
        <w:t xml:space="preserve"> </w:t>
      </w:r>
      <w:r>
        <w:rPr>
          <w:sz w:val="29"/>
          <w:szCs w:val="29"/>
          <w:spacing w:val="-14"/>
        </w:rPr>
        <w:t>整。</w:t>
      </w:r>
    </w:p>
    <w:p>
      <w:pPr>
        <w:pStyle w:val="BodyText"/>
        <w:ind w:left="600"/>
        <w:spacing w:before="140"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499" w:firstLine="730"/>
        <w:spacing w:before="98" w:line="272" w:lineRule="auto"/>
        <w:rPr>
          <w:sz w:val="29"/>
          <w:szCs w:val="29"/>
        </w:rPr>
      </w:pPr>
      <w:r>
        <w:rPr>
          <w:sz w:val="29"/>
          <w:szCs w:val="29"/>
          <w:spacing w:val="4"/>
        </w:rPr>
        <w:t>(1)浇水：树木、灌木、花卉、草坪、绿篱及各种色块进入生长旺盛期，</w:t>
      </w:r>
      <w:r>
        <w:rPr>
          <w:sz w:val="29"/>
          <w:szCs w:val="29"/>
          <w:spacing w:val="17"/>
        </w:rPr>
        <w:t xml:space="preserve"> </w:t>
      </w:r>
      <w:r>
        <w:rPr>
          <w:sz w:val="29"/>
          <w:szCs w:val="29"/>
        </w:rPr>
        <w:t>各种植物的需水量很大，应适时浇水满足苗木的生长要求，并及</w:t>
      </w:r>
      <w:r>
        <w:rPr>
          <w:sz w:val="29"/>
          <w:szCs w:val="29"/>
          <w:spacing w:val="-1"/>
        </w:rPr>
        <w:t>时松土保墒；</w:t>
      </w:r>
    </w:p>
    <w:p>
      <w:pPr>
        <w:pStyle w:val="BodyText"/>
        <w:ind w:left="730"/>
        <w:spacing w:before="134" w:line="219" w:lineRule="auto"/>
        <w:rPr>
          <w:sz w:val="29"/>
          <w:szCs w:val="29"/>
        </w:rPr>
      </w:pPr>
      <w:r>
        <w:rPr>
          <w:sz w:val="29"/>
          <w:szCs w:val="29"/>
          <w:spacing w:val="8"/>
        </w:rPr>
        <w:t>(2)施肥：根据植物的生长发育情况，做到薄</w:t>
      </w:r>
      <w:r>
        <w:rPr>
          <w:sz w:val="29"/>
          <w:szCs w:val="29"/>
          <w:spacing w:val="7"/>
        </w:rPr>
        <w:t>肥勤施。特别是草坪，为均</w:t>
      </w:r>
    </w:p>
    <w:p>
      <w:pPr>
        <w:spacing w:line="219" w:lineRule="auto"/>
        <w:sectPr>
          <w:footerReference w:type="default" r:id="rId631"/>
          <w:pgSz w:w="14490" w:h="20470"/>
          <w:pgMar w:top="400" w:right="1824" w:bottom="1447" w:left="2150" w:header="0" w:footer="1230"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BodyText"/>
        <w:spacing w:before="94" w:line="216" w:lineRule="auto"/>
        <w:rPr>
          <w:sz w:val="29"/>
          <w:szCs w:val="29"/>
        </w:rPr>
      </w:pPr>
      <w:r>
        <w:rPr>
          <w:sz w:val="29"/>
          <w:szCs w:val="29"/>
          <w:spacing w:val="-1"/>
        </w:rPr>
        <w:t>匀长势，加强整体的观赏效果，遵循“弱多强少”,做到有针对性的施肥。</w:t>
      </w:r>
    </w:p>
    <w:p>
      <w:pPr>
        <w:pStyle w:val="BodyText"/>
        <w:ind w:left="600"/>
        <w:spacing w:before="122"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58" w:firstLine="730"/>
        <w:spacing w:before="135" w:line="272" w:lineRule="auto"/>
        <w:rPr>
          <w:sz w:val="29"/>
          <w:szCs w:val="29"/>
        </w:rPr>
      </w:pPr>
      <w:r>
        <w:rPr>
          <w:sz w:val="29"/>
          <w:szCs w:val="29"/>
          <w:spacing w:val="6"/>
        </w:rPr>
        <w:t>(1)病害：白粉病、炭疽病、叶斑类病害、锈病、干腐</w:t>
      </w:r>
      <w:r>
        <w:rPr>
          <w:sz w:val="29"/>
          <w:szCs w:val="29"/>
          <w:spacing w:val="5"/>
        </w:rPr>
        <w:t>病、根腐病、流胶</w:t>
      </w:r>
      <w:r>
        <w:rPr>
          <w:sz w:val="29"/>
          <w:szCs w:val="29"/>
        </w:rPr>
        <w:t xml:space="preserve"> </w:t>
      </w:r>
      <w:r>
        <w:rPr>
          <w:sz w:val="29"/>
          <w:szCs w:val="29"/>
          <w:spacing w:val="-3"/>
        </w:rPr>
        <w:t>病、细菌性穿孔病等；</w:t>
      </w:r>
    </w:p>
    <w:p>
      <w:pPr>
        <w:pStyle w:val="BodyText"/>
        <w:ind w:left="730"/>
        <w:spacing w:before="123" w:line="219" w:lineRule="auto"/>
        <w:rPr>
          <w:sz w:val="29"/>
          <w:szCs w:val="29"/>
        </w:rPr>
      </w:pPr>
      <w:r>
        <w:rPr>
          <w:sz w:val="29"/>
          <w:szCs w:val="29"/>
          <w:spacing w:val="8"/>
        </w:rPr>
        <w:t>(2)虫害：大青叶蝉、桃蚜、桃粉蚜、桃瘤蚜、梨网冠蝽、</w:t>
      </w:r>
      <w:r>
        <w:rPr>
          <w:sz w:val="29"/>
          <w:szCs w:val="29"/>
          <w:spacing w:val="7"/>
        </w:rPr>
        <w:t>杜鹃冠网蝽、</w:t>
      </w:r>
    </w:p>
    <w:p>
      <w:pPr>
        <w:pStyle w:val="BodyText"/>
        <w:ind w:right="110"/>
        <w:spacing w:before="148" w:line="292" w:lineRule="auto"/>
        <w:rPr>
          <w:sz w:val="29"/>
          <w:szCs w:val="29"/>
        </w:rPr>
      </w:pPr>
      <w:r>
        <w:rPr>
          <w:sz w:val="29"/>
          <w:szCs w:val="29"/>
          <w:spacing w:val="-9"/>
        </w:rPr>
        <w:t>樟叶木虱、柑桔全爪螨、桔绿粉虱、星天牛、云斑天牛、咖啡木蠹蛾、葡萄透翅蛾、</w:t>
      </w:r>
      <w:r>
        <w:rPr>
          <w:sz w:val="29"/>
          <w:szCs w:val="29"/>
          <w:spacing w:val="6"/>
        </w:rPr>
        <w:t xml:space="preserve"> </w:t>
      </w:r>
      <w:r>
        <w:rPr>
          <w:sz w:val="29"/>
          <w:szCs w:val="29"/>
          <w:spacing w:val="-8"/>
        </w:rPr>
        <w:t>白杨透翅蛾、柏肤小蠹、白蚁、铜绿丽金龟、大地老虎、蝼蛄、柳毒蛾、桃剑纹夜</w:t>
      </w:r>
      <w:r>
        <w:rPr>
          <w:sz w:val="29"/>
          <w:szCs w:val="29"/>
        </w:rPr>
        <w:t xml:space="preserve">  </w:t>
      </w:r>
      <w:r>
        <w:rPr>
          <w:sz w:val="29"/>
          <w:szCs w:val="29"/>
        </w:rPr>
        <w:t>蛾、丝棉木金星尺蛾、国槐尺蛾、樟蚕(枫蚕)、绿</w:t>
      </w:r>
      <w:r>
        <w:rPr>
          <w:sz w:val="29"/>
          <w:szCs w:val="29"/>
          <w:spacing w:val="-1"/>
        </w:rPr>
        <w:t>尾大蚕蛾、柑桔凤蝶、玉带凤</w:t>
      </w:r>
      <w:r>
        <w:rPr>
          <w:sz w:val="29"/>
          <w:szCs w:val="29"/>
        </w:rPr>
        <w:t xml:space="preserve">  </w:t>
      </w:r>
      <w:r>
        <w:rPr>
          <w:sz w:val="29"/>
          <w:szCs w:val="29"/>
        </w:rPr>
        <w:t>蝶、蔷薇三节叶蜂、樟叶蜂、柳蓝叶甲、葡</w:t>
      </w:r>
      <w:r>
        <w:rPr>
          <w:sz w:val="29"/>
          <w:szCs w:val="29"/>
          <w:spacing w:val="-1"/>
        </w:rPr>
        <w:t>萄十星叶甲、枸桔潜跳甲、红棕象甲</w:t>
      </w:r>
      <w:r>
        <w:rPr>
          <w:sz w:val="29"/>
          <w:szCs w:val="29"/>
        </w:rPr>
        <w:t xml:space="preserve">  </w:t>
      </w:r>
      <w:r>
        <w:rPr>
          <w:sz w:val="29"/>
          <w:szCs w:val="29"/>
          <w:spacing w:val="-9"/>
        </w:rPr>
        <w:t>等。</w:t>
      </w:r>
    </w:p>
    <w:p>
      <w:pPr>
        <w:pStyle w:val="BodyText"/>
        <w:ind w:left="600"/>
        <w:spacing w:before="17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60" w:firstLine="730"/>
        <w:spacing w:before="113" w:line="262"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2"/>
        </w:rPr>
        <w:t>池、灯杆、垃圾桶保持干净；</w:t>
      </w:r>
    </w:p>
    <w:p>
      <w:pPr>
        <w:pStyle w:val="BodyText"/>
        <w:ind w:right="413" w:firstLine="730"/>
        <w:spacing w:before="146" w:line="266"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2"/>
        </w:rPr>
        <w:t>售展示区)进行彻底清理。</w:t>
      </w:r>
    </w:p>
    <w:p>
      <w:pPr>
        <w:ind w:left="60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8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12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10" w:firstLine="600"/>
        <w:spacing w:before="12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ind w:left="600"/>
        <w:spacing w:before="282" w:line="223" w:lineRule="auto"/>
        <w:rPr>
          <w:rFonts w:ascii="SimHei" w:hAnsi="SimHei" w:eastAsia="SimHei" w:cs="SimHei"/>
          <w:sz w:val="29"/>
          <w:szCs w:val="29"/>
        </w:rPr>
      </w:pPr>
      <w:r>
        <w:rPr>
          <w:rFonts w:ascii="SimHei" w:hAnsi="SimHei" w:eastAsia="SimHei" w:cs="SimHei"/>
          <w:sz w:val="29"/>
          <w:szCs w:val="29"/>
          <w:spacing w:val="6"/>
        </w:rPr>
        <w:t>六月份</w:t>
      </w:r>
    </w:p>
    <w:p>
      <w:pPr>
        <w:spacing w:line="340" w:lineRule="auto"/>
        <w:rPr>
          <w:rFonts w:ascii="Arial"/>
          <w:sz w:val="21"/>
        </w:rPr>
      </w:pPr>
      <w:r/>
    </w:p>
    <w:p>
      <w:pPr>
        <w:pStyle w:val="BodyText"/>
        <w:ind w:left="600"/>
        <w:spacing w:before="95" w:line="219" w:lineRule="auto"/>
        <w:rPr>
          <w:sz w:val="29"/>
          <w:szCs w:val="29"/>
        </w:rPr>
      </w:pPr>
      <w:r>
        <w:rPr>
          <w:sz w:val="29"/>
          <w:szCs w:val="29"/>
          <w:spacing w:val="2"/>
        </w:rPr>
        <w:t>雨季来来临，做好防台防暴雨准备。</w:t>
      </w:r>
    </w:p>
    <w:p>
      <w:pPr>
        <w:ind w:left="600"/>
        <w:spacing w:before="126" w:line="222" w:lineRule="auto"/>
        <w:rPr>
          <w:rFonts w:ascii="SimHei" w:hAnsi="SimHei" w:eastAsia="SimHei" w:cs="SimHei"/>
          <w:sz w:val="29"/>
          <w:szCs w:val="29"/>
        </w:rPr>
      </w:pPr>
      <w:r>
        <w:rPr>
          <w:rFonts w:ascii="SimHei" w:hAnsi="SimHei" w:eastAsia="SimHei" w:cs="SimHei"/>
          <w:sz w:val="29"/>
          <w:szCs w:val="29"/>
          <w:spacing w:val="-4"/>
        </w:rPr>
        <w:t>1</w:t>
      </w:r>
      <w:r>
        <w:rPr>
          <w:rFonts w:ascii="SimHei" w:hAnsi="SimHei" w:eastAsia="SimHei" w:cs="SimHei"/>
          <w:sz w:val="29"/>
          <w:szCs w:val="29"/>
          <w:spacing w:val="-84"/>
        </w:rPr>
        <w:t xml:space="preserve"> </w:t>
      </w:r>
      <w:r>
        <w:rPr>
          <w:rFonts w:ascii="SimHei" w:hAnsi="SimHei" w:eastAsia="SimHei" w:cs="SimHei"/>
          <w:sz w:val="29"/>
          <w:szCs w:val="29"/>
          <w:spacing w:val="-4"/>
        </w:rPr>
        <w:t>、现场检查</w:t>
      </w:r>
    </w:p>
    <w:p>
      <w:pPr>
        <w:pStyle w:val="BodyText"/>
        <w:ind w:left="600"/>
        <w:spacing w:before="123" w:line="219" w:lineRule="auto"/>
        <w:rPr>
          <w:sz w:val="29"/>
          <w:szCs w:val="29"/>
        </w:rPr>
      </w:pPr>
      <w:r>
        <w:rPr>
          <w:sz w:val="29"/>
          <w:szCs w:val="29"/>
        </w:rPr>
        <w:t>及时检查乔木支撑情况，发现松动或缺失立即加固。</w:t>
      </w:r>
    </w:p>
    <w:p>
      <w:pPr>
        <w:ind w:left="600"/>
        <w:spacing w:before="9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143" w:line="219" w:lineRule="auto"/>
        <w:rPr>
          <w:sz w:val="29"/>
          <w:szCs w:val="29"/>
        </w:rPr>
      </w:pPr>
      <w:r>
        <w:rPr>
          <w:sz w:val="29"/>
          <w:szCs w:val="29"/>
          <w:spacing w:val="14"/>
        </w:rPr>
        <w:t>(1)可将树冠大、叶密、根浅的苗木(洋槐、法桐等)适当进行疏剪；</w:t>
      </w:r>
    </w:p>
    <w:p>
      <w:pPr>
        <w:pStyle w:val="BodyText"/>
        <w:ind w:right="458" w:firstLine="730"/>
        <w:spacing w:before="135" w:line="269" w:lineRule="auto"/>
        <w:rPr>
          <w:sz w:val="29"/>
          <w:szCs w:val="29"/>
        </w:rPr>
      </w:pPr>
      <w:r>
        <w:rPr>
          <w:sz w:val="29"/>
          <w:szCs w:val="29"/>
          <w:spacing w:val="6"/>
        </w:rPr>
        <w:t>(2)对与高压电线及路灯、建筑物有矛盾的枝杈也应进</w:t>
      </w:r>
      <w:r>
        <w:rPr>
          <w:sz w:val="29"/>
          <w:szCs w:val="29"/>
          <w:spacing w:val="5"/>
        </w:rPr>
        <w:t>行剪除，同时要及</w:t>
      </w:r>
      <w:r>
        <w:rPr>
          <w:sz w:val="29"/>
          <w:szCs w:val="29"/>
        </w:rPr>
        <w:t xml:space="preserve"> </w:t>
      </w:r>
      <w:r>
        <w:rPr>
          <w:sz w:val="29"/>
          <w:szCs w:val="29"/>
          <w:spacing w:val="-4"/>
        </w:rPr>
        <w:t>时去除根蘖及萌蘖；</w:t>
      </w:r>
    </w:p>
    <w:p>
      <w:pPr>
        <w:pStyle w:val="BodyText"/>
        <w:ind w:right="457" w:firstLine="730"/>
        <w:spacing w:before="146" w:line="272" w:lineRule="auto"/>
        <w:rPr>
          <w:sz w:val="29"/>
          <w:szCs w:val="29"/>
        </w:rPr>
      </w:pPr>
      <w:r>
        <w:rPr>
          <w:sz w:val="29"/>
          <w:szCs w:val="29"/>
          <w:spacing w:val="6"/>
        </w:rPr>
        <w:t>(3)绿篱及色块要剪除个别长枝条进行局部修整，保证造</w:t>
      </w:r>
      <w:r>
        <w:rPr>
          <w:sz w:val="29"/>
          <w:szCs w:val="29"/>
          <w:spacing w:val="5"/>
        </w:rPr>
        <w:t>型轮廓明显，层</w:t>
      </w:r>
      <w:r>
        <w:rPr>
          <w:sz w:val="29"/>
          <w:szCs w:val="29"/>
        </w:rPr>
        <w:t xml:space="preserve"> </w:t>
      </w:r>
      <w:r>
        <w:rPr>
          <w:sz w:val="29"/>
          <w:szCs w:val="29"/>
          <w:spacing w:val="-7"/>
        </w:rPr>
        <w:t>次分明；</w:t>
      </w:r>
    </w:p>
    <w:p>
      <w:pPr>
        <w:pStyle w:val="BodyText"/>
        <w:ind w:right="461" w:firstLine="730"/>
        <w:spacing w:before="146" w:line="268" w:lineRule="auto"/>
        <w:rPr>
          <w:sz w:val="29"/>
          <w:szCs w:val="29"/>
        </w:rPr>
      </w:pPr>
      <w:r>
        <w:rPr>
          <w:sz w:val="29"/>
          <w:szCs w:val="29"/>
          <w:spacing w:val="6"/>
        </w:rPr>
        <w:t>(4)草坪修剪，修剪后及时喷药进行病害的防治</w:t>
      </w:r>
      <w:r>
        <w:rPr>
          <w:sz w:val="29"/>
          <w:szCs w:val="29"/>
          <w:spacing w:val="5"/>
        </w:rPr>
        <w:t>，干旱时及时灌透水。草</w:t>
      </w:r>
      <w:r>
        <w:rPr>
          <w:sz w:val="29"/>
          <w:szCs w:val="29"/>
        </w:rPr>
        <w:t xml:space="preserve"> </w:t>
      </w:r>
      <w:r>
        <w:rPr>
          <w:sz w:val="29"/>
          <w:szCs w:val="29"/>
        </w:rPr>
        <w:t>坪打孔、梳草，本季节适合草坪的打孔，最好是在雨后进行；</w:t>
      </w:r>
    </w:p>
    <w:p>
      <w:pPr>
        <w:spacing w:line="268" w:lineRule="auto"/>
        <w:sectPr>
          <w:footerReference w:type="default" r:id="rId632"/>
          <w:pgSz w:w="14490" w:h="20470"/>
          <w:pgMar w:top="400" w:right="1824" w:bottom="1447" w:left="2150" w:header="0" w:footer="1231"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8"/>
        </w:rPr>
        <w:t>(5)切边：草坪边线的修剪、浇水盘的修整。</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70"/>
        <w:spacing w:before="133" w:line="219" w:lineRule="auto"/>
        <w:rPr>
          <w:sz w:val="29"/>
          <w:szCs w:val="29"/>
        </w:rPr>
      </w:pPr>
      <w:r>
        <w:rPr>
          <w:sz w:val="29"/>
          <w:szCs w:val="29"/>
        </w:rPr>
        <w:t>应根据雨量减少浇水量和次数，并及时松土保墒。</w:t>
      </w:r>
    </w:p>
    <w:p>
      <w:pPr>
        <w:pStyle w:val="BodyText"/>
        <w:ind w:left="570"/>
        <w:spacing w:before="12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95" w:firstLine="730"/>
        <w:spacing w:before="143" w:line="263" w:lineRule="auto"/>
        <w:rPr>
          <w:sz w:val="29"/>
          <w:szCs w:val="29"/>
        </w:rPr>
      </w:pPr>
      <w:r>
        <w:rPr>
          <w:sz w:val="29"/>
          <w:szCs w:val="29"/>
          <w:spacing w:val="5"/>
        </w:rPr>
        <w:t>(1)病害：白粉病、炭疽病、锈病、煤污病、叶枯病、干腐病、枝枯病、</w:t>
      </w:r>
      <w:r>
        <w:rPr>
          <w:sz w:val="29"/>
          <w:szCs w:val="29"/>
          <w:spacing w:val="13"/>
        </w:rPr>
        <w:t xml:space="preserve"> </w:t>
      </w:r>
      <w:r>
        <w:rPr>
          <w:sz w:val="29"/>
          <w:szCs w:val="29"/>
        </w:rPr>
        <w:t>流胶病、枯萎病、草坪腐霉枯萎病、细菌性穿孔病等；</w:t>
      </w:r>
    </w:p>
    <w:p>
      <w:pPr>
        <w:pStyle w:val="BodyText"/>
        <w:ind w:left="730"/>
        <w:spacing w:before="173" w:line="219" w:lineRule="auto"/>
        <w:rPr/>
      </w:pPr>
      <w:r>
        <w:rPr>
          <w:spacing w:val="17"/>
        </w:rPr>
        <w:t>(2)虫害：大青叶蝉、桃粉蚜、梨网冠蝽、杜鹃冠网蝽、梧桐木虱、樟叶</w:t>
      </w:r>
    </w:p>
    <w:p>
      <w:pPr>
        <w:pStyle w:val="BodyText"/>
        <w:spacing w:before="149" w:line="219" w:lineRule="auto"/>
        <w:rPr/>
      </w:pPr>
      <w:r>
        <w:rPr/>
        <w:t>木虱、花蓟马、桑天牛、星天牛、云斑天牛、咖啡木</w:t>
      </w:r>
      <w:r>
        <w:rPr>
          <w:spacing w:val="-1"/>
        </w:rPr>
        <w:t>蠹蛾、葡萄透翅蛾、白杨透翅</w:t>
      </w:r>
    </w:p>
    <w:p>
      <w:pPr>
        <w:pStyle w:val="BodyText"/>
        <w:spacing w:before="158" w:line="288" w:lineRule="auto"/>
        <w:rPr/>
      </w:pPr>
      <w:r>
        <w:rPr>
          <w:spacing w:val="5"/>
        </w:rPr>
        <w:t>蛾、柏肤小蠹、白蚁、大地老虎、蝼蛄、黄刺蛾、扁刺蛾、丽绿刺蛾</w:t>
      </w:r>
      <w:r>
        <w:rPr>
          <w:spacing w:val="4"/>
        </w:rPr>
        <w:t>、褐边绿刺蛾、</w:t>
      </w:r>
      <w:r>
        <w:rPr/>
        <w:t xml:space="preserve"> </w:t>
      </w:r>
      <w:r>
        <w:rPr>
          <w:spacing w:val="5"/>
        </w:rPr>
        <w:t>桑褐刺蛾、茶袋蛾、大袋蛾、黄尾毒蛾、桃剑纹夜蛾、丝棉木金星尺蛾</w:t>
      </w:r>
      <w:r>
        <w:rPr>
          <w:spacing w:val="4"/>
        </w:rPr>
        <w:t>、国槐尺蛾、</w:t>
      </w:r>
      <w:r>
        <w:rPr/>
        <w:t xml:space="preserve"> </w:t>
      </w:r>
      <w:r>
        <w:rPr>
          <w:spacing w:val="17"/>
        </w:rPr>
        <w:t>樟蚕(枫蚕)、绿尾大蚕蛾、柑桔凤蝶、玉带凤蝶、蔷薇三节叶蜂、樟叶蜂、柳</w:t>
      </w:r>
    </w:p>
    <w:p>
      <w:pPr>
        <w:pStyle w:val="BodyText"/>
        <w:spacing w:before="150" w:line="219" w:lineRule="auto"/>
        <w:rPr/>
      </w:pPr>
      <w:r>
        <w:rPr>
          <w:spacing w:val="10"/>
        </w:rPr>
        <w:t>蓝叶甲、葡萄十星叶甲、红棕象甲等。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75" w:firstLine="730"/>
        <w:spacing w:before="8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68" w:firstLine="730"/>
        <w:spacing w:before="167"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7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476" w:firstLine="730"/>
        <w:spacing w:before="103"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474" w:firstLine="730"/>
        <w:spacing w:before="122" w:line="277"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5"/>
        </w:rPr>
        <w:t>其它物资；</w:t>
      </w:r>
    </w:p>
    <w:p>
      <w:pPr>
        <w:pStyle w:val="BodyText"/>
        <w:ind w:left="730"/>
        <w:spacing w:before="149" w:line="219" w:lineRule="auto"/>
        <w:rPr>
          <w:sz w:val="29"/>
          <w:szCs w:val="29"/>
        </w:rPr>
      </w:pPr>
      <w:r>
        <w:rPr>
          <w:sz w:val="29"/>
          <w:szCs w:val="29"/>
          <w:spacing w:val="12"/>
        </w:rPr>
        <w:t>(3)进行机械工具的检查维修。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135" w:firstLine="570"/>
        <w:spacing w:before="145"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ind w:left="570"/>
        <w:spacing w:before="266" w:line="223" w:lineRule="auto"/>
        <w:rPr>
          <w:rFonts w:ascii="SimHei" w:hAnsi="SimHei" w:eastAsia="SimHei" w:cs="SimHei"/>
          <w:sz w:val="29"/>
          <w:szCs w:val="29"/>
        </w:rPr>
      </w:pPr>
      <w:r>
        <w:rPr>
          <w:rFonts w:ascii="SimHei" w:hAnsi="SimHei" w:eastAsia="SimHei" w:cs="SimHei"/>
          <w:sz w:val="29"/>
          <w:szCs w:val="29"/>
          <w:spacing w:val="6"/>
        </w:rPr>
        <w:t>七月份</w:t>
      </w:r>
    </w:p>
    <w:p>
      <w:pPr>
        <w:spacing w:line="362" w:lineRule="auto"/>
        <w:rPr>
          <w:rFonts w:ascii="Arial"/>
          <w:sz w:val="21"/>
        </w:rPr>
      </w:pPr>
      <w:r/>
    </w:p>
    <w:p>
      <w:pPr>
        <w:pStyle w:val="BodyText"/>
        <w:ind w:left="570"/>
        <w:spacing w:before="95" w:line="219" w:lineRule="auto"/>
        <w:rPr>
          <w:sz w:val="29"/>
          <w:szCs w:val="29"/>
        </w:rPr>
      </w:pPr>
      <w:r>
        <w:rPr>
          <w:sz w:val="29"/>
          <w:szCs w:val="29"/>
          <w:spacing w:val="5"/>
        </w:rPr>
        <w:t>雨季高发期，注意防台风，排水涝。</w:t>
      </w:r>
    </w:p>
    <w:p>
      <w:pPr>
        <w:pStyle w:val="BodyText"/>
        <w:ind w:left="570"/>
        <w:spacing w:before="10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23" w:line="219" w:lineRule="auto"/>
        <w:rPr>
          <w:sz w:val="29"/>
          <w:szCs w:val="29"/>
        </w:rPr>
      </w:pPr>
      <w:r>
        <w:rPr>
          <w:sz w:val="29"/>
          <w:szCs w:val="29"/>
          <w:spacing w:val="1"/>
        </w:rPr>
        <w:t>及时检查乔木支撑情况，发现松动或缺失立即加固。</w:t>
      </w:r>
    </w:p>
    <w:p>
      <w:pPr>
        <w:ind w:left="570"/>
        <w:spacing w:before="10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143" w:line="219" w:lineRule="auto"/>
        <w:rPr>
          <w:sz w:val="29"/>
          <w:szCs w:val="29"/>
        </w:rPr>
      </w:pPr>
      <w:r>
        <w:rPr>
          <w:sz w:val="29"/>
          <w:szCs w:val="29"/>
          <w:spacing w:val="7"/>
        </w:rPr>
        <w:t>(1)雨季来临，对树冠大、叶密、根浅的苗木适当进行疏剪，及时去除根</w:t>
      </w:r>
    </w:p>
    <w:p>
      <w:pPr>
        <w:spacing w:line="219" w:lineRule="auto"/>
        <w:sectPr>
          <w:footerReference w:type="default" r:id="rId633"/>
          <w:pgSz w:w="14490" w:h="20470"/>
          <w:pgMar w:top="400" w:right="1799" w:bottom="1433" w:left="2150" w:header="0" w:footer="1234"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68"/>
        <w:spacing w:before="94" w:line="310" w:lineRule="auto"/>
        <w:jc w:val="both"/>
        <w:rPr>
          <w:sz w:val="29"/>
          <w:szCs w:val="29"/>
        </w:rPr>
      </w:pPr>
      <w:r>
        <w:rPr>
          <w:sz w:val="29"/>
          <w:szCs w:val="29"/>
        </w:rPr>
        <w:t>蘖及疯蘖。剪除因刮风下雨而折断等而枯黄的</w:t>
      </w:r>
      <w:r>
        <w:rPr>
          <w:sz w:val="29"/>
          <w:szCs w:val="29"/>
          <w:spacing w:val="-1"/>
        </w:rPr>
        <w:t>枝叶，维持树型。剪除残花，减少</w:t>
      </w:r>
      <w:r>
        <w:rPr>
          <w:sz w:val="29"/>
          <w:szCs w:val="29"/>
        </w:rPr>
        <w:t xml:space="preserve"> </w:t>
      </w:r>
      <w:r>
        <w:rPr>
          <w:sz w:val="29"/>
          <w:szCs w:val="29"/>
          <w:spacing w:val="-10"/>
        </w:rPr>
        <w:t>营养损失。草坪修剪，可以适当放低修剪，增加通透性，减少病害的发生。修剪时</w:t>
      </w:r>
      <w:r>
        <w:rPr>
          <w:sz w:val="29"/>
          <w:szCs w:val="29"/>
          <w:spacing w:val="5"/>
        </w:rPr>
        <w:t xml:space="preserve"> </w:t>
      </w:r>
      <w:r>
        <w:rPr>
          <w:sz w:val="29"/>
          <w:szCs w:val="29"/>
          <w:spacing w:val="2"/>
        </w:rPr>
        <w:t>注意不要有明显的漏剪痕迹，剪下的草屑及时清</w:t>
      </w:r>
      <w:r>
        <w:rPr>
          <w:sz w:val="29"/>
          <w:szCs w:val="29"/>
          <w:spacing w:val="1"/>
        </w:rPr>
        <w:t>运，不得堆积在草坪里；</w:t>
      </w:r>
    </w:p>
    <w:p>
      <w:pPr>
        <w:pStyle w:val="BodyText"/>
        <w:ind w:right="49" w:firstLine="730"/>
        <w:spacing w:before="29" w:line="287" w:lineRule="auto"/>
        <w:rPr>
          <w:sz w:val="29"/>
          <w:szCs w:val="29"/>
        </w:rPr>
      </w:pPr>
      <w:r>
        <w:rPr>
          <w:sz w:val="29"/>
          <w:szCs w:val="29"/>
          <w:spacing w:val="9"/>
        </w:rPr>
        <w:t>(2)对苗木适当进行疏剪、除根蘖、疯蘖，剪除折断等枯黄的枝叶。剪残</w:t>
      </w:r>
      <w:r>
        <w:rPr>
          <w:sz w:val="29"/>
          <w:szCs w:val="29"/>
        </w:rPr>
        <w:t xml:space="preserve">  </w:t>
      </w:r>
      <w:r>
        <w:rPr>
          <w:sz w:val="29"/>
          <w:szCs w:val="29"/>
          <w:spacing w:val="-10"/>
        </w:rPr>
        <w:t>花，减少营养损失。绿篱及色块要剪除个别长枝条。草坪修剪，可以</w:t>
      </w:r>
      <w:r>
        <w:rPr>
          <w:sz w:val="29"/>
          <w:szCs w:val="29"/>
          <w:spacing w:val="-11"/>
        </w:rPr>
        <w:t>适当放低修剪，</w:t>
      </w:r>
      <w:r>
        <w:rPr>
          <w:sz w:val="29"/>
          <w:szCs w:val="29"/>
        </w:rPr>
        <w:t xml:space="preserve"> </w:t>
      </w:r>
      <w:r>
        <w:rPr>
          <w:sz w:val="29"/>
          <w:szCs w:val="29"/>
          <w:spacing w:val="-8"/>
        </w:rPr>
        <w:t>增加通透性，减少病害的发生。修剪时不要有漏剪</w:t>
      </w:r>
      <w:r>
        <w:rPr>
          <w:sz w:val="29"/>
          <w:szCs w:val="29"/>
          <w:spacing w:val="-9"/>
        </w:rPr>
        <w:t>痕迹，剪下的草屑及时清运，保</w:t>
      </w:r>
      <w:r>
        <w:rPr>
          <w:sz w:val="29"/>
          <w:szCs w:val="29"/>
        </w:rPr>
        <w:t xml:space="preserve">  </w:t>
      </w:r>
      <w:r>
        <w:rPr>
          <w:sz w:val="29"/>
          <w:szCs w:val="29"/>
          <w:spacing w:val="-7"/>
        </w:rPr>
        <w:t>持草坪清洁；</w:t>
      </w:r>
    </w:p>
    <w:p>
      <w:pPr>
        <w:pStyle w:val="BodyText"/>
        <w:ind w:right="349" w:firstLine="730"/>
        <w:spacing w:before="154" w:line="269" w:lineRule="auto"/>
        <w:rPr>
          <w:sz w:val="29"/>
          <w:szCs w:val="29"/>
        </w:rPr>
      </w:pPr>
      <w:r>
        <w:rPr>
          <w:sz w:val="29"/>
          <w:szCs w:val="29"/>
          <w:spacing w:val="6"/>
        </w:rPr>
        <w:t>(3)及时清除草坪及各种树木下的杂草，绿篱及色</w:t>
      </w:r>
      <w:r>
        <w:rPr>
          <w:sz w:val="29"/>
          <w:szCs w:val="29"/>
          <w:spacing w:val="5"/>
        </w:rPr>
        <w:t>块内生出的杂生植物、</w:t>
      </w:r>
      <w:r>
        <w:rPr>
          <w:sz w:val="29"/>
          <w:szCs w:val="29"/>
        </w:rPr>
        <w:t xml:space="preserve"> </w:t>
      </w:r>
      <w:r>
        <w:rPr>
          <w:sz w:val="29"/>
          <w:szCs w:val="29"/>
          <w:spacing w:val="2"/>
        </w:rPr>
        <w:t>爬藤等应及时予以连根清除，防止草荒。</w:t>
      </w:r>
    </w:p>
    <w:p>
      <w:pPr>
        <w:ind w:left="570"/>
        <w:spacing w:before="18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70"/>
        <w:spacing w:before="101" w:line="219" w:lineRule="auto"/>
        <w:rPr>
          <w:sz w:val="29"/>
          <w:szCs w:val="29"/>
        </w:rPr>
      </w:pPr>
      <w:r>
        <w:rPr>
          <w:sz w:val="29"/>
          <w:szCs w:val="29"/>
          <w:spacing w:val="1"/>
        </w:rPr>
        <w:t>干旱月份，浇水工作重，做好安排，适时浇水，高温天气及时松土保墒。</w:t>
      </w:r>
    </w:p>
    <w:p>
      <w:pPr>
        <w:pStyle w:val="BodyText"/>
        <w:ind w:left="570"/>
        <w:spacing w:before="11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61" w:firstLine="730"/>
        <w:spacing w:before="133" w:line="266" w:lineRule="auto"/>
        <w:rPr>
          <w:sz w:val="29"/>
          <w:szCs w:val="29"/>
        </w:rPr>
      </w:pPr>
      <w:r>
        <w:rPr>
          <w:sz w:val="29"/>
          <w:szCs w:val="29"/>
          <w:spacing w:val="-9"/>
        </w:rPr>
        <w:t>(1)病害：锈病、煤污病、叶枯病、干腐病、紫纹羽病、枝枯病、枯萎病、草</w:t>
      </w:r>
      <w:r>
        <w:rPr>
          <w:sz w:val="29"/>
          <w:szCs w:val="29"/>
          <w:spacing w:val="12"/>
        </w:rPr>
        <w:t xml:space="preserve"> </w:t>
      </w:r>
      <w:r>
        <w:rPr>
          <w:sz w:val="29"/>
          <w:szCs w:val="29"/>
          <w:spacing w:val="-7"/>
        </w:rPr>
        <w:t>坪腐霉枯萎病、细菌性穿孔病、花叶病等；</w:t>
      </w:r>
    </w:p>
    <w:p>
      <w:pPr>
        <w:pStyle w:val="BodyText"/>
        <w:ind w:right="133" w:firstLine="730"/>
        <w:spacing w:before="118" w:line="298" w:lineRule="auto"/>
        <w:rPr>
          <w:sz w:val="29"/>
          <w:szCs w:val="29"/>
        </w:rPr>
      </w:pPr>
      <w:r>
        <w:rPr>
          <w:sz w:val="29"/>
          <w:szCs w:val="29"/>
          <w:spacing w:val="7"/>
        </w:rPr>
        <w:t>(2)虫害：大青叶蝉、梨网冠蝽、杜鹃冠网蝽、梧桐木虱、花蓟马、桑天</w:t>
      </w:r>
      <w:r>
        <w:rPr>
          <w:sz w:val="29"/>
          <w:szCs w:val="29"/>
          <w:spacing w:val="8"/>
        </w:rPr>
        <w:t xml:space="preserve">  </w:t>
      </w:r>
      <w:r>
        <w:rPr>
          <w:sz w:val="29"/>
          <w:szCs w:val="29"/>
          <w:spacing w:val="-22"/>
        </w:rPr>
        <w:t>牛、星天牛、葡萄透翅蛾、白蚁、大地老虎、蝼蛄、黄刺蛾、扁刺蛾、丽绿刺蛾、褐边</w:t>
      </w:r>
      <w:r>
        <w:rPr>
          <w:sz w:val="29"/>
          <w:szCs w:val="29"/>
          <w:spacing w:val="14"/>
        </w:rPr>
        <w:t xml:space="preserve"> </w:t>
      </w:r>
      <w:r>
        <w:rPr>
          <w:sz w:val="29"/>
          <w:szCs w:val="29"/>
          <w:spacing w:val="-12"/>
        </w:rPr>
        <w:t>绿刺蛾、桑褐刺蛾、茶袋蛾、大袋蛾、黄尾毒蛾</w:t>
      </w:r>
      <w:r>
        <w:rPr>
          <w:sz w:val="29"/>
          <w:szCs w:val="29"/>
          <w:spacing w:val="-13"/>
        </w:rPr>
        <w:t>、桃剑纹夜蛾、斜纹夜蛾、丝棉木金</w:t>
      </w:r>
      <w:r>
        <w:rPr>
          <w:sz w:val="29"/>
          <w:szCs w:val="29"/>
        </w:rPr>
        <w:t xml:space="preserve"> </w:t>
      </w:r>
      <w:r>
        <w:rPr>
          <w:sz w:val="29"/>
          <w:szCs w:val="29"/>
          <w:spacing w:val="-6"/>
        </w:rPr>
        <w:t>星尺蛾、国槐尺蛾、樟蚕(枫蚕)、绿尾大蚕蛾、柑桔凤蝶、玉带凤蝶、蔷薇三节叶</w:t>
      </w:r>
      <w:r>
        <w:rPr>
          <w:sz w:val="29"/>
          <w:szCs w:val="29"/>
          <w:spacing w:val="5"/>
        </w:rPr>
        <w:t xml:space="preserve"> </w:t>
      </w:r>
      <w:r>
        <w:rPr>
          <w:sz w:val="29"/>
          <w:szCs w:val="29"/>
          <w:spacing w:val="-12"/>
        </w:rPr>
        <w:t>蜂、樟叶蜂、柳蓝叶甲、红棕象甲等。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8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3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21" w:firstLine="730"/>
        <w:spacing w:before="63" w:line="279"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1"/>
        </w:rPr>
        <w:t>危险品；</w:t>
      </w:r>
    </w:p>
    <w:p>
      <w:pPr>
        <w:pStyle w:val="BodyText"/>
        <w:ind w:left="730"/>
        <w:spacing w:before="141" w:line="219" w:lineRule="auto"/>
        <w:rPr>
          <w:sz w:val="29"/>
          <w:szCs w:val="29"/>
        </w:rPr>
      </w:pPr>
      <w:r>
        <w:rPr>
          <w:sz w:val="29"/>
          <w:szCs w:val="29"/>
          <w:spacing w:val="12"/>
        </w:rPr>
        <w:t>(2)进行机械工具的检查维修。</w:t>
      </w:r>
    </w:p>
    <w:p>
      <w:pPr>
        <w:pStyle w:val="BodyText"/>
        <w:ind w:left="570"/>
        <w:spacing w:before="86"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4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14" w:lineRule="auto"/>
        <w:sectPr>
          <w:footerReference w:type="default" r:id="rId634"/>
          <w:pgSz w:w="14490" w:h="20470"/>
          <w:pgMar w:top="400" w:right="1935" w:bottom="1433" w:left="2150" w:header="0" w:footer="1235"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570"/>
        <w:spacing w:before="94" w:line="223" w:lineRule="auto"/>
        <w:rPr>
          <w:rFonts w:ascii="SimHei" w:hAnsi="SimHei" w:eastAsia="SimHei" w:cs="SimHei"/>
          <w:sz w:val="29"/>
          <w:szCs w:val="29"/>
        </w:rPr>
      </w:pPr>
      <w:r>
        <w:rPr>
          <w:rFonts w:ascii="SimHei" w:hAnsi="SimHei" w:eastAsia="SimHei" w:cs="SimHei"/>
          <w:sz w:val="29"/>
          <w:szCs w:val="29"/>
          <w:spacing w:val="6"/>
        </w:rPr>
        <w:t>八月份</w:t>
      </w:r>
    </w:p>
    <w:p>
      <w:pPr>
        <w:spacing w:line="333" w:lineRule="auto"/>
        <w:rPr>
          <w:rFonts w:ascii="Arial"/>
          <w:sz w:val="21"/>
        </w:rPr>
      </w:pPr>
      <w:r/>
    </w:p>
    <w:p>
      <w:pPr>
        <w:pStyle w:val="BodyText"/>
        <w:ind w:left="570"/>
        <w:spacing w:before="94" w:line="220" w:lineRule="auto"/>
        <w:rPr>
          <w:sz w:val="29"/>
          <w:szCs w:val="29"/>
        </w:rPr>
      </w:pPr>
      <w:r>
        <w:rPr>
          <w:sz w:val="29"/>
          <w:szCs w:val="29"/>
          <w:spacing w:val="5"/>
        </w:rPr>
        <w:t>病虫害多发期，注意预防。</w:t>
      </w:r>
    </w:p>
    <w:p>
      <w:pPr>
        <w:pStyle w:val="BodyText"/>
        <w:ind w:left="570"/>
        <w:spacing w:before="131"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13" w:line="219" w:lineRule="auto"/>
        <w:rPr>
          <w:sz w:val="29"/>
          <w:szCs w:val="29"/>
        </w:rPr>
      </w:pPr>
      <w:r>
        <w:rPr>
          <w:sz w:val="29"/>
          <w:szCs w:val="29"/>
          <w:spacing w:val="1"/>
        </w:rPr>
        <w:t>及时检查乔木支撑情况，发现松动或缺失立即加固。</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411" w:firstLine="570"/>
        <w:spacing w:before="145" w:line="314" w:lineRule="auto"/>
        <w:rPr>
          <w:sz w:val="29"/>
          <w:szCs w:val="29"/>
        </w:rPr>
      </w:pPr>
      <w:r>
        <w:rPr>
          <w:sz w:val="29"/>
          <w:szCs w:val="29"/>
          <w:spacing w:val="-5"/>
        </w:rPr>
        <w:t>及时清除草坪及各种树木下的杂草，绿篱及色块内生出的杂生植物、爬藤等</w:t>
      </w:r>
      <w:r>
        <w:rPr>
          <w:sz w:val="29"/>
          <w:szCs w:val="29"/>
          <w:spacing w:val="17"/>
        </w:rPr>
        <w:t xml:space="preserve"> </w:t>
      </w:r>
      <w:r>
        <w:rPr>
          <w:sz w:val="29"/>
          <w:szCs w:val="29"/>
          <w:spacing w:val="1"/>
        </w:rPr>
        <w:t>应及时予以连根清除，防止草荒。</w:t>
      </w:r>
    </w:p>
    <w:p>
      <w:pPr>
        <w:ind w:left="570"/>
        <w:spacing w:before="22"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110" w:line="217" w:lineRule="auto"/>
        <w:rPr>
          <w:sz w:val="29"/>
          <w:szCs w:val="29"/>
        </w:rPr>
      </w:pPr>
      <w:r>
        <w:rPr>
          <w:sz w:val="29"/>
          <w:szCs w:val="29"/>
          <w:spacing w:val="2"/>
        </w:rPr>
        <w:t>①  根据天气情况见干进行浇水，早10:00以前及下午16:00后进行；</w:t>
      </w:r>
    </w:p>
    <w:p>
      <w:pPr>
        <w:pStyle w:val="BodyText"/>
        <w:ind w:left="730"/>
        <w:spacing w:before="149" w:line="217" w:lineRule="auto"/>
        <w:rPr>
          <w:sz w:val="29"/>
          <w:szCs w:val="29"/>
        </w:rPr>
      </w:pPr>
      <w:r>
        <w:rPr>
          <w:sz w:val="29"/>
          <w:szCs w:val="29"/>
          <w:spacing w:val="-2"/>
        </w:rPr>
        <w:t>②</w:t>
      </w:r>
      <w:r>
        <w:rPr>
          <w:sz w:val="29"/>
          <w:szCs w:val="29"/>
          <w:spacing w:val="28"/>
        </w:rPr>
        <w:t xml:space="preserve">  </w:t>
      </w:r>
      <w:r>
        <w:rPr>
          <w:sz w:val="29"/>
          <w:szCs w:val="29"/>
          <w:spacing w:val="-2"/>
        </w:rPr>
        <w:t>控制水量，防止土壤板结及流泥浆；</w:t>
      </w:r>
    </w:p>
    <w:p>
      <w:pPr>
        <w:pStyle w:val="BodyText"/>
        <w:ind w:left="730"/>
        <w:spacing w:before="149" w:line="217" w:lineRule="auto"/>
        <w:rPr>
          <w:sz w:val="29"/>
          <w:szCs w:val="29"/>
        </w:rPr>
      </w:pPr>
      <w:r>
        <w:rPr>
          <w:sz w:val="29"/>
          <w:szCs w:val="29"/>
          <w:spacing w:val="1"/>
        </w:rPr>
        <w:t>③  大雨过后，对低洼积水区域，做好排水防涝。</w:t>
      </w:r>
    </w:p>
    <w:p>
      <w:pPr>
        <w:pStyle w:val="BodyText"/>
        <w:ind w:left="570"/>
        <w:spacing w:before="120"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23" w:firstLine="730"/>
        <w:spacing w:before="135" w:line="272" w:lineRule="auto"/>
        <w:rPr>
          <w:sz w:val="29"/>
          <w:szCs w:val="29"/>
        </w:rPr>
      </w:pPr>
      <w:r>
        <w:rPr>
          <w:sz w:val="29"/>
          <w:szCs w:val="29"/>
          <w:spacing w:val="6"/>
        </w:rPr>
        <w:t>(1)病害：煤污病、叶枯病、干腐病、紫纹羽病、枝枯病、枯萎病、草坪</w:t>
      </w:r>
      <w:r>
        <w:rPr>
          <w:sz w:val="29"/>
          <w:szCs w:val="29"/>
          <w:spacing w:val="17"/>
        </w:rPr>
        <w:t xml:space="preserve"> </w:t>
      </w:r>
      <w:r>
        <w:rPr>
          <w:sz w:val="29"/>
          <w:szCs w:val="29"/>
        </w:rPr>
        <w:t>腐霉枯萎病、细菌性穿孔病、花叶病、丛枝病等；</w:t>
      </w:r>
    </w:p>
    <w:p>
      <w:pPr>
        <w:pStyle w:val="BodyText"/>
        <w:ind w:right="240" w:firstLine="730"/>
        <w:spacing w:before="156" w:line="292" w:lineRule="auto"/>
        <w:tabs>
          <w:tab w:val="left" w:pos="168"/>
        </w:tabs>
        <w:rPr>
          <w:sz w:val="29"/>
          <w:szCs w:val="29"/>
        </w:rPr>
      </w:pPr>
      <w:r>
        <w:rPr>
          <w:sz w:val="29"/>
          <w:szCs w:val="29"/>
          <w:spacing w:val="9"/>
        </w:rPr>
        <w:t>(2)虫害：大青叶蝉、梨网冠蝽、杜鹃冠网蝽、梧桐木虱、花蓟马、桑天</w:t>
      </w:r>
      <w:r>
        <w:rPr>
          <w:sz w:val="29"/>
          <w:szCs w:val="29"/>
        </w:rPr>
        <w:t xml:space="preserve"> </w:t>
      </w:r>
      <w:r>
        <w:rPr>
          <w:sz w:val="29"/>
          <w:szCs w:val="29"/>
          <w:spacing w:val="-9"/>
        </w:rPr>
        <w:t>牛、葡萄透翅蛾、白蚁、大地老虎、蝼蛄、黄刺蛾、扁刺蛾、丽绿刺蛾、褐边绿刺</w:t>
      </w:r>
      <w:r>
        <w:rPr>
          <w:sz w:val="29"/>
          <w:szCs w:val="29"/>
          <w:spacing w:val="6"/>
        </w:rPr>
        <w:t xml:space="preserve"> </w:t>
      </w:r>
      <w:r>
        <w:rPr>
          <w:sz w:val="29"/>
          <w:szCs w:val="29"/>
        </w:rPr>
        <w:t>蛾、茶袋蛾、大袋蛾、黄尾毒蛾、斜纹夜蛾、丝棉木金星尺蛾、国槐尺蛾、樟蚕</w:t>
      </w:r>
      <w:r>
        <w:rPr>
          <w:sz w:val="29"/>
          <w:szCs w:val="29"/>
          <w:spacing w:val="11"/>
        </w:rPr>
        <w:t xml:space="preserve"> </w:t>
      </w:r>
      <w:r>
        <w:rPr>
          <w:sz w:val="29"/>
          <w:szCs w:val="29"/>
        </w:rPr>
        <w:tab/>
      </w:r>
      <w:r>
        <w:rPr>
          <w:sz w:val="29"/>
          <w:szCs w:val="29"/>
          <w:spacing w:val="4"/>
        </w:rPr>
        <w:t>(枫蚕)、绿尾大蚕蛾、柑桔凤蝶、玉带凤蝶、蔷薇三节叶蜂、柳</w:t>
      </w:r>
      <w:r>
        <w:rPr>
          <w:sz w:val="29"/>
          <w:szCs w:val="29"/>
          <w:spacing w:val="3"/>
        </w:rPr>
        <w:t>蓝叶甲、红棕</w:t>
      </w:r>
      <w:r>
        <w:rPr>
          <w:sz w:val="29"/>
          <w:szCs w:val="29"/>
        </w:rPr>
        <w:t xml:space="preserve"> </w:t>
      </w:r>
      <w:r>
        <w:rPr>
          <w:sz w:val="29"/>
          <w:szCs w:val="29"/>
          <w:spacing w:val="-3"/>
        </w:rPr>
        <w:t>象甲等。</w:t>
      </w:r>
    </w:p>
    <w:p>
      <w:pPr>
        <w:pStyle w:val="BodyText"/>
        <w:ind w:left="570"/>
        <w:spacing w:before="15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03" w:line="262"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57" w:line="266"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70"/>
        <w:spacing w:before="193"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21" w:firstLine="730"/>
        <w:spacing w:before="94" w:line="263"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left="730"/>
        <w:spacing w:before="152" w:line="219" w:lineRule="auto"/>
        <w:rPr>
          <w:sz w:val="29"/>
          <w:szCs w:val="29"/>
        </w:rPr>
      </w:pPr>
      <w:r>
        <w:rPr>
          <w:sz w:val="29"/>
          <w:szCs w:val="29"/>
          <w:spacing w:val="12"/>
        </w:rPr>
        <w:t>(2)进行机械工具的检查维修。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4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line="314" w:lineRule="auto"/>
        <w:sectPr>
          <w:footerReference w:type="default" r:id="rId635"/>
          <w:pgSz w:w="14490" w:h="20470"/>
          <w:pgMar w:top="400" w:right="1935" w:bottom="1447" w:left="2150" w:header="0" w:footer="1231"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570"/>
        <w:spacing w:before="94" w:line="223" w:lineRule="auto"/>
        <w:rPr>
          <w:rFonts w:ascii="SimHei" w:hAnsi="SimHei" w:eastAsia="SimHei" w:cs="SimHei"/>
          <w:sz w:val="29"/>
          <w:szCs w:val="29"/>
        </w:rPr>
      </w:pPr>
      <w:r>
        <w:rPr>
          <w:rFonts w:ascii="SimHei" w:hAnsi="SimHei" w:eastAsia="SimHei" w:cs="SimHei"/>
          <w:sz w:val="29"/>
          <w:szCs w:val="29"/>
          <w:spacing w:val="9"/>
        </w:rPr>
        <w:t>九月份</w:t>
      </w:r>
    </w:p>
    <w:p>
      <w:pPr>
        <w:spacing w:line="332" w:lineRule="auto"/>
        <w:rPr>
          <w:rFonts w:ascii="Arial"/>
          <w:sz w:val="21"/>
        </w:rPr>
      </w:pPr>
      <w:r/>
    </w:p>
    <w:p>
      <w:pPr>
        <w:pStyle w:val="BodyText"/>
        <w:ind w:left="570"/>
        <w:spacing w:before="94" w:line="219" w:lineRule="auto"/>
        <w:rPr>
          <w:sz w:val="29"/>
          <w:szCs w:val="29"/>
        </w:rPr>
      </w:pPr>
      <w:r>
        <w:rPr>
          <w:sz w:val="29"/>
          <w:szCs w:val="29"/>
          <w:spacing w:val="5"/>
        </w:rPr>
        <w:t>气温有所下降，做好迎中秋、国庆的相关工作。</w:t>
      </w:r>
    </w:p>
    <w:p>
      <w:pPr>
        <w:pStyle w:val="BodyText"/>
        <w:ind w:left="570"/>
        <w:spacing w:before="133" w:line="222" w:lineRule="auto"/>
        <w:rPr>
          <w:rFonts w:ascii="SimHei" w:hAnsi="SimHei" w:eastAsia="SimHei" w:cs="SimHei"/>
          <w:sz w:val="29"/>
          <w:szCs w:val="29"/>
        </w:rPr>
      </w:pPr>
      <w:r>
        <w:rPr>
          <w:rFonts w:ascii="Arial" w:hAnsi="Arial" w:eastAsia="Arial" w:cs="Arial"/>
          <w:sz w:val="29"/>
          <w:szCs w:val="29"/>
          <w:spacing w:val="-4"/>
        </w:rPr>
        <w:t>1</w:t>
      </w:r>
      <w:r>
        <w:rPr>
          <w:sz w:val="29"/>
          <w:szCs w:val="29"/>
          <w:spacing w:val="-4"/>
        </w:rPr>
        <w:t>、</w:t>
      </w:r>
      <w:r>
        <w:rPr>
          <w:sz w:val="29"/>
          <w:szCs w:val="29"/>
          <w:spacing w:val="-81"/>
        </w:rPr>
        <w:t xml:space="preserve"> </w:t>
      </w:r>
      <w:r>
        <w:rPr>
          <w:rFonts w:ascii="SimHei" w:hAnsi="SimHei" w:eastAsia="SimHei" w:cs="SimHei"/>
          <w:sz w:val="29"/>
          <w:szCs w:val="29"/>
          <w:spacing w:val="-4"/>
        </w:rPr>
        <w:t>现场检查</w:t>
      </w:r>
    </w:p>
    <w:p>
      <w:pPr>
        <w:pStyle w:val="BodyText"/>
        <w:ind w:left="570"/>
        <w:spacing w:before="113" w:line="219" w:lineRule="auto"/>
        <w:rPr>
          <w:sz w:val="29"/>
          <w:szCs w:val="29"/>
        </w:rPr>
      </w:pPr>
      <w:r>
        <w:rPr>
          <w:sz w:val="29"/>
          <w:szCs w:val="29"/>
          <w:spacing w:val="1"/>
        </w:rPr>
        <w:t>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0" w:firstLine="730"/>
        <w:spacing w:before="134" w:line="310" w:lineRule="auto"/>
        <w:jc w:val="both"/>
        <w:rPr>
          <w:sz w:val="29"/>
          <w:szCs w:val="29"/>
        </w:rPr>
      </w:pPr>
      <w:r>
        <w:rPr>
          <w:sz w:val="29"/>
          <w:szCs w:val="29"/>
          <w:spacing w:val="8"/>
        </w:rPr>
        <w:t>(1)伐除死去的苗木，修剪枯干枝、除根蘖、疯蘖，剪残花。</w:t>
      </w:r>
      <w:r>
        <w:rPr>
          <w:sz w:val="29"/>
          <w:szCs w:val="29"/>
          <w:spacing w:val="7"/>
        </w:rPr>
        <w:t>做好绿篱及</w:t>
      </w:r>
      <w:r>
        <w:rPr>
          <w:sz w:val="29"/>
          <w:szCs w:val="29"/>
        </w:rPr>
        <w:t xml:space="preserve"> </w:t>
      </w:r>
      <w:r>
        <w:rPr>
          <w:sz w:val="29"/>
          <w:szCs w:val="29"/>
          <w:spacing w:val="-9"/>
        </w:rPr>
        <w:t>地被整型修剪。国庆前夕所有草坪要修剪一遍修剪时不要漏剪，剪下的草屑及时清</w:t>
      </w:r>
      <w:r>
        <w:rPr>
          <w:sz w:val="29"/>
          <w:szCs w:val="29"/>
          <w:spacing w:val="7"/>
        </w:rPr>
        <w:t xml:space="preserve"> </w:t>
      </w:r>
      <w:r>
        <w:rPr>
          <w:sz w:val="29"/>
          <w:szCs w:val="29"/>
        </w:rPr>
        <w:t>运，保持草坪清洁，树木青枝绿叶，园容干净整洁；</w:t>
      </w:r>
    </w:p>
    <w:p>
      <w:pPr>
        <w:pStyle w:val="BodyText"/>
        <w:ind w:right="103" w:firstLine="730"/>
        <w:spacing w:before="31" w:line="301" w:lineRule="auto"/>
        <w:rPr>
          <w:sz w:val="29"/>
          <w:szCs w:val="29"/>
        </w:rPr>
      </w:pPr>
      <w:r>
        <w:rPr>
          <w:sz w:val="29"/>
          <w:szCs w:val="29"/>
          <w:spacing w:val="-2"/>
        </w:rPr>
        <w:t>(2</w:t>
      </w:r>
      <w:r>
        <w:rPr>
          <w:sz w:val="29"/>
          <w:szCs w:val="29"/>
          <w:spacing w:val="58"/>
        </w:rPr>
        <w:t xml:space="preserve">  </w:t>
      </w:r>
      <w:r>
        <w:rPr>
          <w:sz w:val="29"/>
          <w:szCs w:val="29"/>
          <w:spacing w:val="-2"/>
        </w:rPr>
        <w:t>除草：及时清除草坪及各种树木下的杂草，绿篱及色块内生出的杂生</w:t>
      </w:r>
      <w:r>
        <w:rPr>
          <w:sz w:val="29"/>
          <w:szCs w:val="29"/>
        </w:rPr>
        <w:t xml:space="preserve"> </w:t>
      </w:r>
      <w:r>
        <w:rPr>
          <w:sz w:val="29"/>
          <w:szCs w:val="29"/>
          <w:spacing w:val="-1"/>
        </w:rPr>
        <w:t>植物、爬藤等。</w:t>
      </w:r>
    </w:p>
    <w:p>
      <w:pPr>
        <w:ind w:left="570"/>
        <w:spacing w:before="72"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left="730"/>
        <w:spacing w:before="104" w:line="219" w:lineRule="auto"/>
        <w:rPr>
          <w:sz w:val="29"/>
          <w:szCs w:val="29"/>
        </w:rPr>
      </w:pPr>
      <w:r>
        <w:rPr>
          <w:sz w:val="29"/>
          <w:szCs w:val="29"/>
          <w:spacing w:val="8"/>
        </w:rPr>
        <w:t>(1)浇水：适时浇水，及时松土保墒；</w:t>
      </w:r>
    </w:p>
    <w:p>
      <w:pPr>
        <w:pStyle w:val="BodyText"/>
        <w:ind w:left="730"/>
        <w:spacing w:before="114" w:line="219" w:lineRule="auto"/>
        <w:rPr>
          <w:sz w:val="29"/>
          <w:szCs w:val="29"/>
        </w:rPr>
      </w:pPr>
      <w:r>
        <w:rPr>
          <w:sz w:val="29"/>
          <w:szCs w:val="29"/>
          <w:spacing w:val="-9"/>
        </w:rPr>
        <w:t>(2)施肥：各种植物施肥的最佳时间，采取有机肥与复合肥相结合的方式。</w:t>
      </w:r>
    </w:p>
    <w:p>
      <w:pPr>
        <w:pStyle w:val="BodyText"/>
        <w:ind w:left="570"/>
        <w:spacing w:before="13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100" w:firstLine="730"/>
        <w:spacing w:before="154" w:line="266"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rPr>
        <w:t>枯病、草坪腐霉枯萎病、花叶病、丛枝病等；</w:t>
      </w:r>
    </w:p>
    <w:p>
      <w:pPr>
        <w:pStyle w:val="BodyText"/>
        <w:ind w:right="41" w:firstLine="730"/>
        <w:spacing w:before="166" w:line="295" w:lineRule="auto"/>
        <w:rPr/>
      </w:pPr>
      <w:r>
        <w:rPr>
          <w:spacing w:val="8"/>
        </w:rPr>
        <w:t>(2)虫害：大青叶蝉、杜鹃冠网蝽、柑桔全爪螨、花蓟马、桑天牛、白蚁、</w:t>
      </w:r>
      <w:r>
        <w:rPr>
          <w:spacing w:val="16"/>
        </w:rPr>
        <w:t xml:space="preserve"> </w:t>
      </w:r>
      <w:r>
        <w:rPr>
          <w:spacing w:val="1"/>
        </w:rPr>
        <w:t>铜绿丽金龟、大地老虎、蝼蛄、黄刺蛾、丽绿刺蛾、褐边绿刺蛾、茶袋蛾、黄尾毒</w:t>
      </w:r>
      <w:r>
        <w:rPr>
          <w:spacing w:val="8"/>
        </w:rPr>
        <w:t xml:space="preserve"> </w:t>
      </w:r>
      <w:r>
        <w:rPr>
          <w:spacing w:val="1"/>
        </w:rPr>
        <w:t>蛾、斜纹夜蛾、丝棉木金星尺蛾、国槐尺蛾、绿尾大蚕蛾、柑桔凤蝶、玉带凤蝶、</w:t>
      </w:r>
      <w:r>
        <w:rPr>
          <w:spacing w:val="3"/>
        </w:rPr>
        <w:t xml:space="preserve"> </w:t>
      </w:r>
      <w:r>
        <w:rPr>
          <w:spacing w:val="5"/>
        </w:rPr>
        <w:t>蔷薇三节叶蜂、柳蓝叶甲、红棕象甲等。</w:t>
      </w:r>
    </w:p>
    <w:p>
      <w:pPr>
        <w:pStyle w:val="BodyText"/>
        <w:ind w:left="570"/>
        <w:spacing w:before="131"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pStyle w:val="BodyText"/>
        <w:ind w:right="101" w:firstLine="730"/>
        <w:spacing w:before="11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94" w:firstLine="730"/>
        <w:spacing w:before="128"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4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时花摆放</w:t>
      </w:r>
    </w:p>
    <w:p>
      <w:pPr>
        <w:pStyle w:val="BodyText"/>
        <w:ind w:left="730"/>
        <w:spacing w:before="88" w:line="219" w:lineRule="auto"/>
        <w:rPr>
          <w:sz w:val="29"/>
          <w:szCs w:val="29"/>
        </w:rPr>
      </w:pPr>
      <w:r>
        <w:rPr>
          <w:sz w:val="29"/>
          <w:szCs w:val="29"/>
          <w:spacing w:val="6"/>
        </w:rPr>
        <w:t>(1)月初提交时花需求计划，选择亮色花卉，安排下旬进场；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13" w:line="222" w:lineRule="auto"/>
        <w:rPr>
          <w:rFonts w:ascii="SimHei" w:hAnsi="SimHei" w:eastAsia="SimHei" w:cs="SimHei"/>
          <w:sz w:val="29"/>
          <w:szCs w:val="29"/>
        </w:rPr>
      </w:pPr>
      <w:r>
        <w:rPr>
          <w:rFonts w:ascii="SimHei" w:hAnsi="SimHei" w:eastAsia="SimHei" w:cs="SimHei"/>
          <w:sz w:val="29"/>
          <w:szCs w:val="29"/>
          <w:spacing w:val="9"/>
        </w:rPr>
        <w:t>7、物资管理</w:t>
      </w:r>
    </w:p>
    <w:p>
      <w:pPr>
        <w:pStyle w:val="BodyText"/>
        <w:ind w:right="102" w:firstLine="730"/>
        <w:spacing w:before="155"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right="39" w:firstLine="730"/>
        <w:spacing w:before="162" w:line="264" w:lineRule="auto"/>
        <w:rPr>
          <w:sz w:val="29"/>
          <w:szCs w:val="29"/>
        </w:rPr>
      </w:pPr>
      <w:r>
        <w:rPr>
          <w:sz w:val="29"/>
          <w:szCs w:val="29"/>
          <w:spacing w:val="-1"/>
        </w:rPr>
        <w:t>(2)根据现场的实际情况，申请购置10、11、12月份的农药、化肥、营养剂</w:t>
      </w:r>
      <w:r>
        <w:rPr>
          <w:sz w:val="29"/>
          <w:szCs w:val="29"/>
          <w:spacing w:val="8"/>
        </w:rPr>
        <w:t xml:space="preserve"> </w:t>
      </w:r>
      <w:r>
        <w:rPr>
          <w:sz w:val="29"/>
          <w:szCs w:val="29"/>
          <w:spacing w:val="-5"/>
        </w:rPr>
        <w:t>及其它物资；</w:t>
      </w:r>
    </w:p>
    <w:p>
      <w:pPr>
        <w:pStyle w:val="BodyText"/>
        <w:ind w:left="730"/>
        <w:spacing w:before="150" w:line="219" w:lineRule="auto"/>
        <w:rPr>
          <w:sz w:val="29"/>
          <w:szCs w:val="29"/>
        </w:rPr>
      </w:pPr>
      <w:r>
        <w:rPr>
          <w:sz w:val="29"/>
          <w:szCs w:val="29"/>
          <w:spacing w:val="12"/>
        </w:rPr>
        <w:t>(3)进行机械工具的检查维修。</w:t>
      </w:r>
    </w:p>
    <w:p>
      <w:pPr>
        <w:spacing w:line="219" w:lineRule="auto"/>
        <w:sectPr>
          <w:footerReference w:type="default" r:id="rId636"/>
          <w:pgSz w:w="14490" w:h="20470"/>
          <w:pgMar w:top="400" w:right="2173" w:bottom="1447" w:left="2150" w:header="0" w:footer="1230" w:gutter="0"/>
        </w:sectPr>
        <w:rPr>
          <w:sz w:val="29"/>
          <w:szCs w:val="29"/>
        </w:rPr>
      </w:pP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BodyText"/>
        <w:ind w:left="570"/>
        <w:spacing w:before="95"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right="170" w:firstLine="570"/>
        <w:spacing w:before="127"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570"/>
        <w:spacing w:before="276" w:line="223" w:lineRule="auto"/>
        <w:rPr>
          <w:rFonts w:ascii="SimHei" w:hAnsi="SimHei" w:eastAsia="SimHei" w:cs="SimHei"/>
          <w:sz w:val="29"/>
          <w:szCs w:val="29"/>
        </w:rPr>
      </w:pPr>
      <w:r>
        <w:rPr>
          <w:rFonts w:ascii="SimHei" w:hAnsi="SimHei" w:eastAsia="SimHei" w:cs="SimHei"/>
          <w:sz w:val="29"/>
          <w:szCs w:val="29"/>
          <w:spacing w:val="6"/>
        </w:rPr>
        <w:t>十月份</w:t>
      </w:r>
    </w:p>
    <w:p>
      <w:pPr>
        <w:spacing w:line="342" w:lineRule="auto"/>
        <w:rPr>
          <w:rFonts w:ascii="Arial"/>
          <w:sz w:val="21"/>
        </w:rPr>
      </w:pPr>
      <w:r/>
    </w:p>
    <w:p>
      <w:pPr>
        <w:pStyle w:val="BodyText"/>
        <w:spacing w:before="95" w:line="219" w:lineRule="auto"/>
        <w:jc w:val="right"/>
        <w:rPr>
          <w:sz w:val="29"/>
          <w:szCs w:val="29"/>
        </w:rPr>
      </w:pPr>
      <w:r>
        <w:rPr>
          <w:sz w:val="29"/>
          <w:szCs w:val="29"/>
          <w:spacing w:val="4"/>
        </w:rPr>
        <w:t>气温下降，十月下旬进入初冬，树木开始落叶，陆续进入休眠期，注意</w:t>
      </w:r>
      <w:r>
        <w:rPr>
          <w:sz w:val="29"/>
          <w:szCs w:val="29"/>
          <w:spacing w:val="3"/>
        </w:rPr>
        <w:t>防寒。</w:t>
      </w:r>
    </w:p>
    <w:p>
      <w:pPr>
        <w:pStyle w:val="BodyText"/>
        <w:ind w:left="570"/>
        <w:spacing w:before="13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04"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left="730"/>
        <w:spacing w:before="166" w:line="219" w:lineRule="auto"/>
        <w:rPr>
          <w:sz w:val="29"/>
          <w:szCs w:val="29"/>
        </w:rPr>
      </w:pPr>
      <w:r>
        <w:rPr>
          <w:sz w:val="29"/>
          <w:szCs w:val="29"/>
          <w:spacing w:val="9"/>
        </w:rPr>
        <w:t>(2)局部整改、苗木补植的好时间。</w:t>
      </w:r>
    </w:p>
    <w:p>
      <w:pPr>
        <w:ind w:left="570"/>
        <w:spacing w:before="9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left="730"/>
        <w:spacing w:before="142" w:line="219" w:lineRule="auto"/>
        <w:rPr>
          <w:sz w:val="29"/>
          <w:szCs w:val="29"/>
        </w:rPr>
      </w:pPr>
      <w:r>
        <w:rPr>
          <w:sz w:val="29"/>
          <w:szCs w:val="29"/>
          <w:spacing w:val="7"/>
        </w:rPr>
        <w:t>(1)草坪、地被与灌木球的日常修剪，树干及</w:t>
      </w:r>
      <w:r>
        <w:rPr>
          <w:sz w:val="29"/>
          <w:szCs w:val="29"/>
          <w:spacing w:val="6"/>
        </w:rPr>
        <w:t>根部萌蘖抹除；</w:t>
      </w:r>
    </w:p>
    <w:p>
      <w:pPr>
        <w:pStyle w:val="BodyText"/>
        <w:ind w:left="49" w:right="511" w:firstLine="680"/>
        <w:spacing w:before="128" w:line="268" w:lineRule="auto"/>
        <w:rPr>
          <w:sz w:val="29"/>
          <w:szCs w:val="29"/>
        </w:rPr>
      </w:pPr>
      <w:r>
        <w:rPr>
          <w:sz w:val="29"/>
          <w:szCs w:val="29"/>
          <w:spacing w:val="6"/>
        </w:rPr>
        <w:t>(2)挑草：继续清除草坪及各种树木下的杂草，</w:t>
      </w:r>
      <w:r>
        <w:rPr>
          <w:sz w:val="29"/>
          <w:szCs w:val="29"/>
          <w:spacing w:val="5"/>
        </w:rPr>
        <w:t>绿篱及地被内生出的杂生</w:t>
      </w:r>
      <w:r>
        <w:rPr>
          <w:sz w:val="29"/>
          <w:szCs w:val="29"/>
        </w:rPr>
        <w:t xml:space="preserve"> </w:t>
      </w:r>
      <w:r>
        <w:rPr>
          <w:sz w:val="29"/>
          <w:szCs w:val="29"/>
          <w:spacing w:val="-3"/>
        </w:rPr>
        <w:t>植物、爬藤等。清扫落叶，保持干净；</w:t>
      </w:r>
    </w:p>
    <w:p>
      <w:pPr>
        <w:pStyle w:val="BodyText"/>
        <w:ind w:left="730"/>
        <w:spacing w:before="158" w:line="219" w:lineRule="auto"/>
        <w:rPr>
          <w:sz w:val="29"/>
          <w:szCs w:val="29"/>
        </w:rPr>
      </w:pPr>
      <w:r>
        <w:rPr>
          <w:sz w:val="29"/>
          <w:szCs w:val="29"/>
          <w:spacing w:val="8"/>
        </w:rPr>
        <w:t>(3)、切边、做浇水盘：草坪边线的修剪、</w:t>
      </w:r>
      <w:r>
        <w:rPr>
          <w:sz w:val="29"/>
          <w:szCs w:val="29"/>
          <w:spacing w:val="7"/>
        </w:rPr>
        <w:t>浇水盘的修整。</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510" w:firstLine="730"/>
        <w:spacing w:before="141" w:line="263" w:lineRule="auto"/>
        <w:rPr>
          <w:sz w:val="29"/>
          <w:szCs w:val="29"/>
        </w:rPr>
      </w:pPr>
      <w:r>
        <w:rPr>
          <w:sz w:val="29"/>
          <w:szCs w:val="29"/>
          <w:spacing w:val="6"/>
        </w:rPr>
        <w:t>(1)每天适时对一些不耐干旱的植物进行淋水，浇</w:t>
      </w:r>
      <w:r>
        <w:rPr>
          <w:sz w:val="29"/>
          <w:szCs w:val="29"/>
          <w:spacing w:val="5"/>
        </w:rPr>
        <w:t>水时要先喷洗树叶，清</w:t>
      </w:r>
      <w:r>
        <w:rPr>
          <w:sz w:val="29"/>
          <w:szCs w:val="29"/>
        </w:rPr>
        <w:t xml:space="preserve"> </w:t>
      </w:r>
      <w:r>
        <w:rPr>
          <w:sz w:val="29"/>
          <w:szCs w:val="29"/>
          <w:spacing w:val="-5"/>
        </w:rPr>
        <w:t>洗叶面灰尘；</w:t>
      </w:r>
    </w:p>
    <w:p>
      <w:pPr>
        <w:pStyle w:val="BodyText"/>
        <w:ind w:left="730"/>
        <w:spacing w:before="164" w:line="219" w:lineRule="auto"/>
        <w:rPr>
          <w:sz w:val="29"/>
          <w:szCs w:val="29"/>
        </w:rPr>
      </w:pPr>
      <w:r>
        <w:rPr>
          <w:sz w:val="29"/>
          <w:szCs w:val="29"/>
          <w:spacing w:val="8"/>
        </w:rPr>
        <w:t>(2)秋季施用秋基肥以有机肥为主，结合施</w:t>
      </w:r>
      <w:r>
        <w:rPr>
          <w:sz w:val="29"/>
          <w:szCs w:val="29"/>
          <w:spacing w:val="7"/>
        </w:rPr>
        <w:t>用磷钾肥少量。</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43" w:line="219" w:lineRule="auto"/>
        <w:rPr>
          <w:sz w:val="29"/>
          <w:szCs w:val="29"/>
        </w:rPr>
      </w:pPr>
      <w:r>
        <w:rPr>
          <w:sz w:val="29"/>
          <w:szCs w:val="29"/>
          <w:spacing w:val="5"/>
        </w:rPr>
        <w:t>(1)病害：白粉病、叶斑类病害、锈病、叶枯病、干腐病、丛枝病等；</w:t>
      </w:r>
    </w:p>
    <w:p>
      <w:pPr>
        <w:pStyle w:val="BodyText"/>
        <w:ind w:right="379" w:firstLine="730"/>
        <w:spacing w:before="119" w:line="285" w:lineRule="auto"/>
        <w:rPr>
          <w:sz w:val="29"/>
          <w:szCs w:val="29"/>
        </w:rPr>
      </w:pPr>
      <w:r>
        <w:rPr>
          <w:sz w:val="29"/>
          <w:szCs w:val="29"/>
          <w:spacing w:val="6"/>
        </w:rPr>
        <w:t>(2)虫害：大青叶蝉、桃粉蚜、桃瘤蚜、柑桔全爪螨、桔绿粉虱、白蚁、</w:t>
      </w:r>
      <w:r>
        <w:rPr>
          <w:sz w:val="29"/>
          <w:szCs w:val="29"/>
          <w:spacing w:val="10"/>
        </w:rPr>
        <w:t xml:space="preserve"> </w:t>
      </w:r>
      <w:r>
        <w:rPr>
          <w:sz w:val="29"/>
          <w:szCs w:val="29"/>
          <w:spacing w:val="1"/>
        </w:rPr>
        <w:t>铜绿丽金龟、大地老虎、褐边绿刺蛾、丝棉木金星尺蛾、柑桔凤蝶、玉带凤蝶、</w:t>
      </w:r>
      <w:r>
        <w:rPr>
          <w:sz w:val="29"/>
          <w:szCs w:val="29"/>
        </w:rPr>
        <w:t xml:space="preserve"> </w:t>
      </w:r>
      <w:r>
        <w:rPr>
          <w:sz w:val="29"/>
          <w:szCs w:val="29"/>
          <w:spacing w:val="1"/>
        </w:rPr>
        <w:t>蔷薇三节叶蜂、红棕象甲等。</w:t>
      </w:r>
    </w:p>
    <w:p>
      <w:pPr>
        <w:pStyle w:val="BodyText"/>
        <w:ind w:left="570"/>
        <w:spacing w:before="13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510" w:firstLine="730"/>
        <w:spacing w:before="103" w:line="262"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1"/>
        </w:rPr>
        <w:t>池、灯杆、垃圾桶保持干净；</w:t>
      </w:r>
    </w:p>
    <w:p>
      <w:pPr>
        <w:pStyle w:val="BodyText"/>
        <w:ind w:right="473" w:firstLine="730"/>
        <w:spacing w:before="15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left="570"/>
        <w:spacing w:before="103" w:line="219" w:lineRule="auto"/>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533" w:firstLine="570"/>
        <w:spacing w:before="144" w:line="327" w:lineRule="auto"/>
        <w:rPr>
          <w:sz w:val="29"/>
          <w:szCs w:val="29"/>
        </w:rPr>
      </w:pPr>
      <w:r>
        <w:rPr>
          <w:sz w:val="29"/>
          <w:szCs w:val="29"/>
          <w:spacing w:val="-3"/>
        </w:rPr>
        <w:t>每天绿化工人在保洁的同时要注意行人随意丢弃烟</w:t>
      </w:r>
      <w:r>
        <w:rPr>
          <w:sz w:val="29"/>
          <w:szCs w:val="29"/>
          <w:spacing w:val="-4"/>
        </w:rPr>
        <w:t>头现象，并对其进行防火</w:t>
      </w:r>
      <w:r>
        <w:rPr>
          <w:sz w:val="29"/>
          <w:szCs w:val="29"/>
        </w:rPr>
        <w:t xml:space="preserve"> </w:t>
      </w:r>
      <w:r>
        <w:rPr>
          <w:sz w:val="29"/>
          <w:szCs w:val="29"/>
          <w:spacing w:val="-10"/>
        </w:rPr>
        <w:t>教育，加强防火意识。及时清扫落叶、树挂，</w:t>
      </w:r>
      <w:r>
        <w:rPr>
          <w:sz w:val="29"/>
          <w:szCs w:val="29"/>
          <w:spacing w:val="-11"/>
        </w:rPr>
        <w:t>消除火灾隐患。同时注意库房的防</w:t>
      </w:r>
    </w:p>
    <w:p>
      <w:pPr>
        <w:spacing w:line="327" w:lineRule="auto"/>
        <w:sectPr>
          <w:footerReference w:type="default" r:id="rId637"/>
          <w:pgSz w:w="14490" w:h="20470"/>
          <w:pgMar w:top="400" w:right="1775"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2"/>
        </w:rPr>
        <w:t>火、防盗情况。</w:t>
      </w:r>
    </w:p>
    <w:p>
      <w:pPr>
        <w:spacing w:line="287" w:lineRule="auto"/>
        <w:rPr>
          <w:rFonts w:ascii="Arial"/>
          <w:sz w:val="21"/>
        </w:rPr>
      </w:pPr>
      <w:r/>
    </w:p>
    <w:p>
      <w:pPr>
        <w:ind w:left="590"/>
        <w:spacing w:before="98" w:line="223" w:lineRule="auto"/>
        <w:rPr>
          <w:rFonts w:ascii="SimHei" w:hAnsi="SimHei" w:eastAsia="SimHei" w:cs="SimHei"/>
          <w:sz w:val="30"/>
          <w:szCs w:val="30"/>
        </w:rPr>
      </w:pPr>
      <w:r>
        <w:rPr>
          <w:rFonts w:ascii="SimHei" w:hAnsi="SimHei" w:eastAsia="SimHei" w:cs="SimHei"/>
          <w:sz w:val="30"/>
          <w:szCs w:val="30"/>
          <w:spacing w:val="-4"/>
        </w:rPr>
        <w:t>十一月份</w:t>
      </w:r>
    </w:p>
    <w:p>
      <w:pPr>
        <w:spacing w:line="380" w:lineRule="auto"/>
        <w:rPr>
          <w:rFonts w:ascii="Arial"/>
          <w:sz w:val="21"/>
        </w:rPr>
      </w:pPr>
      <w:r/>
    </w:p>
    <w:p>
      <w:pPr>
        <w:pStyle w:val="BodyText"/>
        <w:ind w:left="590"/>
        <w:spacing w:before="94" w:line="219" w:lineRule="auto"/>
        <w:rPr>
          <w:sz w:val="29"/>
          <w:szCs w:val="29"/>
        </w:rPr>
      </w:pPr>
      <w:r>
        <w:rPr>
          <w:sz w:val="29"/>
          <w:szCs w:val="29"/>
          <w:spacing w:val="4"/>
        </w:rPr>
        <w:t>土壤开始冻结，进入隆冬季节。</w:t>
      </w:r>
    </w:p>
    <w:p>
      <w:pPr>
        <w:pStyle w:val="BodyText"/>
        <w:ind w:left="590"/>
        <w:spacing w:before="103"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23" w:line="219" w:lineRule="auto"/>
        <w:rPr>
          <w:sz w:val="29"/>
          <w:szCs w:val="29"/>
        </w:rPr>
      </w:pPr>
      <w:r>
        <w:rPr>
          <w:sz w:val="29"/>
          <w:szCs w:val="29"/>
          <w:spacing w:val="1"/>
        </w:rPr>
        <w:t>及时检查乔木支撑情况，发现松动或缺失立即加固。</w:t>
      </w:r>
    </w:p>
    <w:p>
      <w:pPr>
        <w:ind w:left="590"/>
        <w:spacing w:before="10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340" w:firstLine="590"/>
        <w:spacing w:before="137" w:line="311" w:lineRule="auto"/>
        <w:rPr>
          <w:sz w:val="29"/>
          <w:szCs w:val="29"/>
        </w:rPr>
      </w:pPr>
      <w:r>
        <w:rPr>
          <w:sz w:val="29"/>
          <w:szCs w:val="29"/>
        </w:rPr>
        <w:t>全面展开落叶树木的整形修剪工作，根据各种</w:t>
      </w:r>
      <w:r>
        <w:rPr>
          <w:sz w:val="29"/>
          <w:szCs w:val="29"/>
          <w:spacing w:val="-1"/>
        </w:rPr>
        <w:t>树木的树龄、生长习性、树型</w:t>
      </w:r>
      <w:r>
        <w:rPr>
          <w:sz w:val="29"/>
          <w:szCs w:val="29"/>
        </w:rPr>
        <w:t xml:space="preserve"> </w:t>
      </w:r>
      <w:r>
        <w:rPr>
          <w:sz w:val="29"/>
          <w:szCs w:val="29"/>
          <w:spacing w:val="-8"/>
        </w:rPr>
        <w:t>特点做到有针对性的修剪。去除病虫枝、枯死枝、徒长枝、交叉枝等，对于没有做</w:t>
      </w:r>
      <w:r>
        <w:rPr>
          <w:sz w:val="29"/>
          <w:szCs w:val="29"/>
          <w:spacing w:val="11"/>
        </w:rPr>
        <w:t xml:space="preserve"> </w:t>
      </w:r>
      <w:r>
        <w:rPr>
          <w:sz w:val="29"/>
          <w:szCs w:val="29"/>
          <w:spacing w:val="-1"/>
        </w:rPr>
        <w:t>到定型乔木，协调整体统一截干定型，树木做到三枝六叉十二头，保证树木的整</w:t>
      </w:r>
      <w:r>
        <w:rPr>
          <w:sz w:val="29"/>
          <w:szCs w:val="29"/>
          <w:spacing w:val="14"/>
        </w:rPr>
        <w:t xml:space="preserve"> </w:t>
      </w:r>
      <w:r>
        <w:rPr>
          <w:sz w:val="29"/>
          <w:szCs w:val="29"/>
          <w:spacing w:val="2"/>
        </w:rPr>
        <w:t>体协调和丰满，对于花冠木根据观赏需要通风透光进行缩修保证树型。</w:t>
      </w:r>
    </w:p>
    <w:p>
      <w:pPr>
        <w:pStyle w:val="BodyText"/>
        <w:ind w:left="590"/>
        <w:spacing w:line="395" w:lineRule="exact"/>
        <w:rPr>
          <w:rFonts w:ascii="SimHei" w:hAnsi="SimHei" w:eastAsia="SimHei" w:cs="SimHei"/>
          <w:sz w:val="29"/>
          <w:szCs w:val="29"/>
        </w:rPr>
      </w:pPr>
      <w:r>
        <w:rPr>
          <w:rFonts w:ascii="Arial" w:hAnsi="Arial" w:eastAsia="Arial" w:cs="Arial"/>
          <w:sz w:val="29"/>
          <w:szCs w:val="29"/>
          <w:spacing w:val="1"/>
          <w:position w:val="1"/>
        </w:rPr>
        <w:t>3</w:t>
      </w:r>
      <w:r>
        <w:rPr>
          <w:sz w:val="29"/>
          <w:szCs w:val="29"/>
          <w:spacing w:val="1"/>
          <w:position w:val="1"/>
        </w:rPr>
        <w:t>、</w:t>
      </w:r>
      <w:r>
        <w:rPr>
          <w:rFonts w:ascii="SimHei" w:hAnsi="SimHei" w:eastAsia="SimHei" w:cs="SimHei"/>
          <w:sz w:val="29"/>
          <w:szCs w:val="29"/>
          <w:spacing w:val="1"/>
          <w:position w:val="1"/>
        </w:rPr>
        <w:t>病虫害防治</w:t>
      </w:r>
    </w:p>
    <w:p>
      <w:pPr>
        <w:pStyle w:val="BodyText"/>
        <w:ind w:left="730"/>
        <w:spacing w:before="100" w:line="219" w:lineRule="auto"/>
        <w:rPr>
          <w:sz w:val="29"/>
          <w:szCs w:val="29"/>
        </w:rPr>
      </w:pPr>
      <w:r>
        <w:rPr>
          <w:sz w:val="29"/>
          <w:szCs w:val="29"/>
          <w:spacing w:val="7"/>
        </w:rPr>
        <w:t>(1)病害：白粉病、叶斑类病害、叶枯病等；</w:t>
      </w:r>
    </w:p>
    <w:p>
      <w:pPr>
        <w:pStyle w:val="BodyText"/>
        <w:ind w:right="649" w:firstLine="730"/>
        <w:spacing w:before="164" w:line="266" w:lineRule="auto"/>
        <w:rPr>
          <w:sz w:val="29"/>
          <w:szCs w:val="29"/>
        </w:rPr>
      </w:pPr>
      <w:r>
        <w:rPr>
          <w:sz w:val="29"/>
          <w:szCs w:val="29"/>
          <w:spacing w:val="-9"/>
        </w:rPr>
        <w:t>(2)虫害：大青叶蝉、桃粉蚜、柑桔全爪螨、桔绿粉虱、榕管蓟马、白蚁、</w:t>
      </w:r>
      <w:r>
        <w:rPr>
          <w:sz w:val="29"/>
          <w:szCs w:val="29"/>
          <w:spacing w:val="5"/>
        </w:rPr>
        <w:t xml:space="preserve"> </w:t>
      </w:r>
      <w:r>
        <w:rPr>
          <w:sz w:val="29"/>
          <w:szCs w:val="29"/>
          <w:spacing w:val="-9"/>
        </w:rPr>
        <w:t>红棕象甲等。</w:t>
      </w:r>
    </w:p>
    <w:p>
      <w:pPr>
        <w:pStyle w:val="BodyText"/>
        <w:ind w:left="590"/>
        <w:spacing w:before="200" w:line="224"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保洁</w:t>
      </w:r>
    </w:p>
    <w:p>
      <w:pPr>
        <w:pStyle w:val="BodyText"/>
        <w:ind w:right="440" w:firstLine="730"/>
        <w:spacing w:before="82" w:line="259"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03" w:firstLine="730"/>
        <w:spacing w:before="167" w:line="266"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1"/>
        </w:rPr>
        <w:t>售展示区)进行彻底清理。</w:t>
      </w:r>
    </w:p>
    <w:p>
      <w:pPr>
        <w:pStyle w:val="BodyText"/>
        <w:ind w:left="590"/>
        <w:spacing w:before="152" w:line="395" w:lineRule="exact"/>
        <w:rPr>
          <w:rFonts w:ascii="SimHei" w:hAnsi="SimHei" w:eastAsia="SimHei" w:cs="SimHei"/>
          <w:sz w:val="29"/>
          <w:szCs w:val="29"/>
        </w:rPr>
      </w:pPr>
      <w:r>
        <w:rPr>
          <w:rFonts w:ascii="Arial" w:hAnsi="Arial" w:eastAsia="Arial" w:cs="Arial"/>
          <w:sz w:val="29"/>
          <w:szCs w:val="29"/>
          <w:spacing w:val="5"/>
          <w:position w:val="1"/>
        </w:rPr>
        <w:t>5</w:t>
      </w:r>
      <w:r>
        <w:rPr>
          <w:sz w:val="29"/>
          <w:szCs w:val="29"/>
          <w:spacing w:val="5"/>
          <w:position w:val="1"/>
        </w:rPr>
        <w:t>、</w:t>
      </w:r>
      <w:r>
        <w:rPr>
          <w:rFonts w:ascii="SimHei" w:hAnsi="SimHei" w:eastAsia="SimHei" w:cs="SimHei"/>
          <w:sz w:val="29"/>
          <w:szCs w:val="29"/>
          <w:spacing w:val="5"/>
          <w:position w:val="1"/>
        </w:rPr>
        <w:t>物资管理</w:t>
      </w:r>
    </w:p>
    <w:p>
      <w:pPr>
        <w:pStyle w:val="BodyText"/>
        <w:spacing w:before="89"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90"/>
        <w:spacing w:before="61"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防火防盗</w:t>
      </w:r>
    </w:p>
    <w:p>
      <w:pPr>
        <w:pStyle w:val="BodyText"/>
        <w:ind w:right="110" w:firstLine="590"/>
        <w:spacing w:before="131" w:line="320"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ind w:left="590"/>
        <w:spacing w:before="223" w:line="223" w:lineRule="auto"/>
        <w:rPr>
          <w:rFonts w:ascii="SimHei" w:hAnsi="SimHei" w:eastAsia="SimHei" w:cs="SimHei"/>
          <w:sz w:val="32"/>
          <w:szCs w:val="32"/>
        </w:rPr>
      </w:pPr>
      <w:r>
        <w:rPr>
          <w:rFonts w:ascii="SimHei" w:hAnsi="SimHei" w:eastAsia="SimHei" w:cs="SimHei"/>
          <w:sz w:val="32"/>
          <w:szCs w:val="32"/>
          <w:spacing w:val="-19"/>
        </w:rPr>
        <w:t>十二月份</w:t>
      </w:r>
    </w:p>
    <w:p>
      <w:pPr>
        <w:spacing w:line="345" w:lineRule="auto"/>
        <w:rPr>
          <w:rFonts w:ascii="Arial"/>
          <w:sz w:val="21"/>
        </w:rPr>
      </w:pPr>
      <w:r/>
    </w:p>
    <w:p>
      <w:pPr>
        <w:pStyle w:val="BodyText"/>
        <w:ind w:left="590"/>
        <w:spacing w:before="94" w:line="219" w:lineRule="auto"/>
        <w:rPr>
          <w:sz w:val="29"/>
          <w:szCs w:val="29"/>
        </w:rPr>
      </w:pPr>
      <w:r>
        <w:rPr>
          <w:sz w:val="29"/>
          <w:szCs w:val="29"/>
          <w:spacing w:val="5"/>
        </w:rPr>
        <w:t>气温低，开始冬季养护工作。</w:t>
      </w:r>
    </w:p>
    <w:p>
      <w:pPr>
        <w:pStyle w:val="BodyText"/>
        <w:ind w:left="590"/>
        <w:spacing w:before="13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11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7"/>
        </w:rPr>
        <w:t>(2)及时检查乔木支撑情况，发现松动或缺失立即加固。</w:t>
      </w:r>
    </w:p>
    <w:p>
      <w:pPr>
        <w:ind w:left="590"/>
        <w:spacing w:before="94"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left="590"/>
        <w:spacing w:before="143" w:line="219" w:lineRule="auto"/>
        <w:rPr>
          <w:sz w:val="29"/>
          <w:szCs w:val="29"/>
        </w:rPr>
      </w:pPr>
      <w:r>
        <w:rPr>
          <w:sz w:val="29"/>
          <w:szCs w:val="29"/>
        </w:rPr>
        <w:t>根据各种树木的树龄、生长习性、树型特点做到有针对性的修剪。落叶树：</w:t>
      </w:r>
    </w:p>
    <w:p>
      <w:pPr>
        <w:spacing w:line="219" w:lineRule="auto"/>
        <w:sectPr>
          <w:footerReference w:type="default" r:id="rId638"/>
          <w:pgSz w:w="14490" w:h="20470"/>
          <w:pgMar w:top="400" w:right="1834"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41"/>
        <w:spacing w:before="94" w:line="310" w:lineRule="auto"/>
        <w:jc w:val="both"/>
        <w:rPr>
          <w:sz w:val="29"/>
          <w:szCs w:val="29"/>
        </w:rPr>
      </w:pPr>
      <w:r>
        <w:rPr>
          <w:sz w:val="29"/>
          <w:szCs w:val="29"/>
          <w:spacing w:val="-9"/>
        </w:rPr>
        <w:t>去除病虫枝、枯死枝、徒长枝、交叉枝、内膛枝等，对于没有做到定型乔木，协调</w:t>
      </w:r>
      <w:r>
        <w:rPr>
          <w:sz w:val="29"/>
          <w:szCs w:val="29"/>
          <w:spacing w:val="6"/>
        </w:rPr>
        <w:t xml:space="preserve"> </w:t>
      </w:r>
      <w:r>
        <w:rPr>
          <w:sz w:val="29"/>
          <w:szCs w:val="29"/>
        </w:rPr>
        <w:t>整体统一截干定型，保证树木的整体协调和丰满。对于花灌木根据观赏需要通风</w:t>
      </w:r>
      <w:r>
        <w:rPr>
          <w:sz w:val="29"/>
          <w:szCs w:val="29"/>
          <w:spacing w:val="12"/>
        </w:rPr>
        <w:t xml:space="preserve"> </w:t>
      </w:r>
      <w:r>
        <w:rPr>
          <w:sz w:val="29"/>
          <w:szCs w:val="29"/>
        </w:rPr>
        <w:t>透光进行修剪，保证树型。</w:t>
      </w:r>
    </w:p>
    <w:p>
      <w:pPr>
        <w:ind w:left="570"/>
        <w:spacing w:before="5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93" w:line="219" w:lineRule="auto"/>
        <w:rPr>
          <w:sz w:val="29"/>
          <w:szCs w:val="29"/>
        </w:rPr>
      </w:pPr>
      <w:r>
        <w:rPr>
          <w:sz w:val="29"/>
          <w:szCs w:val="29"/>
          <w:spacing w:val="7"/>
        </w:rPr>
        <w:t>(1)浇水盘土壤疏松和堆土，做好越冬准备；</w:t>
      </w:r>
    </w:p>
    <w:p>
      <w:pPr>
        <w:pStyle w:val="BodyText"/>
        <w:ind w:left="730"/>
        <w:spacing w:before="156" w:line="219" w:lineRule="auto"/>
        <w:rPr>
          <w:sz w:val="29"/>
          <w:szCs w:val="29"/>
        </w:rPr>
      </w:pPr>
      <w:r>
        <w:rPr>
          <w:sz w:val="29"/>
          <w:szCs w:val="29"/>
          <w:spacing w:val="7"/>
        </w:rPr>
        <w:t>(2)第一场霜冻来临后对地被草坪灌次透水。</w:t>
      </w:r>
    </w:p>
    <w:p>
      <w:pPr>
        <w:pStyle w:val="BodyText"/>
        <w:ind w:left="570"/>
        <w:spacing w:before="109" w:line="224" w:lineRule="auto"/>
        <w:rPr>
          <w:rFonts w:ascii="SimHei" w:hAnsi="SimHei" w:eastAsia="SimHei" w:cs="SimHei"/>
          <w:sz w:val="29"/>
          <w:szCs w:val="29"/>
        </w:rPr>
      </w:pPr>
      <w:r>
        <w:rPr>
          <w:rFonts w:ascii="Arial" w:hAnsi="Arial" w:eastAsia="Arial" w:cs="Arial"/>
          <w:sz w:val="29"/>
          <w:szCs w:val="29"/>
          <w:spacing w:val="6"/>
        </w:rPr>
        <w:t>4</w:t>
      </w:r>
      <w:r>
        <w:rPr>
          <w:sz w:val="29"/>
          <w:szCs w:val="29"/>
          <w:spacing w:val="6"/>
        </w:rPr>
        <w:t>、</w:t>
      </w:r>
      <w:r>
        <w:rPr>
          <w:rFonts w:ascii="SimHei" w:hAnsi="SimHei" w:eastAsia="SimHei" w:cs="SimHei"/>
          <w:sz w:val="29"/>
          <w:szCs w:val="29"/>
          <w:spacing w:val="6"/>
        </w:rPr>
        <w:t>保洁</w:t>
      </w:r>
    </w:p>
    <w:p>
      <w:pPr>
        <w:pStyle w:val="BodyText"/>
        <w:ind w:right="320" w:firstLine="730"/>
        <w:spacing w:before="144"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57" w:line="266"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before="133" w:line="395" w:lineRule="exact"/>
        <w:rPr>
          <w:rFonts w:ascii="SimHei" w:hAnsi="SimHei" w:eastAsia="SimHei" w:cs="SimHei"/>
          <w:sz w:val="29"/>
          <w:szCs w:val="29"/>
        </w:rPr>
      </w:pPr>
      <w:r>
        <w:rPr>
          <w:rFonts w:ascii="Arial" w:hAnsi="Arial" w:eastAsia="Arial" w:cs="Arial"/>
          <w:sz w:val="29"/>
          <w:szCs w:val="29"/>
          <w:spacing w:val="3"/>
          <w:position w:val="1"/>
        </w:rPr>
        <w:t>5</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0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2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3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21" w:firstLine="730"/>
        <w:spacing w:before="143" w:line="257"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right="321" w:firstLine="730"/>
        <w:spacing w:before="154" w:line="268" w:lineRule="auto"/>
        <w:rPr>
          <w:sz w:val="29"/>
          <w:szCs w:val="29"/>
        </w:rPr>
      </w:pPr>
      <w:r>
        <w:rPr>
          <w:sz w:val="29"/>
          <w:szCs w:val="29"/>
          <w:spacing w:val="2"/>
        </w:rPr>
        <w:t>(2)根据现场的实际情况，申请购置翌年1、2、3月份的农药、化肥、营养 </w:t>
      </w:r>
      <w:r>
        <w:rPr>
          <w:sz w:val="29"/>
          <w:szCs w:val="29"/>
        </w:rPr>
        <w:t>剂及其它物资。</w:t>
      </w:r>
    </w:p>
    <w:p>
      <w:pPr>
        <w:pStyle w:val="BodyText"/>
        <w:ind w:left="570"/>
        <w:spacing w:before="20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85" w:line="318"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pStyle w:val="BodyText"/>
        <w:ind w:left="570"/>
        <w:spacing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6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59"/>
          <w:position w:val="1"/>
        </w:rPr>
        <w:t xml:space="preserve"> </w:t>
      </w:r>
      <w:r>
        <w:rPr>
          <w:rFonts w:ascii="SimHei" w:hAnsi="SimHei" w:eastAsia="SimHei" w:cs="SimHei"/>
          <w:sz w:val="27"/>
          <w:szCs w:val="27"/>
          <w:spacing w:val="-17"/>
          <w:position w:val="1"/>
        </w:rPr>
        <w:t>寒</w:t>
      </w:r>
    </w:p>
    <w:p>
      <w:pPr>
        <w:pStyle w:val="BodyText"/>
        <w:ind w:right="402" w:firstLine="570"/>
        <w:spacing w:before="113" w:line="308" w:lineRule="auto"/>
        <w:rPr>
          <w:sz w:val="29"/>
          <w:szCs w:val="29"/>
        </w:rPr>
      </w:pPr>
      <w:r>
        <w:rPr>
          <w:sz w:val="29"/>
          <w:szCs w:val="29"/>
          <w:spacing w:val="-4"/>
        </w:rPr>
        <w:t>本月中旬完成新种植乔木和重点花灌木、造型树的防寒完成</w:t>
      </w:r>
      <w:r>
        <w:rPr>
          <w:sz w:val="29"/>
          <w:szCs w:val="29"/>
          <w:spacing w:val="-5"/>
        </w:rPr>
        <w:t>，并每天安排人</w:t>
      </w:r>
      <w:r>
        <w:rPr>
          <w:sz w:val="29"/>
          <w:szCs w:val="29"/>
        </w:rPr>
        <w:t xml:space="preserve"> </w:t>
      </w:r>
      <w:r>
        <w:rPr>
          <w:sz w:val="29"/>
          <w:szCs w:val="29"/>
          <w:spacing w:val="-1"/>
        </w:rPr>
        <w:t>员对造型树、铁树等通风观察生长情况工作。</w:t>
      </w:r>
    </w:p>
    <w:p>
      <w:pPr>
        <w:spacing w:line="308" w:lineRule="auto"/>
        <w:sectPr>
          <w:footerReference w:type="default" r:id="rId639"/>
          <w:pgSz w:w="14490" w:h="20470"/>
          <w:pgMar w:top="400" w:right="1935" w:bottom="1447" w:left="2150" w:header="0" w:footer="1230"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ind w:left="4490"/>
        <w:spacing w:before="94" w:line="221" w:lineRule="auto"/>
        <w:outlineLvl w:val="1"/>
        <w:rPr>
          <w:rFonts w:ascii="SimHei" w:hAnsi="SimHei" w:eastAsia="SimHei" w:cs="SimHei"/>
          <w:sz w:val="29"/>
          <w:szCs w:val="29"/>
        </w:rPr>
      </w:pPr>
      <w:bookmarkStart w:name="bookmark70" w:id="125"/>
      <w:bookmarkEnd w:id="125"/>
      <w:r>
        <w:rPr>
          <w:rFonts w:ascii="SimHei" w:hAnsi="SimHei" w:eastAsia="SimHei" w:cs="SimHei"/>
          <w:sz w:val="29"/>
          <w:szCs w:val="29"/>
          <w:spacing w:val="6"/>
        </w:rPr>
        <w:t>湖北地区</w:t>
      </w:r>
    </w:p>
    <w:p>
      <w:pPr>
        <w:pStyle w:val="BodyText"/>
        <w:ind w:left="4"/>
        <w:spacing w:before="176" w:line="223" w:lineRule="auto"/>
        <w:rPr>
          <w:rFonts w:ascii="SimHei" w:hAnsi="SimHei" w:eastAsia="SimHei" w:cs="SimHei"/>
          <w:sz w:val="30"/>
          <w:szCs w:val="30"/>
        </w:rPr>
      </w:pPr>
      <w:bookmarkStart w:name="bookmark134" w:id="126"/>
      <w:bookmarkEnd w:id="126"/>
      <w:r>
        <w:rPr>
          <w:sz w:val="30"/>
          <w:szCs w:val="30"/>
          <w:b/>
          <w:bCs/>
          <w:spacing w:val="-13"/>
        </w:rPr>
        <w:t>一、</w:t>
      </w:r>
      <w:r>
        <w:rPr>
          <w:rFonts w:ascii="SimHei" w:hAnsi="SimHei" w:eastAsia="SimHei" w:cs="SimHei"/>
          <w:sz w:val="30"/>
          <w:szCs w:val="30"/>
          <w:spacing w:val="-13"/>
        </w:rPr>
        <w:t>二月份</w:t>
      </w:r>
    </w:p>
    <w:p>
      <w:pPr>
        <w:pStyle w:val="BodyText"/>
        <w:ind w:left="570"/>
        <w:spacing w:before="146" w:line="219" w:lineRule="auto"/>
        <w:rPr>
          <w:sz w:val="29"/>
          <w:szCs w:val="29"/>
        </w:rPr>
      </w:pPr>
      <w:r>
        <w:rPr>
          <w:sz w:val="29"/>
          <w:szCs w:val="29"/>
          <w:spacing w:val="4"/>
        </w:rPr>
        <w:t>湖南全年中气温最低的月份，重点是保洁和防寒。</w:t>
      </w:r>
    </w:p>
    <w:p>
      <w:pPr>
        <w:pStyle w:val="BodyText"/>
        <w:ind w:left="570"/>
        <w:spacing w:before="24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4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(2)及时检查乔木支撑情况，发现松动或缺失立即加固；</w:t>
      </w:r>
    </w:p>
    <w:p>
      <w:pPr>
        <w:pStyle w:val="BodyText"/>
        <w:ind w:left="730"/>
        <w:spacing w:before="156" w:line="219" w:lineRule="auto"/>
        <w:rPr>
          <w:sz w:val="29"/>
          <w:szCs w:val="29"/>
        </w:rPr>
      </w:pPr>
      <w:r>
        <w:rPr>
          <w:sz w:val="29"/>
          <w:szCs w:val="29"/>
          <w:spacing w:val="-2"/>
        </w:rPr>
        <w:t>(3)</w:t>
      </w:r>
      <w:r>
        <w:rPr>
          <w:sz w:val="29"/>
          <w:szCs w:val="29"/>
          <w:spacing w:val="73"/>
        </w:rPr>
        <w:t xml:space="preserve"> </w:t>
      </w:r>
      <w:r>
        <w:rPr>
          <w:sz w:val="29"/>
          <w:szCs w:val="29"/>
          <w:spacing w:val="-2"/>
        </w:rPr>
        <w:t>及时清理雪后树木上积雪，避免对树枝造成伤害；</w:t>
      </w:r>
    </w:p>
    <w:p>
      <w:pPr>
        <w:pStyle w:val="BodyText"/>
        <w:ind w:left="730"/>
        <w:spacing w:before="156" w:line="219" w:lineRule="auto"/>
        <w:rPr>
          <w:sz w:val="29"/>
          <w:szCs w:val="29"/>
        </w:rPr>
      </w:pPr>
      <w:r>
        <w:rPr>
          <w:sz w:val="29"/>
          <w:szCs w:val="29"/>
          <w:spacing w:val="8"/>
        </w:rPr>
        <w:t>(4)检查苗木的损伤情况，及时除去断裂枝。</w:t>
      </w:r>
    </w:p>
    <w:p>
      <w:pPr>
        <w:ind w:left="570"/>
        <w:spacing w:before="9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431" w:firstLine="730"/>
        <w:spacing w:before="131" w:line="321" w:lineRule="auto"/>
        <w:rPr>
          <w:sz w:val="29"/>
          <w:szCs w:val="29"/>
        </w:rPr>
      </w:pPr>
      <w:r>
        <w:rPr>
          <w:sz w:val="29"/>
          <w:szCs w:val="29"/>
          <w:spacing w:val="-3"/>
        </w:rPr>
        <w:t>(①  对非新植乔木进行冬季修剪，剪去枯枝、病虫枝、重叠枝等，直径大</w:t>
      </w:r>
      <w:r>
        <w:rPr>
          <w:sz w:val="29"/>
          <w:szCs w:val="29"/>
          <w:spacing w:val="9"/>
        </w:rPr>
        <w:t xml:space="preserve"> </w:t>
      </w:r>
      <w:r>
        <w:rPr>
          <w:sz w:val="29"/>
          <w:szCs w:val="29"/>
          <w:spacing w:val="-12"/>
        </w:rPr>
        <w:t>于3</w:t>
      </w:r>
      <w:r>
        <w:rPr>
          <w:rFonts w:ascii="Times New Roman" w:hAnsi="Times New Roman" w:eastAsia="Times New Roman" w:cs="Times New Roman"/>
          <w:sz w:val="29"/>
          <w:szCs w:val="29"/>
          <w:spacing w:val="-12"/>
        </w:rPr>
        <w:t>cm</w:t>
      </w:r>
      <w:r>
        <w:rPr>
          <w:sz w:val="29"/>
          <w:szCs w:val="29"/>
          <w:spacing w:val="-12"/>
        </w:rPr>
        <w:t>的枝条涂愈伤涂膜剂，及时清除修剪产生的</w:t>
      </w:r>
      <w:r>
        <w:rPr>
          <w:sz w:val="29"/>
          <w:szCs w:val="29"/>
          <w:spacing w:val="-13"/>
        </w:rPr>
        <w:t>垃圾；</w:t>
      </w:r>
    </w:p>
    <w:p>
      <w:pPr>
        <w:pStyle w:val="BodyText"/>
        <w:ind w:left="730"/>
        <w:spacing w:before="1" w:line="217" w:lineRule="auto"/>
        <w:rPr>
          <w:sz w:val="29"/>
          <w:szCs w:val="29"/>
        </w:rPr>
      </w:pPr>
      <w:r>
        <w:rPr>
          <w:sz w:val="29"/>
          <w:szCs w:val="29"/>
          <w:spacing w:val="-3"/>
        </w:rPr>
        <w:t>②</w:t>
      </w:r>
      <w:r>
        <w:rPr>
          <w:sz w:val="29"/>
          <w:szCs w:val="29"/>
          <w:spacing w:val="40"/>
        </w:rPr>
        <w:t xml:space="preserve">  </w:t>
      </w:r>
      <w:r>
        <w:rPr>
          <w:sz w:val="29"/>
          <w:szCs w:val="29"/>
          <w:spacing w:val="-3"/>
        </w:rPr>
        <w:t>在本地耐寒性弱的苗木要在回暖后修剪。</w:t>
      </w:r>
    </w:p>
    <w:p>
      <w:pPr>
        <w:ind w:left="570"/>
        <w:spacing w:before="80"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618" w:firstLine="570"/>
        <w:spacing w:before="153" w:line="313" w:lineRule="auto"/>
        <w:rPr>
          <w:sz w:val="29"/>
          <w:szCs w:val="29"/>
        </w:rPr>
      </w:pPr>
      <w:r>
        <w:rPr>
          <w:sz w:val="29"/>
          <w:szCs w:val="29"/>
          <w:spacing w:val="-8"/>
        </w:rPr>
        <w:t>严格控制土壤水分，冬季开花植物根据天气适量浇水，对2月下旬、3月上旬</w:t>
      </w:r>
      <w:r>
        <w:rPr>
          <w:sz w:val="29"/>
          <w:szCs w:val="29"/>
          <w:spacing w:val="7"/>
        </w:rPr>
        <w:t xml:space="preserve"> </w:t>
      </w:r>
      <w:r>
        <w:rPr>
          <w:sz w:val="29"/>
          <w:szCs w:val="29"/>
          <w:spacing w:val="1"/>
        </w:rPr>
        <w:t>新芽萌发较早的树种，根据天气状况适时浇水，促进新芽萌动。</w:t>
      </w:r>
    </w:p>
    <w:p>
      <w:pPr>
        <w:pStyle w:val="BodyText"/>
        <w:ind w:left="570"/>
        <w:spacing w:before="5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570"/>
        <w:spacing w:before="85" w:line="219" w:lineRule="auto"/>
        <w:rPr>
          <w:sz w:val="29"/>
          <w:szCs w:val="29"/>
        </w:rPr>
      </w:pPr>
      <w:r>
        <w:rPr>
          <w:sz w:val="29"/>
          <w:szCs w:val="29"/>
          <w:spacing w:val="-1"/>
        </w:rPr>
        <w:t>虫害：柑桔全爪螨等。</w:t>
      </w:r>
    </w:p>
    <w:p>
      <w:pPr>
        <w:pStyle w:val="BodyText"/>
        <w:ind w:left="570"/>
        <w:spacing w:before="7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113" w:line="27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2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31" w:firstLine="730"/>
        <w:spacing w:before="16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570"/>
        <w:spacing w:before="12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1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5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41" w:line="396"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right="90" w:firstLine="570"/>
        <w:spacing w:before="148"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1" w:lineRule="auto"/>
        <w:sectPr>
          <w:footerReference w:type="default" r:id="rId640"/>
          <w:pgSz w:w="14490" w:h="20470"/>
          <w:pgMar w:top="400" w:right="1844" w:bottom="1447" w:left="2150" w:header="0" w:footer="1230" w:gutter="0"/>
        </w:sectPr>
        <w:rPr>
          <w:sz w:val="29"/>
          <w:szCs w:val="29"/>
        </w:rPr>
      </w:pP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70"/>
        <w:spacing w:before="129" w:line="219" w:lineRule="auto"/>
        <w:rPr>
          <w:sz w:val="29"/>
          <w:szCs w:val="29"/>
        </w:rPr>
      </w:pPr>
      <w:r>
        <w:rPr>
          <w:sz w:val="29"/>
          <w:szCs w:val="29"/>
          <w:spacing w:val="3"/>
        </w:rPr>
        <w:t>气温多变，冷暖空气交替，低温连阴雨天气较多。</w:t>
      </w:r>
    </w:p>
    <w:p>
      <w:pPr>
        <w:ind w:left="570"/>
        <w:spacing w:before="253" w:line="222" w:lineRule="auto"/>
        <w:rPr>
          <w:rFonts w:ascii="SimHei" w:hAnsi="SimHei" w:eastAsia="SimHei" w:cs="SimHei"/>
          <w:sz w:val="29"/>
          <w:szCs w:val="29"/>
        </w:rPr>
      </w:pPr>
      <w:r>
        <w:rPr>
          <w:rFonts w:ascii="SimHei" w:hAnsi="SimHei" w:eastAsia="SimHei" w:cs="SimHei"/>
          <w:sz w:val="29"/>
          <w:szCs w:val="29"/>
          <w:spacing w:val="-1"/>
        </w:rPr>
        <w:t>1、</w:t>
      </w:r>
      <w:r>
        <w:rPr>
          <w:rFonts w:ascii="SimHei" w:hAnsi="SimHei" w:eastAsia="SimHei" w:cs="SimHei"/>
          <w:sz w:val="29"/>
          <w:szCs w:val="29"/>
          <w:spacing w:val="-83"/>
        </w:rPr>
        <w:t xml:space="preserve"> </w:t>
      </w:r>
      <w:r>
        <w:rPr>
          <w:rFonts w:ascii="SimHei" w:hAnsi="SimHei" w:eastAsia="SimHei" w:cs="SimHei"/>
          <w:sz w:val="29"/>
          <w:szCs w:val="29"/>
          <w:spacing w:val="-1"/>
        </w:rPr>
        <w:t>现场检查</w:t>
      </w:r>
    </w:p>
    <w:p>
      <w:pPr>
        <w:pStyle w:val="BodyText"/>
        <w:ind w:left="570"/>
        <w:spacing w:before="153" w:line="219" w:lineRule="auto"/>
        <w:rPr>
          <w:sz w:val="29"/>
          <w:szCs w:val="29"/>
        </w:rPr>
      </w:pPr>
      <w:r>
        <w:rPr>
          <w:sz w:val="29"/>
          <w:szCs w:val="29"/>
          <w:spacing w:val="1"/>
        </w:rPr>
        <w:t>及时检查乔木支撑情况，发现松动或缺失立即加固。</w:t>
      </w:r>
    </w:p>
    <w:p>
      <w:pPr>
        <w:ind w:left="570"/>
        <w:spacing w:before="11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250" w:firstLine="730"/>
        <w:spacing w:before="164" w:line="263" w:lineRule="auto"/>
        <w:rPr>
          <w:sz w:val="29"/>
          <w:szCs w:val="29"/>
        </w:rPr>
      </w:pPr>
      <w:r>
        <w:rPr>
          <w:sz w:val="29"/>
          <w:szCs w:val="29"/>
          <w:spacing w:val="2"/>
        </w:rPr>
        <w:t>①  乔木修剪：以整形为主，对苗木的折枝</w:t>
      </w:r>
      <w:r>
        <w:rPr>
          <w:sz w:val="29"/>
          <w:szCs w:val="29"/>
          <w:spacing w:val="1"/>
        </w:rPr>
        <w:t>、断枝、枯死枝、内膛枝进行</w:t>
      </w:r>
      <w:r>
        <w:rPr>
          <w:sz w:val="29"/>
          <w:szCs w:val="29"/>
        </w:rPr>
        <w:t xml:space="preserve"> </w:t>
      </w:r>
      <w:r>
        <w:rPr>
          <w:sz w:val="29"/>
          <w:szCs w:val="29"/>
          <w:spacing w:val="-5"/>
        </w:rPr>
        <w:t>修剪并对苗木进行整形修剪，保证乔木树形优美。3月下旬全园区修剪1次；</w:t>
      </w:r>
    </w:p>
    <w:p>
      <w:pPr>
        <w:pStyle w:val="BodyText"/>
        <w:ind w:right="244" w:firstLine="730"/>
        <w:spacing w:before="142" w:line="266" w:lineRule="auto"/>
        <w:rPr>
          <w:sz w:val="29"/>
          <w:szCs w:val="29"/>
        </w:rPr>
      </w:pPr>
      <w:r>
        <w:rPr>
          <w:sz w:val="29"/>
          <w:szCs w:val="29"/>
          <w:spacing w:val="2"/>
        </w:rPr>
        <w:t>②  灌木、地被修剪：对生长过量的地被小灌木、绿篱及</w:t>
      </w:r>
      <w:r>
        <w:rPr>
          <w:sz w:val="29"/>
          <w:szCs w:val="29"/>
          <w:spacing w:val="1"/>
        </w:rPr>
        <w:t>灌木在新芽刚刚</w:t>
      </w:r>
      <w:r>
        <w:rPr>
          <w:sz w:val="29"/>
          <w:szCs w:val="29"/>
        </w:rPr>
        <w:t xml:space="preserve"> </w:t>
      </w:r>
      <w:r>
        <w:rPr>
          <w:sz w:val="29"/>
          <w:szCs w:val="29"/>
          <w:spacing w:val="-3"/>
        </w:rPr>
        <w:t>开始膨大时进行回缩；</w:t>
      </w:r>
    </w:p>
    <w:p>
      <w:pPr>
        <w:pStyle w:val="BodyText"/>
        <w:ind w:left="730"/>
        <w:spacing w:before="154" w:line="217" w:lineRule="auto"/>
        <w:rPr>
          <w:sz w:val="29"/>
          <w:szCs w:val="29"/>
        </w:rPr>
      </w:pPr>
      <w:r>
        <w:rPr>
          <w:sz w:val="29"/>
          <w:szCs w:val="29"/>
          <w:spacing w:val="1"/>
        </w:rPr>
        <w:t>③  草皮修剪：草坪解除休眠前进行疏除枯草层工作；</w:t>
      </w:r>
    </w:p>
    <w:p>
      <w:pPr>
        <w:pStyle w:val="BodyText"/>
        <w:ind w:right="376" w:firstLine="730"/>
        <w:spacing w:before="128" w:line="267" w:lineRule="auto"/>
        <w:rPr>
          <w:sz w:val="29"/>
          <w:szCs w:val="29"/>
        </w:rPr>
      </w:pPr>
      <w:r>
        <w:rPr>
          <w:sz w:val="29"/>
          <w:szCs w:val="29"/>
          <w:spacing w:val="2"/>
        </w:rPr>
        <w:t>④  冬季开花植物如腊梅、梅花、茶花等的修剪、清理等工作在花后1-2</w:t>
      </w:r>
      <w:r>
        <w:rPr>
          <w:sz w:val="29"/>
          <w:szCs w:val="29"/>
          <w:spacing w:val="4"/>
        </w:rPr>
        <w:t xml:space="preserve"> </w:t>
      </w:r>
      <w:r>
        <w:rPr>
          <w:sz w:val="29"/>
          <w:szCs w:val="29"/>
          <w:spacing w:val="1"/>
        </w:rPr>
        <w:t>周进行，结合整形进行修剪。</w:t>
      </w:r>
    </w:p>
    <w:p>
      <w:pPr>
        <w:pStyle w:val="BodyText"/>
        <w:ind w:left="570"/>
        <w:spacing w:before="142" w:line="396"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firstLine="730"/>
        <w:spacing w:before="107" w:line="279" w:lineRule="auto"/>
        <w:rPr>
          <w:sz w:val="29"/>
          <w:szCs w:val="29"/>
        </w:rPr>
      </w:pPr>
      <w:r>
        <w:rPr>
          <w:sz w:val="29"/>
          <w:szCs w:val="29"/>
          <w:spacing w:val="5"/>
        </w:rPr>
        <w:t>(1)浇反青水的时间要因地制宜，视土壤和天气情况而定，</w:t>
      </w:r>
      <w:r>
        <w:rPr>
          <w:sz w:val="29"/>
          <w:szCs w:val="29"/>
          <w:spacing w:val="95"/>
        </w:rPr>
        <w:t xml:space="preserve"> </w:t>
      </w:r>
      <w:r>
        <w:rPr>
          <w:sz w:val="29"/>
          <w:szCs w:val="29"/>
          <w:spacing w:val="5"/>
        </w:rPr>
        <w:t>一般应在</w:t>
      </w:r>
      <w:r>
        <w:rPr>
          <w:sz w:val="29"/>
          <w:szCs w:val="29"/>
          <w:spacing w:val="4"/>
        </w:rPr>
        <w:t>地温</w:t>
      </w:r>
      <w:r>
        <w:rPr>
          <w:sz w:val="29"/>
          <w:szCs w:val="29"/>
        </w:rPr>
        <w:t xml:space="preserve"> </w:t>
      </w:r>
      <w:r>
        <w:rPr>
          <w:sz w:val="29"/>
          <w:szCs w:val="29"/>
          <w:spacing w:val="4"/>
        </w:rPr>
        <w:t>超过3℃,最好达到5℃以后进行，不论乔木、灌木返青水1次要浇足浇透，这样有</w:t>
      </w:r>
      <w:r>
        <w:rPr>
          <w:sz w:val="29"/>
          <w:szCs w:val="29"/>
          <w:spacing w:val="15"/>
        </w:rPr>
        <w:t xml:space="preserve"> </w:t>
      </w:r>
      <w:r>
        <w:rPr>
          <w:sz w:val="29"/>
          <w:szCs w:val="29"/>
          <w:spacing w:val="-21"/>
        </w:rPr>
        <w:t>利于苗木根系向下生长，切不可水过地皮湿。一般苗木在春季需浇2-3次水；</w:t>
      </w:r>
    </w:p>
    <w:p>
      <w:pPr>
        <w:pStyle w:val="BodyText"/>
        <w:ind w:right="381" w:firstLine="730"/>
        <w:spacing w:before="166" w:line="265" w:lineRule="auto"/>
        <w:rPr>
          <w:sz w:val="29"/>
          <w:szCs w:val="29"/>
        </w:rPr>
      </w:pPr>
      <w:r>
        <w:rPr>
          <w:sz w:val="29"/>
          <w:szCs w:val="29"/>
          <w:spacing w:val="6"/>
        </w:rPr>
        <w:t>(2)3月下旬追施一次有机复合肥(有机质含量45  以上)板结区</w:t>
      </w:r>
      <w:r>
        <w:rPr>
          <w:sz w:val="29"/>
          <w:szCs w:val="29"/>
          <w:spacing w:val="5"/>
        </w:rPr>
        <w:t>域施松土</w:t>
      </w:r>
      <w:r>
        <w:rPr>
          <w:sz w:val="29"/>
          <w:szCs w:val="29"/>
        </w:rPr>
        <w:t xml:space="preserve"> </w:t>
      </w:r>
      <w:r>
        <w:rPr>
          <w:sz w:val="29"/>
          <w:szCs w:val="29"/>
          <w:spacing w:val="-2"/>
        </w:rPr>
        <w:t>肥。</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36" w:line="219" w:lineRule="auto"/>
        <w:rPr>
          <w:sz w:val="29"/>
          <w:szCs w:val="29"/>
        </w:rPr>
      </w:pPr>
      <w:r>
        <w:rPr>
          <w:sz w:val="29"/>
          <w:szCs w:val="29"/>
          <w:spacing w:val="9"/>
        </w:rPr>
        <w:t>(1)病害：根腐病、流胶病；</w:t>
      </w:r>
    </w:p>
    <w:p>
      <w:pPr>
        <w:pStyle w:val="BodyText"/>
        <w:ind w:right="201" w:firstLine="730"/>
        <w:spacing w:before="164" w:line="262" w:lineRule="auto"/>
        <w:rPr>
          <w:sz w:val="29"/>
          <w:szCs w:val="29"/>
        </w:rPr>
      </w:pPr>
      <w:r>
        <w:rPr>
          <w:sz w:val="29"/>
          <w:szCs w:val="29"/>
          <w:spacing w:val="7"/>
        </w:rPr>
        <w:t>(2)虫害：柑桔全爪螨、咖啡木蠹蛾、柏肤小蠹、白蚁、铜绿丽金龟、小</w:t>
      </w:r>
      <w:r>
        <w:rPr>
          <w:sz w:val="29"/>
          <w:szCs w:val="29"/>
          <w:spacing w:val="16"/>
        </w:rPr>
        <w:t xml:space="preserve"> </w:t>
      </w:r>
      <w:r>
        <w:rPr>
          <w:sz w:val="29"/>
          <w:szCs w:val="29"/>
          <w:spacing w:val="1"/>
        </w:rPr>
        <w:t>地老虎、沟金针虫、玉带凤蝶。</w:t>
      </w:r>
    </w:p>
    <w:p>
      <w:pPr>
        <w:pStyle w:val="BodyText"/>
        <w:ind w:left="570"/>
        <w:spacing w:before="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249" w:firstLine="730"/>
        <w:spacing w:before="153" w:line="259"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243" w:firstLine="730"/>
        <w:spacing w:before="16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right="251" w:firstLine="730"/>
        <w:spacing w:before="42" w:line="27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248" w:firstLine="730"/>
        <w:spacing w:before="173" w:line="264"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5"/>
        </w:rPr>
        <w:t>其它物资。</w:t>
      </w:r>
    </w:p>
    <w:p>
      <w:pPr>
        <w:pStyle w:val="BodyText"/>
        <w:ind w:left="570"/>
        <w:spacing w:before="189"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left="570"/>
        <w:spacing w:before="95" w:line="219" w:lineRule="auto"/>
        <w:rPr>
          <w:sz w:val="29"/>
          <w:szCs w:val="29"/>
        </w:rPr>
      </w:pPr>
      <w:r>
        <w:rPr>
          <w:sz w:val="29"/>
          <w:szCs w:val="29"/>
          <w:spacing w:val="3"/>
        </w:rPr>
        <w:t>每天绿化工人在保洁的同时要注意行人随意丢弃烟头现象，并对其进行防火</w:t>
      </w:r>
    </w:p>
    <w:p>
      <w:pPr>
        <w:spacing w:line="219" w:lineRule="auto"/>
        <w:sectPr>
          <w:footerReference w:type="default" r:id="rId641"/>
          <w:pgSz w:w="14490" w:h="20470"/>
          <w:pgMar w:top="400" w:right="2025" w:bottom="1447" w:left="2150" w:header="0" w:footer="1230" w:gutter="0"/>
        </w:sectPr>
        <w:rPr>
          <w:sz w:val="29"/>
          <w:szCs w:val="29"/>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307" w:lineRule="auto"/>
        <w:rPr>
          <w:sz w:val="29"/>
          <w:szCs w:val="29"/>
        </w:rPr>
      </w:pP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防寒拆除</w:t>
      </w:r>
    </w:p>
    <w:p>
      <w:pPr>
        <w:pStyle w:val="BodyText"/>
        <w:ind w:right="456" w:firstLine="730"/>
        <w:spacing w:before="88" w:line="272" w:lineRule="auto"/>
        <w:rPr>
          <w:sz w:val="29"/>
          <w:szCs w:val="29"/>
        </w:rPr>
      </w:pPr>
      <w:r>
        <w:rPr>
          <w:sz w:val="29"/>
          <w:szCs w:val="29"/>
          <w:spacing w:val="7"/>
        </w:rPr>
        <w:t>(1)采取循序渐进的方法分批拆除防寒设施，根据天气情况，3</w:t>
      </w:r>
      <w:r>
        <w:rPr>
          <w:sz w:val="29"/>
          <w:szCs w:val="29"/>
          <w:spacing w:val="6"/>
        </w:rPr>
        <w:t>月中、下</w:t>
      </w:r>
      <w:r>
        <w:rPr>
          <w:sz w:val="29"/>
          <w:szCs w:val="29"/>
        </w:rPr>
        <w:t xml:space="preserve"> </w:t>
      </w:r>
      <w:r>
        <w:rPr>
          <w:sz w:val="29"/>
          <w:szCs w:val="29"/>
          <w:spacing w:val="-4"/>
        </w:rPr>
        <w:t>旬左右将防寒设施全部拆除；</w:t>
      </w:r>
    </w:p>
    <w:p>
      <w:pPr>
        <w:pStyle w:val="BodyText"/>
        <w:ind w:right="322" w:firstLine="730"/>
        <w:spacing w:before="155" w:line="269" w:lineRule="auto"/>
        <w:rPr>
          <w:sz w:val="29"/>
          <w:szCs w:val="29"/>
        </w:rPr>
      </w:pPr>
      <w:r>
        <w:rPr>
          <w:sz w:val="29"/>
          <w:szCs w:val="29"/>
          <w:spacing w:val="6"/>
        </w:rPr>
        <w:t>(2)树体缠草绳的苗木可待萌芽时去除，将腐烂发霉草绳集中焚烧，销毁</w:t>
      </w:r>
      <w:r>
        <w:rPr>
          <w:sz w:val="29"/>
          <w:szCs w:val="29"/>
          <w:spacing w:val="18"/>
        </w:rPr>
        <w:t xml:space="preserve"> </w:t>
      </w:r>
      <w:r>
        <w:rPr>
          <w:sz w:val="29"/>
          <w:szCs w:val="29"/>
          <w:spacing w:val="-1"/>
        </w:rPr>
        <w:t>草绳中的虫卵。</w:t>
      </w:r>
    </w:p>
    <w:p>
      <w:pPr>
        <w:spacing w:before="216" w:line="223" w:lineRule="auto"/>
        <w:rPr>
          <w:rFonts w:ascii="SimHei" w:hAnsi="SimHei" w:eastAsia="SimHei" w:cs="SimHei"/>
          <w:sz w:val="29"/>
          <w:szCs w:val="29"/>
        </w:rPr>
      </w:pPr>
      <w:r>
        <w:rPr>
          <w:rFonts w:ascii="SimHei" w:hAnsi="SimHei" w:eastAsia="SimHei" w:cs="SimHei"/>
          <w:sz w:val="29"/>
          <w:szCs w:val="29"/>
          <w:spacing w:val="9"/>
        </w:rPr>
        <w:t>四月份</w:t>
      </w:r>
    </w:p>
    <w:p>
      <w:pPr>
        <w:pStyle w:val="BodyText"/>
        <w:ind w:left="570"/>
        <w:spacing w:before="109" w:line="219" w:lineRule="auto"/>
        <w:rPr>
          <w:sz w:val="29"/>
          <w:szCs w:val="29"/>
        </w:rPr>
      </w:pPr>
      <w:r>
        <w:rPr>
          <w:sz w:val="29"/>
          <w:szCs w:val="29"/>
          <w:spacing w:val="3"/>
        </w:rPr>
        <w:t>气温回升快，雨量多。雷雨、大风、春寒、春旱等灾害性天气时有发生。</w:t>
      </w:r>
    </w:p>
    <w:p>
      <w:pPr>
        <w:pStyle w:val="BodyText"/>
        <w:ind w:left="570"/>
        <w:spacing w:before="29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right="294" w:firstLine="730"/>
        <w:spacing w:before="123" w:line="318" w:lineRule="auto"/>
        <w:rPr>
          <w:sz w:val="29"/>
          <w:szCs w:val="29"/>
        </w:rPr>
      </w:pPr>
      <w:r>
        <w:rPr>
          <w:sz w:val="29"/>
          <w:szCs w:val="29"/>
          <w:spacing w:val="-4"/>
        </w:rPr>
        <w:t>(1)</w:t>
      </w:r>
      <w:r>
        <w:rPr>
          <w:sz w:val="29"/>
          <w:szCs w:val="29"/>
          <w:spacing w:val="90"/>
        </w:rPr>
        <w:t xml:space="preserve"> </w:t>
      </w:r>
      <w:r>
        <w:rPr>
          <w:sz w:val="29"/>
          <w:szCs w:val="29"/>
          <w:spacing w:val="-4"/>
        </w:rPr>
        <w:t>地形整理：及时发现下沉严重的地形，提早处理，在4月下旬地形整理</w:t>
      </w:r>
      <w:r>
        <w:rPr>
          <w:sz w:val="29"/>
          <w:szCs w:val="29"/>
        </w:rPr>
        <w:t xml:space="preserve"> </w:t>
      </w:r>
      <w:r>
        <w:rPr>
          <w:sz w:val="29"/>
          <w:szCs w:val="29"/>
          <w:spacing w:val="1"/>
        </w:rPr>
        <w:t>完毕，草皮更换完毕。</w:t>
      </w:r>
    </w:p>
    <w:p>
      <w:pPr>
        <w:pStyle w:val="BodyText"/>
        <w:ind w:left="730"/>
        <w:spacing w:before="1" w:line="219" w:lineRule="auto"/>
        <w:rPr>
          <w:sz w:val="29"/>
          <w:szCs w:val="29"/>
        </w:rPr>
      </w:pPr>
      <w:r>
        <w:rPr>
          <w:sz w:val="29"/>
          <w:szCs w:val="29"/>
          <w:spacing w:val="-1"/>
        </w:rPr>
        <w:t>(2</w:t>
      </w:r>
      <w:r>
        <w:rPr>
          <w:sz w:val="29"/>
          <w:szCs w:val="29"/>
          <w:spacing w:val="39"/>
        </w:rPr>
        <w:t xml:space="preserve">  </w:t>
      </w:r>
      <w:r>
        <w:rPr>
          <w:sz w:val="29"/>
          <w:szCs w:val="29"/>
          <w:spacing w:val="-1"/>
        </w:rPr>
        <w:t>及时检查乔木支撑情况，发现松动或缺失立即加固。</w:t>
      </w:r>
    </w:p>
    <w:p>
      <w:pPr>
        <w:ind w:left="570"/>
        <w:spacing w:before="10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239" w:firstLine="730"/>
        <w:spacing w:before="142" w:line="275" w:lineRule="auto"/>
        <w:rPr>
          <w:sz w:val="29"/>
          <w:szCs w:val="29"/>
        </w:rPr>
      </w:pPr>
      <w:r>
        <w:rPr>
          <w:sz w:val="29"/>
          <w:szCs w:val="29"/>
          <w:spacing w:val="11"/>
        </w:rPr>
        <w:t>(1)乔木修剪：4月下旬，气温基本稳定后，以调</w:t>
      </w:r>
      <w:r>
        <w:rPr>
          <w:sz w:val="29"/>
          <w:szCs w:val="29"/>
          <w:spacing w:val="10"/>
        </w:rPr>
        <w:t>整树势为主，宜轻剪；</w:t>
      </w:r>
      <w:r>
        <w:rPr>
          <w:sz w:val="29"/>
          <w:szCs w:val="29"/>
        </w:rPr>
        <w:t xml:space="preserve"> </w:t>
      </w:r>
      <w:r>
        <w:rPr>
          <w:sz w:val="29"/>
          <w:szCs w:val="29"/>
        </w:rPr>
        <w:t>对苗木的内膛枝、徒长枝、平行枝、下垂枝、病虫枝、萌蘖枝等修剪到位，并要</w:t>
      </w:r>
      <w:r>
        <w:rPr>
          <w:sz w:val="29"/>
          <w:szCs w:val="29"/>
          <w:spacing w:val="13"/>
        </w:rPr>
        <w:t xml:space="preserve"> </w:t>
      </w:r>
      <w:r>
        <w:rPr>
          <w:sz w:val="29"/>
          <w:szCs w:val="29"/>
          <w:spacing w:val="-2"/>
        </w:rPr>
        <w:t>做到剪口平滑，对于较大的剪口要进行防腐处理；</w:t>
      </w:r>
    </w:p>
    <w:p>
      <w:pPr>
        <w:pStyle w:val="BodyText"/>
        <w:ind w:right="258" w:firstLine="730"/>
        <w:spacing w:before="155" w:line="285" w:lineRule="auto"/>
        <w:rPr>
          <w:sz w:val="29"/>
          <w:szCs w:val="29"/>
        </w:rPr>
      </w:pPr>
      <w:r>
        <w:rPr>
          <w:sz w:val="29"/>
          <w:szCs w:val="29"/>
          <w:spacing w:val="8"/>
        </w:rPr>
        <w:t>(2)灌木、地被修剪：对于春季开花的灌木适时进行花后修剪，以疏、截</w:t>
      </w:r>
      <w:r>
        <w:rPr>
          <w:sz w:val="29"/>
          <w:szCs w:val="29"/>
          <w:spacing w:val="13"/>
        </w:rPr>
        <w:t xml:space="preserve"> </w:t>
      </w:r>
      <w:r>
        <w:rPr>
          <w:sz w:val="29"/>
          <w:szCs w:val="29"/>
          <w:spacing w:val="-8"/>
        </w:rPr>
        <w:t>为主，及时修剪地被小灌木、绿篱与造型树，对生长过量的地被小</w:t>
      </w:r>
      <w:r>
        <w:rPr>
          <w:sz w:val="29"/>
          <w:szCs w:val="29"/>
          <w:spacing w:val="-9"/>
        </w:rPr>
        <w:t>灌木、绿篱及灌</w:t>
      </w:r>
      <w:r>
        <w:rPr>
          <w:sz w:val="29"/>
          <w:szCs w:val="29"/>
        </w:rPr>
        <w:t xml:space="preserve"> </w:t>
      </w:r>
      <w:r>
        <w:rPr>
          <w:sz w:val="29"/>
          <w:szCs w:val="29"/>
          <w:spacing w:val="-1"/>
        </w:rPr>
        <w:t>木在新芽刚刚开始膨大时进行回缩；</w:t>
      </w:r>
    </w:p>
    <w:p>
      <w:pPr>
        <w:pStyle w:val="BodyText"/>
        <w:ind w:right="321" w:firstLine="730"/>
        <w:spacing w:before="148" w:line="268" w:lineRule="auto"/>
        <w:rPr>
          <w:sz w:val="29"/>
          <w:szCs w:val="29"/>
        </w:rPr>
      </w:pPr>
      <w:r>
        <w:rPr>
          <w:sz w:val="29"/>
          <w:szCs w:val="29"/>
          <w:spacing w:val="7"/>
        </w:rPr>
        <w:t>(3)草皮修剪：及时人工清除阔叶杂草，</w:t>
      </w:r>
      <w:r>
        <w:rPr>
          <w:sz w:val="29"/>
          <w:szCs w:val="29"/>
          <w:spacing w:val="6"/>
        </w:rPr>
        <w:t>对于新发叶的嫩草不宜用化学药</w:t>
      </w:r>
      <w:r>
        <w:rPr>
          <w:sz w:val="29"/>
          <w:szCs w:val="29"/>
        </w:rPr>
        <w:t xml:space="preserve"> </w:t>
      </w:r>
      <w:r>
        <w:rPr>
          <w:sz w:val="29"/>
          <w:szCs w:val="29"/>
          <w:spacing w:val="-5"/>
        </w:rPr>
        <w:t>剂处理。</w:t>
      </w:r>
    </w:p>
    <w:p>
      <w:pPr>
        <w:ind w:left="570"/>
        <w:spacing w:before="18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21" w:firstLine="730"/>
        <w:spacing w:before="114" w:line="262" w:lineRule="auto"/>
        <w:rPr>
          <w:sz w:val="29"/>
          <w:szCs w:val="29"/>
        </w:rPr>
      </w:pPr>
      <w:r>
        <w:rPr>
          <w:sz w:val="29"/>
          <w:szCs w:val="29"/>
          <w:spacing w:val="7"/>
        </w:rPr>
        <w:t>(1)根据天气情况进行浇水，各种植物需</w:t>
      </w:r>
      <w:r>
        <w:rPr>
          <w:sz w:val="29"/>
          <w:szCs w:val="29"/>
          <w:spacing w:val="6"/>
        </w:rPr>
        <w:t>水量较大，应适时浇水满足苗木</w:t>
      </w:r>
      <w:r>
        <w:rPr>
          <w:sz w:val="29"/>
          <w:szCs w:val="29"/>
        </w:rPr>
        <w:t xml:space="preserve"> </w:t>
      </w:r>
      <w:r>
        <w:rPr>
          <w:sz w:val="29"/>
          <w:szCs w:val="29"/>
          <w:spacing w:val="-4"/>
        </w:rPr>
        <w:t>的生长要求，及时松土保墒；</w:t>
      </w:r>
    </w:p>
    <w:p>
      <w:pPr>
        <w:pStyle w:val="BodyText"/>
        <w:ind w:right="368" w:firstLine="730"/>
        <w:spacing w:before="155" w:line="262" w:lineRule="auto"/>
        <w:rPr>
          <w:sz w:val="29"/>
          <w:szCs w:val="29"/>
        </w:rPr>
      </w:pPr>
      <w:r>
        <w:rPr>
          <w:sz w:val="29"/>
          <w:szCs w:val="29"/>
          <w:spacing w:val="7"/>
        </w:rPr>
        <w:t>(2)4月中旬全区追肥一次，环施或撒施有机复合肥(含有机质大于20</w:t>
      </w:r>
      <w:r>
        <w:rPr>
          <w:sz w:val="29"/>
          <w:szCs w:val="29"/>
          <w:spacing w:val="76"/>
        </w:rPr>
        <w:t xml:space="preserve"> </w:t>
      </w:r>
      <w:r>
        <w:rPr>
          <w:sz w:val="29"/>
          <w:szCs w:val="29"/>
          <w:spacing w:val="7"/>
        </w:rPr>
        <w:t>以</w:t>
      </w:r>
      <w:r>
        <w:rPr>
          <w:sz w:val="29"/>
          <w:szCs w:val="29"/>
        </w:rPr>
        <w:t xml:space="preserve"> </w:t>
      </w:r>
      <w:r>
        <w:rPr>
          <w:sz w:val="29"/>
          <w:szCs w:val="29"/>
          <w:spacing w:val="5"/>
        </w:rPr>
        <w:t>上)或氮、磷、钾均衡型速效性复合肥(氮15-20、磷15-20、钾15-20)。</w:t>
      </w:r>
    </w:p>
    <w:p>
      <w:pPr>
        <w:pStyle w:val="BodyText"/>
        <w:ind w:left="570"/>
        <w:spacing w:before="2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86" w:line="219" w:lineRule="auto"/>
        <w:rPr>
          <w:sz w:val="29"/>
          <w:szCs w:val="29"/>
        </w:rPr>
      </w:pPr>
      <w:r>
        <w:rPr>
          <w:sz w:val="29"/>
          <w:szCs w:val="29"/>
          <w:spacing w:val="7"/>
        </w:rPr>
        <w:t>(1)病害：炭疽病、叶斑类病害、锈病、根腐</w:t>
      </w:r>
      <w:r>
        <w:rPr>
          <w:sz w:val="29"/>
          <w:szCs w:val="29"/>
          <w:spacing w:val="6"/>
        </w:rPr>
        <w:t>病、流胶病等；</w:t>
      </w:r>
    </w:p>
    <w:p>
      <w:pPr>
        <w:pStyle w:val="BodyText"/>
        <w:ind w:right="263" w:firstLine="730"/>
        <w:spacing w:before="154" w:line="281" w:lineRule="auto"/>
        <w:rPr>
          <w:sz w:val="29"/>
          <w:szCs w:val="29"/>
        </w:rPr>
      </w:pPr>
      <w:r>
        <w:rPr>
          <w:sz w:val="29"/>
          <w:szCs w:val="29"/>
          <w:spacing w:val="8"/>
        </w:rPr>
        <w:t>(2)虫害：大青叶蝉、桃蚜、桃粉蚜、桃瘤蚜、梨网冠蝽、方翅网蝽、樟</w:t>
      </w:r>
      <w:r>
        <w:rPr>
          <w:sz w:val="29"/>
          <w:szCs w:val="29"/>
          <w:spacing w:val="11"/>
        </w:rPr>
        <w:t xml:space="preserve"> </w:t>
      </w:r>
      <w:r>
        <w:rPr>
          <w:sz w:val="29"/>
          <w:szCs w:val="29"/>
          <w:spacing w:val="-8"/>
        </w:rPr>
        <w:t>叶木虱、柑桔全爪螨、桔绿粉虱、星天牛、咖啡木蠹</w:t>
      </w:r>
      <w:r>
        <w:rPr>
          <w:sz w:val="29"/>
          <w:szCs w:val="29"/>
          <w:spacing w:val="-9"/>
        </w:rPr>
        <w:t>蛾、柏肤小蠹、白蚁、铜绿丽</w:t>
      </w:r>
      <w:r>
        <w:rPr>
          <w:sz w:val="29"/>
          <w:szCs w:val="29"/>
        </w:rPr>
        <w:t xml:space="preserve"> </w:t>
      </w:r>
      <w:r>
        <w:rPr>
          <w:sz w:val="29"/>
          <w:szCs w:val="29"/>
          <w:spacing w:val="1"/>
        </w:rPr>
        <w:t>金龟、小地老虎、沟金针虫、玉带凤蝶、柳蓝叶甲、枸桔潜跳甲等。</w:t>
      </w:r>
    </w:p>
    <w:p>
      <w:pPr>
        <w:pStyle w:val="BodyText"/>
        <w:ind w:left="570"/>
        <w:spacing w:before="12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left="730"/>
        <w:spacing w:before="94" w:line="219" w:lineRule="auto"/>
        <w:rPr>
          <w:sz w:val="29"/>
          <w:szCs w:val="29"/>
        </w:rPr>
      </w:pPr>
      <w:r>
        <w:rPr>
          <w:sz w:val="29"/>
          <w:szCs w:val="29"/>
          <w:spacing w:val="-13"/>
        </w:rPr>
        <w:t>(1)</w:t>
      </w:r>
      <w:r>
        <w:rPr>
          <w:sz w:val="29"/>
          <w:szCs w:val="29"/>
          <w:spacing w:val="72"/>
        </w:rPr>
        <w:t xml:space="preserve"> </w:t>
      </w:r>
      <w:r>
        <w:rPr>
          <w:sz w:val="29"/>
          <w:szCs w:val="29"/>
          <w:spacing w:val="-13"/>
        </w:rPr>
        <w:t>保洁人员合理分区，全天候巡视，及时清理烟头、树挂等垃圾</w:t>
      </w:r>
      <w:r>
        <w:rPr>
          <w:sz w:val="29"/>
          <w:szCs w:val="29"/>
          <w:spacing w:val="-14"/>
        </w:rPr>
        <w:t>，铺装、</w:t>
      </w:r>
    </w:p>
    <w:p>
      <w:pPr>
        <w:spacing w:line="219" w:lineRule="auto"/>
        <w:sectPr>
          <w:footerReference w:type="default" r:id="rId642"/>
          <w:pgSz w:w="14490" w:h="20470"/>
          <w:pgMar w:top="400" w:right="1935" w:bottom="1447" w:left="2150" w:header="0" w:footer="1231"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2"/>
        </w:rPr>
        <w:t>水景池、灯杆、垃圾桶保持干净；</w:t>
      </w:r>
    </w:p>
    <w:p>
      <w:pPr>
        <w:pStyle w:val="BodyText"/>
        <w:ind w:right="413" w:firstLine="730"/>
        <w:spacing w:before="156" w:line="266" w:lineRule="auto"/>
        <w:rPr>
          <w:sz w:val="29"/>
          <w:szCs w:val="29"/>
        </w:rPr>
      </w:pPr>
      <w:r>
        <w:rPr>
          <w:sz w:val="29"/>
          <w:szCs w:val="29"/>
          <w:spacing w:val="5"/>
        </w:rPr>
        <w:t>(2)</w:t>
      </w:r>
      <w:r>
        <w:rPr>
          <w:sz w:val="29"/>
          <w:szCs w:val="29"/>
          <w:spacing w:val="82"/>
        </w:rPr>
        <w:t xml:space="preserve"> </w:t>
      </w:r>
      <w:r>
        <w:rPr>
          <w:sz w:val="29"/>
          <w:szCs w:val="29"/>
          <w:spacing w:val="5"/>
        </w:rPr>
        <w:t>在业主上班高峰期前对园区内的重点区域</w:t>
      </w:r>
      <w:r>
        <w:rPr>
          <w:sz w:val="29"/>
          <w:szCs w:val="29"/>
          <w:spacing w:val="4"/>
        </w:rPr>
        <w:t>(大门内外、主干通道、销</w:t>
      </w:r>
      <w:r>
        <w:rPr>
          <w:sz w:val="29"/>
          <w:szCs w:val="29"/>
        </w:rPr>
        <w:t xml:space="preserve"> </w:t>
      </w:r>
      <w:r>
        <w:rPr>
          <w:sz w:val="29"/>
          <w:szCs w:val="29"/>
          <w:spacing w:val="10"/>
        </w:rPr>
        <w:t>售展示区)进行彻底清理；</w:t>
      </w:r>
    </w:p>
    <w:p>
      <w:pPr>
        <w:pStyle w:val="BodyText"/>
        <w:ind w:right="570" w:firstLine="730"/>
        <w:spacing w:before="156" w:line="262" w:lineRule="auto"/>
        <w:rPr>
          <w:sz w:val="29"/>
          <w:szCs w:val="29"/>
        </w:rPr>
      </w:pPr>
      <w:r>
        <w:rPr>
          <w:sz w:val="29"/>
          <w:szCs w:val="29"/>
        </w:rPr>
        <w:t>(3)</w:t>
      </w:r>
      <w:r>
        <w:rPr>
          <w:sz w:val="29"/>
          <w:szCs w:val="29"/>
          <w:spacing w:val="83"/>
        </w:rPr>
        <w:t xml:space="preserve"> </w:t>
      </w:r>
      <w:r>
        <w:rPr>
          <w:sz w:val="29"/>
          <w:szCs w:val="29"/>
        </w:rPr>
        <w:t>气温升高，逐步清理水池、人工湖淤泥落叶等垃圾。4月中</w:t>
      </w:r>
      <w:r>
        <w:rPr>
          <w:sz w:val="29"/>
          <w:szCs w:val="29"/>
          <w:spacing w:val="-1"/>
        </w:rPr>
        <w:t>旬以前清</w:t>
      </w:r>
      <w:r>
        <w:rPr>
          <w:sz w:val="29"/>
          <w:szCs w:val="29"/>
        </w:rPr>
        <w:t xml:space="preserve"> </w:t>
      </w:r>
      <w:r>
        <w:rPr>
          <w:sz w:val="29"/>
          <w:szCs w:val="29"/>
          <w:spacing w:val="-3"/>
        </w:rPr>
        <w:t>理完毕。</w:t>
      </w:r>
    </w:p>
    <w:p>
      <w:pPr>
        <w:ind w:left="600"/>
        <w:spacing w:before="205"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30"/>
        <w:spacing w:before="92"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1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4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1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81" w:line="396"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30" w:firstLine="600"/>
        <w:spacing w:before="128" w:line="314" w:lineRule="auto"/>
        <w:rPr>
          <w:sz w:val="29"/>
          <w:szCs w:val="29"/>
        </w:rPr>
      </w:pPr>
      <w:r>
        <w:rPr>
          <w:sz w:val="29"/>
          <w:szCs w:val="29"/>
          <w:spacing w:val="-2"/>
        </w:rPr>
        <w:t>每天绿化工人在保洁的同时要注意行人随意丢弃烟头现象，并对其进行防火</w:t>
      </w:r>
      <w:r>
        <w:rPr>
          <w:sz w:val="29"/>
          <w:szCs w:val="29"/>
          <w:spacing w:val="8"/>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5"/>
        </w:rPr>
        <w:t>防盗情况。</w:t>
      </w:r>
    </w:p>
    <w:p>
      <w:pPr>
        <w:spacing w:before="82" w:line="223" w:lineRule="auto"/>
        <w:rPr>
          <w:rFonts w:ascii="SimHei" w:hAnsi="SimHei" w:eastAsia="SimHei" w:cs="SimHei"/>
          <w:sz w:val="29"/>
          <w:szCs w:val="29"/>
        </w:rPr>
      </w:pPr>
      <w:r>
        <w:rPr>
          <w:rFonts w:ascii="SimHei" w:hAnsi="SimHei" w:eastAsia="SimHei" w:cs="SimHei"/>
          <w:sz w:val="29"/>
          <w:szCs w:val="29"/>
          <w:spacing w:val="9"/>
        </w:rPr>
        <w:t>五月份</w:t>
      </w:r>
    </w:p>
    <w:p>
      <w:pPr>
        <w:pStyle w:val="BodyText"/>
        <w:ind w:left="600"/>
        <w:spacing w:before="127" w:line="219" w:lineRule="auto"/>
        <w:rPr>
          <w:sz w:val="29"/>
          <w:szCs w:val="29"/>
        </w:rPr>
      </w:pPr>
      <w:r>
        <w:rPr>
          <w:sz w:val="29"/>
          <w:szCs w:val="29"/>
          <w:spacing w:val="3"/>
        </w:rPr>
        <w:t>气温急骤上升，树木生长迅速，有暴雨、雷雨大风天气，注意预警。</w:t>
      </w:r>
    </w:p>
    <w:p>
      <w:pPr>
        <w:ind w:left="600"/>
        <w:spacing w:before="276" w:line="222" w:lineRule="auto"/>
        <w:rPr>
          <w:rFonts w:ascii="SimHei" w:hAnsi="SimHei" w:eastAsia="SimHei" w:cs="SimHei"/>
          <w:sz w:val="29"/>
          <w:szCs w:val="29"/>
        </w:rPr>
      </w:pPr>
      <w:r>
        <w:rPr>
          <w:rFonts w:ascii="SimHei" w:hAnsi="SimHei" w:eastAsia="SimHei" w:cs="SimHei"/>
          <w:sz w:val="29"/>
          <w:szCs w:val="29"/>
          <w:spacing w:val="6"/>
        </w:rPr>
        <w:t>1、现场检查</w:t>
      </w:r>
    </w:p>
    <w:p>
      <w:pPr>
        <w:pStyle w:val="BodyText"/>
        <w:ind w:left="730"/>
        <w:spacing w:before="153" w:line="219" w:lineRule="auto"/>
        <w:rPr>
          <w:sz w:val="29"/>
          <w:szCs w:val="29"/>
        </w:rPr>
      </w:pPr>
      <w:r>
        <w:rPr>
          <w:sz w:val="29"/>
          <w:szCs w:val="29"/>
          <w:spacing w:val="6"/>
        </w:rPr>
        <w:t>(1)及时检查乔木支撑情况，发现松动或缺失立即加固；</w:t>
      </w:r>
    </w:p>
    <w:p>
      <w:pPr>
        <w:pStyle w:val="BodyText"/>
        <w:ind w:right="460" w:firstLine="730"/>
        <w:spacing w:before="115" w:line="269" w:lineRule="auto"/>
        <w:rPr>
          <w:sz w:val="29"/>
          <w:szCs w:val="29"/>
        </w:rPr>
      </w:pPr>
      <w:r>
        <w:rPr>
          <w:sz w:val="29"/>
          <w:szCs w:val="29"/>
          <w:spacing w:val="6"/>
        </w:rPr>
        <w:t>(2)重点是覆盖率，返青不好的，如斑秃或者病虫</w:t>
      </w:r>
      <w:r>
        <w:rPr>
          <w:sz w:val="29"/>
          <w:szCs w:val="29"/>
          <w:spacing w:val="5"/>
        </w:rPr>
        <w:t>害区域及时更换草皮、</w:t>
      </w:r>
      <w:r>
        <w:rPr>
          <w:sz w:val="29"/>
          <w:szCs w:val="29"/>
        </w:rPr>
        <w:t xml:space="preserve"> </w:t>
      </w:r>
      <w:r>
        <w:rPr>
          <w:sz w:val="29"/>
          <w:szCs w:val="29"/>
          <w:spacing w:val="-6"/>
        </w:rPr>
        <w:t>消杀病虫害，5月中旬结束草皮病虫害消杀，5</w:t>
      </w:r>
      <w:r>
        <w:rPr>
          <w:sz w:val="29"/>
          <w:szCs w:val="29"/>
          <w:spacing w:val="-7"/>
        </w:rPr>
        <w:t>月上旬结束草皮更换工作。</w:t>
      </w:r>
    </w:p>
    <w:p>
      <w:pPr>
        <w:ind w:left="600"/>
        <w:spacing w:before="20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83" w:line="219" w:lineRule="auto"/>
        <w:rPr>
          <w:sz w:val="29"/>
          <w:szCs w:val="29"/>
        </w:rPr>
      </w:pPr>
      <w:r>
        <w:rPr>
          <w:sz w:val="29"/>
          <w:szCs w:val="29"/>
          <w:spacing w:val="7"/>
        </w:rPr>
        <w:t>(1)乔木修剪：对乔木进行适当修剪，除萌蘖；</w:t>
      </w:r>
    </w:p>
    <w:p>
      <w:pPr>
        <w:pStyle w:val="BodyText"/>
        <w:ind w:right="670" w:firstLine="730"/>
        <w:spacing w:before="155" w:line="269" w:lineRule="auto"/>
        <w:rPr>
          <w:sz w:val="29"/>
          <w:szCs w:val="29"/>
        </w:rPr>
      </w:pPr>
      <w:r>
        <w:rPr>
          <w:sz w:val="29"/>
          <w:szCs w:val="29"/>
          <w:spacing w:val="-9"/>
        </w:rPr>
        <w:t>(2)灌木、地被修剪：对开花灌木进行花后修剪，以疏枝、短</w:t>
      </w:r>
      <w:r>
        <w:rPr>
          <w:sz w:val="29"/>
          <w:szCs w:val="29"/>
          <w:spacing w:val="-10"/>
        </w:rPr>
        <w:t>截措施为主；</w:t>
      </w:r>
      <w:r>
        <w:rPr>
          <w:sz w:val="29"/>
          <w:szCs w:val="29"/>
        </w:rPr>
        <w:t xml:space="preserve"> </w:t>
      </w:r>
      <w:r>
        <w:rPr>
          <w:sz w:val="29"/>
          <w:szCs w:val="29"/>
          <w:spacing w:val="-5"/>
        </w:rPr>
        <w:t>绿篱及地被修剪，保持造型轮廓明显，层次分明；</w:t>
      </w:r>
    </w:p>
    <w:p>
      <w:pPr>
        <w:pStyle w:val="BodyText"/>
        <w:ind w:right="423" w:firstLine="730"/>
        <w:spacing w:before="144" w:line="263" w:lineRule="auto"/>
        <w:rPr>
          <w:sz w:val="29"/>
          <w:szCs w:val="29"/>
        </w:rPr>
      </w:pPr>
      <w:r>
        <w:rPr>
          <w:sz w:val="29"/>
          <w:szCs w:val="29"/>
          <w:spacing w:val="7"/>
        </w:rPr>
        <w:t>(3)草皮修剪：处理好树木周边，围挡边，综合楼角落，人</w:t>
      </w:r>
      <w:r>
        <w:rPr>
          <w:sz w:val="29"/>
          <w:szCs w:val="29"/>
          <w:spacing w:val="6"/>
        </w:rPr>
        <w:t>工湖驳岸等地</w:t>
      </w:r>
      <w:r>
        <w:rPr>
          <w:sz w:val="29"/>
          <w:szCs w:val="29"/>
        </w:rPr>
        <w:t xml:space="preserve"> </w:t>
      </w:r>
      <w:r>
        <w:rPr>
          <w:sz w:val="29"/>
          <w:szCs w:val="29"/>
        </w:rPr>
        <w:t>生长过高的草坪，剪下草屑及时清运。</w:t>
      </w:r>
    </w:p>
    <w:p>
      <w:pPr>
        <w:ind w:left="600"/>
        <w:spacing w:before="19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500" w:firstLine="730"/>
        <w:spacing w:before="93" w:line="259" w:lineRule="auto"/>
        <w:rPr>
          <w:sz w:val="29"/>
          <w:szCs w:val="29"/>
        </w:rPr>
      </w:pPr>
      <w:r>
        <w:rPr>
          <w:sz w:val="29"/>
          <w:szCs w:val="29"/>
          <w:spacing w:val="-2"/>
        </w:rPr>
        <w:t>(1)</w:t>
      </w:r>
      <w:r>
        <w:rPr>
          <w:sz w:val="29"/>
          <w:szCs w:val="29"/>
          <w:spacing w:val="82"/>
        </w:rPr>
        <w:t xml:space="preserve"> </w:t>
      </w:r>
      <w:r>
        <w:rPr>
          <w:sz w:val="29"/>
          <w:szCs w:val="29"/>
          <w:spacing w:val="-2"/>
        </w:rPr>
        <w:t>浇水：五月份气温升高，树木生长盛期</w:t>
      </w:r>
      <w:r>
        <w:rPr>
          <w:sz w:val="29"/>
          <w:szCs w:val="29"/>
          <w:spacing w:val="-3"/>
        </w:rPr>
        <w:t>，需水量很大，应适时浇水，</w:t>
      </w:r>
      <w:r>
        <w:rPr>
          <w:sz w:val="29"/>
          <w:szCs w:val="29"/>
        </w:rPr>
        <w:t xml:space="preserve"> </w:t>
      </w:r>
      <w:r>
        <w:rPr>
          <w:sz w:val="29"/>
          <w:szCs w:val="29"/>
          <w:spacing w:val="-5"/>
        </w:rPr>
        <w:t>同时注意时花的适时浇水；</w:t>
      </w:r>
    </w:p>
    <w:p>
      <w:pPr>
        <w:pStyle w:val="BodyText"/>
        <w:ind w:right="567" w:firstLine="730"/>
        <w:spacing w:before="176" w:line="265" w:lineRule="auto"/>
        <w:rPr>
          <w:sz w:val="29"/>
          <w:szCs w:val="29"/>
        </w:rPr>
      </w:pPr>
      <w:r>
        <w:rPr>
          <w:sz w:val="29"/>
          <w:szCs w:val="29"/>
          <w:spacing w:val="-2"/>
        </w:rPr>
        <w:t>(2)追肥：环施、撒施有无机复合肥(含有15%总养分以上，有机质大于20%</w:t>
      </w:r>
      <w:r>
        <w:rPr>
          <w:sz w:val="29"/>
          <w:szCs w:val="29"/>
          <w:spacing w:val="10"/>
        </w:rPr>
        <w:t xml:space="preserve"> </w:t>
      </w:r>
      <w:r>
        <w:rPr>
          <w:sz w:val="29"/>
          <w:szCs w:val="29"/>
          <w:spacing w:val="-14"/>
        </w:rPr>
        <w:t>一次，施肥后注意配合浇水，防止发生肥害；</w:t>
      </w:r>
    </w:p>
    <w:p>
      <w:pPr>
        <w:pStyle w:val="BodyText"/>
        <w:ind w:right="352" w:firstLine="730"/>
        <w:spacing w:before="137" w:line="279" w:lineRule="auto"/>
        <w:rPr>
          <w:sz w:val="29"/>
          <w:szCs w:val="29"/>
        </w:rPr>
      </w:pPr>
      <w:r>
        <w:rPr>
          <w:sz w:val="29"/>
          <w:szCs w:val="29"/>
          <w:spacing w:val="8"/>
        </w:rPr>
        <w:t>(3)营养液：根据树木的萌芽情况提前或延后。对贵重苗</w:t>
      </w:r>
      <w:r>
        <w:rPr>
          <w:sz w:val="29"/>
          <w:szCs w:val="29"/>
          <w:spacing w:val="7"/>
        </w:rPr>
        <w:t>木进行大树营养</w:t>
      </w:r>
      <w:r>
        <w:rPr>
          <w:sz w:val="29"/>
          <w:szCs w:val="29"/>
        </w:rPr>
        <w:t xml:space="preserve"> </w:t>
      </w:r>
      <w:r>
        <w:rPr>
          <w:sz w:val="29"/>
          <w:szCs w:val="29"/>
          <w:spacing w:val="9"/>
        </w:rPr>
        <w:t>液(如施它活或吊针原液)滴注。若不良表现轻</w:t>
      </w:r>
      <w:r>
        <w:rPr>
          <w:sz w:val="29"/>
          <w:szCs w:val="29"/>
          <w:spacing w:val="8"/>
        </w:rPr>
        <w:t>微可补充清水。确定大树健康无</w:t>
      </w:r>
      <w:r>
        <w:rPr>
          <w:sz w:val="29"/>
          <w:szCs w:val="29"/>
        </w:rPr>
        <w:t xml:space="preserve"> </w:t>
      </w:r>
      <w:r>
        <w:rPr>
          <w:sz w:val="29"/>
          <w:szCs w:val="29"/>
          <w:spacing w:val="-4"/>
        </w:rPr>
        <w:t>误后再撤除吊袋，并将输液孔封死。5月下旬完毕。</w:t>
      </w:r>
    </w:p>
    <w:p>
      <w:pPr>
        <w:spacing w:line="279" w:lineRule="auto"/>
        <w:sectPr>
          <w:footerReference w:type="default" r:id="rId643"/>
          <w:pgSz w:w="14490" w:h="20470"/>
          <w:pgMar w:top="400" w:right="1824" w:bottom="1447" w:left="2150" w:header="0" w:footer="1231"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49" w:firstLine="730"/>
        <w:spacing w:before="125" w:line="272"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3"/>
        </w:rPr>
        <w:t>病、细菌性穿孔病等；</w:t>
      </w:r>
    </w:p>
    <w:p>
      <w:pPr>
        <w:pStyle w:val="BodyText"/>
        <w:ind w:left="730"/>
        <w:spacing w:before="113" w:line="219" w:lineRule="auto"/>
        <w:rPr>
          <w:sz w:val="29"/>
          <w:szCs w:val="29"/>
        </w:rPr>
      </w:pPr>
      <w:r>
        <w:rPr>
          <w:sz w:val="29"/>
          <w:szCs w:val="29"/>
          <w:spacing w:val="7"/>
        </w:rPr>
        <w:t>(2)虫害：大青叶蝉、桃蚜、桃粉蚜、桃瘤蚜、梨网冠蝽、方翅网蝽、樟</w:t>
      </w:r>
    </w:p>
    <w:p>
      <w:pPr>
        <w:pStyle w:val="BodyText"/>
        <w:spacing w:before="157" w:line="219" w:lineRule="auto"/>
        <w:rPr>
          <w:sz w:val="29"/>
          <w:szCs w:val="29"/>
        </w:rPr>
      </w:pPr>
      <w:r>
        <w:rPr>
          <w:sz w:val="29"/>
          <w:szCs w:val="29"/>
          <w:spacing w:val="1"/>
        </w:rPr>
        <w:t>叶木虱、柑桔全爪螨、桔绿粉虱、星天牛、云斑天牛</w:t>
      </w:r>
      <w:r>
        <w:rPr>
          <w:sz w:val="29"/>
          <w:szCs w:val="29"/>
        </w:rPr>
        <w:t>、咖啡木蠹蛾、柏肤小蠹、</w:t>
      </w:r>
    </w:p>
    <w:p>
      <w:pPr>
        <w:pStyle w:val="BodyText"/>
        <w:spacing w:before="157" w:line="268" w:lineRule="auto"/>
        <w:rPr>
          <w:sz w:val="29"/>
          <w:szCs w:val="29"/>
        </w:rPr>
      </w:pPr>
      <w:r>
        <w:rPr>
          <w:sz w:val="29"/>
          <w:szCs w:val="29"/>
          <w:spacing w:val="-6"/>
        </w:rPr>
        <w:t>白蚁、铜绿丽金龟、蝼蛄、桃剑纹夜蛾、丝棉木金星尺蛾、绿尾大蚕蛾、柑桔凤蝶、</w:t>
      </w:r>
      <w:r>
        <w:rPr>
          <w:sz w:val="29"/>
          <w:szCs w:val="29"/>
          <w:spacing w:val="5"/>
        </w:rPr>
        <w:t xml:space="preserve"> </w:t>
      </w:r>
      <w:r>
        <w:rPr>
          <w:sz w:val="29"/>
          <w:szCs w:val="29"/>
          <w:spacing w:val="-10"/>
        </w:rPr>
        <w:t>玉带凤蝶、樟青凤蝶、柳蓝叶甲、枸桔潜跳甲等。</w:t>
      </w:r>
    </w:p>
    <w:p>
      <w:pPr>
        <w:pStyle w:val="BodyText"/>
        <w:ind w:left="570"/>
        <w:spacing w:before="118"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49" w:firstLine="730"/>
        <w:spacing w:before="105"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5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72" w:firstLine="730"/>
        <w:spacing w:before="158" w:line="278" w:lineRule="auto"/>
        <w:rPr>
          <w:sz w:val="29"/>
          <w:szCs w:val="29"/>
        </w:rPr>
      </w:pPr>
      <w:r>
        <w:rPr>
          <w:sz w:val="29"/>
          <w:szCs w:val="29"/>
          <w:spacing w:val="8"/>
        </w:rPr>
        <w:t>(3)除杂草：杂草生长加速，及时清除草坪杂草防止接种子，绿篱及地被</w:t>
      </w:r>
      <w:r>
        <w:rPr>
          <w:sz w:val="29"/>
          <w:szCs w:val="29"/>
          <w:spacing w:val="12"/>
        </w:rPr>
        <w:t xml:space="preserve"> </w:t>
      </w:r>
      <w:r>
        <w:rPr>
          <w:sz w:val="29"/>
          <w:szCs w:val="29"/>
          <w:spacing w:val="-1"/>
        </w:rPr>
        <w:t>内生出的杂生植物、爬藤等及时清除；尤其是围蔽</w:t>
      </w:r>
      <w:r>
        <w:rPr>
          <w:sz w:val="29"/>
          <w:szCs w:val="29"/>
          <w:spacing w:val="-2"/>
        </w:rPr>
        <w:t>下，综合楼角落，人工湖驳岸</w:t>
      </w:r>
      <w:r>
        <w:rPr>
          <w:sz w:val="29"/>
          <w:szCs w:val="29"/>
        </w:rPr>
        <w:t xml:space="preserve"> </w:t>
      </w:r>
      <w:r>
        <w:rPr>
          <w:sz w:val="29"/>
          <w:szCs w:val="29"/>
          <w:spacing w:val="-3"/>
        </w:rPr>
        <w:t>杂草清理到位，干净；</w:t>
      </w:r>
    </w:p>
    <w:p>
      <w:pPr>
        <w:pStyle w:val="BodyText"/>
        <w:ind w:left="730"/>
        <w:spacing w:before="148" w:line="219" w:lineRule="auto"/>
        <w:rPr>
          <w:sz w:val="29"/>
          <w:szCs w:val="29"/>
        </w:rPr>
      </w:pPr>
      <w:r>
        <w:rPr>
          <w:sz w:val="29"/>
          <w:szCs w:val="29"/>
          <w:spacing w:val="12"/>
        </w:rPr>
        <w:t>(4)做好防风准备工作。</w:t>
      </w:r>
    </w:p>
    <w:p>
      <w:pPr>
        <w:pStyle w:val="BodyText"/>
        <w:ind w:left="570"/>
        <w:spacing w:before="52"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ind w:right="19"/>
        <w:spacing w:before="159"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110" w:firstLine="570"/>
        <w:spacing w:before="14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32" w:line="223" w:lineRule="auto"/>
        <w:rPr>
          <w:rFonts w:ascii="SimHei" w:hAnsi="SimHei" w:eastAsia="SimHei" w:cs="SimHei"/>
          <w:sz w:val="29"/>
          <w:szCs w:val="29"/>
        </w:rPr>
      </w:pPr>
      <w:r>
        <w:rPr>
          <w:rFonts w:ascii="SimHei" w:hAnsi="SimHei" w:eastAsia="SimHei" w:cs="SimHei"/>
          <w:sz w:val="29"/>
          <w:szCs w:val="29"/>
          <w:spacing w:val="2"/>
        </w:rPr>
        <w:t>六月份</w:t>
      </w:r>
    </w:p>
    <w:p>
      <w:pPr>
        <w:pStyle w:val="BodyText"/>
        <w:ind w:left="570"/>
        <w:spacing w:before="119" w:line="219" w:lineRule="auto"/>
        <w:rPr>
          <w:sz w:val="29"/>
          <w:szCs w:val="29"/>
        </w:rPr>
      </w:pPr>
      <w:r>
        <w:rPr>
          <w:sz w:val="29"/>
          <w:szCs w:val="29"/>
          <w:spacing w:val="5"/>
        </w:rPr>
        <w:t>气温逐渐升高，进人初夏。降雨强度大。</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现场检查</w:t>
      </w:r>
    </w:p>
    <w:p>
      <w:pPr>
        <w:pStyle w:val="BodyText"/>
        <w:ind w:left="570"/>
        <w:spacing w:before="144" w:line="219" w:lineRule="auto"/>
        <w:rPr>
          <w:sz w:val="29"/>
          <w:szCs w:val="29"/>
        </w:rPr>
      </w:pPr>
      <w:r>
        <w:rPr>
          <w:sz w:val="29"/>
          <w:szCs w:val="29"/>
          <w:spacing w:val="2"/>
        </w:rPr>
        <w:t>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449" w:firstLine="730"/>
        <w:spacing w:before="144" w:line="269" w:lineRule="auto"/>
        <w:rPr>
          <w:sz w:val="29"/>
          <w:szCs w:val="29"/>
        </w:rPr>
      </w:pPr>
      <w:r>
        <w:rPr>
          <w:sz w:val="29"/>
          <w:szCs w:val="29"/>
          <w:spacing w:val="6"/>
        </w:rPr>
        <w:t>(1)乔木修剪：继续对乔木进行剥芽除蘖工作。同时及时修剪影响园路行</w:t>
      </w:r>
      <w:r>
        <w:rPr>
          <w:sz w:val="29"/>
          <w:szCs w:val="29"/>
          <w:spacing w:val="1"/>
        </w:rPr>
        <w:t xml:space="preserve"> </w:t>
      </w:r>
      <w:r>
        <w:rPr>
          <w:sz w:val="29"/>
          <w:szCs w:val="29"/>
          <w:spacing w:val="1"/>
        </w:rPr>
        <w:t>走的枝条，特别是道路两侧的行道树，注意不能影响线路安全；</w:t>
      </w:r>
    </w:p>
    <w:p>
      <w:pPr>
        <w:pStyle w:val="BodyText"/>
        <w:ind w:right="451" w:firstLine="730"/>
        <w:spacing w:before="146" w:line="268" w:lineRule="auto"/>
        <w:rPr>
          <w:sz w:val="29"/>
          <w:szCs w:val="29"/>
        </w:rPr>
      </w:pPr>
      <w:r>
        <w:rPr>
          <w:sz w:val="29"/>
          <w:szCs w:val="29"/>
          <w:spacing w:val="6"/>
        </w:rPr>
        <w:t>(2)灌木、地被修剪：对绿篱、球类及部分花灌木、地被实施修剪。疏剪</w:t>
      </w:r>
      <w:r>
        <w:rPr>
          <w:sz w:val="29"/>
          <w:szCs w:val="29"/>
        </w:rPr>
        <w:t xml:space="preserve"> </w:t>
      </w:r>
      <w:r>
        <w:rPr>
          <w:sz w:val="29"/>
          <w:szCs w:val="29"/>
          <w:spacing w:val="-2"/>
        </w:rPr>
        <w:t>树冠和修剪与园路灯、电线等发生矛盾的枝条；</w:t>
      </w:r>
    </w:p>
    <w:p>
      <w:pPr>
        <w:pStyle w:val="BodyText"/>
        <w:ind w:right="352" w:firstLine="730"/>
        <w:spacing w:before="157" w:line="279" w:lineRule="auto"/>
        <w:rPr>
          <w:sz w:val="29"/>
          <w:szCs w:val="29"/>
        </w:rPr>
      </w:pPr>
      <w:r>
        <w:rPr>
          <w:sz w:val="29"/>
          <w:szCs w:val="29"/>
          <w:spacing w:val="7"/>
        </w:rPr>
        <w:t>(3)草皮修剪：全园区喷施除草剂，喷施一次即可，有剩余则人工摘除，</w:t>
      </w:r>
      <w:r>
        <w:rPr>
          <w:sz w:val="29"/>
          <w:szCs w:val="29"/>
          <w:spacing w:val="17"/>
        </w:rPr>
        <w:t xml:space="preserve"> </w:t>
      </w:r>
      <w:r>
        <w:rPr>
          <w:sz w:val="29"/>
          <w:szCs w:val="29"/>
        </w:rPr>
        <w:t>修剪后及时喷药进行病害的防治，干旱时及时灌透水。及时对草坪进行修剪，高</w:t>
      </w:r>
      <w:r>
        <w:rPr>
          <w:sz w:val="29"/>
          <w:szCs w:val="29"/>
          <w:spacing w:val="11"/>
        </w:rPr>
        <w:t xml:space="preserve"> </w:t>
      </w:r>
      <w:r>
        <w:rPr>
          <w:sz w:val="29"/>
          <w:szCs w:val="29"/>
          <w:spacing w:val="-7"/>
        </w:rPr>
        <w:t>度保持4-5</w:t>
      </w:r>
      <w:r>
        <w:rPr>
          <w:rFonts w:ascii="Times New Roman" w:hAnsi="Times New Roman" w:eastAsia="Times New Roman" w:cs="Times New Roman"/>
          <w:sz w:val="29"/>
          <w:szCs w:val="29"/>
          <w:spacing w:val="-7"/>
        </w:rPr>
        <w:t>cm</w:t>
      </w:r>
      <w:r>
        <w:rPr>
          <w:sz w:val="29"/>
          <w:szCs w:val="29"/>
          <w:spacing w:val="-7"/>
        </w:rPr>
        <w:t>。避免出现剪短露白茬，及时清除草坪及树木下的杂草，绿篱及地</w:t>
      </w:r>
    </w:p>
    <w:p>
      <w:pPr>
        <w:spacing w:line="279" w:lineRule="auto"/>
        <w:sectPr>
          <w:footerReference w:type="default" r:id="rId644"/>
          <w:pgSz w:w="14490" w:h="20470"/>
          <w:pgMar w:top="400" w:right="1825" w:bottom="1433" w:left="2150" w:header="0" w:footer="123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被内生出的杂草、爬藤及时连根清除。</w:t>
      </w:r>
    </w:p>
    <w:p>
      <w:pPr>
        <w:pStyle w:val="BodyText"/>
        <w:ind w:left="600"/>
        <w:spacing w:before="52"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252" w:firstLine="730"/>
        <w:spacing w:before="145" w:line="272" w:lineRule="auto"/>
        <w:rPr>
          <w:sz w:val="29"/>
          <w:szCs w:val="29"/>
        </w:rPr>
      </w:pPr>
      <w:r>
        <w:rPr>
          <w:sz w:val="29"/>
          <w:szCs w:val="29"/>
        </w:rPr>
        <w:t>(1)浇水：伏天气温高，雨水少时，植物需水量大，要及时浇水，</w:t>
      </w:r>
      <w:r>
        <w:rPr>
          <w:sz w:val="29"/>
          <w:szCs w:val="29"/>
          <w:spacing w:val="-1"/>
        </w:rPr>
        <w:t>不能“看</w:t>
      </w:r>
      <w:r>
        <w:rPr>
          <w:sz w:val="29"/>
          <w:szCs w:val="29"/>
        </w:rPr>
        <w:t xml:space="preserve"> </w:t>
      </w:r>
      <w:r>
        <w:rPr>
          <w:sz w:val="29"/>
          <w:szCs w:val="29"/>
          <w:spacing w:val="-4"/>
        </w:rPr>
        <w:t>天吃饭”应注意灌溉问题。本月也是暴雨较多的月份，要注意防涝；</w:t>
      </w:r>
    </w:p>
    <w:p>
      <w:pPr>
        <w:pStyle w:val="BodyText"/>
        <w:ind w:right="250" w:firstLine="730"/>
        <w:spacing w:before="128" w:line="275" w:lineRule="auto"/>
        <w:rPr>
          <w:sz w:val="29"/>
          <w:szCs w:val="29"/>
        </w:rPr>
      </w:pPr>
      <w:r>
        <w:rPr>
          <w:sz w:val="29"/>
          <w:szCs w:val="29"/>
          <w:spacing w:val="9"/>
        </w:rPr>
        <w:t>(2)排水：对于低洼易积水绿化区域，预先挖好排水</w:t>
      </w:r>
      <w:r>
        <w:rPr>
          <w:sz w:val="29"/>
          <w:szCs w:val="29"/>
          <w:spacing w:val="8"/>
        </w:rPr>
        <w:t>沟，有大雨天气时要</w:t>
      </w:r>
      <w:r>
        <w:rPr>
          <w:sz w:val="29"/>
          <w:szCs w:val="29"/>
        </w:rPr>
        <w:t xml:space="preserve"> </w:t>
      </w:r>
      <w:r>
        <w:rPr>
          <w:sz w:val="29"/>
          <w:szCs w:val="29"/>
          <w:spacing w:val="-3"/>
        </w:rPr>
        <w:t>注意低洼处的排水工作；</w:t>
      </w:r>
    </w:p>
    <w:p>
      <w:pPr>
        <w:pStyle w:val="BodyText"/>
        <w:ind w:right="253" w:firstLine="730"/>
        <w:spacing w:before="135" w:line="288" w:lineRule="auto"/>
        <w:rPr/>
      </w:pPr>
      <w:r>
        <w:rPr>
          <w:spacing w:val="13"/>
        </w:rPr>
        <w:t>(3)施肥：对长势较差的植物追施一次氮、磷、钾均衡型速效性复合肥(氮</w:t>
      </w:r>
      <w:r>
        <w:rPr>
          <w:spacing w:val="18"/>
        </w:rPr>
        <w:t xml:space="preserve"> </w:t>
      </w:r>
      <w:r>
        <w:rPr>
          <w:spacing w:val="11"/>
        </w:rPr>
        <w:t>15-20、磷15-20、钾15-20),土壤偏碱的地区结合浇水</w:t>
      </w:r>
      <w:r>
        <w:rPr>
          <w:spacing w:val="10"/>
        </w:rPr>
        <w:t>施用硫酸亚铁、配合使用</w:t>
      </w:r>
      <w:r>
        <w:rPr/>
        <w:t xml:space="preserve"> </w:t>
      </w:r>
      <w:r>
        <w:rPr>
          <w:spacing w:val="2"/>
        </w:rPr>
        <w:t>营养剂、根部施肥透气透水等措施提高苗木成活，提高养护效果。6月上旬</w:t>
      </w:r>
      <w:r>
        <w:rPr>
          <w:spacing w:val="1"/>
        </w:rPr>
        <w:t>结束。</w:t>
      </w:r>
    </w:p>
    <w:p>
      <w:pPr>
        <w:pStyle w:val="BodyText"/>
        <w:ind w:left="600"/>
        <w:spacing w:before="198"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9" w:firstLine="730"/>
        <w:spacing w:before="94" w:line="269" w:lineRule="auto"/>
        <w:rPr>
          <w:sz w:val="29"/>
          <w:szCs w:val="29"/>
        </w:rPr>
      </w:pPr>
      <w:r>
        <w:rPr>
          <w:sz w:val="29"/>
          <w:szCs w:val="29"/>
          <w:spacing w:val="6"/>
        </w:rPr>
        <w:t>(1)病害：白粉病、炭疽病、锈病、煤污病、叶枯</w:t>
      </w:r>
      <w:r>
        <w:rPr>
          <w:sz w:val="29"/>
          <w:szCs w:val="29"/>
          <w:spacing w:val="5"/>
        </w:rPr>
        <w:t>病、干腐病、枝枯病、</w:t>
      </w:r>
      <w:r>
        <w:rPr>
          <w:sz w:val="29"/>
          <w:szCs w:val="29"/>
        </w:rPr>
        <w:t xml:space="preserve"> </w:t>
      </w:r>
      <w:r>
        <w:rPr>
          <w:sz w:val="29"/>
          <w:szCs w:val="29"/>
          <w:spacing w:val="1"/>
        </w:rPr>
        <w:t>流胶病、枯萎病、草坪腐霉枯萎病、细菌性穿孔病、冠瘿病等；</w:t>
      </w:r>
    </w:p>
    <w:p>
      <w:pPr>
        <w:pStyle w:val="BodyText"/>
        <w:ind w:right="241" w:firstLine="730"/>
        <w:spacing w:before="145" w:line="287" w:lineRule="auto"/>
        <w:rPr>
          <w:sz w:val="29"/>
          <w:szCs w:val="29"/>
        </w:rPr>
      </w:pPr>
      <w:r>
        <w:rPr>
          <w:sz w:val="29"/>
          <w:szCs w:val="29"/>
          <w:spacing w:val="-1"/>
        </w:rPr>
        <w:t>(2)虫害：大青叶蝉、桃粉蚜、梨网冠蝽、方翅网蝽、樟叶木虱、花蓟马、</w:t>
      </w:r>
      <w:r>
        <w:rPr>
          <w:sz w:val="29"/>
          <w:szCs w:val="29"/>
          <w:spacing w:val="13"/>
        </w:rPr>
        <w:t xml:space="preserve"> </w:t>
      </w:r>
      <w:r>
        <w:rPr>
          <w:sz w:val="29"/>
          <w:szCs w:val="29"/>
          <w:spacing w:val="-8"/>
        </w:rPr>
        <w:t>桑天牛、星天牛、云斑天牛、咖啡木蠹蛾、柏肤小蠹、白蚁、蝼蛄、黄刺蛾、扁刺</w:t>
      </w:r>
      <w:r>
        <w:rPr>
          <w:sz w:val="29"/>
          <w:szCs w:val="29"/>
          <w:spacing w:val="10"/>
        </w:rPr>
        <w:t xml:space="preserve"> </w:t>
      </w:r>
      <w:r>
        <w:rPr>
          <w:sz w:val="29"/>
          <w:szCs w:val="29"/>
          <w:spacing w:val="-8"/>
        </w:rPr>
        <w:t>蛾、丽绿刺蛾、褐边绿刺蛾、茶袋蛾、大袋蛾、黄尾毒蛾、桃剑纹夜蛾、丝棉木金</w:t>
      </w:r>
      <w:r>
        <w:rPr>
          <w:sz w:val="29"/>
          <w:szCs w:val="29"/>
        </w:rPr>
        <w:t xml:space="preserve"> </w:t>
      </w:r>
      <w:r>
        <w:rPr>
          <w:sz w:val="29"/>
          <w:szCs w:val="29"/>
          <w:spacing w:val="-12"/>
        </w:rPr>
        <w:t>星尺蛾、绿尾大蚕蛾、柑桔凤蝶、玉带凤蝶</w:t>
      </w:r>
      <w:r>
        <w:rPr>
          <w:sz w:val="29"/>
          <w:szCs w:val="29"/>
          <w:spacing w:val="-13"/>
        </w:rPr>
        <w:t>、樟青凤蝶、柳蓝叶甲等。</w:t>
      </w:r>
    </w:p>
    <w:p>
      <w:pPr>
        <w:pStyle w:val="BodyText"/>
        <w:ind w:left="600"/>
        <w:spacing w:before="16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47" w:line="272"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ind w:left="600"/>
        <w:spacing w:before="16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right="341" w:firstLine="730"/>
        <w:spacing w:before="102"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338" w:firstLine="730"/>
        <w:spacing w:before="143" w:line="267"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8"/>
        </w:rPr>
        <w:t>其它物资；</w:t>
      </w:r>
    </w:p>
    <w:p>
      <w:pPr>
        <w:pStyle w:val="BodyText"/>
        <w:ind w:left="730"/>
        <w:spacing w:before="149" w:line="219" w:lineRule="auto"/>
        <w:rPr>
          <w:sz w:val="29"/>
          <w:szCs w:val="29"/>
        </w:rPr>
      </w:pPr>
      <w:r>
        <w:rPr>
          <w:sz w:val="29"/>
          <w:szCs w:val="29"/>
          <w:spacing w:val="9"/>
        </w:rPr>
        <w:t>(3)进行机械工具的检查维修。</w:t>
      </w:r>
    </w:p>
    <w:p>
      <w:pPr>
        <w:pStyle w:val="BodyText"/>
        <w:ind w:left="600"/>
        <w:spacing w:before="96"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600"/>
        <w:spacing w:before="13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9"/>
        </w:rPr>
        <w:t>七月份</w:t>
      </w:r>
    </w:p>
    <w:p>
      <w:pPr>
        <w:pStyle w:val="BodyText"/>
        <w:ind w:left="600"/>
        <w:spacing w:before="137" w:line="219" w:lineRule="auto"/>
        <w:rPr>
          <w:sz w:val="29"/>
          <w:szCs w:val="29"/>
        </w:rPr>
      </w:pPr>
      <w:r>
        <w:rPr>
          <w:sz w:val="29"/>
          <w:szCs w:val="29"/>
          <w:spacing w:val="3"/>
        </w:rPr>
        <w:t>气温最高，雨季结束。主要灾害性天气有干旱、暴雨、雷雨大风等。</w:t>
      </w:r>
    </w:p>
    <w:p>
      <w:pPr>
        <w:spacing w:line="219" w:lineRule="auto"/>
        <w:sectPr>
          <w:footerReference w:type="default" r:id="rId645"/>
          <w:pgSz w:w="14490" w:h="20470"/>
          <w:pgMar w:top="400" w:right="1935" w:bottom="1447" w:left="2150" w:header="0" w:footer="1231" w:gutter="0"/>
        </w:sectPr>
        <w:rPr>
          <w:sz w:val="29"/>
          <w:szCs w:val="29"/>
        </w:rPr>
      </w:pP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BodyText"/>
        <w:ind w:left="600"/>
        <w:spacing w:before="9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93" w:line="219" w:lineRule="auto"/>
        <w:rPr>
          <w:sz w:val="29"/>
          <w:szCs w:val="29"/>
        </w:rPr>
      </w:pPr>
      <w:r>
        <w:rPr>
          <w:sz w:val="29"/>
          <w:szCs w:val="29"/>
          <w:spacing w:val="6"/>
        </w:rPr>
        <w:t>(1)做好排涝工作，保证苗木的正常生长，大雨过后要及时排涝；</w:t>
      </w:r>
    </w:p>
    <w:p>
      <w:pPr>
        <w:pStyle w:val="BodyText"/>
        <w:ind w:left="730"/>
        <w:spacing w:before="145" w:line="219" w:lineRule="auto"/>
        <w:rPr>
          <w:sz w:val="29"/>
          <w:szCs w:val="29"/>
        </w:rPr>
      </w:pPr>
      <w:r>
        <w:rPr>
          <w:sz w:val="29"/>
          <w:szCs w:val="29"/>
          <w:spacing w:val="-9"/>
        </w:rPr>
        <w:t>(2)做好防风、防汛工作，及时检查支撑情况，发现松动或缺失立即加固；</w:t>
      </w:r>
    </w:p>
    <w:p>
      <w:pPr>
        <w:pStyle w:val="BodyText"/>
        <w:ind w:right="312" w:firstLine="730"/>
        <w:spacing w:before="153" w:line="263" w:lineRule="auto"/>
        <w:rPr>
          <w:sz w:val="29"/>
          <w:szCs w:val="29"/>
        </w:rPr>
      </w:pPr>
      <w:r>
        <w:rPr>
          <w:sz w:val="29"/>
          <w:szCs w:val="29"/>
          <w:spacing w:val="7"/>
        </w:rPr>
        <w:t>(3)事先做好劳力组织、物资材料、工具设备等方面的准备，</w:t>
      </w:r>
      <w:r>
        <w:rPr>
          <w:sz w:val="29"/>
          <w:szCs w:val="29"/>
          <w:spacing w:val="6"/>
        </w:rPr>
        <w:t>并随时派人</w:t>
      </w:r>
      <w:r>
        <w:rPr>
          <w:sz w:val="29"/>
          <w:szCs w:val="29"/>
        </w:rPr>
        <w:t xml:space="preserve"> </w:t>
      </w:r>
      <w:r>
        <w:rPr>
          <w:sz w:val="29"/>
          <w:szCs w:val="29"/>
        </w:rPr>
        <w:t>检查，发现险情及时处理。</w:t>
      </w:r>
    </w:p>
    <w:p>
      <w:pPr>
        <w:pStyle w:val="BodyText"/>
        <w:ind w:left="600"/>
        <w:spacing w:before="193"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right="39" w:firstLine="730"/>
        <w:spacing w:before="107" w:line="271" w:lineRule="auto"/>
        <w:rPr>
          <w:sz w:val="29"/>
          <w:szCs w:val="29"/>
        </w:rPr>
      </w:pPr>
      <w:r>
        <w:rPr>
          <w:sz w:val="29"/>
          <w:szCs w:val="29"/>
          <w:spacing w:val="9"/>
        </w:rPr>
        <w:t>(1)乔木修剪：乔木、花灌木及草坪生长迅速</w:t>
      </w:r>
      <w:r>
        <w:rPr>
          <w:sz w:val="29"/>
          <w:szCs w:val="29"/>
          <w:spacing w:val="8"/>
        </w:rPr>
        <w:t>，要及时对乔木、灌木、地</w:t>
      </w:r>
      <w:r>
        <w:rPr>
          <w:sz w:val="29"/>
          <w:szCs w:val="29"/>
        </w:rPr>
        <w:t xml:space="preserve">  </w:t>
      </w:r>
      <w:r>
        <w:rPr>
          <w:sz w:val="29"/>
          <w:szCs w:val="29"/>
          <w:spacing w:val="-10"/>
        </w:rPr>
        <w:t>被草坪进行修剪。行道树，进行剥芽修剪，对与电线及道路有矛盾的树枝一律修剪；</w:t>
      </w:r>
    </w:p>
    <w:p>
      <w:pPr>
        <w:pStyle w:val="BodyText"/>
        <w:ind w:right="269" w:firstLine="730"/>
        <w:spacing w:before="137" w:line="269" w:lineRule="auto"/>
        <w:rPr>
          <w:sz w:val="29"/>
          <w:szCs w:val="29"/>
        </w:rPr>
      </w:pPr>
      <w:r>
        <w:rPr>
          <w:sz w:val="29"/>
          <w:szCs w:val="29"/>
          <w:spacing w:val="-1"/>
        </w:rPr>
        <w:t>(2)</w:t>
      </w:r>
      <w:r>
        <w:rPr>
          <w:sz w:val="29"/>
          <w:szCs w:val="29"/>
          <w:spacing w:val="97"/>
        </w:rPr>
        <w:t xml:space="preserve"> </w:t>
      </w:r>
      <w:r>
        <w:rPr>
          <w:sz w:val="29"/>
          <w:szCs w:val="29"/>
          <w:spacing w:val="-1"/>
        </w:rPr>
        <w:t>草皮修剪：草坪修剪，增加通透性，减少病害，剪下草屑及时清运。</w:t>
      </w:r>
      <w:r>
        <w:rPr>
          <w:sz w:val="29"/>
          <w:szCs w:val="29"/>
        </w:rPr>
        <w:t xml:space="preserve"> </w:t>
      </w:r>
      <w:r>
        <w:rPr>
          <w:sz w:val="29"/>
          <w:szCs w:val="29"/>
        </w:rPr>
        <w:t>及时清除草坪及树木下的杂草，绿篱及地被</w:t>
      </w:r>
      <w:r>
        <w:rPr>
          <w:sz w:val="29"/>
          <w:szCs w:val="29"/>
          <w:spacing w:val="-1"/>
        </w:rPr>
        <w:t>内生出的杂草，爬藤及时连根清除。</w:t>
      </w:r>
    </w:p>
    <w:p>
      <w:pPr>
        <w:ind w:left="600"/>
        <w:spacing w:before="173" w:line="222"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left="600"/>
        <w:spacing w:before="104" w:line="219" w:lineRule="auto"/>
        <w:rPr>
          <w:sz w:val="29"/>
          <w:szCs w:val="29"/>
        </w:rPr>
      </w:pPr>
      <w:r>
        <w:rPr>
          <w:sz w:val="29"/>
          <w:szCs w:val="29"/>
          <w:spacing w:val="1"/>
        </w:rPr>
        <w:t>浇水，七月为高温季节，注意苗木实时浇水，同时也要注意时花的浇水。</w:t>
      </w:r>
    </w:p>
    <w:p>
      <w:pPr>
        <w:pStyle w:val="BodyText"/>
        <w:ind w:left="600"/>
        <w:spacing w:before="12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51" w:firstLine="730"/>
        <w:spacing w:before="125" w:line="269"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5"/>
        </w:rPr>
        <w:t>坪腐霉枯萎病、细菌性穿孔病、冠瘿病、花叶病等；</w:t>
      </w:r>
    </w:p>
    <w:p>
      <w:pPr>
        <w:pStyle w:val="BodyText"/>
        <w:ind w:left="730"/>
        <w:spacing w:before="173" w:line="219" w:lineRule="auto"/>
        <w:rPr/>
      </w:pPr>
      <w:r>
        <w:rPr>
          <w:spacing w:val="17"/>
        </w:rPr>
        <w:t>(2)虫害：大青叶蝉、梨网冠蝽、方翅网蝽、花蓟马、桑天牛、星天牛、</w:t>
      </w:r>
    </w:p>
    <w:p>
      <w:pPr>
        <w:pStyle w:val="BodyText"/>
        <w:ind w:right="4" w:firstLine="49"/>
        <w:spacing w:before="152" w:line="281" w:lineRule="auto"/>
        <w:rPr/>
      </w:pPr>
      <w:r>
        <w:rPr>
          <w:spacing w:val="1"/>
        </w:rPr>
        <w:t>白蚁、蝼蛄、黄刺蛾、扁刺蛾、丽绿刺蛾、褐边绿刺蛾</w:t>
      </w:r>
      <w:r>
        <w:rPr/>
        <w:t>、茶袋蛾、大袋蛾、黄尾毒  </w:t>
      </w:r>
      <w:r>
        <w:rPr>
          <w:spacing w:val="1"/>
        </w:rPr>
        <w:t>蛾、桃剑纹夜蛾、斜纹夜蛾、丝棉木金星尺蛾、绿尾大蚕蛾、柑桔凤蝶、玉带凤蝶、 </w:t>
      </w:r>
      <w:r>
        <w:rPr/>
        <w:t>樟青凤蝶、柳蓝叶甲等。</w:t>
      </w:r>
    </w:p>
    <w:p>
      <w:pPr>
        <w:pStyle w:val="BodyText"/>
        <w:ind w:left="600"/>
        <w:spacing w:before="181"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39" w:firstLine="730"/>
        <w:spacing w:before="62" w:line="27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03" w:firstLine="730"/>
        <w:spacing w:before="127" w:line="272"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2"/>
        </w:rPr>
        <w:t>售展示区)进行彻底清理。</w:t>
      </w:r>
    </w:p>
    <w:p>
      <w:pPr>
        <w:ind w:left="600"/>
        <w:spacing w:before="20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right="341" w:firstLine="730"/>
        <w:spacing w:before="9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left="730"/>
        <w:spacing w:before="152" w:line="219" w:lineRule="auto"/>
        <w:rPr>
          <w:sz w:val="29"/>
          <w:szCs w:val="29"/>
        </w:rPr>
      </w:pPr>
      <w:r>
        <w:rPr>
          <w:sz w:val="29"/>
          <w:szCs w:val="29"/>
          <w:spacing w:val="12"/>
        </w:rPr>
        <w:t>(2)进行机械工具的检查维修。</w:t>
      </w:r>
    </w:p>
    <w:p>
      <w:pPr>
        <w:pStyle w:val="BodyText"/>
        <w:ind w:left="600"/>
        <w:spacing w:before="10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600"/>
        <w:spacing w:before="15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1" w:lineRule="auto"/>
        <w:sectPr>
          <w:footerReference w:type="default" r:id="rId646"/>
          <w:pgSz w:w="14490" w:h="20470"/>
          <w:pgMar w:top="400" w:right="1935" w:bottom="1447" w:left="2150" w:header="0" w:footer="1231" w:gutter="0"/>
        </w:sectPr>
        <w:rPr>
          <w:sz w:val="29"/>
          <w:szCs w:val="29"/>
        </w:rPr>
      </w:pP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590"/>
        <w:spacing w:before="157" w:line="219" w:lineRule="auto"/>
        <w:rPr>
          <w:sz w:val="29"/>
          <w:szCs w:val="29"/>
        </w:rPr>
      </w:pPr>
      <w:r>
        <w:rPr>
          <w:sz w:val="29"/>
          <w:szCs w:val="29"/>
          <w:spacing w:val="4"/>
        </w:rPr>
        <w:t>天气晴热少雨，主要灾害性天气有干旱、暴雨、雷雨大风。</w:t>
      </w:r>
    </w:p>
    <w:p>
      <w:pPr>
        <w:pStyle w:val="BodyText"/>
        <w:ind w:left="590"/>
        <w:spacing w:before="135"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03" w:line="219" w:lineRule="auto"/>
        <w:rPr>
          <w:sz w:val="29"/>
          <w:szCs w:val="29"/>
        </w:rPr>
      </w:pPr>
      <w:r>
        <w:rPr>
          <w:sz w:val="29"/>
          <w:szCs w:val="29"/>
          <w:spacing w:val="2"/>
        </w:rPr>
        <w:t>及时检查乔木支撑情况，发现松动或缺失立即加固</w:t>
      </w:r>
    </w:p>
    <w:p>
      <w:pPr>
        <w:ind w:left="590"/>
        <w:spacing w:before="12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190" w:firstLine="590"/>
        <w:spacing w:before="135" w:line="311" w:lineRule="auto"/>
        <w:rPr>
          <w:sz w:val="29"/>
          <w:szCs w:val="29"/>
        </w:rPr>
      </w:pPr>
      <w:r>
        <w:rPr>
          <w:sz w:val="29"/>
          <w:szCs w:val="29"/>
          <w:spacing w:val="2"/>
        </w:rPr>
        <w:t>乔木、花灌木及草坪生长迅速，要及时对乔木</w:t>
      </w:r>
      <w:r>
        <w:rPr>
          <w:sz w:val="29"/>
          <w:szCs w:val="29"/>
          <w:spacing w:val="1"/>
        </w:rPr>
        <w:t>、灌木、地被草坪进行修剪，</w:t>
      </w:r>
      <w:r>
        <w:rPr>
          <w:sz w:val="29"/>
          <w:szCs w:val="29"/>
        </w:rPr>
        <w:t xml:space="preserve"> </w:t>
      </w:r>
      <w:r>
        <w:rPr>
          <w:sz w:val="29"/>
          <w:szCs w:val="29"/>
          <w:spacing w:val="2"/>
        </w:rPr>
        <w:t>及时清除草坪及树木下的杂草，绿篱及地被内生出的杂草，爬藤</w:t>
      </w:r>
      <w:r>
        <w:rPr>
          <w:sz w:val="29"/>
          <w:szCs w:val="29"/>
          <w:spacing w:val="1"/>
        </w:rPr>
        <w:t>及时连根清除。</w:t>
      </w:r>
    </w:p>
    <w:p>
      <w:pPr>
        <w:pStyle w:val="BodyText"/>
        <w:ind w:left="590"/>
        <w:spacing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left="590"/>
        <w:spacing w:before="99" w:line="219" w:lineRule="auto"/>
        <w:rPr>
          <w:sz w:val="29"/>
          <w:szCs w:val="29"/>
        </w:rPr>
      </w:pPr>
      <w:r>
        <w:rPr>
          <w:sz w:val="29"/>
          <w:szCs w:val="29"/>
          <w:spacing w:val="1"/>
        </w:rPr>
        <w:t>八月为高温季节，注意苗木实时浇水，同时也要注意时花的适时浇水。</w:t>
      </w:r>
    </w:p>
    <w:p>
      <w:pPr>
        <w:pStyle w:val="BodyText"/>
        <w:ind w:left="590"/>
        <w:spacing w:before="123"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323" w:firstLine="730"/>
        <w:spacing w:before="124" w:line="269" w:lineRule="auto"/>
        <w:rPr>
          <w:sz w:val="29"/>
          <w:szCs w:val="29"/>
        </w:rPr>
      </w:pPr>
      <w:r>
        <w:rPr>
          <w:sz w:val="29"/>
          <w:szCs w:val="29"/>
          <w:spacing w:val="6"/>
        </w:rPr>
        <w:t>(1)病害：煤污病、叶枯病、干腐病、紫纹羽病、枝枯病、枯萎病、草坪</w:t>
      </w:r>
      <w:r>
        <w:rPr>
          <w:sz w:val="29"/>
          <w:szCs w:val="29"/>
          <w:spacing w:val="17"/>
        </w:rPr>
        <w:t xml:space="preserve"> </w:t>
      </w:r>
      <w:r>
        <w:rPr>
          <w:sz w:val="29"/>
          <w:szCs w:val="29"/>
        </w:rPr>
        <w:t>腐霉枯萎病、细菌性穿孔病、冠瘿病、花叶病等；</w:t>
      </w:r>
    </w:p>
    <w:p>
      <w:pPr>
        <w:pStyle w:val="BodyText"/>
        <w:ind w:right="252" w:firstLine="730"/>
        <w:spacing w:before="167" w:line="287" w:lineRule="auto"/>
        <w:rPr>
          <w:sz w:val="29"/>
          <w:szCs w:val="29"/>
        </w:rPr>
      </w:pPr>
      <w:r>
        <w:rPr>
          <w:sz w:val="29"/>
          <w:szCs w:val="29"/>
          <w:spacing w:val="9"/>
        </w:rPr>
        <w:t>(2)虫害：大青叶蝉、梨网冠蝽、方翅网蝽、花</w:t>
      </w:r>
      <w:r>
        <w:rPr>
          <w:sz w:val="29"/>
          <w:szCs w:val="29"/>
          <w:spacing w:val="8"/>
        </w:rPr>
        <w:t>蓟马、桑天牛、白蚁、蝼</w:t>
      </w:r>
      <w:r>
        <w:rPr>
          <w:sz w:val="29"/>
          <w:szCs w:val="29"/>
        </w:rPr>
        <w:t xml:space="preserve"> </w:t>
      </w:r>
      <w:r>
        <w:rPr>
          <w:sz w:val="29"/>
          <w:szCs w:val="29"/>
          <w:spacing w:val="-8"/>
        </w:rPr>
        <w:t>蛄、黄刺蛾、扁刺蛾、丽绿刺蛾、褐边绿刺蛾、茶袋蛾、大袋蛾、黄尾毒蛾</w:t>
      </w:r>
      <w:r>
        <w:rPr>
          <w:sz w:val="29"/>
          <w:szCs w:val="29"/>
          <w:spacing w:val="-9"/>
        </w:rPr>
        <w:t>、斜纹</w:t>
      </w:r>
      <w:r>
        <w:rPr>
          <w:sz w:val="29"/>
          <w:szCs w:val="29"/>
        </w:rPr>
        <w:t xml:space="preserve"> </w:t>
      </w:r>
      <w:r>
        <w:rPr>
          <w:sz w:val="29"/>
          <w:szCs w:val="29"/>
          <w:spacing w:val="-9"/>
        </w:rPr>
        <w:t>夜蛾、丝棉木金星尺蛾、绿尾大蚕蛾、柑桔凤蝶、玉带凤蝶、樟青凤蝶、柳蓝叶甲</w:t>
      </w:r>
      <w:r>
        <w:rPr>
          <w:sz w:val="29"/>
          <w:szCs w:val="29"/>
          <w:spacing w:val="18"/>
        </w:rPr>
        <w:t xml:space="preserve"> </w:t>
      </w:r>
      <w:r>
        <w:rPr>
          <w:sz w:val="29"/>
          <w:szCs w:val="29"/>
          <w:spacing w:val="-4"/>
        </w:rPr>
        <w:t>等。</w:t>
      </w:r>
    </w:p>
    <w:p>
      <w:pPr>
        <w:pStyle w:val="BodyText"/>
        <w:ind w:left="590"/>
        <w:spacing w:before="15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20" w:firstLine="730"/>
        <w:spacing w:before="94"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25" w:line="27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90"/>
        <w:spacing w:before="17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right="321" w:firstLine="730"/>
        <w:spacing w:before="92" w:line="273"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left="730"/>
        <w:spacing w:before="142" w:line="219" w:lineRule="auto"/>
        <w:rPr>
          <w:sz w:val="29"/>
          <w:szCs w:val="29"/>
        </w:rPr>
      </w:pPr>
      <w:r>
        <w:rPr>
          <w:sz w:val="29"/>
          <w:szCs w:val="29"/>
          <w:spacing w:val="9"/>
        </w:rPr>
        <w:t>(2)进行机械工具的检查维修。</w:t>
      </w:r>
    </w:p>
    <w:p>
      <w:pPr>
        <w:pStyle w:val="BodyText"/>
        <w:ind w:left="590"/>
        <w:spacing w:before="9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590"/>
        <w:spacing w:before="167"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106"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90"/>
        <w:spacing w:before="119" w:line="219" w:lineRule="auto"/>
        <w:rPr>
          <w:sz w:val="29"/>
          <w:szCs w:val="29"/>
        </w:rPr>
      </w:pPr>
      <w:r>
        <w:rPr>
          <w:sz w:val="29"/>
          <w:szCs w:val="29"/>
          <w:spacing w:val="4"/>
        </w:rPr>
        <w:t>气温较高，天气晴朗，蒸发强盛，降水量少。</w:t>
      </w:r>
    </w:p>
    <w:p>
      <w:pPr>
        <w:pStyle w:val="BodyText"/>
        <w:ind w:left="590"/>
        <w:spacing w:before="27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34" w:line="219" w:lineRule="auto"/>
        <w:rPr>
          <w:sz w:val="29"/>
          <w:szCs w:val="29"/>
        </w:rPr>
      </w:pPr>
      <w:r>
        <w:rPr>
          <w:sz w:val="29"/>
          <w:szCs w:val="29"/>
          <w:spacing w:val="1"/>
        </w:rPr>
        <w:t>及时检查乔木支撑情况，发现松动或缺失立即加固。</w:t>
      </w:r>
    </w:p>
    <w:p>
      <w:pPr>
        <w:ind w:left="590"/>
        <w:spacing w:before="103" w:line="221" w:lineRule="auto"/>
        <w:rPr>
          <w:rFonts w:ascii="SimHei" w:hAnsi="SimHei" w:eastAsia="SimHei" w:cs="SimHei"/>
          <w:sz w:val="30"/>
          <w:szCs w:val="30"/>
        </w:rPr>
      </w:pPr>
      <w:r>
        <w:rPr>
          <w:rFonts w:ascii="SimHei" w:hAnsi="SimHei" w:eastAsia="SimHei" w:cs="SimHei"/>
          <w:sz w:val="30"/>
          <w:szCs w:val="30"/>
          <w:spacing w:val="-2"/>
        </w:rPr>
        <w:t>2、修剪</w:t>
      </w:r>
    </w:p>
    <w:p>
      <w:pPr>
        <w:spacing w:line="221" w:lineRule="auto"/>
        <w:sectPr>
          <w:footerReference w:type="default" r:id="rId647"/>
          <w:pgSz w:w="14490" w:h="20470"/>
          <w:pgMar w:top="400" w:right="1935" w:bottom="1447" w:left="2150" w:header="0" w:footer="1231" w:gutter="0"/>
        </w:sectPr>
        <w:rPr>
          <w:rFonts w:ascii="SimHei" w:hAnsi="SimHei" w:eastAsia="SimHei" w:cs="SimHei"/>
          <w:sz w:val="30"/>
          <w:szCs w:val="30"/>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29"/>
        <w:spacing w:before="94" w:line="219" w:lineRule="auto"/>
        <w:jc w:val="right"/>
        <w:rPr>
          <w:sz w:val="29"/>
          <w:szCs w:val="29"/>
        </w:rPr>
      </w:pPr>
      <w:r>
        <w:rPr>
          <w:sz w:val="29"/>
          <w:szCs w:val="29"/>
          <w:spacing w:val="-10"/>
        </w:rPr>
        <w:t>乔木、花灌木、地被草坪生长迅速，要及时对乔木、灌木、地被草坪进行修剪。</w:t>
      </w:r>
    </w:p>
    <w:p>
      <w:pPr>
        <w:pStyle w:val="BodyText"/>
        <w:ind w:left="570"/>
        <w:spacing w:before="122"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332" w:firstLine="730"/>
        <w:spacing w:before="97" w:line="272" w:lineRule="auto"/>
        <w:rPr>
          <w:sz w:val="29"/>
          <w:szCs w:val="29"/>
        </w:rPr>
      </w:pPr>
      <w:r>
        <w:rPr>
          <w:sz w:val="29"/>
          <w:szCs w:val="29"/>
          <w:spacing w:val="6"/>
        </w:rPr>
        <w:t>(1)浇水：本月相对干燥少雨，注意苗木实时浇水，同时也要注意时花的</w:t>
      </w:r>
      <w:r>
        <w:rPr>
          <w:sz w:val="29"/>
          <w:szCs w:val="29"/>
          <w:spacing w:val="8"/>
        </w:rPr>
        <w:t xml:space="preserve"> </w:t>
      </w:r>
      <w:r>
        <w:rPr>
          <w:sz w:val="29"/>
          <w:szCs w:val="29"/>
          <w:spacing w:val="-5"/>
        </w:rPr>
        <w:t>适时浇水；</w:t>
      </w:r>
    </w:p>
    <w:p>
      <w:pPr>
        <w:pStyle w:val="BodyText"/>
        <w:ind w:right="232" w:firstLine="730"/>
        <w:spacing w:before="129" w:line="282" w:lineRule="auto"/>
        <w:rPr>
          <w:sz w:val="29"/>
          <w:szCs w:val="29"/>
        </w:rPr>
      </w:pPr>
      <w:r>
        <w:rPr>
          <w:sz w:val="29"/>
          <w:szCs w:val="29"/>
          <w:spacing w:val="10"/>
        </w:rPr>
        <w:t>(2)施肥：9月底追施一次有机复合肥(有机质含量45</w:t>
      </w:r>
      <w:r>
        <w:rPr>
          <w:sz w:val="29"/>
          <w:szCs w:val="29"/>
          <w:spacing w:val="101"/>
        </w:rPr>
        <w:t xml:space="preserve"> </w:t>
      </w:r>
      <w:r>
        <w:rPr>
          <w:sz w:val="29"/>
          <w:szCs w:val="29"/>
          <w:spacing w:val="10"/>
        </w:rPr>
        <w:t>以上),若植物长势</w:t>
      </w:r>
      <w:r>
        <w:rPr>
          <w:sz w:val="29"/>
          <w:szCs w:val="29"/>
        </w:rPr>
        <w:t xml:space="preserve"> </w:t>
      </w:r>
      <w:r>
        <w:rPr>
          <w:sz w:val="29"/>
          <w:szCs w:val="29"/>
          <w:spacing w:val="-1"/>
        </w:rPr>
        <w:t>一般或较差追施一次氮、磷、钾均衡的无机复合肥。乔木及大灌木穴施。板结区</w:t>
      </w:r>
      <w:r>
        <w:rPr>
          <w:sz w:val="29"/>
          <w:szCs w:val="29"/>
          <w:spacing w:val="18"/>
        </w:rPr>
        <w:t xml:space="preserve"> </w:t>
      </w:r>
      <w:r>
        <w:rPr>
          <w:sz w:val="29"/>
          <w:szCs w:val="29"/>
          <w:spacing w:val="2"/>
        </w:rPr>
        <w:t>域施松土肥。</w:t>
      </w:r>
    </w:p>
    <w:p>
      <w:pPr>
        <w:pStyle w:val="BodyText"/>
        <w:ind w:left="570"/>
        <w:spacing w:before="2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39" w:firstLine="730"/>
        <w:spacing w:before="85" w:line="269"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2"/>
        </w:rPr>
        <w:t>枯病、草坪腐霉枯萎病、冠瘿病、花叶病等；</w:t>
      </w:r>
    </w:p>
    <w:p>
      <w:pPr>
        <w:pStyle w:val="BodyText"/>
        <w:ind w:left="730"/>
        <w:spacing w:before="144" w:line="219" w:lineRule="auto"/>
        <w:rPr>
          <w:sz w:val="29"/>
          <w:szCs w:val="29"/>
        </w:rPr>
      </w:pPr>
      <w:r>
        <w:rPr>
          <w:sz w:val="29"/>
          <w:szCs w:val="29"/>
          <w:spacing w:val="8"/>
        </w:rPr>
        <w:t>(2)虫害：大青叶蝉、方翅网蝽、柑桔全爪螨、花蓟马、桑</w:t>
      </w:r>
      <w:r>
        <w:rPr>
          <w:sz w:val="29"/>
          <w:szCs w:val="29"/>
          <w:spacing w:val="7"/>
        </w:rPr>
        <w:t>天牛、白蚁、</w:t>
      </w:r>
    </w:p>
    <w:p>
      <w:pPr>
        <w:pStyle w:val="BodyText"/>
        <w:spacing w:before="137" w:line="265" w:lineRule="auto"/>
        <w:rPr>
          <w:sz w:val="29"/>
          <w:szCs w:val="29"/>
        </w:rPr>
      </w:pPr>
      <w:r>
        <w:rPr>
          <w:sz w:val="29"/>
          <w:szCs w:val="29"/>
          <w:spacing w:val="-8"/>
        </w:rPr>
        <w:t>铜绿丽金龟、蝼蛄、黄刺蛾、丽绿刺蛾、褐边绿刺蛾、茶袋蛾、黄尾毒蛾、斜纹夜</w:t>
      </w:r>
      <w:r>
        <w:rPr>
          <w:sz w:val="29"/>
          <w:szCs w:val="29"/>
          <w:spacing w:val="4"/>
        </w:rPr>
        <w:t xml:space="preserve">  </w:t>
      </w:r>
      <w:r>
        <w:rPr>
          <w:sz w:val="29"/>
          <w:szCs w:val="29"/>
          <w:spacing w:val="-9"/>
        </w:rPr>
        <w:t>蛾、丝棉木金星尺蛾、绿尾大蚕蛾、柑桔凤蝶、玉带凤蝶、樟青凤蝶、柳蓝叶甲等。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39" w:firstLine="730"/>
        <w:spacing w:before="10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333" w:firstLine="730"/>
        <w:spacing w:before="135" w:line="27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3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8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1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341" w:firstLine="730"/>
        <w:spacing w:before="13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right="287" w:firstLine="730"/>
        <w:spacing w:before="143" w:line="264"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7"/>
        </w:rPr>
        <w:t>及其它物资；</w:t>
      </w:r>
    </w:p>
    <w:p>
      <w:pPr>
        <w:pStyle w:val="BodyText"/>
        <w:ind w:left="730"/>
        <w:spacing w:before="149" w:line="219" w:lineRule="auto"/>
        <w:rPr>
          <w:sz w:val="29"/>
          <w:szCs w:val="29"/>
        </w:rPr>
      </w:pPr>
      <w:r>
        <w:rPr>
          <w:sz w:val="29"/>
          <w:szCs w:val="29"/>
          <w:spacing w:val="11"/>
        </w:rPr>
        <w:t>(3)进行机械工具的检查维修。</w:t>
      </w:r>
    </w:p>
    <w:p>
      <w:pPr>
        <w:pStyle w:val="BodyText"/>
        <w:ind w:left="570"/>
        <w:spacing w:before="43"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firstLine="570"/>
        <w:spacing w:before="141"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20" w:lineRule="auto"/>
        <w:sectPr>
          <w:footerReference w:type="default" r:id="rId648"/>
          <w:pgSz w:w="14490" w:h="20470"/>
          <w:pgMar w:top="400" w:right="1935" w:bottom="1447" w:left="2150" w:header="0" w:footer="1231" w:gutter="0"/>
        </w:sectPr>
        <w:rPr>
          <w:sz w:val="29"/>
          <w:szCs w:val="29"/>
        </w:rPr>
      </w:pP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590"/>
        <w:spacing w:before="129" w:line="219" w:lineRule="auto"/>
        <w:rPr>
          <w:sz w:val="29"/>
          <w:szCs w:val="29"/>
        </w:rPr>
      </w:pPr>
      <w:r>
        <w:rPr>
          <w:sz w:val="29"/>
          <w:szCs w:val="29"/>
          <w:spacing w:val="4"/>
        </w:rPr>
        <w:t>气温逐渐下降，日雨增多，日照减少。</w:t>
      </w:r>
    </w:p>
    <w:p>
      <w:pPr>
        <w:ind w:left="590"/>
        <w:spacing w:before="253" w:line="222" w:lineRule="auto"/>
        <w:rPr>
          <w:rFonts w:ascii="SimHei" w:hAnsi="SimHei" w:eastAsia="SimHei" w:cs="SimHei"/>
          <w:sz w:val="29"/>
          <w:szCs w:val="29"/>
        </w:rPr>
      </w:pPr>
      <w:r>
        <w:rPr>
          <w:rFonts w:ascii="SimHei" w:hAnsi="SimHei" w:eastAsia="SimHei" w:cs="SimHei"/>
          <w:sz w:val="29"/>
          <w:szCs w:val="29"/>
          <w:spacing w:val="7"/>
        </w:rPr>
        <w:t>1、现场检查</w:t>
      </w:r>
    </w:p>
    <w:p>
      <w:pPr>
        <w:pStyle w:val="BodyText"/>
        <w:ind w:left="590"/>
        <w:spacing w:before="153" w:line="219" w:lineRule="auto"/>
        <w:rPr>
          <w:sz w:val="29"/>
          <w:szCs w:val="29"/>
        </w:rPr>
      </w:pPr>
      <w:r>
        <w:rPr>
          <w:sz w:val="29"/>
          <w:szCs w:val="29"/>
          <w:spacing w:val="3"/>
        </w:rPr>
        <w:t>及时检查乔木支撑情况，发现松动或缺失立即加固</w:t>
      </w:r>
    </w:p>
    <w:p>
      <w:pPr>
        <w:ind w:left="590"/>
        <w:spacing w:before="11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369" w:firstLine="590"/>
        <w:spacing w:before="137" w:line="320" w:lineRule="auto"/>
        <w:rPr>
          <w:sz w:val="29"/>
          <w:szCs w:val="29"/>
        </w:rPr>
      </w:pPr>
      <w:r>
        <w:rPr>
          <w:sz w:val="29"/>
          <w:szCs w:val="29"/>
          <w:spacing w:val="-9"/>
        </w:rPr>
        <w:t>及时对乔木、灌木、地被草坪进行修剪，清除枯枝、病虫枝、徒长枝、交叉枝</w:t>
      </w:r>
      <w:r>
        <w:rPr>
          <w:sz w:val="29"/>
          <w:szCs w:val="29"/>
        </w:rPr>
        <w:t xml:space="preserve"> </w:t>
      </w:r>
      <w:r>
        <w:rPr>
          <w:sz w:val="29"/>
          <w:szCs w:val="29"/>
          <w:spacing w:val="-7"/>
        </w:rPr>
        <w:t>等。</w:t>
      </w:r>
    </w:p>
    <w:p>
      <w:pPr>
        <w:ind w:left="590"/>
        <w:spacing w:before="21" w:line="222" w:lineRule="auto"/>
        <w:rPr>
          <w:rFonts w:ascii="SimHei" w:hAnsi="SimHei" w:eastAsia="SimHei" w:cs="SimHei"/>
          <w:sz w:val="29"/>
          <w:szCs w:val="29"/>
        </w:rPr>
      </w:pPr>
      <w:r>
        <w:rPr>
          <w:rFonts w:ascii="SimHei" w:hAnsi="SimHei" w:eastAsia="SimHei" w:cs="SimHei"/>
          <w:sz w:val="29"/>
          <w:szCs w:val="29"/>
          <w:spacing w:val="7"/>
        </w:rPr>
        <w:t>3、水肥管理</w:t>
      </w:r>
    </w:p>
    <w:p>
      <w:pPr>
        <w:pStyle w:val="BodyText"/>
        <w:ind w:left="730"/>
        <w:spacing w:before="114" w:line="219" w:lineRule="auto"/>
        <w:rPr>
          <w:sz w:val="29"/>
          <w:szCs w:val="29"/>
        </w:rPr>
      </w:pPr>
      <w:r>
        <w:rPr>
          <w:sz w:val="29"/>
          <w:szCs w:val="29"/>
          <w:spacing w:val="6"/>
        </w:rPr>
        <w:t>(1)浇水：注意苗木实时浇水，同时也要注意时花</w:t>
      </w:r>
      <w:r>
        <w:rPr>
          <w:sz w:val="29"/>
          <w:szCs w:val="29"/>
          <w:spacing w:val="5"/>
        </w:rPr>
        <w:t>的适时浇水；</w:t>
      </w:r>
    </w:p>
    <w:p>
      <w:pPr>
        <w:pStyle w:val="BodyText"/>
        <w:ind w:right="371" w:firstLine="730"/>
        <w:spacing w:before="112" w:line="286" w:lineRule="auto"/>
        <w:rPr>
          <w:sz w:val="29"/>
          <w:szCs w:val="29"/>
        </w:rPr>
      </w:pPr>
      <w:r>
        <w:rPr>
          <w:sz w:val="29"/>
          <w:szCs w:val="29"/>
          <w:spacing w:val="7"/>
        </w:rPr>
        <w:t>(2)施肥：10月中旬追施1次有机复合肥(有机质含量45  以上),草坪上施</w:t>
      </w:r>
      <w:r>
        <w:rPr>
          <w:sz w:val="29"/>
          <w:szCs w:val="29"/>
          <w:spacing w:val="11"/>
        </w:rPr>
        <w:t xml:space="preserve"> </w:t>
      </w:r>
      <w:r>
        <w:rPr>
          <w:sz w:val="29"/>
          <w:szCs w:val="29"/>
          <w:spacing w:val="7"/>
        </w:rPr>
        <w:t>用完全肥料(均衡型肥料)或高磷钾肥料，以促进草坪草根群强大，增强其抗病</w:t>
      </w:r>
      <w:r>
        <w:rPr>
          <w:sz w:val="29"/>
          <w:szCs w:val="29"/>
          <w:spacing w:val="14"/>
        </w:rPr>
        <w:t xml:space="preserve"> </w:t>
      </w:r>
      <w:r>
        <w:rPr>
          <w:sz w:val="29"/>
          <w:szCs w:val="29"/>
          <w:spacing w:val="-1"/>
        </w:rPr>
        <w:t>能力和越冬能力。</w:t>
      </w:r>
    </w:p>
    <w:p>
      <w:pPr>
        <w:pStyle w:val="BodyText"/>
        <w:ind w:left="590"/>
        <w:spacing w:before="183"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left="730"/>
        <w:spacing w:before="104" w:line="219" w:lineRule="auto"/>
        <w:rPr>
          <w:sz w:val="29"/>
          <w:szCs w:val="29"/>
        </w:rPr>
      </w:pPr>
      <w:r>
        <w:rPr>
          <w:sz w:val="29"/>
          <w:szCs w:val="29"/>
          <w:spacing w:val="5"/>
        </w:rPr>
        <w:t>(1)病害：白粉病、叶斑类病害、锈病、叶枯病、干腐病、冠瘿病等；</w:t>
      </w:r>
    </w:p>
    <w:p>
      <w:pPr>
        <w:pStyle w:val="BodyText"/>
        <w:ind w:right="490" w:firstLine="730"/>
        <w:spacing w:before="166" w:line="259" w:lineRule="auto"/>
        <w:rPr>
          <w:sz w:val="29"/>
          <w:szCs w:val="29"/>
        </w:rPr>
      </w:pPr>
      <w:r>
        <w:rPr>
          <w:sz w:val="29"/>
          <w:szCs w:val="29"/>
          <w:spacing w:val="5"/>
        </w:rPr>
        <w:t>(2)虫害：大青叶蝉、桃粉蚜、桃瘤蚜、柑桔全爪螨、桔</w:t>
      </w:r>
      <w:r>
        <w:rPr>
          <w:sz w:val="29"/>
          <w:szCs w:val="29"/>
          <w:spacing w:val="4"/>
        </w:rPr>
        <w:t>绿粉虱、白蚁、</w:t>
      </w:r>
      <w:r>
        <w:rPr>
          <w:sz w:val="29"/>
          <w:szCs w:val="29"/>
        </w:rPr>
        <w:t xml:space="preserve"> </w:t>
      </w:r>
      <w:r>
        <w:rPr>
          <w:sz w:val="29"/>
          <w:szCs w:val="29"/>
          <w:spacing w:val="2"/>
        </w:rPr>
        <w:t>铜绿丽金龟、褐边绿刺蛾、丝棉木金星尺蛾、柑桔</w:t>
      </w:r>
      <w:r>
        <w:rPr>
          <w:sz w:val="29"/>
          <w:szCs w:val="29"/>
          <w:spacing w:val="1"/>
        </w:rPr>
        <w:t>凤蝶、玉带凤蝶等。</w:t>
      </w:r>
    </w:p>
    <w:p>
      <w:pPr>
        <w:pStyle w:val="BodyText"/>
        <w:ind w:left="590"/>
        <w:spacing w:before="15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49" w:firstLine="730"/>
        <w:spacing w:before="10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46" w:line="260"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730"/>
        <w:spacing w:before="186" w:line="219" w:lineRule="auto"/>
        <w:rPr>
          <w:sz w:val="29"/>
          <w:szCs w:val="29"/>
        </w:rPr>
      </w:pPr>
      <w:r>
        <w:rPr>
          <w:sz w:val="29"/>
          <w:szCs w:val="29"/>
          <w:spacing w:val="8"/>
        </w:rPr>
        <w:t>(3)制作防寒设施产生的垃圾做到随时产生随时清</w:t>
      </w:r>
      <w:r>
        <w:rPr>
          <w:sz w:val="29"/>
          <w:szCs w:val="29"/>
          <w:spacing w:val="7"/>
        </w:rPr>
        <w:t>理。</w:t>
      </w:r>
    </w:p>
    <w:p>
      <w:pPr>
        <w:ind w:left="590"/>
        <w:spacing w:before="8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spacing w:before="14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90"/>
        <w:spacing w:before="10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10" w:firstLine="590"/>
        <w:spacing w:before="15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62"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90"/>
        <w:spacing w:before="155" w:line="219" w:lineRule="auto"/>
        <w:rPr>
          <w:sz w:val="29"/>
          <w:szCs w:val="29"/>
        </w:rPr>
      </w:pPr>
      <w:r>
        <w:rPr>
          <w:sz w:val="29"/>
          <w:szCs w:val="29"/>
          <w:spacing w:val="4"/>
        </w:rPr>
        <w:t>气温下降，冬季风开始盛行，空气比较干燥，湿度小</w:t>
      </w:r>
      <w:r>
        <w:rPr>
          <w:sz w:val="29"/>
          <w:szCs w:val="29"/>
          <w:spacing w:val="3"/>
        </w:rPr>
        <w:t>，月雨量较小。</w:t>
      </w:r>
    </w:p>
    <w:p>
      <w:pPr>
        <w:pStyle w:val="BodyText"/>
        <w:ind w:left="590"/>
        <w:spacing w:before="115"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34" w:line="219" w:lineRule="auto"/>
        <w:rPr>
          <w:sz w:val="29"/>
          <w:szCs w:val="29"/>
        </w:rPr>
      </w:pPr>
      <w:r>
        <w:rPr>
          <w:sz w:val="29"/>
          <w:szCs w:val="29"/>
          <w:spacing w:val="1"/>
        </w:rPr>
        <w:t>及时检查乔木支撑情况，发现松动或缺失立即加固。</w:t>
      </w:r>
    </w:p>
    <w:p>
      <w:pPr>
        <w:ind w:left="590"/>
        <w:spacing w:before="93"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left="590"/>
        <w:spacing w:before="144" w:line="219" w:lineRule="auto"/>
        <w:rPr>
          <w:sz w:val="29"/>
          <w:szCs w:val="29"/>
        </w:rPr>
      </w:pPr>
      <w:r>
        <w:rPr>
          <w:sz w:val="29"/>
          <w:szCs w:val="29"/>
          <w:spacing w:val="2"/>
        </w:rPr>
        <w:t>剪去病枝，枯枝、有虫卵枝及竞争枝、过密枝、萌蘖枝等。进行修剪行道树</w:t>
      </w:r>
    </w:p>
    <w:p>
      <w:pPr>
        <w:spacing w:line="219" w:lineRule="auto"/>
        <w:sectPr>
          <w:footerReference w:type="default" r:id="rId649"/>
          <w:pgSz w:w="14490" w:h="20470"/>
          <w:pgMar w:top="400" w:right="1825" w:bottom="1447" w:left="2150" w:header="0" w:footer="1231"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460"/>
        <w:spacing w:before="94" w:line="308" w:lineRule="auto"/>
        <w:rPr>
          <w:sz w:val="29"/>
          <w:szCs w:val="29"/>
        </w:rPr>
      </w:pPr>
      <w:r>
        <w:rPr>
          <w:sz w:val="29"/>
          <w:szCs w:val="29"/>
          <w:spacing w:val="-11"/>
        </w:rPr>
        <w:t>时，操作时要严格掌握操作规程和技术要求。注意安全。</w:t>
      </w:r>
      <w:r>
        <w:rPr>
          <w:sz w:val="29"/>
          <w:szCs w:val="29"/>
          <w:spacing w:val="-12"/>
        </w:rPr>
        <w:t>在本地耐寒性弱的苗木要</w:t>
      </w:r>
      <w:r>
        <w:rPr>
          <w:sz w:val="29"/>
          <w:szCs w:val="29"/>
        </w:rPr>
        <w:t xml:space="preserve"> </w:t>
      </w:r>
      <w:r>
        <w:rPr>
          <w:sz w:val="29"/>
          <w:szCs w:val="29"/>
        </w:rPr>
        <w:t>在回暖后修剪。</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left="570"/>
        <w:spacing w:before="106" w:line="219" w:lineRule="auto"/>
        <w:rPr>
          <w:sz w:val="29"/>
          <w:szCs w:val="29"/>
        </w:rPr>
      </w:pPr>
      <w:r>
        <w:rPr>
          <w:sz w:val="29"/>
          <w:szCs w:val="29"/>
          <w:spacing w:val="1"/>
        </w:rPr>
        <w:t>浇水：根据天气情况浇水，对不耐干旱植物进行重点浇水。</w:t>
      </w:r>
    </w:p>
    <w:p>
      <w:pPr>
        <w:pStyle w:val="BodyText"/>
        <w:ind w:left="570"/>
        <w:spacing w:before="12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25" w:line="219" w:lineRule="auto"/>
        <w:rPr>
          <w:sz w:val="29"/>
          <w:szCs w:val="29"/>
        </w:rPr>
      </w:pPr>
      <w:r>
        <w:rPr>
          <w:sz w:val="29"/>
          <w:szCs w:val="29"/>
          <w:spacing w:val="7"/>
        </w:rPr>
        <w:t>(1)病害：白粉病、叶斑类病害、叶枯病等；</w:t>
      </w:r>
    </w:p>
    <w:p>
      <w:pPr>
        <w:pStyle w:val="BodyText"/>
        <w:ind w:left="730"/>
        <w:spacing w:before="163" w:line="219" w:lineRule="auto"/>
        <w:rPr>
          <w:sz w:val="29"/>
          <w:szCs w:val="29"/>
        </w:rPr>
      </w:pPr>
      <w:r>
        <w:rPr>
          <w:sz w:val="29"/>
          <w:szCs w:val="29"/>
          <w:spacing w:val="7"/>
        </w:rPr>
        <w:t>(2)虫害：大青叶蝉、桃粉蚜、柑桔全爪</w:t>
      </w:r>
      <w:r>
        <w:rPr>
          <w:sz w:val="29"/>
          <w:szCs w:val="29"/>
          <w:spacing w:val="6"/>
        </w:rPr>
        <w:t>螨、桔绿粉虱、白蚁等。</w:t>
      </w:r>
    </w:p>
    <w:p>
      <w:pPr>
        <w:pStyle w:val="BodyText"/>
        <w:ind w:left="570"/>
        <w:spacing w:before="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145"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23" w:firstLine="730"/>
        <w:spacing w:before="13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8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spacing w:before="10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90" w:firstLine="570"/>
        <w:spacing w:before="154"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line="368" w:lineRule="exact"/>
        <w:rPr>
          <w:rFonts w:ascii="SimHei" w:hAnsi="SimHei" w:eastAsia="SimHei" w:cs="SimHei"/>
          <w:sz w:val="27"/>
          <w:szCs w:val="27"/>
        </w:rPr>
      </w:pPr>
      <w:r>
        <w:rPr>
          <w:rFonts w:ascii="Arial" w:hAnsi="Arial" w:eastAsia="Arial" w:cs="Arial"/>
          <w:sz w:val="27"/>
          <w:szCs w:val="27"/>
          <w:spacing w:val="5"/>
          <w:position w:val="1"/>
        </w:rPr>
        <w:t>8</w:t>
      </w:r>
      <w:r>
        <w:rPr>
          <w:sz w:val="27"/>
          <w:szCs w:val="27"/>
          <w:spacing w:val="5"/>
          <w:position w:val="1"/>
        </w:rPr>
        <w:t>、</w:t>
      </w:r>
      <w:r>
        <w:rPr>
          <w:sz w:val="27"/>
          <w:szCs w:val="27"/>
          <w:spacing w:val="-65"/>
          <w:position w:val="1"/>
        </w:rPr>
        <w:t xml:space="preserve"> </w:t>
      </w:r>
      <w:r>
        <w:rPr>
          <w:rFonts w:ascii="SimHei" w:hAnsi="SimHei" w:eastAsia="SimHei" w:cs="SimHei"/>
          <w:sz w:val="27"/>
          <w:szCs w:val="27"/>
          <w:spacing w:val="5"/>
          <w:position w:val="1"/>
        </w:rPr>
        <w:t>防寒</w:t>
      </w:r>
    </w:p>
    <w:p>
      <w:pPr>
        <w:pStyle w:val="BodyText"/>
        <w:ind w:right="460" w:firstLine="570"/>
        <w:spacing w:before="92" w:line="327" w:lineRule="auto"/>
        <w:rPr>
          <w:sz w:val="29"/>
          <w:szCs w:val="29"/>
        </w:rPr>
      </w:pPr>
      <w:r>
        <w:rPr>
          <w:sz w:val="29"/>
          <w:szCs w:val="29"/>
          <w:spacing w:val="-3"/>
        </w:rPr>
        <w:t>根据天气情况在十一月下旬开始陆续对乔灌木进行防寒。</w:t>
      </w:r>
      <w:r>
        <w:rPr>
          <w:sz w:val="29"/>
          <w:szCs w:val="29"/>
          <w:spacing w:val="-4"/>
        </w:rPr>
        <w:t>温度出现突降，做</w:t>
      </w:r>
      <w:r>
        <w:rPr>
          <w:sz w:val="29"/>
          <w:szCs w:val="29"/>
        </w:rPr>
        <w:t xml:space="preserve"> </w:t>
      </w:r>
      <w:r>
        <w:rPr>
          <w:sz w:val="29"/>
          <w:szCs w:val="29"/>
          <w:spacing w:val="-1"/>
        </w:rPr>
        <w:t>好时花防寒。</w:t>
      </w:r>
    </w:p>
    <w:p>
      <w:pPr>
        <w:spacing w:before="6" w:line="223" w:lineRule="auto"/>
        <w:rPr>
          <w:rFonts w:ascii="SimHei" w:hAnsi="SimHei" w:eastAsia="SimHei" w:cs="SimHei"/>
          <w:sz w:val="32"/>
          <w:szCs w:val="32"/>
        </w:rPr>
      </w:pPr>
      <w:r>
        <w:rPr>
          <w:rFonts w:ascii="SimHei" w:hAnsi="SimHei" w:eastAsia="SimHei" w:cs="SimHei"/>
          <w:sz w:val="32"/>
          <w:szCs w:val="32"/>
          <w:spacing w:val="-21"/>
        </w:rPr>
        <w:t>十二月份</w:t>
      </w:r>
    </w:p>
    <w:p>
      <w:pPr>
        <w:pStyle w:val="BodyText"/>
        <w:ind w:left="570"/>
        <w:spacing w:before="152" w:line="219" w:lineRule="auto"/>
        <w:rPr>
          <w:sz w:val="29"/>
          <w:szCs w:val="29"/>
        </w:rPr>
      </w:pPr>
      <w:r>
        <w:rPr>
          <w:sz w:val="29"/>
          <w:szCs w:val="29"/>
          <w:spacing w:val="5"/>
        </w:rPr>
        <w:t>低温，常有雪、霜、冰冻和寒潮大风等天气发生，开始冬季养护工</w:t>
      </w:r>
      <w:r>
        <w:rPr>
          <w:sz w:val="29"/>
          <w:szCs w:val="29"/>
          <w:spacing w:val="4"/>
        </w:rPr>
        <w:t>作。</w:t>
      </w:r>
    </w:p>
    <w:p>
      <w:pPr>
        <w:pStyle w:val="BodyText"/>
        <w:ind w:left="570"/>
        <w:spacing w:before="13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23" w:line="219" w:lineRule="auto"/>
        <w:rPr>
          <w:sz w:val="29"/>
          <w:szCs w:val="29"/>
        </w:rPr>
      </w:pPr>
      <w:r>
        <w:rPr>
          <w:sz w:val="29"/>
          <w:szCs w:val="29"/>
          <w:spacing w:val="6"/>
        </w:rPr>
        <w:t>(1)检查防寒设施的完好情况，发现破损立即修补；</w:t>
      </w:r>
    </w:p>
    <w:p>
      <w:pPr>
        <w:pStyle w:val="BodyText"/>
        <w:ind w:left="730"/>
        <w:spacing w:before="136" w:line="219" w:lineRule="auto"/>
        <w:rPr>
          <w:sz w:val="29"/>
          <w:szCs w:val="29"/>
        </w:rPr>
      </w:pPr>
      <w:r>
        <w:rPr>
          <w:sz w:val="29"/>
          <w:szCs w:val="29"/>
          <w:spacing w:val="6"/>
        </w:rPr>
        <w:t>(2)及时检查乔木支撑情况，发现松动或缺失立即加固；</w:t>
      </w:r>
    </w:p>
    <w:p>
      <w:pPr>
        <w:pStyle w:val="BodyText"/>
        <w:ind w:left="730"/>
        <w:spacing w:before="126" w:line="219" w:lineRule="auto"/>
        <w:rPr>
          <w:sz w:val="29"/>
          <w:szCs w:val="29"/>
        </w:rPr>
      </w:pPr>
      <w:r>
        <w:rPr>
          <w:sz w:val="29"/>
          <w:szCs w:val="29"/>
        </w:rPr>
        <w:t>(3)</w:t>
      </w:r>
      <w:r>
        <w:rPr>
          <w:sz w:val="29"/>
          <w:szCs w:val="29"/>
          <w:spacing w:val="72"/>
        </w:rPr>
        <w:t xml:space="preserve"> </w:t>
      </w:r>
      <w:r>
        <w:rPr>
          <w:sz w:val="29"/>
          <w:szCs w:val="29"/>
        </w:rPr>
        <w:t>雪后及时清理常绿乔木上的积雪，避</w:t>
      </w:r>
      <w:r>
        <w:rPr>
          <w:sz w:val="29"/>
          <w:szCs w:val="29"/>
          <w:spacing w:val="-1"/>
        </w:rPr>
        <w:t>免对树枝造成伤害。</w:t>
      </w:r>
    </w:p>
    <w:p>
      <w:pPr>
        <w:pStyle w:val="BodyText"/>
        <w:ind w:left="570"/>
        <w:spacing w:before="13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150" w:firstLine="570"/>
        <w:spacing w:before="146" w:line="310" w:lineRule="auto"/>
        <w:rPr>
          <w:sz w:val="29"/>
          <w:szCs w:val="29"/>
        </w:rPr>
      </w:pPr>
      <w:r>
        <w:rPr>
          <w:sz w:val="29"/>
          <w:szCs w:val="29"/>
          <w:spacing w:val="-11"/>
        </w:rPr>
        <w:t>剪去病枝，枯枝、有虫卵枝及竞争枝、过密枝、萌蘖枝等。进行修剪行道树时，</w:t>
      </w:r>
      <w:r>
        <w:rPr>
          <w:sz w:val="29"/>
          <w:szCs w:val="29"/>
          <w:spacing w:val="8"/>
        </w:rPr>
        <w:t xml:space="preserve"> </w:t>
      </w:r>
      <w:r>
        <w:rPr>
          <w:sz w:val="29"/>
          <w:szCs w:val="29"/>
          <w:spacing w:val="-9"/>
        </w:rPr>
        <w:t>操作时要严格掌握操作规程和技术要求。注意安全。在本地耐寒性弱的苗木要在回</w:t>
      </w:r>
      <w:r>
        <w:rPr>
          <w:sz w:val="29"/>
          <w:szCs w:val="29"/>
          <w:spacing w:val="6"/>
        </w:rPr>
        <w:t xml:space="preserve">  </w:t>
      </w:r>
      <w:r>
        <w:rPr>
          <w:sz w:val="29"/>
          <w:szCs w:val="29"/>
          <w:spacing w:val="-5"/>
        </w:rPr>
        <w:t>暖后修剪。</w:t>
      </w:r>
    </w:p>
    <w:p>
      <w:pPr>
        <w:pStyle w:val="BodyText"/>
        <w:ind w:left="570"/>
        <w:spacing w:before="6"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right="493" w:firstLine="570"/>
        <w:spacing w:before="99" w:line="320" w:lineRule="auto"/>
        <w:rPr>
          <w:sz w:val="29"/>
          <w:szCs w:val="29"/>
        </w:rPr>
      </w:pPr>
      <w:r>
        <w:rPr>
          <w:sz w:val="29"/>
          <w:szCs w:val="29"/>
          <w:spacing w:val="-12"/>
        </w:rPr>
        <w:t>11月下旬-12月上旬当地气温低于5℃前浇灌冻水。在封冻前完成冬灌工作，并</w:t>
      </w:r>
      <w:r>
        <w:rPr>
          <w:sz w:val="29"/>
          <w:szCs w:val="29"/>
          <w:spacing w:val="14"/>
        </w:rPr>
        <w:t xml:space="preserve"> </w:t>
      </w:r>
      <w:r>
        <w:rPr>
          <w:sz w:val="29"/>
          <w:szCs w:val="29"/>
          <w:spacing w:val="-3"/>
        </w:rPr>
        <w:t>在浇完冻水后封树穴。</w:t>
      </w:r>
    </w:p>
    <w:p>
      <w:pPr>
        <w:spacing w:line="320" w:lineRule="auto"/>
        <w:sectPr>
          <w:footerReference w:type="default" r:id="rId650"/>
          <w:pgSz w:w="14490" w:h="20470"/>
          <w:pgMar w:top="400" w:right="1844" w:bottom="1447" w:left="2150" w:header="0" w:footer="1231"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60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600"/>
        <w:spacing w:before="125" w:line="219" w:lineRule="auto"/>
        <w:rPr>
          <w:sz w:val="29"/>
          <w:szCs w:val="29"/>
        </w:rPr>
      </w:pPr>
      <w:r>
        <w:rPr>
          <w:sz w:val="29"/>
          <w:szCs w:val="29"/>
        </w:rPr>
        <w:t>及时清除越冬虫蛹或茧，减少害虫。</w:t>
      </w:r>
    </w:p>
    <w:p>
      <w:pPr>
        <w:pStyle w:val="BodyText"/>
        <w:ind w:left="600"/>
        <w:spacing w:before="66"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43" w:line="262"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4"/>
        </w:rPr>
        <w:t>池、灯杆、垃圾桶保持干净；</w:t>
      </w:r>
    </w:p>
    <w:p>
      <w:pPr>
        <w:pStyle w:val="BodyText"/>
        <w:ind w:right="313" w:firstLine="730"/>
        <w:spacing w:before="14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7"/>
        </w:rPr>
        <w:t>售展示区)进行彻底清理；</w:t>
      </w:r>
    </w:p>
    <w:p>
      <w:pPr>
        <w:pStyle w:val="BodyText"/>
        <w:ind w:right="281" w:firstLine="730"/>
        <w:spacing w:before="164" w:line="275" w:lineRule="auto"/>
        <w:rPr>
          <w:sz w:val="29"/>
          <w:szCs w:val="29"/>
        </w:rPr>
      </w:pPr>
      <w:r>
        <w:rPr>
          <w:sz w:val="29"/>
          <w:szCs w:val="29"/>
          <w:spacing w:val="8"/>
        </w:rPr>
        <w:t>(3)遇到下雪天气，小雪务必当天清完，大雪在当天务</w:t>
      </w:r>
      <w:r>
        <w:rPr>
          <w:sz w:val="29"/>
          <w:szCs w:val="29"/>
          <w:spacing w:val="7"/>
        </w:rPr>
        <w:t>必将大门至各个单</w:t>
      </w:r>
      <w:r>
        <w:rPr>
          <w:sz w:val="29"/>
          <w:szCs w:val="29"/>
        </w:rPr>
        <w:t xml:space="preserve"> </w:t>
      </w:r>
      <w:r>
        <w:rPr>
          <w:sz w:val="29"/>
          <w:szCs w:val="29"/>
          <w:spacing w:val="-5"/>
        </w:rPr>
        <w:t>元门及销售中心清理完毕，剩余残雪在3天内清理完毕，沿路两侧要堆雪造型；冰</w:t>
      </w:r>
      <w:r>
        <w:rPr>
          <w:sz w:val="29"/>
          <w:szCs w:val="29"/>
          <w:spacing w:val="7"/>
        </w:rPr>
        <w:t xml:space="preserve"> </w:t>
      </w:r>
      <w:r>
        <w:rPr>
          <w:sz w:val="29"/>
          <w:szCs w:val="29"/>
          <w:spacing w:val="-1"/>
        </w:rPr>
        <w:t>雪融化后露出的垃圾、废弃物的全面清理。</w:t>
      </w:r>
    </w:p>
    <w:p>
      <w:pPr>
        <w:ind w:left="600"/>
        <w:spacing w:before="216" w:line="222" w:lineRule="auto"/>
        <w:rPr>
          <w:rFonts w:ascii="SimHei" w:hAnsi="SimHei" w:eastAsia="SimHei" w:cs="SimHei"/>
          <w:sz w:val="29"/>
          <w:szCs w:val="29"/>
        </w:rPr>
      </w:pPr>
      <w:r>
        <w:rPr>
          <w:rFonts w:ascii="SimHei" w:hAnsi="SimHei" w:eastAsia="SimHei" w:cs="SimHei"/>
          <w:sz w:val="29"/>
          <w:szCs w:val="29"/>
          <w:spacing w:val="7"/>
        </w:rPr>
        <w:t>6、时花摆放</w:t>
      </w:r>
    </w:p>
    <w:p>
      <w:pPr>
        <w:pStyle w:val="BodyText"/>
        <w:ind w:left="730"/>
        <w:spacing w:before="81"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9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ind w:right="321" w:firstLine="730"/>
        <w:spacing w:before="154" w:line="266"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right="321" w:firstLine="730"/>
        <w:spacing w:before="154" w:line="268" w:lineRule="auto"/>
        <w:rPr>
          <w:sz w:val="29"/>
          <w:szCs w:val="29"/>
        </w:rPr>
      </w:pPr>
      <w:r>
        <w:rPr>
          <w:sz w:val="29"/>
          <w:szCs w:val="29"/>
          <w:spacing w:val="2"/>
        </w:rPr>
        <w:t>(2)根据现场的实际情况，申请购置翌年1、2、3月份的农药、化肥、营养 </w:t>
      </w:r>
      <w:r>
        <w:rPr>
          <w:sz w:val="29"/>
          <w:szCs w:val="29"/>
          <w:spacing w:val="-2"/>
        </w:rPr>
        <w:t>剂及其它物资。</w:t>
      </w:r>
    </w:p>
    <w:p>
      <w:pPr>
        <w:pStyle w:val="BodyText"/>
        <w:ind w:left="600"/>
        <w:spacing w:before="123"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firstLine="600"/>
        <w:spacing w:before="109" w:line="314" w:lineRule="auto"/>
        <w:rPr>
          <w:sz w:val="29"/>
          <w:szCs w:val="29"/>
        </w:rPr>
      </w:pPr>
      <w:r>
        <w:rPr>
          <w:sz w:val="29"/>
          <w:szCs w:val="29"/>
          <w:spacing w:val="-2"/>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14" w:lineRule="auto"/>
        <w:sectPr>
          <w:footerReference w:type="default" r:id="rId651"/>
          <w:pgSz w:w="14490" w:h="20470"/>
          <w:pgMar w:top="400" w:right="1935" w:bottom="1447" w:left="2150" w:header="0" w:footer="1231" w:gutter="0"/>
        </w:sectPr>
        <w:rPr>
          <w:sz w:val="29"/>
          <w:szCs w:val="29"/>
        </w:rPr>
      </w:pP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ind w:left="4049"/>
        <w:spacing w:before="98" w:line="221" w:lineRule="auto"/>
        <w:outlineLvl w:val="1"/>
        <w:rPr>
          <w:rFonts w:ascii="SimHei" w:hAnsi="SimHei" w:eastAsia="SimHei" w:cs="SimHei"/>
          <w:sz w:val="30"/>
          <w:szCs w:val="30"/>
        </w:rPr>
      </w:pPr>
      <w:bookmarkStart w:name="bookmark135" w:id="127"/>
      <w:bookmarkEnd w:id="127"/>
      <w:bookmarkStart w:name="bookmark71" w:id="128"/>
      <w:bookmarkEnd w:id="128"/>
      <w:r>
        <w:rPr>
          <w:rFonts w:ascii="SimHei" w:hAnsi="SimHei" w:eastAsia="SimHei" w:cs="SimHei"/>
          <w:sz w:val="30"/>
          <w:szCs w:val="30"/>
          <w:spacing w:val="-6"/>
        </w:rPr>
        <w:t>湖南、江西地区</w:t>
      </w:r>
    </w:p>
    <w:p>
      <w:pPr>
        <w:pStyle w:val="BodyText"/>
        <w:ind w:left="4"/>
        <w:spacing w:before="174" w:line="223" w:lineRule="auto"/>
        <w:rPr>
          <w:rFonts w:ascii="SimHei" w:hAnsi="SimHei" w:eastAsia="SimHei" w:cs="SimHei"/>
          <w:sz w:val="30"/>
          <w:szCs w:val="30"/>
        </w:rPr>
      </w:pPr>
      <w:r>
        <w:rPr>
          <w:sz w:val="30"/>
          <w:szCs w:val="30"/>
          <w:b/>
          <w:bCs/>
          <w:spacing w:val="-13"/>
        </w:rPr>
        <w:t>一、</w:t>
      </w:r>
      <w:r>
        <w:rPr>
          <w:rFonts w:ascii="SimHei" w:hAnsi="SimHei" w:eastAsia="SimHei" w:cs="SimHei"/>
          <w:sz w:val="30"/>
          <w:szCs w:val="30"/>
          <w:spacing w:val="-13"/>
        </w:rPr>
        <w:t>二月份</w:t>
      </w:r>
    </w:p>
    <w:p>
      <w:pPr>
        <w:pStyle w:val="BodyText"/>
        <w:ind w:left="570"/>
        <w:spacing w:before="146" w:line="219" w:lineRule="auto"/>
        <w:rPr>
          <w:sz w:val="29"/>
          <w:szCs w:val="29"/>
        </w:rPr>
      </w:pPr>
      <w:r>
        <w:rPr>
          <w:sz w:val="29"/>
          <w:szCs w:val="29"/>
          <w:spacing w:val="5"/>
        </w:rPr>
        <w:t>全年中气温最低的月份，重点是保洁和防寒。</w:t>
      </w:r>
    </w:p>
    <w:p>
      <w:pPr>
        <w:pStyle w:val="BodyText"/>
        <w:ind w:left="570"/>
        <w:spacing w:before="24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4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(2)及时检查乔木支撑情况，发现松动或缺失立即加固；</w:t>
      </w:r>
    </w:p>
    <w:p>
      <w:pPr>
        <w:pStyle w:val="BodyText"/>
        <w:ind w:left="730"/>
        <w:spacing w:before="156" w:line="219" w:lineRule="auto"/>
        <w:rPr>
          <w:sz w:val="29"/>
          <w:szCs w:val="29"/>
        </w:rPr>
      </w:pPr>
      <w:r>
        <w:rPr>
          <w:sz w:val="29"/>
          <w:szCs w:val="29"/>
          <w:spacing w:val="-2"/>
        </w:rPr>
        <w:t>(3)</w:t>
      </w:r>
      <w:r>
        <w:rPr>
          <w:sz w:val="29"/>
          <w:szCs w:val="29"/>
          <w:spacing w:val="73"/>
        </w:rPr>
        <w:t xml:space="preserve"> </w:t>
      </w:r>
      <w:r>
        <w:rPr>
          <w:sz w:val="29"/>
          <w:szCs w:val="29"/>
          <w:spacing w:val="-2"/>
        </w:rPr>
        <w:t>及时清理雪后树木上积雪，避免对树枝造成伤害；</w:t>
      </w:r>
    </w:p>
    <w:p>
      <w:pPr>
        <w:pStyle w:val="BodyText"/>
        <w:ind w:left="730"/>
        <w:spacing w:before="156" w:line="219" w:lineRule="auto"/>
        <w:rPr>
          <w:sz w:val="29"/>
          <w:szCs w:val="29"/>
        </w:rPr>
      </w:pPr>
      <w:r>
        <w:rPr>
          <w:sz w:val="29"/>
          <w:szCs w:val="29"/>
          <w:spacing w:val="8"/>
        </w:rPr>
        <w:t>(4)检查苗木的损伤情况，及时除去断裂枝。</w:t>
      </w:r>
    </w:p>
    <w:p>
      <w:pPr>
        <w:ind w:left="570"/>
        <w:spacing w:before="9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431" w:firstLine="730"/>
        <w:spacing w:before="131" w:line="321" w:lineRule="auto"/>
        <w:rPr>
          <w:sz w:val="29"/>
          <w:szCs w:val="29"/>
        </w:rPr>
      </w:pPr>
      <w:r>
        <w:rPr>
          <w:sz w:val="29"/>
          <w:szCs w:val="29"/>
          <w:spacing w:val="-3"/>
        </w:rPr>
        <w:t>(①  对非新植乔木进行冬季修剪，剪去枯枝、病虫枝、重叠枝等，直径大</w:t>
      </w:r>
      <w:r>
        <w:rPr>
          <w:sz w:val="29"/>
          <w:szCs w:val="29"/>
          <w:spacing w:val="9"/>
        </w:rPr>
        <w:t xml:space="preserve"> </w:t>
      </w:r>
      <w:r>
        <w:rPr>
          <w:sz w:val="29"/>
          <w:szCs w:val="29"/>
          <w:spacing w:val="-12"/>
        </w:rPr>
        <w:t>于3</w:t>
      </w:r>
      <w:r>
        <w:rPr>
          <w:rFonts w:ascii="Times New Roman" w:hAnsi="Times New Roman" w:eastAsia="Times New Roman" w:cs="Times New Roman"/>
          <w:sz w:val="29"/>
          <w:szCs w:val="29"/>
          <w:spacing w:val="-12"/>
        </w:rPr>
        <w:t>cm</w:t>
      </w:r>
      <w:r>
        <w:rPr>
          <w:sz w:val="29"/>
          <w:szCs w:val="29"/>
          <w:spacing w:val="-12"/>
        </w:rPr>
        <w:t>的枝条涂愈伤涂膜剂，及时清除修剪产生的</w:t>
      </w:r>
      <w:r>
        <w:rPr>
          <w:sz w:val="29"/>
          <w:szCs w:val="29"/>
          <w:spacing w:val="-13"/>
        </w:rPr>
        <w:t>垃圾；</w:t>
      </w:r>
    </w:p>
    <w:p>
      <w:pPr>
        <w:pStyle w:val="BodyText"/>
        <w:ind w:left="730"/>
        <w:spacing w:before="1" w:line="217" w:lineRule="auto"/>
        <w:rPr>
          <w:sz w:val="29"/>
          <w:szCs w:val="29"/>
        </w:rPr>
      </w:pPr>
      <w:r>
        <w:rPr>
          <w:sz w:val="29"/>
          <w:szCs w:val="29"/>
          <w:spacing w:val="-3"/>
        </w:rPr>
        <w:t>②</w:t>
      </w:r>
      <w:r>
        <w:rPr>
          <w:sz w:val="29"/>
          <w:szCs w:val="29"/>
          <w:spacing w:val="40"/>
        </w:rPr>
        <w:t xml:space="preserve">  </w:t>
      </w:r>
      <w:r>
        <w:rPr>
          <w:sz w:val="29"/>
          <w:szCs w:val="29"/>
          <w:spacing w:val="-3"/>
        </w:rPr>
        <w:t>在本地耐寒性弱的苗木要在回暖后修剪。</w:t>
      </w:r>
    </w:p>
    <w:p>
      <w:pPr>
        <w:ind w:left="570"/>
        <w:spacing w:before="80"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618" w:firstLine="570"/>
        <w:spacing w:before="154" w:line="313" w:lineRule="auto"/>
        <w:rPr>
          <w:sz w:val="29"/>
          <w:szCs w:val="29"/>
        </w:rPr>
      </w:pPr>
      <w:r>
        <w:rPr>
          <w:sz w:val="29"/>
          <w:szCs w:val="29"/>
          <w:spacing w:val="-8"/>
        </w:rPr>
        <w:t>严格控制土壤水分，冬季开花植物根据天气适量浇水，对2月下旬、3月上旬</w:t>
      </w:r>
      <w:r>
        <w:rPr>
          <w:sz w:val="29"/>
          <w:szCs w:val="29"/>
          <w:spacing w:val="7"/>
        </w:rPr>
        <w:t xml:space="preserve"> </w:t>
      </w:r>
      <w:r>
        <w:rPr>
          <w:sz w:val="29"/>
          <w:szCs w:val="29"/>
          <w:spacing w:val="1"/>
        </w:rPr>
        <w:t>新芽萌发较早的树种，根据天气状况适时浇水，促进新芽萌动。</w:t>
      </w:r>
    </w:p>
    <w:p>
      <w:pPr>
        <w:pStyle w:val="BodyText"/>
        <w:ind w:left="570"/>
        <w:spacing w:before="5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570"/>
        <w:spacing w:before="85" w:line="219" w:lineRule="auto"/>
        <w:rPr>
          <w:sz w:val="29"/>
          <w:szCs w:val="29"/>
        </w:rPr>
      </w:pPr>
      <w:r>
        <w:rPr>
          <w:sz w:val="29"/>
          <w:szCs w:val="29"/>
          <w:spacing w:val="-1"/>
        </w:rPr>
        <w:t>虫害：柑桔全爪螨等。</w:t>
      </w:r>
    </w:p>
    <w:p>
      <w:pPr>
        <w:pStyle w:val="BodyText"/>
        <w:ind w:left="570"/>
        <w:spacing w:before="7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113" w:line="27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2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31" w:firstLine="730"/>
        <w:spacing w:before="166" w:line="281"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1"/>
        </w:rPr>
        <w:t>雪融化后露出的垃圾、废弃物的全面清理。</w:t>
      </w:r>
    </w:p>
    <w:p>
      <w:pPr>
        <w:pStyle w:val="BodyText"/>
        <w:ind w:left="570"/>
        <w:spacing w:before="123"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1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5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41" w:line="396"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right="90" w:firstLine="570"/>
        <w:spacing w:before="148"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1" w:lineRule="auto"/>
        <w:sectPr>
          <w:footerReference w:type="default" r:id="rId652"/>
          <w:pgSz w:w="14490" w:h="20470"/>
          <w:pgMar w:top="400" w:right="1844" w:bottom="1447" w:left="2150" w:header="0" w:footer="1231" w:gutter="0"/>
        </w:sectPr>
        <w:rPr>
          <w:sz w:val="29"/>
          <w:szCs w:val="29"/>
        </w:rPr>
      </w:pPr>
    </w:p>
    <w:p>
      <w:pPr>
        <w:spacing w:line="287"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70"/>
        <w:spacing w:before="149" w:line="219" w:lineRule="auto"/>
        <w:rPr>
          <w:sz w:val="29"/>
          <w:szCs w:val="29"/>
        </w:rPr>
      </w:pPr>
      <w:r>
        <w:rPr>
          <w:sz w:val="29"/>
          <w:szCs w:val="29"/>
          <w:spacing w:val="4"/>
        </w:rPr>
        <w:t>气温多变，冷暖空气交替，低温连阴雨天气较多。</w:t>
      </w:r>
    </w:p>
    <w:p>
      <w:pPr>
        <w:pStyle w:val="BodyText"/>
        <w:ind w:left="570"/>
        <w:spacing w:before="123"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03" w:line="219" w:lineRule="auto"/>
        <w:rPr>
          <w:sz w:val="29"/>
          <w:szCs w:val="29"/>
        </w:rPr>
      </w:pPr>
      <w:r>
        <w:rPr>
          <w:sz w:val="29"/>
          <w:szCs w:val="29"/>
          <w:spacing w:val="1"/>
        </w:rPr>
        <w:t>及时检查乔木支撑情况，发现松动或缺失立即加固。</w:t>
      </w:r>
    </w:p>
    <w:p>
      <w:pPr>
        <w:ind w:left="570"/>
        <w:spacing w:before="12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101" w:firstLine="730"/>
        <w:spacing w:before="131" w:line="267" w:lineRule="auto"/>
        <w:rPr>
          <w:sz w:val="29"/>
          <w:szCs w:val="29"/>
        </w:rPr>
      </w:pPr>
      <w:r>
        <w:rPr>
          <w:sz w:val="29"/>
          <w:szCs w:val="29"/>
          <w:spacing w:val="2"/>
        </w:rPr>
        <w:t>①  乔木修剪：以整形为主，对苗木的折枝</w:t>
      </w:r>
      <w:r>
        <w:rPr>
          <w:sz w:val="29"/>
          <w:szCs w:val="29"/>
          <w:spacing w:val="1"/>
        </w:rPr>
        <w:t>、断枝、枯死枝、内膛枝进行</w:t>
      </w:r>
      <w:r>
        <w:rPr>
          <w:sz w:val="29"/>
          <w:szCs w:val="29"/>
        </w:rPr>
        <w:t xml:space="preserve"> </w:t>
      </w:r>
      <w:r>
        <w:rPr>
          <w:sz w:val="29"/>
          <w:szCs w:val="29"/>
          <w:spacing w:val="-4"/>
        </w:rPr>
        <w:t>修剪并对苗木进行整形修剪，保证乔木树形优美。3月下旬全园区修剪1次；</w:t>
      </w:r>
    </w:p>
    <w:p>
      <w:pPr>
        <w:pStyle w:val="BodyText"/>
        <w:ind w:right="96" w:firstLine="730"/>
        <w:spacing w:before="132" w:line="266" w:lineRule="auto"/>
        <w:rPr>
          <w:sz w:val="29"/>
          <w:szCs w:val="29"/>
        </w:rPr>
      </w:pPr>
      <w:r>
        <w:rPr>
          <w:sz w:val="29"/>
          <w:szCs w:val="29"/>
          <w:spacing w:val="2"/>
        </w:rPr>
        <w:t>②  灌木、地被修剪：对生长过量的地被小灌木、绿篱及</w:t>
      </w:r>
      <w:r>
        <w:rPr>
          <w:sz w:val="29"/>
          <w:szCs w:val="29"/>
          <w:spacing w:val="1"/>
        </w:rPr>
        <w:t>灌木在新芽刚刚</w:t>
      </w:r>
      <w:r>
        <w:rPr>
          <w:sz w:val="29"/>
          <w:szCs w:val="29"/>
        </w:rPr>
        <w:t xml:space="preserve"> </w:t>
      </w:r>
      <w:r>
        <w:rPr>
          <w:sz w:val="29"/>
          <w:szCs w:val="29"/>
          <w:spacing w:val="-3"/>
        </w:rPr>
        <w:t>开始膨大时进行回缩；</w:t>
      </w:r>
    </w:p>
    <w:p>
      <w:pPr>
        <w:pStyle w:val="BodyText"/>
        <w:ind w:left="730"/>
        <w:spacing w:before="165" w:line="217" w:lineRule="auto"/>
        <w:rPr>
          <w:sz w:val="29"/>
          <w:szCs w:val="29"/>
        </w:rPr>
      </w:pPr>
      <w:r>
        <w:rPr>
          <w:sz w:val="29"/>
          <w:szCs w:val="29"/>
          <w:spacing w:val="-2"/>
        </w:rPr>
        <w:t>③</w:t>
      </w:r>
      <w:r>
        <w:rPr>
          <w:sz w:val="29"/>
          <w:szCs w:val="29"/>
          <w:spacing w:val="36"/>
        </w:rPr>
        <w:t xml:space="preserve">  </w:t>
      </w:r>
      <w:r>
        <w:rPr>
          <w:sz w:val="29"/>
          <w:szCs w:val="29"/>
          <w:spacing w:val="-2"/>
        </w:rPr>
        <w:t>草皮修剪：草坪解除休眠前进行疏除枯草层工</w:t>
      </w:r>
      <w:r>
        <w:rPr>
          <w:sz w:val="29"/>
          <w:szCs w:val="29"/>
          <w:spacing w:val="-3"/>
        </w:rPr>
        <w:t>作；</w:t>
      </w:r>
    </w:p>
    <w:p>
      <w:pPr>
        <w:pStyle w:val="BodyText"/>
        <w:ind w:right="218" w:firstLine="730"/>
        <w:spacing w:before="167" w:line="267" w:lineRule="auto"/>
        <w:rPr>
          <w:sz w:val="29"/>
          <w:szCs w:val="29"/>
        </w:rPr>
      </w:pPr>
      <w:r>
        <w:rPr>
          <w:sz w:val="29"/>
          <w:szCs w:val="29"/>
        </w:rPr>
        <w:t>④</w:t>
      </w:r>
      <w:r>
        <w:rPr>
          <w:sz w:val="29"/>
          <w:szCs w:val="29"/>
          <w:spacing w:val="40"/>
        </w:rPr>
        <w:t xml:space="preserve">  </w:t>
      </w:r>
      <w:r>
        <w:rPr>
          <w:sz w:val="29"/>
          <w:szCs w:val="29"/>
        </w:rPr>
        <w:t>冬季开花植物如腊梅、梅花、茶花等的修剪、清理等工作在花后1-2</w:t>
      </w:r>
      <w:r>
        <w:rPr>
          <w:sz w:val="29"/>
          <w:szCs w:val="29"/>
          <w:spacing w:val="1"/>
        </w:rPr>
        <w:t xml:space="preserve"> </w:t>
      </w:r>
      <w:r>
        <w:rPr>
          <w:sz w:val="29"/>
          <w:szCs w:val="29"/>
          <w:spacing w:val="1"/>
        </w:rPr>
        <w:t>周进行，结合整形进行修剪。</w:t>
      </w:r>
    </w:p>
    <w:p>
      <w:pPr>
        <w:pStyle w:val="BodyText"/>
        <w:ind w:left="570"/>
        <w:spacing w:before="113"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left="730"/>
        <w:spacing w:before="106" w:line="219" w:lineRule="auto"/>
        <w:rPr>
          <w:sz w:val="29"/>
          <w:szCs w:val="29"/>
        </w:rPr>
      </w:pPr>
      <w:r>
        <w:rPr>
          <w:sz w:val="29"/>
          <w:szCs w:val="29"/>
          <w:spacing w:val="1"/>
        </w:rPr>
        <w:t>(1)浇反青水的时间要因地制宜，视土壤和天气情况而定， 一般应在地温</w:t>
      </w:r>
    </w:p>
    <w:p>
      <w:pPr>
        <w:pStyle w:val="BodyText"/>
        <w:spacing w:before="156" w:line="219" w:lineRule="auto"/>
        <w:rPr>
          <w:sz w:val="29"/>
          <w:szCs w:val="29"/>
        </w:rPr>
      </w:pPr>
      <w:r>
        <w:rPr>
          <w:sz w:val="29"/>
          <w:szCs w:val="29"/>
          <w:spacing w:val="-13"/>
        </w:rPr>
        <w:t>超过3度，最好达到5度以后进行，不论乔木灌木返青水1次要浇足浇透</w:t>
      </w:r>
      <w:r>
        <w:rPr>
          <w:sz w:val="29"/>
          <w:szCs w:val="29"/>
          <w:spacing w:val="-14"/>
        </w:rPr>
        <w:t>，这样</w:t>
      </w:r>
    </w:p>
    <w:p>
      <w:pPr>
        <w:pStyle w:val="BodyText"/>
        <w:spacing w:before="158" w:line="219" w:lineRule="auto"/>
        <w:rPr>
          <w:sz w:val="29"/>
          <w:szCs w:val="29"/>
        </w:rPr>
      </w:pPr>
      <w:r>
        <w:rPr>
          <w:sz w:val="29"/>
          <w:szCs w:val="29"/>
          <w:spacing w:val="-1"/>
        </w:rPr>
        <w:t>有利于苗木根系向下生长，切不可水过地皮湿。一般苗木在春季需</w:t>
      </w:r>
      <w:r>
        <w:rPr>
          <w:sz w:val="29"/>
          <w:szCs w:val="29"/>
          <w:spacing w:val="-2"/>
        </w:rPr>
        <w:t>浇2-3次水；</w:t>
      </w:r>
    </w:p>
    <w:p>
      <w:pPr>
        <w:pStyle w:val="BodyText"/>
        <w:ind w:right="222" w:firstLine="730"/>
        <w:spacing w:before="144" w:line="299" w:lineRule="auto"/>
        <w:rPr>
          <w:sz w:val="29"/>
          <w:szCs w:val="29"/>
        </w:rPr>
      </w:pPr>
      <w:r>
        <w:rPr>
          <w:sz w:val="29"/>
          <w:szCs w:val="29"/>
          <w:spacing w:val="6"/>
        </w:rPr>
        <w:t>(2)3月下旬追施一次有机复合肥(有机质含量45  以上)板结区域施松土 </w:t>
      </w:r>
      <w:r>
        <w:rPr>
          <w:sz w:val="29"/>
          <w:szCs w:val="29"/>
          <w:spacing w:val="-6"/>
        </w:rPr>
        <w:t>肥。</w:t>
      </w:r>
    </w:p>
    <w:p>
      <w:pPr>
        <w:pStyle w:val="BodyText"/>
        <w:ind w:left="570"/>
        <w:spacing w:before="2" w:line="220"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45" w:line="219" w:lineRule="auto"/>
        <w:rPr>
          <w:sz w:val="29"/>
          <w:szCs w:val="29"/>
        </w:rPr>
      </w:pPr>
      <w:r>
        <w:rPr>
          <w:sz w:val="29"/>
          <w:szCs w:val="29"/>
          <w:spacing w:val="8"/>
        </w:rPr>
        <w:t>(1)病害：根腐病、流胶病等；</w:t>
      </w:r>
    </w:p>
    <w:p>
      <w:pPr>
        <w:pStyle w:val="BodyText"/>
        <w:ind w:right="46" w:firstLine="730"/>
        <w:spacing w:before="126" w:line="268" w:lineRule="auto"/>
        <w:rPr>
          <w:sz w:val="29"/>
          <w:szCs w:val="29"/>
        </w:rPr>
      </w:pPr>
      <w:r>
        <w:rPr>
          <w:sz w:val="29"/>
          <w:szCs w:val="29"/>
          <w:spacing w:val="8"/>
        </w:rPr>
        <w:t>(2)虫害：杜鹃冠网蝽、柑桔全爪螨、咖啡木蠹蛾</w:t>
      </w:r>
      <w:r>
        <w:rPr>
          <w:sz w:val="29"/>
          <w:szCs w:val="29"/>
          <w:spacing w:val="7"/>
        </w:rPr>
        <w:t>、柏肤小蠹、白蚁、铜</w:t>
      </w:r>
      <w:r>
        <w:rPr>
          <w:sz w:val="29"/>
          <w:szCs w:val="29"/>
        </w:rPr>
        <w:t xml:space="preserve"> </w:t>
      </w:r>
      <w:r>
        <w:rPr>
          <w:sz w:val="29"/>
          <w:szCs w:val="29"/>
        </w:rPr>
        <w:t>绿丽金龟、小地老虎、玉带凤蝶等。</w:t>
      </w:r>
    </w:p>
    <w:p>
      <w:pPr>
        <w:pStyle w:val="BodyText"/>
        <w:ind w:left="570"/>
        <w:spacing w:before="8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101" w:firstLine="730"/>
        <w:spacing w:before="135"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94" w:firstLine="730"/>
        <w:spacing w:before="127" w:line="275"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left="730"/>
        <w:spacing w:before="136" w:line="219" w:lineRule="auto"/>
        <w:rPr>
          <w:sz w:val="29"/>
          <w:szCs w:val="29"/>
        </w:rPr>
      </w:pPr>
      <w:r>
        <w:rPr>
          <w:sz w:val="29"/>
          <w:szCs w:val="29"/>
          <w:spacing w:val="8"/>
        </w:rPr>
        <w:t>(3)气温开始升高，逐步清理淤泥落叶等垃圾。</w:t>
      </w:r>
    </w:p>
    <w:p>
      <w:pPr>
        <w:pStyle w:val="BodyText"/>
        <w:ind w:left="570"/>
        <w:spacing w:before="6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ind w:right="102" w:firstLine="730"/>
        <w:spacing w:before="127"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100" w:firstLine="730"/>
        <w:spacing w:before="150" w:line="271"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5"/>
        </w:rPr>
        <w:t>其它物资。</w:t>
      </w:r>
    </w:p>
    <w:p>
      <w:pPr>
        <w:pStyle w:val="BodyText"/>
        <w:ind w:left="570"/>
        <w:spacing w:before="159"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spacing w:line="221" w:lineRule="auto"/>
        <w:sectPr>
          <w:footerReference w:type="default" r:id="rId653"/>
          <w:pgSz w:w="14490" w:h="20470"/>
          <w:pgMar w:top="400" w:right="2173" w:bottom="1433" w:left="2150" w:header="0" w:footer="1235"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right="140" w:firstLine="570"/>
        <w:spacing w:before="95" w:line="311"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before="11"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防寒拆除</w:t>
      </w:r>
    </w:p>
    <w:p>
      <w:pPr>
        <w:pStyle w:val="BodyText"/>
        <w:ind w:right="596" w:firstLine="730"/>
        <w:spacing w:before="69" w:line="275" w:lineRule="auto"/>
        <w:rPr>
          <w:sz w:val="29"/>
          <w:szCs w:val="29"/>
        </w:rPr>
      </w:pPr>
      <w:r>
        <w:rPr>
          <w:sz w:val="29"/>
          <w:szCs w:val="29"/>
          <w:spacing w:val="7"/>
        </w:rPr>
        <w:t>(1)采取循序渐进的方法分批拆除防寒设施，根据天气情况，3</w:t>
      </w:r>
      <w:r>
        <w:rPr>
          <w:sz w:val="29"/>
          <w:szCs w:val="29"/>
          <w:spacing w:val="6"/>
        </w:rPr>
        <w:t>月中、下</w:t>
      </w:r>
      <w:r>
        <w:rPr>
          <w:sz w:val="29"/>
          <w:szCs w:val="29"/>
        </w:rPr>
        <w:t xml:space="preserve"> </w:t>
      </w:r>
      <w:r>
        <w:rPr>
          <w:sz w:val="29"/>
          <w:szCs w:val="29"/>
          <w:spacing w:val="-1"/>
        </w:rPr>
        <w:t>旬左右将防寒设施全部拆除；</w:t>
      </w:r>
    </w:p>
    <w:p>
      <w:pPr>
        <w:pStyle w:val="BodyText"/>
        <w:ind w:right="482" w:firstLine="730"/>
        <w:spacing w:before="153" w:line="260" w:lineRule="auto"/>
        <w:rPr>
          <w:sz w:val="29"/>
          <w:szCs w:val="29"/>
        </w:rPr>
      </w:pPr>
      <w:r>
        <w:rPr>
          <w:sz w:val="29"/>
          <w:szCs w:val="29"/>
          <w:spacing w:val="6"/>
        </w:rPr>
        <w:t>(2)树干缠草绳的苗木可待萌芽时去除，将腐烂发霉草绳集中焚烧，</w:t>
      </w:r>
      <w:r>
        <w:rPr>
          <w:sz w:val="29"/>
          <w:szCs w:val="29"/>
          <w:spacing w:val="5"/>
        </w:rPr>
        <w:t>销毁</w:t>
      </w:r>
      <w:r>
        <w:rPr>
          <w:sz w:val="29"/>
          <w:szCs w:val="29"/>
        </w:rPr>
        <w:t xml:space="preserve"> </w:t>
      </w:r>
      <w:r>
        <w:rPr>
          <w:sz w:val="29"/>
          <w:szCs w:val="29"/>
          <w:spacing w:val="-2"/>
        </w:rPr>
        <w:t>草绳中的虫卵。</w:t>
      </w:r>
    </w:p>
    <w:p>
      <w:pPr>
        <w:spacing w:before="246" w:line="223" w:lineRule="auto"/>
        <w:rPr>
          <w:rFonts w:ascii="SimHei" w:hAnsi="SimHei" w:eastAsia="SimHei" w:cs="SimHei"/>
          <w:sz w:val="29"/>
          <w:szCs w:val="29"/>
        </w:rPr>
      </w:pPr>
      <w:r>
        <w:rPr>
          <w:rFonts w:ascii="SimHei" w:hAnsi="SimHei" w:eastAsia="SimHei" w:cs="SimHei"/>
          <w:sz w:val="29"/>
          <w:szCs w:val="29"/>
          <w:spacing w:val="9"/>
        </w:rPr>
        <w:t>四月份</w:t>
      </w:r>
    </w:p>
    <w:p>
      <w:pPr>
        <w:pStyle w:val="BodyText"/>
        <w:ind w:left="570"/>
        <w:spacing w:before="109" w:line="219" w:lineRule="auto"/>
        <w:rPr>
          <w:sz w:val="29"/>
          <w:szCs w:val="29"/>
        </w:rPr>
      </w:pPr>
      <w:r>
        <w:rPr>
          <w:sz w:val="29"/>
          <w:szCs w:val="29"/>
          <w:spacing w:val="4"/>
        </w:rPr>
        <w:t>气温回升快，雨量多。雷雨、大风、春寒、春旱等灾害性天气时</w:t>
      </w:r>
      <w:r>
        <w:rPr>
          <w:sz w:val="29"/>
          <w:szCs w:val="29"/>
          <w:spacing w:val="3"/>
        </w:rPr>
        <w:t>有发生。</w:t>
      </w:r>
    </w:p>
    <w:p>
      <w:pPr>
        <w:ind w:left="570"/>
        <w:spacing w:before="274" w:line="222" w:lineRule="auto"/>
        <w:rPr>
          <w:rFonts w:ascii="SimHei" w:hAnsi="SimHei" w:eastAsia="SimHei" w:cs="SimHei"/>
          <w:sz w:val="29"/>
          <w:szCs w:val="29"/>
        </w:rPr>
      </w:pPr>
      <w:r>
        <w:rPr>
          <w:rFonts w:ascii="SimHei" w:hAnsi="SimHei" w:eastAsia="SimHei" w:cs="SimHei"/>
          <w:sz w:val="29"/>
          <w:szCs w:val="29"/>
          <w:spacing w:val="-8"/>
        </w:rPr>
        <w:t>1</w:t>
      </w:r>
      <w:r>
        <w:rPr>
          <w:rFonts w:ascii="SimHei" w:hAnsi="SimHei" w:eastAsia="SimHei" w:cs="SimHei"/>
          <w:sz w:val="29"/>
          <w:szCs w:val="29"/>
          <w:spacing w:val="-61"/>
        </w:rPr>
        <w:t xml:space="preserve"> </w:t>
      </w:r>
      <w:r>
        <w:rPr>
          <w:rFonts w:ascii="SimHei" w:hAnsi="SimHei" w:eastAsia="SimHei" w:cs="SimHei"/>
          <w:sz w:val="29"/>
          <w:szCs w:val="29"/>
          <w:spacing w:val="-8"/>
        </w:rPr>
        <w:t>、现场检查</w:t>
      </w:r>
    </w:p>
    <w:p>
      <w:pPr>
        <w:pStyle w:val="BodyText"/>
        <w:ind w:left="730"/>
        <w:spacing w:before="153"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right="424" w:firstLine="730"/>
        <w:spacing w:before="115" w:line="269" w:lineRule="auto"/>
        <w:rPr>
          <w:sz w:val="29"/>
          <w:szCs w:val="29"/>
        </w:rPr>
      </w:pPr>
      <w:r>
        <w:rPr>
          <w:sz w:val="29"/>
          <w:szCs w:val="29"/>
          <w:spacing w:val="3"/>
        </w:rPr>
        <w:t>(2)地形整理：及时发现下沉严重的地形，提早处理，在4月下旬地形整理</w:t>
      </w:r>
      <w:r>
        <w:rPr>
          <w:sz w:val="29"/>
          <w:szCs w:val="29"/>
          <w:spacing w:val="6"/>
        </w:rPr>
        <w:t xml:space="preserve"> </w:t>
      </w:r>
      <w:r>
        <w:rPr>
          <w:sz w:val="29"/>
          <w:szCs w:val="29"/>
          <w:spacing w:val="1"/>
        </w:rPr>
        <w:t>完毕，草皮更换完毕。</w:t>
      </w:r>
    </w:p>
    <w:p>
      <w:pPr>
        <w:ind w:left="570"/>
        <w:spacing w:before="199" w:line="221" w:lineRule="auto"/>
        <w:rPr>
          <w:rFonts w:ascii="SimHei" w:hAnsi="SimHei" w:eastAsia="SimHei" w:cs="SimHei"/>
          <w:sz w:val="30"/>
          <w:szCs w:val="30"/>
        </w:rPr>
      </w:pPr>
      <w:r>
        <w:rPr>
          <w:rFonts w:ascii="SimHei" w:hAnsi="SimHei" w:eastAsia="SimHei" w:cs="SimHei"/>
          <w:sz w:val="30"/>
          <w:szCs w:val="30"/>
        </w:rPr>
        <w:t>2、</w:t>
      </w:r>
      <w:r>
        <w:rPr>
          <w:rFonts w:ascii="SimHei" w:hAnsi="SimHei" w:eastAsia="SimHei" w:cs="SimHei"/>
          <w:sz w:val="30"/>
          <w:szCs w:val="30"/>
          <w:b/>
          <w:bCs/>
        </w:rPr>
        <w:t>修剪</w:t>
      </w:r>
    </w:p>
    <w:p>
      <w:pPr>
        <w:pStyle w:val="BodyText"/>
        <w:ind w:right="405" w:firstLine="730"/>
        <w:spacing w:before="108" w:line="281" w:lineRule="auto"/>
        <w:rPr>
          <w:sz w:val="29"/>
          <w:szCs w:val="29"/>
        </w:rPr>
      </w:pPr>
      <w:r>
        <w:rPr>
          <w:sz w:val="29"/>
          <w:szCs w:val="29"/>
          <w:spacing w:val="11"/>
        </w:rPr>
        <w:t>(1)乔木修剪：4月下旬，气温基本稳定后，以调</w:t>
      </w:r>
      <w:r>
        <w:rPr>
          <w:sz w:val="29"/>
          <w:szCs w:val="29"/>
          <w:spacing w:val="10"/>
        </w:rPr>
        <w:t>整树势为主，宜轻剪；</w:t>
      </w:r>
      <w:r>
        <w:rPr>
          <w:sz w:val="29"/>
          <w:szCs w:val="29"/>
        </w:rPr>
        <w:t xml:space="preserve"> </w:t>
      </w:r>
      <w:r>
        <w:rPr>
          <w:sz w:val="29"/>
          <w:szCs w:val="29"/>
        </w:rPr>
        <w:t>对苗木的内膛枝、徒长枝、平行枝、下垂枝、病虫枝</w:t>
      </w:r>
      <w:r>
        <w:rPr>
          <w:sz w:val="29"/>
          <w:szCs w:val="29"/>
          <w:spacing w:val="-1"/>
        </w:rPr>
        <w:t>、萌蘖枝等修剪到位，并要</w:t>
      </w:r>
      <w:r>
        <w:rPr>
          <w:sz w:val="29"/>
          <w:szCs w:val="29"/>
        </w:rPr>
        <w:t xml:space="preserve"> </w:t>
      </w:r>
      <w:r>
        <w:rPr>
          <w:sz w:val="29"/>
          <w:szCs w:val="29"/>
          <w:spacing w:val="1"/>
        </w:rPr>
        <w:t>做到剪口平滑，对于较大的剪口要进行防腐处理；</w:t>
      </w:r>
    </w:p>
    <w:p>
      <w:pPr>
        <w:pStyle w:val="BodyText"/>
        <w:ind w:right="391" w:firstLine="730"/>
        <w:spacing w:before="147" w:line="278" w:lineRule="auto"/>
        <w:rPr>
          <w:sz w:val="29"/>
          <w:szCs w:val="29"/>
        </w:rPr>
      </w:pPr>
      <w:r>
        <w:rPr>
          <w:sz w:val="29"/>
          <w:szCs w:val="29"/>
          <w:spacing w:val="9"/>
        </w:rPr>
        <w:t>(2)灌木、地被修剪：对于春季开花的灌木适时进</w:t>
      </w:r>
      <w:r>
        <w:rPr>
          <w:sz w:val="29"/>
          <w:szCs w:val="29"/>
          <w:spacing w:val="8"/>
        </w:rPr>
        <w:t>行花后修剪，以疏、截</w:t>
      </w:r>
      <w:r>
        <w:rPr>
          <w:sz w:val="29"/>
          <w:szCs w:val="29"/>
        </w:rPr>
        <w:t xml:space="preserve"> </w:t>
      </w:r>
      <w:r>
        <w:rPr>
          <w:sz w:val="29"/>
          <w:szCs w:val="29"/>
          <w:spacing w:val="-9"/>
        </w:rPr>
        <w:t>为主，及时修剪地被小灌木、绿篱与造型树，对生长过量的地被小灌木、绿篱及灌</w:t>
      </w:r>
      <w:r>
        <w:rPr>
          <w:sz w:val="29"/>
          <w:szCs w:val="29"/>
          <w:spacing w:val="9"/>
        </w:rPr>
        <w:t xml:space="preserve"> </w:t>
      </w:r>
      <w:r>
        <w:rPr>
          <w:sz w:val="29"/>
          <w:szCs w:val="29"/>
          <w:spacing w:val="-2"/>
        </w:rPr>
        <w:t>木在新芽刚刚开始膨大时进行回缩；</w:t>
      </w:r>
    </w:p>
    <w:p>
      <w:pPr>
        <w:pStyle w:val="BodyText"/>
        <w:ind w:right="481" w:firstLine="730"/>
        <w:spacing w:before="149" w:line="271" w:lineRule="auto"/>
        <w:rPr>
          <w:sz w:val="29"/>
          <w:szCs w:val="29"/>
        </w:rPr>
      </w:pPr>
      <w:r>
        <w:rPr>
          <w:sz w:val="29"/>
          <w:szCs w:val="29"/>
          <w:spacing w:val="6"/>
        </w:rPr>
        <w:t>(3)草皮修剪：及时人工清除阔叶杂草，对于新发叶的嫩草不宜用化学药</w:t>
      </w:r>
      <w:r>
        <w:rPr>
          <w:sz w:val="29"/>
          <w:szCs w:val="29"/>
        </w:rPr>
        <w:t xml:space="preserve"> </w:t>
      </w:r>
      <w:r>
        <w:rPr>
          <w:sz w:val="29"/>
          <w:szCs w:val="29"/>
          <w:spacing w:val="-3"/>
        </w:rPr>
        <w:t>剂处理。</w:t>
      </w:r>
    </w:p>
    <w:p>
      <w:pPr>
        <w:ind w:left="570"/>
        <w:spacing w:before="17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51" w:firstLine="730"/>
        <w:spacing w:before="92" w:line="269" w:lineRule="auto"/>
        <w:rPr>
          <w:sz w:val="29"/>
          <w:szCs w:val="29"/>
        </w:rPr>
      </w:pPr>
      <w:r>
        <w:rPr>
          <w:sz w:val="29"/>
          <w:szCs w:val="29"/>
          <w:spacing w:val="7"/>
        </w:rPr>
        <w:t>(1)根据天气情况进行浇水，各种植物需水量较大，应适时浇水</w:t>
      </w:r>
      <w:r>
        <w:rPr>
          <w:sz w:val="29"/>
          <w:szCs w:val="29"/>
          <w:spacing w:val="6"/>
        </w:rPr>
        <w:t>满足苗木</w:t>
      </w:r>
      <w:r>
        <w:rPr>
          <w:sz w:val="29"/>
          <w:szCs w:val="29"/>
        </w:rPr>
        <w:t xml:space="preserve"> </w:t>
      </w:r>
      <w:r>
        <w:rPr>
          <w:sz w:val="29"/>
          <w:szCs w:val="29"/>
          <w:spacing w:val="-4"/>
        </w:rPr>
        <w:t>的生长要求，及时松土保墒；</w:t>
      </w:r>
    </w:p>
    <w:p>
      <w:pPr>
        <w:pStyle w:val="BodyText"/>
        <w:ind w:firstLine="730"/>
        <w:spacing w:before="165" w:line="262" w:lineRule="auto"/>
        <w:rPr>
          <w:sz w:val="29"/>
          <w:szCs w:val="29"/>
        </w:rPr>
      </w:pPr>
      <w:r>
        <w:rPr>
          <w:sz w:val="29"/>
          <w:szCs w:val="29"/>
          <w:spacing w:val="3"/>
        </w:rPr>
        <w:t>(2)4月中旬全区追肥一次，环施或撒施有无机</w:t>
      </w:r>
      <w:r>
        <w:rPr>
          <w:sz w:val="29"/>
          <w:szCs w:val="29"/>
          <w:spacing w:val="2"/>
        </w:rPr>
        <w:t>复合肥(含有15  总养分以上，</w:t>
      </w:r>
      <w:r>
        <w:rPr>
          <w:sz w:val="29"/>
          <w:szCs w:val="29"/>
        </w:rPr>
        <w:t xml:space="preserve"> </w:t>
      </w:r>
      <w:r>
        <w:rPr>
          <w:sz w:val="29"/>
          <w:szCs w:val="29"/>
          <w:spacing w:val="5"/>
        </w:rPr>
        <w:t>有机质大于20%)或氮、磷、钾均衡型速效性复合肥(氮15-20、磷15-</w:t>
      </w:r>
      <w:r>
        <w:rPr>
          <w:sz w:val="29"/>
          <w:szCs w:val="29"/>
          <w:spacing w:val="4"/>
        </w:rPr>
        <w:t>20、钾15-</w:t>
      </w:r>
    </w:p>
    <w:p>
      <w:pPr>
        <w:pStyle w:val="BodyText"/>
        <w:spacing w:before="131" w:line="183" w:lineRule="auto"/>
        <w:rPr>
          <w:sz w:val="29"/>
          <w:szCs w:val="29"/>
        </w:rPr>
      </w:pPr>
      <w:r>
        <w:rPr>
          <w:rFonts w:ascii="Times New Roman" w:hAnsi="Times New Roman" w:eastAsia="Times New Roman" w:cs="Times New Roman"/>
          <w:sz w:val="29"/>
          <w:szCs w:val="29"/>
          <w:spacing w:val="-2"/>
        </w:rPr>
        <w:t>20)</w:t>
      </w:r>
      <w:r>
        <w:rPr>
          <w:sz w:val="29"/>
          <w:szCs w:val="29"/>
          <w:spacing w:val="-2"/>
        </w:rPr>
        <w:t>。</w:t>
      </w:r>
    </w:p>
    <w:p>
      <w:pPr>
        <w:pStyle w:val="BodyText"/>
        <w:ind w:left="570"/>
        <w:spacing w:before="257"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25" w:line="219" w:lineRule="auto"/>
        <w:rPr>
          <w:sz w:val="29"/>
          <w:szCs w:val="29"/>
        </w:rPr>
      </w:pPr>
      <w:r>
        <w:rPr>
          <w:sz w:val="29"/>
          <w:szCs w:val="29"/>
          <w:spacing w:val="5"/>
        </w:rPr>
        <w:t>(1)病害：炭疽病、叶斑类病害、锈病、根腐病、流胶病等；</w:t>
      </w:r>
    </w:p>
    <w:p>
      <w:pPr>
        <w:pStyle w:val="BodyText"/>
        <w:ind w:left="730"/>
        <w:spacing w:before="134" w:line="219" w:lineRule="auto"/>
        <w:rPr>
          <w:sz w:val="29"/>
          <w:szCs w:val="29"/>
        </w:rPr>
      </w:pPr>
      <w:r>
        <w:rPr>
          <w:sz w:val="29"/>
          <w:szCs w:val="29"/>
          <w:spacing w:val="8"/>
        </w:rPr>
        <w:t>(2)虫害：大青叶蝉、桃蚜、桃粉蚜、桃瘤蚜、梨网冠蝽、</w:t>
      </w:r>
      <w:r>
        <w:rPr>
          <w:sz w:val="29"/>
          <w:szCs w:val="29"/>
          <w:spacing w:val="7"/>
        </w:rPr>
        <w:t>杜鹃冠网蝽、</w:t>
      </w:r>
    </w:p>
    <w:p>
      <w:pPr>
        <w:pStyle w:val="BodyText"/>
        <w:ind w:right="139"/>
        <w:spacing w:before="148" w:line="265" w:lineRule="auto"/>
        <w:rPr>
          <w:sz w:val="29"/>
          <w:szCs w:val="29"/>
        </w:rPr>
      </w:pPr>
      <w:r>
        <w:rPr>
          <w:sz w:val="29"/>
          <w:szCs w:val="29"/>
          <w:spacing w:val="-9"/>
        </w:rPr>
        <w:t>樟叶木虱、柑桔全爪螨、桔绿粉虱、星天牛、苹果枝天牛、咖啡木蠹蛾、柏肤小蠹、</w:t>
      </w:r>
      <w:r>
        <w:rPr>
          <w:sz w:val="29"/>
          <w:szCs w:val="29"/>
          <w:spacing w:val="6"/>
        </w:rPr>
        <w:t xml:space="preserve"> </w:t>
      </w:r>
      <w:r>
        <w:rPr>
          <w:sz w:val="29"/>
          <w:szCs w:val="29"/>
          <w:spacing w:val="-24"/>
        </w:rPr>
        <w:t>白蚁、铜绿丽金龟、小地老虎、柳毒蛾、玉带凤蝶、樟叶蜂、枸</w:t>
      </w:r>
      <w:r>
        <w:rPr>
          <w:sz w:val="29"/>
          <w:szCs w:val="29"/>
          <w:spacing w:val="-25"/>
        </w:rPr>
        <w:t>桔潜跳甲等。</w:t>
      </w:r>
    </w:p>
    <w:p>
      <w:pPr>
        <w:spacing w:line="265" w:lineRule="auto"/>
        <w:sectPr>
          <w:footerReference w:type="default" r:id="rId654"/>
          <w:pgSz w:w="14490" w:h="20470"/>
          <w:pgMar w:top="400" w:right="1795" w:bottom="1433" w:left="2150" w:header="0" w:footer="1235" w:gutter="0"/>
        </w:sectPr>
        <w:rPr>
          <w:sz w:val="29"/>
          <w:szCs w:val="29"/>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600"/>
        <w:spacing w:before="94"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50" w:firstLine="730"/>
        <w:spacing w:before="124" w:line="268" w:lineRule="auto"/>
        <w:rPr>
          <w:sz w:val="29"/>
          <w:szCs w:val="29"/>
        </w:rPr>
      </w:pPr>
      <w:r>
        <w:rPr>
          <w:sz w:val="29"/>
          <w:szCs w:val="29"/>
          <w:spacing w:val="-1"/>
        </w:rPr>
        <w:t>(1)</w:t>
      </w:r>
      <w:r>
        <w:rPr>
          <w:sz w:val="29"/>
          <w:szCs w:val="29"/>
          <w:spacing w:val="86"/>
        </w:rPr>
        <w:t xml:space="preserve"> </w:t>
      </w:r>
      <w:r>
        <w:rPr>
          <w:sz w:val="29"/>
          <w:szCs w:val="29"/>
          <w:spacing w:val="-1"/>
        </w:rPr>
        <w:t>保洁人员合理分区，全天候巡视，及时清理烟头、树挂等垃圾，水景</w:t>
      </w:r>
      <w:r>
        <w:rPr>
          <w:sz w:val="29"/>
          <w:szCs w:val="29"/>
        </w:rPr>
        <w:t xml:space="preserve"> </w:t>
      </w:r>
      <w:r>
        <w:rPr>
          <w:sz w:val="29"/>
          <w:szCs w:val="29"/>
          <w:spacing w:val="-1"/>
        </w:rPr>
        <w:t>池、灯杆、垃圾桶保持干净；</w:t>
      </w:r>
    </w:p>
    <w:p>
      <w:pPr>
        <w:pStyle w:val="BodyText"/>
        <w:ind w:right="443" w:firstLine="730"/>
        <w:spacing w:before="12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售展示区)进行彻底清理等；</w:t>
      </w:r>
    </w:p>
    <w:p>
      <w:pPr>
        <w:pStyle w:val="BodyText"/>
        <w:ind w:right="570" w:firstLine="730"/>
        <w:spacing w:before="135" w:line="272" w:lineRule="auto"/>
        <w:rPr>
          <w:sz w:val="29"/>
          <w:szCs w:val="29"/>
        </w:rPr>
      </w:pPr>
      <w:r>
        <w:rPr>
          <w:sz w:val="29"/>
          <w:szCs w:val="29"/>
          <w:spacing w:val="7"/>
        </w:rPr>
        <w:t>(3)气温升高，逐步清理水池、人工湖淤泥落叶等垃圾。</w:t>
      </w:r>
      <w:r>
        <w:rPr>
          <w:sz w:val="29"/>
          <w:szCs w:val="29"/>
          <w:spacing w:val="6"/>
        </w:rPr>
        <w:t>4月中旬以前清</w:t>
      </w:r>
      <w:r>
        <w:rPr>
          <w:sz w:val="29"/>
          <w:szCs w:val="29"/>
        </w:rPr>
        <w:t xml:space="preserve"> </w:t>
      </w:r>
      <w:r>
        <w:rPr>
          <w:sz w:val="29"/>
          <w:szCs w:val="29"/>
          <w:spacing w:val="-3"/>
        </w:rPr>
        <w:t>理完毕。</w:t>
      </w:r>
    </w:p>
    <w:p>
      <w:pPr>
        <w:pStyle w:val="BodyText"/>
        <w:ind w:left="600"/>
        <w:spacing w:before="11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0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600"/>
        <w:spacing w:before="9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54"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6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10" w:firstLine="600"/>
        <w:spacing w:before="150"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6"/>
        </w:rPr>
        <w:t>五月份</w:t>
      </w:r>
    </w:p>
    <w:p>
      <w:pPr>
        <w:pStyle w:val="BodyText"/>
        <w:ind w:left="600"/>
        <w:spacing w:before="97" w:line="219" w:lineRule="auto"/>
        <w:rPr>
          <w:sz w:val="29"/>
          <w:szCs w:val="29"/>
        </w:rPr>
      </w:pPr>
      <w:r>
        <w:rPr>
          <w:sz w:val="29"/>
          <w:szCs w:val="29"/>
          <w:spacing w:val="3"/>
        </w:rPr>
        <w:t>气温急骤上升，树木生长迅速，有暴雨、雷雨大风天气，注意预警。</w:t>
      </w:r>
    </w:p>
    <w:p>
      <w:pPr>
        <w:pStyle w:val="BodyText"/>
        <w:ind w:left="600"/>
        <w:spacing w:before="29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34" w:line="219" w:lineRule="auto"/>
        <w:rPr>
          <w:sz w:val="29"/>
          <w:szCs w:val="29"/>
        </w:rPr>
      </w:pPr>
      <w:r>
        <w:rPr>
          <w:sz w:val="29"/>
          <w:szCs w:val="29"/>
          <w:spacing w:val="-2"/>
        </w:rPr>
        <w:t>(1)</w:t>
      </w:r>
      <w:r>
        <w:rPr>
          <w:sz w:val="29"/>
          <w:szCs w:val="29"/>
          <w:spacing w:val="72"/>
        </w:rPr>
        <w:t xml:space="preserve"> </w:t>
      </w:r>
      <w:r>
        <w:rPr>
          <w:sz w:val="29"/>
          <w:szCs w:val="29"/>
          <w:spacing w:val="-2"/>
        </w:rPr>
        <w:t>及时检查乔木支撑情况，发现松动或缺失立</w:t>
      </w:r>
      <w:r>
        <w:rPr>
          <w:sz w:val="29"/>
          <w:szCs w:val="29"/>
          <w:spacing w:val="-3"/>
        </w:rPr>
        <w:t>即加固等；</w:t>
      </w:r>
    </w:p>
    <w:p>
      <w:pPr>
        <w:pStyle w:val="BodyText"/>
        <w:ind w:right="460" w:firstLine="730"/>
        <w:spacing w:before="164" w:line="266" w:lineRule="auto"/>
        <w:rPr>
          <w:sz w:val="29"/>
          <w:szCs w:val="29"/>
        </w:rPr>
      </w:pPr>
      <w:r>
        <w:rPr>
          <w:sz w:val="29"/>
          <w:szCs w:val="29"/>
          <w:spacing w:val="6"/>
        </w:rPr>
        <w:t>(2)重点是覆盖率，返青不好的，如斑秃或者病虫</w:t>
      </w:r>
      <w:r>
        <w:rPr>
          <w:sz w:val="29"/>
          <w:szCs w:val="29"/>
          <w:spacing w:val="5"/>
        </w:rPr>
        <w:t>害区域及时更换草皮、</w:t>
      </w:r>
      <w:r>
        <w:rPr>
          <w:sz w:val="29"/>
          <w:szCs w:val="29"/>
        </w:rPr>
        <w:t xml:space="preserve"> </w:t>
      </w:r>
      <w:r>
        <w:rPr>
          <w:sz w:val="29"/>
          <w:szCs w:val="29"/>
          <w:spacing w:val="-6"/>
        </w:rPr>
        <w:t>消杀病虫害，5月中旬结束草皮病虫害消杀，5月上旬结束草皮更换工</w:t>
      </w:r>
      <w:r>
        <w:rPr>
          <w:sz w:val="29"/>
          <w:szCs w:val="29"/>
          <w:spacing w:val="-7"/>
        </w:rPr>
        <w:t>作。</w:t>
      </w:r>
    </w:p>
    <w:p>
      <w:pPr>
        <w:pStyle w:val="BodyText"/>
        <w:ind w:left="600"/>
        <w:spacing w:before="18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730"/>
        <w:spacing w:before="86" w:line="219" w:lineRule="auto"/>
        <w:rPr>
          <w:sz w:val="29"/>
          <w:szCs w:val="29"/>
        </w:rPr>
      </w:pPr>
      <w:r>
        <w:rPr>
          <w:sz w:val="29"/>
          <w:szCs w:val="29"/>
          <w:spacing w:val="7"/>
        </w:rPr>
        <w:t>(1)乔木修剪：对乔木进行适当修剪，除萌蘖；</w:t>
      </w:r>
    </w:p>
    <w:p>
      <w:pPr>
        <w:pStyle w:val="BodyText"/>
        <w:ind w:right="680" w:firstLine="730"/>
        <w:spacing w:before="154" w:line="266" w:lineRule="auto"/>
        <w:rPr>
          <w:sz w:val="29"/>
          <w:szCs w:val="29"/>
        </w:rPr>
      </w:pPr>
      <w:r>
        <w:rPr>
          <w:sz w:val="29"/>
          <w:szCs w:val="29"/>
          <w:spacing w:val="-9"/>
        </w:rPr>
        <w:t>(2)灌木、地被修剪：对开花灌木进行花</w:t>
      </w:r>
      <w:r>
        <w:rPr>
          <w:sz w:val="29"/>
          <w:szCs w:val="29"/>
          <w:spacing w:val="-10"/>
        </w:rPr>
        <w:t>后修剪，以疏枝、短截措施为主；</w:t>
      </w:r>
      <w:r>
        <w:rPr>
          <w:sz w:val="29"/>
          <w:szCs w:val="29"/>
        </w:rPr>
        <w:t xml:space="preserve"> </w:t>
      </w:r>
      <w:r>
        <w:rPr>
          <w:sz w:val="29"/>
          <w:szCs w:val="29"/>
          <w:spacing w:val="-5"/>
        </w:rPr>
        <w:t>绿篱及地被修剪，保持造型轮廓明显，层次分明；</w:t>
      </w:r>
    </w:p>
    <w:p>
      <w:pPr>
        <w:pStyle w:val="BodyText"/>
        <w:ind w:right="350" w:firstLine="730"/>
        <w:spacing w:before="166" w:line="281" w:lineRule="auto"/>
        <w:rPr>
          <w:sz w:val="29"/>
          <w:szCs w:val="29"/>
        </w:rPr>
      </w:pPr>
      <w:r>
        <w:rPr>
          <w:sz w:val="29"/>
          <w:szCs w:val="29"/>
          <w:spacing w:val="9"/>
        </w:rPr>
        <w:t>(3)草皮修剪：根据实际情况对草坪进行修剪。具体修剪次数依据现场实</w:t>
      </w:r>
      <w:r>
        <w:rPr>
          <w:sz w:val="29"/>
          <w:szCs w:val="29"/>
          <w:spacing w:val="1"/>
        </w:rPr>
        <w:t xml:space="preserve"> </w:t>
      </w:r>
      <w:r>
        <w:rPr>
          <w:sz w:val="29"/>
          <w:szCs w:val="29"/>
          <w:spacing w:val="-1"/>
        </w:rPr>
        <w:t>际情况而定，处理好树木周边，围挡边，综合楼角落，人工湖驳岸等地生长过高</w:t>
      </w:r>
      <w:r>
        <w:rPr>
          <w:sz w:val="29"/>
          <w:szCs w:val="29"/>
          <w:spacing w:val="2"/>
        </w:rPr>
        <w:t xml:space="preserve"> </w:t>
      </w:r>
      <w:r>
        <w:rPr>
          <w:sz w:val="29"/>
          <w:szCs w:val="29"/>
          <w:spacing w:val="-1"/>
        </w:rPr>
        <w:t>的草坪，剪下草屑及时清运。</w:t>
      </w:r>
    </w:p>
    <w:p>
      <w:pPr>
        <w:pStyle w:val="BodyText"/>
        <w:ind w:left="600"/>
        <w:spacing w:before="132"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499" w:firstLine="730"/>
        <w:spacing w:before="96" w:line="266" w:lineRule="auto"/>
        <w:rPr>
          <w:sz w:val="29"/>
          <w:szCs w:val="29"/>
        </w:rPr>
      </w:pPr>
      <w:r>
        <w:rPr>
          <w:sz w:val="29"/>
          <w:szCs w:val="29"/>
          <w:spacing w:val="4"/>
        </w:rPr>
        <w:t>(1)浇水：五月份气温升高，树木生长盛期，需水量很大，应适时浇水，</w:t>
      </w:r>
      <w:r>
        <w:rPr>
          <w:sz w:val="29"/>
          <w:szCs w:val="29"/>
          <w:spacing w:val="17"/>
        </w:rPr>
        <w:t xml:space="preserve"> </w:t>
      </w:r>
      <w:r>
        <w:rPr>
          <w:sz w:val="29"/>
          <w:szCs w:val="29"/>
          <w:spacing w:val="-5"/>
        </w:rPr>
        <w:t>同时注意时花的适时浇水；</w:t>
      </w:r>
    </w:p>
    <w:p>
      <w:pPr>
        <w:pStyle w:val="BodyText"/>
        <w:ind w:right="567" w:firstLine="730"/>
        <w:spacing w:before="175" w:line="262" w:lineRule="auto"/>
        <w:rPr>
          <w:sz w:val="29"/>
          <w:szCs w:val="29"/>
        </w:rPr>
      </w:pPr>
      <w:r>
        <w:rPr>
          <w:sz w:val="29"/>
          <w:szCs w:val="29"/>
          <w:spacing w:val="-2"/>
        </w:rPr>
        <w:t>(2)追肥：环施、撒施有无机复合肥(含有15%总养分以上，有机质大于20%</w:t>
      </w:r>
      <w:r>
        <w:rPr>
          <w:sz w:val="29"/>
          <w:szCs w:val="29"/>
          <w:spacing w:val="10"/>
        </w:rPr>
        <w:t xml:space="preserve"> </w:t>
      </w:r>
      <w:r>
        <w:rPr>
          <w:sz w:val="29"/>
          <w:szCs w:val="29"/>
          <w:spacing w:val="-13"/>
        </w:rPr>
        <w:t>一次，施肥后注意配合浇水，防止发生肥害。</w:t>
      </w:r>
    </w:p>
    <w:p>
      <w:pPr>
        <w:spacing w:line="262" w:lineRule="auto"/>
        <w:sectPr>
          <w:footerReference w:type="default" r:id="rId655"/>
          <w:pgSz w:w="14490" w:h="20470"/>
          <w:pgMar w:top="400" w:right="1824" w:bottom="1433" w:left="2150" w:header="0" w:footer="123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361" w:firstLine="730"/>
        <w:spacing w:before="94" w:line="310" w:lineRule="auto"/>
        <w:jc w:val="both"/>
        <w:rPr>
          <w:sz w:val="29"/>
          <w:szCs w:val="29"/>
        </w:rPr>
      </w:pPr>
      <w:r>
        <w:rPr>
          <w:sz w:val="29"/>
          <w:szCs w:val="29"/>
          <w:spacing w:val="9"/>
        </w:rPr>
        <w:t>(3)营养液：根据树木的萌芽情况提前或延后。对</w:t>
      </w:r>
      <w:r>
        <w:rPr>
          <w:sz w:val="29"/>
          <w:szCs w:val="29"/>
          <w:spacing w:val="8"/>
        </w:rPr>
        <w:t>贵重苗木进行大树营养</w:t>
      </w:r>
      <w:r>
        <w:rPr>
          <w:sz w:val="29"/>
          <w:szCs w:val="29"/>
        </w:rPr>
        <w:t xml:space="preserve"> </w:t>
      </w:r>
      <w:r>
        <w:rPr>
          <w:sz w:val="29"/>
          <w:szCs w:val="29"/>
          <w:spacing w:val="8"/>
        </w:rPr>
        <w:t>液(如施它活或吊针原液)滴注。若不良表现轻微可补充清水。确定大树健康无</w:t>
      </w:r>
      <w:r>
        <w:rPr>
          <w:sz w:val="29"/>
          <w:szCs w:val="29"/>
          <w:spacing w:val="11"/>
        </w:rPr>
        <w:t xml:space="preserve"> </w:t>
      </w:r>
      <w:r>
        <w:rPr>
          <w:sz w:val="29"/>
          <w:szCs w:val="29"/>
          <w:spacing w:val="-3"/>
        </w:rPr>
        <w:t>误后再撤除吊袋，并将输液孔封死。5月下旬完毕。</w:t>
      </w:r>
    </w:p>
    <w:p>
      <w:pPr>
        <w:pStyle w:val="BodyText"/>
        <w:ind w:left="600"/>
        <w:spacing w:before="5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59" w:firstLine="730"/>
        <w:spacing w:before="103" w:line="266" w:lineRule="auto"/>
        <w:rPr>
          <w:sz w:val="29"/>
          <w:szCs w:val="29"/>
        </w:rPr>
      </w:pPr>
      <w:r>
        <w:rPr>
          <w:sz w:val="29"/>
          <w:szCs w:val="29"/>
          <w:spacing w:val="9"/>
        </w:rPr>
        <w:t>(1)病害：白粉病、炭疽病、叶斑类病害、锈病、干腐</w:t>
      </w:r>
      <w:r>
        <w:rPr>
          <w:sz w:val="29"/>
          <w:szCs w:val="29"/>
          <w:spacing w:val="8"/>
        </w:rPr>
        <w:t>病、根腐病、流胶</w:t>
      </w:r>
      <w:r>
        <w:rPr>
          <w:sz w:val="29"/>
          <w:szCs w:val="29"/>
        </w:rPr>
        <w:t xml:space="preserve"> </w:t>
      </w:r>
      <w:r>
        <w:rPr>
          <w:sz w:val="29"/>
          <w:szCs w:val="29"/>
          <w:spacing w:val="-3"/>
        </w:rPr>
        <w:t>病、细菌性穿孔病等；</w:t>
      </w:r>
    </w:p>
    <w:p>
      <w:pPr>
        <w:pStyle w:val="BodyText"/>
        <w:ind w:left="730"/>
        <w:spacing w:before="144" w:line="219" w:lineRule="auto"/>
        <w:rPr>
          <w:sz w:val="29"/>
          <w:szCs w:val="29"/>
        </w:rPr>
      </w:pPr>
      <w:r>
        <w:rPr>
          <w:sz w:val="29"/>
          <w:szCs w:val="29"/>
          <w:spacing w:val="8"/>
        </w:rPr>
        <w:t>(2)虫害：大青叶蝉、桃蚜、桃粉蚜、桃瘤蚜、梨网冠蝽、</w:t>
      </w:r>
      <w:r>
        <w:rPr>
          <w:sz w:val="29"/>
          <w:szCs w:val="29"/>
          <w:spacing w:val="7"/>
        </w:rPr>
        <w:t>杜鹃冠网蝽、</w:t>
      </w:r>
    </w:p>
    <w:p>
      <w:pPr>
        <w:pStyle w:val="BodyText"/>
        <w:ind w:right="110"/>
        <w:spacing w:before="148" w:line="287" w:lineRule="auto"/>
        <w:rPr>
          <w:sz w:val="29"/>
          <w:szCs w:val="29"/>
        </w:rPr>
      </w:pPr>
      <w:r>
        <w:rPr>
          <w:sz w:val="29"/>
          <w:szCs w:val="29"/>
          <w:spacing w:val="-9"/>
        </w:rPr>
        <w:t>樟叶木虱、柑桔全爪螨、桔绿粉虱、星天牛、云斑天牛、苹果枝天牛、咖啡木蠹蛾、</w:t>
      </w:r>
      <w:r>
        <w:rPr>
          <w:sz w:val="29"/>
          <w:szCs w:val="29"/>
          <w:spacing w:val="6"/>
        </w:rPr>
        <w:t xml:space="preserve"> </w:t>
      </w:r>
      <w:r>
        <w:rPr>
          <w:sz w:val="29"/>
          <w:szCs w:val="29"/>
          <w:spacing w:val="-8"/>
        </w:rPr>
        <w:t>柏肤小蠹、白蚁、铜绿丽金龟、蝼蛄、柳毒蛾、桃剑纹夜蛾、丝棉木金星尺蛾、国</w:t>
      </w:r>
      <w:r>
        <w:rPr>
          <w:sz w:val="29"/>
          <w:szCs w:val="29"/>
          <w:spacing w:val="7"/>
        </w:rPr>
        <w:t xml:space="preserve">  </w:t>
      </w:r>
      <w:r>
        <w:rPr>
          <w:sz w:val="29"/>
          <w:szCs w:val="29"/>
          <w:spacing w:val="8"/>
        </w:rPr>
        <w:t>槐尺蛾、樟蚕(枫蚕)、绿尾大蚕蛾、柑桔凤蝶、玉带凤蝶、蔷薇三节叶蜂、樟</w:t>
      </w:r>
      <w:r>
        <w:rPr>
          <w:sz w:val="29"/>
          <w:szCs w:val="29"/>
          <w:spacing w:val="5"/>
        </w:rPr>
        <w:t xml:space="preserve">  </w:t>
      </w:r>
      <w:r>
        <w:rPr>
          <w:sz w:val="29"/>
          <w:szCs w:val="29"/>
          <w:spacing w:val="-3"/>
        </w:rPr>
        <w:t>叶蜂、枸桔潜跳甲等。</w:t>
      </w:r>
    </w:p>
    <w:p>
      <w:pPr>
        <w:pStyle w:val="BodyText"/>
        <w:ind w:left="600"/>
        <w:spacing w:before="17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60" w:firstLine="730"/>
        <w:spacing w:before="94" w:line="265" w:lineRule="auto"/>
        <w:rPr>
          <w:sz w:val="29"/>
          <w:szCs w:val="29"/>
        </w:rPr>
      </w:pPr>
      <w:r>
        <w:rPr>
          <w:sz w:val="29"/>
          <w:szCs w:val="29"/>
          <w:spacing w:val="9"/>
        </w:rPr>
        <w:t>(1)保洁人员合理分区，全天候巡视，及时清理烟头</w:t>
      </w:r>
      <w:r>
        <w:rPr>
          <w:sz w:val="29"/>
          <w:szCs w:val="29"/>
          <w:spacing w:val="8"/>
        </w:rPr>
        <w:t>、树挂等垃圾，水景</w:t>
      </w:r>
      <w:r>
        <w:rPr>
          <w:sz w:val="29"/>
          <w:szCs w:val="29"/>
        </w:rPr>
        <w:t xml:space="preserve"> </w:t>
      </w:r>
      <w:r>
        <w:rPr>
          <w:sz w:val="29"/>
          <w:szCs w:val="29"/>
          <w:spacing w:val="-1"/>
        </w:rPr>
        <w:t>池、灯杆、垃圾桶保持干净；</w:t>
      </w:r>
    </w:p>
    <w:p>
      <w:pPr>
        <w:pStyle w:val="BodyText"/>
        <w:ind w:right="383" w:firstLine="730"/>
        <w:spacing w:before="155" w:line="263" w:lineRule="auto"/>
        <w:rPr>
          <w:sz w:val="29"/>
          <w:szCs w:val="29"/>
        </w:rPr>
      </w:pPr>
      <w:r>
        <w:rPr>
          <w:sz w:val="29"/>
          <w:szCs w:val="29"/>
          <w:spacing w:val="6"/>
        </w:rPr>
        <w:t>(2)</w:t>
      </w:r>
      <w:r>
        <w:rPr>
          <w:sz w:val="29"/>
          <w:szCs w:val="29"/>
          <w:spacing w:val="73"/>
        </w:rPr>
        <w:t xml:space="preserve"> </w:t>
      </w:r>
      <w:r>
        <w:rPr>
          <w:sz w:val="29"/>
          <w:szCs w:val="29"/>
          <w:spacing w:val="6"/>
        </w:rPr>
        <w:t>在业主上班高峰期前对园区内的重点区域(大门内外、</w:t>
      </w:r>
      <w:r>
        <w:rPr>
          <w:sz w:val="29"/>
          <w:szCs w:val="29"/>
          <w:spacing w:val="5"/>
        </w:rPr>
        <w:t>主干通道、销</w:t>
      </w:r>
      <w:r>
        <w:rPr>
          <w:sz w:val="29"/>
          <w:szCs w:val="29"/>
        </w:rPr>
        <w:t xml:space="preserve"> </w:t>
      </w:r>
      <w:r>
        <w:rPr>
          <w:sz w:val="29"/>
          <w:szCs w:val="29"/>
          <w:spacing w:val="10"/>
        </w:rPr>
        <w:t>售展示区)进行彻底清理；</w:t>
      </w:r>
    </w:p>
    <w:p>
      <w:pPr>
        <w:pStyle w:val="BodyText"/>
        <w:ind w:right="361" w:firstLine="730"/>
        <w:spacing w:before="154" w:line="281" w:lineRule="auto"/>
        <w:rPr>
          <w:sz w:val="29"/>
          <w:szCs w:val="29"/>
        </w:rPr>
      </w:pPr>
      <w:r>
        <w:rPr>
          <w:sz w:val="29"/>
          <w:szCs w:val="29"/>
          <w:spacing w:val="9"/>
        </w:rPr>
        <w:t>(3)除杂草：杂草生长加速，及时清除草坪杂草</w:t>
      </w:r>
      <w:r>
        <w:rPr>
          <w:sz w:val="29"/>
          <w:szCs w:val="29"/>
          <w:spacing w:val="8"/>
        </w:rPr>
        <w:t>防止接种子，绿篱及地被</w:t>
      </w:r>
      <w:r>
        <w:rPr>
          <w:sz w:val="29"/>
          <w:szCs w:val="29"/>
        </w:rPr>
        <w:t xml:space="preserve"> </w:t>
      </w:r>
      <w:r>
        <w:rPr>
          <w:sz w:val="29"/>
          <w:szCs w:val="29"/>
        </w:rPr>
        <w:t>内生出的杂生植物、爬藤等及时清除；尤其是围蔽下，综合楼角落，人工湖驳岸</w:t>
      </w:r>
      <w:r>
        <w:rPr>
          <w:sz w:val="29"/>
          <w:szCs w:val="29"/>
          <w:spacing w:val="2"/>
        </w:rPr>
        <w:t xml:space="preserve"> </w:t>
      </w:r>
      <w:r>
        <w:rPr>
          <w:sz w:val="29"/>
          <w:szCs w:val="29"/>
          <w:spacing w:val="-3"/>
        </w:rPr>
        <w:t>杂草清理到位，干净；</w:t>
      </w:r>
    </w:p>
    <w:p>
      <w:pPr>
        <w:pStyle w:val="BodyText"/>
        <w:ind w:left="730"/>
        <w:spacing w:before="128" w:line="219" w:lineRule="auto"/>
        <w:rPr>
          <w:sz w:val="29"/>
          <w:szCs w:val="29"/>
        </w:rPr>
      </w:pPr>
      <w:r>
        <w:rPr>
          <w:sz w:val="29"/>
          <w:szCs w:val="29"/>
          <w:spacing w:val="13"/>
        </w:rPr>
        <w:t>(4)做好防风准备工作。</w:t>
      </w:r>
    </w:p>
    <w:p>
      <w:pPr>
        <w:ind w:left="600"/>
        <w:spacing w:before="13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114"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10" w:firstLine="600"/>
        <w:spacing w:before="14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67" w:line="223" w:lineRule="auto"/>
        <w:rPr>
          <w:rFonts w:ascii="SimHei" w:hAnsi="SimHei" w:eastAsia="SimHei" w:cs="SimHei"/>
          <w:sz w:val="29"/>
          <w:szCs w:val="29"/>
        </w:rPr>
      </w:pPr>
      <w:r>
        <w:rPr>
          <w:rFonts w:ascii="SimHei" w:hAnsi="SimHei" w:eastAsia="SimHei" w:cs="SimHei"/>
          <w:sz w:val="29"/>
          <w:szCs w:val="29"/>
          <w:spacing w:val="6"/>
        </w:rPr>
        <w:t>六月份</w:t>
      </w:r>
    </w:p>
    <w:p>
      <w:pPr>
        <w:pStyle w:val="BodyText"/>
        <w:ind w:left="600"/>
        <w:spacing w:before="159" w:line="219" w:lineRule="auto"/>
        <w:rPr>
          <w:sz w:val="29"/>
          <w:szCs w:val="29"/>
        </w:rPr>
      </w:pPr>
      <w:r>
        <w:rPr>
          <w:sz w:val="29"/>
          <w:szCs w:val="29"/>
          <w:spacing w:val="4"/>
        </w:rPr>
        <w:t>气温逐渐升高，进入初夏。降雨强度大。</w:t>
      </w:r>
    </w:p>
    <w:p>
      <w:pPr>
        <w:pStyle w:val="BodyText"/>
        <w:ind w:left="600"/>
        <w:spacing w:before="13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600"/>
        <w:spacing w:before="124" w:line="219" w:lineRule="auto"/>
        <w:rPr>
          <w:sz w:val="29"/>
          <w:szCs w:val="29"/>
        </w:rPr>
      </w:pPr>
      <w:r>
        <w:rPr>
          <w:sz w:val="29"/>
          <w:szCs w:val="29"/>
          <w:spacing w:val="2"/>
        </w:rPr>
        <w:t>及时检查乔木支撑情况，发现松动或缺失立即加固</w:t>
      </w:r>
    </w:p>
    <w:p>
      <w:pPr>
        <w:ind w:left="600"/>
        <w:spacing w:before="9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360" w:firstLine="730"/>
        <w:spacing w:before="164" w:line="266" w:lineRule="auto"/>
        <w:rPr>
          <w:sz w:val="29"/>
          <w:szCs w:val="29"/>
        </w:rPr>
      </w:pPr>
      <w:r>
        <w:rPr>
          <w:sz w:val="29"/>
          <w:szCs w:val="29"/>
          <w:spacing w:val="9"/>
        </w:rPr>
        <w:t>(1)乔木修剪：继续对乔木进行剥芽除蘖工作。同时</w:t>
      </w:r>
      <w:r>
        <w:rPr>
          <w:sz w:val="29"/>
          <w:szCs w:val="29"/>
          <w:spacing w:val="8"/>
        </w:rPr>
        <w:t>及时修剪影响园路行</w:t>
      </w:r>
      <w:r>
        <w:rPr>
          <w:sz w:val="29"/>
          <w:szCs w:val="29"/>
        </w:rPr>
        <w:t xml:space="preserve"> </w:t>
      </w:r>
      <w:r>
        <w:rPr>
          <w:sz w:val="29"/>
          <w:szCs w:val="29"/>
          <w:spacing w:val="1"/>
        </w:rPr>
        <w:t>走的枝条，特别是道路两侧的行道树，注意不能影响线路安全；</w:t>
      </w:r>
    </w:p>
    <w:p>
      <w:pPr>
        <w:pStyle w:val="BodyText"/>
        <w:ind w:left="730"/>
        <w:spacing w:before="146" w:line="219" w:lineRule="auto"/>
        <w:rPr>
          <w:sz w:val="29"/>
          <w:szCs w:val="29"/>
        </w:rPr>
      </w:pPr>
      <w:r>
        <w:rPr>
          <w:sz w:val="29"/>
          <w:szCs w:val="29"/>
          <w:spacing w:val="8"/>
        </w:rPr>
        <w:t>(2)灌木、地被修剪：对绿篱、球类及部分花灌木、地被</w:t>
      </w:r>
      <w:r>
        <w:rPr>
          <w:sz w:val="29"/>
          <w:szCs w:val="29"/>
          <w:spacing w:val="7"/>
        </w:rPr>
        <w:t>实施修剪。疏剪</w:t>
      </w:r>
    </w:p>
    <w:p>
      <w:pPr>
        <w:spacing w:line="219" w:lineRule="auto"/>
        <w:sectPr>
          <w:footerReference w:type="default" r:id="rId656"/>
          <w:pgSz w:w="14490" w:h="20470"/>
          <w:pgMar w:top="400" w:right="1824" w:bottom="1433" w:left="2150" w:header="0" w:footer="1234"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树冠和修剪与园路灯、电线等发生矛盾的枝条；</w:t>
      </w:r>
    </w:p>
    <w:p>
      <w:pPr>
        <w:pStyle w:val="BodyText"/>
        <w:ind w:right="252" w:firstLine="730"/>
        <w:spacing w:before="156" w:line="311" w:lineRule="auto"/>
        <w:jc w:val="both"/>
        <w:rPr>
          <w:sz w:val="29"/>
          <w:szCs w:val="29"/>
        </w:rPr>
      </w:pPr>
      <w:r>
        <w:rPr>
          <w:sz w:val="29"/>
          <w:szCs w:val="29"/>
          <w:spacing w:val="7"/>
        </w:rPr>
        <w:t>(3)草皮修剪：全园区喷施除草剂，喷施一次即可，有剩余则人工摘除，</w:t>
      </w:r>
      <w:r>
        <w:rPr>
          <w:sz w:val="29"/>
          <w:szCs w:val="29"/>
          <w:spacing w:val="17"/>
        </w:rPr>
        <w:t xml:space="preserve"> </w:t>
      </w:r>
      <w:r>
        <w:rPr>
          <w:sz w:val="29"/>
          <w:szCs w:val="29"/>
        </w:rPr>
        <w:t>修剪后及时喷药进行病害的防治，干旱时及时灌透</w:t>
      </w:r>
      <w:r>
        <w:rPr>
          <w:sz w:val="29"/>
          <w:szCs w:val="29"/>
          <w:spacing w:val="-1"/>
        </w:rPr>
        <w:t>水。及时对草坪进行修剪，高</w:t>
      </w:r>
      <w:r>
        <w:rPr>
          <w:sz w:val="29"/>
          <w:szCs w:val="29"/>
        </w:rPr>
        <w:t xml:space="preserve"> </w:t>
      </w:r>
      <w:r>
        <w:rPr>
          <w:sz w:val="29"/>
          <w:szCs w:val="29"/>
          <w:spacing w:val="-5"/>
        </w:rPr>
        <w:t>度保持4-5</w:t>
      </w:r>
      <w:r>
        <w:rPr>
          <w:rFonts w:ascii="Times New Roman" w:hAnsi="Times New Roman" w:eastAsia="Times New Roman" w:cs="Times New Roman"/>
          <w:sz w:val="29"/>
          <w:szCs w:val="29"/>
          <w:spacing w:val="-5"/>
        </w:rPr>
        <w:t>cm</w:t>
      </w:r>
      <w:r>
        <w:rPr>
          <w:sz w:val="29"/>
          <w:szCs w:val="29"/>
          <w:spacing w:val="-5"/>
        </w:rPr>
        <w:t>。避免出现剪短露白茬，及</w:t>
      </w:r>
      <w:r>
        <w:rPr>
          <w:sz w:val="29"/>
          <w:szCs w:val="29"/>
          <w:spacing w:val="-6"/>
        </w:rPr>
        <w:t>时清除草坪及树木下的杂草，绿篱及地被</w:t>
      </w:r>
      <w:r>
        <w:rPr>
          <w:sz w:val="29"/>
          <w:szCs w:val="29"/>
        </w:rPr>
        <w:t xml:space="preserve"> </w:t>
      </w:r>
      <w:r>
        <w:rPr>
          <w:sz w:val="29"/>
          <w:szCs w:val="29"/>
          <w:spacing w:val="-3"/>
        </w:rPr>
        <w:t>内生出的杂草、爬藤及时连根清除。</w:t>
      </w:r>
    </w:p>
    <w:p>
      <w:pPr>
        <w:ind w:left="600"/>
        <w:spacing w:before="4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52" w:firstLine="730"/>
        <w:spacing w:before="103" w:line="265" w:lineRule="auto"/>
        <w:rPr>
          <w:sz w:val="29"/>
          <w:szCs w:val="29"/>
        </w:rPr>
      </w:pPr>
      <w:r>
        <w:rPr>
          <w:sz w:val="29"/>
          <w:szCs w:val="29"/>
        </w:rPr>
        <w:t>(1)浇水：伏天气温高，雨水少时，植物需水量大，要及时浇水，</w:t>
      </w:r>
      <w:r>
        <w:rPr>
          <w:sz w:val="29"/>
          <w:szCs w:val="29"/>
          <w:spacing w:val="-1"/>
        </w:rPr>
        <w:t>不能“看</w:t>
      </w:r>
      <w:r>
        <w:rPr>
          <w:sz w:val="29"/>
          <w:szCs w:val="29"/>
        </w:rPr>
        <w:t xml:space="preserve"> </w:t>
      </w:r>
      <w:r>
        <w:rPr>
          <w:sz w:val="29"/>
          <w:szCs w:val="29"/>
          <w:spacing w:val="-4"/>
        </w:rPr>
        <w:t>天吃饭”应注意灌溉问题。本月也是暴雨较多的月份，要注意防涝；</w:t>
      </w:r>
    </w:p>
    <w:p>
      <w:pPr>
        <w:pStyle w:val="BodyText"/>
        <w:ind w:right="250" w:firstLine="730"/>
        <w:spacing w:before="159" w:line="262" w:lineRule="auto"/>
        <w:rPr>
          <w:sz w:val="29"/>
          <w:szCs w:val="29"/>
        </w:rPr>
      </w:pPr>
      <w:r>
        <w:rPr>
          <w:sz w:val="29"/>
          <w:szCs w:val="29"/>
          <w:spacing w:val="9"/>
        </w:rPr>
        <w:t>(2)排水：对于低洼易积水绿化区域，预先挖好排水</w:t>
      </w:r>
      <w:r>
        <w:rPr>
          <w:sz w:val="29"/>
          <w:szCs w:val="29"/>
          <w:spacing w:val="8"/>
        </w:rPr>
        <w:t>沟，有大雨天气时要</w:t>
      </w:r>
      <w:r>
        <w:rPr>
          <w:sz w:val="29"/>
          <w:szCs w:val="29"/>
        </w:rPr>
        <w:t xml:space="preserve"> </w:t>
      </w:r>
      <w:r>
        <w:rPr>
          <w:sz w:val="29"/>
          <w:szCs w:val="29"/>
          <w:spacing w:val="-3"/>
        </w:rPr>
        <w:t>注意低洼处的排水工作；</w:t>
      </w:r>
    </w:p>
    <w:p>
      <w:pPr>
        <w:pStyle w:val="BodyText"/>
        <w:ind w:right="252" w:firstLine="730"/>
        <w:spacing w:before="154" w:line="281" w:lineRule="auto"/>
        <w:rPr>
          <w:sz w:val="29"/>
          <w:szCs w:val="29"/>
        </w:rPr>
      </w:pPr>
      <w:r>
        <w:rPr>
          <w:sz w:val="29"/>
          <w:szCs w:val="29"/>
          <w:spacing w:val="4"/>
        </w:rPr>
        <w:t>(3)施肥：对长势较差的植物追施一次氮、磷、钾均衡型速效性复合肥(氮</w:t>
      </w:r>
      <w:r>
        <w:rPr>
          <w:sz w:val="29"/>
          <w:szCs w:val="29"/>
          <w:spacing w:val="5"/>
        </w:rPr>
        <w:t xml:space="preserve"> </w:t>
      </w:r>
      <w:r>
        <w:rPr>
          <w:sz w:val="29"/>
          <w:szCs w:val="29"/>
          <w:spacing w:val="3"/>
        </w:rPr>
        <w:t>15-20、磷15-20、钾15-20),土壤偏碱的地区结合浇水施</w:t>
      </w:r>
      <w:r>
        <w:rPr>
          <w:sz w:val="29"/>
          <w:szCs w:val="29"/>
          <w:spacing w:val="2"/>
        </w:rPr>
        <w:t>用硫酸亚铁、配合使用</w:t>
      </w:r>
      <w:r>
        <w:rPr>
          <w:sz w:val="29"/>
          <w:szCs w:val="29"/>
        </w:rPr>
        <w:t xml:space="preserve"> </w:t>
      </w:r>
      <w:r>
        <w:rPr>
          <w:sz w:val="29"/>
          <w:szCs w:val="29"/>
          <w:spacing w:val="-8"/>
        </w:rPr>
        <w:t>营养剂、根部施肥透气透水等措施提高苗木成活，提高养护效果。6月上旬结束。</w:t>
      </w:r>
    </w:p>
    <w:p>
      <w:pPr>
        <w:pStyle w:val="BodyText"/>
        <w:ind w:left="600"/>
        <w:spacing w:before="18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9" w:firstLine="730"/>
        <w:spacing w:before="95" w:line="272" w:lineRule="auto"/>
        <w:rPr>
          <w:sz w:val="29"/>
          <w:szCs w:val="29"/>
        </w:rPr>
      </w:pPr>
      <w:r>
        <w:rPr>
          <w:sz w:val="29"/>
          <w:szCs w:val="29"/>
          <w:spacing w:val="6"/>
        </w:rPr>
        <w:t>(1)病害：白粉病、炭疽病、锈病、煤污病、叶枯</w:t>
      </w:r>
      <w:r>
        <w:rPr>
          <w:sz w:val="29"/>
          <w:szCs w:val="29"/>
          <w:spacing w:val="5"/>
        </w:rPr>
        <w:t>病、干腐病、枝枯病、</w:t>
      </w:r>
      <w:r>
        <w:rPr>
          <w:sz w:val="29"/>
          <w:szCs w:val="29"/>
        </w:rPr>
        <w:t xml:space="preserve"> </w:t>
      </w:r>
      <w:r>
        <w:rPr>
          <w:sz w:val="29"/>
          <w:szCs w:val="29"/>
          <w:spacing w:val="1"/>
        </w:rPr>
        <w:t>流胶病、枯萎病、草坪腐霉枯萎病、细菌性穿孔病、冠瘿病等；</w:t>
      </w:r>
    </w:p>
    <w:p>
      <w:pPr>
        <w:pStyle w:val="BodyText"/>
        <w:ind w:firstLine="730"/>
        <w:spacing w:before="146" w:line="292" w:lineRule="auto"/>
        <w:rPr>
          <w:sz w:val="29"/>
          <w:szCs w:val="29"/>
        </w:rPr>
      </w:pPr>
      <w:r>
        <w:rPr>
          <w:sz w:val="29"/>
          <w:szCs w:val="29"/>
          <w:spacing w:val="9"/>
        </w:rPr>
        <w:t>(2)虫害：大青叶蝉、桃粉蚜、梨网冠蝽、杜鹃冠网</w:t>
      </w:r>
      <w:r>
        <w:rPr>
          <w:sz w:val="29"/>
          <w:szCs w:val="29"/>
          <w:spacing w:val="8"/>
        </w:rPr>
        <w:t>蝽、梧桐木虱、樟叶</w:t>
      </w:r>
      <w:r>
        <w:rPr>
          <w:sz w:val="29"/>
          <w:szCs w:val="29"/>
        </w:rPr>
        <w:t xml:space="preserve">  </w:t>
      </w:r>
      <w:r>
        <w:rPr>
          <w:sz w:val="29"/>
          <w:szCs w:val="29"/>
          <w:spacing w:val="-9"/>
        </w:rPr>
        <w:t>木虱、花蓟马、桑天牛、星天牛、云斑天牛、苹果枝天牛、咖啡木蠹蛾、柏肤小蠹、</w:t>
      </w:r>
      <w:r>
        <w:rPr>
          <w:sz w:val="29"/>
          <w:szCs w:val="29"/>
          <w:spacing w:val="6"/>
        </w:rPr>
        <w:t xml:space="preserve"> </w:t>
      </w:r>
      <w:r>
        <w:rPr>
          <w:sz w:val="29"/>
          <w:szCs w:val="29"/>
          <w:spacing w:val="-16"/>
        </w:rPr>
        <w:t>白蚁、蝼蛄、黄刺蛾、扁刺蛾、丽绿刺蛾、褐边绿刺蛾、桑褐刺蛾</w:t>
      </w:r>
      <w:r>
        <w:rPr>
          <w:sz w:val="29"/>
          <w:szCs w:val="29"/>
          <w:spacing w:val="-17"/>
        </w:rPr>
        <w:t>、茶袋蛾、大袋蛾、</w:t>
      </w:r>
      <w:r>
        <w:rPr>
          <w:sz w:val="29"/>
          <w:szCs w:val="29"/>
        </w:rPr>
        <w:t xml:space="preserve"> </w:t>
      </w:r>
      <w:r>
        <w:rPr>
          <w:sz w:val="29"/>
          <w:szCs w:val="29"/>
          <w:spacing w:val="-1"/>
        </w:rPr>
        <w:t>黄尾毒蛾、桃剑纹夜蛾、丝棉木金星尺蛾、国槐尺蛾、樟蚕(枫蚕)、绿尾大蚕蛾、</w:t>
      </w:r>
      <w:r>
        <w:rPr>
          <w:sz w:val="29"/>
          <w:szCs w:val="29"/>
        </w:rPr>
        <w:t xml:space="preserve"> </w:t>
      </w:r>
      <w:r>
        <w:rPr>
          <w:sz w:val="29"/>
          <w:szCs w:val="29"/>
          <w:spacing w:val="1"/>
        </w:rPr>
        <w:t>柑桔凤蝶、玉带凤蝶、蔷薇三节叶蜂、樟叶蜂等。</w:t>
      </w:r>
    </w:p>
    <w:p>
      <w:pPr>
        <w:pStyle w:val="BodyText"/>
        <w:ind w:left="600"/>
        <w:spacing w:before="167"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1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9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38" w:firstLine="730"/>
        <w:spacing w:before="141" w:line="274"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6"/>
        </w:rPr>
        <w:t>其它物资；</w:t>
      </w:r>
    </w:p>
    <w:p>
      <w:pPr>
        <w:pStyle w:val="BodyText"/>
        <w:ind w:left="730"/>
        <w:spacing w:before="120" w:line="219" w:lineRule="auto"/>
        <w:rPr>
          <w:sz w:val="29"/>
          <w:szCs w:val="29"/>
        </w:rPr>
      </w:pPr>
      <w:r>
        <w:rPr>
          <w:sz w:val="29"/>
          <w:szCs w:val="29"/>
          <w:spacing w:val="12"/>
        </w:rPr>
        <w:t>(3)进行机械工具的检查维修。</w:t>
      </w:r>
    </w:p>
    <w:p>
      <w:pPr>
        <w:pStyle w:val="BodyText"/>
        <w:ind w:left="600"/>
        <w:spacing w:before="12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spacing w:line="221" w:lineRule="auto"/>
        <w:sectPr>
          <w:footerReference w:type="default" r:id="rId657"/>
          <w:pgSz w:w="14490" w:h="20470"/>
          <w:pgMar w:top="400" w:right="1935" w:bottom="1433" w:left="2150" w:header="0" w:footer="1234"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firstLine="590"/>
        <w:spacing w:before="95" w:line="311"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76" w:line="223" w:lineRule="auto"/>
        <w:rPr>
          <w:rFonts w:ascii="SimHei" w:hAnsi="SimHei" w:eastAsia="SimHei" w:cs="SimHei"/>
          <w:sz w:val="29"/>
          <w:szCs w:val="29"/>
        </w:rPr>
      </w:pPr>
      <w:r>
        <w:rPr>
          <w:rFonts w:ascii="SimHei" w:hAnsi="SimHei" w:eastAsia="SimHei" w:cs="SimHei"/>
          <w:sz w:val="29"/>
          <w:szCs w:val="29"/>
          <w:spacing w:val="12"/>
        </w:rPr>
        <w:t>七月份</w:t>
      </w:r>
    </w:p>
    <w:p>
      <w:pPr>
        <w:pStyle w:val="BodyText"/>
        <w:ind w:left="590"/>
        <w:spacing w:before="146" w:line="219" w:lineRule="auto"/>
        <w:rPr>
          <w:sz w:val="29"/>
          <w:szCs w:val="29"/>
        </w:rPr>
      </w:pPr>
      <w:r>
        <w:rPr>
          <w:sz w:val="29"/>
          <w:szCs w:val="29"/>
          <w:spacing w:val="4"/>
        </w:rPr>
        <w:t>气温最高，雨季结束。主要灾害性天气有干旱、暴雨、雷雨大风等。</w:t>
      </w:r>
    </w:p>
    <w:p>
      <w:pPr>
        <w:pStyle w:val="BodyText"/>
        <w:ind w:left="590"/>
        <w:spacing w:before="13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24" w:line="219" w:lineRule="auto"/>
        <w:rPr>
          <w:sz w:val="29"/>
          <w:szCs w:val="29"/>
        </w:rPr>
      </w:pPr>
      <w:r>
        <w:rPr>
          <w:sz w:val="29"/>
          <w:szCs w:val="29"/>
          <w:spacing w:val="6"/>
        </w:rPr>
        <w:t>(1)做好排涝工作，保证苗木的正常生长，大雨过后要及时排涝；</w:t>
      </w:r>
    </w:p>
    <w:p>
      <w:pPr>
        <w:pStyle w:val="BodyText"/>
        <w:ind w:right="334" w:firstLine="730"/>
        <w:spacing w:before="136" w:line="266" w:lineRule="auto"/>
        <w:rPr>
          <w:sz w:val="29"/>
          <w:szCs w:val="29"/>
        </w:rPr>
      </w:pPr>
      <w:r>
        <w:rPr>
          <w:sz w:val="29"/>
          <w:szCs w:val="29"/>
          <w:spacing w:val="6"/>
        </w:rPr>
        <w:t>(2)做好防风、防汛工作，及时检查乔木支撑情况，发现松动或缺失立即 </w:t>
      </w:r>
      <w:r>
        <w:rPr>
          <w:sz w:val="29"/>
          <w:szCs w:val="29"/>
          <w:spacing w:val="-10"/>
        </w:rPr>
        <w:t>加固；</w:t>
      </w:r>
    </w:p>
    <w:p>
      <w:pPr>
        <w:pStyle w:val="BodyText"/>
        <w:ind w:right="352" w:firstLine="730"/>
        <w:spacing w:before="162" w:line="263" w:lineRule="auto"/>
        <w:rPr>
          <w:sz w:val="29"/>
          <w:szCs w:val="29"/>
        </w:rPr>
      </w:pPr>
      <w:r>
        <w:rPr>
          <w:sz w:val="29"/>
          <w:szCs w:val="29"/>
          <w:spacing w:val="6"/>
        </w:rPr>
        <w:t>(3)事先做好劳力组织、物资材料、工具设备</w:t>
      </w:r>
      <w:r>
        <w:rPr>
          <w:sz w:val="29"/>
          <w:szCs w:val="29"/>
          <w:spacing w:val="5"/>
        </w:rPr>
        <w:t>等方面的准备，并随时派人</w:t>
      </w:r>
      <w:r>
        <w:rPr>
          <w:sz w:val="29"/>
          <w:szCs w:val="29"/>
        </w:rPr>
        <w:t xml:space="preserve"> </w:t>
      </w:r>
      <w:r>
        <w:rPr>
          <w:sz w:val="29"/>
          <w:szCs w:val="29"/>
        </w:rPr>
        <w:t>检查，发现险情及时处理。</w:t>
      </w:r>
    </w:p>
    <w:p>
      <w:pPr>
        <w:pStyle w:val="BodyText"/>
        <w:ind w:left="730"/>
        <w:spacing w:before="176" w:line="219" w:lineRule="auto"/>
        <w:rPr>
          <w:sz w:val="29"/>
          <w:szCs w:val="29"/>
        </w:rPr>
      </w:pPr>
      <w:r>
        <w:rPr>
          <w:sz w:val="29"/>
          <w:szCs w:val="29"/>
          <w:spacing w:val="9"/>
        </w:rPr>
        <w:t>(4)及时检查乔木支撑情况，发现松动或缺失立即加固</w:t>
      </w:r>
    </w:p>
    <w:p>
      <w:pPr>
        <w:pStyle w:val="BodyText"/>
        <w:ind w:left="590"/>
        <w:spacing w:before="7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19" w:firstLine="730"/>
        <w:spacing w:before="165" w:line="262" w:lineRule="auto"/>
        <w:rPr>
          <w:sz w:val="29"/>
          <w:szCs w:val="29"/>
        </w:rPr>
      </w:pPr>
      <w:r>
        <w:rPr>
          <w:sz w:val="29"/>
          <w:szCs w:val="29"/>
          <w:spacing w:val="1"/>
        </w:rPr>
        <w:t>(1)</w:t>
      </w:r>
      <w:r>
        <w:rPr>
          <w:sz w:val="29"/>
          <w:szCs w:val="29"/>
          <w:spacing w:val="107"/>
        </w:rPr>
        <w:t xml:space="preserve"> </w:t>
      </w:r>
      <w:r>
        <w:rPr>
          <w:sz w:val="29"/>
          <w:szCs w:val="29"/>
          <w:spacing w:val="1"/>
        </w:rPr>
        <w:t>乔木修剪：乔木、花灌木及草坪生长迅速，要及时对乔木、灌木、地</w:t>
      </w:r>
      <w:r>
        <w:rPr>
          <w:sz w:val="29"/>
          <w:szCs w:val="29"/>
        </w:rPr>
        <w:t xml:space="preserve">  </w:t>
      </w:r>
      <w:r>
        <w:rPr>
          <w:sz w:val="29"/>
          <w:szCs w:val="29"/>
          <w:spacing w:val="-9"/>
        </w:rPr>
        <w:t>被草坪进行修剪。行道树，进行剥芽修剪，对与电线</w:t>
      </w:r>
      <w:r>
        <w:rPr>
          <w:sz w:val="29"/>
          <w:szCs w:val="29"/>
          <w:spacing w:val="-10"/>
        </w:rPr>
        <w:t>及道路有矛盾的树枝一律修剪；</w:t>
      </w:r>
    </w:p>
    <w:p>
      <w:pPr>
        <w:pStyle w:val="BodyText"/>
        <w:ind w:right="220" w:firstLine="730"/>
        <w:spacing w:before="156" w:line="266" w:lineRule="auto"/>
        <w:rPr>
          <w:sz w:val="29"/>
          <w:szCs w:val="29"/>
        </w:rPr>
      </w:pPr>
      <w:r>
        <w:rPr>
          <w:sz w:val="29"/>
          <w:szCs w:val="29"/>
          <w:spacing w:val="6"/>
        </w:rPr>
        <w:t>(2)草皮修剪：草坪修剪，增加通透性，减少病害，剪下草屑及时清运。</w:t>
      </w:r>
      <w:r>
        <w:rPr>
          <w:sz w:val="29"/>
          <w:szCs w:val="29"/>
          <w:spacing w:val="1"/>
        </w:rPr>
        <w:t xml:space="preserve"> </w:t>
      </w:r>
      <w:r>
        <w:rPr>
          <w:sz w:val="29"/>
          <w:szCs w:val="29"/>
          <w:spacing w:val="1"/>
        </w:rPr>
        <w:t>及时清除草坪及树木下的杂草，绿篱及地被内生出的杂草，爬藤及时连根清</w:t>
      </w:r>
      <w:r>
        <w:rPr>
          <w:sz w:val="29"/>
          <w:szCs w:val="29"/>
        </w:rPr>
        <w:t>除。</w:t>
      </w:r>
    </w:p>
    <w:p>
      <w:pPr>
        <w:ind w:left="590"/>
        <w:spacing w:before="18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90"/>
        <w:spacing w:before="103" w:line="219" w:lineRule="auto"/>
        <w:rPr>
          <w:sz w:val="29"/>
          <w:szCs w:val="29"/>
        </w:rPr>
      </w:pPr>
      <w:r>
        <w:rPr>
          <w:sz w:val="29"/>
          <w:szCs w:val="29"/>
          <w:spacing w:val="1"/>
        </w:rPr>
        <w:t>浇水，七月为高温季节，注意苗木实时浇水，同时也要注意时花的浇水。</w:t>
      </w:r>
    </w:p>
    <w:p>
      <w:pPr>
        <w:pStyle w:val="BodyText"/>
        <w:ind w:left="590"/>
        <w:spacing w:before="93"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right="251" w:firstLine="730"/>
        <w:spacing w:before="165" w:line="269"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5"/>
        </w:rPr>
        <w:t>坪腐霉枯萎病、细菌性穿孔病、冠瘿病、花叶病等；</w:t>
      </w:r>
    </w:p>
    <w:p>
      <w:pPr>
        <w:pStyle w:val="BodyText"/>
        <w:ind w:right="203" w:firstLine="730"/>
        <w:spacing w:before="142" w:line="296" w:lineRule="auto"/>
        <w:rPr/>
      </w:pPr>
      <w:r>
        <w:rPr>
          <w:spacing w:val="18"/>
        </w:rPr>
        <w:t>(2)虫害：大青叶蝉、梨网冠蝽、杜鹃冠网蝽、梧桐木虱、花蓟马、桑天</w:t>
      </w:r>
      <w:r>
        <w:rPr>
          <w:spacing w:val="7"/>
        </w:rPr>
        <w:t xml:space="preserve"> </w:t>
      </w:r>
      <w:r>
        <w:rPr>
          <w:spacing w:val="-4"/>
        </w:rPr>
        <w:t>牛、星天牛、白蚁、蝼蛄、黄刺蛾、扁刺蛾、丽绿刺蛾、</w:t>
      </w:r>
      <w:r>
        <w:rPr>
          <w:spacing w:val="-5"/>
        </w:rPr>
        <w:t>褐边绿刺蛾、桑褐刺蛾、茶</w:t>
      </w:r>
      <w:r>
        <w:rPr/>
        <w:t xml:space="preserve"> </w:t>
      </w:r>
      <w:r>
        <w:rPr>
          <w:spacing w:val="1"/>
        </w:rPr>
        <w:t>袋蛾、大袋蛾、黄尾毒蛾、桃剑纹夜蛾、斜纹夜蛾、丝棉木金星</w:t>
      </w:r>
      <w:r>
        <w:rPr/>
        <w:t>尺蛾、国槐尺蛾、 </w:t>
      </w:r>
      <w:r>
        <w:rPr>
          <w:spacing w:val="15"/>
        </w:rPr>
        <w:t>樟蚕(枫蚕)、绿尾大蚕蛾、柑桔凤蝶、玉带凤蝶、蔷薇三节叶蜂、樟叶蜂等。</w:t>
      </w:r>
    </w:p>
    <w:p>
      <w:pPr>
        <w:pStyle w:val="BodyText"/>
        <w:ind w:left="59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50" w:firstLine="730"/>
        <w:spacing w:before="94" w:line="268" w:lineRule="auto"/>
        <w:rPr>
          <w:sz w:val="29"/>
          <w:szCs w:val="29"/>
        </w:rPr>
      </w:pPr>
      <w:r>
        <w:rPr>
          <w:sz w:val="29"/>
          <w:szCs w:val="29"/>
          <w:spacing w:val="6"/>
        </w:rPr>
        <w:t>(1)保洁人员合理分区，全天候巡视，及时清理烟</w:t>
      </w:r>
      <w:r>
        <w:rPr>
          <w:sz w:val="29"/>
          <w:szCs w:val="29"/>
          <w:spacing w:val="5"/>
        </w:rPr>
        <w:t>头、树挂等垃圾，水景</w:t>
      </w:r>
      <w:r>
        <w:rPr>
          <w:sz w:val="29"/>
          <w:szCs w:val="29"/>
        </w:rPr>
        <w:t xml:space="preserve"> </w:t>
      </w:r>
      <w:r>
        <w:rPr>
          <w:sz w:val="29"/>
          <w:szCs w:val="29"/>
          <w:spacing w:val="1"/>
        </w:rPr>
        <w:t>池、灯杆、垃圾桶保持干净；</w:t>
      </w:r>
    </w:p>
    <w:p>
      <w:pPr>
        <w:pStyle w:val="BodyText"/>
        <w:ind w:right="313" w:firstLine="730"/>
        <w:spacing w:before="14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90"/>
        <w:spacing w:before="122"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spacing w:line="396" w:lineRule="exact"/>
        <w:sectPr>
          <w:footerReference w:type="default" r:id="rId658"/>
          <w:pgSz w:w="14490" w:h="20470"/>
          <w:pgMar w:top="400" w:right="1935" w:bottom="1433" w:left="2150" w:header="0" w:footer="1235"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331" w:firstLine="730"/>
        <w:spacing w:before="94"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left="730"/>
        <w:spacing w:before="151" w:line="219" w:lineRule="auto"/>
        <w:rPr>
          <w:sz w:val="29"/>
          <w:szCs w:val="29"/>
        </w:rPr>
      </w:pPr>
      <w:r>
        <w:rPr>
          <w:sz w:val="29"/>
          <w:szCs w:val="29"/>
          <w:spacing w:val="12"/>
        </w:rPr>
        <w:t>(2)进行机械工具的检查维修。</w:t>
      </w:r>
    </w:p>
    <w:p>
      <w:pPr>
        <w:pStyle w:val="BodyText"/>
        <w:ind w:left="600"/>
        <w:spacing w:before="11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34"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72"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600"/>
        <w:spacing w:before="107" w:line="219" w:lineRule="auto"/>
        <w:rPr>
          <w:sz w:val="29"/>
          <w:szCs w:val="29"/>
        </w:rPr>
      </w:pPr>
      <w:r>
        <w:rPr>
          <w:sz w:val="29"/>
          <w:szCs w:val="29"/>
          <w:spacing w:val="3"/>
        </w:rPr>
        <w:t>天气晴热少雨，主要灾害性天气有干旱、暴雨、雷雨大风。</w:t>
      </w:r>
    </w:p>
    <w:p>
      <w:pPr>
        <w:pStyle w:val="BodyText"/>
        <w:ind w:left="600"/>
        <w:spacing w:before="29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33" w:line="219" w:lineRule="auto"/>
        <w:rPr>
          <w:sz w:val="29"/>
          <w:szCs w:val="29"/>
        </w:rPr>
      </w:pPr>
      <w:r>
        <w:rPr>
          <w:sz w:val="29"/>
          <w:szCs w:val="29"/>
          <w:spacing w:val="1"/>
        </w:rPr>
        <w:t>及时检查乔木支撑情况，发现松动或缺失立即加固。</w:t>
      </w:r>
    </w:p>
    <w:p>
      <w:pPr>
        <w:ind w:left="600"/>
        <w:spacing w:before="12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199" w:firstLine="600"/>
        <w:spacing w:before="126" w:line="314" w:lineRule="auto"/>
        <w:rPr>
          <w:sz w:val="29"/>
          <w:szCs w:val="29"/>
        </w:rPr>
      </w:pPr>
      <w:r>
        <w:rPr>
          <w:sz w:val="29"/>
          <w:szCs w:val="29"/>
          <w:spacing w:val="1"/>
        </w:rPr>
        <w:t>乔木、花灌木及草坪生长迅速，要及时对乔木、灌木、</w:t>
      </w:r>
      <w:r>
        <w:rPr>
          <w:sz w:val="29"/>
          <w:szCs w:val="29"/>
        </w:rPr>
        <w:t>地被草坪进行修剪， </w:t>
      </w:r>
      <w:r>
        <w:rPr>
          <w:sz w:val="29"/>
          <w:szCs w:val="29"/>
          <w:spacing w:val="1"/>
        </w:rPr>
        <w:t>及时清除草坪及树木下的杂草，绿篱及地被内生出的杂草，爬藤及时连根清除。</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600"/>
        <w:spacing w:before="98" w:line="219" w:lineRule="auto"/>
        <w:rPr>
          <w:sz w:val="29"/>
          <w:szCs w:val="29"/>
        </w:rPr>
      </w:pPr>
      <w:r>
        <w:rPr>
          <w:sz w:val="29"/>
          <w:szCs w:val="29"/>
          <w:spacing w:val="1"/>
        </w:rPr>
        <w:t>八月为高温季节，注意苗木实时浇水，同时也要注意时花的适时浇水。</w:t>
      </w:r>
    </w:p>
    <w:p>
      <w:pPr>
        <w:pStyle w:val="BodyText"/>
        <w:ind w:left="600"/>
        <w:spacing w:before="12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33" w:firstLine="730"/>
        <w:spacing w:before="144" w:line="266"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rPr>
        <w:t>腐霉枯萎病、细菌性穿孔病、冠瘿病、花叶病、丛枝病等；</w:t>
      </w:r>
    </w:p>
    <w:p>
      <w:pPr>
        <w:pStyle w:val="BodyText"/>
        <w:ind w:right="172" w:firstLine="730"/>
        <w:spacing w:before="156" w:line="287" w:lineRule="auto"/>
        <w:rPr>
          <w:sz w:val="29"/>
          <w:szCs w:val="29"/>
        </w:rPr>
      </w:pPr>
      <w:r>
        <w:rPr>
          <w:sz w:val="29"/>
          <w:szCs w:val="29"/>
          <w:spacing w:val="7"/>
        </w:rPr>
        <w:t>(2)虫害：大青叶蝉、梨网冠蝽、杜鹃冠网蝽、梧桐木虱、花蓟马、桑天</w:t>
      </w:r>
      <w:r>
        <w:rPr>
          <w:sz w:val="29"/>
          <w:szCs w:val="29"/>
          <w:spacing w:val="16"/>
        </w:rPr>
        <w:t xml:space="preserve"> </w:t>
      </w:r>
      <w:r>
        <w:rPr>
          <w:sz w:val="29"/>
          <w:szCs w:val="29"/>
          <w:spacing w:val="1"/>
        </w:rPr>
        <w:t>牛、白蚁、蝼蛄、黄刺蛾、扁刺蛾、丽绿刺蛾、褐边</w:t>
      </w:r>
      <w:r>
        <w:rPr>
          <w:sz w:val="29"/>
          <w:szCs w:val="29"/>
        </w:rPr>
        <w:t>绿刺蛾、茶袋蛾、大袋蛾、 </w:t>
      </w:r>
      <w:r>
        <w:rPr>
          <w:sz w:val="29"/>
          <w:szCs w:val="29"/>
          <w:spacing w:val="-6"/>
        </w:rPr>
        <w:t>黄尾毒蛾、斜纹夜蛾、丝棉木金星尺蛾、国槐尺蛾、樟蚕(枫蚕)、绿尾大蚕蛾、柑</w:t>
      </w:r>
      <w:r>
        <w:rPr>
          <w:sz w:val="29"/>
          <w:szCs w:val="29"/>
          <w:spacing w:val="3"/>
        </w:rPr>
        <w:t xml:space="preserve"> </w:t>
      </w:r>
      <w:r>
        <w:rPr>
          <w:sz w:val="29"/>
          <w:szCs w:val="29"/>
          <w:spacing w:val="-6"/>
        </w:rPr>
        <w:t>桔凤蝶、玉带凤蝶、蔷薇三节叶蜂等。</w:t>
      </w:r>
    </w:p>
    <w:p>
      <w:pPr>
        <w:pStyle w:val="BodyText"/>
        <w:ind w:left="600"/>
        <w:spacing w:before="15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49" w:firstLine="730"/>
        <w:spacing w:before="94" w:line="313" w:lineRule="auto"/>
        <w:rPr>
          <w:sz w:val="29"/>
          <w:szCs w:val="29"/>
        </w:rPr>
      </w:pPr>
      <w:r>
        <w:rPr>
          <w:sz w:val="29"/>
          <w:szCs w:val="29"/>
          <w:spacing w:val="-13"/>
        </w:rPr>
        <w:t>(1)</w:t>
      </w:r>
      <w:r>
        <w:rPr>
          <w:sz w:val="29"/>
          <w:szCs w:val="29"/>
          <w:spacing w:val="92"/>
        </w:rPr>
        <w:t xml:space="preserve"> </w:t>
      </w:r>
      <w:r>
        <w:rPr>
          <w:sz w:val="29"/>
          <w:szCs w:val="29"/>
          <w:spacing w:val="-13"/>
        </w:rPr>
        <w:t>保洁人员合理分区，全天候巡视，及时清理烟头、树挂</w:t>
      </w:r>
      <w:r>
        <w:rPr>
          <w:sz w:val="29"/>
          <w:szCs w:val="29"/>
          <w:spacing w:val="-14"/>
        </w:rPr>
        <w:t>等垃圾，铺装、</w:t>
      </w:r>
      <w:r>
        <w:rPr>
          <w:sz w:val="29"/>
          <w:szCs w:val="29"/>
        </w:rPr>
        <w:t xml:space="preserve"> </w:t>
      </w:r>
      <w:r>
        <w:rPr>
          <w:sz w:val="29"/>
          <w:szCs w:val="29"/>
          <w:spacing w:val="-8"/>
        </w:rPr>
        <w:t>水景池、灯杆、垃圾桶保持干净；</w:t>
      </w:r>
    </w:p>
    <w:p>
      <w:pPr>
        <w:pStyle w:val="BodyText"/>
        <w:ind w:right="323" w:firstLine="730"/>
        <w:spacing w:before="5" w:line="302" w:lineRule="auto"/>
        <w:rPr>
          <w:sz w:val="29"/>
          <w:szCs w:val="29"/>
        </w:rPr>
      </w:pPr>
      <w:r>
        <w:rPr>
          <w:sz w:val="29"/>
          <w:szCs w:val="29"/>
          <w:spacing w:val="2"/>
        </w:rPr>
        <w:t>(②</w:t>
      </w:r>
      <w:r>
        <w:rPr>
          <w:sz w:val="29"/>
          <w:szCs w:val="29"/>
          <w:spacing w:val="141"/>
        </w:rPr>
        <w:t xml:space="preserve"> </w:t>
      </w:r>
      <w:r>
        <w:rPr>
          <w:sz w:val="29"/>
          <w:szCs w:val="29"/>
          <w:spacing w:val="2"/>
        </w:rPr>
        <w:t>在业主上班高峰期前对园区内的重点区域(大门内外、主干通道、销</w:t>
      </w:r>
      <w:r>
        <w:rPr>
          <w:sz w:val="29"/>
          <w:szCs w:val="29"/>
        </w:rPr>
        <w:t xml:space="preserve"> </w:t>
      </w:r>
      <w:r>
        <w:rPr>
          <w:sz w:val="29"/>
          <w:szCs w:val="29"/>
          <w:spacing w:val="12"/>
        </w:rPr>
        <w:t>售展示区)进行彻底清理。</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ind w:right="331" w:firstLine="730"/>
        <w:spacing w:before="127" w:line="269"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8"/>
        </w:rPr>
        <w:t>危险品等；</w:t>
      </w:r>
    </w:p>
    <w:p>
      <w:pPr>
        <w:pStyle w:val="BodyText"/>
        <w:ind w:left="730"/>
        <w:spacing w:before="134" w:line="219" w:lineRule="auto"/>
        <w:rPr>
          <w:sz w:val="29"/>
          <w:szCs w:val="29"/>
        </w:rPr>
      </w:pPr>
      <w:r>
        <w:rPr>
          <w:sz w:val="29"/>
          <w:szCs w:val="29"/>
          <w:spacing w:val="12"/>
        </w:rPr>
        <w:t>(2)进行机械工具的检查维修。</w:t>
      </w:r>
    </w:p>
    <w:p>
      <w:pPr>
        <w:pStyle w:val="BodyText"/>
        <w:ind w:left="600"/>
        <w:spacing w:before="9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left="600"/>
        <w:spacing w:before="146" w:line="219" w:lineRule="auto"/>
        <w:rPr>
          <w:sz w:val="29"/>
          <w:szCs w:val="29"/>
        </w:rPr>
      </w:pPr>
      <w:r>
        <w:rPr>
          <w:sz w:val="29"/>
          <w:szCs w:val="29"/>
          <w:spacing w:val="3"/>
        </w:rPr>
        <w:t>每天绿化工人在保洁的同时要注意行人随意丢弃烟头现</w:t>
      </w:r>
      <w:r>
        <w:rPr>
          <w:sz w:val="29"/>
          <w:szCs w:val="29"/>
          <w:spacing w:val="2"/>
        </w:rPr>
        <w:t>象，并对其进行防火</w:t>
      </w:r>
    </w:p>
    <w:p>
      <w:pPr>
        <w:spacing w:line="219" w:lineRule="auto"/>
        <w:sectPr>
          <w:footerReference w:type="default" r:id="rId659"/>
          <w:pgSz w:w="14490" w:h="20470"/>
          <w:pgMar w:top="400" w:right="194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322" w:lineRule="auto"/>
        <w:rPr>
          <w:sz w:val="29"/>
          <w:szCs w:val="29"/>
        </w:rPr>
      </w:pP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70"/>
        <w:spacing w:before="158" w:line="219" w:lineRule="auto"/>
        <w:rPr>
          <w:sz w:val="29"/>
          <w:szCs w:val="29"/>
        </w:rPr>
      </w:pPr>
      <w:r>
        <w:rPr>
          <w:sz w:val="29"/>
          <w:szCs w:val="29"/>
          <w:spacing w:val="4"/>
        </w:rPr>
        <w:t>气温较高，天气晴朗，蒸发强盛，降水量少。</w:t>
      </w:r>
    </w:p>
    <w:p>
      <w:pPr>
        <w:pStyle w:val="BodyText"/>
        <w:ind w:left="570"/>
        <w:spacing w:before="10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34" w:line="219" w:lineRule="auto"/>
        <w:rPr>
          <w:sz w:val="29"/>
          <w:szCs w:val="29"/>
        </w:rPr>
      </w:pPr>
      <w:r>
        <w:rPr>
          <w:sz w:val="29"/>
          <w:szCs w:val="29"/>
          <w:spacing w:val="1"/>
        </w:rPr>
        <w:t>及时检查乔木支撑情况，发现松动或缺失立即加固。</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173" w:firstLine="570"/>
        <w:spacing w:before="156" w:line="282" w:lineRule="auto"/>
        <w:rPr>
          <w:sz w:val="29"/>
          <w:szCs w:val="29"/>
        </w:rPr>
      </w:pPr>
      <w:r>
        <w:rPr>
          <w:sz w:val="29"/>
          <w:szCs w:val="29"/>
          <w:spacing w:val="3"/>
        </w:rPr>
        <w:t>乔木、花灌木、地被草坪生长迅速，要及时对乔木、灌</w:t>
      </w:r>
      <w:r>
        <w:rPr>
          <w:sz w:val="29"/>
          <w:szCs w:val="29"/>
          <w:spacing w:val="2"/>
        </w:rPr>
        <w:t>木、地被草坪进行修</w:t>
      </w:r>
      <w:r>
        <w:rPr>
          <w:sz w:val="29"/>
          <w:szCs w:val="29"/>
        </w:rPr>
        <w:t xml:space="preserve"> </w:t>
      </w:r>
      <w:r>
        <w:rPr>
          <w:sz w:val="29"/>
          <w:szCs w:val="29"/>
          <w:spacing w:val="-4"/>
        </w:rPr>
        <w:t>剪。</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282" w:firstLine="730"/>
        <w:spacing w:before="156" w:line="260" w:lineRule="auto"/>
        <w:rPr>
          <w:sz w:val="29"/>
          <w:szCs w:val="29"/>
        </w:rPr>
      </w:pPr>
      <w:r>
        <w:rPr>
          <w:sz w:val="29"/>
          <w:szCs w:val="29"/>
          <w:spacing w:val="8"/>
        </w:rPr>
        <w:t>(1)浇水：本月相对干燥少雨，注意苗木实时浇水，同</w:t>
      </w:r>
      <w:r>
        <w:rPr>
          <w:sz w:val="29"/>
          <w:szCs w:val="29"/>
          <w:spacing w:val="7"/>
        </w:rPr>
        <w:t>时也要注意时花的</w:t>
      </w:r>
      <w:r>
        <w:rPr>
          <w:sz w:val="29"/>
          <w:szCs w:val="29"/>
        </w:rPr>
        <w:t xml:space="preserve"> </w:t>
      </w:r>
      <w:r>
        <w:rPr>
          <w:sz w:val="29"/>
          <w:szCs w:val="29"/>
          <w:spacing w:val="-5"/>
        </w:rPr>
        <w:t>适时浇水；</w:t>
      </w:r>
    </w:p>
    <w:p>
      <w:pPr>
        <w:pStyle w:val="BodyText"/>
        <w:ind w:right="232" w:firstLine="730"/>
        <w:spacing w:before="159" w:line="282" w:lineRule="auto"/>
        <w:rPr>
          <w:sz w:val="29"/>
          <w:szCs w:val="29"/>
        </w:rPr>
      </w:pPr>
      <w:r>
        <w:rPr>
          <w:sz w:val="29"/>
          <w:szCs w:val="29"/>
          <w:spacing w:val="9"/>
        </w:rPr>
        <w:t>(2)施肥：9月底追施一次有机复合肥(有机质含量45</w:t>
      </w:r>
      <w:r>
        <w:rPr>
          <w:sz w:val="29"/>
          <w:szCs w:val="29"/>
          <w:spacing w:val="136"/>
        </w:rPr>
        <w:t xml:space="preserve"> </w:t>
      </w:r>
      <w:r>
        <w:rPr>
          <w:sz w:val="29"/>
          <w:szCs w:val="29"/>
          <w:spacing w:val="9"/>
        </w:rPr>
        <w:t>以上),若植物长势</w:t>
      </w:r>
      <w:r>
        <w:rPr>
          <w:sz w:val="29"/>
          <w:szCs w:val="29"/>
        </w:rPr>
        <w:t xml:space="preserve"> </w:t>
      </w:r>
      <w:r>
        <w:rPr>
          <w:sz w:val="29"/>
          <w:szCs w:val="29"/>
        </w:rPr>
        <w:t>一般或较差追施一次氮、磷、钾均衡的无机复合肥。乔木及大灌木穴施。板结区</w:t>
      </w:r>
      <w:r>
        <w:rPr>
          <w:sz w:val="29"/>
          <w:szCs w:val="29"/>
          <w:spacing w:val="4"/>
        </w:rPr>
        <w:t xml:space="preserve"> </w:t>
      </w:r>
      <w:r>
        <w:rPr>
          <w:sz w:val="29"/>
          <w:szCs w:val="29"/>
          <w:spacing w:val="-1"/>
        </w:rPr>
        <w:t>域施松土肥。</w:t>
      </w:r>
    </w:p>
    <w:p>
      <w:pPr>
        <w:pStyle w:val="BodyText"/>
        <w:ind w:left="570"/>
        <w:spacing w:before="17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09" w:firstLine="730"/>
        <w:spacing w:before="114" w:line="269" w:lineRule="auto"/>
        <w:rPr>
          <w:sz w:val="29"/>
          <w:szCs w:val="29"/>
        </w:rPr>
      </w:pPr>
      <w:r>
        <w:rPr>
          <w:sz w:val="29"/>
          <w:szCs w:val="29"/>
          <w:spacing w:val="7"/>
        </w:rPr>
        <w:t>(1)病害：叶斑类病害、锈病、煤污病、叶枯病、干腐病、紫纹羽病</w:t>
      </w:r>
      <w:r>
        <w:rPr>
          <w:sz w:val="29"/>
          <w:szCs w:val="29"/>
          <w:spacing w:val="6"/>
        </w:rPr>
        <w:t>、枝</w:t>
      </w:r>
      <w:r>
        <w:rPr>
          <w:sz w:val="29"/>
          <w:szCs w:val="29"/>
        </w:rPr>
        <w:t xml:space="preserve"> </w:t>
      </w:r>
      <w:r>
        <w:rPr>
          <w:sz w:val="29"/>
          <w:szCs w:val="29"/>
          <w:spacing w:val="1"/>
        </w:rPr>
        <w:t>枯病、草坪腐霉枯萎病、冠瘿病、花叶病、丛枝病等；</w:t>
      </w:r>
    </w:p>
    <w:p>
      <w:pPr>
        <w:pStyle w:val="BodyText"/>
        <w:ind w:right="240" w:firstLine="730"/>
        <w:spacing w:before="137" w:line="287" w:lineRule="auto"/>
        <w:rPr>
          <w:sz w:val="29"/>
          <w:szCs w:val="29"/>
        </w:rPr>
      </w:pPr>
      <w:r>
        <w:rPr>
          <w:sz w:val="29"/>
          <w:szCs w:val="29"/>
          <w:spacing w:val="-1"/>
        </w:rPr>
        <w:t>(2)虫害：大青叶蝉、杜鹃冠网蝽、柑桔全爪螨、花蓟马、桑天牛、白蚁、</w:t>
      </w:r>
      <w:r>
        <w:rPr>
          <w:sz w:val="29"/>
          <w:szCs w:val="29"/>
          <w:spacing w:val="13"/>
        </w:rPr>
        <w:t xml:space="preserve"> </w:t>
      </w:r>
      <w:r>
        <w:rPr>
          <w:sz w:val="29"/>
          <w:szCs w:val="29"/>
          <w:spacing w:val="-8"/>
        </w:rPr>
        <w:t>铜绿丽金龟、蝼蛄、黄刺蛾、丽绿刺蛾、褐边绿刺蛾、茶袋蛾、黄尾毒蛾、斜纹夜</w:t>
      </w:r>
      <w:r>
        <w:rPr>
          <w:sz w:val="29"/>
          <w:szCs w:val="29"/>
          <w:spacing w:val="9"/>
        </w:rPr>
        <w:t xml:space="preserve"> </w:t>
      </w:r>
      <w:r>
        <w:rPr>
          <w:sz w:val="29"/>
          <w:szCs w:val="29"/>
          <w:spacing w:val="-8"/>
        </w:rPr>
        <w:t>蛾、丝棉木金星尺蛾、国槐尺蛾、绿尾大蚕蛾、柑桔凤蝶、玉带凤蝶、蔷薇三节叶</w:t>
      </w:r>
      <w:r>
        <w:rPr>
          <w:sz w:val="29"/>
          <w:szCs w:val="29"/>
          <w:spacing w:val="11"/>
        </w:rPr>
        <w:t xml:space="preserve"> </w:t>
      </w:r>
      <w:r>
        <w:rPr>
          <w:sz w:val="29"/>
          <w:szCs w:val="29"/>
          <w:spacing w:val="-4"/>
        </w:rPr>
        <w:t>蜂等。</w:t>
      </w:r>
    </w:p>
    <w:p>
      <w:pPr>
        <w:pStyle w:val="BodyText"/>
        <w:ind w:left="570"/>
        <w:spacing w:before="16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0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03" w:firstLine="730"/>
        <w:spacing w:before="115" w:line="276"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2"/>
        </w:rPr>
        <w:t>售展示区)进行彻底清理。</w:t>
      </w:r>
    </w:p>
    <w:p>
      <w:pPr>
        <w:pStyle w:val="BodyText"/>
        <w:ind w:left="570"/>
        <w:spacing w:before="153"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97" w:line="219" w:lineRule="auto"/>
        <w:rPr>
          <w:sz w:val="29"/>
          <w:szCs w:val="29"/>
        </w:rPr>
      </w:pPr>
      <w:r>
        <w:rPr>
          <w:sz w:val="29"/>
          <w:szCs w:val="29"/>
          <w:spacing w:val="6"/>
        </w:rPr>
        <w:t>(1)月初提交时花需求计划，选择亮色花卉，安排下旬进场；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right="341" w:firstLine="730"/>
        <w:spacing w:before="15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30"/>
        <w:spacing w:before="152" w:line="219" w:lineRule="auto"/>
        <w:rPr>
          <w:sz w:val="29"/>
          <w:szCs w:val="29"/>
        </w:rPr>
      </w:pPr>
      <w:r>
        <w:rPr>
          <w:sz w:val="29"/>
          <w:szCs w:val="29"/>
          <w:spacing w:val="-1"/>
        </w:rPr>
        <w:t>(2)根据现场的实际情况，申请购置10、11、12月份的农药、化肥、营养</w:t>
      </w:r>
    </w:p>
    <w:p>
      <w:pPr>
        <w:spacing w:line="219" w:lineRule="auto"/>
        <w:sectPr>
          <w:footerReference w:type="default" r:id="rId660"/>
          <w:pgSz w:w="14490" w:h="20470"/>
          <w:pgMar w:top="400" w:right="1935" w:bottom="1405" w:left="2150" w:header="0" w:footer="1243"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5"/>
        </w:rPr>
        <w:t>剂及其它物资；</w:t>
      </w:r>
    </w:p>
    <w:p>
      <w:pPr>
        <w:pStyle w:val="BodyText"/>
        <w:ind w:left="730"/>
        <w:spacing w:before="156" w:line="219" w:lineRule="auto"/>
        <w:rPr>
          <w:sz w:val="29"/>
          <w:szCs w:val="29"/>
        </w:rPr>
      </w:pPr>
      <w:r>
        <w:rPr>
          <w:sz w:val="29"/>
          <w:szCs w:val="29"/>
          <w:spacing w:val="12"/>
        </w:rPr>
        <w:t>(3)进行机械工具的检查维修。</w:t>
      </w:r>
    </w:p>
    <w:p>
      <w:pPr>
        <w:pStyle w:val="BodyText"/>
        <w:ind w:left="570"/>
        <w:spacing w:before="53"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right="90" w:firstLine="570"/>
        <w:spacing w:before="160"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96" w:line="223" w:lineRule="auto"/>
        <w:rPr>
          <w:rFonts w:ascii="SimHei" w:hAnsi="SimHei" w:eastAsia="SimHei" w:cs="SimHei"/>
          <w:sz w:val="29"/>
          <w:szCs w:val="29"/>
        </w:rPr>
      </w:pPr>
      <w:r>
        <w:rPr>
          <w:rFonts w:ascii="SimHei" w:hAnsi="SimHei" w:eastAsia="SimHei" w:cs="SimHei"/>
          <w:sz w:val="29"/>
          <w:szCs w:val="29"/>
          <w:spacing w:val="12"/>
        </w:rPr>
        <w:t>十月份</w:t>
      </w:r>
    </w:p>
    <w:p>
      <w:pPr>
        <w:pStyle w:val="BodyText"/>
        <w:ind w:left="570"/>
        <w:spacing w:before="119" w:line="219" w:lineRule="auto"/>
        <w:rPr>
          <w:sz w:val="29"/>
          <w:szCs w:val="29"/>
        </w:rPr>
      </w:pPr>
      <w:r>
        <w:rPr>
          <w:sz w:val="29"/>
          <w:szCs w:val="29"/>
          <w:spacing w:val="5"/>
        </w:rPr>
        <w:t>气温逐渐下降，日雨增多，日照减少。</w:t>
      </w:r>
    </w:p>
    <w:p>
      <w:pPr>
        <w:pStyle w:val="BodyText"/>
        <w:ind w:left="570"/>
        <w:spacing w:before="28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14" w:line="219" w:lineRule="auto"/>
        <w:rPr>
          <w:sz w:val="29"/>
          <w:szCs w:val="29"/>
        </w:rPr>
      </w:pPr>
      <w:r>
        <w:rPr>
          <w:sz w:val="29"/>
          <w:szCs w:val="29"/>
          <w:spacing w:val="2"/>
        </w:rPr>
        <w:t>及时检查乔木支撑情况，发现松动或缺失立即加固</w:t>
      </w:r>
    </w:p>
    <w:p>
      <w:pPr>
        <w:pStyle w:val="BodyText"/>
        <w:ind w:left="570"/>
        <w:spacing w:before="13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379" w:firstLine="570"/>
        <w:spacing w:before="146" w:line="320" w:lineRule="auto"/>
        <w:rPr>
          <w:sz w:val="29"/>
          <w:szCs w:val="29"/>
        </w:rPr>
      </w:pPr>
      <w:r>
        <w:rPr>
          <w:sz w:val="29"/>
          <w:szCs w:val="29"/>
          <w:spacing w:val="-9"/>
        </w:rPr>
        <w:t>及时对乔木、灌木、地被草坪进行修剪。清除枯枝、病</w:t>
      </w:r>
      <w:r>
        <w:rPr>
          <w:sz w:val="29"/>
          <w:szCs w:val="29"/>
          <w:spacing w:val="-10"/>
        </w:rPr>
        <w:t>虫枝、徒长枝、交叉枝</w:t>
      </w:r>
      <w:r>
        <w:rPr>
          <w:sz w:val="29"/>
          <w:szCs w:val="29"/>
        </w:rPr>
        <w:t xml:space="preserve"> </w:t>
      </w:r>
      <w:r>
        <w:rPr>
          <w:sz w:val="29"/>
          <w:szCs w:val="29"/>
          <w:spacing w:val="-7"/>
        </w:rPr>
        <w:t>等。</w:t>
      </w:r>
    </w:p>
    <w:p>
      <w:pPr>
        <w:ind w:left="570"/>
        <w:spacing w:before="22"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93" w:line="219" w:lineRule="auto"/>
        <w:rPr>
          <w:sz w:val="29"/>
          <w:szCs w:val="29"/>
        </w:rPr>
      </w:pPr>
      <w:r>
        <w:rPr>
          <w:sz w:val="29"/>
          <w:szCs w:val="29"/>
          <w:spacing w:val="6"/>
        </w:rPr>
        <w:t>(1)浇水：注意苗木实时浇水，同时也要注意时花的适时浇水；</w:t>
      </w:r>
    </w:p>
    <w:p>
      <w:pPr>
        <w:pStyle w:val="BodyText"/>
        <w:ind w:right="348" w:firstLine="730"/>
        <w:spacing w:before="133" w:line="286" w:lineRule="auto"/>
        <w:rPr>
          <w:sz w:val="29"/>
          <w:szCs w:val="29"/>
        </w:rPr>
      </w:pPr>
      <w:r>
        <w:rPr>
          <w:sz w:val="29"/>
          <w:szCs w:val="29"/>
          <w:spacing w:val="4"/>
        </w:rPr>
        <w:t>(2)施肥：10月中旬追施一次有机复合肥(有机质含量45</w:t>
      </w:r>
      <w:r>
        <w:rPr>
          <w:sz w:val="29"/>
          <w:szCs w:val="29"/>
        </w:rPr>
        <w:t xml:space="preserve">    </w:t>
      </w:r>
      <w:r>
        <w:rPr>
          <w:sz w:val="29"/>
          <w:szCs w:val="29"/>
          <w:spacing w:val="3"/>
        </w:rPr>
        <w:t>上),草坪上施</w:t>
      </w:r>
      <w:r>
        <w:rPr>
          <w:sz w:val="29"/>
          <w:szCs w:val="29"/>
          <w:spacing w:val="2"/>
        </w:rPr>
        <w:t xml:space="preserve"> </w:t>
      </w:r>
      <w:r>
        <w:rPr>
          <w:sz w:val="29"/>
          <w:szCs w:val="29"/>
          <w:spacing w:val="7"/>
        </w:rPr>
        <w:t>用完全肥料(均衡型肥料)或高磷钾肥料，以促进草坪草根群强大，增强其抗病</w:t>
      </w:r>
      <w:r>
        <w:rPr>
          <w:sz w:val="29"/>
          <w:szCs w:val="29"/>
          <w:spacing w:val="14"/>
        </w:rPr>
        <w:t xml:space="preserve"> </w:t>
      </w:r>
      <w:r>
        <w:rPr>
          <w:sz w:val="29"/>
          <w:szCs w:val="29"/>
          <w:spacing w:val="-2"/>
        </w:rPr>
        <w:t>能力和越冬能力。</w:t>
      </w:r>
    </w:p>
    <w:p>
      <w:pPr>
        <w:pStyle w:val="BodyText"/>
        <w:ind w:left="570"/>
        <w:spacing w:before="183"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429" w:firstLine="730"/>
        <w:spacing w:before="94" w:line="269" w:lineRule="auto"/>
        <w:rPr>
          <w:sz w:val="29"/>
          <w:szCs w:val="29"/>
        </w:rPr>
      </w:pPr>
      <w:r>
        <w:rPr>
          <w:sz w:val="29"/>
          <w:szCs w:val="29"/>
          <w:spacing w:val="6"/>
        </w:rPr>
        <w:t>(1)病害：白粉病、叶斑类病害、锈病、叶枯病、干腐病、冠瘿病、丛枝</w:t>
      </w:r>
      <w:r>
        <w:rPr>
          <w:sz w:val="29"/>
          <w:szCs w:val="29"/>
          <w:spacing w:val="1"/>
        </w:rPr>
        <w:t xml:space="preserve"> </w:t>
      </w:r>
      <w:r>
        <w:rPr>
          <w:sz w:val="29"/>
          <w:szCs w:val="29"/>
          <w:spacing w:val="-10"/>
        </w:rPr>
        <w:t>病等；</w:t>
      </w:r>
    </w:p>
    <w:p>
      <w:pPr>
        <w:pStyle w:val="BodyText"/>
        <w:ind w:right="345" w:firstLine="730"/>
        <w:spacing w:before="154" w:line="275" w:lineRule="auto"/>
        <w:rPr>
          <w:sz w:val="29"/>
          <w:szCs w:val="29"/>
        </w:rPr>
      </w:pPr>
      <w:r>
        <w:rPr>
          <w:sz w:val="29"/>
          <w:szCs w:val="29"/>
          <w:spacing w:val="8"/>
        </w:rPr>
        <w:t>(2)虫害：大青叶蝉、桃粉蚜、桃瘤蚜、柑桔全爪螨、桔绿</w:t>
      </w:r>
      <w:r>
        <w:rPr>
          <w:sz w:val="29"/>
          <w:szCs w:val="29"/>
          <w:spacing w:val="7"/>
        </w:rPr>
        <w:t>粉虱、白蚁、</w:t>
      </w:r>
      <w:r>
        <w:rPr>
          <w:sz w:val="29"/>
          <w:szCs w:val="29"/>
        </w:rPr>
        <w:t xml:space="preserve"> </w:t>
      </w:r>
      <w:r>
        <w:rPr>
          <w:sz w:val="29"/>
          <w:szCs w:val="29"/>
          <w:spacing w:val="-8"/>
        </w:rPr>
        <w:t>铜绿丽金龟、褐边绿刺蛾、丝棉木金星尺蛾、柑桔凤蝶、玉带凤蝶、蔷薇</w:t>
      </w:r>
      <w:r>
        <w:rPr>
          <w:sz w:val="29"/>
          <w:szCs w:val="29"/>
          <w:spacing w:val="-9"/>
        </w:rPr>
        <w:t>三节叶蜂</w:t>
      </w:r>
      <w:r>
        <w:rPr>
          <w:sz w:val="29"/>
          <w:szCs w:val="29"/>
        </w:rPr>
        <w:t xml:space="preserve"> </w:t>
      </w:r>
      <w:r>
        <w:rPr>
          <w:sz w:val="29"/>
          <w:szCs w:val="29"/>
          <w:spacing w:val="-9"/>
        </w:rPr>
        <w:t>等。</w:t>
      </w:r>
    </w:p>
    <w:p>
      <w:pPr>
        <w:pStyle w:val="BodyText"/>
        <w:ind w:left="570"/>
        <w:spacing w:before="157"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保洁</w:t>
      </w:r>
    </w:p>
    <w:p>
      <w:pPr>
        <w:pStyle w:val="BodyText"/>
        <w:ind w:right="429" w:firstLine="730"/>
        <w:spacing w:before="11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67" w:line="266"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0"/>
        </w:rPr>
        <w:t>售展示区)进行彻底清理；</w:t>
      </w:r>
    </w:p>
    <w:p>
      <w:pPr>
        <w:pStyle w:val="BodyText"/>
        <w:ind w:left="730"/>
        <w:spacing w:before="126" w:line="219" w:lineRule="auto"/>
        <w:rPr>
          <w:sz w:val="29"/>
          <w:szCs w:val="29"/>
        </w:rPr>
      </w:pPr>
      <w:r>
        <w:rPr>
          <w:sz w:val="29"/>
          <w:szCs w:val="29"/>
          <w:spacing w:val="8"/>
        </w:rPr>
        <w:t>(3)制作防寒设施产生的垃圾做到随时产生随时清</w:t>
      </w:r>
      <w:r>
        <w:rPr>
          <w:sz w:val="29"/>
          <w:szCs w:val="29"/>
          <w:spacing w:val="7"/>
        </w:rPr>
        <w:t>理。</w:t>
      </w:r>
    </w:p>
    <w:p>
      <w:pPr>
        <w:ind w:left="570"/>
        <w:spacing w:before="13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13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left="570"/>
        <w:spacing w:before="156" w:line="219" w:lineRule="auto"/>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661"/>
          <w:pgSz w:w="14490" w:h="20470"/>
          <w:pgMar w:top="400" w:right="1844" w:bottom="1405" w:left="2150" w:header="0" w:footer="1243" w:gutter="0"/>
        </w:sectPr>
        <w:rPr>
          <w:sz w:val="29"/>
          <w:szCs w:val="29"/>
        </w:rPr>
      </w:pPr>
    </w:p>
    <w:p>
      <w:pPr>
        <w:pStyle w:val="BodyText"/>
        <w:spacing w:before="133" w:line="220" w:lineRule="auto"/>
        <w:rPr>
          <w:sz w:val="29"/>
          <w:szCs w:val="29"/>
        </w:rPr>
      </w:pPr>
      <w:r>
        <w:rPr>
          <w:sz w:val="29"/>
          <w:szCs w:val="29"/>
          <w:spacing w:val="-5"/>
        </w:rPr>
        <w:t>防盗情况。</w:t>
      </w:r>
    </w:p>
    <w:p>
      <w:pPr>
        <w:spacing w:before="214" w:line="223" w:lineRule="auto"/>
        <w:rPr>
          <w:rFonts w:ascii="SimHei" w:hAnsi="SimHei" w:eastAsia="SimHei" w:cs="SimHei"/>
          <w:sz w:val="29"/>
          <w:szCs w:val="29"/>
        </w:rPr>
      </w:pPr>
      <w:r>
        <w:rPr>
          <w:rFonts w:ascii="SimHei" w:hAnsi="SimHei" w:eastAsia="SimHei" w:cs="SimHei"/>
          <w:sz w:val="29"/>
          <w:szCs w:val="29"/>
          <w:spacing w:val="4"/>
        </w:rPr>
        <w:t>十一月份</w:t>
      </w:r>
    </w:p>
    <w:p>
      <w:pPr>
        <w:pStyle w:val="BodyText"/>
        <w:ind w:left="570"/>
        <w:spacing w:before="96" w:line="219" w:lineRule="auto"/>
        <w:rPr>
          <w:sz w:val="29"/>
          <w:szCs w:val="29"/>
        </w:rPr>
      </w:pPr>
      <w:r>
        <w:rPr>
          <w:sz w:val="29"/>
          <w:szCs w:val="29"/>
          <w:spacing w:val="4"/>
        </w:rPr>
        <w:t>气温下降，冬季风开始盛行，空气比较干燥，湿度小</w:t>
      </w:r>
      <w:r>
        <w:rPr>
          <w:sz w:val="29"/>
          <w:szCs w:val="29"/>
          <w:spacing w:val="3"/>
        </w:rPr>
        <w:t>，月雨量较小。</w:t>
      </w:r>
    </w:p>
    <w:p>
      <w:pPr>
        <w:pStyle w:val="BodyText"/>
        <w:ind w:left="570"/>
        <w:spacing w:before="285"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34" w:line="219" w:lineRule="auto"/>
        <w:rPr>
          <w:sz w:val="29"/>
          <w:szCs w:val="29"/>
        </w:rPr>
      </w:pPr>
      <w:r>
        <w:rPr>
          <w:sz w:val="29"/>
          <w:szCs w:val="29"/>
          <w:spacing w:val="1"/>
        </w:rPr>
        <w:t>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160" w:firstLine="570"/>
        <w:spacing w:before="135" w:line="310" w:lineRule="auto"/>
        <w:rPr>
          <w:sz w:val="29"/>
          <w:szCs w:val="29"/>
        </w:rPr>
      </w:pPr>
      <w:r>
        <w:rPr>
          <w:sz w:val="29"/>
          <w:szCs w:val="29"/>
          <w:spacing w:val="-11"/>
        </w:rPr>
        <w:t>剪去病枝，枯枝、有虫卵枝及竞争枝、过密枝、萌蘖枝等。进行修剪行道树</w:t>
      </w:r>
      <w:r>
        <w:rPr>
          <w:sz w:val="29"/>
          <w:szCs w:val="29"/>
          <w:spacing w:val="-12"/>
        </w:rPr>
        <w:t>时，</w:t>
      </w:r>
      <w:r>
        <w:rPr>
          <w:sz w:val="29"/>
          <w:szCs w:val="29"/>
        </w:rPr>
        <w:t xml:space="preserve"> </w:t>
      </w:r>
      <w:r>
        <w:rPr>
          <w:sz w:val="29"/>
          <w:szCs w:val="29"/>
          <w:spacing w:val="-9"/>
        </w:rPr>
        <w:t>操作时要严格掌握操作规程和技术要求。注意安全。在本地耐寒性弱的苗木要在回</w:t>
      </w:r>
      <w:r>
        <w:rPr>
          <w:sz w:val="29"/>
          <w:szCs w:val="29"/>
          <w:spacing w:val="6"/>
        </w:rPr>
        <w:t xml:space="preserve">  </w:t>
      </w:r>
      <w:r>
        <w:rPr>
          <w:sz w:val="29"/>
          <w:szCs w:val="29"/>
          <w:spacing w:val="-5"/>
        </w:rPr>
        <w:t>暖后修剪。</w:t>
      </w:r>
    </w:p>
    <w:p>
      <w:pPr>
        <w:pStyle w:val="BodyText"/>
        <w:ind w:left="570"/>
        <w:spacing w:before="16" w:line="395" w:lineRule="exact"/>
        <w:rPr>
          <w:rFonts w:ascii="SimHei" w:hAnsi="SimHei" w:eastAsia="SimHei" w:cs="SimHei"/>
          <w:sz w:val="29"/>
          <w:szCs w:val="29"/>
        </w:rPr>
      </w:pPr>
      <w:r>
        <w:rPr>
          <w:rFonts w:ascii="Arial" w:hAnsi="Arial" w:eastAsia="Arial" w:cs="Arial"/>
          <w:sz w:val="29"/>
          <w:szCs w:val="29"/>
          <w:spacing w:val="-7"/>
          <w:position w:val="1"/>
        </w:rPr>
        <w:t>3</w:t>
      </w:r>
      <w:r>
        <w:rPr>
          <w:sz w:val="29"/>
          <w:szCs w:val="29"/>
          <w:spacing w:val="-7"/>
          <w:position w:val="1"/>
        </w:rPr>
        <w:t>、</w:t>
      </w:r>
      <w:r>
        <w:rPr>
          <w:rFonts w:ascii="SimHei" w:hAnsi="SimHei" w:eastAsia="SimHei" w:cs="SimHei"/>
          <w:sz w:val="29"/>
          <w:szCs w:val="29"/>
          <w:spacing w:val="-7"/>
          <w:position w:val="1"/>
        </w:rPr>
        <w:t>水肥管理</w:t>
      </w:r>
    </w:p>
    <w:p>
      <w:pPr>
        <w:pStyle w:val="BodyText"/>
        <w:ind w:left="570"/>
        <w:spacing w:before="96" w:line="219" w:lineRule="auto"/>
        <w:rPr>
          <w:sz w:val="29"/>
          <w:szCs w:val="29"/>
        </w:rPr>
      </w:pPr>
      <w:r>
        <w:rPr>
          <w:sz w:val="29"/>
          <w:szCs w:val="29"/>
          <w:spacing w:val="1"/>
        </w:rPr>
        <w:t>浇水：根据天气情况浇水，对不耐干旱植物进行重点浇水。</w:t>
      </w:r>
    </w:p>
    <w:p>
      <w:pPr>
        <w:pStyle w:val="BodyText"/>
        <w:ind w:left="570"/>
        <w:spacing w:before="116"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30"/>
        <w:spacing w:before="155" w:line="219" w:lineRule="auto"/>
        <w:rPr>
          <w:sz w:val="29"/>
          <w:szCs w:val="29"/>
        </w:rPr>
      </w:pPr>
      <w:r>
        <w:rPr>
          <w:sz w:val="29"/>
          <w:szCs w:val="29"/>
          <w:spacing w:val="7"/>
        </w:rPr>
        <w:t>(1)病害：白粉病、叶斑类病害、叶枯病等；</w:t>
      </w:r>
    </w:p>
    <w:p>
      <w:pPr>
        <w:pStyle w:val="BodyText"/>
        <w:ind w:left="730"/>
        <w:spacing w:before="144" w:line="219" w:lineRule="auto"/>
        <w:rPr>
          <w:sz w:val="29"/>
          <w:szCs w:val="29"/>
        </w:rPr>
      </w:pPr>
      <w:r>
        <w:rPr>
          <w:sz w:val="29"/>
          <w:szCs w:val="29"/>
          <w:spacing w:val="7"/>
        </w:rPr>
        <w:t>(2)虫害：大青叶蝉、桃粉蚜、柑桔全爪</w:t>
      </w:r>
      <w:r>
        <w:rPr>
          <w:sz w:val="29"/>
          <w:szCs w:val="29"/>
          <w:spacing w:val="6"/>
        </w:rPr>
        <w:t>螨、桔绿粉虱、白蚁等。</w:t>
      </w:r>
    </w:p>
    <w:p>
      <w:pPr>
        <w:pStyle w:val="BodyText"/>
        <w:ind w:left="570"/>
        <w:spacing w:before="5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29" w:firstLine="730"/>
        <w:spacing w:before="15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28" w:line="275"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32"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spacing w:before="109"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90" w:firstLine="570"/>
        <w:spacing w:before="13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62" w:line="223" w:lineRule="auto"/>
        <w:rPr>
          <w:rFonts w:ascii="SimHei" w:hAnsi="SimHei" w:eastAsia="SimHei" w:cs="SimHei"/>
          <w:sz w:val="29"/>
          <w:szCs w:val="29"/>
        </w:rPr>
      </w:pPr>
      <w:r>
        <w:rPr>
          <w:rFonts w:ascii="SimHei" w:hAnsi="SimHei" w:eastAsia="SimHei" w:cs="SimHei"/>
          <w:sz w:val="29"/>
          <w:szCs w:val="29"/>
          <w:spacing w:val="4"/>
        </w:rPr>
        <w:t>十二月份</w:t>
      </w:r>
    </w:p>
    <w:p>
      <w:pPr>
        <w:pStyle w:val="BodyText"/>
        <w:ind w:left="570"/>
        <w:spacing w:before="149" w:line="219" w:lineRule="auto"/>
        <w:rPr>
          <w:sz w:val="29"/>
          <w:szCs w:val="29"/>
        </w:rPr>
      </w:pPr>
      <w:r>
        <w:rPr>
          <w:sz w:val="29"/>
          <w:szCs w:val="29"/>
          <w:spacing w:val="4"/>
        </w:rPr>
        <w:t>低温，常有雪、霜、冰冻和寒潮大风等天气发生，开始冬季养护工作。</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24"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(2)及时检查乔木支撑情况，发现松动或缺失立即加固；</w:t>
      </w:r>
    </w:p>
    <w:p>
      <w:pPr>
        <w:pStyle w:val="BodyText"/>
        <w:ind w:left="730"/>
        <w:spacing w:before="136" w:line="219" w:lineRule="auto"/>
        <w:rPr>
          <w:sz w:val="29"/>
          <w:szCs w:val="29"/>
        </w:rPr>
      </w:pPr>
      <w:r>
        <w:rPr>
          <w:sz w:val="29"/>
          <w:szCs w:val="29"/>
          <w:spacing w:val="7"/>
        </w:rPr>
        <w:t>(3)雪后及时清理常绿乔木上的积雪，避免</w:t>
      </w:r>
      <w:r>
        <w:rPr>
          <w:sz w:val="29"/>
          <w:szCs w:val="29"/>
          <w:spacing w:val="6"/>
        </w:rPr>
        <w:t>对树枝造成伤害。</w:t>
      </w:r>
    </w:p>
    <w:p>
      <w:pPr>
        <w:ind w:left="570"/>
        <w:spacing w:before="9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left="570"/>
        <w:spacing w:before="165" w:line="219" w:lineRule="auto"/>
        <w:rPr>
          <w:sz w:val="29"/>
          <w:szCs w:val="29"/>
        </w:rPr>
      </w:pPr>
      <w:r>
        <w:rPr>
          <w:sz w:val="29"/>
          <w:szCs w:val="29"/>
          <w:spacing w:val="2"/>
        </w:rPr>
        <w:t>剪去病枝，枯枝、有虫卵枝及竞争枝、过密枝、萌蘖枝等。进</w:t>
      </w:r>
      <w:r>
        <w:rPr>
          <w:sz w:val="29"/>
          <w:szCs w:val="29"/>
          <w:spacing w:val="1"/>
        </w:rPr>
        <w:t>行修剪行道树</w:t>
      </w:r>
    </w:p>
    <w:p>
      <w:pPr>
        <w:spacing w:line="219" w:lineRule="auto"/>
        <w:sectPr>
          <w:headerReference w:type="default" r:id="rId662"/>
          <w:footerReference w:type="default" r:id="rId663"/>
          <w:pgSz w:w="14490" w:h="20470"/>
          <w:pgMar w:top="2229" w:right="1844" w:bottom="1433" w:left="2150" w:header="1783"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360"/>
        <w:spacing w:before="94" w:line="308" w:lineRule="auto"/>
        <w:rPr>
          <w:sz w:val="29"/>
          <w:szCs w:val="29"/>
        </w:rPr>
      </w:pPr>
      <w:r>
        <w:rPr>
          <w:sz w:val="29"/>
          <w:szCs w:val="29"/>
          <w:spacing w:val="-11"/>
        </w:rPr>
        <w:t>时，操作时要严格掌握操作规程和技术要求。注意安全。在本地耐寒性弱的苗木要</w:t>
      </w:r>
      <w:r>
        <w:rPr>
          <w:sz w:val="29"/>
          <w:szCs w:val="29"/>
        </w:rPr>
        <w:t xml:space="preserve"> </w:t>
      </w:r>
      <w:r>
        <w:rPr>
          <w:sz w:val="29"/>
          <w:szCs w:val="29"/>
        </w:rPr>
        <w:t>在回暖后修剪。</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right="402" w:firstLine="570"/>
        <w:spacing w:before="107" w:line="314" w:lineRule="auto"/>
        <w:rPr>
          <w:sz w:val="29"/>
          <w:szCs w:val="29"/>
        </w:rPr>
      </w:pPr>
      <w:r>
        <w:rPr>
          <w:sz w:val="29"/>
          <w:szCs w:val="29"/>
          <w:spacing w:val="-12"/>
        </w:rPr>
        <w:t>11月下旬-12月上旬当地气温低于5℃前浇灌冻水。在封冻前完成冬灌工作，并</w:t>
      </w:r>
      <w:r>
        <w:rPr>
          <w:sz w:val="29"/>
          <w:szCs w:val="29"/>
          <w:spacing w:val="14"/>
        </w:rPr>
        <w:t xml:space="preserve"> </w:t>
      </w:r>
      <w:r>
        <w:rPr>
          <w:sz w:val="29"/>
          <w:szCs w:val="29"/>
          <w:spacing w:val="-5"/>
        </w:rPr>
        <w:t>在浇完冻水后封树穴。</w:t>
      </w:r>
    </w:p>
    <w:p>
      <w:pPr>
        <w:pStyle w:val="BodyText"/>
        <w:ind w:left="570"/>
        <w:spacing w:before="5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570"/>
        <w:spacing w:before="95" w:line="219" w:lineRule="auto"/>
        <w:rPr>
          <w:sz w:val="29"/>
          <w:szCs w:val="29"/>
        </w:rPr>
      </w:pPr>
      <w:r>
        <w:rPr>
          <w:sz w:val="29"/>
          <w:szCs w:val="29"/>
        </w:rPr>
        <w:t>及时清除越冬虫蛹或茧，减少害虫。</w:t>
      </w:r>
    </w:p>
    <w:p>
      <w:pPr>
        <w:pStyle w:val="BodyText"/>
        <w:ind w:left="570"/>
        <w:spacing w:before="5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5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18" w:line="272"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0"/>
        </w:rPr>
        <w:t>售展示区)进行彻底清理；</w:t>
      </w:r>
    </w:p>
    <w:p>
      <w:pPr>
        <w:pStyle w:val="BodyText"/>
        <w:ind w:right="241" w:firstLine="730"/>
        <w:spacing w:before="145" w:line="279"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1"/>
        </w:rPr>
        <w:t xml:space="preserve"> </w:t>
      </w:r>
      <w:r>
        <w:rPr>
          <w:sz w:val="29"/>
          <w:szCs w:val="29"/>
          <w:spacing w:val="-2"/>
        </w:rPr>
        <w:t>雪融化后露出的垃圾、废弃物的全面全面清理。</w:t>
      </w:r>
    </w:p>
    <w:p>
      <w:pPr>
        <w:pStyle w:val="BodyText"/>
        <w:ind w:left="570"/>
        <w:spacing w:before="14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1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1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321" w:firstLine="730"/>
        <w:spacing w:before="144" w:line="266"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right="321" w:firstLine="730"/>
        <w:spacing w:before="121" w:line="275" w:lineRule="auto"/>
        <w:rPr>
          <w:sz w:val="29"/>
          <w:szCs w:val="29"/>
        </w:rPr>
      </w:pPr>
      <w:r>
        <w:rPr>
          <w:sz w:val="29"/>
          <w:szCs w:val="29"/>
          <w:spacing w:val="2"/>
        </w:rPr>
        <w:t>(2)根据现场的实际情况，申请购置翌年1、2、3月份的农药、化肥、营养 </w:t>
      </w:r>
      <w:r>
        <w:rPr>
          <w:sz w:val="29"/>
          <w:szCs w:val="29"/>
        </w:rPr>
        <w:t>剂及其它物资。</w:t>
      </w:r>
    </w:p>
    <w:p>
      <w:pPr>
        <w:pStyle w:val="BodyText"/>
        <w:ind w:left="570"/>
        <w:spacing w:before="133" w:line="396"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firstLine="570"/>
        <w:spacing w:before="10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line="368" w:lineRule="exact"/>
        <w:rPr>
          <w:rFonts w:ascii="SimHei" w:hAnsi="SimHei" w:eastAsia="SimHei" w:cs="SimHei"/>
          <w:sz w:val="27"/>
          <w:szCs w:val="27"/>
        </w:rPr>
      </w:pPr>
      <w:r>
        <w:rPr>
          <w:rFonts w:ascii="Arial" w:hAnsi="Arial" w:eastAsia="Arial" w:cs="Arial"/>
          <w:sz w:val="27"/>
          <w:szCs w:val="27"/>
          <w:spacing w:val="-17"/>
          <w:position w:val="1"/>
        </w:rPr>
        <w:t>9</w:t>
      </w:r>
      <w:r>
        <w:rPr>
          <w:rFonts w:ascii="Arial" w:hAnsi="Arial" w:eastAsia="Arial" w:cs="Arial"/>
          <w:sz w:val="27"/>
          <w:szCs w:val="27"/>
          <w:spacing w:val="-44"/>
          <w:position w:val="1"/>
        </w:rPr>
        <w:t xml:space="preserve"> </w:t>
      </w:r>
      <w:r>
        <w:rPr>
          <w:sz w:val="27"/>
          <w:szCs w:val="27"/>
          <w:spacing w:val="-17"/>
          <w:position w:val="1"/>
        </w:rPr>
        <w:t>、</w:t>
      </w:r>
      <w:r>
        <w:rPr>
          <w:sz w:val="27"/>
          <w:szCs w:val="27"/>
          <w:spacing w:val="-6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59"/>
          <w:position w:val="1"/>
        </w:rPr>
        <w:t xml:space="preserve"> </w:t>
      </w:r>
      <w:r>
        <w:rPr>
          <w:rFonts w:ascii="SimHei" w:hAnsi="SimHei" w:eastAsia="SimHei" w:cs="SimHei"/>
          <w:sz w:val="27"/>
          <w:szCs w:val="27"/>
          <w:spacing w:val="-17"/>
          <w:position w:val="1"/>
        </w:rPr>
        <w:t>寒</w:t>
      </w:r>
    </w:p>
    <w:p>
      <w:pPr>
        <w:pStyle w:val="BodyText"/>
        <w:ind w:right="493" w:firstLine="570"/>
        <w:spacing w:before="103" w:line="316" w:lineRule="auto"/>
        <w:rPr>
          <w:sz w:val="29"/>
          <w:szCs w:val="29"/>
        </w:rPr>
      </w:pPr>
      <w:r>
        <w:rPr>
          <w:sz w:val="29"/>
          <w:szCs w:val="29"/>
          <w:spacing w:val="-7"/>
        </w:rPr>
        <w:t>进行乔灌木防寒工作。对于南方树种如海枣等、当年新栽植的苗木，要做好</w:t>
      </w:r>
      <w:r>
        <w:rPr>
          <w:sz w:val="29"/>
          <w:szCs w:val="29"/>
          <w:spacing w:val="1"/>
        </w:rPr>
        <w:t xml:space="preserve"> </w:t>
      </w:r>
      <w:r>
        <w:rPr>
          <w:sz w:val="29"/>
          <w:szCs w:val="29"/>
          <w:spacing w:val="12"/>
        </w:rPr>
        <w:t>防寒措施(树干包裹、根部堆土等),保证新栽植苗木安全越冬。</w:t>
      </w:r>
    </w:p>
    <w:p>
      <w:pPr>
        <w:spacing w:line="316" w:lineRule="auto"/>
        <w:sectPr>
          <w:headerReference w:type="default" r:id="rId312"/>
          <w:footerReference w:type="default" r:id="rId664"/>
          <w:pgSz w:w="14490" w:h="20470"/>
          <w:pgMar w:top="400" w:right="1935" w:bottom="1405" w:left="2150" w:header="0" w:footer="1243"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4490"/>
        <w:spacing w:before="94" w:line="222" w:lineRule="auto"/>
        <w:outlineLvl w:val="1"/>
        <w:rPr>
          <w:rFonts w:ascii="SimHei" w:hAnsi="SimHei" w:eastAsia="SimHei" w:cs="SimHei"/>
          <w:sz w:val="29"/>
          <w:szCs w:val="29"/>
        </w:rPr>
      </w:pPr>
      <w:bookmarkStart w:name="bookmark72" w:id="129"/>
      <w:bookmarkEnd w:id="129"/>
      <w:r>
        <w:rPr>
          <w:rFonts w:ascii="SimHei" w:hAnsi="SimHei" w:eastAsia="SimHei" w:cs="SimHei"/>
          <w:sz w:val="29"/>
          <w:szCs w:val="29"/>
          <w:spacing w:val="6"/>
        </w:rPr>
        <w:t>河南地区</w:t>
      </w:r>
    </w:p>
    <w:p>
      <w:pPr>
        <w:spacing w:before="174" w:line="223" w:lineRule="auto"/>
        <w:rPr>
          <w:rFonts w:ascii="SimHei" w:hAnsi="SimHei" w:eastAsia="SimHei" w:cs="SimHei"/>
          <w:sz w:val="30"/>
          <w:szCs w:val="30"/>
        </w:rPr>
      </w:pPr>
      <w:bookmarkStart w:name="bookmark136" w:id="130"/>
      <w:bookmarkEnd w:id="130"/>
      <w:r>
        <w:rPr>
          <w:rFonts w:ascii="SimHei" w:hAnsi="SimHei" w:eastAsia="SimHei" w:cs="SimHei"/>
          <w:sz w:val="30"/>
          <w:szCs w:val="30"/>
          <w:spacing w:val="-5"/>
        </w:rPr>
        <w:t>一、二月份</w:t>
      </w:r>
    </w:p>
    <w:p>
      <w:pPr>
        <w:pStyle w:val="BodyText"/>
        <w:ind w:left="1179"/>
        <w:spacing w:before="177" w:line="220" w:lineRule="auto"/>
        <w:rPr>
          <w:sz w:val="29"/>
          <w:szCs w:val="29"/>
        </w:rPr>
      </w:pPr>
      <w:r>
        <w:rPr>
          <w:sz w:val="29"/>
          <w:szCs w:val="29"/>
          <w:spacing w:val="2"/>
        </w:rPr>
        <w:t>温度较低，工作重点是保洁和防寒</w:t>
      </w:r>
    </w:p>
    <w:p>
      <w:pPr>
        <w:pStyle w:val="BodyText"/>
        <w:ind w:left="570"/>
        <w:spacing w:before="141"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03" w:line="219" w:lineRule="auto"/>
        <w:rPr>
          <w:sz w:val="29"/>
          <w:szCs w:val="29"/>
        </w:rPr>
      </w:pPr>
      <w:r>
        <w:rPr>
          <w:sz w:val="29"/>
          <w:szCs w:val="29"/>
          <w:spacing w:val="7"/>
        </w:rPr>
        <w:t>(1)检查防寒设施的完好情况，发现破损立即修补；</w:t>
      </w:r>
    </w:p>
    <w:p>
      <w:pPr>
        <w:pStyle w:val="BodyText"/>
        <w:ind w:left="720"/>
        <w:spacing w:before="136" w:line="219" w:lineRule="auto"/>
        <w:rPr>
          <w:sz w:val="29"/>
          <w:szCs w:val="29"/>
        </w:rPr>
      </w:pPr>
      <w:r>
        <w:rPr>
          <w:sz w:val="29"/>
          <w:szCs w:val="29"/>
          <w:spacing w:val="8"/>
        </w:rPr>
        <w:t>(2)及时检查乔木支撑情况，发现松动或缺失立即加固。</w:t>
      </w:r>
    </w:p>
    <w:p>
      <w:pPr>
        <w:ind w:left="570"/>
        <w:spacing w:before="109" w:line="221" w:lineRule="auto"/>
        <w:rPr>
          <w:rFonts w:ascii="SimHei" w:hAnsi="SimHei" w:eastAsia="SimHei" w:cs="SimHei"/>
          <w:sz w:val="30"/>
          <w:szCs w:val="30"/>
        </w:rPr>
      </w:pPr>
      <w:r>
        <w:rPr>
          <w:rFonts w:ascii="SimHei" w:hAnsi="SimHei" w:eastAsia="SimHei" w:cs="SimHei"/>
          <w:sz w:val="30"/>
          <w:szCs w:val="30"/>
          <w:spacing w:val="3"/>
        </w:rPr>
        <w:t>2、</w:t>
      </w:r>
      <w:r>
        <w:rPr>
          <w:rFonts w:ascii="SimHei" w:hAnsi="SimHei" w:eastAsia="SimHei" w:cs="SimHei"/>
          <w:sz w:val="30"/>
          <w:szCs w:val="30"/>
          <w:b/>
          <w:bCs/>
          <w:spacing w:val="3"/>
        </w:rPr>
        <w:t>修剪</w:t>
      </w:r>
    </w:p>
    <w:p>
      <w:pPr>
        <w:pStyle w:val="BodyText"/>
        <w:ind w:right="335" w:firstLine="720"/>
        <w:spacing w:before="148" w:line="287" w:lineRule="auto"/>
        <w:rPr>
          <w:sz w:val="29"/>
          <w:szCs w:val="29"/>
        </w:rPr>
      </w:pPr>
      <w:r>
        <w:rPr>
          <w:sz w:val="29"/>
          <w:szCs w:val="29"/>
          <w:spacing w:val="9"/>
        </w:rPr>
        <w:t>(1)对落叶树木的整形修剪工作，根据各种树木的树龄、生长习性、树型</w:t>
      </w:r>
      <w:r>
        <w:rPr>
          <w:sz w:val="29"/>
          <w:szCs w:val="29"/>
          <w:spacing w:val="6"/>
        </w:rPr>
        <w:t xml:space="preserve"> </w:t>
      </w:r>
      <w:r>
        <w:rPr>
          <w:sz w:val="29"/>
          <w:szCs w:val="29"/>
        </w:rPr>
        <w:t>特点做到有针对性的修剪。去除病虫枝、枯死枝、</w:t>
      </w:r>
      <w:r>
        <w:rPr>
          <w:sz w:val="29"/>
          <w:szCs w:val="29"/>
          <w:spacing w:val="-1"/>
        </w:rPr>
        <w:t>徒长枝、交叉枝等在本地耐寒</w:t>
      </w:r>
      <w:r>
        <w:rPr>
          <w:sz w:val="29"/>
          <w:szCs w:val="29"/>
        </w:rPr>
        <w:t xml:space="preserve"> </w:t>
      </w:r>
      <w:r>
        <w:rPr>
          <w:sz w:val="29"/>
          <w:szCs w:val="29"/>
          <w:spacing w:val="4"/>
        </w:rPr>
        <w:t>性弱的苗木改为春季回暖后修剪.冬季易有流伤的植物如槭树科中的大多数，在</w:t>
      </w:r>
      <w:r>
        <w:rPr>
          <w:sz w:val="29"/>
          <w:szCs w:val="29"/>
          <w:spacing w:val="10"/>
        </w:rPr>
        <w:t xml:space="preserve"> </w:t>
      </w:r>
      <w:r>
        <w:rPr>
          <w:sz w:val="29"/>
          <w:szCs w:val="29"/>
          <w:spacing w:val="-1"/>
        </w:rPr>
        <w:t>晚秋落叶时或春季新芽膨大时修剪；</w:t>
      </w:r>
    </w:p>
    <w:p>
      <w:pPr>
        <w:pStyle w:val="BodyText"/>
        <w:ind w:right="445" w:firstLine="720"/>
        <w:spacing w:before="156" w:line="272" w:lineRule="auto"/>
        <w:rPr>
          <w:sz w:val="29"/>
          <w:szCs w:val="29"/>
        </w:rPr>
      </w:pPr>
      <w:r>
        <w:rPr>
          <w:sz w:val="29"/>
          <w:szCs w:val="29"/>
          <w:spacing w:val="6"/>
        </w:rPr>
        <w:t>(2)本月将对芦苇等水生植物地上部分的枯黄枝叶进行清除，</w:t>
      </w:r>
      <w:r>
        <w:rPr>
          <w:sz w:val="29"/>
          <w:szCs w:val="29"/>
          <w:spacing w:val="5"/>
        </w:rPr>
        <w:t>将已经清理</w:t>
      </w:r>
      <w:r>
        <w:rPr>
          <w:sz w:val="29"/>
          <w:szCs w:val="29"/>
        </w:rPr>
        <w:t xml:space="preserve"> </w:t>
      </w:r>
      <w:r>
        <w:rPr>
          <w:sz w:val="29"/>
          <w:szCs w:val="29"/>
        </w:rPr>
        <w:t>的水生植物如梭鱼草、再力花、水葱等进行分蔸栽植。</w:t>
      </w:r>
    </w:p>
    <w:p>
      <w:pPr>
        <w:ind w:left="570"/>
        <w:spacing w:before="17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70"/>
        <w:spacing w:before="113" w:line="219" w:lineRule="auto"/>
        <w:rPr>
          <w:sz w:val="29"/>
          <w:szCs w:val="29"/>
        </w:rPr>
      </w:pPr>
      <w:r>
        <w:rPr>
          <w:sz w:val="29"/>
          <w:szCs w:val="29"/>
          <w:spacing w:val="2"/>
        </w:rPr>
        <w:t>根据现场实际情况对草坪、地被、绿篱、灌木、乔木浇水封冻缓解旱情。</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570"/>
        <w:spacing w:before="134" w:line="219" w:lineRule="auto"/>
        <w:rPr>
          <w:sz w:val="29"/>
          <w:szCs w:val="29"/>
        </w:rPr>
      </w:pPr>
      <w:r>
        <w:rPr>
          <w:sz w:val="29"/>
          <w:szCs w:val="29"/>
          <w:spacing w:val="1"/>
        </w:rPr>
        <w:t>本月下旬全园区常规消杀一次。</w:t>
      </w:r>
    </w:p>
    <w:p>
      <w:pPr>
        <w:pStyle w:val="BodyText"/>
        <w:ind w:left="570"/>
        <w:spacing w:before="58"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39" w:firstLine="720"/>
        <w:spacing w:before="13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33" w:firstLine="72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341" w:firstLine="720"/>
        <w:spacing w:before="164" w:line="275" w:lineRule="auto"/>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
        </w:rPr>
        <w:t xml:space="preserve"> </w:t>
      </w:r>
      <w:r>
        <w:rPr>
          <w:sz w:val="29"/>
          <w:szCs w:val="29"/>
        </w:rPr>
        <w:t>雪融化后露出的垃圾、废弃物的全面清理。</w:t>
      </w:r>
    </w:p>
    <w:p>
      <w:pPr>
        <w:ind w:left="570"/>
        <w:spacing w:before="204" w:line="222" w:lineRule="auto"/>
        <w:rPr>
          <w:rFonts w:ascii="SimHei" w:hAnsi="SimHei" w:eastAsia="SimHei" w:cs="SimHei"/>
          <w:sz w:val="30"/>
          <w:szCs w:val="30"/>
        </w:rPr>
      </w:pPr>
      <w:r>
        <w:rPr>
          <w:rFonts w:ascii="SimHei" w:hAnsi="SimHei" w:eastAsia="SimHei" w:cs="SimHei"/>
          <w:sz w:val="30"/>
          <w:szCs w:val="30"/>
          <w:spacing w:val="-2"/>
        </w:rPr>
        <w:t>6、物资管理</w:t>
      </w:r>
    </w:p>
    <w:p>
      <w:pPr>
        <w:pStyle w:val="BodyText"/>
        <w:spacing w:before="92"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00" w:firstLine="570"/>
        <w:spacing w:before="157" w:line="304" w:lineRule="auto"/>
        <w:rPr>
          <w:sz w:val="29"/>
          <w:szCs w:val="29"/>
        </w:rPr>
      </w:pPr>
      <w:r>
        <w:rPr>
          <w:sz w:val="29"/>
          <w:szCs w:val="29"/>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96" w:line="223" w:lineRule="auto"/>
        <w:rPr>
          <w:rFonts w:ascii="SimHei" w:hAnsi="SimHei" w:eastAsia="SimHei" w:cs="SimHei"/>
          <w:sz w:val="29"/>
          <w:szCs w:val="29"/>
        </w:rPr>
      </w:pPr>
      <w:r>
        <w:rPr>
          <w:rFonts w:ascii="SimHei" w:hAnsi="SimHei" w:eastAsia="SimHei" w:cs="SimHei"/>
          <w:sz w:val="29"/>
          <w:szCs w:val="29"/>
          <w:spacing w:val="9"/>
        </w:rPr>
        <w:t>三月份</w:t>
      </w:r>
    </w:p>
    <w:p>
      <w:pPr>
        <w:pStyle w:val="BodyText"/>
        <w:ind w:left="570"/>
        <w:spacing w:before="129" w:line="219" w:lineRule="auto"/>
        <w:rPr>
          <w:sz w:val="29"/>
          <w:szCs w:val="29"/>
        </w:rPr>
      </w:pPr>
      <w:r>
        <w:rPr>
          <w:sz w:val="29"/>
          <w:szCs w:val="29"/>
          <w:spacing w:val="5"/>
        </w:rPr>
        <w:t>气温多变，冷暖空气交替，低温连阴雨天气较多。</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spacing w:line="222" w:lineRule="auto"/>
        <w:sectPr>
          <w:footerReference w:type="default" r:id="rId665"/>
          <w:pgSz w:w="14490" w:h="20470"/>
          <w:pgMar w:top="400" w:right="1844" w:bottom="1405" w:left="2150" w:header="0" w:footer="1243" w:gutter="0"/>
        </w:sectPr>
        <w:rPr>
          <w:rFonts w:ascii="SimHei" w:hAnsi="SimHei" w:eastAsia="SimHei" w:cs="SimHei"/>
          <w:sz w:val="29"/>
          <w:szCs w:val="29"/>
        </w:rPr>
      </w:pP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BodyText"/>
        <w:ind w:right="70" w:firstLine="710"/>
        <w:spacing w:before="94" w:line="280" w:lineRule="auto"/>
        <w:rPr>
          <w:sz w:val="29"/>
          <w:szCs w:val="29"/>
        </w:rPr>
      </w:pPr>
      <w:r>
        <w:rPr>
          <w:sz w:val="29"/>
          <w:szCs w:val="29"/>
          <w:spacing w:val="1"/>
        </w:rPr>
        <w:t>①</w:t>
      </w:r>
      <w:r>
        <w:rPr>
          <w:sz w:val="29"/>
          <w:szCs w:val="29"/>
          <w:spacing w:val="46"/>
        </w:rPr>
        <w:t xml:space="preserve">  </w:t>
      </w:r>
      <w:r>
        <w:rPr>
          <w:sz w:val="29"/>
          <w:szCs w:val="29"/>
          <w:spacing w:val="1"/>
        </w:rPr>
        <w:t>防寒设施的拆除：防寒设施的日常维护。采取循序渐进的方法拆除防 </w:t>
      </w:r>
      <w:r>
        <w:rPr>
          <w:sz w:val="29"/>
          <w:szCs w:val="29"/>
          <w:spacing w:val="-4"/>
        </w:rPr>
        <w:t>寒，根据天气情况，可于3月中下旬在防寒障南侧通风透气，此后根据天气状况逐</w:t>
      </w:r>
      <w:r>
        <w:rPr>
          <w:sz w:val="29"/>
          <w:szCs w:val="29"/>
        </w:rPr>
        <w:t xml:space="preserve"> </w:t>
      </w:r>
      <w:r>
        <w:rPr>
          <w:sz w:val="29"/>
          <w:szCs w:val="29"/>
          <w:spacing w:val="-2"/>
        </w:rPr>
        <w:t>步拆除，4月初将防寒设施全部拆除；</w:t>
      </w:r>
    </w:p>
    <w:p>
      <w:pPr>
        <w:pStyle w:val="BodyText"/>
        <w:ind w:left="710"/>
        <w:spacing w:before="142" w:line="217" w:lineRule="auto"/>
        <w:rPr>
          <w:sz w:val="29"/>
          <w:szCs w:val="29"/>
        </w:rPr>
      </w:pPr>
      <w:r>
        <w:rPr>
          <w:sz w:val="29"/>
          <w:szCs w:val="29"/>
          <w:spacing w:val="-2"/>
        </w:rPr>
        <w:t>②</w:t>
      </w:r>
      <w:r>
        <w:rPr>
          <w:sz w:val="29"/>
          <w:szCs w:val="29"/>
          <w:spacing w:val="35"/>
        </w:rPr>
        <w:t xml:space="preserve">  </w:t>
      </w:r>
      <w:r>
        <w:rPr>
          <w:sz w:val="29"/>
          <w:szCs w:val="29"/>
          <w:spacing w:val="-2"/>
        </w:rPr>
        <w:t>及时检查乔木支撑情况，发现松动或缺失立即加固；</w:t>
      </w:r>
    </w:p>
    <w:p>
      <w:pPr>
        <w:pStyle w:val="BodyText"/>
        <w:ind w:left="710"/>
        <w:spacing w:before="159" w:line="217" w:lineRule="auto"/>
        <w:rPr>
          <w:sz w:val="29"/>
          <w:szCs w:val="29"/>
        </w:rPr>
      </w:pPr>
      <w:r>
        <w:rPr>
          <w:sz w:val="29"/>
          <w:szCs w:val="29"/>
          <w:spacing w:val="-5"/>
        </w:rPr>
        <w:t>③</w:t>
      </w:r>
      <w:r>
        <w:rPr>
          <w:sz w:val="29"/>
          <w:szCs w:val="29"/>
          <w:spacing w:val="52"/>
        </w:rPr>
        <w:t xml:space="preserve">  </w:t>
      </w:r>
      <w:r>
        <w:rPr>
          <w:sz w:val="29"/>
          <w:szCs w:val="29"/>
          <w:spacing w:val="-5"/>
        </w:rPr>
        <w:t>草坪解除休眠前进行疏除枯草层工作。</w:t>
      </w:r>
    </w:p>
    <w:p>
      <w:pPr>
        <w:ind w:left="570"/>
        <w:spacing w:before="110"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67" w:firstLine="1330"/>
        <w:spacing w:before="131" w:line="311" w:lineRule="auto"/>
        <w:jc w:val="both"/>
        <w:rPr>
          <w:sz w:val="29"/>
          <w:szCs w:val="29"/>
        </w:rPr>
      </w:pPr>
      <w:r>
        <w:rPr>
          <w:sz w:val="29"/>
          <w:szCs w:val="29"/>
          <w:spacing w:val="4"/>
        </w:rPr>
        <w:t>乔木修剪：对落叶树木的整形修剪工作，根据各种树木的树龄、生长</w:t>
      </w:r>
      <w:r>
        <w:rPr>
          <w:sz w:val="29"/>
          <w:szCs w:val="29"/>
          <w:spacing w:val="2"/>
        </w:rPr>
        <w:t xml:space="preserve"> </w:t>
      </w:r>
      <w:r>
        <w:rPr>
          <w:sz w:val="29"/>
          <w:szCs w:val="29"/>
          <w:spacing w:val="-17"/>
        </w:rPr>
        <w:t>习性、树型特点做到有针对性的修剪。去除病虫枝、枯死枝、徒长枝、交叉枝等。部</w:t>
      </w:r>
      <w:r>
        <w:rPr>
          <w:sz w:val="29"/>
          <w:szCs w:val="29"/>
          <w:spacing w:val="13"/>
        </w:rPr>
        <w:t xml:space="preserve"> </w:t>
      </w:r>
      <w:r>
        <w:rPr>
          <w:sz w:val="29"/>
          <w:szCs w:val="29"/>
          <w:spacing w:val="7"/>
        </w:rPr>
        <w:t>分春季开花苗木花后需进行修剪、疏剪(如梅花)。乔木内膛小枝、脚芽需及时</w:t>
      </w:r>
      <w:r>
        <w:rPr>
          <w:sz w:val="29"/>
          <w:szCs w:val="29"/>
          <w:spacing w:val="11"/>
        </w:rPr>
        <w:t xml:space="preserve"> </w:t>
      </w:r>
      <w:r>
        <w:rPr>
          <w:sz w:val="29"/>
          <w:szCs w:val="29"/>
          <w:spacing w:val="-10"/>
        </w:rPr>
        <w:t>清除；</w:t>
      </w:r>
    </w:p>
    <w:p>
      <w:pPr>
        <w:pStyle w:val="BodyText"/>
        <w:ind w:right="61" w:firstLine="710"/>
        <w:spacing w:before="25" w:line="292" w:lineRule="auto"/>
        <w:rPr>
          <w:sz w:val="29"/>
          <w:szCs w:val="29"/>
        </w:rPr>
      </w:pPr>
      <w:r>
        <w:rPr>
          <w:rFonts w:ascii="Times New Roman" w:hAnsi="Times New Roman" w:eastAsia="Times New Roman" w:cs="Times New Roman"/>
          <w:sz w:val="29"/>
          <w:szCs w:val="29"/>
          <w:spacing w:val="12"/>
        </w:rPr>
        <w:t>2      </w:t>
      </w:r>
      <w:r>
        <w:rPr>
          <w:sz w:val="29"/>
          <w:szCs w:val="29"/>
          <w:spacing w:val="12"/>
        </w:rPr>
        <w:t>灌木、地被修剪：花灌木(色块)顶面修剪要平整、侧面修剪边缘线</w:t>
      </w:r>
      <w:r>
        <w:rPr>
          <w:sz w:val="29"/>
          <w:szCs w:val="29"/>
          <w:spacing w:val="15"/>
        </w:rPr>
        <w:t xml:space="preserve"> </w:t>
      </w:r>
      <w:r>
        <w:rPr>
          <w:sz w:val="29"/>
          <w:szCs w:val="29"/>
          <w:spacing w:val="-8"/>
        </w:rPr>
        <w:t>流畅、顺滑。红叶石楠、法国冬青绿篱等嫩叶成型后再统一修剪整齐。龙柏、红花</w:t>
      </w:r>
      <w:r>
        <w:rPr>
          <w:sz w:val="29"/>
          <w:szCs w:val="29"/>
        </w:rPr>
        <w:t xml:space="preserve"> </w:t>
      </w:r>
      <w:r>
        <w:rPr>
          <w:sz w:val="29"/>
          <w:szCs w:val="29"/>
          <w:spacing w:val="-8"/>
        </w:rPr>
        <w:t>继木、火棘、金边黄杨、大叶黄杨、瓜子黄杨等安排养护人员及时修剪新萌发的零</w:t>
      </w:r>
      <w:r>
        <w:rPr>
          <w:sz w:val="29"/>
          <w:szCs w:val="29"/>
        </w:rPr>
        <w:t xml:space="preserve"> </w:t>
      </w:r>
      <w:r>
        <w:rPr>
          <w:sz w:val="29"/>
          <w:szCs w:val="29"/>
          <w:spacing w:val="-8"/>
        </w:rPr>
        <w:t>星小枝条。色块修剪后及时将修剪下的枝条清运出场。对生长过量的地被小灌木、</w:t>
      </w:r>
      <w:r>
        <w:rPr>
          <w:sz w:val="29"/>
          <w:szCs w:val="29"/>
          <w:spacing w:val="7"/>
        </w:rPr>
        <w:t xml:space="preserve"> </w:t>
      </w:r>
      <w:r>
        <w:rPr>
          <w:sz w:val="29"/>
          <w:szCs w:val="29"/>
        </w:rPr>
        <w:t>绿篱及灌木在新芽刚刚开始膨大时进行回缩；</w:t>
      </w:r>
    </w:p>
    <w:p>
      <w:pPr>
        <w:pStyle w:val="BodyText"/>
        <w:ind w:left="710"/>
        <w:spacing w:before="148" w:line="219" w:lineRule="auto"/>
        <w:rPr>
          <w:sz w:val="29"/>
          <w:szCs w:val="29"/>
        </w:rPr>
      </w:pPr>
      <w:r>
        <w:rPr>
          <w:rFonts w:ascii="Times New Roman" w:hAnsi="Times New Roman" w:eastAsia="Times New Roman" w:cs="Times New Roman"/>
          <w:sz w:val="29"/>
          <w:szCs w:val="29"/>
          <w:spacing w:val="2"/>
        </w:rPr>
        <w:t>3      </w:t>
      </w:r>
      <w:r>
        <w:rPr>
          <w:sz w:val="29"/>
          <w:szCs w:val="29"/>
          <w:spacing w:val="2"/>
        </w:rPr>
        <w:t>草皮修剪：草坪修剪后及时将草屑清运出场。</w:t>
      </w:r>
    </w:p>
    <w:p>
      <w:pPr>
        <w:ind w:left="570"/>
        <w:spacing w:before="134"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left="570"/>
        <w:spacing w:before="132" w:line="219" w:lineRule="auto"/>
        <w:rPr>
          <w:sz w:val="29"/>
          <w:szCs w:val="29"/>
        </w:rPr>
      </w:pPr>
      <w:r>
        <w:rPr>
          <w:sz w:val="29"/>
          <w:szCs w:val="29"/>
          <w:spacing w:val="1"/>
        </w:rPr>
        <w:t>3月下旬追施一次有机复合肥(有机质45%)板结区域施松土肥。</w:t>
      </w:r>
    </w:p>
    <w:p>
      <w:pPr>
        <w:pStyle w:val="BodyText"/>
        <w:ind w:left="570"/>
        <w:spacing w:before="12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10"/>
        <w:spacing w:before="136" w:line="219" w:lineRule="auto"/>
        <w:rPr>
          <w:sz w:val="29"/>
          <w:szCs w:val="29"/>
        </w:rPr>
      </w:pPr>
      <w:r>
        <w:rPr>
          <w:sz w:val="29"/>
          <w:szCs w:val="29"/>
          <w:spacing w:val="8"/>
        </w:rPr>
        <w:t>(1)病害：根腐病、流胶病等；</w:t>
      </w:r>
    </w:p>
    <w:p>
      <w:pPr>
        <w:pStyle w:val="BodyText"/>
        <w:ind w:right="168" w:firstLine="710"/>
        <w:spacing w:before="156" w:line="268" w:lineRule="auto"/>
        <w:rPr>
          <w:sz w:val="29"/>
          <w:szCs w:val="29"/>
        </w:rPr>
      </w:pPr>
      <w:r>
        <w:rPr>
          <w:sz w:val="29"/>
          <w:szCs w:val="29"/>
          <w:spacing w:val="6"/>
        </w:rPr>
        <w:t>(2)虫害：黑刺粉虱、柏肤小蠹、白蚁、铜绿丽金龟、小地老虎、大地老</w:t>
      </w:r>
      <w:r>
        <w:rPr>
          <w:sz w:val="29"/>
          <w:szCs w:val="29"/>
          <w:spacing w:val="9"/>
        </w:rPr>
        <w:t xml:space="preserve"> </w:t>
      </w:r>
      <w:r>
        <w:rPr>
          <w:sz w:val="29"/>
          <w:szCs w:val="29"/>
          <w:spacing w:val="1"/>
        </w:rPr>
        <w:t>虎、沟金针虫、玉带凤蝶等等。</w:t>
      </w:r>
    </w:p>
    <w:p>
      <w:pPr>
        <w:pStyle w:val="BodyText"/>
        <w:ind w:left="570"/>
        <w:spacing w:before="13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166" w:firstLine="710"/>
        <w:spacing w:before="84" w:line="268" w:lineRule="auto"/>
        <w:rPr>
          <w:sz w:val="29"/>
          <w:szCs w:val="29"/>
        </w:rPr>
      </w:pPr>
      <w:r>
        <w:rPr>
          <w:sz w:val="29"/>
          <w:szCs w:val="29"/>
        </w:rPr>
        <w:t>(1)</w:t>
      </w:r>
      <w:r>
        <w:rPr>
          <w:sz w:val="29"/>
          <w:szCs w:val="29"/>
          <w:spacing w:val="63"/>
        </w:rPr>
        <w:t xml:space="preserve"> </w:t>
      </w:r>
      <w:r>
        <w:rPr>
          <w:sz w:val="29"/>
          <w:szCs w:val="29"/>
        </w:rPr>
        <w:t>保洁人员合理分区，全天候巡视，及时清理烟头、树挂等垃圾，水景 </w:t>
      </w:r>
      <w:r>
        <w:rPr>
          <w:sz w:val="29"/>
          <w:szCs w:val="29"/>
          <w:spacing w:val="-2"/>
        </w:rPr>
        <w:t>池、灯杆、垃圾桶保持干净；</w:t>
      </w:r>
    </w:p>
    <w:p>
      <w:pPr>
        <w:pStyle w:val="BodyText"/>
        <w:ind w:right="160" w:firstLine="710"/>
        <w:spacing w:before="125" w:line="276"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1"/>
        </w:rPr>
        <w:t>售展示区)进行彻底清理。</w:t>
      </w:r>
    </w:p>
    <w:p>
      <w:pPr>
        <w:ind w:left="570"/>
        <w:spacing w:before="193"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right="168" w:firstLine="710"/>
        <w:spacing w:before="94" w:line="263"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165" w:firstLine="710"/>
        <w:spacing w:before="151" w:line="271" w:lineRule="auto"/>
        <w:rPr>
          <w:sz w:val="29"/>
          <w:szCs w:val="29"/>
        </w:rPr>
      </w:pPr>
      <w:r>
        <w:rPr>
          <w:sz w:val="29"/>
          <w:szCs w:val="29"/>
          <w:spacing w:val="2"/>
        </w:rPr>
        <w:t>(2)根据现场的实际情况，申请购置4、5、6月份的农药、化肥</w:t>
      </w:r>
      <w:r>
        <w:rPr>
          <w:sz w:val="29"/>
          <w:szCs w:val="29"/>
          <w:spacing w:val="1"/>
        </w:rPr>
        <w:t>、营养剂及</w:t>
      </w:r>
      <w:r>
        <w:rPr>
          <w:sz w:val="29"/>
          <w:szCs w:val="29"/>
        </w:rPr>
        <w:t xml:space="preserve"> </w:t>
      </w:r>
      <w:r>
        <w:rPr>
          <w:sz w:val="29"/>
          <w:szCs w:val="29"/>
          <w:spacing w:val="-3"/>
        </w:rPr>
        <w:t>其它物资。</w:t>
      </w:r>
    </w:p>
    <w:p>
      <w:pPr>
        <w:pStyle w:val="BodyText"/>
        <w:ind w:left="570"/>
        <w:spacing w:before="178"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spacing w:before="106" w:line="219" w:lineRule="auto"/>
        <w:jc w:val="right"/>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666"/>
          <w:pgSz w:w="14490" w:h="20470"/>
          <w:pgMar w:top="400" w:right="2118"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322" w:lineRule="auto"/>
        <w:rPr>
          <w:sz w:val="29"/>
          <w:szCs w:val="29"/>
        </w:rPr>
      </w:pP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41"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570"/>
        <w:spacing w:before="119" w:line="219" w:lineRule="auto"/>
        <w:rPr>
          <w:sz w:val="29"/>
          <w:szCs w:val="29"/>
        </w:rPr>
      </w:pPr>
      <w:r>
        <w:rPr>
          <w:sz w:val="29"/>
          <w:szCs w:val="29"/>
          <w:spacing w:val="4"/>
        </w:rPr>
        <w:t>气温回升，雨量多。春寒、春旱等灾害性天气时有发生。</w:t>
      </w:r>
    </w:p>
    <w:p>
      <w:pPr>
        <w:pStyle w:val="BodyText"/>
        <w:ind w:left="570"/>
        <w:spacing w:before="293"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现场检查</w:t>
      </w:r>
    </w:p>
    <w:p>
      <w:pPr>
        <w:pStyle w:val="BodyText"/>
        <w:ind w:right="252" w:firstLine="720"/>
        <w:spacing w:before="129" w:line="286" w:lineRule="auto"/>
        <w:rPr>
          <w:sz w:val="29"/>
          <w:szCs w:val="29"/>
        </w:rPr>
      </w:pPr>
      <w:r>
        <w:rPr>
          <w:sz w:val="29"/>
          <w:szCs w:val="29"/>
          <w:spacing w:val="4"/>
        </w:rPr>
        <w:t>①  防寒设施拆除：树体缠绕草绳的苗木可待萌芽时去除，将腐烂发霉草</w:t>
      </w:r>
      <w:r>
        <w:rPr>
          <w:sz w:val="29"/>
          <w:szCs w:val="29"/>
          <w:spacing w:val="10"/>
        </w:rPr>
        <w:t xml:space="preserve"> </w:t>
      </w:r>
      <w:r>
        <w:rPr>
          <w:sz w:val="29"/>
          <w:szCs w:val="29"/>
          <w:spacing w:val="-4"/>
        </w:rPr>
        <w:t>绳集中焚烧，销毁草绳中的虫卵。根据天气情况，一般在4月初将花灌木、地被的</w:t>
      </w:r>
      <w:r>
        <w:rPr>
          <w:sz w:val="29"/>
          <w:szCs w:val="29"/>
        </w:rPr>
        <w:t xml:space="preserve"> </w:t>
      </w:r>
      <w:r>
        <w:rPr>
          <w:sz w:val="29"/>
          <w:szCs w:val="29"/>
          <w:spacing w:val="-6"/>
        </w:rPr>
        <w:t>防寒设施全部拆除；</w:t>
      </w:r>
    </w:p>
    <w:p>
      <w:pPr>
        <w:pStyle w:val="BodyText"/>
        <w:ind w:left="720"/>
        <w:spacing w:before="142" w:line="217" w:lineRule="auto"/>
        <w:rPr>
          <w:sz w:val="29"/>
          <w:szCs w:val="29"/>
        </w:rPr>
      </w:pPr>
      <w:r>
        <w:rPr>
          <w:sz w:val="29"/>
          <w:szCs w:val="29"/>
          <w:spacing w:val="1"/>
        </w:rPr>
        <w:t>②  及时检查乔木支撑情况，发现松动或缺失立即</w:t>
      </w:r>
      <w:r>
        <w:rPr>
          <w:sz w:val="29"/>
          <w:szCs w:val="29"/>
        </w:rPr>
        <w:t>加固；</w:t>
      </w:r>
    </w:p>
    <w:p>
      <w:pPr>
        <w:pStyle w:val="BodyText"/>
        <w:ind w:right="431" w:firstLine="720"/>
        <w:spacing w:before="119" w:line="270" w:lineRule="auto"/>
        <w:rPr>
          <w:sz w:val="29"/>
          <w:szCs w:val="29"/>
        </w:rPr>
      </w:pPr>
      <w:r>
        <w:rPr>
          <w:sz w:val="29"/>
          <w:szCs w:val="29"/>
          <w:spacing w:val="-8"/>
        </w:rPr>
        <w:t>③</w:t>
      </w:r>
      <w:r>
        <w:rPr>
          <w:sz w:val="29"/>
          <w:szCs w:val="29"/>
          <w:spacing w:val="41"/>
        </w:rPr>
        <w:t xml:space="preserve">  </w:t>
      </w:r>
      <w:r>
        <w:rPr>
          <w:sz w:val="29"/>
          <w:szCs w:val="29"/>
          <w:spacing w:val="-8"/>
        </w:rPr>
        <w:t>苗木补植：对3月没补植完的苗木本月上旬应抓紧时间种植，必须争取</w:t>
      </w:r>
      <w:r>
        <w:rPr>
          <w:sz w:val="29"/>
          <w:szCs w:val="29"/>
          <w:spacing w:val="1"/>
        </w:rPr>
        <w:t xml:space="preserve"> </w:t>
      </w:r>
      <w:r>
        <w:rPr>
          <w:sz w:val="29"/>
          <w:szCs w:val="29"/>
          <w:spacing w:val="1"/>
        </w:rPr>
        <w:t>在萌芽前全部完成种植任务。</w:t>
      </w:r>
    </w:p>
    <w:p>
      <w:pPr>
        <w:ind w:left="570"/>
        <w:spacing w:before="19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left="720"/>
        <w:spacing w:before="100" w:line="217" w:lineRule="auto"/>
        <w:rPr>
          <w:sz w:val="29"/>
          <w:szCs w:val="29"/>
        </w:rPr>
      </w:pPr>
      <w:r>
        <w:rPr>
          <w:sz w:val="29"/>
          <w:szCs w:val="29"/>
          <w:spacing w:val="-11"/>
        </w:rPr>
        <w:t>①</w:t>
      </w:r>
      <w:r>
        <w:rPr>
          <w:sz w:val="29"/>
          <w:szCs w:val="29"/>
          <w:spacing w:val="37"/>
        </w:rPr>
        <w:t xml:space="preserve">  </w:t>
      </w:r>
      <w:r>
        <w:rPr>
          <w:sz w:val="29"/>
          <w:szCs w:val="29"/>
          <w:spacing w:val="-11"/>
        </w:rPr>
        <w:t>剪除冬春干枯的枝条，对于早春开花的灌木适时进行花后修剪，以疏、</w:t>
      </w:r>
    </w:p>
    <w:p>
      <w:pPr>
        <w:pStyle w:val="BodyText"/>
        <w:ind w:right="131"/>
        <w:spacing w:before="152" w:line="279" w:lineRule="auto"/>
        <w:rPr>
          <w:sz w:val="29"/>
          <w:szCs w:val="29"/>
        </w:rPr>
      </w:pPr>
      <w:r>
        <w:rPr>
          <w:sz w:val="29"/>
          <w:szCs w:val="29"/>
          <w:spacing w:val="-11"/>
        </w:rPr>
        <w:t>截为主。对常绿树木及绿篱进行修剪，绿篱的修建高度根据观赏需要而定，但不应</w:t>
      </w:r>
      <w:r>
        <w:rPr>
          <w:sz w:val="29"/>
          <w:szCs w:val="29"/>
          <w:spacing w:val="3"/>
        </w:rPr>
        <w:t xml:space="preserve">  </w:t>
      </w:r>
      <w:r>
        <w:rPr>
          <w:sz w:val="29"/>
          <w:szCs w:val="29"/>
          <w:spacing w:val="-20"/>
        </w:rPr>
        <w:t>低于上年的修剪高度。对于造型绿篱要保证其原有的形状特征，使其轮廓清晰，层次有</w:t>
      </w:r>
      <w:r>
        <w:rPr>
          <w:sz w:val="29"/>
          <w:szCs w:val="29"/>
          <w:spacing w:val="12"/>
        </w:rPr>
        <w:t xml:space="preserve"> </w:t>
      </w:r>
      <w:r>
        <w:rPr>
          <w:sz w:val="29"/>
          <w:szCs w:val="29"/>
          <w:spacing w:val="-10"/>
        </w:rPr>
        <w:t>序。绿篱、地被小灌木、修剪注意留取更新枝。根据草坪的长势、高</w:t>
      </w:r>
      <w:r>
        <w:rPr>
          <w:sz w:val="29"/>
          <w:szCs w:val="29"/>
          <w:spacing w:val="-11"/>
        </w:rPr>
        <w:t>度进行修剪，</w:t>
      </w:r>
    </w:p>
    <w:p>
      <w:pPr>
        <w:pStyle w:val="BodyText"/>
        <w:spacing w:before="146" w:line="219" w:lineRule="auto"/>
        <w:rPr>
          <w:sz w:val="29"/>
          <w:szCs w:val="29"/>
        </w:rPr>
      </w:pPr>
      <w:r>
        <w:rPr>
          <w:sz w:val="29"/>
          <w:szCs w:val="29"/>
          <w:spacing w:val="-16"/>
        </w:rPr>
        <w:t>高度保持在5公分左右；</w:t>
      </w:r>
    </w:p>
    <w:p>
      <w:pPr>
        <w:pStyle w:val="BodyText"/>
        <w:ind w:right="348" w:firstLine="720"/>
        <w:spacing w:before="162" w:line="273" w:lineRule="auto"/>
        <w:rPr>
          <w:sz w:val="29"/>
          <w:szCs w:val="29"/>
        </w:rPr>
      </w:pPr>
      <w:r>
        <w:rPr>
          <w:sz w:val="29"/>
          <w:szCs w:val="29"/>
          <w:spacing w:val="-1"/>
        </w:rPr>
        <w:t>②</w:t>
      </w:r>
      <w:r>
        <w:rPr>
          <w:sz w:val="29"/>
          <w:szCs w:val="29"/>
          <w:spacing w:val="43"/>
        </w:rPr>
        <w:t xml:space="preserve">  </w:t>
      </w:r>
      <w:r>
        <w:rPr>
          <w:sz w:val="29"/>
          <w:szCs w:val="29"/>
          <w:spacing w:val="-1"/>
        </w:rPr>
        <w:t>杂草清理：行道树、各类花灌木要清除护根草，色块植物杂草要及时</w:t>
      </w:r>
      <w:r>
        <w:rPr>
          <w:sz w:val="29"/>
          <w:szCs w:val="29"/>
        </w:rPr>
        <w:t xml:space="preserve"> </w:t>
      </w:r>
      <w:r>
        <w:rPr>
          <w:sz w:val="29"/>
          <w:szCs w:val="29"/>
          <w:spacing w:val="1"/>
        </w:rPr>
        <w:t>清除，草坪内杂草结合草坪打草及时清理。</w:t>
      </w:r>
    </w:p>
    <w:p>
      <w:pPr>
        <w:pStyle w:val="BodyText"/>
        <w:ind w:left="570"/>
        <w:spacing w:before="133" w:line="395" w:lineRule="exact"/>
        <w:rPr>
          <w:rFonts w:ascii="SimHei" w:hAnsi="SimHei" w:eastAsia="SimHei" w:cs="SimHei"/>
          <w:sz w:val="29"/>
          <w:szCs w:val="29"/>
        </w:rPr>
      </w:pPr>
      <w:r>
        <w:rPr>
          <w:rFonts w:ascii="Arial" w:hAnsi="Arial" w:eastAsia="Arial" w:cs="Arial"/>
          <w:sz w:val="29"/>
          <w:szCs w:val="29"/>
          <w:spacing w:val="1"/>
          <w:position w:val="1"/>
        </w:rPr>
        <w:t>3</w:t>
      </w:r>
      <w:r>
        <w:rPr>
          <w:sz w:val="29"/>
          <w:szCs w:val="29"/>
          <w:spacing w:val="1"/>
          <w:position w:val="1"/>
        </w:rPr>
        <w:t>、</w:t>
      </w:r>
      <w:r>
        <w:rPr>
          <w:rFonts w:ascii="SimHei" w:hAnsi="SimHei" w:eastAsia="SimHei" w:cs="SimHei"/>
          <w:sz w:val="29"/>
          <w:szCs w:val="29"/>
          <w:spacing w:val="1"/>
          <w:position w:val="1"/>
        </w:rPr>
        <w:t>水肥管理</w:t>
      </w:r>
    </w:p>
    <w:p>
      <w:pPr>
        <w:pStyle w:val="BodyText"/>
        <w:ind w:right="306" w:firstLine="720"/>
        <w:spacing w:before="97" w:line="262" w:lineRule="auto"/>
        <w:rPr>
          <w:sz w:val="29"/>
          <w:szCs w:val="29"/>
        </w:rPr>
      </w:pPr>
      <w:r>
        <w:rPr>
          <w:sz w:val="29"/>
          <w:szCs w:val="29"/>
          <w:spacing w:val="7"/>
        </w:rPr>
        <w:t>(1)浇水：根据各种植物生长状况继续进行春灌。结合浇水施肥，争取月</w:t>
      </w:r>
      <w:r>
        <w:rPr>
          <w:sz w:val="29"/>
          <w:szCs w:val="29"/>
          <w:spacing w:val="11"/>
        </w:rPr>
        <w:t xml:space="preserve"> </w:t>
      </w:r>
      <w:r>
        <w:rPr>
          <w:sz w:val="29"/>
          <w:szCs w:val="29"/>
          <w:spacing w:val="1"/>
        </w:rPr>
        <w:t>底所有苗木都春灌一次、施肥一次；</w:t>
      </w:r>
    </w:p>
    <w:p>
      <w:pPr>
        <w:pStyle w:val="BodyText"/>
        <w:ind w:right="432" w:firstLine="720"/>
        <w:spacing w:before="154" w:line="266" w:lineRule="auto"/>
        <w:rPr>
          <w:sz w:val="29"/>
          <w:szCs w:val="29"/>
        </w:rPr>
      </w:pPr>
      <w:r>
        <w:rPr>
          <w:sz w:val="29"/>
          <w:szCs w:val="29"/>
          <w:spacing w:val="12"/>
        </w:rPr>
        <w:t>(2)施肥：中旬追施一次有机复合肥(有机质</w:t>
      </w:r>
      <w:r>
        <w:rPr>
          <w:sz w:val="29"/>
          <w:szCs w:val="29"/>
          <w:spacing w:val="11"/>
        </w:rPr>
        <w:t>45%),若植物长势一般或较</w:t>
      </w:r>
      <w:r>
        <w:rPr>
          <w:sz w:val="29"/>
          <w:szCs w:val="29"/>
        </w:rPr>
        <w:t xml:space="preserve"> </w:t>
      </w:r>
      <w:r>
        <w:rPr>
          <w:sz w:val="29"/>
          <w:szCs w:val="29"/>
          <w:spacing w:val="1"/>
        </w:rPr>
        <w:t>差追施一次高氮低磷中钾的无机复合肥.乔木及大灌木穴施。</w:t>
      </w:r>
    </w:p>
    <w:p>
      <w:pPr>
        <w:pStyle w:val="BodyText"/>
        <w:ind w:left="570"/>
        <w:spacing w:before="206"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20"/>
        <w:spacing w:before="85" w:line="219" w:lineRule="auto"/>
        <w:rPr>
          <w:sz w:val="29"/>
          <w:szCs w:val="29"/>
        </w:rPr>
      </w:pPr>
      <w:r>
        <w:rPr>
          <w:sz w:val="29"/>
          <w:szCs w:val="29"/>
          <w:spacing w:val="-2"/>
        </w:rPr>
        <w:t>(1)   病害：炭疽病、叶斑类病害、锈病、根腐病、流胶病等；</w:t>
      </w:r>
    </w:p>
    <w:p>
      <w:pPr>
        <w:pStyle w:val="BodyText"/>
        <w:ind w:left="720"/>
        <w:spacing w:before="133" w:line="217" w:lineRule="auto"/>
        <w:rPr>
          <w:sz w:val="29"/>
          <w:szCs w:val="29"/>
        </w:rPr>
      </w:pPr>
      <w:r>
        <w:rPr>
          <w:sz w:val="29"/>
          <w:szCs w:val="29"/>
          <w:spacing w:val="4"/>
        </w:rPr>
        <w:t>②</w:t>
      </w:r>
      <w:r>
        <w:rPr>
          <w:sz w:val="29"/>
          <w:szCs w:val="29"/>
          <w:spacing w:val="42"/>
        </w:rPr>
        <w:t xml:space="preserve">   </w:t>
      </w:r>
      <w:r>
        <w:rPr>
          <w:sz w:val="29"/>
          <w:szCs w:val="29"/>
          <w:spacing w:val="4"/>
        </w:rPr>
        <w:t>虫害：大青叶蝉、桃蚜、桃粉蚜、桃瘤蚜、梨网冠蝽、方翅网蝽、</w:t>
      </w:r>
    </w:p>
    <w:p>
      <w:pPr>
        <w:pStyle w:val="BodyText"/>
        <w:spacing w:before="181" w:line="307" w:lineRule="auto"/>
        <w:rPr>
          <w:sz w:val="29"/>
          <w:szCs w:val="29"/>
        </w:rPr>
      </w:pPr>
      <w:r>
        <w:rPr>
          <w:sz w:val="29"/>
          <w:szCs w:val="29"/>
          <w:spacing w:val="-9"/>
        </w:rPr>
        <w:t>桔绿粉虱、黑刺粉虱、星天牛、苹果枝天牛、芳香木蠹蛾、白杨透翅蛾、柏肤小蠹、</w:t>
      </w:r>
      <w:r>
        <w:rPr>
          <w:sz w:val="29"/>
          <w:szCs w:val="29"/>
          <w:spacing w:val="6"/>
        </w:rPr>
        <w:t xml:space="preserve"> </w:t>
      </w:r>
      <w:r>
        <w:rPr>
          <w:sz w:val="29"/>
          <w:szCs w:val="29"/>
          <w:spacing w:val="-9"/>
        </w:rPr>
        <w:t>白蚁、小青花金龟、铜绿丽金龟、小地老虎、大地老虎、沟金针虫、细胸金</w:t>
      </w:r>
      <w:r>
        <w:rPr>
          <w:sz w:val="29"/>
          <w:szCs w:val="29"/>
          <w:spacing w:val="-10"/>
        </w:rPr>
        <w:t>针虫、</w:t>
      </w:r>
    </w:p>
    <w:p>
      <w:pPr>
        <w:pStyle w:val="BodyText"/>
        <w:spacing w:before="5" w:line="219" w:lineRule="auto"/>
        <w:rPr>
          <w:sz w:val="29"/>
          <w:szCs w:val="29"/>
        </w:rPr>
      </w:pPr>
      <w:r>
        <w:rPr>
          <w:sz w:val="29"/>
          <w:szCs w:val="29"/>
          <w:spacing w:val="-10"/>
        </w:rPr>
        <w:t>玉带凤蝶、柳蓝叶甲等。</w:t>
      </w:r>
    </w:p>
    <w:p>
      <w:pPr>
        <w:pStyle w:val="BodyText"/>
        <w:ind w:left="570"/>
        <w:spacing w:before="14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49" w:firstLine="720"/>
        <w:spacing w:before="74" w:line="268" w:lineRule="auto"/>
        <w:rPr>
          <w:sz w:val="29"/>
          <w:szCs w:val="29"/>
        </w:rPr>
      </w:pPr>
      <w:r>
        <w:rPr>
          <w:sz w:val="29"/>
          <w:szCs w:val="29"/>
          <w:spacing w:val="-1"/>
        </w:rPr>
        <w:t>(1)</w:t>
      </w:r>
      <w:r>
        <w:rPr>
          <w:sz w:val="29"/>
          <w:szCs w:val="29"/>
          <w:spacing w:val="86"/>
        </w:rPr>
        <w:t xml:space="preserve"> </w:t>
      </w:r>
      <w:r>
        <w:rPr>
          <w:sz w:val="29"/>
          <w:szCs w:val="29"/>
          <w:spacing w:val="-1"/>
        </w:rPr>
        <w:t>保洁人员合理分区，全天候巡视，及时清理烟头、树挂等垃圾，水景</w:t>
      </w:r>
      <w:r>
        <w:rPr>
          <w:sz w:val="29"/>
          <w:szCs w:val="29"/>
        </w:rPr>
        <w:t xml:space="preserve"> </w:t>
      </w:r>
      <w:r>
        <w:rPr>
          <w:sz w:val="29"/>
          <w:szCs w:val="29"/>
          <w:spacing w:val="-1"/>
        </w:rPr>
        <w:t>池、灯杆、垃圾桶保持干净；</w:t>
      </w:r>
    </w:p>
    <w:p>
      <w:pPr>
        <w:pStyle w:val="BodyText"/>
        <w:ind w:left="720"/>
        <w:spacing w:before="156" w:line="219" w:lineRule="auto"/>
        <w:rPr>
          <w:sz w:val="29"/>
          <w:szCs w:val="29"/>
        </w:rPr>
      </w:pPr>
      <w:r>
        <w:rPr>
          <w:sz w:val="29"/>
          <w:szCs w:val="29"/>
          <w:spacing w:val="12"/>
        </w:rPr>
        <w:t>(2)在业主上班高峰期前对园区内的重点区域(大门内外、主干通道、销</w:t>
      </w:r>
    </w:p>
    <w:p>
      <w:pPr>
        <w:spacing w:line="219" w:lineRule="auto"/>
        <w:sectPr>
          <w:footerReference w:type="default" r:id="rId667"/>
          <w:pgSz w:w="14490" w:h="20470"/>
          <w:pgMar w:top="400" w:right="1935" w:bottom="1433" w:left="2150" w:header="0" w:footer="123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2"/>
        </w:rPr>
        <w:t>售展示区)进行彻底清理。</w:t>
      </w:r>
    </w:p>
    <w:p>
      <w:pPr>
        <w:ind w:left="590"/>
        <w:spacing w:before="116"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20"/>
        <w:spacing w:before="131" w:line="219" w:lineRule="auto"/>
        <w:rPr>
          <w:sz w:val="29"/>
          <w:szCs w:val="29"/>
        </w:rPr>
      </w:pPr>
      <w:r>
        <w:rPr>
          <w:sz w:val="29"/>
          <w:szCs w:val="29"/>
          <w:spacing w:val="6"/>
        </w:rPr>
        <w:t>(1)月初提交时花需求计划，选择亮色花卉，安排下旬进场；</w:t>
      </w:r>
    </w:p>
    <w:p>
      <w:pPr>
        <w:pStyle w:val="BodyText"/>
        <w:ind w:left="72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90"/>
        <w:spacing w:before="103"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43" w:line="219" w:lineRule="auto"/>
        <w:jc w:val="right"/>
        <w:rPr>
          <w:sz w:val="29"/>
          <w:szCs w:val="29"/>
        </w:rPr>
      </w:pPr>
      <w:r>
        <w:rPr>
          <w:sz w:val="29"/>
          <w:szCs w:val="29"/>
          <w:spacing w:val="1"/>
        </w:rPr>
        <w:t>库房物品整理，物料工具出入库及领用登记，注意保管汽油、农药等危险品。</w:t>
      </w:r>
    </w:p>
    <w:p>
      <w:pPr>
        <w:pStyle w:val="BodyText"/>
        <w:ind w:left="590"/>
        <w:spacing w:before="6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00" w:firstLine="590"/>
        <w:spacing w:before="121"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12"/>
        </w:rPr>
        <w:t>五月份</w:t>
      </w:r>
    </w:p>
    <w:p>
      <w:pPr>
        <w:pStyle w:val="BodyText"/>
        <w:ind w:left="590"/>
        <w:spacing w:before="168" w:line="219" w:lineRule="auto"/>
        <w:rPr>
          <w:sz w:val="29"/>
          <w:szCs w:val="29"/>
        </w:rPr>
      </w:pPr>
      <w:r>
        <w:rPr>
          <w:sz w:val="29"/>
          <w:szCs w:val="29"/>
          <w:spacing w:val="4"/>
        </w:rPr>
        <w:t>气温上升，树木生长迅速，注意暴雨大风天气。</w:t>
      </w:r>
    </w:p>
    <w:p>
      <w:pPr>
        <w:pStyle w:val="BodyText"/>
        <w:ind w:left="590"/>
        <w:spacing w:before="13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94" w:line="219" w:lineRule="auto"/>
        <w:rPr>
          <w:sz w:val="29"/>
          <w:szCs w:val="29"/>
        </w:rPr>
      </w:pPr>
      <w:r>
        <w:rPr>
          <w:sz w:val="29"/>
          <w:szCs w:val="29"/>
          <w:spacing w:val="1"/>
        </w:rPr>
        <w:t>及时检查乔木支撑情况，发现松动或缺失立即加固。</w:t>
      </w:r>
    </w:p>
    <w:p>
      <w:pPr>
        <w:ind w:left="590"/>
        <w:spacing w:before="11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520" w:firstLine="720"/>
        <w:spacing w:before="155" w:line="311" w:lineRule="auto"/>
        <w:rPr>
          <w:sz w:val="29"/>
          <w:szCs w:val="29"/>
        </w:rPr>
      </w:pPr>
      <w:r>
        <w:rPr>
          <w:sz w:val="29"/>
          <w:szCs w:val="29"/>
          <w:spacing w:val="-13"/>
        </w:rPr>
        <w:t>(1)</w:t>
      </w:r>
      <w:r>
        <w:rPr>
          <w:sz w:val="29"/>
          <w:szCs w:val="29"/>
          <w:spacing w:val="129"/>
        </w:rPr>
        <w:t xml:space="preserve"> </w:t>
      </w:r>
      <w:r>
        <w:rPr>
          <w:sz w:val="29"/>
          <w:szCs w:val="29"/>
          <w:spacing w:val="-13"/>
        </w:rPr>
        <w:t>对开花灌木进行花后修剪、对乔木进行修剪，结合生长期修剪</w:t>
      </w:r>
      <w:r>
        <w:rPr>
          <w:sz w:val="29"/>
          <w:szCs w:val="29"/>
          <w:spacing w:val="-14"/>
        </w:rPr>
        <w:t>，定干，</w:t>
      </w:r>
      <w:r>
        <w:rPr>
          <w:sz w:val="29"/>
          <w:szCs w:val="29"/>
        </w:rPr>
        <w:t xml:space="preserve"> </w:t>
      </w:r>
      <w:r>
        <w:rPr>
          <w:sz w:val="29"/>
          <w:szCs w:val="29"/>
          <w:spacing w:val="-5"/>
        </w:rPr>
        <w:t>抹芽，刮皮，清除病虫枝，内膛枝；</w:t>
      </w:r>
    </w:p>
    <w:p>
      <w:pPr>
        <w:pStyle w:val="BodyText"/>
        <w:ind w:right="320" w:firstLine="720"/>
        <w:spacing w:before="3" w:line="311" w:lineRule="auto"/>
        <w:jc w:val="both"/>
        <w:rPr>
          <w:sz w:val="29"/>
          <w:szCs w:val="29"/>
        </w:rPr>
      </w:pPr>
      <w:r>
        <w:rPr>
          <w:sz w:val="29"/>
          <w:szCs w:val="29"/>
          <w:spacing w:val="-1"/>
        </w:rPr>
        <w:t>(②  及时修剪地被小灌木、绿篱与造型树。绿篱、模</w:t>
      </w:r>
      <w:r>
        <w:rPr>
          <w:sz w:val="29"/>
          <w:szCs w:val="29"/>
          <w:spacing w:val="-2"/>
        </w:rPr>
        <w:t>纹、色带、冷型草草</w:t>
      </w:r>
      <w:r>
        <w:rPr>
          <w:sz w:val="29"/>
          <w:szCs w:val="29"/>
        </w:rPr>
        <w:t xml:space="preserve"> </w:t>
      </w:r>
      <w:r>
        <w:rPr>
          <w:sz w:val="29"/>
          <w:szCs w:val="29"/>
          <w:spacing w:val="1"/>
        </w:rPr>
        <w:t>坪的修剪，所有苗木都处于生长旺季，要加强修剪整</w:t>
      </w:r>
      <w:r>
        <w:rPr>
          <w:sz w:val="29"/>
          <w:szCs w:val="29"/>
        </w:rPr>
        <w:t>形，使绿植整体保持清晰、 </w:t>
      </w:r>
      <w:r>
        <w:rPr>
          <w:sz w:val="29"/>
          <w:szCs w:val="29"/>
          <w:spacing w:val="-5"/>
        </w:rPr>
        <w:t>美观的形态；</w:t>
      </w:r>
    </w:p>
    <w:p>
      <w:pPr>
        <w:pStyle w:val="BodyText"/>
        <w:ind w:right="338" w:firstLine="720"/>
        <w:spacing w:before="4" w:line="311" w:lineRule="auto"/>
        <w:rPr>
          <w:sz w:val="29"/>
          <w:szCs w:val="29"/>
        </w:rPr>
      </w:pPr>
      <w:r>
        <w:rPr>
          <w:sz w:val="29"/>
          <w:szCs w:val="29"/>
          <w:spacing w:val="-4"/>
        </w:rPr>
        <w:t>(③)  除杂草：增加人员投入及合理除草药剂的使用，减少或杜绝其与绿植</w:t>
      </w:r>
      <w:r>
        <w:rPr>
          <w:sz w:val="29"/>
          <w:szCs w:val="29"/>
          <w:spacing w:val="1"/>
        </w:rPr>
        <w:t xml:space="preserve"> </w:t>
      </w:r>
      <w:r>
        <w:rPr>
          <w:sz w:val="29"/>
          <w:szCs w:val="29"/>
          <w:spacing w:val="-8"/>
        </w:rPr>
        <w:t>水肥争抢。尤其是围蔽下，综合楼角落，人工湖驳岸清理到位，干净。重点是覆盖</w:t>
      </w:r>
      <w:r>
        <w:rPr>
          <w:sz w:val="29"/>
          <w:szCs w:val="29"/>
        </w:rPr>
        <w:t xml:space="preserve"> </w:t>
      </w:r>
      <w:r>
        <w:rPr>
          <w:sz w:val="29"/>
          <w:szCs w:val="29"/>
          <w:spacing w:val="-4"/>
        </w:rPr>
        <w:t>率，返青不好的，如斑秃或者病虫害区域及时消杀病虫害或更换草皮，5月中旬结</w:t>
      </w:r>
      <w:r>
        <w:rPr>
          <w:sz w:val="29"/>
          <w:szCs w:val="29"/>
          <w:spacing w:val="4"/>
        </w:rPr>
        <w:t xml:space="preserve"> </w:t>
      </w:r>
      <w:r>
        <w:rPr>
          <w:sz w:val="29"/>
          <w:szCs w:val="29"/>
          <w:spacing w:val="-4"/>
        </w:rPr>
        <w:t>束草皮病虫害消杀，5月上旬结束草皮更换工作。根据实际情况对草坪进行修剪。</w:t>
      </w:r>
      <w:r>
        <w:rPr>
          <w:sz w:val="29"/>
          <w:szCs w:val="29"/>
          <w:spacing w:val="4"/>
        </w:rPr>
        <w:t xml:space="preserve"> </w:t>
      </w:r>
      <w:r>
        <w:rPr>
          <w:sz w:val="29"/>
          <w:szCs w:val="29"/>
          <w:spacing w:val="-3"/>
        </w:rPr>
        <w:t>具体修剪次数依据现场实际情况而定，高度保持4-5</w:t>
      </w:r>
      <w:r>
        <w:rPr>
          <w:rFonts w:ascii="Times New Roman" w:hAnsi="Times New Roman" w:eastAsia="Times New Roman" w:cs="Times New Roman"/>
          <w:sz w:val="29"/>
          <w:szCs w:val="29"/>
          <w:spacing w:val="-3"/>
        </w:rPr>
        <w:t>cm</w:t>
      </w:r>
      <w:r>
        <w:rPr>
          <w:sz w:val="29"/>
          <w:szCs w:val="29"/>
          <w:spacing w:val="-3"/>
        </w:rPr>
        <w:t>。</w:t>
      </w:r>
    </w:p>
    <w:p>
      <w:pPr>
        <w:ind w:left="590"/>
        <w:spacing w:before="6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41" w:firstLine="720"/>
        <w:spacing w:before="90" w:line="286" w:lineRule="auto"/>
        <w:rPr>
          <w:sz w:val="29"/>
          <w:szCs w:val="29"/>
        </w:rPr>
      </w:pPr>
      <w:r>
        <w:rPr>
          <w:sz w:val="29"/>
          <w:szCs w:val="29"/>
          <w:spacing w:val="5"/>
        </w:rPr>
        <w:t>①  营养液：根据树木的萌芽情况提前或延</w:t>
      </w:r>
      <w:r>
        <w:rPr>
          <w:sz w:val="29"/>
          <w:szCs w:val="29"/>
          <w:spacing w:val="4"/>
        </w:rPr>
        <w:t>后。对贵重苗木进行大树营养</w:t>
      </w:r>
      <w:r>
        <w:rPr>
          <w:sz w:val="29"/>
          <w:szCs w:val="29"/>
        </w:rPr>
        <w:t xml:space="preserve"> </w:t>
      </w:r>
      <w:r>
        <w:rPr>
          <w:sz w:val="29"/>
          <w:szCs w:val="29"/>
          <w:spacing w:val="8"/>
        </w:rPr>
        <w:t>液(如施它活或吊针原液)滴注。若不良表现轻微可补充清水。确定大树健康无</w:t>
      </w:r>
      <w:r>
        <w:rPr>
          <w:sz w:val="29"/>
          <w:szCs w:val="29"/>
          <w:spacing w:val="11"/>
        </w:rPr>
        <w:t xml:space="preserve"> </w:t>
      </w:r>
      <w:r>
        <w:rPr>
          <w:sz w:val="29"/>
          <w:szCs w:val="29"/>
          <w:spacing w:val="-4"/>
        </w:rPr>
        <w:t>误后再撤除吊袋，并将输液孔封死。5月下旬完毕；</w:t>
      </w:r>
    </w:p>
    <w:p>
      <w:pPr>
        <w:pStyle w:val="BodyText"/>
        <w:ind w:right="432" w:firstLine="720"/>
        <w:spacing w:before="132" w:line="273" w:lineRule="auto"/>
        <w:rPr>
          <w:sz w:val="29"/>
          <w:szCs w:val="29"/>
        </w:rPr>
      </w:pPr>
      <w:r>
        <w:rPr>
          <w:sz w:val="29"/>
          <w:szCs w:val="29"/>
          <w:spacing w:val="2"/>
        </w:rPr>
        <w:t>②  浇水：五月份气温升高雨水少，树木展叶盛期，需水量很</w:t>
      </w:r>
      <w:r>
        <w:rPr>
          <w:sz w:val="29"/>
          <w:szCs w:val="29"/>
          <w:spacing w:val="1"/>
        </w:rPr>
        <w:t>大，浇水任</w:t>
      </w:r>
      <w:r>
        <w:rPr>
          <w:sz w:val="29"/>
          <w:szCs w:val="29"/>
        </w:rPr>
        <w:t xml:space="preserve"> </w:t>
      </w:r>
      <w:r>
        <w:rPr>
          <w:sz w:val="29"/>
          <w:szCs w:val="29"/>
          <w:spacing w:val="5"/>
        </w:rPr>
        <w:t>务突出，加大人员及设备投入，确保苗木正常生长(尤其地被花卉及草坪)。</w:t>
      </w:r>
    </w:p>
    <w:p>
      <w:pPr>
        <w:pStyle w:val="BodyText"/>
        <w:ind w:left="590"/>
        <w:spacing w:before="183"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429" w:firstLine="720"/>
        <w:spacing w:before="93" w:line="315" w:lineRule="auto"/>
        <w:rPr>
          <w:sz w:val="29"/>
          <w:szCs w:val="29"/>
        </w:rPr>
      </w:pPr>
      <w:r>
        <w:rPr>
          <w:sz w:val="29"/>
          <w:szCs w:val="29"/>
          <w:spacing w:val="6"/>
        </w:rPr>
        <w:t>(1)病害：白粉病、炭疽病、叶斑类病害、锈病、干腐病、根腐病、流胶</w:t>
      </w:r>
      <w:r>
        <w:rPr>
          <w:sz w:val="29"/>
          <w:szCs w:val="29"/>
          <w:spacing w:val="11"/>
        </w:rPr>
        <w:t xml:space="preserve"> </w:t>
      </w:r>
      <w:r>
        <w:rPr>
          <w:sz w:val="29"/>
          <w:szCs w:val="29"/>
          <w:spacing w:val="-3"/>
        </w:rPr>
        <w:t>病、细菌性穿孔病等；</w:t>
      </w:r>
    </w:p>
    <w:p>
      <w:pPr>
        <w:spacing w:line="315" w:lineRule="auto"/>
        <w:sectPr>
          <w:footerReference w:type="default" r:id="rId668"/>
          <w:pgSz w:w="14490" w:h="20470"/>
          <w:pgMar w:top="400" w:right="1844"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100" w:firstLine="720"/>
        <w:spacing w:before="94" w:line="311" w:lineRule="auto"/>
        <w:jc w:val="both"/>
        <w:rPr>
          <w:sz w:val="29"/>
          <w:szCs w:val="29"/>
        </w:rPr>
      </w:pPr>
      <w:r>
        <w:rPr>
          <w:sz w:val="29"/>
          <w:szCs w:val="29"/>
          <w:spacing w:val="9"/>
        </w:rPr>
        <w:t>(2)虫害：大青叶蝉、桃蚜、桃粉蚜、桃瘤蚜、梨网冠蝽、方翅网蝽、桔</w:t>
      </w:r>
      <w:r>
        <w:rPr>
          <w:sz w:val="29"/>
          <w:szCs w:val="29"/>
        </w:rPr>
        <w:t xml:space="preserve">  </w:t>
      </w:r>
      <w:r>
        <w:rPr>
          <w:sz w:val="29"/>
          <w:szCs w:val="29"/>
          <w:spacing w:val="-9"/>
        </w:rPr>
        <w:t>绿粉虱、黑刺粉虱、星天牛、苹果枝天牛、桃红颈天牛、芳香木蠹蛾、白杨</w:t>
      </w:r>
      <w:r>
        <w:rPr>
          <w:sz w:val="29"/>
          <w:szCs w:val="29"/>
          <w:spacing w:val="-10"/>
        </w:rPr>
        <w:t>透翅蛾、</w:t>
      </w:r>
      <w:r>
        <w:rPr>
          <w:sz w:val="29"/>
          <w:szCs w:val="29"/>
        </w:rPr>
        <w:t xml:space="preserve"> </w:t>
      </w:r>
      <w:r>
        <w:rPr>
          <w:sz w:val="29"/>
          <w:szCs w:val="29"/>
          <w:spacing w:val="-22"/>
        </w:rPr>
        <w:t>柏肤小蠹、白蚁、小青花金龟、大黑鳃金龟、铜绿丽金龟、大地老虎、蝼蛄、细胸金针</w:t>
      </w:r>
      <w:r>
        <w:rPr>
          <w:sz w:val="29"/>
          <w:szCs w:val="29"/>
          <w:spacing w:val="3"/>
        </w:rPr>
        <w:t xml:space="preserve">  </w:t>
      </w:r>
      <w:r>
        <w:rPr>
          <w:sz w:val="29"/>
          <w:szCs w:val="29"/>
          <w:spacing w:val="-23"/>
        </w:rPr>
        <w:t>虫、桃剑纹夜蛾、丝棉木金星尺蛾、绿尾大</w:t>
      </w:r>
      <w:r>
        <w:rPr>
          <w:sz w:val="29"/>
          <w:szCs w:val="29"/>
          <w:spacing w:val="-24"/>
        </w:rPr>
        <w:t>蚕蛾、柑桔凤蝶、玉带凤蝶、蔷薇三节叶蜂、</w:t>
      </w:r>
      <w:r>
        <w:rPr>
          <w:sz w:val="29"/>
          <w:szCs w:val="29"/>
        </w:rPr>
        <w:t xml:space="preserve"> </w:t>
      </w:r>
      <w:r>
        <w:rPr>
          <w:sz w:val="29"/>
          <w:szCs w:val="29"/>
          <w:spacing w:val="-24"/>
        </w:rPr>
        <w:t>柳蓝叶甲、葡萄十星叶甲等。</w:t>
      </w:r>
    </w:p>
    <w:p>
      <w:pPr>
        <w:pStyle w:val="BodyText"/>
        <w:ind w:left="590"/>
        <w:spacing w:before="29"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430" w:firstLine="720"/>
        <w:spacing w:before="92" w:line="262" w:lineRule="auto"/>
        <w:rPr>
          <w:sz w:val="29"/>
          <w:szCs w:val="29"/>
        </w:rPr>
      </w:pPr>
      <w:r>
        <w:rPr>
          <w:sz w:val="29"/>
          <w:szCs w:val="29"/>
        </w:rPr>
        <w:t>(1)</w:t>
      </w:r>
      <w:r>
        <w:rPr>
          <w:sz w:val="29"/>
          <w:szCs w:val="29"/>
          <w:spacing w:val="72"/>
        </w:rPr>
        <w:t xml:space="preserve"> </w:t>
      </w:r>
      <w:r>
        <w:rPr>
          <w:sz w:val="29"/>
          <w:szCs w:val="29"/>
        </w:rPr>
        <w:t>保洁人员合理分区，全天候巡视，及时清理烟头</w:t>
      </w:r>
      <w:r>
        <w:rPr>
          <w:sz w:val="29"/>
          <w:szCs w:val="29"/>
          <w:spacing w:val="-1"/>
        </w:rPr>
        <w:t>、树挂等垃圾，水景</w:t>
      </w:r>
      <w:r>
        <w:rPr>
          <w:sz w:val="29"/>
          <w:szCs w:val="29"/>
        </w:rPr>
        <w:t xml:space="preserve"> </w:t>
      </w:r>
      <w:r>
        <w:rPr>
          <w:sz w:val="29"/>
          <w:szCs w:val="29"/>
          <w:spacing w:val="-1"/>
        </w:rPr>
        <w:t>池、灯杆、垃圾桶保持干净；</w:t>
      </w:r>
    </w:p>
    <w:p>
      <w:pPr>
        <w:pStyle w:val="BodyText"/>
        <w:ind w:right="423" w:firstLine="720"/>
        <w:spacing w:before="136" w:line="269"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ind w:left="59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104" w:line="219" w:lineRule="auto"/>
        <w:jc w:val="right"/>
        <w:rPr>
          <w:sz w:val="29"/>
          <w:szCs w:val="29"/>
        </w:rPr>
      </w:pPr>
      <w:r>
        <w:rPr>
          <w:sz w:val="29"/>
          <w:szCs w:val="29"/>
          <w:spacing w:val="1"/>
        </w:rPr>
        <w:t>库房物品整理，物料工具出入库及领用登记，注意保管汽油、农药等危险品。</w:t>
      </w:r>
    </w:p>
    <w:p>
      <w:pPr>
        <w:pStyle w:val="BodyText"/>
        <w:ind w:left="590"/>
        <w:spacing w:before="8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00" w:firstLine="590"/>
        <w:spacing w:before="167"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pStyle w:val="BodyText"/>
        <w:ind w:left="590"/>
        <w:spacing w:before="31"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防风</w:t>
      </w:r>
    </w:p>
    <w:p>
      <w:pPr>
        <w:pStyle w:val="BodyText"/>
        <w:ind w:right="303" w:firstLine="590"/>
        <w:spacing w:before="110" w:line="334" w:lineRule="auto"/>
        <w:rPr>
          <w:rFonts w:ascii="SimHei" w:hAnsi="SimHei" w:eastAsia="SimHei" w:cs="SimHei"/>
          <w:sz w:val="29"/>
          <w:szCs w:val="29"/>
        </w:rPr>
      </w:pPr>
      <w:r>
        <w:rPr>
          <w:sz w:val="29"/>
          <w:szCs w:val="29"/>
          <w:spacing w:val="-12"/>
        </w:rPr>
        <w:t>本月是4及以上大风多发月份，而且土壤解冻疏松，苗木根系容易晃动，注意检</w:t>
      </w:r>
      <w:r>
        <w:rPr>
          <w:sz w:val="29"/>
          <w:szCs w:val="29"/>
          <w:spacing w:val="15"/>
        </w:rPr>
        <w:t xml:space="preserve"> </w:t>
      </w:r>
      <w:r>
        <w:rPr>
          <w:sz w:val="29"/>
          <w:szCs w:val="29"/>
          <w:spacing w:val="-13"/>
        </w:rPr>
        <w:t>查并苗木支架，如有松动及时加固，确保支架稳固。做好对干热风的预防。</w:t>
      </w:r>
      <w:r>
        <w:rPr>
          <w:rFonts w:ascii="SimHei" w:hAnsi="SimHei" w:eastAsia="SimHei" w:cs="SimHei"/>
          <w:sz w:val="29"/>
          <w:szCs w:val="29"/>
          <w:spacing w:val="-13"/>
        </w:rPr>
        <w:t>六月份</w:t>
      </w:r>
    </w:p>
    <w:p>
      <w:pPr>
        <w:pStyle w:val="BodyText"/>
        <w:ind w:left="590"/>
        <w:spacing w:line="219" w:lineRule="auto"/>
        <w:rPr>
          <w:sz w:val="29"/>
          <w:szCs w:val="29"/>
        </w:rPr>
      </w:pPr>
      <w:r>
        <w:rPr>
          <w:sz w:val="29"/>
          <w:szCs w:val="29"/>
          <w:spacing w:val="6"/>
        </w:rPr>
        <w:t>气温升高，降雨强度大。</w:t>
      </w:r>
    </w:p>
    <w:p>
      <w:pPr>
        <w:pStyle w:val="BodyText"/>
        <w:ind w:left="590"/>
        <w:spacing w:before="27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24" w:line="219" w:lineRule="auto"/>
        <w:rPr>
          <w:sz w:val="29"/>
          <w:szCs w:val="29"/>
        </w:rPr>
      </w:pPr>
      <w:r>
        <w:rPr>
          <w:sz w:val="29"/>
          <w:szCs w:val="29"/>
          <w:spacing w:val="1"/>
        </w:rPr>
        <w:t>及时检查乔木支撑情况，发现松动或缺失立即加固。</w:t>
      </w:r>
    </w:p>
    <w:p>
      <w:pPr>
        <w:ind w:left="590"/>
        <w:spacing w:before="123" w:line="221" w:lineRule="auto"/>
        <w:rPr>
          <w:rFonts w:ascii="SimHei" w:hAnsi="SimHei" w:eastAsia="SimHei" w:cs="SimHei"/>
          <w:sz w:val="29"/>
          <w:szCs w:val="29"/>
        </w:rPr>
      </w:pPr>
      <w:r>
        <w:rPr>
          <w:rFonts w:ascii="SimHei" w:hAnsi="SimHei" w:eastAsia="SimHei" w:cs="SimHei"/>
          <w:sz w:val="29"/>
          <w:szCs w:val="29"/>
          <w:spacing w:val="8"/>
        </w:rPr>
        <w:t>2、修剪</w:t>
      </w:r>
    </w:p>
    <w:p>
      <w:pPr>
        <w:pStyle w:val="BodyText"/>
        <w:ind w:left="720"/>
        <w:spacing w:before="142" w:line="217" w:lineRule="auto"/>
        <w:rPr>
          <w:sz w:val="29"/>
          <w:szCs w:val="29"/>
        </w:rPr>
      </w:pPr>
      <w:r>
        <w:rPr>
          <w:sz w:val="29"/>
          <w:szCs w:val="29"/>
          <w:spacing w:val="-11"/>
        </w:rPr>
        <w:t>①</w:t>
      </w:r>
      <w:r>
        <w:rPr>
          <w:sz w:val="29"/>
          <w:szCs w:val="29"/>
          <w:spacing w:val="41"/>
        </w:rPr>
        <w:t xml:space="preserve">  </w:t>
      </w:r>
      <w:r>
        <w:rPr>
          <w:sz w:val="29"/>
          <w:szCs w:val="29"/>
          <w:spacing w:val="-11"/>
        </w:rPr>
        <w:t>继续对乔木进行剥芽除蘖工作。对绿篱、球类及部分花</w:t>
      </w:r>
      <w:r>
        <w:rPr>
          <w:sz w:val="29"/>
          <w:szCs w:val="29"/>
          <w:spacing w:val="-12"/>
        </w:rPr>
        <w:t>灌木实施修剪；</w:t>
      </w:r>
    </w:p>
    <w:p>
      <w:pPr>
        <w:pStyle w:val="BodyText"/>
        <w:ind w:right="561" w:firstLine="720"/>
        <w:spacing w:before="149" w:line="263" w:lineRule="auto"/>
        <w:rPr>
          <w:sz w:val="29"/>
          <w:szCs w:val="29"/>
        </w:rPr>
      </w:pPr>
      <w:r>
        <w:rPr>
          <w:sz w:val="29"/>
          <w:szCs w:val="29"/>
          <w:spacing w:val="-3"/>
        </w:rPr>
        <w:t>②</w:t>
      </w:r>
      <w:r>
        <w:rPr>
          <w:sz w:val="29"/>
          <w:szCs w:val="29"/>
          <w:spacing w:val="61"/>
        </w:rPr>
        <w:t xml:space="preserve">  </w:t>
      </w:r>
      <w:r>
        <w:rPr>
          <w:sz w:val="29"/>
          <w:szCs w:val="29"/>
          <w:spacing w:val="-3"/>
        </w:rPr>
        <w:t>及时对草坪进行修剪，高度保持4-5</w:t>
      </w:r>
      <w:r>
        <w:rPr>
          <w:rFonts w:ascii="Times New Roman" w:hAnsi="Times New Roman" w:eastAsia="Times New Roman" w:cs="Times New Roman"/>
          <w:sz w:val="29"/>
          <w:szCs w:val="29"/>
          <w:spacing w:val="-3"/>
        </w:rPr>
        <w:t>cm</w:t>
      </w:r>
      <w:r>
        <w:rPr>
          <w:sz w:val="29"/>
          <w:szCs w:val="29"/>
          <w:spacing w:val="-3"/>
        </w:rPr>
        <w:t>。避免</w:t>
      </w:r>
      <w:r>
        <w:rPr>
          <w:sz w:val="29"/>
          <w:szCs w:val="29"/>
          <w:spacing w:val="-4"/>
        </w:rPr>
        <w:t>出现剪短露白茬；或者</w:t>
      </w:r>
      <w:r>
        <w:rPr>
          <w:sz w:val="29"/>
          <w:szCs w:val="29"/>
        </w:rPr>
        <w:t xml:space="preserve"> </w:t>
      </w:r>
      <w:r>
        <w:rPr>
          <w:sz w:val="29"/>
          <w:szCs w:val="29"/>
        </w:rPr>
        <w:t>修剪不及时草皮过高倒伏，捂黄等现象。</w:t>
      </w:r>
    </w:p>
    <w:p>
      <w:pPr>
        <w:ind w:left="590"/>
        <w:spacing w:before="19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40" w:firstLine="720"/>
        <w:spacing w:before="87" w:line="280" w:lineRule="auto"/>
        <w:rPr>
          <w:sz w:val="29"/>
          <w:szCs w:val="29"/>
        </w:rPr>
      </w:pPr>
      <w:r>
        <w:rPr>
          <w:sz w:val="29"/>
          <w:szCs w:val="29"/>
          <w:spacing w:val="5"/>
        </w:rPr>
        <w:t>①  有返青不好的苗木，视具体情况采取土层</w:t>
      </w:r>
      <w:r>
        <w:rPr>
          <w:sz w:val="29"/>
          <w:szCs w:val="29"/>
          <w:spacing w:val="4"/>
        </w:rPr>
        <w:t>浅播硫酸亚铁改善土壤小环</w:t>
      </w:r>
      <w:r>
        <w:rPr>
          <w:sz w:val="29"/>
          <w:szCs w:val="29"/>
        </w:rPr>
        <w:t xml:space="preserve"> </w:t>
      </w:r>
      <w:r>
        <w:rPr>
          <w:sz w:val="29"/>
          <w:szCs w:val="29"/>
          <w:spacing w:val="-4"/>
        </w:rPr>
        <w:t>境、使用营养剂、根部施肥透气透水等措施提高苗木成活，提高养护效果。6月上</w:t>
      </w:r>
      <w:r>
        <w:rPr>
          <w:sz w:val="29"/>
          <w:szCs w:val="29"/>
        </w:rPr>
        <w:t xml:space="preserve"> </w:t>
      </w:r>
      <w:r>
        <w:rPr>
          <w:sz w:val="29"/>
          <w:szCs w:val="29"/>
          <w:spacing w:val="-16"/>
        </w:rPr>
        <w:t>旬结束；</w:t>
      </w:r>
    </w:p>
    <w:p>
      <w:pPr>
        <w:pStyle w:val="BodyText"/>
        <w:ind w:right="337" w:firstLine="720"/>
        <w:spacing w:before="163" w:line="286" w:lineRule="auto"/>
        <w:rPr>
          <w:sz w:val="29"/>
          <w:szCs w:val="29"/>
        </w:rPr>
      </w:pPr>
      <w:r>
        <w:rPr>
          <w:sz w:val="29"/>
          <w:szCs w:val="29"/>
          <w:spacing w:val="5"/>
        </w:rPr>
        <w:t>②  伏天气温高，雨水少时，植物需水量大，要及时</w:t>
      </w:r>
      <w:r>
        <w:rPr>
          <w:sz w:val="29"/>
          <w:szCs w:val="29"/>
          <w:spacing w:val="4"/>
        </w:rPr>
        <w:t>浇水，不能“看天吃</w:t>
      </w:r>
      <w:r>
        <w:rPr>
          <w:sz w:val="29"/>
          <w:szCs w:val="29"/>
        </w:rPr>
        <w:t xml:space="preserve"> </w:t>
      </w:r>
      <w:r>
        <w:rPr>
          <w:sz w:val="29"/>
          <w:szCs w:val="29"/>
          <w:spacing w:val="-8"/>
        </w:rPr>
        <w:t>饭”应注意灌溉问题。本月也是暴雨较多的月份，要注意防涝。有大雨天气时要注</w:t>
      </w:r>
      <w:r>
        <w:rPr>
          <w:sz w:val="29"/>
          <w:szCs w:val="29"/>
          <w:spacing w:val="1"/>
        </w:rPr>
        <w:t xml:space="preserve"> </w:t>
      </w:r>
      <w:r>
        <w:rPr>
          <w:sz w:val="29"/>
          <w:szCs w:val="29"/>
        </w:rPr>
        <w:t>意低洼处的排水工作。</w:t>
      </w:r>
    </w:p>
    <w:p>
      <w:pPr>
        <w:spacing w:line="286" w:lineRule="auto"/>
        <w:sectPr>
          <w:footerReference w:type="default" r:id="rId669"/>
          <w:pgSz w:w="14490" w:h="20470"/>
          <w:pgMar w:top="400" w:right="1844" w:bottom="1433" w:left="2150" w:header="0" w:footer="12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62" w:firstLine="720"/>
        <w:spacing w:before="124" w:line="308" w:lineRule="auto"/>
        <w:rPr>
          <w:sz w:val="29"/>
          <w:szCs w:val="29"/>
        </w:rPr>
      </w:pPr>
      <w:r>
        <w:rPr>
          <w:sz w:val="29"/>
          <w:szCs w:val="29"/>
          <w:spacing w:val="-12"/>
        </w:rPr>
        <w:t>(1)   病害：白粉病、炭疽病、锈病、煤污病、叶枯病、干腐病、枝枯病、流</w:t>
      </w:r>
      <w:r>
        <w:rPr>
          <w:sz w:val="29"/>
          <w:szCs w:val="29"/>
          <w:spacing w:val="4"/>
        </w:rPr>
        <w:t xml:space="preserve"> </w:t>
      </w:r>
      <w:r>
        <w:rPr>
          <w:sz w:val="29"/>
          <w:szCs w:val="29"/>
          <w:spacing w:val="1"/>
        </w:rPr>
        <w:t>胶病、枯萎病、草坪腐霉枯萎病、细菌性穿孔病、冠瘿病等；</w:t>
      </w:r>
    </w:p>
    <w:p>
      <w:pPr>
        <w:pStyle w:val="BodyText"/>
        <w:ind w:right="231" w:firstLine="720"/>
        <w:spacing w:before="6" w:line="313" w:lineRule="auto"/>
        <w:rPr>
          <w:sz w:val="29"/>
          <w:szCs w:val="29"/>
        </w:rPr>
      </w:pPr>
      <w:r>
        <w:rPr>
          <w:sz w:val="29"/>
          <w:szCs w:val="29"/>
          <w:spacing w:val="6"/>
        </w:rPr>
        <w:t>②</w:t>
      </w:r>
      <w:r>
        <w:rPr>
          <w:sz w:val="29"/>
          <w:szCs w:val="29"/>
          <w:spacing w:val="39"/>
        </w:rPr>
        <w:t xml:space="preserve">   </w:t>
      </w:r>
      <w:r>
        <w:rPr>
          <w:sz w:val="29"/>
          <w:szCs w:val="29"/>
          <w:spacing w:val="6"/>
        </w:rPr>
        <w:t>虫害：大青叶蝉、桃粉蚜、梨网冠蝽、方翅网蝽、梧桐木虱、黑刺</w:t>
      </w:r>
      <w:r>
        <w:rPr>
          <w:sz w:val="29"/>
          <w:szCs w:val="29"/>
        </w:rPr>
        <w:t xml:space="preserve"> </w:t>
      </w:r>
      <w:r>
        <w:rPr>
          <w:sz w:val="29"/>
          <w:szCs w:val="29"/>
          <w:spacing w:val="-15"/>
        </w:rPr>
        <w:t>粉虱、花蓟马、天牛、芳香木蠹蛾、白杨透翅蛾、柏肤小蠹、白蚁、小青花</w:t>
      </w:r>
      <w:r>
        <w:rPr>
          <w:sz w:val="29"/>
          <w:szCs w:val="29"/>
          <w:spacing w:val="-16"/>
        </w:rPr>
        <w:t>金龟、大</w:t>
      </w:r>
      <w:r>
        <w:rPr>
          <w:sz w:val="29"/>
          <w:szCs w:val="29"/>
        </w:rPr>
        <w:t xml:space="preserve"> </w:t>
      </w:r>
      <w:r>
        <w:rPr>
          <w:sz w:val="29"/>
          <w:szCs w:val="29"/>
          <w:spacing w:val="-7"/>
        </w:rPr>
        <w:t>黑鳃金龟、大地老虎、蝼蛄、细胸金针虫、</w:t>
      </w:r>
      <w:r>
        <w:rPr>
          <w:sz w:val="29"/>
          <w:szCs w:val="29"/>
          <w:spacing w:val="-8"/>
        </w:rPr>
        <w:t>刺蛾、袋蛾、黄尾毒蛾、桃剑纹夜蛾、</w:t>
      </w:r>
      <w:r>
        <w:rPr>
          <w:sz w:val="29"/>
          <w:szCs w:val="29"/>
        </w:rPr>
        <w:t xml:space="preserve"> </w:t>
      </w:r>
      <w:r>
        <w:rPr>
          <w:sz w:val="29"/>
          <w:szCs w:val="29"/>
          <w:spacing w:val="-7"/>
        </w:rPr>
        <w:t>丝棉木金星尺蛾、绿尾大蚕蛾、柑桔凤蝶、</w:t>
      </w:r>
      <w:r>
        <w:rPr>
          <w:sz w:val="29"/>
          <w:szCs w:val="29"/>
          <w:spacing w:val="-8"/>
        </w:rPr>
        <w:t>玉带凤蝶、蔷薇三节叶蜂、柳蓝叶甲、</w:t>
      </w:r>
      <w:r>
        <w:rPr>
          <w:sz w:val="29"/>
          <w:szCs w:val="29"/>
        </w:rPr>
        <w:t xml:space="preserve"> </w:t>
      </w:r>
      <w:r>
        <w:rPr>
          <w:sz w:val="29"/>
          <w:szCs w:val="29"/>
        </w:rPr>
        <w:t>葡萄十星叶甲等。</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40" w:firstLine="720"/>
        <w:spacing w:before="103" w:line="265"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333" w:firstLine="720"/>
        <w:spacing w:before="156" w:line="269"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2"/>
        </w:rPr>
        <w:t>6、物资管理</w:t>
      </w:r>
    </w:p>
    <w:p>
      <w:pPr>
        <w:pStyle w:val="BodyText"/>
        <w:ind w:right="341" w:firstLine="720"/>
        <w:spacing w:before="104" w:line="263"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3"/>
        </w:rPr>
        <w:t>危险品。</w:t>
      </w:r>
    </w:p>
    <w:p>
      <w:pPr>
        <w:pStyle w:val="BodyText"/>
        <w:ind w:right="308" w:firstLine="720"/>
        <w:spacing w:before="140" w:line="271" w:lineRule="auto"/>
        <w:rPr>
          <w:sz w:val="29"/>
          <w:szCs w:val="29"/>
        </w:rPr>
      </w:pPr>
      <w:r>
        <w:rPr>
          <w:sz w:val="29"/>
          <w:szCs w:val="29"/>
          <w:spacing w:val="3"/>
        </w:rPr>
        <w:t>(2)根据现场的实际情况，申请购置7、8、9月份的</w:t>
      </w:r>
      <w:r>
        <w:rPr>
          <w:sz w:val="29"/>
          <w:szCs w:val="29"/>
          <w:spacing w:val="2"/>
        </w:rPr>
        <w:t>农药、化肥、营养剂及</w:t>
      </w:r>
      <w:r>
        <w:rPr>
          <w:sz w:val="29"/>
          <w:szCs w:val="29"/>
        </w:rPr>
        <w:t xml:space="preserve"> </w:t>
      </w:r>
      <w:r>
        <w:rPr>
          <w:sz w:val="29"/>
          <w:szCs w:val="29"/>
          <w:spacing w:val="-6"/>
        </w:rPr>
        <w:t>其它物资；</w:t>
      </w:r>
    </w:p>
    <w:p>
      <w:pPr>
        <w:pStyle w:val="BodyText"/>
        <w:ind w:left="720"/>
        <w:spacing w:before="140" w:line="219" w:lineRule="auto"/>
        <w:rPr>
          <w:sz w:val="29"/>
          <w:szCs w:val="29"/>
        </w:rPr>
      </w:pPr>
      <w:r>
        <w:rPr>
          <w:sz w:val="29"/>
          <w:szCs w:val="29"/>
          <w:spacing w:val="9"/>
        </w:rPr>
        <w:t>(3)进行机械工具的检查维修。</w:t>
      </w:r>
    </w:p>
    <w:p>
      <w:pPr>
        <w:pStyle w:val="BodyText"/>
        <w:ind w:left="570"/>
        <w:spacing w:before="95"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firstLine="570"/>
        <w:spacing w:before="137" w:line="320" w:lineRule="auto"/>
        <w:rPr>
          <w:sz w:val="29"/>
          <w:szCs w:val="29"/>
        </w:rPr>
      </w:pPr>
      <w:r>
        <w:rPr>
          <w:sz w:val="29"/>
          <w:szCs w:val="29"/>
          <w:spacing w:val="1"/>
        </w:rPr>
        <w:t>每天绿化工人在保洁的同时要注意行人随意丢弃烟头现象，并对其</w:t>
      </w:r>
      <w:r>
        <w:rPr>
          <w:sz w:val="29"/>
          <w:szCs w:val="29"/>
        </w:rPr>
        <w:t>进行防火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42" w:line="223" w:lineRule="auto"/>
        <w:rPr>
          <w:rFonts w:ascii="SimHei" w:hAnsi="SimHei" w:eastAsia="SimHei" w:cs="SimHei"/>
          <w:sz w:val="29"/>
          <w:szCs w:val="29"/>
        </w:rPr>
      </w:pPr>
      <w:r>
        <w:rPr>
          <w:rFonts w:ascii="SimHei" w:hAnsi="SimHei" w:eastAsia="SimHei" w:cs="SimHei"/>
          <w:sz w:val="29"/>
          <w:szCs w:val="29"/>
          <w:spacing w:val="9"/>
        </w:rPr>
        <w:t>七月份</w:t>
      </w:r>
    </w:p>
    <w:p>
      <w:pPr>
        <w:pStyle w:val="BodyText"/>
        <w:ind w:left="570"/>
        <w:spacing w:before="177" w:line="219" w:lineRule="auto"/>
        <w:rPr>
          <w:sz w:val="29"/>
          <w:szCs w:val="29"/>
        </w:rPr>
      </w:pPr>
      <w:r>
        <w:rPr>
          <w:sz w:val="29"/>
          <w:szCs w:val="29"/>
          <w:spacing w:val="4"/>
        </w:rPr>
        <w:t>气温最高，灾害性天气有干旱、暴雨、雷雨大风等。</w:t>
      </w:r>
    </w:p>
    <w:p>
      <w:pPr>
        <w:ind w:left="570"/>
        <w:spacing w:before="125" w:line="222" w:lineRule="auto"/>
        <w:rPr>
          <w:rFonts w:ascii="SimHei" w:hAnsi="SimHei" w:eastAsia="SimHei" w:cs="SimHei"/>
          <w:sz w:val="29"/>
          <w:szCs w:val="29"/>
        </w:rPr>
      </w:pPr>
      <w:r>
        <w:rPr>
          <w:rFonts w:ascii="SimHei" w:hAnsi="SimHei" w:eastAsia="SimHei" w:cs="SimHei"/>
          <w:sz w:val="29"/>
          <w:szCs w:val="29"/>
          <w:spacing w:val="4"/>
        </w:rPr>
        <w:t>1、现场检查</w:t>
      </w:r>
    </w:p>
    <w:p>
      <w:pPr>
        <w:pStyle w:val="BodyText"/>
        <w:ind w:left="570"/>
        <w:spacing w:before="104" w:line="219" w:lineRule="auto"/>
        <w:rPr>
          <w:sz w:val="29"/>
          <w:szCs w:val="29"/>
        </w:rPr>
      </w:pPr>
      <w:r>
        <w:rPr>
          <w:sz w:val="29"/>
          <w:szCs w:val="29"/>
          <w:spacing w:val="2"/>
        </w:rPr>
        <w:t>及时检查乔木支撑情况，发现松动或缺失立即加固</w:t>
      </w:r>
    </w:p>
    <w:p>
      <w:pPr>
        <w:ind w:left="570"/>
        <w:spacing w:before="103" w:line="221" w:lineRule="auto"/>
        <w:rPr>
          <w:rFonts w:ascii="SimHei" w:hAnsi="SimHei" w:eastAsia="SimHei" w:cs="SimHei"/>
          <w:sz w:val="30"/>
          <w:szCs w:val="30"/>
        </w:rPr>
      </w:pPr>
      <w:r>
        <w:rPr>
          <w:rFonts w:ascii="SimHei" w:hAnsi="SimHei" w:eastAsia="SimHei" w:cs="SimHei"/>
          <w:sz w:val="30"/>
          <w:szCs w:val="30"/>
          <w:spacing w:val="6"/>
        </w:rPr>
        <w:t>2、修剪</w:t>
      </w:r>
    </w:p>
    <w:p>
      <w:pPr>
        <w:pStyle w:val="BodyText"/>
        <w:ind w:right="19" w:firstLine="570"/>
        <w:spacing w:before="142" w:line="311" w:lineRule="auto"/>
        <w:rPr>
          <w:sz w:val="29"/>
          <w:szCs w:val="29"/>
        </w:rPr>
      </w:pPr>
      <w:r>
        <w:rPr>
          <w:sz w:val="29"/>
          <w:szCs w:val="29"/>
          <w:spacing w:val="-10"/>
        </w:rPr>
        <w:t>乔木、花灌木及草坪生长迅速，要及时对乔木、灌木、草坪进行修剪。行道树，</w:t>
      </w:r>
      <w:r>
        <w:rPr>
          <w:sz w:val="29"/>
          <w:szCs w:val="29"/>
          <w:spacing w:val="13"/>
        </w:rPr>
        <w:t xml:space="preserve"> </w:t>
      </w:r>
      <w:r>
        <w:rPr>
          <w:sz w:val="29"/>
          <w:szCs w:val="29"/>
          <w:spacing w:val="-15"/>
        </w:rPr>
        <w:t>进行剥芽修剪，对与电线及道路有矛盾的树枝一律修剪，并对树桩逐个检查，发现松</w:t>
      </w:r>
      <w:r>
        <w:rPr>
          <w:sz w:val="29"/>
          <w:szCs w:val="29"/>
        </w:rPr>
        <w:t xml:space="preserve">  </w:t>
      </w:r>
      <w:r>
        <w:rPr>
          <w:sz w:val="29"/>
          <w:szCs w:val="29"/>
          <w:spacing w:val="-2"/>
        </w:rPr>
        <w:t>垮、不稳立即扶正绑紧。事先做好劳力组织、物资材料、工具设备等方面的准备，</w:t>
      </w:r>
      <w:r>
        <w:rPr>
          <w:sz w:val="29"/>
          <w:szCs w:val="29"/>
          <w:spacing w:val="16"/>
        </w:rPr>
        <w:t xml:space="preserve"> </w:t>
      </w:r>
      <w:r>
        <w:rPr>
          <w:sz w:val="29"/>
          <w:szCs w:val="29"/>
          <w:spacing w:val="-1"/>
        </w:rPr>
        <w:t>并随时派人检查，发现险情及时处理。</w:t>
      </w:r>
    </w:p>
    <w:p>
      <w:pPr>
        <w:ind w:left="570"/>
        <w:spacing w:before="55" w:line="222" w:lineRule="auto"/>
        <w:rPr>
          <w:rFonts w:ascii="SimHei" w:hAnsi="SimHei" w:eastAsia="SimHei" w:cs="SimHei"/>
          <w:sz w:val="29"/>
          <w:szCs w:val="29"/>
        </w:rPr>
      </w:pPr>
      <w:r>
        <w:rPr>
          <w:rFonts w:ascii="SimHei" w:hAnsi="SimHei" w:eastAsia="SimHei" w:cs="SimHei"/>
          <w:sz w:val="29"/>
          <w:szCs w:val="29"/>
          <w:spacing w:val="4"/>
        </w:rPr>
        <w:t>3、水肥管理</w:t>
      </w:r>
    </w:p>
    <w:p>
      <w:pPr>
        <w:pStyle w:val="BodyText"/>
        <w:ind w:left="720"/>
        <w:spacing w:before="94" w:line="219" w:lineRule="auto"/>
        <w:rPr>
          <w:sz w:val="29"/>
          <w:szCs w:val="29"/>
        </w:rPr>
      </w:pPr>
      <w:r>
        <w:rPr>
          <w:sz w:val="29"/>
          <w:szCs w:val="29"/>
          <w:spacing w:val="7"/>
        </w:rPr>
        <w:t>(1)七月为高温高湿的多雨季节，仍注意苗木实时浇水，同时也要注意时</w:t>
      </w:r>
    </w:p>
    <w:p>
      <w:pPr>
        <w:spacing w:line="219" w:lineRule="auto"/>
        <w:sectPr>
          <w:footerReference w:type="default" r:id="rId670"/>
          <w:pgSz w:w="14490" w:h="20470"/>
          <w:pgMar w:top="400" w:right="1935" w:bottom="1433" w:left="2150" w:header="0" w:footer="1235" w:gutter="0"/>
        </w:sectPr>
        <w:rPr>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spacing w:before="94" w:line="219" w:lineRule="auto"/>
        <w:rPr>
          <w:sz w:val="29"/>
          <w:szCs w:val="29"/>
        </w:rPr>
      </w:pPr>
      <w:r>
        <w:rPr>
          <w:sz w:val="29"/>
          <w:szCs w:val="29"/>
          <w:spacing w:val="-5"/>
        </w:rPr>
        <w:t>花的适时浇水；</w:t>
      </w:r>
    </w:p>
    <w:p>
      <w:pPr>
        <w:pStyle w:val="BodyText"/>
        <w:ind w:left="720"/>
        <w:spacing w:before="156" w:line="219" w:lineRule="auto"/>
        <w:rPr>
          <w:sz w:val="29"/>
          <w:szCs w:val="29"/>
        </w:rPr>
      </w:pPr>
      <w:r>
        <w:rPr>
          <w:sz w:val="29"/>
          <w:szCs w:val="29"/>
          <w:spacing w:val="6"/>
        </w:rPr>
        <w:t>(2)继续做好排涝工作，保证苗木的正常生长大雨过</w:t>
      </w:r>
      <w:r>
        <w:rPr>
          <w:sz w:val="29"/>
          <w:szCs w:val="29"/>
          <w:spacing w:val="5"/>
        </w:rPr>
        <w:t>后要及时排涝。</w:t>
      </w:r>
    </w:p>
    <w:p>
      <w:pPr>
        <w:pStyle w:val="BodyText"/>
        <w:ind w:left="560"/>
        <w:spacing w:before="12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421" w:firstLine="720"/>
        <w:spacing w:before="143" w:line="305" w:lineRule="auto"/>
        <w:rPr>
          <w:sz w:val="29"/>
          <w:szCs w:val="29"/>
        </w:rPr>
      </w:pPr>
      <w:r>
        <w:rPr>
          <w:sz w:val="29"/>
          <w:szCs w:val="29"/>
        </w:rPr>
        <w:t>(1)   病害：锈病、煤污病、叶枯病、干腐病、紫纹羽</w:t>
      </w:r>
      <w:r>
        <w:rPr>
          <w:sz w:val="29"/>
          <w:szCs w:val="29"/>
          <w:spacing w:val="-1"/>
        </w:rPr>
        <w:t>病、枝枯病、枯萎</w:t>
      </w:r>
      <w:r>
        <w:rPr>
          <w:sz w:val="29"/>
          <w:szCs w:val="29"/>
        </w:rPr>
        <w:t xml:space="preserve"> </w:t>
      </w:r>
      <w:r>
        <w:rPr>
          <w:sz w:val="29"/>
          <w:szCs w:val="29"/>
        </w:rPr>
        <w:t>病、草坪腐霉枯萎病、细菌性穿孔病、冠瘿病、花叶病等；</w:t>
      </w:r>
    </w:p>
    <w:p>
      <w:pPr>
        <w:pStyle w:val="BodyText"/>
        <w:ind w:firstLine="720"/>
        <w:spacing w:before="7" w:line="312" w:lineRule="auto"/>
        <w:rPr>
          <w:sz w:val="29"/>
          <w:szCs w:val="29"/>
        </w:rPr>
      </w:pPr>
      <w:r>
        <w:rPr>
          <w:sz w:val="29"/>
          <w:szCs w:val="29"/>
          <w:spacing w:val="11"/>
        </w:rPr>
        <w:t>②</w:t>
      </w:r>
      <w:r>
        <w:rPr>
          <w:sz w:val="29"/>
          <w:szCs w:val="29"/>
          <w:spacing w:val="36"/>
        </w:rPr>
        <w:t xml:space="preserve">   </w:t>
      </w:r>
      <w:r>
        <w:rPr>
          <w:sz w:val="29"/>
          <w:szCs w:val="29"/>
          <w:spacing w:val="11"/>
        </w:rPr>
        <w:t>虫害：大青叶蝉、梨网冠蝽、方翅网蝽、梧桐木虱、朱砂叶螨(棉</w:t>
      </w:r>
      <w:r>
        <w:rPr>
          <w:sz w:val="29"/>
          <w:szCs w:val="29"/>
        </w:rPr>
        <w:t xml:space="preserve">  </w:t>
      </w:r>
      <w:r>
        <w:rPr>
          <w:sz w:val="29"/>
          <w:szCs w:val="29"/>
          <w:spacing w:val="4"/>
        </w:rPr>
        <w:t>花红蜘蛛、红叶螨)、黑刺粉虱、花蓟马、天牛、芳香木蠹蛾、白蚁、小青花金</w:t>
      </w:r>
      <w:r>
        <w:rPr>
          <w:sz w:val="29"/>
          <w:szCs w:val="29"/>
          <w:spacing w:val="8"/>
        </w:rPr>
        <w:t xml:space="preserve">  </w:t>
      </w:r>
      <w:r>
        <w:rPr>
          <w:sz w:val="29"/>
          <w:szCs w:val="29"/>
          <w:spacing w:val="-8"/>
        </w:rPr>
        <w:t>龟、大黑鳃金龟、大地老虎、蝼蛄、细胸金针虫、刺蛾、茶袋蛾</w:t>
      </w:r>
      <w:r>
        <w:rPr>
          <w:sz w:val="29"/>
          <w:szCs w:val="29"/>
          <w:spacing w:val="-9"/>
        </w:rPr>
        <w:t>、大袋蛾、黄尾毒</w:t>
      </w:r>
      <w:r>
        <w:rPr>
          <w:sz w:val="29"/>
          <w:szCs w:val="29"/>
        </w:rPr>
        <w:t xml:space="preserve">  </w:t>
      </w:r>
      <w:r>
        <w:rPr>
          <w:sz w:val="29"/>
          <w:szCs w:val="29"/>
          <w:spacing w:val="-9"/>
        </w:rPr>
        <w:t>蛾、桃剑纹夜蛾、斜纹夜蛾、丝棉木金星尺蛾、绿尾大蚕蛾、柑桔凤蝶、玉带凤蝶、</w:t>
      </w:r>
      <w:r>
        <w:rPr>
          <w:sz w:val="29"/>
          <w:szCs w:val="29"/>
          <w:spacing w:val="16"/>
        </w:rPr>
        <w:t xml:space="preserve"> </w:t>
      </w:r>
      <w:r>
        <w:rPr>
          <w:sz w:val="29"/>
          <w:szCs w:val="29"/>
          <w:spacing w:val="-13"/>
        </w:rPr>
        <w:t>蔷薇三节叶蜂、柳蓝叶甲等。</w:t>
      </w:r>
    </w:p>
    <w:p>
      <w:pPr>
        <w:pStyle w:val="BodyText"/>
        <w:ind w:left="560"/>
        <w:spacing w:before="6"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49" w:firstLine="720"/>
        <w:spacing w:before="123" w:line="262" w:lineRule="auto"/>
        <w:rPr>
          <w:sz w:val="29"/>
          <w:szCs w:val="29"/>
        </w:rPr>
      </w:pPr>
      <w:r>
        <w:rPr>
          <w:sz w:val="29"/>
          <w:szCs w:val="29"/>
          <w:spacing w:val="-1"/>
        </w:rPr>
        <w:t>(1)</w:t>
      </w:r>
      <w:r>
        <w:rPr>
          <w:sz w:val="29"/>
          <w:szCs w:val="29"/>
          <w:spacing w:val="96"/>
        </w:rPr>
        <w:t xml:space="preserve"> </w:t>
      </w:r>
      <w:r>
        <w:rPr>
          <w:sz w:val="29"/>
          <w:szCs w:val="29"/>
          <w:spacing w:val="-1"/>
        </w:rPr>
        <w:t>保洁人员合理分区，全天候巡视，及时清理烟头、树挂等垃圾，水景</w:t>
      </w:r>
      <w:r>
        <w:rPr>
          <w:sz w:val="29"/>
          <w:szCs w:val="29"/>
        </w:rPr>
        <w:t xml:space="preserve"> </w:t>
      </w:r>
      <w:r>
        <w:rPr>
          <w:sz w:val="29"/>
          <w:szCs w:val="29"/>
          <w:spacing w:val="-1"/>
        </w:rPr>
        <w:t>池、灯杆、垃圾桶保持干净；</w:t>
      </w:r>
    </w:p>
    <w:p>
      <w:pPr>
        <w:pStyle w:val="BodyText"/>
        <w:ind w:right="343" w:firstLine="720"/>
        <w:spacing w:before="147" w:line="266"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ind w:left="56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51" w:firstLine="720"/>
        <w:spacing w:before="81" w:line="270" w:lineRule="auto"/>
        <w:rPr>
          <w:sz w:val="29"/>
          <w:szCs w:val="29"/>
        </w:rPr>
      </w:pPr>
      <w:r>
        <w:rPr>
          <w:sz w:val="29"/>
          <w:szCs w:val="29"/>
          <w:spacing w:val="-1"/>
        </w:rPr>
        <w:t>(1)</w:t>
      </w:r>
      <w:r>
        <w:rPr>
          <w:sz w:val="29"/>
          <w:szCs w:val="29"/>
          <w:spacing w:val="95"/>
        </w:rPr>
        <w:t xml:space="preserve"> </w:t>
      </w:r>
      <w:r>
        <w:rPr>
          <w:sz w:val="29"/>
          <w:szCs w:val="29"/>
          <w:spacing w:val="-1"/>
        </w:rPr>
        <w:t>库房物品整理，物料工具出入库及领用登记，注意保管汽油、农药等</w:t>
      </w:r>
      <w:r>
        <w:rPr>
          <w:sz w:val="29"/>
          <w:szCs w:val="29"/>
        </w:rPr>
        <w:t xml:space="preserve"> </w:t>
      </w:r>
      <w:r>
        <w:rPr>
          <w:sz w:val="29"/>
          <w:szCs w:val="29"/>
          <w:spacing w:val="-11"/>
        </w:rPr>
        <w:t>危险品；</w:t>
      </w:r>
    </w:p>
    <w:p>
      <w:pPr>
        <w:pStyle w:val="BodyText"/>
        <w:ind w:left="720"/>
        <w:spacing w:before="152" w:line="219" w:lineRule="auto"/>
        <w:rPr>
          <w:sz w:val="29"/>
          <w:szCs w:val="29"/>
        </w:rPr>
      </w:pPr>
      <w:r>
        <w:rPr>
          <w:sz w:val="29"/>
          <w:szCs w:val="29"/>
          <w:spacing w:val="11"/>
        </w:rPr>
        <w:t>(2)进行机械工具的检查维修。</w:t>
      </w:r>
    </w:p>
    <w:p>
      <w:pPr>
        <w:pStyle w:val="BodyText"/>
        <w:ind w:left="560"/>
        <w:spacing w:before="95" w:line="221" w:lineRule="auto"/>
        <w:rPr>
          <w:rFonts w:ascii="SimHei" w:hAnsi="SimHei" w:eastAsia="SimHei" w:cs="SimHei"/>
          <w:sz w:val="29"/>
          <w:szCs w:val="29"/>
        </w:rPr>
      </w:pPr>
      <w:r>
        <w:rPr>
          <w:rFonts w:ascii="Arial" w:hAnsi="Arial" w:eastAsia="Arial" w:cs="Arial"/>
          <w:sz w:val="29"/>
          <w:szCs w:val="29"/>
          <w:spacing w:val="7"/>
        </w:rPr>
        <w:t>7</w:t>
      </w:r>
      <w:r>
        <w:rPr>
          <w:sz w:val="29"/>
          <w:szCs w:val="29"/>
          <w:spacing w:val="7"/>
        </w:rPr>
        <w:t>、</w:t>
      </w:r>
      <w:r>
        <w:rPr>
          <w:rFonts w:ascii="SimHei" w:hAnsi="SimHei" w:eastAsia="SimHei" w:cs="SimHei"/>
          <w:sz w:val="29"/>
          <w:szCs w:val="29"/>
          <w:spacing w:val="7"/>
        </w:rPr>
        <w:t>防火防盗</w:t>
      </w:r>
    </w:p>
    <w:p>
      <w:pPr>
        <w:pStyle w:val="BodyText"/>
        <w:ind w:right="20" w:firstLine="560"/>
        <w:spacing w:before="15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61" w:line="223" w:lineRule="auto"/>
        <w:rPr>
          <w:rFonts w:ascii="SimHei" w:hAnsi="SimHei" w:eastAsia="SimHei" w:cs="SimHei"/>
          <w:sz w:val="29"/>
          <w:szCs w:val="29"/>
        </w:rPr>
      </w:pPr>
      <w:r>
        <w:rPr>
          <w:rFonts w:ascii="SimHei" w:hAnsi="SimHei" w:eastAsia="SimHei" w:cs="SimHei"/>
          <w:sz w:val="29"/>
          <w:szCs w:val="29"/>
          <w:spacing w:val="6"/>
        </w:rPr>
        <w:t>八月份</w:t>
      </w:r>
    </w:p>
    <w:p>
      <w:pPr>
        <w:pStyle w:val="BodyText"/>
        <w:ind w:left="560"/>
        <w:spacing w:before="148" w:line="219" w:lineRule="auto"/>
        <w:rPr>
          <w:sz w:val="29"/>
          <w:szCs w:val="29"/>
        </w:rPr>
      </w:pPr>
      <w:r>
        <w:rPr>
          <w:sz w:val="29"/>
          <w:szCs w:val="29"/>
          <w:spacing w:val="4"/>
        </w:rPr>
        <w:t>天气晴热少雨，主要灾害性天气有干旱、暴雨、雷雨大风。</w:t>
      </w:r>
    </w:p>
    <w:p>
      <w:pPr>
        <w:pStyle w:val="BodyText"/>
        <w:ind w:left="560"/>
        <w:spacing w:before="13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94" w:line="219" w:lineRule="auto"/>
        <w:rPr>
          <w:sz w:val="29"/>
          <w:szCs w:val="29"/>
        </w:rPr>
      </w:pPr>
      <w:r>
        <w:rPr>
          <w:sz w:val="29"/>
          <w:szCs w:val="29"/>
          <w:spacing w:val="8"/>
        </w:rPr>
        <w:t>(1)及时检查乔木支撑情况，发现松动或缺失立即加固。</w:t>
      </w:r>
    </w:p>
    <w:p>
      <w:pPr>
        <w:pStyle w:val="BodyText"/>
        <w:ind w:left="720"/>
        <w:spacing w:before="166" w:line="219" w:lineRule="auto"/>
        <w:rPr>
          <w:sz w:val="29"/>
          <w:szCs w:val="29"/>
        </w:rPr>
      </w:pPr>
      <w:r>
        <w:rPr>
          <w:sz w:val="29"/>
          <w:szCs w:val="29"/>
          <w:spacing w:val="11"/>
        </w:rPr>
        <w:t>(2)继续做好防风及排涝工作。</w:t>
      </w:r>
    </w:p>
    <w:p>
      <w:pPr>
        <w:pStyle w:val="BodyText"/>
        <w:ind w:left="560"/>
        <w:spacing w:before="103" w:line="221"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修剪</w:t>
      </w:r>
    </w:p>
    <w:p>
      <w:pPr>
        <w:pStyle w:val="BodyText"/>
        <w:ind w:left="560"/>
        <w:spacing w:before="145" w:line="219" w:lineRule="auto"/>
        <w:rPr>
          <w:sz w:val="29"/>
          <w:szCs w:val="29"/>
        </w:rPr>
      </w:pPr>
      <w:r>
        <w:rPr>
          <w:sz w:val="29"/>
          <w:szCs w:val="29"/>
        </w:rPr>
        <w:t>乔木、花灌木及草坪生长迅速，要及时修剪。</w:t>
      </w:r>
    </w:p>
    <w:p>
      <w:pPr>
        <w:ind w:left="560"/>
        <w:spacing w:before="10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17" w:firstLine="560"/>
        <w:spacing w:before="163" w:line="308" w:lineRule="auto"/>
        <w:rPr>
          <w:sz w:val="29"/>
          <w:szCs w:val="29"/>
        </w:rPr>
      </w:pPr>
      <w:r>
        <w:rPr>
          <w:sz w:val="29"/>
          <w:szCs w:val="29"/>
          <w:spacing w:val="2"/>
        </w:rPr>
        <w:t>八月为高温高湿的多雨季节，注意苗木实时浇水，同时也要注意时花的适时</w:t>
      </w:r>
      <w:r>
        <w:rPr>
          <w:sz w:val="29"/>
          <w:szCs w:val="29"/>
        </w:rPr>
        <w:t xml:space="preserve"> </w:t>
      </w:r>
      <w:r>
        <w:rPr>
          <w:sz w:val="29"/>
          <w:szCs w:val="29"/>
          <w:spacing w:val="-2"/>
        </w:rPr>
        <w:t>浇水。</w:t>
      </w:r>
    </w:p>
    <w:p>
      <w:pPr>
        <w:pStyle w:val="BodyText"/>
        <w:ind w:left="560"/>
        <w:spacing w:before="1" w:line="201" w:lineRule="auto"/>
        <w:rPr>
          <w:rFonts w:ascii="SimHei" w:hAnsi="SimHei" w:eastAsia="SimHei" w:cs="SimHei"/>
          <w:sz w:val="29"/>
          <w:szCs w:val="29"/>
        </w:rPr>
      </w:pPr>
      <w:r>
        <w:rPr>
          <w:rFonts w:ascii="Arial" w:hAnsi="Arial" w:eastAsia="Arial" w:cs="Arial"/>
          <w:sz w:val="29"/>
          <w:szCs w:val="29"/>
          <w:spacing w:val="-6"/>
        </w:rPr>
        <w:t>4</w:t>
      </w:r>
      <w:r>
        <w:rPr>
          <w:sz w:val="29"/>
          <w:szCs w:val="29"/>
          <w:spacing w:val="-6"/>
        </w:rPr>
        <w:t>、</w:t>
      </w:r>
      <w:r>
        <w:rPr>
          <w:rFonts w:ascii="SimHei" w:hAnsi="SimHei" w:eastAsia="SimHei" w:cs="SimHei"/>
          <w:sz w:val="29"/>
          <w:szCs w:val="29"/>
          <w:spacing w:val="-6"/>
        </w:rPr>
        <w:t>病虫害防治</w:t>
      </w:r>
    </w:p>
    <w:p>
      <w:pPr>
        <w:spacing w:line="201" w:lineRule="auto"/>
        <w:sectPr>
          <w:footerReference w:type="default" r:id="rId671"/>
          <w:pgSz w:w="14490" w:h="20470"/>
          <w:pgMar w:top="400" w:right="1925" w:bottom="2173" w:left="2150" w:header="0" w:footer="1975" w:gutter="0"/>
        </w:sectPr>
        <w:rPr>
          <w:rFonts w:ascii="SimHei" w:hAnsi="SimHei" w:eastAsia="SimHei" w:cs="SimHei"/>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483" w:firstLine="720"/>
        <w:spacing w:before="95" w:line="266" w:lineRule="auto"/>
        <w:rPr>
          <w:sz w:val="29"/>
          <w:szCs w:val="29"/>
        </w:rPr>
      </w:pPr>
      <w:r>
        <w:rPr>
          <w:sz w:val="29"/>
          <w:szCs w:val="29"/>
          <w:spacing w:val="6"/>
        </w:rPr>
        <w:t>(1)病害：煤污病、叶枯病、干腐病、紫纹羽病、枝枯病、枯萎病、草坪</w:t>
      </w:r>
      <w:r>
        <w:rPr>
          <w:sz w:val="29"/>
          <w:szCs w:val="29"/>
          <w:spacing w:val="7"/>
        </w:rPr>
        <w:t xml:space="preserve"> </w:t>
      </w:r>
      <w:r>
        <w:rPr>
          <w:sz w:val="29"/>
          <w:szCs w:val="29"/>
        </w:rPr>
        <w:t>腐霉枯萎病、细菌性穿孔病、冠瘿病、花叶病、丛枝病等；</w:t>
      </w:r>
    </w:p>
    <w:p>
      <w:pPr>
        <w:pStyle w:val="BodyText"/>
        <w:ind w:left="720"/>
        <w:spacing w:before="134" w:line="219" w:lineRule="auto"/>
        <w:rPr>
          <w:sz w:val="29"/>
          <w:szCs w:val="29"/>
        </w:rPr>
      </w:pPr>
      <w:r>
        <w:rPr>
          <w:sz w:val="29"/>
          <w:szCs w:val="29"/>
          <w:spacing w:val="12"/>
        </w:rPr>
        <w:t>(2)虫害：大青叶蝉、梨网冠蝽、方翅网蝽、梧桐木虱、朱砂</w:t>
      </w:r>
      <w:r>
        <w:rPr>
          <w:sz w:val="29"/>
          <w:szCs w:val="29"/>
          <w:spacing w:val="11"/>
        </w:rPr>
        <w:t>叶螨(棉花</w:t>
      </w:r>
    </w:p>
    <w:p>
      <w:pPr>
        <w:pStyle w:val="BodyText"/>
        <w:spacing w:before="146" w:line="219" w:lineRule="auto"/>
        <w:rPr>
          <w:sz w:val="29"/>
          <w:szCs w:val="29"/>
        </w:rPr>
      </w:pPr>
      <w:r>
        <w:rPr>
          <w:sz w:val="29"/>
          <w:szCs w:val="29"/>
          <w:spacing w:val="3"/>
        </w:rPr>
        <w:t>红蜘蛛、红叶螨)、黑刺粉虱、花蓟马、桑天牛、芳香木蠹</w:t>
      </w:r>
      <w:r>
        <w:rPr>
          <w:sz w:val="29"/>
          <w:szCs w:val="29"/>
          <w:spacing w:val="2"/>
        </w:rPr>
        <w:t>蛾、白蚁、小青花金</w:t>
      </w:r>
    </w:p>
    <w:p>
      <w:pPr>
        <w:pStyle w:val="BodyText"/>
        <w:spacing w:before="145" w:line="219" w:lineRule="auto"/>
        <w:rPr>
          <w:sz w:val="29"/>
          <w:szCs w:val="29"/>
        </w:rPr>
      </w:pPr>
      <w:r>
        <w:rPr>
          <w:sz w:val="29"/>
          <w:szCs w:val="29"/>
        </w:rPr>
        <w:t>龟、大地老虎、蝼蛄、细胸金针虫、黄刺蛾、扁刺蛾、丽绿刺蛾、褐边绿刺蛾、</w:t>
      </w:r>
    </w:p>
    <w:p>
      <w:pPr>
        <w:pStyle w:val="BodyText"/>
        <w:spacing w:before="146" w:line="262" w:lineRule="auto"/>
        <w:rPr>
          <w:sz w:val="29"/>
          <w:szCs w:val="29"/>
        </w:rPr>
      </w:pPr>
      <w:r>
        <w:rPr>
          <w:sz w:val="29"/>
          <w:szCs w:val="29"/>
          <w:spacing w:val="-5"/>
        </w:rPr>
        <w:t>茶袋蛾、大袋蛾、黄尾毒蛾、斜纹夜蛾、丝棉木金星尺蛾、绿尾大蚕蛾、柑桔凤</w:t>
      </w:r>
      <w:r>
        <w:rPr>
          <w:sz w:val="29"/>
          <w:szCs w:val="29"/>
          <w:spacing w:val="-6"/>
        </w:rPr>
        <w:t>蝶、</w:t>
      </w:r>
      <w:r>
        <w:rPr>
          <w:sz w:val="29"/>
          <w:szCs w:val="29"/>
        </w:rPr>
        <w:t xml:space="preserve"> </w:t>
      </w:r>
      <w:r>
        <w:rPr>
          <w:sz w:val="29"/>
          <w:szCs w:val="29"/>
          <w:spacing w:val="-11"/>
        </w:rPr>
        <w:t>玉带凤蝶、蔷薇三节叶蜂、柳蓝叶甲等。</w:t>
      </w:r>
    </w:p>
    <w:p>
      <w:pPr>
        <w:pStyle w:val="BodyText"/>
        <w:ind w:left="560"/>
        <w:spacing w:before="15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80" w:firstLine="720"/>
        <w:spacing w:before="122" w:line="262"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473" w:firstLine="720"/>
        <w:spacing w:before="167" w:line="266"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ind w:left="56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481" w:firstLine="720"/>
        <w:spacing w:before="74" w:line="266"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3"/>
        </w:rPr>
        <w:t>危险品。</w:t>
      </w:r>
    </w:p>
    <w:p>
      <w:pPr>
        <w:pStyle w:val="BodyText"/>
        <w:ind w:left="720"/>
        <w:spacing w:before="151" w:line="219" w:lineRule="auto"/>
        <w:rPr>
          <w:sz w:val="29"/>
          <w:szCs w:val="29"/>
        </w:rPr>
      </w:pPr>
      <w:r>
        <w:rPr>
          <w:sz w:val="29"/>
          <w:szCs w:val="29"/>
          <w:spacing w:val="11"/>
        </w:rPr>
        <w:t>(2)进行机械工具的检查维修。</w:t>
      </w:r>
    </w:p>
    <w:p>
      <w:pPr>
        <w:pStyle w:val="BodyText"/>
        <w:ind w:left="560"/>
        <w:spacing w:before="105" w:line="221" w:lineRule="auto"/>
        <w:rPr>
          <w:rFonts w:ascii="SimHei" w:hAnsi="SimHei" w:eastAsia="SimHei" w:cs="SimHei"/>
          <w:sz w:val="29"/>
          <w:szCs w:val="29"/>
        </w:rPr>
      </w:pPr>
      <w:r>
        <w:rPr>
          <w:rFonts w:ascii="Arial" w:hAnsi="Arial" w:eastAsia="Arial" w:cs="Arial"/>
          <w:sz w:val="29"/>
          <w:szCs w:val="29"/>
          <w:spacing w:val="7"/>
        </w:rPr>
        <w:t>7</w:t>
      </w:r>
      <w:r>
        <w:rPr>
          <w:sz w:val="29"/>
          <w:szCs w:val="29"/>
          <w:spacing w:val="7"/>
        </w:rPr>
        <w:t>、</w:t>
      </w:r>
      <w:r>
        <w:rPr>
          <w:rFonts w:ascii="SimHei" w:hAnsi="SimHei" w:eastAsia="SimHei" w:cs="SimHei"/>
          <w:sz w:val="29"/>
          <w:szCs w:val="29"/>
          <w:spacing w:val="7"/>
        </w:rPr>
        <w:t>防火防盗</w:t>
      </w:r>
    </w:p>
    <w:p>
      <w:pPr>
        <w:pStyle w:val="BodyText"/>
        <w:ind w:right="140" w:firstLine="560"/>
        <w:spacing w:before="15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82" w:line="223" w:lineRule="auto"/>
        <w:rPr>
          <w:rFonts w:ascii="SimHei" w:hAnsi="SimHei" w:eastAsia="SimHei" w:cs="SimHei"/>
          <w:sz w:val="29"/>
          <w:szCs w:val="29"/>
        </w:rPr>
      </w:pPr>
      <w:r>
        <w:rPr>
          <w:rFonts w:ascii="SimHei" w:hAnsi="SimHei" w:eastAsia="SimHei" w:cs="SimHei"/>
          <w:sz w:val="29"/>
          <w:szCs w:val="29"/>
          <w:spacing w:val="6"/>
        </w:rPr>
        <w:t>九月份</w:t>
      </w:r>
    </w:p>
    <w:p>
      <w:pPr>
        <w:pStyle w:val="BodyText"/>
        <w:ind w:left="560"/>
        <w:spacing w:before="149" w:line="219" w:lineRule="auto"/>
        <w:rPr>
          <w:sz w:val="29"/>
          <w:szCs w:val="29"/>
        </w:rPr>
      </w:pPr>
      <w:r>
        <w:rPr>
          <w:sz w:val="29"/>
          <w:szCs w:val="29"/>
          <w:spacing w:val="4"/>
        </w:rPr>
        <w:t>气温较高，天气晴朗，蒸发强盛，降水量少。</w:t>
      </w:r>
    </w:p>
    <w:p>
      <w:pPr>
        <w:pStyle w:val="BodyText"/>
        <w:ind w:left="560"/>
        <w:spacing w:before="11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60"/>
        <w:spacing w:before="123" w:line="219" w:lineRule="auto"/>
        <w:rPr>
          <w:sz w:val="29"/>
          <w:szCs w:val="29"/>
        </w:rPr>
      </w:pPr>
      <w:r>
        <w:rPr>
          <w:sz w:val="29"/>
          <w:szCs w:val="29"/>
          <w:spacing w:val="2"/>
        </w:rPr>
        <w:t>及时检查乔木支撑情况，发现松动或缺失立即加固</w:t>
      </w:r>
    </w:p>
    <w:p>
      <w:pPr>
        <w:ind w:left="560"/>
        <w:spacing w:before="104" w:line="221" w:lineRule="auto"/>
        <w:rPr>
          <w:rFonts w:ascii="SimHei" w:hAnsi="SimHei" w:eastAsia="SimHei" w:cs="SimHei"/>
          <w:sz w:val="30"/>
          <w:szCs w:val="30"/>
        </w:rPr>
      </w:pPr>
      <w:r>
        <w:rPr>
          <w:rFonts w:ascii="SimHei" w:hAnsi="SimHei" w:eastAsia="SimHei" w:cs="SimHei"/>
          <w:sz w:val="30"/>
          <w:szCs w:val="30"/>
          <w:spacing w:val="6"/>
        </w:rPr>
        <w:t>2、修剪</w:t>
      </w:r>
    </w:p>
    <w:p>
      <w:pPr>
        <w:pStyle w:val="BodyText"/>
        <w:ind w:right="190" w:firstLine="560"/>
        <w:spacing w:before="154" w:line="310" w:lineRule="auto"/>
        <w:rPr>
          <w:sz w:val="29"/>
          <w:szCs w:val="29"/>
        </w:rPr>
      </w:pPr>
      <w:r>
        <w:rPr>
          <w:sz w:val="29"/>
          <w:szCs w:val="29"/>
          <w:spacing w:val="-9"/>
        </w:rPr>
        <w:t>乔木、花灌木及草坪生长迅速，要及时对乔</w:t>
      </w:r>
      <w:r>
        <w:rPr>
          <w:sz w:val="29"/>
          <w:szCs w:val="29"/>
          <w:spacing w:val="-10"/>
        </w:rPr>
        <w:t>木、灌木、草坪进行修剪。在本地</w:t>
      </w:r>
      <w:r>
        <w:rPr>
          <w:sz w:val="29"/>
          <w:szCs w:val="29"/>
        </w:rPr>
        <w:t xml:space="preserve">  </w:t>
      </w:r>
      <w:r>
        <w:rPr>
          <w:sz w:val="29"/>
          <w:szCs w:val="29"/>
          <w:spacing w:val="2"/>
        </w:rPr>
        <w:t>耐寒性弱的苗木改为春季回暖后修剪.冬季易有流</w:t>
      </w:r>
      <w:r>
        <w:rPr>
          <w:sz w:val="29"/>
          <w:szCs w:val="29"/>
          <w:spacing w:val="1"/>
        </w:rPr>
        <w:t>伤的植物如槭树科中的大多数，</w:t>
      </w:r>
      <w:r>
        <w:rPr>
          <w:sz w:val="29"/>
          <w:szCs w:val="29"/>
        </w:rPr>
        <w:t xml:space="preserve"> </w:t>
      </w:r>
      <w:r>
        <w:rPr>
          <w:sz w:val="29"/>
          <w:szCs w:val="29"/>
          <w:spacing w:val="3"/>
        </w:rPr>
        <w:t>在晚秋落叶时或春季新芽膨大时修剪.</w:t>
      </w:r>
    </w:p>
    <w:p>
      <w:pPr>
        <w:ind w:left="560"/>
        <w:spacing w:before="3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104" w:line="219" w:lineRule="auto"/>
        <w:rPr>
          <w:sz w:val="29"/>
          <w:szCs w:val="29"/>
        </w:rPr>
      </w:pPr>
      <w:r>
        <w:rPr>
          <w:sz w:val="29"/>
          <w:szCs w:val="29"/>
          <w:spacing w:val="-2"/>
        </w:rPr>
        <w:t>(1)</w:t>
      </w:r>
      <w:r>
        <w:rPr>
          <w:sz w:val="29"/>
          <w:szCs w:val="29"/>
          <w:spacing w:val="76"/>
        </w:rPr>
        <w:t xml:space="preserve"> </w:t>
      </w:r>
      <w:r>
        <w:rPr>
          <w:sz w:val="29"/>
          <w:szCs w:val="29"/>
          <w:spacing w:val="-2"/>
        </w:rPr>
        <w:t>注意苗木实时浇水，同时也要注意时花的适时浇水；</w:t>
      </w:r>
    </w:p>
    <w:p>
      <w:pPr>
        <w:pStyle w:val="BodyText"/>
        <w:ind w:right="391" w:firstLine="720"/>
        <w:spacing w:before="110" w:line="286" w:lineRule="auto"/>
        <w:rPr>
          <w:sz w:val="29"/>
          <w:szCs w:val="29"/>
        </w:rPr>
      </w:pPr>
      <w:r>
        <w:rPr>
          <w:sz w:val="29"/>
          <w:szCs w:val="29"/>
          <w:spacing w:val="12"/>
        </w:rPr>
        <w:t>(2)施秋肥：9月中旬追施一次有机复合肥(有机质45%),若植物长势一般</w:t>
      </w:r>
      <w:r>
        <w:rPr>
          <w:sz w:val="29"/>
          <w:szCs w:val="29"/>
          <w:spacing w:val="9"/>
        </w:rPr>
        <w:t xml:space="preserve"> </w:t>
      </w:r>
      <w:r>
        <w:rPr>
          <w:sz w:val="29"/>
          <w:szCs w:val="29"/>
          <w:spacing w:val="-8"/>
        </w:rPr>
        <w:t>或较差追施一次氮、磷、钾均衡的无机复合肥.乔木及大灌木穴施.板结区域施松土</w:t>
      </w:r>
      <w:r>
        <w:rPr>
          <w:sz w:val="29"/>
          <w:szCs w:val="29"/>
          <w:spacing w:val="8"/>
        </w:rPr>
        <w:t xml:space="preserve"> </w:t>
      </w:r>
      <w:r>
        <w:rPr>
          <w:sz w:val="29"/>
          <w:szCs w:val="29"/>
          <w:spacing w:val="-2"/>
        </w:rPr>
        <w:t>肥。</w:t>
      </w:r>
    </w:p>
    <w:p>
      <w:pPr>
        <w:pStyle w:val="BodyText"/>
        <w:ind w:left="560"/>
        <w:spacing w:before="85" w:line="202"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spacing w:line="202" w:lineRule="auto"/>
        <w:sectPr>
          <w:footerReference w:type="default" r:id="rId672"/>
          <w:pgSz w:w="14490" w:h="20470"/>
          <w:pgMar w:top="400" w:right="1795" w:bottom="2173" w:left="2150" w:header="0" w:footer="1975" w:gutter="0"/>
        </w:sectPr>
        <w:rPr>
          <w:rFonts w:ascii="SimHei" w:hAnsi="SimHei" w:eastAsia="SimHei" w:cs="SimHei"/>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488" w:firstLine="720"/>
        <w:spacing w:before="94" w:line="269" w:lineRule="auto"/>
        <w:rPr>
          <w:sz w:val="29"/>
          <w:szCs w:val="29"/>
        </w:rPr>
      </w:pPr>
      <w:r>
        <w:rPr>
          <w:sz w:val="29"/>
          <w:szCs w:val="29"/>
          <w:spacing w:val="6"/>
        </w:rPr>
        <w:t>(1)病害：叶斑类病害、锈病、煤污病、叶枯病、干腐病、紫纹羽病、枝</w:t>
      </w:r>
      <w:r>
        <w:rPr>
          <w:sz w:val="29"/>
          <w:szCs w:val="29"/>
          <w:spacing w:val="11"/>
        </w:rPr>
        <w:t xml:space="preserve"> </w:t>
      </w:r>
      <w:r>
        <w:rPr>
          <w:sz w:val="29"/>
          <w:szCs w:val="29"/>
        </w:rPr>
        <w:t>枯病、草坪腐霉枯萎病、冠瘿病、花叶病、丛枝病等；</w:t>
      </w:r>
    </w:p>
    <w:p>
      <w:pPr>
        <w:pStyle w:val="BodyText"/>
        <w:ind w:left="720"/>
        <w:spacing w:before="144" w:line="219" w:lineRule="auto"/>
        <w:rPr>
          <w:sz w:val="29"/>
          <w:szCs w:val="29"/>
        </w:rPr>
      </w:pPr>
      <w:r>
        <w:rPr>
          <w:sz w:val="29"/>
          <w:szCs w:val="29"/>
          <w:spacing w:val="5"/>
        </w:rPr>
        <w:t>(2)虫害：大青叶蝉、方翅网蝽、朱砂叶螨(棉花红蜘蛛、红叶螨)、黑刺</w:t>
      </w:r>
    </w:p>
    <w:p>
      <w:pPr>
        <w:pStyle w:val="BodyText"/>
        <w:spacing w:before="136" w:line="266" w:lineRule="auto"/>
        <w:rPr>
          <w:sz w:val="29"/>
          <w:szCs w:val="29"/>
        </w:rPr>
      </w:pPr>
      <w:r>
        <w:rPr>
          <w:sz w:val="29"/>
          <w:szCs w:val="29"/>
          <w:spacing w:val="-5"/>
        </w:rPr>
        <w:t>粉虱、花蓟马、桑天牛、芳香木蠹蛾、白蚁、小青花金龟、铜绿丽金龟、大地老虎、</w:t>
      </w:r>
      <w:r>
        <w:rPr>
          <w:sz w:val="29"/>
          <w:szCs w:val="29"/>
          <w:spacing w:val="8"/>
        </w:rPr>
        <w:t xml:space="preserve"> </w:t>
      </w:r>
      <w:r>
        <w:rPr>
          <w:sz w:val="29"/>
          <w:szCs w:val="29"/>
          <w:spacing w:val="-9"/>
        </w:rPr>
        <w:t>蝼蛄、细胸金针虫、黄刺蛾、丽绿刺蛾、褐边绿刺蛾、茶袋蛾、黄尾毒蛾、斜纹夜</w:t>
      </w:r>
    </w:p>
    <w:p>
      <w:pPr>
        <w:pStyle w:val="BodyText"/>
        <w:spacing w:before="144" w:line="219" w:lineRule="auto"/>
        <w:jc w:val="right"/>
        <w:rPr>
          <w:sz w:val="29"/>
          <w:szCs w:val="29"/>
        </w:rPr>
      </w:pPr>
      <w:r>
        <w:rPr>
          <w:sz w:val="29"/>
          <w:szCs w:val="29"/>
          <w:spacing w:val="-19"/>
        </w:rPr>
        <w:t>蛾、丝棉木金星尺蛾、绿尾大蚕蛾、柑桔凤蝶、玉带</w:t>
      </w:r>
      <w:r>
        <w:rPr>
          <w:sz w:val="29"/>
          <w:szCs w:val="29"/>
          <w:spacing w:val="-20"/>
        </w:rPr>
        <w:t>凤蝶、蔷薇三节叶蜂、柳蓝叶甲等。</w:t>
      </w:r>
    </w:p>
    <w:p>
      <w:pPr>
        <w:pStyle w:val="BodyText"/>
        <w:ind w:left="590"/>
        <w:spacing w:before="158"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490" w:firstLine="720"/>
        <w:spacing w:before="104" w:line="268"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1"/>
        </w:rPr>
        <w:t>池、灯杆、垃圾桶保持干净；</w:t>
      </w:r>
    </w:p>
    <w:p>
      <w:pPr>
        <w:pStyle w:val="BodyText"/>
        <w:ind w:right="483" w:firstLine="720"/>
        <w:spacing w:before="126" w:line="269" w:lineRule="auto"/>
        <w:rPr>
          <w:sz w:val="29"/>
          <w:szCs w:val="29"/>
        </w:rPr>
      </w:pPr>
      <w:r>
        <w:rPr>
          <w:sz w:val="29"/>
          <w:szCs w:val="29"/>
          <w:spacing w:val="4"/>
        </w:rPr>
        <w:t>(2)</w:t>
      </w:r>
      <w:r>
        <w:rPr>
          <w:sz w:val="29"/>
          <w:szCs w:val="29"/>
          <w:spacing w:val="8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pStyle w:val="BodyText"/>
        <w:ind w:left="590"/>
        <w:spacing w:before="15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20"/>
        <w:spacing w:before="9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2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90"/>
        <w:spacing w:before="10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491" w:firstLine="720"/>
        <w:spacing w:before="132" w:line="270"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447" w:firstLine="720"/>
        <w:spacing w:before="151" w:line="271"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5"/>
        </w:rPr>
        <w:t>及其它物资；</w:t>
      </w:r>
    </w:p>
    <w:p>
      <w:pPr>
        <w:pStyle w:val="BodyText"/>
        <w:ind w:left="720"/>
        <w:spacing w:before="129" w:line="219" w:lineRule="auto"/>
        <w:rPr>
          <w:sz w:val="29"/>
          <w:szCs w:val="29"/>
        </w:rPr>
      </w:pPr>
      <w:r>
        <w:rPr>
          <w:sz w:val="29"/>
          <w:szCs w:val="29"/>
          <w:spacing w:val="11"/>
        </w:rPr>
        <w:t>(3)进行机械工具的检查维修。</w:t>
      </w:r>
    </w:p>
    <w:p>
      <w:pPr>
        <w:pStyle w:val="BodyText"/>
        <w:ind w:left="590"/>
        <w:spacing w:before="63" w:line="396"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60" w:firstLine="590"/>
        <w:spacing w:before="140"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32" w:line="223" w:lineRule="auto"/>
        <w:rPr>
          <w:rFonts w:ascii="SimHei" w:hAnsi="SimHei" w:eastAsia="SimHei" w:cs="SimHei"/>
          <w:sz w:val="29"/>
          <w:szCs w:val="29"/>
        </w:rPr>
      </w:pPr>
      <w:r>
        <w:rPr>
          <w:rFonts w:ascii="SimHei" w:hAnsi="SimHei" w:eastAsia="SimHei" w:cs="SimHei"/>
          <w:sz w:val="29"/>
          <w:szCs w:val="29"/>
          <w:spacing w:val="6"/>
        </w:rPr>
        <w:t>十月份</w:t>
      </w:r>
    </w:p>
    <w:p>
      <w:pPr>
        <w:pStyle w:val="BodyText"/>
        <w:ind w:left="590"/>
        <w:spacing w:before="119" w:line="219" w:lineRule="auto"/>
        <w:rPr>
          <w:sz w:val="29"/>
          <w:szCs w:val="29"/>
        </w:rPr>
      </w:pPr>
      <w:r>
        <w:rPr>
          <w:sz w:val="29"/>
          <w:szCs w:val="29"/>
          <w:spacing w:val="5"/>
        </w:rPr>
        <w:t>气温逐渐下降，日照减少。</w:t>
      </w:r>
    </w:p>
    <w:p>
      <w:pPr>
        <w:pStyle w:val="BodyText"/>
        <w:ind w:left="590"/>
        <w:spacing w:before="27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53" w:line="219" w:lineRule="auto"/>
        <w:rPr>
          <w:sz w:val="29"/>
          <w:szCs w:val="29"/>
        </w:rPr>
      </w:pPr>
      <w:r>
        <w:rPr>
          <w:sz w:val="29"/>
          <w:szCs w:val="29"/>
          <w:spacing w:val="2"/>
        </w:rPr>
        <w:t>及时检查乔木支撑情况，发现松动或缺失立即加固</w:t>
      </w:r>
    </w:p>
    <w:p>
      <w:pPr>
        <w:ind w:left="590"/>
        <w:spacing w:before="103"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left="720"/>
        <w:spacing w:before="134" w:line="219" w:lineRule="auto"/>
        <w:rPr>
          <w:sz w:val="29"/>
          <w:szCs w:val="29"/>
        </w:rPr>
      </w:pPr>
      <w:r>
        <w:rPr>
          <w:sz w:val="29"/>
          <w:szCs w:val="29"/>
          <w:spacing w:val="7"/>
        </w:rPr>
        <w:t>(1)进行绿篱及小乔木、灌木、草坪的全面修</w:t>
      </w:r>
      <w:r>
        <w:rPr>
          <w:sz w:val="29"/>
          <w:szCs w:val="29"/>
          <w:spacing w:val="6"/>
        </w:rPr>
        <w:t>剪；</w:t>
      </w:r>
    </w:p>
    <w:p>
      <w:pPr>
        <w:pStyle w:val="BodyText"/>
        <w:ind w:right="393" w:firstLine="720"/>
        <w:spacing w:before="154" w:line="283" w:lineRule="auto"/>
        <w:rPr>
          <w:sz w:val="29"/>
          <w:szCs w:val="29"/>
        </w:rPr>
      </w:pPr>
      <w:r>
        <w:rPr>
          <w:sz w:val="29"/>
          <w:szCs w:val="29"/>
          <w:spacing w:val="-1"/>
        </w:rPr>
        <w:t>(2)剪去病枝，枯枝、有虫卵枝及竞争枝、过密枝等。进行修剪行道树时，</w:t>
      </w:r>
      <w:r>
        <w:rPr>
          <w:sz w:val="29"/>
          <w:szCs w:val="29"/>
          <w:spacing w:val="3"/>
        </w:rPr>
        <w:t xml:space="preserve"> </w:t>
      </w:r>
      <w:r>
        <w:rPr>
          <w:sz w:val="29"/>
          <w:szCs w:val="29"/>
        </w:rPr>
        <w:t>操作时要严格掌握操作规程和技术要求。注意安全。11月初在防寒设施做完前修</w:t>
      </w:r>
      <w:r>
        <w:rPr>
          <w:sz w:val="29"/>
          <w:szCs w:val="29"/>
          <w:spacing w:val="10"/>
        </w:rPr>
        <w:t xml:space="preserve"> </w:t>
      </w:r>
      <w:r>
        <w:rPr>
          <w:sz w:val="29"/>
          <w:szCs w:val="29"/>
        </w:rPr>
        <w:t>剪完成。在本地耐寒性弱的苗木改为春季回暖后修</w:t>
      </w:r>
      <w:r>
        <w:rPr>
          <w:sz w:val="29"/>
          <w:szCs w:val="29"/>
          <w:spacing w:val="-1"/>
        </w:rPr>
        <w:t>剪.冬季易有流伤的植物如</w:t>
      </w:r>
    </w:p>
    <w:p>
      <w:pPr>
        <w:spacing w:line="283" w:lineRule="auto"/>
        <w:sectPr>
          <w:footerReference w:type="default" r:id="rId673"/>
          <w:pgSz w:w="14490" w:h="20470"/>
          <w:pgMar w:top="400" w:right="178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4"/>
        </w:rPr>
        <w:t>槭树科中的大多数，在晚秋落叶时或春季新芽膨大时修剪。</w:t>
      </w:r>
    </w:p>
    <w:p>
      <w:pPr>
        <w:ind w:left="570"/>
        <w:spacing w:before="11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133" w:line="219" w:lineRule="auto"/>
        <w:rPr>
          <w:sz w:val="29"/>
          <w:szCs w:val="29"/>
        </w:rPr>
      </w:pPr>
      <w:r>
        <w:rPr>
          <w:sz w:val="29"/>
          <w:szCs w:val="29"/>
          <w:spacing w:val="6"/>
        </w:rPr>
        <w:t>(1)注意苗木实时浇水，同时也要注意时花的适时浇水；</w:t>
      </w:r>
    </w:p>
    <w:p>
      <w:pPr>
        <w:pStyle w:val="BodyText"/>
        <w:ind w:right="329" w:firstLine="720"/>
        <w:spacing w:before="151" w:line="260" w:lineRule="auto"/>
        <w:rPr>
          <w:sz w:val="29"/>
          <w:szCs w:val="29"/>
        </w:rPr>
      </w:pPr>
      <w:r>
        <w:rPr>
          <w:sz w:val="29"/>
          <w:szCs w:val="29"/>
          <w:spacing w:val="-2"/>
        </w:rPr>
        <w:t>(2)10月中旬追施一次有机复合肥(有机质45%),草坪追施一次高</w:t>
      </w:r>
      <w:r>
        <w:rPr>
          <w:sz w:val="29"/>
          <w:szCs w:val="29"/>
          <w:spacing w:val="-3"/>
        </w:rPr>
        <w:t>氮、低磷、</w:t>
      </w:r>
      <w:r>
        <w:rPr>
          <w:sz w:val="29"/>
          <w:szCs w:val="29"/>
        </w:rPr>
        <w:t xml:space="preserve"> </w:t>
      </w:r>
      <w:r>
        <w:rPr>
          <w:sz w:val="29"/>
          <w:szCs w:val="29"/>
          <w:spacing w:val="-2"/>
        </w:rPr>
        <w:t>中钾的无机复合肥。</w:t>
      </w:r>
    </w:p>
    <w:p>
      <w:pPr>
        <w:pStyle w:val="BodyText"/>
        <w:ind w:left="570"/>
        <w:spacing w:before="20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right="329" w:firstLine="720"/>
        <w:spacing w:before="132" w:line="260" w:lineRule="auto"/>
        <w:rPr>
          <w:sz w:val="29"/>
          <w:szCs w:val="29"/>
        </w:rPr>
      </w:pPr>
      <w:r>
        <w:rPr>
          <w:sz w:val="29"/>
          <w:szCs w:val="29"/>
          <w:spacing w:val="6"/>
        </w:rPr>
        <w:t>(1)病害：白粉病、叶斑类病害、锈病、叶枯病、干腐病、冠瘿病、丛枝</w:t>
      </w:r>
      <w:r>
        <w:rPr>
          <w:sz w:val="29"/>
          <w:szCs w:val="29"/>
          <w:spacing w:val="11"/>
        </w:rPr>
        <w:t xml:space="preserve"> </w:t>
      </w:r>
      <w:r>
        <w:rPr>
          <w:sz w:val="29"/>
          <w:szCs w:val="29"/>
          <w:spacing w:val="-13"/>
        </w:rPr>
        <w:t>病等；</w:t>
      </w:r>
    </w:p>
    <w:p>
      <w:pPr>
        <w:pStyle w:val="BodyText"/>
        <w:ind w:left="720"/>
        <w:spacing w:before="134" w:line="219" w:lineRule="auto"/>
        <w:rPr>
          <w:sz w:val="29"/>
          <w:szCs w:val="29"/>
        </w:rPr>
      </w:pPr>
      <w:r>
        <w:rPr>
          <w:sz w:val="29"/>
          <w:szCs w:val="29"/>
          <w:spacing w:val="8"/>
        </w:rPr>
        <w:t>(2)虫害：大青叶蝉、桃粉蚜、桃瘤蚜、桔绿粉虱、芳香木</w:t>
      </w:r>
      <w:r>
        <w:rPr>
          <w:sz w:val="29"/>
          <w:szCs w:val="29"/>
          <w:spacing w:val="7"/>
        </w:rPr>
        <w:t>蠹蛾、白蚁、</w:t>
      </w:r>
    </w:p>
    <w:p>
      <w:pPr>
        <w:pStyle w:val="BodyText"/>
        <w:spacing w:before="157" w:line="269" w:lineRule="auto"/>
        <w:rPr>
          <w:sz w:val="29"/>
          <w:szCs w:val="29"/>
        </w:rPr>
      </w:pPr>
      <w:r>
        <w:rPr>
          <w:sz w:val="29"/>
          <w:szCs w:val="29"/>
          <w:spacing w:val="-9"/>
        </w:rPr>
        <w:t>小青花金龟、铜绿丽金龟、大地老虎、细胸金针虫、褐边绿刺蛾、丝棉木金</w:t>
      </w:r>
      <w:r>
        <w:rPr>
          <w:sz w:val="29"/>
          <w:szCs w:val="29"/>
          <w:spacing w:val="-10"/>
        </w:rPr>
        <w:t>星尺蛾、</w:t>
      </w:r>
      <w:r>
        <w:rPr>
          <w:sz w:val="29"/>
          <w:szCs w:val="29"/>
        </w:rPr>
        <w:t xml:space="preserve"> </w:t>
      </w:r>
      <w:r>
        <w:rPr>
          <w:sz w:val="29"/>
          <w:szCs w:val="29"/>
        </w:rPr>
        <w:t>柑桔凤蝶、玉带凤蝶、蔷薇三节叶蜂等。</w:t>
      </w:r>
    </w:p>
    <w:p>
      <w:pPr>
        <w:pStyle w:val="BodyText"/>
        <w:ind w:left="570"/>
        <w:spacing w:before="136"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0" w:firstLine="720"/>
        <w:spacing w:before="103" w:line="265"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323" w:firstLine="720"/>
        <w:spacing w:before="108" w:line="275"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1"/>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1"/>
        </w:rPr>
        <w:t>6、物资管理</w:t>
      </w:r>
    </w:p>
    <w:p>
      <w:pPr>
        <w:pStyle w:val="BodyText"/>
        <w:ind w:left="570"/>
        <w:spacing w:before="164" w:line="321" w:lineRule="auto"/>
        <w:rPr>
          <w:rFonts w:ascii="SimHei" w:hAnsi="SimHei" w:eastAsia="SimHei" w:cs="SimHei"/>
          <w:sz w:val="29"/>
          <w:szCs w:val="29"/>
        </w:rPr>
      </w:pPr>
      <w:r>
        <w:rPr>
          <w:sz w:val="29"/>
          <w:szCs w:val="29"/>
          <w:spacing w:val="-13"/>
        </w:rPr>
        <w:t>库房物品整理，物料工具出入库及领用登记，注意保管汽油、农药等危险</w:t>
      </w:r>
      <w:r>
        <w:rPr>
          <w:sz w:val="29"/>
          <w:szCs w:val="29"/>
          <w:spacing w:val="-14"/>
        </w:rPr>
        <w:t>品。7、</w:t>
      </w:r>
      <w:r>
        <w:rPr>
          <w:sz w:val="29"/>
          <w:szCs w:val="29"/>
        </w:rPr>
        <w:t xml:space="preserve"> </w:t>
      </w:r>
      <w:r>
        <w:rPr>
          <w:rFonts w:ascii="SimHei" w:hAnsi="SimHei" w:eastAsia="SimHei" w:cs="SimHei"/>
          <w:sz w:val="29"/>
          <w:szCs w:val="29"/>
          <w:spacing w:val="4"/>
        </w:rPr>
        <w:t>防火防盗</w:t>
      </w:r>
    </w:p>
    <w:p>
      <w:pPr>
        <w:pStyle w:val="BodyText"/>
        <w:ind w:firstLine="570"/>
        <w:spacing w:before="4" w:line="313"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pStyle w:val="BodyText"/>
        <w:ind w:left="570"/>
        <w:spacing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8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39"/>
          <w:position w:val="1"/>
        </w:rPr>
        <w:t xml:space="preserve"> </w:t>
      </w:r>
      <w:r>
        <w:rPr>
          <w:rFonts w:ascii="SimHei" w:hAnsi="SimHei" w:eastAsia="SimHei" w:cs="SimHei"/>
          <w:sz w:val="27"/>
          <w:szCs w:val="27"/>
          <w:spacing w:val="-17"/>
          <w:position w:val="1"/>
        </w:rPr>
        <w:t>寒</w:t>
      </w:r>
    </w:p>
    <w:p>
      <w:pPr>
        <w:pStyle w:val="BodyText"/>
        <w:ind w:right="173" w:firstLine="570"/>
        <w:spacing w:before="102" w:line="322" w:lineRule="auto"/>
        <w:rPr>
          <w:sz w:val="29"/>
          <w:szCs w:val="29"/>
        </w:rPr>
      </w:pPr>
      <w:r>
        <w:rPr>
          <w:sz w:val="29"/>
          <w:szCs w:val="29"/>
          <w:spacing w:val="2"/>
        </w:rPr>
        <w:t>根据天气情况在十月下旬开始陆续对乔灌木进行防寒。温度出现突降，做好</w:t>
      </w:r>
      <w:r>
        <w:rPr>
          <w:sz w:val="29"/>
          <w:szCs w:val="29"/>
          <w:spacing w:val="14"/>
        </w:rPr>
        <w:t xml:space="preserve"> </w:t>
      </w:r>
      <w:r>
        <w:rPr>
          <w:sz w:val="29"/>
          <w:szCs w:val="29"/>
          <w:spacing w:val="-5"/>
        </w:rPr>
        <w:t>时花防寒。</w:t>
      </w:r>
    </w:p>
    <w:p>
      <w:pPr>
        <w:spacing w:before="61"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155" w:line="219" w:lineRule="auto"/>
        <w:rPr>
          <w:sz w:val="29"/>
          <w:szCs w:val="29"/>
        </w:rPr>
      </w:pPr>
      <w:r>
        <w:rPr>
          <w:sz w:val="29"/>
          <w:szCs w:val="29"/>
          <w:spacing w:val="4"/>
        </w:rPr>
        <w:t>气温下降，出现霜冻，空气干燥，湿度小，雨量</w:t>
      </w:r>
      <w:r>
        <w:rPr>
          <w:sz w:val="29"/>
          <w:szCs w:val="29"/>
          <w:spacing w:val="3"/>
        </w:rPr>
        <w:t>较小。</w:t>
      </w:r>
    </w:p>
    <w:p>
      <w:pPr>
        <w:pStyle w:val="BodyText"/>
        <w:ind w:left="570"/>
        <w:spacing w:before="10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13" w:line="219" w:lineRule="auto"/>
        <w:rPr>
          <w:sz w:val="29"/>
          <w:szCs w:val="29"/>
        </w:rPr>
      </w:pPr>
      <w:r>
        <w:rPr>
          <w:sz w:val="29"/>
          <w:szCs w:val="29"/>
          <w:spacing w:val="6"/>
        </w:rPr>
        <w:t>(1)检查防寒设施的完好情况，发现破损立即修补；</w:t>
      </w:r>
    </w:p>
    <w:p>
      <w:pPr>
        <w:pStyle w:val="BodyText"/>
        <w:ind w:left="720"/>
        <w:spacing w:before="156" w:line="219" w:lineRule="auto"/>
        <w:rPr>
          <w:sz w:val="29"/>
          <w:szCs w:val="29"/>
        </w:rPr>
      </w:pPr>
      <w:r>
        <w:rPr>
          <w:sz w:val="29"/>
          <w:szCs w:val="29"/>
          <w:spacing w:val="-2"/>
        </w:rPr>
        <w:t>(2)</w:t>
      </w:r>
      <w:r>
        <w:rPr>
          <w:sz w:val="29"/>
          <w:szCs w:val="29"/>
          <w:spacing w:val="86"/>
        </w:rPr>
        <w:t xml:space="preserve"> </w:t>
      </w:r>
      <w:r>
        <w:rPr>
          <w:sz w:val="29"/>
          <w:szCs w:val="29"/>
          <w:spacing w:val="-2"/>
        </w:rPr>
        <w:t>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570"/>
        <w:spacing w:before="166" w:line="219" w:lineRule="auto"/>
        <w:rPr>
          <w:sz w:val="29"/>
          <w:szCs w:val="29"/>
        </w:rPr>
      </w:pPr>
      <w:r>
        <w:rPr>
          <w:sz w:val="29"/>
          <w:szCs w:val="29"/>
          <w:spacing w:val="1"/>
        </w:rPr>
        <w:t>乔木、花灌木及草坪生长迅速，要及时对乔木、灌木、草坪进行修剪。</w:t>
      </w:r>
    </w:p>
    <w:p>
      <w:pPr>
        <w:ind w:left="570"/>
        <w:spacing w:before="9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70"/>
        <w:spacing w:before="143" w:line="219" w:lineRule="auto"/>
        <w:rPr>
          <w:sz w:val="29"/>
          <w:szCs w:val="29"/>
        </w:rPr>
      </w:pPr>
      <w:r>
        <w:rPr>
          <w:sz w:val="29"/>
          <w:szCs w:val="29"/>
        </w:rPr>
        <w:t>在封冻前完成冬灌工作，并在浇完冻水后封树穴。</w:t>
      </w:r>
    </w:p>
    <w:p>
      <w:pPr>
        <w:spacing w:line="219" w:lineRule="auto"/>
        <w:sectPr>
          <w:footerReference w:type="default" r:id="rId674"/>
          <w:pgSz w:w="14490" w:h="20470"/>
          <w:pgMar w:top="400" w:right="1944" w:bottom="1433" w:left="2150" w:header="0" w:footer="12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20"/>
        <w:spacing w:before="125" w:line="219" w:lineRule="auto"/>
        <w:rPr>
          <w:sz w:val="29"/>
          <w:szCs w:val="29"/>
        </w:rPr>
      </w:pPr>
      <w:r>
        <w:rPr>
          <w:sz w:val="29"/>
          <w:szCs w:val="29"/>
          <w:spacing w:val="7"/>
        </w:rPr>
        <w:t>(1)病害：白粉病、叶斑类病害、叶枯病等；</w:t>
      </w:r>
    </w:p>
    <w:p>
      <w:pPr>
        <w:pStyle w:val="BodyText"/>
        <w:ind w:left="720"/>
        <w:spacing w:before="154" w:line="219" w:lineRule="auto"/>
        <w:rPr>
          <w:sz w:val="29"/>
          <w:szCs w:val="29"/>
        </w:rPr>
      </w:pPr>
      <w:r>
        <w:rPr>
          <w:sz w:val="29"/>
          <w:szCs w:val="29"/>
          <w:spacing w:val="7"/>
        </w:rPr>
        <w:t>(2)虫害：大青叶蝉、桃粉蚜、桔绿粉虱</w:t>
      </w:r>
      <w:r>
        <w:rPr>
          <w:sz w:val="29"/>
          <w:szCs w:val="29"/>
          <w:spacing w:val="6"/>
        </w:rPr>
        <w:t>、芳香木蠹蛾、白蚁等。</w:t>
      </w:r>
    </w:p>
    <w:p>
      <w:pPr>
        <w:pStyle w:val="BodyText"/>
        <w:ind w:left="570"/>
        <w:spacing w:before="48" w:line="395" w:lineRule="exact"/>
        <w:rPr>
          <w:rFonts w:ascii="SimHei" w:hAnsi="SimHei" w:eastAsia="SimHei" w:cs="SimHei"/>
          <w:sz w:val="29"/>
          <w:szCs w:val="29"/>
        </w:rPr>
      </w:pPr>
      <w:r>
        <w:rPr>
          <w:rFonts w:ascii="Arial" w:hAnsi="Arial" w:eastAsia="Arial" w:cs="Arial"/>
          <w:sz w:val="29"/>
          <w:szCs w:val="29"/>
          <w:spacing w:val="-9"/>
          <w:position w:val="1"/>
        </w:rPr>
        <w:t>5</w:t>
      </w:r>
      <w:r>
        <w:rPr>
          <w:sz w:val="29"/>
          <w:szCs w:val="29"/>
          <w:spacing w:val="-9"/>
          <w:position w:val="1"/>
        </w:rPr>
        <w:t>、</w:t>
      </w:r>
      <w:r>
        <w:rPr>
          <w:rFonts w:ascii="SimHei" w:hAnsi="SimHei" w:eastAsia="SimHei" w:cs="SimHei"/>
          <w:sz w:val="29"/>
          <w:szCs w:val="29"/>
          <w:spacing w:val="-9"/>
          <w:position w:val="1"/>
        </w:rPr>
        <w:t>保洁</w:t>
      </w:r>
    </w:p>
    <w:p>
      <w:pPr>
        <w:pStyle w:val="BodyText"/>
        <w:ind w:right="439" w:firstLine="720"/>
        <w:spacing w:before="135"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2"/>
        </w:rPr>
        <w:t>池、灯杆、垃圾桶保持干净；</w:t>
      </w:r>
    </w:p>
    <w:p>
      <w:pPr>
        <w:pStyle w:val="BodyText"/>
        <w:ind w:right="433" w:firstLine="720"/>
        <w:spacing w:before="14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74" w:line="222" w:lineRule="auto"/>
        <w:rPr>
          <w:rFonts w:ascii="SimHei" w:hAnsi="SimHei" w:eastAsia="SimHei" w:cs="SimHei"/>
          <w:sz w:val="30"/>
          <w:szCs w:val="30"/>
        </w:rPr>
      </w:pPr>
      <w:r>
        <w:rPr>
          <w:rFonts w:ascii="SimHei" w:hAnsi="SimHei" w:eastAsia="SimHei" w:cs="SimHei"/>
          <w:sz w:val="30"/>
          <w:szCs w:val="30"/>
          <w:spacing w:val="3"/>
        </w:rPr>
        <w:t>6、物资管理</w:t>
      </w:r>
    </w:p>
    <w:p>
      <w:pPr>
        <w:pStyle w:val="BodyText"/>
        <w:spacing w:before="61"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100" w:firstLine="570"/>
        <w:spacing w:before="155" w:line="314" w:lineRule="auto"/>
        <w:rPr>
          <w:sz w:val="29"/>
          <w:szCs w:val="29"/>
        </w:rPr>
      </w:pPr>
      <w:r>
        <w:rPr>
          <w:sz w:val="29"/>
          <w:szCs w:val="29"/>
          <w:spacing w:val="1"/>
        </w:rPr>
        <w:t>每天绿化工人在保洁的同时要注意行人随意丢</w:t>
      </w:r>
      <w:r>
        <w:rPr>
          <w:sz w:val="29"/>
          <w:szCs w:val="29"/>
        </w:rPr>
        <w:t>弃烟头现象，并对其进行防火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43"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570"/>
        <w:spacing w:before="142" w:line="219" w:lineRule="auto"/>
        <w:rPr>
          <w:sz w:val="29"/>
          <w:szCs w:val="29"/>
        </w:rPr>
      </w:pPr>
      <w:r>
        <w:rPr>
          <w:sz w:val="29"/>
          <w:szCs w:val="29"/>
          <w:spacing w:val="4"/>
        </w:rPr>
        <w:t>低温，常有雪、霜、冰冻和寒潮大风等天气发生，开始冬季养护工作。</w:t>
      </w:r>
    </w:p>
    <w:p>
      <w:pPr>
        <w:pStyle w:val="BodyText"/>
        <w:ind w:left="570"/>
        <w:spacing w:before="14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20"/>
        <w:spacing w:before="113" w:line="219" w:lineRule="auto"/>
        <w:rPr>
          <w:sz w:val="29"/>
          <w:szCs w:val="29"/>
        </w:rPr>
      </w:pPr>
      <w:r>
        <w:rPr>
          <w:sz w:val="29"/>
          <w:szCs w:val="29"/>
          <w:spacing w:val="6"/>
        </w:rPr>
        <w:t>(1)检查防寒设施的完好情况，发现破损立即修补；</w:t>
      </w:r>
    </w:p>
    <w:p>
      <w:pPr>
        <w:pStyle w:val="BodyText"/>
        <w:ind w:left="720"/>
        <w:spacing w:before="156" w:line="219" w:lineRule="auto"/>
        <w:rPr>
          <w:sz w:val="29"/>
          <w:szCs w:val="29"/>
        </w:rPr>
      </w:pPr>
      <w:r>
        <w:rPr>
          <w:sz w:val="29"/>
          <w:szCs w:val="29"/>
          <w:spacing w:val="9"/>
        </w:rPr>
        <w:t>(2)及时检查乔木支撑情况，发现松动或缺失立即加固</w:t>
      </w:r>
    </w:p>
    <w:p>
      <w:pPr>
        <w:ind w:left="570"/>
        <w:spacing w:before="94"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330" w:firstLine="570"/>
        <w:spacing w:before="112" w:line="313" w:lineRule="auto"/>
        <w:rPr>
          <w:sz w:val="29"/>
          <w:szCs w:val="29"/>
        </w:rPr>
      </w:pPr>
      <w:r>
        <w:rPr>
          <w:sz w:val="29"/>
          <w:szCs w:val="29"/>
          <w:spacing w:val="1"/>
        </w:rPr>
        <w:t>对落叶树木的整形修剪工作，根据各种树木的树龄、</w:t>
      </w:r>
      <w:r>
        <w:rPr>
          <w:sz w:val="29"/>
          <w:szCs w:val="29"/>
        </w:rPr>
        <w:t>生长习性、树型特点做 </w:t>
      </w:r>
      <w:r>
        <w:rPr>
          <w:sz w:val="29"/>
          <w:szCs w:val="29"/>
          <w:spacing w:val="-8"/>
        </w:rPr>
        <w:t>到有针对性的修剪。去除病虫枝、枯死枝、徒长枝、交叉枝等在本地耐寒性弱的苗</w:t>
      </w:r>
      <w:r>
        <w:rPr>
          <w:sz w:val="29"/>
          <w:szCs w:val="29"/>
          <w:spacing w:val="10"/>
        </w:rPr>
        <w:t xml:space="preserve"> </w:t>
      </w:r>
      <w:r>
        <w:rPr>
          <w:sz w:val="29"/>
          <w:szCs w:val="29"/>
          <w:spacing w:val="4"/>
        </w:rPr>
        <w:t>木改为春季回暖后修剪.冬季易有流伤的植物如槭树科中的大多数，在晚秋落叶</w:t>
      </w:r>
      <w:r>
        <w:rPr>
          <w:sz w:val="29"/>
          <w:szCs w:val="29"/>
          <w:spacing w:val="18"/>
        </w:rPr>
        <w:t xml:space="preserve"> </w:t>
      </w:r>
      <w:r>
        <w:rPr>
          <w:sz w:val="29"/>
          <w:szCs w:val="29"/>
          <w:spacing w:val="3"/>
        </w:rPr>
        <w:t>时或春季新芽膨大时修剪</w:t>
      </w:r>
    </w:p>
    <w:p>
      <w:pPr>
        <w:pStyle w:val="BodyText"/>
        <w:ind w:left="570"/>
        <w:spacing w:before="21" w:line="395" w:lineRule="exact"/>
        <w:rPr>
          <w:rFonts w:ascii="SimHei" w:hAnsi="SimHei" w:eastAsia="SimHei" w:cs="SimHei"/>
          <w:sz w:val="29"/>
          <w:szCs w:val="29"/>
        </w:rPr>
      </w:pPr>
      <w:r>
        <w:rPr>
          <w:rFonts w:ascii="Arial" w:hAnsi="Arial" w:eastAsia="Arial" w:cs="Arial"/>
          <w:sz w:val="29"/>
          <w:szCs w:val="29"/>
          <w:spacing w:val="1"/>
          <w:position w:val="1"/>
        </w:rPr>
        <w:t>3</w:t>
      </w:r>
      <w:r>
        <w:rPr>
          <w:sz w:val="29"/>
          <w:szCs w:val="29"/>
          <w:spacing w:val="1"/>
          <w:position w:val="1"/>
        </w:rPr>
        <w:t>、</w:t>
      </w:r>
      <w:r>
        <w:rPr>
          <w:rFonts w:ascii="SimHei" w:hAnsi="SimHei" w:eastAsia="SimHei" w:cs="SimHei"/>
          <w:sz w:val="29"/>
          <w:szCs w:val="29"/>
          <w:spacing w:val="1"/>
          <w:position w:val="1"/>
        </w:rPr>
        <w:t>水肥管理</w:t>
      </w:r>
    </w:p>
    <w:p>
      <w:pPr>
        <w:pStyle w:val="BodyText"/>
        <w:ind w:right="469" w:firstLine="720"/>
        <w:spacing w:before="107" w:line="269" w:lineRule="auto"/>
        <w:rPr>
          <w:sz w:val="29"/>
          <w:szCs w:val="29"/>
        </w:rPr>
      </w:pPr>
      <w:r>
        <w:rPr>
          <w:sz w:val="29"/>
          <w:szCs w:val="29"/>
          <w:spacing w:val="-1"/>
        </w:rPr>
        <w:t>(1)</w:t>
      </w:r>
      <w:r>
        <w:rPr>
          <w:sz w:val="29"/>
          <w:szCs w:val="29"/>
          <w:spacing w:val="72"/>
        </w:rPr>
        <w:t xml:space="preserve"> </w:t>
      </w:r>
      <w:r>
        <w:rPr>
          <w:sz w:val="29"/>
          <w:szCs w:val="29"/>
          <w:spacing w:val="-1"/>
        </w:rPr>
        <w:t>在封冻前完成冬灌工作，并在浇完冻</w:t>
      </w:r>
      <w:r>
        <w:rPr>
          <w:sz w:val="29"/>
          <w:szCs w:val="29"/>
          <w:spacing w:val="-2"/>
        </w:rPr>
        <w:t>水后封树穴，11月底完成。注：</w:t>
      </w:r>
      <w:r>
        <w:rPr>
          <w:sz w:val="29"/>
          <w:szCs w:val="29"/>
        </w:rPr>
        <w:t xml:space="preserve"> </w:t>
      </w:r>
      <w:r>
        <w:rPr>
          <w:sz w:val="29"/>
          <w:szCs w:val="29"/>
          <w:spacing w:val="1"/>
        </w:rPr>
        <w:t>封冻水对植物安然越冬意义重大，必须浇透。</w:t>
      </w:r>
    </w:p>
    <w:p>
      <w:pPr>
        <w:pStyle w:val="BodyText"/>
        <w:ind w:right="441" w:firstLine="720"/>
        <w:spacing w:before="105" w:line="273" w:lineRule="auto"/>
        <w:rPr>
          <w:sz w:val="29"/>
          <w:szCs w:val="29"/>
        </w:rPr>
      </w:pPr>
      <w:r>
        <w:rPr>
          <w:sz w:val="29"/>
          <w:szCs w:val="29"/>
          <w:spacing w:val="6"/>
        </w:rPr>
        <w:t>(2)对于有新栽植的苗木，要做好防寒、灌封冻水等措施，保证新栽植苗</w:t>
      </w:r>
      <w:r>
        <w:rPr>
          <w:sz w:val="29"/>
          <w:szCs w:val="29"/>
        </w:rPr>
        <w:t xml:space="preserve"> </w:t>
      </w:r>
      <w:r>
        <w:rPr>
          <w:sz w:val="29"/>
          <w:szCs w:val="29"/>
        </w:rPr>
        <w:t>木安全越冬。</w:t>
      </w:r>
    </w:p>
    <w:p>
      <w:pPr>
        <w:pStyle w:val="BodyText"/>
        <w:ind w:left="570"/>
        <w:spacing w:before="207" w:line="224"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保洁</w:t>
      </w:r>
    </w:p>
    <w:p>
      <w:pPr>
        <w:pStyle w:val="BodyText"/>
        <w:ind w:right="439" w:firstLine="720"/>
        <w:spacing w:before="84" w:line="265" w:lineRule="auto"/>
        <w:rPr>
          <w:sz w:val="29"/>
          <w:szCs w:val="29"/>
        </w:rPr>
      </w:pPr>
      <w:r>
        <w:rPr>
          <w:sz w:val="29"/>
          <w:szCs w:val="29"/>
          <w:spacing w:val="-1"/>
        </w:rPr>
        <w:t>(1)</w:t>
      </w:r>
      <w:r>
        <w:rPr>
          <w:sz w:val="29"/>
          <w:szCs w:val="29"/>
          <w:spacing w:val="86"/>
        </w:rPr>
        <w:t xml:space="preserve"> </w:t>
      </w:r>
      <w:r>
        <w:rPr>
          <w:sz w:val="29"/>
          <w:szCs w:val="29"/>
          <w:spacing w:val="-1"/>
        </w:rPr>
        <w:t>保洁人员合理分区，全天候巡视，及时清理烟头、树挂等垃圾，水景</w:t>
      </w:r>
      <w:r>
        <w:rPr>
          <w:sz w:val="29"/>
          <w:szCs w:val="29"/>
        </w:rPr>
        <w:t xml:space="preserve"> </w:t>
      </w:r>
      <w:r>
        <w:rPr>
          <w:sz w:val="29"/>
          <w:szCs w:val="29"/>
          <w:spacing w:val="-2"/>
        </w:rPr>
        <w:t>池、灯杆、垃圾桶保持干净；</w:t>
      </w:r>
    </w:p>
    <w:p>
      <w:pPr>
        <w:pStyle w:val="BodyText"/>
        <w:ind w:right="433" w:firstLine="720"/>
        <w:spacing w:before="138" w:line="275"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spacing w:line="275" w:lineRule="auto"/>
        <w:sectPr>
          <w:footerReference w:type="default" r:id="rId675"/>
          <w:pgSz w:w="14490" w:h="20470"/>
          <w:pgMar w:top="400" w:right="1844" w:bottom="1405" w:left="2150" w:header="0" w:footer="1243"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51" w:firstLine="720"/>
        <w:spacing w:before="94" w:line="310" w:lineRule="auto"/>
        <w:jc w:val="both"/>
        <w:rPr>
          <w:sz w:val="29"/>
          <w:szCs w:val="29"/>
        </w:rPr>
      </w:pPr>
      <w:r>
        <w:rPr>
          <w:sz w:val="29"/>
          <w:szCs w:val="29"/>
          <w:spacing w:val="7"/>
        </w:rPr>
        <w:t>(3)遇到下雪天气，小雪务必当天清完，大雪在当天务必将大门至各个单</w:t>
      </w:r>
      <w:r>
        <w:rPr>
          <w:sz w:val="29"/>
          <w:szCs w:val="29"/>
          <w:spacing w:val="15"/>
        </w:rPr>
        <w:t xml:space="preserve"> </w:t>
      </w:r>
      <w:r>
        <w:rPr>
          <w:sz w:val="29"/>
          <w:szCs w:val="29"/>
          <w:spacing w:val="-4"/>
        </w:rPr>
        <w:t>元门及销售中心清理完毕，剩余残雪在3天内清理完毕，沿路两侧要堆雪造型；冰</w:t>
      </w:r>
      <w:r>
        <w:rPr>
          <w:sz w:val="29"/>
          <w:szCs w:val="29"/>
          <w:spacing w:val="1"/>
        </w:rPr>
        <w:t xml:space="preserve"> </w:t>
      </w:r>
      <w:r>
        <w:rPr>
          <w:sz w:val="29"/>
          <w:szCs w:val="29"/>
        </w:rPr>
        <w:t>雪融化后露出的垃圾、废弃物的全面全面清理。</w:t>
      </w:r>
    </w:p>
    <w:p>
      <w:pPr>
        <w:pStyle w:val="BodyText"/>
        <w:ind w:left="570"/>
        <w:spacing w:before="6" w:line="395" w:lineRule="exact"/>
        <w:rPr>
          <w:rFonts w:ascii="SimHei" w:hAnsi="SimHei" w:eastAsia="SimHei" w:cs="SimHei"/>
          <w:sz w:val="29"/>
          <w:szCs w:val="29"/>
        </w:rPr>
      </w:pPr>
      <w:r>
        <w:rPr>
          <w:rFonts w:ascii="Arial" w:hAnsi="Arial" w:eastAsia="Arial" w:cs="Arial"/>
          <w:sz w:val="29"/>
          <w:szCs w:val="29"/>
          <w:spacing w:val="3"/>
          <w:position w:val="1"/>
        </w:rPr>
        <w:t>5</w:t>
      </w:r>
      <w:r>
        <w:rPr>
          <w:sz w:val="29"/>
          <w:szCs w:val="29"/>
          <w:spacing w:val="3"/>
          <w:position w:val="1"/>
        </w:rPr>
        <w:t>、</w:t>
      </w:r>
      <w:r>
        <w:rPr>
          <w:rFonts w:ascii="SimHei" w:hAnsi="SimHei" w:eastAsia="SimHei" w:cs="SimHei"/>
          <w:sz w:val="29"/>
          <w:szCs w:val="29"/>
          <w:spacing w:val="3"/>
          <w:position w:val="1"/>
        </w:rPr>
        <w:t>时花摆放</w:t>
      </w:r>
    </w:p>
    <w:p>
      <w:pPr>
        <w:pStyle w:val="BodyText"/>
        <w:ind w:left="720"/>
        <w:spacing w:before="107" w:line="219" w:lineRule="auto"/>
        <w:rPr>
          <w:sz w:val="29"/>
          <w:szCs w:val="29"/>
        </w:rPr>
      </w:pPr>
      <w:r>
        <w:rPr>
          <w:sz w:val="29"/>
          <w:szCs w:val="29"/>
          <w:spacing w:val="5"/>
        </w:rPr>
        <w:t>(1)月初提交时花需求计划，选择亮色花卉，安排下旬进场；</w:t>
      </w:r>
    </w:p>
    <w:p>
      <w:pPr>
        <w:pStyle w:val="BodyText"/>
        <w:ind w:left="72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04" w:line="222" w:lineRule="auto"/>
        <w:rPr>
          <w:rFonts w:ascii="SimHei" w:hAnsi="SimHei" w:eastAsia="SimHei" w:cs="SimHei"/>
          <w:sz w:val="30"/>
          <w:szCs w:val="30"/>
        </w:rPr>
      </w:pPr>
      <w:r>
        <w:rPr>
          <w:rFonts w:ascii="SimHei" w:hAnsi="SimHei" w:eastAsia="SimHei" w:cs="SimHei"/>
          <w:sz w:val="30"/>
          <w:szCs w:val="30"/>
          <w:spacing w:val="-2"/>
        </w:rPr>
        <w:t>6、物资管理</w:t>
      </w:r>
    </w:p>
    <w:p>
      <w:pPr>
        <w:pStyle w:val="BodyText"/>
        <w:ind w:right="351" w:firstLine="720"/>
        <w:spacing w:before="151"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20"/>
        <w:spacing w:before="152" w:line="219" w:lineRule="auto"/>
        <w:rPr>
          <w:sz w:val="29"/>
          <w:szCs w:val="29"/>
        </w:rPr>
      </w:pPr>
      <w:r>
        <w:rPr>
          <w:sz w:val="29"/>
          <w:szCs w:val="29"/>
          <w:spacing w:val="11"/>
        </w:rPr>
        <w:t>(2)进行机械工具的检查维修。</w:t>
      </w:r>
    </w:p>
    <w:p>
      <w:pPr>
        <w:pStyle w:val="BodyText"/>
        <w:ind w:left="570"/>
        <w:spacing w:before="7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70"/>
        <w:spacing w:before="174" w:line="311" w:lineRule="auto"/>
        <w:rPr>
          <w:sz w:val="29"/>
          <w:szCs w:val="29"/>
        </w:rPr>
      </w:pPr>
      <w:r>
        <w:rPr>
          <w:sz w:val="29"/>
          <w:szCs w:val="29"/>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line="311" w:lineRule="auto"/>
        <w:sectPr>
          <w:footerReference w:type="default" r:id="rId676"/>
          <w:pgSz w:w="14490" w:h="20470"/>
          <w:pgMar w:top="400" w:right="1935" w:bottom="1447" w:left="2150" w:header="0" w:footer="1231"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4500"/>
        <w:spacing w:before="94" w:line="224" w:lineRule="auto"/>
        <w:outlineLvl w:val="1"/>
        <w:rPr>
          <w:rFonts w:ascii="SimHei" w:hAnsi="SimHei" w:eastAsia="SimHei" w:cs="SimHei"/>
          <w:sz w:val="29"/>
          <w:szCs w:val="29"/>
        </w:rPr>
      </w:pPr>
      <w:bookmarkStart w:name="bookmark73" w:id="131"/>
      <w:bookmarkEnd w:id="131"/>
      <w:r>
        <w:rPr>
          <w:rFonts w:ascii="SimHei" w:hAnsi="SimHei" w:eastAsia="SimHei" w:cs="SimHei"/>
          <w:sz w:val="29"/>
          <w:szCs w:val="29"/>
          <w:spacing w:val="6"/>
        </w:rPr>
        <w:t>四川地区</w:t>
      </w:r>
    </w:p>
    <w:p>
      <w:pPr>
        <w:pStyle w:val="BodyText"/>
        <w:ind w:left="4"/>
        <w:spacing w:before="167" w:line="223" w:lineRule="auto"/>
        <w:rPr>
          <w:rFonts w:ascii="SimHei" w:hAnsi="SimHei" w:eastAsia="SimHei" w:cs="SimHei"/>
          <w:sz w:val="30"/>
          <w:szCs w:val="30"/>
        </w:rPr>
      </w:pPr>
      <w:bookmarkStart w:name="bookmark137" w:id="132"/>
      <w:bookmarkEnd w:id="132"/>
      <w:r>
        <w:rPr>
          <w:sz w:val="30"/>
          <w:szCs w:val="30"/>
          <w:b/>
          <w:bCs/>
          <w:spacing w:val="-13"/>
        </w:rPr>
        <w:t>一、</w:t>
      </w:r>
      <w:r>
        <w:rPr>
          <w:rFonts w:ascii="SimHei" w:hAnsi="SimHei" w:eastAsia="SimHei" w:cs="SimHei"/>
          <w:sz w:val="30"/>
          <w:szCs w:val="30"/>
          <w:spacing w:val="-13"/>
        </w:rPr>
        <w:t>二月份</w:t>
      </w:r>
    </w:p>
    <w:p>
      <w:pPr>
        <w:pStyle w:val="BodyText"/>
        <w:ind w:left="600"/>
        <w:spacing w:before="116" w:line="219" w:lineRule="auto"/>
        <w:rPr>
          <w:sz w:val="29"/>
          <w:szCs w:val="29"/>
        </w:rPr>
      </w:pPr>
      <w:r>
        <w:rPr>
          <w:sz w:val="29"/>
          <w:szCs w:val="29"/>
          <w:spacing w:val="3"/>
        </w:rPr>
        <w:t>成都全年中气温最低的月份，重点是保洁和防寒。</w:t>
      </w:r>
    </w:p>
    <w:p>
      <w:pPr>
        <w:pStyle w:val="BodyText"/>
        <w:ind w:left="600"/>
        <w:spacing w:before="29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730"/>
        <w:spacing w:before="12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8"/>
        </w:rPr>
        <w:t>(2)及时检查乔木支撑情况，发现松动或缺失立即加固。</w:t>
      </w:r>
    </w:p>
    <w:p>
      <w:pPr>
        <w:pStyle w:val="BodyText"/>
        <w:ind w:left="600"/>
        <w:spacing w:before="114" w:line="222" w:lineRule="auto"/>
        <w:rPr>
          <w:rFonts w:ascii="SimHei" w:hAnsi="SimHei" w:eastAsia="SimHei" w:cs="SimHei"/>
          <w:sz w:val="29"/>
          <w:szCs w:val="29"/>
        </w:rPr>
      </w:pPr>
      <w:r>
        <w:rPr>
          <w:rFonts w:ascii="Arial" w:hAnsi="Arial" w:eastAsia="Arial" w:cs="Arial"/>
          <w:sz w:val="29"/>
          <w:szCs w:val="29"/>
          <w:spacing w:val="5"/>
        </w:rPr>
        <w:t>2</w:t>
      </w:r>
      <w:r>
        <w:rPr>
          <w:sz w:val="29"/>
          <w:szCs w:val="29"/>
          <w:spacing w:val="5"/>
        </w:rPr>
        <w:t>、</w:t>
      </w:r>
      <w:r>
        <w:rPr>
          <w:rFonts w:ascii="SimHei" w:hAnsi="SimHei" w:eastAsia="SimHei" w:cs="SimHei"/>
          <w:sz w:val="29"/>
          <w:szCs w:val="29"/>
          <w:spacing w:val="5"/>
        </w:rPr>
        <w:t>水肥管理</w:t>
      </w:r>
    </w:p>
    <w:p>
      <w:pPr>
        <w:pStyle w:val="BodyText"/>
        <w:ind w:right="451" w:firstLine="730"/>
        <w:spacing w:before="142" w:line="269" w:lineRule="auto"/>
        <w:rPr>
          <w:sz w:val="29"/>
          <w:szCs w:val="29"/>
        </w:rPr>
      </w:pPr>
      <w:r>
        <w:rPr>
          <w:sz w:val="29"/>
          <w:szCs w:val="29"/>
          <w:spacing w:val="6"/>
        </w:rPr>
        <w:t>(1)除冬季开花的植物根据天气适量浇水外，保温防寒的植物以保持盆土</w:t>
      </w:r>
      <w:r>
        <w:rPr>
          <w:sz w:val="29"/>
          <w:szCs w:val="29"/>
        </w:rPr>
        <w:t xml:space="preserve"> </w:t>
      </w:r>
      <w:r>
        <w:rPr>
          <w:sz w:val="29"/>
          <w:szCs w:val="29"/>
          <w:spacing w:val="-1"/>
        </w:rPr>
        <w:t>湿润为度，一般苗木可不浇水；</w:t>
      </w:r>
    </w:p>
    <w:p>
      <w:pPr>
        <w:pStyle w:val="BodyText"/>
        <w:ind w:right="857" w:firstLine="730"/>
        <w:spacing w:before="146" w:line="272" w:lineRule="auto"/>
        <w:rPr>
          <w:sz w:val="29"/>
          <w:szCs w:val="29"/>
        </w:rPr>
      </w:pPr>
      <w:r>
        <w:rPr>
          <w:sz w:val="29"/>
          <w:szCs w:val="29"/>
          <w:spacing w:val="-2"/>
        </w:rPr>
        <w:t>(2)对2-3月新芽萌发较早的树种，如天竺桂、香樟等新种植苗木，应在</w:t>
      </w:r>
      <w:r>
        <w:rPr>
          <w:sz w:val="29"/>
          <w:szCs w:val="29"/>
          <w:spacing w:val="4"/>
        </w:rPr>
        <w:t xml:space="preserve"> </w:t>
      </w:r>
      <w:r>
        <w:rPr>
          <w:sz w:val="29"/>
          <w:szCs w:val="29"/>
          <w:spacing w:val="3"/>
        </w:rPr>
        <w:t>2月根据天气状况适时浇水；</w:t>
      </w:r>
    </w:p>
    <w:p>
      <w:pPr>
        <w:pStyle w:val="BodyText"/>
        <w:ind w:left="730"/>
        <w:spacing w:before="114" w:line="219" w:lineRule="auto"/>
        <w:rPr>
          <w:sz w:val="29"/>
          <w:szCs w:val="29"/>
        </w:rPr>
      </w:pPr>
      <w:r>
        <w:rPr>
          <w:sz w:val="29"/>
          <w:szCs w:val="29"/>
          <w:spacing w:val="19"/>
        </w:rPr>
        <w:t>(3)1月份完成冬季施肥(有机复合肥)工作；</w:t>
      </w:r>
    </w:p>
    <w:p>
      <w:pPr>
        <w:pStyle w:val="BodyText"/>
        <w:ind w:left="730"/>
        <w:spacing w:before="156" w:line="219" w:lineRule="auto"/>
        <w:rPr>
          <w:sz w:val="29"/>
          <w:szCs w:val="29"/>
        </w:rPr>
      </w:pPr>
      <w:r>
        <w:rPr>
          <w:sz w:val="29"/>
          <w:szCs w:val="29"/>
          <w:spacing w:val="7"/>
        </w:rPr>
        <w:t>(4)2月份对园区樱花、桃花、杜鹃进行花</w:t>
      </w:r>
      <w:r>
        <w:rPr>
          <w:sz w:val="29"/>
          <w:szCs w:val="29"/>
          <w:spacing w:val="6"/>
        </w:rPr>
        <w:t>前施肥。</w:t>
      </w:r>
    </w:p>
    <w:p>
      <w:pPr>
        <w:pStyle w:val="BodyText"/>
        <w:ind w:left="600"/>
        <w:spacing w:before="73" w:line="395" w:lineRule="exact"/>
        <w:rPr>
          <w:rFonts w:ascii="SimHei" w:hAnsi="SimHei" w:eastAsia="SimHei" w:cs="SimHei"/>
          <w:sz w:val="29"/>
          <w:szCs w:val="29"/>
        </w:rPr>
      </w:pPr>
      <w:r>
        <w:rPr>
          <w:rFonts w:ascii="Arial" w:hAnsi="Arial" w:eastAsia="Arial" w:cs="Arial"/>
          <w:sz w:val="29"/>
          <w:szCs w:val="29"/>
          <w:spacing w:val="1"/>
          <w:position w:val="1"/>
        </w:rPr>
        <w:t>3</w:t>
      </w:r>
      <w:r>
        <w:rPr>
          <w:sz w:val="29"/>
          <w:szCs w:val="29"/>
          <w:spacing w:val="1"/>
          <w:position w:val="1"/>
        </w:rPr>
        <w:t>、</w:t>
      </w:r>
      <w:r>
        <w:rPr>
          <w:rFonts w:ascii="SimHei" w:hAnsi="SimHei" w:eastAsia="SimHei" w:cs="SimHei"/>
          <w:sz w:val="29"/>
          <w:szCs w:val="29"/>
          <w:spacing w:val="1"/>
          <w:position w:val="1"/>
        </w:rPr>
        <w:t>病虫害防治</w:t>
      </w:r>
    </w:p>
    <w:p>
      <w:pPr>
        <w:pStyle w:val="BodyText"/>
        <w:ind w:left="600"/>
        <w:spacing w:before="160" w:line="219" w:lineRule="auto"/>
        <w:rPr>
          <w:sz w:val="29"/>
          <w:szCs w:val="29"/>
        </w:rPr>
      </w:pPr>
      <w:r>
        <w:rPr>
          <w:sz w:val="29"/>
          <w:szCs w:val="29"/>
          <w:spacing w:val="3"/>
        </w:rPr>
        <w:t>虫害：柑桔全爪螨</w:t>
      </w:r>
    </w:p>
    <w:p>
      <w:pPr>
        <w:pStyle w:val="BodyText"/>
        <w:ind w:left="600"/>
        <w:spacing w:before="89" w:line="224"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保洁</w:t>
      </w:r>
    </w:p>
    <w:p>
      <w:pPr>
        <w:pStyle w:val="BodyText"/>
        <w:ind w:right="450" w:firstLine="730"/>
        <w:spacing w:before="144"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13" w:firstLine="730"/>
        <w:spacing w:before="138" w:line="272"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1"/>
        </w:rPr>
        <w:t>售展示区)进行彻底清理。</w:t>
      </w:r>
    </w:p>
    <w:p>
      <w:pPr>
        <w:ind w:left="600"/>
        <w:spacing w:before="186" w:line="222" w:lineRule="auto"/>
        <w:rPr>
          <w:rFonts w:ascii="SimHei" w:hAnsi="SimHei" w:eastAsia="SimHei" w:cs="SimHei"/>
          <w:sz w:val="29"/>
          <w:szCs w:val="29"/>
        </w:rPr>
      </w:pPr>
      <w:r>
        <w:rPr>
          <w:rFonts w:ascii="SimHei" w:hAnsi="SimHei" w:eastAsia="SimHei" w:cs="SimHei"/>
          <w:sz w:val="29"/>
          <w:szCs w:val="29"/>
          <w:spacing w:val="7"/>
        </w:rPr>
        <w:t>5、时花摆放</w:t>
      </w:r>
    </w:p>
    <w:p>
      <w:pPr>
        <w:pStyle w:val="BodyText"/>
        <w:ind w:right="712" w:firstLine="730"/>
        <w:spacing w:before="89" w:line="270" w:lineRule="auto"/>
        <w:rPr>
          <w:sz w:val="29"/>
          <w:szCs w:val="29"/>
        </w:rPr>
      </w:pPr>
      <w:r>
        <w:rPr>
          <w:sz w:val="29"/>
          <w:szCs w:val="29"/>
          <w:spacing w:val="-2"/>
        </w:rPr>
        <w:t>(1)月初提交时花或假花需求计划，选择亮色花卉，安排腊月20号左右进</w:t>
      </w:r>
      <w:r>
        <w:rPr>
          <w:sz w:val="29"/>
          <w:szCs w:val="29"/>
          <w:spacing w:val="4"/>
        </w:rPr>
        <w:t xml:space="preserve"> </w:t>
      </w:r>
      <w:r>
        <w:rPr>
          <w:sz w:val="29"/>
          <w:szCs w:val="29"/>
          <w:spacing w:val="-12"/>
        </w:rPr>
        <w:t>场；</w:t>
      </w:r>
    </w:p>
    <w:p>
      <w:pPr>
        <w:pStyle w:val="BodyText"/>
        <w:ind w:left="730"/>
        <w:spacing w:before="152" w:line="219" w:lineRule="auto"/>
        <w:rPr>
          <w:sz w:val="29"/>
          <w:szCs w:val="29"/>
        </w:rPr>
      </w:pPr>
      <w:r>
        <w:rPr>
          <w:sz w:val="29"/>
          <w:szCs w:val="29"/>
          <w:spacing w:val="7"/>
        </w:rPr>
        <w:t>(2)春假放假前将时花摆放完毕，注意摆放外侧避免黑色</w:t>
      </w:r>
      <w:r>
        <w:rPr>
          <w:sz w:val="29"/>
          <w:szCs w:val="29"/>
          <w:spacing w:val="6"/>
        </w:rPr>
        <w:t>塑料盆出现。</w:t>
      </w:r>
    </w:p>
    <w:p>
      <w:pPr>
        <w:ind w:left="600"/>
        <w:spacing w:before="106" w:line="222" w:lineRule="auto"/>
        <w:rPr>
          <w:rFonts w:ascii="SimHei" w:hAnsi="SimHei" w:eastAsia="SimHei" w:cs="SimHei"/>
          <w:sz w:val="29"/>
          <w:szCs w:val="29"/>
        </w:rPr>
      </w:pPr>
      <w:r>
        <w:rPr>
          <w:rFonts w:ascii="SimHei" w:hAnsi="SimHei" w:eastAsia="SimHei" w:cs="SimHei"/>
          <w:sz w:val="29"/>
          <w:szCs w:val="29"/>
          <w:spacing w:val="-5"/>
        </w:rPr>
        <w:t>6、物资管理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10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30" w:firstLine="600"/>
        <w:spacing w:before="157" w:line="320" w:lineRule="auto"/>
        <w:rPr>
          <w:sz w:val="29"/>
          <w:szCs w:val="29"/>
        </w:rPr>
      </w:pPr>
      <w:r>
        <w:rPr>
          <w:sz w:val="29"/>
          <w:szCs w:val="29"/>
          <w:spacing w:val="2"/>
        </w:rPr>
        <w:t>每天绿化工人在保洁的同时要注意行人随意丢弃烟头现象，并对其进行防火</w:t>
      </w:r>
      <w:r>
        <w:rPr>
          <w:sz w:val="29"/>
          <w:szCs w:val="29"/>
          <w:spacing w:val="7"/>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5"/>
        </w:rPr>
        <w:t>防盗情况。</w:t>
      </w:r>
    </w:p>
    <w:p>
      <w:pPr>
        <w:spacing w:before="42"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600"/>
        <w:spacing w:before="119" w:line="220" w:lineRule="auto"/>
        <w:rPr>
          <w:sz w:val="29"/>
          <w:szCs w:val="29"/>
        </w:rPr>
      </w:pPr>
      <w:r>
        <w:rPr>
          <w:sz w:val="29"/>
          <w:szCs w:val="29"/>
          <w:spacing w:val="4"/>
        </w:rPr>
        <w:t>气温开始回升，但气温多变，预防出现倒春寒。</w:t>
      </w:r>
    </w:p>
    <w:p>
      <w:pPr>
        <w:spacing w:line="277" w:lineRule="auto"/>
        <w:rPr>
          <w:rFonts w:ascii="Arial"/>
          <w:sz w:val="21"/>
        </w:rPr>
      </w:pPr>
      <w:r/>
    </w:p>
    <w:p>
      <w:pPr>
        <w:spacing w:line="277" w:lineRule="auto"/>
        <w:rPr>
          <w:rFonts w:ascii="Arial"/>
          <w:sz w:val="21"/>
        </w:rPr>
      </w:pPr>
      <w:r/>
    </w:p>
    <w:p>
      <w:pPr>
        <w:pStyle w:val="BodyText"/>
        <w:ind w:left="600"/>
        <w:spacing w:before="96" w:line="192" w:lineRule="auto"/>
        <w:rPr>
          <w:rFonts w:ascii="SimHei" w:hAnsi="SimHei" w:eastAsia="SimHei" w:cs="SimHei"/>
          <w:sz w:val="29"/>
          <w:szCs w:val="29"/>
        </w:rPr>
      </w:pPr>
      <w:r>
        <w:rPr>
          <w:rFonts w:ascii="Arial" w:hAnsi="Arial" w:eastAsia="Arial" w:cs="Arial"/>
          <w:sz w:val="29"/>
          <w:szCs w:val="29"/>
          <w:spacing w:val="-7"/>
        </w:rPr>
        <w:t>1</w:t>
      </w:r>
      <w:r>
        <w:rPr>
          <w:sz w:val="29"/>
          <w:szCs w:val="29"/>
          <w:spacing w:val="-7"/>
        </w:rPr>
        <w:t>、</w:t>
      </w:r>
      <w:r>
        <w:rPr>
          <w:rFonts w:ascii="SimHei" w:hAnsi="SimHei" w:eastAsia="SimHei" w:cs="SimHei"/>
          <w:sz w:val="29"/>
          <w:szCs w:val="29"/>
          <w:spacing w:val="-7"/>
        </w:rPr>
        <w:t>现场检查</w:t>
      </w:r>
    </w:p>
    <w:p>
      <w:pPr>
        <w:spacing w:line="192" w:lineRule="auto"/>
        <w:sectPr>
          <w:footerReference w:type="default" r:id="rId677"/>
          <w:pgSz w:w="14490" w:h="20470"/>
          <w:pgMar w:top="400" w:right="1824" w:bottom="1997" w:left="2150" w:header="0" w:footer="1780" w:gutter="0"/>
        </w:sectPr>
        <w:rPr>
          <w:rFonts w:ascii="SimHei" w:hAnsi="SimHei" w:eastAsia="SimHei" w:cs="SimHei"/>
          <w:sz w:val="29"/>
          <w:szCs w:val="29"/>
        </w:rPr>
      </w:pP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left="580"/>
        <w:spacing w:before="94" w:line="219" w:lineRule="auto"/>
        <w:rPr>
          <w:sz w:val="29"/>
          <w:szCs w:val="29"/>
        </w:rPr>
      </w:pPr>
      <w:r>
        <w:rPr>
          <w:sz w:val="29"/>
          <w:szCs w:val="29"/>
          <w:spacing w:val="2"/>
        </w:rPr>
        <w:t>及时检查乔木支撑情况，发现松动或缺失立即加固</w:t>
      </w:r>
    </w:p>
    <w:p>
      <w:pPr>
        <w:pStyle w:val="BodyText"/>
        <w:ind w:left="580"/>
        <w:spacing w:before="103" w:line="221" w:lineRule="auto"/>
        <w:rPr>
          <w:rFonts w:ascii="SimHei" w:hAnsi="SimHei" w:eastAsia="SimHei" w:cs="SimHei"/>
          <w:sz w:val="29"/>
          <w:szCs w:val="29"/>
        </w:rPr>
      </w:pPr>
      <w:r>
        <w:rPr>
          <w:rFonts w:ascii="Arial" w:hAnsi="Arial" w:eastAsia="Arial" w:cs="Arial"/>
          <w:sz w:val="29"/>
          <w:szCs w:val="29"/>
          <w:spacing w:val="6"/>
        </w:rPr>
        <w:t>2</w:t>
      </w:r>
      <w:r>
        <w:rPr>
          <w:sz w:val="29"/>
          <w:szCs w:val="29"/>
          <w:spacing w:val="6"/>
        </w:rPr>
        <w:t>、</w:t>
      </w:r>
      <w:r>
        <w:rPr>
          <w:rFonts w:ascii="SimHei" w:hAnsi="SimHei" w:eastAsia="SimHei" w:cs="SimHei"/>
          <w:sz w:val="29"/>
          <w:szCs w:val="29"/>
          <w:spacing w:val="6"/>
        </w:rPr>
        <w:t>修剪</w:t>
      </w:r>
    </w:p>
    <w:p>
      <w:pPr>
        <w:pStyle w:val="BodyText"/>
        <w:ind w:right="449" w:firstLine="720"/>
        <w:spacing w:before="150" w:line="310" w:lineRule="auto"/>
        <w:rPr>
          <w:sz w:val="29"/>
          <w:szCs w:val="29"/>
        </w:rPr>
      </w:pPr>
      <w:r>
        <w:rPr>
          <w:sz w:val="29"/>
          <w:szCs w:val="29"/>
          <w:spacing w:val="-14"/>
        </w:rPr>
        <w:t>①</w:t>
      </w:r>
      <w:r>
        <w:rPr>
          <w:sz w:val="29"/>
          <w:szCs w:val="29"/>
          <w:spacing w:val="56"/>
        </w:rPr>
        <w:t xml:space="preserve">  </w:t>
      </w:r>
      <w:r>
        <w:rPr>
          <w:sz w:val="29"/>
          <w:szCs w:val="29"/>
          <w:spacing w:val="-14"/>
        </w:rPr>
        <w:t>下旬全园区乔木修剪一次，以整形修剪为主，同时去除苗木的折断枝、</w:t>
      </w:r>
      <w:r>
        <w:rPr>
          <w:sz w:val="29"/>
          <w:szCs w:val="29"/>
        </w:rPr>
        <w:t xml:space="preserve"> </w:t>
      </w:r>
      <w:r>
        <w:rPr>
          <w:sz w:val="29"/>
          <w:szCs w:val="29"/>
          <w:spacing w:val="-8"/>
        </w:rPr>
        <w:t>枯死枝、过密内膛枝；</w:t>
      </w:r>
    </w:p>
    <w:p>
      <w:pPr>
        <w:pStyle w:val="BodyText"/>
        <w:ind w:right="473" w:firstLine="720"/>
        <w:spacing w:before="2" w:line="319" w:lineRule="auto"/>
        <w:rPr>
          <w:sz w:val="29"/>
          <w:szCs w:val="29"/>
        </w:rPr>
      </w:pPr>
      <w:r>
        <w:rPr>
          <w:sz w:val="29"/>
          <w:szCs w:val="29"/>
          <w:spacing w:val="7"/>
        </w:rPr>
        <w:t>(2)3月上旬或中旬，及时修剪地被、草坪，疏</w:t>
      </w:r>
      <w:r>
        <w:rPr>
          <w:sz w:val="29"/>
          <w:szCs w:val="29"/>
          <w:spacing w:val="6"/>
        </w:rPr>
        <w:t>除枯草层，疏除的枯草集</w:t>
      </w:r>
      <w:r>
        <w:rPr>
          <w:sz w:val="29"/>
          <w:szCs w:val="29"/>
        </w:rPr>
        <w:t xml:space="preserve"> </w:t>
      </w:r>
      <w:r>
        <w:rPr>
          <w:sz w:val="29"/>
          <w:szCs w:val="29"/>
          <w:spacing w:val="-9"/>
        </w:rPr>
        <w:t>中烧毁。</w:t>
      </w:r>
    </w:p>
    <w:p>
      <w:pPr>
        <w:ind w:left="580"/>
        <w:spacing w:before="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91" w:line="219" w:lineRule="auto"/>
        <w:rPr>
          <w:sz w:val="29"/>
          <w:szCs w:val="29"/>
        </w:rPr>
      </w:pPr>
      <w:r>
        <w:rPr>
          <w:sz w:val="29"/>
          <w:szCs w:val="29"/>
          <w:spacing w:val="8"/>
        </w:rPr>
        <w:t>(1)3月下旬全园浇一遍返青水；</w:t>
      </w:r>
    </w:p>
    <w:p>
      <w:pPr>
        <w:pStyle w:val="BodyText"/>
        <w:ind w:left="720"/>
        <w:spacing w:before="165" w:line="217" w:lineRule="auto"/>
        <w:rPr>
          <w:sz w:val="29"/>
          <w:szCs w:val="29"/>
        </w:rPr>
      </w:pPr>
      <w:r>
        <w:rPr>
          <w:sz w:val="29"/>
          <w:szCs w:val="29"/>
          <w:spacing w:val="16"/>
        </w:rPr>
        <w:t>②  月底全园施有机复合肥(有机质含量45%)一次。</w:t>
      </w:r>
    </w:p>
    <w:p>
      <w:pPr>
        <w:pStyle w:val="BodyText"/>
        <w:ind w:left="580"/>
        <w:spacing w:before="110"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720"/>
        <w:spacing w:before="145" w:line="219" w:lineRule="auto"/>
        <w:rPr>
          <w:sz w:val="29"/>
          <w:szCs w:val="29"/>
        </w:rPr>
      </w:pPr>
      <w:r>
        <w:rPr>
          <w:sz w:val="29"/>
          <w:szCs w:val="29"/>
          <w:spacing w:val="8"/>
        </w:rPr>
        <w:t>(1)病害：根腐病、流胶病等；</w:t>
      </w:r>
    </w:p>
    <w:p>
      <w:pPr>
        <w:pStyle w:val="BodyText"/>
        <w:ind w:right="343" w:firstLine="720"/>
        <w:spacing w:before="146" w:line="272" w:lineRule="auto"/>
        <w:rPr>
          <w:sz w:val="29"/>
          <w:szCs w:val="29"/>
        </w:rPr>
      </w:pPr>
      <w:r>
        <w:rPr>
          <w:sz w:val="29"/>
          <w:szCs w:val="29"/>
          <w:spacing w:val="6"/>
        </w:rPr>
        <w:t>(2)虫害：柑桔全爪螨、咖啡木蠹蛾、葡萄透翅蛾、柏肤小蠹、松纵坑切</w:t>
      </w:r>
      <w:r>
        <w:rPr>
          <w:sz w:val="29"/>
          <w:szCs w:val="29"/>
          <w:spacing w:val="7"/>
        </w:rPr>
        <w:t xml:space="preserve"> </w:t>
      </w:r>
      <w:r>
        <w:rPr>
          <w:sz w:val="29"/>
          <w:szCs w:val="29"/>
          <w:spacing w:val="-1"/>
        </w:rPr>
        <w:t>梢小蠹、白蚁、玉带凤蝶等。</w:t>
      </w:r>
    </w:p>
    <w:p>
      <w:pPr>
        <w:pStyle w:val="BodyText"/>
        <w:ind w:left="580"/>
        <w:spacing w:before="136"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49" w:firstLine="720"/>
        <w:spacing w:before="8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43" w:firstLine="72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pStyle w:val="BodyText"/>
        <w:ind w:left="720"/>
        <w:spacing w:before="164" w:line="219" w:lineRule="auto"/>
        <w:rPr>
          <w:sz w:val="29"/>
          <w:szCs w:val="29"/>
        </w:rPr>
      </w:pPr>
      <w:r>
        <w:rPr>
          <w:sz w:val="29"/>
          <w:szCs w:val="29"/>
          <w:spacing w:val="7"/>
        </w:rPr>
        <w:t>(3)与物业、工程部及时沟通，择机将湖</w:t>
      </w:r>
      <w:r>
        <w:rPr>
          <w:sz w:val="29"/>
          <w:szCs w:val="29"/>
          <w:spacing w:val="6"/>
        </w:rPr>
        <w:t>底清洗一遍并及时注水。</w:t>
      </w:r>
    </w:p>
    <w:p>
      <w:pPr>
        <w:ind w:left="580"/>
        <w:spacing w:before="96"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51" w:firstLine="720"/>
        <w:spacing w:before="14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9"/>
        </w:rPr>
        <w:t>危险品；</w:t>
      </w:r>
    </w:p>
    <w:p>
      <w:pPr>
        <w:pStyle w:val="BodyText"/>
        <w:ind w:right="348" w:firstLine="720"/>
        <w:spacing w:before="154" w:line="267"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4"/>
        </w:rPr>
        <w:t>其它物资。</w:t>
      </w:r>
    </w:p>
    <w:p>
      <w:pPr>
        <w:pStyle w:val="BodyText"/>
        <w:ind w:left="580"/>
        <w:spacing w:before="178"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80"/>
        <w:spacing w:before="53" w:line="320" w:lineRule="auto"/>
        <w:rPr>
          <w:sz w:val="29"/>
          <w:szCs w:val="29"/>
        </w:rPr>
      </w:pPr>
      <w:r>
        <w:rPr>
          <w:sz w:val="29"/>
          <w:szCs w:val="29"/>
          <w:spacing w:val="-2"/>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4"/>
        </w:rPr>
        <w:t>防盗情况。</w:t>
      </w:r>
    </w:p>
    <w:p>
      <w:pPr>
        <w:pStyle w:val="BodyText"/>
        <w:ind w:left="580"/>
        <w:spacing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防寒拆除</w:t>
      </w:r>
    </w:p>
    <w:p>
      <w:pPr>
        <w:pStyle w:val="BodyText"/>
        <w:ind w:right="301" w:firstLine="580"/>
        <w:spacing w:before="90" w:line="320" w:lineRule="auto"/>
        <w:rPr>
          <w:sz w:val="29"/>
          <w:szCs w:val="29"/>
        </w:rPr>
      </w:pPr>
      <w:r>
        <w:rPr>
          <w:sz w:val="29"/>
          <w:szCs w:val="29"/>
          <w:spacing w:val="-6"/>
        </w:rPr>
        <w:t>根据天气循序渐进拆除防寒，3月中上旬在防寒障地侧通风透气，此后根据天</w:t>
      </w:r>
      <w:r>
        <w:rPr>
          <w:sz w:val="29"/>
          <w:szCs w:val="29"/>
          <w:spacing w:val="11"/>
        </w:rPr>
        <w:t xml:space="preserve"> </w:t>
      </w:r>
      <w:r>
        <w:rPr>
          <w:sz w:val="29"/>
          <w:szCs w:val="29"/>
          <w:spacing w:val="-4"/>
        </w:rPr>
        <w:t>气状况逐步拆除，3月底将防寒设施全部拆除。</w:t>
      </w:r>
    </w:p>
    <w:p>
      <w:pPr>
        <w:spacing w:before="65"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580"/>
        <w:spacing w:before="120" w:line="220" w:lineRule="auto"/>
        <w:rPr>
          <w:sz w:val="29"/>
          <w:szCs w:val="29"/>
        </w:rPr>
      </w:pPr>
      <w:r>
        <w:rPr>
          <w:sz w:val="29"/>
          <w:szCs w:val="29"/>
          <w:spacing w:val="5"/>
        </w:rPr>
        <w:t>天气开始回升，注意病虫害防治。</w:t>
      </w:r>
    </w:p>
    <w:p>
      <w:pPr>
        <w:pStyle w:val="BodyText"/>
        <w:ind w:left="580"/>
        <w:spacing w:before="312" w:line="201" w:lineRule="auto"/>
        <w:rPr>
          <w:rFonts w:ascii="SimHei" w:hAnsi="SimHei" w:eastAsia="SimHei" w:cs="SimHei"/>
          <w:sz w:val="29"/>
          <w:szCs w:val="29"/>
        </w:rPr>
      </w:pPr>
      <w:r>
        <w:rPr>
          <w:rFonts w:ascii="Arial" w:hAnsi="Arial" w:eastAsia="Arial" w:cs="Arial"/>
          <w:sz w:val="29"/>
          <w:szCs w:val="29"/>
          <w:spacing w:val="-4"/>
        </w:rPr>
        <w:t>1</w:t>
      </w:r>
      <w:r>
        <w:rPr>
          <w:sz w:val="29"/>
          <w:szCs w:val="29"/>
          <w:spacing w:val="-4"/>
        </w:rPr>
        <w:t>、</w:t>
      </w:r>
      <w:r>
        <w:rPr>
          <w:rFonts w:ascii="SimHei" w:hAnsi="SimHei" w:eastAsia="SimHei" w:cs="SimHei"/>
          <w:sz w:val="29"/>
          <w:szCs w:val="29"/>
          <w:spacing w:val="-4"/>
        </w:rPr>
        <w:t>现场检查</w:t>
      </w:r>
    </w:p>
    <w:p>
      <w:pPr>
        <w:spacing w:line="201" w:lineRule="auto"/>
        <w:sectPr>
          <w:footerReference w:type="default" r:id="rId678"/>
          <w:pgSz w:w="14490" w:h="20470"/>
          <w:pgMar w:top="400" w:right="1925" w:bottom="1983" w:left="2160" w:header="0" w:footer="1785" w:gutter="0"/>
        </w:sectPr>
        <w:rPr>
          <w:rFonts w:ascii="SimHei" w:hAnsi="SimHei" w:eastAsia="SimHei" w:cs="SimHei"/>
          <w:sz w:val="29"/>
          <w:szCs w:val="29"/>
        </w:rPr>
      </w:pPr>
    </w:p>
    <w:p>
      <w:pPr>
        <w:pStyle w:val="BodyText"/>
        <w:ind w:left="570"/>
        <w:spacing w:before="99"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401" w:firstLine="680"/>
        <w:spacing w:before="152" w:line="273" w:lineRule="auto"/>
        <w:tabs>
          <w:tab w:val="left" w:pos="168"/>
        </w:tabs>
        <w:rPr>
          <w:rFonts w:ascii="Times New Roman" w:hAnsi="Times New Roman" w:eastAsia="Times New Roman" w:cs="Times New Roman"/>
          <w:sz w:val="29"/>
          <w:szCs w:val="29"/>
        </w:rPr>
      </w:pPr>
      <w:r>
        <w:rPr>
          <w:sz w:val="29"/>
          <w:szCs w:val="29"/>
          <w:spacing w:val="7"/>
        </w:rPr>
        <w:t>(1)地被草坪：气温基本稳定后，地被长势旺盛，需加强地被草坪的修剪</w:t>
      </w:r>
      <w:r>
        <w:rPr>
          <w:sz w:val="29"/>
          <w:szCs w:val="29"/>
          <w:spacing w:val="16"/>
        </w:rPr>
        <w:t xml:space="preserve"> </w:t>
      </w:r>
      <w:r>
        <w:rPr>
          <w:sz w:val="29"/>
          <w:szCs w:val="29"/>
        </w:rPr>
        <w:tab/>
      </w:r>
      <w:r>
        <w:rPr>
          <w:sz w:val="29"/>
          <w:szCs w:val="29"/>
          <w:spacing w:val="6"/>
        </w:rPr>
        <w:t>(地被修剪注意更新枝的保留),保持地被线饱满、流畅，地被高度不超过</w:t>
      </w:r>
      <w:r>
        <w:rPr>
          <w:sz w:val="29"/>
          <w:szCs w:val="29"/>
          <w:spacing w:val="5"/>
        </w:rPr>
        <w:t>修剪</w:t>
      </w:r>
      <w:r>
        <w:rPr>
          <w:sz w:val="29"/>
          <w:szCs w:val="29"/>
        </w:rPr>
        <w:t xml:space="preserve"> </w:t>
      </w:r>
      <w:r>
        <w:rPr>
          <w:sz w:val="29"/>
          <w:szCs w:val="29"/>
          <w:spacing w:val="-10"/>
        </w:rPr>
        <w:t>面8</w:t>
      </w:r>
      <w:r>
        <w:rPr>
          <w:rFonts w:ascii="Times New Roman" w:hAnsi="Times New Roman" w:eastAsia="Times New Roman" w:cs="Times New Roman"/>
          <w:sz w:val="29"/>
          <w:szCs w:val="29"/>
          <w:spacing w:val="-10"/>
        </w:rPr>
        <w:t>cm;</w:t>
      </w:r>
    </w:p>
    <w:p>
      <w:pPr>
        <w:pStyle w:val="BodyText"/>
        <w:ind w:left="680"/>
        <w:spacing w:before="186" w:line="219" w:lineRule="auto"/>
        <w:rPr>
          <w:sz w:val="29"/>
          <w:szCs w:val="29"/>
        </w:rPr>
      </w:pPr>
      <w:r>
        <w:rPr>
          <w:sz w:val="29"/>
          <w:szCs w:val="29"/>
          <w:spacing w:val="7"/>
        </w:rPr>
        <w:t>(2)乔木以调整树势为主，对苗木的内膛枝、徒长枝、平行枝、下垂枝、</w:t>
      </w:r>
    </w:p>
    <w:p>
      <w:pPr>
        <w:pStyle w:val="BodyText"/>
        <w:spacing w:before="155" w:line="219" w:lineRule="auto"/>
        <w:rPr>
          <w:sz w:val="29"/>
          <w:szCs w:val="29"/>
        </w:rPr>
      </w:pPr>
      <w:r>
        <w:rPr>
          <w:sz w:val="29"/>
          <w:szCs w:val="29"/>
          <w:spacing w:val="-9"/>
        </w:rPr>
        <w:t>病虫枝、萌蘖枝等修剪到位，并要做到剪口平滑，对于较大的剪口要进行防</w:t>
      </w:r>
      <w:r>
        <w:rPr>
          <w:sz w:val="29"/>
          <w:szCs w:val="29"/>
          <w:spacing w:val="-10"/>
        </w:rPr>
        <w:t>腐处理；</w:t>
      </w:r>
    </w:p>
    <w:p>
      <w:pPr>
        <w:pStyle w:val="BodyText"/>
        <w:ind w:left="680"/>
        <w:spacing w:before="124" w:line="219" w:lineRule="auto"/>
        <w:rPr>
          <w:sz w:val="29"/>
          <w:szCs w:val="29"/>
        </w:rPr>
      </w:pPr>
      <w:r>
        <w:rPr>
          <w:sz w:val="29"/>
          <w:szCs w:val="29"/>
          <w:spacing w:val="8"/>
        </w:rPr>
        <w:t>(3)生长过量的灌木在新芽刚刚开始膨大时进行回缩。</w:t>
      </w:r>
    </w:p>
    <w:p>
      <w:pPr>
        <w:pStyle w:val="BodyText"/>
        <w:ind w:left="570"/>
        <w:spacing w:before="75"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368" w:firstLine="1340"/>
        <w:spacing w:before="158" w:line="307" w:lineRule="auto"/>
        <w:rPr>
          <w:sz w:val="29"/>
          <w:szCs w:val="29"/>
        </w:rPr>
      </w:pPr>
      <w:r>
        <w:rPr>
          <w:sz w:val="29"/>
          <w:szCs w:val="29"/>
          <w:spacing w:val="7"/>
        </w:rPr>
        <w:t>对地被、草皮，四月中下旬全园区施有机复合肥(有机质含量45 %以</w:t>
      </w:r>
      <w:r>
        <w:rPr>
          <w:sz w:val="29"/>
          <w:szCs w:val="29"/>
          <w:spacing w:val="6"/>
        </w:rPr>
        <w:t xml:space="preserve"> </w:t>
      </w:r>
      <w:r>
        <w:rPr>
          <w:sz w:val="29"/>
          <w:szCs w:val="29"/>
          <w:spacing w:val="-5"/>
        </w:rPr>
        <w:t>上)一次，若苗木长势好可追施有机复合肥一次，若长势不佳则</w:t>
      </w:r>
      <w:r>
        <w:rPr>
          <w:sz w:val="29"/>
          <w:szCs w:val="29"/>
          <w:spacing w:val="-6"/>
        </w:rPr>
        <w:t>追施无机复合肥</w:t>
      </w:r>
    </w:p>
    <w:p>
      <w:pPr>
        <w:pStyle w:val="BodyText"/>
        <w:ind w:left="179"/>
        <w:spacing w:before="4" w:line="219" w:lineRule="auto"/>
        <w:rPr>
          <w:sz w:val="29"/>
          <w:szCs w:val="29"/>
        </w:rPr>
      </w:pPr>
      <w:r>
        <w:rPr>
          <w:sz w:val="29"/>
          <w:szCs w:val="29"/>
          <w:spacing w:val="10"/>
        </w:rPr>
        <w:t>(高氮低磷中钾)一次；</w:t>
      </w:r>
    </w:p>
    <w:p>
      <w:pPr>
        <w:pStyle w:val="BodyText"/>
        <w:ind w:left="680"/>
        <w:spacing w:before="156" w:line="219" w:lineRule="auto"/>
        <w:rPr>
          <w:sz w:val="29"/>
          <w:szCs w:val="29"/>
        </w:rPr>
      </w:pPr>
      <w:r>
        <w:rPr>
          <w:sz w:val="29"/>
          <w:szCs w:val="29"/>
          <w:spacing w:val="11"/>
        </w:rPr>
        <w:t>复   乔木与大灌木穴施以无机复合肥(1%的尿</w:t>
      </w:r>
      <w:r>
        <w:rPr>
          <w:sz w:val="29"/>
          <w:szCs w:val="29"/>
          <w:spacing w:val="10"/>
        </w:rPr>
        <w:t>素+磷酸二氢钾)为主；</w:t>
      </w:r>
    </w:p>
    <w:p>
      <w:pPr>
        <w:pStyle w:val="BodyText"/>
        <w:ind w:left="680"/>
        <w:spacing w:before="146" w:line="219" w:lineRule="auto"/>
        <w:rPr>
          <w:sz w:val="29"/>
          <w:szCs w:val="29"/>
        </w:rPr>
      </w:pPr>
      <w:r>
        <w:rPr>
          <w:rFonts w:ascii="Times New Roman" w:hAnsi="Times New Roman" w:eastAsia="Times New Roman" w:cs="Times New Roman"/>
          <w:sz w:val="29"/>
          <w:szCs w:val="29"/>
          <w:spacing w:val="1"/>
        </w:rPr>
        <w:t>3      </w:t>
      </w:r>
      <w:r>
        <w:rPr>
          <w:sz w:val="29"/>
          <w:szCs w:val="29"/>
          <w:spacing w:val="1"/>
        </w:rPr>
        <w:t>全园再浇一次返青水，特别是大树，保证浇透；</w:t>
      </w:r>
    </w:p>
    <w:p>
      <w:pPr>
        <w:pStyle w:val="BodyText"/>
        <w:ind w:left="680"/>
        <w:spacing w:before="146" w:line="219" w:lineRule="auto"/>
        <w:rPr>
          <w:sz w:val="29"/>
          <w:szCs w:val="29"/>
        </w:rPr>
      </w:pPr>
      <w:r>
        <w:rPr>
          <w:rFonts w:ascii="Times New Roman" w:hAnsi="Times New Roman" w:eastAsia="Times New Roman" w:cs="Times New Roman"/>
          <w:sz w:val="29"/>
          <w:szCs w:val="29"/>
          <w:spacing w:val="3"/>
        </w:rPr>
        <w:t>4      </w:t>
      </w:r>
      <w:r>
        <w:rPr>
          <w:sz w:val="29"/>
          <w:szCs w:val="29"/>
          <w:spacing w:val="3"/>
        </w:rPr>
        <w:t>每周全园浇水一次，如土壤板结可配合打孔，有利于</w:t>
      </w:r>
      <w:r>
        <w:rPr>
          <w:sz w:val="29"/>
          <w:szCs w:val="29"/>
          <w:spacing w:val="2"/>
        </w:rPr>
        <w:t>土壤渗水吸收。</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680"/>
        <w:spacing w:before="146" w:line="219" w:lineRule="auto"/>
        <w:rPr>
          <w:sz w:val="29"/>
          <w:szCs w:val="29"/>
        </w:rPr>
      </w:pPr>
      <w:r>
        <w:rPr>
          <w:sz w:val="29"/>
          <w:szCs w:val="29"/>
          <w:spacing w:val="5"/>
        </w:rPr>
        <w:t>(1)病害：炭疽病、叶斑类病害、锈病、根腐病、流胶病等；</w:t>
      </w:r>
    </w:p>
    <w:p>
      <w:pPr>
        <w:pStyle w:val="BodyText"/>
        <w:ind w:right="344" w:firstLine="680"/>
        <w:spacing w:before="133" w:line="281" w:lineRule="auto"/>
        <w:rPr>
          <w:sz w:val="29"/>
          <w:szCs w:val="29"/>
        </w:rPr>
      </w:pPr>
      <w:r>
        <w:rPr>
          <w:sz w:val="29"/>
          <w:szCs w:val="29"/>
          <w:spacing w:val="7"/>
        </w:rPr>
        <w:t>(2)虫害：大青叶蝉、桃蚜、桃粉蚜、桃瘤蚜、梨网冠蝽、柑桔全爪螨、</w:t>
      </w:r>
      <w:r>
        <w:rPr>
          <w:sz w:val="29"/>
          <w:szCs w:val="29"/>
          <w:spacing w:val="18"/>
        </w:rPr>
        <w:t xml:space="preserve"> </w:t>
      </w:r>
      <w:r>
        <w:rPr>
          <w:sz w:val="29"/>
          <w:szCs w:val="29"/>
          <w:spacing w:val="-8"/>
        </w:rPr>
        <w:t>桔绿粉虱、星天牛、咖啡木蠹蛾、葡萄透翅蛾、白杨透翅蛾、柏肤小蠹、松</w:t>
      </w:r>
      <w:r>
        <w:rPr>
          <w:sz w:val="29"/>
          <w:szCs w:val="29"/>
          <w:spacing w:val="-9"/>
        </w:rPr>
        <w:t>纵坑切</w:t>
      </w:r>
      <w:r>
        <w:rPr>
          <w:sz w:val="29"/>
          <w:szCs w:val="29"/>
        </w:rPr>
        <w:t xml:space="preserve"> </w:t>
      </w:r>
      <w:r>
        <w:rPr>
          <w:sz w:val="29"/>
          <w:szCs w:val="29"/>
          <w:spacing w:val="1"/>
        </w:rPr>
        <w:t>梢小蠹、白蚁、玉带凤蝶、樟叶蜂、柳蓝叶甲、枸桔潜跳甲等。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70" w:firstLine="680"/>
        <w:spacing w:before="94" w:line="268"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1"/>
        </w:rPr>
        <w:t>池、灯杆、垃圾桶保持干净；</w:t>
      </w:r>
    </w:p>
    <w:p>
      <w:pPr>
        <w:pStyle w:val="BodyText"/>
        <w:ind w:right="463" w:firstLine="680"/>
        <w:spacing w:before="147" w:line="269" w:lineRule="auto"/>
        <w:rPr>
          <w:sz w:val="29"/>
          <w:szCs w:val="29"/>
        </w:rPr>
      </w:pPr>
      <w:r>
        <w:rPr>
          <w:sz w:val="29"/>
          <w:szCs w:val="29"/>
          <w:spacing w:val="4"/>
        </w:rPr>
        <w:t>(2)</w:t>
      </w:r>
      <w:r>
        <w:rPr>
          <w:sz w:val="29"/>
          <w:szCs w:val="29"/>
          <w:spacing w:val="8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pStyle w:val="BodyText"/>
        <w:ind w:left="570"/>
        <w:spacing w:before="134"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680"/>
        <w:spacing w:before="107" w:line="219" w:lineRule="auto"/>
        <w:rPr>
          <w:sz w:val="29"/>
          <w:szCs w:val="29"/>
        </w:rPr>
      </w:pPr>
      <w:r>
        <w:rPr>
          <w:sz w:val="29"/>
          <w:szCs w:val="29"/>
          <w:spacing w:val="5"/>
        </w:rPr>
        <w:t>(1)月初提交时花需求计划，选择亮色花卉，安排下旬进场；</w:t>
      </w:r>
    </w:p>
    <w:p>
      <w:pPr>
        <w:pStyle w:val="BodyText"/>
        <w:ind w:left="680"/>
        <w:spacing w:before="11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4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14"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71" w:line="395"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right="473" w:firstLine="570"/>
        <w:spacing w:before="168" w:line="308" w:lineRule="auto"/>
        <w:rPr>
          <w:sz w:val="29"/>
          <w:szCs w:val="29"/>
        </w:rPr>
      </w:pPr>
      <w:r>
        <w:rPr>
          <w:sz w:val="29"/>
          <w:szCs w:val="29"/>
          <w:spacing w:val="-4"/>
        </w:rPr>
        <w:t>每天绿化工人在保洁的同时要注意行人随意丢弃烟头现象，并对其进行防火</w:t>
      </w:r>
      <w:r>
        <w:rPr>
          <w:sz w:val="29"/>
          <w:szCs w:val="29"/>
          <w:spacing w:val="12"/>
        </w:rPr>
        <w:t xml:space="preserve"> </w:t>
      </w:r>
      <w:r>
        <w:rPr>
          <w:sz w:val="29"/>
          <w:szCs w:val="29"/>
          <w:spacing w:val="-10"/>
        </w:rPr>
        <w:t>教育，加强防火意识。及时清扫落叶、树挂，</w:t>
      </w:r>
      <w:r>
        <w:rPr>
          <w:sz w:val="29"/>
          <w:szCs w:val="29"/>
          <w:spacing w:val="-11"/>
        </w:rPr>
        <w:t>消除火灾隐患。同时注意库房的防</w:t>
      </w:r>
    </w:p>
    <w:p>
      <w:pPr>
        <w:spacing w:line="308" w:lineRule="auto"/>
        <w:sectPr>
          <w:headerReference w:type="default" r:id="rId679"/>
          <w:footerReference w:type="default" r:id="rId680"/>
          <w:pgSz w:w="14490" w:h="20470"/>
          <w:pgMar w:top="2189" w:right="1844" w:bottom="1447" w:left="2150" w:header="1743"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火、防盗情况。</w:t>
      </w:r>
    </w:p>
    <w:p>
      <w:pPr>
        <w:spacing w:before="146" w:line="223" w:lineRule="auto"/>
        <w:rPr>
          <w:rFonts w:ascii="SimHei" w:hAnsi="SimHei" w:eastAsia="SimHei" w:cs="SimHei"/>
          <w:sz w:val="29"/>
          <w:szCs w:val="29"/>
        </w:rPr>
      </w:pPr>
      <w:r>
        <w:rPr>
          <w:rFonts w:ascii="SimHei" w:hAnsi="SimHei" w:eastAsia="SimHei" w:cs="SimHei"/>
          <w:sz w:val="29"/>
          <w:szCs w:val="29"/>
          <w:spacing w:val="9"/>
        </w:rPr>
        <w:t>五月份</w:t>
      </w:r>
    </w:p>
    <w:p>
      <w:pPr>
        <w:pStyle w:val="BodyText"/>
        <w:ind w:left="600"/>
        <w:spacing w:before="209" w:line="219" w:lineRule="auto"/>
        <w:rPr>
          <w:sz w:val="29"/>
          <w:szCs w:val="29"/>
        </w:rPr>
      </w:pPr>
      <w:r>
        <w:rPr>
          <w:sz w:val="29"/>
          <w:szCs w:val="29"/>
          <w:spacing w:val="3"/>
        </w:rPr>
        <w:t>气温急骤上升，树木生长迅速，注意病虫害防治，及时补充水分。</w:t>
      </w:r>
    </w:p>
    <w:p>
      <w:pPr>
        <w:pStyle w:val="BodyText"/>
        <w:ind w:left="600"/>
        <w:spacing w:before="233"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right="339" w:firstLine="730"/>
        <w:spacing w:before="154" w:line="266" w:lineRule="auto"/>
        <w:rPr>
          <w:sz w:val="29"/>
          <w:szCs w:val="29"/>
        </w:rPr>
      </w:pPr>
      <w:r>
        <w:rPr>
          <w:sz w:val="29"/>
          <w:szCs w:val="29"/>
          <w:spacing w:val="6"/>
        </w:rPr>
        <w:t>(1)及时检查乔木支撑情况，发现松动或缺失立即加固，苗木有歪斜的及</w:t>
      </w:r>
      <w:r>
        <w:rPr>
          <w:sz w:val="29"/>
          <w:szCs w:val="29"/>
          <w:spacing w:val="1"/>
        </w:rPr>
        <w:t xml:space="preserve"> </w:t>
      </w:r>
      <w:r>
        <w:rPr>
          <w:sz w:val="29"/>
          <w:szCs w:val="29"/>
          <w:spacing w:val="-11"/>
        </w:rPr>
        <w:t>时扶正；</w:t>
      </w:r>
    </w:p>
    <w:p>
      <w:pPr>
        <w:pStyle w:val="BodyText"/>
        <w:ind w:right="341" w:firstLine="730"/>
        <w:spacing w:before="152" w:line="266" w:lineRule="auto"/>
        <w:rPr>
          <w:sz w:val="29"/>
          <w:szCs w:val="29"/>
        </w:rPr>
      </w:pPr>
      <w:r>
        <w:rPr>
          <w:sz w:val="29"/>
          <w:szCs w:val="29"/>
          <w:spacing w:val="6"/>
        </w:rPr>
        <w:t>(2)检查草坪覆盖率，对返青不好的、斑秃、病虫害区域及时更换草皮或</w:t>
      </w:r>
      <w:r>
        <w:rPr>
          <w:sz w:val="29"/>
          <w:szCs w:val="29"/>
        </w:rPr>
        <w:t xml:space="preserve"> </w:t>
      </w:r>
      <w:r>
        <w:rPr>
          <w:sz w:val="29"/>
          <w:szCs w:val="29"/>
          <w:spacing w:val="-7"/>
        </w:rPr>
        <w:t>消杀病虫害；</w:t>
      </w:r>
    </w:p>
    <w:p>
      <w:pPr>
        <w:pStyle w:val="BodyText"/>
        <w:ind w:right="343" w:firstLine="730"/>
        <w:spacing w:before="156" w:line="259" w:lineRule="auto"/>
        <w:rPr>
          <w:sz w:val="29"/>
          <w:szCs w:val="29"/>
        </w:rPr>
      </w:pPr>
      <w:r>
        <w:rPr>
          <w:sz w:val="29"/>
          <w:szCs w:val="29"/>
          <w:spacing w:val="6"/>
        </w:rPr>
        <w:t>(3)贵重乔木：大门口及其他区域的造型树注意病虫害防治和修剪</w:t>
      </w:r>
      <w:r>
        <w:rPr>
          <w:sz w:val="29"/>
          <w:szCs w:val="29"/>
          <w:spacing w:val="5"/>
        </w:rPr>
        <w:t>，保持</w:t>
      </w:r>
      <w:r>
        <w:rPr>
          <w:sz w:val="29"/>
          <w:szCs w:val="29"/>
        </w:rPr>
        <w:t xml:space="preserve"> </w:t>
      </w:r>
      <w:r>
        <w:rPr>
          <w:sz w:val="29"/>
          <w:szCs w:val="29"/>
          <w:spacing w:val="-2"/>
        </w:rPr>
        <w:t>树形。</w:t>
      </w:r>
    </w:p>
    <w:p>
      <w:pPr>
        <w:ind w:left="600"/>
        <w:spacing w:before="19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41" w:firstLine="730"/>
        <w:spacing w:before="103" w:line="256" w:lineRule="auto"/>
        <w:rPr>
          <w:sz w:val="29"/>
          <w:szCs w:val="29"/>
        </w:rPr>
      </w:pPr>
      <w:r>
        <w:rPr>
          <w:sz w:val="29"/>
          <w:szCs w:val="29"/>
          <w:spacing w:val="6"/>
        </w:rPr>
        <w:t>(1)对园区干枯枝、萌蘖枝进行清除，对开花灌木进行花后修剪、对乔木</w:t>
      </w:r>
      <w:r>
        <w:rPr>
          <w:sz w:val="29"/>
          <w:szCs w:val="29"/>
        </w:rPr>
        <w:t xml:space="preserve"> </w:t>
      </w:r>
      <w:r>
        <w:rPr>
          <w:sz w:val="29"/>
          <w:szCs w:val="29"/>
          <w:spacing w:val="-3"/>
        </w:rPr>
        <w:t>进行适当修剪，除萌蘖；</w:t>
      </w:r>
    </w:p>
    <w:p>
      <w:pPr>
        <w:pStyle w:val="BodyText"/>
        <w:ind w:right="339" w:firstLine="730"/>
        <w:spacing w:before="164" w:line="266" w:lineRule="auto"/>
        <w:rPr>
          <w:sz w:val="29"/>
          <w:szCs w:val="29"/>
        </w:rPr>
      </w:pPr>
      <w:r>
        <w:rPr>
          <w:sz w:val="29"/>
          <w:szCs w:val="29"/>
          <w:spacing w:val="6"/>
        </w:rPr>
        <w:t>(2)随着温度上升，草坪地被杂草开始大量出现，须及时除杂草，做到除</w:t>
      </w:r>
      <w:r>
        <w:rPr>
          <w:sz w:val="29"/>
          <w:szCs w:val="29"/>
          <w:spacing w:val="1"/>
        </w:rPr>
        <w:t xml:space="preserve"> </w:t>
      </w:r>
      <w:r>
        <w:rPr>
          <w:sz w:val="29"/>
          <w:szCs w:val="29"/>
          <w:spacing w:val="-2"/>
        </w:rPr>
        <w:t>早、除小、除了；</w:t>
      </w:r>
    </w:p>
    <w:p>
      <w:pPr>
        <w:pStyle w:val="BodyText"/>
        <w:ind w:right="330" w:firstLine="730"/>
        <w:spacing w:before="164" w:line="266" w:lineRule="auto"/>
        <w:rPr>
          <w:sz w:val="29"/>
          <w:szCs w:val="29"/>
        </w:rPr>
      </w:pPr>
      <w:r>
        <w:rPr>
          <w:sz w:val="29"/>
          <w:szCs w:val="29"/>
          <w:spacing w:val="-2"/>
        </w:rPr>
        <w:t>(3)根据实际情况对草坪进行修剪。具体修</w:t>
      </w:r>
      <w:r>
        <w:rPr>
          <w:sz w:val="29"/>
          <w:szCs w:val="29"/>
          <w:spacing w:val="-3"/>
        </w:rPr>
        <w:t>剪次数依据现场实际情况而定，</w:t>
      </w:r>
      <w:r>
        <w:rPr>
          <w:sz w:val="29"/>
          <w:szCs w:val="29"/>
        </w:rPr>
        <w:t xml:space="preserve"> </w:t>
      </w:r>
      <w:r>
        <w:rPr>
          <w:sz w:val="29"/>
          <w:szCs w:val="29"/>
          <w:spacing w:val="-3"/>
        </w:rPr>
        <w:t>高度保持4-5</w:t>
      </w:r>
      <w:r>
        <w:rPr>
          <w:rFonts w:ascii="Times New Roman" w:hAnsi="Times New Roman" w:eastAsia="Times New Roman" w:cs="Times New Roman"/>
          <w:sz w:val="29"/>
          <w:szCs w:val="29"/>
          <w:spacing w:val="-3"/>
        </w:rPr>
        <w:t>cm</w:t>
      </w:r>
      <w:r>
        <w:rPr>
          <w:sz w:val="29"/>
          <w:szCs w:val="29"/>
          <w:spacing w:val="-3"/>
        </w:rPr>
        <w:t>。与地被相交处保持线形流畅，与园建、井盖等切边顺畅。</w:t>
      </w:r>
    </w:p>
    <w:p>
      <w:pPr>
        <w:pStyle w:val="BodyText"/>
        <w:ind w:left="600"/>
        <w:spacing w:before="143"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339" w:firstLine="730"/>
        <w:spacing w:before="99" w:line="259" w:lineRule="auto"/>
        <w:rPr>
          <w:sz w:val="29"/>
          <w:szCs w:val="29"/>
        </w:rPr>
      </w:pPr>
      <w:r>
        <w:rPr>
          <w:sz w:val="29"/>
          <w:szCs w:val="29"/>
          <w:spacing w:val="6"/>
        </w:rPr>
        <w:t>(1)五月份气温升高，树木生长盛期，需水量很大，应适时浇水，同时注</w:t>
      </w:r>
      <w:r>
        <w:rPr>
          <w:sz w:val="29"/>
          <w:szCs w:val="29"/>
          <w:spacing w:val="1"/>
        </w:rPr>
        <w:t xml:space="preserve"> </w:t>
      </w:r>
      <w:r>
        <w:rPr>
          <w:sz w:val="29"/>
          <w:szCs w:val="29"/>
          <w:spacing w:val="-2"/>
        </w:rPr>
        <w:t>意时花的适时浇水；</w:t>
      </w:r>
    </w:p>
    <w:p>
      <w:pPr>
        <w:pStyle w:val="BodyText"/>
        <w:ind w:right="290" w:firstLine="730"/>
        <w:spacing w:before="163" w:line="263" w:lineRule="auto"/>
        <w:rPr>
          <w:sz w:val="29"/>
          <w:szCs w:val="29"/>
        </w:rPr>
      </w:pPr>
      <w:r>
        <w:rPr>
          <w:sz w:val="29"/>
          <w:szCs w:val="29"/>
          <w:spacing w:val="7"/>
        </w:rPr>
        <w:t>(2)对长势不好的乔灌木、地被、草坪施无机复合肥(1%的尿素+磷酸二氢</w:t>
      </w:r>
      <w:r>
        <w:rPr>
          <w:sz w:val="29"/>
          <w:szCs w:val="29"/>
          <w:spacing w:val="3"/>
        </w:rPr>
        <w:t xml:space="preserve"> </w:t>
      </w:r>
      <w:r>
        <w:rPr>
          <w:sz w:val="29"/>
          <w:szCs w:val="29"/>
          <w:spacing w:val="9"/>
        </w:rPr>
        <w:t>钾)一次，配合浇水一起散播；</w:t>
      </w:r>
    </w:p>
    <w:p>
      <w:pPr>
        <w:pStyle w:val="BodyText"/>
        <w:ind w:firstLine="730"/>
        <w:spacing w:before="167" w:line="262" w:lineRule="auto"/>
        <w:rPr>
          <w:sz w:val="29"/>
          <w:szCs w:val="29"/>
        </w:rPr>
      </w:pPr>
      <w:r>
        <w:rPr>
          <w:sz w:val="29"/>
          <w:szCs w:val="29"/>
          <w:spacing w:val="16"/>
        </w:rPr>
        <w:t>(3)对树势不良的贵重乔木进行大树营养液(如施它活或吊针</w:t>
      </w:r>
      <w:r>
        <w:rPr>
          <w:sz w:val="29"/>
          <w:szCs w:val="29"/>
          <w:spacing w:val="15"/>
        </w:rPr>
        <w:t>原液)滴注。</w:t>
      </w:r>
      <w:r>
        <w:rPr>
          <w:sz w:val="29"/>
          <w:szCs w:val="29"/>
        </w:rPr>
        <w:t xml:space="preserve"> </w:t>
      </w:r>
      <w:r>
        <w:rPr>
          <w:sz w:val="29"/>
          <w:szCs w:val="29"/>
          <w:spacing w:val="-4"/>
        </w:rPr>
        <w:t>确定大树健康无误后再撤除吊袋，并将输液孔封死。</w:t>
      </w:r>
    </w:p>
    <w:p>
      <w:pPr>
        <w:pStyle w:val="BodyText"/>
        <w:ind w:left="600"/>
        <w:spacing w:before="18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39" w:firstLine="730"/>
        <w:spacing w:before="104" w:line="266"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2"/>
        </w:rPr>
        <w:t>病、细菌性穿孔病等；</w:t>
      </w:r>
    </w:p>
    <w:p>
      <w:pPr>
        <w:pStyle w:val="BodyText"/>
        <w:ind w:left="730"/>
        <w:spacing w:before="163" w:line="219" w:lineRule="auto"/>
        <w:rPr>
          <w:sz w:val="29"/>
          <w:szCs w:val="29"/>
        </w:rPr>
      </w:pPr>
      <w:r>
        <w:rPr>
          <w:sz w:val="29"/>
          <w:szCs w:val="29"/>
          <w:spacing w:val="8"/>
        </w:rPr>
        <w:t>(2)虫害：大青叶蝉、桃蚜、桃粉蚜、桃瘤蚜、梨网冠蝽、</w:t>
      </w:r>
      <w:r>
        <w:rPr>
          <w:sz w:val="29"/>
          <w:szCs w:val="29"/>
          <w:spacing w:val="7"/>
        </w:rPr>
        <w:t>柑桔全爪螨、</w:t>
      </w:r>
    </w:p>
    <w:p>
      <w:pPr>
        <w:pStyle w:val="BodyText"/>
        <w:spacing w:before="146" w:line="279" w:lineRule="auto"/>
        <w:rPr>
          <w:sz w:val="29"/>
          <w:szCs w:val="29"/>
        </w:rPr>
      </w:pPr>
      <w:r>
        <w:rPr>
          <w:sz w:val="29"/>
          <w:szCs w:val="29"/>
          <w:spacing w:val="-9"/>
        </w:rPr>
        <w:t>桔绿粉虱、星天牛、云斑天牛、咖啡木蠹蛾、葡萄透翅蛾、白杨透翅蛾、柏肤小蠹、</w:t>
      </w:r>
      <w:r>
        <w:rPr>
          <w:sz w:val="29"/>
          <w:szCs w:val="29"/>
          <w:spacing w:val="6"/>
        </w:rPr>
        <w:t xml:space="preserve"> </w:t>
      </w:r>
      <w:r>
        <w:rPr>
          <w:sz w:val="29"/>
          <w:szCs w:val="29"/>
          <w:spacing w:val="-8"/>
        </w:rPr>
        <w:t>松纵坑切梢小蠹、白蚁、蝼蛄、桃剑纹夜蛾、柑桔凤蝶、玉带凤蝶、樟青凤蝶、蔷</w:t>
      </w:r>
      <w:r>
        <w:rPr>
          <w:sz w:val="29"/>
          <w:szCs w:val="29"/>
          <w:spacing w:val="6"/>
        </w:rPr>
        <w:t xml:space="preserve">  </w:t>
      </w:r>
      <w:r>
        <w:rPr>
          <w:sz w:val="29"/>
          <w:szCs w:val="29"/>
          <w:spacing w:val="-11"/>
        </w:rPr>
        <w:t>薇三节叶蜂、樟叶蜂、柳蓝叶甲、葡萄十星叶甲、枸</w:t>
      </w:r>
      <w:r>
        <w:rPr>
          <w:sz w:val="29"/>
          <w:szCs w:val="29"/>
          <w:spacing w:val="-12"/>
        </w:rPr>
        <w:t>桔潜跳甲等。</w:t>
      </w:r>
    </w:p>
    <w:p>
      <w:pPr>
        <w:pStyle w:val="BodyText"/>
        <w:ind w:left="600"/>
        <w:spacing w:before="13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22" w:line="307"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4"/>
        </w:rPr>
        <w:t>池、灯杆、垃圾桶保持干净；</w:t>
      </w:r>
    </w:p>
    <w:p>
      <w:pPr>
        <w:spacing w:line="307" w:lineRule="auto"/>
        <w:sectPr>
          <w:headerReference w:type="default" r:id="rId312"/>
          <w:footerReference w:type="default" r:id="rId681"/>
          <w:pgSz w:w="14490" w:h="20470"/>
          <w:pgMar w:top="400" w:right="193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483" w:firstLine="730"/>
        <w:spacing w:before="94" w:line="321"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1"/>
        </w:rPr>
        <w:t>售展示区)进行彻底清理。</w:t>
      </w:r>
    </w:p>
    <w:p>
      <w:pPr>
        <w:ind w:left="570"/>
        <w:spacing w:before="10"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left="570"/>
        <w:spacing w:before="103" w:line="219" w:lineRule="auto"/>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150" w:firstLine="570"/>
        <w:spacing w:before="15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9"/>
        </w:rPr>
        <w:t>六月份</w:t>
      </w:r>
    </w:p>
    <w:p>
      <w:pPr>
        <w:pStyle w:val="BodyText"/>
        <w:ind w:left="570"/>
        <w:spacing w:before="129" w:line="219" w:lineRule="auto"/>
        <w:rPr>
          <w:sz w:val="29"/>
          <w:szCs w:val="29"/>
        </w:rPr>
      </w:pPr>
      <w:r>
        <w:rPr>
          <w:sz w:val="29"/>
          <w:szCs w:val="29"/>
          <w:spacing w:val="4"/>
        </w:rPr>
        <w:t>开始炎热，注意及时浇水、摘除杂草，对零</w:t>
      </w:r>
      <w:r>
        <w:rPr>
          <w:sz w:val="29"/>
          <w:szCs w:val="29"/>
          <w:spacing w:val="3"/>
        </w:rPr>
        <w:t>星病虫害专项防治。</w:t>
      </w:r>
    </w:p>
    <w:p>
      <w:pPr>
        <w:pStyle w:val="BodyText"/>
        <w:ind w:left="570"/>
        <w:spacing w:before="273"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24"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right="489" w:firstLine="730"/>
        <w:spacing w:before="153" w:line="272" w:lineRule="auto"/>
        <w:rPr>
          <w:sz w:val="29"/>
          <w:szCs w:val="29"/>
        </w:rPr>
      </w:pPr>
      <w:r>
        <w:rPr>
          <w:sz w:val="29"/>
          <w:szCs w:val="29"/>
          <w:spacing w:val="6"/>
        </w:rPr>
        <w:t>(2)有返青不好的苗木，视具体情况采取土层浅播硫酸亚铁改善土壤小环</w:t>
      </w:r>
      <w:r>
        <w:rPr>
          <w:sz w:val="29"/>
          <w:szCs w:val="29"/>
          <w:spacing w:val="1"/>
        </w:rPr>
        <w:t xml:space="preserve"> </w:t>
      </w:r>
      <w:r>
        <w:rPr>
          <w:sz w:val="29"/>
          <w:szCs w:val="29"/>
          <w:spacing w:val="2"/>
        </w:rPr>
        <w:t>境、使用营养剂、根部施肥透气透水等措施提</w:t>
      </w:r>
      <w:r>
        <w:rPr>
          <w:sz w:val="29"/>
          <w:szCs w:val="29"/>
          <w:spacing w:val="1"/>
        </w:rPr>
        <w:t>高苗木成活，提高养护效果。</w:t>
      </w:r>
    </w:p>
    <w:p>
      <w:pPr>
        <w:ind w:left="570"/>
        <w:spacing w:before="195" w:line="221" w:lineRule="auto"/>
        <w:rPr>
          <w:rFonts w:ascii="SimHei" w:hAnsi="SimHei" w:eastAsia="SimHei" w:cs="SimHei"/>
          <w:sz w:val="28"/>
          <w:szCs w:val="28"/>
        </w:rPr>
      </w:pPr>
      <w:r>
        <w:rPr>
          <w:rFonts w:ascii="SimHei" w:hAnsi="SimHei" w:eastAsia="SimHei" w:cs="SimHei"/>
          <w:sz w:val="28"/>
          <w:szCs w:val="28"/>
          <w:spacing w:val="16"/>
        </w:rPr>
        <w:t>2、修剪</w:t>
      </w:r>
    </w:p>
    <w:p>
      <w:pPr>
        <w:pStyle w:val="BodyText"/>
        <w:ind w:left="730"/>
        <w:spacing w:before="108" w:line="219" w:lineRule="auto"/>
        <w:rPr>
          <w:sz w:val="29"/>
          <w:szCs w:val="29"/>
        </w:rPr>
      </w:pPr>
      <w:r>
        <w:rPr>
          <w:sz w:val="29"/>
          <w:szCs w:val="29"/>
          <w:spacing w:val="6"/>
        </w:rPr>
        <w:t>(1)对乔木进行剥芽除蘖，对绿篱、球类及部分花灌木实施修剪；</w:t>
      </w:r>
    </w:p>
    <w:p>
      <w:pPr>
        <w:pStyle w:val="BodyText"/>
        <w:ind w:right="489" w:firstLine="730"/>
        <w:spacing w:before="145" w:line="269" w:lineRule="auto"/>
        <w:rPr>
          <w:sz w:val="29"/>
          <w:szCs w:val="29"/>
        </w:rPr>
      </w:pPr>
      <w:r>
        <w:rPr>
          <w:sz w:val="29"/>
          <w:szCs w:val="29"/>
          <w:spacing w:val="6"/>
        </w:rPr>
        <w:t>(2)及时修剪影响园路行走的枝条，特别是道路两侧的行道树，要注意不</w:t>
      </w:r>
      <w:r>
        <w:rPr>
          <w:sz w:val="29"/>
          <w:szCs w:val="29"/>
          <w:spacing w:val="1"/>
        </w:rPr>
        <w:t xml:space="preserve"> </w:t>
      </w:r>
      <w:r>
        <w:rPr>
          <w:sz w:val="29"/>
          <w:szCs w:val="29"/>
          <w:spacing w:val="-5"/>
        </w:rPr>
        <w:t>能影响线路安全；</w:t>
      </w:r>
    </w:p>
    <w:p>
      <w:pPr>
        <w:pStyle w:val="BodyText"/>
        <w:ind w:right="711" w:firstLine="730"/>
        <w:spacing w:before="136" w:line="265" w:lineRule="auto"/>
        <w:rPr>
          <w:sz w:val="29"/>
          <w:szCs w:val="29"/>
        </w:rPr>
      </w:pPr>
      <w:r>
        <w:rPr>
          <w:sz w:val="29"/>
          <w:szCs w:val="29"/>
          <w:spacing w:val="2"/>
        </w:rPr>
        <w:t>(3)及时对草坪进行修剪，高度保持4-5</w:t>
      </w:r>
      <w:r>
        <w:rPr>
          <w:rFonts w:ascii="Times New Roman" w:hAnsi="Times New Roman" w:eastAsia="Times New Roman" w:cs="Times New Roman"/>
          <w:sz w:val="29"/>
          <w:szCs w:val="29"/>
        </w:rPr>
        <w:t>cm</w:t>
      </w:r>
      <w:r>
        <w:rPr>
          <w:sz w:val="29"/>
          <w:szCs w:val="29"/>
          <w:spacing w:val="2"/>
        </w:rPr>
        <w:t>。避免出现</w:t>
      </w:r>
      <w:r>
        <w:rPr>
          <w:sz w:val="29"/>
          <w:szCs w:val="29"/>
          <w:spacing w:val="1"/>
        </w:rPr>
        <w:t>剪短露白茬；或者</w:t>
      </w:r>
      <w:r>
        <w:rPr>
          <w:sz w:val="29"/>
          <w:szCs w:val="29"/>
        </w:rPr>
        <w:t xml:space="preserve"> </w:t>
      </w:r>
      <w:r>
        <w:rPr>
          <w:sz w:val="29"/>
          <w:szCs w:val="29"/>
          <w:spacing w:val="1"/>
        </w:rPr>
        <w:t>修剪不及时草皮过高倒伏，捂黄等现象。</w:t>
      </w:r>
    </w:p>
    <w:p>
      <w:pPr>
        <w:pStyle w:val="BodyText"/>
        <w:ind w:left="570"/>
        <w:spacing w:before="144"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left="570"/>
        <w:spacing w:before="96" w:line="219" w:lineRule="auto"/>
        <w:rPr>
          <w:sz w:val="29"/>
          <w:szCs w:val="29"/>
        </w:rPr>
      </w:pPr>
      <w:r>
        <w:rPr>
          <w:sz w:val="29"/>
          <w:szCs w:val="29"/>
          <w:spacing w:val="1"/>
        </w:rPr>
        <w:t>天气温度继续攀高，植物需水量大，要及时浇水。</w:t>
      </w:r>
    </w:p>
    <w:p>
      <w:pPr>
        <w:pStyle w:val="BodyText"/>
        <w:ind w:left="570"/>
        <w:spacing w:before="116"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right="510" w:firstLine="730"/>
        <w:spacing w:before="144" w:line="269" w:lineRule="auto"/>
        <w:rPr>
          <w:sz w:val="29"/>
          <w:szCs w:val="29"/>
        </w:rPr>
      </w:pPr>
      <w:r>
        <w:rPr>
          <w:sz w:val="29"/>
          <w:szCs w:val="29"/>
          <w:spacing w:val="5"/>
        </w:rPr>
        <w:t>(1)病害：白粉病、炭疽病、锈病、煤污病、叶枯病、干腐病、枝枯病、</w:t>
      </w:r>
      <w:r>
        <w:rPr>
          <w:sz w:val="29"/>
          <w:szCs w:val="29"/>
          <w:spacing w:val="13"/>
        </w:rPr>
        <w:t xml:space="preserve"> </w:t>
      </w:r>
      <w:r>
        <w:rPr>
          <w:sz w:val="29"/>
          <w:szCs w:val="29"/>
          <w:spacing w:val="1"/>
        </w:rPr>
        <w:t>流胶病、枯萎病、草坪腐霉枯萎病、细菌性穿孔病等；</w:t>
      </w:r>
    </w:p>
    <w:p>
      <w:pPr>
        <w:pStyle w:val="BodyText"/>
        <w:ind w:left="730"/>
        <w:spacing w:before="154" w:line="219" w:lineRule="auto"/>
        <w:rPr>
          <w:sz w:val="29"/>
          <w:szCs w:val="29"/>
        </w:rPr>
      </w:pPr>
      <w:r>
        <w:rPr>
          <w:sz w:val="29"/>
          <w:szCs w:val="29"/>
          <w:spacing w:val="8"/>
        </w:rPr>
        <w:t>(2)虫害：大青叶蝉、桃粉蚜、梨网冠蝽</w:t>
      </w:r>
      <w:r>
        <w:rPr>
          <w:sz w:val="29"/>
          <w:szCs w:val="29"/>
          <w:spacing w:val="7"/>
        </w:rPr>
        <w:t>、花蓟马、桑天牛、星天牛、云</w:t>
      </w:r>
    </w:p>
    <w:p>
      <w:pPr>
        <w:pStyle w:val="BodyText"/>
        <w:spacing w:before="138" w:line="219" w:lineRule="auto"/>
        <w:rPr>
          <w:sz w:val="29"/>
          <w:szCs w:val="29"/>
        </w:rPr>
      </w:pPr>
      <w:r>
        <w:rPr>
          <w:sz w:val="29"/>
          <w:szCs w:val="29"/>
          <w:spacing w:val="1"/>
        </w:rPr>
        <w:t>斑天牛、咖啡木蠹蛾、葡萄透翅蛾、白杨透翅蛾、柏</w:t>
      </w:r>
      <w:r>
        <w:rPr>
          <w:sz w:val="29"/>
          <w:szCs w:val="29"/>
        </w:rPr>
        <w:t>肤小蠹、松纵坑切梢小蠹、</w:t>
      </w:r>
    </w:p>
    <w:p>
      <w:pPr>
        <w:pStyle w:val="BodyText"/>
        <w:spacing w:before="146" w:line="219" w:lineRule="auto"/>
        <w:rPr>
          <w:sz w:val="29"/>
          <w:szCs w:val="29"/>
        </w:rPr>
      </w:pPr>
      <w:r>
        <w:rPr>
          <w:sz w:val="29"/>
          <w:szCs w:val="29"/>
          <w:spacing w:val="-10"/>
        </w:rPr>
        <w:t>白蚁、蝼蛄、黄刺蛾、扁刺蛾、丽绿刺蛾、褐边绿刺蛾、桑褐</w:t>
      </w:r>
      <w:r>
        <w:rPr>
          <w:sz w:val="29"/>
          <w:szCs w:val="29"/>
          <w:spacing w:val="-11"/>
        </w:rPr>
        <w:t>刺蛾、茶袋蛾、大袋</w:t>
      </w:r>
    </w:p>
    <w:p>
      <w:pPr>
        <w:pStyle w:val="BodyText"/>
        <w:spacing w:before="146" w:line="265" w:lineRule="auto"/>
        <w:rPr>
          <w:sz w:val="29"/>
          <w:szCs w:val="29"/>
        </w:rPr>
      </w:pPr>
      <w:r>
        <w:rPr>
          <w:sz w:val="29"/>
          <w:szCs w:val="29"/>
          <w:spacing w:val="-19"/>
        </w:rPr>
        <w:t>蛾、黄尾毒蛾、桃剑纹夜蛾、柑桔凤蝶、玉带凤蝶、</w:t>
      </w:r>
      <w:r>
        <w:rPr>
          <w:sz w:val="29"/>
          <w:szCs w:val="29"/>
          <w:spacing w:val="-20"/>
        </w:rPr>
        <w:t>樟青凤蝶、蔷薇三节叶蜂、樟叶蜂、</w:t>
      </w:r>
      <w:r>
        <w:rPr>
          <w:sz w:val="29"/>
          <w:szCs w:val="29"/>
        </w:rPr>
        <w:t xml:space="preserve"> </w:t>
      </w:r>
      <w:r>
        <w:rPr>
          <w:sz w:val="29"/>
          <w:szCs w:val="29"/>
          <w:spacing w:val="-21"/>
        </w:rPr>
        <w:t>柳蓝叶甲、葡萄十星叶甲等。</w:t>
      </w:r>
    </w:p>
    <w:p>
      <w:pPr>
        <w:pStyle w:val="BodyText"/>
        <w:ind w:left="570"/>
        <w:spacing w:before="13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89" w:firstLine="730"/>
        <w:spacing w:before="82" w:line="27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left="730"/>
        <w:spacing w:before="146" w:line="219" w:lineRule="auto"/>
        <w:rPr>
          <w:sz w:val="29"/>
          <w:szCs w:val="29"/>
        </w:rPr>
      </w:pPr>
      <w:r>
        <w:rPr>
          <w:sz w:val="29"/>
          <w:szCs w:val="29"/>
          <w:spacing w:val="5"/>
        </w:rPr>
        <w:t>(2)</w:t>
      </w:r>
      <w:r>
        <w:rPr>
          <w:sz w:val="29"/>
          <w:szCs w:val="29"/>
          <w:spacing w:val="90"/>
        </w:rPr>
        <w:t xml:space="preserve"> </w:t>
      </w:r>
      <w:r>
        <w:rPr>
          <w:sz w:val="29"/>
          <w:szCs w:val="29"/>
          <w:spacing w:val="5"/>
        </w:rPr>
        <w:t>在业主上班高峰期前对园区内的重点区域(大门内外、主干通道、销</w:t>
      </w:r>
    </w:p>
    <w:p>
      <w:pPr>
        <w:spacing w:line="219" w:lineRule="auto"/>
        <w:sectPr>
          <w:footerReference w:type="default" r:id="rId682"/>
          <w:pgSz w:w="14490" w:h="20470"/>
          <w:pgMar w:top="400" w:right="1785"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9"/>
        </w:rPr>
        <w:t>售展示区)进行彻底清理。</w:t>
      </w:r>
    </w:p>
    <w:p>
      <w:pPr>
        <w:ind w:left="570"/>
        <w:spacing w:before="11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131"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38" w:firstLine="730"/>
        <w:spacing w:before="123" w:line="267"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6"/>
        </w:rPr>
        <w:t>其它物资；</w:t>
      </w:r>
    </w:p>
    <w:p>
      <w:pPr>
        <w:pStyle w:val="BodyText"/>
        <w:ind w:left="730"/>
        <w:spacing w:before="159" w:line="219" w:lineRule="auto"/>
        <w:rPr>
          <w:sz w:val="29"/>
          <w:szCs w:val="29"/>
        </w:rPr>
      </w:pPr>
      <w:r>
        <w:rPr>
          <w:sz w:val="29"/>
          <w:szCs w:val="29"/>
          <w:spacing w:val="10"/>
        </w:rPr>
        <w:t>(3)进行机械工具的检查维修。</w:t>
      </w:r>
    </w:p>
    <w:p>
      <w:pPr>
        <w:pStyle w:val="BodyText"/>
        <w:ind w:left="570"/>
        <w:spacing w:before="8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70"/>
        <w:spacing w:before="16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6"/>
        </w:rPr>
        <w:t>防盗情况。</w:t>
      </w:r>
    </w:p>
    <w:p>
      <w:pPr>
        <w:spacing w:before="92"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570"/>
        <w:spacing w:before="89" w:line="219" w:lineRule="auto"/>
        <w:rPr>
          <w:sz w:val="29"/>
          <w:szCs w:val="29"/>
        </w:rPr>
      </w:pPr>
      <w:r>
        <w:rPr>
          <w:sz w:val="29"/>
          <w:szCs w:val="29"/>
          <w:spacing w:val="4"/>
        </w:rPr>
        <w:t>气温逐渐达到高峰，可能出现雷雨大风天气，工人注意防暑。</w:t>
      </w:r>
    </w:p>
    <w:p>
      <w:pPr>
        <w:pStyle w:val="BodyText"/>
        <w:ind w:left="570"/>
        <w:spacing w:before="26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53" w:line="219" w:lineRule="auto"/>
        <w:rPr>
          <w:sz w:val="29"/>
          <w:szCs w:val="29"/>
        </w:rPr>
      </w:pPr>
      <w:r>
        <w:rPr>
          <w:sz w:val="29"/>
          <w:szCs w:val="29"/>
          <w:spacing w:val="1"/>
        </w:rPr>
        <w:t>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30"/>
        <w:spacing w:before="156" w:line="219" w:lineRule="auto"/>
        <w:rPr>
          <w:sz w:val="29"/>
          <w:szCs w:val="29"/>
        </w:rPr>
      </w:pPr>
      <w:r>
        <w:rPr>
          <w:sz w:val="29"/>
          <w:szCs w:val="29"/>
          <w:spacing w:val="5"/>
        </w:rPr>
        <w:t>(1)乔灌木及草坪生长迅速，要及时对乔木、灌木、草坪进行修剪；</w:t>
      </w:r>
    </w:p>
    <w:p>
      <w:pPr>
        <w:pStyle w:val="BodyText"/>
        <w:ind w:left="730"/>
        <w:spacing w:before="144" w:line="219" w:lineRule="auto"/>
        <w:rPr>
          <w:sz w:val="29"/>
          <w:szCs w:val="29"/>
        </w:rPr>
      </w:pPr>
      <w:r>
        <w:rPr>
          <w:sz w:val="29"/>
          <w:szCs w:val="29"/>
          <w:spacing w:val="6"/>
        </w:rPr>
        <w:t>(2)对行道树进行剥芽修剪，对与电线及道路有矛盾的树枝一律修剪。</w:t>
      </w:r>
    </w:p>
    <w:p>
      <w:pPr>
        <w:pStyle w:val="BodyText"/>
        <w:ind w:left="570"/>
        <w:spacing w:before="56" w:line="381" w:lineRule="exact"/>
        <w:rPr>
          <w:rFonts w:ascii="SimHei" w:hAnsi="SimHei" w:eastAsia="SimHei" w:cs="SimHei"/>
        </w:rPr>
      </w:pPr>
      <w:r>
        <w:rPr>
          <w:rFonts w:ascii="Arial" w:hAnsi="Arial" w:eastAsia="Arial" w:cs="Arial"/>
          <w:spacing w:val="2"/>
          <w:position w:val="1"/>
        </w:rPr>
        <w:t>3</w:t>
      </w:r>
      <w:r>
        <w:rPr>
          <w:spacing w:val="2"/>
          <w:position w:val="1"/>
        </w:rPr>
        <w:t>、</w:t>
      </w:r>
      <w:r>
        <w:rPr>
          <w:rFonts w:ascii="SimHei" w:hAnsi="SimHei" w:eastAsia="SimHei" w:cs="SimHei"/>
          <w:spacing w:val="2"/>
          <w:position w:val="1"/>
        </w:rPr>
        <w:t>水肥管理</w:t>
      </w:r>
    </w:p>
    <w:p>
      <w:pPr>
        <w:pStyle w:val="BodyText"/>
        <w:ind w:left="730"/>
        <w:spacing w:before="159" w:line="219" w:lineRule="auto"/>
        <w:rPr>
          <w:sz w:val="29"/>
          <w:szCs w:val="29"/>
        </w:rPr>
      </w:pPr>
      <w:r>
        <w:rPr>
          <w:sz w:val="29"/>
          <w:szCs w:val="29"/>
          <w:spacing w:val="5"/>
        </w:rPr>
        <w:t>(1)本月为高温高湿的多雨季节，大雨前防汛，雨后做好排涝工作；</w:t>
      </w:r>
    </w:p>
    <w:p>
      <w:pPr>
        <w:pStyle w:val="BodyText"/>
        <w:ind w:left="730"/>
        <w:spacing w:before="138" w:line="219" w:lineRule="auto"/>
        <w:rPr>
          <w:sz w:val="29"/>
          <w:szCs w:val="29"/>
        </w:rPr>
      </w:pPr>
      <w:r>
        <w:rPr>
          <w:sz w:val="29"/>
          <w:szCs w:val="29"/>
          <w:spacing w:val="8"/>
        </w:rPr>
        <w:t>(2)注意苗木、时花的适时浇水。</w:t>
      </w:r>
    </w:p>
    <w:p>
      <w:pPr>
        <w:pStyle w:val="BodyText"/>
        <w:ind w:left="570"/>
        <w:spacing w:before="133"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261" w:firstLine="730"/>
        <w:spacing w:before="115" w:line="272" w:lineRule="auto"/>
        <w:rPr>
          <w:sz w:val="29"/>
          <w:szCs w:val="29"/>
        </w:rPr>
      </w:pPr>
      <w:r>
        <w:rPr>
          <w:sz w:val="29"/>
          <w:szCs w:val="29"/>
          <w:spacing w:val="-9"/>
        </w:rPr>
        <w:t>(1)病害：锈病、煤污病、叶枯病、干腐病、紫纹羽病、枝枯病、枯萎病、草</w:t>
      </w:r>
      <w:r>
        <w:rPr>
          <w:sz w:val="29"/>
          <w:szCs w:val="29"/>
          <w:spacing w:val="12"/>
        </w:rPr>
        <w:t xml:space="preserve"> </w:t>
      </w:r>
      <w:r>
        <w:rPr>
          <w:sz w:val="29"/>
          <w:szCs w:val="29"/>
          <w:spacing w:val="-7"/>
        </w:rPr>
        <w:t>坪腐霉枯萎病、细菌性穿孔病、花叶病等；</w:t>
      </w:r>
    </w:p>
    <w:p>
      <w:pPr>
        <w:pStyle w:val="BodyText"/>
        <w:ind w:firstLine="730"/>
        <w:spacing w:before="152" w:line="289" w:lineRule="auto"/>
        <w:rPr>
          <w:sz w:val="29"/>
          <w:szCs w:val="29"/>
        </w:rPr>
      </w:pPr>
      <w:r>
        <w:rPr>
          <w:sz w:val="29"/>
          <w:szCs w:val="29"/>
          <w:spacing w:val="-8"/>
        </w:rPr>
        <w:t>(2)虫害：大青叶蝉、梨网冠蝽、花蓟马、桑天牛、星天牛、葡萄透翅蛾、松</w:t>
      </w:r>
      <w:r>
        <w:rPr>
          <w:sz w:val="29"/>
          <w:szCs w:val="29"/>
          <w:spacing w:val="4"/>
        </w:rPr>
        <w:t xml:space="preserve">  </w:t>
      </w:r>
      <w:r>
        <w:rPr>
          <w:sz w:val="29"/>
          <w:szCs w:val="29"/>
          <w:spacing w:val="-9"/>
        </w:rPr>
        <w:t>纵坑切梢小蠹、白蚁、蝼蛄、黄刺蛾、扁刺蛾、丽绿刺蛾、褐边绿刺蛾、桑褐刺蛾、</w:t>
      </w:r>
      <w:r>
        <w:rPr>
          <w:sz w:val="29"/>
          <w:szCs w:val="29"/>
          <w:spacing w:val="6"/>
        </w:rPr>
        <w:t xml:space="preserve"> </w:t>
      </w:r>
      <w:r>
        <w:rPr>
          <w:sz w:val="29"/>
          <w:szCs w:val="29"/>
          <w:spacing w:val="-8"/>
        </w:rPr>
        <w:t>茶袋蛾、大袋蛾、黄尾毒蛾、桃剑纹夜蛾、柑桔凤蝶</w:t>
      </w:r>
      <w:r>
        <w:rPr>
          <w:sz w:val="29"/>
          <w:szCs w:val="29"/>
          <w:spacing w:val="-9"/>
        </w:rPr>
        <w:t>、玉带凤蝶、樟青凤蝶、蔷薇</w:t>
      </w:r>
      <w:r>
        <w:rPr>
          <w:sz w:val="29"/>
          <w:szCs w:val="29"/>
        </w:rPr>
        <w:t xml:space="preserve">  </w:t>
      </w:r>
      <w:r>
        <w:rPr>
          <w:sz w:val="29"/>
          <w:szCs w:val="29"/>
          <w:spacing w:val="-16"/>
        </w:rPr>
        <w:t>三节叶蜂、樟叶蜂、柳蓝叶甲等。</w:t>
      </w:r>
    </w:p>
    <w:p>
      <w:pPr>
        <w:pStyle w:val="BodyText"/>
        <w:ind w:left="570"/>
        <w:spacing w:before="13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5"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6" w:line="263"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spacing w:line="222" w:lineRule="auto"/>
        <w:sectPr>
          <w:footerReference w:type="default" r:id="rId683"/>
          <w:pgSz w:w="14490" w:h="20470"/>
          <w:pgMar w:top="400" w:right="1935" w:bottom="1447" w:left="2150" w:header="0" w:footer="1231"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right="361" w:firstLine="710"/>
        <w:spacing w:before="94"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10"/>
        <w:spacing w:before="151" w:line="219" w:lineRule="auto"/>
        <w:rPr>
          <w:sz w:val="29"/>
          <w:szCs w:val="29"/>
        </w:rPr>
      </w:pPr>
      <w:r>
        <w:rPr>
          <w:sz w:val="29"/>
          <w:szCs w:val="29"/>
          <w:spacing w:val="12"/>
        </w:rPr>
        <w:t>(2)进行机械工具的检查维修。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24"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82"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570"/>
        <w:spacing w:before="97" w:line="219" w:lineRule="auto"/>
        <w:rPr>
          <w:sz w:val="29"/>
          <w:szCs w:val="29"/>
        </w:rPr>
      </w:pPr>
      <w:r>
        <w:rPr>
          <w:sz w:val="29"/>
          <w:szCs w:val="29"/>
          <w:spacing w:val="4"/>
        </w:rPr>
        <w:t>全年气温最高，可能会出现大风大雨天气。</w:t>
      </w:r>
    </w:p>
    <w:p>
      <w:pPr>
        <w:pStyle w:val="BodyText"/>
        <w:ind w:left="570"/>
        <w:spacing w:before="28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33" w:line="219" w:lineRule="auto"/>
        <w:rPr>
          <w:sz w:val="29"/>
          <w:szCs w:val="29"/>
        </w:rPr>
      </w:pPr>
      <w:r>
        <w:rPr>
          <w:sz w:val="29"/>
          <w:szCs w:val="29"/>
          <w:spacing w:val="1"/>
        </w:rPr>
        <w:t>及时检查乔木支撑情况，发现松动或缺失立即加固。</w:t>
      </w:r>
    </w:p>
    <w:p>
      <w:pPr>
        <w:pStyle w:val="BodyText"/>
        <w:ind w:left="570"/>
        <w:spacing w:before="11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left="570"/>
        <w:spacing w:before="156" w:line="219" w:lineRule="auto"/>
        <w:rPr>
          <w:sz w:val="29"/>
          <w:szCs w:val="29"/>
        </w:rPr>
      </w:pPr>
      <w:r>
        <w:rPr>
          <w:sz w:val="29"/>
          <w:szCs w:val="29"/>
          <w:spacing w:val="1"/>
        </w:rPr>
        <w:t>乔灌木及草坪生长迅速，要及时对乔木、灌木、草坪进行修剪。</w:t>
      </w:r>
    </w:p>
    <w:p>
      <w:pPr>
        <w:ind w:left="570"/>
        <w:spacing w:before="94" w:line="222" w:lineRule="auto"/>
        <w:rPr>
          <w:rFonts w:ascii="SimHei" w:hAnsi="SimHei" w:eastAsia="SimHei" w:cs="SimHei"/>
          <w:sz w:val="29"/>
          <w:szCs w:val="29"/>
        </w:rPr>
      </w:pPr>
      <w:r>
        <w:rPr>
          <w:rFonts w:ascii="SimHei" w:hAnsi="SimHei" w:eastAsia="SimHei" w:cs="SimHei"/>
          <w:sz w:val="29"/>
          <w:szCs w:val="29"/>
          <w:spacing w:val="4"/>
        </w:rPr>
        <w:t>3、水肥管理</w:t>
      </w:r>
    </w:p>
    <w:p>
      <w:pPr>
        <w:pStyle w:val="BodyText"/>
        <w:ind w:left="710"/>
        <w:spacing w:before="161" w:line="219" w:lineRule="auto"/>
        <w:rPr>
          <w:sz w:val="29"/>
          <w:szCs w:val="29"/>
        </w:rPr>
      </w:pPr>
      <w:r>
        <w:rPr>
          <w:sz w:val="29"/>
          <w:szCs w:val="29"/>
          <w:spacing w:val="5"/>
        </w:rPr>
        <w:t>(1)本月为高温高湿的多雨季节，大雨前防汛，雨后做好排涝工作；</w:t>
      </w:r>
    </w:p>
    <w:p>
      <w:pPr>
        <w:pStyle w:val="BodyText"/>
        <w:ind w:left="710"/>
        <w:spacing w:before="148" w:line="219" w:lineRule="auto"/>
        <w:rPr>
          <w:sz w:val="29"/>
          <w:szCs w:val="29"/>
        </w:rPr>
      </w:pPr>
      <w:r>
        <w:rPr>
          <w:sz w:val="29"/>
          <w:szCs w:val="29"/>
          <w:spacing w:val="10"/>
        </w:rPr>
        <w:t>(2)注意苗木、时花的适时浇水。</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63" w:firstLine="710"/>
        <w:spacing w:before="103" w:line="279" w:lineRule="auto"/>
        <w:rPr>
          <w:sz w:val="29"/>
          <w:szCs w:val="29"/>
        </w:rPr>
      </w:pPr>
      <w:r>
        <w:rPr>
          <w:sz w:val="29"/>
          <w:szCs w:val="29"/>
          <w:spacing w:val="6"/>
        </w:rPr>
        <w:t>(1)病害：煤污病、叶枯病、干腐病、紫纹羽病、枝枯病、枯萎病</w:t>
      </w:r>
      <w:r>
        <w:rPr>
          <w:sz w:val="29"/>
          <w:szCs w:val="29"/>
          <w:spacing w:val="5"/>
        </w:rPr>
        <w:t>、草坪</w:t>
      </w:r>
      <w:r>
        <w:rPr>
          <w:sz w:val="29"/>
          <w:szCs w:val="29"/>
        </w:rPr>
        <w:t xml:space="preserve"> </w:t>
      </w:r>
      <w:r>
        <w:rPr>
          <w:sz w:val="29"/>
          <w:szCs w:val="29"/>
          <w:spacing w:val="-2"/>
        </w:rPr>
        <w:t>腐霉枯萎病、细菌性穿孔病、花叶病等；</w:t>
      </w:r>
    </w:p>
    <w:p>
      <w:pPr>
        <w:pStyle w:val="BodyText"/>
        <w:ind w:right="262" w:firstLine="710"/>
        <w:spacing w:before="155" w:line="283" w:lineRule="auto"/>
        <w:rPr>
          <w:sz w:val="29"/>
          <w:szCs w:val="29"/>
        </w:rPr>
      </w:pPr>
      <w:r>
        <w:rPr>
          <w:sz w:val="29"/>
          <w:szCs w:val="29"/>
          <w:spacing w:val="9"/>
        </w:rPr>
        <w:t>(2)虫害：大青叶蝉、梨网冠蝽、花蓟马、桑天牛、葡萄透翅蛾、松</w:t>
      </w:r>
      <w:r>
        <w:rPr>
          <w:sz w:val="29"/>
          <w:szCs w:val="29"/>
          <w:spacing w:val="8"/>
        </w:rPr>
        <w:t>纵坑</w:t>
      </w:r>
      <w:r>
        <w:rPr>
          <w:sz w:val="29"/>
          <w:szCs w:val="29"/>
        </w:rPr>
        <w:t xml:space="preserve"> </w:t>
      </w:r>
      <w:r>
        <w:rPr>
          <w:sz w:val="29"/>
          <w:szCs w:val="29"/>
          <w:spacing w:val="-8"/>
        </w:rPr>
        <w:t>切梢小蠹、白蚁、蝼蛄、黄刺蛾、扁刺蛾、丽绿刺蛾、褐</w:t>
      </w:r>
      <w:r>
        <w:rPr>
          <w:sz w:val="29"/>
          <w:szCs w:val="29"/>
          <w:spacing w:val="-9"/>
        </w:rPr>
        <w:t>边绿刺蛾、茶袋蛾、大袋</w:t>
      </w:r>
      <w:r>
        <w:rPr>
          <w:sz w:val="29"/>
          <w:szCs w:val="29"/>
        </w:rPr>
        <w:t xml:space="preserve"> </w:t>
      </w:r>
      <w:r>
        <w:rPr>
          <w:sz w:val="29"/>
          <w:szCs w:val="29"/>
          <w:spacing w:val="-21"/>
        </w:rPr>
        <w:t>蛾、黄尾毒蛾、柑桔凤蝶、玉带凤蝶、樟青凤蝶、蔷薇三节叶蜂、柳蓝叶甲等。</w:t>
      </w:r>
    </w:p>
    <w:p>
      <w:pPr>
        <w:pStyle w:val="BodyText"/>
        <w:ind w:left="570"/>
        <w:spacing w:before="12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59" w:firstLine="710"/>
        <w:spacing w:before="10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rPr>
        <w:t>池、灯杆、垃圾桶保持干净；</w:t>
      </w:r>
    </w:p>
    <w:p>
      <w:pPr>
        <w:pStyle w:val="BodyText"/>
        <w:ind w:right="353" w:firstLine="710"/>
        <w:spacing w:before="12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52"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ind w:right="361" w:firstLine="710"/>
        <w:spacing w:before="87"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10"/>
        <w:spacing w:before="162" w:line="219" w:lineRule="auto"/>
        <w:rPr>
          <w:sz w:val="29"/>
          <w:szCs w:val="29"/>
        </w:rPr>
      </w:pPr>
      <w:r>
        <w:rPr>
          <w:sz w:val="29"/>
          <w:szCs w:val="29"/>
          <w:spacing w:val="12"/>
        </w:rPr>
        <w:t>(2)进行机械工具的检查维修。</w:t>
      </w:r>
    </w:p>
    <w:p>
      <w:pPr>
        <w:pStyle w:val="BodyText"/>
        <w:ind w:left="570"/>
        <w:spacing w:before="6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spacing w:line="448" w:lineRule="auto"/>
        <w:rPr>
          <w:rFonts w:ascii="Arial"/>
          <w:sz w:val="21"/>
        </w:rPr>
      </w:pPr>
      <w:r/>
    </w:p>
    <w:p>
      <w:pPr>
        <w:pStyle w:val="BodyText"/>
        <w:ind w:left="139" w:right="233" w:firstLine="570"/>
        <w:spacing w:before="95" w:line="333" w:lineRule="auto"/>
        <w:rPr>
          <w:sz w:val="29"/>
          <w:szCs w:val="29"/>
        </w:rPr>
      </w:pPr>
      <w:r>
        <w:rPr>
          <w:sz w:val="29"/>
          <w:szCs w:val="29"/>
          <w:spacing w:val="-3"/>
        </w:rPr>
        <w:t>每天绿化工人在保洁的同时要注意行人随意丢弃烟</w:t>
      </w:r>
      <w:r>
        <w:rPr>
          <w:sz w:val="29"/>
          <w:szCs w:val="29"/>
          <w:spacing w:val="-4"/>
        </w:rPr>
        <w:t>头现象，并对其进行防火</w:t>
      </w:r>
      <w:r>
        <w:rPr>
          <w:sz w:val="29"/>
          <w:szCs w:val="29"/>
        </w:rPr>
        <w:t xml:space="preserve"> </w:t>
      </w:r>
      <w:r>
        <w:rPr>
          <w:sz w:val="29"/>
          <w:szCs w:val="29"/>
          <w:spacing w:val="-10"/>
        </w:rPr>
        <w:t>教育，加强防火意识。及时清扫落叶、树挂，</w:t>
      </w:r>
      <w:r>
        <w:rPr>
          <w:sz w:val="29"/>
          <w:szCs w:val="29"/>
          <w:spacing w:val="-11"/>
        </w:rPr>
        <w:t>消除火灾隐患。同时注意库房的防</w:t>
      </w:r>
    </w:p>
    <w:p>
      <w:pPr>
        <w:spacing w:line="333" w:lineRule="auto"/>
        <w:sectPr>
          <w:footerReference w:type="default" r:id="rId684"/>
          <w:pgSz w:w="14490" w:h="20470"/>
          <w:pgMar w:top="400" w:right="1935" w:bottom="1437" w:left="2150" w:header="0" w:footer="1221" w:gutter="0"/>
        </w:sectPr>
        <w:rPr>
          <w:sz w:val="29"/>
          <w:szCs w:val="29"/>
        </w:rPr>
      </w:pP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BodyText"/>
        <w:spacing w:before="95" w:line="219" w:lineRule="auto"/>
        <w:rPr>
          <w:sz w:val="29"/>
          <w:szCs w:val="29"/>
        </w:rPr>
      </w:pPr>
      <w:r>
        <w:rPr>
          <w:sz w:val="29"/>
          <w:szCs w:val="29"/>
          <w:spacing w:val="-2"/>
        </w:rPr>
        <w:t>火、防盗情况。</w:t>
      </w:r>
    </w:p>
    <w:p>
      <w:pPr>
        <w:spacing w:before="166" w:line="223" w:lineRule="auto"/>
        <w:rPr>
          <w:rFonts w:ascii="SimHei" w:hAnsi="SimHei" w:eastAsia="SimHei" w:cs="SimHei"/>
          <w:sz w:val="29"/>
          <w:szCs w:val="29"/>
        </w:rPr>
      </w:pPr>
      <w:r>
        <w:rPr>
          <w:rFonts w:ascii="SimHei" w:hAnsi="SimHei" w:eastAsia="SimHei" w:cs="SimHei"/>
          <w:sz w:val="29"/>
          <w:szCs w:val="29"/>
          <w:spacing w:val="2"/>
        </w:rPr>
        <w:t>九月份</w:t>
      </w:r>
    </w:p>
    <w:p>
      <w:pPr>
        <w:pStyle w:val="BodyText"/>
        <w:ind w:left="590"/>
        <w:spacing w:before="197" w:line="219" w:lineRule="auto"/>
        <w:rPr>
          <w:sz w:val="29"/>
          <w:szCs w:val="29"/>
        </w:rPr>
      </w:pPr>
      <w:r>
        <w:rPr>
          <w:sz w:val="29"/>
          <w:szCs w:val="29"/>
          <w:spacing w:val="4"/>
        </w:rPr>
        <w:t>气温较高，可能会出现大风大雨情况，天气较干燥。</w:t>
      </w:r>
    </w:p>
    <w:p>
      <w:pPr>
        <w:pStyle w:val="BodyText"/>
        <w:ind w:left="590"/>
        <w:spacing w:before="245"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23" w:line="219" w:lineRule="auto"/>
        <w:rPr>
          <w:sz w:val="29"/>
          <w:szCs w:val="29"/>
        </w:rPr>
      </w:pPr>
      <w:r>
        <w:rPr>
          <w:sz w:val="29"/>
          <w:szCs w:val="29"/>
        </w:rPr>
        <w:t>及时检查乔木支撑情况，发现松动或缺失立即加固。</w:t>
      </w:r>
    </w:p>
    <w:p>
      <w:pPr>
        <w:ind w:left="590"/>
        <w:spacing w:before="13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left="590"/>
        <w:spacing w:before="143" w:line="219" w:lineRule="auto"/>
        <w:rPr>
          <w:sz w:val="29"/>
          <w:szCs w:val="29"/>
        </w:rPr>
      </w:pPr>
      <w:r>
        <w:rPr>
          <w:sz w:val="29"/>
          <w:szCs w:val="29"/>
          <w:spacing w:val="1"/>
        </w:rPr>
        <w:t>乔灌木及草坪生长迅速，要及时对乔木、灌木、草坪</w:t>
      </w:r>
      <w:r>
        <w:rPr>
          <w:sz w:val="29"/>
          <w:szCs w:val="29"/>
        </w:rPr>
        <w:t>进行修剪。</w:t>
      </w:r>
    </w:p>
    <w:p>
      <w:pPr>
        <w:pStyle w:val="BodyText"/>
        <w:ind w:left="590"/>
        <w:spacing w:before="43" w:line="395"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233" w:firstLine="680"/>
        <w:spacing w:before="158" w:line="307" w:lineRule="auto"/>
        <w:rPr>
          <w:sz w:val="29"/>
          <w:szCs w:val="29"/>
        </w:rPr>
      </w:pPr>
      <w:r>
        <w:rPr>
          <w:sz w:val="29"/>
          <w:szCs w:val="29"/>
        </w:rPr>
        <w:t>直</w:t>
      </w:r>
      <w:r>
        <w:rPr>
          <w:sz w:val="29"/>
          <w:szCs w:val="29"/>
          <w:spacing w:val="39"/>
        </w:rPr>
        <w:t xml:space="preserve">   </w:t>
      </w:r>
      <w:r>
        <w:rPr>
          <w:sz w:val="29"/>
          <w:szCs w:val="29"/>
        </w:rPr>
        <w:t>中下旬全园施有机复合肥(有机质含量40 %以上)一次，若施肥后长 </w:t>
      </w:r>
      <w:r>
        <w:rPr>
          <w:sz w:val="29"/>
          <w:szCs w:val="29"/>
          <w:spacing w:val="-2"/>
        </w:rPr>
        <w:t>势较差则追施速效性复合肥(氮20以上、磷10以上、钾5以上);</w:t>
      </w:r>
    </w:p>
    <w:p>
      <w:pPr>
        <w:pStyle w:val="BodyText"/>
        <w:ind w:left="680"/>
        <w:spacing w:before="4" w:line="219" w:lineRule="auto"/>
        <w:rPr>
          <w:sz w:val="29"/>
          <w:szCs w:val="29"/>
        </w:rPr>
      </w:pPr>
      <w:r>
        <w:rPr>
          <w:sz w:val="29"/>
          <w:szCs w:val="29"/>
          <w:spacing w:val="-5"/>
        </w:rPr>
        <w:t>复</w:t>
      </w:r>
      <w:r>
        <w:rPr>
          <w:sz w:val="29"/>
          <w:szCs w:val="29"/>
          <w:spacing w:val="21"/>
        </w:rPr>
        <w:t xml:space="preserve">   </w:t>
      </w:r>
      <w:r>
        <w:rPr>
          <w:sz w:val="29"/>
          <w:szCs w:val="29"/>
          <w:spacing w:val="-5"/>
        </w:rPr>
        <w:t>本月相对干燥少雨，注意苗木、时花的适时浇水。</w:t>
      </w:r>
    </w:p>
    <w:p>
      <w:pPr>
        <w:pStyle w:val="BodyText"/>
        <w:ind w:left="590"/>
        <w:spacing w:before="11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right="140" w:firstLine="680"/>
        <w:spacing w:before="153" w:line="263" w:lineRule="auto"/>
        <w:rPr>
          <w:sz w:val="29"/>
          <w:szCs w:val="29"/>
        </w:rPr>
      </w:pPr>
      <w:r>
        <w:rPr>
          <w:sz w:val="29"/>
          <w:szCs w:val="29"/>
          <w:spacing w:val="6"/>
        </w:rPr>
        <w:t>(1)病害：叶斑类病害、锈病、煤污病、叶枯病、干腐病、紫纹羽病、枝</w:t>
      </w:r>
      <w:r>
        <w:rPr>
          <w:sz w:val="29"/>
          <w:szCs w:val="29"/>
          <w:spacing w:val="11"/>
        </w:rPr>
        <w:t xml:space="preserve"> </w:t>
      </w:r>
      <w:r>
        <w:rPr>
          <w:sz w:val="29"/>
          <w:szCs w:val="29"/>
          <w:spacing w:val="-3"/>
        </w:rPr>
        <w:t>枯病、草坪腐霉枯萎病、花叶病等；</w:t>
      </w:r>
    </w:p>
    <w:p>
      <w:pPr>
        <w:pStyle w:val="BodyText"/>
        <w:ind w:right="11" w:firstLine="680"/>
        <w:spacing w:before="125" w:line="285" w:lineRule="auto"/>
        <w:rPr>
          <w:sz w:val="29"/>
          <w:szCs w:val="29"/>
        </w:rPr>
      </w:pPr>
      <w:r>
        <w:rPr>
          <w:sz w:val="29"/>
          <w:szCs w:val="29"/>
          <w:spacing w:val="6"/>
        </w:rPr>
        <w:t>(2)虫害：大青叶蝉、柑桔全爪螨、花蓟马、桑天牛、松纵坑切梢小蠹、</w:t>
      </w:r>
      <w:r>
        <w:rPr>
          <w:sz w:val="29"/>
          <w:szCs w:val="29"/>
          <w:spacing w:val="5"/>
        </w:rPr>
        <w:t xml:space="preserve">  </w:t>
      </w:r>
      <w:r>
        <w:rPr>
          <w:sz w:val="29"/>
          <w:szCs w:val="29"/>
        </w:rPr>
        <w:t>白蚁、蝼蛄、黄刺蛾、丽绿刺蛾、褐边绿刺蛾、茶袋蛾、黄尾毒蛾、柑桔凤蝶、</w:t>
      </w:r>
      <w:r>
        <w:rPr>
          <w:sz w:val="29"/>
          <w:szCs w:val="29"/>
          <w:spacing w:val="4"/>
        </w:rPr>
        <w:t xml:space="preserve"> </w:t>
      </w:r>
      <w:r>
        <w:rPr>
          <w:sz w:val="29"/>
          <w:szCs w:val="29"/>
          <w:spacing w:val="1"/>
        </w:rPr>
        <w:t>玉带凤蝶、樟青凤蝶、蔷薇三节叶蜂、柳蓝叶甲等。</w:t>
      </w:r>
    </w:p>
    <w:p>
      <w:pPr>
        <w:pStyle w:val="BodyText"/>
        <w:ind w:left="590"/>
        <w:spacing w:before="15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141" w:firstLine="680"/>
        <w:spacing w:before="75" w:line="271"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135" w:firstLine="680"/>
        <w:spacing w:before="155" w:line="260"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pStyle w:val="BodyText"/>
        <w:ind w:left="590"/>
        <w:spacing w:before="163" w:line="396"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时花摆放</w:t>
      </w:r>
    </w:p>
    <w:p>
      <w:pPr>
        <w:pStyle w:val="BodyText"/>
        <w:ind w:left="680"/>
        <w:spacing w:before="10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680"/>
        <w:spacing w:before="126"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1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ind w:right="143" w:firstLine="680"/>
        <w:spacing w:before="153" w:line="260"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99" w:firstLine="680"/>
        <w:spacing w:before="153" w:line="267"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5"/>
        </w:rPr>
        <w:t>及其它物资；</w:t>
      </w:r>
    </w:p>
    <w:p>
      <w:pPr>
        <w:pStyle w:val="BodyText"/>
        <w:ind w:left="680"/>
        <w:spacing w:before="170" w:line="219" w:lineRule="auto"/>
        <w:rPr>
          <w:sz w:val="29"/>
          <w:szCs w:val="29"/>
        </w:rPr>
      </w:pPr>
      <w:r>
        <w:rPr>
          <w:sz w:val="29"/>
          <w:szCs w:val="29"/>
          <w:spacing w:val="9"/>
        </w:rPr>
        <w:t>(3)进行机械工具的检查维修。</w:t>
      </w:r>
    </w:p>
    <w:p>
      <w:pPr>
        <w:pStyle w:val="BodyText"/>
        <w:ind w:left="590"/>
        <w:spacing w:before="43"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spacing w:line="442" w:lineRule="auto"/>
        <w:rPr>
          <w:rFonts w:ascii="Arial"/>
          <w:sz w:val="21"/>
        </w:rPr>
      </w:pPr>
      <w:r/>
    </w:p>
    <w:p>
      <w:pPr>
        <w:pStyle w:val="BodyText"/>
        <w:ind w:left="139" w:right="45" w:firstLine="540"/>
        <w:spacing w:before="95" w:line="333" w:lineRule="auto"/>
        <w:rPr>
          <w:sz w:val="29"/>
          <w:szCs w:val="29"/>
        </w:rPr>
      </w:pPr>
      <w:r>
        <w:rPr>
          <w:sz w:val="29"/>
          <w:szCs w:val="29"/>
          <w:spacing w:val="-4"/>
        </w:rPr>
        <w:t>每天绿化工人在保洁的同时要注意行人随意丢弃烟头现象，并对其进行防火</w:t>
      </w:r>
      <w:r>
        <w:rPr>
          <w:sz w:val="29"/>
          <w:szCs w:val="29"/>
          <w:spacing w:val="2"/>
        </w:rPr>
        <w:t xml:space="preserve"> </w:t>
      </w:r>
      <w:r>
        <w:rPr>
          <w:sz w:val="29"/>
          <w:szCs w:val="29"/>
          <w:spacing w:val="-11"/>
        </w:rPr>
        <w:t>教育，加强防火意识。及时清扫落叶、树挂，消除火灾隐患。同时注意库房的防</w:t>
      </w:r>
    </w:p>
    <w:p>
      <w:pPr>
        <w:spacing w:line="333" w:lineRule="auto"/>
        <w:sectPr>
          <w:footerReference w:type="default" r:id="rId685"/>
          <w:pgSz w:w="14490" w:h="20470"/>
          <w:pgMar w:top="400" w:right="2173" w:bottom="1433" w:left="2150" w:header="0" w:footer="1235" w:gutter="0"/>
        </w:sectPr>
        <w:rPr>
          <w:sz w:val="29"/>
          <w:szCs w:val="29"/>
        </w:rPr>
      </w:pPr>
    </w:p>
    <w:p>
      <w:pPr>
        <w:spacing w:before="133"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570"/>
        <w:spacing w:before="206" w:line="219" w:lineRule="auto"/>
        <w:rPr>
          <w:sz w:val="29"/>
          <w:szCs w:val="29"/>
        </w:rPr>
      </w:pPr>
      <w:r>
        <w:rPr>
          <w:sz w:val="29"/>
          <w:szCs w:val="29"/>
          <w:spacing w:val="5"/>
        </w:rPr>
        <w:t>气温逐渐下降，天气干燥。</w:t>
      </w:r>
    </w:p>
    <w:p>
      <w:pPr>
        <w:pStyle w:val="BodyText"/>
        <w:ind w:left="570"/>
        <w:spacing w:before="24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23" w:line="219" w:lineRule="auto"/>
        <w:rPr>
          <w:sz w:val="29"/>
          <w:szCs w:val="29"/>
        </w:rPr>
      </w:pPr>
      <w:r>
        <w:rPr>
          <w:sz w:val="29"/>
          <w:szCs w:val="29"/>
          <w:spacing w:val="1"/>
        </w:rPr>
        <w:t>及时检查乔木支撑情况，发现松动或缺失立即加固。</w:t>
      </w:r>
    </w:p>
    <w:p>
      <w:pPr>
        <w:ind w:left="570"/>
        <w:spacing w:before="13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left="730"/>
        <w:spacing w:before="134" w:line="219" w:lineRule="auto"/>
        <w:rPr>
          <w:sz w:val="29"/>
          <w:szCs w:val="29"/>
        </w:rPr>
      </w:pPr>
      <w:r>
        <w:rPr>
          <w:sz w:val="29"/>
          <w:szCs w:val="29"/>
          <w:spacing w:val="7"/>
        </w:rPr>
        <w:t>(1)对小乔、灌木、绿篱全面整形修剪一次；</w:t>
      </w:r>
    </w:p>
    <w:p>
      <w:pPr>
        <w:pStyle w:val="BodyText"/>
        <w:ind w:left="730"/>
        <w:spacing w:before="136" w:line="219" w:lineRule="auto"/>
        <w:rPr>
          <w:sz w:val="29"/>
          <w:szCs w:val="29"/>
        </w:rPr>
      </w:pPr>
      <w:r>
        <w:rPr>
          <w:sz w:val="29"/>
          <w:szCs w:val="29"/>
          <w:spacing w:val="7"/>
        </w:rPr>
        <w:t>(2)剪去落叶乔灌木的病枝、枯枝、有虫卵枝、竞争枝、过密枝等。</w:t>
      </w:r>
    </w:p>
    <w:p>
      <w:pPr>
        <w:pStyle w:val="BodyText"/>
        <w:ind w:left="570"/>
        <w:spacing w:before="72"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730"/>
        <w:spacing w:before="128" w:line="219" w:lineRule="auto"/>
        <w:rPr>
          <w:sz w:val="29"/>
          <w:szCs w:val="29"/>
        </w:rPr>
      </w:pPr>
      <w:r>
        <w:rPr>
          <w:sz w:val="29"/>
          <w:szCs w:val="29"/>
          <w:spacing w:val="7"/>
        </w:rPr>
        <w:t>(1)注意苗木、时花的适时浇水；</w:t>
      </w:r>
    </w:p>
    <w:p>
      <w:pPr>
        <w:pStyle w:val="BodyText"/>
        <w:ind w:right="607" w:firstLine="730"/>
        <w:spacing w:before="163" w:line="267" w:lineRule="auto"/>
        <w:rPr>
          <w:sz w:val="29"/>
          <w:szCs w:val="29"/>
        </w:rPr>
      </w:pPr>
      <w:r>
        <w:rPr>
          <w:sz w:val="29"/>
          <w:szCs w:val="29"/>
          <w:spacing w:val="13"/>
        </w:rPr>
        <w:t>(2)中下旬全区施有机复合肥(有机质含量40%以上)一次，乔木、大灌</w:t>
      </w:r>
      <w:r>
        <w:rPr>
          <w:sz w:val="29"/>
          <w:szCs w:val="29"/>
          <w:spacing w:val="14"/>
        </w:rPr>
        <w:t xml:space="preserve"> </w:t>
      </w:r>
      <w:r>
        <w:rPr>
          <w:sz w:val="29"/>
          <w:szCs w:val="29"/>
          <w:spacing w:val="-5"/>
        </w:rPr>
        <w:t>木穴施；</w:t>
      </w:r>
    </w:p>
    <w:p>
      <w:pPr>
        <w:pStyle w:val="BodyText"/>
        <w:ind w:left="730"/>
        <w:spacing w:before="162" w:line="219" w:lineRule="auto"/>
        <w:rPr>
          <w:sz w:val="29"/>
          <w:szCs w:val="29"/>
        </w:rPr>
      </w:pPr>
      <w:r>
        <w:rPr>
          <w:sz w:val="29"/>
          <w:szCs w:val="29"/>
          <w:spacing w:val="1"/>
        </w:rPr>
        <w:t>(3)十月下旬对本地耐寒差的植物喷施2次植物专用防冻液。</w:t>
      </w:r>
    </w:p>
    <w:p>
      <w:pPr>
        <w:pStyle w:val="BodyText"/>
        <w:ind w:left="570"/>
        <w:spacing w:before="9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44" w:line="219" w:lineRule="auto"/>
        <w:rPr>
          <w:sz w:val="29"/>
          <w:szCs w:val="29"/>
        </w:rPr>
      </w:pPr>
      <w:r>
        <w:rPr>
          <w:sz w:val="29"/>
          <w:szCs w:val="29"/>
          <w:spacing w:val="5"/>
        </w:rPr>
        <w:t>(1)病害：白粉病、叶斑类病害、锈病、叶枯病、干腐病等；</w:t>
      </w:r>
    </w:p>
    <w:p>
      <w:pPr>
        <w:pStyle w:val="BodyText"/>
        <w:ind w:right="439" w:firstLine="730"/>
        <w:spacing w:before="146" w:line="263" w:lineRule="auto"/>
        <w:rPr>
          <w:sz w:val="29"/>
          <w:szCs w:val="29"/>
        </w:rPr>
      </w:pPr>
      <w:r>
        <w:rPr>
          <w:sz w:val="29"/>
          <w:szCs w:val="29"/>
          <w:spacing w:val="6"/>
        </w:rPr>
        <w:t>(2)虫害：大青叶蝉、桃粉蚜、桃瘤蚜、柑桔全爪</w:t>
      </w:r>
      <w:r>
        <w:rPr>
          <w:sz w:val="29"/>
          <w:szCs w:val="29"/>
          <w:spacing w:val="5"/>
        </w:rPr>
        <w:t>螨、桔绿粉虱、白蚁、</w:t>
      </w:r>
      <w:r>
        <w:rPr>
          <w:sz w:val="29"/>
          <w:szCs w:val="29"/>
        </w:rPr>
        <w:t xml:space="preserve"> </w:t>
      </w:r>
      <w:r>
        <w:rPr>
          <w:sz w:val="29"/>
          <w:szCs w:val="29"/>
          <w:spacing w:val="2"/>
        </w:rPr>
        <w:t>褐边绿刺蛾、柑桔凤蝶、玉带凤蝶、蔷薇三节</w:t>
      </w:r>
      <w:r>
        <w:rPr>
          <w:sz w:val="29"/>
          <w:szCs w:val="29"/>
          <w:spacing w:val="1"/>
        </w:rPr>
        <w:t>叶蜂等。</w:t>
      </w:r>
    </w:p>
    <w:p>
      <w:pPr>
        <w:pStyle w:val="BodyText"/>
        <w:ind w:left="570"/>
        <w:spacing w:before="156"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29" w:firstLine="730"/>
        <w:spacing w:before="10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2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10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90" w:firstLine="570"/>
        <w:spacing w:before="13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42"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70"/>
        <w:spacing w:before="115" w:line="219" w:lineRule="auto"/>
        <w:rPr>
          <w:sz w:val="29"/>
          <w:szCs w:val="29"/>
        </w:rPr>
      </w:pPr>
      <w:r>
        <w:rPr>
          <w:sz w:val="29"/>
          <w:szCs w:val="29"/>
          <w:spacing w:val="6"/>
        </w:rPr>
        <w:t>气温继续下降，施冬肥。</w:t>
      </w:r>
    </w:p>
    <w:p>
      <w:pPr>
        <w:pStyle w:val="BodyText"/>
        <w:ind w:left="570"/>
        <w:spacing w:before="26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53" w:line="219" w:lineRule="auto"/>
        <w:rPr>
          <w:sz w:val="29"/>
          <w:szCs w:val="29"/>
        </w:rPr>
      </w:pPr>
      <w:r>
        <w:rPr>
          <w:sz w:val="29"/>
          <w:szCs w:val="29"/>
          <w:spacing w:val="1"/>
        </w:rPr>
        <w:t>及时检查乔木支撑情况，发现松动或缺失立即加固。</w:t>
      </w:r>
    </w:p>
    <w:p>
      <w:pPr>
        <w:ind w:left="570"/>
        <w:spacing w:before="104" w:line="222" w:lineRule="auto"/>
        <w:rPr>
          <w:rFonts w:ascii="SimHei" w:hAnsi="SimHei" w:eastAsia="SimHei" w:cs="SimHei"/>
          <w:sz w:val="29"/>
          <w:szCs w:val="29"/>
        </w:rPr>
      </w:pPr>
      <w:r>
        <w:rPr>
          <w:rFonts w:ascii="SimHei" w:hAnsi="SimHei" w:eastAsia="SimHei" w:cs="SimHei"/>
          <w:sz w:val="29"/>
          <w:szCs w:val="29"/>
          <w:spacing w:val="6"/>
        </w:rPr>
        <w:t>2、水肥管理</w:t>
      </w:r>
    </w:p>
    <w:p>
      <w:pPr>
        <w:spacing w:line="222" w:lineRule="auto"/>
        <w:sectPr>
          <w:headerReference w:type="default" r:id="rId686"/>
          <w:footerReference w:type="default" r:id="rId687"/>
          <w:pgSz w:w="14490" w:h="20470"/>
          <w:pgMar w:top="2189" w:right="1844" w:bottom="1447" w:left="2150" w:header="1743" w:footer="1231" w:gutter="0"/>
        </w:sectPr>
        <w:rPr>
          <w:rFonts w:ascii="SimHei" w:hAnsi="SimHei" w:eastAsia="SimHei" w:cs="SimHei"/>
          <w:sz w:val="29"/>
          <w:szCs w:val="29"/>
        </w:rPr>
      </w:pP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BodyText"/>
        <w:ind w:left="570"/>
        <w:spacing w:before="95" w:line="219" w:lineRule="auto"/>
        <w:rPr>
          <w:sz w:val="29"/>
          <w:szCs w:val="29"/>
        </w:rPr>
      </w:pPr>
      <w:r>
        <w:rPr>
          <w:sz w:val="29"/>
          <w:szCs w:val="29"/>
          <w:spacing w:val="2"/>
        </w:rPr>
        <w:t>月初对全园苗木灌透水一次</w:t>
      </w:r>
    </w:p>
    <w:p>
      <w:pPr>
        <w:pStyle w:val="BodyText"/>
        <w:ind w:left="570"/>
        <w:spacing w:before="81"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病虫害防治</w:t>
      </w:r>
    </w:p>
    <w:p>
      <w:pPr>
        <w:pStyle w:val="BodyText"/>
        <w:ind w:left="730"/>
        <w:spacing w:before="149" w:line="219" w:lineRule="auto"/>
        <w:rPr>
          <w:sz w:val="29"/>
          <w:szCs w:val="29"/>
        </w:rPr>
      </w:pPr>
      <w:r>
        <w:rPr>
          <w:sz w:val="29"/>
          <w:szCs w:val="29"/>
          <w:spacing w:val="6"/>
        </w:rPr>
        <w:t>(1)病害：白粉病、叶斑类病害、叶枯病等；</w:t>
      </w:r>
    </w:p>
    <w:p>
      <w:pPr>
        <w:pStyle w:val="BodyText"/>
        <w:ind w:left="730"/>
        <w:spacing w:before="153" w:line="219" w:lineRule="auto"/>
        <w:rPr>
          <w:sz w:val="29"/>
          <w:szCs w:val="29"/>
        </w:rPr>
      </w:pPr>
      <w:r>
        <w:rPr>
          <w:sz w:val="29"/>
          <w:szCs w:val="29"/>
          <w:spacing w:val="7"/>
        </w:rPr>
        <w:t>(2)虫害：大青叶蝉、桃粉蚜、柑桔全爪</w:t>
      </w:r>
      <w:r>
        <w:rPr>
          <w:sz w:val="29"/>
          <w:szCs w:val="29"/>
          <w:spacing w:val="6"/>
        </w:rPr>
        <w:t>螨、桔绿粉虱、白蚁等。</w:t>
      </w:r>
    </w:p>
    <w:p>
      <w:pPr>
        <w:pStyle w:val="BodyText"/>
        <w:ind w:left="570"/>
        <w:spacing w:before="111" w:line="224" w:lineRule="auto"/>
        <w:rPr>
          <w:rFonts w:ascii="SimHei" w:hAnsi="SimHei" w:eastAsia="SimHei" w:cs="SimHei"/>
          <w:sz w:val="29"/>
          <w:szCs w:val="29"/>
        </w:rPr>
      </w:pPr>
      <w:r>
        <w:rPr>
          <w:rFonts w:ascii="Arial" w:hAnsi="Arial" w:eastAsia="Arial" w:cs="Arial"/>
          <w:sz w:val="29"/>
          <w:szCs w:val="29"/>
          <w:spacing w:val="1"/>
        </w:rPr>
        <w:t>4</w:t>
      </w:r>
      <w:r>
        <w:rPr>
          <w:sz w:val="29"/>
          <w:szCs w:val="29"/>
          <w:spacing w:val="1"/>
        </w:rPr>
        <w:t>、</w:t>
      </w:r>
      <w:r>
        <w:rPr>
          <w:rFonts w:ascii="SimHei" w:hAnsi="SimHei" w:eastAsia="SimHei" w:cs="SimHei"/>
          <w:sz w:val="29"/>
          <w:szCs w:val="29"/>
          <w:spacing w:val="1"/>
        </w:rPr>
        <w:t>保洁</w:t>
      </w:r>
    </w:p>
    <w:p>
      <w:pPr>
        <w:pStyle w:val="BodyText"/>
        <w:ind w:right="429" w:firstLine="730"/>
        <w:spacing w:before="115"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3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8"/>
        </w:rPr>
        <w:t>售展示区)进行彻底清理。</w:t>
      </w:r>
    </w:p>
    <w:p>
      <w:pPr>
        <w:ind w:left="570"/>
        <w:spacing w:before="184" w:line="222" w:lineRule="auto"/>
        <w:rPr>
          <w:rFonts w:ascii="SimHei" w:hAnsi="SimHei" w:eastAsia="SimHei" w:cs="SimHei"/>
          <w:sz w:val="29"/>
          <w:szCs w:val="29"/>
        </w:rPr>
      </w:pPr>
      <w:r>
        <w:rPr>
          <w:rFonts w:ascii="SimHei" w:hAnsi="SimHei" w:eastAsia="SimHei" w:cs="SimHei"/>
          <w:sz w:val="29"/>
          <w:szCs w:val="29"/>
          <w:spacing w:val="9"/>
        </w:rPr>
        <w:t>5、物资管理</w:t>
      </w:r>
    </w:p>
    <w:p>
      <w:pPr>
        <w:pStyle w:val="BodyText"/>
        <w:spacing w:before="9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72"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防火防盗</w:t>
      </w:r>
    </w:p>
    <w:p>
      <w:pPr>
        <w:pStyle w:val="BodyText"/>
        <w:ind w:right="90" w:firstLine="570"/>
        <w:spacing w:before="13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pStyle w:val="BodyText"/>
        <w:ind w:left="570"/>
        <w:spacing w:before="67" w:line="221" w:lineRule="auto"/>
        <w:rPr>
          <w:rFonts w:ascii="SimHei" w:hAnsi="SimHei" w:eastAsia="SimHei" w:cs="SimHei"/>
          <w:sz w:val="27"/>
          <w:szCs w:val="27"/>
        </w:rPr>
      </w:pPr>
      <w:r>
        <w:rPr>
          <w:rFonts w:ascii="Arial" w:hAnsi="Arial" w:eastAsia="Arial" w:cs="Arial"/>
          <w:sz w:val="27"/>
          <w:szCs w:val="27"/>
          <w:spacing w:val="-17"/>
        </w:rPr>
        <w:t>7</w:t>
      </w:r>
      <w:r>
        <w:rPr>
          <w:rFonts w:ascii="Arial" w:hAnsi="Arial" w:eastAsia="Arial" w:cs="Arial"/>
          <w:sz w:val="27"/>
          <w:szCs w:val="27"/>
          <w:spacing w:val="-46"/>
        </w:rPr>
        <w:t xml:space="preserve"> </w:t>
      </w:r>
      <w:r>
        <w:rPr>
          <w:sz w:val="27"/>
          <w:szCs w:val="27"/>
          <w:spacing w:val="-17"/>
        </w:rPr>
        <w:t>、</w:t>
      </w:r>
      <w:r>
        <w:rPr>
          <w:sz w:val="27"/>
          <w:szCs w:val="27"/>
          <w:spacing w:val="-62"/>
        </w:rPr>
        <w:t xml:space="preserve"> </w:t>
      </w:r>
      <w:r>
        <w:rPr>
          <w:rFonts w:ascii="SimHei" w:hAnsi="SimHei" w:eastAsia="SimHei" w:cs="SimHei"/>
          <w:sz w:val="27"/>
          <w:szCs w:val="27"/>
          <w:spacing w:val="-17"/>
        </w:rPr>
        <w:t>防</w:t>
      </w:r>
      <w:r>
        <w:rPr>
          <w:rFonts w:ascii="SimHei" w:hAnsi="SimHei" w:eastAsia="SimHei" w:cs="SimHei"/>
          <w:sz w:val="27"/>
          <w:szCs w:val="27"/>
          <w:spacing w:val="-59"/>
        </w:rPr>
        <w:t xml:space="preserve"> </w:t>
      </w:r>
      <w:r>
        <w:rPr>
          <w:rFonts w:ascii="SimHei" w:hAnsi="SimHei" w:eastAsia="SimHei" w:cs="SimHei"/>
          <w:sz w:val="27"/>
          <w:szCs w:val="27"/>
          <w:spacing w:val="-17"/>
        </w:rPr>
        <w:t>寒</w:t>
      </w:r>
    </w:p>
    <w:p>
      <w:pPr>
        <w:pStyle w:val="BodyText"/>
        <w:ind w:right="511" w:firstLine="570"/>
        <w:spacing w:before="90" w:line="314" w:lineRule="auto"/>
        <w:rPr>
          <w:sz w:val="29"/>
          <w:szCs w:val="29"/>
        </w:rPr>
      </w:pPr>
      <w:r>
        <w:rPr>
          <w:sz w:val="29"/>
          <w:szCs w:val="29"/>
          <w:spacing w:val="-21"/>
        </w:rPr>
        <w:t>根据天气情况，对耐寒性较差或新栽植的乔灌木，进行防寒打支架、缠草</w:t>
      </w:r>
      <w:r>
        <w:rPr>
          <w:sz w:val="29"/>
          <w:szCs w:val="29"/>
          <w:spacing w:val="-22"/>
        </w:rPr>
        <w:t>绳，做</w:t>
      </w:r>
      <w:r>
        <w:rPr>
          <w:sz w:val="29"/>
          <w:szCs w:val="29"/>
        </w:rPr>
        <w:t xml:space="preserve"> </w:t>
      </w:r>
      <w:r>
        <w:rPr>
          <w:sz w:val="29"/>
          <w:szCs w:val="29"/>
          <w:spacing w:val="-1"/>
        </w:rPr>
        <w:t>好防寒基础工作。</w:t>
      </w:r>
    </w:p>
    <w:p>
      <w:pPr>
        <w:spacing w:before="66"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570"/>
        <w:spacing w:before="91" w:line="219" w:lineRule="auto"/>
        <w:rPr>
          <w:sz w:val="29"/>
          <w:szCs w:val="29"/>
        </w:rPr>
      </w:pPr>
      <w:r>
        <w:rPr>
          <w:sz w:val="29"/>
          <w:szCs w:val="29"/>
          <w:spacing w:val="6"/>
        </w:rPr>
        <w:t>气温低，开始冬季养护工作。</w:t>
      </w:r>
    </w:p>
    <w:p>
      <w:pPr>
        <w:pStyle w:val="BodyText"/>
        <w:ind w:left="570"/>
        <w:spacing w:before="27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44" w:line="219" w:lineRule="auto"/>
        <w:rPr>
          <w:sz w:val="29"/>
          <w:szCs w:val="29"/>
        </w:rPr>
      </w:pPr>
      <w:r>
        <w:rPr>
          <w:sz w:val="29"/>
          <w:szCs w:val="29"/>
          <w:spacing w:val="6"/>
        </w:rPr>
        <w:t>(1)检查防寒设施的完好情况，发现破损立即修补；</w:t>
      </w:r>
    </w:p>
    <w:p>
      <w:pPr>
        <w:pStyle w:val="BodyText"/>
        <w:ind w:left="730"/>
        <w:spacing w:before="126" w:line="219" w:lineRule="auto"/>
        <w:rPr>
          <w:sz w:val="29"/>
          <w:szCs w:val="29"/>
        </w:rPr>
      </w:pPr>
      <w:r>
        <w:rPr>
          <w:sz w:val="29"/>
          <w:szCs w:val="29"/>
          <w:spacing w:val="7"/>
        </w:rPr>
        <w:t>(2)及时检查乔木支撑情况，发现松动或缺失立即加固。</w:t>
      </w:r>
    </w:p>
    <w:p>
      <w:pPr>
        <w:pStyle w:val="BodyText"/>
        <w:ind w:left="570"/>
        <w:spacing w:before="139" w:line="224" w:lineRule="auto"/>
        <w:rPr>
          <w:rFonts w:ascii="SimHei" w:hAnsi="SimHei" w:eastAsia="SimHei" w:cs="SimHei"/>
          <w:sz w:val="29"/>
          <w:szCs w:val="29"/>
        </w:rPr>
      </w:pPr>
      <w:r>
        <w:rPr>
          <w:rFonts w:ascii="Arial" w:hAnsi="Arial" w:eastAsia="Arial" w:cs="Arial"/>
          <w:sz w:val="29"/>
          <w:szCs w:val="29"/>
          <w:spacing w:val="7"/>
        </w:rPr>
        <w:t>2</w:t>
      </w:r>
      <w:r>
        <w:rPr>
          <w:sz w:val="29"/>
          <w:szCs w:val="29"/>
          <w:spacing w:val="7"/>
        </w:rPr>
        <w:t>、</w:t>
      </w:r>
      <w:r>
        <w:rPr>
          <w:rFonts w:ascii="SimHei" w:hAnsi="SimHei" w:eastAsia="SimHei" w:cs="SimHei"/>
          <w:sz w:val="29"/>
          <w:szCs w:val="29"/>
          <w:spacing w:val="7"/>
        </w:rPr>
        <w:t>保洁</w:t>
      </w:r>
    </w:p>
    <w:p>
      <w:pPr>
        <w:pStyle w:val="BodyText"/>
        <w:ind w:right="429" w:firstLine="730"/>
        <w:spacing w:before="115"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23" w:firstLine="730"/>
        <w:spacing w:before="156" w:line="263"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8"/>
        </w:rPr>
        <w:t>售展示区)进行彻底清理。</w:t>
      </w:r>
    </w:p>
    <w:p>
      <w:pPr>
        <w:pStyle w:val="BodyText"/>
        <w:ind w:left="570"/>
        <w:spacing w:before="143"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时花摆放</w:t>
      </w:r>
    </w:p>
    <w:p>
      <w:pPr>
        <w:pStyle w:val="BodyText"/>
        <w:ind w:left="730"/>
        <w:spacing w:before="98" w:line="219" w:lineRule="auto"/>
        <w:rPr>
          <w:sz w:val="29"/>
          <w:szCs w:val="29"/>
        </w:rPr>
      </w:pPr>
      <w:r>
        <w:rPr>
          <w:sz w:val="29"/>
          <w:szCs w:val="29"/>
          <w:spacing w:val="6"/>
        </w:rPr>
        <w:t>(1)月初提交时花需求计划，选择亮色花卉，安排下旬进场；</w:t>
      </w:r>
    </w:p>
    <w:p>
      <w:pPr>
        <w:pStyle w:val="BodyText"/>
        <w:ind w:left="73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84" w:line="222" w:lineRule="auto"/>
        <w:rPr>
          <w:rFonts w:ascii="SimHei" w:hAnsi="SimHei" w:eastAsia="SimHei" w:cs="SimHei"/>
          <w:sz w:val="29"/>
          <w:szCs w:val="29"/>
        </w:rPr>
      </w:pPr>
      <w:r>
        <w:rPr>
          <w:rFonts w:ascii="Arial" w:hAnsi="Arial" w:eastAsia="Arial" w:cs="Arial"/>
          <w:sz w:val="29"/>
          <w:szCs w:val="29"/>
          <w:spacing w:val="11"/>
        </w:rPr>
        <w:t>4</w:t>
      </w:r>
      <w:r>
        <w:rPr>
          <w:sz w:val="29"/>
          <w:szCs w:val="29"/>
          <w:spacing w:val="11"/>
        </w:rPr>
        <w:t>、</w:t>
      </w:r>
      <w:r>
        <w:rPr>
          <w:rFonts w:ascii="SimHei" w:hAnsi="SimHei" w:eastAsia="SimHei" w:cs="SimHei"/>
          <w:sz w:val="29"/>
          <w:szCs w:val="29"/>
          <w:spacing w:val="11"/>
        </w:rPr>
        <w:t>物资管理</w:t>
      </w:r>
    </w:p>
    <w:p>
      <w:pPr>
        <w:pStyle w:val="BodyText"/>
        <w:ind w:right="431" w:firstLine="730"/>
        <w:spacing w:before="151" w:line="322"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spacing w:line="322" w:lineRule="auto"/>
        <w:sectPr>
          <w:headerReference w:type="default" r:id="rId312"/>
          <w:footerReference w:type="default" r:id="rId688"/>
          <w:pgSz w:w="14490" w:h="20470"/>
          <w:pgMar w:top="400" w:right="1844" w:bottom="1447" w:left="2150" w:header="0" w:footer="1230"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91" w:firstLine="730"/>
        <w:spacing w:before="94" w:line="308" w:lineRule="auto"/>
        <w:rPr>
          <w:sz w:val="29"/>
          <w:szCs w:val="29"/>
        </w:rPr>
      </w:pPr>
      <w:r>
        <w:rPr>
          <w:sz w:val="29"/>
          <w:szCs w:val="29"/>
          <w:spacing w:val="2"/>
        </w:rPr>
        <w:t>(2)根据现场的实际情况，申请购置翌年1、2、3月份的农药、化肥、营养</w:t>
      </w:r>
      <w:r>
        <w:rPr>
          <w:sz w:val="29"/>
          <w:szCs w:val="29"/>
          <w:spacing w:val="12"/>
        </w:rPr>
        <w:t xml:space="preserve"> </w:t>
      </w:r>
      <w:r>
        <w:rPr>
          <w:sz w:val="29"/>
          <w:szCs w:val="29"/>
          <w:spacing w:val="-1"/>
        </w:rPr>
        <w:t>剂及其它物资。</w:t>
      </w:r>
    </w:p>
    <w:p>
      <w:pPr>
        <w:pStyle w:val="BodyText"/>
        <w:ind w:left="610"/>
        <w:spacing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防火防盗</w:t>
      </w:r>
    </w:p>
    <w:p>
      <w:pPr>
        <w:pStyle w:val="BodyText"/>
        <w:ind w:firstLine="580"/>
        <w:spacing w:before="99"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4"/>
        </w:rPr>
        <w:t>防盗情况。</w:t>
      </w:r>
    </w:p>
    <w:p>
      <w:pPr>
        <w:pStyle w:val="BodyText"/>
        <w:ind w:left="580"/>
        <w:spacing w:line="368" w:lineRule="exact"/>
        <w:rPr>
          <w:rFonts w:ascii="SimHei" w:hAnsi="SimHei" w:eastAsia="SimHei" w:cs="SimHei"/>
          <w:sz w:val="27"/>
          <w:szCs w:val="27"/>
        </w:rPr>
      </w:pPr>
      <w:r>
        <w:rPr>
          <w:rFonts w:ascii="Arial" w:hAnsi="Arial" w:eastAsia="Arial" w:cs="Arial"/>
          <w:sz w:val="27"/>
          <w:szCs w:val="27"/>
          <w:spacing w:val="-17"/>
          <w:position w:val="1"/>
        </w:rPr>
        <w:t>6</w:t>
      </w:r>
      <w:r>
        <w:rPr>
          <w:rFonts w:ascii="Arial" w:hAnsi="Arial" w:eastAsia="Arial" w:cs="Arial"/>
          <w:sz w:val="27"/>
          <w:szCs w:val="27"/>
          <w:spacing w:val="-43"/>
          <w:position w:val="1"/>
        </w:rPr>
        <w:t xml:space="preserve"> </w:t>
      </w:r>
      <w:r>
        <w:rPr>
          <w:sz w:val="27"/>
          <w:szCs w:val="27"/>
          <w:spacing w:val="-17"/>
          <w:position w:val="1"/>
        </w:rPr>
        <w:t>、</w:t>
      </w:r>
      <w:r>
        <w:rPr>
          <w:sz w:val="27"/>
          <w:szCs w:val="27"/>
          <w:spacing w:val="-75"/>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39"/>
          <w:position w:val="1"/>
        </w:rPr>
        <w:t xml:space="preserve"> </w:t>
      </w:r>
      <w:r>
        <w:rPr>
          <w:rFonts w:ascii="SimHei" w:hAnsi="SimHei" w:eastAsia="SimHei" w:cs="SimHei"/>
          <w:sz w:val="27"/>
          <w:szCs w:val="27"/>
          <w:spacing w:val="-17"/>
          <w:position w:val="1"/>
        </w:rPr>
        <w:t>寒</w:t>
      </w:r>
    </w:p>
    <w:p>
      <w:pPr>
        <w:pStyle w:val="BodyText"/>
        <w:ind w:left="630"/>
        <w:spacing w:before="103" w:line="219" w:lineRule="auto"/>
        <w:rPr>
          <w:sz w:val="29"/>
          <w:szCs w:val="29"/>
        </w:rPr>
      </w:pPr>
      <w:r>
        <w:rPr>
          <w:sz w:val="29"/>
          <w:szCs w:val="29"/>
          <w:spacing w:val="-3"/>
        </w:rPr>
        <w:t>全面完成防寒设施，如有破损及时修补。</w:t>
      </w:r>
    </w:p>
    <w:p>
      <w:pPr>
        <w:spacing w:line="219" w:lineRule="auto"/>
        <w:sectPr>
          <w:footerReference w:type="default" r:id="rId689"/>
          <w:pgSz w:w="14490" w:h="20470"/>
          <w:pgMar w:top="400" w:right="1945" w:bottom="1447" w:left="2160" w:header="0" w:footer="1230" w:gutter="0"/>
        </w:sectPr>
        <w:rPr>
          <w:sz w:val="29"/>
          <w:szCs w:val="29"/>
        </w:rPr>
      </w:pP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4049"/>
        <w:spacing w:before="94" w:line="222" w:lineRule="auto"/>
        <w:outlineLvl w:val="1"/>
        <w:rPr>
          <w:rFonts w:ascii="SimHei" w:hAnsi="SimHei" w:eastAsia="SimHei" w:cs="SimHei"/>
          <w:sz w:val="29"/>
          <w:szCs w:val="29"/>
        </w:rPr>
      </w:pPr>
      <w:bookmarkStart w:name="bookmark74" w:id="133"/>
      <w:bookmarkEnd w:id="133"/>
      <w:r>
        <w:rPr>
          <w:rFonts w:ascii="SimHei" w:hAnsi="SimHei" w:eastAsia="SimHei" w:cs="SimHei"/>
          <w:sz w:val="29"/>
          <w:szCs w:val="29"/>
          <w:spacing w:val="3"/>
        </w:rPr>
        <w:t>重庆、贵州地区</w:t>
      </w:r>
    </w:p>
    <w:p>
      <w:pPr>
        <w:spacing w:before="172" w:line="223" w:lineRule="auto"/>
        <w:rPr>
          <w:rFonts w:ascii="SimHei" w:hAnsi="SimHei" w:eastAsia="SimHei" w:cs="SimHei"/>
          <w:sz w:val="30"/>
          <w:szCs w:val="30"/>
        </w:rPr>
      </w:pPr>
      <w:bookmarkStart w:name="bookmark138" w:id="134"/>
      <w:bookmarkEnd w:id="134"/>
      <w:r>
        <w:rPr>
          <w:rFonts w:ascii="SimHei" w:hAnsi="SimHei" w:eastAsia="SimHei" w:cs="SimHei"/>
          <w:sz w:val="30"/>
          <w:szCs w:val="30"/>
          <w:spacing w:val="-3"/>
        </w:rPr>
        <w:t>一、二月份</w:t>
      </w:r>
    </w:p>
    <w:p>
      <w:pPr>
        <w:pStyle w:val="BodyText"/>
        <w:ind w:left="570"/>
        <w:spacing w:before="146" w:line="219" w:lineRule="auto"/>
        <w:rPr>
          <w:sz w:val="29"/>
          <w:szCs w:val="29"/>
        </w:rPr>
      </w:pPr>
      <w:r>
        <w:rPr>
          <w:sz w:val="29"/>
          <w:szCs w:val="29"/>
          <w:spacing w:val="4"/>
        </w:rPr>
        <w:t>全年中气温最低的月份，日照最少，降雨少，重点是保洁与防</w:t>
      </w:r>
      <w:r>
        <w:rPr>
          <w:sz w:val="29"/>
          <w:szCs w:val="29"/>
          <w:spacing w:val="3"/>
        </w:rPr>
        <w:t>寒。</w:t>
      </w:r>
    </w:p>
    <w:p>
      <w:pPr>
        <w:pStyle w:val="BodyText"/>
        <w:ind w:left="570"/>
        <w:spacing w:before="26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20"/>
        <w:spacing w:before="123" w:line="219" w:lineRule="auto"/>
        <w:rPr>
          <w:sz w:val="29"/>
          <w:szCs w:val="29"/>
        </w:rPr>
      </w:pPr>
      <w:r>
        <w:rPr>
          <w:sz w:val="29"/>
          <w:szCs w:val="29"/>
          <w:spacing w:val="-3"/>
        </w:rPr>
        <w:t>(1)</w:t>
      </w:r>
      <w:r>
        <w:rPr>
          <w:sz w:val="29"/>
          <w:szCs w:val="29"/>
          <w:spacing w:val="76"/>
        </w:rPr>
        <w:t xml:space="preserve"> </w:t>
      </w:r>
      <w:r>
        <w:rPr>
          <w:sz w:val="29"/>
          <w:szCs w:val="29"/>
          <w:spacing w:val="-3"/>
        </w:rPr>
        <w:t>检查防寒设施的完好情况，发现破损立即修补；</w:t>
      </w:r>
    </w:p>
    <w:p>
      <w:pPr>
        <w:pStyle w:val="BodyText"/>
        <w:ind w:right="530" w:firstLine="720"/>
        <w:spacing w:before="165" w:line="269" w:lineRule="auto"/>
        <w:rPr>
          <w:sz w:val="29"/>
          <w:szCs w:val="29"/>
        </w:rPr>
      </w:pPr>
      <w:r>
        <w:rPr>
          <w:sz w:val="29"/>
          <w:szCs w:val="29"/>
          <w:spacing w:val="-2"/>
        </w:rPr>
        <w:t>(2)检查棕榈科植物保温薄膜内温度变化，1月份偶尔会出现稍高温天气，</w:t>
      </w:r>
      <w:r>
        <w:rPr>
          <w:sz w:val="29"/>
          <w:szCs w:val="29"/>
          <w:spacing w:val="11"/>
        </w:rPr>
        <w:t xml:space="preserve"> </w:t>
      </w:r>
      <w:r>
        <w:rPr>
          <w:sz w:val="29"/>
          <w:szCs w:val="29"/>
          <w:spacing w:val="-4"/>
        </w:rPr>
        <w:t>保温膜内温度过高地被需进行适当的掀起通风降温；</w:t>
      </w:r>
    </w:p>
    <w:p>
      <w:pPr>
        <w:pStyle w:val="BodyText"/>
        <w:ind w:left="720"/>
        <w:spacing w:before="146" w:line="219" w:lineRule="auto"/>
        <w:rPr>
          <w:sz w:val="29"/>
          <w:szCs w:val="29"/>
        </w:rPr>
      </w:pPr>
      <w:r>
        <w:rPr>
          <w:sz w:val="29"/>
          <w:szCs w:val="29"/>
          <w:spacing w:val="6"/>
        </w:rPr>
        <w:t>(3)及时检查乔木支撑情况，发现松动或缺失立即加固；</w:t>
      </w:r>
    </w:p>
    <w:p>
      <w:pPr>
        <w:pStyle w:val="BodyText"/>
        <w:ind w:left="720"/>
        <w:spacing w:before="144" w:line="219" w:lineRule="auto"/>
        <w:rPr>
          <w:sz w:val="29"/>
          <w:szCs w:val="29"/>
        </w:rPr>
      </w:pPr>
      <w:r>
        <w:rPr>
          <w:sz w:val="29"/>
          <w:szCs w:val="29"/>
          <w:spacing w:val="9"/>
        </w:rPr>
        <w:t>(4)园区地被草坪边角被破坏的及时恢复补植。</w:t>
      </w:r>
    </w:p>
    <w:p>
      <w:pPr>
        <w:ind w:left="570"/>
        <w:spacing w:before="106" w:line="222" w:lineRule="auto"/>
        <w:rPr>
          <w:rFonts w:ascii="SimHei" w:hAnsi="SimHei" w:eastAsia="SimHei" w:cs="SimHei"/>
          <w:sz w:val="29"/>
          <w:szCs w:val="29"/>
        </w:rPr>
      </w:pPr>
      <w:r>
        <w:rPr>
          <w:rFonts w:ascii="SimHei" w:hAnsi="SimHei" w:eastAsia="SimHei" w:cs="SimHei"/>
          <w:sz w:val="29"/>
          <w:szCs w:val="29"/>
          <w:spacing w:val="6"/>
        </w:rPr>
        <w:t>2、水肥管理</w:t>
      </w:r>
    </w:p>
    <w:p>
      <w:pPr>
        <w:pStyle w:val="BodyText"/>
        <w:ind w:right="411" w:firstLine="720"/>
        <w:spacing w:before="152" w:line="269" w:lineRule="auto"/>
        <w:rPr>
          <w:sz w:val="29"/>
          <w:szCs w:val="29"/>
        </w:rPr>
      </w:pPr>
      <w:r>
        <w:rPr>
          <w:sz w:val="29"/>
          <w:szCs w:val="29"/>
          <w:spacing w:val="6"/>
        </w:rPr>
        <w:t>(1)除冬季开花的植物根据天气适量浇水外，保温防寒的植物以保持盆土</w:t>
      </w:r>
      <w:r>
        <w:rPr>
          <w:sz w:val="29"/>
          <w:szCs w:val="29"/>
          <w:spacing w:val="9"/>
        </w:rPr>
        <w:t xml:space="preserve"> </w:t>
      </w:r>
      <w:r>
        <w:rPr>
          <w:sz w:val="29"/>
          <w:szCs w:val="29"/>
          <w:spacing w:val="-1"/>
        </w:rPr>
        <w:t>湿润为度，一般苗木可不浇水；</w:t>
      </w:r>
    </w:p>
    <w:p>
      <w:pPr>
        <w:pStyle w:val="BodyText"/>
        <w:ind w:right="827" w:firstLine="720"/>
        <w:spacing w:before="145" w:line="266" w:lineRule="auto"/>
        <w:rPr>
          <w:sz w:val="29"/>
          <w:szCs w:val="29"/>
        </w:rPr>
      </w:pPr>
      <w:r>
        <w:rPr>
          <w:sz w:val="29"/>
          <w:szCs w:val="29"/>
          <w:spacing w:val="-2"/>
        </w:rPr>
        <w:t>(2)对2-3月新芽萌发较早的树种，如天竺桂、香樟等新种植苗木，应在</w:t>
      </w:r>
      <w:r>
        <w:rPr>
          <w:sz w:val="29"/>
          <w:szCs w:val="29"/>
          <w:spacing w:val="4"/>
        </w:rPr>
        <w:t xml:space="preserve"> </w:t>
      </w:r>
      <w:r>
        <w:rPr>
          <w:sz w:val="29"/>
          <w:szCs w:val="29"/>
          <w:spacing w:val="-1"/>
        </w:rPr>
        <w:t>2月根据天气状况适时浇水；</w:t>
      </w:r>
    </w:p>
    <w:p>
      <w:pPr>
        <w:pStyle w:val="BodyText"/>
        <w:ind w:left="720"/>
        <w:spacing w:before="144" w:line="219" w:lineRule="auto"/>
        <w:rPr>
          <w:sz w:val="29"/>
          <w:szCs w:val="29"/>
        </w:rPr>
      </w:pPr>
      <w:r>
        <w:rPr>
          <w:sz w:val="29"/>
          <w:szCs w:val="29"/>
          <w:spacing w:val="18"/>
        </w:rPr>
        <w:t>(3)1月份完成冬季施肥(有机复合肥)工作；</w:t>
      </w:r>
    </w:p>
    <w:p>
      <w:pPr>
        <w:pStyle w:val="BodyText"/>
        <w:ind w:left="720"/>
        <w:spacing w:before="126" w:line="219" w:lineRule="auto"/>
        <w:rPr>
          <w:sz w:val="29"/>
          <w:szCs w:val="29"/>
        </w:rPr>
      </w:pPr>
      <w:r>
        <w:rPr>
          <w:sz w:val="29"/>
          <w:szCs w:val="29"/>
          <w:spacing w:val="7"/>
        </w:rPr>
        <w:t>(4)2月份对园区樱花、桃花、杜鹃进行花前施肥。</w:t>
      </w:r>
    </w:p>
    <w:p>
      <w:pPr>
        <w:pStyle w:val="BodyText"/>
        <w:ind w:left="570"/>
        <w:spacing w:before="83" w:line="395"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病虫害防治</w:t>
      </w:r>
    </w:p>
    <w:p>
      <w:pPr>
        <w:pStyle w:val="BodyText"/>
        <w:ind w:left="570"/>
        <w:spacing w:before="150" w:line="219" w:lineRule="auto"/>
        <w:rPr>
          <w:sz w:val="29"/>
          <w:szCs w:val="29"/>
        </w:rPr>
      </w:pPr>
      <w:r>
        <w:rPr>
          <w:sz w:val="29"/>
          <w:szCs w:val="29"/>
        </w:rPr>
        <w:t>虫害：榕管蓟马、柑桔全爪螨等。</w:t>
      </w:r>
    </w:p>
    <w:p>
      <w:pPr>
        <w:pStyle w:val="BodyText"/>
        <w:ind w:left="570"/>
        <w:spacing w:before="109" w:line="224" w:lineRule="auto"/>
        <w:rPr>
          <w:rFonts w:ascii="SimHei" w:hAnsi="SimHei" w:eastAsia="SimHei" w:cs="SimHei"/>
          <w:sz w:val="29"/>
          <w:szCs w:val="29"/>
        </w:rPr>
      </w:pPr>
      <w:r>
        <w:rPr>
          <w:rFonts w:ascii="Arial" w:hAnsi="Arial" w:eastAsia="Arial" w:cs="Arial"/>
          <w:sz w:val="29"/>
          <w:szCs w:val="29"/>
          <w:spacing w:val="14"/>
        </w:rPr>
        <w:t>4</w:t>
      </w:r>
      <w:r>
        <w:rPr>
          <w:sz w:val="29"/>
          <w:szCs w:val="29"/>
          <w:spacing w:val="14"/>
        </w:rPr>
        <w:t>、</w:t>
      </w:r>
      <w:r>
        <w:rPr>
          <w:rFonts w:ascii="SimHei" w:hAnsi="SimHei" w:eastAsia="SimHei" w:cs="SimHei"/>
          <w:sz w:val="29"/>
          <w:szCs w:val="29"/>
          <w:spacing w:val="14"/>
        </w:rPr>
        <w:t>保洁</w:t>
      </w:r>
    </w:p>
    <w:p>
      <w:pPr>
        <w:pStyle w:val="BodyText"/>
        <w:ind w:right="410" w:firstLine="720"/>
        <w:spacing w:before="133" w:line="259" w:lineRule="auto"/>
        <w:rPr>
          <w:sz w:val="29"/>
          <w:szCs w:val="29"/>
        </w:rPr>
      </w:pPr>
      <w:r>
        <w:rPr>
          <w:sz w:val="29"/>
          <w:szCs w:val="29"/>
        </w:rPr>
        <w:t>(1)</w:t>
      </w:r>
      <w:r>
        <w:rPr>
          <w:sz w:val="29"/>
          <w:szCs w:val="29"/>
          <w:spacing w:val="72"/>
        </w:rPr>
        <w:t xml:space="preserve"> </w:t>
      </w:r>
      <w:r>
        <w:rPr>
          <w:sz w:val="29"/>
          <w:szCs w:val="29"/>
        </w:rPr>
        <w:t>保洁人员合理分区，全天候巡视，及时清理烟头</w:t>
      </w:r>
      <w:r>
        <w:rPr>
          <w:sz w:val="29"/>
          <w:szCs w:val="29"/>
          <w:spacing w:val="-1"/>
        </w:rPr>
        <w:t>、树挂等垃圾，水景</w:t>
      </w:r>
      <w:r>
        <w:rPr>
          <w:sz w:val="29"/>
          <w:szCs w:val="29"/>
        </w:rPr>
        <w:t xml:space="preserve"> </w:t>
      </w:r>
      <w:r>
        <w:rPr>
          <w:sz w:val="29"/>
          <w:szCs w:val="29"/>
          <w:spacing w:val="-1"/>
        </w:rPr>
        <w:t>池、灯杆、垃圾桶保持干净；</w:t>
      </w:r>
    </w:p>
    <w:p>
      <w:pPr>
        <w:pStyle w:val="BodyText"/>
        <w:ind w:right="403" w:firstLine="720"/>
        <w:spacing w:before="176" w:line="263"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pStyle w:val="BodyText"/>
        <w:ind w:left="570"/>
        <w:spacing w:before="143" w:line="395" w:lineRule="exact"/>
        <w:rPr>
          <w:rFonts w:ascii="SimHei" w:hAnsi="SimHei" w:eastAsia="SimHei" w:cs="SimHei"/>
          <w:sz w:val="29"/>
          <w:szCs w:val="29"/>
        </w:rPr>
      </w:pPr>
      <w:r>
        <w:rPr>
          <w:rFonts w:ascii="Arial" w:hAnsi="Arial" w:eastAsia="Arial" w:cs="Arial"/>
          <w:sz w:val="29"/>
          <w:szCs w:val="29"/>
          <w:spacing w:val="3"/>
          <w:position w:val="1"/>
        </w:rPr>
        <w:t>5</w:t>
      </w:r>
      <w:r>
        <w:rPr>
          <w:sz w:val="29"/>
          <w:szCs w:val="29"/>
          <w:spacing w:val="3"/>
          <w:position w:val="1"/>
        </w:rPr>
        <w:t>、</w:t>
      </w:r>
      <w:r>
        <w:rPr>
          <w:rFonts w:ascii="SimHei" w:hAnsi="SimHei" w:eastAsia="SimHei" w:cs="SimHei"/>
          <w:sz w:val="29"/>
          <w:szCs w:val="29"/>
          <w:spacing w:val="3"/>
          <w:position w:val="1"/>
        </w:rPr>
        <w:t>时花摆放</w:t>
      </w:r>
    </w:p>
    <w:p>
      <w:pPr>
        <w:pStyle w:val="BodyText"/>
        <w:ind w:right="682" w:firstLine="720"/>
        <w:spacing w:before="98" w:line="263" w:lineRule="auto"/>
        <w:rPr>
          <w:sz w:val="29"/>
          <w:szCs w:val="29"/>
        </w:rPr>
      </w:pPr>
      <w:r>
        <w:rPr>
          <w:sz w:val="29"/>
          <w:szCs w:val="29"/>
          <w:spacing w:val="-2"/>
        </w:rPr>
        <w:t>(1)月初提交时花或假花需求计划，选择亮色花卉，安排腊月20号左右进</w:t>
      </w:r>
      <w:r>
        <w:rPr>
          <w:sz w:val="29"/>
          <w:szCs w:val="29"/>
          <w:spacing w:val="4"/>
        </w:rPr>
        <w:t xml:space="preserve"> </w:t>
      </w:r>
      <w:r>
        <w:rPr>
          <w:sz w:val="29"/>
          <w:szCs w:val="29"/>
          <w:spacing w:val="-9"/>
        </w:rPr>
        <w:t>场；</w:t>
      </w:r>
    </w:p>
    <w:p>
      <w:pPr>
        <w:pStyle w:val="BodyText"/>
        <w:ind w:left="720"/>
        <w:spacing w:before="141" w:line="219" w:lineRule="auto"/>
        <w:rPr>
          <w:sz w:val="29"/>
          <w:szCs w:val="29"/>
        </w:rPr>
      </w:pPr>
      <w:r>
        <w:rPr>
          <w:sz w:val="29"/>
          <w:szCs w:val="29"/>
          <w:spacing w:val="7"/>
        </w:rPr>
        <w:t>(2)春假放假前将时花摆放完毕，注意摆放外侧避免黑色</w:t>
      </w:r>
      <w:r>
        <w:rPr>
          <w:sz w:val="29"/>
          <w:szCs w:val="29"/>
          <w:spacing w:val="6"/>
        </w:rPr>
        <w:t>塑料盆出现。</w:t>
      </w:r>
    </w:p>
    <w:p>
      <w:pPr>
        <w:ind w:left="570"/>
        <w:spacing w:before="136" w:line="222" w:lineRule="auto"/>
        <w:rPr>
          <w:rFonts w:ascii="SimHei" w:hAnsi="SimHei" w:eastAsia="SimHei" w:cs="SimHei"/>
          <w:sz w:val="29"/>
          <w:szCs w:val="29"/>
        </w:rPr>
      </w:pPr>
      <w:r>
        <w:rPr>
          <w:rFonts w:ascii="SimHei" w:hAnsi="SimHei" w:eastAsia="SimHei" w:cs="SimHei"/>
          <w:sz w:val="29"/>
          <w:szCs w:val="29"/>
          <w:spacing w:val="-1"/>
        </w:rPr>
        <w:t>6、物资管理</w:t>
      </w:r>
    </w:p>
    <w:p>
      <w:pPr>
        <w:pStyle w:val="BodyText"/>
        <w:spacing w:before="134" w:line="219" w:lineRule="auto"/>
        <w:jc w:val="right"/>
        <w:rPr>
          <w:sz w:val="29"/>
          <w:szCs w:val="29"/>
        </w:rPr>
      </w:pPr>
      <w:r>
        <w:rPr>
          <w:sz w:val="29"/>
          <w:szCs w:val="29"/>
          <w:spacing w:val="1"/>
        </w:rPr>
        <w:t>库房物品整理，物料工具出入库及领用登记，注意保管汽油、农药等危险品。</w:t>
      </w:r>
    </w:p>
    <w:p>
      <w:pPr>
        <w:pStyle w:val="BodyText"/>
        <w:ind w:left="570"/>
        <w:spacing w:before="123"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70" w:firstLine="570"/>
        <w:spacing w:before="126" w:line="320" w:lineRule="auto"/>
        <w:rPr>
          <w:sz w:val="29"/>
          <w:szCs w:val="29"/>
        </w:rPr>
      </w:pPr>
      <w:r>
        <w:rPr>
          <w:sz w:val="29"/>
          <w:szCs w:val="29"/>
          <w:spacing w:val="2"/>
        </w:rPr>
        <w:t>每天绿化工人在保洁的同时要注意行人随意丢弃烟头现象，并对其进行防火</w:t>
      </w:r>
      <w:r>
        <w:rPr>
          <w:sz w:val="29"/>
          <w:szCs w:val="29"/>
          <w:spacing w:val="7"/>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20" w:lineRule="auto"/>
        <w:sectPr>
          <w:footerReference w:type="default" r:id="rId690"/>
          <w:pgSz w:w="14490" w:h="20470"/>
          <w:pgMar w:top="400" w:right="1864" w:bottom="1447" w:left="2150" w:header="0" w:footer="1230" w:gutter="0"/>
        </w:sectPr>
        <w:rPr>
          <w:sz w:val="29"/>
          <w:szCs w:val="29"/>
        </w:rPr>
      </w:pP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3"/>
        </w:rPr>
        <w:t>三、四月份</w:t>
      </w:r>
    </w:p>
    <w:p>
      <w:pPr>
        <w:pStyle w:val="BodyText"/>
        <w:ind w:left="570"/>
        <w:spacing w:before="129" w:line="219" w:lineRule="auto"/>
        <w:rPr>
          <w:sz w:val="29"/>
          <w:szCs w:val="29"/>
        </w:rPr>
      </w:pPr>
      <w:r>
        <w:rPr>
          <w:sz w:val="29"/>
          <w:szCs w:val="29"/>
          <w:spacing w:val="5"/>
        </w:rPr>
        <w:t>气温逐渐回升，降水增多，有倒春寒。</w:t>
      </w:r>
    </w:p>
    <w:p>
      <w:pPr>
        <w:ind w:left="570"/>
        <w:spacing w:before="283" w:line="222" w:lineRule="auto"/>
        <w:rPr>
          <w:rFonts w:ascii="SimHei" w:hAnsi="SimHei" w:eastAsia="SimHei" w:cs="SimHei"/>
          <w:sz w:val="28"/>
          <w:szCs w:val="28"/>
        </w:rPr>
      </w:pPr>
      <w:r>
        <w:rPr>
          <w:rFonts w:ascii="SimHei" w:hAnsi="SimHei" w:eastAsia="SimHei" w:cs="SimHei"/>
          <w:sz w:val="28"/>
          <w:szCs w:val="28"/>
          <w:spacing w:val="15"/>
        </w:rPr>
        <w:t>1、现场检查</w:t>
      </w:r>
    </w:p>
    <w:p>
      <w:pPr>
        <w:pStyle w:val="BodyText"/>
        <w:ind w:left="570"/>
        <w:spacing w:before="135" w:line="219" w:lineRule="auto"/>
        <w:rPr>
          <w:sz w:val="29"/>
          <w:szCs w:val="29"/>
        </w:rPr>
      </w:pPr>
      <w:r>
        <w:rPr>
          <w:sz w:val="29"/>
          <w:szCs w:val="29"/>
          <w:spacing w:val="1"/>
        </w:rPr>
        <w:t>及时检查乔木支撑情况，发现松动或缺失立即加固。</w:t>
      </w:r>
    </w:p>
    <w:p>
      <w:pPr>
        <w:ind w:left="570"/>
        <w:spacing w:before="11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109" w:firstLine="720"/>
        <w:spacing w:before="144" w:line="289" w:lineRule="auto"/>
        <w:rPr>
          <w:sz w:val="29"/>
          <w:szCs w:val="29"/>
        </w:rPr>
      </w:pPr>
      <w:r>
        <w:rPr>
          <w:sz w:val="29"/>
          <w:szCs w:val="29"/>
          <w:spacing w:val="12"/>
        </w:rPr>
        <w:t>(1)3月初完成冬季开花乔灌木(例如腊梅、梅花、茶</w:t>
      </w:r>
      <w:r>
        <w:rPr>
          <w:sz w:val="29"/>
          <w:szCs w:val="29"/>
          <w:spacing w:val="11"/>
        </w:rPr>
        <w:t>花等)的残花枝、病</w:t>
      </w:r>
      <w:r>
        <w:rPr>
          <w:sz w:val="29"/>
          <w:szCs w:val="29"/>
        </w:rPr>
        <w:t xml:space="preserve"> </w:t>
      </w:r>
      <w:r>
        <w:rPr>
          <w:sz w:val="29"/>
          <w:szCs w:val="29"/>
          <w:spacing w:val="-10"/>
        </w:rPr>
        <w:t>虫枝、枯枝、影响景观的下垂枝与过密枝的修剪，最好是</w:t>
      </w:r>
      <w:r>
        <w:rPr>
          <w:sz w:val="29"/>
          <w:szCs w:val="29"/>
          <w:spacing w:val="-11"/>
        </w:rPr>
        <w:t>在花期结束后1-2周内完</w:t>
      </w:r>
      <w:r>
        <w:rPr>
          <w:sz w:val="29"/>
          <w:szCs w:val="29"/>
        </w:rPr>
        <w:t xml:space="preserve">  </w:t>
      </w:r>
      <w:r>
        <w:rPr>
          <w:sz w:val="29"/>
          <w:szCs w:val="29"/>
          <w:spacing w:val="-9"/>
        </w:rPr>
        <w:t>成；根据植株开花特性，可对当年枝上形成的花芽、顶生花芽进行短截，两年生枝</w:t>
      </w:r>
      <w:r>
        <w:rPr>
          <w:sz w:val="29"/>
          <w:szCs w:val="29"/>
          <w:spacing w:val="8"/>
        </w:rPr>
        <w:t xml:space="preserve"> </w:t>
      </w:r>
      <w:r>
        <w:rPr>
          <w:sz w:val="29"/>
          <w:szCs w:val="29"/>
          <w:spacing w:val="-2"/>
        </w:rPr>
        <w:t>上形成花芽分化的可适当疏剪；</w:t>
      </w:r>
    </w:p>
    <w:p>
      <w:pPr>
        <w:pStyle w:val="BodyText"/>
        <w:ind w:firstLine="720"/>
        <w:spacing w:before="156" w:line="287" w:lineRule="auto"/>
        <w:rPr>
          <w:sz w:val="29"/>
          <w:szCs w:val="29"/>
        </w:rPr>
      </w:pPr>
      <w:r>
        <w:rPr>
          <w:sz w:val="29"/>
          <w:szCs w:val="29"/>
          <w:spacing w:val="-7"/>
        </w:rPr>
        <w:t>(2)灌木整形修剪：在新梢生长5-10</w:t>
      </w:r>
      <w:r>
        <w:rPr>
          <w:rFonts w:ascii="Times New Roman" w:hAnsi="Times New Roman" w:eastAsia="Times New Roman" w:cs="Times New Roman"/>
          <w:sz w:val="29"/>
          <w:szCs w:val="29"/>
          <w:spacing w:val="-7"/>
        </w:rPr>
        <w:t>cm</w:t>
      </w:r>
      <w:r>
        <w:rPr>
          <w:sz w:val="29"/>
          <w:szCs w:val="29"/>
          <w:spacing w:val="-7"/>
        </w:rPr>
        <w:t>时进行，例如金叶女贞、毛叶丁香等，</w:t>
      </w:r>
      <w:r>
        <w:rPr>
          <w:sz w:val="29"/>
          <w:szCs w:val="29"/>
        </w:rPr>
        <w:t xml:space="preserve"> </w:t>
      </w:r>
      <w:r>
        <w:rPr>
          <w:sz w:val="29"/>
          <w:szCs w:val="29"/>
          <w:spacing w:val="-15"/>
        </w:rPr>
        <w:t>修剪时要充分保持设计意图，注意同一条道路上</w:t>
      </w:r>
      <w:r>
        <w:rPr>
          <w:sz w:val="29"/>
          <w:szCs w:val="29"/>
          <w:spacing w:val="-16"/>
        </w:rPr>
        <w:t>相同用途的同一种整形灌木，修剪后</w:t>
      </w:r>
      <w:r>
        <w:rPr>
          <w:sz w:val="29"/>
          <w:szCs w:val="29"/>
        </w:rPr>
        <w:t xml:space="preserve"> </w:t>
      </w:r>
      <w:r>
        <w:rPr>
          <w:sz w:val="29"/>
          <w:szCs w:val="29"/>
          <w:spacing w:val="8"/>
        </w:rPr>
        <w:t>应呈相同的形状、相同的高度。春夏开花的整形灌木(如毛杜鹃、春鹃、夏鹃)</w:t>
      </w:r>
      <w:r>
        <w:rPr>
          <w:sz w:val="29"/>
          <w:szCs w:val="29"/>
          <w:spacing w:val="12"/>
        </w:rPr>
        <w:t xml:space="preserve"> </w:t>
      </w:r>
      <w:r>
        <w:rPr>
          <w:sz w:val="29"/>
          <w:szCs w:val="29"/>
          <w:spacing w:val="1"/>
        </w:rPr>
        <w:t>在花期前不进行修剪。</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104" w:line="219" w:lineRule="auto"/>
        <w:rPr>
          <w:sz w:val="29"/>
          <w:szCs w:val="29"/>
        </w:rPr>
      </w:pPr>
      <w:r>
        <w:rPr>
          <w:sz w:val="29"/>
          <w:szCs w:val="29"/>
          <w:spacing w:val="18"/>
        </w:rPr>
        <w:t>(1)根据天气状况(尤其注意春旱的发生)适时浇水；</w:t>
      </w:r>
    </w:p>
    <w:p>
      <w:pPr>
        <w:pStyle w:val="BodyText"/>
        <w:ind w:right="169" w:firstLine="720"/>
        <w:spacing w:before="145" w:line="265" w:lineRule="auto"/>
        <w:rPr>
          <w:sz w:val="29"/>
          <w:szCs w:val="29"/>
        </w:rPr>
      </w:pPr>
      <w:r>
        <w:rPr>
          <w:sz w:val="29"/>
          <w:szCs w:val="29"/>
          <w:spacing w:val="6"/>
        </w:rPr>
        <w:t>(2)开花植物可施一次花肥，多采用穴施、沟施等方式进行，肥料则采用</w:t>
      </w:r>
      <w:r>
        <w:rPr>
          <w:sz w:val="29"/>
          <w:szCs w:val="29"/>
          <w:spacing w:val="11"/>
        </w:rPr>
        <w:t xml:space="preserve"> </w:t>
      </w:r>
      <w:r>
        <w:rPr>
          <w:sz w:val="29"/>
          <w:szCs w:val="29"/>
        </w:rPr>
        <w:t>含速效磷、钾较高的有机状颗粒肥。</w:t>
      </w:r>
    </w:p>
    <w:p>
      <w:pPr>
        <w:pStyle w:val="BodyText"/>
        <w:ind w:left="570"/>
        <w:spacing w:before="20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20"/>
        <w:spacing w:before="86" w:line="219" w:lineRule="auto"/>
        <w:rPr>
          <w:sz w:val="29"/>
          <w:szCs w:val="29"/>
        </w:rPr>
      </w:pPr>
      <w:r>
        <w:rPr>
          <w:sz w:val="29"/>
          <w:szCs w:val="29"/>
          <w:spacing w:val="5"/>
        </w:rPr>
        <w:t>(1)病害：炭疽病、叶斑类病害、锈病、根腐病、流胶病等；</w:t>
      </w:r>
    </w:p>
    <w:p>
      <w:pPr>
        <w:pStyle w:val="BodyText"/>
        <w:ind w:right="72" w:firstLine="720"/>
        <w:spacing w:before="143" w:line="279" w:lineRule="auto"/>
        <w:rPr>
          <w:sz w:val="29"/>
          <w:szCs w:val="29"/>
        </w:rPr>
      </w:pPr>
      <w:r>
        <w:rPr>
          <w:sz w:val="29"/>
          <w:szCs w:val="29"/>
          <w:spacing w:val="8"/>
        </w:rPr>
        <w:t>(2)虫害：大青叶蝉、桃蚜、桃粉蚜、桃瘤蚜、梨网冠蝽、方翅网蝽、柑</w:t>
      </w:r>
      <w:r>
        <w:rPr>
          <w:sz w:val="29"/>
          <w:szCs w:val="29"/>
          <w:spacing w:val="2"/>
        </w:rPr>
        <w:t xml:space="preserve"> </w:t>
      </w:r>
      <w:r>
        <w:rPr>
          <w:sz w:val="29"/>
          <w:szCs w:val="29"/>
          <w:spacing w:val="-8"/>
        </w:rPr>
        <w:t>桔全爪螨、桔绿粉虱、星天牛、咖啡木蠹蛾、葡萄透翅蛾、柏肤小蠹、松纵坑切梢</w:t>
      </w:r>
      <w:r>
        <w:rPr>
          <w:sz w:val="29"/>
          <w:szCs w:val="29"/>
          <w:spacing w:val="9"/>
        </w:rPr>
        <w:t xml:space="preserve"> </w:t>
      </w:r>
      <w:r>
        <w:rPr>
          <w:sz w:val="29"/>
          <w:szCs w:val="29"/>
        </w:rPr>
        <w:t>小蠹、白蚁、柳毒蛾、玉带凤蝶、柳蓝叶甲等。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170" w:firstLine="720"/>
        <w:spacing w:before="113" w:line="262"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2"/>
        </w:rPr>
        <w:t>池、灯杆、垃圾桶保持干净；</w:t>
      </w:r>
    </w:p>
    <w:p>
      <w:pPr>
        <w:pStyle w:val="BodyText"/>
        <w:ind w:right="163" w:firstLine="720"/>
        <w:spacing w:before="155" w:line="260"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2"/>
        </w:rPr>
        <w:t>售展示区)进行彻底清理。</w:t>
      </w:r>
    </w:p>
    <w:p>
      <w:pPr>
        <w:ind w:left="570"/>
        <w:spacing w:before="195" w:line="222" w:lineRule="auto"/>
        <w:rPr>
          <w:rFonts w:ascii="SimHei" w:hAnsi="SimHei" w:eastAsia="SimHei" w:cs="SimHei"/>
          <w:sz w:val="30"/>
          <w:szCs w:val="30"/>
        </w:rPr>
      </w:pPr>
      <w:r>
        <w:rPr>
          <w:rFonts w:ascii="SimHei" w:hAnsi="SimHei" w:eastAsia="SimHei" w:cs="SimHei"/>
          <w:sz w:val="30"/>
          <w:szCs w:val="30"/>
          <w:spacing w:val="-2"/>
        </w:rPr>
        <w:t>6、物资管理</w:t>
      </w:r>
    </w:p>
    <w:p>
      <w:pPr>
        <w:pStyle w:val="BodyText"/>
        <w:ind w:right="171" w:firstLine="720"/>
        <w:spacing w:before="99" w:line="270" w:lineRule="auto"/>
        <w:rPr>
          <w:sz w:val="29"/>
          <w:szCs w:val="29"/>
        </w:rPr>
      </w:pPr>
      <w:r>
        <w:rPr>
          <w:sz w:val="29"/>
          <w:szCs w:val="29"/>
        </w:rPr>
        <w:t>(1)</w:t>
      </w:r>
      <w:r>
        <w:rPr>
          <w:sz w:val="29"/>
          <w:szCs w:val="29"/>
          <w:spacing w:val="72"/>
        </w:rPr>
        <w:t xml:space="preserve"> </w:t>
      </w:r>
      <w:r>
        <w:rPr>
          <w:sz w:val="29"/>
          <w:szCs w:val="29"/>
        </w:rPr>
        <w:t>库房物品整理，物料工具出入库及领用登记，</w:t>
      </w:r>
      <w:r>
        <w:rPr>
          <w:sz w:val="29"/>
          <w:szCs w:val="29"/>
          <w:spacing w:val="-1"/>
        </w:rPr>
        <w:t>注意保管汽油、农药等</w:t>
      </w:r>
      <w:r>
        <w:rPr>
          <w:sz w:val="29"/>
          <w:szCs w:val="29"/>
        </w:rPr>
        <w:t xml:space="preserve"> </w:t>
      </w:r>
      <w:r>
        <w:rPr>
          <w:sz w:val="29"/>
          <w:szCs w:val="29"/>
          <w:spacing w:val="-11"/>
        </w:rPr>
        <w:t>危险品；</w:t>
      </w:r>
    </w:p>
    <w:p>
      <w:pPr>
        <w:pStyle w:val="BodyText"/>
        <w:ind w:right="168" w:firstLine="720"/>
        <w:spacing w:before="142" w:line="261" w:lineRule="auto"/>
        <w:rPr>
          <w:sz w:val="29"/>
          <w:szCs w:val="29"/>
        </w:rPr>
      </w:pPr>
      <w:r>
        <w:rPr>
          <w:sz w:val="29"/>
          <w:szCs w:val="29"/>
          <w:spacing w:val="2"/>
        </w:rPr>
        <w:t>(2)根据现场的实际情况，申请购置4、5、6月份的农药、化肥</w:t>
      </w:r>
      <w:r>
        <w:rPr>
          <w:sz w:val="29"/>
          <w:szCs w:val="29"/>
          <w:spacing w:val="1"/>
        </w:rPr>
        <w:t>、营养剂及</w:t>
      </w:r>
      <w:r>
        <w:rPr>
          <w:sz w:val="29"/>
          <w:szCs w:val="29"/>
        </w:rPr>
        <w:t xml:space="preserve"> </w:t>
      </w:r>
      <w:r>
        <w:rPr>
          <w:sz w:val="29"/>
          <w:szCs w:val="29"/>
          <w:spacing w:val="1"/>
        </w:rPr>
        <w:t>其它物资。</w:t>
      </w:r>
    </w:p>
    <w:p>
      <w:pPr>
        <w:pStyle w:val="BodyText"/>
        <w:ind w:left="570"/>
        <w:spacing w:before="199"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3"/>
        <w:spacing w:before="105" w:line="219" w:lineRule="auto"/>
        <w:jc w:val="right"/>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691"/>
          <w:pgSz w:w="14490" w:h="20470"/>
          <w:pgMar w:top="400" w:right="2104" w:bottom="1447" w:left="2150" w:header="0" w:footer="1230"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0"/>
        <w:spacing w:before="94" w:line="315" w:lineRule="auto"/>
        <w:rPr>
          <w:sz w:val="29"/>
          <w:szCs w:val="29"/>
        </w:rPr>
      </w:pP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pStyle w:val="BodyText"/>
        <w:ind w:left="570"/>
        <w:spacing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8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29"/>
          <w:position w:val="1"/>
        </w:rPr>
        <w:t xml:space="preserve"> </w:t>
      </w:r>
      <w:r>
        <w:rPr>
          <w:rFonts w:ascii="SimHei" w:hAnsi="SimHei" w:eastAsia="SimHei" w:cs="SimHei"/>
          <w:sz w:val="27"/>
          <w:szCs w:val="27"/>
          <w:spacing w:val="-17"/>
          <w:position w:val="1"/>
        </w:rPr>
        <w:t>寒</w:t>
      </w:r>
    </w:p>
    <w:p>
      <w:pPr>
        <w:pStyle w:val="BodyText"/>
        <w:ind w:right="262" w:firstLine="570"/>
        <w:spacing w:before="104" w:line="313" w:lineRule="auto"/>
        <w:rPr>
          <w:sz w:val="29"/>
          <w:szCs w:val="29"/>
        </w:rPr>
      </w:pPr>
      <w:r>
        <w:rPr>
          <w:sz w:val="29"/>
          <w:szCs w:val="29"/>
        </w:rPr>
        <w:t>春季易发生倒春寒，注意寒潮来临时的保温工作，防寒的植物不宜过早一次</w:t>
      </w:r>
      <w:r>
        <w:rPr>
          <w:sz w:val="29"/>
          <w:szCs w:val="29"/>
          <w:spacing w:val="9"/>
        </w:rPr>
        <w:t xml:space="preserve"> </w:t>
      </w:r>
      <w:r>
        <w:rPr>
          <w:sz w:val="29"/>
          <w:szCs w:val="29"/>
          <w:spacing w:val="-8"/>
        </w:rPr>
        <w:t>性拆除，一般都在四月完成，可根据植物种类，逐步地将植物进行拆除。秋季种植</w:t>
      </w:r>
      <w:r>
        <w:rPr>
          <w:sz w:val="29"/>
          <w:szCs w:val="29"/>
        </w:rPr>
        <w:t xml:space="preserve"> </w:t>
      </w:r>
      <w:r>
        <w:rPr>
          <w:sz w:val="29"/>
          <w:szCs w:val="29"/>
        </w:rPr>
        <w:t>的南方树种，一般也在四月中旬拆除保温设施。</w:t>
      </w:r>
    </w:p>
    <w:p>
      <w:pPr>
        <w:spacing w:before="84" w:line="223" w:lineRule="auto"/>
        <w:rPr>
          <w:rFonts w:ascii="SimHei" w:hAnsi="SimHei" w:eastAsia="SimHei" w:cs="SimHei"/>
          <w:sz w:val="29"/>
          <w:szCs w:val="29"/>
        </w:rPr>
      </w:pPr>
      <w:r>
        <w:rPr>
          <w:rFonts w:ascii="SimHei" w:hAnsi="SimHei" w:eastAsia="SimHei" w:cs="SimHei"/>
          <w:sz w:val="29"/>
          <w:szCs w:val="29"/>
          <w:spacing w:val="1"/>
        </w:rPr>
        <w:t>五、六月份</w:t>
      </w:r>
    </w:p>
    <w:p>
      <w:pPr>
        <w:pStyle w:val="BodyText"/>
        <w:ind w:left="570"/>
        <w:spacing w:before="96" w:line="219" w:lineRule="auto"/>
        <w:rPr>
          <w:sz w:val="29"/>
          <w:szCs w:val="29"/>
        </w:rPr>
      </w:pPr>
      <w:r>
        <w:rPr>
          <w:sz w:val="29"/>
          <w:szCs w:val="29"/>
          <w:spacing w:val="4"/>
        </w:rPr>
        <w:t>气温逐渐上升，降雨量迅速增加，6月处梅雨时期有连续性暴雨。</w:t>
      </w:r>
    </w:p>
    <w:p>
      <w:pPr>
        <w:pStyle w:val="BodyText"/>
        <w:ind w:left="570"/>
        <w:spacing w:before="29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24" w:line="219" w:lineRule="auto"/>
        <w:rPr>
          <w:sz w:val="29"/>
          <w:szCs w:val="29"/>
        </w:rPr>
      </w:pPr>
      <w:r>
        <w:rPr>
          <w:sz w:val="29"/>
          <w:szCs w:val="29"/>
          <w:spacing w:val="1"/>
        </w:rPr>
        <w:t>及时检查乔木支撑情况，发现松动或缺失立即加固。</w:t>
      </w:r>
    </w:p>
    <w:p>
      <w:pPr>
        <w:ind w:left="570"/>
        <w:spacing w:before="113" w:line="221" w:lineRule="auto"/>
        <w:rPr>
          <w:rFonts w:ascii="SimHei" w:hAnsi="SimHei" w:eastAsia="SimHei" w:cs="SimHei"/>
          <w:sz w:val="29"/>
          <w:szCs w:val="29"/>
        </w:rPr>
      </w:pPr>
      <w:r>
        <w:rPr>
          <w:rFonts w:ascii="SimHei" w:hAnsi="SimHei" w:eastAsia="SimHei" w:cs="SimHei"/>
          <w:sz w:val="29"/>
          <w:szCs w:val="29"/>
          <w:spacing w:val="-1"/>
        </w:rPr>
        <w:t>2、修剪</w:t>
      </w:r>
    </w:p>
    <w:p>
      <w:pPr>
        <w:pStyle w:val="BodyText"/>
        <w:ind w:left="680"/>
        <w:spacing w:before="145" w:line="219" w:lineRule="auto"/>
        <w:rPr>
          <w:sz w:val="29"/>
          <w:szCs w:val="29"/>
        </w:rPr>
      </w:pPr>
      <w:r>
        <w:rPr>
          <w:sz w:val="29"/>
          <w:szCs w:val="29"/>
          <w:spacing w:val="6"/>
        </w:rPr>
        <w:t>(1)及时对影响乔灌木树形的徒长枝进行短截或从枝条基部剪除；</w:t>
      </w:r>
    </w:p>
    <w:p>
      <w:pPr>
        <w:pStyle w:val="BodyText"/>
        <w:ind w:right="292" w:firstLine="680"/>
        <w:spacing w:before="166" w:line="281" w:lineRule="auto"/>
        <w:rPr>
          <w:sz w:val="29"/>
          <w:szCs w:val="29"/>
        </w:rPr>
      </w:pPr>
      <w:r>
        <w:rPr>
          <w:sz w:val="29"/>
          <w:szCs w:val="29"/>
          <w:spacing w:val="4"/>
        </w:rPr>
        <w:t>(2)根据需整形灌木的生长势，进行整形修剪2-3次，原则是在新梢生长5-</w:t>
      </w:r>
      <w:r>
        <w:rPr>
          <w:sz w:val="29"/>
          <w:szCs w:val="29"/>
          <w:spacing w:val="15"/>
        </w:rPr>
        <w:t xml:space="preserve"> </w:t>
      </w:r>
      <w:r>
        <w:rPr>
          <w:sz w:val="29"/>
          <w:szCs w:val="29"/>
          <w:spacing w:val="-6"/>
        </w:rPr>
        <w:t>10</w:t>
      </w:r>
      <w:r>
        <w:rPr>
          <w:rFonts w:ascii="Times New Roman" w:hAnsi="Times New Roman" w:eastAsia="Times New Roman" w:cs="Times New Roman"/>
          <w:sz w:val="29"/>
          <w:szCs w:val="29"/>
          <w:spacing w:val="-6"/>
        </w:rPr>
        <w:t>cm</w:t>
      </w:r>
      <w:r>
        <w:rPr>
          <w:sz w:val="29"/>
          <w:szCs w:val="29"/>
          <w:spacing w:val="-6"/>
        </w:rPr>
        <w:t>时进行，例如金叶女贞、毛叶丁香等，但夏季开花的整形灌木(如夏鹃</w:t>
      </w:r>
      <w:r>
        <w:rPr>
          <w:sz w:val="29"/>
          <w:szCs w:val="29"/>
          <w:spacing w:val="-7"/>
        </w:rPr>
        <w:t>),在花</w:t>
      </w:r>
      <w:r>
        <w:rPr>
          <w:sz w:val="29"/>
          <w:szCs w:val="29"/>
        </w:rPr>
        <w:t xml:space="preserve"> </w:t>
      </w:r>
      <w:r>
        <w:rPr>
          <w:sz w:val="29"/>
          <w:szCs w:val="29"/>
          <w:spacing w:val="-6"/>
        </w:rPr>
        <w:t>前不进行修剪；</w:t>
      </w:r>
    </w:p>
    <w:p>
      <w:pPr>
        <w:pStyle w:val="BodyText"/>
        <w:ind w:left="680"/>
        <w:spacing w:before="107" w:line="212" w:lineRule="auto"/>
        <w:rPr>
          <w:rFonts w:ascii="Times New Roman" w:hAnsi="Times New Roman" w:eastAsia="Times New Roman" w:cs="Times New Roman"/>
          <w:sz w:val="29"/>
          <w:szCs w:val="29"/>
        </w:rPr>
      </w:pPr>
      <w:r>
        <w:rPr>
          <w:sz w:val="29"/>
          <w:szCs w:val="29"/>
          <w:spacing w:val="-1"/>
        </w:rPr>
        <w:t>(3)根据草坪生长势修剪1-2次，修剪高度一般保留3-5</w:t>
      </w:r>
      <w:r>
        <w:rPr>
          <w:rFonts w:ascii="Times New Roman" w:hAnsi="Times New Roman" w:eastAsia="Times New Roman" w:cs="Times New Roman"/>
          <w:sz w:val="29"/>
          <w:szCs w:val="29"/>
          <w:spacing w:val="-1"/>
        </w:rPr>
        <w:t>cm;</w:t>
      </w:r>
    </w:p>
    <w:p>
      <w:pPr>
        <w:pStyle w:val="BodyText"/>
        <w:ind w:left="680"/>
        <w:spacing w:before="196" w:line="219" w:lineRule="auto"/>
        <w:rPr>
          <w:sz w:val="29"/>
          <w:szCs w:val="29"/>
        </w:rPr>
      </w:pPr>
      <w:r>
        <w:rPr>
          <w:sz w:val="29"/>
          <w:szCs w:val="29"/>
          <w:spacing w:val="7"/>
        </w:rPr>
        <w:t>(4)新种植的草坪及地被区域内，应加强杂草的清除并集中销</w:t>
      </w:r>
      <w:r>
        <w:rPr>
          <w:sz w:val="29"/>
          <w:szCs w:val="29"/>
          <w:spacing w:val="6"/>
        </w:rPr>
        <w:t>毁。</w:t>
      </w:r>
    </w:p>
    <w:p>
      <w:pPr>
        <w:ind w:left="570"/>
        <w:spacing w:before="12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179" w:right="264" w:firstLine="1160"/>
        <w:spacing w:before="110" w:line="296" w:lineRule="auto"/>
        <w:rPr>
          <w:sz w:val="29"/>
          <w:szCs w:val="29"/>
        </w:rPr>
      </w:pPr>
      <w:r>
        <w:rPr>
          <w:sz w:val="29"/>
          <w:szCs w:val="29"/>
          <w:spacing w:val="3"/>
        </w:rPr>
        <w:t>苗木修剪后均应施追肥1次，可用尿素(0.5-1</w:t>
      </w:r>
      <w:r>
        <w:rPr>
          <w:rFonts w:ascii="Times New Roman" w:hAnsi="Times New Roman" w:eastAsia="Times New Roman" w:cs="Times New Roman"/>
          <w:sz w:val="29"/>
          <w:szCs w:val="29"/>
        </w:rPr>
        <w:t>kg</w:t>
      </w:r>
      <w:r>
        <w:rPr>
          <w:rFonts w:ascii="Times New Roman" w:hAnsi="Times New Roman" w:eastAsia="Times New Roman" w:cs="Times New Roman"/>
          <w:sz w:val="29"/>
          <w:szCs w:val="29"/>
          <w:spacing w:val="3"/>
        </w:rPr>
        <w:t>/10m2)</w:t>
      </w:r>
      <w:r>
        <w:rPr>
          <w:rFonts w:ascii="Times New Roman" w:hAnsi="Times New Roman" w:eastAsia="Times New Roman" w:cs="Times New Roman"/>
          <w:sz w:val="29"/>
          <w:szCs w:val="29"/>
          <w:spacing w:val="20"/>
        </w:rPr>
        <w:t xml:space="preserve">  </w:t>
      </w:r>
      <w:r>
        <w:rPr>
          <w:sz w:val="29"/>
          <w:szCs w:val="29"/>
          <w:spacing w:val="3"/>
        </w:rPr>
        <w:t>混合</w:t>
      </w:r>
      <w:r>
        <w:rPr>
          <w:sz w:val="29"/>
          <w:szCs w:val="29"/>
          <w:spacing w:val="2"/>
        </w:rPr>
        <w:t>少量钾肥</w:t>
      </w:r>
      <w:r>
        <w:rPr>
          <w:sz w:val="29"/>
          <w:szCs w:val="29"/>
        </w:rPr>
        <w:t xml:space="preserve"> </w:t>
      </w:r>
      <w:r>
        <w:rPr>
          <w:sz w:val="29"/>
          <w:szCs w:val="29"/>
        </w:rPr>
        <w:t>(如硫酸钾，10-50</w:t>
      </w:r>
      <w:r>
        <w:rPr>
          <w:rFonts w:ascii="Times New Roman" w:hAnsi="Times New Roman" w:eastAsia="Times New Roman" w:cs="Times New Roman"/>
          <w:sz w:val="29"/>
          <w:szCs w:val="29"/>
        </w:rPr>
        <w:t>g/10m2),   </w:t>
      </w:r>
      <w:r>
        <w:rPr>
          <w:sz w:val="29"/>
          <w:szCs w:val="29"/>
        </w:rPr>
        <w:t>追肥与浇水同时进行；</w:t>
      </w:r>
    </w:p>
    <w:p>
      <w:pPr>
        <w:pStyle w:val="BodyText"/>
        <w:ind w:right="362" w:firstLine="680"/>
        <w:spacing w:before="82" w:line="308" w:lineRule="auto"/>
        <w:rPr>
          <w:sz w:val="29"/>
          <w:szCs w:val="29"/>
        </w:rPr>
      </w:pPr>
      <w:r>
        <w:rPr>
          <w:sz w:val="29"/>
          <w:szCs w:val="29"/>
          <w:spacing w:val="-1"/>
        </w:rPr>
        <w:t>Ω</w:t>
      </w:r>
      <w:r>
        <w:rPr>
          <w:sz w:val="29"/>
          <w:szCs w:val="29"/>
          <w:spacing w:val="66"/>
        </w:rPr>
        <w:t xml:space="preserve">  </w:t>
      </w:r>
      <w:r>
        <w:rPr>
          <w:sz w:val="29"/>
          <w:szCs w:val="29"/>
          <w:spacing w:val="-1"/>
        </w:rPr>
        <w:t>梅雨时节应少浇水，注意雨后对土壤水分状</w:t>
      </w:r>
      <w:r>
        <w:rPr>
          <w:sz w:val="29"/>
          <w:szCs w:val="29"/>
          <w:spacing w:val="-2"/>
        </w:rPr>
        <w:t>况的检查，尤其是新栽植</w:t>
      </w:r>
      <w:r>
        <w:rPr>
          <w:sz w:val="29"/>
          <w:szCs w:val="29"/>
          <w:spacing w:val="1"/>
        </w:rPr>
        <w:t xml:space="preserve"> </w:t>
      </w:r>
      <w:r>
        <w:rPr>
          <w:sz w:val="29"/>
          <w:szCs w:val="29"/>
          <w:spacing w:val="-1"/>
        </w:rPr>
        <w:t>的苗木，发现土壤积水，立即进行排水；</w:t>
      </w:r>
    </w:p>
    <w:p>
      <w:pPr>
        <w:pStyle w:val="BodyText"/>
        <w:ind w:right="361" w:firstLine="680"/>
        <w:spacing w:before="23" w:line="265" w:lineRule="auto"/>
        <w:rPr>
          <w:sz w:val="29"/>
          <w:szCs w:val="29"/>
        </w:rPr>
      </w:pPr>
      <w:r>
        <w:rPr>
          <w:rFonts w:ascii="Times New Roman" w:hAnsi="Times New Roman" w:eastAsia="Times New Roman" w:cs="Times New Roman"/>
          <w:sz w:val="29"/>
          <w:szCs w:val="29"/>
          <w:spacing w:val="2"/>
        </w:rPr>
        <w:t>3      </w:t>
      </w:r>
      <w:r>
        <w:rPr>
          <w:sz w:val="29"/>
          <w:szCs w:val="29"/>
          <w:spacing w:val="2"/>
        </w:rPr>
        <w:t>时刻关注天气预报，在大风、暴雨、来临前做好预防工作，尤其是草</w:t>
      </w:r>
      <w:r>
        <w:rPr>
          <w:sz w:val="29"/>
          <w:szCs w:val="29"/>
          <w:spacing w:val="18"/>
        </w:rPr>
        <w:t xml:space="preserve"> </w:t>
      </w:r>
      <w:r>
        <w:rPr>
          <w:sz w:val="29"/>
          <w:szCs w:val="29"/>
          <w:spacing w:val="1"/>
        </w:rPr>
        <w:t>本花卉，暴雨前后检查检查乔木支撑情况，并整体加固。</w:t>
      </w:r>
    </w:p>
    <w:p>
      <w:pPr>
        <w:pStyle w:val="BodyText"/>
        <w:ind w:left="570"/>
        <w:spacing w:before="185"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375" w:firstLine="680"/>
        <w:spacing w:before="85" w:line="266" w:lineRule="auto"/>
        <w:rPr>
          <w:sz w:val="29"/>
          <w:szCs w:val="29"/>
        </w:rPr>
      </w:pPr>
      <w:r>
        <w:rPr>
          <w:sz w:val="29"/>
          <w:szCs w:val="29"/>
          <w:spacing w:val="7"/>
        </w:rPr>
        <w:t>(1)病害：白粉病、炭疽病、叶斑类病害、锈病、煤污</w:t>
      </w:r>
      <w:r>
        <w:rPr>
          <w:sz w:val="29"/>
          <w:szCs w:val="29"/>
          <w:spacing w:val="6"/>
        </w:rPr>
        <w:t>病、叶枯病、干腐</w:t>
      </w:r>
      <w:r>
        <w:rPr>
          <w:sz w:val="29"/>
          <w:szCs w:val="29"/>
        </w:rPr>
        <w:t xml:space="preserve"> </w:t>
      </w:r>
      <w:r>
        <w:rPr>
          <w:sz w:val="29"/>
          <w:szCs w:val="29"/>
          <w:spacing w:val="1"/>
        </w:rPr>
        <w:t>病、枝枯病、根腐病、流胶病、枯萎病、草坪腐霉枯萎病、细菌性穿孔病等；</w:t>
      </w:r>
    </w:p>
    <w:p>
      <w:pPr>
        <w:pStyle w:val="BodyText"/>
        <w:ind w:firstLine="680"/>
        <w:spacing w:before="164" w:line="292" w:lineRule="auto"/>
        <w:rPr>
          <w:sz w:val="29"/>
          <w:szCs w:val="29"/>
        </w:rPr>
      </w:pPr>
      <w:r>
        <w:rPr>
          <w:sz w:val="29"/>
          <w:szCs w:val="29"/>
          <w:spacing w:val="-8"/>
        </w:rPr>
        <w:t>(2)虫害：桃一点斑叶蝉、大青叶蝉、桃蚜、桃粉蚜、桃瘤蚜、梨网冠蝽、方</w:t>
      </w:r>
      <w:r>
        <w:rPr>
          <w:sz w:val="29"/>
          <w:szCs w:val="29"/>
          <w:spacing w:val="1"/>
        </w:rPr>
        <w:t xml:space="preserve">   </w:t>
      </w:r>
      <w:r>
        <w:rPr>
          <w:sz w:val="29"/>
          <w:szCs w:val="29"/>
          <w:spacing w:val="-8"/>
        </w:rPr>
        <w:t>翅网蝽、柑桔全爪螨、桔绿粉虱、梧桐木虱、花蓟马、桑天牛、星天牛、咖啡木蠹</w:t>
      </w:r>
      <w:r>
        <w:rPr>
          <w:sz w:val="29"/>
          <w:szCs w:val="29"/>
          <w:spacing w:val="3"/>
        </w:rPr>
        <w:t xml:space="preserve">  </w:t>
      </w:r>
      <w:r>
        <w:rPr>
          <w:sz w:val="29"/>
          <w:szCs w:val="29"/>
          <w:spacing w:val="-8"/>
        </w:rPr>
        <w:t>蛾、葡萄透翅蛾、柏肤小蠹、松纵坑切梢小蠹、白蚁、蝼蛄、柳毒蛾、黄刺蛾、扁</w:t>
      </w:r>
      <w:r>
        <w:rPr>
          <w:sz w:val="29"/>
          <w:szCs w:val="29"/>
          <w:spacing w:val="7"/>
        </w:rPr>
        <w:t xml:space="preserve">  </w:t>
      </w:r>
      <w:r>
        <w:rPr>
          <w:sz w:val="29"/>
          <w:szCs w:val="29"/>
          <w:spacing w:val="-16"/>
        </w:rPr>
        <w:t>刺蛾、丽绿刺蛾、褐边绿刺蛾、茶袋蛾、大袋蛾、黄尾毒蛾、桃剑纹夜蛾、柑桔凤蝶、</w:t>
      </w:r>
      <w:r>
        <w:rPr>
          <w:sz w:val="29"/>
          <w:szCs w:val="29"/>
          <w:spacing w:val="1"/>
        </w:rPr>
        <w:t xml:space="preserve"> </w:t>
      </w:r>
      <w:r>
        <w:rPr>
          <w:sz w:val="29"/>
          <w:szCs w:val="29"/>
          <w:spacing w:val="-3"/>
        </w:rPr>
        <w:t>玉带凤蝶、樟青凤蝶、蔷薇三节叶蜂、柳蓝叶甲等。</w:t>
      </w:r>
    </w:p>
    <w:p>
      <w:pPr>
        <w:pStyle w:val="BodyText"/>
        <w:ind w:left="570"/>
        <w:spacing w:before="169"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680"/>
        <w:spacing w:before="94" w:line="219" w:lineRule="auto"/>
        <w:rPr>
          <w:sz w:val="29"/>
          <w:szCs w:val="29"/>
        </w:rPr>
      </w:pPr>
      <w:r>
        <w:rPr>
          <w:sz w:val="29"/>
          <w:szCs w:val="29"/>
          <w:spacing w:val="7"/>
        </w:rPr>
        <w:t>(1)保洁人员合理分区，全天候巡视，及时清理烟头、树挂等垃圾，水景</w:t>
      </w:r>
    </w:p>
    <w:p>
      <w:pPr>
        <w:spacing w:line="219" w:lineRule="auto"/>
        <w:sectPr>
          <w:footerReference w:type="default" r:id="rId692"/>
          <w:pgSz w:w="14490" w:h="20470"/>
          <w:pgMar w:top="400" w:right="192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池、灯杆、垃圾桶保持干净；</w:t>
      </w:r>
    </w:p>
    <w:p>
      <w:pPr>
        <w:pStyle w:val="BodyText"/>
        <w:ind w:right="353" w:firstLine="680"/>
        <w:spacing w:before="156" w:line="308"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ind w:right="361" w:firstLine="680"/>
        <w:spacing w:before="108" w:line="263" w:lineRule="auto"/>
        <w:rPr>
          <w:sz w:val="29"/>
          <w:szCs w:val="29"/>
        </w:rPr>
      </w:pPr>
      <w:r>
        <w:rPr>
          <w:sz w:val="29"/>
          <w:szCs w:val="29"/>
        </w:rPr>
        <w:t>(1)</w:t>
      </w:r>
      <w:r>
        <w:rPr>
          <w:sz w:val="29"/>
          <w:szCs w:val="29"/>
          <w:spacing w:val="72"/>
        </w:rPr>
        <w:t xml:space="preserve"> </w:t>
      </w:r>
      <w:r>
        <w:rPr>
          <w:sz w:val="29"/>
          <w:szCs w:val="29"/>
        </w:rPr>
        <w:t>库房物品整理，物料工具出入库及领用登记，注意保管汽油、农药等 </w:t>
      </w:r>
      <w:r>
        <w:rPr>
          <w:sz w:val="29"/>
          <w:szCs w:val="29"/>
          <w:spacing w:val="-7"/>
        </w:rPr>
        <w:t>危险品；</w:t>
      </w:r>
    </w:p>
    <w:p>
      <w:pPr>
        <w:pStyle w:val="BodyText"/>
        <w:ind w:right="359" w:firstLine="680"/>
        <w:spacing w:before="153" w:line="267" w:lineRule="auto"/>
        <w:rPr>
          <w:sz w:val="29"/>
          <w:szCs w:val="29"/>
        </w:rPr>
      </w:pPr>
      <w:r>
        <w:rPr>
          <w:sz w:val="29"/>
          <w:szCs w:val="29"/>
          <w:spacing w:val="2"/>
        </w:rPr>
        <w:t>(2)根据现场的实际情况，申请购置7、8、9月份的农药、化肥、营养剂及</w:t>
      </w:r>
      <w:r>
        <w:rPr>
          <w:sz w:val="29"/>
          <w:szCs w:val="29"/>
          <w:spacing w:val="4"/>
        </w:rPr>
        <w:t xml:space="preserve"> </w:t>
      </w:r>
      <w:r>
        <w:rPr>
          <w:sz w:val="29"/>
          <w:szCs w:val="29"/>
          <w:spacing w:val="-5"/>
        </w:rPr>
        <w:t>其它物资；</w:t>
      </w:r>
    </w:p>
    <w:p>
      <w:pPr>
        <w:pStyle w:val="BodyText"/>
        <w:ind w:left="680"/>
        <w:spacing w:before="119" w:line="219" w:lineRule="auto"/>
        <w:rPr>
          <w:sz w:val="29"/>
          <w:szCs w:val="29"/>
        </w:rPr>
      </w:pPr>
      <w:r>
        <w:rPr>
          <w:sz w:val="29"/>
          <w:szCs w:val="29"/>
          <w:spacing w:val="11"/>
        </w:rPr>
        <w:t>(3)进行机械工具的检查维修。</w:t>
      </w:r>
    </w:p>
    <w:p>
      <w:pPr>
        <w:pStyle w:val="BodyText"/>
        <w:ind w:left="570"/>
        <w:spacing w:before="146"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03" w:line="327"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2"/>
        </w:rPr>
        <w:t>防盗情况。</w:t>
      </w:r>
    </w:p>
    <w:p>
      <w:pPr>
        <w:spacing w:before="42" w:line="223" w:lineRule="auto"/>
        <w:rPr>
          <w:rFonts w:ascii="SimHei" w:hAnsi="SimHei" w:eastAsia="SimHei" w:cs="SimHei"/>
          <w:sz w:val="29"/>
          <w:szCs w:val="29"/>
        </w:rPr>
      </w:pPr>
      <w:r>
        <w:rPr>
          <w:rFonts w:ascii="SimHei" w:hAnsi="SimHei" w:eastAsia="SimHei" w:cs="SimHei"/>
          <w:sz w:val="29"/>
          <w:szCs w:val="29"/>
          <w:spacing w:val="-2"/>
        </w:rPr>
        <w:t>七、八月份</w:t>
      </w:r>
    </w:p>
    <w:p>
      <w:pPr>
        <w:pStyle w:val="BodyText"/>
        <w:ind w:left="570"/>
        <w:spacing w:before="127" w:line="219" w:lineRule="auto"/>
        <w:rPr>
          <w:sz w:val="29"/>
          <w:szCs w:val="29"/>
        </w:rPr>
      </w:pPr>
      <w:r>
        <w:rPr>
          <w:sz w:val="29"/>
          <w:szCs w:val="29"/>
          <w:spacing w:val="4"/>
        </w:rPr>
        <w:t>重庆最热的月份，易连晴高温、伏旱或连续性大暴雨天气。</w:t>
      </w:r>
    </w:p>
    <w:p>
      <w:pPr>
        <w:pStyle w:val="BodyText"/>
        <w:ind w:left="570"/>
        <w:spacing w:before="27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80"/>
        <w:spacing w:before="140" w:line="217" w:lineRule="auto"/>
        <w:rPr>
          <w:sz w:val="29"/>
          <w:szCs w:val="29"/>
        </w:rPr>
      </w:pPr>
      <w:r>
        <w:rPr>
          <w:sz w:val="29"/>
          <w:szCs w:val="29"/>
          <w:spacing w:val="-8"/>
        </w:rPr>
        <w:t>①)  发现土壤板结时要及时进行打孔松土，松土深度5～10</w:t>
      </w:r>
      <w:r>
        <w:rPr>
          <w:rFonts w:ascii="Times New Roman" w:hAnsi="Times New Roman" w:eastAsia="Times New Roman" w:cs="Times New Roman"/>
          <w:sz w:val="29"/>
          <w:szCs w:val="29"/>
          <w:spacing w:val="-8"/>
        </w:rPr>
        <w:t>cm</w:t>
      </w:r>
      <w:r>
        <w:rPr>
          <w:sz w:val="29"/>
          <w:szCs w:val="29"/>
          <w:spacing w:val="-8"/>
        </w:rPr>
        <w:t>为宜；</w:t>
      </w:r>
    </w:p>
    <w:p>
      <w:pPr>
        <w:pStyle w:val="BodyText"/>
        <w:ind w:left="680"/>
        <w:spacing w:before="159" w:line="217" w:lineRule="auto"/>
        <w:rPr>
          <w:sz w:val="29"/>
          <w:szCs w:val="29"/>
        </w:rPr>
      </w:pPr>
      <w:r>
        <w:rPr>
          <w:sz w:val="29"/>
          <w:szCs w:val="29"/>
          <w:spacing w:val="-4"/>
        </w:rPr>
        <w:t>②</w:t>
      </w:r>
      <w:r>
        <w:rPr>
          <w:sz w:val="29"/>
          <w:szCs w:val="29"/>
          <w:spacing w:val="43"/>
        </w:rPr>
        <w:t xml:space="preserve">  </w:t>
      </w:r>
      <w:r>
        <w:rPr>
          <w:sz w:val="29"/>
          <w:szCs w:val="29"/>
          <w:spacing w:val="-4"/>
        </w:rPr>
        <w:t>绿化带中缺株、断行应进行及时补栽；</w:t>
      </w:r>
    </w:p>
    <w:p>
      <w:pPr>
        <w:pStyle w:val="BodyText"/>
        <w:ind w:left="680"/>
        <w:spacing w:before="139" w:line="217" w:lineRule="auto"/>
        <w:rPr>
          <w:sz w:val="29"/>
          <w:szCs w:val="29"/>
        </w:rPr>
      </w:pPr>
      <w:r>
        <w:rPr>
          <w:sz w:val="29"/>
          <w:szCs w:val="29"/>
          <w:spacing w:val="-3"/>
        </w:rPr>
        <w:t>③</w:t>
      </w:r>
      <w:r>
        <w:rPr>
          <w:sz w:val="29"/>
          <w:szCs w:val="29"/>
          <w:spacing w:val="62"/>
        </w:rPr>
        <w:t xml:space="preserve">  </w:t>
      </w:r>
      <w:r>
        <w:rPr>
          <w:sz w:val="29"/>
          <w:szCs w:val="29"/>
          <w:spacing w:val="-3"/>
        </w:rPr>
        <w:t>大风、大雨后苗木歪斜的及时扶正。</w:t>
      </w:r>
    </w:p>
    <w:p>
      <w:pPr>
        <w:ind w:left="570"/>
        <w:spacing w:before="100"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231" w:firstLine="1330"/>
        <w:spacing w:before="153" w:line="308" w:lineRule="auto"/>
        <w:jc w:val="both"/>
        <w:rPr>
          <w:sz w:val="29"/>
          <w:szCs w:val="29"/>
        </w:rPr>
      </w:pPr>
      <w:r>
        <w:rPr>
          <w:sz w:val="29"/>
          <w:szCs w:val="29"/>
        </w:rPr>
        <w:t>根据需整形灌木的生长势，进行整形修剪1-</w:t>
      </w:r>
      <w:r>
        <w:rPr>
          <w:sz w:val="29"/>
          <w:szCs w:val="29"/>
          <w:spacing w:val="-1"/>
        </w:rPr>
        <w:t>2次，原则是在新梢生长5-</w:t>
      </w:r>
      <w:r>
        <w:rPr>
          <w:sz w:val="29"/>
          <w:szCs w:val="29"/>
        </w:rPr>
        <w:t xml:space="preserve"> </w:t>
      </w:r>
      <w:r>
        <w:rPr>
          <w:sz w:val="29"/>
          <w:szCs w:val="29"/>
          <w:spacing w:val="-5"/>
        </w:rPr>
        <w:t>10</w:t>
      </w:r>
      <w:r>
        <w:rPr>
          <w:rFonts w:ascii="Times New Roman" w:hAnsi="Times New Roman" w:eastAsia="Times New Roman" w:cs="Times New Roman"/>
          <w:sz w:val="29"/>
          <w:szCs w:val="29"/>
          <w:spacing w:val="-5"/>
        </w:rPr>
        <w:t>cm</w:t>
      </w:r>
      <w:r>
        <w:rPr>
          <w:sz w:val="29"/>
          <w:szCs w:val="29"/>
          <w:spacing w:val="-5"/>
        </w:rPr>
        <w:t>时进行，例如金叶女贞、毛叶丁香</w:t>
      </w:r>
      <w:r>
        <w:rPr>
          <w:sz w:val="29"/>
          <w:szCs w:val="29"/>
          <w:spacing w:val="-6"/>
        </w:rPr>
        <w:t>、蚊母等，部分宿根花卉(如美人蕉),应及</w:t>
      </w:r>
      <w:r>
        <w:rPr>
          <w:sz w:val="29"/>
          <w:szCs w:val="29"/>
        </w:rPr>
        <w:t xml:space="preserve"> </w:t>
      </w:r>
      <w:r>
        <w:rPr>
          <w:sz w:val="29"/>
          <w:szCs w:val="29"/>
          <w:spacing w:val="-3"/>
        </w:rPr>
        <w:t>时剪除开花后的残花；</w:t>
      </w:r>
    </w:p>
    <w:p>
      <w:pPr>
        <w:pStyle w:val="BodyText"/>
        <w:ind w:left="680" w:right="1600"/>
        <w:spacing w:line="274" w:lineRule="auto"/>
        <w:rPr>
          <w:sz w:val="29"/>
          <w:szCs w:val="29"/>
        </w:rPr>
      </w:pPr>
      <w:r>
        <w:rPr>
          <w:sz w:val="29"/>
          <w:szCs w:val="29"/>
          <w:spacing w:val="-7"/>
        </w:rPr>
        <w:t>2</w:t>
      </w:r>
      <w:r>
        <w:rPr>
          <w:sz w:val="29"/>
          <w:szCs w:val="29"/>
          <w:spacing w:val="21"/>
        </w:rPr>
        <w:t xml:space="preserve">   </w:t>
      </w:r>
      <w:r>
        <w:rPr>
          <w:sz w:val="29"/>
          <w:szCs w:val="29"/>
          <w:spacing w:val="-7"/>
        </w:rPr>
        <w:t>根据草坪生长势，可进行修剪1次，修剪高度一般保留3-5</w:t>
      </w:r>
      <w:r>
        <w:rPr>
          <w:rFonts w:ascii="Times New Roman" w:hAnsi="Times New Roman" w:eastAsia="Times New Roman" w:cs="Times New Roman"/>
          <w:sz w:val="29"/>
          <w:szCs w:val="29"/>
          <w:spacing w:val="-7"/>
        </w:rPr>
        <w:t>cm;</w:t>
      </w:r>
      <w:r>
        <w:rPr>
          <w:rFonts w:ascii="Times New Roman" w:hAnsi="Times New Roman" w:eastAsia="Times New Roman" w:cs="Times New Roman"/>
          <w:sz w:val="29"/>
          <w:szCs w:val="29"/>
          <w:spacing w:val="2"/>
        </w:rPr>
        <w:t xml:space="preserve"> </w:t>
      </w:r>
      <w:r>
        <w:rPr>
          <w:rFonts w:ascii="STXingkai" w:hAnsi="STXingkai" w:eastAsia="STXingkai" w:cs="STXingkai"/>
          <w:sz w:val="29"/>
          <w:szCs w:val="29"/>
          <w:spacing w:val="-6"/>
        </w:rPr>
        <w:t>复       </w:t>
      </w:r>
      <w:r>
        <w:rPr>
          <w:sz w:val="29"/>
          <w:szCs w:val="29"/>
          <w:spacing w:val="-6"/>
        </w:rPr>
        <w:t>八月份及时清除美人蕉、莒蒲枯黄叶。</w:t>
      </w:r>
    </w:p>
    <w:p>
      <w:pPr>
        <w:ind w:left="570"/>
        <w:spacing w:before="68"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63" w:firstLine="680"/>
        <w:spacing w:before="142" w:line="263" w:lineRule="auto"/>
        <w:rPr>
          <w:sz w:val="29"/>
          <w:szCs w:val="29"/>
        </w:rPr>
      </w:pPr>
      <w:r>
        <w:rPr>
          <w:sz w:val="29"/>
          <w:szCs w:val="29"/>
          <w:spacing w:val="6"/>
        </w:rPr>
        <w:t>(1)干旱时应及时浇水，暴雨后对土壤水分状况及时检查，发现积水时立</w:t>
      </w:r>
      <w:r>
        <w:rPr>
          <w:sz w:val="29"/>
          <w:szCs w:val="29"/>
          <w:spacing w:val="17"/>
        </w:rPr>
        <w:t xml:space="preserve"> </w:t>
      </w:r>
      <w:r>
        <w:rPr>
          <w:sz w:val="29"/>
          <w:szCs w:val="29"/>
        </w:rPr>
        <w:t>刻进行排水，尤其是开花的宿根地被切忌积水；</w:t>
      </w:r>
    </w:p>
    <w:p>
      <w:pPr>
        <w:pStyle w:val="BodyText"/>
        <w:ind w:left="680"/>
        <w:spacing w:before="143" w:line="219" w:lineRule="auto"/>
        <w:rPr>
          <w:sz w:val="29"/>
          <w:szCs w:val="29"/>
        </w:rPr>
      </w:pPr>
      <w:r>
        <w:rPr>
          <w:sz w:val="29"/>
          <w:szCs w:val="29"/>
          <w:spacing w:val="8"/>
        </w:rPr>
        <w:t>(2)草坪修剪完后，应及时浇水，夏季一般不施肥。</w:t>
      </w:r>
    </w:p>
    <w:p>
      <w:pPr>
        <w:pStyle w:val="BodyText"/>
        <w:ind w:left="570"/>
        <w:spacing w:before="106"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right="590" w:firstLine="680"/>
        <w:spacing w:before="144" w:line="269" w:lineRule="auto"/>
        <w:rPr>
          <w:sz w:val="29"/>
          <w:szCs w:val="29"/>
        </w:rPr>
      </w:pPr>
      <w:r>
        <w:rPr>
          <w:sz w:val="29"/>
          <w:szCs w:val="29"/>
          <w:spacing w:val="-9"/>
        </w:rPr>
        <w:t>(1)病害：锈病、煤污病、叶枯病、干腐病、紫纹羽病、枝枯病、枯萎病、</w:t>
      </w:r>
      <w:r>
        <w:rPr>
          <w:sz w:val="29"/>
          <w:szCs w:val="29"/>
          <w:spacing w:val="4"/>
        </w:rPr>
        <w:t xml:space="preserve"> </w:t>
      </w:r>
      <w:r>
        <w:rPr>
          <w:sz w:val="29"/>
          <w:szCs w:val="29"/>
          <w:spacing w:val="-5"/>
        </w:rPr>
        <w:t>草坪腐霉枯萎病、细菌性穿孔病、花叶病、丛枝病等；</w:t>
      </w:r>
    </w:p>
    <w:p>
      <w:pPr>
        <w:pStyle w:val="BodyText"/>
        <w:ind w:right="370" w:firstLine="680"/>
        <w:spacing w:before="155" w:line="269" w:lineRule="auto"/>
        <w:rPr>
          <w:sz w:val="29"/>
          <w:szCs w:val="29"/>
        </w:rPr>
      </w:pPr>
      <w:r>
        <w:rPr>
          <w:sz w:val="29"/>
          <w:szCs w:val="29"/>
          <w:spacing w:val="6"/>
        </w:rPr>
        <w:t>(2)虫害：桃一点斑叶蝉、大青叶蝉、梨网冠蝽、方翅网蝽、梧桐木虱、</w:t>
      </w:r>
      <w:r>
        <w:rPr>
          <w:sz w:val="29"/>
          <w:szCs w:val="29"/>
          <w:spacing w:val="10"/>
        </w:rPr>
        <w:t xml:space="preserve"> </w:t>
      </w:r>
      <w:r>
        <w:rPr>
          <w:sz w:val="29"/>
          <w:szCs w:val="29"/>
          <w:spacing w:val="-21"/>
        </w:rPr>
        <w:t>花蓟马、桑天牛、星天牛、葡萄透翅蛾、松纵坑切梢小蠹、白蚁、蝼蛄、黄刺蛾、</w:t>
      </w:r>
    </w:p>
    <w:p>
      <w:pPr>
        <w:spacing w:line="269" w:lineRule="auto"/>
        <w:sectPr>
          <w:footerReference w:type="default" r:id="rId693"/>
          <w:pgSz w:w="14490" w:h="20470"/>
          <w:pgMar w:top="400" w:right="1945" w:bottom="1447" w:left="2150" w:header="0" w:footer="1230" w:gutter="0"/>
        </w:sectPr>
        <w:rPr>
          <w:sz w:val="29"/>
          <w:szCs w:val="29"/>
        </w:rPr>
      </w:pP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pStyle w:val="BodyText"/>
        <w:ind w:right="410"/>
        <w:spacing w:before="91" w:line="317" w:lineRule="auto"/>
        <w:rPr/>
      </w:pPr>
      <w:r>
        <w:rPr>
          <w:spacing w:val="-2"/>
        </w:rPr>
        <w:t>扁刺蛾、丽绿刺蛾、褐边绿刺蛾、茶袋蛾、大袋</w:t>
      </w:r>
      <w:r>
        <w:rPr>
          <w:spacing w:val="-3"/>
        </w:rPr>
        <w:t>蛾、黄尾毒蛾、桃剑纹夜蛾、柑桔</w:t>
      </w:r>
      <w:r>
        <w:rPr/>
        <w:t xml:space="preserve"> </w:t>
      </w:r>
      <w:r>
        <w:rPr>
          <w:spacing w:val="10"/>
        </w:rPr>
        <w:t>凤蝶、玉带凤蝶、樟青凤蝶、蔷薇三节叶蜂、柳蓝叶甲等。</w:t>
      </w:r>
    </w:p>
    <w:p>
      <w:pPr>
        <w:pStyle w:val="BodyText"/>
        <w:ind w:left="590"/>
        <w:spacing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49" w:firstLine="720"/>
        <w:spacing w:before="9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43" w:firstLine="720"/>
        <w:spacing w:before="13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90"/>
        <w:spacing w:before="16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51" w:firstLine="720"/>
        <w:spacing w:before="10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20"/>
        <w:spacing w:before="162" w:line="219" w:lineRule="auto"/>
        <w:rPr>
          <w:sz w:val="29"/>
          <w:szCs w:val="29"/>
        </w:rPr>
      </w:pPr>
      <w:r>
        <w:rPr>
          <w:sz w:val="29"/>
          <w:szCs w:val="29"/>
          <w:spacing w:val="11"/>
        </w:rPr>
        <w:t>(2)进行机械工具的检查维修。</w:t>
      </w:r>
    </w:p>
    <w:p>
      <w:pPr>
        <w:pStyle w:val="BodyText"/>
        <w:ind w:left="590"/>
        <w:spacing w:before="9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90"/>
        <w:spacing w:before="15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62" w:line="223" w:lineRule="auto"/>
        <w:rPr>
          <w:rFonts w:ascii="SimHei" w:hAnsi="SimHei" w:eastAsia="SimHei" w:cs="SimHei"/>
          <w:sz w:val="29"/>
          <w:szCs w:val="29"/>
        </w:rPr>
      </w:pPr>
      <w:r>
        <w:rPr>
          <w:rFonts w:ascii="SimHei" w:hAnsi="SimHei" w:eastAsia="SimHei" w:cs="SimHei"/>
          <w:sz w:val="29"/>
          <w:szCs w:val="29"/>
          <w:spacing w:val="1"/>
        </w:rPr>
        <w:t>九、十月份</w:t>
      </w:r>
    </w:p>
    <w:p>
      <w:pPr>
        <w:pStyle w:val="BodyText"/>
        <w:ind w:left="590"/>
        <w:spacing w:before="99" w:line="219" w:lineRule="auto"/>
        <w:rPr>
          <w:sz w:val="29"/>
          <w:szCs w:val="29"/>
        </w:rPr>
      </w:pPr>
      <w:r>
        <w:rPr>
          <w:sz w:val="29"/>
          <w:szCs w:val="29"/>
          <w:spacing w:val="5"/>
        </w:rPr>
        <w:t>高温下降，降水明显减少。</w:t>
      </w:r>
    </w:p>
    <w:p>
      <w:pPr>
        <w:pStyle w:val="BodyText"/>
        <w:ind w:left="590"/>
        <w:spacing w:before="28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43" w:line="219" w:lineRule="auto"/>
        <w:rPr>
          <w:sz w:val="29"/>
          <w:szCs w:val="29"/>
        </w:rPr>
      </w:pPr>
      <w:r>
        <w:rPr>
          <w:sz w:val="29"/>
          <w:szCs w:val="29"/>
          <w:spacing w:val="1"/>
        </w:rPr>
        <w:t>及时检查乔木支撑情况，发现松动或缺失立即加固。</w:t>
      </w:r>
    </w:p>
    <w:p>
      <w:pPr>
        <w:ind w:left="590"/>
        <w:spacing w:before="103"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right="349" w:firstLine="1330"/>
        <w:spacing w:before="142" w:line="309" w:lineRule="auto"/>
        <w:rPr>
          <w:sz w:val="29"/>
          <w:szCs w:val="29"/>
        </w:rPr>
      </w:pPr>
      <w:r>
        <w:rPr>
          <w:sz w:val="29"/>
          <w:szCs w:val="29"/>
          <w:spacing w:val="1"/>
        </w:rPr>
        <w:t>随时检查灌木的生长状况，时时进行整形修剪，例如</w:t>
      </w:r>
      <w:r>
        <w:rPr>
          <w:sz w:val="29"/>
          <w:szCs w:val="29"/>
        </w:rPr>
        <w:t>金叶女贞、毛叶 </w:t>
      </w:r>
      <w:r>
        <w:rPr>
          <w:sz w:val="29"/>
          <w:szCs w:val="29"/>
          <w:spacing w:val="9"/>
        </w:rPr>
        <w:t>丁香等，部分宿根花卉(如美人蕉等),除及时剪除开花后的残花外；</w:t>
      </w:r>
    </w:p>
    <w:p>
      <w:pPr>
        <w:pStyle w:val="BodyText"/>
        <w:ind w:right="349" w:firstLine="720"/>
        <w:spacing w:before="2" w:line="266" w:lineRule="auto"/>
        <w:rPr>
          <w:rFonts w:ascii="Times New Roman" w:hAnsi="Times New Roman" w:eastAsia="Times New Roman" w:cs="Times New Roman"/>
          <w:sz w:val="29"/>
          <w:szCs w:val="29"/>
        </w:rPr>
      </w:pPr>
      <w:r>
        <w:rPr>
          <w:sz w:val="29"/>
          <w:szCs w:val="29"/>
          <w:spacing w:val="-7"/>
        </w:rPr>
        <w:t>2   根据草坪生长势，最迟在10月上旬进行全年最后一次修剪，修剪高度一</w:t>
      </w:r>
      <w:r>
        <w:rPr>
          <w:sz w:val="29"/>
          <w:szCs w:val="29"/>
          <w:spacing w:val="16"/>
        </w:rPr>
        <w:t xml:space="preserve"> </w:t>
      </w:r>
      <w:r>
        <w:rPr>
          <w:sz w:val="29"/>
          <w:szCs w:val="29"/>
          <w:spacing w:val="-10"/>
        </w:rPr>
        <w:t>般保留3-5</w:t>
      </w:r>
      <w:r>
        <w:rPr>
          <w:rFonts w:ascii="Times New Roman" w:hAnsi="Times New Roman" w:eastAsia="Times New Roman" w:cs="Times New Roman"/>
          <w:sz w:val="29"/>
          <w:szCs w:val="29"/>
          <w:spacing w:val="-10"/>
        </w:rPr>
        <w:t>cm.</w:t>
      </w:r>
    </w:p>
    <w:p>
      <w:pPr>
        <w:ind w:left="590"/>
        <w:spacing w:before="191"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20"/>
        <w:spacing w:before="113" w:line="219" w:lineRule="auto"/>
        <w:rPr>
          <w:sz w:val="29"/>
          <w:szCs w:val="29"/>
        </w:rPr>
      </w:pPr>
      <w:r>
        <w:rPr>
          <w:sz w:val="29"/>
          <w:szCs w:val="29"/>
          <w:spacing w:val="7"/>
        </w:rPr>
        <w:t>(1)随时注意旱情以便及时补充土壤水分；</w:t>
      </w:r>
    </w:p>
    <w:p>
      <w:pPr>
        <w:pStyle w:val="BodyText"/>
        <w:ind w:right="549" w:firstLine="720"/>
        <w:spacing w:before="146" w:line="265" w:lineRule="auto"/>
        <w:rPr>
          <w:sz w:val="29"/>
          <w:szCs w:val="29"/>
        </w:rPr>
      </w:pPr>
      <w:r>
        <w:rPr>
          <w:sz w:val="29"/>
          <w:szCs w:val="29"/>
          <w:spacing w:val="4"/>
        </w:rPr>
        <w:t>(2)冬季开花的园林植物(例如茶花、腊梅、梅花等)可在此时施肥1次，</w:t>
      </w:r>
      <w:r>
        <w:rPr>
          <w:sz w:val="29"/>
          <w:szCs w:val="29"/>
          <w:spacing w:val="7"/>
        </w:rPr>
        <w:t xml:space="preserve"> </w:t>
      </w:r>
      <w:r>
        <w:rPr>
          <w:sz w:val="29"/>
          <w:szCs w:val="29"/>
          <w:spacing w:val="-6"/>
        </w:rPr>
        <w:t>以腐熟的有机肥为主，挖沟穴施；</w:t>
      </w:r>
    </w:p>
    <w:p>
      <w:pPr>
        <w:pStyle w:val="BodyText"/>
        <w:ind w:right="242" w:firstLine="720"/>
        <w:spacing w:before="124" w:line="286" w:lineRule="auto"/>
        <w:rPr>
          <w:sz w:val="29"/>
          <w:szCs w:val="29"/>
        </w:rPr>
      </w:pPr>
      <w:r>
        <w:rPr>
          <w:sz w:val="29"/>
          <w:szCs w:val="29"/>
        </w:rPr>
        <w:t>(3)冬季不开花且常绿的灌木，施肥的时间不得晚于10月底，能挖沟穴施的</w:t>
      </w:r>
      <w:r>
        <w:rPr>
          <w:sz w:val="29"/>
          <w:szCs w:val="29"/>
          <w:spacing w:val="16"/>
        </w:rPr>
        <w:t xml:space="preserve"> </w:t>
      </w:r>
      <w:r>
        <w:rPr>
          <w:sz w:val="29"/>
          <w:szCs w:val="29"/>
          <w:spacing w:val="-8"/>
        </w:rPr>
        <w:t>则挖沟穴施，不便挖沟穴施的成片灌木则用撒施，肥料可使用有机鸡粪，提升苗木</w:t>
      </w:r>
      <w:r>
        <w:rPr>
          <w:sz w:val="29"/>
          <w:szCs w:val="29"/>
        </w:rPr>
        <w:t xml:space="preserve"> </w:t>
      </w:r>
      <w:r>
        <w:rPr>
          <w:sz w:val="29"/>
          <w:szCs w:val="29"/>
          <w:spacing w:val="-11"/>
        </w:rPr>
        <w:t>抗寒性；</w:t>
      </w:r>
    </w:p>
    <w:p>
      <w:pPr>
        <w:pStyle w:val="BodyText"/>
        <w:ind w:left="720"/>
        <w:spacing w:before="144" w:line="219" w:lineRule="auto"/>
        <w:rPr>
          <w:sz w:val="29"/>
          <w:szCs w:val="29"/>
        </w:rPr>
      </w:pPr>
      <w:r>
        <w:rPr>
          <w:sz w:val="29"/>
          <w:szCs w:val="29"/>
          <w:spacing w:val="9"/>
        </w:rPr>
        <w:t>(4)冬季落叶灌木此时则不必施肥；</w:t>
      </w:r>
    </w:p>
    <w:p>
      <w:pPr>
        <w:pStyle w:val="BodyText"/>
        <w:ind w:left="720"/>
        <w:spacing w:before="134" w:line="216" w:lineRule="auto"/>
        <w:rPr>
          <w:sz w:val="29"/>
          <w:szCs w:val="29"/>
        </w:rPr>
      </w:pPr>
      <w:r>
        <w:rPr>
          <w:sz w:val="29"/>
          <w:szCs w:val="29"/>
          <w:spacing w:val="3"/>
        </w:rPr>
        <w:t>(5)成片种植的宿根地被(如麦冬、葱兰),可以撒施腐熟的颗粒状有机肥；</w:t>
      </w:r>
    </w:p>
    <w:p>
      <w:pPr>
        <w:pStyle w:val="BodyText"/>
        <w:ind w:left="720"/>
        <w:spacing w:before="153" w:line="219" w:lineRule="auto"/>
        <w:rPr>
          <w:sz w:val="29"/>
          <w:szCs w:val="29"/>
        </w:rPr>
      </w:pPr>
      <w:r>
        <w:rPr>
          <w:sz w:val="29"/>
          <w:szCs w:val="29"/>
          <w:spacing w:val="7"/>
        </w:rPr>
        <w:t>(6)草坪修剪完后，应及时浇水，不再施</w:t>
      </w:r>
      <w:r>
        <w:rPr>
          <w:sz w:val="29"/>
          <w:szCs w:val="29"/>
          <w:spacing w:val="6"/>
        </w:rPr>
        <w:t>入氮肥，可施入磷钾肥。</w:t>
      </w:r>
    </w:p>
    <w:p>
      <w:pPr>
        <w:spacing w:line="219" w:lineRule="auto"/>
        <w:sectPr>
          <w:footerReference w:type="default" r:id="rId694"/>
          <w:pgSz w:w="14490" w:h="20470"/>
          <w:pgMar w:top="400" w:right="1935" w:bottom="1447" w:left="2150" w:header="0" w:footer="1230"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43" w:firstLine="720"/>
        <w:spacing w:before="124" w:line="269" w:lineRule="auto"/>
        <w:rPr>
          <w:sz w:val="29"/>
          <w:szCs w:val="29"/>
        </w:rPr>
      </w:pPr>
      <w:r>
        <w:rPr>
          <w:sz w:val="29"/>
          <w:szCs w:val="29"/>
          <w:spacing w:val="6"/>
        </w:rPr>
        <w:t>(1)病害：白粉病、叶斑类病害、锈病、煤污病、叶枯病、干腐病、紫纹</w:t>
      </w:r>
      <w:r>
        <w:rPr>
          <w:sz w:val="29"/>
          <w:szCs w:val="29"/>
          <w:spacing w:val="7"/>
        </w:rPr>
        <w:t xml:space="preserve"> </w:t>
      </w:r>
      <w:r>
        <w:rPr>
          <w:sz w:val="29"/>
          <w:szCs w:val="29"/>
          <w:spacing w:val="1"/>
        </w:rPr>
        <w:t>羽病、枝枯病、草坪腐霉枯萎病、花叶病、丛枝病等；</w:t>
      </w:r>
    </w:p>
    <w:p>
      <w:pPr>
        <w:pStyle w:val="BodyText"/>
        <w:ind w:right="179" w:firstLine="720"/>
        <w:spacing w:before="127" w:line="293" w:lineRule="auto"/>
        <w:rPr>
          <w:sz w:val="29"/>
          <w:szCs w:val="29"/>
        </w:rPr>
      </w:pPr>
      <w:r>
        <w:rPr>
          <w:sz w:val="29"/>
          <w:szCs w:val="29"/>
          <w:spacing w:val="7"/>
        </w:rPr>
        <w:t>(2)虫害：桃一点斑叶蝉、大青叶蝉、方翅网蝽、桃粉蚜、桃瘤蚜、柑桔</w:t>
      </w:r>
      <w:r>
        <w:rPr>
          <w:sz w:val="29"/>
          <w:szCs w:val="29"/>
          <w:spacing w:val="3"/>
        </w:rPr>
        <w:t xml:space="preserve">  </w:t>
      </w:r>
      <w:r>
        <w:rPr>
          <w:sz w:val="29"/>
          <w:szCs w:val="29"/>
          <w:spacing w:val="1"/>
        </w:rPr>
        <w:t>全爪螨、花蓟马、桑天牛、松纵坑切梢小蠹、桔绿粉</w:t>
      </w:r>
      <w:r>
        <w:rPr>
          <w:sz w:val="29"/>
          <w:szCs w:val="29"/>
        </w:rPr>
        <w:t>虱、白蚁、蝼蛄、黄刺蛾、 </w:t>
      </w:r>
      <w:r>
        <w:rPr>
          <w:sz w:val="29"/>
          <w:szCs w:val="29"/>
          <w:spacing w:val="2"/>
        </w:rPr>
        <w:t>丽绿刺蛾、褐边绿刺蛾、茶袋蛾、黄尾毒蛾、柑桔凤蝶、玉带凤蝶、樟青凤蝶、</w:t>
      </w:r>
      <w:r>
        <w:rPr>
          <w:sz w:val="29"/>
          <w:szCs w:val="29"/>
          <w:spacing w:val="4"/>
        </w:rPr>
        <w:t xml:space="preserve"> </w:t>
      </w:r>
      <w:r>
        <w:rPr>
          <w:sz w:val="29"/>
          <w:szCs w:val="29"/>
          <w:spacing w:val="-2"/>
        </w:rPr>
        <w:t>蔷薇三节叶蜂、柳蓝叶甲等。</w:t>
      </w:r>
    </w:p>
    <w:p>
      <w:pPr>
        <w:pStyle w:val="BodyText"/>
        <w:ind w:left="570"/>
        <w:spacing w:before="118"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39" w:firstLine="720"/>
        <w:spacing w:before="104" w:line="268" w:lineRule="auto"/>
        <w:rPr>
          <w:sz w:val="29"/>
          <w:szCs w:val="29"/>
        </w:rPr>
      </w:pPr>
      <w:r>
        <w:rPr>
          <w:sz w:val="29"/>
          <w:szCs w:val="29"/>
          <w:spacing w:val="-1"/>
        </w:rPr>
        <w:t>(1)</w:t>
      </w:r>
      <w:r>
        <w:rPr>
          <w:sz w:val="29"/>
          <w:szCs w:val="29"/>
          <w:spacing w:val="96"/>
        </w:rPr>
        <w:t xml:space="preserve"> </w:t>
      </w:r>
      <w:r>
        <w:rPr>
          <w:sz w:val="29"/>
          <w:szCs w:val="29"/>
          <w:spacing w:val="-1"/>
        </w:rPr>
        <w:t>保洁人员合理分区，全天候巡视，及时清理烟头、树挂等垃圾，水景</w:t>
      </w:r>
      <w:r>
        <w:rPr>
          <w:sz w:val="29"/>
          <w:szCs w:val="29"/>
        </w:rPr>
        <w:t xml:space="preserve"> </w:t>
      </w:r>
      <w:r>
        <w:rPr>
          <w:sz w:val="29"/>
          <w:szCs w:val="29"/>
          <w:spacing w:val="-2"/>
        </w:rPr>
        <w:t>池、灯杆、垃圾桶保持干净；</w:t>
      </w:r>
    </w:p>
    <w:p>
      <w:pPr>
        <w:pStyle w:val="BodyText"/>
        <w:ind w:right="333" w:firstLine="720"/>
        <w:spacing w:before="156" w:line="266"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0"/>
        </w:rPr>
        <w:t>售展示区)进行彻底清理；</w:t>
      </w:r>
    </w:p>
    <w:p>
      <w:pPr>
        <w:pStyle w:val="BodyText"/>
        <w:ind w:left="720"/>
        <w:spacing w:before="166" w:line="219" w:lineRule="auto"/>
        <w:rPr>
          <w:sz w:val="29"/>
          <w:szCs w:val="29"/>
        </w:rPr>
      </w:pPr>
      <w:r>
        <w:rPr>
          <w:sz w:val="29"/>
          <w:szCs w:val="29"/>
          <w:spacing w:val="6"/>
        </w:rPr>
        <w:t>(3)入秋乔木落叶增多，保证重点区域人员配置，检查、及时清除落叶。</w:t>
      </w:r>
    </w:p>
    <w:p>
      <w:pPr>
        <w:ind w:left="570"/>
        <w:spacing w:before="96" w:line="222" w:lineRule="auto"/>
        <w:rPr>
          <w:rFonts w:ascii="SimHei" w:hAnsi="SimHei" w:eastAsia="SimHei" w:cs="SimHei"/>
          <w:sz w:val="29"/>
          <w:szCs w:val="29"/>
        </w:rPr>
      </w:pPr>
      <w:r>
        <w:rPr>
          <w:rFonts w:ascii="SimHei" w:hAnsi="SimHei" w:eastAsia="SimHei" w:cs="SimHei"/>
          <w:sz w:val="29"/>
          <w:szCs w:val="29"/>
          <w:spacing w:val="9"/>
        </w:rPr>
        <w:t>6、时花摆放</w:t>
      </w:r>
    </w:p>
    <w:p>
      <w:pPr>
        <w:pStyle w:val="BodyText"/>
        <w:ind w:left="720"/>
        <w:spacing w:before="141" w:line="219" w:lineRule="auto"/>
        <w:rPr>
          <w:sz w:val="29"/>
          <w:szCs w:val="29"/>
        </w:rPr>
      </w:pPr>
      <w:r>
        <w:rPr>
          <w:sz w:val="29"/>
          <w:szCs w:val="29"/>
          <w:spacing w:val="5"/>
        </w:rPr>
        <w:t>(1)月初提交时花需求计划，选择亮色花卉，安排下旬进场；</w:t>
      </w:r>
    </w:p>
    <w:p>
      <w:pPr>
        <w:pStyle w:val="BodyText"/>
        <w:ind w:left="720"/>
        <w:spacing w:before="126" w:line="219" w:lineRule="auto"/>
        <w:rPr>
          <w:sz w:val="29"/>
          <w:szCs w:val="29"/>
        </w:rPr>
      </w:pPr>
      <w:r>
        <w:rPr>
          <w:sz w:val="29"/>
          <w:szCs w:val="29"/>
          <w:spacing w:val="6"/>
        </w:rPr>
        <w:t>(2)月底将时花摆放完毕，注意摆放外侧避免黑色塑料盆出现。</w:t>
      </w:r>
    </w:p>
    <w:p>
      <w:pPr>
        <w:pStyle w:val="BodyText"/>
        <w:ind w:left="570"/>
        <w:spacing w:before="124" w:line="222"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物资管理</w:t>
      </w:r>
    </w:p>
    <w:p>
      <w:pPr>
        <w:pStyle w:val="BodyText"/>
        <w:ind w:right="341" w:firstLine="720"/>
        <w:spacing w:before="132" w:line="273" w:lineRule="auto"/>
        <w:rPr>
          <w:sz w:val="29"/>
          <w:szCs w:val="29"/>
        </w:rPr>
      </w:pPr>
      <w:r>
        <w:rPr>
          <w:sz w:val="29"/>
          <w:szCs w:val="29"/>
          <w:spacing w:val="6"/>
        </w:rPr>
        <w:t>(1)库房物品整理，物料工具出入库及领用登记，注意保管汽油、农药等</w:t>
      </w:r>
      <w:r>
        <w:rPr>
          <w:sz w:val="29"/>
          <w:szCs w:val="29"/>
          <w:spacing w:val="9"/>
        </w:rPr>
        <w:t xml:space="preserve"> </w:t>
      </w:r>
      <w:r>
        <w:rPr>
          <w:sz w:val="29"/>
          <w:szCs w:val="29"/>
          <w:spacing w:val="-7"/>
        </w:rPr>
        <w:t>危险品；</w:t>
      </w:r>
    </w:p>
    <w:p>
      <w:pPr>
        <w:pStyle w:val="BodyText"/>
        <w:ind w:right="322" w:firstLine="720"/>
        <w:spacing w:before="144" w:line="267" w:lineRule="auto"/>
        <w:rPr>
          <w:sz w:val="29"/>
          <w:szCs w:val="29"/>
        </w:rPr>
      </w:pPr>
      <w:r>
        <w:rPr>
          <w:sz w:val="29"/>
          <w:szCs w:val="29"/>
          <w:spacing w:val="-2"/>
        </w:rPr>
        <w:t>(2)根据现场的实际情况，申请购置10、11、12月份的农药、化肥、营养剂</w:t>
      </w:r>
      <w:r>
        <w:rPr>
          <w:sz w:val="29"/>
          <w:szCs w:val="29"/>
          <w:spacing w:val="10"/>
        </w:rPr>
        <w:t xml:space="preserve"> </w:t>
      </w:r>
      <w:r>
        <w:rPr>
          <w:sz w:val="29"/>
          <w:szCs w:val="29"/>
          <w:spacing w:val="-5"/>
        </w:rPr>
        <w:t>及其它物资；</w:t>
      </w:r>
    </w:p>
    <w:p>
      <w:pPr>
        <w:pStyle w:val="BodyText"/>
        <w:ind w:left="720"/>
        <w:spacing w:before="139" w:line="219" w:lineRule="auto"/>
        <w:rPr>
          <w:sz w:val="29"/>
          <w:szCs w:val="29"/>
        </w:rPr>
      </w:pPr>
      <w:r>
        <w:rPr>
          <w:sz w:val="29"/>
          <w:szCs w:val="29"/>
          <w:spacing w:val="9"/>
        </w:rPr>
        <w:t>(3)进行机械工具的检查维修。</w:t>
      </w:r>
    </w:p>
    <w:p>
      <w:pPr>
        <w:pStyle w:val="BodyText"/>
        <w:ind w:left="570"/>
        <w:spacing w:before="43" w:line="396"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防火防盗</w:t>
      </w:r>
    </w:p>
    <w:p>
      <w:pPr>
        <w:pStyle w:val="BodyText"/>
        <w:ind w:firstLine="570"/>
        <w:spacing w:before="140" w:line="320" w:lineRule="auto"/>
        <w:rPr>
          <w:sz w:val="29"/>
          <w:szCs w:val="29"/>
        </w:rPr>
      </w:pPr>
      <w:r>
        <w:rPr>
          <w:sz w:val="29"/>
          <w:szCs w:val="29"/>
          <w:spacing w:val="1"/>
        </w:rPr>
        <w:t>每天绿化工人在保洁的同时要注意行人随意丢弃烟头现象，并对其</w:t>
      </w:r>
      <w:r>
        <w:rPr>
          <w:sz w:val="29"/>
          <w:szCs w:val="29"/>
        </w:rPr>
        <w:t>进行防火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23" w:line="223" w:lineRule="auto"/>
        <w:rPr>
          <w:rFonts w:ascii="SimHei" w:hAnsi="SimHei" w:eastAsia="SimHei" w:cs="SimHei"/>
          <w:sz w:val="32"/>
          <w:szCs w:val="32"/>
        </w:rPr>
      </w:pPr>
      <w:r>
        <w:rPr>
          <w:rFonts w:ascii="SimHei" w:hAnsi="SimHei" w:eastAsia="SimHei" w:cs="SimHei"/>
          <w:sz w:val="32"/>
          <w:szCs w:val="32"/>
          <w:spacing w:val="-23"/>
        </w:rPr>
        <w:t>十一、十二月份</w:t>
      </w:r>
    </w:p>
    <w:p>
      <w:pPr>
        <w:pStyle w:val="BodyText"/>
        <w:ind w:left="570"/>
        <w:spacing w:before="112" w:line="219" w:lineRule="auto"/>
        <w:rPr>
          <w:sz w:val="29"/>
          <w:szCs w:val="29"/>
        </w:rPr>
      </w:pPr>
      <w:r>
        <w:rPr>
          <w:sz w:val="29"/>
          <w:szCs w:val="29"/>
          <w:spacing w:val="6"/>
        </w:rPr>
        <w:t>气温逐渐转凉，降水明显减少。</w:t>
      </w:r>
    </w:p>
    <w:p>
      <w:pPr>
        <w:pStyle w:val="BodyText"/>
        <w:ind w:left="570"/>
        <w:spacing w:before="274"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20"/>
        <w:spacing w:before="123" w:line="219" w:lineRule="auto"/>
        <w:rPr>
          <w:sz w:val="29"/>
          <w:szCs w:val="29"/>
        </w:rPr>
      </w:pPr>
      <w:r>
        <w:rPr>
          <w:sz w:val="29"/>
          <w:szCs w:val="29"/>
          <w:spacing w:val="6"/>
        </w:rPr>
        <w:t>(1)检查防寒设施的完好情况，发现破损立即修补；</w:t>
      </w:r>
    </w:p>
    <w:p>
      <w:pPr>
        <w:pStyle w:val="BodyText"/>
        <w:ind w:left="720"/>
        <w:spacing w:before="156" w:line="219" w:lineRule="auto"/>
        <w:rPr>
          <w:sz w:val="29"/>
          <w:szCs w:val="29"/>
        </w:rPr>
      </w:pPr>
      <w:r>
        <w:rPr>
          <w:sz w:val="29"/>
          <w:szCs w:val="29"/>
          <w:spacing w:val="8"/>
        </w:rPr>
        <w:t>(2)及时检查乔木支撑情况，发现松动或缺失立即加固。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0"/>
        </w:rPr>
        <w:t>2、修剪</w:t>
      </w:r>
    </w:p>
    <w:p>
      <w:pPr>
        <w:pStyle w:val="BodyText"/>
        <w:ind w:right="280" w:firstLine="720"/>
        <w:spacing w:before="155" w:line="314" w:lineRule="auto"/>
        <w:rPr>
          <w:sz w:val="29"/>
          <w:szCs w:val="29"/>
        </w:rPr>
      </w:pPr>
      <w:r>
        <w:rPr>
          <w:sz w:val="29"/>
          <w:szCs w:val="29"/>
          <w:spacing w:val="17"/>
        </w:rPr>
        <w:t>(1)除冬季开花的苗木(如茶花、梅花)外，结合整形，着重剪去</w:t>
      </w:r>
      <w:r>
        <w:rPr>
          <w:sz w:val="29"/>
          <w:szCs w:val="29"/>
          <w:spacing w:val="16"/>
        </w:rPr>
        <w:t>影响景</w:t>
      </w:r>
      <w:r>
        <w:rPr>
          <w:sz w:val="29"/>
          <w:szCs w:val="29"/>
        </w:rPr>
        <w:t xml:space="preserve"> </w:t>
      </w:r>
      <w:r>
        <w:rPr>
          <w:sz w:val="29"/>
          <w:szCs w:val="29"/>
          <w:spacing w:val="-9"/>
        </w:rPr>
        <w:t>观的下垂枝、过密枝、病虫枝、枯枝、残花枝，突长枝根据树型适当短截或从基</w:t>
      </w:r>
    </w:p>
    <w:p>
      <w:pPr>
        <w:spacing w:line="314" w:lineRule="auto"/>
        <w:sectPr>
          <w:footerReference w:type="default" r:id="rId695"/>
          <w:pgSz w:w="14490" w:h="20470"/>
          <w:pgMar w:top="400" w:right="1935" w:bottom="1447" w:left="2150" w:header="0" w:footer="1231"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7"/>
        </w:rPr>
        <w:t>部剪除；</w:t>
      </w:r>
    </w:p>
    <w:p>
      <w:pPr>
        <w:pStyle w:val="BodyText"/>
        <w:ind w:left="720"/>
        <w:spacing w:before="156" w:line="219" w:lineRule="auto"/>
        <w:rPr>
          <w:sz w:val="29"/>
          <w:szCs w:val="29"/>
        </w:rPr>
      </w:pPr>
      <w:r>
        <w:rPr>
          <w:sz w:val="29"/>
          <w:szCs w:val="29"/>
          <w:spacing w:val="6"/>
        </w:rPr>
        <w:t>(2)用于行道树的乔木，还应剪除影响行人通行及</w:t>
      </w:r>
      <w:r>
        <w:rPr>
          <w:sz w:val="29"/>
          <w:szCs w:val="29"/>
          <w:spacing w:val="5"/>
        </w:rPr>
        <w:t>行车安全的下垂枝条；</w:t>
      </w:r>
    </w:p>
    <w:p>
      <w:pPr>
        <w:pStyle w:val="BodyText"/>
        <w:ind w:right="61" w:firstLine="720"/>
        <w:spacing w:before="144" w:line="269" w:lineRule="auto"/>
        <w:rPr>
          <w:sz w:val="29"/>
          <w:szCs w:val="29"/>
        </w:rPr>
      </w:pPr>
      <w:r>
        <w:rPr>
          <w:sz w:val="29"/>
          <w:szCs w:val="29"/>
          <w:spacing w:val="16"/>
        </w:rPr>
        <w:t>(3)需要重度修剪的植物(如紫薇、樱花、木芙蓉、黄槐决明等)应按景</w:t>
      </w:r>
      <w:r>
        <w:rPr>
          <w:sz w:val="29"/>
          <w:szCs w:val="29"/>
          <w:spacing w:val="10"/>
        </w:rPr>
        <w:t xml:space="preserve"> </w:t>
      </w:r>
      <w:r>
        <w:rPr>
          <w:sz w:val="29"/>
          <w:szCs w:val="29"/>
          <w:spacing w:val="-3"/>
        </w:rPr>
        <w:t>观要求重度修剪；</w:t>
      </w:r>
    </w:p>
    <w:p>
      <w:pPr>
        <w:pStyle w:val="BodyText"/>
        <w:ind w:left="720"/>
        <w:spacing w:before="136" w:line="219" w:lineRule="auto"/>
        <w:rPr>
          <w:sz w:val="29"/>
          <w:szCs w:val="29"/>
        </w:rPr>
      </w:pPr>
      <w:r>
        <w:rPr>
          <w:sz w:val="29"/>
          <w:szCs w:val="29"/>
          <w:spacing w:val="6"/>
        </w:rPr>
        <w:t>(4)必须完成整形的灌木、绿篱、球类等造型植物入冬前须修剪；</w:t>
      </w:r>
    </w:p>
    <w:p>
      <w:pPr>
        <w:pStyle w:val="BodyText"/>
        <w:ind w:left="720"/>
        <w:spacing w:before="136" w:line="219" w:lineRule="auto"/>
        <w:rPr>
          <w:sz w:val="29"/>
          <w:szCs w:val="29"/>
        </w:rPr>
      </w:pPr>
      <w:r>
        <w:rPr>
          <w:sz w:val="29"/>
          <w:szCs w:val="29"/>
          <w:spacing w:val="7"/>
        </w:rPr>
        <w:t>(5)宿根花卉须剪除残留的枯枝、枯叶；</w:t>
      </w:r>
    </w:p>
    <w:p>
      <w:pPr>
        <w:pStyle w:val="BodyText"/>
        <w:ind w:right="105" w:firstLine="720"/>
        <w:spacing w:before="165" w:line="265" w:lineRule="auto"/>
        <w:rPr>
          <w:sz w:val="29"/>
          <w:szCs w:val="29"/>
        </w:rPr>
      </w:pPr>
      <w:r>
        <w:rPr>
          <w:sz w:val="29"/>
          <w:szCs w:val="29"/>
          <w:spacing w:val="6"/>
        </w:rPr>
        <w:t>(6)宿根草本地被植物必须剪除枯叶、病虫叶；藤本类地被植物，剪除过</w:t>
      </w:r>
      <w:r>
        <w:rPr>
          <w:sz w:val="29"/>
          <w:szCs w:val="29"/>
          <w:spacing w:val="7"/>
        </w:rPr>
        <w:t xml:space="preserve"> </w:t>
      </w:r>
      <w:r>
        <w:rPr>
          <w:sz w:val="29"/>
          <w:szCs w:val="29"/>
        </w:rPr>
        <w:t>密枝、枯死枝、攀附于其它植物上影响景观的枝条；</w:t>
      </w:r>
    </w:p>
    <w:p>
      <w:pPr>
        <w:pStyle w:val="BodyText"/>
        <w:ind w:right="62" w:firstLine="720"/>
        <w:spacing w:before="128" w:line="268" w:lineRule="auto"/>
        <w:rPr>
          <w:sz w:val="29"/>
          <w:szCs w:val="29"/>
        </w:rPr>
      </w:pPr>
      <w:r>
        <w:rPr>
          <w:sz w:val="29"/>
          <w:szCs w:val="29"/>
          <w:spacing w:val="8"/>
        </w:rPr>
        <w:t>(7)藤本植物</w:t>
      </w:r>
      <w:r>
        <w:rPr>
          <w:sz w:val="29"/>
          <w:szCs w:val="29"/>
          <w:spacing w:val="140"/>
        </w:rPr>
        <w:t xml:space="preserve"> </w:t>
      </w:r>
      <w:r>
        <w:rPr>
          <w:sz w:val="29"/>
          <w:szCs w:val="29"/>
          <w:spacing w:val="8"/>
        </w:rPr>
        <w:t>除剪除过密枝、枯死枝、影响观赏的徒长枝外，</w:t>
      </w:r>
      <w:r>
        <w:rPr>
          <w:sz w:val="29"/>
          <w:szCs w:val="29"/>
          <w:spacing w:val="7"/>
        </w:rPr>
        <w:t>还必须剪</w:t>
      </w:r>
      <w:r>
        <w:rPr>
          <w:sz w:val="29"/>
          <w:szCs w:val="29"/>
        </w:rPr>
        <w:t xml:space="preserve"> </w:t>
      </w:r>
      <w:r>
        <w:rPr>
          <w:sz w:val="29"/>
          <w:szCs w:val="29"/>
        </w:rPr>
        <w:t>除未吸附于墙面或攀附于攀缘物而下垂的枝条。</w:t>
      </w:r>
    </w:p>
    <w:p>
      <w:pPr>
        <w:ind w:left="570"/>
        <w:spacing w:before="18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100" w:firstLine="720"/>
        <w:spacing w:before="94" w:line="275" w:lineRule="auto"/>
        <w:rPr>
          <w:sz w:val="29"/>
          <w:szCs w:val="29"/>
        </w:rPr>
      </w:pPr>
      <w:r>
        <w:rPr>
          <w:sz w:val="29"/>
          <w:szCs w:val="29"/>
          <w:spacing w:val="-1"/>
        </w:rPr>
        <w:t>(1)</w:t>
      </w:r>
      <w:r>
        <w:rPr>
          <w:sz w:val="29"/>
          <w:szCs w:val="29"/>
          <w:spacing w:val="98"/>
        </w:rPr>
        <w:t xml:space="preserve"> </w:t>
      </w:r>
      <w:r>
        <w:rPr>
          <w:sz w:val="29"/>
          <w:szCs w:val="29"/>
          <w:spacing w:val="-1"/>
        </w:rPr>
        <w:t>常绿植物仅在土壤较干时浇水，而落叶植物、常绿宿根地被植物可不</w:t>
      </w:r>
      <w:r>
        <w:rPr>
          <w:sz w:val="29"/>
          <w:szCs w:val="29"/>
        </w:rPr>
        <w:t xml:space="preserve"> </w:t>
      </w:r>
      <w:r>
        <w:rPr>
          <w:sz w:val="29"/>
          <w:szCs w:val="29"/>
          <w:spacing w:val="-10"/>
        </w:rPr>
        <w:t>浇水；</w:t>
      </w:r>
    </w:p>
    <w:p>
      <w:pPr>
        <w:pStyle w:val="BodyText"/>
        <w:ind w:left="720"/>
        <w:spacing w:before="146" w:line="219" w:lineRule="auto"/>
        <w:rPr>
          <w:sz w:val="29"/>
          <w:szCs w:val="29"/>
        </w:rPr>
      </w:pPr>
      <w:r>
        <w:rPr>
          <w:sz w:val="29"/>
          <w:szCs w:val="29"/>
          <w:spacing w:val="7"/>
        </w:rPr>
        <w:t>(2)冬季开花的植物，则应适时浇水，保持土壤湿润；</w:t>
      </w:r>
    </w:p>
    <w:p>
      <w:pPr>
        <w:pStyle w:val="BodyText"/>
        <w:ind w:right="103" w:firstLine="720"/>
        <w:spacing w:before="135" w:line="269" w:lineRule="auto"/>
        <w:rPr>
          <w:sz w:val="29"/>
          <w:szCs w:val="29"/>
        </w:rPr>
      </w:pPr>
      <w:r>
        <w:rPr>
          <w:sz w:val="29"/>
          <w:szCs w:val="29"/>
          <w:spacing w:val="6"/>
        </w:rPr>
        <w:t>(3)部分不耐寒杂物或者一些南方的植物进行搭架保温防寒，进入防寒苗</w:t>
      </w:r>
      <w:r>
        <w:rPr>
          <w:sz w:val="29"/>
          <w:szCs w:val="29"/>
          <w:spacing w:val="9"/>
        </w:rPr>
        <w:t xml:space="preserve"> </w:t>
      </w:r>
      <w:r>
        <w:rPr>
          <w:sz w:val="29"/>
          <w:szCs w:val="29"/>
          <w:spacing w:val="-3"/>
        </w:rPr>
        <w:t>木不可浇水过量；</w:t>
      </w:r>
    </w:p>
    <w:p>
      <w:pPr>
        <w:pStyle w:val="BodyText"/>
        <w:ind w:right="115" w:firstLine="720"/>
        <w:spacing w:before="136" w:line="268" w:lineRule="auto"/>
        <w:rPr>
          <w:sz w:val="29"/>
          <w:szCs w:val="29"/>
        </w:rPr>
      </w:pPr>
      <w:r>
        <w:rPr>
          <w:sz w:val="29"/>
          <w:szCs w:val="29"/>
          <w:spacing w:val="6"/>
        </w:rPr>
        <w:t>(4)施肥前宜对土壤的养分状况进行检测，根据园林植物的大小、</w:t>
      </w:r>
      <w:r>
        <w:rPr>
          <w:sz w:val="29"/>
          <w:szCs w:val="29"/>
          <w:spacing w:val="5"/>
        </w:rPr>
        <w:t>肥料种</w:t>
      </w:r>
      <w:r>
        <w:rPr>
          <w:sz w:val="29"/>
          <w:szCs w:val="29"/>
        </w:rPr>
        <w:t xml:space="preserve"> </w:t>
      </w:r>
      <w:r>
        <w:rPr>
          <w:sz w:val="29"/>
          <w:szCs w:val="29"/>
        </w:rPr>
        <w:t>类及土壤理化性状而决定施肥量，做到科学而合理的施肥；</w:t>
      </w:r>
    </w:p>
    <w:p>
      <w:pPr>
        <w:pStyle w:val="BodyText"/>
        <w:ind w:right="23" w:firstLine="720"/>
        <w:spacing w:before="169" w:line="274" w:lineRule="auto"/>
        <w:rPr>
          <w:sz w:val="29"/>
          <w:szCs w:val="29"/>
        </w:rPr>
      </w:pPr>
      <w:r>
        <w:rPr>
          <w:sz w:val="29"/>
          <w:szCs w:val="29"/>
          <w:spacing w:val="9"/>
        </w:rPr>
        <w:t>(5)肥料用腐熟的有机液体肥，也可选用腐熟的</w:t>
      </w:r>
      <w:r>
        <w:rPr>
          <w:sz w:val="29"/>
          <w:szCs w:val="29"/>
          <w:spacing w:val="8"/>
        </w:rPr>
        <w:t>有机颗粒肥或特制的固体</w:t>
      </w:r>
      <w:r>
        <w:rPr>
          <w:sz w:val="29"/>
          <w:szCs w:val="29"/>
        </w:rPr>
        <w:t xml:space="preserve"> </w:t>
      </w:r>
      <w:r>
        <w:rPr>
          <w:sz w:val="29"/>
          <w:szCs w:val="29"/>
          <w:spacing w:val="-8"/>
        </w:rPr>
        <w:t>有机肥，沟施、穴施、孔施均应将肥料用土覆盖，灌木或地</w:t>
      </w:r>
      <w:r>
        <w:rPr>
          <w:sz w:val="29"/>
          <w:szCs w:val="29"/>
          <w:spacing w:val="-9"/>
        </w:rPr>
        <w:t>被植物撒施后应尽快将</w:t>
      </w:r>
      <w:r>
        <w:rPr>
          <w:sz w:val="29"/>
          <w:szCs w:val="29"/>
        </w:rPr>
        <w:t xml:space="preserve"> </w:t>
      </w:r>
      <w:r>
        <w:rPr>
          <w:sz w:val="29"/>
          <w:szCs w:val="29"/>
          <w:spacing w:val="1"/>
        </w:rPr>
        <w:t>肥料用竹竿或竹扫把拨撒到地面上，且施肥后须及时浇水。</w:t>
      </w:r>
    </w:p>
    <w:p>
      <w:pPr>
        <w:pStyle w:val="BodyText"/>
        <w:ind w:left="570"/>
        <w:spacing w:before="2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20"/>
        <w:spacing w:before="85" w:line="219" w:lineRule="auto"/>
        <w:rPr>
          <w:sz w:val="29"/>
          <w:szCs w:val="29"/>
        </w:rPr>
      </w:pPr>
      <w:r>
        <w:rPr>
          <w:sz w:val="29"/>
          <w:szCs w:val="29"/>
          <w:spacing w:val="8"/>
        </w:rPr>
        <w:t>(1)病害：白粉病、叶斑类病害、叶枯病等；</w:t>
      </w:r>
    </w:p>
    <w:p>
      <w:pPr>
        <w:pStyle w:val="BodyText"/>
        <w:ind w:right="321" w:firstLine="720"/>
        <w:spacing w:before="155" w:line="269" w:lineRule="auto"/>
        <w:rPr>
          <w:sz w:val="29"/>
          <w:szCs w:val="29"/>
        </w:rPr>
      </w:pPr>
      <w:r>
        <w:rPr>
          <w:sz w:val="29"/>
          <w:szCs w:val="29"/>
          <w:spacing w:val="-9"/>
        </w:rPr>
        <w:t>(2)虫害：大青叶蝉、桃粉蚜、柑桔全爪螨、桔绿粉虱、榕管蓟马、白蚁、</w:t>
      </w:r>
      <w:r>
        <w:rPr>
          <w:sz w:val="29"/>
          <w:szCs w:val="29"/>
          <w:spacing w:val="5"/>
        </w:rPr>
        <w:t xml:space="preserve"> </w:t>
      </w:r>
      <w:r>
        <w:rPr>
          <w:sz w:val="29"/>
          <w:szCs w:val="29"/>
          <w:spacing w:val="-4"/>
        </w:rPr>
        <w:t>榕管蓟马等。</w:t>
      </w:r>
    </w:p>
    <w:p>
      <w:pPr>
        <w:pStyle w:val="BodyText"/>
        <w:ind w:left="570"/>
        <w:spacing w:before="13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101" w:firstLine="720"/>
        <w:spacing w:before="85" w:line="271" w:lineRule="auto"/>
        <w:rPr>
          <w:sz w:val="29"/>
          <w:szCs w:val="29"/>
        </w:rPr>
      </w:pPr>
      <w:r>
        <w:rPr>
          <w:sz w:val="29"/>
          <w:szCs w:val="29"/>
          <w:spacing w:val="6"/>
        </w:rPr>
        <w:t>(1)保洁人员合理分区，全天候巡视，及时清理烟头、树挂等垃圾，水景</w:t>
      </w:r>
      <w:r>
        <w:rPr>
          <w:sz w:val="29"/>
          <w:szCs w:val="29"/>
          <w:spacing w:val="10"/>
        </w:rPr>
        <w:t xml:space="preserve"> </w:t>
      </w:r>
      <w:r>
        <w:rPr>
          <w:sz w:val="29"/>
          <w:szCs w:val="29"/>
          <w:spacing w:val="-1"/>
        </w:rPr>
        <w:t>池、灯杆、垃圾桶保持干净；</w:t>
      </w:r>
    </w:p>
    <w:p>
      <w:pPr>
        <w:pStyle w:val="BodyText"/>
        <w:ind w:right="95" w:firstLine="720"/>
        <w:spacing w:before="137" w:line="269" w:lineRule="auto"/>
        <w:rPr>
          <w:sz w:val="29"/>
          <w:szCs w:val="29"/>
        </w:rPr>
      </w:pPr>
      <w:r>
        <w:rPr>
          <w:sz w:val="29"/>
          <w:szCs w:val="29"/>
          <w:spacing w:val="11"/>
        </w:rPr>
        <w:t>(2)在业主上班高峰期前对园区内的重点区域(大门内外、主干通</w:t>
      </w:r>
      <w:r>
        <w:rPr>
          <w:sz w:val="29"/>
          <w:szCs w:val="29"/>
          <w:spacing w:val="10"/>
        </w:rPr>
        <w:t>道、销</w:t>
      </w:r>
      <w:r>
        <w:rPr>
          <w:sz w:val="29"/>
          <w:szCs w:val="29"/>
        </w:rPr>
        <w:t xml:space="preserve"> </w:t>
      </w:r>
      <w:r>
        <w:rPr>
          <w:sz w:val="29"/>
          <w:szCs w:val="29"/>
          <w:spacing w:val="11"/>
        </w:rPr>
        <w:t>售展示区)进行彻底清理；</w:t>
      </w:r>
    </w:p>
    <w:p>
      <w:pPr>
        <w:pStyle w:val="BodyText"/>
        <w:ind w:left="720"/>
        <w:spacing w:before="146" w:line="219" w:lineRule="auto"/>
        <w:rPr>
          <w:sz w:val="29"/>
          <w:szCs w:val="29"/>
        </w:rPr>
      </w:pPr>
      <w:r>
        <w:rPr>
          <w:sz w:val="29"/>
          <w:szCs w:val="29"/>
          <w:spacing w:val="7"/>
        </w:rPr>
        <w:t>(3)乔木落叶增多，保证重点区域人员配置，检</w:t>
      </w:r>
      <w:r>
        <w:rPr>
          <w:sz w:val="29"/>
          <w:szCs w:val="29"/>
          <w:spacing w:val="6"/>
        </w:rPr>
        <w:t>查、及时清除落叶。</w:t>
      </w:r>
    </w:p>
    <w:p>
      <w:pPr>
        <w:pStyle w:val="BodyText"/>
        <w:ind w:left="570"/>
        <w:spacing w:before="6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20"/>
        <w:spacing w:before="128" w:line="219" w:lineRule="auto"/>
        <w:rPr>
          <w:sz w:val="29"/>
          <w:szCs w:val="29"/>
        </w:rPr>
      </w:pPr>
      <w:r>
        <w:rPr>
          <w:sz w:val="29"/>
          <w:szCs w:val="29"/>
          <w:spacing w:val="5"/>
        </w:rPr>
        <w:t>(1)月初提交时花需求计划，选择亮色花卉，安排下旬进场；</w:t>
      </w:r>
    </w:p>
    <w:p>
      <w:pPr>
        <w:pStyle w:val="BodyText"/>
        <w:ind w:left="72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spacing w:line="219" w:lineRule="auto"/>
        <w:sectPr>
          <w:footerReference w:type="default" r:id="rId696"/>
          <w:pgSz w:w="14490" w:h="20470"/>
          <w:pgMar w:top="400" w:right="2173" w:bottom="1405" w:left="2150" w:header="0" w:footer="1243"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590"/>
        <w:spacing w:before="9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right="241" w:firstLine="730"/>
        <w:spacing w:before="122" w:line="260" w:lineRule="auto"/>
        <w:rPr>
          <w:sz w:val="29"/>
          <w:szCs w:val="29"/>
        </w:rPr>
      </w:pPr>
      <w:r>
        <w:rPr>
          <w:sz w:val="29"/>
          <w:szCs w:val="29"/>
          <w:spacing w:val="9"/>
        </w:rPr>
        <w:t>(1)库房物品整理，物料工具出入库及领用登记，注意保管汽油、农药等</w:t>
      </w:r>
      <w:r>
        <w:rPr>
          <w:sz w:val="29"/>
          <w:szCs w:val="29"/>
        </w:rPr>
        <w:t xml:space="preserve"> </w:t>
      </w:r>
      <w:r>
        <w:rPr>
          <w:sz w:val="29"/>
          <w:szCs w:val="29"/>
          <w:spacing w:val="-7"/>
        </w:rPr>
        <w:t>危险品；</w:t>
      </w:r>
    </w:p>
    <w:p>
      <w:pPr>
        <w:pStyle w:val="BodyText"/>
        <w:ind w:right="241" w:firstLine="730"/>
        <w:spacing w:before="163" w:line="268" w:lineRule="auto"/>
        <w:rPr>
          <w:sz w:val="29"/>
          <w:szCs w:val="29"/>
        </w:rPr>
      </w:pPr>
      <w:r>
        <w:rPr>
          <w:sz w:val="29"/>
          <w:szCs w:val="29"/>
          <w:spacing w:val="4"/>
        </w:rPr>
        <w:t>(2)根据现场的实际情况，申请购置翌年1、2、3月份的农药、化肥、营养</w:t>
      </w:r>
      <w:r>
        <w:rPr>
          <w:sz w:val="29"/>
          <w:szCs w:val="29"/>
          <w:spacing w:val="12"/>
        </w:rPr>
        <w:t xml:space="preserve"> </w:t>
      </w:r>
      <w:r>
        <w:rPr>
          <w:sz w:val="29"/>
          <w:szCs w:val="29"/>
        </w:rPr>
        <w:t>剂及其它物资。</w:t>
      </w:r>
    </w:p>
    <w:p>
      <w:pPr>
        <w:pStyle w:val="BodyText"/>
        <w:ind w:left="590"/>
        <w:spacing w:before="143"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firstLine="590"/>
        <w:spacing w:before="98"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pStyle w:val="BodyText"/>
        <w:ind w:left="590"/>
        <w:spacing w:before="24" w:line="368" w:lineRule="exact"/>
        <w:rPr>
          <w:rFonts w:ascii="SimHei" w:hAnsi="SimHei" w:eastAsia="SimHei" w:cs="SimHei"/>
          <w:sz w:val="27"/>
          <w:szCs w:val="27"/>
        </w:rPr>
      </w:pPr>
      <w:r>
        <w:rPr>
          <w:rFonts w:ascii="Arial" w:hAnsi="Arial" w:eastAsia="Arial" w:cs="Arial"/>
          <w:sz w:val="27"/>
          <w:szCs w:val="27"/>
          <w:spacing w:val="-17"/>
          <w:position w:val="1"/>
        </w:rPr>
        <w:t>9</w:t>
      </w:r>
      <w:r>
        <w:rPr>
          <w:rFonts w:ascii="Arial" w:hAnsi="Arial" w:eastAsia="Arial" w:cs="Arial"/>
          <w:sz w:val="27"/>
          <w:szCs w:val="27"/>
          <w:spacing w:val="-44"/>
          <w:position w:val="1"/>
        </w:rPr>
        <w:t xml:space="preserve"> </w:t>
      </w:r>
      <w:r>
        <w:rPr>
          <w:sz w:val="27"/>
          <w:szCs w:val="27"/>
          <w:spacing w:val="-17"/>
          <w:position w:val="1"/>
        </w:rPr>
        <w:t>、</w:t>
      </w:r>
      <w:r>
        <w:rPr>
          <w:sz w:val="27"/>
          <w:szCs w:val="27"/>
          <w:spacing w:val="-8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49"/>
          <w:position w:val="1"/>
        </w:rPr>
        <w:t xml:space="preserve"> </w:t>
      </w:r>
      <w:r>
        <w:rPr>
          <w:rFonts w:ascii="SimHei" w:hAnsi="SimHei" w:eastAsia="SimHei" w:cs="SimHei"/>
          <w:sz w:val="27"/>
          <w:szCs w:val="27"/>
          <w:spacing w:val="-17"/>
          <w:position w:val="1"/>
        </w:rPr>
        <w:t>寒</w:t>
      </w:r>
    </w:p>
    <w:p>
      <w:pPr>
        <w:pStyle w:val="BodyText"/>
        <w:ind w:right="233" w:firstLine="730"/>
        <w:spacing w:before="115" w:line="287" w:lineRule="auto"/>
        <w:rPr>
          <w:sz w:val="29"/>
          <w:szCs w:val="29"/>
        </w:rPr>
      </w:pPr>
      <w:r>
        <w:rPr>
          <w:sz w:val="29"/>
          <w:szCs w:val="29"/>
          <w:spacing w:val="13"/>
        </w:rPr>
        <w:t>(1)应在立冬(11月7日)前全面搭好老人葵</w:t>
      </w:r>
      <w:r>
        <w:rPr>
          <w:sz w:val="29"/>
          <w:szCs w:val="29"/>
          <w:spacing w:val="12"/>
        </w:rPr>
        <w:t>、海枣树的防寒架，视气温情</w:t>
      </w:r>
      <w:r>
        <w:rPr>
          <w:sz w:val="29"/>
          <w:szCs w:val="29"/>
        </w:rPr>
        <w:t xml:space="preserve"> </w:t>
      </w:r>
      <w:r>
        <w:rPr>
          <w:sz w:val="29"/>
          <w:szCs w:val="29"/>
          <w:spacing w:val="4"/>
        </w:rPr>
        <w:t>况(低于5摄氏度)盖防寒薄膜，并遇薄膜内</w:t>
      </w:r>
      <w:r>
        <w:rPr>
          <w:sz w:val="29"/>
          <w:szCs w:val="29"/>
          <w:spacing w:val="3"/>
        </w:rPr>
        <w:t>高温或阴雨天时及时掀开透风降温、</w:t>
      </w:r>
      <w:r>
        <w:rPr>
          <w:sz w:val="29"/>
          <w:szCs w:val="29"/>
        </w:rPr>
        <w:t xml:space="preserve"> </w:t>
      </w:r>
      <w:r>
        <w:rPr>
          <w:sz w:val="29"/>
          <w:szCs w:val="29"/>
          <w:spacing w:val="13"/>
        </w:rPr>
        <w:t>通风换气。露地种植的需要防寒的植物(如垂叶榕、高山榕),也应于立冬前后</w:t>
      </w:r>
      <w:r>
        <w:rPr>
          <w:sz w:val="29"/>
          <w:szCs w:val="29"/>
        </w:rPr>
        <w:t xml:space="preserve"> </w:t>
      </w:r>
      <w:r>
        <w:rPr>
          <w:sz w:val="29"/>
          <w:szCs w:val="29"/>
          <w:spacing w:val="1"/>
        </w:rPr>
        <w:t>做好防寒工作。寒潮来临前，做好防寒设施的检查保证安全越冬；</w:t>
      </w:r>
    </w:p>
    <w:p>
      <w:pPr>
        <w:pStyle w:val="BodyText"/>
        <w:ind w:right="242" w:firstLine="730"/>
        <w:spacing w:before="154" w:line="289" w:lineRule="auto"/>
        <w:rPr>
          <w:sz w:val="29"/>
          <w:szCs w:val="29"/>
        </w:rPr>
      </w:pPr>
      <w:r>
        <w:rPr>
          <w:sz w:val="29"/>
          <w:szCs w:val="29"/>
          <w:spacing w:val="9"/>
        </w:rPr>
        <w:t>(2)定期进行防寒苗木检查，确保安全完好。根据天气状况做好棚内</w:t>
      </w:r>
      <w:r>
        <w:rPr>
          <w:sz w:val="29"/>
          <w:szCs w:val="29"/>
          <w:spacing w:val="8"/>
        </w:rPr>
        <w:t>的通</w:t>
      </w:r>
      <w:r>
        <w:rPr>
          <w:sz w:val="29"/>
          <w:szCs w:val="29"/>
        </w:rPr>
        <w:t xml:space="preserve"> </w:t>
      </w:r>
      <w:r>
        <w:rPr>
          <w:sz w:val="29"/>
          <w:szCs w:val="29"/>
          <w:spacing w:val="-8"/>
        </w:rPr>
        <w:t>风换气工作。温度应根据天气状况适时进行调整，确保防寒的植物安全越冬。对秋</w:t>
      </w:r>
      <w:r>
        <w:rPr>
          <w:sz w:val="29"/>
          <w:szCs w:val="29"/>
          <w:spacing w:val="9"/>
        </w:rPr>
        <w:t xml:space="preserve"> </w:t>
      </w:r>
      <w:r>
        <w:rPr>
          <w:sz w:val="29"/>
          <w:szCs w:val="29"/>
        </w:rPr>
        <w:t>季新种植不太耐寒的南方树种，如高山榕、垂叶</w:t>
      </w:r>
      <w:r>
        <w:rPr>
          <w:sz w:val="29"/>
          <w:szCs w:val="29"/>
          <w:spacing w:val="-1"/>
        </w:rPr>
        <w:t>榕等，可搭架用塑料薄膜将树冠</w:t>
      </w:r>
      <w:r>
        <w:rPr>
          <w:sz w:val="29"/>
          <w:szCs w:val="29"/>
        </w:rPr>
        <w:t xml:space="preserve"> </w:t>
      </w:r>
      <w:r>
        <w:rPr>
          <w:sz w:val="29"/>
          <w:szCs w:val="29"/>
        </w:rPr>
        <w:t>罩住，切实做好防寒工作。</w:t>
      </w:r>
    </w:p>
    <w:p>
      <w:pPr>
        <w:spacing w:line="289" w:lineRule="auto"/>
        <w:sectPr>
          <w:footerReference w:type="default" r:id="rId697"/>
          <w:pgSz w:w="14490" w:h="20470"/>
          <w:pgMar w:top="400" w:right="1935" w:bottom="1433" w:left="2150" w:header="0" w:footer="123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ind w:left="4504"/>
        <w:spacing w:before="104" w:line="223" w:lineRule="auto"/>
        <w:outlineLvl w:val="1"/>
        <w:rPr>
          <w:rFonts w:ascii="SimHei" w:hAnsi="SimHei" w:eastAsia="SimHei" w:cs="SimHei"/>
          <w:sz w:val="32"/>
          <w:szCs w:val="32"/>
        </w:rPr>
      </w:pPr>
      <w:bookmarkStart w:name="bookmark139" w:id="135"/>
      <w:bookmarkEnd w:id="135"/>
      <w:bookmarkStart w:name="bookmark75" w:id="136"/>
      <w:bookmarkEnd w:id="136"/>
      <w:r>
        <w:rPr>
          <w:rFonts w:ascii="SimHei" w:hAnsi="SimHei" w:eastAsia="SimHei" w:cs="SimHei"/>
          <w:sz w:val="32"/>
          <w:szCs w:val="32"/>
          <w:b/>
          <w:bCs/>
          <w:spacing w:val="-23"/>
        </w:rPr>
        <w:t>云南地区</w:t>
      </w:r>
    </w:p>
    <w:p>
      <w:pPr>
        <w:spacing w:before="186" w:line="223" w:lineRule="auto"/>
        <w:rPr>
          <w:rFonts w:ascii="SimHei" w:hAnsi="SimHei" w:eastAsia="SimHei" w:cs="SimHei"/>
          <w:sz w:val="29"/>
          <w:szCs w:val="29"/>
        </w:rPr>
      </w:pPr>
      <w:r>
        <w:rPr>
          <w:rFonts w:ascii="SimHei" w:hAnsi="SimHei" w:eastAsia="SimHei" w:cs="SimHei"/>
          <w:sz w:val="29"/>
          <w:szCs w:val="29"/>
          <w:spacing w:val="12"/>
        </w:rPr>
        <w:t>三月份</w:t>
      </w:r>
    </w:p>
    <w:p>
      <w:pPr>
        <w:ind w:left="570"/>
        <w:spacing w:before="166" w:line="222" w:lineRule="auto"/>
        <w:rPr>
          <w:rFonts w:ascii="SimHei" w:hAnsi="SimHei" w:eastAsia="SimHei" w:cs="SimHei"/>
          <w:sz w:val="29"/>
          <w:szCs w:val="29"/>
        </w:rPr>
      </w:pPr>
      <w:r>
        <w:rPr>
          <w:rFonts w:ascii="SimHei" w:hAnsi="SimHei" w:eastAsia="SimHei" w:cs="SimHei"/>
          <w:sz w:val="29"/>
          <w:szCs w:val="29"/>
          <w:spacing w:val="-6"/>
        </w:rPr>
        <w:t>1</w:t>
      </w:r>
      <w:r>
        <w:rPr>
          <w:rFonts w:ascii="SimHei" w:hAnsi="SimHei" w:eastAsia="SimHei" w:cs="SimHei"/>
          <w:sz w:val="29"/>
          <w:szCs w:val="29"/>
          <w:spacing w:val="-73"/>
        </w:rPr>
        <w:t xml:space="preserve"> </w:t>
      </w:r>
      <w:r>
        <w:rPr>
          <w:rFonts w:ascii="SimHei" w:hAnsi="SimHei" w:eastAsia="SimHei" w:cs="SimHei"/>
          <w:sz w:val="29"/>
          <w:szCs w:val="29"/>
          <w:spacing w:val="-6"/>
        </w:rPr>
        <w:t>、现场检查</w:t>
      </w:r>
    </w:p>
    <w:p>
      <w:pPr>
        <w:pStyle w:val="BodyText"/>
        <w:ind w:left="730"/>
        <w:spacing w:before="123" w:line="219" w:lineRule="auto"/>
        <w:rPr>
          <w:sz w:val="29"/>
          <w:szCs w:val="29"/>
        </w:rPr>
      </w:pPr>
      <w:r>
        <w:rPr>
          <w:sz w:val="29"/>
          <w:szCs w:val="29"/>
          <w:spacing w:val="6"/>
        </w:rPr>
        <w:t>(1)及时检查乔木支撑情况，发现松动或缺失立即加固；</w:t>
      </w:r>
    </w:p>
    <w:p>
      <w:pPr>
        <w:pStyle w:val="BodyText"/>
        <w:ind w:right="85" w:firstLine="730"/>
        <w:spacing w:before="145" w:line="269" w:lineRule="auto"/>
        <w:rPr>
          <w:sz w:val="29"/>
          <w:szCs w:val="29"/>
        </w:rPr>
      </w:pPr>
      <w:r>
        <w:rPr>
          <w:sz w:val="29"/>
          <w:szCs w:val="29"/>
          <w:spacing w:val="6"/>
        </w:rPr>
        <w:t>(2)注意关注天气情况，拆除防寒设施、风障等冬季树体保护物，对冬季</w:t>
      </w:r>
      <w:r>
        <w:rPr>
          <w:sz w:val="29"/>
          <w:szCs w:val="29"/>
          <w:spacing w:val="17"/>
        </w:rPr>
        <w:t xml:space="preserve"> </w:t>
      </w:r>
      <w:r>
        <w:rPr>
          <w:sz w:val="29"/>
          <w:szCs w:val="29"/>
          <w:spacing w:val="1"/>
        </w:rPr>
        <w:t>容易发生抽条冻害现象，越冬困难植物在萌芽期确保植物成活后再进行修剪；</w:t>
      </w:r>
    </w:p>
    <w:p>
      <w:pPr>
        <w:pStyle w:val="BodyText"/>
        <w:ind w:right="84" w:firstLine="730"/>
        <w:spacing w:before="156" w:line="259" w:lineRule="auto"/>
        <w:rPr>
          <w:sz w:val="29"/>
          <w:szCs w:val="29"/>
        </w:rPr>
      </w:pPr>
      <w:r>
        <w:rPr>
          <w:sz w:val="29"/>
          <w:szCs w:val="29"/>
          <w:spacing w:val="6"/>
        </w:rPr>
        <w:t>(3)对越冬时死亡的苗木进行清理或补栽，根据实际需要和不同植物物候</w:t>
      </w:r>
      <w:r>
        <w:rPr>
          <w:sz w:val="29"/>
          <w:szCs w:val="29"/>
          <w:spacing w:val="18"/>
        </w:rPr>
        <w:t xml:space="preserve"> </w:t>
      </w:r>
      <w:r>
        <w:rPr>
          <w:sz w:val="29"/>
          <w:szCs w:val="29"/>
          <w:spacing w:val="1"/>
        </w:rPr>
        <w:t>期，从土壤解冻开始起就可以进行种植工作，在植物萌芽前完成种植。</w:t>
      </w:r>
    </w:p>
    <w:p>
      <w:pPr>
        <w:pStyle w:val="BodyText"/>
        <w:ind w:left="570"/>
        <w:spacing w:before="2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108" w:firstLine="730"/>
        <w:spacing w:before="75" w:line="269" w:lineRule="auto"/>
        <w:rPr>
          <w:sz w:val="29"/>
          <w:szCs w:val="29"/>
        </w:rPr>
      </w:pPr>
      <w:r>
        <w:rPr>
          <w:sz w:val="29"/>
          <w:szCs w:val="29"/>
          <w:spacing w:val="6"/>
        </w:rPr>
        <w:t>(1)绿篱在在发芽前补齐缺苗并根据现场情况决定全部修剪</w:t>
      </w:r>
      <w:r>
        <w:rPr>
          <w:sz w:val="29"/>
          <w:szCs w:val="29"/>
          <w:spacing w:val="5"/>
        </w:rPr>
        <w:t>一遍，根据需</w:t>
      </w:r>
      <w:r>
        <w:rPr>
          <w:sz w:val="29"/>
          <w:szCs w:val="29"/>
        </w:rPr>
        <w:t xml:space="preserve"> </w:t>
      </w:r>
      <w:r>
        <w:rPr>
          <w:sz w:val="29"/>
          <w:szCs w:val="29"/>
          <w:spacing w:val="-1"/>
        </w:rPr>
        <w:t>要决定留茬高度，保持原来造型；</w:t>
      </w:r>
    </w:p>
    <w:p>
      <w:pPr>
        <w:pStyle w:val="BodyText"/>
        <w:ind w:left="730"/>
        <w:spacing w:before="166" w:line="219" w:lineRule="auto"/>
        <w:rPr>
          <w:sz w:val="29"/>
          <w:szCs w:val="29"/>
        </w:rPr>
      </w:pPr>
      <w:r>
        <w:rPr>
          <w:sz w:val="29"/>
          <w:szCs w:val="29"/>
          <w:spacing w:val="5"/>
        </w:rPr>
        <w:t>(2)搂除枯草层；对斑秃草坪及时进行补种移栽，设置标牌禁止踩踏；</w:t>
      </w:r>
    </w:p>
    <w:p>
      <w:pPr>
        <w:pStyle w:val="BodyText"/>
        <w:ind w:right="82" w:firstLine="730"/>
        <w:spacing w:before="135" w:line="265" w:lineRule="auto"/>
        <w:rPr>
          <w:sz w:val="29"/>
          <w:szCs w:val="29"/>
        </w:rPr>
      </w:pPr>
      <w:r>
        <w:rPr>
          <w:sz w:val="29"/>
          <w:szCs w:val="29"/>
          <w:spacing w:val="7"/>
        </w:rPr>
        <w:t>(3)低洼和凸凹不平的草坪地块及时补土</w:t>
      </w:r>
      <w:r>
        <w:rPr>
          <w:sz w:val="29"/>
          <w:szCs w:val="29"/>
          <w:spacing w:val="6"/>
        </w:rPr>
        <w:t>，并随时清除越冬杂草；疏草打</w:t>
      </w:r>
      <w:r>
        <w:rPr>
          <w:sz w:val="29"/>
          <w:szCs w:val="29"/>
        </w:rPr>
        <w:t xml:space="preserve"> </w:t>
      </w:r>
      <w:r>
        <w:rPr>
          <w:sz w:val="29"/>
          <w:szCs w:val="29"/>
          <w:spacing w:val="-8"/>
        </w:rPr>
        <w:t>孔后用剪草机修剪枯草，保留2-3</w:t>
      </w:r>
      <w:r>
        <w:rPr>
          <w:rFonts w:ascii="Times New Roman" w:hAnsi="Times New Roman" w:eastAsia="Times New Roman" w:cs="Times New Roman"/>
          <w:sz w:val="29"/>
          <w:szCs w:val="29"/>
          <w:spacing w:val="-8"/>
        </w:rPr>
        <w:t>cm</w:t>
      </w:r>
      <w:r>
        <w:rPr>
          <w:sz w:val="29"/>
          <w:szCs w:val="29"/>
          <w:spacing w:val="-8"/>
        </w:rPr>
        <w:t>左右；</w:t>
      </w:r>
    </w:p>
    <w:p>
      <w:pPr>
        <w:pStyle w:val="BodyText"/>
        <w:ind w:left="730"/>
        <w:spacing w:before="158" w:line="219" w:lineRule="auto"/>
        <w:rPr>
          <w:sz w:val="29"/>
          <w:szCs w:val="29"/>
        </w:rPr>
      </w:pPr>
      <w:r>
        <w:rPr>
          <w:sz w:val="29"/>
          <w:szCs w:val="29"/>
          <w:spacing w:val="6"/>
        </w:rPr>
        <w:t>(4)对于海桐、红叶石楠球形植物进行疏花疏果处理，保持树形；</w:t>
      </w:r>
    </w:p>
    <w:p>
      <w:pPr>
        <w:pStyle w:val="BodyText"/>
        <w:ind w:right="82" w:firstLine="730"/>
        <w:spacing w:before="136" w:line="268" w:lineRule="auto"/>
        <w:rPr>
          <w:sz w:val="29"/>
          <w:szCs w:val="29"/>
        </w:rPr>
      </w:pPr>
      <w:r>
        <w:rPr>
          <w:sz w:val="29"/>
          <w:szCs w:val="29"/>
          <w:spacing w:val="7"/>
        </w:rPr>
        <w:t>(5)对于生长过量需要回缩的灌木、绿篱</w:t>
      </w:r>
      <w:r>
        <w:rPr>
          <w:sz w:val="29"/>
          <w:szCs w:val="29"/>
          <w:spacing w:val="6"/>
        </w:rPr>
        <w:t>与地被小灌木在新芽刚开始膨大</w:t>
      </w:r>
      <w:r>
        <w:rPr>
          <w:sz w:val="29"/>
          <w:szCs w:val="29"/>
        </w:rPr>
        <w:t xml:space="preserve"> </w:t>
      </w:r>
      <w:r>
        <w:rPr>
          <w:sz w:val="29"/>
          <w:szCs w:val="29"/>
          <w:spacing w:val="1"/>
        </w:rPr>
        <w:t>时一次性回缩到位。不需要回缩的芽后修剪要保留更新枝。</w:t>
      </w:r>
    </w:p>
    <w:p>
      <w:pPr>
        <w:ind w:left="570"/>
        <w:spacing w:before="18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82" w:firstLine="730"/>
        <w:spacing w:before="93" w:line="265" w:lineRule="auto"/>
        <w:rPr>
          <w:sz w:val="29"/>
          <w:szCs w:val="29"/>
        </w:rPr>
      </w:pPr>
      <w:r>
        <w:rPr>
          <w:sz w:val="29"/>
          <w:szCs w:val="29"/>
          <w:spacing w:val="7"/>
        </w:rPr>
        <w:t>(1)施肥：根据去年施肥量及植物的生长</w:t>
      </w:r>
      <w:r>
        <w:rPr>
          <w:sz w:val="29"/>
          <w:szCs w:val="29"/>
          <w:spacing w:val="6"/>
        </w:rPr>
        <w:t>情况和需肥特点，在本月中旬或</w:t>
      </w:r>
      <w:r>
        <w:rPr>
          <w:sz w:val="29"/>
          <w:szCs w:val="29"/>
        </w:rPr>
        <w:t xml:space="preserve"> </w:t>
      </w:r>
      <w:r>
        <w:rPr>
          <w:sz w:val="29"/>
          <w:szCs w:val="29"/>
          <w:spacing w:val="-2"/>
        </w:rPr>
        <w:t>下旬追有机复合肥一次；</w:t>
      </w:r>
    </w:p>
    <w:p>
      <w:pPr>
        <w:pStyle w:val="BodyText"/>
        <w:ind w:right="5" w:firstLine="730"/>
        <w:spacing w:before="155" w:line="280" w:lineRule="auto"/>
        <w:rPr>
          <w:sz w:val="29"/>
          <w:szCs w:val="29"/>
        </w:rPr>
      </w:pPr>
      <w:r>
        <w:rPr>
          <w:sz w:val="29"/>
          <w:szCs w:val="29"/>
        </w:rPr>
        <w:t>(2)浇水：在冬季降水比较少的月份，从2月底3月初开始浇解冻水，干旱季</w:t>
      </w:r>
      <w:r>
        <w:rPr>
          <w:sz w:val="29"/>
          <w:szCs w:val="29"/>
          <w:spacing w:val="5"/>
        </w:rPr>
        <w:t xml:space="preserve"> </w:t>
      </w:r>
      <w:r>
        <w:rPr>
          <w:sz w:val="29"/>
          <w:szCs w:val="29"/>
          <w:spacing w:val="-9"/>
        </w:rPr>
        <w:t>节，植物发芽萌发季节需保证绿化用水，结合下雨和浇水时进行，保持</w:t>
      </w:r>
      <w:r>
        <w:rPr>
          <w:sz w:val="29"/>
          <w:szCs w:val="29"/>
          <w:spacing w:val="-10"/>
        </w:rPr>
        <w:t>土壤经常湿</w:t>
      </w:r>
      <w:r>
        <w:rPr>
          <w:sz w:val="29"/>
          <w:szCs w:val="29"/>
        </w:rPr>
        <w:t xml:space="preserve"> </w:t>
      </w:r>
      <w:r>
        <w:rPr>
          <w:sz w:val="29"/>
          <w:szCs w:val="29"/>
          <w:spacing w:val="-9"/>
        </w:rPr>
        <w:t>润。</w:t>
      </w:r>
    </w:p>
    <w:p>
      <w:pPr>
        <w:pStyle w:val="BodyText"/>
        <w:ind w:left="570"/>
        <w:spacing w:before="20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95" w:line="219" w:lineRule="auto"/>
        <w:rPr>
          <w:sz w:val="29"/>
          <w:szCs w:val="29"/>
        </w:rPr>
      </w:pPr>
      <w:r>
        <w:rPr>
          <w:sz w:val="29"/>
          <w:szCs w:val="29"/>
          <w:spacing w:val="8"/>
        </w:rPr>
        <w:t>(1)病害：根腐病、流胶病等；</w:t>
      </w:r>
    </w:p>
    <w:p>
      <w:pPr>
        <w:pStyle w:val="BodyText"/>
        <w:ind w:right="73" w:firstLine="730"/>
        <w:spacing w:before="147" w:line="262" w:lineRule="auto"/>
        <w:rPr>
          <w:sz w:val="29"/>
          <w:szCs w:val="29"/>
        </w:rPr>
      </w:pPr>
      <w:r>
        <w:rPr>
          <w:sz w:val="29"/>
          <w:szCs w:val="29"/>
          <w:spacing w:val="7"/>
        </w:rPr>
        <w:t>(2)虫害：柑桔全爪螨、黑刺粉虱、咖啡木蠹蛾、柏肤小蠹、</w:t>
      </w:r>
      <w:r>
        <w:rPr>
          <w:sz w:val="29"/>
          <w:szCs w:val="29"/>
          <w:spacing w:val="6"/>
        </w:rPr>
        <w:t>松纵坑切梢</w:t>
      </w:r>
      <w:r>
        <w:rPr>
          <w:sz w:val="29"/>
          <w:szCs w:val="29"/>
        </w:rPr>
        <w:t xml:space="preserve"> </w:t>
      </w:r>
      <w:r>
        <w:rPr>
          <w:sz w:val="29"/>
          <w:szCs w:val="29"/>
        </w:rPr>
        <w:t>小蠹、白蚁、玉带凤蝶等。</w:t>
      </w:r>
    </w:p>
    <w:p>
      <w:pPr>
        <w:pStyle w:val="BodyText"/>
        <w:ind w:left="570"/>
        <w:spacing w:before="15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81" w:firstLine="730"/>
        <w:spacing w:before="104" w:line="268"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74" w:firstLine="730"/>
        <w:spacing w:before="14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9"/>
        </w:rPr>
        <w:t>售展示区)进行彻底清理；</w:t>
      </w:r>
    </w:p>
    <w:p>
      <w:pPr>
        <w:pStyle w:val="BodyText"/>
        <w:ind w:right="51" w:firstLine="730"/>
        <w:spacing w:before="147" w:line="269" w:lineRule="auto"/>
        <w:rPr>
          <w:sz w:val="29"/>
          <w:szCs w:val="29"/>
        </w:rPr>
      </w:pPr>
      <w:r>
        <w:rPr>
          <w:sz w:val="29"/>
          <w:szCs w:val="29"/>
          <w:spacing w:val="7"/>
        </w:rPr>
        <w:t>(3)绿化带内的粪便、砖瓦石块、纸张、烟蒂、塑料等废弃杂物要及时清</w:t>
      </w:r>
      <w:r>
        <w:rPr>
          <w:sz w:val="29"/>
          <w:szCs w:val="29"/>
          <w:spacing w:val="17"/>
        </w:rPr>
        <w:t xml:space="preserve"> </w:t>
      </w:r>
      <w:r>
        <w:rPr>
          <w:sz w:val="29"/>
          <w:szCs w:val="29"/>
          <w:spacing w:val="-9"/>
        </w:rPr>
        <w:t>理。</w:t>
      </w:r>
    </w:p>
    <w:p>
      <w:pPr>
        <w:spacing w:line="269" w:lineRule="auto"/>
        <w:sectPr>
          <w:footerReference w:type="default" r:id="rId698"/>
          <w:pgSz w:w="14490" w:h="20470"/>
          <w:pgMar w:top="400" w:right="2173" w:bottom="1447" w:left="2150" w:header="0" w:footer="1230" w:gutter="0"/>
        </w:sectPr>
        <w:rPr>
          <w:sz w:val="29"/>
          <w:szCs w:val="29"/>
        </w:rPr>
      </w:pP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pStyle w:val="BodyText"/>
        <w:ind w:left="570"/>
        <w:spacing w:before="94"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ind w:right="351" w:firstLine="720"/>
        <w:spacing w:before="127" w:line="26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48" w:firstLine="720"/>
        <w:spacing w:before="160" w:line="271"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5"/>
        </w:rPr>
        <w:t>其它物资。</w:t>
      </w:r>
    </w:p>
    <w:p>
      <w:pPr>
        <w:pStyle w:val="BodyText"/>
        <w:ind w:left="570"/>
        <w:spacing w:before="188"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9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57" w:line="223" w:lineRule="auto"/>
        <w:rPr>
          <w:rFonts w:ascii="SimHei" w:hAnsi="SimHei" w:eastAsia="SimHei" w:cs="SimHei"/>
          <w:sz w:val="29"/>
          <w:szCs w:val="29"/>
        </w:rPr>
      </w:pPr>
      <w:r>
        <w:rPr>
          <w:rFonts w:ascii="SimHei" w:hAnsi="SimHei" w:eastAsia="SimHei" w:cs="SimHei"/>
          <w:sz w:val="29"/>
          <w:szCs w:val="29"/>
          <w:spacing w:val="2"/>
        </w:rPr>
        <w:t>四月份</w:t>
      </w:r>
    </w:p>
    <w:p>
      <w:pPr>
        <w:pStyle w:val="BodyText"/>
        <w:ind w:left="570"/>
        <w:spacing w:before="147"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20"/>
        <w:spacing w:before="134" w:line="219" w:lineRule="auto"/>
        <w:rPr>
          <w:sz w:val="29"/>
          <w:szCs w:val="29"/>
        </w:rPr>
      </w:pPr>
      <w:r>
        <w:rPr>
          <w:sz w:val="29"/>
          <w:szCs w:val="29"/>
          <w:spacing w:val="6"/>
        </w:rPr>
        <w:t>(1)及时检查乔木支撑情况，发现松动或缺失立即加固；</w:t>
      </w:r>
    </w:p>
    <w:p>
      <w:pPr>
        <w:pStyle w:val="BodyText"/>
        <w:ind w:right="351" w:firstLine="720"/>
        <w:spacing w:before="124" w:line="269" w:lineRule="auto"/>
        <w:rPr>
          <w:sz w:val="29"/>
          <w:szCs w:val="29"/>
        </w:rPr>
      </w:pPr>
      <w:r>
        <w:rPr>
          <w:sz w:val="29"/>
          <w:szCs w:val="29"/>
          <w:spacing w:val="6"/>
        </w:rPr>
        <w:t>(2)根据实际需要和不同植物的物候期，继续新种或补种工作，部分缺苗</w:t>
      </w:r>
      <w:r>
        <w:rPr>
          <w:sz w:val="29"/>
          <w:szCs w:val="29"/>
        </w:rPr>
        <w:t xml:space="preserve"> </w:t>
      </w:r>
      <w:r>
        <w:rPr>
          <w:sz w:val="29"/>
          <w:szCs w:val="29"/>
          <w:spacing w:val="-2"/>
        </w:rPr>
        <w:t>的宿根植物在发芽前分株繁殖；</w:t>
      </w:r>
    </w:p>
    <w:p>
      <w:pPr>
        <w:pStyle w:val="BodyText"/>
        <w:ind w:left="720"/>
        <w:spacing w:before="154" w:line="219" w:lineRule="auto"/>
        <w:rPr>
          <w:sz w:val="29"/>
          <w:szCs w:val="29"/>
        </w:rPr>
      </w:pPr>
      <w:r>
        <w:rPr>
          <w:sz w:val="29"/>
          <w:szCs w:val="29"/>
          <w:spacing w:val="-1"/>
        </w:rPr>
        <w:t>(3)为增加垂直绿化面积，在4月初可用爬山虎扞插繁殖；</w:t>
      </w:r>
    </w:p>
    <w:p>
      <w:pPr>
        <w:pStyle w:val="BodyText"/>
        <w:ind w:right="352" w:firstLine="720"/>
        <w:spacing w:before="147" w:line="269" w:lineRule="auto"/>
        <w:rPr>
          <w:sz w:val="29"/>
          <w:szCs w:val="29"/>
        </w:rPr>
      </w:pPr>
      <w:r>
        <w:rPr>
          <w:sz w:val="29"/>
          <w:szCs w:val="29"/>
          <w:spacing w:val="6"/>
        </w:rPr>
        <w:t>(4)对越冬时死亡和没有发芽的死亡苗木通过检查树皮判断成活情况</w:t>
      </w:r>
      <w:r>
        <w:rPr>
          <w:sz w:val="29"/>
          <w:szCs w:val="29"/>
          <w:spacing w:val="5"/>
        </w:rPr>
        <w:t>，对</w:t>
      </w:r>
      <w:r>
        <w:rPr>
          <w:sz w:val="29"/>
          <w:szCs w:val="29"/>
        </w:rPr>
        <w:t xml:space="preserve"> </w:t>
      </w:r>
      <w:r>
        <w:rPr>
          <w:sz w:val="29"/>
          <w:szCs w:val="29"/>
        </w:rPr>
        <w:t>部分死亡和部分生长不良的植株进行补载或剪除枯死枝条；</w:t>
      </w:r>
    </w:p>
    <w:p>
      <w:pPr>
        <w:pStyle w:val="BodyText"/>
        <w:ind w:left="720"/>
        <w:spacing w:before="154" w:line="219" w:lineRule="auto"/>
        <w:rPr>
          <w:sz w:val="29"/>
          <w:szCs w:val="29"/>
        </w:rPr>
      </w:pPr>
      <w:r>
        <w:rPr>
          <w:sz w:val="29"/>
          <w:szCs w:val="29"/>
          <w:spacing w:val="7"/>
        </w:rPr>
        <w:t>(5)完成去年冬季防寒设施拆除工作，对可二次利用的材</w:t>
      </w:r>
      <w:r>
        <w:rPr>
          <w:sz w:val="29"/>
          <w:szCs w:val="29"/>
          <w:spacing w:val="6"/>
        </w:rPr>
        <w:t>料运回库存。</w:t>
      </w:r>
    </w:p>
    <w:p>
      <w:pPr>
        <w:ind w:left="570"/>
        <w:spacing w:before="95"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235" w:firstLine="720"/>
        <w:spacing w:before="164" w:line="275" w:lineRule="auto"/>
        <w:rPr>
          <w:sz w:val="29"/>
          <w:szCs w:val="29"/>
        </w:rPr>
      </w:pPr>
      <w:r>
        <w:rPr>
          <w:sz w:val="29"/>
          <w:szCs w:val="29"/>
          <w:spacing w:val="-3"/>
        </w:rPr>
        <w:t>(1)本月多数冷季节草坪拔节开花，在25日</w:t>
      </w:r>
      <w:r>
        <w:rPr>
          <w:sz w:val="29"/>
          <w:szCs w:val="29"/>
          <w:spacing w:val="-4"/>
        </w:rPr>
        <w:t>前进行1次修剪，剪留高度可以低</w:t>
      </w:r>
      <w:r>
        <w:rPr>
          <w:sz w:val="29"/>
          <w:szCs w:val="29"/>
        </w:rPr>
        <w:t xml:space="preserve"> </w:t>
      </w:r>
      <w:r>
        <w:rPr>
          <w:sz w:val="29"/>
          <w:szCs w:val="29"/>
          <w:spacing w:val="-16"/>
        </w:rPr>
        <w:t>一些，以将出现的花序剪掉为准，对返青晚地块增加肥水管理，低洼处撒土，斑秃地</w:t>
      </w:r>
      <w:r>
        <w:rPr>
          <w:sz w:val="29"/>
          <w:szCs w:val="29"/>
          <w:spacing w:val="1"/>
        </w:rPr>
        <w:t xml:space="preserve"> </w:t>
      </w:r>
      <w:r>
        <w:rPr>
          <w:sz w:val="29"/>
          <w:szCs w:val="29"/>
          <w:spacing w:val="-7"/>
        </w:rPr>
        <w:t>方可以添播草种和补草皮；</w:t>
      </w:r>
    </w:p>
    <w:p>
      <w:pPr>
        <w:pStyle w:val="BodyText"/>
        <w:ind w:left="720"/>
        <w:spacing w:before="156" w:line="219" w:lineRule="auto"/>
        <w:rPr>
          <w:sz w:val="29"/>
          <w:szCs w:val="29"/>
        </w:rPr>
      </w:pPr>
      <w:r>
        <w:rPr>
          <w:sz w:val="29"/>
          <w:szCs w:val="29"/>
          <w:spacing w:val="8"/>
        </w:rPr>
        <w:t>(2)观花为主的植物在开花后及时修剪；</w:t>
      </w:r>
    </w:p>
    <w:p>
      <w:pPr>
        <w:pStyle w:val="BodyText"/>
        <w:ind w:right="321" w:firstLine="720"/>
        <w:spacing w:before="156" w:line="268" w:lineRule="auto"/>
        <w:rPr>
          <w:sz w:val="29"/>
          <w:szCs w:val="29"/>
        </w:rPr>
      </w:pPr>
      <w:r>
        <w:rPr>
          <w:sz w:val="29"/>
          <w:szCs w:val="29"/>
          <w:spacing w:val="-1"/>
        </w:rPr>
        <w:t>(3)</w:t>
      </w:r>
      <w:r>
        <w:rPr>
          <w:sz w:val="29"/>
          <w:szCs w:val="29"/>
          <w:spacing w:val="115"/>
        </w:rPr>
        <w:t xml:space="preserve"> </w:t>
      </w:r>
      <w:r>
        <w:rPr>
          <w:sz w:val="29"/>
          <w:szCs w:val="29"/>
          <w:spacing w:val="-1"/>
        </w:rPr>
        <w:t>对于生长过量需要回缩的灌木、绿篱与地被小灌木在新芽刚开始膨大</w:t>
      </w:r>
      <w:r>
        <w:rPr>
          <w:sz w:val="29"/>
          <w:szCs w:val="29"/>
        </w:rPr>
        <w:t xml:space="preserve"> </w:t>
      </w:r>
      <w:r>
        <w:rPr>
          <w:sz w:val="29"/>
          <w:szCs w:val="29"/>
        </w:rPr>
        <w:t>时一次性回缩到位。不需要回缩的芽后修剪要保留更新枝。</w:t>
      </w:r>
    </w:p>
    <w:p>
      <w:pPr>
        <w:ind w:left="570"/>
        <w:spacing w:before="186"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right="241" w:firstLine="1340"/>
        <w:spacing w:before="94" w:line="310" w:lineRule="auto"/>
        <w:jc w:val="both"/>
        <w:rPr>
          <w:sz w:val="29"/>
          <w:szCs w:val="29"/>
        </w:rPr>
      </w:pPr>
      <w:r>
        <w:rPr>
          <w:sz w:val="29"/>
          <w:szCs w:val="29"/>
          <w:spacing w:val="4"/>
        </w:rPr>
        <w:t>施肥：春旱严重的情况下以浇水抗旱为主。根据降水情况和植物生长</w:t>
      </w:r>
      <w:r>
        <w:rPr>
          <w:sz w:val="29"/>
          <w:szCs w:val="29"/>
          <w:spacing w:val="2"/>
        </w:rPr>
        <w:t xml:space="preserve"> </w:t>
      </w:r>
      <w:r>
        <w:rPr>
          <w:sz w:val="29"/>
          <w:szCs w:val="29"/>
          <w:spacing w:val="4"/>
        </w:rPr>
        <w:t>情况及需肥特点，在萌芽前或开花前增施各种不同的肥料，,可以延长观花</w:t>
      </w:r>
      <w:r>
        <w:rPr>
          <w:sz w:val="29"/>
          <w:szCs w:val="29"/>
          <w:spacing w:val="3"/>
        </w:rPr>
        <w:t>植物</w:t>
      </w:r>
      <w:r>
        <w:rPr>
          <w:sz w:val="29"/>
          <w:szCs w:val="29"/>
        </w:rPr>
        <w:t xml:space="preserve"> </w:t>
      </w:r>
      <w:r>
        <w:rPr>
          <w:sz w:val="29"/>
          <w:szCs w:val="29"/>
          <w:spacing w:val="-8"/>
        </w:rPr>
        <w:t>的花期。在本月中旬或下旬若园林植物生长较好追有机复合</w:t>
      </w:r>
      <w:r>
        <w:rPr>
          <w:sz w:val="29"/>
          <w:szCs w:val="29"/>
          <w:spacing w:val="-9"/>
        </w:rPr>
        <w:t>肥一次，若长势一般或</w:t>
      </w:r>
      <w:r>
        <w:rPr>
          <w:sz w:val="29"/>
          <w:szCs w:val="29"/>
        </w:rPr>
        <w:t xml:space="preserve"> </w:t>
      </w:r>
      <w:r>
        <w:rPr>
          <w:sz w:val="29"/>
          <w:szCs w:val="29"/>
        </w:rPr>
        <w:t>较差追高氮低磷中钾的无机复合肥一次、乔木与大灌木穴施；</w:t>
      </w:r>
    </w:p>
    <w:p>
      <w:pPr>
        <w:pStyle w:val="BodyText"/>
        <w:ind w:right="57" w:firstLine="720"/>
        <w:spacing w:before="4" w:line="280" w:lineRule="auto"/>
        <w:rPr>
          <w:sz w:val="29"/>
          <w:szCs w:val="29"/>
        </w:rPr>
      </w:pPr>
      <w:r>
        <w:rPr>
          <w:sz w:val="29"/>
          <w:szCs w:val="29"/>
          <w:spacing w:val="-10"/>
        </w:rPr>
        <w:t>2   浇水：注重浇水管理，确保旱季植物水分需求，补</w:t>
      </w:r>
      <w:r>
        <w:rPr>
          <w:sz w:val="29"/>
          <w:szCs w:val="29"/>
          <w:spacing w:val="-11"/>
        </w:rPr>
        <w:t>充土壤养分和水分，促</w:t>
      </w:r>
      <w:r>
        <w:rPr>
          <w:sz w:val="29"/>
          <w:szCs w:val="29"/>
        </w:rPr>
        <w:t xml:space="preserve">  </w:t>
      </w:r>
      <w:r>
        <w:rPr>
          <w:sz w:val="29"/>
          <w:szCs w:val="29"/>
          <w:spacing w:val="-18"/>
        </w:rPr>
        <w:t>进植物根系生长和草坪提前返青复绿。重点对未发芽或发芽晚的植物加强灌水，避免因</w:t>
      </w:r>
      <w:r>
        <w:rPr>
          <w:sz w:val="29"/>
          <w:szCs w:val="29"/>
          <w:spacing w:val="10"/>
        </w:rPr>
        <w:t xml:space="preserve"> </w:t>
      </w:r>
      <w:r>
        <w:rPr>
          <w:sz w:val="29"/>
          <w:szCs w:val="29"/>
          <w:spacing w:val="-2"/>
        </w:rPr>
        <w:t>缺水导致干枯死亡。</w:t>
      </w:r>
    </w:p>
    <w:p>
      <w:pPr>
        <w:pStyle w:val="BodyText"/>
        <w:ind w:left="570"/>
        <w:spacing w:before="2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spacing w:line="221" w:lineRule="auto"/>
        <w:sectPr>
          <w:footerReference w:type="default" r:id="rId699"/>
          <w:pgSz w:w="14490" w:h="20470"/>
          <w:pgMar w:top="400" w:right="1935" w:bottom="1447" w:left="2150" w:header="0" w:footer="1230" w:gutter="0"/>
        </w:sectPr>
        <w:rPr>
          <w:rFonts w:ascii="SimHei" w:hAnsi="SimHei" w:eastAsia="SimHei" w:cs="SimHei"/>
          <w:sz w:val="29"/>
          <w:szCs w:val="29"/>
        </w:rPr>
      </w:pP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730"/>
        <w:spacing w:before="94" w:line="219" w:lineRule="auto"/>
        <w:rPr>
          <w:sz w:val="29"/>
          <w:szCs w:val="29"/>
        </w:rPr>
      </w:pPr>
      <w:r>
        <w:rPr>
          <w:sz w:val="29"/>
          <w:szCs w:val="29"/>
          <w:spacing w:val="6"/>
        </w:rPr>
        <w:t>(1)病害：炭疽病、叶斑类病害、锈病、根腐病、流胶病等；</w:t>
      </w:r>
    </w:p>
    <w:p>
      <w:pPr>
        <w:pStyle w:val="BodyText"/>
        <w:ind w:right="368" w:firstLine="730"/>
        <w:spacing w:before="125" w:line="285" w:lineRule="auto"/>
        <w:rPr>
          <w:sz w:val="29"/>
          <w:szCs w:val="29"/>
        </w:rPr>
      </w:pPr>
      <w:r>
        <w:rPr>
          <w:sz w:val="29"/>
          <w:szCs w:val="29"/>
          <w:spacing w:val="7"/>
        </w:rPr>
        <w:t>(2)虫害：大青叶蝉、桃蚜、桃粉蚜、桃瘤蚜、梨网冠蝽、柑桔全爪螨、</w:t>
      </w:r>
      <w:r>
        <w:rPr>
          <w:sz w:val="29"/>
          <w:szCs w:val="29"/>
          <w:spacing w:val="18"/>
        </w:rPr>
        <w:t xml:space="preserve"> </w:t>
      </w:r>
      <w:r>
        <w:rPr>
          <w:sz w:val="29"/>
          <w:szCs w:val="29"/>
          <w:spacing w:val="-16"/>
        </w:rPr>
        <w:t>桔绿粉虱、黑刺粉虱、星天牛、咖啡木蠹蛾、柏肤小蠹、松纵坑切梢小蠹、白蚁、柳</w:t>
      </w:r>
      <w:r>
        <w:rPr>
          <w:sz w:val="29"/>
          <w:szCs w:val="29"/>
          <w:spacing w:val="7"/>
        </w:rPr>
        <w:t xml:space="preserve"> </w:t>
      </w:r>
      <w:r>
        <w:rPr>
          <w:sz w:val="29"/>
          <w:szCs w:val="29"/>
          <w:spacing w:val="-2"/>
        </w:rPr>
        <w:t>毒蛾、玉带凤蝶、柳蓝叶甲等。</w:t>
      </w:r>
    </w:p>
    <w:p>
      <w:pPr>
        <w:pStyle w:val="BodyText"/>
        <w:ind w:left="600"/>
        <w:spacing w:before="118"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50" w:firstLine="730"/>
        <w:spacing w:before="12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2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0"/>
        </w:rPr>
        <w:t>售展示区)进行彻底清理；</w:t>
      </w:r>
    </w:p>
    <w:p>
      <w:pPr>
        <w:pStyle w:val="BodyText"/>
        <w:ind w:right="499" w:firstLine="730"/>
        <w:spacing w:before="165" w:line="266" w:lineRule="auto"/>
        <w:rPr>
          <w:sz w:val="29"/>
          <w:szCs w:val="29"/>
        </w:rPr>
      </w:pPr>
      <w:r>
        <w:rPr>
          <w:sz w:val="29"/>
          <w:szCs w:val="29"/>
          <w:spacing w:val="4"/>
        </w:rPr>
        <w:t>(3)人工湖清淤：枯水期，及时人工湖垃圾、水生杂草等，清理完成后，</w:t>
      </w:r>
      <w:r>
        <w:rPr>
          <w:sz w:val="29"/>
          <w:szCs w:val="29"/>
          <w:spacing w:val="17"/>
        </w:rPr>
        <w:t xml:space="preserve"> </w:t>
      </w:r>
      <w:r>
        <w:rPr>
          <w:sz w:val="29"/>
          <w:szCs w:val="29"/>
          <w:spacing w:val="1"/>
        </w:rPr>
        <w:t>与相关单位协商要求对人工湖加水或换水。</w:t>
      </w:r>
    </w:p>
    <w:p>
      <w:pPr>
        <w:ind w:left="600"/>
        <w:spacing w:before="195" w:line="222" w:lineRule="auto"/>
        <w:rPr>
          <w:rFonts w:ascii="SimHei" w:hAnsi="SimHei" w:eastAsia="SimHei" w:cs="SimHei"/>
          <w:sz w:val="29"/>
          <w:szCs w:val="29"/>
        </w:rPr>
      </w:pPr>
      <w:r>
        <w:rPr>
          <w:rFonts w:ascii="SimHei" w:hAnsi="SimHei" w:eastAsia="SimHei" w:cs="SimHei"/>
          <w:sz w:val="29"/>
          <w:szCs w:val="29"/>
          <w:spacing w:val="6"/>
        </w:rPr>
        <w:t>6、时花摆放</w:t>
      </w:r>
    </w:p>
    <w:p>
      <w:pPr>
        <w:pStyle w:val="BodyText"/>
        <w:ind w:left="730"/>
        <w:spacing w:before="72" w:line="219" w:lineRule="auto"/>
        <w:rPr>
          <w:sz w:val="29"/>
          <w:szCs w:val="29"/>
        </w:rPr>
      </w:pPr>
      <w:r>
        <w:rPr>
          <w:sz w:val="29"/>
          <w:szCs w:val="29"/>
          <w:spacing w:val="6"/>
        </w:rPr>
        <w:t>(1)月初提交时花需求计划，选择亮色花卉，安排下旬进场；</w:t>
      </w:r>
    </w:p>
    <w:p>
      <w:pPr>
        <w:pStyle w:val="BodyText"/>
        <w:ind w:left="730"/>
        <w:spacing w:before="16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9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5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5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10" w:firstLine="600"/>
        <w:spacing w:before="159"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9"/>
        </w:rPr>
        <w:t>五月份</w:t>
      </w:r>
    </w:p>
    <w:p>
      <w:pPr>
        <w:pStyle w:val="BodyText"/>
        <w:ind w:left="60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13"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right="369" w:firstLine="730"/>
        <w:spacing w:before="145" w:line="279" w:lineRule="auto"/>
        <w:rPr>
          <w:sz w:val="29"/>
          <w:szCs w:val="29"/>
        </w:rPr>
      </w:pPr>
      <w:r>
        <w:rPr>
          <w:sz w:val="29"/>
          <w:szCs w:val="29"/>
          <w:spacing w:val="8"/>
        </w:rPr>
        <w:t>(2)对没有发芽的园林植物，通过检查树皮确定成活情况定向救治。对部</w:t>
      </w:r>
      <w:r>
        <w:rPr>
          <w:sz w:val="29"/>
          <w:szCs w:val="29"/>
          <w:spacing w:val="15"/>
        </w:rPr>
        <w:t xml:space="preserve"> </w:t>
      </w:r>
      <w:r>
        <w:rPr>
          <w:sz w:val="29"/>
          <w:szCs w:val="29"/>
        </w:rPr>
        <w:t>分死亡的植物减掉干死枝条，树皮损伤的植</w:t>
      </w:r>
      <w:r>
        <w:rPr>
          <w:sz w:val="29"/>
          <w:szCs w:val="29"/>
          <w:spacing w:val="-1"/>
        </w:rPr>
        <w:t>物涂瘀伤液或油漆进行树体保护，对</w:t>
      </w:r>
      <w:r>
        <w:rPr>
          <w:sz w:val="29"/>
          <w:szCs w:val="29"/>
        </w:rPr>
        <w:t xml:space="preserve"> </w:t>
      </w:r>
      <w:r>
        <w:rPr>
          <w:sz w:val="29"/>
          <w:szCs w:val="29"/>
          <w:spacing w:val="-1"/>
        </w:rPr>
        <w:t>已经彻底死亡的植物及时补种。</w:t>
      </w:r>
    </w:p>
    <w:p>
      <w:pPr>
        <w:ind w:left="600"/>
        <w:spacing w:before="214"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30"/>
        <w:spacing w:before="85" w:line="219" w:lineRule="auto"/>
        <w:rPr>
          <w:sz w:val="29"/>
          <w:szCs w:val="29"/>
        </w:rPr>
      </w:pPr>
      <w:r>
        <w:rPr>
          <w:sz w:val="29"/>
          <w:szCs w:val="29"/>
          <w:spacing w:val="6"/>
        </w:rPr>
        <w:t>(1)春季开花的地被植物花后及时处理，剪掉开败</w:t>
      </w:r>
      <w:r>
        <w:rPr>
          <w:sz w:val="29"/>
          <w:szCs w:val="29"/>
          <w:spacing w:val="5"/>
        </w:rPr>
        <w:t>的花果，必要时留种；</w:t>
      </w:r>
    </w:p>
    <w:p>
      <w:pPr>
        <w:pStyle w:val="BodyText"/>
        <w:ind w:right="354" w:firstLine="730"/>
        <w:spacing w:before="167" w:line="290" w:lineRule="auto"/>
        <w:rPr>
          <w:sz w:val="29"/>
          <w:szCs w:val="29"/>
        </w:rPr>
      </w:pPr>
      <w:r>
        <w:rPr>
          <w:sz w:val="29"/>
          <w:szCs w:val="29"/>
          <w:spacing w:val="-1"/>
        </w:rPr>
        <w:t>(2)继续对所有斑秃草坪地块更新复壮，清除枯死的草叶并</w:t>
      </w:r>
      <w:r>
        <w:rPr>
          <w:sz w:val="29"/>
          <w:szCs w:val="29"/>
          <w:spacing w:val="-2"/>
        </w:rPr>
        <w:t>及早进行补种，</w:t>
      </w:r>
      <w:r>
        <w:rPr>
          <w:sz w:val="29"/>
          <w:szCs w:val="29"/>
        </w:rPr>
        <w:t xml:space="preserve"> </w:t>
      </w:r>
      <w:r>
        <w:rPr>
          <w:sz w:val="29"/>
          <w:szCs w:val="29"/>
          <w:spacing w:val="-13"/>
        </w:rPr>
        <w:t>草皮按7</w:t>
      </w:r>
      <w:r>
        <w:rPr>
          <w:rFonts w:ascii="Times New Roman" w:hAnsi="Times New Roman" w:eastAsia="Times New Roman" w:cs="Times New Roman"/>
          <w:sz w:val="29"/>
          <w:szCs w:val="29"/>
          <w:spacing w:val="-13"/>
        </w:rPr>
        <w:t>cm</w:t>
      </w:r>
      <w:r>
        <w:rPr>
          <w:sz w:val="29"/>
          <w:szCs w:val="29"/>
          <w:spacing w:val="-13"/>
        </w:rPr>
        <w:t>见方进行移栽，保持土壤湿润到成活。设置标牌禁止踩踏，不得出现裸地</w:t>
      </w:r>
      <w:r>
        <w:rPr>
          <w:sz w:val="29"/>
          <w:szCs w:val="29"/>
          <w:spacing w:val="4"/>
        </w:rPr>
        <w:t xml:space="preserve"> </w:t>
      </w:r>
      <w:r>
        <w:rPr>
          <w:sz w:val="29"/>
          <w:szCs w:val="29"/>
          <w:spacing w:val="-13"/>
        </w:rPr>
        <w:t>和明显的斑秃块并随时清除杂草。控制草坪花序，防止结籽</w:t>
      </w:r>
      <w:r>
        <w:rPr>
          <w:sz w:val="29"/>
          <w:szCs w:val="29"/>
          <w:spacing w:val="-14"/>
        </w:rPr>
        <w:t>，修剪高度控制在3-4</w:t>
      </w:r>
      <w:r>
        <w:rPr>
          <w:rFonts w:ascii="Times New Roman" w:hAnsi="Times New Roman" w:eastAsia="Times New Roman" w:cs="Times New Roman"/>
          <w:sz w:val="29"/>
          <w:szCs w:val="29"/>
          <w:spacing w:val="-14"/>
        </w:rPr>
        <w:t>cm</w:t>
      </w:r>
      <w:r>
        <w:rPr>
          <w:rFonts w:ascii="Times New Roman" w:hAnsi="Times New Roman" w:eastAsia="Times New Roman" w:cs="Times New Roman"/>
          <w:sz w:val="29"/>
          <w:szCs w:val="29"/>
        </w:rPr>
        <w:t xml:space="preserve"> </w:t>
      </w:r>
      <w:r>
        <w:rPr>
          <w:sz w:val="29"/>
          <w:szCs w:val="29"/>
          <w:spacing w:val="-13"/>
        </w:rPr>
        <w:t>左右。</w:t>
      </w:r>
    </w:p>
    <w:p>
      <w:pPr>
        <w:ind w:left="600"/>
        <w:spacing w:before="185"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91" w:line="219" w:lineRule="auto"/>
        <w:rPr>
          <w:sz w:val="29"/>
          <w:szCs w:val="29"/>
        </w:rPr>
      </w:pPr>
      <w:r>
        <w:rPr>
          <w:sz w:val="29"/>
          <w:szCs w:val="29"/>
          <w:spacing w:val="-9"/>
        </w:rPr>
        <w:t>(1)浇水：本月以浇水抗旱为主。注重浇水管理，与地产协商，确保水源，</w:t>
      </w:r>
    </w:p>
    <w:p>
      <w:pPr>
        <w:spacing w:line="219" w:lineRule="auto"/>
        <w:sectPr>
          <w:footerReference w:type="default" r:id="rId700"/>
          <w:pgSz w:w="14490" w:h="20470"/>
          <w:pgMar w:top="400" w:right="1824"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358"/>
        <w:spacing w:before="94" w:line="310" w:lineRule="auto"/>
        <w:jc w:val="both"/>
        <w:rPr>
          <w:sz w:val="29"/>
          <w:szCs w:val="29"/>
        </w:rPr>
      </w:pPr>
      <w:r>
        <w:rPr>
          <w:sz w:val="29"/>
          <w:szCs w:val="29"/>
          <w:spacing w:val="-4"/>
        </w:rPr>
        <w:t>确保绿化用水。绿化特别是新栽的植物加强透水，确保成活。草坪每隔5-7天左右</w:t>
      </w:r>
      <w:r>
        <w:rPr>
          <w:sz w:val="29"/>
          <w:szCs w:val="29"/>
          <w:spacing w:val="8"/>
        </w:rPr>
        <w:t xml:space="preserve"> </w:t>
      </w:r>
      <w:r>
        <w:rPr>
          <w:sz w:val="29"/>
          <w:szCs w:val="29"/>
          <w:spacing w:val="-8"/>
        </w:rPr>
        <w:t>浇水一遍，持续干旱的天气情况下，增加灌溉次数，局部生长不良和土层薄</w:t>
      </w:r>
      <w:r>
        <w:rPr>
          <w:sz w:val="29"/>
          <w:szCs w:val="29"/>
          <w:spacing w:val="-9"/>
        </w:rPr>
        <w:t>容易干</w:t>
      </w:r>
      <w:r>
        <w:rPr>
          <w:sz w:val="29"/>
          <w:szCs w:val="29"/>
        </w:rPr>
        <w:t xml:space="preserve"> </w:t>
      </w:r>
      <w:r>
        <w:rPr>
          <w:sz w:val="29"/>
          <w:szCs w:val="29"/>
          <w:spacing w:val="1"/>
        </w:rPr>
        <w:t>旱的地块每天浇水，铺施草炭土可以减少蒸发量，有利</w:t>
      </w:r>
      <w:r>
        <w:rPr>
          <w:sz w:val="29"/>
          <w:szCs w:val="29"/>
        </w:rPr>
        <w:t>于减轻旱情；</w:t>
      </w:r>
    </w:p>
    <w:p>
      <w:pPr>
        <w:pStyle w:val="BodyText"/>
        <w:ind w:right="342" w:firstLine="730"/>
        <w:spacing w:before="27" w:line="306" w:lineRule="auto"/>
        <w:jc w:val="both"/>
        <w:rPr>
          <w:sz w:val="29"/>
          <w:szCs w:val="29"/>
        </w:rPr>
      </w:pPr>
      <w:r>
        <w:rPr>
          <w:sz w:val="29"/>
          <w:szCs w:val="29"/>
          <w:spacing w:val="4"/>
        </w:rPr>
        <w:t>(2  施肥：草坪生长势已经明显减弱的地块及时追肥，以后平均每个月施</w:t>
      </w:r>
      <w:r>
        <w:rPr>
          <w:sz w:val="29"/>
          <w:szCs w:val="29"/>
          <w:spacing w:val="6"/>
        </w:rPr>
        <w:t xml:space="preserve"> </w:t>
      </w:r>
      <w:r>
        <w:rPr>
          <w:sz w:val="29"/>
          <w:szCs w:val="29"/>
          <w:spacing w:val="5"/>
        </w:rPr>
        <w:t>肥一次，用量5-10</w:t>
      </w:r>
      <w:r>
        <w:rPr>
          <w:rFonts w:ascii="Times New Roman" w:hAnsi="Times New Roman" w:eastAsia="Times New Roman" w:cs="Times New Roman"/>
          <w:sz w:val="29"/>
          <w:szCs w:val="29"/>
          <w:spacing w:val="5"/>
        </w:rPr>
        <w:t>g/m2,</w:t>
      </w:r>
      <w:r>
        <w:rPr>
          <w:rFonts w:ascii="Times New Roman" w:hAnsi="Times New Roman" w:eastAsia="Times New Roman" w:cs="Times New Roman"/>
          <w:sz w:val="29"/>
          <w:szCs w:val="29"/>
          <w:spacing w:val="-32"/>
        </w:rPr>
        <w:t xml:space="preserve"> </w:t>
      </w:r>
      <w:r>
        <w:rPr>
          <w:sz w:val="29"/>
          <w:szCs w:val="29"/>
          <w:spacing w:val="5"/>
        </w:rPr>
        <w:t>肥料种类以氮肥为主。其</w:t>
      </w:r>
      <w:r>
        <w:rPr>
          <w:sz w:val="29"/>
          <w:szCs w:val="29"/>
          <w:spacing w:val="4"/>
        </w:rPr>
        <w:t>它植物视生长情况，选择在阴</w:t>
      </w:r>
      <w:r>
        <w:rPr>
          <w:sz w:val="29"/>
          <w:szCs w:val="29"/>
        </w:rPr>
        <w:t xml:space="preserve"> </w:t>
      </w:r>
      <w:r>
        <w:rPr>
          <w:sz w:val="29"/>
          <w:szCs w:val="29"/>
          <w:spacing w:val="2"/>
        </w:rPr>
        <w:t>雨天或浇水前树盘周围挖坑施肥。</w:t>
      </w:r>
    </w:p>
    <w:p>
      <w:pPr>
        <w:pStyle w:val="BodyText"/>
        <w:ind w:left="600"/>
        <w:spacing w:before="66"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449" w:firstLine="730"/>
        <w:spacing w:before="105" w:line="256" w:lineRule="auto"/>
        <w:rPr>
          <w:sz w:val="29"/>
          <w:szCs w:val="29"/>
        </w:rPr>
      </w:pPr>
      <w:r>
        <w:rPr>
          <w:sz w:val="29"/>
          <w:szCs w:val="29"/>
          <w:spacing w:val="6"/>
        </w:rPr>
        <w:t>(1)病害：白粉病、炭疽病、叶斑类病害、锈病、干腐病、根腐病、流胶</w:t>
      </w:r>
      <w:r>
        <w:rPr>
          <w:sz w:val="29"/>
          <w:szCs w:val="29"/>
          <w:spacing w:val="1"/>
        </w:rPr>
        <w:t xml:space="preserve"> </w:t>
      </w:r>
      <w:r>
        <w:rPr>
          <w:sz w:val="29"/>
          <w:szCs w:val="29"/>
          <w:spacing w:val="-3"/>
        </w:rPr>
        <w:t>病、细菌性穿孔病等；</w:t>
      </w:r>
    </w:p>
    <w:p>
      <w:pPr>
        <w:pStyle w:val="BodyText"/>
        <w:ind w:right="351" w:firstLine="730"/>
        <w:spacing w:before="165" w:line="287" w:lineRule="auto"/>
        <w:rPr>
          <w:sz w:val="29"/>
          <w:szCs w:val="29"/>
        </w:rPr>
      </w:pPr>
      <w:r>
        <w:rPr>
          <w:sz w:val="29"/>
          <w:szCs w:val="29"/>
          <w:spacing w:val="8"/>
        </w:rPr>
        <w:t>(2)虫害：大青叶蝉、桃蚜、桃粉蚜、桃瘤蚜、梨网冠蝽、柑桔全爪螨、</w:t>
      </w:r>
      <w:r>
        <w:rPr>
          <w:sz w:val="29"/>
          <w:szCs w:val="29"/>
          <w:spacing w:val="4"/>
        </w:rPr>
        <w:t xml:space="preserve"> </w:t>
      </w:r>
      <w:r>
        <w:rPr>
          <w:sz w:val="29"/>
          <w:szCs w:val="29"/>
          <w:spacing w:val="-8"/>
        </w:rPr>
        <w:t>桔绿粉虱、黑刺粉虱、星天牛、云斑天牛、咖啡木蠹蛾、柏肤小蠹、松纵坑切梢小</w:t>
      </w:r>
      <w:r>
        <w:rPr>
          <w:sz w:val="29"/>
          <w:szCs w:val="29"/>
          <w:spacing w:val="10"/>
        </w:rPr>
        <w:t xml:space="preserve"> </w:t>
      </w:r>
      <w:r>
        <w:rPr>
          <w:sz w:val="29"/>
          <w:szCs w:val="29"/>
          <w:spacing w:val="-8"/>
        </w:rPr>
        <w:t>蠹、白蚁、蝼蛄、柳毒蛾、桃剑纹夜蛾、柑桔凤蝶、玉带凤蝶、樟青凤蝶、</w:t>
      </w:r>
      <w:r>
        <w:rPr>
          <w:sz w:val="29"/>
          <w:szCs w:val="29"/>
          <w:spacing w:val="-9"/>
        </w:rPr>
        <w:t>蔷薇三</w:t>
      </w:r>
      <w:r>
        <w:rPr>
          <w:sz w:val="29"/>
          <w:szCs w:val="29"/>
        </w:rPr>
        <w:t xml:space="preserve"> </w:t>
      </w:r>
      <w:r>
        <w:rPr>
          <w:sz w:val="29"/>
          <w:szCs w:val="29"/>
        </w:rPr>
        <w:t>节叶蜂、柳蓝叶甲、红棕象甲等。</w:t>
      </w:r>
    </w:p>
    <w:p>
      <w:pPr>
        <w:pStyle w:val="BodyText"/>
        <w:ind w:left="600"/>
        <w:spacing w:before="158" w:line="396"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450" w:firstLine="730"/>
        <w:spacing w:before="122"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600"/>
        <w:spacing w:before="18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spacing w:before="94"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600"/>
        <w:spacing w:before="83"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right="110" w:firstLine="600"/>
        <w:spacing w:before="17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67" w:line="223" w:lineRule="auto"/>
        <w:rPr>
          <w:rFonts w:ascii="SimHei" w:hAnsi="SimHei" w:eastAsia="SimHei" w:cs="SimHei"/>
          <w:sz w:val="29"/>
          <w:szCs w:val="29"/>
        </w:rPr>
      </w:pPr>
      <w:r>
        <w:rPr>
          <w:rFonts w:ascii="SimHei" w:hAnsi="SimHei" w:eastAsia="SimHei" w:cs="SimHei"/>
          <w:sz w:val="29"/>
          <w:szCs w:val="29"/>
          <w:spacing w:val="2"/>
        </w:rPr>
        <w:t>六月份</w:t>
      </w:r>
    </w:p>
    <w:p>
      <w:pPr>
        <w:ind w:left="600"/>
        <w:spacing w:before="157" w:line="222" w:lineRule="auto"/>
        <w:rPr>
          <w:rFonts w:ascii="SimHei" w:hAnsi="SimHei" w:eastAsia="SimHei" w:cs="SimHei"/>
          <w:sz w:val="29"/>
          <w:szCs w:val="29"/>
        </w:rPr>
      </w:pPr>
      <w:r>
        <w:rPr>
          <w:rFonts w:ascii="SimHei" w:hAnsi="SimHei" w:eastAsia="SimHei" w:cs="SimHei"/>
          <w:sz w:val="29"/>
          <w:szCs w:val="29"/>
          <w:spacing w:val="7"/>
        </w:rPr>
        <w:t>1、现场检查</w:t>
      </w:r>
    </w:p>
    <w:p>
      <w:pPr>
        <w:pStyle w:val="BodyText"/>
        <w:ind w:left="730"/>
        <w:spacing w:before="93" w:line="219" w:lineRule="auto"/>
        <w:rPr>
          <w:sz w:val="29"/>
          <w:szCs w:val="29"/>
        </w:rPr>
      </w:pPr>
      <w:r>
        <w:rPr>
          <w:sz w:val="29"/>
          <w:szCs w:val="29"/>
          <w:spacing w:val="6"/>
        </w:rPr>
        <w:t>(1)及时检查乔木支撑情况，发现松动或缺失立即加固；</w:t>
      </w:r>
    </w:p>
    <w:p>
      <w:pPr>
        <w:pStyle w:val="BodyText"/>
        <w:ind w:right="364" w:firstLine="730"/>
        <w:spacing w:before="157" w:line="285" w:lineRule="auto"/>
        <w:rPr>
          <w:sz w:val="29"/>
          <w:szCs w:val="29"/>
        </w:rPr>
      </w:pPr>
      <w:r>
        <w:rPr>
          <w:sz w:val="29"/>
          <w:szCs w:val="29"/>
          <w:spacing w:val="6"/>
        </w:rPr>
        <w:t>(2)继续对所有斑秃草坪地块更新复壮，清除枯死草叶并及早进行补种；</w:t>
      </w:r>
      <w:r>
        <w:rPr>
          <w:sz w:val="29"/>
          <w:szCs w:val="29"/>
          <w:spacing w:val="11"/>
        </w:rPr>
        <w:t xml:space="preserve"> </w:t>
      </w:r>
      <w:r>
        <w:rPr>
          <w:sz w:val="29"/>
          <w:szCs w:val="29"/>
          <w:spacing w:val="-6"/>
        </w:rPr>
        <w:t>高低不平地块用土找平，每次直接在草坪上覆土，但不得超过2</w:t>
      </w:r>
      <w:r>
        <w:rPr>
          <w:rFonts w:ascii="Times New Roman" w:hAnsi="Times New Roman" w:eastAsia="Times New Roman" w:cs="Times New Roman"/>
          <w:sz w:val="29"/>
          <w:szCs w:val="29"/>
          <w:spacing w:val="-6"/>
        </w:rPr>
        <w:t>cm</w:t>
      </w:r>
      <w:r>
        <w:rPr>
          <w:sz w:val="29"/>
          <w:szCs w:val="29"/>
          <w:spacing w:val="-6"/>
        </w:rPr>
        <w:t>厚度，一般在修</w:t>
      </w:r>
      <w:r>
        <w:rPr>
          <w:sz w:val="29"/>
          <w:szCs w:val="29"/>
          <w:spacing w:val="12"/>
        </w:rPr>
        <w:t xml:space="preserve"> </w:t>
      </w:r>
      <w:r>
        <w:rPr>
          <w:sz w:val="29"/>
          <w:szCs w:val="29"/>
          <w:spacing w:val="-5"/>
        </w:rPr>
        <w:t>剪后进行。</w:t>
      </w:r>
    </w:p>
    <w:p>
      <w:pPr>
        <w:pStyle w:val="BodyText"/>
        <w:ind w:left="600"/>
        <w:spacing w:before="163"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right="362" w:firstLine="730"/>
        <w:spacing w:before="103" w:line="313" w:lineRule="auto"/>
        <w:rPr>
          <w:sz w:val="29"/>
          <w:szCs w:val="29"/>
        </w:rPr>
      </w:pPr>
      <w:r>
        <w:rPr>
          <w:sz w:val="29"/>
          <w:szCs w:val="29"/>
          <w:spacing w:val="1"/>
        </w:rPr>
        <w:t>①</w:t>
      </w:r>
      <w:r>
        <w:rPr>
          <w:sz w:val="29"/>
          <w:szCs w:val="29"/>
          <w:spacing w:val="55"/>
        </w:rPr>
        <w:t xml:space="preserve">  </w:t>
      </w:r>
      <w:r>
        <w:rPr>
          <w:sz w:val="29"/>
          <w:szCs w:val="29"/>
          <w:spacing w:val="1"/>
        </w:rPr>
        <w:t>修剪下来的草叶铺在树盘中绿篱下面，可以减少水分蒸发，降低地面</w:t>
      </w:r>
      <w:r>
        <w:rPr>
          <w:sz w:val="29"/>
          <w:szCs w:val="29"/>
        </w:rPr>
        <w:t xml:space="preserve"> </w:t>
      </w:r>
      <w:r>
        <w:rPr>
          <w:sz w:val="29"/>
          <w:szCs w:val="29"/>
          <w:spacing w:val="-16"/>
        </w:rPr>
        <w:t>温度，防止杂草生长。对果树植物进行生长期修剪，重点培养延长枝，去除萌枝、徒</w:t>
      </w:r>
      <w:r>
        <w:rPr>
          <w:sz w:val="29"/>
          <w:szCs w:val="29"/>
          <w:spacing w:val="11"/>
        </w:rPr>
        <w:t xml:space="preserve"> </w:t>
      </w:r>
      <w:r>
        <w:rPr>
          <w:sz w:val="29"/>
          <w:szCs w:val="29"/>
          <w:spacing w:val="-11"/>
        </w:rPr>
        <w:t>长枝、竞争枝，可以为冬季减少修剪量创造条件，提高观赏价值。注意及时对</w:t>
      </w:r>
    </w:p>
    <w:p>
      <w:pPr>
        <w:spacing w:line="313" w:lineRule="auto"/>
        <w:sectPr>
          <w:footerReference w:type="default" r:id="rId701"/>
          <w:pgSz w:w="14490" w:h="20470"/>
          <w:pgMar w:top="400" w:right="1824"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rPr>
        <w:t>造型树、灌木地被及绿篱进行修剪。</w:t>
      </w:r>
    </w:p>
    <w:p>
      <w:pPr>
        <w:pStyle w:val="BodyText"/>
        <w:ind w:right="252" w:firstLine="730"/>
        <w:spacing w:before="149" w:line="312" w:lineRule="auto"/>
        <w:jc w:val="both"/>
        <w:rPr>
          <w:sz w:val="29"/>
          <w:szCs w:val="29"/>
        </w:rPr>
      </w:pPr>
      <w:r>
        <w:rPr>
          <w:sz w:val="29"/>
          <w:szCs w:val="29"/>
        </w:rPr>
        <w:t>②</w:t>
      </w:r>
      <w:r>
        <w:rPr>
          <w:sz w:val="29"/>
          <w:szCs w:val="29"/>
          <w:spacing w:val="63"/>
        </w:rPr>
        <w:t xml:space="preserve">  </w:t>
      </w:r>
      <w:r>
        <w:rPr>
          <w:sz w:val="29"/>
          <w:szCs w:val="29"/>
        </w:rPr>
        <w:t>过密地块用疏草机清理，减少单位面积上茎叶数量。本月开始，适当 </w:t>
      </w:r>
      <w:r>
        <w:rPr>
          <w:sz w:val="29"/>
          <w:szCs w:val="29"/>
          <w:spacing w:val="-4"/>
        </w:rPr>
        <w:t>保持一定草坪高度对草坪越夏至关重要。平均每隔10-15天左右剪草一次，一般控</w:t>
      </w:r>
      <w:r>
        <w:rPr>
          <w:sz w:val="29"/>
          <w:szCs w:val="29"/>
          <w:spacing w:val="8"/>
        </w:rPr>
        <w:t xml:space="preserve"> </w:t>
      </w:r>
      <w:r>
        <w:rPr>
          <w:sz w:val="29"/>
          <w:szCs w:val="29"/>
          <w:spacing w:val="-6"/>
        </w:rPr>
        <w:t>制高度在5-8</w:t>
      </w:r>
      <w:r>
        <w:rPr>
          <w:rFonts w:ascii="Times New Roman" w:hAnsi="Times New Roman" w:eastAsia="Times New Roman" w:cs="Times New Roman"/>
          <w:sz w:val="29"/>
          <w:szCs w:val="29"/>
          <w:spacing w:val="-6"/>
        </w:rPr>
        <w:t>cm</w:t>
      </w:r>
      <w:r>
        <w:rPr>
          <w:sz w:val="29"/>
          <w:szCs w:val="29"/>
          <w:spacing w:val="-6"/>
        </w:rPr>
        <w:t>左右，前期低剪，后期留高，在草坪叶片干燥的</w:t>
      </w:r>
      <w:r>
        <w:rPr>
          <w:sz w:val="29"/>
          <w:szCs w:val="29"/>
          <w:spacing w:val="-7"/>
        </w:rPr>
        <w:t>情况下进行修剪有</w:t>
      </w:r>
      <w:r>
        <w:rPr>
          <w:sz w:val="29"/>
          <w:szCs w:val="29"/>
        </w:rPr>
        <w:t xml:space="preserve"> </w:t>
      </w:r>
      <w:r>
        <w:rPr>
          <w:sz w:val="29"/>
          <w:szCs w:val="29"/>
          <w:spacing w:val="2"/>
        </w:rPr>
        <w:t>利于减少病害。雨季到来前整好地，播种或分栽扩繁暖季型</w:t>
      </w:r>
      <w:r>
        <w:rPr>
          <w:sz w:val="29"/>
          <w:szCs w:val="29"/>
          <w:spacing w:val="1"/>
        </w:rPr>
        <w:t>草。</w:t>
      </w:r>
    </w:p>
    <w:p>
      <w:pPr>
        <w:ind w:left="570"/>
        <w:spacing w:before="4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42" w:firstLine="570"/>
        <w:spacing w:before="90" w:line="312" w:lineRule="auto"/>
        <w:rPr>
          <w:sz w:val="29"/>
          <w:szCs w:val="29"/>
        </w:rPr>
      </w:pPr>
      <w:r>
        <w:rPr>
          <w:sz w:val="29"/>
          <w:szCs w:val="29"/>
          <w:spacing w:val="-4"/>
        </w:rPr>
        <w:t>前期以浇水抗旱为主。一般以每隔5-7天浇水一遍，持续干旱的天气下，增加</w:t>
      </w:r>
      <w:r>
        <w:rPr>
          <w:sz w:val="29"/>
          <w:szCs w:val="29"/>
          <w:spacing w:val="16"/>
        </w:rPr>
        <w:t xml:space="preserve"> </w:t>
      </w:r>
      <w:r>
        <w:rPr>
          <w:sz w:val="29"/>
          <w:szCs w:val="29"/>
          <w:spacing w:val="-16"/>
        </w:rPr>
        <w:t>浇灌次数，局部生长不良和土层薄容易干旱的地块，需要每天浇水。一般原则，在草</w:t>
      </w:r>
      <w:r>
        <w:rPr>
          <w:sz w:val="29"/>
          <w:szCs w:val="29"/>
          <w:spacing w:val="13"/>
        </w:rPr>
        <w:t xml:space="preserve"> </w:t>
      </w:r>
      <w:r>
        <w:rPr>
          <w:sz w:val="29"/>
          <w:szCs w:val="29"/>
        </w:rPr>
        <w:t>坪修剪之前要适当控制浇水，修剪之后及时补充水</w:t>
      </w:r>
      <w:r>
        <w:rPr>
          <w:sz w:val="29"/>
          <w:szCs w:val="29"/>
          <w:spacing w:val="-1"/>
        </w:rPr>
        <w:t>分。对草坪生长势已经明显减</w:t>
      </w:r>
      <w:r>
        <w:rPr>
          <w:sz w:val="29"/>
          <w:szCs w:val="29"/>
        </w:rPr>
        <w:t xml:space="preserve"> </w:t>
      </w:r>
      <w:r>
        <w:rPr>
          <w:sz w:val="29"/>
          <w:szCs w:val="29"/>
          <w:spacing w:val="31"/>
        </w:rPr>
        <w:t>弱的地块在6月初必须开始追肥，以后平均每个月施肥</w:t>
      </w:r>
      <w:r>
        <w:rPr>
          <w:sz w:val="29"/>
          <w:szCs w:val="29"/>
          <w:spacing w:val="30"/>
        </w:rPr>
        <w:t>一遍，每次用量5-</w:t>
      </w:r>
      <w:r>
        <w:rPr>
          <w:sz w:val="29"/>
          <w:szCs w:val="29"/>
        </w:rPr>
        <w:t xml:space="preserve"> </w:t>
      </w:r>
      <w:r>
        <w:rPr>
          <w:sz w:val="29"/>
          <w:szCs w:val="29"/>
          <w:spacing w:val="3"/>
        </w:rPr>
        <w:t>10</w:t>
      </w:r>
      <w:r>
        <w:rPr>
          <w:rFonts w:ascii="Times New Roman" w:hAnsi="Times New Roman" w:eastAsia="Times New Roman" w:cs="Times New Roman"/>
          <w:sz w:val="29"/>
          <w:szCs w:val="29"/>
          <w:spacing w:val="3"/>
        </w:rPr>
        <w:t>g/m²,</w:t>
      </w:r>
      <w:r>
        <w:rPr>
          <w:rFonts w:ascii="Times New Roman" w:hAnsi="Times New Roman" w:eastAsia="Times New Roman" w:cs="Times New Roman"/>
          <w:sz w:val="29"/>
          <w:szCs w:val="29"/>
          <w:spacing w:val="56"/>
          <w:w w:val="101"/>
        </w:rPr>
        <w:t xml:space="preserve"> </w:t>
      </w:r>
      <w:r>
        <w:rPr>
          <w:sz w:val="29"/>
          <w:szCs w:val="29"/>
          <w:spacing w:val="3"/>
        </w:rPr>
        <w:t>肥料种类以氮磷钾复合肥为宜。病虫草害防治。</w:t>
      </w:r>
    </w:p>
    <w:p>
      <w:pPr>
        <w:pStyle w:val="BodyText"/>
        <w:ind w:left="570"/>
        <w:spacing w:before="69"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89" w:firstLine="730"/>
        <w:spacing w:before="104" w:line="266" w:lineRule="auto"/>
        <w:rPr>
          <w:sz w:val="29"/>
          <w:szCs w:val="29"/>
        </w:rPr>
      </w:pPr>
      <w:r>
        <w:rPr>
          <w:sz w:val="29"/>
          <w:szCs w:val="29"/>
          <w:spacing w:val="7"/>
        </w:rPr>
        <w:t>(1)病害：白粉病、炭疽病、锈病、煤污病、叶枯病、干腐病、枝枯病、</w:t>
      </w:r>
      <w:r>
        <w:rPr>
          <w:sz w:val="29"/>
          <w:szCs w:val="29"/>
          <w:spacing w:val="18"/>
        </w:rPr>
        <w:t xml:space="preserve"> </w:t>
      </w:r>
      <w:r>
        <w:rPr>
          <w:sz w:val="29"/>
          <w:szCs w:val="29"/>
          <w:spacing w:val="1"/>
        </w:rPr>
        <w:t>流胶病、枯萎病、草坪腐霉枯萎病、细菌性穿孔病等；</w:t>
      </w:r>
    </w:p>
    <w:p>
      <w:pPr>
        <w:pStyle w:val="BodyText"/>
        <w:ind w:left="730"/>
        <w:spacing w:before="154" w:line="219" w:lineRule="auto"/>
        <w:rPr>
          <w:sz w:val="29"/>
          <w:szCs w:val="29"/>
        </w:rPr>
      </w:pPr>
      <w:r>
        <w:rPr>
          <w:sz w:val="29"/>
          <w:szCs w:val="29"/>
          <w:spacing w:val="7"/>
        </w:rPr>
        <w:t>(2)虫害：大青叶蝉、桃粉蚜、梨网冠蝽、黑刺粉虱、花蓟马、桑天牛、</w:t>
      </w:r>
    </w:p>
    <w:p>
      <w:pPr>
        <w:pStyle w:val="BodyText"/>
        <w:spacing w:before="136" w:line="281" w:lineRule="auto"/>
        <w:rPr>
          <w:sz w:val="29"/>
          <w:szCs w:val="29"/>
        </w:rPr>
      </w:pPr>
      <w:r>
        <w:rPr>
          <w:sz w:val="29"/>
          <w:szCs w:val="29"/>
          <w:spacing w:val="-8"/>
        </w:rPr>
        <w:t>星天牛、云斑天牛、咖啡木蠹蛾、柏肤小蠹、松纵坑切梢小蠹、白蚁、蝼蛄、黄刺</w:t>
      </w:r>
      <w:r>
        <w:rPr>
          <w:sz w:val="29"/>
          <w:szCs w:val="29"/>
          <w:spacing w:val="5"/>
        </w:rPr>
        <w:t xml:space="preserve">  </w:t>
      </w:r>
      <w:r>
        <w:rPr>
          <w:sz w:val="29"/>
          <w:szCs w:val="29"/>
          <w:spacing w:val="-15"/>
        </w:rPr>
        <w:t>蛾、扁刺蛾、丽绿刺蛾、褐边绿刺蛾、桑褐刺蛾、茶袋</w:t>
      </w:r>
      <w:r>
        <w:rPr>
          <w:sz w:val="29"/>
          <w:szCs w:val="29"/>
          <w:spacing w:val="-16"/>
        </w:rPr>
        <w:t>蛾、大袋蛾、黄尾毒蛾、桃剑</w:t>
      </w:r>
      <w:r>
        <w:rPr>
          <w:sz w:val="29"/>
          <w:szCs w:val="29"/>
        </w:rPr>
        <w:t xml:space="preserve">  </w:t>
      </w:r>
      <w:r>
        <w:rPr>
          <w:sz w:val="29"/>
          <w:szCs w:val="29"/>
          <w:spacing w:val="-9"/>
        </w:rPr>
        <w:t>纹夜蛾、柑桔凤蝶、玉带凤蝶、樟青凤蝶、蔷薇三节叶蜂、柳蓝叶甲、红棕象甲等。</w:t>
      </w:r>
    </w:p>
    <w:p>
      <w:pPr>
        <w:pStyle w:val="BodyText"/>
        <w:ind w:left="570"/>
        <w:spacing w:before="158"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250" w:firstLine="730"/>
        <w:spacing w:before="103" w:line="259" w:lineRule="auto"/>
        <w:rPr>
          <w:sz w:val="29"/>
          <w:szCs w:val="29"/>
        </w:rPr>
      </w:pPr>
      <w:r>
        <w:rPr>
          <w:sz w:val="29"/>
          <w:szCs w:val="29"/>
          <w:spacing w:val="9"/>
        </w:rPr>
        <w:t>(1)保洁人员合理分区，全天候巡视，及时清理烟头</w:t>
      </w:r>
      <w:r>
        <w:rPr>
          <w:sz w:val="29"/>
          <w:szCs w:val="29"/>
          <w:spacing w:val="8"/>
        </w:rPr>
        <w:t>、树挂等垃圾，水景</w:t>
      </w:r>
      <w:r>
        <w:rPr>
          <w:sz w:val="29"/>
          <w:szCs w:val="29"/>
        </w:rPr>
        <w:t xml:space="preserve"> </w:t>
      </w:r>
      <w:r>
        <w:rPr>
          <w:sz w:val="29"/>
          <w:szCs w:val="29"/>
          <w:spacing w:val="-1"/>
        </w:rPr>
        <w:t>池、灯杆、垃圾桶保持干净；</w:t>
      </w:r>
    </w:p>
    <w:p>
      <w:pPr>
        <w:pStyle w:val="BodyText"/>
        <w:ind w:right="243" w:firstLine="730"/>
        <w:spacing w:before="166" w:line="263" w:lineRule="auto"/>
        <w:rPr>
          <w:sz w:val="29"/>
          <w:szCs w:val="29"/>
        </w:rPr>
      </w:pPr>
      <w:r>
        <w:rPr>
          <w:sz w:val="29"/>
          <w:szCs w:val="29"/>
          <w:spacing w:val="13"/>
        </w:rPr>
        <w:t>(2)在业主上班高峰期前对园区内的重点区域(大门内外、主干通道、销</w:t>
      </w:r>
      <w:r>
        <w:rPr>
          <w:sz w:val="29"/>
          <w:szCs w:val="29"/>
          <w:spacing w:val="11"/>
        </w:rPr>
        <w:t xml:space="preserve"> </w:t>
      </w:r>
      <w:r>
        <w:rPr>
          <w:sz w:val="29"/>
          <w:szCs w:val="29"/>
          <w:spacing w:val="12"/>
        </w:rPr>
        <w:t>售展示区)进行彻底清理。</w:t>
      </w:r>
    </w:p>
    <w:p>
      <w:pPr>
        <w:ind w:left="570"/>
        <w:spacing w:before="193"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251" w:firstLine="730"/>
        <w:spacing w:before="103" w:line="260" w:lineRule="auto"/>
        <w:rPr>
          <w:sz w:val="29"/>
          <w:szCs w:val="29"/>
        </w:rPr>
      </w:pPr>
      <w:r>
        <w:rPr>
          <w:sz w:val="29"/>
          <w:szCs w:val="29"/>
          <w:spacing w:val="9"/>
        </w:rPr>
        <w:t>(1)库房物品整理，物料工具出入库及领用登记，</w:t>
      </w:r>
      <w:r>
        <w:rPr>
          <w:sz w:val="29"/>
          <w:szCs w:val="29"/>
          <w:spacing w:val="8"/>
        </w:rPr>
        <w:t>注意保管汽油、农药等</w:t>
      </w:r>
      <w:r>
        <w:rPr>
          <w:sz w:val="29"/>
          <w:szCs w:val="29"/>
        </w:rPr>
        <w:t xml:space="preserve"> </w:t>
      </w:r>
      <w:r>
        <w:rPr>
          <w:sz w:val="29"/>
          <w:szCs w:val="29"/>
          <w:spacing w:val="-7"/>
        </w:rPr>
        <w:t>危险品；</w:t>
      </w:r>
    </w:p>
    <w:p>
      <w:pPr>
        <w:pStyle w:val="BodyText"/>
        <w:ind w:right="249" w:firstLine="730"/>
        <w:spacing w:before="151" w:line="271" w:lineRule="auto"/>
        <w:rPr>
          <w:sz w:val="29"/>
          <w:szCs w:val="29"/>
        </w:rPr>
      </w:pPr>
      <w:r>
        <w:rPr>
          <w:sz w:val="29"/>
          <w:szCs w:val="29"/>
          <w:spacing w:val="4"/>
        </w:rPr>
        <w:t>(2)根据现场的实际情况，申请购置7、8、9月份的农药、化肥、营养剂及 </w:t>
      </w:r>
      <w:r>
        <w:rPr>
          <w:sz w:val="29"/>
          <w:szCs w:val="29"/>
          <w:spacing w:val="-8"/>
        </w:rPr>
        <w:t>其它物资；</w:t>
      </w:r>
    </w:p>
    <w:p>
      <w:pPr>
        <w:pStyle w:val="BodyText"/>
        <w:ind w:left="730"/>
        <w:spacing w:before="140" w:line="219" w:lineRule="auto"/>
        <w:rPr>
          <w:sz w:val="29"/>
          <w:szCs w:val="29"/>
        </w:rPr>
      </w:pPr>
      <w:r>
        <w:rPr>
          <w:sz w:val="29"/>
          <w:szCs w:val="29"/>
          <w:spacing w:val="9"/>
        </w:rPr>
        <w:t>(3)进行机械工具的检查维修。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line="311" w:lineRule="auto"/>
        <w:sectPr>
          <w:footerReference w:type="default" r:id="rId702"/>
          <w:pgSz w:w="14490" w:h="20470"/>
          <w:pgMar w:top="400" w:right="1935" w:bottom="1447" w:left="2150" w:header="0" w:footer="1231" w:gutter="0"/>
        </w:sectPr>
        <w:rPr>
          <w:sz w:val="29"/>
          <w:szCs w:val="29"/>
        </w:rPr>
      </w:pPr>
    </w:p>
    <w:p>
      <w:pPr>
        <w:spacing w:line="281"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before="95"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570"/>
        <w:spacing w:before="166"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93" w:line="219" w:lineRule="auto"/>
        <w:rPr>
          <w:sz w:val="29"/>
          <w:szCs w:val="29"/>
        </w:rPr>
      </w:pPr>
      <w:r>
        <w:rPr>
          <w:sz w:val="29"/>
          <w:szCs w:val="29"/>
          <w:spacing w:val="1"/>
        </w:rPr>
        <w:t>及时检查乔木支撑情况，发现松动或缺失立即加固。</w:t>
      </w:r>
    </w:p>
    <w:p>
      <w:pPr>
        <w:ind w:left="570"/>
        <w:spacing w:before="13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12" w:firstLine="570"/>
        <w:spacing w:before="122" w:line="311" w:lineRule="auto"/>
        <w:rPr>
          <w:sz w:val="29"/>
          <w:szCs w:val="29"/>
        </w:rPr>
      </w:pPr>
      <w:r>
        <w:rPr>
          <w:sz w:val="29"/>
          <w:szCs w:val="29"/>
        </w:rPr>
        <w:t>重点从浇水防旱转移到正常养护管理。继续在斑秃地块补栽草坪，一旦发现</w:t>
      </w:r>
      <w:r>
        <w:rPr>
          <w:sz w:val="29"/>
          <w:szCs w:val="29"/>
          <w:spacing w:val="10"/>
        </w:rPr>
        <w:t xml:space="preserve"> </w:t>
      </w:r>
      <w:r>
        <w:rPr>
          <w:sz w:val="29"/>
          <w:szCs w:val="29"/>
        </w:rPr>
        <w:t>各种原因出现斑秃草坪，必须利用雨季及时</w:t>
      </w:r>
      <w:r>
        <w:rPr>
          <w:sz w:val="29"/>
          <w:szCs w:val="29"/>
          <w:spacing w:val="-1"/>
        </w:rPr>
        <w:t>补栽草坪，草坪必须浇水踩踏，保证</w:t>
      </w:r>
      <w:r>
        <w:rPr>
          <w:sz w:val="29"/>
          <w:szCs w:val="29"/>
        </w:rPr>
        <w:t xml:space="preserve"> </w:t>
      </w:r>
      <w:r>
        <w:rPr>
          <w:sz w:val="29"/>
          <w:szCs w:val="29"/>
          <w:spacing w:val="-8"/>
        </w:rPr>
        <w:t>其下与土壤良好的结合，并且设置标牌，禁止踩踏。孔洞、坑洼地块是害虫的越冬</w:t>
      </w:r>
      <w:r>
        <w:rPr>
          <w:sz w:val="29"/>
          <w:szCs w:val="29"/>
          <w:spacing w:val="1"/>
        </w:rPr>
        <w:t xml:space="preserve"> </w:t>
      </w:r>
      <w:r>
        <w:rPr>
          <w:sz w:val="29"/>
          <w:szCs w:val="29"/>
          <w:spacing w:val="-15"/>
        </w:rPr>
        <w:t>场所，必须填平；从7月上旬开始每隔7-10天对重点地块喷杀从剂和杀菌剂。</w:t>
      </w:r>
    </w:p>
    <w:p>
      <w:pPr>
        <w:pStyle w:val="BodyText"/>
        <w:ind w:right="111"/>
        <w:spacing w:before="28" w:line="308" w:lineRule="auto"/>
        <w:rPr>
          <w:sz w:val="29"/>
          <w:szCs w:val="29"/>
        </w:rPr>
      </w:pPr>
      <w:r>
        <w:rPr>
          <w:sz w:val="29"/>
          <w:szCs w:val="29"/>
          <w:spacing w:val="-14"/>
        </w:rPr>
        <w:t>一般平均10天割一遍草，必须把碎草末清理干净，防治腐烂发病。(草坪养护具体措</w:t>
      </w:r>
      <w:r>
        <w:rPr>
          <w:sz w:val="29"/>
          <w:szCs w:val="29"/>
          <w:spacing w:val="1"/>
        </w:rPr>
        <w:t xml:space="preserve"> </w:t>
      </w:r>
      <w:r>
        <w:rPr>
          <w:sz w:val="29"/>
          <w:szCs w:val="29"/>
          <w:spacing w:val="7"/>
        </w:rPr>
        <w:t>施参照草坪养护指引)</w:t>
      </w:r>
    </w:p>
    <w:p>
      <w:pPr>
        <w:ind w:left="570"/>
        <w:spacing w:before="71"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right="15" w:firstLine="730"/>
        <w:spacing w:before="93" w:line="281" w:lineRule="auto"/>
        <w:rPr>
          <w:sz w:val="29"/>
          <w:szCs w:val="29"/>
        </w:rPr>
      </w:pPr>
      <w:r>
        <w:rPr>
          <w:sz w:val="29"/>
          <w:szCs w:val="29"/>
          <w:spacing w:val="9"/>
        </w:rPr>
        <w:t>(1)进入雨季前后，提前挖沟排水，防止渍捞</w:t>
      </w:r>
      <w:r>
        <w:rPr>
          <w:sz w:val="29"/>
          <w:szCs w:val="29"/>
          <w:spacing w:val="8"/>
        </w:rPr>
        <w:t>。矮牵牛等地被植物开始得</w:t>
      </w:r>
      <w:r>
        <w:rPr>
          <w:sz w:val="29"/>
          <w:szCs w:val="29"/>
        </w:rPr>
        <w:t xml:space="preserve"> </w:t>
      </w:r>
      <w:r>
        <w:rPr>
          <w:sz w:val="29"/>
          <w:szCs w:val="29"/>
          <w:spacing w:val="-8"/>
        </w:rPr>
        <w:t>病，影响观赏，及时拔除后种植替代植物。注意及时对造型树、灌木地被及</w:t>
      </w:r>
      <w:r>
        <w:rPr>
          <w:sz w:val="29"/>
          <w:szCs w:val="29"/>
          <w:spacing w:val="-9"/>
        </w:rPr>
        <w:t>绿篱进</w:t>
      </w:r>
      <w:r>
        <w:rPr>
          <w:sz w:val="29"/>
          <w:szCs w:val="29"/>
        </w:rPr>
        <w:t xml:space="preserve"> </w:t>
      </w:r>
      <w:r>
        <w:rPr>
          <w:sz w:val="29"/>
          <w:szCs w:val="29"/>
          <w:spacing w:val="-7"/>
        </w:rPr>
        <w:t>行修剪；</w:t>
      </w:r>
    </w:p>
    <w:p>
      <w:pPr>
        <w:pStyle w:val="BodyText"/>
        <w:ind w:right="14" w:firstLine="730"/>
        <w:spacing w:before="135" w:line="294" w:lineRule="auto"/>
        <w:rPr>
          <w:sz w:val="29"/>
          <w:szCs w:val="29"/>
        </w:rPr>
      </w:pPr>
      <w:r>
        <w:rPr>
          <w:sz w:val="29"/>
          <w:szCs w:val="29"/>
          <w:spacing w:val="-1"/>
        </w:rPr>
        <w:t>(2)正常年份，进入雨季后，无明显干旱基本不用浇水。植</w:t>
      </w:r>
      <w:r>
        <w:rPr>
          <w:sz w:val="29"/>
          <w:szCs w:val="29"/>
          <w:spacing w:val="-2"/>
        </w:rPr>
        <w:t>物看生长情况，</w:t>
      </w:r>
      <w:r>
        <w:rPr>
          <w:sz w:val="29"/>
          <w:szCs w:val="29"/>
        </w:rPr>
        <w:t xml:space="preserve"> </w:t>
      </w:r>
      <w:r>
        <w:rPr>
          <w:sz w:val="29"/>
          <w:szCs w:val="29"/>
          <w:spacing w:val="-8"/>
        </w:rPr>
        <w:t>合理使用肥水，补充土壤养分和水分，肥料种类以氮磷钾复合肥为宜，适当控制氮</w:t>
      </w:r>
      <w:r>
        <w:rPr>
          <w:sz w:val="29"/>
          <w:szCs w:val="29"/>
        </w:rPr>
        <w:t xml:space="preserve"> </w:t>
      </w:r>
      <w:r>
        <w:rPr>
          <w:sz w:val="29"/>
          <w:szCs w:val="29"/>
        </w:rPr>
        <w:t>肥的使用有利于病害的防治。在大雨或暴雨后必须</w:t>
      </w:r>
      <w:r>
        <w:rPr>
          <w:sz w:val="29"/>
          <w:szCs w:val="29"/>
          <w:spacing w:val="-1"/>
        </w:rPr>
        <w:t>及时清除绿地内积水，减轻涝</w:t>
      </w:r>
      <w:r>
        <w:rPr>
          <w:sz w:val="29"/>
          <w:szCs w:val="29"/>
        </w:rPr>
        <w:t xml:space="preserve"> </w:t>
      </w:r>
      <w:r>
        <w:rPr>
          <w:sz w:val="29"/>
          <w:szCs w:val="29"/>
          <w:spacing w:val="-8"/>
        </w:rPr>
        <w:t>灾和病害发生。</w:t>
      </w:r>
    </w:p>
    <w:p>
      <w:pPr>
        <w:pStyle w:val="BodyText"/>
        <w:ind w:left="570"/>
        <w:spacing w:before="181"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13" w:firstLine="730"/>
        <w:spacing w:before="94" w:line="266" w:lineRule="auto"/>
        <w:rPr>
          <w:sz w:val="29"/>
          <w:szCs w:val="29"/>
        </w:rPr>
      </w:pPr>
      <w:r>
        <w:rPr>
          <w:sz w:val="29"/>
          <w:szCs w:val="29"/>
          <w:spacing w:val="-8"/>
        </w:rPr>
        <w:t>(1)病害：锈病、煤污病、叶枯病、干腐病、紫</w:t>
      </w:r>
      <w:r>
        <w:rPr>
          <w:sz w:val="29"/>
          <w:szCs w:val="29"/>
          <w:spacing w:val="-9"/>
        </w:rPr>
        <w:t>纹羽病、枝枯病、枯萎病、草</w:t>
      </w:r>
      <w:r>
        <w:rPr>
          <w:sz w:val="29"/>
          <w:szCs w:val="29"/>
        </w:rPr>
        <w:t xml:space="preserve"> </w:t>
      </w:r>
      <w:r>
        <w:rPr>
          <w:sz w:val="29"/>
          <w:szCs w:val="29"/>
          <w:spacing w:val="-6"/>
        </w:rPr>
        <w:t>坪腐霉枯萎病、细菌性穿孔病、花叶病等；</w:t>
      </w:r>
    </w:p>
    <w:p>
      <w:pPr>
        <w:pStyle w:val="BodyText"/>
        <w:ind w:right="3" w:firstLine="730"/>
        <w:spacing w:before="145" w:line="287" w:lineRule="auto"/>
        <w:rPr>
          <w:sz w:val="29"/>
          <w:szCs w:val="29"/>
        </w:rPr>
      </w:pPr>
      <w:r>
        <w:rPr>
          <w:sz w:val="29"/>
          <w:szCs w:val="29"/>
          <w:spacing w:val="7"/>
        </w:rPr>
        <w:t>(2)虫害：大青叶蝉、梨网冠蝽、黑刺粉虱、花蓟马、桑天牛、星天牛、</w:t>
      </w:r>
      <w:r>
        <w:rPr>
          <w:sz w:val="29"/>
          <w:szCs w:val="29"/>
          <w:spacing w:val="18"/>
        </w:rPr>
        <w:t xml:space="preserve"> </w:t>
      </w:r>
      <w:r>
        <w:rPr>
          <w:sz w:val="29"/>
          <w:szCs w:val="29"/>
          <w:spacing w:val="-8"/>
        </w:rPr>
        <w:t>松纵坑切梢小蠹、白蚁、蝼蛄、黄刺蛾、扁刺蛾、丽绿刺蛾、褐边绿刺蛾、桑褐刺</w:t>
      </w:r>
      <w:r>
        <w:rPr>
          <w:sz w:val="29"/>
          <w:szCs w:val="29"/>
          <w:spacing w:val="10"/>
        </w:rPr>
        <w:t xml:space="preserve"> </w:t>
      </w:r>
      <w:r>
        <w:rPr>
          <w:sz w:val="29"/>
          <w:szCs w:val="29"/>
          <w:spacing w:val="-8"/>
        </w:rPr>
        <w:t>蛾、茶袋蛾、大袋蛾、黄尾毒蛾、桃剑纹夜蛾、柑桔凤蝶、玉带凤蝶、樟青凤蝶、</w:t>
      </w:r>
      <w:r>
        <w:rPr>
          <w:sz w:val="29"/>
          <w:szCs w:val="29"/>
          <w:spacing w:val="10"/>
        </w:rPr>
        <w:t xml:space="preserve"> </w:t>
      </w:r>
      <w:r>
        <w:rPr>
          <w:sz w:val="29"/>
          <w:szCs w:val="29"/>
          <w:spacing w:val="-11"/>
        </w:rPr>
        <w:t>蔷薇三节叶蜂、柳蓝叶甲、红棕象甲等。</w:t>
      </w:r>
    </w:p>
    <w:p>
      <w:pPr>
        <w:pStyle w:val="BodyText"/>
        <w:ind w:left="570"/>
        <w:spacing w:before="16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11" w:firstLine="730"/>
        <w:spacing w:before="82" w:line="275" w:lineRule="auto"/>
        <w:rPr>
          <w:sz w:val="29"/>
          <w:szCs w:val="29"/>
        </w:rPr>
      </w:pPr>
      <w:r>
        <w:rPr>
          <w:sz w:val="29"/>
          <w:szCs w:val="29"/>
          <w:spacing w:val="9"/>
        </w:rPr>
        <w:t>(1)保洁人员合理分区，全天候巡视，及时清理烟头</w:t>
      </w:r>
      <w:r>
        <w:rPr>
          <w:sz w:val="29"/>
          <w:szCs w:val="29"/>
          <w:spacing w:val="8"/>
        </w:rPr>
        <w:t>、树挂等垃圾，水景</w:t>
      </w:r>
      <w:r>
        <w:rPr>
          <w:sz w:val="29"/>
          <w:szCs w:val="29"/>
        </w:rPr>
        <w:t xml:space="preserve"> </w:t>
      </w:r>
      <w:r>
        <w:rPr>
          <w:sz w:val="29"/>
          <w:szCs w:val="29"/>
          <w:spacing w:val="-1"/>
        </w:rPr>
        <w:t>池、灯杆、垃圾桶保持干净；</w:t>
      </w:r>
    </w:p>
    <w:p>
      <w:pPr>
        <w:pStyle w:val="BodyText"/>
        <w:ind w:right="5" w:firstLine="730"/>
        <w:spacing w:before="147" w:line="269" w:lineRule="auto"/>
        <w:rPr>
          <w:sz w:val="29"/>
          <w:szCs w:val="29"/>
        </w:rPr>
      </w:pPr>
      <w:r>
        <w:rPr>
          <w:sz w:val="29"/>
          <w:szCs w:val="29"/>
          <w:spacing w:val="13"/>
        </w:rPr>
        <w:t>(2)在业主上班高峰期前对园区内的重点区域(大门内外、主干通道、销</w:t>
      </w:r>
      <w:r>
        <w:rPr>
          <w:sz w:val="29"/>
          <w:szCs w:val="29"/>
          <w:spacing w:val="11"/>
        </w:rPr>
        <w:t xml:space="preserve"> </w:t>
      </w:r>
      <w:r>
        <w:rPr>
          <w:sz w:val="29"/>
          <w:szCs w:val="29"/>
          <w:spacing w:val="12"/>
        </w:rPr>
        <w:t>售展示区)进行彻底清理。</w:t>
      </w:r>
    </w:p>
    <w:p>
      <w:pPr>
        <w:pStyle w:val="BodyText"/>
        <w:ind w:left="570"/>
        <w:spacing w:before="112"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物资管理</w:t>
      </w:r>
    </w:p>
    <w:p>
      <w:pPr>
        <w:pStyle w:val="BodyText"/>
        <w:ind w:right="13" w:firstLine="730"/>
        <w:spacing w:before="97" w:line="270" w:lineRule="auto"/>
        <w:rPr>
          <w:sz w:val="29"/>
          <w:szCs w:val="29"/>
        </w:rPr>
      </w:pPr>
      <w:r>
        <w:rPr>
          <w:sz w:val="29"/>
          <w:szCs w:val="29"/>
          <w:spacing w:val="9"/>
        </w:rPr>
        <w:t>(1)库房物品整理，物料工具出入库及领用登记，</w:t>
      </w:r>
      <w:r>
        <w:rPr>
          <w:sz w:val="29"/>
          <w:szCs w:val="29"/>
          <w:spacing w:val="8"/>
        </w:rPr>
        <w:t>注意保管汽油、农药等</w:t>
      </w:r>
      <w:r>
        <w:rPr>
          <w:sz w:val="29"/>
          <w:szCs w:val="29"/>
        </w:rPr>
        <w:t xml:space="preserve"> </w:t>
      </w:r>
      <w:r>
        <w:rPr>
          <w:sz w:val="29"/>
          <w:szCs w:val="29"/>
          <w:spacing w:val="-7"/>
        </w:rPr>
        <w:t>危险品；</w:t>
      </w:r>
    </w:p>
    <w:p>
      <w:pPr>
        <w:pStyle w:val="BodyText"/>
        <w:ind w:left="730"/>
        <w:spacing w:before="151" w:line="219" w:lineRule="auto"/>
        <w:rPr>
          <w:sz w:val="29"/>
          <w:szCs w:val="29"/>
        </w:rPr>
      </w:pPr>
      <w:r>
        <w:rPr>
          <w:sz w:val="29"/>
          <w:szCs w:val="29"/>
          <w:spacing w:val="12"/>
        </w:rPr>
        <w:t>(2)进行机械工具的检查维修。</w:t>
      </w:r>
    </w:p>
    <w:p>
      <w:pPr>
        <w:spacing w:line="219" w:lineRule="auto"/>
        <w:sectPr>
          <w:footerReference w:type="default" r:id="rId703"/>
          <w:pgSz w:w="14490" w:h="20470"/>
          <w:pgMar w:top="400" w:right="2173" w:bottom="1447" w:left="2150" w:header="0" w:footer="1230"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11"/>
        </w:rPr>
        <w:t>7</w:t>
      </w:r>
      <w:r>
        <w:rPr>
          <w:sz w:val="29"/>
          <w:szCs w:val="29"/>
          <w:spacing w:val="11"/>
        </w:rPr>
        <w:t>、</w:t>
      </w:r>
      <w:r>
        <w:rPr>
          <w:rFonts w:ascii="SimHei" w:hAnsi="SimHei" w:eastAsia="SimHei" w:cs="SimHei"/>
          <w:sz w:val="29"/>
          <w:szCs w:val="29"/>
          <w:spacing w:val="11"/>
        </w:rPr>
        <w:t>防火防盗</w:t>
      </w:r>
    </w:p>
    <w:p>
      <w:pPr>
        <w:pStyle w:val="BodyText"/>
        <w:ind w:firstLine="570"/>
        <w:spacing w:before="124" w:line="311" w:lineRule="auto"/>
        <w:rPr>
          <w:sz w:val="29"/>
          <w:szCs w:val="29"/>
        </w:rPr>
      </w:pPr>
      <w:r>
        <w:rPr>
          <w:sz w:val="29"/>
          <w:szCs w:val="29"/>
        </w:rPr>
        <w:t>每天绿化工人在保洁的同时要注意行人随意丢弃烟头现象，并对其进行防火</w:t>
      </w:r>
      <w:r>
        <w:rPr>
          <w:sz w:val="29"/>
          <w:szCs w:val="29"/>
          <w:spacing w:val="5"/>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3"/>
        </w:rPr>
        <w:t>防盗情况。</w:t>
      </w:r>
    </w:p>
    <w:p>
      <w:pPr>
        <w:spacing w:before="66" w:line="223" w:lineRule="auto"/>
        <w:rPr>
          <w:rFonts w:ascii="SimHei" w:hAnsi="SimHei" w:eastAsia="SimHei" w:cs="SimHei"/>
          <w:sz w:val="29"/>
          <w:szCs w:val="29"/>
        </w:rPr>
      </w:pPr>
      <w:r>
        <w:rPr>
          <w:rFonts w:ascii="SimHei" w:hAnsi="SimHei" w:eastAsia="SimHei" w:cs="SimHei"/>
          <w:sz w:val="29"/>
          <w:szCs w:val="29"/>
          <w:spacing w:val="2"/>
        </w:rPr>
        <w:t>八月份</w:t>
      </w:r>
    </w:p>
    <w:p>
      <w:pPr>
        <w:pStyle w:val="BodyText"/>
        <w:ind w:left="570"/>
        <w:spacing w:before="147"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现场检查</w:t>
      </w:r>
    </w:p>
    <w:p>
      <w:pPr>
        <w:pStyle w:val="BodyText"/>
        <w:ind w:left="570"/>
        <w:spacing w:before="133" w:line="219" w:lineRule="auto"/>
        <w:rPr>
          <w:sz w:val="29"/>
          <w:szCs w:val="29"/>
        </w:rPr>
      </w:pPr>
      <w:r>
        <w:rPr>
          <w:sz w:val="29"/>
          <w:szCs w:val="29"/>
          <w:spacing w:val="1"/>
        </w:rPr>
        <w:t>及时检查乔木支撑情况，发现松动或缺失立即加固。</w:t>
      </w:r>
    </w:p>
    <w:p>
      <w:pPr>
        <w:ind w:left="570"/>
        <w:spacing w:before="9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237" w:firstLine="730"/>
        <w:spacing w:before="154" w:line="291" w:lineRule="auto"/>
        <w:rPr>
          <w:sz w:val="29"/>
          <w:szCs w:val="29"/>
        </w:rPr>
      </w:pPr>
      <w:r>
        <w:rPr>
          <w:sz w:val="29"/>
          <w:szCs w:val="29"/>
          <w:spacing w:val="9"/>
        </w:rPr>
        <w:t>(1)继续进行常规的定期剪草，10天左</w:t>
      </w:r>
      <w:r>
        <w:rPr>
          <w:sz w:val="29"/>
          <w:szCs w:val="29"/>
          <w:spacing w:val="8"/>
        </w:rPr>
        <w:t>右修剪一次，若因下雨等原因耽搁</w:t>
      </w:r>
      <w:r>
        <w:rPr>
          <w:sz w:val="29"/>
          <w:szCs w:val="29"/>
        </w:rPr>
        <w:t xml:space="preserve"> </w:t>
      </w:r>
      <w:r>
        <w:rPr>
          <w:sz w:val="29"/>
          <w:szCs w:val="29"/>
        </w:rPr>
        <w:t>剪草而草坪的茎叶过高时，分两遍剪低，第一遍</w:t>
      </w:r>
      <w:r>
        <w:rPr>
          <w:sz w:val="29"/>
          <w:szCs w:val="29"/>
          <w:spacing w:val="-1"/>
        </w:rPr>
        <w:t>用最高档值减去顶部，第二遍再</w:t>
      </w:r>
      <w:r>
        <w:rPr>
          <w:sz w:val="29"/>
          <w:szCs w:val="29"/>
        </w:rPr>
        <w:t xml:space="preserve"> </w:t>
      </w:r>
      <w:r>
        <w:rPr>
          <w:sz w:val="29"/>
          <w:szCs w:val="29"/>
          <w:spacing w:val="-9"/>
        </w:rPr>
        <w:t>降低剪草高度。草坪更新复壮，由于病虫害等原因，发生斑秃等现象，如果不能及</w:t>
      </w:r>
      <w:r>
        <w:rPr>
          <w:sz w:val="29"/>
          <w:szCs w:val="29"/>
          <w:spacing w:val="8"/>
        </w:rPr>
        <w:t xml:space="preserve"> </w:t>
      </w:r>
      <w:r>
        <w:rPr>
          <w:sz w:val="29"/>
          <w:szCs w:val="29"/>
          <w:spacing w:val="-6"/>
        </w:rPr>
        <w:t>时复壮，必须进行补栽或铺草坪。先切除死亡枯草和土壤，草皮平铺或按7</w:t>
      </w:r>
      <w:r>
        <w:rPr>
          <w:rFonts w:ascii="Times New Roman" w:hAnsi="Times New Roman" w:eastAsia="Times New Roman" w:cs="Times New Roman"/>
          <w:sz w:val="29"/>
          <w:szCs w:val="29"/>
          <w:spacing w:val="-6"/>
        </w:rPr>
        <w:t>cm</w:t>
      </w:r>
      <w:r>
        <w:rPr>
          <w:sz w:val="29"/>
          <w:szCs w:val="29"/>
          <w:spacing w:val="-6"/>
        </w:rPr>
        <w:t>见方</w:t>
      </w:r>
      <w:r>
        <w:rPr>
          <w:sz w:val="29"/>
          <w:szCs w:val="29"/>
          <w:spacing w:val="12"/>
        </w:rPr>
        <w:t xml:space="preserve"> </w:t>
      </w:r>
      <w:r>
        <w:rPr>
          <w:sz w:val="29"/>
          <w:szCs w:val="29"/>
          <w:spacing w:val="-1"/>
        </w:rPr>
        <w:t>进行移栽，保持土壤湿润到成活；</w:t>
      </w:r>
    </w:p>
    <w:p>
      <w:pPr>
        <w:pStyle w:val="BodyText"/>
        <w:ind w:right="233" w:firstLine="730"/>
        <w:spacing w:before="145" w:line="269" w:lineRule="auto"/>
        <w:rPr>
          <w:sz w:val="29"/>
          <w:szCs w:val="29"/>
        </w:rPr>
      </w:pPr>
      <w:r>
        <w:rPr>
          <w:sz w:val="29"/>
          <w:szCs w:val="29"/>
          <w:spacing w:val="-2"/>
        </w:rPr>
        <w:t>(2)绿地内及早清除杂草，不能等到杂草长大后再拔除，重点是高度在20</w:t>
      </w:r>
      <w:r>
        <w:rPr>
          <w:rFonts w:ascii="Times New Roman" w:hAnsi="Times New Roman" w:eastAsia="Times New Roman" w:cs="Times New Roman"/>
          <w:sz w:val="29"/>
          <w:szCs w:val="29"/>
          <w:spacing w:val="-2"/>
        </w:rPr>
        <w:t>cm</w:t>
      </w:r>
      <w:r>
        <w:rPr>
          <w:rFonts w:ascii="Times New Roman" w:hAnsi="Times New Roman" w:eastAsia="Times New Roman" w:cs="Times New Roman"/>
          <w:sz w:val="29"/>
          <w:szCs w:val="29"/>
          <w:spacing w:val="12"/>
        </w:rPr>
        <w:t xml:space="preserve"> </w:t>
      </w:r>
      <w:r>
        <w:rPr>
          <w:sz w:val="29"/>
          <w:szCs w:val="29"/>
          <w:spacing w:val="-5"/>
        </w:rPr>
        <w:t>以上的杂草。</w:t>
      </w:r>
    </w:p>
    <w:p>
      <w:pPr>
        <w:ind w:left="570"/>
        <w:spacing w:before="213" w:line="222" w:lineRule="auto"/>
        <w:rPr>
          <w:rFonts w:ascii="SimHei" w:hAnsi="SimHei" w:eastAsia="SimHei" w:cs="SimHei"/>
          <w:sz w:val="29"/>
          <w:szCs w:val="29"/>
        </w:rPr>
      </w:pPr>
      <w:r>
        <w:rPr>
          <w:rFonts w:ascii="SimHei" w:hAnsi="SimHei" w:eastAsia="SimHei" w:cs="SimHei"/>
          <w:sz w:val="29"/>
          <w:szCs w:val="29"/>
          <w:spacing w:val="9"/>
        </w:rPr>
        <w:t>3、水肥管理</w:t>
      </w:r>
    </w:p>
    <w:p>
      <w:pPr>
        <w:pStyle w:val="BodyText"/>
        <w:ind w:right="240" w:firstLine="730"/>
        <w:spacing w:before="86" w:line="315" w:lineRule="auto"/>
        <w:jc w:val="both"/>
        <w:rPr>
          <w:sz w:val="29"/>
          <w:szCs w:val="29"/>
        </w:rPr>
      </w:pPr>
      <w:r>
        <w:rPr>
          <w:sz w:val="29"/>
          <w:szCs w:val="29"/>
          <w:spacing w:val="1"/>
        </w:rPr>
        <w:t>(1)</w:t>
      </w:r>
      <w:r>
        <w:rPr>
          <w:sz w:val="29"/>
          <w:szCs w:val="29"/>
          <w:spacing w:val="88"/>
        </w:rPr>
        <w:t xml:space="preserve"> </w:t>
      </w:r>
      <w:r>
        <w:rPr>
          <w:sz w:val="29"/>
          <w:szCs w:val="29"/>
          <w:spacing w:val="1"/>
        </w:rPr>
        <w:t>进入雨季后期，土壤含水率接近饱和，大雨过后应及时排除绿地内的</w:t>
      </w:r>
      <w:r>
        <w:rPr>
          <w:sz w:val="29"/>
          <w:szCs w:val="29"/>
        </w:rPr>
        <w:t xml:space="preserve"> </w:t>
      </w:r>
      <w:r>
        <w:rPr>
          <w:sz w:val="29"/>
          <w:szCs w:val="29"/>
          <w:spacing w:val="-8"/>
        </w:rPr>
        <w:t>积水，特别注意松树类珍珠梅等怕涝植物。雨季期间多暴风雨，容易发生树木倒歪</w:t>
      </w:r>
      <w:r>
        <w:rPr>
          <w:sz w:val="29"/>
          <w:szCs w:val="29"/>
          <w:spacing w:val="1"/>
        </w:rPr>
        <w:t xml:space="preserve"> </w:t>
      </w:r>
      <w:r>
        <w:rPr>
          <w:sz w:val="29"/>
          <w:szCs w:val="29"/>
          <w:spacing w:val="-8"/>
        </w:rPr>
        <w:t>折断等情况，应事先做好树体保护的各项准备工作。一般园林植物如果到本月底还</w:t>
      </w:r>
      <w:r>
        <w:rPr>
          <w:sz w:val="29"/>
          <w:szCs w:val="29"/>
        </w:rPr>
        <w:t xml:space="preserve"> </w:t>
      </w:r>
      <w:r>
        <w:rPr>
          <w:sz w:val="29"/>
          <w:szCs w:val="29"/>
        </w:rPr>
        <w:t>在继续生长，应将顶部的嫩梢减掉。注意及时对造型</w:t>
      </w:r>
      <w:r>
        <w:rPr>
          <w:sz w:val="29"/>
          <w:szCs w:val="29"/>
          <w:spacing w:val="-1"/>
        </w:rPr>
        <w:t>树、灌木地被及绿篱进行修</w:t>
      </w:r>
      <w:r>
        <w:rPr>
          <w:sz w:val="29"/>
          <w:szCs w:val="29"/>
        </w:rPr>
        <w:t xml:space="preserve"> </w:t>
      </w:r>
      <w:r>
        <w:rPr>
          <w:sz w:val="29"/>
          <w:szCs w:val="29"/>
          <w:spacing w:val="-14"/>
        </w:rPr>
        <w:t>剪；</w:t>
      </w:r>
    </w:p>
    <w:p>
      <w:pPr>
        <w:pStyle w:val="BodyText"/>
        <w:ind w:right="191" w:firstLine="730"/>
        <w:spacing w:before="7" w:line="310" w:lineRule="auto"/>
        <w:rPr>
          <w:sz w:val="29"/>
          <w:szCs w:val="29"/>
        </w:rPr>
      </w:pPr>
      <w:r>
        <w:rPr>
          <w:sz w:val="29"/>
          <w:szCs w:val="29"/>
          <w:spacing w:val="-1"/>
        </w:rPr>
        <w:t>(②  本月以防涝为主，雨后及时排除低洼草坪内积水。后期如果出现连续</w:t>
      </w:r>
      <w:r>
        <w:rPr>
          <w:sz w:val="29"/>
          <w:szCs w:val="29"/>
          <w:spacing w:val="2"/>
        </w:rPr>
        <w:t xml:space="preserve"> </w:t>
      </w:r>
      <w:r>
        <w:rPr>
          <w:sz w:val="29"/>
          <w:szCs w:val="29"/>
          <w:spacing w:val="-10"/>
        </w:rPr>
        <w:t>干旱，一般每隔5-7天喷水一遍，持续干旱的天气情况下，增加灌溉次数，局</w:t>
      </w:r>
      <w:r>
        <w:rPr>
          <w:sz w:val="29"/>
          <w:szCs w:val="29"/>
          <w:spacing w:val="-11"/>
        </w:rPr>
        <w:t>部生长</w:t>
      </w:r>
      <w:r>
        <w:rPr>
          <w:sz w:val="29"/>
          <w:szCs w:val="29"/>
        </w:rPr>
        <w:t xml:space="preserve"> </w:t>
      </w:r>
      <w:r>
        <w:rPr>
          <w:sz w:val="29"/>
          <w:szCs w:val="29"/>
          <w:spacing w:val="-16"/>
        </w:rPr>
        <w:t>不良和土层薄容易干旱的地块每天浇水，铺施草炭土可以减少蒸发量，有利于减轻旱</w:t>
      </w:r>
      <w:r>
        <w:rPr>
          <w:sz w:val="29"/>
          <w:szCs w:val="29"/>
          <w:spacing w:val="14"/>
        </w:rPr>
        <w:t xml:space="preserve"> </w:t>
      </w:r>
      <w:r>
        <w:rPr>
          <w:sz w:val="29"/>
          <w:szCs w:val="29"/>
          <w:spacing w:val="-9"/>
        </w:rPr>
        <w:t>情。草坪生长势已经明显减弱的地块必须及时追肥，结合浇水和</w:t>
      </w:r>
      <w:r>
        <w:rPr>
          <w:sz w:val="29"/>
          <w:szCs w:val="29"/>
          <w:spacing w:val="-10"/>
        </w:rPr>
        <w:t>降雨，每次用量5-</w:t>
      </w:r>
      <w:r>
        <w:rPr>
          <w:sz w:val="29"/>
          <w:szCs w:val="29"/>
        </w:rPr>
        <w:t xml:space="preserve"> </w:t>
      </w:r>
      <w:r>
        <w:rPr>
          <w:sz w:val="29"/>
          <w:szCs w:val="29"/>
          <w:spacing w:val="2"/>
        </w:rPr>
        <w:t>10</w:t>
      </w:r>
      <w:r>
        <w:rPr>
          <w:rFonts w:ascii="Times New Roman" w:hAnsi="Times New Roman" w:eastAsia="Times New Roman" w:cs="Times New Roman"/>
          <w:sz w:val="29"/>
          <w:szCs w:val="29"/>
          <w:spacing w:val="2"/>
        </w:rPr>
        <w:t>g/m2,</w:t>
      </w:r>
      <w:r>
        <w:rPr>
          <w:rFonts w:ascii="Times New Roman" w:hAnsi="Times New Roman" w:eastAsia="Times New Roman" w:cs="Times New Roman"/>
          <w:sz w:val="29"/>
          <w:szCs w:val="29"/>
          <w:spacing w:val="-32"/>
        </w:rPr>
        <w:t xml:space="preserve"> </w:t>
      </w:r>
      <w:r>
        <w:rPr>
          <w:sz w:val="29"/>
          <w:szCs w:val="29"/>
          <w:spacing w:val="2"/>
        </w:rPr>
        <w:t>肥料种类以有机类草坪专用肥为</w:t>
      </w:r>
      <w:r>
        <w:rPr>
          <w:sz w:val="29"/>
          <w:szCs w:val="29"/>
          <w:spacing w:val="1"/>
        </w:rPr>
        <w:t>宜。其他植物视生长情况，合理使用肥</w:t>
      </w:r>
      <w:r>
        <w:rPr>
          <w:sz w:val="29"/>
          <w:szCs w:val="29"/>
        </w:rPr>
        <w:t xml:space="preserve">  </w:t>
      </w:r>
      <w:r>
        <w:rPr>
          <w:sz w:val="29"/>
          <w:szCs w:val="29"/>
        </w:rPr>
        <w:t>水，补充土壤水分和养分，促进植物根系生长。</w:t>
      </w:r>
    </w:p>
    <w:p>
      <w:pPr>
        <w:pStyle w:val="BodyText"/>
        <w:ind w:left="570"/>
        <w:spacing w:before="82"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right="243" w:firstLine="730"/>
        <w:spacing w:before="94" w:line="263" w:lineRule="auto"/>
        <w:rPr>
          <w:sz w:val="29"/>
          <w:szCs w:val="29"/>
        </w:rPr>
      </w:pPr>
      <w:r>
        <w:rPr>
          <w:sz w:val="29"/>
          <w:szCs w:val="29"/>
          <w:spacing w:val="9"/>
        </w:rPr>
        <w:t>(1)病害：煤污病、叶枯病、干腐病、紫纹羽</w:t>
      </w:r>
      <w:r>
        <w:rPr>
          <w:sz w:val="29"/>
          <w:szCs w:val="29"/>
          <w:spacing w:val="8"/>
        </w:rPr>
        <w:t>病、枝枯病、枯萎病、草坪</w:t>
      </w:r>
      <w:r>
        <w:rPr>
          <w:sz w:val="29"/>
          <w:szCs w:val="29"/>
        </w:rPr>
        <w:t xml:space="preserve"> </w:t>
      </w:r>
      <w:r>
        <w:rPr>
          <w:sz w:val="29"/>
          <w:szCs w:val="29"/>
          <w:spacing w:val="-1"/>
        </w:rPr>
        <w:t>腐霉枯萎病、细菌性穿孔病、花叶病等；</w:t>
      </w:r>
    </w:p>
    <w:p>
      <w:pPr>
        <w:pStyle w:val="BodyText"/>
        <w:ind w:firstLine="730"/>
        <w:spacing w:before="156" w:line="287" w:lineRule="auto"/>
        <w:rPr>
          <w:sz w:val="29"/>
          <w:szCs w:val="29"/>
        </w:rPr>
      </w:pPr>
      <w:r>
        <w:rPr>
          <w:sz w:val="29"/>
          <w:szCs w:val="29"/>
          <w:spacing w:val="9"/>
        </w:rPr>
        <w:t>(2)虫害：大青叶蝉、梨网冠蝽、黑刺粉虱、花蓟马、桑天牛、松纵</w:t>
      </w:r>
      <w:r>
        <w:rPr>
          <w:sz w:val="29"/>
          <w:szCs w:val="29"/>
          <w:spacing w:val="8"/>
        </w:rPr>
        <w:t>坑切</w:t>
      </w:r>
      <w:r>
        <w:rPr>
          <w:sz w:val="29"/>
          <w:szCs w:val="29"/>
        </w:rPr>
        <w:t xml:space="preserve">  </w:t>
      </w:r>
      <w:r>
        <w:rPr>
          <w:sz w:val="29"/>
          <w:szCs w:val="29"/>
          <w:spacing w:val="-9"/>
        </w:rPr>
        <w:t>梢小蠹、白蚁、蝼蛄、黄刺蛾、扁刺蛾、丽绿刺蛾、褐边绿刺蛾、茶袋蛾、</w:t>
      </w:r>
      <w:r>
        <w:rPr>
          <w:sz w:val="29"/>
          <w:szCs w:val="29"/>
          <w:spacing w:val="-10"/>
        </w:rPr>
        <w:t>大袋蛾、</w:t>
      </w:r>
      <w:r>
        <w:rPr>
          <w:sz w:val="29"/>
          <w:szCs w:val="29"/>
        </w:rPr>
        <w:t xml:space="preserve"> </w:t>
      </w:r>
      <w:r>
        <w:rPr>
          <w:sz w:val="29"/>
          <w:szCs w:val="29"/>
          <w:spacing w:val="-7"/>
        </w:rPr>
        <w:t>黄尾毒蛾、柑桔凤蝶、玉带凤蝶、樟青凤蝶、蔷薇</w:t>
      </w:r>
      <w:r>
        <w:rPr>
          <w:sz w:val="29"/>
          <w:szCs w:val="29"/>
          <w:spacing w:val="-8"/>
        </w:rPr>
        <w:t>三节叶蜂、柳蓝叶甲、红棕象甲</w:t>
      </w:r>
      <w:r>
        <w:rPr>
          <w:sz w:val="29"/>
          <w:szCs w:val="29"/>
        </w:rPr>
        <w:t xml:space="preserve">  </w:t>
      </w:r>
      <w:r>
        <w:rPr>
          <w:sz w:val="29"/>
          <w:szCs w:val="29"/>
          <w:spacing w:val="-14"/>
        </w:rPr>
        <w:t>等。</w:t>
      </w:r>
    </w:p>
    <w:p>
      <w:pPr>
        <w:spacing w:line="287" w:lineRule="auto"/>
        <w:sectPr>
          <w:footerReference w:type="default" r:id="rId704"/>
          <w:pgSz w:w="14490" w:h="20470"/>
          <w:pgMar w:top="400" w:right="1945" w:bottom="1447" w:left="2150" w:header="0" w:footer="1230" w:gutter="0"/>
        </w:sectPr>
        <w:rPr>
          <w:sz w:val="29"/>
          <w:szCs w:val="29"/>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570"/>
        <w:spacing w:before="94"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2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26"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pStyle w:val="BodyText"/>
        <w:ind w:left="570"/>
        <w:spacing w:before="152"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ind w:right="341" w:firstLine="730"/>
        <w:spacing w:before="88"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left="730"/>
        <w:spacing w:before="152" w:line="219" w:lineRule="auto"/>
        <w:rPr>
          <w:sz w:val="29"/>
          <w:szCs w:val="29"/>
        </w:rPr>
      </w:pPr>
      <w:r>
        <w:rPr>
          <w:sz w:val="29"/>
          <w:szCs w:val="29"/>
          <w:spacing w:val="12"/>
        </w:rPr>
        <w:t>(2)进行机械工具的检查维修。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5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22" w:line="223" w:lineRule="auto"/>
        <w:rPr>
          <w:rFonts w:ascii="SimHei" w:hAnsi="SimHei" w:eastAsia="SimHei" w:cs="SimHei"/>
          <w:sz w:val="29"/>
          <w:szCs w:val="29"/>
        </w:rPr>
      </w:pPr>
      <w:r>
        <w:rPr>
          <w:rFonts w:ascii="SimHei" w:hAnsi="SimHei" w:eastAsia="SimHei" w:cs="SimHei"/>
          <w:sz w:val="29"/>
          <w:szCs w:val="29"/>
          <w:spacing w:val="12"/>
        </w:rPr>
        <w:t>九月份</w:t>
      </w:r>
    </w:p>
    <w:p>
      <w:pPr>
        <w:pStyle w:val="BodyText"/>
        <w:ind w:left="570"/>
        <w:spacing w:before="16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13" w:line="219" w:lineRule="auto"/>
        <w:rPr>
          <w:sz w:val="29"/>
          <w:szCs w:val="29"/>
        </w:rPr>
      </w:pPr>
      <w:r>
        <w:rPr>
          <w:sz w:val="29"/>
          <w:szCs w:val="29"/>
          <w:spacing w:val="1"/>
        </w:rPr>
        <w:t>及时检查乔木支撑情况，发现松动或缺失立即加固。</w:t>
      </w:r>
    </w:p>
    <w:p>
      <w:pPr>
        <w:ind w:left="570"/>
        <w:spacing w:before="10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30"/>
        <w:spacing w:before="152" w:line="217" w:lineRule="auto"/>
        <w:rPr>
          <w:sz w:val="29"/>
          <w:szCs w:val="29"/>
        </w:rPr>
      </w:pPr>
      <w:r>
        <w:rPr>
          <w:sz w:val="29"/>
          <w:szCs w:val="29"/>
          <w:spacing w:val="-12"/>
        </w:rPr>
        <w:t>①</w:t>
      </w:r>
      <w:r>
        <w:rPr>
          <w:sz w:val="29"/>
          <w:szCs w:val="29"/>
          <w:spacing w:val="44"/>
        </w:rPr>
        <w:t xml:space="preserve">  </w:t>
      </w:r>
      <w:r>
        <w:rPr>
          <w:sz w:val="29"/>
          <w:szCs w:val="29"/>
          <w:spacing w:val="-12"/>
        </w:rPr>
        <w:t>本月是草坪的生长最佳时期。草坪移植见效快，应继续进行更新复壮，</w:t>
      </w:r>
    </w:p>
    <w:p>
      <w:pPr>
        <w:pStyle w:val="BodyText"/>
        <w:ind w:right="183"/>
        <w:spacing w:before="155" w:line="282" w:lineRule="auto"/>
        <w:rPr>
          <w:rFonts w:ascii="Times New Roman" w:hAnsi="Times New Roman" w:eastAsia="Times New Roman" w:cs="Times New Roman"/>
          <w:sz w:val="29"/>
          <w:szCs w:val="29"/>
        </w:rPr>
      </w:pPr>
      <w:r>
        <w:rPr>
          <w:sz w:val="29"/>
          <w:szCs w:val="29"/>
          <w:spacing w:val="-15"/>
        </w:rPr>
        <w:t>选取健康的草坪把枯死的地块移植补种上。直径在20</w:t>
      </w:r>
      <w:r>
        <w:rPr>
          <w:rFonts w:ascii="Times New Roman" w:hAnsi="Times New Roman" w:eastAsia="Times New Roman" w:cs="Times New Roman"/>
          <w:sz w:val="29"/>
          <w:szCs w:val="29"/>
          <w:spacing w:val="-15"/>
        </w:rPr>
        <w:t>cm</w:t>
      </w:r>
      <w:r>
        <w:rPr>
          <w:sz w:val="29"/>
          <w:szCs w:val="29"/>
          <w:spacing w:val="-15"/>
        </w:rPr>
        <w:t>左右的小面积枯死斑块，直接</w:t>
      </w:r>
      <w:r>
        <w:rPr>
          <w:sz w:val="29"/>
          <w:szCs w:val="29"/>
          <w:spacing w:val="10"/>
        </w:rPr>
        <w:t xml:space="preserve"> </w:t>
      </w:r>
      <w:r>
        <w:rPr>
          <w:sz w:val="29"/>
          <w:szCs w:val="29"/>
          <w:spacing w:val="-13"/>
        </w:rPr>
        <w:t>清理枯草，按7</w:t>
      </w:r>
      <w:r>
        <w:rPr>
          <w:rFonts w:ascii="Times New Roman" w:hAnsi="Times New Roman" w:eastAsia="Times New Roman" w:cs="Times New Roman"/>
          <w:sz w:val="29"/>
          <w:szCs w:val="29"/>
          <w:spacing w:val="-13"/>
        </w:rPr>
        <w:t>cm</w:t>
      </w:r>
      <w:r>
        <w:rPr>
          <w:sz w:val="29"/>
          <w:szCs w:val="29"/>
          <w:spacing w:val="-13"/>
        </w:rPr>
        <w:t>株行距移植：大面积枯死的斑秃块，先把存活的草坪</w:t>
      </w:r>
      <w:r>
        <w:rPr>
          <w:sz w:val="29"/>
          <w:szCs w:val="29"/>
          <w:spacing w:val="-14"/>
        </w:rPr>
        <w:t>起出来，整好</w:t>
      </w:r>
      <w:r>
        <w:rPr>
          <w:sz w:val="29"/>
          <w:szCs w:val="29"/>
        </w:rPr>
        <w:t xml:space="preserve"> </w:t>
      </w:r>
      <w:r>
        <w:rPr>
          <w:sz w:val="29"/>
          <w:szCs w:val="29"/>
          <w:spacing w:val="-13"/>
        </w:rPr>
        <w:t>地，移栽后浇水养护，并设置标牌，禁止踩踏。草坪的修剪平均每7-10天割</w:t>
      </w:r>
      <w:r>
        <w:rPr>
          <w:sz w:val="29"/>
          <w:szCs w:val="29"/>
          <w:spacing w:val="-14"/>
        </w:rPr>
        <w:t>草一遍，</w:t>
      </w:r>
      <w:r>
        <w:rPr>
          <w:sz w:val="29"/>
          <w:szCs w:val="29"/>
        </w:rPr>
        <w:t xml:space="preserve"> </w:t>
      </w:r>
      <w:r>
        <w:rPr>
          <w:sz w:val="29"/>
          <w:szCs w:val="29"/>
          <w:spacing w:val="-3"/>
        </w:rPr>
        <w:t>每次适当降低修剪高度，保持在4-6</w:t>
      </w:r>
      <w:r>
        <w:rPr>
          <w:rFonts w:ascii="Times New Roman" w:hAnsi="Times New Roman" w:eastAsia="Times New Roman" w:cs="Times New Roman"/>
          <w:sz w:val="29"/>
          <w:szCs w:val="29"/>
          <w:spacing w:val="-3"/>
        </w:rPr>
        <w:t>cm;</w:t>
      </w:r>
    </w:p>
    <w:p>
      <w:pPr>
        <w:pStyle w:val="BodyText"/>
        <w:ind w:right="390" w:firstLine="730"/>
        <w:spacing w:before="183" w:line="269" w:lineRule="auto"/>
        <w:rPr>
          <w:sz w:val="29"/>
          <w:szCs w:val="29"/>
        </w:rPr>
      </w:pPr>
      <w:r>
        <w:rPr>
          <w:sz w:val="29"/>
          <w:szCs w:val="29"/>
          <w:spacing w:val="9"/>
        </w:rPr>
        <w:t>②  修剪：如果园林植物(特别是春天抽条的)到上月底还在继</w:t>
      </w:r>
      <w:r>
        <w:rPr>
          <w:sz w:val="29"/>
          <w:szCs w:val="29"/>
          <w:spacing w:val="8"/>
        </w:rPr>
        <w:t>续生长，</w:t>
      </w:r>
      <w:r>
        <w:rPr>
          <w:sz w:val="29"/>
          <w:szCs w:val="29"/>
        </w:rPr>
        <w:t xml:space="preserve"> </w:t>
      </w:r>
      <w:r>
        <w:rPr>
          <w:sz w:val="29"/>
          <w:szCs w:val="29"/>
          <w:spacing w:val="1"/>
        </w:rPr>
        <w:t>应进行修剪，将顶部的嫩梢剪掉或喷生长抑制剂。</w:t>
      </w:r>
    </w:p>
    <w:p>
      <w:pPr>
        <w:ind w:left="570"/>
        <w:spacing w:before="18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31" w:firstLine="1330"/>
        <w:spacing w:before="101" w:line="310" w:lineRule="auto"/>
        <w:jc w:val="both"/>
        <w:rPr>
          <w:sz w:val="29"/>
          <w:szCs w:val="29"/>
        </w:rPr>
      </w:pPr>
      <w:r>
        <w:rPr>
          <w:sz w:val="29"/>
          <w:szCs w:val="29"/>
        </w:rPr>
        <w:t>绿篱的养护：平均10-15天浇一遍透水。可喷施0、5  的磷酸二</w:t>
      </w:r>
      <w:r>
        <w:rPr>
          <w:sz w:val="29"/>
          <w:szCs w:val="29"/>
          <w:spacing w:val="-1"/>
        </w:rPr>
        <w:t>氢钾或</w:t>
      </w:r>
      <w:r>
        <w:rPr>
          <w:sz w:val="29"/>
          <w:szCs w:val="29"/>
        </w:rPr>
        <w:t xml:space="preserve"> </w:t>
      </w:r>
      <w:r>
        <w:rPr>
          <w:sz w:val="29"/>
          <w:szCs w:val="29"/>
        </w:rPr>
        <w:t>施少量的复合肥，发现有干枯的植株及时清剪或拔除</w:t>
      </w:r>
      <w:r>
        <w:rPr>
          <w:sz w:val="29"/>
          <w:szCs w:val="29"/>
          <w:spacing w:val="-1"/>
        </w:rPr>
        <w:t>，黄杨绿篱要在本月修剪完</w:t>
      </w:r>
      <w:r>
        <w:rPr>
          <w:sz w:val="29"/>
          <w:szCs w:val="29"/>
        </w:rPr>
        <w:t xml:space="preserve"> </w:t>
      </w:r>
      <w:r>
        <w:rPr>
          <w:sz w:val="29"/>
          <w:szCs w:val="29"/>
          <w:spacing w:val="-1"/>
        </w:rPr>
        <w:t>毕，防止贪青徒长，以免冬季出现枯梢现象；</w:t>
      </w:r>
    </w:p>
    <w:p>
      <w:pPr>
        <w:pStyle w:val="BodyText"/>
        <w:ind w:right="342" w:firstLine="1320"/>
        <w:spacing w:before="11" w:line="326" w:lineRule="auto"/>
        <w:rPr>
          <w:sz w:val="29"/>
          <w:szCs w:val="29"/>
        </w:rPr>
      </w:pPr>
      <w:r>
        <w:rPr>
          <w:sz w:val="29"/>
          <w:szCs w:val="29"/>
          <w:spacing w:val="1"/>
        </w:rPr>
        <w:t>本月中旬或下旬若园林植物生长较好追有机复合肥一次，若长势一般</w:t>
      </w:r>
      <w:r>
        <w:rPr>
          <w:sz w:val="29"/>
          <w:szCs w:val="29"/>
          <w:spacing w:val="11"/>
        </w:rPr>
        <w:t xml:space="preserve"> </w:t>
      </w:r>
      <w:r>
        <w:rPr>
          <w:sz w:val="29"/>
          <w:szCs w:val="29"/>
          <w:spacing w:val="2"/>
        </w:rPr>
        <w:t>或较差追中氮中磷中钾的无机复合肥一次、乔木与大灌木</w:t>
      </w:r>
      <w:r>
        <w:rPr>
          <w:sz w:val="29"/>
          <w:szCs w:val="29"/>
          <w:spacing w:val="1"/>
        </w:rPr>
        <w:t>穴施。</w:t>
      </w:r>
    </w:p>
    <w:p>
      <w:pPr>
        <w:pStyle w:val="BodyText"/>
        <w:ind w:left="570"/>
        <w:spacing w:before="1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39" w:firstLine="730"/>
        <w:spacing w:before="104" w:line="266" w:lineRule="auto"/>
        <w:rPr>
          <w:sz w:val="29"/>
          <w:szCs w:val="29"/>
        </w:rPr>
      </w:pPr>
      <w:r>
        <w:rPr>
          <w:sz w:val="29"/>
          <w:szCs w:val="29"/>
          <w:spacing w:val="6"/>
        </w:rPr>
        <w:t>(1)病害：叶斑类病害、锈病、煤污病、叶枯病、干腐病、紫纹羽病、枝</w:t>
      </w:r>
      <w:r>
        <w:rPr>
          <w:sz w:val="29"/>
          <w:szCs w:val="29"/>
          <w:spacing w:val="1"/>
        </w:rPr>
        <w:t xml:space="preserve"> </w:t>
      </w:r>
      <w:r>
        <w:rPr>
          <w:sz w:val="29"/>
          <w:szCs w:val="29"/>
          <w:spacing w:val="-2"/>
        </w:rPr>
        <w:t>枯病、草坪腐霉枯萎病、花叶病等；</w:t>
      </w:r>
    </w:p>
    <w:p>
      <w:pPr>
        <w:pStyle w:val="BodyText"/>
        <w:ind w:left="730"/>
        <w:spacing w:before="134" w:line="219" w:lineRule="auto"/>
        <w:rPr>
          <w:sz w:val="29"/>
          <w:szCs w:val="29"/>
        </w:rPr>
      </w:pPr>
      <w:r>
        <w:rPr>
          <w:sz w:val="29"/>
          <w:szCs w:val="29"/>
          <w:spacing w:val="7"/>
        </w:rPr>
        <w:t>(2)虫害：大青叶蝉、柑桔全爪螨、黑刺粉虱、花蓟马、桑天牛、松纵坑</w:t>
      </w:r>
    </w:p>
    <w:p>
      <w:pPr>
        <w:spacing w:line="219" w:lineRule="auto"/>
        <w:sectPr>
          <w:footerReference w:type="default" r:id="rId705"/>
          <w:pgSz w:w="14490" w:h="20470"/>
          <w:pgMar w:top="400" w:right="1935" w:bottom="1447" w:left="2150" w:header="0" w:footer="1231" w:gutter="0"/>
        </w:sectPr>
        <w:rPr>
          <w:sz w:val="29"/>
          <w:szCs w:val="29"/>
        </w:rPr>
      </w:pP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BodyText"/>
        <w:ind w:right="209"/>
        <w:spacing w:before="94" w:line="303" w:lineRule="auto"/>
        <w:rPr>
          <w:sz w:val="29"/>
          <w:szCs w:val="29"/>
        </w:rPr>
      </w:pPr>
      <w:r>
        <w:rPr>
          <w:sz w:val="29"/>
          <w:szCs w:val="29"/>
          <w:spacing w:val="1"/>
        </w:rPr>
        <w:t>切梢小蠹、白蚁、蝼蛄、黄刺蛾、丽绿刺蛾、褐边绿刺蛾、茶袋蛾、黄尾毒蛾、</w:t>
      </w:r>
      <w:r>
        <w:rPr>
          <w:sz w:val="29"/>
          <w:szCs w:val="29"/>
          <w:spacing w:val="9"/>
        </w:rPr>
        <w:t xml:space="preserve"> </w:t>
      </w:r>
      <w:r>
        <w:rPr>
          <w:sz w:val="29"/>
          <w:szCs w:val="29"/>
          <w:spacing w:val="2"/>
        </w:rPr>
        <w:t>柑桔凤蝶、玉带凤蝶、樟青凤蝶、蔷薇三节叶</w:t>
      </w:r>
      <w:r>
        <w:rPr>
          <w:sz w:val="29"/>
          <w:szCs w:val="29"/>
          <w:spacing w:val="1"/>
        </w:rPr>
        <w:t>蜂、柳蓝叶甲、红棕象甲等。</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9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3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600"/>
        <w:spacing w:before="12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9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600"/>
        <w:spacing w:before="12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341" w:firstLine="730"/>
        <w:spacing w:before="122" w:line="27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287" w:firstLine="730"/>
        <w:spacing w:before="141" w:line="271"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5"/>
        </w:rPr>
        <w:t>及其它物资；</w:t>
      </w:r>
    </w:p>
    <w:p>
      <w:pPr>
        <w:pStyle w:val="BodyText"/>
        <w:ind w:left="730"/>
        <w:spacing w:before="140" w:line="219" w:lineRule="auto"/>
        <w:rPr>
          <w:sz w:val="29"/>
          <w:szCs w:val="29"/>
        </w:rPr>
      </w:pPr>
      <w:r>
        <w:rPr>
          <w:sz w:val="29"/>
          <w:szCs w:val="29"/>
          <w:spacing w:val="9"/>
        </w:rPr>
        <w:t>(3)进行机械工具的检查维修。</w:t>
      </w:r>
    </w:p>
    <w:p>
      <w:pPr>
        <w:pStyle w:val="BodyText"/>
        <w:ind w:left="600"/>
        <w:spacing w:before="43"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firstLine="600"/>
        <w:spacing w:before="150"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32" w:line="223" w:lineRule="auto"/>
        <w:rPr>
          <w:rFonts w:ascii="SimHei" w:hAnsi="SimHei" w:eastAsia="SimHei" w:cs="SimHei"/>
          <w:sz w:val="29"/>
          <w:szCs w:val="29"/>
        </w:rPr>
      </w:pPr>
      <w:r>
        <w:rPr>
          <w:rFonts w:ascii="SimHei" w:hAnsi="SimHei" w:eastAsia="SimHei" w:cs="SimHei"/>
          <w:sz w:val="29"/>
          <w:szCs w:val="29"/>
          <w:spacing w:val="6"/>
        </w:rPr>
        <w:t>十月份</w:t>
      </w:r>
    </w:p>
    <w:p>
      <w:pPr>
        <w:pStyle w:val="BodyText"/>
        <w:ind w:left="600"/>
        <w:spacing w:before="14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13"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left="730"/>
        <w:spacing w:before="156" w:line="219" w:lineRule="auto"/>
        <w:rPr>
          <w:sz w:val="29"/>
          <w:szCs w:val="29"/>
        </w:rPr>
      </w:pPr>
      <w:r>
        <w:rPr>
          <w:sz w:val="29"/>
          <w:szCs w:val="29"/>
          <w:spacing w:val="7"/>
        </w:rPr>
        <w:t>(2)对高低不平地块需进行补土；</w:t>
      </w:r>
    </w:p>
    <w:p>
      <w:pPr>
        <w:pStyle w:val="BodyText"/>
        <w:ind w:right="339" w:firstLine="730"/>
        <w:spacing w:before="135" w:line="269" w:lineRule="auto"/>
        <w:rPr>
          <w:sz w:val="29"/>
          <w:szCs w:val="29"/>
        </w:rPr>
      </w:pPr>
      <w:r>
        <w:rPr>
          <w:sz w:val="29"/>
          <w:szCs w:val="29"/>
          <w:spacing w:val="6"/>
        </w:rPr>
        <w:t>(3)认真检查以前用于捆绑树枝的铁丝等，如发现勒紧造成缢伤的，要及</w:t>
      </w:r>
      <w:r>
        <w:rPr>
          <w:sz w:val="29"/>
          <w:szCs w:val="29"/>
          <w:spacing w:val="1"/>
        </w:rPr>
        <w:t xml:space="preserve"> </w:t>
      </w:r>
      <w:r>
        <w:rPr>
          <w:sz w:val="29"/>
          <w:szCs w:val="29"/>
          <w:spacing w:val="-7"/>
        </w:rPr>
        <w:t>时解除。</w:t>
      </w:r>
    </w:p>
    <w:p>
      <w:pPr>
        <w:ind w:left="600"/>
        <w:spacing w:before="17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277" w:firstLine="730"/>
        <w:spacing w:before="105" w:line="269" w:lineRule="auto"/>
        <w:rPr>
          <w:sz w:val="29"/>
          <w:szCs w:val="29"/>
        </w:rPr>
      </w:pPr>
      <w:r>
        <w:rPr>
          <w:sz w:val="29"/>
          <w:szCs w:val="29"/>
          <w:spacing w:val="-1"/>
        </w:rPr>
        <w:t>(1)10月份仍是草坪生长的关键时期，草坪修剪安排在10日前后，可以适当</w:t>
      </w:r>
      <w:r>
        <w:rPr>
          <w:sz w:val="29"/>
          <w:szCs w:val="29"/>
          <w:spacing w:val="6"/>
        </w:rPr>
        <w:t xml:space="preserve"> </w:t>
      </w:r>
      <w:r>
        <w:rPr>
          <w:sz w:val="29"/>
          <w:szCs w:val="29"/>
          <w:spacing w:val="-7"/>
        </w:rPr>
        <w:t>降低修剪高度；</w:t>
      </w:r>
    </w:p>
    <w:p>
      <w:pPr>
        <w:pStyle w:val="BodyText"/>
        <w:ind w:left="730"/>
        <w:spacing w:before="166" w:line="219" w:lineRule="auto"/>
        <w:rPr>
          <w:sz w:val="29"/>
          <w:szCs w:val="29"/>
        </w:rPr>
      </w:pPr>
      <w:r>
        <w:rPr>
          <w:sz w:val="29"/>
          <w:szCs w:val="29"/>
          <w:spacing w:val="6"/>
        </w:rPr>
        <w:t>(2)落叶植物进入落叶出期，定期进行及时清理；</w:t>
      </w:r>
    </w:p>
    <w:p>
      <w:pPr>
        <w:pStyle w:val="BodyText"/>
        <w:ind w:left="730"/>
        <w:spacing w:before="124" w:line="219" w:lineRule="auto"/>
        <w:rPr>
          <w:sz w:val="29"/>
          <w:szCs w:val="29"/>
        </w:rPr>
      </w:pPr>
      <w:r>
        <w:rPr>
          <w:sz w:val="29"/>
          <w:szCs w:val="29"/>
          <w:spacing w:val="6"/>
        </w:rPr>
        <w:t>(3)绿篱的养护：可喷磷酸二氢钾发现有干枯的植株及时清剪或拔除。</w:t>
      </w:r>
    </w:p>
    <w:p>
      <w:pPr>
        <w:pStyle w:val="BodyText"/>
        <w:ind w:left="600"/>
        <w:spacing w:before="64" w:line="396" w:lineRule="exact"/>
        <w:rPr>
          <w:rFonts w:ascii="SimHei" w:hAnsi="SimHei" w:eastAsia="SimHei" w:cs="SimHei"/>
          <w:sz w:val="29"/>
          <w:szCs w:val="29"/>
        </w:rPr>
      </w:pPr>
      <w:r>
        <w:rPr>
          <w:rFonts w:ascii="Arial" w:hAnsi="Arial" w:eastAsia="Arial" w:cs="Arial"/>
          <w:sz w:val="29"/>
          <w:szCs w:val="29"/>
          <w:spacing w:val="-4"/>
          <w:position w:val="1"/>
        </w:rPr>
        <w:t>3</w:t>
      </w:r>
      <w:r>
        <w:rPr>
          <w:sz w:val="29"/>
          <w:szCs w:val="29"/>
          <w:spacing w:val="-4"/>
          <w:position w:val="1"/>
        </w:rPr>
        <w:t>、</w:t>
      </w:r>
      <w:r>
        <w:rPr>
          <w:rFonts w:ascii="SimHei" w:hAnsi="SimHei" w:eastAsia="SimHei" w:cs="SimHei"/>
          <w:sz w:val="29"/>
          <w:szCs w:val="29"/>
          <w:spacing w:val="-4"/>
          <w:position w:val="1"/>
        </w:rPr>
        <w:t>水肥管理</w:t>
      </w:r>
    </w:p>
    <w:p>
      <w:pPr>
        <w:pStyle w:val="BodyText"/>
        <w:ind w:left="730"/>
        <w:spacing w:before="125" w:line="217" w:lineRule="auto"/>
        <w:rPr>
          <w:sz w:val="29"/>
          <w:szCs w:val="29"/>
        </w:rPr>
      </w:pPr>
      <w:r>
        <w:rPr>
          <w:sz w:val="29"/>
          <w:szCs w:val="29"/>
          <w:spacing w:val="9"/>
        </w:rPr>
        <w:t>①  本月中下旬撒施有机复合肥(有机质含量4</w:t>
      </w:r>
      <w:r>
        <w:rPr>
          <w:sz w:val="29"/>
          <w:szCs w:val="29"/>
          <w:spacing w:val="8"/>
        </w:rPr>
        <w:t>5</w:t>
      </w:r>
      <w:r>
        <w:rPr>
          <w:sz w:val="29"/>
          <w:szCs w:val="29"/>
          <w:spacing w:val="29"/>
        </w:rPr>
        <w:t xml:space="preserve"> </w:t>
      </w:r>
      <w:r>
        <w:rPr>
          <w:sz w:val="29"/>
          <w:szCs w:val="29"/>
          <w:spacing w:val="8"/>
        </w:rPr>
        <w:t>%)一次；</w:t>
      </w:r>
    </w:p>
    <w:p>
      <w:pPr>
        <w:pStyle w:val="BodyText"/>
        <w:ind w:left="730"/>
        <w:spacing w:before="159" w:line="217" w:lineRule="auto"/>
        <w:rPr>
          <w:sz w:val="29"/>
          <w:szCs w:val="29"/>
        </w:rPr>
      </w:pPr>
      <w:r>
        <w:rPr>
          <w:sz w:val="29"/>
          <w:szCs w:val="29"/>
          <w:spacing w:val="2"/>
        </w:rPr>
        <w:t>②  乔木除施肥外，一般控制浇水。</w:t>
      </w:r>
    </w:p>
    <w:p>
      <w:pPr>
        <w:spacing w:line="217" w:lineRule="auto"/>
        <w:sectPr>
          <w:footerReference w:type="default" r:id="rId706"/>
          <w:pgSz w:w="14490" w:h="20470"/>
          <w:pgMar w:top="400" w:right="1935" w:bottom="1433" w:left="2150" w:header="0" w:footer="1235" w:gutter="0"/>
        </w:sectPr>
        <w:rPr>
          <w:sz w:val="29"/>
          <w:szCs w:val="29"/>
        </w:rPr>
      </w:pP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23" w:line="219" w:lineRule="auto"/>
        <w:rPr>
          <w:sz w:val="29"/>
          <w:szCs w:val="29"/>
        </w:rPr>
      </w:pPr>
      <w:r>
        <w:rPr>
          <w:sz w:val="29"/>
          <w:szCs w:val="29"/>
          <w:spacing w:val="7"/>
        </w:rPr>
        <w:t>(1)病害：白粉病、叶斑类病害、锈病、叶枯</w:t>
      </w:r>
      <w:r>
        <w:rPr>
          <w:sz w:val="29"/>
          <w:szCs w:val="29"/>
          <w:spacing w:val="6"/>
        </w:rPr>
        <w:t>病、干腐病等；</w:t>
      </w:r>
    </w:p>
    <w:p>
      <w:pPr>
        <w:pStyle w:val="BodyText"/>
        <w:ind w:right="459" w:firstLine="730"/>
        <w:spacing w:before="155" w:line="260" w:lineRule="auto"/>
        <w:rPr>
          <w:sz w:val="29"/>
          <w:szCs w:val="29"/>
        </w:rPr>
      </w:pPr>
      <w:r>
        <w:rPr>
          <w:sz w:val="29"/>
          <w:szCs w:val="29"/>
          <w:spacing w:val="6"/>
        </w:rPr>
        <w:t>(2)虫害：大青叶蝉、桃粉蚜、桃瘤蚜、柑桔全爪</w:t>
      </w:r>
      <w:r>
        <w:rPr>
          <w:sz w:val="29"/>
          <w:szCs w:val="29"/>
          <w:spacing w:val="5"/>
        </w:rPr>
        <w:t>螨、桔绿粉虱、白蚁、</w:t>
      </w:r>
      <w:r>
        <w:rPr>
          <w:sz w:val="29"/>
          <w:szCs w:val="29"/>
        </w:rPr>
        <w:t xml:space="preserve"> </w:t>
      </w:r>
      <w:r>
        <w:rPr>
          <w:sz w:val="29"/>
          <w:szCs w:val="29"/>
          <w:spacing w:val="1"/>
        </w:rPr>
        <w:t>褐边绿刺蛾、柑桔凤蝶、玉带凤蝶、蔷薇三节叶蜂、红棕象甲等。</w:t>
      </w:r>
    </w:p>
    <w:p>
      <w:pPr>
        <w:pStyle w:val="BodyText"/>
        <w:ind w:left="570"/>
        <w:spacing w:before="166"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49" w:firstLine="730"/>
        <w:spacing w:before="9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43" w:firstLine="730"/>
        <w:spacing w:before="13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19"/>
        <w:spacing w:before="10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109" w:firstLine="570"/>
        <w:spacing w:before="14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pStyle w:val="BodyText"/>
        <w:ind w:left="570"/>
        <w:spacing w:before="15" w:line="368" w:lineRule="exact"/>
        <w:rPr>
          <w:rFonts w:ascii="SimHei" w:hAnsi="SimHei" w:eastAsia="SimHei" w:cs="SimHei"/>
          <w:sz w:val="27"/>
          <w:szCs w:val="27"/>
        </w:rPr>
      </w:pPr>
      <w:r>
        <w:rPr>
          <w:rFonts w:ascii="Arial" w:hAnsi="Arial" w:eastAsia="Arial" w:cs="Arial"/>
          <w:sz w:val="27"/>
          <w:szCs w:val="27"/>
          <w:spacing w:val="-17"/>
          <w:position w:val="1"/>
        </w:rPr>
        <w:t>8</w:t>
      </w:r>
      <w:r>
        <w:rPr>
          <w:rFonts w:ascii="Arial" w:hAnsi="Arial" w:eastAsia="Arial" w:cs="Arial"/>
          <w:sz w:val="27"/>
          <w:szCs w:val="27"/>
          <w:spacing w:val="-44"/>
          <w:position w:val="1"/>
        </w:rPr>
        <w:t xml:space="preserve"> </w:t>
      </w:r>
      <w:r>
        <w:rPr>
          <w:sz w:val="27"/>
          <w:szCs w:val="27"/>
          <w:spacing w:val="-17"/>
          <w:position w:val="1"/>
        </w:rPr>
        <w:t>、</w:t>
      </w:r>
      <w:r>
        <w:rPr>
          <w:sz w:val="27"/>
          <w:szCs w:val="27"/>
          <w:spacing w:val="-74"/>
          <w:position w:val="1"/>
        </w:rPr>
        <w:t xml:space="preserve"> </w:t>
      </w:r>
      <w:r>
        <w:rPr>
          <w:rFonts w:ascii="SimHei" w:hAnsi="SimHei" w:eastAsia="SimHei" w:cs="SimHei"/>
          <w:sz w:val="27"/>
          <w:szCs w:val="27"/>
          <w:spacing w:val="-17"/>
          <w:position w:val="1"/>
        </w:rPr>
        <w:t>防</w:t>
      </w:r>
      <w:r>
        <w:rPr>
          <w:rFonts w:ascii="SimHei" w:hAnsi="SimHei" w:eastAsia="SimHei" w:cs="SimHei"/>
          <w:sz w:val="27"/>
          <w:szCs w:val="27"/>
          <w:spacing w:val="-49"/>
          <w:position w:val="1"/>
        </w:rPr>
        <w:t xml:space="preserve"> </w:t>
      </w:r>
      <w:r>
        <w:rPr>
          <w:rFonts w:ascii="SimHei" w:hAnsi="SimHei" w:eastAsia="SimHei" w:cs="SimHei"/>
          <w:sz w:val="27"/>
          <w:szCs w:val="27"/>
          <w:spacing w:val="-17"/>
          <w:position w:val="1"/>
        </w:rPr>
        <w:t>寒</w:t>
      </w:r>
    </w:p>
    <w:p>
      <w:pPr>
        <w:pStyle w:val="BodyText"/>
        <w:ind w:right="453" w:firstLine="730"/>
        <w:spacing w:before="123" w:line="265" w:lineRule="auto"/>
        <w:rPr>
          <w:sz w:val="29"/>
          <w:szCs w:val="29"/>
        </w:rPr>
      </w:pPr>
      <w:r>
        <w:rPr>
          <w:sz w:val="29"/>
          <w:szCs w:val="29"/>
          <w:spacing w:val="6"/>
        </w:rPr>
        <w:t>(1)做好防寒计划、施工前人力物料机械准备工作，节后开始对往</w:t>
      </w:r>
      <w:r>
        <w:rPr>
          <w:sz w:val="29"/>
          <w:szCs w:val="29"/>
          <w:spacing w:val="5"/>
        </w:rPr>
        <w:t>年不耐</w:t>
      </w:r>
      <w:r>
        <w:rPr>
          <w:sz w:val="29"/>
          <w:szCs w:val="29"/>
        </w:rPr>
        <w:t xml:space="preserve"> </w:t>
      </w:r>
      <w:r>
        <w:rPr>
          <w:sz w:val="29"/>
          <w:szCs w:val="29"/>
          <w:spacing w:val="1"/>
        </w:rPr>
        <w:t>寒植物进行冬季防寒处理，具体方案详见附件：云南地区园林植物防寒方案；</w:t>
      </w:r>
    </w:p>
    <w:p>
      <w:pPr>
        <w:pStyle w:val="BodyText"/>
        <w:ind w:right="2509" w:firstLine="730"/>
        <w:spacing w:before="157" w:line="261" w:lineRule="auto"/>
        <w:rPr>
          <w:rFonts w:ascii="SimHei" w:hAnsi="SimHei" w:eastAsia="SimHei" w:cs="SimHei"/>
          <w:sz w:val="30"/>
          <w:szCs w:val="30"/>
        </w:rPr>
      </w:pPr>
      <w:r>
        <w:rPr>
          <w:sz w:val="29"/>
          <w:szCs w:val="29"/>
          <w:spacing w:val="6"/>
        </w:rPr>
        <w:t>(2)做好防寒施工安全措施，把控施工质量，工作进度。</w:t>
      </w:r>
      <w:r>
        <w:rPr>
          <w:sz w:val="29"/>
          <w:szCs w:val="29"/>
          <w:spacing w:val="13"/>
        </w:rPr>
        <w:t xml:space="preserve"> </w:t>
      </w:r>
      <w:r>
        <w:rPr>
          <w:rFonts w:ascii="SimHei" w:hAnsi="SimHei" w:eastAsia="SimHei" w:cs="SimHei"/>
          <w:sz w:val="30"/>
          <w:szCs w:val="30"/>
          <w:spacing w:val="-4"/>
        </w:rPr>
        <w:t>十一月份</w:t>
      </w:r>
    </w:p>
    <w:p>
      <w:pPr>
        <w:pStyle w:val="BodyText"/>
        <w:ind w:left="570"/>
        <w:spacing w:before="18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83" w:line="219" w:lineRule="auto"/>
        <w:rPr>
          <w:sz w:val="29"/>
          <w:szCs w:val="29"/>
        </w:rPr>
      </w:pPr>
      <w:r>
        <w:rPr>
          <w:sz w:val="29"/>
          <w:szCs w:val="29"/>
          <w:spacing w:val="6"/>
        </w:rPr>
        <w:t>(1)及时检查乔木支撑情况，发现松动或缺失立即加固；</w:t>
      </w:r>
    </w:p>
    <w:p>
      <w:pPr>
        <w:pStyle w:val="BodyText"/>
        <w:ind w:right="440" w:firstLine="730"/>
        <w:spacing w:before="165" w:line="269" w:lineRule="auto"/>
        <w:rPr>
          <w:sz w:val="29"/>
          <w:szCs w:val="29"/>
        </w:rPr>
      </w:pPr>
      <w:r>
        <w:rPr>
          <w:sz w:val="29"/>
          <w:szCs w:val="29"/>
          <w:spacing w:val="6"/>
        </w:rPr>
        <w:t>(2)树体保护：重点是去年越冬时出现问题的植物种类。夏季树体受到损</w:t>
      </w:r>
      <w:r>
        <w:rPr>
          <w:sz w:val="29"/>
          <w:szCs w:val="29"/>
          <w:spacing w:val="10"/>
        </w:rPr>
        <w:t xml:space="preserve"> </w:t>
      </w:r>
      <w:r>
        <w:rPr>
          <w:sz w:val="29"/>
          <w:szCs w:val="29"/>
          <w:spacing w:val="-2"/>
        </w:rPr>
        <w:t>伤的植物尽量安排缠草绳进行保护；</w:t>
      </w:r>
    </w:p>
    <w:p>
      <w:pPr>
        <w:pStyle w:val="BodyText"/>
        <w:ind w:right="449" w:firstLine="730"/>
        <w:spacing w:before="134" w:line="263" w:lineRule="auto"/>
        <w:rPr>
          <w:sz w:val="29"/>
          <w:szCs w:val="29"/>
        </w:rPr>
      </w:pPr>
      <w:r>
        <w:rPr>
          <w:sz w:val="29"/>
          <w:szCs w:val="29"/>
          <w:spacing w:val="6"/>
        </w:rPr>
        <w:t>(3)在本地越冬有一定困难的植物适时在树体的西北侧搭设风障；继续清</w:t>
      </w:r>
      <w:r>
        <w:rPr>
          <w:sz w:val="29"/>
          <w:szCs w:val="29"/>
          <w:spacing w:val="1"/>
        </w:rPr>
        <w:t xml:space="preserve"> </w:t>
      </w:r>
      <w:r>
        <w:rPr>
          <w:sz w:val="29"/>
          <w:szCs w:val="29"/>
          <w:spacing w:val="-3"/>
        </w:rPr>
        <w:t>理落叶。</w:t>
      </w:r>
    </w:p>
    <w:p>
      <w:pPr>
        <w:ind w:left="570"/>
        <w:spacing w:before="194" w:line="222" w:lineRule="auto"/>
        <w:rPr>
          <w:rFonts w:ascii="SimHei" w:hAnsi="SimHei" w:eastAsia="SimHei" w:cs="SimHei"/>
          <w:sz w:val="29"/>
          <w:szCs w:val="29"/>
        </w:rPr>
      </w:pPr>
      <w:r>
        <w:rPr>
          <w:rFonts w:ascii="SimHei" w:hAnsi="SimHei" w:eastAsia="SimHei" w:cs="SimHei"/>
          <w:sz w:val="29"/>
          <w:szCs w:val="29"/>
          <w:spacing w:val="6"/>
        </w:rPr>
        <w:t>2、水肥管理</w:t>
      </w:r>
    </w:p>
    <w:p>
      <w:pPr>
        <w:pStyle w:val="BodyText"/>
        <w:ind w:firstLine="730"/>
        <w:spacing w:before="104" w:line="287" w:lineRule="auto"/>
        <w:rPr>
          <w:sz w:val="29"/>
          <w:szCs w:val="29"/>
        </w:rPr>
      </w:pPr>
      <w:r>
        <w:rPr>
          <w:sz w:val="29"/>
          <w:szCs w:val="29"/>
          <w:spacing w:val="-4"/>
        </w:rPr>
        <w:t>(1)浇冻水：在11月底之前将草坪浇透水一遍，以延长绿期；特殊天气在温度</w:t>
      </w:r>
      <w:r>
        <w:rPr>
          <w:sz w:val="29"/>
          <w:szCs w:val="29"/>
          <w:spacing w:val="7"/>
        </w:rPr>
        <w:t xml:space="preserve">  </w:t>
      </w:r>
      <w:r>
        <w:rPr>
          <w:sz w:val="29"/>
          <w:szCs w:val="29"/>
          <w:spacing w:val="-4"/>
        </w:rPr>
        <w:t>贴近0℃时，尽量安排在中午浇水，在月底前对所有园林植物浇冻水一遍，要求渗</w:t>
      </w:r>
      <w:r>
        <w:rPr>
          <w:sz w:val="29"/>
          <w:szCs w:val="29"/>
        </w:rPr>
        <w:t xml:space="preserve">   </w:t>
      </w:r>
      <w:r>
        <w:rPr>
          <w:sz w:val="29"/>
          <w:szCs w:val="29"/>
          <w:spacing w:val="-7"/>
        </w:rPr>
        <w:t>水深度在50</w:t>
      </w:r>
      <w:r>
        <w:rPr>
          <w:rFonts w:ascii="Times New Roman" w:hAnsi="Times New Roman" w:eastAsia="Times New Roman" w:cs="Times New Roman"/>
          <w:sz w:val="29"/>
          <w:szCs w:val="29"/>
          <w:spacing w:val="-7"/>
        </w:rPr>
        <w:t>cm</w:t>
      </w:r>
      <w:r>
        <w:rPr>
          <w:sz w:val="29"/>
          <w:szCs w:val="29"/>
          <w:spacing w:val="-7"/>
        </w:rPr>
        <w:t>以上，保证园林植物在今后的冬三月中不至于因干旱</w:t>
      </w:r>
      <w:r>
        <w:rPr>
          <w:sz w:val="29"/>
          <w:szCs w:val="29"/>
          <w:spacing w:val="-8"/>
        </w:rPr>
        <w:t>风吹而导致死亡，</w:t>
      </w:r>
      <w:r>
        <w:rPr>
          <w:sz w:val="29"/>
          <w:szCs w:val="29"/>
        </w:rPr>
        <w:t xml:space="preserve"> </w:t>
      </w:r>
      <w:r>
        <w:rPr>
          <w:sz w:val="29"/>
          <w:szCs w:val="29"/>
          <w:spacing w:val="-5"/>
        </w:rPr>
        <w:t>影响明年的正常生长。</w:t>
      </w:r>
    </w:p>
    <w:p>
      <w:pPr>
        <w:pStyle w:val="BodyText"/>
        <w:ind w:right="109" w:firstLine="730"/>
        <w:spacing w:before="175" w:line="279" w:lineRule="auto"/>
        <w:rPr>
          <w:sz w:val="29"/>
          <w:szCs w:val="29"/>
        </w:rPr>
      </w:pPr>
      <w:r>
        <w:rPr>
          <w:sz w:val="29"/>
          <w:szCs w:val="29"/>
          <w:spacing w:val="3"/>
        </w:rPr>
        <w:t>(2)所有草坪在11月上旬，撒施高氮低磷中钾无机复合肥一次，</w:t>
      </w:r>
      <w:r>
        <w:rPr>
          <w:sz w:val="29"/>
          <w:szCs w:val="29"/>
          <w:spacing w:val="2"/>
        </w:rPr>
        <w:t>30克\平米。</w:t>
      </w:r>
      <w:r>
        <w:rPr>
          <w:sz w:val="29"/>
          <w:szCs w:val="29"/>
        </w:rPr>
        <w:t xml:space="preserve"> </w:t>
      </w:r>
      <w:r>
        <w:rPr>
          <w:sz w:val="29"/>
          <w:szCs w:val="29"/>
          <w:spacing w:val="4"/>
        </w:rPr>
        <w:t>早期发黄的地块可喷施10、2  的尿素+10、2</w:t>
      </w:r>
      <w:r>
        <w:rPr>
          <w:sz w:val="29"/>
          <w:szCs w:val="29"/>
          <w:spacing w:val="140"/>
        </w:rPr>
        <w:t xml:space="preserve"> </w:t>
      </w:r>
      <w:r>
        <w:rPr>
          <w:sz w:val="29"/>
          <w:szCs w:val="29"/>
          <w:spacing w:val="4"/>
        </w:rPr>
        <w:t>磷酸二氢钾溶液。高低不平蛱土</w:t>
      </w:r>
      <w:r>
        <w:rPr>
          <w:sz w:val="29"/>
          <w:szCs w:val="29"/>
        </w:rPr>
        <w:t xml:space="preserve">  </w:t>
      </w:r>
      <w:r>
        <w:rPr>
          <w:sz w:val="29"/>
          <w:szCs w:val="29"/>
          <w:spacing w:val="-5"/>
        </w:rPr>
        <w:t>的地块用土找平，每次直接在草坪上覆土，但不得超过21</w:t>
      </w:r>
      <w:r>
        <w:rPr>
          <w:rFonts w:ascii="Times New Roman" w:hAnsi="Times New Roman" w:eastAsia="Times New Roman" w:cs="Times New Roman"/>
          <w:sz w:val="29"/>
          <w:szCs w:val="29"/>
          <w:spacing w:val="-5"/>
        </w:rPr>
        <w:t>cm</w:t>
      </w:r>
      <w:r>
        <w:rPr>
          <w:sz w:val="29"/>
          <w:szCs w:val="29"/>
          <w:spacing w:val="-5"/>
        </w:rPr>
        <w:t>厚度。</w:t>
      </w:r>
    </w:p>
    <w:p>
      <w:pPr>
        <w:spacing w:line="279" w:lineRule="auto"/>
        <w:sectPr>
          <w:footerReference w:type="default" r:id="rId707"/>
          <w:pgSz w:w="14490" w:h="20470"/>
          <w:pgMar w:top="400" w:right="1825" w:bottom="1447" w:left="2150" w:header="0" w:footer="1231" w:gutter="0"/>
        </w:sectPr>
        <w:rPr>
          <w:sz w:val="29"/>
          <w:szCs w:val="29"/>
        </w:rPr>
      </w:pP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BodyText"/>
        <w:ind w:left="570"/>
        <w:spacing w:before="95"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病虫害防治</w:t>
      </w:r>
    </w:p>
    <w:p>
      <w:pPr>
        <w:pStyle w:val="BodyText"/>
        <w:ind w:left="730"/>
        <w:spacing w:before="129" w:line="219" w:lineRule="auto"/>
        <w:rPr>
          <w:sz w:val="29"/>
          <w:szCs w:val="29"/>
        </w:rPr>
      </w:pPr>
      <w:r>
        <w:rPr>
          <w:sz w:val="29"/>
          <w:szCs w:val="29"/>
          <w:spacing w:val="7"/>
        </w:rPr>
        <w:t>(1)病害：白粉病、叶斑类病害、叶枯病等；</w:t>
      </w:r>
    </w:p>
    <w:p>
      <w:pPr>
        <w:pStyle w:val="BodyText"/>
        <w:ind w:right="368" w:firstLine="730"/>
        <w:spacing w:before="154" w:line="269" w:lineRule="auto"/>
        <w:rPr>
          <w:sz w:val="29"/>
          <w:szCs w:val="29"/>
        </w:rPr>
      </w:pPr>
      <w:r>
        <w:rPr>
          <w:sz w:val="29"/>
          <w:szCs w:val="29"/>
          <w:spacing w:val="8"/>
        </w:rPr>
        <w:t>(2)虫害：大青叶蝉、桃粉蚜、柑桔全爪螨、桔绿粉虱、白蚁、</w:t>
      </w:r>
      <w:r>
        <w:rPr>
          <w:sz w:val="29"/>
          <w:szCs w:val="29"/>
          <w:spacing w:val="7"/>
        </w:rPr>
        <w:t>红棕象甲</w:t>
      </w:r>
      <w:r>
        <w:rPr>
          <w:sz w:val="29"/>
          <w:szCs w:val="29"/>
        </w:rPr>
        <w:t xml:space="preserve"> </w:t>
      </w:r>
      <w:r>
        <w:rPr>
          <w:sz w:val="29"/>
          <w:szCs w:val="29"/>
          <w:spacing w:val="-7"/>
        </w:rPr>
        <w:t>等。</w:t>
      </w:r>
    </w:p>
    <w:p>
      <w:pPr>
        <w:pStyle w:val="BodyText"/>
        <w:ind w:left="570"/>
        <w:spacing w:before="36"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90" w:firstLine="730"/>
        <w:spacing w:before="153" w:line="265" w:lineRule="auto"/>
        <w:rPr>
          <w:sz w:val="29"/>
          <w:szCs w:val="29"/>
        </w:rPr>
      </w:pPr>
      <w:r>
        <w:rPr>
          <w:sz w:val="29"/>
          <w:szCs w:val="29"/>
          <w:spacing w:val="7"/>
        </w:rPr>
        <w:t>(1)保洁人员合理分区，全天候巡视，及时清理烟头、树挂等垃圾，水景 </w:t>
      </w:r>
      <w:r>
        <w:rPr>
          <w:sz w:val="29"/>
          <w:szCs w:val="29"/>
          <w:spacing w:val="1"/>
        </w:rPr>
        <w:t>池、灯杆、垃圾桶保持干净；</w:t>
      </w:r>
    </w:p>
    <w:p>
      <w:pPr>
        <w:pStyle w:val="BodyText"/>
        <w:ind w:right="403" w:firstLine="730"/>
        <w:spacing w:before="14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70"/>
        <w:spacing w:before="18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93"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123"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right="60" w:firstLine="570"/>
        <w:spacing w:before="117" w:line="313"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8"/>
        </w:rPr>
        <w:t>教育，加强防火意识。及时清扫落叶、树挂，消除火灾隐患。同时注意库房的防火、</w:t>
      </w:r>
      <w:r>
        <w:rPr>
          <w:sz w:val="29"/>
          <w:szCs w:val="29"/>
        </w:rPr>
        <w:t xml:space="preserve"> </w:t>
      </w:r>
      <w:r>
        <w:rPr>
          <w:sz w:val="29"/>
          <w:szCs w:val="29"/>
          <w:spacing w:val="-5"/>
        </w:rPr>
        <w:t>防盗情况。</w:t>
      </w:r>
    </w:p>
    <w:p>
      <w:pPr>
        <w:pStyle w:val="BodyText"/>
        <w:ind w:left="570"/>
        <w:spacing w:line="396"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其他工作</w:t>
      </w:r>
    </w:p>
    <w:p>
      <w:pPr>
        <w:pStyle w:val="BodyText"/>
        <w:ind w:right="453" w:firstLine="570"/>
        <w:spacing w:before="116" w:line="308" w:lineRule="auto"/>
        <w:rPr>
          <w:sz w:val="29"/>
          <w:szCs w:val="29"/>
        </w:rPr>
      </w:pPr>
      <w:r>
        <w:rPr>
          <w:sz w:val="29"/>
          <w:szCs w:val="29"/>
          <w:spacing w:val="-3"/>
        </w:rPr>
        <w:t>不能露天越冬观赏盆置植物要求在夜温零度左右前搬入室内，并安排专人进</w:t>
      </w:r>
      <w:r>
        <w:rPr>
          <w:sz w:val="29"/>
          <w:szCs w:val="29"/>
        </w:rPr>
        <w:t xml:space="preserve"> </w:t>
      </w:r>
      <w:r>
        <w:rPr>
          <w:sz w:val="29"/>
          <w:szCs w:val="29"/>
          <w:spacing w:val="-5"/>
        </w:rPr>
        <w:t>行养护。</w:t>
      </w:r>
    </w:p>
    <w:p>
      <w:pPr>
        <w:spacing w:before="65" w:line="223" w:lineRule="auto"/>
        <w:rPr>
          <w:rFonts w:ascii="SimHei" w:hAnsi="SimHei" w:eastAsia="SimHei" w:cs="SimHei"/>
          <w:sz w:val="29"/>
          <w:szCs w:val="29"/>
        </w:rPr>
      </w:pPr>
      <w:r>
        <w:rPr>
          <w:rFonts w:ascii="SimHei" w:hAnsi="SimHei" w:eastAsia="SimHei" w:cs="SimHei"/>
          <w:sz w:val="29"/>
          <w:szCs w:val="29"/>
          <w:spacing w:val="7"/>
        </w:rPr>
        <w:t>十二月至翌年二月</w:t>
      </w:r>
    </w:p>
    <w:p>
      <w:pPr>
        <w:pStyle w:val="BodyText"/>
        <w:ind w:left="570"/>
        <w:spacing w:before="157"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93" w:line="219" w:lineRule="auto"/>
        <w:rPr>
          <w:sz w:val="29"/>
          <w:szCs w:val="29"/>
        </w:rPr>
      </w:pPr>
      <w:r>
        <w:rPr>
          <w:sz w:val="29"/>
          <w:szCs w:val="29"/>
          <w:spacing w:val="6"/>
        </w:rPr>
        <w:t>(1)检查防寒设施的完好情况，发现破损立即修补；</w:t>
      </w:r>
    </w:p>
    <w:p>
      <w:pPr>
        <w:pStyle w:val="BodyText"/>
        <w:ind w:left="730"/>
        <w:spacing w:before="156" w:line="219" w:lineRule="auto"/>
        <w:rPr>
          <w:sz w:val="29"/>
          <w:szCs w:val="29"/>
        </w:rPr>
      </w:pPr>
      <w:r>
        <w:rPr>
          <w:sz w:val="29"/>
          <w:szCs w:val="29"/>
          <w:spacing w:val="6"/>
        </w:rPr>
        <w:t>(2)及时检查乔木支撑情况，发现松动或缺失立即加固；</w:t>
      </w:r>
    </w:p>
    <w:p>
      <w:pPr>
        <w:pStyle w:val="BodyText"/>
        <w:ind w:left="730"/>
        <w:spacing w:before="153" w:line="218" w:lineRule="auto"/>
        <w:rPr>
          <w:sz w:val="29"/>
          <w:szCs w:val="29"/>
        </w:rPr>
      </w:pPr>
      <w:r>
        <w:rPr>
          <w:sz w:val="29"/>
          <w:szCs w:val="29"/>
          <w:spacing w:val="7"/>
        </w:rPr>
        <w:t>(3)元旦、春节期间防止烟花爆竹引燃枯草；</w:t>
      </w:r>
    </w:p>
    <w:p>
      <w:pPr>
        <w:pStyle w:val="BodyText"/>
        <w:ind w:left="49" w:right="649" w:firstLine="680"/>
        <w:spacing w:before="160" w:line="265" w:lineRule="auto"/>
        <w:rPr>
          <w:sz w:val="29"/>
          <w:szCs w:val="29"/>
        </w:rPr>
      </w:pPr>
      <w:r>
        <w:rPr>
          <w:sz w:val="29"/>
          <w:szCs w:val="29"/>
          <w:spacing w:val="-9"/>
        </w:rPr>
        <w:t>(4)降雪后，安排员工清扫路面积雪，均匀分散到绿地内或移至</w:t>
      </w:r>
      <w:r>
        <w:rPr>
          <w:sz w:val="29"/>
          <w:szCs w:val="29"/>
          <w:spacing w:val="-10"/>
        </w:rPr>
        <w:t>其他区域，</w:t>
      </w:r>
      <w:r>
        <w:rPr>
          <w:sz w:val="29"/>
          <w:szCs w:val="29"/>
        </w:rPr>
        <w:t xml:space="preserve"> </w:t>
      </w:r>
      <w:r>
        <w:rPr>
          <w:sz w:val="29"/>
          <w:szCs w:val="29"/>
          <w:spacing w:val="-7"/>
        </w:rPr>
        <w:t>含融雪剂的雪不能堆在绿地内。</w:t>
      </w:r>
    </w:p>
    <w:p>
      <w:pPr>
        <w:pStyle w:val="BodyText"/>
        <w:ind w:left="570"/>
        <w:spacing w:before="185"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34" w:firstLine="730"/>
        <w:spacing w:before="102" w:line="312" w:lineRule="auto"/>
        <w:rPr>
          <w:sz w:val="29"/>
          <w:szCs w:val="29"/>
        </w:rPr>
      </w:pPr>
      <w:r>
        <w:rPr>
          <w:sz w:val="29"/>
          <w:szCs w:val="29"/>
          <w:spacing w:val="-5"/>
        </w:rPr>
        <w:t>(①)  草坪最容易在冬季遭到破坏，重要的地段必</w:t>
      </w:r>
      <w:r>
        <w:rPr>
          <w:sz w:val="29"/>
          <w:szCs w:val="29"/>
          <w:spacing w:val="-6"/>
        </w:rPr>
        <w:t>须设置竹木铁制的围挡，</w:t>
      </w:r>
      <w:r>
        <w:rPr>
          <w:sz w:val="29"/>
          <w:szCs w:val="29"/>
        </w:rPr>
        <w:t xml:space="preserve"> </w:t>
      </w:r>
      <w:r>
        <w:rPr>
          <w:sz w:val="29"/>
          <w:szCs w:val="29"/>
          <w:spacing w:val="4"/>
        </w:rPr>
        <w:t>插上禁止踩踏的警示标牌，加强看管。每周及时清理落叶和垃圾，发现绿地(特</w:t>
      </w:r>
      <w:r>
        <w:rPr>
          <w:sz w:val="29"/>
          <w:szCs w:val="29"/>
          <w:spacing w:val="14"/>
        </w:rPr>
        <w:t xml:space="preserve"> </w:t>
      </w:r>
      <w:r>
        <w:rPr>
          <w:sz w:val="29"/>
          <w:szCs w:val="29"/>
          <w:spacing w:val="-15"/>
        </w:rPr>
        <w:t>别是草坪)内的粪便、砖瓦石块、纸张、烟蒂、塑料等废弃杂物，必须及时清理；</w:t>
      </w:r>
    </w:p>
    <w:p>
      <w:pPr>
        <w:pStyle w:val="BodyText"/>
        <w:ind w:right="386" w:firstLine="730"/>
        <w:spacing w:before="2" w:line="308" w:lineRule="auto"/>
        <w:rPr>
          <w:sz w:val="29"/>
          <w:szCs w:val="29"/>
        </w:rPr>
      </w:pPr>
      <w:r>
        <w:rPr>
          <w:sz w:val="29"/>
          <w:szCs w:val="29"/>
          <w:spacing w:val="5"/>
        </w:rPr>
        <w:t>②  为保持良好的树形，</w:t>
      </w:r>
      <w:r>
        <w:rPr>
          <w:sz w:val="29"/>
          <w:szCs w:val="29"/>
          <w:spacing w:val="-68"/>
        </w:rPr>
        <w:t xml:space="preserve"> </w:t>
      </w:r>
      <w:r>
        <w:rPr>
          <w:sz w:val="29"/>
          <w:szCs w:val="29"/>
          <w:spacing w:val="5"/>
        </w:rPr>
        <w:t>一般在落叶后(不产生伤流的植物可推迟到发芽</w:t>
      </w:r>
      <w:r>
        <w:rPr>
          <w:sz w:val="29"/>
          <w:szCs w:val="29"/>
        </w:rPr>
        <w:t xml:space="preserve"> </w:t>
      </w:r>
      <w:r>
        <w:rPr>
          <w:sz w:val="29"/>
          <w:szCs w:val="29"/>
          <w:spacing w:val="7"/>
        </w:rPr>
        <w:t>之前)对除在本地耐寒性差的植物外，大部分植物进行整</w:t>
      </w:r>
      <w:r>
        <w:rPr>
          <w:sz w:val="29"/>
          <w:szCs w:val="29"/>
          <w:spacing w:val="6"/>
        </w:rPr>
        <w:t>形修剪。</w:t>
      </w:r>
    </w:p>
    <w:p>
      <w:pPr>
        <w:pStyle w:val="BodyText"/>
        <w:ind w:left="570"/>
        <w:spacing w:before="11"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570"/>
        <w:spacing w:before="108" w:line="219" w:lineRule="auto"/>
        <w:rPr>
          <w:sz w:val="29"/>
          <w:szCs w:val="29"/>
        </w:rPr>
      </w:pPr>
      <w:r>
        <w:rPr>
          <w:sz w:val="29"/>
          <w:szCs w:val="29"/>
          <w:spacing w:val="7"/>
        </w:rPr>
        <w:t>春水要早浇，在2月底之前将所有绿地浇(解冻)水一</w:t>
      </w:r>
      <w:r>
        <w:rPr>
          <w:sz w:val="29"/>
          <w:szCs w:val="29"/>
          <w:spacing w:val="6"/>
        </w:rPr>
        <w:t>遍。</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spacing w:line="221" w:lineRule="auto"/>
        <w:sectPr>
          <w:footerReference w:type="default" r:id="rId708"/>
          <w:pgSz w:w="14490" w:h="20470"/>
          <w:pgMar w:top="400" w:right="1844" w:bottom="1447" w:left="2150" w:header="0" w:footer="1230" w:gutter="0"/>
        </w:sectPr>
        <w:rPr>
          <w:rFonts w:ascii="SimHei" w:hAnsi="SimHei" w:eastAsia="SimHei" w:cs="SimHei"/>
          <w:sz w:val="29"/>
          <w:szCs w:val="29"/>
        </w:rPr>
      </w:pP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BodyText"/>
        <w:ind w:left="610"/>
        <w:spacing w:before="95" w:line="219" w:lineRule="auto"/>
        <w:rPr>
          <w:sz w:val="29"/>
          <w:szCs w:val="29"/>
        </w:rPr>
      </w:pPr>
      <w:r>
        <w:rPr>
          <w:sz w:val="29"/>
          <w:szCs w:val="29"/>
          <w:spacing w:val="1"/>
        </w:rPr>
        <w:t>对园区所有植物进行一次病虫害防治，虫害：柑桔全</w:t>
      </w:r>
      <w:r>
        <w:rPr>
          <w:sz w:val="29"/>
          <w:szCs w:val="29"/>
        </w:rPr>
        <w:t>爪螨。</w:t>
      </w:r>
    </w:p>
    <w:p>
      <w:pPr>
        <w:pStyle w:val="BodyText"/>
        <w:ind w:left="610"/>
        <w:spacing w:before="86"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42" w:line="262"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6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9"/>
        </w:rPr>
        <w:t>售展示区)进行彻底清理；</w:t>
      </w:r>
    </w:p>
    <w:p>
      <w:pPr>
        <w:pStyle w:val="BodyText"/>
        <w:ind w:right="260" w:firstLine="730"/>
        <w:spacing w:before="145" w:line="281" w:lineRule="auto"/>
        <w:rPr>
          <w:sz w:val="29"/>
          <w:szCs w:val="29"/>
        </w:rPr>
      </w:pPr>
      <w:r>
        <w:rPr>
          <w:sz w:val="29"/>
          <w:szCs w:val="29"/>
          <w:spacing w:val="8"/>
        </w:rPr>
        <w:t>(3)重点是风季落叶、垃圾、废弃物的全面清理，全天候巡视，及时清理</w:t>
      </w:r>
      <w:r>
        <w:rPr>
          <w:sz w:val="29"/>
          <w:szCs w:val="29"/>
          <w:spacing w:val="9"/>
        </w:rPr>
        <w:t xml:space="preserve"> </w:t>
      </w:r>
      <w:r>
        <w:rPr>
          <w:sz w:val="29"/>
          <w:szCs w:val="29"/>
          <w:spacing w:val="-19"/>
        </w:rPr>
        <w:t>烟头、树挂等垃圾。遇到下雪天气，小雪务必当天清完，大雪在</w:t>
      </w:r>
      <w:r>
        <w:rPr>
          <w:sz w:val="29"/>
          <w:szCs w:val="29"/>
          <w:spacing w:val="-20"/>
        </w:rPr>
        <w:t>3天内清理完毕，雪停</w:t>
      </w:r>
      <w:r>
        <w:rPr>
          <w:sz w:val="29"/>
          <w:szCs w:val="29"/>
        </w:rPr>
        <w:t xml:space="preserve"> </w:t>
      </w:r>
      <w:r>
        <w:rPr>
          <w:sz w:val="29"/>
          <w:szCs w:val="29"/>
          <w:spacing w:val="-1"/>
        </w:rPr>
        <w:t>后及时清理树冠上的集雪。</w:t>
      </w:r>
    </w:p>
    <w:p>
      <w:pPr>
        <w:pStyle w:val="BodyText"/>
        <w:ind w:left="610"/>
        <w:spacing w:before="133" w:line="395" w:lineRule="exact"/>
        <w:rPr>
          <w:rFonts w:ascii="SimHei" w:hAnsi="SimHei" w:eastAsia="SimHei" w:cs="SimHei"/>
          <w:sz w:val="29"/>
          <w:szCs w:val="29"/>
        </w:rPr>
      </w:pPr>
      <w:r>
        <w:rPr>
          <w:rFonts w:ascii="Arial" w:hAnsi="Arial" w:eastAsia="Arial" w:cs="Arial"/>
          <w:sz w:val="29"/>
          <w:szCs w:val="29"/>
          <w:spacing w:val="5"/>
          <w:position w:val="1"/>
        </w:rPr>
        <w:t>6</w:t>
      </w:r>
      <w:r>
        <w:rPr>
          <w:sz w:val="29"/>
          <w:szCs w:val="29"/>
          <w:spacing w:val="5"/>
          <w:position w:val="1"/>
        </w:rPr>
        <w:t>、</w:t>
      </w:r>
      <w:r>
        <w:rPr>
          <w:rFonts w:ascii="SimHei" w:hAnsi="SimHei" w:eastAsia="SimHei" w:cs="SimHei"/>
          <w:sz w:val="29"/>
          <w:szCs w:val="29"/>
          <w:spacing w:val="5"/>
          <w:position w:val="1"/>
        </w:rPr>
        <w:t>时花摆放</w:t>
      </w:r>
    </w:p>
    <w:p>
      <w:pPr>
        <w:pStyle w:val="BodyText"/>
        <w:ind w:left="730"/>
        <w:spacing w:before="107" w:line="219" w:lineRule="auto"/>
        <w:rPr>
          <w:sz w:val="29"/>
          <w:szCs w:val="29"/>
        </w:rPr>
      </w:pPr>
      <w:r>
        <w:rPr>
          <w:sz w:val="29"/>
          <w:szCs w:val="29"/>
          <w:spacing w:val="5"/>
        </w:rPr>
        <w:t>(1)月初提交时花需求计划，选择亮色花卉，安排下旬进场；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ind w:left="610"/>
        <w:spacing w:before="114" w:line="222" w:lineRule="auto"/>
        <w:rPr>
          <w:rFonts w:ascii="SimHei" w:hAnsi="SimHei" w:eastAsia="SimHei" w:cs="SimHei"/>
          <w:sz w:val="29"/>
          <w:szCs w:val="29"/>
        </w:rPr>
      </w:pPr>
      <w:r>
        <w:rPr>
          <w:rFonts w:ascii="SimHei" w:hAnsi="SimHei" w:eastAsia="SimHei" w:cs="SimHei"/>
          <w:sz w:val="29"/>
          <w:szCs w:val="29"/>
          <w:spacing w:val="7"/>
        </w:rPr>
        <w:t>7、物资管理</w:t>
      </w:r>
    </w:p>
    <w:p>
      <w:pPr>
        <w:pStyle w:val="BodyText"/>
        <w:ind w:right="321" w:firstLine="730"/>
        <w:spacing w:before="131" w:line="270"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7"/>
        </w:rPr>
        <w:t>危险品；</w:t>
      </w:r>
    </w:p>
    <w:p>
      <w:pPr>
        <w:pStyle w:val="BodyText"/>
        <w:ind w:right="321" w:firstLine="730"/>
        <w:spacing w:before="154" w:line="268" w:lineRule="auto"/>
        <w:rPr>
          <w:sz w:val="29"/>
          <w:szCs w:val="29"/>
        </w:rPr>
      </w:pPr>
      <w:r>
        <w:rPr>
          <w:sz w:val="29"/>
          <w:szCs w:val="29"/>
          <w:spacing w:val="2"/>
        </w:rPr>
        <w:t>(2)根据现场的实际情况，申请购置翌年1、2、3月份的农药、化肥、营养 </w:t>
      </w:r>
      <w:r>
        <w:rPr>
          <w:sz w:val="29"/>
          <w:szCs w:val="29"/>
        </w:rPr>
        <w:t>剂及其它物资。</w:t>
      </w:r>
    </w:p>
    <w:p>
      <w:pPr>
        <w:pStyle w:val="BodyText"/>
        <w:ind w:left="610"/>
        <w:spacing w:before="133" w:line="396"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firstLine="610"/>
        <w:spacing w:before="97" w:line="311" w:lineRule="auto"/>
        <w:rPr>
          <w:sz w:val="29"/>
          <w:szCs w:val="29"/>
        </w:rPr>
      </w:pPr>
      <w:r>
        <w:rPr>
          <w:sz w:val="29"/>
          <w:szCs w:val="29"/>
          <w:spacing w:val="-1"/>
        </w:rPr>
        <w:t>每天绿化工人在保洁的同时要注意行人随意丢弃烟头现象，</w:t>
      </w:r>
      <w:r>
        <w:rPr>
          <w:sz w:val="29"/>
          <w:szCs w:val="29"/>
          <w:spacing w:val="-2"/>
        </w:rPr>
        <w:t>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line="311" w:lineRule="auto"/>
        <w:sectPr>
          <w:footerReference w:type="default" r:id="rId709"/>
          <w:pgSz w:w="14490" w:h="20470"/>
          <w:pgMar w:top="400" w:right="1935" w:bottom="1447" w:left="2150" w:header="0" w:footer="1230" w:gutter="0"/>
        </w:sectPr>
        <w:rPr>
          <w:sz w:val="29"/>
          <w:szCs w:val="29"/>
        </w:rPr>
      </w:pP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4049"/>
        <w:spacing w:before="94" w:line="223" w:lineRule="auto"/>
        <w:outlineLvl w:val="1"/>
        <w:rPr>
          <w:rFonts w:ascii="SimHei" w:hAnsi="SimHei" w:eastAsia="SimHei" w:cs="SimHei"/>
          <w:sz w:val="29"/>
          <w:szCs w:val="29"/>
        </w:rPr>
      </w:pPr>
      <w:bookmarkStart w:name="bookmark76" w:id="137"/>
      <w:bookmarkEnd w:id="137"/>
      <w:r>
        <w:rPr>
          <w:rFonts w:ascii="SimHei" w:hAnsi="SimHei" w:eastAsia="SimHei" w:cs="SimHei"/>
          <w:sz w:val="29"/>
          <w:szCs w:val="29"/>
          <w:spacing w:val="3"/>
        </w:rPr>
        <w:t>广东、广西地区</w:t>
      </w:r>
    </w:p>
    <w:p>
      <w:pPr>
        <w:pStyle w:val="BodyText"/>
        <w:ind w:left="4"/>
        <w:spacing w:before="170" w:line="223" w:lineRule="auto"/>
        <w:rPr>
          <w:rFonts w:ascii="SimHei" w:hAnsi="SimHei" w:eastAsia="SimHei" w:cs="SimHei"/>
          <w:sz w:val="30"/>
          <w:szCs w:val="30"/>
        </w:rPr>
      </w:pPr>
      <w:bookmarkStart w:name="bookmark140" w:id="138"/>
      <w:bookmarkEnd w:id="138"/>
      <w:r>
        <w:rPr>
          <w:sz w:val="30"/>
          <w:szCs w:val="30"/>
          <w:b/>
          <w:bCs/>
          <w:spacing w:val="-13"/>
        </w:rPr>
        <w:t>一、</w:t>
      </w:r>
      <w:r>
        <w:rPr>
          <w:rFonts w:ascii="SimHei" w:hAnsi="SimHei" w:eastAsia="SimHei" w:cs="SimHei"/>
          <w:sz w:val="30"/>
          <w:szCs w:val="30"/>
          <w:spacing w:val="-13"/>
        </w:rPr>
        <w:t>二月份</w:t>
      </w:r>
    </w:p>
    <w:p>
      <w:pPr>
        <w:pStyle w:val="BodyText"/>
        <w:ind w:left="590"/>
        <w:spacing w:before="194" w:line="219" w:lineRule="auto"/>
        <w:rPr>
          <w:sz w:val="29"/>
          <w:szCs w:val="29"/>
        </w:rPr>
      </w:pPr>
      <w:r>
        <w:rPr>
          <w:sz w:val="29"/>
          <w:szCs w:val="29"/>
          <w:spacing w:val="4"/>
        </w:rPr>
        <w:t>气温较低，空气干燥，苗木生长缓慢，注意树木防寒。</w:t>
      </w:r>
    </w:p>
    <w:p>
      <w:pPr>
        <w:ind w:left="590"/>
        <w:spacing w:before="125" w:line="222" w:lineRule="auto"/>
        <w:rPr>
          <w:rFonts w:ascii="SimHei" w:hAnsi="SimHei" w:eastAsia="SimHei" w:cs="SimHei"/>
          <w:sz w:val="29"/>
          <w:szCs w:val="29"/>
        </w:rPr>
      </w:pPr>
      <w:r>
        <w:rPr>
          <w:rFonts w:ascii="SimHei" w:hAnsi="SimHei" w:eastAsia="SimHei" w:cs="SimHei"/>
          <w:sz w:val="29"/>
          <w:szCs w:val="29"/>
          <w:spacing w:val="6"/>
        </w:rPr>
        <w:t>1、现场检查</w:t>
      </w:r>
    </w:p>
    <w:p>
      <w:pPr>
        <w:pStyle w:val="BodyText"/>
        <w:ind w:left="730"/>
        <w:spacing w:before="103" w:line="219" w:lineRule="auto"/>
        <w:rPr>
          <w:sz w:val="29"/>
          <w:szCs w:val="29"/>
        </w:rPr>
      </w:pPr>
      <w:r>
        <w:rPr>
          <w:sz w:val="29"/>
          <w:szCs w:val="29"/>
          <w:spacing w:val="6"/>
        </w:rPr>
        <w:t>(1)检查防寒设施的完好情况，发现破损立即修补；</w:t>
      </w:r>
    </w:p>
    <w:p>
      <w:pPr>
        <w:pStyle w:val="BodyText"/>
        <w:ind w:left="730"/>
        <w:spacing w:before="136" w:line="219" w:lineRule="auto"/>
        <w:rPr>
          <w:sz w:val="29"/>
          <w:szCs w:val="29"/>
        </w:rPr>
      </w:pPr>
      <w:r>
        <w:rPr>
          <w:sz w:val="29"/>
          <w:szCs w:val="29"/>
          <w:spacing w:val="8"/>
        </w:rPr>
        <w:t>(2)及时检查乔木支撑情况，发现松动或缺失立即加固。</w:t>
      </w:r>
    </w:p>
    <w:p>
      <w:pPr>
        <w:ind w:left="590"/>
        <w:spacing w:before="113"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right="442" w:firstLine="730"/>
        <w:spacing w:before="143" w:line="269" w:lineRule="auto"/>
        <w:rPr>
          <w:sz w:val="29"/>
          <w:szCs w:val="29"/>
        </w:rPr>
      </w:pPr>
      <w:r>
        <w:rPr>
          <w:sz w:val="29"/>
          <w:szCs w:val="29"/>
          <w:spacing w:val="6"/>
        </w:rPr>
        <w:t>(1)乔木修剪：全面展开对落叶树木的整形修剪作业；大、小乔木上</w:t>
      </w:r>
      <w:r>
        <w:rPr>
          <w:sz w:val="29"/>
          <w:szCs w:val="29"/>
          <w:spacing w:val="5"/>
        </w:rPr>
        <w:t>的枯</w:t>
      </w:r>
      <w:r>
        <w:rPr>
          <w:sz w:val="29"/>
          <w:szCs w:val="29"/>
        </w:rPr>
        <w:t xml:space="preserve"> </w:t>
      </w:r>
      <w:r>
        <w:rPr>
          <w:sz w:val="29"/>
          <w:szCs w:val="29"/>
          <w:spacing w:val="1"/>
        </w:rPr>
        <w:t>枝、伤残枝、病虫枝及妨碍车辆通行和行人行走的枝</w:t>
      </w:r>
      <w:r>
        <w:rPr>
          <w:sz w:val="29"/>
          <w:szCs w:val="29"/>
        </w:rPr>
        <w:t>杈进行修剪；</w:t>
      </w:r>
    </w:p>
    <w:p>
      <w:pPr>
        <w:pStyle w:val="BodyText"/>
        <w:ind w:right="489" w:firstLine="730"/>
        <w:spacing w:before="124" w:line="269" w:lineRule="auto"/>
        <w:rPr>
          <w:sz w:val="29"/>
          <w:szCs w:val="29"/>
        </w:rPr>
      </w:pPr>
      <w:r>
        <w:rPr>
          <w:sz w:val="29"/>
          <w:szCs w:val="29"/>
          <w:spacing w:val="-4"/>
        </w:rPr>
        <w:t>(2)棕榈修剪：老化枝叶黄面积达2/3时应剪除，其叶壳在底部开裂达1/3以</w:t>
      </w:r>
      <w:r>
        <w:rPr>
          <w:sz w:val="29"/>
          <w:szCs w:val="29"/>
          <w:spacing w:val="7"/>
        </w:rPr>
        <w:t xml:space="preserve"> </w:t>
      </w:r>
      <w:r>
        <w:rPr>
          <w:sz w:val="29"/>
          <w:szCs w:val="29"/>
        </w:rPr>
        <w:t>上时应剥除，修剪时应严格保护苗木顶芽不受损伤；</w:t>
      </w:r>
    </w:p>
    <w:p>
      <w:pPr>
        <w:pStyle w:val="BodyText"/>
        <w:ind w:left="730"/>
        <w:spacing w:before="144" w:line="219" w:lineRule="auto"/>
        <w:rPr>
          <w:sz w:val="29"/>
          <w:szCs w:val="29"/>
        </w:rPr>
      </w:pPr>
      <w:r>
        <w:rPr>
          <w:sz w:val="29"/>
          <w:szCs w:val="29"/>
          <w:spacing w:val="6"/>
        </w:rPr>
        <w:t>(3)地被、灌木、造型树偶有飘出的徒长枝，及时修剪，保证良好冠型。</w:t>
      </w:r>
    </w:p>
    <w:p>
      <w:pPr>
        <w:ind w:left="590"/>
        <w:spacing w:before="11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524" w:firstLine="590"/>
        <w:spacing w:before="130" w:line="328" w:lineRule="auto"/>
        <w:rPr>
          <w:sz w:val="29"/>
          <w:szCs w:val="29"/>
        </w:rPr>
      </w:pPr>
      <w:r>
        <w:rPr>
          <w:sz w:val="29"/>
          <w:szCs w:val="29"/>
          <w:spacing w:val="-22"/>
        </w:rPr>
        <w:t>乔木、灌木、地被视天气情况全面喷淋，均匀淋水保证植株无萎焉枯死现象，避</w:t>
      </w:r>
      <w:r>
        <w:rPr>
          <w:sz w:val="29"/>
          <w:szCs w:val="29"/>
          <w:spacing w:val="9"/>
        </w:rPr>
        <w:t xml:space="preserve"> </w:t>
      </w:r>
      <w:r>
        <w:rPr>
          <w:sz w:val="29"/>
          <w:szCs w:val="29"/>
        </w:rPr>
        <w:t>免绿化郁闭区域，植物叶面滞留水时间过长。</w:t>
      </w:r>
    </w:p>
    <w:p>
      <w:pPr>
        <w:ind w:left="590"/>
        <w:spacing w:before="2" w:line="220" w:lineRule="auto"/>
        <w:rPr>
          <w:rFonts w:ascii="SimHei" w:hAnsi="SimHei" w:eastAsia="SimHei" w:cs="SimHei"/>
          <w:sz w:val="28"/>
          <w:szCs w:val="28"/>
        </w:rPr>
      </w:pPr>
      <w:r>
        <w:rPr>
          <w:rFonts w:ascii="SimHei" w:hAnsi="SimHei" w:eastAsia="SimHei" w:cs="SimHei"/>
          <w:sz w:val="28"/>
          <w:szCs w:val="28"/>
          <w:spacing w:val="-5"/>
        </w:rPr>
        <w:t>4、</w:t>
      </w:r>
      <w:r>
        <w:rPr>
          <w:rFonts w:ascii="SimHei" w:hAnsi="SimHei" w:eastAsia="SimHei" w:cs="SimHei"/>
          <w:sz w:val="28"/>
          <w:szCs w:val="28"/>
          <w:spacing w:val="-54"/>
        </w:rPr>
        <w:t xml:space="preserve"> </w:t>
      </w:r>
      <w:r>
        <w:rPr>
          <w:rFonts w:ascii="SimHei" w:hAnsi="SimHei" w:eastAsia="SimHei" w:cs="SimHei"/>
          <w:sz w:val="28"/>
          <w:szCs w:val="28"/>
          <w:spacing w:val="-5"/>
        </w:rPr>
        <w:t>防寒</w:t>
      </w:r>
    </w:p>
    <w:p>
      <w:pPr>
        <w:pStyle w:val="BodyText"/>
        <w:ind w:left="590"/>
        <w:spacing w:before="125" w:line="219" w:lineRule="auto"/>
        <w:rPr>
          <w:sz w:val="29"/>
          <w:szCs w:val="29"/>
        </w:rPr>
      </w:pPr>
      <w:r>
        <w:rPr>
          <w:sz w:val="29"/>
          <w:szCs w:val="29"/>
          <w:spacing w:val="1"/>
        </w:rPr>
        <w:t>对棕榈科植物、泰国龙船花、软质黄婵等植物做好防寒工作。</w:t>
      </w:r>
    </w:p>
    <w:p>
      <w:pPr>
        <w:pStyle w:val="BodyText"/>
        <w:ind w:left="590"/>
        <w:spacing w:before="54" w:line="395" w:lineRule="exact"/>
        <w:rPr>
          <w:rFonts w:ascii="SimHei" w:hAnsi="SimHei" w:eastAsia="SimHei" w:cs="SimHei"/>
          <w:sz w:val="29"/>
          <w:szCs w:val="29"/>
        </w:rPr>
      </w:pPr>
      <w:r>
        <w:rPr>
          <w:rFonts w:ascii="Arial" w:hAnsi="Arial" w:eastAsia="Arial" w:cs="Arial"/>
          <w:sz w:val="29"/>
          <w:szCs w:val="29"/>
          <w:spacing w:val="1"/>
          <w:position w:val="1"/>
        </w:rPr>
        <w:t>5</w:t>
      </w:r>
      <w:r>
        <w:rPr>
          <w:sz w:val="29"/>
          <w:szCs w:val="29"/>
          <w:spacing w:val="1"/>
          <w:position w:val="1"/>
        </w:rPr>
        <w:t>、</w:t>
      </w:r>
      <w:r>
        <w:rPr>
          <w:rFonts w:ascii="SimHei" w:hAnsi="SimHei" w:eastAsia="SimHei" w:cs="SimHei"/>
          <w:sz w:val="29"/>
          <w:szCs w:val="29"/>
          <w:spacing w:val="1"/>
          <w:position w:val="1"/>
        </w:rPr>
        <w:t>病虫害防治</w:t>
      </w:r>
    </w:p>
    <w:p>
      <w:pPr>
        <w:pStyle w:val="BodyText"/>
        <w:ind w:left="590"/>
        <w:spacing w:before="159" w:line="219" w:lineRule="auto"/>
        <w:rPr>
          <w:sz w:val="29"/>
          <w:szCs w:val="29"/>
        </w:rPr>
      </w:pPr>
      <w:r>
        <w:rPr>
          <w:sz w:val="29"/>
          <w:szCs w:val="29"/>
        </w:rPr>
        <w:t>虫害：榕管蓟马、柑桔全爪螨等。</w:t>
      </w:r>
    </w:p>
    <w:p>
      <w:pPr>
        <w:pStyle w:val="BodyText"/>
        <w:ind w:left="590"/>
        <w:spacing w:before="57" w:line="395" w:lineRule="exact"/>
        <w:rPr>
          <w:rFonts w:ascii="SimHei" w:hAnsi="SimHei" w:eastAsia="SimHei" w:cs="SimHei"/>
          <w:sz w:val="29"/>
          <w:szCs w:val="29"/>
        </w:rPr>
      </w:pPr>
      <w:r>
        <w:rPr>
          <w:rFonts w:ascii="Arial" w:hAnsi="Arial" w:eastAsia="Arial" w:cs="Arial"/>
          <w:sz w:val="29"/>
          <w:szCs w:val="29"/>
          <w:spacing w:val="4"/>
          <w:position w:val="1"/>
        </w:rPr>
        <w:t>6</w:t>
      </w:r>
      <w:r>
        <w:rPr>
          <w:sz w:val="29"/>
          <w:szCs w:val="29"/>
          <w:spacing w:val="4"/>
          <w:position w:val="1"/>
        </w:rPr>
        <w:t>、</w:t>
      </w:r>
      <w:r>
        <w:rPr>
          <w:rFonts w:ascii="SimHei" w:hAnsi="SimHei" w:eastAsia="SimHei" w:cs="SimHei"/>
          <w:sz w:val="29"/>
          <w:szCs w:val="29"/>
          <w:spacing w:val="4"/>
          <w:position w:val="1"/>
        </w:rPr>
        <w:t>保洁</w:t>
      </w:r>
    </w:p>
    <w:p>
      <w:pPr>
        <w:pStyle w:val="BodyText"/>
        <w:ind w:right="440" w:firstLine="730"/>
        <w:spacing w:before="153" w:line="26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433" w:firstLine="730"/>
        <w:spacing w:before="147"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90"/>
        <w:spacing w:before="195" w:line="222" w:lineRule="auto"/>
        <w:rPr>
          <w:rFonts w:ascii="SimHei" w:hAnsi="SimHei" w:eastAsia="SimHei" w:cs="SimHei"/>
          <w:sz w:val="29"/>
          <w:szCs w:val="29"/>
        </w:rPr>
      </w:pPr>
      <w:r>
        <w:rPr>
          <w:rFonts w:ascii="SimHei" w:hAnsi="SimHei" w:eastAsia="SimHei" w:cs="SimHei"/>
          <w:sz w:val="29"/>
          <w:szCs w:val="29"/>
          <w:spacing w:val="6"/>
        </w:rPr>
        <w:t>7、时花摆放</w:t>
      </w:r>
    </w:p>
    <w:p>
      <w:pPr>
        <w:pStyle w:val="BodyText"/>
        <w:ind w:left="730"/>
        <w:spacing w:before="102"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26"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14" w:line="222" w:lineRule="auto"/>
        <w:rPr>
          <w:rFonts w:ascii="SimHei" w:hAnsi="SimHei" w:eastAsia="SimHei" w:cs="SimHei"/>
          <w:sz w:val="29"/>
          <w:szCs w:val="29"/>
        </w:rPr>
      </w:pPr>
      <w:r>
        <w:rPr>
          <w:rFonts w:ascii="SimHei" w:hAnsi="SimHei" w:eastAsia="SimHei" w:cs="SimHei"/>
          <w:sz w:val="29"/>
          <w:szCs w:val="29"/>
          <w:spacing w:val="6"/>
        </w:rPr>
        <w:t>8、物资管理</w:t>
      </w:r>
    </w:p>
    <w:p>
      <w:pPr>
        <w:pStyle w:val="BodyText"/>
        <w:spacing w:before="143" w:line="219" w:lineRule="auto"/>
        <w:jc w:val="right"/>
        <w:rPr>
          <w:sz w:val="29"/>
          <w:szCs w:val="29"/>
        </w:rPr>
      </w:pPr>
      <w:r>
        <w:rPr>
          <w:sz w:val="29"/>
          <w:szCs w:val="29"/>
          <w:spacing w:val="2"/>
        </w:rPr>
        <w:t>库房物品整理，物料工具出入库及领用登记，</w:t>
      </w:r>
      <w:r>
        <w:rPr>
          <w:sz w:val="29"/>
          <w:szCs w:val="29"/>
          <w:spacing w:val="1"/>
        </w:rPr>
        <w:t>注意保管汽油、农药等危险品。</w:t>
      </w:r>
    </w:p>
    <w:p>
      <w:pPr>
        <w:pStyle w:val="BodyText"/>
        <w:ind w:left="590"/>
        <w:spacing w:before="61" w:line="396" w:lineRule="exact"/>
        <w:rPr>
          <w:rFonts w:ascii="SimHei" w:hAnsi="SimHei" w:eastAsia="SimHei" w:cs="SimHei"/>
          <w:sz w:val="29"/>
          <w:szCs w:val="29"/>
        </w:rPr>
      </w:pPr>
      <w:r>
        <w:rPr>
          <w:rFonts w:ascii="Arial" w:hAnsi="Arial" w:eastAsia="Arial" w:cs="Arial"/>
          <w:sz w:val="29"/>
          <w:szCs w:val="29"/>
          <w:spacing w:val="2"/>
          <w:position w:val="1"/>
        </w:rPr>
        <w:t>9</w:t>
      </w:r>
      <w:r>
        <w:rPr>
          <w:sz w:val="29"/>
          <w:szCs w:val="29"/>
          <w:spacing w:val="2"/>
          <w:position w:val="1"/>
        </w:rPr>
        <w:t>、</w:t>
      </w:r>
      <w:r>
        <w:rPr>
          <w:rFonts w:ascii="SimHei" w:hAnsi="SimHei" w:eastAsia="SimHei" w:cs="SimHei"/>
          <w:sz w:val="29"/>
          <w:szCs w:val="29"/>
          <w:spacing w:val="2"/>
          <w:position w:val="1"/>
        </w:rPr>
        <w:t>防火防盗</w:t>
      </w:r>
    </w:p>
    <w:p>
      <w:pPr>
        <w:pStyle w:val="BodyText"/>
        <w:ind w:right="375" w:firstLine="730"/>
        <w:spacing w:before="159" w:line="281" w:lineRule="auto"/>
        <w:rPr>
          <w:sz w:val="29"/>
          <w:szCs w:val="29"/>
        </w:rPr>
      </w:pPr>
      <w:r>
        <w:rPr>
          <w:sz w:val="29"/>
          <w:szCs w:val="29"/>
          <w:spacing w:val="8"/>
        </w:rPr>
        <w:t>(1)每天绿化工人在保洁的同时要注意行人随意丢弃</w:t>
      </w:r>
      <w:r>
        <w:rPr>
          <w:sz w:val="29"/>
          <w:szCs w:val="29"/>
          <w:spacing w:val="7"/>
        </w:rPr>
        <w:t>烟头现象，并对其进</w:t>
      </w:r>
      <w:r>
        <w:rPr>
          <w:sz w:val="29"/>
          <w:szCs w:val="29"/>
        </w:rPr>
        <w:t xml:space="preserve"> </w:t>
      </w:r>
      <w:r>
        <w:rPr>
          <w:sz w:val="29"/>
          <w:szCs w:val="29"/>
          <w:spacing w:val="-9"/>
        </w:rPr>
        <w:t>行防火教育，加强防火意识。及时清扫落叶、树挂，消除火灾隐患。同时注意库房</w:t>
      </w:r>
      <w:r>
        <w:rPr>
          <w:sz w:val="29"/>
          <w:szCs w:val="29"/>
          <w:spacing w:val="12"/>
        </w:rPr>
        <w:t xml:space="preserve"> </w:t>
      </w:r>
      <w:r>
        <w:rPr>
          <w:sz w:val="29"/>
          <w:szCs w:val="29"/>
          <w:spacing w:val="-6"/>
        </w:rPr>
        <w:t>的防火、防盗情况；</w:t>
      </w:r>
    </w:p>
    <w:p>
      <w:pPr>
        <w:pStyle w:val="BodyText"/>
        <w:ind w:left="730"/>
        <w:spacing w:before="156" w:line="219" w:lineRule="auto"/>
        <w:rPr>
          <w:sz w:val="29"/>
          <w:szCs w:val="29"/>
        </w:rPr>
      </w:pPr>
      <w:r>
        <w:rPr>
          <w:sz w:val="29"/>
          <w:szCs w:val="29"/>
          <w:spacing w:val="7"/>
        </w:rPr>
        <w:t>(2)春节期间加强值班人员的安全管理，做好防仓库防火防盗工作。</w:t>
      </w:r>
    </w:p>
    <w:p>
      <w:pPr>
        <w:spacing w:line="219" w:lineRule="auto"/>
        <w:sectPr>
          <w:footerReference w:type="default" r:id="rId710"/>
          <w:pgSz w:w="14490" w:h="20470"/>
          <w:pgMar w:top="400" w:right="1834" w:bottom="1467" w:left="2150" w:header="0" w:footer="1250" w:gutter="0"/>
        </w:sectPr>
        <w:rPr>
          <w:sz w:val="29"/>
          <w:szCs w:val="29"/>
        </w:rPr>
      </w:pPr>
    </w:p>
    <w:p>
      <w:pPr>
        <w:spacing w:line="287"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line="288" w:lineRule="auto"/>
        <w:rPr>
          <w:rFonts w:ascii="Arial"/>
          <w:sz w:val="21"/>
        </w:rPr>
      </w:pPr>
      <w:r/>
    </w:p>
    <w:p>
      <w:pPr>
        <w:spacing w:before="94" w:line="223" w:lineRule="auto"/>
        <w:rPr>
          <w:rFonts w:ascii="SimHei" w:hAnsi="SimHei" w:eastAsia="SimHei" w:cs="SimHei"/>
          <w:sz w:val="29"/>
          <w:szCs w:val="29"/>
        </w:rPr>
      </w:pPr>
      <w:r>
        <w:rPr>
          <w:rFonts w:ascii="SimHei" w:hAnsi="SimHei" w:eastAsia="SimHei" w:cs="SimHei"/>
          <w:sz w:val="29"/>
          <w:szCs w:val="29"/>
          <w:spacing w:val="2"/>
        </w:rPr>
        <w:t>三月份</w:t>
      </w:r>
    </w:p>
    <w:p>
      <w:pPr>
        <w:pStyle w:val="BodyText"/>
        <w:ind w:left="570"/>
        <w:spacing w:before="149" w:line="219" w:lineRule="auto"/>
        <w:rPr>
          <w:sz w:val="29"/>
          <w:szCs w:val="29"/>
        </w:rPr>
      </w:pPr>
      <w:r>
        <w:rPr>
          <w:sz w:val="29"/>
          <w:szCs w:val="29"/>
          <w:spacing w:val="4"/>
        </w:rPr>
        <w:t>气温多变，冷暖空气交替，低温连阴雨天气较多。</w:t>
      </w:r>
    </w:p>
    <w:p>
      <w:pPr>
        <w:pStyle w:val="BodyText"/>
        <w:ind w:left="570"/>
        <w:spacing w:before="123"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570"/>
        <w:spacing w:before="103" w:line="219" w:lineRule="auto"/>
        <w:rPr>
          <w:sz w:val="29"/>
          <w:szCs w:val="29"/>
        </w:rPr>
      </w:pPr>
      <w:r>
        <w:rPr>
          <w:sz w:val="29"/>
          <w:szCs w:val="29"/>
          <w:spacing w:val="1"/>
        </w:rPr>
        <w:t>及时检查乔木支撑情况，发现松动或缺失立即加固。</w:t>
      </w:r>
    </w:p>
    <w:p>
      <w:pPr>
        <w:ind w:left="570"/>
        <w:spacing w:before="12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101" w:firstLine="730"/>
        <w:spacing w:before="135" w:line="269" w:lineRule="auto"/>
        <w:rPr>
          <w:sz w:val="29"/>
          <w:szCs w:val="29"/>
        </w:rPr>
      </w:pPr>
      <w:r>
        <w:rPr>
          <w:sz w:val="29"/>
          <w:szCs w:val="29"/>
          <w:spacing w:val="6"/>
        </w:rPr>
        <w:t>(1)乔木修剪：对树木抹芽、去蘖；对苗木的枯枝、废枝进行修剪并进行</w:t>
      </w:r>
      <w:r>
        <w:rPr>
          <w:sz w:val="29"/>
          <w:szCs w:val="29"/>
          <w:spacing w:val="1"/>
        </w:rPr>
        <w:t xml:space="preserve"> </w:t>
      </w:r>
      <w:r>
        <w:rPr>
          <w:sz w:val="29"/>
          <w:szCs w:val="29"/>
          <w:spacing w:val="-3"/>
        </w:rPr>
        <w:t>整形修剪，保证乔灌木树形优美；不以观花为主的植物进</w:t>
      </w:r>
      <w:r>
        <w:rPr>
          <w:sz w:val="29"/>
          <w:szCs w:val="29"/>
          <w:spacing w:val="-4"/>
        </w:rPr>
        <w:t>行疏花、疏果；</w:t>
      </w:r>
    </w:p>
    <w:p>
      <w:pPr>
        <w:pStyle w:val="BodyText"/>
        <w:ind w:right="102" w:firstLine="730"/>
        <w:spacing w:before="156" w:line="268" w:lineRule="auto"/>
        <w:rPr>
          <w:sz w:val="29"/>
          <w:szCs w:val="29"/>
        </w:rPr>
      </w:pPr>
      <w:r>
        <w:rPr>
          <w:sz w:val="29"/>
          <w:szCs w:val="29"/>
          <w:spacing w:val="6"/>
        </w:rPr>
        <w:t>(2)灌木、地被修剪：对于生长过量需要回缩的灌木、绿篱与地被小灌木</w:t>
      </w:r>
      <w:r>
        <w:rPr>
          <w:sz w:val="29"/>
          <w:szCs w:val="29"/>
        </w:rPr>
        <w:t xml:space="preserve"> </w:t>
      </w:r>
      <w:r>
        <w:rPr>
          <w:sz w:val="29"/>
          <w:szCs w:val="29"/>
          <w:spacing w:val="1"/>
        </w:rPr>
        <w:t>在新芽刚开始膨大时一次性回缩到位，不需要回缩的芽后修剪要保留更新枝；</w:t>
      </w:r>
    </w:p>
    <w:p>
      <w:pPr>
        <w:pStyle w:val="BodyText"/>
        <w:ind w:right="103" w:firstLine="730"/>
        <w:spacing w:before="136" w:line="269" w:lineRule="auto"/>
        <w:rPr>
          <w:sz w:val="29"/>
          <w:szCs w:val="29"/>
        </w:rPr>
      </w:pPr>
      <w:r>
        <w:rPr>
          <w:sz w:val="29"/>
          <w:szCs w:val="29"/>
          <w:spacing w:val="6"/>
        </w:rPr>
        <w:t>(3)草皮修剪：草坪进行疏草一次，将腐烂草清除以防草坪腐烂病；</w:t>
      </w:r>
      <w:r>
        <w:rPr>
          <w:sz w:val="29"/>
          <w:szCs w:val="29"/>
          <w:spacing w:val="5"/>
        </w:rPr>
        <w:t>打孔</w:t>
      </w:r>
      <w:r>
        <w:rPr>
          <w:sz w:val="29"/>
          <w:szCs w:val="29"/>
        </w:rPr>
        <w:t xml:space="preserve"> </w:t>
      </w:r>
      <w:r>
        <w:rPr>
          <w:sz w:val="29"/>
          <w:szCs w:val="29"/>
          <w:spacing w:val="1"/>
        </w:rPr>
        <w:t>一次，使草坪透气、透水，更好的萌发新根；进行铺沙填平小坑洼。</w:t>
      </w:r>
    </w:p>
    <w:p>
      <w:pPr>
        <w:pStyle w:val="BodyText"/>
        <w:ind w:left="570"/>
        <w:spacing w:before="133" w:line="395" w:lineRule="exact"/>
        <w:rPr>
          <w:rFonts w:ascii="SimHei" w:hAnsi="SimHei" w:eastAsia="SimHei" w:cs="SimHei"/>
          <w:sz w:val="29"/>
          <w:szCs w:val="29"/>
        </w:rPr>
      </w:pPr>
      <w:r>
        <w:rPr>
          <w:rFonts w:ascii="Arial" w:hAnsi="Arial" w:eastAsia="Arial" w:cs="Arial"/>
          <w:sz w:val="29"/>
          <w:szCs w:val="29"/>
          <w:spacing w:val="6"/>
          <w:position w:val="1"/>
        </w:rPr>
        <w:t>3</w:t>
      </w:r>
      <w:r>
        <w:rPr>
          <w:sz w:val="29"/>
          <w:szCs w:val="29"/>
          <w:spacing w:val="6"/>
          <w:position w:val="1"/>
        </w:rPr>
        <w:t>、</w:t>
      </w:r>
      <w:r>
        <w:rPr>
          <w:rFonts w:ascii="SimHei" w:hAnsi="SimHei" w:eastAsia="SimHei" w:cs="SimHei"/>
          <w:sz w:val="29"/>
          <w:szCs w:val="29"/>
          <w:spacing w:val="6"/>
          <w:position w:val="1"/>
        </w:rPr>
        <w:t>水肥管理</w:t>
      </w:r>
    </w:p>
    <w:p>
      <w:pPr>
        <w:pStyle w:val="BodyText"/>
        <w:ind w:left="730"/>
        <w:spacing w:before="98" w:line="219" w:lineRule="auto"/>
        <w:rPr>
          <w:sz w:val="29"/>
          <w:szCs w:val="29"/>
        </w:rPr>
      </w:pPr>
      <w:r>
        <w:rPr>
          <w:sz w:val="29"/>
          <w:szCs w:val="29"/>
          <w:spacing w:val="6"/>
        </w:rPr>
        <w:t>(1)浇水：草坪约每周浇水一次，连浇透水两遍；</w:t>
      </w:r>
    </w:p>
    <w:p>
      <w:pPr>
        <w:pStyle w:val="BodyText"/>
        <w:ind w:right="23" w:firstLine="730"/>
        <w:spacing w:before="154" w:line="279" w:lineRule="auto"/>
        <w:rPr>
          <w:sz w:val="29"/>
          <w:szCs w:val="29"/>
        </w:rPr>
      </w:pPr>
      <w:r>
        <w:rPr>
          <w:sz w:val="29"/>
          <w:szCs w:val="29"/>
          <w:spacing w:val="8"/>
        </w:rPr>
        <w:t>(2)施肥：乔灌木全区追肥一次，穴施有无机</w:t>
      </w:r>
      <w:r>
        <w:rPr>
          <w:sz w:val="29"/>
          <w:szCs w:val="29"/>
          <w:spacing w:val="7"/>
        </w:rPr>
        <w:t>复合肥或氮、磷、钾均衡型</w:t>
      </w:r>
      <w:r>
        <w:rPr>
          <w:sz w:val="29"/>
          <w:szCs w:val="29"/>
        </w:rPr>
        <w:t xml:space="preserve"> </w:t>
      </w:r>
      <w:r>
        <w:rPr>
          <w:sz w:val="29"/>
          <w:szCs w:val="29"/>
          <w:spacing w:val="-16"/>
        </w:rPr>
        <w:t>速效性复合肥；地被草皮施一次有机复合肥，若长势不好则追施一次无机复合肥，施</w:t>
      </w:r>
      <w:r>
        <w:rPr>
          <w:sz w:val="29"/>
          <w:szCs w:val="29"/>
          <w:spacing w:val="3"/>
        </w:rPr>
        <w:t xml:space="preserve"> </w:t>
      </w:r>
      <w:r>
        <w:rPr>
          <w:sz w:val="29"/>
          <w:szCs w:val="29"/>
          <w:spacing w:val="-21"/>
        </w:rPr>
        <w:t>肥应在下午3点左右进行，对一些植物可用叶面肥稀施美、磷酸二氢钾</w:t>
      </w:r>
      <w:r>
        <w:rPr>
          <w:sz w:val="29"/>
          <w:szCs w:val="29"/>
          <w:spacing w:val="-22"/>
        </w:rPr>
        <w:t>等喷施；</w:t>
      </w:r>
    </w:p>
    <w:p>
      <w:pPr>
        <w:pStyle w:val="BodyText"/>
        <w:ind w:left="730"/>
        <w:spacing w:before="156" w:line="219" w:lineRule="auto"/>
        <w:rPr>
          <w:sz w:val="29"/>
          <w:szCs w:val="29"/>
        </w:rPr>
      </w:pPr>
      <w:r>
        <w:rPr>
          <w:sz w:val="29"/>
          <w:szCs w:val="29"/>
          <w:spacing w:val="6"/>
        </w:rPr>
        <w:t>(4)营养液：未过保活期的树随着树体活动进行追</w:t>
      </w:r>
      <w:r>
        <w:rPr>
          <w:sz w:val="29"/>
          <w:szCs w:val="29"/>
          <w:spacing w:val="5"/>
        </w:rPr>
        <w:t>灌生根剂及输营养液。</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65" w:line="219" w:lineRule="auto"/>
        <w:rPr>
          <w:sz w:val="29"/>
          <w:szCs w:val="29"/>
        </w:rPr>
      </w:pPr>
      <w:r>
        <w:rPr>
          <w:sz w:val="29"/>
          <w:szCs w:val="29"/>
          <w:spacing w:val="8"/>
        </w:rPr>
        <w:t>(1)病害：根腐病、流胶病等；</w:t>
      </w:r>
    </w:p>
    <w:p>
      <w:pPr>
        <w:pStyle w:val="BodyText"/>
        <w:ind w:right="311" w:firstLine="730"/>
        <w:spacing w:before="105" w:line="278" w:lineRule="auto"/>
        <w:rPr>
          <w:sz w:val="29"/>
          <w:szCs w:val="29"/>
        </w:rPr>
      </w:pPr>
      <w:r>
        <w:rPr>
          <w:sz w:val="29"/>
          <w:szCs w:val="29"/>
          <w:spacing w:val="-9"/>
        </w:rPr>
        <w:t>(2)虫害：杜鹃冠网蝽、柑桔全爪螨、黑刺粉虱、咖啡木蠹蛾、柏肤小蠹、</w:t>
      </w:r>
      <w:r>
        <w:rPr>
          <w:sz w:val="29"/>
          <w:szCs w:val="29"/>
          <w:spacing w:val="5"/>
        </w:rPr>
        <w:t xml:space="preserve"> </w:t>
      </w:r>
      <w:r>
        <w:rPr>
          <w:sz w:val="29"/>
          <w:szCs w:val="29"/>
          <w:spacing w:val="-7"/>
        </w:rPr>
        <w:t>白蚁、小地老虎、玉带凤蝶等。</w:t>
      </w:r>
    </w:p>
    <w:p>
      <w:pPr>
        <w:pStyle w:val="BodyText"/>
        <w:ind w:left="570"/>
        <w:spacing w:before="12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101" w:firstLine="730"/>
        <w:spacing w:before="144" w:line="252"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94" w:firstLine="730"/>
        <w:spacing w:before="157" w:line="269"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ind w:left="570"/>
        <w:spacing w:before="17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right="102" w:firstLine="730"/>
        <w:spacing w:before="92"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right="100" w:firstLine="730"/>
        <w:spacing w:before="162" w:line="261"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7"/>
        </w:rPr>
        <w:t>其它物资.</w:t>
      </w:r>
    </w:p>
    <w:p>
      <w:pPr>
        <w:pStyle w:val="BodyText"/>
        <w:ind w:left="570"/>
        <w:spacing w:before="189"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right="135" w:firstLine="570"/>
        <w:spacing w:before="86" w:line="320" w:lineRule="auto"/>
        <w:rPr>
          <w:sz w:val="29"/>
          <w:szCs w:val="29"/>
        </w:rPr>
      </w:pPr>
      <w:r>
        <w:rPr>
          <w:sz w:val="29"/>
          <w:szCs w:val="29"/>
          <w:spacing w:val="-3"/>
        </w:rPr>
        <w:t>每天绿化工人在保洁的同时要注意行人随意丢弃烟</w:t>
      </w:r>
      <w:r>
        <w:rPr>
          <w:sz w:val="29"/>
          <w:szCs w:val="29"/>
          <w:spacing w:val="-4"/>
        </w:rPr>
        <w:t>头现象，并对其进行防火</w:t>
      </w:r>
      <w:r>
        <w:rPr>
          <w:sz w:val="29"/>
          <w:szCs w:val="29"/>
        </w:rPr>
        <w:t xml:space="preserve"> </w:t>
      </w:r>
      <w:r>
        <w:rPr>
          <w:sz w:val="29"/>
          <w:szCs w:val="29"/>
          <w:spacing w:val="-11"/>
        </w:rPr>
        <w:t>教育，加强防火意识。及时清扫落叶、树挂，消除火灾隐患。同时注意库房的防</w:t>
      </w:r>
    </w:p>
    <w:p>
      <w:pPr>
        <w:spacing w:line="320" w:lineRule="auto"/>
        <w:sectPr>
          <w:footerReference w:type="default" r:id="rId711"/>
          <w:pgSz w:w="14490" w:h="20470"/>
          <w:pgMar w:top="400" w:right="2173" w:bottom="1467" w:left="2150" w:header="0" w:footer="125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火、防盗情况。</w:t>
      </w:r>
    </w:p>
    <w:p>
      <w:pPr>
        <w:spacing w:before="146" w:line="223" w:lineRule="auto"/>
        <w:rPr>
          <w:rFonts w:ascii="SimHei" w:hAnsi="SimHei" w:eastAsia="SimHei" w:cs="SimHei"/>
          <w:sz w:val="29"/>
          <w:szCs w:val="29"/>
        </w:rPr>
      </w:pPr>
      <w:r>
        <w:rPr>
          <w:rFonts w:ascii="SimHei" w:hAnsi="SimHei" w:eastAsia="SimHei" w:cs="SimHei"/>
          <w:sz w:val="29"/>
          <w:szCs w:val="29"/>
          <w:spacing w:val="9"/>
        </w:rPr>
        <w:t>四月份</w:t>
      </w:r>
    </w:p>
    <w:p>
      <w:pPr>
        <w:pStyle w:val="BodyText"/>
        <w:ind w:left="570"/>
        <w:spacing w:before="179" w:line="220" w:lineRule="auto"/>
        <w:rPr>
          <w:sz w:val="29"/>
          <w:szCs w:val="29"/>
        </w:rPr>
      </w:pPr>
      <w:r>
        <w:rPr>
          <w:sz w:val="29"/>
          <w:szCs w:val="29"/>
          <w:spacing w:val="6"/>
        </w:rPr>
        <w:t>气温回升快，雨量多。注意病虫害的预防。</w:t>
      </w:r>
    </w:p>
    <w:p>
      <w:pPr>
        <w:pStyle w:val="BodyText"/>
        <w:ind w:left="570"/>
        <w:spacing w:before="141"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12" w:line="219" w:lineRule="auto"/>
        <w:rPr>
          <w:sz w:val="29"/>
          <w:szCs w:val="29"/>
        </w:rPr>
      </w:pPr>
      <w:r>
        <w:rPr>
          <w:sz w:val="29"/>
          <w:szCs w:val="29"/>
          <w:spacing w:val="6"/>
        </w:rPr>
        <w:t>(1)春季补植，对有些返青不好及长势不好苗木进</w:t>
      </w:r>
      <w:r>
        <w:rPr>
          <w:sz w:val="29"/>
          <w:szCs w:val="29"/>
          <w:spacing w:val="5"/>
        </w:rPr>
        <w:t>行更换；</w:t>
      </w:r>
    </w:p>
    <w:p>
      <w:pPr>
        <w:pStyle w:val="BodyText"/>
        <w:ind w:left="730"/>
        <w:spacing w:before="138" w:line="219" w:lineRule="auto"/>
        <w:rPr>
          <w:sz w:val="29"/>
          <w:szCs w:val="29"/>
        </w:rPr>
      </w:pPr>
      <w:r>
        <w:rPr>
          <w:sz w:val="29"/>
          <w:szCs w:val="29"/>
          <w:spacing w:val="8"/>
        </w:rPr>
        <w:t>(2)及时检查乔木支撑情况，发现松动或缺失立即加固。</w:t>
      </w:r>
    </w:p>
    <w:p>
      <w:pPr>
        <w:ind w:left="570"/>
        <w:spacing w:before="10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right="401" w:firstLine="730"/>
        <w:spacing w:before="142" w:line="269" w:lineRule="auto"/>
        <w:rPr>
          <w:sz w:val="29"/>
          <w:szCs w:val="29"/>
        </w:rPr>
      </w:pPr>
      <w:r>
        <w:rPr>
          <w:sz w:val="29"/>
          <w:szCs w:val="29"/>
          <w:spacing w:val="6"/>
        </w:rPr>
        <w:t>(1)乔木修剪：对行道树的枯枝、废枝进行修剪，对根部发生的明蘖小苗</w:t>
      </w:r>
      <w:r>
        <w:rPr>
          <w:sz w:val="29"/>
          <w:szCs w:val="29"/>
        </w:rPr>
        <w:t xml:space="preserve"> </w:t>
      </w:r>
      <w:r>
        <w:rPr>
          <w:sz w:val="29"/>
          <w:szCs w:val="29"/>
        </w:rPr>
        <w:t>随时剥除，保证树形优美。</w:t>
      </w:r>
    </w:p>
    <w:p>
      <w:pPr>
        <w:pStyle w:val="BodyText"/>
        <w:ind w:right="310" w:firstLine="730"/>
        <w:spacing w:before="126" w:line="281" w:lineRule="auto"/>
        <w:rPr>
          <w:sz w:val="29"/>
          <w:szCs w:val="29"/>
        </w:rPr>
      </w:pPr>
      <w:r>
        <w:rPr>
          <w:sz w:val="29"/>
          <w:szCs w:val="29"/>
          <w:spacing w:val="9"/>
        </w:rPr>
        <w:t>(2)灌木、地被修剪：草坪剪草两次，对于生</w:t>
      </w:r>
      <w:r>
        <w:rPr>
          <w:sz w:val="29"/>
          <w:szCs w:val="29"/>
          <w:spacing w:val="8"/>
        </w:rPr>
        <w:t>长过量需要回缩的灌木、绿</w:t>
      </w:r>
      <w:r>
        <w:rPr>
          <w:sz w:val="29"/>
          <w:szCs w:val="29"/>
        </w:rPr>
        <w:t xml:space="preserve"> </w:t>
      </w:r>
      <w:r>
        <w:rPr>
          <w:sz w:val="29"/>
          <w:szCs w:val="29"/>
        </w:rPr>
        <w:t>篱与地被小灌木在新芽刚开始膨大时一次性回缩到位，不需要回缩的芽后修剪要</w:t>
      </w:r>
      <w:r>
        <w:rPr>
          <w:sz w:val="29"/>
          <w:szCs w:val="29"/>
          <w:spacing w:val="3"/>
        </w:rPr>
        <w:t xml:space="preserve"> </w:t>
      </w:r>
      <w:r>
        <w:rPr>
          <w:sz w:val="29"/>
          <w:szCs w:val="29"/>
          <w:spacing w:val="-1"/>
        </w:rPr>
        <w:t>保留更新枝。</w:t>
      </w:r>
    </w:p>
    <w:p>
      <w:pPr>
        <w:pStyle w:val="BodyText"/>
        <w:ind w:right="381" w:firstLine="730"/>
        <w:spacing w:before="152" w:line="286" w:lineRule="auto"/>
        <w:rPr>
          <w:sz w:val="29"/>
          <w:szCs w:val="29"/>
        </w:rPr>
      </w:pPr>
      <w:r>
        <w:rPr>
          <w:sz w:val="29"/>
          <w:szCs w:val="29"/>
          <w:spacing w:val="6"/>
        </w:rPr>
        <w:t>(3)及时检查发现草坪中的杂草，对杂草集中地段，喷撒西玛津</w:t>
      </w:r>
      <w:r>
        <w:rPr>
          <w:sz w:val="29"/>
          <w:szCs w:val="29"/>
          <w:spacing w:val="5"/>
        </w:rPr>
        <w:t>、2,4-</w:t>
      </w:r>
      <w:r>
        <w:rPr>
          <w:rFonts w:ascii="Times New Roman" w:hAnsi="Times New Roman" w:eastAsia="Times New Roman" w:cs="Times New Roman"/>
          <w:sz w:val="29"/>
          <w:szCs w:val="29"/>
          <w:spacing w:val="5"/>
        </w:rPr>
        <w:t>D</w:t>
      </w:r>
      <w:r>
        <w:rPr>
          <w:rFonts w:ascii="Times New Roman" w:hAnsi="Times New Roman" w:eastAsia="Times New Roman" w:cs="Times New Roman"/>
          <w:sz w:val="29"/>
          <w:szCs w:val="29"/>
        </w:rPr>
        <w:t xml:space="preserve">  </w:t>
      </w:r>
      <w:r>
        <w:rPr>
          <w:sz w:val="29"/>
          <w:szCs w:val="29"/>
          <w:spacing w:val="-10"/>
        </w:rPr>
        <w:t>丁酯、扑草净、绿麦隆等除草剂。施用时，应详细了解配水浓度和用量，以防止用</w:t>
      </w:r>
      <w:r>
        <w:rPr>
          <w:sz w:val="29"/>
          <w:szCs w:val="29"/>
          <w:spacing w:val="2"/>
        </w:rPr>
        <w:t xml:space="preserve"> </w:t>
      </w:r>
      <w:r>
        <w:rPr>
          <w:sz w:val="29"/>
          <w:szCs w:val="29"/>
        </w:rPr>
        <w:t>量过多或施用方法不当，损伤草坪周围其它花木。</w:t>
      </w:r>
    </w:p>
    <w:p>
      <w:pPr>
        <w:ind w:left="570"/>
        <w:spacing w:before="17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70"/>
        <w:spacing w:before="112" w:line="219" w:lineRule="auto"/>
        <w:rPr>
          <w:sz w:val="29"/>
          <w:szCs w:val="29"/>
        </w:rPr>
      </w:pPr>
      <w:r>
        <w:rPr>
          <w:sz w:val="29"/>
          <w:szCs w:val="29"/>
          <w:spacing w:val="1"/>
        </w:rPr>
        <w:t>对草坪、地被结合灌水，追施速效氮肥，或者根据需要进行叶面喷施。</w:t>
      </w:r>
    </w:p>
    <w:p>
      <w:pPr>
        <w:pStyle w:val="BodyText"/>
        <w:ind w:left="570"/>
        <w:spacing w:before="125" w:line="221" w:lineRule="auto"/>
        <w:rPr>
          <w:rFonts w:ascii="SimHei" w:hAnsi="SimHei" w:eastAsia="SimHei" w:cs="SimHei"/>
          <w:sz w:val="29"/>
          <w:szCs w:val="29"/>
        </w:rPr>
      </w:pPr>
      <w:r>
        <w:rPr>
          <w:rFonts w:ascii="Arial" w:hAnsi="Arial" w:eastAsia="Arial" w:cs="Arial"/>
          <w:sz w:val="29"/>
          <w:szCs w:val="29"/>
          <w:spacing w:val="8"/>
        </w:rPr>
        <w:t>4</w:t>
      </w:r>
      <w:r>
        <w:rPr>
          <w:sz w:val="29"/>
          <w:szCs w:val="29"/>
          <w:spacing w:val="8"/>
        </w:rPr>
        <w:t>、</w:t>
      </w:r>
      <w:r>
        <w:rPr>
          <w:rFonts w:ascii="SimHei" w:hAnsi="SimHei" w:eastAsia="SimHei" w:cs="SimHei"/>
          <w:sz w:val="29"/>
          <w:szCs w:val="29"/>
          <w:spacing w:val="8"/>
        </w:rPr>
        <w:t>病虫害防治</w:t>
      </w:r>
    </w:p>
    <w:p>
      <w:pPr>
        <w:pStyle w:val="BodyText"/>
        <w:ind w:left="730"/>
        <w:spacing w:before="135" w:line="219" w:lineRule="auto"/>
        <w:rPr>
          <w:sz w:val="29"/>
          <w:szCs w:val="29"/>
        </w:rPr>
      </w:pPr>
      <w:r>
        <w:rPr>
          <w:sz w:val="29"/>
          <w:szCs w:val="29"/>
          <w:spacing w:val="7"/>
        </w:rPr>
        <w:t>(1)病害：炭疽病、叶斑类病害、锈病、根腐</w:t>
      </w:r>
      <w:r>
        <w:rPr>
          <w:sz w:val="29"/>
          <w:szCs w:val="29"/>
          <w:spacing w:val="6"/>
        </w:rPr>
        <w:t>病、流胶病等；</w:t>
      </w:r>
    </w:p>
    <w:p>
      <w:pPr>
        <w:pStyle w:val="BodyText"/>
        <w:ind w:right="314" w:firstLine="730"/>
        <w:spacing w:before="134" w:line="279" w:lineRule="auto"/>
        <w:rPr>
          <w:sz w:val="29"/>
          <w:szCs w:val="29"/>
        </w:rPr>
      </w:pPr>
      <w:r>
        <w:rPr>
          <w:sz w:val="29"/>
          <w:szCs w:val="29"/>
          <w:spacing w:val="8"/>
        </w:rPr>
        <w:t>(2)虫害：大青叶蝉、桃蚜、桃粉蚜、桃瘤蚜、梨网冠蝽、</w:t>
      </w:r>
      <w:r>
        <w:rPr>
          <w:sz w:val="29"/>
          <w:szCs w:val="29"/>
          <w:spacing w:val="7"/>
        </w:rPr>
        <w:t>杜鹃冠网蝽、</w:t>
      </w:r>
      <w:r>
        <w:rPr>
          <w:sz w:val="29"/>
          <w:szCs w:val="29"/>
        </w:rPr>
        <w:t xml:space="preserve"> </w:t>
      </w:r>
      <w:r>
        <w:rPr>
          <w:sz w:val="29"/>
          <w:szCs w:val="29"/>
          <w:spacing w:val="-8"/>
        </w:rPr>
        <w:t>柑桔全爪螨、桔绿粉虱、黑刺粉虱、星天牛、咖啡木蠹蛾、柏肤小蠹、白蚁</w:t>
      </w:r>
      <w:r>
        <w:rPr>
          <w:sz w:val="29"/>
          <w:szCs w:val="29"/>
          <w:spacing w:val="-9"/>
        </w:rPr>
        <w:t>、小地</w:t>
      </w:r>
      <w:r>
        <w:rPr>
          <w:sz w:val="29"/>
          <w:szCs w:val="29"/>
        </w:rPr>
        <w:t xml:space="preserve"> </w:t>
      </w:r>
      <w:r>
        <w:rPr>
          <w:sz w:val="29"/>
          <w:szCs w:val="29"/>
          <w:spacing w:val="2"/>
        </w:rPr>
        <w:t>老虎、玉带凤蝶、樟叶蜂、枸桔潜跳甲、椰心</w:t>
      </w:r>
      <w:r>
        <w:rPr>
          <w:sz w:val="29"/>
          <w:szCs w:val="29"/>
          <w:spacing w:val="1"/>
        </w:rPr>
        <w:t>叶甲等。</w:t>
      </w:r>
    </w:p>
    <w:p>
      <w:pPr>
        <w:pStyle w:val="BodyText"/>
        <w:ind w:left="570"/>
        <w:spacing w:before="159"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00" w:firstLine="730"/>
        <w:spacing w:before="94" w:line="271"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64" w:firstLine="730"/>
        <w:spacing w:before="147" w:line="266"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2"/>
        </w:rPr>
        <w:t>售展示区)进行彻底清理。</w:t>
      </w:r>
    </w:p>
    <w:p>
      <w:pPr>
        <w:ind w:left="570"/>
        <w:spacing w:before="185" w:line="222" w:lineRule="auto"/>
        <w:rPr>
          <w:rFonts w:ascii="SimHei" w:hAnsi="SimHei" w:eastAsia="SimHei" w:cs="SimHei"/>
          <w:sz w:val="29"/>
          <w:szCs w:val="29"/>
        </w:rPr>
      </w:pPr>
      <w:r>
        <w:rPr>
          <w:rFonts w:ascii="SimHei" w:hAnsi="SimHei" w:eastAsia="SimHei" w:cs="SimHei"/>
          <w:sz w:val="29"/>
          <w:szCs w:val="29"/>
          <w:spacing w:val="4"/>
        </w:rPr>
        <w:t>6、时花摆放</w:t>
      </w:r>
    </w:p>
    <w:p>
      <w:pPr>
        <w:pStyle w:val="BodyText"/>
        <w:ind w:left="730"/>
        <w:spacing w:before="92"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5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0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spacing w:before="153" w:line="219" w:lineRule="auto"/>
        <w:jc w:val="right"/>
        <w:rPr>
          <w:sz w:val="29"/>
          <w:szCs w:val="29"/>
        </w:rPr>
      </w:pPr>
      <w:r>
        <w:rPr>
          <w:sz w:val="29"/>
          <w:szCs w:val="29"/>
          <w:spacing w:val="1"/>
        </w:rPr>
        <w:t>库房物品整理，物料工具出入库及领用登记，注意保管汽油、农药等危险品；</w:t>
      </w:r>
    </w:p>
    <w:p>
      <w:pPr>
        <w:pStyle w:val="BodyText"/>
        <w:ind w:left="570"/>
        <w:spacing w:before="51" w:line="396" w:lineRule="exact"/>
        <w:rPr>
          <w:rFonts w:ascii="SimHei" w:hAnsi="SimHei" w:eastAsia="SimHei" w:cs="SimHei"/>
          <w:sz w:val="29"/>
          <w:szCs w:val="29"/>
        </w:rPr>
      </w:pPr>
      <w:r>
        <w:rPr>
          <w:rFonts w:ascii="Arial" w:hAnsi="Arial" w:eastAsia="Arial" w:cs="Arial"/>
          <w:sz w:val="29"/>
          <w:szCs w:val="29"/>
          <w:spacing w:val="1"/>
          <w:position w:val="1"/>
        </w:rPr>
        <w:t>8</w:t>
      </w:r>
      <w:r>
        <w:rPr>
          <w:sz w:val="29"/>
          <w:szCs w:val="29"/>
          <w:spacing w:val="1"/>
          <w:position w:val="1"/>
        </w:rPr>
        <w:t>、</w:t>
      </w:r>
      <w:r>
        <w:rPr>
          <w:rFonts w:ascii="SimHei" w:hAnsi="SimHei" w:eastAsia="SimHei" w:cs="SimHei"/>
          <w:sz w:val="29"/>
          <w:szCs w:val="29"/>
          <w:spacing w:val="1"/>
          <w:position w:val="1"/>
        </w:rPr>
        <w:t>防火防盗</w:t>
      </w:r>
    </w:p>
    <w:p>
      <w:pPr>
        <w:pStyle w:val="BodyText"/>
        <w:ind w:left="570"/>
        <w:spacing w:before="149" w:line="219" w:lineRule="auto"/>
        <w:rPr>
          <w:sz w:val="29"/>
          <w:szCs w:val="29"/>
        </w:rPr>
      </w:pPr>
      <w:r>
        <w:rPr>
          <w:sz w:val="29"/>
          <w:szCs w:val="29"/>
          <w:spacing w:val="2"/>
        </w:rPr>
        <w:t>每天绿化工人在保洁的同时要注意行人随意丢弃烟头现象，并对其进行防火</w:t>
      </w:r>
    </w:p>
    <w:p>
      <w:pPr>
        <w:spacing w:line="219" w:lineRule="auto"/>
        <w:sectPr>
          <w:footerReference w:type="default" r:id="rId712"/>
          <w:pgSz w:w="14490" w:h="20470"/>
          <w:pgMar w:top="400" w:right="1874" w:bottom="1467" w:left="2150" w:header="0" w:footer="1250"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322" w:lineRule="auto"/>
        <w:rPr>
          <w:sz w:val="29"/>
          <w:szCs w:val="29"/>
        </w:rPr>
      </w:pP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9"/>
        </w:rPr>
        <w:t>五月份</w:t>
      </w:r>
    </w:p>
    <w:p>
      <w:pPr>
        <w:pStyle w:val="BodyText"/>
        <w:ind w:left="600"/>
        <w:spacing w:before="156" w:line="219" w:lineRule="auto"/>
        <w:rPr>
          <w:sz w:val="29"/>
          <w:szCs w:val="29"/>
        </w:rPr>
      </w:pPr>
      <w:r>
        <w:rPr>
          <w:sz w:val="29"/>
          <w:szCs w:val="29"/>
          <w:spacing w:val="2"/>
        </w:rPr>
        <w:t>气温升高，树木生长迅速，注意防大风、暴雨</w:t>
      </w:r>
    </w:p>
    <w:p>
      <w:pPr>
        <w:pStyle w:val="BodyText"/>
        <w:ind w:left="600"/>
        <w:spacing w:before="10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34" w:line="219" w:lineRule="auto"/>
        <w:rPr>
          <w:sz w:val="29"/>
          <w:szCs w:val="29"/>
        </w:rPr>
      </w:pPr>
      <w:r>
        <w:rPr>
          <w:sz w:val="29"/>
          <w:szCs w:val="29"/>
          <w:spacing w:val="1"/>
        </w:rPr>
        <w:t>及时检查乔木支撑情况，发现松动或缺失立即加固。</w:t>
      </w:r>
    </w:p>
    <w:p>
      <w:pPr>
        <w:pStyle w:val="BodyText"/>
        <w:ind w:left="60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22" w:firstLine="730"/>
        <w:spacing w:before="156" w:line="268" w:lineRule="auto"/>
        <w:rPr>
          <w:sz w:val="29"/>
          <w:szCs w:val="29"/>
        </w:rPr>
      </w:pPr>
      <w:r>
        <w:rPr>
          <w:sz w:val="29"/>
          <w:szCs w:val="29"/>
          <w:spacing w:val="6"/>
        </w:rPr>
        <w:t>(1)乔木修剪：对乔灌木的徒长枝进行修剪并对苗木进行整形修剪，保证</w:t>
      </w:r>
      <w:r>
        <w:rPr>
          <w:sz w:val="29"/>
          <w:szCs w:val="29"/>
          <w:spacing w:val="18"/>
        </w:rPr>
        <w:t xml:space="preserve"> </w:t>
      </w:r>
      <w:r>
        <w:rPr>
          <w:sz w:val="29"/>
          <w:szCs w:val="29"/>
          <w:spacing w:val="1"/>
        </w:rPr>
        <w:t>乔灌木树形优美。对行道树进行抹芽、去萌蘖枝。并配合修剪进行追施薄肥；</w:t>
      </w:r>
    </w:p>
    <w:p>
      <w:pPr>
        <w:pStyle w:val="BodyText"/>
        <w:ind w:left="730"/>
        <w:spacing w:before="127" w:line="219" w:lineRule="auto"/>
        <w:rPr>
          <w:sz w:val="29"/>
          <w:szCs w:val="29"/>
        </w:rPr>
      </w:pPr>
      <w:r>
        <w:rPr>
          <w:sz w:val="29"/>
          <w:szCs w:val="29"/>
          <w:spacing w:val="5"/>
        </w:rPr>
        <w:t>(2)灌木、地被修剪：地被小灌木、绿篱与造型树及时修剪；</w:t>
      </w:r>
    </w:p>
    <w:p>
      <w:pPr>
        <w:pStyle w:val="BodyText"/>
        <w:ind w:right="360" w:firstLine="730"/>
        <w:spacing w:before="167" w:line="259" w:lineRule="auto"/>
        <w:rPr>
          <w:sz w:val="29"/>
          <w:szCs w:val="29"/>
        </w:rPr>
      </w:pPr>
      <w:r>
        <w:rPr>
          <w:sz w:val="29"/>
          <w:szCs w:val="29"/>
          <w:spacing w:val="-7"/>
        </w:rPr>
        <w:t>(3)草皮修剪：草坪每月修剪2-3次，加强杂草的防治清除工作，</w:t>
      </w:r>
      <w:r>
        <w:rPr>
          <w:sz w:val="29"/>
          <w:szCs w:val="29"/>
          <w:spacing w:val="-8"/>
        </w:rPr>
        <w:t>用人工防除</w:t>
      </w:r>
      <w:r>
        <w:rPr>
          <w:sz w:val="29"/>
          <w:szCs w:val="29"/>
        </w:rPr>
        <w:t xml:space="preserve"> </w:t>
      </w:r>
      <w:r>
        <w:rPr>
          <w:sz w:val="29"/>
          <w:szCs w:val="29"/>
          <w:spacing w:val="-8"/>
        </w:rPr>
        <w:t>结合化学防除。</w:t>
      </w:r>
    </w:p>
    <w:p>
      <w:pPr>
        <w:ind w:left="600"/>
        <w:spacing w:before="18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24" w:firstLine="730"/>
        <w:spacing w:before="103" w:line="275" w:lineRule="auto"/>
        <w:rPr>
          <w:sz w:val="29"/>
          <w:szCs w:val="29"/>
        </w:rPr>
      </w:pPr>
      <w:r>
        <w:rPr>
          <w:sz w:val="29"/>
          <w:szCs w:val="29"/>
          <w:spacing w:val="6"/>
        </w:rPr>
        <w:t>(1)浇水：加强浇水、保湿工和，未过保活期的树木采取多种措施增加保</w:t>
      </w:r>
      <w:r>
        <w:rPr>
          <w:sz w:val="29"/>
          <w:szCs w:val="29"/>
          <w:spacing w:val="16"/>
        </w:rPr>
        <w:t xml:space="preserve"> </w:t>
      </w:r>
      <w:r>
        <w:rPr>
          <w:sz w:val="29"/>
          <w:szCs w:val="29"/>
          <w:spacing w:val="-5"/>
        </w:rPr>
        <w:t>水减少蒸腾；</w:t>
      </w:r>
    </w:p>
    <w:p>
      <w:pPr>
        <w:pStyle w:val="BodyText"/>
        <w:ind w:right="323" w:firstLine="730"/>
        <w:spacing w:before="137" w:line="262" w:lineRule="auto"/>
        <w:rPr>
          <w:sz w:val="29"/>
          <w:szCs w:val="29"/>
        </w:rPr>
      </w:pPr>
      <w:r>
        <w:rPr>
          <w:sz w:val="29"/>
          <w:szCs w:val="29"/>
          <w:spacing w:val="6"/>
        </w:rPr>
        <w:t>(2)排水：雨季开始，雨水充沛，应预先做好排涝准备，防止绿地、草坪</w:t>
      </w:r>
      <w:r>
        <w:rPr>
          <w:sz w:val="29"/>
          <w:szCs w:val="29"/>
          <w:spacing w:val="17"/>
        </w:rPr>
        <w:t xml:space="preserve"> </w:t>
      </w:r>
      <w:r>
        <w:rPr>
          <w:sz w:val="29"/>
          <w:szCs w:val="29"/>
          <w:spacing w:val="-10"/>
        </w:rPr>
        <w:t>积水；</w:t>
      </w:r>
    </w:p>
    <w:p>
      <w:pPr>
        <w:pStyle w:val="BodyText"/>
        <w:ind w:right="494" w:firstLine="730"/>
        <w:spacing w:before="153" w:line="272" w:lineRule="auto"/>
        <w:rPr>
          <w:sz w:val="29"/>
          <w:szCs w:val="29"/>
        </w:rPr>
      </w:pPr>
      <w:r>
        <w:rPr>
          <w:sz w:val="29"/>
          <w:szCs w:val="29"/>
          <w:spacing w:val="1"/>
        </w:rPr>
        <w:t>(3)施肥：草皮，地被撒施有无机复合肥(含有15 总养分以上，有机质大</w:t>
      </w:r>
      <w:r>
        <w:rPr>
          <w:sz w:val="29"/>
          <w:szCs w:val="29"/>
          <w:spacing w:val="9"/>
        </w:rPr>
        <w:t xml:space="preserve"> </w:t>
      </w:r>
      <w:r>
        <w:rPr>
          <w:sz w:val="29"/>
          <w:szCs w:val="29"/>
        </w:rPr>
        <w:t>于20%)一次，施肥后注意配合浇水，防止发生肥害。</w:t>
      </w:r>
    </w:p>
    <w:p>
      <w:pPr>
        <w:pStyle w:val="BodyText"/>
        <w:ind w:left="600"/>
        <w:spacing w:before="17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15" w:firstLine="730"/>
        <w:spacing w:before="95" w:line="268" w:lineRule="auto"/>
        <w:rPr>
          <w:sz w:val="29"/>
          <w:szCs w:val="29"/>
        </w:rPr>
      </w:pPr>
      <w:r>
        <w:rPr>
          <w:sz w:val="29"/>
          <w:szCs w:val="29"/>
          <w:spacing w:val="7"/>
        </w:rPr>
        <w:t>(1)病害：白粉病、霜霉病、炭疽病、叶斑类病害、锈</w:t>
      </w:r>
      <w:r>
        <w:rPr>
          <w:sz w:val="29"/>
          <w:szCs w:val="29"/>
          <w:spacing w:val="6"/>
        </w:rPr>
        <w:t>病、干腐病、根腐</w:t>
      </w:r>
      <w:r>
        <w:rPr>
          <w:sz w:val="29"/>
          <w:szCs w:val="29"/>
        </w:rPr>
        <w:t xml:space="preserve"> </w:t>
      </w:r>
      <w:r>
        <w:rPr>
          <w:sz w:val="29"/>
          <w:szCs w:val="29"/>
        </w:rPr>
        <w:t>病、流胶病、棕榈科植物心腐病、细菌性穿孔病等；</w:t>
      </w:r>
    </w:p>
    <w:p>
      <w:pPr>
        <w:pStyle w:val="BodyText"/>
        <w:ind w:right="229" w:firstLine="730"/>
        <w:spacing w:before="114" w:line="299" w:lineRule="auto"/>
        <w:rPr>
          <w:sz w:val="29"/>
          <w:szCs w:val="29"/>
        </w:rPr>
      </w:pPr>
      <w:r>
        <w:rPr>
          <w:sz w:val="29"/>
          <w:szCs w:val="29"/>
          <w:spacing w:val="8"/>
        </w:rPr>
        <w:t>(2)虫害：大青叶蝉、桃蚜、桃粉蚜、桃瘤蚜、梨网冠蝽、</w:t>
      </w:r>
      <w:r>
        <w:rPr>
          <w:sz w:val="29"/>
          <w:szCs w:val="29"/>
          <w:spacing w:val="7"/>
        </w:rPr>
        <w:t>杜鹃冠网蝽、</w:t>
      </w:r>
      <w:r>
        <w:rPr>
          <w:sz w:val="29"/>
          <w:szCs w:val="29"/>
        </w:rPr>
        <w:t xml:space="preserve"> </w:t>
      </w:r>
      <w:r>
        <w:rPr>
          <w:sz w:val="29"/>
          <w:szCs w:val="29"/>
          <w:spacing w:val="-15"/>
        </w:rPr>
        <w:t>柑桔全爪螨、桔绿粉虱、黑刺粉虱、星天牛、云斑天牛、咖啡木蠹蛾、柏肤小蠹、白</w:t>
      </w:r>
      <w:r>
        <w:rPr>
          <w:sz w:val="29"/>
          <w:szCs w:val="29"/>
        </w:rPr>
        <w:t xml:space="preserve"> </w:t>
      </w:r>
      <w:r>
        <w:rPr>
          <w:sz w:val="29"/>
          <w:szCs w:val="29"/>
          <w:spacing w:val="8"/>
        </w:rPr>
        <w:t>蚁、蝼蛄、桃剑纹夜蛾、樟蚕(枫蚕)、绿尾大蚕蛾、柑桔凤蝶、玉带凤蝶、樟</w:t>
      </w:r>
      <w:r>
        <w:rPr>
          <w:sz w:val="29"/>
          <w:szCs w:val="29"/>
          <w:spacing w:val="9"/>
        </w:rPr>
        <w:t xml:space="preserve"> </w:t>
      </w:r>
      <w:r>
        <w:rPr>
          <w:sz w:val="29"/>
          <w:szCs w:val="29"/>
        </w:rPr>
        <w:t>青凤蝶、蔷薇三节叶蜂、樟叶蜂、葡萄十星叶甲、</w:t>
      </w:r>
      <w:r>
        <w:rPr>
          <w:sz w:val="29"/>
          <w:szCs w:val="29"/>
          <w:spacing w:val="-1"/>
        </w:rPr>
        <w:t>枸桔潜跳甲、椰心叶甲、红棕</w:t>
      </w:r>
      <w:r>
        <w:rPr>
          <w:sz w:val="29"/>
          <w:szCs w:val="29"/>
        </w:rPr>
        <w:t xml:space="preserve"> </w:t>
      </w:r>
      <w:r>
        <w:rPr>
          <w:sz w:val="29"/>
          <w:szCs w:val="29"/>
          <w:spacing w:val="-3"/>
        </w:rPr>
        <w:t>象甲等。</w:t>
      </w:r>
    </w:p>
    <w:p>
      <w:pPr>
        <w:pStyle w:val="BodyText"/>
        <w:ind w:left="600"/>
        <w:spacing w:before="15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83"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47" w:line="266"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600"/>
        <w:spacing w:before="19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left="730"/>
        <w:spacing w:before="93" w:line="219" w:lineRule="auto"/>
        <w:rPr>
          <w:sz w:val="29"/>
          <w:szCs w:val="29"/>
        </w:rPr>
      </w:pPr>
      <w:r>
        <w:rPr>
          <w:sz w:val="29"/>
          <w:szCs w:val="29"/>
          <w:spacing w:val="7"/>
        </w:rPr>
        <w:t>(1)库房物品整理，物料工具出入库及领用登记，注意保管汽油、农药等</w:t>
      </w:r>
    </w:p>
    <w:p>
      <w:pPr>
        <w:spacing w:line="219" w:lineRule="auto"/>
        <w:sectPr>
          <w:footerReference w:type="default" r:id="rId713"/>
          <w:pgSz w:w="14490" w:h="20470"/>
          <w:pgMar w:top="400" w:right="1935" w:bottom="1467" w:left="2150" w:header="0" w:footer="1250" w:gutter="0"/>
        </w:sectPr>
        <w:rPr>
          <w:sz w:val="29"/>
          <w:szCs w:val="29"/>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20" w:lineRule="auto"/>
        <w:rPr>
          <w:sz w:val="29"/>
          <w:szCs w:val="29"/>
        </w:rPr>
      </w:pPr>
      <w:r>
        <w:rPr>
          <w:sz w:val="29"/>
          <w:szCs w:val="29"/>
          <w:spacing w:val="-5"/>
        </w:rPr>
        <w:t>危险品；</w:t>
      </w:r>
    </w:p>
    <w:p>
      <w:pPr>
        <w:pStyle w:val="BodyText"/>
        <w:ind w:left="730"/>
        <w:spacing w:before="151" w:line="219" w:lineRule="auto"/>
        <w:rPr>
          <w:sz w:val="29"/>
          <w:szCs w:val="29"/>
        </w:rPr>
      </w:pPr>
      <w:r>
        <w:rPr>
          <w:sz w:val="29"/>
          <w:szCs w:val="29"/>
          <w:spacing w:val="12"/>
        </w:rPr>
        <w:t>(2)进行机械工具的检查维修。</w:t>
      </w:r>
    </w:p>
    <w:p>
      <w:pPr>
        <w:pStyle w:val="BodyText"/>
        <w:ind w:left="600"/>
        <w:spacing w:before="105"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600"/>
        <w:spacing w:before="157" w:line="30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2"/>
        </w:rPr>
        <w:t>防盗情况。</w:t>
      </w:r>
    </w:p>
    <w:p>
      <w:pPr>
        <w:spacing w:before="96" w:line="223" w:lineRule="auto"/>
        <w:rPr>
          <w:rFonts w:ascii="SimHei" w:hAnsi="SimHei" w:eastAsia="SimHei" w:cs="SimHei"/>
          <w:sz w:val="29"/>
          <w:szCs w:val="29"/>
        </w:rPr>
      </w:pPr>
      <w:r>
        <w:rPr>
          <w:rFonts w:ascii="SimHei" w:hAnsi="SimHei" w:eastAsia="SimHei" w:cs="SimHei"/>
          <w:sz w:val="29"/>
          <w:szCs w:val="29"/>
          <w:spacing w:val="6"/>
        </w:rPr>
        <w:t>六月份</w:t>
      </w:r>
    </w:p>
    <w:p>
      <w:pPr>
        <w:pStyle w:val="BodyText"/>
        <w:ind w:left="600"/>
        <w:spacing w:before="149" w:line="219" w:lineRule="auto"/>
        <w:rPr>
          <w:sz w:val="29"/>
          <w:szCs w:val="29"/>
        </w:rPr>
      </w:pPr>
      <w:r>
        <w:rPr>
          <w:sz w:val="29"/>
          <w:szCs w:val="29"/>
          <w:spacing w:val="4"/>
        </w:rPr>
        <w:t>气温逐渐升高，进入初夏。降雨强度大。</w:t>
      </w:r>
    </w:p>
    <w:p>
      <w:pPr>
        <w:pStyle w:val="BodyText"/>
        <w:ind w:left="600"/>
        <w:spacing w:before="13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13" w:line="219" w:lineRule="auto"/>
        <w:rPr>
          <w:sz w:val="29"/>
          <w:szCs w:val="29"/>
        </w:rPr>
      </w:pPr>
      <w:r>
        <w:rPr>
          <w:sz w:val="29"/>
          <w:szCs w:val="29"/>
        </w:rPr>
        <w:t>及时检查乔木支撑情况，发现松动或缺失立即加固。</w:t>
      </w:r>
    </w:p>
    <w:p>
      <w:pPr>
        <w:ind w:left="600"/>
        <w:spacing w:before="133" w:line="221" w:lineRule="auto"/>
        <w:rPr>
          <w:rFonts w:ascii="SimHei" w:hAnsi="SimHei" w:eastAsia="SimHei" w:cs="SimHei"/>
          <w:sz w:val="29"/>
          <w:szCs w:val="29"/>
        </w:rPr>
      </w:pPr>
      <w:r>
        <w:rPr>
          <w:rFonts w:ascii="SimHei" w:hAnsi="SimHei" w:eastAsia="SimHei" w:cs="SimHei"/>
          <w:sz w:val="29"/>
          <w:szCs w:val="29"/>
          <w:spacing w:val="8"/>
        </w:rPr>
        <w:t>2、修剪</w:t>
      </w:r>
    </w:p>
    <w:p>
      <w:pPr>
        <w:pStyle w:val="BodyText"/>
        <w:ind w:right="64" w:firstLine="730"/>
        <w:spacing w:before="124" w:line="287" w:lineRule="auto"/>
        <w:rPr>
          <w:sz w:val="29"/>
          <w:szCs w:val="29"/>
        </w:rPr>
      </w:pPr>
      <w:r>
        <w:rPr>
          <w:sz w:val="29"/>
          <w:szCs w:val="29"/>
          <w:spacing w:val="2"/>
        </w:rPr>
        <w:t>(1)</w:t>
      </w:r>
      <w:r>
        <w:rPr>
          <w:sz w:val="29"/>
          <w:szCs w:val="29"/>
          <w:spacing w:val="76"/>
        </w:rPr>
        <w:t xml:space="preserve"> </w:t>
      </w:r>
      <w:r>
        <w:rPr>
          <w:sz w:val="29"/>
          <w:szCs w:val="29"/>
          <w:spacing w:val="2"/>
        </w:rPr>
        <w:t>乔木和棕榈修剪：调整树势为主，适当疏剪，对苗木的内膛枝、徒长</w:t>
      </w:r>
      <w:r>
        <w:rPr>
          <w:sz w:val="29"/>
          <w:szCs w:val="29"/>
        </w:rPr>
        <w:t xml:space="preserve">  </w:t>
      </w:r>
      <w:r>
        <w:rPr>
          <w:sz w:val="29"/>
          <w:szCs w:val="29"/>
          <w:spacing w:val="-8"/>
        </w:rPr>
        <w:t>枝、平行枝、下垂枝、病虫枝、萌蘖枝等修剪到位，并要做到剪口平滑，对于较大</w:t>
      </w:r>
      <w:r>
        <w:rPr>
          <w:sz w:val="29"/>
          <w:szCs w:val="29"/>
        </w:rPr>
        <w:t xml:space="preserve">  </w:t>
      </w:r>
      <w:r>
        <w:rPr>
          <w:sz w:val="29"/>
          <w:szCs w:val="29"/>
          <w:spacing w:val="-3"/>
        </w:rPr>
        <w:t>的剪口要进行防腐处理。对于过于粗壮的大枝应采取分段截枝法，以免撕裂树干，</w:t>
      </w:r>
      <w:r>
        <w:rPr>
          <w:sz w:val="29"/>
          <w:szCs w:val="29"/>
          <w:spacing w:val="7"/>
        </w:rPr>
        <w:t xml:space="preserve"> </w:t>
      </w:r>
      <w:r>
        <w:rPr>
          <w:sz w:val="29"/>
          <w:szCs w:val="29"/>
          <w:spacing w:val="1"/>
        </w:rPr>
        <w:t>对行道树特别注意疏枝，以防汛期发生倒伏；</w:t>
      </w:r>
    </w:p>
    <w:p>
      <w:pPr>
        <w:pStyle w:val="BodyText"/>
        <w:ind w:left="730"/>
        <w:spacing w:before="178" w:line="219" w:lineRule="auto"/>
        <w:rPr>
          <w:sz w:val="29"/>
          <w:szCs w:val="29"/>
        </w:rPr>
      </w:pPr>
      <w:r>
        <w:rPr>
          <w:sz w:val="29"/>
          <w:szCs w:val="29"/>
          <w:spacing w:val="-11"/>
        </w:rPr>
        <w:t>(2)</w:t>
      </w:r>
      <w:r>
        <w:rPr>
          <w:sz w:val="29"/>
          <w:szCs w:val="29"/>
          <w:spacing w:val="132"/>
        </w:rPr>
        <w:t xml:space="preserve"> </w:t>
      </w:r>
      <w:r>
        <w:rPr>
          <w:sz w:val="29"/>
          <w:szCs w:val="29"/>
          <w:spacing w:val="-11"/>
        </w:rPr>
        <w:t>地被、造型树约每20天修剪一次，部分地被约</w:t>
      </w:r>
      <w:r>
        <w:rPr>
          <w:sz w:val="29"/>
          <w:szCs w:val="29"/>
          <w:spacing w:val="-12"/>
        </w:rPr>
        <w:t>每月修剪两次；</w:t>
      </w:r>
    </w:p>
    <w:p>
      <w:pPr>
        <w:pStyle w:val="BodyText"/>
        <w:ind w:right="299" w:firstLine="730"/>
        <w:spacing w:before="134" w:line="319" w:lineRule="auto"/>
        <w:rPr>
          <w:sz w:val="29"/>
          <w:szCs w:val="29"/>
        </w:rPr>
      </w:pPr>
      <w:r>
        <w:rPr>
          <w:sz w:val="29"/>
          <w:szCs w:val="29"/>
          <w:spacing w:val="-9"/>
        </w:rPr>
        <w:t>(③)</w:t>
      </w:r>
      <w:r>
        <w:rPr>
          <w:sz w:val="29"/>
          <w:szCs w:val="29"/>
          <w:spacing w:val="119"/>
        </w:rPr>
        <w:t xml:space="preserve"> </w:t>
      </w:r>
      <w:r>
        <w:rPr>
          <w:sz w:val="29"/>
          <w:szCs w:val="29"/>
          <w:spacing w:val="-9"/>
        </w:rPr>
        <w:t>草坪每月修剪三次，其高度不得高于5-6厘米，加强杂草的防治清除工</w:t>
      </w:r>
      <w:r>
        <w:rPr>
          <w:sz w:val="29"/>
          <w:szCs w:val="29"/>
        </w:rPr>
        <w:t xml:space="preserve"> </w:t>
      </w:r>
      <w:r>
        <w:rPr>
          <w:sz w:val="29"/>
          <w:szCs w:val="29"/>
          <w:spacing w:val="-5"/>
        </w:rPr>
        <w:t>作，用人工防除结合化学防除，以确保绿地纯净；</w:t>
      </w:r>
    </w:p>
    <w:p>
      <w:pPr>
        <w:pStyle w:val="BodyText"/>
        <w:ind w:left="730"/>
        <w:spacing w:line="219" w:lineRule="auto"/>
        <w:rPr>
          <w:sz w:val="29"/>
          <w:szCs w:val="29"/>
        </w:rPr>
      </w:pPr>
      <w:r>
        <w:rPr>
          <w:rFonts w:ascii="Times New Roman" w:hAnsi="Times New Roman" w:eastAsia="Times New Roman" w:cs="Times New Roman"/>
          <w:sz w:val="29"/>
          <w:szCs w:val="29"/>
          <w:spacing w:val="1"/>
        </w:rPr>
        <w:t>4      </w:t>
      </w:r>
      <w:r>
        <w:rPr>
          <w:sz w:val="29"/>
          <w:szCs w:val="29"/>
          <w:spacing w:val="1"/>
        </w:rPr>
        <w:t>为了减少修剪次数，在整体修剪完后喷洒矮必治、或国光爱壮药物。</w:t>
      </w:r>
    </w:p>
    <w:p>
      <w:pPr>
        <w:pStyle w:val="BodyText"/>
        <w:ind w:left="600"/>
        <w:spacing w:before="43" w:line="395"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336" w:firstLine="730"/>
        <w:spacing w:before="148" w:line="265" w:lineRule="auto"/>
        <w:rPr>
          <w:sz w:val="29"/>
          <w:szCs w:val="29"/>
        </w:rPr>
      </w:pPr>
      <w:r>
        <w:rPr>
          <w:sz w:val="29"/>
          <w:szCs w:val="29"/>
          <w:spacing w:val="6"/>
        </w:rPr>
        <w:t>(1)浇水和排水：根据天气情况对植物及时浇水，下雨天应对易积水的低</w:t>
      </w:r>
      <w:r>
        <w:rPr>
          <w:sz w:val="29"/>
          <w:szCs w:val="29"/>
          <w:spacing w:val="4"/>
        </w:rPr>
        <w:t xml:space="preserve"> </w:t>
      </w:r>
      <w:r>
        <w:rPr>
          <w:sz w:val="29"/>
          <w:szCs w:val="29"/>
          <w:spacing w:val="1"/>
        </w:rPr>
        <w:t>洼处进行排水防涝，未过保活期的树木采取多种措施</w:t>
      </w:r>
      <w:r>
        <w:rPr>
          <w:sz w:val="29"/>
          <w:szCs w:val="29"/>
        </w:rPr>
        <w:t>增加保水减少蒸腾；</w:t>
      </w:r>
    </w:p>
    <w:p>
      <w:pPr>
        <w:pStyle w:val="BodyText"/>
        <w:ind w:right="229" w:firstLine="730"/>
        <w:spacing w:before="134" w:line="286" w:lineRule="auto"/>
        <w:rPr>
          <w:sz w:val="29"/>
          <w:szCs w:val="29"/>
        </w:rPr>
      </w:pPr>
      <w:r>
        <w:rPr>
          <w:sz w:val="29"/>
          <w:szCs w:val="29"/>
          <w:spacing w:val="6"/>
        </w:rPr>
        <w:t>(2)施肥：对长势较差的植物追施一次氮、磷、钾均衡型速效性复合肥，</w:t>
      </w:r>
      <w:r>
        <w:rPr>
          <w:sz w:val="29"/>
          <w:szCs w:val="29"/>
          <w:spacing w:val="1"/>
        </w:rPr>
        <w:t xml:space="preserve"> </w:t>
      </w:r>
      <w:r>
        <w:rPr>
          <w:sz w:val="29"/>
          <w:szCs w:val="29"/>
          <w:spacing w:val="1"/>
        </w:rPr>
        <w:t>土壤偏碱的地区结合浇水施用硫酸亚铁。施肥应薄施淡</w:t>
      </w:r>
      <w:r>
        <w:rPr>
          <w:sz w:val="29"/>
          <w:szCs w:val="29"/>
        </w:rPr>
        <w:t>施。对龙船花、毛杜鹃、 </w:t>
      </w:r>
      <w:r>
        <w:rPr>
          <w:sz w:val="29"/>
          <w:szCs w:val="29"/>
          <w:spacing w:val="2"/>
        </w:rPr>
        <w:t>苏铁、香樟、海枣等易因生理性缺铁引起的黄</w:t>
      </w:r>
      <w:r>
        <w:rPr>
          <w:sz w:val="29"/>
          <w:szCs w:val="29"/>
          <w:spacing w:val="1"/>
        </w:rPr>
        <w:t>化病注意施用硫酸亚铁溶液。</w:t>
      </w:r>
    </w:p>
    <w:p>
      <w:pPr>
        <w:pStyle w:val="BodyText"/>
        <w:ind w:left="600"/>
        <w:spacing w:before="19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53" w:firstLine="730"/>
        <w:spacing w:before="97" w:line="285" w:lineRule="auto"/>
        <w:rPr>
          <w:sz w:val="29"/>
          <w:szCs w:val="29"/>
        </w:rPr>
      </w:pPr>
      <w:r>
        <w:rPr>
          <w:sz w:val="29"/>
          <w:szCs w:val="29"/>
          <w:spacing w:val="8"/>
        </w:rPr>
        <w:t>(1)病害：白粉病、霜霉病、炭疽病、锈病、白绢病、煤污</w:t>
      </w:r>
      <w:r>
        <w:rPr>
          <w:sz w:val="29"/>
          <w:szCs w:val="29"/>
          <w:spacing w:val="7"/>
        </w:rPr>
        <w:t>病、叶枯病、</w:t>
      </w:r>
      <w:r>
        <w:rPr>
          <w:sz w:val="29"/>
          <w:szCs w:val="29"/>
        </w:rPr>
        <w:t xml:space="preserve"> </w:t>
      </w:r>
      <w:r>
        <w:rPr>
          <w:sz w:val="29"/>
          <w:szCs w:val="29"/>
          <w:spacing w:val="-8"/>
        </w:rPr>
        <w:t>干腐病、枝枯病、流胶病、棕榈科植物心腐病、枯萎病、草坪腐霉枯萎病、</w:t>
      </w:r>
      <w:r>
        <w:rPr>
          <w:sz w:val="29"/>
          <w:szCs w:val="29"/>
          <w:spacing w:val="-9"/>
        </w:rPr>
        <w:t>细菌性</w:t>
      </w:r>
      <w:r>
        <w:rPr>
          <w:sz w:val="29"/>
          <w:szCs w:val="29"/>
        </w:rPr>
        <w:t xml:space="preserve"> </w:t>
      </w:r>
      <w:r>
        <w:rPr>
          <w:sz w:val="29"/>
          <w:szCs w:val="29"/>
          <w:spacing w:val="-6"/>
        </w:rPr>
        <w:t>穿孔病等；</w:t>
      </w:r>
    </w:p>
    <w:p>
      <w:pPr>
        <w:pStyle w:val="BodyText"/>
        <w:ind w:firstLine="730"/>
        <w:spacing w:before="136" w:line="292" w:lineRule="auto"/>
        <w:rPr>
          <w:sz w:val="29"/>
          <w:szCs w:val="29"/>
        </w:rPr>
      </w:pPr>
      <w:r>
        <w:rPr>
          <w:sz w:val="29"/>
          <w:szCs w:val="29"/>
          <w:spacing w:val="9"/>
        </w:rPr>
        <w:t>(2)虫害：大青叶蝉、桃粉蚜、梨网冠蝽、杜鹃冠网蝽、梧桐木虱、黑刺</w:t>
      </w:r>
      <w:r>
        <w:rPr>
          <w:sz w:val="29"/>
          <w:szCs w:val="29"/>
        </w:rPr>
        <w:t xml:space="preserve">  </w:t>
      </w:r>
      <w:r>
        <w:rPr>
          <w:sz w:val="29"/>
          <w:szCs w:val="29"/>
          <w:spacing w:val="-9"/>
        </w:rPr>
        <w:t>粉虱、花蓟马、桑天牛、星天牛、云斑天牛、咖啡木蠹蛾、柏肤小蠹、白蚁、蝼蛄、</w:t>
      </w:r>
      <w:r>
        <w:rPr>
          <w:sz w:val="29"/>
          <w:szCs w:val="29"/>
          <w:spacing w:val="6"/>
        </w:rPr>
        <w:t xml:space="preserve"> </w:t>
      </w:r>
      <w:r>
        <w:rPr>
          <w:sz w:val="29"/>
          <w:szCs w:val="29"/>
          <w:spacing w:val="-8"/>
        </w:rPr>
        <w:t>黄刺蛾、丽绿刺蛾、褐边绿刺蛾、桑褐刺蛾、茶袋蛾、黄尾毒蛾、桃剑纹夜</w:t>
      </w:r>
      <w:r>
        <w:rPr>
          <w:sz w:val="29"/>
          <w:szCs w:val="29"/>
          <w:spacing w:val="-9"/>
        </w:rPr>
        <w:t>蛾、樟</w:t>
      </w:r>
      <w:r>
        <w:rPr>
          <w:sz w:val="29"/>
          <w:szCs w:val="29"/>
        </w:rPr>
        <w:t xml:space="preserve">  </w:t>
      </w:r>
      <w:r>
        <w:rPr>
          <w:sz w:val="29"/>
          <w:szCs w:val="29"/>
          <w:spacing w:val="8"/>
        </w:rPr>
        <w:t>蚕(枫蚕)、绿尾大蚕蛾、柑桔凤蝶、玉带凤蝶、樟青凤蝶、蔷薇三节叶蜂、樟</w:t>
      </w:r>
      <w:r>
        <w:rPr>
          <w:sz w:val="29"/>
          <w:szCs w:val="29"/>
          <w:spacing w:val="5"/>
        </w:rPr>
        <w:t xml:space="preserve">  </w:t>
      </w:r>
      <w:r>
        <w:rPr>
          <w:sz w:val="29"/>
          <w:szCs w:val="29"/>
        </w:rPr>
        <w:t>叶蜂、葡萄十星叶甲、红棕象甲等。</w:t>
      </w:r>
    </w:p>
    <w:p>
      <w:pPr>
        <w:spacing w:line="292" w:lineRule="auto"/>
        <w:sectPr>
          <w:footerReference w:type="default" r:id="rId714"/>
          <w:pgSz w:w="14490" w:h="20470"/>
          <w:pgMar w:top="400" w:right="1935" w:bottom="1467" w:left="2150" w:header="0" w:footer="1250" w:gutter="0"/>
        </w:sectPr>
        <w:rPr>
          <w:sz w:val="29"/>
          <w:szCs w:val="29"/>
        </w:rPr>
      </w:pP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BodyText"/>
        <w:ind w:left="570"/>
        <w:spacing w:before="94"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2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27" w:line="272"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570"/>
        <w:spacing w:before="142"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物资管理</w:t>
      </w:r>
    </w:p>
    <w:p>
      <w:pPr>
        <w:pStyle w:val="BodyText"/>
        <w:ind w:right="341" w:firstLine="730"/>
        <w:spacing w:before="88" w:line="263"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338" w:firstLine="730"/>
        <w:spacing w:before="151" w:line="271" w:lineRule="auto"/>
        <w:rPr>
          <w:sz w:val="29"/>
          <w:szCs w:val="29"/>
        </w:rPr>
      </w:pPr>
      <w:r>
        <w:rPr>
          <w:sz w:val="29"/>
          <w:szCs w:val="29"/>
          <w:spacing w:val="2"/>
        </w:rPr>
        <w:t>(2)根据现场的实际情况，申请购置7、</w:t>
      </w:r>
      <w:r>
        <w:rPr>
          <w:sz w:val="29"/>
          <w:szCs w:val="29"/>
          <w:spacing w:val="1"/>
        </w:rPr>
        <w:t>8、9月份的农药、化肥、营养剂及</w:t>
      </w:r>
      <w:r>
        <w:rPr>
          <w:sz w:val="29"/>
          <w:szCs w:val="29"/>
        </w:rPr>
        <w:t xml:space="preserve"> </w:t>
      </w:r>
      <w:r>
        <w:rPr>
          <w:sz w:val="29"/>
          <w:szCs w:val="29"/>
          <w:spacing w:val="-6"/>
        </w:rPr>
        <w:t>其它物资；</w:t>
      </w:r>
    </w:p>
    <w:p>
      <w:pPr>
        <w:pStyle w:val="BodyText"/>
        <w:ind w:left="730"/>
        <w:spacing w:before="159" w:line="219" w:lineRule="auto"/>
        <w:rPr>
          <w:sz w:val="29"/>
          <w:szCs w:val="29"/>
        </w:rPr>
      </w:pPr>
      <w:r>
        <w:rPr>
          <w:sz w:val="29"/>
          <w:szCs w:val="29"/>
          <w:spacing w:val="12"/>
        </w:rPr>
        <w:t>(3)进行机械工具的检查维修。</w:t>
      </w:r>
    </w:p>
    <w:p>
      <w:pPr>
        <w:pStyle w:val="BodyText"/>
        <w:ind w:left="570"/>
        <w:spacing w:before="96"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firstLine="570"/>
        <w:spacing w:before="14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3"/>
        </w:rPr>
        <w:t>防盗情况。</w:t>
      </w:r>
    </w:p>
    <w:p>
      <w:pPr>
        <w:spacing w:before="87" w:line="223" w:lineRule="auto"/>
        <w:rPr>
          <w:rFonts w:ascii="SimHei" w:hAnsi="SimHei" w:eastAsia="SimHei" w:cs="SimHei"/>
          <w:sz w:val="29"/>
          <w:szCs w:val="29"/>
        </w:rPr>
      </w:pPr>
      <w:r>
        <w:rPr>
          <w:rFonts w:ascii="SimHei" w:hAnsi="SimHei" w:eastAsia="SimHei" w:cs="SimHei"/>
          <w:sz w:val="29"/>
          <w:szCs w:val="29"/>
          <w:spacing w:val="-3"/>
        </w:rPr>
        <w:t>七月份</w:t>
      </w:r>
    </w:p>
    <w:p>
      <w:pPr>
        <w:pStyle w:val="BodyText"/>
        <w:ind w:left="570"/>
        <w:spacing w:before="169" w:line="219" w:lineRule="auto"/>
        <w:rPr>
          <w:sz w:val="29"/>
          <w:szCs w:val="29"/>
        </w:rPr>
      </w:pPr>
      <w:r>
        <w:rPr>
          <w:sz w:val="29"/>
          <w:szCs w:val="29"/>
          <w:spacing w:val="4"/>
        </w:rPr>
        <w:t>气温升高，有台风雷雨天气。注意工人作息，防止出现中暑情况。</w:t>
      </w:r>
    </w:p>
    <w:p>
      <w:pPr>
        <w:pStyle w:val="BodyText"/>
        <w:ind w:left="570"/>
        <w:spacing w:before="104"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23" w:line="219" w:lineRule="auto"/>
        <w:rPr>
          <w:sz w:val="29"/>
          <w:szCs w:val="29"/>
        </w:rPr>
      </w:pPr>
      <w:r>
        <w:rPr>
          <w:sz w:val="29"/>
          <w:szCs w:val="29"/>
          <w:spacing w:val="1"/>
        </w:rPr>
        <w:t>及时检查乔木支撑情况，发现松动或缺失立即加固。</w:t>
      </w:r>
    </w:p>
    <w:p>
      <w:pPr>
        <w:ind w:left="570"/>
        <w:spacing w:before="114"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left="730"/>
        <w:spacing w:before="115" w:line="219" w:lineRule="auto"/>
        <w:rPr>
          <w:sz w:val="29"/>
          <w:szCs w:val="29"/>
        </w:rPr>
      </w:pPr>
      <w:r>
        <w:rPr>
          <w:sz w:val="29"/>
          <w:szCs w:val="29"/>
          <w:spacing w:val="5"/>
        </w:rPr>
        <w:t>(1)乔木修剪：以调整树势为主，主要修剪病虫枝、萌蘖枝和枯枝；</w:t>
      </w:r>
    </w:p>
    <w:p>
      <w:pPr>
        <w:pStyle w:val="BodyText"/>
        <w:ind w:left="730"/>
        <w:spacing w:before="156" w:line="219" w:lineRule="auto"/>
        <w:rPr>
          <w:sz w:val="29"/>
          <w:szCs w:val="29"/>
        </w:rPr>
      </w:pPr>
      <w:r>
        <w:rPr>
          <w:sz w:val="29"/>
          <w:szCs w:val="29"/>
          <w:spacing w:val="6"/>
        </w:rPr>
        <w:t>(2)棕榈修剪：以下垂枝和枯枝黄叶为主；</w:t>
      </w:r>
    </w:p>
    <w:p>
      <w:pPr>
        <w:pStyle w:val="BodyText"/>
        <w:ind w:left="730"/>
        <w:spacing w:before="166" w:line="219" w:lineRule="auto"/>
        <w:rPr>
          <w:sz w:val="29"/>
          <w:szCs w:val="29"/>
        </w:rPr>
      </w:pPr>
      <w:r>
        <w:rPr>
          <w:sz w:val="29"/>
          <w:szCs w:val="29"/>
          <w:spacing w:val="-3"/>
        </w:rPr>
        <w:t>(3)地被、造型树约每20天修剪一次，部分地被约每月修剪俩次；</w:t>
      </w:r>
    </w:p>
    <w:p>
      <w:pPr>
        <w:pStyle w:val="BodyText"/>
        <w:ind w:right="746" w:firstLine="730"/>
        <w:spacing w:before="132" w:line="270" w:lineRule="auto"/>
        <w:rPr>
          <w:sz w:val="29"/>
          <w:szCs w:val="29"/>
        </w:rPr>
      </w:pPr>
      <w:r>
        <w:rPr>
          <w:sz w:val="29"/>
          <w:szCs w:val="29"/>
          <w:spacing w:val="7"/>
        </w:rPr>
        <w:t>(4)草坪每月修剪3次(草坪养护参考草坪养护指</w:t>
      </w:r>
      <w:r>
        <w:rPr>
          <w:sz w:val="29"/>
          <w:szCs w:val="29"/>
          <w:spacing w:val="6"/>
        </w:rPr>
        <w:t>引),其高度不得高于5</w:t>
      </w:r>
      <w:r>
        <w:rPr>
          <w:sz w:val="29"/>
          <w:szCs w:val="29"/>
        </w:rPr>
        <w:t xml:space="preserve"> </w:t>
      </w:r>
      <w:r>
        <w:rPr>
          <w:sz w:val="29"/>
          <w:szCs w:val="29"/>
          <w:spacing w:val="6"/>
        </w:rPr>
        <w:t>—6厘米，每次修剪的长度不超过未剪草坪自然高度的1/3;</w:t>
      </w:r>
    </w:p>
    <w:p>
      <w:pPr>
        <w:pStyle w:val="BodyText"/>
        <w:ind w:left="730"/>
        <w:spacing w:before="156" w:line="219" w:lineRule="auto"/>
        <w:rPr>
          <w:sz w:val="29"/>
          <w:szCs w:val="29"/>
        </w:rPr>
      </w:pPr>
      <w:r>
        <w:rPr>
          <w:sz w:val="29"/>
          <w:szCs w:val="29"/>
          <w:spacing w:val="-6"/>
        </w:rPr>
        <w:t>(5)为了减少修剪次数，在整体修剪完后喷洒矮必治、或国光爱壮等药物。</w:t>
      </w:r>
    </w:p>
    <w:p>
      <w:pPr>
        <w:pStyle w:val="BodyText"/>
        <w:ind w:left="570"/>
        <w:spacing w:before="52"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right="283" w:firstLine="570"/>
        <w:spacing w:before="126" w:line="319" w:lineRule="auto"/>
        <w:rPr>
          <w:sz w:val="29"/>
          <w:szCs w:val="29"/>
        </w:rPr>
      </w:pPr>
      <w:r>
        <w:rPr>
          <w:sz w:val="29"/>
          <w:szCs w:val="29"/>
          <w:spacing w:val="-9"/>
        </w:rPr>
        <w:t>浇水：根据天气情况进行浇水。天气干旱时草坪与地被约每一至两</w:t>
      </w:r>
      <w:r>
        <w:rPr>
          <w:sz w:val="29"/>
          <w:szCs w:val="29"/>
          <w:spacing w:val="-10"/>
        </w:rPr>
        <w:t>天浇一次透</w:t>
      </w:r>
      <w:r>
        <w:rPr>
          <w:sz w:val="29"/>
          <w:szCs w:val="29"/>
        </w:rPr>
        <w:t xml:space="preserve"> </w:t>
      </w:r>
      <w:r>
        <w:rPr>
          <w:sz w:val="29"/>
          <w:szCs w:val="29"/>
          <w:spacing w:val="-5"/>
        </w:rPr>
        <w:t>水，保证苗木的生长需求，浇水时间为每天上午10点前和下午3点过后进行淋水。</w:t>
      </w:r>
      <w:r>
        <w:rPr>
          <w:sz w:val="29"/>
          <w:szCs w:val="29"/>
          <w:spacing w:val="9"/>
        </w:rPr>
        <w:t xml:space="preserve"> </w:t>
      </w:r>
      <w:r>
        <w:rPr>
          <w:sz w:val="29"/>
          <w:szCs w:val="29"/>
          <w:spacing w:val="2"/>
        </w:rPr>
        <w:t>不干不淋，淋一定要淋透，不耐干旱的增加淋</w:t>
      </w:r>
      <w:r>
        <w:rPr>
          <w:sz w:val="29"/>
          <w:szCs w:val="29"/>
          <w:spacing w:val="1"/>
        </w:rPr>
        <w:t>水次数。</w:t>
      </w:r>
    </w:p>
    <w:p>
      <w:pPr>
        <w:pStyle w:val="BodyText"/>
        <w:ind w:left="570"/>
        <w:spacing w:before="26"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250" w:firstLine="730"/>
        <w:spacing w:before="75" w:line="321" w:lineRule="auto"/>
        <w:jc w:val="both"/>
        <w:rPr>
          <w:sz w:val="29"/>
          <w:szCs w:val="29"/>
        </w:rPr>
      </w:pPr>
      <w:r>
        <w:rPr>
          <w:sz w:val="29"/>
          <w:szCs w:val="29"/>
          <w:spacing w:val="4"/>
        </w:rPr>
        <w:t>(1)</w:t>
      </w:r>
      <w:r>
        <w:rPr>
          <w:sz w:val="29"/>
          <w:szCs w:val="29"/>
          <w:spacing w:val="71"/>
        </w:rPr>
        <w:t xml:space="preserve">  </w:t>
      </w:r>
      <w:r>
        <w:rPr>
          <w:sz w:val="29"/>
          <w:szCs w:val="29"/>
          <w:spacing w:val="4"/>
        </w:rPr>
        <w:t>病害：霜霉病、锈病、白绢病、煤污病、叶枯病、干腐病、紫纹羽</w:t>
      </w:r>
      <w:r>
        <w:rPr>
          <w:sz w:val="29"/>
          <w:szCs w:val="29"/>
        </w:rPr>
        <w:t xml:space="preserve"> </w:t>
      </w:r>
      <w:r>
        <w:rPr>
          <w:sz w:val="29"/>
          <w:szCs w:val="29"/>
          <w:spacing w:val="-8"/>
        </w:rPr>
        <w:t>病、枝枯病、棕榈科植物心腐病、枯萎病、草坪腐霉枯萎病、细菌性穿孔病、花叶</w:t>
      </w:r>
      <w:r>
        <w:rPr>
          <w:sz w:val="29"/>
          <w:szCs w:val="29"/>
          <w:spacing w:val="1"/>
        </w:rPr>
        <w:t xml:space="preserve"> </w:t>
      </w:r>
      <w:r>
        <w:rPr>
          <w:sz w:val="29"/>
          <w:szCs w:val="29"/>
          <w:spacing w:val="-9"/>
        </w:rPr>
        <w:t>病；</w:t>
      </w:r>
    </w:p>
    <w:p>
      <w:pPr>
        <w:spacing w:line="321" w:lineRule="auto"/>
        <w:sectPr>
          <w:footerReference w:type="default" r:id="rId715"/>
          <w:pgSz w:w="14490" w:h="20470"/>
          <w:pgMar w:top="400" w:right="1935" w:bottom="1467" w:left="2150" w:header="0" w:footer="1251" w:gutter="0"/>
        </w:sectPr>
        <w:rPr>
          <w:sz w:val="29"/>
          <w:szCs w:val="29"/>
        </w:rPr>
      </w:pP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241" w:firstLine="730"/>
        <w:spacing w:before="94" w:line="287" w:lineRule="auto"/>
        <w:rPr>
          <w:sz w:val="29"/>
          <w:szCs w:val="29"/>
        </w:rPr>
      </w:pPr>
      <w:r>
        <w:rPr>
          <w:rFonts w:ascii="Times New Roman" w:hAnsi="Times New Roman" w:eastAsia="Times New Roman" w:cs="Times New Roman"/>
          <w:sz w:val="29"/>
          <w:szCs w:val="29"/>
          <w:spacing w:val="5"/>
        </w:rPr>
        <w:t>2         </w:t>
      </w:r>
      <w:r>
        <w:rPr>
          <w:sz w:val="29"/>
          <w:szCs w:val="29"/>
          <w:spacing w:val="5"/>
        </w:rPr>
        <w:t>虫害：大青叶蝉、梨网冠蝽、杜鹃冠网蝽、梧</w:t>
      </w:r>
      <w:r>
        <w:rPr>
          <w:sz w:val="29"/>
          <w:szCs w:val="29"/>
          <w:spacing w:val="4"/>
        </w:rPr>
        <w:t>桐木虱、黑刺粉虱、</w:t>
      </w:r>
      <w:r>
        <w:rPr>
          <w:sz w:val="29"/>
          <w:szCs w:val="29"/>
        </w:rPr>
        <w:t xml:space="preserve"> </w:t>
      </w:r>
      <w:r>
        <w:rPr>
          <w:sz w:val="29"/>
          <w:szCs w:val="29"/>
          <w:spacing w:val="-8"/>
        </w:rPr>
        <w:t>花蓟马、桑天牛、星天牛、白蚁、蝼蛄、黄刺蛾、丽绿刺蛾、褐边绿刺蛾、桑褐刺</w:t>
      </w:r>
      <w:r>
        <w:rPr>
          <w:sz w:val="29"/>
          <w:szCs w:val="29"/>
          <w:spacing w:val="10"/>
        </w:rPr>
        <w:t xml:space="preserve"> </w:t>
      </w:r>
      <w:r>
        <w:rPr>
          <w:sz w:val="29"/>
          <w:szCs w:val="29"/>
        </w:rPr>
        <w:t>蛾、茶袋蛾、黄尾毒蛾、桃剑纹夜蛾、樟蚕(枫蚕)</w:t>
      </w:r>
      <w:r>
        <w:rPr>
          <w:sz w:val="29"/>
          <w:szCs w:val="29"/>
          <w:spacing w:val="-1"/>
        </w:rPr>
        <w:t>、绿尾大蚕蛾、柑桔凤蝶、玉</w:t>
      </w:r>
      <w:r>
        <w:rPr>
          <w:sz w:val="29"/>
          <w:szCs w:val="29"/>
        </w:rPr>
        <w:t xml:space="preserve"> </w:t>
      </w:r>
      <w:r>
        <w:rPr>
          <w:sz w:val="29"/>
          <w:szCs w:val="29"/>
          <w:spacing w:val="1"/>
        </w:rPr>
        <w:t>带凤蝶、樟青凤蝶、蔷薇三节叶蜂、樟叶蜂、红棕象</w:t>
      </w:r>
      <w:r>
        <w:rPr>
          <w:sz w:val="29"/>
          <w:szCs w:val="29"/>
        </w:rPr>
        <w:t>甲。</w:t>
      </w:r>
    </w:p>
    <w:p>
      <w:pPr>
        <w:pStyle w:val="BodyText"/>
        <w:ind w:left="570"/>
        <w:spacing w:before="15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04"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6" w:line="269" w:lineRule="auto"/>
        <w:rPr>
          <w:sz w:val="29"/>
          <w:szCs w:val="29"/>
        </w:rPr>
      </w:pPr>
      <w:r>
        <w:rPr>
          <w:sz w:val="29"/>
          <w:szCs w:val="29"/>
          <w:spacing w:val="4"/>
        </w:rPr>
        <w:t>(2)</w:t>
      </w:r>
      <w:r>
        <w:rPr>
          <w:sz w:val="29"/>
          <w:szCs w:val="29"/>
          <w:spacing w:val="73"/>
        </w:rPr>
        <w:t xml:space="preserve"> </w:t>
      </w:r>
      <w:r>
        <w:rPr>
          <w:sz w:val="29"/>
          <w:szCs w:val="29"/>
          <w:spacing w:val="4"/>
        </w:rPr>
        <w:t>在业主上班高峰期前对园区内的重点区域(大门内外、主干通道、销</w:t>
      </w:r>
      <w:r>
        <w:rPr>
          <w:sz w:val="29"/>
          <w:szCs w:val="29"/>
        </w:rPr>
        <w:t xml:space="preserve"> </w:t>
      </w:r>
      <w:r>
        <w:rPr>
          <w:sz w:val="29"/>
          <w:szCs w:val="29"/>
          <w:spacing w:val="12"/>
        </w:rPr>
        <w:t>售展示区)进行彻底清理。</w:t>
      </w:r>
    </w:p>
    <w:p>
      <w:pPr>
        <w:ind w:left="570"/>
        <w:spacing w:before="173"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341" w:firstLine="730"/>
        <w:spacing w:before="9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5"/>
        </w:rPr>
        <w:t>危险品；</w:t>
      </w:r>
    </w:p>
    <w:p>
      <w:pPr>
        <w:pStyle w:val="BodyText"/>
        <w:ind w:left="730"/>
        <w:spacing w:before="142" w:line="219" w:lineRule="auto"/>
        <w:rPr>
          <w:sz w:val="29"/>
          <w:szCs w:val="29"/>
        </w:rPr>
      </w:pPr>
      <w:r>
        <w:rPr>
          <w:sz w:val="29"/>
          <w:szCs w:val="29"/>
          <w:spacing w:val="9"/>
        </w:rPr>
        <w:t>(2)进行机械工具的检查维修。</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1"/>
        </w:rPr>
        <w:t>7</w:t>
      </w:r>
      <w:r>
        <w:rPr>
          <w:sz w:val="29"/>
          <w:szCs w:val="29"/>
          <w:spacing w:val="1"/>
        </w:rPr>
        <w:t>、</w:t>
      </w:r>
      <w:r>
        <w:rPr>
          <w:rFonts w:ascii="SimHei" w:hAnsi="SimHei" w:eastAsia="SimHei" w:cs="SimHei"/>
          <w:sz w:val="29"/>
          <w:szCs w:val="29"/>
          <w:spacing w:val="1"/>
        </w:rPr>
        <w:t>防火防盗</w:t>
      </w:r>
    </w:p>
    <w:p>
      <w:pPr>
        <w:pStyle w:val="BodyText"/>
        <w:ind w:firstLine="570"/>
        <w:spacing w:before="12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102" w:line="223" w:lineRule="auto"/>
        <w:rPr>
          <w:rFonts w:ascii="SimHei" w:hAnsi="SimHei" w:eastAsia="SimHei" w:cs="SimHei"/>
          <w:sz w:val="29"/>
          <w:szCs w:val="29"/>
        </w:rPr>
      </w:pPr>
      <w:r>
        <w:rPr>
          <w:rFonts w:ascii="SimHei" w:hAnsi="SimHei" w:eastAsia="SimHei" w:cs="SimHei"/>
          <w:sz w:val="29"/>
          <w:szCs w:val="29"/>
          <w:spacing w:val="-3"/>
        </w:rPr>
        <w:t>八月份</w:t>
      </w:r>
    </w:p>
    <w:p>
      <w:pPr>
        <w:pStyle w:val="BodyText"/>
        <w:ind w:left="570"/>
        <w:spacing w:before="147" w:line="219" w:lineRule="auto"/>
        <w:rPr>
          <w:sz w:val="29"/>
          <w:szCs w:val="29"/>
        </w:rPr>
      </w:pPr>
      <w:r>
        <w:rPr>
          <w:sz w:val="29"/>
          <w:szCs w:val="29"/>
          <w:spacing w:val="3"/>
        </w:rPr>
        <w:t>高温高湿，暴雨较多，做好台风的防范工作，注意防涝。</w:t>
      </w:r>
    </w:p>
    <w:p>
      <w:pPr>
        <w:pStyle w:val="BodyText"/>
        <w:ind w:left="570"/>
        <w:spacing w:before="12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70"/>
        <w:spacing w:before="103" w:line="219" w:lineRule="auto"/>
        <w:rPr>
          <w:sz w:val="29"/>
          <w:szCs w:val="29"/>
        </w:rPr>
      </w:pPr>
      <w:r>
        <w:rPr>
          <w:sz w:val="29"/>
          <w:szCs w:val="29"/>
          <w:spacing w:val="1"/>
        </w:rPr>
        <w:t>及时检查乔木支撑情况，发现松动或缺失立即加固。</w:t>
      </w:r>
    </w:p>
    <w:p>
      <w:pPr>
        <w:ind w:left="570"/>
        <w:spacing w:before="114"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left="730"/>
        <w:spacing w:before="129" w:line="217" w:lineRule="auto"/>
        <w:rPr>
          <w:sz w:val="29"/>
          <w:szCs w:val="29"/>
        </w:rPr>
      </w:pPr>
      <w:r>
        <w:rPr>
          <w:sz w:val="29"/>
          <w:szCs w:val="29"/>
          <w:spacing w:val="-10"/>
        </w:rPr>
        <w:t>①   对灌木及地被进行适当的整形修剪。控</w:t>
      </w:r>
      <w:r>
        <w:rPr>
          <w:sz w:val="29"/>
          <w:szCs w:val="29"/>
          <w:spacing w:val="-11"/>
        </w:rPr>
        <w:t>制地被的生长高度在设计高度；</w:t>
      </w:r>
    </w:p>
    <w:p>
      <w:pPr>
        <w:pStyle w:val="BodyText"/>
        <w:ind w:right="439" w:firstLine="730"/>
        <w:spacing w:before="141" w:line="259" w:lineRule="auto"/>
        <w:rPr>
          <w:sz w:val="29"/>
          <w:szCs w:val="29"/>
        </w:rPr>
      </w:pPr>
      <w:r>
        <w:rPr>
          <w:rFonts w:ascii="Times New Roman" w:hAnsi="Times New Roman" w:eastAsia="Times New Roman" w:cs="Times New Roman"/>
          <w:sz w:val="29"/>
          <w:szCs w:val="29"/>
          <w:spacing w:val="-9"/>
        </w:rPr>
        <w:t>0      </w:t>
      </w:r>
      <w:r>
        <w:rPr>
          <w:sz w:val="29"/>
          <w:szCs w:val="29"/>
          <w:spacing w:val="-9"/>
        </w:rPr>
        <w:t>地被注意适当疏枝，改善通风透光，减少内部枝叶的枯黄、发生空膛。</w:t>
      </w:r>
      <w:r>
        <w:rPr>
          <w:sz w:val="29"/>
          <w:szCs w:val="29"/>
          <w:spacing w:val="6"/>
        </w:rPr>
        <w:t xml:space="preserve"> </w:t>
      </w:r>
      <w:r>
        <w:rPr>
          <w:sz w:val="29"/>
          <w:szCs w:val="29"/>
          <w:spacing w:val="-4"/>
        </w:rPr>
        <w:t>地被剪除叶色暗淡、枯黄老叶和过密过高、折断的茎叶，保持株形美观；</w:t>
      </w:r>
    </w:p>
    <w:p>
      <w:pPr>
        <w:pStyle w:val="BodyText"/>
        <w:ind w:left="730"/>
        <w:spacing w:before="138" w:line="219" w:lineRule="auto"/>
        <w:rPr>
          <w:sz w:val="29"/>
          <w:szCs w:val="29"/>
        </w:rPr>
      </w:pPr>
      <w:r>
        <w:rPr>
          <w:sz w:val="29"/>
          <w:szCs w:val="29"/>
          <w:spacing w:val="-2"/>
        </w:rPr>
        <w:t>3   草坪每月修剪2-3次，控制其高度在5-6厘米。</w:t>
      </w:r>
    </w:p>
    <w:p>
      <w:pPr>
        <w:ind w:left="570"/>
        <w:spacing w:before="16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51" w:firstLine="730"/>
        <w:spacing w:before="133" w:line="272" w:lineRule="auto"/>
        <w:rPr>
          <w:sz w:val="29"/>
          <w:szCs w:val="29"/>
        </w:rPr>
      </w:pPr>
      <w:r>
        <w:rPr>
          <w:sz w:val="29"/>
          <w:szCs w:val="29"/>
          <w:spacing w:val="4"/>
        </w:rPr>
        <w:t>(1)根据天气情况见干进行浇水。每天早10:00以前，下</w:t>
      </w:r>
      <w:r>
        <w:rPr>
          <w:sz w:val="29"/>
          <w:szCs w:val="29"/>
          <w:spacing w:val="3"/>
        </w:rPr>
        <w:t>午3:00以后进行浇</w:t>
      </w:r>
      <w:r>
        <w:rPr>
          <w:sz w:val="29"/>
          <w:szCs w:val="29"/>
        </w:rPr>
        <w:t xml:space="preserve"> </w:t>
      </w:r>
      <w:r>
        <w:rPr>
          <w:sz w:val="29"/>
          <w:szCs w:val="29"/>
          <w:spacing w:val="-21"/>
        </w:rPr>
        <w:t>水；</w:t>
      </w:r>
    </w:p>
    <w:p>
      <w:pPr>
        <w:pStyle w:val="BodyText"/>
        <w:ind w:firstLine="730"/>
        <w:spacing w:before="135" w:line="269" w:lineRule="auto"/>
        <w:rPr>
          <w:sz w:val="29"/>
          <w:szCs w:val="29"/>
        </w:rPr>
      </w:pPr>
      <w:r>
        <w:rPr>
          <w:sz w:val="29"/>
          <w:szCs w:val="29"/>
          <w:spacing w:val="8"/>
        </w:rPr>
        <w:t>(2)防汛防风：根据天气变化，做好雨季排水防风工作</w:t>
      </w:r>
      <w:r>
        <w:rPr>
          <w:sz w:val="29"/>
          <w:szCs w:val="29"/>
          <w:spacing w:val="7"/>
        </w:rPr>
        <w:t>。在每次风暴来临</w:t>
      </w:r>
      <w:r>
        <w:rPr>
          <w:sz w:val="29"/>
          <w:szCs w:val="29"/>
        </w:rPr>
        <w:t xml:space="preserve">   </w:t>
      </w:r>
      <w:r>
        <w:rPr>
          <w:sz w:val="29"/>
          <w:szCs w:val="29"/>
          <w:spacing w:val="-9"/>
        </w:rPr>
        <w:t>前，对防涝薄弱部位进行加固，并派人员定期巡逻，发现险情及时汇报、及时抢救。</w:t>
      </w:r>
    </w:p>
    <w:p>
      <w:pPr>
        <w:pStyle w:val="BodyText"/>
        <w:ind w:left="570"/>
        <w:spacing w:before="183"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left="730"/>
        <w:spacing w:before="74" w:line="219" w:lineRule="auto"/>
        <w:rPr>
          <w:sz w:val="29"/>
          <w:szCs w:val="29"/>
        </w:rPr>
      </w:pPr>
      <w:r>
        <w:rPr>
          <w:sz w:val="29"/>
          <w:szCs w:val="29"/>
        </w:rPr>
        <w:t>(1)   病害：霜霉病、白绢病、煤污病、叶枯病、干腐病、紫纹羽病、枝</w:t>
      </w:r>
    </w:p>
    <w:p>
      <w:pPr>
        <w:spacing w:line="219" w:lineRule="auto"/>
        <w:sectPr>
          <w:footerReference w:type="default" r:id="rId716"/>
          <w:pgSz w:w="14490" w:h="20470"/>
          <w:pgMar w:top="400" w:right="1935" w:bottom="1453" w:left="2150" w:header="0" w:footer="1255"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枯病、棕榈科植物心腐病、枯萎病、草坪腐霉枯萎病、</w:t>
      </w:r>
      <w:r>
        <w:rPr>
          <w:sz w:val="29"/>
          <w:szCs w:val="29"/>
        </w:rPr>
        <w:t>细菌性穿孔病、花叶病；</w:t>
      </w:r>
    </w:p>
    <w:p>
      <w:pPr>
        <w:pStyle w:val="BodyText"/>
        <w:ind w:right="230" w:firstLine="730"/>
        <w:spacing w:before="141" w:line="312" w:lineRule="auto"/>
        <w:rPr>
          <w:sz w:val="29"/>
          <w:szCs w:val="29"/>
        </w:rPr>
      </w:pPr>
      <w:r>
        <w:rPr>
          <w:sz w:val="29"/>
          <w:szCs w:val="29"/>
          <w:spacing w:val="5"/>
        </w:rPr>
        <w:t>②</w:t>
      </w:r>
      <w:r>
        <w:rPr>
          <w:sz w:val="29"/>
          <w:szCs w:val="29"/>
          <w:spacing w:val="36"/>
        </w:rPr>
        <w:t xml:space="preserve">   </w:t>
      </w:r>
      <w:r>
        <w:rPr>
          <w:sz w:val="29"/>
          <w:szCs w:val="29"/>
          <w:spacing w:val="5"/>
        </w:rPr>
        <w:t>虫害：大青叶蝉、梨网冠蝽、杜鹃冠网蝽、梧桐木虱、黑刺粉虱、</w:t>
      </w:r>
      <w:r>
        <w:rPr>
          <w:sz w:val="29"/>
          <w:szCs w:val="29"/>
          <w:spacing w:val="1"/>
        </w:rPr>
        <w:t xml:space="preserve"> </w:t>
      </w:r>
      <w:r>
        <w:rPr>
          <w:sz w:val="29"/>
          <w:szCs w:val="29"/>
          <w:spacing w:val="-8"/>
        </w:rPr>
        <w:t>花蓟马、桑天牛、白蚁、蝼蛄、黄刺蛾、丽绿刺蛾、褐边绿刺蛾</w:t>
      </w:r>
      <w:r>
        <w:rPr>
          <w:sz w:val="29"/>
          <w:szCs w:val="29"/>
          <w:spacing w:val="-9"/>
        </w:rPr>
        <w:t>、茶袋蛾、黄尾毒</w:t>
      </w:r>
      <w:r>
        <w:rPr>
          <w:sz w:val="29"/>
          <w:szCs w:val="29"/>
        </w:rPr>
        <w:t xml:space="preserve"> </w:t>
      </w:r>
      <w:r>
        <w:rPr>
          <w:sz w:val="29"/>
          <w:szCs w:val="29"/>
          <w:spacing w:val="9"/>
        </w:rPr>
        <w:t>蛾、樟蚕(枫蚕)、绿尾大蚕蛾、柑桔凤蝶、玉带凤</w:t>
      </w:r>
      <w:r>
        <w:rPr>
          <w:sz w:val="29"/>
          <w:szCs w:val="29"/>
          <w:spacing w:val="8"/>
        </w:rPr>
        <w:t>蝶、樟青凤蝶、蔷薇三节叶</w:t>
      </w:r>
      <w:r>
        <w:rPr>
          <w:sz w:val="29"/>
          <w:szCs w:val="29"/>
        </w:rPr>
        <w:t xml:space="preserve"> </w:t>
      </w:r>
      <w:r>
        <w:rPr>
          <w:sz w:val="29"/>
          <w:szCs w:val="29"/>
        </w:rPr>
        <w:t>蜂、红棕象甲。</w:t>
      </w:r>
    </w:p>
    <w:p>
      <w:pPr>
        <w:pStyle w:val="BodyText"/>
        <w:ind w:left="590"/>
        <w:spacing w:before="27" w:line="395" w:lineRule="exact"/>
        <w:rPr>
          <w:rFonts w:ascii="SimHei" w:hAnsi="SimHei" w:eastAsia="SimHei" w:cs="SimHei"/>
          <w:sz w:val="29"/>
          <w:szCs w:val="29"/>
        </w:rPr>
      </w:pPr>
      <w:r>
        <w:rPr>
          <w:rFonts w:ascii="Arial" w:hAnsi="Arial" w:eastAsia="Arial" w:cs="Arial"/>
          <w:sz w:val="29"/>
          <w:szCs w:val="29"/>
          <w:spacing w:val="2"/>
          <w:position w:val="1"/>
        </w:rPr>
        <w:t>5</w:t>
      </w:r>
      <w:r>
        <w:rPr>
          <w:sz w:val="29"/>
          <w:szCs w:val="29"/>
          <w:spacing w:val="2"/>
          <w:position w:val="1"/>
        </w:rPr>
        <w:t>、</w:t>
      </w:r>
      <w:r>
        <w:rPr>
          <w:rFonts w:ascii="SimHei" w:hAnsi="SimHei" w:eastAsia="SimHei" w:cs="SimHei"/>
          <w:sz w:val="29"/>
          <w:szCs w:val="29"/>
          <w:spacing w:val="2"/>
          <w:position w:val="1"/>
        </w:rPr>
        <w:t>保洁</w:t>
      </w:r>
    </w:p>
    <w:p>
      <w:pPr>
        <w:pStyle w:val="BodyText"/>
        <w:ind w:right="310" w:firstLine="730"/>
        <w:spacing w:before="93"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03" w:firstLine="730"/>
        <w:spacing w:before="126"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1"/>
        </w:rPr>
        <w:t>售展示区)进行彻底清理。</w:t>
      </w:r>
    </w:p>
    <w:p>
      <w:pPr>
        <w:ind w:left="590"/>
        <w:spacing w:before="204" w:line="222" w:lineRule="auto"/>
        <w:rPr>
          <w:rFonts w:ascii="SimHei" w:hAnsi="SimHei" w:eastAsia="SimHei" w:cs="SimHei"/>
          <w:sz w:val="29"/>
          <w:szCs w:val="29"/>
        </w:rPr>
      </w:pPr>
      <w:r>
        <w:rPr>
          <w:rFonts w:ascii="SimHei" w:hAnsi="SimHei" w:eastAsia="SimHei" w:cs="SimHei"/>
          <w:sz w:val="29"/>
          <w:szCs w:val="29"/>
          <w:spacing w:val="7"/>
        </w:rPr>
        <w:t>6、物资管理</w:t>
      </w:r>
    </w:p>
    <w:p>
      <w:pPr>
        <w:pStyle w:val="BodyText"/>
        <w:ind w:right="311" w:firstLine="730"/>
        <w:spacing w:before="74" w:line="266"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6"/>
        </w:rPr>
        <w:t>危险品；</w:t>
      </w:r>
    </w:p>
    <w:p>
      <w:pPr>
        <w:pStyle w:val="BodyText"/>
        <w:ind w:left="730"/>
        <w:spacing w:before="172" w:line="219" w:lineRule="auto"/>
        <w:rPr>
          <w:sz w:val="29"/>
          <w:szCs w:val="29"/>
        </w:rPr>
      </w:pPr>
      <w:r>
        <w:rPr>
          <w:sz w:val="29"/>
          <w:szCs w:val="29"/>
          <w:spacing w:val="12"/>
        </w:rPr>
        <w:t>(2)进行机械工具的检查维修。</w:t>
      </w:r>
    </w:p>
    <w:p>
      <w:pPr>
        <w:pStyle w:val="BodyText"/>
        <w:ind w:left="590"/>
        <w:spacing w:before="105" w:line="221" w:lineRule="auto"/>
        <w:rPr>
          <w:rFonts w:ascii="SimHei" w:hAnsi="SimHei" w:eastAsia="SimHei" w:cs="SimHei"/>
          <w:sz w:val="29"/>
          <w:szCs w:val="29"/>
        </w:rPr>
      </w:pPr>
      <w:r>
        <w:rPr>
          <w:rFonts w:ascii="Arial" w:hAnsi="Arial" w:eastAsia="Arial" w:cs="Arial"/>
          <w:sz w:val="29"/>
          <w:szCs w:val="29"/>
          <w:spacing w:val="4"/>
        </w:rPr>
        <w:t>7</w:t>
      </w:r>
      <w:r>
        <w:rPr>
          <w:sz w:val="29"/>
          <w:szCs w:val="29"/>
          <w:spacing w:val="4"/>
        </w:rPr>
        <w:t>、</w:t>
      </w:r>
      <w:r>
        <w:rPr>
          <w:rFonts w:ascii="SimHei" w:hAnsi="SimHei" w:eastAsia="SimHei" w:cs="SimHei"/>
          <w:sz w:val="29"/>
          <w:szCs w:val="29"/>
          <w:spacing w:val="4"/>
        </w:rPr>
        <w:t>防火防盗</w:t>
      </w:r>
    </w:p>
    <w:p>
      <w:pPr>
        <w:pStyle w:val="BodyText"/>
        <w:ind w:firstLine="590"/>
        <w:spacing w:before="126"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5"/>
        </w:rPr>
        <w:t>防盗情况。</w:t>
      </w:r>
    </w:p>
    <w:p>
      <w:pPr>
        <w:spacing w:before="52" w:line="223" w:lineRule="auto"/>
        <w:rPr>
          <w:rFonts w:ascii="SimHei" w:hAnsi="SimHei" w:eastAsia="SimHei" w:cs="SimHei"/>
          <w:sz w:val="29"/>
          <w:szCs w:val="29"/>
        </w:rPr>
      </w:pPr>
      <w:r>
        <w:rPr>
          <w:rFonts w:ascii="SimHei" w:hAnsi="SimHei" w:eastAsia="SimHei" w:cs="SimHei"/>
          <w:sz w:val="29"/>
          <w:szCs w:val="29"/>
          <w:spacing w:val="-5"/>
        </w:rPr>
        <w:t>九月份</w:t>
      </w:r>
    </w:p>
    <w:p>
      <w:pPr>
        <w:pStyle w:val="BodyText"/>
        <w:ind w:left="590"/>
        <w:spacing w:before="179" w:line="219" w:lineRule="auto"/>
        <w:rPr>
          <w:sz w:val="29"/>
          <w:szCs w:val="29"/>
        </w:rPr>
      </w:pPr>
      <w:r>
        <w:rPr>
          <w:sz w:val="29"/>
          <w:szCs w:val="29"/>
          <w:spacing w:val="4"/>
        </w:rPr>
        <w:t>高温高湿，雨水较多，做好台风的防范工作，注意防涝。</w:t>
      </w:r>
    </w:p>
    <w:p>
      <w:pPr>
        <w:pStyle w:val="BodyText"/>
        <w:ind w:left="590"/>
        <w:spacing w:before="114" w:line="222" w:lineRule="auto"/>
        <w:rPr>
          <w:rFonts w:ascii="SimHei" w:hAnsi="SimHei" w:eastAsia="SimHei" w:cs="SimHei"/>
          <w:sz w:val="29"/>
          <w:szCs w:val="29"/>
        </w:rPr>
      </w:pPr>
      <w:r>
        <w:rPr>
          <w:rFonts w:ascii="Arial" w:hAnsi="Arial" w:eastAsia="Arial" w:cs="Arial"/>
          <w:sz w:val="29"/>
          <w:szCs w:val="29"/>
          <w:spacing w:val="5"/>
        </w:rPr>
        <w:t>1</w:t>
      </w:r>
      <w:r>
        <w:rPr>
          <w:sz w:val="29"/>
          <w:szCs w:val="29"/>
          <w:spacing w:val="5"/>
        </w:rPr>
        <w:t>、</w:t>
      </w:r>
      <w:r>
        <w:rPr>
          <w:rFonts w:ascii="SimHei" w:hAnsi="SimHei" w:eastAsia="SimHei" w:cs="SimHei"/>
          <w:sz w:val="29"/>
          <w:szCs w:val="29"/>
          <w:spacing w:val="5"/>
        </w:rPr>
        <w:t>现场检查</w:t>
      </w:r>
    </w:p>
    <w:p>
      <w:pPr>
        <w:pStyle w:val="BodyText"/>
        <w:ind w:left="590"/>
        <w:spacing w:before="114" w:line="219" w:lineRule="auto"/>
        <w:rPr>
          <w:sz w:val="29"/>
          <w:szCs w:val="29"/>
        </w:rPr>
      </w:pPr>
      <w:r>
        <w:rPr>
          <w:sz w:val="29"/>
          <w:szCs w:val="29"/>
        </w:rPr>
        <w:t>及时检查乔木支撑情况，发现松动或缺失立即加固。</w:t>
      </w:r>
    </w:p>
    <w:p>
      <w:pPr>
        <w:pStyle w:val="BodyText"/>
        <w:ind w:left="590"/>
        <w:spacing w:before="103" w:line="221" w:lineRule="auto"/>
        <w:rPr>
          <w:rFonts w:ascii="SimHei" w:hAnsi="SimHei" w:eastAsia="SimHei" w:cs="SimHei"/>
          <w:sz w:val="29"/>
          <w:szCs w:val="29"/>
        </w:rPr>
      </w:pPr>
      <w:r>
        <w:rPr>
          <w:rFonts w:ascii="Arial" w:hAnsi="Arial" w:eastAsia="Arial" w:cs="Arial"/>
          <w:sz w:val="29"/>
          <w:szCs w:val="29"/>
          <w:spacing w:val="3"/>
        </w:rPr>
        <w:t>2</w:t>
      </w:r>
      <w:r>
        <w:rPr>
          <w:sz w:val="29"/>
          <w:szCs w:val="29"/>
          <w:spacing w:val="3"/>
        </w:rPr>
        <w:t>、</w:t>
      </w:r>
      <w:r>
        <w:rPr>
          <w:rFonts w:ascii="SimHei" w:hAnsi="SimHei" w:eastAsia="SimHei" w:cs="SimHei"/>
          <w:sz w:val="29"/>
          <w:szCs w:val="29"/>
          <w:spacing w:val="3"/>
        </w:rPr>
        <w:t>修剪</w:t>
      </w:r>
    </w:p>
    <w:p>
      <w:pPr>
        <w:pStyle w:val="BodyText"/>
        <w:ind w:left="730"/>
        <w:spacing w:before="152" w:line="217" w:lineRule="auto"/>
        <w:rPr>
          <w:sz w:val="29"/>
          <w:szCs w:val="29"/>
        </w:rPr>
      </w:pPr>
      <w:r>
        <w:rPr>
          <w:sz w:val="29"/>
          <w:szCs w:val="29"/>
          <w:spacing w:val="-9"/>
        </w:rPr>
        <w:t>①   对灌木及地被进行适当的整形修剪。控制地被的生长高度在设计高度。</w:t>
      </w:r>
    </w:p>
    <w:p>
      <w:pPr>
        <w:pStyle w:val="BodyText"/>
        <w:ind w:right="313" w:firstLine="730"/>
        <w:spacing w:before="151" w:line="266" w:lineRule="auto"/>
        <w:rPr>
          <w:sz w:val="29"/>
          <w:szCs w:val="29"/>
        </w:rPr>
      </w:pPr>
      <w:r>
        <w:rPr>
          <w:rFonts w:ascii="Times New Roman" w:hAnsi="Times New Roman" w:eastAsia="Times New Roman" w:cs="Times New Roman"/>
          <w:sz w:val="29"/>
          <w:szCs w:val="29"/>
          <w:spacing w:val="-5"/>
        </w:rPr>
        <w:t>0      </w:t>
      </w:r>
      <w:r>
        <w:rPr>
          <w:sz w:val="29"/>
          <w:szCs w:val="29"/>
          <w:spacing w:val="-5"/>
        </w:rPr>
        <w:t>草坪每月修剪2-3次，使草坪高度控制在</w:t>
      </w:r>
      <w:r>
        <w:rPr>
          <w:sz w:val="29"/>
          <w:szCs w:val="29"/>
          <w:spacing w:val="-6"/>
        </w:rPr>
        <w:t>5-6厘米。对草坪较为明显的坑</w:t>
      </w:r>
      <w:r>
        <w:rPr>
          <w:sz w:val="29"/>
          <w:szCs w:val="29"/>
        </w:rPr>
        <w:t xml:space="preserve"> </w:t>
      </w:r>
      <w:r>
        <w:rPr>
          <w:sz w:val="29"/>
          <w:szCs w:val="29"/>
          <w:spacing w:val="1"/>
        </w:rPr>
        <w:t>洼进行填平铺草，及时清理绿地中的杂草，清除杂物以确保绿地纯净。</w:t>
      </w:r>
    </w:p>
    <w:p>
      <w:pPr>
        <w:pStyle w:val="BodyText"/>
        <w:ind w:left="590"/>
        <w:spacing w:before="122" w:line="396" w:lineRule="exact"/>
        <w:rPr>
          <w:rFonts w:ascii="SimHei" w:hAnsi="SimHei" w:eastAsia="SimHei" w:cs="SimHei"/>
          <w:sz w:val="29"/>
          <w:szCs w:val="29"/>
        </w:rPr>
      </w:pPr>
      <w:r>
        <w:rPr>
          <w:rFonts w:ascii="Arial" w:hAnsi="Arial" w:eastAsia="Arial" w:cs="Arial"/>
          <w:sz w:val="29"/>
          <w:szCs w:val="29"/>
          <w:spacing w:val="5"/>
          <w:position w:val="1"/>
        </w:rPr>
        <w:t>3</w:t>
      </w:r>
      <w:r>
        <w:rPr>
          <w:sz w:val="29"/>
          <w:szCs w:val="29"/>
          <w:spacing w:val="5"/>
          <w:position w:val="1"/>
        </w:rPr>
        <w:t>、</w:t>
      </w:r>
      <w:r>
        <w:rPr>
          <w:rFonts w:ascii="SimHei" w:hAnsi="SimHei" w:eastAsia="SimHei" w:cs="SimHei"/>
          <w:sz w:val="29"/>
          <w:szCs w:val="29"/>
          <w:spacing w:val="5"/>
          <w:position w:val="1"/>
        </w:rPr>
        <w:t>水肥管理</w:t>
      </w:r>
    </w:p>
    <w:p>
      <w:pPr>
        <w:pStyle w:val="BodyText"/>
        <w:ind w:right="746" w:firstLine="730"/>
        <w:spacing w:before="104" w:line="270" w:lineRule="auto"/>
        <w:rPr>
          <w:sz w:val="29"/>
          <w:szCs w:val="29"/>
        </w:rPr>
      </w:pPr>
      <w:r>
        <w:rPr>
          <w:sz w:val="29"/>
          <w:szCs w:val="29"/>
          <w:spacing w:val="-4"/>
        </w:rPr>
        <w:t>①</w:t>
      </w:r>
      <w:r>
        <w:rPr>
          <w:sz w:val="29"/>
          <w:szCs w:val="29"/>
          <w:spacing w:val="36"/>
        </w:rPr>
        <w:t xml:space="preserve">  </w:t>
      </w:r>
      <w:r>
        <w:rPr>
          <w:sz w:val="29"/>
          <w:szCs w:val="29"/>
          <w:spacing w:val="-4"/>
        </w:rPr>
        <w:t>浇水：地被等苗木每周浇水2-3次。草</w:t>
      </w:r>
      <w:r>
        <w:rPr>
          <w:sz w:val="29"/>
          <w:szCs w:val="29"/>
          <w:spacing w:val="-5"/>
        </w:rPr>
        <w:t>坪每天一遍透水。每天早10:</w:t>
      </w:r>
      <w:r>
        <w:rPr>
          <w:sz w:val="29"/>
          <w:szCs w:val="29"/>
          <w:spacing w:val="1"/>
        </w:rPr>
        <w:t xml:space="preserve"> </w:t>
      </w:r>
      <w:r>
        <w:rPr>
          <w:sz w:val="29"/>
          <w:szCs w:val="29"/>
          <w:spacing w:val="6"/>
        </w:rPr>
        <w:t>00以前，下午3:00以后进行浇水，避免伤苗；</w:t>
      </w:r>
    </w:p>
    <w:p>
      <w:pPr>
        <w:pStyle w:val="BodyText"/>
        <w:ind w:right="255" w:firstLine="730"/>
        <w:spacing w:before="130" w:line="286" w:lineRule="auto"/>
        <w:rPr>
          <w:sz w:val="29"/>
          <w:szCs w:val="29"/>
        </w:rPr>
      </w:pPr>
      <w:r>
        <w:rPr>
          <w:sz w:val="29"/>
          <w:szCs w:val="29"/>
          <w:spacing w:val="3"/>
        </w:rPr>
        <w:t>②  施肥：全区追肥一次，如果绿化效果较好使用有机复合肥或高磷钾、</w:t>
      </w:r>
      <w:r>
        <w:rPr>
          <w:sz w:val="29"/>
          <w:szCs w:val="29"/>
          <w:spacing w:val="15"/>
        </w:rPr>
        <w:t xml:space="preserve"> </w:t>
      </w:r>
      <w:r>
        <w:rPr>
          <w:sz w:val="29"/>
          <w:szCs w:val="29"/>
        </w:rPr>
        <w:t>低氮的无机复合肥，提高抗寒能力；如果绿化效果较</w:t>
      </w:r>
      <w:r>
        <w:rPr>
          <w:sz w:val="29"/>
          <w:szCs w:val="29"/>
          <w:spacing w:val="-1"/>
        </w:rPr>
        <w:t>差则使用氮、磷、钾均衡型</w:t>
      </w:r>
      <w:r>
        <w:rPr>
          <w:sz w:val="29"/>
          <w:szCs w:val="29"/>
        </w:rPr>
        <w:t xml:space="preserve"> </w:t>
      </w:r>
      <w:r>
        <w:rPr>
          <w:sz w:val="29"/>
          <w:szCs w:val="29"/>
          <w:spacing w:val="1"/>
        </w:rPr>
        <w:t>速效性复合肥，避免氮素含量过高，苗木越冬抗寒能力降低；</w:t>
      </w:r>
    </w:p>
    <w:p>
      <w:pPr>
        <w:pStyle w:val="BodyText"/>
        <w:ind w:left="730"/>
        <w:spacing w:before="124" w:line="217" w:lineRule="auto"/>
        <w:rPr>
          <w:sz w:val="29"/>
          <w:szCs w:val="29"/>
        </w:rPr>
      </w:pPr>
      <w:r>
        <w:rPr>
          <w:sz w:val="29"/>
          <w:szCs w:val="29"/>
          <w:spacing w:val="-2"/>
        </w:rPr>
        <w:t>③</w:t>
      </w:r>
      <w:r>
        <w:rPr>
          <w:sz w:val="29"/>
          <w:szCs w:val="29"/>
          <w:spacing w:val="49"/>
        </w:rPr>
        <w:t xml:space="preserve">  </w:t>
      </w:r>
      <w:r>
        <w:rPr>
          <w:sz w:val="29"/>
          <w:szCs w:val="29"/>
          <w:spacing w:val="-2"/>
        </w:rPr>
        <w:t>防汛防风：据天气变化，做好雨季排水防风工作。</w:t>
      </w:r>
    </w:p>
    <w:p>
      <w:pPr>
        <w:pStyle w:val="BodyText"/>
        <w:ind w:left="590"/>
        <w:spacing w:before="120"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spacing w:line="221" w:lineRule="auto"/>
        <w:sectPr>
          <w:footerReference w:type="default" r:id="rId717"/>
          <w:pgSz w:w="14490" w:h="20470"/>
          <w:pgMar w:top="400" w:right="1945" w:bottom="1467" w:left="2150" w:header="0" w:footer="1251" w:gutter="0"/>
        </w:sectPr>
        <w:rPr>
          <w:rFonts w:ascii="SimHei" w:hAnsi="SimHei" w:eastAsia="SimHei" w:cs="SimHei"/>
          <w:sz w:val="29"/>
          <w:szCs w:val="29"/>
        </w:rPr>
      </w:pP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right="363" w:firstLine="730"/>
        <w:spacing w:before="94" w:line="307" w:lineRule="auto"/>
        <w:rPr>
          <w:sz w:val="29"/>
          <w:szCs w:val="29"/>
        </w:rPr>
      </w:pPr>
      <w:r>
        <w:rPr>
          <w:sz w:val="29"/>
          <w:szCs w:val="29"/>
          <w:spacing w:val="1"/>
        </w:rPr>
        <w:t>(1)   病害：霜霉病、叶斑类病害、锈病、白绢病、煤污病、</w:t>
      </w:r>
      <w:r>
        <w:rPr>
          <w:sz w:val="29"/>
          <w:szCs w:val="29"/>
        </w:rPr>
        <w:t>叶枯病、干 </w:t>
      </w:r>
      <w:r>
        <w:rPr>
          <w:sz w:val="29"/>
          <w:szCs w:val="29"/>
          <w:spacing w:val="1"/>
        </w:rPr>
        <w:t>腐病、紫纹羽病、枝枯病、棕榈科植物心腐病、草坪腐霉枯萎病、花叶病；</w:t>
      </w:r>
    </w:p>
    <w:p>
      <w:pPr>
        <w:pStyle w:val="BodyText"/>
        <w:ind w:right="279" w:firstLine="730"/>
        <w:spacing w:line="311" w:lineRule="auto"/>
        <w:rPr>
          <w:sz w:val="29"/>
          <w:szCs w:val="29"/>
        </w:rPr>
      </w:pPr>
      <w:r>
        <w:rPr>
          <w:sz w:val="29"/>
          <w:szCs w:val="29"/>
          <w:spacing w:val="3"/>
        </w:rPr>
        <w:t>②)   虫害：大青叶蝉、杜鹃冠网蝽、柑桔全爪螨、黑刺粉虱、花蓟马、</w:t>
      </w:r>
      <w:r>
        <w:rPr>
          <w:sz w:val="29"/>
          <w:szCs w:val="29"/>
          <w:spacing w:val="12"/>
        </w:rPr>
        <w:t xml:space="preserve"> </w:t>
      </w:r>
      <w:r>
        <w:rPr>
          <w:sz w:val="29"/>
          <w:szCs w:val="29"/>
          <w:spacing w:val="-9"/>
        </w:rPr>
        <w:t>桑天牛、白蚁、蝼蛄、黄刺蛾、丽绿刺蛾、褐边绿刺蛾、茶袋蛾、黄尾</w:t>
      </w:r>
      <w:r>
        <w:rPr>
          <w:sz w:val="29"/>
          <w:szCs w:val="29"/>
          <w:spacing w:val="-10"/>
        </w:rPr>
        <w:t>毒蛾、绿尾</w:t>
      </w:r>
      <w:r>
        <w:rPr>
          <w:sz w:val="29"/>
          <w:szCs w:val="29"/>
        </w:rPr>
        <w:t xml:space="preserve"> </w:t>
      </w:r>
      <w:r>
        <w:rPr>
          <w:sz w:val="29"/>
          <w:szCs w:val="29"/>
          <w:spacing w:val="2"/>
        </w:rPr>
        <w:t>大蚕蛾、柑桔凤蝶、玉带凤蝶、樟青凤蝶、蔷薇三</w:t>
      </w:r>
      <w:r>
        <w:rPr>
          <w:sz w:val="29"/>
          <w:szCs w:val="29"/>
          <w:spacing w:val="1"/>
        </w:rPr>
        <w:t>节叶蜂、红棕象甲。</w:t>
      </w:r>
    </w:p>
    <w:p>
      <w:pPr>
        <w:pStyle w:val="BodyText"/>
        <w:ind w:left="600"/>
        <w:spacing w:before="30"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83" w:line="26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56" w:line="266"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12"/>
        </w:rPr>
        <w:t>售展示区)进行彻底清理。</w:t>
      </w:r>
    </w:p>
    <w:p>
      <w:pPr>
        <w:pStyle w:val="BodyText"/>
        <w:ind w:left="600"/>
        <w:spacing w:before="133"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27" w:line="219" w:lineRule="auto"/>
        <w:rPr>
          <w:sz w:val="29"/>
          <w:szCs w:val="29"/>
        </w:rPr>
      </w:pPr>
      <w:r>
        <w:rPr>
          <w:sz w:val="29"/>
          <w:szCs w:val="29"/>
          <w:spacing w:val="5"/>
        </w:rPr>
        <w:t>(1)月初提交时花需求计划，选择亮色花卉，安排下旬进场；</w:t>
      </w:r>
    </w:p>
    <w:p>
      <w:pPr>
        <w:pStyle w:val="BodyText"/>
        <w:ind w:left="730"/>
        <w:spacing w:before="12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0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right="341" w:firstLine="730"/>
        <w:spacing w:before="164" w:line="266"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7"/>
        </w:rPr>
        <w:t>危险品；</w:t>
      </w:r>
    </w:p>
    <w:p>
      <w:pPr>
        <w:pStyle w:val="BodyText"/>
        <w:ind w:right="287" w:firstLine="730"/>
        <w:spacing w:before="121" w:line="274"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11"/>
        </w:rPr>
        <w:t>及其它物资；</w:t>
      </w:r>
    </w:p>
    <w:p>
      <w:pPr>
        <w:pStyle w:val="BodyText"/>
        <w:ind w:left="730"/>
        <w:spacing w:before="170" w:line="219" w:lineRule="auto"/>
        <w:rPr>
          <w:sz w:val="29"/>
          <w:szCs w:val="29"/>
        </w:rPr>
      </w:pPr>
      <w:r>
        <w:rPr>
          <w:sz w:val="29"/>
          <w:szCs w:val="29"/>
          <w:spacing w:val="12"/>
        </w:rPr>
        <w:t>(3)进行机械工具的检查维修。</w:t>
      </w:r>
    </w:p>
    <w:p>
      <w:pPr>
        <w:pStyle w:val="BodyText"/>
        <w:ind w:left="600"/>
        <w:spacing w:before="33"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firstLine="600"/>
        <w:spacing w:before="131"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2"/>
        </w:rPr>
        <w:t>十月份</w:t>
      </w:r>
    </w:p>
    <w:p>
      <w:pPr>
        <w:pStyle w:val="BodyText"/>
        <w:ind w:left="600"/>
        <w:spacing w:before="150" w:line="219" w:lineRule="auto"/>
        <w:rPr>
          <w:sz w:val="29"/>
          <w:szCs w:val="29"/>
        </w:rPr>
      </w:pPr>
      <w:r>
        <w:rPr>
          <w:sz w:val="29"/>
          <w:szCs w:val="29"/>
          <w:spacing w:val="4"/>
        </w:rPr>
        <w:t>气温逐渐下降，降雨减少，日照减少。</w:t>
      </w:r>
    </w:p>
    <w:p>
      <w:pPr>
        <w:pStyle w:val="BodyText"/>
        <w:ind w:left="600"/>
        <w:spacing w:before="11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600"/>
        <w:spacing w:before="154" w:line="219" w:lineRule="auto"/>
        <w:rPr>
          <w:sz w:val="29"/>
          <w:szCs w:val="29"/>
        </w:rPr>
      </w:pPr>
      <w:r>
        <w:rPr>
          <w:sz w:val="29"/>
          <w:szCs w:val="29"/>
        </w:rPr>
        <w:t>及时检查乔木支撑情况，发现松动或缺失立即加固。</w:t>
      </w:r>
    </w:p>
    <w:p>
      <w:pPr>
        <w:ind w:left="600"/>
        <w:spacing w:before="8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251" w:firstLine="730"/>
        <w:spacing w:before="165" w:line="281" w:lineRule="auto"/>
        <w:rPr>
          <w:sz w:val="29"/>
          <w:szCs w:val="29"/>
        </w:rPr>
      </w:pPr>
      <w:r>
        <w:rPr>
          <w:sz w:val="29"/>
          <w:szCs w:val="29"/>
          <w:spacing w:val="9"/>
        </w:rPr>
        <w:t>(1)对灌木及地被进行适当的整形修剪。保证树形</w:t>
      </w:r>
      <w:r>
        <w:rPr>
          <w:sz w:val="29"/>
          <w:szCs w:val="29"/>
          <w:spacing w:val="8"/>
        </w:rPr>
        <w:t>优美。控制地被的生长</w:t>
      </w:r>
      <w:r>
        <w:rPr>
          <w:sz w:val="29"/>
          <w:szCs w:val="29"/>
        </w:rPr>
        <w:t xml:space="preserve"> </w:t>
      </w:r>
      <w:r>
        <w:rPr>
          <w:sz w:val="29"/>
          <w:szCs w:val="29"/>
        </w:rPr>
        <w:t>高度在设计高度。对大、小紫薇等花灌木进行花后修剪，疏掉果实，防止消耗更</w:t>
      </w:r>
      <w:r>
        <w:rPr>
          <w:sz w:val="29"/>
          <w:szCs w:val="29"/>
          <w:spacing w:val="2"/>
        </w:rPr>
        <w:t xml:space="preserve"> </w:t>
      </w:r>
      <w:r>
        <w:rPr>
          <w:sz w:val="29"/>
          <w:szCs w:val="29"/>
        </w:rPr>
        <w:t>多树体营养。美人蕉、蜘蛛兰、花叶良姜等植物</w:t>
      </w:r>
      <w:r>
        <w:rPr>
          <w:sz w:val="29"/>
          <w:szCs w:val="29"/>
          <w:spacing w:val="-1"/>
        </w:rPr>
        <w:t>清除枯枝黄叶；</w:t>
      </w:r>
    </w:p>
    <w:p>
      <w:pPr>
        <w:pStyle w:val="BodyText"/>
        <w:ind w:left="730"/>
        <w:spacing w:before="126" w:line="219" w:lineRule="auto"/>
        <w:rPr>
          <w:sz w:val="29"/>
          <w:szCs w:val="29"/>
        </w:rPr>
      </w:pPr>
      <w:r>
        <w:rPr>
          <w:sz w:val="29"/>
          <w:szCs w:val="29"/>
          <w:spacing w:val="7"/>
        </w:rPr>
        <w:t>(2)对草坪较为明显的坑洼进行填平铺草，及时清理绿地中的杂草。</w:t>
      </w:r>
    </w:p>
    <w:p>
      <w:pPr>
        <w:ind w:left="600"/>
        <w:spacing w:before="13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154" w:line="219" w:lineRule="auto"/>
        <w:rPr>
          <w:sz w:val="29"/>
          <w:szCs w:val="29"/>
        </w:rPr>
      </w:pPr>
      <w:r>
        <w:rPr>
          <w:sz w:val="29"/>
          <w:szCs w:val="29"/>
          <w:spacing w:val="7"/>
        </w:rPr>
        <w:t>(1)浇水：根据天气情况进行浇水。天气渐渐转凉。早晚气温较低，每天</w:t>
      </w:r>
    </w:p>
    <w:p>
      <w:pPr>
        <w:spacing w:line="219" w:lineRule="auto"/>
        <w:sectPr>
          <w:footerReference w:type="default" r:id="rId718"/>
          <w:pgSz w:w="14490" w:h="20470"/>
          <w:pgMar w:top="400" w:right="1935" w:bottom="1460" w:left="2150" w:header="0" w:footer="1252"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BodyText"/>
        <w:spacing w:before="94" w:line="218" w:lineRule="auto"/>
        <w:rPr>
          <w:sz w:val="29"/>
          <w:szCs w:val="29"/>
        </w:rPr>
      </w:pPr>
      <w:r>
        <w:rPr>
          <w:sz w:val="29"/>
          <w:szCs w:val="29"/>
          <w:spacing w:val="2"/>
        </w:rPr>
        <w:t>要对一些不耐干旱的植物进行淋水，浇水时要</w:t>
      </w:r>
      <w:r>
        <w:rPr>
          <w:sz w:val="29"/>
          <w:szCs w:val="29"/>
          <w:spacing w:val="1"/>
        </w:rPr>
        <w:t>先喷洗树叶，清洗叶面灰尘。</w:t>
      </w:r>
    </w:p>
    <w:p>
      <w:pPr>
        <w:pStyle w:val="BodyText"/>
        <w:ind w:right="381" w:firstLine="730"/>
        <w:spacing w:before="157" w:line="315" w:lineRule="auto"/>
        <w:rPr>
          <w:sz w:val="29"/>
          <w:szCs w:val="29"/>
        </w:rPr>
      </w:pPr>
      <w:r>
        <w:rPr>
          <w:sz w:val="29"/>
          <w:szCs w:val="29"/>
          <w:spacing w:val="15"/>
        </w:rPr>
        <w:t>(2)松土：草坪上施用完全肥料(均衡型肥料)或高磷钾肥料，以促进草</w:t>
      </w:r>
      <w:r>
        <w:rPr>
          <w:sz w:val="29"/>
          <w:szCs w:val="29"/>
          <w:spacing w:val="12"/>
        </w:rPr>
        <w:t xml:space="preserve"> </w:t>
      </w:r>
      <w:r>
        <w:rPr>
          <w:sz w:val="29"/>
          <w:szCs w:val="29"/>
          <w:spacing w:val="1"/>
        </w:rPr>
        <w:t>坪草根群强大，增强其抗病能力和越冬能力。</w:t>
      </w:r>
    </w:p>
    <w:p>
      <w:pPr>
        <w:pStyle w:val="BodyText"/>
        <w:ind w:left="590"/>
        <w:spacing w:before="30" w:line="221" w:lineRule="auto"/>
        <w:rPr>
          <w:rFonts w:ascii="SimHei" w:hAnsi="SimHei" w:eastAsia="SimHei" w:cs="SimHei"/>
          <w:sz w:val="29"/>
          <w:szCs w:val="29"/>
        </w:rPr>
      </w:pPr>
      <w:r>
        <w:rPr>
          <w:rFonts w:ascii="Arial" w:hAnsi="Arial" w:eastAsia="Arial" w:cs="Arial"/>
          <w:sz w:val="29"/>
          <w:szCs w:val="29"/>
          <w:spacing w:val="3"/>
        </w:rPr>
        <w:t>4</w:t>
      </w:r>
      <w:r>
        <w:rPr>
          <w:sz w:val="29"/>
          <w:szCs w:val="29"/>
          <w:spacing w:val="3"/>
        </w:rPr>
        <w:t>、</w:t>
      </w:r>
      <w:r>
        <w:rPr>
          <w:rFonts w:ascii="SimHei" w:hAnsi="SimHei" w:eastAsia="SimHei" w:cs="SimHei"/>
          <w:sz w:val="29"/>
          <w:szCs w:val="29"/>
          <w:spacing w:val="3"/>
        </w:rPr>
        <w:t>病虫害防治</w:t>
      </w:r>
    </w:p>
    <w:p>
      <w:pPr>
        <w:pStyle w:val="BodyText"/>
        <w:ind w:right="440" w:firstLine="730"/>
        <w:spacing w:before="71" w:line="273" w:lineRule="auto"/>
        <w:rPr>
          <w:sz w:val="29"/>
          <w:szCs w:val="29"/>
        </w:rPr>
      </w:pPr>
      <w:r>
        <w:rPr>
          <w:rFonts w:ascii="Times New Roman" w:hAnsi="Times New Roman" w:eastAsia="Times New Roman" w:cs="Times New Roman"/>
          <w:sz w:val="29"/>
          <w:szCs w:val="29"/>
          <w:spacing w:val="4"/>
        </w:rPr>
        <w:t>1)       </w:t>
      </w:r>
      <w:r>
        <w:rPr>
          <w:sz w:val="29"/>
          <w:szCs w:val="29"/>
          <w:spacing w:val="4"/>
        </w:rPr>
        <w:t>病害：白粉病、叶斑类病</w:t>
      </w:r>
      <w:r>
        <w:rPr>
          <w:sz w:val="29"/>
          <w:szCs w:val="29"/>
          <w:spacing w:val="3"/>
        </w:rPr>
        <w:t>害、锈病、叶枯病、干腐病、棕榈科植物</w:t>
      </w:r>
      <w:r>
        <w:rPr>
          <w:sz w:val="29"/>
          <w:szCs w:val="29"/>
        </w:rPr>
        <w:t xml:space="preserve"> </w:t>
      </w:r>
      <w:r>
        <w:rPr>
          <w:sz w:val="29"/>
          <w:szCs w:val="29"/>
          <w:spacing w:val="-7"/>
        </w:rPr>
        <w:t>心腐病；</w:t>
      </w:r>
    </w:p>
    <w:p>
      <w:pPr>
        <w:pStyle w:val="BodyText"/>
        <w:ind w:right="347" w:firstLine="730"/>
        <w:spacing w:before="133" w:line="276" w:lineRule="auto"/>
        <w:rPr>
          <w:sz w:val="29"/>
          <w:szCs w:val="29"/>
        </w:rPr>
      </w:pPr>
      <w:r>
        <w:rPr>
          <w:rFonts w:ascii="Times New Roman" w:hAnsi="Times New Roman" w:eastAsia="Times New Roman" w:cs="Times New Roman"/>
          <w:sz w:val="29"/>
          <w:szCs w:val="29"/>
          <w:spacing w:val="-10"/>
        </w:rPr>
        <w:t>2)        </w:t>
      </w:r>
      <w:r>
        <w:rPr>
          <w:sz w:val="29"/>
          <w:szCs w:val="29"/>
          <w:spacing w:val="-10"/>
        </w:rPr>
        <w:t>虫害：大青叶蝉、桃粉蚜、桃瘤蚜</w:t>
      </w:r>
      <w:r>
        <w:rPr>
          <w:sz w:val="29"/>
          <w:szCs w:val="29"/>
          <w:spacing w:val="-11"/>
        </w:rPr>
        <w:t>、柑桔全爪螨、桔绿粉虱、白蚁、褐</w:t>
      </w:r>
      <w:r>
        <w:rPr>
          <w:sz w:val="29"/>
          <w:szCs w:val="29"/>
        </w:rPr>
        <w:t xml:space="preserve"> </w:t>
      </w:r>
      <w:r>
        <w:rPr>
          <w:sz w:val="29"/>
          <w:szCs w:val="29"/>
          <w:spacing w:val="1"/>
        </w:rPr>
        <w:t>边绿刺蛾、柑桔凤蝶、玉带凤蝶、蔷薇三节叶蜂、红棕象甲。</w:t>
      </w:r>
    </w:p>
    <w:p>
      <w:pPr>
        <w:pStyle w:val="BodyText"/>
        <w:ind w:left="590"/>
        <w:spacing w:before="127" w:line="395"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379" w:firstLine="730"/>
        <w:spacing w:before="104"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2"/>
        </w:rPr>
        <w:t>池、灯杆、垃圾桶保持干净；</w:t>
      </w:r>
    </w:p>
    <w:p>
      <w:pPr>
        <w:pStyle w:val="BodyText"/>
        <w:ind w:right="373" w:firstLine="730"/>
        <w:spacing w:before="15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ind w:left="590"/>
        <w:spacing w:before="17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spacing w:before="93" w:line="219" w:lineRule="auto"/>
        <w:jc w:val="right"/>
        <w:rPr>
          <w:sz w:val="29"/>
          <w:szCs w:val="29"/>
        </w:rPr>
      </w:pPr>
      <w:r>
        <w:rPr>
          <w:sz w:val="29"/>
          <w:szCs w:val="29"/>
        </w:rPr>
        <w:t>库房物品整理，物料工具出入库及领用登记，注意保管汽油、农药等危险品；</w:t>
      </w:r>
    </w:p>
    <w:p>
      <w:pPr>
        <w:pStyle w:val="BodyText"/>
        <w:ind w:left="590"/>
        <w:spacing w:before="11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59" w:firstLine="590"/>
        <w:spacing w:before="147"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5"/>
        </w:rPr>
        <w:t>防盗情况。</w:t>
      </w:r>
    </w:p>
    <w:p>
      <w:pPr>
        <w:spacing w:before="42" w:line="223" w:lineRule="auto"/>
        <w:rPr>
          <w:rFonts w:ascii="SimHei" w:hAnsi="SimHei" w:eastAsia="SimHei" w:cs="SimHei"/>
          <w:sz w:val="30"/>
          <w:szCs w:val="30"/>
        </w:rPr>
      </w:pPr>
      <w:r>
        <w:rPr>
          <w:rFonts w:ascii="SimHei" w:hAnsi="SimHei" w:eastAsia="SimHei" w:cs="SimHei"/>
          <w:sz w:val="30"/>
          <w:szCs w:val="30"/>
          <w:spacing w:val="-4"/>
        </w:rPr>
        <w:t>十一月份</w:t>
      </w:r>
    </w:p>
    <w:p>
      <w:pPr>
        <w:pStyle w:val="BodyText"/>
        <w:ind w:left="590"/>
        <w:spacing w:before="154" w:line="219" w:lineRule="auto"/>
        <w:rPr>
          <w:sz w:val="29"/>
          <w:szCs w:val="29"/>
        </w:rPr>
      </w:pPr>
      <w:r>
        <w:rPr>
          <w:sz w:val="29"/>
          <w:szCs w:val="29"/>
          <w:spacing w:val="3"/>
        </w:rPr>
        <w:t>气温下降，天气干燥，偶尔出现大风。</w:t>
      </w:r>
    </w:p>
    <w:p>
      <w:pPr>
        <w:pStyle w:val="BodyText"/>
        <w:ind w:left="590"/>
        <w:spacing w:before="10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590"/>
        <w:spacing w:before="124" w:line="219" w:lineRule="auto"/>
        <w:rPr>
          <w:sz w:val="29"/>
          <w:szCs w:val="29"/>
        </w:rPr>
      </w:pPr>
      <w:r>
        <w:rPr>
          <w:sz w:val="29"/>
          <w:szCs w:val="29"/>
          <w:spacing w:val="1"/>
        </w:rPr>
        <w:t>及时检查乔木支撑情况，发现松动或缺失立即加固。</w:t>
      </w:r>
    </w:p>
    <w:p>
      <w:pPr>
        <w:ind w:left="590"/>
        <w:spacing w:before="113" w:line="221" w:lineRule="auto"/>
        <w:rPr>
          <w:rFonts w:ascii="SimHei" w:hAnsi="SimHei" w:eastAsia="SimHei" w:cs="SimHei"/>
          <w:sz w:val="30"/>
          <w:szCs w:val="30"/>
        </w:rPr>
      </w:pPr>
      <w:r>
        <w:rPr>
          <w:rFonts w:ascii="SimHei" w:hAnsi="SimHei" w:eastAsia="SimHei" w:cs="SimHei"/>
          <w:sz w:val="30"/>
          <w:szCs w:val="30"/>
          <w:spacing w:val="1"/>
        </w:rPr>
        <w:t>2、修剪</w:t>
      </w:r>
    </w:p>
    <w:p>
      <w:pPr>
        <w:pStyle w:val="BodyText"/>
        <w:ind w:left="730"/>
        <w:spacing w:before="133" w:line="219" w:lineRule="auto"/>
        <w:rPr>
          <w:sz w:val="29"/>
          <w:szCs w:val="29"/>
        </w:rPr>
      </w:pPr>
      <w:r>
        <w:rPr>
          <w:sz w:val="29"/>
          <w:szCs w:val="29"/>
          <w:spacing w:val="5"/>
        </w:rPr>
        <w:t>(1)乔木剪去病虫枝、徒长枝、过密枝，进行越冬整形修剪；</w:t>
      </w:r>
    </w:p>
    <w:p>
      <w:pPr>
        <w:pStyle w:val="BodyText"/>
        <w:ind w:left="730"/>
        <w:spacing w:before="154" w:line="219" w:lineRule="auto"/>
        <w:rPr>
          <w:sz w:val="29"/>
          <w:szCs w:val="29"/>
        </w:rPr>
      </w:pPr>
      <w:r>
        <w:rPr>
          <w:sz w:val="29"/>
          <w:szCs w:val="29"/>
          <w:spacing w:val="8"/>
        </w:rPr>
        <w:t>(2)对灌木、花坛干枯的枝叶、残花、果实</w:t>
      </w:r>
      <w:r>
        <w:rPr>
          <w:sz w:val="29"/>
          <w:szCs w:val="29"/>
          <w:spacing w:val="7"/>
        </w:rPr>
        <w:t>及时进行修剪。</w:t>
      </w:r>
    </w:p>
    <w:p>
      <w:pPr>
        <w:ind w:left="590"/>
        <w:spacing w:before="10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590"/>
        <w:spacing w:before="142" w:line="219" w:lineRule="auto"/>
        <w:rPr>
          <w:sz w:val="29"/>
          <w:szCs w:val="29"/>
        </w:rPr>
      </w:pPr>
      <w:r>
        <w:rPr>
          <w:sz w:val="29"/>
          <w:szCs w:val="29"/>
          <w:spacing w:val="1"/>
        </w:rPr>
        <w:t>浇水：根据天气情况浇水，对不耐干旱植物进行重点浇水。</w:t>
      </w:r>
    </w:p>
    <w:p>
      <w:pPr>
        <w:pStyle w:val="BodyText"/>
        <w:ind w:left="590"/>
        <w:spacing w:before="105" w:line="221" w:lineRule="auto"/>
        <w:rPr>
          <w:rFonts w:ascii="SimHei" w:hAnsi="SimHei" w:eastAsia="SimHei" w:cs="SimHei"/>
          <w:sz w:val="29"/>
          <w:szCs w:val="29"/>
        </w:rPr>
      </w:pPr>
      <w:r>
        <w:rPr>
          <w:rFonts w:ascii="Arial" w:hAnsi="Arial" w:eastAsia="Arial" w:cs="Arial"/>
          <w:sz w:val="29"/>
          <w:szCs w:val="29"/>
          <w:spacing w:val="5"/>
        </w:rPr>
        <w:t>4</w:t>
      </w:r>
      <w:r>
        <w:rPr>
          <w:sz w:val="29"/>
          <w:szCs w:val="29"/>
          <w:spacing w:val="5"/>
        </w:rPr>
        <w:t>、</w:t>
      </w:r>
      <w:r>
        <w:rPr>
          <w:rFonts w:ascii="SimHei" w:hAnsi="SimHei" w:eastAsia="SimHei" w:cs="SimHei"/>
          <w:sz w:val="29"/>
          <w:szCs w:val="29"/>
          <w:spacing w:val="5"/>
        </w:rPr>
        <w:t>病虫害防治</w:t>
      </w:r>
    </w:p>
    <w:p>
      <w:pPr>
        <w:pStyle w:val="BodyText"/>
        <w:ind w:left="730"/>
        <w:spacing w:before="156" w:line="219" w:lineRule="auto"/>
        <w:rPr>
          <w:sz w:val="29"/>
          <w:szCs w:val="29"/>
        </w:rPr>
      </w:pPr>
      <w:r>
        <w:rPr>
          <w:sz w:val="29"/>
          <w:szCs w:val="29"/>
          <w:spacing w:val="6"/>
        </w:rPr>
        <w:t>(1)病害：白粉病、叶斑类病害、叶枯病；</w:t>
      </w:r>
    </w:p>
    <w:p>
      <w:pPr>
        <w:pStyle w:val="BodyText"/>
        <w:ind w:right="609" w:firstLine="730"/>
        <w:spacing w:before="134" w:line="269" w:lineRule="auto"/>
        <w:rPr>
          <w:sz w:val="29"/>
          <w:szCs w:val="29"/>
        </w:rPr>
      </w:pPr>
      <w:r>
        <w:rPr>
          <w:sz w:val="29"/>
          <w:szCs w:val="29"/>
          <w:spacing w:val="-9"/>
        </w:rPr>
        <w:t>(2)虫害：大青叶蝉、桃粉蚜、柑桔全爪螨、桔绿粉虱、榕管蓟马、白蚁、</w:t>
      </w:r>
      <w:r>
        <w:rPr>
          <w:sz w:val="29"/>
          <w:szCs w:val="29"/>
          <w:spacing w:val="5"/>
        </w:rPr>
        <w:t xml:space="preserve"> </w:t>
      </w:r>
      <w:r>
        <w:rPr>
          <w:sz w:val="29"/>
          <w:szCs w:val="29"/>
          <w:spacing w:val="-5"/>
        </w:rPr>
        <w:t>红棕象甲。</w:t>
      </w:r>
    </w:p>
    <w:p>
      <w:pPr>
        <w:pStyle w:val="BodyText"/>
        <w:ind w:left="590"/>
        <w:spacing w:before="117"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left="730"/>
        <w:spacing w:before="123" w:line="219" w:lineRule="auto"/>
        <w:rPr>
          <w:sz w:val="29"/>
          <w:szCs w:val="29"/>
        </w:rPr>
      </w:pPr>
      <w:r>
        <w:rPr>
          <w:sz w:val="29"/>
          <w:szCs w:val="29"/>
          <w:spacing w:val="7"/>
        </w:rPr>
        <w:t>(1)保洁人员合理分区，全天候巡视，及时清理烟头、树挂等垃圾，水景</w:t>
      </w:r>
    </w:p>
    <w:p>
      <w:pPr>
        <w:spacing w:line="219" w:lineRule="auto"/>
        <w:sectPr>
          <w:footerReference w:type="default" r:id="rId719"/>
          <w:pgSz w:w="14490" w:h="20470"/>
          <w:pgMar w:top="400" w:right="1875" w:bottom="1460" w:left="2150" w:header="0" w:footer="1252"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池、灯杆、垃圾桶保持干净；</w:t>
      </w:r>
    </w:p>
    <w:p>
      <w:pPr>
        <w:pStyle w:val="BodyText"/>
        <w:ind w:right="403" w:firstLine="730"/>
        <w:spacing w:before="156" w:line="308"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1"/>
          <w:position w:val="1"/>
        </w:rPr>
        <w:t>6</w:t>
      </w:r>
      <w:r>
        <w:rPr>
          <w:sz w:val="29"/>
          <w:szCs w:val="29"/>
          <w:spacing w:val="1"/>
          <w:position w:val="1"/>
        </w:rPr>
        <w:t>、</w:t>
      </w:r>
      <w:r>
        <w:rPr>
          <w:rFonts w:ascii="SimHei" w:hAnsi="SimHei" w:eastAsia="SimHei" w:cs="SimHei"/>
          <w:sz w:val="29"/>
          <w:szCs w:val="29"/>
          <w:spacing w:val="1"/>
          <w:position w:val="1"/>
        </w:rPr>
        <w:t>物资管理</w:t>
      </w:r>
    </w:p>
    <w:p>
      <w:pPr>
        <w:pStyle w:val="BodyText"/>
        <w:spacing w:before="108" w:line="219" w:lineRule="auto"/>
        <w:jc w:val="right"/>
        <w:rPr>
          <w:sz w:val="29"/>
          <w:szCs w:val="29"/>
        </w:rPr>
      </w:pPr>
      <w:r>
        <w:rPr>
          <w:sz w:val="29"/>
          <w:szCs w:val="29"/>
          <w:spacing w:val="2"/>
        </w:rPr>
        <w:t>库房物品整理，物料工具出入库及领用登记，注意保管汽油、农药</w:t>
      </w:r>
      <w:r>
        <w:rPr>
          <w:sz w:val="29"/>
          <w:szCs w:val="29"/>
          <w:spacing w:val="1"/>
        </w:rPr>
        <w:t>等危险品。</w:t>
      </w:r>
    </w:p>
    <w:p>
      <w:pPr>
        <w:pStyle w:val="BodyText"/>
        <w:ind w:left="570"/>
        <w:spacing w:before="93" w:line="221" w:lineRule="auto"/>
        <w:rPr>
          <w:rFonts w:ascii="SimHei" w:hAnsi="SimHei" w:eastAsia="SimHei" w:cs="SimHei"/>
          <w:sz w:val="29"/>
          <w:szCs w:val="29"/>
        </w:rPr>
      </w:pPr>
      <w:r>
        <w:rPr>
          <w:rFonts w:ascii="Arial" w:hAnsi="Arial" w:eastAsia="Arial" w:cs="Arial"/>
          <w:sz w:val="29"/>
          <w:szCs w:val="29"/>
          <w:spacing w:val="2"/>
        </w:rPr>
        <w:t>7</w:t>
      </w:r>
      <w:r>
        <w:rPr>
          <w:sz w:val="29"/>
          <w:szCs w:val="29"/>
          <w:spacing w:val="2"/>
        </w:rPr>
        <w:t>、</w:t>
      </w:r>
      <w:r>
        <w:rPr>
          <w:rFonts w:ascii="SimHei" w:hAnsi="SimHei" w:eastAsia="SimHei" w:cs="SimHei"/>
          <w:sz w:val="29"/>
          <w:szCs w:val="29"/>
          <w:spacing w:val="2"/>
        </w:rPr>
        <w:t>防火防盗</w:t>
      </w:r>
    </w:p>
    <w:p>
      <w:pPr>
        <w:pStyle w:val="BodyText"/>
        <w:ind w:right="130" w:firstLine="570"/>
        <w:spacing w:before="155"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10"/>
        </w:rPr>
        <w:t>教育，加强防火意识。及时清扫落叶、树挂，消除火灾隐患。同时注意库房的防火、</w:t>
      </w:r>
      <w:r>
        <w:rPr>
          <w:sz w:val="29"/>
          <w:szCs w:val="29"/>
          <w:spacing w:val="3"/>
        </w:rPr>
        <w:t xml:space="preserve"> </w:t>
      </w:r>
      <w:r>
        <w:rPr>
          <w:sz w:val="29"/>
          <w:szCs w:val="29"/>
          <w:spacing w:val="1"/>
        </w:rPr>
        <w:t>防盗情况。</w:t>
      </w:r>
    </w:p>
    <w:p>
      <w:pPr>
        <w:spacing w:before="43" w:line="223" w:lineRule="auto"/>
        <w:rPr>
          <w:rFonts w:ascii="SimHei" w:hAnsi="SimHei" w:eastAsia="SimHei" w:cs="SimHei"/>
          <w:sz w:val="32"/>
          <w:szCs w:val="32"/>
        </w:rPr>
      </w:pPr>
      <w:r>
        <w:rPr>
          <w:rFonts w:ascii="SimHei" w:hAnsi="SimHei" w:eastAsia="SimHei" w:cs="SimHei"/>
          <w:sz w:val="32"/>
          <w:szCs w:val="32"/>
          <w:spacing w:val="-19"/>
        </w:rPr>
        <w:t>十二月份</w:t>
      </w:r>
    </w:p>
    <w:p>
      <w:pPr>
        <w:pStyle w:val="BodyText"/>
        <w:ind w:left="570"/>
        <w:spacing w:before="159" w:line="219" w:lineRule="auto"/>
        <w:rPr>
          <w:sz w:val="29"/>
          <w:szCs w:val="29"/>
        </w:rPr>
      </w:pPr>
      <w:r>
        <w:rPr>
          <w:sz w:val="29"/>
          <w:szCs w:val="29"/>
          <w:spacing w:val="5"/>
        </w:rPr>
        <w:t>气温下降，天气干燥，注意防寒防风。</w:t>
      </w:r>
    </w:p>
    <w:p>
      <w:pPr>
        <w:pStyle w:val="BodyText"/>
        <w:ind w:left="570"/>
        <w:spacing w:before="126"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13" w:line="219" w:lineRule="auto"/>
        <w:rPr>
          <w:sz w:val="29"/>
          <w:szCs w:val="29"/>
        </w:rPr>
      </w:pPr>
      <w:r>
        <w:rPr>
          <w:sz w:val="29"/>
          <w:szCs w:val="29"/>
          <w:spacing w:val="6"/>
        </w:rPr>
        <w:t>(1)检查防寒设施的完好情况，发现破损立即修补；</w:t>
      </w:r>
    </w:p>
    <w:p>
      <w:pPr>
        <w:pStyle w:val="BodyText"/>
        <w:ind w:left="730"/>
        <w:spacing w:before="147" w:line="219" w:lineRule="auto"/>
        <w:rPr>
          <w:sz w:val="29"/>
          <w:szCs w:val="29"/>
        </w:rPr>
      </w:pPr>
      <w:r>
        <w:rPr>
          <w:sz w:val="29"/>
          <w:szCs w:val="29"/>
          <w:spacing w:val="7"/>
        </w:rPr>
        <w:t>(2)及时检查乔木支撑情况，发现松动或缺失立即加固。</w:t>
      </w:r>
    </w:p>
    <w:p>
      <w:pPr>
        <w:pStyle w:val="BodyText"/>
        <w:ind w:left="570"/>
        <w:spacing w:before="10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543" w:firstLine="570"/>
        <w:spacing w:before="125" w:line="314" w:lineRule="auto"/>
        <w:rPr>
          <w:sz w:val="29"/>
          <w:szCs w:val="29"/>
        </w:rPr>
      </w:pPr>
      <w:r>
        <w:rPr>
          <w:sz w:val="29"/>
          <w:szCs w:val="29"/>
          <w:spacing w:val="-6"/>
        </w:rPr>
        <w:t>对乔灌木进行越冬整形修剪，保证乔灌木树形优美并积聚越冬能量，冬季轻</w:t>
      </w:r>
      <w:r>
        <w:rPr>
          <w:sz w:val="29"/>
          <w:szCs w:val="29"/>
          <w:spacing w:val="8"/>
        </w:rPr>
        <w:t xml:space="preserve"> </w:t>
      </w:r>
      <w:r>
        <w:rPr>
          <w:sz w:val="29"/>
          <w:szCs w:val="29"/>
          <w:spacing w:val="-1"/>
        </w:rPr>
        <w:t>剪，如需重剪更新的安排在来年春天为主。</w:t>
      </w:r>
    </w:p>
    <w:p>
      <w:pPr>
        <w:pStyle w:val="BodyText"/>
        <w:ind w:left="570"/>
        <w:spacing w:line="396" w:lineRule="exact"/>
        <w:rPr>
          <w:rFonts w:ascii="SimHei" w:hAnsi="SimHei" w:eastAsia="SimHei" w:cs="SimHei"/>
          <w:sz w:val="29"/>
          <w:szCs w:val="29"/>
        </w:rPr>
      </w:pPr>
      <w:r>
        <w:rPr>
          <w:rFonts w:ascii="Arial" w:hAnsi="Arial" w:eastAsia="Arial" w:cs="Arial"/>
          <w:sz w:val="29"/>
          <w:szCs w:val="29"/>
          <w:spacing w:val="3"/>
          <w:position w:val="1"/>
        </w:rPr>
        <w:t>3</w:t>
      </w:r>
      <w:r>
        <w:rPr>
          <w:sz w:val="29"/>
          <w:szCs w:val="29"/>
          <w:spacing w:val="3"/>
          <w:position w:val="1"/>
        </w:rPr>
        <w:t>、</w:t>
      </w:r>
      <w:r>
        <w:rPr>
          <w:rFonts w:ascii="SimHei" w:hAnsi="SimHei" w:eastAsia="SimHei" w:cs="SimHei"/>
          <w:sz w:val="29"/>
          <w:szCs w:val="29"/>
          <w:spacing w:val="3"/>
          <w:position w:val="1"/>
        </w:rPr>
        <w:t>水肥管理</w:t>
      </w:r>
    </w:p>
    <w:p>
      <w:pPr>
        <w:pStyle w:val="BodyText"/>
        <w:ind w:left="570"/>
        <w:spacing w:before="106" w:line="219" w:lineRule="auto"/>
        <w:rPr>
          <w:sz w:val="29"/>
          <w:szCs w:val="29"/>
        </w:rPr>
      </w:pPr>
      <w:r>
        <w:rPr>
          <w:sz w:val="29"/>
          <w:szCs w:val="29"/>
          <w:spacing w:val="1"/>
        </w:rPr>
        <w:t>浇水：根据天气土壤湿度情况浇水，不干不浇浇则就</w:t>
      </w:r>
      <w:r>
        <w:rPr>
          <w:sz w:val="29"/>
          <w:szCs w:val="29"/>
        </w:rPr>
        <w:t>浇透。</w:t>
      </w:r>
    </w:p>
    <w:p>
      <w:pPr>
        <w:pStyle w:val="BodyText"/>
        <w:ind w:left="570"/>
        <w:spacing w:before="11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570"/>
        <w:spacing w:before="146" w:line="219" w:lineRule="auto"/>
        <w:rPr>
          <w:sz w:val="29"/>
          <w:szCs w:val="29"/>
        </w:rPr>
      </w:pPr>
      <w:r>
        <w:rPr>
          <w:sz w:val="29"/>
          <w:szCs w:val="29"/>
          <w:spacing w:val="-1"/>
        </w:rPr>
        <w:t>虫害：榕管蓟马。</w:t>
      </w:r>
    </w:p>
    <w:p>
      <w:pPr>
        <w:pStyle w:val="BodyText"/>
        <w:ind w:left="570"/>
        <w:spacing w:before="56"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410" w:firstLine="730"/>
        <w:spacing w:before="153" w:line="265"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403" w:firstLine="730"/>
        <w:spacing w:before="13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before="143" w:line="396"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9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570"/>
        <w:spacing w:before="114"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ind w:right="411" w:firstLine="730"/>
        <w:spacing w:before="141" w:line="270"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1"/>
        </w:rPr>
        <w:t>危险品；</w:t>
      </w:r>
    </w:p>
    <w:p>
      <w:pPr>
        <w:pStyle w:val="BodyText"/>
        <w:ind w:right="411" w:firstLine="730"/>
        <w:spacing w:before="133" w:line="265" w:lineRule="auto"/>
        <w:rPr>
          <w:sz w:val="29"/>
          <w:szCs w:val="29"/>
        </w:rPr>
      </w:pPr>
      <w:r>
        <w:rPr>
          <w:sz w:val="29"/>
          <w:szCs w:val="29"/>
          <w:spacing w:val="2"/>
        </w:rPr>
        <w:t>(2)根据现场的实际情况，申请购置翌年1、2、3月份的农药、化肥、营养 </w:t>
      </w:r>
      <w:r>
        <w:rPr>
          <w:sz w:val="29"/>
          <w:szCs w:val="29"/>
          <w:spacing w:val="-2"/>
        </w:rPr>
        <w:t>剂及其它物资。</w:t>
      </w:r>
    </w:p>
    <w:p>
      <w:pPr>
        <w:spacing w:line="265" w:lineRule="auto"/>
        <w:sectPr>
          <w:footerReference w:type="default" r:id="rId720"/>
          <w:pgSz w:w="14490" w:h="20470"/>
          <w:pgMar w:top="400" w:right="1844" w:bottom="1467" w:left="2150" w:header="0" w:footer="1250" w:gutter="0"/>
        </w:sectPr>
        <w:rPr>
          <w:sz w:val="29"/>
          <w:szCs w:val="29"/>
        </w:rPr>
      </w:pP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BodyText"/>
        <w:ind w:left="590"/>
        <w:spacing w:before="95"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firstLine="580"/>
        <w:spacing w:before="10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4"/>
        </w:rPr>
        <w:t>防盗情况。</w:t>
      </w:r>
    </w:p>
    <w:p>
      <w:pPr>
        <w:spacing w:line="314" w:lineRule="auto"/>
        <w:sectPr>
          <w:footerReference w:type="default" r:id="rId721"/>
          <w:pgSz w:w="14490" w:h="20470"/>
          <w:pgMar w:top="400" w:right="1945" w:bottom="1460" w:left="2160" w:header="0" w:footer="1252" w:gutter="0"/>
        </w:sectPr>
        <w:rPr>
          <w:sz w:val="29"/>
          <w:szCs w:val="29"/>
        </w:rPr>
      </w:pP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ind w:left="4464"/>
        <w:spacing w:before="104" w:line="222" w:lineRule="auto"/>
        <w:outlineLvl w:val="1"/>
        <w:rPr>
          <w:rFonts w:ascii="SimHei" w:hAnsi="SimHei" w:eastAsia="SimHei" w:cs="SimHei"/>
          <w:sz w:val="32"/>
          <w:szCs w:val="32"/>
        </w:rPr>
      </w:pPr>
      <w:bookmarkStart w:name="bookmark141" w:id="139"/>
      <w:bookmarkEnd w:id="139"/>
      <w:bookmarkStart w:name="bookmark77" w:id="140"/>
      <w:bookmarkEnd w:id="140"/>
      <w:r>
        <w:rPr>
          <w:rFonts w:ascii="SimHei" w:hAnsi="SimHei" w:eastAsia="SimHei" w:cs="SimHei"/>
          <w:sz w:val="32"/>
          <w:szCs w:val="32"/>
          <w:b/>
          <w:bCs/>
          <w:spacing w:val="-21"/>
        </w:rPr>
        <w:t>海南地区</w:t>
      </w:r>
    </w:p>
    <w:p>
      <w:pPr>
        <w:spacing w:before="161" w:line="223" w:lineRule="auto"/>
        <w:rPr>
          <w:rFonts w:ascii="SimHei" w:hAnsi="SimHei" w:eastAsia="SimHei" w:cs="SimHei"/>
          <w:sz w:val="29"/>
          <w:szCs w:val="29"/>
        </w:rPr>
      </w:pPr>
      <w:r>
        <w:rPr>
          <w:rFonts w:ascii="SimHei" w:hAnsi="SimHei" w:eastAsia="SimHei" w:cs="SimHei"/>
          <w:sz w:val="29"/>
          <w:szCs w:val="29"/>
          <w:spacing w:val="1"/>
        </w:rPr>
        <w:t>一至三月份</w:t>
      </w:r>
    </w:p>
    <w:p>
      <w:pPr>
        <w:pStyle w:val="BodyText"/>
        <w:ind w:left="590"/>
        <w:spacing w:before="179" w:line="219" w:lineRule="auto"/>
        <w:rPr>
          <w:sz w:val="29"/>
          <w:szCs w:val="29"/>
        </w:rPr>
      </w:pPr>
      <w:r>
        <w:rPr>
          <w:sz w:val="29"/>
          <w:szCs w:val="29"/>
          <w:spacing w:val="4"/>
        </w:rPr>
        <w:t>全年中气温最低的月份，树木生长缓慢。</w:t>
      </w:r>
    </w:p>
    <w:p>
      <w:pPr>
        <w:pStyle w:val="BodyText"/>
        <w:ind w:left="590"/>
        <w:spacing w:before="143"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13" w:line="219" w:lineRule="auto"/>
        <w:rPr>
          <w:sz w:val="29"/>
          <w:szCs w:val="29"/>
        </w:rPr>
      </w:pPr>
      <w:r>
        <w:rPr>
          <w:sz w:val="29"/>
          <w:szCs w:val="29"/>
          <w:spacing w:val="6"/>
        </w:rPr>
        <w:t>(1)检查防寒设施的完好情况，发现破损立即修补；</w:t>
      </w:r>
    </w:p>
    <w:p>
      <w:pPr>
        <w:pStyle w:val="BodyText"/>
        <w:ind w:left="730"/>
        <w:spacing w:before="125" w:line="219" w:lineRule="auto"/>
        <w:rPr>
          <w:sz w:val="29"/>
          <w:szCs w:val="29"/>
        </w:rPr>
      </w:pPr>
      <w:r>
        <w:rPr>
          <w:sz w:val="29"/>
          <w:szCs w:val="29"/>
          <w:spacing w:val="8"/>
        </w:rPr>
        <w:t>(2)及时检查乔木支撑情况，发现松动或缺失立即加固。</w:t>
      </w:r>
    </w:p>
    <w:p>
      <w:pPr>
        <w:ind w:left="590"/>
        <w:spacing w:before="114" w:line="221" w:lineRule="auto"/>
        <w:rPr>
          <w:rFonts w:ascii="SimHei" w:hAnsi="SimHei" w:eastAsia="SimHei" w:cs="SimHei"/>
          <w:sz w:val="30"/>
          <w:szCs w:val="30"/>
        </w:rPr>
      </w:pPr>
      <w:r>
        <w:rPr>
          <w:rFonts w:ascii="SimHei" w:hAnsi="SimHei" w:eastAsia="SimHei" w:cs="SimHei"/>
          <w:sz w:val="30"/>
          <w:szCs w:val="30"/>
          <w:spacing w:val="-2"/>
        </w:rPr>
        <w:t>2、修剪</w:t>
      </w:r>
    </w:p>
    <w:p>
      <w:pPr>
        <w:pStyle w:val="BodyText"/>
        <w:ind w:left="730"/>
        <w:spacing w:before="153" w:line="219" w:lineRule="auto"/>
        <w:rPr>
          <w:sz w:val="29"/>
          <w:szCs w:val="29"/>
        </w:rPr>
      </w:pPr>
      <w:r>
        <w:rPr>
          <w:sz w:val="29"/>
          <w:szCs w:val="29"/>
          <w:spacing w:val="8"/>
        </w:rPr>
        <w:t>(1)乔木以整形为主，内修剪，可重剪；</w:t>
      </w:r>
    </w:p>
    <w:p>
      <w:pPr>
        <w:pStyle w:val="BodyText"/>
        <w:ind w:right="395" w:firstLine="730"/>
        <w:spacing w:before="146" w:line="256" w:lineRule="auto"/>
        <w:rPr>
          <w:sz w:val="29"/>
          <w:szCs w:val="29"/>
        </w:rPr>
      </w:pPr>
      <w:r>
        <w:rPr>
          <w:sz w:val="29"/>
          <w:szCs w:val="29"/>
          <w:spacing w:val="1"/>
        </w:rPr>
        <w:t>(2)棕榈科植物：老化枝叶黄面积达2/3时应剪除，其叶壳在底部开裂达</w:t>
      </w:r>
      <w:r>
        <w:rPr>
          <w:sz w:val="29"/>
          <w:szCs w:val="29"/>
          <w:spacing w:val="16"/>
        </w:rPr>
        <w:t xml:space="preserve"> </w:t>
      </w:r>
      <w:r>
        <w:rPr>
          <w:sz w:val="29"/>
          <w:szCs w:val="29"/>
          <w:spacing w:val="-1"/>
        </w:rPr>
        <w:t>1/3以上时应剥除，修剪时应严格保护苗木顶芽不受损伤；</w:t>
      </w:r>
    </w:p>
    <w:p>
      <w:pPr>
        <w:pStyle w:val="BodyText"/>
        <w:ind w:left="730"/>
        <w:spacing w:before="156" w:line="219" w:lineRule="auto"/>
        <w:rPr>
          <w:sz w:val="29"/>
          <w:szCs w:val="29"/>
        </w:rPr>
      </w:pPr>
      <w:r>
        <w:rPr>
          <w:sz w:val="29"/>
          <w:szCs w:val="29"/>
          <w:spacing w:val="2"/>
        </w:rPr>
        <w:t>(3)地被、造型树约每60天修剪一次；</w:t>
      </w:r>
    </w:p>
    <w:p>
      <w:pPr>
        <w:pStyle w:val="BodyText"/>
        <w:ind w:left="730"/>
        <w:spacing w:before="156" w:line="219" w:lineRule="auto"/>
        <w:rPr>
          <w:sz w:val="29"/>
          <w:szCs w:val="29"/>
        </w:rPr>
      </w:pPr>
      <w:r>
        <w:rPr>
          <w:sz w:val="29"/>
          <w:szCs w:val="29"/>
          <w:spacing w:val="2"/>
        </w:rPr>
        <w:t>(4)草坪约每45天修剪一次。</w:t>
      </w:r>
    </w:p>
    <w:p>
      <w:pPr>
        <w:ind w:left="59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9" w:firstLine="730"/>
        <w:spacing w:before="150" w:line="312" w:lineRule="auto"/>
        <w:rPr>
          <w:sz w:val="29"/>
          <w:szCs w:val="29"/>
        </w:rPr>
      </w:pPr>
      <w:r>
        <w:rPr>
          <w:sz w:val="29"/>
          <w:szCs w:val="29"/>
          <w:spacing w:val="7"/>
        </w:rPr>
        <w:t>①  浇水：本季度属低温期每天浇水建议在9:00—16:0</w:t>
      </w:r>
      <w:r>
        <w:rPr>
          <w:sz w:val="29"/>
          <w:szCs w:val="29"/>
          <w:spacing w:val="6"/>
        </w:rPr>
        <w:t>0进行，乔木、灌</w:t>
      </w:r>
      <w:r>
        <w:rPr>
          <w:sz w:val="29"/>
          <w:szCs w:val="29"/>
        </w:rPr>
        <w:t xml:space="preserve"> </w:t>
      </w:r>
      <w:r>
        <w:rPr>
          <w:sz w:val="29"/>
          <w:szCs w:val="29"/>
          <w:spacing w:val="-10"/>
        </w:rPr>
        <w:t>木、地被约每3天园区全面喷淋一次，均匀淋水保证植株无萎焉枯</w:t>
      </w:r>
      <w:r>
        <w:rPr>
          <w:sz w:val="29"/>
          <w:szCs w:val="29"/>
          <w:spacing w:val="-11"/>
        </w:rPr>
        <w:t>死现象，避</w:t>
      </w:r>
    </w:p>
    <w:p>
      <w:pPr>
        <w:pStyle w:val="BodyText"/>
        <w:ind w:right="274"/>
        <w:spacing w:before="1" w:line="305" w:lineRule="auto"/>
        <w:rPr>
          <w:sz w:val="29"/>
          <w:szCs w:val="29"/>
        </w:rPr>
      </w:pPr>
      <w:r>
        <w:rPr>
          <w:sz w:val="29"/>
          <w:szCs w:val="29"/>
          <w:spacing w:val="-11"/>
        </w:rPr>
        <w:t>免绿化郁闭区域，植物叶面滞留水时间过长；草皮确保每2天</w:t>
      </w:r>
      <w:r>
        <w:rPr>
          <w:sz w:val="29"/>
          <w:szCs w:val="29"/>
          <w:spacing w:val="-12"/>
        </w:rPr>
        <w:t>淋水一次，同时避免</w:t>
      </w:r>
      <w:r>
        <w:rPr>
          <w:sz w:val="29"/>
          <w:szCs w:val="29"/>
        </w:rPr>
        <w:t xml:space="preserve"> </w:t>
      </w:r>
      <w:r>
        <w:rPr>
          <w:sz w:val="29"/>
          <w:szCs w:val="29"/>
          <w:spacing w:val="-4"/>
        </w:rPr>
        <w:t>绿化带及人行道积水；</w:t>
      </w:r>
    </w:p>
    <w:p>
      <w:pPr>
        <w:pStyle w:val="BodyText"/>
        <w:ind w:right="12" w:firstLine="730"/>
        <w:spacing w:before="1" w:line="320" w:lineRule="auto"/>
        <w:jc w:val="both"/>
        <w:rPr>
          <w:sz w:val="29"/>
          <w:szCs w:val="29"/>
        </w:rPr>
      </w:pPr>
      <w:r>
        <w:rPr>
          <w:sz w:val="29"/>
          <w:szCs w:val="29"/>
          <w:spacing w:val="4"/>
        </w:rPr>
        <w:t>②  施肥：乔木计划在三月份施肥一次，拟采用棒肥；地被和灌木施用长</w:t>
      </w:r>
      <w:r>
        <w:rPr>
          <w:sz w:val="29"/>
          <w:szCs w:val="29"/>
          <w:spacing w:val="10"/>
        </w:rPr>
        <w:t xml:space="preserve"> </w:t>
      </w:r>
      <w:r>
        <w:rPr>
          <w:sz w:val="29"/>
          <w:szCs w:val="29"/>
          <w:spacing w:val="-16"/>
        </w:rPr>
        <w:t>效有机肥；草坪施肥在修剪后一两天进行，施用长效有机肥。施肥方法皆为撒施，施</w:t>
      </w:r>
      <w:r>
        <w:rPr>
          <w:sz w:val="29"/>
          <w:szCs w:val="29"/>
          <w:spacing w:val="13"/>
        </w:rPr>
        <w:t xml:space="preserve"> </w:t>
      </w:r>
      <w:r>
        <w:rPr>
          <w:sz w:val="29"/>
          <w:szCs w:val="29"/>
          <w:spacing w:val="1"/>
        </w:rPr>
        <w:t>肥要均匀适量，无烧苗现象。</w:t>
      </w:r>
    </w:p>
    <w:p>
      <w:pPr>
        <w:pStyle w:val="BodyText"/>
        <w:ind w:left="590"/>
        <w:spacing w:before="42" w:line="221" w:lineRule="auto"/>
        <w:rPr>
          <w:rFonts w:ascii="SimHei" w:hAnsi="SimHei" w:eastAsia="SimHei" w:cs="SimHei"/>
          <w:sz w:val="29"/>
          <w:szCs w:val="29"/>
        </w:rPr>
      </w:pPr>
      <w:r>
        <w:rPr>
          <w:rFonts w:ascii="Arial" w:hAnsi="Arial" w:eastAsia="Arial" w:cs="Arial"/>
          <w:sz w:val="29"/>
          <w:szCs w:val="29"/>
          <w:spacing w:val="-9"/>
        </w:rPr>
        <w:t>4</w:t>
      </w:r>
      <w:r>
        <w:rPr>
          <w:sz w:val="29"/>
          <w:szCs w:val="29"/>
          <w:spacing w:val="-9"/>
        </w:rPr>
        <w:t>、</w:t>
      </w:r>
      <w:r>
        <w:rPr>
          <w:rFonts w:ascii="SimHei" w:hAnsi="SimHei" w:eastAsia="SimHei" w:cs="SimHei"/>
          <w:sz w:val="29"/>
          <w:szCs w:val="29"/>
          <w:spacing w:val="-9"/>
        </w:rPr>
        <w:t>病虫害防治</w:t>
      </w:r>
    </w:p>
    <w:p>
      <w:pPr>
        <w:pStyle w:val="BodyText"/>
        <w:ind w:left="730"/>
        <w:spacing w:before="86" w:line="219" w:lineRule="auto"/>
        <w:rPr>
          <w:sz w:val="29"/>
          <w:szCs w:val="29"/>
        </w:rPr>
      </w:pPr>
      <w:r>
        <w:rPr>
          <w:sz w:val="29"/>
          <w:szCs w:val="29"/>
          <w:spacing w:val="-4"/>
        </w:rPr>
        <w:t>(1)</w:t>
      </w:r>
      <w:r>
        <w:rPr>
          <w:sz w:val="29"/>
          <w:szCs w:val="29"/>
          <w:spacing w:val="59"/>
        </w:rPr>
        <w:t xml:space="preserve">  </w:t>
      </w:r>
      <w:r>
        <w:rPr>
          <w:sz w:val="29"/>
          <w:szCs w:val="29"/>
          <w:spacing w:val="-4"/>
        </w:rPr>
        <w:t>病害：根腐病、流胶病等；</w:t>
      </w:r>
    </w:p>
    <w:p>
      <w:pPr>
        <w:pStyle w:val="BodyText"/>
        <w:ind w:right="161" w:firstLine="730"/>
        <w:spacing w:before="130" w:line="317" w:lineRule="auto"/>
        <w:rPr>
          <w:sz w:val="29"/>
          <w:szCs w:val="29"/>
        </w:rPr>
      </w:pPr>
      <w:r>
        <w:rPr>
          <w:sz w:val="29"/>
          <w:szCs w:val="29"/>
          <w:spacing w:val="1"/>
        </w:rPr>
        <w:t>②</w:t>
      </w:r>
      <w:r>
        <w:rPr>
          <w:sz w:val="29"/>
          <w:szCs w:val="29"/>
          <w:spacing w:val="36"/>
        </w:rPr>
        <w:t xml:space="preserve">   </w:t>
      </w:r>
      <w:r>
        <w:rPr>
          <w:sz w:val="29"/>
          <w:szCs w:val="29"/>
          <w:spacing w:val="1"/>
        </w:rPr>
        <w:t>虫害：柑桔全爪螨、咖啡木蠹蛾、柏肤小蠹、白蚁、小地老虎、玉</w:t>
      </w:r>
      <w:r>
        <w:rPr>
          <w:sz w:val="29"/>
          <w:szCs w:val="29"/>
        </w:rPr>
        <w:t xml:space="preserve"> </w:t>
      </w:r>
      <w:r>
        <w:rPr>
          <w:sz w:val="29"/>
          <w:szCs w:val="29"/>
          <w:spacing w:val="1"/>
        </w:rPr>
        <w:t>带凤蝶等。</w:t>
      </w:r>
    </w:p>
    <w:p>
      <w:pPr>
        <w:pStyle w:val="BodyText"/>
        <w:ind w:left="590"/>
        <w:spacing w:line="396" w:lineRule="exact"/>
        <w:rPr>
          <w:rFonts w:ascii="SimHei" w:hAnsi="SimHei" w:eastAsia="SimHei" w:cs="SimHei"/>
          <w:sz w:val="29"/>
          <w:szCs w:val="29"/>
        </w:rPr>
      </w:pPr>
      <w:r>
        <w:rPr>
          <w:rFonts w:ascii="Arial" w:hAnsi="Arial" w:eastAsia="Arial" w:cs="Arial"/>
          <w:sz w:val="29"/>
          <w:szCs w:val="29"/>
          <w:spacing w:val="4"/>
          <w:position w:val="1"/>
        </w:rPr>
        <w:t>5</w:t>
      </w:r>
      <w:r>
        <w:rPr>
          <w:sz w:val="29"/>
          <w:szCs w:val="29"/>
          <w:spacing w:val="4"/>
          <w:position w:val="1"/>
        </w:rPr>
        <w:t>、</w:t>
      </w:r>
      <w:r>
        <w:rPr>
          <w:rFonts w:ascii="SimHei" w:hAnsi="SimHei" w:eastAsia="SimHei" w:cs="SimHei"/>
          <w:sz w:val="29"/>
          <w:szCs w:val="29"/>
          <w:spacing w:val="4"/>
          <w:position w:val="1"/>
        </w:rPr>
        <w:t>保洁</w:t>
      </w:r>
    </w:p>
    <w:p>
      <w:pPr>
        <w:pStyle w:val="BodyText"/>
        <w:ind w:right="101" w:firstLine="730"/>
        <w:spacing w:before="115" w:line="255"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65" w:firstLine="730"/>
        <w:spacing w:before="175" w:line="260" w:lineRule="auto"/>
        <w:rPr>
          <w:sz w:val="29"/>
          <w:szCs w:val="29"/>
        </w:rPr>
      </w:pPr>
      <w:r>
        <w:rPr>
          <w:sz w:val="29"/>
          <w:szCs w:val="29"/>
          <w:spacing w:val="11"/>
        </w:rPr>
        <w:t>(2)在业主上班高峰期前对园区内的重点区域(大门内外、主干通道、销</w:t>
      </w:r>
      <w:r>
        <w:rPr>
          <w:sz w:val="29"/>
          <w:szCs w:val="29"/>
          <w:spacing w:val="17"/>
        </w:rPr>
        <w:t xml:space="preserve"> </w:t>
      </w:r>
      <w:r>
        <w:rPr>
          <w:sz w:val="29"/>
          <w:szCs w:val="29"/>
          <w:spacing w:val="12"/>
        </w:rPr>
        <w:t>售展示区)进行彻底清理。</w:t>
      </w:r>
    </w:p>
    <w:p>
      <w:pPr>
        <w:pStyle w:val="BodyText"/>
        <w:ind w:left="590"/>
        <w:spacing w:before="143"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28"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590"/>
        <w:spacing w:before="10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left="730"/>
        <w:spacing w:before="143" w:line="219" w:lineRule="auto"/>
        <w:rPr>
          <w:sz w:val="29"/>
          <w:szCs w:val="29"/>
        </w:rPr>
      </w:pPr>
      <w:r>
        <w:rPr>
          <w:sz w:val="29"/>
          <w:szCs w:val="29"/>
          <w:spacing w:val="7"/>
        </w:rPr>
        <w:t>(1)库房物品整理，物料工具出入库及领用登记，注意保管汽油、农药等</w:t>
      </w:r>
    </w:p>
    <w:p>
      <w:pPr>
        <w:spacing w:line="219" w:lineRule="auto"/>
        <w:sectPr>
          <w:footerReference w:type="default" r:id="rId722"/>
          <w:pgSz w:w="14490" w:h="20470"/>
          <w:pgMar w:top="400" w:right="2173" w:bottom="1433" w:left="2150" w:header="0" w:footer="1235" w:gutter="0"/>
        </w:sectPr>
        <w:rPr>
          <w:sz w:val="29"/>
          <w:szCs w:val="29"/>
        </w:rPr>
      </w:pP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20" w:lineRule="auto"/>
        <w:rPr>
          <w:sz w:val="29"/>
          <w:szCs w:val="29"/>
        </w:rPr>
      </w:pPr>
      <w:r>
        <w:rPr>
          <w:sz w:val="29"/>
          <w:szCs w:val="29"/>
          <w:spacing w:val="-5"/>
        </w:rPr>
        <w:t>危险品；</w:t>
      </w:r>
    </w:p>
    <w:p>
      <w:pPr>
        <w:pStyle w:val="BodyText"/>
        <w:ind w:right="449" w:firstLine="730"/>
        <w:spacing w:before="151" w:line="308" w:lineRule="auto"/>
        <w:rPr>
          <w:sz w:val="29"/>
          <w:szCs w:val="29"/>
        </w:rPr>
      </w:pPr>
      <w:r>
        <w:rPr>
          <w:sz w:val="29"/>
          <w:szCs w:val="29"/>
          <w:spacing w:val="2"/>
        </w:rPr>
        <w:t>(2)根据现场的实际情况，申请购置4、</w:t>
      </w:r>
      <w:r>
        <w:rPr>
          <w:sz w:val="29"/>
          <w:szCs w:val="29"/>
          <w:spacing w:val="1"/>
        </w:rPr>
        <w:t>5、6月份的农药、化肥、营养剂及</w:t>
      </w:r>
      <w:r>
        <w:rPr>
          <w:sz w:val="29"/>
          <w:szCs w:val="29"/>
        </w:rPr>
        <w:t xml:space="preserve"> </w:t>
      </w:r>
      <w:r>
        <w:rPr>
          <w:sz w:val="29"/>
          <w:szCs w:val="29"/>
          <w:spacing w:val="-9"/>
        </w:rPr>
        <w:t>其它物资。</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4"/>
          <w:position w:val="1"/>
        </w:rPr>
        <w:t>8</w:t>
      </w:r>
      <w:r>
        <w:rPr>
          <w:sz w:val="29"/>
          <w:szCs w:val="29"/>
          <w:spacing w:val="4"/>
          <w:position w:val="1"/>
        </w:rPr>
        <w:t>、</w:t>
      </w:r>
      <w:r>
        <w:rPr>
          <w:rFonts w:ascii="SimHei" w:hAnsi="SimHei" w:eastAsia="SimHei" w:cs="SimHei"/>
          <w:sz w:val="29"/>
          <w:szCs w:val="29"/>
          <w:spacing w:val="4"/>
          <w:position w:val="1"/>
        </w:rPr>
        <w:t>防火防盗</w:t>
      </w:r>
    </w:p>
    <w:p>
      <w:pPr>
        <w:pStyle w:val="BodyText"/>
        <w:ind w:right="110" w:firstLine="600"/>
        <w:spacing w:before="108" w:line="314"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6"/>
        </w:rPr>
        <w:t>防盗情况。</w:t>
      </w:r>
    </w:p>
    <w:p>
      <w:pPr>
        <w:spacing w:before="51" w:line="223" w:lineRule="auto"/>
        <w:rPr>
          <w:rFonts w:ascii="SimHei" w:hAnsi="SimHei" w:eastAsia="SimHei" w:cs="SimHei"/>
          <w:sz w:val="29"/>
          <w:szCs w:val="29"/>
        </w:rPr>
      </w:pPr>
      <w:r>
        <w:rPr>
          <w:rFonts w:ascii="SimHei" w:hAnsi="SimHei" w:eastAsia="SimHei" w:cs="SimHei"/>
          <w:sz w:val="29"/>
          <w:szCs w:val="29"/>
          <w:spacing w:val="6"/>
        </w:rPr>
        <w:t>四月份</w:t>
      </w:r>
    </w:p>
    <w:p>
      <w:pPr>
        <w:pStyle w:val="BodyText"/>
        <w:ind w:right="240" w:firstLine="600"/>
        <w:spacing w:before="118" w:line="289" w:lineRule="auto"/>
        <w:rPr>
          <w:sz w:val="29"/>
          <w:szCs w:val="29"/>
        </w:rPr>
      </w:pPr>
      <w:r>
        <w:rPr>
          <w:sz w:val="29"/>
          <w:szCs w:val="29"/>
          <w:spacing w:val="3"/>
        </w:rPr>
        <w:t>天气炎热，气温上升，干旱，树木均萌芽开花或展叶开始进人生长旺盛期，</w:t>
      </w:r>
      <w:r>
        <w:rPr>
          <w:sz w:val="29"/>
          <w:szCs w:val="29"/>
          <w:spacing w:val="5"/>
        </w:rPr>
        <w:t xml:space="preserve"> </w:t>
      </w:r>
      <w:r>
        <w:rPr>
          <w:sz w:val="29"/>
          <w:szCs w:val="29"/>
          <w:spacing w:val="8"/>
        </w:rPr>
        <w:t>容易出现缺水情况。</w:t>
      </w:r>
    </w:p>
    <w:p>
      <w:pPr>
        <w:pStyle w:val="BodyText"/>
        <w:ind w:left="600"/>
        <w:spacing w:before="51" w:line="222" w:lineRule="auto"/>
        <w:rPr>
          <w:rFonts w:ascii="SimHei" w:hAnsi="SimHei" w:eastAsia="SimHei" w:cs="SimHei"/>
          <w:sz w:val="29"/>
          <w:szCs w:val="29"/>
        </w:rPr>
      </w:pPr>
      <w:r>
        <w:rPr>
          <w:rFonts w:ascii="Arial" w:hAnsi="Arial" w:eastAsia="Arial" w:cs="Arial"/>
          <w:sz w:val="29"/>
          <w:szCs w:val="29"/>
          <w:spacing w:val="1"/>
        </w:rPr>
        <w:t>1</w:t>
      </w:r>
      <w:r>
        <w:rPr>
          <w:sz w:val="29"/>
          <w:szCs w:val="29"/>
          <w:spacing w:val="1"/>
        </w:rPr>
        <w:t>、</w:t>
      </w:r>
      <w:r>
        <w:rPr>
          <w:rFonts w:ascii="SimHei" w:hAnsi="SimHei" w:eastAsia="SimHei" w:cs="SimHei"/>
          <w:sz w:val="29"/>
          <w:szCs w:val="29"/>
          <w:spacing w:val="1"/>
        </w:rPr>
        <w:t>现场检查</w:t>
      </w:r>
    </w:p>
    <w:p>
      <w:pPr>
        <w:pStyle w:val="BodyText"/>
        <w:ind w:left="600"/>
        <w:spacing w:before="83" w:line="219" w:lineRule="auto"/>
        <w:rPr>
          <w:sz w:val="29"/>
          <w:szCs w:val="29"/>
        </w:rPr>
      </w:pPr>
      <w:r>
        <w:rPr>
          <w:sz w:val="29"/>
          <w:szCs w:val="29"/>
        </w:rPr>
        <w:t>及时检查乔木支撑情况，发现松动或缺失立即加固。</w:t>
      </w:r>
    </w:p>
    <w:p>
      <w:pPr>
        <w:ind w:left="600"/>
        <w:spacing w:before="11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373" w:firstLine="730"/>
        <w:spacing w:before="154" w:line="315" w:lineRule="auto"/>
        <w:rPr>
          <w:sz w:val="29"/>
          <w:szCs w:val="29"/>
        </w:rPr>
      </w:pPr>
      <w:r>
        <w:rPr>
          <w:sz w:val="29"/>
          <w:szCs w:val="29"/>
          <w:spacing w:val="-9"/>
        </w:rPr>
        <w:t>(1)乔木剪除冬、春季干枯、病虫害枝的枝条，乔木以整形为主，内修剪，可</w:t>
      </w:r>
      <w:r>
        <w:rPr>
          <w:sz w:val="29"/>
          <w:szCs w:val="29"/>
          <w:spacing w:val="11"/>
        </w:rPr>
        <w:t xml:space="preserve"> </w:t>
      </w:r>
      <w:r>
        <w:rPr>
          <w:sz w:val="29"/>
          <w:szCs w:val="29"/>
          <w:spacing w:val="-10"/>
        </w:rPr>
        <w:t>重剪；</w:t>
      </w:r>
    </w:p>
    <w:p>
      <w:pPr>
        <w:pStyle w:val="BodyText"/>
        <w:ind w:left="730"/>
        <w:spacing w:before="11" w:line="219" w:lineRule="auto"/>
        <w:rPr>
          <w:sz w:val="29"/>
          <w:szCs w:val="29"/>
        </w:rPr>
      </w:pPr>
      <w:r>
        <w:rPr>
          <w:sz w:val="29"/>
          <w:szCs w:val="29"/>
          <w:spacing w:val="-2"/>
        </w:rPr>
        <w:t>(2</w:t>
      </w:r>
      <w:r>
        <w:rPr>
          <w:sz w:val="29"/>
          <w:szCs w:val="29"/>
          <w:spacing w:val="41"/>
        </w:rPr>
        <w:t xml:space="preserve">  </w:t>
      </w:r>
      <w:r>
        <w:rPr>
          <w:sz w:val="29"/>
          <w:szCs w:val="29"/>
          <w:spacing w:val="-2"/>
        </w:rPr>
        <w:t>棕榈科植物：老化枝叶黄或枝叶下垂的枝条应剪除；</w:t>
      </w:r>
    </w:p>
    <w:p>
      <w:pPr>
        <w:pStyle w:val="BodyText"/>
        <w:ind w:left="730"/>
        <w:spacing w:before="138" w:line="219" w:lineRule="auto"/>
        <w:rPr>
          <w:sz w:val="29"/>
          <w:szCs w:val="29"/>
        </w:rPr>
      </w:pPr>
      <w:r>
        <w:rPr>
          <w:sz w:val="29"/>
          <w:szCs w:val="29"/>
        </w:rPr>
        <w:t>(3)地被、造型树约修剪2-3次；具体高度视</w:t>
      </w:r>
      <w:r>
        <w:rPr>
          <w:sz w:val="29"/>
          <w:szCs w:val="29"/>
          <w:spacing w:val="-1"/>
        </w:rPr>
        <w:t>现场情况而定。</w:t>
      </w:r>
    </w:p>
    <w:p>
      <w:pPr>
        <w:pStyle w:val="BodyText"/>
        <w:ind w:left="730"/>
        <w:spacing w:before="126" w:line="219" w:lineRule="auto"/>
        <w:rPr>
          <w:sz w:val="29"/>
          <w:szCs w:val="29"/>
        </w:rPr>
      </w:pPr>
      <w:r>
        <w:rPr>
          <w:sz w:val="29"/>
          <w:szCs w:val="29"/>
          <w:spacing w:val="-9"/>
        </w:rPr>
        <w:t>(4)</w:t>
      </w:r>
      <w:r>
        <w:rPr>
          <w:sz w:val="29"/>
          <w:szCs w:val="29"/>
          <w:spacing w:val="87"/>
        </w:rPr>
        <w:t xml:space="preserve"> </w:t>
      </w:r>
      <w:r>
        <w:rPr>
          <w:sz w:val="29"/>
          <w:szCs w:val="29"/>
          <w:spacing w:val="-9"/>
        </w:rPr>
        <w:t>草坪约修剪3-4次。具体高度视现场情况及草坪种类而定。</w:t>
      </w:r>
    </w:p>
    <w:p>
      <w:pPr>
        <w:ind w:left="600"/>
        <w:spacing w:before="123" w:line="222" w:lineRule="auto"/>
        <w:rPr>
          <w:rFonts w:ascii="SimHei" w:hAnsi="SimHei" w:eastAsia="SimHei" w:cs="SimHei"/>
          <w:sz w:val="29"/>
          <w:szCs w:val="29"/>
        </w:rPr>
      </w:pPr>
      <w:r>
        <w:rPr>
          <w:rFonts w:ascii="SimHei" w:hAnsi="SimHei" w:eastAsia="SimHei" w:cs="SimHei"/>
          <w:sz w:val="29"/>
          <w:szCs w:val="29"/>
          <w:spacing w:val="4"/>
        </w:rPr>
        <w:t>3、水肥管理</w:t>
      </w:r>
    </w:p>
    <w:p>
      <w:pPr>
        <w:pStyle w:val="BodyText"/>
        <w:ind w:firstLine="730"/>
        <w:spacing w:before="152" w:line="306" w:lineRule="auto"/>
        <w:rPr>
          <w:sz w:val="29"/>
          <w:szCs w:val="29"/>
        </w:rPr>
      </w:pPr>
      <w:r>
        <w:rPr>
          <w:sz w:val="29"/>
          <w:szCs w:val="29"/>
          <w:spacing w:val="2"/>
        </w:rPr>
        <w:t>(1)</w:t>
      </w:r>
      <w:r>
        <w:rPr>
          <w:sz w:val="29"/>
          <w:szCs w:val="29"/>
          <w:spacing w:val="142"/>
        </w:rPr>
        <w:t xml:space="preserve"> </w:t>
      </w:r>
      <w:r>
        <w:rPr>
          <w:sz w:val="29"/>
          <w:szCs w:val="29"/>
          <w:spacing w:val="2"/>
        </w:rPr>
        <w:t>浇水：气温开始回升，每天浇水建议在10:30前，或15:00</w:t>
      </w:r>
      <w:r>
        <w:rPr>
          <w:sz w:val="29"/>
          <w:szCs w:val="29"/>
          <w:spacing w:val="1"/>
        </w:rPr>
        <w:t>点以后进行，</w:t>
      </w:r>
      <w:r>
        <w:rPr>
          <w:sz w:val="29"/>
          <w:szCs w:val="29"/>
        </w:rPr>
        <w:t xml:space="preserve"> </w:t>
      </w:r>
      <w:r>
        <w:rPr>
          <w:sz w:val="29"/>
          <w:szCs w:val="29"/>
          <w:spacing w:val="-7"/>
        </w:rPr>
        <w:t>约每2天园区全面喷淋叶面水一次，均匀浇灌保证植株无萎焉枯死现象，注意观察</w:t>
      </w:r>
    </w:p>
    <w:p>
      <w:pPr>
        <w:pStyle w:val="BodyText"/>
        <w:spacing w:before="11" w:line="298" w:lineRule="auto"/>
        <w:rPr>
          <w:sz w:val="29"/>
          <w:szCs w:val="29"/>
        </w:rPr>
      </w:pPr>
      <w:r>
        <w:rPr>
          <w:sz w:val="29"/>
          <w:szCs w:val="29"/>
          <w:spacing w:val="-7"/>
        </w:rPr>
        <w:t>乔木生长情况，根据实际生长情况建议每周要根部灌水一次，对于出现缺水的，或</w:t>
      </w:r>
      <w:r>
        <w:rPr>
          <w:sz w:val="29"/>
          <w:szCs w:val="29"/>
          <w:spacing w:val="4"/>
        </w:rPr>
        <w:t xml:space="preserve">   </w:t>
      </w:r>
      <w:r>
        <w:rPr>
          <w:sz w:val="29"/>
          <w:szCs w:val="29"/>
          <w:spacing w:val="-6"/>
        </w:rPr>
        <w:t>贵重树木每周灌水两次。草皮要保证每天淋水一次，同时避免绿化带及人行道积水；</w:t>
      </w:r>
    </w:p>
    <w:p>
      <w:pPr>
        <w:pStyle w:val="BodyText"/>
        <w:ind w:right="393" w:firstLine="730"/>
        <w:spacing w:before="4" w:line="316" w:lineRule="auto"/>
        <w:rPr>
          <w:sz w:val="29"/>
          <w:szCs w:val="29"/>
        </w:rPr>
      </w:pPr>
      <w:r>
        <w:rPr>
          <w:sz w:val="29"/>
          <w:szCs w:val="29"/>
          <w:spacing w:val="1"/>
        </w:rPr>
        <w:t>②  施肥：对草坪施肥修剪后一两天进行，施</w:t>
      </w:r>
      <w:r>
        <w:rPr>
          <w:sz w:val="29"/>
          <w:szCs w:val="29"/>
        </w:rPr>
        <w:t>速效的复合肥，250-300</w:t>
      </w:r>
      <w:r>
        <w:rPr>
          <w:rFonts w:ascii="Times New Roman" w:hAnsi="Times New Roman" w:eastAsia="Times New Roman" w:cs="Times New Roman"/>
          <w:sz w:val="29"/>
          <w:szCs w:val="29"/>
        </w:rPr>
        <w:t>kg/1 </w:t>
      </w:r>
      <w:r>
        <w:rPr>
          <w:sz w:val="29"/>
          <w:szCs w:val="29"/>
          <w:spacing w:val="-9"/>
        </w:rPr>
        <w:t>万平方米；地被苗和灌木计划在当月份施肥一</w:t>
      </w:r>
      <w:r>
        <w:rPr>
          <w:sz w:val="29"/>
          <w:szCs w:val="29"/>
          <w:spacing w:val="-10"/>
        </w:rPr>
        <w:t>次，施用长效有机肥，600-800</w:t>
      </w:r>
      <w:r>
        <w:rPr>
          <w:rFonts w:ascii="Times New Roman" w:hAnsi="Times New Roman" w:eastAsia="Times New Roman" w:cs="Times New Roman"/>
          <w:sz w:val="29"/>
          <w:szCs w:val="29"/>
          <w:spacing w:val="-10"/>
        </w:rPr>
        <w:t>kg/1</w:t>
      </w:r>
      <w:r>
        <w:rPr>
          <w:sz w:val="29"/>
          <w:szCs w:val="29"/>
          <w:spacing w:val="-10"/>
        </w:rPr>
        <w:t>万</w:t>
      </w:r>
      <w:r>
        <w:rPr>
          <w:sz w:val="29"/>
          <w:szCs w:val="29"/>
        </w:rPr>
        <w:t xml:space="preserve"> </w:t>
      </w:r>
      <w:r>
        <w:rPr>
          <w:sz w:val="29"/>
          <w:szCs w:val="29"/>
        </w:rPr>
        <w:t>平方米，施肥方法皆为撒施，施肥要均匀适量，无烧苗现象。</w:t>
      </w:r>
    </w:p>
    <w:p>
      <w:pPr>
        <w:pStyle w:val="BodyText"/>
        <w:ind w:left="600"/>
        <w:spacing w:before="77"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96" w:line="219" w:lineRule="auto"/>
        <w:rPr>
          <w:sz w:val="29"/>
          <w:szCs w:val="29"/>
        </w:rPr>
      </w:pPr>
      <w:r>
        <w:rPr>
          <w:sz w:val="29"/>
          <w:szCs w:val="29"/>
          <w:spacing w:val="-1"/>
        </w:rPr>
        <w:t>(1)</w:t>
      </w:r>
      <w:r>
        <w:rPr>
          <w:sz w:val="29"/>
          <w:szCs w:val="29"/>
          <w:spacing w:val="58"/>
        </w:rPr>
        <w:t xml:space="preserve">  </w:t>
      </w:r>
      <w:r>
        <w:rPr>
          <w:sz w:val="29"/>
          <w:szCs w:val="29"/>
          <w:spacing w:val="-1"/>
        </w:rPr>
        <w:t>病害：炭疽病、叶斑类病害、锈病、根腐病、流胶病等；</w:t>
      </w:r>
    </w:p>
    <w:p>
      <w:pPr>
        <w:pStyle w:val="BodyText"/>
        <w:ind w:right="349" w:firstLine="730"/>
        <w:spacing w:before="142" w:line="315" w:lineRule="auto"/>
        <w:jc w:val="both"/>
        <w:rPr>
          <w:sz w:val="29"/>
          <w:szCs w:val="29"/>
        </w:rPr>
      </w:pPr>
      <w:r>
        <w:rPr>
          <w:sz w:val="29"/>
          <w:szCs w:val="29"/>
          <w:spacing w:val="-13"/>
        </w:rPr>
        <w:t>②</w:t>
      </w:r>
      <w:r>
        <w:rPr>
          <w:sz w:val="29"/>
          <w:szCs w:val="29"/>
          <w:spacing w:val="38"/>
        </w:rPr>
        <w:t xml:space="preserve">   </w:t>
      </w:r>
      <w:r>
        <w:rPr>
          <w:sz w:val="29"/>
          <w:szCs w:val="29"/>
          <w:spacing w:val="-13"/>
        </w:rPr>
        <w:t>虫害：大青叶蝉、桃蚜、桃粉蚜、桃瘤蚜、梨网冠蝽、柑桔全爪螨、桔</w:t>
      </w:r>
      <w:r>
        <w:rPr>
          <w:sz w:val="29"/>
          <w:szCs w:val="29"/>
        </w:rPr>
        <w:t xml:space="preserve"> </w:t>
      </w:r>
      <w:r>
        <w:rPr>
          <w:sz w:val="29"/>
          <w:szCs w:val="29"/>
          <w:spacing w:val="-8"/>
        </w:rPr>
        <w:t>绿粉虱、星天牛、咖啡木蠹蛾、柏肤小蠹、白蚁、小地老虎、玉带凤蝶、椰心叶甲</w:t>
      </w:r>
      <w:r>
        <w:rPr>
          <w:sz w:val="29"/>
          <w:szCs w:val="29"/>
          <w:spacing w:val="12"/>
        </w:rPr>
        <w:t xml:space="preserve"> </w:t>
      </w:r>
      <w:r>
        <w:rPr>
          <w:sz w:val="29"/>
          <w:szCs w:val="29"/>
          <w:spacing w:val="-9"/>
        </w:rPr>
        <w:t>等。</w:t>
      </w:r>
    </w:p>
    <w:p>
      <w:pPr>
        <w:pStyle w:val="BodyText"/>
        <w:ind w:left="600"/>
        <w:spacing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left="730"/>
        <w:spacing w:before="103" w:line="219" w:lineRule="auto"/>
        <w:rPr>
          <w:sz w:val="29"/>
          <w:szCs w:val="29"/>
        </w:rPr>
      </w:pPr>
      <w:r>
        <w:rPr>
          <w:sz w:val="29"/>
          <w:szCs w:val="29"/>
          <w:spacing w:val="7"/>
        </w:rPr>
        <w:t>(1)保洁人员合理分区，全天候巡视，及时清理烟头、树挂等垃圾，水景</w:t>
      </w:r>
    </w:p>
    <w:p>
      <w:pPr>
        <w:spacing w:line="219" w:lineRule="auto"/>
        <w:sectPr>
          <w:footerReference w:type="default" r:id="rId723"/>
          <w:pgSz w:w="14490" w:h="20470"/>
          <w:pgMar w:top="400" w:right="1824" w:bottom="1447" w:left="2150" w:header="0" w:footer="1230"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池、灯杆、垃圾桶保持干净；</w:t>
      </w:r>
    </w:p>
    <w:p>
      <w:pPr>
        <w:pStyle w:val="BodyText"/>
        <w:ind w:right="403" w:firstLine="730"/>
        <w:spacing w:before="157" w:line="308"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600"/>
        <w:spacing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107" w:line="219" w:lineRule="auto"/>
        <w:rPr>
          <w:sz w:val="29"/>
          <w:szCs w:val="29"/>
        </w:rPr>
      </w:pPr>
      <w:r>
        <w:rPr>
          <w:sz w:val="29"/>
          <w:szCs w:val="29"/>
          <w:spacing w:val="5"/>
        </w:rPr>
        <w:t>(1)月初提交时花需求计划，选择亮色花卉，安排下旬进场；</w:t>
      </w:r>
    </w:p>
    <w:p>
      <w:pPr>
        <w:pStyle w:val="BodyText"/>
        <w:ind w:left="730"/>
        <w:spacing w:before="136" w:line="219" w:lineRule="auto"/>
        <w:rPr>
          <w:sz w:val="29"/>
          <w:szCs w:val="29"/>
        </w:rPr>
      </w:pPr>
      <w:r>
        <w:rPr>
          <w:sz w:val="29"/>
          <w:szCs w:val="29"/>
          <w:spacing w:val="7"/>
        </w:rPr>
        <w:t>(2)月底将时花摆放完毕，注意摆放外侧避免黑色塑</w:t>
      </w:r>
      <w:r>
        <w:rPr>
          <w:sz w:val="29"/>
          <w:szCs w:val="29"/>
          <w:spacing w:val="6"/>
        </w:rPr>
        <w:t>料盆出现。</w:t>
      </w:r>
    </w:p>
    <w:p>
      <w:pPr>
        <w:pStyle w:val="BodyText"/>
        <w:ind w:left="600"/>
        <w:spacing w:before="113" w:line="222" w:lineRule="auto"/>
        <w:rPr>
          <w:rFonts w:ascii="SimHei" w:hAnsi="SimHei" w:eastAsia="SimHei" w:cs="SimHei"/>
          <w:sz w:val="29"/>
          <w:szCs w:val="29"/>
        </w:rPr>
      </w:pPr>
      <w:r>
        <w:rPr>
          <w:rFonts w:ascii="Arial" w:hAnsi="Arial" w:eastAsia="Arial" w:cs="Arial"/>
          <w:sz w:val="29"/>
          <w:szCs w:val="29"/>
          <w:spacing w:val="3"/>
        </w:rPr>
        <w:t>7</w:t>
      </w:r>
      <w:r>
        <w:rPr>
          <w:sz w:val="29"/>
          <w:szCs w:val="29"/>
          <w:spacing w:val="3"/>
        </w:rPr>
        <w:t>、</w:t>
      </w:r>
      <w:r>
        <w:rPr>
          <w:rFonts w:ascii="SimHei" w:hAnsi="SimHei" w:eastAsia="SimHei" w:cs="SimHei"/>
          <w:sz w:val="29"/>
          <w:szCs w:val="29"/>
          <w:spacing w:val="3"/>
        </w:rPr>
        <w:t>物资管理</w:t>
      </w:r>
    </w:p>
    <w:p>
      <w:pPr>
        <w:pStyle w:val="BodyText"/>
        <w:spacing w:before="154" w:line="219" w:lineRule="auto"/>
        <w:jc w:val="right"/>
        <w:rPr>
          <w:sz w:val="29"/>
          <w:szCs w:val="29"/>
        </w:rPr>
      </w:pPr>
      <w:r>
        <w:rPr>
          <w:sz w:val="29"/>
          <w:szCs w:val="29"/>
          <w:spacing w:val="1"/>
        </w:rPr>
        <w:t>库房物品整理，物料工具出入库及领用登记，注意保管汽油、农药等危险品；</w:t>
      </w:r>
    </w:p>
    <w:p>
      <w:pPr>
        <w:pStyle w:val="BodyText"/>
        <w:ind w:left="600"/>
        <w:spacing w:before="51" w:line="395" w:lineRule="exact"/>
        <w:rPr>
          <w:rFonts w:ascii="SimHei" w:hAnsi="SimHei" w:eastAsia="SimHei" w:cs="SimHei"/>
          <w:sz w:val="29"/>
          <w:szCs w:val="29"/>
        </w:rPr>
      </w:pPr>
      <w:r>
        <w:rPr>
          <w:rFonts w:ascii="Arial" w:hAnsi="Arial" w:eastAsia="Arial" w:cs="Arial"/>
          <w:sz w:val="29"/>
          <w:szCs w:val="29"/>
          <w:spacing w:val="2"/>
          <w:position w:val="1"/>
        </w:rPr>
        <w:t>8</w:t>
      </w:r>
      <w:r>
        <w:rPr>
          <w:sz w:val="29"/>
          <w:szCs w:val="29"/>
          <w:spacing w:val="2"/>
          <w:position w:val="1"/>
        </w:rPr>
        <w:t>、</w:t>
      </w:r>
      <w:r>
        <w:rPr>
          <w:rFonts w:ascii="SimHei" w:hAnsi="SimHei" w:eastAsia="SimHei" w:cs="SimHei"/>
          <w:sz w:val="29"/>
          <w:szCs w:val="29"/>
          <w:spacing w:val="2"/>
          <w:position w:val="1"/>
        </w:rPr>
        <w:t>防火防盗</w:t>
      </w:r>
    </w:p>
    <w:p>
      <w:pPr>
        <w:pStyle w:val="BodyText"/>
        <w:ind w:right="110" w:firstLine="600"/>
        <w:spacing w:before="121" w:line="320"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w:t>
      </w:r>
      <w:r>
        <w:rPr>
          <w:sz w:val="29"/>
          <w:szCs w:val="29"/>
          <w:spacing w:val="-10"/>
        </w:rPr>
        <w:t>灾隐患。同时注意库房的防火、</w:t>
      </w:r>
      <w:r>
        <w:rPr>
          <w:sz w:val="29"/>
          <w:szCs w:val="29"/>
        </w:rPr>
        <w:t xml:space="preserve"> </w:t>
      </w:r>
      <w:r>
        <w:rPr>
          <w:sz w:val="29"/>
          <w:szCs w:val="29"/>
          <w:spacing w:val="-5"/>
        </w:rPr>
        <w:t>防盗情况。</w:t>
      </w:r>
    </w:p>
    <w:p>
      <w:pPr>
        <w:spacing w:before="82" w:line="223" w:lineRule="auto"/>
        <w:rPr>
          <w:rFonts w:ascii="SimHei" w:hAnsi="SimHei" w:eastAsia="SimHei" w:cs="SimHei"/>
          <w:sz w:val="29"/>
          <w:szCs w:val="29"/>
        </w:rPr>
      </w:pPr>
      <w:r>
        <w:rPr>
          <w:rFonts w:ascii="SimHei" w:hAnsi="SimHei" w:eastAsia="SimHei" w:cs="SimHei"/>
          <w:sz w:val="29"/>
          <w:szCs w:val="29"/>
          <w:spacing w:val="6"/>
        </w:rPr>
        <w:t>五月份</w:t>
      </w:r>
    </w:p>
    <w:p>
      <w:pPr>
        <w:pStyle w:val="BodyText"/>
        <w:ind w:right="521" w:firstLine="600"/>
        <w:spacing w:before="119" w:line="283" w:lineRule="auto"/>
        <w:rPr>
          <w:sz w:val="29"/>
          <w:szCs w:val="29"/>
        </w:rPr>
      </w:pPr>
      <w:r>
        <w:rPr>
          <w:sz w:val="29"/>
          <w:szCs w:val="29"/>
          <w:spacing w:val="-22"/>
        </w:rPr>
        <w:t>气温升高雨水少，树木生长迅速、属展叶盛期，注意绿化用水</w:t>
      </w:r>
      <w:r>
        <w:rPr>
          <w:sz w:val="29"/>
          <w:szCs w:val="29"/>
          <w:spacing w:val="-23"/>
        </w:rPr>
        <w:t>，有大风天气，注</w:t>
      </w:r>
      <w:r>
        <w:rPr>
          <w:sz w:val="29"/>
          <w:szCs w:val="29"/>
        </w:rPr>
        <w:t xml:space="preserve"> </w:t>
      </w:r>
      <w:r>
        <w:rPr>
          <w:sz w:val="29"/>
          <w:szCs w:val="29"/>
          <w:spacing w:val="9"/>
        </w:rPr>
        <w:t>意防风预警。</w:t>
      </w:r>
    </w:p>
    <w:p>
      <w:pPr>
        <w:pStyle w:val="BodyText"/>
        <w:ind w:left="600"/>
        <w:spacing w:before="48"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94" w:line="219" w:lineRule="auto"/>
        <w:rPr>
          <w:sz w:val="29"/>
          <w:szCs w:val="29"/>
        </w:rPr>
      </w:pPr>
      <w:r>
        <w:rPr>
          <w:sz w:val="29"/>
          <w:szCs w:val="29"/>
          <w:spacing w:val="6"/>
        </w:rPr>
        <w:t>(1)及时检查乔木支撑情况，发现松动或缺失立即加固；</w:t>
      </w:r>
    </w:p>
    <w:p>
      <w:pPr>
        <w:pStyle w:val="BodyText"/>
        <w:ind w:right="414" w:firstLine="730"/>
        <w:spacing w:before="164" w:line="266" w:lineRule="auto"/>
        <w:rPr>
          <w:sz w:val="29"/>
          <w:szCs w:val="29"/>
        </w:rPr>
      </w:pPr>
      <w:r>
        <w:rPr>
          <w:sz w:val="29"/>
          <w:szCs w:val="29"/>
          <w:spacing w:val="6"/>
        </w:rPr>
        <w:t>(2)更换补种：及时更换或补种长势不良、枯萎老化及死亡苗木，绿化裸</w:t>
      </w:r>
      <w:r>
        <w:rPr>
          <w:sz w:val="29"/>
          <w:szCs w:val="29"/>
          <w:spacing w:val="17"/>
        </w:rPr>
        <w:t xml:space="preserve"> </w:t>
      </w:r>
      <w:r>
        <w:rPr>
          <w:sz w:val="29"/>
          <w:szCs w:val="29"/>
          <w:spacing w:val="1"/>
        </w:rPr>
        <w:t>露地块，被践踏、破坏的地被和草坪，加强新补种苗木的浇水养护。</w:t>
      </w:r>
    </w:p>
    <w:p>
      <w:pPr>
        <w:pStyle w:val="BodyText"/>
        <w:ind w:left="600"/>
        <w:spacing w:before="173" w:line="221" w:lineRule="auto"/>
        <w:rPr>
          <w:rFonts w:ascii="SimHei" w:hAnsi="SimHei" w:eastAsia="SimHei" w:cs="SimHei"/>
          <w:sz w:val="29"/>
          <w:szCs w:val="29"/>
        </w:rPr>
      </w:pPr>
      <w:r>
        <w:rPr>
          <w:rFonts w:ascii="Arial" w:hAnsi="Arial" w:eastAsia="Arial" w:cs="Arial"/>
          <w:sz w:val="29"/>
          <w:szCs w:val="29"/>
          <w:spacing w:val="8"/>
        </w:rPr>
        <w:t>2</w:t>
      </w:r>
      <w:r>
        <w:rPr>
          <w:sz w:val="29"/>
          <w:szCs w:val="29"/>
          <w:spacing w:val="8"/>
        </w:rPr>
        <w:t>、</w:t>
      </w:r>
      <w:r>
        <w:rPr>
          <w:rFonts w:ascii="SimHei" w:hAnsi="SimHei" w:eastAsia="SimHei" w:cs="SimHei"/>
          <w:sz w:val="29"/>
          <w:szCs w:val="29"/>
          <w:spacing w:val="8"/>
        </w:rPr>
        <w:t>修剪</w:t>
      </w:r>
    </w:p>
    <w:p>
      <w:pPr>
        <w:pStyle w:val="BodyText"/>
        <w:ind w:right="343" w:firstLine="730"/>
        <w:spacing w:before="125" w:line="287" w:lineRule="auto"/>
        <w:rPr>
          <w:sz w:val="29"/>
          <w:szCs w:val="29"/>
        </w:rPr>
      </w:pPr>
      <w:r>
        <w:rPr>
          <w:sz w:val="29"/>
          <w:szCs w:val="29"/>
          <w:spacing w:val="1"/>
        </w:rPr>
        <w:t>(1)</w:t>
      </w:r>
      <w:r>
        <w:rPr>
          <w:sz w:val="29"/>
          <w:szCs w:val="29"/>
          <w:spacing w:val="120"/>
        </w:rPr>
        <w:t xml:space="preserve"> </w:t>
      </w:r>
      <w:r>
        <w:rPr>
          <w:sz w:val="29"/>
          <w:szCs w:val="29"/>
          <w:spacing w:val="1"/>
        </w:rPr>
        <w:t>乔木和棕榈科树木以调整树势为主，适</w:t>
      </w:r>
      <w:r>
        <w:rPr>
          <w:sz w:val="29"/>
          <w:szCs w:val="29"/>
        </w:rPr>
        <w:t>当疏剪，对苗木的内膛枝、徒 </w:t>
      </w:r>
      <w:r>
        <w:rPr>
          <w:sz w:val="29"/>
          <w:szCs w:val="29"/>
          <w:spacing w:val="-8"/>
        </w:rPr>
        <w:t>长枝、平行枝、下垂枝、病虫枝、萌蘖枝等修剪到位，并要做到剪口平滑，对于较</w:t>
      </w:r>
      <w:r>
        <w:rPr>
          <w:sz w:val="29"/>
          <w:szCs w:val="29"/>
        </w:rPr>
        <w:t xml:space="preserve"> </w:t>
      </w:r>
      <w:r>
        <w:rPr>
          <w:sz w:val="29"/>
          <w:szCs w:val="29"/>
        </w:rPr>
        <w:t>大的剪口要进行防腐处理。对于过于粗壮的</w:t>
      </w:r>
      <w:r>
        <w:rPr>
          <w:sz w:val="29"/>
          <w:szCs w:val="29"/>
          <w:spacing w:val="-1"/>
        </w:rPr>
        <w:t>大枝应采取分段截枝法，以免撕裂树</w:t>
      </w:r>
      <w:r>
        <w:rPr>
          <w:sz w:val="29"/>
          <w:szCs w:val="29"/>
        </w:rPr>
        <w:t xml:space="preserve"> </w:t>
      </w:r>
      <w:r>
        <w:rPr>
          <w:sz w:val="29"/>
          <w:szCs w:val="29"/>
          <w:spacing w:val="-6"/>
        </w:rPr>
        <w:t>干；</w:t>
      </w:r>
    </w:p>
    <w:p>
      <w:pPr>
        <w:pStyle w:val="BodyText"/>
        <w:ind w:left="730"/>
        <w:spacing w:before="148" w:line="219" w:lineRule="auto"/>
        <w:rPr>
          <w:sz w:val="29"/>
          <w:szCs w:val="29"/>
        </w:rPr>
      </w:pPr>
      <w:r>
        <w:rPr>
          <w:sz w:val="29"/>
          <w:szCs w:val="29"/>
          <w:spacing w:val="-10"/>
        </w:rPr>
        <w:t>(2)</w:t>
      </w:r>
      <w:r>
        <w:rPr>
          <w:sz w:val="29"/>
          <w:szCs w:val="29"/>
          <w:spacing w:val="119"/>
        </w:rPr>
        <w:t xml:space="preserve"> </w:t>
      </w:r>
      <w:r>
        <w:rPr>
          <w:sz w:val="29"/>
          <w:szCs w:val="29"/>
          <w:spacing w:val="-10"/>
        </w:rPr>
        <w:t>地被、造型树约修剪2-3次，具体高度视现场情况而</w:t>
      </w:r>
      <w:r>
        <w:rPr>
          <w:sz w:val="29"/>
          <w:szCs w:val="29"/>
          <w:spacing w:val="-11"/>
        </w:rPr>
        <w:t>定；</w:t>
      </w:r>
    </w:p>
    <w:p>
      <w:pPr>
        <w:pStyle w:val="BodyText"/>
        <w:ind w:left="730"/>
        <w:spacing w:before="132" w:line="217" w:lineRule="auto"/>
        <w:rPr>
          <w:sz w:val="29"/>
          <w:szCs w:val="29"/>
        </w:rPr>
      </w:pPr>
      <w:r>
        <w:rPr>
          <w:sz w:val="29"/>
          <w:szCs w:val="29"/>
          <w:spacing w:val="-15"/>
        </w:rPr>
        <w:t>(③)  草坪约修剪3-4次。具体高度</w:t>
      </w:r>
      <w:r>
        <w:rPr>
          <w:sz w:val="29"/>
          <w:szCs w:val="29"/>
          <w:spacing w:val="-16"/>
        </w:rPr>
        <w:t>视现场情况及草坪种类而定；</w:t>
      </w:r>
    </w:p>
    <w:p>
      <w:pPr>
        <w:pStyle w:val="BodyText"/>
        <w:ind w:left="730"/>
        <w:spacing w:before="153" w:line="219" w:lineRule="auto"/>
        <w:rPr>
          <w:sz w:val="29"/>
          <w:szCs w:val="29"/>
        </w:rPr>
      </w:pPr>
      <w:r>
        <w:rPr>
          <w:sz w:val="29"/>
          <w:szCs w:val="29"/>
        </w:rPr>
        <w:t>(4  为了减少修剪次数，在整体修剪完后喷洒矮必治、或国光爱壮药物。</w:t>
      </w:r>
    </w:p>
    <w:p>
      <w:pPr>
        <w:ind w:left="600"/>
        <w:spacing w:before="11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333" w:firstLine="730"/>
        <w:spacing w:before="149" w:line="311" w:lineRule="auto"/>
        <w:jc w:val="both"/>
        <w:rPr>
          <w:sz w:val="29"/>
          <w:szCs w:val="29"/>
        </w:rPr>
      </w:pPr>
      <w:r>
        <w:rPr>
          <w:sz w:val="29"/>
          <w:szCs w:val="29"/>
          <w:spacing w:val="8"/>
        </w:rPr>
        <w:t>(1)</w:t>
      </w:r>
      <w:r>
        <w:rPr>
          <w:sz w:val="29"/>
          <w:szCs w:val="29"/>
          <w:spacing w:val="134"/>
        </w:rPr>
        <w:t xml:space="preserve"> </w:t>
      </w:r>
      <w:r>
        <w:rPr>
          <w:sz w:val="29"/>
          <w:szCs w:val="29"/>
          <w:spacing w:val="8"/>
        </w:rPr>
        <w:t>浇水：气温急骤上升，每天浇水建议在10:00前，或15:30点以后进</w:t>
      </w:r>
      <w:r>
        <w:rPr>
          <w:sz w:val="29"/>
          <w:szCs w:val="29"/>
        </w:rPr>
        <w:t xml:space="preserve"> </w:t>
      </w:r>
      <w:r>
        <w:rPr>
          <w:sz w:val="29"/>
          <w:szCs w:val="29"/>
          <w:spacing w:val="-8"/>
        </w:rPr>
        <w:t>行，约每天园区全面喷淋叶面水一次，均匀浇灌保证植株无萎焉枯死现象，注意观</w:t>
      </w:r>
      <w:r>
        <w:rPr>
          <w:sz w:val="29"/>
          <w:szCs w:val="29"/>
          <w:spacing w:val="1"/>
        </w:rPr>
        <w:t xml:space="preserve"> </w:t>
      </w:r>
      <w:r>
        <w:rPr>
          <w:sz w:val="29"/>
          <w:szCs w:val="29"/>
          <w:spacing w:val="-8"/>
        </w:rPr>
        <w:t>察乔木生长情况，根据实际生长情况建议每周要根部灌水一次，对于出现缺水的，</w:t>
      </w:r>
      <w:r>
        <w:rPr>
          <w:sz w:val="29"/>
          <w:szCs w:val="29"/>
          <w:spacing w:val="8"/>
        </w:rPr>
        <w:t xml:space="preserve"> </w:t>
      </w:r>
      <w:r>
        <w:rPr>
          <w:sz w:val="29"/>
          <w:szCs w:val="29"/>
          <w:spacing w:val="-8"/>
        </w:rPr>
        <w:t>或贵重树木每周灌水两次。草皮要保证每天淋水一次，暴晒区域、或保水保肥差的</w:t>
      </w:r>
      <w:r>
        <w:rPr>
          <w:sz w:val="29"/>
          <w:szCs w:val="29"/>
          <w:spacing w:val="8"/>
        </w:rPr>
        <w:t xml:space="preserve"> </w:t>
      </w:r>
      <w:r>
        <w:rPr>
          <w:sz w:val="29"/>
          <w:szCs w:val="29"/>
          <w:spacing w:val="-9"/>
        </w:rPr>
        <w:t>土壤，每天要早晚淋水各一次，同时避免绿化带及人行</w:t>
      </w:r>
      <w:r>
        <w:rPr>
          <w:sz w:val="29"/>
          <w:szCs w:val="29"/>
          <w:spacing w:val="-10"/>
        </w:rPr>
        <w:t>道积水；</w:t>
      </w:r>
    </w:p>
    <w:p>
      <w:pPr>
        <w:pStyle w:val="BodyText"/>
        <w:ind w:left="730"/>
        <w:spacing w:before="8" w:line="212" w:lineRule="auto"/>
        <w:rPr>
          <w:rFonts w:ascii="Times New Roman" w:hAnsi="Times New Roman" w:eastAsia="Times New Roman" w:cs="Times New Roman"/>
          <w:sz w:val="29"/>
          <w:szCs w:val="29"/>
        </w:rPr>
      </w:pPr>
      <w:r>
        <w:rPr>
          <w:sz w:val="29"/>
          <w:szCs w:val="29"/>
          <w:spacing w:val="-3"/>
        </w:rPr>
        <w:t>②  施肥：对草坪施肥修剪后一两天进行，施速</w:t>
      </w:r>
      <w:r>
        <w:rPr>
          <w:sz w:val="29"/>
          <w:szCs w:val="29"/>
          <w:spacing w:val="-4"/>
        </w:rPr>
        <w:t>效的复合肥，250-300</w:t>
      </w:r>
      <w:r>
        <w:rPr>
          <w:rFonts w:ascii="Times New Roman" w:hAnsi="Times New Roman" w:eastAsia="Times New Roman" w:cs="Times New Roman"/>
          <w:sz w:val="29"/>
          <w:szCs w:val="29"/>
          <w:spacing w:val="-4"/>
        </w:rPr>
        <w:t>kg/1</w:t>
      </w:r>
    </w:p>
    <w:p>
      <w:pPr>
        <w:spacing w:line="212" w:lineRule="auto"/>
        <w:sectPr>
          <w:footerReference w:type="default" r:id="rId724"/>
          <w:pgSz w:w="14490" w:h="20470"/>
          <w:pgMar w:top="400" w:right="1844" w:bottom="1433" w:left="2150" w:header="0" w:footer="1235" w:gutter="0"/>
        </w:sectPr>
        <w:rPr>
          <w:rFonts w:ascii="Times New Roman" w:hAnsi="Times New Roman" w:eastAsia="Times New Roman" w:cs="Times New Roman"/>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right="531"/>
        <w:spacing w:before="94" w:line="314" w:lineRule="auto"/>
        <w:rPr>
          <w:sz w:val="29"/>
          <w:szCs w:val="29"/>
        </w:rPr>
      </w:pPr>
      <w:r>
        <w:rPr>
          <w:sz w:val="29"/>
          <w:szCs w:val="29"/>
          <w:spacing w:val="-8"/>
        </w:rPr>
        <w:t>万平方米，注意均匀撒施肥料后及时浇水，避免出现烧苗情况；地被苗、灌木和</w:t>
      </w:r>
      <w:r>
        <w:rPr>
          <w:sz w:val="29"/>
          <w:szCs w:val="29"/>
          <w:spacing w:val="2"/>
        </w:rPr>
        <w:t xml:space="preserve"> </w:t>
      </w:r>
      <w:r>
        <w:rPr>
          <w:sz w:val="29"/>
          <w:szCs w:val="29"/>
          <w:spacing w:val="-1"/>
        </w:rPr>
        <w:t>乔木本月在保足水分情况，不计划施肥。</w:t>
      </w:r>
    </w:p>
    <w:p>
      <w:pPr>
        <w:pStyle w:val="BodyText"/>
        <w:ind w:left="570"/>
        <w:spacing w:before="33"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right="373" w:firstLine="730"/>
        <w:spacing w:before="95" w:line="314" w:lineRule="auto"/>
        <w:rPr>
          <w:sz w:val="29"/>
          <w:szCs w:val="29"/>
        </w:rPr>
      </w:pPr>
      <w:r>
        <w:rPr>
          <w:sz w:val="29"/>
          <w:szCs w:val="29"/>
          <w:spacing w:val="1"/>
        </w:rPr>
        <w:t>(1)   病害：白粉病、霜霉病、炭疽病</w:t>
      </w:r>
      <w:r>
        <w:rPr>
          <w:sz w:val="29"/>
          <w:szCs w:val="29"/>
        </w:rPr>
        <w:t>、叶斑类病害、锈病、干腐病、根 </w:t>
      </w:r>
      <w:r>
        <w:rPr>
          <w:sz w:val="29"/>
          <w:szCs w:val="29"/>
          <w:spacing w:val="1"/>
        </w:rPr>
        <w:t>腐病、流胶病、棕榈科植物心腐病、细菌性穿孔病等；</w:t>
      </w:r>
    </w:p>
    <w:p>
      <w:pPr>
        <w:pStyle w:val="BodyText"/>
        <w:ind w:right="240" w:firstLine="730"/>
        <w:spacing w:before="4" w:line="312" w:lineRule="auto"/>
        <w:rPr>
          <w:sz w:val="29"/>
          <w:szCs w:val="29"/>
        </w:rPr>
      </w:pPr>
      <w:r>
        <w:rPr>
          <w:sz w:val="29"/>
          <w:szCs w:val="29"/>
          <w:spacing w:val="-12"/>
        </w:rPr>
        <w:t>②</w:t>
      </w:r>
      <w:r>
        <w:rPr>
          <w:sz w:val="29"/>
          <w:szCs w:val="29"/>
          <w:spacing w:val="38"/>
        </w:rPr>
        <w:t xml:space="preserve">   </w:t>
      </w:r>
      <w:r>
        <w:rPr>
          <w:sz w:val="29"/>
          <w:szCs w:val="29"/>
          <w:spacing w:val="-12"/>
        </w:rPr>
        <w:t>虫害：大青叶蝉、桃蚜、桃粉蚜、桃瘤蚜、</w:t>
      </w:r>
      <w:r>
        <w:rPr>
          <w:sz w:val="29"/>
          <w:szCs w:val="29"/>
          <w:spacing w:val="-13"/>
        </w:rPr>
        <w:t>梨网冠蝽、柑桔全爪螨、桔</w:t>
      </w:r>
      <w:r>
        <w:rPr>
          <w:sz w:val="29"/>
          <w:szCs w:val="29"/>
        </w:rPr>
        <w:t xml:space="preserve"> </w:t>
      </w:r>
      <w:r>
        <w:rPr>
          <w:sz w:val="29"/>
          <w:szCs w:val="29"/>
          <w:spacing w:val="-8"/>
        </w:rPr>
        <w:t>绿粉虱、星天牛、咖啡木蠹蛾、柏肤小蠹、白蚁、蝼蛄、桃剑纹夜蛾、柑桔凤蝶、</w:t>
      </w:r>
      <w:r>
        <w:rPr>
          <w:sz w:val="29"/>
          <w:szCs w:val="29"/>
          <w:spacing w:val="11"/>
        </w:rPr>
        <w:t xml:space="preserve"> </w:t>
      </w:r>
      <w:r>
        <w:rPr>
          <w:sz w:val="29"/>
          <w:szCs w:val="29"/>
          <w:spacing w:val="-10"/>
        </w:rPr>
        <w:t>玉带凤蝶、樟青凤蝶、葡萄十星叶甲、椰心叶甲、红棕象甲等。</w:t>
      </w:r>
    </w:p>
    <w:p>
      <w:pPr>
        <w:pStyle w:val="BodyText"/>
        <w:ind w:left="570"/>
        <w:spacing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39" w:firstLine="730"/>
        <w:spacing w:before="113" w:line="268" w:lineRule="auto"/>
        <w:rPr>
          <w:sz w:val="29"/>
          <w:szCs w:val="29"/>
        </w:rPr>
      </w:pPr>
      <w:r>
        <w:rPr>
          <w:sz w:val="29"/>
          <w:szCs w:val="29"/>
          <w:spacing w:val="6"/>
        </w:rPr>
        <w:t>(1)保洁人员合理分区，全天候巡视，及时清理烟头、树挂等垃圾，水景</w:t>
      </w:r>
      <w:r>
        <w:rPr>
          <w:sz w:val="29"/>
          <w:szCs w:val="29"/>
          <w:spacing w:val="1"/>
        </w:rPr>
        <w:t xml:space="preserve"> </w:t>
      </w:r>
      <w:r>
        <w:rPr>
          <w:sz w:val="29"/>
          <w:szCs w:val="29"/>
          <w:spacing w:val="-1"/>
        </w:rPr>
        <w:t>池、灯杆、垃圾桶保持干净；</w:t>
      </w:r>
    </w:p>
    <w:p>
      <w:pPr>
        <w:pStyle w:val="BodyText"/>
        <w:ind w:right="333" w:firstLine="730"/>
        <w:spacing w:before="146" w:line="263" w:lineRule="auto"/>
        <w:rPr>
          <w:sz w:val="29"/>
          <w:szCs w:val="29"/>
        </w:rPr>
      </w:pPr>
      <w:r>
        <w:rPr>
          <w:sz w:val="29"/>
          <w:szCs w:val="29"/>
          <w:spacing w:val="11"/>
        </w:rPr>
        <w:t>(2)在业主上班高峰期前对园区内的重点区</w:t>
      </w:r>
      <w:r>
        <w:rPr>
          <w:sz w:val="29"/>
          <w:szCs w:val="29"/>
          <w:spacing w:val="10"/>
        </w:rPr>
        <w:t>域(大门内外、主干通道、销</w:t>
      </w:r>
      <w:r>
        <w:rPr>
          <w:sz w:val="29"/>
          <w:szCs w:val="29"/>
        </w:rPr>
        <w:t xml:space="preserve"> </w:t>
      </w:r>
      <w:r>
        <w:rPr>
          <w:sz w:val="29"/>
          <w:szCs w:val="29"/>
          <w:spacing w:val="9"/>
        </w:rPr>
        <w:t>售展示区)进行彻底清理。</w:t>
      </w:r>
    </w:p>
    <w:p>
      <w:pPr>
        <w:ind w:left="570"/>
        <w:spacing w:before="184" w:line="222" w:lineRule="auto"/>
        <w:rPr>
          <w:rFonts w:ascii="SimHei" w:hAnsi="SimHei" w:eastAsia="SimHei" w:cs="SimHei"/>
          <w:sz w:val="29"/>
          <w:szCs w:val="29"/>
        </w:rPr>
      </w:pPr>
      <w:r>
        <w:rPr>
          <w:rFonts w:ascii="SimHei" w:hAnsi="SimHei" w:eastAsia="SimHei" w:cs="SimHei"/>
          <w:sz w:val="29"/>
          <w:szCs w:val="29"/>
          <w:spacing w:val="9"/>
        </w:rPr>
        <w:t>6、物资管理</w:t>
      </w:r>
    </w:p>
    <w:p>
      <w:pPr>
        <w:pStyle w:val="BodyText"/>
        <w:ind w:right="341" w:firstLine="730"/>
        <w:spacing w:before="101" w:line="270" w:lineRule="auto"/>
        <w:rPr>
          <w:sz w:val="29"/>
          <w:szCs w:val="29"/>
        </w:rPr>
      </w:pPr>
      <w:r>
        <w:rPr>
          <w:sz w:val="29"/>
          <w:szCs w:val="29"/>
          <w:spacing w:val="6"/>
        </w:rPr>
        <w:t>(1)库房物品整理，物料工具出入库及领用登记，注意保管汽油、农药等</w:t>
      </w:r>
      <w:r>
        <w:rPr>
          <w:sz w:val="29"/>
          <w:szCs w:val="29"/>
        </w:rPr>
        <w:t xml:space="preserve"> </w:t>
      </w:r>
      <w:r>
        <w:rPr>
          <w:sz w:val="29"/>
          <w:szCs w:val="29"/>
          <w:spacing w:val="-11"/>
        </w:rPr>
        <w:t>危险品；</w:t>
      </w:r>
    </w:p>
    <w:p>
      <w:pPr>
        <w:pStyle w:val="BodyText"/>
        <w:ind w:left="730"/>
        <w:spacing w:before="152" w:line="219" w:lineRule="auto"/>
        <w:rPr>
          <w:sz w:val="29"/>
          <w:szCs w:val="29"/>
        </w:rPr>
      </w:pPr>
      <w:r>
        <w:rPr>
          <w:sz w:val="29"/>
          <w:szCs w:val="29"/>
          <w:spacing w:val="12"/>
        </w:rPr>
        <w:t>(2)进行机械工具的检查维修。</w:t>
      </w:r>
    </w:p>
    <w:p>
      <w:pPr>
        <w:pStyle w:val="BodyText"/>
        <w:ind w:left="570"/>
        <w:spacing w:before="95" w:line="221" w:lineRule="auto"/>
        <w:rPr>
          <w:rFonts w:ascii="SimHei" w:hAnsi="SimHei" w:eastAsia="SimHei" w:cs="SimHei"/>
          <w:sz w:val="29"/>
          <w:szCs w:val="29"/>
        </w:rPr>
      </w:pPr>
      <w:r>
        <w:rPr>
          <w:rFonts w:ascii="Arial" w:hAnsi="Arial" w:eastAsia="Arial" w:cs="Arial"/>
          <w:sz w:val="29"/>
          <w:szCs w:val="29"/>
          <w:spacing w:val="6"/>
        </w:rPr>
        <w:t>7</w:t>
      </w:r>
      <w:r>
        <w:rPr>
          <w:sz w:val="29"/>
          <w:szCs w:val="29"/>
          <w:spacing w:val="6"/>
        </w:rPr>
        <w:t>、</w:t>
      </w:r>
      <w:r>
        <w:rPr>
          <w:rFonts w:ascii="SimHei" w:hAnsi="SimHei" w:eastAsia="SimHei" w:cs="SimHei"/>
          <w:sz w:val="29"/>
          <w:szCs w:val="29"/>
          <w:spacing w:val="6"/>
        </w:rPr>
        <w:t>防火防盗</w:t>
      </w:r>
    </w:p>
    <w:p>
      <w:pPr>
        <w:pStyle w:val="BodyText"/>
        <w:ind w:firstLine="570"/>
        <w:spacing w:before="134"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76" w:line="223" w:lineRule="auto"/>
        <w:rPr>
          <w:rFonts w:ascii="SimHei" w:hAnsi="SimHei" w:eastAsia="SimHei" w:cs="SimHei"/>
          <w:sz w:val="29"/>
          <w:szCs w:val="29"/>
        </w:rPr>
      </w:pPr>
      <w:r>
        <w:rPr>
          <w:rFonts w:ascii="SimHei" w:hAnsi="SimHei" w:eastAsia="SimHei" w:cs="SimHei"/>
          <w:sz w:val="29"/>
          <w:szCs w:val="29"/>
          <w:spacing w:val="1"/>
        </w:rPr>
        <w:t>六、七月份</w:t>
      </w:r>
    </w:p>
    <w:p>
      <w:pPr>
        <w:pStyle w:val="BodyText"/>
        <w:ind w:left="570"/>
        <w:spacing w:before="190" w:line="219" w:lineRule="auto"/>
        <w:rPr>
          <w:sz w:val="29"/>
          <w:szCs w:val="29"/>
        </w:rPr>
      </w:pPr>
      <w:r>
        <w:rPr>
          <w:sz w:val="29"/>
          <w:szCs w:val="29"/>
          <w:spacing w:val="-4"/>
        </w:rPr>
        <w:t>气温升高，有大风雷雨天气，注意工人作息时间，防止中暑。</w:t>
      </w:r>
    </w:p>
    <w:p>
      <w:pPr>
        <w:ind w:left="570"/>
        <w:spacing w:before="113" w:line="222" w:lineRule="auto"/>
        <w:rPr>
          <w:rFonts w:ascii="SimHei" w:hAnsi="SimHei" w:eastAsia="SimHei" w:cs="SimHei"/>
          <w:sz w:val="29"/>
          <w:szCs w:val="29"/>
        </w:rPr>
      </w:pPr>
      <w:r>
        <w:rPr>
          <w:rFonts w:ascii="SimHei" w:hAnsi="SimHei" w:eastAsia="SimHei" w:cs="SimHei"/>
          <w:sz w:val="29"/>
          <w:szCs w:val="29"/>
          <w:spacing w:val="9"/>
        </w:rPr>
        <w:t>1、现场检查</w:t>
      </w:r>
    </w:p>
    <w:p>
      <w:pPr>
        <w:pStyle w:val="BodyText"/>
        <w:ind w:left="730"/>
        <w:spacing w:before="104" w:line="219" w:lineRule="auto"/>
        <w:rPr>
          <w:sz w:val="29"/>
          <w:szCs w:val="29"/>
        </w:rPr>
      </w:pPr>
      <w:r>
        <w:rPr>
          <w:sz w:val="29"/>
          <w:szCs w:val="29"/>
          <w:spacing w:val="-2"/>
        </w:rPr>
        <w:t>(1)</w:t>
      </w:r>
      <w:r>
        <w:rPr>
          <w:sz w:val="29"/>
          <w:szCs w:val="29"/>
          <w:spacing w:val="75"/>
        </w:rPr>
        <w:t xml:space="preserve"> </w:t>
      </w:r>
      <w:r>
        <w:rPr>
          <w:sz w:val="29"/>
          <w:szCs w:val="29"/>
          <w:spacing w:val="-2"/>
        </w:rPr>
        <w:t>及时检查乔木支撑情况，发现松动或缺失立即加固；</w:t>
      </w:r>
    </w:p>
    <w:p>
      <w:pPr>
        <w:pStyle w:val="BodyText"/>
        <w:ind w:right="343" w:firstLine="730"/>
        <w:spacing w:before="154" w:line="266" w:lineRule="auto"/>
        <w:rPr>
          <w:sz w:val="29"/>
          <w:szCs w:val="29"/>
        </w:rPr>
      </w:pPr>
      <w:r>
        <w:rPr>
          <w:sz w:val="29"/>
          <w:szCs w:val="29"/>
          <w:spacing w:val="6"/>
        </w:rPr>
        <w:t>(2)更换补种：及时更换或补种长势不良、枯萎老化及死亡苗木，</w:t>
      </w:r>
      <w:r>
        <w:rPr>
          <w:sz w:val="29"/>
          <w:szCs w:val="29"/>
          <w:spacing w:val="5"/>
        </w:rPr>
        <w:t>绿化裸</w:t>
      </w:r>
      <w:r>
        <w:rPr>
          <w:sz w:val="29"/>
          <w:szCs w:val="29"/>
        </w:rPr>
        <w:t xml:space="preserve"> </w:t>
      </w:r>
      <w:r>
        <w:rPr>
          <w:sz w:val="29"/>
          <w:szCs w:val="29"/>
          <w:spacing w:val="1"/>
        </w:rPr>
        <w:t>露地块，被践踏、破坏的地被和草坪，加强新补种苗木的浇水养护。</w:t>
      </w:r>
    </w:p>
    <w:p>
      <w:pPr>
        <w:ind w:left="570"/>
        <w:spacing w:before="184"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30" w:firstLine="730"/>
        <w:spacing w:before="73" w:line="275" w:lineRule="auto"/>
        <w:rPr>
          <w:sz w:val="29"/>
          <w:szCs w:val="29"/>
        </w:rPr>
      </w:pPr>
      <w:r>
        <w:rPr>
          <w:sz w:val="29"/>
          <w:szCs w:val="29"/>
          <w:spacing w:val="6"/>
        </w:rPr>
        <w:t>(1)乔木生长期内以调整树势为主，宜轻剪，主要修剪病虫枝、萌蘖枝和</w:t>
      </w:r>
      <w:r>
        <w:rPr>
          <w:sz w:val="29"/>
          <w:szCs w:val="29"/>
          <w:spacing w:val="10"/>
        </w:rPr>
        <w:t xml:space="preserve"> </w:t>
      </w:r>
      <w:r>
        <w:rPr>
          <w:sz w:val="29"/>
          <w:szCs w:val="29"/>
          <w:spacing w:val="1"/>
        </w:rPr>
        <w:t>枯枝，对部分生长旺盛的行道树进行第一次</w:t>
      </w:r>
      <w:r>
        <w:rPr>
          <w:sz w:val="29"/>
          <w:szCs w:val="29"/>
        </w:rPr>
        <w:t>的剥芽修剪；</w:t>
      </w:r>
    </w:p>
    <w:p>
      <w:pPr>
        <w:pStyle w:val="BodyText"/>
        <w:ind w:left="730"/>
        <w:spacing w:before="144" w:line="219" w:lineRule="auto"/>
        <w:rPr>
          <w:sz w:val="29"/>
          <w:szCs w:val="29"/>
        </w:rPr>
      </w:pPr>
      <w:r>
        <w:rPr>
          <w:sz w:val="29"/>
          <w:szCs w:val="29"/>
          <w:spacing w:val="6"/>
        </w:rPr>
        <w:t>(2)棕榈科修剪为下垂枝和枯枝黄叶为主；</w:t>
      </w:r>
    </w:p>
    <w:p>
      <w:pPr>
        <w:pStyle w:val="BodyText"/>
        <w:ind w:left="730"/>
        <w:spacing w:before="138" w:line="219" w:lineRule="auto"/>
        <w:rPr>
          <w:sz w:val="29"/>
          <w:szCs w:val="29"/>
        </w:rPr>
      </w:pPr>
      <w:r>
        <w:rPr>
          <w:sz w:val="29"/>
          <w:szCs w:val="29"/>
          <w:spacing w:val="-1"/>
        </w:rPr>
        <w:t>(3)地被、造型树约修剪2-3次，具体高度视现</w:t>
      </w:r>
      <w:r>
        <w:rPr>
          <w:sz w:val="29"/>
          <w:szCs w:val="29"/>
          <w:spacing w:val="-2"/>
        </w:rPr>
        <w:t>场情况而定；</w:t>
      </w:r>
    </w:p>
    <w:p>
      <w:pPr>
        <w:pStyle w:val="BodyText"/>
        <w:ind w:right="443" w:firstLine="730"/>
        <w:spacing w:before="145" w:line="269" w:lineRule="auto"/>
        <w:rPr>
          <w:sz w:val="29"/>
          <w:szCs w:val="29"/>
        </w:rPr>
      </w:pPr>
      <w:r>
        <w:rPr>
          <w:sz w:val="29"/>
          <w:szCs w:val="29"/>
          <w:spacing w:val="5"/>
        </w:rPr>
        <w:t>(4)草坪视现场情况修剪，此季节宜重剪，草坪修剪后的高度控制在4</w:t>
      </w:r>
      <w:r>
        <w:rPr>
          <w:rFonts w:ascii="Times New Roman" w:hAnsi="Times New Roman" w:eastAsia="Times New Roman" w:cs="Times New Roman"/>
          <w:sz w:val="29"/>
          <w:szCs w:val="29"/>
        </w:rPr>
        <w:t>cm</w:t>
      </w:r>
      <w:r>
        <w:rPr>
          <w:rFonts w:ascii="Times New Roman" w:hAnsi="Times New Roman" w:eastAsia="Times New Roman" w:cs="Times New Roman"/>
          <w:sz w:val="29"/>
          <w:szCs w:val="29"/>
          <w:spacing w:val="15"/>
        </w:rPr>
        <w:t xml:space="preserve"> </w:t>
      </w:r>
      <w:r>
        <w:rPr>
          <w:sz w:val="29"/>
          <w:szCs w:val="29"/>
          <w:spacing w:val="-6"/>
        </w:rPr>
        <w:t>以下，每次修剪的长度不超过未剪草坪自然高度的1/3。对于长到灌木内或高出</w:t>
      </w:r>
    </w:p>
    <w:p>
      <w:pPr>
        <w:spacing w:line="269" w:lineRule="auto"/>
        <w:sectPr>
          <w:footerReference w:type="default" r:id="rId725"/>
          <w:pgSz w:w="14490" w:h="20470"/>
          <w:pgMar w:top="400" w:right="1935" w:bottom="1447" w:left="2150" w:header="0" w:footer="1231" w:gutter="0"/>
        </w:sectPr>
        <w:rPr>
          <w:sz w:val="29"/>
          <w:szCs w:val="29"/>
        </w:rPr>
      </w:pP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spacing w:before="94" w:line="219" w:lineRule="auto"/>
        <w:rPr>
          <w:sz w:val="29"/>
          <w:szCs w:val="29"/>
        </w:rPr>
      </w:pPr>
      <w:r>
        <w:rPr>
          <w:sz w:val="29"/>
          <w:szCs w:val="29"/>
          <w:spacing w:val="1"/>
        </w:rPr>
        <w:t>草坪的草需处理干净，草坪的边线应整齐清晰。还要对草坪上杂草人工拔除；</w:t>
      </w:r>
    </w:p>
    <w:p>
      <w:pPr>
        <w:pStyle w:val="BodyText"/>
        <w:ind w:right="251" w:firstLine="730"/>
        <w:spacing w:before="158" w:line="315" w:lineRule="auto"/>
        <w:rPr>
          <w:sz w:val="29"/>
          <w:szCs w:val="29"/>
        </w:rPr>
      </w:pPr>
      <w:r>
        <w:rPr>
          <w:sz w:val="29"/>
          <w:szCs w:val="29"/>
          <w:spacing w:val="8"/>
        </w:rPr>
        <w:t>(5)为了减少修剪次数，建议在整体修剪完后喷洒矮必治、或国光爱壮等</w:t>
      </w:r>
      <w:r>
        <w:rPr>
          <w:sz w:val="29"/>
          <w:szCs w:val="29"/>
          <w:spacing w:val="13"/>
        </w:rPr>
        <w:t xml:space="preserve"> </w:t>
      </w:r>
      <w:r>
        <w:rPr>
          <w:sz w:val="29"/>
          <w:szCs w:val="29"/>
          <w:spacing w:val="-4"/>
        </w:rPr>
        <w:t>药物。</w:t>
      </w:r>
    </w:p>
    <w:p>
      <w:pPr>
        <w:ind w:left="570"/>
        <w:spacing w:before="28"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220" w:firstLine="730"/>
        <w:spacing w:before="92" w:line="311" w:lineRule="auto"/>
        <w:jc w:val="both"/>
        <w:rPr>
          <w:sz w:val="29"/>
          <w:szCs w:val="29"/>
        </w:rPr>
      </w:pPr>
      <w:r>
        <w:rPr>
          <w:sz w:val="29"/>
          <w:szCs w:val="29"/>
        </w:rPr>
        <w:t>①   浇水：每天浇水建议在10:00前，或16:00点以后进行，可以适当调整</w:t>
      </w:r>
      <w:r>
        <w:rPr>
          <w:sz w:val="29"/>
          <w:szCs w:val="29"/>
          <w:spacing w:val="18"/>
        </w:rPr>
        <w:t xml:space="preserve"> </w:t>
      </w:r>
      <w:r>
        <w:rPr>
          <w:sz w:val="29"/>
          <w:szCs w:val="29"/>
          <w:spacing w:val="-1"/>
        </w:rPr>
        <w:t>工人上班时间，安排夜里浇水，约每天园区全面喷淋叶面水一次，均匀</w:t>
      </w:r>
      <w:r>
        <w:rPr>
          <w:sz w:val="29"/>
          <w:szCs w:val="29"/>
          <w:spacing w:val="-2"/>
        </w:rPr>
        <w:t>浇灌保证</w:t>
      </w:r>
      <w:r>
        <w:rPr>
          <w:sz w:val="29"/>
          <w:szCs w:val="29"/>
        </w:rPr>
        <w:t xml:space="preserve"> </w:t>
      </w:r>
      <w:r>
        <w:rPr>
          <w:sz w:val="29"/>
          <w:szCs w:val="29"/>
          <w:spacing w:val="-7"/>
        </w:rPr>
        <w:t>植株无萎焉枯死现象。刚种植的常绿树及大规格</w:t>
      </w:r>
      <w:r>
        <w:rPr>
          <w:sz w:val="29"/>
          <w:szCs w:val="29"/>
          <w:spacing w:val="-8"/>
        </w:rPr>
        <w:t>乔木的遮荫网暂时不要急于撤除，</w:t>
      </w:r>
      <w:r>
        <w:rPr>
          <w:sz w:val="29"/>
          <w:szCs w:val="29"/>
        </w:rPr>
        <w:t xml:space="preserve"> </w:t>
      </w:r>
      <w:r>
        <w:rPr>
          <w:sz w:val="29"/>
          <w:szCs w:val="29"/>
          <w:spacing w:val="-8"/>
        </w:rPr>
        <w:t>注意观察乔木生长情况，根据实际生长情况建议每周要根部灌水一次，对于出现缺</w:t>
      </w:r>
      <w:r>
        <w:rPr>
          <w:sz w:val="29"/>
          <w:szCs w:val="29"/>
          <w:spacing w:val="17"/>
        </w:rPr>
        <w:t xml:space="preserve"> </w:t>
      </w:r>
      <w:r>
        <w:rPr>
          <w:sz w:val="29"/>
          <w:szCs w:val="29"/>
          <w:spacing w:val="-16"/>
        </w:rPr>
        <w:t>水的，或贵重树木每周灌水两次。草皮要保证每天淋水一次，暴晒区域、或保水保肥</w:t>
      </w:r>
      <w:r>
        <w:rPr>
          <w:sz w:val="29"/>
          <w:szCs w:val="29"/>
        </w:rPr>
        <w:t xml:space="preserve"> </w:t>
      </w:r>
      <w:r>
        <w:rPr>
          <w:sz w:val="29"/>
          <w:szCs w:val="29"/>
        </w:rPr>
        <w:t>差的土壤，每天要早晚淋水各一次，同时避免绿化带及人行道积；</w:t>
      </w:r>
    </w:p>
    <w:p>
      <w:pPr>
        <w:pStyle w:val="BodyText"/>
        <w:ind w:firstLine="730"/>
        <w:spacing w:before="35" w:line="293" w:lineRule="auto"/>
        <w:rPr>
          <w:sz w:val="29"/>
          <w:szCs w:val="29"/>
        </w:rPr>
      </w:pPr>
      <w:r>
        <w:rPr>
          <w:sz w:val="29"/>
          <w:szCs w:val="29"/>
          <w:spacing w:val="-5"/>
        </w:rPr>
        <w:t>2   施肥：乔木也施用长效有机肥，宜树木中心约8</w:t>
      </w:r>
      <w:r>
        <w:rPr>
          <w:sz w:val="29"/>
          <w:szCs w:val="29"/>
          <w:spacing w:val="-6"/>
        </w:rPr>
        <w:t>0厘米周边打孔施放肥料，</w:t>
      </w:r>
      <w:r>
        <w:rPr>
          <w:sz w:val="29"/>
          <w:szCs w:val="29"/>
        </w:rPr>
        <w:t xml:space="preserve"> </w:t>
      </w:r>
      <w:r>
        <w:rPr>
          <w:sz w:val="29"/>
          <w:szCs w:val="29"/>
          <w:spacing w:val="-22"/>
        </w:rPr>
        <w:t>对于观花、观果树种应增施磷、钾肥；地被苗、灌木计</w:t>
      </w:r>
      <w:r>
        <w:rPr>
          <w:sz w:val="29"/>
          <w:szCs w:val="29"/>
          <w:spacing w:val="-23"/>
        </w:rPr>
        <w:t>划在七月份施肥一次，施用长效</w:t>
      </w:r>
      <w:r>
        <w:rPr>
          <w:sz w:val="29"/>
          <w:szCs w:val="29"/>
        </w:rPr>
        <w:t xml:space="preserve">  </w:t>
      </w:r>
      <w:r>
        <w:rPr>
          <w:sz w:val="29"/>
          <w:szCs w:val="29"/>
          <w:spacing w:val="-16"/>
        </w:rPr>
        <w:t>有机肥，施肥方法皆为撒施，施肥要均匀适量，无烧苗现象；对草坪施肥修剪后一两</w:t>
      </w:r>
      <w:r>
        <w:rPr>
          <w:sz w:val="29"/>
          <w:szCs w:val="29"/>
          <w:spacing w:val="1"/>
        </w:rPr>
        <w:t xml:space="preserve">  </w:t>
      </w:r>
      <w:r>
        <w:rPr>
          <w:sz w:val="29"/>
          <w:szCs w:val="29"/>
          <w:spacing w:val="-1"/>
        </w:rPr>
        <w:t>天进行，施采用速效的复合肥，注意均匀撒施肥料后及时浇水，避免出现烧苗情</w:t>
      </w:r>
      <w:r>
        <w:rPr>
          <w:sz w:val="29"/>
          <w:szCs w:val="29"/>
          <w:spacing w:val="8"/>
        </w:rPr>
        <w:t xml:space="preserve">  </w:t>
      </w:r>
      <w:r>
        <w:rPr>
          <w:sz w:val="29"/>
          <w:szCs w:val="29"/>
          <w:spacing w:val="-9"/>
        </w:rPr>
        <w:t>况。</w:t>
      </w:r>
    </w:p>
    <w:p>
      <w:pPr>
        <w:pStyle w:val="BodyText"/>
        <w:ind w:left="570"/>
        <w:spacing w:before="200" w:line="221" w:lineRule="auto"/>
        <w:rPr>
          <w:rFonts w:ascii="SimHei" w:hAnsi="SimHei" w:eastAsia="SimHei" w:cs="SimHei"/>
          <w:sz w:val="29"/>
          <w:szCs w:val="29"/>
        </w:rPr>
      </w:pPr>
      <w:r>
        <w:rPr>
          <w:rFonts w:ascii="Arial" w:hAnsi="Arial" w:eastAsia="Arial" w:cs="Arial"/>
          <w:sz w:val="29"/>
          <w:szCs w:val="29"/>
          <w:spacing w:val="4"/>
        </w:rPr>
        <w:t>4</w:t>
      </w:r>
      <w:r>
        <w:rPr>
          <w:sz w:val="29"/>
          <w:szCs w:val="29"/>
          <w:spacing w:val="4"/>
        </w:rPr>
        <w:t>、</w:t>
      </w:r>
      <w:r>
        <w:rPr>
          <w:rFonts w:ascii="SimHei" w:hAnsi="SimHei" w:eastAsia="SimHei" w:cs="SimHei"/>
          <w:sz w:val="29"/>
          <w:szCs w:val="29"/>
          <w:spacing w:val="4"/>
        </w:rPr>
        <w:t>病虫害防治</w:t>
      </w:r>
    </w:p>
    <w:p>
      <w:pPr>
        <w:pStyle w:val="BodyText"/>
        <w:ind w:right="251" w:firstLine="730"/>
        <w:spacing w:before="85" w:line="279" w:lineRule="auto"/>
        <w:rPr>
          <w:sz w:val="29"/>
          <w:szCs w:val="29"/>
        </w:rPr>
      </w:pPr>
      <w:r>
        <w:rPr>
          <w:sz w:val="29"/>
          <w:szCs w:val="29"/>
          <w:spacing w:val="7"/>
        </w:rPr>
        <w:t>(1)病害：白粉病、霜霉病、炭疽病、锈病、白绢病、煤污病、叶枯病、</w:t>
      </w:r>
      <w:r>
        <w:rPr>
          <w:sz w:val="29"/>
          <w:szCs w:val="29"/>
          <w:spacing w:val="18"/>
        </w:rPr>
        <w:t xml:space="preserve"> </w:t>
      </w:r>
      <w:r>
        <w:rPr>
          <w:sz w:val="29"/>
          <w:szCs w:val="29"/>
          <w:spacing w:val="-8"/>
        </w:rPr>
        <w:t>干腐病、紫纹羽病、枝枯病、流胶病、棕榈科植物心腐病、</w:t>
      </w:r>
      <w:r>
        <w:rPr>
          <w:sz w:val="29"/>
          <w:szCs w:val="29"/>
          <w:spacing w:val="-9"/>
        </w:rPr>
        <w:t>枯萎病、草坪腐霉枯萎</w:t>
      </w:r>
      <w:r>
        <w:rPr>
          <w:sz w:val="29"/>
          <w:szCs w:val="29"/>
        </w:rPr>
        <w:t xml:space="preserve"> </w:t>
      </w:r>
      <w:r>
        <w:rPr>
          <w:sz w:val="29"/>
          <w:szCs w:val="29"/>
          <w:spacing w:val="-2"/>
        </w:rPr>
        <w:t>病、细菌性穿孔病、花叶病等；</w:t>
      </w:r>
    </w:p>
    <w:p>
      <w:pPr>
        <w:pStyle w:val="BodyText"/>
        <w:ind w:right="240" w:firstLine="730"/>
        <w:spacing w:before="183" w:line="279" w:lineRule="auto"/>
        <w:rPr>
          <w:sz w:val="29"/>
          <w:szCs w:val="29"/>
        </w:rPr>
      </w:pPr>
      <w:r>
        <w:rPr>
          <w:sz w:val="29"/>
          <w:szCs w:val="29"/>
          <w:spacing w:val="8"/>
        </w:rPr>
        <w:t>(2)虫害：大青叶蝉、桃粉蚜、梨网冠蝽、花蓟马、桑天牛、星天牛、咖</w:t>
      </w:r>
      <w:r>
        <w:rPr>
          <w:sz w:val="29"/>
          <w:szCs w:val="29"/>
          <w:spacing w:val="18"/>
        </w:rPr>
        <w:t xml:space="preserve"> </w:t>
      </w:r>
      <w:r>
        <w:rPr>
          <w:sz w:val="29"/>
          <w:szCs w:val="29"/>
          <w:spacing w:val="-8"/>
        </w:rPr>
        <w:t>啡木蠹蛾、柏肤小蠹、白蚁、蝼蛄、黄刺蛾、丽绿刺蛾、茶袋蛾、黄尾毒蛾、桃剑</w:t>
      </w:r>
      <w:r>
        <w:rPr>
          <w:sz w:val="29"/>
          <w:szCs w:val="29"/>
          <w:spacing w:val="1"/>
        </w:rPr>
        <w:t xml:space="preserve"> </w:t>
      </w:r>
      <w:r>
        <w:rPr>
          <w:sz w:val="29"/>
          <w:szCs w:val="29"/>
          <w:spacing w:val="1"/>
        </w:rPr>
        <w:t>纹夜蛾、柑桔凤蝶、玉带凤蝶、樟青凤蝶、葡萄十星叶甲、红棕象甲等。</w:t>
      </w:r>
    </w:p>
    <w:p>
      <w:pPr>
        <w:pStyle w:val="BodyText"/>
        <w:ind w:left="570"/>
        <w:spacing w:before="148" w:line="396"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249" w:firstLine="730"/>
        <w:spacing w:before="113" w:line="262" w:lineRule="auto"/>
        <w:rPr>
          <w:sz w:val="29"/>
          <w:szCs w:val="29"/>
        </w:rPr>
      </w:pPr>
      <w:r>
        <w:rPr>
          <w:sz w:val="29"/>
          <w:szCs w:val="29"/>
          <w:spacing w:val="8"/>
        </w:rPr>
        <w:t>(1)保洁人员合理分区，全天候巡视，及时清理烟头、树挂等垃圾，水景</w:t>
      </w:r>
      <w:r>
        <w:rPr>
          <w:sz w:val="29"/>
          <w:szCs w:val="29"/>
          <w:spacing w:val="15"/>
        </w:rPr>
        <w:t xml:space="preserve"> </w:t>
      </w:r>
      <w:r>
        <w:rPr>
          <w:sz w:val="29"/>
          <w:szCs w:val="29"/>
          <w:spacing w:val="-1"/>
        </w:rPr>
        <w:t>池、灯杆、垃圾桶保持干净；</w:t>
      </w:r>
    </w:p>
    <w:p>
      <w:pPr>
        <w:pStyle w:val="BodyText"/>
        <w:ind w:right="243" w:firstLine="730"/>
        <w:spacing w:before="126" w:line="269" w:lineRule="auto"/>
        <w:rPr>
          <w:sz w:val="29"/>
          <w:szCs w:val="29"/>
        </w:rPr>
      </w:pPr>
      <w:r>
        <w:rPr>
          <w:sz w:val="29"/>
          <w:szCs w:val="29"/>
          <w:spacing w:val="13"/>
        </w:rPr>
        <w:t>(2)在业主上班高峰期前对园区内的重点区域(大门内外、主干通道、销</w:t>
      </w:r>
      <w:r>
        <w:rPr>
          <w:sz w:val="29"/>
          <w:szCs w:val="29"/>
          <w:spacing w:val="1"/>
        </w:rPr>
        <w:t xml:space="preserve"> </w:t>
      </w:r>
      <w:r>
        <w:rPr>
          <w:sz w:val="29"/>
          <w:szCs w:val="29"/>
          <w:spacing w:val="8"/>
        </w:rPr>
        <w:t>售展示区)进行彻底清理。</w:t>
      </w:r>
    </w:p>
    <w:p>
      <w:pPr>
        <w:ind w:left="570"/>
        <w:spacing w:before="204" w:line="222" w:lineRule="auto"/>
        <w:rPr>
          <w:rFonts w:ascii="SimHei" w:hAnsi="SimHei" w:eastAsia="SimHei" w:cs="SimHei"/>
          <w:sz w:val="29"/>
          <w:szCs w:val="29"/>
        </w:rPr>
      </w:pPr>
      <w:r>
        <w:rPr>
          <w:rFonts w:ascii="SimHei" w:hAnsi="SimHei" w:eastAsia="SimHei" w:cs="SimHei"/>
          <w:sz w:val="29"/>
          <w:szCs w:val="29"/>
          <w:spacing w:val="6"/>
        </w:rPr>
        <w:t>6、物资管理</w:t>
      </w:r>
    </w:p>
    <w:p>
      <w:pPr>
        <w:pStyle w:val="BodyText"/>
        <w:ind w:right="251" w:firstLine="730"/>
        <w:spacing w:before="92" w:line="270" w:lineRule="auto"/>
        <w:rPr>
          <w:sz w:val="29"/>
          <w:szCs w:val="29"/>
        </w:rPr>
      </w:pPr>
      <w:r>
        <w:rPr>
          <w:sz w:val="29"/>
          <w:szCs w:val="29"/>
          <w:spacing w:val="8"/>
        </w:rPr>
        <w:t>(1)库房物品整理，物料工具出入库及领用登记，注意保管汽油、农药等</w:t>
      </w:r>
      <w:r>
        <w:rPr>
          <w:sz w:val="29"/>
          <w:szCs w:val="29"/>
          <w:spacing w:val="13"/>
        </w:rPr>
        <w:t xml:space="preserve"> </w:t>
      </w:r>
      <w:r>
        <w:rPr>
          <w:sz w:val="29"/>
          <w:szCs w:val="29"/>
          <w:spacing w:val="-11"/>
        </w:rPr>
        <w:t>危险品；</w:t>
      </w:r>
    </w:p>
    <w:p>
      <w:pPr>
        <w:pStyle w:val="BodyText"/>
        <w:ind w:right="248" w:firstLine="730"/>
        <w:spacing w:before="153" w:line="264" w:lineRule="auto"/>
        <w:rPr>
          <w:sz w:val="29"/>
          <w:szCs w:val="29"/>
        </w:rPr>
      </w:pPr>
      <w:r>
        <w:rPr>
          <w:sz w:val="29"/>
          <w:szCs w:val="29"/>
          <w:spacing w:val="4"/>
        </w:rPr>
        <w:t>(2)根据现场的实际情况，申请购置7、8、9月份的农药、化肥</w:t>
      </w:r>
      <w:r>
        <w:rPr>
          <w:sz w:val="29"/>
          <w:szCs w:val="29"/>
          <w:spacing w:val="3"/>
        </w:rPr>
        <w:t>、营养剂及</w:t>
      </w:r>
      <w:r>
        <w:rPr>
          <w:sz w:val="29"/>
          <w:szCs w:val="29"/>
        </w:rPr>
        <w:t xml:space="preserve"> </w:t>
      </w:r>
      <w:r>
        <w:rPr>
          <w:sz w:val="29"/>
          <w:szCs w:val="29"/>
          <w:spacing w:val="-6"/>
        </w:rPr>
        <w:t>其它物资；</w:t>
      </w:r>
    </w:p>
    <w:p>
      <w:pPr>
        <w:pStyle w:val="BodyText"/>
        <w:ind w:left="730"/>
        <w:spacing w:before="139" w:line="219" w:lineRule="auto"/>
        <w:rPr>
          <w:sz w:val="29"/>
          <w:szCs w:val="29"/>
        </w:rPr>
      </w:pPr>
      <w:r>
        <w:rPr>
          <w:sz w:val="29"/>
          <w:szCs w:val="29"/>
          <w:spacing w:val="10"/>
        </w:rPr>
        <w:t>(3)进行机械工具的检查维修。</w:t>
      </w:r>
    </w:p>
    <w:p>
      <w:pPr>
        <w:pStyle w:val="BodyText"/>
        <w:ind w:left="570"/>
        <w:spacing w:before="105" w:line="221" w:lineRule="auto"/>
        <w:rPr>
          <w:rFonts w:ascii="SimHei" w:hAnsi="SimHei" w:eastAsia="SimHei" w:cs="SimHei"/>
          <w:sz w:val="29"/>
          <w:szCs w:val="29"/>
        </w:rPr>
      </w:pPr>
      <w:r>
        <w:rPr>
          <w:rFonts w:ascii="Arial" w:hAnsi="Arial" w:eastAsia="Arial" w:cs="Arial"/>
          <w:sz w:val="29"/>
          <w:szCs w:val="29"/>
          <w:spacing w:val="5"/>
        </w:rPr>
        <w:t>7</w:t>
      </w:r>
      <w:r>
        <w:rPr>
          <w:sz w:val="29"/>
          <w:szCs w:val="29"/>
          <w:spacing w:val="5"/>
        </w:rPr>
        <w:t>、</w:t>
      </w:r>
      <w:r>
        <w:rPr>
          <w:rFonts w:ascii="SimHei" w:hAnsi="SimHei" w:eastAsia="SimHei" w:cs="SimHei"/>
          <w:sz w:val="29"/>
          <w:szCs w:val="29"/>
          <w:spacing w:val="5"/>
        </w:rPr>
        <w:t>防火、防盗</w:t>
      </w:r>
    </w:p>
    <w:p>
      <w:pPr>
        <w:spacing w:line="221" w:lineRule="auto"/>
        <w:sectPr>
          <w:footerReference w:type="default" r:id="rId726"/>
          <w:pgSz w:w="14490" w:h="20470"/>
          <w:pgMar w:top="400" w:right="1945" w:bottom="1433" w:left="2150" w:header="0" w:footer="1235" w:gutter="0"/>
        </w:sectPr>
        <w:rPr>
          <w:rFonts w:ascii="SimHei" w:hAnsi="SimHei" w:eastAsia="SimHei" w:cs="SimHei"/>
          <w:sz w:val="29"/>
          <w:szCs w:val="29"/>
        </w:rPr>
      </w:pP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firstLine="570"/>
        <w:spacing w:before="95" w:line="311"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w:t>
      </w:r>
      <w:r>
        <w:rPr>
          <w:sz w:val="29"/>
          <w:szCs w:val="29"/>
          <w:spacing w:val="-10"/>
        </w:rPr>
        <w:t>的防火、</w:t>
      </w:r>
      <w:r>
        <w:rPr>
          <w:sz w:val="29"/>
          <w:szCs w:val="29"/>
        </w:rPr>
        <w:t xml:space="preserve"> </w:t>
      </w:r>
      <w:r>
        <w:rPr>
          <w:sz w:val="29"/>
          <w:szCs w:val="29"/>
          <w:spacing w:val="1"/>
        </w:rPr>
        <w:t>防盗情况。</w:t>
      </w:r>
    </w:p>
    <w:p>
      <w:pPr>
        <w:spacing w:before="76" w:line="223" w:lineRule="auto"/>
        <w:rPr>
          <w:rFonts w:ascii="SimHei" w:hAnsi="SimHei" w:eastAsia="SimHei" w:cs="SimHei"/>
          <w:sz w:val="29"/>
          <w:szCs w:val="29"/>
        </w:rPr>
      </w:pPr>
      <w:r>
        <w:rPr>
          <w:rFonts w:ascii="SimHei" w:hAnsi="SimHei" w:eastAsia="SimHei" w:cs="SimHei"/>
          <w:sz w:val="29"/>
          <w:szCs w:val="29"/>
          <w:spacing w:val="-7"/>
        </w:rPr>
        <w:t>八、九</w:t>
      </w:r>
      <w:r>
        <w:rPr>
          <w:rFonts w:ascii="SimHei" w:hAnsi="SimHei" w:eastAsia="SimHei" w:cs="SimHei"/>
          <w:sz w:val="29"/>
          <w:szCs w:val="29"/>
          <w:spacing w:val="-68"/>
        </w:rPr>
        <w:t xml:space="preserve"> </w:t>
      </w:r>
      <w:r>
        <w:rPr>
          <w:rFonts w:ascii="SimHei" w:hAnsi="SimHei" w:eastAsia="SimHei" w:cs="SimHei"/>
          <w:sz w:val="29"/>
          <w:szCs w:val="29"/>
          <w:spacing w:val="-7"/>
        </w:rPr>
        <w:t>、十月份</w:t>
      </w:r>
    </w:p>
    <w:p>
      <w:pPr>
        <w:pStyle w:val="BodyText"/>
        <w:ind w:left="570"/>
        <w:spacing w:before="146" w:line="219" w:lineRule="auto"/>
        <w:rPr>
          <w:sz w:val="29"/>
          <w:szCs w:val="29"/>
        </w:rPr>
      </w:pPr>
      <w:r>
        <w:rPr>
          <w:sz w:val="29"/>
          <w:szCs w:val="29"/>
          <w:spacing w:val="4"/>
        </w:rPr>
        <w:t>天气晴热少雨，主要灾害性天气有干旱、暴雨、雷雨大风。</w:t>
      </w:r>
    </w:p>
    <w:p>
      <w:pPr>
        <w:pStyle w:val="BodyText"/>
        <w:ind w:left="570"/>
        <w:spacing w:before="135" w:line="222" w:lineRule="auto"/>
        <w:rPr>
          <w:rFonts w:ascii="SimHei" w:hAnsi="SimHei" w:eastAsia="SimHei" w:cs="SimHei"/>
          <w:sz w:val="29"/>
          <w:szCs w:val="29"/>
        </w:rPr>
      </w:pPr>
      <w:r>
        <w:rPr>
          <w:rFonts w:ascii="Arial" w:hAnsi="Arial" w:eastAsia="Arial" w:cs="Arial"/>
          <w:sz w:val="29"/>
          <w:szCs w:val="29"/>
          <w:spacing w:val="3"/>
        </w:rPr>
        <w:t>1</w:t>
      </w:r>
      <w:r>
        <w:rPr>
          <w:sz w:val="29"/>
          <w:szCs w:val="29"/>
          <w:spacing w:val="3"/>
        </w:rPr>
        <w:t>、</w:t>
      </w:r>
      <w:r>
        <w:rPr>
          <w:rFonts w:ascii="SimHei" w:hAnsi="SimHei" w:eastAsia="SimHei" w:cs="SimHei"/>
          <w:sz w:val="29"/>
          <w:szCs w:val="29"/>
          <w:spacing w:val="3"/>
        </w:rPr>
        <w:t>现场检查</w:t>
      </w:r>
    </w:p>
    <w:p>
      <w:pPr>
        <w:pStyle w:val="BodyText"/>
        <w:ind w:left="730"/>
        <w:spacing w:before="124" w:line="219" w:lineRule="auto"/>
        <w:rPr>
          <w:sz w:val="29"/>
          <w:szCs w:val="29"/>
        </w:rPr>
      </w:pPr>
      <w:r>
        <w:rPr>
          <w:sz w:val="29"/>
          <w:szCs w:val="29"/>
          <w:spacing w:val="6"/>
        </w:rPr>
        <w:t>(1)及时检查乔木支撑情况，发现松动或缺失立即加固；</w:t>
      </w:r>
    </w:p>
    <w:p>
      <w:pPr>
        <w:pStyle w:val="BodyText"/>
        <w:ind w:right="303" w:firstLine="730"/>
        <w:spacing w:before="135" w:line="269" w:lineRule="auto"/>
        <w:rPr>
          <w:sz w:val="29"/>
          <w:szCs w:val="29"/>
        </w:rPr>
      </w:pPr>
      <w:r>
        <w:rPr>
          <w:sz w:val="29"/>
          <w:szCs w:val="29"/>
          <w:spacing w:val="7"/>
        </w:rPr>
        <w:t>(2)更换补种：及时更换或补种长势不良、枯萎老化及死亡</w:t>
      </w:r>
      <w:r>
        <w:rPr>
          <w:sz w:val="29"/>
          <w:szCs w:val="29"/>
          <w:spacing w:val="6"/>
        </w:rPr>
        <w:t>苗木，绿化裸</w:t>
      </w:r>
      <w:r>
        <w:rPr>
          <w:sz w:val="29"/>
          <w:szCs w:val="29"/>
        </w:rPr>
        <w:t xml:space="preserve"> </w:t>
      </w:r>
      <w:r>
        <w:rPr>
          <w:sz w:val="29"/>
          <w:szCs w:val="29"/>
          <w:spacing w:val="1"/>
        </w:rPr>
        <w:t>露地块，被践踏、破坏的地被和草坪，加强新补种苗木的浇水养护。</w:t>
      </w:r>
    </w:p>
    <w:p>
      <w:pPr>
        <w:ind w:left="570"/>
        <w:spacing w:before="183" w:line="221" w:lineRule="auto"/>
        <w:rPr>
          <w:rFonts w:ascii="SimHei" w:hAnsi="SimHei" w:eastAsia="SimHei" w:cs="SimHei"/>
          <w:sz w:val="29"/>
          <w:szCs w:val="29"/>
        </w:rPr>
      </w:pPr>
      <w:r>
        <w:rPr>
          <w:rFonts w:ascii="SimHei" w:hAnsi="SimHei" w:eastAsia="SimHei" w:cs="SimHei"/>
          <w:sz w:val="29"/>
          <w:szCs w:val="29"/>
          <w:spacing w:val="13"/>
        </w:rPr>
        <w:t>2、修剪</w:t>
      </w:r>
    </w:p>
    <w:p>
      <w:pPr>
        <w:pStyle w:val="BodyText"/>
        <w:ind w:right="236" w:firstLine="730"/>
        <w:spacing w:before="102" w:line="289" w:lineRule="auto"/>
        <w:rPr>
          <w:sz w:val="29"/>
          <w:szCs w:val="29"/>
        </w:rPr>
      </w:pPr>
      <w:r>
        <w:rPr>
          <w:sz w:val="29"/>
          <w:szCs w:val="29"/>
          <w:spacing w:val="4"/>
        </w:rPr>
        <w:t>①  乔木和棕榈修剪：适当疏剪，对树木的内膛枝、徒长枝、平行枝、下</w:t>
      </w:r>
      <w:r>
        <w:rPr>
          <w:sz w:val="29"/>
          <w:szCs w:val="29"/>
          <w:spacing w:val="15"/>
        </w:rPr>
        <w:t xml:space="preserve"> </w:t>
      </w:r>
      <w:r>
        <w:rPr>
          <w:sz w:val="29"/>
          <w:szCs w:val="29"/>
          <w:spacing w:val="-9"/>
        </w:rPr>
        <w:t>垂枝、病虫枝、萌蘖枝等修剪到位，对于树池或行道树在不影响景观树形</w:t>
      </w:r>
      <w:r>
        <w:rPr>
          <w:sz w:val="29"/>
          <w:szCs w:val="29"/>
          <w:spacing w:val="-10"/>
        </w:rPr>
        <w:t>的情况重</w:t>
      </w:r>
      <w:r>
        <w:rPr>
          <w:sz w:val="29"/>
          <w:szCs w:val="29"/>
        </w:rPr>
        <w:t xml:space="preserve"> </w:t>
      </w:r>
      <w:r>
        <w:rPr>
          <w:sz w:val="29"/>
          <w:szCs w:val="29"/>
          <w:spacing w:val="-4"/>
        </w:rPr>
        <w:t>剪部分枝条，对于台风打倒、打歪的乔木应及时修剪整形，台风过后的断肢应第2</w:t>
      </w:r>
      <w:r>
        <w:rPr>
          <w:sz w:val="29"/>
          <w:szCs w:val="29"/>
          <w:spacing w:val="5"/>
        </w:rPr>
        <w:t xml:space="preserve"> </w:t>
      </w:r>
      <w:r>
        <w:rPr>
          <w:sz w:val="29"/>
          <w:szCs w:val="29"/>
          <w:spacing w:val="-13"/>
        </w:rPr>
        <w:t>天修剪和清理干净；</w:t>
      </w:r>
    </w:p>
    <w:p>
      <w:pPr>
        <w:pStyle w:val="BodyText"/>
        <w:ind w:left="730"/>
        <w:spacing w:before="164" w:line="217" w:lineRule="auto"/>
        <w:rPr>
          <w:sz w:val="29"/>
          <w:szCs w:val="29"/>
        </w:rPr>
      </w:pPr>
      <w:r>
        <w:rPr>
          <w:sz w:val="29"/>
          <w:szCs w:val="29"/>
          <w:spacing w:val="-7"/>
        </w:rPr>
        <w:t>②  地被、造型树约修剪1-2次，具体高度视现场情况而定；</w:t>
      </w:r>
    </w:p>
    <w:p>
      <w:pPr>
        <w:pStyle w:val="BodyText"/>
        <w:ind w:right="130" w:firstLine="730"/>
        <w:spacing w:before="129" w:line="286" w:lineRule="auto"/>
        <w:rPr>
          <w:sz w:val="29"/>
          <w:szCs w:val="29"/>
        </w:rPr>
      </w:pPr>
      <w:r>
        <w:rPr>
          <w:sz w:val="29"/>
          <w:szCs w:val="29"/>
          <w:spacing w:val="-5"/>
        </w:rPr>
        <w:t>③</w:t>
      </w:r>
      <w:r>
        <w:rPr>
          <w:sz w:val="29"/>
          <w:szCs w:val="29"/>
          <w:spacing w:val="36"/>
        </w:rPr>
        <w:t xml:space="preserve">  </w:t>
      </w:r>
      <w:r>
        <w:rPr>
          <w:sz w:val="29"/>
          <w:szCs w:val="29"/>
          <w:spacing w:val="-5"/>
        </w:rPr>
        <w:t>草坪及时修剪，草坪修剪后的高度控制在4-5</w:t>
      </w:r>
      <w:r>
        <w:rPr>
          <w:rFonts w:ascii="Times New Roman" w:hAnsi="Times New Roman" w:eastAsia="Times New Roman" w:cs="Times New Roman"/>
          <w:sz w:val="29"/>
          <w:szCs w:val="29"/>
          <w:spacing w:val="-5"/>
        </w:rPr>
        <w:t>cm</w:t>
      </w:r>
      <w:r>
        <w:rPr>
          <w:sz w:val="29"/>
          <w:szCs w:val="29"/>
          <w:spacing w:val="-5"/>
        </w:rPr>
        <w:t>以下</w:t>
      </w:r>
      <w:r>
        <w:rPr>
          <w:sz w:val="29"/>
          <w:szCs w:val="29"/>
          <w:spacing w:val="-6"/>
        </w:rPr>
        <w:t>。草坪切边和拔除</w:t>
      </w:r>
      <w:r>
        <w:rPr>
          <w:sz w:val="29"/>
          <w:szCs w:val="29"/>
        </w:rPr>
        <w:t xml:space="preserve">  </w:t>
      </w:r>
      <w:r>
        <w:rPr>
          <w:sz w:val="29"/>
          <w:szCs w:val="29"/>
          <w:spacing w:val="-5"/>
        </w:rPr>
        <w:t>杂草：对于长到灌木内或长出草坪的草需处理干净，草坪的边线应整齐清晰。还要</w:t>
      </w:r>
      <w:r>
        <w:rPr>
          <w:sz w:val="29"/>
          <w:szCs w:val="29"/>
          <w:spacing w:val="3"/>
        </w:rPr>
        <w:t xml:space="preserve"> </w:t>
      </w:r>
      <w:r>
        <w:rPr>
          <w:sz w:val="29"/>
          <w:szCs w:val="29"/>
          <w:spacing w:val="1"/>
        </w:rPr>
        <w:t>对草坪上杂草人工拔除。</w:t>
      </w:r>
    </w:p>
    <w:p>
      <w:pPr>
        <w:ind w:left="570"/>
        <w:spacing w:before="184"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left="730"/>
        <w:spacing w:before="100" w:line="217" w:lineRule="auto"/>
        <w:rPr>
          <w:sz w:val="29"/>
          <w:szCs w:val="29"/>
        </w:rPr>
      </w:pPr>
      <w:r>
        <w:rPr>
          <w:sz w:val="29"/>
          <w:szCs w:val="29"/>
          <w:spacing w:val="3"/>
        </w:rPr>
        <w:t>①  浇水：乔木、地被和草坪实时浇水，注意时花的适</w:t>
      </w:r>
      <w:r>
        <w:rPr>
          <w:sz w:val="29"/>
          <w:szCs w:val="29"/>
          <w:spacing w:val="2"/>
        </w:rPr>
        <w:t>时浇水。如不下雨</w:t>
      </w:r>
    </w:p>
    <w:p>
      <w:pPr>
        <w:pStyle w:val="BodyText"/>
        <w:ind w:right="659"/>
        <w:spacing w:before="138" w:line="312" w:lineRule="auto"/>
        <w:rPr>
          <w:sz w:val="29"/>
          <w:szCs w:val="29"/>
        </w:rPr>
      </w:pPr>
      <w:r>
        <w:rPr>
          <w:sz w:val="29"/>
          <w:szCs w:val="29"/>
          <w:spacing w:val="-15"/>
        </w:rPr>
        <w:t>约每3天园区全面喷淋叶面水一次，均匀浇灌保证植株无萎焉枯死现象。在没有</w:t>
      </w:r>
      <w:r>
        <w:rPr>
          <w:sz w:val="29"/>
          <w:szCs w:val="29"/>
          <w:spacing w:val="1"/>
        </w:rPr>
        <w:t xml:space="preserve">  </w:t>
      </w:r>
      <w:r>
        <w:rPr>
          <w:sz w:val="29"/>
          <w:szCs w:val="29"/>
          <w:spacing w:val="1"/>
        </w:rPr>
        <w:t>下雨天气，保证草皮要保证每2天淋水一次</w:t>
      </w:r>
      <w:r>
        <w:rPr>
          <w:sz w:val="29"/>
          <w:szCs w:val="29"/>
        </w:rPr>
        <w:t>，同时避免绿化带及人行道积水；</w:t>
      </w:r>
    </w:p>
    <w:p>
      <w:pPr>
        <w:pStyle w:val="BodyText"/>
        <w:ind w:left="730"/>
        <w:spacing w:before="1" w:line="217" w:lineRule="auto"/>
        <w:rPr>
          <w:sz w:val="29"/>
          <w:szCs w:val="29"/>
        </w:rPr>
      </w:pPr>
      <w:r>
        <w:rPr>
          <w:sz w:val="29"/>
          <w:szCs w:val="29"/>
          <w:spacing w:val="-8"/>
        </w:rPr>
        <w:t>②  施肥：乔木计划在10月份施肥一次，也施用长效有机肥，宜树木</w:t>
      </w:r>
      <w:r>
        <w:rPr>
          <w:sz w:val="29"/>
          <w:szCs w:val="29"/>
          <w:spacing w:val="-9"/>
        </w:rPr>
        <w:t>中心</w:t>
      </w:r>
    </w:p>
    <w:p>
      <w:pPr>
        <w:pStyle w:val="BodyText"/>
        <w:ind w:right="243"/>
        <w:spacing w:before="149" w:line="309" w:lineRule="auto"/>
        <w:rPr>
          <w:sz w:val="29"/>
          <w:szCs w:val="29"/>
        </w:rPr>
      </w:pPr>
      <w:r>
        <w:rPr>
          <w:sz w:val="29"/>
          <w:szCs w:val="29"/>
          <w:spacing w:val="-15"/>
        </w:rPr>
        <w:t>约80厘米周边打孔施放肥料，对于观花、观果树种应增施磷、</w:t>
      </w:r>
      <w:r>
        <w:rPr>
          <w:sz w:val="29"/>
          <w:szCs w:val="29"/>
          <w:spacing w:val="-16"/>
        </w:rPr>
        <w:t>钾肥，地被苗、灌木计</w:t>
      </w:r>
      <w:r>
        <w:rPr>
          <w:sz w:val="29"/>
          <w:szCs w:val="29"/>
        </w:rPr>
        <w:t xml:space="preserve"> </w:t>
      </w:r>
      <w:r>
        <w:rPr>
          <w:sz w:val="29"/>
          <w:szCs w:val="29"/>
          <w:spacing w:val="6"/>
        </w:rPr>
        <w:t>划在10月份施肥一次，施用长效有机肥，每万平方米600-800</w:t>
      </w:r>
      <w:r>
        <w:rPr>
          <w:rFonts w:ascii="Times New Roman" w:hAnsi="Times New Roman" w:eastAsia="Times New Roman" w:cs="Times New Roman"/>
          <w:sz w:val="29"/>
          <w:szCs w:val="29"/>
        </w:rPr>
        <w:t>kg</w:t>
      </w:r>
      <w:r>
        <w:rPr>
          <w:rFonts w:ascii="Times New Roman" w:hAnsi="Times New Roman" w:eastAsia="Times New Roman" w:cs="Times New Roman"/>
          <w:sz w:val="29"/>
          <w:szCs w:val="29"/>
          <w:spacing w:val="6"/>
        </w:rPr>
        <w:t>,</w:t>
      </w:r>
      <w:r>
        <w:rPr>
          <w:rFonts w:ascii="Times New Roman" w:hAnsi="Times New Roman" w:eastAsia="Times New Roman" w:cs="Times New Roman"/>
          <w:sz w:val="29"/>
          <w:szCs w:val="29"/>
          <w:spacing w:val="62"/>
        </w:rPr>
        <w:t xml:space="preserve"> </w:t>
      </w:r>
      <w:r>
        <w:rPr>
          <w:sz w:val="29"/>
          <w:szCs w:val="29"/>
          <w:spacing w:val="6"/>
        </w:rPr>
        <w:t>对草坪施肥修</w:t>
      </w:r>
      <w:r>
        <w:rPr>
          <w:sz w:val="29"/>
          <w:szCs w:val="29"/>
        </w:rPr>
        <w:t xml:space="preserve"> </w:t>
      </w:r>
      <w:r>
        <w:rPr>
          <w:sz w:val="29"/>
          <w:szCs w:val="29"/>
          <w:spacing w:val="4"/>
        </w:rPr>
        <w:t>剪后一两天进行，施采用速效的复合肥，250-300</w:t>
      </w:r>
      <w:r>
        <w:rPr>
          <w:rFonts w:ascii="Times New Roman" w:hAnsi="Times New Roman" w:eastAsia="Times New Roman" w:cs="Times New Roman"/>
          <w:sz w:val="29"/>
          <w:szCs w:val="29"/>
        </w:rPr>
        <w:t>kg</w:t>
      </w:r>
      <w:r>
        <w:rPr>
          <w:rFonts w:ascii="Times New Roman" w:hAnsi="Times New Roman" w:eastAsia="Times New Roman" w:cs="Times New Roman"/>
          <w:sz w:val="29"/>
          <w:szCs w:val="29"/>
          <w:spacing w:val="4"/>
        </w:rPr>
        <w:t>/1</w:t>
      </w:r>
      <w:r>
        <w:rPr>
          <w:rFonts w:ascii="Times New Roman" w:hAnsi="Times New Roman" w:eastAsia="Times New Roman" w:cs="Times New Roman"/>
          <w:sz w:val="29"/>
          <w:szCs w:val="29"/>
          <w:spacing w:val="-16"/>
        </w:rPr>
        <w:t xml:space="preserve"> </w:t>
      </w:r>
      <w:r>
        <w:rPr>
          <w:sz w:val="29"/>
          <w:szCs w:val="29"/>
          <w:spacing w:val="4"/>
        </w:rPr>
        <w:t>万平</w:t>
      </w:r>
      <w:r>
        <w:rPr>
          <w:sz w:val="29"/>
          <w:szCs w:val="29"/>
          <w:spacing w:val="3"/>
        </w:rPr>
        <w:t>方米，注意均匀撒施</w:t>
      </w:r>
      <w:r>
        <w:rPr>
          <w:sz w:val="29"/>
          <w:szCs w:val="29"/>
        </w:rPr>
        <w:t xml:space="preserve"> </w:t>
      </w:r>
      <w:r>
        <w:rPr>
          <w:sz w:val="29"/>
          <w:szCs w:val="29"/>
        </w:rPr>
        <w:t>肥料后及时浇水，避免出现烧苗情况；施肥方法皆</w:t>
      </w:r>
      <w:r>
        <w:rPr>
          <w:sz w:val="29"/>
          <w:szCs w:val="29"/>
          <w:spacing w:val="-1"/>
        </w:rPr>
        <w:t>为撒施，施肥要均匀适量，无</w:t>
      </w:r>
      <w:r>
        <w:rPr>
          <w:sz w:val="29"/>
          <w:szCs w:val="29"/>
        </w:rPr>
        <w:t xml:space="preserve"> </w:t>
      </w:r>
      <w:r>
        <w:rPr>
          <w:sz w:val="29"/>
          <w:szCs w:val="29"/>
          <w:spacing w:val="1"/>
        </w:rPr>
        <w:t>烧苗现象。</w:t>
      </w:r>
    </w:p>
    <w:p>
      <w:pPr>
        <w:pStyle w:val="BodyText"/>
        <w:ind w:left="570"/>
        <w:spacing w:before="94"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95" w:line="219" w:lineRule="auto"/>
        <w:rPr>
          <w:sz w:val="29"/>
          <w:szCs w:val="29"/>
        </w:rPr>
      </w:pPr>
      <w:r>
        <w:rPr>
          <w:sz w:val="29"/>
          <w:szCs w:val="29"/>
          <w:spacing w:val="17"/>
        </w:rPr>
        <w:t>(1)8月：</w:t>
      </w:r>
    </w:p>
    <w:p>
      <w:pPr>
        <w:pStyle w:val="BodyText"/>
        <w:ind w:right="170" w:firstLine="570"/>
        <w:spacing w:before="123" w:line="269" w:lineRule="auto"/>
        <w:rPr>
          <w:sz w:val="29"/>
          <w:szCs w:val="29"/>
        </w:rPr>
      </w:pPr>
      <w:r>
        <w:rPr>
          <w:sz w:val="29"/>
          <w:szCs w:val="29"/>
          <w:spacing w:val="2"/>
        </w:rPr>
        <w:t>①病害：霜霉病、白绢病、煤污病、叶枯病、干腐病、紫纹羽病、枝枯病、</w:t>
      </w:r>
      <w:r>
        <w:rPr>
          <w:sz w:val="29"/>
          <w:szCs w:val="29"/>
          <w:spacing w:val="17"/>
        </w:rPr>
        <w:t xml:space="preserve"> </w:t>
      </w:r>
      <w:r>
        <w:rPr>
          <w:sz w:val="29"/>
          <w:szCs w:val="29"/>
          <w:spacing w:val="1"/>
        </w:rPr>
        <w:t>棕榈科植物心腐病、枯萎病、草坪腐霉枯萎病、细菌性穿孔病、花叶病等；</w:t>
      </w:r>
    </w:p>
    <w:p>
      <w:pPr>
        <w:pStyle w:val="BodyText"/>
        <w:ind w:right="283" w:firstLine="570"/>
        <w:spacing w:before="155" w:line="269" w:lineRule="auto"/>
        <w:rPr>
          <w:sz w:val="29"/>
          <w:szCs w:val="29"/>
        </w:rPr>
      </w:pPr>
      <w:r>
        <w:rPr>
          <w:sz w:val="29"/>
          <w:szCs w:val="29"/>
          <w:spacing w:val="-9"/>
        </w:rPr>
        <w:t>②虫害：大青叶蝉、梨网冠蝽、花蓟马、桑</w:t>
      </w:r>
      <w:r>
        <w:rPr>
          <w:sz w:val="29"/>
          <w:szCs w:val="29"/>
          <w:spacing w:val="-10"/>
        </w:rPr>
        <w:t>天牛、白蚁、蝼蛄、黄刺蛾、丽绿</w:t>
      </w:r>
      <w:r>
        <w:rPr>
          <w:sz w:val="29"/>
          <w:szCs w:val="29"/>
        </w:rPr>
        <w:t xml:space="preserve"> </w:t>
      </w:r>
      <w:r>
        <w:rPr>
          <w:sz w:val="29"/>
          <w:szCs w:val="29"/>
          <w:spacing w:val="1"/>
        </w:rPr>
        <w:t>刺蛾、茶袋蛾、黄尾毒蛾、柑桔凤蝶、玉带凤蝶、樟青凤蝶、红棕象甲等。</w:t>
      </w:r>
    </w:p>
    <w:p>
      <w:pPr>
        <w:spacing w:line="269" w:lineRule="auto"/>
        <w:sectPr>
          <w:footerReference w:type="default" r:id="rId727"/>
          <w:pgSz w:w="14490" w:h="20470"/>
          <w:pgMar w:top="400" w:right="1945" w:bottom="1433" w:left="2150" w:header="0" w:footer="1235"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15"/>
        </w:rPr>
        <w:t>(2)9月：</w:t>
      </w:r>
    </w:p>
    <w:p>
      <w:pPr>
        <w:pStyle w:val="BodyText"/>
        <w:ind w:right="189" w:firstLine="570"/>
        <w:spacing w:before="143" w:line="269" w:lineRule="auto"/>
        <w:rPr>
          <w:sz w:val="29"/>
          <w:szCs w:val="29"/>
        </w:rPr>
      </w:pPr>
      <w:r>
        <w:rPr>
          <w:sz w:val="29"/>
          <w:szCs w:val="29"/>
          <w:spacing w:val="2"/>
        </w:rPr>
        <w:t>①病害：霜霉病、叶斑类病害、锈病、白绢病、煤污病、叶枯病、干腐病、</w:t>
      </w:r>
      <w:r>
        <w:rPr>
          <w:sz w:val="29"/>
          <w:szCs w:val="29"/>
          <w:spacing w:val="8"/>
        </w:rPr>
        <w:t xml:space="preserve"> </w:t>
      </w:r>
      <w:r>
        <w:rPr>
          <w:sz w:val="29"/>
          <w:szCs w:val="29"/>
        </w:rPr>
        <w:t>紫纹羽病、枝枯病、棕榈科植物心腐病、草坪腐霉枯萎病、花叶病等；</w:t>
      </w:r>
    </w:p>
    <w:p>
      <w:pPr>
        <w:pStyle w:val="BodyText"/>
        <w:ind w:right="189" w:firstLine="570"/>
        <w:spacing w:before="155" w:line="263" w:lineRule="auto"/>
        <w:rPr/>
      </w:pPr>
      <w:r>
        <w:rPr>
          <w:sz w:val="29"/>
          <w:szCs w:val="29"/>
          <w:spacing w:val="2"/>
        </w:rPr>
        <w:t>②虫害：大青叶蝉、柑桔全爪螨、花蓟马、桑天牛、白蚁、蝼蛄、黄刺蛾、</w:t>
      </w:r>
      <w:r>
        <w:rPr>
          <w:sz w:val="29"/>
          <w:szCs w:val="29"/>
          <w:spacing w:val="8"/>
        </w:rPr>
        <w:t xml:space="preserve"> </w:t>
      </w:r>
      <w:r>
        <w:rPr>
          <w:spacing w:val="12"/>
        </w:rPr>
        <w:t>丽绿刺蛾、茶袋蛾、黄尾毒蛾、柑桔凤蝶、玉带凤蝶、</w:t>
      </w:r>
      <w:r>
        <w:rPr>
          <w:spacing w:val="11"/>
        </w:rPr>
        <w:t>樟青凤蝶、红棕象甲等。</w:t>
      </w:r>
    </w:p>
    <w:p>
      <w:pPr>
        <w:pStyle w:val="BodyText"/>
        <w:ind w:left="730"/>
        <w:spacing w:before="150" w:line="219" w:lineRule="auto"/>
        <w:rPr>
          <w:sz w:val="29"/>
          <w:szCs w:val="29"/>
        </w:rPr>
      </w:pPr>
      <w:r>
        <w:rPr>
          <w:sz w:val="29"/>
          <w:szCs w:val="29"/>
          <w:spacing w:val="-12"/>
        </w:rPr>
        <w:t>(3)</w:t>
      </w:r>
      <w:r>
        <w:rPr>
          <w:sz w:val="29"/>
          <w:szCs w:val="29"/>
          <w:spacing w:val="46"/>
        </w:rPr>
        <w:t xml:space="preserve"> </w:t>
      </w:r>
      <w:r>
        <w:rPr>
          <w:sz w:val="29"/>
          <w:szCs w:val="29"/>
          <w:spacing w:val="-12"/>
        </w:rPr>
        <w:t>10月：</w:t>
      </w:r>
    </w:p>
    <w:p>
      <w:pPr>
        <w:pStyle w:val="BodyText"/>
        <w:ind w:right="174" w:firstLine="570"/>
        <w:spacing w:before="161" w:line="270" w:lineRule="auto"/>
        <w:rPr>
          <w:sz w:val="29"/>
          <w:szCs w:val="29"/>
        </w:rPr>
      </w:pPr>
      <w:r>
        <w:rPr>
          <w:sz w:val="29"/>
          <w:szCs w:val="29"/>
          <w:spacing w:val="3"/>
        </w:rPr>
        <w:t>①病害：白粉病、叶斑类病害、锈病、叶枯病、干腐</w:t>
      </w:r>
      <w:r>
        <w:rPr>
          <w:sz w:val="29"/>
          <w:szCs w:val="29"/>
          <w:spacing w:val="2"/>
        </w:rPr>
        <w:t>病、棕榈科植物心腐病</w:t>
      </w:r>
      <w:r>
        <w:rPr>
          <w:sz w:val="29"/>
          <w:szCs w:val="29"/>
        </w:rPr>
        <w:t xml:space="preserve"> </w:t>
      </w:r>
      <w:r>
        <w:rPr>
          <w:sz w:val="29"/>
          <w:szCs w:val="29"/>
          <w:spacing w:val="-12"/>
        </w:rPr>
        <w:t>等；</w:t>
      </w:r>
    </w:p>
    <w:p>
      <w:pPr>
        <w:pStyle w:val="BodyText"/>
        <w:ind w:right="180" w:firstLine="570"/>
        <w:spacing w:before="143" w:line="260" w:lineRule="auto"/>
        <w:rPr>
          <w:sz w:val="29"/>
          <w:szCs w:val="29"/>
        </w:rPr>
      </w:pPr>
      <w:r>
        <w:rPr>
          <w:sz w:val="29"/>
          <w:szCs w:val="29"/>
          <w:spacing w:val="2"/>
        </w:rPr>
        <w:t>②虫害：大青叶蝉、桃粉蚜、桃瘤蚜、柑桔全爪螨、桔绿粉虱、白蚁、柑桔</w:t>
      </w:r>
      <w:r>
        <w:rPr>
          <w:sz w:val="29"/>
          <w:szCs w:val="29"/>
          <w:spacing w:val="17"/>
        </w:rPr>
        <w:t xml:space="preserve"> </w:t>
      </w:r>
      <w:r>
        <w:rPr>
          <w:sz w:val="29"/>
          <w:szCs w:val="29"/>
          <w:spacing w:val="1"/>
        </w:rPr>
        <w:t>凤蝶、玉带凤蝶、红棕象甲等。</w:t>
      </w:r>
    </w:p>
    <w:p>
      <w:pPr>
        <w:pStyle w:val="BodyText"/>
        <w:ind w:left="570"/>
        <w:spacing w:before="7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20" w:firstLine="730"/>
        <w:spacing w:before="125" w:line="271" w:lineRule="auto"/>
        <w:rPr>
          <w:sz w:val="29"/>
          <w:szCs w:val="29"/>
        </w:rPr>
      </w:pPr>
      <w:r>
        <w:rPr>
          <w:sz w:val="29"/>
          <w:szCs w:val="29"/>
          <w:spacing w:val="7"/>
        </w:rPr>
        <w:t>(1)保洁人员合理分区，全天候巡视，及时</w:t>
      </w:r>
      <w:r>
        <w:rPr>
          <w:sz w:val="29"/>
          <w:szCs w:val="29"/>
          <w:spacing w:val="6"/>
        </w:rPr>
        <w:t>清理烟头、树挂等垃圾，水景</w:t>
      </w:r>
      <w:r>
        <w:rPr>
          <w:sz w:val="29"/>
          <w:szCs w:val="29"/>
        </w:rPr>
        <w:t xml:space="preserve"> </w:t>
      </w:r>
      <w:r>
        <w:rPr>
          <w:sz w:val="29"/>
          <w:szCs w:val="29"/>
          <w:spacing w:val="-1"/>
        </w:rPr>
        <w:t>池、灯杆、垃圾桶保持干净；</w:t>
      </w:r>
    </w:p>
    <w:p>
      <w:pPr>
        <w:pStyle w:val="BodyText"/>
        <w:ind w:right="313" w:firstLine="730"/>
        <w:spacing w:before="137" w:line="269"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570"/>
        <w:spacing w:before="153" w:line="395" w:lineRule="exact"/>
        <w:rPr>
          <w:rFonts w:ascii="SimHei" w:hAnsi="SimHei" w:eastAsia="SimHei" w:cs="SimHei"/>
          <w:sz w:val="29"/>
          <w:szCs w:val="29"/>
        </w:rPr>
      </w:pPr>
      <w:r>
        <w:rPr>
          <w:rFonts w:ascii="Arial" w:hAnsi="Arial" w:eastAsia="Arial" w:cs="Arial"/>
          <w:sz w:val="29"/>
          <w:szCs w:val="29"/>
          <w:spacing w:val="6"/>
          <w:position w:val="1"/>
        </w:rPr>
        <w:t>6</w:t>
      </w:r>
      <w:r>
        <w:rPr>
          <w:sz w:val="29"/>
          <w:szCs w:val="29"/>
          <w:spacing w:val="6"/>
          <w:position w:val="1"/>
        </w:rPr>
        <w:t>、</w:t>
      </w:r>
      <w:r>
        <w:rPr>
          <w:rFonts w:ascii="SimHei" w:hAnsi="SimHei" w:eastAsia="SimHei" w:cs="SimHei"/>
          <w:sz w:val="29"/>
          <w:szCs w:val="29"/>
          <w:spacing w:val="6"/>
          <w:position w:val="1"/>
        </w:rPr>
        <w:t>时花摆放</w:t>
      </w:r>
    </w:p>
    <w:p>
      <w:pPr>
        <w:pStyle w:val="BodyText"/>
        <w:ind w:left="730"/>
        <w:spacing w:before="8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570"/>
        <w:spacing w:before="114" w:line="222" w:lineRule="auto"/>
        <w:rPr>
          <w:rFonts w:ascii="SimHei" w:hAnsi="SimHei" w:eastAsia="SimHei" w:cs="SimHei"/>
          <w:sz w:val="29"/>
          <w:szCs w:val="29"/>
        </w:rPr>
      </w:pPr>
      <w:r>
        <w:rPr>
          <w:rFonts w:ascii="SimHei" w:hAnsi="SimHei" w:eastAsia="SimHei" w:cs="SimHei"/>
          <w:sz w:val="29"/>
          <w:szCs w:val="29"/>
          <w:spacing w:val="9"/>
        </w:rPr>
        <w:t>7、物资管理</w:t>
      </w:r>
    </w:p>
    <w:p>
      <w:pPr>
        <w:pStyle w:val="BodyText"/>
        <w:ind w:right="321" w:firstLine="730"/>
        <w:spacing w:before="132" w:line="273" w:lineRule="auto"/>
        <w:rPr>
          <w:sz w:val="29"/>
          <w:szCs w:val="29"/>
        </w:rPr>
      </w:pPr>
      <w:r>
        <w:rPr>
          <w:sz w:val="29"/>
          <w:szCs w:val="29"/>
          <w:spacing w:val="7"/>
        </w:rPr>
        <w:t>(1)库房物品整理，物料工具出入库及领</w:t>
      </w:r>
      <w:r>
        <w:rPr>
          <w:sz w:val="29"/>
          <w:szCs w:val="29"/>
          <w:spacing w:val="6"/>
        </w:rPr>
        <w:t>用登记，注意保管汽油、农药等</w:t>
      </w:r>
      <w:r>
        <w:rPr>
          <w:sz w:val="29"/>
          <w:szCs w:val="29"/>
        </w:rPr>
        <w:t xml:space="preserve"> </w:t>
      </w:r>
      <w:r>
        <w:rPr>
          <w:sz w:val="29"/>
          <w:szCs w:val="29"/>
          <w:spacing w:val="-11"/>
        </w:rPr>
        <w:t>危险品；</w:t>
      </w:r>
    </w:p>
    <w:p>
      <w:pPr>
        <w:pStyle w:val="BodyText"/>
        <w:ind w:right="287" w:firstLine="730"/>
        <w:spacing w:before="131" w:line="271" w:lineRule="auto"/>
        <w:rPr>
          <w:sz w:val="29"/>
          <w:szCs w:val="29"/>
        </w:rPr>
      </w:pPr>
      <w:r>
        <w:rPr>
          <w:sz w:val="29"/>
          <w:szCs w:val="29"/>
          <w:spacing w:val="-1"/>
        </w:rPr>
        <w:t>(2)根据现场的实际情况，申请购置10、11、12月份的农药、化肥、营</w:t>
      </w:r>
      <w:r>
        <w:rPr>
          <w:sz w:val="29"/>
          <w:szCs w:val="29"/>
          <w:spacing w:val="-2"/>
        </w:rPr>
        <w:t>养剂</w:t>
      </w:r>
      <w:r>
        <w:rPr>
          <w:sz w:val="29"/>
          <w:szCs w:val="29"/>
        </w:rPr>
        <w:t xml:space="preserve"> </w:t>
      </w:r>
      <w:r>
        <w:rPr>
          <w:sz w:val="29"/>
          <w:szCs w:val="29"/>
          <w:spacing w:val="-11"/>
        </w:rPr>
        <w:t>及其它物资；</w:t>
      </w:r>
    </w:p>
    <w:p>
      <w:pPr>
        <w:pStyle w:val="BodyText"/>
        <w:ind w:left="730"/>
        <w:spacing w:before="150" w:line="219" w:lineRule="auto"/>
        <w:rPr>
          <w:sz w:val="29"/>
          <w:szCs w:val="29"/>
        </w:rPr>
      </w:pPr>
      <w:r>
        <w:rPr>
          <w:sz w:val="29"/>
          <w:szCs w:val="29"/>
          <w:spacing w:val="10"/>
        </w:rPr>
        <w:t>(3)进行机械工具的检查维修。</w:t>
      </w:r>
    </w:p>
    <w:p>
      <w:pPr>
        <w:pStyle w:val="BodyText"/>
        <w:ind w:left="570"/>
        <w:spacing w:before="53" w:line="395" w:lineRule="exact"/>
        <w:rPr>
          <w:rFonts w:ascii="SimHei" w:hAnsi="SimHei" w:eastAsia="SimHei" w:cs="SimHei"/>
          <w:sz w:val="29"/>
          <w:szCs w:val="29"/>
        </w:rPr>
      </w:pPr>
      <w:r>
        <w:rPr>
          <w:rFonts w:ascii="Arial" w:hAnsi="Arial" w:eastAsia="Arial" w:cs="Arial"/>
          <w:sz w:val="29"/>
          <w:szCs w:val="29"/>
          <w:spacing w:val="6"/>
          <w:position w:val="1"/>
        </w:rPr>
        <w:t>8</w:t>
      </w:r>
      <w:r>
        <w:rPr>
          <w:sz w:val="29"/>
          <w:szCs w:val="29"/>
          <w:spacing w:val="6"/>
          <w:position w:val="1"/>
        </w:rPr>
        <w:t>、</w:t>
      </w:r>
      <w:r>
        <w:rPr>
          <w:rFonts w:ascii="SimHei" w:hAnsi="SimHei" w:eastAsia="SimHei" w:cs="SimHei"/>
          <w:sz w:val="29"/>
          <w:szCs w:val="29"/>
          <w:spacing w:val="6"/>
          <w:position w:val="1"/>
        </w:rPr>
        <w:t>防火防盗</w:t>
      </w:r>
    </w:p>
    <w:p>
      <w:pPr>
        <w:pStyle w:val="BodyText"/>
        <w:ind w:firstLine="570"/>
        <w:spacing w:before="130" w:line="320" w:lineRule="auto"/>
        <w:jc w:val="both"/>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9"/>
        </w:rPr>
        <w:t>教育，加强防火意识。及时清扫落叶、树挂，消除火灾隐患。同时注意库房的防火、</w:t>
      </w:r>
      <w:r>
        <w:rPr>
          <w:sz w:val="29"/>
          <w:szCs w:val="29"/>
          <w:spacing w:val="6"/>
        </w:rPr>
        <w:t xml:space="preserve"> </w:t>
      </w:r>
      <w:r>
        <w:rPr>
          <w:sz w:val="29"/>
          <w:szCs w:val="29"/>
          <w:spacing w:val="1"/>
        </w:rPr>
        <w:t>防盗情况。</w:t>
      </w:r>
    </w:p>
    <w:p>
      <w:pPr>
        <w:spacing w:before="24" w:line="223" w:lineRule="auto"/>
        <w:rPr>
          <w:rFonts w:ascii="SimHei" w:hAnsi="SimHei" w:eastAsia="SimHei" w:cs="SimHei"/>
          <w:sz w:val="32"/>
          <w:szCs w:val="32"/>
        </w:rPr>
      </w:pPr>
      <w:r>
        <w:rPr>
          <w:rFonts w:ascii="SimHei" w:hAnsi="SimHei" w:eastAsia="SimHei" w:cs="SimHei"/>
          <w:sz w:val="32"/>
          <w:szCs w:val="32"/>
          <w:spacing w:val="-23"/>
        </w:rPr>
        <w:t>十一、十二月份</w:t>
      </w:r>
    </w:p>
    <w:p>
      <w:pPr>
        <w:pStyle w:val="BodyText"/>
        <w:ind w:left="570"/>
        <w:spacing w:before="139" w:line="219" w:lineRule="auto"/>
        <w:rPr>
          <w:sz w:val="29"/>
          <w:szCs w:val="29"/>
        </w:rPr>
      </w:pPr>
      <w:r>
        <w:rPr>
          <w:sz w:val="29"/>
          <w:szCs w:val="29"/>
          <w:spacing w:val="4"/>
        </w:rPr>
        <w:t>气温下降，天气干燥，偶尔大风大雨，部分乔木</w:t>
      </w:r>
      <w:r>
        <w:rPr>
          <w:sz w:val="29"/>
          <w:szCs w:val="29"/>
          <w:spacing w:val="3"/>
        </w:rPr>
        <w:t>落叶。</w:t>
      </w:r>
    </w:p>
    <w:p>
      <w:pPr>
        <w:pStyle w:val="BodyText"/>
        <w:ind w:left="570"/>
        <w:spacing w:before="146" w:line="222" w:lineRule="auto"/>
        <w:rPr>
          <w:rFonts w:ascii="SimHei" w:hAnsi="SimHei" w:eastAsia="SimHei" w:cs="SimHei"/>
          <w:sz w:val="29"/>
          <w:szCs w:val="29"/>
        </w:rPr>
      </w:pPr>
      <w:r>
        <w:rPr>
          <w:rFonts w:ascii="Arial" w:hAnsi="Arial" w:eastAsia="Arial" w:cs="Arial"/>
          <w:sz w:val="29"/>
          <w:szCs w:val="29"/>
          <w:spacing w:val="6"/>
        </w:rPr>
        <w:t>1</w:t>
      </w:r>
      <w:r>
        <w:rPr>
          <w:sz w:val="29"/>
          <w:szCs w:val="29"/>
          <w:spacing w:val="6"/>
        </w:rPr>
        <w:t>、</w:t>
      </w:r>
      <w:r>
        <w:rPr>
          <w:rFonts w:ascii="SimHei" w:hAnsi="SimHei" w:eastAsia="SimHei" w:cs="SimHei"/>
          <w:sz w:val="29"/>
          <w:szCs w:val="29"/>
          <w:spacing w:val="6"/>
        </w:rPr>
        <w:t>现场检查</w:t>
      </w:r>
    </w:p>
    <w:p>
      <w:pPr>
        <w:pStyle w:val="BodyText"/>
        <w:ind w:left="730"/>
        <w:spacing w:before="113" w:line="219" w:lineRule="auto"/>
        <w:rPr>
          <w:sz w:val="29"/>
          <w:szCs w:val="29"/>
        </w:rPr>
      </w:pPr>
      <w:r>
        <w:rPr>
          <w:sz w:val="29"/>
          <w:szCs w:val="29"/>
          <w:spacing w:val="6"/>
        </w:rPr>
        <w:t>(1)及时检查乔木支撑情况，发现松动或缺失立即加固；</w:t>
      </w:r>
    </w:p>
    <w:p>
      <w:pPr>
        <w:pStyle w:val="BodyText"/>
        <w:ind w:right="323" w:firstLine="730"/>
        <w:spacing w:before="136" w:line="272" w:lineRule="auto"/>
        <w:rPr>
          <w:sz w:val="29"/>
          <w:szCs w:val="29"/>
        </w:rPr>
      </w:pPr>
      <w:r>
        <w:rPr>
          <w:sz w:val="29"/>
          <w:szCs w:val="29"/>
          <w:spacing w:val="6"/>
        </w:rPr>
        <w:t>(2)更换补种：及时更换或补种长势不良、枯萎老化及死亡苗木，绿化裸</w:t>
      </w:r>
      <w:r>
        <w:rPr>
          <w:sz w:val="29"/>
          <w:szCs w:val="29"/>
          <w:spacing w:val="17"/>
        </w:rPr>
        <w:t xml:space="preserve"> </w:t>
      </w:r>
      <w:r>
        <w:rPr>
          <w:sz w:val="29"/>
          <w:szCs w:val="29"/>
          <w:spacing w:val="1"/>
        </w:rPr>
        <w:t>露地块，被践踏、破坏的地被和草坪，加强新补种苗木</w:t>
      </w:r>
      <w:r>
        <w:rPr>
          <w:sz w:val="29"/>
          <w:szCs w:val="29"/>
        </w:rPr>
        <w:t>的浇水养护；</w:t>
      </w:r>
    </w:p>
    <w:p>
      <w:pPr>
        <w:spacing w:line="272" w:lineRule="auto"/>
        <w:sectPr>
          <w:footerReference w:type="default" r:id="rId728"/>
          <w:pgSz w:w="14490" w:h="20470"/>
          <w:pgMar w:top="400" w:right="1935" w:bottom="1447" w:left="2150" w:header="0" w:footer="1230" w:gutter="0"/>
        </w:sectPr>
        <w:rPr>
          <w:sz w:val="29"/>
          <w:szCs w:val="29"/>
        </w:rPr>
      </w:pP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BodyText"/>
        <w:ind w:left="730"/>
        <w:spacing w:before="94" w:line="219" w:lineRule="auto"/>
        <w:rPr>
          <w:sz w:val="29"/>
          <w:szCs w:val="29"/>
        </w:rPr>
      </w:pPr>
      <w:r>
        <w:rPr>
          <w:sz w:val="29"/>
          <w:szCs w:val="29"/>
          <w:spacing w:val="-2"/>
        </w:rPr>
        <w:t>(3)</w:t>
      </w:r>
      <w:r>
        <w:rPr>
          <w:sz w:val="29"/>
          <w:szCs w:val="29"/>
          <w:spacing w:val="82"/>
        </w:rPr>
        <w:t xml:space="preserve"> </w:t>
      </w:r>
      <w:r>
        <w:rPr>
          <w:sz w:val="29"/>
          <w:szCs w:val="29"/>
          <w:spacing w:val="-2"/>
        </w:rPr>
        <w:t>检查防寒设施的完好情况，发现破损立即修补。</w:t>
      </w:r>
    </w:p>
    <w:p>
      <w:pPr>
        <w:ind w:left="600"/>
        <w:spacing w:before="103" w:line="221" w:lineRule="auto"/>
        <w:rPr>
          <w:rFonts w:ascii="SimHei" w:hAnsi="SimHei" w:eastAsia="SimHei" w:cs="SimHei"/>
          <w:sz w:val="30"/>
          <w:szCs w:val="30"/>
        </w:rPr>
      </w:pPr>
      <w:r>
        <w:rPr>
          <w:rFonts w:ascii="SimHei" w:hAnsi="SimHei" w:eastAsia="SimHei" w:cs="SimHei"/>
          <w:sz w:val="30"/>
          <w:szCs w:val="30"/>
          <w:spacing w:val="4"/>
        </w:rPr>
        <w:t>2、修剪</w:t>
      </w:r>
    </w:p>
    <w:p>
      <w:pPr>
        <w:pStyle w:val="BodyText"/>
        <w:ind w:right="320" w:firstLine="730"/>
        <w:spacing w:before="131" w:line="310" w:lineRule="auto"/>
        <w:rPr>
          <w:sz w:val="29"/>
          <w:szCs w:val="29"/>
        </w:rPr>
      </w:pPr>
      <w:r>
        <w:rPr>
          <w:sz w:val="29"/>
          <w:szCs w:val="29"/>
          <w:spacing w:val="-1"/>
        </w:rPr>
        <w:t>①)  对即将剪除的或已剪下的树枝及树叶，喷洒</w:t>
      </w:r>
      <w:r>
        <w:rPr>
          <w:sz w:val="29"/>
          <w:szCs w:val="29"/>
          <w:spacing w:val="-2"/>
        </w:rPr>
        <w:t>广普性、毒性低、渗透性</w:t>
      </w:r>
      <w:r>
        <w:rPr>
          <w:sz w:val="29"/>
          <w:szCs w:val="29"/>
        </w:rPr>
        <w:t xml:space="preserve"> </w:t>
      </w:r>
      <w:r>
        <w:rPr>
          <w:sz w:val="29"/>
          <w:szCs w:val="29"/>
          <w:spacing w:val="1"/>
        </w:rPr>
        <w:t>强、杀虫效率高的杀虫剂如用16%虫线清100倍液喷洒至树枝、树叶表面，以防止</w:t>
      </w:r>
      <w:r>
        <w:rPr>
          <w:sz w:val="29"/>
          <w:szCs w:val="29"/>
          <w:spacing w:val="4"/>
        </w:rPr>
        <w:t xml:space="preserve"> </w:t>
      </w:r>
      <w:r>
        <w:rPr>
          <w:sz w:val="29"/>
          <w:szCs w:val="29"/>
          <w:spacing w:val="-10"/>
        </w:rPr>
        <w:t>害虫羽化迁飞；将已喷洒杀虫剂的树枝、树叶集中堆放在就近空旷地方，喷洒适量</w:t>
      </w:r>
    </w:p>
    <w:p>
      <w:pPr>
        <w:pStyle w:val="BodyText"/>
        <w:spacing w:before="4" w:line="309" w:lineRule="auto"/>
        <w:rPr>
          <w:sz w:val="29"/>
          <w:szCs w:val="29"/>
        </w:rPr>
      </w:pPr>
      <w:r>
        <w:rPr>
          <w:sz w:val="29"/>
          <w:szCs w:val="29"/>
          <w:spacing w:val="-6"/>
        </w:rPr>
        <w:t>柴油后烧毁；在不宜用火地方，将施药后的树枝、树叶用塑料膜袋封装，将虫闷死，</w:t>
      </w:r>
      <w:r>
        <w:rPr>
          <w:sz w:val="29"/>
          <w:szCs w:val="29"/>
          <w:spacing w:val="5"/>
        </w:rPr>
        <w:t xml:space="preserve"> </w:t>
      </w:r>
      <w:r>
        <w:rPr>
          <w:sz w:val="29"/>
          <w:szCs w:val="29"/>
          <w:spacing w:val="-4"/>
        </w:rPr>
        <w:t>对于台风打倒、打歪的乔木应及时修剪整形，台风过后的断肢应第2天修剪和</w:t>
      </w:r>
      <w:r>
        <w:rPr>
          <w:sz w:val="29"/>
          <w:szCs w:val="29"/>
          <w:spacing w:val="-5"/>
        </w:rPr>
        <w:t>清理</w:t>
      </w:r>
      <w:r>
        <w:rPr>
          <w:sz w:val="29"/>
          <w:szCs w:val="29"/>
        </w:rPr>
        <w:t xml:space="preserve">   </w:t>
      </w:r>
      <w:r>
        <w:rPr>
          <w:sz w:val="29"/>
          <w:szCs w:val="29"/>
          <w:spacing w:val="-10"/>
        </w:rPr>
        <w:t>干净；</w:t>
      </w:r>
    </w:p>
    <w:p>
      <w:pPr>
        <w:pStyle w:val="BodyText"/>
        <w:ind w:left="730"/>
        <w:spacing w:before="37" w:line="217" w:lineRule="auto"/>
        <w:rPr>
          <w:sz w:val="29"/>
          <w:szCs w:val="29"/>
        </w:rPr>
      </w:pPr>
      <w:r>
        <w:rPr>
          <w:sz w:val="29"/>
          <w:szCs w:val="29"/>
          <w:spacing w:val="1"/>
        </w:rPr>
        <w:t>②  棕榈科植物：老化枝叶黄或枝叶下垂的枝条应</w:t>
      </w:r>
      <w:r>
        <w:rPr>
          <w:sz w:val="29"/>
          <w:szCs w:val="29"/>
        </w:rPr>
        <w:t>剪除；</w:t>
      </w:r>
    </w:p>
    <w:p>
      <w:pPr>
        <w:pStyle w:val="BodyText"/>
        <w:ind w:left="730"/>
        <w:spacing w:before="159" w:line="217" w:lineRule="auto"/>
        <w:rPr>
          <w:sz w:val="29"/>
          <w:szCs w:val="29"/>
        </w:rPr>
      </w:pPr>
      <w:r>
        <w:rPr>
          <w:sz w:val="29"/>
          <w:szCs w:val="29"/>
          <w:spacing w:val="-10"/>
        </w:rPr>
        <w:t>③</w:t>
      </w:r>
      <w:r>
        <w:rPr>
          <w:sz w:val="29"/>
          <w:szCs w:val="29"/>
          <w:spacing w:val="39"/>
        </w:rPr>
        <w:t xml:space="preserve">  </w:t>
      </w:r>
      <w:r>
        <w:rPr>
          <w:sz w:val="29"/>
          <w:szCs w:val="29"/>
          <w:spacing w:val="-10"/>
        </w:rPr>
        <w:t>地被、造型树约修剪1-2次；</w:t>
      </w:r>
    </w:p>
    <w:p>
      <w:pPr>
        <w:pStyle w:val="BodyText"/>
        <w:ind w:right="433" w:firstLine="730"/>
        <w:spacing w:before="149" w:line="269" w:lineRule="auto"/>
        <w:rPr>
          <w:sz w:val="29"/>
          <w:szCs w:val="29"/>
        </w:rPr>
      </w:pPr>
      <w:r>
        <w:rPr>
          <w:sz w:val="29"/>
          <w:szCs w:val="29"/>
          <w:spacing w:val="2"/>
        </w:rPr>
        <w:t>④  草坪视实际情况修剪，避免出现剪短露白茬，或者修剪不及时草皮过</w:t>
      </w:r>
      <w:r>
        <w:rPr>
          <w:sz w:val="29"/>
          <w:szCs w:val="29"/>
          <w:spacing w:val="4"/>
        </w:rPr>
        <w:t xml:space="preserve"> </w:t>
      </w:r>
      <w:r>
        <w:rPr>
          <w:sz w:val="29"/>
          <w:szCs w:val="29"/>
          <w:spacing w:val="1"/>
        </w:rPr>
        <w:t>高倒伏，捂黄等现象。</w:t>
      </w:r>
    </w:p>
    <w:p>
      <w:pPr>
        <w:ind w:left="600"/>
        <w:spacing w:before="186" w:line="222" w:lineRule="auto"/>
        <w:rPr>
          <w:rFonts w:ascii="SimHei" w:hAnsi="SimHei" w:eastAsia="SimHei" w:cs="SimHei"/>
          <w:sz w:val="29"/>
          <w:szCs w:val="29"/>
        </w:rPr>
      </w:pPr>
      <w:r>
        <w:rPr>
          <w:rFonts w:ascii="SimHei" w:hAnsi="SimHei" w:eastAsia="SimHei" w:cs="SimHei"/>
          <w:sz w:val="29"/>
          <w:szCs w:val="29"/>
          <w:spacing w:val="6"/>
        </w:rPr>
        <w:t>3、水肥管理</w:t>
      </w:r>
    </w:p>
    <w:p>
      <w:pPr>
        <w:pStyle w:val="BodyText"/>
        <w:ind w:right="432" w:firstLine="730"/>
        <w:spacing w:before="94" w:line="264" w:lineRule="auto"/>
        <w:rPr>
          <w:sz w:val="29"/>
          <w:szCs w:val="29"/>
        </w:rPr>
      </w:pPr>
      <w:r>
        <w:rPr>
          <w:sz w:val="29"/>
          <w:szCs w:val="29"/>
          <w:spacing w:val="2"/>
        </w:rPr>
        <w:t>(1)浇水：浇水在9:00-16:00进行，乔木、灌木、地被约每</w:t>
      </w:r>
      <w:r>
        <w:rPr>
          <w:sz w:val="29"/>
          <w:szCs w:val="29"/>
          <w:spacing w:val="1"/>
        </w:rPr>
        <w:t>3天园区全面喷</w:t>
      </w:r>
      <w:r>
        <w:rPr>
          <w:sz w:val="29"/>
          <w:szCs w:val="29"/>
        </w:rPr>
        <w:t xml:space="preserve"> </w:t>
      </w:r>
      <w:r>
        <w:rPr>
          <w:sz w:val="29"/>
          <w:szCs w:val="29"/>
          <w:spacing w:val="-14"/>
        </w:rPr>
        <w:t>淋叶面水一次，均匀淋水保证植株无萎焉枯死现象，草皮为重点，要确保每</w:t>
      </w:r>
    </w:p>
    <w:p>
      <w:pPr>
        <w:pStyle w:val="BodyText"/>
        <w:spacing w:before="137" w:line="218" w:lineRule="auto"/>
        <w:rPr>
          <w:sz w:val="29"/>
          <w:szCs w:val="29"/>
        </w:rPr>
      </w:pPr>
      <w:r>
        <w:rPr>
          <w:sz w:val="29"/>
          <w:szCs w:val="29"/>
        </w:rPr>
        <w:t>2天淋水一次，同时避免绿化带及人行道积；</w:t>
      </w:r>
    </w:p>
    <w:p>
      <w:pPr>
        <w:pStyle w:val="BodyText"/>
        <w:ind w:right="363" w:firstLine="730"/>
        <w:spacing w:before="177" w:line="281" w:lineRule="auto"/>
        <w:rPr>
          <w:sz w:val="29"/>
          <w:szCs w:val="29"/>
        </w:rPr>
      </w:pPr>
      <w:r>
        <w:rPr>
          <w:sz w:val="29"/>
          <w:szCs w:val="29"/>
          <w:spacing w:val="-1"/>
        </w:rPr>
        <w:t>(2)施肥：本季度计划对草坪施肥修剪后一两天进行，施采</w:t>
      </w:r>
      <w:r>
        <w:rPr>
          <w:sz w:val="29"/>
          <w:szCs w:val="29"/>
          <w:spacing w:val="-2"/>
        </w:rPr>
        <w:t>用长效有机肥，</w:t>
      </w:r>
      <w:r>
        <w:rPr>
          <w:sz w:val="29"/>
          <w:szCs w:val="29"/>
        </w:rPr>
        <w:t xml:space="preserve"> </w:t>
      </w:r>
      <w:r>
        <w:rPr>
          <w:sz w:val="29"/>
          <w:szCs w:val="29"/>
          <w:spacing w:val="4"/>
        </w:rPr>
        <w:t>每万平方米500-600</w:t>
      </w:r>
      <w:r>
        <w:rPr>
          <w:rFonts w:ascii="Times New Roman" w:hAnsi="Times New Roman" w:eastAsia="Times New Roman" w:cs="Times New Roman"/>
          <w:sz w:val="29"/>
          <w:szCs w:val="29"/>
        </w:rPr>
        <w:t>kg</w:t>
      </w:r>
      <w:r>
        <w:rPr>
          <w:rFonts w:ascii="Times New Roman" w:hAnsi="Times New Roman" w:eastAsia="Times New Roman" w:cs="Times New Roman"/>
          <w:sz w:val="29"/>
          <w:szCs w:val="29"/>
          <w:spacing w:val="4"/>
        </w:rPr>
        <w:t>,</w:t>
      </w:r>
      <w:r>
        <w:rPr>
          <w:rFonts w:ascii="Times New Roman" w:hAnsi="Times New Roman" w:eastAsia="Times New Roman" w:cs="Times New Roman"/>
          <w:sz w:val="29"/>
          <w:szCs w:val="29"/>
          <w:spacing w:val="34"/>
          <w:w w:val="101"/>
        </w:rPr>
        <w:t xml:space="preserve">  </w:t>
      </w:r>
      <w:r>
        <w:rPr>
          <w:sz w:val="29"/>
          <w:szCs w:val="29"/>
          <w:spacing w:val="4"/>
        </w:rPr>
        <w:t>施肥方法皆为撒施，施肥要均匀适量，无烧苗现象；地</w:t>
      </w:r>
      <w:r>
        <w:rPr>
          <w:sz w:val="29"/>
          <w:szCs w:val="29"/>
        </w:rPr>
        <w:t xml:space="preserve"> </w:t>
      </w:r>
      <w:r>
        <w:rPr>
          <w:sz w:val="29"/>
          <w:szCs w:val="29"/>
          <w:spacing w:val="-8"/>
        </w:rPr>
        <w:t>被苗和灌木无计划施肥。对生长旺盛的乔木计划在十一月底施用一次钾肥，</w:t>
      </w:r>
      <w:r>
        <w:rPr>
          <w:sz w:val="29"/>
          <w:szCs w:val="29"/>
          <w:spacing w:val="-9"/>
        </w:rPr>
        <w:t>以促进</w:t>
      </w:r>
      <w:r>
        <w:rPr>
          <w:sz w:val="29"/>
          <w:szCs w:val="29"/>
        </w:rPr>
        <w:t xml:space="preserve"> </w:t>
      </w:r>
      <w:r>
        <w:rPr>
          <w:sz w:val="29"/>
          <w:szCs w:val="29"/>
          <w:spacing w:val="-8"/>
        </w:rPr>
        <w:t>新枝木质化，确保来年良好生长，宜树木中心约80</w:t>
      </w:r>
      <w:r>
        <w:rPr>
          <w:rFonts w:ascii="Times New Roman" w:hAnsi="Times New Roman" w:eastAsia="Times New Roman" w:cs="Times New Roman"/>
          <w:sz w:val="29"/>
          <w:szCs w:val="29"/>
          <w:spacing w:val="-8"/>
        </w:rPr>
        <w:t>cm</w:t>
      </w:r>
      <w:r>
        <w:rPr>
          <w:sz w:val="29"/>
          <w:szCs w:val="29"/>
          <w:spacing w:val="-8"/>
        </w:rPr>
        <w:t>周边打孔施放肥料。</w:t>
      </w:r>
    </w:p>
    <w:p>
      <w:pPr>
        <w:pStyle w:val="BodyText"/>
        <w:ind w:left="600"/>
        <w:spacing w:before="225" w:line="221" w:lineRule="auto"/>
        <w:rPr>
          <w:rFonts w:ascii="SimHei" w:hAnsi="SimHei" w:eastAsia="SimHei" w:cs="SimHei"/>
          <w:sz w:val="29"/>
          <w:szCs w:val="29"/>
        </w:rPr>
      </w:pPr>
      <w:r>
        <w:rPr>
          <w:rFonts w:ascii="Arial" w:hAnsi="Arial" w:eastAsia="Arial" w:cs="Arial"/>
          <w:sz w:val="29"/>
          <w:szCs w:val="29"/>
          <w:spacing w:val="7"/>
        </w:rPr>
        <w:t>4</w:t>
      </w:r>
      <w:r>
        <w:rPr>
          <w:sz w:val="29"/>
          <w:szCs w:val="29"/>
          <w:spacing w:val="7"/>
        </w:rPr>
        <w:t>、</w:t>
      </w:r>
      <w:r>
        <w:rPr>
          <w:rFonts w:ascii="SimHei" w:hAnsi="SimHei" w:eastAsia="SimHei" w:cs="SimHei"/>
          <w:sz w:val="29"/>
          <w:szCs w:val="29"/>
          <w:spacing w:val="7"/>
        </w:rPr>
        <w:t>病虫害防治</w:t>
      </w:r>
    </w:p>
    <w:p>
      <w:pPr>
        <w:pStyle w:val="BodyText"/>
        <w:ind w:left="730"/>
        <w:spacing w:before="116" w:line="219" w:lineRule="auto"/>
        <w:rPr>
          <w:sz w:val="29"/>
          <w:szCs w:val="29"/>
        </w:rPr>
      </w:pPr>
      <w:r>
        <w:rPr>
          <w:sz w:val="29"/>
          <w:szCs w:val="29"/>
          <w:spacing w:val="7"/>
        </w:rPr>
        <w:t>(1)病害：白粉病、叶斑类病害、叶枯病等；</w:t>
      </w:r>
    </w:p>
    <w:p>
      <w:pPr>
        <w:pStyle w:val="BodyText"/>
        <w:ind w:right="408" w:firstLine="730"/>
        <w:spacing w:before="135" w:line="269" w:lineRule="auto"/>
        <w:rPr>
          <w:sz w:val="29"/>
          <w:szCs w:val="29"/>
        </w:rPr>
      </w:pPr>
      <w:r>
        <w:rPr>
          <w:sz w:val="29"/>
          <w:szCs w:val="29"/>
          <w:spacing w:val="7"/>
        </w:rPr>
        <w:t>(2)虫害：大青叶蝉、桃粉蚜、柑桔全爪螨、桔绿粉虱、白蚁、红棕象甲</w:t>
      </w:r>
      <w:r>
        <w:rPr>
          <w:sz w:val="29"/>
          <w:szCs w:val="29"/>
          <w:spacing w:val="9"/>
        </w:rPr>
        <w:t xml:space="preserve"> </w:t>
      </w:r>
      <w:r>
        <w:rPr>
          <w:sz w:val="29"/>
          <w:szCs w:val="29"/>
          <w:spacing w:val="-2"/>
        </w:rPr>
        <w:t>等。</w:t>
      </w:r>
    </w:p>
    <w:p>
      <w:pPr>
        <w:pStyle w:val="BodyText"/>
        <w:ind w:left="600"/>
        <w:spacing w:before="47" w:line="395" w:lineRule="exact"/>
        <w:rPr>
          <w:rFonts w:ascii="SimHei" w:hAnsi="SimHei" w:eastAsia="SimHei" w:cs="SimHei"/>
          <w:sz w:val="29"/>
          <w:szCs w:val="29"/>
        </w:rPr>
      </w:pPr>
      <w:r>
        <w:rPr>
          <w:rFonts w:ascii="Arial" w:hAnsi="Arial" w:eastAsia="Arial" w:cs="Arial"/>
          <w:sz w:val="29"/>
          <w:szCs w:val="29"/>
          <w:spacing w:val="7"/>
          <w:position w:val="1"/>
        </w:rPr>
        <w:t>5</w:t>
      </w:r>
      <w:r>
        <w:rPr>
          <w:sz w:val="29"/>
          <w:szCs w:val="29"/>
          <w:spacing w:val="7"/>
          <w:position w:val="1"/>
        </w:rPr>
        <w:t>、</w:t>
      </w:r>
      <w:r>
        <w:rPr>
          <w:rFonts w:ascii="SimHei" w:hAnsi="SimHei" w:eastAsia="SimHei" w:cs="SimHei"/>
          <w:sz w:val="29"/>
          <w:szCs w:val="29"/>
          <w:spacing w:val="7"/>
          <w:position w:val="1"/>
        </w:rPr>
        <w:t>保洁</w:t>
      </w:r>
    </w:p>
    <w:p>
      <w:pPr>
        <w:pStyle w:val="BodyText"/>
        <w:ind w:right="399" w:firstLine="730"/>
        <w:spacing w:before="144" w:line="268" w:lineRule="auto"/>
        <w:rPr>
          <w:sz w:val="29"/>
          <w:szCs w:val="29"/>
        </w:rPr>
      </w:pPr>
      <w:r>
        <w:rPr>
          <w:sz w:val="29"/>
          <w:szCs w:val="29"/>
          <w:spacing w:val="7"/>
        </w:rPr>
        <w:t>(1)保洁人员合理分区，全天候巡视，及时清理烟头、树挂等垃圾，水景</w:t>
      </w:r>
      <w:r>
        <w:rPr>
          <w:sz w:val="29"/>
          <w:szCs w:val="29"/>
          <w:spacing w:val="17"/>
        </w:rPr>
        <w:t xml:space="preserve"> </w:t>
      </w:r>
      <w:r>
        <w:rPr>
          <w:sz w:val="29"/>
          <w:szCs w:val="29"/>
          <w:spacing w:val="-1"/>
        </w:rPr>
        <w:t>池、灯杆、垃圾桶保持干净；</w:t>
      </w:r>
    </w:p>
    <w:p>
      <w:pPr>
        <w:pStyle w:val="BodyText"/>
        <w:ind w:right="423" w:firstLine="730"/>
        <w:spacing w:before="117" w:line="272" w:lineRule="auto"/>
        <w:rPr>
          <w:sz w:val="29"/>
          <w:szCs w:val="29"/>
        </w:rPr>
      </w:pPr>
      <w:r>
        <w:rPr>
          <w:sz w:val="29"/>
          <w:szCs w:val="29"/>
          <w:spacing w:val="11"/>
        </w:rPr>
        <w:t>(2)在业主上班高峰期前对园区内的重点区域(大门内外、主干通道、销</w:t>
      </w:r>
      <w:r>
        <w:rPr>
          <w:sz w:val="29"/>
          <w:szCs w:val="29"/>
          <w:spacing w:val="7"/>
        </w:rPr>
        <w:t xml:space="preserve"> </w:t>
      </w:r>
      <w:r>
        <w:rPr>
          <w:sz w:val="29"/>
          <w:szCs w:val="29"/>
          <w:spacing w:val="12"/>
        </w:rPr>
        <w:t>售展示区)进行彻底清理。</w:t>
      </w:r>
    </w:p>
    <w:p>
      <w:pPr>
        <w:pStyle w:val="BodyText"/>
        <w:ind w:left="600"/>
        <w:spacing w:before="154" w:line="395" w:lineRule="exact"/>
        <w:rPr>
          <w:rFonts w:ascii="SimHei" w:hAnsi="SimHei" w:eastAsia="SimHei" w:cs="SimHei"/>
          <w:sz w:val="29"/>
          <w:szCs w:val="29"/>
        </w:rPr>
      </w:pPr>
      <w:r>
        <w:rPr>
          <w:rFonts w:ascii="Arial" w:hAnsi="Arial" w:eastAsia="Arial" w:cs="Arial"/>
          <w:sz w:val="29"/>
          <w:szCs w:val="29"/>
          <w:spacing w:val="3"/>
          <w:position w:val="1"/>
        </w:rPr>
        <w:t>6</w:t>
      </w:r>
      <w:r>
        <w:rPr>
          <w:sz w:val="29"/>
          <w:szCs w:val="29"/>
          <w:spacing w:val="3"/>
          <w:position w:val="1"/>
        </w:rPr>
        <w:t>、</w:t>
      </w:r>
      <w:r>
        <w:rPr>
          <w:rFonts w:ascii="SimHei" w:hAnsi="SimHei" w:eastAsia="SimHei" w:cs="SimHei"/>
          <w:sz w:val="29"/>
          <w:szCs w:val="29"/>
          <w:spacing w:val="3"/>
          <w:position w:val="1"/>
        </w:rPr>
        <w:t>时花摆放</w:t>
      </w:r>
    </w:p>
    <w:p>
      <w:pPr>
        <w:pStyle w:val="BodyText"/>
        <w:ind w:left="730"/>
        <w:spacing w:before="97" w:line="219" w:lineRule="auto"/>
        <w:rPr>
          <w:sz w:val="29"/>
          <w:szCs w:val="29"/>
        </w:rPr>
      </w:pPr>
      <w:r>
        <w:rPr>
          <w:sz w:val="29"/>
          <w:szCs w:val="29"/>
          <w:spacing w:val="7"/>
        </w:rPr>
        <w:t>(1)月初提交时花需求计划，选择亮色花卉，</w:t>
      </w:r>
      <w:r>
        <w:rPr>
          <w:sz w:val="29"/>
          <w:szCs w:val="29"/>
          <w:spacing w:val="6"/>
        </w:rPr>
        <w:t>安排下旬进场；</w:t>
      </w:r>
    </w:p>
    <w:p>
      <w:pPr>
        <w:pStyle w:val="BodyText"/>
        <w:ind w:left="730"/>
        <w:spacing w:before="146" w:line="219" w:lineRule="auto"/>
        <w:rPr>
          <w:sz w:val="29"/>
          <w:szCs w:val="29"/>
        </w:rPr>
      </w:pPr>
      <w:r>
        <w:rPr>
          <w:sz w:val="29"/>
          <w:szCs w:val="29"/>
          <w:spacing w:val="7"/>
        </w:rPr>
        <w:t>(2)月底将时花摆放完毕，注意摆放外侧避免黑色塑</w:t>
      </w:r>
      <w:r>
        <w:rPr>
          <w:sz w:val="29"/>
          <w:szCs w:val="29"/>
          <w:spacing w:val="6"/>
        </w:rPr>
        <w:t>料盆出现。</w:t>
      </w:r>
    </w:p>
    <w:p>
      <w:pPr>
        <w:ind w:left="600"/>
        <w:spacing w:before="114" w:line="222" w:lineRule="auto"/>
        <w:rPr>
          <w:rFonts w:ascii="SimHei" w:hAnsi="SimHei" w:eastAsia="SimHei" w:cs="SimHei"/>
          <w:sz w:val="29"/>
          <w:szCs w:val="29"/>
        </w:rPr>
      </w:pPr>
      <w:r>
        <w:rPr>
          <w:rFonts w:ascii="SimHei" w:hAnsi="SimHei" w:eastAsia="SimHei" w:cs="SimHei"/>
          <w:sz w:val="29"/>
          <w:szCs w:val="29"/>
          <w:spacing w:val="6"/>
        </w:rPr>
        <w:t>7、物资管理</w:t>
      </w:r>
    </w:p>
    <w:p>
      <w:pPr>
        <w:pStyle w:val="BodyText"/>
        <w:ind w:left="730"/>
        <w:spacing w:before="144" w:line="219" w:lineRule="auto"/>
        <w:rPr>
          <w:sz w:val="29"/>
          <w:szCs w:val="29"/>
        </w:rPr>
      </w:pPr>
      <w:r>
        <w:rPr>
          <w:sz w:val="29"/>
          <w:szCs w:val="29"/>
          <w:spacing w:val="7"/>
        </w:rPr>
        <w:t>(1)库房物品整理，物料工具出入库及领用登记，注意保管汽油、农药等</w:t>
      </w:r>
    </w:p>
    <w:p>
      <w:pPr>
        <w:spacing w:line="219" w:lineRule="auto"/>
        <w:sectPr>
          <w:footerReference w:type="default" r:id="rId729"/>
          <w:pgSz w:w="14490" w:h="20470"/>
          <w:pgMar w:top="400" w:right="1825" w:bottom="1468" w:left="2150" w:header="0" w:footer="1224" w:gutter="0"/>
        </w:sectPr>
        <w:rPr>
          <w:sz w:val="29"/>
          <w:szCs w:val="29"/>
        </w:rPr>
      </w:pP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BodyText"/>
        <w:ind w:left="9"/>
        <w:spacing w:before="94" w:line="220" w:lineRule="auto"/>
        <w:rPr>
          <w:sz w:val="29"/>
          <w:szCs w:val="29"/>
        </w:rPr>
      </w:pPr>
      <w:r>
        <w:rPr>
          <w:sz w:val="29"/>
          <w:szCs w:val="29"/>
          <w:spacing w:val="-3"/>
        </w:rPr>
        <w:t>危险品。</w:t>
      </w:r>
    </w:p>
    <w:p>
      <w:pPr>
        <w:pStyle w:val="BodyText"/>
        <w:ind w:right="271" w:firstLine="730"/>
        <w:spacing w:before="162" w:line="301" w:lineRule="auto"/>
        <w:rPr>
          <w:sz w:val="29"/>
          <w:szCs w:val="29"/>
        </w:rPr>
      </w:pPr>
      <w:r>
        <w:rPr>
          <w:sz w:val="29"/>
          <w:szCs w:val="29"/>
          <w:spacing w:val="4"/>
        </w:rPr>
        <w:t>(2)根据现场的实际情况，申请购置翌年1、2、3月份的农药、化肥、营养</w:t>
      </w:r>
      <w:r>
        <w:rPr>
          <w:sz w:val="29"/>
          <w:szCs w:val="29"/>
          <w:spacing w:val="12"/>
        </w:rPr>
        <w:t xml:space="preserve"> </w:t>
      </w:r>
      <w:r>
        <w:rPr>
          <w:sz w:val="29"/>
          <w:szCs w:val="29"/>
          <w:spacing w:val="-6"/>
        </w:rPr>
        <w:t>剂及其它物资；</w:t>
      </w:r>
    </w:p>
    <w:p>
      <w:pPr>
        <w:ind w:left="610"/>
        <w:spacing w:before="73" w:line="221" w:lineRule="auto"/>
        <w:rPr>
          <w:rFonts w:ascii="SimHei" w:hAnsi="SimHei" w:eastAsia="SimHei" w:cs="SimHei"/>
          <w:sz w:val="29"/>
          <w:szCs w:val="29"/>
        </w:rPr>
      </w:pPr>
      <w:r>
        <w:rPr>
          <w:rFonts w:ascii="SimHei" w:hAnsi="SimHei" w:eastAsia="SimHei" w:cs="SimHei"/>
          <w:sz w:val="29"/>
          <w:szCs w:val="29"/>
          <w:spacing w:val="5"/>
        </w:rPr>
        <w:t>8、防火防盗</w:t>
      </w:r>
    </w:p>
    <w:p>
      <w:pPr>
        <w:pStyle w:val="BodyText"/>
        <w:ind w:left="9" w:firstLine="590"/>
        <w:spacing w:before="103" w:line="311" w:lineRule="auto"/>
        <w:rPr>
          <w:sz w:val="29"/>
          <w:szCs w:val="29"/>
        </w:rPr>
      </w:pPr>
      <w:r>
        <w:rPr>
          <w:sz w:val="29"/>
          <w:szCs w:val="29"/>
        </w:rPr>
        <w:t>每天绿化工人在保洁的同时要注意行人随意丢</w:t>
      </w:r>
      <w:r>
        <w:rPr>
          <w:sz w:val="29"/>
          <w:szCs w:val="29"/>
          <w:spacing w:val="-1"/>
        </w:rPr>
        <w:t>弃烟头现象，并对其进行防火</w:t>
      </w:r>
      <w:r>
        <w:rPr>
          <w:sz w:val="29"/>
          <w:szCs w:val="29"/>
        </w:rPr>
        <w:t xml:space="preserve">   </w:t>
      </w:r>
      <w:r>
        <w:rPr>
          <w:sz w:val="29"/>
          <w:szCs w:val="29"/>
          <w:spacing w:val="-8"/>
        </w:rPr>
        <w:t>教育，加强防火意识。及时清扫落叶、树挂，消除火灾隐患</w:t>
      </w:r>
      <w:r>
        <w:rPr>
          <w:sz w:val="29"/>
          <w:szCs w:val="29"/>
          <w:spacing w:val="-9"/>
        </w:rPr>
        <w:t>。同时注意库房的防火、</w:t>
      </w:r>
      <w:r>
        <w:rPr>
          <w:sz w:val="29"/>
          <w:szCs w:val="29"/>
        </w:rPr>
        <w:t xml:space="preserve"> </w:t>
      </w:r>
      <w:r>
        <w:rPr>
          <w:sz w:val="29"/>
          <w:szCs w:val="29"/>
          <w:spacing w:val="-12"/>
        </w:rPr>
        <w:t>防盗情况。</w:t>
      </w:r>
    </w:p>
    <w:p>
      <w:pPr>
        <w:spacing w:line="311" w:lineRule="auto"/>
        <w:sectPr>
          <w:footerReference w:type="default" r:id="rId730"/>
          <w:pgSz w:w="14490" w:h="20470"/>
          <w:pgMar w:top="400" w:right="1905" w:bottom="1529" w:left="2150" w:header="0" w:footer="1152" w:gutter="0"/>
        </w:sectPr>
        <w:rPr>
          <w:sz w:val="29"/>
          <w:szCs w:val="29"/>
        </w:rPr>
      </w:pP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2"/>
        <w:spacing w:before="133" w:line="222" w:lineRule="auto"/>
        <w:outlineLvl w:val="0"/>
        <w:rPr>
          <w:rFonts w:ascii="SimHei" w:hAnsi="SimHei" w:eastAsia="SimHei" w:cs="SimHei"/>
          <w:sz w:val="41"/>
          <w:szCs w:val="41"/>
        </w:rPr>
      </w:pPr>
      <w:bookmarkStart w:name="bookmark142" w:id="141"/>
      <w:bookmarkEnd w:id="141"/>
      <w:bookmarkStart w:name="bookmark78" w:id="142"/>
      <w:bookmarkEnd w:id="142"/>
      <w:r>
        <w:rPr>
          <w:rFonts w:ascii="SimHei" w:hAnsi="SimHei" w:eastAsia="SimHei" w:cs="SimHei"/>
          <w:sz w:val="41"/>
          <w:szCs w:val="41"/>
          <w:b/>
          <w:bCs/>
          <w:spacing w:val="23"/>
        </w:rPr>
        <w:t>附件三：各地区农药肥料使用指导</w:t>
      </w:r>
    </w:p>
    <w:p>
      <w:pPr>
        <w:spacing w:line="222" w:lineRule="auto"/>
        <w:sectPr>
          <w:footerReference w:type="default" r:id="rId731"/>
          <w:pgSz w:w="14490" w:h="20470"/>
          <w:pgMar w:top="400" w:right="2173" w:bottom="1447" w:left="2173" w:header="0" w:footer="1230" w:gutter="0"/>
        </w:sectPr>
        <w:rPr>
          <w:rFonts w:ascii="SimHei" w:hAnsi="SimHei" w:eastAsia="SimHei" w:cs="SimHei"/>
          <w:sz w:val="41"/>
          <w:szCs w:val="41"/>
        </w:rPr>
      </w:pPr>
    </w:p>
    <w:tbl>
      <w:tblPr>
        <w:tblStyle w:val="TableNormal"/>
        <w:tblW w:w="1406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39"/>
        <w:gridCol w:w="989"/>
        <w:gridCol w:w="2708"/>
        <w:gridCol w:w="1289"/>
        <w:gridCol w:w="1939"/>
        <w:gridCol w:w="1639"/>
        <w:gridCol w:w="1069"/>
        <w:gridCol w:w="699"/>
        <w:gridCol w:w="2776"/>
      </w:tblGrid>
      <w:tr>
        <w:trPr>
          <w:trHeight w:val="609" w:hRule="atLeast"/>
        </w:trPr>
        <w:tc>
          <w:tcPr>
            <w:tcW w:w="14062" w:type="dxa"/>
            <w:vAlign w:val="top"/>
            <w:gridSpan w:val="10"/>
            <w:tcBorders>
              <w:bottom w:val="single" w:color="000000" w:sz="2" w:space="0"/>
              <w:top w:val="single" w:color="000000" w:sz="2" w:space="0"/>
            </w:tcBorders>
          </w:tcPr>
          <w:p>
            <w:pPr>
              <w:pStyle w:val="TableText"/>
              <w:ind w:left="5816"/>
              <w:spacing w:before="172" w:line="218" w:lineRule="auto"/>
              <w:rPr>
                <w:sz w:val="12"/>
                <w:szCs w:val="12"/>
              </w:rPr>
            </w:pPr>
            <w:r>
              <w:rPr>
                <w:sz w:val="12"/>
                <w:szCs w:val="12"/>
                <w:b/>
                <w:bCs/>
                <w:spacing w:val="24"/>
              </w:rPr>
              <w:t>黑龙江</w:t>
            </w:r>
            <w:r>
              <w:rPr>
                <w:sz w:val="12"/>
                <w:szCs w:val="12"/>
                <w:spacing w:val="-15"/>
              </w:rPr>
              <w:t xml:space="preserve"> </w:t>
            </w:r>
            <w:r>
              <w:rPr>
                <w:sz w:val="12"/>
                <w:szCs w:val="12"/>
                <w:b/>
                <w:bCs/>
                <w:spacing w:val="24"/>
              </w:rPr>
              <w:t>、</w:t>
            </w:r>
            <w:r>
              <w:rPr>
                <w:sz w:val="12"/>
                <w:szCs w:val="12"/>
                <w:spacing w:val="-18"/>
              </w:rPr>
              <w:t xml:space="preserve"> </w:t>
            </w:r>
            <w:r>
              <w:rPr>
                <w:sz w:val="12"/>
                <w:szCs w:val="12"/>
                <w:b/>
                <w:bCs/>
                <w:spacing w:val="24"/>
              </w:rPr>
              <w:t>吉林地区农药肥料使用指导</w:t>
            </w:r>
          </w:p>
          <w:p>
            <w:pPr>
              <w:pStyle w:val="TableText"/>
              <w:ind w:left="4736"/>
              <w:spacing w:before="27" w:line="218" w:lineRule="auto"/>
              <w:rPr>
                <w:sz w:val="12"/>
                <w:szCs w:val="12"/>
              </w:rPr>
            </w:pPr>
            <w:r>
              <w:rPr>
                <w:sz w:val="12"/>
                <w:szCs w:val="12"/>
                <w:b/>
                <w:bCs/>
                <w:spacing w:val="-1"/>
              </w:rPr>
              <w:t>(本表中药品供参考，如有同类且成分相同、价格合理、低毒高效的药品，可选择使用)</w:t>
            </w:r>
          </w:p>
        </w:tc>
      </w:tr>
      <w:tr>
        <w:trPr>
          <w:trHeight w:val="524" w:hRule="atLeast"/>
        </w:trPr>
        <w:tc>
          <w:tcPr>
            <w:tcW w:w="415" w:type="dxa"/>
            <w:vAlign w:val="top"/>
            <w:tcBorders>
              <w:bottom w:val="single" w:color="000000" w:sz="2" w:space="0"/>
              <w:top w:val="single" w:color="000000" w:sz="2" w:space="0"/>
            </w:tcBorders>
          </w:tcPr>
          <w:p>
            <w:pPr>
              <w:pStyle w:val="TableText"/>
              <w:ind w:left="76"/>
              <w:spacing w:before="198" w:line="219" w:lineRule="auto"/>
              <w:rPr>
                <w:sz w:val="12"/>
                <w:szCs w:val="12"/>
              </w:rPr>
            </w:pPr>
            <w:r>
              <w:rPr>
                <w:sz w:val="12"/>
                <w:szCs w:val="12"/>
                <w:b/>
                <w:bCs/>
                <w:spacing w:val="-3"/>
              </w:rPr>
              <w:t>分类</w:t>
            </w:r>
          </w:p>
        </w:tc>
        <w:tc>
          <w:tcPr>
            <w:tcW w:w="539" w:type="dxa"/>
            <w:vAlign w:val="top"/>
            <w:tcBorders>
              <w:bottom w:val="single" w:color="000000" w:sz="2" w:space="0"/>
              <w:top w:val="single" w:color="000000" w:sz="2" w:space="0"/>
            </w:tcBorders>
          </w:tcPr>
          <w:p>
            <w:pPr>
              <w:pStyle w:val="TableText"/>
              <w:ind w:left="21"/>
              <w:spacing w:before="48" w:line="219" w:lineRule="auto"/>
              <w:rPr>
                <w:sz w:val="12"/>
                <w:szCs w:val="12"/>
              </w:rPr>
            </w:pPr>
            <w:r>
              <w:rPr>
                <w:sz w:val="12"/>
                <w:szCs w:val="12"/>
                <w:b/>
                <w:bCs/>
                <w:spacing w:val="-3"/>
              </w:rPr>
              <w:t>消杀预防</w:t>
            </w:r>
          </w:p>
          <w:p>
            <w:pPr>
              <w:pStyle w:val="TableText"/>
              <w:ind w:left="21"/>
              <w:spacing w:before="17" w:line="220" w:lineRule="auto"/>
              <w:rPr>
                <w:sz w:val="12"/>
                <w:szCs w:val="12"/>
              </w:rPr>
            </w:pPr>
            <w:r>
              <w:rPr>
                <w:sz w:val="12"/>
                <w:szCs w:val="12"/>
                <w:b/>
                <w:bCs/>
                <w:spacing w:val="-3"/>
              </w:rPr>
              <w:t>及病虫害</w:t>
            </w:r>
          </w:p>
          <w:p>
            <w:pPr>
              <w:pStyle w:val="TableText"/>
              <w:ind w:left="151"/>
              <w:spacing w:before="6" w:line="219" w:lineRule="auto"/>
              <w:rPr>
                <w:sz w:val="12"/>
                <w:szCs w:val="12"/>
              </w:rPr>
            </w:pPr>
            <w:r>
              <w:rPr>
                <w:sz w:val="12"/>
                <w:szCs w:val="12"/>
                <w:b/>
                <w:bCs/>
                <w:spacing w:val="-3"/>
              </w:rPr>
              <w:t>分类</w:t>
            </w:r>
          </w:p>
        </w:tc>
        <w:tc>
          <w:tcPr>
            <w:tcW w:w="989" w:type="dxa"/>
            <w:vAlign w:val="top"/>
            <w:tcBorders>
              <w:bottom w:val="single" w:color="000000" w:sz="2" w:space="0"/>
              <w:top w:val="single" w:color="000000" w:sz="2" w:space="0"/>
            </w:tcBorders>
          </w:tcPr>
          <w:p>
            <w:pPr>
              <w:pStyle w:val="TableText"/>
              <w:ind w:left="182"/>
              <w:spacing w:before="198" w:line="219" w:lineRule="auto"/>
              <w:rPr>
                <w:sz w:val="12"/>
                <w:szCs w:val="12"/>
              </w:rPr>
            </w:pPr>
            <w:r>
              <w:rPr>
                <w:sz w:val="12"/>
                <w:szCs w:val="12"/>
                <w:b/>
                <w:bCs/>
                <w:spacing w:val="-3"/>
              </w:rPr>
              <w:t>常见病虫害</w:t>
            </w:r>
          </w:p>
        </w:tc>
        <w:tc>
          <w:tcPr>
            <w:tcW w:w="2708" w:type="dxa"/>
            <w:vAlign w:val="top"/>
            <w:tcBorders>
              <w:bottom w:val="single" w:color="000000" w:sz="2" w:space="0"/>
              <w:top w:val="single" w:color="000000" w:sz="2" w:space="0"/>
            </w:tcBorders>
          </w:tcPr>
          <w:p>
            <w:pPr>
              <w:pStyle w:val="TableText"/>
              <w:ind w:left="1003"/>
              <w:spacing w:before="198" w:line="219" w:lineRule="auto"/>
              <w:rPr>
                <w:sz w:val="12"/>
                <w:szCs w:val="12"/>
              </w:rPr>
            </w:pPr>
            <w:r>
              <w:rPr>
                <w:sz w:val="12"/>
                <w:szCs w:val="12"/>
                <w:b/>
                <w:bCs/>
                <w:spacing w:val="-3"/>
              </w:rPr>
              <w:t>主要发病月份</w:t>
            </w:r>
          </w:p>
        </w:tc>
        <w:tc>
          <w:tcPr>
            <w:tcW w:w="1289" w:type="dxa"/>
            <w:vAlign w:val="top"/>
            <w:tcBorders>
              <w:bottom w:val="single" w:color="000000" w:sz="2" w:space="0"/>
              <w:top w:val="single" w:color="000000" w:sz="2" w:space="0"/>
            </w:tcBorders>
          </w:tcPr>
          <w:p>
            <w:pPr>
              <w:pStyle w:val="TableText"/>
              <w:ind w:left="395"/>
              <w:spacing w:before="198" w:line="220" w:lineRule="auto"/>
              <w:rPr>
                <w:sz w:val="12"/>
                <w:szCs w:val="12"/>
              </w:rPr>
            </w:pPr>
            <w:r>
              <w:rPr>
                <w:sz w:val="12"/>
                <w:szCs w:val="12"/>
                <w:b/>
                <w:bCs/>
                <w:spacing w:val="-3"/>
              </w:rPr>
              <w:t>药品名称</w:t>
            </w:r>
          </w:p>
        </w:tc>
        <w:tc>
          <w:tcPr>
            <w:tcW w:w="1939" w:type="dxa"/>
            <w:vAlign w:val="top"/>
            <w:tcBorders>
              <w:bottom w:val="single" w:color="000000" w:sz="2" w:space="0"/>
              <w:top w:val="single" w:color="000000" w:sz="2" w:space="0"/>
            </w:tcBorders>
          </w:tcPr>
          <w:p>
            <w:pPr>
              <w:pStyle w:val="TableText"/>
              <w:ind w:left="726"/>
              <w:spacing w:before="198" w:line="220" w:lineRule="auto"/>
              <w:rPr>
                <w:sz w:val="12"/>
                <w:szCs w:val="12"/>
              </w:rPr>
            </w:pPr>
            <w:r>
              <w:rPr>
                <w:sz w:val="12"/>
                <w:szCs w:val="12"/>
                <w:b/>
                <w:bCs/>
                <w:spacing w:val="-3"/>
              </w:rPr>
              <w:t>主要成分</w:t>
            </w:r>
          </w:p>
        </w:tc>
        <w:tc>
          <w:tcPr>
            <w:tcW w:w="1639" w:type="dxa"/>
            <w:vAlign w:val="top"/>
            <w:tcBorders>
              <w:bottom w:val="single" w:color="000000" w:sz="2" w:space="0"/>
              <w:top w:val="single" w:color="000000" w:sz="2" w:space="0"/>
            </w:tcBorders>
          </w:tcPr>
          <w:p>
            <w:pPr>
              <w:pStyle w:val="TableText"/>
              <w:ind w:left="577"/>
              <w:spacing w:before="198" w:line="219" w:lineRule="auto"/>
              <w:rPr>
                <w:sz w:val="12"/>
                <w:szCs w:val="12"/>
              </w:rPr>
            </w:pPr>
            <w:r>
              <w:rPr>
                <w:sz w:val="12"/>
                <w:szCs w:val="12"/>
                <w:b/>
                <w:bCs/>
                <w:spacing w:val="-3"/>
              </w:rPr>
              <w:t>使用倍率</w:t>
            </w:r>
          </w:p>
        </w:tc>
        <w:tc>
          <w:tcPr>
            <w:tcW w:w="1069" w:type="dxa"/>
            <w:vAlign w:val="top"/>
            <w:tcBorders>
              <w:bottom w:val="single" w:color="000000" w:sz="2" w:space="0"/>
              <w:top w:val="single" w:color="000000" w:sz="2" w:space="0"/>
            </w:tcBorders>
          </w:tcPr>
          <w:p>
            <w:pPr>
              <w:pStyle w:val="TableText"/>
              <w:ind w:left="288"/>
              <w:spacing w:before="198" w:line="219" w:lineRule="auto"/>
              <w:rPr>
                <w:sz w:val="12"/>
                <w:szCs w:val="12"/>
              </w:rPr>
            </w:pPr>
            <w:r>
              <w:rPr>
                <w:sz w:val="12"/>
                <w:szCs w:val="12"/>
                <w:b/>
                <w:bCs/>
                <w:spacing w:val="-3"/>
              </w:rPr>
              <w:t>施用次数</w:t>
            </w:r>
          </w:p>
        </w:tc>
        <w:tc>
          <w:tcPr>
            <w:tcW w:w="699" w:type="dxa"/>
            <w:vAlign w:val="top"/>
            <w:tcBorders>
              <w:bottom w:val="single" w:color="000000" w:sz="2" w:space="0"/>
              <w:top w:val="single" w:color="000000" w:sz="2" w:space="0"/>
            </w:tcBorders>
          </w:tcPr>
          <w:p>
            <w:pPr>
              <w:pStyle w:val="TableText"/>
              <w:ind w:left="229"/>
              <w:spacing w:before="198" w:line="219" w:lineRule="auto"/>
              <w:rPr>
                <w:sz w:val="12"/>
                <w:szCs w:val="12"/>
              </w:rPr>
            </w:pPr>
            <w:r>
              <w:rPr>
                <w:sz w:val="12"/>
                <w:szCs w:val="12"/>
                <w:b/>
                <w:bCs/>
                <w:spacing w:val="-3"/>
              </w:rPr>
              <w:t>规格</w:t>
            </w:r>
          </w:p>
        </w:tc>
        <w:tc>
          <w:tcPr>
            <w:tcW w:w="2776" w:type="dxa"/>
            <w:vAlign w:val="top"/>
            <w:tcBorders>
              <w:bottom w:val="single" w:color="000000" w:sz="2" w:space="0"/>
              <w:top w:val="single" w:color="000000" w:sz="2" w:space="0"/>
            </w:tcBorders>
          </w:tcPr>
          <w:p>
            <w:pPr>
              <w:pStyle w:val="TableText"/>
              <w:ind w:left="1280"/>
              <w:spacing w:before="198" w:line="221" w:lineRule="auto"/>
              <w:rPr>
                <w:sz w:val="12"/>
                <w:szCs w:val="12"/>
              </w:rPr>
            </w:pPr>
            <w:r>
              <w:rPr>
                <w:sz w:val="12"/>
                <w:szCs w:val="12"/>
                <w:b/>
                <w:bCs/>
                <w:spacing w:val="-3"/>
              </w:rPr>
              <w:t>备注</w:t>
            </w:r>
          </w:p>
        </w:tc>
      </w:tr>
      <w:tr>
        <w:trPr>
          <w:trHeight w:val="394" w:hRule="atLeast"/>
        </w:trPr>
        <w:tc>
          <w:tcPr>
            <w:tcW w:w="415" w:type="dxa"/>
            <w:vAlign w:val="top"/>
            <w:vMerge w:val="restart"/>
            <w:tcBorders>
              <w:bottom w:val="nil"/>
              <w:top w:val="single" w:color="000000" w:sz="2" w:space="0"/>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4"/>
              <w:spacing w:before="39" w:line="218" w:lineRule="auto"/>
              <w:rPr>
                <w:sz w:val="12"/>
                <w:szCs w:val="12"/>
              </w:rPr>
            </w:pPr>
            <w:r>
              <w:rPr>
                <w:sz w:val="12"/>
                <w:szCs w:val="12"/>
                <w:spacing w:val="-2"/>
              </w:rPr>
              <w:t>杀菌剂</w:t>
            </w:r>
          </w:p>
        </w:tc>
        <w:tc>
          <w:tcPr>
            <w:tcW w:w="539" w:type="dxa"/>
            <w:vAlign w:val="top"/>
            <w:vMerge w:val="restart"/>
            <w:tcBorders>
              <w:bottom w:val="nil"/>
              <w:top w:val="single" w:color="000000" w:sz="2" w:space="0"/>
            </w:tcBorders>
          </w:tcPr>
          <w:p>
            <w:pPr>
              <w:spacing w:line="289" w:lineRule="auto"/>
              <w:rPr>
                <w:rFonts w:ascii="Arial"/>
                <w:sz w:val="21"/>
              </w:rPr>
            </w:pPr>
            <w:r/>
          </w:p>
          <w:p>
            <w:pPr>
              <w:pStyle w:val="TableText"/>
              <w:ind w:left="20"/>
              <w:spacing w:before="39" w:line="219" w:lineRule="auto"/>
              <w:rPr>
                <w:sz w:val="12"/>
                <w:szCs w:val="12"/>
              </w:rPr>
            </w:pPr>
            <w:r>
              <w:rPr>
                <w:sz w:val="12"/>
                <w:szCs w:val="12"/>
                <w:spacing w:val="-2"/>
              </w:rPr>
              <w:t>消杀预防</w:t>
            </w:r>
          </w:p>
        </w:tc>
        <w:tc>
          <w:tcPr>
            <w:tcW w:w="989" w:type="dxa"/>
            <w:vAlign w:val="top"/>
            <w:vMerge w:val="restart"/>
            <w:tcBorders>
              <w:bottom w:val="nil"/>
              <w:top w:val="single" w:color="000000" w:sz="2" w:space="0"/>
            </w:tcBorders>
          </w:tcPr>
          <w:p>
            <w:pPr>
              <w:pStyle w:val="TableText"/>
              <w:ind w:left="61"/>
              <w:spacing w:before="260" w:line="219" w:lineRule="auto"/>
              <w:rPr>
                <w:sz w:val="12"/>
                <w:szCs w:val="12"/>
              </w:rPr>
            </w:pPr>
            <w:r>
              <w:rPr>
                <w:sz w:val="12"/>
                <w:szCs w:val="12"/>
                <w:spacing w:val="-1"/>
              </w:rPr>
              <w:t>全园区的菌类病</w:t>
            </w:r>
          </w:p>
          <w:p>
            <w:pPr>
              <w:pStyle w:val="TableText"/>
              <w:ind w:left="251"/>
              <w:spacing w:before="7" w:line="219" w:lineRule="auto"/>
              <w:rPr>
                <w:sz w:val="12"/>
                <w:szCs w:val="12"/>
              </w:rPr>
            </w:pPr>
            <w:r>
              <w:rPr>
                <w:sz w:val="12"/>
                <w:szCs w:val="12"/>
                <w:spacing w:val="-2"/>
              </w:rPr>
              <w:t>菌、虫卵</w:t>
            </w:r>
          </w:p>
        </w:tc>
        <w:tc>
          <w:tcPr>
            <w:tcW w:w="2708" w:type="dxa"/>
            <w:vAlign w:val="top"/>
            <w:vMerge w:val="restart"/>
            <w:tcBorders>
              <w:bottom w:val="nil"/>
              <w:top w:val="single" w:color="000000" w:sz="2" w:space="0"/>
            </w:tcBorders>
          </w:tcPr>
          <w:p>
            <w:pPr>
              <w:pStyle w:val="TableText"/>
              <w:ind w:left="12" w:right="4"/>
              <w:spacing w:before="200" w:line="217" w:lineRule="auto"/>
              <w:rPr>
                <w:sz w:val="12"/>
                <w:szCs w:val="12"/>
              </w:rPr>
            </w:pPr>
            <w:r>
              <w:rPr>
                <w:sz w:val="12"/>
                <w:szCs w:val="12"/>
                <w:spacing w:val="-1"/>
              </w:rPr>
              <w:t>一、4月下旬苗木返青前对全园区的菌类、虫卵，消</w:t>
            </w:r>
            <w:r>
              <w:rPr>
                <w:sz w:val="12"/>
                <w:szCs w:val="12"/>
                <w:spacing w:val="3"/>
              </w:rPr>
              <w:t xml:space="preserve"> </w:t>
            </w:r>
            <w:r>
              <w:rPr>
                <w:sz w:val="12"/>
                <w:szCs w:val="12"/>
              </w:rPr>
              <w:t>柔1-2次：</w:t>
            </w:r>
          </w:p>
          <w:p>
            <w:pPr>
              <w:pStyle w:val="TableText"/>
              <w:ind w:left="12"/>
              <w:spacing w:before="7" w:line="219" w:lineRule="auto"/>
              <w:rPr>
                <w:sz w:val="12"/>
                <w:szCs w:val="12"/>
              </w:rPr>
            </w:pPr>
            <w:r>
              <w:rPr>
                <w:sz w:val="12"/>
                <w:szCs w:val="12"/>
              </w:rPr>
              <w:t>三、10月封连水浇灌前全园区消杀1-2次。</w:t>
            </w:r>
          </w:p>
        </w:tc>
        <w:tc>
          <w:tcPr>
            <w:tcW w:w="1289" w:type="dxa"/>
            <w:vAlign w:val="top"/>
            <w:tcBorders>
              <w:bottom w:val="single" w:color="000000" w:sz="2" w:space="0"/>
              <w:top w:val="single" w:color="000000" w:sz="2" w:space="0"/>
            </w:tcBorders>
          </w:tcPr>
          <w:p>
            <w:pPr>
              <w:pStyle w:val="TableText"/>
              <w:ind w:left="274"/>
              <w:spacing w:before="140" w:line="218" w:lineRule="auto"/>
              <w:rPr>
                <w:sz w:val="12"/>
                <w:szCs w:val="12"/>
              </w:rPr>
            </w:pPr>
            <w:r>
              <w:rPr>
                <w:sz w:val="12"/>
                <w:szCs w:val="12"/>
                <w:spacing w:val="1"/>
              </w:rPr>
              <w:t>晶体石硫合剂</w:t>
            </w:r>
          </w:p>
        </w:tc>
        <w:tc>
          <w:tcPr>
            <w:tcW w:w="1939" w:type="dxa"/>
            <w:vAlign w:val="top"/>
            <w:tcBorders>
              <w:bottom w:val="single" w:color="000000" w:sz="2" w:space="0"/>
              <w:top w:val="single" w:color="000000" w:sz="2" w:space="0"/>
            </w:tcBorders>
          </w:tcPr>
          <w:p>
            <w:pPr>
              <w:pStyle w:val="TableText"/>
              <w:ind w:left="725"/>
              <w:spacing w:before="140" w:line="221" w:lineRule="auto"/>
              <w:rPr>
                <w:sz w:val="12"/>
                <w:szCs w:val="12"/>
              </w:rPr>
            </w:pPr>
            <w:r>
              <w:rPr>
                <w:sz w:val="12"/>
                <w:szCs w:val="12"/>
                <w:spacing w:val="-2"/>
              </w:rPr>
              <w:t>多硫化钙</w:t>
            </w:r>
          </w:p>
        </w:tc>
        <w:tc>
          <w:tcPr>
            <w:tcW w:w="1639" w:type="dxa"/>
            <w:vAlign w:val="top"/>
            <w:tcBorders>
              <w:bottom w:val="single" w:color="000000" w:sz="2" w:space="0"/>
              <w:top w:val="single" w:color="000000" w:sz="2" w:space="0"/>
            </w:tcBorders>
          </w:tcPr>
          <w:p>
            <w:pPr>
              <w:pStyle w:val="TableText"/>
              <w:ind w:left="515"/>
              <w:spacing w:before="140" w:line="220" w:lineRule="auto"/>
              <w:rPr>
                <w:sz w:val="12"/>
                <w:szCs w:val="12"/>
              </w:rPr>
            </w:pPr>
            <w:r>
              <w:rPr>
                <w:sz w:val="12"/>
                <w:szCs w:val="12"/>
                <w:spacing w:val="-6"/>
              </w:rPr>
              <w:t>800—1000倍</w:t>
            </w:r>
          </w:p>
        </w:tc>
        <w:tc>
          <w:tcPr>
            <w:tcW w:w="1069" w:type="dxa"/>
            <w:vAlign w:val="top"/>
            <w:vMerge w:val="restart"/>
            <w:tcBorders>
              <w:bottom w:val="nil"/>
              <w:top w:val="single" w:color="000000" w:sz="2" w:space="0"/>
            </w:tcBorders>
          </w:tcPr>
          <w:p>
            <w:pPr>
              <w:spacing w:line="292" w:lineRule="auto"/>
              <w:rPr>
                <w:rFonts w:ascii="Arial"/>
                <w:sz w:val="21"/>
              </w:rPr>
            </w:pPr>
            <w:r/>
          </w:p>
          <w:p>
            <w:pPr>
              <w:pStyle w:val="TableText"/>
              <w:ind w:left="496"/>
              <w:spacing w:before="39" w:line="224" w:lineRule="auto"/>
              <w:rPr>
                <w:sz w:val="12"/>
                <w:szCs w:val="12"/>
              </w:rPr>
            </w:pPr>
            <w:r>
              <w:rPr>
                <w:sz w:val="12"/>
                <w:szCs w:val="12"/>
              </w:rPr>
              <w:t>/</w:t>
            </w:r>
          </w:p>
        </w:tc>
        <w:tc>
          <w:tcPr>
            <w:tcW w:w="699" w:type="dxa"/>
            <w:vAlign w:val="top"/>
            <w:tcBorders>
              <w:bottom w:val="single" w:color="000000" w:sz="2" w:space="0"/>
              <w:top w:val="single" w:color="000000" w:sz="2" w:space="0"/>
            </w:tcBorders>
          </w:tcPr>
          <w:p>
            <w:pPr>
              <w:pStyle w:val="TableText"/>
              <w:ind w:left="77"/>
              <w:spacing w:before="136" w:line="213" w:lineRule="auto"/>
              <w:rPr>
                <w:sz w:val="12"/>
                <w:szCs w:val="12"/>
              </w:rPr>
            </w:pPr>
            <w:r>
              <w:rPr>
                <w:sz w:val="12"/>
                <w:szCs w:val="12"/>
                <w:spacing w:val="3"/>
              </w:rPr>
              <w:t>(400g/袋)</w:t>
            </w:r>
          </w:p>
        </w:tc>
        <w:tc>
          <w:tcPr>
            <w:tcW w:w="2776" w:type="dxa"/>
            <w:vAlign w:val="top"/>
            <w:tcBorders>
              <w:bottom w:val="single" w:color="000000" w:sz="2" w:space="0"/>
              <w:top w:val="single" w:color="000000" w:sz="2" w:space="0"/>
            </w:tcBorders>
          </w:tcPr>
          <w:p>
            <w:pPr>
              <w:pStyle w:val="TableText"/>
              <w:ind w:left="9" w:right="6" w:firstLine="19"/>
              <w:spacing w:before="79" w:line="234" w:lineRule="auto"/>
              <w:rPr>
                <w:sz w:val="12"/>
                <w:szCs w:val="12"/>
              </w:rPr>
            </w:pPr>
            <w:r>
              <w:rPr>
                <w:sz w:val="12"/>
                <w:szCs w:val="12"/>
                <w:spacing w:val="-2"/>
              </w:rPr>
              <w:t>价格低廉、效果好、对多种病菌具有扣杀作用，园区</w:t>
            </w:r>
            <w:r>
              <w:rPr>
                <w:sz w:val="12"/>
                <w:szCs w:val="12"/>
                <w:spacing w:val="15"/>
              </w:rPr>
              <w:t xml:space="preserve"> </w:t>
            </w:r>
            <w:r>
              <w:rPr>
                <w:sz w:val="12"/>
                <w:szCs w:val="12"/>
                <w:spacing w:val="3"/>
              </w:rPr>
              <w:t>消杀使用</w:t>
            </w:r>
          </w:p>
        </w:tc>
      </w:tr>
      <w:tr>
        <w:trPr>
          <w:trHeight w:val="38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0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4"/>
              <w:spacing w:before="131" w:line="220" w:lineRule="auto"/>
              <w:rPr>
                <w:sz w:val="12"/>
                <w:szCs w:val="12"/>
              </w:rPr>
            </w:pPr>
            <w:r>
              <w:rPr>
                <w:sz w:val="12"/>
                <w:szCs w:val="12"/>
                <w:spacing w:val="-1"/>
              </w:rPr>
              <w:t>波尔多液</w:t>
            </w:r>
          </w:p>
        </w:tc>
        <w:tc>
          <w:tcPr>
            <w:tcW w:w="1939" w:type="dxa"/>
            <w:vAlign w:val="top"/>
            <w:tcBorders>
              <w:bottom w:val="single" w:color="000000" w:sz="2" w:space="0"/>
              <w:top w:val="single" w:color="000000" w:sz="2" w:space="0"/>
            </w:tcBorders>
          </w:tcPr>
          <w:p>
            <w:pPr>
              <w:pStyle w:val="TableText"/>
              <w:ind w:left="665"/>
              <w:spacing w:before="131" w:line="221" w:lineRule="auto"/>
              <w:rPr>
                <w:sz w:val="12"/>
                <w:szCs w:val="12"/>
              </w:rPr>
            </w:pPr>
            <w:r>
              <w:rPr>
                <w:sz w:val="12"/>
                <w:szCs w:val="12"/>
                <w:spacing w:val="-1"/>
              </w:rPr>
              <w:t>碱式疏酸铜</w:t>
            </w:r>
          </w:p>
        </w:tc>
        <w:tc>
          <w:tcPr>
            <w:tcW w:w="1639" w:type="dxa"/>
            <w:vAlign w:val="top"/>
            <w:tcBorders>
              <w:bottom w:val="single" w:color="000000" w:sz="2" w:space="0"/>
              <w:top w:val="single" w:color="000000" w:sz="2" w:space="0"/>
            </w:tcBorders>
          </w:tcPr>
          <w:p>
            <w:pPr>
              <w:pStyle w:val="TableText"/>
              <w:ind w:left="545"/>
              <w:spacing w:before="131" w:line="220" w:lineRule="auto"/>
              <w:rPr>
                <w:sz w:val="12"/>
                <w:szCs w:val="12"/>
              </w:rPr>
            </w:pPr>
            <w:r>
              <w:rPr>
                <w:sz w:val="12"/>
                <w:szCs w:val="12"/>
                <w:spacing w:val="-6"/>
              </w:rPr>
              <w:t>160—240倍</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37"/>
              <w:spacing w:before="127" w:line="213" w:lineRule="auto"/>
              <w:rPr>
                <w:sz w:val="12"/>
                <w:szCs w:val="12"/>
              </w:rPr>
            </w:pPr>
            <w:r>
              <w:rPr>
                <w:sz w:val="12"/>
                <w:szCs w:val="12"/>
                <w:spacing w:val="-1"/>
              </w:rPr>
              <w:t>200g/袋</w:t>
            </w:r>
          </w:p>
        </w:tc>
        <w:tc>
          <w:tcPr>
            <w:tcW w:w="2776" w:type="dxa"/>
            <w:vAlign w:val="top"/>
            <w:tcBorders>
              <w:bottom w:val="single" w:color="000000" w:sz="2" w:space="0"/>
              <w:top w:val="single" w:color="000000" w:sz="2" w:space="0"/>
            </w:tcBorders>
          </w:tcPr>
          <w:p>
            <w:pPr>
              <w:pStyle w:val="TableText"/>
              <w:ind w:left="19" w:firstLine="9"/>
              <w:spacing w:before="70" w:line="217" w:lineRule="auto"/>
              <w:rPr>
                <w:sz w:val="12"/>
                <w:szCs w:val="12"/>
              </w:rPr>
            </w:pPr>
            <w:r>
              <w:rPr>
                <w:sz w:val="12"/>
                <w:szCs w:val="12"/>
                <w:spacing w:val="-1"/>
              </w:rPr>
              <w:t>防治落叶痛、炭疽病、炭疽病、霜写病。不能与石确</w:t>
            </w:r>
            <w:r>
              <w:rPr>
                <w:sz w:val="12"/>
                <w:szCs w:val="12"/>
              </w:rPr>
              <w:t xml:space="preserve"> </w:t>
            </w:r>
            <w:r>
              <w:rPr>
                <w:sz w:val="12"/>
                <w:szCs w:val="12"/>
                <w:spacing w:val="-1"/>
              </w:rPr>
              <w:t>合剂等碱性农药混用</w:t>
            </w:r>
          </w:p>
        </w:tc>
      </w:tr>
      <w:tr>
        <w:trPr>
          <w:trHeight w:val="394" w:hRule="atLeast"/>
        </w:trPr>
        <w:tc>
          <w:tcPr>
            <w:tcW w:w="415" w:type="dxa"/>
            <w:vAlign w:val="top"/>
            <w:vMerge w:val="continue"/>
            <w:tcBorders>
              <w:bottom w:val="nil"/>
              <w:top w:val="nil"/>
            </w:tcBorders>
          </w:tcPr>
          <w:p>
            <w:pPr>
              <w:rPr>
                <w:rFonts w:ascii="Arial"/>
                <w:sz w:val="21"/>
              </w:rPr>
            </w:pPr>
            <w:r/>
          </w:p>
        </w:tc>
        <w:tc>
          <w:tcPr>
            <w:tcW w:w="539"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80"/>
              <w:spacing w:before="39" w:line="219" w:lineRule="auto"/>
              <w:rPr>
                <w:sz w:val="12"/>
                <w:szCs w:val="12"/>
              </w:rPr>
            </w:pPr>
            <w:r>
              <w:rPr>
                <w:sz w:val="12"/>
                <w:szCs w:val="12"/>
                <w:spacing w:val="-1"/>
              </w:rPr>
              <w:t>病菌类</w:t>
            </w:r>
          </w:p>
        </w:tc>
        <w:tc>
          <w:tcPr>
            <w:tcW w:w="989" w:type="dxa"/>
            <w:vAlign w:val="top"/>
            <w:vMerge w:val="restart"/>
            <w:tcBorders>
              <w:bottom w:val="nil"/>
              <w:top w:val="single" w:color="000000" w:sz="2" w:space="0"/>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61" w:right="82" w:firstLine="59"/>
              <w:spacing w:before="39" w:line="230" w:lineRule="auto"/>
              <w:rPr>
                <w:sz w:val="12"/>
                <w:szCs w:val="12"/>
              </w:rPr>
            </w:pPr>
            <w:r>
              <w:rPr>
                <w:sz w:val="12"/>
                <w:szCs w:val="12"/>
                <w:spacing w:val="-2"/>
              </w:rPr>
              <w:t>炭疽病，白粉</w:t>
            </w:r>
            <w:r>
              <w:rPr>
                <w:sz w:val="12"/>
                <w:szCs w:val="12"/>
                <w:spacing w:val="2"/>
              </w:rPr>
              <w:t xml:space="preserve">  </w:t>
            </w:r>
            <w:r>
              <w:rPr>
                <w:sz w:val="12"/>
                <w:szCs w:val="12"/>
                <w:spacing w:val="-1"/>
              </w:rPr>
              <w:t>病，锈病、叶枯</w:t>
            </w:r>
          </w:p>
          <w:p>
            <w:pPr>
              <w:pStyle w:val="TableText"/>
              <w:ind w:left="71"/>
              <w:spacing w:line="219" w:lineRule="auto"/>
              <w:rPr>
                <w:sz w:val="12"/>
                <w:szCs w:val="12"/>
              </w:rPr>
            </w:pPr>
            <w:r>
              <w:rPr>
                <w:sz w:val="12"/>
                <w:szCs w:val="12"/>
                <w:spacing w:val="-1"/>
              </w:rPr>
              <w:t>病，叶斑病、流</w:t>
            </w:r>
          </w:p>
          <w:p>
            <w:pPr>
              <w:pStyle w:val="TableText"/>
              <w:ind w:left="311"/>
              <w:spacing w:before="7" w:line="219" w:lineRule="auto"/>
              <w:rPr>
                <w:sz w:val="12"/>
                <w:szCs w:val="12"/>
              </w:rPr>
            </w:pPr>
            <w:r>
              <w:rPr>
                <w:sz w:val="12"/>
                <w:szCs w:val="12"/>
                <w:spacing w:val="-1"/>
              </w:rPr>
              <w:t>胶病等</w:t>
            </w:r>
          </w:p>
        </w:tc>
        <w:tc>
          <w:tcPr>
            <w:tcW w:w="2708" w:type="dxa"/>
            <w:vAlign w:val="top"/>
            <w:vMerge w:val="restart"/>
            <w:tcBorders>
              <w:bottom w:val="nil"/>
              <w:top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2"/>
              <w:spacing w:before="39" w:line="219" w:lineRule="auto"/>
              <w:rPr>
                <w:sz w:val="12"/>
                <w:szCs w:val="12"/>
              </w:rPr>
            </w:pPr>
            <w:r>
              <w:rPr>
                <w:sz w:val="12"/>
                <w:szCs w:val="12"/>
                <w:spacing w:val="4"/>
              </w:rPr>
              <w:t>一。5月全园区预防消杀为主；</w:t>
            </w:r>
          </w:p>
          <w:p>
            <w:pPr>
              <w:pStyle w:val="TableText"/>
              <w:spacing w:before="17" w:line="219" w:lineRule="auto"/>
              <w:jc w:val="right"/>
              <w:rPr>
                <w:sz w:val="12"/>
                <w:szCs w:val="12"/>
              </w:rPr>
            </w:pPr>
            <w:r>
              <w:rPr>
                <w:sz w:val="12"/>
                <w:szCs w:val="12"/>
                <w:spacing w:val="-1"/>
              </w:rPr>
              <w:t>二，7-9月为高发期。有发现病情，及时喷药处理，</w:t>
            </w:r>
          </w:p>
        </w:tc>
        <w:tc>
          <w:tcPr>
            <w:tcW w:w="1289" w:type="dxa"/>
            <w:vAlign w:val="top"/>
            <w:tcBorders>
              <w:bottom w:val="single" w:color="000000" w:sz="2" w:space="0"/>
              <w:top w:val="single" w:color="000000" w:sz="2" w:space="0"/>
            </w:tcBorders>
          </w:tcPr>
          <w:p>
            <w:pPr>
              <w:pStyle w:val="TableText"/>
              <w:ind w:left="334"/>
              <w:spacing w:before="141" w:line="219" w:lineRule="auto"/>
              <w:rPr>
                <w:sz w:val="12"/>
                <w:szCs w:val="12"/>
              </w:rPr>
            </w:pPr>
            <w:r>
              <w:rPr>
                <w:sz w:val="12"/>
                <w:szCs w:val="12"/>
                <w:spacing w:val="1"/>
              </w:rPr>
              <w:t>国光三唑酮</w:t>
            </w:r>
          </w:p>
        </w:tc>
        <w:tc>
          <w:tcPr>
            <w:tcW w:w="1939" w:type="dxa"/>
            <w:vAlign w:val="top"/>
            <w:tcBorders>
              <w:bottom w:val="single" w:color="000000" w:sz="2" w:space="0"/>
              <w:top w:val="single" w:color="000000" w:sz="2" w:space="0"/>
            </w:tcBorders>
          </w:tcPr>
          <w:p>
            <w:pPr>
              <w:pStyle w:val="TableText"/>
              <w:ind w:left="695"/>
              <w:spacing w:before="142" w:line="221" w:lineRule="auto"/>
              <w:rPr>
                <w:sz w:val="12"/>
                <w:szCs w:val="12"/>
              </w:rPr>
            </w:pPr>
            <w:r>
              <w:rPr>
                <w:sz w:val="12"/>
                <w:szCs w:val="12"/>
                <w:spacing w:val="-1"/>
              </w:rPr>
              <w:t>20%三唑酮</w:t>
            </w:r>
          </w:p>
        </w:tc>
        <w:tc>
          <w:tcPr>
            <w:tcW w:w="1639" w:type="dxa"/>
            <w:vAlign w:val="top"/>
            <w:tcBorders>
              <w:bottom w:val="single" w:color="000000" w:sz="2" w:space="0"/>
              <w:top w:val="single" w:color="000000" w:sz="2" w:space="0"/>
            </w:tcBorders>
          </w:tcPr>
          <w:p>
            <w:pPr>
              <w:pStyle w:val="TableText"/>
              <w:ind w:left="366"/>
              <w:spacing w:before="141" w:line="219" w:lineRule="auto"/>
              <w:rPr>
                <w:sz w:val="12"/>
                <w:szCs w:val="12"/>
              </w:rPr>
            </w:pPr>
            <w:r>
              <w:rPr>
                <w:sz w:val="12"/>
                <w:szCs w:val="12"/>
                <w:spacing w:val="-1"/>
              </w:rPr>
              <w:t>稀释1500-2000倍</w:t>
            </w:r>
          </w:p>
        </w:tc>
        <w:tc>
          <w:tcPr>
            <w:tcW w:w="1069" w:type="dxa"/>
            <w:vAlign w:val="top"/>
            <w:vMerge w:val="restart"/>
            <w:tcBorders>
              <w:bottom w:val="nil"/>
              <w:top w:val="single" w:color="000000" w:sz="2" w:space="0"/>
            </w:tcBorders>
          </w:tcPr>
          <w:p>
            <w:pPr>
              <w:spacing w:line="429" w:lineRule="auto"/>
              <w:rPr>
                <w:rFonts w:ascii="Arial"/>
                <w:sz w:val="21"/>
              </w:rPr>
            </w:pPr>
            <w:r/>
          </w:p>
          <w:p>
            <w:pPr>
              <w:pStyle w:val="TableText"/>
              <w:ind w:left="276" w:right="28" w:hanging="259"/>
              <w:spacing w:before="39" w:line="210" w:lineRule="auto"/>
              <w:rPr>
                <w:sz w:val="12"/>
                <w:szCs w:val="12"/>
              </w:rPr>
            </w:pPr>
            <w:r>
              <w:rPr>
                <w:sz w:val="12"/>
                <w:szCs w:val="12"/>
                <w:spacing w:val="-1"/>
              </w:rPr>
              <w:t>一般用2次，时间间</w:t>
            </w:r>
            <w:r>
              <w:rPr>
                <w:sz w:val="12"/>
                <w:szCs w:val="12"/>
                <w:spacing w:val="1"/>
              </w:rPr>
              <w:t xml:space="preserve"> </w:t>
            </w:r>
            <w:r>
              <w:rPr>
                <w:sz w:val="12"/>
                <w:szCs w:val="12"/>
                <w:spacing w:val="-2"/>
              </w:rPr>
              <w:t>隔7到10天</w:t>
            </w:r>
          </w:p>
        </w:tc>
        <w:tc>
          <w:tcPr>
            <w:tcW w:w="699" w:type="dxa"/>
            <w:vAlign w:val="top"/>
            <w:tcBorders>
              <w:bottom w:val="single" w:color="000000" w:sz="2" w:space="0"/>
              <w:top w:val="single" w:color="000000" w:sz="2" w:space="0"/>
            </w:tcBorders>
          </w:tcPr>
          <w:p>
            <w:pPr>
              <w:pStyle w:val="TableText"/>
              <w:ind w:left="107"/>
              <w:spacing w:before="142" w:line="221" w:lineRule="auto"/>
              <w:rPr>
                <w:sz w:val="12"/>
                <w:szCs w:val="12"/>
              </w:rPr>
            </w:pPr>
            <w:r>
              <w:rPr>
                <w:sz w:val="12"/>
                <w:szCs w:val="12"/>
                <w:spacing w:val="-1"/>
              </w:rPr>
              <w:t>200ml/瓶</w:t>
            </w:r>
          </w:p>
        </w:tc>
        <w:tc>
          <w:tcPr>
            <w:tcW w:w="2776" w:type="dxa"/>
            <w:vAlign w:val="top"/>
            <w:tcBorders>
              <w:bottom w:val="single" w:color="000000" w:sz="2" w:space="0"/>
              <w:top w:val="single" w:color="000000" w:sz="2" w:space="0"/>
            </w:tcBorders>
          </w:tcPr>
          <w:p>
            <w:pPr>
              <w:pStyle w:val="TableText"/>
              <w:ind w:left="9"/>
              <w:spacing w:before="141" w:line="219" w:lineRule="auto"/>
              <w:rPr>
                <w:sz w:val="12"/>
                <w:szCs w:val="12"/>
              </w:rPr>
            </w:pPr>
            <w:r>
              <w:rPr>
                <w:sz w:val="12"/>
                <w:szCs w:val="12"/>
                <w:spacing w:val="-2"/>
              </w:rPr>
              <w:t>防治白粉病、锈病等</w:t>
            </w:r>
          </w:p>
        </w:tc>
      </w:tr>
      <w:tr>
        <w:trPr>
          <w:trHeight w:val="39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4"/>
              <w:spacing w:before="141" w:line="219" w:lineRule="auto"/>
              <w:rPr>
                <w:sz w:val="12"/>
                <w:szCs w:val="12"/>
              </w:rPr>
            </w:pPr>
            <w:r>
              <w:rPr>
                <w:sz w:val="12"/>
                <w:szCs w:val="12"/>
                <w:spacing w:val="-1"/>
              </w:rPr>
              <w:t>诺营信双通</w:t>
            </w:r>
          </w:p>
        </w:tc>
        <w:tc>
          <w:tcPr>
            <w:tcW w:w="1939" w:type="dxa"/>
            <w:vAlign w:val="top"/>
            <w:tcBorders>
              <w:bottom w:val="single" w:color="000000" w:sz="2" w:space="0"/>
              <w:top w:val="single" w:color="000000" w:sz="2" w:space="0"/>
            </w:tcBorders>
          </w:tcPr>
          <w:p>
            <w:pPr>
              <w:pStyle w:val="TableText"/>
              <w:ind w:left="515"/>
              <w:spacing w:before="142" w:line="221" w:lineRule="auto"/>
              <w:rPr>
                <w:sz w:val="12"/>
                <w:szCs w:val="12"/>
              </w:rPr>
            </w:pPr>
            <w:r>
              <w:rPr>
                <w:sz w:val="12"/>
                <w:szCs w:val="12"/>
                <w:spacing w:val="-9"/>
              </w:rPr>
              <w:t>硫磕</w:t>
            </w:r>
            <w:r>
              <w:rPr>
                <w:sz w:val="12"/>
                <w:szCs w:val="12"/>
                <w:spacing w:val="11"/>
              </w:rPr>
              <w:t xml:space="preserve"> </w:t>
            </w:r>
            <w:r>
              <w:rPr>
                <w:sz w:val="12"/>
                <w:szCs w:val="12"/>
                <w:spacing w:val="-9"/>
              </w:rPr>
              <w:t>·</w:t>
            </w:r>
            <w:r>
              <w:rPr>
                <w:sz w:val="12"/>
                <w:szCs w:val="12"/>
                <w:color w:val="403040"/>
                <w:spacing w:val="-9"/>
              </w:rPr>
              <w:t>三</w:t>
            </w:r>
            <w:r>
              <w:rPr>
                <w:sz w:val="12"/>
                <w:szCs w:val="12"/>
                <w:spacing w:val="-9"/>
              </w:rPr>
              <w:t>唑酮45%</w:t>
            </w:r>
          </w:p>
        </w:tc>
        <w:tc>
          <w:tcPr>
            <w:tcW w:w="1639" w:type="dxa"/>
            <w:vAlign w:val="top"/>
            <w:tcBorders>
              <w:bottom w:val="single" w:color="000000" w:sz="2" w:space="0"/>
              <w:top w:val="single" w:color="000000" w:sz="2" w:space="0"/>
            </w:tcBorders>
          </w:tcPr>
          <w:p>
            <w:pPr>
              <w:pStyle w:val="TableText"/>
              <w:ind w:left="515"/>
              <w:spacing w:before="142" w:line="220" w:lineRule="auto"/>
              <w:rPr>
                <w:sz w:val="12"/>
                <w:szCs w:val="12"/>
              </w:rPr>
            </w:pPr>
            <w:r>
              <w:rPr>
                <w:sz w:val="12"/>
                <w:szCs w:val="12"/>
                <w:spacing w:val="-6"/>
              </w:rPr>
              <w:t>800—1000倍</w:t>
            </w:r>
          </w:p>
        </w:tc>
        <w:tc>
          <w:tcPr>
            <w:tcW w:w="106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07"/>
              <w:spacing w:before="142" w:line="221" w:lineRule="auto"/>
              <w:rPr>
                <w:sz w:val="12"/>
                <w:szCs w:val="12"/>
              </w:rPr>
            </w:pPr>
            <w:r>
              <w:rPr>
                <w:sz w:val="12"/>
                <w:szCs w:val="12"/>
                <w:spacing w:val="-1"/>
              </w:rPr>
              <w:t>400ml/瓶</w:t>
            </w:r>
          </w:p>
        </w:tc>
        <w:tc>
          <w:tcPr>
            <w:tcW w:w="2776" w:type="dxa"/>
            <w:vAlign w:val="top"/>
            <w:tcBorders>
              <w:bottom w:val="single" w:color="000000" w:sz="2" w:space="0"/>
              <w:top w:val="single" w:color="000000" w:sz="2" w:space="0"/>
            </w:tcBorders>
          </w:tcPr>
          <w:p>
            <w:pPr>
              <w:pStyle w:val="TableText"/>
              <w:ind w:left="9"/>
              <w:spacing w:before="141" w:line="219" w:lineRule="auto"/>
              <w:rPr>
                <w:sz w:val="12"/>
                <w:szCs w:val="12"/>
              </w:rPr>
            </w:pPr>
            <w:r>
              <w:rPr>
                <w:sz w:val="12"/>
                <w:szCs w:val="12"/>
                <w:spacing w:val="-1"/>
              </w:rPr>
              <w:t>针对白粉病、锈病防效好，有内吸作用</w:t>
            </w:r>
          </w:p>
        </w:tc>
      </w:tr>
      <w:tr>
        <w:trPr>
          <w:trHeight w:val="355"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4"/>
              <w:spacing w:before="122" w:line="220" w:lineRule="auto"/>
              <w:rPr>
                <w:sz w:val="12"/>
                <w:szCs w:val="12"/>
              </w:rPr>
            </w:pPr>
            <w:r>
              <w:rPr>
                <w:sz w:val="12"/>
                <w:szCs w:val="12"/>
                <w:spacing w:val="1"/>
              </w:rPr>
              <w:t>中威乐翻天</w:t>
            </w:r>
          </w:p>
        </w:tc>
        <w:tc>
          <w:tcPr>
            <w:tcW w:w="1939" w:type="dxa"/>
            <w:vAlign w:val="top"/>
            <w:tcBorders>
              <w:bottom w:val="single" w:color="000000" w:sz="2" w:space="0"/>
              <w:top w:val="single" w:color="000000" w:sz="2" w:space="0"/>
            </w:tcBorders>
          </w:tcPr>
          <w:p>
            <w:pPr>
              <w:pStyle w:val="TableText"/>
              <w:ind w:left="695"/>
              <w:spacing w:before="122" w:line="220" w:lineRule="auto"/>
              <w:rPr>
                <w:sz w:val="12"/>
                <w:szCs w:val="12"/>
              </w:rPr>
            </w:pPr>
            <w:r>
              <w:rPr>
                <w:sz w:val="12"/>
                <w:szCs w:val="12"/>
                <w:spacing w:val="-1"/>
              </w:rPr>
              <w:t>戊唑醇20%</w:t>
            </w:r>
          </w:p>
        </w:tc>
        <w:tc>
          <w:tcPr>
            <w:tcW w:w="1639" w:type="dxa"/>
            <w:vAlign w:val="top"/>
            <w:tcBorders>
              <w:bottom w:val="single" w:color="000000" w:sz="2" w:space="0"/>
              <w:top w:val="single" w:color="000000" w:sz="2" w:space="0"/>
            </w:tcBorders>
          </w:tcPr>
          <w:p>
            <w:pPr>
              <w:pStyle w:val="TableText"/>
              <w:ind w:left="426"/>
              <w:spacing w:before="122" w:line="220" w:lineRule="auto"/>
              <w:rPr>
                <w:sz w:val="12"/>
                <w:szCs w:val="12"/>
              </w:rPr>
            </w:pPr>
            <w:r>
              <w:rPr>
                <w:sz w:val="12"/>
                <w:szCs w:val="12"/>
                <w:spacing w:val="-2"/>
              </w:rPr>
              <w:t>1000-1500倍液</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07"/>
              <w:spacing w:before="118" w:line="213" w:lineRule="auto"/>
              <w:rPr>
                <w:sz w:val="12"/>
                <w:szCs w:val="12"/>
              </w:rPr>
            </w:pPr>
            <w:r>
              <w:rPr>
                <w:sz w:val="12"/>
                <w:szCs w:val="12"/>
                <w:spacing w:val="3"/>
              </w:rPr>
              <w:t>(20g/装)</w:t>
            </w:r>
          </w:p>
        </w:tc>
        <w:tc>
          <w:tcPr>
            <w:tcW w:w="2776" w:type="dxa"/>
            <w:vAlign w:val="top"/>
            <w:tcBorders>
              <w:bottom w:val="single" w:color="000000" w:sz="2" w:space="0"/>
              <w:top w:val="single" w:color="000000" w:sz="2" w:space="0"/>
            </w:tcBorders>
          </w:tcPr>
          <w:p>
            <w:pPr>
              <w:pStyle w:val="TableText"/>
              <w:ind w:left="9"/>
              <w:spacing w:before="122" w:line="219" w:lineRule="auto"/>
              <w:rPr>
                <w:sz w:val="12"/>
                <w:szCs w:val="12"/>
              </w:rPr>
            </w:pPr>
            <w:r>
              <w:rPr>
                <w:sz w:val="12"/>
                <w:szCs w:val="12"/>
              </w:rPr>
              <w:t>防治草坪白粉病、锈病</w:t>
            </w:r>
          </w:p>
        </w:tc>
      </w:tr>
      <w:tr>
        <w:trPr>
          <w:trHeight w:val="39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4"/>
              <w:spacing w:before="142" w:line="219" w:lineRule="auto"/>
              <w:rPr>
                <w:sz w:val="12"/>
                <w:szCs w:val="12"/>
              </w:rPr>
            </w:pPr>
            <w:r>
              <w:rPr>
                <w:sz w:val="12"/>
                <w:szCs w:val="12"/>
                <w:spacing w:val="3"/>
              </w:rPr>
              <w:t>特克多(噻菌灵)</w:t>
            </w:r>
          </w:p>
        </w:tc>
        <w:tc>
          <w:tcPr>
            <w:tcW w:w="1939" w:type="dxa"/>
            <w:vAlign w:val="top"/>
            <w:tcBorders>
              <w:bottom w:val="single" w:color="000000" w:sz="2" w:space="0"/>
              <w:top w:val="single" w:color="000000" w:sz="2" w:space="0"/>
            </w:tcBorders>
          </w:tcPr>
          <w:p>
            <w:pPr>
              <w:pStyle w:val="TableText"/>
              <w:ind w:left="725"/>
              <w:spacing w:before="141" w:line="218" w:lineRule="auto"/>
              <w:rPr>
                <w:sz w:val="12"/>
                <w:szCs w:val="12"/>
              </w:rPr>
            </w:pPr>
            <w:r>
              <w:rPr>
                <w:sz w:val="12"/>
                <w:szCs w:val="12"/>
                <w:spacing w:val="-2"/>
              </w:rPr>
              <w:t>苯咪唑类</w:t>
            </w:r>
          </w:p>
        </w:tc>
        <w:tc>
          <w:tcPr>
            <w:tcW w:w="1639" w:type="dxa"/>
            <w:vAlign w:val="top"/>
            <w:tcBorders>
              <w:bottom w:val="single" w:color="000000" w:sz="2" w:space="0"/>
              <w:top w:val="single" w:color="000000" w:sz="2" w:space="0"/>
            </w:tcBorders>
          </w:tcPr>
          <w:p>
            <w:pPr>
              <w:pStyle w:val="TableText"/>
              <w:ind w:left="276"/>
              <w:spacing w:before="141" w:line="218" w:lineRule="auto"/>
              <w:rPr>
                <w:sz w:val="12"/>
                <w:szCs w:val="12"/>
              </w:rPr>
            </w:pPr>
            <w:r>
              <w:rPr>
                <w:sz w:val="12"/>
                <w:szCs w:val="12"/>
                <w:spacing w:val="-1"/>
              </w:rPr>
              <w:t>45%悬浮剂600-800倍</w:t>
            </w:r>
          </w:p>
        </w:tc>
        <w:tc>
          <w:tcPr>
            <w:tcW w:w="1069" w:type="dxa"/>
            <w:vAlign w:val="top"/>
            <w:vMerge w:val="restart"/>
            <w:tcBorders>
              <w:bottom w:val="nil"/>
              <w:top w:val="single" w:color="000000" w:sz="2" w:space="0"/>
            </w:tcBorders>
          </w:tcPr>
          <w:p>
            <w:pPr>
              <w:spacing w:line="360" w:lineRule="auto"/>
              <w:rPr>
                <w:rFonts w:ascii="Arial"/>
                <w:sz w:val="21"/>
              </w:rPr>
            </w:pPr>
            <w:r/>
          </w:p>
          <w:p>
            <w:pPr>
              <w:pStyle w:val="TableText"/>
              <w:ind w:left="77"/>
              <w:spacing w:before="39" w:line="219" w:lineRule="auto"/>
              <w:rPr>
                <w:sz w:val="12"/>
                <w:szCs w:val="12"/>
              </w:rPr>
            </w:pPr>
            <w:r>
              <w:rPr>
                <w:sz w:val="12"/>
                <w:szCs w:val="12"/>
              </w:rPr>
              <w:t>间隔10-15天1次，</w:t>
            </w:r>
          </w:p>
          <w:p>
            <w:pPr>
              <w:pStyle w:val="TableText"/>
              <w:ind w:left="257"/>
              <w:spacing w:before="17" w:line="219" w:lineRule="auto"/>
              <w:rPr>
                <w:sz w:val="12"/>
                <w:szCs w:val="12"/>
              </w:rPr>
            </w:pPr>
            <w:r>
              <w:rPr>
                <w:sz w:val="12"/>
                <w:szCs w:val="12"/>
                <w:spacing w:val="-1"/>
              </w:rPr>
              <w:t>连喷2-3次</w:t>
            </w:r>
          </w:p>
        </w:tc>
        <w:tc>
          <w:tcPr>
            <w:tcW w:w="699" w:type="dxa"/>
            <w:vAlign w:val="top"/>
            <w:tcBorders>
              <w:bottom w:val="single" w:color="000000" w:sz="2" w:space="0"/>
              <w:top w:val="single" w:color="000000" w:sz="2" w:space="0"/>
            </w:tcBorders>
          </w:tcPr>
          <w:p>
            <w:pPr>
              <w:pStyle w:val="TableText"/>
              <w:ind w:left="107"/>
              <w:spacing w:before="142" w:line="221" w:lineRule="auto"/>
              <w:rPr>
                <w:sz w:val="12"/>
                <w:szCs w:val="12"/>
              </w:rPr>
            </w:pPr>
            <w:r>
              <w:rPr>
                <w:sz w:val="12"/>
                <w:szCs w:val="12"/>
                <w:spacing w:val="-2"/>
              </w:rPr>
              <w:t>100ml/瓶</w:t>
            </w:r>
          </w:p>
        </w:tc>
        <w:tc>
          <w:tcPr>
            <w:tcW w:w="2776" w:type="dxa"/>
            <w:vAlign w:val="top"/>
            <w:tcBorders>
              <w:bottom w:val="single" w:color="000000" w:sz="2" w:space="0"/>
              <w:top w:val="single" w:color="000000" w:sz="2" w:space="0"/>
            </w:tcBorders>
          </w:tcPr>
          <w:p>
            <w:pPr>
              <w:pStyle w:val="TableText"/>
              <w:ind w:left="9" w:firstLine="9"/>
              <w:spacing w:before="81" w:line="233" w:lineRule="auto"/>
              <w:rPr>
                <w:sz w:val="12"/>
                <w:szCs w:val="12"/>
              </w:rPr>
            </w:pPr>
            <w:r>
              <w:rPr>
                <w:sz w:val="12"/>
                <w:szCs w:val="12"/>
                <w:spacing w:val="-1"/>
              </w:rPr>
              <w:t>防治叶斑病、青霉病、炭疽病，灰霉病、黑星病，白</w:t>
            </w:r>
            <w:r>
              <w:rPr>
                <w:sz w:val="12"/>
                <w:szCs w:val="12"/>
                <w:spacing w:val="8"/>
              </w:rPr>
              <w:t xml:space="preserve"> </w:t>
            </w:r>
            <w:r>
              <w:rPr>
                <w:sz w:val="12"/>
                <w:szCs w:val="12"/>
                <w:spacing w:val="-1"/>
              </w:rPr>
              <w:t>粉病等防治</w:t>
            </w:r>
          </w:p>
        </w:tc>
      </w:tr>
      <w:tr>
        <w:trPr>
          <w:trHeight w:val="64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4"/>
              <w:spacing w:before="262" w:line="219" w:lineRule="auto"/>
              <w:rPr>
                <w:sz w:val="12"/>
                <w:szCs w:val="12"/>
              </w:rPr>
            </w:pPr>
            <w:r>
              <w:rPr>
                <w:sz w:val="12"/>
                <w:szCs w:val="12"/>
                <w:spacing w:val="2"/>
              </w:rPr>
              <w:t>好靓(丙硫多菌灵)</w:t>
            </w:r>
          </w:p>
        </w:tc>
        <w:tc>
          <w:tcPr>
            <w:tcW w:w="1939" w:type="dxa"/>
            <w:vAlign w:val="top"/>
            <w:tcBorders>
              <w:bottom w:val="single" w:color="000000" w:sz="2" w:space="0"/>
              <w:top w:val="single" w:color="000000" w:sz="2" w:space="0"/>
            </w:tcBorders>
          </w:tcPr>
          <w:p>
            <w:pPr>
              <w:pStyle w:val="TableText"/>
              <w:ind w:left="725"/>
              <w:spacing w:before="262" w:line="220" w:lineRule="auto"/>
              <w:rPr>
                <w:sz w:val="12"/>
                <w:szCs w:val="12"/>
              </w:rPr>
            </w:pPr>
            <w:r>
              <w:rPr>
                <w:sz w:val="12"/>
                <w:szCs w:val="12"/>
                <w:spacing w:val="-2"/>
              </w:rPr>
              <w:t>丙硫味唑</w:t>
            </w:r>
          </w:p>
        </w:tc>
        <w:tc>
          <w:tcPr>
            <w:tcW w:w="1639" w:type="dxa"/>
            <w:vAlign w:val="top"/>
            <w:tcBorders>
              <w:bottom w:val="single" w:color="000000" w:sz="2" w:space="0"/>
              <w:top w:val="single" w:color="000000" w:sz="2" w:space="0"/>
            </w:tcBorders>
          </w:tcPr>
          <w:p>
            <w:pPr>
              <w:pStyle w:val="TableText"/>
              <w:ind w:left="276"/>
              <w:spacing w:before="262" w:line="219" w:lineRule="auto"/>
              <w:rPr>
                <w:sz w:val="12"/>
                <w:szCs w:val="12"/>
              </w:rPr>
            </w:pPr>
            <w:r>
              <w:rPr>
                <w:sz w:val="12"/>
                <w:szCs w:val="12"/>
                <w:spacing w:val="-1"/>
              </w:rPr>
              <w:t>20%好哉2000-3000倍</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67"/>
              <w:spacing w:before="258" w:line="213" w:lineRule="auto"/>
              <w:rPr>
                <w:sz w:val="12"/>
                <w:szCs w:val="12"/>
              </w:rPr>
            </w:pPr>
            <w:r>
              <w:rPr>
                <w:sz w:val="12"/>
                <w:szCs w:val="12"/>
                <w:spacing w:val="-1"/>
              </w:rPr>
              <w:t>50g/袋</w:t>
            </w:r>
          </w:p>
        </w:tc>
        <w:tc>
          <w:tcPr>
            <w:tcW w:w="2776" w:type="dxa"/>
            <w:vAlign w:val="top"/>
            <w:tcBorders>
              <w:bottom w:val="single" w:color="000000" w:sz="2" w:space="0"/>
              <w:top w:val="single" w:color="000000" w:sz="2" w:space="0"/>
            </w:tcBorders>
          </w:tcPr>
          <w:p>
            <w:pPr>
              <w:pStyle w:val="TableText"/>
              <w:ind w:left="19"/>
              <w:spacing w:before="123" w:line="224" w:lineRule="auto"/>
              <w:jc w:val="both"/>
              <w:rPr>
                <w:sz w:val="12"/>
                <w:szCs w:val="12"/>
              </w:rPr>
            </w:pPr>
            <w:r>
              <w:rPr>
                <w:sz w:val="12"/>
                <w:szCs w:val="12"/>
                <w:spacing w:val="-2"/>
              </w:rPr>
              <w:t>广谱内吸性杀菌剂。可用于防治枯萎病、疫病、腐霉</w:t>
            </w:r>
            <w:r>
              <w:rPr>
                <w:sz w:val="12"/>
                <w:szCs w:val="12"/>
                <w:spacing w:val="7"/>
              </w:rPr>
              <w:t xml:space="preserve"> </w:t>
            </w:r>
            <w:r>
              <w:rPr>
                <w:sz w:val="12"/>
                <w:szCs w:val="12"/>
                <w:spacing w:val="-1"/>
              </w:rPr>
              <w:t>病、立枯病、根腐病、茎腐病、猝倒病等多种病害。</w:t>
            </w:r>
            <w:r>
              <w:rPr>
                <w:sz w:val="12"/>
                <w:szCs w:val="12"/>
                <w:spacing w:val="8"/>
              </w:rPr>
              <w:t xml:space="preserve"> </w:t>
            </w:r>
            <w:r>
              <w:rPr>
                <w:sz w:val="12"/>
                <w:szCs w:val="12"/>
                <w:spacing w:val="-1"/>
              </w:rPr>
              <w:t>使用方法：灌根，喷雾</w:t>
            </w:r>
          </w:p>
        </w:tc>
      </w:tr>
      <w:tr>
        <w:trPr>
          <w:trHeight w:val="61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4"/>
              <w:spacing w:before="252" w:line="219" w:lineRule="auto"/>
              <w:rPr>
                <w:sz w:val="12"/>
                <w:szCs w:val="12"/>
              </w:rPr>
            </w:pPr>
            <w:r>
              <w:rPr>
                <w:sz w:val="12"/>
                <w:szCs w:val="12"/>
                <w:spacing w:val="-1"/>
              </w:rPr>
              <w:t>普力克</w:t>
            </w:r>
          </w:p>
        </w:tc>
        <w:tc>
          <w:tcPr>
            <w:tcW w:w="1939" w:type="dxa"/>
            <w:vAlign w:val="top"/>
            <w:tcBorders>
              <w:bottom w:val="single" w:color="000000" w:sz="2" w:space="0"/>
              <w:top w:val="single" w:color="000000" w:sz="2" w:space="0"/>
            </w:tcBorders>
          </w:tcPr>
          <w:p>
            <w:pPr>
              <w:pStyle w:val="TableText"/>
              <w:ind w:left="635"/>
              <w:spacing w:before="252" w:line="220" w:lineRule="auto"/>
              <w:rPr>
                <w:sz w:val="12"/>
                <w:szCs w:val="12"/>
              </w:rPr>
            </w:pPr>
            <w:r>
              <w:rPr>
                <w:sz w:val="12"/>
                <w:szCs w:val="12"/>
                <w:spacing w:val="-1"/>
              </w:rPr>
              <w:t>72.2%丙酰胺</w:t>
            </w:r>
          </w:p>
        </w:tc>
        <w:tc>
          <w:tcPr>
            <w:tcW w:w="1639" w:type="dxa"/>
            <w:vAlign w:val="top"/>
            <w:tcBorders>
              <w:bottom w:val="single" w:color="000000" w:sz="2" w:space="0"/>
              <w:top w:val="single" w:color="000000" w:sz="2" w:space="0"/>
            </w:tcBorders>
          </w:tcPr>
          <w:p>
            <w:pPr>
              <w:pStyle w:val="TableText"/>
              <w:ind w:left="456"/>
              <w:spacing w:before="252" w:line="220" w:lineRule="auto"/>
              <w:rPr>
                <w:sz w:val="12"/>
                <w:szCs w:val="12"/>
              </w:rPr>
            </w:pPr>
            <w:r>
              <w:rPr>
                <w:sz w:val="12"/>
                <w:szCs w:val="12"/>
                <w:spacing w:val="-1"/>
              </w:rPr>
              <w:t>800-1000倍液</w:t>
            </w:r>
          </w:p>
        </w:tc>
        <w:tc>
          <w:tcPr>
            <w:tcW w:w="1069" w:type="dxa"/>
            <w:vAlign w:val="top"/>
            <w:tcBorders>
              <w:bottom w:val="single" w:color="000000" w:sz="2" w:space="0"/>
              <w:top w:val="single" w:color="000000" w:sz="2" w:space="0"/>
            </w:tcBorders>
          </w:tcPr>
          <w:p>
            <w:pPr>
              <w:pStyle w:val="TableText"/>
              <w:ind w:left="17" w:right="21" w:firstLine="29"/>
              <w:spacing w:before="32" w:line="223" w:lineRule="auto"/>
              <w:rPr>
                <w:sz w:val="12"/>
                <w:szCs w:val="12"/>
              </w:rPr>
            </w:pPr>
            <w:r>
              <w:rPr>
                <w:sz w:val="12"/>
                <w:szCs w:val="12"/>
                <w:spacing w:val="-2"/>
              </w:rPr>
              <w:t>10天一次。连续喷</w:t>
            </w:r>
            <w:r>
              <w:rPr>
                <w:sz w:val="12"/>
                <w:szCs w:val="12"/>
                <w:spacing w:val="1"/>
              </w:rPr>
              <w:t xml:space="preserve">  </w:t>
            </w:r>
            <w:r>
              <w:rPr>
                <w:sz w:val="12"/>
                <w:szCs w:val="12"/>
                <w:spacing w:val="-1"/>
              </w:rPr>
              <w:t>酒病部地面2-3次，</w:t>
            </w:r>
          </w:p>
          <w:p>
            <w:pPr>
              <w:pStyle w:val="TableText"/>
              <w:ind w:left="346" w:right="21" w:hanging="329"/>
              <w:spacing w:line="210" w:lineRule="auto"/>
              <w:rPr>
                <w:sz w:val="12"/>
                <w:szCs w:val="12"/>
              </w:rPr>
            </w:pPr>
            <w:r>
              <w:rPr>
                <w:sz w:val="12"/>
                <w:szCs w:val="12"/>
              </w:rPr>
              <w:t>喷药1小时内遇雨， </w:t>
            </w:r>
            <w:r>
              <w:rPr>
                <w:sz w:val="12"/>
                <w:szCs w:val="12"/>
                <w:spacing w:val="-3"/>
              </w:rPr>
              <w:t>需重喷</w:t>
            </w:r>
          </w:p>
        </w:tc>
        <w:tc>
          <w:tcPr>
            <w:tcW w:w="699" w:type="dxa"/>
            <w:vAlign w:val="top"/>
            <w:tcBorders>
              <w:bottom w:val="single" w:color="000000" w:sz="2" w:space="0"/>
              <w:top w:val="single" w:color="000000" w:sz="2" w:space="0"/>
            </w:tcBorders>
          </w:tcPr>
          <w:p>
            <w:pPr>
              <w:pStyle w:val="TableText"/>
              <w:ind w:left="107"/>
              <w:spacing w:before="253" w:line="221" w:lineRule="auto"/>
              <w:rPr>
                <w:sz w:val="12"/>
                <w:szCs w:val="12"/>
              </w:rPr>
            </w:pPr>
            <w:r>
              <w:rPr>
                <w:sz w:val="12"/>
                <w:szCs w:val="12"/>
                <w:spacing w:val="-2"/>
              </w:rPr>
              <w:t>100ml/瓶</w:t>
            </w:r>
          </w:p>
        </w:tc>
        <w:tc>
          <w:tcPr>
            <w:tcW w:w="2776" w:type="dxa"/>
            <w:vAlign w:val="top"/>
            <w:tcBorders>
              <w:bottom w:val="single" w:color="000000" w:sz="2" w:space="0"/>
              <w:top w:val="single" w:color="000000" w:sz="2" w:space="0"/>
            </w:tcBorders>
          </w:tcPr>
          <w:p>
            <w:pPr>
              <w:pStyle w:val="TableText"/>
              <w:ind w:left="9"/>
              <w:spacing w:before="252" w:line="219" w:lineRule="auto"/>
              <w:rPr>
                <w:sz w:val="12"/>
                <w:szCs w:val="12"/>
              </w:rPr>
            </w:pPr>
            <w:r>
              <w:rPr>
                <w:sz w:val="12"/>
                <w:szCs w:val="12"/>
                <w:spacing w:val="-1"/>
              </w:rPr>
              <w:t>对根腐病、霜霉病、立枯病、猝倒病有特效</w:t>
            </w:r>
          </w:p>
        </w:tc>
      </w:tr>
      <w:tr>
        <w:trPr>
          <w:trHeight w:val="285"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4"/>
              <w:spacing w:before="103" w:line="219" w:lineRule="auto"/>
              <w:rPr>
                <w:sz w:val="12"/>
                <w:szCs w:val="12"/>
              </w:rPr>
            </w:pPr>
            <w:r>
              <w:rPr>
                <w:sz w:val="12"/>
                <w:szCs w:val="12"/>
                <w:spacing w:val="-1"/>
              </w:rPr>
              <w:t>链霉素</w:t>
            </w:r>
          </w:p>
        </w:tc>
        <w:tc>
          <w:tcPr>
            <w:tcW w:w="1939" w:type="dxa"/>
            <w:vAlign w:val="top"/>
            <w:tcBorders>
              <w:bottom w:val="single" w:color="000000" w:sz="2" w:space="0"/>
              <w:top w:val="single" w:color="000000" w:sz="2" w:space="0"/>
            </w:tcBorders>
          </w:tcPr>
          <w:p>
            <w:pPr>
              <w:pStyle w:val="TableText"/>
              <w:ind w:left="695"/>
              <w:spacing w:before="112" w:line="219" w:lineRule="auto"/>
              <w:rPr>
                <w:sz w:val="12"/>
                <w:szCs w:val="12"/>
              </w:rPr>
            </w:pPr>
            <w:r>
              <w:rPr>
                <w:sz w:val="12"/>
                <w:szCs w:val="12"/>
                <w:spacing w:val="-1"/>
              </w:rPr>
              <w:t>72%链霉素</w:t>
            </w:r>
          </w:p>
        </w:tc>
        <w:tc>
          <w:tcPr>
            <w:tcW w:w="1639" w:type="dxa"/>
            <w:vAlign w:val="top"/>
            <w:tcBorders>
              <w:bottom w:val="single" w:color="000000" w:sz="2" w:space="0"/>
              <w:top w:val="single" w:color="000000" w:sz="2" w:space="0"/>
            </w:tcBorders>
          </w:tcPr>
          <w:p>
            <w:pPr>
              <w:pStyle w:val="TableText"/>
              <w:ind w:left="575"/>
              <w:spacing w:before="113" w:line="220" w:lineRule="auto"/>
              <w:rPr>
                <w:sz w:val="12"/>
                <w:szCs w:val="12"/>
              </w:rPr>
            </w:pPr>
            <w:r>
              <w:rPr>
                <w:sz w:val="12"/>
                <w:szCs w:val="12"/>
                <w:spacing w:val="-1"/>
              </w:rPr>
              <w:t>3000倍液</w:t>
            </w:r>
          </w:p>
        </w:tc>
        <w:tc>
          <w:tcPr>
            <w:tcW w:w="1069" w:type="dxa"/>
            <w:vAlign w:val="top"/>
            <w:vMerge w:val="restart"/>
            <w:tcBorders>
              <w:bottom w:val="nil"/>
              <w:top w:val="single" w:color="000000" w:sz="2" w:space="0"/>
            </w:tcBorders>
          </w:tcPr>
          <w:p>
            <w:pPr>
              <w:pStyle w:val="TableText"/>
              <w:ind w:right="12"/>
              <w:spacing w:before="182" w:line="219" w:lineRule="auto"/>
              <w:jc w:val="right"/>
              <w:rPr>
                <w:sz w:val="12"/>
                <w:szCs w:val="12"/>
              </w:rPr>
            </w:pPr>
            <w:r>
              <w:rPr>
                <w:sz w:val="12"/>
                <w:szCs w:val="12"/>
                <w:spacing w:val="1"/>
              </w:rPr>
              <w:t>每10天喷施一次，</w:t>
            </w:r>
          </w:p>
          <w:p>
            <w:pPr>
              <w:pStyle w:val="TableText"/>
              <w:ind w:left="197"/>
              <w:spacing w:before="17" w:line="219" w:lineRule="auto"/>
              <w:rPr>
                <w:sz w:val="12"/>
                <w:szCs w:val="12"/>
              </w:rPr>
            </w:pPr>
            <w:r>
              <w:rPr>
                <w:sz w:val="12"/>
                <w:szCs w:val="12"/>
              </w:rPr>
              <w:t>连喷3至4次。</w:t>
            </w:r>
          </w:p>
        </w:tc>
        <w:tc>
          <w:tcPr>
            <w:tcW w:w="699" w:type="dxa"/>
            <w:vAlign w:val="top"/>
            <w:tcBorders>
              <w:bottom w:val="single" w:color="000000" w:sz="2" w:space="0"/>
              <w:top w:val="single" w:color="000000" w:sz="2" w:space="0"/>
            </w:tcBorders>
          </w:tcPr>
          <w:p>
            <w:pPr>
              <w:pStyle w:val="TableText"/>
              <w:ind w:left="167"/>
              <w:spacing w:before="109" w:line="213" w:lineRule="auto"/>
              <w:rPr>
                <w:sz w:val="12"/>
                <w:szCs w:val="12"/>
              </w:rPr>
            </w:pPr>
            <w:r>
              <w:rPr>
                <w:sz w:val="12"/>
                <w:szCs w:val="12"/>
                <w:spacing w:val="-2"/>
              </w:rPr>
              <w:t>15g/袋</w:t>
            </w:r>
          </w:p>
        </w:tc>
        <w:tc>
          <w:tcPr>
            <w:tcW w:w="2776" w:type="dxa"/>
            <w:vAlign w:val="top"/>
            <w:vMerge w:val="restart"/>
            <w:tcBorders>
              <w:bottom w:val="nil"/>
              <w:top w:val="single" w:color="000000" w:sz="2" w:space="0"/>
            </w:tcBorders>
          </w:tcPr>
          <w:p>
            <w:pPr>
              <w:pStyle w:val="TableText"/>
              <w:ind w:left="9"/>
              <w:spacing w:before="252" w:line="219" w:lineRule="auto"/>
              <w:rPr>
                <w:sz w:val="12"/>
                <w:szCs w:val="12"/>
              </w:rPr>
            </w:pPr>
            <w:r>
              <w:rPr>
                <w:sz w:val="12"/>
                <w:szCs w:val="12"/>
                <w:spacing w:val="-1"/>
              </w:rPr>
              <w:t>防治细菌性穿孔病，对细菌性病害有特效</w:t>
            </w:r>
          </w:p>
        </w:tc>
      </w:tr>
      <w:tr>
        <w:trPr>
          <w:trHeight w:val="335"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4"/>
              <w:spacing w:before="112" w:line="219" w:lineRule="auto"/>
              <w:rPr>
                <w:sz w:val="12"/>
                <w:szCs w:val="12"/>
              </w:rPr>
            </w:pPr>
            <w:r>
              <w:rPr>
                <w:sz w:val="12"/>
                <w:szCs w:val="12"/>
                <w:spacing w:val="-2"/>
              </w:rPr>
              <w:t>细菌灵</w:t>
            </w:r>
          </w:p>
        </w:tc>
        <w:tc>
          <w:tcPr>
            <w:tcW w:w="1939" w:type="dxa"/>
            <w:vAlign w:val="top"/>
            <w:tcBorders>
              <w:bottom w:val="single" w:color="000000" w:sz="2" w:space="0"/>
              <w:top w:val="single" w:color="000000" w:sz="2" w:space="0"/>
            </w:tcBorders>
          </w:tcPr>
          <w:p>
            <w:pPr>
              <w:pStyle w:val="TableText"/>
              <w:ind w:left="304"/>
              <w:spacing w:before="112" w:line="219" w:lineRule="auto"/>
              <w:rPr>
                <w:sz w:val="12"/>
                <w:szCs w:val="12"/>
              </w:rPr>
            </w:pPr>
            <w:r>
              <w:rPr>
                <w:sz w:val="12"/>
                <w:szCs w:val="12"/>
                <w:spacing w:val="-1"/>
              </w:rPr>
              <w:t>40%多菌灵、30%中生霉素</w:t>
            </w:r>
          </w:p>
        </w:tc>
        <w:tc>
          <w:tcPr>
            <w:tcW w:w="1639" w:type="dxa"/>
            <w:vAlign w:val="top"/>
            <w:tcBorders>
              <w:bottom w:val="single" w:color="000000" w:sz="2" w:space="0"/>
              <w:top w:val="single" w:color="000000" w:sz="2" w:space="0"/>
            </w:tcBorders>
          </w:tcPr>
          <w:p>
            <w:pPr>
              <w:pStyle w:val="TableText"/>
              <w:ind w:left="545"/>
              <w:spacing w:before="112" w:line="220" w:lineRule="auto"/>
              <w:rPr>
                <w:sz w:val="12"/>
                <w:szCs w:val="12"/>
              </w:rPr>
            </w:pPr>
            <w:r>
              <w:rPr>
                <w:sz w:val="12"/>
                <w:szCs w:val="12"/>
                <w:spacing w:val="-1"/>
              </w:rPr>
              <w:t>500-600倍</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67"/>
              <w:spacing w:before="109" w:line="213" w:lineRule="auto"/>
              <w:rPr>
                <w:sz w:val="12"/>
                <w:szCs w:val="12"/>
              </w:rPr>
            </w:pPr>
            <w:r>
              <w:rPr>
                <w:sz w:val="12"/>
                <w:szCs w:val="12"/>
                <w:spacing w:val="-1"/>
              </w:rPr>
              <w:t>25g/袋</w:t>
            </w:r>
          </w:p>
        </w:tc>
        <w:tc>
          <w:tcPr>
            <w:tcW w:w="2776" w:type="dxa"/>
            <w:vAlign w:val="top"/>
            <w:vMerge w:val="continue"/>
            <w:tcBorders>
              <w:bottom w:val="single" w:color="000000" w:sz="2" w:space="0"/>
              <w:top w:val="nil"/>
            </w:tcBorders>
          </w:tcPr>
          <w:p>
            <w:pPr>
              <w:rPr>
                <w:rFonts w:ascii="Arial"/>
                <w:sz w:val="21"/>
              </w:rPr>
            </w:pPr>
            <w:r/>
          </w:p>
        </w:tc>
      </w:tr>
      <w:tr>
        <w:trPr>
          <w:trHeight w:val="47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4"/>
              <w:spacing w:before="182" w:line="219" w:lineRule="auto"/>
              <w:rPr>
                <w:sz w:val="12"/>
                <w:szCs w:val="12"/>
              </w:rPr>
            </w:pPr>
            <w:r>
              <w:rPr>
                <w:sz w:val="12"/>
                <w:szCs w:val="12"/>
                <w:spacing w:val="-2"/>
              </w:rPr>
              <w:t>植病灵</w:t>
            </w:r>
          </w:p>
        </w:tc>
        <w:tc>
          <w:tcPr>
            <w:tcW w:w="1939" w:type="dxa"/>
            <w:vAlign w:val="top"/>
            <w:tcBorders>
              <w:bottom w:val="single" w:color="000000" w:sz="2" w:space="0"/>
              <w:top w:val="single" w:color="000000" w:sz="2" w:space="0"/>
            </w:tcBorders>
          </w:tcPr>
          <w:p>
            <w:pPr>
              <w:pStyle w:val="TableText"/>
              <w:ind w:left="365"/>
              <w:spacing w:before="182" w:line="220" w:lineRule="auto"/>
              <w:rPr>
                <w:sz w:val="12"/>
                <w:szCs w:val="12"/>
              </w:rPr>
            </w:pPr>
            <w:r>
              <w:rPr>
                <w:sz w:val="12"/>
                <w:szCs w:val="12"/>
                <w:spacing w:val="-1"/>
              </w:rPr>
              <w:t>盐酸金刚乙胺，丙环唑</w:t>
            </w:r>
          </w:p>
        </w:tc>
        <w:tc>
          <w:tcPr>
            <w:tcW w:w="1639" w:type="dxa"/>
            <w:vAlign w:val="top"/>
            <w:tcBorders>
              <w:bottom w:val="single" w:color="000000" w:sz="2" w:space="0"/>
              <w:top w:val="single" w:color="000000" w:sz="2" w:space="0"/>
            </w:tcBorders>
          </w:tcPr>
          <w:p>
            <w:pPr>
              <w:pStyle w:val="TableText"/>
              <w:ind w:left="605"/>
              <w:spacing w:before="202" w:line="220" w:lineRule="auto"/>
              <w:rPr>
                <w:sz w:val="12"/>
                <w:szCs w:val="12"/>
              </w:rPr>
            </w:pPr>
            <w:r>
              <w:rPr>
                <w:sz w:val="12"/>
                <w:szCs w:val="12"/>
                <w:spacing w:val="-1"/>
              </w:rPr>
              <w:t>800倍液</w:t>
            </w:r>
          </w:p>
        </w:tc>
        <w:tc>
          <w:tcPr>
            <w:tcW w:w="1069" w:type="dxa"/>
            <w:vAlign w:val="top"/>
            <w:tcBorders>
              <w:bottom w:val="single" w:color="000000" w:sz="2" w:space="0"/>
              <w:top w:val="single" w:color="000000" w:sz="2" w:space="0"/>
            </w:tcBorders>
          </w:tcPr>
          <w:p>
            <w:pPr>
              <w:pStyle w:val="TableText"/>
              <w:ind w:left="17" w:right="21"/>
              <w:spacing w:before="42" w:line="223" w:lineRule="auto"/>
              <w:rPr>
                <w:sz w:val="12"/>
                <w:szCs w:val="12"/>
              </w:rPr>
            </w:pPr>
            <w:r>
              <w:rPr>
                <w:sz w:val="12"/>
                <w:szCs w:val="12"/>
                <w:spacing w:val="-1"/>
              </w:rPr>
              <w:t>发病初期，每5-7天</w:t>
            </w:r>
            <w:r>
              <w:rPr>
                <w:sz w:val="12"/>
                <w:szCs w:val="12"/>
                <w:spacing w:val="2"/>
              </w:rPr>
              <w:t xml:space="preserve"> </w:t>
            </w:r>
            <w:r>
              <w:rPr>
                <w:sz w:val="12"/>
                <w:szCs w:val="12"/>
              </w:rPr>
              <w:t>喷施一次。喷3遍，</w:t>
            </w:r>
          </w:p>
          <w:p>
            <w:pPr>
              <w:pStyle w:val="TableText"/>
              <w:ind w:left="187"/>
              <w:spacing w:line="203" w:lineRule="auto"/>
              <w:rPr>
                <w:sz w:val="12"/>
                <w:szCs w:val="12"/>
              </w:rPr>
            </w:pPr>
            <w:r>
              <w:rPr>
                <w:sz w:val="12"/>
                <w:szCs w:val="12"/>
              </w:rPr>
              <w:t>可减轻危害。</w:t>
            </w:r>
          </w:p>
        </w:tc>
        <w:tc>
          <w:tcPr>
            <w:tcW w:w="699" w:type="dxa"/>
            <w:vAlign w:val="top"/>
            <w:tcBorders>
              <w:bottom w:val="single" w:color="000000" w:sz="2" w:space="0"/>
              <w:top w:val="single" w:color="000000" w:sz="2" w:space="0"/>
            </w:tcBorders>
          </w:tcPr>
          <w:p>
            <w:pPr>
              <w:pStyle w:val="TableText"/>
              <w:ind w:left="137"/>
              <w:spacing w:before="202" w:line="221" w:lineRule="auto"/>
              <w:rPr>
                <w:sz w:val="12"/>
                <w:szCs w:val="12"/>
              </w:rPr>
            </w:pPr>
            <w:r>
              <w:rPr>
                <w:sz w:val="12"/>
                <w:szCs w:val="12"/>
                <w:spacing w:val="-2"/>
              </w:rPr>
              <w:t>15ml/瓶</w:t>
            </w:r>
          </w:p>
        </w:tc>
        <w:tc>
          <w:tcPr>
            <w:tcW w:w="2776" w:type="dxa"/>
            <w:vAlign w:val="top"/>
            <w:tcBorders>
              <w:bottom w:val="single" w:color="000000" w:sz="2" w:space="0"/>
              <w:top w:val="single" w:color="000000" w:sz="2" w:space="0"/>
            </w:tcBorders>
          </w:tcPr>
          <w:p>
            <w:pPr>
              <w:pStyle w:val="TableText"/>
              <w:ind w:left="9"/>
              <w:spacing w:before="202" w:line="219" w:lineRule="auto"/>
              <w:rPr>
                <w:sz w:val="12"/>
                <w:szCs w:val="12"/>
              </w:rPr>
            </w:pPr>
            <w:r>
              <w:rPr>
                <w:sz w:val="12"/>
                <w:szCs w:val="12"/>
                <w:spacing w:val="-1"/>
              </w:rPr>
              <w:t>防治花叶病，对病毒性病害有特效</w:t>
            </w:r>
          </w:p>
        </w:tc>
      </w:tr>
      <w:tr>
        <w:trPr>
          <w:trHeight w:val="305"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4"/>
              <w:spacing w:before="92" w:line="219" w:lineRule="auto"/>
              <w:rPr>
                <w:sz w:val="12"/>
                <w:szCs w:val="12"/>
              </w:rPr>
            </w:pPr>
            <w:r>
              <w:rPr>
                <w:sz w:val="12"/>
                <w:szCs w:val="12"/>
                <w:spacing w:val="3"/>
              </w:rPr>
              <w:t>国光多菌灵(中)</w:t>
            </w:r>
          </w:p>
        </w:tc>
        <w:tc>
          <w:tcPr>
            <w:tcW w:w="1939" w:type="dxa"/>
            <w:vAlign w:val="top"/>
            <w:tcBorders>
              <w:bottom w:val="single" w:color="000000" w:sz="2" w:space="0"/>
              <w:top w:val="single" w:color="000000" w:sz="2" w:space="0"/>
            </w:tcBorders>
          </w:tcPr>
          <w:p>
            <w:pPr>
              <w:pStyle w:val="TableText"/>
              <w:ind w:left="695"/>
              <w:spacing w:before="92" w:line="219" w:lineRule="auto"/>
              <w:rPr>
                <w:sz w:val="12"/>
                <w:szCs w:val="12"/>
              </w:rPr>
            </w:pPr>
            <w:r>
              <w:rPr>
                <w:sz w:val="12"/>
                <w:szCs w:val="12"/>
                <w:spacing w:val="-1"/>
              </w:rPr>
              <w:t>50%多菌灵</w:t>
            </w:r>
          </w:p>
        </w:tc>
        <w:tc>
          <w:tcPr>
            <w:tcW w:w="1639" w:type="dxa"/>
            <w:vAlign w:val="top"/>
            <w:tcBorders>
              <w:bottom w:val="single" w:color="000000" w:sz="2" w:space="0"/>
              <w:top w:val="single" w:color="000000" w:sz="2" w:space="0"/>
            </w:tcBorders>
          </w:tcPr>
          <w:p>
            <w:pPr>
              <w:pStyle w:val="TableText"/>
              <w:ind w:left="336"/>
              <w:spacing w:before="92" w:line="219" w:lineRule="auto"/>
              <w:rPr>
                <w:sz w:val="12"/>
                <w:szCs w:val="12"/>
              </w:rPr>
            </w:pPr>
            <w:r>
              <w:rPr>
                <w:sz w:val="12"/>
                <w:szCs w:val="12"/>
                <w:spacing w:val="-1"/>
              </w:rPr>
              <w:t>稀释600-1000倍液</w:t>
            </w:r>
          </w:p>
        </w:tc>
        <w:tc>
          <w:tcPr>
            <w:tcW w:w="1069" w:type="dxa"/>
            <w:vAlign w:val="top"/>
            <w:vMerge w:val="restart"/>
            <w:tcBorders>
              <w:bottom w:val="nil"/>
              <w:top w:val="single" w:color="000000" w:sz="2" w:space="0"/>
            </w:tcBorders>
          </w:tcPr>
          <w:p>
            <w:pPr>
              <w:spacing w:line="274" w:lineRule="auto"/>
              <w:rPr>
                <w:rFonts w:ascii="Arial"/>
                <w:sz w:val="21"/>
              </w:rPr>
            </w:pPr>
            <w:r/>
          </w:p>
          <w:p>
            <w:pPr>
              <w:spacing w:line="275" w:lineRule="auto"/>
              <w:rPr>
                <w:rFonts w:ascii="Arial"/>
                <w:sz w:val="21"/>
              </w:rPr>
            </w:pPr>
            <w:r/>
          </w:p>
          <w:p>
            <w:pPr>
              <w:pStyle w:val="TableText"/>
              <w:ind w:left="276" w:right="28" w:hanging="259"/>
              <w:spacing w:before="39" w:line="234" w:lineRule="auto"/>
              <w:rPr>
                <w:sz w:val="12"/>
                <w:szCs w:val="12"/>
              </w:rPr>
            </w:pPr>
            <w:r>
              <w:rPr>
                <w:sz w:val="12"/>
                <w:szCs w:val="12"/>
                <w:spacing w:val="-1"/>
              </w:rPr>
              <w:t>一般用3次，时间间</w:t>
            </w:r>
            <w:r>
              <w:rPr>
                <w:sz w:val="12"/>
                <w:szCs w:val="12"/>
                <w:spacing w:val="1"/>
              </w:rPr>
              <w:t xml:space="preserve"> </w:t>
            </w:r>
            <w:r>
              <w:rPr>
                <w:sz w:val="12"/>
                <w:szCs w:val="12"/>
                <w:spacing w:val="-2"/>
              </w:rPr>
              <w:t>隔7到10天</w:t>
            </w:r>
          </w:p>
        </w:tc>
        <w:tc>
          <w:tcPr>
            <w:tcW w:w="699" w:type="dxa"/>
            <w:vAlign w:val="top"/>
            <w:tcBorders>
              <w:bottom w:val="single" w:color="000000" w:sz="2" w:space="0"/>
              <w:top w:val="single" w:color="000000" w:sz="2" w:space="0"/>
            </w:tcBorders>
          </w:tcPr>
          <w:p>
            <w:pPr>
              <w:pStyle w:val="TableText"/>
              <w:ind w:left="77"/>
              <w:spacing w:before="89" w:line="213" w:lineRule="auto"/>
              <w:rPr>
                <w:sz w:val="12"/>
                <w:szCs w:val="12"/>
              </w:rPr>
            </w:pPr>
            <w:r>
              <w:rPr>
                <w:sz w:val="12"/>
                <w:szCs w:val="12"/>
                <w:spacing w:val="3"/>
              </w:rPr>
              <w:t>(100g/袋)</w:t>
            </w:r>
          </w:p>
        </w:tc>
        <w:tc>
          <w:tcPr>
            <w:tcW w:w="2776" w:type="dxa"/>
            <w:vAlign w:val="top"/>
            <w:tcBorders>
              <w:bottom w:val="single" w:color="000000" w:sz="2" w:space="0"/>
              <w:top w:val="single" w:color="000000" w:sz="2" w:space="0"/>
            </w:tcBorders>
          </w:tcPr>
          <w:p>
            <w:pPr>
              <w:pStyle w:val="TableText"/>
              <w:ind w:left="9"/>
              <w:spacing w:before="92" w:line="218" w:lineRule="auto"/>
              <w:rPr>
                <w:sz w:val="12"/>
                <w:szCs w:val="12"/>
              </w:rPr>
            </w:pPr>
            <w:r>
              <w:rPr>
                <w:sz w:val="12"/>
                <w:szCs w:val="12"/>
                <w:spacing w:val="-1"/>
              </w:rPr>
              <w:t>广谱性杀菌剂</w:t>
            </w:r>
          </w:p>
        </w:tc>
      </w:tr>
      <w:tr>
        <w:trPr>
          <w:trHeight w:val="36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4"/>
              <w:spacing w:before="122" w:line="219" w:lineRule="auto"/>
              <w:rPr>
                <w:sz w:val="12"/>
                <w:szCs w:val="12"/>
              </w:rPr>
            </w:pPr>
            <w:r>
              <w:rPr>
                <w:sz w:val="12"/>
                <w:szCs w:val="12"/>
                <w:spacing w:val="-2"/>
              </w:rPr>
              <w:t>阿西米达悬浮液</w:t>
            </w:r>
          </w:p>
        </w:tc>
        <w:tc>
          <w:tcPr>
            <w:tcW w:w="1939" w:type="dxa"/>
            <w:vAlign w:val="top"/>
            <w:tcBorders>
              <w:bottom w:val="single" w:color="000000" w:sz="2" w:space="0"/>
              <w:top w:val="single" w:color="000000" w:sz="2" w:space="0"/>
            </w:tcBorders>
          </w:tcPr>
          <w:p>
            <w:pPr>
              <w:pStyle w:val="TableText"/>
              <w:ind w:left="785"/>
              <w:spacing w:before="142" w:line="219" w:lineRule="auto"/>
              <w:rPr>
                <w:sz w:val="12"/>
                <w:szCs w:val="12"/>
              </w:rPr>
            </w:pPr>
            <w:r>
              <w:rPr>
                <w:sz w:val="12"/>
                <w:szCs w:val="12"/>
                <w:spacing w:val="-3"/>
              </w:rPr>
              <w:t>咄菌酯</w:t>
            </w:r>
          </w:p>
        </w:tc>
        <w:tc>
          <w:tcPr>
            <w:tcW w:w="1639" w:type="dxa"/>
            <w:vAlign w:val="top"/>
            <w:tcBorders>
              <w:bottom w:val="single" w:color="000000" w:sz="2" w:space="0"/>
              <w:top w:val="single" w:color="000000" w:sz="2" w:space="0"/>
            </w:tcBorders>
          </w:tcPr>
          <w:p>
            <w:pPr>
              <w:pStyle w:val="TableText"/>
              <w:ind w:left="706" w:right="39" w:hanging="670"/>
              <w:spacing w:before="72" w:line="210" w:lineRule="auto"/>
              <w:rPr>
                <w:sz w:val="12"/>
                <w:szCs w:val="12"/>
              </w:rPr>
            </w:pPr>
            <w:r>
              <w:rPr>
                <w:sz w:val="12"/>
                <w:szCs w:val="12"/>
                <w:spacing w:val="-1"/>
              </w:rPr>
              <w:t>25%阿西米达悬浮液1200-1500</w:t>
            </w:r>
            <w:r>
              <w:rPr>
                <w:sz w:val="12"/>
                <w:szCs w:val="12"/>
                <w:spacing w:val="11"/>
              </w:rPr>
              <w:t xml:space="preserve"> </w:t>
            </w:r>
            <w:r>
              <w:rPr>
                <w:sz w:val="12"/>
                <w:szCs w:val="12"/>
                <w:spacing w:val="-2"/>
              </w:rPr>
              <w:t>倍液</w:t>
            </w:r>
          </w:p>
        </w:tc>
        <w:tc>
          <w:tcPr>
            <w:tcW w:w="106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97"/>
              <w:spacing w:before="142" w:line="221" w:lineRule="auto"/>
              <w:rPr>
                <w:sz w:val="12"/>
                <w:szCs w:val="12"/>
              </w:rPr>
            </w:pPr>
            <w:r>
              <w:rPr>
                <w:sz w:val="12"/>
                <w:szCs w:val="12"/>
                <w:spacing w:val="-3"/>
              </w:rPr>
              <w:t>11/瓶</w:t>
            </w:r>
          </w:p>
        </w:tc>
        <w:tc>
          <w:tcPr>
            <w:tcW w:w="2776" w:type="dxa"/>
            <w:vAlign w:val="top"/>
            <w:tcBorders>
              <w:bottom w:val="single" w:color="000000" w:sz="2" w:space="0"/>
              <w:top w:val="single" w:color="000000" w:sz="2" w:space="0"/>
            </w:tcBorders>
          </w:tcPr>
          <w:p>
            <w:pPr>
              <w:pStyle w:val="TableText"/>
              <w:ind w:right="1"/>
              <w:spacing w:before="122" w:line="219" w:lineRule="auto"/>
              <w:jc w:val="right"/>
              <w:rPr>
                <w:sz w:val="12"/>
                <w:szCs w:val="12"/>
              </w:rPr>
            </w:pPr>
            <w:r>
              <w:rPr>
                <w:sz w:val="12"/>
                <w:szCs w:val="12"/>
                <w:spacing w:val="-1"/>
              </w:rPr>
              <w:t>广谱杀菌，对四大类玫病真菌，天然低毒安全无公害</w:t>
            </w:r>
          </w:p>
        </w:tc>
      </w:tr>
      <w:tr>
        <w:trPr>
          <w:trHeight w:val="33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4"/>
              <w:spacing w:before="132" w:line="219" w:lineRule="auto"/>
              <w:rPr>
                <w:sz w:val="12"/>
                <w:szCs w:val="12"/>
              </w:rPr>
            </w:pPr>
            <w:r>
              <w:rPr>
                <w:sz w:val="12"/>
                <w:szCs w:val="12"/>
                <w:spacing w:val="1"/>
              </w:rPr>
              <w:t>国光甲基疏菌灵</w:t>
            </w:r>
          </w:p>
        </w:tc>
        <w:tc>
          <w:tcPr>
            <w:tcW w:w="1939" w:type="dxa"/>
            <w:vAlign w:val="top"/>
            <w:tcBorders>
              <w:bottom w:val="single" w:color="000000" w:sz="2" w:space="0"/>
              <w:top w:val="single" w:color="000000" w:sz="2" w:space="0"/>
            </w:tcBorders>
          </w:tcPr>
          <w:p>
            <w:pPr>
              <w:pStyle w:val="TableText"/>
              <w:ind w:left="575"/>
              <w:spacing w:before="132" w:line="219" w:lineRule="auto"/>
              <w:rPr>
                <w:sz w:val="12"/>
                <w:szCs w:val="12"/>
              </w:rPr>
            </w:pPr>
            <w:r>
              <w:rPr>
                <w:sz w:val="12"/>
                <w:szCs w:val="12"/>
                <w:spacing w:val="-1"/>
              </w:rPr>
              <w:t>70%甲基疏菌灵</w:t>
            </w:r>
          </w:p>
        </w:tc>
        <w:tc>
          <w:tcPr>
            <w:tcW w:w="1639" w:type="dxa"/>
            <w:vAlign w:val="top"/>
            <w:tcBorders>
              <w:bottom w:val="single" w:color="000000" w:sz="2" w:space="0"/>
              <w:top w:val="single" w:color="000000" w:sz="2" w:space="0"/>
            </w:tcBorders>
          </w:tcPr>
          <w:p>
            <w:pPr>
              <w:pStyle w:val="TableText"/>
              <w:ind w:left="336"/>
              <w:spacing w:before="132" w:line="219" w:lineRule="auto"/>
              <w:rPr>
                <w:sz w:val="12"/>
                <w:szCs w:val="12"/>
              </w:rPr>
            </w:pPr>
            <w:r>
              <w:rPr>
                <w:sz w:val="12"/>
                <w:szCs w:val="12"/>
                <w:spacing w:val="-1"/>
              </w:rPr>
              <w:t>稀释600-1000倍液</w:t>
            </w:r>
          </w:p>
        </w:tc>
        <w:tc>
          <w:tcPr>
            <w:tcW w:w="106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67"/>
              <w:spacing w:before="129" w:line="213" w:lineRule="auto"/>
              <w:rPr>
                <w:sz w:val="12"/>
                <w:szCs w:val="12"/>
              </w:rPr>
            </w:pPr>
            <w:r>
              <w:rPr>
                <w:sz w:val="12"/>
                <w:szCs w:val="12"/>
                <w:spacing w:val="-3"/>
              </w:rPr>
              <w:t>lkg/袋</w:t>
            </w:r>
          </w:p>
        </w:tc>
        <w:tc>
          <w:tcPr>
            <w:tcW w:w="2776" w:type="dxa"/>
            <w:vAlign w:val="top"/>
            <w:tcBorders>
              <w:bottom w:val="single" w:color="000000" w:sz="2" w:space="0"/>
              <w:top w:val="single" w:color="000000" w:sz="2" w:space="0"/>
            </w:tcBorders>
          </w:tcPr>
          <w:p>
            <w:pPr>
              <w:pStyle w:val="TableText"/>
              <w:ind w:left="9"/>
              <w:spacing w:before="132" w:line="218" w:lineRule="auto"/>
              <w:rPr>
                <w:sz w:val="12"/>
                <w:szCs w:val="12"/>
              </w:rPr>
            </w:pPr>
            <w:r>
              <w:rPr>
                <w:sz w:val="12"/>
                <w:szCs w:val="12"/>
              </w:rPr>
              <w:t>内吸，广语高效杀菌剂</w:t>
            </w:r>
          </w:p>
        </w:tc>
      </w:tr>
      <w:tr>
        <w:trPr>
          <w:trHeight w:val="384" w:hRule="atLeast"/>
        </w:trPr>
        <w:tc>
          <w:tcPr>
            <w:tcW w:w="415" w:type="dxa"/>
            <w:vAlign w:val="top"/>
            <w:vMerge w:val="continue"/>
            <w:tcBorders>
              <w:bottom w:val="single" w:color="000000" w:sz="2" w:space="0"/>
              <w:top w:val="nil"/>
            </w:tcBorders>
          </w:tcPr>
          <w:p>
            <w:pPr>
              <w:rPr>
                <w:rFonts w:ascii="Arial"/>
                <w:sz w:val="21"/>
              </w:rPr>
            </w:pPr>
            <w:r/>
          </w:p>
        </w:tc>
        <w:tc>
          <w:tcPr>
            <w:tcW w:w="539"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0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4"/>
              <w:spacing w:before="133" w:line="219" w:lineRule="auto"/>
              <w:rPr>
                <w:sz w:val="12"/>
                <w:szCs w:val="12"/>
              </w:rPr>
            </w:pPr>
            <w:r>
              <w:rPr>
                <w:sz w:val="12"/>
                <w:szCs w:val="12"/>
                <w:spacing w:val="-1"/>
              </w:rPr>
              <w:t>诺普信璃托</w:t>
            </w:r>
          </w:p>
        </w:tc>
        <w:tc>
          <w:tcPr>
            <w:tcW w:w="1939" w:type="dxa"/>
            <w:vAlign w:val="top"/>
            <w:tcBorders>
              <w:bottom w:val="single" w:color="000000" w:sz="2" w:space="0"/>
              <w:top w:val="single" w:color="000000" w:sz="2" w:space="0"/>
            </w:tcBorders>
          </w:tcPr>
          <w:p>
            <w:pPr>
              <w:pStyle w:val="TableText"/>
              <w:ind w:left="575"/>
              <w:spacing w:before="133" w:line="219" w:lineRule="auto"/>
              <w:rPr>
                <w:sz w:val="12"/>
                <w:szCs w:val="12"/>
              </w:rPr>
            </w:pPr>
            <w:r>
              <w:rPr>
                <w:sz w:val="12"/>
                <w:szCs w:val="12"/>
              </w:rPr>
              <w:t>甲基硫菌灵50%</w:t>
            </w:r>
          </w:p>
        </w:tc>
        <w:tc>
          <w:tcPr>
            <w:tcW w:w="1639" w:type="dxa"/>
            <w:vAlign w:val="top"/>
            <w:tcBorders>
              <w:bottom w:val="single" w:color="000000" w:sz="2" w:space="0"/>
              <w:top w:val="single" w:color="000000" w:sz="2" w:space="0"/>
            </w:tcBorders>
          </w:tcPr>
          <w:p>
            <w:pPr>
              <w:pStyle w:val="TableText"/>
              <w:ind w:left="545"/>
              <w:spacing w:before="133" w:line="220" w:lineRule="auto"/>
              <w:rPr>
                <w:sz w:val="12"/>
                <w:szCs w:val="12"/>
              </w:rPr>
            </w:pPr>
            <w:r>
              <w:rPr>
                <w:sz w:val="12"/>
                <w:szCs w:val="12"/>
                <w:spacing w:val="-6"/>
              </w:rPr>
              <w:t>600—800倍</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07"/>
              <w:spacing w:before="134" w:line="221" w:lineRule="auto"/>
              <w:rPr>
                <w:sz w:val="12"/>
                <w:szCs w:val="12"/>
              </w:rPr>
            </w:pPr>
            <w:r>
              <w:rPr>
                <w:sz w:val="12"/>
                <w:szCs w:val="12"/>
                <w:spacing w:val="-1"/>
              </w:rPr>
              <w:t>000ml/瓶</w:t>
            </w:r>
          </w:p>
        </w:tc>
        <w:tc>
          <w:tcPr>
            <w:tcW w:w="2776" w:type="dxa"/>
            <w:vAlign w:val="top"/>
            <w:tcBorders>
              <w:bottom w:val="single" w:color="000000" w:sz="2" w:space="0"/>
              <w:top w:val="single" w:color="000000" w:sz="2" w:space="0"/>
            </w:tcBorders>
          </w:tcPr>
          <w:p>
            <w:pPr>
              <w:pStyle w:val="TableText"/>
              <w:ind w:left="19"/>
              <w:spacing w:before="82" w:line="218" w:lineRule="auto"/>
              <w:rPr>
                <w:sz w:val="12"/>
                <w:szCs w:val="12"/>
              </w:rPr>
            </w:pPr>
            <w:r>
              <w:rPr>
                <w:sz w:val="12"/>
                <w:szCs w:val="12"/>
                <w:spacing w:val="-1"/>
              </w:rPr>
              <w:t>高效广谱内吸杀菌剂，颗粒细腻，分散性好，防治花</w:t>
            </w:r>
            <w:r>
              <w:rPr>
                <w:sz w:val="12"/>
                <w:szCs w:val="12"/>
                <w:spacing w:val="8"/>
              </w:rPr>
              <w:t xml:space="preserve"> </w:t>
            </w:r>
            <w:r>
              <w:rPr>
                <w:sz w:val="12"/>
                <w:szCs w:val="12"/>
                <w:spacing w:val="-1"/>
              </w:rPr>
              <w:t>木叶班、炭殖、斑驳黄化</w:t>
            </w:r>
          </w:p>
        </w:tc>
      </w:tr>
      <w:tr>
        <w:trPr>
          <w:trHeight w:val="394" w:hRule="atLeast"/>
        </w:trPr>
        <w:tc>
          <w:tcPr>
            <w:tcW w:w="415"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14"/>
              <w:spacing w:before="39" w:line="218" w:lineRule="auto"/>
              <w:rPr>
                <w:sz w:val="12"/>
                <w:szCs w:val="12"/>
              </w:rPr>
            </w:pPr>
            <w:r>
              <w:rPr>
                <w:sz w:val="12"/>
                <w:szCs w:val="12"/>
                <w:spacing w:val="9"/>
              </w:rPr>
              <w:t>杀虫剂</w:t>
            </w:r>
          </w:p>
        </w:tc>
        <w:tc>
          <w:tcPr>
            <w:tcW w:w="539" w:type="dxa"/>
            <w:vAlign w:val="top"/>
            <w:vMerge w:val="restart"/>
            <w:tcBorders>
              <w:bottom w:val="nil"/>
              <w:top w:val="single" w:color="000000" w:sz="2" w:space="0"/>
            </w:tcBorders>
          </w:tcPr>
          <w:p>
            <w:pPr>
              <w:spacing w:line="245" w:lineRule="auto"/>
              <w:rPr>
                <w:rFonts w:ascii="Arial"/>
                <w:sz w:val="21"/>
              </w:rPr>
            </w:pPr>
            <w:r/>
          </w:p>
          <w:p>
            <w:pPr>
              <w:spacing w:line="246" w:lineRule="auto"/>
              <w:rPr>
                <w:rFonts w:ascii="Arial"/>
                <w:sz w:val="21"/>
              </w:rPr>
            </w:pPr>
            <w:r/>
          </w:p>
          <w:p>
            <w:pPr>
              <w:pStyle w:val="TableText"/>
              <w:ind w:left="20"/>
              <w:spacing w:before="39" w:line="219" w:lineRule="auto"/>
              <w:rPr>
                <w:sz w:val="12"/>
                <w:szCs w:val="12"/>
              </w:rPr>
            </w:pPr>
            <w:r>
              <w:rPr>
                <w:sz w:val="12"/>
                <w:szCs w:val="12"/>
                <w:spacing w:val="-1"/>
              </w:rPr>
              <w:t>食叶害虫</w:t>
            </w:r>
          </w:p>
        </w:tc>
        <w:tc>
          <w:tcPr>
            <w:tcW w:w="989" w:type="dxa"/>
            <w:vAlign w:val="top"/>
            <w:vMerge w:val="restart"/>
            <w:tcBorders>
              <w:bottom w:val="nil"/>
              <w:top w:val="single" w:color="000000" w:sz="2" w:space="0"/>
            </w:tcBorders>
          </w:tcPr>
          <w:p>
            <w:pPr>
              <w:pStyle w:val="TableText"/>
              <w:ind w:left="61"/>
              <w:spacing w:before="263" w:line="200" w:lineRule="auto"/>
              <w:rPr>
                <w:sz w:val="12"/>
                <w:szCs w:val="12"/>
              </w:rPr>
            </w:pPr>
            <w:r>
              <w:rPr>
                <w:sz w:val="12"/>
                <w:szCs w:val="12"/>
                <w:spacing w:val="-1"/>
              </w:rPr>
              <w:t>粘虫，天幕毛虫</w:t>
            </w:r>
          </w:p>
          <w:p>
            <w:pPr>
              <w:pStyle w:val="TableText"/>
              <w:ind w:left="71"/>
              <w:spacing w:line="219" w:lineRule="auto"/>
              <w:rPr>
                <w:sz w:val="12"/>
                <w:szCs w:val="12"/>
              </w:rPr>
            </w:pPr>
            <w:r>
              <w:rPr>
                <w:sz w:val="12"/>
                <w:szCs w:val="12"/>
                <w:spacing w:val="-3"/>
              </w:rPr>
              <w:t>、叶甲、舞毒蛾</w:t>
            </w:r>
          </w:p>
          <w:p>
            <w:pPr>
              <w:pStyle w:val="TableText"/>
              <w:ind w:left="121"/>
              <w:spacing w:before="15" w:line="216" w:lineRule="auto"/>
              <w:rPr>
                <w:sz w:val="12"/>
                <w:szCs w:val="12"/>
              </w:rPr>
            </w:pPr>
            <w:r>
              <w:rPr>
                <w:sz w:val="12"/>
                <w:szCs w:val="12"/>
              </w:rPr>
              <w:t>,尺蜂、衰蛾。</w:t>
            </w:r>
          </w:p>
          <w:p>
            <w:pPr>
              <w:pStyle w:val="TableText"/>
              <w:ind w:left="61"/>
              <w:spacing w:before="20" w:line="200" w:lineRule="auto"/>
              <w:rPr>
                <w:sz w:val="12"/>
                <w:szCs w:val="12"/>
              </w:rPr>
            </w:pPr>
            <w:r>
              <w:rPr>
                <w:sz w:val="12"/>
                <w:szCs w:val="12"/>
                <w:spacing w:val="-1"/>
              </w:rPr>
              <w:t>刺蛾，美国白蛾</w:t>
            </w:r>
          </w:p>
          <w:p>
            <w:pPr>
              <w:pStyle w:val="TableText"/>
              <w:ind w:left="421"/>
              <w:spacing w:line="219" w:lineRule="auto"/>
              <w:rPr>
                <w:sz w:val="12"/>
                <w:szCs w:val="12"/>
              </w:rPr>
            </w:pPr>
            <w:r>
              <w:rPr>
                <w:sz w:val="12"/>
                <w:szCs w:val="12"/>
              </w:rPr>
              <w:t>等</w:t>
            </w:r>
          </w:p>
        </w:tc>
        <w:tc>
          <w:tcPr>
            <w:tcW w:w="2708" w:type="dxa"/>
            <w:vAlign w:val="top"/>
            <w:vMerge w:val="restart"/>
            <w:tcBorders>
              <w:bottom w:val="nil"/>
              <w:top w:val="single" w:color="000000" w:sz="2" w:space="0"/>
            </w:tcBorders>
          </w:tcPr>
          <w:p>
            <w:pPr>
              <w:pStyle w:val="TableText"/>
              <w:ind w:left="12" w:right="3"/>
              <w:spacing w:before="173" w:line="225"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spacing w:val="7"/>
              </w:rPr>
              <w:t>区消杀虫卵、蛹；</w:t>
            </w:r>
          </w:p>
          <w:p>
            <w:pPr>
              <w:pStyle w:val="TableText"/>
              <w:ind w:left="12"/>
              <w:spacing w:before="17" w:line="218" w:lineRule="auto"/>
              <w:rPr>
                <w:sz w:val="12"/>
                <w:szCs w:val="12"/>
              </w:rPr>
            </w:pPr>
            <w:r>
              <w:rPr>
                <w:sz w:val="12"/>
                <w:szCs w:val="12"/>
                <w:spacing w:val="-1"/>
              </w:rPr>
              <w:t>二、6月是大本分害虫成蛹或制化期，采取人工加药</w:t>
            </w:r>
            <w:r>
              <w:rPr>
                <w:sz w:val="12"/>
                <w:szCs w:val="12"/>
                <w:spacing w:val="7"/>
              </w:rPr>
              <w:t xml:space="preserve"> </w:t>
            </w:r>
            <w:r>
              <w:rPr>
                <w:sz w:val="12"/>
                <w:szCs w:val="12"/>
                <w:spacing w:val="4"/>
              </w:rPr>
              <w:t>双重治疗险卵、蛹、成虫；</w:t>
            </w:r>
          </w:p>
          <w:p>
            <w:pPr>
              <w:pStyle w:val="TableText"/>
              <w:ind w:left="12" w:right="110"/>
              <w:spacing w:before="17" w:line="221" w:lineRule="auto"/>
              <w:rPr>
                <w:sz w:val="12"/>
                <w:szCs w:val="12"/>
              </w:rPr>
            </w:pPr>
            <w:r>
              <w:rPr>
                <w:sz w:val="12"/>
                <w:szCs w:val="12"/>
                <w:spacing w:val="-1"/>
              </w:rPr>
              <w:t>三.7-10月均有零星出现，有发现病情，及时喷药</w:t>
            </w:r>
            <w:r>
              <w:rPr>
                <w:sz w:val="12"/>
                <w:szCs w:val="12"/>
                <w:spacing w:val="18"/>
              </w:rPr>
              <w:t xml:space="preserve"> </w:t>
            </w:r>
            <w:r>
              <w:rPr>
                <w:sz w:val="12"/>
                <w:szCs w:val="12"/>
                <w:spacing w:val="-1"/>
              </w:rPr>
              <w:t>处理。</w:t>
            </w:r>
          </w:p>
        </w:tc>
        <w:tc>
          <w:tcPr>
            <w:tcW w:w="1289" w:type="dxa"/>
            <w:vAlign w:val="top"/>
            <w:tcBorders>
              <w:bottom w:val="single" w:color="000000" w:sz="2" w:space="0"/>
              <w:top w:val="single" w:color="000000" w:sz="2" w:space="0"/>
            </w:tcBorders>
          </w:tcPr>
          <w:p>
            <w:pPr>
              <w:pStyle w:val="TableText"/>
              <w:ind w:left="394"/>
              <w:spacing w:before="143" w:line="219" w:lineRule="auto"/>
              <w:rPr>
                <w:sz w:val="12"/>
                <w:szCs w:val="12"/>
              </w:rPr>
            </w:pPr>
            <w:r>
              <w:rPr>
                <w:sz w:val="12"/>
                <w:szCs w:val="12"/>
                <w:spacing w:val="1"/>
              </w:rPr>
              <w:t>国光毒枪</w:t>
            </w:r>
          </w:p>
        </w:tc>
        <w:tc>
          <w:tcPr>
            <w:tcW w:w="1939" w:type="dxa"/>
            <w:vAlign w:val="top"/>
            <w:tcBorders>
              <w:bottom w:val="single" w:color="000000" w:sz="2" w:space="0"/>
              <w:top w:val="single" w:color="000000" w:sz="2" w:space="0"/>
            </w:tcBorders>
          </w:tcPr>
          <w:p>
            <w:pPr>
              <w:pStyle w:val="TableText"/>
              <w:ind w:left="425"/>
              <w:spacing w:before="143" w:line="219" w:lineRule="auto"/>
              <w:rPr>
                <w:sz w:val="12"/>
                <w:szCs w:val="12"/>
              </w:rPr>
            </w:pPr>
            <w:r>
              <w:rPr>
                <w:sz w:val="12"/>
                <w:szCs w:val="12"/>
                <w:spacing w:val="-1"/>
              </w:rPr>
              <w:t>45%内溴.辛疏磷乳油</w:t>
            </w:r>
          </w:p>
        </w:tc>
        <w:tc>
          <w:tcPr>
            <w:tcW w:w="1639" w:type="dxa"/>
            <w:vAlign w:val="top"/>
            <w:tcBorders>
              <w:bottom w:val="single" w:color="000000" w:sz="2" w:space="0"/>
              <w:top w:val="single" w:color="000000" w:sz="2" w:space="0"/>
            </w:tcBorders>
          </w:tcPr>
          <w:p>
            <w:pPr>
              <w:pStyle w:val="TableText"/>
              <w:ind w:left="306"/>
              <w:spacing w:before="143" w:line="219" w:lineRule="auto"/>
              <w:rPr>
                <w:sz w:val="12"/>
                <w:szCs w:val="12"/>
              </w:rPr>
            </w:pPr>
            <w:r>
              <w:rPr>
                <w:sz w:val="12"/>
                <w:szCs w:val="12"/>
                <w:spacing w:val="-1"/>
              </w:rPr>
              <w:t>稀释2000-3000倍液</w:t>
            </w:r>
          </w:p>
        </w:tc>
        <w:tc>
          <w:tcPr>
            <w:tcW w:w="1069" w:type="dxa"/>
            <w:vAlign w:val="top"/>
            <w:vMerge w:val="restart"/>
            <w:tcBorders>
              <w:bottom w:val="nil"/>
              <w:top w:val="single" w:color="000000" w:sz="2" w:space="0"/>
            </w:tcBorders>
          </w:tcPr>
          <w:p>
            <w:pPr>
              <w:spacing w:line="441" w:lineRule="auto"/>
              <w:rPr>
                <w:rFonts w:ascii="Arial"/>
                <w:sz w:val="21"/>
              </w:rPr>
            </w:pPr>
            <w:r/>
          </w:p>
          <w:p>
            <w:pPr>
              <w:pStyle w:val="TableText"/>
              <w:ind w:left="17"/>
              <w:spacing w:before="39" w:line="216" w:lineRule="auto"/>
              <w:rPr>
                <w:sz w:val="12"/>
                <w:szCs w:val="12"/>
              </w:rPr>
            </w:pPr>
            <w:r>
              <w:rPr>
                <w:sz w:val="12"/>
                <w:szCs w:val="12"/>
                <w:spacing w:val="-1"/>
              </w:rPr>
              <w:t>一般用3次，时间间</w:t>
            </w:r>
          </w:p>
          <w:p>
            <w:pPr>
              <w:pStyle w:val="TableText"/>
              <w:ind w:left="257"/>
              <w:spacing w:line="219" w:lineRule="auto"/>
              <w:rPr>
                <w:sz w:val="12"/>
                <w:szCs w:val="12"/>
              </w:rPr>
            </w:pPr>
            <w:r>
              <w:rPr>
                <w:sz w:val="12"/>
                <w:szCs w:val="12"/>
                <w:spacing w:val="-2"/>
              </w:rPr>
              <w:t>隔7到10天</w:t>
            </w:r>
          </w:p>
        </w:tc>
        <w:tc>
          <w:tcPr>
            <w:tcW w:w="699" w:type="dxa"/>
            <w:vAlign w:val="top"/>
            <w:tcBorders>
              <w:bottom w:val="single" w:color="000000" w:sz="2" w:space="0"/>
              <w:top w:val="single" w:color="000000" w:sz="2" w:space="0"/>
            </w:tcBorders>
          </w:tcPr>
          <w:p>
            <w:pPr>
              <w:pStyle w:val="TableText"/>
              <w:ind w:left="256" w:right="116" w:hanging="79"/>
              <w:spacing w:before="65" w:line="245"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776" w:type="dxa"/>
            <w:vAlign w:val="top"/>
            <w:tcBorders>
              <w:bottom w:val="single" w:color="000000" w:sz="2" w:space="0"/>
              <w:top w:val="single" w:color="000000" w:sz="2" w:space="0"/>
            </w:tcBorders>
          </w:tcPr>
          <w:p>
            <w:pPr>
              <w:pStyle w:val="TableText"/>
              <w:ind w:left="9"/>
              <w:spacing w:before="143" w:line="219" w:lineRule="auto"/>
              <w:rPr>
                <w:sz w:val="12"/>
                <w:szCs w:val="12"/>
              </w:rPr>
            </w:pPr>
            <w:r>
              <w:rPr>
                <w:sz w:val="12"/>
                <w:szCs w:val="12"/>
                <w:spacing w:val="-1"/>
              </w:rPr>
              <w:t>高渗透性，杀卷叶虫、包叶虫、斑潜蝇等</w:t>
            </w:r>
          </w:p>
        </w:tc>
      </w:tr>
      <w:tr>
        <w:trPr>
          <w:trHeight w:val="36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4"/>
              <w:spacing w:before="124" w:line="219" w:lineRule="auto"/>
              <w:rPr>
                <w:sz w:val="12"/>
                <w:szCs w:val="12"/>
              </w:rPr>
            </w:pPr>
            <w:r>
              <w:rPr>
                <w:sz w:val="12"/>
                <w:szCs w:val="12"/>
                <w:spacing w:val="1"/>
              </w:rPr>
              <w:t>国光毒箭</w:t>
            </w:r>
          </w:p>
        </w:tc>
        <w:tc>
          <w:tcPr>
            <w:tcW w:w="1939" w:type="dxa"/>
            <w:vAlign w:val="top"/>
            <w:tcBorders>
              <w:bottom w:val="single" w:color="000000" w:sz="2" w:space="0"/>
              <w:top w:val="single" w:color="000000" w:sz="2" w:space="0"/>
            </w:tcBorders>
          </w:tcPr>
          <w:p>
            <w:pPr>
              <w:pStyle w:val="TableText"/>
              <w:ind w:left="515"/>
              <w:spacing w:before="124" w:line="219" w:lineRule="auto"/>
              <w:rPr>
                <w:sz w:val="12"/>
                <w:szCs w:val="12"/>
              </w:rPr>
            </w:pPr>
            <w:r>
              <w:rPr>
                <w:sz w:val="12"/>
                <w:szCs w:val="12"/>
                <w:spacing w:val="-1"/>
              </w:rPr>
              <w:t>20%氟戊菊酯乳油</w:t>
            </w:r>
          </w:p>
        </w:tc>
        <w:tc>
          <w:tcPr>
            <w:tcW w:w="1639" w:type="dxa"/>
            <w:vAlign w:val="top"/>
            <w:tcBorders>
              <w:bottom w:val="single" w:color="000000" w:sz="2" w:space="0"/>
              <w:top w:val="single" w:color="000000" w:sz="2" w:space="0"/>
            </w:tcBorders>
          </w:tcPr>
          <w:p>
            <w:pPr>
              <w:pStyle w:val="TableText"/>
              <w:ind w:left="306"/>
              <w:spacing w:before="154" w:line="219" w:lineRule="auto"/>
              <w:rPr>
                <w:sz w:val="12"/>
                <w:szCs w:val="12"/>
              </w:rPr>
            </w:pPr>
            <w:r>
              <w:rPr>
                <w:sz w:val="12"/>
                <w:szCs w:val="12"/>
                <w:spacing w:val="-1"/>
              </w:rPr>
              <w:t>稀释2000-3000倍液</w:t>
            </w:r>
          </w:p>
        </w:tc>
        <w:tc>
          <w:tcPr>
            <w:tcW w:w="106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36" w:right="156" w:hanging="99"/>
              <w:spacing w:before="76" w:line="209"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776" w:type="dxa"/>
            <w:vAlign w:val="top"/>
            <w:tcBorders>
              <w:bottom w:val="single" w:color="000000" w:sz="2" w:space="0"/>
              <w:top w:val="single" w:color="000000" w:sz="2" w:space="0"/>
            </w:tcBorders>
          </w:tcPr>
          <w:p>
            <w:pPr>
              <w:pStyle w:val="TableText"/>
              <w:ind w:left="9"/>
              <w:spacing w:before="154" w:line="218" w:lineRule="auto"/>
              <w:rPr>
                <w:sz w:val="12"/>
                <w:szCs w:val="12"/>
              </w:rPr>
            </w:pPr>
            <w:r>
              <w:rPr>
                <w:sz w:val="12"/>
                <w:szCs w:val="12"/>
                <w:spacing w:val="-1"/>
              </w:rPr>
              <w:t>高效广谱、长效杀虫剂，杀食叶性害虫特效</w:t>
            </w:r>
          </w:p>
        </w:tc>
      </w:tr>
      <w:tr>
        <w:trPr>
          <w:trHeight w:val="414"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0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4"/>
              <w:spacing w:before="174" w:line="219" w:lineRule="auto"/>
              <w:rPr>
                <w:sz w:val="12"/>
                <w:szCs w:val="12"/>
              </w:rPr>
            </w:pPr>
            <w:r>
              <w:rPr>
                <w:sz w:val="12"/>
                <w:szCs w:val="12"/>
                <w:spacing w:val="-1"/>
              </w:rPr>
              <w:t>诺普信黑战</w:t>
            </w:r>
          </w:p>
        </w:tc>
        <w:tc>
          <w:tcPr>
            <w:tcW w:w="1939" w:type="dxa"/>
            <w:vAlign w:val="top"/>
            <w:tcBorders>
              <w:bottom w:val="single" w:color="000000" w:sz="2" w:space="0"/>
              <w:top w:val="single" w:color="000000" w:sz="2" w:space="0"/>
            </w:tcBorders>
          </w:tcPr>
          <w:p>
            <w:pPr>
              <w:pStyle w:val="TableText"/>
              <w:ind w:left="455"/>
              <w:spacing w:before="174" w:line="219" w:lineRule="auto"/>
              <w:rPr>
                <w:sz w:val="12"/>
                <w:szCs w:val="12"/>
              </w:rPr>
            </w:pPr>
            <w:r>
              <w:rPr>
                <w:sz w:val="12"/>
                <w:szCs w:val="12"/>
                <w:spacing w:val="-5"/>
              </w:rPr>
              <w:t>甲维盐</w:t>
            </w:r>
            <w:r>
              <w:rPr>
                <w:sz w:val="12"/>
                <w:szCs w:val="12"/>
                <w:spacing w:val="-9"/>
              </w:rPr>
              <w:t xml:space="preserve"> </w:t>
            </w:r>
            <w:r>
              <w:rPr>
                <w:sz w:val="12"/>
                <w:szCs w:val="12"/>
                <w:spacing w:val="-5"/>
              </w:rPr>
              <w:t>·虫酰肼20%</w:t>
            </w:r>
          </w:p>
        </w:tc>
        <w:tc>
          <w:tcPr>
            <w:tcW w:w="1639" w:type="dxa"/>
            <w:vAlign w:val="top"/>
            <w:tcBorders>
              <w:bottom w:val="single" w:color="000000" w:sz="2" w:space="0"/>
              <w:top w:val="single" w:color="000000" w:sz="2" w:space="0"/>
            </w:tcBorders>
          </w:tcPr>
          <w:p>
            <w:pPr>
              <w:pStyle w:val="TableText"/>
              <w:ind w:left="486"/>
              <w:spacing w:before="175" w:line="220" w:lineRule="auto"/>
              <w:rPr>
                <w:sz w:val="12"/>
                <w:szCs w:val="12"/>
              </w:rPr>
            </w:pPr>
            <w:r>
              <w:rPr>
                <w:sz w:val="12"/>
                <w:szCs w:val="12"/>
                <w:spacing w:val="-5"/>
              </w:rPr>
              <w:t>1000—1500倍</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07"/>
              <w:spacing w:before="175" w:line="221" w:lineRule="auto"/>
              <w:rPr>
                <w:sz w:val="12"/>
                <w:szCs w:val="12"/>
              </w:rPr>
            </w:pPr>
            <w:r>
              <w:rPr>
                <w:sz w:val="12"/>
                <w:szCs w:val="12"/>
                <w:spacing w:val="-2"/>
              </w:rPr>
              <w:t>100ml/瓶</w:t>
            </w:r>
          </w:p>
        </w:tc>
        <w:tc>
          <w:tcPr>
            <w:tcW w:w="2776" w:type="dxa"/>
            <w:vAlign w:val="top"/>
            <w:tcBorders>
              <w:bottom w:val="single" w:color="000000" w:sz="2" w:space="0"/>
              <w:top w:val="single" w:color="000000" w:sz="2" w:space="0"/>
            </w:tcBorders>
          </w:tcPr>
          <w:p>
            <w:pPr>
              <w:pStyle w:val="TableText"/>
              <w:ind w:left="9"/>
              <w:spacing w:before="174" w:line="218" w:lineRule="auto"/>
              <w:rPr>
                <w:sz w:val="12"/>
                <w:szCs w:val="12"/>
              </w:rPr>
            </w:pPr>
            <w:r>
              <w:rPr>
                <w:sz w:val="12"/>
                <w:szCs w:val="12"/>
                <w:spacing w:val="-1"/>
              </w:rPr>
              <w:t>高效广谱杀虫剂，杀食叶性害虫特效</w:t>
            </w:r>
          </w:p>
        </w:tc>
      </w:tr>
      <w:tr>
        <w:trPr>
          <w:trHeight w:val="334" w:hRule="atLeast"/>
        </w:trPr>
        <w:tc>
          <w:tcPr>
            <w:tcW w:w="415" w:type="dxa"/>
            <w:vAlign w:val="top"/>
            <w:vMerge w:val="continue"/>
            <w:tcBorders>
              <w:bottom w:val="nil"/>
              <w:top w:val="nil"/>
            </w:tcBorders>
          </w:tcPr>
          <w:p>
            <w:pPr>
              <w:rPr>
                <w:rFonts w:ascii="Arial"/>
                <w:sz w:val="21"/>
              </w:rPr>
            </w:pPr>
            <w:r/>
          </w:p>
        </w:tc>
        <w:tc>
          <w:tcPr>
            <w:tcW w:w="539" w:type="dxa"/>
            <w:vAlign w:val="top"/>
            <w:vMerge w:val="restart"/>
            <w:tcBorders>
              <w:bottom w:val="nil"/>
              <w:top w:val="single" w:color="000000" w:sz="2" w:space="0"/>
            </w:tcBorders>
          </w:tcPr>
          <w:p>
            <w:pPr>
              <w:spacing w:line="413" w:lineRule="auto"/>
              <w:rPr>
                <w:rFonts w:ascii="Arial"/>
                <w:sz w:val="21"/>
              </w:rPr>
            </w:pPr>
            <w:r/>
          </w:p>
          <w:p>
            <w:pPr>
              <w:pStyle w:val="TableText"/>
              <w:ind w:left="20"/>
              <w:spacing w:before="39" w:line="219" w:lineRule="auto"/>
              <w:rPr>
                <w:sz w:val="12"/>
                <w:szCs w:val="12"/>
              </w:rPr>
            </w:pPr>
            <w:r>
              <w:rPr>
                <w:sz w:val="12"/>
                <w:szCs w:val="12"/>
                <w:spacing w:val="-1"/>
              </w:rPr>
              <w:t>刺吸害虫</w:t>
            </w:r>
          </w:p>
        </w:tc>
        <w:tc>
          <w:tcPr>
            <w:tcW w:w="989" w:type="dxa"/>
            <w:vAlign w:val="top"/>
            <w:vMerge w:val="restart"/>
            <w:tcBorders>
              <w:bottom w:val="nil"/>
              <w:top w:val="single" w:color="000000" w:sz="2" w:space="0"/>
            </w:tcBorders>
          </w:tcPr>
          <w:p>
            <w:pPr>
              <w:spacing w:line="274" w:lineRule="auto"/>
              <w:rPr>
                <w:rFonts w:ascii="Arial"/>
                <w:sz w:val="21"/>
              </w:rPr>
            </w:pPr>
            <w:r/>
          </w:p>
          <w:p>
            <w:pPr>
              <w:pStyle w:val="TableText"/>
              <w:ind w:left="61"/>
              <w:spacing w:before="39" w:line="220" w:lineRule="auto"/>
              <w:rPr>
                <w:sz w:val="12"/>
                <w:szCs w:val="12"/>
              </w:rPr>
            </w:pPr>
            <w:r>
              <w:rPr>
                <w:sz w:val="12"/>
                <w:szCs w:val="12"/>
                <w:spacing w:val="8"/>
              </w:rPr>
              <w:t>球坚蚧、胳蚧、</w:t>
            </w:r>
          </w:p>
          <w:p>
            <w:pPr>
              <w:pStyle w:val="TableText"/>
              <w:ind w:left="61"/>
              <w:spacing w:before="16" w:line="219" w:lineRule="auto"/>
              <w:rPr>
                <w:sz w:val="12"/>
                <w:szCs w:val="12"/>
              </w:rPr>
            </w:pPr>
            <w:r>
              <w:rPr>
                <w:sz w:val="12"/>
                <w:szCs w:val="12"/>
                <w:spacing w:val="8"/>
              </w:rPr>
              <w:t>粉蚧，吹棉蚡、</w:t>
            </w:r>
          </w:p>
          <w:p>
            <w:pPr>
              <w:pStyle w:val="TableText"/>
              <w:ind w:left="301"/>
              <w:spacing w:before="17" w:line="219" w:lineRule="auto"/>
              <w:rPr>
                <w:sz w:val="12"/>
                <w:szCs w:val="12"/>
              </w:rPr>
            </w:pPr>
            <w:r>
              <w:rPr>
                <w:sz w:val="12"/>
                <w:szCs w:val="12"/>
                <w:spacing w:val="-2"/>
              </w:rPr>
              <w:t>飞弘等</w:t>
            </w:r>
          </w:p>
        </w:tc>
        <w:tc>
          <w:tcPr>
            <w:tcW w:w="2708" w:type="dxa"/>
            <w:vAlign w:val="top"/>
            <w:vMerge w:val="restart"/>
            <w:tcBorders>
              <w:bottom w:val="nil"/>
              <w:top w:val="single" w:color="000000" w:sz="2" w:space="0"/>
            </w:tcBorders>
          </w:tcPr>
          <w:p>
            <w:pPr>
              <w:pStyle w:val="TableText"/>
              <w:ind w:left="12" w:right="118"/>
              <w:spacing w:before="245" w:line="223" w:lineRule="auto"/>
              <w:rPr>
                <w:sz w:val="12"/>
                <w:szCs w:val="12"/>
              </w:rPr>
            </w:pPr>
            <w:r>
              <w:rPr>
                <w:sz w:val="12"/>
                <w:szCs w:val="12"/>
                <w:spacing w:val="-1"/>
              </w:rPr>
              <w:t>一、4月已经有成虫出现，配合春季消杀，预防为</w:t>
            </w:r>
            <w:r>
              <w:rPr>
                <w:sz w:val="12"/>
                <w:szCs w:val="12"/>
                <w:spacing w:val="8"/>
              </w:rPr>
              <w:t xml:space="preserve"> </w:t>
            </w:r>
            <w:r>
              <w:rPr>
                <w:sz w:val="12"/>
                <w:szCs w:val="12"/>
                <w:spacing w:val="-3"/>
              </w:rPr>
              <w:t>主</w:t>
            </w:r>
            <w:r>
              <w:rPr>
                <w:sz w:val="12"/>
                <w:szCs w:val="12"/>
                <w:spacing w:val="-27"/>
              </w:rPr>
              <w:t xml:space="preserve"> </w:t>
            </w:r>
            <w:r>
              <w:rPr>
                <w:sz w:val="12"/>
                <w:szCs w:val="12"/>
                <w:spacing w:val="-3"/>
              </w:rPr>
              <w:t>：</w:t>
            </w:r>
          </w:p>
          <w:p>
            <w:pPr>
              <w:pStyle w:val="TableText"/>
              <w:ind w:left="12" w:right="52"/>
              <w:spacing w:before="1" w:line="236" w:lineRule="auto"/>
              <w:rPr>
                <w:sz w:val="12"/>
                <w:szCs w:val="12"/>
              </w:rPr>
            </w:pPr>
            <w:r>
              <w:rPr>
                <w:sz w:val="12"/>
                <w:szCs w:val="12"/>
                <w:spacing w:val="-1"/>
              </w:rPr>
              <w:t>二、5-10月均有零星出现，有发现病情，及时喷药</w:t>
            </w:r>
            <w:r>
              <w:rPr>
                <w:sz w:val="12"/>
                <w:szCs w:val="12"/>
                <w:spacing w:val="16"/>
              </w:rPr>
              <w:t xml:space="preserve"> </w:t>
            </w:r>
            <w:r>
              <w:rPr>
                <w:sz w:val="12"/>
                <w:szCs w:val="12"/>
                <w:spacing w:val="-1"/>
              </w:rPr>
              <w:t>处理。</w:t>
            </w:r>
          </w:p>
        </w:tc>
        <w:tc>
          <w:tcPr>
            <w:tcW w:w="1289" w:type="dxa"/>
            <w:vAlign w:val="top"/>
            <w:tcBorders>
              <w:bottom w:val="single" w:color="000000" w:sz="2" w:space="0"/>
              <w:top w:val="single" w:color="000000" w:sz="2" w:space="0"/>
            </w:tcBorders>
          </w:tcPr>
          <w:p>
            <w:pPr>
              <w:pStyle w:val="TableText"/>
              <w:ind w:left="334"/>
              <w:spacing w:before="135" w:line="219" w:lineRule="auto"/>
              <w:rPr>
                <w:sz w:val="12"/>
                <w:szCs w:val="12"/>
              </w:rPr>
            </w:pPr>
            <w:r>
              <w:rPr>
                <w:sz w:val="12"/>
                <w:szCs w:val="12"/>
                <w:spacing w:val="2"/>
              </w:rPr>
              <w:t>国光蚧必治</w:t>
            </w:r>
          </w:p>
        </w:tc>
        <w:tc>
          <w:tcPr>
            <w:tcW w:w="1939" w:type="dxa"/>
            <w:vAlign w:val="top"/>
            <w:tcBorders>
              <w:bottom w:val="single" w:color="000000" w:sz="2" w:space="0"/>
              <w:top w:val="single" w:color="000000" w:sz="2" w:space="0"/>
            </w:tcBorders>
          </w:tcPr>
          <w:p>
            <w:pPr>
              <w:pStyle w:val="TableText"/>
              <w:ind w:left="395"/>
              <w:spacing w:before="135" w:line="219" w:lineRule="auto"/>
              <w:rPr>
                <w:sz w:val="12"/>
                <w:szCs w:val="12"/>
              </w:rPr>
            </w:pPr>
            <w:r>
              <w:rPr>
                <w:sz w:val="12"/>
                <w:szCs w:val="12"/>
                <w:spacing w:val="-1"/>
              </w:rPr>
              <w:t>400晚虫脒毒死蟀乳泊</w:t>
            </w:r>
          </w:p>
        </w:tc>
        <w:tc>
          <w:tcPr>
            <w:tcW w:w="1639" w:type="dxa"/>
            <w:vAlign w:val="top"/>
            <w:tcBorders>
              <w:bottom w:val="single" w:color="000000" w:sz="2" w:space="0"/>
              <w:top w:val="single" w:color="000000" w:sz="2" w:space="0"/>
            </w:tcBorders>
          </w:tcPr>
          <w:p>
            <w:pPr>
              <w:pStyle w:val="TableText"/>
              <w:ind w:left="306"/>
              <w:spacing w:before="135" w:line="219" w:lineRule="auto"/>
              <w:rPr>
                <w:sz w:val="12"/>
                <w:szCs w:val="12"/>
              </w:rPr>
            </w:pPr>
            <w:r>
              <w:rPr>
                <w:sz w:val="12"/>
                <w:szCs w:val="12"/>
                <w:spacing w:val="-1"/>
              </w:rPr>
              <w:t>稀释2000-3000倍液</w:t>
            </w:r>
          </w:p>
        </w:tc>
        <w:tc>
          <w:tcPr>
            <w:tcW w:w="1069" w:type="dxa"/>
            <w:vAlign w:val="top"/>
            <w:vMerge w:val="restart"/>
            <w:tcBorders>
              <w:bottom w:val="nil"/>
              <w:top w:val="single" w:color="000000" w:sz="2" w:space="0"/>
            </w:tcBorders>
          </w:tcPr>
          <w:p>
            <w:pPr>
              <w:spacing w:line="274" w:lineRule="auto"/>
              <w:rPr>
                <w:rFonts w:ascii="Arial"/>
                <w:sz w:val="21"/>
              </w:rPr>
            </w:pPr>
            <w:r/>
          </w:p>
          <w:p>
            <w:pPr>
              <w:pStyle w:val="TableText"/>
              <w:ind w:left="17"/>
              <w:spacing w:before="39" w:line="219" w:lineRule="auto"/>
              <w:rPr>
                <w:sz w:val="12"/>
                <w:szCs w:val="12"/>
              </w:rPr>
            </w:pPr>
            <w:r>
              <w:rPr>
                <w:sz w:val="12"/>
                <w:szCs w:val="12"/>
                <w:spacing w:val="-1"/>
              </w:rPr>
              <w:t>一般用3次，时间间</w:t>
            </w:r>
          </w:p>
          <w:p>
            <w:pPr>
              <w:pStyle w:val="TableText"/>
              <w:ind w:left="17"/>
              <w:spacing w:before="7" w:line="220" w:lineRule="auto"/>
              <w:rPr>
                <w:sz w:val="12"/>
                <w:szCs w:val="12"/>
              </w:rPr>
            </w:pPr>
            <w:r>
              <w:rPr>
                <w:sz w:val="12"/>
                <w:szCs w:val="12"/>
                <w:spacing w:val="-2"/>
              </w:rPr>
              <w:t>隔7到10天。视现场</w:t>
            </w:r>
          </w:p>
          <w:p>
            <w:pPr>
              <w:pStyle w:val="TableText"/>
              <w:ind w:left="107"/>
              <w:spacing w:before="16" w:line="219" w:lineRule="auto"/>
              <w:rPr>
                <w:sz w:val="12"/>
                <w:szCs w:val="12"/>
              </w:rPr>
            </w:pPr>
            <w:r>
              <w:rPr>
                <w:sz w:val="12"/>
                <w:szCs w:val="12"/>
                <w:spacing w:val="-1"/>
              </w:rPr>
              <w:t>情况可增加次数</w:t>
            </w:r>
          </w:p>
        </w:tc>
        <w:tc>
          <w:tcPr>
            <w:tcW w:w="699" w:type="dxa"/>
            <w:vAlign w:val="top"/>
            <w:tcBorders>
              <w:bottom w:val="single" w:color="000000" w:sz="2" w:space="0"/>
              <w:top w:val="single" w:color="000000" w:sz="2" w:space="0"/>
            </w:tcBorders>
          </w:tcPr>
          <w:p>
            <w:pPr>
              <w:pStyle w:val="TableText"/>
              <w:ind w:left="77"/>
              <w:spacing w:before="136" w:line="221" w:lineRule="auto"/>
              <w:rPr>
                <w:sz w:val="12"/>
                <w:szCs w:val="12"/>
              </w:rPr>
            </w:pPr>
            <w:r>
              <w:rPr>
                <w:sz w:val="12"/>
                <w:szCs w:val="12"/>
                <w:spacing w:val="3"/>
              </w:rPr>
              <w:t>(200z/瓶)</w:t>
            </w:r>
          </w:p>
        </w:tc>
        <w:tc>
          <w:tcPr>
            <w:tcW w:w="2776" w:type="dxa"/>
            <w:vAlign w:val="top"/>
            <w:tcBorders>
              <w:bottom w:val="single" w:color="000000" w:sz="2" w:space="0"/>
              <w:top w:val="single" w:color="000000" w:sz="2" w:space="0"/>
            </w:tcBorders>
          </w:tcPr>
          <w:p>
            <w:pPr>
              <w:pStyle w:val="TableText"/>
              <w:ind w:left="9"/>
              <w:spacing w:before="135" w:line="218" w:lineRule="auto"/>
              <w:rPr>
                <w:sz w:val="12"/>
                <w:szCs w:val="12"/>
              </w:rPr>
            </w:pPr>
            <w:r>
              <w:rPr>
                <w:sz w:val="12"/>
                <w:szCs w:val="12"/>
                <w:spacing w:val="-1"/>
              </w:rPr>
              <w:t>专杀介壳虫，食叶类害虫，地下害虫</w:t>
            </w:r>
          </w:p>
        </w:tc>
      </w:tr>
      <w:tr>
        <w:trPr>
          <w:trHeight w:val="335" w:hRule="atLeast"/>
        </w:trPr>
        <w:tc>
          <w:tcPr>
            <w:tcW w:w="415" w:type="dxa"/>
            <w:vAlign w:val="top"/>
            <w:vMerge w:val="continue"/>
            <w:tcBorders>
              <w:bottom w:val="nil"/>
              <w:top w:val="nil"/>
            </w:tcBorders>
          </w:tcPr>
          <w:p>
            <w:pPr>
              <w:rPr>
                <w:rFonts w:ascii="Arial"/>
                <w:sz w:val="21"/>
              </w:rPr>
            </w:pPr>
            <w:r/>
          </w:p>
        </w:tc>
        <w:tc>
          <w:tcPr>
            <w:tcW w:w="539"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0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4"/>
              <w:spacing w:before="116" w:line="220" w:lineRule="auto"/>
              <w:rPr>
                <w:sz w:val="12"/>
                <w:szCs w:val="12"/>
              </w:rPr>
            </w:pPr>
            <w:r>
              <w:rPr>
                <w:sz w:val="12"/>
                <w:szCs w:val="12"/>
                <w:spacing w:val="1"/>
              </w:rPr>
              <w:t>中威插捉手</w:t>
            </w:r>
          </w:p>
        </w:tc>
        <w:tc>
          <w:tcPr>
            <w:tcW w:w="1939" w:type="dxa"/>
            <w:vAlign w:val="top"/>
            <w:tcBorders>
              <w:bottom w:val="single" w:color="000000" w:sz="2" w:space="0"/>
              <w:top w:val="single" w:color="000000" w:sz="2" w:space="0"/>
            </w:tcBorders>
          </w:tcPr>
          <w:p>
            <w:pPr>
              <w:pStyle w:val="TableText"/>
              <w:ind w:left="515"/>
              <w:spacing w:before="116" w:line="219" w:lineRule="auto"/>
              <w:rPr>
                <w:sz w:val="12"/>
                <w:szCs w:val="12"/>
              </w:rPr>
            </w:pPr>
            <w:r>
              <w:rPr>
                <w:sz w:val="12"/>
                <w:szCs w:val="12"/>
                <w:spacing w:val="-6"/>
              </w:rPr>
              <w:t>高氯</w:t>
            </w:r>
            <w:r>
              <w:rPr>
                <w:sz w:val="12"/>
                <w:szCs w:val="12"/>
                <w:spacing w:val="-15"/>
              </w:rPr>
              <w:t xml:space="preserve"> </w:t>
            </w:r>
            <w:r>
              <w:rPr>
                <w:sz w:val="12"/>
                <w:szCs w:val="12"/>
                <w:spacing w:val="-6"/>
              </w:rPr>
              <w:t>·毒死婢15%</w:t>
            </w:r>
          </w:p>
        </w:tc>
        <w:tc>
          <w:tcPr>
            <w:tcW w:w="1639" w:type="dxa"/>
            <w:vAlign w:val="top"/>
            <w:tcBorders>
              <w:bottom w:val="single" w:color="000000" w:sz="2" w:space="0"/>
              <w:top w:val="single" w:color="000000" w:sz="2" w:space="0"/>
            </w:tcBorders>
          </w:tcPr>
          <w:p>
            <w:pPr>
              <w:pStyle w:val="TableText"/>
              <w:ind w:left="426"/>
              <w:spacing w:before="116" w:line="220" w:lineRule="auto"/>
              <w:rPr>
                <w:sz w:val="12"/>
                <w:szCs w:val="12"/>
              </w:rPr>
            </w:pPr>
            <w:r>
              <w:rPr>
                <w:sz w:val="12"/>
                <w:szCs w:val="12"/>
                <w:spacing w:val="-2"/>
              </w:rPr>
              <w:t>1000-1500倍液</w:t>
            </w:r>
          </w:p>
        </w:tc>
        <w:tc>
          <w:tcPr>
            <w:tcW w:w="106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56" w:right="156" w:hanging="119"/>
              <w:spacing w:before="48" w:line="209"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776" w:type="dxa"/>
            <w:vAlign w:val="top"/>
            <w:tcBorders>
              <w:bottom w:val="single" w:color="000000" w:sz="2" w:space="0"/>
              <w:top w:val="single" w:color="000000" w:sz="2" w:space="0"/>
            </w:tcBorders>
          </w:tcPr>
          <w:p>
            <w:pPr>
              <w:pStyle w:val="TableText"/>
              <w:ind w:left="9"/>
              <w:spacing w:before="116" w:line="219" w:lineRule="auto"/>
              <w:rPr>
                <w:sz w:val="12"/>
                <w:szCs w:val="12"/>
              </w:rPr>
            </w:pPr>
            <w:r>
              <w:rPr>
                <w:sz w:val="12"/>
                <w:szCs w:val="12"/>
                <w:spacing w:val="-1"/>
              </w:rPr>
              <w:t>主要防治阶壳虫、斑潜蝇及鳞班目幼虫，飞孔等</w:t>
            </w:r>
          </w:p>
        </w:tc>
      </w:tr>
      <w:tr>
        <w:trPr>
          <w:trHeight w:val="340" w:hRule="atLeast"/>
        </w:trPr>
        <w:tc>
          <w:tcPr>
            <w:tcW w:w="415" w:type="dxa"/>
            <w:vAlign w:val="top"/>
            <w:vMerge w:val="continue"/>
            <w:tcBorders>
              <w:bottom w:val="single" w:color="000000" w:sz="2" w:space="0"/>
              <w:top w:val="nil"/>
            </w:tcBorders>
          </w:tcPr>
          <w:p>
            <w:pPr>
              <w:rPr>
                <w:rFonts w:ascii="Arial"/>
                <w:sz w:val="21"/>
              </w:rPr>
            </w:pPr>
            <w:r/>
          </w:p>
        </w:tc>
        <w:tc>
          <w:tcPr>
            <w:tcW w:w="539"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0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4"/>
              <w:spacing w:before="115" w:line="218" w:lineRule="auto"/>
              <w:rPr>
                <w:sz w:val="12"/>
                <w:szCs w:val="12"/>
              </w:rPr>
            </w:pPr>
            <w:r>
              <w:rPr>
                <w:sz w:val="12"/>
                <w:szCs w:val="12"/>
                <w:spacing w:val="-1"/>
              </w:rPr>
              <w:t>诺普信速介清</w:t>
            </w:r>
          </w:p>
        </w:tc>
        <w:tc>
          <w:tcPr>
            <w:tcW w:w="1939" w:type="dxa"/>
            <w:vAlign w:val="top"/>
            <w:tcBorders>
              <w:bottom w:val="single" w:color="000000" w:sz="2" w:space="0"/>
              <w:top w:val="single" w:color="000000" w:sz="2" w:space="0"/>
            </w:tcBorders>
          </w:tcPr>
          <w:p>
            <w:pPr>
              <w:pStyle w:val="TableText"/>
              <w:ind w:left="695"/>
              <w:spacing w:before="115" w:line="219" w:lineRule="auto"/>
              <w:rPr>
                <w:sz w:val="12"/>
                <w:szCs w:val="12"/>
              </w:rPr>
            </w:pPr>
            <w:r>
              <w:rPr>
                <w:sz w:val="12"/>
                <w:szCs w:val="12"/>
                <w:spacing w:val="-1"/>
              </w:rPr>
              <w:t>桑扑磷40%</w:t>
            </w:r>
          </w:p>
        </w:tc>
        <w:tc>
          <w:tcPr>
            <w:tcW w:w="1639" w:type="dxa"/>
            <w:vAlign w:val="top"/>
            <w:tcBorders>
              <w:bottom w:val="single" w:color="000000" w:sz="2" w:space="0"/>
              <w:top w:val="single" w:color="000000" w:sz="2" w:space="0"/>
            </w:tcBorders>
          </w:tcPr>
          <w:p>
            <w:pPr>
              <w:pStyle w:val="TableText"/>
              <w:ind w:left="486"/>
              <w:spacing w:before="116" w:line="220" w:lineRule="auto"/>
              <w:rPr>
                <w:sz w:val="12"/>
                <w:szCs w:val="12"/>
              </w:rPr>
            </w:pPr>
            <w:r>
              <w:rPr>
                <w:sz w:val="12"/>
                <w:szCs w:val="12"/>
                <w:spacing w:val="-5"/>
              </w:rPr>
              <w:t>1000—1500倍</w:t>
            </w:r>
          </w:p>
        </w:tc>
        <w:tc>
          <w:tcPr>
            <w:tcW w:w="106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07"/>
              <w:spacing w:before="116" w:line="221" w:lineRule="auto"/>
              <w:rPr>
                <w:sz w:val="12"/>
                <w:szCs w:val="12"/>
              </w:rPr>
            </w:pPr>
            <w:r>
              <w:rPr>
                <w:sz w:val="12"/>
                <w:szCs w:val="12"/>
                <w:spacing w:val="-2"/>
              </w:rPr>
              <w:t>1000l/瓶</w:t>
            </w:r>
          </w:p>
        </w:tc>
        <w:tc>
          <w:tcPr>
            <w:tcW w:w="2776" w:type="dxa"/>
            <w:vAlign w:val="top"/>
            <w:tcBorders>
              <w:bottom w:val="single" w:color="000000" w:sz="2" w:space="0"/>
              <w:top w:val="single" w:color="000000" w:sz="2" w:space="0"/>
            </w:tcBorders>
          </w:tcPr>
          <w:p>
            <w:pPr>
              <w:pStyle w:val="TableText"/>
              <w:ind w:left="9"/>
              <w:spacing w:before="115" w:line="218" w:lineRule="auto"/>
              <w:rPr>
                <w:sz w:val="12"/>
                <w:szCs w:val="12"/>
              </w:rPr>
            </w:pPr>
            <w:r>
              <w:rPr>
                <w:sz w:val="12"/>
                <w:szCs w:val="12"/>
                <w:spacing w:val="-1"/>
              </w:rPr>
              <w:t>柔灭介壳虫，活性高</w:t>
            </w:r>
          </w:p>
        </w:tc>
      </w:tr>
    </w:tbl>
    <w:p>
      <w:pPr>
        <w:spacing w:line="14" w:lineRule="auto"/>
        <w:rPr>
          <w:rFonts w:ascii="Arial"/>
          <w:sz w:val="2"/>
        </w:rPr>
      </w:pPr>
      <w:r/>
    </w:p>
    <w:p>
      <w:pPr>
        <w:spacing w:line="14" w:lineRule="auto"/>
        <w:sectPr>
          <w:footerReference w:type="default" r:id="rId493"/>
          <w:pgSz w:w="14490" w:h="10240"/>
          <w:pgMar w:top="375" w:right="232" w:bottom="364" w:left="184" w:header="0" w:footer="0" w:gutter="0"/>
        </w:sectPr>
        <w:rPr>
          <w:rFonts w:ascii="Arial" w:hAnsi="Arial" w:eastAsia="Arial" w:cs="Arial"/>
          <w:sz w:val="2"/>
          <w:szCs w:val="2"/>
        </w:rPr>
      </w:pPr>
    </w:p>
    <w:tbl>
      <w:tblPr>
        <w:tblStyle w:val="TableNormal"/>
        <w:tblW w:w="140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39"/>
        <w:gridCol w:w="959"/>
        <w:gridCol w:w="2728"/>
        <w:gridCol w:w="1289"/>
        <w:gridCol w:w="1919"/>
        <w:gridCol w:w="1659"/>
        <w:gridCol w:w="1069"/>
        <w:gridCol w:w="699"/>
        <w:gridCol w:w="2774"/>
      </w:tblGrid>
      <w:tr>
        <w:trPr>
          <w:trHeight w:val="524" w:hRule="atLeast"/>
        </w:trPr>
        <w:tc>
          <w:tcPr>
            <w:tcW w:w="415" w:type="dxa"/>
            <w:vAlign w:val="top"/>
          </w:tcPr>
          <w:p>
            <w:pPr>
              <w:pStyle w:val="TableText"/>
              <w:ind w:left="76"/>
              <w:spacing w:before="198" w:line="219" w:lineRule="auto"/>
              <w:rPr>
                <w:sz w:val="12"/>
                <w:szCs w:val="12"/>
              </w:rPr>
            </w:pPr>
            <w:r>
              <w:rPr>
                <w:sz w:val="12"/>
                <w:szCs w:val="12"/>
                <w:b/>
                <w:bCs/>
                <w:spacing w:val="-3"/>
              </w:rPr>
              <w:t>分类</w:t>
            </w:r>
          </w:p>
        </w:tc>
        <w:tc>
          <w:tcPr>
            <w:tcW w:w="539" w:type="dxa"/>
            <w:vAlign w:val="top"/>
          </w:tcPr>
          <w:p>
            <w:pPr>
              <w:pStyle w:val="TableText"/>
              <w:ind w:left="21"/>
              <w:spacing w:before="28" w:line="219" w:lineRule="auto"/>
              <w:rPr>
                <w:sz w:val="12"/>
                <w:szCs w:val="12"/>
              </w:rPr>
            </w:pPr>
            <w:r>
              <w:rPr>
                <w:sz w:val="12"/>
                <w:szCs w:val="12"/>
                <w:b/>
                <w:bCs/>
                <w:spacing w:val="-3"/>
              </w:rPr>
              <w:t>消杀预防</w:t>
            </w:r>
          </w:p>
          <w:p>
            <w:pPr>
              <w:pStyle w:val="TableText"/>
              <w:ind w:left="21"/>
              <w:spacing w:before="7" w:line="220" w:lineRule="auto"/>
              <w:rPr>
                <w:sz w:val="12"/>
                <w:szCs w:val="12"/>
              </w:rPr>
            </w:pPr>
            <w:r>
              <w:rPr>
                <w:sz w:val="12"/>
                <w:szCs w:val="12"/>
                <w:b/>
                <w:bCs/>
                <w:spacing w:val="-3"/>
              </w:rPr>
              <w:t>及病虫害</w:t>
            </w:r>
          </w:p>
          <w:p>
            <w:pPr>
              <w:pStyle w:val="TableText"/>
              <w:ind w:left="141"/>
              <w:spacing w:before="26" w:line="219" w:lineRule="auto"/>
              <w:rPr>
                <w:sz w:val="12"/>
                <w:szCs w:val="12"/>
              </w:rPr>
            </w:pPr>
            <w:r>
              <w:rPr>
                <w:sz w:val="12"/>
                <w:szCs w:val="12"/>
                <w:b/>
                <w:bCs/>
                <w:spacing w:val="-3"/>
              </w:rPr>
              <w:t>分类</w:t>
            </w:r>
          </w:p>
        </w:tc>
        <w:tc>
          <w:tcPr>
            <w:tcW w:w="959" w:type="dxa"/>
            <w:vAlign w:val="top"/>
          </w:tcPr>
          <w:p>
            <w:pPr>
              <w:pStyle w:val="TableText"/>
              <w:ind w:left="172"/>
              <w:spacing w:before="198" w:line="219" w:lineRule="auto"/>
              <w:rPr>
                <w:sz w:val="12"/>
                <w:szCs w:val="12"/>
              </w:rPr>
            </w:pPr>
            <w:r>
              <w:rPr>
                <w:sz w:val="12"/>
                <w:szCs w:val="12"/>
                <w:b/>
                <w:bCs/>
                <w:spacing w:val="-3"/>
              </w:rPr>
              <w:t>常见病虫害</w:t>
            </w:r>
          </w:p>
        </w:tc>
        <w:tc>
          <w:tcPr>
            <w:tcW w:w="2728" w:type="dxa"/>
            <w:vAlign w:val="top"/>
          </w:tcPr>
          <w:p>
            <w:pPr>
              <w:pStyle w:val="TableText"/>
              <w:ind w:left="1023"/>
              <w:spacing w:before="198" w:line="219" w:lineRule="auto"/>
              <w:rPr>
                <w:sz w:val="12"/>
                <w:szCs w:val="12"/>
              </w:rPr>
            </w:pPr>
            <w:r>
              <w:rPr>
                <w:sz w:val="12"/>
                <w:szCs w:val="12"/>
                <w:b/>
                <w:bCs/>
                <w:spacing w:val="-3"/>
              </w:rPr>
              <w:t>主要发病月份</w:t>
            </w:r>
          </w:p>
        </w:tc>
        <w:tc>
          <w:tcPr>
            <w:tcW w:w="1289" w:type="dxa"/>
            <w:vAlign w:val="top"/>
          </w:tcPr>
          <w:p>
            <w:pPr>
              <w:pStyle w:val="TableText"/>
              <w:ind w:left="395"/>
              <w:spacing w:before="198" w:line="220" w:lineRule="auto"/>
              <w:rPr>
                <w:sz w:val="12"/>
                <w:szCs w:val="12"/>
              </w:rPr>
            </w:pPr>
            <w:r>
              <w:rPr>
                <w:sz w:val="12"/>
                <w:szCs w:val="12"/>
                <w:b/>
                <w:bCs/>
                <w:spacing w:val="-3"/>
              </w:rPr>
              <w:t>药品名称</w:t>
            </w:r>
          </w:p>
        </w:tc>
        <w:tc>
          <w:tcPr>
            <w:tcW w:w="1919" w:type="dxa"/>
            <w:vAlign w:val="top"/>
          </w:tcPr>
          <w:p>
            <w:pPr>
              <w:pStyle w:val="TableText"/>
              <w:ind w:left="716"/>
              <w:spacing w:before="198" w:line="220" w:lineRule="auto"/>
              <w:rPr>
                <w:sz w:val="12"/>
                <w:szCs w:val="12"/>
              </w:rPr>
            </w:pPr>
            <w:r>
              <w:rPr>
                <w:sz w:val="12"/>
                <w:szCs w:val="12"/>
                <w:b/>
                <w:bCs/>
                <w:spacing w:val="-3"/>
              </w:rPr>
              <w:t>主要成分</w:t>
            </w:r>
          </w:p>
        </w:tc>
        <w:tc>
          <w:tcPr>
            <w:tcW w:w="1659" w:type="dxa"/>
            <w:vAlign w:val="top"/>
          </w:tcPr>
          <w:p>
            <w:pPr>
              <w:pStyle w:val="TableText"/>
              <w:ind w:left="587"/>
              <w:spacing w:before="198" w:line="219" w:lineRule="auto"/>
              <w:rPr>
                <w:sz w:val="12"/>
                <w:szCs w:val="12"/>
              </w:rPr>
            </w:pPr>
            <w:r>
              <w:rPr>
                <w:sz w:val="12"/>
                <w:szCs w:val="12"/>
                <w:b/>
                <w:bCs/>
                <w:spacing w:val="-3"/>
              </w:rPr>
              <w:t>使用倍率</w:t>
            </w:r>
          </w:p>
        </w:tc>
        <w:tc>
          <w:tcPr>
            <w:tcW w:w="1069" w:type="dxa"/>
            <w:vAlign w:val="top"/>
          </w:tcPr>
          <w:p>
            <w:pPr>
              <w:pStyle w:val="TableText"/>
              <w:ind w:left="288"/>
              <w:spacing w:before="198" w:line="219" w:lineRule="auto"/>
              <w:rPr>
                <w:sz w:val="12"/>
                <w:szCs w:val="12"/>
              </w:rPr>
            </w:pPr>
            <w:r>
              <w:rPr>
                <w:sz w:val="12"/>
                <w:szCs w:val="12"/>
                <w:b/>
                <w:bCs/>
                <w:spacing w:val="-3"/>
              </w:rPr>
              <w:t>施用次数</w:t>
            </w:r>
          </w:p>
        </w:tc>
        <w:tc>
          <w:tcPr>
            <w:tcW w:w="699" w:type="dxa"/>
            <w:vAlign w:val="top"/>
          </w:tcPr>
          <w:p>
            <w:pPr>
              <w:pStyle w:val="TableText"/>
              <w:ind w:left="229"/>
              <w:spacing w:before="198" w:line="219" w:lineRule="auto"/>
              <w:rPr>
                <w:sz w:val="12"/>
                <w:szCs w:val="12"/>
              </w:rPr>
            </w:pPr>
            <w:r>
              <w:rPr>
                <w:sz w:val="12"/>
                <w:szCs w:val="12"/>
                <w:b/>
                <w:bCs/>
                <w:spacing w:val="-3"/>
              </w:rPr>
              <w:t>规格</w:t>
            </w:r>
          </w:p>
        </w:tc>
        <w:tc>
          <w:tcPr>
            <w:tcW w:w="2774" w:type="dxa"/>
            <w:vAlign w:val="top"/>
          </w:tcPr>
          <w:p>
            <w:pPr>
              <w:pStyle w:val="TableText"/>
              <w:ind w:left="1280"/>
              <w:spacing w:before="198" w:line="221" w:lineRule="auto"/>
              <w:rPr>
                <w:sz w:val="12"/>
                <w:szCs w:val="12"/>
              </w:rPr>
            </w:pPr>
            <w:r>
              <w:rPr>
                <w:sz w:val="12"/>
                <w:szCs w:val="12"/>
                <w:b/>
                <w:bCs/>
                <w:spacing w:val="-3"/>
              </w:rPr>
              <w:t>备注</w:t>
            </w:r>
          </w:p>
        </w:tc>
      </w:tr>
      <w:tr>
        <w:trPr>
          <w:trHeight w:val="420" w:hRule="atLeast"/>
        </w:trPr>
        <w:tc>
          <w:tcPr>
            <w:tcW w:w="415"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4"/>
              <w:spacing w:before="39" w:line="219" w:lineRule="auto"/>
              <w:rPr>
                <w:sz w:val="12"/>
                <w:szCs w:val="12"/>
              </w:rPr>
            </w:pPr>
            <w:r>
              <w:rPr>
                <w:sz w:val="12"/>
                <w:szCs w:val="12"/>
                <w:spacing w:val="9"/>
              </w:rPr>
              <w:t>杀虫剂</w:t>
            </w:r>
          </w:p>
        </w:tc>
        <w:tc>
          <w:tcPr>
            <w:tcW w:w="539"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0"/>
              <w:spacing w:before="39" w:line="219" w:lineRule="auto"/>
              <w:rPr>
                <w:sz w:val="12"/>
                <w:szCs w:val="12"/>
              </w:rPr>
            </w:pPr>
            <w:r>
              <w:rPr>
                <w:sz w:val="12"/>
                <w:szCs w:val="12"/>
                <w:spacing w:val="-1"/>
              </w:rPr>
              <w:t>刺吸害虫</w:t>
            </w:r>
          </w:p>
        </w:tc>
        <w:tc>
          <w:tcPr>
            <w:tcW w:w="959" w:type="dxa"/>
            <w:vAlign w:val="top"/>
            <w:vMerge w:val="restart"/>
            <w:tcBorders>
              <w:bottom w:val="nil"/>
            </w:tcBorders>
          </w:tcPr>
          <w:p>
            <w:pPr>
              <w:spacing w:line="321" w:lineRule="auto"/>
              <w:rPr>
                <w:rFonts w:ascii="Arial"/>
                <w:sz w:val="21"/>
              </w:rPr>
            </w:pPr>
            <w:r/>
          </w:p>
          <w:p>
            <w:pPr>
              <w:spacing w:line="322" w:lineRule="auto"/>
              <w:rPr>
                <w:rFonts w:ascii="Arial"/>
                <w:sz w:val="21"/>
              </w:rPr>
            </w:pPr>
            <w:r/>
          </w:p>
          <w:p>
            <w:pPr>
              <w:pStyle w:val="TableText"/>
              <w:spacing w:before="39" w:line="219" w:lineRule="auto"/>
              <w:jc w:val="right"/>
              <w:rPr>
                <w:sz w:val="12"/>
                <w:szCs w:val="12"/>
              </w:rPr>
            </w:pPr>
            <w:r>
              <w:rPr>
                <w:sz w:val="12"/>
                <w:szCs w:val="12"/>
                <w:spacing w:val="8"/>
              </w:rPr>
              <w:t>蚜虫、红蜘蛛、</w:t>
            </w:r>
          </w:p>
          <w:p>
            <w:pPr>
              <w:pStyle w:val="TableText"/>
              <w:ind w:left="51"/>
              <w:spacing w:before="17" w:line="216" w:lineRule="auto"/>
              <w:rPr>
                <w:sz w:val="12"/>
                <w:szCs w:val="12"/>
              </w:rPr>
            </w:pPr>
            <w:r>
              <w:rPr>
                <w:sz w:val="12"/>
                <w:szCs w:val="12"/>
                <w:spacing w:val="-1"/>
              </w:rPr>
              <w:t>大青叶鲜，蓟马</w:t>
            </w:r>
          </w:p>
          <w:p>
            <w:pPr>
              <w:pStyle w:val="TableText"/>
              <w:ind w:left="411"/>
              <w:spacing w:line="219" w:lineRule="auto"/>
              <w:rPr>
                <w:sz w:val="12"/>
                <w:szCs w:val="12"/>
              </w:rPr>
            </w:pPr>
            <w:r>
              <w:rPr>
                <w:sz w:val="12"/>
                <w:szCs w:val="12"/>
              </w:rPr>
              <w:t>等</w:t>
            </w:r>
          </w:p>
        </w:tc>
        <w:tc>
          <w:tcPr>
            <w:tcW w:w="2728"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2" w:right="23"/>
              <w:spacing w:before="39" w:line="225"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spacing w:val="7"/>
              </w:rPr>
              <w:t>区消杀虫卵、鲜；</w:t>
            </w:r>
          </w:p>
          <w:p>
            <w:pPr>
              <w:pStyle w:val="TableText"/>
              <w:ind w:left="12" w:right="12"/>
              <w:spacing w:before="16" w:line="210" w:lineRule="auto"/>
              <w:rPr>
                <w:sz w:val="12"/>
                <w:szCs w:val="12"/>
              </w:rPr>
            </w:pPr>
            <w:r>
              <w:rPr>
                <w:sz w:val="12"/>
                <w:szCs w:val="12"/>
                <w:spacing w:val="-1"/>
              </w:rPr>
              <w:t>二、6月-9月是大部分害虫成蛹或羽化期，采取人工</w:t>
            </w:r>
            <w:r>
              <w:rPr>
                <w:sz w:val="12"/>
                <w:szCs w:val="12"/>
                <w:spacing w:val="16"/>
              </w:rPr>
              <w:t xml:space="preserve"> </w:t>
            </w:r>
            <w:r>
              <w:rPr>
                <w:sz w:val="12"/>
                <w:szCs w:val="12"/>
                <w:spacing w:val="-1"/>
              </w:rPr>
              <w:t>加药双重治疗除卵，除蛹，除成虫。</w:t>
            </w:r>
          </w:p>
        </w:tc>
        <w:tc>
          <w:tcPr>
            <w:tcW w:w="1289" w:type="dxa"/>
            <w:vAlign w:val="top"/>
          </w:tcPr>
          <w:p>
            <w:pPr>
              <w:pStyle w:val="TableText"/>
              <w:ind w:left="274"/>
              <w:spacing w:before="145" w:line="219" w:lineRule="auto"/>
              <w:rPr>
                <w:sz w:val="12"/>
                <w:szCs w:val="12"/>
              </w:rPr>
            </w:pPr>
            <w:r>
              <w:rPr>
                <w:sz w:val="12"/>
                <w:szCs w:val="12"/>
                <w:spacing w:val="-1"/>
              </w:rPr>
              <w:t>诺普信尼满诺</w:t>
            </w:r>
          </w:p>
        </w:tc>
        <w:tc>
          <w:tcPr>
            <w:tcW w:w="1919" w:type="dxa"/>
            <w:vAlign w:val="top"/>
          </w:tcPr>
          <w:p>
            <w:pPr>
              <w:pStyle w:val="TableText"/>
              <w:ind w:left="294"/>
              <w:spacing w:before="145" w:line="219" w:lineRule="auto"/>
              <w:rPr>
                <w:sz w:val="12"/>
                <w:szCs w:val="12"/>
              </w:rPr>
            </w:pPr>
            <w:r>
              <w:rPr>
                <w:sz w:val="12"/>
                <w:szCs w:val="12"/>
                <w:spacing w:val="-4"/>
              </w:rPr>
              <w:t>阿维菌素</w:t>
            </w:r>
            <w:r>
              <w:rPr>
                <w:sz w:val="12"/>
                <w:szCs w:val="12"/>
                <w:spacing w:val="-13"/>
              </w:rPr>
              <w:t xml:space="preserve"> </w:t>
            </w:r>
            <w:r>
              <w:rPr>
                <w:sz w:val="12"/>
                <w:szCs w:val="12"/>
                <w:spacing w:val="-4"/>
              </w:rPr>
              <w:t>·哒蜗买10.50%</w:t>
            </w:r>
          </w:p>
        </w:tc>
        <w:tc>
          <w:tcPr>
            <w:tcW w:w="1659" w:type="dxa"/>
            <w:vAlign w:val="top"/>
          </w:tcPr>
          <w:p>
            <w:pPr>
              <w:pStyle w:val="TableText"/>
              <w:ind w:left="526"/>
              <w:spacing w:before="146" w:line="220" w:lineRule="auto"/>
              <w:rPr>
                <w:sz w:val="12"/>
                <w:szCs w:val="12"/>
              </w:rPr>
            </w:pPr>
            <w:r>
              <w:rPr>
                <w:sz w:val="12"/>
                <w:szCs w:val="12"/>
                <w:spacing w:val="-6"/>
              </w:rPr>
              <w:t>800—1000倍</w:t>
            </w:r>
          </w:p>
        </w:tc>
        <w:tc>
          <w:tcPr>
            <w:tcW w:w="1069" w:type="dxa"/>
            <w:vAlign w:val="top"/>
          </w:tcPr>
          <w:p>
            <w:pPr>
              <w:pStyle w:val="TableText"/>
              <w:ind w:left="197"/>
              <w:spacing w:before="145" w:line="219" w:lineRule="auto"/>
              <w:rPr>
                <w:sz w:val="12"/>
                <w:szCs w:val="12"/>
              </w:rPr>
            </w:pPr>
            <w:r>
              <w:rPr>
                <w:sz w:val="12"/>
                <w:szCs w:val="12"/>
                <w:spacing w:val="-1"/>
              </w:rPr>
              <w:t>一般用1-2次</w:t>
            </w:r>
          </w:p>
        </w:tc>
        <w:tc>
          <w:tcPr>
            <w:tcW w:w="699" w:type="dxa"/>
            <w:vAlign w:val="top"/>
          </w:tcPr>
          <w:p>
            <w:pPr>
              <w:pStyle w:val="TableText"/>
              <w:ind w:left="107"/>
              <w:spacing w:before="146" w:line="221" w:lineRule="auto"/>
              <w:rPr>
                <w:sz w:val="12"/>
                <w:szCs w:val="12"/>
              </w:rPr>
            </w:pPr>
            <w:r>
              <w:rPr>
                <w:sz w:val="12"/>
                <w:szCs w:val="12"/>
                <w:spacing w:val="-2"/>
              </w:rPr>
              <w:t>1000l/瓶</w:t>
            </w:r>
          </w:p>
        </w:tc>
        <w:tc>
          <w:tcPr>
            <w:tcW w:w="2774" w:type="dxa"/>
            <w:vAlign w:val="top"/>
          </w:tcPr>
          <w:p>
            <w:pPr>
              <w:pStyle w:val="TableText"/>
              <w:ind w:left="19"/>
              <w:spacing w:before="145" w:line="219" w:lineRule="auto"/>
              <w:rPr>
                <w:sz w:val="12"/>
                <w:szCs w:val="12"/>
              </w:rPr>
            </w:pPr>
            <w:r>
              <w:rPr>
                <w:sz w:val="12"/>
                <w:szCs w:val="12"/>
                <w:spacing w:val="-1"/>
              </w:rPr>
              <w:t>春秋季高效、广谱杀蜗剂、防效高、虫卵兼杀</w:t>
            </w:r>
          </w:p>
        </w:tc>
      </w:tr>
      <w:tr>
        <w:trPr>
          <w:trHeight w:val="43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94"/>
              <w:spacing w:before="155" w:line="219" w:lineRule="auto"/>
              <w:rPr>
                <w:sz w:val="12"/>
                <w:szCs w:val="12"/>
              </w:rPr>
            </w:pPr>
            <w:r>
              <w:rPr>
                <w:sz w:val="12"/>
                <w:szCs w:val="12"/>
                <w:spacing w:val="1"/>
              </w:rPr>
              <w:t>国光毙克</w:t>
            </w:r>
          </w:p>
        </w:tc>
        <w:tc>
          <w:tcPr>
            <w:tcW w:w="1919" w:type="dxa"/>
            <w:vAlign w:val="top"/>
          </w:tcPr>
          <w:p>
            <w:pPr>
              <w:pStyle w:val="TableText"/>
              <w:ind w:left="685"/>
              <w:spacing w:before="156" w:line="220" w:lineRule="auto"/>
              <w:rPr>
                <w:sz w:val="12"/>
                <w:szCs w:val="12"/>
              </w:rPr>
            </w:pPr>
            <w:r>
              <w:rPr>
                <w:sz w:val="12"/>
                <w:szCs w:val="12"/>
                <w:spacing w:val="-2"/>
              </w:rPr>
              <w:t>10M吡虫啉</w:t>
            </w:r>
          </w:p>
        </w:tc>
        <w:tc>
          <w:tcPr>
            <w:tcW w:w="1659" w:type="dxa"/>
            <w:vAlign w:val="top"/>
          </w:tcPr>
          <w:p>
            <w:pPr>
              <w:pStyle w:val="TableText"/>
              <w:ind w:left="386"/>
              <w:spacing w:before="155" w:line="219" w:lineRule="auto"/>
              <w:rPr>
                <w:sz w:val="12"/>
                <w:szCs w:val="12"/>
              </w:rPr>
            </w:pPr>
            <w:r>
              <w:rPr>
                <w:sz w:val="12"/>
                <w:szCs w:val="12"/>
                <w:spacing w:val="-1"/>
              </w:rPr>
              <w:t>稀释1000-1500倍液</w:t>
            </w:r>
          </w:p>
        </w:tc>
        <w:tc>
          <w:tcPr>
            <w:tcW w:w="1069" w:type="dxa"/>
            <w:vAlign w:val="top"/>
            <w:vMerge w:val="restart"/>
            <w:tcBorders>
              <w:bottom w:val="nil"/>
            </w:tcBorders>
          </w:tcPr>
          <w:p>
            <w:pPr>
              <w:spacing w:line="434" w:lineRule="auto"/>
              <w:rPr>
                <w:rFonts w:ascii="Arial"/>
                <w:sz w:val="21"/>
              </w:rPr>
            </w:pPr>
            <w:r/>
          </w:p>
          <w:p>
            <w:pPr>
              <w:pStyle w:val="TableText"/>
              <w:ind w:left="17"/>
              <w:spacing w:before="39" w:line="219" w:lineRule="auto"/>
              <w:rPr>
                <w:sz w:val="12"/>
                <w:szCs w:val="12"/>
              </w:rPr>
            </w:pPr>
            <w:r>
              <w:rPr>
                <w:sz w:val="12"/>
                <w:szCs w:val="12"/>
                <w:spacing w:val="-1"/>
              </w:rPr>
              <w:t>一般用3次，时间间</w:t>
            </w:r>
          </w:p>
          <w:p>
            <w:pPr>
              <w:pStyle w:val="TableText"/>
              <w:ind w:left="17"/>
              <w:spacing w:before="17" w:line="215" w:lineRule="auto"/>
              <w:rPr>
                <w:sz w:val="12"/>
                <w:szCs w:val="12"/>
              </w:rPr>
            </w:pPr>
            <w:r>
              <w:rPr>
                <w:sz w:val="12"/>
                <w:szCs w:val="12"/>
                <w:spacing w:val="-2"/>
              </w:rPr>
              <w:t>隔7到10天。视现场</w:t>
            </w:r>
          </w:p>
          <w:p>
            <w:pPr>
              <w:pStyle w:val="TableText"/>
              <w:ind w:left="107"/>
              <w:spacing w:line="219" w:lineRule="auto"/>
              <w:rPr>
                <w:sz w:val="12"/>
                <w:szCs w:val="12"/>
              </w:rPr>
            </w:pPr>
            <w:r>
              <w:rPr>
                <w:sz w:val="12"/>
                <w:szCs w:val="12"/>
                <w:spacing w:val="-1"/>
              </w:rPr>
              <w:t>情况可增加次数</w:t>
            </w:r>
          </w:p>
        </w:tc>
        <w:tc>
          <w:tcPr>
            <w:tcW w:w="699" w:type="dxa"/>
            <w:vAlign w:val="top"/>
          </w:tcPr>
          <w:p>
            <w:pPr>
              <w:pStyle w:val="TableText"/>
              <w:ind w:left="107"/>
              <w:spacing w:before="151" w:line="214" w:lineRule="auto"/>
              <w:rPr>
                <w:sz w:val="12"/>
                <w:szCs w:val="12"/>
              </w:rPr>
            </w:pPr>
            <w:r>
              <w:rPr>
                <w:sz w:val="12"/>
                <w:szCs w:val="12"/>
                <w:spacing w:val="3"/>
              </w:rPr>
              <w:t>(10g/袋)</w:t>
            </w:r>
          </w:p>
        </w:tc>
        <w:tc>
          <w:tcPr>
            <w:tcW w:w="2774" w:type="dxa"/>
            <w:vAlign w:val="top"/>
          </w:tcPr>
          <w:p>
            <w:pPr>
              <w:pStyle w:val="TableText"/>
              <w:ind w:left="19"/>
              <w:spacing w:before="155" w:line="219" w:lineRule="auto"/>
              <w:rPr>
                <w:sz w:val="12"/>
                <w:szCs w:val="12"/>
              </w:rPr>
            </w:pPr>
            <w:r>
              <w:rPr>
                <w:sz w:val="12"/>
                <w:szCs w:val="12"/>
                <w:spacing w:val="-1"/>
              </w:rPr>
              <w:t>杀蚜虫、飞弘等害虫</w:t>
            </w:r>
          </w:p>
        </w:tc>
      </w:tr>
      <w:tr>
        <w:trPr>
          <w:trHeight w:val="44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154"/>
              <w:spacing w:before="156" w:line="219" w:lineRule="auto"/>
              <w:rPr>
                <w:sz w:val="12"/>
                <w:szCs w:val="12"/>
              </w:rPr>
            </w:pPr>
            <w:r>
              <w:rPr>
                <w:sz w:val="12"/>
                <w:szCs w:val="12"/>
                <w:spacing w:val="2"/>
              </w:rPr>
              <w:t>中威壮美(杀嘲剂)</w:t>
            </w:r>
          </w:p>
        </w:tc>
        <w:tc>
          <w:tcPr>
            <w:tcW w:w="1919" w:type="dxa"/>
            <w:vAlign w:val="top"/>
          </w:tcPr>
          <w:p>
            <w:pPr>
              <w:pStyle w:val="TableText"/>
              <w:ind w:left="445"/>
              <w:spacing w:before="157" w:line="220" w:lineRule="auto"/>
              <w:rPr>
                <w:sz w:val="12"/>
                <w:szCs w:val="12"/>
              </w:rPr>
            </w:pPr>
            <w:r>
              <w:rPr>
                <w:sz w:val="12"/>
                <w:szCs w:val="12"/>
                <w:spacing w:val="-5"/>
              </w:rPr>
              <w:t>阿维</w:t>
            </w:r>
            <w:r>
              <w:rPr>
                <w:sz w:val="12"/>
                <w:szCs w:val="12"/>
                <w:spacing w:val="-14"/>
              </w:rPr>
              <w:t xml:space="preserve"> </w:t>
            </w:r>
            <w:r>
              <w:rPr>
                <w:sz w:val="12"/>
                <w:szCs w:val="12"/>
                <w:spacing w:val="-5"/>
              </w:rPr>
              <w:t>·哒蜗灵3.20%</w:t>
            </w:r>
          </w:p>
        </w:tc>
        <w:tc>
          <w:tcPr>
            <w:tcW w:w="1659" w:type="dxa"/>
            <w:vAlign w:val="top"/>
          </w:tcPr>
          <w:p>
            <w:pPr>
              <w:pStyle w:val="TableText"/>
              <w:ind w:left="585"/>
              <w:spacing w:before="157" w:line="220" w:lineRule="auto"/>
              <w:rPr>
                <w:sz w:val="12"/>
                <w:szCs w:val="12"/>
              </w:rPr>
            </w:pPr>
            <w:r>
              <w:rPr>
                <w:sz w:val="12"/>
                <w:szCs w:val="12"/>
                <w:spacing w:val="-2"/>
              </w:rPr>
              <w:t>1500倍液</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256" w:right="156" w:hanging="119"/>
              <w:spacing w:before="99" w:line="247"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774" w:type="dxa"/>
            <w:vAlign w:val="top"/>
          </w:tcPr>
          <w:p>
            <w:pPr>
              <w:pStyle w:val="TableText"/>
              <w:spacing w:before="157" w:line="219" w:lineRule="auto"/>
              <w:jc w:val="right"/>
              <w:rPr>
                <w:sz w:val="12"/>
                <w:szCs w:val="12"/>
              </w:rPr>
            </w:pPr>
            <w:r>
              <w:rPr>
                <w:sz w:val="12"/>
                <w:szCs w:val="12"/>
                <w:spacing w:val="-1"/>
              </w:rPr>
              <w:t>对红蜘蛛、白蛛蛛及抗性瞒类害虫有极强的杀灭作用</w:t>
            </w:r>
          </w:p>
        </w:tc>
      </w:tr>
      <w:tr>
        <w:trPr>
          <w:trHeight w:val="43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274"/>
              <w:spacing w:before="156" w:line="219" w:lineRule="auto"/>
              <w:rPr>
                <w:sz w:val="12"/>
                <w:szCs w:val="12"/>
              </w:rPr>
            </w:pPr>
            <w:r>
              <w:rPr>
                <w:sz w:val="12"/>
                <w:szCs w:val="12"/>
                <w:spacing w:val="-1"/>
              </w:rPr>
              <w:t>诺替信满毕净</w:t>
            </w:r>
          </w:p>
        </w:tc>
        <w:tc>
          <w:tcPr>
            <w:tcW w:w="1919" w:type="dxa"/>
            <w:vAlign w:val="top"/>
          </w:tcPr>
          <w:p>
            <w:pPr>
              <w:pStyle w:val="TableText"/>
              <w:ind w:left="264"/>
              <w:spacing w:before="156" w:line="219" w:lineRule="auto"/>
              <w:rPr>
                <w:sz w:val="12"/>
                <w:szCs w:val="12"/>
              </w:rPr>
            </w:pPr>
            <w:r>
              <w:rPr>
                <w:sz w:val="12"/>
                <w:szCs w:val="12"/>
                <w:spacing w:val="-6"/>
              </w:rPr>
              <w:t>阿维菌素 ·</w:t>
            </w:r>
            <w:r>
              <w:rPr>
                <w:sz w:val="12"/>
                <w:szCs w:val="12"/>
                <w:spacing w:val="-40"/>
              </w:rPr>
              <w:t xml:space="preserve"> </w:t>
            </w:r>
            <w:r>
              <w:rPr>
                <w:sz w:val="12"/>
                <w:szCs w:val="12"/>
                <w:spacing w:val="-6"/>
              </w:rPr>
              <w:t>甲氰菊酯1.80%</w:t>
            </w:r>
          </w:p>
        </w:tc>
        <w:tc>
          <w:tcPr>
            <w:tcW w:w="1659" w:type="dxa"/>
            <w:vAlign w:val="top"/>
          </w:tcPr>
          <w:p>
            <w:pPr>
              <w:pStyle w:val="TableText"/>
              <w:ind w:left="526"/>
              <w:spacing w:before="157" w:line="220" w:lineRule="auto"/>
              <w:rPr>
                <w:sz w:val="12"/>
                <w:szCs w:val="12"/>
              </w:rPr>
            </w:pPr>
            <w:r>
              <w:rPr>
                <w:sz w:val="12"/>
                <w:szCs w:val="12"/>
                <w:spacing w:val="-6"/>
              </w:rPr>
              <w:t>800—1000倍</w:t>
            </w:r>
          </w:p>
        </w:tc>
        <w:tc>
          <w:tcPr>
            <w:tcW w:w="1069" w:type="dxa"/>
            <w:vAlign w:val="top"/>
            <w:vMerge w:val="continue"/>
            <w:tcBorders>
              <w:top w:val="nil"/>
            </w:tcBorders>
          </w:tcPr>
          <w:p>
            <w:pPr>
              <w:rPr>
                <w:rFonts w:ascii="Arial"/>
                <w:sz w:val="21"/>
              </w:rPr>
            </w:pPr>
            <w:r/>
          </w:p>
        </w:tc>
        <w:tc>
          <w:tcPr>
            <w:tcW w:w="699" w:type="dxa"/>
            <w:vAlign w:val="top"/>
          </w:tcPr>
          <w:p>
            <w:pPr>
              <w:pStyle w:val="TableText"/>
              <w:ind w:left="78"/>
              <w:spacing w:before="157" w:line="221" w:lineRule="auto"/>
              <w:rPr>
                <w:sz w:val="12"/>
                <w:szCs w:val="12"/>
              </w:rPr>
            </w:pPr>
            <w:r>
              <w:rPr>
                <w:sz w:val="12"/>
                <w:szCs w:val="12"/>
                <w:spacing w:val="-2"/>
              </w:rPr>
              <w:t>10000l/瓶</w:t>
            </w:r>
          </w:p>
        </w:tc>
        <w:tc>
          <w:tcPr>
            <w:tcW w:w="2774" w:type="dxa"/>
            <w:vAlign w:val="top"/>
          </w:tcPr>
          <w:p>
            <w:pPr>
              <w:pStyle w:val="TableText"/>
              <w:ind w:left="19"/>
              <w:spacing w:before="156" w:line="219" w:lineRule="auto"/>
              <w:rPr>
                <w:sz w:val="12"/>
                <w:szCs w:val="12"/>
              </w:rPr>
            </w:pPr>
            <w:r>
              <w:rPr>
                <w:sz w:val="12"/>
                <w:szCs w:val="12"/>
                <w:spacing w:val="-1"/>
              </w:rPr>
              <w:t>红归蛛，白蜘蛛、锈购蛛</w:t>
            </w:r>
          </w:p>
        </w:tc>
      </w:tr>
      <w:tr>
        <w:trPr>
          <w:trHeight w:val="450" w:hRule="atLeast"/>
        </w:trPr>
        <w:tc>
          <w:tcPr>
            <w:tcW w:w="415" w:type="dxa"/>
            <w:vAlign w:val="top"/>
            <w:vMerge w:val="continue"/>
            <w:tcBorders>
              <w:top w:val="nil"/>
              <w:bottom w:val="nil"/>
            </w:tcBorders>
          </w:tcPr>
          <w:p>
            <w:pPr>
              <w:rPr>
                <w:rFonts w:ascii="Arial"/>
                <w:sz w:val="21"/>
              </w:rPr>
            </w:pPr>
            <w:r/>
          </w:p>
        </w:tc>
        <w:tc>
          <w:tcPr>
            <w:tcW w:w="539" w:type="dxa"/>
            <w:vAlign w:val="top"/>
            <w:vMerge w:val="restart"/>
            <w:tcBorders>
              <w:bottom w:val="nil"/>
            </w:tcBorders>
          </w:tcPr>
          <w:p>
            <w:pPr>
              <w:spacing w:line="287" w:lineRule="auto"/>
              <w:rPr>
                <w:rFonts w:ascii="Arial"/>
                <w:sz w:val="21"/>
              </w:rPr>
            </w:pPr>
            <w:r/>
          </w:p>
          <w:p>
            <w:pPr>
              <w:spacing w:line="287" w:lineRule="auto"/>
              <w:rPr>
                <w:rFonts w:ascii="Arial"/>
                <w:sz w:val="21"/>
              </w:rPr>
            </w:pPr>
            <w:r/>
          </w:p>
          <w:p>
            <w:pPr>
              <w:pStyle w:val="TableText"/>
              <w:ind w:left="20"/>
              <w:spacing w:before="39" w:line="219" w:lineRule="auto"/>
              <w:rPr>
                <w:sz w:val="12"/>
                <w:szCs w:val="12"/>
              </w:rPr>
            </w:pPr>
            <w:r>
              <w:rPr>
                <w:sz w:val="12"/>
                <w:szCs w:val="12"/>
                <w:spacing w:val="-1"/>
              </w:rPr>
              <w:t>蛀干害虫</w:t>
            </w:r>
          </w:p>
        </w:tc>
        <w:tc>
          <w:tcPr>
            <w:tcW w:w="959" w:type="dxa"/>
            <w:vAlign w:val="top"/>
            <w:vMerge w:val="restart"/>
            <w:tcBorders>
              <w:bottom w:val="nil"/>
            </w:tcBorders>
          </w:tcPr>
          <w:p>
            <w:pPr>
              <w:spacing w:line="356" w:lineRule="auto"/>
              <w:rPr>
                <w:rFonts w:ascii="Arial"/>
                <w:sz w:val="21"/>
              </w:rPr>
            </w:pPr>
            <w:r/>
          </w:p>
          <w:p>
            <w:pPr>
              <w:pStyle w:val="TableText"/>
              <w:ind w:left="51" w:right="63"/>
              <w:spacing w:before="39" w:line="231" w:lineRule="auto"/>
              <w:rPr>
                <w:sz w:val="12"/>
                <w:szCs w:val="12"/>
              </w:rPr>
            </w:pPr>
            <w:r>
              <w:rPr>
                <w:sz w:val="12"/>
                <w:szCs w:val="12"/>
                <w:spacing w:val="-2"/>
              </w:rPr>
              <w:t>天牛类、小嘉虫</w:t>
            </w:r>
            <w:r>
              <w:rPr>
                <w:sz w:val="12"/>
                <w:szCs w:val="12"/>
                <w:spacing w:val="5"/>
              </w:rPr>
              <w:t xml:space="preserve"> </w:t>
            </w:r>
            <w:r>
              <w:rPr>
                <w:sz w:val="12"/>
                <w:szCs w:val="12"/>
                <w:spacing w:val="-1"/>
              </w:rPr>
              <w:t>,透妞蛾，芳香</w:t>
            </w:r>
            <w:r>
              <w:rPr>
                <w:sz w:val="12"/>
                <w:szCs w:val="12"/>
              </w:rPr>
              <w:t xml:space="preserve">  </w:t>
            </w:r>
            <w:r>
              <w:rPr>
                <w:sz w:val="12"/>
                <w:szCs w:val="12"/>
                <w:spacing w:val="-1"/>
              </w:rPr>
              <w:t>木盘蝇、杨干象</w:t>
            </w:r>
          </w:p>
          <w:p>
            <w:pPr>
              <w:pStyle w:val="TableText"/>
              <w:ind w:left="171"/>
              <w:spacing w:line="219" w:lineRule="auto"/>
              <w:rPr>
                <w:sz w:val="12"/>
                <w:szCs w:val="12"/>
              </w:rPr>
            </w:pPr>
            <w:r>
              <w:rPr>
                <w:sz w:val="12"/>
                <w:szCs w:val="12"/>
                <w:spacing w:val="-3"/>
              </w:rPr>
              <w:t>、吉丁虫等</w:t>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94"/>
              <w:spacing w:before="168" w:line="219" w:lineRule="auto"/>
              <w:rPr>
                <w:sz w:val="12"/>
                <w:szCs w:val="12"/>
              </w:rPr>
            </w:pPr>
            <w:r>
              <w:rPr>
                <w:sz w:val="12"/>
                <w:szCs w:val="12"/>
                <w:spacing w:val="1"/>
              </w:rPr>
              <w:t>国光毒枪</w:t>
            </w:r>
          </w:p>
        </w:tc>
        <w:tc>
          <w:tcPr>
            <w:tcW w:w="1919" w:type="dxa"/>
            <w:vAlign w:val="top"/>
          </w:tcPr>
          <w:p>
            <w:pPr>
              <w:pStyle w:val="TableText"/>
              <w:ind w:left="385"/>
              <w:spacing w:before="168" w:line="219" w:lineRule="auto"/>
              <w:rPr>
                <w:sz w:val="12"/>
                <w:szCs w:val="12"/>
              </w:rPr>
            </w:pPr>
            <w:r>
              <w:rPr>
                <w:sz w:val="12"/>
                <w:szCs w:val="12"/>
                <w:spacing w:val="-1"/>
              </w:rPr>
              <w:t>45%丙溴，辛疏磷乳泊</w:t>
            </w:r>
          </w:p>
        </w:tc>
        <w:tc>
          <w:tcPr>
            <w:tcW w:w="1659" w:type="dxa"/>
            <w:vAlign w:val="top"/>
          </w:tcPr>
          <w:p>
            <w:pPr>
              <w:pStyle w:val="TableText"/>
              <w:ind w:left="466"/>
              <w:spacing w:before="168" w:line="219" w:lineRule="auto"/>
              <w:rPr>
                <w:sz w:val="12"/>
                <w:szCs w:val="12"/>
              </w:rPr>
            </w:pPr>
            <w:r>
              <w:rPr>
                <w:sz w:val="12"/>
                <w:szCs w:val="12"/>
                <w:spacing w:val="-1"/>
              </w:rPr>
              <w:t>稀释5-10倍液</w:t>
            </w:r>
          </w:p>
        </w:tc>
        <w:tc>
          <w:tcPr>
            <w:tcW w:w="1069" w:type="dxa"/>
            <w:vAlign w:val="top"/>
            <w:vMerge w:val="restart"/>
            <w:tcBorders>
              <w:bottom w:val="nil"/>
            </w:tcBorders>
          </w:tcPr>
          <w:p>
            <w:pPr>
              <w:spacing w:line="445" w:lineRule="auto"/>
              <w:rPr>
                <w:rFonts w:ascii="Arial"/>
                <w:sz w:val="21"/>
              </w:rPr>
            </w:pPr>
            <w:r/>
          </w:p>
          <w:p>
            <w:pPr>
              <w:pStyle w:val="TableText"/>
              <w:ind w:left="17"/>
              <w:spacing w:before="39" w:line="201" w:lineRule="auto"/>
              <w:rPr>
                <w:sz w:val="12"/>
                <w:szCs w:val="12"/>
              </w:rPr>
            </w:pPr>
            <w:r>
              <w:rPr>
                <w:sz w:val="12"/>
                <w:szCs w:val="12"/>
                <w:spacing w:val="-1"/>
              </w:rPr>
              <w:t>一般用3次，时间间</w:t>
            </w:r>
          </w:p>
          <w:p>
            <w:pPr>
              <w:pStyle w:val="TableText"/>
              <w:ind w:left="17"/>
              <w:spacing w:line="220" w:lineRule="auto"/>
              <w:rPr>
                <w:sz w:val="12"/>
                <w:szCs w:val="12"/>
              </w:rPr>
            </w:pPr>
            <w:r>
              <w:rPr>
                <w:sz w:val="12"/>
                <w:szCs w:val="12"/>
                <w:spacing w:val="-2"/>
              </w:rPr>
              <w:t>隔7到10天。视现场</w:t>
            </w:r>
          </w:p>
          <w:p>
            <w:pPr>
              <w:pStyle w:val="TableText"/>
              <w:ind w:left="107"/>
              <w:spacing w:before="16" w:line="219" w:lineRule="auto"/>
              <w:rPr>
                <w:sz w:val="12"/>
                <w:szCs w:val="12"/>
              </w:rPr>
            </w:pPr>
            <w:r>
              <w:rPr>
                <w:sz w:val="12"/>
                <w:szCs w:val="12"/>
                <w:spacing w:val="-1"/>
              </w:rPr>
              <w:t>情况可增加次数</w:t>
            </w:r>
          </w:p>
        </w:tc>
        <w:tc>
          <w:tcPr>
            <w:tcW w:w="699" w:type="dxa"/>
            <w:vAlign w:val="top"/>
          </w:tcPr>
          <w:p>
            <w:pPr>
              <w:pStyle w:val="TableText"/>
              <w:ind w:left="256" w:right="126" w:hanging="89"/>
              <w:spacing w:before="120" w:line="217"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774" w:type="dxa"/>
            <w:vAlign w:val="top"/>
          </w:tcPr>
          <w:p>
            <w:pPr>
              <w:pStyle w:val="TableText"/>
              <w:ind w:left="19"/>
              <w:spacing w:before="168" w:line="219" w:lineRule="auto"/>
              <w:rPr>
                <w:sz w:val="12"/>
                <w:szCs w:val="12"/>
              </w:rPr>
            </w:pPr>
            <w:r>
              <w:rPr>
                <w:sz w:val="12"/>
                <w:szCs w:val="12"/>
                <w:spacing w:val="-1"/>
              </w:rPr>
              <w:t>注射虫洞，黄泥封洞</w:t>
            </w:r>
          </w:p>
        </w:tc>
      </w:tr>
      <w:tr>
        <w:trPr>
          <w:trHeight w:val="43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274"/>
              <w:spacing w:before="157" w:line="219" w:lineRule="auto"/>
              <w:rPr>
                <w:sz w:val="12"/>
                <w:szCs w:val="12"/>
              </w:rPr>
            </w:pPr>
            <w:r>
              <w:rPr>
                <w:sz w:val="12"/>
                <w:szCs w:val="12"/>
                <w:spacing w:val="1"/>
              </w:rPr>
              <w:t>国光防蛀液剂</w:t>
            </w:r>
          </w:p>
        </w:tc>
        <w:tc>
          <w:tcPr>
            <w:tcW w:w="1919" w:type="dxa"/>
            <w:vAlign w:val="top"/>
          </w:tcPr>
          <w:p>
            <w:pPr>
              <w:pStyle w:val="TableText"/>
              <w:ind w:left="655"/>
              <w:spacing w:before="157" w:line="219" w:lineRule="auto"/>
              <w:rPr>
                <w:sz w:val="12"/>
                <w:szCs w:val="12"/>
              </w:rPr>
            </w:pPr>
            <w:r>
              <w:rPr>
                <w:sz w:val="12"/>
                <w:szCs w:val="12"/>
                <w:spacing w:val="-1"/>
              </w:rPr>
              <w:t>0.3%氧菊酯</w:t>
            </w:r>
          </w:p>
        </w:tc>
        <w:tc>
          <w:tcPr>
            <w:tcW w:w="1659" w:type="dxa"/>
            <w:vAlign w:val="top"/>
          </w:tcPr>
          <w:p>
            <w:pPr>
              <w:pStyle w:val="TableText"/>
              <w:ind w:left="585"/>
              <w:spacing w:before="158" w:line="219" w:lineRule="auto"/>
              <w:rPr>
                <w:sz w:val="12"/>
                <w:szCs w:val="12"/>
              </w:rPr>
            </w:pPr>
            <w:r>
              <w:rPr>
                <w:sz w:val="12"/>
                <w:szCs w:val="12"/>
                <w:spacing w:val="3"/>
              </w:rPr>
              <w:t>直接使用</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78"/>
              <w:spacing w:before="158" w:line="220" w:lineRule="auto"/>
              <w:rPr>
                <w:sz w:val="12"/>
                <w:szCs w:val="12"/>
              </w:rPr>
            </w:pPr>
            <w:r>
              <w:rPr>
                <w:sz w:val="12"/>
                <w:szCs w:val="12"/>
                <w:spacing w:val="4"/>
              </w:rPr>
              <w:t>(20</w:t>
            </w:r>
            <w:r>
              <w:rPr>
                <w:sz w:val="12"/>
                <w:szCs w:val="12"/>
              </w:rPr>
              <w:t>ml</w:t>
            </w:r>
            <w:r>
              <w:rPr>
                <w:sz w:val="12"/>
                <w:szCs w:val="12"/>
                <w:spacing w:val="4"/>
              </w:rPr>
              <w:t>/支)</w:t>
            </w:r>
          </w:p>
        </w:tc>
        <w:tc>
          <w:tcPr>
            <w:tcW w:w="2774" w:type="dxa"/>
            <w:vAlign w:val="top"/>
          </w:tcPr>
          <w:p>
            <w:pPr>
              <w:pStyle w:val="TableText"/>
              <w:ind w:left="19" w:right="170"/>
              <w:spacing w:before="97" w:line="219" w:lineRule="auto"/>
              <w:rPr>
                <w:sz w:val="12"/>
                <w:szCs w:val="12"/>
              </w:rPr>
            </w:pPr>
            <w:r>
              <w:rPr>
                <w:sz w:val="12"/>
                <w:szCs w:val="12"/>
              </w:rPr>
              <w:t>专杀蛀杆性害虫胸径8-10cm用1支，每</w:t>
            </w:r>
            <w:r>
              <w:rPr>
                <w:sz w:val="12"/>
                <w:szCs w:val="12"/>
                <w:spacing w:val="-1"/>
              </w:rPr>
              <w:t>增加10cm增</w:t>
            </w:r>
            <w:r>
              <w:rPr>
                <w:sz w:val="12"/>
                <w:szCs w:val="12"/>
              </w:rPr>
              <w:t xml:space="preserve"> </w:t>
            </w:r>
            <w:r>
              <w:rPr>
                <w:sz w:val="12"/>
                <w:szCs w:val="12"/>
                <w:spacing w:val="-1"/>
              </w:rPr>
              <w:t>加1支</w:t>
            </w:r>
          </w:p>
        </w:tc>
      </w:tr>
      <w:tr>
        <w:trPr>
          <w:trHeight w:val="44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154"/>
              <w:spacing w:before="158" w:line="219" w:lineRule="auto"/>
              <w:rPr>
                <w:sz w:val="12"/>
                <w:szCs w:val="12"/>
              </w:rPr>
            </w:pPr>
            <w:r>
              <w:rPr>
                <w:sz w:val="12"/>
                <w:szCs w:val="12"/>
                <w:spacing w:val="1"/>
              </w:rPr>
              <w:t>中威蛀干害虫专用</w:t>
            </w:r>
          </w:p>
        </w:tc>
        <w:tc>
          <w:tcPr>
            <w:tcW w:w="1919" w:type="dxa"/>
            <w:vAlign w:val="top"/>
          </w:tcPr>
          <w:p>
            <w:pPr>
              <w:pStyle w:val="TableText"/>
              <w:ind w:left="264"/>
              <w:spacing w:before="158" w:line="219" w:lineRule="auto"/>
              <w:rPr>
                <w:sz w:val="12"/>
                <w:szCs w:val="12"/>
              </w:rPr>
            </w:pPr>
            <w:r>
              <w:rPr>
                <w:sz w:val="12"/>
                <w:szCs w:val="12"/>
                <w:spacing w:val="-8"/>
              </w:rPr>
              <w:t>氦虎</w:t>
            </w:r>
            <w:r>
              <w:rPr>
                <w:sz w:val="12"/>
                <w:szCs w:val="12"/>
                <w:spacing w:val="-9"/>
              </w:rPr>
              <w:t xml:space="preserve"> </w:t>
            </w:r>
            <w:r>
              <w:rPr>
                <w:sz w:val="12"/>
                <w:szCs w:val="12"/>
                <w:spacing w:val="-8"/>
              </w:rPr>
              <w:t>·马拉松</w:t>
            </w:r>
            <w:r>
              <w:rPr>
                <w:sz w:val="12"/>
                <w:szCs w:val="12"/>
                <w:spacing w:val="-14"/>
              </w:rPr>
              <w:t xml:space="preserve"> </w:t>
            </w:r>
            <w:r>
              <w:rPr>
                <w:sz w:val="12"/>
                <w:szCs w:val="12"/>
                <w:spacing w:val="-8"/>
              </w:rPr>
              <w:t>·苦参碱20%</w:t>
            </w:r>
          </w:p>
        </w:tc>
        <w:tc>
          <w:tcPr>
            <w:tcW w:w="1659" w:type="dxa"/>
            <w:vAlign w:val="top"/>
          </w:tcPr>
          <w:p>
            <w:pPr>
              <w:pStyle w:val="TableText"/>
              <w:ind w:left="585"/>
              <w:spacing w:before="159" w:line="219" w:lineRule="auto"/>
              <w:rPr>
                <w:sz w:val="12"/>
                <w:szCs w:val="12"/>
              </w:rPr>
            </w:pPr>
            <w:r>
              <w:rPr>
                <w:sz w:val="12"/>
                <w:szCs w:val="12"/>
                <w:spacing w:val="3"/>
              </w:rPr>
              <w:t>直接使用</w:t>
            </w:r>
          </w:p>
        </w:tc>
        <w:tc>
          <w:tcPr>
            <w:tcW w:w="1069" w:type="dxa"/>
            <w:vAlign w:val="top"/>
            <w:vMerge w:val="continue"/>
            <w:tcBorders>
              <w:top w:val="nil"/>
            </w:tcBorders>
          </w:tcPr>
          <w:p>
            <w:pPr>
              <w:rPr>
                <w:rFonts w:ascii="Arial"/>
                <w:sz w:val="21"/>
              </w:rPr>
            </w:pPr>
            <w:r/>
          </w:p>
        </w:tc>
        <w:tc>
          <w:tcPr>
            <w:tcW w:w="699" w:type="dxa"/>
            <w:vAlign w:val="top"/>
          </w:tcPr>
          <w:p>
            <w:pPr>
              <w:pStyle w:val="TableText"/>
              <w:ind w:left="78"/>
              <w:spacing w:before="159" w:line="220" w:lineRule="auto"/>
              <w:rPr>
                <w:sz w:val="12"/>
                <w:szCs w:val="12"/>
              </w:rPr>
            </w:pPr>
            <w:r>
              <w:rPr>
                <w:sz w:val="12"/>
                <w:szCs w:val="12"/>
                <w:spacing w:val="4"/>
              </w:rPr>
              <w:t>(20</w:t>
            </w:r>
            <w:r>
              <w:rPr>
                <w:sz w:val="12"/>
                <w:szCs w:val="12"/>
              </w:rPr>
              <w:t>ml</w:t>
            </w:r>
            <w:r>
              <w:rPr>
                <w:sz w:val="12"/>
                <w:szCs w:val="12"/>
                <w:spacing w:val="4"/>
              </w:rPr>
              <w:t>/支)</w:t>
            </w:r>
          </w:p>
        </w:tc>
        <w:tc>
          <w:tcPr>
            <w:tcW w:w="2774" w:type="dxa"/>
            <w:vAlign w:val="top"/>
          </w:tcPr>
          <w:p>
            <w:pPr>
              <w:pStyle w:val="TableText"/>
              <w:ind w:left="19"/>
              <w:spacing w:before="88" w:line="263" w:lineRule="auto"/>
              <w:rPr>
                <w:sz w:val="12"/>
                <w:szCs w:val="12"/>
              </w:rPr>
            </w:pPr>
            <w:r>
              <w:rPr>
                <w:sz w:val="12"/>
                <w:szCs w:val="12"/>
                <w:spacing w:val="-1"/>
              </w:rPr>
              <w:t>针对天牛幼虫、吉丁虫。松材线虫等蛀干害虫效果明</w:t>
            </w:r>
            <w:r>
              <w:rPr>
                <w:sz w:val="12"/>
                <w:szCs w:val="12"/>
                <w:spacing w:val="6"/>
              </w:rPr>
              <w:t xml:space="preserve"> </w:t>
            </w:r>
            <w:r>
              <w:rPr>
                <w:sz w:val="12"/>
                <w:szCs w:val="12"/>
              </w:rPr>
              <w:t>显</w:t>
            </w:r>
          </w:p>
        </w:tc>
      </w:tr>
      <w:tr>
        <w:trPr>
          <w:trHeight w:val="439" w:hRule="atLeast"/>
        </w:trPr>
        <w:tc>
          <w:tcPr>
            <w:tcW w:w="415" w:type="dxa"/>
            <w:vAlign w:val="top"/>
            <w:vMerge w:val="continue"/>
            <w:tcBorders>
              <w:top w:val="nil"/>
              <w:bottom w:val="nil"/>
            </w:tcBorders>
          </w:tcPr>
          <w:p>
            <w:pPr>
              <w:rPr>
                <w:rFonts w:ascii="Arial"/>
                <w:sz w:val="21"/>
              </w:rPr>
            </w:pPr>
            <w:r/>
          </w:p>
        </w:tc>
        <w:tc>
          <w:tcPr>
            <w:tcW w:w="539" w:type="dxa"/>
            <w:vAlign w:val="top"/>
            <w:vMerge w:val="restart"/>
            <w:tcBorders>
              <w:bottom w:val="nil"/>
            </w:tcBorders>
          </w:tcPr>
          <w:p>
            <w:pPr>
              <w:spacing w:line="288" w:lineRule="auto"/>
              <w:rPr>
                <w:rFonts w:ascii="Arial"/>
                <w:sz w:val="21"/>
              </w:rPr>
            </w:pPr>
            <w:r/>
          </w:p>
          <w:p>
            <w:pPr>
              <w:spacing w:line="288" w:lineRule="auto"/>
              <w:rPr>
                <w:rFonts w:ascii="Arial"/>
                <w:sz w:val="21"/>
              </w:rPr>
            </w:pPr>
            <w:r/>
          </w:p>
          <w:p>
            <w:pPr>
              <w:pStyle w:val="TableText"/>
              <w:ind w:left="20"/>
              <w:spacing w:before="39" w:line="220" w:lineRule="auto"/>
              <w:rPr>
                <w:sz w:val="12"/>
                <w:szCs w:val="12"/>
              </w:rPr>
            </w:pPr>
            <w:r>
              <w:rPr>
                <w:sz w:val="12"/>
                <w:szCs w:val="12"/>
                <w:spacing w:val="-1"/>
              </w:rPr>
              <w:t>地下害虫</w:t>
            </w:r>
          </w:p>
        </w:tc>
        <w:tc>
          <w:tcPr>
            <w:tcW w:w="959"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pStyle w:val="TableText"/>
              <w:ind w:left="110" w:hanging="59"/>
              <w:spacing w:before="39" w:line="250" w:lineRule="auto"/>
              <w:rPr>
                <w:sz w:val="12"/>
                <w:szCs w:val="12"/>
              </w:rPr>
            </w:pPr>
            <w:r>
              <w:rPr>
                <w:sz w:val="12"/>
                <w:szCs w:val="12"/>
                <w:spacing w:val="8"/>
              </w:rPr>
              <w:t>蛴鳍、地老虎、</w:t>
            </w:r>
            <w:r>
              <w:rPr>
                <w:sz w:val="12"/>
                <w:szCs w:val="12"/>
              </w:rPr>
              <w:t xml:space="preserve"> </w:t>
            </w:r>
            <w:r>
              <w:rPr>
                <w:sz w:val="12"/>
                <w:szCs w:val="12"/>
                <w:spacing w:val="-1"/>
              </w:rPr>
              <w:t>其他土中虫卵</w:t>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94"/>
              <w:spacing w:before="158" w:line="219" w:lineRule="auto"/>
              <w:rPr>
                <w:sz w:val="12"/>
                <w:szCs w:val="12"/>
              </w:rPr>
            </w:pPr>
            <w:r>
              <w:rPr>
                <w:sz w:val="12"/>
                <w:szCs w:val="12"/>
                <w:spacing w:val="1"/>
              </w:rPr>
              <w:t>国光地杀</w:t>
            </w:r>
          </w:p>
        </w:tc>
        <w:tc>
          <w:tcPr>
            <w:tcW w:w="1919" w:type="dxa"/>
            <w:vAlign w:val="top"/>
          </w:tcPr>
          <w:p>
            <w:pPr>
              <w:pStyle w:val="TableText"/>
              <w:ind w:left="204"/>
              <w:spacing w:before="158" w:line="219" w:lineRule="auto"/>
              <w:rPr>
                <w:sz w:val="12"/>
                <w:szCs w:val="12"/>
              </w:rPr>
            </w:pPr>
            <w:r>
              <w:rPr>
                <w:sz w:val="12"/>
                <w:szCs w:val="12"/>
                <w:spacing w:val="-1"/>
              </w:rPr>
              <w:t>5%丁硫克百威.毒死婢颗粒剂</w:t>
            </w:r>
          </w:p>
        </w:tc>
        <w:tc>
          <w:tcPr>
            <w:tcW w:w="1659" w:type="dxa"/>
            <w:vAlign w:val="top"/>
          </w:tcPr>
          <w:p>
            <w:pPr>
              <w:pStyle w:val="TableText"/>
              <w:ind w:left="286"/>
              <w:spacing w:before="154" w:line="214" w:lineRule="auto"/>
              <w:rPr>
                <w:sz w:val="12"/>
                <w:szCs w:val="12"/>
              </w:rPr>
            </w:pPr>
            <w:r>
              <w:rPr>
                <w:sz w:val="12"/>
                <w:szCs w:val="12"/>
                <w:spacing w:val="-1"/>
              </w:rPr>
              <w:t>直接撤施：5-7kg/亩</w:t>
            </w:r>
          </w:p>
        </w:tc>
        <w:tc>
          <w:tcPr>
            <w:tcW w:w="1069" w:type="dxa"/>
            <w:vAlign w:val="top"/>
            <w:vMerge w:val="restart"/>
            <w:tcBorders>
              <w:bottom w:val="nil"/>
            </w:tcBorders>
          </w:tcPr>
          <w:p>
            <w:pPr>
              <w:spacing w:line="288" w:lineRule="auto"/>
              <w:rPr>
                <w:rFonts w:ascii="Arial"/>
                <w:sz w:val="21"/>
              </w:rPr>
            </w:pPr>
            <w:r/>
          </w:p>
          <w:p>
            <w:pPr>
              <w:spacing w:line="288" w:lineRule="auto"/>
              <w:rPr>
                <w:rFonts w:ascii="Arial"/>
                <w:sz w:val="21"/>
              </w:rPr>
            </w:pPr>
            <w:r/>
          </w:p>
          <w:p>
            <w:pPr>
              <w:pStyle w:val="TableText"/>
              <w:ind w:left="257"/>
              <w:spacing w:before="39" w:line="219" w:lineRule="auto"/>
              <w:rPr>
                <w:sz w:val="12"/>
                <w:szCs w:val="12"/>
              </w:rPr>
            </w:pPr>
            <w:r>
              <w:rPr>
                <w:sz w:val="12"/>
                <w:szCs w:val="12"/>
                <w:spacing w:val="-2"/>
              </w:rPr>
              <w:t>一般用1次</w:t>
            </w:r>
          </w:p>
        </w:tc>
        <w:tc>
          <w:tcPr>
            <w:tcW w:w="699" w:type="dxa"/>
            <w:vAlign w:val="top"/>
          </w:tcPr>
          <w:p>
            <w:pPr>
              <w:pStyle w:val="TableText"/>
              <w:ind w:left="107"/>
              <w:spacing w:before="154" w:line="214" w:lineRule="auto"/>
              <w:rPr>
                <w:sz w:val="12"/>
                <w:szCs w:val="12"/>
              </w:rPr>
            </w:pPr>
            <w:r>
              <w:rPr>
                <w:sz w:val="12"/>
                <w:szCs w:val="12"/>
                <w:spacing w:val="5"/>
              </w:rPr>
              <w:t>(1</w:t>
            </w:r>
            <w:r>
              <w:rPr>
                <w:sz w:val="12"/>
                <w:szCs w:val="12"/>
              </w:rPr>
              <w:t>kg</w:t>
            </w:r>
            <w:r>
              <w:rPr>
                <w:sz w:val="12"/>
                <w:szCs w:val="12"/>
                <w:spacing w:val="5"/>
              </w:rPr>
              <w:t>/装)</w:t>
            </w:r>
          </w:p>
        </w:tc>
        <w:tc>
          <w:tcPr>
            <w:tcW w:w="2774" w:type="dxa"/>
            <w:vAlign w:val="top"/>
          </w:tcPr>
          <w:p>
            <w:pPr>
              <w:pStyle w:val="TableText"/>
              <w:ind w:left="19"/>
              <w:spacing w:before="158" w:line="219" w:lineRule="auto"/>
              <w:rPr>
                <w:sz w:val="12"/>
                <w:szCs w:val="12"/>
              </w:rPr>
            </w:pPr>
            <w:r>
              <w:rPr>
                <w:sz w:val="12"/>
                <w:szCs w:val="12"/>
                <w:spacing w:val="-1"/>
              </w:rPr>
              <w:t>在土壤中杀灭害虫效果好，使用方便</w:t>
            </w:r>
          </w:p>
        </w:tc>
      </w:tr>
      <w:tr>
        <w:trPr>
          <w:trHeight w:val="45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34"/>
              <w:spacing w:before="169" w:line="219" w:lineRule="auto"/>
              <w:rPr>
                <w:sz w:val="12"/>
                <w:szCs w:val="12"/>
              </w:rPr>
            </w:pPr>
            <w:r>
              <w:rPr>
                <w:sz w:val="12"/>
                <w:szCs w:val="12"/>
                <w:spacing w:val="-1"/>
              </w:rPr>
              <w:t>诺普信璃功</w:t>
            </w:r>
          </w:p>
        </w:tc>
        <w:tc>
          <w:tcPr>
            <w:tcW w:w="1919" w:type="dxa"/>
            <w:vAlign w:val="top"/>
          </w:tcPr>
          <w:p>
            <w:pPr>
              <w:pStyle w:val="TableText"/>
              <w:ind w:left="475"/>
              <w:spacing w:before="169" w:line="219" w:lineRule="auto"/>
              <w:rPr>
                <w:sz w:val="12"/>
                <w:szCs w:val="12"/>
              </w:rPr>
            </w:pPr>
            <w:r>
              <w:rPr>
                <w:sz w:val="12"/>
                <w:szCs w:val="12"/>
                <w:spacing w:val="-1"/>
              </w:rPr>
              <w:t>高效氯氟氰菊酯5%</w:t>
            </w:r>
          </w:p>
        </w:tc>
        <w:tc>
          <w:tcPr>
            <w:tcW w:w="1659" w:type="dxa"/>
            <w:vAlign w:val="top"/>
          </w:tcPr>
          <w:p>
            <w:pPr>
              <w:pStyle w:val="TableText"/>
              <w:ind w:left="496"/>
              <w:spacing w:before="170" w:line="220" w:lineRule="auto"/>
              <w:rPr>
                <w:sz w:val="12"/>
                <w:szCs w:val="12"/>
              </w:rPr>
            </w:pPr>
            <w:r>
              <w:rPr>
                <w:sz w:val="12"/>
                <w:szCs w:val="12"/>
                <w:spacing w:val="-5"/>
              </w:rPr>
              <w:t>1000—1500倍</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78"/>
              <w:spacing w:before="170" w:line="221" w:lineRule="auto"/>
              <w:rPr>
                <w:sz w:val="12"/>
                <w:szCs w:val="12"/>
              </w:rPr>
            </w:pPr>
            <w:r>
              <w:rPr>
                <w:sz w:val="12"/>
                <w:szCs w:val="12"/>
                <w:spacing w:val="-2"/>
              </w:rPr>
              <w:t>1000ml/瓶</w:t>
            </w:r>
          </w:p>
        </w:tc>
        <w:tc>
          <w:tcPr>
            <w:tcW w:w="2774" w:type="dxa"/>
            <w:vAlign w:val="top"/>
          </w:tcPr>
          <w:p>
            <w:pPr>
              <w:pStyle w:val="TableText"/>
              <w:ind w:left="19" w:right="9" w:firstLine="9"/>
              <w:spacing w:before="109" w:line="218" w:lineRule="auto"/>
              <w:rPr>
                <w:sz w:val="12"/>
                <w:szCs w:val="12"/>
              </w:rPr>
            </w:pPr>
            <w:r>
              <w:rPr>
                <w:sz w:val="12"/>
                <w:szCs w:val="12"/>
                <w:spacing w:val="-2"/>
              </w:rPr>
              <w:t>杀灭蛴蜡、蝼蛄、蚯蚓等地下害虫和粘虫、蚜虫，青</w:t>
            </w:r>
            <w:r>
              <w:rPr>
                <w:sz w:val="12"/>
                <w:szCs w:val="12"/>
                <w:spacing w:val="10"/>
              </w:rPr>
              <w:t xml:space="preserve"> </w:t>
            </w:r>
            <w:r>
              <w:rPr>
                <w:sz w:val="12"/>
                <w:szCs w:val="12"/>
                <w:spacing w:val="-2"/>
              </w:rPr>
              <w:t>虫、蚂蚁等</w:t>
            </w:r>
          </w:p>
        </w:tc>
      </w:tr>
      <w:tr>
        <w:trPr>
          <w:trHeight w:val="440" w:hRule="atLeast"/>
        </w:trPr>
        <w:tc>
          <w:tcPr>
            <w:tcW w:w="415"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tcBorders>
          </w:tcPr>
          <w:p>
            <w:pPr>
              <w:rPr>
                <w:rFonts w:ascii="Arial"/>
                <w:sz w:val="21"/>
              </w:rPr>
            </w:pPr>
            <w:r/>
          </w:p>
        </w:tc>
        <w:tc>
          <w:tcPr>
            <w:tcW w:w="1289" w:type="dxa"/>
            <w:vAlign w:val="top"/>
          </w:tcPr>
          <w:p>
            <w:pPr>
              <w:pStyle w:val="TableText"/>
              <w:ind w:left="334"/>
              <w:spacing w:before="160" w:line="220" w:lineRule="auto"/>
              <w:rPr>
                <w:sz w:val="12"/>
                <w:szCs w:val="12"/>
              </w:rPr>
            </w:pPr>
            <w:r>
              <w:rPr>
                <w:sz w:val="12"/>
                <w:szCs w:val="12"/>
              </w:rPr>
              <w:t>中威击绿健</w:t>
            </w:r>
          </w:p>
        </w:tc>
        <w:tc>
          <w:tcPr>
            <w:tcW w:w="1919" w:type="dxa"/>
            <w:vAlign w:val="top"/>
          </w:tcPr>
          <w:p>
            <w:pPr>
              <w:pStyle w:val="TableText"/>
              <w:ind w:left="685"/>
              <w:spacing w:before="160" w:line="219" w:lineRule="auto"/>
              <w:rPr>
                <w:sz w:val="12"/>
                <w:szCs w:val="12"/>
              </w:rPr>
            </w:pPr>
            <w:r>
              <w:rPr>
                <w:sz w:val="12"/>
                <w:szCs w:val="12"/>
                <w:spacing w:val="-1"/>
              </w:rPr>
              <w:t>二喃磷20%</w:t>
            </w:r>
          </w:p>
        </w:tc>
        <w:tc>
          <w:tcPr>
            <w:tcW w:w="1659" w:type="dxa"/>
            <w:vAlign w:val="top"/>
          </w:tcPr>
          <w:p>
            <w:pPr>
              <w:pStyle w:val="TableText"/>
              <w:ind w:left="256"/>
              <w:spacing w:before="155" w:line="214" w:lineRule="auto"/>
              <w:rPr>
                <w:sz w:val="12"/>
                <w:szCs w:val="12"/>
              </w:rPr>
            </w:pPr>
            <w:r>
              <w:rPr>
                <w:sz w:val="12"/>
                <w:szCs w:val="12"/>
                <w:spacing w:val="-5"/>
              </w:rPr>
              <w:t>直接撤施，每亩1—2kg</w:t>
            </w:r>
          </w:p>
        </w:tc>
        <w:tc>
          <w:tcPr>
            <w:tcW w:w="1069" w:type="dxa"/>
            <w:vAlign w:val="top"/>
            <w:vMerge w:val="continue"/>
            <w:tcBorders>
              <w:top w:val="nil"/>
            </w:tcBorders>
          </w:tcPr>
          <w:p>
            <w:pPr>
              <w:rPr>
                <w:rFonts w:ascii="Arial"/>
                <w:sz w:val="21"/>
              </w:rPr>
            </w:pPr>
            <w:r/>
          </w:p>
        </w:tc>
        <w:tc>
          <w:tcPr>
            <w:tcW w:w="699" w:type="dxa"/>
            <w:vAlign w:val="top"/>
          </w:tcPr>
          <w:p>
            <w:pPr>
              <w:pStyle w:val="TableText"/>
              <w:ind w:left="107"/>
              <w:spacing w:before="155" w:line="214" w:lineRule="auto"/>
              <w:rPr>
                <w:sz w:val="12"/>
                <w:szCs w:val="12"/>
              </w:rPr>
            </w:pPr>
            <w:r>
              <w:rPr>
                <w:sz w:val="12"/>
                <w:szCs w:val="12"/>
                <w:spacing w:val="5"/>
              </w:rPr>
              <w:t>(1</w:t>
            </w:r>
            <w:r>
              <w:rPr>
                <w:sz w:val="12"/>
                <w:szCs w:val="12"/>
              </w:rPr>
              <w:t>kg</w:t>
            </w:r>
            <w:r>
              <w:rPr>
                <w:sz w:val="12"/>
                <w:szCs w:val="12"/>
                <w:spacing w:val="5"/>
              </w:rPr>
              <w:t>/袋)</w:t>
            </w:r>
          </w:p>
        </w:tc>
        <w:tc>
          <w:tcPr>
            <w:tcW w:w="2774" w:type="dxa"/>
            <w:vAlign w:val="top"/>
          </w:tcPr>
          <w:p>
            <w:pPr>
              <w:pStyle w:val="TableText"/>
              <w:ind w:left="19" w:right="50"/>
              <w:spacing w:before="89" w:line="218" w:lineRule="auto"/>
              <w:rPr>
                <w:sz w:val="12"/>
                <w:szCs w:val="12"/>
              </w:rPr>
            </w:pPr>
            <w:r>
              <w:rPr>
                <w:sz w:val="12"/>
                <w:szCs w:val="12"/>
                <w:spacing w:val="-1"/>
              </w:rPr>
              <w:t>专治草坪地下害虫(蛴蜡、金针虫、地老虎、根结线</w:t>
            </w:r>
            <w:r>
              <w:rPr>
                <w:sz w:val="12"/>
                <w:szCs w:val="12"/>
                <w:spacing w:val="16"/>
                <w:w w:val="101"/>
              </w:rPr>
              <w:t xml:space="preserve"> </w:t>
            </w:r>
            <w:r>
              <w:rPr>
                <w:sz w:val="12"/>
                <w:szCs w:val="12"/>
                <w:spacing w:val="8"/>
              </w:rPr>
              <w:t>虫等)</w:t>
            </w:r>
          </w:p>
        </w:tc>
      </w:tr>
      <w:tr>
        <w:trPr>
          <w:trHeight w:val="410" w:hRule="atLeast"/>
        </w:trPr>
        <w:tc>
          <w:tcPr>
            <w:tcW w:w="415"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4"/>
              <w:spacing w:before="39" w:line="219" w:lineRule="auto"/>
              <w:rPr>
                <w:sz w:val="12"/>
                <w:szCs w:val="12"/>
              </w:rPr>
            </w:pPr>
            <w:r>
              <w:rPr>
                <w:sz w:val="12"/>
                <w:szCs w:val="12"/>
                <w:spacing w:val="-2"/>
              </w:rPr>
              <w:t>营养剂</w:t>
            </w:r>
          </w:p>
          <w:p>
            <w:pPr>
              <w:pStyle w:val="TableText"/>
              <w:ind w:left="44"/>
              <w:spacing w:before="17" w:line="219" w:lineRule="auto"/>
              <w:rPr>
                <w:sz w:val="12"/>
                <w:szCs w:val="12"/>
              </w:rPr>
            </w:pPr>
            <w:r>
              <w:rPr>
                <w:sz w:val="12"/>
                <w:szCs w:val="12"/>
                <w:spacing w:val="-1"/>
              </w:rPr>
              <w:t>/肥料</w:t>
            </w:r>
          </w:p>
        </w:tc>
        <w:tc>
          <w:tcPr>
            <w:tcW w:w="539"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0"/>
              <w:spacing w:before="39" w:line="219" w:lineRule="auto"/>
              <w:rPr>
                <w:sz w:val="12"/>
                <w:szCs w:val="12"/>
              </w:rPr>
            </w:pPr>
            <w:r>
              <w:rPr>
                <w:sz w:val="12"/>
                <w:szCs w:val="12"/>
                <w:spacing w:val="-1"/>
              </w:rPr>
              <w:t>树木复壮</w:t>
            </w:r>
          </w:p>
          <w:p>
            <w:pPr>
              <w:pStyle w:val="TableText"/>
              <w:ind w:left="20"/>
              <w:spacing w:before="17" w:line="219" w:lineRule="auto"/>
              <w:rPr>
                <w:sz w:val="12"/>
                <w:szCs w:val="12"/>
              </w:rPr>
            </w:pPr>
            <w:r>
              <w:rPr>
                <w:sz w:val="12"/>
                <w:szCs w:val="12"/>
                <w:spacing w:val="-2"/>
              </w:rPr>
              <w:t>草皮覆绿</w:t>
            </w:r>
          </w:p>
        </w:tc>
        <w:tc>
          <w:tcPr>
            <w:tcW w:w="959"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31" w:right="42" w:firstLine="19"/>
              <w:spacing w:before="39" w:line="232" w:lineRule="auto"/>
              <w:jc w:val="both"/>
              <w:rPr>
                <w:sz w:val="12"/>
                <w:szCs w:val="12"/>
              </w:rPr>
            </w:pPr>
            <w:r>
              <w:rPr>
                <w:sz w:val="12"/>
                <w:szCs w:val="12"/>
                <w:spacing w:val="2"/>
              </w:rPr>
              <w:t>树木长势竭，白</w:t>
            </w:r>
            <w:r>
              <w:rPr>
                <w:sz w:val="12"/>
                <w:szCs w:val="12"/>
              </w:rPr>
              <w:t xml:space="preserve"> </w:t>
            </w:r>
            <w:r>
              <w:rPr>
                <w:sz w:val="12"/>
                <w:szCs w:val="12"/>
              </w:rPr>
              <w:t>顶部向下有枯黄</w:t>
            </w:r>
            <w:r>
              <w:rPr>
                <w:sz w:val="12"/>
                <w:szCs w:val="12"/>
                <w:spacing w:val="4"/>
              </w:rPr>
              <w:t xml:space="preserve"> </w:t>
            </w:r>
            <w:r>
              <w:rPr>
                <w:sz w:val="12"/>
                <w:szCs w:val="12"/>
                <w:spacing w:val="2"/>
              </w:rPr>
              <w:t>现象，或高大乔</w:t>
            </w:r>
            <w:r>
              <w:rPr>
                <w:sz w:val="12"/>
                <w:szCs w:val="12"/>
              </w:rPr>
              <w:t xml:space="preserve"> </w:t>
            </w:r>
            <w:r>
              <w:rPr>
                <w:sz w:val="12"/>
                <w:szCs w:val="12"/>
                <w:spacing w:val="-1"/>
              </w:rPr>
              <w:t>木及贵重树木</w:t>
            </w:r>
          </w:p>
        </w:tc>
        <w:tc>
          <w:tcPr>
            <w:tcW w:w="2728" w:type="dxa"/>
            <w:vAlign w:val="top"/>
            <w:vMerge w:val="restart"/>
            <w:tcBorders>
              <w:bottom w:val="nil"/>
            </w:tcBorders>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pStyle w:val="TableText"/>
              <w:ind w:left="12" w:right="70"/>
              <w:spacing w:before="39" w:line="216" w:lineRule="auto"/>
              <w:rPr>
                <w:sz w:val="12"/>
                <w:szCs w:val="12"/>
              </w:rPr>
            </w:pPr>
            <w:r>
              <w:rPr>
                <w:sz w:val="12"/>
                <w:szCs w:val="12"/>
                <w:spacing w:val="-1"/>
              </w:rPr>
              <w:t>一、复壮宜故在树木发芽前或刚发芽。一方面是对</w:t>
            </w:r>
            <w:r>
              <w:rPr>
                <w:sz w:val="12"/>
                <w:szCs w:val="12"/>
                <w:spacing w:val="14"/>
              </w:rPr>
              <w:t xml:space="preserve"> </w:t>
            </w:r>
            <w:r>
              <w:rPr>
                <w:sz w:val="12"/>
                <w:szCs w:val="12"/>
                <w:spacing w:val="-1"/>
              </w:rPr>
              <w:t>树干的补水，另一方面是对根系的促生长，第三方</w:t>
            </w:r>
            <w:r>
              <w:rPr>
                <w:sz w:val="12"/>
                <w:szCs w:val="12"/>
                <w:spacing w:val="16"/>
              </w:rPr>
              <w:t xml:space="preserve"> </w:t>
            </w:r>
            <w:r>
              <w:rPr>
                <w:sz w:val="12"/>
                <w:szCs w:val="12"/>
                <w:spacing w:val="-1"/>
              </w:rPr>
              <w:t>面就是补充肥力：</w:t>
            </w:r>
          </w:p>
          <w:p>
            <w:pPr>
              <w:pStyle w:val="TableText"/>
              <w:ind w:left="12" w:right="66"/>
              <w:spacing w:before="7" w:line="210" w:lineRule="auto"/>
              <w:rPr>
                <w:sz w:val="12"/>
                <w:szCs w:val="12"/>
              </w:rPr>
            </w:pPr>
            <w:r>
              <w:rPr>
                <w:sz w:val="12"/>
                <w:szCs w:val="12"/>
              </w:rPr>
              <w:t>二、对于后期出现的树木长势衰弱，应查明原</w:t>
            </w:r>
            <w:r>
              <w:rPr>
                <w:sz w:val="12"/>
                <w:szCs w:val="12"/>
                <w:spacing w:val="-1"/>
              </w:rPr>
              <w:t>因，</w:t>
            </w:r>
            <w:r>
              <w:rPr>
                <w:sz w:val="12"/>
                <w:szCs w:val="12"/>
              </w:rPr>
              <w:t xml:space="preserve"> </w:t>
            </w:r>
            <w:r>
              <w:rPr>
                <w:sz w:val="12"/>
                <w:szCs w:val="12"/>
                <w:spacing w:val="10"/>
              </w:rPr>
              <w:t>做专项治疗；</w:t>
            </w:r>
          </w:p>
          <w:p>
            <w:pPr>
              <w:pStyle w:val="TableText"/>
              <w:ind w:left="12" w:right="70"/>
              <w:spacing w:before="7" w:line="220" w:lineRule="auto"/>
              <w:rPr>
                <w:sz w:val="12"/>
                <w:szCs w:val="12"/>
              </w:rPr>
            </w:pPr>
            <w:r>
              <w:rPr>
                <w:sz w:val="12"/>
                <w:szCs w:val="12"/>
                <w:spacing w:val="-1"/>
              </w:rPr>
              <w:t>三、主要集中在5月中甸到6月初，气温上升，空气</w:t>
            </w:r>
            <w:r>
              <w:rPr>
                <w:sz w:val="12"/>
                <w:szCs w:val="12"/>
                <w:spacing w:val="17"/>
              </w:rPr>
              <w:t xml:space="preserve"> </w:t>
            </w:r>
            <w:r>
              <w:rPr>
                <w:sz w:val="12"/>
                <w:szCs w:val="12"/>
                <w:spacing w:val="-1"/>
              </w:rPr>
              <w:t>湿度增加，苗木结束休配期开始返青，是树木复壮</w:t>
            </w:r>
            <w:r>
              <w:rPr>
                <w:sz w:val="12"/>
                <w:szCs w:val="12"/>
                <w:spacing w:val="16"/>
              </w:rPr>
              <w:t xml:space="preserve"> </w:t>
            </w:r>
            <w:r>
              <w:rPr>
                <w:sz w:val="12"/>
                <w:szCs w:val="12"/>
              </w:rPr>
              <w:t>最佳时机4,7-8月发现病情，及时喷药处理。</w:t>
            </w:r>
          </w:p>
        </w:tc>
        <w:tc>
          <w:tcPr>
            <w:tcW w:w="1289" w:type="dxa"/>
            <w:vAlign w:val="top"/>
          </w:tcPr>
          <w:p>
            <w:pPr>
              <w:pStyle w:val="TableText"/>
              <w:ind w:left="274"/>
              <w:spacing w:before="150" w:line="219" w:lineRule="auto"/>
              <w:rPr>
                <w:sz w:val="12"/>
                <w:szCs w:val="12"/>
              </w:rPr>
            </w:pPr>
            <w:r>
              <w:rPr>
                <w:sz w:val="12"/>
                <w:szCs w:val="12"/>
              </w:rPr>
              <w:t>国光吊针原液</w:t>
            </w:r>
          </w:p>
        </w:tc>
        <w:tc>
          <w:tcPr>
            <w:tcW w:w="1919" w:type="dxa"/>
            <w:vAlign w:val="top"/>
          </w:tcPr>
          <w:p>
            <w:pPr>
              <w:pStyle w:val="TableText"/>
              <w:ind w:left="174"/>
              <w:spacing w:before="149" w:line="219" w:lineRule="auto"/>
              <w:rPr>
                <w:sz w:val="12"/>
                <w:szCs w:val="12"/>
              </w:rPr>
            </w:pPr>
            <w:r>
              <w:rPr>
                <w:sz w:val="12"/>
                <w:szCs w:val="12"/>
                <w:spacing w:val="1"/>
              </w:rPr>
              <w:t>12%含氮基酸水溶肥料(硼+锌)</w:t>
            </w:r>
          </w:p>
        </w:tc>
        <w:tc>
          <w:tcPr>
            <w:tcW w:w="1659" w:type="dxa"/>
            <w:vAlign w:val="top"/>
          </w:tcPr>
          <w:p>
            <w:pPr>
              <w:pStyle w:val="TableText"/>
              <w:ind w:left="376"/>
              <w:spacing w:before="150" w:line="219" w:lineRule="auto"/>
              <w:rPr>
                <w:sz w:val="12"/>
                <w:szCs w:val="12"/>
              </w:rPr>
            </w:pPr>
            <w:r>
              <w:rPr>
                <w:sz w:val="12"/>
                <w:szCs w:val="12"/>
                <w:spacing w:val="-1"/>
              </w:rPr>
              <w:t>稀释1000-1200倍</w:t>
            </w:r>
          </w:p>
        </w:tc>
        <w:tc>
          <w:tcPr>
            <w:tcW w:w="1069"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07"/>
              <w:spacing w:before="39" w:line="219" w:lineRule="auto"/>
              <w:rPr>
                <w:sz w:val="12"/>
                <w:szCs w:val="12"/>
              </w:rPr>
            </w:pPr>
            <w:r>
              <w:rPr>
                <w:sz w:val="12"/>
                <w:szCs w:val="12"/>
                <w:spacing w:val="-1"/>
              </w:rPr>
              <w:t>视树木生长情况</w:t>
            </w:r>
          </w:p>
        </w:tc>
        <w:tc>
          <w:tcPr>
            <w:tcW w:w="699" w:type="dxa"/>
            <w:vAlign w:val="top"/>
          </w:tcPr>
          <w:p>
            <w:pPr>
              <w:pStyle w:val="TableText"/>
              <w:ind w:left="78"/>
              <w:spacing w:before="145" w:line="214" w:lineRule="auto"/>
              <w:rPr>
                <w:sz w:val="12"/>
                <w:szCs w:val="12"/>
              </w:rPr>
            </w:pPr>
            <w:r>
              <w:rPr>
                <w:sz w:val="12"/>
                <w:szCs w:val="12"/>
                <w:spacing w:val="3"/>
              </w:rPr>
              <w:t>(200g/瓶)</w:t>
            </w:r>
          </w:p>
        </w:tc>
        <w:tc>
          <w:tcPr>
            <w:tcW w:w="2774" w:type="dxa"/>
            <w:vAlign w:val="top"/>
          </w:tcPr>
          <w:p>
            <w:pPr>
              <w:pStyle w:val="TableText"/>
              <w:ind w:left="19"/>
              <w:spacing w:before="149" w:line="219" w:lineRule="auto"/>
              <w:rPr>
                <w:sz w:val="12"/>
                <w:szCs w:val="12"/>
              </w:rPr>
            </w:pPr>
            <w:r>
              <w:rPr>
                <w:sz w:val="12"/>
                <w:szCs w:val="12"/>
                <w:spacing w:val="-1"/>
              </w:rPr>
              <w:t>补充水分和养分，促进快速成活</w:t>
            </w:r>
          </w:p>
        </w:tc>
      </w:tr>
      <w:tr>
        <w:trPr>
          <w:trHeight w:val="43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34"/>
              <w:spacing w:before="200" w:line="220" w:lineRule="auto"/>
              <w:rPr>
                <w:sz w:val="12"/>
                <w:szCs w:val="12"/>
              </w:rPr>
            </w:pPr>
            <w:r>
              <w:rPr>
                <w:sz w:val="12"/>
                <w:szCs w:val="12"/>
                <w:spacing w:val="1"/>
              </w:rPr>
              <w:t>中威吊针液</w:t>
            </w:r>
          </w:p>
        </w:tc>
        <w:tc>
          <w:tcPr>
            <w:tcW w:w="1919" w:type="dxa"/>
            <w:vAlign w:val="top"/>
          </w:tcPr>
          <w:p>
            <w:pPr>
              <w:pStyle w:val="TableText"/>
              <w:ind w:left="204"/>
              <w:spacing w:before="198" w:line="216" w:lineRule="auto"/>
              <w:rPr>
                <w:sz w:val="12"/>
                <w:szCs w:val="12"/>
              </w:rPr>
            </w:pPr>
            <w:r>
              <w:rPr>
                <w:sz w:val="12"/>
                <w:szCs w:val="12"/>
                <w:spacing w:val="-1"/>
              </w:rPr>
              <w:t>D-6,甲壳素、硼镁锌等2.85%</w:t>
            </w:r>
          </w:p>
        </w:tc>
        <w:tc>
          <w:tcPr>
            <w:tcW w:w="1659" w:type="dxa"/>
            <w:vAlign w:val="top"/>
          </w:tcPr>
          <w:p>
            <w:pPr>
              <w:pStyle w:val="TableText"/>
              <w:ind w:left="406"/>
              <w:spacing w:before="200" w:line="219" w:lineRule="auto"/>
              <w:rPr>
                <w:sz w:val="12"/>
                <w:szCs w:val="12"/>
              </w:rPr>
            </w:pPr>
            <w:r>
              <w:rPr>
                <w:sz w:val="12"/>
                <w:szCs w:val="12"/>
                <w:spacing w:val="-1"/>
              </w:rPr>
              <w:t>稀释60-100倍液</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167"/>
              <w:spacing w:before="195" w:line="214" w:lineRule="auto"/>
              <w:rPr>
                <w:sz w:val="12"/>
                <w:szCs w:val="12"/>
              </w:rPr>
            </w:pPr>
            <w:r>
              <w:rPr>
                <w:sz w:val="12"/>
                <w:szCs w:val="12"/>
                <w:spacing w:val="-2"/>
              </w:rPr>
              <w:t>1kg/袋</w:t>
            </w:r>
          </w:p>
        </w:tc>
        <w:tc>
          <w:tcPr>
            <w:tcW w:w="2774" w:type="dxa"/>
            <w:vAlign w:val="top"/>
          </w:tcPr>
          <w:p>
            <w:pPr>
              <w:pStyle w:val="TableText"/>
              <w:ind w:left="19" w:right="10"/>
              <w:spacing w:before="109" w:line="233" w:lineRule="auto"/>
              <w:rPr>
                <w:sz w:val="12"/>
                <w:szCs w:val="12"/>
              </w:rPr>
            </w:pPr>
            <w:r>
              <w:rPr>
                <w:sz w:val="12"/>
                <w:szCs w:val="12"/>
                <w:spacing w:val="-1"/>
              </w:rPr>
              <w:t>促使树体健壮，迅速补充营养，增强抗性，</w:t>
            </w:r>
            <w:r>
              <w:rPr>
                <w:sz w:val="12"/>
                <w:szCs w:val="12"/>
                <w:spacing w:val="-2"/>
              </w:rPr>
              <w:t>提高成活</w:t>
            </w:r>
            <w:r>
              <w:rPr>
                <w:sz w:val="12"/>
                <w:szCs w:val="12"/>
              </w:rPr>
              <w:t xml:space="preserve"> </w:t>
            </w:r>
            <w:r>
              <w:rPr>
                <w:sz w:val="12"/>
                <w:szCs w:val="12"/>
              </w:rPr>
              <w:t>率</w:t>
            </w:r>
          </w:p>
        </w:tc>
      </w:tr>
      <w:tr>
        <w:trPr>
          <w:trHeight w:val="44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244"/>
              <w:spacing w:before="200" w:line="219" w:lineRule="auto"/>
              <w:rPr>
                <w:sz w:val="12"/>
                <w:szCs w:val="12"/>
              </w:rPr>
            </w:pPr>
            <w:r>
              <w:rPr>
                <w:sz w:val="12"/>
                <w:szCs w:val="12"/>
                <w:spacing w:val="1"/>
              </w:rPr>
              <w:t>国光根动力2号</w:t>
            </w:r>
          </w:p>
        </w:tc>
        <w:tc>
          <w:tcPr>
            <w:tcW w:w="1919" w:type="dxa"/>
            <w:vAlign w:val="top"/>
          </w:tcPr>
          <w:p>
            <w:pPr>
              <w:pStyle w:val="TableText"/>
              <w:ind w:left="294"/>
              <w:spacing w:before="200" w:line="219" w:lineRule="auto"/>
              <w:rPr>
                <w:sz w:val="12"/>
                <w:szCs w:val="12"/>
              </w:rPr>
            </w:pPr>
            <w:r>
              <w:rPr>
                <w:sz w:val="12"/>
                <w:szCs w:val="12"/>
                <w:spacing w:val="2"/>
              </w:rPr>
              <w:t>13%含氨基酸水溶肥《钙)</w:t>
            </w:r>
          </w:p>
        </w:tc>
        <w:tc>
          <w:tcPr>
            <w:tcW w:w="1659" w:type="dxa"/>
            <w:vAlign w:val="top"/>
          </w:tcPr>
          <w:p>
            <w:pPr>
              <w:pStyle w:val="TableText"/>
              <w:ind w:left="346"/>
              <w:spacing w:before="200" w:line="219" w:lineRule="auto"/>
              <w:rPr>
                <w:sz w:val="12"/>
                <w:szCs w:val="12"/>
              </w:rPr>
            </w:pPr>
            <w:r>
              <w:rPr>
                <w:sz w:val="12"/>
                <w:szCs w:val="12"/>
                <w:spacing w:val="-1"/>
              </w:rPr>
              <w:t>稀释800-1000倍液</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197"/>
              <w:spacing w:before="202" w:line="222" w:lineRule="auto"/>
              <w:rPr>
                <w:sz w:val="12"/>
                <w:szCs w:val="12"/>
              </w:rPr>
            </w:pPr>
            <w:r>
              <w:rPr>
                <w:sz w:val="12"/>
                <w:szCs w:val="12"/>
                <w:spacing w:val="-5"/>
              </w:rPr>
              <w:t>(1L/》</w:t>
            </w:r>
          </w:p>
        </w:tc>
        <w:tc>
          <w:tcPr>
            <w:tcW w:w="2774" w:type="dxa"/>
            <w:vAlign w:val="top"/>
          </w:tcPr>
          <w:p>
            <w:pPr>
              <w:pStyle w:val="TableText"/>
              <w:ind w:left="19"/>
              <w:spacing w:before="200" w:line="219" w:lineRule="auto"/>
              <w:rPr>
                <w:sz w:val="12"/>
                <w:szCs w:val="12"/>
              </w:rPr>
            </w:pPr>
            <w:r>
              <w:rPr>
                <w:sz w:val="12"/>
                <w:szCs w:val="12"/>
                <w:spacing w:val="-1"/>
              </w:rPr>
              <w:t>诱导树木快速生根，提高移裁成活率</w:t>
            </w:r>
          </w:p>
        </w:tc>
      </w:tr>
      <w:tr>
        <w:trPr>
          <w:trHeight w:val="44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34"/>
              <w:spacing w:before="182" w:line="219" w:lineRule="auto"/>
              <w:rPr>
                <w:sz w:val="12"/>
                <w:szCs w:val="12"/>
              </w:rPr>
            </w:pPr>
            <w:r>
              <w:rPr>
                <w:sz w:val="12"/>
                <w:szCs w:val="12"/>
                <w:spacing w:val="1"/>
              </w:rPr>
              <w:t>中威生框液</w:t>
            </w:r>
          </w:p>
        </w:tc>
        <w:tc>
          <w:tcPr>
            <w:tcW w:w="1919" w:type="dxa"/>
            <w:vAlign w:val="top"/>
          </w:tcPr>
          <w:p>
            <w:pPr>
              <w:pStyle w:val="TableText"/>
              <w:ind w:left="385"/>
              <w:spacing w:before="162" w:line="219" w:lineRule="auto"/>
              <w:rPr>
                <w:sz w:val="12"/>
                <w:szCs w:val="12"/>
              </w:rPr>
            </w:pPr>
            <w:r>
              <w:rPr>
                <w:sz w:val="12"/>
                <w:szCs w:val="12"/>
                <w:spacing w:val="-1"/>
              </w:rPr>
              <w:t>蔡乙酸、吲噪乙酸10%</w:t>
            </w:r>
          </w:p>
        </w:tc>
        <w:tc>
          <w:tcPr>
            <w:tcW w:w="1659" w:type="dxa"/>
            <w:vAlign w:val="top"/>
          </w:tcPr>
          <w:p>
            <w:pPr>
              <w:pStyle w:val="TableText"/>
              <w:ind w:left="496"/>
              <w:spacing w:before="182" w:line="220" w:lineRule="auto"/>
              <w:rPr>
                <w:sz w:val="12"/>
                <w:szCs w:val="12"/>
              </w:rPr>
            </w:pPr>
            <w:r>
              <w:rPr>
                <w:sz w:val="12"/>
                <w:szCs w:val="12"/>
                <w:spacing w:val="-1"/>
              </w:rPr>
              <w:t>300-500倍液</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167"/>
              <w:spacing w:before="177" w:line="214" w:lineRule="auto"/>
              <w:rPr>
                <w:sz w:val="12"/>
                <w:szCs w:val="12"/>
              </w:rPr>
            </w:pPr>
            <w:r>
              <w:rPr>
                <w:sz w:val="12"/>
                <w:szCs w:val="12"/>
                <w:spacing w:val="-1"/>
              </w:rPr>
              <w:t>4kg/桶</w:t>
            </w:r>
          </w:p>
        </w:tc>
        <w:tc>
          <w:tcPr>
            <w:tcW w:w="2774" w:type="dxa"/>
            <w:vAlign w:val="top"/>
          </w:tcPr>
          <w:p>
            <w:pPr>
              <w:pStyle w:val="TableText"/>
              <w:ind w:left="19" w:right="8" w:firstLine="9"/>
              <w:spacing w:before="121" w:line="210" w:lineRule="auto"/>
              <w:rPr>
                <w:sz w:val="12"/>
                <w:szCs w:val="12"/>
              </w:rPr>
            </w:pPr>
            <w:r>
              <w:rPr>
                <w:sz w:val="12"/>
                <w:szCs w:val="12"/>
                <w:spacing w:val="-2"/>
              </w:rPr>
              <w:t>促使树木快速生根，形成庞大根系，快速萌芽。改善</w:t>
            </w:r>
            <w:r>
              <w:rPr>
                <w:sz w:val="12"/>
                <w:szCs w:val="12"/>
                <w:spacing w:val="11"/>
              </w:rPr>
              <w:t xml:space="preserve"> </w:t>
            </w:r>
            <w:r>
              <w:rPr>
                <w:sz w:val="12"/>
                <w:szCs w:val="12"/>
                <w:spacing w:val="-1"/>
              </w:rPr>
              <w:t>植物长势</w:t>
            </w:r>
          </w:p>
        </w:tc>
      </w:tr>
      <w:tr>
        <w:trPr>
          <w:trHeight w:val="43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274"/>
              <w:spacing w:before="161" w:line="219" w:lineRule="auto"/>
              <w:rPr>
                <w:sz w:val="12"/>
                <w:szCs w:val="12"/>
              </w:rPr>
            </w:pPr>
            <w:r>
              <w:rPr>
                <w:sz w:val="12"/>
                <w:szCs w:val="12"/>
                <w:spacing w:val="-1"/>
              </w:rPr>
              <w:t>诺普信根聚地</w:t>
            </w:r>
          </w:p>
        </w:tc>
        <w:tc>
          <w:tcPr>
            <w:tcW w:w="1919" w:type="dxa"/>
            <w:vAlign w:val="top"/>
          </w:tcPr>
          <w:p>
            <w:pPr>
              <w:pStyle w:val="TableText"/>
              <w:ind w:left="594" w:right="299" w:hanging="300"/>
              <w:spacing w:before="101"/>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tc>
        <w:tc>
          <w:tcPr>
            <w:tcW w:w="1659" w:type="dxa"/>
            <w:vAlign w:val="top"/>
          </w:tcPr>
          <w:p>
            <w:pPr>
              <w:pStyle w:val="TableText"/>
              <w:ind w:left="555"/>
              <w:spacing w:before="162" w:line="220" w:lineRule="auto"/>
              <w:rPr>
                <w:sz w:val="12"/>
                <w:szCs w:val="12"/>
              </w:rPr>
            </w:pPr>
            <w:r>
              <w:rPr>
                <w:sz w:val="12"/>
                <w:szCs w:val="12"/>
                <w:spacing w:val="-6"/>
              </w:rPr>
              <w:t>600—800倍</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78"/>
              <w:spacing w:before="162" w:line="221" w:lineRule="auto"/>
              <w:rPr>
                <w:sz w:val="12"/>
                <w:szCs w:val="12"/>
              </w:rPr>
            </w:pPr>
            <w:r>
              <w:rPr>
                <w:sz w:val="12"/>
                <w:szCs w:val="12"/>
                <w:spacing w:val="-1"/>
              </w:rPr>
              <w:t>5000ml/瓶</w:t>
            </w:r>
          </w:p>
        </w:tc>
        <w:tc>
          <w:tcPr>
            <w:tcW w:w="2774" w:type="dxa"/>
            <w:vAlign w:val="top"/>
          </w:tcPr>
          <w:p>
            <w:pPr>
              <w:pStyle w:val="TableText"/>
              <w:ind w:left="19"/>
              <w:spacing w:before="101" w:line="248" w:lineRule="auto"/>
              <w:rPr>
                <w:sz w:val="12"/>
                <w:szCs w:val="12"/>
              </w:rPr>
            </w:pPr>
            <w:r>
              <w:rPr>
                <w:sz w:val="12"/>
                <w:szCs w:val="12"/>
                <w:spacing w:val="-1"/>
              </w:rPr>
              <w:t>提供根系生长发育内源动力。诱导刺激根系活力，提</w:t>
            </w:r>
            <w:r>
              <w:rPr>
                <w:sz w:val="12"/>
                <w:szCs w:val="12"/>
                <w:spacing w:val="6"/>
              </w:rPr>
              <w:t xml:space="preserve"> </w:t>
            </w:r>
            <w:r>
              <w:rPr>
                <w:sz w:val="12"/>
                <w:szCs w:val="12"/>
                <w:spacing w:val="-1"/>
              </w:rPr>
              <w:t>高移栽成活率，促进草坪快速生根成块</w:t>
            </w:r>
          </w:p>
        </w:tc>
      </w:tr>
      <w:tr>
        <w:trPr>
          <w:trHeight w:val="50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34"/>
              <w:spacing w:before="193" w:line="219" w:lineRule="auto"/>
              <w:rPr>
                <w:sz w:val="12"/>
                <w:szCs w:val="12"/>
              </w:rPr>
            </w:pPr>
            <w:r>
              <w:rPr>
                <w:sz w:val="12"/>
                <w:szCs w:val="12"/>
                <w:spacing w:val="2"/>
              </w:rPr>
              <w:t>国光树动力</w:t>
            </w:r>
          </w:p>
        </w:tc>
        <w:tc>
          <w:tcPr>
            <w:tcW w:w="1919" w:type="dxa"/>
            <w:vAlign w:val="top"/>
          </w:tcPr>
          <w:p>
            <w:pPr>
              <w:pStyle w:val="TableText"/>
              <w:ind w:left="715" w:right="59" w:hanging="660"/>
              <w:spacing w:before="142" w:line="209" w:lineRule="auto"/>
              <w:rPr>
                <w:sz w:val="12"/>
                <w:szCs w:val="12"/>
              </w:rPr>
            </w:pPr>
            <w:r>
              <w:rPr>
                <w:sz w:val="12"/>
                <w:szCs w:val="12"/>
                <w:spacing w:val="-1"/>
              </w:rPr>
              <w:t>细胞分裂类高活性物质、含丰畜矿</w:t>
            </w:r>
            <w:r>
              <w:rPr>
                <w:sz w:val="12"/>
                <w:szCs w:val="12"/>
                <w:spacing w:val="8"/>
              </w:rPr>
              <w:t xml:space="preserve"> </w:t>
            </w:r>
            <w:r>
              <w:rPr>
                <w:sz w:val="12"/>
                <w:szCs w:val="12"/>
                <w:spacing w:val="-1"/>
              </w:rPr>
              <w:t>物质溶剂</w:t>
            </w:r>
          </w:p>
        </w:tc>
        <w:tc>
          <w:tcPr>
            <w:tcW w:w="1659" w:type="dxa"/>
            <w:vAlign w:val="top"/>
          </w:tcPr>
          <w:p>
            <w:pPr>
              <w:pStyle w:val="TableText"/>
              <w:ind w:left="105" w:right="47" w:hanging="59"/>
              <w:spacing w:before="142" w:line="210" w:lineRule="auto"/>
              <w:rPr>
                <w:sz w:val="12"/>
                <w:szCs w:val="12"/>
              </w:rPr>
            </w:pPr>
            <w:r>
              <w:rPr>
                <w:sz w:val="12"/>
                <w:szCs w:val="12"/>
                <w:spacing w:val="-1"/>
              </w:rPr>
              <w:t>直接使用。一般胸径8-10cm扬</w:t>
            </w:r>
            <w:r>
              <w:rPr>
                <w:sz w:val="12"/>
                <w:szCs w:val="12"/>
                <w:spacing w:val="9"/>
              </w:rPr>
              <w:t xml:space="preserve"> </w:t>
            </w:r>
            <w:r>
              <w:rPr>
                <w:sz w:val="12"/>
                <w:szCs w:val="12"/>
                <w:spacing w:val="-1"/>
              </w:rPr>
              <w:t>瓶，胸径每增加10cn增加1瓶</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256" w:right="156" w:hanging="119"/>
              <w:spacing w:before="144" w:line="210" w:lineRule="auto"/>
              <w:rPr>
                <w:sz w:val="12"/>
                <w:szCs w:val="12"/>
              </w:rPr>
            </w:pPr>
            <w:r>
              <w:rPr>
                <w:sz w:val="12"/>
                <w:szCs w:val="12"/>
                <w:spacing w:val="-4"/>
              </w:rPr>
              <w:t>(300ml/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774" w:type="dxa"/>
            <w:vAlign w:val="top"/>
          </w:tcPr>
          <w:p>
            <w:pPr>
              <w:pStyle w:val="TableText"/>
              <w:ind w:left="19"/>
              <w:spacing w:before="193" w:line="219" w:lineRule="auto"/>
              <w:rPr>
                <w:sz w:val="12"/>
                <w:szCs w:val="12"/>
              </w:rPr>
            </w:pPr>
            <w:r>
              <w:rPr>
                <w:sz w:val="12"/>
                <w:szCs w:val="12"/>
                <w:spacing w:val="-1"/>
              </w:rPr>
              <w:t>大树直插瓶，大树古树复壮</w:t>
            </w:r>
          </w:p>
        </w:tc>
      </w:tr>
      <w:tr>
        <w:trPr>
          <w:trHeight w:val="46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34"/>
              <w:spacing w:before="183" w:line="220" w:lineRule="auto"/>
              <w:rPr>
                <w:sz w:val="12"/>
                <w:szCs w:val="12"/>
              </w:rPr>
            </w:pPr>
            <w:r>
              <w:rPr>
                <w:sz w:val="12"/>
                <w:szCs w:val="12"/>
                <w:spacing w:val="1"/>
              </w:rPr>
              <w:t>中威激活液</w:t>
            </w:r>
          </w:p>
        </w:tc>
        <w:tc>
          <w:tcPr>
            <w:tcW w:w="1919" w:type="dxa"/>
            <w:vAlign w:val="top"/>
          </w:tcPr>
          <w:p>
            <w:pPr>
              <w:pStyle w:val="TableText"/>
              <w:ind w:left="475"/>
              <w:spacing w:before="181" w:line="216" w:lineRule="auto"/>
              <w:rPr>
                <w:sz w:val="12"/>
                <w:szCs w:val="12"/>
              </w:rPr>
            </w:pPr>
            <w:r>
              <w:rPr>
                <w:sz w:val="12"/>
                <w:szCs w:val="12"/>
                <w:spacing w:val="-1"/>
              </w:rPr>
              <w:t>6B-A,复硝酚钠10%</w:t>
            </w:r>
          </w:p>
        </w:tc>
        <w:tc>
          <w:tcPr>
            <w:tcW w:w="1659" w:type="dxa"/>
            <w:vAlign w:val="top"/>
          </w:tcPr>
          <w:p>
            <w:pPr>
              <w:pStyle w:val="TableText"/>
              <w:ind w:left="105" w:right="47" w:hanging="59"/>
              <w:spacing w:before="122" w:line="210" w:lineRule="auto"/>
              <w:rPr>
                <w:sz w:val="12"/>
                <w:szCs w:val="12"/>
              </w:rPr>
            </w:pPr>
            <w:r>
              <w:rPr>
                <w:sz w:val="12"/>
                <w:szCs w:val="12"/>
                <w:spacing w:val="-1"/>
              </w:rPr>
              <w:t>直接使用。一般胸径8-10cn折</w:t>
            </w:r>
            <w:r>
              <w:rPr>
                <w:sz w:val="12"/>
                <w:szCs w:val="12"/>
                <w:spacing w:val="9"/>
              </w:rPr>
              <w:t xml:space="preserve"> </w:t>
            </w:r>
            <w:r>
              <w:rPr>
                <w:sz w:val="12"/>
                <w:szCs w:val="12"/>
                <w:spacing w:val="-1"/>
              </w:rPr>
              <w:t>瓶，胸径每增加10cm增加1瓶</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256" w:right="156" w:hanging="119"/>
              <w:spacing w:before="125" w:line="217" w:lineRule="auto"/>
              <w:rPr>
                <w:sz w:val="12"/>
                <w:szCs w:val="12"/>
              </w:rPr>
            </w:pPr>
            <w:r>
              <w:rPr>
                <w:sz w:val="12"/>
                <w:szCs w:val="12"/>
                <w:spacing w:val="-4"/>
              </w:rPr>
              <w:t>(350ml/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774" w:type="dxa"/>
            <w:vAlign w:val="top"/>
          </w:tcPr>
          <w:p>
            <w:pPr>
              <w:pStyle w:val="TableText"/>
              <w:ind w:left="19" w:right="10"/>
              <w:spacing w:before="122" w:line="219" w:lineRule="auto"/>
              <w:rPr>
                <w:sz w:val="12"/>
                <w:szCs w:val="12"/>
              </w:rPr>
            </w:pPr>
            <w:r>
              <w:rPr>
                <w:sz w:val="12"/>
                <w:szCs w:val="12"/>
                <w:spacing w:val="-1"/>
              </w:rPr>
              <w:t>补充水分养分，促进发芽，防止黄叶、萎蔫</w:t>
            </w:r>
            <w:r>
              <w:rPr>
                <w:sz w:val="12"/>
                <w:szCs w:val="12"/>
                <w:spacing w:val="-2"/>
              </w:rPr>
              <w:t>，生理性</w:t>
            </w:r>
            <w:r>
              <w:rPr>
                <w:sz w:val="12"/>
                <w:szCs w:val="12"/>
              </w:rPr>
              <w:t xml:space="preserve"> </w:t>
            </w:r>
            <w:r>
              <w:rPr>
                <w:sz w:val="12"/>
                <w:szCs w:val="12"/>
                <w:spacing w:val="-2"/>
              </w:rPr>
              <w:t>病害</w:t>
            </w:r>
          </w:p>
        </w:tc>
      </w:tr>
      <w:tr>
        <w:trPr>
          <w:trHeight w:val="57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289" w:type="dxa"/>
            <w:vAlign w:val="top"/>
          </w:tcPr>
          <w:p>
            <w:pPr>
              <w:pStyle w:val="TableText"/>
              <w:ind w:left="394"/>
              <w:spacing w:before="233" w:line="219" w:lineRule="auto"/>
              <w:rPr>
                <w:sz w:val="12"/>
                <w:szCs w:val="12"/>
              </w:rPr>
            </w:pPr>
            <w:r>
              <w:rPr>
                <w:sz w:val="12"/>
                <w:szCs w:val="12"/>
                <w:spacing w:val="1"/>
              </w:rPr>
              <w:t>国光棒肥</w:t>
            </w:r>
          </w:p>
        </w:tc>
        <w:tc>
          <w:tcPr>
            <w:tcW w:w="1919" w:type="dxa"/>
            <w:vAlign w:val="top"/>
          </w:tcPr>
          <w:p>
            <w:pPr>
              <w:pStyle w:val="TableText"/>
              <w:ind w:left="174"/>
              <w:spacing w:before="233" w:line="219" w:lineRule="auto"/>
              <w:rPr>
                <w:sz w:val="12"/>
                <w:szCs w:val="12"/>
              </w:rPr>
            </w:pPr>
            <w:r>
              <w:rPr>
                <w:sz w:val="12"/>
                <w:szCs w:val="12"/>
                <w:spacing w:val="-1"/>
              </w:rPr>
              <w:t>微肥、稀有元素、大量元素肥</w:t>
            </w:r>
          </w:p>
        </w:tc>
        <w:tc>
          <w:tcPr>
            <w:tcW w:w="1659" w:type="dxa"/>
            <w:vAlign w:val="top"/>
          </w:tcPr>
          <w:p>
            <w:pPr>
              <w:pStyle w:val="TableText"/>
              <w:ind w:left="46"/>
              <w:spacing w:before="33" w:line="219" w:lineRule="auto"/>
              <w:rPr>
                <w:sz w:val="12"/>
                <w:szCs w:val="12"/>
              </w:rPr>
            </w:pPr>
            <w:r>
              <w:rPr>
                <w:sz w:val="12"/>
                <w:szCs w:val="12"/>
                <w:spacing w:val="-1"/>
              </w:rPr>
              <w:t>直接使用，根据树的胸径进行</w:t>
            </w:r>
          </w:p>
          <w:p>
            <w:pPr>
              <w:pStyle w:val="TableText"/>
              <w:ind w:left="106"/>
              <w:spacing w:before="17" w:line="200" w:lineRule="auto"/>
              <w:rPr>
                <w:sz w:val="12"/>
                <w:szCs w:val="12"/>
              </w:rPr>
            </w:pPr>
            <w:r>
              <w:rPr>
                <w:sz w:val="12"/>
                <w:szCs w:val="12"/>
              </w:rPr>
              <w:t>调整：10cn一下的树1-2支，</w:t>
            </w:r>
          </w:p>
          <w:p>
            <w:pPr>
              <w:pStyle w:val="TableText"/>
              <w:spacing w:line="200" w:lineRule="auto"/>
              <w:jc w:val="right"/>
              <w:rPr>
                <w:sz w:val="12"/>
                <w:szCs w:val="12"/>
              </w:rPr>
            </w:pPr>
            <w:r>
              <w:rPr>
                <w:sz w:val="12"/>
                <w:szCs w:val="12"/>
                <w:spacing w:val="-2"/>
              </w:rPr>
              <w:t>10cn以上的树胸径每增加5cn则</w:t>
            </w:r>
          </w:p>
          <w:p>
            <w:pPr>
              <w:pStyle w:val="TableText"/>
              <w:ind w:left="635"/>
              <w:spacing w:line="176" w:lineRule="auto"/>
              <w:rPr>
                <w:sz w:val="12"/>
                <w:szCs w:val="12"/>
              </w:rPr>
            </w:pPr>
            <w:r>
              <w:rPr>
                <w:sz w:val="12"/>
                <w:szCs w:val="12"/>
                <w:spacing w:val="-1"/>
              </w:rPr>
              <w:t>增加i支</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18"/>
              <w:spacing w:before="234" w:line="220" w:lineRule="auto"/>
              <w:rPr>
                <w:sz w:val="12"/>
                <w:szCs w:val="12"/>
              </w:rPr>
            </w:pPr>
            <w:r>
              <w:rPr>
                <w:sz w:val="12"/>
                <w:szCs w:val="12"/>
                <w:spacing w:val="-1"/>
              </w:rPr>
              <w:t>3+15cm+40根</w:t>
            </w:r>
          </w:p>
        </w:tc>
        <w:tc>
          <w:tcPr>
            <w:tcW w:w="2774" w:type="dxa"/>
            <w:vAlign w:val="top"/>
          </w:tcPr>
          <w:p>
            <w:pPr>
              <w:pStyle w:val="TableText"/>
              <w:ind w:left="19"/>
              <w:spacing w:before="233" w:line="219" w:lineRule="auto"/>
              <w:rPr>
                <w:sz w:val="12"/>
                <w:szCs w:val="12"/>
              </w:rPr>
            </w:pPr>
            <w:r>
              <w:rPr>
                <w:sz w:val="12"/>
                <w:szCs w:val="12"/>
                <w:spacing w:val="-1"/>
              </w:rPr>
              <w:t>古树。病树，梨树复壮</w:t>
            </w:r>
          </w:p>
        </w:tc>
      </w:tr>
      <w:tr>
        <w:trPr>
          <w:trHeight w:val="445" w:hRule="atLeast"/>
        </w:trPr>
        <w:tc>
          <w:tcPr>
            <w:tcW w:w="415"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tcBorders>
          </w:tcPr>
          <w:p>
            <w:pPr>
              <w:rPr>
                <w:rFonts w:ascii="Arial"/>
                <w:sz w:val="21"/>
              </w:rPr>
            </w:pPr>
            <w:r/>
          </w:p>
        </w:tc>
        <w:tc>
          <w:tcPr>
            <w:tcW w:w="1289" w:type="dxa"/>
            <w:vAlign w:val="top"/>
          </w:tcPr>
          <w:p>
            <w:pPr>
              <w:pStyle w:val="TableText"/>
              <w:ind w:left="454"/>
              <w:spacing w:before="164" w:line="219" w:lineRule="auto"/>
              <w:rPr>
                <w:sz w:val="12"/>
                <w:szCs w:val="12"/>
              </w:rPr>
            </w:pPr>
            <w:r>
              <w:rPr>
                <w:sz w:val="12"/>
                <w:szCs w:val="12"/>
                <w:spacing w:val="-2"/>
              </w:rPr>
              <w:t>复合肥</w:t>
            </w:r>
          </w:p>
        </w:tc>
        <w:tc>
          <w:tcPr>
            <w:tcW w:w="1919" w:type="dxa"/>
            <w:vAlign w:val="top"/>
          </w:tcPr>
          <w:p>
            <w:pPr>
              <w:pStyle w:val="TableText"/>
              <w:ind w:left="655"/>
              <w:spacing w:before="164" w:line="219" w:lineRule="auto"/>
              <w:rPr>
                <w:sz w:val="12"/>
                <w:szCs w:val="12"/>
              </w:rPr>
            </w:pPr>
            <w:r>
              <w:rPr>
                <w:sz w:val="12"/>
                <w:szCs w:val="12"/>
                <w:spacing w:val="-1"/>
              </w:rPr>
              <w:t>大量元素肥</w:t>
            </w:r>
          </w:p>
        </w:tc>
        <w:tc>
          <w:tcPr>
            <w:tcW w:w="1659" w:type="dxa"/>
            <w:vAlign w:val="top"/>
          </w:tcPr>
          <w:p>
            <w:pPr>
              <w:pStyle w:val="TableText"/>
              <w:ind w:left="585"/>
              <w:spacing w:before="164" w:line="219" w:lineRule="auto"/>
              <w:rPr>
                <w:sz w:val="12"/>
                <w:szCs w:val="12"/>
              </w:rPr>
            </w:pPr>
            <w:r>
              <w:rPr>
                <w:sz w:val="12"/>
                <w:szCs w:val="12"/>
                <w:spacing w:val="3"/>
              </w:rPr>
              <w:t>直接使用</w:t>
            </w:r>
          </w:p>
        </w:tc>
        <w:tc>
          <w:tcPr>
            <w:tcW w:w="1069" w:type="dxa"/>
            <w:vAlign w:val="top"/>
            <w:vMerge w:val="continue"/>
            <w:tcBorders>
              <w:top w:val="nil"/>
            </w:tcBorders>
          </w:tcPr>
          <w:p>
            <w:pPr>
              <w:rPr>
                <w:rFonts w:ascii="Arial"/>
                <w:sz w:val="21"/>
              </w:rPr>
            </w:pPr>
            <w:r/>
          </w:p>
        </w:tc>
        <w:tc>
          <w:tcPr>
            <w:tcW w:w="699" w:type="dxa"/>
            <w:vAlign w:val="top"/>
          </w:tcPr>
          <w:p>
            <w:pPr>
              <w:pStyle w:val="TableText"/>
              <w:ind w:left="137"/>
              <w:spacing w:before="160" w:line="214" w:lineRule="auto"/>
              <w:rPr>
                <w:sz w:val="12"/>
                <w:szCs w:val="12"/>
              </w:rPr>
            </w:pPr>
            <w:r>
              <w:rPr>
                <w:sz w:val="12"/>
                <w:szCs w:val="12"/>
                <w:spacing w:val="-1"/>
              </w:rPr>
              <w:t>50kg/袋</w:t>
            </w:r>
          </w:p>
        </w:tc>
        <w:tc>
          <w:tcPr>
            <w:tcW w:w="2774" w:type="dxa"/>
            <w:vAlign w:val="top"/>
          </w:tcPr>
          <w:p>
            <w:pPr>
              <w:pStyle w:val="TableText"/>
              <w:ind w:left="19"/>
              <w:spacing w:before="164" w:line="219" w:lineRule="auto"/>
              <w:rPr>
                <w:sz w:val="12"/>
                <w:szCs w:val="12"/>
              </w:rPr>
            </w:pPr>
            <w:r>
              <w:rPr>
                <w:sz w:val="12"/>
                <w:szCs w:val="12"/>
                <w:spacing w:val="-1"/>
              </w:rPr>
              <w:t>古树，病树，弱树复壮</w:t>
            </w:r>
          </w:p>
        </w:tc>
      </w:tr>
    </w:tbl>
    <w:p>
      <w:pPr>
        <w:rPr>
          <w:rFonts w:ascii="Arial"/>
          <w:sz w:val="21"/>
        </w:rPr>
      </w:pPr>
      <w:r/>
    </w:p>
    <w:p>
      <w:pPr>
        <w:sectPr>
          <w:pgSz w:w="14490" w:h="10240"/>
          <w:pgMar w:top="115" w:right="234" w:bottom="400" w:left="194" w:header="0" w:footer="0" w:gutter="0"/>
        </w:sectPr>
        <w:rPr>
          <w:rFonts w:ascii="Arial" w:hAnsi="Arial" w:eastAsia="Arial" w:cs="Arial"/>
          <w:sz w:val="21"/>
          <w:szCs w:val="21"/>
        </w:rPr>
      </w:pPr>
    </w:p>
    <w:tbl>
      <w:tblPr>
        <w:tblStyle w:val="TableNormal"/>
        <w:tblW w:w="140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5"/>
        <w:gridCol w:w="540"/>
        <w:gridCol w:w="949"/>
        <w:gridCol w:w="2738"/>
        <w:gridCol w:w="1289"/>
        <w:gridCol w:w="1929"/>
        <w:gridCol w:w="1639"/>
        <w:gridCol w:w="1069"/>
        <w:gridCol w:w="719"/>
        <w:gridCol w:w="2763"/>
      </w:tblGrid>
      <w:tr>
        <w:trPr>
          <w:trHeight w:val="524" w:hRule="atLeast"/>
        </w:trPr>
        <w:tc>
          <w:tcPr>
            <w:tcW w:w="445" w:type="dxa"/>
            <w:vAlign w:val="top"/>
          </w:tcPr>
          <w:p>
            <w:pPr>
              <w:pStyle w:val="TableText"/>
              <w:ind w:left="96"/>
              <w:spacing w:before="198" w:line="219" w:lineRule="auto"/>
              <w:rPr>
                <w:sz w:val="12"/>
                <w:szCs w:val="12"/>
              </w:rPr>
            </w:pPr>
            <w:r>
              <w:rPr>
                <w:sz w:val="12"/>
                <w:szCs w:val="12"/>
                <w:b/>
                <w:bCs/>
                <w:spacing w:val="-3"/>
              </w:rPr>
              <w:t>分类</w:t>
            </w:r>
          </w:p>
        </w:tc>
        <w:tc>
          <w:tcPr>
            <w:tcW w:w="540" w:type="dxa"/>
            <w:vAlign w:val="top"/>
          </w:tcPr>
          <w:p>
            <w:pPr>
              <w:pStyle w:val="TableText"/>
              <w:ind w:left="21"/>
              <w:spacing w:before="28" w:line="219" w:lineRule="auto"/>
              <w:rPr>
                <w:sz w:val="12"/>
                <w:szCs w:val="12"/>
              </w:rPr>
            </w:pPr>
            <w:r>
              <w:rPr>
                <w:sz w:val="12"/>
                <w:szCs w:val="12"/>
                <w:b/>
                <w:bCs/>
                <w:spacing w:val="-3"/>
              </w:rPr>
              <w:t>消杀预防</w:t>
            </w:r>
          </w:p>
          <w:p>
            <w:pPr>
              <w:pStyle w:val="TableText"/>
              <w:ind w:left="11"/>
              <w:spacing w:before="7" w:line="220" w:lineRule="auto"/>
              <w:rPr>
                <w:sz w:val="12"/>
                <w:szCs w:val="12"/>
              </w:rPr>
            </w:pPr>
            <w:r>
              <w:rPr>
                <w:sz w:val="12"/>
                <w:szCs w:val="12"/>
                <w:b/>
                <w:bCs/>
                <w:spacing w:val="-3"/>
              </w:rPr>
              <w:t>及病虫害</w:t>
            </w:r>
          </w:p>
          <w:p>
            <w:pPr>
              <w:pStyle w:val="TableText"/>
              <w:ind w:left="141"/>
              <w:spacing w:before="26" w:line="219" w:lineRule="auto"/>
              <w:rPr>
                <w:sz w:val="12"/>
                <w:szCs w:val="12"/>
              </w:rPr>
            </w:pPr>
            <w:r>
              <w:rPr>
                <w:sz w:val="12"/>
                <w:szCs w:val="12"/>
                <w:b/>
                <w:bCs/>
                <w:spacing w:val="-3"/>
              </w:rPr>
              <w:t>分类</w:t>
            </w:r>
          </w:p>
        </w:tc>
        <w:tc>
          <w:tcPr>
            <w:tcW w:w="949" w:type="dxa"/>
            <w:vAlign w:val="top"/>
          </w:tcPr>
          <w:p>
            <w:pPr>
              <w:pStyle w:val="TableText"/>
              <w:ind w:left="161"/>
              <w:spacing w:before="198" w:line="219" w:lineRule="auto"/>
              <w:rPr>
                <w:sz w:val="12"/>
                <w:szCs w:val="12"/>
              </w:rPr>
            </w:pPr>
            <w:r>
              <w:rPr>
                <w:sz w:val="12"/>
                <w:szCs w:val="12"/>
                <w:b/>
                <w:bCs/>
                <w:spacing w:val="-3"/>
              </w:rPr>
              <w:t>常见病虫害</w:t>
            </w:r>
          </w:p>
        </w:tc>
        <w:tc>
          <w:tcPr>
            <w:tcW w:w="2738" w:type="dxa"/>
            <w:vAlign w:val="top"/>
          </w:tcPr>
          <w:p>
            <w:pPr>
              <w:pStyle w:val="TableText"/>
              <w:ind w:left="1022"/>
              <w:spacing w:before="198" w:line="219" w:lineRule="auto"/>
              <w:rPr>
                <w:sz w:val="12"/>
                <w:szCs w:val="12"/>
              </w:rPr>
            </w:pPr>
            <w:r>
              <w:rPr>
                <w:sz w:val="12"/>
                <w:szCs w:val="12"/>
                <w:b/>
                <w:bCs/>
                <w:spacing w:val="-3"/>
              </w:rPr>
              <w:t>主要发病月份</w:t>
            </w:r>
          </w:p>
        </w:tc>
        <w:tc>
          <w:tcPr>
            <w:tcW w:w="1289" w:type="dxa"/>
            <w:vAlign w:val="top"/>
          </w:tcPr>
          <w:p>
            <w:pPr>
              <w:pStyle w:val="TableText"/>
              <w:ind w:left="394"/>
              <w:spacing w:before="198" w:line="220" w:lineRule="auto"/>
              <w:rPr>
                <w:sz w:val="12"/>
                <w:szCs w:val="12"/>
              </w:rPr>
            </w:pPr>
            <w:r>
              <w:rPr>
                <w:sz w:val="12"/>
                <w:szCs w:val="12"/>
                <w:b/>
                <w:bCs/>
                <w:spacing w:val="-3"/>
              </w:rPr>
              <w:t>药品名称</w:t>
            </w:r>
          </w:p>
        </w:tc>
        <w:tc>
          <w:tcPr>
            <w:tcW w:w="1929" w:type="dxa"/>
            <w:vAlign w:val="top"/>
          </w:tcPr>
          <w:p>
            <w:pPr>
              <w:pStyle w:val="TableText"/>
              <w:ind w:left="715"/>
              <w:spacing w:before="198" w:line="220" w:lineRule="auto"/>
              <w:rPr>
                <w:sz w:val="12"/>
                <w:szCs w:val="12"/>
              </w:rPr>
            </w:pPr>
            <w:r>
              <w:rPr>
                <w:sz w:val="12"/>
                <w:szCs w:val="12"/>
                <w:b/>
                <w:bCs/>
                <w:spacing w:val="-3"/>
              </w:rPr>
              <w:t>主要成分</w:t>
            </w:r>
          </w:p>
        </w:tc>
        <w:tc>
          <w:tcPr>
            <w:tcW w:w="1639" w:type="dxa"/>
            <w:vAlign w:val="top"/>
          </w:tcPr>
          <w:p>
            <w:pPr>
              <w:pStyle w:val="TableText"/>
              <w:ind w:left="576"/>
              <w:spacing w:before="198" w:line="219" w:lineRule="auto"/>
              <w:rPr>
                <w:sz w:val="12"/>
                <w:szCs w:val="12"/>
              </w:rPr>
            </w:pPr>
            <w:r>
              <w:rPr>
                <w:sz w:val="12"/>
                <w:szCs w:val="12"/>
                <w:b/>
                <w:bCs/>
                <w:spacing w:val="-3"/>
              </w:rPr>
              <w:t>使用倍率</w:t>
            </w:r>
          </w:p>
        </w:tc>
        <w:tc>
          <w:tcPr>
            <w:tcW w:w="1069" w:type="dxa"/>
            <w:vAlign w:val="top"/>
          </w:tcPr>
          <w:p>
            <w:pPr>
              <w:pStyle w:val="TableText"/>
              <w:ind w:left="287"/>
              <w:spacing w:before="198" w:line="219" w:lineRule="auto"/>
              <w:rPr>
                <w:sz w:val="12"/>
                <w:szCs w:val="12"/>
              </w:rPr>
            </w:pPr>
            <w:r>
              <w:rPr>
                <w:sz w:val="12"/>
                <w:szCs w:val="12"/>
                <w:b/>
                <w:bCs/>
                <w:spacing w:val="-3"/>
              </w:rPr>
              <w:t>施用次数</w:t>
            </w:r>
          </w:p>
        </w:tc>
        <w:tc>
          <w:tcPr>
            <w:tcW w:w="719" w:type="dxa"/>
            <w:vAlign w:val="top"/>
          </w:tcPr>
          <w:p>
            <w:pPr>
              <w:pStyle w:val="TableText"/>
              <w:ind w:left="238"/>
              <w:spacing w:before="198" w:line="219" w:lineRule="auto"/>
              <w:rPr>
                <w:sz w:val="12"/>
                <w:szCs w:val="12"/>
              </w:rPr>
            </w:pPr>
            <w:r>
              <w:rPr>
                <w:sz w:val="12"/>
                <w:szCs w:val="12"/>
                <w:b/>
                <w:bCs/>
                <w:spacing w:val="-3"/>
              </w:rPr>
              <w:t>规格</w:t>
            </w:r>
          </w:p>
        </w:tc>
        <w:tc>
          <w:tcPr>
            <w:tcW w:w="2763" w:type="dxa"/>
            <w:vAlign w:val="top"/>
          </w:tcPr>
          <w:p>
            <w:pPr>
              <w:pStyle w:val="TableText"/>
              <w:ind w:left="1259"/>
              <w:spacing w:before="198" w:line="221" w:lineRule="auto"/>
              <w:rPr>
                <w:sz w:val="12"/>
                <w:szCs w:val="12"/>
              </w:rPr>
            </w:pPr>
            <w:r>
              <w:rPr>
                <w:sz w:val="12"/>
                <w:szCs w:val="12"/>
                <w:b/>
                <w:bCs/>
                <w:spacing w:val="-3"/>
              </w:rPr>
              <w:t>备注</w:t>
            </w:r>
          </w:p>
        </w:tc>
      </w:tr>
      <w:tr>
        <w:trPr>
          <w:trHeight w:val="729" w:hRule="atLeast"/>
        </w:trPr>
        <w:tc>
          <w:tcPr>
            <w:tcW w:w="445"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34"/>
              <w:spacing w:before="39" w:line="219" w:lineRule="auto"/>
              <w:rPr>
                <w:sz w:val="12"/>
                <w:szCs w:val="12"/>
              </w:rPr>
            </w:pPr>
            <w:r>
              <w:rPr>
                <w:sz w:val="12"/>
                <w:szCs w:val="12"/>
                <w:spacing w:val="-2"/>
              </w:rPr>
              <w:t>营养剂</w:t>
            </w:r>
          </w:p>
          <w:p>
            <w:pPr>
              <w:pStyle w:val="TableText"/>
              <w:ind w:left="64"/>
              <w:spacing w:before="7" w:line="219" w:lineRule="auto"/>
              <w:rPr>
                <w:sz w:val="12"/>
                <w:szCs w:val="12"/>
              </w:rPr>
            </w:pPr>
            <w:r>
              <w:rPr>
                <w:sz w:val="12"/>
                <w:szCs w:val="12"/>
                <w:spacing w:val="-1"/>
              </w:rPr>
              <w:t>/肥料</w:t>
            </w:r>
          </w:p>
        </w:tc>
        <w:tc>
          <w:tcPr>
            <w:tcW w:w="540"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20"/>
              <w:spacing w:before="39" w:line="200" w:lineRule="auto"/>
              <w:rPr>
                <w:sz w:val="12"/>
                <w:szCs w:val="12"/>
              </w:rPr>
            </w:pPr>
            <w:r>
              <w:rPr>
                <w:sz w:val="12"/>
                <w:szCs w:val="12"/>
                <w:spacing w:val="-1"/>
              </w:rPr>
              <w:t>树木复壮</w:t>
            </w:r>
          </w:p>
          <w:p>
            <w:pPr>
              <w:pStyle w:val="TableText"/>
              <w:ind w:left="20"/>
              <w:spacing w:line="219" w:lineRule="auto"/>
              <w:rPr>
                <w:sz w:val="12"/>
                <w:szCs w:val="12"/>
              </w:rPr>
            </w:pPr>
            <w:r>
              <w:rPr>
                <w:sz w:val="12"/>
                <w:szCs w:val="12"/>
                <w:spacing w:val="-2"/>
              </w:rPr>
              <w:t>草皮覆绿</w:t>
            </w:r>
          </w:p>
        </w:tc>
        <w:tc>
          <w:tcPr>
            <w:tcW w:w="949" w:type="dxa"/>
            <w:vAlign w:val="top"/>
            <w:vMerge w:val="restart"/>
            <w:tcBorders>
              <w:bottom w:val="nil"/>
            </w:tcBorders>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20" w:right="38" w:firstLine="19"/>
              <w:spacing w:before="39" w:line="232" w:lineRule="auto"/>
              <w:jc w:val="both"/>
              <w:rPr>
                <w:sz w:val="12"/>
                <w:szCs w:val="12"/>
              </w:rPr>
            </w:pPr>
            <w:r>
              <w:rPr>
                <w:sz w:val="12"/>
                <w:szCs w:val="12"/>
                <w:spacing w:val="2"/>
              </w:rPr>
              <w:t>树木长势瑁，自</w:t>
            </w:r>
            <w:r>
              <w:rPr>
                <w:sz w:val="12"/>
                <w:szCs w:val="12"/>
                <w:spacing w:val="5"/>
              </w:rPr>
              <w:t xml:space="preserve"> </w:t>
            </w:r>
            <w:r>
              <w:rPr>
                <w:sz w:val="12"/>
                <w:szCs w:val="12"/>
              </w:rPr>
              <w:t>顶部向下有枯黄</w:t>
            </w:r>
            <w:r>
              <w:rPr>
                <w:sz w:val="12"/>
                <w:szCs w:val="12"/>
                <w:spacing w:val="4"/>
              </w:rPr>
              <w:t xml:space="preserve"> </w:t>
            </w:r>
            <w:r>
              <w:rPr>
                <w:sz w:val="12"/>
                <w:szCs w:val="12"/>
                <w:spacing w:val="2"/>
              </w:rPr>
              <w:t>现象，或高大乔</w:t>
            </w:r>
            <w:r>
              <w:rPr>
                <w:sz w:val="12"/>
                <w:szCs w:val="12"/>
              </w:rPr>
              <w:t xml:space="preserve"> </w:t>
            </w:r>
            <w:r>
              <w:rPr>
                <w:sz w:val="12"/>
                <w:szCs w:val="12"/>
                <w:spacing w:val="-1"/>
              </w:rPr>
              <w:t>木及贵重树木</w:t>
            </w:r>
          </w:p>
        </w:tc>
        <w:tc>
          <w:tcPr>
            <w:tcW w:w="2738" w:type="dxa"/>
            <w:vAlign w:val="top"/>
            <w:vMerge w:val="restart"/>
            <w:tcBorders>
              <w:bottom w:val="nil"/>
            </w:tcBorders>
          </w:tcPr>
          <w:p>
            <w:pPr>
              <w:spacing w:line="283" w:lineRule="auto"/>
              <w:rPr>
                <w:rFonts w:ascii="Arial"/>
                <w:sz w:val="21"/>
              </w:rPr>
            </w:pPr>
            <w: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1" w:right="27"/>
              <w:spacing w:before="39" w:line="219" w:lineRule="auto"/>
              <w:rPr>
                <w:sz w:val="12"/>
                <w:szCs w:val="12"/>
              </w:rPr>
            </w:pPr>
            <w:r>
              <w:rPr>
                <w:sz w:val="12"/>
                <w:szCs w:val="12"/>
              </w:rPr>
              <w:t>一、主要集中在5月中，气湿上升，空气湿度增</w:t>
            </w:r>
            <w:r>
              <w:rPr>
                <w:sz w:val="12"/>
                <w:szCs w:val="12"/>
                <w:spacing w:val="-1"/>
              </w:rPr>
              <w:t>加。</w:t>
            </w:r>
            <w:r>
              <w:rPr>
                <w:sz w:val="12"/>
                <w:szCs w:val="12"/>
              </w:rPr>
              <w:t xml:space="preserve"> </w:t>
            </w:r>
            <w:r>
              <w:rPr>
                <w:sz w:val="12"/>
                <w:szCs w:val="12"/>
              </w:rPr>
              <w:t>苗木结束休眠期开始返青，是草皮施肥复绿最性时</w:t>
            </w:r>
            <w:r>
              <w:rPr>
                <w:sz w:val="12"/>
                <w:szCs w:val="12"/>
                <w:spacing w:val="1"/>
              </w:rPr>
              <w:t xml:space="preserve">  </w:t>
            </w:r>
            <w:r>
              <w:rPr>
                <w:sz w:val="12"/>
                <w:szCs w:val="12"/>
              </w:rPr>
              <w:t>机。有机肥、无机肥湿合使用，粘重的黑土使用松</w:t>
            </w:r>
            <w:r>
              <w:rPr>
                <w:sz w:val="12"/>
                <w:szCs w:val="12"/>
                <w:spacing w:val="2"/>
              </w:rPr>
              <w:t xml:space="preserve">  </w:t>
            </w:r>
            <w:r>
              <w:rPr>
                <w:sz w:val="12"/>
                <w:szCs w:val="12"/>
                <w:spacing w:val="-1"/>
              </w:rPr>
              <w:t>土肥和有机生物肥：</w:t>
            </w:r>
          </w:p>
          <w:p>
            <w:pPr>
              <w:pStyle w:val="TableText"/>
              <w:ind w:left="11"/>
              <w:spacing w:line="219" w:lineRule="auto"/>
              <w:rPr>
                <w:sz w:val="12"/>
                <w:szCs w:val="12"/>
              </w:rPr>
            </w:pPr>
            <w:r>
              <w:rPr>
                <w:sz w:val="12"/>
                <w:szCs w:val="12"/>
                <w:spacing w:val="3"/>
              </w:rPr>
              <w:t>二、6-7月有个别情况，做专项治疗；</w:t>
            </w:r>
          </w:p>
          <w:p>
            <w:pPr>
              <w:pStyle w:val="TableText"/>
              <w:ind w:left="11"/>
              <w:spacing w:before="6" w:line="219" w:lineRule="auto"/>
              <w:rPr>
                <w:sz w:val="12"/>
                <w:szCs w:val="12"/>
              </w:rPr>
            </w:pPr>
            <w:r>
              <w:rPr>
                <w:sz w:val="12"/>
                <w:szCs w:val="12"/>
              </w:rPr>
              <w:t>一、9月施秋肥。以有机肥、有机生物肥为主。</w:t>
            </w:r>
          </w:p>
        </w:tc>
        <w:tc>
          <w:tcPr>
            <w:tcW w:w="1289" w:type="dxa"/>
            <w:vAlign w:val="top"/>
          </w:tcPr>
          <w:p>
            <w:pPr>
              <w:spacing w:line="264" w:lineRule="auto"/>
              <w:rPr>
                <w:rFonts w:ascii="Arial"/>
                <w:sz w:val="21"/>
              </w:rPr>
            </w:pPr>
            <w:r/>
          </w:p>
          <w:p>
            <w:pPr>
              <w:pStyle w:val="TableText"/>
              <w:ind w:left="213"/>
              <w:spacing w:before="39" w:line="219" w:lineRule="auto"/>
              <w:rPr>
                <w:sz w:val="12"/>
                <w:szCs w:val="12"/>
              </w:rPr>
            </w:pPr>
            <w:r>
              <w:rPr>
                <w:sz w:val="12"/>
                <w:szCs w:val="12"/>
                <w:spacing w:val="-1"/>
              </w:rPr>
              <w:t>生物话性有机肥</w:t>
            </w:r>
          </w:p>
        </w:tc>
        <w:tc>
          <w:tcPr>
            <w:tcW w:w="1929" w:type="dxa"/>
            <w:vAlign w:val="top"/>
          </w:tcPr>
          <w:p>
            <w:pPr>
              <w:pStyle w:val="TableText"/>
              <w:ind w:left="114"/>
              <w:spacing w:before="94" w:line="200" w:lineRule="auto"/>
              <w:rPr>
                <w:sz w:val="12"/>
                <w:szCs w:val="12"/>
              </w:rPr>
            </w:pPr>
            <w:r>
              <w:rPr>
                <w:sz w:val="12"/>
                <w:szCs w:val="12"/>
                <w:spacing w:val="-1"/>
              </w:rPr>
              <w:t>氮磷钾大于6,有机质30%,腐殖酸</w:t>
            </w:r>
          </w:p>
          <w:p>
            <w:pPr>
              <w:pStyle w:val="TableText"/>
              <w:ind w:left="64"/>
              <w:spacing w:line="216" w:lineRule="auto"/>
              <w:rPr>
                <w:sz w:val="12"/>
                <w:szCs w:val="12"/>
              </w:rPr>
            </w:pPr>
            <w:r>
              <w:rPr>
                <w:sz w:val="12"/>
                <w:szCs w:val="12"/>
                <w:spacing w:val="-1"/>
              </w:rPr>
              <w:t>大于10%,蓖麻饼大于20%,土壤调</w:t>
            </w:r>
          </w:p>
          <w:p>
            <w:pPr>
              <w:pStyle w:val="TableText"/>
              <w:ind w:left="44"/>
              <w:spacing w:before="10" w:line="219" w:lineRule="auto"/>
              <w:rPr>
                <w:sz w:val="12"/>
                <w:szCs w:val="12"/>
              </w:rPr>
            </w:pPr>
            <w:r>
              <w:rPr>
                <w:sz w:val="12"/>
                <w:szCs w:val="12"/>
                <w:spacing w:val="-1"/>
              </w:rPr>
              <w:t>理剂大于10%活性菌2亿/克，微量元</w:t>
            </w:r>
          </w:p>
          <w:p>
            <w:pPr>
              <w:pStyle w:val="TableText"/>
              <w:ind w:left="173"/>
              <w:spacing w:before="18" w:line="219" w:lineRule="auto"/>
              <w:rPr>
                <w:sz w:val="12"/>
                <w:szCs w:val="12"/>
              </w:rPr>
            </w:pPr>
            <w:r>
              <w:rPr>
                <w:sz w:val="12"/>
                <w:szCs w:val="12"/>
                <w:spacing w:val="-1"/>
              </w:rPr>
              <w:t>素钙、镁、酸、铁，锌，铜等</w:t>
            </w:r>
          </w:p>
        </w:tc>
        <w:tc>
          <w:tcPr>
            <w:tcW w:w="1639" w:type="dxa"/>
            <w:vAlign w:val="top"/>
          </w:tcPr>
          <w:p>
            <w:pPr>
              <w:spacing w:line="265" w:lineRule="auto"/>
              <w:rPr>
                <w:rFonts w:ascii="Arial"/>
                <w:sz w:val="21"/>
              </w:rPr>
            </w:pPr>
            <w:r/>
          </w:p>
          <w:p>
            <w:pPr>
              <w:pStyle w:val="TableText"/>
              <w:ind w:left="514"/>
              <w:spacing w:before="39" w:line="220" w:lineRule="auto"/>
              <w:rPr>
                <w:sz w:val="12"/>
                <w:szCs w:val="12"/>
              </w:rPr>
            </w:pPr>
            <w:r>
              <w:rPr>
                <w:sz w:val="12"/>
                <w:szCs w:val="12"/>
                <w:spacing w:val="-1"/>
              </w:rPr>
              <w:t>穴施或撤施</w:t>
            </w:r>
          </w:p>
        </w:tc>
        <w:tc>
          <w:tcPr>
            <w:tcW w:w="1069"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pStyle w:val="TableText"/>
              <w:ind w:left="226"/>
              <w:spacing w:before="39" w:line="220" w:lineRule="auto"/>
              <w:rPr>
                <w:sz w:val="12"/>
                <w:szCs w:val="12"/>
              </w:rPr>
            </w:pPr>
            <w:r>
              <w:rPr>
                <w:sz w:val="12"/>
                <w:szCs w:val="12"/>
                <w:spacing w:val="-1"/>
              </w:rPr>
              <w:t>视土壤情况</w:t>
            </w:r>
          </w:p>
        </w:tc>
        <w:tc>
          <w:tcPr>
            <w:tcW w:w="719" w:type="dxa"/>
            <w:vAlign w:val="top"/>
          </w:tcPr>
          <w:p>
            <w:pPr>
              <w:spacing w:line="261" w:lineRule="auto"/>
              <w:rPr>
                <w:rFonts w:ascii="Arial"/>
                <w:sz w:val="21"/>
              </w:rPr>
            </w:pPr>
            <w:r/>
          </w:p>
          <w:p>
            <w:pPr>
              <w:pStyle w:val="TableText"/>
              <w:ind w:left="146"/>
              <w:spacing w:before="39" w:line="214" w:lineRule="auto"/>
              <w:rPr>
                <w:sz w:val="12"/>
                <w:szCs w:val="12"/>
              </w:rPr>
            </w:pPr>
            <w:r>
              <w:rPr>
                <w:sz w:val="12"/>
                <w:szCs w:val="12"/>
                <w:spacing w:val="-1"/>
              </w:rPr>
              <w:t>40Kg/袋</w:t>
            </w:r>
          </w:p>
        </w:tc>
        <w:tc>
          <w:tcPr>
            <w:tcW w:w="2763" w:type="dxa"/>
            <w:vAlign w:val="top"/>
          </w:tcPr>
          <w:p>
            <w:pPr>
              <w:pStyle w:val="TableText"/>
              <w:ind w:left="18"/>
              <w:spacing w:before="225" w:line="224" w:lineRule="auto"/>
              <w:rPr>
                <w:sz w:val="12"/>
                <w:szCs w:val="12"/>
              </w:rPr>
            </w:pPr>
            <w:r>
              <w:rPr>
                <w:sz w:val="12"/>
                <w:szCs w:val="12"/>
                <w:spacing w:val="-1"/>
              </w:rPr>
              <w:t>改善土嚷结构，增强透气、储水能力。乔灌</w:t>
            </w:r>
            <w:r>
              <w:rPr>
                <w:sz w:val="12"/>
                <w:szCs w:val="12"/>
                <w:spacing w:val="-2"/>
              </w:rPr>
              <w:t>木、地被</w:t>
            </w:r>
            <w:r>
              <w:rPr>
                <w:sz w:val="12"/>
                <w:szCs w:val="12"/>
              </w:rPr>
              <w:t xml:space="preserve"> </w:t>
            </w:r>
            <w:r>
              <w:rPr>
                <w:sz w:val="12"/>
                <w:szCs w:val="12"/>
                <w:spacing w:val="-2"/>
              </w:rPr>
              <w:t>、草坪均可使用，1万平方米年度约用量：400kg</w:t>
            </w:r>
          </w:p>
        </w:tc>
      </w:tr>
      <w:tr>
        <w:trPr>
          <w:trHeight w:val="49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123"/>
              <w:spacing w:before="116" w:line="219" w:lineRule="auto"/>
              <w:rPr>
                <w:sz w:val="12"/>
                <w:szCs w:val="12"/>
              </w:rPr>
            </w:pPr>
            <w:r>
              <w:rPr>
                <w:sz w:val="12"/>
                <w:szCs w:val="12"/>
                <w:spacing w:val="-1"/>
              </w:rPr>
              <w:t>松土肥(用于粘土改</w:t>
            </w:r>
          </w:p>
          <w:p>
            <w:pPr>
              <w:pStyle w:val="TableText"/>
              <w:ind w:left="543"/>
              <w:spacing w:before="20" w:line="222" w:lineRule="auto"/>
              <w:rPr>
                <w:sz w:val="12"/>
                <w:szCs w:val="12"/>
              </w:rPr>
            </w:pPr>
            <w:r>
              <w:rPr>
                <w:sz w:val="12"/>
                <w:szCs w:val="12"/>
                <w:spacing w:val="-12"/>
              </w:rPr>
              <w:t>良</w:t>
            </w:r>
            <w:r>
              <w:rPr>
                <w:sz w:val="12"/>
                <w:szCs w:val="12"/>
                <w:spacing w:val="-5"/>
              </w:rPr>
              <w:t xml:space="preserve"> </w:t>
            </w:r>
            <w:r>
              <w:rPr>
                <w:sz w:val="12"/>
                <w:szCs w:val="12"/>
                <w:spacing w:val="-12"/>
              </w:rPr>
              <w:t>)</w:t>
            </w:r>
          </w:p>
        </w:tc>
        <w:tc>
          <w:tcPr>
            <w:tcW w:w="1929" w:type="dxa"/>
            <w:vAlign w:val="top"/>
          </w:tcPr>
          <w:p>
            <w:pPr>
              <w:pStyle w:val="TableText"/>
              <w:ind w:left="114"/>
              <w:spacing w:before="187" w:line="219" w:lineRule="auto"/>
              <w:rPr>
                <w:sz w:val="12"/>
                <w:szCs w:val="12"/>
              </w:rPr>
            </w:pPr>
            <w:r>
              <w:rPr>
                <w:sz w:val="12"/>
                <w:szCs w:val="12"/>
                <w:spacing w:val="-1"/>
              </w:rPr>
              <w:t>含植物所雷的大、中，微量元素</w:t>
            </w:r>
          </w:p>
        </w:tc>
        <w:tc>
          <w:tcPr>
            <w:tcW w:w="1639" w:type="dxa"/>
            <w:vAlign w:val="top"/>
          </w:tcPr>
          <w:p>
            <w:pPr>
              <w:pStyle w:val="TableText"/>
              <w:ind w:left="785"/>
              <w:spacing w:before="190" w:line="224" w:lineRule="auto"/>
              <w:rPr>
                <w:sz w:val="12"/>
                <w:szCs w:val="12"/>
              </w:rPr>
            </w:pPr>
            <w:r>
              <w:rPr>
                <w:sz w:val="12"/>
                <w:szCs w:val="12"/>
              </w:rPr>
              <w:t>/</w:t>
            </w:r>
          </w:p>
        </w:tc>
        <w:tc>
          <w:tcPr>
            <w:tcW w:w="1069" w:type="dxa"/>
            <w:vAlign w:val="top"/>
            <w:vMerge w:val="continue"/>
            <w:tcBorders>
              <w:top w:val="nil"/>
            </w:tcBorders>
          </w:tcPr>
          <w:p>
            <w:pPr>
              <w:rPr>
                <w:rFonts w:ascii="Arial"/>
                <w:sz w:val="21"/>
              </w:rPr>
            </w:pPr>
            <w:r/>
          </w:p>
        </w:tc>
        <w:tc>
          <w:tcPr>
            <w:tcW w:w="719" w:type="dxa"/>
            <w:vAlign w:val="top"/>
          </w:tcPr>
          <w:p>
            <w:pPr>
              <w:rPr>
                <w:rFonts w:ascii="Arial"/>
                <w:sz w:val="21"/>
              </w:rPr>
            </w:pPr>
            <w:r/>
          </w:p>
        </w:tc>
        <w:tc>
          <w:tcPr>
            <w:tcW w:w="2763" w:type="dxa"/>
            <w:vAlign w:val="top"/>
          </w:tcPr>
          <w:p>
            <w:pPr>
              <w:pStyle w:val="TableText"/>
              <w:ind w:left="18"/>
              <w:spacing w:before="187" w:line="219" w:lineRule="auto"/>
              <w:rPr>
                <w:sz w:val="12"/>
                <w:szCs w:val="12"/>
              </w:rPr>
            </w:pPr>
            <w:r>
              <w:rPr>
                <w:sz w:val="12"/>
                <w:szCs w:val="12"/>
                <w:spacing w:val="-1"/>
              </w:rPr>
              <w:t>能改善土壤团粒结构，增加土壤通透性</w:t>
            </w:r>
          </w:p>
        </w:tc>
      </w:tr>
      <w:tr>
        <w:trPr>
          <w:trHeight w:val="52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73"/>
              <w:spacing w:before="207" w:line="219" w:lineRule="auto"/>
              <w:rPr>
                <w:sz w:val="12"/>
                <w:szCs w:val="12"/>
              </w:rPr>
            </w:pPr>
            <w:r>
              <w:rPr>
                <w:sz w:val="12"/>
                <w:szCs w:val="12"/>
                <w:spacing w:val="1"/>
              </w:rPr>
              <w:t>国光氩基酸钾</w:t>
            </w:r>
          </w:p>
        </w:tc>
        <w:tc>
          <w:tcPr>
            <w:tcW w:w="1929" w:type="dxa"/>
            <w:vAlign w:val="top"/>
          </w:tcPr>
          <w:p>
            <w:pPr>
              <w:pStyle w:val="TableText"/>
              <w:ind w:left="504"/>
              <w:spacing w:before="208" w:line="220" w:lineRule="auto"/>
              <w:rPr>
                <w:sz w:val="12"/>
                <w:szCs w:val="12"/>
              </w:rPr>
            </w:pPr>
            <w:r>
              <w:rPr>
                <w:sz w:val="12"/>
                <w:szCs w:val="12"/>
                <w:spacing w:val="1"/>
              </w:rPr>
              <w:t>12%氯基酸整合钾</w:t>
            </w:r>
          </w:p>
        </w:tc>
        <w:tc>
          <w:tcPr>
            <w:tcW w:w="1639" w:type="dxa"/>
            <w:vAlign w:val="top"/>
          </w:tcPr>
          <w:p>
            <w:pPr>
              <w:pStyle w:val="TableText"/>
              <w:ind w:left="365"/>
              <w:spacing w:before="207" w:line="219" w:lineRule="auto"/>
              <w:rPr>
                <w:sz w:val="12"/>
                <w:szCs w:val="12"/>
              </w:rPr>
            </w:pPr>
            <w:r>
              <w:rPr>
                <w:sz w:val="12"/>
                <w:szCs w:val="12"/>
                <w:spacing w:val="-1"/>
              </w:rPr>
              <w:t>稀释600-800倍液</w:t>
            </w:r>
          </w:p>
        </w:tc>
        <w:tc>
          <w:tcPr>
            <w:tcW w:w="1069" w:type="dxa"/>
            <w:vAlign w:val="top"/>
            <w:vMerge w:val="restart"/>
            <w:tcBorders>
              <w:bottom w:val="nil"/>
            </w:tcBorders>
          </w:tcPr>
          <w:p>
            <w:pPr>
              <w:spacing w:line="322" w:lineRule="auto"/>
              <w:rPr>
                <w:rFonts w:ascii="Arial"/>
                <w:sz w:val="21"/>
              </w:rPr>
            </w:pPr>
            <w:r/>
          </w:p>
          <w:p>
            <w:pPr>
              <w:spacing w:line="323" w:lineRule="auto"/>
              <w:rPr>
                <w:rFonts w:ascii="Arial"/>
                <w:sz w:val="21"/>
              </w:rPr>
            </w:pPr>
            <w:r/>
          </w:p>
          <w:p>
            <w:pPr>
              <w:pStyle w:val="TableText"/>
              <w:ind w:left="256"/>
              <w:spacing w:before="39" w:line="219" w:lineRule="auto"/>
              <w:rPr>
                <w:sz w:val="12"/>
                <w:szCs w:val="12"/>
              </w:rPr>
            </w:pPr>
            <w:r>
              <w:rPr>
                <w:sz w:val="12"/>
                <w:szCs w:val="12"/>
                <w:spacing w:val="-2"/>
              </w:rPr>
              <w:t>一般用1次</w:t>
            </w:r>
          </w:p>
        </w:tc>
        <w:tc>
          <w:tcPr>
            <w:tcW w:w="719" w:type="dxa"/>
            <w:vAlign w:val="top"/>
          </w:tcPr>
          <w:p>
            <w:pPr>
              <w:pStyle w:val="TableText"/>
              <w:ind w:left="146"/>
              <w:spacing w:before="203" w:line="214" w:lineRule="auto"/>
              <w:rPr>
                <w:sz w:val="12"/>
                <w:szCs w:val="12"/>
              </w:rPr>
            </w:pPr>
            <w:r>
              <w:rPr>
                <w:sz w:val="12"/>
                <w:szCs w:val="12"/>
                <w:spacing w:val="-1"/>
              </w:rPr>
              <w:t>500g/瓶</w:t>
            </w:r>
          </w:p>
        </w:tc>
        <w:tc>
          <w:tcPr>
            <w:tcW w:w="2763" w:type="dxa"/>
            <w:vAlign w:val="top"/>
          </w:tcPr>
          <w:p>
            <w:pPr>
              <w:pStyle w:val="TableText"/>
              <w:ind w:left="18" w:right="47"/>
              <w:spacing w:before="127"/>
              <w:rPr>
                <w:sz w:val="12"/>
                <w:szCs w:val="12"/>
              </w:rPr>
            </w:pPr>
            <w:r>
              <w:rPr>
                <w:sz w:val="12"/>
                <w:szCs w:val="12"/>
                <w:spacing w:val="-1"/>
              </w:rPr>
              <w:t>防治因缺钾引起的植株瘦弱，生长不良，1万平方米</w:t>
            </w:r>
            <w:r>
              <w:rPr>
                <w:sz w:val="12"/>
                <w:szCs w:val="12"/>
                <w:spacing w:val="9"/>
              </w:rPr>
              <w:t xml:space="preserve"> </w:t>
            </w:r>
            <w:r>
              <w:rPr>
                <w:sz w:val="12"/>
                <w:szCs w:val="12"/>
                <w:spacing w:val="-1"/>
              </w:rPr>
              <w:t>年度约用量：5Okg</w:t>
            </w:r>
          </w:p>
        </w:tc>
      </w:tr>
      <w:tr>
        <w:trPr>
          <w:trHeight w:val="49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13"/>
              <w:spacing w:before="188" w:line="219" w:lineRule="auto"/>
              <w:rPr>
                <w:sz w:val="12"/>
                <w:szCs w:val="12"/>
              </w:rPr>
            </w:pPr>
            <w:r>
              <w:rPr>
                <w:sz w:val="12"/>
                <w:szCs w:val="12"/>
                <w:spacing w:val="-1"/>
              </w:rPr>
              <w:t>高效磷钾复合肥</w:t>
            </w:r>
          </w:p>
        </w:tc>
        <w:tc>
          <w:tcPr>
            <w:tcW w:w="1929" w:type="dxa"/>
            <w:vAlign w:val="top"/>
          </w:tcPr>
          <w:p>
            <w:pPr>
              <w:pStyle w:val="TableText"/>
              <w:ind w:left="654"/>
              <w:spacing w:before="188" w:line="219" w:lineRule="auto"/>
              <w:rPr>
                <w:sz w:val="12"/>
                <w:szCs w:val="12"/>
              </w:rPr>
            </w:pPr>
            <w:r>
              <w:rPr>
                <w:sz w:val="12"/>
                <w:szCs w:val="12"/>
                <w:spacing w:val="-1"/>
              </w:rPr>
              <w:t>磷酸二氢钾</w:t>
            </w:r>
          </w:p>
        </w:tc>
        <w:tc>
          <w:tcPr>
            <w:tcW w:w="1639" w:type="dxa"/>
            <w:vAlign w:val="top"/>
          </w:tcPr>
          <w:p>
            <w:pPr>
              <w:pStyle w:val="TableText"/>
              <w:ind w:left="155"/>
              <w:spacing w:before="188" w:line="219" w:lineRule="auto"/>
              <w:rPr>
                <w:sz w:val="12"/>
                <w:szCs w:val="12"/>
              </w:rPr>
            </w:pPr>
            <w:r>
              <w:rPr>
                <w:sz w:val="12"/>
                <w:szCs w:val="12"/>
                <w:spacing w:val="-1"/>
              </w:rPr>
              <w:t>直接穴施或0.2%叶面喷施</w:t>
            </w:r>
          </w:p>
        </w:tc>
        <w:tc>
          <w:tcPr>
            <w:tcW w:w="1069" w:type="dxa"/>
            <w:vAlign w:val="top"/>
            <w:vMerge w:val="continue"/>
            <w:tcBorders>
              <w:top w:val="nil"/>
              <w:bottom w:val="nil"/>
            </w:tcBorders>
          </w:tcPr>
          <w:p>
            <w:pPr>
              <w:rPr>
                <w:rFonts w:ascii="Arial"/>
                <w:sz w:val="21"/>
              </w:rPr>
            </w:pPr>
            <w:r/>
          </w:p>
        </w:tc>
        <w:tc>
          <w:tcPr>
            <w:tcW w:w="719" w:type="dxa"/>
            <w:vAlign w:val="top"/>
          </w:tcPr>
          <w:p>
            <w:pPr>
              <w:pStyle w:val="TableText"/>
              <w:ind w:left="86"/>
              <w:spacing w:before="184" w:line="214" w:lineRule="auto"/>
              <w:rPr>
                <w:sz w:val="12"/>
                <w:szCs w:val="12"/>
              </w:rPr>
            </w:pPr>
            <w:r>
              <w:rPr>
                <w:sz w:val="12"/>
                <w:szCs w:val="12"/>
                <w:spacing w:val="4"/>
              </w:rPr>
              <w:t>(25</w:t>
            </w:r>
            <w:r>
              <w:rPr>
                <w:sz w:val="12"/>
                <w:szCs w:val="12"/>
              </w:rPr>
              <w:t>kg</w:t>
            </w:r>
            <w:r>
              <w:rPr>
                <w:sz w:val="12"/>
                <w:szCs w:val="12"/>
                <w:spacing w:val="4"/>
              </w:rPr>
              <w:t>/袋)</w:t>
            </w:r>
          </w:p>
        </w:tc>
        <w:tc>
          <w:tcPr>
            <w:tcW w:w="2763" w:type="dxa"/>
            <w:vAlign w:val="top"/>
          </w:tcPr>
          <w:p>
            <w:pPr>
              <w:pStyle w:val="TableText"/>
              <w:ind w:left="18" w:right="40"/>
              <w:spacing w:before="118"/>
              <w:rPr>
                <w:sz w:val="12"/>
                <w:szCs w:val="12"/>
              </w:rPr>
            </w:pPr>
            <w:r>
              <w:rPr>
                <w:sz w:val="12"/>
                <w:szCs w:val="12"/>
                <w:spacing w:val="-1"/>
              </w:rPr>
              <w:t>提高树木木质化程度，有利树木安全越冬，1万平方</w:t>
            </w:r>
            <w:r>
              <w:rPr>
                <w:sz w:val="12"/>
                <w:szCs w:val="12"/>
                <w:spacing w:val="16"/>
                <w:w w:val="101"/>
              </w:rPr>
              <w:t xml:space="preserve"> </w:t>
            </w:r>
            <w:r>
              <w:rPr>
                <w:sz w:val="12"/>
                <w:szCs w:val="12"/>
                <w:spacing w:val="-1"/>
              </w:rPr>
              <w:t>米年度约用量：100kg</w:t>
            </w:r>
          </w:p>
        </w:tc>
      </w:tr>
      <w:tr>
        <w:trPr>
          <w:trHeight w:val="43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49" w:type="dxa"/>
            <w:vAlign w:val="top"/>
            <w:vMerge w:val="restart"/>
            <w:tcBorders>
              <w:bottom w:val="nil"/>
            </w:tcBorders>
          </w:tcPr>
          <w:p>
            <w:pPr>
              <w:spacing w:line="268" w:lineRule="auto"/>
              <w:rPr>
                <w:rFonts w:ascii="Arial"/>
                <w:sz w:val="21"/>
              </w:rPr>
            </w:pPr>
            <w:r/>
          </w:p>
          <w:p>
            <w:pPr>
              <w:spacing w:line="269" w:lineRule="auto"/>
              <w:rPr>
                <w:rFonts w:ascii="Arial"/>
                <w:sz w:val="21"/>
              </w:rPr>
            </w:pPr>
            <w:r/>
          </w:p>
          <w:p>
            <w:pPr>
              <w:pStyle w:val="TableText"/>
              <w:ind w:left="40"/>
              <w:spacing w:before="39" w:line="219" w:lineRule="auto"/>
              <w:rPr>
                <w:sz w:val="12"/>
                <w:szCs w:val="12"/>
              </w:rPr>
            </w:pPr>
            <w:r>
              <w:rPr>
                <w:sz w:val="12"/>
                <w:szCs w:val="12"/>
                <w:spacing w:val="-1"/>
              </w:rPr>
              <w:t>草坪发芽及长势</w:t>
            </w:r>
          </w:p>
          <w:p>
            <w:pPr>
              <w:pStyle w:val="TableText"/>
              <w:ind w:left="340"/>
              <w:spacing w:before="9" w:line="222" w:lineRule="auto"/>
              <w:rPr>
                <w:sz w:val="12"/>
                <w:szCs w:val="12"/>
              </w:rPr>
            </w:pPr>
            <w:r>
              <w:rPr>
                <w:sz w:val="12"/>
                <w:szCs w:val="12"/>
                <w:spacing w:val="-2"/>
              </w:rPr>
              <w:t>不良</w:t>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2"/>
              <w:spacing w:before="99" w:line="201" w:lineRule="auto"/>
              <w:rPr>
                <w:sz w:val="12"/>
                <w:szCs w:val="12"/>
              </w:rPr>
            </w:pPr>
            <w:r>
              <w:rPr>
                <w:sz w:val="12"/>
                <w:szCs w:val="12"/>
                <w:spacing w:val="-1"/>
              </w:rPr>
              <w:t>草坪专用复合肥《无机</w:t>
            </w:r>
          </w:p>
          <w:p>
            <w:pPr>
              <w:pStyle w:val="TableText"/>
              <w:ind w:left="543"/>
              <w:spacing w:line="219" w:lineRule="auto"/>
              <w:rPr>
                <w:sz w:val="12"/>
                <w:szCs w:val="12"/>
              </w:rPr>
            </w:pPr>
            <w:r>
              <w:rPr>
                <w:sz w:val="12"/>
                <w:szCs w:val="12"/>
                <w:spacing w:val="-3"/>
              </w:rPr>
              <w:t>类</w:t>
            </w:r>
            <w:r>
              <w:rPr>
                <w:sz w:val="12"/>
                <w:szCs w:val="12"/>
                <w:spacing w:val="-24"/>
              </w:rPr>
              <w:t xml:space="preserve"> </w:t>
            </w:r>
            <w:r>
              <w:rPr>
                <w:sz w:val="12"/>
                <w:szCs w:val="12"/>
                <w:spacing w:val="-3"/>
              </w:rPr>
              <w:t>)</w:t>
            </w:r>
          </w:p>
        </w:tc>
        <w:tc>
          <w:tcPr>
            <w:tcW w:w="1929" w:type="dxa"/>
            <w:vAlign w:val="top"/>
          </w:tcPr>
          <w:p>
            <w:pPr>
              <w:pStyle w:val="TableText"/>
              <w:ind w:left="414"/>
              <w:spacing w:before="159" w:line="219" w:lineRule="auto"/>
              <w:rPr>
                <w:sz w:val="12"/>
                <w:szCs w:val="12"/>
              </w:rPr>
            </w:pPr>
            <w:r>
              <w:rPr>
                <w:sz w:val="12"/>
                <w:szCs w:val="12"/>
                <w:spacing w:val="-1"/>
              </w:rPr>
              <w:t>大、中、微量元素肥</w:t>
            </w:r>
          </w:p>
        </w:tc>
        <w:tc>
          <w:tcPr>
            <w:tcW w:w="1639" w:type="dxa"/>
            <w:vAlign w:val="top"/>
          </w:tcPr>
          <w:p>
            <w:pPr>
              <w:pStyle w:val="TableText"/>
              <w:ind w:left="574"/>
              <w:spacing w:before="160" w:line="219" w:lineRule="auto"/>
              <w:rPr>
                <w:sz w:val="12"/>
                <w:szCs w:val="12"/>
              </w:rPr>
            </w:pPr>
            <w:r>
              <w:rPr>
                <w:sz w:val="12"/>
                <w:szCs w:val="12"/>
                <w:spacing w:val="-2"/>
              </w:rPr>
              <w:t>直按激施</w:t>
            </w:r>
          </w:p>
        </w:tc>
        <w:tc>
          <w:tcPr>
            <w:tcW w:w="1069" w:type="dxa"/>
            <w:vAlign w:val="top"/>
            <w:vMerge w:val="continue"/>
            <w:tcBorders>
              <w:top w:val="nil"/>
            </w:tcBorders>
          </w:tcPr>
          <w:p>
            <w:pPr>
              <w:rPr>
                <w:rFonts w:ascii="Arial"/>
                <w:sz w:val="21"/>
              </w:rPr>
            </w:pPr>
            <w:r/>
          </w:p>
        </w:tc>
        <w:tc>
          <w:tcPr>
            <w:tcW w:w="719" w:type="dxa"/>
            <w:vAlign w:val="top"/>
          </w:tcPr>
          <w:p>
            <w:pPr>
              <w:pStyle w:val="TableText"/>
              <w:ind w:left="86"/>
              <w:spacing w:before="155" w:line="214" w:lineRule="auto"/>
              <w:rPr>
                <w:sz w:val="12"/>
                <w:szCs w:val="12"/>
              </w:rPr>
            </w:pPr>
            <w:r>
              <w:rPr>
                <w:sz w:val="12"/>
                <w:szCs w:val="12"/>
                <w:spacing w:val="4"/>
              </w:rPr>
              <w:t>(50</w:t>
            </w:r>
            <w:r>
              <w:rPr>
                <w:sz w:val="12"/>
                <w:szCs w:val="12"/>
              </w:rPr>
              <w:t>kg</w:t>
            </w:r>
            <w:r>
              <w:rPr>
                <w:sz w:val="12"/>
                <w:szCs w:val="12"/>
                <w:spacing w:val="4"/>
              </w:rPr>
              <w:t>/袋)</w:t>
            </w:r>
          </w:p>
        </w:tc>
        <w:tc>
          <w:tcPr>
            <w:tcW w:w="2763" w:type="dxa"/>
            <w:vAlign w:val="top"/>
          </w:tcPr>
          <w:p>
            <w:pPr>
              <w:pStyle w:val="TableText"/>
              <w:ind w:left="18" w:right="274"/>
              <w:spacing w:before="99" w:line="212" w:lineRule="auto"/>
              <w:rPr>
                <w:sz w:val="12"/>
                <w:szCs w:val="12"/>
              </w:rPr>
            </w:pPr>
            <w:r>
              <w:rPr>
                <w:sz w:val="12"/>
                <w:szCs w:val="12"/>
              </w:rPr>
              <w:t>促进草坪生长，增绿，1万平方米年度约用量： </w:t>
            </w:r>
            <w:r>
              <w:rPr>
                <w:sz w:val="12"/>
                <w:szCs w:val="12"/>
                <w:spacing w:val="-1"/>
              </w:rPr>
              <w:t>450kg</w:t>
            </w:r>
          </w:p>
        </w:tc>
      </w:tr>
      <w:tr>
        <w:trPr>
          <w:trHeight w:val="49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123"/>
              <w:spacing w:before="120" w:line="217" w:lineRule="auto"/>
              <w:rPr>
                <w:sz w:val="12"/>
                <w:szCs w:val="12"/>
              </w:rPr>
            </w:pPr>
            <w:r>
              <w:rPr>
                <w:sz w:val="12"/>
                <w:szCs w:val="12"/>
                <w:spacing w:val="-1"/>
              </w:rPr>
              <w:t>尿素(配合磷钾肥使</w:t>
            </w:r>
          </w:p>
          <w:p>
            <w:pPr>
              <w:pStyle w:val="TableText"/>
              <w:ind w:left="543"/>
              <w:spacing w:line="220" w:lineRule="auto"/>
              <w:rPr>
                <w:sz w:val="12"/>
                <w:szCs w:val="12"/>
              </w:rPr>
            </w:pPr>
            <w:r>
              <w:rPr>
                <w:sz w:val="12"/>
                <w:szCs w:val="12"/>
                <w:spacing w:val="-3"/>
              </w:rPr>
              <w:t>用</w:t>
            </w:r>
            <w:r>
              <w:rPr>
                <w:sz w:val="12"/>
                <w:szCs w:val="12"/>
                <w:spacing w:val="-23"/>
              </w:rPr>
              <w:t xml:space="preserve"> </w:t>
            </w:r>
            <w:r>
              <w:rPr>
                <w:sz w:val="12"/>
                <w:szCs w:val="12"/>
                <w:spacing w:val="-3"/>
              </w:rPr>
              <w:t>)</w:t>
            </w:r>
          </w:p>
        </w:tc>
        <w:tc>
          <w:tcPr>
            <w:tcW w:w="1929" w:type="dxa"/>
            <w:vAlign w:val="top"/>
          </w:tcPr>
          <w:p>
            <w:pPr>
              <w:pStyle w:val="TableText"/>
              <w:ind w:left="504"/>
              <w:spacing w:before="189" w:line="216" w:lineRule="auto"/>
              <w:rPr>
                <w:sz w:val="12"/>
                <w:szCs w:val="12"/>
              </w:rPr>
            </w:pPr>
            <w:r>
              <w:rPr>
                <w:sz w:val="12"/>
                <w:szCs w:val="12"/>
                <w:spacing w:val="-1"/>
              </w:rPr>
              <w:t>00(MH2)2,含氮6%</w:t>
            </w:r>
          </w:p>
        </w:tc>
        <w:tc>
          <w:tcPr>
            <w:tcW w:w="1639" w:type="dxa"/>
            <w:vAlign w:val="top"/>
          </w:tcPr>
          <w:p>
            <w:pPr>
              <w:pStyle w:val="TableText"/>
              <w:ind w:left="215"/>
              <w:spacing w:before="186" w:line="214" w:lineRule="auto"/>
              <w:rPr>
                <w:sz w:val="12"/>
                <w:szCs w:val="12"/>
              </w:rPr>
            </w:pPr>
            <w:r>
              <w:rPr>
                <w:sz w:val="12"/>
                <w:szCs w:val="12"/>
                <w:spacing w:val="-1"/>
              </w:rPr>
              <w:t>直按撒施：20-25kg/亩</w:t>
            </w:r>
          </w:p>
        </w:tc>
        <w:tc>
          <w:tcPr>
            <w:tcW w:w="1069" w:type="dxa"/>
            <w:vAlign w:val="top"/>
            <w:vMerge w:val="restart"/>
            <w:tcBorders>
              <w:bottom w:val="nil"/>
            </w:tcBorders>
          </w:tcPr>
          <w:p>
            <w:pPr>
              <w:spacing w:line="389" w:lineRule="auto"/>
              <w:rPr>
                <w:rFonts w:ascii="Arial"/>
                <w:sz w:val="21"/>
              </w:rPr>
            </w:pPr>
            <w:r/>
          </w:p>
          <w:p>
            <w:pPr>
              <w:pStyle w:val="TableText"/>
              <w:ind w:left="106"/>
              <w:spacing w:before="39" w:line="219" w:lineRule="auto"/>
              <w:rPr>
                <w:sz w:val="12"/>
                <w:szCs w:val="12"/>
              </w:rPr>
            </w:pPr>
            <w:r>
              <w:rPr>
                <w:sz w:val="12"/>
                <w:szCs w:val="12"/>
                <w:spacing w:val="-1"/>
              </w:rPr>
              <w:t>视草坪生长情况</w:t>
            </w:r>
          </w:p>
        </w:tc>
        <w:tc>
          <w:tcPr>
            <w:tcW w:w="719" w:type="dxa"/>
            <w:vAlign w:val="top"/>
          </w:tcPr>
          <w:p>
            <w:pPr>
              <w:pStyle w:val="TableText"/>
              <w:ind w:left="86"/>
              <w:spacing w:before="186" w:line="214" w:lineRule="auto"/>
              <w:rPr>
                <w:sz w:val="12"/>
                <w:szCs w:val="12"/>
              </w:rPr>
            </w:pPr>
            <w:r>
              <w:rPr>
                <w:sz w:val="12"/>
                <w:szCs w:val="12"/>
                <w:spacing w:val="4"/>
              </w:rPr>
              <w:t>(50</w:t>
            </w:r>
            <w:r>
              <w:rPr>
                <w:sz w:val="12"/>
                <w:szCs w:val="12"/>
              </w:rPr>
              <w:t>kg</w:t>
            </w:r>
            <w:r>
              <w:rPr>
                <w:sz w:val="12"/>
                <w:szCs w:val="12"/>
                <w:spacing w:val="4"/>
              </w:rPr>
              <w:t>/袋)</w:t>
            </w:r>
          </w:p>
        </w:tc>
        <w:tc>
          <w:tcPr>
            <w:tcW w:w="2763" w:type="dxa"/>
            <w:vAlign w:val="top"/>
          </w:tcPr>
          <w:p>
            <w:pPr>
              <w:pStyle w:val="TableText"/>
              <w:ind w:left="18" w:right="274"/>
              <w:spacing w:before="110"/>
              <w:rPr>
                <w:sz w:val="12"/>
                <w:szCs w:val="12"/>
              </w:rPr>
            </w:pPr>
            <w:r>
              <w:rPr>
                <w:sz w:val="12"/>
                <w:szCs w:val="12"/>
              </w:rPr>
              <w:t>促进草坪生长，增绿，1万平方米年度约用量： </w:t>
            </w:r>
            <w:r>
              <w:rPr>
                <w:sz w:val="12"/>
                <w:szCs w:val="12"/>
                <w:spacing w:val="-2"/>
              </w:rPr>
              <w:t>500kg</w:t>
            </w:r>
          </w:p>
        </w:tc>
      </w:tr>
      <w:tr>
        <w:trPr>
          <w:trHeight w:val="469" w:hRule="atLeast"/>
        </w:trPr>
        <w:tc>
          <w:tcPr>
            <w:tcW w:w="445" w:type="dxa"/>
            <w:vAlign w:val="top"/>
            <w:vMerge w:val="continue"/>
            <w:tcBorders>
              <w:top w:val="nil"/>
            </w:tcBorders>
          </w:tcPr>
          <w:p>
            <w:pPr>
              <w:rPr>
                <w:rFonts w:ascii="Arial"/>
                <w:sz w:val="21"/>
              </w:rPr>
            </w:pPr>
            <w:r/>
          </w:p>
        </w:tc>
        <w:tc>
          <w:tcPr>
            <w:tcW w:w="54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393"/>
              <w:spacing w:before="181" w:line="219" w:lineRule="auto"/>
              <w:rPr>
                <w:sz w:val="12"/>
                <w:szCs w:val="12"/>
              </w:rPr>
            </w:pPr>
            <w:r>
              <w:rPr>
                <w:sz w:val="12"/>
                <w:szCs w:val="12"/>
                <w:spacing w:val="1"/>
              </w:rPr>
              <w:t>中威壮美</w:t>
            </w:r>
          </w:p>
        </w:tc>
        <w:tc>
          <w:tcPr>
            <w:tcW w:w="1929" w:type="dxa"/>
            <w:vAlign w:val="top"/>
          </w:tcPr>
          <w:p>
            <w:pPr>
              <w:pStyle w:val="TableText"/>
              <w:ind w:left="624"/>
              <w:spacing w:before="181" w:line="219" w:lineRule="auto"/>
              <w:rPr>
                <w:sz w:val="12"/>
                <w:szCs w:val="12"/>
              </w:rPr>
            </w:pPr>
            <w:r>
              <w:rPr>
                <w:sz w:val="12"/>
                <w:szCs w:val="12"/>
                <w:spacing w:val="-1"/>
              </w:rPr>
              <w:t>有机质≥60%</w:t>
            </w:r>
          </w:p>
        </w:tc>
        <w:tc>
          <w:tcPr>
            <w:tcW w:w="1639" w:type="dxa"/>
            <w:vAlign w:val="top"/>
          </w:tcPr>
          <w:p>
            <w:pPr>
              <w:pStyle w:val="TableText"/>
              <w:ind w:left="215"/>
              <w:spacing w:before="177" w:line="214" w:lineRule="auto"/>
              <w:rPr>
                <w:sz w:val="12"/>
                <w:szCs w:val="12"/>
              </w:rPr>
            </w:pPr>
            <w:r>
              <w:rPr>
                <w:sz w:val="12"/>
                <w:szCs w:val="12"/>
                <w:spacing w:val="-1"/>
              </w:rPr>
              <w:t>直接撒施：20-25kg/亩</w:t>
            </w:r>
          </w:p>
        </w:tc>
        <w:tc>
          <w:tcPr>
            <w:tcW w:w="1069" w:type="dxa"/>
            <w:vAlign w:val="top"/>
            <w:vMerge w:val="continue"/>
            <w:tcBorders>
              <w:top w:val="nil"/>
            </w:tcBorders>
          </w:tcPr>
          <w:p>
            <w:pPr>
              <w:rPr>
                <w:rFonts w:ascii="Arial"/>
                <w:sz w:val="21"/>
              </w:rPr>
            </w:pPr>
            <w:r/>
          </w:p>
        </w:tc>
        <w:tc>
          <w:tcPr>
            <w:tcW w:w="719" w:type="dxa"/>
            <w:vAlign w:val="top"/>
          </w:tcPr>
          <w:p>
            <w:pPr>
              <w:pStyle w:val="TableText"/>
              <w:ind w:left="86"/>
              <w:spacing w:before="177" w:line="214" w:lineRule="auto"/>
              <w:rPr>
                <w:sz w:val="12"/>
                <w:szCs w:val="12"/>
              </w:rPr>
            </w:pPr>
            <w:r>
              <w:rPr>
                <w:sz w:val="12"/>
                <w:szCs w:val="12"/>
                <w:spacing w:val="4"/>
              </w:rPr>
              <w:t>(25</w:t>
            </w:r>
            <w:r>
              <w:rPr>
                <w:sz w:val="12"/>
                <w:szCs w:val="12"/>
              </w:rPr>
              <w:t>kg</w:t>
            </w:r>
            <w:r>
              <w:rPr>
                <w:sz w:val="12"/>
                <w:szCs w:val="12"/>
                <w:spacing w:val="4"/>
              </w:rPr>
              <w:t>/装)</w:t>
            </w:r>
          </w:p>
        </w:tc>
        <w:tc>
          <w:tcPr>
            <w:tcW w:w="2763" w:type="dxa"/>
            <w:vAlign w:val="top"/>
          </w:tcPr>
          <w:p>
            <w:pPr>
              <w:pStyle w:val="TableText"/>
              <w:ind w:left="18" w:right="160"/>
              <w:spacing w:before="111" w:line="225" w:lineRule="auto"/>
              <w:rPr>
                <w:sz w:val="12"/>
                <w:szCs w:val="12"/>
              </w:rPr>
            </w:pPr>
            <w:r>
              <w:rPr>
                <w:sz w:val="12"/>
                <w:szCs w:val="12"/>
                <w:spacing w:val="-1"/>
              </w:rPr>
              <w:t>促进草坪快速生根，全面营养，使用安全方便。1</w:t>
            </w:r>
            <w:r>
              <w:rPr>
                <w:sz w:val="12"/>
                <w:szCs w:val="12"/>
                <w:spacing w:val="15"/>
                <w:w w:val="101"/>
              </w:rPr>
              <w:t xml:space="preserve"> </w:t>
            </w:r>
            <w:r>
              <w:rPr>
                <w:sz w:val="12"/>
                <w:szCs w:val="12"/>
                <w:spacing w:val="-1"/>
              </w:rPr>
              <w:t>万平方米年度约用量：250kg</w:t>
            </w:r>
          </w:p>
        </w:tc>
      </w:tr>
      <w:tr>
        <w:trPr>
          <w:trHeight w:val="389" w:hRule="atLeast"/>
        </w:trPr>
        <w:tc>
          <w:tcPr>
            <w:tcW w:w="445" w:type="dxa"/>
            <w:vAlign w:val="top"/>
            <w:vMerge w:val="restart"/>
            <w:tcBorders>
              <w:bottom w:val="nil"/>
            </w:tcBorders>
          </w:tcPr>
          <w:p>
            <w:pPr>
              <w:spacing w:line="250" w:lineRule="auto"/>
              <w:rPr>
                <w:rFonts w:ascii="Arial"/>
                <w:sz w:val="21"/>
              </w:rPr>
            </w:pPr>
            <w:r/>
          </w:p>
          <w:p>
            <w:pPr>
              <w:spacing w:line="251" w:lineRule="auto"/>
              <w:rPr>
                <w:rFonts w:ascii="Arial"/>
                <w:sz w:val="21"/>
              </w:rPr>
            </w:pPr>
            <w:r/>
          </w:p>
          <w:p>
            <w:pPr>
              <w:pStyle w:val="TableText"/>
              <w:ind w:left="94"/>
              <w:spacing w:before="39" w:line="220" w:lineRule="auto"/>
              <w:rPr>
                <w:sz w:val="12"/>
                <w:szCs w:val="12"/>
              </w:rPr>
            </w:pPr>
            <w:r>
              <w:rPr>
                <w:sz w:val="12"/>
                <w:szCs w:val="12"/>
                <w:spacing w:val="-2"/>
              </w:rPr>
              <w:t>其他</w:t>
            </w:r>
          </w:p>
        </w:tc>
        <w:tc>
          <w:tcPr>
            <w:tcW w:w="540"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pStyle w:val="TableText"/>
              <w:ind w:left="20"/>
              <w:spacing w:before="39" w:line="219" w:lineRule="auto"/>
              <w:rPr>
                <w:sz w:val="12"/>
                <w:szCs w:val="12"/>
              </w:rPr>
            </w:pPr>
            <w:r>
              <w:rPr>
                <w:sz w:val="12"/>
                <w:szCs w:val="12"/>
                <w:spacing w:val="-1"/>
              </w:rPr>
              <w:t>树木养护</w:t>
            </w:r>
          </w:p>
        </w:tc>
        <w:tc>
          <w:tcPr>
            <w:tcW w:w="949" w:type="dxa"/>
            <w:vAlign w:val="top"/>
            <w:vMerge w:val="restart"/>
            <w:tcBorders>
              <w:bottom w:val="nil"/>
            </w:tcBorders>
          </w:tcPr>
          <w:p>
            <w:pPr>
              <w:spacing w:line="451" w:lineRule="auto"/>
              <w:rPr>
                <w:rFonts w:ascii="Arial"/>
                <w:sz w:val="21"/>
              </w:rPr>
            </w:pPr>
            <w:r/>
          </w:p>
          <w:p>
            <w:pPr>
              <w:pStyle w:val="TableText"/>
              <w:ind w:left="99" w:right="28" w:hanging="29"/>
              <w:spacing w:before="39" w:line="217" w:lineRule="auto"/>
              <w:rPr>
                <w:sz w:val="12"/>
                <w:szCs w:val="12"/>
              </w:rPr>
            </w:pPr>
            <w:r>
              <w:rPr>
                <w:sz w:val="12"/>
                <w:szCs w:val="12"/>
                <w:spacing w:val="-1"/>
              </w:rPr>
              <w:t>树木修剪创口，</w:t>
            </w:r>
            <w:r>
              <w:rPr>
                <w:sz w:val="12"/>
                <w:szCs w:val="12"/>
                <w:spacing w:val="5"/>
              </w:rPr>
              <w:t xml:space="preserve"> </w:t>
            </w:r>
            <w:r>
              <w:rPr>
                <w:sz w:val="12"/>
                <w:szCs w:val="12"/>
                <w:spacing w:val="2"/>
              </w:rPr>
              <w:t>腐烂病害伤口</w:t>
            </w:r>
          </w:p>
        </w:tc>
        <w:tc>
          <w:tcPr>
            <w:tcW w:w="2738"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pStyle w:val="TableText"/>
              <w:ind w:left="1140"/>
              <w:spacing w:before="39" w:line="219" w:lineRule="auto"/>
              <w:rPr>
                <w:sz w:val="12"/>
                <w:szCs w:val="12"/>
              </w:rPr>
            </w:pPr>
            <w:r>
              <w:rPr>
                <w:sz w:val="12"/>
                <w:szCs w:val="12"/>
                <w:spacing w:val="2"/>
              </w:rPr>
              <w:t>日常养护</w:t>
            </w:r>
          </w:p>
        </w:tc>
        <w:tc>
          <w:tcPr>
            <w:tcW w:w="1289" w:type="dxa"/>
            <w:vAlign w:val="top"/>
          </w:tcPr>
          <w:p>
            <w:pPr>
              <w:pStyle w:val="TableText"/>
              <w:ind w:left="213"/>
              <w:spacing w:before="142" w:line="219" w:lineRule="auto"/>
              <w:rPr>
                <w:sz w:val="12"/>
                <w:szCs w:val="12"/>
              </w:rPr>
            </w:pPr>
            <w:r>
              <w:rPr>
                <w:sz w:val="12"/>
                <w:szCs w:val="12"/>
                <w:spacing w:val="1"/>
              </w:rPr>
              <w:t>国光愈伤涂膜剂</w:t>
            </w:r>
          </w:p>
        </w:tc>
        <w:tc>
          <w:tcPr>
            <w:tcW w:w="1929" w:type="dxa"/>
            <w:vAlign w:val="top"/>
          </w:tcPr>
          <w:p>
            <w:pPr>
              <w:pStyle w:val="TableText"/>
              <w:ind w:left="714" w:right="70" w:hanging="660"/>
              <w:spacing w:before="61" w:line="244"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639" w:type="dxa"/>
            <w:vAlign w:val="top"/>
          </w:tcPr>
          <w:p>
            <w:pPr>
              <w:pStyle w:val="TableText"/>
              <w:ind w:left="155"/>
              <w:spacing w:before="142" w:line="219" w:lineRule="auto"/>
              <w:rPr>
                <w:sz w:val="12"/>
                <w:szCs w:val="12"/>
              </w:rPr>
            </w:pPr>
            <w:r>
              <w:rPr>
                <w:sz w:val="12"/>
                <w:szCs w:val="12"/>
                <w:spacing w:val="-1"/>
              </w:rPr>
              <w:t>直接使用，可略加水稀释</w:t>
            </w:r>
          </w:p>
        </w:tc>
        <w:tc>
          <w:tcPr>
            <w:tcW w:w="1069" w:type="dxa"/>
            <w:vAlign w:val="top"/>
            <w:vMerge w:val="restart"/>
            <w:tcBorders>
              <w:bottom w:val="nil"/>
            </w:tcBorders>
          </w:tcPr>
          <w:p>
            <w:pPr>
              <w:spacing w:line="441" w:lineRule="auto"/>
              <w:rPr>
                <w:rFonts w:ascii="Arial"/>
                <w:sz w:val="21"/>
              </w:rPr>
            </w:pPr>
            <w:r/>
          </w:p>
          <w:p>
            <w:pPr>
              <w:pStyle w:val="TableText"/>
              <w:ind w:left="46"/>
              <w:spacing w:before="39" w:line="219" w:lineRule="auto"/>
              <w:rPr>
                <w:sz w:val="12"/>
                <w:szCs w:val="12"/>
              </w:rPr>
            </w:pPr>
            <w:r>
              <w:rPr>
                <w:sz w:val="12"/>
                <w:szCs w:val="12"/>
                <w:spacing w:val="-1"/>
              </w:rPr>
              <w:t>乔木修剪后和树皮</w:t>
            </w:r>
          </w:p>
          <w:p>
            <w:pPr>
              <w:pStyle w:val="TableText"/>
              <w:ind w:left="346"/>
              <w:spacing w:before="8" w:line="221" w:lineRule="auto"/>
              <w:rPr>
                <w:sz w:val="12"/>
                <w:szCs w:val="12"/>
              </w:rPr>
            </w:pPr>
            <w:r>
              <w:rPr>
                <w:sz w:val="12"/>
                <w:szCs w:val="12"/>
                <w:spacing w:val="-1"/>
              </w:rPr>
              <w:t>破损时</w:t>
            </w:r>
          </w:p>
        </w:tc>
        <w:tc>
          <w:tcPr>
            <w:tcW w:w="719" w:type="dxa"/>
            <w:vAlign w:val="top"/>
          </w:tcPr>
          <w:p>
            <w:pPr>
              <w:pStyle w:val="TableText"/>
              <w:ind w:left="86"/>
              <w:spacing w:before="138" w:line="214" w:lineRule="auto"/>
              <w:rPr>
                <w:sz w:val="12"/>
                <w:szCs w:val="12"/>
              </w:rPr>
            </w:pPr>
            <w:r>
              <w:rPr>
                <w:sz w:val="12"/>
                <w:szCs w:val="12"/>
                <w:spacing w:val="3"/>
              </w:rPr>
              <w:t>(500g/瓶)</w:t>
            </w:r>
          </w:p>
        </w:tc>
        <w:tc>
          <w:tcPr>
            <w:tcW w:w="2763" w:type="dxa"/>
            <w:vAlign w:val="top"/>
          </w:tcPr>
          <w:p>
            <w:pPr>
              <w:pStyle w:val="TableText"/>
              <w:ind w:left="18"/>
              <w:spacing w:before="142" w:line="219" w:lineRule="auto"/>
              <w:rPr>
                <w:sz w:val="12"/>
                <w:szCs w:val="12"/>
              </w:rPr>
            </w:pPr>
            <w:r>
              <w:rPr>
                <w:sz w:val="12"/>
                <w:szCs w:val="12"/>
                <w:spacing w:val="-1"/>
              </w:rPr>
              <w:t>促进伤口快速愈合，杀菌防腐</w:t>
            </w:r>
          </w:p>
        </w:tc>
      </w:tr>
      <w:tr>
        <w:trPr>
          <w:trHeight w:val="380"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153" w:line="219" w:lineRule="auto"/>
              <w:rPr>
                <w:sz w:val="12"/>
                <w:szCs w:val="12"/>
              </w:rPr>
            </w:pPr>
            <w:r>
              <w:rPr>
                <w:sz w:val="12"/>
                <w:szCs w:val="12"/>
                <w:spacing w:val="1"/>
              </w:rPr>
              <w:t>中威愈伤膏</w:t>
            </w:r>
          </w:p>
        </w:tc>
        <w:tc>
          <w:tcPr>
            <w:tcW w:w="1929" w:type="dxa"/>
            <w:vAlign w:val="top"/>
          </w:tcPr>
          <w:p>
            <w:pPr>
              <w:pStyle w:val="TableText"/>
              <w:ind w:left="534"/>
              <w:spacing w:before="153" w:line="219" w:lineRule="auto"/>
              <w:rPr>
                <w:sz w:val="12"/>
                <w:szCs w:val="12"/>
              </w:rPr>
            </w:pPr>
            <w:r>
              <w:rPr>
                <w:sz w:val="12"/>
                <w:szCs w:val="12"/>
                <w:spacing w:val="-1"/>
              </w:rPr>
              <w:t>有机质、杀菌剂</w:t>
            </w:r>
          </w:p>
        </w:tc>
        <w:tc>
          <w:tcPr>
            <w:tcW w:w="1639" w:type="dxa"/>
            <w:vAlign w:val="top"/>
          </w:tcPr>
          <w:p>
            <w:pPr>
              <w:pStyle w:val="TableText"/>
              <w:ind w:left="155"/>
              <w:spacing w:before="134" w:line="219" w:lineRule="auto"/>
              <w:rPr>
                <w:sz w:val="12"/>
                <w:szCs w:val="12"/>
              </w:rPr>
            </w:pPr>
            <w:r>
              <w:rPr>
                <w:sz w:val="12"/>
                <w:szCs w:val="12"/>
                <w:spacing w:val="-1"/>
              </w:rPr>
              <w:t>直接使用，可略加水稀释</w:t>
            </w:r>
          </w:p>
        </w:tc>
        <w:tc>
          <w:tcPr>
            <w:tcW w:w="1069" w:type="dxa"/>
            <w:vAlign w:val="top"/>
            <w:vMerge w:val="continue"/>
            <w:tcBorders>
              <w:top w:val="nil"/>
              <w:bottom w:val="nil"/>
            </w:tcBorders>
          </w:tcPr>
          <w:p>
            <w:pPr>
              <w:rPr>
                <w:rFonts w:ascii="Arial"/>
                <w:sz w:val="21"/>
              </w:rPr>
            </w:pPr>
            <w:r/>
          </w:p>
        </w:tc>
        <w:tc>
          <w:tcPr>
            <w:tcW w:w="719" w:type="dxa"/>
            <w:vAlign w:val="top"/>
          </w:tcPr>
          <w:p>
            <w:pPr>
              <w:pStyle w:val="TableText"/>
              <w:ind w:left="86"/>
              <w:spacing w:before="149" w:line="214" w:lineRule="auto"/>
              <w:rPr>
                <w:sz w:val="12"/>
                <w:szCs w:val="12"/>
              </w:rPr>
            </w:pPr>
            <w:r>
              <w:rPr>
                <w:sz w:val="12"/>
                <w:szCs w:val="12"/>
                <w:spacing w:val="3"/>
              </w:rPr>
              <w:t>(500g/瓶)</w:t>
            </w:r>
          </w:p>
        </w:tc>
        <w:tc>
          <w:tcPr>
            <w:tcW w:w="2763" w:type="dxa"/>
            <w:vAlign w:val="top"/>
          </w:tcPr>
          <w:p>
            <w:pPr>
              <w:pStyle w:val="TableText"/>
              <w:ind w:left="18"/>
              <w:spacing w:before="83" w:line="220" w:lineRule="auto"/>
              <w:rPr>
                <w:sz w:val="12"/>
                <w:szCs w:val="12"/>
              </w:rPr>
            </w:pPr>
            <w:r>
              <w:rPr>
                <w:sz w:val="12"/>
                <w:szCs w:val="12"/>
                <w:spacing w:val="-1"/>
              </w:rPr>
              <w:t>适用树木移栽时切口及根部处理：病害伤口</w:t>
            </w:r>
            <w:r>
              <w:rPr>
                <w:sz w:val="12"/>
                <w:szCs w:val="12"/>
                <w:spacing w:val="-2"/>
              </w:rPr>
              <w:t>，树皮损</w:t>
            </w:r>
            <w:r>
              <w:rPr>
                <w:sz w:val="12"/>
                <w:szCs w:val="12"/>
              </w:rPr>
              <w:t xml:space="preserve"> </w:t>
            </w:r>
            <w:r>
              <w:rPr>
                <w:sz w:val="12"/>
                <w:szCs w:val="12"/>
                <w:spacing w:val="-3"/>
              </w:rPr>
              <w:t>失处理</w:t>
            </w:r>
          </w:p>
        </w:tc>
      </w:tr>
      <w:tr>
        <w:trPr>
          <w:trHeight w:val="414" w:hRule="atLeast"/>
        </w:trPr>
        <w:tc>
          <w:tcPr>
            <w:tcW w:w="445" w:type="dxa"/>
            <w:vAlign w:val="top"/>
            <w:vMerge w:val="continue"/>
            <w:tcBorders>
              <w:top w:val="nil"/>
            </w:tcBorders>
          </w:tcPr>
          <w:p>
            <w:pPr>
              <w:rPr>
                <w:rFonts w:ascii="Arial"/>
                <w:sz w:val="21"/>
              </w:rPr>
            </w:pPr>
            <w:r/>
          </w:p>
        </w:tc>
        <w:tc>
          <w:tcPr>
            <w:tcW w:w="54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393"/>
              <w:spacing w:before="154" w:line="219" w:lineRule="auto"/>
              <w:rPr>
                <w:sz w:val="12"/>
                <w:szCs w:val="12"/>
              </w:rPr>
            </w:pPr>
            <w:r>
              <w:rPr>
                <w:sz w:val="12"/>
                <w:szCs w:val="12"/>
                <w:spacing w:val="-2"/>
              </w:rPr>
              <w:t>灰色油漆</w:t>
            </w:r>
          </w:p>
        </w:tc>
        <w:tc>
          <w:tcPr>
            <w:tcW w:w="1929" w:type="dxa"/>
            <w:vAlign w:val="top"/>
          </w:tcPr>
          <w:p>
            <w:pPr>
              <w:pStyle w:val="TableText"/>
              <w:ind w:left="173"/>
              <w:spacing w:before="153" w:line="219" w:lineRule="auto"/>
              <w:rPr>
                <w:sz w:val="12"/>
                <w:szCs w:val="12"/>
              </w:rPr>
            </w:pPr>
            <w:r>
              <w:rPr>
                <w:sz w:val="12"/>
                <w:szCs w:val="12"/>
                <w:spacing w:val="-1"/>
              </w:rPr>
              <w:t>成膜物质、颜料，溶剂，助剂</w:t>
            </w:r>
          </w:p>
        </w:tc>
        <w:tc>
          <w:tcPr>
            <w:tcW w:w="1639" w:type="dxa"/>
            <w:vAlign w:val="top"/>
          </w:tcPr>
          <w:p>
            <w:pPr>
              <w:pStyle w:val="TableText"/>
              <w:ind w:left="95"/>
              <w:spacing w:before="154" w:line="219" w:lineRule="auto"/>
              <w:rPr>
                <w:sz w:val="12"/>
                <w:szCs w:val="12"/>
              </w:rPr>
            </w:pPr>
            <w:r>
              <w:rPr>
                <w:sz w:val="12"/>
                <w:szCs w:val="12"/>
                <w:spacing w:val="-1"/>
              </w:rPr>
              <w:t>直接使用，可略加汽油稀释</w:t>
            </w:r>
          </w:p>
        </w:tc>
        <w:tc>
          <w:tcPr>
            <w:tcW w:w="1069" w:type="dxa"/>
            <w:vAlign w:val="top"/>
            <w:vMerge w:val="continue"/>
            <w:tcBorders>
              <w:top w:val="nil"/>
            </w:tcBorders>
          </w:tcPr>
          <w:p>
            <w:pPr>
              <w:rPr>
                <w:rFonts w:ascii="Arial"/>
                <w:sz w:val="21"/>
              </w:rPr>
            </w:pPr>
            <w:r/>
          </w:p>
        </w:tc>
        <w:tc>
          <w:tcPr>
            <w:tcW w:w="719" w:type="dxa"/>
            <w:vAlign w:val="top"/>
          </w:tcPr>
          <w:p>
            <w:pPr>
              <w:pStyle w:val="TableText"/>
              <w:ind w:left="176"/>
              <w:spacing w:before="154" w:line="219" w:lineRule="auto"/>
              <w:rPr>
                <w:sz w:val="12"/>
                <w:szCs w:val="12"/>
              </w:rPr>
            </w:pPr>
            <w:r>
              <w:rPr>
                <w:sz w:val="12"/>
                <w:szCs w:val="12"/>
                <w:spacing w:val="1"/>
              </w:rPr>
              <w:t>11./桶</w:t>
            </w:r>
          </w:p>
        </w:tc>
        <w:tc>
          <w:tcPr>
            <w:tcW w:w="2763" w:type="dxa"/>
            <w:vAlign w:val="top"/>
          </w:tcPr>
          <w:p>
            <w:pPr>
              <w:pStyle w:val="TableText"/>
              <w:ind w:left="18"/>
              <w:spacing w:before="154" w:line="219" w:lineRule="auto"/>
              <w:rPr>
                <w:sz w:val="12"/>
                <w:szCs w:val="12"/>
              </w:rPr>
            </w:pPr>
            <w:r>
              <w:rPr>
                <w:sz w:val="12"/>
                <w:szCs w:val="12"/>
                <w:spacing w:val="-1"/>
              </w:rPr>
              <w:t>伤口涂抹</w:t>
            </w:r>
          </w:p>
        </w:tc>
      </w:tr>
    </w:tbl>
    <w:p>
      <w:pPr>
        <w:rPr>
          <w:rFonts w:ascii="Arial"/>
          <w:sz w:val="21"/>
        </w:rPr>
      </w:pPr>
      <w:r/>
    </w:p>
    <w:p>
      <w:pPr>
        <w:sectPr>
          <w:pgSz w:w="14490" w:h="10240"/>
          <w:pgMar w:top="115" w:right="224" w:bottom="400" w:left="174" w:header="0" w:footer="0" w:gutter="0"/>
        </w:sectPr>
        <w:rPr>
          <w:rFonts w:ascii="Arial" w:hAnsi="Arial" w:eastAsia="Arial" w:cs="Arial"/>
          <w:sz w:val="21"/>
          <w:szCs w:val="21"/>
        </w:rPr>
      </w:pPr>
    </w:p>
    <w:tbl>
      <w:tblPr>
        <w:tblStyle w:val="TableNormal"/>
        <w:tblW w:w="14074"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39"/>
        <w:gridCol w:w="989"/>
        <w:gridCol w:w="2578"/>
        <w:gridCol w:w="1269"/>
        <w:gridCol w:w="1889"/>
        <w:gridCol w:w="1609"/>
        <w:gridCol w:w="1529"/>
        <w:gridCol w:w="709"/>
        <w:gridCol w:w="2548"/>
      </w:tblGrid>
      <w:tr>
        <w:trPr>
          <w:trHeight w:val="634" w:hRule="atLeast"/>
        </w:trPr>
        <w:tc>
          <w:tcPr>
            <w:tcW w:w="14074" w:type="dxa"/>
            <w:vAlign w:val="top"/>
            <w:gridSpan w:val="10"/>
          </w:tcPr>
          <w:p>
            <w:pPr>
              <w:pStyle w:val="TableText"/>
              <w:ind w:left="6067"/>
              <w:spacing w:before="148" w:line="219" w:lineRule="auto"/>
              <w:rPr>
                <w:sz w:val="16"/>
                <w:szCs w:val="16"/>
              </w:rPr>
            </w:pPr>
            <w:r>
              <w:rPr>
                <w:sz w:val="16"/>
                <w:szCs w:val="16"/>
                <w:b/>
                <w:bCs/>
                <w:spacing w:val="-3"/>
              </w:rPr>
              <w:t>辽宁地区农药肥料使用指导</w:t>
            </w:r>
          </w:p>
          <w:p>
            <w:pPr>
              <w:pStyle w:val="TableText"/>
              <w:ind w:left="4817"/>
              <w:spacing w:before="9" w:line="218" w:lineRule="auto"/>
              <w:rPr>
                <w:sz w:val="16"/>
                <w:szCs w:val="16"/>
              </w:rPr>
            </w:pPr>
            <w:r>
              <w:rPr>
                <w:sz w:val="16"/>
                <w:szCs w:val="16"/>
                <w:b/>
                <w:bCs/>
                <w:spacing w:val="-2"/>
              </w:rPr>
              <w:t>(本表中药品供参考，如有同类且成分相同、价格合理、低毒高效的药品，可选择使用》</w:t>
            </w:r>
          </w:p>
        </w:tc>
      </w:tr>
      <w:tr>
        <w:trPr>
          <w:trHeight w:val="609" w:hRule="atLeast"/>
        </w:trPr>
        <w:tc>
          <w:tcPr>
            <w:tcW w:w="415" w:type="dxa"/>
            <w:vAlign w:val="top"/>
          </w:tcPr>
          <w:p>
            <w:pPr>
              <w:pStyle w:val="TableText"/>
              <w:ind w:left="76"/>
              <w:spacing w:before="244" w:line="219" w:lineRule="auto"/>
              <w:rPr>
                <w:sz w:val="12"/>
                <w:szCs w:val="12"/>
              </w:rPr>
            </w:pPr>
            <w:r>
              <w:rPr>
                <w:sz w:val="12"/>
                <w:szCs w:val="12"/>
                <w:b/>
                <w:bCs/>
                <w:spacing w:val="-3"/>
              </w:rPr>
              <w:t>分类</w:t>
            </w:r>
          </w:p>
        </w:tc>
        <w:tc>
          <w:tcPr>
            <w:tcW w:w="539" w:type="dxa"/>
            <w:vAlign w:val="top"/>
          </w:tcPr>
          <w:p>
            <w:pPr>
              <w:pStyle w:val="TableText"/>
              <w:ind w:left="21"/>
              <w:spacing w:before="74" w:line="219" w:lineRule="auto"/>
              <w:rPr>
                <w:sz w:val="12"/>
                <w:szCs w:val="12"/>
              </w:rPr>
            </w:pPr>
            <w:r>
              <w:rPr>
                <w:sz w:val="12"/>
                <w:szCs w:val="12"/>
                <w:b/>
                <w:bCs/>
                <w:spacing w:val="-3"/>
              </w:rPr>
              <w:t>消杀预防</w:t>
            </w:r>
          </w:p>
          <w:p>
            <w:pPr>
              <w:pStyle w:val="TableText"/>
              <w:ind w:left="21"/>
              <w:spacing w:before="27" w:line="215" w:lineRule="auto"/>
              <w:rPr>
                <w:sz w:val="12"/>
                <w:szCs w:val="12"/>
              </w:rPr>
            </w:pPr>
            <w:r>
              <w:rPr>
                <w:sz w:val="12"/>
                <w:szCs w:val="12"/>
                <w:b/>
                <w:bCs/>
                <w:spacing w:val="-3"/>
              </w:rPr>
              <w:t>及病虫害</w:t>
            </w:r>
          </w:p>
          <w:p>
            <w:pPr>
              <w:pStyle w:val="TableText"/>
              <w:ind w:left="141"/>
              <w:spacing w:line="219" w:lineRule="auto"/>
              <w:rPr>
                <w:sz w:val="12"/>
                <w:szCs w:val="12"/>
              </w:rPr>
            </w:pPr>
            <w:r>
              <w:rPr>
                <w:sz w:val="12"/>
                <w:szCs w:val="12"/>
                <w:b/>
                <w:bCs/>
                <w:spacing w:val="-3"/>
              </w:rPr>
              <w:t>分类</w:t>
            </w:r>
          </w:p>
        </w:tc>
        <w:tc>
          <w:tcPr>
            <w:tcW w:w="989" w:type="dxa"/>
            <w:vAlign w:val="top"/>
          </w:tcPr>
          <w:p>
            <w:pPr>
              <w:pStyle w:val="TableText"/>
              <w:ind w:left="182"/>
              <w:spacing w:before="244" w:line="219" w:lineRule="auto"/>
              <w:rPr>
                <w:sz w:val="12"/>
                <w:szCs w:val="12"/>
              </w:rPr>
            </w:pPr>
            <w:r>
              <w:rPr>
                <w:sz w:val="12"/>
                <w:szCs w:val="12"/>
                <w:b/>
                <w:bCs/>
                <w:spacing w:val="-3"/>
              </w:rPr>
              <w:t>常见病虫害</w:t>
            </w:r>
          </w:p>
        </w:tc>
        <w:tc>
          <w:tcPr>
            <w:tcW w:w="2578" w:type="dxa"/>
            <w:vAlign w:val="top"/>
          </w:tcPr>
          <w:p>
            <w:pPr>
              <w:pStyle w:val="TableText"/>
              <w:ind w:left="953"/>
              <w:spacing w:before="244" w:line="219" w:lineRule="auto"/>
              <w:rPr>
                <w:sz w:val="12"/>
                <w:szCs w:val="12"/>
              </w:rPr>
            </w:pPr>
            <w:r>
              <w:rPr>
                <w:sz w:val="12"/>
                <w:szCs w:val="12"/>
                <w:b/>
                <w:bCs/>
                <w:spacing w:val="-3"/>
              </w:rPr>
              <w:t>主要发病月份</w:t>
            </w:r>
          </w:p>
        </w:tc>
        <w:tc>
          <w:tcPr>
            <w:tcW w:w="1269" w:type="dxa"/>
            <w:vAlign w:val="top"/>
          </w:tcPr>
          <w:p>
            <w:pPr>
              <w:pStyle w:val="TableText"/>
              <w:ind w:left="385"/>
              <w:spacing w:before="244" w:line="220" w:lineRule="auto"/>
              <w:rPr>
                <w:sz w:val="12"/>
                <w:szCs w:val="12"/>
              </w:rPr>
            </w:pPr>
            <w:r>
              <w:rPr>
                <w:sz w:val="12"/>
                <w:szCs w:val="12"/>
                <w:b/>
                <w:bCs/>
                <w:spacing w:val="-3"/>
              </w:rPr>
              <w:t>药品名称</w:t>
            </w:r>
          </w:p>
        </w:tc>
        <w:tc>
          <w:tcPr>
            <w:tcW w:w="1889" w:type="dxa"/>
            <w:vAlign w:val="top"/>
          </w:tcPr>
          <w:p>
            <w:pPr>
              <w:pStyle w:val="TableText"/>
              <w:ind w:left="696"/>
              <w:spacing w:before="244" w:line="220" w:lineRule="auto"/>
              <w:rPr>
                <w:sz w:val="12"/>
                <w:szCs w:val="12"/>
              </w:rPr>
            </w:pPr>
            <w:r>
              <w:rPr>
                <w:sz w:val="12"/>
                <w:szCs w:val="12"/>
                <w:b/>
                <w:bCs/>
                <w:spacing w:val="-3"/>
              </w:rPr>
              <w:t>主要成分</w:t>
            </w:r>
          </w:p>
        </w:tc>
        <w:tc>
          <w:tcPr>
            <w:tcW w:w="1609" w:type="dxa"/>
            <w:vAlign w:val="top"/>
          </w:tcPr>
          <w:p>
            <w:pPr>
              <w:pStyle w:val="TableText"/>
              <w:ind w:left="557"/>
              <w:spacing w:before="244" w:line="219" w:lineRule="auto"/>
              <w:rPr>
                <w:sz w:val="12"/>
                <w:szCs w:val="12"/>
              </w:rPr>
            </w:pPr>
            <w:r>
              <w:rPr>
                <w:sz w:val="12"/>
                <w:szCs w:val="12"/>
                <w:b/>
                <w:bCs/>
                <w:spacing w:val="-3"/>
              </w:rPr>
              <w:t>使用标准</w:t>
            </w:r>
          </w:p>
        </w:tc>
        <w:tc>
          <w:tcPr>
            <w:tcW w:w="1529" w:type="dxa"/>
            <w:vAlign w:val="top"/>
          </w:tcPr>
          <w:p>
            <w:pPr>
              <w:pStyle w:val="TableText"/>
              <w:ind w:left="518"/>
              <w:spacing w:before="244" w:line="219" w:lineRule="auto"/>
              <w:rPr>
                <w:sz w:val="12"/>
                <w:szCs w:val="12"/>
              </w:rPr>
            </w:pPr>
            <w:r>
              <w:rPr>
                <w:sz w:val="12"/>
                <w:szCs w:val="12"/>
                <w:b/>
                <w:bCs/>
                <w:spacing w:val="-3"/>
              </w:rPr>
              <w:t>施用次数</w:t>
            </w:r>
          </w:p>
        </w:tc>
        <w:tc>
          <w:tcPr>
            <w:tcW w:w="709" w:type="dxa"/>
            <w:vAlign w:val="top"/>
          </w:tcPr>
          <w:p>
            <w:pPr>
              <w:pStyle w:val="TableText"/>
              <w:ind w:left="229"/>
              <w:spacing w:before="244" w:line="219" w:lineRule="auto"/>
              <w:rPr>
                <w:sz w:val="12"/>
                <w:szCs w:val="12"/>
              </w:rPr>
            </w:pPr>
            <w:r>
              <w:rPr>
                <w:sz w:val="12"/>
                <w:szCs w:val="12"/>
                <w:b/>
                <w:bCs/>
                <w:spacing w:val="-3"/>
              </w:rPr>
              <w:t>规格</w:t>
            </w:r>
          </w:p>
        </w:tc>
        <w:tc>
          <w:tcPr>
            <w:tcW w:w="2548" w:type="dxa"/>
            <w:vAlign w:val="top"/>
          </w:tcPr>
          <w:p>
            <w:pPr>
              <w:pStyle w:val="TableText"/>
              <w:ind w:left="1160"/>
              <w:spacing w:before="244" w:line="221" w:lineRule="auto"/>
              <w:rPr>
                <w:sz w:val="12"/>
                <w:szCs w:val="12"/>
              </w:rPr>
            </w:pPr>
            <w:r>
              <w:rPr>
                <w:sz w:val="12"/>
                <w:szCs w:val="12"/>
                <w:b/>
                <w:bCs/>
                <w:spacing w:val="-3"/>
              </w:rPr>
              <w:t>备注</w:t>
            </w:r>
          </w:p>
        </w:tc>
      </w:tr>
      <w:tr>
        <w:trPr>
          <w:trHeight w:val="360" w:hRule="atLeast"/>
        </w:trPr>
        <w:tc>
          <w:tcPr>
            <w:tcW w:w="415"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4"/>
              <w:spacing w:before="39" w:line="219" w:lineRule="auto"/>
              <w:rPr>
                <w:sz w:val="12"/>
                <w:szCs w:val="12"/>
              </w:rPr>
            </w:pPr>
            <w:r>
              <w:rPr>
                <w:sz w:val="12"/>
                <w:szCs w:val="12"/>
                <w:spacing w:val="-2"/>
              </w:rPr>
              <w:t>杀菌剂</w:t>
            </w:r>
          </w:p>
        </w:tc>
        <w:tc>
          <w:tcPr>
            <w:tcW w:w="539" w:type="dxa"/>
            <w:vAlign w:val="top"/>
            <w:vMerge w:val="restart"/>
            <w:tcBorders>
              <w:bottom w:val="nil"/>
            </w:tcBorders>
          </w:tcPr>
          <w:p>
            <w:pPr>
              <w:spacing w:line="266" w:lineRule="auto"/>
              <w:rPr>
                <w:rFonts w:ascii="Arial"/>
                <w:sz w:val="21"/>
              </w:rPr>
            </w:pPr>
            <w:r/>
          </w:p>
          <w:p>
            <w:pPr>
              <w:pStyle w:val="TableText"/>
              <w:ind w:left="20"/>
              <w:spacing w:before="39" w:line="219" w:lineRule="auto"/>
              <w:rPr>
                <w:sz w:val="12"/>
                <w:szCs w:val="12"/>
              </w:rPr>
            </w:pPr>
            <w:r>
              <w:rPr>
                <w:sz w:val="12"/>
                <w:szCs w:val="12"/>
                <w:spacing w:val="-2"/>
              </w:rPr>
              <w:t>消杀预防</w:t>
            </w:r>
          </w:p>
        </w:tc>
        <w:tc>
          <w:tcPr>
            <w:tcW w:w="989" w:type="dxa"/>
            <w:vAlign w:val="top"/>
            <w:vMerge w:val="restart"/>
            <w:tcBorders>
              <w:bottom w:val="nil"/>
            </w:tcBorders>
          </w:tcPr>
          <w:p>
            <w:pPr>
              <w:pStyle w:val="TableText"/>
              <w:spacing w:before="246" w:line="197" w:lineRule="auto"/>
              <w:rPr>
                <w:sz w:val="12"/>
                <w:szCs w:val="12"/>
              </w:rPr>
            </w:pPr>
            <w:r>
              <w:rPr>
                <w:sz w:val="12"/>
                <w:szCs w:val="12"/>
                <w:spacing w:val="-1"/>
              </w:rPr>
              <w:t>全园区的菌类病菌</w:t>
            </w:r>
          </w:p>
          <w:p>
            <w:pPr>
              <w:pStyle w:val="TableText"/>
              <w:ind w:left="281"/>
              <w:spacing w:line="216" w:lineRule="auto"/>
              <w:rPr>
                <w:sz w:val="12"/>
                <w:szCs w:val="12"/>
              </w:rPr>
            </w:pPr>
            <w:r>
              <w:rPr>
                <w:sz w:val="12"/>
                <w:szCs w:val="12"/>
                <w:spacing w:val="-5"/>
              </w:rPr>
              <w:t>,</w:t>
            </w:r>
            <w:r>
              <w:rPr>
                <w:sz w:val="12"/>
                <w:szCs w:val="12"/>
                <w:spacing w:val="6"/>
              </w:rPr>
              <w:t xml:space="preserve"> </w:t>
            </w:r>
            <w:r>
              <w:rPr>
                <w:sz w:val="12"/>
                <w:szCs w:val="12"/>
                <w:spacing w:val="-5"/>
              </w:rPr>
              <w:t>虫</w:t>
            </w:r>
            <w:r>
              <w:rPr>
                <w:sz w:val="12"/>
                <w:szCs w:val="12"/>
                <w:spacing w:val="7"/>
              </w:rPr>
              <w:t xml:space="preserve"> </w:t>
            </w:r>
            <w:r>
              <w:rPr>
                <w:sz w:val="12"/>
                <w:szCs w:val="12"/>
                <w:spacing w:val="-5"/>
              </w:rPr>
              <w:t>卵</w:t>
            </w:r>
          </w:p>
        </w:tc>
        <w:tc>
          <w:tcPr>
            <w:tcW w:w="2578" w:type="dxa"/>
            <w:vAlign w:val="top"/>
            <w:vMerge w:val="restart"/>
            <w:tcBorders>
              <w:bottom w:val="nil"/>
            </w:tcBorders>
          </w:tcPr>
          <w:p>
            <w:pPr>
              <w:pStyle w:val="TableText"/>
              <w:ind w:left="12"/>
              <w:spacing w:before="246" w:line="210" w:lineRule="auto"/>
              <w:rPr>
                <w:sz w:val="12"/>
                <w:szCs w:val="12"/>
              </w:rPr>
            </w:pPr>
            <w:r>
              <w:rPr>
                <w:sz w:val="12"/>
                <w:szCs w:val="12"/>
                <w:spacing w:val="-2"/>
              </w:rPr>
              <w:t>4月上句苗木草坪返青前对全园区的病菌、虫卵，</w:t>
            </w:r>
            <w:r>
              <w:rPr>
                <w:sz w:val="12"/>
                <w:szCs w:val="12"/>
                <w:spacing w:val="18"/>
                <w:w w:val="101"/>
              </w:rPr>
              <w:t xml:space="preserve"> </w:t>
            </w:r>
            <w:r>
              <w:rPr>
                <w:sz w:val="12"/>
                <w:szCs w:val="12"/>
                <w:spacing w:val="-1"/>
              </w:rPr>
              <w:t>消杀1-2次。</w:t>
            </w:r>
          </w:p>
        </w:tc>
        <w:tc>
          <w:tcPr>
            <w:tcW w:w="1269" w:type="dxa"/>
            <w:vAlign w:val="top"/>
          </w:tcPr>
          <w:p>
            <w:pPr>
              <w:pStyle w:val="TableText"/>
              <w:ind w:left="384"/>
              <w:spacing w:before="117" w:line="220" w:lineRule="auto"/>
              <w:rPr>
                <w:sz w:val="12"/>
                <w:szCs w:val="12"/>
              </w:rPr>
            </w:pPr>
            <w:r>
              <w:rPr>
                <w:sz w:val="12"/>
                <w:szCs w:val="12"/>
                <w:spacing w:val="-1"/>
              </w:rPr>
              <w:t>波尔多液</w:t>
            </w:r>
          </w:p>
        </w:tc>
        <w:tc>
          <w:tcPr>
            <w:tcW w:w="1889" w:type="dxa"/>
            <w:vAlign w:val="top"/>
          </w:tcPr>
          <w:p>
            <w:pPr>
              <w:pStyle w:val="TableText"/>
              <w:ind w:left="635"/>
              <w:spacing w:before="117" w:line="221" w:lineRule="auto"/>
              <w:rPr>
                <w:sz w:val="12"/>
                <w:szCs w:val="12"/>
              </w:rPr>
            </w:pPr>
            <w:r>
              <w:rPr>
                <w:sz w:val="12"/>
                <w:szCs w:val="12"/>
                <w:spacing w:val="-1"/>
              </w:rPr>
              <w:t>碱式硫酸钢</w:t>
            </w:r>
          </w:p>
        </w:tc>
        <w:tc>
          <w:tcPr>
            <w:tcW w:w="1609" w:type="dxa"/>
            <w:vAlign w:val="top"/>
          </w:tcPr>
          <w:p>
            <w:pPr>
              <w:pStyle w:val="TableText"/>
              <w:ind w:left="526"/>
              <w:spacing w:before="117" w:line="220" w:lineRule="auto"/>
              <w:rPr>
                <w:sz w:val="12"/>
                <w:szCs w:val="12"/>
              </w:rPr>
            </w:pPr>
            <w:r>
              <w:rPr>
                <w:sz w:val="12"/>
                <w:szCs w:val="12"/>
                <w:spacing w:val="-2"/>
              </w:rPr>
              <w:t>160-240倍</w:t>
            </w:r>
          </w:p>
        </w:tc>
        <w:tc>
          <w:tcPr>
            <w:tcW w:w="1529" w:type="dxa"/>
            <w:vAlign w:val="top"/>
            <w:vMerge w:val="restart"/>
            <w:tcBorders>
              <w:bottom w:val="nil"/>
            </w:tcBorders>
          </w:tcPr>
          <w:p>
            <w:pPr>
              <w:spacing w:line="269" w:lineRule="auto"/>
              <w:rPr>
                <w:rFonts w:ascii="Arial"/>
                <w:sz w:val="21"/>
              </w:rPr>
            </w:pPr>
            <w:r/>
          </w:p>
          <w:p>
            <w:pPr>
              <w:pStyle w:val="TableText"/>
              <w:ind w:left="726"/>
              <w:spacing w:before="39" w:line="224" w:lineRule="auto"/>
              <w:rPr>
                <w:sz w:val="12"/>
                <w:szCs w:val="12"/>
              </w:rPr>
            </w:pPr>
            <w:r>
              <w:rPr>
                <w:sz w:val="12"/>
                <w:szCs w:val="12"/>
              </w:rPr>
              <w:t>/</w:t>
            </w:r>
          </w:p>
        </w:tc>
        <w:tc>
          <w:tcPr>
            <w:tcW w:w="709" w:type="dxa"/>
            <w:vAlign w:val="top"/>
          </w:tcPr>
          <w:p>
            <w:pPr>
              <w:pStyle w:val="TableText"/>
              <w:ind w:left="138"/>
              <w:spacing w:before="112" w:line="214" w:lineRule="auto"/>
              <w:rPr>
                <w:sz w:val="12"/>
                <w:szCs w:val="12"/>
              </w:rPr>
            </w:pPr>
            <w:r>
              <w:rPr>
                <w:sz w:val="12"/>
                <w:szCs w:val="12"/>
                <w:spacing w:val="-1"/>
              </w:rPr>
              <w:t>200g/袋</w:t>
            </w:r>
          </w:p>
        </w:tc>
        <w:tc>
          <w:tcPr>
            <w:tcW w:w="2548" w:type="dxa"/>
            <w:vAlign w:val="top"/>
          </w:tcPr>
          <w:p>
            <w:pPr>
              <w:pStyle w:val="TableText"/>
              <w:ind w:left="18"/>
              <w:spacing w:before="66" w:line="209" w:lineRule="auto"/>
              <w:rPr>
                <w:sz w:val="12"/>
                <w:szCs w:val="12"/>
              </w:rPr>
            </w:pPr>
            <w:r>
              <w:rPr>
                <w:sz w:val="12"/>
                <w:szCs w:val="12"/>
              </w:rPr>
              <w:t>防治落叶病、炭疽病、炭瘟病、霜霉病。不</w:t>
            </w:r>
            <w:r>
              <w:rPr>
                <w:sz w:val="12"/>
                <w:szCs w:val="12"/>
                <w:spacing w:val="-1"/>
              </w:rPr>
              <w:t>能与</w:t>
            </w:r>
            <w:r>
              <w:rPr>
                <w:sz w:val="12"/>
                <w:szCs w:val="12"/>
              </w:rPr>
              <w:t xml:space="preserve"> </w:t>
            </w:r>
            <w:r>
              <w:rPr>
                <w:sz w:val="12"/>
                <w:szCs w:val="12"/>
                <w:spacing w:val="-1"/>
              </w:rPr>
              <w:t>石疏合剂等碱性农药混用</w:t>
            </w:r>
          </w:p>
        </w:tc>
      </w:tr>
      <w:tr>
        <w:trPr>
          <w:trHeight w:val="36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69" w:type="dxa"/>
            <w:vAlign w:val="top"/>
          </w:tcPr>
          <w:p>
            <w:pPr>
              <w:pStyle w:val="TableText"/>
              <w:ind w:left="263"/>
              <w:spacing w:before="116" w:line="219" w:lineRule="auto"/>
              <w:rPr>
                <w:sz w:val="12"/>
                <w:szCs w:val="12"/>
              </w:rPr>
            </w:pPr>
            <w:r>
              <w:rPr>
                <w:sz w:val="12"/>
                <w:szCs w:val="12"/>
                <w:spacing w:val="1"/>
              </w:rPr>
              <w:t>晶体石硫合剂</w:t>
            </w:r>
          </w:p>
        </w:tc>
        <w:tc>
          <w:tcPr>
            <w:tcW w:w="1889" w:type="dxa"/>
            <w:vAlign w:val="top"/>
          </w:tcPr>
          <w:p>
            <w:pPr>
              <w:pStyle w:val="TableText"/>
              <w:ind w:left="695"/>
              <w:spacing w:before="117" w:line="221" w:lineRule="auto"/>
              <w:rPr>
                <w:sz w:val="12"/>
                <w:szCs w:val="12"/>
              </w:rPr>
            </w:pPr>
            <w:r>
              <w:rPr>
                <w:sz w:val="12"/>
                <w:szCs w:val="12"/>
                <w:spacing w:val="-2"/>
              </w:rPr>
              <w:t>多硫化钙</w:t>
            </w:r>
          </w:p>
        </w:tc>
        <w:tc>
          <w:tcPr>
            <w:tcW w:w="1609" w:type="dxa"/>
            <w:vAlign w:val="top"/>
          </w:tcPr>
          <w:p>
            <w:pPr>
              <w:pStyle w:val="TableText"/>
              <w:ind w:left="496"/>
              <w:spacing w:before="117" w:line="220" w:lineRule="auto"/>
              <w:rPr>
                <w:sz w:val="12"/>
                <w:szCs w:val="12"/>
              </w:rPr>
            </w:pPr>
            <w:r>
              <w:rPr>
                <w:sz w:val="12"/>
                <w:szCs w:val="12"/>
                <w:spacing w:val="-6"/>
              </w:rPr>
              <w:t>800—1000倍</w:t>
            </w:r>
          </w:p>
        </w:tc>
        <w:tc>
          <w:tcPr>
            <w:tcW w:w="1529" w:type="dxa"/>
            <w:vAlign w:val="top"/>
            <w:vMerge w:val="continue"/>
            <w:tcBorders>
              <w:top w:val="nil"/>
            </w:tcBorders>
          </w:tcPr>
          <w:p>
            <w:pPr>
              <w:rPr>
                <w:rFonts w:ascii="Arial"/>
                <w:sz w:val="21"/>
              </w:rPr>
            </w:pPr>
            <w:r/>
          </w:p>
        </w:tc>
        <w:tc>
          <w:tcPr>
            <w:tcW w:w="709" w:type="dxa"/>
            <w:vAlign w:val="top"/>
          </w:tcPr>
          <w:p>
            <w:pPr>
              <w:pStyle w:val="TableText"/>
              <w:ind w:left="188"/>
              <w:spacing w:before="112" w:line="214" w:lineRule="auto"/>
              <w:rPr>
                <w:sz w:val="12"/>
                <w:szCs w:val="12"/>
              </w:rPr>
            </w:pPr>
            <w:r>
              <w:rPr>
                <w:sz w:val="12"/>
                <w:szCs w:val="12"/>
                <w:spacing w:val="-1"/>
              </w:rPr>
              <w:t>400g/袋</w:t>
            </w:r>
          </w:p>
        </w:tc>
        <w:tc>
          <w:tcPr>
            <w:tcW w:w="2548" w:type="dxa"/>
            <w:vAlign w:val="top"/>
          </w:tcPr>
          <w:p>
            <w:pPr>
              <w:pStyle w:val="TableText"/>
              <w:ind w:left="18"/>
              <w:spacing w:before="35" w:line="242" w:lineRule="auto"/>
              <w:rPr>
                <w:sz w:val="12"/>
                <w:szCs w:val="12"/>
              </w:rPr>
            </w:pPr>
            <w:r>
              <w:rPr>
                <w:sz w:val="12"/>
                <w:szCs w:val="12"/>
              </w:rPr>
              <w:t>价格低廉、效果好，对多种病菌具有抑杀作</w:t>
            </w:r>
            <w:r>
              <w:rPr>
                <w:sz w:val="12"/>
                <w:szCs w:val="12"/>
                <w:spacing w:val="-1"/>
              </w:rPr>
              <w:t>用，</w:t>
            </w:r>
            <w:r>
              <w:rPr>
                <w:sz w:val="12"/>
                <w:szCs w:val="12"/>
              </w:rPr>
              <w:t xml:space="preserve"> </w:t>
            </w:r>
            <w:r>
              <w:rPr>
                <w:sz w:val="12"/>
                <w:szCs w:val="12"/>
                <w:spacing w:val="2"/>
              </w:rPr>
              <w:t>园区消杀使用</w:t>
            </w:r>
          </w:p>
        </w:tc>
      </w:tr>
      <w:tr>
        <w:trPr>
          <w:trHeight w:val="440" w:hRule="atLeast"/>
        </w:trPr>
        <w:tc>
          <w:tcPr>
            <w:tcW w:w="415" w:type="dxa"/>
            <w:vAlign w:val="top"/>
            <w:vMerge w:val="continue"/>
            <w:tcBorders>
              <w:top w:val="nil"/>
              <w:bottom w:val="nil"/>
            </w:tcBorders>
          </w:tcPr>
          <w:p>
            <w:pPr>
              <w:rPr>
                <w:rFonts w:ascii="Arial"/>
                <w:sz w:val="21"/>
              </w:rPr>
            </w:pPr>
            <w:r/>
          </w:p>
        </w:tc>
        <w:tc>
          <w:tcPr>
            <w:tcW w:w="539"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40"/>
              <w:spacing w:before="39" w:line="220" w:lineRule="auto"/>
              <w:rPr>
                <w:sz w:val="12"/>
                <w:szCs w:val="12"/>
              </w:rPr>
            </w:pPr>
            <w:r>
              <w:rPr>
                <w:sz w:val="12"/>
                <w:szCs w:val="12"/>
                <w:spacing w:val="-2"/>
              </w:rPr>
              <w:t>病害</w:t>
            </w:r>
          </w:p>
        </w:tc>
        <w:tc>
          <w:tcPr>
            <w:tcW w:w="989"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spacing w:before="39" w:line="219" w:lineRule="auto"/>
              <w:jc w:val="right"/>
              <w:rPr>
                <w:sz w:val="12"/>
                <w:szCs w:val="12"/>
              </w:rPr>
            </w:pPr>
            <w:r>
              <w:rPr>
                <w:sz w:val="12"/>
                <w:szCs w:val="12"/>
                <w:spacing w:val="-2"/>
              </w:rPr>
              <w:t>炭痘病，白粉病。</w:t>
            </w:r>
          </w:p>
          <w:p>
            <w:pPr>
              <w:pStyle w:val="TableText"/>
              <w:ind w:left="10"/>
              <w:spacing w:before="7" w:line="200" w:lineRule="auto"/>
              <w:rPr>
                <w:sz w:val="12"/>
                <w:szCs w:val="12"/>
              </w:rPr>
            </w:pPr>
            <w:r>
              <w:rPr>
                <w:sz w:val="12"/>
                <w:szCs w:val="12"/>
                <w:spacing w:val="-1"/>
              </w:rPr>
              <w:t>锡病、霜霉病、叶</w:t>
            </w:r>
          </w:p>
          <w:p>
            <w:pPr>
              <w:pStyle w:val="TableText"/>
              <w:ind w:left="10"/>
              <w:spacing w:line="219" w:lineRule="auto"/>
              <w:rPr>
                <w:sz w:val="12"/>
                <w:szCs w:val="12"/>
              </w:rPr>
            </w:pPr>
            <w:r>
              <w:rPr>
                <w:sz w:val="12"/>
                <w:szCs w:val="12"/>
                <w:spacing w:val="-1"/>
              </w:rPr>
              <w:t>枯病，叶斑病、面</w:t>
            </w:r>
          </w:p>
          <w:p>
            <w:pPr>
              <w:pStyle w:val="TableText"/>
              <w:ind w:left="10"/>
              <w:spacing w:before="7" w:line="200" w:lineRule="auto"/>
              <w:rPr>
                <w:sz w:val="12"/>
                <w:szCs w:val="12"/>
              </w:rPr>
            </w:pPr>
            <w:r>
              <w:rPr>
                <w:sz w:val="12"/>
                <w:szCs w:val="12"/>
                <w:spacing w:val="-1"/>
              </w:rPr>
              <w:t>烂病、溃疡病、草</w:t>
            </w:r>
          </w:p>
          <w:p>
            <w:pPr>
              <w:pStyle w:val="TableText"/>
              <w:spacing w:line="219" w:lineRule="auto"/>
              <w:rPr>
                <w:sz w:val="12"/>
                <w:szCs w:val="12"/>
              </w:rPr>
            </w:pPr>
            <w:r>
              <w:rPr>
                <w:sz w:val="12"/>
                <w:szCs w:val="12"/>
                <w:spacing w:val="-1"/>
              </w:rPr>
              <w:t>坪腐霉枯萎病、草</w:t>
            </w:r>
          </w:p>
          <w:p>
            <w:pPr>
              <w:pStyle w:val="TableText"/>
              <w:ind w:left="241"/>
              <w:spacing w:before="17" w:line="219" w:lineRule="auto"/>
              <w:rPr>
                <w:sz w:val="12"/>
                <w:szCs w:val="12"/>
              </w:rPr>
            </w:pPr>
            <w:r>
              <w:rPr>
                <w:sz w:val="12"/>
                <w:szCs w:val="12"/>
                <w:spacing w:val="-1"/>
              </w:rPr>
              <w:t>坪褐班病</w:t>
            </w:r>
          </w:p>
        </w:tc>
        <w:tc>
          <w:tcPr>
            <w:tcW w:w="2578"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2"/>
              <w:spacing w:before="39" w:line="200" w:lineRule="auto"/>
              <w:rPr>
                <w:sz w:val="12"/>
                <w:szCs w:val="12"/>
              </w:rPr>
            </w:pPr>
            <w:r>
              <w:rPr>
                <w:sz w:val="12"/>
                <w:szCs w:val="12"/>
              </w:rPr>
              <w:t>一、4开始月全园区预防消杀为主：</w:t>
            </w:r>
          </w:p>
          <w:p>
            <w:pPr>
              <w:pStyle w:val="TableText"/>
              <w:ind w:left="12"/>
              <w:spacing w:before="1" w:line="225" w:lineRule="auto"/>
              <w:rPr>
                <w:sz w:val="12"/>
                <w:szCs w:val="12"/>
              </w:rPr>
            </w:pPr>
            <w:r>
              <w:rPr>
                <w:sz w:val="12"/>
                <w:szCs w:val="12"/>
                <w:spacing w:val="-1"/>
              </w:rPr>
              <w:t>二、5-9月高发期，预防为主，发现病情，</w:t>
            </w:r>
            <w:r>
              <w:rPr>
                <w:sz w:val="12"/>
                <w:szCs w:val="12"/>
                <w:spacing w:val="-2"/>
              </w:rPr>
              <w:t>及时喷</w:t>
            </w:r>
            <w:r>
              <w:rPr>
                <w:sz w:val="12"/>
                <w:szCs w:val="12"/>
              </w:rPr>
              <w:t xml:space="preserve"> </w:t>
            </w:r>
            <w:r>
              <w:rPr>
                <w:sz w:val="12"/>
                <w:szCs w:val="12"/>
                <w:spacing w:val="-1"/>
              </w:rPr>
              <w:t>药处理：</w:t>
            </w:r>
          </w:p>
          <w:p>
            <w:pPr>
              <w:pStyle w:val="TableText"/>
              <w:ind w:left="31" w:hanging="19"/>
              <w:spacing w:before="16" w:line="209" w:lineRule="auto"/>
              <w:rPr>
                <w:sz w:val="12"/>
                <w:szCs w:val="12"/>
              </w:rPr>
            </w:pPr>
            <w:r>
              <w:rPr>
                <w:sz w:val="12"/>
                <w:szCs w:val="12"/>
                <w:spacing w:val="-1"/>
              </w:rPr>
              <w:t>三，3-6月为腐烂病、溃疡病主要发生时期</w:t>
            </w:r>
            <w:r>
              <w:rPr>
                <w:sz w:val="12"/>
                <w:szCs w:val="12"/>
                <w:spacing w:val="-2"/>
              </w:rPr>
              <w:t>，为害</w:t>
            </w:r>
            <w:r>
              <w:rPr>
                <w:sz w:val="12"/>
                <w:szCs w:val="12"/>
              </w:rPr>
              <w:t xml:space="preserve"> </w:t>
            </w:r>
            <w:r>
              <w:rPr>
                <w:sz w:val="12"/>
                <w:szCs w:val="12"/>
                <w:spacing w:val="-2"/>
              </w:rPr>
              <w:t>苗木有杨树，柳树，苹果梨树海棠及其他果树</w:t>
            </w:r>
          </w:p>
          <w:p>
            <w:pPr>
              <w:pStyle w:val="TableText"/>
              <w:ind w:left="12"/>
              <w:spacing w:before="18" w:line="215" w:lineRule="auto"/>
              <w:rPr>
                <w:sz w:val="12"/>
                <w:szCs w:val="12"/>
              </w:rPr>
            </w:pPr>
            <w:r>
              <w:rPr>
                <w:sz w:val="12"/>
                <w:szCs w:val="12"/>
                <w:spacing w:val="-3"/>
              </w:rPr>
              <w:t>类</w:t>
            </w:r>
            <w:r>
              <w:rPr>
                <w:sz w:val="12"/>
                <w:szCs w:val="12"/>
                <w:spacing w:val="-28"/>
              </w:rPr>
              <w:t xml:space="preserve"> </w:t>
            </w:r>
            <w:r>
              <w:rPr>
                <w:sz w:val="12"/>
                <w:szCs w:val="12"/>
                <w:spacing w:val="-3"/>
              </w:rPr>
              <w:t>：</w:t>
            </w:r>
          </w:p>
          <w:p>
            <w:pPr>
              <w:pStyle w:val="TableText"/>
              <w:ind w:left="12"/>
              <w:spacing w:line="209" w:lineRule="auto"/>
              <w:rPr>
                <w:sz w:val="12"/>
                <w:szCs w:val="12"/>
              </w:rPr>
            </w:pPr>
            <w:r>
              <w:rPr>
                <w:sz w:val="12"/>
                <w:szCs w:val="12"/>
                <w:spacing w:val="-1"/>
              </w:rPr>
              <w:t>四、6-8月，高温高湿，草坪修剪不及时，</w:t>
            </w:r>
            <w:r>
              <w:rPr>
                <w:sz w:val="12"/>
                <w:szCs w:val="12"/>
                <w:spacing w:val="-2"/>
              </w:rPr>
              <w:t>草坪腐</w:t>
            </w:r>
            <w:r>
              <w:rPr>
                <w:sz w:val="12"/>
                <w:szCs w:val="12"/>
              </w:rPr>
              <w:t xml:space="preserve"> </w:t>
            </w:r>
            <w:r>
              <w:rPr>
                <w:sz w:val="12"/>
                <w:szCs w:val="12"/>
                <w:spacing w:val="3"/>
              </w:rPr>
              <w:t>霉枯萎病、草坪褐斑病易发病；</w:t>
            </w:r>
          </w:p>
          <w:p>
            <w:pPr>
              <w:pStyle w:val="TableText"/>
              <w:spacing w:before="18" w:line="219" w:lineRule="auto"/>
              <w:jc w:val="right"/>
              <w:rPr>
                <w:sz w:val="12"/>
                <w:szCs w:val="12"/>
              </w:rPr>
            </w:pPr>
            <w:r>
              <w:rPr>
                <w:sz w:val="12"/>
                <w:szCs w:val="12"/>
                <w:spacing w:val="-1"/>
              </w:rPr>
              <w:t>五、4-9月均有发生，花叶变色，病毒引起</w:t>
            </w:r>
            <w:r>
              <w:rPr>
                <w:sz w:val="12"/>
                <w:szCs w:val="12"/>
                <w:spacing w:val="-2"/>
              </w:rPr>
              <w:t>的病害</w:t>
            </w:r>
          </w:p>
        </w:tc>
        <w:tc>
          <w:tcPr>
            <w:tcW w:w="1269" w:type="dxa"/>
            <w:vAlign w:val="top"/>
          </w:tcPr>
          <w:p>
            <w:pPr>
              <w:pStyle w:val="TableText"/>
              <w:ind w:left="384"/>
              <w:spacing w:before="157" w:line="219" w:lineRule="auto"/>
              <w:rPr>
                <w:sz w:val="12"/>
                <w:szCs w:val="12"/>
              </w:rPr>
            </w:pPr>
            <w:r>
              <w:rPr>
                <w:sz w:val="12"/>
                <w:szCs w:val="12"/>
                <w:spacing w:val="1"/>
              </w:rPr>
              <w:t>国光绿杀</w:t>
            </w:r>
          </w:p>
        </w:tc>
        <w:tc>
          <w:tcPr>
            <w:tcW w:w="1889" w:type="dxa"/>
            <w:vAlign w:val="top"/>
          </w:tcPr>
          <w:p>
            <w:pPr>
              <w:pStyle w:val="TableText"/>
              <w:ind w:left="245"/>
              <w:spacing w:before="156" w:line="219" w:lineRule="auto"/>
              <w:rPr>
                <w:sz w:val="12"/>
                <w:szCs w:val="12"/>
              </w:rPr>
            </w:pPr>
            <w:r>
              <w:rPr>
                <w:sz w:val="12"/>
                <w:szCs w:val="12"/>
                <w:spacing w:val="-5"/>
              </w:rPr>
              <w:t>58%甲霜</w:t>
            </w:r>
            <w:r>
              <w:rPr>
                <w:sz w:val="12"/>
                <w:szCs w:val="12"/>
                <w:spacing w:val="-4"/>
              </w:rPr>
              <w:t xml:space="preserve"> </w:t>
            </w:r>
            <w:r>
              <w:rPr>
                <w:sz w:val="12"/>
                <w:szCs w:val="12"/>
                <w:spacing w:val="-5"/>
              </w:rPr>
              <w:t>·锰锌可湿性粉剂</w:t>
            </w:r>
          </w:p>
        </w:tc>
        <w:tc>
          <w:tcPr>
            <w:tcW w:w="1609" w:type="dxa"/>
            <w:vAlign w:val="top"/>
          </w:tcPr>
          <w:p>
            <w:pPr>
              <w:pStyle w:val="TableText"/>
              <w:ind w:left="526"/>
              <w:spacing w:before="157" w:line="220" w:lineRule="auto"/>
              <w:rPr>
                <w:sz w:val="12"/>
                <w:szCs w:val="12"/>
              </w:rPr>
            </w:pPr>
            <w:r>
              <w:rPr>
                <w:sz w:val="12"/>
                <w:szCs w:val="12"/>
                <w:spacing w:val="-1"/>
              </w:rPr>
              <w:t>600-800倍</w:t>
            </w:r>
          </w:p>
        </w:tc>
        <w:tc>
          <w:tcPr>
            <w:tcW w:w="1529" w:type="dxa"/>
            <w:vAlign w:val="top"/>
          </w:tcPr>
          <w:p>
            <w:pPr>
              <w:pStyle w:val="TableText"/>
              <w:ind w:left="36"/>
              <w:spacing w:before="16" w:line="200" w:lineRule="auto"/>
              <w:rPr>
                <w:sz w:val="12"/>
                <w:szCs w:val="12"/>
              </w:rPr>
            </w:pPr>
            <w:r>
              <w:rPr>
                <w:sz w:val="12"/>
                <w:szCs w:val="12"/>
                <w:spacing w:val="2"/>
              </w:rPr>
              <w:t>雨季，雨后，或修剪后每月</w:t>
            </w:r>
          </w:p>
          <w:p>
            <w:pPr>
              <w:pStyle w:val="TableText"/>
              <w:ind w:left="56"/>
              <w:spacing w:line="199" w:lineRule="auto"/>
              <w:rPr>
                <w:sz w:val="12"/>
                <w:szCs w:val="12"/>
              </w:rPr>
            </w:pPr>
            <w:r>
              <w:rPr>
                <w:sz w:val="12"/>
                <w:szCs w:val="12"/>
                <w:spacing w:val="-1"/>
              </w:rPr>
              <w:t>1-2次。发病期喷2-3次结合</w:t>
            </w:r>
          </w:p>
          <w:p>
            <w:pPr>
              <w:pStyle w:val="TableText"/>
              <w:ind w:left="297"/>
              <w:spacing w:line="218" w:lineRule="auto"/>
              <w:rPr>
                <w:sz w:val="12"/>
                <w:szCs w:val="12"/>
              </w:rPr>
            </w:pPr>
            <w:r>
              <w:rPr>
                <w:sz w:val="12"/>
                <w:szCs w:val="12"/>
                <w:spacing w:val="-1"/>
              </w:rPr>
              <w:t>其他药剂轮换使用</w:t>
            </w:r>
          </w:p>
        </w:tc>
        <w:tc>
          <w:tcPr>
            <w:tcW w:w="709" w:type="dxa"/>
            <w:vAlign w:val="top"/>
          </w:tcPr>
          <w:p>
            <w:pPr>
              <w:pStyle w:val="TableText"/>
              <w:ind w:left="138"/>
              <w:spacing w:before="152" w:line="214" w:lineRule="auto"/>
              <w:rPr>
                <w:sz w:val="12"/>
                <w:szCs w:val="12"/>
              </w:rPr>
            </w:pPr>
            <w:r>
              <w:rPr>
                <w:sz w:val="12"/>
                <w:szCs w:val="12"/>
                <w:spacing w:val="-1"/>
              </w:rPr>
              <w:t>500g/袋</w:t>
            </w:r>
          </w:p>
        </w:tc>
        <w:tc>
          <w:tcPr>
            <w:tcW w:w="2548" w:type="dxa"/>
            <w:vAlign w:val="top"/>
          </w:tcPr>
          <w:p>
            <w:pPr>
              <w:pStyle w:val="TableText"/>
              <w:ind w:left="18"/>
              <w:spacing w:before="156" w:line="219" w:lineRule="auto"/>
              <w:rPr>
                <w:sz w:val="12"/>
                <w:szCs w:val="12"/>
              </w:rPr>
            </w:pPr>
            <w:r>
              <w:rPr>
                <w:sz w:val="12"/>
                <w:szCs w:val="12"/>
                <w:spacing w:val="-1"/>
              </w:rPr>
              <w:t>叶面均匀喷洒，以不演水状态为佳</w:t>
            </w:r>
          </w:p>
        </w:tc>
      </w:tr>
      <w:tr>
        <w:trPr>
          <w:trHeight w:val="69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spacing w:line="245" w:lineRule="auto"/>
              <w:rPr>
                <w:rFonts w:ascii="Arial"/>
                <w:sz w:val="21"/>
              </w:rPr>
            </w:pPr>
            <w:r/>
          </w:p>
          <w:p>
            <w:pPr>
              <w:pStyle w:val="TableText"/>
              <w:ind w:left="384"/>
              <w:spacing w:before="39" w:line="219" w:lineRule="auto"/>
              <w:rPr>
                <w:sz w:val="12"/>
                <w:szCs w:val="12"/>
              </w:rPr>
            </w:pPr>
            <w:r>
              <w:rPr>
                <w:sz w:val="12"/>
                <w:szCs w:val="12"/>
                <w:spacing w:val="1"/>
              </w:rPr>
              <w:t>国光绿青</w:t>
            </w:r>
          </w:p>
        </w:tc>
        <w:tc>
          <w:tcPr>
            <w:tcW w:w="1889" w:type="dxa"/>
            <w:vAlign w:val="top"/>
          </w:tcPr>
          <w:p>
            <w:pPr>
              <w:spacing w:line="245" w:lineRule="auto"/>
              <w:rPr>
                <w:rFonts w:ascii="Arial"/>
                <w:sz w:val="21"/>
              </w:rPr>
            </w:pPr>
            <w:r/>
          </w:p>
          <w:p>
            <w:pPr>
              <w:pStyle w:val="TableText"/>
              <w:ind w:left="364"/>
              <w:spacing w:before="39" w:line="219" w:lineRule="auto"/>
              <w:rPr>
                <w:sz w:val="12"/>
                <w:szCs w:val="12"/>
              </w:rPr>
            </w:pPr>
            <w:r>
              <w:rPr>
                <w:sz w:val="12"/>
                <w:szCs w:val="12"/>
                <w:spacing w:val="-1"/>
              </w:rPr>
              <w:t>50%腐霉利可湿性粉剂</w:t>
            </w:r>
          </w:p>
        </w:tc>
        <w:tc>
          <w:tcPr>
            <w:tcW w:w="1609" w:type="dxa"/>
            <w:vAlign w:val="top"/>
          </w:tcPr>
          <w:p>
            <w:pPr>
              <w:spacing w:line="246" w:lineRule="auto"/>
              <w:rPr>
                <w:rFonts w:ascii="Arial"/>
                <w:sz w:val="21"/>
              </w:rPr>
            </w:pPr>
            <w:r/>
          </w:p>
          <w:p>
            <w:pPr>
              <w:pStyle w:val="TableText"/>
              <w:ind w:left="526"/>
              <w:spacing w:before="39" w:line="220" w:lineRule="auto"/>
              <w:rPr>
                <w:sz w:val="12"/>
                <w:szCs w:val="12"/>
              </w:rPr>
            </w:pPr>
            <w:r>
              <w:rPr>
                <w:sz w:val="12"/>
                <w:szCs w:val="12"/>
                <w:spacing w:val="-1"/>
              </w:rPr>
              <w:t>600-800倍</w:t>
            </w:r>
          </w:p>
        </w:tc>
        <w:tc>
          <w:tcPr>
            <w:tcW w:w="1529" w:type="dxa"/>
            <w:vAlign w:val="top"/>
          </w:tcPr>
          <w:p>
            <w:pPr>
              <w:pStyle w:val="TableText"/>
              <w:ind w:left="36"/>
              <w:spacing w:before="157" w:line="219" w:lineRule="auto"/>
              <w:rPr>
                <w:sz w:val="12"/>
                <w:szCs w:val="12"/>
              </w:rPr>
            </w:pPr>
            <w:r>
              <w:rPr>
                <w:sz w:val="12"/>
                <w:szCs w:val="12"/>
                <w:spacing w:val="2"/>
              </w:rPr>
              <w:t>雨季，而后，或修剪后每月</w:t>
            </w:r>
          </w:p>
          <w:p>
            <w:pPr>
              <w:pStyle w:val="TableText"/>
              <w:ind w:left="36"/>
              <w:spacing w:before="17" w:line="219" w:lineRule="auto"/>
              <w:rPr>
                <w:sz w:val="12"/>
                <w:szCs w:val="12"/>
              </w:rPr>
            </w:pPr>
            <w:r>
              <w:rPr>
                <w:sz w:val="12"/>
                <w:szCs w:val="12"/>
                <w:spacing w:val="-1"/>
              </w:rPr>
              <w:t>1-2次。发病期喷2-3次结合</w:t>
            </w:r>
          </w:p>
          <w:p>
            <w:pPr>
              <w:pStyle w:val="TableText"/>
              <w:ind w:left="277"/>
              <w:spacing w:before="6" w:line="219" w:lineRule="auto"/>
              <w:rPr>
                <w:sz w:val="12"/>
                <w:szCs w:val="12"/>
              </w:rPr>
            </w:pPr>
            <w:r>
              <w:rPr>
                <w:sz w:val="12"/>
                <w:szCs w:val="12"/>
                <w:spacing w:val="-1"/>
              </w:rPr>
              <w:t>其他药剂轮换使用</w:t>
            </w:r>
          </w:p>
        </w:tc>
        <w:tc>
          <w:tcPr>
            <w:tcW w:w="709" w:type="dxa"/>
            <w:vAlign w:val="top"/>
          </w:tcPr>
          <w:p>
            <w:pPr>
              <w:spacing w:line="242" w:lineRule="auto"/>
              <w:rPr>
                <w:rFonts w:ascii="Arial"/>
                <w:sz w:val="21"/>
              </w:rPr>
            </w:pPr>
            <w:r/>
          </w:p>
          <w:p>
            <w:pPr>
              <w:pStyle w:val="TableText"/>
              <w:ind w:left="168"/>
              <w:spacing w:before="39" w:line="214" w:lineRule="auto"/>
              <w:rPr>
                <w:sz w:val="12"/>
                <w:szCs w:val="12"/>
              </w:rPr>
            </w:pPr>
            <w:r>
              <w:rPr>
                <w:sz w:val="12"/>
                <w:szCs w:val="12"/>
                <w:spacing w:val="-2"/>
              </w:rPr>
              <w:t>1kg/袋</w:t>
            </w:r>
          </w:p>
        </w:tc>
        <w:tc>
          <w:tcPr>
            <w:tcW w:w="2548" w:type="dxa"/>
            <w:vAlign w:val="top"/>
          </w:tcPr>
          <w:p>
            <w:pPr>
              <w:spacing w:line="245" w:lineRule="auto"/>
              <w:rPr>
                <w:rFonts w:ascii="Arial"/>
                <w:sz w:val="21"/>
              </w:rPr>
            </w:pPr>
            <w:r/>
          </w:p>
          <w:p>
            <w:pPr>
              <w:pStyle w:val="TableText"/>
              <w:ind w:left="18"/>
              <w:spacing w:before="39" w:line="219" w:lineRule="auto"/>
              <w:rPr>
                <w:sz w:val="12"/>
                <w:szCs w:val="12"/>
              </w:rPr>
            </w:pPr>
            <w:r>
              <w:rPr>
                <w:sz w:val="12"/>
                <w:szCs w:val="12"/>
                <w:spacing w:val="-1"/>
              </w:rPr>
              <w:t>叶面均匀喷洒，以不滴水状态为佳</w:t>
            </w:r>
          </w:p>
        </w:tc>
      </w:tr>
      <w:tr>
        <w:trPr>
          <w:trHeight w:val="41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148" w:line="219" w:lineRule="auto"/>
              <w:rPr>
                <w:sz w:val="12"/>
                <w:szCs w:val="12"/>
              </w:rPr>
            </w:pPr>
            <w:r>
              <w:rPr>
                <w:sz w:val="12"/>
                <w:szCs w:val="12"/>
                <w:spacing w:val="-3"/>
              </w:rPr>
              <w:t>嘧菌酯</w:t>
            </w:r>
          </w:p>
        </w:tc>
        <w:tc>
          <w:tcPr>
            <w:tcW w:w="1889" w:type="dxa"/>
            <w:vAlign w:val="top"/>
          </w:tcPr>
          <w:p>
            <w:pPr>
              <w:pStyle w:val="TableText"/>
              <w:ind w:left="665"/>
              <w:spacing w:before="148" w:line="219" w:lineRule="auto"/>
              <w:rPr>
                <w:sz w:val="12"/>
                <w:szCs w:val="12"/>
              </w:rPr>
            </w:pPr>
            <w:r>
              <w:rPr>
                <w:sz w:val="12"/>
                <w:szCs w:val="12"/>
                <w:spacing w:val="-1"/>
              </w:rPr>
              <w:t>56M磨菌断</w:t>
            </w:r>
          </w:p>
        </w:tc>
        <w:tc>
          <w:tcPr>
            <w:tcW w:w="1609" w:type="dxa"/>
            <w:vAlign w:val="top"/>
          </w:tcPr>
          <w:p>
            <w:pPr>
              <w:pStyle w:val="TableText"/>
              <w:ind w:left="346"/>
              <w:spacing w:before="148" w:line="220" w:lineRule="auto"/>
              <w:rPr>
                <w:sz w:val="12"/>
                <w:szCs w:val="12"/>
              </w:rPr>
            </w:pPr>
            <w:r>
              <w:rPr>
                <w:sz w:val="12"/>
                <w:szCs w:val="12"/>
                <w:spacing w:val="-1"/>
              </w:rPr>
              <w:t>3000-5000倍喷酒</w:t>
            </w:r>
          </w:p>
        </w:tc>
        <w:tc>
          <w:tcPr>
            <w:tcW w:w="1529" w:type="dxa"/>
            <w:vAlign w:val="top"/>
          </w:tcPr>
          <w:p>
            <w:pPr>
              <w:pStyle w:val="TableText"/>
              <w:ind w:left="607"/>
              <w:spacing w:before="148" w:line="219" w:lineRule="auto"/>
              <w:rPr>
                <w:sz w:val="12"/>
                <w:szCs w:val="12"/>
              </w:rPr>
            </w:pPr>
            <w:r>
              <w:rPr>
                <w:sz w:val="12"/>
                <w:szCs w:val="12"/>
                <w:spacing w:val="-2"/>
              </w:rPr>
              <w:t>2-3次</w:t>
            </w:r>
          </w:p>
        </w:tc>
        <w:tc>
          <w:tcPr>
            <w:tcW w:w="709" w:type="dxa"/>
            <w:vAlign w:val="top"/>
          </w:tcPr>
          <w:p>
            <w:pPr>
              <w:pStyle w:val="TableText"/>
              <w:ind w:left="168"/>
              <w:spacing w:before="149" w:line="222" w:lineRule="auto"/>
              <w:rPr>
                <w:sz w:val="12"/>
                <w:szCs w:val="12"/>
              </w:rPr>
            </w:pPr>
            <w:r>
              <w:rPr>
                <w:sz w:val="12"/>
                <w:szCs w:val="12"/>
                <w:spacing w:val="-2"/>
              </w:rPr>
              <w:t>10z/袋</w:t>
            </w:r>
          </w:p>
        </w:tc>
        <w:tc>
          <w:tcPr>
            <w:tcW w:w="2548" w:type="dxa"/>
            <w:vAlign w:val="top"/>
          </w:tcPr>
          <w:p>
            <w:pPr>
              <w:pStyle w:val="TableText"/>
              <w:ind w:left="18"/>
              <w:spacing w:before="146" w:line="218" w:lineRule="auto"/>
              <w:rPr>
                <w:sz w:val="12"/>
                <w:szCs w:val="12"/>
              </w:rPr>
            </w:pPr>
            <w:r>
              <w:rPr>
                <w:sz w:val="12"/>
                <w:szCs w:val="12"/>
                <w:spacing w:val="-1"/>
              </w:rPr>
              <w:t>价格高，对多种病害有效，白粉病，褐班病等</w:t>
            </w:r>
          </w:p>
        </w:tc>
      </w:tr>
      <w:tr>
        <w:trPr>
          <w:trHeight w:val="38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129" w:line="219" w:lineRule="auto"/>
              <w:rPr>
                <w:sz w:val="12"/>
                <w:szCs w:val="12"/>
              </w:rPr>
            </w:pPr>
            <w:r>
              <w:rPr>
                <w:sz w:val="12"/>
                <w:szCs w:val="12"/>
                <w:spacing w:val="1"/>
              </w:rPr>
              <w:t>国光甲基硫菌灵</w:t>
            </w:r>
          </w:p>
        </w:tc>
        <w:tc>
          <w:tcPr>
            <w:tcW w:w="1889" w:type="dxa"/>
            <w:vAlign w:val="top"/>
          </w:tcPr>
          <w:p>
            <w:pPr>
              <w:pStyle w:val="TableText"/>
              <w:ind w:left="545"/>
              <w:spacing w:before="129" w:line="219" w:lineRule="auto"/>
              <w:rPr>
                <w:sz w:val="12"/>
                <w:szCs w:val="12"/>
              </w:rPr>
            </w:pPr>
            <w:r>
              <w:rPr>
                <w:sz w:val="12"/>
                <w:szCs w:val="12"/>
                <w:spacing w:val="-1"/>
              </w:rPr>
              <w:t>70%甲基硫菌灵</w:t>
            </w:r>
          </w:p>
        </w:tc>
        <w:tc>
          <w:tcPr>
            <w:tcW w:w="1609" w:type="dxa"/>
            <w:vAlign w:val="top"/>
          </w:tcPr>
          <w:p>
            <w:pPr>
              <w:pStyle w:val="TableText"/>
              <w:ind w:left="616"/>
              <w:spacing w:before="129" w:line="220" w:lineRule="auto"/>
              <w:rPr>
                <w:sz w:val="12"/>
                <w:szCs w:val="12"/>
              </w:rPr>
            </w:pPr>
            <w:r>
              <w:rPr>
                <w:sz w:val="12"/>
                <w:szCs w:val="12"/>
                <w:spacing w:val="-2"/>
              </w:rPr>
              <w:t>1000倍</w:t>
            </w:r>
          </w:p>
        </w:tc>
        <w:tc>
          <w:tcPr>
            <w:tcW w:w="1529" w:type="dxa"/>
            <w:vAlign w:val="top"/>
          </w:tcPr>
          <w:p>
            <w:pPr>
              <w:pStyle w:val="TableText"/>
              <w:ind w:left="306" w:right="47" w:hanging="270"/>
              <w:spacing w:before="59" w:line="239" w:lineRule="auto"/>
              <w:rPr>
                <w:sz w:val="12"/>
                <w:szCs w:val="12"/>
              </w:rPr>
            </w:pPr>
            <w:r>
              <w:rPr>
                <w:sz w:val="12"/>
                <w:szCs w:val="12"/>
                <w:spacing w:val="-1"/>
              </w:rPr>
              <w:t>预防为主，每月结合其他病</w:t>
            </w:r>
            <w:r>
              <w:rPr>
                <w:sz w:val="12"/>
                <w:szCs w:val="12"/>
                <w:spacing w:val="5"/>
              </w:rPr>
              <w:t xml:space="preserve"> </w:t>
            </w:r>
            <w:r>
              <w:rPr>
                <w:sz w:val="12"/>
                <w:szCs w:val="12"/>
                <w:spacing w:val="-1"/>
              </w:rPr>
              <w:t>害防治喷洒1-2次</w:t>
            </w:r>
          </w:p>
        </w:tc>
        <w:tc>
          <w:tcPr>
            <w:tcW w:w="709" w:type="dxa"/>
            <w:vAlign w:val="top"/>
          </w:tcPr>
          <w:p>
            <w:pPr>
              <w:pStyle w:val="TableText"/>
              <w:ind w:left="168"/>
              <w:spacing w:before="124" w:line="214" w:lineRule="auto"/>
              <w:rPr>
                <w:sz w:val="12"/>
                <w:szCs w:val="12"/>
              </w:rPr>
            </w:pPr>
            <w:r>
              <w:rPr>
                <w:sz w:val="12"/>
                <w:szCs w:val="12"/>
                <w:spacing w:val="-3"/>
              </w:rPr>
              <w:t>lkg/袋</w:t>
            </w:r>
          </w:p>
        </w:tc>
        <w:tc>
          <w:tcPr>
            <w:tcW w:w="2548" w:type="dxa"/>
            <w:vAlign w:val="top"/>
          </w:tcPr>
          <w:p>
            <w:pPr>
              <w:pStyle w:val="TableText"/>
              <w:ind w:left="18"/>
              <w:spacing w:before="128" w:line="219" w:lineRule="auto"/>
              <w:rPr>
                <w:sz w:val="12"/>
                <w:szCs w:val="12"/>
              </w:rPr>
            </w:pPr>
            <w:r>
              <w:rPr>
                <w:sz w:val="12"/>
                <w:szCs w:val="12"/>
                <w:spacing w:val="-1"/>
              </w:rPr>
              <w:t>叶面均匀喷洒，以不演水状态为佳</w:t>
            </w:r>
          </w:p>
        </w:tc>
      </w:tr>
      <w:tr>
        <w:trPr>
          <w:trHeight w:val="19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324"/>
              <w:spacing w:before="38" w:line="217" w:lineRule="auto"/>
              <w:rPr>
                <w:sz w:val="12"/>
                <w:szCs w:val="12"/>
              </w:rPr>
            </w:pPr>
            <w:r>
              <w:rPr>
                <w:sz w:val="12"/>
                <w:szCs w:val="12"/>
                <w:spacing w:val="1"/>
              </w:rPr>
              <w:t>国光三唑硐</w:t>
            </w:r>
          </w:p>
        </w:tc>
        <w:tc>
          <w:tcPr>
            <w:tcW w:w="1889" w:type="dxa"/>
            <w:vAlign w:val="top"/>
          </w:tcPr>
          <w:p>
            <w:pPr>
              <w:pStyle w:val="TableText"/>
              <w:ind w:left="665"/>
              <w:spacing w:before="39" w:line="216" w:lineRule="auto"/>
              <w:rPr>
                <w:sz w:val="12"/>
                <w:szCs w:val="12"/>
              </w:rPr>
            </w:pPr>
            <w:r>
              <w:rPr>
                <w:sz w:val="12"/>
                <w:szCs w:val="12"/>
                <w:spacing w:val="-1"/>
              </w:rPr>
              <w:t>20%三唑酮</w:t>
            </w:r>
          </w:p>
        </w:tc>
        <w:tc>
          <w:tcPr>
            <w:tcW w:w="1609" w:type="dxa"/>
            <w:vAlign w:val="top"/>
          </w:tcPr>
          <w:p>
            <w:pPr>
              <w:pStyle w:val="TableText"/>
              <w:ind w:left="346"/>
              <w:spacing w:before="38" w:line="217" w:lineRule="auto"/>
              <w:rPr>
                <w:sz w:val="12"/>
                <w:szCs w:val="12"/>
              </w:rPr>
            </w:pPr>
            <w:r>
              <w:rPr>
                <w:sz w:val="12"/>
                <w:szCs w:val="12"/>
                <w:spacing w:val="-1"/>
              </w:rPr>
              <w:t>稀释1500-2000倍</w:t>
            </w:r>
          </w:p>
        </w:tc>
        <w:tc>
          <w:tcPr>
            <w:tcW w:w="1529" w:type="dxa"/>
            <w:vAlign w:val="top"/>
            <w:vMerge w:val="restart"/>
            <w:tcBorders>
              <w:bottom w:val="nil"/>
            </w:tcBorders>
          </w:tcPr>
          <w:p>
            <w:pPr>
              <w:spacing w:line="308" w:lineRule="auto"/>
              <w:rPr>
                <w:rFonts w:ascii="Arial"/>
                <w:sz w:val="21"/>
              </w:rPr>
            </w:pPr>
            <w:r/>
          </w:p>
          <w:p>
            <w:pPr>
              <w:spacing w:line="308" w:lineRule="auto"/>
              <w:rPr>
                <w:rFonts w:ascii="Arial"/>
                <w:sz w:val="21"/>
              </w:rPr>
            </w:pPr>
            <w:r/>
          </w:p>
          <w:p>
            <w:pPr>
              <w:pStyle w:val="TableText"/>
              <w:ind w:left="636" w:right="48" w:hanging="600"/>
              <w:spacing w:before="39" w:line="249" w:lineRule="auto"/>
              <w:rPr>
                <w:sz w:val="12"/>
                <w:szCs w:val="12"/>
              </w:rPr>
            </w:pPr>
            <w:r>
              <w:rPr>
                <w:sz w:val="12"/>
                <w:szCs w:val="12"/>
                <w:spacing w:val="-1"/>
              </w:rPr>
              <w:t>一般用2-3次，时间间隔7到</w:t>
            </w:r>
            <w:r>
              <w:rPr>
                <w:sz w:val="12"/>
                <w:szCs w:val="12"/>
                <w:spacing w:val="6"/>
              </w:rPr>
              <w:t xml:space="preserve"> </w:t>
            </w:r>
            <w:r>
              <w:rPr>
                <w:sz w:val="12"/>
                <w:szCs w:val="12"/>
                <w:spacing w:val="-3"/>
              </w:rPr>
              <w:t>10天</w:t>
            </w:r>
          </w:p>
        </w:tc>
        <w:tc>
          <w:tcPr>
            <w:tcW w:w="709" w:type="dxa"/>
            <w:vAlign w:val="top"/>
          </w:tcPr>
          <w:p>
            <w:pPr>
              <w:pStyle w:val="TableText"/>
              <w:ind w:left="108"/>
              <w:spacing w:before="39" w:line="216" w:lineRule="auto"/>
              <w:rPr>
                <w:sz w:val="12"/>
                <w:szCs w:val="12"/>
              </w:rPr>
            </w:pPr>
            <w:r>
              <w:rPr>
                <w:sz w:val="12"/>
                <w:szCs w:val="12"/>
                <w:spacing w:val="-1"/>
              </w:rPr>
              <w:t>200ml/瓶</w:t>
            </w:r>
          </w:p>
        </w:tc>
        <w:tc>
          <w:tcPr>
            <w:tcW w:w="2548" w:type="dxa"/>
            <w:vAlign w:val="top"/>
          </w:tcPr>
          <w:p>
            <w:pPr>
              <w:pStyle w:val="TableText"/>
              <w:ind w:left="18"/>
              <w:spacing w:before="38" w:line="217" w:lineRule="auto"/>
              <w:rPr>
                <w:sz w:val="12"/>
                <w:szCs w:val="12"/>
              </w:rPr>
            </w:pPr>
            <w:r>
              <w:rPr>
                <w:sz w:val="12"/>
                <w:szCs w:val="12"/>
                <w:spacing w:val="-1"/>
              </w:rPr>
              <w:t>防治白粉病、锈病等每年使用2-3次</w:t>
            </w:r>
          </w:p>
        </w:tc>
      </w:tr>
      <w:tr>
        <w:trPr>
          <w:trHeight w:val="22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294"/>
              <w:spacing w:before="48" w:line="219" w:lineRule="auto"/>
              <w:rPr>
                <w:sz w:val="12"/>
                <w:szCs w:val="12"/>
              </w:rPr>
            </w:pPr>
            <w:r>
              <w:rPr>
                <w:sz w:val="12"/>
                <w:szCs w:val="12"/>
                <w:spacing w:val="-1"/>
              </w:rPr>
              <w:t>80%代森锰锌</w:t>
            </w:r>
          </w:p>
        </w:tc>
        <w:tc>
          <w:tcPr>
            <w:tcW w:w="1889" w:type="dxa"/>
            <w:vAlign w:val="top"/>
          </w:tcPr>
          <w:p>
            <w:pPr>
              <w:pStyle w:val="TableText"/>
              <w:ind w:left="605"/>
              <w:spacing w:before="48" w:line="219" w:lineRule="auto"/>
              <w:rPr>
                <w:sz w:val="12"/>
                <w:szCs w:val="12"/>
              </w:rPr>
            </w:pPr>
            <w:r>
              <w:rPr>
                <w:sz w:val="12"/>
                <w:szCs w:val="12"/>
                <w:spacing w:val="-1"/>
              </w:rPr>
              <w:t>80%代森锰锌</w:t>
            </w:r>
          </w:p>
        </w:tc>
        <w:tc>
          <w:tcPr>
            <w:tcW w:w="1609" w:type="dxa"/>
            <w:vAlign w:val="top"/>
          </w:tcPr>
          <w:p>
            <w:pPr>
              <w:pStyle w:val="TableText"/>
              <w:ind w:left="556"/>
              <w:spacing w:before="61" w:line="229" w:lineRule="auto"/>
              <w:rPr>
                <w:sz w:val="12"/>
                <w:szCs w:val="12"/>
              </w:rPr>
            </w:pPr>
            <w:r>
              <w:rPr>
                <w:sz w:val="12"/>
                <w:szCs w:val="12"/>
                <w:spacing w:val="-1"/>
              </w:rPr>
              <w:t>800-1000</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38"/>
              <w:spacing w:before="44" w:line="214" w:lineRule="auto"/>
              <w:rPr>
                <w:sz w:val="12"/>
                <w:szCs w:val="12"/>
              </w:rPr>
            </w:pPr>
            <w:r>
              <w:rPr>
                <w:sz w:val="12"/>
                <w:szCs w:val="12"/>
                <w:spacing w:val="-1"/>
              </w:rPr>
              <w:t>200g/袋</w:t>
            </w:r>
          </w:p>
        </w:tc>
        <w:tc>
          <w:tcPr>
            <w:tcW w:w="2548" w:type="dxa"/>
            <w:vAlign w:val="top"/>
          </w:tcPr>
          <w:p>
            <w:pPr>
              <w:pStyle w:val="TableText"/>
              <w:ind w:left="18"/>
              <w:spacing w:before="48" w:line="219" w:lineRule="auto"/>
              <w:rPr>
                <w:sz w:val="12"/>
                <w:szCs w:val="12"/>
              </w:rPr>
            </w:pPr>
            <w:r>
              <w:rPr>
                <w:sz w:val="12"/>
                <w:szCs w:val="12"/>
                <w:spacing w:val="-1"/>
              </w:rPr>
              <w:t>保护广语杀菌</w:t>
            </w:r>
          </w:p>
        </w:tc>
      </w:tr>
      <w:tr>
        <w:trPr>
          <w:trHeight w:val="30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88" w:line="219" w:lineRule="auto"/>
              <w:rPr>
                <w:sz w:val="12"/>
                <w:szCs w:val="12"/>
              </w:rPr>
            </w:pPr>
            <w:r>
              <w:rPr>
                <w:sz w:val="12"/>
                <w:szCs w:val="12"/>
                <w:spacing w:val="-2"/>
              </w:rPr>
              <w:t>阿西米达悬浮液</w:t>
            </w:r>
          </w:p>
        </w:tc>
        <w:tc>
          <w:tcPr>
            <w:tcW w:w="1889" w:type="dxa"/>
            <w:vAlign w:val="top"/>
          </w:tcPr>
          <w:p>
            <w:pPr>
              <w:pStyle w:val="TableText"/>
              <w:ind w:left="755"/>
              <w:spacing w:before="88" w:line="219" w:lineRule="auto"/>
              <w:rPr>
                <w:sz w:val="12"/>
                <w:szCs w:val="12"/>
              </w:rPr>
            </w:pPr>
            <w:r>
              <w:rPr>
                <w:sz w:val="12"/>
                <w:szCs w:val="12"/>
                <w:spacing w:val="-3"/>
              </w:rPr>
              <w:t>嘧菌酯</w:t>
            </w:r>
          </w:p>
        </w:tc>
        <w:tc>
          <w:tcPr>
            <w:tcW w:w="1609" w:type="dxa"/>
            <w:vAlign w:val="top"/>
          </w:tcPr>
          <w:p>
            <w:pPr>
              <w:pStyle w:val="TableText"/>
              <w:ind w:left="685" w:right="59" w:hanging="640"/>
              <w:spacing w:before="9" w:line="210" w:lineRule="auto"/>
              <w:rPr>
                <w:sz w:val="12"/>
                <w:szCs w:val="12"/>
              </w:rPr>
            </w:pPr>
            <w:r>
              <w:rPr>
                <w:sz w:val="12"/>
                <w:szCs w:val="12"/>
                <w:spacing w:val="-1"/>
              </w:rPr>
              <w:t>25阿西米达悬浮液1200-1500</w:t>
            </w:r>
            <w:r>
              <w:rPr>
                <w:sz w:val="12"/>
                <w:szCs w:val="12"/>
                <w:spacing w:val="10"/>
              </w:rPr>
              <w:t xml:space="preserve"> </w:t>
            </w:r>
            <w:r>
              <w:rPr>
                <w:sz w:val="12"/>
                <w:szCs w:val="12"/>
                <w:spacing w:val="-2"/>
              </w:rPr>
              <w:t>倍液</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98"/>
              <w:spacing w:before="89" w:line="221" w:lineRule="auto"/>
              <w:rPr>
                <w:sz w:val="12"/>
                <w:szCs w:val="12"/>
              </w:rPr>
            </w:pPr>
            <w:r>
              <w:rPr>
                <w:sz w:val="12"/>
                <w:szCs w:val="12"/>
                <w:spacing w:val="-3"/>
              </w:rPr>
              <w:t>1I/瓶</w:t>
            </w:r>
          </w:p>
        </w:tc>
        <w:tc>
          <w:tcPr>
            <w:tcW w:w="2548" w:type="dxa"/>
            <w:vAlign w:val="top"/>
          </w:tcPr>
          <w:p>
            <w:pPr>
              <w:pStyle w:val="TableText"/>
              <w:ind w:left="18" w:right="3"/>
              <w:spacing w:before="9" w:line="210" w:lineRule="auto"/>
              <w:rPr>
                <w:sz w:val="12"/>
                <w:szCs w:val="12"/>
              </w:rPr>
            </w:pPr>
            <w:r>
              <w:rPr>
                <w:sz w:val="12"/>
                <w:szCs w:val="12"/>
                <w:spacing w:val="-1"/>
              </w:rPr>
              <w:t>广谱杀菌，对四大类致病真菌，天然低毒安全无</w:t>
            </w:r>
            <w:r>
              <w:rPr>
                <w:sz w:val="12"/>
                <w:szCs w:val="12"/>
                <w:spacing w:val="15"/>
              </w:rPr>
              <w:t xml:space="preserve"> </w:t>
            </w:r>
            <w:r>
              <w:rPr>
                <w:sz w:val="12"/>
                <w:szCs w:val="12"/>
                <w:spacing w:val="-3"/>
              </w:rPr>
              <w:t>公害</w:t>
            </w:r>
          </w:p>
        </w:tc>
      </w:tr>
      <w:tr>
        <w:trPr>
          <w:trHeight w:val="22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263"/>
              <w:spacing w:before="49" w:line="219" w:lineRule="auto"/>
              <w:rPr>
                <w:sz w:val="12"/>
                <w:szCs w:val="12"/>
              </w:rPr>
            </w:pPr>
            <w:r>
              <w:rPr>
                <w:sz w:val="12"/>
                <w:szCs w:val="12"/>
                <w:spacing w:val="2"/>
              </w:rPr>
              <w:t>国光多菌灵中</w:t>
            </w:r>
          </w:p>
        </w:tc>
        <w:tc>
          <w:tcPr>
            <w:tcW w:w="1889" w:type="dxa"/>
            <w:vAlign w:val="top"/>
          </w:tcPr>
          <w:p>
            <w:pPr>
              <w:pStyle w:val="TableText"/>
              <w:ind w:left="665"/>
              <w:spacing w:before="49" w:line="219" w:lineRule="auto"/>
              <w:rPr>
                <w:sz w:val="12"/>
                <w:szCs w:val="12"/>
              </w:rPr>
            </w:pPr>
            <w:r>
              <w:rPr>
                <w:sz w:val="12"/>
                <w:szCs w:val="12"/>
                <w:spacing w:val="-1"/>
              </w:rPr>
              <w:t>50%多菌灵</w:t>
            </w:r>
          </w:p>
        </w:tc>
        <w:tc>
          <w:tcPr>
            <w:tcW w:w="1609" w:type="dxa"/>
            <w:vAlign w:val="top"/>
          </w:tcPr>
          <w:p>
            <w:pPr>
              <w:pStyle w:val="TableText"/>
              <w:ind w:left="316"/>
              <w:spacing w:before="49" w:line="219" w:lineRule="auto"/>
              <w:rPr>
                <w:sz w:val="12"/>
                <w:szCs w:val="12"/>
              </w:rPr>
            </w:pPr>
            <w:r>
              <w:rPr>
                <w:sz w:val="12"/>
                <w:szCs w:val="12"/>
                <w:spacing w:val="-1"/>
              </w:rPr>
              <w:t>稀释600-1000倍液</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98"/>
              <w:spacing w:before="44" w:line="214" w:lineRule="auto"/>
              <w:rPr>
                <w:sz w:val="12"/>
                <w:szCs w:val="12"/>
              </w:rPr>
            </w:pPr>
            <w:r>
              <w:rPr>
                <w:sz w:val="12"/>
                <w:szCs w:val="12"/>
                <w:spacing w:val="-2"/>
              </w:rPr>
              <w:t>100g/袋</w:t>
            </w:r>
          </w:p>
        </w:tc>
        <w:tc>
          <w:tcPr>
            <w:tcW w:w="2548" w:type="dxa"/>
            <w:vAlign w:val="top"/>
          </w:tcPr>
          <w:p>
            <w:pPr>
              <w:pStyle w:val="TableText"/>
              <w:ind w:left="18"/>
              <w:spacing w:before="48" w:line="219" w:lineRule="auto"/>
              <w:rPr>
                <w:sz w:val="12"/>
                <w:szCs w:val="12"/>
              </w:rPr>
            </w:pPr>
            <w:r>
              <w:rPr>
                <w:sz w:val="12"/>
                <w:szCs w:val="12"/>
                <w:spacing w:val="-1"/>
              </w:rPr>
              <w:t>广谱性杀菌剂</w:t>
            </w:r>
          </w:p>
        </w:tc>
      </w:tr>
      <w:tr>
        <w:trPr>
          <w:trHeight w:val="19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384"/>
              <w:spacing w:before="38" w:line="217" w:lineRule="auto"/>
              <w:rPr>
                <w:sz w:val="12"/>
                <w:szCs w:val="12"/>
              </w:rPr>
            </w:pPr>
            <w:r>
              <w:rPr>
                <w:sz w:val="12"/>
                <w:szCs w:val="12"/>
                <w:spacing w:val="1"/>
              </w:rPr>
              <w:t>乙铝锰猝</w:t>
            </w:r>
          </w:p>
        </w:tc>
        <w:tc>
          <w:tcPr>
            <w:tcW w:w="1889" w:type="dxa"/>
            <w:vAlign w:val="top"/>
          </w:tcPr>
          <w:p>
            <w:pPr>
              <w:pStyle w:val="TableText"/>
              <w:ind w:left="424"/>
              <w:spacing w:before="38" w:line="217" w:lineRule="auto"/>
              <w:rPr>
                <w:sz w:val="12"/>
                <w:szCs w:val="12"/>
              </w:rPr>
            </w:pPr>
            <w:r>
              <w:rPr>
                <w:sz w:val="12"/>
                <w:szCs w:val="12"/>
                <w:spacing w:val="-1"/>
              </w:rPr>
              <w:t>70%乙磷铝代森锰锌</w:t>
            </w:r>
          </w:p>
        </w:tc>
        <w:tc>
          <w:tcPr>
            <w:tcW w:w="1609" w:type="dxa"/>
            <w:vAlign w:val="top"/>
          </w:tcPr>
          <w:p>
            <w:pPr>
              <w:pStyle w:val="TableText"/>
              <w:ind w:left="346"/>
              <w:spacing w:before="38" w:line="217" w:lineRule="auto"/>
              <w:rPr>
                <w:sz w:val="12"/>
                <w:szCs w:val="12"/>
              </w:rPr>
            </w:pPr>
            <w:r>
              <w:rPr>
                <w:sz w:val="12"/>
                <w:szCs w:val="12"/>
                <w:spacing w:val="-1"/>
              </w:rPr>
              <w:t>稀释600-800倍液</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98"/>
              <w:spacing w:before="40" w:line="214" w:lineRule="auto"/>
              <w:rPr>
                <w:sz w:val="12"/>
                <w:szCs w:val="12"/>
              </w:rPr>
            </w:pPr>
            <w:r>
              <w:rPr>
                <w:sz w:val="12"/>
                <w:szCs w:val="12"/>
                <w:spacing w:val="-2"/>
              </w:rPr>
              <w:t>100z/袋</w:t>
            </w:r>
          </w:p>
        </w:tc>
        <w:tc>
          <w:tcPr>
            <w:tcW w:w="2548" w:type="dxa"/>
            <w:vAlign w:val="top"/>
          </w:tcPr>
          <w:p>
            <w:pPr>
              <w:pStyle w:val="TableText"/>
              <w:ind w:left="18"/>
              <w:spacing w:before="38" w:line="217" w:lineRule="auto"/>
              <w:rPr>
                <w:sz w:val="12"/>
                <w:szCs w:val="12"/>
              </w:rPr>
            </w:pPr>
            <w:r>
              <w:rPr>
                <w:sz w:val="12"/>
                <w:szCs w:val="12"/>
                <w:spacing w:val="1"/>
              </w:rPr>
              <w:t>防治霜霉病等病害</w:t>
            </w:r>
          </w:p>
        </w:tc>
      </w:tr>
      <w:tr>
        <w:trPr>
          <w:trHeight w:val="21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504"/>
              <w:spacing w:before="49" w:line="219" w:lineRule="auto"/>
              <w:rPr>
                <w:sz w:val="12"/>
                <w:szCs w:val="12"/>
              </w:rPr>
            </w:pPr>
            <w:r>
              <w:rPr>
                <w:sz w:val="12"/>
                <w:szCs w:val="12"/>
                <w:spacing w:val="-2"/>
              </w:rPr>
              <w:t>黑杀</w:t>
            </w:r>
          </w:p>
        </w:tc>
        <w:tc>
          <w:tcPr>
            <w:tcW w:w="1889" w:type="dxa"/>
            <w:vAlign w:val="top"/>
          </w:tcPr>
          <w:p>
            <w:pPr>
              <w:pStyle w:val="TableText"/>
              <w:ind w:left="605"/>
              <w:spacing w:before="49" w:line="220" w:lineRule="auto"/>
              <w:rPr>
                <w:sz w:val="12"/>
                <w:szCs w:val="12"/>
              </w:rPr>
            </w:pPr>
            <w:r>
              <w:rPr>
                <w:sz w:val="12"/>
                <w:szCs w:val="12"/>
                <w:spacing w:val="-2"/>
              </w:rPr>
              <w:t>12.5%炀唑醇</w:t>
            </w:r>
          </w:p>
        </w:tc>
        <w:tc>
          <w:tcPr>
            <w:tcW w:w="1609" w:type="dxa"/>
            <w:vAlign w:val="top"/>
          </w:tcPr>
          <w:p>
            <w:pPr>
              <w:pStyle w:val="TableText"/>
              <w:ind w:left="286"/>
              <w:spacing w:before="49" w:line="219" w:lineRule="auto"/>
              <w:rPr>
                <w:sz w:val="12"/>
                <w:szCs w:val="12"/>
              </w:rPr>
            </w:pPr>
            <w:r>
              <w:rPr>
                <w:sz w:val="12"/>
                <w:szCs w:val="12"/>
                <w:spacing w:val="-1"/>
              </w:rPr>
              <w:t>稀释1000-1500倍液</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98"/>
              <w:spacing w:before="50" w:line="222" w:lineRule="auto"/>
              <w:rPr>
                <w:sz w:val="12"/>
                <w:szCs w:val="12"/>
              </w:rPr>
            </w:pPr>
            <w:r>
              <w:rPr>
                <w:sz w:val="12"/>
                <w:szCs w:val="12"/>
                <w:spacing w:val="-2"/>
              </w:rPr>
              <w:t>100z/袋</w:t>
            </w:r>
          </w:p>
        </w:tc>
        <w:tc>
          <w:tcPr>
            <w:tcW w:w="2548" w:type="dxa"/>
            <w:vAlign w:val="top"/>
          </w:tcPr>
          <w:p>
            <w:pPr>
              <w:pStyle w:val="TableText"/>
              <w:ind w:left="18"/>
              <w:spacing w:before="49" w:line="219" w:lineRule="auto"/>
              <w:rPr>
                <w:sz w:val="12"/>
                <w:szCs w:val="12"/>
              </w:rPr>
            </w:pPr>
            <w:r>
              <w:rPr>
                <w:sz w:val="12"/>
                <w:szCs w:val="12"/>
                <w:spacing w:val="-1"/>
              </w:rPr>
              <w:t>防治白粉病、锈病等，黑粉病，白绢病等</w:t>
            </w:r>
          </w:p>
        </w:tc>
      </w:tr>
      <w:tr>
        <w:trPr>
          <w:trHeight w:val="19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38" w:line="217" w:lineRule="auto"/>
              <w:rPr>
                <w:sz w:val="12"/>
                <w:szCs w:val="12"/>
              </w:rPr>
            </w:pPr>
            <w:r>
              <w:rPr>
                <w:sz w:val="12"/>
                <w:szCs w:val="12"/>
                <w:spacing w:val="1"/>
              </w:rPr>
              <w:t>国光甲基硫菌灵</w:t>
            </w:r>
          </w:p>
        </w:tc>
        <w:tc>
          <w:tcPr>
            <w:tcW w:w="1889" w:type="dxa"/>
            <w:vAlign w:val="top"/>
          </w:tcPr>
          <w:p>
            <w:pPr>
              <w:pStyle w:val="TableText"/>
              <w:ind w:left="545"/>
              <w:spacing w:before="38" w:line="217" w:lineRule="auto"/>
              <w:rPr>
                <w:sz w:val="12"/>
                <w:szCs w:val="12"/>
              </w:rPr>
            </w:pPr>
            <w:r>
              <w:rPr>
                <w:sz w:val="12"/>
                <w:szCs w:val="12"/>
                <w:spacing w:val="-1"/>
              </w:rPr>
              <w:t>70%甲基硫菌灵</w:t>
            </w:r>
          </w:p>
        </w:tc>
        <w:tc>
          <w:tcPr>
            <w:tcW w:w="1609" w:type="dxa"/>
            <w:vAlign w:val="top"/>
          </w:tcPr>
          <w:p>
            <w:pPr>
              <w:pStyle w:val="TableText"/>
              <w:ind w:left="316"/>
              <w:spacing w:before="38" w:line="217" w:lineRule="auto"/>
              <w:rPr>
                <w:sz w:val="12"/>
                <w:szCs w:val="12"/>
              </w:rPr>
            </w:pPr>
            <w:r>
              <w:rPr>
                <w:sz w:val="12"/>
                <w:szCs w:val="12"/>
                <w:spacing w:val="-1"/>
              </w:rPr>
              <w:t>稀释600-1000倍液</w:t>
            </w:r>
          </w:p>
        </w:tc>
        <w:tc>
          <w:tcPr>
            <w:tcW w:w="1529" w:type="dxa"/>
            <w:vAlign w:val="top"/>
            <w:vMerge w:val="continue"/>
            <w:tcBorders>
              <w:top w:val="nil"/>
            </w:tcBorders>
          </w:tcPr>
          <w:p>
            <w:pPr>
              <w:rPr>
                <w:rFonts w:ascii="Arial"/>
                <w:sz w:val="21"/>
              </w:rPr>
            </w:pPr>
            <w:r/>
          </w:p>
        </w:tc>
        <w:tc>
          <w:tcPr>
            <w:tcW w:w="709" w:type="dxa"/>
            <w:vAlign w:val="top"/>
          </w:tcPr>
          <w:p>
            <w:pPr>
              <w:pStyle w:val="TableText"/>
              <w:ind w:left="168"/>
              <w:spacing w:before="34" w:line="214" w:lineRule="auto"/>
              <w:rPr>
                <w:sz w:val="12"/>
                <w:szCs w:val="12"/>
              </w:rPr>
            </w:pPr>
            <w:r>
              <w:rPr>
                <w:sz w:val="12"/>
                <w:szCs w:val="12"/>
                <w:spacing w:val="-3"/>
              </w:rPr>
              <w:t>lkg/袋</w:t>
            </w:r>
          </w:p>
        </w:tc>
        <w:tc>
          <w:tcPr>
            <w:tcW w:w="2548" w:type="dxa"/>
            <w:vAlign w:val="top"/>
          </w:tcPr>
          <w:p>
            <w:pPr>
              <w:pStyle w:val="TableText"/>
              <w:ind w:left="18"/>
              <w:spacing w:before="38" w:line="218" w:lineRule="auto"/>
              <w:rPr>
                <w:sz w:val="12"/>
                <w:szCs w:val="12"/>
              </w:rPr>
            </w:pPr>
            <w:r>
              <w:rPr>
                <w:sz w:val="12"/>
                <w:szCs w:val="12"/>
              </w:rPr>
              <w:t>内吸、广谱高效杀菌剂</w:t>
            </w:r>
          </w:p>
        </w:tc>
      </w:tr>
      <w:tr>
        <w:trPr>
          <w:trHeight w:val="61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249" w:line="219" w:lineRule="auto"/>
              <w:rPr>
                <w:sz w:val="12"/>
                <w:szCs w:val="12"/>
              </w:rPr>
            </w:pPr>
            <w:r>
              <w:rPr>
                <w:sz w:val="12"/>
                <w:szCs w:val="12"/>
                <w:spacing w:val="1"/>
              </w:rPr>
              <w:t>国光甲基疏菌灵</w:t>
            </w:r>
          </w:p>
        </w:tc>
        <w:tc>
          <w:tcPr>
            <w:tcW w:w="1889" w:type="dxa"/>
            <w:vAlign w:val="top"/>
          </w:tcPr>
          <w:p>
            <w:pPr>
              <w:pStyle w:val="TableText"/>
              <w:ind w:left="545"/>
              <w:spacing w:before="249" w:line="219" w:lineRule="auto"/>
              <w:rPr>
                <w:sz w:val="12"/>
                <w:szCs w:val="12"/>
              </w:rPr>
            </w:pPr>
            <w:r>
              <w:rPr>
                <w:sz w:val="12"/>
                <w:szCs w:val="12"/>
                <w:spacing w:val="-1"/>
              </w:rPr>
              <w:t>70%甲基硫菌灵</w:t>
            </w:r>
          </w:p>
        </w:tc>
        <w:tc>
          <w:tcPr>
            <w:tcW w:w="1609" w:type="dxa"/>
            <w:vAlign w:val="top"/>
          </w:tcPr>
          <w:p>
            <w:pPr>
              <w:pStyle w:val="TableText"/>
              <w:ind w:left="346"/>
              <w:spacing w:before="249" w:line="219" w:lineRule="auto"/>
              <w:rPr>
                <w:sz w:val="12"/>
                <w:szCs w:val="12"/>
              </w:rPr>
            </w:pPr>
            <w:r>
              <w:rPr>
                <w:sz w:val="12"/>
                <w:szCs w:val="12"/>
                <w:spacing w:val="-1"/>
              </w:rPr>
              <w:t>稀释20-50倍涂抹</w:t>
            </w:r>
          </w:p>
        </w:tc>
        <w:tc>
          <w:tcPr>
            <w:tcW w:w="1529" w:type="dxa"/>
            <w:vAlign w:val="top"/>
          </w:tcPr>
          <w:p>
            <w:pPr>
              <w:pStyle w:val="TableText"/>
              <w:ind w:left="36" w:right="45"/>
              <w:spacing w:before="109" w:line="224" w:lineRule="auto"/>
              <w:jc w:val="both"/>
              <w:rPr>
                <w:sz w:val="12"/>
                <w:szCs w:val="12"/>
              </w:rPr>
            </w:pPr>
            <w:r>
              <w:rPr>
                <w:sz w:val="12"/>
                <w:szCs w:val="12"/>
                <w:spacing w:val="-1"/>
              </w:rPr>
              <w:t>将病斑斜划成网状，刀深达</w:t>
            </w:r>
            <w:r>
              <w:rPr>
                <w:sz w:val="12"/>
                <w:szCs w:val="12"/>
                <w:spacing w:val="7"/>
              </w:rPr>
              <w:t xml:space="preserve"> </w:t>
            </w:r>
            <w:r>
              <w:rPr>
                <w:sz w:val="12"/>
                <w:szCs w:val="12"/>
                <w:spacing w:val="-1"/>
              </w:rPr>
              <w:t>木质部彻底刮掉病斑后涂抹</w:t>
            </w:r>
            <w:r>
              <w:rPr>
                <w:sz w:val="12"/>
                <w:szCs w:val="12"/>
                <w:spacing w:val="5"/>
              </w:rPr>
              <w:t xml:space="preserve"> </w:t>
            </w:r>
            <w:r>
              <w:rPr>
                <w:sz w:val="12"/>
                <w:szCs w:val="12"/>
                <w:spacing w:val="-1"/>
              </w:rPr>
              <w:t>1-2次。重的直接刮除病班</w:t>
            </w:r>
          </w:p>
        </w:tc>
        <w:tc>
          <w:tcPr>
            <w:tcW w:w="709" w:type="dxa"/>
            <w:vAlign w:val="top"/>
          </w:tcPr>
          <w:p>
            <w:pPr>
              <w:pStyle w:val="TableText"/>
              <w:ind w:left="168"/>
              <w:spacing w:before="244" w:line="214" w:lineRule="auto"/>
              <w:rPr>
                <w:sz w:val="12"/>
                <w:szCs w:val="12"/>
              </w:rPr>
            </w:pPr>
            <w:r>
              <w:rPr>
                <w:sz w:val="12"/>
                <w:szCs w:val="12"/>
                <w:spacing w:val="-3"/>
              </w:rPr>
              <w:t>lkg/袋</w:t>
            </w:r>
          </w:p>
        </w:tc>
        <w:tc>
          <w:tcPr>
            <w:tcW w:w="2548" w:type="dxa"/>
            <w:vAlign w:val="top"/>
          </w:tcPr>
          <w:p>
            <w:pPr>
              <w:pStyle w:val="TableText"/>
              <w:ind w:left="18"/>
              <w:spacing w:before="249" w:line="219" w:lineRule="auto"/>
              <w:rPr>
                <w:sz w:val="12"/>
                <w:szCs w:val="12"/>
              </w:rPr>
            </w:pPr>
            <w:r>
              <w:rPr>
                <w:sz w:val="12"/>
                <w:szCs w:val="12"/>
                <w:spacing w:val="-1"/>
              </w:rPr>
              <w:t>预防为主，发病严重无效，应伐除</w:t>
            </w:r>
          </w:p>
        </w:tc>
      </w:tr>
      <w:tr>
        <w:trPr>
          <w:trHeight w:val="62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260" w:line="219" w:lineRule="auto"/>
              <w:rPr>
                <w:sz w:val="12"/>
                <w:szCs w:val="12"/>
              </w:rPr>
            </w:pPr>
            <w:r>
              <w:rPr>
                <w:sz w:val="12"/>
                <w:szCs w:val="12"/>
                <w:spacing w:val="-1"/>
              </w:rPr>
              <w:t>链霉素</w:t>
            </w:r>
          </w:p>
        </w:tc>
        <w:tc>
          <w:tcPr>
            <w:tcW w:w="1889" w:type="dxa"/>
            <w:vAlign w:val="top"/>
          </w:tcPr>
          <w:p>
            <w:pPr>
              <w:pStyle w:val="TableText"/>
              <w:ind w:left="665"/>
              <w:spacing w:before="260" w:line="219" w:lineRule="auto"/>
              <w:rPr>
                <w:sz w:val="12"/>
                <w:szCs w:val="12"/>
              </w:rPr>
            </w:pPr>
            <w:r>
              <w:rPr>
                <w:sz w:val="12"/>
                <w:szCs w:val="12"/>
                <w:spacing w:val="-1"/>
              </w:rPr>
              <w:t>72M链霉素</w:t>
            </w:r>
          </w:p>
        </w:tc>
        <w:tc>
          <w:tcPr>
            <w:tcW w:w="1609" w:type="dxa"/>
            <w:vAlign w:val="top"/>
          </w:tcPr>
          <w:p>
            <w:pPr>
              <w:pStyle w:val="TableText"/>
              <w:ind w:left="556"/>
              <w:spacing w:before="260" w:line="220" w:lineRule="auto"/>
              <w:rPr>
                <w:sz w:val="12"/>
                <w:szCs w:val="12"/>
              </w:rPr>
            </w:pPr>
            <w:r>
              <w:rPr>
                <w:sz w:val="12"/>
                <w:szCs w:val="12"/>
                <w:spacing w:val="-1"/>
              </w:rPr>
              <w:t>3000倍液</w:t>
            </w:r>
          </w:p>
        </w:tc>
        <w:tc>
          <w:tcPr>
            <w:tcW w:w="1529" w:type="dxa"/>
            <w:vAlign w:val="top"/>
            <w:vMerge w:val="restart"/>
            <w:tcBorders>
              <w:bottom w:val="nil"/>
            </w:tcBorders>
          </w:tcPr>
          <w:p>
            <w:pPr>
              <w:spacing w:line="467" w:lineRule="auto"/>
              <w:rPr>
                <w:rFonts w:ascii="Arial"/>
                <w:sz w:val="21"/>
              </w:rPr>
            </w:pPr>
            <w:r/>
          </w:p>
          <w:p>
            <w:pPr>
              <w:pStyle w:val="TableText"/>
              <w:ind w:left="706" w:right="46" w:hanging="670"/>
              <w:spacing w:before="39" w:line="210" w:lineRule="auto"/>
              <w:rPr>
                <w:sz w:val="12"/>
                <w:szCs w:val="12"/>
              </w:rPr>
            </w:pPr>
            <w:r>
              <w:rPr>
                <w:sz w:val="12"/>
                <w:szCs w:val="12"/>
                <w:spacing w:val="-1"/>
              </w:rPr>
              <w:t>每10天喷施一次，连唤3至4</w:t>
            </w:r>
            <w:r>
              <w:rPr>
                <w:sz w:val="12"/>
                <w:szCs w:val="12"/>
                <w:spacing w:val="8"/>
              </w:rPr>
              <w:t xml:space="preserve"> </w:t>
            </w:r>
            <w:r>
              <w:rPr>
                <w:sz w:val="12"/>
                <w:szCs w:val="12"/>
              </w:rPr>
              <w:t>次</w:t>
            </w:r>
          </w:p>
        </w:tc>
        <w:tc>
          <w:tcPr>
            <w:tcW w:w="709" w:type="dxa"/>
            <w:vAlign w:val="top"/>
          </w:tcPr>
          <w:p>
            <w:pPr>
              <w:pStyle w:val="TableText"/>
              <w:ind w:left="168"/>
              <w:spacing w:before="255" w:line="214" w:lineRule="auto"/>
              <w:rPr>
                <w:sz w:val="12"/>
                <w:szCs w:val="12"/>
              </w:rPr>
            </w:pPr>
            <w:r>
              <w:rPr>
                <w:sz w:val="12"/>
                <w:szCs w:val="12"/>
                <w:spacing w:val="-2"/>
              </w:rPr>
              <w:t>15g/袋</w:t>
            </w:r>
          </w:p>
        </w:tc>
        <w:tc>
          <w:tcPr>
            <w:tcW w:w="2548"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pStyle w:val="TableText"/>
              <w:ind w:left="18"/>
              <w:spacing w:before="39" w:line="219" w:lineRule="auto"/>
              <w:rPr>
                <w:sz w:val="12"/>
                <w:szCs w:val="12"/>
              </w:rPr>
            </w:pPr>
            <w:r>
              <w:rPr>
                <w:sz w:val="12"/>
                <w:szCs w:val="12"/>
                <w:spacing w:val="-1"/>
              </w:rPr>
              <w:t>防治细菌性穿孔病，对细菌性病害有特效</w:t>
            </w:r>
          </w:p>
        </w:tc>
      </w:tr>
      <w:tr>
        <w:trPr>
          <w:trHeight w:val="61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251" w:line="219" w:lineRule="auto"/>
              <w:rPr>
                <w:sz w:val="12"/>
                <w:szCs w:val="12"/>
              </w:rPr>
            </w:pPr>
            <w:r>
              <w:rPr>
                <w:sz w:val="12"/>
                <w:szCs w:val="12"/>
                <w:spacing w:val="-2"/>
              </w:rPr>
              <w:t>细菌灵</w:t>
            </w:r>
          </w:p>
        </w:tc>
        <w:tc>
          <w:tcPr>
            <w:tcW w:w="1889" w:type="dxa"/>
            <w:vAlign w:val="top"/>
          </w:tcPr>
          <w:p>
            <w:pPr>
              <w:pStyle w:val="TableText"/>
              <w:ind w:left="275"/>
              <w:spacing w:before="171" w:line="219" w:lineRule="auto"/>
              <w:rPr>
                <w:sz w:val="12"/>
                <w:szCs w:val="12"/>
              </w:rPr>
            </w:pPr>
            <w:r>
              <w:rPr>
                <w:sz w:val="12"/>
                <w:szCs w:val="12"/>
                <w:spacing w:val="-1"/>
              </w:rPr>
              <w:t>40%多菌灵、30%中生霉素</w:t>
            </w:r>
          </w:p>
        </w:tc>
        <w:tc>
          <w:tcPr>
            <w:tcW w:w="1609" w:type="dxa"/>
            <w:vAlign w:val="top"/>
          </w:tcPr>
          <w:p>
            <w:pPr>
              <w:pStyle w:val="TableText"/>
              <w:ind w:left="526"/>
              <w:spacing w:before="251" w:line="220" w:lineRule="auto"/>
              <w:rPr>
                <w:sz w:val="12"/>
                <w:szCs w:val="12"/>
              </w:rPr>
            </w:pPr>
            <w:r>
              <w:rPr>
                <w:sz w:val="12"/>
                <w:szCs w:val="12"/>
                <w:spacing w:val="-1"/>
              </w:rPr>
              <w:t>500-600倍</w:t>
            </w:r>
          </w:p>
        </w:tc>
        <w:tc>
          <w:tcPr>
            <w:tcW w:w="1529" w:type="dxa"/>
            <w:vAlign w:val="top"/>
            <w:vMerge w:val="continue"/>
            <w:tcBorders>
              <w:top w:val="nil"/>
            </w:tcBorders>
          </w:tcPr>
          <w:p>
            <w:pPr>
              <w:rPr>
                <w:rFonts w:ascii="Arial"/>
                <w:sz w:val="21"/>
              </w:rPr>
            </w:pPr>
            <w:r/>
          </w:p>
        </w:tc>
        <w:tc>
          <w:tcPr>
            <w:tcW w:w="709" w:type="dxa"/>
            <w:vAlign w:val="top"/>
          </w:tcPr>
          <w:p>
            <w:pPr>
              <w:pStyle w:val="TableText"/>
              <w:ind w:left="168"/>
              <w:spacing w:before="246" w:line="214" w:lineRule="auto"/>
              <w:rPr>
                <w:sz w:val="12"/>
                <w:szCs w:val="12"/>
              </w:rPr>
            </w:pPr>
            <w:r>
              <w:rPr>
                <w:sz w:val="12"/>
                <w:szCs w:val="12"/>
                <w:spacing w:val="-1"/>
              </w:rPr>
              <w:t>25g/袋</w:t>
            </w:r>
          </w:p>
        </w:tc>
        <w:tc>
          <w:tcPr>
            <w:tcW w:w="2548" w:type="dxa"/>
            <w:vAlign w:val="top"/>
            <w:vMerge w:val="continue"/>
            <w:tcBorders>
              <w:top w:val="nil"/>
            </w:tcBorders>
          </w:tcPr>
          <w:p>
            <w:pPr>
              <w:rPr>
                <w:rFonts w:ascii="Arial"/>
                <w:sz w:val="21"/>
              </w:rPr>
            </w:pPr>
            <w:r/>
          </w:p>
        </w:tc>
      </w:tr>
      <w:tr>
        <w:trPr>
          <w:trHeight w:val="410"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504"/>
              <w:spacing w:before="152" w:line="221" w:lineRule="auto"/>
              <w:rPr>
                <w:sz w:val="12"/>
                <w:szCs w:val="12"/>
              </w:rPr>
            </w:pPr>
            <w:r>
              <w:rPr>
                <w:sz w:val="12"/>
                <w:szCs w:val="12"/>
                <w:spacing w:val="-2"/>
              </w:rPr>
              <w:t>三灭</w:t>
            </w:r>
          </w:p>
        </w:tc>
        <w:tc>
          <w:tcPr>
            <w:tcW w:w="1889" w:type="dxa"/>
            <w:vAlign w:val="top"/>
          </w:tcPr>
          <w:p>
            <w:pPr>
              <w:pStyle w:val="TableText"/>
              <w:ind w:left="305"/>
              <w:spacing w:before="151" w:line="219" w:lineRule="auto"/>
              <w:rPr>
                <w:sz w:val="12"/>
                <w:szCs w:val="12"/>
              </w:rPr>
            </w:pPr>
            <w:r>
              <w:rPr>
                <w:sz w:val="12"/>
                <w:szCs w:val="12"/>
                <w:spacing w:val="-1"/>
              </w:rPr>
              <w:t>40%五氧硝基苯，多菌灵</w:t>
            </w:r>
          </w:p>
        </w:tc>
        <w:tc>
          <w:tcPr>
            <w:tcW w:w="1609" w:type="dxa"/>
            <w:vAlign w:val="top"/>
          </w:tcPr>
          <w:p>
            <w:pPr>
              <w:pStyle w:val="TableText"/>
              <w:ind w:left="556"/>
              <w:spacing w:before="152" w:line="221" w:lineRule="auto"/>
              <w:rPr>
                <w:sz w:val="12"/>
                <w:szCs w:val="12"/>
              </w:rPr>
            </w:pPr>
            <w:r>
              <w:rPr>
                <w:sz w:val="12"/>
                <w:szCs w:val="12"/>
                <w:spacing w:val="-1"/>
              </w:rPr>
              <w:t>土壤处理</w:t>
            </w:r>
          </w:p>
        </w:tc>
        <w:tc>
          <w:tcPr>
            <w:tcW w:w="1529" w:type="dxa"/>
            <w:vAlign w:val="top"/>
          </w:tcPr>
          <w:p>
            <w:pPr>
              <w:pStyle w:val="TableText"/>
              <w:ind w:left="636"/>
              <w:spacing w:before="152" w:line="219" w:lineRule="auto"/>
              <w:rPr>
                <w:sz w:val="12"/>
                <w:szCs w:val="12"/>
              </w:rPr>
            </w:pPr>
            <w:r>
              <w:rPr>
                <w:sz w:val="12"/>
                <w:szCs w:val="12"/>
                <w:spacing w:val="-4"/>
              </w:rPr>
              <w:t>一次</w:t>
            </w:r>
          </w:p>
        </w:tc>
        <w:tc>
          <w:tcPr>
            <w:tcW w:w="709" w:type="dxa"/>
            <w:vAlign w:val="top"/>
          </w:tcPr>
          <w:p>
            <w:pPr>
              <w:pStyle w:val="TableText"/>
              <w:ind w:left="138"/>
              <w:spacing w:before="147" w:line="214" w:lineRule="auto"/>
              <w:rPr>
                <w:sz w:val="12"/>
                <w:szCs w:val="12"/>
              </w:rPr>
            </w:pPr>
            <w:r>
              <w:rPr>
                <w:sz w:val="12"/>
                <w:szCs w:val="12"/>
                <w:spacing w:val="-1"/>
              </w:rPr>
              <w:t>500g/袋</w:t>
            </w:r>
          </w:p>
        </w:tc>
        <w:tc>
          <w:tcPr>
            <w:tcW w:w="2548" w:type="dxa"/>
            <w:vAlign w:val="top"/>
          </w:tcPr>
          <w:p>
            <w:pPr>
              <w:pStyle w:val="TableText"/>
              <w:ind w:left="18"/>
              <w:spacing w:before="151" w:line="219" w:lineRule="auto"/>
              <w:rPr>
                <w:sz w:val="12"/>
                <w:szCs w:val="12"/>
              </w:rPr>
            </w:pPr>
            <w:r>
              <w:rPr>
                <w:sz w:val="12"/>
                <w:szCs w:val="12"/>
                <w:spacing w:val="-1"/>
              </w:rPr>
              <w:t>做土壤处理杀菌使用，防治土传病害</w:t>
            </w:r>
          </w:p>
        </w:tc>
      </w:tr>
      <w:tr>
        <w:trPr>
          <w:trHeight w:val="389" w:hRule="atLeast"/>
        </w:trPr>
        <w:tc>
          <w:tcPr>
            <w:tcW w:w="41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142" w:line="219" w:lineRule="auto"/>
              <w:rPr>
                <w:sz w:val="12"/>
                <w:szCs w:val="12"/>
              </w:rPr>
            </w:pPr>
            <w:r>
              <w:rPr>
                <w:sz w:val="12"/>
                <w:szCs w:val="12"/>
                <w:spacing w:val="-2"/>
              </w:rPr>
              <w:t>植病灵</w:t>
            </w:r>
          </w:p>
        </w:tc>
        <w:tc>
          <w:tcPr>
            <w:tcW w:w="1889" w:type="dxa"/>
            <w:vAlign w:val="top"/>
          </w:tcPr>
          <w:p>
            <w:pPr>
              <w:pStyle w:val="TableText"/>
              <w:ind w:left="334"/>
              <w:spacing w:before="142" w:line="220" w:lineRule="auto"/>
              <w:rPr>
                <w:sz w:val="12"/>
                <w:szCs w:val="12"/>
              </w:rPr>
            </w:pPr>
            <w:r>
              <w:rPr>
                <w:sz w:val="12"/>
                <w:szCs w:val="12"/>
                <w:spacing w:val="-1"/>
              </w:rPr>
              <w:t>盐酸金刚乙胺、丙环唑</w:t>
            </w:r>
          </w:p>
        </w:tc>
        <w:tc>
          <w:tcPr>
            <w:tcW w:w="1609" w:type="dxa"/>
            <w:vAlign w:val="top"/>
          </w:tcPr>
          <w:p>
            <w:pPr>
              <w:pStyle w:val="TableText"/>
              <w:ind w:left="586"/>
              <w:spacing w:before="142" w:line="220" w:lineRule="auto"/>
              <w:rPr>
                <w:sz w:val="12"/>
                <w:szCs w:val="12"/>
              </w:rPr>
            </w:pPr>
            <w:r>
              <w:rPr>
                <w:sz w:val="12"/>
                <w:szCs w:val="12"/>
                <w:spacing w:val="-1"/>
              </w:rPr>
              <w:t>800倍液</w:t>
            </w:r>
          </w:p>
        </w:tc>
        <w:tc>
          <w:tcPr>
            <w:tcW w:w="1529" w:type="dxa"/>
            <w:vAlign w:val="top"/>
          </w:tcPr>
          <w:p>
            <w:pPr>
              <w:pStyle w:val="TableText"/>
              <w:ind w:left="146" w:right="78" w:hanging="80"/>
              <w:spacing w:before="61" w:line="233" w:lineRule="auto"/>
              <w:rPr>
                <w:sz w:val="12"/>
                <w:szCs w:val="12"/>
              </w:rPr>
            </w:pPr>
            <w:r>
              <w:rPr>
                <w:sz w:val="12"/>
                <w:szCs w:val="12"/>
                <w:spacing w:val="-1"/>
              </w:rPr>
              <w:t>发病初期，每5-7天喷施一</w:t>
            </w:r>
            <w:r>
              <w:rPr>
                <w:sz w:val="12"/>
                <w:szCs w:val="12"/>
                <w:spacing w:val="5"/>
              </w:rPr>
              <w:t xml:space="preserve"> </w:t>
            </w:r>
            <w:r>
              <w:rPr>
                <w:sz w:val="12"/>
                <w:szCs w:val="12"/>
                <w:spacing w:val="-1"/>
              </w:rPr>
              <w:t>次，喷3遍，可减轻危害</w:t>
            </w:r>
          </w:p>
        </w:tc>
        <w:tc>
          <w:tcPr>
            <w:tcW w:w="709" w:type="dxa"/>
            <w:vAlign w:val="top"/>
          </w:tcPr>
          <w:p>
            <w:pPr>
              <w:pStyle w:val="TableText"/>
              <w:ind w:left="138"/>
              <w:spacing w:before="142" w:line="221" w:lineRule="auto"/>
              <w:rPr>
                <w:sz w:val="12"/>
                <w:szCs w:val="12"/>
              </w:rPr>
            </w:pPr>
            <w:r>
              <w:rPr>
                <w:sz w:val="12"/>
                <w:szCs w:val="12"/>
                <w:spacing w:val="-2"/>
              </w:rPr>
              <w:t>15nl/瓶</w:t>
            </w:r>
          </w:p>
        </w:tc>
        <w:tc>
          <w:tcPr>
            <w:tcW w:w="2548" w:type="dxa"/>
            <w:vAlign w:val="top"/>
          </w:tcPr>
          <w:p>
            <w:pPr>
              <w:pStyle w:val="TableText"/>
              <w:ind w:left="18"/>
              <w:spacing w:before="142" w:line="219" w:lineRule="auto"/>
              <w:rPr>
                <w:sz w:val="12"/>
                <w:szCs w:val="12"/>
              </w:rPr>
            </w:pPr>
            <w:r>
              <w:rPr>
                <w:sz w:val="12"/>
                <w:szCs w:val="12"/>
                <w:spacing w:val="-1"/>
              </w:rPr>
              <w:t>防治花叶病，对病毒性病害有特效</w:t>
            </w:r>
          </w:p>
        </w:tc>
      </w:tr>
      <w:tr>
        <w:trPr>
          <w:trHeight w:val="409" w:hRule="atLeast"/>
        </w:trPr>
        <w:tc>
          <w:tcPr>
            <w:tcW w:w="415"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69" w:type="dxa"/>
            <w:vAlign w:val="top"/>
          </w:tcPr>
          <w:p>
            <w:pPr>
              <w:pStyle w:val="TableText"/>
              <w:ind w:left="263"/>
              <w:spacing w:before="153" w:line="219" w:lineRule="auto"/>
              <w:rPr>
                <w:sz w:val="12"/>
                <w:szCs w:val="12"/>
              </w:rPr>
            </w:pPr>
            <w:r>
              <w:rPr>
                <w:sz w:val="12"/>
                <w:szCs w:val="12"/>
                <w:spacing w:val="-1"/>
              </w:rPr>
              <w:t>博联生物菌素</w:t>
            </w:r>
          </w:p>
        </w:tc>
        <w:tc>
          <w:tcPr>
            <w:tcW w:w="1889" w:type="dxa"/>
            <w:vAlign w:val="top"/>
          </w:tcPr>
          <w:p>
            <w:pPr>
              <w:pStyle w:val="TableText"/>
              <w:ind w:left="514"/>
              <w:spacing w:before="153" w:line="219" w:lineRule="auto"/>
              <w:rPr>
                <w:sz w:val="12"/>
                <w:szCs w:val="12"/>
              </w:rPr>
            </w:pPr>
            <w:r>
              <w:rPr>
                <w:sz w:val="12"/>
                <w:szCs w:val="12"/>
              </w:rPr>
              <w:t>的博联生物菌素</w:t>
            </w:r>
          </w:p>
        </w:tc>
        <w:tc>
          <w:tcPr>
            <w:tcW w:w="1609" w:type="dxa"/>
            <w:vAlign w:val="top"/>
          </w:tcPr>
          <w:p>
            <w:pPr>
              <w:pStyle w:val="TableText"/>
              <w:ind w:left="346"/>
              <w:spacing w:before="153" w:line="220" w:lineRule="auto"/>
              <w:rPr>
                <w:sz w:val="12"/>
                <w:szCs w:val="12"/>
              </w:rPr>
            </w:pPr>
            <w:r>
              <w:rPr>
                <w:sz w:val="12"/>
                <w:szCs w:val="12"/>
                <w:spacing w:val="-1"/>
              </w:rPr>
              <w:t>200-300倍液喷雾</w:t>
            </w:r>
          </w:p>
        </w:tc>
        <w:tc>
          <w:tcPr>
            <w:tcW w:w="1529" w:type="dxa"/>
            <w:vAlign w:val="top"/>
          </w:tcPr>
          <w:p>
            <w:pPr>
              <w:pStyle w:val="TableText"/>
              <w:ind w:left="487"/>
              <w:spacing w:before="153" w:line="219" w:lineRule="auto"/>
              <w:rPr>
                <w:sz w:val="12"/>
                <w:szCs w:val="12"/>
              </w:rPr>
            </w:pPr>
            <w:r>
              <w:rPr>
                <w:sz w:val="12"/>
                <w:szCs w:val="12"/>
                <w:spacing w:val="-2"/>
              </w:rPr>
              <w:t>一般2-3次</w:t>
            </w:r>
          </w:p>
        </w:tc>
        <w:tc>
          <w:tcPr>
            <w:tcW w:w="709" w:type="dxa"/>
            <w:vAlign w:val="top"/>
          </w:tcPr>
          <w:p>
            <w:pPr>
              <w:pStyle w:val="TableText"/>
              <w:ind w:left="168"/>
              <w:spacing w:before="154" w:line="222" w:lineRule="auto"/>
              <w:rPr>
                <w:sz w:val="12"/>
                <w:szCs w:val="12"/>
              </w:rPr>
            </w:pPr>
            <w:r>
              <w:rPr>
                <w:sz w:val="12"/>
                <w:szCs w:val="12"/>
                <w:spacing w:val="-2"/>
              </w:rPr>
              <w:t>10x/袋</w:t>
            </w:r>
          </w:p>
        </w:tc>
        <w:tc>
          <w:tcPr>
            <w:tcW w:w="2548" w:type="dxa"/>
            <w:vAlign w:val="top"/>
          </w:tcPr>
          <w:p>
            <w:pPr>
              <w:pStyle w:val="TableText"/>
              <w:ind w:left="18" w:right="11"/>
              <w:spacing w:before="83" w:line="243" w:lineRule="auto"/>
              <w:rPr>
                <w:sz w:val="12"/>
                <w:szCs w:val="12"/>
              </w:rPr>
            </w:pPr>
            <w:r>
              <w:rPr>
                <w:sz w:val="12"/>
                <w:szCs w:val="12"/>
                <w:spacing w:val="-1"/>
              </w:rPr>
              <w:t>防治病毒性病害，预防为主，发病严重无效，应</w:t>
            </w:r>
            <w:r>
              <w:rPr>
                <w:sz w:val="12"/>
                <w:szCs w:val="12"/>
                <w:spacing w:val="7"/>
              </w:rPr>
              <w:t xml:space="preserve"> </w:t>
            </w:r>
            <w:r>
              <w:rPr>
                <w:sz w:val="12"/>
                <w:szCs w:val="12"/>
                <w:spacing w:val="-1"/>
              </w:rPr>
              <w:t>伐除，并铲除中间体蚜虫等</w:t>
            </w:r>
          </w:p>
        </w:tc>
      </w:tr>
      <w:tr>
        <w:trPr>
          <w:trHeight w:val="250" w:hRule="atLeast"/>
        </w:trPr>
        <w:tc>
          <w:tcPr>
            <w:tcW w:w="415" w:type="dxa"/>
            <w:vAlign w:val="top"/>
            <w:vMerge w:val="restart"/>
            <w:tcBorders>
              <w:bottom w:val="nil"/>
            </w:tcBorders>
          </w:tcPr>
          <w:p>
            <w:pPr>
              <w:spacing w:line="332" w:lineRule="auto"/>
              <w:rPr>
                <w:rFonts w:ascii="Arial"/>
                <w:sz w:val="21"/>
              </w:rPr>
            </w:pPr>
            <w:r/>
          </w:p>
          <w:p>
            <w:pPr>
              <w:pStyle w:val="TableText"/>
              <w:ind w:left="14"/>
              <w:spacing w:before="39" w:line="219" w:lineRule="auto"/>
              <w:rPr>
                <w:sz w:val="12"/>
                <w:szCs w:val="12"/>
              </w:rPr>
            </w:pPr>
            <w:r>
              <w:rPr>
                <w:sz w:val="12"/>
                <w:szCs w:val="12"/>
                <w:spacing w:val="-2"/>
              </w:rPr>
              <w:t>杀虫剂</w:t>
            </w:r>
          </w:p>
        </w:tc>
        <w:tc>
          <w:tcPr>
            <w:tcW w:w="539" w:type="dxa"/>
            <w:vAlign w:val="top"/>
            <w:vMerge w:val="restart"/>
            <w:tcBorders>
              <w:bottom w:val="nil"/>
            </w:tcBorders>
          </w:tcPr>
          <w:p>
            <w:pPr>
              <w:spacing w:line="332" w:lineRule="auto"/>
              <w:rPr>
                <w:rFonts w:ascii="Arial"/>
                <w:sz w:val="21"/>
              </w:rPr>
            </w:pPr>
            <w:r/>
          </w:p>
          <w:p>
            <w:pPr>
              <w:pStyle w:val="TableText"/>
              <w:ind w:left="20"/>
              <w:spacing w:before="39" w:line="219" w:lineRule="auto"/>
              <w:rPr>
                <w:sz w:val="12"/>
                <w:szCs w:val="12"/>
              </w:rPr>
            </w:pPr>
            <w:r>
              <w:rPr>
                <w:sz w:val="12"/>
                <w:szCs w:val="12"/>
                <w:spacing w:val="-1"/>
              </w:rPr>
              <w:t>食叶害虫</w:t>
            </w:r>
          </w:p>
        </w:tc>
        <w:tc>
          <w:tcPr>
            <w:tcW w:w="989" w:type="dxa"/>
            <w:vAlign w:val="top"/>
            <w:vMerge w:val="restart"/>
            <w:tcBorders>
              <w:bottom w:val="nil"/>
            </w:tcBorders>
          </w:tcPr>
          <w:p>
            <w:pPr>
              <w:pStyle w:val="TableText"/>
              <w:ind w:firstLine="29"/>
              <w:spacing w:before="103" w:line="215" w:lineRule="auto"/>
              <w:rPr>
                <w:sz w:val="12"/>
                <w:szCs w:val="12"/>
              </w:rPr>
            </w:pPr>
            <w:r>
              <w:rPr>
                <w:sz w:val="12"/>
                <w:szCs w:val="12"/>
                <w:spacing w:val="-2"/>
              </w:rPr>
              <w:t>粘虫。天暮毛虫，</w:t>
            </w:r>
            <w:r>
              <w:rPr>
                <w:sz w:val="12"/>
                <w:szCs w:val="12"/>
                <w:spacing w:val="3"/>
              </w:rPr>
              <w:t xml:space="preserve"> </w:t>
            </w:r>
            <w:r>
              <w:rPr>
                <w:sz w:val="12"/>
                <w:szCs w:val="12"/>
                <w:spacing w:val="-3"/>
              </w:rPr>
              <w:t>叶甲、舞毒峨、尺</w:t>
            </w:r>
          </w:p>
          <w:p>
            <w:pPr>
              <w:pStyle w:val="TableText"/>
              <w:spacing w:line="218" w:lineRule="auto"/>
              <w:jc w:val="right"/>
              <w:rPr>
                <w:sz w:val="12"/>
                <w:szCs w:val="12"/>
              </w:rPr>
            </w:pPr>
            <w:r>
              <w:rPr>
                <w:sz w:val="12"/>
                <w:szCs w:val="12"/>
                <w:spacing w:val="2"/>
              </w:rPr>
              <w:t>竣、章蛾、刺蛾、</w:t>
            </w:r>
          </w:p>
          <w:p>
            <w:pPr>
              <w:pStyle w:val="TableText"/>
              <w:ind w:left="10"/>
              <w:spacing w:before="7" w:line="219" w:lineRule="auto"/>
              <w:rPr>
                <w:sz w:val="12"/>
                <w:szCs w:val="12"/>
              </w:rPr>
            </w:pPr>
            <w:r>
              <w:rPr>
                <w:sz w:val="12"/>
                <w:szCs w:val="12"/>
                <w:spacing w:val="-1"/>
              </w:rPr>
              <w:t>美国白蛾，淡到夜</w:t>
            </w:r>
          </w:p>
          <w:p>
            <w:pPr>
              <w:pStyle w:val="TableText"/>
              <w:ind w:left="421"/>
              <w:spacing w:before="20" w:line="221" w:lineRule="auto"/>
              <w:rPr>
                <w:sz w:val="12"/>
                <w:szCs w:val="12"/>
              </w:rPr>
            </w:pPr>
            <w:r>
              <w:rPr>
                <w:sz w:val="12"/>
                <w:szCs w:val="12"/>
              </w:rPr>
              <w:t>蛾</w:t>
            </w:r>
          </w:p>
        </w:tc>
        <w:tc>
          <w:tcPr>
            <w:tcW w:w="2578" w:type="dxa"/>
            <w:vAlign w:val="top"/>
            <w:vMerge w:val="restart"/>
            <w:tcBorders>
              <w:bottom w:val="nil"/>
            </w:tcBorders>
          </w:tcPr>
          <w:p>
            <w:pPr>
              <w:pStyle w:val="TableText"/>
              <w:ind w:left="22" w:right="5"/>
              <w:spacing w:before="163" w:line="225" w:lineRule="auto"/>
              <w:rPr>
                <w:sz w:val="12"/>
                <w:szCs w:val="12"/>
              </w:rPr>
            </w:pPr>
            <w:r>
              <w:rPr>
                <w:sz w:val="12"/>
                <w:szCs w:val="12"/>
                <w:spacing w:val="-2"/>
              </w:rPr>
              <w:t>一、4月开始预防消杀为主，结合修剪人工摘除虫</w:t>
            </w:r>
            <w:r>
              <w:rPr>
                <w:sz w:val="12"/>
                <w:szCs w:val="12"/>
                <w:spacing w:val="2"/>
              </w:rPr>
              <w:t xml:space="preserve"> </w:t>
            </w:r>
            <w:r>
              <w:rPr>
                <w:sz w:val="12"/>
                <w:szCs w:val="12"/>
                <w:spacing w:val="3"/>
              </w:rPr>
              <w:t>卵，乔灌木展叶后全园区消杀虫卵、蛹；</w:t>
            </w:r>
          </w:p>
          <w:p>
            <w:pPr>
              <w:pStyle w:val="TableText"/>
              <w:ind w:left="12" w:firstLine="9"/>
              <w:spacing w:before="26" w:line="211" w:lineRule="auto"/>
              <w:rPr>
                <w:sz w:val="12"/>
                <w:szCs w:val="12"/>
              </w:rPr>
            </w:pPr>
            <w:r>
              <w:rPr>
                <w:sz w:val="12"/>
                <w:szCs w:val="12"/>
                <w:spacing w:val="-2"/>
              </w:rPr>
              <w:t>二、5-9月为盛发期。采取预防为主的防治方针危</w:t>
            </w:r>
            <w:r>
              <w:rPr>
                <w:sz w:val="12"/>
                <w:szCs w:val="12"/>
                <w:spacing w:val="10"/>
              </w:rPr>
              <w:t xml:space="preserve"> </w:t>
            </w:r>
            <w:r>
              <w:rPr>
                <w:sz w:val="12"/>
                <w:szCs w:val="12"/>
                <w:spacing w:val="-1"/>
              </w:rPr>
              <w:t>害初期防治。</w:t>
            </w:r>
          </w:p>
        </w:tc>
        <w:tc>
          <w:tcPr>
            <w:tcW w:w="1269" w:type="dxa"/>
            <w:vAlign w:val="top"/>
          </w:tcPr>
          <w:p>
            <w:pPr>
              <w:pStyle w:val="TableText"/>
              <w:ind w:left="384"/>
              <w:spacing w:before="74" w:line="219" w:lineRule="auto"/>
              <w:rPr>
                <w:sz w:val="12"/>
                <w:szCs w:val="12"/>
              </w:rPr>
            </w:pPr>
            <w:r>
              <w:rPr>
                <w:sz w:val="12"/>
                <w:szCs w:val="12"/>
                <w:spacing w:val="1"/>
              </w:rPr>
              <w:t>国光毒枪</w:t>
            </w:r>
          </w:p>
        </w:tc>
        <w:tc>
          <w:tcPr>
            <w:tcW w:w="1889" w:type="dxa"/>
            <w:vAlign w:val="top"/>
          </w:tcPr>
          <w:p>
            <w:pPr>
              <w:pStyle w:val="TableText"/>
              <w:ind w:left="364"/>
              <w:spacing w:before="74" w:line="219" w:lineRule="auto"/>
              <w:rPr>
                <w:sz w:val="12"/>
                <w:szCs w:val="12"/>
              </w:rPr>
            </w:pPr>
            <w:r>
              <w:rPr>
                <w:sz w:val="12"/>
                <w:szCs w:val="12"/>
                <w:spacing w:val="-5"/>
              </w:rPr>
              <w:t>45%丙溴</w:t>
            </w:r>
            <w:r>
              <w:rPr>
                <w:sz w:val="12"/>
                <w:szCs w:val="12"/>
                <w:spacing w:val="-11"/>
              </w:rPr>
              <w:t xml:space="preserve"> </w:t>
            </w:r>
            <w:r>
              <w:rPr>
                <w:sz w:val="12"/>
                <w:szCs w:val="12"/>
                <w:spacing w:val="-5"/>
              </w:rPr>
              <w:t>·辛疏磷乳油</w:t>
            </w:r>
          </w:p>
        </w:tc>
        <w:tc>
          <w:tcPr>
            <w:tcW w:w="1609" w:type="dxa"/>
            <w:vAlign w:val="top"/>
          </w:tcPr>
          <w:p>
            <w:pPr>
              <w:pStyle w:val="TableText"/>
              <w:ind w:left="286"/>
              <w:spacing w:before="74" w:line="219" w:lineRule="auto"/>
              <w:rPr>
                <w:sz w:val="12"/>
                <w:szCs w:val="12"/>
              </w:rPr>
            </w:pPr>
            <w:r>
              <w:rPr>
                <w:sz w:val="12"/>
                <w:szCs w:val="12"/>
                <w:spacing w:val="-1"/>
              </w:rPr>
              <w:t>稀释2000-3000倍液</w:t>
            </w:r>
          </w:p>
        </w:tc>
        <w:tc>
          <w:tcPr>
            <w:tcW w:w="1529" w:type="dxa"/>
            <w:vAlign w:val="top"/>
            <w:vMerge w:val="restart"/>
            <w:tcBorders>
              <w:bottom w:val="nil"/>
            </w:tcBorders>
          </w:tcPr>
          <w:p>
            <w:pPr>
              <w:spacing w:line="273" w:lineRule="auto"/>
              <w:rPr>
                <w:rFonts w:ascii="Arial"/>
                <w:sz w:val="21"/>
              </w:rPr>
            </w:pPr>
            <w:r/>
          </w:p>
          <w:p>
            <w:pPr>
              <w:pStyle w:val="TableText"/>
              <w:ind w:left="186" w:right="78" w:hanging="120"/>
              <w:spacing w:before="39" w:line="248" w:lineRule="auto"/>
              <w:rPr>
                <w:sz w:val="12"/>
                <w:szCs w:val="12"/>
              </w:rPr>
            </w:pPr>
            <w:r>
              <w:rPr>
                <w:sz w:val="12"/>
                <w:szCs w:val="12"/>
                <w:spacing w:val="-1"/>
              </w:rPr>
              <w:t>为害初期一般用每喷药1-2</w:t>
            </w:r>
            <w:r>
              <w:rPr>
                <w:sz w:val="12"/>
                <w:szCs w:val="12"/>
                <w:spacing w:val="5"/>
              </w:rPr>
              <w:t xml:space="preserve"> </w:t>
            </w:r>
            <w:r>
              <w:rPr>
                <w:sz w:val="12"/>
                <w:szCs w:val="12"/>
                <w:spacing w:val="-1"/>
              </w:rPr>
              <w:t>次，时间间隔7到10天</w:t>
            </w:r>
          </w:p>
        </w:tc>
        <w:tc>
          <w:tcPr>
            <w:tcW w:w="709" w:type="dxa"/>
            <w:vAlign w:val="top"/>
          </w:tcPr>
          <w:p>
            <w:pPr>
              <w:pStyle w:val="TableText"/>
              <w:ind w:left="108"/>
              <w:spacing w:before="74" w:line="221" w:lineRule="auto"/>
              <w:rPr>
                <w:sz w:val="12"/>
                <w:szCs w:val="12"/>
              </w:rPr>
            </w:pPr>
            <w:r>
              <w:rPr>
                <w:sz w:val="12"/>
                <w:szCs w:val="12"/>
                <w:spacing w:val="-1"/>
              </w:rPr>
              <w:t>200ml/瓶</w:t>
            </w:r>
          </w:p>
        </w:tc>
        <w:tc>
          <w:tcPr>
            <w:tcW w:w="2548" w:type="dxa"/>
            <w:vAlign w:val="top"/>
          </w:tcPr>
          <w:p>
            <w:pPr>
              <w:pStyle w:val="TableText"/>
              <w:ind w:left="18"/>
              <w:spacing w:before="74" w:line="219" w:lineRule="auto"/>
              <w:rPr>
                <w:sz w:val="12"/>
                <w:szCs w:val="12"/>
              </w:rPr>
            </w:pPr>
            <w:r>
              <w:rPr>
                <w:sz w:val="12"/>
                <w:szCs w:val="12"/>
                <w:spacing w:val="-1"/>
              </w:rPr>
              <w:t>高渗透性，杀卷叶虫，包叶虫，斑潜蝇等</w:t>
            </w:r>
          </w:p>
        </w:tc>
      </w:tr>
      <w:tr>
        <w:trPr>
          <w:trHeight w:val="604" w:hRule="atLeast"/>
        </w:trPr>
        <w:tc>
          <w:tcPr>
            <w:tcW w:w="415"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69" w:type="dxa"/>
            <w:vAlign w:val="top"/>
          </w:tcPr>
          <w:p>
            <w:pPr>
              <w:pStyle w:val="TableText"/>
              <w:ind w:left="384"/>
              <w:spacing w:before="243" w:line="219" w:lineRule="auto"/>
              <w:rPr>
                <w:sz w:val="12"/>
                <w:szCs w:val="12"/>
              </w:rPr>
            </w:pPr>
            <w:r>
              <w:rPr>
                <w:sz w:val="12"/>
                <w:szCs w:val="12"/>
                <w:spacing w:val="1"/>
              </w:rPr>
              <w:t>国光毒箭</w:t>
            </w:r>
          </w:p>
        </w:tc>
        <w:tc>
          <w:tcPr>
            <w:tcW w:w="1889" w:type="dxa"/>
            <w:vAlign w:val="top"/>
          </w:tcPr>
          <w:p>
            <w:pPr>
              <w:pStyle w:val="TableText"/>
              <w:ind w:left="484"/>
              <w:spacing w:before="243" w:line="219" w:lineRule="auto"/>
              <w:rPr>
                <w:sz w:val="12"/>
                <w:szCs w:val="12"/>
              </w:rPr>
            </w:pPr>
            <w:r>
              <w:rPr>
                <w:sz w:val="12"/>
                <w:szCs w:val="12"/>
                <w:spacing w:val="-1"/>
              </w:rPr>
              <w:t>20%氧虎菊酯乳油</w:t>
            </w:r>
          </w:p>
        </w:tc>
        <w:tc>
          <w:tcPr>
            <w:tcW w:w="1609" w:type="dxa"/>
            <w:vAlign w:val="top"/>
          </w:tcPr>
          <w:p>
            <w:pPr>
              <w:pStyle w:val="TableText"/>
              <w:ind w:left="286"/>
              <w:spacing w:before="243" w:line="219" w:lineRule="auto"/>
              <w:rPr>
                <w:sz w:val="12"/>
                <w:szCs w:val="12"/>
              </w:rPr>
            </w:pPr>
            <w:r>
              <w:rPr>
                <w:sz w:val="12"/>
                <w:szCs w:val="12"/>
                <w:spacing w:val="-1"/>
              </w:rPr>
              <w:t>稀释2000-3000倍液</w:t>
            </w:r>
          </w:p>
        </w:tc>
        <w:tc>
          <w:tcPr>
            <w:tcW w:w="1529" w:type="dxa"/>
            <w:vAlign w:val="top"/>
            <w:vMerge w:val="continue"/>
            <w:tcBorders>
              <w:top w:val="nil"/>
            </w:tcBorders>
          </w:tcPr>
          <w:p>
            <w:pPr>
              <w:rPr>
                <w:rFonts w:ascii="Arial"/>
                <w:sz w:val="21"/>
              </w:rPr>
            </w:pPr>
            <w:r/>
          </w:p>
        </w:tc>
        <w:tc>
          <w:tcPr>
            <w:tcW w:w="709" w:type="dxa"/>
            <w:vAlign w:val="top"/>
          </w:tcPr>
          <w:p>
            <w:pPr>
              <w:pStyle w:val="TableText"/>
              <w:ind w:left="158"/>
              <w:spacing w:before="244" w:line="221" w:lineRule="auto"/>
              <w:rPr>
                <w:sz w:val="12"/>
                <w:szCs w:val="12"/>
              </w:rPr>
            </w:pPr>
            <w:r>
              <w:rPr>
                <w:sz w:val="12"/>
                <w:szCs w:val="12"/>
                <w:spacing w:val="-1"/>
              </w:rPr>
              <w:t>200ml/瓶</w:t>
            </w:r>
          </w:p>
        </w:tc>
        <w:tc>
          <w:tcPr>
            <w:tcW w:w="2548" w:type="dxa"/>
            <w:vAlign w:val="top"/>
          </w:tcPr>
          <w:p>
            <w:pPr>
              <w:pStyle w:val="TableText"/>
              <w:ind w:left="18"/>
              <w:spacing w:before="243" w:line="219" w:lineRule="auto"/>
              <w:rPr>
                <w:sz w:val="12"/>
                <w:szCs w:val="12"/>
              </w:rPr>
            </w:pPr>
            <w:r>
              <w:rPr>
                <w:sz w:val="12"/>
                <w:szCs w:val="12"/>
                <w:spacing w:val="-1"/>
              </w:rPr>
              <w:t>高效广谱、长效杀虫剂，杀食叶性害虫特效</w:t>
            </w:r>
          </w:p>
        </w:tc>
      </w:tr>
    </w:tbl>
    <w:p>
      <w:pPr>
        <w:spacing w:line="124" w:lineRule="exact"/>
        <w:rPr>
          <w:rFonts w:ascii="Arial"/>
          <w:sz w:val="10"/>
        </w:rPr>
      </w:pPr>
      <w:r/>
    </w:p>
    <w:p>
      <w:pPr>
        <w:spacing w:line="124" w:lineRule="exact"/>
        <w:sectPr>
          <w:pgSz w:w="14490" w:h="10240"/>
          <w:pgMar w:top="115" w:right="260" w:bottom="400" w:left="144" w:header="0" w:footer="0" w:gutter="0"/>
        </w:sectPr>
        <w:rPr>
          <w:rFonts w:ascii="Arial" w:hAnsi="Arial" w:eastAsia="Arial" w:cs="Arial"/>
          <w:sz w:val="10"/>
          <w:szCs w:val="10"/>
        </w:rPr>
      </w:pPr>
    </w:p>
    <w:tbl>
      <w:tblPr>
        <w:tblStyle w:val="TableNormal"/>
        <w:tblW w:w="140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30"/>
        <w:gridCol w:w="989"/>
        <w:gridCol w:w="2578"/>
        <w:gridCol w:w="1259"/>
        <w:gridCol w:w="1899"/>
        <w:gridCol w:w="1609"/>
        <w:gridCol w:w="1529"/>
        <w:gridCol w:w="709"/>
        <w:gridCol w:w="2543"/>
      </w:tblGrid>
      <w:tr>
        <w:trPr>
          <w:trHeight w:val="614" w:hRule="atLeast"/>
        </w:trPr>
        <w:tc>
          <w:tcPr>
            <w:tcW w:w="425" w:type="dxa"/>
            <w:vAlign w:val="top"/>
          </w:tcPr>
          <w:p>
            <w:pPr>
              <w:pStyle w:val="TableText"/>
              <w:ind w:left="86"/>
              <w:spacing w:before="248" w:line="219" w:lineRule="auto"/>
              <w:rPr>
                <w:sz w:val="12"/>
                <w:szCs w:val="12"/>
              </w:rPr>
            </w:pPr>
            <w:r>
              <w:rPr>
                <w:sz w:val="12"/>
                <w:szCs w:val="12"/>
                <w:b/>
                <w:bCs/>
                <w:spacing w:val="-3"/>
              </w:rPr>
              <w:t>分类</w:t>
            </w:r>
          </w:p>
        </w:tc>
        <w:tc>
          <w:tcPr>
            <w:tcW w:w="530" w:type="dxa"/>
            <w:vAlign w:val="top"/>
          </w:tcPr>
          <w:p>
            <w:pPr>
              <w:pStyle w:val="TableText"/>
              <w:ind w:left="11"/>
              <w:spacing w:before="78" w:line="219" w:lineRule="auto"/>
              <w:rPr>
                <w:sz w:val="12"/>
                <w:szCs w:val="12"/>
              </w:rPr>
            </w:pPr>
            <w:r>
              <w:rPr>
                <w:sz w:val="12"/>
                <w:szCs w:val="12"/>
                <w:b/>
                <w:bCs/>
                <w:spacing w:val="-3"/>
              </w:rPr>
              <w:t>消杀预防</w:t>
            </w:r>
          </w:p>
          <w:p>
            <w:pPr>
              <w:pStyle w:val="TableText"/>
              <w:ind w:left="11"/>
              <w:spacing w:before="17" w:line="220" w:lineRule="auto"/>
              <w:rPr>
                <w:sz w:val="12"/>
                <w:szCs w:val="12"/>
              </w:rPr>
            </w:pPr>
            <w:r>
              <w:rPr>
                <w:sz w:val="12"/>
                <w:szCs w:val="12"/>
                <w:b/>
                <w:bCs/>
                <w:spacing w:val="-3"/>
              </w:rPr>
              <w:t>及病虫害</w:t>
            </w:r>
          </w:p>
          <w:p>
            <w:pPr>
              <w:pStyle w:val="TableText"/>
              <w:ind w:left="131"/>
              <w:spacing w:before="16" w:line="219" w:lineRule="auto"/>
              <w:rPr>
                <w:sz w:val="12"/>
                <w:szCs w:val="12"/>
              </w:rPr>
            </w:pPr>
            <w:r>
              <w:rPr>
                <w:sz w:val="12"/>
                <w:szCs w:val="12"/>
                <w:b/>
                <w:bCs/>
                <w:spacing w:val="-3"/>
              </w:rPr>
              <w:t>分类</w:t>
            </w:r>
          </w:p>
        </w:tc>
        <w:tc>
          <w:tcPr>
            <w:tcW w:w="989" w:type="dxa"/>
            <w:vAlign w:val="top"/>
          </w:tcPr>
          <w:p>
            <w:pPr>
              <w:pStyle w:val="TableText"/>
              <w:ind w:left="181"/>
              <w:spacing w:before="248" w:line="219" w:lineRule="auto"/>
              <w:rPr>
                <w:sz w:val="12"/>
                <w:szCs w:val="12"/>
              </w:rPr>
            </w:pPr>
            <w:r>
              <w:rPr>
                <w:sz w:val="12"/>
                <w:szCs w:val="12"/>
                <w:b/>
                <w:bCs/>
                <w:spacing w:val="-3"/>
              </w:rPr>
              <w:t>常见病虫害</w:t>
            </w:r>
          </w:p>
        </w:tc>
        <w:tc>
          <w:tcPr>
            <w:tcW w:w="2578" w:type="dxa"/>
            <w:vAlign w:val="top"/>
          </w:tcPr>
          <w:p>
            <w:pPr>
              <w:pStyle w:val="TableText"/>
              <w:ind w:left="952"/>
              <w:spacing w:before="248" w:line="219" w:lineRule="auto"/>
              <w:rPr>
                <w:sz w:val="12"/>
                <w:szCs w:val="12"/>
              </w:rPr>
            </w:pPr>
            <w:r>
              <w:rPr>
                <w:sz w:val="12"/>
                <w:szCs w:val="12"/>
                <w:b/>
                <w:bCs/>
                <w:spacing w:val="-3"/>
              </w:rPr>
              <w:t>主要发病月份</w:t>
            </w:r>
          </w:p>
        </w:tc>
        <w:tc>
          <w:tcPr>
            <w:tcW w:w="1259" w:type="dxa"/>
            <w:vAlign w:val="top"/>
          </w:tcPr>
          <w:p>
            <w:pPr>
              <w:pStyle w:val="TableText"/>
              <w:ind w:left="384"/>
              <w:spacing w:before="248" w:line="220" w:lineRule="auto"/>
              <w:rPr>
                <w:sz w:val="12"/>
                <w:szCs w:val="12"/>
              </w:rPr>
            </w:pPr>
            <w:r>
              <w:rPr>
                <w:sz w:val="12"/>
                <w:szCs w:val="12"/>
                <w:b/>
                <w:bCs/>
                <w:spacing w:val="-3"/>
              </w:rPr>
              <w:t>药品名称</w:t>
            </w:r>
          </w:p>
        </w:tc>
        <w:tc>
          <w:tcPr>
            <w:tcW w:w="1899" w:type="dxa"/>
            <w:vAlign w:val="top"/>
          </w:tcPr>
          <w:p>
            <w:pPr>
              <w:pStyle w:val="TableText"/>
              <w:ind w:left="705"/>
              <w:spacing w:before="248" w:line="220" w:lineRule="auto"/>
              <w:rPr>
                <w:sz w:val="12"/>
                <w:szCs w:val="12"/>
              </w:rPr>
            </w:pPr>
            <w:r>
              <w:rPr>
                <w:sz w:val="12"/>
                <w:szCs w:val="12"/>
                <w:b/>
                <w:bCs/>
                <w:spacing w:val="-3"/>
              </w:rPr>
              <w:t>主要成分</w:t>
            </w:r>
          </w:p>
        </w:tc>
        <w:tc>
          <w:tcPr>
            <w:tcW w:w="1609" w:type="dxa"/>
            <w:vAlign w:val="top"/>
          </w:tcPr>
          <w:p>
            <w:pPr>
              <w:pStyle w:val="TableText"/>
              <w:ind w:left="556"/>
              <w:spacing w:before="248" w:line="219" w:lineRule="auto"/>
              <w:rPr>
                <w:sz w:val="12"/>
                <w:szCs w:val="12"/>
              </w:rPr>
            </w:pPr>
            <w:r>
              <w:rPr>
                <w:sz w:val="12"/>
                <w:szCs w:val="12"/>
                <w:b/>
                <w:bCs/>
                <w:spacing w:val="-3"/>
              </w:rPr>
              <w:t>使用标准</w:t>
            </w:r>
          </w:p>
        </w:tc>
        <w:tc>
          <w:tcPr>
            <w:tcW w:w="1529" w:type="dxa"/>
            <w:vAlign w:val="top"/>
          </w:tcPr>
          <w:p>
            <w:pPr>
              <w:pStyle w:val="TableText"/>
              <w:ind w:left="517"/>
              <w:spacing w:before="248" w:line="219" w:lineRule="auto"/>
              <w:rPr>
                <w:sz w:val="12"/>
                <w:szCs w:val="12"/>
              </w:rPr>
            </w:pPr>
            <w:r>
              <w:rPr>
                <w:sz w:val="12"/>
                <w:szCs w:val="12"/>
                <w:b/>
                <w:bCs/>
                <w:spacing w:val="-3"/>
              </w:rPr>
              <w:t>施用次数</w:t>
            </w:r>
          </w:p>
        </w:tc>
        <w:tc>
          <w:tcPr>
            <w:tcW w:w="709" w:type="dxa"/>
            <w:vAlign w:val="top"/>
          </w:tcPr>
          <w:p>
            <w:pPr>
              <w:pStyle w:val="TableText"/>
              <w:ind w:left="248"/>
              <w:spacing w:before="248" w:line="219" w:lineRule="auto"/>
              <w:rPr>
                <w:sz w:val="12"/>
                <w:szCs w:val="12"/>
              </w:rPr>
            </w:pPr>
            <w:r>
              <w:rPr>
                <w:sz w:val="12"/>
                <w:szCs w:val="12"/>
                <w:b/>
                <w:bCs/>
                <w:spacing w:val="-3"/>
              </w:rPr>
              <w:t>规格</w:t>
            </w:r>
          </w:p>
        </w:tc>
        <w:tc>
          <w:tcPr>
            <w:tcW w:w="2543" w:type="dxa"/>
            <w:vAlign w:val="top"/>
          </w:tcPr>
          <w:p>
            <w:pPr>
              <w:pStyle w:val="TableText"/>
              <w:ind w:left="1159"/>
              <w:spacing w:before="248" w:line="221" w:lineRule="auto"/>
              <w:rPr>
                <w:sz w:val="12"/>
                <w:szCs w:val="12"/>
              </w:rPr>
            </w:pPr>
            <w:r>
              <w:rPr>
                <w:sz w:val="12"/>
                <w:szCs w:val="12"/>
                <w:b/>
                <w:bCs/>
                <w:spacing w:val="-3"/>
              </w:rPr>
              <w:t>备注</w:t>
            </w:r>
          </w:p>
        </w:tc>
      </w:tr>
      <w:tr>
        <w:trPr>
          <w:trHeight w:val="300" w:hRule="atLeast"/>
        </w:trPr>
        <w:tc>
          <w:tcPr>
            <w:tcW w:w="425"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24"/>
              <w:spacing w:before="39" w:line="219" w:lineRule="auto"/>
              <w:rPr>
                <w:sz w:val="12"/>
                <w:szCs w:val="12"/>
              </w:rPr>
            </w:pPr>
            <w:r>
              <w:rPr>
                <w:sz w:val="12"/>
                <w:szCs w:val="12"/>
                <w:spacing w:val="-2"/>
              </w:rPr>
              <w:t>杀虫剂</w:t>
            </w:r>
          </w:p>
        </w:tc>
        <w:tc>
          <w:tcPr>
            <w:tcW w:w="530" w:type="dxa"/>
            <w:vAlign w:val="top"/>
            <w:vMerge w:val="restart"/>
            <w:tcBorders>
              <w:bottom w:val="nil"/>
            </w:tcBorders>
          </w:tcPr>
          <w:p>
            <w:pPr>
              <w:spacing w:line="364" w:lineRule="auto"/>
              <w:rPr>
                <w:rFonts w:ascii="Arial"/>
                <w:sz w:val="21"/>
              </w:rPr>
            </w:pPr>
            <w:r/>
          </w:p>
          <w:p>
            <w:pPr>
              <w:pStyle w:val="TableText"/>
              <w:ind w:left="10"/>
              <w:spacing w:before="39" w:line="219" w:lineRule="auto"/>
              <w:rPr>
                <w:sz w:val="12"/>
                <w:szCs w:val="12"/>
              </w:rPr>
            </w:pPr>
            <w:r>
              <w:rPr>
                <w:sz w:val="12"/>
                <w:szCs w:val="12"/>
                <w:spacing w:val="-1"/>
              </w:rPr>
              <w:t>刺吸害虫</w:t>
            </w:r>
          </w:p>
        </w:tc>
        <w:tc>
          <w:tcPr>
            <w:tcW w:w="989" w:type="dxa"/>
            <w:vAlign w:val="top"/>
            <w:vMerge w:val="restart"/>
            <w:tcBorders>
              <w:bottom w:val="nil"/>
            </w:tcBorders>
          </w:tcPr>
          <w:p>
            <w:pPr>
              <w:spacing w:line="275" w:lineRule="auto"/>
              <w:rPr>
                <w:rFonts w:ascii="Arial"/>
                <w:sz w:val="21"/>
              </w:rPr>
            </w:pPr>
            <w:r/>
          </w:p>
          <w:p>
            <w:pPr>
              <w:pStyle w:val="TableText"/>
              <w:spacing w:before="39" w:line="219" w:lineRule="auto"/>
              <w:rPr>
                <w:sz w:val="12"/>
                <w:szCs w:val="12"/>
              </w:rPr>
            </w:pPr>
            <w:r>
              <w:rPr>
                <w:sz w:val="12"/>
                <w:szCs w:val="12"/>
                <w:spacing w:val="-1"/>
              </w:rPr>
              <w:t>球坚蚧、腊蚧、粉</w:t>
            </w:r>
          </w:p>
          <w:p>
            <w:pPr>
              <w:pStyle w:val="TableText"/>
              <w:ind w:left="19"/>
              <w:spacing w:before="7" w:line="219" w:lineRule="auto"/>
              <w:rPr>
                <w:sz w:val="12"/>
                <w:szCs w:val="12"/>
              </w:rPr>
            </w:pPr>
            <w:r>
              <w:rPr>
                <w:sz w:val="12"/>
                <w:szCs w:val="12"/>
                <w:spacing w:val="-1"/>
              </w:rPr>
              <w:t>蚧，吹棉蚡、木函</w:t>
            </w:r>
          </w:p>
        </w:tc>
        <w:tc>
          <w:tcPr>
            <w:tcW w:w="2578" w:type="dxa"/>
            <w:vAlign w:val="top"/>
            <w:vMerge w:val="restart"/>
            <w:tcBorders>
              <w:bottom w:val="nil"/>
            </w:tcBorders>
          </w:tcPr>
          <w:p>
            <w:pPr>
              <w:pStyle w:val="TableText"/>
              <w:ind w:left="20" w:hanging="19"/>
              <w:spacing w:before="186" w:line="210" w:lineRule="auto"/>
              <w:rPr>
                <w:sz w:val="12"/>
                <w:szCs w:val="12"/>
              </w:rPr>
            </w:pPr>
            <w:r>
              <w:rPr>
                <w:sz w:val="12"/>
                <w:szCs w:val="12"/>
                <w:spacing w:val="-1"/>
              </w:rPr>
              <w:t>一、5-6月己经有成虫出现，是防治的关键时期，</w:t>
            </w:r>
            <w:r>
              <w:rPr>
                <w:sz w:val="12"/>
                <w:szCs w:val="12"/>
                <w:spacing w:val="8"/>
              </w:rPr>
              <w:t xml:space="preserve"> </w:t>
            </w:r>
            <w:r>
              <w:rPr>
                <w:sz w:val="12"/>
                <w:szCs w:val="12"/>
                <w:spacing w:val="-1"/>
              </w:rPr>
              <w:t>预防为主：</w:t>
            </w:r>
          </w:p>
          <w:p>
            <w:pPr>
              <w:pStyle w:val="TableText"/>
              <w:ind w:left="11"/>
              <w:spacing w:before="6" w:line="226" w:lineRule="auto"/>
              <w:rPr>
                <w:sz w:val="12"/>
                <w:szCs w:val="12"/>
              </w:rPr>
            </w:pPr>
            <w:r>
              <w:rPr>
                <w:sz w:val="12"/>
                <w:szCs w:val="12"/>
                <w:spacing w:val="-1"/>
              </w:rPr>
              <w:t>二，6-9月随时发生随时防治。有发现病情，</w:t>
            </w:r>
            <w:r>
              <w:rPr>
                <w:sz w:val="12"/>
                <w:szCs w:val="12"/>
                <w:spacing w:val="-2"/>
              </w:rPr>
              <w:t>及时</w:t>
            </w:r>
            <w:r>
              <w:rPr>
                <w:sz w:val="12"/>
                <w:szCs w:val="12"/>
              </w:rPr>
              <w:t xml:space="preserve"> </w:t>
            </w:r>
            <w:r>
              <w:rPr>
                <w:sz w:val="12"/>
                <w:szCs w:val="12"/>
                <w:spacing w:val="-1"/>
              </w:rPr>
              <w:t>喷药处理。</w:t>
            </w:r>
          </w:p>
        </w:tc>
        <w:tc>
          <w:tcPr>
            <w:tcW w:w="1259" w:type="dxa"/>
            <w:vAlign w:val="top"/>
          </w:tcPr>
          <w:p>
            <w:pPr>
              <w:pStyle w:val="TableText"/>
              <w:ind w:left="323"/>
              <w:spacing w:before="85" w:line="219" w:lineRule="auto"/>
              <w:rPr>
                <w:sz w:val="12"/>
                <w:szCs w:val="12"/>
              </w:rPr>
            </w:pPr>
            <w:r>
              <w:rPr>
                <w:sz w:val="12"/>
                <w:szCs w:val="12"/>
                <w:spacing w:val="2"/>
              </w:rPr>
              <w:t>国光蛤必治</w:t>
            </w:r>
          </w:p>
        </w:tc>
        <w:tc>
          <w:tcPr>
            <w:tcW w:w="1899" w:type="dxa"/>
            <w:vAlign w:val="top"/>
          </w:tcPr>
          <w:p>
            <w:pPr>
              <w:pStyle w:val="TableText"/>
              <w:ind w:left="313"/>
              <w:spacing w:before="85" w:line="219" w:lineRule="auto"/>
              <w:rPr>
                <w:sz w:val="12"/>
                <w:szCs w:val="12"/>
              </w:rPr>
            </w:pPr>
            <w:r>
              <w:rPr>
                <w:sz w:val="12"/>
                <w:szCs w:val="12"/>
                <w:spacing w:val="-5"/>
              </w:rPr>
              <w:t>40%啶虫脒</w:t>
            </w:r>
            <w:r>
              <w:rPr>
                <w:sz w:val="12"/>
                <w:szCs w:val="12"/>
                <w:spacing w:val="-6"/>
              </w:rPr>
              <w:t xml:space="preserve"> </w:t>
            </w:r>
            <w:r>
              <w:rPr>
                <w:sz w:val="12"/>
                <w:szCs w:val="12"/>
                <w:spacing w:val="-5"/>
              </w:rPr>
              <w:t>·毒死蚌乳油</w:t>
            </w:r>
          </w:p>
        </w:tc>
        <w:tc>
          <w:tcPr>
            <w:tcW w:w="1609" w:type="dxa"/>
            <w:vAlign w:val="top"/>
          </w:tcPr>
          <w:p>
            <w:pPr>
              <w:pStyle w:val="TableText"/>
              <w:ind w:left="285"/>
              <w:spacing w:before="85" w:line="219" w:lineRule="auto"/>
              <w:rPr>
                <w:sz w:val="12"/>
                <w:szCs w:val="12"/>
              </w:rPr>
            </w:pPr>
            <w:r>
              <w:rPr>
                <w:sz w:val="12"/>
                <w:szCs w:val="12"/>
                <w:spacing w:val="-1"/>
              </w:rPr>
              <w:t>稀释2000-3000倍液</w:t>
            </w:r>
          </w:p>
        </w:tc>
        <w:tc>
          <w:tcPr>
            <w:tcW w:w="1529" w:type="dxa"/>
            <w:vAlign w:val="top"/>
            <w:vMerge w:val="restart"/>
            <w:tcBorders>
              <w:bottom w:val="nil"/>
            </w:tcBorders>
          </w:tcPr>
          <w:p>
            <w:pPr>
              <w:spacing w:line="284" w:lineRule="auto"/>
              <w:rPr>
                <w:rFonts w:ascii="Arial"/>
                <w:sz w:val="21"/>
              </w:rPr>
            </w:pPr>
            <w:r/>
          </w:p>
          <w:p>
            <w:pPr>
              <w:pStyle w:val="TableText"/>
              <w:ind w:left="34" w:right="19" w:hanging="29"/>
              <w:spacing w:before="39" w:line="264" w:lineRule="auto"/>
              <w:rPr>
                <w:sz w:val="12"/>
                <w:szCs w:val="12"/>
              </w:rPr>
            </w:pPr>
            <w:r>
              <w:rPr>
                <w:sz w:val="12"/>
                <w:szCs w:val="12"/>
                <w:spacing w:val="-1"/>
              </w:rPr>
              <w:t>一般用3次，时间间隔7到10[</w:t>
            </w:r>
            <w:r>
              <w:rPr>
                <w:sz w:val="12"/>
                <w:szCs w:val="12"/>
                <w:spacing w:val="7"/>
              </w:rPr>
              <w:t xml:space="preserve"> </w:t>
            </w:r>
            <w:r>
              <w:rPr>
                <w:sz w:val="12"/>
                <w:szCs w:val="12"/>
                <w:spacing w:val="-1"/>
              </w:rPr>
              <w:t>天。视现场情况可增加次数</w:t>
            </w:r>
          </w:p>
        </w:tc>
        <w:tc>
          <w:tcPr>
            <w:tcW w:w="709" w:type="dxa"/>
            <w:vAlign w:val="top"/>
          </w:tcPr>
          <w:p>
            <w:pPr>
              <w:pStyle w:val="TableText"/>
              <w:ind w:left="257"/>
              <w:spacing w:before="81" w:line="214" w:lineRule="auto"/>
              <w:rPr>
                <w:sz w:val="12"/>
                <w:szCs w:val="12"/>
              </w:rPr>
            </w:pPr>
            <w:r>
              <w:rPr>
                <w:sz w:val="12"/>
                <w:szCs w:val="12"/>
                <w:spacing w:val="-1"/>
              </w:rPr>
              <w:t>200g/瓶</w:t>
            </w:r>
          </w:p>
        </w:tc>
        <w:tc>
          <w:tcPr>
            <w:tcW w:w="2543" w:type="dxa"/>
            <w:vAlign w:val="top"/>
          </w:tcPr>
          <w:p>
            <w:pPr>
              <w:pStyle w:val="TableText"/>
              <w:ind w:left="17"/>
              <w:spacing w:before="85" w:line="219" w:lineRule="auto"/>
              <w:rPr>
                <w:sz w:val="12"/>
                <w:szCs w:val="12"/>
              </w:rPr>
            </w:pPr>
            <w:r>
              <w:rPr>
                <w:sz w:val="12"/>
                <w:szCs w:val="12"/>
                <w:spacing w:val="-1"/>
              </w:rPr>
              <w:t>专杀介壳虫，食叶类害虫，地下害虫</w:t>
            </w:r>
          </w:p>
        </w:tc>
      </w:tr>
      <w:tr>
        <w:trPr>
          <w:trHeight w:val="30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86" w:line="220" w:lineRule="auto"/>
              <w:rPr>
                <w:sz w:val="12"/>
                <w:szCs w:val="12"/>
              </w:rPr>
            </w:pPr>
            <w:r>
              <w:rPr>
                <w:sz w:val="12"/>
                <w:szCs w:val="12"/>
                <w:spacing w:val="1"/>
              </w:rPr>
              <w:t>中威捕捉手</w:t>
            </w:r>
          </w:p>
        </w:tc>
        <w:tc>
          <w:tcPr>
            <w:tcW w:w="1899" w:type="dxa"/>
            <w:vAlign w:val="top"/>
          </w:tcPr>
          <w:p>
            <w:pPr>
              <w:pStyle w:val="TableText"/>
              <w:ind w:left="493"/>
              <w:spacing w:before="85" w:line="219" w:lineRule="auto"/>
              <w:rPr>
                <w:sz w:val="12"/>
                <w:szCs w:val="12"/>
              </w:rPr>
            </w:pPr>
            <w:r>
              <w:rPr>
                <w:sz w:val="12"/>
                <w:szCs w:val="12"/>
                <w:spacing w:val="-6"/>
              </w:rPr>
              <w:t>高氧</w:t>
            </w:r>
            <w:r>
              <w:rPr>
                <w:sz w:val="12"/>
                <w:szCs w:val="12"/>
                <w:spacing w:val="-15"/>
              </w:rPr>
              <w:t xml:space="preserve"> </w:t>
            </w:r>
            <w:r>
              <w:rPr>
                <w:sz w:val="12"/>
                <w:szCs w:val="12"/>
                <w:spacing w:val="-6"/>
              </w:rPr>
              <w:t>·毒死螂15%</w:t>
            </w:r>
          </w:p>
        </w:tc>
        <w:tc>
          <w:tcPr>
            <w:tcW w:w="1609" w:type="dxa"/>
            <w:vAlign w:val="top"/>
          </w:tcPr>
          <w:p>
            <w:pPr>
              <w:pStyle w:val="TableText"/>
              <w:ind w:left="405"/>
              <w:spacing w:before="86" w:line="220" w:lineRule="auto"/>
              <w:rPr>
                <w:sz w:val="12"/>
                <w:szCs w:val="12"/>
              </w:rPr>
            </w:pPr>
            <w:r>
              <w:rPr>
                <w:sz w:val="12"/>
                <w:szCs w:val="12"/>
                <w:spacing w:val="-2"/>
              </w:rPr>
              <w:t>1000-1500倍液</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97"/>
              <w:spacing w:before="86" w:line="221" w:lineRule="auto"/>
              <w:rPr>
                <w:sz w:val="12"/>
                <w:szCs w:val="12"/>
              </w:rPr>
            </w:pPr>
            <w:r>
              <w:rPr>
                <w:sz w:val="12"/>
                <w:szCs w:val="12"/>
                <w:spacing w:val="-1"/>
              </w:rPr>
              <w:t>200ml/瓶</w:t>
            </w:r>
          </w:p>
        </w:tc>
        <w:tc>
          <w:tcPr>
            <w:tcW w:w="2543" w:type="dxa"/>
            <w:vAlign w:val="top"/>
          </w:tcPr>
          <w:p>
            <w:pPr>
              <w:pStyle w:val="TableText"/>
              <w:ind w:left="17"/>
              <w:spacing w:before="5" w:line="210" w:lineRule="auto"/>
              <w:rPr>
                <w:sz w:val="12"/>
                <w:szCs w:val="12"/>
              </w:rPr>
            </w:pPr>
            <w:r>
              <w:rPr>
                <w:sz w:val="12"/>
                <w:szCs w:val="12"/>
                <w:spacing w:val="-1"/>
              </w:rPr>
              <w:t>主整防治蚡壳虫成虫、斑潜蝇及鳞翅日幼虫、飞</w:t>
            </w:r>
            <w:r>
              <w:rPr>
                <w:sz w:val="12"/>
                <w:szCs w:val="12"/>
                <w:spacing w:val="14"/>
              </w:rPr>
              <w:t xml:space="preserve"> </w:t>
            </w:r>
            <w:r>
              <w:rPr>
                <w:sz w:val="12"/>
                <w:szCs w:val="12"/>
                <w:spacing w:val="-2"/>
              </w:rPr>
              <w:t>虱等</w:t>
            </w:r>
          </w:p>
        </w:tc>
      </w:tr>
      <w:tr>
        <w:trPr>
          <w:trHeight w:val="31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59" w:type="dxa"/>
            <w:vAlign w:val="top"/>
          </w:tcPr>
          <w:p>
            <w:pPr>
              <w:pStyle w:val="TableText"/>
              <w:ind w:left="262"/>
              <w:spacing w:before="95" w:line="219" w:lineRule="auto"/>
              <w:rPr>
                <w:sz w:val="12"/>
                <w:szCs w:val="12"/>
              </w:rPr>
            </w:pPr>
            <w:r>
              <w:rPr>
                <w:sz w:val="12"/>
                <w:szCs w:val="12"/>
                <w:spacing w:val="-1"/>
              </w:rPr>
              <w:t>诺蒈信速介清</w:t>
            </w:r>
          </w:p>
        </w:tc>
        <w:tc>
          <w:tcPr>
            <w:tcW w:w="1899" w:type="dxa"/>
            <w:vAlign w:val="top"/>
          </w:tcPr>
          <w:p>
            <w:pPr>
              <w:pStyle w:val="TableText"/>
              <w:ind w:left="674"/>
              <w:spacing w:before="95" w:line="219" w:lineRule="auto"/>
              <w:rPr>
                <w:sz w:val="12"/>
                <w:szCs w:val="12"/>
              </w:rPr>
            </w:pPr>
            <w:r>
              <w:rPr>
                <w:sz w:val="12"/>
                <w:szCs w:val="12"/>
                <w:spacing w:val="-2"/>
              </w:rPr>
              <w:t>杀扑磷40%</w:t>
            </w:r>
          </w:p>
        </w:tc>
        <w:tc>
          <w:tcPr>
            <w:tcW w:w="1609" w:type="dxa"/>
            <w:vAlign w:val="top"/>
          </w:tcPr>
          <w:p>
            <w:pPr>
              <w:pStyle w:val="TableText"/>
              <w:ind w:left="465"/>
              <w:spacing w:before="96" w:line="220" w:lineRule="auto"/>
              <w:rPr>
                <w:sz w:val="12"/>
                <w:szCs w:val="12"/>
              </w:rPr>
            </w:pPr>
            <w:r>
              <w:rPr>
                <w:sz w:val="12"/>
                <w:szCs w:val="12"/>
                <w:spacing w:val="-5"/>
              </w:rPr>
              <w:t>1000—1500倍</w:t>
            </w:r>
          </w:p>
        </w:tc>
        <w:tc>
          <w:tcPr>
            <w:tcW w:w="1529" w:type="dxa"/>
            <w:vAlign w:val="top"/>
            <w:vMerge w:val="continue"/>
            <w:tcBorders>
              <w:top w:val="nil"/>
            </w:tcBorders>
          </w:tcPr>
          <w:p>
            <w:pPr>
              <w:rPr>
                <w:rFonts w:ascii="Arial"/>
                <w:sz w:val="21"/>
              </w:rPr>
            </w:pPr>
            <w:r/>
          </w:p>
        </w:tc>
        <w:tc>
          <w:tcPr>
            <w:tcW w:w="709" w:type="dxa"/>
            <w:vAlign w:val="top"/>
          </w:tcPr>
          <w:p>
            <w:pPr>
              <w:pStyle w:val="TableText"/>
              <w:ind w:left="137"/>
              <w:spacing w:before="96" w:line="221" w:lineRule="auto"/>
              <w:rPr>
                <w:sz w:val="12"/>
                <w:szCs w:val="12"/>
              </w:rPr>
            </w:pPr>
            <w:r>
              <w:rPr>
                <w:sz w:val="12"/>
                <w:szCs w:val="12"/>
                <w:spacing w:val="-2"/>
              </w:rPr>
              <w:t>1000ml/瓶</w:t>
            </w:r>
          </w:p>
        </w:tc>
        <w:tc>
          <w:tcPr>
            <w:tcW w:w="2543" w:type="dxa"/>
            <w:vAlign w:val="top"/>
          </w:tcPr>
          <w:p>
            <w:pPr>
              <w:pStyle w:val="TableText"/>
              <w:spacing w:before="95" w:line="219" w:lineRule="auto"/>
              <w:jc w:val="right"/>
              <w:rPr>
                <w:sz w:val="12"/>
                <w:szCs w:val="12"/>
              </w:rPr>
            </w:pPr>
            <w:r>
              <w:rPr>
                <w:sz w:val="12"/>
                <w:szCs w:val="12"/>
                <w:spacing w:val="-1"/>
              </w:rPr>
              <w:t>杀灭介壳虫，活性高。但是高毒注意咬药保护，</w:t>
            </w:r>
          </w:p>
        </w:tc>
      </w:tr>
      <w:tr>
        <w:trPr>
          <w:trHeight w:val="300" w:hRule="atLeast"/>
        </w:trPr>
        <w:tc>
          <w:tcPr>
            <w:tcW w:w="425" w:type="dxa"/>
            <w:vAlign w:val="top"/>
            <w:vMerge w:val="continue"/>
            <w:tcBorders>
              <w:top w:val="nil"/>
              <w:bottom w:val="nil"/>
            </w:tcBorders>
          </w:tcPr>
          <w:p>
            <w:pPr>
              <w:rPr>
                <w:rFonts w:ascii="Arial"/>
                <w:sz w:val="21"/>
              </w:rPr>
            </w:pPr>
            <w:r/>
          </w:p>
        </w:tc>
        <w:tc>
          <w:tcPr>
            <w:tcW w:w="530" w:type="dxa"/>
            <w:vAlign w:val="top"/>
            <w:vMerge w:val="restart"/>
            <w:tcBorders>
              <w:bottom w:val="nil"/>
            </w:tcBorders>
          </w:tcPr>
          <w:p>
            <w:pPr>
              <w:spacing w:line="414" w:lineRule="auto"/>
              <w:rPr>
                <w:rFonts w:ascii="Arial"/>
                <w:sz w:val="21"/>
              </w:rPr>
            </w:pPr>
            <w:r/>
          </w:p>
          <w:p>
            <w:pPr>
              <w:pStyle w:val="TableText"/>
              <w:ind w:left="10"/>
              <w:spacing w:before="39" w:line="219" w:lineRule="auto"/>
              <w:rPr>
                <w:sz w:val="12"/>
                <w:szCs w:val="12"/>
              </w:rPr>
            </w:pPr>
            <w:r>
              <w:rPr>
                <w:sz w:val="12"/>
                <w:szCs w:val="12"/>
                <w:spacing w:val="-1"/>
              </w:rPr>
              <w:t>刺吸害虫</w:t>
            </w:r>
          </w:p>
        </w:tc>
        <w:tc>
          <w:tcPr>
            <w:tcW w:w="989" w:type="dxa"/>
            <w:vAlign w:val="top"/>
          </w:tcPr>
          <w:p>
            <w:pPr>
              <w:pStyle w:val="TableText"/>
              <w:ind w:left="9" w:right="133"/>
              <w:spacing w:before="5" w:line="210" w:lineRule="auto"/>
              <w:rPr>
                <w:sz w:val="12"/>
                <w:szCs w:val="12"/>
              </w:rPr>
            </w:pPr>
            <w:r>
              <w:rPr>
                <w:sz w:val="12"/>
                <w:szCs w:val="12"/>
                <w:spacing w:val="-1"/>
              </w:rPr>
              <w:t>蚜虫类、大青叶</w:t>
            </w:r>
            <w:r>
              <w:rPr>
                <w:sz w:val="12"/>
                <w:szCs w:val="12"/>
                <w:spacing w:val="1"/>
              </w:rPr>
              <w:t xml:space="preserve"> </w:t>
            </w:r>
            <w:r>
              <w:rPr>
                <w:sz w:val="12"/>
                <w:szCs w:val="12"/>
                <w:spacing w:val="-1"/>
              </w:rPr>
              <w:t>鲜，椿象类</w:t>
            </w:r>
          </w:p>
        </w:tc>
        <w:tc>
          <w:tcPr>
            <w:tcW w:w="2578" w:type="dxa"/>
            <w:vAlign w:val="top"/>
            <w:vMerge w:val="restart"/>
            <w:tcBorders>
              <w:bottom w:val="nil"/>
            </w:tcBorders>
          </w:tcPr>
          <w:p>
            <w:pPr>
              <w:spacing w:line="414" w:lineRule="auto"/>
              <w:rPr>
                <w:rFonts w:ascii="Arial"/>
                <w:sz w:val="21"/>
              </w:rPr>
            </w:pPr>
            <w:r/>
          </w:p>
          <w:p>
            <w:pPr>
              <w:pStyle w:val="TableText"/>
              <w:ind w:left="1"/>
              <w:spacing w:before="39" w:line="219" w:lineRule="auto"/>
              <w:rPr>
                <w:sz w:val="12"/>
                <w:szCs w:val="12"/>
              </w:rPr>
            </w:pPr>
            <w:r>
              <w:rPr>
                <w:sz w:val="12"/>
                <w:szCs w:val="12"/>
              </w:rPr>
              <w:t>5-9月均与发生。</w:t>
            </w:r>
          </w:p>
        </w:tc>
        <w:tc>
          <w:tcPr>
            <w:tcW w:w="1259" w:type="dxa"/>
            <w:vAlign w:val="top"/>
          </w:tcPr>
          <w:p>
            <w:pPr>
              <w:pStyle w:val="TableText"/>
              <w:ind w:left="383"/>
              <w:spacing w:before="86" w:line="219" w:lineRule="auto"/>
              <w:rPr>
                <w:sz w:val="12"/>
                <w:szCs w:val="12"/>
              </w:rPr>
            </w:pPr>
            <w:r>
              <w:rPr>
                <w:sz w:val="12"/>
                <w:szCs w:val="12"/>
                <w:spacing w:val="1"/>
              </w:rPr>
              <w:t>国光毙克</w:t>
            </w:r>
          </w:p>
        </w:tc>
        <w:tc>
          <w:tcPr>
            <w:tcW w:w="1899" w:type="dxa"/>
            <w:vAlign w:val="top"/>
          </w:tcPr>
          <w:p>
            <w:pPr>
              <w:pStyle w:val="TableText"/>
              <w:ind w:left="674"/>
              <w:spacing w:before="86" w:line="219" w:lineRule="auto"/>
              <w:rPr>
                <w:sz w:val="12"/>
                <w:szCs w:val="12"/>
              </w:rPr>
            </w:pPr>
            <w:r>
              <w:rPr>
                <w:sz w:val="12"/>
                <w:szCs w:val="12"/>
                <w:spacing w:val="-2"/>
              </w:rPr>
              <w:t>10M壮虫啉</w:t>
            </w:r>
          </w:p>
        </w:tc>
        <w:tc>
          <w:tcPr>
            <w:tcW w:w="1609" w:type="dxa"/>
            <w:vAlign w:val="top"/>
          </w:tcPr>
          <w:p>
            <w:pPr>
              <w:pStyle w:val="TableText"/>
              <w:ind w:left="285"/>
              <w:spacing w:before="86" w:line="219" w:lineRule="auto"/>
              <w:rPr>
                <w:sz w:val="12"/>
                <w:szCs w:val="12"/>
              </w:rPr>
            </w:pPr>
            <w:r>
              <w:rPr>
                <w:sz w:val="12"/>
                <w:szCs w:val="12"/>
                <w:spacing w:val="-1"/>
              </w:rPr>
              <w:t>稀释1000-1500倍液</w:t>
            </w:r>
          </w:p>
        </w:tc>
        <w:tc>
          <w:tcPr>
            <w:tcW w:w="1529" w:type="dxa"/>
            <w:vAlign w:val="top"/>
            <w:vMerge w:val="restart"/>
            <w:tcBorders>
              <w:bottom w:val="nil"/>
            </w:tcBorders>
          </w:tcPr>
          <w:p>
            <w:pPr>
              <w:spacing w:line="334" w:lineRule="auto"/>
              <w:rPr>
                <w:rFonts w:ascii="Arial"/>
                <w:sz w:val="21"/>
              </w:rPr>
            </w:pPr>
            <w:r/>
          </w:p>
          <w:p>
            <w:pPr>
              <w:pStyle w:val="TableText"/>
              <w:ind w:left="35" w:right="49"/>
              <w:spacing w:before="39" w:line="248" w:lineRule="auto"/>
              <w:rPr>
                <w:sz w:val="12"/>
                <w:szCs w:val="12"/>
              </w:rPr>
            </w:pPr>
            <w:r>
              <w:rPr>
                <w:sz w:val="12"/>
                <w:szCs w:val="12"/>
                <w:spacing w:val="-1"/>
              </w:rPr>
              <w:t>一般用3次，时间间隔7到10</w:t>
            </w:r>
            <w:r>
              <w:rPr>
                <w:sz w:val="12"/>
                <w:szCs w:val="12"/>
                <w:spacing w:val="6"/>
              </w:rPr>
              <w:t xml:space="preserve"> </w:t>
            </w:r>
            <w:r>
              <w:rPr>
                <w:sz w:val="12"/>
                <w:szCs w:val="12"/>
                <w:spacing w:val="-1"/>
              </w:rPr>
              <w:t>天，视现场情况可增加次数</w:t>
            </w:r>
          </w:p>
        </w:tc>
        <w:tc>
          <w:tcPr>
            <w:tcW w:w="709" w:type="dxa"/>
            <w:vAlign w:val="top"/>
          </w:tcPr>
          <w:p>
            <w:pPr>
              <w:pStyle w:val="TableText"/>
              <w:ind w:left="317"/>
              <w:spacing w:before="81" w:line="214" w:lineRule="auto"/>
              <w:rPr>
                <w:sz w:val="12"/>
                <w:szCs w:val="12"/>
              </w:rPr>
            </w:pPr>
            <w:r>
              <w:rPr>
                <w:sz w:val="12"/>
                <w:szCs w:val="12"/>
                <w:spacing w:val="-2"/>
              </w:rPr>
              <w:t>10g/袋</w:t>
            </w:r>
          </w:p>
        </w:tc>
        <w:tc>
          <w:tcPr>
            <w:tcW w:w="2543" w:type="dxa"/>
            <w:vAlign w:val="top"/>
          </w:tcPr>
          <w:p>
            <w:pPr>
              <w:pStyle w:val="TableText"/>
              <w:ind w:left="17"/>
              <w:spacing w:before="86" w:line="219" w:lineRule="auto"/>
              <w:rPr>
                <w:sz w:val="12"/>
                <w:szCs w:val="12"/>
              </w:rPr>
            </w:pPr>
            <w:r>
              <w:rPr>
                <w:sz w:val="12"/>
                <w:szCs w:val="12"/>
                <w:spacing w:val="-1"/>
              </w:rPr>
              <w:t>杀蚜虫、飞弘等害虫</w:t>
            </w:r>
          </w:p>
        </w:tc>
      </w:tr>
      <w:tr>
        <w:trPr>
          <w:trHeight w:val="36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restart"/>
            <w:tcBorders>
              <w:bottom w:val="nil"/>
            </w:tcBorders>
          </w:tcPr>
          <w:p>
            <w:pPr>
              <w:spacing w:line="265" w:lineRule="auto"/>
              <w:rPr>
                <w:rFonts w:ascii="Arial"/>
                <w:sz w:val="21"/>
              </w:rPr>
            </w:pPr>
            <w:r/>
          </w:p>
          <w:p>
            <w:pPr>
              <w:pStyle w:val="TableText"/>
              <w:ind w:left="300"/>
              <w:spacing w:before="39" w:line="219" w:lineRule="auto"/>
              <w:rPr>
                <w:sz w:val="12"/>
                <w:szCs w:val="12"/>
              </w:rPr>
            </w:pPr>
            <w:r>
              <w:rPr>
                <w:sz w:val="12"/>
                <w:szCs w:val="12"/>
                <w:spacing w:val="-3"/>
              </w:rPr>
              <w:t>叶蜻类</w:t>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202"/>
              <w:spacing w:before="115" w:line="219" w:lineRule="auto"/>
              <w:rPr>
                <w:sz w:val="12"/>
                <w:szCs w:val="12"/>
              </w:rPr>
            </w:pPr>
            <w:r>
              <w:rPr>
                <w:sz w:val="12"/>
                <w:szCs w:val="12"/>
                <w:spacing w:val="1"/>
              </w:rPr>
              <w:t>中威壮美杀炳剂</w:t>
            </w:r>
          </w:p>
        </w:tc>
        <w:tc>
          <w:tcPr>
            <w:tcW w:w="1899" w:type="dxa"/>
            <w:vAlign w:val="top"/>
          </w:tcPr>
          <w:p>
            <w:pPr>
              <w:pStyle w:val="TableText"/>
              <w:ind w:left="493"/>
              <w:spacing w:before="116" w:line="220" w:lineRule="auto"/>
              <w:rPr>
                <w:sz w:val="12"/>
                <w:szCs w:val="12"/>
              </w:rPr>
            </w:pPr>
            <w:r>
              <w:rPr>
                <w:sz w:val="12"/>
                <w:szCs w:val="12"/>
                <w:spacing w:val="-6"/>
              </w:rPr>
              <w:t>3.2阿维</w:t>
            </w:r>
            <w:r>
              <w:rPr>
                <w:sz w:val="12"/>
                <w:szCs w:val="12"/>
                <w:spacing w:val="-15"/>
              </w:rPr>
              <w:t xml:space="preserve"> </w:t>
            </w:r>
            <w:r>
              <w:rPr>
                <w:sz w:val="12"/>
                <w:szCs w:val="12"/>
                <w:spacing w:val="-6"/>
              </w:rPr>
              <w:t>·哒瞒灵</w:t>
            </w:r>
          </w:p>
        </w:tc>
        <w:tc>
          <w:tcPr>
            <w:tcW w:w="1609" w:type="dxa"/>
            <w:vAlign w:val="top"/>
          </w:tcPr>
          <w:p>
            <w:pPr>
              <w:pStyle w:val="TableText"/>
              <w:ind w:left="405"/>
              <w:spacing w:before="116" w:line="220" w:lineRule="auto"/>
              <w:rPr>
                <w:sz w:val="12"/>
                <w:szCs w:val="12"/>
              </w:rPr>
            </w:pPr>
            <w:r>
              <w:rPr>
                <w:sz w:val="12"/>
                <w:szCs w:val="12"/>
                <w:spacing w:val="-2"/>
              </w:rPr>
              <w:t>1000-1500倍液</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197"/>
              <w:spacing w:before="116" w:line="221" w:lineRule="auto"/>
              <w:rPr>
                <w:sz w:val="12"/>
                <w:szCs w:val="12"/>
              </w:rPr>
            </w:pPr>
            <w:r>
              <w:rPr>
                <w:sz w:val="12"/>
                <w:szCs w:val="12"/>
                <w:spacing w:val="-1"/>
              </w:rPr>
              <w:t>200ml/瓶</w:t>
            </w:r>
          </w:p>
        </w:tc>
        <w:tc>
          <w:tcPr>
            <w:tcW w:w="2543" w:type="dxa"/>
            <w:vAlign w:val="top"/>
          </w:tcPr>
          <w:p>
            <w:pPr>
              <w:pStyle w:val="TableText"/>
              <w:ind w:left="17"/>
              <w:spacing w:before="64" w:line="211" w:lineRule="auto"/>
              <w:rPr>
                <w:sz w:val="12"/>
                <w:szCs w:val="12"/>
              </w:rPr>
            </w:pPr>
            <w:r>
              <w:rPr>
                <w:sz w:val="12"/>
                <w:szCs w:val="12"/>
                <w:spacing w:val="-1"/>
              </w:rPr>
              <w:t>对红蜘蛛、白蜘蛛及抗性蜗类害虫有橙强的杀灭</w:t>
            </w:r>
            <w:r>
              <w:rPr>
                <w:sz w:val="12"/>
                <w:szCs w:val="12"/>
                <w:spacing w:val="15"/>
              </w:rPr>
              <w:t xml:space="preserve"> </w:t>
            </w:r>
            <w:r>
              <w:rPr>
                <w:sz w:val="12"/>
                <w:szCs w:val="12"/>
                <w:spacing w:val="-2"/>
              </w:rPr>
              <w:t>作用</w:t>
            </w:r>
          </w:p>
        </w:tc>
      </w:tr>
      <w:tr>
        <w:trPr>
          <w:trHeight w:val="35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59" w:type="dxa"/>
            <w:vAlign w:val="top"/>
          </w:tcPr>
          <w:p>
            <w:pPr>
              <w:pStyle w:val="TableText"/>
              <w:ind w:left="323"/>
              <w:spacing w:before="115" w:line="219" w:lineRule="auto"/>
              <w:rPr>
                <w:sz w:val="12"/>
                <w:szCs w:val="12"/>
              </w:rPr>
            </w:pPr>
            <w:r>
              <w:rPr>
                <w:sz w:val="12"/>
                <w:szCs w:val="12"/>
                <w:spacing w:val="-1"/>
              </w:rPr>
              <w:t>政死可红杀</w:t>
            </w:r>
          </w:p>
        </w:tc>
        <w:tc>
          <w:tcPr>
            <w:tcW w:w="1899" w:type="dxa"/>
            <w:vAlign w:val="top"/>
          </w:tcPr>
          <w:p>
            <w:pPr>
              <w:pStyle w:val="TableText"/>
              <w:ind w:left="493"/>
              <w:spacing w:before="115" w:line="219" w:lineRule="auto"/>
              <w:rPr>
                <w:sz w:val="12"/>
                <w:szCs w:val="12"/>
              </w:rPr>
            </w:pPr>
            <w:r>
              <w:rPr>
                <w:sz w:val="12"/>
                <w:szCs w:val="12"/>
              </w:rPr>
              <w:t>105苯丁锡哒瞒灵</w:t>
            </w:r>
          </w:p>
        </w:tc>
        <w:tc>
          <w:tcPr>
            <w:tcW w:w="1609" w:type="dxa"/>
            <w:vAlign w:val="top"/>
          </w:tcPr>
          <w:p>
            <w:pPr>
              <w:pStyle w:val="TableText"/>
              <w:ind w:left="465"/>
              <w:spacing w:before="116" w:line="220" w:lineRule="auto"/>
              <w:rPr>
                <w:sz w:val="12"/>
                <w:szCs w:val="12"/>
              </w:rPr>
            </w:pPr>
            <w:r>
              <w:rPr>
                <w:sz w:val="12"/>
                <w:szCs w:val="12"/>
                <w:spacing w:val="-2"/>
              </w:rPr>
              <w:t>1000-1500倍</w:t>
            </w:r>
          </w:p>
        </w:tc>
        <w:tc>
          <w:tcPr>
            <w:tcW w:w="1529" w:type="dxa"/>
            <w:vAlign w:val="top"/>
            <w:vMerge w:val="continue"/>
            <w:tcBorders>
              <w:top w:val="nil"/>
            </w:tcBorders>
          </w:tcPr>
          <w:p>
            <w:pPr>
              <w:rPr>
                <w:rFonts w:ascii="Arial"/>
                <w:sz w:val="21"/>
              </w:rPr>
            </w:pPr>
            <w:r/>
          </w:p>
        </w:tc>
        <w:tc>
          <w:tcPr>
            <w:tcW w:w="709" w:type="dxa"/>
            <w:vAlign w:val="top"/>
          </w:tcPr>
          <w:p>
            <w:pPr>
              <w:pStyle w:val="TableText"/>
              <w:ind w:left="137"/>
              <w:spacing w:before="116" w:line="221" w:lineRule="auto"/>
              <w:rPr>
                <w:sz w:val="12"/>
                <w:szCs w:val="12"/>
              </w:rPr>
            </w:pPr>
            <w:r>
              <w:rPr>
                <w:sz w:val="12"/>
                <w:szCs w:val="12"/>
                <w:spacing w:val="-2"/>
              </w:rPr>
              <w:t>1000ml/瓶</w:t>
            </w:r>
          </w:p>
        </w:tc>
        <w:tc>
          <w:tcPr>
            <w:tcW w:w="2543" w:type="dxa"/>
            <w:vAlign w:val="top"/>
          </w:tcPr>
          <w:p>
            <w:pPr>
              <w:pStyle w:val="TableText"/>
              <w:ind w:left="17"/>
              <w:spacing w:before="115" w:line="219" w:lineRule="auto"/>
              <w:rPr>
                <w:sz w:val="12"/>
                <w:szCs w:val="12"/>
              </w:rPr>
            </w:pPr>
            <w:r>
              <w:rPr>
                <w:sz w:val="12"/>
                <w:szCs w:val="12"/>
                <w:spacing w:val="-1"/>
              </w:rPr>
              <w:t>红蜘蛛、白鲍蛛，锈蜘蛛</w:t>
            </w:r>
          </w:p>
        </w:tc>
      </w:tr>
      <w:tr>
        <w:trPr>
          <w:trHeight w:val="330" w:hRule="atLeast"/>
        </w:trPr>
        <w:tc>
          <w:tcPr>
            <w:tcW w:w="425" w:type="dxa"/>
            <w:vAlign w:val="top"/>
            <w:vMerge w:val="continue"/>
            <w:tcBorders>
              <w:top w:val="nil"/>
              <w:bottom w:val="nil"/>
            </w:tcBorders>
          </w:tcPr>
          <w:p>
            <w:pPr>
              <w:rPr>
                <w:rFonts w:ascii="Arial"/>
                <w:sz w:val="21"/>
              </w:rPr>
            </w:pPr>
            <w:r/>
          </w:p>
        </w:tc>
        <w:tc>
          <w:tcPr>
            <w:tcW w:w="530" w:type="dxa"/>
            <w:vAlign w:val="top"/>
            <w:vMerge w:val="restart"/>
            <w:tcBorders>
              <w:bottom w:val="nil"/>
            </w:tcBorders>
          </w:tcPr>
          <w:p>
            <w:pPr>
              <w:spacing w:line="276" w:lineRule="auto"/>
              <w:rPr>
                <w:rFonts w:ascii="Arial"/>
                <w:sz w:val="21"/>
              </w:rPr>
            </w:pPr>
            <w:r/>
          </w:p>
          <w:p>
            <w:pPr>
              <w:spacing w:line="277" w:lineRule="auto"/>
              <w:rPr>
                <w:rFonts w:ascii="Arial"/>
                <w:sz w:val="21"/>
              </w:rPr>
            </w:pPr>
            <w:r/>
          </w:p>
          <w:p>
            <w:pPr>
              <w:pStyle w:val="TableText"/>
              <w:ind w:left="10"/>
              <w:spacing w:before="39" w:line="219" w:lineRule="auto"/>
              <w:rPr>
                <w:sz w:val="12"/>
                <w:szCs w:val="12"/>
              </w:rPr>
            </w:pPr>
            <w:r>
              <w:rPr>
                <w:sz w:val="12"/>
                <w:szCs w:val="12"/>
                <w:spacing w:val="-1"/>
              </w:rPr>
              <w:t>蛀干害虫</w:t>
            </w:r>
          </w:p>
        </w:tc>
        <w:tc>
          <w:tcPr>
            <w:tcW w:w="989" w:type="dxa"/>
            <w:vAlign w:val="top"/>
            <w:vMerge w:val="restart"/>
            <w:tcBorders>
              <w:bottom w:val="nil"/>
            </w:tcBorders>
          </w:tcPr>
          <w:p>
            <w:pPr>
              <w:pStyle w:val="TableText"/>
              <w:spacing w:before="166" w:line="219" w:lineRule="auto"/>
              <w:rPr>
                <w:sz w:val="12"/>
                <w:szCs w:val="12"/>
              </w:rPr>
            </w:pPr>
            <w:r>
              <w:rPr>
                <w:sz w:val="12"/>
                <w:szCs w:val="12"/>
                <w:spacing w:val="-1"/>
              </w:rPr>
              <w:t>光肩星天牛、双条</w:t>
            </w:r>
          </w:p>
          <w:p>
            <w:pPr>
              <w:pStyle w:val="TableText"/>
              <w:spacing w:before="27" w:line="215" w:lineRule="auto"/>
              <w:rPr>
                <w:sz w:val="12"/>
                <w:szCs w:val="12"/>
              </w:rPr>
            </w:pPr>
            <w:r>
              <w:rPr>
                <w:sz w:val="12"/>
                <w:szCs w:val="12"/>
                <w:spacing w:val="-1"/>
              </w:rPr>
              <w:t>三天牛，桃红颈天</w:t>
            </w:r>
          </w:p>
          <w:p>
            <w:pPr>
              <w:pStyle w:val="TableText"/>
              <w:spacing w:line="200" w:lineRule="auto"/>
              <w:rPr>
                <w:sz w:val="12"/>
                <w:szCs w:val="12"/>
              </w:rPr>
            </w:pPr>
            <w:r>
              <w:rPr>
                <w:sz w:val="12"/>
                <w:szCs w:val="12"/>
                <w:spacing w:val="-1"/>
              </w:rPr>
              <w:t>牛等天牛类，小嵩</w:t>
            </w:r>
          </w:p>
          <w:p>
            <w:pPr>
              <w:pStyle w:val="TableText"/>
              <w:spacing w:line="214" w:lineRule="auto"/>
              <w:rPr>
                <w:sz w:val="12"/>
                <w:szCs w:val="12"/>
              </w:rPr>
            </w:pPr>
            <w:r>
              <w:rPr>
                <w:sz w:val="12"/>
                <w:szCs w:val="12"/>
                <w:spacing w:val="-1"/>
              </w:rPr>
              <w:t>虫，透翅蛾、芳香</w:t>
            </w:r>
          </w:p>
          <w:p>
            <w:pPr>
              <w:pStyle w:val="TableText"/>
              <w:spacing w:line="218" w:lineRule="auto"/>
              <w:jc w:val="right"/>
              <w:rPr>
                <w:sz w:val="12"/>
                <w:szCs w:val="12"/>
              </w:rPr>
            </w:pPr>
            <w:r>
              <w:rPr>
                <w:sz w:val="12"/>
                <w:szCs w:val="12"/>
                <w:spacing w:val="-1"/>
              </w:rPr>
              <w:t>木耋峨、杨干象，</w:t>
            </w:r>
          </w:p>
          <w:p>
            <w:pPr>
              <w:pStyle w:val="TableText"/>
              <w:ind w:left="9"/>
              <w:spacing w:before="9" w:line="219" w:lineRule="auto"/>
              <w:rPr>
                <w:sz w:val="12"/>
                <w:szCs w:val="12"/>
              </w:rPr>
            </w:pPr>
            <w:r>
              <w:rPr>
                <w:sz w:val="12"/>
                <w:szCs w:val="12"/>
                <w:spacing w:val="-1"/>
              </w:rPr>
              <w:t>吉丁虫类，小素类</w:t>
            </w:r>
          </w:p>
        </w:tc>
        <w:tc>
          <w:tcPr>
            <w:tcW w:w="2578" w:type="dxa"/>
            <w:vAlign w:val="top"/>
            <w:vMerge w:val="restart"/>
            <w:tcBorders>
              <w:bottom w:val="nil"/>
            </w:tcBorders>
          </w:tcPr>
          <w:p>
            <w:pPr>
              <w:spacing w:line="296" w:lineRule="auto"/>
              <w:rPr>
                <w:rFonts w:ascii="Arial"/>
                <w:sz w:val="21"/>
              </w:rPr>
            </w:pPr>
            <w:r/>
          </w:p>
          <w:p>
            <w:pPr>
              <w:pStyle w:val="TableText"/>
              <w:ind w:left="1" w:right="6" w:firstLine="19"/>
              <w:spacing w:before="39" w:line="207" w:lineRule="auto"/>
              <w:rPr>
                <w:sz w:val="12"/>
                <w:szCs w:val="12"/>
              </w:rPr>
            </w:pPr>
            <w:r>
              <w:rPr>
                <w:sz w:val="12"/>
                <w:szCs w:val="12"/>
                <w:spacing w:val="-2"/>
              </w:rPr>
              <w:t>一、5月预防消杀为主，在进入雨季、高发季前全</w:t>
            </w:r>
            <w:r>
              <w:rPr>
                <w:sz w:val="12"/>
                <w:szCs w:val="12"/>
                <w:spacing w:val="2"/>
              </w:rPr>
              <w:t xml:space="preserve"> </w:t>
            </w:r>
            <w:r>
              <w:rPr>
                <w:sz w:val="12"/>
                <w:szCs w:val="12"/>
                <w:spacing w:val="-1"/>
              </w:rPr>
              <w:t>园区消柔虫卵、蝠：</w:t>
            </w:r>
          </w:p>
          <w:p>
            <w:pPr>
              <w:pStyle w:val="TableText"/>
              <w:ind w:left="20" w:hanging="19"/>
              <w:spacing w:line="217" w:lineRule="auto"/>
              <w:rPr>
                <w:sz w:val="12"/>
                <w:szCs w:val="12"/>
              </w:rPr>
            </w:pPr>
            <w:r>
              <w:rPr>
                <w:sz w:val="12"/>
                <w:szCs w:val="12"/>
                <w:spacing w:val="-1"/>
              </w:rPr>
              <w:t>二、6月-9月是大部分害虫成蛹或羽化期，采取人</w:t>
            </w:r>
            <w:r>
              <w:rPr>
                <w:sz w:val="12"/>
                <w:szCs w:val="12"/>
                <w:spacing w:val="8"/>
              </w:rPr>
              <w:t xml:space="preserve"> </w:t>
            </w:r>
            <w:r>
              <w:rPr>
                <w:sz w:val="12"/>
                <w:szCs w:val="12"/>
                <w:spacing w:val="-1"/>
              </w:rPr>
              <w:t>工捕捉加药物双重治疗除卵，除蛹，除成虫。</w:t>
            </w:r>
          </w:p>
        </w:tc>
        <w:tc>
          <w:tcPr>
            <w:tcW w:w="1259" w:type="dxa"/>
            <w:vAlign w:val="top"/>
          </w:tcPr>
          <w:p>
            <w:pPr>
              <w:pStyle w:val="TableText"/>
              <w:ind w:left="383"/>
              <w:spacing w:before="106" w:line="219" w:lineRule="auto"/>
              <w:rPr>
                <w:sz w:val="12"/>
                <w:szCs w:val="12"/>
              </w:rPr>
            </w:pPr>
            <w:r>
              <w:rPr>
                <w:sz w:val="12"/>
                <w:szCs w:val="12"/>
                <w:spacing w:val="1"/>
              </w:rPr>
              <w:t>国光毒枪</w:t>
            </w:r>
          </w:p>
        </w:tc>
        <w:tc>
          <w:tcPr>
            <w:tcW w:w="1899" w:type="dxa"/>
            <w:vAlign w:val="top"/>
          </w:tcPr>
          <w:p>
            <w:pPr>
              <w:pStyle w:val="TableText"/>
              <w:ind w:left="433"/>
              <w:spacing w:before="106" w:line="219" w:lineRule="auto"/>
              <w:rPr>
                <w:sz w:val="12"/>
                <w:szCs w:val="12"/>
              </w:rPr>
            </w:pPr>
            <w:r>
              <w:rPr>
                <w:sz w:val="12"/>
                <w:szCs w:val="12"/>
                <w:spacing w:val="-1"/>
              </w:rPr>
              <w:t>45%丙溴辛疏磷乳油</w:t>
            </w:r>
          </w:p>
        </w:tc>
        <w:tc>
          <w:tcPr>
            <w:tcW w:w="1609" w:type="dxa"/>
            <w:vAlign w:val="top"/>
          </w:tcPr>
          <w:p>
            <w:pPr>
              <w:pStyle w:val="TableText"/>
              <w:ind w:left="285"/>
              <w:spacing w:before="106" w:line="219" w:lineRule="auto"/>
              <w:rPr>
                <w:sz w:val="12"/>
                <w:szCs w:val="12"/>
              </w:rPr>
            </w:pPr>
            <w:r>
              <w:rPr>
                <w:sz w:val="12"/>
                <w:szCs w:val="12"/>
                <w:spacing w:val="-1"/>
              </w:rPr>
              <w:t>稀释1000-1500倍液</w:t>
            </w:r>
          </w:p>
        </w:tc>
        <w:tc>
          <w:tcPr>
            <w:tcW w:w="1529"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pStyle w:val="TableText"/>
              <w:ind w:left="54" w:right="30" w:hanging="19"/>
              <w:spacing w:before="39" w:line="233" w:lineRule="auto"/>
              <w:rPr>
                <w:sz w:val="12"/>
                <w:szCs w:val="12"/>
              </w:rPr>
            </w:pPr>
            <w:r>
              <w:rPr>
                <w:sz w:val="12"/>
                <w:szCs w:val="12"/>
                <w:spacing w:val="-1"/>
              </w:rPr>
              <w:t>一般用3次，时间间隔7到10</w:t>
            </w:r>
            <w:r>
              <w:rPr>
                <w:sz w:val="12"/>
                <w:szCs w:val="12"/>
                <w:spacing w:val="6"/>
              </w:rPr>
              <w:t xml:space="preserve"> </w:t>
            </w:r>
            <w:r>
              <w:rPr>
                <w:sz w:val="12"/>
                <w:szCs w:val="12"/>
                <w:spacing w:val="-1"/>
              </w:rPr>
              <w:t>天，视现场情况可增加次数</w:t>
            </w:r>
          </w:p>
        </w:tc>
        <w:tc>
          <w:tcPr>
            <w:tcW w:w="709" w:type="dxa"/>
            <w:vAlign w:val="top"/>
          </w:tcPr>
          <w:p>
            <w:pPr>
              <w:pStyle w:val="TableText"/>
              <w:ind w:left="197"/>
              <w:spacing w:before="107" w:line="221" w:lineRule="auto"/>
              <w:rPr>
                <w:sz w:val="12"/>
                <w:szCs w:val="12"/>
              </w:rPr>
            </w:pPr>
            <w:r>
              <w:rPr>
                <w:sz w:val="12"/>
                <w:szCs w:val="12"/>
                <w:spacing w:val="-1"/>
              </w:rPr>
              <w:t>200ml/瓶</w:t>
            </w:r>
          </w:p>
        </w:tc>
        <w:tc>
          <w:tcPr>
            <w:tcW w:w="2543" w:type="dxa"/>
            <w:vAlign w:val="top"/>
          </w:tcPr>
          <w:p>
            <w:pPr>
              <w:pStyle w:val="TableText"/>
              <w:ind w:left="17"/>
              <w:spacing w:before="106" w:line="219" w:lineRule="auto"/>
              <w:rPr>
                <w:sz w:val="12"/>
                <w:szCs w:val="12"/>
              </w:rPr>
            </w:pPr>
            <w:r>
              <w:rPr>
                <w:sz w:val="12"/>
                <w:szCs w:val="12"/>
                <w:spacing w:val="-1"/>
              </w:rPr>
              <w:t>对鳞翅日害虫有高效</w:t>
            </w:r>
          </w:p>
        </w:tc>
      </w:tr>
      <w:tr>
        <w:trPr>
          <w:trHeight w:val="35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262"/>
              <w:spacing w:before="116" w:line="219" w:lineRule="auto"/>
              <w:rPr>
                <w:sz w:val="12"/>
                <w:szCs w:val="12"/>
              </w:rPr>
            </w:pPr>
            <w:r>
              <w:rPr>
                <w:sz w:val="12"/>
                <w:szCs w:val="12"/>
                <w:spacing w:val="1"/>
              </w:rPr>
              <w:t>国光防蛀液剂</w:t>
            </w:r>
          </w:p>
        </w:tc>
        <w:tc>
          <w:tcPr>
            <w:tcW w:w="1899" w:type="dxa"/>
            <w:vAlign w:val="top"/>
          </w:tcPr>
          <w:p>
            <w:pPr>
              <w:pStyle w:val="TableText"/>
              <w:ind w:left="644"/>
              <w:spacing w:before="116" w:line="219" w:lineRule="auto"/>
              <w:rPr>
                <w:sz w:val="12"/>
                <w:szCs w:val="12"/>
              </w:rPr>
            </w:pPr>
            <w:r>
              <w:rPr>
                <w:sz w:val="12"/>
                <w:szCs w:val="12"/>
                <w:spacing w:val="-1"/>
              </w:rPr>
              <w:t>0.3%氯菊酯</w:t>
            </w:r>
          </w:p>
        </w:tc>
        <w:tc>
          <w:tcPr>
            <w:tcW w:w="1609" w:type="dxa"/>
            <w:vAlign w:val="top"/>
          </w:tcPr>
          <w:p>
            <w:pPr>
              <w:pStyle w:val="TableText"/>
              <w:ind w:left="555"/>
              <w:spacing w:before="116" w:line="219" w:lineRule="auto"/>
              <w:rPr>
                <w:sz w:val="12"/>
                <w:szCs w:val="12"/>
              </w:rPr>
            </w:pPr>
            <w:r>
              <w:rPr>
                <w:sz w:val="12"/>
                <w:szCs w:val="12"/>
                <w:spacing w:val="3"/>
              </w:rPr>
              <w:t>直接使用</w:t>
            </w:r>
          </w:p>
        </w:tc>
        <w:tc>
          <w:tcPr>
            <w:tcW w:w="1529" w:type="dxa"/>
            <w:vAlign w:val="top"/>
            <w:vMerge w:val="continue"/>
            <w:tcBorders>
              <w:top w:val="nil"/>
              <w:bottom w:val="nil"/>
            </w:tcBorders>
          </w:tcPr>
          <w:p>
            <w:pPr>
              <w:rPr>
                <w:rFonts w:ascii="Arial"/>
                <w:sz w:val="21"/>
              </w:rPr>
            </w:pPr>
            <w:r/>
          </w:p>
        </w:tc>
        <w:tc>
          <w:tcPr>
            <w:tcW w:w="709" w:type="dxa"/>
            <w:vAlign w:val="top"/>
          </w:tcPr>
          <w:p>
            <w:pPr>
              <w:pStyle w:val="TableText"/>
              <w:ind w:left="257"/>
              <w:spacing w:before="117" w:line="220" w:lineRule="auto"/>
              <w:rPr>
                <w:sz w:val="12"/>
                <w:szCs w:val="12"/>
              </w:rPr>
            </w:pPr>
            <w:r>
              <w:rPr>
                <w:sz w:val="12"/>
                <w:szCs w:val="12"/>
                <w:spacing w:val="-1"/>
              </w:rPr>
              <w:t>20ml/支</w:t>
            </w:r>
          </w:p>
        </w:tc>
        <w:tc>
          <w:tcPr>
            <w:tcW w:w="2543" w:type="dxa"/>
            <w:vAlign w:val="top"/>
          </w:tcPr>
          <w:p>
            <w:pPr>
              <w:pStyle w:val="TableText"/>
              <w:ind w:left="17" w:right="60"/>
              <w:spacing w:before="46" w:line="219" w:lineRule="auto"/>
              <w:rPr>
                <w:sz w:val="12"/>
                <w:szCs w:val="12"/>
              </w:rPr>
            </w:pPr>
            <w:r>
              <w:rPr>
                <w:sz w:val="12"/>
                <w:szCs w:val="12"/>
              </w:rPr>
              <w:t>专杀蛀杆性害虫胸径8-10cm用1支，</w:t>
            </w:r>
            <w:r>
              <w:rPr>
                <w:sz w:val="12"/>
                <w:szCs w:val="12"/>
                <w:spacing w:val="-1"/>
              </w:rPr>
              <w:t>每增加10cn</w:t>
            </w:r>
            <w:r>
              <w:rPr>
                <w:sz w:val="12"/>
                <w:szCs w:val="12"/>
              </w:rPr>
              <w:t xml:space="preserve"> </w:t>
            </w:r>
            <w:r>
              <w:rPr>
                <w:sz w:val="12"/>
                <w:szCs w:val="12"/>
                <w:spacing w:val="-1"/>
              </w:rPr>
              <w:t>增加1支</w:t>
            </w:r>
          </w:p>
        </w:tc>
      </w:tr>
      <w:tr>
        <w:trPr>
          <w:trHeight w:val="61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59" w:type="dxa"/>
            <w:vAlign w:val="top"/>
          </w:tcPr>
          <w:p>
            <w:pPr>
              <w:pStyle w:val="TableText"/>
              <w:ind w:left="323"/>
              <w:spacing w:before="246" w:line="219" w:lineRule="auto"/>
              <w:rPr>
                <w:sz w:val="12"/>
                <w:szCs w:val="12"/>
              </w:rPr>
            </w:pPr>
            <w:r>
              <w:rPr>
                <w:sz w:val="12"/>
                <w:szCs w:val="12"/>
                <w:spacing w:val="1"/>
              </w:rPr>
              <w:t>国光磷化铝</w:t>
            </w:r>
          </w:p>
        </w:tc>
        <w:tc>
          <w:tcPr>
            <w:tcW w:w="1899" w:type="dxa"/>
            <w:vAlign w:val="top"/>
          </w:tcPr>
          <w:p>
            <w:pPr>
              <w:pStyle w:val="TableText"/>
              <w:ind w:left="674"/>
              <w:spacing w:before="246" w:line="219" w:lineRule="auto"/>
              <w:rPr>
                <w:sz w:val="12"/>
                <w:szCs w:val="12"/>
              </w:rPr>
            </w:pPr>
            <w:r>
              <w:rPr>
                <w:sz w:val="12"/>
                <w:szCs w:val="12"/>
                <w:spacing w:val="-1"/>
              </w:rPr>
              <w:t>56M磷化铝</w:t>
            </w:r>
          </w:p>
        </w:tc>
        <w:tc>
          <w:tcPr>
            <w:tcW w:w="1609" w:type="dxa"/>
            <w:vAlign w:val="top"/>
          </w:tcPr>
          <w:p>
            <w:pPr>
              <w:pStyle w:val="TableText"/>
              <w:ind w:left="555"/>
              <w:spacing w:before="246" w:line="219" w:lineRule="auto"/>
              <w:rPr>
                <w:sz w:val="12"/>
                <w:szCs w:val="12"/>
              </w:rPr>
            </w:pPr>
            <w:r>
              <w:rPr>
                <w:sz w:val="12"/>
                <w:szCs w:val="12"/>
                <w:spacing w:val="3"/>
              </w:rPr>
              <w:t>熏蒸使用</w:t>
            </w:r>
          </w:p>
        </w:tc>
        <w:tc>
          <w:tcPr>
            <w:tcW w:w="1529" w:type="dxa"/>
            <w:vAlign w:val="top"/>
            <w:vMerge w:val="continue"/>
            <w:tcBorders>
              <w:top w:val="nil"/>
            </w:tcBorders>
          </w:tcPr>
          <w:p>
            <w:pPr>
              <w:rPr>
                <w:rFonts w:ascii="Arial"/>
                <w:sz w:val="21"/>
              </w:rPr>
            </w:pPr>
            <w:r/>
          </w:p>
        </w:tc>
        <w:tc>
          <w:tcPr>
            <w:tcW w:w="709" w:type="dxa"/>
            <w:vAlign w:val="top"/>
          </w:tcPr>
          <w:p>
            <w:pPr>
              <w:pStyle w:val="TableText"/>
              <w:ind w:left="197"/>
              <w:spacing w:before="247" w:line="220" w:lineRule="auto"/>
              <w:rPr>
                <w:sz w:val="12"/>
                <w:szCs w:val="12"/>
              </w:rPr>
            </w:pPr>
            <w:r>
              <w:rPr>
                <w:sz w:val="12"/>
                <w:szCs w:val="12"/>
                <w:spacing w:val="-2"/>
              </w:rPr>
              <w:t>5片/般</w:t>
            </w:r>
          </w:p>
        </w:tc>
        <w:tc>
          <w:tcPr>
            <w:tcW w:w="2543" w:type="dxa"/>
            <w:vAlign w:val="top"/>
          </w:tcPr>
          <w:p>
            <w:pPr>
              <w:pStyle w:val="TableText"/>
              <w:ind w:left="17"/>
              <w:spacing w:before="246" w:line="219" w:lineRule="auto"/>
              <w:rPr>
                <w:sz w:val="12"/>
                <w:szCs w:val="12"/>
              </w:rPr>
            </w:pPr>
            <w:r>
              <w:rPr>
                <w:sz w:val="12"/>
                <w:szCs w:val="12"/>
                <w:spacing w:val="-1"/>
              </w:rPr>
              <w:t>各种蛀干害虫幼虫及卵彻底消杀</w:t>
            </w:r>
          </w:p>
        </w:tc>
      </w:tr>
      <w:tr>
        <w:trPr>
          <w:trHeight w:val="359" w:hRule="atLeast"/>
        </w:trPr>
        <w:tc>
          <w:tcPr>
            <w:tcW w:w="425" w:type="dxa"/>
            <w:vAlign w:val="top"/>
            <w:vMerge w:val="continue"/>
            <w:tcBorders>
              <w:top w:val="nil"/>
            </w:tcBorders>
          </w:tcPr>
          <w:p>
            <w:pPr>
              <w:rPr>
                <w:rFonts w:ascii="Arial"/>
                <w:sz w:val="21"/>
              </w:rPr>
            </w:pPr>
            <w:r/>
          </w:p>
        </w:tc>
        <w:tc>
          <w:tcPr>
            <w:tcW w:w="530" w:type="dxa"/>
            <w:vAlign w:val="top"/>
          </w:tcPr>
          <w:p>
            <w:pPr>
              <w:pStyle w:val="TableText"/>
              <w:ind w:left="10"/>
              <w:spacing w:before="118" w:line="220" w:lineRule="auto"/>
              <w:rPr>
                <w:sz w:val="12"/>
                <w:szCs w:val="12"/>
              </w:rPr>
            </w:pPr>
            <w:r>
              <w:rPr>
                <w:sz w:val="12"/>
                <w:szCs w:val="12"/>
                <w:spacing w:val="-1"/>
              </w:rPr>
              <w:t>地下害虫</w:t>
            </w:r>
          </w:p>
        </w:tc>
        <w:tc>
          <w:tcPr>
            <w:tcW w:w="989" w:type="dxa"/>
            <w:vAlign w:val="top"/>
          </w:tcPr>
          <w:p>
            <w:pPr>
              <w:pStyle w:val="TableText"/>
              <w:ind w:left="190" w:right="23" w:hanging="190"/>
              <w:spacing w:before="47" w:line="232" w:lineRule="auto"/>
              <w:rPr>
                <w:sz w:val="12"/>
                <w:szCs w:val="12"/>
              </w:rPr>
            </w:pPr>
            <w:r>
              <w:rPr>
                <w:sz w:val="12"/>
                <w:szCs w:val="12"/>
                <w:spacing w:val="-1"/>
              </w:rPr>
              <w:t>蛴蜡、地老虎、其</w:t>
            </w:r>
            <w:r>
              <w:rPr>
                <w:sz w:val="12"/>
                <w:szCs w:val="12"/>
                <w:spacing w:val="2"/>
              </w:rPr>
              <w:t xml:space="preserve"> </w:t>
            </w:r>
            <w:r>
              <w:rPr>
                <w:sz w:val="12"/>
                <w:szCs w:val="12"/>
                <w:spacing w:val="-1"/>
              </w:rPr>
              <w:t>他土中虫卵</w:t>
            </w:r>
          </w:p>
        </w:tc>
        <w:tc>
          <w:tcPr>
            <w:tcW w:w="2578" w:type="dxa"/>
            <w:vAlign w:val="top"/>
          </w:tcPr>
          <w:p>
            <w:pPr>
              <w:pStyle w:val="TableText"/>
              <w:ind w:left="1"/>
              <w:spacing w:before="117" w:line="219" w:lineRule="auto"/>
              <w:rPr>
                <w:sz w:val="12"/>
                <w:szCs w:val="12"/>
              </w:rPr>
            </w:pPr>
            <w:r>
              <w:rPr>
                <w:sz w:val="12"/>
                <w:szCs w:val="12"/>
              </w:rPr>
              <w:t>5-6月为害较轻7-8月为害较重。</w:t>
            </w:r>
          </w:p>
        </w:tc>
        <w:tc>
          <w:tcPr>
            <w:tcW w:w="1259" w:type="dxa"/>
            <w:vAlign w:val="top"/>
          </w:tcPr>
          <w:p>
            <w:pPr>
              <w:pStyle w:val="TableText"/>
              <w:ind w:left="383"/>
              <w:spacing w:before="117" w:line="219" w:lineRule="auto"/>
              <w:rPr>
                <w:sz w:val="12"/>
                <w:szCs w:val="12"/>
              </w:rPr>
            </w:pPr>
            <w:r>
              <w:rPr>
                <w:sz w:val="12"/>
                <w:szCs w:val="12"/>
                <w:spacing w:val="1"/>
              </w:rPr>
              <w:t>国光地杀</w:t>
            </w:r>
          </w:p>
        </w:tc>
        <w:tc>
          <w:tcPr>
            <w:tcW w:w="1899" w:type="dxa"/>
            <w:vAlign w:val="top"/>
          </w:tcPr>
          <w:p>
            <w:pPr>
              <w:pStyle w:val="TableText"/>
              <w:ind w:left="164"/>
              <w:spacing w:before="117" w:line="219" w:lineRule="auto"/>
              <w:rPr>
                <w:sz w:val="12"/>
                <w:szCs w:val="12"/>
              </w:rPr>
            </w:pPr>
            <w:r>
              <w:rPr>
                <w:sz w:val="12"/>
                <w:szCs w:val="12"/>
                <w:spacing w:val="-4"/>
              </w:rPr>
              <w:t>5%丁硫克百威</w:t>
            </w:r>
            <w:r>
              <w:rPr>
                <w:sz w:val="12"/>
                <w:szCs w:val="12"/>
                <w:spacing w:val="-13"/>
              </w:rPr>
              <w:t xml:space="preserve"> </w:t>
            </w:r>
            <w:r>
              <w:rPr>
                <w:sz w:val="12"/>
                <w:szCs w:val="12"/>
                <w:spacing w:val="-4"/>
              </w:rPr>
              <w:t>·毒死蟀颗校剂</w:t>
            </w:r>
          </w:p>
        </w:tc>
        <w:tc>
          <w:tcPr>
            <w:tcW w:w="1609" w:type="dxa"/>
            <w:vAlign w:val="top"/>
          </w:tcPr>
          <w:p>
            <w:pPr>
              <w:pStyle w:val="TableText"/>
              <w:ind w:left="255"/>
              <w:spacing w:before="113" w:line="214" w:lineRule="auto"/>
              <w:rPr>
                <w:sz w:val="12"/>
                <w:szCs w:val="12"/>
              </w:rPr>
            </w:pPr>
            <w:r>
              <w:rPr>
                <w:sz w:val="12"/>
                <w:szCs w:val="12"/>
                <w:spacing w:val="-1"/>
              </w:rPr>
              <w:t>直接撒施：5-7kg/亩</w:t>
            </w:r>
          </w:p>
        </w:tc>
        <w:tc>
          <w:tcPr>
            <w:tcW w:w="1529" w:type="dxa"/>
            <w:vAlign w:val="top"/>
          </w:tcPr>
          <w:p>
            <w:pPr>
              <w:pStyle w:val="TableText"/>
              <w:ind w:left="486"/>
              <w:spacing w:before="117" w:line="219" w:lineRule="auto"/>
              <w:rPr>
                <w:sz w:val="12"/>
                <w:szCs w:val="12"/>
              </w:rPr>
            </w:pPr>
            <w:r>
              <w:rPr>
                <w:sz w:val="12"/>
                <w:szCs w:val="12"/>
                <w:spacing w:val="-2"/>
              </w:rPr>
              <w:t>一般用1次</w:t>
            </w:r>
          </w:p>
        </w:tc>
        <w:tc>
          <w:tcPr>
            <w:tcW w:w="709" w:type="dxa"/>
            <w:vAlign w:val="top"/>
          </w:tcPr>
          <w:p>
            <w:pPr>
              <w:pStyle w:val="TableText"/>
              <w:ind w:left="317"/>
              <w:spacing w:before="113" w:line="214" w:lineRule="auto"/>
              <w:rPr>
                <w:sz w:val="12"/>
                <w:szCs w:val="12"/>
              </w:rPr>
            </w:pPr>
            <w:r>
              <w:rPr>
                <w:sz w:val="12"/>
                <w:szCs w:val="12"/>
                <w:spacing w:val="-3"/>
              </w:rPr>
              <w:t>lkg/袋</w:t>
            </w:r>
          </w:p>
        </w:tc>
        <w:tc>
          <w:tcPr>
            <w:tcW w:w="2543" w:type="dxa"/>
            <w:vAlign w:val="top"/>
          </w:tcPr>
          <w:p>
            <w:pPr>
              <w:pStyle w:val="TableText"/>
              <w:ind w:left="17"/>
              <w:spacing w:before="117" w:line="219" w:lineRule="auto"/>
              <w:rPr>
                <w:sz w:val="12"/>
                <w:szCs w:val="12"/>
              </w:rPr>
            </w:pPr>
            <w:r>
              <w:rPr>
                <w:sz w:val="12"/>
                <w:szCs w:val="12"/>
                <w:spacing w:val="-1"/>
              </w:rPr>
              <w:t>在土壤中桑灭害虫效果好，使用方便</w:t>
            </w:r>
          </w:p>
        </w:tc>
      </w:tr>
      <w:tr>
        <w:trPr>
          <w:trHeight w:val="350" w:hRule="atLeast"/>
        </w:trPr>
        <w:tc>
          <w:tcPr>
            <w:tcW w:w="425"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4" w:right="38"/>
              <w:spacing w:before="39" w:line="233" w:lineRule="auto"/>
              <w:rPr>
                <w:sz w:val="12"/>
                <w:szCs w:val="12"/>
              </w:rPr>
            </w:pPr>
            <w:r>
              <w:rPr>
                <w:sz w:val="12"/>
                <w:szCs w:val="12"/>
                <w:spacing w:val="-3"/>
              </w:rPr>
              <w:t>营养剂</w:t>
            </w:r>
            <w:r>
              <w:rPr>
                <w:sz w:val="12"/>
                <w:szCs w:val="12"/>
              </w:rPr>
              <w:t xml:space="preserve"> </w:t>
            </w:r>
            <w:r>
              <w:rPr>
                <w:sz w:val="12"/>
                <w:szCs w:val="12"/>
                <w:spacing w:val="-1"/>
              </w:rPr>
              <w:t>/肥料</w:t>
            </w:r>
          </w:p>
        </w:tc>
        <w:tc>
          <w:tcPr>
            <w:tcW w:w="530"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
              <w:spacing w:before="39" w:line="219" w:lineRule="auto"/>
              <w:rPr>
                <w:sz w:val="12"/>
                <w:szCs w:val="12"/>
              </w:rPr>
            </w:pPr>
            <w:r>
              <w:rPr>
                <w:sz w:val="12"/>
                <w:szCs w:val="12"/>
                <w:spacing w:val="-1"/>
              </w:rPr>
              <w:t>树木复壮</w:t>
            </w:r>
          </w:p>
        </w:tc>
        <w:tc>
          <w:tcPr>
            <w:tcW w:w="989" w:type="dxa"/>
            <w:vAlign w:val="top"/>
            <w:vMerge w:val="restart"/>
            <w:tcBorders>
              <w:bottom w:val="nil"/>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spacing w:before="39" w:line="219" w:lineRule="auto"/>
              <w:rPr>
                <w:sz w:val="12"/>
                <w:szCs w:val="12"/>
              </w:rPr>
            </w:pPr>
            <w:r>
              <w:rPr>
                <w:sz w:val="12"/>
                <w:szCs w:val="12"/>
                <w:spacing w:val="-1"/>
              </w:rPr>
              <w:t>树木长势弱，自项</w:t>
            </w:r>
          </w:p>
          <w:p>
            <w:pPr>
              <w:pStyle w:val="TableText"/>
              <w:ind w:left="90"/>
              <w:spacing w:before="7" w:line="200" w:lineRule="auto"/>
              <w:rPr>
                <w:sz w:val="12"/>
                <w:szCs w:val="12"/>
              </w:rPr>
            </w:pPr>
            <w:r>
              <w:rPr>
                <w:sz w:val="12"/>
                <w:szCs w:val="12"/>
                <w:spacing w:val="-1"/>
              </w:rPr>
              <w:t>部向下有枯黄现</w:t>
            </w:r>
          </w:p>
          <w:p>
            <w:pPr>
              <w:pStyle w:val="TableText"/>
              <w:ind w:left="9"/>
              <w:spacing w:line="219" w:lineRule="auto"/>
              <w:rPr>
                <w:sz w:val="12"/>
                <w:szCs w:val="12"/>
              </w:rPr>
            </w:pPr>
            <w:r>
              <w:rPr>
                <w:sz w:val="12"/>
                <w:szCs w:val="12"/>
                <w:spacing w:val="-1"/>
              </w:rPr>
              <w:t>象，减高大乔木及</w:t>
            </w:r>
          </w:p>
          <w:p>
            <w:pPr>
              <w:pStyle w:val="TableText"/>
              <w:ind w:left="280"/>
              <w:spacing w:before="7" w:line="219" w:lineRule="auto"/>
              <w:rPr>
                <w:sz w:val="12"/>
                <w:szCs w:val="12"/>
              </w:rPr>
            </w:pPr>
            <w:r>
              <w:rPr>
                <w:sz w:val="12"/>
                <w:szCs w:val="12"/>
                <w:spacing w:val="-2"/>
              </w:rPr>
              <w:t>贵重树木</w:t>
            </w:r>
          </w:p>
        </w:tc>
        <w:tc>
          <w:tcPr>
            <w:tcW w:w="2578"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TableText"/>
              <w:ind w:left="10" w:hanging="9"/>
              <w:spacing w:before="39" w:line="220" w:lineRule="auto"/>
              <w:rPr>
                <w:sz w:val="12"/>
                <w:szCs w:val="12"/>
              </w:rPr>
            </w:pPr>
            <w:r>
              <w:rPr>
                <w:sz w:val="12"/>
                <w:szCs w:val="12"/>
                <w:spacing w:val="-2"/>
              </w:rPr>
              <w:t>一、时间：4月上句到5月末，气湿上升，苗木萌</w:t>
            </w:r>
            <w:r>
              <w:rPr>
                <w:sz w:val="12"/>
                <w:szCs w:val="12"/>
                <w:spacing w:val="3"/>
              </w:rPr>
              <w:t xml:space="preserve">  </w:t>
            </w:r>
            <w:r>
              <w:rPr>
                <w:sz w:val="12"/>
                <w:szCs w:val="12"/>
                <w:spacing w:val="-2"/>
              </w:rPr>
              <w:t>动前后是树木施肥复壮最住时机。大量元素肥料</w:t>
            </w:r>
            <w:r>
              <w:rPr>
                <w:sz w:val="12"/>
                <w:szCs w:val="12"/>
                <w:spacing w:val="6"/>
              </w:rPr>
              <w:t xml:space="preserve">  </w:t>
            </w:r>
            <w:r>
              <w:rPr>
                <w:sz w:val="12"/>
                <w:szCs w:val="12"/>
                <w:spacing w:val="1"/>
              </w:rPr>
              <w:t>在萌动前使用，微肥，液体肥料在萌动后使用；</w:t>
            </w:r>
          </w:p>
          <w:p>
            <w:pPr>
              <w:pStyle w:val="TableText"/>
              <w:ind w:left="11" w:right="2"/>
              <w:spacing w:before="2" w:line="223" w:lineRule="auto"/>
              <w:rPr>
                <w:sz w:val="12"/>
                <w:szCs w:val="12"/>
              </w:rPr>
            </w:pPr>
            <w:r>
              <w:rPr>
                <w:sz w:val="12"/>
                <w:szCs w:val="12"/>
                <w:spacing w:val="-1"/>
              </w:rPr>
              <w:t>三、6-8月有轻微缺肥现象，建议以营养</w:t>
            </w:r>
            <w:r>
              <w:rPr>
                <w:sz w:val="12"/>
                <w:szCs w:val="12"/>
                <w:spacing w:val="-2"/>
              </w:rPr>
              <w:t>液。微肥</w:t>
            </w:r>
            <w:r>
              <w:rPr>
                <w:sz w:val="12"/>
                <w:szCs w:val="12"/>
              </w:rPr>
              <w:t xml:space="preserve"> </w:t>
            </w:r>
            <w:r>
              <w:rPr>
                <w:sz w:val="12"/>
                <w:szCs w:val="12"/>
                <w:spacing w:val="-1"/>
              </w:rPr>
              <w:t>复壮为主。大量元素缺失严重时可以醉情施化肥</w:t>
            </w:r>
            <w:r>
              <w:rPr>
                <w:sz w:val="12"/>
                <w:szCs w:val="12"/>
                <w:spacing w:val="6"/>
              </w:rPr>
              <w:t xml:space="preserve">  </w:t>
            </w:r>
            <w:r>
              <w:rPr>
                <w:sz w:val="12"/>
                <w:szCs w:val="12"/>
                <w:spacing w:val="-1"/>
              </w:rPr>
              <w:t>处理，新种植苗木不建议使用大量化肥，应以有</w:t>
            </w:r>
            <w:r>
              <w:rPr>
                <w:sz w:val="12"/>
                <w:szCs w:val="12"/>
                <w:spacing w:val="6"/>
              </w:rPr>
              <w:t xml:space="preserve">  </w:t>
            </w:r>
            <w:r>
              <w:rPr>
                <w:sz w:val="12"/>
                <w:szCs w:val="12"/>
                <w:spacing w:val="-1"/>
              </w:rPr>
              <w:t>机肥为主，辅助微肥：</w:t>
            </w:r>
          </w:p>
          <w:p>
            <w:pPr>
              <w:pStyle w:val="TableText"/>
              <w:ind w:left="11"/>
              <w:spacing w:before="7" w:line="219" w:lineRule="auto"/>
              <w:rPr>
                <w:sz w:val="12"/>
                <w:szCs w:val="12"/>
              </w:rPr>
            </w:pPr>
            <w:r>
              <w:rPr>
                <w:sz w:val="12"/>
                <w:szCs w:val="12"/>
              </w:rPr>
              <w:t>三、9月施肥有机肥。高磷钾复合肥复壮树</w:t>
            </w:r>
            <w:r>
              <w:rPr>
                <w:sz w:val="12"/>
                <w:szCs w:val="12"/>
                <w:spacing w:val="-1"/>
              </w:rPr>
              <w:t>势。</w:t>
            </w:r>
          </w:p>
        </w:tc>
        <w:tc>
          <w:tcPr>
            <w:tcW w:w="1259" w:type="dxa"/>
            <w:vAlign w:val="top"/>
          </w:tcPr>
          <w:p>
            <w:pPr>
              <w:pStyle w:val="TableText"/>
              <w:ind w:left="262"/>
              <w:spacing w:before="118" w:line="219" w:lineRule="auto"/>
              <w:rPr>
                <w:sz w:val="12"/>
                <w:szCs w:val="12"/>
              </w:rPr>
            </w:pPr>
            <w:r>
              <w:rPr>
                <w:sz w:val="12"/>
                <w:szCs w:val="12"/>
              </w:rPr>
              <w:t>国光吊针原液</w:t>
            </w:r>
          </w:p>
        </w:tc>
        <w:tc>
          <w:tcPr>
            <w:tcW w:w="1899" w:type="dxa"/>
            <w:vAlign w:val="top"/>
          </w:tcPr>
          <w:p>
            <w:pPr>
              <w:pStyle w:val="TableText"/>
              <w:ind w:left="224"/>
              <w:spacing w:before="118" w:line="219" w:lineRule="auto"/>
              <w:rPr>
                <w:sz w:val="12"/>
                <w:szCs w:val="12"/>
              </w:rPr>
            </w:pPr>
            <w:r>
              <w:rPr>
                <w:sz w:val="12"/>
                <w:szCs w:val="12"/>
              </w:rPr>
              <w:t>12%含氨基酸水溶肥料碼+锌</w:t>
            </w:r>
          </w:p>
        </w:tc>
        <w:tc>
          <w:tcPr>
            <w:tcW w:w="1609" w:type="dxa"/>
            <w:vAlign w:val="top"/>
          </w:tcPr>
          <w:p>
            <w:pPr>
              <w:pStyle w:val="TableText"/>
              <w:ind w:left="345"/>
              <w:spacing w:before="118" w:line="219" w:lineRule="auto"/>
              <w:rPr>
                <w:sz w:val="12"/>
                <w:szCs w:val="12"/>
              </w:rPr>
            </w:pPr>
            <w:r>
              <w:rPr>
                <w:sz w:val="12"/>
                <w:szCs w:val="12"/>
                <w:spacing w:val="-1"/>
              </w:rPr>
              <w:t>稀释1000-1200倍</w:t>
            </w:r>
          </w:p>
        </w:tc>
        <w:tc>
          <w:tcPr>
            <w:tcW w:w="1529" w:type="dxa"/>
            <w:vAlign w:val="top"/>
          </w:tcPr>
          <w:p>
            <w:pPr>
              <w:pStyle w:val="TableText"/>
              <w:ind w:left="126"/>
              <w:spacing w:before="118" w:line="219" w:lineRule="auto"/>
              <w:rPr>
                <w:sz w:val="12"/>
                <w:szCs w:val="12"/>
              </w:rPr>
            </w:pPr>
            <w:r>
              <w:rPr>
                <w:sz w:val="12"/>
                <w:szCs w:val="12"/>
                <w:spacing w:val="-2"/>
              </w:rPr>
              <w:t>1次。后期补充水分即可</w:t>
            </w:r>
          </w:p>
        </w:tc>
        <w:tc>
          <w:tcPr>
            <w:tcW w:w="709" w:type="dxa"/>
            <w:vAlign w:val="top"/>
          </w:tcPr>
          <w:p>
            <w:pPr>
              <w:pStyle w:val="TableText"/>
              <w:ind w:left="257"/>
              <w:spacing w:before="114" w:line="214" w:lineRule="auto"/>
              <w:rPr>
                <w:sz w:val="12"/>
                <w:szCs w:val="12"/>
              </w:rPr>
            </w:pPr>
            <w:r>
              <w:rPr>
                <w:sz w:val="12"/>
                <w:szCs w:val="12"/>
                <w:spacing w:val="-1"/>
              </w:rPr>
              <w:t>200g/瓶</w:t>
            </w:r>
          </w:p>
        </w:tc>
        <w:tc>
          <w:tcPr>
            <w:tcW w:w="2543" w:type="dxa"/>
            <w:vAlign w:val="top"/>
          </w:tcPr>
          <w:p>
            <w:pPr>
              <w:pStyle w:val="TableText"/>
              <w:ind w:left="17"/>
              <w:spacing w:before="118" w:line="219" w:lineRule="auto"/>
              <w:rPr>
                <w:sz w:val="12"/>
                <w:szCs w:val="12"/>
              </w:rPr>
            </w:pPr>
            <w:r>
              <w:rPr>
                <w:sz w:val="12"/>
                <w:szCs w:val="12"/>
                <w:spacing w:val="-1"/>
              </w:rPr>
              <w:t>补充水分和养分，促进快速成活</w:t>
            </w:r>
          </w:p>
        </w:tc>
      </w:tr>
      <w:tr>
        <w:trPr>
          <w:trHeight w:val="31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99" w:line="220" w:lineRule="auto"/>
              <w:rPr>
                <w:sz w:val="12"/>
                <w:szCs w:val="12"/>
              </w:rPr>
            </w:pPr>
            <w:r>
              <w:rPr>
                <w:sz w:val="12"/>
                <w:szCs w:val="12"/>
                <w:spacing w:val="1"/>
              </w:rPr>
              <w:t>中威吊针液</w:t>
            </w:r>
          </w:p>
        </w:tc>
        <w:tc>
          <w:tcPr>
            <w:tcW w:w="1899" w:type="dxa"/>
            <w:vAlign w:val="top"/>
          </w:tcPr>
          <w:p>
            <w:pPr>
              <w:pStyle w:val="TableText"/>
              <w:ind w:left="164"/>
              <w:spacing w:before="97" w:line="216" w:lineRule="auto"/>
              <w:rPr>
                <w:sz w:val="12"/>
                <w:szCs w:val="12"/>
              </w:rPr>
            </w:pPr>
            <w:r>
              <w:rPr>
                <w:sz w:val="12"/>
                <w:szCs w:val="12"/>
                <w:spacing w:val="-1"/>
              </w:rPr>
              <w:t>DA-6,甲壳素、硼镁锌等2.85%</w:t>
            </w:r>
          </w:p>
        </w:tc>
        <w:tc>
          <w:tcPr>
            <w:tcW w:w="1609" w:type="dxa"/>
            <w:vAlign w:val="top"/>
          </w:tcPr>
          <w:p>
            <w:pPr>
              <w:pStyle w:val="TableText"/>
              <w:ind w:left="375"/>
              <w:spacing w:before="98" w:line="219" w:lineRule="auto"/>
              <w:rPr>
                <w:sz w:val="12"/>
                <w:szCs w:val="12"/>
              </w:rPr>
            </w:pPr>
            <w:r>
              <w:rPr>
                <w:sz w:val="12"/>
                <w:szCs w:val="12"/>
                <w:spacing w:val="-1"/>
              </w:rPr>
              <w:t>稀释60-100倍液</w:t>
            </w:r>
          </w:p>
        </w:tc>
        <w:tc>
          <w:tcPr>
            <w:tcW w:w="1529" w:type="dxa"/>
            <w:vAlign w:val="top"/>
          </w:tcPr>
          <w:p>
            <w:pPr>
              <w:pStyle w:val="TableText"/>
              <w:ind w:left="126"/>
              <w:spacing w:before="98" w:line="219" w:lineRule="auto"/>
              <w:rPr>
                <w:sz w:val="12"/>
                <w:szCs w:val="12"/>
              </w:rPr>
            </w:pPr>
            <w:r>
              <w:rPr>
                <w:sz w:val="12"/>
                <w:szCs w:val="12"/>
                <w:spacing w:val="-2"/>
              </w:rPr>
              <w:t>1次，后期补充水分即可</w:t>
            </w:r>
          </w:p>
        </w:tc>
        <w:tc>
          <w:tcPr>
            <w:tcW w:w="709" w:type="dxa"/>
            <w:vAlign w:val="top"/>
          </w:tcPr>
          <w:p>
            <w:pPr>
              <w:pStyle w:val="TableText"/>
              <w:ind w:left="197"/>
              <w:spacing w:before="94" w:line="214" w:lineRule="auto"/>
              <w:rPr>
                <w:sz w:val="12"/>
                <w:szCs w:val="12"/>
              </w:rPr>
            </w:pPr>
            <w:r>
              <w:rPr>
                <w:sz w:val="12"/>
                <w:szCs w:val="12"/>
                <w:spacing w:val="-1"/>
              </w:rPr>
              <w:t>kg/袋</w:t>
            </w:r>
          </w:p>
        </w:tc>
        <w:tc>
          <w:tcPr>
            <w:tcW w:w="2543" w:type="dxa"/>
            <w:vAlign w:val="top"/>
          </w:tcPr>
          <w:p>
            <w:pPr>
              <w:pStyle w:val="TableText"/>
              <w:ind w:left="17"/>
              <w:spacing w:before="18" w:line="210" w:lineRule="auto"/>
              <w:rPr>
                <w:sz w:val="12"/>
                <w:szCs w:val="12"/>
              </w:rPr>
            </w:pPr>
            <w:r>
              <w:rPr>
                <w:sz w:val="12"/>
                <w:szCs w:val="12"/>
                <w:spacing w:val="-1"/>
              </w:rPr>
              <w:t>促使树体健壮，迅速补充营养，增强抗性，提高</w:t>
            </w:r>
            <w:r>
              <w:rPr>
                <w:sz w:val="12"/>
                <w:szCs w:val="12"/>
                <w:spacing w:val="14"/>
              </w:rPr>
              <w:t xml:space="preserve"> </w:t>
            </w:r>
            <w:r>
              <w:rPr>
                <w:sz w:val="12"/>
                <w:szCs w:val="12"/>
                <w:spacing w:val="-2"/>
              </w:rPr>
              <w:t>成活率</w:t>
            </w:r>
          </w:p>
        </w:tc>
      </w:tr>
      <w:tr>
        <w:trPr>
          <w:trHeight w:val="41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148" w:line="219" w:lineRule="auto"/>
              <w:rPr>
                <w:sz w:val="12"/>
                <w:szCs w:val="12"/>
              </w:rPr>
            </w:pPr>
            <w:r>
              <w:rPr>
                <w:sz w:val="12"/>
                <w:szCs w:val="12"/>
              </w:rPr>
              <w:t>国光施它活</w:t>
            </w:r>
          </w:p>
        </w:tc>
        <w:tc>
          <w:tcPr>
            <w:tcW w:w="1899" w:type="dxa"/>
            <w:vAlign w:val="top"/>
          </w:tcPr>
          <w:p>
            <w:pPr>
              <w:pStyle w:val="TableText"/>
              <w:ind w:left="774" w:right="50" w:hanging="730"/>
              <w:spacing w:before="78" w:line="217" w:lineRule="auto"/>
              <w:rPr>
                <w:sz w:val="12"/>
                <w:szCs w:val="12"/>
              </w:rPr>
            </w:pPr>
            <w:r>
              <w:rPr>
                <w:sz w:val="12"/>
                <w:szCs w:val="12"/>
                <w:spacing w:val="-1"/>
              </w:rPr>
              <w:t>生长素类高活性物质、含丰富矿物</w:t>
            </w:r>
            <w:r>
              <w:rPr>
                <w:sz w:val="12"/>
                <w:szCs w:val="12"/>
                <w:spacing w:val="8"/>
              </w:rPr>
              <w:t xml:space="preserve"> </w:t>
            </w:r>
            <w:r>
              <w:rPr>
                <w:sz w:val="12"/>
                <w:szCs w:val="12"/>
                <w:spacing w:val="-2"/>
              </w:rPr>
              <w:t>质溶剂</w:t>
            </w:r>
          </w:p>
        </w:tc>
        <w:tc>
          <w:tcPr>
            <w:tcW w:w="1609" w:type="dxa"/>
            <w:vAlign w:val="top"/>
          </w:tcPr>
          <w:p>
            <w:pPr>
              <w:pStyle w:val="TableText"/>
              <w:ind w:left="555"/>
              <w:spacing w:before="148" w:line="219" w:lineRule="auto"/>
              <w:rPr>
                <w:sz w:val="12"/>
                <w:szCs w:val="12"/>
              </w:rPr>
            </w:pPr>
            <w:r>
              <w:rPr>
                <w:sz w:val="12"/>
                <w:szCs w:val="12"/>
                <w:spacing w:val="3"/>
              </w:rPr>
              <w:t>直接使用</w:t>
            </w:r>
          </w:p>
        </w:tc>
        <w:tc>
          <w:tcPr>
            <w:tcW w:w="1529" w:type="dxa"/>
            <w:vAlign w:val="top"/>
          </w:tcPr>
          <w:p>
            <w:pPr>
              <w:pStyle w:val="TableText"/>
              <w:ind w:left="126"/>
              <w:spacing w:before="148" w:line="219" w:lineRule="auto"/>
              <w:rPr>
                <w:sz w:val="12"/>
                <w:szCs w:val="12"/>
              </w:rPr>
            </w:pPr>
            <w:r>
              <w:rPr>
                <w:sz w:val="12"/>
                <w:szCs w:val="12"/>
                <w:spacing w:val="-2"/>
              </w:rPr>
              <w:t>1次。后期补充水分即可</w:t>
            </w:r>
          </w:p>
        </w:tc>
        <w:tc>
          <w:tcPr>
            <w:tcW w:w="709" w:type="dxa"/>
            <w:vAlign w:val="top"/>
          </w:tcPr>
          <w:p>
            <w:pPr>
              <w:pStyle w:val="TableText"/>
              <w:ind w:left="177"/>
              <w:spacing w:before="144" w:line="214" w:lineRule="auto"/>
              <w:rPr>
                <w:sz w:val="12"/>
                <w:szCs w:val="12"/>
              </w:rPr>
            </w:pPr>
            <w:r>
              <w:rPr>
                <w:sz w:val="12"/>
                <w:szCs w:val="12"/>
                <w:spacing w:val="-3"/>
              </w:rPr>
              <w:t>lkg/袋</w:t>
            </w:r>
          </w:p>
        </w:tc>
        <w:tc>
          <w:tcPr>
            <w:tcW w:w="2543" w:type="dxa"/>
            <w:vAlign w:val="top"/>
          </w:tcPr>
          <w:p>
            <w:pPr>
              <w:pStyle w:val="TableText"/>
              <w:ind w:left="17"/>
              <w:spacing w:before="78" w:line="218" w:lineRule="auto"/>
              <w:rPr>
                <w:sz w:val="12"/>
                <w:szCs w:val="12"/>
              </w:rPr>
            </w:pPr>
            <w:r>
              <w:rPr>
                <w:sz w:val="12"/>
                <w:szCs w:val="12"/>
                <w:spacing w:val="-1"/>
              </w:rPr>
              <w:t>促使树体健壮，迅速补充营养，增强抗性，捉高</w:t>
            </w:r>
            <w:r>
              <w:rPr>
                <w:sz w:val="12"/>
                <w:szCs w:val="12"/>
                <w:spacing w:val="14"/>
              </w:rPr>
              <w:t xml:space="preserve"> </w:t>
            </w:r>
            <w:r>
              <w:rPr>
                <w:sz w:val="12"/>
                <w:szCs w:val="12"/>
                <w:spacing w:val="-2"/>
              </w:rPr>
              <w:t>成活率</w:t>
            </w:r>
          </w:p>
        </w:tc>
      </w:tr>
      <w:tr>
        <w:trPr>
          <w:trHeight w:val="66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278" w:line="219" w:lineRule="auto"/>
              <w:rPr>
                <w:sz w:val="12"/>
                <w:szCs w:val="12"/>
              </w:rPr>
            </w:pPr>
            <w:r>
              <w:rPr>
                <w:sz w:val="12"/>
                <w:szCs w:val="12"/>
                <w:spacing w:val="1"/>
              </w:rPr>
              <w:t>国光根盼</w:t>
            </w:r>
          </w:p>
        </w:tc>
        <w:tc>
          <w:tcPr>
            <w:tcW w:w="1899" w:type="dxa"/>
            <w:vAlign w:val="top"/>
          </w:tcPr>
          <w:p>
            <w:pPr>
              <w:pStyle w:val="TableText"/>
              <w:ind w:left="463"/>
              <w:spacing w:before="278" w:line="219" w:lineRule="auto"/>
              <w:rPr>
                <w:sz w:val="12"/>
                <w:szCs w:val="12"/>
              </w:rPr>
            </w:pPr>
            <w:r>
              <w:rPr>
                <w:sz w:val="12"/>
                <w:szCs w:val="12"/>
                <w:spacing w:val="-2"/>
              </w:rPr>
              <w:t>吲噪丁酸、蔡乙酸</w:t>
            </w:r>
          </w:p>
        </w:tc>
        <w:tc>
          <w:tcPr>
            <w:tcW w:w="1609" w:type="dxa"/>
            <w:vAlign w:val="top"/>
          </w:tcPr>
          <w:p>
            <w:pPr>
              <w:pStyle w:val="TableText"/>
              <w:ind w:left="345"/>
              <w:spacing w:before="278" w:line="219" w:lineRule="auto"/>
              <w:rPr>
                <w:sz w:val="12"/>
                <w:szCs w:val="12"/>
              </w:rPr>
            </w:pPr>
            <w:r>
              <w:rPr>
                <w:sz w:val="12"/>
                <w:szCs w:val="12"/>
                <w:spacing w:val="-1"/>
              </w:rPr>
              <w:t>稀释100-150倍液</w:t>
            </w:r>
          </w:p>
        </w:tc>
        <w:tc>
          <w:tcPr>
            <w:tcW w:w="1529" w:type="dxa"/>
            <w:vAlign w:val="top"/>
          </w:tcPr>
          <w:p>
            <w:pPr>
              <w:pStyle w:val="TableText"/>
              <w:ind w:left="35"/>
              <w:spacing w:before="138" w:line="200" w:lineRule="auto"/>
              <w:rPr>
                <w:sz w:val="12"/>
                <w:szCs w:val="12"/>
              </w:rPr>
            </w:pPr>
            <w:r>
              <w:rPr>
                <w:sz w:val="12"/>
                <w:szCs w:val="12"/>
                <w:spacing w:val="-1"/>
              </w:rPr>
              <w:t>视树木生长情况，生根剂类</w:t>
            </w:r>
          </w:p>
          <w:p>
            <w:pPr>
              <w:pStyle w:val="TableText"/>
              <w:ind w:left="55"/>
              <w:spacing w:line="219" w:lineRule="auto"/>
              <w:rPr>
                <w:sz w:val="12"/>
                <w:szCs w:val="12"/>
              </w:rPr>
            </w:pPr>
            <w:r>
              <w:rPr>
                <w:sz w:val="12"/>
                <w:szCs w:val="12"/>
                <w:spacing w:val="-1"/>
              </w:rPr>
              <w:t>种植前喷酒话种植后定根水</w:t>
            </w:r>
          </w:p>
          <w:p>
            <w:pPr>
              <w:pStyle w:val="TableText"/>
              <w:ind w:left="186"/>
              <w:spacing w:before="7" w:line="219" w:lineRule="auto"/>
              <w:rPr>
                <w:sz w:val="12"/>
                <w:szCs w:val="12"/>
              </w:rPr>
            </w:pPr>
            <w:r>
              <w:rPr>
                <w:sz w:val="12"/>
                <w:szCs w:val="12"/>
                <w:spacing w:val="-1"/>
              </w:rPr>
              <w:t>浇灌各使用一次效果好</w:t>
            </w:r>
          </w:p>
        </w:tc>
        <w:tc>
          <w:tcPr>
            <w:tcW w:w="709" w:type="dxa"/>
            <w:vAlign w:val="top"/>
          </w:tcPr>
          <w:p>
            <w:pPr>
              <w:pStyle w:val="TableText"/>
              <w:ind w:left="197"/>
              <w:spacing w:before="279" w:line="221" w:lineRule="auto"/>
              <w:rPr>
                <w:sz w:val="12"/>
                <w:szCs w:val="12"/>
              </w:rPr>
            </w:pPr>
            <w:r>
              <w:rPr>
                <w:sz w:val="12"/>
                <w:szCs w:val="12"/>
                <w:spacing w:val="-1"/>
              </w:rPr>
              <w:t>200mL/瓶</w:t>
            </w:r>
          </w:p>
        </w:tc>
        <w:tc>
          <w:tcPr>
            <w:tcW w:w="2543" w:type="dxa"/>
            <w:vAlign w:val="top"/>
          </w:tcPr>
          <w:p>
            <w:pPr>
              <w:pStyle w:val="TableText"/>
              <w:ind w:left="17"/>
              <w:spacing w:before="278" w:line="219" w:lineRule="auto"/>
              <w:rPr>
                <w:sz w:val="12"/>
                <w:szCs w:val="12"/>
              </w:rPr>
            </w:pPr>
            <w:r>
              <w:rPr>
                <w:sz w:val="12"/>
                <w:szCs w:val="12"/>
                <w:spacing w:val="-1"/>
              </w:rPr>
              <w:t>唤施土球，促进生根，提高成活率</w:t>
            </w:r>
          </w:p>
        </w:tc>
      </w:tr>
      <w:tr>
        <w:trPr>
          <w:trHeight w:val="35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232"/>
              <w:spacing w:before="119" w:line="219" w:lineRule="auto"/>
              <w:rPr>
                <w:sz w:val="12"/>
                <w:szCs w:val="12"/>
              </w:rPr>
            </w:pPr>
            <w:r>
              <w:rPr>
                <w:sz w:val="12"/>
                <w:szCs w:val="12"/>
                <w:spacing w:val="1"/>
              </w:rPr>
              <w:t>国光根动力2号</w:t>
            </w:r>
          </w:p>
        </w:tc>
        <w:tc>
          <w:tcPr>
            <w:tcW w:w="1899" w:type="dxa"/>
            <w:vAlign w:val="top"/>
          </w:tcPr>
          <w:p>
            <w:pPr>
              <w:pStyle w:val="TableText"/>
              <w:ind w:left="883" w:right="49" w:hanging="839"/>
              <w:spacing w:before="49" w:line="230" w:lineRule="auto"/>
              <w:rPr>
                <w:sz w:val="12"/>
                <w:szCs w:val="12"/>
              </w:rPr>
            </w:pPr>
            <w:r>
              <w:rPr>
                <w:sz w:val="12"/>
                <w:szCs w:val="12"/>
                <w:spacing w:val="-1"/>
              </w:rPr>
              <w:t>黎乙酸、啊噪丁酸、复确酚钠、微</w:t>
            </w:r>
            <w:r>
              <w:rPr>
                <w:sz w:val="12"/>
                <w:szCs w:val="12"/>
                <w:spacing w:val="9"/>
              </w:rPr>
              <w:t xml:space="preserve"> </w:t>
            </w:r>
            <w:r>
              <w:rPr>
                <w:sz w:val="12"/>
                <w:szCs w:val="12"/>
              </w:rPr>
              <w:t>肥</w:t>
            </w:r>
          </w:p>
        </w:tc>
        <w:tc>
          <w:tcPr>
            <w:tcW w:w="1609" w:type="dxa"/>
            <w:vAlign w:val="top"/>
          </w:tcPr>
          <w:p>
            <w:pPr>
              <w:pStyle w:val="TableText"/>
              <w:ind w:left="225"/>
              <w:spacing w:before="119" w:line="219" w:lineRule="auto"/>
              <w:rPr>
                <w:sz w:val="12"/>
                <w:szCs w:val="12"/>
              </w:rPr>
            </w:pPr>
            <w:r>
              <w:rPr>
                <w:sz w:val="12"/>
                <w:szCs w:val="12"/>
                <w:spacing w:val="-1"/>
              </w:rPr>
              <w:t>稀释100-200倍液浇灌</w:t>
            </w:r>
          </w:p>
        </w:tc>
        <w:tc>
          <w:tcPr>
            <w:tcW w:w="1529" w:type="dxa"/>
            <w:vAlign w:val="top"/>
          </w:tcPr>
          <w:p>
            <w:pPr>
              <w:pStyle w:val="TableText"/>
              <w:ind w:left="315" w:right="26" w:hanging="310"/>
              <w:spacing w:before="49" w:line="230" w:lineRule="auto"/>
              <w:rPr>
                <w:sz w:val="12"/>
                <w:szCs w:val="12"/>
              </w:rPr>
            </w:pPr>
            <w:r>
              <w:rPr>
                <w:sz w:val="12"/>
                <w:szCs w:val="12"/>
                <w:spacing w:val="-2"/>
              </w:rPr>
              <w:t>1次，定根水使用，后期复壮</w:t>
            </w:r>
            <w:r>
              <w:rPr>
                <w:sz w:val="12"/>
                <w:szCs w:val="12"/>
                <w:spacing w:val="11"/>
              </w:rPr>
              <w:t xml:space="preserve"> </w:t>
            </w:r>
            <w:r>
              <w:rPr>
                <w:sz w:val="12"/>
                <w:szCs w:val="12"/>
                <w:spacing w:val="-1"/>
              </w:rPr>
              <w:t>视情况使用2-3次</w:t>
            </w:r>
          </w:p>
        </w:tc>
        <w:tc>
          <w:tcPr>
            <w:tcW w:w="709" w:type="dxa"/>
            <w:vAlign w:val="top"/>
          </w:tcPr>
          <w:p>
            <w:pPr>
              <w:pStyle w:val="TableText"/>
              <w:ind w:left="247"/>
              <w:spacing w:before="120" w:line="221" w:lineRule="auto"/>
              <w:rPr>
                <w:sz w:val="12"/>
                <w:szCs w:val="12"/>
              </w:rPr>
            </w:pPr>
            <w:r>
              <w:rPr>
                <w:sz w:val="12"/>
                <w:szCs w:val="12"/>
                <w:spacing w:val="-2"/>
              </w:rPr>
              <w:t>IL/瓶</w:t>
            </w:r>
          </w:p>
        </w:tc>
        <w:tc>
          <w:tcPr>
            <w:tcW w:w="2543" w:type="dxa"/>
            <w:vAlign w:val="top"/>
          </w:tcPr>
          <w:p>
            <w:pPr>
              <w:pStyle w:val="TableText"/>
              <w:ind w:left="17"/>
              <w:spacing w:before="119" w:line="219" w:lineRule="auto"/>
              <w:rPr>
                <w:sz w:val="12"/>
                <w:szCs w:val="12"/>
              </w:rPr>
            </w:pPr>
            <w:r>
              <w:rPr>
                <w:sz w:val="12"/>
                <w:szCs w:val="12"/>
                <w:spacing w:val="-1"/>
              </w:rPr>
              <w:t>诱导树木快速生根，捉高移栽成活率</w:t>
            </w:r>
          </w:p>
        </w:tc>
      </w:tr>
      <w:tr>
        <w:trPr>
          <w:trHeight w:val="40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151" w:line="220" w:lineRule="auto"/>
              <w:rPr>
                <w:sz w:val="12"/>
                <w:szCs w:val="12"/>
              </w:rPr>
            </w:pPr>
            <w:r>
              <w:rPr>
                <w:sz w:val="12"/>
                <w:szCs w:val="12"/>
                <w:spacing w:val="1"/>
              </w:rPr>
              <w:t>中威复生灵</w:t>
            </w:r>
          </w:p>
        </w:tc>
        <w:tc>
          <w:tcPr>
            <w:tcW w:w="1899" w:type="dxa"/>
            <w:vAlign w:val="top"/>
          </w:tcPr>
          <w:p>
            <w:pPr>
              <w:pStyle w:val="TableText"/>
              <w:ind w:left="704" w:right="79" w:hanging="630"/>
              <w:spacing w:before="89" w:line="211" w:lineRule="auto"/>
              <w:rPr>
                <w:sz w:val="12"/>
                <w:szCs w:val="12"/>
              </w:rPr>
            </w:pPr>
            <w:r>
              <w:rPr>
                <w:sz w:val="12"/>
                <w:szCs w:val="12"/>
                <w:spacing w:val="-1"/>
              </w:rPr>
              <w:t>氨基酸大于等于10.0%,锰+锌大于</w:t>
            </w:r>
            <w:r>
              <w:rPr>
                <w:sz w:val="12"/>
                <w:szCs w:val="12"/>
                <w:spacing w:val="12"/>
              </w:rPr>
              <w:t xml:space="preserve"> </w:t>
            </w:r>
            <w:r>
              <w:rPr>
                <w:sz w:val="12"/>
                <w:szCs w:val="12"/>
                <w:spacing w:val="-1"/>
              </w:rPr>
              <w:t>等于2.0%</w:t>
            </w:r>
          </w:p>
        </w:tc>
        <w:tc>
          <w:tcPr>
            <w:tcW w:w="1609" w:type="dxa"/>
            <w:vAlign w:val="top"/>
          </w:tcPr>
          <w:p>
            <w:pPr>
              <w:pStyle w:val="TableText"/>
              <w:ind w:left="465"/>
              <w:spacing w:before="151" w:line="220" w:lineRule="auto"/>
              <w:rPr>
                <w:sz w:val="12"/>
                <w:szCs w:val="12"/>
              </w:rPr>
            </w:pPr>
            <w:r>
              <w:rPr>
                <w:sz w:val="12"/>
                <w:szCs w:val="12"/>
                <w:spacing w:val="-1"/>
              </w:rPr>
              <w:t>300-500倍液</w:t>
            </w:r>
          </w:p>
        </w:tc>
        <w:tc>
          <w:tcPr>
            <w:tcW w:w="1529" w:type="dxa"/>
            <w:vAlign w:val="top"/>
          </w:tcPr>
          <w:p>
            <w:pPr>
              <w:pStyle w:val="TableText"/>
              <w:ind w:left="606"/>
              <w:spacing w:before="150" w:line="219" w:lineRule="auto"/>
              <w:rPr>
                <w:sz w:val="12"/>
                <w:szCs w:val="12"/>
              </w:rPr>
            </w:pPr>
            <w:r>
              <w:rPr>
                <w:sz w:val="12"/>
                <w:szCs w:val="12"/>
                <w:spacing w:val="-4"/>
              </w:rPr>
              <w:t>1-2次</w:t>
            </w:r>
          </w:p>
        </w:tc>
        <w:tc>
          <w:tcPr>
            <w:tcW w:w="709" w:type="dxa"/>
            <w:vAlign w:val="top"/>
          </w:tcPr>
          <w:p>
            <w:pPr>
              <w:pStyle w:val="TableText"/>
              <w:ind w:left="147"/>
              <w:spacing w:before="146" w:line="214" w:lineRule="auto"/>
              <w:rPr>
                <w:sz w:val="12"/>
                <w:szCs w:val="12"/>
              </w:rPr>
            </w:pPr>
            <w:r>
              <w:rPr>
                <w:sz w:val="12"/>
                <w:szCs w:val="12"/>
                <w:spacing w:val="-1"/>
              </w:rPr>
              <w:t>200g/袋</w:t>
            </w:r>
          </w:p>
        </w:tc>
        <w:tc>
          <w:tcPr>
            <w:tcW w:w="2543" w:type="dxa"/>
            <w:vAlign w:val="top"/>
          </w:tcPr>
          <w:p>
            <w:pPr>
              <w:pStyle w:val="TableText"/>
              <w:ind w:left="17" w:right="7"/>
              <w:spacing w:before="90" w:line="210" w:lineRule="auto"/>
              <w:rPr>
                <w:sz w:val="12"/>
                <w:szCs w:val="12"/>
              </w:rPr>
            </w:pPr>
            <w:r>
              <w:rPr>
                <w:sz w:val="12"/>
                <w:szCs w:val="12"/>
                <w:spacing w:val="-1"/>
              </w:rPr>
              <w:t>防治根部病害，还可促进老化根系复苏，促使萌</w:t>
            </w:r>
            <w:r>
              <w:rPr>
                <w:sz w:val="12"/>
                <w:szCs w:val="12"/>
                <w:spacing w:val="7"/>
              </w:rPr>
              <w:t xml:space="preserve"> </w:t>
            </w:r>
            <w:r>
              <w:rPr>
                <w:sz w:val="12"/>
                <w:szCs w:val="12"/>
                <w:spacing w:val="-1"/>
              </w:rPr>
              <w:t>发新的有效根系。提高古树抗病和复壮能力</w:t>
            </w:r>
          </w:p>
        </w:tc>
      </w:tr>
      <w:tr>
        <w:trPr>
          <w:trHeight w:val="64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262"/>
              <w:spacing w:before="272" w:line="219" w:lineRule="auto"/>
              <w:rPr>
                <w:sz w:val="12"/>
                <w:szCs w:val="12"/>
              </w:rPr>
            </w:pPr>
            <w:r>
              <w:rPr>
                <w:sz w:val="12"/>
                <w:szCs w:val="12"/>
                <w:spacing w:val="-1"/>
              </w:rPr>
              <w:t>诺普信根聚地</w:t>
            </w:r>
          </w:p>
        </w:tc>
        <w:tc>
          <w:tcPr>
            <w:tcW w:w="1899" w:type="dxa"/>
            <w:vAlign w:val="top"/>
          </w:tcPr>
          <w:p>
            <w:pPr>
              <w:pStyle w:val="TableText"/>
              <w:ind w:left="284"/>
              <w:spacing w:before="181" w:line="219" w:lineRule="auto"/>
              <w:rPr>
                <w:sz w:val="12"/>
                <w:szCs w:val="12"/>
              </w:rPr>
            </w:pPr>
            <w:r>
              <w:rPr>
                <w:sz w:val="12"/>
                <w:szCs w:val="12"/>
                <w:spacing w:val="-1"/>
              </w:rPr>
              <w:t>有机质黄腐酸，大量元素</w:t>
            </w:r>
          </w:p>
          <w:p>
            <w:pPr>
              <w:pStyle w:val="TableText"/>
              <w:ind w:left="554"/>
              <w:spacing w:before="24" w:line="214" w:lineRule="auto"/>
              <w:rPr>
                <w:sz w:val="12"/>
                <w:szCs w:val="12"/>
              </w:rPr>
            </w:pPr>
            <w:r>
              <w:rPr>
                <w:sz w:val="12"/>
                <w:szCs w:val="12"/>
                <w:spacing w:val="-2"/>
              </w:rPr>
              <w:t>11g/L+454g/L.</w:t>
            </w:r>
          </w:p>
        </w:tc>
        <w:tc>
          <w:tcPr>
            <w:tcW w:w="1609" w:type="dxa"/>
            <w:vAlign w:val="top"/>
          </w:tcPr>
          <w:p>
            <w:pPr>
              <w:pStyle w:val="TableText"/>
              <w:ind w:left="525"/>
              <w:spacing w:before="272" w:line="220" w:lineRule="auto"/>
              <w:rPr>
                <w:sz w:val="12"/>
                <w:szCs w:val="12"/>
              </w:rPr>
            </w:pPr>
            <w:r>
              <w:rPr>
                <w:sz w:val="12"/>
                <w:szCs w:val="12"/>
                <w:spacing w:val="-6"/>
              </w:rPr>
              <w:t>600—800倍</w:t>
            </w:r>
          </w:p>
        </w:tc>
        <w:tc>
          <w:tcPr>
            <w:tcW w:w="1529" w:type="dxa"/>
            <w:vAlign w:val="top"/>
          </w:tcPr>
          <w:p>
            <w:pPr>
              <w:pStyle w:val="TableText"/>
              <w:ind w:left="35"/>
              <w:spacing w:before="111" w:line="219" w:lineRule="auto"/>
              <w:rPr>
                <w:sz w:val="12"/>
                <w:szCs w:val="12"/>
              </w:rPr>
            </w:pPr>
            <w:r>
              <w:rPr>
                <w:sz w:val="12"/>
                <w:szCs w:val="12"/>
                <w:spacing w:val="-1"/>
              </w:rPr>
              <w:t>视树木生长情况，生根剂类</w:t>
            </w:r>
          </w:p>
          <w:p>
            <w:pPr>
              <w:pStyle w:val="TableText"/>
              <w:ind w:left="35"/>
              <w:spacing w:before="18" w:line="219" w:lineRule="auto"/>
              <w:rPr>
                <w:sz w:val="12"/>
                <w:szCs w:val="12"/>
              </w:rPr>
            </w:pPr>
            <w:r>
              <w:rPr>
                <w:sz w:val="12"/>
                <w:szCs w:val="12"/>
                <w:spacing w:val="-1"/>
              </w:rPr>
              <w:t>种植前喷酒话种植后定根水</w:t>
            </w:r>
          </w:p>
          <w:p>
            <w:pPr>
              <w:pStyle w:val="TableText"/>
              <w:ind w:left="186"/>
              <w:spacing w:before="7" w:line="219" w:lineRule="auto"/>
              <w:rPr>
                <w:sz w:val="12"/>
                <w:szCs w:val="12"/>
              </w:rPr>
            </w:pPr>
            <w:r>
              <w:rPr>
                <w:sz w:val="12"/>
                <w:szCs w:val="12"/>
                <w:spacing w:val="-1"/>
              </w:rPr>
              <w:t>浇灌各使用一次效果好</w:t>
            </w:r>
          </w:p>
        </w:tc>
        <w:tc>
          <w:tcPr>
            <w:tcW w:w="709" w:type="dxa"/>
            <w:vAlign w:val="top"/>
          </w:tcPr>
          <w:p>
            <w:pPr>
              <w:pStyle w:val="TableText"/>
              <w:ind w:left="137"/>
              <w:spacing w:before="272" w:line="221" w:lineRule="auto"/>
              <w:rPr>
                <w:sz w:val="12"/>
                <w:szCs w:val="12"/>
              </w:rPr>
            </w:pPr>
            <w:r>
              <w:rPr>
                <w:sz w:val="12"/>
                <w:szCs w:val="12"/>
                <w:spacing w:val="-1"/>
              </w:rPr>
              <w:t>5000ml/瓶</w:t>
            </w:r>
          </w:p>
        </w:tc>
        <w:tc>
          <w:tcPr>
            <w:tcW w:w="2543" w:type="dxa"/>
            <w:vAlign w:val="top"/>
          </w:tcPr>
          <w:p>
            <w:pPr>
              <w:pStyle w:val="TableText"/>
              <w:ind w:left="17" w:right="120"/>
              <w:spacing w:before="181" w:line="248" w:lineRule="auto"/>
              <w:rPr>
                <w:sz w:val="12"/>
                <w:szCs w:val="12"/>
              </w:rPr>
            </w:pPr>
            <w:r>
              <w:rPr>
                <w:sz w:val="12"/>
                <w:szCs w:val="12"/>
                <w:spacing w:val="-1"/>
              </w:rPr>
              <w:t>提供根系生长发育内源功力。诱导刺激棍系活</w:t>
            </w:r>
            <w:r>
              <w:rPr>
                <w:sz w:val="12"/>
                <w:szCs w:val="12"/>
                <w:spacing w:val="13"/>
              </w:rPr>
              <w:t xml:space="preserve"> </w:t>
            </w:r>
            <w:r>
              <w:rPr>
                <w:sz w:val="12"/>
                <w:szCs w:val="12"/>
                <w:spacing w:val="-1"/>
              </w:rPr>
              <w:t>力，提高移栽成活率，促进草坪快速生根成块</w:t>
            </w:r>
          </w:p>
        </w:tc>
      </w:tr>
      <w:tr>
        <w:trPr>
          <w:trHeight w:val="270"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82" w:line="219" w:lineRule="auto"/>
              <w:rPr>
                <w:sz w:val="12"/>
                <w:szCs w:val="12"/>
              </w:rPr>
            </w:pPr>
            <w:r>
              <w:rPr>
                <w:sz w:val="12"/>
                <w:szCs w:val="12"/>
                <w:spacing w:val="2"/>
              </w:rPr>
              <w:t>国光树动力</w:t>
            </w:r>
          </w:p>
        </w:tc>
        <w:tc>
          <w:tcPr>
            <w:tcW w:w="1899" w:type="dxa"/>
            <w:vAlign w:val="top"/>
          </w:tcPr>
          <w:p>
            <w:pPr>
              <w:pStyle w:val="TableText"/>
              <w:ind w:left="704" w:right="50" w:hanging="660"/>
              <w:spacing w:before="13" w:line="190"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tc>
        <w:tc>
          <w:tcPr>
            <w:tcW w:w="1609" w:type="dxa"/>
            <w:vAlign w:val="top"/>
          </w:tcPr>
          <w:p>
            <w:pPr>
              <w:pStyle w:val="TableText"/>
              <w:ind w:left="14" w:right="29"/>
              <w:spacing w:before="23" w:line="182" w:lineRule="auto"/>
              <w:rPr>
                <w:sz w:val="12"/>
                <w:szCs w:val="12"/>
              </w:rPr>
            </w:pPr>
            <w:r>
              <w:rPr>
                <w:sz w:val="12"/>
                <w:szCs w:val="12"/>
                <w:spacing w:val="-1"/>
              </w:rPr>
              <w:t>直接使用，一般胸径8-10cn插</w:t>
            </w:r>
            <w:r>
              <w:rPr>
                <w:sz w:val="12"/>
                <w:szCs w:val="12"/>
                <w:spacing w:val="9"/>
              </w:rPr>
              <w:t xml:space="preserve"> </w:t>
            </w:r>
            <w:r>
              <w:rPr>
                <w:sz w:val="12"/>
                <w:szCs w:val="12"/>
                <w:spacing w:val="-1"/>
              </w:rPr>
              <w:t>瓶，胸径每增加10cm增加瓶</w:t>
            </w:r>
          </w:p>
        </w:tc>
        <w:tc>
          <w:tcPr>
            <w:tcW w:w="1529" w:type="dxa"/>
            <w:vAlign w:val="top"/>
          </w:tcPr>
          <w:p>
            <w:pPr>
              <w:pStyle w:val="TableText"/>
              <w:ind w:left="485" w:right="48" w:hanging="450"/>
              <w:spacing w:before="13" w:line="190" w:lineRule="auto"/>
              <w:rPr>
                <w:sz w:val="12"/>
                <w:szCs w:val="12"/>
              </w:rPr>
            </w:pPr>
            <w:r>
              <w:rPr>
                <w:sz w:val="12"/>
                <w:szCs w:val="12"/>
                <w:spacing w:val="-1"/>
              </w:rPr>
              <w:t>衰弱树木复壮使用，视情况</w:t>
            </w:r>
            <w:r>
              <w:rPr>
                <w:sz w:val="12"/>
                <w:szCs w:val="12"/>
                <w:spacing w:val="5"/>
              </w:rPr>
              <w:t xml:space="preserve"> </w:t>
            </w:r>
            <w:r>
              <w:rPr>
                <w:sz w:val="12"/>
                <w:szCs w:val="12"/>
                <w:spacing w:val="-1"/>
              </w:rPr>
              <w:t>使用1-3次</w:t>
            </w:r>
          </w:p>
        </w:tc>
        <w:tc>
          <w:tcPr>
            <w:tcW w:w="709" w:type="dxa"/>
            <w:vAlign w:val="top"/>
          </w:tcPr>
          <w:p>
            <w:pPr>
              <w:pStyle w:val="TableText"/>
              <w:ind w:left="197"/>
              <w:spacing w:before="83" w:line="221" w:lineRule="auto"/>
              <w:rPr>
                <w:sz w:val="12"/>
                <w:szCs w:val="12"/>
              </w:rPr>
            </w:pPr>
            <w:r>
              <w:rPr>
                <w:sz w:val="12"/>
                <w:szCs w:val="12"/>
                <w:spacing w:val="-1"/>
              </w:rPr>
              <w:t>300ml/瓶</w:t>
            </w:r>
          </w:p>
        </w:tc>
        <w:tc>
          <w:tcPr>
            <w:tcW w:w="2543" w:type="dxa"/>
            <w:vAlign w:val="top"/>
          </w:tcPr>
          <w:p>
            <w:pPr>
              <w:pStyle w:val="TableText"/>
              <w:ind w:left="17"/>
              <w:spacing w:before="82" w:line="219" w:lineRule="auto"/>
              <w:rPr>
                <w:sz w:val="12"/>
                <w:szCs w:val="12"/>
              </w:rPr>
            </w:pPr>
            <w:r>
              <w:rPr>
                <w:sz w:val="12"/>
                <w:szCs w:val="12"/>
                <w:spacing w:val="-1"/>
              </w:rPr>
              <w:t>大树直插瓶，大树古树复壮</w:t>
            </w:r>
          </w:p>
        </w:tc>
      </w:tr>
      <w:tr>
        <w:trPr>
          <w:trHeight w:val="43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62" w:line="219" w:lineRule="auto"/>
              <w:rPr>
                <w:sz w:val="12"/>
                <w:szCs w:val="12"/>
              </w:rPr>
            </w:pPr>
            <w:r>
              <w:rPr>
                <w:sz w:val="12"/>
                <w:szCs w:val="12"/>
                <w:spacing w:val="1"/>
              </w:rPr>
              <w:t>国光棒肥</w:t>
            </w:r>
          </w:p>
        </w:tc>
        <w:tc>
          <w:tcPr>
            <w:tcW w:w="1899" w:type="dxa"/>
            <w:vAlign w:val="top"/>
          </w:tcPr>
          <w:p>
            <w:pPr>
              <w:pStyle w:val="TableText"/>
              <w:ind w:left="164"/>
              <w:spacing w:before="162" w:line="219" w:lineRule="auto"/>
              <w:rPr>
                <w:sz w:val="12"/>
                <w:szCs w:val="12"/>
              </w:rPr>
            </w:pPr>
            <w:r>
              <w:rPr>
                <w:sz w:val="12"/>
                <w:szCs w:val="12"/>
                <w:spacing w:val="-1"/>
              </w:rPr>
              <w:t>微肥、稀有元素、大量元素肥</w:t>
            </w:r>
          </w:p>
        </w:tc>
        <w:tc>
          <w:tcPr>
            <w:tcW w:w="1609" w:type="dxa"/>
            <w:vAlign w:val="top"/>
          </w:tcPr>
          <w:p>
            <w:pPr>
              <w:pStyle w:val="TableText"/>
              <w:ind w:left="103" w:right="58" w:hanging="29"/>
              <w:spacing w:before="12" w:line="200" w:lineRule="auto"/>
              <w:rPr>
                <w:sz w:val="11"/>
                <w:szCs w:val="11"/>
              </w:rPr>
            </w:pPr>
            <w:r>
              <w:rPr>
                <w:sz w:val="11"/>
                <w:szCs w:val="11"/>
                <w:spacing w:val="10"/>
              </w:rPr>
              <w:t>Ⅱ使用，权据树的网控进行</w:t>
            </w:r>
            <w:r>
              <w:rPr>
                <w:sz w:val="11"/>
                <w:szCs w:val="11"/>
                <w:spacing w:val="4"/>
              </w:rPr>
              <w:t xml:space="preserve"> </w:t>
            </w:r>
            <w:r>
              <w:rPr>
                <w:sz w:val="11"/>
                <w:szCs w:val="11"/>
                <w:spacing w:val="7"/>
              </w:rPr>
              <w:t>调整：10c一下的树1-2支，</w:t>
            </w:r>
          </w:p>
          <w:p>
            <w:pPr>
              <w:pStyle w:val="TableText"/>
              <w:ind w:left="562" w:hanging="548"/>
              <w:spacing w:line="164" w:lineRule="auto"/>
              <w:rPr>
                <w:sz w:val="11"/>
                <w:szCs w:val="11"/>
              </w:rPr>
            </w:pPr>
            <w:r>
              <w:rPr>
                <w:sz w:val="9"/>
                <w:szCs w:val="9"/>
                <w:spacing w:val="-6"/>
              </w:rPr>
              <w:t>1</w:t>
            </w:r>
            <w:r>
              <w:rPr>
                <w:sz w:val="9"/>
                <w:szCs w:val="9"/>
                <w:spacing w:val="-4"/>
              </w:rPr>
              <w:t xml:space="preserve"> </w:t>
            </w:r>
            <w:r>
              <w:rPr>
                <w:sz w:val="9"/>
                <w:szCs w:val="9"/>
                <w:spacing w:val="-6"/>
              </w:rPr>
              <w:t>0</w:t>
            </w:r>
            <w:r>
              <w:rPr>
                <w:sz w:val="9"/>
                <w:szCs w:val="9"/>
                <w:spacing w:val="-12"/>
              </w:rPr>
              <w:t xml:space="preserve"> </w:t>
            </w:r>
            <w:r>
              <w:rPr>
                <w:sz w:val="9"/>
                <w:szCs w:val="9"/>
                <w:spacing w:val="-6"/>
              </w:rPr>
              <w:t>c 以</w:t>
            </w:r>
            <w:r>
              <w:rPr>
                <w:sz w:val="9"/>
                <w:szCs w:val="9"/>
                <w:spacing w:val="-12"/>
              </w:rPr>
              <w:t xml:space="preserve"> </w:t>
            </w:r>
            <w:r>
              <w:rPr>
                <w:sz w:val="9"/>
                <w:szCs w:val="9"/>
                <w:spacing w:val="-6"/>
              </w:rPr>
              <w:t>上 的</w:t>
            </w:r>
            <w:r>
              <w:rPr>
                <w:sz w:val="9"/>
                <w:szCs w:val="9"/>
                <w:spacing w:val="-13"/>
              </w:rPr>
              <w:t xml:space="preserve"> </w:t>
            </w:r>
            <w:r>
              <w:rPr>
                <w:sz w:val="9"/>
                <w:szCs w:val="9"/>
                <w:spacing w:val="-6"/>
              </w:rPr>
              <w:t>材</w:t>
            </w:r>
            <w:r>
              <w:rPr>
                <w:sz w:val="9"/>
                <w:szCs w:val="9"/>
                <w:spacing w:val="-13"/>
              </w:rPr>
              <w:t xml:space="preserve"> </w:t>
            </w:r>
            <w:r>
              <w:rPr>
                <w:sz w:val="9"/>
                <w:szCs w:val="9"/>
                <w:spacing w:val="-6"/>
              </w:rPr>
              <w:t>胸</w:t>
            </w:r>
            <w:r>
              <w:rPr>
                <w:sz w:val="9"/>
                <w:szCs w:val="9"/>
                <w:spacing w:val="-13"/>
              </w:rPr>
              <w:t xml:space="preserve"> </w:t>
            </w:r>
            <w:r>
              <w:rPr>
                <w:sz w:val="9"/>
                <w:szCs w:val="9"/>
                <w:spacing w:val="-6"/>
              </w:rPr>
              <w:t>择</w:t>
            </w:r>
            <w:r>
              <w:rPr>
                <w:sz w:val="9"/>
                <w:szCs w:val="9"/>
                <w:spacing w:val="-13"/>
              </w:rPr>
              <w:t xml:space="preserve"> </w:t>
            </w:r>
            <w:r>
              <w:rPr>
                <w:sz w:val="9"/>
                <w:szCs w:val="9"/>
                <w:spacing w:val="-6"/>
              </w:rPr>
              <w:t>每</w:t>
            </w:r>
            <w:r>
              <w:rPr>
                <w:sz w:val="9"/>
                <w:szCs w:val="9"/>
                <w:spacing w:val="-12"/>
              </w:rPr>
              <w:t xml:space="preserve"> </w:t>
            </w:r>
            <w:r>
              <w:rPr>
                <w:sz w:val="9"/>
                <w:szCs w:val="9"/>
                <w:spacing w:val="-6"/>
              </w:rPr>
              <w:t>增</w:t>
            </w:r>
            <w:r>
              <w:rPr>
                <w:sz w:val="9"/>
                <w:szCs w:val="9"/>
                <w:spacing w:val="-13"/>
              </w:rPr>
              <w:t xml:space="preserve"> </w:t>
            </w:r>
            <w:r>
              <w:rPr>
                <w:sz w:val="9"/>
                <w:szCs w:val="9"/>
                <w:spacing w:val="-6"/>
              </w:rPr>
              <w:t>加</w:t>
            </w:r>
            <w:r>
              <w:rPr>
                <w:sz w:val="9"/>
                <w:szCs w:val="9"/>
                <w:spacing w:val="-12"/>
              </w:rPr>
              <w:t xml:space="preserve"> </w:t>
            </w:r>
            <w:r>
              <w:rPr>
                <w:sz w:val="9"/>
                <w:szCs w:val="9"/>
                <w:spacing w:val="-6"/>
              </w:rPr>
              <w:t>5</w:t>
            </w:r>
            <w:r>
              <w:rPr>
                <w:sz w:val="9"/>
                <w:szCs w:val="9"/>
                <w:spacing w:val="-11"/>
              </w:rPr>
              <w:t xml:space="preserve"> </w:t>
            </w:r>
            <w:r>
              <w:rPr>
                <w:sz w:val="9"/>
                <w:szCs w:val="9"/>
                <w:spacing w:val="-6"/>
              </w:rPr>
              <w:t>c</w:t>
            </w:r>
            <w:r>
              <w:rPr>
                <w:sz w:val="9"/>
                <w:szCs w:val="9"/>
                <w:spacing w:val="-15"/>
              </w:rPr>
              <w:t xml:space="preserve"> </w:t>
            </w:r>
            <w:r>
              <w:rPr>
                <w:sz w:val="9"/>
                <w:szCs w:val="9"/>
                <w:spacing w:val="-6"/>
              </w:rPr>
              <w:t>m</w:t>
            </w:r>
            <w:r>
              <w:rPr>
                <w:sz w:val="9"/>
                <w:szCs w:val="9"/>
                <w:spacing w:val="-11"/>
              </w:rPr>
              <w:t xml:space="preserve"> </w:t>
            </w:r>
            <w:r>
              <w:rPr>
                <w:sz w:val="9"/>
                <w:szCs w:val="9"/>
                <w:spacing w:val="-6"/>
              </w:rPr>
              <w:t>则</w:t>
            </w:r>
            <w:r>
              <w:rPr>
                <w:sz w:val="9"/>
                <w:szCs w:val="9"/>
              </w:rPr>
              <w:t xml:space="preserve"> </w:t>
            </w:r>
            <w:r>
              <w:rPr>
                <w:sz w:val="11"/>
                <w:szCs w:val="11"/>
                <w:spacing w:val="-2"/>
              </w:rPr>
              <w:t>潜加变</w:t>
            </w:r>
          </w:p>
        </w:tc>
        <w:tc>
          <w:tcPr>
            <w:tcW w:w="1529" w:type="dxa"/>
            <w:vAlign w:val="top"/>
          </w:tcPr>
          <w:p>
            <w:pPr>
              <w:pStyle w:val="TableText"/>
              <w:ind w:left="235" w:right="49" w:hanging="200"/>
              <w:spacing w:before="103" w:line="217" w:lineRule="auto"/>
              <w:rPr>
                <w:sz w:val="12"/>
                <w:szCs w:val="12"/>
              </w:rPr>
            </w:pPr>
            <w:r>
              <w:rPr>
                <w:sz w:val="12"/>
                <w:szCs w:val="12"/>
                <w:spacing w:val="-1"/>
              </w:rPr>
              <w:t>最性春季使用一次，视苗木</w:t>
            </w:r>
            <w:r>
              <w:rPr>
                <w:sz w:val="12"/>
                <w:szCs w:val="12"/>
                <w:spacing w:val="4"/>
              </w:rPr>
              <w:t xml:space="preserve"> </w:t>
            </w:r>
            <w:r>
              <w:rPr>
                <w:sz w:val="12"/>
                <w:szCs w:val="12"/>
                <w:spacing w:val="1"/>
              </w:rPr>
              <w:t>生长情况可随时使用</w:t>
            </w:r>
          </w:p>
        </w:tc>
        <w:tc>
          <w:tcPr>
            <w:tcW w:w="709" w:type="dxa"/>
            <w:vAlign w:val="top"/>
          </w:tcPr>
          <w:p>
            <w:pPr>
              <w:pStyle w:val="TableText"/>
              <w:ind w:left="16"/>
              <w:spacing w:before="163" w:line="220" w:lineRule="auto"/>
              <w:rPr>
                <w:sz w:val="12"/>
                <w:szCs w:val="12"/>
              </w:rPr>
            </w:pPr>
            <w:r>
              <w:rPr>
                <w:sz w:val="12"/>
                <w:szCs w:val="12"/>
                <w:spacing w:val="-1"/>
              </w:rPr>
              <w:t>3*15cm10根</w:t>
            </w:r>
          </w:p>
        </w:tc>
        <w:tc>
          <w:tcPr>
            <w:tcW w:w="2543" w:type="dxa"/>
            <w:vAlign w:val="top"/>
          </w:tcPr>
          <w:p>
            <w:pPr>
              <w:pStyle w:val="TableText"/>
              <w:ind w:left="17"/>
              <w:spacing w:before="162" w:line="219" w:lineRule="auto"/>
              <w:rPr>
                <w:sz w:val="12"/>
                <w:szCs w:val="12"/>
              </w:rPr>
            </w:pPr>
            <w:r>
              <w:rPr>
                <w:sz w:val="12"/>
                <w:szCs w:val="12"/>
                <w:spacing w:val="-1"/>
              </w:rPr>
              <w:t>古树，病树，剥树复壮</w:t>
            </w:r>
          </w:p>
        </w:tc>
      </w:tr>
      <w:tr>
        <w:trPr>
          <w:trHeight w:val="459" w:hRule="atLeast"/>
        </w:trPr>
        <w:tc>
          <w:tcPr>
            <w:tcW w:w="425" w:type="dxa"/>
            <w:vAlign w:val="top"/>
            <w:vMerge w:val="continue"/>
            <w:tcBorders>
              <w:top w:val="nil"/>
              <w:bottom w:val="nil"/>
            </w:tcBorders>
          </w:tcPr>
          <w:p>
            <w:pPr>
              <w:rPr>
                <w:rFonts w:ascii="Arial"/>
                <w:sz w:val="21"/>
              </w:rPr>
            </w:pPr>
            <w:r/>
          </w:p>
        </w:tc>
        <w:tc>
          <w:tcPr>
            <w:tcW w:w="530" w:type="dxa"/>
            <w:vAlign w:val="top"/>
            <w:vMerge w:val="continue"/>
            <w:tcBorders>
              <w:top w:val="nil"/>
              <w:bottom w:val="nil"/>
            </w:tcBorders>
          </w:tcPr>
          <w:p>
            <w:pPr>
              <w:rPr>
                <w:rFonts w:ascii="Arial"/>
                <w:sz w:val="21"/>
              </w:rPr>
            </w:pPr>
            <w:r/>
          </w:p>
        </w:tc>
        <w:tc>
          <w:tcPr>
            <w:tcW w:w="989" w:type="dxa"/>
            <w:vAlign w:val="top"/>
            <w:vMerge w:val="continue"/>
            <w:tcBorders>
              <w:top w:val="nil"/>
              <w:bottom w:val="nil"/>
            </w:tcBorders>
          </w:tcPr>
          <w:p>
            <w:pPr>
              <w:rPr>
                <w:rFonts w:ascii="Arial"/>
                <w:sz w:val="21"/>
              </w:rPr>
            </w:pPr>
            <w:r/>
          </w:p>
        </w:tc>
        <w:tc>
          <w:tcPr>
            <w:tcW w:w="257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74" w:line="220" w:lineRule="auto"/>
              <w:rPr>
                <w:sz w:val="12"/>
                <w:szCs w:val="12"/>
              </w:rPr>
            </w:pPr>
            <w:r>
              <w:rPr>
                <w:sz w:val="12"/>
                <w:szCs w:val="12"/>
                <w:spacing w:val="-1"/>
              </w:rPr>
              <w:t>氨基酸铁</w:t>
            </w:r>
          </w:p>
        </w:tc>
        <w:tc>
          <w:tcPr>
            <w:tcW w:w="1899" w:type="dxa"/>
            <w:vAlign w:val="top"/>
          </w:tcPr>
          <w:p>
            <w:pPr>
              <w:pStyle w:val="TableText"/>
              <w:ind w:left="493"/>
              <w:spacing w:before="174" w:line="220" w:lineRule="auto"/>
              <w:rPr>
                <w:sz w:val="12"/>
                <w:szCs w:val="12"/>
              </w:rPr>
            </w:pPr>
            <w:r>
              <w:rPr>
                <w:sz w:val="12"/>
                <w:szCs w:val="12"/>
                <w:spacing w:val="-2"/>
              </w:rPr>
              <w:t>12%氨基酸整合铁</w:t>
            </w:r>
          </w:p>
        </w:tc>
        <w:tc>
          <w:tcPr>
            <w:tcW w:w="1609" w:type="dxa"/>
            <w:vAlign w:val="top"/>
          </w:tcPr>
          <w:p>
            <w:pPr>
              <w:pStyle w:val="TableText"/>
              <w:ind w:left="345"/>
              <w:spacing w:before="173" w:line="219" w:lineRule="auto"/>
              <w:rPr>
                <w:sz w:val="12"/>
                <w:szCs w:val="12"/>
              </w:rPr>
            </w:pPr>
            <w:r>
              <w:rPr>
                <w:sz w:val="12"/>
                <w:szCs w:val="12"/>
                <w:spacing w:val="-1"/>
              </w:rPr>
              <w:t>稀释600-800倍液</w:t>
            </w:r>
          </w:p>
        </w:tc>
        <w:tc>
          <w:tcPr>
            <w:tcW w:w="1529" w:type="dxa"/>
            <w:vAlign w:val="top"/>
          </w:tcPr>
          <w:p>
            <w:pPr>
              <w:pStyle w:val="TableText"/>
              <w:ind w:left="606"/>
              <w:spacing w:before="173" w:line="219" w:lineRule="auto"/>
              <w:rPr>
                <w:sz w:val="12"/>
                <w:szCs w:val="12"/>
              </w:rPr>
            </w:pPr>
            <w:r>
              <w:rPr>
                <w:sz w:val="12"/>
                <w:szCs w:val="12"/>
                <w:spacing w:val="-2"/>
              </w:rPr>
              <w:t>2-3次</w:t>
            </w:r>
          </w:p>
        </w:tc>
        <w:tc>
          <w:tcPr>
            <w:tcW w:w="709" w:type="dxa"/>
            <w:vAlign w:val="top"/>
          </w:tcPr>
          <w:p>
            <w:pPr>
              <w:pStyle w:val="TableText"/>
              <w:ind w:left="147"/>
              <w:spacing w:before="169" w:line="214" w:lineRule="auto"/>
              <w:rPr>
                <w:sz w:val="12"/>
                <w:szCs w:val="12"/>
              </w:rPr>
            </w:pPr>
            <w:r>
              <w:rPr>
                <w:sz w:val="12"/>
                <w:szCs w:val="12"/>
                <w:spacing w:val="-1"/>
              </w:rPr>
              <w:t>500g/瓶</w:t>
            </w:r>
          </w:p>
        </w:tc>
        <w:tc>
          <w:tcPr>
            <w:tcW w:w="2543" w:type="dxa"/>
            <w:vAlign w:val="top"/>
          </w:tcPr>
          <w:p>
            <w:pPr>
              <w:pStyle w:val="TableText"/>
              <w:ind w:left="17"/>
              <w:spacing w:before="173" w:line="219" w:lineRule="auto"/>
              <w:rPr>
                <w:sz w:val="12"/>
                <w:szCs w:val="12"/>
              </w:rPr>
            </w:pPr>
            <w:r>
              <w:rPr>
                <w:sz w:val="12"/>
                <w:szCs w:val="12"/>
              </w:rPr>
              <w:t>防治因缺铁引起的黄化症。</w:t>
            </w:r>
          </w:p>
        </w:tc>
      </w:tr>
      <w:tr>
        <w:trPr>
          <w:trHeight w:val="454" w:hRule="atLeast"/>
        </w:trPr>
        <w:tc>
          <w:tcPr>
            <w:tcW w:w="425" w:type="dxa"/>
            <w:vAlign w:val="top"/>
            <w:vMerge w:val="continue"/>
            <w:tcBorders>
              <w:top w:val="nil"/>
            </w:tcBorders>
          </w:tcPr>
          <w:p>
            <w:pPr>
              <w:rPr>
                <w:rFonts w:ascii="Arial"/>
                <w:sz w:val="21"/>
              </w:rPr>
            </w:pPr>
            <w:r/>
          </w:p>
        </w:tc>
        <w:tc>
          <w:tcPr>
            <w:tcW w:w="530"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c>
          <w:tcPr>
            <w:tcW w:w="2578" w:type="dxa"/>
            <w:vAlign w:val="top"/>
            <w:vMerge w:val="continue"/>
            <w:tcBorders>
              <w:top w:val="nil"/>
            </w:tcBorders>
          </w:tcPr>
          <w:p>
            <w:pPr>
              <w:rPr>
                <w:rFonts w:ascii="Arial"/>
                <w:sz w:val="21"/>
              </w:rPr>
            </w:pPr>
            <w:r/>
          </w:p>
        </w:tc>
        <w:tc>
          <w:tcPr>
            <w:tcW w:w="1259" w:type="dxa"/>
            <w:vAlign w:val="top"/>
          </w:tcPr>
          <w:p>
            <w:pPr>
              <w:pStyle w:val="TableText"/>
              <w:ind w:left="383"/>
              <w:spacing w:before="175" w:line="220" w:lineRule="auto"/>
              <w:rPr>
                <w:sz w:val="12"/>
                <w:szCs w:val="12"/>
              </w:rPr>
            </w:pPr>
            <w:r>
              <w:rPr>
                <w:sz w:val="12"/>
                <w:szCs w:val="12"/>
                <w:spacing w:val="-1"/>
              </w:rPr>
              <w:t>氦基酸钾</w:t>
            </w:r>
          </w:p>
        </w:tc>
        <w:tc>
          <w:tcPr>
            <w:tcW w:w="1899" w:type="dxa"/>
            <w:vAlign w:val="top"/>
          </w:tcPr>
          <w:p>
            <w:pPr>
              <w:pStyle w:val="TableText"/>
              <w:ind w:left="493"/>
              <w:spacing w:before="175" w:line="220" w:lineRule="auto"/>
              <w:rPr>
                <w:sz w:val="12"/>
                <w:szCs w:val="12"/>
              </w:rPr>
            </w:pPr>
            <w:r>
              <w:rPr>
                <w:sz w:val="12"/>
                <w:szCs w:val="12"/>
                <w:spacing w:val="1"/>
              </w:rPr>
              <w:t>12%瓶基酸整合钾</w:t>
            </w:r>
          </w:p>
        </w:tc>
        <w:tc>
          <w:tcPr>
            <w:tcW w:w="1609" w:type="dxa"/>
            <w:vAlign w:val="top"/>
          </w:tcPr>
          <w:p>
            <w:pPr>
              <w:pStyle w:val="TableText"/>
              <w:ind w:left="345"/>
              <w:spacing w:before="174" w:line="219" w:lineRule="auto"/>
              <w:rPr>
                <w:sz w:val="12"/>
                <w:szCs w:val="12"/>
              </w:rPr>
            </w:pPr>
            <w:r>
              <w:rPr>
                <w:sz w:val="12"/>
                <w:szCs w:val="12"/>
                <w:spacing w:val="-1"/>
              </w:rPr>
              <w:t>稀释600-800倍液</w:t>
            </w:r>
          </w:p>
        </w:tc>
        <w:tc>
          <w:tcPr>
            <w:tcW w:w="1529" w:type="dxa"/>
            <w:vAlign w:val="top"/>
          </w:tcPr>
          <w:p>
            <w:pPr>
              <w:pStyle w:val="TableText"/>
              <w:ind w:left="606"/>
              <w:spacing w:before="174" w:line="219" w:lineRule="auto"/>
              <w:rPr>
                <w:sz w:val="12"/>
                <w:szCs w:val="12"/>
              </w:rPr>
            </w:pPr>
            <w:r>
              <w:rPr>
                <w:sz w:val="12"/>
                <w:szCs w:val="12"/>
                <w:spacing w:val="-2"/>
              </w:rPr>
              <w:t>2-3次</w:t>
            </w:r>
          </w:p>
        </w:tc>
        <w:tc>
          <w:tcPr>
            <w:tcW w:w="709" w:type="dxa"/>
            <w:vAlign w:val="top"/>
          </w:tcPr>
          <w:p>
            <w:pPr>
              <w:pStyle w:val="TableText"/>
              <w:ind w:left="157"/>
              <w:spacing w:before="170" w:line="214" w:lineRule="auto"/>
              <w:rPr>
                <w:sz w:val="12"/>
                <w:szCs w:val="12"/>
              </w:rPr>
            </w:pPr>
            <w:r>
              <w:rPr>
                <w:sz w:val="12"/>
                <w:szCs w:val="12"/>
                <w:spacing w:val="-1"/>
              </w:rPr>
              <w:t>500g/般</w:t>
            </w:r>
          </w:p>
        </w:tc>
        <w:tc>
          <w:tcPr>
            <w:tcW w:w="2543" w:type="dxa"/>
            <w:vAlign w:val="top"/>
          </w:tcPr>
          <w:p>
            <w:pPr>
              <w:pStyle w:val="TableText"/>
              <w:ind w:left="17"/>
              <w:spacing w:before="174" w:line="219" w:lineRule="auto"/>
              <w:rPr>
                <w:sz w:val="12"/>
                <w:szCs w:val="12"/>
              </w:rPr>
            </w:pPr>
            <w:r>
              <w:rPr>
                <w:sz w:val="12"/>
                <w:szCs w:val="12"/>
              </w:rPr>
              <w:t>防治因缺钾引起的植株瘦弱，生长不良</w:t>
            </w:r>
          </w:p>
        </w:tc>
      </w:tr>
    </w:tbl>
    <w:p>
      <w:pPr>
        <w:rPr>
          <w:rFonts w:ascii="Arial"/>
          <w:sz w:val="21"/>
        </w:rPr>
      </w:pPr>
      <w:r/>
    </w:p>
    <w:p>
      <w:pPr>
        <w:sectPr>
          <w:pgSz w:w="14490" w:h="10240"/>
          <w:pgMar w:top="125" w:right="264" w:bottom="400" w:left="144" w:header="0" w:footer="0" w:gutter="0"/>
        </w:sectPr>
        <w:rPr>
          <w:rFonts w:ascii="Arial" w:hAnsi="Arial" w:eastAsia="Arial" w:cs="Arial"/>
          <w:sz w:val="21"/>
          <w:szCs w:val="21"/>
        </w:rPr>
      </w:pPr>
    </w:p>
    <w:tbl>
      <w:tblPr>
        <w:tblStyle w:val="TableNormal"/>
        <w:tblW w:w="1411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59"/>
        <w:gridCol w:w="979"/>
        <w:gridCol w:w="2568"/>
        <w:gridCol w:w="1269"/>
        <w:gridCol w:w="1889"/>
        <w:gridCol w:w="1599"/>
        <w:gridCol w:w="1559"/>
        <w:gridCol w:w="700"/>
        <w:gridCol w:w="2563"/>
      </w:tblGrid>
      <w:tr>
        <w:trPr>
          <w:trHeight w:val="604" w:hRule="atLeast"/>
        </w:trPr>
        <w:tc>
          <w:tcPr>
            <w:tcW w:w="425" w:type="dxa"/>
            <w:vAlign w:val="top"/>
          </w:tcPr>
          <w:p>
            <w:pPr>
              <w:pStyle w:val="TableText"/>
              <w:ind w:left="86"/>
              <w:spacing w:before="238" w:line="219" w:lineRule="auto"/>
              <w:rPr>
                <w:sz w:val="12"/>
                <w:szCs w:val="12"/>
              </w:rPr>
            </w:pPr>
            <w:r>
              <w:rPr>
                <w:sz w:val="12"/>
                <w:szCs w:val="12"/>
                <w:b/>
                <w:bCs/>
                <w:spacing w:val="-3"/>
              </w:rPr>
              <w:t>分类</w:t>
            </w:r>
          </w:p>
        </w:tc>
        <w:tc>
          <w:tcPr>
            <w:tcW w:w="559" w:type="dxa"/>
            <w:vAlign w:val="top"/>
          </w:tcPr>
          <w:p>
            <w:pPr>
              <w:pStyle w:val="TableText"/>
              <w:ind w:left="31"/>
              <w:spacing w:before="78" w:line="219" w:lineRule="auto"/>
              <w:rPr>
                <w:sz w:val="12"/>
                <w:szCs w:val="12"/>
              </w:rPr>
            </w:pPr>
            <w:r>
              <w:rPr>
                <w:sz w:val="12"/>
                <w:szCs w:val="12"/>
                <w:b/>
                <w:bCs/>
                <w:spacing w:val="-3"/>
              </w:rPr>
              <w:t>消杀预防</w:t>
            </w:r>
          </w:p>
          <w:p>
            <w:pPr>
              <w:pStyle w:val="TableText"/>
              <w:ind w:left="31"/>
              <w:spacing w:before="7" w:line="220" w:lineRule="auto"/>
              <w:rPr>
                <w:sz w:val="12"/>
                <w:szCs w:val="12"/>
              </w:rPr>
            </w:pPr>
            <w:r>
              <w:rPr>
                <w:sz w:val="12"/>
                <w:szCs w:val="12"/>
                <w:b/>
                <w:bCs/>
                <w:spacing w:val="-3"/>
              </w:rPr>
              <w:t>及病虫害</w:t>
            </w:r>
          </w:p>
          <w:p>
            <w:pPr>
              <w:pStyle w:val="TableText"/>
              <w:ind w:left="151"/>
              <w:spacing w:before="16" w:line="219" w:lineRule="auto"/>
              <w:rPr>
                <w:sz w:val="12"/>
                <w:szCs w:val="12"/>
              </w:rPr>
            </w:pPr>
            <w:r>
              <w:rPr>
                <w:sz w:val="12"/>
                <w:szCs w:val="12"/>
                <w:b/>
                <w:bCs/>
                <w:spacing w:val="-3"/>
              </w:rPr>
              <w:t>分类</w:t>
            </w:r>
          </w:p>
        </w:tc>
        <w:tc>
          <w:tcPr>
            <w:tcW w:w="979" w:type="dxa"/>
            <w:vAlign w:val="top"/>
          </w:tcPr>
          <w:p>
            <w:pPr>
              <w:pStyle w:val="TableText"/>
              <w:ind w:left="182"/>
              <w:spacing w:before="238" w:line="219" w:lineRule="auto"/>
              <w:rPr>
                <w:sz w:val="12"/>
                <w:szCs w:val="12"/>
              </w:rPr>
            </w:pPr>
            <w:r>
              <w:rPr>
                <w:sz w:val="12"/>
                <w:szCs w:val="12"/>
                <w:b/>
                <w:bCs/>
                <w:spacing w:val="-3"/>
              </w:rPr>
              <w:t>常见病虫害</w:t>
            </w:r>
          </w:p>
        </w:tc>
        <w:tc>
          <w:tcPr>
            <w:tcW w:w="2568" w:type="dxa"/>
            <w:vAlign w:val="top"/>
          </w:tcPr>
          <w:p>
            <w:pPr>
              <w:pStyle w:val="TableText"/>
              <w:ind w:left="943"/>
              <w:spacing w:before="237" w:line="218" w:lineRule="auto"/>
              <w:rPr>
                <w:sz w:val="12"/>
                <w:szCs w:val="12"/>
              </w:rPr>
            </w:pPr>
            <w:r>
              <w:rPr>
                <w:sz w:val="12"/>
                <w:szCs w:val="12"/>
                <w:b/>
                <w:bCs/>
                <w:spacing w:val="-3"/>
              </w:rPr>
              <w:t>主要发病月价</w:t>
            </w:r>
          </w:p>
        </w:tc>
        <w:tc>
          <w:tcPr>
            <w:tcW w:w="1269" w:type="dxa"/>
            <w:vAlign w:val="top"/>
          </w:tcPr>
          <w:p>
            <w:pPr>
              <w:pStyle w:val="TableText"/>
              <w:ind w:left="385"/>
              <w:spacing w:before="238" w:line="220" w:lineRule="auto"/>
              <w:rPr>
                <w:sz w:val="12"/>
                <w:szCs w:val="12"/>
              </w:rPr>
            </w:pPr>
            <w:r>
              <w:rPr>
                <w:sz w:val="12"/>
                <w:szCs w:val="12"/>
                <w:b/>
                <w:bCs/>
                <w:spacing w:val="-3"/>
              </w:rPr>
              <w:t>药品名称</w:t>
            </w:r>
          </w:p>
        </w:tc>
        <w:tc>
          <w:tcPr>
            <w:tcW w:w="1889" w:type="dxa"/>
            <w:vAlign w:val="top"/>
          </w:tcPr>
          <w:p>
            <w:pPr>
              <w:pStyle w:val="TableText"/>
              <w:ind w:left="696"/>
              <w:spacing w:before="238" w:line="220" w:lineRule="auto"/>
              <w:rPr>
                <w:sz w:val="12"/>
                <w:szCs w:val="12"/>
              </w:rPr>
            </w:pPr>
            <w:r>
              <w:rPr>
                <w:sz w:val="12"/>
                <w:szCs w:val="12"/>
                <w:b/>
                <w:bCs/>
                <w:spacing w:val="-3"/>
              </w:rPr>
              <w:t>主要成分</w:t>
            </w:r>
          </w:p>
        </w:tc>
        <w:tc>
          <w:tcPr>
            <w:tcW w:w="1599" w:type="dxa"/>
            <w:vAlign w:val="top"/>
          </w:tcPr>
          <w:p>
            <w:pPr>
              <w:pStyle w:val="TableText"/>
              <w:ind w:left="557"/>
              <w:spacing w:before="238" w:line="219" w:lineRule="auto"/>
              <w:rPr>
                <w:sz w:val="12"/>
                <w:szCs w:val="12"/>
              </w:rPr>
            </w:pPr>
            <w:r>
              <w:rPr>
                <w:sz w:val="12"/>
                <w:szCs w:val="12"/>
                <w:b/>
                <w:bCs/>
                <w:spacing w:val="-3"/>
              </w:rPr>
              <w:t>使用标准</w:t>
            </w:r>
          </w:p>
        </w:tc>
        <w:tc>
          <w:tcPr>
            <w:tcW w:w="1559" w:type="dxa"/>
            <w:vAlign w:val="top"/>
          </w:tcPr>
          <w:p>
            <w:pPr>
              <w:pStyle w:val="TableText"/>
              <w:ind w:left="538"/>
              <w:spacing w:before="238" w:line="219" w:lineRule="auto"/>
              <w:rPr>
                <w:sz w:val="12"/>
                <w:szCs w:val="12"/>
              </w:rPr>
            </w:pPr>
            <w:r>
              <w:rPr>
                <w:sz w:val="12"/>
                <w:szCs w:val="12"/>
                <w:b/>
                <w:bCs/>
                <w:spacing w:val="-3"/>
              </w:rPr>
              <w:t>施用次数</w:t>
            </w:r>
          </w:p>
        </w:tc>
        <w:tc>
          <w:tcPr>
            <w:tcW w:w="700" w:type="dxa"/>
            <w:vAlign w:val="top"/>
          </w:tcPr>
          <w:p>
            <w:pPr>
              <w:pStyle w:val="TableText"/>
              <w:ind w:left="239"/>
              <w:spacing w:before="238" w:line="219" w:lineRule="auto"/>
              <w:rPr>
                <w:sz w:val="12"/>
                <w:szCs w:val="12"/>
              </w:rPr>
            </w:pPr>
            <w:r>
              <w:rPr>
                <w:sz w:val="12"/>
                <w:szCs w:val="12"/>
                <w:b/>
                <w:bCs/>
                <w:spacing w:val="-3"/>
              </w:rPr>
              <w:t>规格</w:t>
            </w:r>
          </w:p>
        </w:tc>
        <w:tc>
          <w:tcPr>
            <w:tcW w:w="2563" w:type="dxa"/>
            <w:vAlign w:val="top"/>
          </w:tcPr>
          <w:p>
            <w:pPr>
              <w:pStyle w:val="TableText"/>
              <w:ind w:left="1159"/>
              <w:spacing w:before="238" w:line="221" w:lineRule="auto"/>
              <w:rPr>
                <w:sz w:val="12"/>
                <w:szCs w:val="12"/>
              </w:rPr>
            </w:pPr>
            <w:r>
              <w:rPr>
                <w:sz w:val="12"/>
                <w:szCs w:val="12"/>
                <w:b/>
                <w:bCs/>
                <w:spacing w:val="-3"/>
              </w:rPr>
              <w:t>备注</w:t>
            </w:r>
          </w:p>
        </w:tc>
      </w:tr>
      <w:tr>
        <w:trPr>
          <w:trHeight w:val="469" w:hRule="atLeast"/>
        </w:trPr>
        <w:tc>
          <w:tcPr>
            <w:tcW w:w="425" w:type="dxa"/>
            <w:vAlign w:val="top"/>
            <w:vMerge w:val="restart"/>
            <w:tcBorders>
              <w:bottom w:val="nil"/>
            </w:tcBorders>
          </w:tcPr>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spacing w:line="288" w:lineRule="auto"/>
              <w:rPr>
                <w:rFonts w:ascii="Arial"/>
                <w:sz w:val="21"/>
              </w:rPr>
            </w:pPr>
            <w:r/>
          </w:p>
          <w:p>
            <w:pPr>
              <w:spacing w:line="288" w:lineRule="auto"/>
              <w:rPr>
                <w:rFonts w:ascii="Arial"/>
                <w:sz w:val="21"/>
              </w:rPr>
            </w:pPr>
            <w:r/>
          </w:p>
          <w:p>
            <w:pPr>
              <w:pStyle w:val="TableText"/>
              <w:ind w:left="24"/>
              <w:spacing w:before="39" w:line="219" w:lineRule="auto"/>
              <w:rPr>
                <w:sz w:val="12"/>
                <w:szCs w:val="12"/>
              </w:rPr>
            </w:pPr>
            <w:r>
              <w:rPr>
                <w:sz w:val="12"/>
                <w:szCs w:val="12"/>
                <w:spacing w:val="-2"/>
              </w:rPr>
              <w:t>营养剂</w:t>
            </w:r>
          </w:p>
          <w:p>
            <w:pPr>
              <w:pStyle w:val="TableText"/>
              <w:ind w:left="54"/>
              <w:spacing w:before="17" w:line="219" w:lineRule="auto"/>
              <w:rPr>
                <w:sz w:val="12"/>
                <w:szCs w:val="12"/>
              </w:rPr>
            </w:pPr>
            <w:r>
              <w:rPr>
                <w:sz w:val="12"/>
                <w:szCs w:val="12"/>
                <w:spacing w:val="-1"/>
              </w:rPr>
              <w:t>/肥料</w:t>
            </w:r>
          </w:p>
        </w:tc>
        <w:tc>
          <w:tcPr>
            <w:tcW w:w="559" w:type="dxa"/>
            <w:vAlign w:val="top"/>
            <w:vMerge w:val="restart"/>
            <w:tcBorders>
              <w:bottom w:val="nil"/>
            </w:tcBorders>
          </w:tcPr>
          <w:p>
            <w:pPr>
              <w:spacing w:line="306" w:lineRule="auto"/>
              <w:rPr>
                <w:rFonts w:ascii="Arial"/>
                <w:sz w:val="21"/>
              </w:rPr>
            </w:pPr>
            <w:r/>
          </w:p>
          <w:p>
            <w:pPr>
              <w:spacing w:line="307" w:lineRule="auto"/>
              <w:rPr>
                <w:rFonts w:ascii="Arial"/>
                <w:sz w:val="21"/>
              </w:rPr>
            </w:pPr>
            <w:r/>
          </w:p>
          <w:p>
            <w:pPr>
              <w:pStyle w:val="TableText"/>
              <w:ind w:left="30"/>
              <w:spacing w:before="39" w:line="219" w:lineRule="auto"/>
              <w:rPr>
                <w:sz w:val="12"/>
                <w:szCs w:val="12"/>
              </w:rPr>
            </w:pPr>
            <w:r>
              <w:rPr>
                <w:sz w:val="12"/>
                <w:szCs w:val="12"/>
                <w:spacing w:val="-1"/>
              </w:rPr>
              <w:t>树木复壮</w:t>
            </w:r>
          </w:p>
        </w:tc>
        <w:tc>
          <w:tcPr>
            <w:tcW w:w="979" w:type="dxa"/>
            <w:vAlign w:val="top"/>
            <w:vMerge w:val="restart"/>
            <w:tcBorders>
              <w:bottom w:val="nil"/>
            </w:tcBorders>
          </w:tcPr>
          <w:p>
            <w:pPr>
              <w:spacing w:line="413" w:lineRule="auto"/>
              <w:rPr>
                <w:rFonts w:ascii="Arial"/>
                <w:sz w:val="21"/>
              </w:rPr>
            </w:pPr>
            <w:r/>
          </w:p>
          <w:p>
            <w:pPr>
              <w:pStyle w:val="TableText"/>
              <w:ind w:left="10" w:right="2"/>
              <w:spacing w:before="39" w:line="217" w:lineRule="auto"/>
              <w:rPr>
                <w:sz w:val="12"/>
                <w:szCs w:val="12"/>
              </w:rPr>
            </w:pPr>
            <w:r>
              <w:rPr>
                <w:sz w:val="12"/>
                <w:szCs w:val="12"/>
                <w:spacing w:val="-1"/>
              </w:rPr>
              <w:t>树木长势弱，自项</w:t>
            </w:r>
            <w:r>
              <w:rPr>
                <w:sz w:val="12"/>
                <w:szCs w:val="12"/>
                <w:spacing w:val="2"/>
              </w:rPr>
              <w:t xml:space="preserve"> </w:t>
            </w:r>
            <w:r>
              <w:rPr>
                <w:sz w:val="12"/>
                <w:szCs w:val="12"/>
                <w:spacing w:val="6"/>
              </w:rPr>
              <w:t>部向下有枯黄现</w:t>
            </w:r>
            <w:r>
              <w:rPr>
                <w:sz w:val="12"/>
                <w:szCs w:val="12"/>
              </w:rPr>
              <w:t xml:space="preserve">  </w:t>
            </w:r>
            <w:r>
              <w:rPr>
                <w:sz w:val="12"/>
                <w:szCs w:val="12"/>
                <w:spacing w:val="-1"/>
              </w:rPr>
              <w:t>象，或高大乔木及</w:t>
            </w:r>
          </w:p>
          <w:p>
            <w:pPr>
              <w:pStyle w:val="TableText"/>
              <w:ind w:left="261"/>
              <w:spacing w:before="7" w:line="219" w:lineRule="auto"/>
              <w:rPr>
                <w:sz w:val="12"/>
                <w:szCs w:val="12"/>
              </w:rPr>
            </w:pPr>
            <w:r>
              <w:rPr>
                <w:sz w:val="12"/>
                <w:szCs w:val="12"/>
                <w:spacing w:val="-2"/>
              </w:rPr>
              <w:t>贵重树木</w:t>
            </w:r>
          </w:p>
        </w:tc>
        <w:tc>
          <w:tcPr>
            <w:tcW w:w="2568" w:type="dxa"/>
            <w:vAlign w:val="top"/>
            <w:vMerge w:val="restart"/>
            <w:tcBorders>
              <w:bottom w:val="nil"/>
            </w:tcBorders>
          </w:tcPr>
          <w:p>
            <w:pPr>
              <w:spacing w:line="275" w:lineRule="auto"/>
              <w:rPr>
                <w:rFonts w:ascii="Arial"/>
                <w:sz w:val="21"/>
              </w:rPr>
            </w:pPr>
            <w:r/>
          </w:p>
          <w:p>
            <w:pPr>
              <w:pStyle w:val="TableText"/>
              <w:ind w:left="12" w:right="26"/>
              <w:spacing w:before="39" w:line="211" w:lineRule="auto"/>
              <w:rPr>
                <w:sz w:val="12"/>
                <w:szCs w:val="12"/>
              </w:rPr>
            </w:pPr>
            <w:r>
              <w:rPr>
                <w:sz w:val="12"/>
                <w:szCs w:val="12"/>
              </w:rPr>
              <w:t>一、主要集中在4月中句开始到5月，气温上</w:t>
            </w:r>
            <w:r>
              <w:rPr>
                <w:sz w:val="12"/>
                <w:szCs w:val="12"/>
                <w:spacing w:val="-1"/>
              </w:rPr>
              <w:t>升，</w:t>
            </w:r>
            <w:r>
              <w:rPr>
                <w:sz w:val="12"/>
                <w:szCs w:val="12"/>
              </w:rPr>
              <w:t xml:space="preserve"> </w:t>
            </w:r>
            <w:r>
              <w:rPr>
                <w:sz w:val="12"/>
                <w:szCs w:val="12"/>
                <w:spacing w:val="-1"/>
              </w:rPr>
              <w:t>空气湿度增加，苗木结束休眠期开始返青，是草</w:t>
            </w:r>
            <w:r>
              <w:rPr>
                <w:sz w:val="12"/>
                <w:szCs w:val="12"/>
                <w:spacing w:val="11"/>
              </w:rPr>
              <w:t xml:space="preserve"> </w:t>
            </w:r>
            <w:r>
              <w:rPr>
                <w:sz w:val="12"/>
                <w:szCs w:val="12"/>
                <w:spacing w:val="-1"/>
              </w:rPr>
              <w:t>皮施肥复绿最佳时机：</w:t>
            </w:r>
          </w:p>
          <w:p>
            <w:pPr>
              <w:pStyle w:val="TableText"/>
              <w:ind w:left="12"/>
              <w:spacing w:before="27" w:line="222" w:lineRule="auto"/>
              <w:rPr>
                <w:sz w:val="12"/>
                <w:szCs w:val="12"/>
              </w:rPr>
            </w:pPr>
            <w:r>
              <w:rPr>
                <w:sz w:val="12"/>
                <w:szCs w:val="12"/>
                <w:spacing w:val="-2"/>
              </w:rPr>
              <w:t>三、6-9月有针对缺肥情况做专项治疗，一般每月</w:t>
            </w:r>
            <w:r>
              <w:rPr>
                <w:sz w:val="12"/>
                <w:szCs w:val="12"/>
                <w:spacing w:val="10"/>
              </w:rPr>
              <w:t xml:space="preserve"> </w:t>
            </w:r>
            <w:r>
              <w:rPr>
                <w:sz w:val="12"/>
                <w:szCs w:val="12"/>
                <w:spacing w:val="-2"/>
              </w:rPr>
              <w:t>施肥一次，每次用量为春季的一半左右，10月份</w:t>
            </w:r>
            <w:r>
              <w:rPr>
                <w:sz w:val="12"/>
                <w:szCs w:val="12"/>
                <w:spacing w:val="5"/>
              </w:rPr>
              <w:t xml:space="preserve">  </w:t>
            </w:r>
            <w:r>
              <w:rPr>
                <w:sz w:val="12"/>
                <w:szCs w:val="12"/>
                <w:spacing w:val="-2"/>
              </w:rPr>
              <w:t>下冬肥。具体参考草坪养护指南。</w:t>
            </w:r>
          </w:p>
        </w:tc>
        <w:tc>
          <w:tcPr>
            <w:tcW w:w="1269" w:type="dxa"/>
            <w:vAlign w:val="top"/>
          </w:tcPr>
          <w:p>
            <w:pPr>
              <w:pStyle w:val="TableText"/>
              <w:ind w:left="444"/>
              <w:spacing w:before="175" w:line="219" w:lineRule="auto"/>
              <w:rPr>
                <w:sz w:val="12"/>
                <w:szCs w:val="12"/>
              </w:rPr>
            </w:pPr>
            <w:r>
              <w:rPr>
                <w:sz w:val="12"/>
                <w:szCs w:val="12"/>
                <w:spacing w:val="-2"/>
              </w:rPr>
              <w:t>复合肥</w:t>
            </w:r>
          </w:p>
        </w:tc>
        <w:tc>
          <w:tcPr>
            <w:tcW w:w="1889" w:type="dxa"/>
            <w:vAlign w:val="top"/>
          </w:tcPr>
          <w:p>
            <w:pPr>
              <w:pStyle w:val="TableText"/>
              <w:ind w:left="275"/>
              <w:spacing w:before="175" w:line="219" w:lineRule="auto"/>
              <w:rPr>
                <w:sz w:val="12"/>
                <w:szCs w:val="12"/>
              </w:rPr>
            </w:pPr>
            <w:r>
              <w:rPr>
                <w:sz w:val="12"/>
                <w:szCs w:val="12"/>
                <w:spacing w:val="-1"/>
              </w:rPr>
              <w:t>大量元素肥高氮低磷钾肥</w:t>
            </w:r>
          </w:p>
        </w:tc>
        <w:tc>
          <w:tcPr>
            <w:tcW w:w="1599" w:type="dxa"/>
            <w:vAlign w:val="top"/>
          </w:tcPr>
          <w:p>
            <w:pPr>
              <w:pStyle w:val="TableText"/>
              <w:ind w:left="556"/>
              <w:spacing w:before="176" w:line="219" w:lineRule="auto"/>
              <w:rPr>
                <w:sz w:val="12"/>
                <w:szCs w:val="12"/>
              </w:rPr>
            </w:pPr>
            <w:r>
              <w:rPr>
                <w:sz w:val="12"/>
                <w:szCs w:val="12"/>
                <w:spacing w:val="3"/>
              </w:rPr>
              <w:t>直接使用</w:t>
            </w:r>
          </w:p>
        </w:tc>
        <w:tc>
          <w:tcPr>
            <w:tcW w:w="1559" w:type="dxa"/>
            <w:vAlign w:val="top"/>
          </w:tcPr>
          <w:p>
            <w:pPr>
              <w:pStyle w:val="TableText"/>
              <w:ind w:left="716" w:right="56" w:hanging="660"/>
              <w:spacing w:before="105" w:line="251" w:lineRule="auto"/>
              <w:rPr>
                <w:sz w:val="12"/>
                <w:szCs w:val="12"/>
              </w:rPr>
            </w:pPr>
            <w:r>
              <w:rPr>
                <w:sz w:val="12"/>
                <w:szCs w:val="12"/>
                <w:spacing w:val="-1"/>
              </w:rPr>
              <w:t>春季一次，随时缺肥随时使</w:t>
            </w:r>
            <w:r>
              <w:rPr>
                <w:sz w:val="12"/>
                <w:szCs w:val="12"/>
                <w:spacing w:val="6"/>
              </w:rPr>
              <w:t xml:space="preserve"> </w:t>
            </w:r>
            <w:r>
              <w:rPr>
                <w:sz w:val="12"/>
                <w:szCs w:val="12"/>
              </w:rPr>
              <w:t>用</w:t>
            </w:r>
          </w:p>
        </w:tc>
        <w:tc>
          <w:tcPr>
            <w:tcW w:w="700" w:type="dxa"/>
            <w:vAlign w:val="top"/>
          </w:tcPr>
          <w:p>
            <w:pPr>
              <w:pStyle w:val="TableText"/>
              <w:ind w:left="178"/>
              <w:spacing w:before="171" w:line="214" w:lineRule="auto"/>
              <w:rPr>
                <w:sz w:val="12"/>
                <w:szCs w:val="12"/>
              </w:rPr>
            </w:pPr>
            <w:r>
              <w:rPr>
                <w:sz w:val="12"/>
                <w:szCs w:val="12"/>
                <w:spacing w:val="-1"/>
              </w:rPr>
              <w:t>50kg/袋</w:t>
            </w:r>
          </w:p>
        </w:tc>
        <w:tc>
          <w:tcPr>
            <w:tcW w:w="2563" w:type="dxa"/>
            <w:vAlign w:val="top"/>
          </w:tcPr>
          <w:p>
            <w:pPr>
              <w:pStyle w:val="TableText"/>
              <w:ind w:left="17"/>
              <w:spacing w:before="176" w:line="219" w:lineRule="auto"/>
              <w:rPr>
                <w:sz w:val="12"/>
                <w:szCs w:val="12"/>
              </w:rPr>
            </w:pPr>
            <w:r>
              <w:rPr>
                <w:sz w:val="12"/>
                <w:szCs w:val="12"/>
                <w:spacing w:val="-1"/>
              </w:rPr>
              <w:t>古树，病树，弱树复壮 含草坪使用量</w:t>
            </w:r>
          </w:p>
        </w:tc>
      </w:tr>
      <w:tr>
        <w:trPr>
          <w:trHeight w:val="469" w:hRule="atLeast"/>
        </w:trPr>
        <w:tc>
          <w:tcPr>
            <w:tcW w:w="425" w:type="dxa"/>
            <w:vAlign w:val="top"/>
            <w:vMerge w:val="continue"/>
            <w:tcBorders>
              <w:top w:val="nil"/>
              <w:bottom w:val="nil"/>
            </w:tcBorders>
          </w:tcPr>
          <w:p>
            <w:pPr>
              <w:rPr>
                <w:rFonts w:ascii="Arial"/>
                <w:sz w:val="21"/>
              </w:rPr>
            </w:pPr>
            <w:r/>
          </w:p>
        </w:tc>
        <w:tc>
          <w:tcPr>
            <w:tcW w:w="559" w:type="dxa"/>
            <w:vAlign w:val="top"/>
            <w:vMerge w:val="continue"/>
            <w:tcBorders>
              <w:top w:val="nil"/>
              <w:bottom w:val="nil"/>
            </w:tcBorders>
          </w:tcPr>
          <w:p>
            <w:pPr>
              <w:rPr>
                <w:rFonts w:ascii="Arial"/>
                <w:sz w:val="21"/>
              </w:rPr>
            </w:pPr>
            <w:r/>
          </w:p>
        </w:tc>
        <w:tc>
          <w:tcPr>
            <w:tcW w:w="979" w:type="dxa"/>
            <w:vAlign w:val="top"/>
            <w:vMerge w:val="continue"/>
            <w:tcBorders>
              <w:top w:val="nil"/>
              <w:bottom w:val="nil"/>
            </w:tcBorders>
          </w:tcPr>
          <w:p>
            <w:pPr>
              <w:rPr>
                <w:rFonts w:ascii="Arial"/>
                <w:sz w:val="21"/>
              </w:rPr>
            </w:pPr>
            <w:r/>
          </w:p>
        </w:tc>
        <w:tc>
          <w:tcPr>
            <w:tcW w:w="256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176" w:line="219" w:lineRule="auto"/>
              <w:rPr>
                <w:sz w:val="12"/>
                <w:szCs w:val="12"/>
              </w:rPr>
            </w:pPr>
            <w:r>
              <w:rPr>
                <w:sz w:val="12"/>
                <w:szCs w:val="12"/>
                <w:spacing w:val="-2"/>
              </w:rPr>
              <w:t>有机肥</w:t>
            </w:r>
          </w:p>
        </w:tc>
        <w:tc>
          <w:tcPr>
            <w:tcW w:w="1889" w:type="dxa"/>
            <w:vAlign w:val="top"/>
          </w:tcPr>
          <w:p>
            <w:pPr>
              <w:pStyle w:val="TableText"/>
              <w:ind w:left="454"/>
              <w:spacing w:before="176" w:line="219" w:lineRule="auto"/>
              <w:rPr>
                <w:sz w:val="12"/>
                <w:szCs w:val="12"/>
              </w:rPr>
            </w:pPr>
            <w:r>
              <w:rPr>
                <w:sz w:val="12"/>
                <w:szCs w:val="12"/>
                <w:spacing w:val="-1"/>
              </w:rPr>
              <w:t>有机质，N+P+K&gt;5%</w:t>
            </w:r>
          </w:p>
        </w:tc>
        <w:tc>
          <w:tcPr>
            <w:tcW w:w="1599" w:type="dxa"/>
            <w:vAlign w:val="top"/>
          </w:tcPr>
          <w:p>
            <w:pPr>
              <w:pStyle w:val="TableText"/>
              <w:ind w:left="615" w:right="79" w:hanging="540"/>
              <w:spacing w:before="112" w:line="215" w:lineRule="auto"/>
              <w:rPr>
                <w:sz w:val="12"/>
                <w:szCs w:val="12"/>
              </w:rPr>
            </w:pPr>
            <w:r>
              <w:rPr>
                <w:sz w:val="12"/>
                <w:szCs w:val="12"/>
                <w:spacing w:val="-1"/>
              </w:rPr>
              <w:t>灌木0.1-0.3kg/株。乔木1-</w:t>
            </w:r>
            <w:r>
              <w:rPr>
                <w:sz w:val="12"/>
                <w:szCs w:val="12"/>
                <w:spacing w:val="10"/>
              </w:rPr>
              <w:t xml:space="preserve"> </w:t>
            </w:r>
            <w:r>
              <w:rPr>
                <w:sz w:val="12"/>
                <w:szCs w:val="12"/>
                <w:spacing w:val="-1"/>
              </w:rPr>
              <w:t>3xg/株</w:t>
            </w:r>
          </w:p>
        </w:tc>
        <w:tc>
          <w:tcPr>
            <w:tcW w:w="1559" w:type="dxa"/>
            <w:vAlign w:val="top"/>
          </w:tcPr>
          <w:p>
            <w:pPr>
              <w:pStyle w:val="TableText"/>
              <w:ind w:left="666" w:right="27" w:hanging="640"/>
              <w:spacing w:before="105" w:line="233" w:lineRule="auto"/>
              <w:rPr>
                <w:sz w:val="12"/>
                <w:szCs w:val="12"/>
              </w:rPr>
            </w:pPr>
            <w:r>
              <w:rPr>
                <w:sz w:val="12"/>
                <w:szCs w:val="12"/>
                <w:spacing w:val="-1"/>
              </w:rPr>
              <w:t>秋季使用L次，做底肥不适合</w:t>
            </w:r>
            <w:r>
              <w:rPr>
                <w:sz w:val="12"/>
                <w:szCs w:val="12"/>
                <w:spacing w:val="6"/>
              </w:rPr>
              <w:t xml:space="preserve"> </w:t>
            </w:r>
            <w:r>
              <w:rPr>
                <w:sz w:val="12"/>
                <w:szCs w:val="12"/>
                <w:spacing w:val="-2"/>
              </w:rPr>
              <w:t>追肥</w:t>
            </w:r>
          </w:p>
        </w:tc>
        <w:tc>
          <w:tcPr>
            <w:tcW w:w="700" w:type="dxa"/>
            <w:vAlign w:val="top"/>
          </w:tcPr>
          <w:p>
            <w:pPr>
              <w:pStyle w:val="TableText"/>
              <w:ind w:left="178"/>
              <w:spacing w:before="172" w:line="214" w:lineRule="auto"/>
              <w:rPr>
                <w:sz w:val="12"/>
                <w:szCs w:val="12"/>
              </w:rPr>
            </w:pPr>
            <w:r>
              <w:rPr>
                <w:sz w:val="12"/>
                <w:szCs w:val="12"/>
                <w:spacing w:val="-1"/>
              </w:rPr>
              <w:t>40kg/袋</w:t>
            </w:r>
          </w:p>
        </w:tc>
        <w:tc>
          <w:tcPr>
            <w:tcW w:w="2563" w:type="dxa"/>
            <w:vAlign w:val="top"/>
          </w:tcPr>
          <w:p>
            <w:pPr>
              <w:pStyle w:val="TableText"/>
              <w:ind w:left="17"/>
              <w:spacing w:before="176" w:line="219" w:lineRule="auto"/>
              <w:rPr>
                <w:sz w:val="12"/>
                <w:szCs w:val="12"/>
              </w:rPr>
            </w:pPr>
            <w:r>
              <w:rPr>
                <w:sz w:val="12"/>
                <w:szCs w:val="12"/>
                <w:spacing w:val="-1"/>
              </w:rPr>
              <w:t>改了土壤，提高长势，预防冻害</w:t>
            </w:r>
          </w:p>
        </w:tc>
      </w:tr>
      <w:tr>
        <w:trPr>
          <w:trHeight w:val="479" w:hRule="atLeast"/>
        </w:trPr>
        <w:tc>
          <w:tcPr>
            <w:tcW w:w="425" w:type="dxa"/>
            <w:vAlign w:val="top"/>
            <w:vMerge w:val="continue"/>
            <w:tcBorders>
              <w:top w:val="nil"/>
              <w:bottom w:val="nil"/>
            </w:tcBorders>
          </w:tcPr>
          <w:p>
            <w:pPr>
              <w:rPr>
                <w:rFonts w:ascii="Arial"/>
                <w:sz w:val="21"/>
              </w:rPr>
            </w:pPr>
            <w:r/>
          </w:p>
        </w:tc>
        <w:tc>
          <w:tcPr>
            <w:tcW w:w="559" w:type="dxa"/>
            <w:vAlign w:val="top"/>
            <w:vMerge w:val="continue"/>
            <w:tcBorders>
              <w:top w:val="nil"/>
            </w:tcBorders>
          </w:tcPr>
          <w:p>
            <w:pPr>
              <w:rPr>
                <w:rFonts w:ascii="Arial"/>
                <w:sz w:val="21"/>
              </w:rPr>
            </w:pPr>
            <w:r/>
          </w:p>
        </w:tc>
        <w:tc>
          <w:tcPr>
            <w:tcW w:w="979" w:type="dxa"/>
            <w:vAlign w:val="top"/>
            <w:vMerge w:val="continue"/>
            <w:tcBorders>
              <w:top w:val="nil"/>
            </w:tcBorders>
          </w:tcPr>
          <w:p>
            <w:pPr>
              <w:rPr>
                <w:rFonts w:ascii="Arial"/>
                <w:sz w:val="21"/>
              </w:rPr>
            </w:pPr>
            <w:r/>
          </w:p>
        </w:tc>
        <w:tc>
          <w:tcPr>
            <w:tcW w:w="2568" w:type="dxa"/>
            <w:vAlign w:val="top"/>
            <w:vMerge w:val="continue"/>
            <w:tcBorders>
              <w:top w:val="nil"/>
            </w:tcBorders>
          </w:tcPr>
          <w:p>
            <w:pPr>
              <w:rPr>
                <w:rFonts w:ascii="Arial"/>
                <w:sz w:val="21"/>
              </w:rPr>
            </w:pPr>
            <w:r/>
          </w:p>
        </w:tc>
        <w:tc>
          <w:tcPr>
            <w:tcW w:w="1269" w:type="dxa"/>
            <w:vAlign w:val="top"/>
          </w:tcPr>
          <w:p>
            <w:pPr>
              <w:pStyle w:val="TableText"/>
              <w:ind w:left="203"/>
              <w:spacing w:before="177" w:line="219" w:lineRule="auto"/>
              <w:rPr>
                <w:sz w:val="12"/>
                <w:szCs w:val="12"/>
              </w:rPr>
            </w:pPr>
            <w:r>
              <w:rPr>
                <w:sz w:val="12"/>
                <w:szCs w:val="12"/>
                <w:spacing w:val="-1"/>
              </w:rPr>
              <w:t>高效磷钾复合肥</w:t>
            </w:r>
          </w:p>
        </w:tc>
        <w:tc>
          <w:tcPr>
            <w:tcW w:w="1889" w:type="dxa"/>
            <w:vAlign w:val="top"/>
          </w:tcPr>
          <w:p>
            <w:pPr>
              <w:pStyle w:val="TableText"/>
              <w:ind w:left="635"/>
              <w:spacing w:before="178" w:line="219" w:lineRule="auto"/>
              <w:rPr>
                <w:sz w:val="12"/>
                <w:szCs w:val="12"/>
              </w:rPr>
            </w:pPr>
            <w:r>
              <w:rPr>
                <w:sz w:val="12"/>
                <w:szCs w:val="12"/>
                <w:spacing w:val="-1"/>
              </w:rPr>
              <w:t>磷酸二氢钾</w:t>
            </w:r>
          </w:p>
        </w:tc>
        <w:tc>
          <w:tcPr>
            <w:tcW w:w="1599" w:type="dxa"/>
            <w:vAlign w:val="top"/>
          </w:tcPr>
          <w:p>
            <w:pPr>
              <w:pStyle w:val="TableText"/>
              <w:ind w:left="135"/>
              <w:spacing w:before="178" w:line="219" w:lineRule="auto"/>
              <w:rPr>
                <w:sz w:val="12"/>
                <w:szCs w:val="12"/>
              </w:rPr>
            </w:pPr>
            <w:r>
              <w:rPr>
                <w:sz w:val="12"/>
                <w:szCs w:val="12"/>
                <w:spacing w:val="-1"/>
              </w:rPr>
              <w:t>直接穴施或0.2%叶面喷施</w:t>
            </w:r>
          </w:p>
        </w:tc>
        <w:tc>
          <w:tcPr>
            <w:tcW w:w="1559" w:type="dxa"/>
            <w:vAlign w:val="top"/>
          </w:tcPr>
          <w:p>
            <w:pPr>
              <w:pStyle w:val="TableText"/>
              <w:ind w:left="597"/>
              <w:spacing w:before="178" w:line="219" w:lineRule="auto"/>
              <w:rPr>
                <w:sz w:val="12"/>
                <w:szCs w:val="12"/>
              </w:rPr>
            </w:pPr>
            <w:r>
              <w:rPr>
                <w:sz w:val="12"/>
                <w:szCs w:val="12"/>
                <w:spacing w:val="-2"/>
              </w:rPr>
              <w:t>2-32次</w:t>
            </w:r>
          </w:p>
        </w:tc>
        <w:tc>
          <w:tcPr>
            <w:tcW w:w="700" w:type="dxa"/>
            <w:vAlign w:val="top"/>
          </w:tcPr>
          <w:p>
            <w:pPr>
              <w:pStyle w:val="TableText"/>
              <w:ind w:left="178"/>
              <w:spacing w:before="173" w:line="214" w:lineRule="auto"/>
              <w:rPr>
                <w:sz w:val="12"/>
                <w:szCs w:val="12"/>
              </w:rPr>
            </w:pPr>
            <w:r>
              <w:rPr>
                <w:sz w:val="12"/>
                <w:szCs w:val="12"/>
                <w:spacing w:val="-1"/>
              </w:rPr>
              <w:t>25kg/袋</w:t>
            </w:r>
          </w:p>
        </w:tc>
        <w:tc>
          <w:tcPr>
            <w:tcW w:w="2563" w:type="dxa"/>
            <w:vAlign w:val="top"/>
          </w:tcPr>
          <w:p>
            <w:pPr>
              <w:pStyle w:val="TableText"/>
              <w:ind w:left="17"/>
              <w:spacing w:before="127" w:line="212" w:lineRule="auto"/>
              <w:rPr>
                <w:sz w:val="12"/>
                <w:szCs w:val="12"/>
              </w:rPr>
            </w:pPr>
            <w:r>
              <w:rPr>
                <w:sz w:val="12"/>
                <w:szCs w:val="12"/>
                <w:spacing w:val="-2"/>
              </w:rPr>
              <w:t>提高树木木质化程度，有利树木安全越冬，1</w:t>
            </w:r>
            <w:r>
              <w:rPr>
                <w:sz w:val="12"/>
                <w:szCs w:val="12"/>
                <w:spacing w:val="-3"/>
              </w:rPr>
              <w:t>万平</w:t>
            </w:r>
            <w:r>
              <w:rPr>
                <w:sz w:val="12"/>
                <w:szCs w:val="12"/>
              </w:rPr>
              <w:t xml:space="preserve"> </w:t>
            </w:r>
            <w:r>
              <w:rPr>
                <w:sz w:val="12"/>
                <w:szCs w:val="12"/>
                <w:spacing w:val="-1"/>
              </w:rPr>
              <w:t>方米年度约用量：100kg</w:t>
            </w:r>
          </w:p>
        </w:tc>
      </w:tr>
      <w:tr>
        <w:trPr>
          <w:trHeight w:val="359" w:hRule="atLeast"/>
        </w:trPr>
        <w:tc>
          <w:tcPr>
            <w:tcW w:w="425" w:type="dxa"/>
            <w:vAlign w:val="top"/>
            <w:vMerge w:val="continue"/>
            <w:tcBorders>
              <w:top w:val="nil"/>
              <w:bottom w:val="nil"/>
            </w:tcBorders>
          </w:tcPr>
          <w:p>
            <w:pPr>
              <w:rPr>
                <w:rFonts w:ascii="Arial"/>
                <w:sz w:val="21"/>
              </w:rPr>
            </w:pPr>
            <w:r/>
          </w:p>
        </w:tc>
        <w:tc>
          <w:tcPr>
            <w:tcW w:w="559" w:type="dxa"/>
            <w:vAlign w:val="top"/>
            <w:vMerge w:val="restart"/>
            <w:tcBorders>
              <w:bottom w:val="nil"/>
            </w:tcBorders>
          </w:tcPr>
          <w:p>
            <w:pPr>
              <w:spacing w:line="357" w:lineRule="auto"/>
              <w:rPr>
                <w:rFonts w:ascii="Arial"/>
                <w:sz w:val="21"/>
              </w:rPr>
            </w:pPr>
            <w:r/>
          </w:p>
          <w:p>
            <w:pPr>
              <w:spacing w:line="358" w:lineRule="auto"/>
              <w:rPr>
                <w:rFonts w:ascii="Arial"/>
                <w:sz w:val="21"/>
              </w:rPr>
            </w:pPr>
            <w:r/>
          </w:p>
          <w:p>
            <w:pPr>
              <w:pStyle w:val="TableText"/>
              <w:ind w:left="30"/>
              <w:spacing w:before="39" w:line="217" w:lineRule="auto"/>
              <w:rPr>
                <w:sz w:val="12"/>
                <w:szCs w:val="12"/>
              </w:rPr>
            </w:pPr>
            <w:r>
              <w:rPr>
                <w:sz w:val="12"/>
                <w:szCs w:val="12"/>
                <w:spacing w:val="-2"/>
              </w:rPr>
              <w:t>草坪复壮</w:t>
            </w:r>
          </w:p>
          <w:p>
            <w:pPr>
              <w:pStyle w:val="TableText"/>
              <w:ind w:left="150"/>
              <w:spacing w:line="220" w:lineRule="auto"/>
              <w:rPr>
                <w:sz w:val="12"/>
                <w:szCs w:val="12"/>
              </w:rPr>
            </w:pPr>
            <w:r>
              <w:rPr>
                <w:sz w:val="12"/>
                <w:szCs w:val="12"/>
                <w:spacing w:val="-2"/>
              </w:rPr>
              <w:t>增绿</w:t>
            </w:r>
          </w:p>
        </w:tc>
        <w:tc>
          <w:tcPr>
            <w:tcW w:w="979" w:type="dxa"/>
            <w:vAlign w:val="top"/>
            <w:vMerge w:val="restart"/>
            <w:tcBorders>
              <w:bottom w:val="nil"/>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410" w:right="3" w:hanging="400"/>
              <w:spacing w:before="39" w:line="237" w:lineRule="auto"/>
              <w:rPr>
                <w:sz w:val="12"/>
                <w:szCs w:val="12"/>
              </w:rPr>
            </w:pPr>
            <w:r>
              <w:rPr>
                <w:sz w:val="12"/>
                <w:szCs w:val="12"/>
                <w:spacing w:val="-1"/>
              </w:rPr>
              <w:t>草坪发芽及长势不</w:t>
            </w:r>
            <w:r>
              <w:rPr>
                <w:sz w:val="12"/>
                <w:szCs w:val="12"/>
                <w:spacing w:val="1"/>
              </w:rPr>
              <w:t xml:space="preserve"> </w:t>
            </w:r>
            <w:r>
              <w:rPr>
                <w:sz w:val="12"/>
                <w:szCs w:val="12"/>
              </w:rPr>
              <w:t>良</w:t>
            </w:r>
          </w:p>
        </w:tc>
        <w:tc>
          <w:tcPr>
            <w:tcW w:w="2568" w:type="dxa"/>
            <w:vAlign w:val="top"/>
            <w:vMerge w:val="restart"/>
            <w:tcBorders>
              <w:bottom w:val="nil"/>
            </w:tcBorders>
          </w:tcPr>
          <w:p>
            <w:pPr>
              <w:spacing w:line="437" w:lineRule="auto"/>
              <w:rPr>
                <w:rFonts w:ascii="Arial"/>
                <w:sz w:val="21"/>
              </w:rPr>
            </w:pPr>
            <w:r/>
          </w:p>
          <w:p>
            <w:pPr>
              <w:pStyle w:val="TableText"/>
              <w:ind w:left="12" w:right="26"/>
              <w:spacing w:before="39" w:line="221" w:lineRule="auto"/>
              <w:rPr>
                <w:sz w:val="12"/>
                <w:szCs w:val="12"/>
              </w:rPr>
            </w:pPr>
            <w:r>
              <w:rPr>
                <w:sz w:val="12"/>
                <w:szCs w:val="12"/>
              </w:rPr>
              <w:t>一、主要集中在4月中句开始到5月，气湿上</w:t>
            </w:r>
            <w:r>
              <w:rPr>
                <w:sz w:val="12"/>
                <w:szCs w:val="12"/>
                <w:spacing w:val="-1"/>
              </w:rPr>
              <w:t>升，</w:t>
            </w:r>
            <w:r>
              <w:rPr>
                <w:sz w:val="12"/>
                <w:szCs w:val="12"/>
              </w:rPr>
              <w:t xml:space="preserve"> </w:t>
            </w:r>
            <w:r>
              <w:rPr>
                <w:sz w:val="12"/>
                <w:szCs w:val="12"/>
                <w:spacing w:val="-1"/>
              </w:rPr>
              <w:t>空气湿度增加，苗木结束休眠期开始返青，是草</w:t>
            </w:r>
            <w:r>
              <w:rPr>
                <w:sz w:val="12"/>
                <w:szCs w:val="12"/>
                <w:spacing w:val="11"/>
              </w:rPr>
              <w:t xml:space="preserve"> </w:t>
            </w:r>
            <w:r>
              <w:rPr>
                <w:sz w:val="12"/>
                <w:szCs w:val="12"/>
                <w:spacing w:val="-1"/>
              </w:rPr>
              <w:t>皮施肥复绿最佳时机：</w:t>
            </w:r>
          </w:p>
          <w:p>
            <w:pPr>
              <w:pStyle w:val="TableText"/>
              <w:ind w:left="12"/>
              <w:spacing w:before="8" w:line="211" w:lineRule="auto"/>
              <w:rPr>
                <w:sz w:val="12"/>
                <w:szCs w:val="12"/>
              </w:rPr>
            </w:pPr>
            <w:r>
              <w:rPr>
                <w:sz w:val="12"/>
                <w:szCs w:val="12"/>
                <w:spacing w:val="-2"/>
              </w:rPr>
              <w:t>二、6-9月有针对缺肥情况做专项治疗，一般每月</w:t>
            </w:r>
            <w:r>
              <w:rPr>
                <w:sz w:val="12"/>
                <w:szCs w:val="12"/>
                <w:spacing w:val="10"/>
              </w:rPr>
              <w:t xml:space="preserve"> </w:t>
            </w:r>
            <w:r>
              <w:rPr>
                <w:sz w:val="12"/>
                <w:szCs w:val="12"/>
                <w:spacing w:val="-2"/>
              </w:rPr>
              <w:t>施肥一次，每次用量为春季的一半左右，10月份</w:t>
            </w:r>
            <w:r>
              <w:rPr>
                <w:sz w:val="12"/>
                <w:szCs w:val="12"/>
                <w:spacing w:val="5"/>
              </w:rPr>
              <w:t xml:space="preserve">  </w:t>
            </w:r>
            <w:r>
              <w:rPr>
                <w:sz w:val="12"/>
                <w:szCs w:val="12"/>
                <w:spacing w:val="-2"/>
              </w:rPr>
              <w:t>下冬肥。具体参考草坪养护指南。</w:t>
            </w:r>
          </w:p>
        </w:tc>
        <w:tc>
          <w:tcPr>
            <w:tcW w:w="1269" w:type="dxa"/>
            <w:vAlign w:val="top"/>
          </w:tcPr>
          <w:p>
            <w:pPr>
              <w:pStyle w:val="TableText"/>
              <w:ind w:left="14" w:right="69" w:firstLine="39"/>
              <w:spacing w:before="68" w:line="209" w:lineRule="auto"/>
              <w:rPr>
                <w:sz w:val="12"/>
                <w:szCs w:val="12"/>
              </w:rPr>
            </w:pPr>
            <w:r>
              <w:rPr>
                <w:sz w:val="12"/>
                <w:szCs w:val="12"/>
                <w:spacing w:val="-1"/>
              </w:rPr>
              <w:t>尿素(一般很少单独使</w:t>
            </w:r>
            <w:r>
              <w:rPr>
                <w:sz w:val="12"/>
                <w:szCs w:val="12"/>
                <w:spacing w:val="4"/>
              </w:rPr>
              <w:t xml:space="preserve"> </w:t>
            </w:r>
            <w:r>
              <w:rPr>
                <w:sz w:val="12"/>
                <w:szCs w:val="12"/>
                <w:spacing w:val="2"/>
              </w:rPr>
              <w:t>用须配合磷钾肥使用)</w:t>
            </w:r>
          </w:p>
        </w:tc>
        <w:tc>
          <w:tcPr>
            <w:tcW w:w="1889" w:type="dxa"/>
            <w:vAlign w:val="top"/>
          </w:tcPr>
          <w:p>
            <w:pPr>
              <w:pStyle w:val="TableText"/>
              <w:ind w:left="414"/>
              <w:spacing w:before="147" w:line="216" w:lineRule="auto"/>
              <w:rPr>
                <w:sz w:val="12"/>
                <w:szCs w:val="12"/>
              </w:rPr>
            </w:pPr>
            <w:r>
              <w:rPr>
                <w:sz w:val="12"/>
                <w:szCs w:val="12"/>
                <w:spacing w:val="17"/>
              </w:rPr>
              <w:t>CONF22,含氮465</w:t>
            </w:r>
          </w:p>
        </w:tc>
        <w:tc>
          <w:tcPr>
            <w:tcW w:w="1599" w:type="dxa"/>
            <w:vAlign w:val="top"/>
          </w:tcPr>
          <w:p>
            <w:pPr>
              <w:pStyle w:val="TableText"/>
              <w:ind w:left="196"/>
              <w:spacing w:before="114" w:line="214" w:lineRule="auto"/>
              <w:rPr>
                <w:sz w:val="12"/>
                <w:szCs w:val="12"/>
              </w:rPr>
            </w:pPr>
            <w:r>
              <w:rPr>
                <w:sz w:val="12"/>
                <w:szCs w:val="12"/>
                <w:spacing w:val="-1"/>
              </w:rPr>
              <w:t>直接撒施：20-25kg/亩</w:t>
            </w:r>
          </w:p>
        </w:tc>
        <w:tc>
          <w:tcPr>
            <w:tcW w:w="1559" w:type="dxa"/>
            <w:vAlign w:val="top"/>
          </w:tcPr>
          <w:p>
            <w:pPr>
              <w:pStyle w:val="TableText"/>
              <w:ind w:left="56"/>
              <w:spacing w:before="119" w:line="219" w:lineRule="auto"/>
              <w:rPr>
                <w:sz w:val="12"/>
                <w:szCs w:val="12"/>
              </w:rPr>
            </w:pPr>
            <w:r>
              <w:rPr>
                <w:sz w:val="12"/>
                <w:szCs w:val="12"/>
                <w:spacing w:val="-1"/>
              </w:rPr>
              <w:t>视草环生长情况，紧急使用</w:t>
            </w:r>
          </w:p>
        </w:tc>
        <w:tc>
          <w:tcPr>
            <w:tcW w:w="700" w:type="dxa"/>
            <w:vAlign w:val="top"/>
          </w:tcPr>
          <w:p>
            <w:pPr>
              <w:pStyle w:val="TableText"/>
              <w:ind w:left="178"/>
              <w:spacing w:before="114" w:line="214" w:lineRule="auto"/>
              <w:rPr>
                <w:sz w:val="12"/>
                <w:szCs w:val="12"/>
              </w:rPr>
            </w:pPr>
            <w:r>
              <w:rPr>
                <w:sz w:val="12"/>
                <w:szCs w:val="12"/>
                <w:spacing w:val="-1"/>
              </w:rPr>
              <w:t>50kg/袋</w:t>
            </w:r>
          </w:p>
        </w:tc>
        <w:tc>
          <w:tcPr>
            <w:tcW w:w="2563" w:type="dxa"/>
            <w:vAlign w:val="top"/>
          </w:tcPr>
          <w:p>
            <w:pPr>
              <w:pStyle w:val="TableText"/>
              <w:ind w:left="17" w:right="20"/>
              <w:spacing w:before="58" w:line="212" w:lineRule="auto"/>
              <w:rPr>
                <w:sz w:val="12"/>
                <w:szCs w:val="12"/>
              </w:rPr>
            </w:pPr>
            <w:r>
              <w:rPr>
                <w:sz w:val="12"/>
                <w:szCs w:val="12"/>
                <w:spacing w:val="-1"/>
              </w:rPr>
              <w:t>促进草坪生长，增绿。6-8月避免使用。1万平方</w:t>
            </w:r>
            <w:r>
              <w:rPr>
                <w:sz w:val="12"/>
                <w:szCs w:val="12"/>
                <w:spacing w:val="16"/>
                <w:w w:val="101"/>
              </w:rPr>
              <w:t xml:space="preserve"> </w:t>
            </w:r>
            <w:r>
              <w:rPr>
                <w:sz w:val="12"/>
                <w:szCs w:val="12"/>
                <w:spacing w:val="-1"/>
              </w:rPr>
              <w:t>米年度约用量：500kg</w:t>
            </w:r>
          </w:p>
        </w:tc>
      </w:tr>
      <w:tr>
        <w:trPr>
          <w:trHeight w:val="519" w:hRule="atLeast"/>
        </w:trPr>
        <w:tc>
          <w:tcPr>
            <w:tcW w:w="425" w:type="dxa"/>
            <w:vAlign w:val="top"/>
            <w:vMerge w:val="continue"/>
            <w:tcBorders>
              <w:top w:val="nil"/>
              <w:bottom w:val="nil"/>
            </w:tcBorders>
          </w:tcPr>
          <w:p>
            <w:pPr>
              <w:rPr>
                <w:rFonts w:ascii="Arial"/>
                <w:sz w:val="21"/>
              </w:rPr>
            </w:pPr>
            <w:r/>
          </w:p>
        </w:tc>
        <w:tc>
          <w:tcPr>
            <w:tcW w:w="559" w:type="dxa"/>
            <w:vAlign w:val="top"/>
            <w:vMerge w:val="continue"/>
            <w:tcBorders>
              <w:top w:val="nil"/>
              <w:bottom w:val="nil"/>
            </w:tcBorders>
          </w:tcPr>
          <w:p>
            <w:pPr>
              <w:rPr>
                <w:rFonts w:ascii="Arial"/>
                <w:sz w:val="21"/>
              </w:rPr>
            </w:pPr>
            <w:r/>
          </w:p>
        </w:tc>
        <w:tc>
          <w:tcPr>
            <w:tcW w:w="979" w:type="dxa"/>
            <w:vAlign w:val="top"/>
            <w:vMerge w:val="continue"/>
            <w:tcBorders>
              <w:top w:val="nil"/>
              <w:bottom w:val="nil"/>
            </w:tcBorders>
          </w:tcPr>
          <w:p>
            <w:pPr>
              <w:rPr>
                <w:rFonts w:ascii="Arial"/>
                <w:sz w:val="21"/>
              </w:rPr>
            </w:pPr>
            <w:r/>
          </w:p>
        </w:tc>
        <w:tc>
          <w:tcPr>
            <w:tcW w:w="256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199" w:line="219" w:lineRule="auto"/>
              <w:rPr>
                <w:sz w:val="12"/>
                <w:szCs w:val="12"/>
              </w:rPr>
            </w:pPr>
            <w:r>
              <w:rPr>
                <w:sz w:val="12"/>
                <w:szCs w:val="12"/>
                <w:spacing w:val="-2"/>
              </w:rPr>
              <w:t>有机肥</w:t>
            </w:r>
          </w:p>
        </w:tc>
        <w:tc>
          <w:tcPr>
            <w:tcW w:w="1889" w:type="dxa"/>
            <w:vAlign w:val="top"/>
          </w:tcPr>
          <w:p>
            <w:pPr>
              <w:pStyle w:val="TableText"/>
              <w:ind w:left="364"/>
              <w:spacing w:before="198" w:line="216" w:lineRule="auto"/>
              <w:rPr>
                <w:sz w:val="12"/>
                <w:szCs w:val="12"/>
              </w:rPr>
            </w:pPr>
            <w:r>
              <w:rPr>
                <w:sz w:val="12"/>
                <w:szCs w:val="12"/>
                <w:spacing w:val="-1"/>
              </w:rPr>
              <w:t>有机质&gt;60%,N+P+K&gt;5%</w:t>
            </w:r>
          </w:p>
        </w:tc>
        <w:tc>
          <w:tcPr>
            <w:tcW w:w="1599" w:type="dxa"/>
            <w:vAlign w:val="top"/>
          </w:tcPr>
          <w:p>
            <w:pPr>
              <w:pStyle w:val="TableText"/>
              <w:ind w:left="226"/>
              <w:spacing w:before="195" w:line="214" w:lineRule="auto"/>
              <w:rPr>
                <w:sz w:val="12"/>
                <w:szCs w:val="12"/>
              </w:rPr>
            </w:pPr>
            <w:r>
              <w:rPr>
                <w:sz w:val="12"/>
                <w:szCs w:val="12"/>
                <w:spacing w:val="-1"/>
              </w:rPr>
              <w:t>直接施肥：50-100g/m</w:t>
            </w:r>
          </w:p>
        </w:tc>
        <w:tc>
          <w:tcPr>
            <w:tcW w:w="1559" w:type="dxa"/>
            <w:vAlign w:val="top"/>
          </w:tcPr>
          <w:p>
            <w:pPr>
              <w:pStyle w:val="TableText"/>
              <w:ind w:left="266" w:right="28" w:hanging="240"/>
              <w:spacing w:before="129" w:line="217" w:lineRule="auto"/>
              <w:rPr>
                <w:sz w:val="12"/>
                <w:szCs w:val="12"/>
              </w:rPr>
            </w:pPr>
            <w:r>
              <w:rPr>
                <w:sz w:val="12"/>
                <w:szCs w:val="12"/>
                <w:spacing w:val="-1"/>
              </w:rPr>
              <w:t>建议春秋季使用各1次，颗粒</w:t>
            </w:r>
            <w:r>
              <w:rPr>
                <w:sz w:val="12"/>
                <w:szCs w:val="12"/>
                <w:spacing w:val="5"/>
              </w:rPr>
              <w:t xml:space="preserve"> </w:t>
            </w:r>
            <w:r>
              <w:rPr>
                <w:sz w:val="12"/>
                <w:szCs w:val="12"/>
                <w:spacing w:val="1"/>
              </w:rPr>
              <w:t>的可以每月追肥使用</w:t>
            </w:r>
          </w:p>
        </w:tc>
        <w:tc>
          <w:tcPr>
            <w:tcW w:w="700" w:type="dxa"/>
            <w:vAlign w:val="top"/>
          </w:tcPr>
          <w:p>
            <w:pPr>
              <w:pStyle w:val="TableText"/>
              <w:ind w:left="178"/>
              <w:spacing w:before="195" w:line="214" w:lineRule="auto"/>
              <w:rPr>
                <w:sz w:val="12"/>
                <w:szCs w:val="12"/>
              </w:rPr>
            </w:pPr>
            <w:r>
              <w:rPr>
                <w:sz w:val="12"/>
                <w:szCs w:val="12"/>
                <w:spacing w:val="-1"/>
              </w:rPr>
              <w:t>40kg/袋</w:t>
            </w:r>
          </w:p>
        </w:tc>
        <w:tc>
          <w:tcPr>
            <w:tcW w:w="2563" w:type="dxa"/>
            <w:vAlign w:val="top"/>
          </w:tcPr>
          <w:p>
            <w:pPr>
              <w:pStyle w:val="TableText"/>
              <w:ind w:left="17"/>
              <w:spacing w:before="149" w:line="204" w:lineRule="auto"/>
              <w:rPr>
                <w:sz w:val="12"/>
                <w:szCs w:val="12"/>
              </w:rPr>
            </w:pPr>
            <w:r>
              <w:rPr>
                <w:sz w:val="12"/>
                <w:szCs w:val="12"/>
                <w:spacing w:val="-2"/>
              </w:rPr>
              <w:t>视草坪生长情况四月中下句施肥1-2次，秋季施肥</w:t>
            </w:r>
            <w:r>
              <w:rPr>
                <w:sz w:val="12"/>
                <w:szCs w:val="12"/>
              </w:rPr>
              <w:t xml:space="preserve"> </w:t>
            </w:r>
            <w:r>
              <w:rPr>
                <w:sz w:val="12"/>
                <w:szCs w:val="12"/>
                <w:spacing w:val="-1"/>
              </w:rPr>
              <w:t>9月1次，1万平方米年度约用量：1000kg</w:t>
            </w:r>
          </w:p>
        </w:tc>
      </w:tr>
      <w:tr>
        <w:trPr>
          <w:trHeight w:val="359" w:hRule="atLeast"/>
        </w:trPr>
        <w:tc>
          <w:tcPr>
            <w:tcW w:w="425" w:type="dxa"/>
            <w:vAlign w:val="top"/>
            <w:vMerge w:val="continue"/>
            <w:tcBorders>
              <w:top w:val="nil"/>
              <w:bottom w:val="nil"/>
            </w:tcBorders>
          </w:tcPr>
          <w:p>
            <w:pPr>
              <w:rPr>
                <w:rFonts w:ascii="Arial"/>
                <w:sz w:val="21"/>
              </w:rPr>
            </w:pPr>
            <w:r/>
          </w:p>
        </w:tc>
        <w:tc>
          <w:tcPr>
            <w:tcW w:w="559" w:type="dxa"/>
            <w:vAlign w:val="top"/>
            <w:vMerge w:val="continue"/>
            <w:tcBorders>
              <w:top w:val="nil"/>
              <w:bottom w:val="nil"/>
            </w:tcBorders>
          </w:tcPr>
          <w:p>
            <w:pPr>
              <w:rPr>
                <w:rFonts w:ascii="Arial"/>
                <w:sz w:val="21"/>
              </w:rPr>
            </w:pPr>
            <w:r/>
          </w:p>
        </w:tc>
        <w:tc>
          <w:tcPr>
            <w:tcW w:w="979" w:type="dxa"/>
            <w:vAlign w:val="top"/>
            <w:vMerge w:val="continue"/>
            <w:tcBorders>
              <w:top w:val="nil"/>
              <w:bottom w:val="nil"/>
            </w:tcBorders>
          </w:tcPr>
          <w:p>
            <w:pPr>
              <w:rPr>
                <w:rFonts w:ascii="Arial"/>
                <w:sz w:val="21"/>
              </w:rPr>
            </w:pPr>
            <w:r/>
          </w:p>
        </w:tc>
        <w:tc>
          <w:tcPr>
            <w:tcW w:w="2568" w:type="dxa"/>
            <w:vAlign w:val="top"/>
            <w:vMerge w:val="continue"/>
            <w:tcBorders>
              <w:top w:val="nil"/>
              <w:bottom w:val="nil"/>
            </w:tcBorders>
          </w:tcPr>
          <w:p>
            <w:pPr>
              <w:rPr>
                <w:rFonts w:ascii="Arial"/>
                <w:sz w:val="21"/>
              </w:rPr>
            </w:pPr>
            <w:r/>
          </w:p>
        </w:tc>
        <w:tc>
          <w:tcPr>
            <w:tcW w:w="1269" w:type="dxa"/>
            <w:vAlign w:val="top"/>
          </w:tcPr>
          <w:p>
            <w:pPr>
              <w:pStyle w:val="TableText"/>
              <w:ind w:left="444"/>
              <w:spacing w:before="121" w:line="219" w:lineRule="auto"/>
              <w:rPr>
                <w:sz w:val="12"/>
                <w:szCs w:val="12"/>
              </w:rPr>
            </w:pPr>
            <w:r>
              <w:rPr>
                <w:sz w:val="12"/>
                <w:szCs w:val="12"/>
                <w:spacing w:val="3"/>
              </w:rPr>
              <w:t>国光钾</w:t>
            </w:r>
          </w:p>
        </w:tc>
        <w:tc>
          <w:tcPr>
            <w:tcW w:w="1889" w:type="dxa"/>
            <w:vAlign w:val="top"/>
          </w:tcPr>
          <w:p>
            <w:pPr>
              <w:pStyle w:val="TableText"/>
              <w:ind w:left="545"/>
              <w:spacing w:before="121" w:line="219" w:lineRule="auto"/>
              <w:rPr>
                <w:sz w:val="12"/>
                <w:szCs w:val="12"/>
              </w:rPr>
            </w:pPr>
            <w:r>
              <w:rPr>
                <w:sz w:val="12"/>
                <w:szCs w:val="12"/>
                <w:spacing w:val="-1"/>
              </w:rPr>
              <w:t>98%磷酸二氢钾</w:t>
            </w:r>
          </w:p>
        </w:tc>
        <w:tc>
          <w:tcPr>
            <w:tcW w:w="1599" w:type="dxa"/>
            <w:vAlign w:val="top"/>
          </w:tcPr>
          <w:p>
            <w:pPr>
              <w:pStyle w:val="TableText"/>
              <w:ind w:left="316"/>
              <w:spacing w:before="121" w:line="219" w:lineRule="auto"/>
              <w:rPr>
                <w:sz w:val="12"/>
                <w:szCs w:val="12"/>
              </w:rPr>
            </w:pPr>
            <w:r>
              <w:rPr>
                <w:sz w:val="12"/>
                <w:szCs w:val="12"/>
                <w:spacing w:val="-1"/>
              </w:rPr>
              <w:t>唤施：2%叶面喷施</w:t>
            </w:r>
          </w:p>
        </w:tc>
        <w:tc>
          <w:tcPr>
            <w:tcW w:w="1559" w:type="dxa"/>
            <w:vAlign w:val="top"/>
          </w:tcPr>
          <w:p>
            <w:pPr>
              <w:pStyle w:val="TableText"/>
              <w:ind w:left="626"/>
              <w:spacing w:before="121" w:line="219" w:lineRule="auto"/>
              <w:rPr>
                <w:sz w:val="12"/>
                <w:szCs w:val="12"/>
              </w:rPr>
            </w:pPr>
            <w:r>
              <w:rPr>
                <w:sz w:val="12"/>
                <w:szCs w:val="12"/>
                <w:spacing w:val="-2"/>
              </w:rPr>
              <w:t>2-3次</w:t>
            </w:r>
          </w:p>
        </w:tc>
        <w:tc>
          <w:tcPr>
            <w:tcW w:w="700" w:type="dxa"/>
            <w:vAlign w:val="top"/>
          </w:tcPr>
          <w:p>
            <w:pPr>
              <w:pStyle w:val="TableText"/>
              <w:ind w:left="238"/>
              <w:spacing w:before="116" w:line="214" w:lineRule="auto"/>
              <w:rPr>
                <w:sz w:val="12"/>
                <w:szCs w:val="12"/>
              </w:rPr>
            </w:pPr>
            <w:r>
              <w:rPr>
                <w:sz w:val="12"/>
                <w:szCs w:val="12"/>
                <w:spacing w:val="-3"/>
              </w:rPr>
              <w:t>lkg/袋</w:t>
            </w:r>
          </w:p>
        </w:tc>
        <w:tc>
          <w:tcPr>
            <w:tcW w:w="2563" w:type="dxa"/>
            <w:vAlign w:val="top"/>
          </w:tcPr>
          <w:p>
            <w:pPr>
              <w:pStyle w:val="TableText"/>
              <w:ind w:left="17"/>
              <w:spacing w:before="60" w:line="212" w:lineRule="auto"/>
              <w:rPr>
                <w:sz w:val="12"/>
                <w:szCs w:val="12"/>
              </w:rPr>
            </w:pPr>
            <w:r>
              <w:rPr>
                <w:sz w:val="12"/>
                <w:szCs w:val="12"/>
                <w:spacing w:val="-2"/>
              </w:rPr>
              <w:t>生育期喷3-4次，结合草坪消杀使用，提高草坪抗</w:t>
            </w:r>
            <w:r>
              <w:rPr>
                <w:sz w:val="12"/>
                <w:szCs w:val="12"/>
              </w:rPr>
              <w:t xml:space="preserve"> </w:t>
            </w:r>
            <w:r>
              <w:rPr>
                <w:sz w:val="12"/>
                <w:szCs w:val="12"/>
                <w:spacing w:val="-1"/>
              </w:rPr>
              <w:t>病力。1万平方米年度约用量：12kg</w:t>
            </w:r>
          </w:p>
        </w:tc>
      </w:tr>
      <w:tr>
        <w:trPr>
          <w:trHeight w:val="499" w:hRule="atLeast"/>
        </w:trPr>
        <w:tc>
          <w:tcPr>
            <w:tcW w:w="425" w:type="dxa"/>
            <w:vAlign w:val="top"/>
            <w:vMerge w:val="continue"/>
            <w:tcBorders>
              <w:top w:val="nil"/>
            </w:tcBorders>
          </w:tcPr>
          <w:p>
            <w:pPr>
              <w:rPr>
                <w:rFonts w:ascii="Arial"/>
                <w:sz w:val="21"/>
              </w:rPr>
            </w:pPr>
            <w:r/>
          </w:p>
        </w:tc>
        <w:tc>
          <w:tcPr>
            <w:tcW w:w="559" w:type="dxa"/>
            <w:vAlign w:val="top"/>
            <w:vMerge w:val="continue"/>
            <w:tcBorders>
              <w:top w:val="nil"/>
            </w:tcBorders>
          </w:tcPr>
          <w:p>
            <w:pPr>
              <w:rPr>
                <w:rFonts w:ascii="Arial"/>
                <w:sz w:val="21"/>
              </w:rPr>
            </w:pPr>
            <w:r/>
          </w:p>
        </w:tc>
        <w:tc>
          <w:tcPr>
            <w:tcW w:w="979" w:type="dxa"/>
            <w:vAlign w:val="top"/>
            <w:vMerge w:val="continue"/>
            <w:tcBorders>
              <w:top w:val="nil"/>
            </w:tcBorders>
          </w:tcPr>
          <w:p>
            <w:pPr>
              <w:rPr>
                <w:rFonts w:ascii="Arial"/>
                <w:sz w:val="21"/>
              </w:rPr>
            </w:pPr>
            <w:r/>
          </w:p>
        </w:tc>
        <w:tc>
          <w:tcPr>
            <w:tcW w:w="2568" w:type="dxa"/>
            <w:vAlign w:val="top"/>
            <w:vMerge w:val="continue"/>
            <w:tcBorders>
              <w:top w:val="nil"/>
            </w:tcBorders>
          </w:tcPr>
          <w:p>
            <w:pPr>
              <w:rPr>
                <w:rFonts w:ascii="Arial"/>
                <w:sz w:val="21"/>
              </w:rPr>
            </w:pPr>
            <w:r/>
          </w:p>
        </w:tc>
        <w:tc>
          <w:tcPr>
            <w:tcW w:w="1269" w:type="dxa"/>
            <w:vAlign w:val="top"/>
          </w:tcPr>
          <w:p>
            <w:pPr>
              <w:pStyle w:val="TableText"/>
              <w:ind w:left="384"/>
              <w:spacing w:before="192" w:line="219" w:lineRule="auto"/>
              <w:rPr>
                <w:sz w:val="12"/>
                <w:szCs w:val="12"/>
              </w:rPr>
            </w:pPr>
            <w:r>
              <w:rPr>
                <w:sz w:val="12"/>
                <w:szCs w:val="12"/>
                <w:spacing w:val="1"/>
              </w:rPr>
              <w:t>中威壮美</w:t>
            </w:r>
          </w:p>
        </w:tc>
        <w:tc>
          <w:tcPr>
            <w:tcW w:w="1889" w:type="dxa"/>
            <w:vAlign w:val="top"/>
          </w:tcPr>
          <w:p>
            <w:pPr>
              <w:pStyle w:val="TableText"/>
              <w:ind w:left="605"/>
              <w:spacing w:before="191" w:line="219" w:lineRule="auto"/>
              <w:rPr>
                <w:sz w:val="12"/>
                <w:szCs w:val="12"/>
              </w:rPr>
            </w:pPr>
            <w:r>
              <w:rPr>
                <w:sz w:val="12"/>
                <w:szCs w:val="12"/>
                <w:spacing w:val="-1"/>
              </w:rPr>
              <w:t>有机质≥60%</w:t>
            </w:r>
          </w:p>
        </w:tc>
        <w:tc>
          <w:tcPr>
            <w:tcW w:w="1599" w:type="dxa"/>
            <w:vAlign w:val="top"/>
          </w:tcPr>
          <w:p>
            <w:pPr>
              <w:pStyle w:val="TableText"/>
              <w:ind w:left="196"/>
              <w:spacing w:before="187" w:line="214" w:lineRule="auto"/>
              <w:rPr>
                <w:sz w:val="12"/>
                <w:szCs w:val="12"/>
              </w:rPr>
            </w:pPr>
            <w:r>
              <w:rPr>
                <w:sz w:val="12"/>
                <w:szCs w:val="12"/>
                <w:spacing w:val="-1"/>
              </w:rPr>
              <w:t>直按撒施：20-25kg/亩</w:t>
            </w:r>
          </w:p>
        </w:tc>
        <w:tc>
          <w:tcPr>
            <w:tcW w:w="1559" w:type="dxa"/>
            <w:vAlign w:val="top"/>
          </w:tcPr>
          <w:p>
            <w:pPr>
              <w:pStyle w:val="TableText"/>
              <w:ind w:left="327"/>
              <w:spacing w:before="191" w:line="219" w:lineRule="auto"/>
              <w:rPr>
                <w:sz w:val="12"/>
                <w:szCs w:val="12"/>
              </w:rPr>
            </w:pPr>
            <w:r>
              <w:rPr>
                <w:sz w:val="12"/>
                <w:szCs w:val="12"/>
                <w:spacing w:val="1"/>
              </w:rPr>
              <w:t>1-2次，追肥使用</w:t>
            </w:r>
          </w:p>
        </w:tc>
        <w:tc>
          <w:tcPr>
            <w:tcW w:w="700" w:type="dxa"/>
            <w:vAlign w:val="top"/>
          </w:tcPr>
          <w:p>
            <w:pPr>
              <w:pStyle w:val="TableText"/>
              <w:ind w:left="178"/>
              <w:spacing w:before="187" w:line="214" w:lineRule="auto"/>
              <w:rPr>
                <w:sz w:val="12"/>
                <w:szCs w:val="12"/>
              </w:rPr>
            </w:pPr>
            <w:r>
              <w:rPr>
                <w:sz w:val="12"/>
                <w:szCs w:val="12"/>
                <w:spacing w:val="-1"/>
              </w:rPr>
              <w:t>25kg/袋</w:t>
            </w:r>
          </w:p>
        </w:tc>
        <w:tc>
          <w:tcPr>
            <w:tcW w:w="2563" w:type="dxa"/>
            <w:vAlign w:val="top"/>
          </w:tcPr>
          <w:p>
            <w:pPr>
              <w:pStyle w:val="TableText"/>
              <w:ind w:left="17" w:right="80"/>
              <w:spacing w:before="61" w:line="219" w:lineRule="auto"/>
              <w:rPr>
                <w:sz w:val="12"/>
                <w:szCs w:val="12"/>
              </w:rPr>
            </w:pPr>
            <w:r>
              <w:rPr>
                <w:sz w:val="12"/>
                <w:szCs w:val="12"/>
                <w:spacing w:val="-1"/>
              </w:rPr>
              <w:t>促进草坪快速生根。全面营养，使用安全方便</w:t>
            </w:r>
            <w:r>
              <w:rPr>
                <w:sz w:val="12"/>
                <w:szCs w:val="12"/>
                <w:spacing w:val="6"/>
              </w:rPr>
              <w:t xml:space="preserve">  </w:t>
            </w:r>
            <w:r>
              <w:rPr>
                <w:sz w:val="12"/>
                <w:szCs w:val="12"/>
                <w:spacing w:val="-1"/>
              </w:rPr>
              <w:t>价格高，只能做辅助使用，1万平方米年度约用</w:t>
            </w:r>
            <w:r>
              <w:rPr>
                <w:sz w:val="12"/>
                <w:szCs w:val="12"/>
                <w:spacing w:val="14"/>
              </w:rPr>
              <w:t xml:space="preserve"> </w:t>
            </w:r>
            <w:r>
              <w:rPr>
                <w:sz w:val="12"/>
                <w:szCs w:val="12"/>
                <w:spacing w:val="-1"/>
              </w:rPr>
              <w:t>量：300kx</w:t>
            </w:r>
          </w:p>
        </w:tc>
      </w:tr>
      <w:tr>
        <w:trPr>
          <w:trHeight w:val="280" w:hRule="atLeast"/>
        </w:trPr>
        <w:tc>
          <w:tcPr>
            <w:tcW w:w="425" w:type="dxa"/>
            <w:vAlign w:val="top"/>
            <w:vMerge w:val="restart"/>
            <w:tcBorders>
              <w:bottom w:val="nil"/>
            </w:tcBorders>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84"/>
              <w:spacing w:before="39" w:line="220" w:lineRule="auto"/>
              <w:rPr>
                <w:sz w:val="12"/>
                <w:szCs w:val="12"/>
              </w:rPr>
            </w:pPr>
            <w:r>
              <w:rPr>
                <w:sz w:val="12"/>
                <w:szCs w:val="12"/>
                <w:spacing w:val="-2"/>
              </w:rPr>
              <w:t>其他</w:t>
            </w:r>
          </w:p>
        </w:tc>
        <w:tc>
          <w:tcPr>
            <w:tcW w:w="559" w:type="dxa"/>
            <w:vAlign w:val="top"/>
            <w:vMerge w:val="restart"/>
            <w:tcBorders>
              <w:bottom w:val="nil"/>
            </w:tcBorders>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0"/>
              <w:spacing w:before="39" w:line="219" w:lineRule="auto"/>
              <w:rPr>
                <w:sz w:val="12"/>
                <w:szCs w:val="12"/>
              </w:rPr>
            </w:pPr>
            <w:r>
              <w:rPr>
                <w:sz w:val="12"/>
                <w:szCs w:val="12"/>
                <w:spacing w:val="-1"/>
              </w:rPr>
              <w:t>树木养护</w:t>
            </w:r>
          </w:p>
        </w:tc>
        <w:tc>
          <w:tcPr>
            <w:tcW w:w="979" w:type="dxa"/>
            <w:vAlign w:val="top"/>
            <w:vMerge w:val="restart"/>
            <w:tcBorders>
              <w:bottom w:val="nil"/>
            </w:tcBorders>
          </w:tcPr>
          <w:p>
            <w:pPr>
              <w:spacing w:line="301" w:lineRule="auto"/>
              <w:rPr>
                <w:rFonts w:ascii="Arial"/>
                <w:sz w:val="21"/>
              </w:rPr>
            </w:pPr>
            <w:r/>
          </w:p>
          <w:p>
            <w:pPr>
              <w:pStyle w:val="TableText"/>
              <w:ind w:left="10"/>
              <w:spacing w:before="39" w:line="216" w:lineRule="auto"/>
              <w:rPr>
                <w:sz w:val="12"/>
                <w:szCs w:val="12"/>
              </w:rPr>
            </w:pPr>
            <w:r>
              <w:rPr>
                <w:sz w:val="12"/>
                <w:szCs w:val="12"/>
                <w:spacing w:val="-1"/>
              </w:rPr>
              <w:t>树木修剪创口，腐</w:t>
            </w:r>
          </w:p>
          <w:p>
            <w:pPr>
              <w:pStyle w:val="TableText"/>
              <w:ind w:left="181"/>
              <w:spacing w:line="219" w:lineRule="auto"/>
              <w:rPr>
                <w:sz w:val="12"/>
                <w:szCs w:val="12"/>
              </w:rPr>
            </w:pPr>
            <w:r>
              <w:rPr>
                <w:sz w:val="12"/>
                <w:szCs w:val="12"/>
                <w:spacing w:val="3"/>
              </w:rPr>
              <w:t>烂病害伤口</w:t>
            </w:r>
          </w:p>
        </w:tc>
        <w:tc>
          <w:tcPr>
            <w:tcW w:w="2568" w:type="dxa"/>
            <w:vAlign w:val="top"/>
            <w:vMerge w:val="restart"/>
            <w:tcBorders>
              <w:bottom w:val="nil"/>
            </w:tcBorders>
          </w:tcPr>
          <w:p>
            <w:pPr>
              <w:spacing w:line="371" w:lineRule="auto"/>
              <w:rPr>
                <w:rFonts w:ascii="Arial"/>
                <w:sz w:val="21"/>
              </w:rPr>
            </w:pPr>
            <w:r/>
          </w:p>
          <w:p>
            <w:pPr>
              <w:pStyle w:val="TableText"/>
              <w:ind w:left="12"/>
              <w:spacing w:before="39" w:line="219" w:lineRule="auto"/>
              <w:rPr>
                <w:sz w:val="12"/>
                <w:szCs w:val="12"/>
              </w:rPr>
            </w:pPr>
            <w:r>
              <w:rPr>
                <w:sz w:val="12"/>
                <w:szCs w:val="12"/>
              </w:rPr>
              <w:t>日常养护，选购所列一种即可保证现场正常使用</w:t>
            </w:r>
          </w:p>
        </w:tc>
        <w:tc>
          <w:tcPr>
            <w:tcW w:w="1269" w:type="dxa"/>
            <w:vAlign w:val="top"/>
          </w:tcPr>
          <w:p>
            <w:pPr>
              <w:pStyle w:val="TableText"/>
              <w:ind w:left="504"/>
              <w:spacing w:before="83" w:line="219" w:lineRule="auto"/>
              <w:rPr>
                <w:sz w:val="12"/>
                <w:szCs w:val="12"/>
              </w:rPr>
            </w:pPr>
            <w:r>
              <w:rPr>
                <w:sz w:val="12"/>
                <w:szCs w:val="12"/>
                <w:spacing w:val="-2"/>
              </w:rPr>
              <w:t>糊涂</w:t>
            </w:r>
          </w:p>
        </w:tc>
        <w:tc>
          <w:tcPr>
            <w:tcW w:w="1889" w:type="dxa"/>
            <w:vAlign w:val="top"/>
          </w:tcPr>
          <w:p>
            <w:pPr>
              <w:pStyle w:val="TableText"/>
              <w:ind w:left="695" w:right="49" w:hanging="660"/>
              <w:spacing w:before="12" w:line="198"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599" w:type="dxa"/>
            <w:vAlign w:val="top"/>
          </w:tcPr>
          <w:p>
            <w:pPr>
              <w:pStyle w:val="TableText"/>
              <w:ind w:left="135"/>
              <w:spacing w:before="83" w:line="219" w:lineRule="auto"/>
              <w:rPr>
                <w:sz w:val="12"/>
                <w:szCs w:val="12"/>
              </w:rPr>
            </w:pPr>
            <w:r>
              <w:rPr>
                <w:sz w:val="12"/>
                <w:szCs w:val="12"/>
                <w:spacing w:val="-1"/>
              </w:rPr>
              <w:t>直接使用，可略加水稀释</w:t>
            </w:r>
          </w:p>
        </w:tc>
        <w:tc>
          <w:tcPr>
            <w:tcW w:w="1559" w:type="dxa"/>
            <w:vAlign w:val="top"/>
            <w:vMerge w:val="restart"/>
            <w:tcBorders>
              <w:bottom w:val="nil"/>
            </w:tcBorders>
          </w:tcPr>
          <w:p>
            <w:pPr>
              <w:spacing w:line="371" w:lineRule="auto"/>
              <w:rPr>
                <w:rFonts w:ascii="Arial"/>
                <w:sz w:val="21"/>
              </w:rPr>
            </w:pPr>
            <w:r/>
          </w:p>
          <w:p>
            <w:pPr>
              <w:pStyle w:val="TableText"/>
              <w:ind w:left="117"/>
              <w:spacing w:before="39" w:line="219" w:lineRule="auto"/>
              <w:rPr>
                <w:sz w:val="12"/>
                <w:szCs w:val="12"/>
              </w:rPr>
            </w:pPr>
            <w:r>
              <w:rPr>
                <w:sz w:val="12"/>
                <w:szCs w:val="12"/>
                <w:spacing w:val="-1"/>
              </w:rPr>
              <w:t>乔木修剪后和树皮破损时</w:t>
            </w:r>
          </w:p>
        </w:tc>
        <w:tc>
          <w:tcPr>
            <w:tcW w:w="700" w:type="dxa"/>
            <w:vAlign w:val="top"/>
          </w:tcPr>
          <w:p>
            <w:pPr>
              <w:pStyle w:val="TableText"/>
              <w:ind w:left="178"/>
              <w:spacing w:before="78" w:line="214" w:lineRule="auto"/>
              <w:rPr>
                <w:sz w:val="12"/>
                <w:szCs w:val="12"/>
              </w:rPr>
            </w:pPr>
            <w:r>
              <w:rPr>
                <w:sz w:val="12"/>
                <w:szCs w:val="12"/>
                <w:spacing w:val="-1"/>
              </w:rPr>
              <w:t>500g/瓶</w:t>
            </w:r>
          </w:p>
        </w:tc>
        <w:tc>
          <w:tcPr>
            <w:tcW w:w="2563" w:type="dxa"/>
            <w:vAlign w:val="top"/>
          </w:tcPr>
          <w:p>
            <w:pPr>
              <w:pStyle w:val="TableText"/>
              <w:ind w:left="17"/>
              <w:spacing w:before="82" w:line="219" w:lineRule="auto"/>
              <w:rPr>
                <w:sz w:val="12"/>
                <w:szCs w:val="12"/>
              </w:rPr>
            </w:pPr>
            <w:r>
              <w:rPr>
                <w:sz w:val="12"/>
                <w:szCs w:val="12"/>
                <w:spacing w:val="-1"/>
              </w:rPr>
              <w:t>促进伤口快速愈合，桑菌防腐</w:t>
            </w:r>
          </w:p>
        </w:tc>
      </w:tr>
      <w:tr>
        <w:trPr>
          <w:trHeight w:val="360" w:hRule="atLeast"/>
        </w:trPr>
        <w:tc>
          <w:tcPr>
            <w:tcW w:w="425" w:type="dxa"/>
            <w:vAlign w:val="top"/>
            <w:vMerge w:val="continue"/>
            <w:tcBorders>
              <w:top w:val="nil"/>
              <w:bottom w:val="nil"/>
            </w:tcBorders>
          </w:tcPr>
          <w:p>
            <w:pPr>
              <w:rPr>
                <w:rFonts w:ascii="Arial"/>
                <w:sz w:val="21"/>
              </w:rPr>
            </w:pPr>
            <w:r/>
          </w:p>
        </w:tc>
        <w:tc>
          <w:tcPr>
            <w:tcW w:w="559" w:type="dxa"/>
            <w:vAlign w:val="top"/>
            <w:vMerge w:val="continue"/>
            <w:tcBorders>
              <w:top w:val="nil"/>
              <w:bottom w:val="nil"/>
            </w:tcBorders>
          </w:tcPr>
          <w:p>
            <w:pPr>
              <w:rPr>
                <w:rFonts w:ascii="Arial"/>
                <w:sz w:val="21"/>
              </w:rPr>
            </w:pPr>
            <w:r/>
          </w:p>
        </w:tc>
        <w:tc>
          <w:tcPr>
            <w:tcW w:w="979" w:type="dxa"/>
            <w:vAlign w:val="top"/>
            <w:vMerge w:val="continue"/>
            <w:tcBorders>
              <w:top w:val="nil"/>
              <w:bottom w:val="nil"/>
            </w:tcBorders>
          </w:tcPr>
          <w:p>
            <w:pPr>
              <w:rPr>
                <w:rFonts w:ascii="Arial"/>
                <w:sz w:val="21"/>
              </w:rPr>
            </w:pPr>
            <w:r/>
          </w:p>
        </w:tc>
        <w:tc>
          <w:tcPr>
            <w:tcW w:w="2568" w:type="dxa"/>
            <w:vAlign w:val="top"/>
            <w:vMerge w:val="continue"/>
            <w:tcBorders>
              <w:top w:val="nil"/>
              <w:bottom w:val="nil"/>
            </w:tcBorders>
          </w:tcPr>
          <w:p>
            <w:pPr>
              <w:rPr>
                <w:rFonts w:ascii="Arial"/>
                <w:sz w:val="21"/>
              </w:rPr>
            </w:pPr>
            <w:r/>
          </w:p>
        </w:tc>
        <w:tc>
          <w:tcPr>
            <w:tcW w:w="1269" w:type="dxa"/>
            <w:vAlign w:val="top"/>
          </w:tcPr>
          <w:p>
            <w:pPr>
              <w:pStyle w:val="TableText"/>
              <w:ind w:left="324"/>
              <w:spacing w:before="122" w:line="219" w:lineRule="auto"/>
              <w:rPr>
                <w:sz w:val="12"/>
                <w:szCs w:val="12"/>
              </w:rPr>
            </w:pPr>
            <w:r>
              <w:rPr>
                <w:sz w:val="12"/>
                <w:szCs w:val="12"/>
                <w:spacing w:val="1"/>
              </w:rPr>
              <w:t>中威愈伤膏</w:t>
            </w:r>
          </w:p>
        </w:tc>
        <w:tc>
          <w:tcPr>
            <w:tcW w:w="1889" w:type="dxa"/>
            <w:vAlign w:val="top"/>
          </w:tcPr>
          <w:p>
            <w:pPr>
              <w:pStyle w:val="TableText"/>
              <w:ind w:left="514"/>
              <w:spacing w:before="122" w:line="219" w:lineRule="auto"/>
              <w:rPr>
                <w:sz w:val="12"/>
                <w:szCs w:val="12"/>
              </w:rPr>
            </w:pPr>
            <w:r>
              <w:rPr>
                <w:sz w:val="12"/>
                <w:szCs w:val="12"/>
                <w:spacing w:val="-1"/>
              </w:rPr>
              <w:t>有机质、杀菌剂</w:t>
            </w:r>
          </w:p>
        </w:tc>
        <w:tc>
          <w:tcPr>
            <w:tcW w:w="1599" w:type="dxa"/>
            <w:vAlign w:val="top"/>
          </w:tcPr>
          <w:p>
            <w:pPr>
              <w:pStyle w:val="TableText"/>
              <w:ind w:left="135"/>
              <w:spacing w:before="123" w:line="219" w:lineRule="auto"/>
              <w:rPr>
                <w:sz w:val="12"/>
                <w:szCs w:val="12"/>
              </w:rPr>
            </w:pPr>
            <w:r>
              <w:rPr>
                <w:sz w:val="12"/>
                <w:szCs w:val="12"/>
                <w:spacing w:val="-1"/>
              </w:rPr>
              <w:t>直接使用，可略加水稀释</w:t>
            </w:r>
          </w:p>
        </w:tc>
        <w:tc>
          <w:tcPr>
            <w:tcW w:w="1559" w:type="dxa"/>
            <w:vAlign w:val="top"/>
            <w:vMerge w:val="continue"/>
            <w:tcBorders>
              <w:top w:val="nil"/>
              <w:bottom w:val="nil"/>
            </w:tcBorders>
          </w:tcPr>
          <w:p>
            <w:pPr>
              <w:rPr>
                <w:rFonts w:ascii="Arial"/>
                <w:sz w:val="21"/>
              </w:rPr>
            </w:pPr>
            <w:r/>
          </w:p>
        </w:tc>
        <w:tc>
          <w:tcPr>
            <w:tcW w:w="700" w:type="dxa"/>
            <w:vAlign w:val="top"/>
          </w:tcPr>
          <w:p>
            <w:pPr>
              <w:pStyle w:val="TableText"/>
              <w:ind w:left="178"/>
              <w:spacing w:before="118" w:line="214" w:lineRule="auto"/>
              <w:rPr>
                <w:sz w:val="12"/>
                <w:szCs w:val="12"/>
              </w:rPr>
            </w:pPr>
            <w:r>
              <w:rPr>
                <w:sz w:val="12"/>
                <w:szCs w:val="12"/>
                <w:spacing w:val="-1"/>
              </w:rPr>
              <w:t>500g/瓶</w:t>
            </w:r>
          </w:p>
        </w:tc>
        <w:tc>
          <w:tcPr>
            <w:tcW w:w="2563" w:type="dxa"/>
            <w:vAlign w:val="top"/>
          </w:tcPr>
          <w:p>
            <w:pPr>
              <w:pStyle w:val="TableText"/>
              <w:ind w:left="17" w:right="19"/>
              <w:spacing w:before="73" w:line="210" w:lineRule="auto"/>
              <w:rPr>
                <w:sz w:val="12"/>
                <w:szCs w:val="12"/>
              </w:rPr>
            </w:pPr>
            <w:r>
              <w:rPr>
                <w:sz w:val="12"/>
                <w:szCs w:val="12"/>
                <w:spacing w:val="-1"/>
              </w:rPr>
              <w:t>适用树木移栽时切口及根部处理：病害伤口，树</w:t>
            </w:r>
            <w:r>
              <w:rPr>
                <w:sz w:val="12"/>
                <w:szCs w:val="12"/>
                <w:spacing w:val="15"/>
              </w:rPr>
              <w:t xml:space="preserve"> </w:t>
            </w:r>
            <w:r>
              <w:rPr>
                <w:sz w:val="12"/>
                <w:szCs w:val="12"/>
                <w:spacing w:val="-2"/>
              </w:rPr>
              <w:t>皮损失处理</w:t>
            </w:r>
          </w:p>
        </w:tc>
      </w:tr>
      <w:tr>
        <w:trPr>
          <w:trHeight w:val="270" w:hRule="atLeast"/>
        </w:trPr>
        <w:tc>
          <w:tcPr>
            <w:tcW w:w="425" w:type="dxa"/>
            <w:vAlign w:val="top"/>
            <w:vMerge w:val="continue"/>
            <w:tcBorders>
              <w:top w:val="nil"/>
              <w:bottom w:val="nil"/>
            </w:tcBorders>
          </w:tcPr>
          <w:p>
            <w:pPr>
              <w:rPr>
                <w:rFonts w:ascii="Arial"/>
                <w:sz w:val="21"/>
              </w:rPr>
            </w:pPr>
            <w:r/>
          </w:p>
        </w:tc>
        <w:tc>
          <w:tcPr>
            <w:tcW w:w="559" w:type="dxa"/>
            <w:vAlign w:val="top"/>
            <w:vMerge w:val="continue"/>
            <w:tcBorders>
              <w:top w:val="nil"/>
              <w:bottom w:val="nil"/>
            </w:tcBorders>
          </w:tcPr>
          <w:p>
            <w:pPr>
              <w:rPr>
                <w:rFonts w:ascii="Arial"/>
                <w:sz w:val="21"/>
              </w:rPr>
            </w:pPr>
            <w:r/>
          </w:p>
        </w:tc>
        <w:tc>
          <w:tcPr>
            <w:tcW w:w="979" w:type="dxa"/>
            <w:vAlign w:val="top"/>
            <w:vMerge w:val="continue"/>
            <w:tcBorders>
              <w:top w:val="nil"/>
            </w:tcBorders>
          </w:tcPr>
          <w:p>
            <w:pPr>
              <w:rPr>
                <w:rFonts w:ascii="Arial"/>
                <w:sz w:val="21"/>
              </w:rPr>
            </w:pPr>
            <w:r/>
          </w:p>
        </w:tc>
        <w:tc>
          <w:tcPr>
            <w:tcW w:w="2568" w:type="dxa"/>
            <w:vAlign w:val="top"/>
            <w:vMerge w:val="continue"/>
            <w:tcBorders>
              <w:top w:val="nil"/>
            </w:tcBorders>
          </w:tcPr>
          <w:p>
            <w:pPr>
              <w:rPr>
                <w:rFonts w:ascii="Arial"/>
                <w:sz w:val="21"/>
              </w:rPr>
            </w:pPr>
            <w:r/>
          </w:p>
        </w:tc>
        <w:tc>
          <w:tcPr>
            <w:tcW w:w="1269" w:type="dxa"/>
            <w:vAlign w:val="top"/>
          </w:tcPr>
          <w:p>
            <w:pPr>
              <w:pStyle w:val="TableText"/>
              <w:ind w:left="384"/>
              <w:spacing w:before="83" w:line="219" w:lineRule="auto"/>
              <w:rPr>
                <w:sz w:val="12"/>
                <w:szCs w:val="12"/>
              </w:rPr>
            </w:pPr>
            <w:r>
              <w:rPr>
                <w:sz w:val="12"/>
                <w:szCs w:val="12"/>
                <w:spacing w:val="-2"/>
              </w:rPr>
              <w:t>灰色油漆</w:t>
            </w:r>
          </w:p>
        </w:tc>
        <w:tc>
          <w:tcPr>
            <w:tcW w:w="1889" w:type="dxa"/>
            <w:vAlign w:val="top"/>
          </w:tcPr>
          <w:p>
            <w:pPr>
              <w:pStyle w:val="TableText"/>
              <w:ind w:left="155"/>
              <w:spacing w:before="82" w:line="219" w:lineRule="auto"/>
              <w:rPr>
                <w:sz w:val="12"/>
                <w:szCs w:val="12"/>
              </w:rPr>
            </w:pPr>
            <w:r>
              <w:rPr>
                <w:sz w:val="12"/>
                <w:szCs w:val="12"/>
                <w:spacing w:val="-1"/>
              </w:rPr>
              <w:t>成膜物质、颜料、溶剂、助剂</w:t>
            </w:r>
          </w:p>
        </w:tc>
        <w:tc>
          <w:tcPr>
            <w:tcW w:w="1599" w:type="dxa"/>
            <w:vAlign w:val="top"/>
          </w:tcPr>
          <w:p>
            <w:pPr>
              <w:pStyle w:val="TableText"/>
              <w:ind w:left="75"/>
              <w:spacing w:before="83" w:line="219" w:lineRule="auto"/>
              <w:rPr>
                <w:sz w:val="12"/>
                <w:szCs w:val="12"/>
              </w:rPr>
            </w:pPr>
            <w:r>
              <w:rPr>
                <w:sz w:val="12"/>
                <w:szCs w:val="12"/>
                <w:spacing w:val="-1"/>
              </w:rPr>
              <w:t>直接使用，可略加汽油稀释</w:t>
            </w:r>
          </w:p>
        </w:tc>
        <w:tc>
          <w:tcPr>
            <w:tcW w:w="1559" w:type="dxa"/>
            <w:vAlign w:val="top"/>
            <w:vMerge w:val="continue"/>
            <w:tcBorders>
              <w:top w:val="nil"/>
            </w:tcBorders>
          </w:tcPr>
          <w:p>
            <w:pPr>
              <w:rPr>
                <w:rFonts w:ascii="Arial"/>
                <w:sz w:val="21"/>
              </w:rPr>
            </w:pPr>
            <w:r/>
          </w:p>
        </w:tc>
        <w:tc>
          <w:tcPr>
            <w:tcW w:w="700" w:type="dxa"/>
            <w:vAlign w:val="top"/>
          </w:tcPr>
          <w:p>
            <w:pPr>
              <w:pStyle w:val="TableText"/>
              <w:ind w:left="198"/>
              <w:spacing w:before="83" w:line="219" w:lineRule="auto"/>
              <w:rPr>
                <w:sz w:val="12"/>
                <w:szCs w:val="12"/>
              </w:rPr>
            </w:pPr>
            <w:r>
              <w:rPr>
                <w:sz w:val="12"/>
                <w:szCs w:val="12"/>
                <w:spacing w:val="2"/>
              </w:rPr>
              <w:t>1L/桶</w:t>
            </w:r>
          </w:p>
        </w:tc>
        <w:tc>
          <w:tcPr>
            <w:tcW w:w="2563" w:type="dxa"/>
            <w:vAlign w:val="top"/>
          </w:tcPr>
          <w:p>
            <w:pPr>
              <w:pStyle w:val="TableText"/>
              <w:ind w:left="17"/>
              <w:spacing w:before="83" w:line="219" w:lineRule="auto"/>
              <w:rPr>
                <w:sz w:val="12"/>
                <w:szCs w:val="12"/>
              </w:rPr>
            </w:pPr>
            <w:r>
              <w:rPr>
                <w:sz w:val="12"/>
                <w:szCs w:val="12"/>
                <w:spacing w:val="-1"/>
              </w:rPr>
              <w:t>伤口涂抹</w:t>
            </w:r>
          </w:p>
        </w:tc>
      </w:tr>
      <w:tr>
        <w:trPr>
          <w:trHeight w:val="893" w:hRule="atLeast"/>
        </w:trPr>
        <w:tc>
          <w:tcPr>
            <w:tcW w:w="425" w:type="dxa"/>
            <w:vAlign w:val="top"/>
            <w:vMerge w:val="continue"/>
            <w:tcBorders>
              <w:top w:val="nil"/>
            </w:tcBorders>
          </w:tcPr>
          <w:p>
            <w:pPr>
              <w:rPr>
                <w:rFonts w:ascii="Arial"/>
                <w:sz w:val="21"/>
              </w:rPr>
            </w:pPr>
            <w:r/>
          </w:p>
        </w:tc>
        <w:tc>
          <w:tcPr>
            <w:tcW w:w="559" w:type="dxa"/>
            <w:vAlign w:val="top"/>
            <w:vMerge w:val="continue"/>
            <w:tcBorders>
              <w:top w:val="nil"/>
            </w:tcBorders>
          </w:tcPr>
          <w:p>
            <w:pPr>
              <w:rPr>
                <w:rFonts w:ascii="Arial"/>
                <w:sz w:val="21"/>
              </w:rPr>
            </w:pPr>
            <w:r/>
          </w:p>
        </w:tc>
        <w:tc>
          <w:tcPr>
            <w:tcW w:w="979" w:type="dxa"/>
            <w:vAlign w:val="top"/>
          </w:tcPr>
          <w:p>
            <w:pPr>
              <w:spacing w:line="351" w:lineRule="auto"/>
              <w:rPr>
                <w:rFonts w:ascii="Arial"/>
                <w:sz w:val="21"/>
              </w:rPr>
            </w:pPr>
            <w:r/>
          </w:p>
          <w:p>
            <w:pPr>
              <w:pStyle w:val="TableText"/>
              <w:ind w:left="241"/>
              <w:spacing w:before="39" w:line="219" w:lineRule="auto"/>
              <w:rPr>
                <w:sz w:val="12"/>
                <w:szCs w:val="12"/>
              </w:rPr>
            </w:pPr>
            <w:r>
              <w:rPr>
                <w:sz w:val="12"/>
                <w:szCs w:val="12"/>
                <w:spacing w:val="2"/>
              </w:rPr>
              <w:t>防寒抗冻</w:t>
            </w:r>
          </w:p>
        </w:tc>
        <w:tc>
          <w:tcPr>
            <w:tcW w:w="2568" w:type="dxa"/>
            <w:vAlign w:val="top"/>
          </w:tcPr>
          <w:p>
            <w:pPr>
              <w:spacing w:line="351" w:lineRule="auto"/>
              <w:rPr>
                <w:rFonts w:ascii="Arial"/>
                <w:sz w:val="21"/>
              </w:rPr>
            </w:pPr>
            <w:r/>
          </w:p>
          <w:p>
            <w:pPr>
              <w:pStyle w:val="TableText"/>
              <w:ind w:left="12"/>
              <w:spacing w:before="39" w:line="219" w:lineRule="auto"/>
              <w:rPr>
                <w:sz w:val="12"/>
                <w:szCs w:val="12"/>
              </w:rPr>
            </w:pPr>
            <w:r>
              <w:rPr>
                <w:sz w:val="12"/>
                <w:szCs w:val="12"/>
                <w:spacing w:val="2"/>
              </w:rPr>
              <w:t>10月施用</w:t>
            </w:r>
          </w:p>
        </w:tc>
        <w:tc>
          <w:tcPr>
            <w:tcW w:w="1269" w:type="dxa"/>
            <w:vAlign w:val="top"/>
          </w:tcPr>
          <w:p>
            <w:pPr>
              <w:spacing w:line="351" w:lineRule="auto"/>
              <w:rPr>
                <w:rFonts w:ascii="Arial"/>
                <w:sz w:val="21"/>
              </w:rPr>
            </w:pPr>
            <w:r/>
          </w:p>
          <w:p>
            <w:pPr>
              <w:pStyle w:val="TableText"/>
              <w:ind w:left="384"/>
              <w:spacing w:before="39" w:line="219" w:lineRule="auto"/>
              <w:rPr>
                <w:sz w:val="12"/>
                <w:szCs w:val="12"/>
              </w:rPr>
            </w:pPr>
            <w:r>
              <w:rPr>
                <w:sz w:val="12"/>
                <w:szCs w:val="12"/>
                <w:spacing w:val="-1"/>
              </w:rPr>
              <w:t>抗冻必施</w:t>
            </w:r>
          </w:p>
        </w:tc>
        <w:tc>
          <w:tcPr>
            <w:tcW w:w="1889" w:type="dxa"/>
            <w:vAlign w:val="top"/>
          </w:tcPr>
          <w:p>
            <w:pPr>
              <w:spacing w:line="351" w:lineRule="auto"/>
              <w:rPr>
                <w:rFonts w:ascii="Arial"/>
                <w:sz w:val="21"/>
              </w:rPr>
            </w:pPr>
            <w:r/>
          </w:p>
          <w:p>
            <w:pPr>
              <w:pStyle w:val="TableText"/>
              <w:ind w:left="275"/>
              <w:spacing w:before="39" w:line="219" w:lineRule="auto"/>
              <w:rPr>
                <w:sz w:val="12"/>
                <w:szCs w:val="12"/>
              </w:rPr>
            </w:pPr>
            <w:r>
              <w:rPr>
                <w:sz w:val="12"/>
                <w:szCs w:val="12"/>
                <w:spacing w:val="-1"/>
              </w:rPr>
              <w:t>抗冻因子，氨基酸整合物</w:t>
            </w:r>
          </w:p>
        </w:tc>
        <w:tc>
          <w:tcPr>
            <w:tcW w:w="1599" w:type="dxa"/>
            <w:vAlign w:val="top"/>
          </w:tcPr>
          <w:p>
            <w:pPr>
              <w:pStyle w:val="TableText"/>
              <w:ind w:left="615" w:right="19" w:hanging="600"/>
              <w:spacing w:before="172" w:line="231" w:lineRule="auto"/>
              <w:rPr>
                <w:sz w:val="12"/>
                <w:szCs w:val="12"/>
              </w:rPr>
            </w:pPr>
            <w:r>
              <w:rPr>
                <w:sz w:val="12"/>
                <w:szCs w:val="12"/>
                <w:spacing w:val="-1"/>
              </w:rPr>
              <w:t>涂刷：稀释50-100倍涂刷树干</w:t>
            </w:r>
            <w:r>
              <w:rPr>
                <w:sz w:val="12"/>
                <w:szCs w:val="12"/>
                <w:spacing w:val="8"/>
              </w:rPr>
              <w:t xml:space="preserve"> </w:t>
            </w:r>
            <w:r>
              <w:rPr>
                <w:sz w:val="12"/>
                <w:szCs w:val="12"/>
                <w:spacing w:val="-2"/>
              </w:rPr>
              <w:t>和主枝</w:t>
            </w:r>
          </w:p>
          <w:p>
            <w:pPr>
              <w:pStyle w:val="TableText"/>
              <w:ind w:left="74" w:right="52" w:hanging="29"/>
              <w:spacing w:line="248" w:lineRule="auto"/>
              <w:rPr>
                <w:sz w:val="12"/>
                <w:szCs w:val="12"/>
              </w:rPr>
            </w:pPr>
            <w:r>
              <w:rPr>
                <w:sz w:val="12"/>
                <w:szCs w:val="12"/>
                <w:spacing w:val="-1"/>
              </w:rPr>
              <w:t>喷施：稀释400-600倍喷施植</w:t>
            </w:r>
            <w:r>
              <w:rPr>
                <w:sz w:val="12"/>
                <w:szCs w:val="12"/>
                <w:spacing w:val="5"/>
              </w:rPr>
              <w:t xml:space="preserve"> </w:t>
            </w:r>
            <w:r>
              <w:rPr>
                <w:sz w:val="12"/>
                <w:szCs w:val="12"/>
                <w:spacing w:val="-1"/>
              </w:rPr>
              <w:t>株，唤2-3次，间隔10-15天</w:t>
            </w:r>
          </w:p>
        </w:tc>
        <w:tc>
          <w:tcPr>
            <w:tcW w:w="1559" w:type="dxa"/>
            <w:vAlign w:val="top"/>
          </w:tcPr>
          <w:p>
            <w:pPr>
              <w:spacing w:line="271" w:lineRule="auto"/>
              <w:rPr>
                <w:rFonts w:ascii="Arial"/>
                <w:sz w:val="21"/>
              </w:rPr>
            </w:pPr>
            <w:r/>
          </w:p>
          <w:p>
            <w:pPr>
              <w:pStyle w:val="TableText"/>
              <w:ind w:left="626" w:right="56" w:hanging="570"/>
              <w:spacing w:before="39" w:line="264" w:lineRule="auto"/>
              <w:rPr>
                <w:sz w:val="12"/>
                <w:szCs w:val="12"/>
              </w:rPr>
            </w:pPr>
            <w:r>
              <w:rPr>
                <w:sz w:val="12"/>
                <w:szCs w:val="12"/>
                <w:spacing w:val="-1"/>
              </w:rPr>
              <w:t>霜冻前，或者越冬防寒使用</w:t>
            </w:r>
            <w:r>
              <w:rPr>
                <w:sz w:val="12"/>
                <w:szCs w:val="12"/>
                <w:spacing w:val="6"/>
              </w:rPr>
              <w:t xml:space="preserve"> </w:t>
            </w:r>
            <w:r>
              <w:rPr>
                <w:sz w:val="12"/>
                <w:szCs w:val="12"/>
                <w:spacing w:val="-4"/>
              </w:rPr>
              <w:t>1-2次</w:t>
            </w:r>
          </w:p>
        </w:tc>
        <w:tc>
          <w:tcPr>
            <w:tcW w:w="700" w:type="dxa"/>
            <w:vAlign w:val="top"/>
          </w:tcPr>
          <w:p>
            <w:pPr>
              <w:spacing w:line="351" w:lineRule="auto"/>
              <w:rPr>
                <w:rFonts w:ascii="Arial"/>
                <w:sz w:val="21"/>
              </w:rPr>
            </w:pPr>
            <w:r/>
          </w:p>
          <w:p>
            <w:pPr>
              <w:pStyle w:val="TableText"/>
              <w:ind w:left="198"/>
              <w:spacing w:before="39" w:line="219" w:lineRule="auto"/>
              <w:rPr>
                <w:sz w:val="12"/>
                <w:szCs w:val="12"/>
              </w:rPr>
            </w:pPr>
            <w:r>
              <w:rPr>
                <w:sz w:val="12"/>
                <w:szCs w:val="12"/>
                <w:spacing w:val="2"/>
              </w:rPr>
              <w:t>1L/桶</w:t>
            </w:r>
          </w:p>
        </w:tc>
        <w:tc>
          <w:tcPr>
            <w:tcW w:w="2563" w:type="dxa"/>
            <w:vAlign w:val="top"/>
          </w:tcPr>
          <w:p>
            <w:pPr>
              <w:spacing w:line="351" w:lineRule="auto"/>
              <w:rPr>
                <w:rFonts w:ascii="Arial"/>
                <w:sz w:val="21"/>
              </w:rPr>
            </w:pPr>
            <w:r/>
          </w:p>
          <w:p>
            <w:pPr>
              <w:pStyle w:val="TableText"/>
              <w:ind w:left="17"/>
              <w:spacing w:before="39" w:line="219" w:lineRule="auto"/>
              <w:rPr>
                <w:sz w:val="12"/>
                <w:szCs w:val="12"/>
              </w:rPr>
            </w:pPr>
            <w:r>
              <w:rPr>
                <w:sz w:val="12"/>
                <w:szCs w:val="12"/>
              </w:rPr>
              <w:t>防冻预处理，降低结冰能力</w:t>
            </w:r>
          </w:p>
        </w:tc>
      </w:tr>
    </w:tbl>
    <w:p>
      <w:pPr>
        <w:rPr>
          <w:rFonts w:ascii="Arial"/>
          <w:sz w:val="21"/>
        </w:rPr>
      </w:pPr>
      <w:r/>
    </w:p>
    <w:p>
      <w:pPr>
        <w:sectPr>
          <w:pgSz w:w="14490" w:h="10240"/>
          <w:pgMar w:top="134" w:right="234" w:bottom="400" w:left="134" w:header="0" w:footer="0" w:gutter="0"/>
        </w:sectPr>
        <w:rPr>
          <w:rFonts w:ascii="Arial" w:hAnsi="Arial" w:eastAsia="Arial" w:cs="Arial"/>
          <w:sz w:val="21"/>
          <w:szCs w:val="21"/>
        </w:rPr>
      </w:pPr>
    </w:p>
    <w:tbl>
      <w:tblPr>
        <w:tblStyle w:val="TableNormal"/>
        <w:tblW w:w="141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65"/>
        <w:gridCol w:w="529"/>
        <w:gridCol w:w="879"/>
        <w:gridCol w:w="2458"/>
        <w:gridCol w:w="1339"/>
        <w:gridCol w:w="1739"/>
        <w:gridCol w:w="1869"/>
        <w:gridCol w:w="1329"/>
        <w:gridCol w:w="650"/>
        <w:gridCol w:w="2943"/>
      </w:tblGrid>
      <w:tr>
        <w:trPr>
          <w:trHeight w:val="589" w:hRule="atLeast"/>
        </w:trPr>
        <w:tc>
          <w:tcPr>
            <w:tcW w:w="14100" w:type="dxa"/>
            <w:vAlign w:val="top"/>
            <w:gridSpan w:val="10"/>
            <w:tcBorders>
              <w:bottom w:val="single" w:color="000000" w:sz="2" w:space="0"/>
              <w:top w:val="single" w:color="000000" w:sz="2" w:space="0"/>
            </w:tcBorders>
          </w:tcPr>
          <w:p>
            <w:pPr>
              <w:pStyle w:val="TableText"/>
              <w:ind w:left="5786"/>
              <w:spacing w:before="152" w:line="218" w:lineRule="auto"/>
              <w:rPr>
                <w:sz w:val="11"/>
                <w:szCs w:val="11"/>
              </w:rPr>
            </w:pPr>
            <w:r>
              <w:rPr>
                <w:sz w:val="11"/>
                <w:szCs w:val="11"/>
                <w:b/>
                <w:bCs/>
                <w:spacing w:val="-8"/>
              </w:rPr>
              <w:t>河</w:t>
            </w:r>
            <w:r>
              <w:rPr>
                <w:sz w:val="11"/>
                <w:szCs w:val="11"/>
                <w:spacing w:val="-6"/>
              </w:rPr>
              <w:t xml:space="preserve"> </w:t>
            </w:r>
            <w:r>
              <w:rPr>
                <w:sz w:val="11"/>
                <w:szCs w:val="11"/>
                <w:b/>
                <w:bCs/>
                <w:spacing w:val="-8"/>
              </w:rPr>
              <w:t>北</w:t>
            </w:r>
            <w:r>
              <w:rPr>
                <w:sz w:val="11"/>
                <w:szCs w:val="11"/>
                <w:spacing w:val="-8"/>
              </w:rPr>
              <w:t xml:space="preserve"> </w:t>
            </w:r>
            <w:r>
              <w:rPr>
                <w:sz w:val="11"/>
                <w:szCs w:val="11"/>
                <w:b/>
                <w:bCs/>
                <w:spacing w:val="-8"/>
              </w:rPr>
              <w:t>、</w:t>
            </w:r>
            <w:r>
              <w:rPr>
                <w:sz w:val="11"/>
                <w:szCs w:val="11"/>
                <w:spacing w:val="-17"/>
              </w:rPr>
              <w:t xml:space="preserve"> </w:t>
            </w:r>
            <w:r>
              <w:rPr>
                <w:sz w:val="11"/>
                <w:szCs w:val="11"/>
                <w:b/>
                <w:bCs/>
                <w:spacing w:val="-8"/>
              </w:rPr>
              <w:t>北</w:t>
            </w:r>
            <w:r>
              <w:rPr>
                <w:sz w:val="11"/>
                <w:szCs w:val="11"/>
                <w:spacing w:val="-16"/>
              </w:rPr>
              <w:t xml:space="preserve"> </w:t>
            </w:r>
            <w:r>
              <w:rPr>
                <w:sz w:val="11"/>
                <w:szCs w:val="11"/>
                <w:b/>
                <w:bCs/>
                <w:spacing w:val="-8"/>
              </w:rPr>
              <w:t>京</w:t>
            </w:r>
            <w:r>
              <w:rPr>
                <w:sz w:val="11"/>
                <w:szCs w:val="11"/>
                <w:spacing w:val="-10"/>
              </w:rPr>
              <w:t xml:space="preserve"> </w:t>
            </w:r>
            <w:r>
              <w:rPr>
                <w:sz w:val="11"/>
                <w:szCs w:val="11"/>
                <w:b/>
                <w:bCs/>
                <w:spacing w:val="-8"/>
              </w:rPr>
              <w:t>、</w:t>
            </w:r>
            <w:r>
              <w:rPr>
                <w:sz w:val="11"/>
                <w:szCs w:val="11"/>
                <w:spacing w:val="-17"/>
              </w:rPr>
              <w:t xml:space="preserve"> </w:t>
            </w:r>
            <w:r>
              <w:rPr>
                <w:sz w:val="11"/>
                <w:szCs w:val="11"/>
                <w:b/>
                <w:bCs/>
                <w:spacing w:val="-8"/>
              </w:rPr>
              <w:t>天</w:t>
            </w:r>
            <w:r>
              <w:rPr>
                <w:sz w:val="11"/>
                <w:szCs w:val="11"/>
                <w:spacing w:val="-18"/>
              </w:rPr>
              <w:t xml:space="preserve"> </w:t>
            </w:r>
            <w:r>
              <w:rPr>
                <w:sz w:val="11"/>
                <w:szCs w:val="11"/>
                <w:b/>
                <w:bCs/>
                <w:spacing w:val="-8"/>
              </w:rPr>
              <w:t>津</w:t>
            </w:r>
            <w:r>
              <w:rPr>
                <w:sz w:val="11"/>
                <w:szCs w:val="11"/>
                <w:spacing w:val="-19"/>
              </w:rPr>
              <w:t xml:space="preserve"> </w:t>
            </w:r>
            <w:r>
              <w:rPr>
                <w:sz w:val="11"/>
                <w:szCs w:val="11"/>
                <w:b/>
                <w:bCs/>
                <w:spacing w:val="-8"/>
              </w:rPr>
              <w:t>地</w:t>
            </w:r>
            <w:r>
              <w:rPr>
                <w:sz w:val="11"/>
                <w:szCs w:val="11"/>
                <w:spacing w:val="-10"/>
              </w:rPr>
              <w:t xml:space="preserve"> </w:t>
            </w:r>
            <w:r>
              <w:rPr>
                <w:sz w:val="11"/>
                <w:szCs w:val="11"/>
                <w:b/>
                <w:bCs/>
                <w:spacing w:val="-8"/>
              </w:rPr>
              <w:t>区</w:t>
            </w:r>
            <w:r>
              <w:rPr>
                <w:sz w:val="11"/>
                <w:szCs w:val="11"/>
                <w:spacing w:val="-18"/>
              </w:rPr>
              <w:t xml:space="preserve"> </w:t>
            </w:r>
            <w:r>
              <w:rPr>
                <w:sz w:val="11"/>
                <w:szCs w:val="11"/>
                <w:b/>
                <w:bCs/>
                <w:spacing w:val="-8"/>
              </w:rPr>
              <w:t>农</w:t>
            </w:r>
            <w:r>
              <w:rPr>
                <w:sz w:val="11"/>
                <w:szCs w:val="11"/>
                <w:spacing w:val="-18"/>
              </w:rPr>
              <w:t xml:space="preserve"> </w:t>
            </w:r>
            <w:r>
              <w:rPr>
                <w:sz w:val="11"/>
                <w:szCs w:val="11"/>
                <w:b/>
                <w:bCs/>
                <w:spacing w:val="-8"/>
              </w:rPr>
              <w:t>药</w:t>
            </w:r>
            <w:r>
              <w:rPr>
                <w:sz w:val="11"/>
                <w:szCs w:val="11"/>
                <w:spacing w:val="-18"/>
              </w:rPr>
              <w:t xml:space="preserve"> </w:t>
            </w:r>
            <w:r>
              <w:rPr>
                <w:sz w:val="11"/>
                <w:szCs w:val="11"/>
                <w:b/>
                <w:bCs/>
                <w:spacing w:val="-8"/>
              </w:rPr>
              <w:t>肥</w:t>
            </w:r>
            <w:r>
              <w:rPr>
                <w:sz w:val="11"/>
                <w:szCs w:val="11"/>
                <w:spacing w:val="-19"/>
              </w:rPr>
              <w:t xml:space="preserve"> </w:t>
            </w:r>
            <w:r>
              <w:rPr>
                <w:sz w:val="11"/>
                <w:szCs w:val="11"/>
                <w:b/>
                <w:bCs/>
                <w:spacing w:val="-8"/>
              </w:rPr>
              <w:t>料</w:t>
            </w:r>
            <w:r>
              <w:rPr>
                <w:sz w:val="11"/>
                <w:szCs w:val="11"/>
                <w:spacing w:val="-18"/>
              </w:rPr>
              <w:t xml:space="preserve"> </w:t>
            </w:r>
            <w:r>
              <w:rPr>
                <w:sz w:val="11"/>
                <w:szCs w:val="11"/>
                <w:b/>
                <w:bCs/>
                <w:spacing w:val="-8"/>
              </w:rPr>
              <w:t>使</w:t>
            </w:r>
            <w:r>
              <w:rPr>
                <w:sz w:val="11"/>
                <w:szCs w:val="11"/>
                <w:spacing w:val="-17"/>
              </w:rPr>
              <w:t xml:space="preserve"> </w:t>
            </w:r>
            <w:r>
              <w:rPr>
                <w:sz w:val="11"/>
                <w:szCs w:val="11"/>
                <w:b/>
                <w:bCs/>
                <w:spacing w:val="-8"/>
              </w:rPr>
              <w:t>用</w:t>
            </w:r>
            <w:r>
              <w:rPr>
                <w:sz w:val="11"/>
                <w:szCs w:val="11"/>
                <w:spacing w:val="-17"/>
              </w:rPr>
              <w:t xml:space="preserve"> </w:t>
            </w:r>
            <w:r>
              <w:rPr>
                <w:sz w:val="11"/>
                <w:szCs w:val="11"/>
                <w:b/>
                <w:bCs/>
                <w:spacing w:val="-8"/>
              </w:rPr>
              <w:t>指</w:t>
            </w:r>
            <w:r>
              <w:rPr>
                <w:sz w:val="11"/>
                <w:szCs w:val="11"/>
                <w:spacing w:val="-16"/>
              </w:rPr>
              <w:t xml:space="preserve"> </w:t>
            </w:r>
            <w:r>
              <w:rPr>
                <w:sz w:val="11"/>
                <w:szCs w:val="11"/>
                <w:b/>
                <w:bCs/>
                <w:spacing w:val="-8"/>
              </w:rPr>
              <w:t>导</w:t>
            </w:r>
          </w:p>
          <w:p>
            <w:pPr>
              <w:pStyle w:val="TableText"/>
              <w:ind w:left="4956"/>
              <w:spacing w:before="29" w:line="218" w:lineRule="auto"/>
              <w:rPr>
                <w:sz w:val="11"/>
                <w:szCs w:val="11"/>
              </w:rPr>
            </w:pPr>
            <w:r>
              <w:rPr>
                <w:sz w:val="11"/>
                <w:szCs w:val="11"/>
                <w:b/>
                <w:bCs/>
                <w:spacing w:val="-1"/>
              </w:rPr>
              <w:t>(本表中两品供参考，如有同类且成分粗同、价格合理、低毒高效的药品，可选择使用)</w:t>
            </w:r>
          </w:p>
        </w:tc>
      </w:tr>
      <w:tr>
        <w:trPr>
          <w:trHeight w:val="454" w:hRule="atLeast"/>
        </w:trPr>
        <w:tc>
          <w:tcPr>
            <w:tcW w:w="365" w:type="dxa"/>
            <w:vAlign w:val="top"/>
            <w:tcBorders>
              <w:bottom w:val="single" w:color="000000" w:sz="2" w:space="0"/>
              <w:top w:val="single" w:color="000000" w:sz="2" w:space="0"/>
            </w:tcBorders>
          </w:tcPr>
          <w:p>
            <w:pPr>
              <w:pStyle w:val="TableText"/>
              <w:ind w:left="66"/>
              <w:spacing w:before="168" w:line="219" w:lineRule="auto"/>
              <w:rPr>
                <w:sz w:val="11"/>
                <w:szCs w:val="11"/>
              </w:rPr>
            </w:pPr>
            <w:r>
              <w:rPr>
                <w:sz w:val="11"/>
                <w:szCs w:val="11"/>
                <w:b/>
                <w:bCs/>
                <w:spacing w:val="-3"/>
              </w:rPr>
              <w:t>分类</w:t>
            </w:r>
          </w:p>
        </w:tc>
        <w:tc>
          <w:tcPr>
            <w:tcW w:w="529" w:type="dxa"/>
            <w:vAlign w:val="top"/>
            <w:tcBorders>
              <w:bottom w:val="single" w:color="000000" w:sz="2" w:space="0"/>
              <w:top w:val="single" w:color="000000" w:sz="2" w:space="0"/>
            </w:tcBorders>
          </w:tcPr>
          <w:p>
            <w:pPr>
              <w:pStyle w:val="TableText"/>
              <w:ind w:left="31"/>
              <w:spacing w:before="28" w:line="219" w:lineRule="auto"/>
              <w:rPr>
                <w:sz w:val="11"/>
                <w:szCs w:val="11"/>
              </w:rPr>
            </w:pPr>
            <w:r>
              <w:rPr>
                <w:sz w:val="11"/>
                <w:szCs w:val="11"/>
                <w:b/>
                <w:bCs/>
                <w:spacing w:val="-3"/>
              </w:rPr>
              <w:t>消杀预防</w:t>
            </w:r>
          </w:p>
          <w:p>
            <w:pPr>
              <w:pStyle w:val="TableText"/>
              <w:ind w:left="31"/>
              <w:spacing w:before="10" w:line="200" w:lineRule="auto"/>
              <w:rPr>
                <w:sz w:val="11"/>
                <w:szCs w:val="11"/>
              </w:rPr>
            </w:pPr>
            <w:r>
              <w:rPr>
                <w:sz w:val="11"/>
                <w:szCs w:val="11"/>
                <w:b/>
                <w:bCs/>
                <w:spacing w:val="-2"/>
              </w:rPr>
              <w:t>及病虫害</w:t>
            </w:r>
          </w:p>
          <w:p>
            <w:pPr>
              <w:pStyle w:val="TableText"/>
              <w:ind w:left="151"/>
              <w:spacing w:line="219" w:lineRule="auto"/>
              <w:rPr>
                <w:sz w:val="11"/>
                <w:szCs w:val="11"/>
              </w:rPr>
            </w:pPr>
            <w:r>
              <w:rPr>
                <w:sz w:val="11"/>
                <w:szCs w:val="11"/>
                <w:b/>
                <w:bCs/>
                <w:spacing w:val="-3"/>
              </w:rPr>
              <w:t>分类</w:t>
            </w:r>
          </w:p>
        </w:tc>
        <w:tc>
          <w:tcPr>
            <w:tcW w:w="879" w:type="dxa"/>
            <w:vAlign w:val="top"/>
            <w:tcBorders>
              <w:bottom w:val="single" w:color="000000" w:sz="2" w:space="0"/>
              <w:top w:val="single" w:color="000000" w:sz="2" w:space="0"/>
            </w:tcBorders>
          </w:tcPr>
          <w:p>
            <w:pPr>
              <w:pStyle w:val="TableText"/>
              <w:ind w:left="152"/>
              <w:spacing w:before="168" w:line="219" w:lineRule="auto"/>
              <w:rPr>
                <w:sz w:val="11"/>
                <w:szCs w:val="11"/>
              </w:rPr>
            </w:pPr>
            <w:r>
              <w:rPr>
                <w:sz w:val="11"/>
                <w:szCs w:val="11"/>
                <w:b/>
                <w:bCs/>
                <w:spacing w:val="-3"/>
              </w:rPr>
              <w:t>常见病虫害</w:t>
            </w:r>
          </w:p>
        </w:tc>
        <w:tc>
          <w:tcPr>
            <w:tcW w:w="2458" w:type="dxa"/>
            <w:vAlign w:val="top"/>
            <w:tcBorders>
              <w:bottom w:val="single" w:color="000000" w:sz="2" w:space="0"/>
              <w:top w:val="single" w:color="000000" w:sz="2" w:space="0"/>
            </w:tcBorders>
          </w:tcPr>
          <w:p>
            <w:pPr>
              <w:pStyle w:val="TableText"/>
              <w:ind w:left="903"/>
              <w:spacing w:before="168" w:line="219" w:lineRule="auto"/>
              <w:rPr>
                <w:sz w:val="11"/>
                <w:szCs w:val="11"/>
              </w:rPr>
            </w:pPr>
            <w:r>
              <w:rPr>
                <w:sz w:val="11"/>
                <w:szCs w:val="11"/>
                <w:b/>
                <w:bCs/>
                <w:spacing w:val="-2"/>
              </w:rPr>
              <w:t>主要发病月份</w:t>
            </w:r>
          </w:p>
        </w:tc>
        <w:tc>
          <w:tcPr>
            <w:tcW w:w="1339" w:type="dxa"/>
            <w:vAlign w:val="top"/>
            <w:tcBorders>
              <w:bottom w:val="single" w:color="000000" w:sz="2" w:space="0"/>
              <w:top w:val="single" w:color="000000" w:sz="2" w:space="0"/>
            </w:tcBorders>
          </w:tcPr>
          <w:p>
            <w:pPr>
              <w:pStyle w:val="TableText"/>
              <w:ind w:left="445"/>
              <w:spacing w:before="168" w:line="220" w:lineRule="auto"/>
              <w:rPr>
                <w:sz w:val="11"/>
                <w:szCs w:val="11"/>
              </w:rPr>
            </w:pPr>
            <w:r>
              <w:rPr>
                <w:sz w:val="11"/>
                <w:szCs w:val="11"/>
                <w:b/>
                <w:bCs/>
                <w:spacing w:val="-3"/>
              </w:rPr>
              <w:t>药品名称</w:t>
            </w:r>
          </w:p>
        </w:tc>
        <w:tc>
          <w:tcPr>
            <w:tcW w:w="1739" w:type="dxa"/>
            <w:vAlign w:val="top"/>
            <w:tcBorders>
              <w:bottom w:val="single" w:color="000000" w:sz="2" w:space="0"/>
              <w:top w:val="single" w:color="000000" w:sz="2" w:space="0"/>
            </w:tcBorders>
          </w:tcPr>
          <w:p>
            <w:pPr>
              <w:pStyle w:val="TableText"/>
              <w:ind w:left="646"/>
              <w:spacing w:before="168" w:line="220" w:lineRule="auto"/>
              <w:rPr>
                <w:sz w:val="11"/>
                <w:szCs w:val="11"/>
              </w:rPr>
            </w:pPr>
            <w:r>
              <w:rPr>
                <w:sz w:val="11"/>
                <w:szCs w:val="11"/>
                <w:b/>
                <w:bCs/>
                <w:spacing w:val="-3"/>
              </w:rPr>
              <w:t>主要成分</w:t>
            </w:r>
          </w:p>
        </w:tc>
        <w:tc>
          <w:tcPr>
            <w:tcW w:w="1869" w:type="dxa"/>
            <w:vAlign w:val="top"/>
            <w:tcBorders>
              <w:bottom w:val="single" w:color="000000" w:sz="2" w:space="0"/>
              <w:top w:val="single" w:color="000000" w:sz="2" w:space="0"/>
            </w:tcBorders>
          </w:tcPr>
          <w:p>
            <w:pPr>
              <w:pStyle w:val="TableText"/>
              <w:ind w:left="707"/>
              <w:spacing w:before="168" w:line="219" w:lineRule="auto"/>
              <w:rPr>
                <w:sz w:val="11"/>
                <w:szCs w:val="11"/>
              </w:rPr>
            </w:pPr>
            <w:r>
              <w:rPr>
                <w:sz w:val="11"/>
                <w:szCs w:val="11"/>
                <w:b/>
                <w:bCs/>
                <w:spacing w:val="-3"/>
              </w:rPr>
              <w:t>使用倍率</w:t>
            </w:r>
          </w:p>
        </w:tc>
        <w:tc>
          <w:tcPr>
            <w:tcW w:w="1329" w:type="dxa"/>
            <w:vAlign w:val="top"/>
            <w:tcBorders>
              <w:bottom w:val="single" w:color="000000" w:sz="2" w:space="0"/>
              <w:top w:val="single" w:color="000000" w:sz="2" w:space="0"/>
            </w:tcBorders>
          </w:tcPr>
          <w:p>
            <w:pPr>
              <w:pStyle w:val="TableText"/>
              <w:ind w:left="438"/>
              <w:spacing w:before="168" w:line="219" w:lineRule="auto"/>
              <w:rPr>
                <w:sz w:val="11"/>
                <w:szCs w:val="11"/>
              </w:rPr>
            </w:pPr>
            <w:r>
              <w:rPr>
                <w:sz w:val="11"/>
                <w:szCs w:val="11"/>
                <w:b/>
                <w:bCs/>
                <w:spacing w:val="-2"/>
              </w:rPr>
              <w:t>施用次数</w:t>
            </w:r>
          </w:p>
        </w:tc>
        <w:tc>
          <w:tcPr>
            <w:tcW w:w="650" w:type="dxa"/>
            <w:vAlign w:val="top"/>
            <w:tcBorders>
              <w:bottom w:val="single" w:color="000000" w:sz="2" w:space="0"/>
              <w:top w:val="single" w:color="000000" w:sz="2" w:space="0"/>
            </w:tcBorders>
          </w:tcPr>
          <w:p>
            <w:pPr>
              <w:pStyle w:val="TableText"/>
              <w:ind w:left="209"/>
              <w:spacing w:before="168" w:line="219" w:lineRule="auto"/>
              <w:rPr>
                <w:sz w:val="11"/>
                <w:szCs w:val="11"/>
              </w:rPr>
            </w:pPr>
            <w:r>
              <w:rPr>
                <w:sz w:val="11"/>
                <w:szCs w:val="11"/>
                <w:b/>
                <w:bCs/>
                <w:spacing w:val="-3"/>
              </w:rPr>
              <w:t>规格</w:t>
            </w:r>
          </w:p>
        </w:tc>
        <w:tc>
          <w:tcPr>
            <w:tcW w:w="2943" w:type="dxa"/>
            <w:vAlign w:val="top"/>
            <w:tcBorders>
              <w:bottom w:val="single" w:color="000000" w:sz="2" w:space="0"/>
              <w:top w:val="single" w:color="000000" w:sz="2" w:space="0"/>
            </w:tcBorders>
          </w:tcPr>
          <w:p>
            <w:pPr>
              <w:pStyle w:val="TableText"/>
              <w:ind w:left="1369"/>
              <w:spacing w:before="168" w:line="221" w:lineRule="auto"/>
              <w:rPr>
                <w:sz w:val="11"/>
                <w:szCs w:val="11"/>
              </w:rPr>
            </w:pPr>
            <w:r>
              <w:rPr>
                <w:sz w:val="11"/>
                <w:szCs w:val="11"/>
                <w:b/>
                <w:bCs/>
                <w:spacing w:val="-3"/>
              </w:rPr>
              <w:t>备注</w:t>
            </w:r>
          </w:p>
        </w:tc>
      </w:tr>
      <w:tr>
        <w:trPr>
          <w:trHeight w:val="384" w:hRule="atLeast"/>
        </w:trPr>
        <w:tc>
          <w:tcPr>
            <w:tcW w:w="365" w:type="dxa"/>
            <w:vAlign w:val="top"/>
            <w:vMerge w:val="restart"/>
            <w:tcBorders>
              <w:bottom w:val="nil"/>
              <w:top w:val="single" w:color="000000" w:sz="2" w:space="0"/>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4"/>
              <w:spacing w:before="35" w:line="218" w:lineRule="auto"/>
              <w:rPr>
                <w:sz w:val="11"/>
                <w:szCs w:val="11"/>
              </w:rPr>
            </w:pPr>
            <w:r>
              <w:rPr>
                <w:sz w:val="11"/>
                <w:szCs w:val="11"/>
                <w:spacing w:val="-2"/>
              </w:rPr>
              <w:t>杀菌剂</w:t>
            </w:r>
          </w:p>
        </w:tc>
        <w:tc>
          <w:tcPr>
            <w:tcW w:w="529" w:type="dxa"/>
            <w:vAlign w:val="top"/>
            <w:vMerge w:val="restart"/>
            <w:tcBorders>
              <w:bottom w:val="nil"/>
              <w:top w:val="single" w:color="000000" w:sz="2" w:space="0"/>
            </w:tcBorders>
          </w:tcPr>
          <w:p>
            <w:pPr>
              <w:pStyle w:val="TableText"/>
              <w:ind w:left="30"/>
              <w:spacing w:before="270" w:line="220" w:lineRule="auto"/>
              <w:rPr>
                <w:sz w:val="11"/>
                <w:szCs w:val="11"/>
              </w:rPr>
            </w:pPr>
            <w:r>
              <w:rPr>
                <w:sz w:val="11"/>
                <w:szCs w:val="11"/>
                <w:spacing w:val="-2"/>
              </w:rPr>
              <w:t>消系预防</w:t>
            </w:r>
          </w:p>
        </w:tc>
        <w:tc>
          <w:tcPr>
            <w:tcW w:w="879" w:type="dxa"/>
            <w:vAlign w:val="top"/>
            <w:vMerge w:val="restart"/>
            <w:tcBorders>
              <w:bottom w:val="nil"/>
              <w:top w:val="single" w:color="000000" w:sz="2" w:space="0"/>
            </w:tcBorders>
          </w:tcPr>
          <w:p>
            <w:pPr>
              <w:pStyle w:val="TableText"/>
              <w:ind w:left="40"/>
              <w:spacing w:before="189" w:line="219" w:lineRule="auto"/>
              <w:rPr>
                <w:sz w:val="11"/>
                <w:szCs w:val="11"/>
              </w:rPr>
            </w:pPr>
            <w:r>
              <w:rPr>
                <w:sz w:val="11"/>
                <w:szCs w:val="11"/>
                <w:spacing w:val="-1"/>
              </w:rPr>
              <w:t>全园区的南类病</w:t>
            </w:r>
          </w:p>
          <w:p>
            <w:pPr>
              <w:pStyle w:val="TableText"/>
              <w:ind w:left="211"/>
              <w:spacing w:before="29" w:line="219" w:lineRule="auto"/>
              <w:rPr>
                <w:sz w:val="11"/>
                <w:szCs w:val="11"/>
              </w:rPr>
            </w:pPr>
            <w:r>
              <w:rPr>
                <w:sz w:val="11"/>
                <w:szCs w:val="11"/>
                <w:spacing w:val="-2"/>
              </w:rPr>
              <w:t>菌，虫卵</w:t>
            </w:r>
          </w:p>
        </w:tc>
        <w:tc>
          <w:tcPr>
            <w:tcW w:w="2458" w:type="dxa"/>
            <w:vAlign w:val="top"/>
            <w:vMerge w:val="restart"/>
            <w:tcBorders>
              <w:bottom w:val="nil"/>
              <w:top w:val="single" w:color="000000" w:sz="2" w:space="0"/>
            </w:tcBorders>
          </w:tcPr>
          <w:p>
            <w:pPr>
              <w:pStyle w:val="TableText"/>
              <w:ind w:left="2"/>
              <w:spacing w:before="220" w:line="210" w:lineRule="auto"/>
              <w:rPr>
                <w:sz w:val="11"/>
                <w:szCs w:val="11"/>
              </w:rPr>
            </w:pPr>
            <w:r>
              <w:rPr>
                <w:sz w:val="11"/>
                <w:szCs w:val="11"/>
                <w:spacing w:val="-2"/>
              </w:rPr>
              <w:t>3月中下甸苗木返青前，对全园区的病菌，虫卵，消</w:t>
            </w:r>
            <w:r>
              <w:rPr>
                <w:sz w:val="11"/>
                <w:szCs w:val="11"/>
                <w:spacing w:val="15"/>
                <w:w w:val="101"/>
              </w:rPr>
              <w:t xml:space="preserve"> </w:t>
            </w:r>
            <w:r>
              <w:rPr>
                <w:sz w:val="11"/>
                <w:szCs w:val="11"/>
                <w:spacing w:val="-1"/>
              </w:rPr>
              <w:t>杀1-2次。</w:t>
            </w:r>
          </w:p>
        </w:tc>
        <w:tc>
          <w:tcPr>
            <w:tcW w:w="1339" w:type="dxa"/>
            <w:vAlign w:val="top"/>
            <w:tcBorders>
              <w:bottom w:val="single" w:color="000000" w:sz="2" w:space="0"/>
              <w:top w:val="single" w:color="000000" w:sz="2" w:space="0"/>
            </w:tcBorders>
          </w:tcPr>
          <w:p>
            <w:pPr>
              <w:pStyle w:val="TableText"/>
              <w:ind w:left="443"/>
              <w:spacing w:before="140" w:line="220" w:lineRule="auto"/>
              <w:rPr>
                <w:sz w:val="11"/>
                <w:szCs w:val="11"/>
              </w:rPr>
            </w:pPr>
            <w:r>
              <w:rPr>
                <w:sz w:val="11"/>
                <w:szCs w:val="11"/>
                <w:spacing w:val="-1"/>
              </w:rPr>
              <w:t>波尔多液</w:t>
            </w:r>
          </w:p>
        </w:tc>
        <w:tc>
          <w:tcPr>
            <w:tcW w:w="1739" w:type="dxa"/>
            <w:vAlign w:val="top"/>
            <w:tcBorders>
              <w:bottom w:val="single" w:color="000000" w:sz="2" w:space="0"/>
              <w:top w:val="single" w:color="000000" w:sz="2" w:space="0"/>
            </w:tcBorders>
          </w:tcPr>
          <w:p>
            <w:pPr>
              <w:pStyle w:val="TableText"/>
              <w:ind w:left="584"/>
              <w:spacing w:before="140" w:line="221" w:lineRule="auto"/>
              <w:rPr>
                <w:sz w:val="11"/>
                <w:szCs w:val="11"/>
              </w:rPr>
            </w:pPr>
            <w:r>
              <w:rPr>
                <w:sz w:val="11"/>
                <w:szCs w:val="11"/>
                <w:spacing w:val="-1"/>
              </w:rPr>
              <w:t>碱式硫酸钢</w:t>
            </w:r>
          </w:p>
        </w:tc>
        <w:tc>
          <w:tcPr>
            <w:tcW w:w="1869" w:type="dxa"/>
            <w:vAlign w:val="top"/>
            <w:tcBorders>
              <w:bottom w:val="single" w:color="000000" w:sz="2" w:space="0"/>
              <w:top w:val="single" w:color="000000" w:sz="2" w:space="0"/>
            </w:tcBorders>
          </w:tcPr>
          <w:p>
            <w:pPr>
              <w:pStyle w:val="TableText"/>
              <w:ind w:left="676"/>
              <w:spacing w:before="140" w:line="220" w:lineRule="auto"/>
              <w:rPr>
                <w:sz w:val="11"/>
                <w:szCs w:val="11"/>
              </w:rPr>
            </w:pPr>
            <w:r>
              <w:rPr>
                <w:sz w:val="11"/>
                <w:szCs w:val="11"/>
                <w:spacing w:val="1"/>
              </w:rPr>
              <w:t>160-240倍</w:t>
            </w:r>
          </w:p>
        </w:tc>
        <w:tc>
          <w:tcPr>
            <w:tcW w:w="1329" w:type="dxa"/>
            <w:vAlign w:val="top"/>
            <w:vMerge w:val="restart"/>
            <w:tcBorders>
              <w:bottom w:val="nil"/>
              <w:top w:val="single" w:color="000000" w:sz="2" w:space="0"/>
            </w:tcBorders>
          </w:tcPr>
          <w:p>
            <w:pPr>
              <w:pStyle w:val="TableText"/>
              <w:ind w:left="627"/>
              <w:spacing w:before="272" w:line="224" w:lineRule="auto"/>
              <w:rPr>
                <w:sz w:val="11"/>
                <w:szCs w:val="11"/>
              </w:rPr>
            </w:pPr>
            <w:r>
              <w:rPr>
                <w:sz w:val="11"/>
                <w:szCs w:val="11"/>
                <w:color w:val="505050"/>
              </w:rPr>
              <w:t>/</w:t>
            </w:r>
          </w:p>
        </w:tc>
        <w:tc>
          <w:tcPr>
            <w:tcW w:w="650" w:type="dxa"/>
            <w:vAlign w:val="top"/>
            <w:tcBorders>
              <w:bottom w:val="single" w:color="000000" w:sz="2" w:space="0"/>
              <w:top w:val="single" w:color="000000" w:sz="2" w:space="0"/>
            </w:tcBorders>
          </w:tcPr>
          <w:p>
            <w:pPr>
              <w:pStyle w:val="TableText"/>
              <w:ind w:left="128"/>
              <w:spacing w:before="136" w:line="213" w:lineRule="auto"/>
              <w:rPr>
                <w:sz w:val="11"/>
                <w:szCs w:val="11"/>
              </w:rPr>
            </w:pPr>
            <w:r>
              <w:rPr>
                <w:sz w:val="11"/>
                <w:szCs w:val="11"/>
                <w:spacing w:val="-1"/>
              </w:rPr>
              <w:t>200g/袋</w:t>
            </w:r>
          </w:p>
        </w:tc>
        <w:tc>
          <w:tcPr>
            <w:tcW w:w="2943" w:type="dxa"/>
            <w:vAlign w:val="top"/>
            <w:tcBorders>
              <w:bottom w:val="single" w:color="000000" w:sz="2" w:space="0"/>
              <w:top w:val="single" w:color="000000" w:sz="2" w:space="0"/>
            </w:tcBorders>
          </w:tcPr>
          <w:p>
            <w:pPr>
              <w:pStyle w:val="TableText"/>
              <w:ind w:left="18"/>
              <w:spacing w:before="89" w:line="211" w:lineRule="auto"/>
              <w:rPr>
                <w:sz w:val="11"/>
                <w:szCs w:val="11"/>
              </w:rPr>
            </w:pPr>
            <w:r>
              <w:rPr>
                <w:sz w:val="11"/>
                <w:szCs w:val="11"/>
                <w:spacing w:val="-6"/>
              </w:rPr>
              <w:t>防治落叶病，实疽病、炭疸病、霜霉病，不能与石确合剂等碱性</w:t>
            </w:r>
            <w:r>
              <w:rPr>
                <w:sz w:val="11"/>
                <w:szCs w:val="11"/>
                <w:spacing w:val="1"/>
              </w:rPr>
              <w:t xml:space="preserve"> </w:t>
            </w:r>
            <w:r>
              <w:rPr>
                <w:sz w:val="11"/>
                <w:szCs w:val="11"/>
                <w:spacing w:val="-1"/>
              </w:rPr>
              <w:t>农药混用</w:t>
            </w:r>
          </w:p>
        </w:tc>
      </w:tr>
      <w:tr>
        <w:trPr>
          <w:trHeight w:val="26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single" w:color="000000" w:sz="2" w:space="0"/>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34"/>
              <w:spacing w:before="80" w:line="218" w:lineRule="auto"/>
              <w:rPr>
                <w:sz w:val="11"/>
                <w:szCs w:val="11"/>
              </w:rPr>
            </w:pPr>
            <w:r>
              <w:rPr>
                <w:sz w:val="11"/>
                <w:szCs w:val="11"/>
                <w:spacing w:val="1"/>
              </w:rPr>
              <w:t>晶体石硫合剂</w:t>
            </w:r>
          </w:p>
        </w:tc>
        <w:tc>
          <w:tcPr>
            <w:tcW w:w="1739" w:type="dxa"/>
            <w:vAlign w:val="top"/>
            <w:tcBorders>
              <w:bottom w:val="single" w:color="000000" w:sz="2" w:space="0"/>
              <w:top w:val="single" w:color="000000" w:sz="2" w:space="0"/>
            </w:tcBorders>
          </w:tcPr>
          <w:p>
            <w:pPr>
              <w:pStyle w:val="TableText"/>
              <w:ind w:left="644"/>
              <w:spacing w:before="81" w:line="221" w:lineRule="auto"/>
              <w:rPr>
                <w:sz w:val="11"/>
                <w:szCs w:val="11"/>
              </w:rPr>
            </w:pPr>
            <w:r>
              <w:rPr>
                <w:sz w:val="11"/>
                <w:szCs w:val="11"/>
                <w:spacing w:val="-2"/>
              </w:rPr>
              <w:t>多硫化钙</w:t>
            </w:r>
          </w:p>
        </w:tc>
        <w:tc>
          <w:tcPr>
            <w:tcW w:w="1869" w:type="dxa"/>
            <w:vAlign w:val="top"/>
            <w:tcBorders>
              <w:bottom w:val="single" w:color="000000" w:sz="2" w:space="0"/>
              <w:top w:val="single" w:color="000000" w:sz="2" w:space="0"/>
            </w:tcBorders>
          </w:tcPr>
          <w:p>
            <w:pPr>
              <w:pStyle w:val="TableText"/>
              <w:ind w:left="656"/>
              <w:spacing w:before="80" w:line="220" w:lineRule="auto"/>
              <w:rPr>
                <w:sz w:val="11"/>
                <w:szCs w:val="11"/>
              </w:rPr>
            </w:pPr>
            <w:r>
              <w:rPr>
                <w:sz w:val="11"/>
                <w:szCs w:val="11"/>
                <w:spacing w:val="-5"/>
              </w:rPr>
              <w:t>800—1000恪</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68"/>
              <w:spacing w:before="77" w:line="213" w:lineRule="auto"/>
              <w:rPr>
                <w:sz w:val="11"/>
                <w:szCs w:val="11"/>
              </w:rPr>
            </w:pPr>
            <w:r>
              <w:rPr>
                <w:sz w:val="11"/>
                <w:szCs w:val="11"/>
              </w:rPr>
              <w:t>(400g/袋》</w:t>
            </w:r>
          </w:p>
        </w:tc>
        <w:tc>
          <w:tcPr>
            <w:tcW w:w="2943" w:type="dxa"/>
            <w:vAlign w:val="top"/>
            <w:tcBorders>
              <w:bottom w:val="single" w:color="000000" w:sz="2" w:space="0"/>
              <w:top w:val="single" w:color="000000" w:sz="2" w:space="0"/>
            </w:tcBorders>
          </w:tcPr>
          <w:p>
            <w:pPr>
              <w:pStyle w:val="TableText"/>
              <w:spacing w:before="79" w:line="218" w:lineRule="auto"/>
              <w:jc w:val="right"/>
              <w:rPr>
                <w:sz w:val="11"/>
                <w:szCs w:val="11"/>
              </w:rPr>
            </w:pPr>
            <w:r>
              <w:rPr>
                <w:sz w:val="11"/>
                <w:szCs w:val="11"/>
                <w:spacing w:val="-2"/>
              </w:rPr>
              <w:t>价格低廉、效果好、对多种病菌具有抑杀作用，困区消</w:t>
            </w:r>
            <w:r>
              <w:rPr>
                <w:sz w:val="11"/>
                <w:szCs w:val="11"/>
                <w:spacing w:val="-3"/>
              </w:rPr>
              <w:t>杀使用</w:t>
            </w:r>
          </w:p>
        </w:tc>
      </w:tr>
      <w:tr>
        <w:trPr>
          <w:trHeight w:val="324" w:hRule="atLeast"/>
        </w:trPr>
        <w:tc>
          <w:tcPr>
            <w:tcW w:w="36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90"/>
              <w:spacing w:before="35" w:line="219" w:lineRule="auto"/>
              <w:rPr>
                <w:sz w:val="11"/>
                <w:szCs w:val="11"/>
              </w:rPr>
            </w:pPr>
            <w:r>
              <w:rPr>
                <w:sz w:val="11"/>
                <w:szCs w:val="11"/>
                <w:spacing w:val="-1"/>
              </w:rPr>
              <w:t>病菌类</w:t>
            </w:r>
          </w:p>
        </w:tc>
        <w:tc>
          <w:tcPr>
            <w:tcW w:w="879" w:type="dxa"/>
            <w:vAlign w:val="top"/>
            <w:vMerge w:val="restart"/>
            <w:tcBorders>
              <w:bottom w:val="nil"/>
              <w:top w:val="single" w:color="000000" w:sz="2" w:space="0"/>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40" w:right="61" w:firstLine="60"/>
              <w:spacing w:before="36" w:line="220" w:lineRule="auto"/>
              <w:rPr>
                <w:sz w:val="11"/>
                <w:szCs w:val="11"/>
              </w:rPr>
            </w:pPr>
            <w:r>
              <w:rPr>
                <w:sz w:val="11"/>
                <w:szCs w:val="11"/>
                <w:spacing w:val="-2"/>
              </w:rPr>
              <w:t>炭殖病，白粉</w:t>
            </w:r>
            <w:r>
              <w:rPr>
                <w:sz w:val="11"/>
                <w:szCs w:val="11"/>
                <w:spacing w:val="2"/>
              </w:rPr>
              <w:t xml:space="preserve">  </w:t>
            </w:r>
            <w:r>
              <w:rPr>
                <w:sz w:val="11"/>
                <w:szCs w:val="11"/>
                <w:spacing w:val="-1"/>
              </w:rPr>
              <w:t>病，锈病、叶枯</w:t>
            </w:r>
          </w:p>
          <w:p>
            <w:pPr>
              <w:pStyle w:val="TableText"/>
              <w:ind w:left="40"/>
              <w:spacing w:before="7" w:line="218" w:lineRule="auto"/>
              <w:rPr>
                <w:sz w:val="11"/>
                <w:szCs w:val="11"/>
              </w:rPr>
            </w:pPr>
            <w:r>
              <w:rPr>
                <w:sz w:val="11"/>
                <w:szCs w:val="11"/>
                <w:spacing w:val="-1"/>
              </w:rPr>
              <w:t>病。叶斑病；草</w:t>
            </w:r>
          </w:p>
          <w:p>
            <w:pPr>
              <w:pStyle w:val="TableText"/>
              <w:ind w:right="3"/>
              <w:spacing w:line="217" w:lineRule="auto"/>
              <w:jc w:val="right"/>
              <w:rPr>
                <w:sz w:val="11"/>
                <w:szCs w:val="11"/>
              </w:rPr>
            </w:pPr>
            <w:r>
              <w:rPr>
                <w:sz w:val="11"/>
                <w:szCs w:val="11"/>
                <w:spacing w:val="7"/>
              </w:rPr>
              <w:t>坪夏季腐霉病、</w:t>
            </w:r>
          </w:p>
          <w:p>
            <w:pPr>
              <w:pStyle w:val="TableText"/>
              <w:ind w:left="40"/>
              <w:spacing w:line="218" w:lineRule="auto"/>
              <w:rPr>
                <w:sz w:val="11"/>
                <w:szCs w:val="11"/>
              </w:rPr>
            </w:pPr>
            <w:r>
              <w:rPr>
                <w:sz w:val="11"/>
                <w:szCs w:val="11"/>
                <w:spacing w:val="-1"/>
              </w:rPr>
              <w:t>夏桔病：海浆干</w:t>
            </w:r>
          </w:p>
          <w:p>
            <w:pPr>
              <w:pStyle w:val="TableText"/>
              <w:ind w:left="40"/>
              <w:spacing w:before="9" w:line="218" w:lineRule="auto"/>
              <w:rPr>
                <w:sz w:val="11"/>
                <w:szCs w:val="11"/>
              </w:rPr>
            </w:pPr>
            <w:r>
              <w:rPr>
                <w:sz w:val="11"/>
                <w:szCs w:val="11"/>
                <w:spacing w:val="-1"/>
              </w:rPr>
              <w:t>腐病；红馏木奥</w:t>
            </w:r>
          </w:p>
          <w:p>
            <w:pPr>
              <w:pStyle w:val="TableText"/>
              <w:ind w:left="40"/>
              <w:spacing w:before="1" w:line="219" w:lineRule="auto"/>
              <w:rPr>
                <w:sz w:val="11"/>
                <w:szCs w:val="11"/>
              </w:rPr>
            </w:pPr>
            <w:r>
              <w:rPr>
                <w:sz w:val="11"/>
                <w:szCs w:val="11"/>
                <w:spacing w:val="-1"/>
              </w:rPr>
              <w:t>杆病；流胶病等</w:t>
            </w:r>
          </w:p>
        </w:tc>
        <w:tc>
          <w:tcPr>
            <w:tcW w:w="2458" w:type="dxa"/>
            <w:vAlign w:val="top"/>
            <w:vMerge w:val="restart"/>
            <w:tcBorders>
              <w:bottom w:val="nil"/>
              <w:top w:val="single" w:color="000000" w:sz="2" w:space="0"/>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
              <w:spacing w:before="35" w:line="218" w:lineRule="auto"/>
              <w:rPr>
                <w:sz w:val="11"/>
                <w:szCs w:val="11"/>
              </w:rPr>
            </w:pPr>
            <w:r>
              <w:rPr>
                <w:sz w:val="11"/>
                <w:szCs w:val="11"/>
                <w:spacing w:val="-1"/>
              </w:rPr>
              <w:t>一、4-6月全园区预防消桑为主：</w:t>
            </w:r>
          </w:p>
          <w:p>
            <w:pPr>
              <w:pStyle w:val="TableText"/>
              <w:ind w:left="12"/>
              <w:spacing w:line="219" w:lineRule="auto"/>
              <w:rPr>
                <w:sz w:val="11"/>
                <w:szCs w:val="11"/>
              </w:rPr>
            </w:pPr>
            <w:r>
              <w:rPr>
                <w:sz w:val="11"/>
                <w:szCs w:val="11"/>
                <w:spacing w:val="-1"/>
              </w:rPr>
              <w:t>三，7-9月为高发期，有发现脑情。及时喷药处理</w:t>
            </w:r>
          </w:p>
        </w:tc>
        <w:tc>
          <w:tcPr>
            <w:tcW w:w="1339" w:type="dxa"/>
            <w:vAlign w:val="top"/>
            <w:tcBorders>
              <w:bottom w:val="single" w:color="000000" w:sz="2" w:space="0"/>
              <w:top w:val="single" w:color="000000" w:sz="2" w:space="0"/>
            </w:tcBorders>
          </w:tcPr>
          <w:p>
            <w:pPr>
              <w:pStyle w:val="TableText"/>
              <w:ind w:left="274"/>
              <w:spacing w:before="120" w:line="219" w:lineRule="auto"/>
              <w:rPr>
                <w:sz w:val="11"/>
                <w:szCs w:val="11"/>
              </w:rPr>
            </w:pPr>
            <w:r>
              <w:rPr>
                <w:sz w:val="11"/>
                <w:szCs w:val="11"/>
                <w:spacing w:val="3"/>
              </w:rPr>
              <w:t>特克多(噻菌灵)</w:t>
            </w:r>
          </w:p>
        </w:tc>
        <w:tc>
          <w:tcPr>
            <w:tcW w:w="1739" w:type="dxa"/>
            <w:vAlign w:val="top"/>
            <w:tcBorders>
              <w:bottom w:val="single" w:color="000000" w:sz="2" w:space="0"/>
              <w:top w:val="single" w:color="000000" w:sz="2" w:space="0"/>
            </w:tcBorders>
          </w:tcPr>
          <w:p>
            <w:pPr>
              <w:pStyle w:val="TableText"/>
              <w:ind w:left="644"/>
              <w:spacing w:before="120" w:line="218" w:lineRule="auto"/>
              <w:rPr>
                <w:sz w:val="11"/>
                <w:szCs w:val="11"/>
              </w:rPr>
            </w:pPr>
            <w:r>
              <w:rPr>
                <w:sz w:val="11"/>
                <w:szCs w:val="11"/>
                <w:spacing w:val="-2"/>
              </w:rPr>
              <w:t>苯咪唑美</w:t>
            </w:r>
          </w:p>
        </w:tc>
        <w:tc>
          <w:tcPr>
            <w:tcW w:w="1869" w:type="dxa"/>
            <w:vAlign w:val="top"/>
            <w:tcBorders>
              <w:bottom w:val="single" w:color="000000" w:sz="2" w:space="0"/>
              <w:top w:val="single" w:color="000000" w:sz="2" w:space="0"/>
            </w:tcBorders>
          </w:tcPr>
          <w:p>
            <w:pPr>
              <w:pStyle w:val="TableText"/>
              <w:ind w:left="485"/>
              <w:spacing w:before="120" w:line="218" w:lineRule="auto"/>
              <w:rPr>
                <w:sz w:val="11"/>
                <w:szCs w:val="11"/>
              </w:rPr>
            </w:pPr>
            <w:r>
              <w:rPr>
                <w:sz w:val="11"/>
                <w:szCs w:val="11"/>
                <w:spacing w:val="-1"/>
              </w:rPr>
              <w:t>4悬浮剂600-80D倍</w:t>
            </w:r>
          </w:p>
        </w:tc>
        <w:tc>
          <w:tcPr>
            <w:tcW w:w="1329" w:type="dxa"/>
            <w:vAlign w:val="top"/>
            <w:tcBorders>
              <w:bottom w:val="single" w:color="000000" w:sz="2" w:space="0"/>
              <w:top w:val="single" w:color="000000" w:sz="2" w:space="0"/>
            </w:tcBorders>
          </w:tcPr>
          <w:p>
            <w:pPr>
              <w:pStyle w:val="TableText"/>
              <w:ind w:left="26" w:right="65" w:firstLine="29"/>
              <w:spacing w:before="40" w:line="210" w:lineRule="auto"/>
              <w:rPr>
                <w:sz w:val="11"/>
                <w:szCs w:val="11"/>
              </w:rPr>
            </w:pPr>
            <w:r>
              <w:rPr>
                <w:sz w:val="11"/>
                <w:szCs w:val="11"/>
                <w:spacing w:val="-1"/>
              </w:rPr>
              <w:t>闻隔10-15天1次，连喷2-</w:t>
            </w:r>
            <w:r>
              <w:rPr>
                <w:sz w:val="11"/>
                <w:szCs w:val="11"/>
              </w:rPr>
              <w:t xml:space="preserve"> </w:t>
            </w:r>
            <w:r>
              <w:rPr>
                <w:sz w:val="11"/>
                <w:szCs w:val="11"/>
                <w:spacing w:val="-2"/>
              </w:rPr>
              <w:t>3次</w:t>
            </w:r>
          </w:p>
        </w:tc>
        <w:tc>
          <w:tcPr>
            <w:tcW w:w="650" w:type="dxa"/>
            <w:vAlign w:val="top"/>
            <w:tcBorders>
              <w:bottom w:val="single" w:color="000000" w:sz="2" w:space="0"/>
              <w:top w:val="single" w:color="000000" w:sz="2" w:space="0"/>
            </w:tcBorders>
          </w:tcPr>
          <w:p>
            <w:pPr>
              <w:pStyle w:val="TableText"/>
              <w:ind w:left="98"/>
              <w:spacing w:before="120" w:line="221" w:lineRule="auto"/>
              <w:rPr>
                <w:sz w:val="11"/>
                <w:szCs w:val="11"/>
              </w:rPr>
            </w:pPr>
            <w:r>
              <w:rPr>
                <w:sz w:val="11"/>
                <w:szCs w:val="11"/>
                <w:spacing w:val="-2"/>
              </w:rPr>
              <w:t>100ml/瓶</w:t>
            </w:r>
          </w:p>
        </w:tc>
        <w:tc>
          <w:tcPr>
            <w:tcW w:w="2943" w:type="dxa"/>
            <w:vAlign w:val="top"/>
            <w:tcBorders>
              <w:bottom w:val="single" w:color="000000" w:sz="2" w:space="0"/>
              <w:top w:val="single" w:color="000000" w:sz="2" w:space="0"/>
            </w:tcBorders>
          </w:tcPr>
          <w:p>
            <w:pPr>
              <w:pStyle w:val="TableText"/>
              <w:spacing w:before="70" w:line="218" w:lineRule="auto"/>
              <w:jc w:val="right"/>
              <w:rPr>
                <w:sz w:val="11"/>
                <w:szCs w:val="11"/>
              </w:rPr>
            </w:pPr>
            <w:r>
              <w:rPr>
                <w:sz w:val="11"/>
                <w:szCs w:val="11"/>
                <w:spacing w:val="-6"/>
              </w:rPr>
              <w:t>防治叶斑病，青霉病、炭痘病，灰霉病，票星病、白粉病等防治</w:t>
            </w:r>
          </w:p>
        </w:tc>
      </w:tr>
      <w:tr>
        <w:trPr>
          <w:trHeight w:val="45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24"/>
              <w:spacing w:before="170" w:line="219" w:lineRule="auto"/>
              <w:rPr>
                <w:sz w:val="11"/>
                <w:szCs w:val="11"/>
              </w:rPr>
            </w:pPr>
            <w:r>
              <w:rPr>
                <w:sz w:val="11"/>
                <w:szCs w:val="11"/>
                <w:spacing w:val="-1"/>
              </w:rPr>
              <w:t>好靓(丙硫多菌灵》</w:t>
            </w:r>
          </w:p>
        </w:tc>
        <w:tc>
          <w:tcPr>
            <w:tcW w:w="1739" w:type="dxa"/>
            <w:vAlign w:val="top"/>
            <w:tcBorders>
              <w:bottom w:val="single" w:color="000000" w:sz="2" w:space="0"/>
              <w:top w:val="single" w:color="000000" w:sz="2" w:space="0"/>
            </w:tcBorders>
          </w:tcPr>
          <w:p>
            <w:pPr>
              <w:pStyle w:val="TableText"/>
              <w:ind w:left="644"/>
              <w:spacing w:before="171" w:line="220" w:lineRule="auto"/>
              <w:rPr>
                <w:sz w:val="11"/>
                <w:szCs w:val="11"/>
              </w:rPr>
            </w:pPr>
            <w:r>
              <w:rPr>
                <w:sz w:val="11"/>
                <w:szCs w:val="11"/>
                <w:spacing w:val="-2"/>
              </w:rPr>
              <w:t>丙硫咪唑</w:t>
            </w:r>
          </w:p>
        </w:tc>
        <w:tc>
          <w:tcPr>
            <w:tcW w:w="1869" w:type="dxa"/>
            <w:vAlign w:val="top"/>
            <w:tcBorders>
              <w:bottom w:val="single" w:color="000000" w:sz="2" w:space="0"/>
              <w:top w:val="single" w:color="000000" w:sz="2" w:space="0"/>
            </w:tcBorders>
          </w:tcPr>
          <w:p>
            <w:pPr>
              <w:pStyle w:val="TableText"/>
              <w:ind w:left="435"/>
              <w:spacing w:before="170" w:line="219" w:lineRule="auto"/>
              <w:rPr>
                <w:sz w:val="11"/>
                <w:szCs w:val="11"/>
              </w:rPr>
            </w:pPr>
            <w:r>
              <w:rPr>
                <w:sz w:val="11"/>
                <w:szCs w:val="11"/>
                <w:spacing w:val="-1"/>
              </w:rPr>
              <w:t>20%好靓2000-3000倍</w:t>
            </w:r>
          </w:p>
        </w:tc>
        <w:tc>
          <w:tcPr>
            <w:tcW w:w="1329" w:type="dxa"/>
            <w:vAlign w:val="top"/>
            <w:tcBorders>
              <w:bottom w:val="single" w:color="000000" w:sz="2" w:space="0"/>
              <w:top w:val="single" w:color="000000" w:sz="2" w:space="0"/>
            </w:tcBorders>
          </w:tcPr>
          <w:p>
            <w:pPr>
              <w:pStyle w:val="TableText"/>
              <w:ind w:left="26" w:right="64" w:firstLine="29"/>
              <w:spacing w:before="120" w:line="237" w:lineRule="auto"/>
              <w:rPr>
                <w:sz w:val="11"/>
                <w:szCs w:val="11"/>
              </w:rPr>
            </w:pPr>
            <w:r>
              <w:rPr>
                <w:sz w:val="11"/>
                <w:szCs w:val="11"/>
                <w:spacing w:val="-1"/>
              </w:rPr>
              <w:t>间隔10-15天1次，连喷2-</w:t>
            </w:r>
            <w:r>
              <w:rPr>
                <w:sz w:val="11"/>
                <w:szCs w:val="11"/>
                <w:spacing w:val="1"/>
              </w:rPr>
              <w:t xml:space="preserve"> </w:t>
            </w:r>
            <w:r>
              <w:rPr>
                <w:sz w:val="11"/>
                <w:szCs w:val="11"/>
                <w:spacing w:val="-2"/>
              </w:rPr>
              <w:t>3次</w:t>
            </w:r>
          </w:p>
        </w:tc>
        <w:tc>
          <w:tcPr>
            <w:tcW w:w="650" w:type="dxa"/>
            <w:vAlign w:val="top"/>
            <w:tcBorders>
              <w:bottom w:val="single" w:color="000000" w:sz="2" w:space="0"/>
              <w:top w:val="single" w:color="000000" w:sz="2" w:space="0"/>
            </w:tcBorders>
          </w:tcPr>
          <w:p>
            <w:pPr>
              <w:pStyle w:val="TableText"/>
              <w:ind w:left="158"/>
              <w:spacing w:before="167" w:line="213" w:lineRule="auto"/>
              <w:rPr>
                <w:sz w:val="11"/>
                <w:szCs w:val="11"/>
              </w:rPr>
            </w:pPr>
            <w:r>
              <w:rPr>
                <w:sz w:val="11"/>
                <w:szCs w:val="11"/>
                <w:spacing w:val="-1"/>
              </w:rPr>
              <w:t>5Og/袋</w:t>
            </w:r>
          </w:p>
        </w:tc>
        <w:tc>
          <w:tcPr>
            <w:tcW w:w="2943" w:type="dxa"/>
            <w:vAlign w:val="top"/>
            <w:tcBorders>
              <w:bottom w:val="single" w:color="000000" w:sz="2" w:space="0"/>
              <w:top w:val="single" w:color="000000" w:sz="2" w:space="0"/>
            </w:tcBorders>
          </w:tcPr>
          <w:p>
            <w:pPr>
              <w:pStyle w:val="TableText"/>
              <w:ind w:left="18"/>
              <w:spacing w:before="40" w:line="226" w:lineRule="auto"/>
              <w:jc w:val="both"/>
              <w:rPr>
                <w:sz w:val="11"/>
                <w:szCs w:val="11"/>
              </w:rPr>
            </w:pPr>
            <w:r>
              <w:rPr>
                <w:sz w:val="11"/>
                <w:szCs w:val="11"/>
                <w:spacing w:val="-2"/>
              </w:rPr>
              <w:t>广语内吸性杀菌剂，可用于防治枯萎病、疫病、腐霉病</w:t>
            </w:r>
            <w:r>
              <w:rPr>
                <w:sz w:val="11"/>
                <w:szCs w:val="11"/>
                <w:spacing w:val="-3"/>
              </w:rPr>
              <w:t>、立枯</w:t>
            </w:r>
            <w:r>
              <w:rPr>
                <w:sz w:val="11"/>
                <w:szCs w:val="11"/>
              </w:rPr>
              <w:t xml:space="preserve"> </w:t>
            </w:r>
            <w:r>
              <w:rPr>
                <w:sz w:val="11"/>
                <w:szCs w:val="11"/>
                <w:spacing w:val="-6"/>
              </w:rPr>
              <w:t>病，根医病，蒸真病、猝的病等多种病害。使用方法：灌根，喷</w:t>
            </w:r>
            <w:r>
              <w:rPr>
                <w:sz w:val="11"/>
                <w:szCs w:val="11"/>
                <w:spacing w:val="1"/>
              </w:rPr>
              <w:t xml:space="preserve"> </w:t>
            </w:r>
            <w:r>
              <w:rPr>
                <w:sz w:val="11"/>
                <w:szCs w:val="11"/>
              </w:rPr>
              <w:t>雾</w:t>
            </w:r>
          </w:p>
        </w:tc>
      </w:tr>
      <w:tr>
        <w:trPr>
          <w:trHeight w:val="21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83"/>
              <w:spacing w:before="51" w:line="219" w:lineRule="auto"/>
              <w:rPr>
                <w:sz w:val="11"/>
                <w:szCs w:val="11"/>
              </w:rPr>
            </w:pPr>
            <w:r>
              <w:rPr>
                <w:sz w:val="11"/>
                <w:szCs w:val="11"/>
                <w:spacing w:val="1"/>
              </w:rPr>
              <w:t>国光三壁硐</w:t>
            </w:r>
          </w:p>
        </w:tc>
        <w:tc>
          <w:tcPr>
            <w:tcW w:w="1739" w:type="dxa"/>
            <w:vAlign w:val="top"/>
            <w:tcBorders>
              <w:bottom w:val="single" w:color="000000" w:sz="2" w:space="0"/>
              <w:top w:val="single" w:color="000000" w:sz="2" w:space="0"/>
            </w:tcBorders>
          </w:tcPr>
          <w:p>
            <w:pPr>
              <w:pStyle w:val="TableText"/>
              <w:ind w:left="614"/>
              <w:spacing w:before="51" w:line="220" w:lineRule="auto"/>
              <w:rPr>
                <w:sz w:val="11"/>
                <w:szCs w:val="11"/>
              </w:rPr>
            </w:pPr>
            <w:r>
              <w:rPr>
                <w:sz w:val="11"/>
                <w:szCs w:val="11"/>
                <w:spacing w:val="-1"/>
              </w:rPr>
              <w:t>20%三喹胞</w:t>
            </w:r>
          </w:p>
        </w:tc>
        <w:tc>
          <w:tcPr>
            <w:tcW w:w="1869" w:type="dxa"/>
            <w:vAlign w:val="top"/>
            <w:tcBorders>
              <w:bottom w:val="single" w:color="000000" w:sz="2" w:space="0"/>
              <w:top w:val="single" w:color="000000" w:sz="2" w:space="0"/>
            </w:tcBorders>
          </w:tcPr>
          <w:p>
            <w:pPr>
              <w:pStyle w:val="TableText"/>
              <w:ind w:left="515"/>
              <w:spacing w:before="51" w:line="219" w:lineRule="auto"/>
              <w:rPr>
                <w:sz w:val="11"/>
                <w:szCs w:val="11"/>
              </w:rPr>
            </w:pPr>
            <w:r>
              <w:rPr>
                <w:sz w:val="11"/>
                <w:szCs w:val="11"/>
                <w:spacing w:val="-1"/>
              </w:rPr>
              <w:t>稀释1500-2000倍</w:t>
            </w:r>
          </w:p>
        </w:tc>
        <w:tc>
          <w:tcPr>
            <w:tcW w:w="1329" w:type="dxa"/>
            <w:vAlign w:val="top"/>
            <w:vMerge w:val="restart"/>
            <w:tcBorders>
              <w:bottom w:val="nil"/>
              <w:top w:val="single" w:color="000000" w:sz="2" w:space="0"/>
            </w:tcBorders>
          </w:tcPr>
          <w:p>
            <w:pPr>
              <w:pStyle w:val="TableText"/>
              <w:ind w:left="556" w:right="4" w:hanging="540"/>
              <w:spacing w:before="261" w:line="221" w:lineRule="auto"/>
              <w:rPr>
                <w:sz w:val="11"/>
                <w:szCs w:val="11"/>
              </w:rPr>
            </w:pPr>
            <w:r>
              <w:rPr>
                <w:sz w:val="11"/>
                <w:szCs w:val="11"/>
                <w:spacing w:val="-2"/>
              </w:rPr>
              <w:t>一般用2次，时间间隔7到「</w:t>
            </w:r>
            <w:r>
              <w:rPr>
                <w:sz w:val="11"/>
                <w:szCs w:val="11"/>
                <w:spacing w:val="3"/>
              </w:rPr>
              <w:t xml:space="preserve"> </w:t>
            </w:r>
            <w:r>
              <w:rPr>
                <w:sz w:val="11"/>
                <w:szCs w:val="11"/>
                <w:spacing w:val="-3"/>
              </w:rPr>
              <w:t>10天</w:t>
            </w:r>
          </w:p>
        </w:tc>
        <w:tc>
          <w:tcPr>
            <w:tcW w:w="650" w:type="dxa"/>
            <w:vAlign w:val="top"/>
            <w:tcBorders>
              <w:bottom w:val="single" w:color="000000" w:sz="2" w:space="0"/>
              <w:top w:val="single" w:color="000000" w:sz="2" w:space="0"/>
            </w:tcBorders>
          </w:tcPr>
          <w:p>
            <w:pPr>
              <w:pStyle w:val="TableText"/>
              <w:ind w:left="98"/>
              <w:spacing w:before="52" w:line="221" w:lineRule="auto"/>
              <w:rPr>
                <w:sz w:val="11"/>
                <w:szCs w:val="11"/>
              </w:rPr>
            </w:pPr>
            <w:r>
              <w:rPr>
                <w:sz w:val="11"/>
                <w:szCs w:val="11"/>
                <w:spacing w:val="-1"/>
              </w:rPr>
              <w:t>200ml/瓶</w:t>
            </w:r>
          </w:p>
        </w:tc>
        <w:tc>
          <w:tcPr>
            <w:tcW w:w="2943" w:type="dxa"/>
            <w:vAlign w:val="top"/>
            <w:tcBorders>
              <w:bottom w:val="single" w:color="000000" w:sz="2" w:space="0"/>
              <w:top w:val="single" w:color="000000" w:sz="2" w:space="0"/>
            </w:tcBorders>
          </w:tcPr>
          <w:p>
            <w:pPr>
              <w:pStyle w:val="TableText"/>
              <w:ind w:left="18"/>
              <w:spacing w:before="51" w:line="219" w:lineRule="auto"/>
              <w:rPr>
                <w:sz w:val="11"/>
                <w:szCs w:val="11"/>
              </w:rPr>
            </w:pPr>
            <w:r>
              <w:rPr>
                <w:sz w:val="11"/>
                <w:szCs w:val="11"/>
                <w:spacing w:val="1"/>
              </w:rPr>
              <w:t>防治白粉病、锈病等(每年使用2-3次)</w:t>
            </w:r>
          </w:p>
        </w:tc>
      </w:tr>
      <w:tr>
        <w:trPr>
          <w:trHeight w:val="25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43"/>
              <w:spacing w:before="91" w:line="219" w:lineRule="auto"/>
              <w:rPr>
                <w:sz w:val="11"/>
                <w:szCs w:val="11"/>
              </w:rPr>
            </w:pPr>
            <w:r>
              <w:rPr>
                <w:sz w:val="11"/>
                <w:szCs w:val="11"/>
                <w:spacing w:val="1"/>
              </w:rPr>
              <w:t>国光绿杀</w:t>
            </w:r>
          </w:p>
        </w:tc>
        <w:tc>
          <w:tcPr>
            <w:tcW w:w="1739" w:type="dxa"/>
            <w:vAlign w:val="top"/>
            <w:tcBorders>
              <w:bottom w:val="single" w:color="000000" w:sz="2" w:space="0"/>
              <w:top w:val="single" w:color="000000" w:sz="2" w:space="0"/>
            </w:tcBorders>
          </w:tcPr>
          <w:p>
            <w:pPr>
              <w:pStyle w:val="TableText"/>
              <w:ind w:left="505"/>
              <w:spacing w:before="91" w:line="220" w:lineRule="auto"/>
              <w:rPr>
                <w:sz w:val="11"/>
                <w:szCs w:val="11"/>
              </w:rPr>
            </w:pPr>
            <w:r>
              <w:rPr>
                <w:sz w:val="11"/>
                <w:szCs w:val="11"/>
                <w:spacing w:val="-8"/>
              </w:rPr>
              <w:t>甲霜</w:t>
            </w:r>
            <w:r>
              <w:rPr>
                <w:sz w:val="11"/>
                <w:szCs w:val="11"/>
                <w:spacing w:val="-11"/>
              </w:rPr>
              <w:t xml:space="preserve"> </w:t>
            </w:r>
            <w:r>
              <w:rPr>
                <w:sz w:val="11"/>
                <w:szCs w:val="11"/>
                <w:spacing w:val="-8"/>
              </w:rPr>
              <w:t>·锰锌58%</w:t>
            </w:r>
          </w:p>
        </w:tc>
        <w:tc>
          <w:tcPr>
            <w:tcW w:w="1869" w:type="dxa"/>
            <w:vAlign w:val="top"/>
            <w:tcBorders>
              <w:bottom w:val="single" w:color="000000" w:sz="2" w:space="0"/>
              <w:top w:val="single" w:color="000000" w:sz="2" w:space="0"/>
            </w:tcBorders>
          </w:tcPr>
          <w:p>
            <w:pPr>
              <w:pStyle w:val="TableText"/>
              <w:ind w:left="566"/>
              <w:spacing w:before="91" w:line="219" w:lineRule="auto"/>
              <w:rPr>
                <w:sz w:val="11"/>
                <w:szCs w:val="11"/>
              </w:rPr>
            </w:pPr>
            <w:r>
              <w:rPr>
                <w:sz w:val="11"/>
                <w:szCs w:val="11"/>
                <w:spacing w:val="-1"/>
              </w:rPr>
              <w:t>稀释400-600倍</w:t>
            </w:r>
          </w:p>
        </w:tc>
        <w:tc>
          <w:tcPr>
            <w:tcW w:w="1329" w:type="dxa"/>
            <w:vAlign w:val="top"/>
            <w:vMerge w:val="continue"/>
            <w:tcBorders>
              <w:bottom w:val="nil"/>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128"/>
              <w:spacing w:before="87" w:line="213" w:lineRule="auto"/>
              <w:rPr>
                <w:sz w:val="11"/>
                <w:szCs w:val="11"/>
              </w:rPr>
            </w:pPr>
            <w:r>
              <w:rPr>
                <w:sz w:val="11"/>
                <w:szCs w:val="11"/>
                <w:spacing w:val="-1"/>
              </w:rPr>
              <w:t>500g/袋</w:t>
            </w:r>
          </w:p>
        </w:tc>
        <w:tc>
          <w:tcPr>
            <w:tcW w:w="2943" w:type="dxa"/>
            <w:vAlign w:val="top"/>
            <w:tcBorders>
              <w:bottom w:val="single" w:color="000000" w:sz="2" w:space="0"/>
              <w:top w:val="single" w:color="000000" w:sz="2" w:space="0"/>
            </w:tcBorders>
          </w:tcPr>
          <w:p>
            <w:pPr>
              <w:pStyle w:val="TableText"/>
              <w:ind w:left="18"/>
              <w:spacing w:before="91" w:line="219" w:lineRule="auto"/>
              <w:rPr>
                <w:sz w:val="11"/>
                <w:szCs w:val="11"/>
              </w:rPr>
            </w:pPr>
            <w:r>
              <w:rPr>
                <w:sz w:val="11"/>
                <w:szCs w:val="11"/>
                <w:spacing w:val="-1"/>
              </w:rPr>
              <w:t>防治草皮白粉病，枯萎病，根腐病，锈病</w:t>
            </w:r>
          </w:p>
        </w:tc>
      </w:tr>
      <w:tr>
        <w:trPr>
          <w:trHeight w:val="24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83"/>
              <w:spacing w:before="71" w:line="220" w:lineRule="auto"/>
              <w:rPr>
                <w:sz w:val="11"/>
                <w:szCs w:val="11"/>
              </w:rPr>
            </w:pPr>
            <w:r>
              <w:rPr>
                <w:sz w:val="11"/>
                <w:szCs w:val="11"/>
                <w:spacing w:val="-3"/>
              </w:rPr>
              <w:t>中威乐商天</w:t>
            </w:r>
          </w:p>
        </w:tc>
        <w:tc>
          <w:tcPr>
            <w:tcW w:w="1739" w:type="dxa"/>
            <w:vAlign w:val="top"/>
            <w:tcBorders>
              <w:bottom w:val="single" w:color="000000" w:sz="2" w:space="0"/>
              <w:top w:val="single" w:color="000000" w:sz="2" w:space="0"/>
            </w:tcBorders>
          </w:tcPr>
          <w:p>
            <w:pPr>
              <w:pStyle w:val="TableText"/>
              <w:ind w:left="614"/>
              <w:spacing w:before="71" w:line="220" w:lineRule="auto"/>
              <w:rPr>
                <w:sz w:val="11"/>
                <w:szCs w:val="11"/>
              </w:rPr>
            </w:pPr>
            <w:r>
              <w:rPr>
                <w:sz w:val="11"/>
                <w:szCs w:val="11"/>
                <w:spacing w:val="-1"/>
              </w:rPr>
              <w:t>皮唑醇20%</w:t>
            </w:r>
          </w:p>
        </w:tc>
        <w:tc>
          <w:tcPr>
            <w:tcW w:w="1869" w:type="dxa"/>
            <w:vAlign w:val="top"/>
            <w:tcBorders>
              <w:bottom w:val="single" w:color="000000" w:sz="2" w:space="0"/>
              <w:top w:val="single" w:color="000000" w:sz="2" w:space="0"/>
            </w:tcBorders>
          </w:tcPr>
          <w:p>
            <w:pPr>
              <w:pStyle w:val="TableText"/>
              <w:ind w:left="566"/>
              <w:spacing w:before="71" w:line="220" w:lineRule="auto"/>
              <w:rPr>
                <w:sz w:val="11"/>
                <w:szCs w:val="11"/>
              </w:rPr>
            </w:pPr>
            <w:r>
              <w:rPr>
                <w:sz w:val="11"/>
                <w:szCs w:val="11"/>
              </w:rPr>
              <w:t>1000-1500倍液</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98"/>
              <w:spacing w:before="67" w:line="213" w:lineRule="auto"/>
              <w:rPr>
                <w:sz w:val="11"/>
                <w:szCs w:val="11"/>
              </w:rPr>
            </w:pPr>
            <w:r>
              <w:rPr>
                <w:sz w:val="11"/>
                <w:szCs w:val="11"/>
                <w:spacing w:val="3"/>
              </w:rPr>
              <w:t>(20g/装)</w:t>
            </w:r>
          </w:p>
        </w:tc>
        <w:tc>
          <w:tcPr>
            <w:tcW w:w="2943" w:type="dxa"/>
            <w:vAlign w:val="top"/>
            <w:tcBorders>
              <w:bottom w:val="single" w:color="000000" w:sz="2" w:space="0"/>
              <w:top w:val="single" w:color="000000" w:sz="2" w:space="0"/>
            </w:tcBorders>
          </w:tcPr>
          <w:p>
            <w:pPr>
              <w:pStyle w:val="TableText"/>
              <w:ind w:left="18"/>
              <w:spacing w:before="70" w:line="219" w:lineRule="auto"/>
              <w:rPr>
                <w:sz w:val="11"/>
                <w:szCs w:val="11"/>
              </w:rPr>
            </w:pPr>
            <w:r>
              <w:rPr>
                <w:sz w:val="11"/>
                <w:szCs w:val="11"/>
                <w:spacing w:val="-2"/>
              </w:rPr>
              <w:t>防治草坪白粉病、锈病</w:t>
            </w:r>
          </w:p>
        </w:tc>
      </w:tr>
      <w:tr>
        <w:trPr>
          <w:trHeight w:val="25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74"/>
              <w:spacing w:before="70" w:line="219" w:lineRule="auto"/>
              <w:rPr>
                <w:sz w:val="11"/>
                <w:szCs w:val="11"/>
              </w:rPr>
            </w:pPr>
            <w:r>
              <w:rPr>
                <w:sz w:val="11"/>
                <w:szCs w:val="11"/>
                <w:spacing w:val="3"/>
              </w:rPr>
              <w:t>国光多菌灵(中)</w:t>
            </w:r>
          </w:p>
        </w:tc>
        <w:tc>
          <w:tcPr>
            <w:tcW w:w="1739" w:type="dxa"/>
            <w:vAlign w:val="top"/>
            <w:tcBorders>
              <w:bottom w:val="single" w:color="000000" w:sz="2" w:space="0"/>
              <w:top w:val="single" w:color="000000" w:sz="2" w:space="0"/>
            </w:tcBorders>
          </w:tcPr>
          <w:p>
            <w:pPr>
              <w:pStyle w:val="TableText"/>
              <w:ind w:left="614"/>
              <w:spacing w:before="70" w:line="219" w:lineRule="auto"/>
              <w:rPr>
                <w:sz w:val="11"/>
                <w:szCs w:val="11"/>
              </w:rPr>
            </w:pPr>
            <w:r>
              <w:rPr>
                <w:sz w:val="11"/>
                <w:szCs w:val="11"/>
                <w:spacing w:val="-1"/>
              </w:rPr>
              <w:t>50%多菌灵</w:t>
            </w:r>
          </w:p>
        </w:tc>
        <w:tc>
          <w:tcPr>
            <w:tcW w:w="1869" w:type="dxa"/>
            <w:vAlign w:val="top"/>
            <w:tcBorders>
              <w:bottom w:val="single" w:color="000000" w:sz="2" w:space="0"/>
              <w:top w:val="single" w:color="000000" w:sz="2" w:space="0"/>
            </w:tcBorders>
          </w:tcPr>
          <w:p>
            <w:pPr>
              <w:pStyle w:val="TableText"/>
              <w:ind w:left="485"/>
              <w:spacing w:before="70" w:line="219" w:lineRule="auto"/>
              <w:rPr>
                <w:sz w:val="11"/>
                <w:szCs w:val="11"/>
              </w:rPr>
            </w:pPr>
            <w:r>
              <w:rPr>
                <w:sz w:val="11"/>
                <w:szCs w:val="11"/>
                <w:spacing w:val="-1"/>
              </w:rPr>
              <w:t>稀释600-1000倍液</w:t>
            </w:r>
          </w:p>
        </w:tc>
        <w:tc>
          <w:tcPr>
            <w:tcW w:w="1329" w:type="dxa"/>
            <w:vAlign w:val="top"/>
            <w:vMerge w:val="restart"/>
            <w:tcBorders>
              <w:bottom w:val="nil"/>
              <w:top w:val="single" w:color="000000" w:sz="2" w:space="0"/>
            </w:tcBorders>
          </w:tcPr>
          <w:p>
            <w:pPr>
              <w:spacing w:line="300" w:lineRule="auto"/>
              <w:rPr>
                <w:rFonts w:ascii="Arial"/>
                <w:sz w:val="21"/>
              </w:rPr>
            </w:pPr>
            <w:r/>
          </w:p>
          <w:p>
            <w:pPr>
              <w:spacing w:line="300" w:lineRule="auto"/>
              <w:rPr>
                <w:rFonts w:ascii="Arial"/>
                <w:sz w:val="21"/>
              </w:rPr>
            </w:pPr>
            <w:r/>
          </w:p>
          <w:p>
            <w:pPr>
              <w:pStyle w:val="TableText"/>
              <w:ind w:left="546" w:right="58" w:hanging="490"/>
              <w:spacing w:before="36" w:line="221" w:lineRule="auto"/>
              <w:rPr>
                <w:sz w:val="11"/>
                <w:szCs w:val="11"/>
              </w:rPr>
            </w:pPr>
            <w:r>
              <w:rPr>
                <w:sz w:val="11"/>
                <w:szCs w:val="11"/>
                <w:spacing w:val="-1"/>
              </w:rPr>
              <w:t>一般用8次，时间间隔7到</w:t>
            </w:r>
            <w:r>
              <w:rPr>
                <w:sz w:val="11"/>
                <w:szCs w:val="11"/>
                <w:spacing w:val="4"/>
              </w:rPr>
              <w:t xml:space="preserve"> </w:t>
            </w:r>
            <w:r>
              <w:rPr>
                <w:sz w:val="11"/>
                <w:szCs w:val="11"/>
                <w:spacing w:val="-3"/>
              </w:rPr>
              <w:t>10天</w:t>
            </w:r>
          </w:p>
        </w:tc>
        <w:tc>
          <w:tcPr>
            <w:tcW w:w="650" w:type="dxa"/>
            <w:vAlign w:val="top"/>
            <w:tcBorders>
              <w:bottom w:val="single" w:color="000000" w:sz="2" w:space="0"/>
              <w:top w:val="single" w:color="000000" w:sz="2" w:space="0"/>
            </w:tcBorders>
          </w:tcPr>
          <w:p>
            <w:pPr>
              <w:pStyle w:val="TableText"/>
              <w:ind w:left="68"/>
              <w:spacing w:before="67" w:line="213" w:lineRule="auto"/>
              <w:rPr>
                <w:sz w:val="11"/>
                <w:szCs w:val="11"/>
              </w:rPr>
            </w:pPr>
            <w:r>
              <w:rPr>
                <w:sz w:val="11"/>
                <w:szCs w:val="11"/>
                <w:spacing w:val="3"/>
              </w:rPr>
              <w:t>(100g/袋)</w:t>
            </w:r>
          </w:p>
        </w:tc>
        <w:tc>
          <w:tcPr>
            <w:tcW w:w="2943" w:type="dxa"/>
            <w:vAlign w:val="top"/>
            <w:tcBorders>
              <w:bottom w:val="single" w:color="000000" w:sz="2" w:space="0"/>
              <w:top w:val="single" w:color="000000" w:sz="2" w:space="0"/>
            </w:tcBorders>
          </w:tcPr>
          <w:p>
            <w:pPr>
              <w:pStyle w:val="TableText"/>
              <w:ind w:left="18"/>
              <w:spacing w:before="70" w:line="218" w:lineRule="auto"/>
              <w:rPr>
                <w:sz w:val="11"/>
                <w:szCs w:val="11"/>
              </w:rPr>
            </w:pPr>
            <w:r>
              <w:rPr>
                <w:sz w:val="11"/>
                <w:szCs w:val="11"/>
                <w:spacing w:val="-1"/>
              </w:rPr>
              <w:t>广谱性杀菌剂</w:t>
            </w:r>
          </w:p>
        </w:tc>
      </w:tr>
      <w:tr>
        <w:trPr>
          <w:trHeight w:val="22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74"/>
              <w:spacing w:before="60" w:line="219" w:lineRule="auto"/>
              <w:rPr>
                <w:sz w:val="11"/>
                <w:szCs w:val="11"/>
              </w:rPr>
            </w:pPr>
            <w:r>
              <w:rPr>
                <w:sz w:val="11"/>
                <w:szCs w:val="11"/>
              </w:rPr>
              <w:t>国光甲基碗菌灵</w:t>
            </w:r>
          </w:p>
        </w:tc>
        <w:tc>
          <w:tcPr>
            <w:tcW w:w="1739" w:type="dxa"/>
            <w:vAlign w:val="top"/>
            <w:tcBorders>
              <w:bottom w:val="single" w:color="000000" w:sz="2" w:space="0"/>
              <w:top w:val="single" w:color="000000" w:sz="2" w:space="0"/>
            </w:tcBorders>
          </w:tcPr>
          <w:p>
            <w:pPr>
              <w:pStyle w:val="TableText"/>
              <w:ind w:left="475"/>
              <w:spacing w:before="60" w:line="219" w:lineRule="auto"/>
              <w:rPr>
                <w:sz w:val="11"/>
                <w:szCs w:val="11"/>
              </w:rPr>
            </w:pPr>
            <w:r>
              <w:rPr>
                <w:sz w:val="11"/>
                <w:szCs w:val="11"/>
                <w:spacing w:val="-1"/>
              </w:rPr>
              <w:t>70%M甲基碗菌灵</w:t>
            </w:r>
          </w:p>
        </w:tc>
        <w:tc>
          <w:tcPr>
            <w:tcW w:w="1869" w:type="dxa"/>
            <w:vAlign w:val="top"/>
            <w:tcBorders>
              <w:bottom w:val="single" w:color="000000" w:sz="2" w:space="0"/>
              <w:top w:val="single" w:color="000000" w:sz="2" w:space="0"/>
            </w:tcBorders>
          </w:tcPr>
          <w:p>
            <w:pPr>
              <w:pStyle w:val="TableText"/>
              <w:ind w:left="485"/>
              <w:spacing w:before="60" w:line="219" w:lineRule="auto"/>
              <w:rPr>
                <w:sz w:val="11"/>
                <w:szCs w:val="11"/>
              </w:rPr>
            </w:pPr>
            <w:r>
              <w:rPr>
                <w:sz w:val="11"/>
                <w:szCs w:val="11"/>
                <w:spacing w:val="-1"/>
              </w:rPr>
              <w:t>稀释600-1000倍液</w:t>
            </w:r>
          </w:p>
        </w:tc>
        <w:tc>
          <w:tcPr>
            <w:tcW w:w="1329" w:type="dxa"/>
            <w:vAlign w:val="top"/>
            <w:vMerge w:val="continue"/>
            <w:tcBorders>
              <w:bottom w:val="nil"/>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158"/>
              <w:spacing w:before="57" w:line="213" w:lineRule="auto"/>
              <w:rPr>
                <w:sz w:val="11"/>
                <w:szCs w:val="11"/>
              </w:rPr>
            </w:pPr>
            <w:r>
              <w:rPr>
                <w:sz w:val="11"/>
                <w:szCs w:val="11"/>
                <w:spacing w:val="-3"/>
              </w:rPr>
              <w:t>Ikg/装</w:t>
            </w:r>
          </w:p>
        </w:tc>
        <w:tc>
          <w:tcPr>
            <w:tcW w:w="2943" w:type="dxa"/>
            <w:vAlign w:val="top"/>
            <w:tcBorders>
              <w:bottom w:val="single" w:color="000000" w:sz="2" w:space="0"/>
              <w:top w:val="single" w:color="000000" w:sz="2" w:space="0"/>
            </w:tcBorders>
          </w:tcPr>
          <w:p>
            <w:pPr>
              <w:pStyle w:val="TableText"/>
              <w:ind w:left="18"/>
              <w:spacing w:before="60" w:line="218" w:lineRule="auto"/>
              <w:rPr>
                <w:sz w:val="11"/>
                <w:szCs w:val="11"/>
              </w:rPr>
            </w:pPr>
            <w:r>
              <w:rPr>
                <w:sz w:val="11"/>
                <w:szCs w:val="11"/>
              </w:rPr>
              <w:t>内吸、广谱高效杀菌剂</w:t>
            </w:r>
          </w:p>
        </w:tc>
      </w:tr>
      <w:tr>
        <w:trPr>
          <w:trHeight w:val="36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74"/>
              <w:spacing w:before="129" w:line="219" w:lineRule="auto"/>
              <w:rPr>
                <w:sz w:val="11"/>
                <w:szCs w:val="11"/>
              </w:rPr>
            </w:pPr>
            <w:r>
              <w:rPr>
                <w:sz w:val="11"/>
                <w:szCs w:val="11"/>
                <w:spacing w:val="3"/>
              </w:rPr>
              <w:t>特克多(噻菌灵)</w:t>
            </w:r>
          </w:p>
        </w:tc>
        <w:tc>
          <w:tcPr>
            <w:tcW w:w="1739" w:type="dxa"/>
            <w:vAlign w:val="top"/>
            <w:tcBorders>
              <w:bottom w:val="single" w:color="000000" w:sz="2" w:space="0"/>
              <w:top w:val="single" w:color="000000" w:sz="2" w:space="0"/>
            </w:tcBorders>
          </w:tcPr>
          <w:p>
            <w:pPr>
              <w:pStyle w:val="TableText"/>
              <w:ind w:left="634"/>
              <w:spacing w:before="129" w:line="218" w:lineRule="auto"/>
              <w:rPr>
                <w:sz w:val="11"/>
                <w:szCs w:val="11"/>
              </w:rPr>
            </w:pPr>
            <w:r>
              <w:rPr>
                <w:sz w:val="11"/>
                <w:szCs w:val="11"/>
                <w:spacing w:val="-6"/>
              </w:rPr>
              <w:t>苯</w:t>
            </w:r>
            <w:r>
              <w:rPr>
                <w:sz w:val="11"/>
                <w:szCs w:val="11"/>
                <w:spacing w:val="26"/>
                <w:w w:val="101"/>
              </w:rPr>
              <w:t xml:space="preserve"> </w:t>
            </w:r>
            <w:r>
              <w:rPr>
                <w:sz w:val="11"/>
                <w:szCs w:val="11"/>
                <w:spacing w:val="-6"/>
              </w:rPr>
              <w:t>咪</w:t>
            </w:r>
            <w:r>
              <w:rPr>
                <w:sz w:val="11"/>
                <w:szCs w:val="11"/>
                <w:spacing w:val="19"/>
              </w:rPr>
              <w:t xml:space="preserve"> </w:t>
            </w:r>
            <w:r>
              <w:rPr>
                <w:sz w:val="11"/>
                <w:szCs w:val="11"/>
                <w:spacing w:val="-6"/>
              </w:rPr>
              <w:t>类</w:t>
            </w:r>
          </w:p>
        </w:tc>
        <w:tc>
          <w:tcPr>
            <w:tcW w:w="1869" w:type="dxa"/>
            <w:vAlign w:val="top"/>
            <w:tcBorders>
              <w:bottom w:val="single" w:color="000000" w:sz="2" w:space="0"/>
              <w:top w:val="single" w:color="000000" w:sz="2" w:space="0"/>
            </w:tcBorders>
          </w:tcPr>
          <w:p>
            <w:pPr>
              <w:pStyle w:val="TableText"/>
              <w:ind w:left="515"/>
              <w:spacing w:before="129" w:line="218" w:lineRule="auto"/>
              <w:rPr>
                <w:sz w:val="11"/>
                <w:szCs w:val="11"/>
              </w:rPr>
            </w:pPr>
            <w:r>
              <w:rPr>
                <w:sz w:val="11"/>
                <w:szCs w:val="11"/>
                <w:spacing w:val="-1"/>
              </w:rPr>
              <w:t>50%悬浮剂1000倍</w:t>
            </w:r>
          </w:p>
        </w:tc>
        <w:tc>
          <w:tcPr>
            <w:tcW w:w="1329" w:type="dxa"/>
            <w:vAlign w:val="top"/>
            <w:vMerge w:val="continue"/>
            <w:tcBorders>
              <w:bottom w:val="nil"/>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98"/>
              <w:spacing w:before="130" w:line="221" w:lineRule="auto"/>
              <w:rPr>
                <w:sz w:val="11"/>
                <w:szCs w:val="11"/>
              </w:rPr>
            </w:pPr>
            <w:r>
              <w:rPr>
                <w:sz w:val="11"/>
                <w:szCs w:val="11"/>
                <w:spacing w:val="-2"/>
              </w:rPr>
              <w:t>100ml/瓶</w:t>
            </w:r>
          </w:p>
        </w:tc>
        <w:tc>
          <w:tcPr>
            <w:tcW w:w="2943" w:type="dxa"/>
            <w:vAlign w:val="top"/>
            <w:tcBorders>
              <w:bottom w:val="single" w:color="000000" w:sz="2" w:space="0"/>
              <w:top w:val="single" w:color="000000" w:sz="2" w:space="0"/>
            </w:tcBorders>
          </w:tcPr>
          <w:p>
            <w:pPr>
              <w:pStyle w:val="TableText"/>
              <w:ind w:left="18"/>
              <w:spacing w:before="129" w:line="218" w:lineRule="auto"/>
              <w:rPr>
                <w:sz w:val="11"/>
                <w:szCs w:val="11"/>
              </w:rPr>
            </w:pPr>
            <w:r>
              <w:rPr>
                <w:sz w:val="11"/>
                <w:szCs w:val="11"/>
                <w:spacing w:val="-1"/>
              </w:rPr>
              <w:t>防治丛枝病，稠木发芽前，封枝干</w:t>
            </w:r>
          </w:p>
        </w:tc>
      </w:tr>
      <w:tr>
        <w:trPr>
          <w:trHeight w:val="35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74"/>
              <w:spacing w:before="140" w:line="219" w:lineRule="auto"/>
              <w:rPr>
                <w:sz w:val="11"/>
                <w:szCs w:val="11"/>
              </w:rPr>
            </w:pPr>
            <w:r>
              <w:rPr>
                <w:sz w:val="11"/>
                <w:szCs w:val="11"/>
                <w:spacing w:val="-2"/>
              </w:rPr>
              <w:t>阿西米达悬浮波</w:t>
            </w:r>
          </w:p>
        </w:tc>
        <w:tc>
          <w:tcPr>
            <w:tcW w:w="1739" w:type="dxa"/>
            <w:vAlign w:val="top"/>
            <w:tcBorders>
              <w:bottom w:val="single" w:color="000000" w:sz="2" w:space="0"/>
              <w:top w:val="single" w:color="000000" w:sz="2" w:space="0"/>
            </w:tcBorders>
          </w:tcPr>
          <w:p>
            <w:pPr>
              <w:pStyle w:val="TableText"/>
              <w:ind w:left="694"/>
              <w:spacing w:before="141" w:line="221" w:lineRule="auto"/>
              <w:rPr>
                <w:sz w:val="11"/>
                <w:szCs w:val="11"/>
              </w:rPr>
            </w:pPr>
            <w:r>
              <w:rPr>
                <w:sz w:val="11"/>
                <w:szCs w:val="11"/>
                <w:spacing w:val="-3"/>
              </w:rPr>
              <w:t>吨卤酷</w:t>
            </w:r>
          </w:p>
        </w:tc>
        <w:tc>
          <w:tcPr>
            <w:tcW w:w="1869" w:type="dxa"/>
            <w:vAlign w:val="top"/>
            <w:tcBorders>
              <w:bottom w:val="single" w:color="000000" w:sz="2" w:space="0"/>
              <w:top w:val="single" w:color="000000" w:sz="2" w:space="0"/>
            </w:tcBorders>
          </w:tcPr>
          <w:p>
            <w:pPr>
              <w:pStyle w:val="TableText"/>
              <w:ind w:left="106"/>
              <w:spacing w:before="140" w:line="219" w:lineRule="auto"/>
              <w:rPr>
                <w:sz w:val="11"/>
                <w:szCs w:val="11"/>
              </w:rPr>
            </w:pPr>
            <w:r>
              <w:rPr>
                <w:sz w:val="11"/>
                <w:szCs w:val="11"/>
                <w:spacing w:val="-1"/>
              </w:rPr>
              <w:t>25M阿西米达悬浮液1200-1500倍波</w:t>
            </w:r>
          </w:p>
        </w:tc>
        <w:tc>
          <w:tcPr>
            <w:tcW w:w="1329" w:type="dxa"/>
            <w:vAlign w:val="top"/>
            <w:vMerge w:val="continue"/>
            <w:tcBorders>
              <w:bottom w:val="nil"/>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177"/>
              <w:spacing w:before="131" w:line="221" w:lineRule="auto"/>
              <w:rPr>
                <w:sz w:val="11"/>
                <w:szCs w:val="11"/>
              </w:rPr>
            </w:pPr>
            <w:r>
              <w:rPr>
                <w:sz w:val="11"/>
                <w:szCs w:val="11"/>
                <w:spacing w:val="2"/>
              </w:rPr>
              <w:t>11/般</w:t>
            </w:r>
          </w:p>
        </w:tc>
        <w:tc>
          <w:tcPr>
            <w:tcW w:w="2943" w:type="dxa"/>
            <w:vAlign w:val="top"/>
            <w:tcBorders>
              <w:bottom w:val="single" w:color="000000" w:sz="2" w:space="0"/>
              <w:top w:val="single" w:color="000000" w:sz="2" w:space="0"/>
            </w:tcBorders>
          </w:tcPr>
          <w:p>
            <w:pPr>
              <w:pStyle w:val="TableText"/>
              <w:ind w:left="18"/>
              <w:spacing w:before="140" w:line="219" w:lineRule="auto"/>
              <w:rPr>
                <w:sz w:val="11"/>
                <w:szCs w:val="11"/>
              </w:rPr>
            </w:pPr>
            <w:r>
              <w:rPr>
                <w:sz w:val="11"/>
                <w:szCs w:val="11"/>
                <w:spacing w:val="-1"/>
              </w:rPr>
              <w:t>广谱杀卤，对四大类数病真菌，天然低毒安全无公害</w:t>
            </w:r>
          </w:p>
        </w:tc>
      </w:tr>
      <w:tr>
        <w:trPr>
          <w:trHeight w:val="28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83"/>
              <w:spacing w:before="91" w:line="219" w:lineRule="auto"/>
              <w:rPr>
                <w:sz w:val="11"/>
                <w:szCs w:val="11"/>
              </w:rPr>
            </w:pPr>
            <w:r>
              <w:rPr>
                <w:sz w:val="11"/>
                <w:szCs w:val="11"/>
                <w:spacing w:val="1"/>
              </w:rPr>
              <w:t>国光改磷钠</w:t>
            </w:r>
          </w:p>
        </w:tc>
        <w:tc>
          <w:tcPr>
            <w:tcW w:w="1739" w:type="dxa"/>
            <w:vAlign w:val="top"/>
            <w:tcBorders>
              <w:bottom w:val="single" w:color="000000" w:sz="2" w:space="0"/>
              <w:top w:val="single" w:color="000000" w:sz="2" w:space="0"/>
            </w:tcBorders>
          </w:tcPr>
          <w:p>
            <w:pPr>
              <w:pStyle w:val="TableText"/>
              <w:ind w:left="614"/>
              <w:spacing w:before="91" w:line="219" w:lineRule="auto"/>
              <w:rPr>
                <w:sz w:val="11"/>
                <w:szCs w:val="11"/>
              </w:rPr>
            </w:pPr>
            <w:r>
              <w:rPr>
                <w:sz w:val="11"/>
                <w:szCs w:val="11"/>
                <w:spacing w:val="-1"/>
              </w:rPr>
              <w:t>70%敌碟钠</w:t>
            </w:r>
          </w:p>
        </w:tc>
        <w:tc>
          <w:tcPr>
            <w:tcW w:w="1869" w:type="dxa"/>
            <w:vAlign w:val="top"/>
            <w:tcBorders>
              <w:bottom w:val="single" w:color="000000" w:sz="2" w:space="0"/>
              <w:top w:val="single" w:color="000000" w:sz="2" w:space="0"/>
            </w:tcBorders>
          </w:tcPr>
          <w:p>
            <w:pPr>
              <w:pStyle w:val="TableText"/>
              <w:ind w:left="405"/>
              <w:spacing w:before="111" w:line="219" w:lineRule="auto"/>
              <w:rPr>
                <w:sz w:val="11"/>
                <w:szCs w:val="11"/>
              </w:rPr>
            </w:pPr>
            <w:r>
              <w:rPr>
                <w:sz w:val="11"/>
                <w:szCs w:val="11"/>
                <w:spacing w:val="-1"/>
              </w:rPr>
              <w:t>裤释600-900信液灌根</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128"/>
              <w:spacing w:before="107" w:line="213" w:lineRule="auto"/>
              <w:rPr>
                <w:sz w:val="11"/>
                <w:szCs w:val="11"/>
              </w:rPr>
            </w:pPr>
            <w:r>
              <w:rPr>
                <w:sz w:val="11"/>
                <w:szCs w:val="11"/>
                <w:spacing w:val="-1"/>
              </w:rPr>
              <w:t>200g/辈</w:t>
            </w:r>
          </w:p>
        </w:tc>
        <w:tc>
          <w:tcPr>
            <w:tcW w:w="2943" w:type="dxa"/>
            <w:vAlign w:val="top"/>
            <w:tcBorders>
              <w:bottom w:val="single" w:color="000000" w:sz="2" w:space="0"/>
              <w:top w:val="single" w:color="000000" w:sz="2" w:space="0"/>
            </w:tcBorders>
          </w:tcPr>
          <w:p>
            <w:pPr>
              <w:pStyle w:val="TableText"/>
              <w:ind w:left="18"/>
              <w:spacing w:before="111" w:line="218" w:lineRule="auto"/>
              <w:rPr>
                <w:sz w:val="11"/>
                <w:szCs w:val="11"/>
              </w:rPr>
            </w:pPr>
            <w:r>
              <w:rPr>
                <w:sz w:val="11"/>
                <w:szCs w:val="11"/>
                <w:spacing w:val="-1"/>
              </w:rPr>
              <w:t>防治大树移植后根部腐题，促生根</w:t>
            </w:r>
          </w:p>
        </w:tc>
      </w:tr>
      <w:tr>
        <w:trPr>
          <w:trHeight w:val="47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93"/>
              <w:spacing w:before="180" w:line="219" w:lineRule="auto"/>
              <w:rPr>
                <w:sz w:val="11"/>
                <w:szCs w:val="11"/>
              </w:rPr>
            </w:pPr>
            <w:r>
              <w:rPr>
                <w:sz w:val="11"/>
                <w:szCs w:val="11"/>
                <w:spacing w:val="-1"/>
              </w:rPr>
              <w:t>普力克</w:t>
            </w:r>
          </w:p>
        </w:tc>
        <w:tc>
          <w:tcPr>
            <w:tcW w:w="1739" w:type="dxa"/>
            <w:vAlign w:val="top"/>
            <w:tcBorders>
              <w:bottom w:val="single" w:color="000000" w:sz="2" w:space="0"/>
              <w:top w:val="single" w:color="000000" w:sz="2" w:space="0"/>
            </w:tcBorders>
          </w:tcPr>
          <w:p>
            <w:pPr>
              <w:pStyle w:val="TableText"/>
              <w:ind w:left="554"/>
              <w:spacing w:before="181" w:line="220" w:lineRule="auto"/>
              <w:rPr>
                <w:sz w:val="11"/>
                <w:szCs w:val="11"/>
              </w:rPr>
            </w:pPr>
            <w:r>
              <w:rPr>
                <w:sz w:val="11"/>
                <w:szCs w:val="11"/>
                <w:spacing w:val="-1"/>
              </w:rPr>
              <w:t>72.2%丙酰胺</w:t>
            </w:r>
          </w:p>
        </w:tc>
        <w:tc>
          <w:tcPr>
            <w:tcW w:w="1869" w:type="dxa"/>
            <w:vAlign w:val="top"/>
            <w:tcBorders>
              <w:bottom w:val="single" w:color="000000" w:sz="2" w:space="0"/>
              <w:top w:val="single" w:color="000000" w:sz="2" w:space="0"/>
            </w:tcBorders>
          </w:tcPr>
          <w:p>
            <w:pPr>
              <w:pStyle w:val="TableText"/>
              <w:ind w:left="596"/>
              <w:spacing w:before="181" w:line="220" w:lineRule="auto"/>
              <w:rPr>
                <w:sz w:val="11"/>
                <w:szCs w:val="11"/>
              </w:rPr>
            </w:pPr>
            <w:r>
              <w:rPr>
                <w:sz w:val="11"/>
                <w:szCs w:val="11"/>
                <w:spacing w:val="-1"/>
              </w:rPr>
              <w:t>800-100D倍液</w:t>
            </w:r>
          </w:p>
        </w:tc>
        <w:tc>
          <w:tcPr>
            <w:tcW w:w="1329" w:type="dxa"/>
            <w:vAlign w:val="top"/>
            <w:tcBorders>
              <w:bottom w:val="single" w:color="000000" w:sz="2" w:space="0"/>
              <w:top w:val="single" w:color="000000" w:sz="2" w:space="0"/>
            </w:tcBorders>
          </w:tcPr>
          <w:p>
            <w:pPr>
              <w:pStyle w:val="TableText"/>
              <w:ind w:left="56"/>
              <w:spacing w:before="60" w:line="219" w:lineRule="auto"/>
              <w:rPr>
                <w:sz w:val="11"/>
                <w:szCs w:val="11"/>
              </w:rPr>
            </w:pPr>
            <w:r>
              <w:rPr>
                <w:sz w:val="11"/>
                <w:szCs w:val="11"/>
                <w:spacing w:val="-2"/>
              </w:rPr>
              <w:t>10天一次，连续喷酒病部</w:t>
            </w:r>
          </w:p>
          <w:p>
            <w:pPr>
              <w:pStyle w:val="TableText"/>
              <w:ind w:left="56"/>
              <w:spacing w:before="9" w:line="219" w:lineRule="auto"/>
              <w:rPr>
                <w:sz w:val="11"/>
                <w:szCs w:val="11"/>
              </w:rPr>
            </w:pPr>
            <w:r>
              <w:rPr>
                <w:sz w:val="11"/>
                <w:szCs w:val="11"/>
                <w:spacing w:val="-1"/>
              </w:rPr>
              <w:t>地面2-2次，唤药1小时内</w:t>
            </w:r>
          </w:p>
          <w:p>
            <w:pPr>
              <w:pStyle w:val="TableText"/>
              <w:ind w:left="327"/>
              <w:spacing w:line="219" w:lineRule="auto"/>
              <w:rPr>
                <w:sz w:val="11"/>
                <w:szCs w:val="11"/>
              </w:rPr>
            </w:pPr>
            <w:r>
              <w:rPr>
                <w:sz w:val="11"/>
                <w:szCs w:val="11"/>
                <w:spacing w:val="-1"/>
              </w:rPr>
              <w:t>遇雨，需重咬</w:t>
            </w:r>
          </w:p>
        </w:tc>
        <w:tc>
          <w:tcPr>
            <w:tcW w:w="650" w:type="dxa"/>
            <w:vAlign w:val="top"/>
            <w:tcBorders>
              <w:bottom w:val="single" w:color="000000" w:sz="2" w:space="0"/>
              <w:top w:val="single" w:color="000000" w:sz="2" w:space="0"/>
            </w:tcBorders>
          </w:tcPr>
          <w:p>
            <w:pPr>
              <w:pStyle w:val="TableText"/>
              <w:ind w:left="98"/>
              <w:spacing w:before="181" w:line="220" w:lineRule="auto"/>
              <w:rPr>
                <w:sz w:val="11"/>
                <w:szCs w:val="11"/>
              </w:rPr>
            </w:pPr>
            <w:r>
              <w:rPr>
                <w:sz w:val="11"/>
                <w:szCs w:val="11"/>
                <w:spacing w:val="-2"/>
              </w:rPr>
              <w:t>100ml/航</w:t>
            </w:r>
          </w:p>
        </w:tc>
        <w:tc>
          <w:tcPr>
            <w:tcW w:w="2943" w:type="dxa"/>
            <w:vAlign w:val="top"/>
            <w:tcBorders>
              <w:bottom w:val="single" w:color="000000" w:sz="2" w:space="0"/>
              <w:top w:val="single" w:color="000000" w:sz="2" w:space="0"/>
            </w:tcBorders>
          </w:tcPr>
          <w:p>
            <w:pPr>
              <w:pStyle w:val="TableText"/>
              <w:ind w:left="18"/>
              <w:spacing w:before="180" w:line="219" w:lineRule="auto"/>
              <w:rPr>
                <w:sz w:val="11"/>
                <w:szCs w:val="11"/>
              </w:rPr>
            </w:pPr>
            <w:r>
              <w:rPr>
                <w:sz w:val="11"/>
                <w:szCs w:val="11"/>
                <w:spacing w:val="-1"/>
              </w:rPr>
              <w:t>对根腐病、霜霉病、立枯病、弊倒病有特效</w:t>
            </w:r>
          </w:p>
        </w:tc>
      </w:tr>
      <w:tr>
        <w:trPr>
          <w:trHeight w:val="27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93"/>
              <w:spacing w:before="81" w:line="219" w:lineRule="auto"/>
              <w:rPr>
                <w:sz w:val="11"/>
                <w:szCs w:val="11"/>
              </w:rPr>
            </w:pPr>
            <w:r>
              <w:rPr>
                <w:sz w:val="11"/>
                <w:szCs w:val="11"/>
                <w:spacing w:val="-1"/>
              </w:rPr>
              <w:t>链霉素</w:t>
            </w:r>
          </w:p>
        </w:tc>
        <w:tc>
          <w:tcPr>
            <w:tcW w:w="1739" w:type="dxa"/>
            <w:vAlign w:val="top"/>
            <w:tcBorders>
              <w:bottom w:val="single" w:color="000000" w:sz="2" w:space="0"/>
              <w:top w:val="single" w:color="000000" w:sz="2" w:space="0"/>
            </w:tcBorders>
          </w:tcPr>
          <w:p>
            <w:pPr>
              <w:pStyle w:val="TableText"/>
              <w:ind w:left="644"/>
              <w:spacing w:before="81" w:line="219" w:lineRule="auto"/>
              <w:rPr>
                <w:sz w:val="11"/>
                <w:szCs w:val="11"/>
              </w:rPr>
            </w:pPr>
            <w:r>
              <w:rPr>
                <w:sz w:val="11"/>
                <w:szCs w:val="11"/>
                <w:spacing w:val="-2"/>
              </w:rPr>
              <w:t>72驻零素</w:t>
            </w:r>
          </w:p>
        </w:tc>
        <w:tc>
          <w:tcPr>
            <w:tcW w:w="1869" w:type="dxa"/>
            <w:vAlign w:val="top"/>
            <w:tcBorders>
              <w:bottom w:val="single" w:color="000000" w:sz="2" w:space="0"/>
              <w:top w:val="single" w:color="000000" w:sz="2" w:space="0"/>
            </w:tcBorders>
          </w:tcPr>
          <w:p>
            <w:pPr>
              <w:pStyle w:val="TableText"/>
              <w:ind w:left="736"/>
              <w:spacing w:before="81" w:line="220" w:lineRule="auto"/>
              <w:rPr>
                <w:sz w:val="11"/>
                <w:szCs w:val="11"/>
              </w:rPr>
            </w:pPr>
            <w:r>
              <w:rPr>
                <w:sz w:val="11"/>
                <w:szCs w:val="11"/>
                <w:spacing w:val="-1"/>
              </w:rPr>
              <w:t>000倍液</w:t>
            </w:r>
          </w:p>
        </w:tc>
        <w:tc>
          <w:tcPr>
            <w:tcW w:w="1329" w:type="dxa"/>
            <w:vAlign w:val="top"/>
            <w:tcBorders>
              <w:bottom w:val="single" w:color="000000" w:sz="2" w:space="0"/>
              <w:top w:val="single" w:color="000000" w:sz="2" w:space="0"/>
            </w:tcBorders>
          </w:tcPr>
          <w:p>
            <w:pPr>
              <w:pStyle w:val="TableText"/>
              <w:ind w:left="26"/>
              <w:spacing w:before="151" w:line="189" w:lineRule="auto"/>
              <w:rPr>
                <w:sz w:val="11"/>
                <w:szCs w:val="11"/>
              </w:rPr>
            </w:pPr>
            <w:r>
              <w:rPr>
                <w:sz w:val="11"/>
                <w:szCs w:val="11"/>
                <w:spacing w:val="-1"/>
              </w:rPr>
              <w:t>每10天喷施一次，连响3至</w:t>
            </w:r>
          </w:p>
        </w:tc>
        <w:tc>
          <w:tcPr>
            <w:tcW w:w="650" w:type="dxa"/>
            <w:vAlign w:val="top"/>
            <w:tcBorders>
              <w:bottom w:val="single" w:color="000000" w:sz="2" w:space="0"/>
              <w:top w:val="single" w:color="000000" w:sz="2" w:space="0"/>
            </w:tcBorders>
          </w:tcPr>
          <w:p>
            <w:pPr>
              <w:pStyle w:val="TableText"/>
              <w:ind w:left="158"/>
              <w:spacing w:before="78" w:line="213" w:lineRule="auto"/>
              <w:rPr>
                <w:sz w:val="11"/>
                <w:szCs w:val="11"/>
              </w:rPr>
            </w:pPr>
            <w:r>
              <w:rPr>
                <w:sz w:val="11"/>
                <w:szCs w:val="11"/>
                <w:spacing w:val="-2"/>
              </w:rPr>
              <w:t>15g/袋</w:t>
            </w:r>
          </w:p>
        </w:tc>
        <w:tc>
          <w:tcPr>
            <w:tcW w:w="2943" w:type="dxa"/>
            <w:vAlign w:val="top"/>
            <w:vMerge w:val="restart"/>
            <w:tcBorders>
              <w:bottom w:val="nil"/>
              <w:top w:val="single" w:color="000000" w:sz="2" w:space="0"/>
            </w:tcBorders>
          </w:tcPr>
          <w:p>
            <w:pPr>
              <w:pStyle w:val="TableText"/>
              <w:ind w:left="18"/>
              <w:spacing w:before="261" w:line="219" w:lineRule="auto"/>
              <w:rPr>
                <w:sz w:val="11"/>
                <w:szCs w:val="11"/>
              </w:rPr>
            </w:pPr>
            <w:r>
              <w:rPr>
                <w:sz w:val="11"/>
                <w:szCs w:val="11"/>
                <w:spacing w:val="-1"/>
              </w:rPr>
              <w:t>防治组面性穿孔病，对细菌性病害有特效</w:t>
            </w:r>
          </w:p>
        </w:tc>
      </w:tr>
      <w:tr>
        <w:trPr>
          <w:trHeight w:val="34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93"/>
              <w:spacing w:before="122" w:line="219" w:lineRule="auto"/>
              <w:rPr>
                <w:sz w:val="11"/>
                <w:szCs w:val="11"/>
              </w:rPr>
            </w:pPr>
            <w:r>
              <w:rPr>
                <w:sz w:val="11"/>
                <w:szCs w:val="11"/>
                <w:spacing w:val="-2"/>
              </w:rPr>
              <w:t>细菌灵</w:t>
            </w:r>
          </w:p>
        </w:tc>
        <w:tc>
          <w:tcPr>
            <w:tcW w:w="1739" w:type="dxa"/>
            <w:vAlign w:val="top"/>
            <w:tcBorders>
              <w:bottom w:val="single" w:color="000000" w:sz="2" w:space="0"/>
              <w:top w:val="single" w:color="000000" w:sz="2" w:space="0"/>
            </w:tcBorders>
          </w:tcPr>
          <w:p>
            <w:pPr>
              <w:pStyle w:val="TableText"/>
              <w:ind w:left="255"/>
              <w:spacing w:before="122" w:line="219" w:lineRule="auto"/>
              <w:rPr>
                <w:sz w:val="11"/>
                <w:szCs w:val="11"/>
              </w:rPr>
            </w:pPr>
            <w:r>
              <w:rPr>
                <w:sz w:val="11"/>
                <w:szCs w:val="11"/>
                <w:spacing w:val="-1"/>
              </w:rPr>
              <w:t>40%多菌灵，30%中生霉素</w:t>
            </w:r>
          </w:p>
        </w:tc>
        <w:tc>
          <w:tcPr>
            <w:tcW w:w="1869" w:type="dxa"/>
            <w:vAlign w:val="top"/>
            <w:tcBorders>
              <w:bottom w:val="single" w:color="000000" w:sz="2" w:space="0"/>
              <w:top w:val="single" w:color="000000" w:sz="2" w:space="0"/>
            </w:tcBorders>
          </w:tcPr>
          <w:p>
            <w:pPr>
              <w:pStyle w:val="TableText"/>
              <w:ind w:left="676"/>
              <w:spacing w:before="122" w:line="220" w:lineRule="auto"/>
              <w:rPr>
                <w:sz w:val="11"/>
                <w:szCs w:val="11"/>
              </w:rPr>
            </w:pPr>
            <w:r>
              <w:rPr>
                <w:sz w:val="11"/>
                <w:szCs w:val="11"/>
                <w:spacing w:val="-1"/>
              </w:rPr>
              <w:t>500-600倍</w:t>
            </w:r>
          </w:p>
        </w:tc>
        <w:tc>
          <w:tcPr>
            <w:tcW w:w="1329" w:type="dxa"/>
            <w:vAlign w:val="top"/>
            <w:tcBorders>
              <w:bottom w:val="single" w:color="000000" w:sz="2" w:space="0"/>
              <w:top w:val="single" w:color="000000" w:sz="2" w:space="0"/>
            </w:tcBorders>
          </w:tcPr>
          <w:p>
            <w:pPr>
              <w:pStyle w:val="TableText"/>
              <w:ind w:left="547"/>
              <w:spacing w:before="32" w:line="219" w:lineRule="auto"/>
              <w:rPr>
                <w:sz w:val="11"/>
                <w:szCs w:val="11"/>
              </w:rPr>
            </w:pPr>
            <w:r>
              <w:rPr>
                <w:sz w:val="11"/>
                <w:szCs w:val="11"/>
                <w:spacing w:val="-4"/>
              </w:rPr>
              <w:t>4次。</w:t>
            </w:r>
          </w:p>
        </w:tc>
        <w:tc>
          <w:tcPr>
            <w:tcW w:w="650" w:type="dxa"/>
            <w:vAlign w:val="top"/>
            <w:tcBorders>
              <w:bottom w:val="single" w:color="000000" w:sz="2" w:space="0"/>
              <w:top w:val="single" w:color="000000" w:sz="2" w:space="0"/>
            </w:tcBorders>
          </w:tcPr>
          <w:p>
            <w:pPr>
              <w:pStyle w:val="TableText"/>
              <w:ind w:left="158"/>
              <w:spacing w:before="118" w:line="213" w:lineRule="auto"/>
              <w:rPr>
                <w:sz w:val="11"/>
                <w:szCs w:val="11"/>
              </w:rPr>
            </w:pPr>
            <w:r>
              <w:rPr>
                <w:sz w:val="11"/>
                <w:szCs w:val="11"/>
                <w:spacing w:val="-1"/>
              </w:rPr>
              <w:t>25g/能</w:t>
            </w:r>
          </w:p>
        </w:tc>
        <w:tc>
          <w:tcPr>
            <w:tcW w:w="2943" w:type="dxa"/>
            <w:vAlign w:val="top"/>
            <w:vMerge w:val="continue"/>
            <w:tcBorders>
              <w:bottom w:val="single" w:color="000000" w:sz="2" w:space="0"/>
              <w:top w:val="nil"/>
            </w:tcBorders>
          </w:tcPr>
          <w:p>
            <w:pPr>
              <w:rPr>
                <w:rFonts w:ascii="Arial"/>
                <w:sz w:val="21"/>
              </w:rPr>
            </w:pPr>
            <w:r/>
          </w:p>
        </w:tc>
      </w:tr>
      <w:tr>
        <w:trPr>
          <w:trHeight w:val="334" w:hRule="atLeast"/>
        </w:trPr>
        <w:tc>
          <w:tcPr>
            <w:tcW w:w="365" w:type="dxa"/>
            <w:vAlign w:val="top"/>
            <w:vMerge w:val="continue"/>
            <w:tcBorders>
              <w:bottom w:val="single" w:color="000000" w:sz="2" w:space="0"/>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single" w:color="000000" w:sz="2" w:space="0"/>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93"/>
              <w:spacing w:before="112" w:line="219" w:lineRule="auto"/>
              <w:rPr>
                <w:sz w:val="11"/>
                <w:szCs w:val="11"/>
              </w:rPr>
            </w:pPr>
            <w:r>
              <w:rPr>
                <w:sz w:val="11"/>
                <w:szCs w:val="11"/>
                <w:spacing w:val="-2"/>
              </w:rPr>
              <w:t>植病灵</w:t>
            </w:r>
          </w:p>
        </w:tc>
        <w:tc>
          <w:tcPr>
            <w:tcW w:w="1739" w:type="dxa"/>
            <w:vAlign w:val="top"/>
            <w:tcBorders>
              <w:bottom w:val="single" w:color="000000" w:sz="2" w:space="0"/>
              <w:top w:val="single" w:color="000000" w:sz="2" w:space="0"/>
            </w:tcBorders>
          </w:tcPr>
          <w:p>
            <w:pPr>
              <w:pStyle w:val="TableText"/>
              <w:ind w:left="315"/>
              <w:spacing w:before="113" w:line="221" w:lineRule="auto"/>
              <w:rPr>
                <w:sz w:val="11"/>
                <w:szCs w:val="11"/>
              </w:rPr>
            </w:pPr>
            <w:r>
              <w:rPr>
                <w:sz w:val="11"/>
                <w:szCs w:val="11"/>
                <w:spacing w:val="-1"/>
              </w:rPr>
              <w:t>盐酸金刚乙肢、肉环唑</w:t>
            </w:r>
          </w:p>
        </w:tc>
        <w:tc>
          <w:tcPr>
            <w:tcW w:w="1869" w:type="dxa"/>
            <w:vAlign w:val="top"/>
            <w:tcBorders>
              <w:bottom w:val="single" w:color="000000" w:sz="2" w:space="0"/>
              <w:top w:val="single" w:color="000000" w:sz="2" w:space="0"/>
            </w:tcBorders>
          </w:tcPr>
          <w:p>
            <w:pPr>
              <w:pStyle w:val="TableText"/>
              <w:ind w:left="736"/>
              <w:spacing w:before="112" w:line="220" w:lineRule="auto"/>
              <w:rPr>
                <w:sz w:val="11"/>
                <w:szCs w:val="11"/>
              </w:rPr>
            </w:pPr>
            <w:r>
              <w:rPr>
                <w:sz w:val="11"/>
                <w:szCs w:val="11"/>
                <w:spacing w:val="-1"/>
              </w:rPr>
              <w:t>800倍液</w:t>
            </w:r>
          </w:p>
        </w:tc>
        <w:tc>
          <w:tcPr>
            <w:tcW w:w="1329" w:type="dxa"/>
            <w:vAlign w:val="top"/>
            <w:tcBorders>
              <w:bottom w:val="single" w:color="000000" w:sz="2" w:space="0"/>
              <w:top w:val="single" w:color="000000" w:sz="2" w:space="0"/>
            </w:tcBorders>
          </w:tcPr>
          <w:p>
            <w:pPr>
              <w:pStyle w:val="TableText"/>
              <w:ind w:left="16" w:right="33" w:firstLine="9"/>
              <w:spacing w:before="63" w:line="219" w:lineRule="auto"/>
              <w:rPr>
                <w:sz w:val="11"/>
                <w:szCs w:val="11"/>
              </w:rPr>
            </w:pPr>
            <w:r>
              <w:rPr>
                <w:sz w:val="11"/>
                <w:szCs w:val="11"/>
                <w:spacing w:val="-1"/>
              </w:rPr>
              <w:t>发病初期，每5-7天喷施一</w:t>
            </w:r>
            <w:r>
              <w:rPr>
                <w:sz w:val="11"/>
                <w:szCs w:val="11"/>
                <w:spacing w:val="5"/>
              </w:rPr>
              <w:t xml:space="preserve"> </w:t>
            </w:r>
            <w:r>
              <w:rPr>
                <w:sz w:val="11"/>
                <w:szCs w:val="11"/>
              </w:rPr>
              <w:t>次，喷3遍。可减轻危害。</w:t>
            </w:r>
          </w:p>
        </w:tc>
        <w:tc>
          <w:tcPr>
            <w:tcW w:w="650" w:type="dxa"/>
            <w:vAlign w:val="top"/>
            <w:tcBorders>
              <w:bottom w:val="single" w:color="000000" w:sz="2" w:space="0"/>
              <w:top w:val="single" w:color="000000" w:sz="2" w:space="0"/>
            </w:tcBorders>
          </w:tcPr>
          <w:p>
            <w:pPr>
              <w:pStyle w:val="TableText"/>
              <w:ind w:left="128"/>
              <w:spacing w:before="113" w:line="221" w:lineRule="auto"/>
              <w:rPr>
                <w:sz w:val="11"/>
                <w:szCs w:val="11"/>
              </w:rPr>
            </w:pPr>
            <w:r>
              <w:rPr>
                <w:sz w:val="11"/>
                <w:szCs w:val="11"/>
                <w:spacing w:val="-2"/>
              </w:rPr>
              <w:t>15ml/瓶</w:t>
            </w:r>
          </w:p>
        </w:tc>
        <w:tc>
          <w:tcPr>
            <w:tcW w:w="2943" w:type="dxa"/>
            <w:vAlign w:val="top"/>
            <w:tcBorders>
              <w:bottom w:val="single" w:color="000000" w:sz="2" w:space="0"/>
              <w:top w:val="single" w:color="000000" w:sz="2" w:space="0"/>
            </w:tcBorders>
          </w:tcPr>
          <w:p>
            <w:pPr>
              <w:pStyle w:val="TableText"/>
              <w:ind w:left="18"/>
              <w:spacing w:before="112" w:line="219" w:lineRule="auto"/>
              <w:rPr>
                <w:sz w:val="11"/>
                <w:szCs w:val="11"/>
              </w:rPr>
            </w:pPr>
            <w:r>
              <w:rPr>
                <w:sz w:val="11"/>
                <w:szCs w:val="11"/>
                <w:spacing w:val="-1"/>
              </w:rPr>
              <w:t>防治花叶痛，对病毒性病害有特效</w:t>
            </w:r>
          </w:p>
        </w:tc>
      </w:tr>
      <w:tr>
        <w:trPr>
          <w:trHeight w:val="474" w:hRule="atLeast"/>
        </w:trPr>
        <w:tc>
          <w:tcPr>
            <w:tcW w:w="365" w:type="dxa"/>
            <w:vAlign w:val="top"/>
            <w:vMerge w:val="restart"/>
            <w:tcBorders>
              <w:bottom w:val="nil"/>
              <w:top w:val="single" w:color="000000" w:sz="2" w:space="0"/>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4"/>
              <w:spacing w:before="36" w:line="218" w:lineRule="auto"/>
              <w:rPr>
                <w:sz w:val="11"/>
                <w:szCs w:val="11"/>
              </w:rPr>
            </w:pPr>
            <w:r>
              <w:rPr>
                <w:sz w:val="11"/>
                <w:szCs w:val="11"/>
                <w:spacing w:val="-2"/>
              </w:rPr>
              <w:t>柔虫剂</w:t>
            </w:r>
          </w:p>
        </w:tc>
        <w:tc>
          <w:tcPr>
            <w:tcW w:w="529" w:type="dxa"/>
            <w:vAlign w:val="top"/>
            <w:vMerge w:val="restart"/>
            <w:tcBorders>
              <w:bottom w:val="nil"/>
              <w:top w:val="single" w:color="000000" w:sz="2" w:space="0"/>
            </w:tcBorders>
          </w:tcPr>
          <w:p>
            <w:pPr>
              <w:spacing w:line="404" w:lineRule="auto"/>
              <w:rPr>
                <w:rFonts w:ascii="Arial"/>
                <w:sz w:val="21"/>
              </w:rPr>
            </w:pPr>
            <w:r/>
          </w:p>
          <w:p>
            <w:pPr>
              <w:pStyle w:val="TableText"/>
              <w:ind w:left="30"/>
              <w:spacing w:before="36" w:line="219" w:lineRule="auto"/>
              <w:rPr>
                <w:sz w:val="11"/>
                <w:szCs w:val="11"/>
              </w:rPr>
            </w:pPr>
            <w:r>
              <w:rPr>
                <w:sz w:val="11"/>
                <w:szCs w:val="11"/>
                <w:spacing w:val="1"/>
              </w:rPr>
              <w:t>自叶害虫</w:t>
            </w:r>
          </w:p>
        </w:tc>
        <w:tc>
          <w:tcPr>
            <w:tcW w:w="879" w:type="dxa"/>
            <w:vAlign w:val="top"/>
            <w:vMerge w:val="restart"/>
            <w:tcBorders>
              <w:bottom w:val="nil"/>
              <w:top w:val="single" w:color="000000" w:sz="2" w:space="0"/>
            </w:tcBorders>
          </w:tcPr>
          <w:p>
            <w:pPr>
              <w:pStyle w:val="TableText"/>
              <w:ind w:left="40"/>
              <w:spacing w:before="192" w:line="218" w:lineRule="auto"/>
              <w:rPr>
                <w:sz w:val="11"/>
                <w:szCs w:val="11"/>
              </w:rPr>
            </w:pPr>
            <w:r>
              <w:rPr>
                <w:sz w:val="11"/>
                <w:szCs w:val="11"/>
                <w:spacing w:val="-1"/>
              </w:rPr>
              <w:t>粘虫，天幕毛三</w:t>
            </w:r>
          </w:p>
          <w:p>
            <w:pPr>
              <w:pStyle w:val="TableText"/>
              <w:ind w:left="40"/>
              <w:spacing w:line="217" w:lineRule="auto"/>
              <w:rPr>
                <w:sz w:val="11"/>
                <w:szCs w:val="11"/>
              </w:rPr>
            </w:pPr>
            <w:r>
              <w:rPr>
                <w:sz w:val="11"/>
                <w:szCs w:val="11"/>
                <w:spacing w:val="-2"/>
              </w:rPr>
              <w:t>、叶甲、舞百频</w:t>
            </w:r>
          </w:p>
          <w:p>
            <w:pPr>
              <w:pStyle w:val="TableText"/>
              <w:ind w:left="131"/>
              <w:spacing w:line="218" w:lineRule="auto"/>
              <w:rPr>
                <w:sz w:val="11"/>
                <w:szCs w:val="11"/>
              </w:rPr>
            </w:pPr>
            <w:r>
              <w:rPr>
                <w:sz w:val="11"/>
                <w:szCs w:val="11"/>
                <w:spacing w:val="-1"/>
              </w:rPr>
              <w:t>尺燃、美国白</w:t>
            </w:r>
          </w:p>
          <w:p>
            <w:pPr>
              <w:pStyle w:val="TableText"/>
              <w:ind w:left="20"/>
              <w:spacing w:line="219" w:lineRule="auto"/>
              <w:rPr>
                <w:sz w:val="11"/>
                <w:szCs w:val="11"/>
              </w:rPr>
            </w:pPr>
            <w:r>
              <w:rPr>
                <w:sz w:val="11"/>
                <w:szCs w:val="11"/>
                <w:spacing w:val="-1"/>
              </w:rPr>
              <w:t>蛾、衰蝶，刺</w:t>
            </w:r>
          </w:p>
          <w:p>
            <w:pPr>
              <w:pStyle w:val="TableText"/>
              <w:ind w:left="211"/>
              <w:spacing w:before="9" w:line="219" w:lineRule="auto"/>
              <w:rPr>
                <w:sz w:val="11"/>
                <w:szCs w:val="11"/>
              </w:rPr>
            </w:pPr>
            <w:r>
              <w:rPr>
                <w:sz w:val="11"/>
                <w:szCs w:val="11"/>
                <w:spacing w:val="-4"/>
              </w:rPr>
              <w:t>、蝶蛾等</w:t>
            </w:r>
          </w:p>
        </w:tc>
        <w:tc>
          <w:tcPr>
            <w:tcW w:w="2458" w:type="dxa"/>
            <w:vAlign w:val="top"/>
            <w:vMerge w:val="restart"/>
            <w:tcBorders>
              <w:bottom w:val="nil"/>
              <w:top w:val="single" w:color="000000" w:sz="2" w:space="0"/>
            </w:tcBorders>
          </w:tcPr>
          <w:p>
            <w:pPr>
              <w:pStyle w:val="TableText"/>
              <w:ind w:left="2"/>
              <w:spacing w:before="133" w:line="218" w:lineRule="auto"/>
              <w:rPr>
                <w:sz w:val="11"/>
                <w:szCs w:val="11"/>
              </w:rPr>
            </w:pPr>
            <w:r>
              <w:rPr>
                <w:sz w:val="11"/>
                <w:szCs w:val="11"/>
                <w:spacing w:val="-2"/>
              </w:rPr>
              <w:t>一、4月预防消杀为主，在进入雨季，高发季前全园</w:t>
            </w:r>
            <w:r>
              <w:rPr>
                <w:sz w:val="11"/>
                <w:szCs w:val="11"/>
                <w:spacing w:val="15"/>
                <w:w w:val="101"/>
              </w:rPr>
              <w:t xml:space="preserve"> </w:t>
            </w:r>
            <w:r>
              <w:rPr>
                <w:sz w:val="11"/>
                <w:szCs w:val="11"/>
                <w:spacing w:val="-1"/>
              </w:rPr>
              <w:t>区消杀虫卵，幼虫、蛹：</w:t>
            </w:r>
          </w:p>
          <w:p>
            <w:pPr>
              <w:pStyle w:val="TableText"/>
              <w:ind w:left="2" w:right="31"/>
              <w:spacing w:before="9" w:line="210" w:lineRule="auto"/>
              <w:rPr>
                <w:sz w:val="11"/>
                <w:szCs w:val="11"/>
              </w:rPr>
            </w:pPr>
            <w:r>
              <w:rPr>
                <w:sz w:val="11"/>
                <w:szCs w:val="11"/>
                <w:spacing w:val="-1"/>
              </w:rPr>
              <w:t>二.5月是大本分害虫成蛹或羽化期，采取人工如药</w:t>
            </w:r>
            <w:r>
              <w:rPr>
                <w:sz w:val="11"/>
                <w:szCs w:val="11"/>
                <w:spacing w:val="15"/>
                <w:w w:val="101"/>
              </w:rPr>
              <w:t xml:space="preserve"> </w:t>
            </w:r>
            <w:r>
              <w:rPr>
                <w:sz w:val="11"/>
                <w:szCs w:val="11"/>
              </w:rPr>
              <w:t>物双重治疗除卵，除蛹，除成虫：</w:t>
            </w:r>
          </w:p>
          <w:p>
            <w:pPr>
              <w:pStyle w:val="TableText"/>
              <w:ind w:left="2"/>
              <w:spacing w:before="8" w:line="219" w:lineRule="auto"/>
              <w:rPr>
                <w:sz w:val="11"/>
                <w:szCs w:val="11"/>
              </w:rPr>
            </w:pPr>
            <w:r>
              <w:rPr>
                <w:sz w:val="11"/>
                <w:szCs w:val="11"/>
                <w:spacing w:val="-2"/>
              </w:rPr>
              <w:t>三、610县个月为均有零星出现，有发现病情，及时</w:t>
            </w:r>
            <w:r>
              <w:rPr>
                <w:sz w:val="11"/>
                <w:szCs w:val="11"/>
                <w:spacing w:val="17"/>
                <w:w w:val="101"/>
              </w:rPr>
              <w:t xml:space="preserve"> </w:t>
            </w:r>
            <w:r>
              <w:rPr>
                <w:sz w:val="11"/>
                <w:szCs w:val="11"/>
              </w:rPr>
              <w:t>唤药处理。</w:t>
            </w:r>
          </w:p>
        </w:tc>
        <w:tc>
          <w:tcPr>
            <w:tcW w:w="1339" w:type="dxa"/>
            <w:vAlign w:val="top"/>
            <w:tcBorders>
              <w:bottom w:val="single" w:color="000000" w:sz="2" w:space="0"/>
              <w:top w:val="single" w:color="000000" w:sz="2" w:space="0"/>
            </w:tcBorders>
          </w:tcPr>
          <w:p>
            <w:pPr>
              <w:pStyle w:val="TableText"/>
              <w:ind w:left="443"/>
              <w:spacing w:before="183" w:line="219" w:lineRule="auto"/>
              <w:rPr>
                <w:sz w:val="11"/>
                <w:szCs w:val="11"/>
              </w:rPr>
            </w:pPr>
            <w:r>
              <w:rPr>
                <w:sz w:val="11"/>
                <w:szCs w:val="11"/>
                <w:spacing w:val="-3"/>
              </w:rPr>
              <w:t>国光毒枪</w:t>
            </w:r>
          </w:p>
        </w:tc>
        <w:tc>
          <w:tcPr>
            <w:tcW w:w="1739" w:type="dxa"/>
            <w:vAlign w:val="top"/>
            <w:tcBorders>
              <w:bottom w:val="single" w:color="000000" w:sz="2" w:space="0"/>
              <w:top w:val="single" w:color="000000" w:sz="2" w:space="0"/>
            </w:tcBorders>
          </w:tcPr>
          <w:p>
            <w:pPr>
              <w:pStyle w:val="TableText"/>
              <w:ind w:left="335"/>
              <w:spacing w:before="183" w:line="219" w:lineRule="auto"/>
              <w:rPr>
                <w:sz w:val="11"/>
                <w:szCs w:val="11"/>
              </w:rPr>
            </w:pPr>
            <w:r>
              <w:rPr>
                <w:sz w:val="11"/>
                <w:szCs w:val="11"/>
                <w:spacing w:val="-3"/>
              </w:rPr>
              <w:t>45%丙溴</w:t>
            </w:r>
            <w:r>
              <w:rPr>
                <w:sz w:val="11"/>
                <w:szCs w:val="11"/>
                <w:spacing w:val="-7"/>
              </w:rPr>
              <w:t xml:space="preserve"> </w:t>
            </w:r>
            <w:r>
              <w:rPr>
                <w:sz w:val="11"/>
                <w:szCs w:val="11"/>
                <w:spacing w:val="-3"/>
              </w:rPr>
              <w:t>·辛硫磷乳油</w:t>
            </w:r>
          </w:p>
        </w:tc>
        <w:tc>
          <w:tcPr>
            <w:tcW w:w="1869" w:type="dxa"/>
            <w:vAlign w:val="top"/>
            <w:tcBorders>
              <w:bottom w:val="single" w:color="000000" w:sz="2" w:space="0"/>
              <w:top w:val="single" w:color="000000" w:sz="2" w:space="0"/>
            </w:tcBorders>
          </w:tcPr>
          <w:p>
            <w:pPr>
              <w:pStyle w:val="TableText"/>
              <w:ind w:left="455"/>
              <w:spacing w:before="183" w:line="219" w:lineRule="auto"/>
              <w:rPr>
                <w:sz w:val="11"/>
                <w:szCs w:val="11"/>
              </w:rPr>
            </w:pPr>
            <w:r>
              <w:rPr>
                <w:sz w:val="11"/>
                <w:szCs w:val="11"/>
                <w:spacing w:val="-1"/>
              </w:rPr>
              <w:t>稀释2000-3000倍液</w:t>
            </w:r>
          </w:p>
        </w:tc>
        <w:tc>
          <w:tcPr>
            <w:tcW w:w="1329" w:type="dxa"/>
            <w:vAlign w:val="top"/>
            <w:tcBorders>
              <w:bottom w:val="single" w:color="000000" w:sz="2" w:space="0"/>
              <w:top w:val="single" w:color="000000" w:sz="2" w:space="0"/>
            </w:tcBorders>
          </w:tcPr>
          <w:p>
            <w:pPr>
              <w:spacing w:line="314" w:lineRule="auto"/>
              <w:rPr>
                <w:rFonts w:ascii="Arial"/>
                <w:sz w:val="21"/>
              </w:rPr>
            </w:pPr>
            <w:r/>
          </w:p>
          <w:p>
            <w:pPr>
              <w:pStyle w:val="TableText"/>
              <w:ind w:left="56"/>
              <w:spacing w:before="36" w:line="187" w:lineRule="auto"/>
              <w:rPr>
                <w:sz w:val="11"/>
                <w:szCs w:val="11"/>
              </w:rPr>
            </w:pPr>
            <w:r>
              <w:rPr>
                <w:sz w:val="11"/>
                <w:szCs w:val="11"/>
                <w:spacing w:val="-1"/>
              </w:rPr>
              <w:t>一般用3次，时间间隔7到</w:t>
            </w:r>
          </w:p>
        </w:tc>
        <w:tc>
          <w:tcPr>
            <w:tcW w:w="650" w:type="dxa"/>
            <w:vAlign w:val="top"/>
            <w:tcBorders>
              <w:bottom w:val="single" w:color="000000" w:sz="2" w:space="0"/>
              <w:top w:val="single" w:color="000000" w:sz="2" w:space="0"/>
            </w:tcBorders>
          </w:tcPr>
          <w:p>
            <w:pPr>
              <w:pStyle w:val="TableText"/>
              <w:ind w:left="237" w:right="150" w:hanging="109"/>
              <w:spacing w:before="144" w:line="210" w:lineRule="auto"/>
              <w:rPr>
                <w:sz w:val="11"/>
                <w:szCs w:val="11"/>
              </w:rPr>
            </w:pPr>
            <w:r>
              <w:rPr>
                <w:sz w:val="11"/>
                <w:szCs w:val="11"/>
                <w:spacing w:val="-4"/>
              </w:rPr>
              <w:t>(200ml/</w:t>
            </w:r>
            <w:r>
              <w:rPr>
                <w:sz w:val="11"/>
                <w:szCs w:val="11"/>
                <w:spacing w:val="3"/>
              </w:rPr>
              <w:t xml:space="preserve"> </w:t>
            </w:r>
            <w:r>
              <w:rPr>
                <w:sz w:val="11"/>
                <w:szCs w:val="11"/>
                <w:spacing w:val="9"/>
              </w:rPr>
              <w:t>瓶)</w:t>
            </w:r>
          </w:p>
        </w:tc>
        <w:tc>
          <w:tcPr>
            <w:tcW w:w="2943" w:type="dxa"/>
            <w:vAlign w:val="top"/>
            <w:tcBorders>
              <w:bottom w:val="single" w:color="000000" w:sz="2" w:space="0"/>
              <w:top w:val="single" w:color="000000" w:sz="2" w:space="0"/>
            </w:tcBorders>
          </w:tcPr>
          <w:p>
            <w:pPr>
              <w:pStyle w:val="TableText"/>
              <w:ind w:left="18"/>
              <w:spacing w:before="183" w:line="219" w:lineRule="auto"/>
              <w:rPr>
                <w:sz w:val="11"/>
                <w:szCs w:val="11"/>
              </w:rPr>
            </w:pPr>
            <w:r>
              <w:rPr>
                <w:sz w:val="11"/>
                <w:szCs w:val="11"/>
                <w:spacing w:val="-1"/>
              </w:rPr>
              <w:t>高渗透性，杀卷叶虫、包叶虫、斑潜蝇等</w:t>
            </w:r>
          </w:p>
        </w:tc>
      </w:tr>
      <w:tr>
        <w:trPr>
          <w:trHeight w:val="50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single" w:color="000000" w:sz="2" w:space="0"/>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93"/>
              <w:spacing w:before="203" w:line="219" w:lineRule="auto"/>
              <w:rPr>
                <w:sz w:val="11"/>
                <w:szCs w:val="11"/>
              </w:rPr>
            </w:pPr>
            <w:r>
              <w:rPr>
                <w:sz w:val="11"/>
                <w:szCs w:val="11"/>
                <w:spacing w:val="2"/>
              </w:rPr>
              <w:t>国光毒</w:t>
            </w:r>
          </w:p>
        </w:tc>
        <w:tc>
          <w:tcPr>
            <w:tcW w:w="1739" w:type="dxa"/>
            <w:vAlign w:val="top"/>
            <w:tcBorders>
              <w:bottom w:val="single" w:color="000000" w:sz="2" w:space="0"/>
              <w:top w:val="single" w:color="000000" w:sz="2" w:space="0"/>
            </w:tcBorders>
          </w:tcPr>
          <w:p>
            <w:pPr>
              <w:pStyle w:val="TableText"/>
              <w:ind w:left="445"/>
              <w:spacing w:before="203" w:line="219" w:lineRule="auto"/>
              <w:rPr>
                <w:sz w:val="11"/>
                <w:szCs w:val="11"/>
              </w:rPr>
            </w:pPr>
            <w:r>
              <w:rPr>
                <w:sz w:val="11"/>
                <w:szCs w:val="11"/>
                <w:spacing w:val="1"/>
              </w:rPr>
              <w:t>20%氰戊菊酣乳油</w:t>
            </w:r>
          </w:p>
        </w:tc>
        <w:tc>
          <w:tcPr>
            <w:tcW w:w="1869" w:type="dxa"/>
            <w:vAlign w:val="top"/>
            <w:tcBorders>
              <w:bottom w:val="single" w:color="000000" w:sz="2" w:space="0"/>
              <w:top w:val="single" w:color="000000" w:sz="2" w:space="0"/>
            </w:tcBorders>
          </w:tcPr>
          <w:p>
            <w:pPr>
              <w:pStyle w:val="TableText"/>
              <w:ind w:left="455"/>
              <w:spacing w:before="203" w:line="219" w:lineRule="auto"/>
              <w:rPr>
                <w:sz w:val="11"/>
                <w:szCs w:val="11"/>
              </w:rPr>
            </w:pPr>
            <w:r>
              <w:rPr>
                <w:sz w:val="11"/>
                <w:szCs w:val="11"/>
                <w:spacing w:val="-1"/>
              </w:rPr>
              <w:t>稀释2000-3000倍液</w:t>
            </w:r>
          </w:p>
        </w:tc>
        <w:tc>
          <w:tcPr>
            <w:tcW w:w="1329" w:type="dxa"/>
            <w:vAlign w:val="top"/>
            <w:tcBorders>
              <w:bottom w:val="single" w:color="000000" w:sz="2" w:space="0"/>
              <w:top w:val="single" w:color="000000" w:sz="2" w:space="0"/>
            </w:tcBorders>
          </w:tcPr>
          <w:p>
            <w:pPr>
              <w:pStyle w:val="TableText"/>
              <w:ind w:left="547"/>
              <w:spacing w:before="33" w:line="220" w:lineRule="auto"/>
              <w:rPr>
                <w:sz w:val="11"/>
                <w:szCs w:val="11"/>
              </w:rPr>
            </w:pPr>
            <w:r>
              <w:rPr>
                <w:sz w:val="11"/>
                <w:szCs w:val="11"/>
                <w:spacing w:val="-3"/>
              </w:rPr>
              <w:t>10天</w:t>
            </w:r>
          </w:p>
        </w:tc>
        <w:tc>
          <w:tcPr>
            <w:tcW w:w="650" w:type="dxa"/>
            <w:vAlign w:val="top"/>
            <w:tcBorders>
              <w:bottom w:val="single" w:color="000000" w:sz="2" w:space="0"/>
              <w:top w:val="single" w:color="000000" w:sz="2" w:space="0"/>
            </w:tcBorders>
          </w:tcPr>
          <w:p>
            <w:pPr>
              <w:pStyle w:val="TableText"/>
              <w:ind w:left="237" w:right="150" w:hanging="109"/>
              <w:spacing w:before="155" w:line="210" w:lineRule="auto"/>
              <w:rPr>
                <w:sz w:val="11"/>
                <w:szCs w:val="11"/>
              </w:rPr>
            </w:pPr>
            <w:r>
              <w:rPr>
                <w:sz w:val="11"/>
                <w:szCs w:val="11"/>
                <w:spacing w:val="-4"/>
              </w:rPr>
              <w:t>(200ml/</w:t>
            </w:r>
            <w:r>
              <w:rPr>
                <w:sz w:val="11"/>
                <w:szCs w:val="11"/>
                <w:spacing w:val="3"/>
              </w:rPr>
              <w:t xml:space="preserve"> </w:t>
            </w:r>
            <w:r>
              <w:rPr>
                <w:sz w:val="11"/>
                <w:szCs w:val="11"/>
                <w:spacing w:val="9"/>
              </w:rPr>
              <w:t>瓶)</w:t>
            </w:r>
          </w:p>
        </w:tc>
        <w:tc>
          <w:tcPr>
            <w:tcW w:w="2943" w:type="dxa"/>
            <w:vAlign w:val="top"/>
            <w:tcBorders>
              <w:bottom w:val="single" w:color="000000" w:sz="2" w:space="0"/>
              <w:top w:val="single" w:color="000000" w:sz="2" w:space="0"/>
            </w:tcBorders>
          </w:tcPr>
          <w:p>
            <w:pPr>
              <w:pStyle w:val="TableText"/>
              <w:ind w:left="18"/>
              <w:spacing w:before="203" w:line="218" w:lineRule="auto"/>
              <w:rPr>
                <w:sz w:val="11"/>
                <w:szCs w:val="11"/>
              </w:rPr>
            </w:pPr>
            <w:r>
              <w:rPr>
                <w:sz w:val="11"/>
                <w:szCs w:val="11"/>
                <w:spacing w:val="-1"/>
              </w:rPr>
              <w:t>高效广语，长效杀虫剂，杀食叶性害虫特效</w:t>
            </w:r>
          </w:p>
        </w:tc>
      </w:tr>
      <w:tr>
        <w:trPr>
          <w:trHeight w:val="274" w:hRule="atLeast"/>
        </w:trPr>
        <w:tc>
          <w:tcPr>
            <w:tcW w:w="36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pStyle w:val="TableText"/>
              <w:ind w:left="30"/>
              <w:spacing w:before="233" w:line="219" w:lineRule="auto"/>
              <w:rPr>
                <w:sz w:val="11"/>
                <w:szCs w:val="11"/>
              </w:rPr>
            </w:pPr>
            <w:r>
              <w:rPr>
                <w:sz w:val="11"/>
                <w:szCs w:val="11"/>
                <w:spacing w:val="-1"/>
              </w:rPr>
              <w:t>刺吸害虫</w:t>
            </w:r>
          </w:p>
        </w:tc>
        <w:tc>
          <w:tcPr>
            <w:tcW w:w="879" w:type="dxa"/>
            <w:vAlign w:val="top"/>
            <w:vMerge w:val="restart"/>
            <w:tcBorders>
              <w:bottom w:val="nil"/>
              <w:top w:val="single" w:color="000000" w:sz="2" w:space="0"/>
            </w:tcBorders>
          </w:tcPr>
          <w:p>
            <w:pPr>
              <w:pStyle w:val="TableText"/>
              <w:ind w:left="60" w:right="41" w:firstLine="9"/>
              <w:spacing w:before="174" w:line="210" w:lineRule="auto"/>
              <w:rPr>
                <w:sz w:val="11"/>
                <w:szCs w:val="11"/>
              </w:rPr>
            </w:pPr>
            <w:r>
              <w:rPr>
                <w:sz w:val="11"/>
                <w:szCs w:val="11"/>
                <w:spacing w:val="-2"/>
              </w:rPr>
              <w:t>螺坚蚧、腊蚧。</w:t>
            </w:r>
            <w:r>
              <w:rPr>
                <w:sz w:val="11"/>
                <w:szCs w:val="11"/>
              </w:rPr>
              <w:t xml:space="preserve"> </w:t>
            </w:r>
            <w:r>
              <w:rPr>
                <w:sz w:val="11"/>
                <w:szCs w:val="11"/>
                <w:spacing w:val="-1"/>
              </w:rPr>
              <w:t>粉蚧、吹捐蚧等</w:t>
            </w:r>
          </w:p>
        </w:tc>
        <w:tc>
          <w:tcPr>
            <w:tcW w:w="2458" w:type="dxa"/>
            <w:vAlign w:val="top"/>
            <w:vMerge w:val="restart"/>
            <w:tcBorders>
              <w:bottom w:val="nil"/>
              <w:top w:val="single" w:color="000000" w:sz="2" w:space="0"/>
            </w:tcBorders>
          </w:tcPr>
          <w:p>
            <w:pPr>
              <w:pStyle w:val="TableText"/>
              <w:ind w:left="2" w:right="185"/>
              <w:spacing w:before="13" w:line="235" w:lineRule="auto"/>
              <w:rPr>
                <w:sz w:val="11"/>
                <w:szCs w:val="11"/>
              </w:rPr>
            </w:pPr>
            <w:r>
              <w:rPr>
                <w:sz w:val="11"/>
                <w:szCs w:val="11"/>
              </w:rPr>
              <w:t>、4月己经有成虫出现，配合春季消杀，预防为</w:t>
            </w:r>
            <w:r>
              <w:rPr>
                <w:sz w:val="11"/>
                <w:szCs w:val="11"/>
                <w:spacing w:val="4"/>
              </w:rPr>
              <w:t xml:space="preserve"> </w:t>
            </w:r>
            <w:r>
              <w:rPr>
                <w:sz w:val="11"/>
                <w:szCs w:val="11"/>
                <w:spacing w:val="-3"/>
              </w:rPr>
              <w:t>主</w:t>
            </w:r>
            <w:r>
              <w:rPr>
                <w:sz w:val="11"/>
                <w:szCs w:val="11"/>
                <w:spacing w:val="-20"/>
              </w:rPr>
              <w:t xml:space="preserve"> </w:t>
            </w:r>
            <w:r>
              <w:rPr>
                <w:sz w:val="11"/>
                <w:szCs w:val="11"/>
                <w:spacing w:val="-3"/>
              </w:rPr>
              <w:t>：</w:t>
            </w:r>
          </w:p>
          <w:p>
            <w:pPr>
              <w:pStyle w:val="TableText"/>
              <w:ind w:left="2" w:right="31"/>
              <w:spacing w:line="214" w:lineRule="auto"/>
              <w:rPr>
                <w:sz w:val="11"/>
                <w:szCs w:val="11"/>
              </w:rPr>
            </w:pPr>
            <w:r>
              <w:rPr>
                <w:sz w:val="11"/>
                <w:szCs w:val="11"/>
                <w:spacing w:val="-1"/>
              </w:rPr>
              <w:t>二、5-10月均有零星出现，有发现病情。及时喷药</w:t>
            </w:r>
            <w:r>
              <w:rPr>
                <w:sz w:val="11"/>
                <w:szCs w:val="11"/>
                <w:spacing w:val="16"/>
                <w:w w:val="101"/>
              </w:rPr>
              <w:t xml:space="preserve"> </w:t>
            </w:r>
            <w:r>
              <w:rPr>
                <w:sz w:val="11"/>
                <w:szCs w:val="11"/>
                <w:spacing w:val="1"/>
              </w:rPr>
              <w:t>处理。</w:t>
            </w:r>
          </w:p>
        </w:tc>
        <w:tc>
          <w:tcPr>
            <w:tcW w:w="1339" w:type="dxa"/>
            <w:vAlign w:val="top"/>
            <w:tcBorders>
              <w:bottom w:val="single" w:color="000000" w:sz="2" w:space="0"/>
              <w:top w:val="single" w:color="000000" w:sz="2" w:space="0"/>
            </w:tcBorders>
          </w:tcPr>
          <w:p>
            <w:pPr>
              <w:pStyle w:val="TableText"/>
              <w:ind w:left="383"/>
              <w:spacing w:before="84" w:line="219" w:lineRule="auto"/>
              <w:rPr>
                <w:sz w:val="11"/>
                <w:szCs w:val="11"/>
              </w:rPr>
            </w:pPr>
            <w:r>
              <w:rPr>
                <w:sz w:val="11"/>
                <w:szCs w:val="11"/>
                <w:spacing w:val="1"/>
              </w:rPr>
              <w:t>国光岭必治</w:t>
            </w:r>
          </w:p>
        </w:tc>
        <w:tc>
          <w:tcPr>
            <w:tcW w:w="1739" w:type="dxa"/>
            <w:vAlign w:val="top"/>
            <w:tcBorders>
              <w:bottom w:val="single" w:color="000000" w:sz="2" w:space="0"/>
              <w:top w:val="single" w:color="000000" w:sz="2" w:space="0"/>
            </w:tcBorders>
          </w:tcPr>
          <w:p>
            <w:pPr>
              <w:pStyle w:val="TableText"/>
              <w:ind w:left="315"/>
              <w:spacing w:before="84" w:line="219" w:lineRule="auto"/>
              <w:rPr>
                <w:sz w:val="11"/>
                <w:szCs w:val="11"/>
              </w:rPr>
            </w:pPr>
            <w:r>
              <w:rPr>
                <w:sz w:val="11"/>
                <w:szCs w:val="11"/>
                <w:spacing w:val="-5"/>
              </w:rPr>
              <w:t>40啶虫瞎 ·毒死婢乳油</w:t>
            </w:r>
          </w:p>
        </w:tc>
        <w:tc>
          <w:tcPr>
            <w:tcW w:w="1869" w:type="dxa"/>
            <w:vAlign w:val="top"/>
            <w:tcBorders>
              <w:bottom w:val="single" w:color="000000" w:sz="2" w:space="0"/>
              <w:top w:val="single" w:color="000000" w:sz="2" w:space="0"/>
            </w:tcBorders>
          </w:tcPr>
          <w:p>
            <w:pPr>
              <w:pStyle w:val="TableText"/>
              <w:ind w:left="455"/>
              <w:spacing w:before="84" w:line="219" w:lineRule="auto"/>
              <w:rPr>
                <w:sz w:val="11"/>
                <w:szCs w:val="11"/>
              </w:rPr>
            </w:pPr>
            <w:r>
              <w:rPr>
                <w:sz w:val="11"/>
                <w:szCs w:val="11"/>
                <w:spacing w:val="-1"/>
              </w:rPr>
              <w:t>稀释2000-3000倍液</w:t>
            </w:r>
          </w:p>
        </w:tc>
        <w:tc>
          <w:tcPr>
            <w:tcW w:w="1329" w:type="dxa"/>
            <w:vAlign w:val="top"/>
            <w:vMerge w:val="restart"/>
            <w:tcBorders>
              <w:bottom w:val="nil"/>
              <w:top w:val="single" w:color="000000" w:sz="2" w:space="0"/>
            </w:tcBorders>
          </w:tcPr>
          <w:p>
            <w:pPr>
              <w:pStyle w:val="TableText"/>
              <w:ind w:left="76"/>
              <w:spacing w:before="94" w:line="219" w:lineRule="auto"/>
              <w:rPr>
                <w:sz w:val="11"/>
                <w:szCs w:val="11"/>
              </w:rPr>
            </w:pPr>
            <w:r>
              <w:rPr>
                <w:sz w:val="11"/>
                <w:szCs w:val="11"/>
                <w:spacing w:val="-1"/>
              </w:rPr>
              <w:t>一般用次，时间间隔7到</w:t>
            </w:r>
          </w:p>
          <w:p>
            <w:pPr>
              <w:pStyle w:val="TableText"/>
              <w:ind w:left="56"/>
              <w:spacing w:before="9" w:line="220" w:lineRule="auto"/>
              <w:rPr>
                <w:sz w:val="11"/>
                <w:szCs w:val="11"/>
              </w:rPr>
            </w:pPr>
            <w:r>
              <w:rPr>
                <w:sz w:val="11"/>
                <w:szCs w:val="11"/>
              </w:rPr>
              <w:t>10天，视现场情况可增加</w:t>
            </w:r>
          </w:p>
          <w:p>
            <w:pPr>
              <w:pStyle w:val="TableText"/>
              <w:ind w:left="547"/>
              <w:spacing w:before="8" w:line="219" w:lineRule="auto"/>
              <w:rPr>
                <w:sz w:val="11"/>
                <w:szCs w:val="11"/>
              </w:rPr>
            </w:pPr>
            <w:r>
              <w:rPr>
                <w:sz w:val="11"/>
                <w:szCs w:val="11"/>
                <w:spacing w:val="-2"/>
              </w:rPr>
              <w:t>次数</w:t>
            </w:r>
          </w:p>
        </w:tc>
        <w:tc>
          <w:tcPr>
            <w:tcW w:w="650" w:type="dxa"/>
            <w:vAlign w:val="top"/>
            <w:tcBorders>
              <w:bottom w:val="single" w:color="000000" w:sz="2" w:space="0"/>
              <w:top w:val="single" w:color="000000" w:sz="2" w:space="0"/>
            </w:tcBorders>
          </w:tcPr>
          <w:p>
            <w:pPr>
              <w:pStyle w:val="TableText"/>
              <w:ind w:left="68"/>
              <w:spacing w:before="80" w:line="213" w:lineRule="auto"/>
              <w:rPr>
                <w:sz w:val="11"/>
                <w:szCs w:val="11"/>
              </w:rPr>
            </w:pPr>
            <w:r>
              <w:rPr>
                <w:sz w:val="11"/>
                <w:szCs w:val="11"/>
                <w:spacing w:val="3"/>
              </w:rPr>
              <w:t>(200g/瓶)</w:t>
            </w:r>
          </w:p>
        </w:tc>
        <w:tc>
          <w:tcPr>
            <w:tcW w:w="2943" w:type="dxa"/>
            <w:vAlign w:val="top"/>
            <w:tcBorders>
              <w:bottom w:val="single" w:color="000000" w:sz="2" w:space="0"/>
              <w:top w:val="single" w:color="000000" w:sz="2" w:space="0"/>
            </w:tcBorders>
          </w:tcPr>
          <w:p>
            <w:pPr>
              <w:pStyle w:val="TableText"/>
              <w:ind w:left="18"/>
              <w:spacing w:before="83" w:line="218" w:lineRule="auto"/>
              <w:rPr>
                <w:sz w:val="11"/>
                <w:szCs w:val="11"/>
              </w:rPr>
            </w:pPr>
            <w:r>
              <w:rPr>
                <w:sz w:val="11"/>
                <w:szCs w:val="11"/>
                <w:spacing w:val="-1"/>
              </w:rPr>
              <w:t>专杀介壳虫，食叶类害虫，地下害虫</w:t>
            </w:r>
          </w:p>
        </w:tc>
      </w:tr>
      <w:tr>
        <w:trPr>
          <w:trHeight w:val="28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single" w:color="000000" w:sz="2" w:space="0"/>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83"/>
              <w:spacing w:before="94" w:line="220" w:lineRule="auto"/>
              <w:rPr>
                <w:sz w:val="11"/>
                <w:szCs w:val="11"/>
              </w:rPr>
            </w:pPr>
            <w:r>
              <w:rPr>
                <w:sz w:val="11"/>
                <w:szCs w:val="11"/>
                <w:spacing w:val="-3"/>
              </w:rPr>
              <w:t>中威捕捉手</w:t>
            </w:r>
          </w:p>
        </w:tc>
        <w:tc>
          <w:tcPr>
            <w:tcW w:w="1739" w:type="dxa"/>
            <w:vAlign w:val="top"/>
            <w:tcBorders>
              <w:bottom w:val="single" w:color="000000" w:sz="2" w:space="0"/>
              <w:top w:val="single" w:color="000000" w:sz="2" w:space="0"/>
            </w:tcBorders>
          </w:tcPr>
          <w:p>
            <w:pPr>
              <w:pStyle w:val="TableText"/>
              <w:ind w:left="445"/>
              <w:spacing w:before="94" w:line="219" w:lineRule="auto"/>
              <w:rPr>
                <w:sz w:val="11"/>
                <w:szCs w:val="11"/>
              </w:rPr>
            </w:pPr>
            <w:r>
              <w:rPr>
                <w:sz w:val="11"/>
                <w:szCs w:val="11"/>
                <w:spacing w:val="-6"/>
              </w:rPr>
              <w:t>高鼠</w:t>
            </w:r>
            <w:r>
              <w:rPr>
                <w:sz w:val="11"/>
                <w:szCs w:val="11"/>
                <w:spacing w:val="-10"/>
              </w:rPr>
              <w:t xml:space="preserve"> </w:t>
            </w:r>
            <w:r>
              <w:rPr>
                <w:sz w:val="11"/>
                <w:szCs w:val="11"/>
                <w:spacing w:val="-6"/>
              </w:rPr>
              <w:t>·毒死牌15%</w:t>
            </w:r>
          </w:p>
        </w:tc>
        <w:tc>
          <w:tcPr>
            <w:tcW w:w="1869" w:type="dxa"/>
            <w:vAlign w:val="top"/>
            <w:tcBorders>
              <w:bottom w:val="single" w:color="000000" w:sz="2" w:space="0"/>
              <w:top w:val="single" w:color="000000" w:sz="2" w:space="0"/>
            </w:tcBorders>
          </w:tcPr>
          <w:p>
            <w:pPr>
              <w:pStyle w:val="TableText"/>
              <w:ind w:left="566"/>
              <w:spacing w:before="94" w:line="220" w:lineRule="auto"/>
              <w:rPr>
                <w:sz w:val="11"/>
                <w:szCs w:val="11"/>
              </w:rPr>
            </w:pPr>
            <w:r>
              <w:rPr>
                <w:sz w:val="11"/>
                <w:szCs w:val="11"/>
              </w:rPr>
              <w:t>1000-1500倍流</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237" w:right="150" w:hanging="109"/>
              <w:spacing w:before="16" w:line="202" w:lineRule="auto"/>
              <w:rPr>
                <w:sz w:val="11"/>
                <w:szCs w:val="11"/>
              </w:rPr>
            </w:pPr>
            <w:r>
              <w:rPr>
                <w:sz w:val="11"/>
                <w:szCs w:val="11"/>
                <w:spacing w:val="-4"/>
              </w:rPr>
              <w:t>(200ml/</w:t>
            </w:r>
            <w:r>
              <w:rPr>
                <w:sz w:val="11"/>
                <w:szCs w:val="11"/>
                <w:spacing w:val="3"/>
              </w:rPr>
              <w:t xml:space="preserve"> </w:t>
            </w:r>
            <w:r>
              <w:rPr>
                <w:sz w:val="11"/>
                <w:szCs w:val="11"/>
                <w:spacing w:val="9"/>
              </w:rPr>
              <w:t>瓶)</w:t>
            </w:r>
          </w:p>
        </w:tc>
        <w:tc>
          <w:tcPr>
            <w:tcW w:w="2943" w:type="dxa"/>
            <w:vAlign w:val="top"/>
            <w:tcBorders>
              <w:bottom w:val="single" w:color="000000" w:sz="2" w:space="0"/>
              <w:top w:val="single" w:color="000000" w:sz="2" w:space="0"/>
            </w:tcBorders>
          </w:tcPr>
          <w:p>
            <w:pPr>
              <w:pStyle w:val="TableText"/>
              <w:ind w:left="18"/>
              <w:spacing w:before="94" w:line="219" w:lineRule="auto"/>
              <w:rPr>
                <w:sz w:val="11"/>
                <w:szCs w:val="11"/>
              </w:rPr>
            </w:pPr>
            <w:r>
              <w:rPr>
                <w:sz w:val="11"/>
                <w:szCs w:val="11"/>
                <w:spacing w:val="-1"/>
              </w:rPr>
              <w:t>主要防治蚧壳虫，班潜频及鳞细目幼虫、飞系等</w:t>
            </w:r>
          </w:p>
        </w:tc>
      </w:tr>
      <w:tr>
        <w:trPr>
          <w:trHeight w:val="245" w:hRule="atLeast"/>
        </w:trPr>
        <w:tc>
          <w:tcPr>
            <w:tcW w:w="36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pStyle w:val="TableText"/>
              <w:ind w:left="30"/>
              <w:spacing w:before="214" w:line="219" w:lineRule="auto"/>
              <w:rPr>
                <w:sz w:val="11"/>
                <w:szCs w:val="11"/>
              </w:rPr>
            </w:pPr>
            <w:r>
              <w:rPr>
                <w:sz w:val="11"/>
                <w:szCs w:val="11"/>
                <w:spacing w:val="-1"/>
              </w:rPr>
              <w:t>刺吸害虫</w:t>
            </w:r>
          </w:p>
        </w:tc>
        <w:tc>
          <w:tcPr>
            <w:tcW w:w="879" w:type="dxa"/>
            <w:vAlign w:val="top"/>
            <w:vMerge w:val="restart"/>
            <w:tcBorders>
              <w:bottom w:val="nil"/>
              <w:top w:val="single" w:color="000000" w:sz="2" w:space="0"/>
            </w:tcBorders>
          </w:tcPr>
          <w:p>
            <w:pPr>
              <w:pStyle w:val="TableText"/>
              <w:ind w:right="3"/>
              <w:spacing w:before="134" w:line="219" w:lineRule="auto"/>
              <w:jc w:val="right"/>
              <w:rPr>
                <w:sz w:val="11"/>
                <w:szCs w:val="11"/>
              </w:rPr>
            </w:pPr>
            <w:r>
              <w:rPr>
                <w:sz w:val="11"/>
                <w:szCs w:val="11"/>
                <w:spacing w:val="7"/>
              </w:rPr>
              <w:t>蚜虫、红蜘蛛、</w:t>
            </w:r>
          </w:p>
          <w:p>
            <w:pPr>
              <w:pStyle w:val="TableText"/>
              <w:ind w:left="151"/>
              <w:spacing w:before="9" w:line="218" w:lineRule="auto"/>
              <w:rPr>
                <w:sz w:val="11"/>
                <w:szCs w:val="11"/>
              </w:rPr>
            </w:pPr>
            <w:r>
              <w:rPr>
                <w:sz w:val="11"/>
                <w:szCs w:val="11"/>
                <w:spacing w:val="-1"/>
              </w:rPr>
              <w:t>大青叶孵等</w:t>
            </w:r>
          </w:p>
        </w:tc>
        <w:tc>
          <w:tcPr>
            <w:tcW w:w="2458" w:type="dxa"/>
            <w:vAlign w:val="top"/>
            <w:vMerge w:val="restart"/>
            <w:tcBorders>
              <w:bottom w:val="nil"/>
              <w:top w:val="single" w:color="000000" w:sz="2" w:space="0"/>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2"/>
              <w:spacing w:before="36" w:line="220" w:lineRule="auto"/>
              <w:rPr>
                <w:sz w:val="11"/>
                <w:szCs w:val="11"/>
              </w:rPr>
            </w:pPr>
            <w:r>
              <w:rPr>
                <w:sz w:val="11"/>
                <w:szCs w:val="11"/>
                <w:spacing w:val="-2"/>
              </w:rPr>
              <w:t>一、4月预防消杀为主，在进入雨季、高发季前全阳</w:t>
            </w:r>
            <w:r>
              <w:rPr>
                <w:sz w:val="11"/>
                <w:szCs w:val="11"/>
                <w:spacing w:val="15"/>
                <w:w w:val="101"/>
              </w:rPr>
              <w:t xml:space="preserve"> </w:t>
            </w:r>
            <w:r>
              <w:rPr>
                <w:sz w:val="11"/>
                <w:szCs w:val="11"/>
                <w:spacing w:val="6"/>
              </w:rPr>
              <w:t>区消杀虫卵、蛹；</w:t>
            </w:r>
          </w:p>
          <w:p>
            <w:pPr>
              <w:pStyle w:val="TableText"/>
              <w:ind w:left="2" w:right="85"/>
              <w:spacing w:before="7" w:line="210" w:lineRule="auto"/>
              <w:rPr>
                <w:sz w:val="11"/>
                <w:szCs w:val="11"/>
              </w:rPr>
            </w:pPr>
            <w:r>
              <w:rPr>
                <w:sz w:val="11"/>
                <w:szCs w:val="11"/>
                <w:spacing w:val="-1"/>
              </w:rPr>
              <w:t>三5月-9月是大部分害虫成晒或羽化期，采取人工</w:t>
            </w:r>
            <w:r>
              <w:rPr>
                <w:sz w:val="11"/>
                <w:szCs w:val="11"/>
                <w:spacing w:val="17"/>
                <w:w w:val="101"/>
              </w:rPr>
              <w:t xml:space="preserve"> </w:t>
            </w:r>
            <w:r>
              <w:rPr>
                <w:sz w:val="11"/>
                <w:szCs w:val="11"/>
              </w:rPr>
              <w:t>加药物双重治疗除卵。除蛹，除成虫。</w:t>
            </w:r>
          </w:p>
        </w:tc>
        <w:tc>
          <w:tcPr>
            <w:tcW w:w="1339" w:type="dxa"/>
            <w:vAlign w:val="top"/>
            <w:tcBorders>
              <w:bottom w:val="single" w:color="000000" w:sz="2" w:space="0"/>
              <w:top w:val="single" w:color="000000" w:sz="2" w:space="0"/>
            </w:tcBorders>
          </w:tcPr>
          <w:p>
            <w:pPr>
              <w:pStyle w:val="TableText"/>
              <w:ind w:left="443"/>
              <w:spacing w:before="74" w:line="219" w:lineRule="auto"/>
              <w:rPr>
                <w:sz w:val="11"/>
                <w:szCs w:val="11"/>
              </w:rPr>
            </w:pPr>
            <w:r>
              <w:rPr>
                <w:sz w:val="11"/>
                <w:szCs w:val="11"/>
                <w:spacing w:val="1"/>
              </w:rPr>
              <w:t>国光毙克</w:t>
            </w:r>
          </w:p>
        </w:tc>
        <w:tc>
          <w:tcPr>
            <w:tcW w:w="1739" w:type="dxa"/>
            <w:vAlign w:val="top"/>
            <w:tcBorders>
              <w:bottom w:val="single" w:color="000000" w:sz="2" w:space="0"/>
              <w:top w:val="single" w:color="000000" w:sz="2" w:space="0"/>
            </w:tcBorders>
          </w:tcPr>
          <w:p>
            <w:pPr>
              <w:pStyle w:val="TableText"/>
              <w:ind w:left="644"/>
              <w:spacing w:before="74" w:line="221" w:lineRule="auto"/>
              <w:rPr>
                <w:sz w:val="11"/>
                <w:szCs w:val="11"/>
              </w:rPr>
            </w:pPr>
            <w:r>
              <w:rPr>
                <w:sz w:val="11"/>
                <w:szCs w:val="11"/>
                <w:spacing w:val="-2"/>
              </w:rPr>
              <w:t>10吐虫琳</w:t>
            </w:r>
          </w:p>
        </w:tc>
        <w:tc>
          <w:tcPr>
            <w:tcW w:w="1869" w:type="dxa"/>
            <w:vAlign w:val="top"/>
            <w:tcBorders>
              <w:bottom w:val="single" w:color="000000" w:sz="2" w:space="0"/>
              <w:top w:val="single" w:color="000000" w:sz="2" w:space="0"/>
            </w:tcBorders>
          </w:tcPr>
          <w:p>
            <w:pPr>
              <w:pStyle w:val="TableText"/>
              <w:ind w:left="455"/>
              <w:spacing w:before="74" w:line="219" w:lineRule="auto"/>
              <w:rPr>
                <w:sz w:val="11"/>
                <w:szCs w:val="11"/>
              </w:rPr>
            </w:pPr>
            <w:r>
              <w:rPr>
                <w:sz w:val="11"/>
                <w:szCs w:val="11"/>
                <w:spacing w:val="-1"/>
              </w:rPr>
              <w:t>稀释1000-1500倍液</w:t>
            </w:r>
          </w:p>
        </w:tc>
        <w:tc>
          <w:tcPr>
            <w:tcW w:w="1329" w:type="dxa"/>
            <w:vAlign w:val="top"/>
            <w:vMerge w:val="restart"/>
            <w:tcBorders>
              <w:bottom w:val="nil"/>
              <w:top w:val="single" w:color="000000" w:sz="2" w:space="0"/>
            </w:tcBorders>
          </w:tcPr>
          <w:p>
            <w:pPr>
              <w:pStyle w:val="TableText"/>
              <w:ind w:left="56"/>
              <w:spacing w:before="54" w:line="219" w:lineRule="auto"/>
              <w:rPr>
                <w:sz w:val="11"/>
                <w:szCs w:val="11"/>
              </w:rPr>
            </w:pPr>
            <w:r>
              <w:rPr>
                <w:sz w:val="11"/>
                <w:szCs w:val="11"/>
                <w:spacing w:val="-1"/>
              </w:rPr>
              <w:t>一般用3次，时间网来7到</w:t>
            </w:r>
          </w:p>
          <w:p>
            <w:pPr>
              <w:pStyle w:val="TableText"/>
              <w:ind w:left="56"/>
              <w:spacing w:before="29" w:line="200" w:lineRule="auto"/>
              <w:rPr>
                <w:sz w:val="11"/>
                <w:szCs w:val="11"/>
              </w:rPr>
            </w:pPr>
            <w:r>
              <w:rPr>
                <w:sz w:val="11"/>
                <w:szCs w:val="11"/>
              </w:rPr>
              <w:t>10天，视现场情况可增加</w:t>
            </w:r>
          </w:p>
          <w:p>
            <w:pPr>
              <w:pStyle w:val="TableText"/>
              <w:ind w:left="547"/>
              <w:spacing w:line="219" w:lineRule="auto"/>
              <w:rPr>
                <w:sz w:val="11"/>
                <w:szCs w:val="11"/>
              </w:rPr>
            </w:pPr>
            <w:r>
              <w:rPr>
                <w:sz w:val="11"/>
                <w:szCs w:val="11"/>
                <w:spacing w:val="-2"/>
              </w:rPr>
              <w:t>次数</w:t>
            </w:r>
          </w:p>
        </w:tc>
        <w:tc>
          <w:tcPr>
            <w:tcW w:w="650" w:type="dxa"/>
            <w:vAlign w:val="top"/>
            <w:tcBorders>
              <w:bottom w:val="single" w:color="000000" w:sz="2" w:space="0"/>
              <w:top w:val="single" w:color="000000" w:sz="2" w:space="0"/>
            </w:tcBorders>
          </w:tcPr>
          <w:p>
            <w:pPr>
              <w:pStyle w:val="TableText"/>
              <w:ind w:left="98"/>
              <w:spacing w:before="71" w:line="213" w:lineRule="auto"/>
              <w:rPr>
                <w:sz w:val="11"/>
                <w:szCs w:val="11"/>
              </w:rPr>
            </w:pPr>
            <w:r>
              <w:rPr>
                <w:sz w:val="11"/>
                <w:szCs w:val="11"/>
                <w:spacing w:val="3"/>
              </w:rPr>
              <w:t>(10g/装)</w:t>
            </w:r>
          </w:p>
        </w:tc>
        <w:tc>
          <w:tcPr>
            <w:tcW w:w="2943" w:type="dxa"/>
            <w:vAlign w:val="top"/>
            <w:tcBorders>
              <w:bottom w:val="single" w:color="000000" w:sz="2" w:space="0"/>
              <w:top w:val="single" w:color="000000" w:sz="2" w:space="0"/>
            </w:tcBorders>
          </w:tcPr>
          <w:p>
            <w:pPr>
              <w:pStyle w:val="TableText"/>
              <w:ind w:left="18"/>
              <w:spacing w:before="74" w:line="219" w:lineRule="auto"/>
              <w:rPr>
                <w:sz w:val="11"/>
                <w:szCs w:val="11"/>
              </w:rPr>
            </w:pPr>
            <w:r>
              <w:rPr>
                <w:sz w:val="11"/>
                <w:szCs w:val="11"/>
                <w:spacing w:val="-1"/>
              </w:rPr>
              <w:t>弟蚜虫，飞烈等害虫</w:t>
            </w:r>
          </w:p>
        </w:tc>
      </w:tr>
      <w:tr>
        <w:trPr>
          <w:trHeight w:val="28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24"/>
              <w:spacing w:before="93" w:line="218" w:lineRule="auto"/>
              <w:rPr>
                <w:sz w:val="11"/>
                <w:szCs w:val="11"/>
              </w:rPr>
            </w:pPr>
            <w:r>
              <w:rPr>
                <w:sz w:val="11"/>
                <w:szCs w:val="11"/>
              </w:rPr>
              <w:t>中成壮美(柔蜗剂&gt;</w:t>
            </w:r>
          </w:p>
        </w:tc>
        <w:tc>
          <w:tcPr>
            <w:tcW w:w="1739" w:type="dxa"/>
            <w:vAlign w:val="top"/>
            <w:tcBorders>
              <w:bottom w:val="single" w:color="000000" w:sz="2" w:space="0"/>
              <w:top w:val="single" w:color="000000" w:sz="2" w:space="0"/>
            </w:tcBorders>
          </w:tcPr>
          <w:p>
            <w:pPr>
              <w:pStyle w:val="TableText"/>
              <w:ind w:left="395"/>
              <w:spacing w:before="94" w:line="219" w:lineRule="auto"/>
              <w:rPr>
                <w:sz w:val="11"/>
                <w:szCs w:val="11"/>
              </w:rPr>
            </w:pPr>
            <w:r>
              <w:rPr>
                <w:sz w:val="11"/>
                <w:szCs w:val="11"/>
                <w:spacing w:val="-5"/>
              </w:rPr>
              <w:t>阿维</w:t>
            </w:r>
            <w:r>
              <w:rPr>
                <w:sz w:val="11"/>
                <w:szCs w:val="11"/>
                <w:spacing w:val="-9"/>
              </w:rPr>
              <w:t xml:space="preserve"> </w:t>
            </w:r>
            <w:r>
              <w:rPr>
                <w:sz w:val="11"/>
                <w:szCs w:val="11"/>
                <w:spacing w:val="-5"/>
              </w:rPr>
              <w:t>·噬辆灵3.20%</w:t>
            </w:r>
          </w:p>
        </w:tc>
        <w:tc>
          <w:tcPr>
            <w:tcW w:w="1869" w:type="dxa"/>
            <w:vAlign w:val="top"/>
            <w:tcBorders>
              <w:bottom w:val="single" w:color="000000" w:sz="2" w:space="0"/>
              <w:top w:val="single" w:color="000000" w:sz="2" w:space="0"/>
            </w:tcBorders>
          </w:tcPr>
          <w:p>
            <w:pPr>
              <w:pStyle w:val="TableText"/>
              <w:ind w:left="706"/>
              <w:spacing w:before="94" w:line="220" w:lineRule="auto"/>
              <w:rPr>
                <w:sz w:val="11"/>
                <w:szCs w:val="11"/>
              </w:rPr>
            </w:pPr>
            <w:r>
              <w:rPr>
                <w:sz w:val="11"/>
                <w:szCs w:val="11"/>
                <w:spacing w:val="-2"/>
              </w:rPr>
              <w:t>1500倍液</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237" w:right="150" w:hanging="109"/>
              <w:spacing w:before="26" w:line="208" w:lineRule="auto"/>
              <w:rPr>
                <w:sz w:val="11"/>
                <w:szCs w:val="11"/>
              </w:rPr>
            </w:pPr>
            <w:r>
              <w:rPr>
                <w:sz w:val="11"/>
                <w:szCs w:val="11"/>
                <w:spacing w:val="-4"/>
              </w:rPr>
              <w:t>(200ml/</w:t>
            </w:r>
            <w:r>
              <w:rPr>
                <w:sz w:val="11"/>
                <w:szCs w:val="11"/>
                <w:spacing w:val="3"/>
              </w:rPr>
              <w:t xml:space="preserve"> </w:t>
            </w:r>
            <w:r>
              <w:rPr>
                <w:sz w:val="11"/>
                <w:szCs w:val="11"/>
                <w:spacing w:val="9"/>
              </w:rPr>
              <w:t>报)</w:t>
            </w:r>
          </w:p>
        </w:tc>
        <w:tc>
          <w:tcPr>
            <w:tcW w:w="2943" w:type="dxa"/>
            <w:vAlign w:val="top"/>
            <w:tcBorders>
              <w:bottom w:val="single" w:color="000000" w:sz="2" w:space="0"/>
              <w:top w:val="single" w:color="000000" w:sz="2" w:space="0"/>
            </w:tcBorders>
          </w:tcPr>
          <w:p>
            <w:pPr>
              <w:pStyle w:val="TableText"/>
              <w:ind w:left="18"/>
              <w:spacing w:before="94" w:line="219" w:lineRule="auto"/>
              <w:rPr>
                <w:sz w:val="11"/>
                <w:szCs w:val="11"/>
              </w:rPr>
            </w:pPr>
            <w:r>
              <w:rPr>
                <w:sz w:val="11"/>
                <w:szCs w:val="11"/>
                <w:spacing w:val="-1"/>
              </w:rPr>
              <w:t>对红蜘蛛、白蜘蛛及抗性蜗类害虫有极强的杀灭作用</w:t>
            </w:r>
          </w:p>
        </w:tc>
      </w:tr>
      <w:tr>
        <w:trPr>
          <w:trHeight w:val="245" w:hRule="atLeast"/>
        </w:trPr>
        <w:tc>
          <w:tcPr>
            <w:tcW w:w="36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spacing w:line="306" w:lineRule="auto"/>
              <w:rPr>
                <w:rFonts w:ascii="Arial"/>
                <w:sz w:val="21"/>
              </w:rPr>
            </w:pPr>
            <w:r/>
          </w:p>
          <w:p>
            <w:pPr>
              <w:pStyle w:val="TableText"/>
              <w:ind w:left="30"/>
              <w:spacing w:before="36" w:line="218" w:lineRule="auto"/>
              <w:rPr>
                <w:sz w:val="11"/>
                <w:szCs w:val="11"/>
              </w:rPr>
            </w:pPr>
            <w:r>
              <w:rPr>
                <w:sz w:val="11"/>
                <w:szCs w:val="11"/>
                <w:spacing w:val="-1"/>
              </w:rPr>
              <w:t>赃干害虫</w:t>
            </w:r>
          </w:p>
        </w:tc>
        <w:tc>
          <w:tcPr>
            <w:tcW w:w="879" w:type="dxa"/>
            <w:vAlign w:val="top"/>
            <w:vMerge w:val="restart"/>
            <w:tcBorders>
              <w:bottom w:val="nil"/>
              <w:top w:val="single" w:color="000000" w:sz="2" w:space="0"/>
            </w:tcBorders>
          </w:tcPr>
          <w:p>
            <w:pPr>
              <w:pStyle w:val="TableText"/>
              <w:ind w:left="40"/>
              <w:spacing w:before="64" w:line="219" w:lineRule="auto"/>
              <w:rPr>
                <w:sz w:val="11"/>
                <w:szCs w:val="11"/>
              </w:rPr>
            </w:pPr>
            <w:r>
              <w:rPr>
                <w:sz w:val="11"/>
                <w:szCs w:val="11"/>
                <w:spacing w:val="-1"/>
              </w:rPr>
              <w:t>椿树沟重象，天</w:t>
            </w:r>
          </w:p>
          <w:p>
            <w:pPr>
              <w:pStyle w:val="TableText"/>
              <w:ind w:left="40"/>
              <w:spacing w:before="29" w:line="203" w:lineRule="auto"/>
              <w:rPr>
                <w:sz w:val="11"/>
                <w:szCs w:val="11"/>
              </w:rPr>
            </w:pPr>
            <w:r>
              <w:rPr>
                <w:sz w:val="11"/>
                <w:szCs w:val="11"/>
                <w:spacing w:val="-1"/>
              </w:rPr>
              <w:t>牛，小蠹虫，迹</w:t>
            </w:r>
          </w:p>
          <w:p>
            <w:pPr>
              <w:pStyle w:val="TableText"/>
              <w:ind w:left="70"/>
              <w:spacing w:line="220" w:lineRule="auto"/>
              <w:rPr>
                <w:sz w:val="11"/>
                <w:szCs w:val="11"/>
              </w:rPr>
            </w:pPr>
            <w:r>
              <w:rPr>
                <w:sz w:val="11"/>
                <w:szCs w:val="11"/>
                <w:spacing w:val="-3"/>
              </w:rPr>
              <w:t>翅蛾、古丁虫。</w:t>
            </w:r>
          </w:p>
          <w:p>
            <w:pPr>
              <w:pStyle w:val="TableText"/>
              <w:ind w:left="40"/>
              <w:spacing w:before="7" w:line="218" w:lineRule="auto"/>
              <w:rPr>
                <w:sz w:val="11"/>
                <w:szCs w:val="11"/>
              </w:rPr>
            </w:pPr>
            <w:r>
              <w:rPr>
                <w:sz w:val="11"/>
                <w:szCs w:val="11"/>
                <w:spacing w:val="-1"/>
              </w:rPr>
              <w:t>木监娥、杨干象</w:t>
            </w:r>
          </w:p>
          <w:p>
            <w:pPr>
              <w:pStyle w:val="TableText"/>
              <w:ind w:left="371"/>
              <w:spacing w:before="10" w:line="219" w:lineRule="auto"/>
              <w:rPr>
                <w:sz w:val="11"/>
                <w:szCs w:val="11"/>
              </w:rPr>
            </w:pPr>
            <w:r>
              <w:rPr>
                <w:sz w:val="11"/>
                <w:szCs w:val="11"/>
              </w:rPr>
              <w:t>等</w:t>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43"/>
              <w:spacing w:before="74" w:line="219" w:lineRule="auto"/>
              <w:rPr>
                <w:sz w:val="11"/>
                <w:szCs w:val="11"/>
              </w:rPr>
            </w:pPr>
            <w:r>
              <w:rPr>
                <w:sz w:val="11"/>
                <w:szCs w:val="11"/>
                <w:spacing w:val="-3"/>
              </w:rPr>
              <w:t>国光毒枪</w:t>
            </w:r>
          </w:p>
        </w:tc>
        <w:tc>
          <w:tcPr>
            <w:tcW w:w="1739" w:type="dxa"/>
            <w:vAlign w:val="top"/>
            <w:tcBorders>
              <w:bottom w:val="single" w:color="000000" w:sz="2" w:space="0"/>
              <w:top w:val="single" w:color="000000" w:sz="2" w:space="0"/>
            </w:tcBorders>
          </w:tcPr>
          <w:p>
            <w:pPr>
              <w:pStyle w:val="TableText"/>
              <w:ind w:left="335"/>
              <w:spacing w:before="74" w:line="219" w:lineRule="auto"/>
              <w:rPr>
                <w:sz w:val="11"/>
                <w:szCs w:val="11"/>
              </w:rPr>
            </w:pPr>
            <w:r>
              <w:rPr>
                <w:sz w:val="11"/>
                <w:szCs w:val="11"/>
                <w:spacing w:val="-1"/>
              </w:rPr>
              <w:t>45%丙溴，辛碗磷乳泊</w:t>
            </w:r>
          </w:p>
        </w:tc>
        <w:tc>
          <w:tcPr>
            <w:tcW w:w="1869" w:type="dxa"/>
            <w:vAlign w:val="top"/>
            <w:tcBorders>
              <w:bottom w:val="single" w:color="000000" w:sz="2" w:space="0"/>
              <w:top w:val="single" w:color="000000" w:sz="2" w:space="0"/>
            </w:tcBorders>
          </w:tcPr>
          <w:p>
            <w:pPr>
              <w:pStyle w:val="TableText"/>
              <w:ind w:left="596"/>
              <w:spacing w:before="74" w:line="219" w:lineRule="auto"/>
              <w:rPr>
                <w:sz w:val="11"/>
                <w:szCs w:val="11"/>
              </w:rPr>
            </w:pPr>
            <w:r>
              <w:rPr>
                <w:sz w:val="11"/>
                <w:szCs w:val="11"/>
                <w:spacing w:val="-1"/>
              </w:rPr>
              <w:t>稀释5-10倍液</w:t>
            </w:r>
          </w:p>
        </w:tc>
        <w:tc>
          <w:tcPr>
            <w:tcW w:w="1329" w:type="dxa"/>
            <w:vAlign w:val="top"/>
            <w:vMerge w:val="restart"/>
            <w:tcBorders>
              <w:bottom w:val="nil"/>
              <w:top w:val="single" w:color="000000" w:sz="2" w:space="0"/>
            </w:tcBorders>
          </w:tcPr>
          <w:p>
            <w:pPr>
              <w:pStyle w:val="TableText"/>
              <w:ind w:left="76"/>
              <w:spacing w:before="214" w:line="219" w:lineRule="auto"/>
              <w:rPr>
                <w:sz w:val="11"/>
                <w:szCs w:val="11"/>
              </w:rPr>
            </w:pPr>
            <w:r>
              <w:rPr>
                <w:sz w:val="11"/>
                <w:szCs w:val="11"/>
                <w:spacing w:val="-1"/>
              </w:rPr>
              <w:t>一般用次，时间间隔7到</w:t>
            </w:r>
          </w:p>
          <w:p>
            <w:pPr>
              <w:pStyle w:val="TableText"/>
              <w:ind w:left="56"/>
              <w:spacing w:line="217" w:lineRule="auto"/>
              <w:rPr>
                <w:sz w:val="11"/>
                <w:szCs w:val="11"/>
              </w:rPr>
            </w:pPr>
            <w:r>
              <w:rPr>
                <w:sz w:val="11"/>
                <w:szCs w:val="11"/>
              </w:rPr>
              <w:t>10天，视现场情况可增加</w:t>
            </w:r>
          </w:p>
          <w:p>
            <w:pPr>
              <w:pStyle w:val="TableText"/>
              <w:ind w:left="557"/>
              <w:spacing w:line="219" w:lineRule="auto"/>
              <w:rPr>
                <w:sz w:val="11"/>
                <w:szCs w:val="11"/>
              </w:rPr>
            </w:pPr>
            <w:r>
              <w:rPr>
                <w:sz w:val="11"/>
                <w:szCs w:val="11"/>
                <w:spacing w:val="-2"/>
              </w:rPr>
              <w:t>次数</w:t>
            </w:r>
          </w:p>
        </w:tc>
        <w:tc>
          <w:tcPr>
            <w:tcW w:w="650" w:type="dxa"/>
            <w:vAlign w:val="top"/>
            <w:tcBorders>
              <w:bottom w:val="single" w:color="000000" w:sz="2" w:space="0"/>
              <w:top w:val="single" w:color="000000" w:sz="2" w:space="0"/>
            </w:tcBorders>
          </w:tcPr>
          <w:p>
            <w:pPr>
              <w:pStyle w:val="TableText"/>
              <w:ind w:left="237" w:right="150" w:hanging="109"/>
              <w:spacing w:before="16" w:line="183" w:lineRule="auto"/>
              <w:rPr>
                <w:sz w:val="11"/>
                <w:szCs w:val="11"/>
              </w:rPr>
            </w:pPr>
            <w:r>
              <w:rPr>
                <w:sz w:val="11"/>
                <w:szCs w:val="11"/>
                <w:spacing w:val="-4"/>
              </w:rPr>
              <w:t>(200ml/</w:t>
            </w:r>
            <w:r>
              <w:rPr>
                <w:sz w:val="11"/>
                <w:szCs w:val="11"/>
                <w:spacing w:val="3"/>
              </w:rPr>
              <w:t xml:space="preserve"> </w:t>
            </w:r>
            <w:r>
              <w:rPr>
                <w:sz w:val="11"/>
                <w:szCs w:val="11"/>
                <w:spacing w:val="9"/>
              </w:rPr>
              <w:t>瓶)</w:t>
            </w:r>
          </w:p>
        </w:tc>
        <w:tc>
          <w:tcPr>
            <w:tcW w:w="2943" w:type="dxa"/>
            <w:vAlign w:val="top"/>
            <w:tcBorders>
              <w:bottom w:val="single" w:color="000000" w:sz="2" w:space="0"/>
              <w:top w:val="single" w:color="000000" w:sz="2" w:space="0"/>
            </w:tcBorders>
          </w:tcPr>
          <w:p>
            <w:pPr>
              <w:pStyle w:val="TableText"/>
              <w:ind w:left="18"/>
              <w:spacing w:before="74" w:line="219" w:lineRule="auto"/>
              <w:rPr>
                <w:sz w:val="11"/>
                <w:szCs w:val="11"/>
              </w:rPr>
            </w:pPr>
            <w:r>
              <w:rPr>
                <w:sz w:val="11"/>
                <w:szCs w:val="11"/>
                <w:spacing w:val="-1"/>
              </w:rPr>
              <w:t>注射虫洞，黄泥封洞</w:t>
            </w:r>
          </w:p>
        </w:tc>
      </w:tr>
      <w:tr>
        <w:trPr>
          <w:trHeight w:val="284"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34"/>
              <w:spacing w:before="94" w:line="218" w:lineRule="auto"/>
              <w:rPr>
                <w:sz w:val="11"/>
                <w:szCs w:val="11"/>
              </w:rPr>
            </w:pPr>
            <w:r>
              <w:rPr>
                <w:sz w:val="11"/>
                <w:szCs w:val="11"/>
                <w:spacing w:val="1"/>
              </w:rPr>
              <w:t>国光防蛙液剂</w:t>
            </w:r>
          </w:p>
        </w:tc>
        <w:tc>
          <w:tcPr>
            <w:tcW w:w="1739" w:type="dxa"/>
            <w:vAlign w:val="top"/>
            <w:tcBorders>
              <w:bottom w:val="single" w:color="000000" w:sz="2" w:space="0"/>
              <w:top w:val="single" w:color="000000" w:sz="2" w:space="0"/>
            </w:tcBorders>
          </w:tcPr>
          <w:p>
            <w:pPr>
              <w:pStyle w:val="TableText"/>
              <w:ind w:left="614"/>
              <w:spacing w:before="94" w:line="219" w:lineRule="auto"/>
              <w:rPr>
                <w:sz w:val="11"/>
                <w:szCs w:val="11"/>
              </w:rPr>
            </w:pPr>
            <w:r>
              <w:rPr>
                <w:sz w:val="11"/>
                <w:szCs w:val="11"/>
                <w:spacing w:val="-1"/>
              </w:rPr>
              <w:t>0.3氯菊酷</w:t>
            </w:r>
          </w:p>
        </w:tc>
        <w:tc>
          <w:tcPr>
            <w:tcW w:w="1869" w:type="dxa"/>
            <w:vAlign w:val="top"/>
            <w:tcBorders>
              <w:bottom w:val="single" w:color="000000" w:sz="2" w:space="0"/>
              <w:top w:val="single" w:color="000000" w:sz="2" w:space="0"/>
            </w:tcBorders>
          </w:tcPr>
          <w:p>
            <w:pPr>
              <w:pStyle w:val="TableText"/>
              <w:ind w:left="706"/>
              <w:spacing w:before="94" w:line="219" w:lineRule="auto"/>
              <w:rPr>
                <w:sz w:val="11"/>
                <w:szCs w:val="11"/>
              </w:rPr>
            </w:pPr>
            <w:r>
              <w:rPr>
                <w:sz w:val="11"/>
                <w:szCs w:val="11"/>
                <w:spacing w:val="-1"/>
              </w:rPr>
              <w:t>直接使用</w:t>
            </w:r>
          </w:p>
        </w:tc>
        <w:tc>
          <w:tcPr>
            <w:tcW w:w="1329" w:type="dxa"/>
            <w:vAlign w:val="top"/>
            <w:vMerge w:val="continue"/>
            <w:tcBorders>
              <w:bottom w:val="nil"/>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68"/>
              <w:spacing w:before="94" w:line="220" w:lineRule="auto"/>
              <w:rPr>
                <w:sz w:val="11"/>
                <w:szCs w:val="11"/>
              </w:rPr>
            </w:pPr>
            <w:r>
              <w:rPr>
                <w:sz w:val="11"/>
                <w:szCs w:val="11"/>
                <w:spacing w:val="4"/>
              </w:rPr>
              <w:t>(20</w:t>
            </w:r>
            <w:r>
              <w:rPr>
                <w:sz w:val="11"/>
                <w:szCs w:val="11"/>
              </w:rPr>
              <w:t>ml</w:t>
            </w:r>
            <w:r>
              <w:rPr>
                <w:sz w:val="11"/>
                <w:szCs w:val="11"/>
                <w:spacing w:val="4"/>
              </w:rPr>
              <w:t>/支)</w:t>
            </w:r>
          </w:p>
        </w:tc>
        <w:tc>
          <w:tcPr>
            <w:tcW w:w="2943" w:type="dxa"/>
            <w:vAlign w:val="top"/>
            <w:tcBorders>
              <w:bottom w:val="single" w:color="000000" w:sz="2" w:space="0"/>
              <w:top w:val="single" w:color="000000" w:sz="2" w:space="0"/>
            </w:tcBorders>
          </w:tcPr>
          <w:p>
            <w:pPr>
              <w:pStyle w:val="TableText"/>
              <w:ind w:left="18"/>
              <w:spacing w:before="94" w:line="219" w:lineRule="auto"/>
              <w:rPr>
                <w:sz w:val="11"/>
                <w:szCs w:val="11"/>
              </w:rPr>
            </w:pPr>
            <w:r>
              <w:rPr>
                <w:sz w:val="11"/>
                <w:szCs w:val="11"/>
              </w:rPr>
              <w:t>专杀篮杆性害虫胸径8-10cm用1支，每增加10</w:t>
            </w:r>
            <w:r>
              <w:rPr>
                <w:sz w:val="11"/>
                <w:szCs w:val="11"/>
                <w:spacing w:val="-1"/>
              </w:rPr>
              <w:t>cm增加1支</w:t>
            </w:r>
          </w:p>
        </w:tc>
      </w:tr>
      <w:tr>
        <w:trPr>
          <w:trHeight w:val="24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224"/>
              <w:spacing w:before="75" w:line="218" w:lineRule="auto"/>
              <w:rPr>
                <w:sz w:val="11"/>
                <w:szCs w:val="11"/>
              </w:rPr>
            </w:pPr>
            <w:r>
              <w:rPr>
                <w:sz w:val="11"/>
                <w:szCs w:val="11"/>
                <w:spacing w:val="1"/>
              </w:rPr>
              <w:t>中盛蛀干害虫专用</w:t>
            </w:r>
          </w:p>
        </w:tc>
        <w:tc>
          <w:tcPr>
            <w:tcW w:w="1739" w:type="dxa"/>
            <w:vAlign w:val="top"/>
            <w:tcBorders>
              <w:bottom w:val="single" w:color="000000" w:sz="2" w:space="0"/>
              <w:top w:val="single" w:color="000000" w:sz="2" w:space="0"/>
            </w:tcBorders>
          </w:tcPr>
          <w:p>
            <w:pPr>
              <w:pStyle w:val="TableText"/>
              <w:ind w:left="225"/>
              <w:spacing w:before="75" w:line="218" w:lineRule="auto"/>
              <w:rPr>
                <w:sz w:val="11"/>
                <w:szCs w:val="11"/>
              </w:rPr>
            </w:pPr>
            <w:r>
              <w:rPr>
                <w:sz w:val="11"/>
                <w:szCs w:val="11"/>
                <w:spacing w:val="-7"/>
              </w:rPr>
              <w:t>氟虎</w:t>
            </w:r>
            <w:r>
              <w:rPr>
                <w:sz w:val="11"/>
                <w:szCs w:val="11"/>
                <w:spacing w:val="-12"/>
              </w:rPr>
              <w:t xml:space="preserve"> </w:t>
            </w:r>
            <w:r>
              <w:rPr>
                <w:sz w:val="11"/>
                <w:szCs w:val="11"/>
                <w:spacing w:val="-7"/>
              </w:rPr>
              <w:t>·马拉松</w:t>
            </w:r>
            <w:r>
              <w:rPr>
                <w:sz w:val="11"/>
                <w:szCs w:val="11"/>
                <w:spacing w:val="-13"/>
              </w:rPr>
              <w:t xml:space="preserve"> </w:t>
            </w:r>
            <w:r>
              <w:rPr>
                <w:sz w:val="11"/>
                <w:szCs w:val="11"/>
                <w:spacing w:val="-7"/>
              </w:rPr>
              <w:t>·苦参碱20%</w:t>
            </w:r>
          </w:p>
        </w:tc>
        <w:tc>
          <w:tcPr>
            <w:tcW w:w="1869" w:type="dxa"/>
            <w:vAlign w:val="top"/>
            <w:tcBorders>
              <w:bottom w:val="single" w:color="000000" w:sz="2" w:space="0"/>
              <w:top w:val="single" w:color="000000" w:sz="2" w:space="0"/>
            </w:tcBorders>
          </w:tcPr>
          <w:p>
            <w:pPr>
              <w:pStyle w:val="TableText"/>
              <w:ind w:left="706"/>
              <w:spacing w:before="75" w:line="219" w:lineRule="auto"/>
              <w:rPr>
                <w:sz w:val="11"/>
                <w:szCs w:val="11"/>
              </w:rPr>
            </w:pPr>
            <w:r>
              <w:rPr>
                <w:sz w:val="11"/>
                <w:szCs w:val="11"/>
                <w:spacing w:val="-1"/>
              </w:rPr>
              <w:t>直接使用</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38"/>
              <w:spacing w:before="75" w:line="220" w:lineRule="auto"/>
              <w:rPr>
                <w:sz w:val="11"/>
                <w:szCs w:val="11"/>
              </w:rPr>
            </w:pPr>
            <w:r>
              <w:rPr>
                <w:sz w:val="11"/>
                <w:szCs w:val="11"/>
                <w:spacing w:val="-7"/>
              </w:rPr>
              <w:t>(</w:t>
            </w:r>
            <w:r>
              <w:rPr>
                <w:sz w:val="11"/>
                <w:szCs w:val="11"/>
                <w:spacing w:val="-18"/>
              </w:rPr>
              <w:t xml:space="preserve"> </w:t>
            </w:r>
            <w:r>
              <w:rPr>
                <w:sz w:val="11"/>
                <w:szCs w:val="11"/>
                <w:spacing w:val="-7"/>
              </w:rPr>
              <w:t>2</w:t>
            </w:r>
            <w:r>
              <w:rPr>
                <w:sz w:val="11"/>
                <w:szCs w:val="11"/>
                <w:spacing w:val="-22"/>
              </w:rPr>
              <w:t xml:space="preserve"> </w:t>
            </w:r>
            <w:r>
              <w:rPr>
                <w:sz w:val="11"/>
                <w:szCs w:val="11"/>
                <w:spacing w:val="-7"/>
              </w:rPr>
              <w:t>0</w:t>
            </w:r>
            <w:r>
              <w:rPr>
                <w:sz w:val="11"/>
                <w:szCs w:val="11"/>
                <w:spacing w:val="-26"/>
              </w:rPr>
              <w:t xml:space="preserve"> </w:t>
            </w:r>
            <w:r>
              <w:rPr>
                <w:sz w:val="11"/>
                <w:szCs w:val="11"/>
                <w:spacing w:val="-7"/>
              </w:rPr>
              <w:t>m</w:t>
            </w:r>
            <w:r>
              <w:rPr>
                <w:sz w:val="11"/>
                <w:szCs w:val="11"/>
                <w:spacing w:val="-23"/>
              </w:rPr>
              <w:t xml:space="preserve"> </w:t>
            </w:r>
            <w:r>
              <w:rPr>
                <w:sz w:val="11"/>
                <w:szCs w:val="11"/>
                <w:spacing w:val="-7"/>
              </w:rPr>
              <w:t>/</w:t>
            </w:r>
            <w:r>
              <w:rPr>
                <w:sz w:val="11"/>
                <w:szCs w:val="11"/>
                <w:spacing w:val="-22"/>
              </w:rPr>
              <w:t xml:space="preserve"> </w:t>
            </w:r>
            <w:r>
              <w:rPr>
                <w:sz w:val="11"/>
                <w:szCs w:val="11"/>
                <w:spacing w:val="-7"/>
              </w:rPr>
              <w:t>支</w:t>
            </w:r>
            <w:r>
              <w:rPr>
                <w:sz w:val="11"/>
                <w:szCs w:val="11"/>
                <w:spacing w:val="-23"/>
              </w:rPr>
              <w:t xml:space="preserve"> </w:t>
            </w:r>
            <w:r>
              <w:rPr>
                <w:sz w:val="11"/>
                <w:szCs w:val="11"/>
                <w:spacing w:val="-7"/>
              </w:rPr>
              <w:t>)</w:t>
            </w:r>
          </w:p>
        </w:tc>
        <w:tc>
          <w:tcPr>
            <w:tcW w:w="2943" w:type="dxa"/>
            <w:vAlign w:val="top"/>
            <w:tcBorders>
              <w:bottom w:val="single" w:color="000000" w:sz="2" w:space="0"/>
              <w:top w:val="single" w:color="000000" w:sz="2" w:space="0"/>
            </w:tcBorders>
          </w:tcPr>
          <w:p>
            <w:pPr>
              <w:pStyle w:val="TableText"/>
              <w:ind w:left="18"/>
              <w:spacing w:before="75" w:line="218" w:lineRule="auto"/>
              <w:rPr>
                <w:sz w:val="11"/>
                <w:szCs w:val="11"/>
              </w:rPr>
            </w:pPr>
            <w:r>
              <w:rPr>
                <w:sz w:val="11"/>
                <w:szCs w:val="11"/>
                <w:spacing w:val="-1"/>
              </w:rPr>
              <w:t>针对天牛幼虫，吉丁虫，松材线虫等蛙干害虫效果明显</w:t>
            </w:r>
          </w:p>
        </w:tc>
      </w:tr>
      <w:tr>
        <w:trPr>
          <w:trHeight w:val="285" w:hRule="atLeast"/>
        </w:trPr>
        <w:tc>
          <w:tcPr>
            <w:tcW w:w="36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spacing w:line="317" w:lineRule="auto"/>
              <w:rPr>
                <w:rFonts w:ascii="Arial"/>
                <w:sz w:val="21"/>
              </w:rPr>
            </w:pPr>
            <w:r/>
          </w:p>
          <w:p>
            <w:pPr>
              <w:pStyle w:val="TableText"/>
              <w:ind w:left="30"/>
              <w:spacing w:before="35" w:line="220" w:lineRule="auto"/>
              <w:rPr>
                <w:sz w:val="11"/>
                <w:szCs w:val="11"/>
              </w:rPr>
            </w:pPr>
            <w:r>
              <w:rPr>
                <w:sz w:val="11"/>
                <w:szCs w:val="11"/>
                <w:spacing w:val="-1"/>
              </w:rPr>
              <w:t>地下害虫</w:t>
            </w:r>
          </w:p>
        </w:tc>
        <w:tc>
          <w:tcPr>
            <w:tcW w:w="879" w:type="dxa"/>
            <w:vAlign w:val="top"/>
            <w:vMerge w:val="restart"/>
            <w:tcBorders>
              <w:bottom w:val="nil"/>
              <w:top w:val="single" w:color="000000" w:sz="2" w:space="0"/>
            </w:tcBorders>
          </w:tcPr>
          <w:p>
            <w:pPr>
              <w:spacing w:line="267" w:lineRule="auto"/>
              <w:rPr>
                <w:rFonts w:ascii="Arial"/>
                <w:sz w:val="21"/>
              </w:rPr>
            </w:pPr>
            <w:r/>
          </w:p>
          <w:p>
            <w:pPr>
              <w:pStyle w:val="TableText"/>
              <w:ind w:left="100" w:right="3" w:hanging="60"/>
              <w:spacing w:before="35" w:line="211" w:lineRule="auto"/>
              <w:rPr>
                <w:sz w:val="11"/>
                <w:szCs w:val="11"/>
              </w:rPr>
            </w:pPr>
            <w:r>
              <w:rPr>
                <w:sz w:val="11"/>
                <w:szCs w:val="11"/>
                <w:spacing w:val="7"/>
              </w:rPr>
              <w:t>蜗婚、地老虎、</w:t>
            </w:r>
            <w:r>
              <w:rPr>
                <w:sz w:val="11"/>
                <w:szCs w:val="11"/>
                <w:spacing w:val="4"/>
              </w:rPr>
              <w:t xml:space="preserve"> </w:t>
            </w:r>
            <w:r>
              <w:rPr>
                <w:sz w:val="11"/>
                <w:szCs w:val="11"/>
                <w:spacing w:val="-1"/>
              </w:rPr>
              <w:t>其他土中虫卵</w:t>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43"/>
              <w:spacing w:before="94" w:line="219" w:lineRule="auto"/>
              <w:rPr>
                <w:sz w:val="11"/>
                <w:szCs w:val="11"/>
              </w:rPr>
            </w:pPr>
            <w:r>
              <w:rPr>
                <w:sz w:val="11"/>
                <w:szCs w:val="11"/>
                <w:spacing w:val="1"/>
              </w:rPr>
              <w:t>国光地杀</w:t>
            </w:r>
          </w:p>
        </w:tc>
        <w:tc>
          <w:tcPr>
            <w:tcW w:w="1739" w:type="dxa"/>
            <w:vAlign w:val="top"/>
            <w:tcBorders>
              <w:bottom w:val="single" w:color="000000" w:sz="2" w:space="0"/>
              <w:top w:val="single" w:color="000000" w:sz="2" w:space="0"/>
            </w:tcBorders>
          </w:tcPr>
          <w:p>
            <w:pPr>
              <w:pStyle w:val="TableText"/>
              <w:ind w:left="145"/>
              <w:spacing w:before="94" w:line="218" w:lineRule="auto"/>
              <w:rPr>
                <w:sz w:val="11"/>
                <w:szCs w:val="11"/>
              </w:rPr>
            </w:pPr>
            <w:r>
              <w:rPr>
                <w:sz w:val="11"/>
                <w:szCs w:val="11"/>
                <w:spacing w:val="-1"/>
              </w:rPr>
              <w:t>5%丁硫克百威，毒死蜂颗粒剂</w:t>
            </w:r>
          </w:p>
        </w:tc>
        <w:tc>
          <w:tcPr>
            <w:tcW w:w="1869" w:type="dxa"/>
            <w:vAlign w:val="top"/>
            <w:tcBorders>
              <w:bottom w:val="single" w:color="000000" w:sz="2" w:space="0"/>
              <w:top w:val="single" w:color="000000" w:sz="2" w:space="0"/>
            </w:tcBorders>
          </w:tcPr>
          <w:p>
            <w:pPr>
              <w:pStyle w:val="TableText"/>
              <w:ind w:left="435"/>
              <w:spacing w:before="91" w:line="213" w:lineRule="auto"/>
              <w:rPr>
                <w:sz w:val="11"/>
                <w:szCs w:val="11"/>
              </w:rPr>
            </w:pPr>
            <w:r>
              <w:rPr>
                <w:sz w:val="11"/>
                <w:szCs w:val="11"/>
                <w:spacing w:val="-1"/>
              </w:rPr>
              <w:t>直接撤施：5-7kg/亩</w:t>
            </w:r>
          </w:p>
        </w:tc>
        <w:tc>
          <w:tcPr>
            <w:tcW w:w="1329" w:type="dxa"/>
            <w:vAlign w:val="top"/>
            <w:vMerge w:val="restart"/>
            <w:tcBorders>
              <w:bottom w:val="nil"/>
              <w:top w:val="single" w:color="000000" w:sz="2" w:space="0"/>
            </w:tcBorders>
          </w:tcPr>
          <w:p>
            <w:pPr>
              <w:spacing w:line="277" w:lineRule="auto"/>
              <w:rPr>
                <w:rFonts w:ascii="Arial"/>
                <w:sz w:val="21"/>
              </w:rPr>
            </w:pPr>
            <w:r/>
          </w:p>
          <w:p>
            <w:pPr>
              <w:pStyle w:val="TableText"/>
              <w:ind w:left="546" w:right="33" w:hanging="520"/>
              <w:spacing w:before="36" w:line="221" w:lineRule="auto"/>
              <w:rPr>
                <w:sz w:val="11"/>
                <w:szCs w:val="11"/>
              </w:rPr>
            </w:pPr>
            <w:r>
              <w:rPr>
                <w:sz w:val="11"/>
                <w:szCs w:val="11"/>
                <w:spacing w:val="-1"/>
              </w:rPr>
              <w:t>一般用2次，时间间隔7到[</w:t>
            </w:r>
            <w:r>
              <w:rPr>
                <w:sz w:val="11"/>
                <w:szCs w:val="11"/>
                <w:spacing w:val="5"/>
              </w:rPr>
              <w:t xml:space="preserve"> </w:t>
            </w:r>
            <w:r>
              <w:rPr>
                <w:sz w:val="11"/>
                <w:szCs w:val="11"/>
                <w:spacing w:val="-3"/>
              </w:rPr>
              <w:t>10天</w:t>
            </w:r>
          </w:p>
        </w:tc>
        <w:tc>
          <w:tcPr>
            <w:tcW w:w="650" w:type="dxa"/>
            <w:vAlign w:val="top"/>
            <w:tcBorders>
              <w:bottom w:val="single" w:color="000000" w:sz="2" w:space="0"/>
              <w:top w:val="single" w:color="000000" w:sz="2" w:space="0"/>
            </w:tcBorders>
          </w:tcPr>
          <w:p>
            <w:pPr>
              <w:pStyle w:val="TableText"/>
              <w:ind w:left="98"/>
              <w:spacing w:before="91" w:line="213" w:lineRule="auto"/>
              <w:rPr>
                <w:sz w:val="11"/>
                <w:szCs w:val="11"/>
              </w:rPr>
            </w:pPr>
            <w:r>
              <w:rPr>
                <w:sz w:val="11"/>
                <w:szCs w:val="11"/>
                <w:spacing w:val="6"/>
              </w:rPr>
              <w:t>(</w:t>
            </w:r>
            <w:r>
              <w:rPr>
                <w:sz w:val="11"/>
                <w:szCs w:val="11"/>
              </w:rPr>
              <w:t>Ikg</w:t>
            </w:r>
            <w:r>
              <w:rPr>
                <w:sz w:val="11"/>
                <w:szCs w:val="11"/>
                <w:spacing w:val="6"/>
              </w:rPr>
              <w:t>/袋)</w:t>
            </w:r>
          </w:p>
        </w:tc>
        <w:tc>
          <w:tcPr>
            <w:tcW w:w="2943" w:type="dxa"/>
            <w:vAlign w:val="top"/>
            <w:tcBorders>
              <w:bottom w:val="single" w:color="000000" w:sz="2" w:space="0"/>
              <w:top w:val="single" w:color="000000" w:sz="2" w:space="0"/>
            </w:tcBorders>
          </w:tcPr>
          <w:p>
            <w:pPr>
              <w:pStyle w:val="TableText"/>
              <w:ind w:left="18"/>
              <w:spacing w:before="94" w:line="219" w:lineRule="auto"/>
              <w:rPr>
                <w:sz w:val="11"/>
                <w:szCs w:val="11"/>
              </w:rPr>
            </w:pPr>
            <w:r>
              <w:rPr>
                <w:sz w:val="11"/>
                <w:szCs w:val="11"/>
                <w:spacing w:val="-1"/>
              </w:rPr>
              <w:t>在土壤中条灭害虫效果好，使用方便</w:t>
            </w:r>
          </w:p>
        </w:tc>
      </w:tr>
      <w:tr>
        <w:trPr>
          <w:trHeight w:val="245" w:hRule="atLeast"/>
        </w:trPr>
        <w:tc>
          <w:tcPr>
            <w:tcW w:w="36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79" w:type="dxa"/>
            <w:vAlign w:val="top"/>
            <w:vMerge w:val="continue"/>
            <w:tcBorders>
              <w:bottom w:val="nil"/>
              <w:top w:val="nil"/>
            </w:tcBorders>
          </w:tcPr>
          <w:p>
            <w:pPr>
              <w:rPr>
                <w:rFonts w:ascii="Arial"/>
                <w:sz w:val="21"/>
              </w:rPr>
            </w:pPr>
            <w:r/>
          </w:p>
        </w:tc>
        <w:tc>
          <w:tcPr>
            <w:tcW w:w="2458" w:type="dxa"/>
            <w:vAlign w:val="top"/>
            <w:vMerge w:val="continue"/>
            <w:tcBorders>
              <w:bottom w:val="nil"/>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493"/>
              <w:spacing w:before="74" w:line="219" w:lineRule="auto"/>
              <w:rPr>
                <w:sz w:val="11"/>
                <w:szCs w:val="11"/>
              </w:rPr>
            </w:pPr>
            <w:r>
              <w:rPr>
                <w:sz w:val="11"/>
                <w:szCs w:val="11"/>
                <w:spacing w:val="-2"/>
              </w:rPr>
              <w:t>克百威</w:t>
            </w:r>
          </w:p>
        </w:tc>
        <w:tc>
          <w:tcPr>
            <w:tcW w:w="1739" w:type="dxa"/>
            <w:vAlign w:val="top"/>
            <w:tcBorders>
              <w:bottom w:val="single" w:color="000000" w:sz="2" w:space="0"/>
              <w:top w:val="single" w:color="000000" w:sz="2" w:space="0"/>
            </w:tcBorders>
          </w:tcPr>
          <w:p>
            <w:pPr>
              <w:pStyle w:val="TableText"/>
              <w:ind w:left="534"/>
              <w:spacing w:before="74" w:line="218" w:lineRule="auto"/>
              <w:rPr>
                <w:sz w:val="11"/>
                <w:szCs w:val="11"/>
              </w:rPr>
            </w:pPr>
            <w:r>
              <w:rPr>
                <w:sz w:val="11"/>
                <w:szCs w:val="11"/>
                <w:spacing w:val="-1"/>
              </w:rPr>
              <w:t>毒死蟀顺粒剂</w:t>
            </w:r>
          </w:p>
        </w:tc>
        <w:tc>
          <w:tcPr>
            <w:tcW w:w="1869" w:type="dxa"/>
            <w:vAlign w:val="top"/>
            <w:tcBorders>
              <w:bottom w:val="single" w:color="000000" w:sz="2" w:space="0"/>
              <w:top w:val="single" w:color="000000" w:sz="2" w:space="0"/>
            </w:tcBorders>
          </w:tcPr>
          <w:p>
            <w:pPr>
              <w:pStyle w:val="TableText"/>
              <w:ind w:left="435"/>
              <w:spacing w:before="71" w:line="213" w:lineRule="auto"/>
              <w:rPr>
                <w:sz w:val="11"/>
                <w:szCs w:val="11"/>
              </w:rPr>
            </w:pPr>
            <w:r>
              <w:rPr>
                <w:sz w:val="11"/>
                <w:szCs w:val="11"/>
                <w:spacing w:val="-1"/>
              </w:rPr>
              <w:t>直接激施：5-7kg/亩</w:t>
            </w:r>
          </w:p>
        </w:tc>
        <w:tc>
          <w:tcPr>
            <w:tcW w:w="1329" w:type="dxa"/>
            <w:vAlign w:val="top"/>
            <w:vMerge w:val="continue"/>
            <w:tcBorders>
              <w:bottom w:val="nil"/>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98"/>
              <w:spacing w:before="71" w:line="213" w:lineRule="auto"/>
              <w:rPr>
                <w:sz w:val="11"/>
                <w:szCs w:val="11"/>
              </w:rPr>
            </w:pPr>
            <w:r>
              <w:rPr>
                <w:sz w:val="11"/>
                <w:szCs w:val="11"/>
                <w:spacing w:val="-1"/>
              </w:rPr>
              <w:t>5000g/柴</w:t>
            </w:r>
          </w:p>
        </w:tc>
        <w:tc>
          <w:tcPr>
            <w:tcW w:w="2943" w:type="dxa"/>
            <w:vAlign w:val="top"/>
            <w:tcBorders>
              <w:bottom w:val="single" w:color="000000" w:sz="2" w:space="0"/>
              <w:top w:val="single" w:color="000000" w:sz="2" w:space="0"/>
            </w:tcBorders>
          </w:tcPr>
          <w:p>
            <w:pPr>
              <w:pStyle w:val="TableText"/>
              <w:spacing w:before="34" w:line="218" w:lineRule="auto"/>
              <w:jc w:val="right"/>
              <w:rPr>
                <w:sz w:val="11"/>
                <w:szCs w:val="11"/>
              </w:rPr>
            </w:pPr>
            <w:r>
              <w:rPr>
                <w:sz w:val="11"/>
                <w:szCs w:val="11"/>
                <w:spacing w:val="-6"/>
              </w:rPr>
              <w:t>杀灭蛴蜡、赖姑，蚯蚂等地下害虫和粘虫，好虫、青虫，蚂蚁等</w:t>
            </w:r>
          </w:p>
        </w:tc>
      </w:tr>
      <w:tr>
        <w:trPr>
          <w:trHeight w:val="279" w:hRule="atLeast"/>
        </w:trPr>
        <w:tc>
          <w:tcPr>
            <w:tcW w:w="365" w:type="dxa"/>
            <w:vAlign w:val="top"/>
            <w:vMerge w:val="continue"/>
            <w:tcBorders>
              <w:bottom w:val="single" w:color="000000" w:sz="2" w:space="0"/>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79" w:type="dxa"/>
            <w:vAlign w:val="top"/>
            <w:vMerge w:val="continue"/>
            <w:tcBorders>
              <w:bottom w:val="single" w:color="000000" w:sz="2" w:space="0"/>
              <w:top w:val="nil"/>
            </w:tcBorders>
          </w:tcPr>
          <w:p>
            <w:pPr>
              <w:rPr>
                <w:rFonts w:ascii="Arial"/>
                <w:sz w:val="21"/>
              </w:rPr>
            </w:pPr>
            <w:r/>
          </w:p>
        </w:tc>
        <w:tc>
          <w:tcPr>
            <w:tcW w:w="2458" w:type="dxa"/>
            <w:vAlign w:val="top"/>
            <w:vMerge w:val="continue"/>
            <w:tcBorders>
              <w:bottom w:val="single" w:color="000000" w:sz="2" w:space="0"/>
              <w:top w:val="nil"/>
            </w:tcBorders>
          </w:tcPr>
          <w:p>
            <w:pPr>
              <w:rPr>
                <w:rFonts w:ascii="Arial"/>
                <w:sz w:val="21"/>
              </w:rPr>
            </w:pPr>
            <w:r/>
          </w:p>
        </w:tc>
        <w:tc>
          <w:tcPr>
            <w:tcW w:w="1339" w:type="dxa"/>
            <w:vAlign w:val="top"/>
            <w:tcBorders>
              <w:bottom w:val="single" w:color="000000" w:sz="2" w:space="0"/>
              <w:top w:val="single" w:color="000000" w:sz="2" w:space="0"/>
            </w:tcBorders>
          </w:tcPr>
          <w:p>
            <w:pPr>
              <w:pStyle w:val="TableText"/>
              <w:ind w:left="363"/>
              <w:spacing w:before="104" w:line="220" w:lineRule="auto"/>
              <w:rPr>
                <w:sz w:val="11"/>
                <w:szCs w:val="11"/>
              </w:rPr>
            </w:pPr>
            <w:r>
              <w:rPr>
                <w:sz w:val="11"/>
                <w:szCs w:val="11"/>
                <w:spacing w:val="-9"/>
              </w:rPr>
              <w:t>中</w:t>
            </w:r>
            <w:r>
              <w:rPr>
                <w:sz w:val="11"/>
                <w:szCs w:val="11"/>
                <w:spacing w:val="11"/>
              </w:rPr>
              <w:t xml:space="preserve"> </w:t>
            </w:r>
            <w:r>
              <w:rPr>
                <w:sz w:val="11"/>
                <w:szCs w:val="11"/>
                <w:spacing w:val="-9"/>
              </w:rPr>
              <w:t>威</w:t>
            </w:r>
            <w:r>
              <w:rPr>
                <w:sz w:val="11"/>
                <w:szCs w:val="11"/>
                <w:spacing w:val="18"/>
                <w:w w:val="101"/>
              </w:rPr>
              <w:t xml:space="preserve"> </w:t>
            </w:r>
            <w:r>
              <w:rPr>
                <w:sz w:val="11"/>
                <w:szCs w:val="11"/>
                <w:spacing w:val="-9"/>
              </w:rPr>
              <w:t>出</w:t>
            </w:r>
            <w:r>
              <w:rPr>
                <w:sz w:val="11"/>
                <w:szCs w:val="11"/>
                <w:spacing w:val="9"/>
              </w:rPr>
              <w:t xml:space="preserve"> </w:t>
            </w:r>
            <w:r>
              <w:rPr>
                <w:sz w:val="11"/>
                <w:szCs w:val="11"/>
                <w:spacing w:val="-9"/>
              </w:rPr>
              <w:t>健</w:t>
            </w:r>
          </w:p>
        </w:tc>
        <w:tc>
          <w:tcPr>
            <w:tcW w:w="1739" w:type="dxa"/>
            <w:vAlign w:val="top"/>
            <w:tcBorders>
              <w:bottom w:val="single" w:color="000000" w:sz="2" w:space="0"/>
              <w:top w:val="single" w:color="000000" w:sz="2" w:space="0"/>
            </w:tcBorders>
          </w:tcPr>
          <w:p>
            <w:pPr>
              <w:pStyle w:val="TableText"/>
              <w:ind w:left="614"/>
              <w:spacing w:before="84" w:line="219" w:lineRule="auto"/>
              <w:rPr>
                <w:sz w:val="11"/>
                <w:szCs w:val="11"/>
              </w:rPr>
            </w:pPr>
            <w:r>
              <w:rPr>
                <w:sz w:val="11"/>
                <w:szCs w:val="11"/>
                <w:spacing w:val="-1"/>
              </w:rPr>
              <w:t>二嗪磷20%</w:t>
            </w:r>
          </w:p>
        </w:tc>
        <w:tc>
          <w:tcPr>
            <w:tcW w:w="1869" w:type="dxa"/>
            <w:vAlign w:val="top"/>
            <w:tcBorders>
              <w:bottom w:val="single" w:color="000000" w:sz="2" w:space="0"/>
              <w:top w:val="single" w:color="000000" w:sz="2" w:space="0"/>
            </w:tcBorders>
          </w:tcPr>
          <w:p>
            <w:pPr>
              <w:pStyle w:val="TableText"/>
              <w:ind w:left="405"/>
              <w:spacing w:before="90" w:line="213" w:lineRule="auto"/>
              <w:rPr>
                <w:sz w:val="11"/>
                <w:szCs w:val="11"/>
              </w:rPr>
            </w:pPr>
            <w:r>
              <w:rPr>
                <w:sz w:val="11"/>
                <w:szCs w:val="11"/>
                <w:spacing w:val="-1"/>
              </w:rPr>
              <w:t>直接撒施，每亩L-2kg</w:t>
            </w:r>
          </w:p>
        </w:tc>
        <w:tc>
          <w:tcPr>
            <w:tcW w:w="1329" w:type="dxa"/>
            <w:vAlign w:val="top"/>
            <w:vMerge w:val="continue"/>
            <w:tcBorders>
              <w:bottom w:val="single" w:color="000000" w:sz="2" w:space="0"/>
              <w:top w:val="nil"/>
            </w:tcBorders>
          </w:tcPr>
          <w:p>
            <w:pPr>
              <w:rPr>
                <w:rFonts w:ascii="Arial"/>
                <w:sz w:val="21"/>
              </w:rPr>
            </w:pPr>
            <w:r/>
          </w:p>
        </w:tc>
        <w:tc>
          <w:tcPr>
            <w:tcW w:w="650" w:type="dxa"/>
            <w:vAlign w:val="top"/>
            <w:tcBorders>
              <w:bottom w:val="single" w:color="000000" w:sz="2" w:space="0"/>
              <w:top w:val="single" w:color="000000" w:sz="2" w:space="0"/>
            </w:tcBorders>
          </w:tcPr>
          <w:p>
            <w:pPr>
              <w:pStyle w:val="TableText"/>
              <w:ind w:left="98"/>
              <w:spacing w:before="101" w:line="213" w:lineRule="auto"/>
              <w:rPr>
                <w:sz w:val="11"/>
                <w:szCs w:val="11"/>
              </w:rPr>
            </w:pPr>
            <w:r>
              <w:rPr>
                <w:sz w:val="11"/>
                <w:szCs w:val="11"/>
                <w:spacing w:val="6"/>
              </w:rPr>
              <w:t>(</w:t>
            </w:r>
            <w:r>
              <w:rPr>
                <w:sz w:val="11"/>
                <w:szCs w:val="11"/>
              </w:rPr>
              <w:t>Ikg</w:t>
            </w:r>
            <w:r>
              <w:rPr>
                <w:sz w:val="11"/>
                <w:szCs w:val="11"/>
                <w:spacing w:val="6"/>
              </w:rPr>
              <w:t>/装)</w:t>
            </w:r>
          </w:p>
        </w:tc>
        <w:tc>
          <w:tcPr>
            <w:tcW w:w="2943" w:type="dxa"/>
            <w:vAlign w:val="top"/>
            <w:tcBorders>
              <w:bottom w:val="single" w:color="000000" w:sz="2" w:space="0"/>
              <w:top w:val="single" w:color="000000" w:sz="2" w:space="0"/>
            </w:tcBorders>
          </w:tcPr>
          <w:p>
            <w:pPr>
              <w:pStyle w:val="TableText"/>
              <w:ind w:left="18"/>
              <w:spacing w:before="84" w:line="218" w:lineRule="auto"/>
              <w:rPr>
                <w:sz w:val="11"/>
                <w:szCs w:val="11"/>
              </w:rPr>
            </w:pPr>
            <w:r>
              <w:rPr>
                <w:sz w:val="11"/>
                <w:szCs w:val="11"/>
                <w:spacing w:val="1"/>
              </w:rPr>
              <w:t>专治草坪地下害虫(蛴蜻，金针虫，地老虎，根括</w:t>
            </w:r>
            <w:r>
              <w:rPr>
                <w:sz w:val="11"/>
                <w:szCs w:val="11"/>
              </w:rPr>
              <w:t>线虫等)</w:t>
            </w:r>
          </w:p>
        </w:tc>
      </w:tr>
    </w:tbl>
    <w:p>
      <w:pPr>
        <w:spacing w:line="14" w:lineRule="auto"/>
        <w:rPr>
          <w:rFonts w:ascii="Arial"/>
          <w:sz w:val="2"/>
        </w:rPr>
      </w:pPr>
      <w:r/>
    </w:p>
    <w:p>
      <w:pPr>
        <w:spacing w:line="14" w:lineRule="auto"/>
        <w:sectPr>
          <w:pgSz w:w="14490" w:h="10240"/>
          <w:pgMar w:top="125" w:right="214" w:bottom="205" w:left="164" w:header="0" w:footer="0" w:gutter="0"/>
        </w:sectPr>
        <w:rPr>
          <w:rFonts w:ascii="Arial" w:hAnsi="Arial" w:eastAsia="Arial" w:cs="Arial"/>
          <w:sz w:val="2"/>
          <w:szCs w:val="2"/>
        </w:rPr>
      </w:pPr>
    </w:p>
    <w:tbl>
      <w:tblPr>
        <w:tblStyle w:val="TableNormal"/>
        <w:tblW w:w="141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65"/>
        <w:gridCol w:w="539"/>
        <w:gridCol w:w="879"/>
        <w:gridCol w:w="2458"/>
        <w:gridCol w:w="1339"/>
        <w:gridCol w:w="1739"/>
        <w:gridCol w:w="1859"/>
        <w:gridCol w:w="1339"/>
        <w:gridCol w:w="640"/>
        <w:gridCol w:w="2943"/>
      </w:tblGrid>
      <w:tr>
        <w:trPr>
          <w:trHeight w:val="464" w:hRule="atLeast"/>
        </w:trPr>
        <w:tc>
          <w:tcPr>
            <w:tcW w:w="365" w:type="dxa"/>
            <w:vAlign w:val="top"/>
          </w:tcPr>
          <w:p>
            <w:pPr>
              <w:pStyle w:val="TableText"/>
              <w:ind w:left="66"/>
              <w:spacing w:before="178" w:line="219" w:lineRule="auto"/>
              <w:rPr>
                <w:sz w:val="11"/>
                <w:szCs w:val="11"/>
              </w:rPr>
            </w:pPr>
            <w:r>
              <w:rPr>
                <w:sz w:val="11"/>
                <w:szCs w:val="11"/>
                <w:b/>
                <w:bCs/>
                <w:spacing w:val="-3"/>
              </w:rPr>
              <w:t>分类</w:t>
            </w:r>
          </w:p>
        </w:tc>
        <w:tc>
          <w:tcPr>
            <w:tcW w:w="539" w:type="dxa"/>
            <w:vAlign w:val="top"/>
          </w:tcPr>
          <w:p>
            <w:pPr>
              <w:pStyle w:val="TableText"/>
              <w:ind w:left="71"/>
              <w:spacing w:before="28" w:line="219" w:lineRule="auto"/>
              <w:rPr>
                <w:sz w:val="11"/>
                <w:szCs w:val="11"/>
              </w:rPr>
            </w:pPr>
            <w:r>
              <w:rPr>
                <w:sz w:val="11"/>
                <w:szCs w:val="11"/>
                <w:b/>
                <w:bCs/>
                <w:spacing w:val="-3"/>
              </w:rPr>
              <w:t>消杀预防</w:t>
            </w:r>
          </w:p>
          <w:p>
            <w:pPr>
              <w:pStyle w:val="TableText"/>
              <w:ind w:left="61"/>
              <w:spacing w:before="19" w:line="201" w:lineRule="auto"/>
              <w:rPr>
                <w:sz w:val="11"/>
                <w:szCs w:val="11"/>
              </w:rPr>
            </w:pPr>
            <w:r>
              <w:rPr>
                <w:sz w:val="11"/>
                <w:szCs w:val="11"/>
                <w:b/>
                <w:bCs/>
                <w:spacing w:val="-2"/>
              </w:rPr>
              <w:t>及病虫害</w:t>
            </w:r>
          </w:p>
          <w:p>
            <w:pPr>
              <w:pStyle w:val="TableText"/>
              <w:ind w:left="171"/>
              <w:spacing w:line="219" w:lineRule="auto"/>
              <w:rPr>
                <w:sz w:val="11"/>
                <w:szCs w:val="11"/>
              </w:rPr>
            </w:pPr>
            <w:r>
              <w:rPr>
                <w:sz w:val="11"/>
                <w:szCs w:val="11"/>
                <w:b/>
                <w:bCs/>
                <w:spacing w:val="-3"/>
              </w:rPr>
              <w:t>分类</w:t>
            </w:r>
          </w:p>
        </w:tc>
        <w:tc>
          <w:tcPr>
            <w:tcW w:w="879" w:type="dxa"/>
            <w:vAlign w:val="top"/>
          </w:tcPr>
          <w:p>
            <w:pPr>
              <w:pStyle w:val="TableText"/>
              <w:ind w:left="152"/>
              <w:spacing w:before="178" w:line="219" w:lineRule="auto"/>
              <w:rPr>
                <w:sz w:val="11"/>
                <w:szCs w:val="11"/>
              </w:rPr>
            </w:pPr>
            <w:r>
              <w:rPr>
                <w:sz w:val="11"/>
                <w:szCs w:val="11"/>
                <w:b/>
                <w:bCs/>
                <w:spacing w:val="-3"/>
              </w:rPr>
              <w:t>常见病虫害</w:t>
            </w:r>
          </w:p>
        </w:tc>
        <w:tc>
          <w:tcPr>
            <w:tcW w:w="2458" w:type="dxa"/>
            <w:vAlign w:val="top"/>
          </w:tcPr>
          <w:p>
            <w:pPr>
              <w:pStyle w:val="TableText"/>
              <w:ind w:left="893"/>
              <w:spacing w:before="178" w:line="219" w:lineRule="auto"/>
              <w:rPr>
                <w:sz w:val="11"/>
                <w:szCs w:val="11"/>
              </w:rPr>
            </w:pPr>
            <w:r>
              <w:rPr>
                <w:sz w:val="11"/>
                <w:szCs w:val="11"/>
                <w:b/>
                <w:bCs/>
                <w:spacing w:val="-2"/>
              </w:rPr>
              <w:t>主要发病月份</w:t>
            </w:r>
          </w:p>
        </w:tc>
        <w:tc>
          <w:tcPr>
            <w:tcW w:w="1339" w:type="dxa"/>
            <w:vAlign w:val="top"/>
          </w:tcPr>
          <w:p>
            <w:pPr>
              <w:pStyle w:val="TableText"/>
              <w:ind w:left="445"/>
              <w:spacing w:before="178" w:line="220" w:lineRule="auto"/>
              <w:rPr>
                <w:sz w:val="11"/>
                <w:szCs w:val="11"/>
              </w:rPr>
            </w:pPr>
            <w:r>
              <w:rPr>
                <w:sz w:val="11"/>
                <w:szCs w:val="11"/>
                <w:b/>
                <w:bCs/>
                <w:spacing w:val="-3"/>
              </w:rPr>
              <w:t>药品名称</w:t>
            </w:r>
          </w:p>
        </w:tc>
        <w:tc>
          <w:tcPr>
            <w:tcW w:w="1739" w:type="dxa"/>
            <w:vAlign w:val="top"/>
          </w:tcPr>
          <w:p>
            <w:pPr>
              <w:pStyle w:val="TableText"/>
              <w:ind w:left="646"/>
              <w:spacing w:before="178" w:line="220" w:lineRule="auto"/>
              <w:rPr>
                <w:sz w:val="11"/>
                <w:szCs w:val="11"/>
              </w:rPr>
            </w:pPr>
            <w:r>
              <w:rPr>
                <w:sz w:val="11"/>
                <w:szCs w:val="11"/>
                <w:b/>
                <w:bCs/>
                <w:spacing w:val="-3"/>
              </w:rPr>
              <w:t>主要成分</w:t>
            </w:r>
          </w:p>
        </w:tc>
        <w:tc>
          <w:tcPr>
            <w:tcW w:w="1859" w:type="dxa"/>
            <w:vAlign w:val="top"/>
          </w:tcPr>
          <w:p>
            <w:pPr>
              <w:pStyle w:val="TableText"/>
              <w:ind w:left="707"/>
              <w:spacing w:before="178" w:line="219" w:lineRule="auto"/>
              <w:rPr>
                <w:sz w:val="11"/>
                <w:szCs w:val="11"/>
              </w:rPr>
            </w:pPr>
            <w:r>
              <w:rPr>
                <w:sz w:val="11"/>
                <w:szCs w:val="11"/>
                <w:b/>
                <w:bCs/>
                <w:spacing w:val="-3"/>
              </w:rPr>
              <w:t>使用倍率</w:t>
            </w:r>
          </w:p>
        </w:tc>
        <w:tc>
          <w:tcPr>
            <w:tcW w:w="1339" w:type="dxa"/>
            <w:vAlign w:val="top"/>
          </w:tcPr>
          <w:p>
            <w:pPr>
              <w:pStyle w:val="TableText"/>
              <w:ind w:left="448"/>
              <w:spacing w:before="178" w:line="219" w:lineRule="auto"/>
              <w:rPr>
                <w:sz w:val="11"/>
                <w:szCs w:val="11"/>
              </w:rPr>
            </w:pPr>
            <w:r>
              <w:rPr>
                <w:sz w:val="11"/>
                <w:szCs w:val="11"/>
                <w:b/>
                <w:bCs/>
                <w:spacing w:val="-2"/>
              </w:rPr>
              <w:t>施用次数</w:t>
            </w:r>
          </w:p>
        </w:tc>
        <w:tc>
          <w:tcPr>
            <w:tcW w:w="640" w:type="dxa"/>
            <w:vAlign w:val="top"/>
          </w:tcPr>
          <w:p>
            <w:pPr>
              <w:pStyle w:val="TableText"/>
              <w:ind w:left="209"/>
              <w:spacing w:before="178" w:line="219" w:lineRule="auto"/>
              <w:rPr>
                <w:sz w:val="11"/>
                <w:szCs w:val="11"/>
              </w:rPr>
            </w:pPr>
            <w:r>
              <w:rPr>
                <w:sz w:val="11"/>
                <w:szCs w:val="11"/>
                <w:b/>
                <w:bCs/>
                <w:spacing w:val="-3"/>
              </w:rPr>
              <w:t>规格</w:t>
            </w:r>
          </w:p>
        </w:tc>
        <w:tc>
          <w:tcPr>
            <w:tcW w:w="2943" w:type="dxa"/>
            <w:vAlign w:val="top"/>
          </w:tcPr>
          <w:p>
            <w:pPr>
              <w:pStyle w:val="TableText"/>
              <w:ind w:left="1359"/>
              <w:spacing w:before="178" w:line="220" w:lineRule="auto"/>
              <w:rPr>
                <w:sz w:val="11"/>
                <w:szCs w:val="11"/>
              </w:rPr>
            </w:pPr>
            <w:r>
              <w:rPr>
                <w:sz w:val="11"/>
                <w:szCs w:val="11"/>
                <w:b/>
                <w:bCs/>
                <w:spacing w:val="-3"/>
              </w:rPr>
              <w:t>各注</w:t>
            </w:r>
          </w:p>
        </w:tc>
      </w:tr>
      <w:tr>
        <w:trPr>
          <w:trHeight w:val="280" w:hRule="atLeast"/>
        </w:trPr>
        <w:tc>
          <w:tcPr>
            <w:tcW w:w="365"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4"/>
              <w:spacing w:before="36" w:line="219" w:lineRule="auto"/>
              <w:rPr>
                <w:sz w:val="11"/>
                <w:szCs w:val="11"/>
              </w:rPr>
            </w:pPr>
            <w:r>
              <w:rPr>
                <w:sz w:val="11"/>
                <w:szCs w:val="11"/>
                <w:spacing w:val="-2"/>
              </w:rPr>
              <w:t>营养剂</w:t>
            </w:r>
          </w:p>
          <w:p>
            <w:pPr>
              <w:pStyle w:val="TableText"/>
              <w:ind w:left="34"/>
              <w:spacing w:before="9" w:line="219" w:lineRule="auto"/>
              <w:rPr>
                <w:sz w:val="11"/>
                <w:szCs w:val="11"/>
              </w:rPr>
            </w:pPr>
            <w:r>
              <w:rPr>
                <w:sz w:val="11"/>
                <w:szCs w:val="11"/>
                <w:spacing w:val="-1"/>
              </w:rPr>
              <w:t>/肥科</w:t>
            </w:r>
          </w:p>
        </w:tc>
        <w:tc>
          <w:tcPr>
            <w:tcW w:w="539"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40"/>
              <w:spacing w:before="36" w:line="219" w:lineRule="auto"/>
              <w:rPr>
                <w:sz w:val="11"/>
                <w:szCs w:val="11"/>
              </w:rPr>
            </w:pPr>
            <w:r>
              <w:rPr>
                <w:sz w:val="11"/>
                <w:szCs w:val="11"/>
                <w:spacing w:val="-1"/>
              </w:rPr>
              <w:t>树木复壮</w:t>
            </w:r>
          </w:p>
        </w:tc>
        <w:tc>
          <w:tcPr>
            <w:tcW w:w="879" w:type="dxa"/>
            <w:vAlign w:val="top"/>
            <w:vMerge w:val="restart"/>
            <w:tcBorders>
              <w:bottom w:val="nil"/>
            </w:tcBorders>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40"/>
              <w:spacing w:before="36" w:line="219" w:lineRule="auto"/>
              <w:rPr>
                <w:sz w:val="11"/>
                <w:szCs w:val="11"/>
              </w:rPr>
            </w:pPr>
            <w:r>
              <w:rPr>
                <w:sz w:val="11"/>
                <w:szCs w:val="11"/>
                <w:spacing w:val="2"/>
              </w:rPr>
              <w:t>树木长势弱，自</w:t>
            </w:r>
          </w:p>
          <w:p>
            <w:pPr>
              <w:pStyle w:val="TableText"/>
              <w:ind w:left="40"/>
              <w:spacing w:before="9" w:line="218" w:lineRule="auto"/>
              <w:rPr>
                <w:sz w:val="11"/>
                <w:szCs w:val="11"/>
              </w:rPr>
            </w:pPr>
            <w:r>
              <w:rPr>
                <w:sz w:val="11"/>
                <w:szCs w:val="11"/>
                <w:spacing w:val="-1"/>
              </w:rPr>
              <w:t>项部向下有枯黄</w:t>
            </w:r>
          </w:p>
          <w:p>
            <w:pPr>
              <w:pStyle w:val="TableText"/>
              <w:ind w:left="20" w:right="63" w:firstLine="19"/>
              <w:spacing w:line="237" w:lineRule="auto"/>
              <w:rPr>
                <w:sz w:val="11"/>
                <w:szCs w:val="11"/>
              </w:rPr>
            </w:pPr>
            <w:r>
              <w:rPr>
                <w:sz w:val="11"/>
                <w:szCs w:val="11"/>
                <w:spacing w:val="-1"/>
              </w:rPr>
              <w:t>现象，或高大乔</w:t>
            </w:r>
            <w:r>
              <w:rPr>
                <w:sz w:val="11"/>
                <w:szCs w:val="11"/>
              </w:rPr>
              <w:t xml:space="preserve"> </w:t>
            </w:r>
            <w:r>
              <w:rPr>
                <w:sz w:val="11"/>
                <w:szCs w:val="11"/>
                <w:spacing w:val="-1"/>
              </w:rPr>
              <w:t>木及贵重树木</w:t>
            </w:r>
          </w:p>
        </w:tc>
        <w:tc>
          <w:tcPr>
            <w:tcW w:w="2458"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12" w:right="1"/>
              <w:spacing w:before="36" w:line="224" w:lineRule="auto"/>
              <w:rPr>
                <w:sz w:val="11"/>
                <w:szCs w:val="11"/>
              </w:rPr>
            </w:pPr>
            <w:r>
              <w:rPr>
                <w:sz w:val="11"/>
                <w:szCs w:val="11"/>
                <w:spacing w:val="-5"/>
              </w:rPr>
              <w:t>一、复壮直放在树木发芽前或刚发芽：一方面是对树</w:t>
            </w:r>
            <w:r>
              <w:rPr>
                <w:sz w:val="11"/>
                <w:szCs w:val="11"/>
                <w:spacing w:val="18"/>
              </w:rPr>
              <w:t xml:space="preserve"> </w:t>
            </w:r>
            <w:r>
              <w:rPr>
                <w:sz w:val="11"/>
                <w:szCs w:val="11"/>
                <w:spacing w:val="-5"/>
              </w:rPr>
              <w:t>干的补水，另一方面是对根系的促生长，第三方面放</w:t>
            </w:r>
            <w:r>
              <w:rPr>
                <w:sz w:val="11"/>
                <w:szCs w:val="11"/>
                <w:spacing w:val="18"/>
              </w:rPr>
              <w:t xml:space="preserve"> </w:t>
            </w:r>
            <w:r>
              <w:rPr>
                <w:sz w:val="11"/>
                <w:szCs w:val="11"/>
                <w:spacing w:val="9"/>
              </w:rPr>
              <w:t>是补充肥力；</w:t>
            </w:r>
          </w:p>
          <w:p>
            <w:pPr>
              <w:pStyle w:val="TableText"/>
              <w:ind w:left="12"/>
              <w:spacing w:before="10" w:line="219" w:lineRule="auto"/>
              <w:rPr>
                <w:sz w:val="11"/>
                <w:szCs w:val="11"/>
              </w:rPr>
            </w:pPr>
            <w:r>
              <w:rPr>
                <w:sz w:val="11"/>
                <w:szCs w:val="11"/>
                <w:spacing w:val="-4"/>
              </w:rPr>
              <w:t>三、对予后期出现的树木长势囊弱，应查明</w:t>
            </w:r>
            <w:r>
              <w:rPr>
                <w:sz w:val="11"/>
                <w:szCs w:val="11"/>
                <w:spacing w:val="-5"/>
              </w:rPr>
              <w:t>原因。做</w:t>
            </w:r>
            <w:r>
              <w:rPr>
                <w:sz w:val="11"/>
                <w:szCs w:val="11"/>
              </w:rPr>
              <w:t xml:space="preserve"> </w:t>
            </w:r>
            <w:r>
              <w:rPr>
                <w:sz w:val="11"/>
                <w:szCs w:val="11"/>
                <w:spacing w:val="10"/>
              </w:rPr>
              <w:t>专项治疗；</w:t>
            </w:r>
          </w:p>
          <w:p>
            <w:pPr>
              <w:pStyle w:val="TableText"/>
              <w:ind w:left="12"/>
              <w:spacing w:before="8" w:line="207" w:lineRule="auto"/>
              <w:rPr>
                <w:sz w:val="11"/>
                <w:szCs w:val="11"/>
              </w:rPr>
            </w:pPr>
            <w:r>
              <w:rPr>
                <w:sz w:val="11"/>
                <w:szCs w:val="11"/>
                <w:spacing w:val="-1"/>
              </w:rPr>
              <w:t>三、主要集中在4月中知-6月初，气温上升。空气</w:t>
            </w:r>
            <w:r>
              <w:rPr>
                <w:sz w:val="11"/>
                <w:szCs w:val="11"/>
                <w:spacing w:val="8"/>
              </w:rPr>
              <w:t xml:space="preserve">  </w:t>
            </w:r>
            <w:r>
              <w:rPr>
                <w:sz w:val="11"/>
                <w:szCs w:val="11"/>
                <w:spacing w:val="-4"/>
              </w:rPr>
              <w:t>湿度增加，苗木结束休系期开始返青，是树</w:t>
            </w:r>
            <w:r>
              <w:rPr>
                <w:sz w:val="11"/>
                <w:szCs w:val="11"/>
                <w:spacing w:val="-5"/>
              </w:rPr>
              <w:t>本复壮最</w:t>
            </w:r>
            <w:r>
              <w:rPr>
                <w:sz w:val="11"/>
                <w:szCs w:val="11"/>
              </w:rPr>
              <w:t xml:space="preserve"> </w:t>
            </w:r>
            <w:r>
              <w:rPr>
                <w:sz w:val="11"/>
                <w:szCs w:val="11"/>
                <w:spacing w:val="-1"/>
              </w:rPr>
              <w:t>住时机：</w:t>
            </w:r>
          </w:p>
          <w:p>
            <w:pPr>
              <w:pStyle w:val="TableText"/>
              <w:ind w:left="12"/>
              <w:spacing w:before="30" w:line="219" w:lineRule="auto"/>
              <w:rPr>
                <w:sz w:val="11"/>
                <w:szCs w:val="11"/>
              </w:rPr>
            </w:pPr>
            <w:r>
              <w:rPr>
                <w:sz w:val="11"/>
                <w:szCs w:val="11"/>
              </w:rPr>
              <w:t>四、7-8月有个别情况，做专项治疗。</w:t>
            </w:r>
          </w:p>
        </w:tc>
        <w:tc>
          <w:tcPr>
            <w:tcW w:w="1339" w:type="dxa"/>
            <w:vAlign w:val="top"/>
          </w:tcPr>
          <w:p>
            <w:pPr>
              <w:pStyle w:val="TableText"/>
              <w:ind w:left="333"/>
              <w:spacing w:before="85" w:line="219" w:lineRule="auto"/>
              <w:rPr>
                <w:sz w:val="11"/>
                <w:szCs w:val="11"/>
              </w:rPr>
            </w:pPr>
            <w:r>
              <w:rPr>
                <w:sz w:val="11"/>
                <w:szCs w:val="11"/>
                <w:spacing w:val="-3"/>
              </w:rPr>
              <w:t>国光吊针原液</w:t>
            </w:r>
          </w:p>
        </w:tc>
        <w:tc>
          <w:tcPr>
            <w:tcW w:w="1739" w:type="dxa"/>
            <w:vAlign w:val="top"/>
          </w:tcPr>
          <w:p>
            <w:pPr>
              <w:pStyle w:val="TableText"/>
              <w:ind w:left="145"/>
              <w:spacing w:before="84" w:line="219" w:lineRule="auto"/>
              <w:rPr>
                <w:sz w:val="11"/>
                <w:szCs w:val="11"/>
              </w:rPr>
            </w:pPr>
            <w:r>
              <w:rPr>
                <w:sz w:val="11"/>
                <w:szCs w:val="11"/>
                <w:spacing w:val="1"/>
              </w:rPr>
              <w:t>12X含氨基酸水沿肥科(碾+锌)</w:t>
            </w:r>
          </w:p>
        </w:tc>
        <w:tc>
          <w:tcPr>
            <w:tcW w:w="1859" w:type="dxa"/>
            <w:vAlign w:val="top"/>
          </w:tcPr>
          <w:p>
            <w:pPr>
              <w:pStyle w:val="TableText"/>
              <w:ind w:left="505"/>
              <w:spacing w:before="85" w:line="219" w:lineRule="auto"/>
              <w:rPr>
                <w:sz w:val="11"/>
                <w:szCs w:val="11"/>
              </w:rPr>
            </w:pPr>
            <w:r>
              <w:rPr>
                <w:sz w:val="11"/>
                <w:szCs w:val="11"/>
                <w:spacing w:val="-1"/>
              </w:rPr>
              <w:t>裤释1000-1200倍</w:t>
            </w:r>
          </w:p>
        </w:tc>
        <w:tc>
          <w:tcPr>
            <w:tcW w:w="1339"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277"/>
              <w:spacing w:before="36" w:line="219" w:lineRule="auto"/>
              <w:rPr>
                <w:sz w:val="11"/>
                <w:szCs w:val="11"/>
              </w:rPr>
            </w:pPr>
            <w:r>
              <w:rPr>
                <w:sz w:val="11"/>
                <w:szCs w:val="11"/>
                <w:spacing w:val="-1"/>
              </w:rPr>
              <w:t>视树木生长情况</w:t>
            </w:r>
          </w:p>
        </w:tc>
        <w:tc>
          <w:tcPr>
            <w:tcW w:w="640" w:type="dxa"/>
            <w:vAlign w:val="top"/>
          </w:tcPr>
          <w:p>
            <w:pPr>
              <w:pStyle w:val="TableText"/>
              <w:ind w:left="68"/>
              <w:spacing w:before="81" w:line="214" w:lineRule="auto"/>
              <w:rPr>
                <w:sz w:val="11"/>
                <w:szCs w:val="11"/>
              </w:rPr>
            </w:pPr>
            <w:r>
              <w:rPr>
                <w:sz w:val="11"/>
                <w:szCs w:val="11"/>
                <w:spacing w:val="2"/>
              </w:rPr>
              <w:t>(200g/瓶)</w:t>
            </w:r>
          </w:p>
        </w:tc>
        <w:tc>
          <w:tcPr>
            <w:tcW w:w="2943" w:type="dxa"/>
            <w:vAlign w:val="top"/>
          </w:tcPr>
          <w:p>
            <w:pPr>
              <w:pStyle w:val="TableText"/>
              <w:ind w:left="18"/>
              <w:spacing w:before="84" w:line="219" w:lineRule="auto"/>
              <w:rPr>
                <w:sz w:val="11"/>
                <w:szCs w:val="11"/>
              </w:rPr>
            </w:pPr>
            <w:r>
              <w:rPr>
                <w:sz w:val="11"/>
                <w:szCs w:val="11"/>
                <w:spacing w:val="-1"/>
              </w:rPr>
              <w:t>补充本分和养分，促进快速成活</w:t>
            </w:r>
          </w:p>
        </w:tc>
      </w:tr>
      <w:tr>
        <w:trPr>
          <w:trHeight w:val="300"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83"/>
              <w:spacing w:before="95" w:line="220" w:lineRule="auto"/>
              <w:rPr>
                <w:sz w:val="11"/>
                <w:szCs w:val="11"/>
              </w:rPr>
            </w:pPr>
            <w:r>
              <w:rPr>
                <w:sz w:val="11"/>
                <w:szCs w:val="11"/>
                <w:spacing w:val="-3"/>
              </w:rPr>
              <w:t>中成吊针液</w:t>
            </w:r>
          </w:p>
        </w:tc>
        <w:tc>
          <w:tcPr>
            <w:tcW w:w="1739" w:type="dxa"/>
            <w:vAlign w:val="top"/>
          </w:tcPr>
          <w:p>
            <w:pPr>
              <w:pStyle w:val="TableText"/>
              <w:ind w:left="145"/>
              <w:spacing w:before="93" w:line="216" w:lineRule="auto"/>
              <w:rPr>
                <w:sz w:val="11"/>
                <w:szCs w:val="11"/>
              </w:rPr>
            </w:pPr>
            <w:r>
              <w:rPr>
                <w:sz w:val="11"/>
                <w:szCs w:val="11"/>
                <w:spacing w:val="-1"/>
              </w:rPr>
              <w:t>DM-6,甲壳意、硼镁锌等2.85%</w:t>
            </w:r>
          </w:p>
        </w:tc>
        <w:tc>
          <w:tcPr>
            <w:tcW w:w="1859" w:type="dxa"/>
            <w:vAlign w:val="top"/>
          </w:tcPr>
          <w:p>
            <w:pPr>
              <w:pStyle w:val="TableText"/>
              <w:ind w:left="536"/>
              <w:spacing w:before="95" w:line="219" w:lineRule="auto"/>
              <w:rPr>
                <w:sz w:val="11"/>
                <w:szCs w:val="11"/>
              </w:rPr>
            </w:pPr>
            <w:r>
              <w:rPr>
                <w:sz w:val="11"/>
                <w:szCs w:val="11"/>
                <w:spacing w:val="-1"/>
              </w:rPr>
              <w:t>稀释60-100倍液</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148"/>
              <w:spacing w:before="91" w:line="214" w:lineRule="auto"/>
              <w:rPr>
                <w:sz w:val="11"/>
                <w:szCs w:val="11"/>
              </w:rPr>
            </w:pPr>
            <w:r>
              <w:rPr>
                <w:sz w:val="11"/>
                <w:szCs w:val="11"/>
                <w:spacing w:val="-3"/>
              </w:rPr>
              <w:t>Ikg/装</w:t>
            </w:r>
          </w:p>
        </w:tc>
        <w:tc>
          <w:tcPr>
            <w:tcW w:w="2943" w:type="dxa"/>
            <w:vAlign w:val="top"/>
          </w:tcPr>
          <w:p>
            <w:pPr>
              <w:pStyle w:val="TableText"/>
              <w:ind w:left="18"/>
              <w:spacing w:before="94" w:line="219" w:lineRule="auto"/>
              <w:rPr>
                <w:sz w:val="11"/>
                <w:szCs w:val="11"/>
              </w:rPr>
            </w:pPr>
            <w:r>
              <w:rPr>
                <w:sz w:val="11"/>
                <w:szCs w:val="11"/>
                <w:spacing w:val="-1"/>
              </w:rPr>
              <w:t>促使树体健壮，迅速补充营养，增强抗性，提高域活率</w:t>
            </w:r>
          </w:p>
        </w:tc>
      </w:tr>
      <w:tr>
        <w:trPr>
          <w:trHeight w:val="270"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04"/>
              <w:spacing w:before="75" w:line="219" w:lineRule="auto"/>
              <w:rPr>
                <w:sz w:val="11"/>
                <w:szCs w:val="11"/>
              </w:rPr>
            </w:pPr>
            <w:r>
              <w:rPr>
                <w:sz w:val="11"/>
                <w:szCs w:val="11"/>
                <w:spacing w:val="-2"/>
              </w:rPr>
              <w:t>国光根动力2号</w:t>
            </w:r>
          </w:p>
        </w:tc>
        <w:tc>
          <w:tcPr>
            <w:tcW w:w="1739" w:type="dxa"/>
            <w:vAlign w:val="top"/>
          </w:tcPr>
          <w:p>
            <w:pPr>
              <w:pStyle w:val="TableText"/>
              <w:ind w:left="285"/>
              <w:spacing w:before="74" w:line="219" w:lineRule="auto"/>
              <w:rPr>
                <w:sz w:val="11"/>
                <w:szCs w:val="11"/>
              </w:rPr>
            </w:pPr>
            <w:r>
              <w:rPr>
                <w:sz w:val="11"/>
                <w:szCs w:val="11"/>
                <w:spacing w:val="1"/>
              </w:rPr>
              <w:t>13%含氨基酸水溶肥(钙)</w:t>
            </w:r>
          </w:p>
        </w:tc>
        <w:tc>
          <w:tcPr>
            <w:tcW w:w="1859" w:type="dxa"/>
            <w:vAlign w:val="top"/>
          </w:tcPr>
          <w:p>
            <w:pPr>
              <w:pStyle w:val="TableText"/>
              <w:ind w:left="485"/>
              <w:spacing w:before="75" w:line="219" w:lineRule="auto"/>
              <w:rPr>
                <w:sz w:val="11"/>
                <w:szCs w:val="11"/>
              </w:rPr>
            </w:pPr>
            <w:r>
              <w:rPr>
                <w:sz w:val="11"/>
                <w:szCs w:val="11"/>
                <w:spacing w:val="-1"/>
              </w:rPr>
              <w:t>稀释900-1000倍液</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118"/>
              <w:spacing w:before="76" w:line="221" w:lineRule="auto"/>
              <w:rPr>
                <w:sz w:val="11"/>
                <w:szCs w:val="11"/>
              </w:rPr>
            </w:pPr>
            <w:r>
              <w:rPr>
                <w:sz w:val="11"/>
                <w:szCs w:val="11"/>
                <w:spacing w:val="4"/>
              </w:rPr>
              <w:t>(1L/瓶)</w:t>
            </w:r>
          </w:p>
        </w:tc>
        <w:tc>
          <w:tcPr>
            <w:tcW w:w="2943" w:type="dxa"/>
            <w:vAlign w:val="top"/>
          </w:tcPr>
          <w:p>
            <w:pPr>
              <w:pStyle w:val="TableText"/>
              <w:ind w:left="18"/>
              <w:spacing w:before="75" w:line="219" w:lineRule="auto"/>
              <w:rPr>
                <w:sz w:val="11"/>
                <w:szCs w:val="11"/>
              </w:rPr>
            </w:pPr>
            <w:r>
              <w:rPr>
                <w:sz w:val="11"/>
                <w:szCs w:val="11"/>
                <w:spacing w:val="-1"/>
              </w:rPr>
              <w:t>诱导桥木快速生根，提高移栽成活率</w:t>
            </w:r>
          </w:p>
        </w:tc>
      </w:tr>
      <w:tr>
        <w:trPr>
          <w:trHeight w:val="270"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83"/>
              <w:spacing w:before="75" w:line="220" w:lineRule="auto"/>
              <w:rPr>
                <w:sz w:val="11"/>
                <w:szCs w:val="11"/>
              </w:rPr>
            </w:pPr>
            <w:r>
              <w:rPr>
                <w:sz w:val="11"/>
                <w:szCs w:val="11"/>
                <w:spacing w:val="-3"/>
              </w:rPr>
              <w:t>中威生根液</w:t>
            </w:r>
          </w:p>
        </w:tc>
        <w:tc>
          <w:tcPr>
            <w:tcW w:w="1739" w:type="dxa"/>
            <w:vAlign w:val="top"/>
          </w:tcPr>
          <w:p>
            <w:pPr>
              <w:pStyle w:val="TableText"/>
              <w:ind w:left="335"/>
              <w:spacing w:before="75" w:line="219" w:lineRule="auto"/>
              <w:rPr>
                <w:sz w:val="11"/>
                <w:szCs w:val="11"/>
              </w:rPr>
            </w:pPr>
            <w:r>
              <w:rPr>
                <w:sz w:val="11"/>
                <w:szCs w:val="11"/>
                <w:spacing w:val="-1"/>
              </w:rPr>
              <w:t>蔡乙酸，喷噪乙酸10%</w:t>
            </w:r>
          </w:p>
        </w:tc>
        <w:tc>
          <w:tcPr>
            <w:tcW w:w="1859" w:type="dxa"/>
            <w:vAlign w:val="top"/>
          </w:tcPr>
          <w:p>
            <w:pPr>
              <w:pStyle w:val="TableText"/>
              <w:ind w:left="616"/>
              <w:spacing w:before="75" w:line="220" w:lineRule="auto"/>
              <w:rPr>
                <w:sz w:val="11"/>
                <w:szCs w:val="11"/>
              </w:rPr>
            </w:pPr>
            <w:r>
              <w:rPr>
                <w:sz w:val="11"/>
                <w:szCs w:val="11"/>
                <w:spacing w:val="-1"/>
              </w:rPr>
              <w:t>300-500倍液</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148"/>
              <w:spacing w:before="71" w:line="214" w:lineRule="auto"/>
              <w:rPr>
                <w:sz w:val="11"/>
                <w:szCs w:val="11"/>
              </w:rPr>
            </w:pPr>
            <w:r>
              <w:rPr>
                <w:sz w:val="11"/>
                <w:szCs w:val="11"/>
                <w:spacing w:val="-1"/>
              </w:rPr>
              <w:t>4kg/桶</w:t>
            </w:r>
          </w:p>
        </w:tc>
        <w:tc>
          <w:tcPr>
            <w:tcW w:w="2943" w:type="dxa"/>
            <w:vAlign w:val="top"/>
          </w:tcPr>
          <w:p>
            <w:pPr>
              <w:pStyle w:val="TableText"/>
              <w:spacing w:before="74" w:line="219" w:lineRule="auto"/>
              <w:jc w:val="right"/>
              <w:rPr>
                <w:sz w:val="11"/>
                <w:szCs w:val="11"/>
              </w:rPr>
            </w:pPr>
            <w:r>
              <w:rPr>
                <w:sz w:val="11"/>
                <w:szCs w:val="11"/>
                <w:spacing w:val="-2"/>
              </w:rPr>
              <w:t>促佳树木快速生根，形成庞大根系。快速萌芽，改善植</w:t>
            </w:r>
            <w:r>
              <w:rPr>
                <w:sz w:val="11"/>
                <w:szCs w:val="11"/>
                <w:spacing w:val="-3"/>
              </w:rPr>
              <w:t>物长势</w:t>
            </w:r>
          </w:p>
        </w:tc>
      </w:tr>
      <w:tr>
        <w:trPr>
          <w:trHeight w:val="72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spacing w:line="267" w:lineRule="auto"/>
              <w:rPr>
                <w:rFonts w:ascii="Arial"/>
                <w:sz w:val="21"/>
              </w:rPr>
            </w:pPr>
            <w:r/>
          </w:p>
          <w:p>
            <w:pPr>
              <w:pStyle w:val="TableText"/>
              <w:ind w:left="383"/>
              <w:spacing w:before="36" w:line="219" w:lineRule="auto"/>
              <w:rPr>
                <w:sz w:val="11"/>
                <w:szCs w:val="11"/>
              </w:rPr>
            </w:pPr>
            <w:r>
              <w:rPr>
                <w:sz w:val="11"/>
                <w:szCs w:val="11"/>
                <w:spacing w:val="-1"/>
              </w:rPr>
              <w:t>活性豆粕肥</w:t>
            </w:r>
          </w:p>
        </w:tc>
        <w:tc>
          <w:tcPr>
            <w:tcW w:w="1739" w:type="dxa"/>
            <w:vAlign w:val="top"/>
          </w:tcPr>
          <w:p>
            <w:pPr>
              <w:pStyle w:val="TableText"/>
              <w:ind w:left="35"/>
              <w:spacing w:before="194" w:line="219" w:lineRule="auto"/>
              <w:rPr>
                <w:sz w:val="11"/>
                <w:szCs w:val="11"/>
              </w:rPr>
            </w:pPr>
            <w:r>
              <w:rPr>
                <w:sz w:val="11"/>
                <w:szCs w:val="11"/>
              </w:rPr>
              <w:t>以豆粕、鱼骨粉为主有机物料，并</w:t>
            </w:r>
          </w:p>
          <w:p>
            <w:pPr>
              <w:pStyle w:val="TableText"/>
              <w:ind w:left="35"/>
              <w:spacing w:before="10" w:line="219" w:lineRule="auto"/>
              <w:rPr>
                <w:sz w:val="11"/>
                <w:szCs w:val="11"/>
              </w:rPr>
            </w:pPr>
            <w:r>
              <w:rPr>
                <w:sz w:val="11"/>
                <w:szCs w:val="11"/>
                <w:spacing w:val="-1"/>
              </w:rPr>
              <w:t>加入豇木醋液，有益微生物菌等进</w:t>
            </w:r>
          </w:p>
          <w:p>
            <w:pPr>
              <w:pStyle w:val="TableText"/>
              <w:ind w:left="475"/>
              <w:spacing w:line="220" w:lineRule="auto"/>
              <w:rPr>
                <w:sz w:val="11"/>
                <w:szCs w:val="11"/>
              </w:rPr>
            </w:pPr>
            <w:r>
              <w:rPr>
                <w:sz w:val="11"/>
                <w:szCs w:val="11"/>
                <w:spacing w:val="-1"/>
              </w:rPr>
              <w:t>行生物用期发酵</w:t>
            </w:r>
          </w:p>
        </w:tc>
        <w:tc>
          <w:tcPr>
            <w:tcW w:w="1859" w:type="dxa"/>
            <w:vAlign w:val="top"/>
          </w:tcPr>
          <w:p>
            <w:pPr>
              <w:pStyle w:val="TableText"/>
              <w:ind w:left="66"/>
              <w:spacing w:before="124" w:line="219" w:lineRule="auto"/>
              <w:rPr>
                <w:sz w:val="11"/>
                <w:szCs w:val="11"/>
              </w:rPr>
            </w:pPr>
            <w:r>
              <w:rPr>
                <w:sz w:val="11"/>
                <w:szCs w:val="11"/>
              </w:rPr>
              <w:t>林木做基肥用，开沟放施。15公分，</w:t>
            </w:r>
          </w:p>
          <w:p>
            <w:pPr>
              <w:pStyle w:val="TableText"/>
              <w:ind w:left="16"/>
              <w:spacing w:line="219" w:lineRule="auto"/>
              <w:rPr>
                <w:sz w:val="11"/>
                <w:szCs w:val="11"/>
              </w:rPr>
            </w:pPr>
            <w:r>
              <w:rPr>
                <w:sz w:val="11"/>
                <w:szCs w:val="11"/>
                <w:spacing w:val="-1"/>
              </w:rPr>
              <w:t>用量根据苗木的大小使用。一颗直径5</w:t>
            </w:r>
          </w:p>
          <w:p>
            <w:pPr>
              <w:pStyle w:val="TableText"/>
              <w:ind w:left="46"/>
              <w:spacing w:before="8" w:line="202" w:lineRule="auto"/>
              <w:rPr>
                <w:sz w:val="11"/>
                <w:szCs w:val="11"/>
              </w:rPr>
            </w:pPr>
            <w:r>
              <w:rPr>
                <w:sz w:val="11"/>
                <w:szCs w:val="11"/>
                <w:spacing w:val="-1"/>
              </w:rPr>
              <w:t>公分的苗木折左右。草坪施肥每平方</w:t>
            </w:r>
          </w:p>
          <w:p>
            <w:pPr>
              <w:pStyle w:val="TableText"/>
              <w:ind w:left="345"/>
              <w:spacing w:line="219" w:lineRule="auto"/>
              <w:rPr>
                <w:sz w:val="11"/>
                <w:szCs w:val="11"/>
              </w:rPr>
            </w:pPr>
            <w:r>
              <w:rPr>
                <w:sz w:val="11"/>
                <w:szCs w:val="11"/>
                <w:spacing w:val="-1"/>
              </w:rPr>
              <w:t>米约0.5斤，撒施后响水</w:t>
            </w:r>
          </w:p>
        </w:tc>
        <w:tc>
          <w:tcPr>
            <w:tcW w:w="1339" w:type="dxa"/>
            <w:vAlign w:val="top"/>
            <w:vMerge w:val="continue"/>
            <w:tcBorders>
              <w:top w:val="nil"/>
              <w:bottom w:val="nil"/>
            </w:tcBorders>
          </w:tcPr>
          <w:p>
            <w:pPr>
              <w:rPr>
                <w:rFonts w:ascii="Arial"/>
                <w:sz w:val="21"/>
              </w:rPr>
            </w:pPr>
            <w:r/>
          </w:p>
        </w:tc>
        <w:tc>
          <w:tcPr>
            <w:tcW w:w="640" w:type="dxa"/>
            <w:vAlign w:val="top"/>
          </w:tcPr>
          <w:p>
            <w:pPr>
              <w:spacing w:line="264" w:lineRule="auto"/>
              <w:rPr>
                <w:rFonts w:ascii="Arial"/>
                <w:sz w:val="21"/>
              </w:rPr>
            </w:pPr>
            <w:r/>
          </w:p>
          <w:p>
            <w:pPr>
              <w:pStyle w:val="TableText"/>
              <w:ind w:left="118"/>
              <w:spacing w:before="36" w:line="214" w:lineRule="auto"/>
              <w:rPr>
                <w:sz w:val="11"/>
                <w:szCs w:val="11"/>
              </w:rPr>
            </w:pPr>
            <w:r>
              <w:rPr>
                <w:sz w:val="11"/>
                <w:szCs w:val="11"/>
                <w:spacing w:val="-1"/>
              </w:rPr>
              <w:t>406g/袋</w:t>
            </w:r>
          </w:p>
        </w:tc>
        <w:tc>
          <w:tcPr>
            <w:tcW w:w="2943" w:type="dxa"/>
            <w:vAlign w:val="top"/>
          </w:tcPr>
          <w:p>
            <w:pPr>
              <w:pStyle w:val="TableText"/>
              <w:ind w:left="18" w:right="59"/>
              <w:spacing w:before="253"/>
              <w:rPr>
                <w:sz w:val="11"/>
                <w:szCs w:val="11"/>
              </w:rPr>
            </w:pPr>
            <w:r>
              <w:rPr>
                <w:sz w:val="11"/>
                <w:szCs w:val="11"/>
              </w:rPr>
              <w:t>增强土壤肥力，提高地温，保水保肥作用星著,</w:t>
            </w:r>
            <w:r>
              <w:rPr>
                <w:sz w:val="11"/>
                <w:szCs w:val="11"/>
                <w:spacing w:val="-1"/>
              </w:rPr>
              <w:t>(京坪、地被</w:t>
            </w:r>
            <w:r>
              <w:rPr>
                <w:sz w:val="11"/>
                <w:szCs w:val="11"/>
              </w:rPr>
              <w:t xml:space="preserve"> </w:t>
            </w:r>
            <w:r>
              <w:rPr>
                <w:sz w:val="11"/>
                <w:szCs w:val="11"/>
                <w:spacing w:val="2"/>
              </w:rPr>
              <w:t>.乔灌木均可使用)</w:t>
            </w:r>
          </w:p>
        </w:tc>
      </w:tr>
      <w:tr>
        <w:trPr>
          <w:trHeight w:val="60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274"/>
              <w:spacing w:before="245" w:line="219" w:lineRule="auto"/>
              <w:rPr>
                <w:sz w:val="11"/>
                <w:szCs w:val="11"/>
              </w:rPr>
            </w:pPr>
            <w:r>
              <w:rPr>
                <w:sz w:val="11"/>
                <w:szCs w:val="11"/>
                <w:spacing w:val="-1"/>
              </w:rPr>
              <w:t>生物话性有机肥</w:t>
            </w:r>
          </w:p>
        </w:tc>
        <w:tc>
          <w:tcPr>
            <w:tcW w:w="1739" w:type="dxa"/>
            <w:vAlign w:val="top"/>
          </w:tcPr>
          <w:p>
            <w:pPr>
              <w:pStyle w:val="TableText"/>
              <w:ind w:left="95"/>
              <w:spacing w:before="54" w:line="216" w:lineRule="auto"/>
              <w:rPr>
                <w:sz w:val="11"/>
                <w:szCs w:val="11"/>
              </w:rPr>
            </w:pPr>
            <w:r>
              <w:rPr>
                <w:sz w:val="11"/>
                <w:szCs w:val="11"/>
                <w:spacing w:val="-1"/>
              </w:rPr>
              <w:t>氮磷大于然，有机质30%,腐殖酸</w:t>
            </w:r>
          </w:p>
          <w:p>
            <w:pPr>
              <w:pStyle w:val="TableText"/>
              <w:ind w:left="95"/>
              <w:spacing w:before="11" w:line="216" w:lineRule="auto"/>
              <w:rPr>
                <w:sz w:val="11"/>
                <w:szCs w:val="11"/>
              </w:rPr>
            </w:pPr>
            <w:r>
              <w:rPr>
                <w:sz w:val="11"/>
                <w:szCs w:val="11"/>
                <w:spacing w:val="-1"/>
              </w:rPr>
              <w:t>大于10%,落麻饼大于20%.土填调</w:t>
            </w:r>
          </w:p>
          <w:p>
            <w:pPr>
              <w:pStyle w:val="TableText"/>
              <w:ind w:left="5"/>
              <w:spacing w:before="2" w:line="219" w:lineRule="auto"/>
              <w:rPr>
                <w:sz w:val="11"/>
                <w:szCs w:val="11"/>
              </w:rPr>
            </w:pPr>
            <w:r>
              <w:rPr>
                <w:sz w:val="11"/>
                <w:szCs w:val="11"/>
                <w:spacing w:val="-1"/>
              </w:rPr>
              <w:t>理列大于10%活性菌2亿/克，微量元</w:t>
            </w:r>
          </w:p>
          <w:p>
            <w:pPr>
              <w:pStyle w:val="TableText"/>
              <w:ind w:left="145"/>
              <w:spacing w:before="9" w:line="219" w:lineRule="auto"/>
              <w:rPr>
                <w:sz w:val="11"/>
                <w:szCs w:val="11"/>
              </w:rPr>
            </w:pPr>
            <w:r>
              <w:rPr>
                <w:sz w:val="11"/>
                <w:szCs w:val="11"/>
                <w:spacing w:val="-1"/>
              </w:rPr>
              <w:t>素钙，镁、硫，铁、锌，铜等</w:t>
            </w:r>
          </w:p>
        </w:tc>
        <w:tc>
          <w:tcPr>
            <w:tcW w:w="1859" w:type="dxa"/>
            <w:vAlign w:val="top"/>
          </w:tcPr>
          <w:p>
            <w:pPr>
              <w:pStyle w:val="TableText"/>
              <w:ind w:left="646"/>
              <w:spacing w:before="246" w:line="220" w:lineRule="auto"/>
              <w:rPr>
                <w:sz w:val="11"/>
                <w:szCs w:val="11"/>
              </w:rPr>
            </w:pPr>
            <w:r>
              <w:rPr>
                <w:sz w:val="11"/>
                <w:szCs w:val="11"/>
                <w:spacing w:val="-1"/>
              </w:rPr>
              <w:t>穴施或撒施</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118"/>
              <w:spacing w:before="242" w:line="214" w:lineRule="auto"/>
              <w:rPr>
                <w:sz w:val="11"/>
                <w:szCs w:val="11"/>
              </w:rPr>
            </w:pPr>
            <w:r>
              <w:rPr>
                <w:sz w:val="11"/>
                <w:szCs w:val="11"/>
                <w:spacing w:val="-1"/>
              </w:rPr>
              <w:t>4CKg/袋</w:t>
            </w:r>
          </w:p>
        </w:tc>
        <w:tc>
          <w:tcPr>
            <w:tcW w:w="2943" w:type="dxa"/>
            <w:vAlign w:val="top"/>
          </w:tcPr>
          <w:p>
            <w:pPr>
              <w:pStyle w:val="TableText"/>
              <w:ind w:left="18"/>
              <w:spacing w:before="186" w:line="237" w:lineRule="auto"/>
              <w:rPr>
                <w:sz w:val="11"/>
                <w:szCs w:val="11"/>
              </w:rPr>
            </w:pPr>
            <w:r>
              <w:rPr>
                <w:sz w:val="11"/>
                <w:szCs w:val="11"/>
                <w:spacing w:val="-6"/>
              </w:rPr>
              <w:t>改春土填结构，增强透气，储水能力，乔灌木、地被，草坪均可</w:t>
            </w:r>
            <w:r>
              <w:rPr>
                <w:sz w:val="11"/>
                <w:szCs w:val="11"/>
                <w:spacing w:val="1"/>
              </w:rPr>
              <w:t xml:space="preserve"> </w:t>
            </w:r>
            <w:r>
              <w:rPr>
                <w:sz w:val="11"/>
                <w:szCs w:val="11"/>
                <w:spacing w:val="-2"/>
              </w:rPr>
              <w:t>使用</w:t>
            </w:r>
          </w:p>
        </w:tc>
      </w:tr>
      <w:tr>
        <w:trPr>
          <w:trHeight w:val="35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83"/>
              <w:spacing w:before="127" w:line="219" w:lineRule="auto"/>
              <w:rPr>
                <w:sz w:val="11"/>
                <w:szCs w:val="11"/>
              </w:rPr>
            </w:pPr>
            <w:r>
              <w:rPr>
                <w:sz w:val="11"/>
                <w:szCs w:val="11"/>
                <w:spacing w:val="1"/>
              </w:rPr>
              <w:t>国光树动力</w:t>
            </w:r>
          </w:p>
        </w:tc>
        <w:tc>
          <w:tcPr>
            <w:tcW w:w="1739" w:type="dxa"/>
            <w:vAlign w:val="top"/>
          </w:tcPr>
          <w:p>
            <w:pPr>
              <w:pStyle w:val="TableText"/>
              <w:ind w:left="644" w:right="48" w:hanging="609"/>
              <w:spacing w:before="77" w:line="210" w:lineRule="auto"/>
              <w:rPr>
                <w:sz w:val="11"/>
                <w:szCs w:val="11"/>
              </w:rPr>
            </w:pPr>
            <w:r>
              <w:rPr>
                <w:sz w:val="11"/>
                <w:szCs w:val="11"/>
                <w:spacing w:val="-1"/>
              </w:rPr>
              <w:t>细胞分裂类高活性物质、含丰富矿</w:t>
            </w:r>
            <w:r>
              <w:rPr>
                <w:sz w:val="11"/>
                <w:szCs w:val="11"/>
                <w:spacing w:val="9"/>
              </w:rPr>
              <w:t xml:space="preserve"> </w:t>
            </w:r>
            <w:r>
              <w:rPr>
                <w:sz w:val="11"/>
                <w:szCs w:val="11"/>
                <w:spacing w:val="-1"/>
              </w:rPr>
              <w:t>物质溶剂</w:t>
            </w:r>
          </w:p>
        </w:tc>
        <w:tc>
          <w:tcPr>
            <w:tcW w:w="1859" w:type="dxa"/>
            <w:vAlign w:val="top"/>
          </w:tcPr>
          <w:p>
            <w:pPr>
              <w:pStyle w:val="TableText"/>
              <w:ind w:left="395" w:right="23" w:hanging="379"/>
              <w:spacing w:before="77" w:line="210" w:lineRule="auto"/>
              <w:rPr>
                <w:sz w:val="11"/>
                <w:szCs w:val="11"/>
              </w:rPr>
            </w:pPr>
            <w:r>
              <w:rPr>
                <w:sz w:val="11"/>
                <w:szCs w:val="11"/>
                <w:spacing w:val="-1"/>
              </w:rPr>
              <w:t>直接使用，一般胸径8-10cm插1瓶，胸</w:t>
            </w:r>
            <w:r>
              <w:rPr>
                <w:sz w:val="11"/>
                <w:szCs w:val="11"/>
                <w:spacing w:val="13"/>
                <w:w w:val="101"/>
              </w:rPr>
              <w:t xml:space="preserve"> </w:t>
            </w:r>
            <w:r>
              <w:rPr>
                <w:sz w:val="11"/>
                <w:szCs w:val="11"/>
                <w:spacing w:val="-1"/>
              </w:rPr>
              <w:t>径每增加110cm增加瓶</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227" w:right="150" w:hanging="109"/>
              <w:spacing w:before="79" w:line="226" w:lineRule="auto"/>
              <w:rPr>
                <w:sz w:val="11"/>
                <w:szCs w:val="11"/>
              </w:rPr>
            </w:pPr>
            <w:r>
              <w:rPr>
                <w:sz w:val="11"/>
                <w:szCs w:val="11"/>
                <w:spacing w:val="-4"/>
              </w:rPr>
              <w:t>(300ml/</w:t>
            </w:r>
            <w:r>
              <w:rPr>
                <w:sz w:val="11"/>
                <w:szCs w:val="11"/>
                <w:spacing w:val="3"/>
              </w:rPr>
              <w:t xml:space="preserve"> </w:t>
            </w:r>
            <w:r>
              <w:rPr>
                <w:sz w:val="11"/>
                <w:szCs w:val="11"/>
                <w:spacing w:val="-3"/>
              </w:rPr>
              <w:t>瓶</w:t>
            </w:r>
            <w:r>
              <w:rPr>
                <w:sz w:val="11"/>
                <w:szCs w:val="11"/>
                <w:spacing w:val="-17"/>
              </w:rPr>
              <w:t xml:space="preserve"> </w:t>
            </w:r>
            <w:r>
              <w:rPr>
                <w:sz w:val="11"/>
                <w:szCs w:val="11"/>
                <w:spacing w:val="-3"/>
              </w:rPr>
              <w:t>)</w:t>
            </w:r>
          </w:p>
        </w:tc>
        <w:tc>
          <w:tcPr>
            <w:tcW w:w="2943" w:type="dxa"/>
            <w:vAlign w:val="top"/>
          </w:tcPr>
          <w:p>
            <w:pPr>
              <w:pStyle w:val="TableText"/>
              <w:ind w:left="18"/>
              <w:spacing w:before="127" w:line="219" w:lineRule="auto"/>
              <w:rPr>
                <w:sz w:val="11"/>
                <w:szCs w:val="11"/>
              </w:rPr>
            </w:pPr>
            <w:r>
              <w:rPr>
                <w:sz w:val="11"/>
                <w:szCs w:val="11"/>
                <w:spacing w:val="-1"/>
              </w:rPr>
              <w:t>大树直插瓶，大树古树复壮</w:t>
            </w:r>
          </w:p>
        </w:tc>
      </w:tr>
      <w:tr>
        <w:trPr>
          <w:trHeight w:val="32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83"/>
              <w:spacing w:before="108" w:line="220" w:lineRule="auto"/>
              <w:rPr>
                <w:sz w:val="11"/>
                <w:szCs w:val="11"/>
              </w:rPr>
            </w:pPr>
            <w:r>
              <w:rPr>
                <w:sz w:val="11"/>
                <w:szCs w:val="11"/>
                <w:spacing w:val="-3"/>
              </w:rPr>
              <w:t>中威激活液</w:t>
            </w:r>
          </w:p>
        </w:tc>
        <w:tc>
          <w:tcPr>
            <w:tcW w:w="1739" w:type="dxa"/>
            <w:vAlign w:val="top"/>
          </w:tcPr>
          <w:p>
            <w:pPr>
              <w:pStyle w:val="TableText"/>
              <w:ind w:left="425"/>
              <w:spacing w:before="106" w:line="216" w:lineRule="auto"/>
              <w:rPr>
                <w:sz w:val="11"/>
                <w:szCs w:val="11"/>
              </w:rPr>
            </w:pPr>
            <w:r>
              <w:rPr>
                <w:sz w:val="11"/>
                <w:szCs w:val="11"/>
                <w:spacing w:val="-1"/>
              </w:rPr>
              <w:t>6B-A,复硝酚钠10%</w:t>
            </w:r>
          </w:p>
        </w:tc>
        <w:tc>
          <w:tcPr>
            <w:tcW w:w="1859" w:type="dxa"/>
            <w:vAlign w:val="top"/>
          </w:tcPr>
          <w:p>
            <w:pPr>
              <w:pStyle w:val="TableText"/>
              <w:ind w:left="405" w:right="48" w:hanging="359"/>
              <w:spacing w:before="58" w:line="219" w:lineRule="auto"/>
              <w:rPr>
                <w:sz w:val="11"/>
                <w:szCs w:val="11"/>
              </w:rPr>
            </w:pPr>
            <w:r>
              <w:rPr>
                <w:sz w:val="11"/>
                <w:szCs w:val="11"/>
                <w:spacing w:val="-1"/>
              </w:rPr>
              <w:t>直接使用，一般胸径8-10c折1瓶，胸</w:t>
            </w:r>
            <w:r>
              <w:rPr>
                <w:sz w:val="11"/>
                <w:szCs w:val="11"/>
                <w:spacing w:val="12"/>
              </w:rPr>
              <w:t xml:space="preserve"> </w:t>
            </w:r>
            <w:r>
              <w:rPr>
                <w:sz w:val="11"/>
                <w:szCs w:val="11"/>
                <w:spacing w:val="-1"/>
              </w:rPr>
              <w:t>径每增加10cm增加1瓶</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227" w:right="150" w:hanging="109"/>
              <w:spacing w:before="50" w:line="210" w:lineRule="auto"/>
              <w:rPr>
                <w:sz w:val="11"/>
                <w:szCs w:val="11"/>
              </w:rPr>
            </w:pPr>
            <w:r>
              <w:rPr>
                <w:sz w:val="11"/>
                <w:szCs w:val="11"/>
                <w:spacing w:val="-4"/>
              </w:rPr>
              <w:t>(350ml/</w:t>
            </w:r>
            <w:r>
              <w:rPr>
                <w:sz w:val="11"/>
                <w:szCs w:val="11"/>
                <w:spacing w:val="3"/>
              </w:rPr>
              <w:t xml:space="preserve"> </w:t>
            </w:r>
            <w:r>
              <w:rPr>
                <w:sz w:val="11"/>
                <w:szCs w:val="11"/>
                <w:spacing w:val="-3"/>
              </w:rPr>
              <w:t>瓶</w:t>
            </w:r>
            <w:r>
              <w:rPr>
                <w:sz w:val="11"/>
                <w:szCs w:val="11"/>
                <w:spacing w:val="-17"/>
              </w:rPr>
              <w:t xml:space="preserve"> </w:t>
            </w:r>
            <w:r>
              <w:rPr>
                <w:sz w:val="11"/>
                <w:szCs w:val="11"/>
                <w:spacing w:val="-3"/>
              </w:rPr>
              <w:t>)</w:t>
            </w:r>
          </w:p>
        </w:tc>
        <w:tc>
          <w:tcPr>
            <w:tcW w:w="2943" w:type="dxa"/>
            <w:vAlign w:val="top"/>
          </w:tcPr>
          <w:p>
            <w:pPr>
              <w:pStyle w:val="TableText"/>
              <w:ind w:left="18"/>
              <w:spacing w:before="107" w:line="219" w:lineRule="auto"/>
              <w:rPr>
                <w:sz w:val="11"/>
                <w:szCs w:val="11"/>
              </w:rPr>
            </w:pPr>
            <w:r>
              <w:rPr>
                <w:sz w:val="11"/>
                <w:szCs w:val="11"/>
              </w:rPr>
              <w:t>补充水分养分，促进发芽，防止黄叶、萎焉</w:t>
            </w:r>
            <w:r>
              <w:rPr>
                <w:sz w:val="11"/>
                <w:szCs w:val="11"/>
                <w:spacing w:val="-1"/>
              </w:rPr>
              <w:t>，生理性病害</w:t>
            </w:r>
          </w:p>
        </w:tc>
      </w:tr>
      <w:tr>
        <w:trPr>
          <w:trHeight w:val="41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443"/>
              <w:spacing w:before="158" w:line="219" w:lineRule="auto"/>
              <w:rPr>
                <w:sz w:val="11"/>
                <w:szCs w:val="11"/>
              </w:rPr>
            </w:pPr>
            <w:r>
              <w:rPr>
                <w:sz w:val="11"/>
                <w:szCs w:val="11"/>
                <w:spacing w:val="-3"/>
              </w:rPr>
              <w:t>国光棒肥</w:t>
            </w:r>
          </w:p>
        </w:tc>
        <w:tc>
          <w:tcPr>
            <w:tcW w:w="1739" w:type="dxa"/>
            <w:vAlign w:val="top"/>
          </w:tcPr>
          <w:p>
            <w:pPr>
              <w:pStyle w:val="TableText"/>
              <w:ind w:left="145"/>
              <w:spacing w:before="158" w:line="219" w:lineRule="auto"/>
              <w:rPr>
                <w:sz w:val="11"/>
                <w:szCs w:val="11"/>
              </w:rPr>
            </w:pPr>
            <w:r>
              <w:rPr>
                <w:sz w:val="11"/>
                <w:szCs w:val="11"/>
                <w:spacing w:val="-1"/>
              </w:rPr>
              <w:t>微肥，稀有元素，大量元素肥</w:t>
            </w:r>
          </w:p>
        </w:tc>
        <w:tc>
          <w:tcPr>
            <w:tcW w:w="1859" w:type="dxa"/>
            <w:vAlign w:val="top"/>
          </w:tcPr>
          <w:p>
            <w:pPr>
              <w:pStyle w:val="TableText"/>
              <w:ind w:left="66"/>
              <w:spacing w:before="39" w:line="201" w:lineRule="auto"/>
              <w:rPr>
                <w:sz w:val="11"/>
                <w:szCs w:val="11"/>
              </w:rPr>
            </w:pPr>
            <w:r>
              <w:rPr>
                <w:sz w:val="11"/>
                <w:szCs w:val="11"/>
              </w:rPr>
              <w:t>直接使用，根据树的胸径进行调整。</w:t>
            </w:r>
          </w:p>
          <w:p>
            <w:pPr>
              <w:pStyle w:val="TableText"/>
              <w:ind w:left="76"/>
              <w:spacing w:line="201" w:lineRule="auto"/>
              <w:rPr>
                <w:sz w:val="11"/>
                <w:szCs w:val="11"/>
              </w:rPr>
            </w:pPr>
            <w:r>
              <w:rPr>
                <w:sz w:val="11"/>
                <w:szCs w:val="11"/>
                <w:spacing w:val="-1"/>
              </w:rPr>
              <w:t>LDe一下的树1-2支。10cm以上的树胸</w:t>
            </w:r>
          </w:p>
          <w:p>
            <w:pPr>
              <w:pStyle w:val="TableText"/>
              <w:ind w:left="395"/>
              <w:spacing w:line="217" w:lineRule="auto"/>
              <w:rPr>
                <w:sz w:val="11"/>
                <w:szCs w:val="11"/>
              </w:rPr>
            </w:pPr>
            <w:r>
              <w:rPr>
                <w:sz w:val="11"/>
                <w:szCs w:val="11"/>
                <w:spacing w:val="-1"/>
              </w:rPr>
              <w:t>径每增加5en则增加支</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8"/>
              <w:spacing w:before="199" w:line="220" w:lineRule="auto"/>
              <w:rPr>
                <w:sz w:val="11"/>
                <w:szCs w:val="11"/>
              </w:rPr>
            </w:pPr>
            <w:r>
              <w:rPr>
                <w:sz w:val="11"/>
                <w:szCs w:val="11"/>
                <w:spacing w:val="-1"/>
              </w:rPr>
              <w:t>3*15cm+10根</w:t>
            </w:r>
          </w:p>
        </w:tc>
        <w:tc>
          <w:tcPr>
            <w:tcW w:w="2943" w:type="dxa"/>
            <w:vAlign w:val="top"/>
          </w:tcPr>
          <w:p>
            <w:pPr>
              <w:pStyle w:val="TableText"/>
              <w:ind w:left="18"/>
              <w:spacing w:before="199" w:line="219" w:lineRule="auto"/>
              <w:rPr>
                <w:sz w:val="11"/>
                <w:szCs w:val="11"/>
              </w:rPr>
            </w:pPr>
            <w:r>
              <w:rPr>
                <w:sz w:val="11"/>
                <w:szCs w:val="11"/>
                <w:spacing w:val="-1"/>
              </w:rPr>
              <w:t>古树，病树，厕树复壮</w:t>
            </w:r>
          </w:p>
        </w:tc>
      </w:tr>
      <w:tr>
        <w:trPr>
          <w:trHeight w:val="28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164"/>
              <w:spacing w:before="89" w:line="219" w:lineRule="auto"/>
              <w:rPr>
                <w:sz w:val="11"/>
                <w:szCs w:val="11"/>
              </w:rPr>
            </w:pPr>
            <w:r>
              <w:rPr>
                <w:sz w:val="11"/>
                <w:szCs w:val="11"/>
                <w:spacing w:val="-2"/>
              </w:rPr>
              <w:t>国光雨阳曲木专用肥</w:t>
            </w:r>
          </w:p>
        </w:tc>
        <w:tc>
          <w:tcPr>
            <w:tcW w:w="1739" w:type="dxa"/>
            <w:vAlign w:val="top"/>
          </w:tcPr>
          <w:p>
            <w:pPr>
              <w:pStyle w:val="TableText"/>
              <w:ind w:left="505"/>
              <w:spacing w:before="88" w:line="216" w:lineRule="auto"/>
              <w:rPr>
                <w:sz w:val="11"/>
                <w:szCs w:val="11"/>
              </w:rPr>
            </w:pPr>
            <w:r>
              <w:rPr>
                <w:sz w:val="11"/>
                <w:szCs w:val="11"/>
                <w:spacing w:val="-1"/>
              </w:rPr>
              <w:t>氮磷肆22,8:15</w:t>
            </w:r>
          </w:p>
        </w:tc>
        <w:tc>
          <w:tcPr>
            <w:tcW w:w="1859" w:type="dxa"/>
            <w:vAlign w:val="top"/>
          </w:tcPr>
          <w:p>
            <w:pPr>
              <w:pStyle w:val="TableText"/>
              <w:ind w:left="706"/>
              <w:spacing w:before="90" w:line="219" w:lineRule="auto"/>
              <w:rPr>
                <w:sz w:val="11"/>
                <w:szCs w:val="11"/>
              </w:rPr>
            </w:pPr>
            <w:r>
              <w:rPr>
                <w:sz w:val="11"/>
                <w:szCs w:val="11"/>
                <w:spacing w:val="-1"/>
              </w:rPr>
              <w:t>直接使用</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118"/>
              <w:spacing w:before="86" w:line="214" w:lineRule="auto"/>
              <w:rPr>
                <w:sz w:val="11"/>
                <w:szCs w:val="11"/>
              </w:rPr>
            </w:pPr>
            <w:r>
              <w:rPr>
                <w:sz w:val="11"/>
                <w:szCs w:val="11"/>
                <w:spacing w:val="-1"/>
              </w:rPr>
              <w:t>20kg/袋</w:t>
            </w:r>
          </w:p>
        </w:tc>
        <w:tc>
          <w:tcPr>
            <w:tcW w:w="2943" w:type="dxa"/>
            <w:vAlign w:val="top"/>
          </w:tcPr>
          <w:p>
            <w:pPr>
              <w:pStyle w:val="TableText"/>
              <w:ind w:left="18"/>
              <w:spacing w:before="90" w:line="219" w:lineRule="auto"/>
              <w:rPr>
                <w:sz w:val="11"/>
                <w:szCs w:val="11"/>
              </w:rPr>
            </w:pPr>
            <w:r>
              <w:rPr>
                <w:sz w:val="11"/>
                <w:szCs w:val="11"/>
                <w:spacing w:val="-1"/>
              </w:rPr>
              <w:t>乔木、灌木、地草坪均可使用</w:t>
            </w:r>
          </w:p>
        </w:tc>
      </w:tr>
      <w:tr>
        <w:trPr>
          <w:trHeight w:val="280"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33"/>
              <w:spacing w:before="90" w:line="219" w:lineRule="auto"/>
              <w:rPr>
                <w:sz w:val="11"/>
                <w:szCs w:val="11"/>
              </w:rPr>
            </w:pPr>
            <w:r>
              <w:rPr>
                <w:sz w:val="11"/>
                <w:szCs w:val="11"/>
                <w:spacing w:val="-1"/>
              </w:rPr>
              <w:t>硫酸评复合肥</w:t>
            </w:r>
          </w:p>
        </w:tc>
        <w:tc>
          <w:tcPr>
            <w:tcW w:w="1739" w:type="dxa"/>
            <w:vAlign w:val="top"/>
          </w:tcPr>
          <w:p>
            <w:pPr>
              <w:pStyle w:val="TableText"/>
              <w:ind w:left="365"/>
              <w:spacing w:before="91" w:line="219" w:lineRule="auto"/>
              <w:rPr>
                <w:sz w:val="11"/>
                <w:szCs w:val="11"/>
              </w:rPr>
            </w:pPr>
            <w:r>
              <w:rPr>
                <w:sz w:val="11"/>
                <w:szCs w:val="11"/>
                <w:spacing w:val="15"/>
              </w:rPr>
              <w:t>第15:磷15::驿15</w:t>
            </w:r>
          </w:p>
        </w:tc>
        <w:tc>
          <w:tcPr>
            <w:tcW w:w="1859" w:type="dxa"/>
            <w:vAlign w:val="top"/>
          </w:tcPr>
          <w:p>
            <w:pPr>
              <w:pStyle w:val="TableText"/>
              <w:ind w:left="646"/>
              <w:spacing w:before="91" w:line="220" w:lineRule="auto"/>
              <w:rPr>
                <w:sz w:val="11"/>
                <w:szCs w:val="11"/>
              </w:rPr>
            </w:pPr>
            <w:r>
              <w:rPr>
                <w:sz w:val="11"/>
                <w:szCs w:val="11"/>
                <w:spacing w:val="-1"/>
              </w:rPr>
              <w:t>撤旅或穴施</w:t>
            </w:r>
          </w:p>
        </w:tc>
        <w:tc>
          <w:tcPr>
            <w:tcW w:w="1339" w:type="dxa"/>
            <w:vAlign w:val="top"/>
            <w:vMerge w:val="continue"/>
            <w:tcBorders>
              <w:top w:val="nil"/>
            </w:tcBorders>
          </w:tcPr>
          <w:p>
            <w:pPr>
              <w:rPr>
                <w:rFonts w:ascii="Arial"/>
                <w:sz w:val="21"/>
              </w:rPr>
            </w:pPr>
            <w:r/>
          </w:p>
        </w:tc>
        <w:tc>
          <w:tcPr>
            <w:tcW w:w="640" w:type="dxa"/>
            <w:vAlign w:val="top"/>
          </w:tcPr>
          <w:p>
            <w:pPr>
              <w:pStyle w:val="TableText"/>
              <w:ind w:left="118"/>
              <w:spacing w:before="87" w:line="214" w:lineRule="auto"/>
              <w:rPr>
                <w:sz w:val="11"/>
                <w:szCs w:val="11"/>
              </w:rPr>
            </w:pPr>
            <w:r>
              <w:rPr>
                <w:sz w:val="11"/>
                <w:szCs w:val="11"/>
                <w:spacing w:val="-1"/>
              </w:rPr>
              <w:t>40Kg\袋</w:t>
            </w:r>
          </w:p>
        </w:tc>
        <w:tc>
          <w:tcPr>
            <w:tcW w:w="2943" w:type="dxa"/>
            <w:vAlign w:val="top"/>
          </w:tcPr>
          <w:p>
            <w:pPr>
              <w:pStyle w:val="TableText"/>
              <w:ind w:left="18"/>
              <w:spacing w:before="91" w:line="219" w:lineRule="auto"/>
              <w:rPr>
                <w:sz w:val="11"/>
                <w:szCs w:val="11"/>
              </w:rPr>
            </w:pPr>
            <w:r>
              <w:rPr>
                <w:sz w:val="11"/>
                <w:szCs w:val="11"/>
              </w:rPr>
              <w:t>(草坪、地被、乔灌木均可使用》</w:t>
            </w:r>
          </w:p>
        </w:tc>
      </w:tr>
      <w:tr>
        <w:trPr>
          <w:trHeight w:val="330"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33"/>
              <w:spacing w:before="111" w:line="219" w:lineRule="auto"/>
              <w:rPr>
                <w:sz w:val="11"/>
                <w:szCs w:val="11"/>
              </w:rPr>
            </w:pPr>
            <w:r>
              <w:rPr>
                <w:sz w:val="11"/>
                <w:szCs w:val="11"/>
                <w:spacing w:val="1"/>
              </w:rPr>
              <w:t>国光氨基酸钾</w:t>
            </w:r>
          </w:p>
        </w:tc>
        <w:tc>
          <w:tcPr>
            <w:tcW w:w="1739" w:type="dxa"/>
            <w:vAlign w:val="top"/>
          </w:tcPr>
          <w:p>
            <w:pPr>
              <w:pStyle w:val="TableText"/>
              <w:ind w:left="475"/>
              <w:spacing w:before="111" w:line="220" w:lineRule="auto"/>
              <w:rPr>
                <w:sz w:val="11"/>
                <w:szCs w:val="11"/>
              </w:rPr>
            </w:pPr>
            <w:r>
              <w:rPr>
                <w:sz w:val="11"/>
                <w:szCs w:val="11"/>
                <w:spacing w:val="1"/>
              </w:rPr>
              <w:t>12氯基酸整合钾</w:t>
            </w:r>
          </w:p>
        </w:tc>
        <w:tc>
          <w:tcPr>
            <w:tcW w:w="1859" w:type="dxa"/>
            <w:vAlign w:val="top"/>
          </w:tcPr>
          <w:p>
            <w:pPr>
              <w:pStyle w:val="TableText"/>
              <w:ind w:left="505"/>
              <w:spacing w:before="111" w:line="219" w:lineRule="auto"/>
              <w:rPr>
                <w:sz w:val="11"/>
                <w:szCs w:val="11"/>
              </w:rPr>
            </w:pPr>
            <w:r>
              <w:rPr>
                <w:sz w:val="11"/>
                <w:szCs w:val="11"/>
                <w:spacing w:val="-1"/>
              </w:rPr>
              <w:t>稀释600-800倍液</w:t>
            </w:r>
          </w:p>
        </w:tc>
        <w:tc>
          <w:tcPr>
            <w:tcW w:w="1339" w:type="dxa"/>
            <w:vAlign w:val="top"/>
            <w:vMerge w:val="restart"/>
            <w:tcBorders>
              <w:bottom w:val="nil"/>
            </w:tcBorders>
          </w:tcPr>
          <w:p>
            <w:pPr>
              <w:spacing w:line="244" w:lineRule="auto"/>
              <w:rPr>
                <w:rFonts w:ascii="Arial"/>
                <w:sz w:val="21"/>
              </w:rPr>
            </w:pPr>
            <w:r/>
          </w:p>
          <w:p>
            <w:pPr>
              <w:pStyle w:val="TableText"/>
              <w:ind w:left="417"/>
              <w:spacing w:before="36" w:line="219" w:lineRule="auto"/>
              <w:rPr>
                <w:sz w:val="11"/>
                <w:szCs w:val="11"/>
              </w:rPr>
            </w:pPr>
            <w:r>
              <w:rPr>
                <w:sz w:val="11"/>
                <w:szCs w:val="11"/>
                <w:spacing w:val="-2"/>
              </w:rPr>
              <w:t>一般用1次</w:t>
            </w:r>
          </w:p>
        </w:tc>
        <w:tc>
          <w:tcPr>
            <w:tcW w:w="640" w:type="dxa"/>
            <w:vAlign w:val="top"/>
          </w:tcPr>
          <w:p>
            <w:pPr>
              <w:pStyle w:val="TableText"/>
              <w:ind w:left="118"/>
              <w:spacing w:before="107" w:line="214" w:lineRule="auto"/>
              <w:rPr>
                <w:sz w:val="11"/>
                <w:szCs w:val="11"/>
              </w:rPr>
            </w:pPr>
            <w:r>
              <w:rPr>
                <w:sz w:val="11"/>
                <w:szCs w:val="11"/>
                <w:spacing w:val="-1"/>
              </w:rPr>
              <w:t>600g/瓶</w:t>
            </w:r>
          </w:p>
        </w:tc>
        <w:tc>
          <w:tcPr>
            <w:tcW w:w="2943" w:type="dxa"/>
            <w:vAlign w:val="top"/>
          </w:tcPr>
          <w:p>
            <w:pPr>
              <w:pStyle w:val="TableText"/>
              <w:ind w:left="18" w:right="11"/>
              <w:spacing w:before="61" w:line="213" w:lineRule="auto"/>
              <w:rPr>
                <w:sz w:val="11"/>
                <w:szCs w:val="11"/>
              </w:rPr>
            </w:pPr>
            <w:r>
              <w:rPr>
                <w:sz w:val="11"/>
                <w:szCs w:val="11"/>
                <w:spacing w:val="-1"/>
              </w:rPr>
              <w:t>防治因缺钾引起的植株瘦弱，生长不良，I万平方米年度约用</w:t>
            </w:r>
            <w:r>
              <w:rPr>
                <w:sz w:val="11"/>
                <w:szCs w:val="11"/>
                <w:spacing w:val="14"/>
                <w:w w:val="101"/>
              </w:rPr>
              <w:t xml:space="preserve"> </w:t>
            </w:r>
            <w:r>
              <w:rPr>
                <w:sz w:val="11"/>
                <w:szCs w:val="11"/>
                <w:spacing w:val="-1"/>
              </w:rPr>
              <w:t>量：50kg</w:t>
            </w:r>
          </w:p>
        </w:tc>
      </w:tr>
      <w:tr>
        <w:trPr>
          <w:trHeight w:val="329"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tcBorders>
          </w:tcPr>
          <w:p>
            <w:pPr>
              <w:rPr>
                <w:rFonts w:ascii="Arial"/>
                <w:sz w:val="21"/>
              </w:rPr>
            </w:pPr>
            <w:r/>
          </w:p>
        </w:tc>
        <w:tc>
          <w:tcPr>
            <w:tcW w:w="879" w:type="dxa"/>
            <w:vAlign w:val="top"/>
            <w:vMerge w:val="continue"/>
            <w:tcBorders>
              <w:top w:val="nil"/>
            </w:tcBorders>
          </w:tcPr>
          <w:p>
            <w:pPr>
              <w:rPr>
                <w:rFonts w:ascii="Arial"/>
                <w:sz w:val="21"/>
              </w:rPr>
            </w:pPr>
            <w:r/>
          </w:p>
        </w:tc>
        <w:tc>
          <w:tcPr>
            <w:tcW w:w="2458" w:type="dxa"/>
            <w:vAlign w:val="top"/>
            <w:vMerge w:val="continue"/>
            <w:tcBorders>
              <w:top w:val="nil"/>
            </w:tcBorders>
          </w:tcPr>
          <w:p>
            <w:pPr>
              <w:rPr>
                <w:rFonts w:ascii="Arial"/>
                <w:sz w:val="21"/>
              </w:rPr>
            </w:pPr>
            <w:r/>
          </w:p>
        </w:tc>
        <w:tc>
          <w:tcPr>
            <w:tcW w:w="1339" w:type="dxa"/>
            <w:vAlign w:val="top"/>
          </w:tcPr>
          <w:p>
            <w:pPr>
              <w:pStyle w:val="TableText"/>
              <w:ind w:left="274"/>
              <w:spacing w:before="110" w:line="219" w:lineRule="auto"/>
              <w:rPr>
                <w:sz w:val="11"/>
                <w:szCs w:val="11"/>
              </w:rPr>
            </w:pPr>
            <w:r>
              <w:rPr>
                <w:sz w:val="11"/>
                <w:szCs w:val="11"/>
                <w:spacing w:val="-1"/>
              </w:rPr>
              <w:t>高效磷押复合肥</w:t>
            </w:r>
          </w:p>
        </w:tc>
        <w:tc>
          <w:tcPr>
            <w:tcW w:w="1739" w:type="dxa"/>
            <w:vAlign w:val="top"/>
          </w:tcPr>
          <w:p>
            <w:pPr>
              <w:pStyle w:val="TableText"/>
              <w:ind w:left="584"/>
              <w:spacing w:before="111" w:line="219" w:lineRule="auto"/>
              <w:rPr>
                <w:sz w:val="11"/>
                <w:szCs w:val="11"/>
              </w:rPr>
            </w:pPr>
            <w:r>
              <w:rPr>
                <w:sz w:val="11"/>
                <w:szCs w:val="11"/>
                <w:spacing w:val="-1"/>
              </w:rPr>
              <w:t>磷酸二氯钾</w:t>
            </w:r>
          </w:p>
        </w:tc>
        <w:tc>
          <w:tcPr>
            <w:tcW w:w="1859" w:type="dxa"/>
            <w:vAlign w:val="top"/>
          </w:tcPr>
          <w:p>
            <w:pPr>
              <w:pStyle w:val="TableText"/>
              <w:ind w:left="345"/>
              <w:spacing w:before="111" w:line="219" w:lineRule="auto"/>
              <w:rPr>
                <w:sz w:val="11"/>
                <w:szCs w:val="11"/>
              </w:rPr>
            </w:pPr>
            <w:r>
              <w:rPr>
                <w:sz w:val="11"/>
                <w:szCs w:val="11"/>
                <w:spacing w:val="-1"/>
              </w:rPr>
              <w:t>直接穴施或0.2叶百喷临</w:t>
            </w:r>
          </w:p>
        </w:tc>
        <w:tc>
          <w:tcPr>
            <w:tcW w:w="1339" w:type="dxa"/>
            <w:vAlign w:val="top"/>
            <w:vMerge w:val="continue"/>
            <w:tcBorders>
              <w:top w:val="nil"/>
            </w:tcBorders>
          </w:tcPr>
          <w:p>
            <w:pPr>
              <w:rPr>
                <w:rFonts w:ascii="Arial"/>
                <w:sz w:val="21"/>
              </w:rPr>
            </w:pPr>
            <w:r/>
          </w:p>
        </w:tc>
        <w:tc>
          <w:tcPr>
            <w:tcW w:w="640" w:type="dxa"/>
            <w:vAlign w:val="top"/>
          </w:tcPr>
          <w:p>
            <w:pPr>
              <w:pStyle w:val="TableText"/>
              <w:ind w:left="68"/>
              <w:spacing w:before="107" w:line="214" w:lineRule="auto"/>
              <w:rPr>
                <w:sz w:val="11"/>
                <w:szCs w:val="11"/>
              </w:rPr>
            </w:pPr>
            <w:r>
              <w:rPr>
                <w:sz w:val="11"/>
                <w:szCs w:val="11"/>
                <w:spacing w:val="3"/>
              </w:rPr>
              <w:t>(25</w:t>
            </w:r>
            <w:r>
              <w:rPr>
                <w:sz w:val="11"/>
                <w:szCs w:val="11"/>
              </w:rPr>
              <w:t>kg</w:t>
            </w:r>
            <w:r>
              <w:rPr>
                <w:sz w:val="11"/>
                <w:szCs w:val="11"/>
                <w:spacing w:val="3"/>
              </w:rPr>
              <w:t>/袋)</w:t>
            </w:r>
          </w:p>
        </w:tc>
        <w:tc>
          <w:tcPr>
            <w:tcW w:w="2943" w:type="dxa"/>
            <w:vAlign w:val="top"/>
          </w:tcPr>
          <w:p>
            <w:pPr>
              <w:pStyle w:val="TableText"/>
              <w:ind w:left="18"/>
              <w:spacing w:before="61" w:line="213" w:lineRule="auto"/>
              <w:rPr>
                <w:sz w:val="11"/>
                <w:szCs w:val="11"/>
              </w:rPr>
            </w:pPr>
            <w:r>
              <w:rPr>
                <w:sz w:val="11"/>
                <w:szCs w:val="11"/>
                <w:spacing w:val="-4"/>
              </w:rPr>
              <w:t>提高树木木质化程度。有利树木安全越冬，1万平方米年度约用</w:t>
            </w:r>
            <w:r>
              <w:rPr>
                <w:sz w:val="11"/>
                <w:szCs w:val="11"/>
              </w:rPr>
              <w:t xml:space="preserve"> </w:t>
            </w:r>
            <w:r>
              <w:rPr>
                <w:sz w:val="11"/>
                <w:szCs w:val="11"/>
                <w:spacing w:val="-1"/>
              </w:rPr>
              <w:t>量：100kg</w:t>
            </w:r>
          </w:p>
        </w:tc>
      </w:tr>
      <w:tr>
        <w:trPr>
          <w:trHeight w:val="419" w:hRule="atLeast"/>
        </w:trPr>
        <w:tc>
          <w:tcPr>
            <w:tcW w:w="365" w:type="dxa"/>
            <w:vAlign w:val="top"/>
            <w:vMerge w:val="continue"/>
            <w:tcBorders>
              <w:top w:val="nil"/>
              <w:bottom w:val="nil"/>
            </w:tcBorders>
          </w:tcPr>
          <w:p>
            <w:pPr>
              <w:rPr>
                <w:rFonts w:ascii="Arial"/>
                <w:sz w:val="21"/>
              </w:rPr>
            </w:pPr>
            <w:r/>
          </w:p>
        </w:tc>
        <w:tc>
          <w:tcPr>
            <w:tcW w:w="539" w:type="dxa"/>
            <w:vAlign w:val="top"/>
            <w:vMerge w:val="restart"/>
            <w:tcBorders>
              <w:bottom w:val="nil"/>
            </w:tcBorders>
          </w:tcPr>
          <w:p>
            <w:pPr>
              <w:spacing w:line="364" w:lineRule="auto"/>
              <w:rPr>
                <w:rFonts w:ascii="Arial"/>
                <w:sz w:val="21"/>
              </w:rPr>
            </w:pPr>
            <w:r/>
          </w:p>
          <w:p>
            <w:pPr>
              <w:pStyle w:val="TableText"/>
              <w:ind w:left="70"/>
              <w:spacing w:before="36" w:line="219" w:lineRule="auto"/>
              <w:rPr>
                <w:sz w:val="11"/>
                <w:szCs w:val="11"/>
              </w:rPr>
            </w:pPr>
            <w:r>
              <w:rPr>
                <w:sz w:val="11"/>
                <w:szCs w:val="11"/>
                <w:spacing w:val="-1"/>
              </w:rPr>
              <w:t>草皮覆绿</w:t>
            </w:r>
          </w:p>
        </w:tc>
        <w:tc>
          <w:tcPr>
            <w:tcW w:w="879" w:type="dxa"/>
            <w:vAlign w:val="top"/>
            <w:vMerge w:val="restart"/>
            <w:tcBorders>
              <w:bottom w:val="nil"/>
            </w:tcBorders>
          </w:tcPr>
          <w:p>
            <w:pPr>
              <w:spacing w:line="295" w:lineRule="auto"/>
              <w:rPr>
                <w:rFonts w:ascii="Arial"/>
                <w:sz w:val="21"/>
              </w:rPr>
            </w:pPr>
            <w:r/>
          </w:p>
          <w:p>
            <w:pPr>
              <w:pStyle w:val="TableText"/>
              <w:ind w:left="40"/>
              <w:spacing w:before="35" w:line="219" w:lineRule="auto"/>
              <w:rPr>
                <w:sz w:val="11"/>
                <w:szCs w:val="11"/>
              </w:rPr>
            </w:pPr>
            <w:r>
              <w:rPr>
                <w:sz w:val="11"/>
                <w:szCs w:val="11"/>
                <w:spacing w:val="-1"/>
              </w:rPr>
              <w:t>草坪发芽及长势</w:t>
            </w:r>
          </w:p>
          <w:p>
            <w:pPr>
              <w:pStyle w:val="TableText"/>
              <w:ind w:left="321"/>
              <w:spacing w:before="31" w:line="222" w:lineRule="auto"/>
              <w:rPr>
                <w:sz w:val="11"/>
                <w:szCs w:val="11"/>
              </w:rPr>
            </w:pPr>
            <w:r>
              <w:rPr>
                <w:sz w:val="11"/>
                <w:szCs w:val="11"/>
                <w:spacing w:val="-2"/>
              </w:rPr>
              <w:t>不良</w:t>
            </w:r>
          </w:p>
        </w:tc>
        <w:tc>
          <w:tcPr>
            <w:tcW w:w="2458" w:type="dxa"/>
            <w:vAlign w:val="top"/>
            <w:vMerge w:val="restart"/>
            <w:tcBorders>
              <w:bottom w:val="nil"/>
            </w:tcBorders>
          </w:tcPr>
          <w:p>
            <w:pPr>
              <w:pStyle w:val="TableText"/>
              <w:ind w:left="12"/>
              <w:spacing w:before="82" w:line="218" w:lineRule="auto"/>
              <w:rPr>
                <w:sz w:val="11"/>
                <w:szCs w:val="11"/>
              </w:rPr>
            </w:pPr>
            <w:r>
              <w:rPr>
                <w:sz w:val="11"/>
                <w:szCs w:val="11"/>
                <w:spacing w:val="-1"/>
              </w:rPr>
              <w:t>一、主要集中在5月中，气温上开，空气湿度增</w:t>
            </w:r>
          </w:p>
          <w:p>
            <w:pPr>
              <w:pStyle w:val="TableText"/>
              <w:ind w:left="12" w:right="1"/>
              <w:spacing w:before="1" w:line="234" w:lineRule="auto"/>
              <w:rPr>
                <w:sz w:val="11"/>
                <w:szCs w:val="11"/>
              </w:rPr>
            </w:pPr>
            <w:r>
              <w:rPr>
                <w:sz w:val="11"/>
                <w:szCs w:val="11"/>
                <w:spacing w:val="-5"/>
              </w:rPr>
              <w:t>加，苗木结束休眠期开始逗青，是京皮施肥复绿最佳</w:t>
            </w:r>
            <w:r>
              <w:rPr>
                <w:sz w:val="11"/>
                <w:szCs w:val="11"/>
                <w:spacing w:val="18"/>
              </w:rPr>
              <w:t xml:space="preserve"> </w:t>
            </w:r>
            <w:r>
              <w:rPr>
                <w:sz w:val="11"/>
                <w:szCs w:val="11"/>
                <w:spacing w:val="-3"/>
              </w:rPr>
              <w:t>时机</w:t>
            </w:r>
          </w:p>
          <w:p>
            <w:pPr>
              <w:pStyle w:val="TableText"/>
              <w:ind w:left="12" w:right="21"/>
              <w:spacing w:before="1" w:line="209" w:lineRule="auto"/>
              <w:rPr>
                <w:sz w:val="11"/>
                <w:szCs w:val="11"/>
              </w:rPr>
            </w:pPr>
            <w:r>
              <w:rPr>
                <w:sz w:val="11"/>
                <w:szCs w:val="11"/>
                <w:spacing w:val="-1"/>
              </w:rPr>
              <w:t>二.6-7月有个别情况，做专斯治疗一般每月施肥一</w:t>
            </w:r>
            <w:r>
              <w:rPr>
                <w:sz w:val="11"/>
                <w:szCs w:val="11"/>
                <w:spacing w:val="16"/>
                <w:w w:val="101"/>
              </w:rPr>
              <w:t xml:space="preserve"> </w:t>
            </w:r>
            <w:r>
              <w:rPr>
                <w:sz w:val="11"/>
                <w:szCs w:val="11"/>
                <w:spacing w:val="-1"/>
              </w:rPr>
              <w:t>次。每次用量为春季的一般左右：</w:t>
            </w:r>
          </w:p>
          <w:p>
            <w:pPr>
              <w:pStyle w:val="TableText"/>
              <w:ind w:left="12"/>
              <w:spacing w:line="218" w:lineRule="auto"/>
              <w:rPr>
                <w:sz w:val="11"/>
                <w:szCs w:val="11"/>
              </w:rPr>
            </w:pPr>
            <w:r>
              <w:rPr>
                <w:sz w:val="11"/>
                <w:szCs w:val="11"/>
                <w:spacing w:val="-1"/>
              </w:rPr>
              <w:t>三，9-10月份施秋肥，</w:t>
            </w:r>
          </w:p>
        </w:tc>
        <w:tc>
          <w:tcPr>
            <w:tcW w:w="1339" w:type="dxa"/>
            <w:vAlign w:val="top"/>
          </w:tcPr>
          <w:p>
            <w:pPr>
              <w:pStyle w:val="TableText"/>
              <w:ind w:left="24"/>
              <w:spacing w:before="102" w:line="219" w:lineRule="auto"/>
              <w:rPr>
                <w:sz w:val="11"/>
                <w:szCs w:val="11"/>
              </w:rPr>
            </w:pPr>
            <w:r>
              <w:rPr>
                <w:sz w:val="11"/>
                <w:szCs w:val="11"/>
                <w:spacing w:val="-1"/>
              </w:rPr>
              <w:t>尿素(一般不做单独使用须</w:t>
            </w:r>
          </w:p>
          <w:p>
            <w:pPr>
              <w:pStyle w:val="TableText"/>
              <w:ind w:left="244"/>
              <w:spacing w:before="8" w:line="219" w:lineRule="auto"/>
              <w:rPr>
                <w:sz w:val="11"/>
                <w:szCs w:val="11"/>
              </w:rPr>
            </w:pPr>
            <w:r>
              <w:rPr>
                <w:sz w:val="11"/>
                <w:szCs w:val="11"/>
                <w:spacing w:val="3"/>
              </w:rPr>
              <w:t>配合磷钾肥使用)</w:t>
            </w:r>
          </w:p>
        </w:tc>
        <w:tc>
          <w:tcPr>
            <w:tcW w:w="1739" w:type="dxa"/>
            <w:vAlign w:val="top"/>
          </w:tcPr>
          <w:p>
            <w:pPr>
              <w:pStyle w:val="TableText"/>
              <w:ind w:left="445"/>
              <w:spacing w:before="162" w:line="219" w:lineRule="auto"/>
              <w:rPr>
                <w:sz w:val="11"/>
                <w:szCs w:val="11"/>
              </w:rPr>
            </w:pPr>
            <w:r>
              <w:rPr>
                <w:sz w:val="11"/>
                <w:szCs w:val="11"/>
                <w:spacing w:val="-1"/>
              </w:rPr>
              <w:t>CDCH2)2.含氯46%</w:t>
            </w:r>
          </w:p>
        </w:tc>
        <w:tc>
          <w:tcPr>
            <w:tcW w:w="1859" w:type="dxa"/>
            <w:vAlign w:val="top"/>
          </w:tcPr>
          <w:p>
            <w:pPr>
              <w:pStyle w:val="TableText"/>
              <w:ind w:left="375"/>
              <w:spacing w:before="158" w:line="214" w:lineRule="auto"/>
              <w:rPr>
                <w:sz w:val="11"/>
                <w:szCs w:val="11"/>
              </w:rPr>
            </w:pPr>
            <w:r>
              <w:rPr>
                <w:sz w:val="11"/>
                <w:szCs w:val="11"/>
                <w:spacing w:val="-1"/>
              </w:rPr>
              <w:t>直接撒施：20-25kg/亩</w:t>
            </w:r>
          </w:p>
        </w:tc>
        <w:tc>
          <w:tcPr>
            <w:tcW w:w="1339" w:type="dxa"/>
            <w:vAlign w:val="top"/>
            <w:vMerge w:val="restart"/>
            <w:tcBorders>
              <w:bottom w:val="nil"/>
            </w:tcBorders>
          </w:tcPr>
          <w:p>
            <w:pPr>
              <w:spacing w:line="364" w:lineRule="auto"/>
              <w:rPr>
                <w:rFonts w:ascii="Arial"/>
                <w:sz w:val="21"/>
              </w:rPr>
            </w:pPr>
            <w:r/>
          </w:p>
          <w:p>
            <w:pPr>
              <w:pStyle w:val="TableText"/>
              <w:ind w:left="277"/>
              <w:spacing w:before="36" w:line="219" w:lineRule="auto"/>
              <w:rPr>
                <w:sz w:val="11"/>
                <w:szCs w:val="11"/>
              </w:rPr>
            </w:pPr>
            <w:r>
              <w:rPr>
                <w:sz w:val="11"/>
                <w:szCs w:val="11"/>
                <w:spacing w:val="-1"/>
              </w:rPr>
              <w:t>视草坪生长情况</w:t>
            </w:r>
          </w:p>
        </w:tc>
        <w:tc>
          <w:tcPr>
            <w:tcW w:w="640" w:type="dxa"/>
            <w:vAlign w:val="top"/>
          </w:tcPr>
          <w:p>
            <w:pPr>
              <w:pStyle w:val="TableText"/>
              <w:ind w:left="13"/>
              <w:spacing w:before="158" w:line="214" w:lineRule="auto"/>
              <w:rPr>
                <w:sz w:val="11"/>
                <w:szCs w:val="11"/>
              </w:rPr>
            </w:pPr>
            <w:r>
              <w:rPr>
                <w:sz w:val="11"/>
                <w:szCs w:val="11"/>
                <w:spacing w:val="-1"/>
              </w:rPr>
              <w:t>《50kg/袋)</w:t>
            </w:r>
          </w:p>
        </w:tc>
        <w:tc>
          <w:tcPr>
            <w:tcW w:w="2943" w:type="dxa"/>
            <w:vAlign w:val="top"/>
          </w:tcPr>
          <w:p>
            <w:pPr>
              <w:pStyle w:val="TableText"/>
              <w:ind w:left="18"/>
              <w:spacing w:before="158" w:line="214" w:lineRule="auto"/>
              <w:rPr>
                <w:sz w:val="11"/>
                <w:szCs w:val="11"/>
              </w:rPr>
            </w:pPr>
            <w:r>
              <w:rPr>
                <w:sz w:val="11"/>
                <w:szCs w:val="11"/>
              </w:rPr>
              <w:t>促进草坪生长，增绿，1万平方米年度约用量</w:t>
            </w:r>
            <w:r>
              <w:rPr>
                <w:sz w:val="11"/>
                <w:szCs w:val="11"/>
                <w:spacing w:val="-1"/>
              </w:rPr>
              <w:t>：200kg</w:t>
            </w:r>
          </w:p>
        </w:tc>
      </w:tr>
      <w:tr>
        <w:trPr>
          <w:trHeight w:val="469" w:hRule="atLeast"/>
        </w:trPr>
        <w:tc>
          <w:tcPr>
            <w:tcW w:w="365"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879" w:type="dxa"/>
            <w:vAlign w:val="top"/>
            <w:vMerge w:val="continue"/>
            <w:tcBorders>
              <w:top w:val="nil"/>
            </w:tcBorders>
          </w:tcPr>
          <w:p>
            <w:pPr>
              <w:rPr>
                <w:rFonts w:ascii="Arial"/>
                <w:sz w:val="21"/>
              </w:rPr>
            </w:pPr>
            <w:r/>
          </w:p>
        </w:tc>
        <w:tc>
          <w:tcPr>
            <w:tcW w:w="2458" w:type="dxa"/>
            <w:vAlign w:val="top"/>
            <w:vMerge w:val="continue"/>
            <w:tcBorders>
              <w:top w:val="nil"/>
            </w:tcBorders>
          </w:tcPr>
          <w:p>
            <w:pPr>
              <w:rPr>
                <w:rFonts w:ascii="Arial"/>
                <w:sz w:val="21"/>
              </w:rPr>
            </w:pPr>
            <w:r/>
          </w:p>
        </w:tc>
        <w:tc>
          <w:tcPr>
            <w:tcW w:w="1339" w:type="dxa"/>
            <w:vAlign w:val="top"/>
          </w:tcPr>
          <w:p>
            <w:pPr>
              <w:pStyle w:val="TableText"/>
              <w:ind w:left="443"/>
              <w:spacing w:before="183" w:line="219" w:lineRule="auto"/>
              <w:rPr>
                <w:sz w:val="11"/>
                <w:szCs w:val="11"/>
              </w:rPr>
            </w:pPr>
            <w:r>
              <w:rPr>
                <w:sz w:val="11"/>
                <w:szCs w:val="11"/>
                <w:spacing w:val="1"/>
              </w:rPr>
              <w:t>中威壮美</w:t>
            </w:r>
          </w:p>
        </w:tc>
        <w:tc>
          <w:tcPr>
            <w:tcW w:w="1739" w:type="dxa"/>
            <w:vAlign w:val="top"/>
          </w:tcPr>
          <w:p>
            <w:pPr>
              <w:pStyle w:val="TableText"/>
              <w:ind w:left="584"/>
              <w:spacing w:before="183" w:line="219" w:lineRule="auto"/>
              <w:rPr>
                <w:sz w:val="11"/>
                <w:szCs w:val="11"/>
              </w:rPr>
            </w:pPr>
            <w:r>
              <w:rPr>
                <w:sz w:val="11"/>
                <w:szCs w:val="11"/>
                <w:spacing w:val="-1"/>
              </w:rPr>
              <w:t>有帆质3605</w:t>
            </w:r>
          </w:p>
        </w:tc>
        <w:tc>
          <w:tcPr>
            <w:tcW w:w="1859" w:type="dxa"/>
            <w:vAlign w:val="top"/>
          </w:tcPr>
          <w:p>
            <w:pPr>
              <w:pStyle w:val="TableText"/>
              <w:ind w:left="375"/>
              <w:spacing w:before="179" w:line="214" w:lineRule="auto"/>
              <w:rPr>
                <w:sz w:val="11"/>
                <w:szCs w:val="11"/>
              </w:rPr>
            </w:pPr>
            <w:r>
              <w:rPr>
                <w:sz w:val="11"/>
                <w:szCs w:val="11"/>
                <w:spacing w:val="-1"/>
              </w:rPr>
              <w:t>直接数施：20-25kg/亩</w:t>
            </w:r>
          </w:p>
        </w:tc>
        <w:tc>
          <w:tcPr>
            <w:tcW w:w="1339" w:type="dxa"/>
            <w:vAlign w:val="top"/>
            <w:vMerge w:val="continue"/>
            <w:tcBorders>
              <w:top w:val="nil"/>
            </w:tcBorders>
          </w:tcPr>
          <w:p>
            <w:pPr>
              <w:rPr>
                <w:rFonts w:ascii="Arial"/>
                <w:sz w:val="21"/>
              </w:rPr>
            </w:pPr>
            <w:r/>
          </w:p>
        </w:tc>
        <w:tc>
          <w:tcPr>
            <w:tcW w:w="640" w:type="dxa"/>
            <w:vAlign w:val="top"/>
          </w:tcPr>
          <w:p>
            <w:pPr>
              <w:pStyle w:val="TableText"/>
              <w:ind w:left="68"/>
              <w:spacing w:before="179" w:line="214" w:lineRule="auto"/>
              <w:rPr>
                <w:sz w:val="11"/>
                <w:szCs w:val="11"/>
              </w:rPr>
            </w:pPr>
            <w:r>
              <w:rPr>
                <w:sz w:val="11"/>
                <w:szCs w:val="11"/>
                <w:spacing w:val="3"/>
              </w:rPr>
              <w:t>(25</w:t>
            </w:r>
            <w:r>
              <w:rPr>
                <w:sz w:val="11"/>
                <w:szCs w:val="11"/>
              </w:rPr>
              <w:t>kg</w:t>
            </w:r>
            <w:r>
              <w:rPr>
                <w:sz w:val="11"/>
                <w:szCs w:val="11"/>
                <w:spacing w:val="3"/>
              </w:rPr>
              <w:t>/袋)</w:t>
            </w:r>
          </w:p>
        </w:tc>
        <w:tc>
          <w:tcPr>
            <w:tcW w:w="2943" w:type="dxa"/>
            <w:vAlign w:val="top"/>
          </w:tcPr>
          <w:p>
            <w:pPr>
              <w:pStyle w:val="TableText"/>
              <w:ind w:left="18"/>
              <w:spacing w:before="142" w:line="205" w:lineRule="auto"/>
              <w:rPr>
                <w:sz w:val="11"/>
                <w:szCs w:val="11"/>
              </w:rPr>
            </w:pPr>
            <w:r>
              <w:rPr>
                <w:sz w:val="11"/>
                <w:szCs w:val="11"/>
                <w:spacing w:val="-4"/>
              </w:rPr>
              <w:t>起进草坪快速生根。全面营养，使用安全方便，1万平方米年度</w:t>
            </w:r>
            <w:r>
              <w:rPr>
                <w:sz w:val="11"/>
                <w:szCs w:val="11"/>
              </w:rPr>
              <w:t xml:space="preserve"> </w:t>
            </w:r>
            <w:r>
              <w:rPr>
                <w:sz w:val="11"/>
                <w:szCs w:val="11"/>
                <w:spacing w:val="1"/>
              </w:rPr>
              <w:t>的用量：250</w:t>
            </w:r>
            <w:r>
              <w:rPr>
                <w:sz w:val="11"/>
                <w:szCs w:val="11"/>
              </w:rPr>
              <w:t>kg</w:t>
            </w:r>
          </w:p>
        </w:tc>
      </w:tr>
      <w:tr>
        <w:trPr>
          <w:trHeight w:val="299" w:hRule="atLeast"/>
        </w:trPr>
        <w:tc>
          <w:tcPr>
            <w:tcW w:w="365" w:type="dxa"/>
            <w:vAlign w:val="top"/>
            <w:vMerge w:val="restart"/>
            <w:tcBorders>
              <w:bottom w:val="nil"/>
            </w:tcBorders>
          </w:tcPr>
          <w:p>
            <w:pPr>
              <w:spacing w:line="346" w:lineRule="auto"/>
              <w:rPr>
                <w:rFonts w:ascii="Arial"/>
                <w:sz w:val="21"/>
              </w:rPr>
            </w:pPr>
            <w:r/>
          </w:p>
          <w:p>
            <w:pPr>
              <w:pStyle w:val="TableText"/>
              <w:ind w:left="64"/>
              <w:spacing w:before="36" w:line="220" w:lineRule="auto"/>
              <w:rPr>
                <w:sz w:val="11"/>
                <w:szCs w:val="11"/>
              </w:rPr>
            </w:pPr>
            <w:r>
              <w:rPr>
                <w:sz w:val="11"/>
                <w:szCs w:val="11"/>
                <w:spacing w:val="-2"/>
              </w:rPr>
              <w:t>其他</w:t>
            </w:r>
          </w:p>
        </w:tc>
        <w:tc>
          <w:tcPr>
            <w:tcW w:w="539" w:type="dxa"/>
            <w:vAlign w:val="top"/>
            <w:vMerge w:val="restart"/>
            <w:tcBorders>
              <w:bottom w:val="nil"/>
            </w:tcBorders>
          </w:tcPr>
          <w:p>
            <w:pPr>
              <w:spacing w:line="346" w:lineRule="auto"/>
              <w:rPr>
                <w:rFonts w:ascii="Arial"/>
                <w:sz w:val="21"/>
              </w:rPr>
            </w:pPr>
            <w:r/>
          </w:p>
          <w:p>
            <w:pPr>
              <w:pStyle w:val="TableText"/>
              <w:ind w:left="70"/>
              <w:spacing w:before="36" w:line="219" w:lineRule="auto"/>
              <w:rPr>
                <w:sz w:val="11"/>
                <w:szCs w:val="11"/>
              </w:rPr>
            </w:pPr>
            <w:r>
              <w:rPr>
                <w:sz w:val="11"/>
                <w:szCs w:val="11"/>
                <w:spacing w:val="-1"/>
              </w:rPr>
              <w:t>树木养护</w:t>
            </w:r>
          </w:p>
        </w:tc>
        <w:tc>
          <w:tcPr>
            <w:tcW w:w="879" w:type="dxa"/>
            <w:vAlign w:val="top"/>
            <w:vMerge w:val="restart"/>
            <w:tcBorders>
              <w:bottom w:val="nil"/>
            </w:tcBorders>
          </w:tcPr>
          <w:p>
            <w:pPr>
              <w:spacing w:line="297" w:lineRule="auto"/>
              <w:rPr>
                <w:rFonts w:ascii="Arial"/>
                <w:sz w:val="21"/>
              </w:rPr>
            </w:pPr>
            <w:r/>
          </w:p>
          <w:p>
            <w:pPr>
              <w:pStyle w:val="TableText"/>
              <w:ind w:left="100" w:right="33" w:hanging="29"/>
              <w:spacing w:before="35" w:line="220" w:lineRule="auto"/>
              <w:rPr>
                <w:sz w:val="11"/>
                <w:szCs w:val="11"/>
              </w:rPr>
            </w:pPr>
            <w:r>
              <w:rPr>
                <w:sz w:val="11"/>
                <w:szCs w:val="11"/>
                <w:spacing w:val="-1"/>
              </w:rPr>
              <w:t>树木修剪创口，</w:t>
            </w:r>
            <w:r>
              <w:rPr>
                <w:sz w:val="11"/>
                <w:szCs w:val="11"/>
              </w:rPr>
              <w:t xml:space="preserve"> </w:t>
            </w:r>
            <w:r>
              <w:rPr>
                <w:sz w:val="11"/>
                <w:szCs w:val="11"/>
                <w:spacing w:val="2"/>
              </w:rPr>
              <w:t>腐烂病害伤口</w:t>
            </w:r>
          </w:p>
        </w:tc>
        <w:tc>
          <w:tcPr>
            <w:tcW w:w="2458" w:type="dxa"/>
            <w:vAlign w:val="top"/>
            <w:vMerge w:val="restart"/>
            <w:tcBorders>
              <w:bottom w:val="nil"/>
            </w:tcBorders>
          </w:tcPr>
          <w:p>
            <w:pPr>
              <w:spacing w:line="346" w:lineRule="auto"/>
              <w:rPr>
                <w:rFonts w:ascii="Arial"/>
                <w:sz w:val="21"/>
              </w:rPr>
            </w:pPr>
            <w:r/>
          </w:p>
          <w:p>
            <w:pPr>
              <w:pStyle w:val="TableText"/>
              <w:ind w:left="992"/>
              <w:spacing w:before="36" w:line="219" w:lineRule="auto"/>
              <w:rPr>
                <w:sz w:val="11"/>
                <w:szCs w:val="11"/>
              </w:rPr>
            </w:pPr>
            <w:r>
              <w:rPr>
                <w:sz w:val="11"/>
                <w:szCs w:val="11"/>
                <w:spacing w:val="2"/>
              </w:rPr>
              <w:t>日常养护</w:t>
            </w:r>
          </w:p>
        </w:tc>
        <w:tc>
          <w:tcPr>
            <w:tcW w:w="1339" w:type="dxa"/>
            <w:vAlign w:val="top"/>
          </w:tcPr>
          <w:p>
            <w:pPr>
              <w:pStyle w:val="TableText"/>
              <w:ind w:left="274"/>
              <w:spacing w:before="103" w:line="219" w:lineRule="auto"/>
              <w:rPr>
                <w:sz w:val="11"/>
                <w:szCs w:val="11"/>
              </w:rPr>
            </w:pPr>
            <w:r>
              <w:rPr>
                <w:sz w:val="11"/>
                <w:szCs w:val="11"/>
              </w:rPr>
              <w:t>国光愈伤涂膜剂</w:t>
            </w:r>
          </w:p>
        </w:tc>
        <w:tc>
          <w:tcPr>
            <w:tcW w:w="1739" w:type="dxa"/>
            <w:vAlign w:val="top"/>
          </w:tcPr>
          <w:p>
            <w:pPr>
              <w:pStyle w:val="TableText"/>
              <w:ind w:left="664" w:right="49" w:hanging="629"/>
              <w:spacing w:before="24" w:line="211" w:lineRule="auto"/>
              <w:rPr>
                <w:sz w:val="11"/>
                <w:szCs w:val="11"/>
              </w:rPr>
            </w:pPr>
            <w:r>
              <w:rPr>
                <w:sz w:val="11"/>
                <w:szCs w:val="11"/>
                <w:spacing w:val="-1"/>
              </w:rPr>
              <w:t>成膜剂、甲基硫菌灵、防演剂、促</w:t>
            </w:r>
            <w:r>
              <w:rPr>
                <w:sz w:val="11"/>
                <w:szCs w:val="11"/>
                <w:spacing w:val="8"/>
              </w:rPr>
              <w:t xml:space="preserve"> </w:t>
            </w:r>
            <w:r>
              <w:rPr>
                <w:sz w:val="11"/>
                <w:szCs w:val="11"/>
                <w:spacing w:val="-1"/>
              </w:rPr>
              <w:t>生长物质</w:t>
            </w:r>
          </w:p>
        </w:tc>
        <w:tc>
          <w:tcPr>
            <w:tcW w:w="1859" w:type="dxa"/>
            <w:vAlign w:val="top"/>
          </w:tcPr>
          <w:p>
            <w:pPr>
              <w:pStyle w:val="TableText"/>
              <w:ind w:left="315"/>
              <w:spacing w:before="104" w:line="219" w:lineRule="auto"/>
              <w:rPr>
                <w:sz w:val="11"/>
                <w:szCs w:val="11"/>
              </w:rPr>
            </w:pPr>
            <w:r>
              <w:rPr>
                <w:sz w:val="11"/>
                <w:szCs w:val="11"/>
                <w:spacing w:val="-1"/>
              </w:rPr>
              <w:t>直接使用，可略加水畅释</w:t>
            </w:r>
          </w:p>
        </w:tc>
        <w:tc>
          <w:tcPr>
            <w:tcW w:w="1339" w:type="dxa"/>
            <w:vAlign w:val="top"/>
            <w:vMerge w:val="restart"/>
            <w:tcBorders>
              <w:bottom w:val="nil"/>
            </w:tcBorders>
          </w:tcPr>
          <w:p>
            <w:pPr>
              <w:spacing w:line="346" w:lineRule="auto"/>
              <w:rPr>
                <w:rFonts w:ascii="Arial"/>
                <w:sz w:val="21"/>
              </w:rPr>
            </w:pPr>
            <w:r/>
          </w:p>
          <w:p>
            <w:pPr>
              <w:pStyle w:val="TableText"/>
              <w:ind w:left="56"/>
              <w:spacing w:before="36" w:line="219" w:lineRule="auto"/>
              <w:rPr>
                <w:sz w:val="11"/>
                <w:szCs w:val="11"/>
              </w:rPr>
            </w:pPr>
            <w:r>
              <w:rPr>
                <w:sz w:val="11"/>
                <w:szCs w:val="11"/>
                <w:spacing w:val="-1"/>
              </w:rPr>
              <w:t>乔木修男后和核皮破损时</w:t>
            </w:r>
          </w:p>
        </w:tc>
        <w:tc>
          <w:tcPr>
            <w:tcW w:w="640" w:type="dxa"/>
            <w:vAlign w:val="top"/>
          </w:tcPr>
          <w:p>
            <w:pPr>
              <w:pStyle w:val="TableText"/>
              <w:ind w:left="98"/>
              <w:spacing w:before="100" w:line="214" w:lineRule="auto"/>
              <w:rPr>
                <w:sz w:val="11"/>
                <w:szCs w:val="11"/>
              </w:rPr>
            </w:pPr>
            <w:r>
              <w:rPr>
                <w:sz w:val="11"/>
                <w:szCs w:val="11"/>
                <w:spacing w:val="3"/>
              </w:rPr>
              <w:t>(50g/瓶)</w:t>
            </w:r>
          </w:p>
        </w:tc>
        <w:tc>
          <w:tcPr>
            <w:tcW w:w="2943" w:type="dxa"/>
            <w:vAlign w:val="top"/>
          </w:tcPr>
          <w:p>
            <w:pPr>
              <w:pStyle w:val="TableText"/>
              <w:ind w:left="18"/>
              <w:spacing w:before="103" w:line="219" w:lineRule="auto"/>
              <w:rPr>
                <w:sz w:val="11"/>
                <w:szCs w:val="11"/>
              </w:rPr>
            </w:pPr>
            <w:r>
              <w:rPr>
                <w:sz w:val="11"/>
                <w:szCs w:val="11"/>
                <w:spacing w:val="-1"/>
              </w:rPr>
              <w:t>促进伤口快速愈合，杀菌防腐</w:t>
            </w:r>
          </w:p>
        </w:tc>
      </w:tr>
      <w:tr>
        <w:trPr>
          <w:trHeight w:val="270" w:hRule="atLeast"/>
        </w:trPr>
        <w:tc>
          <w:tcPr>
            <w:tcW w:w="365" w:type="dxa"/>
            <w:vAlign w:val="top"/>
            <w:vMerge w:val="continue"/>
            <w:tcBorders>
              <w:top w:val="nil"/>
              <w:bottom w:val="nil"/>
            </w:tcBorders>
          </w:tcPr>
          <w:p>
            <w:pPr>
              <w:rPr>
                <w:rFonts w:ascii="Arial"/>
                <w:sz w:val="21"/>
              </w:rPr>
            </w:pPr>
            <w:r/>
          </w:p>
        </w:tc>
        <w:tc>
          <w:tcPr>
            <w:tcW w:w="539" w:type="dxa"/>
            <w:vAlign w:val="top"/>
            <w:vMerge w:val="continue"/>
            <w:tcBorders>
              <w:top w:val="nil"/>
              <w:bottom w:val="nil"/>
            </w:tcBorders>
          </w:tcPr>
          <w:p>
            <w:pPr>
              <w:rPr>
                <w:rFonts w:ascii="Arial"/>
                <w:sz w:val="21"/>
              </w:rPr>
            </w:pPr>
            <w:r/>
          </w:p>
        </w:tc>
        <w:tc>
          <w:tcPr>
            <w:tcW w:w="879" w:type="dxa"/>
            <w:vAlign w:val="top"/>
            <w:vMerge w:val="continue"/>
            <w:tcBorders>
              <w:top w:val="nil"/>
              <w:bottom w:val="nil"/>
            </w:tcBorders>
          </w:tcPr>
          <w:p>
            <w:pPr>
              <w:rPr>
                <w:rFonts w:ascii="Arial"/>
                <w:sz w:val="21"/>
              </w:rPr>
            </w:pPr>
            <w:r/>
          </w:p>
        </w:tc>
        <w:tc>
          <w:tcPr>
            <w:tcW w:w="2458" w:type="dxa"/>
            <w:vAlign w:val="top"/>
            <w:vMerge w:val="continue"/>
            <w:tcBorders>
              <w:top w:val="nil"/>
              <w:bottom w:val="nil"/>
            </w:tcBorders>
          </w:tcPr>
          <w:p>
            <w:pPr>
              <w:rPr>
                <w:rFonts w:ascii="Arial"/>
                <w:sz w:val="21"/>
              </w:rPr>
            </w:pPr>
            <w:r/>
          </w:p>
        </w:tc>
        <w:tc>
          <w:tcPr>
            <w:tcW w:w="1339" w:type="dxa"/>
            <w:vAlign w:val="top"/>
          </w:tcPr>
          <w:p>
            <w:pPr>
              <w:pStyle w:val="TableText"/>
              <w:ind w:left="383"/>
              <w:spacing w:before="84" w:line="219" w:lineRule="auto"/>
              <w:rPr>
                <w:sz w:val="11"/>
                <w:szCs w:val="11"/>
              </w:rPr>
            </w:pPr>
            <w:r>
              <w:rPr>
                <w:sz w:val="11"/>
                <w:szCs w:val="11"/>
                <w:spacing w:val="1"/>
              </w:rPr>
              <w:t>中威愈伤膏</w:t>
            </w:r>
          </w:p>
        </w:tc>
        <w:tc>
          <w:tcPr>
            <w:tcW w:w="1739" w:type="dxa"/>
            <w:vAlign w:val="top"/>
          </w:tcPr>
          <w:p>
            <w:pPr>
              <w:pStyle w:val="TableText"/>
              <w:ind w:left="475"/>
              <w:spacing w:before="84" w:line="219" w:lineRule="auto"/>
              <w:rPr>
                <w:sz w:val="11"/>
                <w:szCs w:val="11"/>
              </w:rPr>
            </w:pPr>
            <w:r>
              <w:rPr>
                <w:sz w:val="11"/>
                <w:szCs w:val="11"/>
                <w:spacing w:val="-1"/>
              </w:rPr>
              <w:t>有机质、杀菌剂</w:t>
            </w:r>
          </w:p>
        </w:tc>
        <w:tc>
          <w:tcPr>
            <w:tcW w:w="1859" w:type="dxa"/>
            <w:vAlign w:val="top"/>
          </w:tcPr>
          <w:p>
            <w:pPr>
              <w:pStyle w:val="TableText"/>
              <w:ind w:left="315"/>
              <w:spacing w:before="85" w:line="219" w:lineRule="auto"/>
              <w:rPr>
                <w:sz w:val="11"/>
                <w:szCs w:val="11"/>
              </w:rPr>
            </w:pPr>
            <w:r>
              <w:rPr>
                <w:sz w:val="11"/>
                <w:szCs w:val="11"/>
                <w:spacing w:val="-1"/>
              </w:rPr>
              <w:t>直核使用，可略加水稀释</w:t>
            </w:r>
          </w:p>
        </w:tc>
        <w:tc>
          <w:tcPr>
            <w:tcW w:w="1339" w:type="dxa"/>
            <w:vAlign w:val="top"/>
            <w:vMerge w:val="continue"/>
            <w:tcBorders>
              <w:top w:val="nil"/>
              <w:bottom w:val="nil"/>
            </w:tcBorders>
          </w:tcPr>
          <w:p>
            <w:pPr>
              <w:rPr>
                <w:rFonts w:ascii="Arial"/>
                <w:sz w:val="21"/>
              </w:rPr>
            </w:pPr>
            <w:r/>
          </w:p>
        </w:tc>
        <w:tc>
          <w:tcPr>
            <w:tcW w:w="640" w:type="dxa"/>
            <w:vAlign w:val="top"/>
          </w:tcPr>
          <w:p>
            <w:pPr>
              <w:pStyle w:val="TableText"/>
              <w:ind w:left="13"/>
              <w:spacing w:before="81" w:line="214" w:lineRule="auto"/>
              <w:rPr>
                <w:sz w:val="11"/>
                <w:szCs w:val="11"/>
              </w:rPr>
            </w:pPr>
            <w:r>
              <w:rPr>
                <w:sz w:val="11"/>
                <w:szCs w:val="11"/>
                <w:spacing w:val="-1"/>
              </w:rPr>
              <w:t>《500g/瓶)</w:t>
            </w:r>
          </w:p>
        </w:tc>
        <w:tc>
          <w:tcPr>
            <w:tcW w:w="2943" w:type="dxa"/>
            <w:vAlign w:val="top"/>
          </w:tcPr>
          <w:p>
            <w:pPr>
              <w:pStyle w:val="TableText"/>
              <w:ind w:left="18"/>
              <w:spacing w:before="85" w:line="219" w:lineRule="auto"/>
              <w:rPr>
                <w:sz w:val="11"/>
                <w:szCs w:val="11"/>
              </w:rPr>
            </w:pPr>
            <w:r>
              <w:rPr>
                <w:sz w:val="11"/>
                <w:szCs w:val="11"/>
              </w:rPr>
              <w:t>适用树木移救时切口及根部处理；病害伤口、</w:t>
            </w:r>
            <w:r>
              <w:rPr>
                <w:sz w:val="11"/>
                <w:szCs w:val="11"/>
                <w:spacing w:val="-1"/>
              </w:rPr>
              <w:t>树皮损失处理</w:t>
            </w:r>
          </w:p>
        </w:tc>
      </w:tr>
      <w:tr>
        <w:trPr>
          <w:trHeight w:val="275" w:hRule="atLeast"/>
        </w:trPr>
        <w:tc>
          <w:tcPr>
            <w:tcW w:w="365" w:type="dxa"/>
            <w:vAlign w:val="top"/>
            <w:vMerge w:val="continue"/>
            <w:tcBorders>
              <w:top w:val="nil"/>
            </w:tcBorders>
          </w:tcPr>
          <w:p>
            <w:pPr>
              <w:rPr>
                <w:rFonts w:ascii="Arial"/>
                <w:sz w:val="21"/>
              </w:rPr>
            </w:pPr>
            <w:r/>
          </w:p>
        </w:tc>
        <w:tc>
          <w:tcPr>
            <w:tcW w:w="539" w:type="dxa"/>
            <w:vAlign w:val="top"/>
            <w:vMerge w:val="continue"/>
            <w:tcBorders>
              <w:top w:val="nil"/>
            </w:tcBorders>
          </w:tcPr>
          <w:p>
            <w:pPr>
              <w:rPr>
                <w:rFonts w:ascii="Arial"/>
                <w:sz w:val="21"/>
              </w:rPr>
            </w:pPr>
            <w:r/>
          </w:p>
        </w:tc>
        <w:tc>
          <w:tcPr>
            <w:tcW w:w="879" w:type="dxa"/>
            <w:vAlign w:val="top"/>
            <w:vMerge w:val="continue"/>
            <w:tcBorders>
              <w:top w:val="nil"/>
            </w:tcBorders>
          </w:tcPr>
          <w:p>
            <w:pPr>
              <w:rPr>
                <w:rFonts w:ascii="Arial"/>
                <w:sz w:val="21"/>
              </w:rPr>
            </w:pPr>
            <w:r/>
          </w:p>
        </w:tc>
        <w:tc>
          <w:tcPr>
            <w:tcW w:w="2458" w:type="dxa"/>
            <w:vAlign w:val="top"/>
            <w:vMerge w:val="continue"/>
            <w:tcBorders>
              <w:top w:val="nil"/>
            </w:tcBorders>
          </w:tcPr>
          <w:p>
            <w:pPr>
              <w:rPr>
                <w:rFonts w:ascii="Arial"/>
                <w:sz w:val="21"/>
              </w:rPr>
            </w:pPr>
            <w:r/>
          </w:p>
        </w:tc>
        <w:tc>
          <w:tcPr>
            <w:tcW w:w="1339" w:type="dxa"/>
            <w:vAlign w:val="top"/>
          </w:tcPr>
          <w:p>
            <w:pPr>
              <w:pStyle w:val="TableText"/>
              <w:ind w:left="443"/>
              <w:spacing w:before="85" w:line="219" w:lineRule="auto"/>
              <w:rPr>
                <w:sz w:val="11"/>
                <w:szCs w:val="11"/>
              </w:rPr>
            </w:pPr>
            <w:r>
              <w:rPr>
                <w:sz w:val="11"/>
                <w:szCs w:val="11"/>
                <w:spacing w:val="-1"/>
              </w:rPr>
              <w:t>灰色油漆</w:t>
            </w:r>
          </w:p>
        </w:tc>
        <w:tc>
          <w:tcPr>
            <w:tcW w:w="1739" w:type="dxa"/>
            <w:vAlign w:val="top"/>
          </w:tcPr>
          <w:p>
            <w:pPr>
              <w:pStyle w:val="TableText"/>
              <w:ind w:left="145"/>
              <w:spacing w:before="104" w:line="219" w:lineRule="auto"/>
              <w:rPr>
                <w:sz w:val="11"/>
                <w:szCs w:val="11"/>
              </w:rPr>
            </w:pPr>
            <w:r>
              <w:rPr>
                <w:sz w:val="11"/>
                <w:szCs w:val="11"/>
                <w:spacing w:val="-1"/>
              </w:rPr>
              <w:t>成腐物质、颜料，溶剂，助剂</w:t>
            </w:r>
          </w:p>
        </w:tc>
        <w:tc>
          <w:tcPr>
            <w:tcW w:w="1859" w:type="dxa"/>
            <w:vAlign w:val="top"/>
          </w:tcPr>
          <w:p>
            <w:pPr>
              <w:pStyle w:val="TableText"/>
              <w:ind w:left="266"/>
              <w:spacing w:before="115" w:line="219" w:lineRule="auto"/>
              <w:rPr>
                <w:sz w:val="11"/>
                <w:szCs w:val="11"/>
              </w:rPr>
            </w:pPr>
            <w:r>
              <w:rPr>
                <w:sz w:val="11"/>
                <w:szCs w:val="11"/>
                <w:spacing w:val="-1"/>
              </w:rPr>
              <w:t>直接使用，可略加汽油稀释</w:t>
            </w:r>
          </w:p>
        </w:tc>
        <w:tc>
          <w:tcPr>
            <w:tcW w:w="1339" w:type="dxa"/>
            <w:vAlign w:val="top"/>
            <w:vMerge w:val="continue"/>
            <w:tcBorders>
              <w:top w:val="nil"/>
            </w:tcBorders>
          </w:tcPr>
          <w:p>
            <w:pPr>
              <w:rPr>
                <w:rFonts w:ascii="Arial"/>
                <w:sz w:val="21"/>
              </w:rPr>
            </w:pPr>
            <w:r/>
          </w:p>
        </w:tc>
        <w:tc>
          <w:tcPr>
            <w:tcW w:w="640" w:type="dxa"/>
            <w:vAlign w:val="top"/>
          </w:tcPr>
          <w:p>
            <w:pPr>
              <w:pStyle w:val="TableText"/>
              <w:ind w:left="177"/>
              <w:spacing w:before="116" w:line="221" w:lineRule="auto"/>
              <w:rPr>
                <w:sz w:val="11"/>
                <w:szCs w:val="11"/>
              </w:rPr>
            </w:pPr>
            <w:r>
              <w:rPr>
                <w:sz w:val="11"/>
                <w:szCs w:val="11"/>
                <w:spacing w:val="-2"/>
              </w:rPr>
              <w:t>1L/相</w:t>
            </w:r>
          </w:p>
        </w:tc>
        <w:tc>
          <w:tcPr>
            <w:tcW w:w="2943" w:type="dxa"/>
            <w:vAlign w:val="top"/>
          </w:tcPr>
          <w:p>
            <w:pPr>
              <w:pStyle w:val="TableText"/>
              <w:ind w:left="18"/>
              <w:spacing w:before="85" w:line="219" w:lineRule="auto"/>
              <w:rPr>
                <w:sz w:val="11"/>
                <w:szCs w:val="11"/>
              </w:rPr>
            </w:pPr>
            <w:r>
              <w:rPr>
                <w:sz w:val="11"/>
                <w:szCs w:val="11"/>
                <w:spacing w:val="-1"/>
              </w:rPr>
              <w:t>伤口涂抹</w:t>
            </w:r>
          </w:p>
        </w:tc>
      </w:tr>
    </w:tbl>
    <w:p>
      <w:pPr>
        <w:rPr>
          <w:rFonts w:ascii="Arial"/>
          <w:sz w:val="21"/>
        </w:rPr>
      </w:pPr>
      <w:r/>
    </w:p>
    <w:p>
      <w:pPr>
        <w:sectPr>
          <w:pgSz w:w="14490" w:h="10240"/>
          <w:pgMar w:top="125" w:right="214" w:bottom="400" w:left="164" w:header="0" w:footer="0" w:gutter="0"/>
        </w:sectPr>
        <w:rPr>
          <w:rFonts w:ascii="Arial" w:hAnsi="Arial" w:eastAsia="Arial" w:cs="Arial"/>
          <w:sz w:val="21"/>
          <w:szCs w:val="21"/>
        </w:rPr>
      </w:pPr>
    </w:p>
    <w:tbl>
      <w:tblPr>
        <w:tblStyle w:val="TableNormal"/>
        <w:tblW w:w="13985"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95"/>
        <w:gridCol w:w="499"/>
        <w:gridCol w:w="1259"/>
        <w:gridCol w:w="3178"/>
        <w:gridCol w:w="1189"/>
        <w:gridCol w:w="1799"/>
        <w:gridCol w:w="1599"/>
        <w:gridCol w:w="979"/>
        <w:gridCol w:w="669"/>
        <w:gridCol w:w="2419"/>
      </w:tblGrid>
      <w:tr>
        <w:trPr>
          <w:trHeight w:val="619" w:hRule="atLeast"/>
        </w:trPr>
        <w:tc>
          <w:tcPr>
            <w:tcW w:w="13985" w:type="dxa"/>
            <w:vAlign w:val="top"/>
            <w:gridSpan w:val="10"/>
            <w:tcBorders>
              <w:bottom w:val="single" w:color="000000" w:sz="2" w:space="0"/>
              <w:top w:val="single" w:color="000000" w:sz="2" w:space="0"/>
            </w:tcBorders>
          </w:tcPr>
          <w:p>
            <w:pPr>
              <w:pStyle w:val="TableText"/>
              <w:ind w:left="6266"/>
              <w:spacing w:before="182" w:line="218" w:lineRule="auto"/>
              <w:rPr>
                <w:sz w:val="12"/>
                <w:szCs w:val="12"/>
              </w:rPr>
            </w:pPr>
            <w:r>
              <w:rPr>
                <w:sz w:val="12"/>
                <w:szCs w:val="12"/>
                <w:b/>
                <w:bCs/>
                <w:spacing w:val="-3"/>
              </w:rPr>
              <w:t>山东地区衣药肥料使用指导</w:t>
            </w:r>
          </w:p>
          <w:p>
            <w:pPr>
              <w:pStyle w:val="TableText"/>
              <w:ind w:left="4865"/>
              <w:spacing w:before="7" w:line="218" w:lineRule="auto"/>
              <w:rPr>
                <w:sz w:val="12"/>
                <w:szCs w:val="12"/>
              </w:rPr>
            </w:pPr>
            <w:r>
              <w:rPr>
                <w:sz w:val="12"/>
                <w:szCs w:val="12"/>
                <w:spacing w:val="-2"/>
              </w:rPr>
              <w:t>(</w:t>
            </w:r>
            <w:r>
              <w:rPr>
                <w:sz w:val="12"/>
                <w:szCs w:val="12"/>
                <w:spacing w:val="-33"/>
              </w:rPr>
              <w:t xml:space="preserve"> </w:t>
            </w:r>
            <w:r>
              <w:rPr>
                <w:sz w:val="12"/>
                <w:szCs w:val="12"/>
                <w:b/>
                <w:bCs/>
                <w:spacing w:val="-2"/>
              </w:rPr>
              <w:t>本表中药品供参考，如有同类且成分相同、价格合理、低毒高效的药品，可选择使用</w:t>
            </w:r>
            <w:r>
              <w:rPr>
                <w:sz w:val="12"/>
                <w:szCs w:val="12"/>
                <w:spacing w:val="-2"/>
              </w:rPr>
              <w:t>)</w:t>
            </w:r>
          </w:p>
        </w:tc>
      </w:tr>
      <w:tr>
        <w:trPr>
          <w:trHeight w:val="494" w:hRule="atLeast"/>
        </w:trPr>
        <w:tc>
          <w:tcPr>
            <w:tcW w:w="395" w:type="dxa"/>
            <w:vAlign w:val="top"/>
            <w:tcBorders>
              <w:bottom w:val="single" w:color="000000" w:sz="2" w:space="0"/>
              <w:top w:val="single" w:color="000000" w:sz="2" w:space="0"/>
            </w:tcBorders>
          </w:tcPr>
          <w:p>
            <w:pPr>
              <w:pStyle w:val="TableText"/>
              <w:ind w:left="66"/>
              <w:spacing w:before="188" w:line="219" w:lineRule="auto"/>
              <w:rPr>
                <w:sz w:val="12"/>
                <w:szCs w:val="12"/>
              </w:rPr>
            </w:pPr>
            <w:r>
              <w:rPr>
                <w:sz w:val="12"/>
                <w:szCs w:val="12"/>
                <w:b/>
                <w:bCs/>
                <w:spacing w:val="-3"/>
              </w:rPr>
              <w:t>分类</w:t>
            </w:r>
          </w:p>
        </w:tc>
        <w:tc>
          <w:tcPr>
            <w:tcW w:w="499" w:type="dxa"/>
            <w:vAlign w:val="top"/>
            <w:tcBorders>
              <w:bottom w:val="single" w:color="000000" w:sz="2" w:space="0"/>
              <w:top w:val="single" w:color="000000" w:sz="2" w:space="0"/>
            </w:tcBorders>
          </w:tcPr>
          <w:p>
            <w:pPr>
              <w:pStyle w:val="TableText"/>
              <w:ind w:left="11"/>
              <w:spacing w:before="48" w:line="216" w:lineRule="auto"/>
              <w:rPr>
                <w:sz w:val="12"/>
                <w:szCs w:val="12"/>
              </w:rPr>
            </w:pPr>
            <w:r>
              <w:rPr>
                <w:sz w:val="12"/>
                <w:szCs w:val="12"/>
                <w:b/>
                <w:bCs/>
                <w:spacing w:val="-3"/>
              </w:rPr>
              <w:t>消杀预防</w:t>
            </w:r>
          </w:p>
          <w:p>
            <w:pPr>
              <w:pStyle w:val="TableText"/>
              <w:ind w:left="120" w:right="1" w:hanging="109"/>
              <w:spacing w:before="1" w:line="209" w:lineRule="auto"/>
              <w:rPr>
                <w:sz w:val="12"/>
                <w:szCs w:val="12"/>
              </w:rPr>
            </w:pPr>
            <w:r>
              <w:rPr>
                <w:sz w:val="12"/>
                <w:szCs w:val="12"/>
                <w:b/>
                <w:bCs/>
                <w:spacing w:val="-3"/>
              </w:rPr>
              <w:t>及病虫害</w:t>
            </w:r>
            <w:r>
              <w:rPr>
                <w:sz w:val="12"/>
                <w:szCs w:val="12"/>
                <w:spacing w:val="1"/>
              </w:rPr>
              <w:t xml:space="preserve"> </w:t>
            </w:r>
            <w:r>
              <w:rPr>
                <w:sz w:val="12"/>
                <w:szCs w:val="12"/>
                <w:b/>
                <w:bCs/>
                <w:spacing w:val="-3"/>
              </w:rPr>
              <w:t>分英</w:t>
            </w:r>
          </w:p>
        </w:tc>
        <w:tc>
          <w:tcPr>
            <w:tcW w:w="1259" w:type="dxa"/>
            <w:vAlign w:val="top"/>
            <w:tcBorders>
              <w:bottom w:val="single" w:color="000000" w:sz="2" w:space="0"/>
              <w:top w:val="single" w:color="000000" w:sz="2" w:space="0"/>
            </w:tcBorders>
          </w:tcPr>
          <w:p>
            <w:pPr>
              <w:pStyle w:val="TableText"/>
              <w:ind w:left="322"/>
              <w:spacing w:before="188" w:line="219" w:lineRule="auto"/>
              <w:rPr>
                <w:sz w:val="12"/>
                <w:szCs w:val="12"/>
              </w:rPr>
            </w:pPr>
            <w:r>
              <w:rPr>
                <w:sz w:val="12"/>
                <w:szCs w:val="12"/>
                <w:b/>
                <w:bCs/>
                <w:spacing w:val="-3"/>
              </w:rPr>
              <w:t>常见病虫害</w:t>
            </w:r>
          </w:p>
        </w:tc>
        <w:tc>
          <w:tcPr>
            <w:tcW w:w="3178" w:type="dxa"/>
            <w:vAlign w:val="top"/>
            <w:tcBorders>
              <w:bottom w:val="single" w:color="000000" w:sz="2" w:space="0"/>
              <w:top w:val="single" w:color="000000" w:sz="2" w:space="0"/>
            </w:tcBorders>
          </w:tcPr>
          <w:p>
            <w:pPr>
              <w:pStyle w:val="TableText"/>
              <w:ind w:left="1273"/>
              <w:spacing w:before="188" w:line="219" w:lineRule="auto"/>
              <w:rPr>
                <w:sz w:val="12"/>
                <w:szCs w:val="12"/>
              </w:rPr>
            </w:pPr>
            <w:r>
              <w:rPr>
                <w:sz w:val="12"/>
                <w:szCs w:val="12"/>
                <w:b/>
                <w:bCs/>
                <w:spacing w:val="-3"/>
              </w:rPr>
              <w:t>主要发病月份</w:t>
            </w:r>
          </w:p>
        </w:tc>
        <w:tc>
          <w:tcPr>
            <w:tcW w:w="1189" w:type="dxa"/>
            <w:vAlign w:val="top"/>
            <w:tcBorders>
              <w:bottom w:val="single" w:color="000000" w:sz="2" w:space="0"/>
              <w:top w:val="single" w:color="000000" w:sz="2" w:space="0"/>
            </w:tcBorders>
          </w:tcPr>
          <w:p>
            <w:pPr>
              <w:pStyle w:val="TableText"/>
              <w:ind w:left="345"/>
              <w:spacing w:before="188" w:line="220" w:lineRule="auto"/>
              <w:rPr>
                <w:sz w:val="12"/>
                <w:szCs w:val="12"/>
              </w:rPr>
            </w:pPr>
            <w:r>
              <w:rPr>
                <w:sz w:val="12"/>
                <w:szCs w:val="12"/>
                <w:b/>
                <w:bCs/>
                <w:spacing w:val="-3"/>
              </w:rPr>
              <w:t>药品名称</w:t>
            </w:r>
          </w:p>
        </w:tc>
        <w:tc>
          <w:tcPr>
            <w:tcW w:w="1799" w:type="dxa"/>
            <w:vAlign w:val="top"/>
            <w:tcBorders>
              <w:bottom w:val="single" w:color="000000" w:sz="2" w:space="0"/>
              <w:top w:val="single" w:color="000000" w:sz="2" w:space="0"/>
            </w:tcBorders>
          </w:tcPr>
          <w:p>
            <w:pPr>
              <w:pStyle w:val="TableText"/>
              <w:ind w:left="656"/>
              <w:spacing w:before="188" w:line="220" w:lineRule="auto"/>
              <w:rPr>
                <w:sz w:val="12"/>
                <w:szCs w:val="12"/>
              </w:rPr>
            </w:pPr>
            <w:r>
              <w:rPr>
                <w:sz w:val="12"/>
                <w:szCs w:val="12"/>
                <w:b/>
                <w:bCs/>
                <w:spacing w:val="-3"/>
              </w:rPr>
              <w:t>主要成分</w:t>
            </w:r>
          </w:p>
        </w:tc>
        <w:tc>
          <w:tcPr>
            <w:tcW w:w="1599" w:type="dxa"/>
            <w:vAlign w:val="top"/>
            <w:tcBorders>
              <w:bottom w:val="single" w:color="000000" w:sz="2" w:space="0"/>
              <w:top w:val="single" w:color="000000" w:sz="2" w:space="0"/>
            </w:tcBorders>
          </w:tcPr>
          <w:p>
            <w:pPr>
              <w:pStyle w:val="TableText"/>
              <w:ind w:left="557"/>
              <w:spacing w:before="188" w:line="219" w:lineRule="auto"/>
              <w:rPr>
                <w:sz w:val="12"/>
                <w:szCs w:val="12"/>
              </w:rPr>
            </w:pPr>
            <w:r>
              <w:rPr>
                <w:sz w:val="12"/>
                <w:szCs w:val="12"/>
                <w:b/>
                <w:bCs/>
                <w:spacing w:val="-3"/>
              </w:rPr>
              <w:t>使用倍率</w:t>
            </w:r>
          </w:p>
        </w:tc>
        <w:tc>
          <w:tcPr>
            <w:tcW w:w="979" w:type="dxa"/>
            <w:vAlign w:val="top"/>
            <w:tcBorders>
              <w:bottom w:val="single" w:color="000000" w:sz="2" w:space="0"/>
              <w:top w:val="single" w:color="000000" w:sz="2" w:space="0"/>
            </w:tcBorders>
          </w:tcPr>
          <w:p>
            <w:pPr>
              <w:pStyle w:val="TableText"/>
              <w:ind w:left="248"/>
              <w:spacing w:before="188" w:line="219" w:lineRule="auto"/>
              <w:rPr>
                <w:sz w:val="12"/>
                <w:szCs w:val="12"/>
              </w:rPr>
            </w:pPr>
            <w:r>
              <w:rPr>
                <w:sz w:val="12"/>
                <w:szCs w:val="12"/>
                <w:b/>
                <w:bCs/>
                <w:spacing w:val="-3"/>
              </w:rPr>
              <w:t>施用次数</w:t>
            </w:r>
          </w:p>
        </w:tc>
        <w:tc>
          <w:tcPr>
            <w:tcW w:w="669" w:type="dxa"/>
            <w:vAlign w:val="top"/>
            <w:tcBorders>
              <w:bottom w:val="single" w:color="000000" w:sz="2" w:space="0"/>
              <w:top w:val="single" w:color="000000" w:sz="2" w:space="0"/>
            </w:tcBorders>
          </w:tcPr>
          <w:p>
            <w:pPr>
              <w:pStyle w:val="TableText"/>
              <w:ind w:left="209"/>
              <w:spacing w:before="188" w:line="219" w:lineRule="auto"/>
              <w:rPr>
                <w:sz w:val="12"/>
                <w:szCs w:val="12"/>
              </w:rPr>
            </w:pPr>
            <w:r>
              <w:rPr>
                <w:sz w:val="12"/>
                <w:szCs w:val="12"/>
                <w:b/>
                <w:bCs/>
                <w:spacing w:val="-3"/>
              </w:rPr>
              <w:t>规格</w:t>
            </w:r>
          </w:p>
        </w:tc>
        <w:tc>
          <w:tcPr>
            <w:tcW w:w="2419" w:type="dxa"/>
            <w:vAlign w:val="top"/>
            <w:tcBorders>
              <w:bottom w:val="single" w:color="000000" w:sz="2" w:space="0"/>
              <w:top w:val="single" w:color="000000" w:sz="2" w:space="0"/>
            </w:tcBorders>
          </w:tcPr>
          <w:p>
            <w:pPr>
              <w:pStyle w:val="TableText"/>
              <w:ind w:left="1110"/>
              <w:spacing w:before="188" w:line="221" w:lineRule="auto"/>
              <w:rPr>
                <w:sz w:val="12"/>
                <w:szCs w:val="12"/>
              </w:rPr>
            </w:pPr>
            <w:r>
              <w:rPr>
                <w:sz w:val="12"/>
                <w:szCs w:val="12"/>
                <w:b/>
                <w:bCs/>
                <w:spacing w:val="-3"/>
              </w:rPr>
              <w:t>备注</w:t>
            </w:r>
          </w:p>
        </w:tc>
      </w:tr>
      <w:tr>
        <w:trPr>
          <w:trHeight w:val="305" w:hRule="atLeast"/>
        </w:trPr>
        <w:tc>
          <w:tcPr>
            <w:tcW w:w="395" w:type="dxa"/>
            <w:vAlign w:val="top"/>
            <w:vMerge w:val="restart"/>
            <w:tcBorders>
              <w:bottom w:val="nil"/>
              <w:top w:val="single" w:color="000000" w:sz="2" w:space="0"/>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4"/>
              <w:spacing w:before="39" w:line="218" w:lineRule="auto"/>
              <w:rPr>
                <w:sz w:val="12"/>
                <w:szCs w:val="12"/>
              </w:rPr>
            </w:pPr>
            <w:r>
              <w:rPr>
                <w:sz w:val="12"/>
                <w:szCs w:val="12"/>
                <w:spacing w:val="-2"/>
              </w:rPr>
              <w:t>杀菌剂</w:t>
            </w:r>
          </w:p>
        </w:tc>
        <w:tc>
          <w:tcPr>
            <w:tcW w:w="499" w:type="dxa"/>
            <w:vAlign w:val="top"/>
            <w:vMerge w:val="restart"/>
            <w:tcBorders>
              <w:bottom w:val="nil"/>
              <w:top w:val="single" w:color="000000" w:sz="2" w:space="0"/>
            </w:tcBorders>
          </w:tcPr>
          <w:p>
            <w:pPr>
              <w:pStyle w:val="TableText"/>
              <w:ind w:left="10"/>
              <w:spacing w:before="260" w:line="219" w:lineRule="auto"/>
              <w:rPr>
                <w:sz w:val="12"/>
                <w:szCs w:val="12"/>
              </w:rPr>
            </w:pPr>
            <w:r>
              <w:rPr>
                <w:sz w:val="12"/>
                <w:szCs w:val="12"/>
                <w:spacing w:val="-2"/>
              </w:rPr>
              <w:t>消杀预防</w:t>
            </w:r>
          </w:p>
        </w:tc>
        <w:tc>
          <w:tcPr>
            <w:tcW w:w="1259" w:type="dxa"/>
            <w:vAlign w:val="top"/>
            <w:vMerge w:val="restart"/>
            <w:tcBorders>
              <w:bottom w:val="nil"/>
              <w:top w:val="single" w:color="000000" w:sz="2" w:space="0"/>
            </w:tcBorders>
          </w:tcPr>
          <w:p>
            <w:pPr>
              <w:pStyle w:val="TableText"/>
              <w:spacing w:before="260" w:line="219" w:lineRule="auto"/>
              <w:jc w:val="right"/>
              <w:rPr>
                <w:sz w:val="12"/>
                <w:szCs w:val="12"/>
              </w:rPr>
            </w:pPr>
            <w:r>
              <w:rPr>
                <w:sz w:val="12"/>
                <w:szCs w:val="12"/>
                <w:spacing w:val="-8"/>
              </w:rPr>
              <w:t>全园区的菌类病菌、虫卵</w:t>
            </w:r>
          </w:p>
        </w:tc>
        <w:tc>
          <w:tcPr>
            <w:tcW w:w="3178" w:type="dxa"/>
            <w:vAlign w:val="top"/>
            <w:vMerge w:val="restart"/>
            <w:tcBorders>
              <w:bottom w:val="nil"/>
              <w:top w:val="single" w:color="000000" w:sz="2" w:space="0"/>
            </w:tcBorders>
          </w:tcPr>
          <w:p>
            <w:pPr>
              <w:pStyle w:val="TableText"/>
              <w:ind w:left="12"/>
              <w:spacing w:before="260" w:line="218" w:lineRule="auto"/>
              <w:rPr>
                <w:sz w:val="12"/>
                <w:szCs w:val="12"/>
              </w:rPr>
            </w:pPr>
            <w:r>
              <w:rPr>
                <w:sz w:val="12"/>
                <w:szCs w:val="12"/>
              </w:rPr>
              <w:t>3月下甸苗木返青前对全园区的病菌、虫卵。消杀1-2次。</w:t>
            </w:r>
          </w:p>
        </w:tc>
        <w:tc>
          <w:tcPr>
            <w:tcW w:w="1189" w:type="dxa"/>
            <w:vAlign w:val="top"/>
            <w:tcBorders>
              <w:bottom w:val="single" w:color="000000" w:sz="2" w:space="0"/>
              <w:top w:val="single" w:color="000000" w:sz="2" w:space="0"/>
            </w:tcBorders>
          </w:tcPr>
          <w:p>
            <w:pPr>
              <w:pStyle w:val="TableText"/>
              <w:ind w:left="344"/>
              <w:spacing w:before="90" w:line="220" w:lineRule="auto"/>
              <w:rPr>
                <w:sz w:val="12"/>
                <w:szCs w:val="12"/>
              </w:rPr>
            </w:pPr>
            <w:r>
              <w:rPr>
                <w:sz w:val="12"/>
                <w:szCs w:val="12"/>
                <w:spacing w:val="-1"/>
              </w:rPr>
              <w:t>彼尔多液</w:t>
            </w:r>
          </w:p>
        </w:tc>
        <w:tc>
          <w:tcPr>
            <w:tcW w:w="1799" w:type="dxa"/>
            <w:vAlign w:val="top"/>
            <w:tcBorders>
              <w:bottom w:val="single" w:color="000000" w:sz="2" w:space="0"/>
              <w:top w:val="single" w:color="000000" w:sz="2" w:space="0"/>
            </w:tcBorders>
          </w:tcPr>
          <w:p>
            <w:pPr>
              <w:pStyle w:val="TableText"/>
              <w:ind w:left="595"/>
              <w:spacing w:before="90" w:line="220" w:lineRule="auto"/>
              <w:rPr>
                <w:sz w:val="12"/>
                <w:szCs w:val="12"/>
              </w:rPr>
            </w:pPr>
            <w:r>
              <w:rPr>
                <w:sz w:val="12"/>
                <w:szCs w:val="12"/>
                <w:spacing w:val="-1"/>
              </w:rPr>
              <w:t>贼式硫酸驯</w:t>
            </w:r>
          </w:p>
        </w:tc>
        <w:tc>
          <w:tcPr>
            <w:tcW w:w="1599" w:type="dxa"/>
            <w:vAlign w:val="top"/>
            <w:tcBorders>
              <w:bottom w:val="single" w:color="000000" w:sz="2" w:space="0"/>
              <w:top w:val="single" w:color="000000" w:sz="2" w:space="0"/>
            </w:tcBorders>
          </w:tcPr>
          <w:p>
            <w:pPr>
              <w:pStyle w:val="TableText"/>
              <w:ind w:left="526"/>
              <w:spacing w:before="90" w:line="220" w:lineRule="auto"/>
              <w:rPr>
                <w:sz w:val="12"/>
                <w:szCs w:val="12"/>
              </w:rPr>
            </w:pPr>
            <w:r>
              <w:rPr>
                <w:sz w:val="12"/>
                <w:szCs w:val="12"/>
                <w:spacing w:val="-2"/>
              </w:rPr>
              <w:t>160-240倍</w:t>
            </w:r>
          </w:p>
        </w:tc>
        <w:tc>
          <w:tcPr>
            <w:tcW w:w="979" w:type="dxa"/>
            <w:vAlign w:val="top"/>
            <w:vMerge w:val="restart"/>
            <w:tcBorders>
              <w:bottom w:val="nil"/>
              <w:top w:val="single" w:color="000000" w:sz="2" w:space="0"/>
            </w:tcBorders>
          </w:tcPr>
          <w:p>
            <w:pPr>
              <w:pStyle w:val="TableText"/>
              <w:ind w:left="457"/>
              <w:spacing w:before="263" w:line="224" w:lineRule="auto"/>
              <w:rPr>
                <w:sz w:val="12"/>
                <w:szCs w:val="12"/>
              </w:rPr>
            </w:pPr>
            <w:r>
              <w:rPr>
                <w:sz w:val="12"/>
                <w:szCs w:val="12"/>
              </w:rPr>
              <w:t>/</w:t>
            </w:r>
          </w:p>
        </w:tc>
        <w:tc>
          <w:tcPr>
            <w:tcW w:w="669" w:type="dxa"/>
            <w:vAlign w:val="top"/>
            <w:tcBorders>
              <w:bottom w:val="single" w:color="000000" w:sz="2" w:space="0"/>
              <w:top w:val="single" w:color="000000" w:sz="2" w:space="0"/>
            </w:tcBorders>
          </w:tcPr>
          <w:p>
            <w:pPr>
              <w:pStyle w:val="TableText"/>
              <w:ind w:left="118"/>
              <w:spacing w:before="86" w:line="213" w:lineRule="auto"/>
              <w:rPr>
                <w:sz w:val="12"/>
                <w:szCs w:val="12"/>
              </w:rPr>
            </w:pPr>
            <w:r>
              <w:rPr>
                <w:sz w:val="12"/>
                <w:szCs w:val="12"/>
                <w:spacing w:val="-1"/>
              </w:rPr>
              <w:t>200g/袋</w:t>
            </w:r>
          </w:p>
        </w:tc>
        <w:tc>
          <w:tcPr>
            <w:tcW w:w="2419" w:type="dxa"/>
            <w:vAlign w:val="top"/>
            <w:tcBorders>
              <w:bottom w:val="single" w:color="000000" w:sz="2" w:space="0"/>
              <w:top w:val="single" w:color="000000" w:sz="2" w:space="0"/>
            </w:tcBorders>
          </w:tcPr>
          <w:p>
            <w:pPr>
              <w:pStyle w:val="TableText"/>
              <w:ind w:left="18"/>
              <w:spacing w:before="10" w:line="209" w:lineRule="auto"/>
              <w:rPr>
                <w:sz w:val="12"/>
                <w:szCs w:val="12"/>
              </w:rPr>
            </w:pPr>
            <w:r>
              <w:rPr>
                <w:sz w:val="12"/>
                <w:szCs w:val="12"/>
                <w:spacing w:val="-7"/>
              </w:rPr>
              <w:t>防治落叶痛、炭植病、炭痘病、霜尊病。不能与</w:t>
            </w:r>
            <w:r>
              <w:rPr>
                <w:sz w:val="12"/>
                <w:szCs w:val="12"/>
                <w:spacing w:val="15"/>
              </w:rPr>
              <w:t xml:space="preserve"> </w:t>
            </w:r>
            <w:r>
              <w:rPr>
                <w:sz w:val="12"/>
                <w:szCs w:val="12"/>
                <w:spacing w:val="-1"/>
              </w:rPr>
              <w:t>石硫合剂等碱性衣药混用</w:t>
            </w:r>
          </w:p>
        </w:tc>
      </w:tr>
      <w:tr>
        <w:trPr>
          <w:trHeight w:val="335"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single" w:color="000000" w:sz="2" w:space="0"/>
              <w:top w:val="nil"/>
            </w:tcBorders>
          </w:tcPr>
          <w:p>
            <w:pPr>
              <w:rPr>
                <w:rFonts w:ascii="Arial"/>
                <w:sz w:val="21"/>
              </w:rPr>
            </w:pPr>
            <w:r/>
          </w:p>
        </w:tc>
        <w:tc>
          <w:tcPr>
            <w:tcW w:w="1259" w:type="dxa"/>
            <w:vAlign w:val="top"/>
            <w:vMerge w:val="continue"/>
            <w:tcBorders>
              <w:bottom w:val="single" w:color="000000" w:sz="2" w:space="0"/>
              <w:top w:val="nil"/>
            </w:tcBorders>
          </w:tcPr>
          <w:p>
            <w:pPr>
              <w:rPr>
                <w:rFonts w:ascii="Arial"/>
                <w:sz w:val="21"/>
              </w:rPr>
            </w:pPr>
            <w:r/>
          </w:p>
        </w:tc>
        <w:tc>
          <w:tcPr>
            <w:tcW w:w="3178" w:type="dxa"/>
            <w:vAlign w:val="top"/>
            <w:vMerge w:val="continue"/>
            <w:tcBorders>
              <w:bottom w:val="single" w:color="000000" w:sz="2" w:space="0"/>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224"/>
              <w:spacing w:before="129" w:line="218" w:lineRule="auto"/>
              <w:rPr>
                <w:sz w:val="12"/>
                <w:szCs w:val="12"/>
              </w:rPr>
            </w:pPr>
            <w:r>
              <w:rPr>
                <w:sz w:val="12"/>
                <w:szCs w:val="12"/>
                <w:spacing w:val="1"/>
              </w:rPr>
              <w:t>晶体石硫合剂</w:t>
            </w:r>
          </w:p>
        </w:tc>
        <w:tc>
          <w:tcPr>
            <w:tcW w:w="1799" w:type="dxa"/>
            <w:vAlign w:val="top"/>
            <w:tcBorders>
              <w:bottom w:val="single" w:color="000000" w:sz="2" w:space="0"/>
              <w:top w:val="single" w:color="000000" w:sz="2" w:space="0"/>
            </w:tcBorders>
          </w:tcPr>
          <w:p>
            <w:pPr>
              <w:pStyle w:val="TableText"/>
              <w:ind w:left="655"/>
              <w:spacing w:before="130" w:line="221" w:lineRule="auto"/>
              <w:rPr>
                <w:sz w:val="12"/>
                <w:szCs w:val="12"/>
              </w:rPr>
            </w:pPr>
            <w:r>
              <w:rPr>
                <w:sz w:val="12"/>
                <w:szCs w:val="12"/>
                <w:spacing w:val="-2"/>
              </w:rPr>
              <w:t>多硫化钙</w:t>
            </w:r>
          </w:p>
        </w:tc>
        <w:tc>
          <w:tcPr>
            <w:tcW w:w="1599" w:type="dxa"/>
            <w:vAlign w:val="top"/>
            <w:tcBorders>
              <w:bottom w:val="single" w:color="000000" w:sz="2" w:space="0"/>
              <w:top w:val="single" w:color="000000" w:sz="2" w:space="0"/>
            </w:tcBorders>
          </w:tcPr>
          <w:p>
            <w:pPr>
              <w:pStyle w:val="TableText"/>
              <w:ind w:left="496"/>
              <w:spacing w:before="130" w:line="220" w:lineRule="auto"/>
              <w:rPr>
                <w:sz w:val="12"/>
                <w:szCs w:val="12"/>
              </w:rPr>
            </w:pPr>
            <w:r>
              <w:rPr>
                <w:sz w:val="12"/>
                <w:szCs w:val="12"/>
                <w:spacing w:val="-6"/>
              </w:rPr>
              <w:t>800—1000倍</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58"/>
              <w:spacing w:before="126" w:line="213" w:lineRule="auto"/>
              <w:rPr>
                <w:sz w:val="12"/>
                <w:szCs w:val="12"/>
              </w:rPr>
            </w:pPr>
            <w:r>
              <w:rPr>
                <w:sz w:val="12"/>
                <w:szCs w:val="12"/>
                <w:spacing w:val="3"/>
              </w:rPr>
              <w:t>(400g/肇)</w:t>
            </w:r>
          </w:p>
        </w:tc>
        <w:tc>
          <w:tcPr>
            <w:tcW w:w="2419" w:type="dxa"/>
            <w:vAlign w:val="top"/>
            <w:tcBorders>
              <w:bottom w:val="single" w:color="000000" w:sz="2" w:space="0"/>
              <w:top w:val="single" w:color="000000" w:sz="2" w:space="0"/>
            </w:tcBorders>
          </w:tcPr>
          <w:p>
            <w:pPr>
              <w:pStyle w:val="TableText"/>
              <w:ind w:left="18"/>
              <w:spacing w:before="39" w:line="210" w:lineRule="auto"/>
              <w:rPr>
                <w:sz w:val="12"/>
                <w:szCs w:val="12"/>
              </w:rPr>
            </w:pPr>
            <w:r>
              <w:rPr>
                <w:sz w:val="12"/>
                <w:szCs w:val="12"/>
                <w:spacing w:val="-7"/>
              </w:rPr>
              <w:t>价路低嗽、效果好、对多种病菌具有抑杀作用，</w:t>
            </w:r>
            <w:r>
              <w:rPr>
                <w:sz w:val="12"/>
                <w:szCs w:val="12"/>
                <w:spacing w:val="16"/>
              </w:rPr>
              <w:t xml:space="preserve"> </w:t>
            </w:r>
            <w:r>
              <w:rPr>
                <w:sz w:val="12"/>
                <w:szCs w:val="12"/>
                <w:spacing w:val="-1"/>
              </w:rPr>
              <w:t>园区消杀使用</w:t>
            </w:r>
          </w:p>
        </w:tc>
      </w:tr>
      <w:tr>
        <w:trPr>
          <w:trHeight w:val="524" w:hRule="atLeast"/>
        </w:trPr>
        <w:tc>
          <w:tcPr>
            <w:tcW w:w="395" w:type="dxa"/>
            <w:vAlign w:val="top"/>
            <w:vMerge w:val="continue"/>
            <w:tcBorders>
              <w:bottom w:val="nil"/>
              <w:top w:val="nil"/>
            </w:tcBorders>
          </w:tcPr>
          <w:p>
            <w:pPr>
              <w:rPr>
                <w:rFonts w:ascii="Arial"/>
                <w:sz w:val="21"/>
              </w:rPr>
            </w:pPr>
            <w:r/>
          </w:p>
        </w:tc>
        <w:tc>
          <w:tcPr>
            <w:tcW w:w="499" w:type="dxa"/>
            <w:vAlign w:val="top"/>
            <w:vMerge w:val="restart"/>
            <w:tcBorders>
              <w:bottom w:val="nil"/>
              <w:top w:val="single" w:color="000000" w:sz="2" w:space="0"/>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60"/>
              <w:spacing w:before="39" w:line="219" w:lineRule="auto"/>
              <w:rPr>
                <w:sz w:val="12"/>
                <w:szCs w:val="12"/>
              </w:rPr>
            </w:pPr>
            <w:r>
              <w:rPr>
                <w:sz w:val="12"/>
                <w:szCs w:val="12"/>
                <w:spacing w:val="-1"/>
              </w:rPr>
              <w:t>病卤类</w:t>
            </w:r>
          </w:p>
        </w:tc>
        <w:tc>
          <w:tcPr>
            <w:tcW w:w="1259"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pStyle w:val="TableText"/>
              <w:spacing w:before="39" w:line="200" w:lineRule="auto"/>
              <w:jc w:val="right"/>
              <w:rPr>
                <w:sz w:val="12"/>
                <w:szCs w:val="12"/>
              </w:rPr>
            </w:pPr>
            <w:r>
              <w:rPr>
                <w:sz w:val="12"/>
                <w:szCs w:val="12"/>
                <w:spacing w:val="-8"/>
              </w:rPr>
              <w:t>炭疸病，白粉病，锈痛、</w:t>
            </w:r>
          </w:p>
          <w:p>
            <w:pPr>
              <w:pStyle w:val="TableText"/>
              <w:spacing w:line="219" w:lineRule="auto"/>
              <w:jc w:val="right"/>
              <w:rPr>
                <w:sz w:val="12"/>
                <w:szCs w:val="12"/>
              </w:rPr>
            </w:pPr>
            <w:r>
              <w:rPr>
                <w:sz w:val="12"/>
                <w:szCs w:val="12"/>
                <w:spacing w:val="-8"/>
              </w:rPr>
              <w:t>叶枯病，叶斑病、流胶病</w:t>
            </w:r>
          </w:p>
          <w:p>
            <w:pPr>
              <w:pStyle w:val="TableText"/>
              <w:ind w:left="321"/>
              <w:spacing w:before="17" w:line="219" w:lineRule="auto"/>
              <w:rPr>
                <w:sz w:val="12"/>
                <w:szCs w:val="12"/>
              </w:rPr>
            </w:pPr>
            <w:r>
              <w:rPr>
                <w:sz w:val="12"/>
                <w:szCs w:val="12"/>
                <w:spacing w:val="-3"/>
              </w:rPr>
              <w:t>、丛枝病等</w:t>
            </w:r>
          </w:p>
        </w:tc>
        <w:tc>
          <w:tcPr>
            <w:tcW w:w="3178"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2"/>
              <w:spacing w:before="39" w:line="200" w:lineRule="auto"/>
              <w:rPr>
                <w:sz w:val="12"/>
                <w:szCs w:val="12"/>
              </w:rPr>
            </w:pPr>
            <w:r>
              <w:rPr>
                <w:sz w:val="12"/>
                <w:szCs w:val="12"/>
                <w:spacing w:val="3"/>
              </w:rPr>
              <w:t>一、4、5月全园区预防消杀为主；</w:t>
            </w:r>
          </w:p>
          <w:p>
            <w:pPr>
              <w:pStyle w:val="TableText"/>
              <w:ind w:left="12"/>
              <w:spacing w:line="219" w:lineRule="auto"/>
              <w:rPr>
                <w:sz w:val="12"/>
                <w:szCs w:val="12"/>
              </w:rPr>
            </w:pPr>
            <w:r>
              <w:rPr>
                <w:sz w:val="12"/>
                <w:szCs w:val="12"/>
              </w:rPr>
              <w:t>二，7-10月为高发期。有发现病情。及时喷药处理。</w:t>
            </w:r>
          </w:p>
        </w:tc>
        <w:tc>
          <w:tcPr>
            <w:tcW w:w="1189" w:type="dxa"/>
            <w:vAlign w:val="top"/>
            <w:tcBorders>
              <w:bottom w:val="single" w:color="000000" w:sz="2" w:space="0"/>
              <w:top w:val="single" w:color="000000" w:sz="2" w:space="0"/>
            </w:tcBorders>
          </w:tcPr>
          <w:p>
            <w:pPr>
              <w:pStyle w:val="TableText"/>
              <w:ind w:left="284"/>
              <w:spacing w:before="199" w:line="219" w:lineRule="auto"/>
              <w:rPr>
                <w:sz w:val="12"/>
                <w:szCs w:val="12"/>
              </w:rPr>
            </w:pPr>
            <w:r>
              <w:rPr>
                <w:sz w:val="12"/>
                <w:szCs w:val="12"/>
                <w:spacing w:val="1"/>
              </w:rPr>
              <w:t>国光三唑酮</w:t>
            </w:r>
          </w:p>
        </w:tc>
        <w:tc>
          <w:tcPr>
            <w:tcW w:w="1799" w:type="dxa"/>
            <w:vAlign w:val="top"/>
            <w:tcBorders>
              <w:bottom w:val="single" w:color="000000" w:sz="2" w:space="0"/>
              <w:top w:val="single" w:color="000000" w:sz="2" w:space="0"/>
            </w:tcBorders>
          </w:tcPr>
          <w:p>
            <w:pPr>
              <w:pStyle w:val="TableText"/>
              <w:ind w:left="625"/>
              <w:spacing w:before="200" w:line="221" w:lineRule="auto"/>
              <w:rPr>
                <w:sz w:val="12"/>
                <w:szCs w:val="12"/>
              </w:rPr>
            </w:pPr>
            <w:r>
              <w:rPr>
                <w:sz w:val="12"/>
                <w:szCs w:val="12"/>
                <w:spacing w:val="-1"/>
              </w:rPr>
              <w:t>20%三唑酮</w:t>
            </w:r>
          </w:p>
        </w:tc>
        <w:tc>
          <w:tcPr>
            <w:tcW w:w="1599" w:type="dxa"/>
            <w:vAlign w:val="top"/>
            <w:tcBorders>
              <w:bottom w:val="single" w:color="000000" w:sz="2" w:space="0"/>
              <w:top w:val="single" w:color="000000" w:sz="2" w:space="0"/>
            </w:tcBorders>
          </w:tcPr>
          <w:p>
            <w:pPr>
              <w:pStyle w:val="TableText"/>
              <w:ind w:left="346"/>
              <w:spacing w:before="199" w:line="219" w:lineRule="auto"/>
              <w:rPr>
                <w:sz w:val="12"/>
                <w:szCs w:val="12"/>
              </w:rPr>
            </w:pPr>
            <w:r>
              <w:rPr>
                <w:sz w:val="12"/>
                <w:szCs w:val="12"/>
                <w:spacing w:val="-1"/>
              </w:rPr>
              <w:t>桥释1500-2000倍</w:t>
            </w:r>
          </w:p>
        </w:tc>
        <w:tc>
          <w:tcPr>
            <w:tcW w:w="979" w:type="dxa"/>
            <w:vAlign w:val="top"/>
            <w:tcBorders>
              <w:bottom w:val="single" w:color="000000" w:sz="2" w:space="0"/>
              <w:top w:val="single" w:color="000000" w:sz="2" w:space="0"/>
            </w:tcBorders>
          </w:tcPr>
          <w:p>
            <w:pPr>
              <w:pStyle w:val="TableText"/>
              <w:ind w:left="96"/>
              <w:spacing w:before="79" w:line="215" w:lineRule="auto"/>
              <w:rPr>
                <w:sz w:val="12"/>
                <w:szCs w:val="12"/>
              </w:rPr>
            </w:pPr>
            <w:r>
              <w:rPr>
                <w:sz w:val="12"/>
                <w:szCs w:val="12"/>
                <w:spacing w:val="-1"/>
              </w:rPr>
              <w:t>一般用每月2-3</w:t>
            </w:r>
          </w:p>
          <w:p>
            <w:pPr>
              <w:pStyle w:val="TableText"/>
              <w:ind w:left="36"/>
              <w:spacing w:line="200" w:lineRule="auto"/>
              <w:rPr>
                <w:sz w:val="12"/>
                <w:szCs w:val="12"/>
              </w:rPr>
            </w:pPr>
            <w:r>
              <w:rPr>
                <w:sz w:val="12"/>
                <w:szCs w:val="12"/>
                <w:spacing w:val="-1"/>
              </w:rPr>
              <w:t>次，时间间隔7到</w:t>
            </w:r>
          </w:p>
          <w:p>
            <w:pPr>
              <w:pStyle w:val="TableText"/>
              <w:ind w:left="367"/>
              <w:spacing w:line="219" w:lineRule="auto"/>
              <w:rPr>
                <w:sz w:val="12"/>
                <w:szCs w:val="12"/>
              </w:rPr>
            </w:pPr>
            <w:r>
              <w:rPr>
                <w:sz w:val="12"/>
                <w:szCs w:val="12"/>
                <w:spacing w:val="-3"/>
              </w:rPr>
              <w:t>10天</w:t>
            </w:r>
          </w:p>
        </w:tc>
        <w:tc>
          <w:tcPr>
            <w:tcW w:w="669" w:type="dxa"/>
            <w:vAlign w:val="top"/>
            <w:tcBorders>
              <w:bottom w:val="single" w:color="000000" w:sz="2" w:space="0"/>
              <w:top w:val="single" w:color="000000" w:sz="2" w:space="0"/>
            </w:tcBorders>
          </w:tcPr>
          <w:p>
            <w:pPr>
              <w:pStyle w:val="TableText"/>
              <w:ind w:left="88"/>
              <w:spacing w:before="200" w:line="221" w:lineRule="auto"/>
              <w:rPr>
                <w:sz w:val="12"/>
                <w:szCs w:val="12"/>
              </w:rPr>
            </w:pPr>
            <w:r>
              <w:rPr>
                <w:sz w:val="12"/>
                <w:szCs w:val="12"/>
                <w:spacing w:val="-1"/>
              </w:rPr>
              <w:t>200ml/瓶</w:t>
            </w:r>
          </w:p>
        </w:tc>
        <w:tc>
          <w:tcPr>
            <w:tcW w:w="2419" w:type="dxa"/>
            <w:vAlign w:val="top"/>
            <w:tcBorders>
              <w:bottom w:val="single" w:color="000000" w:sz="2" w:space="0"/>
              <w:top w:val="single" w:color="000000" w:sz="2" w:space="0"/>
            </w:tcBorders>
          </w:tcPr>
          <w:p>
            <w:pPr>
              <w:pStyle w:val="TableText"/>
              <w:ind w:left="18"/>
              <w:spacing w:before="199" w:line="219" w:lineRule="auto"/>
              <w:rPr>
                <w:sz w:val="12"/>
                <w:szCs w:val="12"/>
              </w:rPr>
            </w:pPr>
            <w:r>
              <w:rPr>
                <w:sz w:val="12"/>
                <w:szCs w:val="12"/>
                <w:spacing w:val="-1"/>
              </w:rPr>
              <w:t>防治白粉病、锈病等每年使用2-3次</w:t>
            </w:r>
          </w:p>
        </w:tc>
      </w:tr>
      <w:tr>
        <w:trPr>
          <w:trHeight w:val="38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64"/>
              <w:spacing w:before="130" w:line="219" w:lineRule="auto"/>
              <w:rPr>
                <w:sz w:val="12"/>
                <w:szCs w:val="12"/>
              </w:rPr>
            </w:pPr>
            <w:r>
              <w:rPr>
                <w:sz w:val="12"/>
                <w:szCs w:val="12"/>
                <w:spacing w:val="-2"/>
              </w:rPr>
              <w:t>阿西米达悬浮液</w:t>
            </w:r>
          </w:p>
        </w:tc>
        <w:tc>
          <w:tcPr>
            <w:tcW w:w="1799" w:type="dxa"/>
            <w:vAlign w:val="top"/>
            <w:tcBorders>
              <w:bottom w:val="single" w:color="000000" w:sz="2" w:space="0"/>
              <w:top w:val="single" w:color="000000" w:sz="2" w:space="0"/>
            </w:tcBorders>
          </w:tcPr>
          <w:p>
            <w:pPr>
              <w:pStyle w:val="TableText"/>
              <w:ind w:left="705"/>
              <w:spacing w:before="130" w:line="219" w:lineRule="auto"/>
              <w:rPr>
                <w:sz w:val="12"/>
                <w:szCs w:val="12"/>
              </w:rPr>
            </w:pPr>
            <w:r>
              <w:rPr>
                <w:sz w:val="12"/>
                <w:szCs w:val="12"/>
                <w:spacing w:val="-5"/>
              </w:rPr>
              <w:t>嘧</w:t>
            </w:r>
            <w:r>
              <w:rPr>
                <w:sz w:val="12"/>
                <w:szCs w:val="12"/>
                <w:spacing w:val="21"/>
                <w:w w:val="101"/>
              </w:rPr>
              <w:t xml:space="preserve">  </w:t>
            </w:r>
            <w:r>
              <w:rPr>
                <w:sz w:val="12"/>
                <w:szCs w:val="12"/>
                <w:spacing w:val="-5"/>
              </w:rPr>
              <w:t>菌</w:t>
            </w:r>
          </w:p>
        </w:tc>
        <w:tc>
          <w:tcPr>
            <w:tcW w:w="1599" w:type="dxa"/>
            <w:vAlign w:val="top"/>
            <w:tcBorders>
              <w:bottom w:val="single" w:color="000000" w:sz="2" w:space="0"/>
              <w:top w:val="single" w:color="000000" w:sz="2" w:space="0"/>
            </w:tcBorders>
          </w:tcPr>
          <w:p>
            <w:pPr>
              <w:pStyle w:val="TableText"/>
              <w:ind w:left="706" w:right="49" w:hanging="660"/>
              <w:spacing w:before="80" w:line="210" w:lineRule="auto"/>
              <w:rPr>
                <w:sz w:val="12"/>
                <w:szCs w:val="12"/>
              </w:rPr>
            </w:pPr>
            <w:r>
              <w:rPr>
                <w:sz w:val="12"/>
                <w:szCs w:val="12"/>
                <w:spacing w:val="-1"/>
              </w:rPr>
              <w:t>25剑西米适悬浮液1200-1500</w:t>
            </w:r>
            <w:r>
              <w:rPr>
                <w:sz w:val="12"/>
                <w:szCs w:val="12"/>
                <w:spacing w:val="10"/>
              </w:rPr>
              <w:t xml:space="preserve"> </w:t>
            </w:r>
            <w:r>
              <w:rPr>
                <w:sz w:val="12"/>
                <w:szCs w:val="12"/>
                <w:spacing w:val="-2"/>
              </w:rPr>
              <w:t>倍液</w:t>
            </w:r>
          </w:p>
        </w:tc>
        <w:tc>
          <w:tcPr>
            <w:tcW w:w="979" w:type="dxa"/>
            <w:vAlign w:val="top"/>
            <w:vMerge w:val="restart"/>
            <w:tcBorders>
              <w:bottom w:val="nil"/>
              <w:top w:val="single" w:color="000000" w:sz="2" w:space="0"/>
            </w:tcBorders>
          </w:tcPr>
          <w:p>
            <w:pPr>
              <w:spacing w:line="369" w:lineRule="auto"/>
              <w:rPr>
                <w:rFonts w:ascii="Arial"/>
                <w:sz w:val="21"/>
              </w:rPr>
            </w:pPr>
            <w:r/>
          </w:p>
          <w:p>
            <w:pPr>
              <w:pStyle w:val="TableText"/>
              <w:ind w:left="66" w:right="9" w:firstLine="29"/>
              <w:spacing w:before="39" w:line="215" w:lineRule="auto"/>
              <w:rPr>
                <w:sz w:val="12"/>
                <w:szCs w:val="12"/>
              </w:rPr>
            </w:pPr>
            <w:r>
              <w:rPr>
                <w:sz w:val="12"/>
                <w:szCs w:val="12"/>
                <w:spacing w:val="-1"/>
              </w:rPr>
              <w:t>一般每月用2-3</w:t>
            </w:r>
            <w:r>
              <w:rPr>
                <w:sz w:val="12"/>
                <w:szCs w:val="12"/>
              </w:rPr>
              <w:t xml:space="preserve">  </w:t>
            </w:r>
            <w:r>
              <w:rPr>
                <w:sz w:val="12"/>
                <w:szCs w:val="12"/>
                <w:spacing w:val="-1"/>
              </w:rPr>
              <w:t>次，时间间隔7到</w:t>
            </w:r>
          </w:p>
          <w:p>
            <w:pPr>
              <w:pStyle w:val="TableText"/>
              <w:ind w:left="367"/>
              <w:spacing w:line="219" w:lineRule="auto"/>
              <w:rPr>
                <w:sz w:val="12"/>
                <w:szCs w:val="12"/>
              </w:rPr>
            </w:pPr>
            <w:r>
              <w:rPr>
                <w:sz w:val="12"/>
                <w:szCs w:val="12"/>
                <w:spacing w:val="-3"/>
              </w:rPr>
              <w:t>10天</w:t>
            </w:r>
          </w:p>
        </w:tc>
        <w:tc>
          <w:tcPr>
            <w:tcW w:w="669" w:type="dxa"/>
            <w:vAlign w:val="top"/>
            <w:tcBorders>
              <w:bottom w:val="single" w:color="000000" w:sz="2" w:space="0"/>
              <w:top w:val="single" w:color="000000" w:sz="2" w:space="0"/>
            </w:tcBorders>
          </w:tcPr>
          <w:p>
            <w:pPr>
              <w:pStyle w:val="TableText"/>
              <w:ind w:left="178"/>
              <w:spacing w:before="130" w:line="221" w:lineRule="auto"/>
              <w:rPr>
                <w:sz w:val="12"/>
                <w:szCs w:val="12"/>
              </w:rPr>
            </w:pPr>
            <w:r>
              <w:rPr>
                <w:sz w:val="12"/>
                <w:szCs w:val="12"/>
                <w:spacing w:val="-3"/>
              </w:rPr>
              <w:t>11/瓶</w:t>
            </w:r>
          </w:p>
        </w:tc>
        <w:tc>
          <w:tcPr>
            <w:tcW w:w="2419" w:type="dxa"/>
            <w:vAlign w:val="top"/>
            <w:tcBorders>
              <w:bottom w:val="single" w:color="000000" w:sz="2" w:space="0"/>
              <w:top w:val="single" w:color="000000" w:sz="2" w:space="0"/>
            </w:tcBorders>
          </w:tcPr>
          <w:p>
            <w:pPr>
              <w:pStyle w:val="TableText"/>
              <w:ind w:left="18" w:right="5"/>
              <w:spacing w:before="49" w:line="234" w:lineRule="auto"/>
              <w:rPr>
                <w:sz w:val="12"/>
                <w:szCs w:val="12"/>
              </w:rPr>
            </w:pPr>
            <w:r>
              <w:rPr>
                <w:sz w:val="12"/>
                <w:szCs w:val="12"/>
                <w:spacing w:val="-7"/>
              </w:rPr>
              <w:t>广谱杀菌，对四大类致病真菌。天然低毒安全无</w:t>
            </w:r>
            <w:r>
              <w:rPr>
                <w:sz w:val="12"/>
                <w:szCs w:val="12"/>
                <w:spacing w:val="11"/>
              </w:rPr>
              <w:t xml:space="preserve"> </w:t>
            </w:r>
            <w:r>
              <w:rPr>
                <w:sz w:val="12"/>
                <w:szCs w:val="12"/>
                <w:spacing w:val="-3"/>
              </w:rPr>
              <w:t>公害</w:t>
            </w:r>
          </w:p>
        </w:tc>
      </w:tr>
      <w:tr>
        <w:trPr>
          <w:trHeight w:val="265"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64"/>
              <w:spacing w:before="70" w:line="219" w:lineRule="auto"/>
              <w:rPr>
                <w:sz w:val="12"/>
                <w:szCs w:val="12"/>
              </w:rPr>
            </w:pPr>
            <w:r>
              <w:rPr>
                <w:sz w:val="12"/>
                <w:szCs w:val="12"/>
                <w:spacing w:val="3"/>
              </w:rPr>
              <w:t>国光多菌灵(中)</w:t>
            </w:r>
          </w:p>
        </w:tc>
        <w:tc>
          <w:tcPr>
            <w:tcW w:w="1799" w:type="dxa"/>
            <w:vAlign w:val="top"/>
            <w:tcBorders>
              <w:bottom w:val="single" w:color="000000" w:sz="2" w:space="0"/>
              <w:top w:val="single" w:color="000000" w:sz="2" w:space="0"/>
            </w:tcBorders>
          </w:tcPr>
          <w:p>
            <w:pPr>
              <w:pStyle w:val="TableText"/>
              <w:ind w:left="625"/>
              <w:spacing w:before="70" w:line="219" w:lineRule="auto"/>
              <w:rPr>
                <w:sz w:val="12"/>
                <w:szCs w:val="12"/>
              </w:rPr>
            </w:pPr>
            <w:r>
              <w:rPr>
                <w:sz w:val="12"/>
                <w:szCs w:val="12"/>
                <w:spacing w:val="-1"/>
              </w:rPr>
              <w:t>50%多菌灵</w:t>
            </w:r>
          </w:p>
        </w:tc>
        <w:tc>
          <w:tcPr>
            <w:tcW w:w="1599" w:type="dxa"/>
            <w:vAlign w:val="top"/>
            <w:tcBorders>
              <w:bottom w:val="single" w:color="000000" w:sz="2" w:space="0"/>
              <w:top w:val="single" w:color="000000" w:sz="2" w:space="0"/>
            </w:tcBorders>
          </w:tcPr>
          <w:p>
            <w:pPr>
              <w:pStyle w:val="TableText"/>
              <w:ind w:left="316"/>
              <w:spacing w:before="70" w:line="219" w:lineRule="auto"/>
              <w:rPr>
                <w:sz w:val="12"/>
                <w:szCs w:val="12"/>
              </w:rPr>
            </w:pPr>
            <w:r>
              <w:rPr>
                <w:sz w:val="12"/>
                <w:szCs w:val="12"/>
                <w:spacing w:val="-1"/>
              </w:rPr>
              <w:t>稀释600-100D倍液</w:t>
            </w:r>
          </w:p>
        </w:tc>
        <w:tc>
          <w:tcPr>
            <w:tcW w:w="97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58"/>
              <w:spacing w:before="67" w:line="213" w:lineRule="auto"/>
              <w:rPr>
                <w:sz w:val="12"/>
                <w:szCs w:val="12"/>
              </w:rPr>
            </w:pPr>
            <w:r>
              <w:rPr>
                <w:sz w:val="12"/>
                <w:szCs w:val="12"/>
                <w:spacing w:val="3"/>
              </w:rPr>
              <w:t>(100g/袋)</w:t>
            </w:r>
          </w:p>
        </w:tc>
        <w:tc>
          <w:tcPr>
            <w:tcW w:w="2419" w:type="dxa"/>
            <w:vAlign w:val="top"/>
            <w:tcBorders>
              <w:bottom w:val="single" w:color="000000" w:sz="2" w:space="0"/>
              <w:top w:val="single" w:color="000000" w:sz="2" w:space="0"/>
            </w:tcBorders>
          </w:tcPr>
          <w:p>
            <w:pPr>
              <w:pStyle w:val="TableText"/>
              <w:ind w:left="18"/>
              <w:spacing w:before="70" w:line="218" w:lineRule="auto"/>
              <w:rPr>
                <w:sz w:val="12"/>
                <w:szCs w:val="12"/>
              </w:rPr>
            </w:pPr>
            <w:r>
              <w:rPr>
                <w:sz w:val="12"/>
                <w:szCs w:val="12"/>
                <w:spacing w:val="-1"/>
              </w:rPr>
              <w:t>广谱性杀菌剂</w:t>
            </w:r>
          </w:p>
        </w:tc>
      </w:tr>
      <w:tr>
        <w:trPr>
          <w:trHeight w:val="295"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64"/>
              <w:spacing w:before="90" w:line="219" w:lineRule="auto"/>
              <w:rPr>
                <w:sz w:val="12"/>
                <w:szCs w:val="12"/>
              </w:rPr>
            </w:pPr>
            <w:r>
              <w:rPr>
                <w:sz w:val="12"/>
                <w:szCs w:val="12"/>
                <w:spacing w:val="3"/>
              </w:rPr>
              <w:t>特克多(噻菌灵)</w:t>
            </w:r>
          </w:p>
        </w:tc>
        <w:tc>
          <w:tcPr>
            <w:tcW w:w="1799" w:type="dxa"/>
            <w:vAlign w:val="top"/>
            <w:tcBorders>
              <w:bottom w:val="single" w:color="000000" w:sz="2" w:space="0"/>
              <w:top w:val="single" w:color="000000" w:sz="2" w:space="0"/>
            </w:tcBorders>
          </w:tcPr>
          <w:p>
            <w:pPr>
              <w:pStyle w:val="TableText"/>
              <w:ind w:left="655"/>
              <w:spacing w:before="90" w:line="219" w:lineRule="auto"/>
              <w:rPr>
                <w:sz w:val="12"/>
                <w:szCs w:val="12"/>
              </w:rPr>
            </w:pPr>
            <w:r>
              <w:rPr>
                <w:sz w:val="12"/>
                <w:szCs w:val="12"/>
                <w:spacing w:val="-2"/>
              </w:rPr>
              <w:t>孝咪喧类</w:t>
            </w:r>
          </w:p>
        </w:tc>
        <w:tc>
          <w:tcPr>
            <w:tcW w:w="1599" w:type="dxa"/>
            <w:vAlign w:val="top"/>
            <w:tcBorders>
              <w:bottom w:val="single" w:color="000000" w:sz="2" w:space="0"/>
              <w:top w:val="single" w:color="000000" w:sz="2" w:space="0"/>
            </w:tcBorders>
          </w:tcPr>
          <w:p>
            <w:pPr>
              <w:pStyle w:val="TableText"/>
              <w:ind w:left="346"/>
              <w:spacing w:before="90" w:line="218" w:lineRule="auto"/>
              <w:rPr>
                <w:sz w:val="12"/>
                <w:szCs w:val="12"/>
              </w:rPr>
            </w:pPr>
            <w:r>
              <w:rPr>
                <w:sz w:val="12"/>
                <w:szCs w:val="12"/>
                <w:spacing w:val="-1"/>
              </w:rPr>
              <w:t>50%悬浮剂1000倍</w:t>
            </w:r>
          </w:p>
        </w:tc>
        <w:tc>
          <w:tcPr>
            <w:tcW w:w="97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88"/>
              <w:spacing w:before="90" w:line="221" w:lineRule="auto"/>
              <w:rPr>
                <w:sz w:val="12"/>
                <w:szCs w:val="12"/>
              </w:rPr>
            </w:pPr>
            <w:r>
              <w:rPr>
                <w:sz w:val="12"/>
                <w:szCs w:val="12"/>
                <w:spacing w:val="-2"/>
              </w:rPr>
              <w:t>100xl/瓶</w:t>
            </w:r>
          </w:p>
        </w:tc>
        <w:tc>
          <w:tcPr>
            <w:tcW w:w="2419" w:type="dxa"/>
            <w:vAlign w:val="top"/>
            <w:tcBorders>
              <w:bottom w:val="single" w:color="000000" w:sz="2" w:space="0"/>
              <w:top w:val="single" w:color="000000" w:sz="2" w:space="0"/>
            </w:tcBorders>
          </w:tcPr>
          <w:p>
            <w:pPr>
              <w:pStyle w:val="TableText"/>
              <w:ind w:left="18"/>
              <w:spacing w:before="90" w:line="218" w:lineRule="auto"/>
              <w:rPr>
                <w:sz w:val="12"/>
                <w:szCs w:val="12"/>
              </w:rPr>
            </w:pPr>
            <w:r>
              <w:rPr>
                <w:sz w:val="12"/>
                <w:szCs w:val="12"/>
                <w:spacing w:val="-1"/>
              </w:rPr>
              <w:t>防治丛枝病，树木发芽前，封枝干</w:t>
            </w:r>
          </w:p>
        </w:tc>
      </w:tr>
      <w:tr>
        <w:trPr>
          <w:trHeight w:val="275"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64"/>
              <w:spacing w:before="80" w:line="219" w:lineRule="auto"/>
              <w:rPr>
                <w:sz w:val="12"/>
                <w:szCs w:val="12"/>
              </w:rPr>
            </w:pPr>
            <w:r>
              <w:rPr>
                <w:sz w:val="12"/>
                <w:szCs w:val="12"/>
                <w:spacing w:val="1"/>
              </w:rPr>
              <w:t>国光甲基硫街灵</w:t>
            </w:r>
          </w:p>
        </w:tc>
        <w:tc>
          <w:tcPr>
            <w:tcW w:w="1799" w:type="dxa"/>
            <w:vAlign w:val="top"/>
            <w:tcBorders>
              <w:bottom w:val="single" w:color="000000" w:sz="2" w:space="0"/>
              <w:top w:val="single" w:color="000000" w:sz="2" w:space="0"/>
            </w:tcBorders>
          </w:tcPr>
          <w:p>
            <w:pPr>
              <w:pStyle w:val="TableText"/>
              <w:ind w:left="505"/>
              <w:spacing w:before="80" w:line="219" w:lineRule="auto"/>
              <w:rPr>
                <w:sz w:val="12"/>
                <w:szCs w:val="12"/>
              </w:rPr>
            </w:pPr>
            <w:r>
              <w:rPr>
                <w:sz w:val="12"/>
                <w:szCs w:val="12"/>
                <w:spacing w:val="-1"/>
              </w:rPr>
              <w:t>70%甲基硫菌灵</w:t>
            </w:r>
          </w:p>
        </w:tc>
        <w:tc>
          <w:tcPr>
            <w:tcW w:w="1599" w:type="dxa"/>
            <w:vAlign w:val="top"/>
            <w:tcBorders>
              <w:bottom w:val="single" w:color="000000" w:sz="2" w:space="0"/>
              <w:top w:val="single" w:color="000000" w:sz="2" w:space="0"/>
            </w:tcBorders>
          </w:tcPr>
          <w:p>
            <w:pPr>
              <w:pStyle w:val="TableText"/>
              <w:ind w:left="316"/>
              <w:spacing w:before="80" w:line="219" w:lineRule="auto"/>
              <w:rPr>
                <w:sz w:val="12"/>
                <w:szCs w:val="12"/>
              </w:rPr>
            </w:pPr>
            <w:r>
              <w:rPr>
                <w:sz w:val="12"/>
                <w:szCs w:val="12"/>
                <w:spacing w:val="-1"/>
              </w:rPr>
              <w:t>稀释600-1000倍液</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48"/>
              <w:spacing w:before="76" w:line="213" w:lineRule="auto"/>
              <w:rPr>
                <w:sz w:val="12"/>
                <w:szCs w:val="12"/>
              </w:rPr>
            </w:pPr>
            <w:r>
              <w:rPr>
                <w:sz w:val="12"/>
                <w:szCs w:val="12"/>
                <w:spacing w:val="-3"/>
              </w:rPr>
              <w:t>Ikg/袋</w:t>
            </w:r>
          </w:p>
        </w:tc>
        <w:tc>
          <w:tcPr>
            <w:tcW w:w="2419" w:type="dxa"/>
            <w:vAlign w:val="top"/>
            <w:tcBorders>
              <w:bottom w:val="single" w:color="000000" w:sz="2" w:space="0"/>
              <w:top w:val="single" w:color="000000" w:sz="2" w:space="0"/>
            </w:tcBorders>
          </w:tcPr>
          <w:p>
            <w:pPr>
              <w:pStyle w:val="TableText"/>
              <w:ind w:left="18"/>
              <w:spacing w:before="79" w:line="218" w:lineRule="auto"/>
              <w:rPr>
                <w:sz w:val="12"/>
                <w:szCs w:val="12"/>
              </w:rPr>
            </w:pPr>
            <w:r>
              <w:rPr>
                <w:sz w:val="12"/>
                <w:szCs w:val="12"/>
              </w:rPr>
              <w:t>内吸、广诸高效杀菌剂</w:t>
            </w:r>
          </w:p>
        </w:tc>
      </w:tr>
      <w:tr>
        <w:trPr>
          <w:trHeight w:val="66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404"/>
              <w:spacing w:before="269" w:line="219" w:lineRule="auto"/>
              <w:rPr>
                <w:sz w:val="12"/>
                <w:szCs w:val="12"/>
              </w:rPr>
            </w:pPr>
            <w:r>
              <w:rPr>
                <w:sz w:val="12"/>
                <w:szCs w:val="12"/>
                <w:spacing w:val="-3"/>
              </w:rPr>
              <w:t>替力克</w:t>
            </w:r>
          </w:p>
        </w:tc>
        <w:tc>
          <w:tcPr>
            <w:tcW w:w="1799" w:type="dxa"/>
            <w:vAlign w:val="top"/>
            <w:tcBorders>
              <w:bottom w:val="single" w:color="000000" w:sz="2" w:space="0"/>
              <w:top w:val="single" w:color="000000" w:sz="2" w:space="0"/>
            </w:tcBorders>
          </w:tcPr>
          <w:p>
            <w:pPr>
              <w:pStyle w:val="TableText"/>
              <w:ind w:left="565"/>
              <w:spacing w:before="269" w:line="220" w:lineRule="auto"/>
              <w:rPr>
                <w:sz w:val="12"/>
                <w:szCs w:val="12"/>
              </w:rPr>
            </w:pPr>
            <w:r>
              <w:rPr>
                <w:sz w:val="12"/>
                <w:szCs w:val="12"/>
                <w:spacing w:val="-1"/>
              </w:rPr>
              <w:t>72.2%丙酰胺</w:t>
            </w:r>
          </w:p>
        </w:tc>
        <w:tc>
          <w:tcPr>
            <w:tcW w:w="1599" w:type="dxa"/>
            <w:vAlign w:val="top"/>
            <w:tcBorders>
              <w:bottom w:val="single" w:color="000000" w:sz="2" w:space="0"/>
              <w:top w:val="single" w:color="000000" w:sz="2" w:space="0"/>
            </w:tcBorders>
          </w:tcPr>
          <w:p>
            <w:pPr>
              <w:pStyle w:val="TableText"/>
              <w:ind w:left="436"/>
              <w:spacing w:before="269" w:line="220" w:lineRule="auto"/>
              <w:rPr>
                <w:sz w:val="12"/>
                <w:szCs w:val="12"/>
              </w:rPr>
            </w:pPr>
            <w:r>
              <w:rPr>
                <w:sz w:val="12"/>
                <w:szCs w:val="12"/>
                <w:spacing w:val="-1"/>
              </w:rPr>
              <w:t>800-1000倍液</w:t>
            </w:r>
          </w:p>
        </w:tc>
        <w:tc>
          <w:tcPr>
            <w:tcW w:w="979" w:type="dxa"/>
            <w:vAlign w:val="top"/>
            <w:tcBorders>
              <w:bottom w:val="single" w:color="000000" w:sz="2" w:space="0"/>
              <w:top w:val="single" w:color="000000" w:sz="2" w:space="0"/>
            </w:tcBorders>
          </w:tcPr>
          <w:p>
            <w:pPr>
              <w:pStyle w:val="TableText"/>
              <w:ind w:left="95" w:right="5" w:hanging="79"/>
              <w:spacing w:before="59" w:line="223" w:lineRule="auto"/>
              <w:rPr>
                <w:sz w:val="12"/>
                <w:szCs w:val="12"/>
              </w:rPr>
            </w:pPr>
            <w:r>
              <w:rPr>
                <w:sz w:val="12"/>
                <w:szCs w:val="12"/>
                <w:spacing w:val="-2"/>
              </w:rPr>
              <w:t>10天一次。连续喷</w:t>
            </w:r>
            <w:r>
              <w:rPr>
                <w:sz w:val="12"/>
                <w:szCs w:val="12"/>
                <w:spacing w:val="3"/>
              </w:rPr>
              <w:t xml:space="preserve"> </w:t>
            </w:r>
            <w:r>
              <w:rPr>
                <w:sz w:val="12"/>
                <w:szCs w:val="12"/>
                <w:spacing w:val="-1"/>
              </w:rPr>
              <w:t>酒病部地面2-3</w:t>
            </w:r>
          </w:p>
          <w:p>
            <w:pPr>
              <w:pStyle w:val="TableText"/>
              <w:ind w:left="125" w:right="15" w:hanging="89"/>
              <w:spacing w:line="218" w:lineRule="auto"/>
              <w:rPr>
                <w:sz w:val="12"/>
                <w:szCs w:val="12"/>
              </w:rPr>
            </w:pPr>
            <w:r>
              <w:rPr>
                <w:sz w:val="12"/>
                <w:szCs w:val="12"/>
                <w:spacing w:val="2"/>
              </w:rPr>
              <w:t>次。喷药1小时内</w:t>
            </w:r>
            <w:r>
              <w:rPr>
                <w:sz w:val="12"/>
                <w:szCs w:val="12"/>
              </w:rPr>
              <w:t xml:space="preserve"> </w:t>
            </w:r>
            <w:r>
              <w:rPr>
                <w:sz w:val="12"/>
                <w:szCs w:val="12"/>
                <w:spacing w:val="-1"/>
              </w:rPr>
              <w:t>遇南，雪重喷</w:t>
            </w:r>
          </w:p>
        </w:tc>
        <w:tc>
          <w:tcPr>
            <w:tcW w:w="669" w:type="dxa"/>
            <w:vAlign w:val="top"/>
            <w:tcBorders>
              <w:bottom w:val="single" w:color="000000" w:sz="2" w:space="0"/>
              <w:top w:val="single" w:color="000000" w:sz="2" w:space="0"/>
            </w:tcBorders>
          </w:tcPr>
          <w:p>
            <w:pPr>
              <w:pStyle w:val="TableText"/>
              <w:ind w:left="118"/>
              <w:spacing w:before="270" w:line="221" w:lineRule="auto"/>
              <w:rPr>
                <w:sz w:val="12"/>
                <w:szCs w:val="12"/>
              </w:rPr>
            </w:pPr>
            <w:r>
              <w:rPr>
                <w:sz w:val="12"/>
                <w:szCs w:val="12"/>
                <w:spacing w:val="-2"/>
              </w:rPr>
              <w:t>100l/瓶</w:t>
            </w:r>
          </w:p>
        </w:tc>
        <w:tc>
          <w:tcPr>
            <w:tcW w:w="2419" w:type="dxa"/>
            <w:vAlign w:val="top"/>
            <w:tcBorders>
              <w:bottom w:val="single" w:color="000000" w:sz="2" w:space="0"/>
              <w:top w:val="single" w:color="000000" w:sz="2" w:space="0"/>
            </w:tcBorders>
          </w:tcPr>
          <w:p>
            <w:pPr>
              <w:pStyle w:val="TableText"/>
              <w:ind w:left="18"/>
              <w:spacing w:before="269" w:line="219" w:lineRule="auto"/>
              <w:rPr>
                <w:sz w:val="12"/>
                <w:szCs w:val="12"/>
              </w:rPr>
            </w:pPr>
            <w:r>
              <w:rPr>
                <w:sz w:val="12"/>
                <w:szCs w:val="12"/>
                <w:spacing w:val="-1"/>
              </w:rPr>
              <w:t>对根腐病、霜霉病，立枯病，猝倒病有特效</w:t>
            </w:r>
          </w:p>
        </w:tc>
      </w:tr>
      <w:tr>
        <w:trPr>
          <w:trHeight w:val="365"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404"/>
              <w:spacing w:before="119" w:line="219" w:lineRule="auto"/>
              <w:rPr>
                <w:sz w:val="12"/>
                <w:szCs w:val="12"/>
              </w:rPr>
            </w:pPr>
            <w:r>
              <w:rPr>
                <w:sz w:val="12"/>
                <w:szCs w:val="12"/>
                <w:spacing w:val="-1"/>
              </w:rPr>
              <w:t>链霉素</w:t>
            </w:r>
          </w:p>
        </w:tc>
        <w:tc>
          <w:tcPr>
            <w:tcW w:w="1799" w:type="dxa"/>
            <w:vAlign w:val="top"/>
            <w:tcBorders>
              <w:bottom w:val="single" w:color="000000" w:sz="2" w:space="0"/>
              <w:top w:val="single" w:color="000000" w:sz="2" w:space="0"/>
            </w:tcBorders>
          </w:tcPr>
          <w:p>
            <w:pPr>
              <w:pStyle w:val="TableText"/>
              <w:ind w:left="625"/>
              <w:spacing w:before="119" w:line="219" w:lineRule="auto"/>
              <w:rPr>
                <w:sz w:val="12"/>
                <w:szCs w:val="12"/>
              </w:rPr>
            </w:pPr>
            <w:r>
              <w:rPr>
                <w:sz w:val="12"/>
                <w:szCs w:val="12"/>
                <w:spacing w:val="-1"/>
              </w:rPr>
              <w:t>72M链霉素</w:t>
            </w:r>
          </w:p>
        </w:tc>
        <w:tc>
          <w:tcPr>
            <w:tcW w:w="1599" w:type="dxa"/>
            <w:vAlign w:val="top"/>
            <w:tcBorders>
              <w:bottom w:val="single" w:color="000000" w:sz="2" w:space="0"/>
              <w:top w:val="single" w:color="000000" w:sz="2" w:space="0"/>
            </w:tcBorders>
          </w:tcPr>
          <w:p>
            <w:pPr>
              <w:pStyle w:val="TableText"/>
              <w:ind w:left="556"/>
              <w:spacing w:before="120" w:line="220" w:lineRule="auto"/>
              <w:rPr>
                <w:sz w:val="12"/>
                <w:szCs w:val="12"/>
              </w:rPr>
            </w:pPr>
            <w:r>
              <w:rPr>
                <w:sz w:val="12"/>
                <w:szCs w:val="12"/>
                <w:spacing w:val="-1"/>
              </w:rPr>
              <w:t>3000倍液</w:t>
            </w:r>
          </w:p>
        </w:tc>
        <w:tc>
          <w:tcPr>
            <w:tcW w:w="979" w:type="dxa"/>
            <w:vAlign w:val="top"/>
            <w:vMerge w:val="restart"/>
            <w:tcBorders>
              <w:bottom w:val="nil"/>
              <w:top w:val="single" w:color="000000" w:sz="2" w:space="0"/>
            </w:tcBorders>
          </w:tcPr>
          <w:p>
            <w:pPr>
              <w:pStyle w:val="TableText"/>
              <w:spacing w:before="249" w:line="200" w:lineRule="auto"/>
              <w:jc w:val="right"/>
              <w:rPr>
                <w:sz w:val="12"/>
                <w:szCs w:val="12"/>
              </w:rPr>
            </w:pPr>
            <w:r>
              <w:rPr>
                <w:sz w:val="12"/>
                <w:szCs w:val="12"/>
                <w:spacing w:val="-4"/>
              </w:rPr>
              <w:t>每10天喷施一次，</w:t>
            </w:r>
          </w:p>
          <w:p>
            <w:pPr>
              <w:pStyle w:val="TableText"/>
              <w:ind w:left="157"/>
              <w:spacing w:line="219" w:lineRule="auto"/>
              <w:rPr>
                <w:sz w:val="12"/>
                <w:szCs w:val="12"/>
              </w:rPr>
            </w:pPr>
            <w:r>
              <w:rPr>
                <w:sz w:val="12"/>
                <w:szCs w:val="12"/>
                <w:spacing w:val="-1"/>
              </w:rPr>
              <w:t>连唤3至4次。</w:t>
            </w:r>
          </w:p>
        </w:tc>
        <w:tc>
          <w:tcPr>
            <w:tcW w:w="669" w:type="dxa"/>
            <w:vAlign w:val="top"/>
            <w:tcBorders>
              <w:bottom w:val="single" w:color="000000" w:sz="2" w:space="0"/>
              <w:top w:val="single" w:color="000000" w:sz="2" w:space="0"/>
            </w:tcBorders>
          </w:tcPr>
          <w:p>
            <w:pPr>
              <w:pStyle w:val="TableText"/>
              <w:ind w:left="148"/>
              <w:spacing w:before="116" w:line="213" w:lineRule="auto"/>
              <w:rPr>
                <w:sz w:val="12"/>
                <w:szCs w:val="12"/>
              </w:rPr>
            </w:pPr>
            <w:r>
              <w:rPr>
                <w:sz w:val="12"/>
                <w:szCs w:val="12"/>
                <w:spacing w:val="-2"/>
              </w:rPr>
              <w:t>15g/袋</w:t>
            </w:r>
          </w:p>
        </w:tc>
        <w:tc>
          <w:tcPr>
            <w:tcW w:w="2419" w:type="dxa"/>
            <w:vAlign w:val="top"/>
            <w:vMerge w:val="restart"/>
            <w:tcBorders>
              <w:bottom w:val="nil"/>
              <w:top w:val="single" w:color="000000" w:sz="2" w:space="0"/>
            </w:tcBorders>
          </w:tcPr>
          <w:p>
            <w:pPr>
              <w:spacing w:line="278" w:lineRule="auto"/>
              <w:rPr>
                <w:rFonts w:ascii="Arial"/>
                <w:sz w:val="21"/>
              </w:rPr>
            </w:pPr>
            <w:r/>
          </w:p>
          <w:p>
            <w:pPr>
              <w:pStyle w:val="TableText"/>
              <w:ind w:left="18"/>
              <w:spacing w:before="39" w:line="219" w:lineRule="auto"/>
              <w:rPr>
                <w:sz w:val="12"/>
                <w:szCs w:val="12"/>
              </w:rPr>
            </w:pPr>
            <w:r>
              <w:rPr>
                <w:sz w:val="12"/>
                <w:szCs w:val="12"/>
                <w:spacing w:val="-1"/>
              </w:rPr>
              <w:t>防治细菌性穿孔病，对细菌性病害有特效</w:t>
            </w:r>
          </w:p>
        </w:tc>
      </w:tr>
      <w:tr>
        <w:trPr>
          <w:trHeight w:val="38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404"/>
              <w:spacing w:before="130" w:line="221" w:lineRule="auto"/>
              <w:rPr>
                <w:sz w:val="12"/>
                <w:szCs w:val="12"/>
              </w:rPr>
            </w:pPr>
            <w:r>
              <w:rPr>
                <w:sz w:val="12"/>
                <w:szCs w:val="12"/>
                <w:spacing w:val="-2"/>
              </w:rPr>
              <w:t>细画灵</w:t>
            </w:r>
          </w:p>
        </w:tc>
        <w:tc>
          <w:tcPr>
            <w:tcW w:w="1799" w:type="dxa"/>
            <w:vAlign w:val="top"/>
            <w:tcBorders>
              <w:bottom w:val="single" w:color="000000" w:sz="2" w:space="0"/>
              <w:top w:val="single" w:color="000000" w:sz="2" w:space="0"/>
            </w:tcBorders>
          </w:tcPr>
          <w:p>
            <w:pPr>
              <w:pStyle w:val="TableText"/>
              <w:ind w:left="335"/>
              <w:spacing w:before="129" w:line="219" w:lineRule="auto"/>
              <w:rPr>
                <w:sz w:val="12"/>
                <w:szCs w:val="12"/>
              </w:rPr>
            </w:pPr>
            <w:r>
              <w:rPr>
                <w:sz w:val="12"/>
                <w:szCs w:val="12"/>
                <w:spacing w:val="-1"/>
              </w:rPr>
              <w:t>40%多菌灵、30%中生霉素</w:t>
            </w:r>
          </w:p>
        </w:tc>
        <w:tc>
          <w:tcPr>
            <w:tcW w:w="1599" w:type="dxa"/>
            <w:vAlign w:val="top"/>
            <w:tcBorders>
              <w:bottom w:val="single" w:color="000000" w:sz="2" w:space="0"/>
              <w:top w:val="single" w:color="000000" w:sz="2" w:space="0"/>
            </w:tcBorders>
          </w:tcPr>
          <w:p>
            <w:pPr>
              <w:pStyle w:val="TableText"/>
              <w:ind w:left="526"/>
              <w:spacing w:before="131" w:line="222" w:lineRule="auto"/>
              <w:rPr>
                <w:sz w:val="12"/>
                <w:szCs w:val="12"/>
              </w:rPr>
            </w:pPr>
            <w:r>
              <w:rPr>
                <w:sz w:val="12"/>
                <w:szCs w:val="12"/>
                <w:spacing w:val="-1"/>
              </w:rPr>
              <w:t>500-600皆</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48"/>
              <w:spacing w:before="125" w:line="213" w:lineRule="auto"/>
              <w:rPr>
                <w:sz w:val="12"/>
                <w:szCs w:val="12"/>
              </w:rPr>
            </w:pPr>
            <w:r>
              <w:rPr>
                <w:sz w:val="12"/>
                <w:szCs w:val="12"/>
                <w:spacing w:val="-1"/>
              </w:rPr>
              <w:t>25g/袋</w:t>
            </w:r>
          </w:p>
        </w:tc>
        <w:tc>
          <w:tcPr>
            <w:tcW w:w="2419" w:type="dxa"/>
            <w:vAlign w:val="top"/>
            <w:vMerge w:val="continue"/>
            <w:tcBorders>
              <w:bottom w:val="single" w:color="000000" w:sz="2" w:space="0"/>
              <w:top w:val="nil"/>
            </w:tcBorders>
          </w:tcPr>
          <w:p>
            <w:pPr>
              <w:rPr>
                <w:rFonts w:ascii="Arial"/>
                <w:sz w:val="21"/>
              </w:rPr>
            </w:pPr>
            <w:r/>
          </w:p>
        </w:tc>
      </w:tr>
      <w:tr>
        <w:trPr>
          <w:trHeight w:val="61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404"/>
              <w:spacing w:before="249" w:line="219" w:lineRule="auto"/>
              <w:rPr>
                <w:sz w:val="12"/>
                <w:szCs w:val="12"/>
              </w:rPr>
            </w:pPr>
            <w:r>
              <w:rPr>
                <w:sz w:val="12"/>
                <w:szCs w:val="12"/>
                <w:spacing w:val="-2"/>
              </w:rPr>
              <w:t>植病灵</w:t>
            </w:r>
          </w:p>
        </w:tc>
        <w:tc>
          <w:tcPr>
            <w:tcW w:w="1799" w:type="dxa"/>
            <w:vAlign w:val="top"/>
            <w:tcBorders>
              <w:bottom w:val="single" w:color="000000" w:sz="2" w:space="0"/>
              <w:top w:val="single" w:color="000000" w:sz="2" w:space="0"/>
            </w:tcBorders>
          </w:tcPr>
          <w:p>
            <w:pPr>
              <w:pStyle w:val="TableText"/>
              <w:ind w:left="295"/>
              <w:spacing w:before="249" w:line="219" w:lineRule="auto"/>
              <w:rPr>
                <w:sz w:val="12"/>
                <w:szCs w:val="12"/>
              </w:rPr>
            </w:pPr>
            <w:r>
              <w:rPr>
                <w:sz w:val="12"/>
                <w:szCs w:val="12"/>
                <w:spacing w:val="-1"/>
              </w:rPr>
              <w:t>盐酸金刚乙胶、丙环唑</w:t>
            </w:r>
          </w:p>
        </w:tc>
        <w:tc>
          <w:tcPr>
            <w:tcW w:w="1599" w:type="dxa"/>
            <w:vAlign w:val="top"/>
            <w:tcBorders>
              <w:bottom w:val="single" w:color="000000" w:sz="2" w:space="0"/>
              <w:top w:val="single" w:color="000000" w:sz="2" w:space="0"/>
            </w:tcBorders>
          </w:tcPr>
          <w:p>
            <w:pPr>
              <w:pStyle w:val="TableText"/>
              <w:ind w:left="586"/>
              <w:spacing w:before="250" w:line="220" w:lineRule="auto"/>
              <w:rPr>
                <w:sz w:val="12"/>
                <w:szCs w:val="12"/>
              </w:rPr>
            </w:pPr>
            <w:r>
              <w:rPr>
                <w:sz w:val="12"/>
                <w:szCs w:val="12"/>
                <w:spacing w:val="-1"/>
              </w:rPr>
              <w:t>800倍液</w:t>
            </w:r>
          </w:p>
        </w:tc>
        <w:tc>
          <w:tcPr>
            <w:tcW w:w="979" w:type="dxa"/>
            <w:vAlign w:val="top"/>
            <w:tcBorders>
              <w:bottom w:val="single" w:color="000000" w:sz="2" w:space="0"/>
              <w:top w:val="single" w:color="000000" w:sz="2" w:space="0"/>
            </w:tcBorders>
          </w:tcPr>
          <w:p>
            <w:pPr>
              <w:pStyle w:val="TableText"/>
              <w:ind w:left="26" w:right="38" w:firstLine="9"/>
              <w:spacing w:before="119" w:line="200" w:lineRule="auto"/>
              <w:rPr>
                <w:sz w:val="12"/>
                <w:szCs w:val="12"/>
              </w:rPr>
            </w:pPr>
            <w:r>
              <w:rPr>
                <w:sz w:val="12"/>
                <w:szCs w:val="12"/>
                <w:spacing w:val="-1"/>
              </w:rPr>
              <w:t>发病初期，每5-7</w:t>
            </w:r>
            <w:r>
              <w:rPr>
                <w:sz w:val="12"/>
                <w:szCs w:val="12"/>
                <w:spacing w:val="1"/>
              </w:rPr>
              <w:t xml:space="preserve"> </w:t>
            </w:r>
            <w:r>
              <w:rPr>
                <w:sz w:val="12"/>
                <w:szCs w:val="12"/>
                <w:spacing w:val="-1"/>
              </w:rPr>
              <w:t>天唉施一次，喷3</w:t>
            </w:r>
          </w:p>
          <w:p>
            <w:pPr>
              <w:pStyle w:val="TableText"/>
              <w:spacing w:line="219" w:lineRule="auto"/>
              <w:jc w:val="right"/>
              <w:rPr>
                <w:sz w:val="12"/>
                <w:szCs w:val="12"/>
              </w:rPr>
            </w:pPr>
            <w:r>
              <w:rPr>
                <w:sz w:val="12"/>
                <w:szCs w:val="12"/>
                <w:spacing w:val="-4"/>
              </w:rPr>
              <w:t>遍。可凝轻危害。</w:t>
            </w:r>
          </w:p>
        </w:tc>
        <w:tc>
          <w:tcPr>
            <w:tcW w:w="669" w:type="dxa"/>
            <w:vAlign w:val="top"/>
            <w:tcBorders>
              <w:bottom w:val="single" w:color="000000" w:sz="2" w:space="0"/>
              <w:top w:val="single" w:color="000000" w:sz="2" w:space="0"/>
            </w:tcBorders>
          </w:tcPr>
          <w:p>
            <w:pPr>
              <w:pStyle w:val="TableText"/>
              <w:ind w:left="118"/>
              <w:spacing w:before="250" w:line="221" w:lineRule="auto"/>
              <w:rPr>
                <w:sz w:val="12"/>
                <w:szCs w:val="12"/>
              </w:rPr>
            </w:pPr>
            <w:r>
              <w:rPr>
                <w:sz w:val="12"/>
                <w:szCs w:val="12"/>
                <w:spacing w:val="-2"/>
              </w:rPr>
              <w:t>15ml/瓶</w:t>
            </w:r>
          </w:p>
        </w:tc>
        <w:tc>
          <w:tcPr>
            <w:tcW w:w="2419" w:type="dxa"/>
            <w:vAlign w:val="top"/>
            <w:tcBorders>
              <w:bottom w:val="single" w:color="000000" w:sz="2" w:space="0"/>
              <w:top w:val="single" w:color="000000" w:sz="2" w:space="0"/>
            </w:tcBorders>
          </w:tcPr>
          <w:p>
            <w:pPr>
              <w:pStyle w:val="TableText"/>
              <w:ind w:left="18"/>
              <w:spacing w:before="249" w:line="219" w:lineRule="auto"/>
              <w:rPr>
                <w:sz w:val="12"/>
                <w:szCs w:val="12"/>
              </w:rPr>
            </w:pPr>
            <w:r>
              <w:rPr>
                <w:sz w:val="12"/>
                <w:szCs w:val="12"/>
                <w:spacing w:val="-1"/>
              </w:rPr>
              <w:t>防治花叶病，对病毒性病害有特效</w:t>
            </w:r>
          </w:p>
        </w:tc>
      </w:tr>
      <w:tr>
        <w:trPr>
          <w:trHeight w:val="46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nil"/>
              <w:top w:val="nil"/>
            </w:tcBorders>
          </w:tcPr>
          <w:p>
            <w:pPr>
              <w:rPr>
                <w:rFonts w:ascii="Arial"/>
                <w:sz w:val="21"/>
              </w:rPr>
            </w:pPr>
            <w:r/>
          </w:p>
        </w:tc>
        <w:tc>
          <w:tcPr>
            <w:tcW w:w="1259" w:type="dxa"/>
            <w:vAlign w:val="top"/>
            <w:vMerge w:val="continue"/>
            <w:tcBorders>
              <w:bottom w:val="nil"/>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64"/>
              <w:spacing w:before="170" w:line="219" w:lineRule="auto"/>
              <w:rPr>
                <w:sz w:val="12"/>
                <w:szCs w:val="12"/>
              </w:rPr>
            </w:pPr>
            <w:r>
              <w:rPr>
                <w:sz w:val="12"/>
                <w:szCs w:val="12"/>
                <w:spacing w:val="-2"/>
              </w:rPr>
              <w:t>特克多(噻菌灵》</w:t>
            </w:r>
          </w:p>
        </w:tc>
        <w:tc>
          <w:tcPr>
            <w:tcW w:w="1799" w:type="dxa"/>
            <w:vAlign w:val="top"/>
            <w:tcBorders>
              <w:bottom w:val="single" w:color="000000" w:sz="2" w:space="0"/>
              <w:top w:val="single" w:color="000000" w:sz="2" w:space="0"/>
            </w:tcBorders>
          </w:tcPr>
          <w:p>
            <w:pPr>
              <w:pStyle w:val="TableText"/>
              <w:ind w:left="655"/>
              <w:spacing w:before="170" w:line="218" w:lineRule="auto"/>
              <w:rPr>
                <w:sz w:val="12"/>
                <w:szCs w:val="12"/>
              </w:rPr>
            </w:pPr>
            <w:r>
              <w:rPr>
                <w:sz w:val="12"/>
                <w:szCs w:val="12"/>
                <w:spacing w:val="-2"/>
              </w:rPr>
              <w:t>苯味唑类</w:t>
            </w:r>
          </w:p>
        </w:tc>
        <w:tc>
          <w:tcPr>
            <w:tcW w:w="1599" w:type="dxa"/>
            <w:vAlign w:val="top"/>
            <w:tcBorders>
              <w:bottom w:val="single" w:color="000000" w:sz="2" w:space="0"/>
              <w:top w:val="single" w:color="000000" w:sz="2" w:space="0"/>
            </w:tcBorders>
          </w:tcPr>
          <w:p>
            <w:pPr>
              <w:pStyle w:val="TableText"/>
              <w:ind w:left="256"/>
              <w:spacing w:before="170" w:line="218" w:lineRule="auto"/>
              <w:rPr>
                <w:sz w:val="12"/>
                <w:szCs w:val="12"/>
              </w:rPr>
            </w:pPr>
            <w:r>
              <w:rPr>
                <w:sz w:val="12"/>
                <w:szCs w:val="12"/>
                <w:spacing w:val="-1"/>
              </w:rPr>
              <w:t>455悬浮剂s00-80D倍</w:t>
            </w:r>
          </w:p>
        </w:tc>
        <w:tc>
          <w:tcPr>
            <w:tcW w:w="979" w:type="dxa"/>
            <w:vAlign w:val="top"/>
            <w:vMerge w:val="restart"/>
            <w:tcBorders>
              <w:bottom w:val="nil"/>
              <w:top w:val="single" w:color="000000" w:sz="2" w:space="0"/>
            </w:tcBorders>
          </w:tcPr>
          <w:p>
            <w:pPr>
              <w:spacing w:line="389" w:lineRule="auto"/>
              <w:rPr>
                <w:rFonts w:ascii="Arial"/>
                <w:sz w:val="21"/>
              </w:rPr>
            </w:pPr>
            <w:r/>
          </w:p>
          <w:p>
            <w:pPr>
              <w:pStyle w:val="TableText"/>
              <w:ind w:left="201" w:hanging="165"/>
              <w:spacing w:before="39" w:line="209" w:lineRule="auto"/>
              <w:rPr>
                <w:sz w:val="12"/>
                <w:szCs w:val="12"/>
              </w:rPr>
            </w:pPr>
            <w:r>
              <w:rPr>
                <w:sz w:val="12"/>
                <w:szCs w:val="12"/>
                <w:spacing w:val="-3"/>
              </w:rPr>
              <w:t>问隔10-15天1次，</w:t>
            </w:r>
            <w:r>
              <w:rPr>
                <w:sz w:val="12"/>
                <w:szCs w:val="12"/>
                <w:spacing w:val="4"/>
              </w:rPr>
              <w:t xml:space="preserve"> </w:t>
            </w:r>
            <w:r>
              <w:rPr>
                <w:sz w:val="12"/>
                <w:szCs w:val="12"/>
                <w:spacing w:val="-3"/>
              </w:rPr>
              <w:t>连喷2-3次</w:t>
            </w:r>
          </w:p>
        </w:tc>
        <w:tc>
          <w:tcPr>
            <w:tcW w:w="669" w:type="dxa"/>
            <w:vAlign w:val="top"/>
            <w:tcBorders>
              <w:bottom w:val="single" w:color="000000" w:sz="2" w:space="0"/>
              <w:top w:val="single" w:color="000000" w:sz="2" w:space="0"/>
            </w:tcBorders>
          </w:tcPr>
          <w:p>
            <w:pPr>
              <w:pStyle w:val="TableText"/>
              <w:ind w:left="88"/>
              <w:spacing w:before="170" w:line="221" w:lineRule="auto"/>
              <w:rPr>
                <w:sz w:val="12"/>
                <w:szCs w:val="12"/>
              </w:rPr>
            </w:pPr>
            <w:r>
              <w:rPr>
                <w:sz w:val="12"/>
                <w:szCs w:val="12"/>
                <w:spacing w:val="-2"/>
              </w:rPr>
              <w:t>100al/瓶</w:t>
            </w:r>
          </w:p>
        </w:tc>
        <w:tc>
          <w:tcPr>
            <w:tcW w:w="2419" w:type="dxa"/>
            <w:vAlign w:val="top"/>
            <w:tcBorders>
              <w:bottom w:val="single" w:color="000000" w:sz="2" w:space="0"/>
              <w:top w:val="single" w:color="000000" w:sz="2" w:space="0"/>
            </w:tcBorders>
          </w:tcPr>
          <w:p>
            <w:pPr>
              <w:pStyle w:val="TableText"/>
              <w:ind w:left="18" w:right="1"/>
              <w:spacing w:before="109" w:line="218" w:lineRule="auto"/>
              <w:rPr>
                <w:sz w:val="12"/>
                <w:szCs w:val="12"/>
              </w:rPr>
            </w:pPr>
            <w:r>
              <w:rPr>
                <w:sz w:val="12"/>
                <w:szCs w:val="12"/>
                <w:spacing w:val="-7"/>
              </w:rPr>
              <w:t>防泊叶斑病、青霉病、炭疸病，灰霉病，黑星病</w:t>
            </w:r>
            <w:r>
              <w:rPr>
                <w:sz w:val="12"/>
                <w:szCs w:val="12"/>
                <w:spacing w:val="14"/>
              </w:rPr>
              <w:t xml:space="preserve"> </w:t>
            </w:r>
            <w:r>
              <w:rPr>
                <w:sz w:val="12"/>
                <w:szCs w:val="12"/>
              </w:rPr>
              <w:t>、白粉病等防治</w:t>
            </w:r>
          </w:p>
        </w:tc>
      </w:tr>
      <w:tr>
        <w:trPr>
          <w:trHeight w:val="614" w:hRule="atLeast"/>
        </w:trPr>
        <w:tc>
          <w:tcPr>
            <w:tcW w:w="395" w:type="dxa"/>
            <w:vAlign w:val="top"/>
            <w:vMerge w:val="continue"/>
            <w:tcBorders>
              <w:bottom w:val="single" w:color="000000" w:sz="2" w:space="0"/>
              <w:top w:val="nil"/>
            </w:tcBorders>
          </w:tcPr>
          <w:p>
            <w:pPr>
              <w:rPr>
                <w:rFonts w:ascii="Arial"/>
                <w:sz w:val="21"/>
              </w:rPr>
            </w:pPr>
            <w:r/>
          </w:p>
        </w:tc>
        <w:tc>
          <w:tcPr>
            <w:tcW w:w="499" w:type="dxa"/>
            <w:vAlign w:val="top"/>
            <w:vMerge w:val="continue"/>
            <w:tcBorders>
              <w:bottom w:val="single" w:color="000000" w:sz="2" w:space="0"/>
              <w:top w:val="nil"/>
            </w:tcBorders>
          </w:tcPr>
          <w:p>
            <w:pPr>
              <w:rPr>
                <w:rFonts w:ascii="Arial"/>
                <w:sz w:val="21"/>
              </w:rPr>
            </w:pPr>
            <w:r/>
          </w:p>
        </w:tc>
        <w:tc>
          <w:tcPr>
            <w:tcW w:w="1259" w:type="dxa"/>
            <w:vAlign w:val="top"/>
            <w:vMerge w:val="continue"/>
            <w:tcBorders>
              <w:bottom w:val="single" w:color="000000" w:sz="2" w:space="0"/>
              <w:top w:val="nil"/>
            </w:tcBorders>
          </w:tcPr>
          <w:p>
            <w:pPr>
              <w:rPr>
                <w:rFonts w:ascii="Arial"/>
                <w:sz w:val="21"/>
              </w:rPr>
            </w:pPr>
            <w:r/>
          </w:p>
        </w:tc>
        <w:tc>
          <w:tcPr>
            <w:tcW w:w="3178" w:type="dxa"/>
            <w:vAlign w:val="top"/>
            <w:vMerge w:val="continue"/>
            <w:tcBorders>
              <w:bottom w:val="single" w:color="000000" w:sz="2" w:space="0"/>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73"/>
              <w:spacing w:before="250" w:line="219" w:lineRule="auto"/>
              <w:rPr>
                <w:sz w:val="12"/>
                <w:szCs w:val="12"/>
              </w:rPr>
            </w:pPr>
            <w:r>
              <w:rPr>
                <w:sz w:val="12"/>
                <w:szCs w:val="12"/>
                <w:spacing w:val="2"/>
              </w:rPr>
              <w:t>好靓《丙硫多菌灵)</w:t>
            </w:r>
          </w:p>
        </w:tc>
        <w:tc>
          <w:tcPr>
            <w:tcW w:w="1799" w:type="dxa"/>
            <w:vAlign w:val="top"/>
            <w:tcBorders>
              <w:bottom w:val="single" w:color="000000" w:sz="2" w:space="0"/>
              <w:top w:val="single" w:color="000000" w:sz="2" w:space="0"/>
            </w:tcBorders>
          </w:tcPr>
          <w:p>
            <w:pPr>
              <w:pStyle w:val="TableText"/>
              <w:ind w:left="655"/>
              <w:spacing w:before="250" w:line="220" w:lineRule="auto"/>
              <w:rPr>
                <w:sz w:val="12"/>
                <w:szCs w:val="12"/>
              </w:rPr>
            </w:pPr>
            <w:r>
              <w:rPr>
                <w:sz w:val="12"/>
                <w:szCs w:val="12"/>
                <w:spacing w:val="-2"/>
              </w:rPr>
              <w:t>丙碗咪唑</w:t>
            </w:r>
          </w:p>
        </w:tc>
        <w:tc>
          <w:tcPr>
            <w:tcW w:w="1599" w:type="dxa"/>
            <w:vAlign w:val="top"/>
            <w:tcBorders>
              <w:bottom w:val="single" w:color="000000" w:sz="2" w:space="0"/>
              <w:top w:val="single" w:color="000000" w:sz="2" w:space="0"/>
            </w:tcBorders>
          </w:tcPr>
          <w:p>
            <w:pPr>
              <w:pStyle w:val="TableText"/>
              <w:ind w:left="256"/>
              <w:spacing w:before="250" w:line="219" w:lineRule="auto"/>
              <w:rPr>
                <w:sz w:val="12"/>
                <w:szCs w:val="12"/>
              </w:rPr>
            </w:pPr>
            <w:r>
              <w:rPr>
                <w:sz w:val="12"/>
                <w:szCs w:val="12"/>
                <w:spacing w:val="-1"/>
              </w:rPr>
              <w:t>20%好靓2000-3000倍</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48"/>
              <w:spacing w:before="247" w:line="213" w:lineRule="auto"/>
              <w:rPr>
                <w:sz w:val="12"/>
                <w:szCs w:val="12"/>
              </w:rPr>
            </w:pPr>
            <w:r>
              <w:rPr>
                <w:sz w:val="12"/>
                <w:szCs w:val="12"/>
                <w:spacing w:val="-1"/>
              </w:rPr>
              <w:t>50g/袋</w:t>
            </w:r>
          </w:p>
        </w:tc>
        <w:tc>
          <w:tcPr>
            <w:tcW w:w="2419" w:type="dxa"/>
            <w:vAlign w:val="top"/>
            <w:tcBorders>
              <w:bottom w:val="single" w:color="000000" w:sz="2" w:space="0"/>
              <w:top w:val="single" w:color="000000" w:sz="2" w:space="0"/>
            </w:tcBorders>
          </w:tcPr>
          <w:p>
            <w:pPr>
              <w:pStyle w:val="TableText"/>
              <w:ind w:left="18"/>
              <w:spacing w:before="131" w:line="206" w:lineRule="auto"/>
              <w:jc w:val="both"/>
              <w:rPr>
                <w:sz w:val="12"/>
                <w:szCs w:val="12"/>
              </w:rPr>
            </w:pPr>
            <w:r>
              <w:rPr>
                <w:sz w:val="12"/>
                <w:szCs w:val="12"/>
                <w:spacing w:val="-7"/>
              </w:rPr>
              <w:t>广谱内吸性杀菌剂。可用于防治枯萎病、疫病。</w:t>
            </w:r>
            <w:r>
              <w:rPr>
                <w:sz w:val="12"/>
                <w:szCs w:val="12"/>
                <w:spacing w:val="16"/>
              </w:rPr>
              <w:t xml:space="preserve"> </w:t>
            </w:r>
            <w:r>
              <w:rPr>
                <w:sz w:val="12"/>
                <w:szCs w:val="12"/>
                <w:spacing w:val="-9"/>
              </w:rPr>
              <w:t>腐霉病、立桔病、根腐病、茎腐病，弊倒病等多</w:t>
            </w:r>
            <w:r>
              <w:rPr>
                <w:sz w:val="12"/>
                <w:szCs w:val="12"/>
                <w:spacing w:val="4"/>
              </w:rPr>
              <w:t xml:space="preserve">  </w:t>
            </w:r>
            <w:r>
              <w:rPr>
                <w:sz w:val="12"/>
                <w:szCs w:val="12"/>
                <w:spacing w:val="-3"/>
              </w:rPr>
              <w:t>种病害。使用方法：灌根，唤雾</w:t>
            </w:r>
          </w:p>
        </w:tc>
      </w:tr>
      <w:tr>
        <w:trPr>
          <w:trHeight w:val="414" w:hRule="atLeast"/>
        </w:trPr>
        <w:tc>
          <w:tcPr>
            <w:tcW w:w="395"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4"/>
              <w:spacing w:before="39" w:line="218" w:lineRule="auto"/>
              <w:rPr>
                <w:sz w:val="12"/>
                <w:szCs w:val="12"/>
              </w:rPr>
            </w:pPr>
            <w:r>
              <w:rPr>
                <w:sz w:val="12"/>
                <w:szCs w:val="12"/>
                <w:spacing w:val="-2"/>
              </w:rPr>
              <w:t>杀虫剂</w:t>
            </w:r>
          </w:p>
        </w:tc>
        <w:tc>
          <w:tcPr>
            <w:tcW w:w="499" w:type="dxa"/>
            <w:vAlign w:val="top"/>
            <w:vMerge w:val="restart"/>
            <w:tcBorders>
              <w:bottom w:val="nil"/>
              <w:top w:val="single" w:color="000000" w:sz="2" w:space="0"/>
            </w:tcBorders>
          </w:tcPr>
          <w:p>
            <w:pPr>
              <w:spacing w:line="319" w:lineRule="auto"/>
              <w:rPr>
                <w:rFonts w:ascii="Arial"/>
                <w:sz w:val="21"/>
              </w:rPr>
            </w:pPr>
            <w:r/>
          </w:p>
          <w:p>
            <w:pPr>
              <w:pStyle w:val="TableText"/>
              <w:ind w:left="10"/>
              <w:spacing w:before="39" w:line="219" w:lineRule="auto"/>
              <w:rPr>
                <w:sz w:val="12"/>
                <w:szCs w:val="12"/>
              </w:rPr>
            </w:pPr>
            <w:r>
              <w:rPr>
                <w:sz w:val="12"/>
                <w:szCs w:val="12"/>
                <w:spacing w:val="-1"/>
              </w:rPr>
              <w:t>食叶害虫</w:t>
            </w:r>
          </w:p>
        </w:tc>
        <w:tc>
          <w:tcPr>
            <w:tcW w:w="1259" w:type="dxa"/>
            <w:vAlign w:val="top"/>
            <w:vMerge w:val="restart"/>
            <w:tcBorders>
              <w:bottom w:val="nil"/>
              <w:top w:val="single" w:color="000000" w:sz="2" w:space="0"/>
            </w:tcBorders>
          </w:tcPr>
          <w:p>
            <w:pPr>
              <w:pStyle w:val="TableText"/>
              <w:spacing w:before="230" w:line="199" w:lineRule="auto"/>
              <w:jc w:val="right"/>
              <w:rPr>
                <w:sz w:val="12"/>
                <w:szCs w:val="12"/>
              </w:rPr>
            </w:pPr>
            <w:r>
              <w:rPr>
                <w:sz w:val="12"/>
                <w:szCs w:val="12"/>
                <w:spacing w:val="-9"/>
              </w:rPr>
              <w:t>美国白</w:t>
            </w:r>
            <w:r>
              <w:rPr>
                <w:sz w:val="12"/>
                <w:szCs w:val="12"/>
                <w:spacing w:val="-8"/>
              </w:rPr>
              <w:t>缎、黄刺纸、夜</w:t>
            </w:r>
            <w:r>
              <w:rPr>
                <w:sz w:val="12"/>
                <w:szCs w:val="12"/>
                <w:spacing w:val="-5"/>
              </w:rPr>
              <w:t>鳜</w:t>
            </w:r>
          </w:p>
          <w:p>
            <w:pPr>
              <w:pStyle w:val="TableText"/>
              <w:spacing w:line="200" w:lineRule="auto"/>
              <w:jc w:val="right"/>
              <w:rPr>
                <w:sz w:val="12"/>
                <w:szCs w:val="12"/>
              </w:rPr>
            </w:pPr>
            <w:r>
              <w:rPr>
                <w:sz w:val="12"/>
                <w:szCs w:val="12"/>
                <w:spacing w:val="-8"/>
              </w:rPr>
              <w:t>、尺蠖、叶甲、浯叶蛾、</w:t>
            </w:r>
          </w:p>
          <w:p>
            <w:pPr>
              <w:pStyle w:val="TableText"/>
              <w:ind w:left="291"/>
              <w:spacing w:line="219" w:lineRule="auto"/>
              <w:rPr>
                <w:sz w:val="12"/>
                <w:szCs w:val="12"/>
              </w:rPr>
            </w:pPr>
            <w:r>
              <w:rPr>
                <w:sz w:val="12"/>
                <w:szCs w:val="12"/>
                <w:spacing w:val="-1"/>
              </w:rPr>
              <w:t>操峨、蝶峨等</w:t>
            </w:r>
          </w:p>
        </w:tc>
        <w:tc>
          <w:tcPr>
            <w:tcW w:w="3178" w:type="dxa"/>
            <w:vAlign w:val="top"/>
            <w:vMerge w:val="restart"/>
            <w:tcBorders>
              <w:bottom w:val="nil"/>
              <w:top w:val="single" w:color="000000" w:sz="2" w:space="0"/>
            </w:tcBorders>
          </w:tcPr>
          <w:p>
            <w:pPr>
              <w:pStyle w:val="TableText"/>
              <w:ind w:left="12" w:right="5"/>
              <w:spacing w:before="80" w:line="215" w:lineRule="auto"/>
              <w:rPr>
                <w:sz w:val="12"/>
                <w:szCs w:val="12"/>
              </w:rPr>
            </w:pPr>
            <w:r>
              <w:rPr>
                <w:sz w:val="12"/>
                <w:szCs w:val="12"/>
                <w:spacing w:val="-6"/>
              </w:rPr>
              <w:t>一、5月预防消杀为主。在进入雨季、高发季前全园区消杀虫卵</w:t>
            </w:r>
            <w:r>
              <w:rPr>
                <w:sz w:val="12"/>
                <w:szCs w:val="12"/>
                <w:spacing w:val="16"/>
                <w:w w:val="101"/>
              </w:rPr>
              <w:t xml:space="preserve"> </w:t>
            </w:r>
            <w:r>
              <w:rPr>
                <w:sz w:val="12"/>
                <w:szCs w:val="12"/>
              </w:rPr>
              <w:t>、解：</w:t>
            </w:r>
          </w:p>
          <w:p>
            <w:pPr>
              <w:pStyle w:val="TableText"/>
              <w:ind w:left="12" w:right="1"/>
              <w:spacing w:line="207" w:lineRule="auto"/>
              <w:rPr>
                <w:sz w:val="12"/>
                <w:szCs w:val="12"/>
              </w:rPr>
            </w:pPr>
            <w:r>
              <w:rPr>
                <w:sz w:val="12"/>
                <w:szCs w:val="12"/>
                <w:spacing w:val="-5"/>
              </w:rPr>
              <w:t>二、6月是大本分害虫成蛹或朝化期，采取人工</w:t>
            </w:r>
            <w:r>
              <w:rPr>
                <w:sz w:val="12"/>
                <w:szCs w:val="12"/>
                <w:spacing w:val="-6"/>
              </w:rPr>
              <w:t>加药物双重治疗</w:t>
            </w:r>
            <w:r>
              <w:rPr>
                <w:sz w:val="12"/>
                <w:szCs w:val="12"/>
              </w:rPr>
              <w:t xml:space="preserve"> </w:t>
            </w:r>
            <w:r>
              <w:rPr>
                <w:sz w:val="12"/>
                <w:szCs w:val="12"/>
                <w:spacing w:val="6"/>
              </w:rPr>
              <w:t>除卵，除蛹，除成虫；</w:t>
            </w:r>
          </w:p>
          <w:p>
            <w:pPr>
              <w:pStyle w:val="TableText"/>
              <w:spacing w:line="219" w:lineRule="auto"/>
              <w:jc w:val="right"/>
              <w:rPr>
                <w:sz w:val="12"/>
                <w:szCs w:val="12"/>
              </w:rPr>
            </w:pPr>
            <w:r>
              <w:rPr>
                <w:sz w:val="12"/>
                <w:szCs w:val="12"/>
                <w:spacing w:val="-7"/>
              </w:rPr>
              <w:t>三，7-10四个月为均有零星出现，有发现病情，及时喷药处理。</w:t>
            </w:r>
          </w:p>
        </w:tc>
        <w:tc>
          <w:tcPr>
            <w:tcW w:w="1189" w:type="dxa"/>
            <w:vAlign w:val="top"/>
            <w:tcBorders>
              <w:bottom w:val="single" w:color="000000" w:sz="2" w:space="0"/>
              <w:top w:val="single" w:color="000000" w:sz="2" w:space="0"/>
            </w:tcBorders>
          </w:tcPr>
          <w:p>
            <w:pPr>
              <w:pStyle w:val="TableText"/>
              <w:ind w:left="344"/>
              <w:spacing w:before="150" w:line="219" w:lineRule="auto"/>
              <w:rPr>
                <w:sz w:val="12"/>
                <w:szCs w:val="12"/>
              </w:rPr>
            </w:pPr>
            <w:r>
              <w:rPr>
                <w:sz w:val="12"/>
                <w:szCs w:val="12"/>
                <w:spacing w:val="1"/>
              </w:rPr>
              <w:t>国光毒枪</w:t>
            </w:r>
          </w:p>
        </w:tc>
        <w:tc>
          <w:tcPr>
            <w:tcW w:w="1799" w:type="dxa"/>
            <w:vAlign w:val="top"/>
            <w:tcBorders>
              <w:bottom w:val="single" w:color="000000" w:sz="2" w:space="0"/>
              <w:top w:val="single" w:color="000000" w:sz="2" w:space="0"/>
            </w:tcBorders>
          </w:tcPr>
          <w:p>
            <w:pPr>
              <w:pStyle w:val="TableText"/>
              <w:ind w:left="325"/>
              <w:spacing w:before="150" w:line="219" w:lineRule="auto"/>
              <w:rPr>
                <w:sz w:val="12"/>
                <w:szCs w:val="12"/>
              </w:rPr>
            </w:pPr>
            <w:r>
              <w:rPr>
                <w:sz w:val="12"/>
                <w:szCs w:val="12"/>
                <w:spacing w:val="-5"/>
              </w:rPr>
              <w:t>45%丙溴</w:t>
            </w:r>
            <w:r>
              <w:rPr>
                <w:sz w:val="12"/>
                <w:szCs w:val="12"/>
                <w:spacing w:val="-11"/>
              </w:rPr>
              <w:t xml:space="preserve"> </w:t>
            </w:r>
            <w:r>
              <w:rPr>
                <w:sz w:val="12"/>
                <w:szCs w:val="12"/>
                <w:spacing w:val="-5"/>
              </w:rPr>
              <w:t>·辛硫磷乳油</w:t>
            </w:r>
          </w:p>
        </w:tc>
        <w:tc>
          <w:tcPr>
            <w:tcW w:w="1599" w:type="dxa"/>
            <w:vAlign w:val="top"/>
            <w:tcBorders>
              <w:bottom w:val="single" w:color="000000" w:sz="2" w:space="0"/>
              <w:top w:val="single" w:color="000000" w:sz="2" w:space="0"/>
            </w:tcBorders>
          </w:tcPr>
          <w:p>
            <w:pPr>
              <w:pStyle w:val="TableText"/>
              <w:ind w:left="316"/>
              <w:spacing w:before="150" w:line="219" w:lineRule="auto"/>
              <w:rPr>
                <w:sz w:val="12"/>
                <w:szCs w:val="12"/>
              </w:rPr>
            </w:pPr>
            <w:r>
              <w:rPr>
                <w:sz w:val="12"/>
                <w:szCs w:val="12"/>
                <w:spacing w:val="-1"/>
              </w:rPr>
              <w:t>稀释2000-300倍液</w:t>
            </w:r>
          </w:p>
        </w:tc>
        <w:tc>
          <w:tcPr>
            <w:tcW w:w="979" w:type="dxa"/>
            <w:vAlign w:val="top"/>
            <w:vMerge w:val="restart"/>
            <w:tcBorders>
              <w:bottom w:val="nil"/>
              <w:top w:val="single" w:color="000000" w:sz="2" w:space="0"/>
            </w:tcBorders>
          </w:tcPr>
          <w:p>
            <w:pPr>
              <w:spacing w:line="249" w:lineRule="auto"/>
              <w:rPr>
                <w:rFonts w:ascii="Arial"/>
                <w:sz w:val="21"/>
              </w:rPr>
            </w:pPr>
            <w:r/>
          </w:p>
          <w:p>
            <w:pPr>
              <w:pStyle w:val="TableText"/>
              <w:ind w:left="36"/>
              <w:spacing w:before="39" w:line="201" w:lineRule="auto"/>
              <w:rPr>
                <w:sz w:val="12"/>
                <w:szCs w:val="12"/>
              </w:rPr>
            </w:pPr>
            <w:r>
              <w:rPr>
                <w:sz w:val="12"/>
                <w:szCs w:val="12"/>
                <w:spacing w:val="-1"/>
              </w:rPr>
              <w:t>一般用3次。时间</w:t>
            </w:r>
          </w:p>
          <w:p>
            <w:pPr>
              <w:pStyle w:val="TableText"/>
              <w:ind w:left="157"/>
              <w:spacing w:line="219" w:lineRule="auto"/>
              <w:rPr>
                <w:sz w:val="12"/>
                <w:szCs w:val="12"/>
              </w:rPr>
            </w:pPr>
            <w:r>
              <w:rPr>
                <w:sz w:val="12"/>
                <w:szCs w:val="12"/>
                <w:spacing w:val="-2"/>
              </w:rPr>
              <w:t>间隔7到10天</w:t>
            </w:r>
          </w:p>
        </w:tc>
        <w:tc>
          <w:tcPr>
            <w:tcW w:w="669" w:type="dxa"/>
            <w:vAlign w:val="top"/>
            <w:tcBorders>
              <w:bottom w:val="single" w:color="000000" w:sz="2" w:space="0"/>
              <w:top w:val="single" w:color="000000" w:sz="2" w:space="0"/>
            </w:tcBorders>
          </w:tcPr>
          <w:p>
            <w:pPr>
              <w:pStyle w:val="TableText"/>
              <w:ind w:left="237" w:right="96" w:hanging="69"/>
              <w:spacing w:before="82" w:line="247"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419" w:type="dxa"/>
            <w:vAlign w:val="top"/>
            <w:tcBorders>
              <w:bottom w:val="single" w:color="000000" w:sz="2" w:space="0"/>
              <w:top w:val="single" w:color="000000" w:sz="2" w:space="0"/>
            </w:tcBorders>
          </w:tcPr>
          <w:p>
            <w:pPr>
              <w:pStyle w:val="TableText"/>
              <w:ind w:left="18"/>
              <w:spacing w:before="150" w:line="219" w:lineRule="auto"/>
              <w:rPr>
                <w:sz w:val="12"/>
                <w:szCs w:val="12"/>
              </w:rPr>
            </w:pPr>
            <w:r>
              <w:rPr>
                <w:sz w:val="12"/>
                <w:szCs w:val="12"/>
                <w:spacing w:val="-1"/>
              </w:rPr>
              <w:t>高澎透性，杀卷叶虫、包叶虫、斑潜蝇等</w:t>
            </w:r>
          </w:p>
        </w:tc>
      </w:tr>
      <w:tr>
        <w:trPr>
          <w:trHeight w:val="41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single" w:color="000000" w:sz="2" w:space="0"/>
              <w:top w:val="nil"/>
            </w:tcBorders>
          </w:tcPr>
          <w:p>
            <w:pPr>
              <w:rPr>
                <w:rFonts w:ascii="Arial"/>
                <w:sz w:val="21"/>
              </w:rPr>
            </w:pPr>
            <w:r/>
          </w:p>
        </w:tc>
        <w:tc>
          <w:tcPr>
            <w:tcW w:w="1259" w:type="dxa"/>
            <w:vAlign w:val="top"/>
            <w:vMerge w:val="continue"/>
            <w:tcBorders>
              <w:bottom w:val="single" w:color="000000" w:sz="2" w:space="0"/>
              <w:top w:val="nil"/>
            </w:tcBorders>
          </w:tcPr>
          <w:p>
            <w:pPr>
              <w:rPr>
                <w:rFonts w:ascii="Arial"/>
                <w:sz w:val="21"/>
              </w:rPr>
            </w:pPr>
            <w:r/>
          </w:p>
        </w:tc>
        <w:tc>
          <w:tcPr>
            <w:tcW w:w="3178" w:type="dxa"/>
            <w:vAlign w:val="top"/>
            <w:vMerge w:val="continue"/>
            <w:tcBorders>
              <w:bottom w:val="single" w:color="000000" w:sz="2" w:space="0"/>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03"/>
              <w:spacing w:before="151" w:line="219" w:lineRule="auto"/>
              <w:rPr>
                <w:sz w:val="12"/>
                <w:szCs w:val="12"/>
              </w:rPr>
            </w:pPr>
            <w:r>
              <w:rPr>
                <w:sz w:val="12"/>
                <w:szCs w:val="12"/>
              </w:rPr>
              <w:t>国光毒箭、敌死可</w:t>
            </w:r>
          </w:p>
        </w:tc>
        <w:tc>
          <w:tcPr>
            <w:tcW w:w="1799" w:type="dxa"/>
            <w:vAlign w:val="top"/>
            <w:tcBorders>
              <w:bottom w:val="single" w:color="000000" w:sz="2" w:space="0"/>
              <w:top w:val="single" w:color="000000" w:sz="2" w:space="0"/>
            </w:tcBorders>
          </w:tcPr>
          <w:p>
            <w:pPr>
              <w:pStyle w:val="TableText"/>
              <w:ind w:left="444"/>
              <w:spacing w:before="151" w:line="219" w:lineRule="auto"/>
              <w:rPr>
                <w:sz w:val="12"/>
                <w:szCs w:val="12"/>
              </w:rPr>
            </w:pPr>
            <w:r>
              <w:rPr>
                <w:sz w:val="12"/>
                <w:szCs w:val="12"/>
                <w:spacing w:val="-1"/>
              </w:rPr>
              <w:t>20%气戊菊酷乳油</w:t>
            </w:r>
          </w:p>
        </w:tc>
        <w:tc>
          <w:tcPr>
            <w:tcW w:w="1599" w:type="dxa"/>
            <w:vAlign w:val="top"/>
            <w:tcBorders>
              <w:bottom w:val="single" w:color="000000" w:sz="2" w:space="0"/>
              <w:top w:val="single" w:color="000000" w:sz="2" w:space="0"/>
            </w:tcBorders>
          </w:tcPr>
          <w:p>
            <w:pPr>
              <w:pStyle w:val="TableText"/>
              <w:ind w:left="286"/>
              <w:spacing w:before="151" w:line="219" w:lineRule="auto"/>
              <w:rPr>
                <w:sz w:val="12"/>
                <w:szCs w:val="12"/>
              </w:rPr>
            </w:pPr>
            <w:r>
              <w:rPr>
                <w:sz w:val="12"/>
                <w:szCs w:val="12"/>
                <w:spacing w:val="-1"/>
              </w:rPr>
              <w:t>稀释2000-3000倍液</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237" w:right="146" w:hanging="119"/>
              <w:spacing w:before="93" w:line="217"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419" w:type="dxa"/>
            <w:vAlign w:val="top"/>
            <w:tcBorders>
              <w:bottom w:val="single" w:color="000000" w:sz="2" w:space="0"/>
              <w:top w:val="single" w:color="000000" w:sz="2" w:space="0"/>
            </w:tcBorders>
          </w:tcPr>
          <w:p>
            <w:pPr>
              <w:pStyle w:val="TableText"/>
              <w:ind w:left="18"/>
              <w:spacing w:before="151" w:line="218" w:lineRule="auto"/>
              <w:rPr>
                <w:sz w:val="12"/>
                <w:szCs w:val="12"/>
              </w:rPr>
            </w:pPr>
            <w:r>
              <w:rPr>
                <w:sz w:val="12"/>
                <w:szCs w:val="12"/>
                <w:spacing w:val="-1"/>
              </w:rPr>
              <w:t>高效广谱、长效杀虫剂，杀食叶性害虫特效</w:t>
            </w:r>
          </w:p>
        </w:tc>
      </w:tr>
      <w:tr>
        <w:trPr>
          <w:trHeight w:val="334" w:hRule="atLeast"/>
        </w:trPr>
        <w:tc>
          <w:tcPr>
            <w:tcW w:w="395" w:type="dxa"/>
            <w:vAlign w:val="top"/>
            <w:vMerge w:val="continue"/>
            <w:tcBorders>
              <w:bottom w:val="nil"/>
              <w:top w:val="nil"/>
            </w:tcBorders>
          </w:tcPr>
          <w:p>
            <w:pPr>
              <w:rPr>
                <w:rFonts w:ascii="Arial"/>
                <w:sz w:val="21"/>
              </w:rPr>
            </w:pPr>
            <w:r/>
          </w:p>
        </w:tc>
        <w:tc>
          <w:tcPr>
            <w:tcW w:w="499" w:type="dxa"/>
            <w:vAlign w:val="top"/>
            <w:vMerge w:val="restart"/>
            <w:tcBorders>
              <w:bottom w:val="nil"/>
              <w:top w:val="single" w:color="000000" w:sz="2" w:space="0"/>
            </w:tcBorders>
          </w:tcPr>
          <w:p>
            <w:pPr>
              <w:spacing w:line="251" w:lineRule="auto"/>
              <w:rPr>
                <w:rFonts w:ascii="Arial"/>
                <w:sz w:val="21"/>
              </w:rPr>
            </w:pPr>
            <w:r/>
          </w:p>
          <w:p>
            <w:pPr>
              <w:pStyle w:val="TableText"/>
              <w:ind w:left="10"/>
              <w:spacing w:before="39" w:line="219" w:lineRule="auto"/>
              <w:rPr>
                <w:sz w:val="12"/>
                <w:szCs w:val="12"/>
              </w:rPr>
            </w:pPr>
            <w:r>
              <w:rPr>
                <w:sz w:val="12"/>
                <w:szCs w:val="12"/>
                <w:spacing w:val="-1"/>
              </w:rPr>
              <w:t>刺吸害虫</w:t>
            </w:r>
          </w:p>
        </w:tc>
        <w:tc>
          <w:tcPr>
            <w:tcW w:w="1259" w:type="dxa"/>
            <w:vAlign w:val="top"/>
            <w:vMerge w:val="restart"/>
            <w:tcBorders>
              <w:bottom w:val="nil"/>
              <w:top w:val="single" w:color="000000" w:sz="2" w:space="0"/>
            </w:tcBorders>
          </w:tcPr>
          <w:p>
            <w:pPr>
              <w:pStyle w:val="TableText"/>
              <w:ind w:left="200" w:right="1" w:hanging="190"/>
              <w:spacing w:before="232" w:line="209" w:lineRule="auto"/>
              <w:rPr>
                <w:sz w:val="12"/>
                <w:szCs w:val="12"/>
              </w:rPr>
            </w:pPr>
            <w:r>
              <w:rPr>
                <w:sz w:val="12"/>
                <w:szCs w:val="12"/>
                <w:spacing w:val="-8"/>
              </w:rPr>
              <w:t>球坚蚧、脂蚧、粉龄、吹</w:t>
            </w:r>
            <w:r>
              <w:rPr>
                <w:sz w:val="12"/>
                <w:szCs w:val="12"/>
                <w:spacing w:val="3"/>
              </w:rPr>
              <w:t xml:space="preserve"> </w:t>
            </w:r>
            <w:r>
              <w:rPr>
                <w:sz w:val="12"/>
                <w:szCs w:val="12"/>
                <w:spacing w:val="-1"/>
              </w:rPr>
              <w:t>棉龄、白绩蚧等</w:t>
            </w:r>
          </w:p>
        </w:tc>
        <w:tc>
          <w:tcPr>
            <w:tcW w:w="3178" w:type="dxa"/>
            <w:vAlign w:val="top"/>
            <w:vMerge w:val="restart"/>
            <w:tcBorders>
              <w:bottom w:val="nil"/>
              <w:top w:val="single" w:color="000000" w:sz="2" w:space="0"/>
            </w:tcBorders>
          </w:tcPr>
          <w:p>
            <w:pPr>
              <w:pStyle w:val="TableText"/>
              <w:ind w:left="12"/>
              <w:spacing w:before="231" w:line="200" w:lineRule="auto"/>
              <w:rPr>
                <w:sz w:val="12"/>
                <w:szCs w:val="12"/>
              </w:rPr>
            </w:pPr>
            <w:r>
              <w:rPr>
                <w:sz w:val="12"/>
                <w:szCs w:val="12"/>
              </w:rPr>
              <w:t>一、4月已经有成虫出现，配合春季消杀，预防为主：</w:t>
            </w:r>
          </w:p>
          <w:p>
            <w:pPr>
              <w:pStyle w:val="TableText"/>
              <w:ind w:left="12"/>
              <w:spacing w:line="219" w:lineRule="auto"/>
              <w:rPr>
                <w:sz w:val="12"/>
                <w:szCs w:val="12"/>
              </w:rPr>
            </w:pPr>
            <w:r>
              <w:rPr>
                <w:sz w:val="12"/>
                <w:szCs w:val="12"/>
              </w:rPr>
              <w:t>二、5-10月为均有零星出现，有发现病情，及时唤药处</w:t>
            </w:r>
            <w:r>
              <w:rPr>
                <w:sz w:val="12"/>
                <w:szCs w:val="12"/>
                <w:spacing w:val="-1"/>
              </w:rPr>
              <w:t>理。</w:t>
            </w:r>
          </w:p>
        </w:tc>
        <w:tc>
          <w:tcPr>
            <w:tcW w:w="1189" w:type="dxa"/>
            <w:vAlign w:val="top"/>
            <w:tcBorders>
              <w:bottom w:val="single" w:color="000000" w:sz="2" w:space="0"/>
              <w:top w:val="single" w:color="000000" w:sz="2" w:space="0"/>
            </w:tcBorders>
          </w:tcPr>
          <w:p>
            <w:pPr>
              <w:pStyle w:val="TableText"/>
              <w:ind w:left="284"/>
              <w:spacing w:before="112" w:line="219" w:lineRule="auto"/>
              <w:rPr>
                <w:sz w:val="12"/>
                <w:szCs w:val="12"/>
              </w:rPr>
            </w:pPr>
            <w:r>
              <w:rPr>
                <w:sz w:val="12"/>
                <w:szCs w:val="12"/>
                <w:spacing w:val="2"/>
              </w:rPr>
              <w:t>国光龄必泊</w:t>
            </w:r>
          </w:p>
        </w:tc>
        <w:tc>
          <w:tcPr>
            <w:tcW w:w="1799" w:type="dxa"/>
            <w:vAlign w:val="top"/>
            <w:tcBorders>
              <w:bottom w:val="single" w:color="000000" w:sz="2" w:space="0"/>
              <w:top w:val="single" w:color="000000" w:sz="2" w:space="0"/>
            </w:tcBorders>
          </w:tcPr>
          <w:p>
            <w:pPr>
              <w:pStyle w:val="TableText"/>
              <w:ind w:left="295"/>
              <w:spacing w:before="112" w:line="219" w:lineRule="auto"/>
              <w:rPr>
                <w:sz w:val="12"/>
                <w:szCs w:val="12"/>
              </w:rPr>
            </w:pPr>
            <w:r>
              <w:rPr>
                <w:sz w:val="12"/>
                <w:szCs w:val="12"/>
                <w:spacing w:val="-5"/>
              </w:rPr>
              <w:t>0%险虫眯</w:t>
            </w:r>
            <w:r>
              <w:rPr>
                <w:sz w:val="12"/>
                <w:szCs w:val="12"/>
                <w:spacing w:val="-12"/>
              </w:rPr>
              <w:t xml:space="preserve"> </w:t>
            </w:r>
            <w:r>
              <w:rPr>
                <w:sz w:val="12"/>
                <w:szCs w:val="12"/>
                <w:spacing w:val="-5"/>
              </w:rPr>
              <w:t>·毒死牌乳油</w:t>
            </w:r>
          </w:p>
        </w:tc>
        <w:tc>
          <w:tcPr>
            <w:tcW w:w="1599" w:type="dxa"/>
            <w:vAlign w:val="top"/>
            <w:tcBorders>
              <w:bottom w:val="single" w:color="000000" w:sz="2" w:space="0"/>
              <w:top w:val="single" w:color="000000" w:sz="2" w:space="0"/>
            </w:tcBorders>
          </w:tcPr>
          <w:p>
            <w:pPr>
              <w:pStyle w:val="TableText"/>
              <w:ind w:left="286"/>
              <w:spacing w:before="112" w:line="219" w:lineRule="auto"/>
              <w:rPr>
                <w:sz w:val="12"/>
                <w:szCs w:val="12"/>
              </w:rPr>
            </w:pPr>
            <w:r>
              <w:rPr>
                <w:sz w:val="12"/>
                <w:szCs w:val="12"/>
                <w:spacing w:val="-1"/>
              </w:rPr>
              <w:t>稀释2000-3000倍液</w:t>
            </w:r>
          </w:p>
        </w:tc>
        <w:tc>
          <w:tcPr>
            <w:tcW w:w="979" w:type="dxa"/>
            <w:vAlign w:val="top"/>
            <w:vMerge w:val="restart"/>
            <w:tcBorders>
              <w:bottom w:val="nil"/>
              <w:top w:val="single" w:color="000000" w:sz="2" w:space="0"/>
            </w:tcBorders>
          </w:tcPr>
          <w:p>
            <w:pPr>
              <w:pStyle w:val="TableText"/>
              <w:ind w:left="96"/>
              <w:spacing w:before="82" w:line="215" w:lineRule="auto"/>
              <w:rPr>
                <w:sz w:val="12"/>
                <w:szCs w:val="12"/>
              </w:rPr>
            </w:pPr>
            <w:r>
              <w:rPr>
                <w:sz w:val="12"/>
                <w:szCs w:val="12"/>
                <w:spacing w:val="-1"/>
              </w:rPr>
              <w:t>一般年月用1-2</w:t>
            </w:r>
          </w:p>
          <w:p>
            <w:pPr>
              <w:pStyle w:val="TableText"/>
              <w:ind w:left="16" w:right="5" w:firstLine="19"/>
              <w:spacing w:before="1" w:line="222" w:lineRule="auto"/>
              <w:rPr>
                <w:sz w:val="12"/>
                <w:szCs w:val="12"/>
              </w:rPr>
            </w:pPr>
            <w:r>
              <w:rPr>
                <w:sz w:val="12"/>
                <w:szCs w:val="12"/>
                <w:spacing w:val="-1"/>
              </w:rPr>
              <w:t>次。时间间隔7到</w:t>
            </w:r>
            <w:r>
              <w:rPr>
                <w:sz w:val="12"/>
                <w:szCs w:val="12"/>
              </w:rPr>
              <w:t xml:space="preserve"> </w:t>
            </w:r>
            <w:r>
              <w:rPr>
                <w:sz w:val="12"/>
                <w:szCs w:val="12"/>
                <w:spacing w:val="-2"/>
              </w:rPr>
              <w:t>10天，视现场情况</w:t>
            </w:r>
          </w:p>
          <w:p>
            <w:pPr>
              <w:pStyle w:val="TableText"/>
              <w:ind w:left="187"/>
              <w:spacing w:line="219" w:lineRule="auto"/>
              <w:rPr>
                <w:sz w:val="12"/>
                <w:szCs w:val="12"/>
              </w:rPr>
            </w:pPr>
            <w:r>
              <w:rPr>
                <w:sz w:val="12"/>
                <w:szCs w:val="12"/>
                <w:spacing w:val="-1"/>
              </w:rPr>
              <w:t>可增加次数</w:t>
            </w:r>
          </w:p>
        </w:tc>
        <w:tc>
          <w:tcPr>
            <w:tcW w:w="669" w:type="dxa"/>
            <w:vAlign w:val="top"/>
            <w:tcBorders>
              <w:bottom w:val="single" w:color="000000" w:sz="2" w:space="0"/>
              <w:top w:val="single" w:color="000000" w:sz="2" w:space="0"/>
            </w:tcBorders>
          </w:tcPr>
          <w:p>
            <w:pPr>
              <w:pStyle w:val="TableText"/>
              <w:ind w:left="58"/>
              <w:spacing w:before="108" w:line="213" w:lineRule="auto"/>
              <w:rPr>
                <w:sz w:val="12"/>
                <w:szCs w:val="12"/>
              </w:rPr>
            </w:pPr>
            <w:r>
              <w:rPr>
                <w:sz w:val="12"/>
                <w:szCs w:val="12"/>
                <w:spacing w:val="3"/>
              </w:rPr>
              <w:t>(200g/瓶)</w:t>
            </w:r>
          </w:p>
        </w:tc>
        <w:tc>
          <w:tcPr>
            <w:tcW w:w="2419" w:type="dxa"/>
            <w:vAlign w:val="top"/>
            <w:tcBorders>
              <w:bottom w:val="single" w:color="000000" w:sz="2" w:space="0"/>
              <w:top w:val="single" w:color="000000" w:sz="2" w:space="0"/>
            </w:tcBorders>
          </w:tcPr>
          <w:p>
            <w:pPr>
              <w:pStyle w:val="TableText"/>
              <w:ind w:left="18"/>
              <w:spacing w:before="111" w:line="218" w:lineRule="auto"/>
              <w:rPr>
                <w:sz w:val="12"/>
                <w:szCs w:val="12"/>
              </w:rPr>
            </w:pPr>
            <w:r>
              <w:rPr>
                <w:sz w:val="12"/>
                <w:szCs w:val="12"/>
                <w:spacing w:val="-1"/>
              </w:rPr>
              <w:t>专桑介壳虫，木烈、含叶类害虫，地下害虫</w:t>
            </w:r>
          </w:p>
        </w:tc>
      </w:tr>
      <w:tr>
        <w:trPr>
          <w:trHeight w:val="36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single" w:color="000000" w:sz="2" w:space="0"/>
              <w:top w:val="nil"/>
            </w:tcBorders>
          </w:tcPr>
          <w:p>
            <w:pPr>
              <w:rPr>
                <w:rFonts w:ascii="Arial"/>
                <w:sz w:val="21"/>
              </w:rPr>
            </w:pPr>
            <w:r/>
          </w:p>
        </w:tc>
        <w:tc>
          <w:tcPr>
            <w:tcW w:w="1259" w:type="dxa"/>
            <w:vAlign w:val="top"/>
            <w:vMerge w:val="continue"/>
            <w:tcBorders>
              <w:bottom w:val="single" w:color="000000" w:sz="2" w:space="0"/>
              <w:top w:val="nil"/>
            </w:tcBorders>
          </w:tcPr>
          <w:p>
            <w:pPr>
              <w:rPr>
                <w:rFonts w:ascii="Arial"/>
                <w:sz w:val="21"/>
              </w:rPr>
            </w:pPr>
            <w:r/>
          </w:p>
        </w:tc>
        <w:tc>
          <w:tcPr>
            <w:tcW w:w="3178" w:type="dxa"/>
            <w:vAlign w:val="top"/>
            <w:vMerge w:val="continue"/>
            <w:tcBorders>
              <w:bottom w:val="single" w:color="000000" w:sz="2" w:space="0"/>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284"/>
              <w:spacing w:before="123" w:line="220" w:lineRule="auto"/>
              <w:rPr>
                <w:sz w:val="12"/>
                <w:szCs w:val="12"/>
              </w:rPr>
            </w:pPr>
            <w:r>
              <w:rPr>
                <w:sz w:val="12"/>
                <w:szCs w:val="12"/>
                <w:spacing w:val="1"/>
              </w:rPr>
              <w:t>中威捕捉手</w:t>
            </w:r>
          </w:p>
        </w:tc>
        <w:tc>
          <w:tcPr>
            <w:tcW w:w="1799" w:type="dxa"/>
            <w:vAlign w:val="top"/>
            <w:tcBorders>
              <w:bottom w:val="single" w:color="000000" w:sz="2" w:space="0"/>
              <w:top w:val="single" w:color="000000" w:sz="2" w:space="0"/>
            </w:tcBorders>
          </w:tcPr>
          <w:p>
            <w:pPr>
              <w:pStyle w:val="TableText"/>
              <w:ind w:left="444"/>
              <w:spacing w:before="122" w:line="219" w:lineRule="auto"/>
              <w:rPr>
                <w:sz w:val="12"/>
                <w:szCs w:val="12"/>
              </w:rPr>
            </w:pPr>
            <w:r>
              <w:rPr>
                <w:sz w:val="12"/>
                <w:szCs w:val="12"/>
                <w:spacing w:val="-6"/>
              </w:rPr>
              <w:t>高氯</w:t>
            </w:r>
            <w:r>
              <w:rPr>
                <w:sz w:val="12"/>
                <w:szCs w:val="12"/>
                <w:spacing w:val="-15"/>
              </w:rPr>
              <w:t xml:space="preserve"> </w:t>
            </w:r>
            <w:r>
              <w:rPr>
                <w:sz w:val="12"/>
                <w:szCs w:val="12"/>
                <w:spacing w:val="-6"/>
              </w:rPr>
              <w:t>·毒死婢15%</w:t>
            </w:r>
          </w:p>
        </w:tc>
        <w:tc>
          <w:tcPr>
            <w:tcW w:w="1599" w:type="dxa"/>
            <w:vAlign w:val="top"/>
            <w:tcBorders>
              <w:bottom w:val="single" w:color="000000" w:sz="2" w:space="0"/>
              <w:top w:val="single" w:color="000000" w:sz="2" w:space="0"/>
            </w:tcBorders>
          </w:tcPr>
          <w:p>
            <w:pPr>
              <w:pStyle w:val="TableText"/>
              <w:ind w:left="406"/>
              <w:spacing w:before="123" w:line="220" w:lineRule="auto"/>
              <w:rPr>
                <w:sz w:val="12"/>
                <w:szCs w:val="12"/>
              </w:rPr>
            </w:pPr>
            <w:r>
              <w:rPr>
                <w:sz w:val="12"/>
                <w:szCs w:val="12"/>
                <w:spacing w:val="-2"/>
              </w:rPr>
              <w:t>1000-1500倍液</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237" w:right="146" w:hanging="119"/>
              <w:spacing w:before="54" w:line="230"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419" w:type="dxa"/>
            <w:vAlign w:val="top"/>
            <w:tcBorders>
              <w:bottom w:val="single" w:color="000000" w:sz="2" w:space="0"/>
              <w:top w:val="single" w:color="000000" w:sz="2" w:space="0"/>
            </w:tcBorders>
          </w:tcPr>
          <w:p>
            <w:pPr>
              <w:pStyle w:val="TableText"/>
              <w:ind w:left="18"/>
              <w:spacing w:before="62" w:line="217" w:lineRule="auto"/>
              <w:rPr>
                <w:sz w:val="12"/>
                <w:szCs w:val="12"/>
              </w:rPr>
            </w:pPr>
            <w:r>
              <w:rPr>
                <w:sz w:val="12"/>
                <w:szCs w:val="12"/>
                <w:spacing w:val="-7"/>
              </w:rPr>
              <w:t>主要防泊蚧壳虫、木甄、蓟马、斑潜蝇及鳞通日</w:t>
            </w:r>
            <w:r>
              <w:rPr>
                <w:sz w:val="12"/>
                <w:szCs w:val="12"/>
                <w:spacing w:val="16"/>
              </w:rPr>
              <w:t xml:space="preserve"> </w:t>
            </w:r>
            <w:r>
              <w:rPr>
                <w:sz w:val="12"/>
                <w:szCs w:val="12"/>
                <w:spacing w:val="-2"/>
              </w:rPr>
              <w:t>幼虫、飞乱等</w:t>
            </w:r>
          </w:p>
        </w:tc>
      </w:tr>
      <w:tr>
        <w:trPr>
          <w:trHeight w:val="384" w:hRule="atLeast"/>
        </w:trPr>
        <w:tc>
          <w:tcPr>
            <w:tcW w:w="395" w:type="dxa"/>
            <w:vAlign w:val="top"/>
            <w:vMerge w:val="continue"/>
            <w:tcBorders>
              <w:bottom w:val="nil"/>
              <w:top w:val="nil"/>
            </w:tcBorders>
          </w:tcPr>
          <w:p>
            <w:pPr>
              <w:rPr>
                <w:rFonts w:ascii="Arial"/>
                <w:sz w:val="21"/>
              </w:rPr>
            </w:pPr>
            <w:r/>
          </w:p>
        </w:tc>
        <w:tc>
          <w:tcPr>
            <w:tcW w:w="499" w:type="dxa"/>
            <w:vAlign w:val="top"/>
            <w:vMerge w:val="restart"/>
            <w:tcBorders>
              <w:bottom w:val="nil"/>
              <w:top w:val="single" w:color="000000" w:sz="2" w:space="0"/>
            </w:tcBorders>
          </w:tcPr>
          <w:p>
            <w:pPr>
              <w:spacing w:line="302" w:lineRule="auto"/>
              <w:rPr>
                <w:rFonts w:ascii="Arial"/>
                <w:sz w:val="21"/>
              </w:rPr>
            </w:pPr>
            <w:r/>
          </w:p>
          <w:p>
            <w:pPr>
              <w:pStyle w:val="TableText"/>
              <w:ind w:left="10"/>
              <w:spacing w:before="39" w:line="219" w:lineRule="auto"/>
              <w:rPr>
                <w:sz w:val="12"/>
                <w:szCs w:val="12"/>
              </w:rPr>
            </w:pPr>
            <w:r>
              <w:rPr>
                <w:sz w:val="12"/>
                <w:szCs w:val="12"/>
                <w:spacing w:val="-1"/>
              </w:rPr>
              <w:t>刺吸害虫</w:t>
            </w:r>
          </w:p>
        </w:tc>
        <w:tc>
          <w:tcPr>
            <w:tcW w:w="1259" w:type="dxa"/>
            <w:vAlign w:val="top"/>
            <w:vMerge w:val="restart"/>
            <w:tcBorders>
              <w:bottom w:val="nil"/>
              <w:top w:val="single" w:color="000000" w:sz="2" w:space="0"/>
            </w:tcBorders>
          </w:tcPr>
          <w:p>
            <w:pPr>
              <w:spacing w:line="243" w:lineRule="auto"/>
              <w:rPr>
                <w:rFonts w:ascii="Arial"/>
                <w:sz w:val="21"/>
              </w:rPr>
            </w:pPr>
            <w:r/>
          </w:p>
          <w:p>
            <w:pPr>
              <w:pStyle w:val="TableText"/>
              <w:ind w:left="500" w:right="2" w:hanging="490"/>
              <w:spacing w:before="39" w:line="209" w:lineRule="auto"/>
              <w:rPr>
                <w:sz w:val="12"/>
                <w:szCs w:val="12"/>
              </w:rPr>
            </w:pPr>
            <w:r>
              <w:rPr>
                <w:sz w:val="12"/>
                <w:szCs w:val="12"/>
                <w:spacing w:val="-8"/>
              </w:rPr>
              <w:t>蚜虫、红峡蛛、蓟马、叶</w:t>
            </w:r>
            <w:r>
              <w:rPr>
                <w:sz w:val="12"/>
                <w:szCs w:val="12"/>
                <w:spacing w:val="2"/>
              </w:rPr>
              <w:t xml:space="preserve"> </w:t>
            </w:r>
            <w:r>
              <w:rPr>
                <w:sz w:val="12"/>
                <w:szCs w:val="12"/>
                <w:spacing w:val="-2"/>
              </w:rPr>
              <w:t>蜂等</w:t>
            </w:r>
          </w:p>
        </w:tc>
        <w:tc>
          <w:tcPr>
            <w:tcW w:w="3178" w:type="dxa"/>
            <w:vAlign w:val="top"/>
            <w:vMerge w:val="restart"/>
            <w:tcBorders>
              <w:bottom w:val="nil"/>
              <w:top w:val="single" w:color="000000" w:sz="2" w:space="0"/>
            </w:tcBorders>
          </w:tcPr>
          <w:p>
            <w:pPr>
              <w:spacing w:line="265" w:lineRule="auto"/>
              <w:rPr>
                <w:rFonts w:ascii="Arial"/>
                <w:sz w:val="21"/>
              </w:rPr>
            </w:pPr>
            <w:r/>
          </w:p>
          <w:p>
            <w:pPr>
              <w:spacing w:line="265" w:lineRule="auto"/>
              <w:rPr>
                <w:rFonts w:ascii="Arial"/>
                <w:sz w:val="21"/>
              </w:rPr>
            </w:pPr>
            <w:r/>
          </w:p>
          <w:p>
            <w:pPr>
              <w:pStyle w:val="TableText"/>
              <w:ind w:left="12" w:right="5"/>
              <w:spacing w:before="39" w:line="215" w:lineRule="auto"/>
              <w:rPr>
                <w:sz w:val="12"/>
                <w:szCs w:val="12"/>
              </w:rPr>
            </w:pPr>
            <w:r>
              <w:rPr>
                <w:sz w:val="12"/>
                <w:szCs w:val="12"/>
                <w:spacing w:val="-6"/>
              </w:rPr>
              <w:t>一、5月预防消杀为主，在进入雨季、高发季前全园区酒杀虫卵</w:t>
            </w:r>
            <w:r>
              <w:rPr>
                <w:sz w:val="12"/>
                <w:szCs w:val="12"/>
                <w:spacing w:val="16"/>
                <w:w w:val="101"/>
              </w:rPr>
              <w:t xml:space="preserve"> </w:t>
            </w:r>
            <w:r>
              <w:rPr>
                <w:sz w:val="12"/>
                <w:szCs w:val="12"/>
                <w:spacing w:val="-4"/>
              </w:rPr>
              <w:t>.</w:t>
            </w:r>
            <w:r>
              <w:rPr>
                <w:sz w:val="12"/>
                <w:szCs w:val="12"/>
                <w:spacing w:val="2"/>
              </w:rPr>
              <w:t xml:space="preserve"> </w:t>
            </w:r>
            <w:r>
              <w:rPr>
                <w:sz w:val="12"/>
                <w:szCs w:val="12"/>
                <w:spacing w:val="-4"/>
              </w:rPr>
              <w:t>通 ：</w:t>
            </w:r>
          </w:p>
          <w:p>
            <w:pPr>
              <w:pStyle w:val="TableText"/>
              <w:ind w:left="12"/>
              <w:spacing w:line="217" w:lineRule="auto"/>
              <w:rPr>
                <w:sz w:val="12"/>
                <w:szCs w:val="12"/>
              </w:rPr>
            </w:pPr>
            <w:r>
              <w:rPr>
                <w:sz w:val="12"/>
                <w:szCs w:val="12"/>
                <w:spacing w:val="-7"/>
              </w:rPr>
              <w:t>二、6月-10月是大部分害虫成蛹或羽化期，采取人工加药物双重</w:t>
            </w:r>
            <w:r>
              <w:rPr>
                <w:sz w:val="12"/>
                <w:szCs w:val="12"/>
                <w:spacing w:val="4"/>
              </w:rPr>
              <w:t xml:space="preserve"> </w:t>
            </w:r>
            <w:r>
              <w:rPr>
                <w:sz w:val="12"/>
                <w:szCs w:val="12"/>
              </w:rPr>
              <w:t>治疗除卵，除蛹，除成虫。</w:t>
            </w:r>
          </w:p>
        </w:tc>
        <w:tc>
          <w:tcPr>
            <w:tcW w:w="1189" w:type="dxa"/>
            <w:vAlign w:val="top"/>
            <w:tcBorders>
              <w:bottom w:val="single" w:color="000000" w:sz="2" w:space="0"/>
              <w:top w:val="single" w:color="000000" w:sz="2" w:space="0"/>
            </w:tcBorders>
          </w:tcPr>
          <w:p>
            <w:pPr>
              <w:pStyle w:val="TableText"/>
              <w:ind w:left="344"/>
              <w:spacing w:before="133" w:line="219" w:lineRule="auto"/>
              <w:rPr>
                <w:sz w:val="12"/>
                <w:szCs w:val="12"/>
              </w:rPr>
            </w:pPr>
            <w:r>
              <w:rPr>
                <w:sz w:val="12"/>
                <w:szCs w:val="12"/>
                <w:spacing w:val="1"/>
              </w:rPr>
              <w:t>国光厢克</w:t>
            </w:r>
          </w:p>
        </w:tc>
        <w:tc>
          <w:tcPr>
            <w:tcW w:w="1799" w:type="dxa"/>
            <w:vAlign w:val="top"/>
            <w:tcBorders>
              <w:bottom w:val="single" w:color="000000" w:sz="2" w:space="0"/>
              <w:top w:val="single" w:color="000000" w:sz="2" w:space="0"/>
            </w:tcBorders>
          </w:tcPr>
          <w:p>
            <w:pPr>
              <w:pStyle w:val="TableText"/>
              <w:ind w:left="625"/>
              <w:spacing w:before="133" w:line="221" w:lineRule="auto"/>
              <w:rPr>
                <w:sz w:val="12"/>
                <w:szCs w:val="12"/>
              </w:rPr>
            </w:pPr>
            <w:r>
              <w:rPr>
                <w:sz w:val="12"/>
                <w:szCs w:val="12"/>
                <w:spacing w:val="1"/>
              </w:rPr>
              <w:t>10%毗虫哪</w:t>
            </w:r>
          </w:p>
        </w:tc>
        <w:tc>
          <w:tcPr>
            <w:tcW w:w="1599" w:type="dxa"/>
            <w:vAlign w:val="top"/>
            <w:tcBorders>
              <w:bottom w:val="single" w:color="000000" w:sz="2" w:space="0"/>
              <w:top w:val="single" w:color="000000" w:sz="2" w:space="0"/>
            </w:tcBorders>
          </w:tcPr>
          <w:p>
            <w:pPr>
              <w:pStyle w:val="TableText"/>
              <w:ind w:left="286"/>
              <w:spacing w:before="133" w:line="219" w:lineRule="auto"/>
              <w:rPr>
                <w:sz w:val="12"/>
                <w:szCs w:val="12"/>
              </w:rPr>
            </w:pPr>
            <w:r>
              <w:rPr>
                <w:sz w:val="12"/>
                <w:szCs w:val="12"/>
                <w:spacing w:val="-1"/>
              </w:rPr>
              <w:t>稀释1000-1500倍液</w:t>
            </w:r>
          </w:p>
        </w:tc>
        <w:tc>
          <w:tcPr>
            <w:tcW w:w="979" w:type="dxa"/>
            <w:vAlign w:val="top"/>
            <w:vMerge w:val="restart"/>
            <w:tcBorders>
              <w:bottom w:val="nil"/>
              <w:top w:val="single" w:color="000000" w:sz="2" w:space="0"/>
            </w:tcBorders>
          </w:tcPr>
          <w:p>
            <w:pPr>
              <w:pStyle w:val="TableText"/>
              <w:spacing w:before="153" w:line="216" w:lineRule="auto"/>
              <w:jc w:val="right"/>
              <w:rPr>
                <w:sz w:val="12"/>
                <w:szCs w:val="12"/>
              </w:rPr>
            </w:pPr>
            <w:r>
              <w:rPr>
                <w:sz w:val="12"/>
                <w:szCs w:val="12"/>
              </w:rPr>
              <w:t>一般每月1-2次，</w:t>
            </w:r>
          </w:p>
          <w:p>
            <w:pPr>
              <w:pStyle w:val="TableText"/>
              <w:ind w:left="96"/>
              <w:spacing w:line="199" w:lineRule="auto"/>
              <w:rPr>
                <w:sz w:val="12"/>
                <w:szCs w:val="12"/>
              </w:rPr>
            </w:pPr>
            <w:r>
              <w:rPr>
                <w:sz w:val="12"/>
                <w:szCs w:val="12"/>
                <w:spacing w:val="-2"/>
              </w:rPr>
              <w:t>时间间隔T到10</w:t>
            </w:r>
          </w:p>
          <w:p>
            <w:pPr>
              <w:pStyle w:val="TableText"/>
              <w:spacing w:line="198" w:lineRule="auto"/>
              <w:jc w:val="right"/>
              <w:rPr>
                <w:sz w:val="12"/>
                <w:szCs w:val="12"/>
              </w:rPr>
            </w:pPr>
            <w:r>
              <w:rPr>
                <w:sz w:val="12"/>
                <w:szCs w:val="12"/>
                <w:spacing w:val="-3"/>
              </w:rPr>
              <w:t>天，视现场情况可</w:t>
            </w:r>
          </w:p>
          <w:p>
            <w:pPr>
              <w:pStyle w:val="TableText"/>
              <w:ind w:left="267"/>
              <w:spacing w:line="219" w:lineRule="auto"/>
              <w:rPr>
                <w:sz w:val="12"/>
                <w:szCs w:val="12"/>
              </w:rPr>
            </w:pPr>
            <w:r>
              <w:rPr>
                <w:sz w:val="12"/>
                <w:szCs w:val="12"/>
                <w:spacing w:val="-1"/>
              </w:rPr>
              <w:t>增加次数</w:t>
            </w:r>
          </w:p>
        </w:tc>
        <w:tc>
          <w:tcPr>
            <w:tcW w:w="669" w:type="dxa"/>
            <w:vAlign w:val="top"/>
            <w:tcBorders>
              <w:bottom w:val="single" w:color="000000" w:sz="2" w:space="0"/>
              <w:top w:val="single" w:color="000000" w:sz="2" w:space="0"/>
            </w:tcBorders>
          </w:tcPr>
          <w:p>
            <w:pPr>
              <w:pStyle w:val="TableText"/>
              <w:ind w:left="88"/>
              <w:spacing w:before="129" w:line="213" w:lineRule="auto"/>
              <w:rPr>
                <w:sz w:val="12"/>
                <w:szCs w:val="12"/>
              </w:rPr>
            </w:pPr>
            <w:r>
              <w:rPr>
                <w:sz w:val="12"/>
                <w:szCs w:val="12"/>
                <w:spacing w:val="3"/>
              </w:rPr>
              <w:t>(10g/袋)</w:t>
            </w:r>
          </w:p>
        </w:tc>
        <w:tc>
          <w:tcPr>
            <w:tcW w:w="2419" w:type="dxa"/>
            <w:vAlign w:val="top"/>
            <w:tcBorders>
              <w:bottom w:val="single" w:color="000000" w:sz="2" w:space="0"/>
              <w:top w:val="single" w:color="000000" w:sz="2" w:space="0"/>
            </w:tcBorders>
          </w:tcPr>
          <w:p>
            <w:pPr>
              <w:pStyle w:val="TableText"/>
              <w:ind w:left="18"/>
              <w:spacing w:before="133" w:line="219" w:lineRule="auto"/>
              <w:rPr>
                <w:sz w:val="12"/>
                <w:szCs w:val="12"/>
              </w:rPr>
            </w:pPr>
            <w:r>
              <w:rPr>
                <w:sz w:val="12"/>
                <w:szCs w:val="12"/>
                <w:spacing w:val="-1"/>
              </w:rPr>
              <w:t>杀阿马、蚜虫。飞温等害虫</w:t>
            </w:r>
          </w:p>
        </w:tc>
      </w:tr>
      <w:tr>
        <w:trPr>
          <w:trHeight w:val="414" w:hRule="atLeast"/>
        </w:trPr>
        <w:tc>
          <w:tcPr>
            <w:tcW w:w="395" w:type="dxa"/>
            <w:vAlign w:val="top"/>
            <w:vMerge w:val="continue"/>
            <w:tcBorders>
              <w:bottom w:val="nil"/>
              <w:top w:val="nil"/>
            </w:tcBorders>
          </w:tcPr>
          <w:p>
            <w:pPr>
              <w:rPr>
                <w:rFonts w:ascii="Arial"/>
                <w:sz w:val="21"/>
              </w:rPr>
            </w:pPr>
            <w:r/>
          </w:p>
        </w:tc>
        <w:tc>
          <w:tcPr>
            <w:tcW w:w="499" w:type="dxa"/>
            <w:vAlign w:val="top"/>
            <w:vMerge w:val="continue"/>
            <w:tcBorders>
              <w:bottom w:val="single" w:color="000000" w:sz="2" w:space="0"/>
              <w:top w:val="nil"/>
            </w:tcBorders>
          </w:tcPr>
          <w:p>
            <w:pPr>
              <w:rPr>
                <w:rFonts w:ascii="Arial"/>
                <w:sz w:val="21"/>
              </w:rPr>
            </w:pPr>
            <w:r/>
          </w:p>
        </w:tc>
        <w:tc>
          <w:tcPr>
            <w:tcW w:w="1259" w:type="dxa"/>
            <w:vAlign w:val="top"/>
            <w:vMerge w:val="continue"/>
            <w:tcBorders>
              <w:bottom w:val="single" w:color="000000" w:sz="2" w:space="0"/>
              <w:top w:val="nil"/>
            </w:tcBorders>
          </w:tcPr>
          <w:p>
            <w:pPr>
              <w:rPr>
                <w:rFonts w:ascii="Arial"/>
                <w:sz w:val="21"/>
              </w:rPr>
            </w:pPr>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344"/>
              <w:spacing w:before="153" w:line="219" w:lineRule="auto"/>
              <w:rPr>
                <w:sz w:val="12"/>
                <w:szCs w:val="12"/>
              </w:rPr>
            </w:pPr>
            <w:r>
              <w:rPr>
                <w:sz w:val="12"/>
                <w:szCs w:val="12"/>
                <w:spacing w:val="1"/>
              </w:rPr>
              <w:t>国光江杀</w:t>
            </w:r>
          </w:p>
        </w:tc>
        <w:tc>
          <w:tcPr>
            <w:tcW w:w="1799" w:type="dxa"/>
            <w:vAlign w:val="top"/>
            <w:tcBorders>
              <w:bottom w:val="single" w:color="000000" w:sz="2" w:space="0"/>
              <w:top w:val="single" w:color="000000" w:sz="2" w:space="0"/>
            </w:tcBorders>
          </w:tcPr>
          <w:p>
            <w:pPr>
              <w:pStyle w:val="TableText"/>
              <w:ind w:left="535"/>
              <w:spacing w:before="153" w:line="218" w:lineRule="auto"/>
              <w:rPr>
                <w:sz w:val="12"/>
                <w:szCs w:val="12"/>
              </w:rPr>
            </w:pPr>
            <w:r>
              <w:rPr>
                <w:sz w:val="12"/>
                <w:szCs w:val="12"/>
                <w:spacing w:val="-9"/>
              </w:rPr>
              <w:t>苯丁</w:t>
            </w:r>
            <w:r>
              <w:rPr>
                <w:sz w:val="12"/>
                <w:szCs w:val="12"/>
                <w:spacing w:val="-14"/>
              </w:rPr>
              <w:t xml:space="preserve"> </w:t>
            </w:r>
            <w:r>
              <w:rPr>
                <w:sz w:val="12"/>
                <w:szCs w:val="12"/>
                <w:spacing w:val="-9"/>
              </w:rPr>
              <w:t>·哒螨灵</w:t>
            </w:r>
          </w:p>
        </w:tc>
        <w:tc>
          <w:tcPr>
            <w:tcW w:w="1599" w:type="dxa"/>
            <w:vAlign w:val="top"/>
            <w:tcBorders>
              <w:bottom w:val="single" w:color="000000" w:sz="2" w:space="0"/>
              <w:top w:val="single" w:color="000000" w:sz="2" w:space="0"/>
            </w:tcBorders>
          </w:tcPr>
          <w:p>
            <w:pPr>
              <w:pStyle w:val="TableText"/>
              <w:ind w:left="496"/>
              <w:spacing w:before="154" w:line="220" w:lineRule="auto"/>
              <w:rPr>
                <w:sz w:val="12"/>
                <w:szCs w:val="12"/>
              </w:rPr>
            </w:pPr>
            <w:r>
              <w:rPr>
                <w:sz w:val="12"/>
                <w:szCs w:val="12"/>
                <w:spacing w:val="-2"/>
              </w:rPr>
              <w:t>1500-200倍</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237" w:right="96" w:hanging="69"/>
              <w:spacing w:before="106" w:line="209"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419" w:type="dxa"/>
            <w:vAlign w:val="top"/>
            <w:tcBorders>
              <w:bottom w:val="single" w:color="000000" w:sz="2" w:space="0"/>
              <w:top w:val="single" w:color="000000" w:sz="2" w:space="0"/>
            </w:tcBorders>
          </w:tcPr>
          <w:p>
            <w:pPr>
              <w:pStyle w:val="TableText"/>
              <w:ind w:left="18" w:right="5"/>
              <w:spacing w:before="104" w:line="210" w:lineRule="auto"/>
              <w:rPr>
                <w:sz w:val="12"/>
                <w:szCs w:val="12"/>
              </w:rPr>
            </w:pPr>
            <w:r>
              <w:rPr>
                <w:sz w:val="12"/>
                <w:szCs w:val="12"/>
                <w:spacing w:val="-7"/>
              </w:rPr>
              <w:t>对红蜘蛛、白蜘蛛及抗性蜗类害虫有极强的杀灭</w:t>
            </w:r>
            <w:r>
              <w:rPr>
                <w:sz w:val="12"/>
                <w:szCs w:val="12"/>
                <w:spacing w:val="11"/>
              </w:rPr>
              <w:t xml:space="preserve"> </w:t>
            </w:r>
            <w:r>
              <w:rPr>
                <w:sz w:val="12"/>
                <w:szCs w:val="12"/>
                <w:spacing w:val="-2"/>
              </w:rPr>
              <w:t>作用</w:t>
            </w:r>
          </w:p>
        </w:tc>
      </w:tr>
      <w:tr>
        <w:trPr>
          <w:trHeight w:val="424" w:hRule="atLeast"/>
        </w:trPr>
        <w:tc>
          <w:tcPr>
            <w:tcW w:w="395" w:type="dxa"/>
            <w:vAlign w:val="top"/>
            <w:vMerge w:val="continue"/>
            <w:tcBorders>
              <w:bottom w:val="nil"/>
              <w:top w:val="nil"/>
            </w:tcBorders>
          </w:tcPr>
          <w:p>
            <w:pPr>
              <w:rPr>
                <w:rFonts w:ascii="Arial"/>
                <w:sz w:val="21"/>
              </w:rPr>
            </w:pPr>
            <w:r/>
          </w:p>
        </w:tc>
        <w:tc>
          <w:tcPr>
            <w:tcW w:w="499" w:type="dxa"/>
            <w:vAlign w:val="top"/>
            <w:vMerge w:val="restart"/>
            <w:tcBorders>
              <w:bottom w:val="nil"/>
              <w:top w:val="single" w:color="000000" w:sz="2" w:space="0"/>
            </w:tcBorders>
          </w:tcPr>
          <w:p>
            <w:pPr>
              <w:spacing w:line="322" w:lineRule="auto"/>
              <w:rPr>
                <w:rFonts w:ascii="Arial"/>
                <w:sz w:val="21"/>
              </w:rPr>
            </w:pPr>
            <w:r/>
          </w:p>
          <w:p>
            <w:pPr>
              <w:pStyle w:val="TableText"/>
              <w:ind w:left="10"/>
              <w:spacing w:before="39" w:line="218" w:lineRule="auto"/>
              <w:rPr>
                <w:sz w:val="12"/>
                <w:szCs w:val="12"/>
              </w:rPr>
            </w:pPr>
            <w:r>
              <w:rPr>
                <w:sz w:val="12"/>
                <w:szCs w:val="12"/>
                <w:spacing w:val="-1"/>
              </w:rPr>
              <w:t>赃干害虫</w:t>
            </w:r>
          </w:p>
        </w:tc>
        <w:tc>
          <w:tcPr>
            <w:tcW w:w="1259" w:type="dxa"/>
            <w:vAlign w:val="top"/>
            <w:vMerge w:val="restart"/>
            <w:tcBorders>
              <w:bottom w:val="nil"/>
              <w:top w:val="single" w:color="000000" w:sz="2" w:space="0"/>
            </w:tcBorders>
          </w:tcPr>
          <w:p>
            <w:pPr>
              <w:pStyle w:val="TableText"/>
              <w:spacing w:before="233" w:line="215" w:lineRule="auto"/>
              <w:jc w:val="right"/>
              <w:rPr>
                <w:sz w:val="12"/>
                <w:szCs w:val="12"/>
              </w:rPr>
            </w:pPr>
            <w:r>
              <w:rPr>
                <w:sz w:val="12"/>
                <w:szCs w:val="12"/>
                <w:spacing w:val="-9"/>
              </w:rPr>
              <w:t>天牛类</w:t>
            </w:r>
            <w:r>
              <w:rPr>
                <w:sz w:val="12"/>
                <w:szCs w:val="12"/>
                <w:spacing w:val="-8"/>
              </w:rPr>
              <w:t>、吉丁虫类、透</w:t>
            </w:r>
            <w:r>
              <w:rPr>
                <w:sz w:val="12"/>
                <w:szCs w:val="12"/>
                <w:spacing w:val="-5"/>
              </w:rPr>
              <w:t>翅</w:t>
            </w:r>
          </w:p>
          <w:p>
            <w:pPr>
              <w:pStyle w:val="TableText"/>
              <w:spacing w:line="200" w:lineRule="auto"/>
              <w:jc w:val="right"/>
              <w:rPr>
                <w:sz w:val="12"/>
                <w:szCs w:val="12"/>
              </w:rPr>
            </w:pPr>
            <w:r>
              <w:rPr>
                <w:sz w:val="12"/>
                <w:szCs w:val="12"/>
                <w:spacing w:val="-8"/>
              </w:rPr>
              <w:t>峨、木盘峡类、杨干象、</w:t>
            </w:r>
          </w:p>
          <w:p>
            <w:pPr>
              <w:pStyle w:val="TableText"/>
              <w:ind w:left="381"/>
              <w:spacing w:line="219" w:lineRule="auto"/>
              <w:rPr>
                <w:sz w:val="12"/>
                <w:szCs w:val="12"/>
              </w:rPr>
            </w:pPr>
            <w:r>
              <w:rPr>
                <w:sz w:val="12"/>
                <w:szCs w:val="12"/>
                <w:spacing w:val="-2"/>
              </w:rPr>
              <w:t>小蠢类等</w:t>
            </w:r>
          </w:p>
        </w:tc>
        <w:tc>
          <w:tcPr>
            <w:tcW w:w="3178" w:type="dxa"/>
            <w:vAlign w:val="top"/>
            <w:vMerge w:val="continue"/>
            <w:tcBorders>
              <w:bottom w:val="nil"/>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344"/>
              <w:spacing w:before="154" w:line="219" w:lineRule="auto"/>
              <w:rPr>
                <w:sz w:val="12"/>
                <w:szCs w:val="12"/>
              </w:rPr>
            </w:pPr>
            <w:r>
              <w:rPr>
                <w:sz w:val="12"/>
                <w:szCs w:val="12"/>
                <w:spacing w:val="1"/>
              </w:rPr>
              <w:t>国光毒枪</w:t>
            </w:r>
          </w:p>
        </w:tc>
        <w:tc>
          <w:tcPr>
            <w:tcW w:w="1799" w:type="dxa"/>
            <w:vAlign w:val="top"/>
            <w:tcBorders>
              <w:bottom w:val="single" w:color="000000" w:sz="2" w:space="0"/>
              <w:top w:val="single" w:color="000000" w:sz="2" w:space="0"/>
            </w:tcBorders>
          </w:tcPr>
          <w:p>
            <w:pPr>
              <w:pStyle w:val="TableText"/>
              <w:ind w:left="325"/>
              <w:spacing w:before="154" w:line="219" w:lineRule="auto"/>
              <w:rPr>
                <w:sz w:val="12"/>
                <w:szCs w:val="12"/>
              </w:rPr>
            </w:pPr>
            <w:r>
              <w:rPr>
                <w:sz w:val="12"/>
                <w:szCs w:val="12"/>
                <w:spacing w:val="-5"/>
              </w:rPr>
              <w:t>45%丙溴</w:t>
            </w:r>
            <w:r>
              <w:rPr>
                <w:sz w:val="12"/>
                <w:szCs w:val="12"/>
                <w:spacing w:val="-11"/>
              </w:rPr>
              <w:t xml:space="preserve"> </w:t>
            </w:r>
            <w:r>
              <w:rPr>
                <w:sz w:val="12"/>
                <w:szCs w:val="12"/>
                <w:spacing w:val="-5"/>
              </w:rPr>
              <w:t>·辛硫磷乳油</w:t>
            </w:r>
          </w:p>
        </w:tc>
        <w:tc>
          <w:tcPr>
            <w:tcW w:w="1599" w:type="dxa"/>
            <w:vAlign w:val="top"/>
            <w:tcBorders>
              <w:bottom w:val="single" w:color="000000" w:sz="2" w:space="0"/>
              <w:top w:val="single" w:color="000000" w:sz="2" w:space="0"/>
            </w:tcBorders>
          </w:tcPr>
          <w:p>
            <w:pPr>
              <w:pStyle w:val="TableText"/>
              <w:ind w:left="286"/>
              <w:spacing w:before="154" w:line="219" w:lineRule="auto"/>
              <w:rPr>
                <w:sz w:val="12"/>
                <w:szCs w:val="12"/>
              </w:rPr>
            </w:pPr>
            <w:r>
              <w:rPr>
                <w:sz w:val="12"/>
                <w:szCs w:val="12"/>
                <w:spacing w:val="-1"/>
              </w:rPr>
              <w:t>稀释2000-3000倍液</w:t>
            </w:r>
          </w:p>
        </w:tc>
        <w:tc>
          <w:tcPr>
            <w:tcW w:w="979" w:type="dxa"/>
            <w:vAlign w:val="top"/>
            <w:vMerge w:val="restart"/>
            <w:tcBorders>
              <w:bottom w:val="nil"/>
              <w:top w:val="single" w:color="000000" w:sz="2" w:space="0"/>
            </w:tcBorders>
          </w:tcPr>
          <w:p>
            <w:pPr>
              <w:pStyle w:val="TableText"/>
              <w:ind w:left="36"/>
              <w:spacing w:before="164" w:line="216" w:lineRule="auto"/>
              <w:rPr>
                <w:sz w:val="12"/>
                <w:szCs w:val="12"/>
              </w:rPr>
            </w:pPr>
            <w:r>
              <w:rPr>
                <w:sz w:val="12"/>
                <w:szCs w:val="12"/>
                <w:spacing w:val="-1"/>
              </w:rPr>
              <w:t>一般用3-6次，时</w:t>
            </w:r>
          </w:p>
          <w:p>
            <w:pPr>
              <w:pStyle w:val="TableText"/>
              <w:ind w:right="1"/>
              <w:spacing w:line="219" w:lineRule="auto"/>
              <w:jc w:val="right"/>
              <w:rPr>
                <w:sz w:val="12"/>
                <w:szCs w:val="12"/>
              </w:rPr>
            </w:pPr>
            <w:r>
              <w:rPr>
                <w:sz w:val="12"/>
                <w:szCs w:val="12"/>
              </w:rPr>
              <w:t>间间隔7到10天，</w:t>
            </w:r>
          </w:p>
          <w:p>
            <w:pPr>
              <w:pStyle w:val="TableText"/>
              <w:spacing w:before="6" w:line="199" w:lineRule="auto"/>
              <w:jc w:val="right"/>
              <w:rPr>
                <w:sz w:val="12"/>
                <w:szCs w:val="12"/>
              </w:rPr>
            </w:pPr>
            <w:r>
              <w:rPr>
                <w:sz w:val="12"/>
                <w:szCs w:val="12"/>
                <w:spacing w:val="-1"/>
              </w:rPr>
              <w:t>视现场情况可增加</w:t>
            </w:r>
          </w:p>
          <w:p>
            <w:pPr>
              <w:pStyle w:val="TableText"/>
              <w:ind w:left="367"/>
              <w:spacing w:line="219" w:lineRule="auto"/>
              <w:rPr>
                <w:sz w:val="12"/>
                <w:szCs w:val="12"/>
              </w:rPr>
            </w:pPr>
            <w:r>
              <w:rPr>
                <w:sz w:val="12"/>
                <w:szCs w:val="12"/>
                <w:spacing w:val="-2"/>
              </w:rPr>
              <w:t>次数</w:t>
            </w:r>
          </w:p>
        </w:tc>
        <w:tc>
          <w:tcPr>
            <w:tcW w:w="669" w:type="dxa"/>
            <w:vAlign w:val="top"/>
            <w:tcBorders>
              <w:bottom w:val="single" w:color="000000" w:sz="2" w:space="0"/>
              <w:top w:val="single" w:color="000000" w:sz="2" w:space="0"/>
            </w:tcBorders>
          </w:tcPr>
          <w:p>
            <w:pPr>
              <w:pStyle w:val="TableText"/>
              <w:ind w:left="237" w:right="146" w:hanging="119"/>
              <w:spacing w:before="96" w:line="217" w:lineRule="auto"/>
              <w:rPr>
                <w:sz w:val="12"/>
                <w:szCs w:val="12"/>
              </w:rPr>
            </w:pPr>
            <w:r>
              <w:rPr>
                <w:sz w:val="12"/>
                <w:szCs w:val="12"/>
                <w:spacing w:val="-4"/>
              </w:rPr>
              <w:t>(200ml/</w:t>
            </w:r>
            <w:r>
              <w:rPr>
                <w:sz w:val="12"/>
                <w:szCs w:val="12"/>
                <w:spacing w:val="1"/>
              </w:rPr>
              <w:t xml:space="preserve"> </w:t>
            </w:r>
            <w:r>
              <w:rPr>
                <w:sz w:val="12"/>
                <w:szCs w:val="12"/>
                <w:spacing w:val="-3"/>
              </w:rPr>
              <w:t>瓶》</w:t>
            </w:r>
          </w:p>
        </w:tc>
        <w:tc>
          <w:tcPr>
            <w:tcW w:w="2419" w:type="dxa"/>
            <w:vAlign w:val="top"/>
            <w:tcBorders>
              <w:bottom w:val="single" w:color="000000" w:sz="2" w:space="0"/>
              <w:top w:val="single" w:color="000000" w:sz="2" w:space="0"/>
            </w:tcBorders>
          </w:tcPr>
          <w:p>
            <w:pPr>
              <w:pStyle w:val="TableText"/>
              <w:ind w:left="18"/>
              <w:spacing w:before="154" w:line="219" w:lineRule="auto"/>
              <w:rPr>
                <w:sz w:val="12"/>
                <w:szCs w:val="12"/>
              </w:rPr>
            </w:pPr>
            <w:r>
              <w:rPr>
                <w:sz w:val="12"/>
                <w:szCs w:val="12"/>
                <w:spacing w:val="-1"/>
              </w:rPr>
              <w:t>注射虫洞，黄泥射洞</w:t>
            </w:r>
          </w:p>
        </w:tc>
      </w:tr>
      <w:tr>
        <w:trPr>
          <w:trHeight w:val="409" w:hRule="atLeast"/>
        </w:trPr>
        <w:tc>
          <w:tcPr>
            <w:tcW w:w="395" w:type="dxa"/>
            <w:vAlign w:val="top"/>
            <w:vMerge w:val="continue"/>
            <w:tcBorders>
              <w:bottom w:val="single" w:color="000000" w:sz="2" w:space="0"/>
              <w:top w:val="nil"/>
            </w:tcBorders>
          </w:tcPr>
          <w:p>
            <w:pPr>
              <w:rPr>
                <w:rFonts w:ascii="Arial"/>
                <w:sz w:val="21"/>
              </w:rPr>
            </w:pPr>
            <w:r/>
          </w:p>
        </w:tc>
        <w:tc>
          <w:tcPr>
            <w:tcW w:w="499" w:type="dxa"/>
            <w:vAlign w:val="top"/>
            <w:vMerge w:val="continue"/>
            <w:tcBorders>
              <w:bottom w:val="single" w:color="000000" w:sz="2" w:space="0"/>
              <w:top w:val="nil"/>
            </w:tcBorders>
          </w:tcPr>
          <w:p>
            <w:pPr>
              <w:rPr>
                <w:rFonts w:ascii="Arial"/>
                <w:sz w:val="21"/>
              </w:rPr>
            </w:pPr>
            <w:r/>
          </w:p>
        </w:tc>
        <w:tc>
          <w:tcPr>
            <w:tcW w:w="1259" w:type="dxa"/>
            <w:vAlign w:val="top"/>
            <w:vMerge w:val="continue"/>
            <w:tcBorders>
              <w:bottom w:val="single" w:color="000000" w:sz="2" w:space="0"/>
              <w:top w:val="nil"/>
            </w:tcBorders>
          </w:tcPr>
          <w:p>
            <w:pPr>
              <w:rPr>
                <w:rFonts w:ascii="Arial"/>
                <w:sz w:val="21"/>
              </w:rPr>
            </w:pPr>
            <w:r/>
          </w:p>
        </w:tc>
        <w:tc>
          <w:tcPr>
            <w:tcW w:w="3178" w:type="dxa"/>
            <w:vAlign w:val="top"/>
            <w:vMerge w:val="continue"/>
            <w:tcBorders>
              <w:bottom w:val="single" w:color="000000" w:sz="2" w:space="0"/>
              <w:top w:val="nil"/>
            </w:tcBorders>
          </w:tcPr>
          <w:p>
            <w:pPr>
              <w:rPr>
                <w:rFonts w:ascii="Arial"/>
                <w:sz w:val="21"/>
              </w:rPr>
            </w:pPr>
            <w:r/>
          </w:p>
        </w:tc>
        <w:tc>
          <w:tcPr>
            <w:tcW w:w="1189" w:type="dxa"/>
            <w:vAlign w:val="top"/>
            <w:tcBorders>
              <w:bottom w:val="single" w:color="000000" w:sz="2" w:space="0"/>
              <w:top w:val="single" w:color="000000" w:sz="2" w:space="0"/>
            </w:tcBorders>
          </w:tcPr>
          <w:p>
            <w:pPr>
              <w:pStyle w:val="TableText"/>
              <w:ind w:left="103"/>
              <w:spacing w:before="144" w:line="218" w:lineRule="auto"/>
              <w:rPr>
                <w:sz w:val="12"/>
                <w:szCs w:val="12"/>
              </w:rPr>
            </w:pPr>
            <w:r>
              <w:rPr>
                <w:sz w:val="12"/>
                <w:szCs w:val="12"/>
                <w:spacing w:val="1"/>
              </w:rPr>
              <w:t>中威蛀干害虫专用</w:t>
            </w:r>
          </w:p>
        </w:tc>
        <w:tc>
          <w:tcPr>
            <w:tcW w:w="1799" w:type="dxa"/>
            <w:vAlign w:val="top"/>
            <w:tcBorders>
              <w:bottom w:val="single" w:color="000000" w:sz="2" w:space="0"/>
              <w:top w:val="single" w:color="000000" w:sz="2" w:space="0"/>
            </w:tcBorders>
          </w:tcPr>
          <w:p>
            <w:pPr>
              <w:pStyle w:val="TableText"/>
              <w:ind w:left="285"/>
              <w:spacing w:before="144" w:line="219" w:lineRule="auto"/>
              <w:rPr>
                <w:sz w:val="12"/>
                <w:szCs w:val="12"/>
              </w:rPr>
            </w:pPr>
            <w:r>
              <w:rPr>
                <w:sz w:val="12"/>
                <w:szCs w:val="12"/>
                <w:spacing w:val="-8"/>
              </w:rPr>
              <w:t>佩戊 ·马拉松</w:t>
            </w:r>
            <w:r>
              <w:rPr>
                <w:sz w:val="12"/>
                <w:szCs w:val="12"/>
                <w:spacing w:val="-14"/>
              </w:rPr>
              <w:t xml:space="preserve"> </w:t>
            </w:r>
            <w:r>
              <w:rPr>
                <w:sz w:val="12"/>
                <w:szCs w:val="12"/>
                <w:spacing w:val="-8"/>
              </w:rPr>
              <w:t>·苦参碱20%</w:t>
            </w:r>
          </w:p>
        </w:tc>
        <w:tc>
          <w:tcPr>
            <w:tcW w:w="1599" w:type="dxa"/>
            <w:vAlign w:val="top"/>
            <w:tcBorders>
              <w:bottom w:val="single" w:color="000000" w:sz="2" w:space="0"/>
              <w:top w:val="single" w:color="000000" w:sz="2" w:space="0"/>
            </w:tcBorders>
          </w:tcPr>
          <w:p>
            <w:pPr>
              <w:pStyle w:val="TableText"/>
              <w:ind w:left="556"/>
              <w:spacing w:before="144" w:line="219" w:lineRule="auto"/>
              <w:rPr>
                <w:sz w:val="12"/>
                <w:szCs w:val="12"/>
              </w:rPr>
            </w:pPr>
            <w:r>
              <w:rPr>
                <w:sz w:val="12"/>
                <w:szCs w:val="12"/>
                <w:spacing w:val="3"/>
              </w:rPr>
              <w:t>直接使用</w:t>
            </w:r>
          </w:p>
        </w:tc>
        <w:tc>
          <w:tcPr>
            <w:tcW w:w="97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spacing w:before="145" w:line="220" w:lineRule="auto"/>
              <w:jc w:val="right"/>
              <w:rPr>
                <w:sz w:val="12"/>
                <w:szCs w:val="12"/>
              </w:rPr>
            </w:pPr>
            <w:r>
              <w:rPr>
                <w:sz w:val="12"/>
                <w:szCs w:val="12"/>
                <w:spacing w:val="5"/>
              </w:rPr>
              <w:t>(20</w:t>
            </w:r>
            <w:r>
              <w:rPr>
                <w:sz w:val="12"/>
                <w:szCs w:val="12"/>
              </w:rPr>
              <w:t>ml</w:t>
            </w:r>
            <w:r>
              <w:rPr>
                <w:sz w:val="12"/>
                <w:szCs w:val="12"/>
                <w:spacing w:val="5"/>
              </w:rPr>
              <w:t>/支〉</w:t>
            </w:r>
          </w:p>
        </w:tc>
        <w:tc>
          <w:tcPr>
            <w:tcW w:w="2419" w:type="dxa"/>
            <w:vAlign w:val="top"/>
            <w:tcBorders>
              <w:bottom w:val="single" w:color="000000" w:sz="2" w:space="0"/>
              <w:top w:val="single" w:color="000000" w:sz="2" w:space="0"/>
            </w:tcBorders>
          </w:tcPr>
          <w:p>
            <w:pPr>
              <w:pStyle w:val="TableText"/>
              <w:ind w:left="18" w:right="5"/>
              <w:spacing w:before="94" w:line="210" w:lineRule="auto"/>
              <w:rPr>
                <w:sz w:val="12"/>
                <w:szCs w:val="12"/>
              </w:rPr>
            </w:pPr>
            <w:r>
              <w:rPr>
                <w:sz w:val="12"/>
                <w:szCs w:val="12"/>
                <w:spacing w:val="-7"/>
              </w:rPr>
              <w:t>针对天牛幼虫，吉丁虫、松材线虫等蛀干害虫效</w:t>
            </w:r>
            <w:r>
              <w:rPr>
                <w:sz w:val="12"/>
                <w:szCs w:val="12"/>
                <w:spacing w:val="11"/>
              </w:rPr>
              <w:t xml:space="preserve"> </w:t>
            </w:r>
            <w:r>
              <w:rPr>
                <w:sz w:val="12"/>
                <w:szCs w:val="12"/>
                <w:spacing w:val="-2"/>
              </w:rPr>
              <w:t>果明显</w:t>
            </w:r>
          </w:p>
        </w:tc>
      </w:tr>
    </w:tbl>
    <w:p>
      <w:pPr>
        <w:spacing w:line="14" w:lineRule="auto"/>
        <w:rPr>
          <w:rFonts w:ascii="Arial"/>
          <w:sz w:val="2"/>
        </w:rPr>
      </w:pPr>
      <w:r/>
    </w:p>
    <w:p>
      <w:pPr>
        <w:spacing w:line="14" w:lineRule="auto"/>
        <w:sectPr>
          <w:pgSz w:w="14490" w:h="10240"/>
          <w:pgMar w:top="134" w:right="269" w:bottom="214" w:left="224" w:header="0" w:footer="0" w:gutter="0"/>
        </w:sectPr>
        <w:rPr>
          <w:rFonts w:ascii="Arial" w:hAnsi="Arial" w:eastAsia="Arial" w:cs="Arial"/>
          <w:sz w:val="2"/>
          <w:szCs w:val="2"/>
        </w:rPr>
      </w:pPr>
    </w:p>
    <w:tbl>
      <w:tblPr>
        <w:tblStyle w:val="TableNormal"/>
        <w:tblW w:w="140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480"/>
        <w:gridCol w:w="1289"/>
        <w:gridCol w:w="3168"/>
        <w:gridCol w:w="1199"/>
        <w:gridCol w:w="1789"/>
        <w:gridCol w:w="1599"/>
        <w:gridCol w:w="979"/>
        <w:gridCol w:w="669"/>
        <w:gridCol w:w="2443"/>
      </w:tblGrid>
      <w:tr>
        <w:trPr>
          <w:trHeight w:val="484" w:hRule="atLeast"/>
        </w:trPr>
        <w:tc>
          <w:tcPr>
            <w:tcW w:w="415" w:type="dxa"/>
            <w:vAlign w:val="top"/>
          </w:tcPr>
          <w:p>
            <w:pPr>
              <w:pStyle w:val="TableText"/>
              <w:ind w:left="76"/>
              <w:spacing w:before="178" w:line="219" w:lineRule="auto"/>
              <w:rPr>
                <w:sz w:val="12"/>
                <w:szCs w:val="12"/>
              </w:rPr>
            </w:pPr>
            <w:r>
              <w:rPr>
                <w:sz w:val="12"/>
                <w:szCs w:val="12"/>
                <w:b/>
                <w:bCs/>
                <w:spacing w:val="-3"/>
              </w:rPr>
              <w:t>分类</w:t>
            </w:r>
          </w:p>
        </w:tc>
        <w:tc>
          <w:tcPr>
            <w:tcW w:w="480" w:type="dxa"/>
            <w:vAlign w:val="top"/>
          </w:tcPr>
          <w:p>
            <w:pPr>
              <w:pStyle w:val="TableText"/>
              <w:spacing w:before="38" w:line="219" w:lineRule="auto"/>
              <w:jc w:val="right"/>
              <w:rPr>
                <w:sz w:val="12"/>
                <w:szCs w:val="12"/>
              </w:rPr>
            </w:pPr>
            <w:r>
              <w:rPr>
                <w:sz w:val="12"/>
                <w:szCs w:val="12"/>
                <w:b/>
                <w:bCs/>
                <w:spacing w:val="-7"/>
              </w:rPr>
              <w:t>消杀预防</w:t>
            </w:r>
          </w:p>
          <w:p>
            <w:pPr>
              <w:pStyle w:val="TableText"/>
              <w:ind w:left="111" w:right="4" w:hanging="100"/>
              <w:spacing w:before="8" w:line="209" w:lineRule="auto"/>
              <w:rPr>
                <w:sz w:val="12"/>
                <w:szCs w:val="12"/>
              </w:rPr>
            </w:pPr>
            <w:r>
              <w:rPr>
                <w:sz w:val="12"/>
                <w:szCs w:val="12"/>
                <w:b/>
                <w:bCs/>
                <w:spacing w:val="-8"/>
              </w:rPr>
              <w:t>及病虫害</w:t>
            </w:r>
            <w:r>
              <w:rPr>
                <w:sz w:val="12"/>
                <w:szCs w:val="12"/>
              </w:rPr>
              <w:t xml:space="preserve"> </w:t>
            </w:r>
            <w:r>
              <w:rPr>
                <w:sz w:val="12"/>
                <w:szCs w:val="12"/>
                <w:b/>
                <w:bCs/>
                <w:spacing w:val="-3"/>
              </w:rPr>
              <w:t>分类</w:t>
            </w:r>
          </w:p>
        </w:tc>
        <w:tc>
          <w:tcPr>
            <w:tcW w:w="1289" w:type="dxa"/>
            <w:vAlign w:val="top"/>
          </w:tcPr>
          <w:p>
            <w:pPr>
              <w:pStyle w:val="TableText"/>
              <w:ind w:left="331"/>
              <w:spacing w:before="178" w:line="219" w:lineRule="auto"/>
              <w:rPr>
                <w:sz w:val="12"/>
                <w:szCs w:val="12"/>
              </w:rPr>
            </w:pPr>
            <w:r>
              <w:rPr>
                <w:sz w:val="12"/>
                <w:szCs w:val="12"/>
                <w:b/>
                <w:bCs/>
                <w:spacing w:val="-3"/>
              </w:rPr>
              <w:t>常见病虫害</w:t>
            </w:r>
          </w:p>
        </w:tc>
        <w:tc>
          <w:tcPr>
            <w:tcW w:w="3168" w:type="dxa"/>
            <w:vAlign w:val="top"/>
          </w:tcPr>
          <w:p>
            <w:pPr>
              <w:pStyle w:val="TableText"/>
              <w:ind w:left="1252"/>
              <w:spacing w:before="178" w:line="219" w:lineRule="auto"/>
              <w:rPr>
                <w:sz w:val="12"/>
                <w:szCs w:val="12"/>
              </w:rPr>
            </w:pPr>
            <w:r>
              <w:rPr>
                <w:sz w:val="12"/>
                <w:szCs w:val="12"/>
                <w:b/>
                <w:bCs/>
                <w:spacing w:val="-3"/>
              </w:rPr>
              <w:t>主要发病月份</w:t>
            </w:r>
          </w:p>
        </w:tc>
        <w:tc>
          <w:tcPr>
            <w:tcW w:w="1199" w:type="dxa"/>
            <w:vAlign w:val="top"/>
          </w:tcPr>
          <w:p>
            <w:pPr>
              <w:pStyle w:val="TableText"/>
              <w:ind w:left="354"/>
              <w:spacing w:before="178" w:line="220" w:lineRule="auto"/>
              <w:rPr>
                <w:sz w:val="12"/>
                <w:szCs w:val="12"/>
              </w:rPr>
            </w:pPr>
            <w:r>
              <w:rPr>
                <w:sz w:val="12"/>
                <w:szCs w:val="12"/>
                <w:b/>
                <w:bCs/>
                <w:spacing w:val="-3"/>
              </w:rPr>
              <w:t>药晶名称</w:t>
            </w:r>
          </w:p>
        </w:tc>
        <w:tc>
          <w:tcPr>
            <w:tcW w:w="1789" w:type="dxa"/>
            <w:vAlign w:val="top"/>
          </w:tcPr>
          <w:p>
            <w:pPr>
              <w:pStyle w:val="TableText"/>
              <w:ind w:left="645"/>
              <w:spacing w:before="178" w:line="220" w:lineRule="auto"/>
              <w:rPr>
                <w:sz w:val="12"/>
                <w:szCs w:val="12"/>
              </w:rPr>
            </w:pPr>
            <w:r>
              <w:rPr>
                <w:sz w:val="12"/>
                <w:szCs w:val="12"/>
                <w:b/>
                <w:bCs/>
                <w:spacing w:val="-3"/>
              </w:rPr>
              <w:t>主要成分</w:t>
            </w:r>
          </w:p>
        </w:tc>
        <w:tc>
          <w:tcPr>
            <w:tcW w:w="1599" w:type="dxa"/>
            <w:vAlign w:val="top"/>
          </w:tcPr>
          <w:p>
            <w:pPr>
              <w:pStyle w:val="TableText"/>
              <w:ind w:left="556"/>
              <w:spacing w:before="178" w:line="219" w:lineRule="auto"/>
              <w:rPr>
                <w:sz w:val="12"/>
                <w:szCs w:val="12"/>
              </w:rPr>
            </w:pPr>
            <w:r>
              <w:rPr>
                <w:sz w:val="12"/>
                <w:szCs w:val="12"/>
                <w:b/>
                <w:bCs/>
                <w:spacing w:val="-3"/>
              </w:rPr>
              <w:t>使用倍率</w:t>
            </w:r>
          </w:p>
        </w:tc>
        <w:tc>
          <w:tcPr>
            <w:tcW w:w="979" w:type="dxa"/>
            <w:vAlign w:val="top"/>
          </w:tcPr>
          <w:p>
            <w:pPr>
              <w:pStyle w:val="TableText"/>
              <w:ind w:left="247"/>
              <w:spacing w:before="178" w:line="219" w:lineRule="auto"/>
              <w:rPr>
                <w:sz w:val="12"/>
                <w:szCs w:val="12"/>
              </w:rPr>
            </w:pPr>
            <w:r>
              <w:rPr>
                <w:sz w:val="12"/>
                <w:szCs w:val="12"/>
                <w:b/>
                <w:bCs/>
                <w:spacing w:val="-3"/>
              </w:rPr>
              <w:t>施用次数</w:t>
            </w:r>
          </w:p>
        </w:tc>
        <w:tc>
          <w:tcPr>
            <w:tcW w:w="669" w:type="dxa"/>
            <w:vAlign w:val="top"/>
          </w:tcPr>
          <w:p>
            <w:pPr>
              <w:pStyle w:val="TableText"/>
              <w:ind w:left="228"/>
              <w:spacing w:before="178" w:line="219" w:lineRule="auto"/>
              <w:rPr>
                <w:sz w:val="12"/>
                <w:szCs w:val="12"/>
              </w:rPr>
            </w:pPr>
            <w:r>
              <w:rPr>
                <w:sz w:val="12"/>
                <w:szCs w:val="12"/>
                <w:b/>
                <w:bCs/>
                <w:spacing w:val="-3"/>
              </w:rPr>
              <w:t>规格</w:t>
            </w:r>
          </w:p>
        </w:tc>
        <w:tc>
          <w:tcPr>
            <w:tcW w:w="2443" w:type="dxa"/>
            <w:vAlign w:val="top"/>
          </w:tcPr>
          <w:p>
            <w:pPr>
              <w:pStyle w:val="TableText"/>
              <w:ind w:left="1119"/>
              <w:spacing w:before="178" w:line="221" w:lineRule="auto"/>
              <w:rPr>
                <w:sz w:val="12"/>
                <w:szCs w:val="12"/>
              </w:rPr>
            </w:pPr>
            <w:r>
              <w:rPr>
                <w:sz w:val="12"/>
                <w:szCs w:val="12"/>
                <w:b/>
                <w:bCs/>
                <w:spacing w:val="-3"/>
              </w:rPr>
              <w:t>备注</w:t>
            </w:r>
          </w:p>
        </w:tc>
      </w:tr>
      <w:tr>
        <w:trPr>
          <w:trHeight w:val="918" w:hRule="atLeast"/>
        </w:trPr>
        <w:tc>
          <w:tcPr>
            <w:tcW w:w="415" w:type="dxa"/>
            <w:vAlign w:val="top"/>
          </w:tcPr>
          <w:p>
            <w:pPr>
              <w:spacing w:line="353" w:lineRule="auto"/>
              <w:rPr>
                <w:rFonts w:ascii="Arial"/>
                <w:sz w:val="21"/>
              </w:rPr>
            </w:pPr>
            <w:r/>
          </w:p>
          <w:p>
            <w:pPr>
              <w:pStyle w:val="TableText"/>
              <w:ind w:left="14"/>
              <w:spacing w:before="39" w:line="219" w:lineRule="auto"/>
              <w:rPr>
                <w:sz w:val="12"/>
                <w:szCs w:val="12"/>
              </w:rPr>
            </w:pPr>
            <w:r>
              <w:rPr>
                <w:sz w:val="12"/>
                <w:szCs w:val="12"/>
                <w:spacing w:val="-2"/>
              </w:rPr>
              <w:t>杀虫剂</w:t>
            </w:r>
          </w:p>
        </w:tc>
        <w:tc>
          <w:tcPr>
            <w:tcW w:w="480" w:type="dxa"/>
            <w:vAlign w:val="top"/>
          </w:tcPr>
          <w:p>
            <w:pPr>
              <w:spacing w:line="355" w:lineRule="auto"/>
              <w:rPr>
                <w:rFonts w:ascii="Arial"/>
                <w:sz w:val="21"/>
              </w:rPr>
            </w:pPr>
            <w:r/>
          </w:p>
          <w:p>
            <w:pPr>
              <w:pStyle w:val="TableText"/>
              <w:spacing w:before="39" w:line="220" w:lineRule="auto"/>
              <w:jc w:val="right"/>
              <w:rPr>
                <w:sz w:val="12"/>
                <w:szCs w:val="12"/>
              </w:rPr>
            </w:pPr>
            <w:r>
              <w:rPr>
                <w:sz w:val="12"/>
                <w:szCs w:val="12"/>
                <w:spacing w:val="-6"/>
              </w:rPr>
              <w:t>地下害虫</w:t>
            </w:r>
          </w:p>
        </w:tc>
        <w:tc>
          <w:tcPr>
            <w:tcW w:w="1289" w:type="dxa"/>
            <w:vAlign w:val="top"/>
          </w:tcPr>
          <w:p>
            <w:pPr>
              <w:spacing w:line="304" w:lineRule="auto"/>
              <w:rPr>
                <w:rFonts w:ascii="Arial"/>
                <w:sz w:val="21"/>
              </w:rPr>
            </w:pPr>
            <w:r/>
          </w:p>
          <w:p>
            <w:pPr>
              <w:pStyle w:val="TableText"/>
              <w:ind w:left="269" w:right="2" w:hanging="260"/>
              <w:spacing w:before="39" w:line="211" w:lineRule="auto"/>
              <w:rPr>
                <w:sz w:val="12"/>
                <w:szCs w:val="12"/>
              </w:rPr>
            </w:pPr>
            <w:r>
              <w:rPr>
                <w:sz w:val="12"/>
                <w:szCs w:val="12"/>
                <w:spacing w:val="-5"/>
              </w:rPr>
              <w:t>蛴蜡、地老虎、金针虫及</w:t>
            </w:r>
            <w:r>
              <w:rPr>
                <w:sz w:val="12"/>
                <w:szCs w:val="12"/>
              </w:rPr>
              <w:t xml:space="preserve"> </w:t>
            </w:r>
            <w:r>
              <w:rPr>
                <w:sz w:val="12"/>
                <w:szCs w:val="12"/>
                <w:spacing w:val="-1"/>
              </w:rPr>
              <w:t>其他土中虫卵</w:t>
            </w:r>
          </w:p>
        </w:tc>
        <w:tc>
          <w:tcPr>
            <w:tcW w:w="3168" w:type="dxa"/>
            <w:vAlign w:val="top"/>
          </w:tcPr>
          <w:p>
            <w:pPr>
              <w:pStyle w:val="TableText"/>
              <w:ind w:left="1" w:right="7"/>
              <w:spacing w:before="216" w:line="207" w:lineRule="auto"/>
              <w:rPr>
                <w:sz w:val="12"/>
                <w:szCs w:val="12"/>
              </w:rPr>
            </w:pPr>
            <w:r>
              <w:rPr>
                <w:sz w:val="12"/>
                <w:szCs w:val="12"/>
                <w:spacing w:val="-6"/>
              </w:rPr>
              <w:t>一、5月预防消杀为主。在进入雨季、高发季前全园区消柔虫卵</w:t>
            </w:r>
            <w:r>
              <w:rPr>
                <w:sz w:val="12"/>
                <w:szCs w:val="12"/>
                <w:spacing w:val="16"/>
                <w:w w:val="101"/>
              </w:rPr>
              <w:t xml:space="preserve"> </w:t>
            </w:r>
            <w:r>
              <w:rPr>
                <w:sz w:val="12"/>
                <w:szCs w:val="12"/>
              </w:rPr>
              <w:t>、解：</w:t>
            </w:r>
          </w:p>
          <w:p>
            <w:pPr>
              <w:pStyle w:val="TableText"/>
              <w:ind w:left="1" w:right="1" w:firstLine="9"/>
              <w:spacing w:line="217" w:lineRule="auto"/>
              <w:rPr>
                <w:sz w:val="12"/>
                <w:szCs w:val="12"/>
              </w:rPr>
            </w:pPr>
            <w:r>
              <w:rPr>
                <w:sz w:val="12"/>
                <w:szCs w:val="12"/>
                <w:spacing w:val="-7"/>
              </w:rPr>
              <w:t>二、6月-10月是大部分害虫成蛹或羽化期，采取人</w:t>
            </w:r>
            <w:r>
              <w:rPr>
                <w:sz w:val="12"/>
                <w:szCs w:val="12"/>
                <w:spacing w:val="-8"/>
              </w:rPr>
              <w:t>工加两物双重</w:t>
            </w:r>
            <w:r>
              <w:rPr>
                <w:sz w:val="12"/>
                <w:szCs w:val="12"/>
              </w:rPr>
              <w:t xml:space="preserve"> </w:t>
            </w:r>
            <w:r>
              <w:rPr>
                <w:sz w:val="12"/>
                <w:szCs w:val="12"/>
              </w:rPr>
              <w:t>治疗除卵，除蛹，除成虫。</w:t>
            </w:r>
          </w:p>
        </w:tc>
        <w:tc>
          <w:tcPr>
            <w:tcW w:w="1199" w:type="dxa"/>
            <w:vAlign w:val="top"/>
          </w:tcPr>
          <w:p>
            <w:pPr>
              <w:spacing w:line="354" w:lineRule="auto"/>
              <w:rPr>
                <w:rFonts w:ascii="Arial"/>
                <w:sz w:val="21"/>
              </w:rPr>
            </w:pPr>
            <w:r/>
          </w:p>
          <w:p>
            <w:pPr>
              <w:pStyle w:val="TableText"/>
              <w:ind w:left="353"/>
              <w:spacing w:before="39" w:line="219" w:lineRule="auto"/>
              <w:rPr>
                <w:sz w:val="12"/>
                <w:szCs w:val="12"/>
              </w:rPr>
            </w:pPr>
            <w:r>
              <w:rPr>
                <w:sz w:val="12"/>
                <w:szCs w:val="12"/>
                <w:spacing w:val="1"/>
              </w:rPr>
              <w:t>国光地杀</w:t>
            </w:r>
          </w:p>
        </w:tc>
        <w:tc>
          <w:tcPr>
            <w:tcW w:w="1789" w:type="dxa"/>
            <w:vAlign w:val="top"/>
          </w:tcPr>
          <w:p>
            <w:pPr>
              <w:spacing w:line="353" w:lineRule="auto"/>
              <w:rPr>
                <w:rFonts w:ascii="Arial"/>
                <w:sz w:val="21"/>
              </w:rPr>
            </w:pPr>
            <w:r/>
          </w:p>
          <w:p>
            <w:pPr>
              <w:pStyle w:val="TableText"/>
              <w:ind w:left="134"/>
              <w:spacing w:before="39" w:line="219" w:lineRule="auto"/>
              <w:rPr>
                <w:sz w:val="12"/>
                <w:szCs w:val="12"/>
              </w:rPr>
            </w:pPr>
            <w:r>
              <w:rPr>
                <w:sz w:val="12"/>
                <w:szCs w:val="12"/>
                <w:spacing w:val="-4"/>
              </w:rPr>
              <w:t>5%T疏克百威</w:t>
            </w:r>
            <w:r>
              <w:rPr>
                <w:sz w:val="12"/>
                <w:szCs w:val="12"/>
                <w:spacing w:val="-13"/>
              </w:rPr>
              <w:t xml:space="preserve"> </w:t>
            </w:r>
            <w:r>
              <w:rPr>
                <w:sz w:val="12"/>
                <w:szCs w:val="12"/>
                <w:spacing w:val="-4"/>
              </w:rPr>
              <w:t>·毒死婢颗粒剂</w:t>
            </w:r>
          </w:p>
        </w:tc>
        <w:tc>
          <w:tcPr>
            <w:tcW w:w="1599" w:type="dxa"/>
            <w:vAlign w:val="top"/>
          </w:tcPr>
          <w:p>
            <w:pPr>
              <w:spacing w:line="350" w:lineRule="auto"/>
              <w:rPr>
                <w:rFonts w:ascii="Arial"/>
                <w:sz w:val="21"/>
              </w:rPr>
            </w:pPr>
            <w:r/>
          </w:p>
          <w:p>
            <w:pPr>
              <w:pStyle w:val="TableText"/>
              <w:ind w:left="285"/>
              <w:spacing w:before="39" w:line="214" w:lineRule="auto"/>
              <w:rPr>
                <w:sz w:val="12"/>
                <w:szCs w:val="12"/>
              </w:rPr>
            </w:pPr>
            <w:r>
              <w:rPr>
                <w:sz w:val="12"/>
                <w:szCs w:val="12"/>
                <w:spacing w:val="-1"/>
              </w:rPr>
              <w:t>直接撒施：5-Kg/亩</w:t>
            </w:r>
          </w:p>
        </w:tc>
        <w:tc>
          <w:tcPr>
            <w:tcW w:w="979" w:type="dxa"/>
            <w:vAlign w:val="top"/>
          </w:tcPr>
          <w:p>
            <w:pPr>
              <w:spacing w:line="354" w:lineRule="auto"/>
              <w:rPr>
                <w:rFonts w:ascii="Arial"/>
                <w:sz w:val="21"/>
              </w:rPr>
            </w:pPr>
            <w:r/>
          </w:p>
          <w:p>
            <w:pPr>
              <w:pStyle w:val="TableText"/>
              <w:ind w:left="156"/>
              <w:spacing w:before="39" w:line="219" w:lineRule="auto"/>
              <w:rPr>
                <w:sz w:val="12"/>
                <w:szCs w:val="12"/>
              </w:rPr>
            </w:pPr>
            <w:r>
              <w:rPr>
                <w:sz w:val="12"/>
                <w:szCs w:val="12"/>
                <w:spacing w:val="-2"/>
              </w:rPr>
              <w:t>一般每月1次</w:t>
            </w:r>
          </w:p>
        </w:tc>
        <w:tc>
          <w:tcPr>
            <w:tcW w:w="669" w:type="dxa"/>
            <w:vAlign w:val="top"/>
          </w:tcPr>
          <w:p>
            <w:pPr>
              <w:spacing w:line="350" w:lineRule="auto"/>
              <w:rPr>
                <w:rFonts w:ascii="Arial"/>
                <w:sz w:val="21"/>
              </w:rPr>
            </w:pPr>
            <w:r/>
          </w:p>
          <w:p>
            <w:pPr>
              <w:pStyle w:val="TableText"/>
              <w:spacing w:before="39" w:line="214" w:lineRule="auto"/>
              <w:jc w:val="right"/>
              <w:rPr>
                <w:sz w:val="12"/>
                <w:szCs w:val="12"/>
              </w:rPr>
            </w:pPr>
            <w:r>
              <w:rPr>
                <w:sz w:val="12"/>
                <w:szCs w:val="12"/>
                <w:spacing w:val="-8"/>
              </w:rPr>
              <w:t>(10kg/桶》</w:t>
            </w:r>
          </w:p>
        </w:tc>
        <w:tc>
          <w:tcPr>
            <w:tcW w:w="2443" w:type="dxa"/>
            <w:vAlign w:val="top"/>
          </w:tcPr>
          <w:p>
            <w:pPr>
              <w:spacing w:line="354" w:lineRule="auto"/>
              <w:rPr>
                <w:rFonts w:ascii="Arial"/>
                <w:sz w:val="21"/>
              </w:rPr>
            </w:pPr>
            <w:r/>
          </w:p>
          <w:p>
            <w:pPr>
              <w:pStyle w:val="TableText"/>
              <w:ind w:left="17"/>
              <w:spacing w:before="39" w:line="219" w:lineRule="auto"/>
              <w:rPr>
                <w:sz w:val="12"/>
                <w:szCs w:val="12"/>
              </w:rPr>
            </w:pPr>
            <w:r>
              <w:rPr>
                <w:sz w:val="12"/>
                <w:szCs w:val="12"/>
                <w:spacing w:val="-1"/>
              </w:rPr>
              <w:t>在土墙中杀灭害虫效果好，使用方便</w:t>
            </w:r>
          </w:p>
        </w:tc>
      </w:tr>
      <w:tr>
        <w:trPr>
          <w:trHeight w:val="559" w:hRule="atLeast"/>
        </w:trPr>
        <w:tc>
          <w:tcPr>
            <w:tcW w:w="415"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4" w:right="34"/>
              <w:spacing w:before="39" w:line="223" w:lineRule="auto"/>
              <w:rPr>
                <w:sz w:val="12"/>
                <w:szCs w:val="12"/>
              </w:rPr>
            </w:pPr>
            <w:r>
              <w:rPr>
                <w:sz w:val="12"/>
                <w:szCs w:val="12"/>
                <w:spacing w:val="-3"/>
              </w:rPr>
              <w:t>营养剂</w:t>
            </w:r>
            <w:r>
              <w:rPr>
                <w:sz w:val="12"/>
                <w:szCs w:val="12"/>
              </w:rPr>
              <w:t xml:space="preserve"> </w:t>
            </w:r>
            <w:r>
              <w:rPr>
                <w:sz w:val="12"/>
                <w:szCs w:val="12"/>
                <w:spacing w:val="-2"/>
              </w:rPr>
              <w:t>/肥料/</w:t>
            </w:r>
          </w:p>
          <w:p>
            <w:pPr>
              <w:pStyle w:val="TableText"/>
              <w:ind w:left="14"/>
              <w:spacing w:line="218" w:lineRule="auto"/>
              <w:rPr>
                <w:sz w:val="12"/>
                <w:szCs w:val="12"/>
              </w:rPr>
            </w:pPr>
            <w:r>
              <w:rPr>
                <w:sz w:val="12"/>
                <w:szCs w:val="12"/>
                <w:spacing w:val="-2"/>
              </w:rPr>
              <w:t>调节剂</w:t>
            </w:r>
          </w:p>
        </w:tc>
        <w:tc>
          <w:tcPr>
            <w:tcW w:w="480"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spacing w:before="39" w:line="219" w:lineRule="auto"/>
              <w:jc w:val="right"/>
              <w:rPr>
                <w:sz w:val="12"/>
                <w:szCs w:val="12"/>
              </w:rPr>
            </w:pPr>
            <w:r>
              <w:rPr>
                <w:sz w:val="12"/>
                <w:szCs w:val="12"/>
                <w:spacing w:val="-6"/>
              </w:rPr>
              <w:t>树木复壮</w:t>
            </w:r>
          </w:p>
        </w:tc>
        <w:tc>
          <w:tcPr>
            <w:tcW w:w="1289" w:type="dxa"/>
            <w:vAlign w:val="top"/>
            <w:vMerge w:val="restart"/>
            <w:tcBorders>
              <w:bottom w:val="nil"/>
            </w:tcBorders>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spacing w:before="39" w:line="200" w:lineRule="auto"/>
              <w:jc w:val="right"/>
              <w:rPr>
                <w:sz w:val="12"/>
                <w:szCs w:val="12"/>
              </w:rPr>
            </w:pPr>
            <w:r>
              <w:rPr>
                <w:sz w:val="12"/>
                <w:szCs w:val="12"/>
                <w:spacing w:val="-5"/>
              </w:rPr>
              <w:t>树木长势弱，自顶部向下</w:t>
            </w:r>
          </w:p>
          <w:p>
            <w:pPr>
              <w:pStyle w:val="TableText"/>
              <w:spacing w:line="200" w:lineRule="auto"/>
              <w:jc w:val="right"/>
              <w:rPr>
                <w:sz w:val="12"/>
                <w:szCs w:val="12"/>
              </w:rPr>
            </w:pPr>
            <w:r>
              <w:rPr>
                <w:sz w:val="12"/>
                <w:szCs w:val="12"/>
                <w:spacing w:val="-5"/>
              </w:rPr>
              <w:t>有枯黄现象，或高大乔木</w:t>
            </w:r>
          </w:p>
          <w:p>
            <w:pPr>
              <w:pStyle w:val="TableText"/>
              <w:ind w:left="330"/>
              <w:spacing w:line="219" w:lineRule="auto"/>
              <w:rPr>
                <w:sz w:val="12"/>
                <w:szCs w:val="12"/>
              </w:rPr>
            </w:pPr>
            <w:r>
              <w:rPr>
                <w:sz w:val="12"/>
                <w:szCs w:val="12"/>
                <w:spacing w:val="-1"/>
              </w:rPr>
              <w:t>及责重树木</w:t>
            </w:r>
          </w:p>
        </w:tc>
        <w:tc>
          <w:tcPr>
            <w:tcW w:w="3168" w:type="dxa"/>
            <w:vAlign w:val="top"/>
            <w:vMerge w:val="restart"/>
            <w:tcBorders>
              <w:bottom w:val="nil"/>
            </w:tcBorders>
          </w:tcPr>
          <w:p>
            <w:pPr>
              <w:spacing w:line="292" w:lineRule="auto"/>
              <w:rPr>
                <w:rFonts w:ascii="Arial"/>
                <w:sz w:val="21"/>
              </w:rPr>
            </w:pPr>
            <w:r/>
          </w:p>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1"/>
              <w:spacing w:before="39" w:line="216" w:lineRule="auto"/>
              <w:rPr>
                <w:sz w:val="12"/>
                <w:szCs w:val="12"/>
              </w:rPr>
            </w:pPr>
            <w:r>
              <w:rPr>
                <w:sz w:val="12"/>
                <w:szCs w:val="12"/>
                <w:spacing w:val="-7"/>
              </w:rPr>
              <w:t>一、复壮宜放在树木发芽前或刚发芽，一方</w:t>
            </w:r>
            <w:r>
              <w:rPr>
                <w:sz w:val="12"/>
                <w:szCs w:val="12"/>
                <w:spacing w:val="-8"/>
              </w:rPr>
              <w:t>面是对树干的补水。</w:t>
            </w:r>
            <w:r>
              <w:rPr>
                <w:sz w:val="12"/>
                <w:szCs w:val="12"/>
              </w:rPr>
              <w:t xml:space="preserve"> </w:t>
            </w:r>
            <w:r>
              <w:rPr>
                <w:sz w:val="12"/>
                <w:szCs w:val="12"/>
              </w:rPr>
              <w:t>另一方面是对根系的促生长，第三方面就是补充肥力；</w:t>
            </w:r>
          </w:p>
          <w:p>
            <w:pPr>
              <w:pStyle w:val="TableText"/>
              <w:spacing w:line="200" w:lineRule="auto"/>
              <w:jc w:val="right"/>
              <w:rPr>
                <w:sz w:val="12"/>
                <w:szCs w:val="12"/>
              </w:rPr>
            </w:pPr>
            <w:r>
              <w:rPr>
                <w:sz w:val="12"/>
                <w:szCs w:val="12"/>
                <w:spacing w:val="-8"/>
              </w:rPr>
              <w:t>三，对于后期出现的树木长势衰弱，应查明原因，做专项治疗：</w:t>
            </w:r>
          </w:p>
          <w:p>
            <w:pPr>
              <w:pStyle w:val="TableText"/>
              <w:ind w:left="1" w:right="1" w:firstLine="9"/>
              <w:spacing w:line="207" w:lineRule="auto"/>
              <w:rPr>
                <w:sz w:val="12"/>
                <w:szCs w:val="12"/>
              </w:rPr>
            </w:pPr>
            <w:r>
              <w:rPr>
                <w:sz w:val="12"/>
                <w:szCs w:val="12"/>
                <w:spacing w:val="-8"/>
              </w:rPr>
              <w:t>三、主要集中在4月上句至6月初，气温上升。空气湿度增加，苗</w:t>
            </w:r>
            <w:r>
              <w:rPr>
                <w:sz w:val="12"/>
                <w:szCs w:val="12"/>
                <w:spacing w:val="16"/>
              </w:rPr>
              <w:t xml:space="preserve"> </w:t>
            </w:r>
            <w:r>
              <w:rPr>
                <w:sz w:val="12"/>
                <w:szCs w:val="12"/>
              </w:rPr>
              <w:t>木结束体眠期开始返青，是树木复壮最佳时机：</w:t>
            </w:r>
          </w:p>
          <w:p>
            <w:pPr>
              <w:pStyle w:val="TableText"/>
              <w:ind w:left="11"/>
              <w:spacing w:line="219" w:lineRule="auto"/>
              <w:rPr>
                <w:sz w:val="12"/>
                <w:szCs w:val="12"/>
              </w:rPr>
            </w:pPr>
            <w:r>
              <w:rPr>
                <w:sz w:val="12"/>
                <w:szCs w:val="12"/>
                <w:spacing w:val="-1"/>
              </w:rPr>
              <w:t>四、7-8月有个别情况，做专项治疗。</w:t>
            </w:r>
          </w:p>
        </w:tc>
        <w:tc>
          <w:tcPr>
            <w:tcW w:w="1199" w:type="dxa"/>
            <w:vAlign w:val="top"/>
          </w:tcPr>
          <w:p>
            <w:pPr>
              <w:pStyle w:val="TableText"/>
              <w:ind w:left="293"/>
              <w:spacing w:before="217" w:line="219" w:lineRule="auto"/>
              <w:rPr>
                <w:sz w:val="12"/>
                <w:szCs w:val="12"/>
              </w:rPr>
            </w:pPr>
            <w:r>
              <w:rPr>
                <w:sz w:val="12"/>
                <w:szCs w:val="12"/>
              </w:rPr>
              <w:t>国光施它活</w:t>
            </w:r>
          </w:p>
        </w:tc>
        <w:tc>
          <w:tcPr>
            <w:tcW w:w="1789" w:type="dxa"/>
            <w:vAlign w:val="top"/>
          </w:tcPr>
          <w:p>
            <w:pPr>
              <w:pStyle w:val="TableText"/>
              <w:ind w:left="584"/>
              <w:spacing w:before="217" w:line="219" w:lineRule="auto"/>
              <w:rPr>
                <w:sz w:val="12"/>
                <w:szCs w:val="12"/>
              </w:rPr>
            </w:pPr>
            <w:r>
              <w:rPr>
                <w:sz w:val="12"/>
                <w:szCs w:val="12"/>
                <w:spacing w:val="-1"/>
              </w:rPr>
              <w:t>水溶性肥料</w:t>
            </w:r>
          </w:p>
        </w:tc>
        <w:tc>
          <w:tcPr>
            <w:tcW w:w="1599" w:type="dxa"/>
            <w:vAlign w:val="top"/>
          </w:tcPr>
          <w:p>
            <w:pPr>
              <w:pStyle w:val="TableText"/>
              <w:ind w:left="555"/>
              <w:spacing w:before="217" w:line="219" w:lineRule="auto"/>
              <w:rPr>
                <w:sz w:val="12"/>
                <w:szCs w:val="12"/>
              </w:rPr>
            </w:pPr>
            <w:r>
              <w:rPr>
                <w:sz w:val="12"/>
                <w:szCs w:val="12"/>
                <w:spacing w:val="3"/>
              </w:rPr>
              <w:t>直接使用</w:t>
            </w:r>
          </w:p>
        </w:tc>
        <w:tc>
          <w:tcPr>
            <w:tcW w:w="979" w:type="dxa"/>
            <w:vAlign w:val="top"/>
            <w:vMerge w:val="restart"/>
            <w:tcBorders>
              <w:bottom w:val="nil"/>
            </w:tcBorders>
          </w:tcPr>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TableText"/>
              <w:ind w:left="65"/>
              <w:spacing w:before="39" w:line="219" w:lineRule="auto"/>
              <w:rPr>
                <w:sz w:val="12"/>
                <w:szCs w:val="12"/>
              </w:rPr>
            </w:pPr>
            <w:r>
              <w:rPr>
                <w:sz w:val="12"/>
                <w:szCs w:val="12"/>
                <w:spacing w:val="-1"/>
              </w:rPr>
              <w:t>视树木生长情况</w:t>
            </w:r>
          </w:p>
        </w:tc>
        <w:tc>
          <w:tcPr>
            <w:tcW w:w="669" w:type="dxa"/>
            <w:vAlign w:val="top"/>
          </w:tcPr>
          <w:p>
            <w:pPr>
              <w:pStyle w:val="TableText"/>
              <w:ind w:left="177"/>
              <w:spacing w:before="213" w:line="214" w:lineRule="auto"/>
              <w:rPr>
                <w:sz w:val="12"/>
                <w:szCs w:val="12"/>
              </w:rPr>
            </w:pPr>
            <w:r>
              <w:rPr>
                <w:sz w:val="12"/>
                <w:szCs w:val="12"/>
                <w:spacing w:val="-3"/>
              </w:rPr>
              <w:t>Ikg/袋</w:t>
            </w:r>
          </w:p>
        </w:tc>
        <w:tc>
          <w:tcPr>
            <w:tcW w:w="2443" w:type="dxa"/>
            <w:vAlign w:val="top"/>
          </w:tcPr>
          <w:p>
            <w:pPr>
              <w:pStyle w:val="TableText"/>
              <w:ind w:left="17"/>
              <w:spacing w:before="167" w:line="218" w:lineRule="auto"/>
              <w:rPr>
                <w:sz w:val="12"/>
                <w:szCs w:val="12"/>
              </w:rPr>
            </w:pPr>
            <w:r>
              <w:rPr>
                <w:sz w:val="12"/>
                <w:szCs w:val="12"/>
                <w:spacing w:val="-5"/>
              </w:rPr>
              <w:t>促使树体健壮。迅速补充营养，增强抗性，提高</w:t>
            </w:r>
            <w:r>
              <w:rPr>
                <w:sz w:val="12"/>
                <w:szCs w:val="12"/>
              </w:rPr>
              <w:t xml:space="preserve"> </w:t>
            </w:r>
            <w:r>
              <w:rPr>
                <w:sz w:val="12"/>
                <w:szCs w:val="12"/>
                <w:spacing w:val="-2"/>
              </w:rPr>
              <w:t>成活率</w:t>
            </w:r>
          </w:p>
        </w:tc>
      </w:tr>
      <w:tr>
        <w:trPr>
          <w:trHeight w:val="270" w:hRule="atLeast"/>
        </w:trPr>
        <w:tc>
          <w:tcPr>
            <w:tcW w:w="415" w:type="dxa"/>
            <w:vAlign w:val="top"/>
            <w:vMerge w:val="continue"/>
            <w:tcBorders>
              <w:top w:val="nil"/>
              <w:bottom w:val="nil"/>
            </w:tcBorders>
          </w:tcPr>
          <w:p>
            <w:pPr>
              <w:rPr>
                <w:rFonts w:ascii="Arial"/>
                <w:sz w:val="21"/>
              </w:rPr>
            </w:pPr>
            <w:r/>
          </w:p>
        </w:tc>
        <w:tc>
          <w:tcPr>
            <w:tcW w:w="480" w:type="dxa"/>
            <w:vAlign w:val="top"/>
            <w:vMerge w:val="continue"/>
            <w:tcBorders>
              <w:top w:val="nil"/>
              <w:bottom w:val="nil"/>
            </w:tcBorders>
          </w:tcPr>
          <w:p>
            <w:pPr>
              <w:rPr>
                <w:rFonts w:ascii="Arial"/>
                <w:sz w:val="21"/>
              </w:rPr>
            </w:pPr>
            <w:r/>
          </w:p>
        </w:tc>
        <w:tc>
          <w:tcPr>
            <w:tcW w:w="1289" w:type="dxa"/>
            <w:vAlign w:val="top"/>
            <w:vMerge w:val="continue"/>
            <w:tcBorders>
              <w:top w:val="nil"/>
              <w:bottom w:val="nil"/>
            </w:tcBorders>
          </w:tcPr>
          <w:p>
            <w:pPr>
              <w:rPr>
                <w:rFonts w:ascii="Arial"/>
                <w:sz w:val="21"/>
              </w:rPr>
            </w:pPr>
            <w:r/>
          </w:p>
        </w:tc>
        <w:tc>
          <w:tcPr>
            <w:tcW w:w="3168" w:type="dxa"/>
            <w:vAlign w:val="top"/>
            <w:vMerge w:val="continue"/>
            <w:tcBorders>
              <w:top w:val="nil"/>
              <w:bottom w:val="nil"/>
            </w:tcBorders>
          </w:tcPr>
          <w:p>
            <w:pPr>
              <w:rPr>
                <w:rFonts w:ascii="Arial"/>
                <w:sz w:val="21"/>
              </w:rPr>
            </w:pPr>
            <w:r/>
          </w:p>
        </w:tc>
        <w:tc>
          <w:tcPr>
            <w:tcW w:w="1199" w:type="dxa"/>
            <w:vAlign w:val="top"/>
          </w:tcPr>
          <w:p>
            <w:pPr>
              <w:pStyle w:val="TableText"/>
              <w:ind w:left="203"/>
              <w:spacing w:before="79" w:line="219" w:lineRule="auto"/>
              <w:rPr>
                <w:sz w:val="12"/>
                <w:szCs w:val="12"/>
              </w:rPr>
            </w:pPr>
            <w:r>
              <w:rPr>
                <w:sz w:val="12"/>
                <w:szCs w:val="12"/>
                <w:spacing w:val="1"/>
              </w:rPr>
              <w:t>国光根动力2号</w:t>
            </w:r>
          </w:p>
        </w:tc>
        <w:tc>
          <w:tcPr>
            <w:tcW w:w="1789" w:type="dxa"/>
            <w:vAlign w:val="top"/>
          </w:tcPr>
          <w:p>
            <w:pPr>
              <w:pStyle w:val="TableText"/>
              <w:ind w:left="254"/>
              <w:spacing w:before="78" w:line="219" w:lineRule="auto"/>
              <w:rPr>
                <w:sz w:val="12"/>
                <w:szCs w:val="12"/>
              </w:rPr>
            </w:pPr>
            <w:r>
              <w:rPr>
                <w:sz w:val="12"/>
                <w:szCs w:val="12"/>
                <w:spacing w:val="2"/>
              </w:rPr>
              <w:t>13%含氨基酸水溶肥(钙)</w:t>
            </w:r>
          </w:p>
        </w:tc>
        <w:tc>
          <w:tcPr>
            <w:tcW w:w="1599" w:type="dxa"/>
            <w:vAlign w:val="top"/>
          </w:tcPr>
          <w:p>
            <w:pPr>
              <w:pStyle w:val="TableText"/>
              <w:ind w:left="315"/>
              <w:spacing w:before="79" w:line="219" w:lineRule="auto"/>
              <w:rPr>
                <w:sz w:val="12"/>
                <w:szCs w:val="12"/>
              </w:rPr>
            </w:pPr>
            <w:r>
              <w:rPr>
                <w:sz w:val="12"/>
                <w:szCs w:val="12"/>
                <w:spacing w:val="-1"/>
              </w:rPr>
              <w:t>稀释800-1000倍液</w:t>
            </w:r>
          </w:p>
        </w:tc>
        <w:tc>
          <w:tcPr>
            <w:tcW w:w="979" w:type="dxa"/>
            <w:vAlign w:val="top"/>
            <w:vMerge w:val="continue"/>
            <w:tcBorders>
              <w:top w:val="nil"/>
              <w:bottom w:val="nil"/>
            </w:tcBorders>
          </w:tcPr>
          <w:p>
            <w:pPr>
              <w:rPr>
                <w:rFonts w:ascii="Arial"/>
                <w:sz w:val="21"/>
              </w:rPr>
            </w:pPr>
            <w:r/>
          </w:p>
        </w:tc>
        <w:tc>
          <w:tcPr>
            <w:tcW w:w="669" w:type="dxa"/>
            <w:vAlign w:val="top"/>
          </w:tcPr>
          <w:p>
            <w:pPr>
              <w:pStyle w:val="TableText"/>
              <w:spacing w:before="79" w:line="221" w:lineRule="auto"/>
              <w:jc w:val="right"/>
              <w:rPr>
                <w:sz w:val="12"/>
                <w:szCs w:val="12"/>
              </w:rPr>
            </w:pPr>
            <w:r>
              <w:rPr>
                <w:sz w:val="12"/>
                <w:szCs w:val="12"/>
              </w:rPr>
              <w:t>(IL/瓶)</w:t>
            </w:r>
          </w:p>
        </w:tc>
        <w:tc>
          <w:tcPr>
            <w:tcW w:w="2443" w:type="dxa"/>
            <w:vAlign w:val="top"/>
          </w:tcPr>
          <w:p>
            <w:pPr>
              <w:pStyle w:val="TableText"/>
              <w:ind w:left="17"/>
              <w:spacing w:before="79" w:line="219" w:lineRule="auto"/>
              <w:rPr>
                <w:sz w:val="12"/>
                <w:szCs w:val="12"/>
              </w:rPr>
            </w:pPr>
            <w:r>
              <w:rPr>
                <w:sz w:val="12"/>
                <w:szCs w:val="12"/>
                <w:spacing w:val="-1"/>
              </w:rPr>
              <w:t>诱导树木快速生根，提高移栽成活率</w:t>
            </w:r>
          </w:p>
        </w:tc>
      </w:tr>
      <w:tr>
        <w:trPr>
          <w:trHeight w:val="609" w:hRule="atLeast"/>
        </w:trPr>
        <w:tc>
          <w:tcPr>
            <w:tcW w:w="415" w:type="dxa"/>
            <w:vAlign w:val="top"/>
            <w:vMerge w:val="continue"/>
            <w:tcBorders>
              <w:top w:val="nil"/>
              <w:bottom w:val="nil"/>
            </w:tcBorders>
          </w:tcPr>
          <w:p>
            <w:pPr>
              <w:rPr>
                <w:rFonts w:ascii="Arial"/>
                <w:sz w:val="21"/>
              </w:rPr>
            </w:pPr>
            <w:r/>
          </w:p>
        </w:tc>
        <w:tc>
          <w:tcPr>
            <w:tcW w:w="480" w:type="dxa"/>
            <w:vAlign w:val="top"/>
            <w:vMerge w:val="continue"/>
            <w:tcBorders>
              <w:top w:val="nil"/>
              <w:bottom w:val="nil"/>
            </w:tcBorders>
          </w:tcPr>
          <w:p>
            <w:pPr>
              <w:rPr>
                <w:rFonts w:ascii="Arial"/>
                <w:sz w:val="21"/>
              </w:rPr>
            </w:pPr>
            <w:r/>
          </w:p>
        </w:tc>
        <w:tc>
          <w:tcPr>
            <w:tcW w:w="1289" w:type="dxa"/>
            <w:vAlign w:val="top"/>
            <w:vMerge w:val="continue"/>
            <w:tcBorders>
              <w:top w:val="nil"/>
              <w:bottom w:val="nil"/>
            </w:tcBorders>
          </w:tcPr>
          <w:p>
            <w:pPr>
              <w:rPr>
                <w:rFonts w:ascii="Arial"/>
                <w:sz w:val="21"/>
              </w:rPr>
            </w:pPr>
            <w:r/>
          </w:p>
        </w:tc>
        <w:tc>
          <w:tcPr>
            <w:tcW w:w="3168" w:type="dxa"/>
            <w:vAlign w:val="top"/>
            <w:vMerge w:val="continue"/>
            <w:tcBorders>
              <w:top w:val="nil"/>
              <w:bottom w:val="nil"/>
            </w:tcBorders>
          </w:tcPr>
          <w:p>
            <w:pPr>
              <w:rPr>
                <w:rFonts w:ascii="Arial"/>
                <w:sz w:val="21"/>
              </w:rPr>
            </w:pPr>
            <w:r/>
          </w:p>
        </w:tc>
        <w:tc>
          <w:tcPr>
            <w:tcW w:w="1199" w:type="dxa"/>
            <w:vAlign w:val="top"/>
          </w:tcPr>
          <w:p>
            <w:pPr>
              <w:pStyle w:val="TableText"/>
              <w:ind w:left="353"/>
              <w:spacing w:before="248" w:line="219" w:lineRule="auto"/>
              <w:rPr>
                <w:sz w:val="12"/>
                <w:szCs w:val="12"/>
              </w:rPr>
            </w:pPr>
            <w:r>
              <w:rPr>
                <w:sz w:val="12"/>
                <w:szCs w:val="12"/>
                <w:spacing w:val="1"/>
              </w:rPr>
              <w:t>国光棒肥</w:t>
            </w:r>
          </w:p>
        </w:tc>
        <w:tc>
          <w:tcPr>
            <w:tcW w:w="1789" w:type="dxa"/>
            <w:vAlign w:val="top"/>
          </w:tcPr>
          <w:p>
            <w:pPr>
              <w:pStyle w:val="TableText"/>
              <w:ind w:left="104"/>
              <w:spacing w:before="248" w:line="219" w:lineRule="auto"/>
              <w:rPr>
                <w:sz w:val="12"/>
                <w:szCs w:val="12"/>
              </w:rPr>
            </w:pPr>
            <w:r>
              <w:rPr>
                <w:sz w:val="12"/>
                <w:szCs w:val="12"/>
                <w:spacing w:val="-1"/>
              </w:rPr>
              <w:t>微肥、桥有元素、大量元素肥</w:t>
            </w:r>
          </w:p>
        </w:tc>
        <w:tc>
          <w:tcPr>
            <w:tcW w:w="1599" w:type="dxa"/>
            <w:vAlign w:val="top"/>
          </w:tcPr>
          <w:p>
            <w:pPr>
              <w:pStyle w:val="TableText"/>
              <w:spacing w:before="58" w:line="200" w:lineRule="auto"/>
              <w:jc w:val="right"/>
              <w:rPr>
                <w:sz w:val="12"/>
                <w:szCs w:val="12"/>
              </w:rPr>
            </w:pPr>
            <w:r>
              <w:rPr>
                <w:sz w:val="12"/>
                <w:szCs w:val="12"/>
                <w:spacing w:val="-8"/>
              </w:rPr>
              <w:t>直接使用，根据树的胸径进行调</w:t>
            </w:r>
          </w:p>
          <w:p>
            <w:pPr>
              <w:pStyle w:val="TableText"/>
              <w:ind w:right="1"/>
              <w:spacing w:line="215" w:lineRule="auto"/>
              <w:jc w:val="right"/>
              <w:rPr>
                <w:sz w:val="12"/>
                <w:szCs w:val="12"/>
              </w:rPr>
            </w:pPr>
            <w:r>
              <w:rPr>
                <w:sz w:val="12"/>
                <w:szCs w:val="12"/>
                <w:spacing w:val="-3"/>
              </w:rPr>
              <w:t>整：10cn以下的树1-2支，10cm</w:t>
            </w:r>
          </w:p>
          <w:p>
            <w:pPr>
              <w:pStyle w:val="TableText"/>
              <w:spacing w:line="216" w:lineRule="auto"/>
              <w:jc w:val="right"/>
              <w:rPr>
                <w:sz w:val="12"/>
                <w:szCs w:val="12"/>
              </w:rPr>
            </w:pPr>
            <w:r>
              <w:rPr>
                <w:sz w:val="12"/>
                <w:szCs w:val="12"/>
                <w:spacing w:val="-4"/>
              </w:rPr>
              <w:t>以上的树胸径每增加5cm则增加</w:t>
            </w:r>
          </w:p>
          <w:p>
            <w:pPr>
              <w:pStyle w:val="TableText"/>
              <w:ind w:left="735"/>
              <w:spacing w:line="199" w:lineRule="auto"/>
              <w:rPr>
                <w:sz w:val="12"/>
                <w:szCs w:val="12"/>
              </w:rPr>
            </w:pPr>
            <w:r>
              <w:rPr>
                <w:sz w:val="12"/>
                <w:szCs w:val="12"/>
              </w:rPr>
              <w:t>支</w:t>
            </w:r>
          </w:p>
        </w:tc>
        <w:tc>
          <w:tcPr>
            <w:tcW w:w="979" w:type="dxa"/>
            <w:vAlign w:val="top"/>
            <w:vMerge w:val="continue"/>
            <w:tcBorders>
              <w:top w:val="nil"/>
              <w:bottom w:val="nil"/>
            </w:tcBorders>
          </w:tcPr>
          <w:p>
            <w:pPr>
              <w:rPr>
                <w:rFonts w:ascii="Arial"/>
                <w:sz w:val="21"/>
              </w:rPr>
            </w:pPr>
            <w:r/>
          </w:p>
        </w:tc>
        <w:tc>
          <w:tcPr>
            <w:tcW w:w="669" w:type="dxa"/>
            <w:vAlign w:val="top"/>
          </w:tcPr>
          <w:p>
            <w:pPr>
              <w:pStyle w:val="TableText"/>
              <w:ind w:left="17"/>
              <w:spacing w:before="249" w:line="220" w:lineRule="auto"/>
              <w:rPr>
                <w:sz w:val="12"/>
                <w:szCs w:val="12"/>
              </w:rPr>
            </w:pPr>
            <w:r>
              <w:rPr>
                <w:sz w:val="12"/>
                <w:szCs w:val="12"/>
                <w:spacing w:val="-1"/>
              </w:rPr>
              <w:t>3+15c*40根</w:t>
            </w:r>
          </w:p>
        </w:tc>
        <w:tc>
          <w:tcPr>
            <w:tcW w:w="2443" w:type="dxa"/>
            <w:vAlign w:val="top"/>
          </w:tcPr>
          <w:p>
            <w:pPr>
              <w:pStyle w:val="TableText"/>
              <w:ind w:left="17"/>
              <w:spacing w:before="248" w:line="219" w:lineRule="auto"/>
              <w:rPr>
                <w:sz w:val="12"/>
                <w:szCs w:val="12"/>
              </w:rPr>
            </w:pPr>
            <w:r>
              <w:rPr>
                <w:sz w:val="12"/>
                <w:szCs w:val="12"/>
                <w:spacing w:val="-1"/>
              </w:rPr>
              <w:t>古树，病树，坚树复壮</w:t>
            </w:r>
          </w:p>
        </w:tc>
      </w:tr>
      <w:tr>
        <w:trPr>
          <w:trHeight w:val="659" w:hRule="atLeast"/>
        </w:trPr>
        <w:tc>
          <w:tcPr>
            <w:tcW w:w="415" w:type="dxa"/>
            <w:vAlign w:val="top"/>
            <w:vMerge w:val="continue"/>
            <w:tcBorders>
              <w:top w:val="nil"/>
              <w:bottom w:val="nil"/>
            </w:tcBorders>
          </w:tcPr>
          <w:p>
            <w:pPr>
              <w:rPr>
                <w:rFonts w:ascii="Arial"/>
                <w:sz w:val="21"/>
              </w:rPr>
            </w:pPr>
            <w:r/>
          </w:p>
        </w:tc>
        <w:tc>
          <w:tcPr>
            <w:tcW w:w="480" w:type="dxa"/>
            <w:vAlign w:val="top"/>
            <w:vMerge w:val="continue"/>
            <w:tcBorders>
              <w:top w:val="nil"/>
              <w:bottom w:val="nil"/>
            </w:tcBorders>
          </w:tcPr>
          <w:p>
            <w:pPr>
              <w:rPr>
                <w:rFonts w:ascii="Arial"/>
                <w:sz w:val="21"/>
              </w:rPr>
            </w:pPr>
            <w:r/>
          </w:p>
        </w:tc>
        <w:tc>
          <w:tcPr>
            <w:tcW w:w="1289" w:type="dxa"/>
            <w:vAlign w:val="top"/>
            <w:vMerge w:val="continue"/>
            <w:tcBorders>
              <w:top w:val="nil"/>
              <w:bottom w:val="nil"/>
            </w:tcBorders>
          </w:tcPr>
          <w:p>
            <w:pPr>
              <w:rPr>
                <w:rFonts w:ascii="Arial"/>
                <w:sz w:val="21"/>
              </w:rPr>
            </w:pPr>
            <w:r/>
          </w:p>
        </w:tc>
        <w:tc>
          <w:tcPr>
            <w:tcW w:w="3168" w:type="dxa"/>
            <w:vAlign w:val="top"/>
            <w:vMerge w:val="continue"/>
            <w:tcBorders>
              <w:top w:val="nil"/>
              <w:bottom w:val="nil"/>
            </w:tcBorders>
          </w:tcPr>
          <w:p>
            <w:pPr>
              <w:rPr>
                <w:rFonts w:ascii="Arial"/>
                <w:sz w:val="21"/>
              </w:rPr>
            </w:pPr>
            <w:r/>
          </w:p>
        </w:tc>
        <w:tc>
          <w:tcPr>
            <w:tcW w:w="1199" w:type="dxa"/>
            <w:vAlign w:val="top"/>
          </w:tcPr>
          <w:p>
            <w:pPr>
              <w:pStyle w:val="TableText"/>
              <w:ind w:left="173"/>
              <w:spacing w:before="269" w:line="219" w:lineRule="auto"/>
              <w:rPr>
                <w:sz w:val="12"/>
                <w:szCs w:val="12"/>
              </w:rPr>
            </w:pPr>
            <w:r>
              <w:rPr>
                <w:sz w:val="12"/>
                <w:szCs w:val="12"/>
                <w:spacing w:val="-1"/>
              </w:rPr>
              <w:t>生物话性有机肥</w:t>
            </w:r>
          </w:p>
        </w:tc>
        <w:tc>
          <w:tcPr>
            <w:tcW w:w="1789" w:type="dxa"/>
            <w:vAlign w:val="top"/>
          </w:tcPr>
          <w:p>
            <w:pPr>
              <w:pStyle w:val="TableText"/>
              <w:ind w:left="14"/>
              <w:spacing w:before="78" w:line="215" w:lineRule="auto"/>
              <w:rPr>
                <w:sz w:val="12"/>
                <w:szCs w:val="12"/>
              </w:rPr>
            </w:pPr>
            <w:r>
              <w:rPr>
                <w:sz w:val="12"/>
                <w:szCs w:val="12"/>
                <w:spacing w:val="-1"/>
              </w:rPr>
              <w:t>氮磷钾大于6%,有机质30%,腐殖酸</w:t>
            </w:r>
          </w:p>
          <w:p>
            <w:pPr>
              <w:pStyle w:val="TableText"/>
              <w:ind w:left="44"/>
              <w:spacing w:line="202" w:lineRule="auto"/>
              <w:rPr>
                <w:sz w:val="12"/>
                <w:szCs w:val="12"/>
              </w:rPr>
            </w:pPr>
            <w:r>
              <w:rPr>
                <w:sz w:val="12"/>
                <w:szCs w:val="12"/>
                <w:spacing w:val="-1"/>
              </w:rPr>
              <w:t>大于10%,蓝麻饼大于20%,土壤调</w:t>
            </w:r>
          </w:p>
          <w:p>
            <w:pPr>
              <w:pStyle w:val="TableText"/>
              <w:spacing w:line="200" w:lineRule="auto"/>
              <w:jc w:val="right"/>
              <w:rPr>
                <w:sz w:val="12"/>
                <w:szCs w:val="12"/>
              </w:rPr>
            </w:pPr>
            <w:r>
              <w:rPr>
                <w:sz w:val="12"/>
                <w:szCs w:val="12"/>
                <w:spacing w:val="-6"/>
              </w:rPr>
              <w:t>理剂大于10%活性菌2亿/克，微量元</w:t>
            </w:r>
          </w:p>
          <w:p>
            <w:pPr>
              <w:pStyle w:val="TableText"/>
              <w:ind w:left="104"/>
              <w:spacing w:line="219" w:lineRule="auto"/>
              <w:rPr>
                <w:sz w:val="12"/>
                <w:szCs w:val="12"/>
              </w:rPr>
            </w:pPr>
            <w:r>
              <w:rPr>
                <w:sz w:val="12"/>
                <w:szCs w:val="12"/>
                <w:spacing w:val="-1"/>
              </w:rPr>
              <w:t>素钙、镇、硫，铁，锌、铜等</w:t>
            </w:r>
          </w:p>
        </w:tc>
        <w:tc>
          <w:tcPr>
            <w:tcW w:w="1599" w:type="dxa"/>
            <w:vAlign w:val="top"/>
          </w:tcPr>
          <w:p>
            <w:pPr>
              <w:pStyle w:val="TableText"/>
              <w:ind w:left="495"/>
              <w:spacing w:before="269" w:line="219" w:lineRule="auto"/>
              <w:rPr>
                <w:sz w:val="12"/>
                <w:szCs w:val="12"/>
              </w:rPr>
            </w:pPr>
            <w:r>
              <w:rPr>
                <w:sz w:val="12"/>
                <w:szCs w:val="12"/>
                <w:spacing w:val="-1"/>
              </w:rPr>
              <w:t>穴施或散施</w:t>
            </w:r>
          </w:p>
        </w:tc>
        <w:tc>
          <w:tcPr>
            <w:tcW w:w="979" w:type="dxa"/>
            <w:vAlign w:val="top"/>
            <w:vMerge w:val="continue"/>
            <w:tcBorders>
              <w:top w:val="nil"/>
              <w:bottom w:val="nil"/>
            </w:tcBorders>
          </w:tcPr>
          <w:p>
            <w:pPr>
              <w:rPr>
                <w:rFonts w:ascii="Arial"/>
                <w:sz w:val="21"/>
              </w:rPr>
            </w:pPr>
            <w:r/>
          </w:p>
        </w:tc>
        <w:tc>
          <w:tcPr>
            <w:tcW w:w="669" w:type="dxa"/>
            <w:vAlign w:val="top"/>
          </w:tcPr>
          <w:p>
            <w:pPr>
              <w:pStyle w:val="TableText"/>
              <w:ind w:right="4"/>
              <w:spacing w:before="265" w:line="214" w:lineRule="auto"/>
              <w:jc w:val="right"/>
              <w:rPr>
                <w:sz w:val="12"/>
                <w:szCs w:val="12"/>
              </w:rPr>
            </w:pPr>
            <w:r>
              <w:rPr>
                <w:sz w:val="12"/>
                <w:szCs w:val="12"/>
                <w:spacing w:val="-1"/>
              </w:rPr>
              <w:t>40Kg/袋</w:t>
            </w:r>
          </w:p>
        </w:tc>
        <w:tc>
          <w:tcPr>
            <w:tcW w:w="2443" w:type="dxa"/>
            <w:vAlign w:val="top"/>
          </w:tcPr>
          <w:p>
            <w:pPr>
              <w:pStyle w:val="TableText"/>
              <w:ind w:left="17"/>
              <w:spacing w:before="150" w:line="218" w:lineRule="auto"/>
              <w:jc w:val="both"/>
              <w:rPr>
                <w:sz w:val="12"/>
                <w:szCs w:val="12"/>
              </w:rPr>
            </w:pPr>
            <w:r>
              <w:rPr>
                <w:sz w:val="12"/>
                <w:szCs w:val="12"/>
                <w:spacing w:val="-5"/>
              </w:rPr>
              <w:t>改青土壤结构，增强通风、储水能力。乔灌木、</w:t>
            </w:r>
            <w:r>
              <w:rPr>
                <w:sz w:val="12"/>
                <w:szCs w:val="12"/>
              </w:rPr>
              <w:t xml:space="preserve"> </w:t>
            </w:r>
            <w:r>
              <w:rPr>
                <w:sz w:val="12"/>
                <w:szCs w:val="12"/>
                <w:spacing w:val="-3"/>
              </w:rPr>
              <w:t>地被、草坪均可使用，1万平方米年度约用量：</w:t>
            </w:r>
            <w:r>
              <w:rPr>
                <w:sz w:val="12"/>
                <w:szCs w:val="12"/>
                <w:spacing w:val="17"/>
              </w:rPr>
              <w:t xml:space="preserve"> </w:t>
            </w:r>
            <w:r>
              <w:rPr>
                <w:sz w:val="12"/>
                <w:szCs w:val="12"/>
                <w:spacing w:val="-2"/>
              </w:rPr>
              <w:t>4D0Kg</w:t>
            </w:r>
          </w:p>
        </w:tc>
      </w:tr>
      <w:tr>
        <w:trPr>
          <w:trHeight w:val="389" w:hRule="atLeast"/>
        </w:trPr>
        <w:tc>
          <w:tcPr>
            <w:tcW w:w="415" w:type="dxa"/>
            <w:vAlign w:val="top"/>
            <w:vMerge w:val="continue"/>
            <w:tcBorders>
              <w:top w:val="nil"/>
              <w:bottom w:val="nil"/>
            </w:tcBorders>
          </w:tcPr>
          <w:p>
            <w:pPr>
              <w:rPr>
                <w:rFonts w:ascii="Arial"/>
                <w:sz w:val="21"/>
              </w:rPr>
            </w:pPr>
            <w:r/>
          </w:p>
        </w:tc>
        <w:tc>
          <w:tcPr>
            <w:tcW w:w="480" w:type="dxa"/>
            <w:vAlign w:val="top"/>
            <w:vMerge w:val="continue"/>
            <w:tcBorders>
              <w:top w:val="nil"/>
              <w:bottom w:val="nil"/>
            </w:tcBorders>
          </w:tcPr>
          <w:p>
            <w:pPr>
              <w:rPr>
                <w:rFonts w:ascii="Arial"/>
                <w:sz w:val="21"/>
              </w:rPr>
            </w:pPr>
            <w:r/>
          </w:p>
        </w:tc>
        <w:tc>
          <w:tcPr>
            <w:tcW w:w="1289" w:type="dxa"/>
            <w:vAlign w:val="top"/>
            <w:vMerge w:val="continue"/>
            <w:tcBorders>
              <w:top w:val="nil"/>
              <w:bottom w:val="nil"/>
            </w:tcBorders>
          </w:tcPr>
          <w:p>
            <w:pPr>
              <w:rPr>
                <w:rFonts w:ascii="Arial"/>
                <w:sz w:val="21"/>
              </w:rPr>
            </w:pPr>
            <w:r/>
          </w:p>
        </w:tc>
        <w:tc>
          <w:tcPr>
            <w:tcW w:w="3168" w:type="dxa"/>
            <w:vAlign w:val="top"/>
            <w:vMerge w:val="continue"/>
            <w:tcBorders>
              <w:top w:val="nil"/>
              <w:bottom w:val="nil"/>
            </w:tcBorders>
          </w:tcPr>
          <w:p>
            <w:pPr>
              <w:rPr>
                <w:rFonts w:ascii="Arial"/>
                <w:sz w:val="21"/>
              </w:rPr>
            </w:pPr>
            <w:r/>
          </w:p>
        </w:tc>
        <w:tc>
          <w:tcPr>
            <w:tcW w:w="1199" w:type="dxa"/>
            <w:vAlign w:val="top"/>
          </w:tcPr>
          <w:p>
            <w:pPr>
              <w:pStyle w:val="TableText"/>
              <w:ind w:left="173"/>
              <w:spacing w:before="140" w:line="219" w:lineRule="auto"/>
              <w:rPr>
                <w:sz w:val="12"/>
                <w:szCs w:val="12"/>
              </w:rPr>
            </w:pPr>
            <w:r>
              <w:rPr>
                <w:sz w:val="12"/>
                <w:szCs w:val="12"/>
                <w:spacing w:val="-1"/>
              </w:rPr>
              <w:t>硫酸钾型复合肥</w:t>
            </w:r>
          </w:p>
        </w:tc>
        <w:tc>
          <w:tcPr>
            <w:tcW w:w="1789" w:type="dxa"/>
            <w:vAlign w:val="top"/>
          </w:tcPr>
          <w:p>
            <w:pPr>
              <w:pStyle w:val="TableText"/>
              <w:ind w:left="463"/>
              <w:spacing w:before="139" w:line="216" w:lineRule="auto"/>
              <w:rPr>
                <w:sz w:val="12"/>
                <w:szCs w:val="12"/>
              </w:rPr>
            </w:pPr>
            <w:r>
              <w:rPr>
                <w:sz w:val="12"/>
                <w:szCs w:val="12"/>
                <w:spacing w:val="-1"/>
              </w:rPr>
              <w:t>氮15:磷15,钾15</w:t>
            </w:r>
          </w:p>
        </w:tc>
        <w:tc>
          <w:tcPr>
            <w:tcW w:w="1599" w:type="dxa"/>
            <w:vAlign w:val="top"/>
          </w:tcPr>
          <w:p>
            <w:pPr>
              <w:pStyle w:val="TableText"/>
              <w:ind w:left="495"/>
              <w:spacing w:before="141" w:line="220" w:lineRule="auto"/>
              <w:rPr>
                <w:sz w:val="12"/>
                <w:szCs w:val="12"/>
              </w:rPr>
            </w:pPr>
            <w:r>
              <w:rPr>
                <w:sz w:val="12"/>
                <w:szCs w:val="12"/>
                <w:spacing w:val="-1"/>
              </w:rPr>
              <w:t>撒施成六施</w:t>
            </w:r>
          </w:p>
        </w:tc>
        <w:tc>
          <w:tcPr>
            <w:tcW w:w="979" w:type="dxa"/>
            <w:vAlign w:val="top"/>
            <w:vMerge w:val="continue"/>
            <w:tcBorders>
              <w:top w:val="nil"/>
            </w:tcBorders>
          </w:tcPr>
          <w:p>
            <w:pPr>
              <w:rPr>
                <w:rFonts w:ascii="Arial"/>
                <w:sz w:val="21"/>
              </w:rPr>
            </w:pPr>
            <w:r/>
          </w:p>
        </w:tc>
        <w:tc>
          <w:tcPr>
            <w:tcW w:w="669" w:type="dxa"/>
            <w:vAlign w:val="top"/>
          </w:tcPr>
          <w:p>
            <w:pPr>
              <w:pStyle w:val="TableText"/>
              <w:ind w:left="147"/>
              <w:spacing w:before="136" w:line="214" w:lineRule="auto"/>
              <w:rPr>
                <w:sz w:val="12"/>
                <w:szCs w:val="12"/>
              </w:rPr>
            </w:pPr>
            <w:r>
              <w:rPr>
                <w:sz w:val="12"/>
                <w:szCs w:val="12"/>
                <w:spacing w:val="-1"/>
              </w:rPr>
              <w:t>40kg/袋</w:t>
            </w:r>
          </w:p>
        </w:tc>
        <w:tc>
          <w:tcPr>
            <w:tcW w:w="2443" w:type="dxa"/>
            <w:vAlign w:val="top"/>
          </w:tcPr>
          <w:p>
            <w:pPr>
              <w:pStyle w:val="TableText"/>
              <w:ind w:left="17"/>
              <w:spacing w:before="90" w:line="204" w:lineRule="auto"/>
              <w:rPr>
                <w:sz w:val="12"/>
                <w:szCs w:val="12"/>
              </w:rPr>
            </w:pPr>
            <w:r>
              <w:rPr>
                <w:sz w:val="12"/>
                <w:szCs w:val="12"/>
                <w:spacing w:val="-8"/>
              </w:rPr>
              <w:t>乔灌木、地被，草坪均可使用。1万平方米年度约</w:t>
            </w:r>
            <w:r>
              <w:rPr>
                <w:sz w:val="12"/>
                <w:szCs w:val="12"/>
                <w:spacing w:val="10"/>
              </w:rPr>
              <w:t xml:space="preserve"> </w:t>
            </w:r>
            <w:r>
              <w:rPr>
                <w:sz w:val="12"/>
                <w:szCs w:val="12"/>
                <w:spacing w:val="-1"/>
              </w:rPr>
              <w:t>用量：300kg</w:t>
            </w:r>
          </w:p>
        </w:tc>
      </w:tr>
      <w:tr>
        <w:trPr>
          <w:trHeight w:val="629" w:hRule="atLeast"/>
        </w:trPr>
        <w:tc>
          <w:tcPr>
            <w:tcW w:w="415" w:type="dxa"/>
            <w:vAlign w:val="top"/>
            <w:vMerge w:val="continue"/>
            <w:tcBorders>
              <w:top w:val="nil"/>
              <w:bottom w:val="nil"/>
            </w:tcBorders>
          </w:tcPr>
          <w:p>
            <w:pPr>
              <w:rPr>
                <w:rFonts w:ascii="Arial"/>
                <w:sz w:val="21"/>
              </w:rPr>
            </w:pPr>
            <w:r/>
          </w:p>
        </w:tc>
        <w:tc>
          <w:tcPr>
            <w:tcW w:w="480" w:type="dxa"/>
            <w:vAlign w:val="top"/>
            <w:vMerge w:val="continue"/>
            <w:tcBorders>
              <w:top w:val="nil"/>
            </w:tcBorders>
          </w:tcPr>
          <w:p>
            <w:pPr>
              <w:rPr>
                <w:rFonts w:ascii="Arial"/>
                <w:sz w:val="21"/>
              </w:rPr>
            </w:pPr>
            <w:r/>
          </w:p>
        </w:tc>
        <w:tc>
          <w:tcPr>
            <w:tcW w:w="1289" w:type="dxa"/>
            <w:vAlign w:val="top"/>
            <w:vMerge w:val="continue"/>
            <w:tcBorders>
              <w:top w:val="nil"/>
            </w:tcBorders>
          </w:tcPr>
          <w:p>
            <w:pPr>
              <w:rPr>
                <w:rFonts w:ascii="Arial"/>
                <w:sz w:val="21"/>
              </w:rPr>
            </w:pPr>
            <w:r/>
          </w:p>
        </w:tc>
        <w:tc>
          <w:tcPr>
            <w:tcW w:w="3168" w:type="dxa"/>
            <w:vAlign w:val="top"/>
            <w:vMerge w:val="continue"/>
            <w:tcBorders>
              <w:top w:val="nil"/>
            </w:tcBorders>
          </w:tcPr>
          <w:p>
            <w:pPr>
              <w:rPr>
                <w:rFonts w:ascii="Arial"/>
                <w:sz w:val="21"/>
              </w:rPr>
            </w:pPr>
            <w:r/>
          </w:p>
        </w:tc>
        <w:tc>
          <w:tcPr>
            <w:tcW w:w="1199" w:type="dxa"/>
            <w:vAlign w:val="top"/>
          </w:tcPr>
          <w:p>
            <w:pPr>
              <w:pStyle w:val="TableText"/>
              <w:ind w:left="173"/>
              <w:spacing w:before="261" w:line="219" w:lineRule="auto"/>
              <w:rPr>
                <w:sz w:val="12"/>
                <w:szCs w:val="12"/>
              </w:rPr>
            </w:pPr>
            <w:r>
              <w:rPr>
                <w:sz w:val="12"/>
                <w:szCs w:val="12"/>
                <w:spacing w:val="-1"/>
              </w:rPr>
              <w:t>高效骑驿复合肥</w:t>
            </w:r>
          </w:p>
        </w:tc>
        <w:tc>
          <w:tcPr>
            <w:tcW w:w="1789" w:type="dxa"/>
            <w:vAlign w:val="top"/>
          </w:tcPr>
          <w:p>
            <w:pPr>
              <w:pStyle w:val="TableText"/>
              <w:ind w:left="584"/>
              <w:spacing w:before="262" w:line="219" w:lineRule="auto"/>
              <w:rPr>
                <w:sz w:val="12"/>
                <w:szCs w:val="12"/>
              </w:rPr>
            </w:pPr>
            <w:r>
              <w:rPr>
                <w:sz w:val="12"/>
                <w:szCs w:val="12"/>
                <w:spacing w:val="-1"/>
              </w:rPr>
              <w:t>磷酸二氢驿</w:t>
            </w:r>
          </w:p>
        </w:tc>
        <w:tc>
          <w:tcPr>
            <w:tcW w:w="1599" w:type="dxa"/>
            <w:vAlign w:val="top"/>
          </w:tcPr>
          <w:p>
            <w:pPr>
              <w:pStyle w:val="TableText"/>
              <w:ind w:left="555"/>
              <w:spacing w:before="262" w:line="221" w:lineRule="auto"/>
              <w:rPr>
                <w:sz w:val="12"/>
                <w:szCs w:val="12"/>
              </w:rPr>
            </w:pPr>
            <w:r>
              <w:rPr>
                <w:sz w:val="12"/>
                <w:szCs w:val="12"/>
                <w:spacing w:val="-2"/>
              </w:rPr>
              <w:t>直接穴施</w:t>
            </w:r>
          </w:p>
        </w:tc>
        <w:tc>
          <w:tcPr>
            <w:tcW w:w="979" w:type="dxa"/>
            <w:vAlign w:val="top"/>
          </w:tcPr>
          <w:p>
            <w:pPr>
              <w:pStyle w:val="TableText"/>
              <w:ind w:left="216"/>
              <w:spacing w:before="262" w:line="219" w:lineRule="auto"/>
              <w:rPr>
                <w:sz w:val="12"/>
                <w:szCs w:val="12"/>
              </w:rPr>
            </w:pPr>
            <w:r>
              <w:rPr>
                <w:sz w:val="12"/>
                <w:szCs w:val="12"/>
                <w:spacing w:val="-2"/>
              </w:rPr>
              <w:t>一般用1次</w:t>
            </w:r>
          </w:p>
        </w:tc>
        <w:tc>
          <w:tcPr>
            <w:tcW w:w="669" w:type="dxa"/>
            <w:vAlign w:val="top"/>
          </w:tcPr>
          <w:p>
            <w:pPr>
              <w:pStyle w:val="TableText"/>
              <w:spacing w:before="257" w:line="214" w:lineRule="auto"/>
              <w:jc w:val="right"/>
              <w:rPr>
                <w:sz w:val="12"/>
                <w:szCs w:val="12"/>
              </w:rPr>
            </w:pPr>
            <w:r>
              <w:rPr>
                <w:sz w:val="12"/>
                <w:szCs w:val="12"/>
              </w:rPr>
              <w:t>(25kg/袋)</w:t>
            </w:r>
          </w:p>
        </w:tc>
        <w:tc>
          <w:tcPr>
            <w:tcW w:w="2443" w:type="dxa"/>
            <w:vAlign w:val="top"/>
          </w:tcPr>
          <w:p>
            <w:pPr>
              <w:pStyle w:val="TableText"/>
              <w:ind w:left="17"/>
              <w:spacing w:before="191"/>
              <w:rPr>
                <w:sz w:val="12"/>
                <w:szCs w:val="12"/>
              </w:rPr>
            </w:pPr>
            <w:r>
              <w:rPr>
                <w:sz w:val="12"/>
                <w:szCs w:val="12"/>
                <w:spacing w:val="-9"/>
              </w:rPr>
              <w:t>提高</w:t>
            </w:r>
            <w:r>
              <w:rPr>
                <w:sz w:val="12"/>
                <w:szCs w:val="12"/>
                <w:spacing w:val="-8"/>
              </w:rPr>
              <w:t>树木木版化程度，有利树木安全越冬，1万</w:t>
            </w:r>
            <w:r>
              <w:rPr>
                <w:sz w:val="12"/>
                <w:szCs w:val="12"/>
                <w:spacing w:val="-6"/>
              </w:rPr>
              <w:t>平</w:t>
            </w:r>
            <w:r>
              <w:rPr>
                <w:sz w:val="12"/>
                <w:szCs w:val="12"/>
                <w:spacing w:val="10"/>
              </w:rPr>
              <w:t xml:space="preserve"> </w:t>
            </w:r>
            <w:r>
              <w:rPr>
                <w:sz w:val="12"/>
                <w:szCs w:val="12"/>
                <w:spacing w:val="-1"/>
              </w:rPr>
              <w:t>方来年度的用量：150kg</w:t>
            </w:r>
          </w:p>
        </w:tc>
      </w:tr>
      <w:tr>
        <w:trPr>
          <w:trHeight w:val="619" w:hRule="atLeast"/>
        </w:trPr>
        <w:tc>
          <w:tcPr>
            <w:tcW w:w="415" w:type="dxa"/>
            <w:vAlign w:val="top"/>
            <w:vMerge w:val="continue"/>
            <w:tcBorders>
              <w:top w:val="nil"/>
              <w:bottom w:val="nil"/>
            </w:tcBorders>
          </w:tcPr>
          <w:p>
            <w:pPr>
              <w:rPr>
                <w:rFonts w:ascii="Arial"/>
                <w:sz w:val="21"/>
              </w:rPr>
            </w:pPr>
            <w:r/>
          </w:p>
        </w:tc>
        <w:tc>
          <w:tcPr>
            <w:tcW w:w="480"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pStyle w:val="TableText"/>
              <w:spacing w:before="39" w:line="219" w:lineRule="auto"/>
              <w:jc w:val="right"/>
              <w:rPr>
                <w:sz w:val="12"/>
                <w:szCs w:val="12"/>
              </w:rPr>
            </w:pPr>
            <w:r>
              <w:rPr>
                <w:sz w:val="12"/>
                <w:szCs w:val="12"/>
                <w:spacing w:val="-7"/>
              </w:rPr>
              <w:t>草</w:t>
            </w:r>
            <w:r>
              <w:rPr>
                <w:sz w:val="12"/>
                <w:szCs w:val="12"/>
                <w:spacing w:val="-6"/>
              </w:rPr>
              <w:t>应复</w:t>
            </w:r>
            <w:r>
              <w:rPr>
                <w:sz w:val="12"/>
                <w:szCs w:val="12"/>
                <w:spacing w:val="-5"/>
              </w:rPr>
              <w:t>绿</w:t>
            </w:r>
          </w:p>
        </w:tc>
        <w:tc>
          <w:tcPr>
            <w:tcW w:w="1289" w:type="dxa"/>
            <w:vAlign w:val="top"/>
            <w:vMerge w:val="restart"/>
            <w:tcBorders>
              <w:bottom w:val="nil"/>
            </w:tcBorders>
          </w:tcPr>
          <w:p>
            <w:pPr>
              <w:spacing w:line="471" w:lineRule="auto"/>
              <w:rPr>
                <w:rFonts w:ascii="Arial"/>
                <w:sz w:val="21"/>
              </w:rPr>
            </w:pPr>
            <w:r/>
          </w:p>
          <w:p>
            <w:pPr>
              <w:pStyle w:val="TableText"/>
              <w:ind w:left="579" w:hanging="570"/>
              <w:spacing w:before="39" w:line="210" w:lineRule="auto"/>
              <w:rPr>
                <w:sz w:val="12"/>
                <w:szCs w:val="12"/>
              </w:rPr>
            </w:pPr>
            <w:r>
              <w:rPr>
                <w:sz w:val="12"/>
                <w:szCs w:val="12"/>
                <w:spacing w:val="-5"/>
              </w:rPr>
              <w:t>草坪发芽及长势不良及病</w:t>
            </w:r>
            <w:r>
              <w:rPr>
                <w:sz w:val="12"/>
                <w:szCs w:val="12"/>
                <w:spacing w:val="2"/>
              </w:rPr>
              <w:t xml:space="preserve"> </w:t>
            </w:r>
            <w:r>
              <w:rPr>
                <w:sz w:val="12"/>
                <w:szCs w:val="12"/>
              </w:rPr>
              <w:t>害</w:t>
            </w:r>
          </w:p>
        </w:tc>
        <w:tc>
          <w:tcPr>
            <w:tcW w:w="3168" w:type="dxa"/>
            <w:vAlign w:val="top"/>
            <w:vMerge w:val="restart"/>
            <w:tcBorders>
              <w:bottom w:val="nil"/>
            </w:tcBorders>
          </w:tcPr>
          <w:p>
            <w:pPr>
              <w:spacing w:line="262" w:lineRule="auto"/>
              <w:rPr>
                <w:rFonts w:ascii="Arial"/>
                <w:sz w:val="21"/>
              </w:rPr>
            </w:pPr>
            <w:r/>
          </w:p>
          <w:p>
            <w:pPr>
              <w:pStyle w:val="TableText"/>
              <w:ind w:left="1" w:right="6" w:firstLine="9"/>
              <w:spacing w:before="39" w:line="209" w:lineRule="auto"/>
              <w:rPr>
                <w:sz w:val="12"/>
                <w:szCs w:val="12"/>
              </w:rPr>
            </w:pPr>
            <w:r>
              <w:rPr>
                <w:sz w:val="12"/>
                <w:szCs w:val="12"/>
                <w:spacing w:val="-6"/>
              </w:rPr>
              <w:t>一、主要集中在4月，气温上升，空气湿度增加。苗木结束体医</w:t>
            </w:r>
            <w:r>
              <w:rPr>
                <w:sz w:val="12"/>
                <w:szCs w:val="12"/>
                <w:spacing w:val="6"/>
              </w:rPr>
              <w:t xml:space="preserve"> </w:t>
            </w:r>
            <w:r>
              <w:rPr>
                <w:sz w:val="12"/>
                <w:szCs w:val="12"/>
                <w:spacing w:val="-1"/>
              </w:rPr>
              <w:t>期开始返青，是草皮施肥复绿最住时机：</w:t>
            </w:r>
          </w:p>
          <w:p>
            <w:pPr>
              <w:pStyle w:val="TableText"/>
              <w:ind w:left="1" w:right="12" w:firstLine="9"/>
              <w:spacing w:before="6" w:line="211" w:lineRule="auto"/>
              <w:rPr>
                <w:sz w:val="12"/>
                <w:szCs w:val="12"/>
              </w:rPr>
            </w:pPr>
            <w:r>
              <w:rPr>
                <w:sz w:val="12"/>
                <w:szCs w:val="12"/>
              </w:rPr>
              <w:t>,6-7月有个别情况，做专项泊疗一般每月施肥一次，每次用</w:t>
            </w:r>
            <w:r>
              <w:rPr>
                <w:sz w:val="12"/>
                <w:szCs w:val="12"/>
                <w:spacing w:val="13"/>
              </w:rPr>
              <w:t xml:space="preserve"> </w:t>
            </w:r>
            <w:r>
              <w:rPr>
                <w:sz w:val="12"/>
                <w:szCs w:val="12"/>
              </w:rPr>
              <w:t>量为春季的一半左右：</w:t>
            </w:r>
          </w:p>
          <w:p>
            <w:pPr>
              <w:pStyle w:val="TableText"/>
              <w:ind w:left="11"/>
              <w:spacing w:before="6" w:line="219" w:lineRule="auto"/>
              <w:rPr>
                <w:sz w:val="12"/>
                <w:szCs w:val="12"/>
              </w:rPr>
            </w:pPr>
            <w:r>
              <w:rPr>
                <w:sz w:val="12"/>
                <w:szCs w:val="12"/>
              </w:rPr>
              <w:t>三、9月份施冬肥，有机肥、无机肥混合施</w:t>
            </w:r>
            <w:r>
              <w:rPr>
                <w:sz w:val="12"/>
                <w:szCs w:val="12"/>
                <w:spacing w:val="-1"/>
              </w:rPr>
              <w:t>用。</w:t>
            </w:r>
          </w:p>
        </w:tc>
        <w:tc>
          <w:tcPr>
            <w:tcW w:w="1199" w:type="dxa"/>
            <w:vAlign w:val="top"/>
          </w:tcPr>
          <w:p>
            <w:pPr>
              <w:pStyle w:val="TableText"/>
              <w:ind w:left="22"/>
              <w:spacing w:before="212" w:line="201" w:lineRule="auto"/>
              <w:rPr>
                <w:sz w:val="12"/>
                <w:szCs w:val="12"/>
              </w:rPr>
            </w:pPr>
            <w:r>
              <w:rPr>
                <w:sz w:val="12"/>
                <w:szCs w:val="12"/>
                <w:spacing w:val="-1"/>
              </w:rPr>
              <w:t>草坪专用复合肥(无机</w:t>
            </w:r>
          </w:p>
          <w:p>
            <w:pPr>
              <w:pStyle w:val="TableText"/>
              <w:ind w:left="503"/>
              <w:spacing w:line="219" w:lineRule="auto"/>
              <w:rPr>
                <w:sz w:val="12"/>
                <w:szCs w:val="12"/>
              </w:rPr>
            </w:pPr>
            <w:r>
              <w:rPr>
                <w:sz w:val="12"/>
                <w:szCs w:val="12"/>
                <w:spacing w:val="-3"/>
              </w:rPr>
              <w:t>类</w:t>
            </w:r>
            <w:r>
              <w:rPr>
                <w:sz w:val="12"/>
                <w:szCs w:val="12"/>
                <w:spacing w:val="-24"/>
              </w:rPr>
              <w:t xml:space="preserve"> </w:t>
            </w:r>
            <w:r>
              <w:rPr>
                <w:sz w:val="12"/>
                <w:szCs w:val="12"/>
                <w:spacing w:val="-3"/>
              </w:rPr>
              <w:t>)</w:t>
            </w:r>
          </w:p>
        </w:tc>
        <w:tc>
          <w:tcPr>
            <w:tcW w:w="1789" w:type="dxa"/>
            <w:vAlign w:val="top"/>
          </w:tcPr>
          <w:p>
            <w:pPr>
              <w:pStyle w:val="TableText"/>
              <w:ind w:left="343"/>
              <w:spacing w:before="252" w:line="219" w:lineRule="auto"/>
              <w:rPr>
                <w:sz w:val="12"/>
                <w:szCs w:val="12"/>
              </w:rPr>
            </w:pPr>
            <w:r>
              <w:rPr>
                <w:sz w:val="12"/>
                <w:szCs w:val="12"/>
                <w:spacing w:val="-1"/>
              </w:rPr>
              <w:t>大、中、微量元素肥</w:t>
            </w:r>
          </w:p>
        </w:tc>
        <w:tc>
          <w:tcPr>
            <w:tcW w:w="1599" w:type="dxa"/>
            <w:vAlign w:val="top"/>
          </w:tcPr>
          <w:p>
            <w:pPr>
              <w:pStyle w:val="TableText"/>
              <w:ind w:left="555"/>
              <w:spacing w:before="253" w:line="220" w:lineRule="auto"/>
              <w:rPr>
                <w:sz w:val="12"/>
                <w:szCs w:val="12"/>
              </w:rPr>
            </w:pPr>
            <w:r>
              <w:rPr>
                <w:sz w:val="12"/>
                <w:szCs w:val="12"/>
                <w:spacing w:val="-2"/>
              </w:rPr>
              <w:t>直接撒施</w:t>
            </w:r>
          </w:p>
        </w:tc>
        <w:tc>
          <w:tcPr>
            <w:tcW w:w="979"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pStyle w:val="TableText"/>
              <w:ind w:left="65"/>
              <w:spacing w:before="39" w:line="219" w:lineRule="auto"/>
              <w:rPr>
                <w:sz w:val="12"/>
                <w:szCs w:val="12"/>
              </w:rPr>
            </w:pPr>
            <w:r>
              <w:rPr>
                <w:sz w:val="12"/>
                <w:szCs w:val="12"/>
                <w:spacing w:val="-1"/>
              </w:rPr>
              <w:t>视草坪生长情况</w:t>
            </w:r>
          </w:p>
        </w:tc>
        <w:tc>
          <w:tcPr>
            <w:tcW w:w="669" w:type="dxa"/>
            <w:vAlign w:val="top"/>
          </w:tcPr>
          <w:p>
            <w:pPr>
              <w:pStyle w:val="TableText"/>
              <w:spacing w:before="248" w:line="214" w:lineRule="auto"/>
              <w:jc w:val="right"/>
              <w:rPr>
                <w:sz w:val="12"/>
                <w:szCs w:val="12"/>
              </w:rPr>
            </w:pPr>
            <w:r>
              <w:rPr>
                <w:sz w:val="12"/>
                <w:szCs w:val="12"/>
              </w:rPr>
              <w:t>(50kg/袋)</w:t>
            </w:r>
          </w:p>
        </w:tc>
        <w:tc>
          <w:tcPr>
            <w:tcW w:w="2443" w:type="dxa"/>
            <w:vAlign w:val="top"/>
          </w:tcPr>
          <w:p>
            <w:pPr>
              <w:pStyle w:val="TableText"/>
              <w:ind w:left="17"/>
              <w:spacing w:before="202" w:line="212" w:lineRule="auto"/>
              <w:rPr>
                <w:sz w:val="12"/>
                <w:szCs w:val="12"/>
              </w:rPr>
            </w:pPr>
            <w:r>
              <w:rPr>
                <w:sz w:val="12"/>
                <w:szCs w:val="12"/>
                <w:spacing w:val="-3"/>
              </w:rPr>
              <w:t>促进草坪生长，增绿，1万平方米年度约用量：</w:t>
            </w:r>
            <w:r>
              <w:rPr>
                <w:sz w:val="12"/>
                <w:szCs w:val="12"/>
                <w:spacing w:val="17"/>
              </w:rPr>
              <w:t xml:space="preserve"> </w:t>
            </w:r>
            <w:r>
              <w:rPr>
                <w:sz w:val="12"/>
                <w:szCs w:val="12"/>
                <w:spacing w:val="-2"/>
              </w:rPr>
              <w:t>450Kg</w:t>
            </w:r>
          </w:p>
        </w:tc>
      </w:tr>
      <w:tr>
        <w:trPr>
          <w:trHeight w:val="629" w:hRule="atLeast"/>
        </w:trPr>
        <w:tc>
          <w:tcPr>
            <w:tcW w:w="415" w:type="dxa"/>
            <w:vAlign w:val="top"/>
            <w:vMerge w:val="continue"/>
            <w:tcBorders>
              <w:top w:val="nil"/>
            </w:tcBorders>
          </w:tcPr>
          <w:p>
            <w:pPr>
              <w:rPr>
                <w:rFonts w:ascii="Arial"/>
                <w:sz w:val="21"/>
              </w:rPr>
            </w:pPr>
            <w:r/>
          </w:p>
        </w:tc>
        <w:tc>
          <w:tcPr>
            <w:tcW w:w="480" w:type="dxa"/>
            <w:vAlign w:val="top"/>
            <w:vMerge w:val="continue"/>
            <w:tcBorders>
              <w:top w:val="nil"/>
            </w:tcBorders>
          </w:tcPr>
          <w:p>
            <w:pPr>
              <w:rPr>
                <w:rFonts w:ascii="Arial"/>
                <w:sz w:val="21"/>
              </w:rPr>
            </w:pPr>
            <w:r/>
          </w:p>
        </w:tc>
        <w:tc>
          <w:tcPr>
            <w:tcW w:w="1289" w:type="dxa"/>
            <w:vAlign w:val="top"/>
            <w:vMerge w:val="continue"/>
            <w:tcBorders>
              <w:top w:val="nil"/>
            </w:tcBorders>
          </w:tcPr>
          <w:p>
            <w:pPr>
              <w:rPr>
                <w:rFonts w:ascii="Arial"/>
                <w:sz w:val="21"/>
              </w:rPr>
            </w:pPr>
            <w:r/>
          </w:p>
        </w:tc>
        <w:tc>
          <w:tcPr>
            <w:tcW w:w="3168" w:type="dxa"/>
            <w:vAlign w:val="top"/>
            <w:vMerge w:val="continue"/>
            <w:tcBorders>
              <w:top w:val="nil"/>
            </w:tcBorders>
          </w:tcPr>
          <w:p>
            <w:pPr>
              <w:rPr>
                <w:rFonts w:ascii="Arial"/>
                <w:sz w:val="21"/>
              </w:rPr>
            </w:pPr>
            <w:r/>
          </w:p>
        </w:tc>
        <w:tc>
          <w:tcPr>
            <w:tcW w:w="1199" w:type="dxa"/>
            <w:vAlign w:val="top"/>
          </w:tcPr>
          <w:p>
            <w:pPr>
              <w:pStyle w:val="TableText"/>
              <w:ind w:left="523" w:hanging="511"/>
              <w:spacing w:before="194" w:line="247" w:lineRule="auto"/>
              <w:rPr>
                <w:sz w:val="12"/>
                <w:szCs w:val="12"/>
              </w:rPr>
            </w:pPr>
            <w:r>
              <w:rPr>
                <w:sz w:val="12"/>
                <w:szCs w:val="12"/>
                <w:spacing w:val="-3"/>
              </w:rPr>
              <w:t>新姿草坪元素诱导保护</w:t>
            </w:r>
            <w:r>
              <w:rPr>
                <w:sz w:val="12"/>
                <w:szCs w:val="12"/>
                <w:spacing w:val="5"/>
              </w:rPr>
              <w:t xml:space="preserve"> </w:t>
            </w:r>
            <w:r>
              <w:rPr>
                <w:sz w:val="12"/>
                <w:szCs w:val="12"/>
              </w:rPr>
              <w:t>剂</w:t>
            </w:r>
          </w:p>
        </w:tc>
        <w:tc>
          <w:tcPr>
            <w:tcW w:w="1789" w:type="dxa"/>
            <w:vAlign w:val="top"/>
          </w:tcPr>
          <w:p>
            <w:pPr>
              <w:pStyle w:val="TableText"/>
              <w:ind w:left="554"/>
              <w:spacing w:before="263" w:line="219" w:lineRule="auto"/>
              <w:rPr>
                <w:sz w:val="12"/>
                <w:szCs w:val="12"/>
              </w:rPr>
            </w:pPr>
            <w:r>
              <w:rPr>
                <w:sz w:val="12"/>
                <w:szCs w:val="12"/>
                <w:spacing w:val="-1"/>
              </w:rPr>
              <w:t>有机质≥60%</w:t>
            </w:r>
          </w:p>
        </w:tc>
        <w:tc>
          <w:tcPr>
            <w:tcW w:w="1599" w:type="dxa"/>
            <w:vAlign w:val="top"/>
          </w:tcPr>
          <w:p>
            <w:pPr>
              <w:pStyle w:val="TableText"/>
              <w:ind w:left="405"/>
              <w:spacing w:before="264" w:line="219" w:lineRule="auto"/>
              <w:rPr>
                <w:sz w:val="12"/>
                <w:szCs w:val="12"/>
              </w:rPr>
            </w:pPr>
            <w:r>
              <w:rPr>
                <w:sz w:val="12"/>
                <w:szCs w:val="12"/>
                <w:spacing w:val="-1"/>
              </w:rPr>
              <w:t>稀释500-800倍</w:t>
            </w:r>
          </w:p>
        </w:tc>
        <w:tc>
          <w:tcPr>
            <w:tcW w:w="979" w:type="dxa"/>
            <w:vAlign w:val="top"/>
            <w:vMerge w:val="continue"/>
            <w:tcBorders>
              <w:top w:val="nil"/>
            </w:tcBorders>
          </w:tcPr>
          <w:p>
            <w:pPr>
              <w:rPr>
                <w:rFonts w:ascii="Arial"/>
                <w:sz w:val="21"/>
              </w:rPr>
            </w:pPr>
            <w:r/>
          </w:p>
        </w:tc>
        <w:tc>
          <w:tcPr>
            <w:tcW w:w="669" w:type="dxa"/>
            <w:vAlign w:val="top"/>
          </w:tcPr>
          <w:p>
            <w:pPr>
              <w:pStyle w:val="TableText"/>
              <w:spacing w:before="259" w:line="214" w:lineRule="auto"/>
              <w:jc w:val="right"/>
              <w:rPr>
                <w:sz w:val="12"/>
                <w:szCs w:val="12"/>
              </w:rPr>
            </w:pPr>
            <w:r>
              <w:rPr>
                <w:sz w:val="12"/>
                <w:szCs w:val="12"/>
              </w:rPr>
              <w:t>(500g/袋)</w:t>
            </w:r>
          </w:p>
        </w:tc>
        <w:tc>
          <w:tcPr>
            <w:tcW w:w="2443" w:type="dxa"/>
            <w:vAlign w:val="top"/>
          </w:tcPr>
          <w:p>
            <w:pPr>
              <w:pStyle w:val="TableText"/>
              <w:ind w:left="17"/>
              <w:spacing w:before="193" w:line="212" w:lineRule="auto"/>
              <w:rPr>
                <w:sz w:val="12"/>
                <w:szCs w:val="12"/>
              </w:rPr>
            </w:pPr>
            <w:r>
              <w:rPr>
                <w:sz w:val="12"/>
                <w:szCs w:val="12"/>
                <w:spacing w:val="-5"/>
              </w:rPr>
              <w:t>促进草坪快速生根。全面营养，使用安全方便，</w:t>
            </w:r>
            <w:r>
              <w:rPr>
                <w:sz w:val="12"/>
                <w:szCs w:val="12"/>
              </w:rPr>
              <w:t xml:space="preserve"> </w:t>
            </w:r>
            <w:r>
              <w:rPr>
                <w:sz w:val="12"/>
                <w:szCs w:val="12"/>
                <w:spacing w:val="-4"/>
              </w:rPr>
              <w:t>万平方米年度约用量：15kg</w:t>
            </w:r>
          </w:p>
        </w:tc>
      </w:tr>
      <w:tr>
        <w:trPr>
          <w:trHeight w:val="574" w:hRule="atLeast"/>
        </w:trPr>
        <w:tc>
          <w:tcPr>
            <w:tcW w:w="415" w:type="dxa"/>
            <w:vAlign w:val="top"/>
          </w:tcPr>
          <w:p>
            <w:pPr>
              <w:pStyle w:val="TableText"/>
              <w:ind w:left="74"/>
              <w:spacing w:before="235" w:line="220" w:lineRule="auto"/>
              <w:rPr>
                <w:sz w:val="12"/>
                <w:szCs w:val="12"/>
              </w:rPr>
            </w:pPr>
            <w:r>
              <w:rPr>
                <w:sz w:val="12"/>
                <w:szCs w:val="12"/>
                <w:spacing w:val="-2"/>
              </w:rPr>
              <w:t>其他</w:t>
            </w:r>
          </w:p>
        </w:tc>
        <w:tc>
          <w:tcPr>
            <w:tcW w:w="480" w:type="dxa"/>
            <w:vAlign w:val="top"/>
          </w:tcPr>
          <w:p>
            <w:pPr>
              <w:pStyle w:val="TableText"/>
              <w:spacing w:before="234" w:line="219" w:lineRule="auto"/>
              <w:jc w:val="right"/>
              <w:rPr>
                <w:sz w:val="12"/>
                <w:szCs w:val="12"/>
              </w:rPr>
            </w:pPr>
            <w:r>
              <w:rPr>
                <w:sz w:val="12"/>
                <w:szCs w:val="12"/>
                <w:spacing w:val="-6"/>
              </w:rPr>
              <w:t>树木养护</w:t>
            </w:r>
          </w:p>
        </w:tc>
        <w:tc>
          <w:tcPr>
            <w:tcW w:w="1289" w:type="dxa"/>
            <w:vAlign w:val="top"/>
          </w:tcPr>
          <w:p>
            <w:pPr>
              <w:pStyle w:val="TableText"/>
              <w:ind w:left="519" w:right="1" w:hanging="510"/>
              <w:spacing w:before="154" w:line="233" w:lineRule="auto"/>
              <w:rPr>
                <w:sz w:val="12"/>
                <w:szCs w:val="12"/>
              </w:rPr>
            </w:pPr>
            <w:r>
              <w:rPr>
                <w:sz w:val="12"/>
                <w:szCs w:val="12"/>
                <w:spacing w:val="-5"/>
              </w:rPr>
              <w:t>树木修剪创口，腐烂病害</w:t>
            </w:r>
            <w:r>
              <w:rPr>
                <w:sz w:val="12"/>
                <w:szCs w:val="12"/>
                <w:spacing w:val="1"/>
              </w:rPr>
              <w:t xml:space="preserve"> </w:t>
            </w:r>
            <w:r>
              <w:rPr>
                <w:sz w:val="12"/>
                <w:szCs w:val="12"/>
                <w:spacing w:val="8"/>
              </w:rPr>
              <w:t>伤口</w:t>
            </w:r>
          </w:p>
        </w:tc>
        <w:tc>
          <w:tcPr>
            <w:tcW w:w="3168" w:type="dxa"/>
            <w:vAlign w:val="top"/>
          </w:tcPr>
          <w:p>
            <w:pPr>
              <w:pStyle w:val="TableText"/>
              <w:ind w:left="1361"/>
              <w:spacing w:before="234" w:line="219" w:lineRule="auto"/>
              <w:rPr>
                <w:sz w:val="12"/>
                <w:szCs w:val="12"/>
              </w:rPr>
            </w:pPr>
            <w:r>
              <w:rPr>
                <w:sz w:val="12"/>
                <w:szCs w:val="12"/>
                <w:spacing w:val="2"/>
              </w:rPr>
              <w:t>日常养护</w:t>
            </w:r>
          </w:p>
        </w:tc>
        <w:tc>
          <w:tcPr>
            <w:tcW w:w="1199" w:type="dxa"/>
            <w:vAlign w:val="top"/>
          </w:tcPr>
          <w:p>
            <w:pPr>
              <w:pStyle w:val="TableText"/>
              <w:ind w:left="173"/>
              <w:spacing w:before="234" w:line="219" w:lineRule="auto"/>
              <w:rPr>
                <w:sz w:val="12"/>
                <w:szCs w:val="12"/>
              </w:rPr>
            </w:pPr>
            <w:r>
              <w:rPr>
                <w:sz w:val="12"/>
                <w:szCs w:val="12"/>
                <w:spacing w:val="1"/>
              </w:rPr>
              <w:t>国光愈伤涂膜剂</w:t>
            </w:r>
          </w:p>
        </w:tc>
        <w:tc>
          <w:tcPr>
            <w:tcW w:w="1789" w:type="dxa"/>
            <w:vAlign w:val="top"/>
          </w:tcPr>
          <w:p>
            <w:pPr>
              <w:pStyle w:val="TableText"/>
              <w:ind w:left="663" w:hanging="649"/>
              <w:spacing w:before="164" w:line="211" w:lineRule="auto"/>
              <w:rPr>
                <w:sz w:val="12"/>
                <w:szCs w:val="12"/>
              </w:rPr>
            </w:pPr>
            <w:r>
              <w:rPr>
                <w:sz w:val="12"/>
                <w:szCs w:val="12"/>
                <w:spacing w:val="-3"/>
              </w:rPr>
              <w:t>成服剂、甲基硫菌灵，防腐剂、促</w:t>
            </w:r>
            <w:r>
              <w:rPr>
                <w:sz w:val="12"/>
                <w:szCs w:val="12"/>
                <w:spacing w:val="8"/>
              </w:rPr>
              <w:t xml:space="preserve"> </w:t>
            </w:r>
            <w:r>
              <w:rPr>
                <w:sz w:val="12"/>
                <w:szCs w:val="12"/>
                <w:spacing w:val="-2"/>
              </w:rPr>
              <w:t>生长物质</w:t>
            </w:r>
          </w:p>
        </w:tc>
        <w:tc>
          <w:tcPr>
            <w:tcW w:w="1599" w:type="dxa"/>
            <w:vAlign w:val="top"/>
          </w:tcPr>
          <w:p>
            <w:pPr>
              <w:pStyle w:val="TableText"/>
              <w:ind w:left="134"/>
              <w:spacing w:before="234" w:line="219" w:lineRule="auto"/>
              <w:rPr>
                <w:sz w:val="12"/>
                <w:szCs w:val="12"/>
              </w:rPr>
            </w:pPr>
            <w:r>
              <w:rPr>
                <w:sz w:val="12"/>
                <w:szCs w:val="12"/>
                <w:spacing w:val="-1"/>
              </w:rPr>
              <w:t>直接使用，可略加水稀释</w:t>
            </w:r>
          </w:p>
        </w:tc>
        <w:tc>
          <w:tcPr>
            <w:tcW w:w="979" w:type="dxa"/>
            <w:vAlign w:val="top"/>
          </w:tcPr>
          <w:p>
            <w:pPr>
              <w:pStyle w:val="TableText"/>
              <w:spacing w:before="155" w:line="219" w:lineRule="auto"/>
              <w:jc w:val="right"/>
              <w:rPr>
                <w:sz w:val="12"/>
                <w:szCs w:val="12"/>
              </w:rPr>
            </w:pPr>
            <w:r>
              <w:rPr>
                <w:sz w:val="12"/>
                <w:szCs w:val="12"/>
                <w:spacing w:val="-1"/>
              </w:rPr>
              <w:t>乔木修剪后和树皮</w:t>
            </w:r>
          </w:p>
          <w:p>
            <w:pPr>
              <w:pStyle w:val="TableText"/>
              <w:ind w:left="306"/>
              <w:spacing w:before="18" w:line="221" w:lineRule="auto"/>
              <w:rPr>
                <w:sz w:val="12"/>
                <w:szCs w:val="12"/>
              </w:rPr>
            </w:pPr>
            <w:r>
              <w:rPr>
                <w:sz w:val="12"/>
                <w:szCs w:val="12"/>
                <w:spacing w:val="-1"/>
              </w:rPr>
              <w:t>破损时</w:t>
            </w:r>
          </w:p>
        </w:tc>
        <w:tc>
          <w:tcPr>
            <w:tcW w:w="669" w:type="dxa"/>
            <w:vAlign w:val="top"/>
          </w:tcPr>
          <w:p>
            <w:pPr>
              <w:pStyle w:val="TableText"/>
              <w:spacing w:before="230" w:line="214" w:lineRule="auto"/>
              <w:jc w:val="right"/>
              <w:rPr>
                <w:sz w:val="12"/>
                <w:szCs w:val="12"/>
              </w:rPr>
            </w:pPr>
            <w:r>
              <w:rPr>
                <w:sz w:val="12"/>
                <w:szCs w:val="12"/>
              </w:rPr>
              <w:t>(500g/瓶)</w:t>
            </w:r>
          </w:p>
        </w:tc>
        <w:tc>
          <w:tcPr>
            <w:tcW w:w="2443" w:type="dxa"/>
            <w:vAlign w:val="top"/>
          </w:tcPr>
          <w:p>
            <w:pPr>
              <w:pStyle w:val="TableText"/>
              <w:ind w:left="17"/>
              <w:spacing w:before="234" w:line="219" w:lineRule="auto"/>
              <w:rPr>
                <w:sz w:val="12"/>
                <w:szCs w:val="12"/>
              </w:rPr>
            </w:pPr>
            <w:r>
              <w:rPr>
                <w:sz w:val="12"/>
                <w:szCs w:val="12"/>
                <w:spacing w:val="-1"/>
              </w:rPr>
              <w:t>促进伤口快速愈合，杀菌防腐</w:t>
            </w:r>
          </w:p>
        </w:tc>
      </w:tr>
    </w:tbl>
    <w:p>
      <w:pPr>
        <w:rPr>
          <w:rFonts w:ascii="Arial"/>
          <w:sz w:val="21"/>
        </w:rPr>
      </w:pPr>
      <w:r/>
    </w:p>
    <w:p>
      <w:pPr>
        <w:sectPr>
          <w:pgSz w:w="14490" w:h="10240"/>
          <w:pgMar w:top="115" w:right="244" w:bottom="400" w:left="204" w:header="0" w:footer="0" w:gutter="0"/>
        </w:sectPr>
        <w:rPr>
          <w:rFonts w:ascii="Arial" w:hAnsi="Arial" w:eastAsia="Arial" w:cs="Arial"/>
          <w:sz w:val="21"/>
          <w:szCs w:val="21"/>
        </w:rPr>
      </w:pPr>
    </w:p>
    <w:tbl>
      <w:tblPr>
        <w:tblStyle w:val="TableNormal"/>
        <w:tblW w:w="13964"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609"/>
        <w:gridCol w:w="929"/>
        <w:gridCol w:w="2968"/>
        <w:gridCol w:w="1259"/>
        <w:gridCol w:w="1899"/>
        <w:gridCol w:w="1599"/>
        <w:gridCol w:w="1039"/>
        <w:gridCol w:w="699"/>
        <w:gridCol w:w="2548"/>
      </w:tblGrid>
      <w:tr>
        <w:trPr>
          <w:trHeight w:val="639" w:hRule="atLeast"/>
        </w:trPr>
        <w:tc>
          <w:tcPr>
            <w:tcW w:w="13964" w:type="dxa"/>
            <w:vAlign w:val="top"/>
            <w:gridSpan w:val="10"/>
            <w:tcBorders>
              <w:bottom w:val="single" w:color="000000" w:sz="2" w:space="0"/>
              <w:top w:val="single" w:color="000000" w:sz="2" w:space="0"/>
            </w:tcBorders>
          </w:tcPr>
          <w:p>
            <w:pPr>
              <w:pStyle w:val="TableText"/>
              <w:ind w:left="5937"/>
              <w:spacing w:before="163" w:line="218" w:lineRule="auto"/>
              <w:rPr>
                <w:sz w:val="16"/>
                <w:szCs w:val="16"/>
              </w:rPr>
            </w:pPr>
            <w:r>
              <w:rPr>
                <w:sz w:val="16"/>
                <w:szCs w:val="16"/>
                <w:b/>
                <w:bCs/>
                <w:spacing w:val="-2"/>
              </w:rPr>
              <w:t>内蒙古地区农药肥料使用指导</w:t>
            </w:r>
          </w:p>
          <w:p>
            <w:pPr>
              <w:pStyle w:val="TableText"/>
              <w:ind w:left="4757"/>
              <w:spacing w:before="19" w:line="218" w:lineRule="auto"/>
              <w:rPr>
                <w:sz w:val="16"/>
                <w:szCs w:val="16"/>
              </w:rPr>
            </w:pPr>
            <w:r>
              <w:rPr>
                <w:sz w:val="16"/>
                <w:szCs w:val="16"/>
                <w:b/>
                <w:bCs/>
                <w:spacing w:val="-1"/>
              </w:rPr>
              <w:t>(本表中药品供参考，如有同类且成分相同、价格合理、低毒高效的药品，可选择使用)</w:t>
            </w:r>
          </w:p>
        </w:tc>
      </w:tr>
      <w:tr>
        <w:trPr>
          <w:trHeight w:val="604" w:hRule="atLeast"/>
        </w:trPr>
        <w:tc>
          <w:tcPr>
            <w:tcW w:w="415" w:type="dxa"/>
            <w:vAlign w:val="top"/>
            <w:tcBorders>
              <w:bottom w:val="single" w:color="000000" w:sz="2" w:space="0"/>
              <w:top w:val="single" w:color="000000" w:sz="2" w:space="0"/>
            </w:tcBorders>
          </w:tcPr>
          <w:p>
            <w:pPr>
              <w:pStyle w:val="TableText"/>
              <w:ind w:left="76"/>
              <w:spacing w:before="238" w:line="219" w:lineRule="auto"/>
              <w:rPr>
                <w:sz w:val="12"/>
                <w:szCs w:val="12"/>
              </w:rPr>
            </w:pPr>
            <w:r>
              <w:rPr>
                <w:sz w:val="12"/>
                <w:szCs w:val="12"/>
                <w:b/>
                <w:bCs/>
                <w:spacing w:val="-3"/>
              </w:rPr>
              <w:t>分类</w:t>
            </w:r>
          </w:p>
        </w:tc>
        <w:tc>
          <w:tcPr>
            <w:tcW w:w="609" w:type="dxa"/>
            <w:vAlign w:val="top"/>
            <w:tcBorders>
              <w:bottom w:val="single" w:color="000000" w:sz="2" w:space="0"/>
              <w:top w:val="single" w:color="000000" w:sz="2" w:space="0"/>
            </w:tcBorders>
          </w:tcPr>
          <w:p>
            <w:pPr>
              <w:pStyle w:val="TableText"/>
              <w:ind w:left="51"/>
              <w:spacing w:before="88" w:line="219" w:lineRule="auto"/>
              <w:rPr>
                <w:sz w:val="12"/>
                <w:szCs w:val="12"/>
              </w:rPr>
            </w:pPr>
            <w:r>
              <w:rPr>
                <w:sz w:val="12"/>
                <w:szCs w:val="12"/>
                <w:b/>
                <w:bCs/>
                <w:spacing w:val="-3"/>
              </w:rPr>
              <w:t>消杀预防</w:t>
            </w:r>
          </w:p>
          <w:p>
            <w:pPr>
              <w:pStyle w:val="TableText"/>
              <w:ind w:left="51"/>
              <w:spacing w:before="28" w:line="214" w:lineRule="auto"/>
              <w:rPr>
                <w:sz w:val="12"/>
                <w:szCs w:val="12"/>
              </w:rPr>
            </w:pPr>
            <w:r>
              <w:rPr>
                <w:sz w:val="12"/>
                <w:szCs w:val="12"/>
                <w:b/>
                <w:bCs/>
                <w:spacing w:val="-3"/>
              </w:rPr>
              <w:t>及病虫害</w:t>
            </w:r>
          </w:p>
          <w:p>
            <w:pPr>
              <w:pStyle w:val="TableText"/>
              <w:ind w:left="171"/>
              <w:spacing w:line="219" w:lineRule="auto"/>
              <w:rPr>
                <w:sz w:val="12"/>
                <w:szCs w:val="12"/>
              </w:rPr>
            </w:pPr>
            <w:r>
              <w:rPr>
                <w:sz w:val="12"/>
                <w:szCs w:val="12"/>
                <w:b/>
                <w:bCs/>
                <w:spacing w:val="-3"/>
              </w:rPr>
              <w:t>分类</w:t>
            </w:r>
          </w:p>
        </w:tc>
        <w:tc>
          <w:tcPr>
            <w:tcW w:w="929" w:type="dxa"/>
            <w:vAlign w:val="top"/>
            <w:tcBorders>
              <w:bottom w:val="single" w:color="000000" w:sz="2" w:space="0"/>
              <w:top w:val="single" w:color="000000" w:sz="2" w:space="0"/>
            </w:tcBorders>
          </w:tcPr>
          <w:p>
            <w:pPr>
              <w:pStyle w:val="TableText"/>
              <w:ind w:left="152"/>
              <w:spacing w:before="238" w:line="219" w:lineRule="auto"/>
              <w:rPr>
                <w:sz w:val="12"/>
                <w:szCs w:val="12"/>
              </w:rPr>
            </w:pPr>
            <w:r>
              <w:rPr>
                <w:sz w:val="12"/>
                <w:szCs w:val="12"/>
                <w:b/>
                <w:bCs/>
                <w:spacing w:val="-3"/>
              </w:rPr>
              <w:t>常见病虫害</w:t>
            </w:r>
          </w:p>
        </w:tc>
        <w:tc>
          <w:tcPr>
            <w:tcW w:w="2968" w:type="dxa"/>
            <w:vAlign w:val="top"/>
            <w:tcBorders>
              <w:bottom w:val="single" w:color="000000" w:sz="2" w:space="0"/>
              <w:top w:val="single" w:color="000000" w:sz="2" w:space="0"/>
            </w:tcBorders>
          </w:tcPr>
          <w:p>
            <w:pPr>
              <w:pStyle w:val="TableText"/>
              <w:ind w:left="1143"/>
              <w:spacing w:before="238" w:line="219" w:lineRule="auto"/>
              <w:rPr>
                <w:sz w:val="12"/>
                <w:szCs w:val="12"/>
              </w:rPr>
            </w:pPr>
            <w:r>
              <w:rPr>
                <w:sz w:val="12"/>
                <w:szCs w:val="12"/>
                <w:b/>
                <w:bCs/>
                <w:spacing w:val="-3"/>
              </w:rPr>
              <w:t>主要发病月份</w:t>
            </w:r>
          </w:p>
        </w:tc>
        <w:tc>
          <w:tcPr>
            <w:tcW w:w="1259" w:type="dxa"/>
            <w:vAlign w:val="top"/>
            <w:tcBorders>
              <w:bottom w:val="single" w:color="000000" w:sz="2" w:space="0"/>
              <w:top w:val="single" w:color="000000" w:sz="2" w:space="0"/>
            </w:tcBorders>
          </w:tcPr>
          <w:p>
            <w:pPr>
              <w:pStyle w:val="TableText"/>
              <w:ind w:left="385"/>
              <w:spacing w:before="238" w:line="220" w:lineRule="auto"/>
              <w:rPr>
                <w:sz w:val="12"/>
                <w:szCs w:val="12"/>
              </w:rPr>
            </w:pPr>
            <w:r>
              <w:rPr>
                <w:sz w:val="12"/>
                <w:szCs w:val="12"/>
                <w:b/>
                <w:bCs/>
                <w:spacing w:val="-3"/>
              </w:rPr>
              <w:t>药品名称</w:t>
            </w:r>
          </w:p>
        </w:tc>
        <w:tc>
          <w:tcPr>
            <w:tcW w:w="1899" w:type="dxa"/>
            <w:vAlign w:val="top"/>
            <w:tcBorders>
              <w:bottom w:val="single" w:color="000000" w:sz="2" w:space="0"/>
              <w:top w:val="single" w:color="000000" w:sz="2" w:space="0"/>
            </w:tcBorders>
          </w:tcPr>
          <w:p>
            <w:pPr>
              <w:pStyle w:val="TableText"/>
              <w:ind w:left="706"/>
              <w:spacing w:before="238" w:line="220" w:lineRule="auto"/>
              <w:rPr>
                <w:sz w:val="12"/>
                <w:szCs w:val="12"/>
              </w:rPr>
            </w:pPr>
            <w:r>
              <w:rPr>
                <w:sz w:val="12"/>
                <w:szCs w:val="12"/>
                <w:b/>
                <w:bCs/>
                <w:spacing w:val="-3"/>
              </w:rPr>
              <w:t>主要成分</w:t>
            </w:r>
          </w:p>
        </w:tc>
        <w:tc>
          <w:tcPr>
            <w:tcW w:w="1599" w:type="dxa"/>
            <w:vAlign w:val="top"/>
            <w:tcBorders>
              <w:bottom w:val="single" w:color="000000" w:sz="2" w:space="0"/>
              <w:top w:val="single" w:color="000000" w:sz="2" w:space="0"/>
            </w:tcBorders>
          </w:tcPr>
          <w:p>
            <w:pPr>
              <w:pStyle w:val="TableText"/>
              <w:ind w:left="557"/>
              <w:spacing w:before="238" w:line="219" w:lineRule="auto"/>
              <w:rPr>
                <w:sz w:val="12"/>
                <w:szCs w:val="12"/>
              </w:rPr>
            </w:pPr>
            <w:r>
              <w:rPr>
                <w:sz w:val="12"/>
                <w:szCs w:val="12"/>
                <w:b/>
                <w:bCs/>
                <w:spacing w:val="-3"/>
              </w:rPr>
              <w:t>使用倍率</w:t>
            </w:r>
          </w:p>
        </w:tc>
        <w:tc>
          <w:tcPr>
            <w:tcW w:w="1039" w:type="dxa"/>
            <w:vAlign w:val="top"/>
            <w:tcBorders>
              <w:bottom w:val="single" w:color="000000" w:sz="2" w:space="0"/>
              <w:top w:val="single" w:color="000000" w:sz="2" w:space="0"/>
            </w:tcBorders>
          </w:tcPr>
          <w:p>
            <w:pPr>
              <w:pStyle w:val="TableText"/>
              <w:ind w:left="278"/>
              <w:spacing w:before="238" w:line="219" w:lineRule="auto"/>
              <w:rPr>
                <w:sz w:val="12"/>
                <w:szCs w:val="12"/>
              </w:rPr>
            </w:pPr>
            <w:r>
              <w:rPr>
                <w:sz w:val="12"/>
                <w:szCs w:val="12"/>
                <w:b/>
                <w:bCs/>
                <w:spacing w:val="-3"/>
              </w:rPr>
              <w:t>施用次数</w:t>
            </w:r>
          </w:p>
        </w:tc>
        <w:tc>
          <w:tcPr>
            <w:tcW w:w="699" w:type="dxa"/>
            <w:vAlign w:val="top"/>
            <w:tcBorders>
              <w:bottom w:val="single" w:color="000000" w:sz="2" w:space="0"/>
              <w:top w:val="single" w:color="000000" w:sz="2" w:space="0"/>
            </w:tcBorders>
          </w:tcPr>
          <w:p>
            <w:pPr>
              <w:pStyle w:val="TableText"/>
              <w:ind w:left="229"/>
              <w:spacing w:before="238" w:line="219" w:lineRule="auto"/>
              <w:rPr>
                <w:sz w:val="12"/>
                <w:szCs w:val="12"/>
              </w:rPr>
            </w:pPr>
            <w:r>
              <w:rPr>
                <w:sz w:val="12"/>
                <w:szCs w:val="12"/>
                <w:b/>
                <w:bCs/>
                <w:spacing w:val="-3"/>
              </w:rPr>
              <w:t>规格</w:t>
            </w:r>
          </w:p>
        </w:tc>
        <w:tc>
          <w:tcPr>
            <w:tcW w:w="2548" w:type="dxa"/>
            <w:vAlign w:val="top"/>
            <w:tcBorders>
              <w:bottom w:val="single" w:color="000000" w:sz="2" w:space="0"/>
              <w:top w:val="single" w:color="000000" w:sz="2" w:space="0"/>
            </w:tcBorders>
          </w:tcPr>
          <w:p>
            <w:pPr>
              <w:pStyle w:val="TableText"/>
              <w:ind w:left="1170"/>
              <w:spacing w:before="238" w:line="221" w:lineRule="auto"/>
              <w:rPr>
                <w:sz w:val="12"/>
                <w:szCs w:val="12"/>
              </w:rPr>
            </w:pPr>
            <w:r>
              <w:rPr>
                <w:sz w:val="12"/>
                <w:szCs w:val="12"/>
                <w:b/>
                <w:bCs/>
                <w:spacing w:val="-3"/>
              </w:rPr>
              <w:t>备注</w:t>
            </w:r>
          </w:p>
        </w:tc>
      </w:tr>
      <w:tr>
        <w:trPr>
          <w:trHeight w:val="414" w:hRule="atLeast"/>
        </w:trPr>
        <w:tc>
          <w:tcPr>
            <w:tcW w:w="415" w:type="dxa"/>
            <w:vAlign w:val="top"/>
            <w:vMerge w:val="restart"/>
            <w:tcBorders>
              <w:bottom w:val="nil"/>
              <w:top w:val="single" w:color="000000" w:sz="2" w:space="0"/>
            </w:tcBorders>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4"/>
              <w:spacing w:before="39" w:line="218" w:lineRule="auto"/>
              <w:rPr>
                <w:sz w:val="12"/>
                <w:szCs w:val="12"/>
              </w:rPr>
            </w:pPr>
            <w:r>
              <w:rPr>
                <w:sz w:val="12"/>
                <w:szCs w:val="12"/>
                <w:spacing w:val="-2"/>
              </w:rPr>
              <w:t>杀菌剂</w:t>
            </w:r>
          </w:p>
        </w:tc>
        <w:tc>
          <w:tcPr>
            <w:tcW w:w="609" w:type="dxa"/>
            <w:vAlign w:val="top"/>
            <w:vMerge w:val="restart"/>
            <w:tcBorders>
              <w:bottom w:val="nil"/>
              <w:top w:val="single" w:color="000000" w:sz="2" w:space="0"/>
            </w:tcBorders>
          </w:tcPr>
          <w:p>
            <w:pPr>
              <w:spacing w:line="328" w:lineRule="auto"/>
              <w:rPr>
                <w:rFonts w:ascii="Arial"/>
                <w:sz w:val="21"/>
              </w:rPr>
            </w:pPr>
            <w:r/>
          </w:p>
          <w:p>
            <w:pPr>
              <w:pStyle w:val="TableText"/>
              <w:ind w:left="50"/>
              <w:spacing w:before="39" w:line="219" w:lineRule="auto"/>
              <w:rPr>
                <w:sz w:val="12"/>
                <w:szCs w:val="12"/>
              </w:rPr>
            </w:pPr>
            <w:r>
              <w:rPr>
                <w:sz w:val="12"/>
                <w:szCs w:val="12"/>
                <w:spacing w:val="-2"/>
              </w:rPr>
              <w:t>消杀预防</w:t>
            </w:r>
          </w:p>
        </w:tc>
        <w:tc>
          <w:tcPr>
            <w:tcW w:w="929" w:type="dxa"/>
            <w:vAlign w:val="top"/>
            <w:vMerge w:val="restart"/>
            <w:tcBorders>
              <w:bottom w:val="nil"/>
              <w:top w:val="single" w:color="000000" w:sz="2" w:space="0"/>
            </w:tcBorders>
          </w:tcPr>
          <w:p>
            <w:pPr>
              <w:spacing w:line="248" w:lineRule="auto"/>
              <w:rPr>
                <w:rFonts w:ascii="Arial"/>
                <w:sz w:val="21"/>
              </w:rPr>
            </w:pPr>
            <w:r/>
          </w:p>
          <w:p>
            <w:pPr>
              <w:pStyle w:val="TableText"/>
              <w:ind w:left="230" w:right="52" w:hanging="199"/>
              <w:spacing w:before="40" w:line="233" w:lineRule="auto"/>
              <w:rPr>
                <w:sz w:val="12"/>
                <w:szCs w:val="12"/>
              </w:rPr>
            </w:pPr>
            <w:r>
              <w:rPr>
                <w:sz w:val="12"/>
                <w:szCs w:val="12"/>
                <w:spacing w:val="-1"/>
              </w:rPr>
              <w:t>全园区的菌类病</w:t>
            </w:r>
            <w:r>
              <w:rPr>
                <w:sz w:val="12"/>
                <w:szCs w:val="12"/>
                <w:spacing w:val="1"/>
              </w:rPr>
              <w:t xml:space="preserve"> </w:t>
            </w:r>
            <w:r>
              <w:rPr>
                <w:sz w:val="12"/>
                <w:szCs w:val="12"/>
                <w:spacing w:val="-2"/>
              </w:rPr>
              <w:t>菌、虫卵</w:t>
            </w:r>
          </w:p>
        </w:tc>
        <w:tc>
          <w:tcPr>
            <w:tcW w:w="2968" w:type="dxa"/>
            <w:vAlign w:val="top"/>
            <w:vMerge w:val="restart"/>
            <w:tcBorders>
              <w:bottom w:val="nil"/>
              <w:top w:val="single" w:color="000000" w:sz="2" w:space="0"/>
            </w:tcBorders>
          </w:tcPr>
          <w:p>
            <w:pPr>
              <w:pStyle w:val="TableText"/>
              <w:ind w:left="2"/>
              <w:spacing w:before="229" w:line="218" w:lineRule="auto"/>
              <w:rPr>
                <w:sz w:val="12"/>
                <w:szCs w:val="12"/>
              </w:rPr>
            </w:pPr>
            <w:r>
              <w:rPr>
                <w:sz w:val="12"/>
                <w:szCs w:val="12"/>
                <w:spacing w:val="-1"/>
              </w:rPr>
              <w:t>一、3月下旬苗木返青前对全国区的病菌、虫卵消杀</w:t>
            </w:r>
          </w:p>
          <w:p>
            <w:pPr>
              <w:pStyle w:val="TableText"/>
              <w:ind w:left="242"/>
              <w:spacing w:before="8" w:line="200" w:lineRule="auto"/>
              <w:rPr>
                <w:sz w:val="12"/>
                <w:szCs w:val="12"/>
              </w:rPr>
            </w:pPr>
            <w:r>
              <w:rPr>
                <w:sz w:val="12"/>
                <w:szCs w:val="12"/>
                <w:spacing w:val="-1"/>
              </w:rPr>
              <w:t>1</w:t>
            </w:r>
            <w:r>
              <w:rPr>
                <w:sz w:val="12"/>
                <w:szCs w:val="12"/>
                <w:spacing w:val="-28"/>
              </w:rPr>
              <w:t xml:space="preserve"> </w:t>
            </w:r>
            <w:r>
              <w:rPr>
                <w:sz w:val="12"/>
                <w:szCs w:val="12"/>
                <w:spacing w:val="-1"/>
              </w:rPr>
              <w:t>-</w:t>
            </w:r>
            <w:r>
              <w:rPr>
                <w:sz w:val="12"/>
                <w:szCs w:val="12"/>
                <w:spacing w:val="-28"/>
              </w:rPr>
              <w:t xml:space="preserve"> </w:t>
            </w:r>
            <w:r>
              <w:rPr>
                <w:sz w:val="12"/>
                <w:szCs w:val="12"/>
                <w:spacing w:val="-1"/>
              </w:rPr>
              <w:t>2次；</w:t>
            </w:r>
          </w:p>
          <w:p>
            <w:pPr>
              <w:pStyle w:val="TableText"/>
              <w:ind w:left="12"/>
              <w:spacing w:line="219" w:lineRule="auto"/>
              <w:rPr>
                <w:sz w:val="12"/>
                <w:szCs w:val="12"/>
              </w:rPr>
            </w:pPr>
            <w:r>
              <w:rPr>
                <w:sz w:val="12"/>
                <w:szCs w:val="12"/>
              </w:rPr>
              <w:t>二、10月下句初冬时消杀I-2次。</w:t>
            </w:r>
          </w:p>
        </w:tc>
        <w:tc>
          <w:tcPr>
            <w:tcW w:w="1259" w:type="dxa"/>
            <w:vAlign w:val="top"/>
            <w:tcBorders>
              <w:bottom w:val="single" w:color="000000" w:sz="2" w:space="0"/>
              <w:top w:val="single" w:color="000000" w:sz="2" w:space="0"/>
            </w:tcBorders>
          </w:tcPr>
          <w:p>
            <w:pPr>
              <w:pStyle w:val="TableText"/>
              <w:ind w:left="384"/>
              <w:spacing w:before="150" w:line="220" w:lineRule="auto"/>
              <w:rPr>
                <w:sz w:val="12"/>
                <w:szCs w:val="12"/>
              </w:rPr>
            </w:pPr>
            <w:r>
              <w:rPr>
                <w:sz w:val="12"/>
                <w:szCs w:val="12"/>
                <w:spacing w:val="-1"/>
              </w:rPr>
              <w:t>波尔多液</w:t>
            </w:r>
          </w:p>
        </w:tc>
        <w:tc>
          <w:tcPr>
            <w:tcW w:w="1899" w:type="dxa"/>
            <w:vAlign w:val="top"/>
            <w:tcBorders>
              <w:bottom w:val="single" w:color="000000" w:sz="2" w:space="0"/>
              <w:top w:val="single" w:color="000000" w:sz="2" w:space="0"/>
            </w:tcBorders>
          </w:tcPr>
          <w:p>
            <w:pPr>
              <w:pStyle w:val="TableText"/>
              <w:ind w:left="645"/>
              <w:spacing w:before="150" w:line="221" w:lineRule="auto"/>
              <w:rPr>
                <w:sz w:val="12"/>
                <w:szCs w:val="12"/>
              </w:rPr>
            </w:pPr>
            <w:r>
              <w:rPr>
                <w:sz w:val="12"/>
                <w:szCs w:val="12"/>
                <w:spacing w:val="-1"/>
              </w:rPr>
              <w:t>碱式疏酸铜</w:t>
            </w:r>
          </w:p>
        </w:tc>
        <w:tc>
          <w:tcPr>
            <w:tcW w:w="1599" w:type="dxa"/>
            <w:vAlign w:val="top"/>
            <w:tcBorders>
              <w:bottom w:val="single" w:color="000000" w:sz="2" w:space="0"/>
              <w:top w:val="single" w:color="000000" w:sz="2" w:space="0"/>
            </w:tcBorders>
          </w:tcPr>
          <w:p>
            <w:pPr>
              <w:pStyle w:val="TableText"/>
              <w:ind w:left="525"/>
              <w:spacing w:before="150" w:line="220" w:lineRule="auto"/>
              <w:rPr>
                <w:sz w:val="12"/>
                <w:szCs w:val="12"/>
              </w:rPr>
            </w:pPr>
            <w:r>
              <w:rPr>
                <w:sz w:val="12"/>
                <w:szCs w:val="12"/>
                <w:spacing w:val="-6"/>
              </w:rPr>
              <w:t>160—240倍</w:t>
            </w:r>
          </w:p>
        </w:tc>
        <w:tc>
          <w:tcPr>
            <w:tcW w:w="1039" w:type="dxa"/>
            <w:vAlign w:val="top"/>
            <w:vMerge w:val="restart"/>
            <w:tcBorders>
              <w:bottom w:val="nil"/>
              <w:top w:val="single" w:color="000000" w:sz="2" w:space="0"/>
            </w:tcBorders>
          </w:tcPr>
          <w:p>
            <w:pPr>
              <w:spacing w:line="332" w:lineRule="auto"/>
              <w:rPr>
                <w:rFonts w:ascii="Arial"/>
                <w:sz w:val="21"/>
              </w:rPr>
            </w:pPr>
            <w:r/>
          </w:p>
          <w:p>
            <w:pPr>
              <w:pStyle w:val="TableText"/>
              <w:ind w:left="487"/>
              <w:spacing w:before="39" w:line="224" w:lineRule="auto"/>
              <w:rPr>
                <w:sz w:val="12"/>
                <w:szCs w:val="12"/>
              </w:rPr>
            </w:pPr>
            <w:r>
              <w:rPr>
                <w:sz w:val="12"/>
                <w:szCs w:val="12"/>
              </w:rPr>
              <w:t>/</w:t>
            </w:r>
          </w:p>
        </w:tc>
        <w:tc>
          <w:tcPr>
            <w:tcW w:w="699" w:type="dxa"/>
            <w:vAlign w:val="top"/>
            <w:tcBorders>
              <w:bottom w:val="single" w:color="000000" w:sz="2" w:space="0"/>
              <w:top w:val="single" w:color="000000" w:sz="2" w:space="0"/>
            </w:tcBorders>
          </w:tcPr>
          <w:p>
            <w:pPr>
              <w:pStyle w:val="TableText"/>
              <w:ind w:left="137"/>
              <w:spacing w:before="146" w:line="213" w:lineRule="auto"/>
              <w:rPr>
                <w:sz w:val="12"/>
                <w:szCs w:val="12"/>
              </w:rPr>
            </w:pPr>
            <w:r>
              <w:rPr>
                <w:sz w:val="12"/>
                <w:szCs w:val="12"/>
                <w:spacing w:val="-1"/>
              </w:rPr>
              <w:t>200g/袋</w:t>
            </w:r>
          </w:p>
        </w:tc>
        <w:tc>
          <w:tcPr>
            <w:tcW w:w="2548" w:type="dxa"/>
            <w:vAlign w:val="top"/>
            <w:tcBorders>
              <w:bottom w:val="single" w:color="000000" w:sz="2" w:space="0"/>
              <w:top w:val="single" w:color="000000" w:sz="2" w:space="0"/>
            </w:tcBorders>
          </w:tcPr>
          <w:p>
            <w:pPr>
              <w:pStyle w:val="TableText"/>
              <w:ind w:left="18"/>
              <w:spacing w:before="110" w:line="209" w:lineRule="auto"/>
              <w:rPr>
                <w:sz w:val="12"/>
                <w:szCs w:val="12"/>
              </w:rPr>
            </w:pPr>
            <w:r>
              <w:rPr>
                <w:sz w:val="12"/>
                <w:szCs w:val="12"/>
              </w:rPr>
              <w:t>防治落叶病、炭痘病、炭疽病、霜霉病。不</w:t>
            </w:r>
            <w:r>
              <w:rPr>
                <w:sz w:val="12"/>
                <w:szCs w:val="12"/>
                <w:spacing w:val="-1"/>
              </w:rPr>
              <w:t>能与</w:t>
            </w:r>
            <w:r>
              <w:rPr>
                <w:sz w:val="12"/>
                <w:szCs w:val="12"/>
              </w:rPr>
              <w:t xml:space="preserve"> </w:t>
            </w:r>
            <w:r>
              <w:rPr>
                <w:sz w:val="12"/>
                <w:szCs w:val="12"/>
                <w:spacing w:val="-1"/>
              </w:rPr>
              <w:t>石硫合剂等碱性农药混用</w:t>
            </w:r>
          </w:p>
        </w:tc>
      </w:tr>
      <w:tr>
        <w:trPr>
          <w:trHeight w:val="43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96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4"/>
              <w:spacing w:before="160" w:line="218" w:lineRule="auto"/>
              <w:rPr>
                <w:sz w:val="12"/>
                <w:szCs w:val="12"/>
              </w:rPr>
            </w:pPr>
            <w:r>
              <w:rPr>
                <w:sz w:val="12"/>
                <w:szCs w:val="12"/>
                <w:spacing w:val="1"/>
              </w:rPr>
              <w:t>品体石硫合剂</w:t>
            </w:r>
          </w:p>
        </w:tc>
        <w:tc>
          <w:tcPr>
            <w:tcW w:w="1899" w:type="dxa"/>
            <w:vAlign w:val="top"/>
            <w:tcBorders>
              <w:bottom w:val="single" w:color="000000" w:sz="2" w:space="0"/>
              <w:top w:val="single" w:color="000000" w:sz="2" w:space="0"/>
            </w:tcBorders>
          </w:tcPr>
          <w:p>
            <w:pPr>
              <w:pStyle w:val="TableText"/>
              <w:ind w:left="704"/>
              <w:spacing w:before="161" w:line="221" w:lineRule="auto"/>
              <w:rPr>
                <w:sz w:val="12"/>
                <w:szCs w:val="12"/>
              </w:rPr>
            </w:pPr>
            <w:r>
              <w:rPr>
                <w:sz w:val="12"/>
                <w:szCs w:val="12"/>
                <w:spacing w:val="-2"/>
              </w:rPr>
              <w:t>多硫化钙</w:t>
            </w:r>
          </w:p>
        </w:tc>
        <w:tc>
          <w:tcPr>
            <w:tcW w:w="1599" w:type="dxa"/>
            <w:vAlign w:val="top"/>
            <w:tcBorders>
              <w:bottom w:val="single" w:color="000000" w:sz="2" w:space="0"/>
              <w:top w:val="single" w:color="000000" w:sz="2" w:space="0"/>
            </w:tcBorders>
          </w:tcPr>
          <w:p>
            <w:pPr>
              <w:pStyle w:val="TableText"/>
              <w:ind w:left="495"/>
              <w:spacing w:before="160" w:line="219" w:lineRule="auto"/>
              <w:rPr>
                <w:sz w:val="12"/>
                <w:szCs w:val="12"/>
              </w:rPr>
            </w:pPr>
            <w:r>
              <w:rPr>
                <w:sz w:val="12"/>
                <w:szCs w:val="12"/>
                <w:spacing w:val="-6"/>
              </w:rPr>
              <w:t>800—1000普</w:t>
            </w:r>
          </w:p>
        </w:tc>
        <w:tc>
          <w:tcPr>
            <w:tcW w:w="103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77"/>
              <w:spacing w:before="157" w:line="213" w:lineRule="auto"/>
              <w:rPr>
                <w:sz w:val="12"/>
                <w:szCs w:val="12"/>
              </w:rPr>
            </w:pPr>
            <w:r>
              <w:rPr>
                <w:sz w:val="12"/>
                <w:szCs w:val="12"/>
                <w:spacing w:val="3"/>
              </w:rPr>
              <w:t>(400g/袋)</w:t>
            </w:r>
          </w:p>
        </w:tc>
        <w:tc>
          <w:tcPr>
            <w:tcW w:w="2548" w:type="dxa"/>
            <w:vAlign w:val="top"/>
            <w:tcBorders>
              <w:bottom w:val="single" w:color="000000" w:sz="2" w:space="0"/>
              <w:top w:val="single" w:color="000000" w:sz="2" w:space="0"/>
            </w:tcBorders>
          </w:tcPr>
          <w:p>
            <w:pPr>
              <w:pStyle w:val="TableText"/>
              <w:ind w:left="18"/>
              <w:spacing w:before="89" w:line="219" w:lineRule="auto"/>
              <w:rPr>
                <w:sz w:val="12"/>
                <w:szCs w:val="12"/>
              </w:rPr>
            </w:pPr>
            <w:r>
              <w:rPr>
                <w:sz w:val="12"/>
                <w:szCs w:val="12"/>
              </w:rPr>
              <w:t>价格低廉、效果好、对多种病菌具有抑杀作</w:t>
            </w:r>
            <w:r>
              <w:rPr>
                <w:sz w:val="12"/>
                <w:szCs w:val="12"/>
                <w:spacing w:val="-1"/>
              </w:rPr>
              <w:t>用，</w:t>
            </w:r>
            <w:r>
              <w:rPr>
                <w:sz w:val="12"/>
                <w:szCs w:val="12"/>
              </w:rPr>
              <w:t xml:space="preserve"> </w:t>
            </w:r>
            <w:r>
              <w:rPr>
                <w:sz w:val="12"/>
                <w:szCs w:val="12"/>
                <w:spacing w:val="2"/>
              </w:rPr>
              <w:t>国区消柔使用</w:t>
            </w:r>
          </w:p>
        </w:tc>
      </w:tr>
      <w:tr>
        <w:trPr>
          <w:trHeight w:val="434" w:hRule="atLeast"/>
        </w:trPr>
        <w:tc>
          <w:tcPr>
            <w:tcW w:w="415" w:type="dxa"/>
            <w:vAlign w:val="top"/>
            <w:vMerge w:val="continue"/>
            <w:tcBorders>
              <w:bottom w:val="nil"/>
              <w:top w:val="nil"/>
            </w:tcBorders>
          </w:tcPr>
          <w:p>
            <w:pPr>
              <w:rPr>
                <w:rFonts w:ascii="Arial"/>
                <w:sz w:val="21"/>
              </w:rPr>
            </w:pPr>
            <w:r/>
          </w:p>
        </w:tc>
        <w:tc>
          <w:tcPr>
            <w:tcW w:w="609"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10"/>
              <w:spacing w:before="39" w:line="219" w:lineRule="auto"/>
              <w:rPr>
                <w:sz w:val="12"/>
                <w:szCs w:val="12"/>
              </w:rPr>
            </w:pPr>
            <w:r>
              <w:rPr>
                <w:sz w:val="12"/>
                <w:szCs w:val="12"/>
                <w:spacing w:val="-1"/>
              </w:rPr>
              <w:t>病菌类</w:t>
            </w:r>
          </w:p>
        </w:tc>
        <w:tc>
          <w:tcPr>
            <w:tcW w:w="929"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pStyle w:val="TableText"/>
              <w:ind w:left="91"/>
              <w:spacing w:before="39" w:line="219" w:lineRule="auto"/>
              <w:rPr>
                <w:sz w:val="12"/>
                <w:szCs w:val="12"/>
              </w:rPr>
            </w:pPr>
            <w:r>
              <w:rPr>
                <w:sz w:val="12"/>
                <w:szCs w:val="12"/>
                <w:spacing w:val="-1"/>
              </w:rPr>
              <w:t>炭殖病，白粉</w:t>
            </w:r>
          </w:p>
          <w:p>
            <w:pPr>
              <w:pStyle w:val="TableText"/>
              <w:ind w:left="31"/>
              <w:spacing w:before="27" w:line="200" w:lineRule="auto"/>
              <w:rPr>
                <w:sz w:val="12"/>
                <w:szCs w:val="12"/>
              </w:rPr>
            </w:pPr>
            <w:r>
              <w:rPr>
                <w:sz w:val="12"/>
                <w:szCs w:val="12"/>
                <w:spacing w:val="-1"/>
              </w:rPr>
              <w:t>病，锈病，叶枯</w:t>
            </w:r>
          </w:p>
          <w:p>
            <w:pPr>
              <w:pStyle w:val="TableText"/>
              <w:ind w:left="101"/>
              <w:spacing w:line="219" w:lineRule="auto"/>
              <w:rPr>
                <w:sz w:val="12"/>
                <w:szCs w:val="12"/>
              </w:rPr>
            </w:pPr>
            <w:r>
              <w:rPr>
                <w:sz w:val="12"/>
                <w:szCs w:val="12"/>
                <w:spacing w:val="-1"/>
              </w:rPr>
              <w:t>病，叶斑病等</w:t>
            </w:r>
          </w:p>
        </w:tc>
        <w:tc>
          <w:tcPr>
            <w:tcW w:w="2968"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2"/>
              <w:spacing w:before="39" w:line="219" w:lineRule="auto"/>
              <w:rPr>
                <w:sz w:val="12"/>
                <w:szCs w:val="12"/>
              </w:rPr>
            </w:pPr>
            <w:r>
              <w:rPr>
                <w:sz w:val="12"/>
                <w:szCs w:val="12"/>
              </w:rPr>
              <w:t>一、阴全园区预防消杀为主：</w:t>
            </w:r>
          </w:p>
          <w:p>
            <w:pPr>
              <w:pStyle w:val="TableText"/>
              <w:ind w:left="2"/>
              <w:spacing w:before="27" w:line="219" w:lineRule="auto"/>
              <w:rPr>
                <w:sz w:val="12"/>
                <w:szCs w:val="12"/>
              </w:rPr>
            </w:pPr>
            <w:r>
              <w:rPr>
                <w:sz w:val="12"/>
                <w:szCs w:val="12"/>
              </w:rPr>
              <w:t>二、7-9月为高发期。有发现病情，及时喷药处</w:t>
            </w:r>
            <w:r>
              <w:rPr>
                <w:sz w:val="12"/>
                <w:szCs w:val="12"/>
                <w:spacing w:val="-1"/>
              </w:rPr>
              <w:t>理。</w:t>
            </w:r>
          </w:p>
        </w:tc>
        <w:tc>
          <w:tcPr>
            <w:tcW w:w="1259" w:type="dxa"/>
            <w:vAlign w:val="top"/>
            <w:tcBorders>
              <w:bottom w:val="single" w:color="000000" w:sz="2" w:space="0"/>
              <w:top w:val="single" w:color="000000" w:sz="2" w:space="0"/>
            </w:tcBorders>
          </w:tcPr>
          <w:p>
            <w:pPr>
              <w:pStyle w:val="TableText"/>
              <w:ind w:left="324"/>
              <w:spacing w:before="161" w:line="219" w:lineRule="auto"/>
              <w:rPr>
                <w:sz w:val="12"/>
                <w:szCs w:val="12"/>
              </w:rPr>
            </w:pPr>
            <w:r>
              <w:rPr>
                <w:sz w:val="12"/>
                <w:szCs w:val="12"/>
                <w:spacing w:val="1"/>
              </w:rPr>
              <w:t>国光三唑硐</w:t>
            </w:r>
          </w:p>
        </w:tc>
        <w:tc>
          <w:tcPr>
            <w:tcW w:w="1899" w:type="dxa"/>
            <w:vAlign w:val="top"/>
            <w:tcBorders>
              <w:bottom w:val="single" w:color="000000" w:sz="2" w:space="0"/>
              <w:top w:val="single" w:color="000000" w:sz="2" w:space="0"/>
            </w:tcBorders>
          </w:tcPr>
          <w:p>
            <w:pPr>
              <w:pStyle w:val="TableText"/>
              <w:ind w:left="674"/>
              <w:spacing w:before="161" w:line="221" w:lineRule="auto"/>
              <w:rPr>
                <w:sz w:val="12"/>
                <w:szCs w:val="12"/>
              </w:rPr>
            </w:pPr>
            <w:r>
              <w:rPr>
                <w:sz w:val="12"/>
                <w:szCs w:val="12"/>
                <w:spacing w:val="-1"/>
              </w:rPr>
              <w:t>20%三唑酮</w:t>
            </w:r>
          </w:p>
        </w:tc>
        <w:tc>
          <w:tcPr>
            <w:tcW w:w="1599" w:type="dxa"/>
            <w:vAlign w:val="top"/>
            <w:tcBorders>
              <w:bottom w:val="single" w:color="000000" w:sz="2" w:space="0"/>
              <w:top w:val="single" w:color="000000" w:sz="2" w:space="0"/>
            </w:tcBorders>
          </w:tcPr>
          <w:p>
            <w:pPr>
              <w:pStyle w:val="TableText"/>
              <w:ind w:left="345"/>
              <w:spacing w:before="161" w:line="219" w:lineRule="auto"/>
              <w:rPr>
                <w:sz w:val="12"/>
                <w:szCs w:val="12"/>
              </w:rPr>
            </w:pPr>
            <w:r>
              <w:rPr>
                <w:sz w:val="12"/>
                <w:szCs w:val="12"/>
                <w:spacing w:val="-1"/>
              </w:rPr>
              <w:t>稀释1500-2000倍</w:t>
            </w:r>
          </w:p>
        </w:tc>
        <w:tc>
          <w:tcPr>
            <w:tcW w:w="1039" w:type="dxa"/>
            <w:vAlign w:val="top"/>
            <w:tcBorders>
              <w:bottom w:val="single" w:color="000000" w:sz="2" w:space="0"/>
              <w:top w:val="single" w:color="000000" w:sz="2" w:space="0"/>
            </w:tcBorders>
          </w:tcPr>
          <w:p>
            <w:pPr>
              <w:pStyle w:val="TableText"/>
              <w:spacing w:before="101" w:line="200" w:lineRule="auto"/>
              <w:jc w:val="right"/>
              <w:rPr>
                <w:sz w:val="12"/>
                <w:szCs w:val="12"/>
              </w:rPr>
            </w:pPr>
            <w:r>
              <w:rPr>
                <w:sz w:val="12"/>
                <w:szCs w:val="12"/>
                <w:spacing w:val="-1"/>
              </w:rPr>
              <w:t>一般用2次，时间间</w:t>
            </w:r>
          </w:p>
          <w:p>
            <w:pPr>
              <w:pStyle w:val="TableText"/>
              <w:ind w:left="266"/>
              <w:spacing w:line="219" w:lineRule="auto"/>
              <w:rPr>
                <w:sz w:val="12"/>
                <w:szCs w:val="12"/>
              </w:rPr>
            </w:pPr>
            <w:r>
              <w:rPr>
                <w:sz w:val="12"/>
                <w:szCs w:val="12"/>
                <w:spacing w:val="-2"/>
              </w:rPr>
              <w:t>隔7到10天</w:t>
            </w:r>
          </w:p>
        </w:tc>
        <w:tc>
          <w:tcPr>
            <w:tcW w:w="699" w:type="dxa"/>
            <w:vAlign w:val="top"/>
            <w:tcBorders>
              <w:bottom w:val="single" w:color="000000" w:sz="2" w:space="0"/>
              <w:top w:val="single" w:color="000000" w:sz="2" w:space="0"/>
            </w:tcBorders>
          </w:tcPr>
          <w:p>
            <w:pPr>
              <w:pStyle w:val="TableText"/>
              <w:ind w:left="107"/>
              <w:spacing w:before="161" w:line="221" w:lineRule="auto"/>
              <w:rPr>
                <w:sz w:val="12"/>
                <w:szCs w:val="12"/>
              </w:rPr>
            </w:pPr>
            <w:r>
              <w:rPr>
                <w:sz w:val="12"/>
                <w:szCs w:val="12"/>
                <w:spacing w:val="-1"/>
              </w:rPr>
              <w:t>200ml/瓶</w:t>
            </w:r>
          </w:p>
        </w:tc>
        <w:tc>
          <w:tcPr>
            <w:tcW w:w="2548" w:type="dxa"/>
            <w:vAlign w:val="top"/>
            <w:tcBorders>
              <w:bottom w:val="single" w:color="000000" w:sz="2" w:space="0"/>
              <w:top w:val="single" w:color="000000" w:sz="2" w:space="0"/>
            </w:tcBorders>
          </w:tcPr>
          <w:p>
            <w:pPr>
              <w:pStyle w:val="TableText"/>
              <w:ind w:left="18"/>
              <w:spacing w:before="161" w:line="219" w:lineRule="auto"/>
              <w:rPr>
                <w:sz w:val="12"/>
                <w:szCs w:val="12"/>
              </w:rPr>
            </w:pPr>
            <w:r>
              <w:rPr>
                <w:sz w:val="12"/>
                <w:szCs w:val="12"/>
                <w:spacing w:val="1"/>
              </w:rPr>
              <w:t>防治白粉病、锈病等(全年使用2-3次)</w:t>
            </w:r>
          </w:p>
        </w:tc>
      </w:tr>
      <w:tr>
        <w:trPr>
          <w:trHeight w:val="355"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4"/>
              <w:spacing w:before="121" w:line="219" w:lineRule="auto"/>
              <w:rPr>
                <w:sz w:val="12"/>
                <w:szCs w:val="12"/>
              </w:rPr>
            </w:pPr>
            <w:r>
              <w:rPr>
                <w:sz w:val="12"/>
                <w:szCs w:val="12"/>
                <w:spacing w:val="-2"/>
              </w:rPr>
              <w:t>阿西米达悬浮液</w:t>
            </w:r>
          </w:p>
        </w:tc>
        <w:tc>
          <w:tcPr>
            <w:tcW w:w="1899" w:type="dxa"/>
            <w:vAlign w:val="top"/>
            <w:tcBorders>
              <w:bottom w:val="single" w:color="000000" w:sz="2" w:space="0"/>
              <w:top w:val="single" w:color="000000" w:sz="2" w:space="0"/>
            </w:tcBorders>
          </w:tcPr>
          <w:p>
            <w:pPr>
              <w:pStyle w:val="TableText"/>
              <w:ind w:left="764"/>
              <w:spacing w:before="121" w:line="219" w:lineRule="auto"/>
              <w:rPr>
                <w:sz w:val="12"/>
                <w:szCs w:val="12"/>
              </w:rPr>
            </w:pPr>
            <w:r>
              <w:rPr>
                <w:sz w:val="12"/>
                <w:szCs w:val="12"/>
                <w:spacing w:val="-3"/>
              </w:rPr>
              <w:t>吆菌酯</w:t>
            </w:r>
          </w:p>
        </w:tc>
        <w:tc>
          <w:tcPr>
            <w:tcW w:w="1599" w:type="dxa"/>
            <w:vAlign w:val="top"/>
            <w:tcBorders>
              <w:bottom w:val="single" w:color="000000" w:sz="2" w:space="0"/>
              <w:top w:val="single" w:color="000000" w:sz="2" w:space="0"/>
            </w:tcBorders>
          </w:tcPr>
          <w:p>
            <w:pPr>
              <w:pStyle w:val="TableText"/>
              <w:ind w:left="686" w:right="49" w:hanging="640"/>
              <w:spacing w:before="62" w:line="210" w:lineRule="auto"/>
              <w:rPr>
                <w:sz w:val="12"/>
                <w:szCs w:val="12"/>
              </w:rPr>
            </w:pPr>
            <w:r>
              <w:rPr>
                <w:sz w:val="12"/>
                <w:szCs w:val="12"/>
                <w:spacing w:val="-1"/>
              </w:rPr>
              <w:t>25阿西米达悬浮液1200-1500</w:t>
            </w:r>
            <w:r>
              <w:rPr>
                <w:sz w:val="12"/>
                <w:szCs w:val="12"/>
                <w:spacing w:val="10"/>
              </w:rPr>
              <w:t xml:space="preserve"> </w:t>
            </w:r>
            <w:r>
              <w:rPr>
                <w:sz w:val="12"/>
                <w:szCs w:val="12"/>
                <w:spacing w:val="-2"/>
              </w:rPr>
              <w:t>偕液</w:t>
            </w:r>
          </w:p>
        </w:tc>
        <w:tc>
          <w:tcPr>
            <w:tcW w:w="1039" w:type="dxa"/>
            <w:vAlign w:val="top"/>
            <w:vMerge w:val="restart"/>
            <w:tcBorders>
              <w:bottom w:val="nil"/>
              <w:top w:val="single" w:color="000000" w:sz="2" w:space="0"/>
            </w:tcBorders>
          </w:tcPr>
          <w:p>
            <w:pPr>
              <w:spacing w:line="389" w:lineRule="auto"/>
              <w:rPr>
                <w:rFonts w:ascii="Arial"/>
                <w:sz w:val="21"/>
              </w:rPr>
            </w:pPr>
            <w:r/>
          </w:p>
          <w:p>
            <w:pPr>
              <w:pStyle w:val="TableText"/>
              <w:spacing w:before="39" w:line="201" w:lineRule="auto"/>
              <w:jc w:val="right"/>
              <w:rPr>
                <w:sz w:val="12"/>
                <w:szCs w:val="12"/>
              </w:rPr>
            </w:pPr>
            <w:r>
              <w:rPr>
                <w:sz w:val="12"/>
                <w:szCs w:val="12"/>
                <w:spacing w:val="-1"/>
              </w:rPr>
              <w:t>一般用3次，时间间</w:t>
            </w:r>
          </w:p>
          <w:p>
            <w:pPr>
              <w:pStyle w:val="TableText"/>
              <w:ind w:left="266"/>
              <w:spacing w:line="219" w:lineRule="auto"/>
              <w:rPr>
                <w:sz w:val="12"/>
                <w:szCs w:val="12"/>
              </w:rPr>
            </w:pPr>
            <w:r>
              <w:rPr>
                <w:sz w:val="12"/>
                <w:szCs w:val="12"/>
                <w:spacing w:val="-2"/>
              </w:rPr>
              <w:t>隔7到10天</w:t>
            </w:r>
          </w:p>
        </w:tc>
        <w:tc>
          <w:tcPr>
            <w:tcW w:w="699" w:type="dxa"/>
            <w:vAlign w:val="top"/>
            <w:tcBorders>
              <w:bottom w:val="single" w:color="000000" w:sz="2" w:space="0"/>
              <w:top w:val="single" w:color="000000" w:sz="2" w:space="0"/>
            </w:tcBorders>
          </w:tcPr>
          <w:p>
            <w:pPr>
              <w:pStyle w:val="TableText"/>
              <w:ind w:left="198"/>
              <w:spacing w:before="122" w:line="221" w:lineRule="auto"/>
              <w:rPr>
                <w:sz w:val="12"/>
                <w:szCs w:val="12"/>
              </w:rPr>
            </w:pPr>
            <w:r>
              <w:rPr>
                <w:sz w:val="12"/>
                <w:szCs w:val="12"/>
                <w:spacing w:val="-3"/>
              </w:rPr>
              <w:t>11/瓶</w:t>
            </w:r>
          </w:p>
        </w:tc>
        <w:tc>
          <w:tcPr>
            <w:tcW w:w="2548" w:type="dxa"/>
            <w:vAlign w:val="top"/>
            <w:tcBorders>
              <w:bottom w:val="single" w:color="000000" w:sz="2" w:space="0"/>
              <w:top w:val="single" w:color="000000" w:sz="2" w:space="0"/>
            </w:tcBorders>
          </w:tcPr>
          <w:p>
            <w:pPr>
              <w:pStyle w:val="TableText"/>
              <w:ind w:left="18" w:right="3"/>
              <w:spacing w:before="62" w:line="210" w:lineRule="auto"/>
              <w:rPr>
                <w:sz w:val="12"/>
                <w:szCs w:val="12"/>
              </w:rPr>
            </w:pPr>
            <w:r>
              <w:rPr>
                <w:sz w:val="12"/>
                <w:szCs w:val="12"/>
                <w:spacing w:val="-1"/>
              </w:rPr>
              <w:t>广语杀菌，对四大类致病真菌，天然低毒安全无</w:t>
            </w:r>
            <w:r>
              <w:rPr>
                <w:sz w:val="12"/>
                <w:szCs w:val="12"/>
                <w:spacing w:val="15"/>
              </w:rPr>
              <w:t xml:space="preserve"> </w:t>
            </w:r>
            <w:r>
              <w:rPr>
                <w:sz w:val="12"/>
                <w:szCs w:val="12"/>
                <w:spacing w:val="-3"/>
              </w:rPr>
              <w:t>公害</w:t>
            </w:r>
          </w:p>
        </w:tc>
      </w:tr>
      <w:tr>
        <w:trPr>
          <w:trHeight w:val="38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4"/>
              <w:spacing w:before="131" w:line="219" w:lineRule="auto"/>
              <w:rPr>
                <w:sz w:val="12"/>
                <w:szCs w:val="12"/>
              </w:rPr>
            </w:pPr>
            <w:r>
              <w:rPr>
                <w:sz w:val="12"/>
                <w:szCs w:val="12"/>
                <w:spacing w:val="3"/>
              </w:rPr>
              <w:t>国光多菌灵(中)</w:t>
            </w:r>
          </w:p>
        </w:tc>
        <w:tc>
          <w:tcPr>
            <w:tcW w:w="1899" w:type="dxa"/>
            <w:vAlign w:val="top"/>
            <w:tcBorders>
              <w:bottom w:val="single" w:color="000000" w:sz="2" w:space="0"/>
              <w:top w:val="single" w:color="000000" w:sz="2" w:space="0"/>
            </w:tcBorders>
          </w:tcPr>
          <w:p>
            <w:pPr>
              <w:pStyle w:val="TableText"/>
              <w:ind w:left="674"/>
              <w:spacing w:before="131" w:line="219" w:lineRule="auto"/>
              <w:rPr>
                <w:sz w:val="12"/>
                <w:szCs w:val="12"/>
              </w:rPr>
            </w:pPr>
            <w:r>
              <w:rPr>
                <w:sz w:val="12"/>
                <w:szCs w:val="12"/>
                <w:spacing w:val="-1"/>
              </w:rPr>
              <w:t>50%多菌灵</w:t>
            </w:r>
          </w:p>
        </w:tc>
        <w:tc>
          <w:tcPr>
            <w:tcW w:w="1599" w:type="dxa"/>
            <w:vAlign w:val="top"/>
            <w:tcBorders>
              <w:bottom w:val="single" w:color="000000" w:sz="2" w:space="0"/>
              <w:top w:val="single" w:color="000000" w:sz="2" w:space="0"/>
            </w:tcBorders>
          </w:tcPr>
          <w:p>
            <w:pPr>
              <w:pStyle w:val="TableText"/>
              <w:ind w:left="315"/>
              <w:spacing w:before="131" w:line="219" w:lineRule="auto"/>
              <w:rPr>
                <w:sz w:val="12"/>
                <w:szCs w:val="12"/>
              </w:rPr>
            </w:pPr>
            <w:r>
              <w:rPr>
                <w:sz w:val="12"/>
                <w:szCs w:val="12"/>
                <w:spacing w:val="-1"/>
              </w:rPr>
              <w:t>稀释600-1000倍液</w:t>
            </w:r>
          </w:p>
        </w:tc>
        <w:tc>
          <w:tcPr>
            <w:tcW w:w="103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77"/>
              <w:spacing w:before="127" w:line="213" w:lineRule="auto"/>
              <w:rPr>
                <w:sz w:val="12"/>
                <w:szCs w:val="12"/>
              </w:rPr>
            </w:pPr>
            <w:r>
              <w:rPr>
                <w:sz w:val="12"/>
                <w:szCs w:val="12"/>
                <w:spacing w:val="3"/>
              </w:rPr>
              <w:t>(100g/袋)</w:t>
            </w:r>
          </w:p>
        </w:tc>
        <w:tc>
          <w:tcPr>
            <w:tcW w:w="2548" w:type="dxa"/>
            <w:vAlign w:val="top"/>
            <w:tcBorders>
              <w:bottom w:val="single" w:color="000000" w:sz="2" w:space="0"/>
              <w:top w:val="single" w:color="000000" w:sz="2" w:space="0"/>
            </w:tcBorders>
          </w:tcPr>
          <w:p>
            <w:pPr>
              <w:pStyle w:val="TableText"/>
              <w:ind w:left="18"/>
              <w:spacing w:before="131" w:line="219" w:lineRule="auto"/>
              <w:rPr>
                <w:sz w:val="12"/>
                <w:szCs w:val="12"/>
              </w:rPr>
            </w:pPr>
            <w:r>
              <w:rPr>
                <w:sz w:val="12"/>
                <w:szCs w:val="12"/>
                <w:spacing w:val="-1"/>
              </w:rPr>
              <w:t>广请性柔菌刻</w:t>
            </w:r>
          </w:p>
        </w:tc>
      </w:tr>
      <w:tr>
        <w:trPr>
          <w:trHeight w:val="365"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4"/>
              <w:spacing w:before="121" w:line="219" w:lineRule="auto"/>
              <w:rPr>
                <w:sz w:val="12"/>
                <w:szCs w:val="12"/>
              </w:rPr>
            </w:pPr>
            <w:r>
              <w:rPr>
                <w:sz w:val="12"/>
                <w:szCs w:val="12"/>
                <w:spacing w:val="1"/>
              </w:rPr>
              <w:t>国光甲基疏菌灵</w:t>
            </w:r>
          </w:p>
        </w:tc>
        <w:tc>
          <w:tcPr>
            <w:tcW w:w="1899" w:type="dxa"/>
            <w:vAlign w:val="top"/>
            <w:tcBorders>
              <w:bottom w:val="single" w:color="000000" w:sz="2" w:space="0"/>
              <w:top w:val="single" w:color="000000" w:sz="2" w:space="0"/>
            </w:tcBorders>
          </w:tcPr>
          <w:p>
            <w:pPr>
              <w:pStyle w:val="TableText"/>
              <w:ind w:left="555"/>
              <w:spacing w:before="121" w:line="219" w:lineRule="auto"/>
              <w:rPr>
                <w:sz w:val="12"/>
                <w:szCs w:val="12"/>
              </w:rPr>
            </w:pPr>
            <w:r>
              <w:rPr>
                <w:sz w:val="12"/>
                <w:szCs w:val="12"/>
                <w:spacing w:val="-1"/>
              </w:rPr>
              <w:t>70%甲基疏菌灵</w:t>
            </w:r>
          </w:p>
        </w:tc>
        <w:tc>
          <w:tcPr>
            <w:tcW w:w="1599" w:type="dxa"/>
            <w:vAlign w:val="top"/>
            <w:tcBorders>
              <w:bottom w:val="single" w:color="000000" w:sz="2" w:space="0"/>
              <w:top w:val="single" w:color="000000" w:sz="2" w:space="0"/>
            </w:tcBorders>
          </w:tcPr>
          <w:p>
            <w:pPr>
              <w:pStyle w:val="TableText"/>
              <w:ind w:left="315"/>
              <w:spacing w:before="121" w:line="219" w:lineRule="auto"/>
              <w:rPr>
                <w:sz w:val="12"/>
                <w:szCs w:val="12"/>
              </w:rPr>
            </w:pPr>
            <w:r>
              <w:rPr>
                <w:sz w:val="12"/>
                <w:szCs w:val="12"/>
                <w:spacing w:val="-1"/>
              </w:rPr>
              <w:t>稀释600-1000倍液</w:t>
            </w:r>
          </w:p>
        </w:tc>
        <w:tc>
          <w:tcPr>
            <w:tcW w:w="103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67"/>
              <w:spacing w:before="118" w:line="213" w:lineRule="auto"/>
              <w:rPr>
                <w:sz w:val="12"/>
                <w:szCs w:val="12"/>
              </w:rPr>
            </w:pPr>
            <w:r>
              <w:rPr>
                <w:sz w:val="12"/>
                <w:szCs w:val="12"/>
                <w:spacing w:val="-2"/>
              </w:rPr>
              <w:t>1kg/袋</w:t>
            </w:r>
          </w:p>
        </w:tc>
        <w:tc>
          <w:tcPr>
            <w:tcW w:w="2548" w:type="dxa"/>
            <w:vAlign w:val="top"/>
            <w:tcBorders>
              <w:bottom w:val="single" w:color="000000" w:sz="2" w:space="0"/>
              <w:top w:val="single" w:color="000000" w:sz="2" w:space="0"/>
            </w:tcBorders>
          </w:tcPr>
          <w:p>
            <w:pPr>
              <w:pStyle w:val="TableText"/>
              <w:ind w:left="18"/>
              <w:spacing w:before="121" w:line="218" w:lineRule="auto"/>
              <w:rPr>
                <w:sz w:val="12"/>
                <w:szCs w:val="12"/>
              </w:rPr>
            </w:pPr>
            <w:r>
              <w:rPr>
                <w:sz w:val="12"/>
                <w:szCs w:val="12"/>
              </w:rPr>
              <w:t>内吸，广谱高效杀菌剂</w:t>
            </w:r>
          </w:p>
        </w:tc>
      </w:tr>
      <w:tr>
        <w:trPr>
          <w:trHeight w:val="58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231" w:line="219" w:lineRule="auto"/>
              <w:rPr>
                <w:sz w:val="12"/>
                <w:szCs w:val="12"/>
              </w:rPr>
            </w:pPr>
            <w:r>
              <w:rPr>
                <w:sz w:val="12"/>
                <w:szCs w:val="12"/>
                <w:spacing w:val="-2"/>
              </w:rPr>
              <w:t>耆力克</w:t>
            </w:r>
          </w:p>
        </w:tc>
        <w:tc>
          <w:tcPr>
            <w:tcW w:w="1899" w:type="dxa"/>
            <w:vAlign w:val="top"/>
            <w:tcBorders>
              <w:bottom w:val="single" w:color="000000" w:sz="2" w:space="0"/>
              <w:top w:val="single" w:color="000000" w:sz="2" w:space="0"/>
            </w:tcBorders>
          </w:tcPr>
          <w:p>
            <w:pPr>
              <w:pStyle w:val="TableText"/>
              <w:ind w:left="615"/>
              <w:spacing w:before="231" w:line="220" w:lineRule="auto"/>
              <w:rPr>
                <w:sz w:val="12"/>
                <w:szCs w:val="12"/>
              </w:rPr>
            </w:pPr>
            <w:r>
              <w:rPr>
                <w:sz w:val="12"/>
                <w:szCs w:val="12"/>
                <w:spacing w:val="-1"/>
              </w:rPr>
              <w:t>72.2%丙酰胺</w:t>
            </w:r>
          </w:p>
        </w:tc>
        <w:tc>
          <w:tcPr>
            <w:tcW w:w="1599" w:type="dxa"/>
            <w:vAlign w:val="top"/>
            <w:tcBorders>
              <w:bottom w:val="single" w:color="000000" w:sz="2" w:space="0"/>
              <w:top w:val="single" w:color="000000" w:sz="2" w:space="0"/>
            </w:tcBorders>
          </w:tcPr>
          <w:p>
            <w:pPr>
              <w:pStyle w:val="TableText"/>
              <w:ind w:left="435"/>
              <w:spacing w:before="231" w:line="220" w:lineRule="auto"/>
              <w:rPr>
                <w:sz w:val="12"/>
                <w:szCs w:val="12"/>
              </w:rPr>
            </w:pPr>
            <w:r>
              <w:rPr>
                <w:sz w:val="12"/>
                <w:szCs w:val="12"/>
                <w:spacing w:val="-1"/>
              </w:rPr>
              <w:t>800-1000倍液</w:t>
            </w:r>
          </w:p>
        </w:tc>
        <w:tc>
          <w:tcPr>
            <w:tcW w:w="1039" w:type="dxa"/>
            <w:vAlign w:val="top"/>
            <w:tcBorders>
              <w:bottom w:val="single" w:color="000000" w:sz="2" w:space="0"/>
              <w:top w:val="single" w:color="000000" w:sz="2" w:space="0"/>
            </w:tcBorders>
          </w:tcPr>
          <w:p>
            <w:pPr>
              <w:pStyle w:val="TableText"/>
              <w:ind w:left="17" w:firstLine="19"/>
              <w:spacing w:before="11" w:line="215" w:lineRule="auto"/>
              <w:rPr>
                <w:sz w:val="12"/>
                <w:szCs w:val="12"/>
              </w:rPr>
            </w:pPr>
            <w:r>
              <w:rPr>
                <w:sz w:val="12"/>
                <w:szCs w:val="12"/>
                <w:spacing w:val="-3"/>
              </w:rPr>
              <w:t>10天一次，连续喷</w:t>
            </w:r>
            <w:r>
              <w:rPr>
                <w:sz w:val="12"/>
                <w:szCs w:val="12"/>
                <w:spacing w:val="2"/>
              </w:rPr>
              <w:t xml:space="preserve">  </w:t>
            </w:r>
            <w:r>
              <w:rPr>
                <w:sz w:val="12"/>
                <w:szCs w:val="12"/>
                <w:spacing w:val="-1"/>
              </w:rPr>
              <w:t>酒病部地面2-3次，</w:t>
            </w:r>
          </w:p>
          <w:p>
            <w:pPr>
              <w:pStyle w:val="TableText"/>
              <w:ind w:left="334" w:hanging="317"/>
              <w:spacing w:line="210" w:lineRule="auto"/>
              <w:rPr>
                <w:sz w:val="12"/>
                <w:szCs w:val="12"/>
              </w:rPr>
            </w:pPr>
            <w:r>
              <w:rPr>
                <w:sz w:val="12"/>
                <w:szCs w:val="12"/>
                <w:spacing w:val="-1"/>
              </w:rPr>
              <w:t>喷药1小时内遇雨，</w:t>
            </w:r>
            <w:r>
              <w:rPr>
                <w:sz w:val="12"/>
                <w:szCs w:val="12"/>
              </w:rPr>
              <w:t xml:space="preserve"> </w:t>
            </w:r>
            <w:r>
              <w:rPr>
                <w:sz w:val="12"/>
                <w:szCs w:val="12"/>
                <w:spacing w:val="-2"/>
              </w:rPr>
              <w:t>武重喷</w:t>
            </w:r>
          </w:p>
        </w:tc>
        <w:tc>
          <w:tcPr>
            <w:tcW w:w="699" w:type="dxa"/>
            <w:vAlign w:val="top"/>
            <w:tcBorders>
              <w:bottom w:val="single" w:color="000000" w:sz="2" w:space="0"/>
              <w:top w:val="single" w:color="000000" w:sz="2" w:space="0"/>
            </w:tcBorders>
          </w:tcPr>
          <w:p>
            <w:pPr>
              <w:pStyle w:val="TableText"/>
              <w:ind w:left="107"/>
              <w:spacing w:before="231" w:line="221" w:lineRule="auto"/>
              <w:rPr>
                <w:sz w:val="12"/>
                <w:szCs w:val="12"/>
              </w:rPr>
            </w:pPr>
            <w:r>
              <w:rPr>
                <w:sz w:val="12"/>
                <w:szCs w:val="12"/>
                <w:spacing w:val="-2"/>
              </w:rPr>
              <w:t>100ml/瓶</w:t>
            </w:r>
          </w:p>
        </w:tc>
        <w:tc>
          <w:tcPr>
            <w:tcW w:w="2548" w:type="dxa"/>
            <w:vAlign w:val="top"/>
            <w:tcBorders>
              <w:bottom w:val="single" w:color="000000" w:sz="2" w:space="0"/>
              <w:top w:val="single" w:color="000000" w:sz="2" w:space="0"/>
            </w:tcBorders>
          </w:tcPr>
          <w:p>
            <w:pPr>
              <w:pStyle w:val="TableText"/>
              <w:ind w:left="18"/>
              <w:spacing w:before="231" w:line="218" w:lineRule="auto"/>
              <w:rPr>
                <w:sz w:val="12"/>
                <w:szCs w:val="12"/>
              </w:rPr>
            </w:pPr>
            <w:r>
              <w:rPr>
                <w:sz w:val="12"/>
                <w:szCs w:val="12"/>
                <w:spacing w:val="-1"/>
              </w:rPr>
              <w:t>对根腐病、霜霉病、立枯隋、猝倒病有特效</w:t>
            </w:r>
          </w:p>
        </w:tc>
      </w:tr>
      <w:tr>
        <w:trPr>
          <w:trHeight w:val="325"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01" w:line="219" w:lineRule="auto"/>
              <w:rPr>
                <w:sz w:val="12"/>
                <w:szCs w:val="12"/>
              </w:rPr>
            </w:pPr>
            <w:r>
              <w:rPr>
                <w:sz w:val="12"/>
                <w:szCs w:val="12"/>
                <w:spacing w:val="-1"/>
              </w:rPr>
              <w:t>链霉素</w:t>
            </w:r>
          </w:p>
        </w:tc>
        <w:tc>
          <w:tcPr>
            <w:tcW w:w="1899" w:type="dxa"/>
            <w:vAlign w:val="top"/>
            <w:tcBorders>
              <w:bottom w:val="single" w:color="000000" w:sz="2" w:space="0"/>
              <w:top w:val="single" w:color="000000" w:sz="2" w:space="0"/>
            </w:tcBorders>
          </w:tcPr>
          <w:p>
            <w:pPr>
              <w:pStyle w:val="TableText"/>
              <w:ind w:left="674"/>
              <w:spacing w:before="101" w:line="219" w:lineRule="auto"/>
              <w:rPr>
                <w:sz w:val="12"/>
                <w:szCs w:val="12"/>
              </w:rPr>
            </w:pPr>
            <w:r>
              <w:rPr>
                <w:sz w:val="12"/>
                <w:szCs w:val="12"/>
                <w:spacing w:val="-1"/>
              </w:rPr>
              <w:t>72%链霉素</w:t>
            </w:r>
          </w:p>
        </w:tc>
        <w:tc>
          <w:tcPr>
            <w:tcW w:w="1599" w:type="dxa"/>
            <w:vAlign w:val="top"/>
            <w:tcBorders>
              <w:bottom w:val="single" w:color="000000" w:sz="2" w:space="0"/>
              <w:top w:val="single" w:color="000000" w:sz="2" w:space="0"/>
            </w:tcBorders>
          </w:tcPr>
          <w:p>
            <w:pPr>
              <w:pStyle w:val="TableText"/>
              <w:ind w:left="586"/>
              <w:spacing w:before="102" w:line="220" w:lineRule="auto"/>
              <w:rPr>
                <w:sz w:val="12"/>
                <w:szCs w:val="12"/>
              </w:rPr>
            </w:pPr>
            <w:r>
              <w:rPr>
                <w:sz w:val="12"/>
                <w:szCs w:val="12"/>
                <w:spacing w:val="-1"/>
              </w:rPr>
              <w:t>000倍液</w:t>
            </w:r>
          </w:p>
        </w:tc>
        <w:tc>
          <w:tcPr>
            <w:tcW w:w="1039" w:type="dxa"/>
            <w:vAlign w:val="top"/>
            <w:vMerge w:val="restart"/>
            <w:tcBorders>
              <w:bottom w:val="nil"/>
              <w:top w:val="single" w:color="000000" w:sz="2" w:space="0"/>
            </w:tcBorders>
          </w:tcPr>
          <w:p>
            <w:pPr>
              <w:pStyle w:val="TableText"/>
              <w:ind w:left="136" w:right="2" w:hanging="69"/>
              <w:spacing w:before="181" w:line="233" w:lineRule="auto"/>
              <w:rPr>
                <w:sz w:val="12"/>
                <w:szCs w:val="12"/>
              </w:rPr>
            </w:pPr>
            <w:r>
              <w:rPr>
                <w:sz w:val="12"/>
                <w:szCs w:val="12"/>
                <w:spacing w:val="-1"/>
              </w:rPr>
              <w:t>每10天喷施一次，</w:t>
            </w:r>
            <w:r>
              <w:rPr>
                <w:sz w:val="12"/>
                <w:szCs w:val="12"/>
                <w:spacing w:val="7"/>
              </w:rPr>
              <w:t xml:space="preserve"> </w:t>
            </w:r>
            <w:r>
              <w:rPr>
                <w:sz w:val="12"/>
                <w:szCs w:val="12"/>
              </w:rPr>
              <w:t>连唤3至4次。</w:t>
            </w:r>
          </w:p>
        </w:tc>
        <w:tc>
          <w:tcPr>
            <w:tcW w:w="699" w:type="dxa"/>
            <w:vAlign w:val="top"/>
            <w:tcBorders>
              <w:bottom w:val="single" w:color="000000" w:sz="2" w:space="0"/>
              <w:top w:val="single" w:color="000000" w:sz="2" w:space="0"/>
            </w:tcBorders>
          </w:tcPr>
          <w:p>
            <w:pPr>
              <w:pStyle w:val="TableText"/>
              <w:ind w:left="167"/>
              <w:spacing w:before="98" w:line="213" w:lineRule="auto"/>
              <w:rPr>
                <w:sz w:val="12"/>
                <w:szCs w:val="12"/>
              </w:rPr>
            </w:pPr>
            <w:r>
              <w:rPr>
                <w:sz w:val="12"/>
                <w:szCs w:val="12"/>
                <w:spacing w:val="-2"/>
              </w:rPr>
              <w:t>15g/袋</w:t>
            </w:r>
          </w:p>
        </w:tc>
        <w:tc>
          <w:tcPr>
            <w:tcW w:w="2548" w:type="dxa"/>
            <w:vAlign w:val="top"/>
            <w:vMerge w:val="restart"/>
            <w:tcBorders>
              <w:bottom w:val="nil"/>
              <w:top w:val="single" w:color="000000" w:sz="2" w:space="0"/>
            </w:tcBorders>
          </w:tcPr>
          <w:p>
            <w:pPr>
              <w:pStyle w:val="TableText"/>
              <w:ind w:left="18"/>
              <w:spacing w:before="261" w:line="219" w:lineRule="auto"/>
              <w:rPr>
                <w:sz w:val="12"/>
                <w:szCs w:val="12"/>
              </w:rPr>
            </w:pPr>
            <w:r>
              <w:rPr>
                <w:sz w:val="12"/>
                <w:szCs w:val="12"/>
                <w:spacing w:val="-1"/>
              </w:rPr>
              <w:t>防治细菌性穿孔病，对细菌性病害有特效</w:t>
            </w:r>
          </w:p>
        </w:tc>
      </w:tr>
      <w:tr>
        <w:trPr>
          <w:trHeight w:val="305"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91" w:line="219" w:lineRule="auto"/>
              <w:rPr>
                <w:sz w:val="12"/>
                <w:szCs w:val="12"/>
              </w:rPr>
            </w:pPr>
            <w:r>
              <w:rPr>
                <w:sz w:val="12"/>
                <w:szCs w:val="12"/>
                <w:spacing w:val="-2"/>
              </w:rPr>
              <w:t>细菌灵</w:t>
            </w:r>
          </w:p>
        </w:tc>
        <w:tc>
          <w:tcPr>
            <w:tcW w:w="1899" w:type="dxa"/>
            <w:vAlign w:val="top"/>
            <w:tcBorders>
              <w:bottom w:val="single" w:color="000000" w:sz="2" w:space="0"/>
              <w:top w:val="single" w:color="000000" w:sz="2" w:space="0"/>
            </w:tcBorders>
          </w:tcPr>
          <w:p>
            <w:pPr>
              <w:pStyle w:val="TableText"/>
              <w:ind w:left="285"/>
              <w:spacing w:before="91" w:line="219" w:lineRule="auto"/>
              <w:rPr>
                <w:sz w:val="12"/>
                <w:szCs w:val="12"/>
              </w:rPr>
            </w:pPr>
            <w:r>
              <w:rPr>
                <w:sz w:val="12"/>
                <w:szCs w:val="12"/>
                <w:spacing w:val="-1"/>
              </w:rPr>
              <w:t>40%多菌灵、30%中生霉素</w:t>
            </w:r>
          </w:p>
        </w:tc>
        <w:tc>
          <w:tcPr>
            <w:tcW w:w="1599" w:type="dxa"/>
            <w:vAlign w:val="top"/>
            <w:tcBorders>
              <w:bottom w:val="single" w:color="000000" w:sz="2" w:space="0"/>
              <w:top w:val="single" w:color="000000" w:sz="2" w:space="0"/>
            </w:tcBorders>
          </w:tcPr>
          <w:p>
            <w:pPr>
              <w:pStyle w:val="TableText"/>
              <w:ind w:left="525"/>
              <w:spacing w:before="91" w:line="220" w:lineRule="auto"/>
              <w:rPr>
                <w:sz w:val="12"/>
                <w:szCs w:val="12"/>
              </w:rPr>
            </w:pPr>
            <w:r>
              <w:rPr>
                <w:sz w:val="12"/>
                <w:szCs w:val="12"/>
                <w:spacing w:val="-1"/>
              </w:rPr>
              <w:t>500-600倍</w:t>
            </w:r>
          </w:p>
        </w:tc>
        <w:tc>
          <w:tcPr>
            <w:tcW w:w="103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67"/>
              <w:spacing w:before="87" w:line="213" w:lineRule="auto"/>
              <w:rPr>
                <w:sz w:val="12"/>
                <w:szCs w:val="12"/>
              </w:rPr>
            </w:pPr>
            <w:r>
              <w:rPr>
                <w:sz w:val="12"/>
                <w:szCs w:val="12"/>
                <w:spacing w:val="-1"/>
              </w:rPr>
              <w:t>25g/袋</w:t>
            </w:r>
          </w:p>
        </w:tc>
        <w:tc>
          <w:tcPr>
            <w:tcW w:w="2548" w:type="dxa"/>
            <w:vAlign w:val="top"/>
            <w:vMerge w:val="continue"/>
            <w:tcBorders>
              <w:bottom w:val="single" w:color="000000" w:sz="2" w:space="0"/>
              <w:top w:val="nil"/>
            </w:tcBorders>
          </w:tcPr>
          <w:p>
            <w:pPr>
              <w:rPr>
                <w:rFonts w:ascii="Arial"/>
                <w:sz w:val="21"/>
              </w:rPr>
            </w:pPr>
            <w:r/>
          </w:p>
        </w:tc>
      </w:tr>
      <w:tr>
        <w:trPr>
          <w:trHeight w:val="56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220" w:line="219" w:lineRule="auto"/>
              <w:rPr>
                <w:sz w:val="12"/>
                <w:szCs w:val="12"/>
              </w:rPr>
            </w:pPr>
            <w:r>
              <w:rPr>
                <w:sz w:val="12"/>
                <w:szCs w:val="12"/>
                <w:spacing w:val="-2"/>
              </w:rPr>
              <w:t>植病灵</w:t>
            </w:r>
          </w:p>
        </w:tc>
        <w:tc>
          <w:tcPr>
            <w:tcW w:w="1899" w:type="dxa"/>
            <w:vAlign w:val="top"/>
            <w:tcBorders>
              <w:bottom w:val="single" w:color="000000" w:sz="2" w:space="0"/>
              <w:top w:val="single" w:color="000000" w:sz="2" w:space="0"/>
            </w:tcBorders>
          </w:tcPr>
          <w:p>
            <w:pPr>
              <w:pStyle w:val="TableText"/>
              <w:ind w:left="345"/>
              <w:spacing w:before="221" w:line="220" w:lineRule="auto"/>
              <w:rPr>
                <w:sz w:val="12"/>
                <w:szCs w:val="12"/>
              </w:rPr>
            </w:pPr>
            <w:r>
              <w:rPr>
                <w:sz w:val="12"/>
                <w:szCs w:val="12"/>
                <w:spacing w:val="-1"/>
              </w:rPr>
              <w:t>盐酸金刚乙胺，丙环唑</w:t>
            </w:r>
          </w:p>
        </w:tc>
        <w:tc>
          <w:tcPr>
            <w:tcW w:w="1599" w:type="dxa"/>
            <w:vAlign w:val="top"/>
            <w:tcBorders>
              <w:bottom w:val="single" w:color="000000" w:sz="2" w:space="0"/>
              <w:top w:val="single" w:color="000000" w:sz="2" w:space="0"/>
            </w:tcBorders>
          </w:tcPr>
          <w:p>
            <w:pPr>
              <w:pStyle w:val="TableText"/>
              <w:ind w:left="586"/>
              <w:spacing w:before="221" w:line="220" w:lineRule="auto"/>
              <w:rPr>
                <w:sz w:val="12"/>
                <w:szCs w:val="12"/>
              </w:rPr>
            </w:pPr>
            <w:r>
              <w:rPr>
                <w:sz w:val="12"/>
                <w:szCs w:val="12"/>
                <w:spacing w:val="-1"/>
              </w:rPr>
              <w:t>800倍波</w:t>
            </w:r>
          </w:p>
        </w:tc>
        <w:tc>
          <w:tcPr>
            <w:tcW w:w="1039" w:type="dxa"/>
            <w:vAlign w:val="top"/>
            <w:tcBorders>
              <w:bottom w:val="single" w:color="000000" w:sz="2" w:space="0"/>
              <w:top w:val="single" w:color="000000" w:sz="2" w:space="0"/>
            </w:tcBorders>
          </w:tcPr>
          <w:p>
            <w:pPr>
              <w:pStyle w:val="TableText"/>
              <w:spacing w:before="100" w:line="200" w:lineRule="auto"/>
              <w:jc w:val="right"/>
              <w:rPr>
                <w:sz w:val="12"/>
                <w:szCs w:val="12"/>
              </w:rPr>
            </w:pPr>
            <w:r>
              <w:rPr>
                <w:sz w:val="12"/>
                <w:szCs w:val="12"/>
                <w:spacing w:val="-1"/>
              </w:rPr>
              <w:t>发病初期，每5-7天</w:t>
            </w:r>
          </w:p>
          <w:p>
            <w:pPr>
              <w:pStyle w:val="TableText"/>
              <w:spacing w:line="219" w:lineRule="auto"/>
              <w:jc w:val="right"/>
              <w:rPr>
                <w:sz w:val="12"/>
                <w:szCs w:val="12"/>
              </w:rPr>
            </w:pPr>
            <w:r>
              <w:rPr>
                <w:sz w:val="12"/>
                <w:szCs w:val="12"/>
                <w:spacing w:val="-1"/>
              </w:rPr>
              <w:t>喷施一次。喷3遍，</w:t>
            </w:r>
          </w:p>
          <w:p>
            <w:pPr>
              <w:pStyle w:val="TableText"/>
              <w:ind w:left="177"/>
              <w:spacing w:before="7" w:line="219" w:lineRule="auto"/>
              <w:rPr>
                <w:sz w:val="12"/>
                <w:szCs w:val="12"/>
              </w:rPr>
            </w:pPr>
            <w:r>
              <w:rPr>
                <w:sz w:val="12"/>
                <w:szCs w:val="12"/>
              </w:rPr>
              <w:t>可减轻危害。</w:t>
            </w:r>
          </w:p>
        </w:tc>
        <w:tc>
          <w:tcPr>
            <w:tcW w:w="699" w:type="dxa"/>
            <w:vAlign w:val="top"/>
            <w:tcBorders>
              <w:bottom w:val="single" w:color="000000" w:sz="2" w:space="0"/>
              <w:top w:val="single" w:color="000000" w:sz="2" w:space="0"/>
            </w:tcBorders>
          </w:tcPr>
          <w:p>
            <w:pPr>
              <w:pStyle w:val="TableText"/>
              <w:ind w:left="137"/>
              <w:spacing w:before="221" w:line="221" w:lineRule="auto"/>
              <w:rPr>
                <w:sz w:val="12"/>
                <w:szCs w:val="12"/>
              </w:rPr>
            </w:pPr>
            <w:r>
              <w:rPr>
                <w:sz w:val="12"/>
                <w:szCs w:val="12"/>
                <w:spacing w:val="-2"/>
              </w:rPr>
              <w:t>15ml/瓶</w:t>
            </w:r>
          </w:p>
        </w:tc>
        <w:tc>
          <w:tcPr>
            <w:tcW w:w="2548" w:type="dxa"/>
            <w:vAlign w:val="top"/>
            <w:tcBorders>
              <w:bottom w:val="single" w:color="000000" w:sz="2" w:space="0"/>
              <w:top w:val="single" w:color="000000" w:sz="2" w:space="0"/>
            </w:tcBorders>
          </w:tcPr>
          <w:p>
            <w:pPr>
              <w:pStyle w:val="TableText"/>
              <w:ind w:left="18"/>
              <w:spacing w:before="220" w:line="219" w:lineRule="auto"/>
              <w:rPr>
                <w:sz w:val="12"/>
                <w:szCs w:val="12"/>
              </w:rPr>
            </w:pPr>
            <w:r>
              <w:rPr>
                <w:sz w:val="12"/>
                <w:szCs w:val="12"/>
                <w:spacing w:val="-1"/>
              </w:rPr>
              <w:t>防治花叶病，对病毒性病害有特效</w:t>
            </w:r>
          </w:p>
        </w:tc>
      </w:tr>
      <w:tr>
        <w:trPr>
          <w:trHeight w:val="55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4"/>
              <w:spacing w:before="221" w:line="219" w:lineRule="auto"/>
              <w:rPr>
                <w:sz w:val="12"/>
                <w:szCs w:val="12"/>
              </w:rPr>
            </w:pPr>
            <w:r>
              <w:rPr>
                <w:sz w:val="12"/>
                <w:szCs w:val="12"/>
                <w:spacing w:val="3"/>
              </w:rPr>
              <w:t>特克多(噻菌灵)</w:t>
            </w:r>
          </w:p>
        </w:tc>
        <w:tc>
          <w:tcPr>
            <w:tcW w:w="1899" w:type="dxa"/>
            <w:vAlign w:val="top"/>
            <w:tcBorders>
              <w:bottom w:val="single" w:color="000000" w:sz="2" w:space="0"/>
              <w:top w:val="single" w:color="000000" w:sz="2" w:space="0"/>
            </w:tcBorders>
          </w:tcPr>
          <w:p>
            <w:pPr>
              <w:pStyle w:val="TableText"/>
              <w:ind w:left="704"/>
              <w:spacing w:before="221" w:line="218" w:lineRule="auto"/>
              <w:rPr>
                <w:sz w:val="12"/>
                <w:szCs w:val="12"/>
              </w:rPr>
            </w:pPr>
            <w:r>
              <w:rPr>
                <w:sz w:val="12"/>
                <w:szCs w:val="12"/>
                <w:spacing w:val="-2"/>
              </w:rPr>
              <w:t>苯咪唑类</w:t>
            </w:r>
          </w:p>
        </w:tc>
        <w:tc>
          <w:tcPr>
            <w:tcW w:w="1599" w:type="dxa"/>
            <w:vAlign w:val="top"/>
            <w:tcBorders>
              <w:bottom w:val="single" w:color="000000" w:sz="2" w:space="0"/>
              <w:top w:val="single" w:color="000000" w:sz="2" w:space="0"/>
            </w:tcBorders>
          </w:tcPr>
          <w:p>
            <w:pPr>
              <w:pStyle w:val="TableText"/>
              <w:ind w:left="256"/>
              <w:spacing w:before="221" w:line="218" w:lineRule="auto"/>
              <w:rPr>
                <w:sz w:val="12"/>
                <w:szCs w:val="12"/>
              </w:rPr>
            </w:pPr>
            <w:r>
              <w:rPr>
                <w:sz w:val="12"/>
                <w:szCs w:val="12"/>
                <w:spacing w:val="-1"/>
              </w:rPr>
              <w:t>45%悬浮剂600-800倍</w:t>
            </w:r>
          </w:p>
        </w:tc>
        <w:tc>
          <w:tcPr>
            <w:tcW w:w="1039" w:type="dxa"/>
            <w:vAlign w:val="top"/>
            <w:vMerge w:val="restart"/>
            <w:tcBorders>
              <w:bottom w:val="nil"/>
              <w:top w:val="single" w:color="000000" w:sz="2" w:space="0"/>
            </w:tcBorders>
          </w:tcPr>
          <w:p>
            <w:pPr>
              <w:spacing w:line="389" w:lineRule="auto"/>
              <w:rPr>
                <w:rFonts w:ascii="Arial"/>
                <w:sz w:val="21"/>
              </w:rPr>
            </w:pPr>
            <w:r/>
          </w:p>
          <w:p>
            <w:pPr>
              <w:pStyle w:val="TableText"/>
              <w:spacing w:before="39" w:line="200" w:lineRule="auto"/>
              <w:jc w:val="right"/>
              <w:rPr>
                <w:sz w:val="12"/>
                <w:szCs w:val="12"/>
              </w:rPr>
            </w:pPr>
            <w:r>
              <w:rPr>
                <w:sz w:val="12"/>
                <w:szCs w:val="12"/>
              </w:rPr>
              <w:t>阿隔10-15天1次，</w:t>
            </w:r>
          </w:p>
          <w:p>
            <w:pPr>
              <w:pStyle w:val="TableText"/>
              <w:ind w:left="246"/>
              <w:spacing w:line="219" w:lineRule="auto"/>
              <w:rPr>
                <w:sz w:val="12"/>
                <w:szCs w:val="12"/>
              </w:rPr>
            </w:pPr>
            <w:r>
              <w:rPr>
                <w:sz w:val="12"/>
                <w:szCs w:val="12"/>
                <w:spacing w:val="-1"/>
              </w:rPr>
              <w:t>连喷2-3次</w:t>
            </w:r>
          </w:p>
        </w:tc>
        <w:tc>
          <w:tcPr>
            <w:tcW w:w="699" w:type="dxa"/>
            <w:vAlign w:val="top"/>
            <w:tcBorders>
              <w:bottom w:val="single" w:color="000000" w:sz="2" w:space="0"/>
              <w:top w:val="single" w:color="000000" w:sz="2" w:space="0"/>
            </w:tcBorders>
          </w:tcPr>
          <w:p>
            <w:pPr>
              <w:pStyle w:val="TableText"/>
              <w:ind w:left="107"/>
              <w:spacing w:before="221" w:line="221" w:lineRule="auto"/>
              <w:rPr>
                <w:sz w:val="12"/>
                <w:szCs w:val="12"/>
              </w:rPr>
            </w:pPr>
            <w:r>
              <w:rPr>
                <w:sz w:val="12"/>
                <w:szCs w:val="12"/>
                <w:spacing w:val="-2"/>
              </w:rPr>
              <w:t>100ml/瓶</w:t>
            </w:r>
          </w:p>
        </w:tc>
        <w:tc>
          <w:tcPr>
            <w:tcW w:w="2548" w:type="dxa"/>
            <w:vAlign w:val="top"/>
            <w:tcBorders>
              <w:bottom w:val="single" w:color="000000" w:sz="2" w:space="0"/>
              <w:top w:val="single" w:color="000000" w:sz="2" w:space="0"/>
            </w:tcBorders>
          </w:tcPr>
          <w:p>
            <w:pPr>
              <w:pStyle w:val="TableText"/>
              <w:ind w:left="18"/>
              <w:spacing w:before="160" w:line="249" w:lineRule="auto"/>
              <w:rPr>
                <w:sz w:val="12"/>
                <w:szCs w:val="12"/>
              </w:rPr>
            </w:pPr>
            <w:r>
              <w:rPr>
                <w:sz w:val="12"/>
                <w:szCs w:val="12"/>
              </w:rPr>
              <w:t>防治叶斑病、青霉病、炭疽病、灰霉痛、黑</w:t>
            </w:r>
            <w:r>
              <w:rPr>
                <w:sz w:val="12"/>
                <w:szCs w:val="12"/>
                <w:spacing w:val="-1"/>
              </w:rPr>
              <w:t>星病</w:t>
            </w:r>
            <w:r>
              <w:rPr>
                <w:sz w:val="12"/>
                <w:szCs w:val="12"/>
              </w:rPr>
              <w:t xml:space="preserve"> </w:t>
            </w:r>
            <w:r>
              <w:rPr>
                <w:sz w:val="12"/>
                <w:szCs w:val="12"/>
                <w:spacing w:val="-1"/>
              </w:rPr>
              <w:t>、白粉病等防治</w:t>
            </w:r>
          </w:p>
        </w:tc>
      </w:tr>
      <w:tr>
        <w:trPr>
          <w:trHeight w:val="524" w:hRule="atLeast"/>
        </w:trPr>
        <w:tc>
          <w:tcPr>
            <w:tcW w:w="415" w:type="dxa"/>
            <w:vAlign w:val="top"/>
            <w:vMerge w:val="continue"/>
            <w:tcBorders>
              <w:bottom w:val="single" w:color="000000" w:sz="2" w:space="0"/>
              <w:top w:val="nil"/>
            </w:tcBorders>
          </w:tcPr>
          <w:p>
            <w:pPr>
              <w:rPr>
                <w:rFonts w:ascii="Arial"/>
                <w:sz w:val="21"/>
              </w:rPr>
            </w:pPr>
            <w:r/>
          </w:p>
        </w:tc>
        <w:tc>
          <w:tcPr>
            <w:tcW w:w="609"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96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144"/>
              <w:spacing w:before="201" w:line="219" w:lineRule="auto"/>
              <w:rPr>
                <w:sz w:val="12"/>
                <w:szCs w:val="12"/>
              </w:rPr>
            </w:pPr>
            <w:r>
              <w:rPr>
                <w:sz w:val="12"/>
                <w:szCs w:val="12"/>
                <w:spacing w:val="2"/>
              </w:rPr>
              <w:t>好靓(丙疏多菌灵)</w:t>
            </w:r>
          </w:p>
        </w:tc>
        <w:tc>
          <w:tcPr>
            <w:tcW w:w="1899" w:type="dxa"/>
            <w:vAlign w:val="top"/>
            <w:tcBorders>
              <w:bottom w:val="single" w:color="000000" w:sz="2" w:space="0"/>
              <w:top w:val="single" w:color="000000" w:sz="2" w:space="0"/>
            </w:tcBorders>
          </w:tcPr>
          <w:p>
            <w:pPr>
              <w:pStyle w:val="TableText"/>
              <w:ind w:left="704"/>
              <w:spacing w:before="201" w:line="220" w:lineRule="auto"/>
              <w:rPr>
                <w:sz w:val="12"/>
                <w:szCs w:val="12"/>
              </w:rPr>
            </w:pPr>
            <w:r>
              <w:rPr>
                <w:sz w:val="12"/>
                <w:szCs w:val="12"/>
                <w:spacing w:val="-2"/>
              </w:rPr>
              <w:t>丙硫味唑</w:t>
            </w:r>
          </w:p>
        </w:tc>
        <w:tc>
          <w:tcPr>
            <w:tcW w:w="1599" w:type="dxa"/>
            <w:vAlign w:val="top"/>
            <w:tcBorders>
              <w:bottom w:val="single" w:color="000000" w:sz="2" w:space="0"/>
              <w:top w:val="single" w:color="000000" w:sz="2" w:space="0"/>
            </w:tcBorders>
          </w:tcPr>
          <w:p>
            <w:pPr>
              <w:pStyle w:val="TableText"/>
              <w:ind w:left="256"/>
              <w:spacing w:before="201" w:line="219" w:lineRule="auto"/>
              <w:rPr>
                <w:sz w:val="12"/>
                <w:szCs w:val="12"/>
              </w:rPr>
            </w:pPr>
            <w:r>
              <w:rPr>
                <w:sz w:val="12"/>
                <w:szCs w:val="12"/>
                <w:spacing w:val="-1"/>
              </w:rPr>
              <w:t>20%好根2000-3000倍</w:t>
            </w:r>
          </w:p>
        </w:tc>
        <w:tc>
          <w:tcPr>
            <w:tcW w:w="103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67"/>
              <w:spacing w:before="198" w:line="213" w:lineRule="auto"/>
              <w:rPr>
                <w:sz w:val="12"/>
                <w:szCs w:val="12"/>
              </w:rPr>
            </w:pPr>
            <w:r>
              <w:rPr>
                <w:sz w:val="12"/>
                <w:szCs w:val="12"/>
                <w:spacing w:val="-1"/>
              </w:rPr>
              <w:t>50g/袋</w:t>
            </w:r>
          </w:p>
        </w:tc>
        <w:tc>
          <w:tcPr>
            <w:tcW w:w="2548" w:type="dxa"/>
            <w:vAlign w:val="top"/>
            <w:tcBorders>
              <w:bottom w:val="single" w:color="000000" w:sz="2" w:space="0"/>
              <w:top w:val="single" w:color="000000" w:sz="2" w:space="0"/>
            </w:tcBorders>
          </w:tcPr>
          <w:p>
            <w:pPr>
              <w:pStyle w:val="TableText"/>
              <w:ind w:left="18"/>
              <w:spacing w:before="61" w:line="232" w:lineRule="auto"/>
              <w:jc w:val="both"/>
              <w:rPr>
                <w:sz w:val="12"/>
                <w:szCs w:val="12"/>
              </w:rPr>
            </w:pPr>
            <w:r>
              <w:rPr>
                <w:sz w:val="12"/>
                <w:szCs w:val="12"/>
              </w:rPr>
              <w:t>广谱内吸性杀菌剂。可用于防治枯萎病、疫</w:t>
            </w:r>
            <w:r>
              <w:rPr>
                <w:sz w:val="12"/>
                <w:szCs w:val="12"/>
                <w:spacing w:val="-1"/>
              </w:rPr>
              <w:t>病、</w:t>
            </w:r>
            <w:r>
              <w:rPr>
                <w:sz w:val="12"/>
                <w:szCs w:val="12"/>
              </w:rPr>
              <w:t xml:space="preserve"> </w:t>
            </w:r>
            <w:r>
              <w:rPr>
                <w:sz w:val="12"/>
                <w:szCs w:val="12"/>
                <w:spacing w:val="-4"/>
              </w:rPr>
              <w:t>腐霉病、立枯病，根腐病、茎腐病、猝倒病等多</w:t>
            </w:r>
            <w:r>
              <w:rPr>
                <w:sz w:val="12"/>
                <w:szCs w:val="12"/>
                <w:spacing w:val="9"/>
              </w:rPr>
              <w:t xml:space="preserve">  </w:t>
            </w:r>
            <w:r>
              <w:rPr>
                <w:sz w:val="12"/>
                <w:szCs w:val="12"/>
                <w:spacing w:val="-3"/>
              </w:rPr>
              <w:t>种病害。使用方法：灌根。喷雾</w:t>
            </w:r>
          </w:p>
        </w:tc>
      </w:tr>
      <w:tr>
        <w:trPr>
          <w:trHeight w:val="444" w:hRule="atLeast"/>
        </w:trPr>
        <w:tc>
          <w:tcPr>
            <w:tcW w:w="415"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14"/>
              <w:spacing w:before="39" w:line="218" w:lineRule="auto"/>
              <w:rPr>
                <w:sz w:val="12"/>
                <w:szCs w:val="12"/>
              </w:rPr>
            </w:pPr>
            <w:r>
              <w:rPr>
                <w:sz w:val="12"/>
                <w:szCs w:val="12"/>
                <w:spacing w:val="-2"/>
              </w:rPr>
              <w:t>杀虫剂</w:t>
            </w:r>
          </w:p>
        </w:tc>
        <w:tc>
          <w:tcPr>
            <w:tcW w:w="609" w:type="dxa"/>
            <w:vAlign w:val="top"/>
            <w:vMerge w:val="restart"/>
            <w:tcBorders>
              <w:bottom w:val="nil"/>
              <w:top w:val="single" w:color="000000" w:sz="2" w:space="0"/>
            </w:tcBorders>
          </w:tcPr>
          <w:p>
            <w:pPr>
              <w:spacing w:line="360" w:lineRule="auto"/>
              <w:rPr>
                <w:rFonts w:ascii="Arial"/>
                <w:sz w:val="21"/>
              </w:rPr>
            </w:pPr>
            <w:r/>
          </w:p>
          <w:p>
            <w:pPr>
              <w:pStyle w:val="TableText"/>
              <w:ind w:left="50"/>
              <w:spacing w:before="39" w:line="219" w:lineRule="auto"/>
              <w:rPr>
                <w:sz w:val="12"/>
                <w:szCs w:val="12"/>
              </w:rPr>
            </w:pPr>
            <w:r>
              <w:rPr>
                <w:sz w:val="12"/>
                <w:szCs w:val="12"/>
                <w:spacing w:val="-1"/>
              </w:rPr>
              <w:t>食叶害虫</w:t>
            </w:r>
          </w:p>
        </w:tc>
        <w:tc>
          <w:tcPr>
            <w:tcW w:w="929" w:type="dxa"/>
            <w:vAlign w:val="top"/>
            <w:vMerge w:val="restart"/>
            <w:tcBorders>
              <w:bottom w:val="nil"/>
              <w:top w:val="single" w:color="000000" w:sz="2" w:space="0"/>
            </w:tcBorders>
          </w:tcPr>
          <w:p>
            <w:pPr>
              <w:pStyle w:val="TableText"/>
              <w:ind w:left="31"/>
              <w:spacing w:before="182" w:line="219" w:lineRule="auto"/>
              <w:rPr>
                <w:sz w:val="12"/>
                <w:szCs w:val="12"/>
              </w:rPr>
            </w:pPr>
            <w:r>
              <w:rPr>
                <w:sz w:val="12"/>
                <w:szCs w:val="12"/>
                <w:spacing w:val="-1"/>
              </w:rPr>
              <w:t>粘虫，天喜毛虫</w:t>
            </w:r>
          </w:p>
          <w:p>
            <w:pPr>
              <w:pStyle w:val="TableText"/>
              <w:ind w:left="31"/>
              <w:spacing w:before="17" w:line="219" w:lineRule="auto"/>
              <w:rPr>
                <w:sz w:val="12"/>
                <w:szCs w:val="12"/>
              </w:rPr>
            </w:pPr>
            <w:r>
              <w:rPr>
                <w:sz w:val="12"/>
                <w:szCs w:val="12"/>
                <w:spacing w:val="-3"/>
              </w:rPr>
              <w:t>、叶甲、舞毒蛾</w:t>
            </w:r>
          </w:p>
          <w:p>
            <w:pPr>
              <w:pStyle w:val="TableText"/>
              <w:spacing w:before="6" w:line="216" w:lineRule="auto"/>
              <w:jc w:val="right"/>
              <w:rPr>
                <w:sz w:val="12"/>
                <w:szCs w:val="12"/>
              </w:rPr>
            </w:pPr>
            <w:r>
              <w:rPr>
                <w:sz w:val="12"/>
                <w:szCs w:val="12"/>
                <w:spacing w:val="6"/>
              </w:rPr>
              <w:t>、尺蝼、衰蛾、</w:t>
            </w:r>
          </w:p>
          <w:p>
            <w:pPr>
              <w:pStyle w:val="TableText"/>
              <w:ind w:left="271"/>
              <w:spacing w:line="219" w:lineRule="auto"/>
              <w:rPr>
                <w:sz w:val="12"/>
                <w:szCs w:val="12"/>
              </w:rPr>
            </w:pPr>
            <w:r>
              <w:rPr>
                <w:sz w:val="12"/>
                <w:szCs w:val="12"/>
                <w:spacing w:val="-1"/>
              </w:rPr>
              <w:t>刺蛾等</w:t>
            </w:r>
          </w:p>
        </w:tc>
        <w:tc>
          <w:tcPr>
            <w:tcW w:w="2968" w:type="dxa"/>
            <w:vAlign w:val="top"/>
            <w:vMerge w:val="restart"/>
            <w:tcBorders>
              <w:bottom w:val="nil"/>
              <w:top w:val="single" w:color="000000" w:sz="2" w:space="0"/>
            </w:tcBorders>
          </w:tcPr>
          <w:p>
            <w:pPr>
              <w:pStyle w:val="TableText"/>
              <w:ind w:left="2" w:right="24" w:firstLine="9"/>
              <w:spacing w:before="52" w:line="209" w:lineRule="auto"/>
              <w:rPr>
                <w:sz w:val="12"/>
                <w:szCs w:val="12"/>
              </w:rPr>
            </w:pPr>
            <w:r>
              <w:rPr>
                <w:sz w:val="12"/>
                <w:szCs w:val="12"/>
                <w:spacing w:val="-1"/>
              </w:rPr>
              <w:t>一、5月预防消杀为主，在进入雨季、高发季前全国区消</w:t>
            </w:r>
            <w:r>
              <w:rPr>
                <w:sz w:val="12"/>
                <w:szCs w:val="12"/>
                <w:spacing w:val="5"/>
              </w:rPr>
              <w:t xml:space="preserve"> </w:t>
            </w:r>
            <w:r>
              <w:rPr>
                <w:sz w:val="12"/>
                <w:szCs w:val="12"/>
                <w:spacing w:val="-1"/>
              </w:rPr>
              <w:t>杀虫卵，幼虫、蛹：</w:t>
            </w:r>
          </w:p>
          <w:p>
            <w:pPr>
              <w:pStyle w:val="TableText"/>
              <w:ind w:left="2" w:right="20"/>
              <w:spacing w:before="17" w:line="217" w:lineRule="auto"/>
              <w:rPr>
                <w:sz w:val="12"/>
                <w:szCs w:val="12"/>
              </w:rPr>
            </w:pPr>
            <w:r>
              <w:rPr>
                <w:sz w:val="12"/>
                <w:szCs w:val="12"/>
              </w:rPr>
              <w:t>三，6月是大部分害虫成蛹或羽化期，采取</w:t>
            </w:r>
            <w:r>
              <w:rPr>
                <w:sz w:val="12"/>
                <w:szCs w:val="12"/>
                <w:spacing w:val="-1"/>
              </w:rPr>
              <w:t>人工加药物双</w:t>
            </w:r>
            <w:r>
              <w:rPr>
                <w:sz w:val="12"/>
                <w:szCs w:val="12"/>
              </w:rPr>
              <w:t xml:space="preserve"> </w:t>
            </w:r>
            <w:r>
              <w:rPr>
                <w:sz w:val="12"/>
                <w:szCs w:val="12"/>
                <w:spacing w:val="4"/>
              </w:rPr>
              <w:t>重治疗除卵，除蛹，除成虫；</w:t>
            </w:r>
          </w:p>
          <w:p>
            <w:pPr>
              <w:pStyle w:val="TableText"/>
              <w:ind w:left="12" w:firstLine="9"/>
              <w:spacing w:before="7" w:line="214" w:lineRule="auto"/>
              <w:rPr>
                <w:sz w:val="12"/>
                <w:szCs w:val="12"/>
              </w:rPr>
            </w:pPr>
            <w:r>
              <w:rPr>
                <w:sz w:val="12"/>
                <w:szCs w:val="12"/>
                <w:spacing w:val="-3"/>
              </w:rPr>
              <w:t>三、7-10四个月为均有零星出现，有发现病情，及时喷药</w:t>
            </w:r>
            <w:r>
              <w:rPr>
                <w:sz w:val="12"/>
                <w:szCs w:val="12"/>
                <w:spacing w:val="15"/>
              </w:rPr>
              <w:t xml:space="preserve"> </w:t>
            </w:r>
            <w:r>
              <w:rPr>
                <w:sz w:val="12"/>
                <w:szCs w:val="12"/>
                <w:spacing w:val="-1"/>
              </w:rPr>
              <w:t>处理。</w:t>
            </w:r>
          </w:p>
        </w:tc>
        <w:tc>
          <w:tcPr>
            <w:tcW w:w="1259" w:type="dxa"/>
            <w:vAlign w:val="top"/>
            <w:tcBorders>
              <w:bottom w:val="single" w:color="000000" w:sz="2" w:space="0"/>
              <w:top w:val="single" w:color="000000" w:sz="2" w:space="0"/>
            </w:tcBorders>
          </w:tcPr>
          <w:p>
            <w:pPr>
              <w:pStyle w:val="TableText"/>
              <w:ind w:left="384"/>
              <w:spacing w:before="162" w:line="219" w:lineRule="auto"/>
              <w:rPr>
                <w:sz w:val="12"/>
                <w:szCs w:val="12"/>
              </w:rPr>
            </w:pPr>
            <w:r>
              <w:rPr>
                <w:sz w:val="12"/>
                <w:szCs w:val="12"/>
                <w:spacing w:val="1"/>
              </w:rPr>
              <w:t>国光毒检</w:t>
            </w:r>
          </w:p>
        </w:tc>
        <w:tc>
          <w:tcPr>
            <w:tcW w:w="1899" w:type="dxa"/>
            <w:vAlign w:val="top"/>
            <w:tcBorders>
              <w:bottom w:val="single" w:color="000000" w:sz="2" w:space="0"/>
              <w:top w:val="single" w:color="000000" w:sz="2" w:space="0"/>
            </w:tcBorders>
          </w:tcPr>
          <w:p>
            <w:pPr>
              <w:pStyle w:val="TableText"/>
              <w:ind w:left="375"/>
              <w:spacing w:before="162" w:line="219" w:lineRule="auto"/>
              <w:rPr>
                <w:sz w:val="12"/>
                <w:szCs w:val="12"/>
              </w:rPr>
            </w:pPr>
            <w:r>
              <w:rPr>
                <w:sz w:val="12"/>
                <w:szCs w:val="12"/>
                <w:spacing w:val="-5"/>
              </w:rPr>
              <w:t>45%丙溴</w:t>
            </w:r>
            <w:r>
              <w:rPr>
                <w:sz w:val="12"/>
                <w:szCs w:val="12"/>
                <w:spacing w:val="-11"/>
              </w:rPr>
              <w:t xml:space="preserve"> </w:t>
            </w:r>
            <w:r>
              <w:rPr>
                <w:sz w:val="12"/>
                <w:szCs w:val="12"/>
                <w:spacing w:val="-5"/>
              </w:rPr>
              <w:t>·辛疏磷乳油</w:t>
            </w:r>
          </w:p>
        </w:tc>
        <w:tc>
          <w:tcPr>
            <w:tcW w:w="1599" w:type="dxa"/>
            <w:vAlign w:val="top"/>
            <w:tcBorders>
              <w:bottom w:val="single" w:color="000000" w:sz="2" w:space="0"/>
              <w:top w:val="single" w:color="000000" w:sz="2" w:space="0"/>
            </w:tcBorders>
          </w:tcPr>
          <w:p>
            <w:pPr>
              <w:pStyle w:val="TableText"/>
              <w:ind w:left="286"/>
              <w:spacing w:before="162" w:line="219" w:lineRule="auto"/>
              <w:rPr>
                <w:sz w:val="12"/>
                <w:szCs w:val="12"/>
              </w:rPr>
            </w:pPr>
            <w:r>
              <w:rPr>
                <w:sz w:val="12"/>
                <w:szCs w:val="12"/>
                <w:spacing w:val="-1"/>
              </w:rPr>
              <w:t>稀释2000-3000倍液</w:t>
            </w:r>
          </w:p>
        </w:tc>
        <w:tc>
          <w:tcPr>
            <w:tcW w:w="1039" w:type="dxa"/>
            <w:vAlign w:val="top"/>
            <w:vMerge w:val="restart"/>
            <w:tcBorders>
              <w:bottom w:val="nil"/>
              <w:top w:val="single" w:color="000000" w:sz="2" w:space="0"/>
            </w:tcBorders>
          </w:tcPr>
          <w:p>
            <w:pPr>
              <w:spacing w:line="301" w:lineRule="auto"/>
              <w:rPr>
                <w:rFonts w:ascii="Arial"/>
                <w:sz w:val="21"/>
              </w:rPr>
            </w:pPr>
            <w:r/>
          </w:p>
          <w:p>
            <w:pPr>
              <w:pStyle w:val="TableText"/>
              <w:ind w:left="246" w:hanging="229"/>
              <w:spacing w:before="39" w:line="218" w:lineRule="auto"/>
              <w:rPr>
                <w:sz w:val="12"/>
                <w:szCs w:val="12"/>
              </w:rPr>
            </w:pPr>
            <w:r>
              <w:rPr>
                <w:sz w:val="12"/>
                <w:szCs w:val="12"/>
                <w:spacing w:val="-1"/>
              </w:rPr>
              <w:t>一般用3次，时间间</w:t>
            </w:r>
            <w:r>
              <w:rPr>
                <w:sz w:val="12"/>
                <w:szCs w:val="12"/>
              </w:rPr>
              <w:t xml:space="preserve"> </w:t>
            </w:r>
            <w:r>
              <w:rPr>
                <w:sz w:val="12"/>
                <w:szCs w:val="12"/>
                <w:spacing w:val="-2"/>
              </w:rPr>
              <w:t>隔7到10天</w:t>
            </w:r>
          </w:p>
        </w:tc>
        <w:tc>
          <w:tcPr>
            <w:tcW w:w="699" w:type="dxa"/>
            <w:vAlign w:val="top"/>
            <w:tcBorders>
              <w:bottom w:val="single" w:color="000000" w:sz="2" w:space="0"/>
              <w:top w:val="single" w:color="000000" w:sz="2" w:space="0"/>
            </w:tcBorders>
          </w:tcPr>
          <w:p>
            <w:pPr>
              <w:pStyle w:val="TableText"/>
              <w:ind w:left="257" w:right="116" w:hanging="80"/>
              <w:spacing w:before="114" w:line="209"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548" w:type="dxa"/>
            <w:vAlign w:val="top"/>
            <w:tcBorders>
              <w:bottom w:val="single" w:color="000000" w:sz="2" w:space="0"/>
              <w:top w:val="single" w:color="000000" w:sz="2" w:space="0"/>
            </w:tcBorders>
          </w:tcPr>
          <w:p>
            <w:pPr>
              <w:pStyle w:val="TableText"/>
              <w:ind w:left="18"/>
              <w:spacing w:before="162" w:line="219" w:lineRule="auto"/>
              <w:rPr>
                <w:sz w:val="12"/>
                <w:szCs w:val="12"/>
              </w:rPr>
            </w:pPr>
            <w:r>
              <w:rPr>
                <w:sz w:val="12"/>
                <w:szCs w:val="12"/>
                <w:spacing w:val="-1"/>
              </w:rPr>
              <w:t>高渗透性，杀卷叶虫、包叶虫、斑潜蝇等</w:t>
            </w:r>
          </w:p>
        </w:tc>
      </w:tr>
      <w:tr>
        <w:trPr>
          <w:trHeight w:val="47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96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4"/>
              <w:spacing w:before="182" w:line="219" w:lineRule="auto"/>
              <w:rPr>
                <w:sz w:val="12"/>
                <w:szCs w:val="12"/>
              </w:rPr>
            </w:pPr>
            <w:r>
              <w:rPr>
                <w:sz w:val="12"/>
                <w:szCs w:val="12"/>
                <w:spacing w:val="1"/>
              </w:rPr>
              <w:t>国光毒箭</w:t>
            </w:r>
          </w:p>
        </w:tc>
        <w:tc>
          <w:tcPr>
            <w:tcW w:w="1899" w:type="dxa"/>
            <w:vAlign w:val="top"/>
            <w:tcBorders>
              <w:bottom w:val="single" w:color="000000" w:sz="2" w:space="0"/>
              <w:top w:val="single" w:color="000000" w:sz="2" w:space="0"/>
            </w:tcBorders>
          </w:tcPr>
          <w:p>
            <w:pPr>
              <w:pStyle w:val="TableText"/>
              <w:ind w:left="495"/>
              <w:spacing w:before="182" w:line="219" w:lineRule="auto"/>
              <w:rPr>
                <w:sz w:val="12"/>
                <w:szCs w:val="12"/>
              </w:rPr>
            </w:pPr>
            <w:r>
              <w:rPr>
                <w:sz w:val="12"/>
                <w:szCs w:val="12"/>
                <w:spacing w:val="-1"/>
              </w:rPr>
              <w:t>20m佩戊菊酯乳油</w:t>
            </w:r>
          </w:p>
        </w:tc>
        <w:tc>
          <w:tcPr>
            <w:tcW w:w="1599" w:type="dxa"/>
            <w:vAlign w:val="top"/>
            <w:tcBorders>
              <w:bottom w:val="single" w:color="000000" w:sz="2" w:space="0"/>
              <w:top w:val="single" w:color="000000" w:sz="2" w:space="0"/>
            </w:tcBorders>
          </w:tcPr>
          <w:p>
            <w:pPr>
              <w:pStyle w:val="TableText"/>
              <w:ind w:left="286"/>
              <w:spacing w:before="182" w:line="219" w:lineRule="auto"/>
              <w:rPr>
                <w:sz w:val="12"/>
                <w:szCs w:val="12"/>
              </w:rPr>
            </w:pPr>
            <w:r>
              <w:rPr>
                <w:sz w:val="12"/>
                <w:szCs w:val="12"/>
                <w:spacing w:val="-1"/>
              </w:rPr>
              <w:t>稀释2000-3000倍液</w:t>
            </w:r>
          </w:p>
        </w:tc>
        <w:tc>
          <w:tcPr>
            <w:tcW w:w="103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57" w:right="116" w:hanging="80"/>
              <w:spacing w:before="124" w:line="209" w:lineRule="auto"/>
              <w:rPr>
                <w:sz w:val="12"/>
                <w:szCs w:val="12"/>
              </w:rPr>
            </w:pPr>
            <w:r>
              <w:rPr>
                <w:sz w:val="12"/>
                <w:szCs w:val="12"/>
                <w:spacing w:val="-4"/>
              </w:rPr>
              <w:t>(200al/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548" w:type="dxa"/>
            <w:vAlign w:val="top"/>
            <w:tcBorders>
              <w:bottom w:val="single" w:color="000000" w:sz="2" w:space="0"/>
              <w:top w:val="single" w:color="000000" w:sz="2" w:space="0"/>
            </w:tcBorders>
          </w:tcPr>
          <w:p>
            <w:pPr>
              <w:pStyle w:val="TableText"/>
              <w:ind w:left="18"/>
              <w:spacing w:before="182" w:line="218" w:lineRule="auto"/>
              <w:rPr>
                <w:sz w:val="12"/>
                <w:szCs w:val="12"/>
              </w:rPr>
            </w:pPr>
            <w:r>
              <w:rPr>
                <w:sz w:val="12"/>
                <w:szCs w:val="12"/>
                <w:spacing w:val="-1"/>
              </w:rPr>
              <w:t>高效广谱、长效杀虫剂，杀食叶性害虫特效</w:t>
            </w:r>
          </w:p>
        </w:tc>
      </w:tr>
      <w:tr>
        <w:trPr>
          <w:trHeight w:val="554" w:hRule="atLeast"/>
        </w:trPr>
        <w:tc>
          <w:tcPr>
            <w:tcW w:w="415" w:type="dxa"/>
            <w:vAlign w:val="top"/>
            <w:vMerge w:val="continue"/>
            <w:tcBorders>
              <w:bottom w:val="nil"/>
              <w:top w:val="nil"/>
            </w:tcBorders>
          </w:tcPr>
          <w:p>
            <w:pPr>
              <w:rPr>
                <w:rFonts w:ascii="Arial"/>
                <w:sz w:val="21"/>
              </w:rPr>
            </w:pPr>
            <w:r/>
          </w:p>
        </w:tc>
        <w:tc>
          <w:tcPr>
            <w:tcW w:w="609" w:type="dxa"/>
            <w:vAlign w:val="top"/>
            <w:tcBorders>
              <w:bottom w:val="single" w:color="000000" w:sz="2" w:space="0"/>
              <w:top w:val="single" w:color="000000" w:sz="2" w:space="0"/>
            </w:tcBorders>
          </w:tcPr>
          <w:p>
            <w:pPr>
              <w:pStyle w:val="TableText"/>
              <w:ind w:left="50"/>
              <w:spacing w:before="222" w:line="219" w:lineRule="auto"/>
              <w:rPr>
                <w:sz w:val="12"/>
                <w:szCs w:val="12"/>
              </w:rPr>
            </w:pPr>
            <w:r>
              <w:rPr>
                <w:sz w:val="12"/>
                <w:szCs w:val="12"/>
                <w:spacing w:val="-1"/>
              </w:rPr>
              <w:t>刺吸害虫</w:t>
            </w:r>
          </w:p>
        </w:tc>
        <w:tc>
          <w:tcPr>
            <w:tcW w:w="929" w:type="dxa"/>
            <w:vAlign w:val="top"/>
            <w:tcBorders>
              <w:bottom w:val="single" w:color="000000" w:sz="2" w:space="0"/>
              <w:top w:val="single" w:color="000000" w:sz="2" w:space="0"/>
            </w:tcBorders>
          </w:tcPr>
          <w:p>
            <w:pPr>
              <w:pStyle w:val="TableText"/>
              <w:spacing w:before="153" w:line="220" w:lineRule="auto"/>
              <w:jc w:val="right"/>
              <w:rPr>
                <w:sz w:val="12"/>
                <w:szCs w:val="12"/>
              </w:rPr>
            </w:pPr>
            <w:r>
              <w:rPr>
                <w:sz w:val="12"/>
                <w:szCs w:val="12"/>
                <w:spacing w:val="6"/>
              </w:rPr>
              <w:t>球坚蚧、腊龄、</w:t>
            </w:r>
          </w:p>
          <w:p>
            <w:pPr>
              <w:pStyle w:val="TableText"/>
              <w:ind w:left="31"/>
              <w:spacing w:before="6" w:line="219" w:lineRule="auto"/>
              <w:rPr>
                <w:sz w:val="12"/>
                <w:szCs w:val="12"/>
              </w:rPr>
            </w:pPr>
            <w:r>
              <w:rPr>
                <w:sz w:val="12"/>
                <w:szCs w:val="12"/>
                <w:spacing w:val="-1"/>
              </w:rPr>
              <w:t>粉蚡、吹棉蛤等</w:t>
            </w:r>
          </w:p>
        </w:tc>
        <w:tc>
          <w:tcPr>
            <w:tcW w:w="2968" w:type="dxa"/>
            <w:vAlign w:val="top"/>
            <w:tcBorders>
              <w:bottom w:val="single" w:color="000000" w:sz="2" w:space="0"/>
              <w:top w:val="single" w:color="000000" w:sz="2" w:space="0"/>
            </w:tcBorders>
          </w:tcPr>
          <w:p>
            <w:pPr>
              <w:pStyle w:val="TableText"/>
              <w:ind w:left="2"/>
              <w:spacing w:before="82" w:line="200" w:lineRule="auto"/>
              <w:rPr>
                <w:sz w:val="12"/>
                <w:szCs w:val="12"/>
              </w:rPr>
            </w:pPr>
            <w:r>
              <w:rPr>
                <w:sz w:val="12"/>
                <w:szCs w:val="12"/>
                <w:spacing w:val="2"/>
              </w:rPr>
              <w:t>一、4月己经有成虫出现，配合春季消杀，预防为主；</w:t>
            </w:r>
          </w:p>
          <w:p>
            <w:pPr>
              <w:pStyle w:val="TableText"/>
              <w:spacing w:line="219" w:lineRule="auto"/>
              <w:jc w:val="right"/>
              <w:rPr>
                <w:sz w:val="12"/>
                <w:szCs w:val="12"/>
              </w:rPr>
            </w:pPr>
            <w:r>
              <w:rPr>
                <w:sz w:val="12"/>
                <w:szCs w:val="12"/>
                <w:spacing w:val="-3"/>
              </w:rPr>
              <w:t>二、5-10月为均有零星出现，有发现病情，及时喷药处理</w:t>
            </w:r>
          </w:p>
        </w:tc>
        <w:tc>
          <w:tcPr>
            <w:tcW w:w="1259" w:type="dxa"/>
            <w:vAlign w:val="top"/>
            <w:tcBorders>
              <w:bottom w:val="single" w:color="000000" w:sz="2" w:space="0"/>
              <w:top w:val="single" w:color="000000" w:sz="2" w:space="0"/>
            </w:tcBorders>
          </w:tcPr>
          <w:p>
            <w:pPr>
              <w:pStyle w:val="TableText"/>
              <w:ind w:left="324"/>
              <w:spacing w:before="222" w:line="219" w:lineRule="auto"/>
              <w:rPr>
                <w:sz w:val="12"/>
                <w:szCs w:val="12"/>
              </w:rPr>
            </w:pPr>
            <w:r>
              <w:rPr>
                <w:sz w:val="12"/>
                <w:szCs w:val="12"/>
                <w:spacing w:val="2"/>
              </w:rPr>
              <w:t>国光蚧必泊</w:t>
            </w:r>
          </w:p>
        </w:tc>
        <w:tc>
          <w:tcPr>
            <w:tcW w:w="1899" w:type="dxa"/>
            <w:vAlign w:val="top"/>
            <w:tcBorders>
              <w:bottom w:val="single" w:color="000000" w:sz="2" w:space="0"/>
              <w:top w:val="single" w:color="000000" w:sz="2" w:space="0"/>
            </w:tcBorders>
          </w:tcPr>
          <w:p>
            <w:pPr>
              <w:pStyle w:val="TableText"/>
              <w:ind w:left="315"/>
              <w:spacing w:before="222" w:line="219" w:lineRule="auto"/>
              <w:rPr>
                <w:sz w:val="12"/>
                <w:szCs w:val="12"/>
              </w:rPr>
            </w:pPr>
            <w:r>
              <w:rPr>
                <w:sz w:val="12"/>
                <w:szCs w:val="12"/>
                <w:spacing w:val="-5"/>
              </w:rPr>
              <w:t>40%啶虫脒</w:t>
            </w:r>
            <w:r>
              <w:rPr>
                <w:sz w:val="12"/>
                <w:szCs w:val="12"/>
                <w:spacing w:val="-6"/>
              </w:rPr>
              <w:t xml:space="preserve"> </w:t>
            </w:r>
            <w:r>
              <w:rPr>
                <w:sz w:val="12"/>
                <w:szCs w:val="12"/>
                <w:spacing w:val="-5"/>
              </w:rPr>
              <w:t>·毒死辞乳油</w:t>
            </w:r>
          </w:p>
        </w:tc>
        <w:tc>
          <w:tcPr>
            <w:tcW w:w="1599" w:type="dxa"/>
            <w:vAlign w:val="top"/>
            <w:tcBorders>
              <w:bottom w:val="single" w:color="000000" w:sz="2" w:space="0"/>
              <w:top w:val="single" w:color="000000" w:sz="2" w:space="0"/>
            </w:tcBorders>
          </w:tcPr>
          <w:p>
            <w:pPr>
              <w:pStyle w:val="TableText"/>
              <w:ind w:left="286"/>
              <w:spacing w:before="222" w:line="219" w:lineRule="auto"/>
              <w:rPr>
                <w:sz w:val="12"/>
                <w:szCs w:val="12"/>
              </w:rPr>
            </w:pPr>
            <w:r>
              <w:rPr>
                <w:sz w:val="12"/>
                <w:szCs w:val="12"/>
                <w:spacing w:val="-1"/>
              </w:rPr>
              <w:t>桥释2000-3000倍液</w:t>
            </w:r>
          </w:p>
        </w:tc>
        <w:tc>
          <w:tcPr>
            <w:tcW w:w="1039" w:type="dxa"/>
            <w:vAlign w:val="top"/>
            <w:tcBorders>
              <w:bottom w:val="single" w:color="000000" w:sz="2" w:space="0"/>
              <w:top w:val="single" w:color="000000" w:sz="2" w:space="0"/>
            </w:tcBorders>
          </w:tcPr>
          <w:p>
            <w:pPr>
              <w:pStyle w:val="TableText"/>
              <w:spacing w:before="83" w:line="200" w:lineRule="auto"/>
              <w:jc w:val="right"/>
              <w:rPr>
                <w:sz w:val="12"/>
                <w:szCs w:val="12"/>
              </w:rPr>
            </w:pPr>
            <w:r>
              <w:rPr>
                <w:sz w:val="12"/>
                <w:szCs w:val="12"/>
                <w:spacing w:val="-1"/>
              </w:rPr>
              <w:t>一般用3次。时间间</w:t>
            </w:r>
          </w:p>
          <w:p>
            <w:pPr>
              <w:pStyle w:val="TableText"/>
              <w:spacing w:line="219" w:lineRule="auto"/>
              <w:jc w:val="right"/>
              <w:rPr>
                <w:sz w:val="12"/>
                <w:szCs w:val="12"/>
              </w:rPr>
            </w:pPr>
            <w:r>
              <w:rPr>
                <w:sz w:val="12"/>
                <w:szCs w:val="12"/>
                <w:spacing w:val="-7"/>
              </w:rPr>
              <w:t>隔7到(10天，视现场</w:t>
            </w:r>
          </w:p>
          <w:p>
            <w:pPr>
              <w:pStyle w:val="TableText"/>
              <w:ind w:left="117"/>
              <w:spacing w:before="6" w:line="219" w:lineRule="auto"/>
              <w:rPr>
                <w:sz w:val="12"/>
                <w:szCs w:val="12"/>
              </w:rPr>
            </w:pPr>
            <w:r>
              <w:rPr>
                <w:sz w:val="12"/>
                <w:szCs w:val="12"/>
                <w:spacing w:val="-1"/>
              </w:rPr>
              <w:t>情况可增加次数</w:t>
            </w:r>
          </w:p>
        </w:tc>
        <w:tc>
          <w:tcPr>
            <w:tcW w:w="699" w:type="dxa"/>
            <w:vAlign w:val="top"/>
            <w:tcBorders>
              <w:bottom w:val="single" w:color="000000" w:sz="2" w:space="0"/>
              <w:top w:val="single" w:color="000000" w:sz="2" w:space="0"/>
            </w:tcBorders>
          </w:tcPr>
          <w:p>
            <w:pPr>
              <w:pStyle w:val="TableText"/>
              <w:ind w:left="77"/>
              <w:spacing w:before="219" w:line="213" w:lineRule="auto"/>
              <w:rPr>
                <w:sz w:val="12"/>
                <w:szCs w:val="12"/>
              </w:rPr>
            </w:pPr>
            <w:r>
              <w:rPr>
                <w:sz w:val="12"/>
                <w:szCs w:val="12"/>
                <w:spacing w:val="3"/>
              </w:rPr>
              <w:t>(200g/瓶)</w:t>
            </w:r>
          </w:p>
        </w:tc>
        <w:tc>
          <w:tcPr>
            <w:tcW w:w="2548" w:type="dxa"/>
            <w:vAlign w:val="top"/>
            <w:tcBorders>
              <w:bottom w:val="single" w:color="000000" w:sz="2" w:space="0"/>
              <w:top w:val="single" w:color="000000" w:sz="2" w:space="0"/>
            </w:tcBorders>
          </w:tcPr>
          <w:p>
            <w:pPr>
              <w:pStyle w:val="TableText"/>
              <w:ind w:left="18"/>
              <w:spacing w:before="222" w:line="218" w:lineRule="auto"/>
              <w:rPr>
                <w:sz w:val="12"/>
                <w:szCs w:val="12"/>
              </w:rPr>
            </w:pPr>
            <w:r>
              <w:rPr>
                <w:sz w:val="12"/>
                <w:szCs w:val="12"/>
                <w:spacing w:val="-1"/>
              </w:rPr>
              <w:t>专杀介壳虫，食叶类害虫。地下害虫</w:t>
            </w:r>
          </w:p>
        </w:tc>
      </w:tr>
      <w:tr>
        <w:trPr>
          <w:trHeight w:val="554" w:hRule="atLeast"/>
        </w:trPr>
        <w:tc>
          <w:tcPr>
            <w:tcW w:w="415" w:type="dxa"/>
            <w:vAlign w:val="top"/>
            <w:vMerge w:val="continue"/>
            <w:tcBorders>
              <w:bottom w:val="nil"/>
              <w:top w:val="nil"/>
            </w:tcBorders>
          </w:tcPr>
          <w:p>
            <w:pPr>
              <w:rPr>
                <w:rFonts w:ascii="Arial"/>
                <w:sz w:val="21"/>
              </w:rPr>
            </w:pPr>
            <w:r/>
          </w:p>
        </w:tc>
        <w:tc>
          <w:tcPr>
            <w:tcW w:w="609" w:type="dxa"/>
            <w:vAlign w:val="top"/>
            <w:tcBorders>
              <w:bottom w:val="single" w:color="000000" w:sz="2" w:space="0"/>
              <w:top w:val="single" w:color="000000" w:sz="2" w:space="0"/>
            </w:tcBorders>
          </w:tcPr>
          <w:p>
            <w:pPr>
              <w:pStyle w:val="TableText"/>
              <w:ind w:left="50"/>
              <w:spacing w:before="223" w:line="219" w:lineRule="auto"/>
              <w:rPr>
                <w:sz w:val="12"/>
                <w:szCs w:val="12"/>
              </w:rPr>
            </w:pPr>
            <w:r>
              <w:rPr>
                <w:sz w:val="12"/>
                <w:szCs w:val="12"/>
                <w:spacing w:val="-1"/>
              </w:rPr>
              <w:t>刺吸害虫</w:t>
            </w:r>
          </w:p>
        </w:tc>
        <w:tc>
          <w:tcPr>
            <w:tcW w:w="929" w:type="dxa"/>
            <w:vAlign w:val="top"/>
            <w:tcBorders>
              <w:bottom w:val="single" w:color="000000" w:sz="2" w:space="0"/>
              <w:top w:val="single" w:color="000000" w:sz="2" w:space="0"/>
            </w:tcBorders>
          </w:tcPr>
          <w:p>
            <w:pPr>
              <w:pStyle w:val="TableText"/>
              <w:spacing w:before="143" w:line="219" w:lineRule="auto"/>
              <w:jc w:val="right"/>
              <w:rPr>
                <w:sz w:val="12"/>
                <w:szCs w:val="12"/>
              </w:rPr>
            </w:pPr>
            <w:r>
              <w:rPr>
                <w:sz w:val="12"/>
                <w:szCs w:val="12"/>
                <w:spacing w:val="6"/>
              </w:rPr>
              <w:t>蚜虫，红蜘蛛、</w:t>
            </w:r>
          </w:p>
          <w:p>
            <w:pPr>
              <w:pStyle w:val="TableText"/>
              <w:ind w:left="211"/>
              <w:spacing w:before="17" w:line="218" w:lineRule="auto"/>
              <w:rPr>
                <w:sz w:val="12"/>
                <w:szCs w:val="12"/>
              </w:rPr>
            </w:pPr>
            <w:r>
              <w:rPr>
                <w:sz w:val="12"/>
                <w:szCs w:val="12"/>
                <w:spacing w:val="-2"/>
              </w:rPr>
              <w:t>大青叶鲜</w:t>
            </w:r>
          </w:p>
        </w:tc>
        <w:tc>
          <w:tcPr>
            <w:tcW w:w="2968" w:type="dxa"/>
            <w:vAlign w:val="top"/>
            <w:vMerge w:val="restart"/>
            <w:tcBorders>
              <w:bottom w:val="nil"/>
              <w:top w:val="single" w:color="000000" w:sz="2" w:space="0"/>
            </w:tcBorders>
          </w:tcPr>
          <w:p>
            <w:pPr>
              <w:spacing w:line="295" w:lineRule="auto"/>
              <w:rPr>
                <w:rFonts w:ascii="Arial"/>
                <w:sz w:val="21"/>
              </w:rPr>
            </w:pPr>
            <w:r/>
          </w:p>
          <w:p>
            <w:pPr>
              <w:spacing w:line="295" w:lineRule="auto"/>
              <w:rPr>
                <w:rFonts w:ascii="Arial"/>
                <w:sz w:val="21"/>
              </w:rPr>
            </w:pPr>
            <w:r/>
          </w:p>
          <w:p>
            <w:pPr>
              <w:pStyle w:val="TableText"/>
              <w:ind w:left="12" w:right="24"/>
              <w:spacing w:before="39" w:line="209" w:lineRule="auto"/>
              <w:rPr>
                <w:sz w:val="12"/>
                <w:szCs w:val="12"/>
              </w:rPr>
            </w:pPr>
            <w:r>
              <w:rPr>
                <w:sz w:val="12"/>
                <w:szCs w:val="12"/>
                <w:spacing w:val="-1"/>
              </w:rPr>
              <w:t>一、5月预防消杀为主，在进入雨季、高发季前全园区消</w:t>
            </w:r>
            <w:r>
              <w:rPr>
                <w:sz w:val="12"/>
                <w:szCs w:val="12"/>
                <w:spacing w:val="5"/>
              </w:rPr>
              <w:t xml:space="preserve"> </w:t>
            </w:r>
            <w:r>
              <w:rPr>
                <w:sz w:val="12"/>
                <w:szCs w:val="12"/>
              </w:rPr>
              <w:t>杀虫卵、蛹：</w:t>
            </w:r>
          </w:p>
          <w:p>
            <w:pPr>
              <w:pStyle w:val="TableText"/>
              <w:ind w:left="2" w:right="22"/>
              <w:spacing w:before="16" w:line="233" w:lineRule="auto"/>
              <w:rPr>
                <w:sz w:val="12"/>
                <w:szCs w:val="12"/>
              </w:rPr>
            </w:pPr>
            <w:r>
              <w:rPr>
                <w:sz w:val="12"/>
                <w:szCs w:val="12"/>
                <w:spacing w:val="-1"/>
              </w:rPr>
              <w:t>二、6月-9月是大部分害虫成蛹或制化掬，采取人工加药</w:t>
            </w:r>
            <w:r>
              <w:rPr>
                <w:sz w:val="12"/>
                <w:szCs w:val="12"/>
                <w:spacing w:val="18"/>
              </w:rPr>
              <w:t xml:space="preserve"> </w:t>
            </w:r>
            <w:r>
              <w:rPr>
                <w:sz w:val="12"/>
                <w:szCs w:val="12"/>
              </w:rPr>
              <w:t>物双重治疗除卵，除蛹，除成虫。</w:t>
            </w:r>
          </w:p>
        </w:tc>
        <w:tc>
          <w:tcPr>
            <w:tcW w:w="1259" w:type="dxa"/>
            <w:vAlign w:val="top"/>
            <w:tcBorders>
              <w:bottom w:val="single" w:color="000000" w:sz="2" w:space="0"/>
              <w:top w:val="single" w:color="000000" w:sz="2" w:space="0"/>
            </w:tcBorders>
          </w:tcPr>
          <w:p>
            <w:pPr>
              <w:pStyle w:val="TableText"/>
              <w:ind w:left="384"/>
              <w:spacing w:before="223" w:line="219" w:lineRule="auto"/>
              <w:rPr>
                <w:sz w:val="12"/>
                <w:szCs w:val="12"/>
              </w:rPr>
            </w:pPr>
            <w:r>
              <w:rPr>
                <w:sz w:val="12"/>
                <w:szCs w:val="12"/>
                <w:spacing w:val="1"/>
              </w:rPr>
              <w:t>国光毙克</w:t>
            </w:r>
          </w:p>
        </w:tc>
        <w:tc>
          <w:tcPr>
            <w:tcW w:w="1899" w:type="dxa"/>
            <w:vAlign w:val="top"/>
            <w:tcBorders>
              <w:bottom w:val="single" w:color="000000" w:sz="2" w:space="0"/>
              <w:top w:val="single" w:color="000000" w:sz="2" w:space="0"/>
            </w:tcBorders>
          </w:tcPr>
          <w:p>
            <w:pPr>
              <w:pStyle w:val="TableText"/>
              <w:ind w:left="674"/>
              <w:spacing w:before="223" w:line="220" w:lineRule="auto"/>
              <w:rPr>
                <w:sz w:val="12"/>
                <w:szCs w:val="12"/>
              </w:rPr>
            </w:pPr>
            <w:r>
              <w:rPr>
                <w:sz w:val="12"/>
                <w:szCs w:val="12"/>
                <w:spacing w:val="-2"/>
              </w:rPr>
              <w:t>10M吡虫啉</w:t>
            </w:r>
          </w:p>
        </w:tc>
        <w:tc>
          <w:tcPr>
            <w:tcW w:w="1599" w:type="dxa"/>
            <w:vAlign w:val="top"/>
            <w:tcBorders>
              <w:bottom w:val="single" w:color="000000" w:sz="2" w:space="0"/>
              <w:top w:val="single" w:color="000000" w:sz="2" w:space="0"/>
            </w:tcBorders>
          </w:tcPr>
          <w:p>
            <w:pPr>
              <w:pStyle w:val="TableText"/>
              <w:ind w:left="286"/>
              <w:spacing w:before="223" w:line="219" w:lineRule="auto"/>
              <w:rPr>
                <w:sz w:val="12"/>
                <w:szCs w:val="12"/>
              </w:rPr>
            </w:pPr>
            <w:r>
              <w:rPr>
                <w:sz w:val="12"/>
                <w:szCs w:val="12"/>
                <w:spacing w:val="-1"/>
              </w:rPr>
              <w:t>稀释1000-1500倍液</w:t>
            </w:r>
          </w:p>
        </w:tc>
        <w:tc>
          <w:tcPr>
            <w:tcW w:w="1039" w:type="dxa"/>
            <w:vAlign w:val="top"/>
            <w:tcBorders>
              <w:bottom w:val="single" w:color="000000" w:sz="2" w:space="0"/>
              <w:top w:val="single" w:color="000000" w:sz="2" w:space="0"/>
            </w:tcBorders>
          </w:tcPr>
          <w:p>
            <w:pPr>
              <w:pStyle w:val="TableText"/>
              <w:spacing w:before="83" w:line="201" w:lineRule="auto"/>
              <w:jc w:val="right"/>
              <w:rPr>
                <w:sz w:val="12"/>
                <w:szCs w:val="12"/>
              </w:rPr>
            </w:pPr>
            <w:r>
              <w:rPr>
                <w:sz w:val="12"/>
                <w:szCs w:val="12"/>
                <w:spacing w:val="-1"/>
              </w:rPr>
              <w:t>一般用3次，时间间</w:t>
            </w:r>
          </w:p>
          <w:p>
            <w:pPr>
              <w:pStyle w:val="TableText"/>
              <w:spacing w:line="219" w:lineRule="auto"/>
              <w:jc w:val="right"/>
              <w:rPr>
                <w:sz w:val="12"/>
                <w:szCs w:val="12"/>
              </w:rPr>
            </w:pPr>
            <w:r>
              <w:rPr>
                <w:sz w:val="12"/>
                <w:szCs w:val="12"/>
                <w:spacing w:val="-2"/>
              </w:rPr>
              <w:t>隔7到10天，视现场</w:t>
            </w:r>
          </w:p>
          <w:p>
            <w:pPr>
              <w:pStyle w:val="TableText"/>
              <w:ind w:left="97"/>
              <w:spacing w:before="16" w:line="219" w:lineRule="auto"/>
              <w:rPr>
                <w:sz w:val="12"/>
                <w:szCs w:val="12"/>
              </w:rPr>
            </w:pPr>
            <w:r>
              <w:rPr>
                <w:sz w:val="12"/>
                <w:szCs w:val="12"/>
                <w:spacing w:val="-1"/>
              </w:rPr>
              <w:t>情况可增加次数</w:t>
            </w:r>
          </w:p>
        </w:tc>
        <w:tc>
          <w:tcPr>
            <w:tcW w:w="699" w:type="dxa"/>
            <w:vAlign w:val="top"/>
            <w:tcBorders>
              <w:bottom w:val="single" w:color="000000" w:sz="2" w:space="0"/>
              <w:top w:val="single" w:color="000000" w:sz="2" w:space="0"/>
            </w:tcBorders>
          </w:tcPr>
          <w:p>
            <w:pPr>
              <w:pStyle w:val="TableText"/>
              <w:ind w:left="107"/>
              <w:spacing w:before="219" w:line="213" w:lineRule="auto"/>
              <w:rPr>
                <w:sz w:val="12"/>
                <w:szCs w:val="12"/>
              </w:rPr>
            </w:pPr>
            <w:r>
              <w:rPr>
                <w:sz w:val="12"/>
                <w:szCs w:val="12"/>
                <w:spacing w:val="3"/>
              </w:rPr>
              <w:t>(10g/袋)</w:t>
            </w:r>
          </w:p>
        </w:tc>
        <w:tc>
          <w:tcPr>
            <w:tcW w:w="2548" w:type="dxa"/>
            <w:vAlign w:val="top"/>
            <w:tcBorders>
              <w:bottom w:val="single" w:color="000000" w:sz="2" w:space="0"/>
              <w:top w:val="single" w:color="000000" w:sz="2" w:space="0"/>
            </w:tcBorders>
          </w:tcPr>
          <w:p>
            <w:pPr>
              <w:pStyle w:val="TableText"/>
              <w:ind w:left="18"/>
              <w:spacing w:before="223" w:line="219" w:lineRule="auto"/>
              <w:rPr>
                <w:sz w:val="12"/>
                <w:szCs w:val="12"/>
              </w:rPr>
            </w:pPr>
            <w:r>
              <w:rPr>
                <w:sz w:val="12"/>
                <w:szCs w:val="12"/>
                <w:spacing w:val="-1"/>
              </w:rPr>
              <w:t>杀蚜虫、飞虱等害虫</w:t>
            </w:r>
          </w:p>
        </w:tc>
      </w:tr>
      <w:tr>
        <w:trPr>
          <w:trHeight w:val="364" w:hRule="atLeast"/>
        </w:trPr>
        <w:tc>
          <w:tcPr>
            <w:tcW w:w="415" w:type="dxa"/>
            <w:vAlign w:val="top"/>
            <w:vMerge w:val="continue"/>
            <w:tcBorders>
              <w:bottom w:val="nil"/>
              <w:top w:val="nil"/>
            </w:tcBorders>
          </w:tcPr>
          <w:p>
            <w:pPr>
              <w:rPr>
                <w:rFonts w:ascii="Arial"/>
                <w:sz w:val="21"/>
              </w:rPr>
            </w:pPr>
            <w:r/>
          </w:p>
        </w:tc>
        <w:tc>
          <w:tcPr>
            <w:tcW w:w="609" w:type="dxa"/>
            <w:vAlign w:val="top"/>
            <w:vMerge w:val="restart"/>
            <w:tcBorders>
              <w:bottom w:val="nil"/>
              <w:top w:val="single" w:color="000000" w:sz="2" w:space="0"/>
            </w:tcBorders>
          </w:tcPr>
          <w:p>
            <w:pPr>
              <w:spacing w:line="292" w:lineRule="auto"/>
              <w:rPr>
                <w:rFonts w:ascii="Arial"/>
                <w:sz w:val="21"/>
              </w:rPr>
            </w:pPr>
            <w:r/>
          </w:p>
          <w:p>
            <w:pPr>
              <w:pStyle w:val="TableText"/>
              <w:ind w:left="50"/>
              <w:spacing w:before="39" w:line="218" w:lineRule="auto"/>
              <w:rPr>
                <w:sz w:val="12"/>
                <w:szCs w:val="12"/>
              </w:rPr>
            </w:pPr>
            <w:r>
              <w:rPr>
                <w:sz w:val="12"/>
                <w:szCs w:val="12"/>
                <w:spacing w:val="-1"/>
              </w:rPr>
              <w:t>蛀干害虫</w:t>
            </w:r>
          </w:p>
        </w:tc>
        <w:tc>
          <w:tcPr>
            <w:tcW w:w="929" w:type="dxa"/>
            <w:vAlign w:val="top"/>
            <w:vMerge w:val="restart"/>
            <w:tcBorders>
              <w:bottom w:val="nil"/>
              <w:top w:val="single" w:color="000000" w:sz="2" w:space="0"/>
            </w:tcBorders>
          </w:tcPr>
          <w:p>
            <w:pPr>
              <w:pStyle w:val="TableText"/>
              <w:ind w:left="31"/>
              <w:spacing w:before="133" w:line="200" w:lineRule="auto"/>
              <w:rPr>
                <w:sz w:val="12"/>
                <w:szCs w:val="12"/>
              </w:rPr>
            </w:pPr>
            <w:r>
              <w:rPr>
                <w:sz w:val="12"/>
                <w:szCs w:val="12"/>
                <w:spacing w:val="-1"/>
              </w:rPr>
              <w:t>光肩星天牛，小</w:t>
            </w:r>
          </w:p>
          <w:p>
            <w:pPr>
              <w:pStyle w:val="TableText"/>
              <w:spacing w:line="219" w:lineRule="auto"/>
              <w:jc w:val="right"/>
              <w:rPr>
                <w:sz w:val="12"/>
                <w:szCs w:val="12"/>
              </w:rPr>
            </w:pPr>
            <w:r>
              <w:rPr>
                <w:sz w:val="12"/>
                <w:szCs w:val="12"/>
                <w:spacing w:val="3"/>
              </w:rPr>
              <w:t>蠢虫、透短蜻、</w:t>
            </w:r>
          </w:p>
          <w:p>
            <w:pPr>
              <w:pStyle w:val="TableText"/>
              <w:ind w:left="31"/>
              <w:spacing w:before="27" w:line="200" w:lineRule="auto"/>
              <w:rPr>
                <w:sz w:val="12"/>
                <w:szCs w:val="12"/>
              </w:rPr>
            </w:pPr>
            <w:r>
              <w:rPr>
                <w:sz w:val="12"/>
                <w:szCs w:val="12"/>
                <w:spacing w:val="-1"/>
              </w:rPr>
              <w:t>木蠹蛾、杨干象</w:t>
            </w:r>
          </w:p>
          <w:p>
            <w:pPr>
              <w:pStyle w:val="TableText"/>
              <w:ind w:left="411"/>
              <w:spacing w:line="219" w:lineRule="auto"/>
              <w:rPr>
                <w:sz w:val="12"/>
                <w:szCs w:val="12"/>
              </w:rPr>
            </w:pPr>
            <w:r>
              <w:rPr>
                <w:sz w:val="12"/>
                <w:szCs w:val="12"/>
              </w:rPr>
              <w:t>等</w:t>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4"/>
              <w:spacing w:before="123" w:line="219" w:lineRule="auto"/>
              <w:rPr>
                <w:sz w:val="12"/>
                <w:szCs w:val="12"/>
              </w:rPr>
            </w:pPr>
            <w:r>
              <w:rPr>
                <w:sz w:val="12"/>
                <w:szCs w:val="12"/>
                <w:spacing w:val="1"/>
              </w:rPr>
              <w:t>国光毒枪</w:t>
            </w:r>
          </w:p>
        </w:tc>
        <w:tc>
          <w:tcPr>
            <w:tcW w:w="1899" w:type="dxa"/>
            <w:vAlign w:val="top"/>
            <w:tcBorders>
              <w:bottom w:val="single" w:color="000000" w:sz="2" w:space="0"/>
              <w:top w:val="single" w:color="000000" w:sz="2" w:space="0"/>
            </w:tcBorders>
          </w:tcPr>
          <w:p>
            <w:pPr>
              <w:pStyle w:val="TableText"/>
              <w:ind w:left="375"/>
              <w:spacing w:before="123" w:line="219" w:lineRule="auto"/>
              <w:rPr>
                <w:sz w:val="12"/>
                <w:szCs w:val="12"/>
              </w:rPr>
            </w:pPr>
            <w:r>
              <w:rPr>
                <w:sz w:val="12"/>
                <w:szCs w:val="12"/>
                <w:spacing w:val="-5"/>
              </w:rPr>
              <w:t>45%内溴</w:t>
            </w:r>
            <w:r>
              <w:rPr>
                <w:sz w:val="12"/>
                <w:szCs w:val="12"/>
                <w:spacing w:val="-11"/>
              </w:rPr>
              <w:t xml:space="preserve"> </w:t>
            </w:r>
            <w:r>
              <w:rPr>
                <w:sz w:val="12"/>
                <w:szCs w:val="12"/>
                <w:spacing w:val="-5"/>
              </w:rPr>
              <w:t>·辛疏磷乳油</w:t>
            </w:r>
          </w:p>
        </w:tc>
        <w:tc>
          <w:tcPr>
            <w:tcW w:w="1599" w:type="dxa"/>
            <w:vAlign w:val="top"/>
            <w:tcBorders>
              <w:bottom w:val="single" w:color="000000" w:sz="2" w:space="0"/>
              <w:top w:val="single" w:color="000000" w:sz="2" w:space="0"/>
            </w:tcBorders>
          </w:tcPr>
          <w:p>
            <w:pPr>
              <w:pStyle w:val="TableText"/>
              <w:ind w:left="435"/>
              <w:spacing w:before="123" w:line="219" w:lineRule="auto"/>
              <w:rPr>
                <w:sz w:val="12"/>
                <w:szCs w:val="12"/>
              </w:rPr>
            </w:pPr>
            <w:r>
              <w:rPr>
                <w:sz w:val="12"/>
                <w:szCs w:val="12"/>
                <w:spacing w:val="-1"/>
              </w:rPr>
              <w:t>稀释5-10倍液</w:t>
            </w:r>
          </w:p>
        </w:tc>
        <w:tc>
          <w:tcPr>
            <w:tcW w:w="1039" w:type="dxa"/>
            <w:vAlign w:val="top"/>
            <w:vMerge w:val="restart"/>
            <w:tcBorders>
              <w:bottom w:val="nil"/>
              <w:top w:val="single" w:color="000000" w:sz="2" w:space="0"/>
            </w:tcBorders>
          </w:tcPr>
          <w:p>
            <w:pPr>
              <w:pStyle w:val="TableText"/>
              <w:spacing w:before="193" w:line="219" w:lineRule="auto"/>
              <w:jc w:val="right"/>
              <w:rPr>
                <w:sz w:val="12"/>
                <w:szCs w:val="12"/>
              </w:rPr>
            </w:pPr>
            <w:r>
              <w:rPr>
                <w:sz w:val="12"/>
                <w:szCs w:val="12"/>
                <w:spacing w:val="-1"/>
              </w:rPr>
              <w:t>一般用3次。时间间</w:t>
            </w:r>
          </w:p>
          <w:p>
            <w:pPr>
              <w:pStyle w:val="TableText"/>
              <w:ind w:right="2"/>
              <w:spacing w:before="27" w:line="199" w:lineRule="auto"/>
              <w:jc w:val="right"/>
              <w:rPr>
                <w:sz w:val="12"/>
                <w:szCs w:val="12"/>
              </w:rPr>
            </w:pPr>
            <w:r>
              <w:rPr>
                <w:sz w:val="12"/>
                <w:szCs w:val="12"/>
                <w:spacing w:val="-2"/>
              </w:rPr>
              <w:t>隔7到10天，视现场</w:t>
            </w:r>
          </w:p>
          <w:p>
            <w:pPr>
              <w:pStyle w:val="TableText"/>
              <w:ind w:left="117"/>
              <w:spacing w:line="219" w:lineRule="auto"/>
              <w:rPr>
                <w:sz w:val="12"/>
                <w:szCs w:val="12"/>
              </w:rPr>
            </w:pPr>
            <w:r>
              <w:rPr>
                <w:sz w:val="12"/>
                <w:szCs w:val="12"/>
                <w:spacing w:val="-1"/>
              </w:rPr>
              <w:t>情况可增加次数</w:t>
            </w:r>
          </w:p>
        </w:tc>
        <w:tc>
          <w:tcPr>
            <w:tcW w:w="699" w:type="dxa"/>
            <w:vAlign w:val="top"/>
            <w:tcBorders>
              <w:bottom w:val="single" w:color="000000" w:sz="2" w:space="0"/>
              <w:top w:val="single" w:color="000000" w:sz="2" w:space="0"/>
            </w:tcBorders>
          </w:tcPr>
          <w:p>
            <w:pPr>
              <w:pStyle w:val="TableText"/>
              <w:ind w:left="257" w:right="116" w:hanging="80"/>
              <w:spacing w:before="45" w:line="237" w:lineRule="auto"/>
              <w:rPr>
                <w:sz w:val="12"/>
                <w:szCs w:val="12"/>
              </w:rPr>
            </w:pPr>
            <w:r>
              <w:rPr>
                <w:sz w:val="12"/>
                <w:szCs w:val="12"/>
                <w:spacing w:val="-4"/>
              </w:rPr>
              <w:t>(200al/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548" w:type="dxa"/>
            <w:vAlign w:val="top"/>
            <w:tcBorders>
              <w:bottom w:val="single" w:color="000000" w:sz="2" w:space="0"/>
              <w:top w:val="single" w:color="000000" w:sz="2" w:space="0"/>
            </w:tcBorders>
          </w:tcPr>
          <w:p>
            <w:pPr>
              <w:pStyle w:val="TableText"/>
              <w:ind w:left="18"/>
              <w:spacing w:before="123" w:line="219" w:lineRule="auto"/>
              <w:rPr>
                <w:sz w:val="12"/>
                <w:szCs w:val="12"/>
              </w:rPr>
            </w:pPr>
            <w:r>
              <w:rPr>
                <w:sz w:val="12"/>
                <w:szCs w:val="12"/>
                <w:spacing w:val="-1"/>
              </w:rPr>
              <w:t>注射虫洞，黄泥封洞</w:t>
            </w:r>
          </w:p>
        </w:tc>
      </w:tr>
      <w:tr>
        <w:trPr>
          <w:trHeight w:val="414" w:hRule="atLeast"/>
        </w:trPr>
        <w:tc>
          <w:tcPr>
            <w:tcW w:w="415" w:type="dxa"/>
            <w:vAlign w:val="top"/>
            <w:vMerge w:val="continue"/>
            <w:tcBorders>
              <w:bottom w:val="nil"/>
              <w:top w:val="nil"/>
            </w:tcBorders>
          </w:tcPr>
          <w:p>
            <w:pPr>
              <w:rPr>
                <w:rFonts w:ascii="Arial"/>
                <w:sz w:val="21"/>
              </w:rPr>
            </w:pPr>
            <w:r/>
          </w:p>
        </w:tc>
        <w:tc>
          <w:tcPr>
            <w:tcW w:w="609"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96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4"/>
              <w:spacing w:before="174" w:line="218" w:lineRule="auto"/>
              <w:rPr>
                <w:sz w:val="12"/>
                <w:szCs w:val="12"/>
              </w:rPr>
            </w:pPr>
            <w:r>
              <w:rPr>
                <w:sz w:val="12"/>
                <w:szCs w:val="12"/>
                <w:spacing w:val="1"/>
              </w:rPr>
              <w:t>国光防蛀液剂</w:t>
            </w:r>
          </w:p>
        </w:tc>
        <w:tc>
          <w:tcPr>
            <w:tcW w:w="1899" w:type="dxa"/>
            <w:vAlign w:val="top"/>
            <w:tcBorders>
              <w:bottom w:val="single" w:color="000000" w:sz="2" w:space="0"/>
              <w:top w:val="single" w:color="000000" w:sz="2" w:space="0"/>
            </w:tcBorders>
          </w:tcPr>
          <w:p>
            <w:pPr>
              <w:pStyle w:val="TableText"/>
              <w:ind w:left="645"/>
              <w:spacing w:before="174" w:line="219" w:lineRule="auto"/>
              <w:rPr>
                <w:sz w:val="12"/>
                <w:szCs w:val="12"/>
              </w:rPr>
            </w:pPr>
            <w:r>
              <w:rPr>
                <w:sz w:val="12"/>
                <w:szCs w:val="12"/>
                <w:spacing w:val="-1"/>
              </w:rPr>
              <w:t>0.3%氯菊酯</w:t>
            </w:r>
          </w:p>
        </w:tc>
        <w:tc>
          <w:tcPr>
            <w:tcW w:w="1599" w:type="dxa"/>
            <w:vAlign w:val="top"/>
            <w:tcBorders>
              <w:bottom w:val="single" w:color="000000" w:sz="2" w:space="0"/>
              <w:top w:val="single" w:color="000000" w:sz="2" w:space="0"/>
            </w:tcBorders>
          </w:tcPr>
          <w:p>
            <w:pPr>
              <w:pStyle w:val="TableText"/>
              <w:ind w:left="556"/>
              <w:spacing w:before="174" w:line="219" w:lineRule="auto"/>
              <w:rPr>
                <w:sz w:val="12"/>
                <w:szCs w:val="12"/>
              </w:rPr>
            </w:pPr>
            <w:r>
              <w:rPr>
                <w:sz w:val="12"/>
                <w:szCs w:val="12"/>
                <w:spacing w:val="3"/>
              </w:rPr>
              <w:t>直接使用</w:t>
            </w:r>
          </w:p>
        </w:tc>
        <w:tc>
          <w:tcPr>
            <w:tcW w:w="103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77"/>
              <w:spacing w:before="174" w:line="220" w:lineRule="auto"/>
              <w:rPr>
                <w:sz w:val="12"/>
                <w:szCs w:val="12"/>
              </w:rPr>
            </w:pPr>
            <w:r>
              <w:rPr>
                <w:sz w:val="12"/>
                <w:szCs w:val="12"/>
                <w:spacing w:val="4"/>
              </w:rPr>
              <w:t>(20</w:t>
            </w:r>
            <w:r>
              <w:rPr>
                <w:sz w:val="12"/>
                <w:szCs w:val="12"/>
              </w:rPr>
              <w:t>ml</w:t>
            </w:r>
            <w:r>
              <w:rPr>
                <w:sz w:val="12"/>
                <w:szCs w:val="12"/>
                <w:spacing w:val="4"/>
              </w:rPr>
              <w:t>/支)</w:t>
            </w:r>
          </w:p>
        </w:tc>
        <w:tc>
          <w:tcPr>
            <w:tcW w:w="2548" w:type="dxa"/>
            <w:vAlign w:val="top"/>
            <w:tcBorders>
              <w:bottom w:val="single" w:color="000000" w:sz="2" w:space="0"/>
              <w:top w:val="single" w:color="000000" w:sz="2" w:space="0"/>
            </w:tcBorders>
          </w:tcPr>
          <w:p>
            <w:pPr>
              <w:pStyle w:val="TableText"/>
              <w:ind w:left="18" w:right="64"/>
              <w:spacing w:before="114" w:line="210" w:lineRule="auto"/>
              <w:rPr>
                <w:sz w:val="12"/>
                <w:szCs w:val="12"/>
              </w:rPr>
            </w:pPr>
            <w:r>
              <w:rPr>
                <w:sz w:val="12"/>
                <w:szCs w:val="12"/>
              </w:rPr>
              <w:t>专杀蛀杆性害虫胸径8-10cm用1支，</w:t>
            </w:r>
            <w:r>
              <w:rPr>
                <w:sz w:val="12"/>
                <w:szCs w:val="12"/>
                <w:spacing w:val="-1"/>
              </w:rPr>
              <w:t>每增加10cm</w:t>
            </w:r>
            <w:r>
              <w:rPr>
                <w:sz w:val="12"/>
                <w:szCs w:val="12"/>
              </w:rPr>
              <w:t xml:space="preserve"> </w:t>
            </w:r>
            <w:r>
              <w:rPr>
                <w:sz w:val="12"/>
                <w:szCs w:val="12"/>
                <w:spacing w:val="-1"/>
              </w:rPr>
              <w:t>增加1支</w:t>
            </w:r>
          </w:p>
        </w:tc>
      </w:tr>
      <w:tr>
        <w:trPr>
          <w:trHeight w:val="439" w:hRule="atLeast"/>
        </w:trPr>
        <w:tc>
          <w:tcPr>
            <w:tcW w:w="415" w:type="dxa"/>
            <w:vAlign w:val="top"/>
            <w:vMerge w:val="continue"/>
            <w:tcBorders>
              <w:bottom w:val="single" w:color="000000" w:sz="2" w:space="0"/>
              <w:top w:val="nil"/>
            </w:tcBorders>
          </w:tcPr>
          <w:p>
            <w:pPr>
              <w:rPr>
                <w:rFonts w:ascii="Arial"/>
                <w:sz w:val="21"/>
              </w:rPr>
            </w:pPr>
            <w:r/>
          </w:p>
        </w:tc>
        <w:tc>
          <w:tcPr>
            <w:tcW w:w="609" w:type="dxa"/>
            <w:vAlign w:val="top"/>
            <w:tcBorders>
              <w:bottom w:val="single" w:color="000000" w:sz="2" w:space="0"/>
              <w:top w:val="single" w:color="000000" w:sz="2" w:space="0"/>
            </w:tcBorders>
          </w:tcPr>
          <w:p>
            <w:pPr>
              <w:pStyle w:val="TableText"/>
              <w:ind w:left="50"/>
              <w:spacing w:before="195" w:line="220" w:lineRule="auto"/>
              <w:rPr>
                <w:sz w:val="12"/>
                <w:szCs w:val="12"/>
              </w:rPr>
            </w:pPr>
            <w:r>
              <w:rPr>
                <w:sz w:val="12"/>
                <w:szCs w:val="12"/>
                <w:spacing w:val="-1"/>
              </w:rPr>
              <w:t>地下害虫</w:t>
            </w:r>
          </w:p>
        </w:tc>
        <w:tc>
          <w:tcPr>
            <w:tcW w:w="929" w:type="dxa"/>
            <w:vAlign w:val="top"/>
            <w:tcBorders>
              <w:bottom w:val="single" w:color="000000" w:sz="2" w:space="0"/>
              <w:top w:val="single" w:color="000000" w:sz="2" w:space="0"/>
            </w:tcBorders>
          </w:tcPr>
          <w:p>
            <w:pPr>
              <w:pStyle w:val="TableText"/>
              <w:ind w:left="110" w:right="17" w:hanging="49"/>
              <w:spacing w:before="104" w:line="234" w:lineRule="auto"/>
              <w:rPr>
                <w:sz w:val="12"/>
                <w:szCs w:val="12"/>
              </w:rPr>
            </w:pPr>
            <w:r>
              <w:rPr>
                <w:sz w:val="12"/>
                <w:szCs w:val="12"/>
                <w:spacing w:val="-1"/>
              </w:rPr>
              <w:t>蛴蟾、地老虎。</w:t>
            </w:r>
            <w:r>
              <w:rPr>
                <w:sz w:val="12"/>
                <w:szCs w:val="12"/>
                <w:spacing w:val="5"/>
              </w:rPr>
              <w:t xml:space="preserve"> </w:t>
            </w:r>
            <w:r>
              <w:rPr>
                <w:sz w:val="12"/>
                <w:szCs w:val="12"/>
                <w:spacing w:val="-1"/>
              </w:rPr>
              <w:t>其他土中虫卵</w:t>
            </w:r>
          </w:p>
        </w:tc>
        <w:tc>
          <w:tcPr>
            <w:tcW w:w="296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4"/>
              <w:spacing w:before="164" w:line="219" w:lineRule="auto"/>
              <w:rPr>
                <w:sz w:val="12"/>
                <w:szCs w:val="12"/>
              </w:rPr>
            </w:pPr>
            <w:r>
              <w:rPr>
                <w:sz w:val="12"/>
                <w:szCs w:val="12"/>
                <w:spacing w:val="1"/>
              </w:rPr>
              <w:t>国光地杀</w:t>
            </w:r>
          </w:p>
        </w:tc>
        <w:tc>
          <w:tcPr>
            <w:tcW w:w="1899" w:type="dxa"/>
            <w:vAlign w:val="top"/>
            <w:tcBorders>
              <w:bottom w:val="single" w:color="000000" w:sz="2" w:space="0"/>
              <w:top w:val="single" w:color="000000" w:sz="2" w:space="0"/>
            </w:tcBorders>
          </w:tcPr>
          <w:p>
            <w:pPr>
              <w:pStyle w:val="TableText"/>
              <w:ind w:left="165"/>
              <w:spacing w:before="194" w:line="218" w:lineRule="auto"/>
              <w:rPr>
                <w:sz w:val="12"/>
                <w:szCs w:val="12"/>
              </w:rPr>
            </w:pPr>
            <w:r>
              <w:rPr>
                <w:sz w:val="12"/>
                <w:szCs w:val="12"/>
                <w:spacing w:val="-4"/>
              </w:rPr>
              <w:t>5%丁疏克百威</w:t>
            </w:r>
            <w:r>
              <w:rPr>
                <w:sz w:val="12"/>
                <w:szCs w:val="12"/>
                <w:spacing w:val="-13"/>
              </w:rPr>
              <w:t xml:space="preserve"> </w:t>
            </w:r>
            <w:r>
              <w:rPr>
                <w:sz w:val="12"/>
                <w:szCs w:val="12"/>
                <w:spacing w:val="-4"/>
              </w:rPr>
              <w:t>·毒死肄颗粒剂</w:t>
            </w:r>
          </w:p>
        </w:tc>
        <w:tc>
          <w:tcPr>
            <w:tcW w:w="1599" w:type="dxa"/>
            <w:vAlign w:val="top"/>
            <w:tcBorders>
              <w:bottom w:val="single" w:color="000000" w:sz="2" w:space="0"/>
              <w:top w:val="single" w:color="000000" w:sz="2" w:space="0"/>
            </w:tcBorders>
          </w:tcPr>
          <w:p>
            <w:pPr>
              <w:pStyle w:val="TableText"/>
              <w:ind w:left="256"/>
              <w:spacing w:before="191" w:line="213" w:lineRule="auto"/>
              <w:rPr>
                <w:sz w:val="12"/>
                <w:szCs w:val="12"/>
              </w:rPr>
            </w:pPr>
            <w:r>
              <w:rPr>
                <w:sz w:val="12"/>
                <w:szCs w:val="12"/>
                <w:spacing w:val="-1"/>
              </w:rPr>
              <w:t>直按激施：5-7kg/亩</w:t>
            </w:r>
          </w:p>
        </w:tc>
        <w:tc>
          <w:tcPr>
            <w:tcW w:w="1039" w:type="dxa"/>
            <w:vAlign w:val="top"/>
            <w:tcBorders>
              <w:bottom w:val="single" w:color="000000" w:sz="2" w:space="0"/>
              <w:top w:val="single" w:color="000000" w:sz="2" w:space="0"/>
            </w:tcBorders>
          </w:tcPr>
          <w:p>
            <w:pPr>
              <w:pStyle w:val="TableText"/>
              <w:ind w:left="246"/>
              <w:spacing w:before="164" w:line="219" w:lineRule="auto"/>
              <w:rPr>
                <w:sz w:val="12"/>
                <w:szCs w:val="12"/>
              </w:rPr>
            </w:pPr>
            <w:r>
              <w:rPr>
                <w:sz w:val="12"/>
                <w:szCs w:val="12"/>
                <w:spacing w:val="-2"/>
              </w:rPr>
              <w:t>一般用1次</w:t>
            </w:r>
          </w:p>
        </w:tc>
        <w:tc>
          <w:tcPr>
            <w:tcW w:w="699" w:type="dxa"/>
            <w:vAlign w:val="top"/>
            <w:tcBorders>
              <w:bottom w:val="single" w:color="000000" w:sz="2" w:space="0"/>
              <w:top w:val="single" w:color="000000" w:sz="2" w:space="0"/>
            </w:tcBorders>
          </w:tcPr>
          <w:p>
            <w:pPr>
              <w:pStyle w:val="TableText"/>
              <w:ind w:left="107"/>
              <w:spacing w:before="181" w:line="213" w:lineRule="auto"/>
              <w:rPr>
                <w:sz w:val="12"/>
                <w:szCs w:val="12"/>
              </w:rPr>
            </w:pPr>
            <w:r>
              <w:rPr>
                <w:sz w:val="12"/>
                <w:szCs w:val="12"/>
                <w:spacing w:val="6"/>
              </w:rPr>
              <w:t>(</w:t>
            </w:r>
            <w:r>
              <w:rPr>
                <w:sz w:val="12"/>
                <w:szCs w:val="12"/>
              </w:rPr>
              <w:t>Ikg</w:t>
            </w:r>
            <w:r>
              <w:rPr>
                <w:sz w:val="12"/>
                <w:szCs w:val="12"/>
                <w:spacing w:val="6"/>
              </w:rPr>
              <w:t>/袋)</w:t>
            </w:r>
          </w:p>
        </w:tc>
        <w:tc>
          <w:tcPr>
            <w:tcW w:w="2548" w:type="dxa"/>
            <w:vAlign w:val="top"/>
            <w:tcBorders>
              <w:bottom w:val="single" w:color="000000" w:sz="2" w:space="0"/>
              <w:top w:val="single" w:color="000000" w:sz="2" w:space="0"/>
            </w:tcBorders>
          </w:tcPr>
          <w:p>
            <w:pPr>
              <w:pStyle w:val="TableText"/>
              <w:ind w:left="18"/>
              <w:spacing w:before="194" w:line="219" w:lineRule="auto"/>
              <w:rPr>
                <w:sz w:val="12"/>
                <w:szCs w:val="12"/>
              </w:rPr>
            </w:pPr>
            <w:r>
              <w:rPr>
                <w:sz w:val="12"/>
                <w:szCs w:val="12"/>
                <w:spacing w:val="-1"/>
              </w:rPr>
              <w:t>在土壤中杀灭害虫效果好，使用方便</w:t>
            </w:r>
          </w:p>
        </w:tc>
      </w:tr>
    </w:tbl>
    <w:p>
      <w:pPr>
        <w:spacing w:line="14" w:lineRule="auto"/>
        <w:rPr>
          <w:rFonts w:ascii="Arial"/>
          <w:sz w:val="2"/>
        </w:rPr>
      </w:pPr>
      <w:r/>
    </w:p>
    <w:p>
      <w:pPr>
        <w:spacing w:line="14" w:lineRule="auto"/>
        <w:sectPr>
          <w:pgSz w:w="14490" w:h="10240"/>
          <w:pgMar w:top="115" w:right="370" w:bottom="274" w:left="144" w:header="0" w:footer="0" w:gutter="0"/>
        </w:sectPr>
        <w:rPr>
          <w:rFonts w:ascii="Arial" w:hAnsi="Arial" w:eastAsia="Arial" w:cs="Arial"/>
          <w:sz w:val="2"/>
          <w:szCs w:val="2"/>
        </w:rPr>
      </w:pPr>
    </w:p>
    <w:tbl>
      <w:tblPr>
        <w:tblStyle w:val="TableNormal"/>
        <w:tblW w:w="139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620"/>
        <w:gridCol w:w="919"/>
        <w:gridCol w:w="2978"/>
        <w:gridCol w:w="1249"/>
        <w:gridCol w:w="1909"/>
        <w:gridCol w:w="1599"/>
        <w:gridCol w:w="1039"/>
        <w:gridCol w:w="689"/>
        <w:gridCol w:w="2553"/>
      </w:tblGrid>
      <w:tr>
        <w:trPr>
          <w:trHeight w:val="604" w:hRule="atLeast"/>
        </w:trPr>
        <w:tc>
          <w:tcPr>
            <w:tcW w:w="415" w:type="dxa"/>
            <w:vAlign w:val="top"/>
          </w:tcPr>
          <w:p>
            <w:pPr>
              <w:pStyle w:val="TableText"/>
              <w:ind w:left="76"/>
              <w:spacing w:before="238" w:line="219" w:lineRule="auto"/>
              <w:rPr>
                <w:sz w:val="12"/>
                <w:szCs w:val="12"/>
              </w:rPr>
            </w:pPr>
            <w:r>
              <w:rPr>
                <w:sz w:val="12"/>
                <w:szCs w:val="12"/>
                <w:b/>
                <w:bCs/>
                <w:spacing w:val="-3"/>
              </w:rPr>
              <w:t>分类</w:t>
            </w:r>
          </w:p>
        </w:tc>
        <w:tc>
          <w:tcPr>
            <w:tcW w:w="620" w:type="dxa"/>
            <w:vAlign w:val="top"/>
          </w:tcPr>
          <w:p>
            <w:pPr>
              <w:pStyle w:val="TableText"/>
              <w:ind w:left="61"/>
              <w:spacing w:before="88" w:line="219" w:lineRule="auto"/>
              <w:rPr>
                <w:sz w:val="12"/>
                <w:szCs w:val="12"/>
              </w:rPr>
            </w:pPr>
            <w:r>
              <w:rPr>
                <w:sz w:val="12"/>
                <w:szCs w:val="12"/>
                <w:b/>
                <w:bCs/>
                <w:spacing w:val="-3"/>
              </w:rPr>
              <w:t>消杀预防</w:t>
            </w:r>
          </w:p>
          <w:p>
            <w:pPr>
              <w:pStyle w:val="TableText"/>
              <w:ind w:left="61"/>
              <w:spacing w:before="17" w:line="220" w:lineRule="auto"/>
              <w:rPr>
                <w:sz w:val="12"/>
                <w:szCs w:val="12"/>
              </w:rPr>
            </w:pPr>
            <w:r>
              <w:rPr>
                <w:sz w:val="12"/>
                <w:szCs w:val="12"/>
                <w:b/>
                <w:bCs/>
                <w:spacing w:val="-3"/>
              </w:rPr>
              <w:t>及病虫害</w:t>
            </w:r>
          </w:p>
          <w:p>
            <w:pPr>
              <w:pStyle w:val="TableText"/>
              <w:ind w:left="191"/>
              <w:spacing w:before="6" w:line="219" w:lineRule="auto"/>
              <w:rPr>
                <w:sz w:val="12"/>
                <w:szCs w:val="12"/>
              </w:rPr>
            </w:pPr>
            <w:r>
              <w:rPr>
                <w:sz w:val="12"/>
                <w:szCs w:val="12"/>
                <w:b/>
                <w:bCs/>
                <w:spacing w:val="-3"/>
              </w:rPr>
              <w:t>分类</w:t>
            </w:r>
          </w:p>
        </w:tc>
        <w:tc>
          <w:tcPr>
            <w:tcW w:w="919" w:type="dxa"/>
            <w:vAlign w:val="top"/>
          </w:tcPr>
          <w:p>
            <w:pPr>
              <w:pStyle w:val="TableText"/>
              <w:ind w:left="151"/>
              <w:spacing w:before="238" w:line="219" w:lineRule="auto"/>
              <w:rPr>
                <w:sz w:val="12"/>
                <w:szCs w:val="12"/>
              </w:rPr>
            </w:pPr>
            <w:r>
              <w:rPr>
                <w:sz w:val="12"/>
                <w:szCs w:val="12"/>
                <w:b/>
                <w:bCs/>
                <w:spacing w:val="-3"/>
              </w:rPr>
              <w:t>常见病虫害</w:t>
            </w:r>
          </w:p>
        </w:tc>
        <w:tc>
          <w:tcPr>
            <w:tcW w:w="2978" w:type="dxa"/>
            <w:vAlign w:val="top"/>
          </w:tcPr>
          <w:p>
            <w:pPr>
              <w:pStyle w:val="TableText"/>
              <w:ind w:left="1152"/>
              <w:spacing w:before="238" w:line="219" w:lineRule="auto"/>
              <w:rPr>
                <w:sz w:val="12"/>
                <w:szCs w:val="12"/>
              </w:rPr>
            </w:pPr>
            <w:r>
              <w:rPr>
                <w:sz w:val="12"/>
                <w:szCs w:val="12"/>
                <w:b/>
                <w:bCs/>
                <w:spacing w:val="-3"/>
              </w:rPr>
              <w:t>主要发病月份</w:t>
            </w:r>
          </w:p>
        </w:tc>
        <w:tc>
          <w:tcPr>
            <w:tcW w:w="1249" w:type="dxa"/>
            <w:vAlign w:val="top"/>
          </w:tcPr>
          <w:p>
            <w:pPr>
              <w:pStyle w:val="TableText"/>
              <w:ind w:left="374"/>
              <w:spacing w:before="238" w:line="220" w:lineRule="auto"/>
              <w:rPr>
                <w:sz w:val="12"/>
                <w:szCs w:val="12"/>
              </w:rPr>
            </w:pPr>
            <w:r>
              <w:rPr>
                <w:sz w:val="12"/>
                <w:szCs w:val="12"/>
                <w:b/>
                <w:bCs/>
                <w:spacing w:val="-3"/>
              </w:rPr>
              <w:t>药品名称</w:t>
            </w:r>
          </w:p>
        </w:tc>
        <w:tc>
          <w:tcPr>
            <w:tcW w:w="1909" w:type="dxa"/>
            <w:vAlign w:val="top"/>
          </w:tcPr>
          <w:p>
            <w:pPr>
              <w:pStyle w:val="TableText"/>
              <w:ind w:left="705"/>
              <w:spacing w:before="238" w:line="220" w:lineRule="auto"/>
              <w:rPr>
                <w:sz w:val="12"/>
                <w:szCs w:val="12"/>
              </w:rPr>
            </w:pPr>
            <w:r>
              <w:rPr>
                <w:sz w:val="12"/>
                <w:szCs w:val="12"/>
                <w:b/>
                <w:bCs/>
                <w:spacing w:val="-3"/>
              </w:rPr>
              <w:t>主要成分</w:t>
            </w:r>
          </w:p>
        </w:tc>
        <w:tc>
          <w:tcPr>
            <w:tcW w:w="1599" w:type="dxa"/>
            <w:vAlign w:val="top"/>
          </w:tcPr>
          <w:p>
            <w:pPr>
              <w:pStyle w:val="TableText"/>
              <w:ind w:left="556"/>
              <w:spacing w:before="238" w:line="219" w:lineRule="auto"/>
              <w:rPr>
                <w:sz w:val="12"/>
                <w:szCs w:val="12"/>
              </w:rPr>
            </w:pPr>
            <w:r>
              <w:rPr>
                <w:sz w:val="12"/>
                <w:szCs w:val="12"/>
                <w:b/>
                <w:bCs/>
                <w:spacing w:val="-3"/>
              </w:rPr>
              <w:t>使用倍率</w:t>
            </w:r>
          </w:p>
        </w:tc>
        <w:tc>
          <w:tcPr>
            <w:tcW w:w="1039" w:type="dxa"/>
            <w:vAlign w:val="top"/>
          </w:tcPr>
          <w:p>
            <w:pPr>
              <w:pStyle w:val="TableText"/>
              <w:ind w:left="277"/>
              <w:spacing w:before="238" w:line="219" w:lineRule="auto"/>
              <w:rPr>
                <w:sz w:val="12"/>
                <w:szCs w:val="12"/>
              </w:rPr>
            </w:pPr>
            <w:r>
              <w:rPr>
                <w:sz w:val="12"/>
                <w:szCs w:val="12"/>
                <w:b/>
                <w:bCs/>
                <w:spacing w:val="-3"/>
              </w:rPr>
              <w:t>施用次数</w:t>
            </w:r>
          </w:p>
        </w:tc>
        <w:tc>
          <w:tcPr>
            <w:tcW w:w="689" w:type="dxa"/>
            <w:vAlign w:val="top"/>
          </w:tcPr>
          <w:p>
            <w:pPr>
              <w:pStyle w:val="TableText"/>
              <w:ind w:left="218"/>
              <w:spacing w:before="238" w:line="219" w:lineRule="auto"/>
              <w:rPr>
                <w:sz w:val="12"/>
                <w:szCs w:val="12"/>
              </w:rPr>
            </w:pPr>
            <w:r>
              <w:rPr>
                <w:sz w:val="12"/>
                <w:szCs w:val="12"/>
                <w:b/>
                <w:bCs/>
                <w:spacing w:val="-3"/>
              </w:rPr>
              <w:t>规格</w:t>
            </w:r>
          </w:p>
        </w:tc>
        <w:tc>
          <w:tcPr>
            <w:tcW w:w="2553" w:type="dxa"/>
            <w:vAlign w:val="top"/>
          </w:tcPr>
          <w:p>
            <w:pPr>
              <w:pStyle w:val="TableText"/>
              <w:ind w:left="1179"/>
              <w:spacing w:before="238" w:line="221" w:lineRule="auto"/>
              <w:rPr>
                <w:sz w:val="12"/>
                <w:szCs w:val="12"/>
              </w:rPr>
            </w:pPr>
            <w:r>
              <w:rPr>
                <w:sz w:val="12"/>
                <w:szCs w:val="12"/>
                <w:b/>
                <w:bCs/>
                <w:spacing w:val="-3"/>
              </w:rPr>
              <w:t>备注</w:t>
            </w:r>
          </w:p>
        </w:tc>
      </w:tr>
      <w:tr>
        <w:trPr>
          <w:trHeight w:val="379" w:hRule="atLeast"/>
        </w:trPr>
        <w:tc>
          <w:tcPr>
            <w:tcW w:w="415"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23" w:right="38" w:hanging="9"/>
              <w:spacing w:before="39" w:line="232" w:lineRule="auto"/>
              <w:rPr>
                <w:sz w:val="12"/>
                <w:szCs w:val="12"/>
              </w:rPr>
            </w:pPr>
            <w:r>
              <w:rPr>
                <w:sz w:val="12"/>
                <w:szCs w:val="12"/>
                <w:spacing w:val="-3"/>
              </w:rPr>
              <w:t>营养剂</w:t>
            </w:r>
            <w:r>
              <w:rPr>
                <w:sz w:val="12"/>
                <w:szCs w:val="12"/>
              </w:rPr>
              <w:t xml:space="preserve"> </w:t>
            </w:r>
            <w:r>
              <w:rPr>
                <w:sz w:val="12"/>
                <w:szCs w:val="12"/>
                <w:spacing w:val="-1"/>
              </w:rPr>
              <w:t>/肥料</w:t>
            </w:r>
          </w:p>
        </w:tc>
        <w:tc>
          <w:tcPr>
            <w:tcW w:w="620"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60"/>
              <w:spacing w:before="39" w:line="219" w:lineRule="auto"/>
              <w:rPr>
                <w:sz w:val="12"/>
                <w:szCs w:val="12"/>
              </w:rPr>
            </w:pPr>
            <w:r>
              <w:rPr>
                <w:sz w:val="12"/>
                <w:szCs w:val="12"/>
                <w:spacing w:val="-1"/>
              </w:rPr>
              <w:t>树木复壮</w:t>
            </w:r>
          </w:p>
        </w:tc>
        <w:tc>
          <w:tcPr>
            <w:tcW w:w="919"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0"/>
              <w:spacing w:before="39" w:line="200" w:lineRule="auto"/>
              <w:rPr>
                <w:sz w:val="12"/>
                <w:szCs w:val="12"/>
              </w:rPr>
            </w:pPr>
            <w:r>
              <w:rPr>
                <w:sz w:val="12"/>
                <w:szCs w:val="12"/>
                <w:spacing w:val="2"/>
              </w:rPr>
              <w:t>树木长势弱，白</w:t>
            </w:r>
          </w:p>
          <w:p>
            <w:pPr>
              <w:pStyle w:val="TableText"/>
              <w:ind w:left="30"/>
              <w:spacing w:line="215" w:lineRule="auto"/>
              <w:rPr>
                <w:sz w:val="12"/>
                <w:szCs w:val="12"/>
              </w:rPr>
            </w:pPr>
            <w:r>
              <w:rPr>
                <w:sz w:val="12"/>
                <w:szCs w:val="12"/>
                <w:spacing w:val="-1"/>
              </w:rPr>
              <w:t>项部向下有枯黄</w:t>
            </w:r>
          </w:p>
          <w:p>
            <w:pPr>
              <w:pStyle w:val="TableText"/>
              <w:ind w:left="10" w:right="44" w:firstLine="19"/>
              <w:spacing w:before="1" w:line="232" w:lineRule="auto"/>
              <w:rPr>
                <w:sz w:val="12"/>
                <w:szCs w:val="12"/>
              </w:rPr>
            </w:pPr>
            <w:r>
              <w:rPr>
                <w:sz w:val="12"/>
                <w:szCs w:val="12"/>
                <w:spacing w:val="-1"/>
              </w:rPr>
              <w:t>现象，或高大乔</w:t>
            </w:r>
            <w:r>
              <w:rPr>
                <w:sz w:val="12"/>
                <w:szCs w:val="12"/>
              </w:rPr>
              <w:t xml:space="preserve"> </w:t>
            </w:r>
            <w:r>
              <w:rPr>
                <w:sz w:val="12"/>
                <w:szCs w:val="12"/>
                <w:spacing w:val="-1"/>
              </w:rPr>
              <w:t>木及贵重树木</w:t>
            </w:r>
          </w:p>
        </w:tc>
        <w:tc>
          <w:tcPr>
            <w:tcW w:w="2978"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11"/>
              <w:spacing w:before="39" w:line="217" w:lineRule="auto"/>
              <w:rPr>
                <w:sz w:val="12"/>
                <w:szCs w:val="12"/>
              </w:rPr>
            </w:pPr>
            <w:r>
              <w:rPr>
                <w:sz w:val="12"/>
                <w:szCs w:val="12"/>
                <w:spacing w:val="-2"/>
              </w:rPr>
              <w:t>一、复壮宜放在树木发芽前成刚发芽，一方面是对树干的</w:t>
            </w:r>
            <w:r>
              <w:rPr>
                <w:sz w:val="12"/>
                <w:szCs w:val="12"/>
                <w:spacing w:val="5"/>
              </w:rPr>
              <w:t xml:space="preserve"> </w:t>
            </w:r>
            <w:r>
              <w:rPr>
                <w:sz w:val="12"/>
                <w:szCs w:val="12"/>
                <w:spacing w:val="-2"/>
              </w:rPr>
              <w:t>补水，另一方面是对根系的促生长，第三方面就是补充肥</w:t>
            </w:r>
            <w:r>
              <w:rPr>
                <w:sz w:val="12"/>
                <w:szCs w:val="12"/>
              </w:rPr>
              <w:t xml:space="preserve"> </w:t>
            </w:r>
            <w:r>
              <w:rPr>
                <w:sz w:val="12"/>
                <w:szCs w:val="12"/>
                <w:spacing w:val="1"/>
              </w:rPr>
              <w:t>力</w:t>
            </w:r>
            <w:r>
              <w:rPr>
                <w:sz w:val="12"/>
                <w:szCs w:val="12"/>
                <w:spacing w:val="34"/>
                <w:w w:val="101"/>
              </w:rPr>
              <w:t xml:space="preserve"> </w:t>
            </w:r>
            <w:r>
              <w:rPr>
                <w:sz w:val="12"/>
                <w:szCs w:val="12"/>
                <w:spacing w:val="1"/>
              </w:rPr>
              <w:t>；</w:t>
            </w:r>
          </w:p>
          <w:p>
            <w:pPr>
              <w:pStyle w:val="TableText"/>
              <w:ind w:left="11" w:firstLine="9"/>
              <w:spacing w:before="17" w:line="208" w:lineRule="auto"/>
              <w:rPr>
                <w:sz w:val="12"/>
                <w:szCs w:val="12"/>
              </w:rPr>
            </w:pPr>
            <w:r>
              <w:rPr>
                <w:sz w:val="12"/>
                <w:szCs w:val="12"/>
                <w:spacing w:val="-2"/>
              </w:rPr>
              <w:t>二、对于后期出现的树木长势衰渴，应查明原</w:t>
            </w:r>
            <w:r>
              <w:rPr>
                <w:sz w:val="12"/>
                <w:szCs w:val="12"/>
                <w:spacing w:val="-3"/>
              </w:rPr>
              <w:t>因，做专项</w:t>
            </w:r>
            <w:r>
              <w:rPr>
                <w:sz w:val="12"/>
                <w:szCs w:val="12"/>
              </w:rPr>
              <w:t xml:space="preserve"> </w:t>
            </w:r>
            <w:r>
              <w:rPr>
                <w:sz w:val="12"/>
                <w:szCs w:val="12"/>
                <w:spacing w:val="-4"/>
              </w:rPr>
              <w:t>治</w:t>
            </w:r>
            <w:r>
              <w:rPr>
                <w:sz w:val="12"/>
                <w:szCs w:val="12"/>
                <w:spacing w:val="-9"/>
              </w:rPr>
              <w:t xml:space="preserve"> </w:t>
            </w:r>
            <w:r>
              <w:rPr>
                <w:sz w:val="12"/>
                <w:szCs w:val="12"/>
                <w:spacing w:val="-4"/>
              </w:rPr>
              <w:t>疗</w:t>
            </w:r>
            <w:r>
              <w:rPr>
                <w:sz w:val="12"/>
                <w:szCs w:val="12"/>
                <w:spacing w:val="-13"/>
              </w:rPr>
              <w:t xml:space="preserve"> </w:t>
            </w:r>
            <w:r>
              <w:rPr>
                <w:sz w:val="12"/>
                <w:szCs w:val="12"/>
                <w:spacing w:val="-4"/>
              </w:rPr>
              <w:t>；</w:t>
            </w:r>
          </w:p>
          <w:p>
            <w:pPr>
              <w:pStyle w:val="TableText"/>
              <w:ind w:left="11" w:right="21"/>
              <w:spacing w:line="209" w:lineRule="auto"/>
              <w:rPr>
                <w:sz w:val="12"/>
                <w:szCs w:val="12"/>
              </w:rPr>
            </w:pPr>
            <w:r>
              <w:rPr>
                <w:sz w:val="12"/>
                <w:szCs w:val="12"/>
              </w:rPr>
              <w:t>三、主要集中在4月下句-6月初，气温上升</w:t>
            </w:r>
            <w:r>
              <w:rPr>
                <w:sz w:val="12"/>
                <w:szCs w:val="12"/>
                <w:spacing w:val="-1"/>
              </w:rPr>
              <w:t>，空气湿度增</w:t>
            </w:r>
            <w:r>
              <w:rPr>
                <w:sz w:val="12"/>
                <w:szCs w:val="12"/>
              </w:rPr>
              <w:t xml:space="preserve"> </w:t>
            </w:r>
            <w:r>
              <w:rPr>
                <w:sz w:val="12"/>
                <w:szCs w:val="12"/>
              </w:rPr>
              <w:t>加，苗木结柬休眼期开始返青。是树木复壮最佳时</w:t>
            </w:r>
            <w:r>
              <w:rPr>
                <w:sz w:val="12"/>
                <w:szCs w:val="12"/>
                <w:spacing w:val="-1"/>
              </w:rPr>
              <w:t>机：</w:t>
            </w:r>
          </w:p>
          <w:p>
            <w:pPr>
              <w:pStyle w:val="TableText"/>
              <w:ind w:left="1"/>
              <w:spacing w:before="18" w:line="219" w:lineRule="auto"/>
              <w:rPr>
                <w:sz w:val="12"/>
                <w:szCs w:val="12"/>
              </w:rPr>
            </w:pPr>
            <w:r>
              <w:rPr>
                <w:sz w:val="12"/>
                <w:szCs w:val="12"/>
                <w:spacing w:val="-1"/>
              </w:rPr>
              <w:t>四、7-8月有个别情况，做专项治疗。</w:t>
            </w:r>
          </w:p>
        </w:tc>
        <w:tc>
          <w:tcPr>
            <w:tcW w:w="1249" w:type="dxa"/>
            <w:vAlign w:val="top"/>
          </w:tcPr>
          <w:p>
            <w:pPr>
              <w:pStyle w:val="TableText"/>
              <w:ind w:left="253"/>
              <w:spacing w:before="124" w:line="218" w:lineRule="auto"/>
              <w:rPr>
                <w:sz w:val="12"/>
                <w:szCs w:val="12"/>
              </w:rPr>
            </w:pPr>
            <w:r>
              <w:rPr>
                <w:sz w:val="12"/>
                <w:szCs w:val="12"/>
              </w:rPr>
              <w:t>国光吊针阜液</w:t>
            </w:r>
          </w:p>
        </w:tc>
        <w:tc>
          <w:tcPr>
            <w:tcW w:w="1909" w:type="dxa"/>
            <w:vAlign w:val="top"/>
          </w:tcPr>
          <w:p>
            <w:pPr>
              <w:pStyle w:val="TableText"/>
              <w:ind w:left="133"/>
              <w:spacing w:before="125" w:line="219" w:lineRule="auto"/>
              <w:rPr>
                <w:sz w:val="12"/>
                <w:szCs w:val="12"/>
              </w:rPr>
            </w:pPr>
            <w:r>
              <w:rPr>
                <w:sz w:val="12"/>
                <w:szCs w:val="12"/>
                <w:spacing w:val="1"/>
              </w:rPr>
              <w:t>12%含氩基酸水溶肥料《硕+粹)</w:t>
            </w:r>
          </w:p>
        </w:tc>
        <w:tc>
          <w:tcPr>
            <w:tcW w:w="1599" w:type="dxa"/>
            <w:vAlign w:val="top"/>
          </w:tcPr>
          <w:p>
            <w:pPr>
              <w:pStyle w:val="TableText"/>
              <w:ind w:left="344"/>
              <w:spacing w:before="125" w:line="219" w:lineRule="auto"/>
              <w:rPr>
                <w:sz w:val="12"/>
                <w:szCs w:val="12"/>
              </w:rPr>
            </w:pPr>
            <w:r>
              <w:rPr>
                <w:sz w:val="12"/>
                <w:szCs w:val="12"/>
                <w:spacing w:val="-1"/>
              </w:rPr>
              <w:t>稀释1000-1200倍</w:t>
            </w:r>
          </w:p>
        </w:tc>
        <w:tc>
          <w:tcPr>
            <w:tcW w:w="1039"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96"/>
              <w:spacing w:before="39" w:line="219" w:lineRule="auto"/>
              <w:rPr>
                <w:sz w:val="12"/>
                <w:szCs w:val="12"/>
              </w:rPr>
            </w:pPr>
            <w:r>
              <w:rPr>
                <w:sz w:val="12"/>
                <w:szCs w:val="12"/>
                <w:spacing w:val="-1"/>
              </w:rPr>
              <w:t>视树木生长情况</w:t>
            </w:r>
          </w:p>
        </w:tc>
        <w:tc>
          <w:tcPr>
            <w:tcW w:w="689" w:type="dxa"/>
            <w:vAlign w:val="top"/>
          </w:tcPr>
          <w:p>
            <w:pPr>
              <w:pStyle w:val="TableText"/>
              <w:ind w:left="66"/>
              <w:spacing w:before="121" w:line="214" w:lineRule="auto"/>
              <w:rPr>
                <w:sz w:val="12"/>
                <w:szCs w:val="12"/>
              </w:rPr>
            </w:pPr>
            <w:r>
              <w:rPr>
                <w:sz w:val="12"/>
                <w:szCs w:val="12"/>
                <w:spacing w:val="3"/>
              </w:rPr>
              <w:t>(200g/瓶)</w:t>
            </w:r>
          </w:p>
        </w:tc>
        <w:tc>
          <w:tcPr>
            <w:tcW w:w="2553" w:type="dxa"/>
            <w:vAlign w:val="top"/>
          </w:tcPr>
          <w:p>
            <w:pPr>
              <w:pStyle w:val="TableText"/>
              <w:ind w:left="17"/>
              <w:spacing w:before="125" w:line="219" w:lineRule="auto"/>
              <w:rPr>
                <w:sz w:val="12"/>
                <w:szCs w:val="12"/>
              </w:rPr>
            </w:pPr>
            <w:r>
              <w:rPr>
                <w:sz w:val="12"/>
                <w:szCs w:val="12"/>
                <w:spacing w:val="-1"/>
              </w:rPr>
              <w:t>补充水分和养分，促进快速成活</w:t>
            </w:r>
          </w:p>
        </w:tc>
      </w:tr>
      <w:tr>
        <w:trPr>
          <w:trHeight w:val="349" w:hRule="atLeast"/>
        </w:trPr>
        <w:tc>
          <w:tcPr>
            <w:tcW w:w="41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c>
          <w:tcPr>
            <w:tcW w:w="2978" w:type="dxa"/>
            <w:vAlign w:val="top"/>
            <w:vMerge w:val="continue"/>
            <w:tcBorders>
              <w:top w:val="nil"/>
              <w:bottom w:val="nil"/>
            </w:tcBorders>
          </w:tcPr>
          <w:p>
            <w:pPr>
              <w:rPr>
                <w:rFonts w:ascii="Arial"/>
                <w:sz w:val="21"/>
              </w:rPr>
            </w:pPr>
            <w:r/>
          </w:p>
        </w:tc>
        <w:tc>
          <w:tcPr>
            <w:tcW w:w="1249" w:type="dxa"/>
            <w:vAlign w:val="top"/>
          </w:tcPr>
          <w:p>
            <w:pPr>
              <w:pStyle w:val="TableText"/>
              <w:ind w:left="223"/>
              <w:spacing w:before="116" w:line="219" w:lineRule="auto"/>
              <w:rPr>
                <w:sz w:val="12"/>
                <w:szCs w:val="12"/>
              </w:rPr>
            </w:pPr>
            <w:r>
              <w:rPr>
                <w:sz w:val="12"/>
                <w:szCs w:val="12"/>
                <w:spacing w:val="1"/>
              </w:rPr>
              <w:t>国光根动力2号</w:t>
            </w:r>
          </w:p>
        </w:tc>
        <w:tc>
          <w:tcPr>
            <w:tcW w:w="1909" w:type="dxa"/>
            <w:vAlign w:val="top"/>
          </w:tcPr>
          <w:p>
            <w:pPr>
              <w:pStyle w:val="TableText"/>
              <w:ind w:left="314"/>
              <w:spacing w:before="116" w:line="219" w:lineRule="auto"/>
              <w:rPr>
                <w:sz w:val="12"/>
                <w:szCs w:val="12"/>
              </w:rPr>
            </w:pPr>
            <w:r>
              <w:rPr>
                <w:sz w:val="12"/>
                <w:szCs w:val="12"/>
                <w:spacing w:val="2"/>
              </w:rPr>
              <w:t>13%含氨基酸水溶肥(钙)</w:t>
            </w:r>
          </w:p>
        </w:tc>
        <w:tc>
          <w:tcPr>
            <w:tcW w:w="1599" w:type="dxa"/>
            <w:vAlign w:val="top"/>
          </w:tcPr>
          <w:p>
            <w:pPr>
              <w:pStyle w:val="TableText"/>
              <w:ind w:left="314"/>
              <w:spacing w:before="116" w:line="219" w:lineRule="auto"/>
              <w:rPr>
                <w:sz w:val="12"/>
                <w:szCs w:val="12"/>
              </w:rPr>
            </w:pPr>
            <w:r>
              <w:rPr>
                <w:sz w:val="12"/>
                <w:szCs w:val="12"/>
                <w:spacing w:val="-1"/>
              </w:rPr>
              <w:t>稀释800-1000倍液</w:t>
            </w:r>
          </w:p>
        </w:tc>
        <w:tc>
          <w:tcPr>
            <w:tcW w:w="1039" w:type="dxa"/>
            <w:vAlign w:val="top"/>
            <w:vMerge w:val="continue"/>
            <w:tcBorders>
              <w:top w:val="nil"/>
              <w:bottom w:val="nil"/>
            </w:tcBorders>
          </w:tcPr>
          <w:p>
            <w:pPr>
              <w:rPr>
                <w:rFonts w:ascii="Arial"/>
                <w:sz w:val="21"/>
              </w:rPr>
            </w:pPr>
            <w:r/>
          </w:p>
        </w:tc>
        <w:tc>
          <w:tcPr>
            <w:tcW w:w="689" w:type="dxa"/>
            <w:vAlign w:val="top"/>
          </w:tcPr>
          <w:p>
            <w:pPr>
              <w:pStyle w:val="TableText"/>
              <w:ind w:left="126"/>
              <w:spacing w:before="117" w:line="221" w:lineRule="auto"/>
              <w:rPr>
                <w:sz w:val="12"/>
                <w:szCs w:val="12"/>
              </w:rPr>
            </w:pPr>
            <w:r>
              <w:rPr>
                <w:sz w:val="12"/>
                <w:szCs w:val="12"/>
                <w:spacing w:val="4"/>
              </w:rPr>
              <w:t>(1L/瓶)</w:t>
            </w:r>
          </w:p>
        </w:tc>
        <w:tc>
          <w:tcPr>
            <w:tcW w:w="2553" w:type="dxa"/>
            <w:vAlign w:val="top"/>
          </w:tcPr>
          <w:p>
            <w:pPr>
              <w:pStyle w:val="TableText"/>
              <w:ind w:left="17"/>
              <w:spacing w:before="116" w:line="219" w:lineRule="auto"/>
              <w:rPr>
                <w:sz w:val="12"/>
                <w:szCs w:val="12"/>
              </w:rPr>
            </w:pPr>
            <w:r>
              <w:rPr>
                <w:sz w:val="12"/>
                <w:szCs w:val="12"/>
                <w:spacing w:val="-1"/>
              </w:rPr>
              <w:t>诱导树木快速生根，提高移栽成活率</w:t>
            </w:r>
          </w:p>
        </w:tc>
      </w:tr>
      <w:tr>
        <w:trPr>
          <w:trHeight w:val="639" w:hRule="atLeast"/>
        </w:trPr>
        <w:tc>
          <w:tcPr>
            <w:tcW w:w="41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c>
          <w:tcPr>
            <w:tcW w:w="2978" w:type="dxa"/>
            <w:vAlign w:val="top"/>
            <w:vMerge w:val="continue"/>
            <w:tcBorders>
              <w:top w:val="nil"/>
              <w:bottom w:val="nil"/>
            </w:tcBorders>
          </w:tcPr>
          <w:p>
            <w:pPr>
              <w:rPr>
                <w:rFonts w:ascii="Arial"/>
                <w:sz w:val="21"/>
              </w:rPr>
            </w:pPr>
            <w:r/>
          </w:p>
        </w:tc>
        <w:tc>
          <w:tcPr>
            <w:tcW w:w="1249" w:type="dxa"/>
            <w:vAlign w:val="top"/>
          </w:tcPr>
          <w:p>
            <w:pPr>
              <w:pStyle w:val="TableText"/>
              <w:ind w:left="313"/>
              <w:spacing w:before="257" w:line="219" w:lineRule="auto"/>
              <w:rPr>
                <w:sz w:val="12"/>
                <w:szCs w:val="12"/>
              </w:rPr>
            </w:pPr>
            <w:r>
              <w:rPr>
                <w:sz w:val="12"/>
                <w:szCs w:val="12"/>
                <w:spacing w:val="2"/>
              </w:rPr>
              <w:t>国光树动力</w:t>
            </w:r>
          </w:p>
        </w:tc>
        <w:tc>
          <w:tcPr>
            <w:tcW w:w="1909" w:type="dxa"/>
            <w:vAlign w:val="top"/>
          </w:tcPr>
          <w:p>
            <w:pPr>
              <w:pStyle w:val="TableText"/>
              <w:ind w:left="703" w:right="60" w:hanging="660"/>
              <w:spacing w:before="197" w:line="217"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tc>
        <w:tc>
          <w:tcPr>
            <w:tcW w:w="1599" w:type="dxa"/>
            <w:vAlign w:val="top"/>
          </w:tcPr>
          <w:p>
            <w:pPr>
              <w:pStyle w:val="TableText"/>
              <w:ind w:left="15" w:right="19"/>
              <w:spacing w:before="187" w:line="232" w:lineRule="auto"/>
              <w:rPr>
                <w:sz w:val="12"/>
                <w:szCs w:val="12"/>
              </w:rPr>
            </w:pPr>
            <w:r>
              <w:rPr>
                <w:sz w:val="12"/>
                <w:szCs w:val="12"/>
                <w:spacing w:val="-1"/>
              </w:rPr>
              <w:t>直接使用。一般胸径8-10cm扬</w:t>
            </w:r>
            <w:r>
              <w:rPr>
                <w:sz w:val="12"/>
                <w:szCs w:val="12"/>
                <w:spacing w:val="9"/>
              </w:rPr>
              <w:t xml:space="preserve"> </w:t>
            </w:r>
            <w:r>
              <w:rPr>
                <w:sz w:val="12"/>
                <w:szCs w:val="12"/>
                <w:spacing w:val="-1"/>
              </w:rPr>
              <w:t>瓶，脚径每增加10cm增加1瓶</w:t>
            </w:r>
          </w:p>
        </w:tc>
        <w:tc>
          <w:tcPr>
            <w:tcW w:w="1039" w:type="dxa"/>
            <w:vAlign w:val="top"/>
            <w:vMerge w:val="continue"/>
            <w:tcBorders>
              <w:top w:val="nil"/>
              <w:bottom w:val="nil"/>
            </w:tcBorders>
          </w:tcPr>
          <w:p>
            <w:pPr>
              <w:rPr>
                <w:rFonts w:ascii="Arial"/>
                <w:sz w:val="21"/>
              </w:rPr>
            </w:pPr>
            <w:r/>
          </w:p>
        </w:tc>
        <w:tc>
          <w:tcPr>
            <w:tcW w:w="689" w:type="dxa"/>
            <w:vAlign w:val="top"/>
          </w:tcPr>
          <w:p>
            <w:pPr>
              <w:pStyle w:val="TableText"/>
              <w:ind w:left="246" w:right="117" w:hanging="80"/>
              <w:spacing w:before="179" w:line="248" w:lineRule="auto"/>
              <w:rPr>
                <w:sz w:val="12"/>
                <w:szCs w:val="12"/>
              </w:rPr>
            </w:pPr>
            <w:r>
              <w:rPr>
                <w:sz w:val="12"/>
                <w:szCs w:val="12"/>
                <w:spacing w:val="-4"/>
              </w:rPr>
              <w:t>(300al/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553" w:type="dxa"/>
            <w:vAlign w:val="top"/>
          </w:tcPr>
          <w:p>
            <w:pPr>
              <w:pStyle w:val="TableText"/>
              <w:ind w:left="17"/>
              <w:spacing w:before="257" w:line="219" w:lineRule="auto"/>
              <w:rPr>
                <w:sz w:val="12"/>
                <w:szCs w:val="12"/>
              </w:rPr>
            </w:pPr>
            <w:r>
              <w:rPr>
                <w:sz w:val="12"/>
                <w:szCs w:val="12"/>
                <w:spacing w:val="-1"/>
              </w:rPr>
              <w:t>大树直插瓶，大树古树复壮</w:t>
            </w:r>
          </w:p>
        </w:tc>
      </w:tr>
      <w:tr>
        <w:trPr>
          <w:trHeight w:val="639" w:hRule="atLeast"/>
        </w:trPr>
        <w:tc>
          <w:tcPr>
            <w:tcW w:w="41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c>
          <w:tcPr>
            <w:tcW w:w="2978" w:type="dxa"/>
            <w:vAlign w:val="top"/>
            <w:vMerge w:val="continue"/>
            <w:tcBorders>
              <w:top w:val="nil"/>
              <w:bottom w:val="nil"/>
            </w:tcBorders>
          </w:tcPr>
          <w:p>
            <w:pPr>
              <w:rPr>
                <w:rFonts w:ascii="Arial"/>
                <w:sz w:val="21"/>
              </w:rPr>
            </w:pPr>
            <w:r/>
          </w:p>
        </w:tc>
        <w:tc>
          <w:tcPr>
            <w:tcW w:w="1249" w:type="dxa"/>
            <w:vAlign w:val="top"/>
          </w:tcPr>
          <w:p>
            <w:pPr>
              <w:pStyle w:val="TableText"/>
              <w:ind w:left="373"/>
              <w:spacing w:before="258" w:line="219" w:lineRule="auto"/>
              <w:rPr>
                <w:sz w:val="12"/>
                <w:szCs w:val="12"/>
              </w:rPr>
            </w:pPr>
            <w:r>
              <w:rPr>
                <w:sz w:val="12"/>
                <w:szCs w:val="12"/>
                <w:spacing w:val="1"/>
              </w:rPr>
              <w:t>国光惨肥</w:t>
            </w:r>
          </w:p>
        </w:tc>
        <w:tc>
          <w:tcPr>
            <w:tcW w:w="1909" w:type="dxa"/>
            <w:vAlign w:val="top"/>
          </w:tcPr>
          <w:p>
            <w:pPr>
              <w:pStyle w:val="TableText"/>
              <w:ind w:left="164"/>
              <w:spacing w:before="258" w:line="219" w:lineRule="auto"/>
              <w:rPr>
                <w:sz w:val="12"/>
                <w:szCs w:val="12"/>
              </w:rPr>
            </w:pPr>
            <w:r>
              <w:rPr>
                <w:sz w:val="12"/>
                <w:szCs w:val="12"/>
                <w:spacing w:val="-1"/>
              </w:rPr>
              <w:t>微肥、稀有元素、大量元素肥</w:t>
            </w:r>
          </w:p>
        </w:tc>
        <w:tc>
          <w:tcPr>
            <w:tcW w:w="1599" w:type="dxa"/>
            <w:vAlign w:val="top"/>
          </w:tcPr>
          <w:p>
            <w:pPr>
              <w:pStyle w:val="TableText"/>
              <w:ind w:left="15"/>
              <w:spacing w:before="28" w:line="219" w:lineRule="auto"/>
              <w:rPr>
                <w:sz w:val="12"/>
                <w:szCs w:val="12"/>
              </w:rPr>
            </w:pPr>
            <w:r>
              <w:rPr>
                <w:sz w:val="12"/>
                <w:szCs w:val="12"/>
                <w:spacing w:val="-1"/>
              </w:rPr>
              <w:t>直接使用，根据树的胸径进行</w:t>
            </w:r>
          </w:p>
          <w:p>
            <w:pPr>
              <w:pStyle w:val="TableText"/>
              <w:ind w:right="5"/>
              <w:spacing w:before="17" w:line="215" w:lineRule="auto"/>
              <w:jc w:val="right"/>
              <w:rPr>
                <w:sz w:val="12"/>
                <w:szCs w:val="12"/>
              </w:rPr>
            </w:pPr>
            <w:r>
              <w:rPr>
                <w:sz w:val="12"/>
                <w:szCs w:val="12"/>
              </w:rPr>
              <w:t>调整：10cx一下的树1-2支，</w:t>
            </w:r>
          </w:p>
          <w:p>
            <w:pPr>
              <w:pStyle w:val="TableText"/>
              <w:ind w:left="15"/>
              <w:spacing w:line="219" w:lineRule="auto"/>
              <w:rPr>
                <w:sz w:val="12"/>
                <w:szCs w:val="12"/>
              </w:rPr>
            </w:pPr>
            <w:r>
              <w:rPr>
                <w:sz w:val="12"/>
                <w:szCs w:val="12"/>
              </w:rPr>
              <w:t>10n以上的树胸径每增加5en则</w:t>
            </w:r>
          </w:p>
          <w:p>
            <w:pPr>
              <w:pStyle w:val="TableText"/>
              <w:ind w:left="595"/>
              <w:spacing w:before="7" w:line="220" w:lineRule="auto"/>
              <w:rPr>
                <w:sz w:val="12"/>
                <w:szCs w:val="12"/>
              </w:rPr>
            </w:pPr>
            <w:r>
              <w:rPr>
                <w:sz w:val="12"/>
                <w:szCs w:val="12"/>
                <w:spacing w:val="-1"/>
              </w:rPr>
              <w:t>增加1支</w:t>
            </w:r>
          </w:p>
        </w:tc>
        <w:tc>
          <w:tcPr>
            <w:tcW w:w="1039" w:type="dxa"/>
            <w:vAlign w:val="top"/>
            <w:vMerge w:val="continue"/>
            <w:tcBorders>
              <w:top w:val="nil"/>
              <w:bottom w:val="nil"/>
            </w:tcBorders>
          </w:tcPr>
          <w:p>
            <w:pPr>
              <w:rPr>
                <w:rFonts w:ascii="Arial"/>
                <w:sz w:val="21"/>
              </w:rPr>
            </w:pPr>
            <w:r/>
          </w:p>
        </w:tc>
        <w:tc>
          <w:tcPr>
            <w:tcW w:w="689" w:type="dxa"/>
            <w:vAlign w:val="top"/>
          </w:tcPr>
          <w:p>
            <w:pPr>
              <w:pStyle w:val="TableText"/>
              <w:ind w:left="6"/>
              <w:spacing w:before="259" w:line="220" w:lineRule="auto"/>
              <w:rPr>
                <w:sz w:val="12"/>
                <w:szCs w:val="12"/>
              </w:rPr>
            </w:pPr>
            <w:r>
              <w:rPr>
                <w:sz w:val="12"/>
                <w:szCs w:val="12"/>
                <w:spacing w:val="-1"/>
              </w:rPr>
              <w:t>3*15cm*40根</w:t>
            </w:r>
          </w:p>
        </w:tc>
        <w:tc>
          <w:tcPr>
            <w:tcW w:w="2553" w:type="dxa"/>
            <w:vAlign w:val="top"/>
          </w:tcPr>
          <w:p>
            <w:pPr>
              <w:pStyle w:val="TableText"/>
              <w:ind w:left="17"/>
              <w:spacing w:before="258" w:line="219" w:lineRule="auto"/>
              <w:rPr>
                <w:sz w:val="12"/>
                <w:szCs w:val="12"/>
              </w:rPr>
            </w:pPr>
            <w:r>
              <w:rPr>
                <w:sz w:val="12"/>
                <w:szCs w:val="12"/>
                <w:spacing w:val="-1"/>
              </w:rPr>
              <w:t>古树，病树，弱树复壮</w:t>
            </w:r>
          </w:p>
        </w:tc>
      </w:tr>
      <w:tr>
        <w:trPr>
          <w:trHeight w:val="689" w:hRule="atLeast"/>
        </w:trPr>
        <w:tc>
          <w:tcPr>
            <w:tcW w:w="41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c>
          <w:tcPr>
            <w:tcW w:w="2978" w:type="dxa"/>
            <w:vAlign w:val="top"/>
            <w:vMerge w:val="continue"/>
            <w:tcBorders>
              <w:top w:val="nil"/>
              <w:bottom w:val="nil"/>
            </w:tcBorders>
          </w:tcPr>
          <w:p>
            <w:pPr>
              <w:rPr>
                <w:rFonts w:ascii="Arial"/>
                <w:sz w:val="21"/>
              </w:rPr>
            </w:pPr>
            <w:r/>
          </w:p>
        </w:tc>
        <w:tc>
          <w:tcPr>
            <w:tcW w:w="1249" w:type="dxa"/>
            <w:vAlign w:val="top"/>
          </w:tcPr>
          <w:p>
            <w:pPr>
              <w:spacing w:line="248" w:lineRule="auto"/>
              <w:rPr>
                <w:rFonts w:ascii="Arial"/>
                <w:sz w:val="21"/>
              </w:rPr>
            </w:pPr>
            <w:r/>
          </w:p>
          <w:p>
            <w:pPr>
              <w:pStyle w:val="TableText"/>
              <w:ind w:left="193"/>
              <w:spacing w:before="39" w:line="219" w:lineRule="auto"/>
              <w:rPr>
                <w:sz w:val="12"/>
                <w:szCs w:val="12"/>
              </w:rPr>
            </w:pPr>
            <w:r>
              <w:rPr>
                <w:sz w:val="12"/>
                <w:szCs w:val="12"/>
                <w:spacing w:val="-1"/>
              </w:rPr>
              <w:t>生物活性有机肥</w:t>
            </w:r>
          </w:p>
        </w:tc>
        <w:tc>
          <w:tcPr>
            <w:tcW w:w="1909" w:type="dxa"/>
            <w:vAlign w:val="top"/>
          </w:tcPr>
          <w:p>
            <w:pPr>
              <w:pStyle w:val="TableText"/>
              <w:ind w:left="73"/>
              <w:spacing w:before="68" w:line="216" w:lineRule="auto"/>
              <w:rPr>
                <w:sz w:val="12"/>
                <w:szCs w:val="12"/>
              </w:rPr>
            </w:pPr>
            <w:r>
              <w:rPr>
                <w:sz w:val="12"/>
                <w:szCs w:val="12"/>
                <w:spacing w:val="-1"/>
              </w:rPr>
              <w:t>氮磷钾大于6%,有机质30%,腐殖酸</w:t>
            </w:r>
          </w:p>
          <w:p>
            <w:pPr>
              <w:pStyle w:val="TableText"/>
              <w:ind w:left="53"/>
              <w:spacing w:before="9" w:line="216" w:lineRule="auto"/>
              <w:rPr>
                <w:sz w:val="12"/>
                <w:szCs w:val="12"/>
              </w:rPr>
            </w:pPr>
            <w:r>
              <w:rPr>
                <w:sz w:val="12"/>
                <w:szCs w:val="12"/>
                <w:spacing w:val="-1"/>
              </w:rPr>
              <w:t>大于10%.茁麻饼大于20%,土堆调</w:t>
            </w:r>
          </w:p>
          <w:p>
            <w:pPr>
              <w:pStyle w:val="TableText"/>
              <w:ind w:left="13"/>
              <w:spacing w:before="21" w:line="200" w:lineRule="auto"/>
              <w:rPr>
                <w:sz w:val="12"/>
                <w:szCs w:val="12"/>
              </w:rPr>
            </w:pPr>
            <w:r>
              <w:rPr>
                <w:sz w:val="12"/>
                <w:szCs w:val="12"/>
                <w:spacing w:val="-1"/>
              </w:rPr>
              <w:t>理剂大于10%活性菌2亿/克，微量元</w:t>
            </w:r>
          </w:p>
          <w:p>
            <w:pPr>
              <w:pStyle w:val="TableText"/>
              <w:ind w:left="133"/>
              <w:spacing w:line="219" w:lineRule="auto"/>
              <w:rPr>
                <w:sz w:val="12"/>
                <w:szCs w:val="12"/>
              </w:rPr>
            </w:pPr>
            <w:r>
              <w:rPr>
                <w:sz w:val="12"/>
                <w:szCs w:val="12"/>
              </w:rPr>
              <w:t>素钙、镁、硫、铁，辞、铜等。</w:t>
            </w:r>
          </w:p>
        </w:tc>
        <w:tc>
          <w:tcPr>
            <w:tcW w:w="1599" w:type="dxa"/>
            <w:vAlign w:val="top"/>
          </w:tcPr>
          <w:p>
            <w:pPr>
              <w:spacing w:line="249" w:lineRule="auto"/>
              <w:rPr>
                <w:rFonts w:ascii="Arial"/>
                <w:sz w:val="21"/>
              </w:rPr>
            </w:pPr>
            <w:r/>
          </w:p>
          <w:p>
            <w:pPr>
              <w:pStyle w:val="TableText"/>
              <w:ind w:left="494"/>
              <w:spacing w:before="39" w:line="219" w:lineRule="auto"/>
              <w:rPr>
                <w:sz w:val="12"/>
                <w:szCs w:val="12"/>
              </w:rPr>
            </w:pPr>
            <w:r>
              <w:rPr>
                <w:sz w:val="12"/>
                <w:szCs w:val="12"/>
                <w:spacing w:val="-1"/>
              </w:rPr>
              <w:t>穴施或数施</w:t>
            </w:r>
          </w:p>
        </w:tc>
        <w:tc>
          <w:tcPr>
            <w:tcW w:w="1039" w:type="dxa"/>
            <w:vAlign w:val="top"/>
            <w:vMerge w:val="continue"/>
            <w:tcBorders>
              <w:top w:val="nil"/>
              <w:bottom w:val="nil"/>
            </w:tcBorders>
          </w:tcPr>
          <w:p>
            <w:pPr>
              <w:rPr>
                <w:rFonts w:ascii="Arial"/>
                <w:sz w:val="21"/>
              </w:rPr>
            </w:pPr>
            <w:r/>
          </w:p>
        </w:tc>
        <w:tc>
          <w:tcPr>
            <w:tcW w:w="689" w:type="dxa"/>
            <w:vAlign w:val="top"/>
          </w:tcPr>
          <w:p>
            <w:pPr>
              <w:spacing w:line="245" w:lineRule="auto"/>
              <w:rPr>
                <w:rFonts w:ascii="Arial"/>
                <w:sz w:val="21"/>
              </w:rPr>
            </w:pPr>
            <w:r/>
          </w:p>
          <w:p>
            <w:pPr>
              <w:pStyle w:val="TableText"/>
              <w:ind w:left="126"/>
              <w:spacing w:before="39" w:line="214" w:lineRule="auto"/>
              <w:rPr>
                <w:sz w:val="12"/>
                <w:szCs w:val="12"/>
              </w:rPr>
            </w:pPr>
            <w:r>
              <w:rPr>
                <w:sz w:val="12"/>
                <w:szCs w:val="12"/>
                <w:spacing w:val="-1"/>
              </w:rPr>
              <w:t>40Kg/袋</w:t>
            </w:r>
          </w:p>
        </w:tc>
        <w:tc>
          <w:tcPr>
            <w:tcW w:w="2553" w:type="dxa"/>
            <w:vAlign w:val="top"/>
          </w:tcPr>
          <w:p>
            <w:pPr>
              <w:pStyle w:val="TableText"/>
              <w:ind w:left="17" w:right="5"/>
              <w:spacing w:before="220" w:line="248" w:lineRule="auto"/>
              <w:rPr>
                <w:sz w:val="12"/>
                <w:szCs w:val="12"/>
              </w:rPr>
            </w:pPr>
            <w:r>
              <w:rPr>
                <w:sz w:val="12"/>
                <w:szCs w:val="12"/>
              </w:rPr>
              <w:t>改善土壤结构，增强通风，储水能力，乔灌</w:t>
            </w:r>
            <w:r>
              <w:rPr>
                <w:sz w:val="12"/>
                <w:szCs w:val="12"/>
                <w:spacing w:val="-1"/>
              </w:rPr>
              <w:t>木，</w:t>
            </w:r>
            <w:r>
              <w:rPr>
                <w:sz w:val="12"/>
                <w:szCs w:val="12"/>
              </w:rPr>
              <w:t xml:space="preserve"> </w:t>
            </w:r>
            <w:r>
              <w:rPr>
                <w:sz w:val="12"/>
                <w:szCs w:val="12"/>
                <w:spacing w:val="-1"/>
              </w:rPr>
              <w:t>地被、草坪均可使用</w:t>
            </w:r>
          </w:p>
        </w:tc>
      </w:tr>
      <w:tr>
        <w:trPr>
          <w:trHeight w:val="519" w:hRule="atLeast"/>
        </w:trPr>
        <w:tc>
          <w:tcPr>
            <w:tcW w:w="41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c>
          <w:tcPr>
            <w:tcW w:w="2978" w:type="dxa"/>
            <w:vAlign w:val="top"/>
            <w:vMerge w:val="continue"/>
            <w:tcBorders>
              <w:top w:val="nil"/>
              <w:bottom w:val="nil"/>
            </w:tcBorders>
          </w:tcPr>
          <w:p>
            <w:pPr>
              <w:rPr>
                <w:rFonts w:ascii="Arial"/>
                <w:sz w:val="21"/>
              </w:rPr>
            </w:pPr>
            <w:r/>
          </w:p>
        </w:tc>
        <w:tc>
          <w:tcPr>
            <w:tcW w:w="1249" w:type="dxa"/>
            <w:vAlign w:val="top"/>
          </w:tcPr>
          <w:p>
            <w:pPr>
              <w:pStyle w:val="TableText"/>
              <w:ind w:left="193"/>
              <w:spacing w:before="200" w:line="219" w:lineRule="auto"/>
              <w:rPr>
                <w:sz w:val="12"/>
                <w:szCs w:val="12"/>
              </w:rPr>
            </w:pPr>
            <w:r>
              <w:rPr>
                <w:sz w:val="12"/>
                <w:szCs w:val="12"/>
                <w:spacing w:val="-1"/>
              </w:rPr>
              <w:t>硫酸钾型复合肥</w:t>
            </w:r>
          </w:p>
        </w:tc>
        <w:tc>
          <w:tcPr>
            <w:tcW w:w="1909" w:type="dxa"/>
            <w:vAlign w:val="top"/>
          </w:tcPr>
          <w:p>
            <w:pPr>
              <w:pStyle w:val="TableText"/>
              <w:ind w:left="524"/>
              <w:spacing w:before="199" w:line="216" w:lineRule="auto"/>
              <w:rPr>
                <w:sz w:val="12"/>
                <w:szCs w:val="12"/>
              </w:rPr>
            </w:pPr>
            <w:r>
              <w:rPr>
                <w:sz w:val="12"/>
                <w:szCs w:val="12"/>
                <w:spacing w:val="-1"/>
              </w:rPr>
              <w:t>氮15,磷15:钾15</w:t>
            </w:r>
          </w:p>
        </w:tc>
        <w:tc>
          <w:tcPr>
            <w:tcW w:w="1599" w:type="dxa"/>
            <w:vAlign w:val="top"/>
          </w:tcPr>
          <w:p>
            <w:pPr>
              <w:pStyle w:val="TableText"/>
              <w:ind w:left="494"/>
              <w:spacing w:before="201" w:line="220" w:lineRule="auto"/>
              <w:rPr>
                <w:sz w:val="12"/>
                <w:szCs w:val="12"/>
              </w:rPr>
            </w:pPr>
            <w:r>
              <w:rPr>
                <w:sz w:val="12"/>
                <w:szCs w:val="12"/>
                <w:spacing w:val="-1"/>
              </w:rPr>
              <w:t>撒施或穴施</w:t>
            </w:r>
          </w:p>
        </w:tc>
        <w:tc>
          <w:tcPr>
            <w:tcW w:w="1039" w:type="dxa"/>
            <w:vAlign w:val="top"/>
            <w:vMerge w:val="continue"/>
            <w:tcBorders>
              <w:top w:val="nil"/>
            </w:tcBorders>
          </w:tcPr>
          <w:p>
            <w:pPr>
              <w:rPr>
                <w:rFonts w:ascii="Arial"/>
                <w:sz w:val="21"/>
              </w:rPr>
            </w:pPr>
            <w:r/>
          </w:p>
        </w:tc>
        <w:tc>
          <w:tcPr>
            <w:tcW w:w="689" w:type="dxa"/>
            <w:vAlign w:val="top"/>
          </w:tcPr>
          <w:p>
            <w:pPr>
              <w:pStyle w:val="TableText"/>
              <w:ind w:left="126"/>
              <w:spacing w:before="196" w:line="214" w:lineRule="auto"/>
              <w:rPr>
                <w:sz w:val="12"/>
                <w:szCs w:val="12"/>
              </w:rPr>
            </w:pPr>
            <w:r>
              <w:rPr>
                <w:sz w:val="12"/>
                <w:szCs w:val="12"/>
                <w:spacing w:val="-1"/>
              </w:rPr>
              <w:t>40kg/袋</w:t>
            </w:r>
          </w:p>
        </w:tc>
        <w:tc>
          <w:tcPr>
            <w:tcW w:w="2553" w:type="dxa"/>
            <w:vAlign w:val="top"/>
          </w:tcPr>
          <w:p>
            <w:pPr>
              <w:pStyle w:val="TableText"/>
              <w:ind w:left="17"/>
              <w:spacing w:before="200" w:line="219" w:lineRule="auto"/>
              <w:rPr>
                <w:sz w:val="12"/>
                <w:szCs w:val="12"/>
              </w:rPr>
            </w:pPr>
            <w:r>
              <w:rPr>
                <w:sz w:val="12"/>
                <w:szCs w:val="12"/>
                <w:spacing w:val="-1"/>
              </w:rPr>
              <w:t>乔灌术、地被，草坪均可使用</w:t>
            </w:r>
          </w:p>
        </w:tc>
      </w:tr>
      <w:tr>
        <w:trPr>
          <w:trHeight w:val="469" w:hRule="atLeast"/>
        </w:trPr>
        <w:tc>
          <w:tcPr>
            <w:tcW w:w="41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c>
          <w:tcPr>
            <w:tcW w:w="2978" w:type="dxa"/>
            <w:vAlign w:val="top"/>
            <w:vMerge w:val="continue"/>
            <w:tcBorders>
              <w:top w:val="nil"/>
              <w:bottom w:val="nil"/>
            </w:tcBorders>
          </w:tcPr>
          <w:p>
            <w:pPr>
              <w:rPr>
                <w:rFonts w:ascii="Arial"/>
                <w:sz w:val="21"/>
              </w:rPr>
            </w:pPr>
            <w:r/>
          </w:p>
        </w:tc>
        <w:tc>
          <w:tcPr>
            <w:tcW w:w="1249" w:type="dxa"/>
            <w:vAlign w:val="top"/>
          </w:tcPr>
          <w:p>
            <w:pPr>
              <w:pStyle w:val="TableText"/>
              <w:ind w:left="253"/>
              <w:spacing w:before="182" w:line="219" w:lineRule="auto"/>
              <w:rPr>
                <w:sz w:val="12"/>
                <w:szCs w:val="12"/>
              </w:rPr>
            </w:pPr>
            <w:r>
              <w:rPr>
                <w:sz w:val="12"/>
                <w:szCs w:val="12"/>
                <w:spacing w:val="1"/>
              </w:rPr>
              <w:t>国光氨基酸钾</w:t>
            </w:r>
          </w:p>
        </w:tc>
        <w:tc>
          <w:tcPr>
            <w:tcW w:w="1909" w:type="dxa"/>
            <w:vAlign w:val="top"/>
          </w:tcPr>
          <w:p>
            <w:pPr>
              <w:pStyle w:val="TableText"/>
              <w:ind w:left="494"/>
              <w:spacing w:before="182" w:line="220" w:lineRule="auto"/>
              <w:rPr>
                <w:sz w:val="12"/>
                <w:szCs w:val="12"/>
              </w:rPr>
            </w:pPr>
            <w:r>
              <w:rPr>
                <w:sz w:val="12"/>
                <w:szCs w:val="12"/>
                <w:spacing w:val="1"/>
              </w:rPr>
              <w:t>12%氨基酸整合钾</w:t>
            </w:r>
          </w:p>
        </w:tc>
        <w:tc>
          <w:tcPr>
            <w:tcW w:w="1599" w:type="dxa"/>
            <w:vAlign w:val="top"/>
          </w:tcPr>
          <w:p>
            <w:pPr>
              <w:pStyle w:val="TableText"/>
              <w:ind w:left="344"/>
              <w:spacing w:before="182" w:line="219" w:lineRule="auto"/>
              <w:rPr>
                <w:sz w:val="12"/>
                <w:szCs w:val="12"/>
              </w:rPr>
            </w:pPr>
            <w:r>
              <w:rPr>
                <w:sz w:val="12"/>
                <w:szCs w:val="12"/>
                <w:spacing w:val="-1"/>
              </w:rPr>
              <w:t>稀释600-800倍液</w:t>
            </w:r>
          </w:p>
        </w:tc>
        <w:tc>
          <w:tcPr>
            <w:tcW w:w="1039" w:type="dxa"/>
            <w:vAlign w:val="top"/>
            <w:vMerge w:val="restart"/>
            <w:tcBorders>
              <w:bottom w:val="nil"/>
            </w:tcBorders>
          </w:tcPr>
          <w:p>
            <w:pPr>
              <w:spacing w:line="430" w:lineRule="auto"/>
              <w:rPr>
                <w:rFonts w:ascii="Arial"/>
                <w:sz w:val="21"/>
              </w:rPr>
            </w:pPr>
            <w:r/>
          </w:p>
          <w:p>
            <w:pPr>
              <w:pStyle w:val="TableText"/>
              <w:ind w:left="245"/>
              <w:spacing w:before="39" w:line="219" w:lineRule="auto"/>
              <w:rPr>
                <w:sz w:val="12"/>
                <w:szCs w:val="12"/>
              </w:rPr>
            </w:pPr>
            <w:r>
              <w:rPr>
                <w:sz w:val="12"/>
                <w:szCs w:val="12"/>
                <w:spacing w:val="-2"/>
              </w:rPr>
              <w:t>一般用1次</w:t>
            </w:r>
          </w:p>
        </w:tc>
        <w:tc>
          <w:tcPr>
            <w:tcW w:w="689" w:type="dxa"/>
            <w:vAlign w:val="top"/>
          </w:tcPr>
          <w:p>
            <w:pPr>
              <w:pStyle w:val="TableText"/>
              <w:ind w:left="126"/>
              <w:spacing w:before="177" w:line="214" w:lineRule="auto"/>
              <w:rPr>
                <w:sz w:val="12"/>
                <w:szCs w:val="12"/>
              </w:rPr>
            </w:pPr>
            <w:r>
              <w:rPr>
                <w:sz w:val="12"/>
                <w:szCs w:val="12"/>
                <w:spacing w:val="-1"/>
              </w:rPr>
              <w:t>500g/瓶</w:t>
            </w:r>
          </w:p>
        </w:tc>
        <w:tc>
          <w:tcPr>
            <w:tcW w:w="2553" w:type="dxa"/>
            <w:vAlign w:val="top"/>
          </w:tcPr>
          <w:p>
            <w:pPr>
              <w:pStyle w:val="TableText"/>
              <w:ind w:left="17"/>
              <w:spacing w:before="111"/>
              <w:rPr>
                <w:sz w:val="12"/>
                <w:szCs w:val="12"/>
              </w:rPr>
            </w:pPr>
            <w:r>
              <w:rPr>
                <w:sz w:val="12"/>
                <w:szCs w:val="12"/>
                <w:spacing w:val="-3"/>
              </w:rPr>
              <w:t>防治因缺钾引起的植株瘦弱，生长不良，1万平方</w:t>
            </w:r>
            <w:r>
              <w:rPr>
                <w:sz w:val="12"/>
                <w:szCs w:val="12"/>
                <w:spacing w:val="9"/>
              </w:rPr>
              <w:t xml:space="preserve"> </w:t>
            </w:r>
            <w:r>
              <w:rPr>
                <w:sz w:val="12"/>
                <w:szCs w:val="12"/>
                <w:spacing w:val="-1"/>
              </w:rPr>
              <w:t>米年度约用量：50kg</w:t>
            </w:r>
          </w:p>
        </w:tc>
      </w:tr>
      <w:tr>
        <w:trPr>
          <w:trHeight w:val="579" w:hRule="atLeast"/>
        </w:trPr>
        <w:tc>
          <w:tcPr>
            <w:tcW w:w="415" w:type="dxa"/>
            <w:vAlign w:val="top"/>
            <w:vMerge w:val="continue"/>
            <w:tcBorders>
              <w:top w:val="nil"/>
            </w:tcBorders>
          </w:tcPr>
          <w:p>
            <w:pPr>
              <w:rPr>
                <w:rFonts w:ascii="Arial"/>
                <w:sz w:val="21"/>
              </w:rPr>
            </w:pPr>
            <w:r/>
          </w:p>
        </w:tc>
        <w:tc>
          <w:tcPr>
            <w:tcW w:w="620" w:type="dxa"/>
            <w:vAlign w:val="top"/>
            <w:vMerge w:val="continue"/>
            <w:tcBorders>
              <w:top w:val="nil"/>
            </w:tcBorders>
          </w:tcPr>
          <w:p>
            <w:pPr>
              <w:rPr>
                <w:rFonts w:ascii="Arial"/>
                <w:sz w:val="21"/>
              </w:rPr>
            </w:pPr>
            <w:r/>
          </w:p>
        </w:tc>
        <w:tc>
          <w:tcPr>
            <w:tcW w:w="919" w:type="dxa"/>
            <w:vAlign w:val="top"/>
            <w:vMerge w:val="continue"/>
            <w:tcBorders>
              <w:top w:val="nil"/>
            </w:tcBorders>
          </w:tcPr>
          <w:p>
            <w:pPr>
              <w:rPr>
                <w:rFonts w:ascii="Arial"/>
                <w:sz w:val="21"/>
              </w:rPr>
            </w:pPr>
            <w:r/>
          </w:p>
        </w:tc>
        <w:tc>
          <w:tcPr>
            <w:tcW w:w="2978" w:type="dxa"/>
            <w:vAlign w:val="top"/>
            <w:vMerge w:val="continue"/>
            <w:tcBorders>
              <w:top w:val="nil"/>
            </w:tcBorders>
          </w:tcPr>
          <w:p>
            <w:pPr>
              <w:rPr>
                <w:rFonts w:ascii="Arial"/>
                <w:sz w:val="21"/>
              </w:rPr>
            </w:pPr>
            <w:r/>
          </w:p>
        </w:tc>
        <w:tc>
          <w:tcPr>
            <w:tcW w:w="1249" w:type="dxa"/>
            <w:vAlign w:val="top"/>
          </w:tcPr>
          <w:p>
            <w:pPr>
              <w:pStyle w:val="TableText"/>
              <w:ind w:left="193"/>
              <w:spacing w:before="232" w:line="219" w:lineRule="auto"/>
              <w:rPr>
                <w:sz w:val="12"/>
                <w:szCs w:val="12"/>
              </w:rPr>
            </w:pPr>
            <w:r>
              <w:rPr>
                <w:sz w:val="12"/>
                <w:szCs w:val="12"/>
                <w:spacing w:val="-1"/>
              </w:rPr>
              <w:t>高效磷钾复合肥</w:t>
            </w:r>
          </w:p>
        </w:tc>
        <w:tc>
          <w:tcPr>
            <w:tcW w:w="1909" w:type="dxa"/>
            <w:vAlign w:val="top"/>
          </w:tcPr>
          <w:p>
            <w:pPr>
              <w:pStyle w:val="TableText"/>
              <w:ind w:left="644"/>
              <w:spacing w:before="232" w:line="219" w:lineRule="auto"/>
              <w:rPr>
                <w:sz w:val="12"/>
                <w:szCs w:val="12"/>
              </w:rPr>
            </w:pPr>
            <w:r>
              <w:rPr>
                <w:sz w:val="12"/>
                <w:szCs w:val="12"/>
                <w:spacing w:val="-1"/>
              </w:rPr>
              <w:t>磷酸二氢钾</w:t>
            </w:r>
          </w:p>
        </w:tc>
        <w:tc>
          <w:tcPr>
            <w:tcW w:w="1599" w:type="dxa"/>
            <w:vAlign w:val="top"/>
          </w:tcPr>
          <w:p>
            <w:pPr>
              <w:pStyle w:val="TableText"/>
              <w:ind w:left="135"/>
              <w:spacing w:before="232" w:line="219" w:lineRule="auto"/>
              <w:rPr>
                <w:sz w:val="12"/>
                <w:szCs w:val="12"/>
              </w:rPr>
            </w:pPr>
            <w:r>
              <w:rPr>
                <w:sz w:val="12"/>
                <w:szCs w:val="12"/>
                <w:spacing w:val="-1"/>
              </w:rPr>
              <w:t>直接穴施或0.2%叶面喷施</w:t>
            </w:r>
          </w:p>
        </w:tc>
        <w:tc>
          <w:tcPr>
            <w:tcW w:w="1039" w:type="dxa"/>
            <w:vAlign w:val="top"/>
            <w:vMerge w:val="continue"/>
            <w:tcBorders>
              <w:top w:val="nil"/>
            </w:tcBorders>
          </w:tcPr>
          <w:p>
            <w:pPr>
              <w:rPr>
                <w:rFonts w:ascii="Arial"/>
                <w:sz w:val="21"/>
              </w:rPr>
            </w:pPr>
            <w:r/>
          </w:p>
        </w:tc>
        <w:tc>
          <w:tcPr>
            <w:tcW w:w="689" w:type="dxa"/>
            <w:vAlign w:val="top"/>
          </w:tcPr>
          <w:p>
            <w:pPr>
              <w:pStyle w:val="TableText"/>
              <w:ind w:left="66"/>
              <w:spacing w:before="228" w:line="214" w:lineRule="auto"/>
              <w:rPr>
                <w:sz w:val="12"/>
                <w:szCs w:val="12"/>
              </w:rPr>
            </w:pPr>
            <w:r>
              <w:rPr>
                <w:sz w:val="12"/>
                <w:szCs w:val="12"/>
                <w:spacing w:val="4"/>
              </w:rPr>
              <w:t>(25</w:t>
            </w:r>
            <w:r>
              <w:rPr>
                <w:sz w:val="12"/>
                <w:szCs w:val="12"/>
              </w:rPr>
              <w:t>kg</w:t>
            </w:r>
            <w:r>
              <w:rPr>
                <w:sz w:val="12"/>
                <w:szCs w:val="12"/>
                <w:spacing w:val="4"/>
              </w:rPr>
              <w:t>/袋)</w:t>
            </w:r>
          </w:p>
        </w:tc>
        <w:tc>
          <w:tcPr>
            <w:tcW w:w="2553" w:type="dxa"/>
            <w:vAlign w:val="top"/>
          </w:tcPr>
          <w:p>
            <w:pPr>
              <w:pStyle w:val="TableText"/>
              <w:ind w:left="17"/>
              <w:spacing w:before="182" w:line="204" w:lineRule="auto"/>
              <w:rPr>
                <w:sz w:val="12"/>
                <w:szCs w:val="12"/>
              </w:rPr>
            </w:pPr>
            <w:r>
              <w:rPr>
                <w:sz w:val="12"/>
                <w:szCs w:val="12"/>
                <w:spacing w:val="-3"/>
              </w:rPr>
              <w:t>提高树木木质化程度，有利树木安全越冬，1万平</w:t>
            </w:r>
            <w:r>
              <w:rPr>
                <w:sz w:val="12"/>
                <w:szCs w:val="12"/>
                <w:spacing w:val="10"/>
              </w:rPr>
              <w:t xml:space="preserve"> </w:t>
            </w:r>
            <w:r>
              <w:rPr>
                <w:sz w:val="12"/>
                <w:szCs w:val="12"/>
                <w:spacing w:val="-1"/>
              </w:rPr>
              <w:t>方米年度约用量：100kg</w:t>
            </w:r>
          </w:p>
        </w:tc>
      </w:tr>
      <w:tr>
        <w:trPr>
          <w:trHeight w:val="859" w:hRule="atLeast"/>
        </w:trPr>
        <w:tc>
          <w:tcPr>
            <w:tcW w:w="415"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74"/>
              <w:spacing w:before="39" w:line="220" w:lineRule="auto"/>
              <w:rPr>
                <w:sz w:val="12"/>
                <w:szCs w:val="12"/>
              </w:rPr>
            </w:pPr>
            <w:r>
              <w:rPr>
                <w:sz w:val="12"/>
                <w:szCs w:val="12"/>
                <w:spacing w:val="-2"/>
              </w:rPr>
              <w:t>其他</w:t>
            </w:r>
          </w:p>
        </w:tc>
        <w:tc>
          <w:tcPr>
            <w:tcW w:w="620" w:type="dxa"/>
            <w:vAlign w:val="top"/>
          </w:tcPr>
          <w:p>
            <w:pPr>
              <w:spacing w:line="332" w:lineRule="auto"/>
              <w:rPr>
                <w:rFonts w:ascii="Arial"/>
                <w:sz w:val="21"/>
              </w:rPr>
            </w:pPr>
            <w:r/>
          </w:p>
          <w:p>
            <w:pPr>
              <w:pStyle w:val="TableText"/>
              <w:ind w:left="60"/>
              <w:spacing w:before="39" w:line="219" w:lineRule="auto"/>
              <w:rPr>
                <w:sz w:val="12"/>
                <w:szCs w:val="12"/>
              </w:rPr>
            </w:pPr>
            <w:r>
              <w:rPr>
                <w:sz w:val="12"/>
                <w:szCs w:val="12"/>
                <w:spacing w:val="-2"/>
              </w:rPr>
              <w:t>草皮覆绎</w:t>
            </w:r>
          </w:p>
        </w:tc>
        <w:tc>
          <w:tcPr>
            <w:tcW w:w="919" w:type="dxa"/>
            <w:vAlign w:val="top"/>
          </w:tcPr>
          <w:p>
            <w:pPr>
              <w:spacing w:line="273" w:lineRule="auto"/>
              <w:rPr>
                <w:rFonts w:ascii="Arial"/>
                <w:sz w:val="21"/>
              </w:rPr>
            </w:pPr>
            <w:r/>
          </w:p>
          <w:p>
            <w:pPr>
              <w:pStyle w:val="TableText"/>
              <w:ind w:left="30"/>
              <w:spacing w:before="39" w:line="218" w:lineRule="auto"/>
              <w:rPr>
                <w:sz w:val="12"/>
                <w:szCs w:val="12"/>
              </w:rPr>
            </w:pPr>
            <w:r>
              <w:rPr>
                <w:sz w:val="12"/>
                <w:szCs w:val="12"/>
                <w:spacing w:val="-1"/>
              </w:rPr>
              <w:t>草坪发芽及长势</w:t>
            </w:r>
          </w:p>
          <w:p>
            <w:pPr>
              <w:pStyle w:val="TableText"/>
              <w:ind w:left="330"/>
              <w:spacing w:line="222" w:lineRule="auto"/>
              <w:rPr>
                <w:sz w:val="12"/>
                <w:szCs w:val="12"/>
              </w:rPr>
            </w:pPr>
            <w:r>
              <w:rPr>
                <w:sz w:val="12"/>
                <w:szCs w:val="12"/>
                <w:spacing w:val="-2"/>
              </w:rPr>
              <w:t>不良</w:t>
            </w:r>
          </w:p>
        </w:tc>
        <w:tc>
          <w:tcPr>
            <w:tcW w:w="2978" w:type="dxa"/>
            <w:vAlign w:val="top"/>
          </w:tcPr>
          <w:p>
            <w:pPr>
              <w:pStyle w:val="TableText"/>
              <w:ind w:left="1" w:right="39"/>
              <w:spacing w:before="103" w:line="215" w:lineRule="auto"/>
              <w:rPr>
                <w:sz w:val="12"/>
                <w:szCs w:val="12"/>
              </w:rPr>
            </w:pPr>
            <w:r>
              <w:rPr>
                <w:sz w:val="12"/>
                <w:szCs w:val="12"/>
                <w:spacing w:val="-1"/>
              </w:rPr>
              <w:t>一、主要集中在5月中，气温上升，空气湿度增加，苗木</w:t>
            </w:r>
            <w:r>
              <w:rPr>
                <w:sz w:val="12"/>
                <w:szCs w:val="12"/>
                <w:spacing w:val="11"/>
              </w:rPr>
              <w:t xml:space="preserve"> </w:t>
            </w:r>
            <w:r>
              <w:rPr>
                <w:sz w:val="12"/>
                <w:szCs w:val="12"/>
                <w:spacing w:val="2"/>
              </w:rPr>
              <w:t>结束体联期开始返青。是草皮施肥复绿最性时机；</w:t>
            </w:r>
          </w:p>
          <w:p>
            <w:pPr>
              <w:pStyle w:val="TableText"/>
              <w:ind w:left="10" w:right="26" w:hanging="9"/>
              <w:spacing w:line="209" w:lineRule="auto"/>
              <w:rPr>
                <w:sz w:val="12"/>
                <w:szCs w:val="12"/>
              </w:rPr>
            </w:pPr>
            <w:r>
              <w:rPr>
                <w:sz w:val="12"/>
                <w:szCs w:val="12"/>
              </w:rPr>
              <w:t>二，6-7月有个别情况，做专项治疗一般每月施肥一</w:t>
            </w:r>
            <w:r>
              <w:rPr>
                <w:sz w:val="12"/>
                <w:szCs w:val="12"/>
                <w:spacing w:val="-1"/>
              </w:rPr>
              <w:t>次。</w:t>
            </w:r>
            <w:r>
              <w:rPr>
                <w:sz w:val="12"/>
                <w:szCs w:val="12"/>
              </w:rPr>
              <w:t xml:space="preserve"> </w:t>
            </w:r>
            <w:r>
              <w:rPr>
                <w:sz w:val="12"/>
                <w:szCs w:val="12"/>
              </w:rPr>
              <w:t>每次用量为春季的一半左右，10月份下冬肥：</w:t>
            </w:r>
          </w:p>
          <w:p>
            <w:pPr>
              <w:pStyle w:val="TableText"/>
              <w:ind w:left="1"/>
              <w:spacing w:before="17" w:line="219" w:lineRule="auto"/>
              <w:rPr>
                <w:sz w:val="12"/>
                <w:szCs w:val="12"/>
              </w:rPr>
            </w:pPr>
            <w:r>
              <w:rPr>
                <w:sz w:val="12"/>
                <w:szCs w:val="12"/>
              </w:rPr>
              <w:t>三、9月施秋肥。</w:t>
            </w:r>
          </w:p>
        </w:tc>
        <w:tc>
          <w:tcPr>
            <w:tcW w:w="1249" w:type="dxa"/>
            <w:vAlign w:val="top"/>
          </w:tcPr>
          <w:p>
            <w:pPr>
              <w:spacing w:line="273" w:lineRule="auto"/>
              <w:rPr>
                <w:rFonts w:ascii="Arial"/>
                <w:sz w:val="21"/>
              </w:rPr>
            </w:pPr>
            <w:r/>
          </w:p>
          <w:p>
            <w:pPr>
              <w:pStyle w:val="TableText"/>
              <w:ind w:left="162" w:right="60" w:hanging="119"/>
              <w:spacing w:before="39" w:line="209" w:lineRule="auto"/>
              <w:rPr>
                <w:sz w:val="12"/>
                <w:szCs w:val="12"/>
              </w:rPr>
            </w:pPr>
            <w:r>
              <w:rPr>
                <w:sz w:val="12"/>
                <w:szCs w:val="12"/>
                <w:spacing w:val="-1"/>
              </w:rPr>
              <w:t>尿素(一般不单独使用</w:t>
            </w:r>
            <w:r>
              <w:rPr>
                <w:sz w:val="12"/>
                <w:szCs w:val="12"/>
                <w:spacing w:val="4"/>
              </w:rPr>
              <w:t xml:space="preserve"> </w:t>
            </w:r>
            <w:r>
              <w:rPr>
                <w:sz w:val="12"/>
                <w:szCs w:val="12"/>
                <w:spacing w:val="1"/>
              </w:rPr>
              <w:t>需配合磷弹肥使用</w:t>
            </w:r>
          </w:p>
        </w:tc>
        <w:tc>
          <w:tcPr>
            <w:tcW w:w="1909" w:type="dxa"/>
            <w:vAlign w:val="top"/>
          </w:tcPr>
          <w:p>
            <w:pPr>
              <w:spacing w:line="331" w:lineRule="auto"/>
              <w:rPr>
                <w:rFonts w:ascii="Arial"/>
                <w:sz w:val="21"/>
              </w:rPr>
            </w:pPr>
            <w:r/>
          </w:p>
          <w:p>
            <w:pPr>
              <w:pStyle w:val="TableText"/>
              <w:ind w:left="464"/>
              <w:spacing w:before="39" w:line="216" w:lineRule="auto"/>
              <w:rPr>
                <w:sz w:val="12"/>
                <w:szCs w:val="12"/>
              </w:rPr>
            </w:pPr>
            <w:r>
              <w:rPr>
                <w:sz w:val="12"/>
                <w:szCs w:val="12"/>
                <w:spacing w:val="-1"/>
              </w:rPr>
              <w:t>C00NH2)2,含氮46%</w:t>
            </w:r>
          </w:p>
        </w:tc>
        <w:tc>
          <w:tcPr>
            <w:tcW w:w="1599" w:type="dxa"/>
            <w:vAlign w:val="top"/>
          </w:tcPr>
          <w:p>
            <w:pPr>
              <w:spacing w:line="328" w:lineRule="auto"/>
              <w:rPr>
                <w:rFonts w:ascii="Arial"/>
                <w:sz w:val="21"/>
              </w:rPr>
            </w:pPr>
            <w:r/>
          </w:p>
          <w:p>
            <w:pPr>
              <w:pStyle w:val="TableText"/>
              <w:ind w:left="195"/>
              <w:spacing w:before="39" w:line="214" w:lineRule="auto"/>
              <w:rPr>
                <w:sz w:val="12"/>
                <w:szCs w:val="12"/>
              </w:rPr>
            </w:pPr>
            <w:r>
              <w:rPr>
                <w:sz w:val="12"/>
                <w:szCs w:val="12"/>
                <w:spacing w:val="-1"/>
              </w:rPr>
              <w:t>直接撒施：20-25kg/亩</w:t>
            </w:r>
          </w:p>
        </w:tc>
        <w:tc>
          <w:tcPr>
            <w:tcW w:w="1039" w:type="dxa"/>
            <w:vAlign w:val="top"/>
          </w:tcPr>
          <w:p>
            <w:pPr>
              <w:spacing w:line="332" w:lineRule="auto"/>
              <w:rPr>
                <w:rFonts w:ascii="Arial"/>
                <w:sz w:val="21"/>
              </w:rPr>
            </w:pPr>
            <w:r/>
          </w:p>
          <w:p>
            <w:pPr>
              <w:pStyle w:val="TableText"/>
              <w:ind w:left="96"/>
              <w:spacing w:before="39" w:line="219" w:lineRule="auto"/>
              <w:rPr>
                <w:sz w:val="12"/>
                <w:szCs w:val="12"/>
              </w:rPr>
            </w:pPr>
            <w:r>
              <w:rPr>
                <w:sz w:val="12"/>
                <w:szCs w:val="12"/>
                <w:spacing w:val="-1"/>
              </w:rPr>
              <w:t>视草坪生长情况</w:t>
            </w:r>
          </w:p>
        </w:tc>
        <w:tc>
          <w:tcPr>
            <w:tcW w:w="689" w:type="dxa"/>
            <w:vAlign w:val="top"/>
          </w:tcPr>
          <w:p>
            <w:pPr>
              <w:spacing w:line="328" w:lineRule="auto"/>
              <w:rPr>
                <w:rFonts w:ascii="Arial"/>
                <w:sz w:val="21"/>
              </w:rPr>
            </w:pPr>
            <w:r/>
          </w:p>
          <w:p>
            <w:pPr>
              <w:pStyle w:val="TableText"/>
              <w:ind w:left="66"/>
              <w:spacing w:before="39" w:line="214" w:lineRule="auto"/>
              <w:rPr>
                <w:sz w:val="12"/>
                <w:szCs w:val="12"/>
              </w:rPr>
            </w:pPr>
            <w:r>
              <w:rPr>
                <w:sz w:val="12"/>
                <w:szCs w:val="12"/>
                <w:spacing w:val="4"/>
              </w:rPr>
              <w:t>(50</w:t>
            </w:r>
            <w:r>
              <w:rPr>
                <w:sz w:val="12"/>
                <w:szCs w:val="12"/>
              </w:rPr>
              <w:t>kg</w:t>
            </w:r>
            <w:r>
              <w:rPr>
                <w:sz w:val="12"/>
                <w:szCs w:val="12"/>
                <w:spacing w:val="4"/>
              </w:rPr>
              <w:t>/袋)</w:t>
            </w:r>
          </w:p>
        </w:tc>
        <w:tc>
          <w:tcPr>
            <w:tcW w:w="2553" w:type="dxa"/>
            <w:vAlign w:val="top"/>
          </w:tcPr>
          <w:p>
            <w:pPr>
              <w:spacing w:line="272" w:lineRule="auto"/>
              <w:rPr>
                <w:rFonts w:ascii="Arial"/>
                <w:sz w:val="21"/>
              </w:rPr>
            </w:pPr>
            <w:r/>
          </w:p>
          <w:p>
            <w:pPr>
              <w:pStyle w:val="TableText"/>
              <w:ind w:left="17" w:right="64"/>
              <w:spacing w:before="39" w:line="212" w:lineRule="auto"/>
              <w:rPr>
                <w:sz w:val="12"/>
                <w:szCs w:val="12"/>
              </w:rPr>
            </w:pPr>
            <w:r>
              <w:rPr>
                <w:sz w:val="12"/>
                <w:szCs w:val="12"/>
              </w:rPr>
              <w:t>促进草坪生长，增绿，1万平方米年度约用量： </w:t>
            </w:r>
            <w:r>
              <w:rPr>
                <w:sz w:val="12"/>
                <w:szCs w:val="12"/>
                <w:spacing w:val="-2"/>
              </w:rPr>
              <w:t>500kg</w:t>
            </w:r>
          </w:p>
        </w:tc>
      </w:tr>
      <w:tr>
        <w:trPr>
          <w:trHeight w:val="854" w:hRule="atLeast"/>
        </w:trPr>
        <w:tc>
          <w:tcPr>
            <w:tcW w:w="415" w:type="dxa"/>
            <w:vAlign w:val="top"/>
            <w:vMerge w:val="continue"/>
            <w:tcBorders>
              <w:top w:val="nil"/>
            </w:tcBorders>
          </w:tcPr>
          <w:p>
            <w:pPr>
              <w:rPr>
                <w:rFonts w:ascii="Arial"/>
                <w:sz w:val="21"/>
              </w:rPr>
            </w:pPr>
            <w:r/>
          </w:p>
        </w:tc>
        <w:tc>
          <w:tcPr>
            <w:tcW w:w="620" w:type="dxa"/>
            <w:vAlign w:val="top"/>
          </w:tcPr>
          <w:p>
            <w:pPr>
              <w:spacing w:line="333" w:lineRule="auto"/>
              <w:rPr>
                <w:rFonts w:ascii="Arial"/>
                <w:sz w:val="21"/>
              </w:rPr>
            </w:pPr>
            <w:r/>
          </w:p>
          <w:p>
            <w:pPr>
              <w:pStyle w:val="TableText"/>
              <w:ind w:left="60"/>
              <w:spacing w:before="39" w:line="219" w:lineRule="auto"/>
              <w:rPr>
                <w:sz w:val="12"/>
                <w:szCs w:val="12"/>
              </w:rPr>
            </w:pPr>
            <w:r>
              <w:rPr>
                <w:sz w:val="12"/>
                <w:szCs w:val="12"/>
                <w:spacing w:val="-1"/>
              </w:rPr>
              <w:t>树木养护</w:t>
            </w:r>
          </w:p>
        </w:tc>
        <w:tc>
          <w:tcPr>
            <w:tcW w:w="919" w:type="dxa"/>
            <w:vAlign w:val="top"/>
          </w:tcPr>
          <w:p>
            <w:pPr>
              <w:spacing w:line="264" w:lineRule="auto"/>
              <w:rPr>
                <w:rFonts w:ascii="Arial"/>
                <w:sz w:val="21"/>
              </w:rPr>
            </w:pPr>
            <w:r/>
          </w:p>
          <w:p>
            <w:pPr>
              <w:pStyle w:val="TableText"/>
              <w:ind w:left="89" w:right="8" w:hanging="29"/>
              <w:spacing w:before="39" w:line="248" w:lineRule="auto"/>
              <w:rPr>
                <w:sz w:val="12"/>
                <w:szCs w:val="12"/>
              </w:rPr>
            </w:pPr>
            <w:r>
              <w:rPr>
                <w:sz w:val="12"/>
                <w:szCs w:val="12"/>
                <w:spacing w:val="-1"/>
              </w:rPr>
              <w:t>树木修剪创口，</w:t>
            </w:r>
            <w:r>
              <w:rPr>
                <w:sz w:val="12"/>
                <w:szCs w:val="12"/>
                <w:spacing w:val="5"/>
              </w:rPr>
              <w:t xml:space="preserve"> </w:t>
            </w:r>
            <w:r>
              <w:rPr>
                <w:sz w:val="12"/>
                <w:szCs w:val="12"/>
                <w:spacing w:val="2"/>
              </w:rPr>
              <w:t>腐烂病害伤口</w:t>
            </w:r>
          </w:p>
        </w:tc>
        <w:tc>
          <w:tcPr>
            <w:tcW w:w="2978" w:type="dxa"/>
            <w:vAlign w:val="top"/>
          </w:tcPr>
          <w:p>
            <w:pPr>
              <w:spacing w:line="333" w:lineRule="auto"/>
              <w:rPr>
                <w:rFonts w:ascii="Arial"/>
                <w:sz w:val="21"/>
              </w:rPr>
            </w:pPr>
            <w:r/>
          </w:p>
          <w:p>
            <w:pPr>
              <w:pStyle w:val="TableText"/>
              <w:ind w:left="1280"/>
              <w:spacing w:before="39" w:line="219" w:lineRule="auto"/>
              <w:rPr>
                <w:sz w:val="12"/>
                <w:szCs w:val="12"/>
              </w:rPr>
            </w:pPr>
            <w:r>
              <w:rPr>
                <w:sz w:val="12"/>
                <w:szCs w:val="12"/>
                <w:spacing w:val="2"/>
              </w:rPr>
              <w:t>日常养护</w:t>
            </w:r>
          </w:p>
        </w:tc>
        <w:tc>
          <w:tcPr>
            <w:tcW w:w="1249" w:type="dxa"/>
            <w:vAlign w:val="top"/>
          </w:tcPr>
          <w:p>
            <w:pPr>
              <w:spacing w:line="333" w:lineRule="auto"/>
              <w:rPr>
                <w:rFonts w:ascii="Arial"/>
                <w:sz w:val="21"/>
              </w:rPr>
            </w:pPr>
            <w:r/>
          </w:p>
          <w:p>
            <w:pPr>
              <w:pStyle w:val="TableText"/>
              <w:ind w:left="193"/>
              <w:spacing w:before="39" w:line="219" w:lineRule="auto"/>
              <w:rPr>
                <w:sz w:val="12"/>
                <w:szCs w:val="12"/>
              </w:rPr>
            </w:pPr>
            <w:r>
              <w:rPr>
                <w:sz w:val="12"/>
                <w:szCs w:val="12"/>
                <w:spacing w:val="1"/>
              </w:rPr>
              <w:t>国光愈伤涂膜剂</w:t>
            </w:r>
          </w:p>
        </w:tc>
        <w:tc>
          <w:tcPr>
            <w:tcW w:w="1909" w:type="dxa"/>
            <w:vAlign w:val="top"/>
          </w:tcPr>
          <w:p>
            <w:pPr>
              <w:spacing w:line="263" w:lineRule="auto"/>
              <w:rPr>
                <w:rFonts w:ascii="Arial"/>
                <w:sz w:val="21"/>
              </w:rPr>
            </w:pPr>
            <w:r/>
          </w:p>
          <w:p>
            <w:pPr>
              <w:pStyle w:val="TableText"/>
              <w:ind w:left="703" w:right="60" w:hanging="660"/>
              <w:spacing w:before="39" w:line="250"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599" w:type="dxa"/>
            <w:vAlign w:val="top"/>
          </w:tcPr>
          <w:p>
            <w:pPr>
              <w:spacing w:line="333" w:lineRule="auto"/>
              <w:rPr>
                <w:rFonts w:ascii="Arial"/>
                <w:sz w:val="21"/>
              </w:rPr>
            </w:pPr>
            <w:r/>
          </w:p>
          <w:p>
            <w:pPr>
              <w:pStyle w:val="TableText"/>
              <w:ind w:left="135"/>
              <w:spacing w:before="39" w:line="219" w:lineRule="auto"/>
              <w:rPr>
                <w:sz w:val="12"/>
                <w:szCs w:val="12"/>
              </w:rPr>
            </w:pPr>
            <w:r>
              <w:rPr>
                <w:sz w:val="12"/>
                <w:szCs w:val="12"/>
                <w:spacing w:val="-1"/>
              </w:rPr>
              <w:t>直接使用，可略加水稀释</w:t>
            </w:r>
          </w:p>
        </w:tc>
        <w:tc>
          <w:tcPr>
            <w:tcW w:w="1039" w:type="dxa"/>
            <w:vAlign w:val="top"/>
          </w:tcPr>
          <w:p>
            <w:pPr>
              <w:spacing w:line="264" w:lineRule="auto"/>
              <w:rPr>
                <w:rFonts w:ascii="Arial"/>
                <w:sz w:val="21"/>
              </w:rPr>
            </w:pPr>
            <w:r/>
          </w:p>
          <w:p>
            <w:pPr>
              <w:pStyle w:val="TableText"/>
              <w:ind w:left="36"/>
              <w:spacing w:before="39" w:line="219" w:lineRule="auto"/>
              <w:rPr>
                <w:sz w:val="12"/>
                <w:szCs w:val="12"/>
              </w:rPr>
            </w:pPr>
            <w:r>
              <w:rPr>
                <w:sz w:val="12"/>
                <w:szCs w:val="12"/>
                <w:spacing w:val="-1"/>
              </w:rPr>
              <w:t>乔木修剪后和树皮</w:t>
            </w:r>
          </w:p>
          <w:p>
            <w:pPr>
              <w:pStyle w:val="TableText"/>
              <w:ind w:left="335"/>
              <w:spacing w:before="17" w:line="220" w:lineRule="auto"/>
              <w:rPr>
                <w:sz w:val="12"/>
                <w:szCs w:val="12"/>
              </w:rPr>
            </w:pPr>
            <w:r>
              <w:rPr>
                <w:sz w:val="12"/>
                <w:szCs w:val="12"/>
                <w:spacing w:val="-1"/>
              </w:rPr>
              <w:t>破摸时</w:t>
            </w:r>
          </w:p>
        </w:tc>
        <w:tc>
          <w:tcPr>
            <w:tcW w:w="689" w:type="dxa"/>
            <w:vAlign w:val="top"/>
          </w:tcPr>
          <w:p>
            <w:pPr>
              <w:spacing w:line="329" w:lineRule="auto"/>
              <w:rPr>
                <w:rFonts w:ascii="Arial"/>
                <w:sz w:val="21"/>
              </w:rPr>
            </w:pPr>
            <w:r/>
          </w:p>
          <w:p>
            <w:pPr>
              <w:pStyle w:val="TableText"/>
              <w:ind w:left="66"/>
              <w:spacing w:before="39" w:line="214" w:lineRule="auto"/>
              <w:rPr>
                <w:sz w:val="12"/>
                <w:szCs w:val="12"/>
              </w:rPr>
            </w:pPr>
            <w:r>
              <w:rPr>
                <w:sz w:val="12"/>
                <w:szCs w:val="12"/>
                <w:spacing w:val="3"/>
              </w:rPr>
              <w:t>(500g/瓶)</w:t>
            </w:r>
          </w:p>
        </w:tc>
        <w:tc>
          <w:tcPr>
            <w:tcW w:w="2553" w:type="dxa"/>
            <w:vAlign w:val="top"/>
          </w:tcPr>
          <w:p>
            <w:pPr>
              <w:spacing w:line="333" w:lineRule="auto"/>
              <w:rPr>
                <w:rFonts w:ascii="Arial"/>
                <w:sz w:val="21"/>
              </w:rPr>
            </w:pPr>
            <w:r/>
          </w:p>
          <w:p>
            <w:pPr>
              <w:pStyle w:val="TableText"/>
              <w:ind w:left="17"/>
              <w:spacing w:before="39" w:line="219" w:lineRule="auto"/>
              <w:rPr>
                <w:sz w:val="12"/>
                <w:szCs w:val="12"/>
              </w:rPr>
            </w:pPr>
            <w:r>
              <w:rPr>
                <w:sz w:val="12"/>
                <w:szCs w:val="12"/>
                <w:spacing w:val="-1"/>
              </w:rPr>
              <w:t>促进伤口快速愈合，杀菌防腐</w:t>
            </w:r>
          </w:p>
        </w:tc>
      </w:tr>
    </w:tbl>
    <w:p>
      <w:pPr>
        <w:rPr>
          <w:rFonts w:ascii="Arial"/>
          <w:sz w:val="21"/>
        </w:rPr>
      </w:pPr>
      <w:r/>
    </w:p>
    <w:p>
      <w:pPr>
        <w:sectPr>
          <w:pgSz w:w="14490" w:h="10240"/>
          <w:pgMar w:top="125" w:right="364" w:bottom="400" w:left="144" w:header="0" w:footer="0" w:gutter="0"/>
        </w:sectPr>
        <w:rPr>
          <w:rFonts w:ascii="Arial" w:hAnsi="Arial" w:eastAsia="Arial" w:cs="Arial"/>
          <w:sz w:val="21"/>
          <w:szCs w:val="21"/>
        </w:rPr>
      </w:pPr>
    </w:p>
    <w:tbl>
      <w:tblPr>
        <w:tblStyle w:val="TableNormal"/>
        <w:tblW w:w="140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80"/>
        <w:gridCol w:w="959"/>
        <w:gridCol w:w="2698"/>
        <w:gridCol w:w="1269"/>
        <w:gridCol w:w="1949"/>
        <w:gridCol w:w="1639"/>
        <w:gridCol w:w="1069"/>
        <w:gridCol w:w="879"/>
        <w:gridCol w:w="2613"/>
      </w:tblGrid>
      <w:tr>
        <w:trPr>
          <w:trHeight w:val="629" w:hRule="atLeast"/>
        </w:trPr>
        <w:tc>
          <w:tcPr>
            <w:tcW w:w="14080" w:type="dxa"/>
            <w:vAlign w:val="top"/>
            <w:gridSpan w:val="10"/>
            <w:tcBorders>
              <w:bottom w:val="single" w:color="000000" w:sz="2" w:space="0"/>
              <w:top w:val="single" w:color="000000" w:sz="2" w:space="0"/>
            </w:tcBorders>
          </w:tcPr>
          <w:p>
            <w:pPr>
              <w:pStyle w:val="TableText"/>
              <w:ind w:left="6116"/>
              <w:spacing w:before="152" w:line="218" w:lineRule="auto"/>
              <w:rPr>
                <w:sz w:val="12"/>
                <w:szCs w:val="12"/>
              </w:rPr>
            </w:pPr>
            <w:r>
              <w:rPr>
                <w:sz w:val="12"/>
                <w:szCs w:val="12"/>
                <w:b/>
                <w:bCs/>
                <w:spacing w:val="-8"/>
              </w:rPr>
              <w:t>山</w:t>
            </w:r>
            <w:r>
              <w:rPr>
                <w:sz w:val="12"/>
                <w:szCs w:val="12"/>
                <w:spacing w:val="-14"/>
              </w:rPr>
              <w:t xml:space="preserve"> </w:t>
            </w:r>
            <w:r>
              <w:rPr>
                <w:sz w:val="12"/>
                <w:szCs w:val="12"/>
                <w:b/>
                <w:bCs/>
                <w:spacing w:val="-8"/>
              </w:rPr>
              <w:t>西</w:t>
            </w:r>
            <w:r>
              <w:rPr>
                <w:sz w:val="12"/>
                <w:szCs w:val="12"/>
                <w:spacing w:val="-17"/>
              </w:rPr>
              <w:t xml:space="preserve"> </w:t>
            </w:r>
            <w:r>
              <w:rPr>
                <w:sz w:val="12"/>
                <w:szCs w:val="12"/>
                <w:b/>
                <w:bCs/>
                <w:spacing w:val="-8"/>
              </w:rPr>
              <w:t>地</w:t>
            </w:r>
            <w:r>
              <w:rPr>
                <w:sz w:val="12"/>
                <w:szCs w:val="12"/>
                <w:spacing w:val="-8"/>
              </w:rPr>
              <w:t xml:space="preserve"> </w:t>
            </w:r>
            <w:r>
              <w:rPr>
                <w:sz w:val="12"/>
                <w:szCs w:val="12"/>
                <w:b/>
                <w:bCs/>
                <w:spacing w:val="-8"/>
              </w:rPr>
              <w:t>区</w:t>
            </w:r>
            <w:r>
              <w:rPr>
                <w:sz w:val="12"/>
                <w:szCs w:val="12"/>
                <w:spacing w:val="-17"/>
              </w:rPr>
              <w:t xml:space="preserve"> </w:t>
            </w:r>
            <w:r>
              <w:rPr>
                <w:sz w:val="12"/>
                <w:szCs w:val="12"/>
                <w:b/>
                <w:bCs/>
                <w:spacing w:val="-8"/>
              </w:rPr>
              <w:t>农</w:t>
            </w:r>
            <w:r>
              <w:rPr>
                <w:sz w:val="12"/>
                <w:szCs w:val="12"/>
                <w:spacing w:val="-16"/>
              </w:rPr>
              <w:t xml:space="preserve"> </w:t>
            </w:r>
            <w:r>
              <w:rPr>
                <w:sz w:val="12"/>
                <w:szCs w:val="12"/>
                <w:b/>
                <w:bCs/>
                <w:spacing w:val="-8"/>
              </w:rPr>
              <w:t>药</w:t>
            </w:r>
            <w:r>
              <w:rPr>
                <w:sz w:val="12"/>
                <w:szCs w:val="12"/>
                <w:spacing w:val="-17"/>
              </w:rPr>
              <w:t xml:space="preserve"> </w:t>
            </w:r>
            <w:r>
              <w:rPr>
                <w:sz w:val="12"/>
                <w:szCs w:val="12"/>
                <w:b/>
                <w:bCs/>
                <w:spacing w:val="-8"/>
              </w:rPr>
              <w:t>化</w:t>
            </w:r>
            <w:r>
              <w:rPr>
                <w:sz w:val="12"/>
                <w:szCs w:val="12"/>
                <w:spacing w:val="-17"/>
              </w:rPr>
              <w:t xml:space="preserve"> </w:t>
            </w:r>
            <w:r>
              <w:rPr>
                <w:sz w:val="12"/>
                <w:szCs w:val="12"/>
                <w:b/>
                <w:bCs/>
                <w:spacing w:val="-8"/>
              </w:rPr>
              <w:t>肥</w:t>
            </w:r>
            <w:r>
              <w:rPr>
                <w:sz w:val="12"/>
                <w:szCs w:val="12"/>
                <w:spacing w:val="-16"/>
              </w:rPr>
              <w:t xml:space="preserve"> </w:t>
            </w:r>
            <w:r>
              <w:rPr>
                <w:sz w:val="12"/>
                <w:szCs w:val="12"/>
                <w:b/>
                <w:bCs/>
                <w:spacing w:val="-8"/>
              </w:rPr>
              <w:t>使</w:t>
            </w:r>
            <w:r>
              <w:rPr>
                <w:sz w:val="12"/>
                <w:szCs w:val="12"/>
                <w:spacing w:val="-17"/>
              </w:rPr>
              <w:t xml:space="preserve"> </w:t>
            </w:r>
            <w:r>
              <w:rPr>
                <w:sz w:val="12"/>
                <w:szCs w:val="12"/>
                <w:b/>
                <w:bCs/>
                <w:spacing w:val="-8"/>
              </w:rPr>
              <w:t>用</w:t>
            </w:r>
            <w:r>
              <w:rPr>
                <w:sz w:val="12"/>
                <w:szCs w:val="12"/>
                <w:spacing w:val="-15"/>
              </w:rPr>
              <w:t xml:space="preserve"> </w:t>
            </w:r>
            <w:r>
              <w:rPr>
                <w:sz w:val="12"/>
                <w:szCs w:val="12"/>
                <w:b/>
                <w:bCs/>
                <w:spacing w:val="-8"/>
              </w:rPr>
              <w:t>指</w:t>
            </w:r>
            <w:r>
              <w:rPr>
                <w:sz w:val="12"/>
                <w:szCs w:val="12"/>
                <w:spacing w:val="-14"/>
              </w:rPr>
              <w:t xml:space="preserve"> </w:t>
            </w:r>
            <w:r>
              <w:rPr>
                <w:sz w:val="12"/>
                <w:szCs w:val="12"/>
                <w:b/>
                <w:bCs/>
                <w:spacing w:val="-8"/>
              </w:rPr>
              <w:t>导</w:t>
            </w:r>
          </w:p>
          <w:p>
            <w:pPr>
              <w:pStyle w:val="TableText"/>
              <w:ind w:left="4754"/>
              <w:spacing w:before="67" w:line="218" w:lineRule="auto"/>
              <w:rPr>
                <w:sz w:val="12"/>
                <w:szCs w:val="12"/>
              </w:rPr>
            </w:pPr>
            <w:r>
              <w:rPr>
                <w:sz w:val="12"/>
                <w:szCs w:val="12"/>
                <w:spacing w:val="-2"/>
              </w:rPr>
              <w:t>(</w:t>
            </w:r>
            <w:r>
              <w:rPr>
                <w:sz w:val="12"/>
                <w:szCs w:val="12"/>
                <w:spacing w:val="-33"/>
              </w:rPr>
              <w:t xml:space="preserve"> </w:t>
            </w:r>
            <w:r>
              <w:rPr>
                <w:sz w:val="12"/>
                <w:szCs w:val="12"/>
                <w:b/>
                <w:bCs/>
                <w:spacing w:val="-2"/>
              </w:rPr>
              <w:t>本表中药品供参考，如有同类且成分相同、价格合理、低毒高效的药品，可选择使用</w:t>
            </w:r>
            <w:r>
              <w:rPr>
                <w:sz w:val="12"/>
                <w:szCs w:val="12"/>
                <w:spacing w:val="-2"/>
              </w:rPr>
              <w:t>)</w:t>
            </w:r>
          </w:p>
        </w:tc>
      </w:tr>
      <w:tr>
        <w:trPr>
          <w:trHeight w:val="584" w:hRule="atLeast"/>
        </w:trPr>
        <w:tc>
          <w:tcPr>
            <w:tcW w:w="425" w:type="dxa"/>
            <w:vAlign w:val="top"/>
            <w:tcBorders>
              <w:bottom w:val="single" w:color="000000" w:sz="2" w:space="0"/>
              <w:top w:val="single" w:color="000000" w:sz="2" w:space="0"/>
            </w:tcBorders>
          </w:tcPr>
          <w:p>
            <w:pPr>
              <w:pStyle w:val="TableText"/>
              <w:ind w:left="76"/>
              <w:spacing w:before="228" w:line="219" w:lineRule="auto"/>
              <w:rPr>
                <w:sz w:val="12"/>
                <w:szCs w:val="12"/>
              </w:rPr>
            </w:pPr>
            <w:r>
              <w:rPr>
                <w:sz w:val="12"/>
                <w:szCs w:val="12"/>
                <w:b/>
                <w:bCs/>
                <w:spacing w:val="-3"/>
              </w:rPr>
              <w:t>分类</w:t>
            </w:r>
          </w:p>
        </w:tc>
        <w:tc>
          <w:tcPr>
            <w:tcW w:w="580" w:type="dxa"/>
            <w:vAlign w:val="top"/>
            <w:tcBorders>
              <w:bottom w:val="single" w:color="000000" w:sz="2" w:space="0"/>
              <w:top w:val="single" w:color="000000" w:sz="2" w:space="0"/>
            </w:tcBorders>
          </w:tcPr>
          <w:p>
            <w:pPr>
              <w:pStyle w:val="TableText"/>
              <w:ind w:left="41"/>
              <w:spacing w:before="88" w:line="219" w:lineRule="auto"/>
              <w:rPr>
                <w:sz w:val="12"/>
                <w:szCs w:val="12"/>
              </w:rPr>
            </w:pPr>
            <w:r>
              <w:rPr>
                <w:sz w:val="12"/>
                <w:szCs w:val="12"/>
                <w:b/>
                <w:bCs/>
                <w:spacing w:val="-3"/>
              </w:rPr>
              <w:t>消杀预防</w:t>
            </w:r>
          </w:p>
          <w:p>
            <w:pPr>
              <w:pStyle w:val="TableText"/>
              <w:ind w:left="41"/>
              <w:spacing w:before="18" w:line="214" w:lineRule="auto"/>
              <w:rPr>
                <w:sz w:val="12"/>
                <w:szCs w:val="12"/>
              </w:rPr>
            </w:pPr>
            <w:r>
              <w:rPr>
                <w:sz w:val="12"/>
                <w:szCs w:val="12"/>
                <w:b/>
                <w:bCs/>
                <w:spacing w:val="-3"/>
              </w:rPr>
              <w:t>及病虫害</w:t>
            </w:r>
          </w:p>
          <w:p>
            <w:pPr>
              <w:pStyle w:val="TableText"/>
              <w:ind w:left="161"/>
              <w:spacing w:line="219" w:lineRule="auto"/>
              <w:rPr>
                <w:sz w:val="12"/>
                <w:szCs w:val="12"/>
              </w:rPr>
            </w:pPr>
            <w:r>
              <w:rPr>
                <w:sz w:val="12"/>
                <w:szCs w:val="12"/>
                <w:b/>
                <w:bCs/>
                <w:spacing w:val="-3"/>
              </w:rPr>
              <w:t>分类</w:t>
            </w:r>
          </w:p>
        </w:tc>
        <w:tc>
          <w:tcPr>
            <w:tcW w:w="959" w:type="dxa"/>
            <w:vAlign w:val="top"/>
            <w:tcBorders>
              <w:bottom w:val="single" w:color="000000" w:sz="2" w:space="0"/>
              <w:top w:val="single" w:color="000000" w:sz="2" w:space="0"/>
            </w:tcBorders>
          </w:tcPr>
          <w:p>
            <w:pPr>
              <w:pStyle w:val="TableText"/>
              <w:ind w:left="171"/>
              <w:spacing w:before="228" w:line="219" w:lineRule="auto"/>
              <w:rPr>
                <w:sz w:val="12"/>
                <w:szCs w:val="12"/>
              </w:rPr>
            </w:pPr>
            <w:r>
              <w:rPr>
                <w:sz w:val="12"/>
                <w:szCs w:val="12"/>
                <w:b/>
                <w:bCs/>
                <w:spacing w:val="-3"/>
              </w:rPr>
              <w:t>常见病虫害</w:t>
            </w:r>
          </w:p>
        </w:tc>
        <w:tc>
          <w:tcPr>
            <w:tcW w:w="2698" w:type="dxa"/>
            <w:vAlign w:val="top"/>
            <w:tcBorders>
              <w:bottom w:val="single" w:color="000000" w:sz="2" w:space="0"/>
              <w:top w:val="single" w:color="000000" w:sz="2" w:space="0"/>
            </w:tcBorders>
          </w:tcPr>
          <w:p>
            <w:pPr>
              <w:pStyle w:val="TableText"/>
              <w:ind w:left="1002"/>
              <w:spacing w:before="228" w:line="219" w:lineRule="auto"/>
              <w:rPr>
                <w:sz w:val="12"/>
                <w:szCs w:val="12"/>
              </w:rPr>
            </w:pPr>
            <w:r>
              <w:rPr>
                <w:sz w:val="12"/>
                <w:szCs w:val="12"/>
                <w:b/>
                <w:bCs/>
                <w:spacing w:val="-3"/>
              </w:rPr>
              <w:t>主要发病月份</w:t>
            </w:r>
          </w:p>
        </w:tc>
        <w:tc>
          <w:tcPr>
            <w:tcW w:w="1269" w:type="dxa"/>
            <w:vAlign w:val="top"/>
            <w:tcBorders>
              <w:bottom w:val="single" w:color="000000" w:sz="2" w:space="0"/>
              <w:top w:val="single" w:color="000000" w:sz="2" w:space="0"/>
            </w:tcBorders>
          </w:tcPr>
          <w:p>
            <w:pPr>
              <w:pStyle w:val="TableText"/>
              <w:ind w:left="384"/>
              <w:spacing w:before="228" w:line="220" w:lineRule="auto"/>
              <w:rPr>
                <w:sz w:val="12"/>
                <w:szCs w:val="12"/>
              </w:rPr>
            </w:pPr>
            <w:r>
              <w:rPr>
                <w:sz w:val="12"/>
                <w:szCs w:val="12"/>
                <w:b/>
                <w:bCs/>
                <w:spacing w:val="-3"/>
              </w:rPr>
              <w:t>药品名称</w:t>
            </w:r>
          </w:p>
        </w:tc>
        <w:tc>
          <w:tcPr>
            <w:tcW w:w="1949" w:type="dxa"/>
            <w:vAlign w:val="top"/>
            <w:tcBorders>
              <w:bottom w:val="single" w:color="000000" w:sz="2" w:space="0"/>
              <w:top w:val="single" w:color="000000" w:sz="2" w:space="0"/>
            </w:tcBorders>
          </w:tcPr>
          <w:p>
            <w:pPr>
              <w:pStyle w:val="TableText"/>
              <w:ind w:left="725"/>
              <w:spacing w:before="228" w:line="220" w:lineRule="auto"/>
              <w:rPr>
                <w:sz w:val="12"/>
                <w:szCs w:val="12"/>
              </w:rPr>
            </w:pPr>
            <w:r>
              <w:rPr>
                <w:sz w:val="12"/>
                <w:szCs w:val="12"/>
                <w:b/>
                <w:bCs/>
                <w:spacing w:val="-3"/>
              </w:rPr>
              <w:t>主要成分</w:t>
            </w:r>
          </w:p>
        </w:tc>
        <w:tc>
          <w:tcPr>
            <w:tcW w:w="1639" w:type="dxa"/>
            <w:vAlign w:val="top"/>
            <w:tcBorders>
              <w:bottom w:val="single" w:color="000000" w:sz="2" w:space="0"/>
              <w:top w:val="single" w:color="000000" w:sz="2" w:space="0"/>
            </w:tcBorders>
          </w:tcPr>
          <w:p>
            <w:pPr>
              <w:pStyle w:val="TableText"/>
              <w:ind w:left="576"/>
              <w:spacing w:before="228" w:line="219" w:lineRule="auto"/>
              <w:rPr>
                <w:sz w:val="12"/>
                <w:szCs w:val="12"/>
              </w:rPr>
            </w:pPr>
            <w:r>
              <w:rPr>
                <w:sz w:val="12"/>
                <w:szCs w:val="12"/>
                <w:b/>
                <w:bCs/>
                <w:spacing w:val="-3"/>
              </w:rPr>
              <w:t>使用倍率</w:t>
            </w:r>
          </w:p>
        </w:tc>
        <w:tc>
          <w:tcPr>
            <w:tcW w:w="1069" w:type="dxa"/>
            <w:vAlign w:val="top"/>
            <w:tcBorders>
              <w:bottom w:val="single" w:color="000000" w:sz="2" w:space="0"/>
              <w:top w:val="single" w:color="000000" w:sz="2" w:space="0"/>
            </w:tcBorders>
          </w:tcPr>
          <w:p>
            <w:pPr>
              <w:pStyle w:val="TableText"/>
              <w:ind w:left="287"/>
              <w:spacing w:before="228" w:line="219" w:lineRule="auto"/>
              <w:rPr>
                <w:sz w:val="12"/>
                <w:szCs w:val="12"/>
              </w:rPr>
            </w:pPr>
            <w:r>
              <w:rPr>
                <w:sz w:val="12"/>
                <w:szCs w:val="12"/>
                <w:b/>
                <w:bCs/>
                <w:spacing w:val="-3"/>
              </w:rPr>
              <w:t>施用次数</w:t>
            </w:r>
          </w:p>
        </w:tc>
        <w:tc>
          <w:tcPr>
            <w:tcW w:w="879" w:type="dxa"/>
            <w:vAlign w:val="top"/>
            <w:tcBorders>
              <w:bottom w:val="single" w:color="000000" w:sz="2" w:space="0"/>
              <w:top w:val="single" w:color="000000" w:sz="2" w:space="0"/>
            </w:tcBorders>
          </w:tcPr>
          <w:p>
            <w:pPr>
              <w:pStyle w:val="TableText"/>
              <w:ind w:left="318"/>
              <w:spacing w:before="228" w:line="219" w:lineRule="auto"/>
              <w:rPr>
                <w:sz w:val="12"/>
                <w:szCs w:val="12"/>
              </w:rPr>
            </w:pPr>
            <w:r>
              <w:rPr>
                <w:sz w:val="12"/>
                <w:szCs w:val="12"/>
                <w:b/>
                <w:bCs/>
                <w:spacing w:val="-3"/>
              </w:rPr>
              <w:t>规格</w:t>
            </w:r>
          </w:p>
        </w:tc>
        <w:tc>
          <w:tcPr>
            <w:tcW w:w="2613" w:type="dxa"/>
            <w:vAlign w:val="top"/>
            <w:tcBorders>
              <w:bottom w:val="single" w:color="000000" w:sz="2" w:space="0"/>
              <w:top w:val="single" w:color="000000" w:sz="2" w:space="0"/>
            </w:tcBorders>
          </w:tcPr>
          <w:p>
            <w:pPr>
              <w:pStyle w:val="TableText"/>
              <w:ind w:left="1199"/>
              <w:spacing w:before="228" w:line="221" w:lineRule="auto"/>
              <w:rPr>
                <w:sz w:val="12"/>
                <w:szCs w:val="12"/>
              </w:rPr>
            </w:pPr>
            <w:r>
              <w:rPr>
                <w:sz w:val="12"/>
                <w:szCs w:val="12"/>
                <w:b/>
                <w:bCs/>
                <w:spacing w:val="-3"/>
              </w:rPr>
              <w:t>备注</w:t>
            </w:r>
          </w:p>
        </w:tc>
      </w:tr>
      <w:tr>
        <w:trPr>
          <w:trHeight w:val="474" w:hRule="atLeast"/>
        </w:trPr>
        <w:tc>
          <w:tcPr>
            <w:tcW w:w="425"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34"/>
              <w:spacing w:before="39" w:line="218" w:lineRule="auto"/>
              <w:rPr>
                <w:sz w:val="12"/>
                <w:szCs w:val="12"/>
              </w:rPr>
            </w:pPr>
            <w:r>
              <w:rPr>
                <w:sz w:val="12"/>
                <w:szCs w:val="12"/>
                <w:spacing w:val="-2"/>
              </w:rPr>
              <w:t>杀菌剂</w:t>
            </w:r>
          </w:p>
        </w:tc>
        <w:tc>
          <w:tcPr>
            <w:tcW w:w="580" w:type="dxa"/>
            <w:vAlign w:val="top"/>
            <w:vMerge w:val="restart"/>
            <w:tcBorders>
              <w:bottom w:val="nil"/>
              <w:top w:val="single" w:color="000000" w:sz="2" w:space="0"/>
            </w:tcBorders>
          </w:tcPr>
          <w:p>
            <w:pPr>
              <w:spacing w:line="378" w:lineRule="auto"/>
              <w:rPr>
                <w:rFonts w:ascii="Arial"/>
                <w:sz w:val="21"/>
              </w:rPr>
            </w:pPr>
            <w:r/>
          </w:p>
          <w:p>
            <w:pPr>
              <w:pStyle w:val="TableText"/>
              <w:ind w:left="40"/>
              <w:spacing w:before="39" w:line="219" w:lineRule="auto"/>
              <w:rPr>
                <w:sz w:val="12"/>
                <w:szCs w:val="12"/>
              </w:rPr>
            </w:pPr>
            <w:r>
              <w:rPr>
                <w:sz w:val="12"/>
                <w:szCs w:val="12"/>
                <w:spacing w:val="-2"/>
              </w:rPr>
              <w:t>消杀预防</w:t>
            </w:r>
          </w:p>
        </w:tc>
        <w:tc>
          <w:tcPr>
            <w:tcW w:w="959" w:type="dxa"/>
            <w:vAlign w:val="top"/>
            <w:vMerge w:val="restart"/>
            <w:tcBorders>
              <w:bottom w:val="nil"/>
              <w:top w:val="single" w:color="000000" w:sz="2" w:space="0"/>
            </w:tcBorders>
          </w:tcPr>
          <w:p>
            <w:pPr>
              <w:spacing w:line="299" w:lineRule="auto"/>
              <w:rPr>
                <w:rFonts w:ascii="Arial"/>
                <w:sz w:val="21"/>
              </w:rPr>
            </w:pPr>
            <w:r/>
          </w:p>
          <w:p>
            <w:pPr>
              <w:pStyle w:val="TableText"/>
              <w:ind w:left="50"/>
              <w:spacing w:before="39" w:line="219" w:lineRule="auto"/>
              <w:rPr>
                <w:sz w:val="12"/>
                <w:szCs w:val="12"/>
              </w:rPr>
            </w:pPr>
            <w:r>
              <w:rPr>
                <w:sz w:val="12"/>
                <w:szCs w:val="12"/>
                <w:spacing w:val="-1"/>
              </w:rPr>
              <w:t>各种菌类、病菌</w:t>
            </w:r>
          </w:p>
          <w:p>
            <w:pPr>
              <w:pStyle w:val="TableText"/>
              <w:ind w:left="170"/>
              <w:spacing w:before="17" w:line="219" w:lineRule="auto"/>
              <w:rPr>
                <w:sz w:val="12"/>
                <w:szCs w:val="12"/>
              </w:rPr>
            </w:pPr>
            <w:r>
              <w:rPr>
                <w:sz w:val="12"/>
                <w:szCs w:val="12"/>
              </w:rPr>
              <w:t>、越条虫卵</w:t>
            </w:r>
          </w:p>
        </w:tc>
        <w:tc>
          <w:tcPr>
            <w:tcW w:w="2698" w:type="dxa"/>
            <w:vAlign w:val="top"/>
            <w:vMerge w:val="restart"/>
            <w:tcBorders>
              <w:bottom w:val="nil"/>
              <w:top w:val="single" w:color="000000" w:sz="2" w:space="0"/>
            </w:tcBorders>
          </w:tcPr>
          <w:p>
            <w:pPr>
              <w:spacing w:line="308" w:lineRule="auto"/>
              <w:rPr>
                <w:rFonts w:ascii="Arial"/>
                <w:sz w:val="21"/>
              </w:rPr>
            </w:pPr>
            <w:r/>
          </w:p>
          <w:p>
            <w:pPr>
              <w:pStyle w:val="TableText"/>
              <w:ind w:left="11" w:right="44"/>
              <w:spacing w:before="39" w:line="218" w:lineRule="auto"/>
              <w:rPr>
                <w:sz w:val="12"/>
                <w:szCs w:val="12"/>
              </w:rPr>
            </w:pPr>
            <w:r>
              <w:rPr>
                <w:sz w:val="12"/>
                <w:szCs w:val="12"/>
                <w:spacing w:val="-1"/>
              </w:rPr>
              <w:t>3月中句苗木返青前对全园区的病菌、虫卵消杀1-2</w:t>
            </w:r>
            <w:r>
              <w:rPr>
                <w:sz w:val="12"/>
                <w:szCs w:val="12"/>
                <w:spacing w:val="15"/>
                <w:w w:val="101"/>
              </w:rPr>
              <w:t xml:space="preserve"> </w:t>
            </w:r>
            <w:r>
              <w:rPr>
                <w:sz w:val="12"/>
                <w:szCs w:val="12"/>
                <w:spacing w:val="-1"/>
              </w:rPr>
              <w:t>次。</w:t>
            </w:r>
          </w:p>
        </w:tc>
        <w:tc>
          <w:tcPr>
            <w:tcW w:w="1269" w:type="dxa"/>
            <w:vAlign w:val="top"/>
            <w:tcBorders>
              <w:bottom w:val="single" w:color="000000" w:sz="2" w:space="0"/>
              <w:top w:val="single" w:color="000000" w:sz="2" w:space="0"/>
            </w:tcBorders>
          </w:tcPr>
          <w:p>
            <w:pPr>
              <w:pStyle w:val="TableText"/>
              <w:ind w:left="383"/>
              <w:spacing w:before="180" w:line="219" w:lineRule="auto"/>
              <w:rPr>
                <w:sz w:val="12"/>
                <w:szCs w:val="12"/>
              </w:rPr>
            </w:pPr>
            <w:r>
              <w:rPr>
                <w:sz w:val="12"/>
                <w:szCs w:val="12"/>
                <w:spacing w:val="-1"/>
              </w:rPr>
              <w:t>渡尔多波</w:t>
            </w:r>
          </w:p>
        </w:tc>
        <w:tc>
          <w:tcPr>
            <w:tcW w:w="1949" w:type="dxa"/>
            <w:vAlign w:val="top"/>
            <w:tcBorders>
              <w:bottom w:val="single" w:color="000000" w:sz="2" w:space="0"/>
              <w:top w:val="single" w:color="000000" w:sz="2" w:space="0"/>
            </w:tcBorders>
          </w:tcPr>
          <w:p>
            <w:pPr>
              <w:pStyle w:val="TableText"/>
              <w:ind w:left="664"/>
              <w:spacing w:before="180" w:line="221" w:lineRule="auto"/>
              <w:rPr>
                <w:sz w:val="12"/>
                <w:szCs w:val="12"/>
              </w:rPr>
            </w:pPr>
            <w:r>
              <w:rPr>
                <w:sz w:val="12"/>
                <w:szCs w:val="12"/>
                <w:spacing w:val="-1"/>
              </w:rPr>
              <w:t>碱式硫酸铜</w:t>
            </w:r>
          </w:p>
        </w:tc>
        <w:tc>
          <w:tcPr>
            <w:tcW w:w="1639" w:type="dxa"/>
            <w:vAlign w:val="top"/>
            <w:tcBorders>
              <w:bottom w:val="single" w:color="000000" w:sz="2" w:space="0"/>
              <w:top w:val="single" w:color="000000" w:sz="2" w:space="0"/>
            </w:tcBorders>
          </w:tcPr>
          <w:p>
            <w:pPr>
              <w:pStyle w:val="TableText"/>
              <w:ind w:left="544"/>
              <w:spacing w:before="180" w:line="220" w:lineRule="auto"/>
              <w:rPr>
                <w:sz w:val="12"/>
                <w:szCs w:val="12"/>
              </w:rPr>
            </w:pPr>
            <w:r>
              <w:rPr>
                <w:sz w:val="12"/>
                <w:szCs w:val="12"/>
                <w:spacing w:val="-2"/>
              </w:rPr>
              <w:t>160-240倍</w:t>
            </w:r>
          </w:p>
        </w:tc>
        <w:tc>
          <w:tcPr>
            <w:tcW w:w="1069" w:type="dxa"/>
            <w:vAlign w:val="top"/>
            <w:vMerge w:val="restart"/>
            <w:tcBorders>
              <w:bottom w:val="nil"/>
              <w:top w:val="single" w:color="000000" w:sz="2" w:space="0"/>
            </w:tcBorders>
          </w:tcPr>
          <w:p>
            <w:pPr>
              <w:spacing w:line="381" w:lineRule="auto"/>
              <w:rPr>
                <w:rFonts w:ascii="Arial"/>
                <w:sz w:val="21"/>
              </w:rPr>
            </w:pPr>
            <w:r/>
          </w:p>
          <w:p>
            <w:pPr>
              <w:pStyle w:val="TableText"/>
              <w:ind w:left="495"/>
              <w:spacing w:before="39" w:line="224" w:lineRule="auto"/>
              <w:rPr>
                <w:sz w:val="12"/>
                <w:szCs w:val="12"/>
              </w:rPr>
            </w:pPr>
            <w:r>
              <w:rPr>
                <w:sz w:val="12"/>
                <w:szCs w:val="12"/>
              </w:rPr>
              <w:t>/</w:t>
            </w:r>
          </w:p>
        </w:tc>
        <w:tc>
          <w:tcPr>
            <w:tcW w:w="879" w:type="dxa"/>
            <w:vAlign w:val="top"/>
            <w:tcBorders>
              <w:bottom w:val="single" w:color="000000" w:sz="2" w:space="0"/>
              <w:top w:val="single" w:color="000000" w:sz="2" w:space="0"/>
            </w:tcBorders>
          </w:tcPr>
          <w:p>
            <w:pPr>
              <w:pStyle w:val="TableText"/>
              <w:ind w:left="226"/>
              <w:spacing w:before="176" w:line="213" w:lineRule="auto"/>
              <w:rPr>
                <w:sz w:val="12"/>
                <w:szCs w:val="12"/>
              </w:rPr>
            </w:pPr>
            <w:r>
              <w:rPr>
                <w:sz w:val="12"/>
                <w:szCs w:val="12"/>
                <w:spacing w:val="-1"/>
              </w:rPr>
              <w:t>200g/袋</w:t>
            </w:r>
          </w:p>
        </w:tc>
        <w:tc>
          <w:tcPr>
            <w:tcW w:w="2613" w:type="dxa"/>
            <w:vAlign w:val="top"/>
            <w:tcBorders>
              <w:bottom w:val="single" w:color="000000" w:sz="2" w:space="0"/>
              <w:top w:val="single" w:color="000000" w:sz="2" w:space="0"/>
            </w:tcBorders>
          </w:tcPr>
          <w:p>
            <w:pPr>
              <w:pStyle w:val="TableText"/>
              <w:ind w:left="16" w:right="65" w:hanging="9"/>
              <w:spacing w:before="109" w:line="232" w:lineRule="auto"/>
              <w:rPr>
                <w:sz w:val="12"/>
                <w:szCs w:val="12"/>
              </w:rPr>
            </w:pPr>
            <w:r>
              <w:rPr>
                <w:sz w:val="12"/>
                <w:szCs w:val="12"/>
              </w:rPr>
              <w:t>防治落叶病、炭痘病、炭疽病、霜霉病。不能与</w:t>
            </w:r>
            <w:r>
              <w:rPr>
                <w:sz w:val="12"/>
                <w:szCs w:val="12"/>
                <w:spacing w:val="8"/>
              </w:rPr>
              <w:t xml:space="preserve"> </w:t>
            </w:r>
            <w:r>
              <w:rPr>
                <w:sz w:val="12"/>
                <w:szCs w:val="12"/>
                <w:spacing w:val="-1"/>
              </w:rPr>
              <w:t>石硫合剂等碱性农药混用</w:t>
            </w:r>
          </w:p>
        </w:tc>
      </w:tr>
      <w:tr>
        <w:trPr>
          <w:trHeight w:val="47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698" w:type="dxa"/>
            <w:vAlign w:val="top"/>
            <w:vMerge w:val="continue"/>
            <w:tcBorders>
              <w:bottom w:val="single" w:color="000000" w:sz="2" w:space="0"/>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263"/>
              <w:spacing w:before="180" w:line="218" w:lineRule="auto"/>
              <w:rPr>
                <w:sz w:val="12"/>
                <w:szCs w:val="12"/>
              </w:rPr>
            </w:pPr>
            <w:r>
              <w:rPr>
                <w:sz w:val="12"/>
                <w:szCs w:val="12"/>
                <w:spacing w:val="1"/>
              </w:rPr>
              <w:t>晶体石硫合剂</w:t>
            </w:r>
          </w:p>
        </w:tc>
        <w:tc>
          <w:tcPr>
            <w:tcW w:w="1949" w:type="dxa"/>
            <w:vAlign w:val="top"/>
            <w:tcBorders>
              <w:bottom w:val="single" w:color="000000" w:sz="2" w:space="0"/>
              <w:top w:val="single" w:color="000000" w:sz="2" w:space="0"/>
            </w:tcBorders>
          </w:tcPr>
          <w:p>
            <w:pPr>
              <w:pStyle w:val="TableText"/>
              <w:ind w:left="724"/>
              <w:spacing w:before="181" w:line="221" w:lineRule="auto"/>
              <w:rPr>
                <w:sz w:val="12"/>
                <w:szCs w:val="12"/>
              </w:rPr>
            </w:pPr>
            <w:r>
              <w:rPr>
                <w:sz w:val="12"/>
                <w:szCs w:val="12"/>
                <w:spacing w:val="-2"/>
              </w:rPr>
              <w:t>多硫化钙</w:t>
            </w:r>
          </w:p>
        </w:tc>
        <w:tc>
          <w:tcPr>
            <w:tcW w:w="1639" w:type="dxa"/>
            <w:vAlign w:val="top"/>
            <w:tcBorders>
              <w:bottom w:val="single" w:color="000000" w:sz="2" w:space="0"/>
              <w:top w:val="single" w:color="000000" w:sz="2" w:space="0"/>
            </w:tcBorders>
          </w:tcPr>
          <w:p>
            <w:pPr>
              <w:pStyle w:val="TableText"/>
              <w:ind w:left="475"/>
              <w:spacing w:before="180" w:line="220" w:lineRule="auto"/>
              <w:rPr>
                <w:sz w:val="12"/>
                <w:szCs w:val="12"/>
              </w:rPr>
            </w:pPr>
            <w:r>
              <w:rPr>
                <w:sz w:val="12"/>
                <w:szCs w:val="12"/>
                <w:spacing w:val="5"/>
              </w:rPr>
              <w:t>800</w:t>
            </w:r>
            <w:r>
              <w:rPr>
                <w:sz w:val="12"/>
                <w:szCs w:val="12"/>
                <w:spacing w:val="-43"/>
              </w:rPr>
              <w:t xml:space="preserve"> </w:t>
            </w:r>
            <w:r>
              <w:rPr>
                <w:sz w:val="12"/>
                <w:szCs w:val="12"/>
                <w:spacing w:val="5"/>
              </w:rPr>
              <w:t>—</w:t>
            </w:r>
            <w:r>
              <w:rPr>
                <w:sz w:val="12"/>
                <w:szCs w:val="12"/>
                <w:spacing w:val="-34"/>
              </w:rPr>
              <w:t xml:space="preserve"> </w:t>
            </w:r>
            <w:r>
              <w:rPr>
                <w:sz w:val="12"/>
                <w:szCs w:val="12"/>
                <w:spacing w:val="5"/>
              </w:rPr>
              <w:t>100倍</w:t>
            </w:r>
          </w:p>
        </w:tc>
        <w:tc>
          <w:tcPr>
            <w:tcW w:w="1069" w:type="dxa"/>
            <w:vAlign w:val="top"/>
            <w:vMerge w:val="continue"/>
            <w:tcBorders>
              <w:bottom w:val="single" w:color="000000" w:sz="2" w:space="0"/>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166"/>
              <w:spacing w:before="177" w:line="213" w:lineRule="auto"/>
              <w:rPr>
                <w:sz w:val="12"/>
                <w:szCs w:val="12"/>
              </w:rPr>
            </w:pPr>
            <w:r>
              <w:rPr>
                <w:sz w:val="12"/>
                <w:szCs w:val="12"/>
                <w:spacing w:val="3"/>
              </w:rPr>
              <w:t>(400g/袋)</w:t>
            </w:r>
          </w:p>
        </w:tc>
        <w:tc>
          <w:tcPr>
            <w:tcW w:w="2613" w:type="dxa"/>
            <w:vAlign w:val="top"/>
            <w:tcBorders>
              <w:bottom w:val="single" w:color="000000" w:sz="2" w:space="0"/>
              <w:top w:val="single" w:color="000000" w:sz="2" w:space="0"/>
            </w:tcBorders>
          </w:tcPr>
          <w:p>
            <w:pPr>
              <w:pStyle w:val="TableText"/>
              <w:ind w:left="16" w:right="74" w:hanging="9"/>
              <w:spacing w:before="99" w:line="234" w:lineRule="auto"/>
              <w:rPr>
                <w:sz w:val="12"/>
                <w:szCs w:val="12"/>
              </w:rPr>
            </w:pPr>
            <w:r>
              <w:rPr>
                <w:sz w:val="12"/>
                <w:szCs w:val="12"/>
              </w:rPr>
              <w:t>价格低廉、效果好、对多种病菌具有抑杀作用， </w:t>
            </w:r>
            <w:r>
              <w:rPr>
                <w:sz w:val="12"/>
                <w:szCs w:val="12"/>
                <w:spacing w:val="2"/>
              </w:rPr>
              <w:t>园区消杀使用</w:t>
            </w:r>
          </w:p>
        </w:tc>
      </w:tr>
      <w:tr>
        <w:trPr>
          <w:trHeight w:val="444" w:hRule="atLeast"/>
        </w:trPr>
        <w:tc>
          <w:tcPr>
            <w:tcW w:w="425" w:type="dxa"/>
            <w:vAlign w:val="top"/>
            <w:vMerge w:val="continue"/>
            <w:tcBorders>
              <w:bottom w:val="nil"/>
              <w:top w:val="nil"/>
            </w:tcBorders>
          </w:tcPr>
          <w:p>
            <w:pPr>
              <w:rPr>
                <w:rFonts w:ascii="Arial"/>
                <w:sz w:val="21"/>
              </w:rPr>
            </w:pPr>
            <w:r/>
          </w:p>
        </w:tc>
        <w:tc>
          <w:tcPr>
            <w:tcW w:w="580"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00"/>
              <w:spacing w:before="39" w:line="219" w:lineRule="auto"/>
              <w:rPr>
                <w:sz w:val="12"/>
                <w:szCs w:val="12"/>
              </w:rPr>
            </w:pPr>
            <w:r>
              <w:rPr>
                <w:sz w:val="12"/>
                <w:szCs w:val="12"/>
                <w:spacing w:val="-1"/>
              </w:rPr>
              <w:t>病菌类</w:t>
            </w:r>
          </w:p>
        </w:tc>
        <w:tc>
          <w:tcPr>
            <w:tcW w:w="959"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60" w:right="53" w:firstLine="49"/>
              <w:spacing w:before="39" w:line="209" w:lineRule="auto"/>
              <w:rPr>
                <w:sz w:val="12"/>
                <w:szCs w:val="12"/>
              </w:rPr>
            </w:pPr>
            <w:r>
              <w:rPr>
                <w:sz w:val="12"/>
                <w:szCs w:val="12"/>
                <w:spacing w:val="-2"/>
              </w:rPr>
              <w:t>炭疸病，白粉</w:t>
            </w:r>
            <w:r>
              <w:rPr>
                <w:sz w:val="12"/>
                <w:szCs w:val="12"/>
                <w:spacing w:val="2"/>
              </w:rPr>
              <w:t xml:space="preserve">  </w:t>
            </w:r>
            <w:r>
              <w:rPr>
                <w:sz w:val="12"/>
                <w:szCs w:val="12"/>
                <w:spacing w:val="-1"/>
              </w:rPr>
              <w:t>病，锈病、叶枯</w:t>
            </w:r>
          </w:p>
          <w:p>
            <w:pPr>
              <w:pStyle w:val="TableText"/>
              <w:ind w:left="289" w:right="43" w:hanging="219"/>
              <w:spacing w:before="7" w:line="248" w:lineRule="auto"/>
              <w:rPr>
                <w:sz w:val="12"/>
                <w:szCs w:val="12"/>
              </w:rPr>
            </w:pPr>
            <w:r>
              <w:rPr>
                <w:sz w:val="12"/>
                <w:szCs w:val="12"/>
                <w:spacing w:val="-1"/>
              </w:rPr>
              <w:t>病，叶斑病、黑</w:t>
            </w:r>
            <w:r>
              <w:rPr>
                <w:sz w:val="12"/>
                <w:szCs w:val="12"/>
                <w:spacing w:val="1"/>
              </w:rPr>
              <w:t xml:space="preserve"> </w:t>
            </w:r>
            <w:r>
              <w:rPr>
                <w:sz w:val="12"/>
                <w:szCs w:val="12"/>
                <w:spacing w:val="-2"/>
              </w:rPr>
              <w:t>斑病等</w:t>
            </w:r>
          </w:p>
        </w:tc>
        <w:tc>
          <w:tcPr>
            <w:tcW w:w="2698" w:type="dxa"/>
            <w:vAlign w:val="top"/>
            <w:vMerge w:val="restart"/>
            <w:tcBorders>
              <w:bottom w:val="nil"/>
              <w:top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TableText"/>
              <w:ind w:left="11"/>
              <w:spacing w:before="39" w:line="219" w:lineRule="auto"/>
              <w:rPr>
                <w:sz w:val="12"/>
                <w:szCs w:val="12"/>
              </w:rPr>
            </w:pPr>
            <w:r>
              <w:rPr>
                <w:sz w:val="12"/>
                <w:szCs w:val="12"/>
              </w:rPr>
              <w:t>一、4月全园区预防消杀为主：</w:t>
            </w:r>
          </w:p>
          <w:p>
            <w:pPr>
              <w:pStyle w:val="TableText"/>
              <w:ind w:left="11" w:right="43"/>
              <w:spacing w:before="17" w:line="210" w:lineRule="auto"/>
              <w:rPr>
                <w:sz w:val="12"/>
                <w:szCs w:val="12"/>
              </w:rPr>
            </w:pPr>
            <w:r>
              <w:rPr>
                <w:sz w:val="12"/>
                <w:szCs w:val="12"/>
                <w:spacing w:val="-1"/>
              </w:rPr>
              <w:t>二、6、7、8、9四个月为高发期。有发现病情，及</w:t>
            </w:r>
            <w:r>
              <w:rPr>
                <w:sz w:val="12"/>
                <w:szCs w:val="12"/>
                <w:spacing w:val="16"/>
              </w:rPr>
              <w:t xml:space="preserve"> </w:t>
            </w:r>
            <w:r>
              <w:rPr>
                <w:sz w:val="12"/>
                <w:szCs w:val="12"/>
                <w:spacing w:val="-1"/>
              </w:rPr>
              <w:t>时喷药处理：</w:t>
            </w:r>
          </w:p>
          <w:p>
            <w:pPr>
              <w:pStyle w:val="TableText"/>
              <w:ind w:left="11" w:right="41"/>
              <w:spacing w:before="5" w:line="233" w:lineRule="auto"/>
              <w:rPr>
                <w:sz w:val="12"/>
                <w:szCs w:val="12"/>
              </w:rPr>
            </w:pPr>
            <w:r>
              <w:rPr>
                <w:sz w:val="12"/>
                <w:szCs w:val="12"/>
                <w:spacing w:val="-1"/>
              </w:rPr>
              <w:t>三，一般每隔半个月打一次杀菌剂，特别是夏季下</w:t>
            </w:r>
            <w:r>
              <w:rPr>
                <w:sz w:val="12"/>
                <w:szCs w:val="12"/>
                <w:spacing w:val="16"/>
              </w:rPr>
              <w:t xml:space="preserve"> </w:t>
            </w:r>
            <w:r>
              <w:rPr>
                <w:sz w:val="12"/>
                <w:szCs w:val="12"/>
              </w:rPr>
              <w:t>过雨之后，需要及时杀菌防治。</w:t>
            </w:r>
          </w:p>
        </w:tc>
        <w:tc>
          <w:tcPr>
            <w:tcW w:w="1269" w:type="dxa"/>
            <w:vAlign w:val="top"/>
            <w:tcBorders>
              <w:bottom w:val="single" w:color="000000" w:sz="2" w:space="0"/>
              <w:top w:val="single" w:color="000000" w:sz="2" w:space="0"/>
            </w:tcBorders>
          </w:tcPr>
          <w:p>
            <w:pPr>
              <w:pStyle w:val="TableText"/>
              <w:ind w:left="323"/>
              <w:spacing w:before="161" w:line="219" w:lineRule="auto"/>
              <w:rPr>
                <w:sz w:val="12"/>
                <w:szCs w:val="12"/>
              </w:rPr>
            </w:pPr>
            <w:r>
              <w:rPr>
                <w:sz w:val="12"/>
                <w:szCs w:val="12"/>
                <w:spacing w:val="1"/>
              </w:rPr>
              <w:t>国光三唑硐</w:t>
            </w:r>
          </w:p>
        </w:tc>
        <w:tc>
          <w:tcPr>
            <w:tcW w:w="1949" w:type="dxa"/>
            <w:vAlign w:val="top"/>
            <w:tcBorders>
              <w:bottom w:val="single" w:color="000000" w:sz="2" w:space="0"/>
              <w:top w:val="single" w:color="000000" w:sz="2" w:space="0"/>
            </w:tcBorders>
          </w:tcPr>
          <w:p>
            <w:pPr>
              <w:pStyle w:val="TableText"/>
              <w:ind w:left="694"/>
              <w:spacing w:before="161" w:line="221" w:lineRule="auto"/>
              <w:rPr>
                <w:sz w:val="12"/>
                <w:szCs w:val="12"/>
              </w:rPr>
            </w:pPr>
            <w:r>
              <w:rPr>
                <w:sz w:val="12"/>
                <w:szCs w:val="12"/>
                <w:spacing w:val="-1"/>
              </w:rPr>
              <w:t>20%三唑酮</w:t>
            </w:r>
          </w:p>
        </w:tc>
        <w:tc>
          <w:tcPr>
            <w:tcW w:w="1639" w:type="dxa"/>
            <w:vAlign w:val="top"/>
            <w:tcBorders>
              <w:bottom w:val="single" w:color="000000" w:sz="2" w:space="0"/>
              <w:top w:val="single" w:color="000000" w:sz="2" w:space="0"/>
            </w:tcBorders>
          </w:tcPr>
          <w:p>
            <w:pPr>
              <w:pStyle w:val="TableText"/>
              <w:ind w:left="365"/>
              <w:spacing w:before="161" w:line="219" w:lineRule="auto"/>
              <w:rPr>
                <w:sz w:val="12"/>
                <w:szCs w:val="12"/>
              </w:rPr>
            </w:pPr>
            <w:r>
              <w:rPr>
                <w:sz w:val="12"/>
                <w:szCs w:val="12"/>
                <w:spacing w:val="-1"/>
              </w:rPr>
              <w:t>稀释1500-2000倍</w:t>
            </w:r>
          </w:p>
        </w:tc>
        <w:tc>
          <w:tcPr>
            <w:tcW w:w="1069" w:type="dxa"/>
            <w:vAlign w:val="top"/>
            <w:tcBorders>
              <w:bottom w:val="single" w:color="000000" w:sz="2" w:space="0"/>
              <w:top w:val="single" w:color="000000" w:sz="2" w:space="0"/>
            </w:tcBorders>
          </w:tcPr>
          <w:p>
            <w:pPr>
              <w:pStyle w:val="TableText"/>
              <w:ind w:left="275" w:right="29" w:hanging="259"/>
              <w:spacing w:before="101" w:line="210" w:lineRule="auto"/>
              <w:rPr>
                <w:sz w:val="12"/>
                <w:szCs w:val="12"/>
              </w:rPr>
            </w:pPr>
            <w:r>
              <w:rPr>
                <w:sz w:val="12"/>
                <w:szCs w:val="12"/>
                <w:spacing w:val="-1"/>
              </w:rPr>
              <w:t>一般用2次，时间间</w:t>
            </w:r>
            <w:r>
              <w:rPr>
                <w:sz w:val="12"/>
                <w:szCs w:val="12"/>
                <w:spacing w:val="1"/>
              </w:rPr>
              <w:t xml:space="preserve"> </w:t>
            </w:r>
            <w:r>
              <w:rPr>
                <w:sz w:val="12"/>
                <w:szCs w:val="12"/>
                <w:spacing w:val="-2"/>
              </w:rPr>
              <w:t>隔7到10天</w:t>
            </w:r>
          </w:p>
        </w:tc>
        <w:tc>
          <w:tcPr>
            <w:tcW w:w="879" w:type="dxa"/>
            <w:vAlign w:val="top"/>
            <w:tcBorders>
              <w:bottom w:val="single" w:color="000000" w:sz="2" w:space="0"/>
              <w:top w:val="single" w:color="000000" w:sz="2" w:space="0"/>
            </w:tcBorders>
          </w:tcPr>
          <w:p>
            <w:pPr>
              <w:pStyle w:val="TableText"/>
              <w:ind w:left="196"/>
              <w:spacing w:before="161" w:line="221" w:lineRule="auto"/>
              <w:rPr>
                <w:sz w:val="12"/>
                <w:szCs w:val="12"/>
              </w:rPr>
            </w:pPr>
            <w:r>
              <w:rPr>
                <w:sz w:val="12"/>
                <w:szCs w:val="12"/>
                <w:spacing w:val="-1"/>
              </w:rPr>
              <w:t>200ml/瓶</w:t>
            </w:r>
          </w:p>
        </w:tc>
        <w:tc>
          <w:tcPr>
            <w:tcW w:w="2613" w:type="dxa"/>
            <w:vAlign w:val="top"/>
            <w:tcBorders>
              <w:bottom w:val="single" w:color="000000" w:sz="2" w:space="0"/>
              <w:top w:val="single" w:color="000000" w:sz="2" w:space="0"/>
            </w:tcBorders>
          </w:tcPr>
          <w:p>
            <w:pPr>
              <w:pStyle w:val="TableText"/>
              <w:ind w:left="7"/>
              <w:spacing w:before="161" w:line="219" w:lineRule="auto"/>
              <w:rPr>
                <w:sz w:val="12"/>
                <w:szCs w:val="12"/>
              </w:rPr>
            </w:pPr>
            <w:r>
              <w:rPr>
                <w:sz w:val="12"/>
                <w:szCs w:val="12"/>
                <w:spacing w:val="1"/>
              </w:rPr>
              <w:t>防治白粉病、锈病等(每年使用2-3次)</w:t>
            </w:r>
          </w:p>
        </w:tc>
      </w:tr>
      <w:tr>
        <w:trPr>
          <w:trHeight w:val="59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203"/>
              <w:spacing w:before="241" w:line="219" w:lineRule="auto"/>
              <w:rPr>
                <w:sz w:val="12"/>
                <w:szCs w:val="12"/>
              </w:rPr>
            </w:pPr>
            <w:r>
              <w:rPr>
                <w:sz w:val="12"/>
                <w:szCs w:val="12"/>
                <w:spacing w:val="3"/>
              </w:rPr>
              <w:t>国光多菌灵(中)</w:t>
            </w:r>
          </w:p>
        </w:tc>
        <w:tc>
          <w:tcPr>
            <w:tcW w:w="1949" w:type="dxa"/>
            <w:vAlign w:val="top"/>
            <w:tcBorders>
              <w:bottom w:val="single" w:color="000000" w:sz="2" w:space="0"/>
              <w:top w:val="single" w:color="000000" w:sz="2" w:space="0"/>
            </w:tcBorders>
          </w:tcPr>
          <w:p>
            <w:pPr>
              <w:pStyle w:val="TableText"/>
              <w:ind w:left="694"/>
              <w:spacing w:before="241" w:line="219" w:lineRule="auto"/>
              <w:rPr>
                <w:sz w:val="12"/>
                <w:szCs w:val="12"/>
              </w:rPr>
            </w:pPr>
            <w:r>
              <w:rPr>
                <w:sz w:val="12"/>
                <w:szCs w:val="12"/>
                <w:spacing w:val="-1"/>
              </w:rPr>
              <w:t>50%多菌灵</w:t>
            </w:r>
          </w:p>
        </w:tc>
        <w:tc>
          <w:tcPr>
            <w:tcW w:w="1639" w:type="dxa"/>
            <w:vAlign w:val="top"/>
            <w:tcBorders>
              <w:bottom w:val="single" w:color="000000" w:sz="2" w:space="0"/>
              <w:top w:val="single" w:color="000000" w:sz="2" w:space="0"/>
            </w:tcBorders>
          </w:tcPr>
          <w:p>
            <w:pPr>
              <w:pStyle w:val="TableText"/>
              <w:ind w:left="335"/>
              <w:spacing w:before="241" w:line="219" w:lineRule="auto"/>
              <w:rPr>
                <w:sz w:val="12"/>
                <w:szCs w:val="12"/>
              </w:rPr>
            </w:pPr>
            <w:r>
              <w:rPr>
                <w:sz w:val="12"/>
                <w:szCs w:val="12"/>
                <w:spacing w:val="-1"/>
              </w:rPr>
              <w:t>稀释600-1000倍液</w:t>
            </w:r>
          </w:p>
        </w:tc>
        <w:tc>
          <w:tcPr>
            <w:tcW w:w="1069" w:type="dxa"/>
            <w:vAlign w:val="top"/>
            <w:vMerge w:val="restart"/>
            <w:tcBorders>
              <w:bottom w:val="nil"/>
              <w:top w:val="single" w:color="000000" w:sz="2" w:space="0"/>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6"/>
              <w:spacing w:before="39" w:line="200" w:lineRule="auto"/>
              <w:rPr>
                <w:sz w:val="12"/>
                <w:szCs w:val="12"/>
              </w:rPr>
            </w:pPr>
            <w:r>
              <w:rPr>
                <w:sz w:val="12"/>
                <w:szCs w:val="12"/>
                <w:spacing w:val="-1"/>
              </w:rPr>
              <w:t>一般用3次，时间间</w:t>
            </w:r>
          </w:p>
          <w:p>
            <w:pPr>
              <w:pStyle w:val="TableText"/>
              <w:ind w:left="256"/>
              <w:spacing w:line="219" w:lineRule="auto"/>
              <w:rPr>
                <w:sz w:val="12"/>
                <w:szCs w:val="12"/>
              </w:rPr>
            </w:pPr>
            <w:r>
              <w:rPr>
                <w:sz w:val="12"/>
                <w:szCs w:val="12"/>
                <w:spacing w:val="-2"/>
              </w:rPr>
              <w:t>隔7到10天</w:t>
            </w:r>
          </w:p>
        </w:tc>
        <w:tc>
          <w:tcPr>
            <w:tcW w:w="879" w:type="dxa"/>
            <w:vAlign w:val="top"/>
            <w:tcBorders>
              <w:bottom w:val="single" w:color="000000" w:sz="2" w:space="0"/>
              <w:top w:val="single" w:color="000000" w:sz="2" w:space="0"/>
            </w:tcBorders>
          </w:tcPr>
          <w:p>
            <w:pPr>
              <w:pStyle w:val="TableText"/>
              <w:ind w:left="166"/>
              <w:spacing w:before="237" w:line="213" w:lineRule="auto"/>
              <w:rPr>
                <w:sz w:val="12"/>
                <w:szCs w:val="12"/>
              </w:rPr>
            </w:pPr>
            <w:r>
              <w:rPr>
                <w:sz w:val="12"/>
                <w:szCs w:val="12"/>
                <w:spacing w:val="3"/>
              </w:rPr>
              <w:t>(100g/袋)</w:t>
            </w:r>
          </w:p>
        </w:tc>
        <w:tc>
          <w:tcPr>
            <w:tcW w:w="2613" w:type="dxa"/>
            <w:vAlign w:val="top"/>
            <w:tcBorders>
              <w:bottom w:val="single" w:color="000000" w:sz="2" w:space="0"/>
              <w:top w:val="single" w:color="000000" w:sz="2" w:space="0"/>
            </w:tcBorders>
          </w:tcPr>
          <w:p>
            <w:pPr>
              <w:pStyle w:val="TableText"/>
              <w:ind w:left="7"/>
              <w:spacing w:before="241" w:line="219" w:lineRule="auto"/>
              <w:rPr>
                <w:sz w:val="12"/>
                <w:szCs w:val="12"/>
              </w:rPr>
            </w:pPr>
            <w:r>
              <w:rPr>
                <w:sz w:val="12"/>
                <w:szCs w:val="12"/>
                <w:spacing w:val="-1"/>
              </w:rPr>
              <w:t>广谱性杀菌刻</w:t>
            </w:r>
          </w:p>
        </w:tc>
      </w:tr>
      <w:tr>
        <w:trPr>
          <w:trHeight w:val="58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203"/>
              <w:spacing w:before="231" w:line="219" w:lineRule="auto"/>
              <w:rPr>
                <w:sz w:val="12"/>
                <w:szCs w:val="12"/>
              </w:rPr>
            </w:pPr>
            <w:r>
              <w:rPr>
                <w:sz w:val="12"/>
                <w:szCs w:val="12"/>
                <w:spacing w:val="1"/>
              </w:rPr>
              <w:t>国光甲基硫菌灵</w:t>
            </w:r>
          </w:p>
        </w:tc>
        <w:tc>
          <w:tcPr>
            <w:tcW w:w="1949" w:type="dxa"/>
            <w:vAlign w:val="top"/>
            <w:tcBorders>
              <w:bottom w:val="single" w:color="000000" w:sz="2" w:space="0"/>
              <w:top w:val="single" w:color="000000" w:sz="2" w:space="0"/>
            </w:tcBorders>
          </w:tcPr>
          <w:p>
            <w:pPr>
              <w:pStyle w:val="TableText"/>
              <w:ind w:left="574"/>
              <w:spacing w:before="231" w:line="219" w:lineRule="auto"/>
              <w:rPr>
                <w:sz w:val="12"/>
                <w:szCs w:val="12"/>
              </w:rPr>
            </w:pPr>
            <w:r>
              <w:rPr>
                <w:sz w:val="12"/>
                <w:szCs w:val="12"/>
                <w:spacing w:val="-1"/>
              </w:rPr>
              <w:t>70%甲基碗菌灵</w:t>
            </w:r>
          </w:p>
        </w:tc>
        <w:tc>
          <w:tcPr>
            <w:tcW w:w="1639" w:type="dxa"/>
            <w:vAlign w:val="top"/>
            <w:tcBorders>
              <w:bottom w:val="single" w:color="000000" w:sz="2" w:space="0"/>
              <w:top w:val="single" w:color="000000" w:sz="2" w:space="0"/>
            </w:tcBorders>
          </w:tcPr>
          <w:p>
            <w:pPr>
              <w:pStyle w:val="TableText"/>
              <w:ind w:left="335"/>
              <w:spacing w:before="231" w:line="219" w:lineRule="auto"/>
              <w:rPr>
                <w:sz w:val="12"/>
                <w:szCs w:val="12"/>
              </w:rPr>
            </w:pPr>
            <w:r>
              <w:rPr>
                <w:sz w:val="12"/>
                <w:szCs w:val="12"/>
                <w:spacing w:val="-1"/>
              </w:rPr>
              <w:t>稀释600-1000倍液</w:t>
            </w:r>
          </w:p>
        </w:tc>
        <w:tc>
          <w:tcPr>
            <w:tcW w:w="1069" w:type="dxa"/>
            <w:vAlign w:val="top"/>
            <w:vMerge w:val="continue"/>
            <w:tcBorders>
              <w:bottom w:val="nil"/>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287"/>
              <w:spacing w:before="228" w:line="213" w:lineRule="auto"/>
              <w:rPr>
                <w:sz w:val="12"/>
                <w:szCs w:val="12"/>
              </w:rPr>
            </w:pPr>
            <w:r>
              <w:rPr>
                <w:sz w:val="12"/>
                <w:szCs w:val="12"/>
                <w:spacing w:val="-1"/>
              </w:rPr>
              <w:t>kg/袋</w:t>
            </w:r>
          </w:p>
        </w:tc>
        <w:tc>
          <w:tcPr>
            <w:tcW w:w="2613" w:type="dxa"/>
            <w:vAlign w:val="top"/>
            <w:tcBorders>
              <w:bottom w:val="single" w:color="000000" w:sz="2" w:space="0"/>
              <w:top w:val="single" w:color="000000" w:sz="2" w:space="0"/>
            </w:tcBorders>
          </w:tcPr>
          <w:p>
            <w:pPr>
              <w:pStyle w:val="TableText"/>
              <w:ind w:left="7"/>
              <w:spacing w:before="231" w:line="218" w:lineRule="auto"/>
              <w:rPr>
                <w:sz w:val="12"/>
                <w:szCs w:val="12"/>
              </w:rPr>
            </w:pPr>
            <w:r>
              <w:rPr>
                <w:sz w:val="12"/>
                <w:szCs w:val="12"/>
              </w:rPr>
              <w:t>内吸、广谱高效杀菌剂</w:t>
            </w:r>
          </w:p>
        </w:tc>
      </w:tr>
      <w:tr>
        <w:trPr>
          <w:trHeight w:val="59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203"/>
              <w:spacing w:before="242" w:line="219" w:lineRule="auto"/>
              <w:rPr>
                <w:sz w:val="12"/>
                <w:szCs w:val="12"/>
              </w:rPr>
            </w:pPr>
            <w:r>
              <w:rPr>
                <w:sz w:val="12"/>
                <w:szCs w:val="12"/>
                <w:spacing w:val="-2"/>
              </w:rPr>
              <w:t>阿西米达悬浮液</w:t>
            </w:r>
          </w:p>
        </w:tc>
        <w:tc>
          <w:tcPr>
            <w:tcW w:w="1949" w:type="dxa"/>
            <w:vAlign w:val="top"/>
            <w:tcBorders>
              <w:bottom w:val="single" w:color="000000" w:sz="2" w:space="0"/>
              <w:top w:val="single" w:color="000000" w:sz="2" w:space="0"/>
            </w:tcBorders>
          </w:tcPr>
          <w:p>
            <w:pPr>
              <w:pStyle w:val="TableText"/>
              <w:ind w:left="784"/>
              <w:spacing w:before="242" w:line="219" w:lineRule="auto"/>
              <w:rPr>
                <w:sz w:val="12"/>
                <w:szCs w:val="12"/>
              </w:rPr>
            </w:pPr>
            <w:r>
              <w:rPr>
                <w:sz w:val="12"/>
                <w:szCs w:val="12"/>
                <w:spacing w:val="-3"/>
              </w:rPr>
              <w:t>嘧菌酯</w:t>
            </w:r>
          </w:p>
        </w:tc>
        <w:tc>
          <w:tcPr>
            <w:tcW w:w="1639" w:type="dxa"/>
            <w:vAlign w:val="top"/>
            <w:tcBorders>
              <w:bottom w:val="single" w:color="000000" w:sz="2" w:space="0"/>
              <w:top w:val="single" w:color="000000" w:sz="2" w:space="0"/>
            </w:tcBorders>
          </w:tcPr>
          <w:p>
            <w:pPr>
              <w:pStyle w:val="TableText"/>
              <w:ind w:left="694" w:right="40" w:hanging="659"/>
              <w:spacing w:before="192" w:line="218" w:lineRule="auto"/>
              <w:rPr>
                <w:sz w:val="12"/>
                <w:szCs w:val="12"/>
              </w:rPr>
            </w:pPr>
            <w:r>
              <w:rPr>
                <w:sz w:val="12"/>
                <w:szCs w:val="12"/>
                <w:spacing w:val="-1"/>
              </w:rPr>
              <w:t>254阿西米达悬浮液1200-1500</w:t>
            </w:r>
            <w:r>
              <w:rPr>
                <w:sz w:val="12"/>
                <w:szCs w:val="12"/>
                <w:spacing w:val="11"/>
              </w:rPr>
              <w:t xml:space="preserve"> </w:t>
            </w:r>
            <w:r>
              <w:rPr>
                <w:sz w:val="12"/>
                <w:szCs w:val="12"/>
                <w:spacing w:val="-2"/>
              </w:rPr>
              <w:t>倍液</w:t>
            </w:r>
          </w:p>
        </w:tc>
        <w:tc>
          <w:tcPr>
            <w:tcW w:w="1069" w:type="dxa"/>
            <w:vAlign w:val="top"/>
            <w:vMerge w:val="continue"/>
            <w:tcBorders>
              <w:bottom w:val="nil"/>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287"/>
              <w:spacing w:before="242" w:line="221" w:lineRule="auto"/>
              <w:rPr>
                <w:sz w:val="12"/>
                <w:szCs w:val="12"/>
              </w:rPr>
            </w:pPr>
            <w:r>
              <w:rPr>
                <w:sz w:val="12"/>
                <w:szCs w:val="12"/>
                <w:spacing w:val="-3"/>
              </w:rPr>
              <w:t>11/瓶</w:t>
            </w:r>
          </w:p>
        </w:tc>
        <w:tc>
          <w:tcPr>
            <w:tcW w:w="2613" w:type="dxa"/>
            <w:vAlign w:val="top"/>
            <w:tcBorders>
              <w:bottom w:val="single" w:color="000000" w:sz="2" w:space="0"/>
              <w:top w:val="single" w:color="000000" w:sz="2" w:space="0"/>
            </w:tcBorders>
          </w:tcPr>
          <w:p>
            <w:pPr>
              <w:pStyle w:val="TableText"/>
              <w:ind w:left="7" w:right="79"/>
              <w:spacing w:before="192" w:line="218" w:lineRule="auto"/>
              <w:rPr>
                <w:sz w:val="12"/>
                <w:szCs w:val="12"/>
              </w:rPr>
            </w:pPr>
            <w:r>
              <w:rPr>
                <w:sz w:val="12"/>
                <w:szCs w:val="12"/>
                <w:spacing w:val="-1"/>
              </w:rPr>
              <w:t>广谱杀菌，对四大类致病真菌，天然低毒安全无</w:t>
            </w:r>
            <w:r>
              <w:rPr>
                <w:sz w:val="12"/>
                <w:szCs w:val="12"/>
                <w:spacing w:val="15"/>
              </w:rPr>
              <w:t xml:space="preserve"> </w:t>
            </w:r>
            <w:r>
              <w:rPr>
                <w:sz w:val="12"/>
                <w:szCs w:val="12"/>
                <w:spacing w:val="-3"/>
              </w:rPr>
              <w:t>公害</w:t>
            </w:r>
          </w:p>
        </w:tc>
      </w:tr>
      <w:tr>
        <w:trPr>
          <w:trHeight w:val="58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383"/>
              <w:spacing w:before="232" w:line="219" w:lineRule="auto"/>
              <w:rPr>
                <w:sz w:val="12"/>
                <w:szCs w:val="12"/>
              </w:rPr>
            </w:pPr>
            <w:r>
              <w:rPr>
                <w:sz w:val="12"/>
                <w:szCs w:val="12"/>
                <w:spacing w:val="1"/>
              </w:rPr>
              <w:t>国光英纳</w:t>
            </w:r>
          </w:p>
        </w:tc>
        <w:tc>
          <w:tcPr>
            <w:tcW w:w="1949" w:type="dxa"/>
            <w:vAlign w:val="top"/>
            <w:tcBorders>
              <w:bottom w:val="single" w:color="000000" w:sz="2" w:space="0"/>
              <w:top w:val="single" w:color="000000" w:sz="2" w:space="0"/>
            </w:tcBorders>
          </w:tcPr>
          <w:p>
            <w:pPr>
              <w:pStyle w:val="TableText"/>
              <w:ind w:left="634"/>
              <w:spacing w:before="232" w:line="220" w:lineRule="auto"/>
              <w:rPr>
                <w:sz w:val="12"/>
                <w:szCs w:val="12"/>
              </w:rPr>
            </w:pPr>
            <w:r>
              <w:rPr>
                <w:sz w:val="12"/>
                <w:szCs w:val="12"/>
                <w:spacing w:val="-9"/>
              </w:rPr>
              <w:t>多 ·锰锌50%</w:t>
            </w:r>
          </w:p>
        </w:tc>
        <w:tc>
          <w:tcPr>
            <w:tcW w:w="1639" w:type="dxa"/>
            <w:vAlign w:val="top"/>
            <w:tcBorders>
              <w:bottom w:val="single" w:color="000000" w:sz="2" w:space="0"/>
              <w:top w:val="single" w:color="000000" w:sz="2" w:space="0"/>
            </w:tcBorders>
          </w:tcPr>
          <w:p>
            <w:pPr>
              <w:pStyle w:val="TableText"/>
              <w:ind w:left="544"/>
              <w:spacing w:before="232" w:line="220" w:lineRule="auto"/>
              <w:rPr>
                <w:sz w:val="12"/>
                <w:szCs w:val="12"/>
              </w:rPr>
            </w:pPr>
            <w:r>
              <w:rPr>
                <w:sz w:val="12"/>
                <w:szCs w:val="12"/>
                <w:spacing w:val="-6"/>
              </w:rPr>
              <w:t>600—800倍</w:t>
            </w:r>
          </w:p>
        </w:tc>
        <w:tc>
          <w:tcPr>
            <w:tcW w:w="1069" w:type="dxa"/>
            <w:vAlign w:val="top"/>
            <w:vMerge w:val="continue"/>
            <w:tcBorders>
              <w:bottom w:val="nil"/>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166"/>
              <w:spacing w:before="233" w:line="221" w:lineRule="auto"/>
              <w:rPr>
                <w:sz w:val="12"/>
                <w:szCs w:val="12"/>
              </w:rPr>
            </w:pPr>
            <w:r>
              <w:rPr>
                <w:sz w:val="12"/>
                <w:szCs w:val="12"/>
                <w:spacing w:val="-2"/>
              </w:rPr>
              <w:t>1000ml/瓶</w:t>
            </w:r>
          </w:p>
        </w:tc>
        <w:tc>
          <w:tcPr>
            <w:tcW w:w="2613" w:type="dxa"/>
            <w:vAlign w:val="top"/>
            <w:tcBorders>
              <w:bottom w:val="single" w:color="000000" w:sz="2" w:space="0"/>
              <w:top w:val="single" w:color="000000" w:sz="2" w:space="0"/>
            </w:tcBorders>
          </w:tcPr>
          <w:p>
            <w:pPr>
              <w:pStyle w:val="TableText"/>
              <w:ind w:left="7"/>
              <w:spacing w:before="232" w:line="219" w:lineRule="auto"/>
              <w:rPr>
                <w:sz w:val="12"/>
                <w:szCs w:val="12"/>
              </w:rPr>
            </w:pPr>
            <w:r>
              <w:rPr>
                <w:sz w:val="12"/>
                <w:szCs w:val="12"/>
                <w:spacing w:val="-1"/>
              </w:rPr>
              <w:t>泊苗木及花卉的叶斑病、频痘病等</w:t>
            </w:r>
          </w:p>
        </w:tc>
      </w:tr>
      <w:tr>
        <w:trPr>
          <w:trHeight w:val="58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203"/>
              <w:spacing w:before="232" w:line="219" w:lineRule="auto"/>
              <w:rPr>
                <w:sz w:val="12"/>
                <w:szCs w:val="12"/>
              </w:rPr>
            </w:pPr>
            <w:r>
              <w:rPr>
                <w:sz w:val="12"/>
                <w:szCs w:val="12"/>
                <w:spacing w:val="3"/>
              </w:rPr>
              <w:t>特克多(噻菌灵)</w:t>
            </w:r>
          </w:p>
        </w:tc>
        <w:tc>
          <w:tcPr>
            <w:tcW w:w="1949" w:type="dxa"/>
            <w:vAlign w:val="top"/>
            <w:tcBorders>
              <w:bottom w:val="single" w:color="000000" w:sz="2" w:space="0"/>
              <w:top w:val="single" w:color="000000" w:sz="2" w:space="0"/>
            </w:tcBorders>
          </w:tcPr>
          <w:p>
            <w:pPr>
              <w:pStyle w:val="TableText"/>
              <w:ind w:left="724"/>
              <w:spacing w:before="232" w:line="218" w:lineRule="auto"/>
              <w:rPr>
                <w:sz w:val="12"/>
                <w:szCs w:val="12"/>
              </w:rPr>
            </w:pPr>
            <w:r>
              <w:rPr>
                <w:sz w:val="12"/>
                <w:szCs w:val="12"/>
                <w:spacing w:val="-2"/>
              </w:rPr>
              <w:t>苯咪唑类</w:t>
            </w:r>
          </w:p>
        </w:tc>
        <w:tc>
          <w:tcPr>
            <w:tcW w:w="1639" w:type="dxa"/>
            <w:vAlign w:val="top"/>
            <w:tcBorders>
              <w:bottom w:val="single" w:color="000000" w:sz="2" w:space="0"/>
              <w:top w:val="single" w:color="000000" w:sz="2" w:space="0"/>
            </w:tcBorders>
          </w:tcPr>
          <w:p>
            <w:pPr>
              <w:pStyle w:val="TableText"/>
              <w:ind w:left="365"/>
              <w:spacing w:before="232" w:line="218" w:lineRule="auto"/>
              <w:rPr>
                <w:sz w:val="12"/>
                <w:szCs w:val="12"/>
              </w:rPr>
            </w:pPr>
            <w:r>
              <w:rPr>
                <w:sz w:val="12"/>
                <w:szCs w:val="12"/>
                <w:spacing w:val="-1"/>
              </w:rPr>
              <w:t>50%悬浮剂1000倍</w:t>
            </w:r>
          </w:p>
        </w:tc>
        <w:tc>
          <w:tcPr>
            <w:tcW w:w="1069" w:type="dxa"/>
            <w:vAlign w:val="top"/>
            <w:vMerge w:val="continue"/>
            <w:tcBorders>
              <w:bottom w:val="nil"/>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196"/>
              <w:spacing w:before="233" w:line="221" w:lineRule="auto"/>
              <w:rPr>
                <w:sz w:val="12"/>
                <w:szCs w:val="12"/>
              </w:rPr>
            </w:pPr>
            <w:r>
              <w:rPr>
                <w:sz w:val="12"/>
                <w:szCs w:val="12"/>
                <w:spacing w:val="-2"/>
              </w:rPr>
              <w:t>100nl/瓶</w:t>
            </w:r>
          </w:p>
        </w:tc>
        <w:tc>
          <w:tcPr>
            <w:tcW w:w="2613" w:type="dxa"/>
            <w:vAlign w:val="top"/>
            <w:tcBorders>
              <w:bottom w:val="single" w:color="000000" w:sz="2" w:space="0"/>
              <w:top w:val="single" w:color="000000" w:sz="2" w:space="0"/>
            </w:tcBorders>
          </w:tcPr>
          <w:p>
            <w:pPr>
              <w:pStyle w:val="TableText"/>
              <w:ind w:left="7"/>
              <w:spacing w:before="232" w:line="218" w:lineRule="auto"/>
              <w:rPr>
                <w:sz w:val="12"/>
                <w:szCs w:val="12"/>
              </w:rPr>
            </w:pPr>
            <w:r>
              <w:rPr>
                <w:sz w:val="12"/>
                <w:szCs w:val="12"/>
                <w:spacing w:val="-1"/>
              </w:rPr>
              <w:t>防治丛枝病，树木发芽前，封枝干</w:t>
            </w:r>
          </w:p>
        </w:tc>
      </w:tr>
      <w:tr>
        <w:trPr>
          <w:trHeight w:val="59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443"/>
              <w:spacing w:before="243" w:line="220" w:lineRule="auto"/>
              <w:rPr>
                <w:sz w:val="12"/>
                <w:szCs w:val="12"/>
              </w:rPr>
            </w:pPr>
            <w:r>
              <w:rPr>
                <w:sz w:val="12"/>
                <w:szCs w:val="12"/>
                <w:spacing w:val="-2"/>
              </w:rPr>
              <w:t>复生灵</w:t>
            </w:r>
          </w:p>
        </w:tc>
        <w:tc>
          <w:tcPr>
            <w:tcW w:w="1949" w:type="dxa"/>
            <w:vAlign w:val="top"/>
            <w:tcBorders>
              <w:bottom w:val="single" w:color="000000" w:sz="2" w:space="0"/>
              <w:top w:val="single" w:color="000000" w:sz="2" w:space="0"/>
            </w:tcBorders>
          </w:tcPr>
          <w:p>
            <w:pPr>
              <w:pStyle w:val="TableText"/>
              <w:ind w:left="784"/>
              <w:spacing w:before="243" w:line="220" w:lineRule="auto"/>
              <w:rPr>
                <w:sz w:val="12"/>
                <w:szCs w:val="12"/>
              </w:rPr>
            </w:pPr>
            <w:r>
              <w:rPr>
                <w:sz w:val="12"/>
                <w:szCs w:val="12"/>
                <w:spacing w:val="-2"/>
              </w:rPr>
              <w:t>恶霉灵</w:t>
            </w:r>
          </w:p>
        </w:tc>
        <w:tc>
          <w:tcPr>
            <w:tcW w:w="1639" w:type="dxa"/>
            <w:vAlign w:val="top"/>
            <w:tcBorders>
              <w:bottom w:val="single" w:color="000000" w:sz="2" w:space="0"/>
              <w:top w:val="single" w:color="000000" w:sz="2" w:space="0"/>
            </w:tcBorders>
          </w:tcPr>
          <w:p>
            <w:pPr>
              <w:pStyle w:val="TableText"/>
              <w:ind w:left="425"/>
              <w:spacing w:before="243" w:line="219" w:lineRule="auto"/>
              <w:rPr>
                <w:sz w:val="12"/>
                <w:szCs w:val="12"/>
              </w:rPr>
            </w:pPr>
            <w:r>
              <w:rPr>
                <w:sz w:val="12"/>
                <w:szCs w:val="12"/>
                <w:spacing w:val="-1"/>
              </w:rPr>
              <w:t>稀释500-600倍</w:t>
            </w:r>
          </w:p>
        </w:tc>
        <w:tc>
          <w:tcPr>
            <w:tcW w:w="1069" w:type="dxa"/>
            <w:vAlign w:val="top"/>
            <w:vMerge w:val="continue"/>
            <w:tcBorders>
              <w:bottom w:val="nil"/>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166"/>
              <w:spacing w:before="239" w:line="213" w:lineRule="auto"/>
              <w:rPr>
                <w:sz w:val="12"/>
                <w:szCs w:val="12"/>
              </w:rPr>
            </w:pPr>
            <w:r>
              <w:rPr>
                <w:sz w:val="12"/>
                <w:szCs w:val="12"/>
                <w:spacing w:val="3"/>
              </w:rPr>
              <w:t>(200g/袋)</w:t>
            </w:r>
          </w:p>
        </w:tc>
        <w:tc>
          <w:tcPr>
            <w:tcW w:w="2613" w:type="dxa"/>
            <w:vAlign w:val="top"/>
            <w:tcBorders>
              <w:bottom w:val="single" w:color="000000" w:sz="2" w:space="0"/>
              <w:top w:val="single" w:color="000000" w:sz="2" w:space="0"/>
            </w:tcBorders>
          </w:tcPr>
          <w:p>
            <w:pPr>
              <w:pStyle w:val="TableText"/>
              <w:ind w:left="7"/>
              <w:spacing w:before="243" w:line="219" w:lineRule="auto"/>
              <w:rPr>
                <w:sz w:val="12"/>
                <w:szCs w:val="12"/>
              </w:rPr>
            </w:pPr>
            <w:r>
              <w:rPr>
                <w:sz w:val="12"/>
                <w:szCs w:val="12"/>
                <w:spacing w:val="-1"/>
              </w:rPr>
              <w:t>防治树木恨部腐烂、根瘤等</w:t>
            </w:r>
          </w:p>
        </w:tc>
      </w:tr>
      <w:tr>
        <w:trPr>
          <w:trHeight w:val="58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503"/>
              <w:spacing w:before="233" w:line="220" w:lineRule="auto"/>
              <w:rPr>
                <w:sz w:val="12"/>
                <w:szCs w:val="12"/>
              </w:rPr>
            </w:pPr>
            <w:r>
              <w:rPr>
                <w:sz w:val="12"/>
                <w:szCs w:val="12"/>
                <w:spacing w:val="-2"/>
              </w:rPr>
              <w:t>激禾</w:t>
            </w:r>
          </w:p>
        </w:tc>
        <w:tc>
          <w:tcPr>
            <w:tcW w:w="1949" w:type="dxa"/>
            <w:vAlign w:val="top"/>
            <w:tcBorders>
              <w:bottom w:val="single" w:color="000000" w:sz="2" w:space="0"/>
              <w:top w:val="single" w:color="000000" w:sz="2" w:space="0"/>
            </w:tcBorders>
          </w:tcPr>
          <w:p>
            <w:pPr>
              <w:pStyle w:val="TableText"/>
              <w:ind w:left="694"/>
              <w:spacing w:before="233" w:line="219" w:lineRule="auto"/>
              <w:rPr>
                <w:sz w:val="12"/>
                <w:szCs w:val="12"/>
              </w:rPr>
            </w:pPr>
            <w:r>
              <w:rPr>
                <w:sz w:val="12"/>
                <w:szCs w:val="12"/>
                <w:spacing w:val="-1"/>
              </w:rPr>
              <w:t>30%乙蒜素</w:t>
            </w:r>
          </w:p>
        </w:tc>
        <w:tc>
          <w:tcPr>
            <w:tcW w:w="1639" w:type="dxa"/>
            <w:vAlign w:val="top"/>
            <w:tcBorders>
              <w:bottom w:val="single" w:color="000000" w:sz="2" w:space="0"/>
              <w:top w:val="single" w:color="000000" w:sz="2" w:space="0"/>
            </w:tcBorders>
          </w:tcPr>
          <w:p>
            <w:pPr>
              <w:pStyle w:val="TableText"/>
              <w:ind w:left="305"/>
              <w:spacing w:before="233" w:line="219" w:lineRule="auto"/>
              <w:rPr>
                <w:sz w:val="12"/>
                <w:szCs w:val="12"/>
              </w:rPr>
            </w:pPr>
            <w:r>
              <w:rPr>
                <w:sz w:val="12"/>
                <w:szCs w:val="12"/>
                <w:spacing w:val="-1"/>
              </w:rPr>
              <w:t>稀释1000-1500倍液</w:t>
            </w:r>
          </w:p>
        </w:tc>
        <w:tc>
          <w:tcPr>
            <w:tcW w:w="1069" w:type="dxa"/>
            <w:vAlign w:val="top"/>
            <w:vMerge w:val="continue"/>
            <w:tcBorders>
              <w:bottom w:val="single" w:color="000000" w:sz="2" w:space="0"/>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136"/>
              <w:spacing w:before="234" w:line="221" w:lineRule="auto"/>
              <w:rPr>
                <w:sz w:val="12"/>
                <w:szCs w:val="12"/>
              </w:rPr>
            </w:pPr>
            <w:r>
              <w:rPr>
                <w:sz w:val="12"/>
                <w:szCs w:val="12"/>
                <w:spacing w:val="3"/>
              </w:rPr>
              <w:t>(200</w:t>
            </w:r>
            <w:r>
              <w:rPr>
                <w:sz w:val="12"/>
                <w:szCs w:val="12"/>
              </w:rPr>
              <w:t>mL</w:t>
            </w:r>
            <w:r>
              <w:rPr>
                <w:sz w:val="12"/>
                <w:szCs w:val="12"/>
                <w:spacing w:val="3"/>
              </w:rPr>
              <w:t>/瓶)</w:t>
            </w:r>
          </w:p>
        </w:tc>
        <w:tc>
          <w:tcPr>
            <w:tcW w:w="2613" w:type="dxa"/>
            <w:vAlign w:val="top"/>
            <w:tcBorders>
              <w:bottom w:val="single" w:color="000000" w:sz="2" w:space="0"/>
              <w:top w:val="single" w:color="000000" w:sz="2" w:space="0"/>
            </w:tcBorders>
          </w:tcPr>
          <w:p>
            <w:pPr>
              <w:pStyle w:val="TableText"/>
              <w:ind w:left="7"/>
              <w:spacing w:before="233" w:line="219" w:lineRule="auto"/>
              <w:rPr>
                <w:sz w:val="12"/>
                <w:szCs w:val="12"/>
              </w:rPr>
            </w:pPr>
            <w:r>
              <w:rPr>
                <w:sz w:val="12"/>
                <w:szCs w:val="12"/>
                <w:spacing w:val="-1"/>
              </w:rPr>
              <w:t>防治花木腐烂病、叶斑病、枯萎病、炭疸病等</w:t>
            </w:r>
          </w:p>
        </w:tc>
      </w:tr>
      <w:tr>
        <w:trPr>
          <w:trHeight w:val="76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spacing w:line="282" w:lineRule="auto"/>
              <w:rPr>
                <w:rFonts w:ascii="Arial"/>
                <w:sz w:val="21"/>
              </w:rPr>
            </w:pPr>
            <w:r/>
          </w:p>
          <w:p>
            <w:pPr>
              <w:pStyle w:val="TableText"/>
              <w:ind w:left="443"/>
              <w:spacing w:before="39" w:line="219" w:lineRule="auto"/>
              <w:rPr>
                <w:sz w:val="12"/>
                <w:szCs w:val="12"/>
              </w:rPr>
            </w:pPr>
            <w:r>
              <w:rPr>
                <w:sz w:val="12"/>
                <w:szCs w:val="12"/>
                <w:spacing w:val="-1"/>
              </w:rPr>
              <w:t>普力克</w:t>
            </w:r>
          </w:p>
        </w:tc>
        <w:tc>
          <w:tcPr>
            <w:tcW w:w="1949" w:type="dxa"/>
            <w:vAlign w:val="top"/>
            <w:tcBorders>
              <w:bottom w:val="single" w:color="000000" w:sz="2" w:space="0"/>
              <w:top w:val="single" w:color="000000" w:sz="2" w:space="0"/>
            </w:tcBorders>
          </w:tcPr>
          <w:p>
            <w:pPr>
              <w:spacing w:line="283" w:lineRule="auto"/>
              <w:rPr>
                <w:rFonts w:ascii="Arial"/>
                <w:sz w:val="21"/>
              </w:rPr>
            </w:pPr>
            <w:r/>
          </w:p>
          <w:p>
            <w:pPr>
              <w:pStyle w:val="TableText"/>
              <w:ind w:left="634"/>
              <w:spacing w:before="39" w:line="220" w:lineRule="auto"/>
              <w:rPr>
                <w:sz w:val="12"/>
                <w:szCs w:val="12"/>
              </w:rPr>
            </w:pPr>
            <w:r>
              <w:rPr>
                <w:sz w:val="12"/>
                <w:szCs w:val="12"/>
                <w:spacing w:val="-1"/>
              </w:rPr>
              <w:t>72.2%丙酸胺</w:t>
            </w:r>
          </w:p>
        </w:tc>
        <w:tc>
          <w:tcPr>
            <w:tcW w:w="1639" w:type="dxa"/>
            <w:vAlign w:val="top"/>
            <w:tcBorders>
              <w:bottom w:val="single" w:color="000000" w:sz="2" w:space="0"/>
              <w:top w:val="single" w:color="000000" w:sz="2" w:space="0"/>
            </w:tcBorders>
          </w:tcPr>
          <w:p>
            <w:pPr>
              <w:spacing w:line="283" w:lineRule="auto"/>
              <w:rPr>
                <w:rFonts w:ascii="Arial"/>
                <w:sz w:val="21"/>
              </w:rPr>
            </w:pPr>
            <w:r/>
          </w:p>
          <w:p>
            <w:pPr>
              <w:pStyle w:val="TableText"/>
              <w:ind w:left="455"/>
              <w:spacing w:before="39" w:line="220" w:lineRule="auto"/>
              <w:rPr>
                <w:sz w:val="12"/>
                <w:szCs w:val="12"/>
              </w:rPr>
            </w:pPr>
            <w:r>
              <w:rPr>
                <w:sz w:val="12"/>
                <w:szCs w:val="12"/>
                <w:spacing w:val="-1"/>
              </w:rPr>
              <w:t>800-1000倍波</w:t>
            </w:r>
          </w:p>
        </w:tc>
        <w:tc>
          <w:tcPr>
            <w:tcW w:w="1069" w:type="dxa"/>
            <w:vAlign w:val="top"/>
            <w:tcBorders>
              <w:bottom w:val="single" w:color="000000" w:sz="2" w:space="0"/>
              <w:top w:val="single" w:color="000000" w:sz="2" w:space="0"/>
            </w:tcBorders>
          </w:tcPr>
          <w:p>
            <w:pPr>
              <w:pStyle w:val="TableText"/>
              <w:ind w:left="16" w:right="22" w:firstLine="29"/>
              <w:spacing w:before="103" w:line="233" w:lineRule="auto"/>
              <w:rPr>
                <w:sz w:val="12"/>
                <w:szCs w:val="12"/>
              </w:rPr>
            </w:pPr>
            <w:r>
              <w:rPr>
                <w:sz w:val="12"/>
                <w:szCs w:val="12"/>
                <w:spacing w:val="-2"/>
              </w:rPr>
              <w:t>10天一次，连续喷</w:t>
            </w:r>
            <w:r>
              <w:rPr>
                <w:sz w:val="12"/>
                <w:szCs w:val="12"/>
                <w:spacing w:val="1"/>
              </w:rPr>
              <w:t xml:space="preserve">  </w:t>
            </w:r>
            <w:r>
              <w:rPr>
                <w:sz w:val="12"/>
                <w:szCs w:val="12"/>
              </w:rPr>
              <w:t>酒病部地面2-3次，</w:t>
            </w:r>
          </w:p>
          <w:p>
            <w:pPr>
              <w:pStyle w:val="TableText"/>
              <w:ind w:left="373" w:hanging="327"/>
              <w:spacing w:before="7" w:line="209" w:lineRule="auto"/>
              <w:rPr>
                <w:sz w:val="12"/>
                <w:szCs w:val="12"/>
              </w:rPr>
            </w:pPr>
            <w:r>
              <w:rPr>
                <w:sz w:val="12"/>
                <w:szCs w:val="12"/>
                <w:spacing w:val="-1"/>
              </w:rPr>
              <w:t>喷药1小时内遇雨，</w:t>
            </w:r>
            <w:r>
              <w:rPr>
                <w:sz w:val="12"/>
                <w:szCs w:val="12"/>
              </w:rPr>
              <w:t xml:space="preserve"> </w:t>
            </w:r>
            <w:r>
              <w:rPr>
                <w:sz w:val="12"/>
                <w:szCs w:val="12"/>
                <w:spacing w:val="-4"/>
              </w:rPr>
              <w:t>需重唤</w:t>
            </w:r>
          </w:p>
        </w:tc>
        <w:tc>
          <w:tcPr>
            <w:tcW w:w="879" w:type="dxa"/>
            <w:vAlign w:val="top"/>
            <w:tcBorders>
              <w:bottom w:val="single" w:color="000000" w:sz="2" w:space="0"/>
              <w:top w:val="single" w:color="000000" w:sz="2" w:space="0"/>
            </w:tcBorders>
          </w:tcPr>
          <w:p>
            <w:pPr>
              <w:spacing w:line="283" w:lineRule="auto"/>
              <w:rPr>
                <w:rFonts w:ascii="Arial"/>
                <w:sz w:val="21"/>
              </w:rPr>
            </w:pPr>
            <w:r/>
          </w:p>
          <w:p>
            <w:pPr>
              <w:pStyle w:val="TableText"/>
              <w:ind w:left="196"/>
              <w:spacing w:before="39" w:line="221" w:lineRule="auto"/>
              <w:rPr>
                <w:sz w:val="12"/>
                <w:szCs w:val="12"/>
              </w:rPr>
            </w:pPr>
            <w:r>
              <w:rPr>
                <w:sz w:val="12"/>
                <w:szCs w:val="12"/>
                <w:spacing w:val="-2"/>
              </w:rPr>
              <w:t>100ml/瓶</w:t>
            </w:r>
          </w:p>
        </w:tc>
        <w:tc>
          <w:tcPr>
            <w:tcW w:w="2613" w:type="dxa"/>
            <w:vAlign w:val="top"/>
            <w:tcBorders>
              <w:bottom w:val="single" w:color="000000" w:sz="2" w:space="0"/>
              <w:top w:val="single" w:color="000000" w:sz="2" w:space="0"/>
            </w:tcBorders>
          </w:tcPr>
          <w:p>
            <w:pPr>
              <w:spacing w:line="282" w:lineRule="auto"/>
              <w:rPr>
                <w:rFonts w:ascii="Arial"/>
                <w:sz w:val="21"/>
              </w:rPr>
            </w:pPr>
            <w:r/>
          </w:p>
          <w:p>
            <w:pPr>
              <w:pStyle w:val="TableText"/>
              <w:ind w:left="7"/>
              <w:spacing w:before="39" w:line="219" w:lineRule="auto"/>
              <w:rPr>
                <w:sz w:val="12"/>
                <w:szCs w:val="12"/>
              </w:rPr>
            </w:pPr>
            <w:r>
              <w:rPr>
                <w:sz w:val="12"/>
                <w:szCs w:val="12"/>
                <w:spacing w:val="-1"/>
              </w:rPr>
              <w:t>对根腐病、霜霉病、立枯病、猝倒病有特效</w:t>
            </w:r>
          </w:p>
        </w:tc>
      </w:tr>
      <w:tr>
        <w:trPr>
          <w:trHeight w:val="36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443"/>
              <w:spacing w:before="124" w:line="219" w:lineRule="auto"/>
              <w:rPr>
                <w:sz w:val="12"/>
                <w:szCs w:val="12"/>
              </w:rPr>
            </w:pPr>
            <w:r>
              <w:rPr>
                <w:sz w:val="12"/>
                <w:szCs w:val="12"/>
                <w:spacing w:val="-1"/>
              </w:rPr>
              <w:t>链霉素</w:t>
            </w:r>
          </w:p>
        </w:tc>
        <w:tc>
          <w:tcPr>
            <w:tcW w:w="1949" w:type="dxa"/>
            <w:vAlign w:val="top"/>
            <w:tcBorders>
              <w:bottom w:val="single" w:color="000000" w:sz="2" w:space="0"/>
              <w:top w:val="single" w:color="000000" w:sz="2" w:space="0"/>
            </w:tcBorders>
          </w:tcPr>
          <w:p>
            <w:pPr>
              <w:pStyle w:val="TableText"/>
              <w:ind w:left="694"/>
              <w:spacing w:before="124" w:line="219" w:lineRule="auto"/>
              <w:rPr>
                <w:sz w:val="12"/>
                <w:szCs w:val="12"/>
              </w:rPr>
            </w:pPr>
            <w:r>
              <w:rPr>
                <w:sz w:val="12"/>
                <w:szCs w:val="12"/>
                <w:spacing w:val="-1"/>
              </w:rPr>
              <w:t>72%链霉素</w:t>
            </w:r>
          </w:p>
        </w:tc>
        <w:tc>
          <w:tcPr>
            <w:tcW w:w="1639" w:type="dxa"/>
            <w:vAlign w:val="top"/>
            <w:tcBorders>
              <w:bottom w:val="single" w:color="000000" w:sz="2" w:space="0"/>
              <w:top w:val="single" w:color="000000" w:sz="2" w:space="0"/>
            </w:tcBorders>
          </w:tcPr>
          <w:p>
            <w:pPr>
              <w:pStyle w:val="TableText"/>
              <w:ind w:left="574"/>
              <w:spacing w:before="124" w:line="220" w:lineRule="auto"/>
              <w:rPr>
                <w:sz w:val="12"/>
                <w:szCs w:val="12"/>
              </w:rPr>
            </w:pPr>
            <w:r>
              <w:rPr>
                <w:sz w:val="12"/>
                <w:szCs w:val="12"/>
                <w:spacing w:val="-1"/>
              </w:rPr>
              <w:t>3000倍液</w:t>
            </w:r>
          </w:p>
        </w:tc>
        <w:tc>
          <w:tcPr>
            <w:tcW w:w="1069" w:type="dxa"/>
            <w:vAlign w:val="top"/>
            <w:vMerge w:val="restart"/>
            <w:tcBorders>
              <w:bottom w:val="nil"/>
              <w:top w:val="single" w:color="000000" w:sz="2" w:space="0"/>
            </w:tcBorders>
          </w:tcPr>
          <w:p>
            <w:pPr>
              <w:pStyle w:val="TableText"/>
              <w:ind w:left="155" w:right="23" w:hanging="79"/>
              <w:spacing w:before="244" w:line="209" w:lineRule="auto"/>
              <w:rPr>
                <w:sz w:val="12"/>
                <w:szCs w:val="12"/>
              </w:rPr>
            </w:pPr>
            <w:r>
              <w:rPr>
                <w:sz w:val="12"/>
                <w:szCs w:val="12"/>
                <w:spacing w:val="-1"/>
              </w:rPr>
              <w:t>每10天喷施一次，</w:t>
            </w:r>
            <w:r>
              <w:rPr>
                <w:sz w:val="12"/>
                <w:szCs w:val="12"/>
                <w:spacing w:val="7"/>
              </w:rPr>
              <w:t xml:space="preserve"> </w:t>
            </w:r>
            <w:r>
              <w:rPr>
                <w:sz w:val="12"/>
                <w:szCs w:val="12"/>
              </w:rPr>
              <w:t>连唤3至4次。</w:t>
            </w:r>
          </w:p>
        </w:tc>
        <w:tc>
          <w:tcPr>
            <w:tcW w:w="879" w:type="dxa"/>
            <w:vAlign w:val="top"/>
            <w:tcBorders>
              <w:bottom w:val="single" w:color="000000" w:sz="2" w:space="0"/>
              <w:top w:val="single" w:color="000000" w:sz="2" w:space="0"/>
            </w:tcBorders>
          </w:tcPr>
          <w:p>
            <w:pPr>
              <w:pStyle w:val="TableText"/>
              <w:ind w:left="287"/>
              <w:spacing w:before="120" w:line="213" w:lineRule="auto"/>
              <w:rPr>
                <w:sz w:val="12"/>
                <w:szCs w:val="12"/>
              </w:rPr>
            </w:pPr>
            <w:r>
              <w:rPr>
                <w:sz w:val="12"/>
                <w:szCs w:val="12"/>
                <w:spacing w:val="-2"/>
              </w:rPr>
              <w:t>5g/袋</w:t>
            </w:r>
          </w:p>
        </w:tc>
        <w:tc>
          <w:tcPr>
            <w:tcW w:w="2613" w:type="dxa"/>
            <w:vAlign w:val="top"/>
            <w:vMerge w:val="restart"/>
            <w:tcBorders>
              <w:bottom w:val="nil"/>
              <w:top w:val="single" w:color="000000" w:sz="2" w:space="0"/>
            </w:tcBorders>
          </w:tcPr>
          <w:p>
            <w:pPr>
              <w:spacing w:line="263" w:lineRule="auto"/>
              <w:rPr>
                <w:rFonts w:ascii="Arial"/>
                <w:sz w:val="21"/>
              </w:rPr>
            </w:pPr>
            <w:r/>
          </w:p>
          <w:p>
            <w:pPr>
              <w:pStyle w:val="TableText"/>
              <w:ind w:left="7"/>
              <w:spacing w:before="39" w:line="219" w:lineRule="auto"/>
              <w:rPr>
                <w:sz w:val="12"/>
                <w:szCs w:val="12"/>
              </w:rPr>
            </w:pPr>
            <w:r>
              <w:rPr>
                <w:sz w:val="12"/>
                <w:szCs w:val="12"/>
                <w:spacing w:val="-1"/>
              </w:rPr>
              <w:t>防治细菌性穿孔病，对细菌性病害有特效</w:t>
            </w:r>
          </w:p>
        </w:tc>
      </w:tr>
      <w:tr>
        <w:trPr>
          <w:trHeight w:val="355"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443"/>
              <w:spacing w:before="124" w:line="219" w:lineRule="auto"/>
              <w:rPr>
                <w:sz w:val="12"/>
                <w:szCs w:val="12"/>
              </w:rPr>
            </w:pPr>
            <w:r>
              <w:rPr>
                <w:sz w:val="12"/>
                <w:szCs w:val="12"/>
                <w:spacing w:val="-2"/>
              </w:rPr>
              <w:t>细菌灵</w:t>
            </w:r>
          </w:p>
        </w:tc>
        <w:tc>
          <w:tcPr>
            <w:tcW w:w="1949" w:type="dxa"/>
            <w:vAlign w:val="top"/>
            <w:tcBorders>
              <w:bottom w:val="single" w:color="000000" w:sz="2" w:space="0"/>
              <w:top w:val="single" w:color="000000" w:sz="2" w:space="0"/>
            </w:tcBorders>
          </w:tcPr>
          <w:p>
            <w:pPr>
              <w:pStyle w:val="TableText"/>
              <w:ind w:left="303"/>
              <w:spacing w:before="144" w:line="219" w:lineRule="auto"/>
              <w:rPr>
                <w:sz w:val="12"/>
                <w:szCs w:val="12"/>
              </w:rPr>
            </w:pPr>
            <w:r>
              <w:rPr>
                <w:sz w:val="12"/>
                <w:szCs w:val="12"/>
                <w:spacing w:val="-1"/>
              </w:rPr>
              <w:t>40%多卤灵、30%中生霉素</w:t>
            </w:r>
          </w:p>
        </w:tc>
        <w:tc>
          <w:tcPr>
            <w:tcW w:w="1639" w:type="dxa"/>
            <w:vAlign w:val="top"/>
            <w:tcBorders>
              <w:bottom w:val="single" w:color="000000" w:sz="2" w:space="0"/>
              <w:top w:val="single" w:color="000000" w:sz="2" w:space="0"/>
            </w:tcBorders>
          </w:tcPr>
          <w:p>
            <w:pPr>
              <w:pStyle w:val="TableText"/>
              <w:ind w:left="544"/>
              <w:spacing w:before="144" w:line="220" w:lineRule="auto"/>
              <w:rPr>
                <w:sz w:val="12"/>
                <w:szCs w:val="12"/>
              </w:rPr>
            </w:pPr>
            <w:r>
              <w:rPr>
                <w:sz w:val="12"/>
                <w:szCs w:val="12"/>
                <w:spacing w:val="-1"/>
              </w:rPr>
              <w:t>500-600倍</w:t>
            </w:r>
          </w:p>
        </w:tc>
        <w:tc>
          <w:tcPr>
            <w:tcW w:w="1069" w:type="dxa"/>
            <w:vAlign w:val="top"/>
            <w:vMerge w:val="continue"/>
            <w:tcBorders>
              <w:bottom w:val="single" w:color="000000" w:sz="2" w:space="0"/>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256"/>
              <w:spacing w:before="141" w:line="213" w:lineRule="auto"/>
              <w:rPr>
                <w:sz w:val="12"/>
                <w:szCs w:val="12"/>
              </w:rPr>
            </w:pPr>
            <w:r>
              <w:rPr>
                <w:sz w:val="12"/>
                <w:szCs w:val="12"/>
                <w:spacing w:val="-1"/>
              </w:rPr>
              <w:t>25g/袋</w:t>
            </w:r>
          </w:p>
        </w:tc>
        <w:tc>
          <w:tcPr>
            <w:tcW w:w="2613" w:type="dxa"/>
            <w:vAlign w:val="top"/>
            <w:vMerge w:val="continue"/>
            <w:tcBorders>
              <w:bottom w:val="single" w:color="000000" w:sz="2" w:space="0"/>
              <w:top w:val="nil"/>
            </w:tcBorders>
          </w:tcPr>
          <w:p>
            <w:pPr>
              <w:rPr>
                <w:rFonts w:ascii="Arial"/>
                <w:sz w:val="21"/>
              </w:rPr>
            </w:pPr>
            <w:r/>
          </w:p>
        </w:tc>
      </w:tr>
      <w:tr>
        <w:trPr>
          <w:trHeight w:val="53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443"/>
              <w:spacing w:before="214" w:line="219" w:lineRule="auto"/>
              <w:rPr>
                <w:sz w:val="12"/>
                <w:szCs w:val="12"/>
              </w:rPr>
            </w:pPr>
            <w:r>
              <w:rPr>
                <w:sz w:val="12"/>
                <w:szCs w:val="12"/>
                <w:spacing w:val="-2"/>
              </w:rPr>
              <w:t>植病灵</w:t>
            </w:r>
          </w:p>
        </w:tc>
        <w:tc>
          <w:tcPr>
            <w:tcW w:w="1949" w:type="dxa"/>
            <w:vAlign w:val="top"/>
            <w:tcBorders>
              <w:bottom w:val="single" w:color="000000" w:sz="2" w:space="0"/>
              <w:top w:val="single" w:color="000000" w:sz="2" w:space="0"/>
            </w:tcBorders>
          </w:tcPr>
          <w:p>
            <w:pPr>
              <w:pStyle w:val="TableText"/>
              <w:ind w:left="363"/>
              <w:spacing w:before="214" w:line="220" w:lineRule="auto"/>
              <w:rPr>
                <w:sz w:val="12"/>
                <w:szCs w:val="12"/>
              </w:rPr>
            </w:pPr>
            <w:r>
              <w:rPr>
                <w:sz w:val="12"/>
                <w:szCs w:val="12"/>
                <w:spacing w:val="-1"/>
              </w:rPr>
              <w:t>盐酸金刚乙胺、丙环唑</w:t>
            </w:r>
          </w:p>
        </w:tc>
        <w:tc>
          <w:tcPr>
            <w:tcW w:w="1639" w:type="dxa"/>
            <w:vAlign w:val="top"/>
            <w:tcBorders>
              <w:bottom w:val="single" w:color="000000" w:sz="2" w:space="0"/>
              <w:top w:val="single" w:color="000000" w:sz="2" w:space="0"/>
            </w:tcBorders>
          </w:tcPr>
          <w:p>
            <w:pPr>
              <w:pStyle w:val="TableText"/>
              <w:ind w:left="604"/>
              <w:spacing w:before="214" w:line="220" w:lineRule="auto"/>
              <w:rPr>
                <w:sz w:val="12"/>
                <w:szCs w:val="12"/>
              </w:rPr>
            </w:pPr>
            <w:r>
              <w:rPr>
                <w:sz w:val="12"/>
                <w:szCs w:val="12"/>
                <w:spacing w:val="-1"/>
              </w:rPr>
              <w:t>800倍液</w:t>
            </w:r>
          </w:p>
        </w:tc>
        <w:tc>
          <w:tcPr>
            <w:tcW w:w="1069" w:type="dxa"/>
            <w:vAlign w:val="top"/>
            <w:tcBorders>
              <w:bottom w:val="single" w:color="000000" w:sz="2" w:space="0"/>
              <w:top w:val="single" w:color="000000" w:sz="2" w:space="0"/>
            </w:tcBorders>
          </w:tcPr>
          <w:p>
            <w:pPr>
              <w:pStyle w:val="TableText"/>
              <w:ind w:left="16" w:right="22"/>
              <w:spacing w:before="64" w:line="230" w:lineRule="auto"/>
              <w:rPr>
                <w:sz w:val="12"/>
                <w:szCs w:val="12"/>
              </w:rPr>
            </w:pPr>
            <w:r>
              <w:rPr>
                <w:sz w:val="12"/>
                <w:szCs w:val="12"/>
                <w:spacing w:val="-1"/>
              </w:rPr>
              <w:t>发病初期，每5-7天</w:t>
            </w:r>
            <w:r>
              <w:rPr>
                <w:sz w:val="12"/>
                <w:szCs w:val="12"/>
                <w:spacing w:val="2"/>
              </w:rPr>
              <w:t xml:space="preserve"> </w:t>
            </w:r>
            <w:r>
              <w:rPr>
                <w:sz w:val="12"/>
                <w:szCs w:val="12"/>
              </w:rPr>
              <w:t>喷施一次，喷3遍，</w:t>
            </w:r>
          </w:p>
          <w:p>
            <w:pPr>
              <w:pStyle w:val="TableText"/>
              <w:ind w:left="186"/>
              <w:spacing w:line="219" w:lineRule="auto"/>
              <w:rPr>
                <w:sz w:val="12"/>
                <w:szCs w:val="12"/>
              </w:rPr>
            </w:pPr>
            <w:r>
              <w:rPr>
                <w:sz w:val="12"/>
                <w:szCs w:val="12"/>
              </w:rPr>
              <w:t>可减轻危害。</w:t>
            </w:r>
          </w:p>
        </w:tc>
        <w:tc>
          <w:tcPr>
            <w:tcW w:w="879" w:type="dxa"/>
            <w:vAlign w:val="top"/>
            <w:tcBorders>
              <w:bottom w:val="single" w:color="000000" w:sz="2" w:space="0"/>
              <w:top w:val="single" w:color="000000" w:sz="2" w:space="0"/>
            </w:tcBorders>
          </w:tcPr>
          <w:p>
            <w:pPr>
              <w:pStyle w:val="TableText"/>
              <w:ind w:left="226"/>
              <w:spacing w:before="214" w:line="221" w:lineRule="auto"/>
              <w:rPr>
                <w:sz w:val="12"/>
                <w:szCs w:val="12"/>
              </w:rPr>
            </w:pPr>
            <w:r>
              <w:rPr>
                <w:sz w:val="12"/>
                <w:szCs w:val="12"/>
                <w:spacing w:val="-2"/>
              </w:rPr>
              <w:t>15nl/瓶</w:t>
            </w:r>
          </w:p>
        </w:tc>
        <w:tc>
          <w:tcPr>
            <w:tcW w:w="2613" w:type="dxa"/>
            <w:vAlign w:val="top"/>
            <w:tcBorders>
              <w:bottom w:val="single" w:color="000000" w:sz="2" w:space="0"/>
              <w:top w:val="single" w:color="000000" w:sz="2" w:space="0"/>
            </w:tcBorders>
          </w:tcPr>
          <w:p>
            <w:pPr>
              <w:pStyle w:val="TableText"/>
              <w:ind w:left="7"/>
              <w:spacing w:before="214" w:line="219" w:lineRule="auto"/>
              <w:rPr>
                <w:sz w:val="12"/>
                <w:szCs w:val="12"/>
              </w:rPr>
            </w:pPr>
            <w:r>
              <w:rPr>
                <w:sz w:val="12"/>
                <w:szCs w:val="12"/>
                <w:spacing w:val="-1"/>
              </w:rPr>
              <w:t>防治花叶病，对病毒性病害有特效</w:t>
            </w:r>
          </w:p>
        </w:tc>
      </w:tr>
      <w:tr>
        <w:trPr>
          <w:trHeight w:val="434" w:hRule="atLeast"/>
        </w:trPr>
        <w:tc>
          <w:tcPr>
            <w:tcW w:w="425" w:type="dxa"/>
            <w:vAlign w:val="top"/>
            <w:vMerge w:val="continue"/>
            <w:tcBorders>
              <w:bottom w:val="nil"/>
              <w:top w:val="nil"/>
            </w:tcBorders>
          </w:tcPr>
          <w:p>
            <w:pPr>
              <w:rPr>
                <w:rFonts w:ascii="Arial"/>
                <w:sz w:val="21"/>
              </w:rPr>
            </w:pPr>
            <w:r/>
          </w:p>
        </w:tc>
        <w:tc>
          <w:tcPr>
            <w:tcW w:w="58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698" w:type="dxa"/>
            <w:vAlign w:val="top"/>
            <w:vMerge w:val="continue"/>
            <w:tcBorders>
              <w:bottom w:val="nil"/>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203"/>
              <w:spacing w:before="164" w:line="219" w:lineRule="auto"/>
              <w:rPr>
                <w:sz w:val="12"/>
                <w:szCs w:val="12"/>
              </w:rPr>
            </w:pPr>
            <w:r>
              <w:rPr>
                <w:sz w:val="12"/>
                <w:szCs w:val="12"/>
                <w:spacing w:val="3"/>
              </w:rPr>
              <w:t>特克多(噻菌灵)</w:t>
            </w:r>
          </w:p>
        </w:tc>
        <w:tc>
          <w:tcPr>
            <w:tcW w:w="1949" w:type="dxa"/>
            <w:vAlign w:val="top"/>
            <w:tcBorders>
              <w:bottom w:val="single" w:color="000000" w:sz="2" w:space="0"/>
              <w:top w:val="single" w:color="000000" w:sz="2" w:space="0"/>
            </w:tcBorders>
          </w:tcPr>
          <w:p>
            <w:pPr>
              <w:pStyle w:val="TableText"/>
              <w:ind w:left="724"/>
              <w:spacing w:before="164" w:line="218" w:lineRule="auto"/>
              <w:rPr>
                <w:sz w:val="12"/>
                <w:szCs w:val="12"/>
              </w:rPr>
            </w:pPr>
            <w:r>
              <w:rPr>
                <w:sz w:val="12"/>
                <w:szCs w:val="12"/>
                <w:spacing w:val="-2"/>
              </w:rPr>
              <w:t>苯咪唑类</w:t>
            </w:r>
          </w:p>
        </w:tc>
        <w:tc>
          <w:tcPr>
            <w:tcW w:w="1639" w:type="dxa"/>
            <w:vAlign w:val="top"/>
            <w:tcBorders>
              <w:bottom w:val="single" w:color="000000" w:sz="2" w:space="0"/>
              <w:top w:val="single" w:color="000000" w:sz="2" w:space="0"/>
            </w:tcBorders>
          </w:tcPr>
          <w:p>
            <w:pPr>
              <w:pStyle w:val="TableText"/>
              <w:ind w:left="305"/>
              <w:spacing w:before="164" w:line="218" w:lineRule="auto"/>
              <w:rPr>
                <w:sz w:val="12"/>
                <w:szCs w:val="12"/>
              </w:rPr>
            </w:pPr>
            <w:r>
              <w:rPr>
                <w:sz w:val="12"/>
                <w:szCs w:val="12"/>
                <w:spacing w:val="-1"/>
              </w:rPr>
              <w:t>45悬浮剂600-800倍</w:t>
            </w:r>
          </w:p>
        </w:tc>
        <w:tc>
          <w:tcPr>
            <w:tcW w:w="1069" w:type="dxa"/>
            <w:vAlign w:val="top"/>
            <w:vMerge w:val="restart"/>
            <w:tcBorders>
              <w:bottom w:val="nil"/>
              <w:top w:val="single" w:color="000000" w:sz="2" w:space="0"/>
            </w:tcBorders>
          </w:tcPr>
          <w:p>
            <w:pPr>
              <w:spacing w:line="372" w:lineRule="auto"/>
              <w:rPr>
                <w:rFonts w:ascii="Arial"/>
                <w:sz w:val="21"/>
              </w:rPr>
            </w:pPr>
            <w:r/>
          </w:p>
          <w:p>
            <w:pPr>
              <w:pStyle w:val="TableText"/>
              <w:ind w:left="235" w:right="22" w:hanging="159"/>
              <w:spacing w:before="39" w:line="233" w:lineRule="auto"/>
              <w:rPr>
                <w:sz w:val="12"/>
                <w:szCs w:val="12"/>
              </w:rPr>
            </w:pPr>
            <w:r>
              <w:rPr>
                <w:sz w:val="12"/>
                <w:szCs w:val="12"/>
              </w:rPr>
              <w:t>间隔10-15天1次， </w:t>
            </w:r>
            <w:r>
              <w:rPr>
                <w:sz w:val="12"/>
                <w:szCs w:val="12"/>
                <w:spacing w:val="-1"/>
              </w:rPr>
              <w:t>连喷2-3次</w:t>
            </w:r>
          </w:p>
        </w:tc>
        <w:tc>
          <w:tcPr>
            <w:tcW w:w="879" w:type="dxa"/>
            <w:vAlign w:val="top"/>
            <w:tcBorders>
              <w:bottom w:val="single" w:color="000000" w:sz="2" w:space="0"/>
              <w:top w:val="single" w:color="000000" w:sz="2" w:space="0"/>
            </w:tcBorders>
          </w:tcPr>
          <w:p>
            <w:pPr>
              <w:pStyle w:val="TableText"/>
              <w:ind w:left="196"/>
              <w:spacing w:before="165" w:line="221" w:lineRule="auto"/>
              <w:rPr>
                <w:sz w:val="12"/>
                <w:szCs w:val="12"/>
              </w:rPr>
            </w:pPr>
            <w:r>
              <w:rPr>
                <w:sz w:val="12"/>
                <w:szCs w:val="12"/>
                <w:spacing w:val="-2"/>
              </w:rPr>
              <w:t>100ml/瓶</w:t>
            </w:r>
          </w:p>
        </w:tc>
        <w:tc>
          <w:tcPr>
            <w:tcW w:w="2613" w:type="dxa"/>
            <w:vAlign w:val="top"/>
            <w:tcBorders>
              <w:bottom w:val="single" w:color="000000" w:sz="2" w:space="0"/>
              <w:top w:val="single" w:color="000000" w:sz="2" w:space="0"/>
            </w:tcBorders>
          </w:tcPr>
          <w:p>
            <w:pPr>
              <w:pStyle w:val="TableText"/>
              <w:ind w:left="7" w:right="66"/>
              <w:spacing w:before="83" w:line="249" w:lineRule="auto"/>
              <w:rPr>
                <w:sz w:val="12"/>
                <w:szCs w:val="12"/>
              </w:rPr>
            </w:pPr>
            <w:r>
              <w:rPr>
                <w:sz w:val="12"/>
                <w:szCs w:val="12"/>
              </w:rPr>
              <w:t>防治叶斑病、青霉病、炭疸病、灰霉病、黑星病</w:t>
            </w:r>
            <w:r>
              <w:rPr>
                <w:sz w:val="12"/>
                <w:szCs w:val="12"/>
                <w:spacing w:val="7"/>
              </w:rPr>
              <w:t xml:space="preserve"> </w:t>
            </w:r>
            <w:r>
              <w:rPr>
                <w:sz w:val="12"/>
                <w:szCs w:val="12"/>
                <w:color w:val="80A080"/>
                <w:spacing w:val="1"/>
              </w:rPr>
              <w:t>、</w:t>
            </w:r>
            <w:r>
              <w:rPr>
                <w:sz w:val="12"/>
                <w:szCs w:val="12"/>
                <w:spacing w:val="1"/>
              </w:rPr>
              <w:t>白粉病等防治</w:t>
            </w:r>
          </w:p>
        </w:tc>
      </w:tr>
      <w:tr>
        <w:trPr>
          <w:trHeight w:val="649" w:hRule="atLeast"/>
        </w:trPr>
        <w:tc>
          <w:tcPr>
            <w:tcW w:w="425" w:type="dxa"/>
            <w:vAlign w:val="top"/>
            <w:vMerge w:val="continue"/>
            <w:tcBorders>
              <w:bottom w:val="single" w:color="000000" w:sz="2" w:space="0"/>
              <w:top w:val="nil"/>
            </w:tcBorders>
          </w:tcPr>
          <w:p>
            <w:pPr>
              <w:rPr>
                <w:rFonts w:ascii="Arial"/>
                <w:sz w:val="21"/>
              </w:rPr>
            </w:pPr>
            <w:r/>
          </w:p>
        </w:tc>
        <w:tc>
          <w:tcPr>
            <w:tcW w:w="58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698" w:type="dxa"/>
            <w:vAlign w:val="top"/>
            <w:vMerge w:val="continue"/>
            <w:tcBorders>
              <w:bottom w:val="single" w:color="000000" w:sz="2" w:space="0"/>
              <w:top w:val="nil"/>
            </w:tcBorders>
          </w:tcPr>
          <w:p>
            <w:pPr>
              <w:rPr>
                <w:rFonts w:ascii="Arial"/>
                <w:sz w:val="21"/>
              </w:rPr>
            </w:pPr>
            <w:r/>
          </w:p>
        </w:tc>
        <w:tc>
          <w:tcPr>
            <w:tcW w:w="1269" w:type="dxa"/>
            <w:vAlign w:val="top"/>
            <w:tcBorders>
              <w:bottom w:val="single" w:color="000000" w:sz="2" w:space="0"/>
              <w:top w:val="single" w:color="000000" w:sz="2" w:space="0"/>
            </w:tcBorders>
          </w:tcPr>
          <w:p>
            <w:pPr>
              <w:pStyle w:val="TableText"/>
              <w:ind w:left="143"/>
              <w:spacing w:before="264" w:line="219" w:lineRule="auto"/>
              <w:rPr>
                <w:sz w:val="12"/>
                <w:szCs w:val="12"/>
              </w:rPr>
            </w:pPr>
            <w:r>
              <w:rPr>
                <w:sz w:val="12"/>
                <w:szCs w:val="12"/>
                <w:spacing w:val="2"/>
              </w:rPr>
              <w:t>好靓(丙硫多菌灵)</w:t>
            </w:r>
          </w:p>
        </w:tc>
        <w:tc>
          <w:tcPr>
            <w:tcW w:w="1949" w:type="dxa"/>
            <w:vAlign w:val="top"/>
            <w:tcBorders>
              <w:bottom w:val="single" w:color="000000" w:sz="2" w:space="0"/>
              <w:top w:val="single" w:color="000000" w:sz="2" w:space="0"/>
            </w:tcBorders>
          </w:tcPr>
          <w:p>
            <w:pPr>
              <w:pStyle w:val="TableText"/>
              <w:ind w:left="724"/>
              <w:spacing w:before="265" w:line="220" w:lineRule="auto"/>
              <w:rPr>
                <w:sz w:val="12"/>
                <w:szCs w:val="12"/>
              </w:rPr>
            </w:pPr>
            <w:r>
              <w:rPr>
                <w:sz w:val="12"/>
                <w:szCs w:val="12"/>
                <w:spacing w:val="-2"/>
              </w:rPr>
              <w:t>丙硫咪唑</w:t>
            </w:r>
          </w:p>
        </w:tc>
        <w:tc>
          <w:tcPr>
            <w:tcW w:w="1639" w:type="dxa"/>
            <w:vAlign w:val="top"/>
            <w:tcBorders>
              <w:bottom w:val="single" w:color="000000" w:sz="2" w:space="0"/>
              <w:top w:val="single" w:color="000000" w:sz="2" w:space="0"/>
            </w:tcBorders>
          </w:tcPr>
          <w:p>
            <w:pPr>
              <w:pStyle w:val="TableText"/>
              <w:ind w:left="275"/>
              <w:spacing w:before="264" w:line="219" w:lineRule="auto"/>
              <w:rPr>
                <w:sz w:val="12"/>
                <w:szCs w:val="12"/>
              </w:rPr>
            </w:pPr>
            <w:r>
              <w:rPr>
                <w:sz w:val="12"/>
                <w:szCs w:val="12"/>
                <w:spacing w:val="-1"/>
              </w:rPr>
              <w:t>20%好靓2000-3000倍</w:t>
            </w:r>
          </w:p>
        </w:tc>
        <w:tc>
          <w:tcPr>
            <w:tcW w:w="1069" w:type="dxa"/>
            <w:vAlign w:val="top"/>
            <w:vMerge w:val="continue"/>
            <w:tcBorders>
              <w:bottom w:val="single" w:color="000000" w:sz="2" w:space="0"/>
              <w:top w:val="nil"/>
            </w:tcBorders>
          </w:tcPr>
          <w:p>
            <w:pPr>
              <w:rPr>
                <w:rFonts w:ascii="Arial"/>
                <w:sz w:val="21"/>
              </w:rPr>
            </w:pPr>
            <w:r/>
          </w:p>
        </w:tc>
        <w:tc>
          <w:tcPr>
            <w:tcW w:w="879" w:type="dxa"/>
            <w:vAlign w:val="top"/>
            <w:tcBorders>
              <w:bottom w:val="single" w:color="000000" w:sz="2" w:space="0"/>
              <w:top w:val="single" w:color="000000" w:sz="2" w:space="0"/>
            </w:tcBorders>
          </w:tcPr>
          <w:p>
            <w:pPr>
              <w:pStyle w:val="TableText"/>
              <w:ind w:left="256"/>
              <w:spacing w:before="261" w:line="213" w:lineRule="auto"/>
              <w:rPr>
                <w:sz w:val="12"/>
                <w:szCs w:val="12"/>
              </w:rPr>
            </w:pPr>
            <w:r>
              <w:rPr>
                <w:sz w:val="12"/>
                <w:szCs w:val="12"/>
                <w:spacing w:val="-1"/>
              </w:rPr>
              <w:t>50g/袋</w:t>
            </w:r>
          </w:p>
        </w:tc>
        <w:tc>
          <w:tcPr>
            <w:tcW w:w="2613" w:type="dxa"/>
            <w:vAlign w:val="top"/>
            <w:tcBorders>
              <w:bottom w:val="single" w:color="000000" w:sz="2" w:space="0"/>
              <w:top w:val="single" w:color="000000" w:sz="2" w:space="0"/>
            </w:tcBorders>
          </w:tcPr>
          <w:p>
            <w:pPr>
              <w:pStyle w:val="TableText"/>
              <w:ind w:left="16" w:right="69" w:hanging="9"/>
              <w:spacing w:before="134" w:line="232" w:lineRule="auto"/>
              <w:jc w:val="both"/>
              <w:rPr>
                <w:sz w:val="12"/>
                <w:szCs w:val="12"/>
              </w:rPr>
            </w:pPr>
            <w:r>
              <w:rPr>
                <w:sz w:val="12"/>
                <w:szCs w:val="12"/>
              </w:rPr>
              <w:t>广谱内吸性杀菌剂。可用于防治枯萎病、疫病， </w:t>
            </w:r>
            <w:r>
              <w:rPr>
                <w:sz w:val="12"/>
                <w:szCs w:val="12"/>
                <w:spacing w:val="-1"/>
              </w:rPr>
              <w:t>腐霉病、立枯病，根腐病、享腐病、猝倒病等多</w:t>
            </w:r>
            <w:r>
              <w:rPr>
                <w:sz w:val="12"/>
                <w:szCs w:val="12"/>
                <w:spacing w:val="15"/>
              </w:rPr>
              <w:t xml:space="preserve"> </w:t>
            </w:r>
            <w:r>
              <w:rPr>
                <w:sz w:val="12"/>
                <w:szCs w:val="12"/>
                <w:spacing w:val="-1"/>
              </w:rPr>
              <w:t>种病害。使用方法：灌根，喷雾</w:t>
            </w:r>
          </w:p>
        </w:tc>
      </w:tr>
    </w:tbl>
    <w:p>
      <w:pPr>
        <w:spacing w:line="14" w:lineRule="auto"/>
        <w:rPr>
          <w:rFonts w:ascii="Arial"/>
          <w:sz w:val="2"/>
        </w:rPr>
      </w:pPr>
      <w:r/>
    </w:p>
    <w:p>
      <w:pPr>
        <w:spacing w:line="14" w:lineRule="auto"/>
        <w:sectPr>
          <w:pgSz w:w="14490" w:h="10240"/>
          <w:pgMar w:top="115" w:right="224" w:bottom="194" w:left="174" w:header="0" w:footer="0" w:gutter="0"/>
        </w:sectPr>
        <w:rPr>
          <w:rFonts w:ascii="Arial" w:hAnsi="Arial" w:eastAsia="Arial" w:cs="Arial"/>
          <w:sz w:val="2"/>
          <w:szCs w:val="2"/>
        </w:rPr>
      </w:pPr>
    </w:p>
    <w:tbl>
      <w:tblPr>
        <w:tblStyle w:val="TableNormal"/>
        <w:tblW w:w="140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80"/>
        <w:gridCol w:w="959"/>
        <w:gridCol w:w="2698"/>
        <w:gridCol w:w="1269"/>
        <w:gridCol w:w="1949"/>
        <w:gridCol w:w="1639"/>
        <w:gridCol w:w="1059"/>
        <w:gridCol w:w="879"/>
        <w:gridCol w:w="2623"/>
      </w:tblGrid>
      <w:tr>
        <w:trPr>
          <w:trHeight w:val="574" w:hRule="atLeast"/>
        </w:trPr>
        <w:tc>
          <w:tcPr>
            <w:tcW w:w="425" w:type="dxa"/>
            <w:vAlign w:val="top"/>
          </w:tcPr>
          <w:p>
            <w:pPr>
              <w:pStyle w:val="TableText"/>
              <w:ind w:left="86"/>
              <w:spacing w:before="228" w:line="219" w:lineRule="auto"/>
              <w:rPr>
                <w:sz w:val="12"/>
                <w:szCs w:val="12"/>
              </w:rPr>
            </w:pPr>
            <w:r>
              <w:rPr>
                <w:sz w:val="12"/>
                <w:szCs w:val="12"/>
                <w:b/>
                <w:bCs/>
                <w:spacing w:val="-3"/>
              </w:rPr>
              <w:t>分类</w:t>
            </w:r>
          </w:p>
        </w:tc>
        <w:tc>
          <w:tcPr>
            <w:tcW w:w="580" w:type="dxa"/>
            <w:vAlign w:val="top"/>
          </w:tcPr>
          <w:p>
            <w:pPr>
              <w:pStyle w:val="TableText"/>
              <w:ind w:left="41"/>
              <w:spacing w:before="68" w:line="219" w:lineRule="auto"/>
              <w:rPr>
                <w:sz w:val="12"/>
                <w:szCs w:val="12"/>
              </w:rPr>
            </w:pPr>
            <w:r>
              <w:rPr>
                <w:sz w:val="12"/>
                <w:szCs w:val="12"/>
                <w:b/>
                <w:bCs/>
                <w:spacing w:val="-3"/>
              </w:rPr>
              <w:t>消杀预防</w:t>
            </w:r>
          </w:p>
          <w:p>
            <w:pPr>
              <w:pStyle w:val="TableText"/>
              <w:ind w:left="170" w:right="62" w:hanging="139"/>
              <w:spacing w:before="8" w:line="232" w:lineRule="auto"/>
              <w:rPr>
                <w:sz w:val="12"/>
                <w:szCs w:val="12"/>
              </w:rPr>
            </w:pPr>
            <w:r>
              <w:rPr>
                <w:sz w:val="12"/>
                <w:szCs w:val="12"/>
                <w:b/>
                <w:bCs/>
                <w:spacing w:val="-3"/>
              </w:rPr>
              <w:t>及病虫害</w:t>
            </w:r>
            <w:r>
              <w:rPr>
                <w:sz w:val="12"/>
                <w:szCs w:val="12"/>
                <w:spacing w:val="1"/>
              </w:rPr>
              <w:t xml:space="preserve"> </w:t>
            </w:r>
            <w:r>
              <w:rPr>
                <w:sz w:val="12"/>
                <w:szCs w:val="12"/>
                <w:b/>
                <w:bCs/>
                <w:spacing w:val="-3"/>
              </w:rPr>
              <w:t>分类</w:t>
            </w:r>
          </w:p>
        </w:tc>
        <w:tc>
          <w:tcPr>
            <w:tcW w:w="959" w:type="dxa"/>
            <w:vAlign w:val="top"/>
          </w:tcPr>
          <w:p>
            <w:pPr>
              <w:pStyle w:val="TableText"/>
              <w:ind w:left="171"/>
              <w:spacing w:before="228" w:line="219" w:lineRule="auto"/>
              <w:rPr>
                <w:sz w:val="12"/>
                <w:szCs w:val="12"/>
              </w:rPr>
            </w:pPr>
            <w:r>
              <w:rPr>
                <w:sz w:val="12"/>
                <w:szCs w:val="12"/>
                <w:b/>
                <w:bCs/>
                <w:spacing w:val="-3"/>
              </w:rPr>
              <w:t>常见病虫害</w:t>
            </w:r>
          </w:p>
        </w:tc>
        <w:tc>
          <w:tcPr>
            <w:tcW w:w="2698" w:type="dxa"/>
            <w:vAlign w:val="top"/>
          </w:tcPr>
          <w:p>
            <w:pPr>
              <w:pStyle w:val="TableText"/>
              <w:ind w:left="1002"/>
              <w:spacing w:before="228" w:line="219" w:lineRule="auto"/>
              <w:rPr>
                <w:sz w:val="12"/>
                <w:szCs w:val="12"/>
              </w:rPr>
            </w:pPr>
            <w:r>
              <w:rPr>
                <w:sz w:val="12"/>
                <w:szCs w:val="12"/>
                <w:b/>
                <w:bCs/>
                <w:spacing w:val="-3"/>
              </w:rPr>
              <w:t>主要发病月份</w:t>
            </w:r>
          </w:p>
        </w:tc>
        <w:tc>
          <w:tcPr>
            <w:tcW w:w="1269" w:type="dxa"/>
            <w:vAlign w:val="top"/>
          </w:tcPr>
          <w:p>
            <w:pPr>
              <w:pStyle w:val="TableText"/>
              <w:ind w:left="384"/>
              <w:spacing w:before="228" w:line="220" w:lineRule="auto"/>
              <w:rPr>
                <w:sz w:val="12"/>
                <w:szCs w:val="12"/>
              </w:rPr>
            </w:pPr>
            <w:r>
              <w:rPr>
                <w:sz w:val="12"/>
                <w:szCs w:val="12"/>
                <w:b/>
                <w:bCs/>
                <w:spacing w:val="-3"/>
              </w:rPr>
              <w:t>药品名称</w:t>
            </w:r>
          </w:p>
        </w:tc>
        <w:tc>
          <w:tcPr>
            <w:tcW w:w="1949" w:type="dxa"/>
            <w:vAlign w:val="top"/>
          </w:tcPr>
          <w:p>
            <w:pPr>
              <w:pStyle w:val="TableText"/>
              <w:ind w:left="725"/>
              <w:spacing w:before="228" w:line="220" w:lineRule="auto"/>
              <w:rPr>
                <w:sz w:val="12"/>
                <w:szCs w:val="12"/>
              </w:rPr>
            </w:pPr>
            <w:r>
              <w:rPr>
                <w:sz w:val="12"/>
                <w:szCs w:val="12"/>
                <w:b/>
                <w:bCs/>
                <w:spacing w:val="-3"/>
              </w:rPr>
              <w:t>主要成分</w:t>
            </w:r>
          </w:p>
        </w:tc>
        <w:tc>
          <w:tcPr>
            <w:tcW w:w="1639" w:type="dxa"/>
            <w:vAlign w:val="top"/>
          </w:tcPr>
          <w:p>
            <w:pPr>
              <w:pStyle w:val="TableText"/>
              <w:ind w:left="576"/>
              <w:spacing w:before="228" w:line="219" w:lineRule="auto"/>
              <w:rPr>
                <w:sz w:val="12"/>
                <w:szCs w:val="12"/>
              </w:rPr>
            </w:pPr>
            <w:r>
              <w:rPr>
                <w:sz w:val="12"/>
                <w:szCs w:val="12"/>
                <w:b/>
                <w:bCs/>
                <w:spacing w:val="-3"/>
              </w:rPr>
              <w:t>使用倍率</w:t>
            </w:r>
          </w:p>
        </w:tc>
        <w:tc>
          <w:tcPr>
            <w:tcW w:w="1059" w:type="dxa"/>
            <w:vAlign w:val="top"/>
          </w:tcPr>
          <w:p>
            <w:pPr>
              <w:pStyle w:val="TableText"/>
              <w:ind w:left="287"/>
              <w:spacing w:before="228" w:line="219" w:lineRule="auto"/>
              <w:rPr>
                <w:sz w:val="12"/>
                <w:szCs w:val="12"/>
              </w:rPr>
            </w:pPr>
            <w:r>
              <w:rPr>
                <w:sz w:val="12"/>
                <w:szCs w:val="12"/>
                <w:b/>
                <w:bCs/>
                <w:spacing w:val="-3"/>
              </w:rPr>
              <w:t>施用次数</w:t>
            </w:r>
          </w:p>
        </w:tc>
        <w:tc>
          <w:tcPr>
            <w:tcW w:w="879" w:type="dxa"/>
            <w:vAlign w:val="top"/>
          </w:tcPr>
          <w:p>
            <w:pPr>
              <w:pStyle w:val="TableText"/>
              <w:ind w:left="318"/>
              <w:spacing w:before="228" w:line="219" w:lineRule="auto"/>
              <w:rPr>
                <w:sz w:val="12"/>
                <w:szCs w:val="12"/>
              </w:rPr>
            </w:pPr>
            <w:r>
              <w:rPr>
                <w:sz w:val="12"/>
                <w:szCs w:val="12"/>
                <w:b/>
                <w:bCs/>
                <w:spacing w:val="-3"/>
              </w:rPr>
              <w:t>规格</w:t>
            </w:r>
          </w:p>
        </w:tc>
        <w:tc>
          <w:tcPr>
            <w:tcW w:w="2623" w:type="dxa"/>
            <w:vAlign w:val="top"/>
          </w:tcPr>
          <w:p>
            <w:pPr>
              <w:pStyle w:val="TableText"/>
              <w:ind w:left="1199"/>
              <w:spacing w:before="228" w:line="221" w:lineRule="auto"/>
              <w:rPr>
                <w:sz w:val="12"/>
                <w:szCs w:val="12"/>
              </w:rPr>
            </w:pPr>
            <w:r>
              <w:rPr>
                <w:sz w:val="12"/>
                <w:szCs w:val="12"/>
                <w:b/>
                <w:bCs/>
                <w:spacing w:val="-3"/>
              </w:rPr>
              <w:t>备注</w:t>
            </w:r>
          </w:p>
        </w:tc>
      </w:tr>
      <w:tr>
        <w:trPr>
          <w:trHeight w:val="539" w:hRule="atLeast"/>
        </w:trPr>
        <w:tc>
          <w:tcPr>
            <w:tcW w:w="425"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24"/>
              <w:spacing w:before="39" w:line="219" w:lineRule="auto"/>
              <w:rPr>
                <w:sz w:val="12"/>
                <w:szCs w:val="12"/>
              </w:rPr>
            </w:pPr>
            <w:r>
              <w:rPr>
                <w:sz w:val="12"/>
                <w:szCs w:val="12"/>
                <w:spacing w:val="-2"/>
              </w:rPr>
              <w:t>杀虫剂</w:t>
            </w:r>
          </w:p>
        </w:tc>
        <w:tc>
          <w:tcPr>
            <w:tcW w:w="580" w:type="dxa"/>
            <w:vAlign w:val="top"/>
            <w:vMerge w:val="restart"/>
            <w:tcBorders>
              <w:bottom w:val="nil"/>
            </w:tcBorders>
          </w:tcPr>
          <w:p>
            <w:pPr>
              <w:spacing w:line="356" w:lineRule="auto"/>
              <w:rPr>
                <w:rFonts w:ascii="Arial"/>
                <w:sz w:val="21"/>
              </w:rPr>
            </w:pPr>
            <w:r/>
          </w:p>
          <w:p>
            <w:pPr>
              <w:spacing w:line="356" w:lineRule="auto"/>
              <w:rPr>
                <w:rFonts w:ascii="Arial"/>
                <w:sz w:val="21"/>
              </w:rPr>
            </w:pPr>
            <w:r/>
          </w:p>
          <w:p>
            <w:pPr>
              <w:pStyle w:val="TableText"/>
              <w:ind w:left="40"/>
              <w:spacing w:before="39" w:line="219" w:lineRule="auto"/>
              <w:rPr>
                <w:sz w:val="12"/>
                <w:szCs w:val="12"/>
              </w:rPr>
            </w:pPr>
            <w:r>
              <w:rPr>
                <w:sz w:val="12"/>
                <w:szCs w:val="12"/>
                <w:spacing w:val="-1"/>
              </w:rPr>
              <w:t>食叶害虫</w:t>
            </w:r>
          </w:p>
        </w:tc>
        <w:tc>
          <w:tcPr>
            <w:tcW w:w="959" w:type="dxa"/>
            <w:vAlign w:val="top"/>
            <w:vMerge w:val="restart"/>
            <w:tcBorders>
              <w:bottom w:val="nil"/>
            </w:tcBorders>
          </w:tcPr>
          <w:p>
            <w:pPr>
              <w:spacing w:line="444" w:lineRule="auto"/>
              <w:rPr>
                <w:rFonts w:ascii="Arial"/>
                <w:sz w:val="21"/>
              </w:rPr>
            </w:pPr>
            <w:r/>
          </w:p>
          <w:p>
            <w:pPr>
              <w:pStyle w:val="TableText"/>
              <w:ind w:left="50"/>
              <w:spacing w:before="39" w:line="211" w:lineRule="auto"/>
              <w:jc w:val="both"/>
              <w:rPr>
                <w:sz w:val="12"/>
                <w:szCs w:val="12"/>
              </w:rPr>
            </w:pPr>
            <w:r>
              <w:rPr>
                <w:sz w:val="12"/>
                <w:szCs w:val="12"/>
                <w:spacing w:val="-4"/>
              </w:rPr>
              <w:t>粘虫，天幕毛虫</w:t>
            </w:r>
            <w:r>
              <w:rPr>
                <w:sz w:val="12"/>
                <w:szCs w:val="12"/>
                <w:spacing w:val="1"/>
              </w:rPr>
              <w:t xml:space="preserve">  </w:t>
            </w:r>
            <w:r>
              <w:rPr>
                <w:sz w:val="12"/>
                <w:szCs w:val="12"/>
                <w:spacing w:val="-6"/>
              </w:rPr>
              <w:t>、叶甲、舞毒娥</w:t>
            </w:r>
            <w:r>
              <w:rPr>
                <w:sz w:val="12"/>
                <w:szCs w:val="12"/>
                <w:spacing w:val="1"/>
              </w:rPr>
              <w:t xml:space="preserve">  </w:t>
            </w:r>
            <w:r>
              <w:rPr>
                <w:sz w:val="12"/>
                <w:szCs w:val="12"/>
                <w:spacing w:val="8"/>
              </w:rPr>
              <w:t>、尺蝗、衰峨、</w:t>
            </w:r>
          </w:p>
          <w:p>
            <w:pPr>
              <w:pStyle w:val="TableText"/>
              <w:ind w:left="60"/>
              <w:spacing w:before="8" w:line="219" w:lineRule="auto"/>
              <w:rPr>
                <w:sz w:val="12"/>
                <w:szCs w:val="12"/>
              </w:rPr>
            </w:pPr>
            <w:r>
              <w:rPr>
                <w:sz w:val="12"/>
                <w:szCs w:val="12"/>
                <w:spacing w:val="-1"/>
              </w:rPr>
              <w:t>朝蛾、舟蛾、夜</w:t>
            </w:r>
          </w:p>
          <w:p>
            <w:pPr>
              <w:pStyle w:val="TableText"/>
              <w:ind w:left="360"/>
              <w:spacing w:before="7" w:line="219" w:lineRule="auto"/>
              <w:rPr>
                <w:sz w:val="12"/>
                <w:szCs w:val="12"/>
              </w:rPr>
            </w:pPr>
            <w:r>
              <w:rPr>
                <w:sz w:val="12"/>
                <w:szCs w:val="12"/>
                <w:spacing w:val="-2"/>
              </w:rPr>
              <w:t>蛾等</w:t>
            </w:r>
          </w:p>
        </w:tc>
        <w:tc>
          <w:tcPr>
            <w:tcW w:w="2698" w:type="dxa"/>
            <w:vAlign w:val="top"/>
            <w:vMerge w:val="restart"/>
            <w:tcBorders>
              <w:bottom w:val="nil"/>
            </w:tcBorders>
          </w:tcPr>
          <w:p>
            <w:pPr>
              <w:spacing w:line="354" w:lineRule="auto"/>
              <w:rPr>
                <w:rFonts w:ascii="Arial"/>
                <w:sz w:val="21"/>
              </w:rPr>
            </w:pPr>
            <w:r/>
          </w:p>
          <w:p>
            <w:pPr>
              <w:pStyle w:val="TableText"/>
              <w:ind w:left="11" w:right="109"/>
              <w:spacing w:before="39" w:line="233" w:lineRule="auto"/>
              <w:rPr>
                <w:sz w:val="12"/>
                <w:szCs w:val="12"/>
              </w:rPr>
            </w:pPr>
            <w:r>
              <w:rPr>
                <w:sz w:val="12"/>
                <w:szCs w:val="12"/>
                <w:spacing w:val="-1"/>
              </w:rPr>
              <w:t>一、5月预防消杀为主。在进入雨季、高发季前全</w:t>
            </w:r>
            <w:r>
              <w:rPr>
                <w:sz w:val="12"/>
                <w:szCs w:val="12"/>
                <w:spacing w:val="8"/>
              </w:rPr>
              <w:t xml:space="preserve"> </w:t>
            </w:r>
            <w:r>
              <w:rPr>
                <w:sz w:val="12"/>
                <w:szCs w:val="12"/>
                <w:spacing w:val="-1"/>
              </w:rPr>
              <w:t>园区消杀虫卵、蛹：</w:t>
            </w:r>
          </w:p>
          <w:p>
            <w:pPr>
              <w:pStyle w:val="TableText"/>
              <w:ind w:left="11" w:right="101"/>
              <w:spacing w:before="6" w:line="210" w:lineRule="auto"/>
              <w:rPr>
                <w:sz w:val="12"/>
                <w:szCs w:val="12"/>
              </w:rPr>
            </w:pPr>
            <w:r>
              <w:rPr>
                <w:sz w:val="12"/>
                <w:szCs w:val="12"/>
                <w:spacing w:val="-1"/>
              </w:rPr>
              <w:t>三，6月是大本分害虫成蛹或羽化期，采取人工加</w:t>
            </w:r>
            <w:r>
              <w:rPr>
                <w:sz w:val="12"/>
                <w:szCs w:val="12"/>
                <w:spacing w:val="16"/>
              </w:rPr>
              <w:t xml:space="preserve"> </w:t>
            </w:r>
            <w:r>
              <w:rPr>
                <w:sz w:val="12"/>
                <w:szCs w:val="12"/>
                <w:spacing w:val="3"/>
              </w:rPr>
              <w:t>药物双重治疗除卵，除蛹，除成虫；</w:t>
            </w:r>
          </w:p>
          <w:p>
            <w:pPr>
              <w:pStyle w:val="TableText"/>
              <w:ind w:left="11" w:right="41"/>
              <w:spacing w:before="17" w:line="218" w:lineRule="auto"/>
              <w:rPr>
                <w:sz w:val="12"/>
                <w:szCs w:val="12"/>
              </w:rPr>
            </w:pPr>
            <w:r>
              <w:rPr>
                <w:sz w:val="12"/>
                <w:szCs w:val="12"/>
                <w:spacing w:val="-1"/>
              </w:rPr>
              <w:t>三、7-10月为均有零星出现，有发现病情，及时喷</w:t>
            </w:r>
            <w:r>
              <w:rPr>
                <w:sz w:val="12"/>
                <w:szCs w:val="12"/>
                <w:spacing w:val="18"/>
              </w:rPr>
              <w:t xml:space="preserve"> </w:t>
            </w:r>
            <w:r>
              <w:rPr>
                <w:sz w:val="12"/>
                <w:szCs w:val="12"/>
                <w:spacing w:val="-1"/>
              </w:rPr>
              <w:t>药处理。</w:t>
            </w:r>
          </w:p>
        </w:tc>
        <w:tc>
          <w:tcPr>
            <w:tcW w:w="1269" w:type="dxa"/>
            <w:vAlign w:val="top"/>
          </w:tcPr>
          <w:p>
            <w:pPr>
              <w:pStyle w:val="TableText"/>
              <w:ind w:left="383"/>
              <w:spacing w:before="206" w:line="219" w:lineRule="auto"/>
              <w:rPr>
                <w:sz w:val="12"/>
                <w:szCs w:val="12"/>
              </w:rPr>
            </w:pPr>
            <w:r>
              <w:rPr>
                <w:sz w:val="12"/>
                <w:szCs w:val="12"/>
                <w:spacing w:val="1"/>
              </w:rPr>
              <w:t>国光毒枪</w:t>
            </w:r>
          </w:p>
        </w:tc>
        <w:tc>
          <w:tcPr>
            <w:tcW w:w="1949" w:type="dxa"/>
            <w:vAlign w:val="top"/>
          </w:tcPr>
          <w:p>
            <w:pPr>
              <w:pStyle w:val="TableText"/>
              <w:ind w:left="394"/>
              <w:spacing w:before="206" w:line="219" w:lineRule="auto"/>
              <w:rPr>
                <w:sz w:val="12"/>
                <w:szCs w:val="12"/>
              </w:rPr>
            </w:pPr>
            <w:r>
              <w:rPr>
                <w:sz w:val="12"/>
                <w:szCs w:val="12"/>
                <w:spacing w:val="-5"/>
              </w:rPr>
              <w:t>45%丙溴</w:t>
            </w:r>
            <w:r>
              <w:rPr>
                <w:sz w:val="12"/>
                <w:szCs w:val="12"/>
                <w:spacing w:val="-11"/>
              </w:rPr>
              <w:t xml:space="preserve"> </w:t>
            </w:r>
            <w:r>
              <w:rPr>
                <w:sz w:val="12"/>
                <w:szCs w:val="12"/>
                <w:spacing w:val="-5"/>
              </w:rPr>
              <w:t>·辛硫磷乳液</w:t>
            </w:r>
          </w:p>
        </w:tc>
        <w:tc>
          <w:tcPr>
            <w:tcW w:w="1639" w:type="dxa"/>
            <w:vAlign w:val="top"/>
          </w:tcPr>
          <w:p>
            <w:pPr>
              <w:pStyle w:val="TableText"/>
              <w:ind w:left="305"/>
              <w:spacing w:before="206" w:line="219" w:lineRule="auto"/>
              <w:rPr>
                <w:sz w:val="12"/>
                <w:szCs w:val="12"/>
              </w:rPr>
            </w:pPr>
            <w:r>
              <w:rPr>
                <w:sz w:val="12"/>
                <w:szCs w:val="12"/>
                <w:spacing w:val="-1"/>
              </w:rPr>
              <w:t>稀释2000-3000倍液</w:t>
            </w:r>
          </w:p>
        </w:tc>
        <w:tc>
          <w:tcPr>
            <w:tcW w:w="1059" w:type="dxa"/>
            <w:vAlign w:val="top"/>
            <w:vMerge w:val="restart"/>
            <w:tcBorders>
              <w:bottom w:val="nil"/>
            </w:tcBorders>
          </w:tcPr>
          <w:p>
            <w:pPr>
              <w:spacing w:line="331" w:lineRule="auto"/>
              <w:rPr>
                <w:rFonts w:ascii="Arial"/>
                <w:sz w:val="21"/>
              </w:rPr>
            </w:pPr>
            <w:r/>
          </w:p>
          <w:p>
            <w:pPr>
              <w:spacing w:line="331" w:lineRule="auto"/>
              <w:rPr>
                <w:rFonts w:ascii="Arial"/>
                <w:sz w:val="21"/>
              </w:rPr>
            </w:pPr>
            <w:r/>
          </w:p>
          <w:p>
            <w:pPr>
              <w:pStyle w:val="TableText"/>
              <w:ind w:left="16"/>
              <w:spacing w:before="39" w:line="201" w:lineRule="auto"/>
              <w:rPr>
                <w:sz w:val="12"/>
                <w:szCs w:val="12"/>
              </w:rPr>
            </w:pPr>
            <w:r>
              <w:rPr>
                <w:sz w:val="12"/>
                <w:szCs w:val="12"/>
                <w:spacing w:val="-1"/>
              </w:rPr>
              <w:t>一般用3次，时间间</w:t>
            </w:r>
          </w:p>
          <w:p>
            <w:pPr>
              <w:pStyle w:val="TableText"/>
              <w:ind w:left="266"/>
              <w:spacing w:line="220" w:lineRule="auto"/>
              <w:rPr>
                <w:sz w:val="12"/>
                <w:szCs w:val="12"/>
              </w:rPr>
            </w:pPr>
            <w:r>
              <w:rPr>
                <w:sz w:val="12"/>
                <w:szCs w:val="12"/>
                <w:spacing w:val="-2"/>
              </w:rPr>
              <w:t>隔7到10天</w:t>
            </w:r>
          </w:p>
        </w:tc>
        <w:tc>
          <w:tcPr>
            <w:tcW w:w="879" w:type="dxa"/>
            <w:vAlign w:val="top"/>
          </w:tcPr>
          <w:p>
            <w:pPr>
              <w:pStyle w:val="TableText"/>
              <w:ind w:left="136"/>
              <w:spacing w:before="206" w:line="221" w:lineRule="auto"/>
              <w:rPr>
                <w:sz w:val="12"/>
                <w:szCs w:val="12"/>
              </w:rPr>
            </w:pPr>
            <w:r>
              <w:rPr>
                <w:sz w:val="12"/>
                <w:szCs w:val="12"/>
                <w:spacing w:val="3"/>
              </w:rPr>
              <w:t>(200</w:t>
            </w:r>
            <w:r>
              <w:rPr>
                <w:sz w:val="12"/>
                <w:szCs w:val="12"/>
              </w:rPr>
              <w:t>ml</w:t>
            </w:r>
            <w:r>
              <w:rPr>
                <w:sz w:val="12"/>
                <w:szCs w:val="12"/>
                <w:spacing w:val="3"/>
              </w:rPr>
              <w:t>/瓶)</w:t>
            </w:r>
          </w:p>
        </w:tc>
        <w:tc>
          <w:tcPr>
            <w:tcW w:w="2623" w:type="dxa"/>
            <w:vAlign w:val="top"/>
          </w:tcPr>
          <w:p>
            <w:pPr>
              <w:pStyle w:val="TableText"/>
              <w:ind w:left="7"/>
              <w:spacing w:before="206" w:line="219" w:lineRule="auto"/>
              <w:rPr>
                <w:sz w:val="12"/>
                <w:szCs w:val="12"/>
              </w:rPr>
            </w:pPr>
            <w:r>
              <w:rPr>
                <w:sz w:val="12"/>
                <w:szCs w:val="12"/>
                <w:spacing w:val="-1"/>
              </w:rPr>
              <w:t>高渗透性，杀卷叶虫、包叶虫、班潜蝇等</w:t>
            </w:r>
          </w:p>
        </w:tc>
      </w:tr>
      <w:tr>
        <w:trPr>
          <w:trHeight w:val="549"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383"/>
              <w:spacing w:before="216" w:line="219" w:lineRule="auto"/>
              <w:rPr>
                <w:sz w:val="12"/>
                <w:szCs w:val="12"/>
              </w:rPr>
            </w:pPr>
            <w:r>
              <w:rPr>
                <w:sz w:val="12"/>
                <w:szCs w:val="12"/>
                <w:spacing w:val="1"/>
              </w:rPr>
              <w:t>国光毒箭</w:t>
            </w:r>
          </w:p>
        </w:tc>
        <w:tc>
          <w:tcPr>
            <w:tcW w:w="1949" w:type="dxa"/>
            <w:vAlign w:val="top"/>
          </w:tcPr>
          <w:p>
            <w:pPr>
              <w:pStyle w:val="TableText"/>
              <w:ind w:left="544"/>
              <w:spacing w:before="216" w:line="219" w:lineRule="auto"/>
              <w:rPr>
                <w:sz w:val="12"/>
                <w:szCs w:val="12"/>
              </w:rPr>
            </w:pPr>
            <w:r>
              <w:rPr>
                <w:sz w:val="12"/>
                <w:szCs w:val="12"/>
                <w:spacing w:val="-1"/>
              </w:rPr>
              <w:t>20佩戊菊酯乳油</w:t>
            </w:r>
          </w:p>
        </w:tc>
        <w:tc>
          <w:tcPr>
            <w:tcW w:w="1639" w:type="dxa"/>
            <w:vAlign w:val="top"/>
          </w:tcPr>
          <w:p>
            <w:pPr>
              <w:pStyle w:val="TableText"/>
              <w:ind w:left="305"/>
              <w:spacing w:before="216" w:line="219" w:lineRule="auto"/>
              <w:rPr>
                <w:sz w:val="12"/>
                <w:szCs w:val="12"/>
              </w:rPr>
            </w:pPr>
            <w:r>
              <w:rPr>
                <w:sz w:val="12"/>
                <w:szCs w:val="12"/>
                <w:spacing w:val="-1"/>
              </w:rPr>
              <w:t>稀释2000-3000倍液</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136"/>
              <w:spacing w:before="217" w:line="221" w:lineRule="auto"/>
              <w:rPr>
                <w:sz w:val="12"/>
                <w:szCs w:val="12"/>
              </w:rPr>
            </w:pPr>
            <w:r>
              <w:rPr>
                <w:sz w:val="12"/>
                <w:szCs w:val="12"/>
                <w:spacing w:val="3"/>
              </w:rPr>
              <w:t>(200</w:t>
            </w:r>
            <w:r>
              <w:rPr>
                <w:sz w:val="12"/>
                <w:szCs w:val="12"/>
              </w:rPr>
              <w:t>ml</w:t>
            </w:r>
            <w:r>
              <w:rPr>
                <w:sz w:val="12"/>
                <w:szCs w:val="12"/>
                <w:spacing w:val="3"/>
              </w:rPr>
              <w:t>/瓶)</w:t>
            </w:r>
          </w:p>
        </w:tc>
        <w:tc>
          <w:tcPr>
            <w:tcW w:w="2623" w:type="dxa"/>
            <w:vAlign w:val="top"/>
          </w:tcPr>
          <w:p>
            <w:pPr>
              <w:pStyle w:val="TableText"/>
              <w:ind w:left="7"/>
              <w:spacing w:before="216" w:line="219" w:lineRule="auto"/>
              <w:rPr>
                <w:sz w:val="12"/>
                <w:szCs w:val="12"/>
              </w:rPr>
            </w:pPr>
            <w:r>
              <w:rPr>
                <w:sz w:val="12"/>
                <w:szCs w:val="12"/>
                <w:spacing w:val="-1"/>
              </w:rPr>
              <w:t>高效广谱、长效杀虫剂，杀食叶性害虫特效</w:t>
            </w:r>
          </w:p>
        </w:tc>
      </w:tr>
      <w:tr>
        <w:trPr>
          <w:trHeight w:val="529"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tcBorders>
          </w:tcPr>
          <w:p>
            <w:pPr>
              <w:rPr>
                <w:rFonts w:ascii="Arial"/>
                <w:sz w:val="21"/>
              </w:rPr>
            </w:pPr>
            <w:r/>
          </w:p>
        </w:tc>
        <w:tc>
          <w:tcPr>
            <w:tcW w:w="1269" w:type="dxa"/>
            <w:vAlign w:val="top"/>
          </w:tcPr>
          <w:p>
            <w:pPr>
              <w:pStyle w:val="TableText"/>
              <w:ind w:left="383"/>
              <w:spacing w:before="207" w:line="219" w:lineRule="auto"/>
              <w:rPr>
                <w:sz w:val="12"/>
                <w:szCs w:val="12"/>
              </w:rPr>
            </w:pPr>
            <w:r>
              <w:rPr>
                <w:sz w:val="12"/>
                <w:szCs w:val="12"/>
                <w:spacing w:val="1"/>
              </w:rPr>
              <w:t>国光乙刻</w:t>
            </w:r>
          </w:p>
        </w:tc>
        <w:tc>
          <w:tcPr>
            <w:tcW w:w="1949" w:type="dxa"/>
            <w:vAlign w:val="top"/>
          </w:tcPr>
          <w:p>
            <w:pPr>
              <w:pStyle w:val="TableText"/>
              <w:ind w:left="634"/>
              <w:spacing w:before="207" w:line="219" w:lineRule="auto"/>
              <w:rPr>
                <w:sz w:val="12"/>
                <w:szCs w:val="12"/>
              </w:rPr>
            </w:pPr>
            <w:r>
              <w:rPr>
                <w:sz w:val="12"/>
                <w:szCs w:val="12"/>
                <w:spacing w:val="-1"/>
              </w:rPr>
              <w:t>氰戊菊酯20%</w:t>
            </w:r>
          </w:p>
        </w:tc>
        <w:tc>
          <w:tcPr>
            <w:tcW w:w="1639" w:type="dxa"/>
            <w:vAlign w:val="top"/>
          </w:tcPr>
          <w:p>
            <w:pPr>
              <w:pStyle w:val="TableText"/>
              <w:ind w:left="485"/>
              <w:spacing w:before="208" w:line="220" w:lineRule="auto"/>
              <w:rPr>
                <w:sz w:val="12"/>
                <w:szCs w:val="12"/>
              </w:rPr>
            </w:pPr>
            <w:r>
              <w:rPr>
                <w:sz w:val="12"/>
                <w:szCs w:val="12"/>
                <w:spacing w:val="-5"/>
              </w:rPr>
              <w:t>1000—1500倍</w:t>
            </w:r>
          </w:p>
        </w:tc>
        <w:tc>
          <w:tcPr>
            <w:tcW w:w="1059" w:type="dxa"/>
            <w:vAlign w:val="top"/>
            <w:vMerge w:val="continue"/>
            <w:tcBorders>
              <w:top w:val="nil"/>
            </w:tcBorders>
          </w:tcPr>
          <w:p>
            <w:pPr>
              <w:rPr>
                <w:rFonts w:ascii="Arial"/>
                <w:sz w:val="21"/>
              </w:rPr>
            </w:pPr>
            <w:r/>
          </w:p>
        </w:tc>
        <w:tc>
          <w:tcPr>
            <w:tcW w:w="879" w:type="dxa"/>
            <w:vAlign w:val="top"/>
          </w:tcPr>
          <w:p>
            <w:pPr>
              <w:pStyle w:val="TableText"/>
              <w:ind w:left="196"/>
              <w:spacing w:before="208" w:line="221" w:lineRule="auto"/>
              <w:rPr>
                <w:sz w:val="12"/>
                <w:szCs w:val="12"/>
              </w:rPr>
            </w:pPr>
            <w:r>
              <w:rPr>
                <w:sz w:val="12"/>
                <w:szCs w:val="12"/>
                <w:spacing w:val="-1"/>
              </w:rPr>
              <w:t>200mL/瓶</w:t>
            </w:r>
          </w:p>
        </w:tc>
        <w:tc>
          <w:tcPr>
            <w:tcW w:w="2623" w:type="dxa"/>
            <w:vAlign w:val="top"/>
          </w:tcPr>
          <w:p>
            <w:pPr>
              <w:pStyle w:val="TableText"/>
              <w:ind w:left="7"/>
              <w:spacing w:before="207" w:line="219" w:lineRule="auto"/>
              <w:rPr>
                <w:sz w:val="12"/>
                <w:szCs w:val="12"/>
              </w:rPr>
            </w:pPr>
            <w:r>
              <w:rPr>
                <w:sz w:val="12"/>
                <w:szCs w:val="12"/>
                <w:spacing w:val="-1"/>
              </w:rPr>
              <w:t>高效广谱、长效杀虫剂，杀食叶性害虫特效</w:t>
            </w:r>
          </w:p>
        </w:tc>
      </w:tr>
      <w:tr>
        <w:trPr>
          <w:trHeight w:val="470" w:hRule="atLeast"/>
        </w:trPr>
        <w:tc>
          <w:tcPr>
            <w:tcW w:w="425" w:type="dxa"/>
            <w:vAlign w:val="top"/>
            <w:vMerge w:val="continue"/>
            <w:tcBorders>
              <w:top w:val="nil"/>
              <w:bottom w:val="nil"/>
            </w:tcBorders>
          </w:tcPr>
          <w:p>
            <w:pPr>
              <w:rPr>
                <w:rFonts w:ascii="Arial"/>
                <w:sz w:val="21"/>
              </w:rPr>
            </w:pPr>
            <w:r/>
          </w:p>
        </w:tc>
        <w:tc>
          <w:tcPr>
            <w:tcW w:w="580" w:type="dxa"/>
            <w:vAlign w:val="top"/>
            <w:vMerge w:val="restart"/>
            <w:tcBorders>
              <w:bottom w:val="nil"/>
            </w:tcBorders>
          </w:tcPr>
          <w:p>
            <w:pPr>
              <w:spacing w:line="377" w:lineRule="auto"/>
              <w:rPr>
                <w:rFonts w:ascii="Arial"/>
                <w:sz w:val="21"/>
              </w:rPr>
            </w:pPr>
            <w:r/>
          </w:p>
          <w:p>
            <w:pPr>
              <w:pStyle w:val="TableText"/>
              <w:ind w:left="40"/>
              <w:spacing w:before="39" w:line="219" w:lineRule="auto"/>
              <w:rPr>
                <w:sz w:val="12"/>
                <w:szCs w:val="12"/>
              </w:rPr>
            </w:pPr>
            <w:r>
              <w:rPr>
                <w:sz w:val="12"/>
                <w:szCs w:val="12"/>
                <w:spacing w:val="-2"/>
              </w:rPr>
              <w:t>刻吸害虫</w:t>
            </w:r>
          </w:p>
        </w:tc>
        <w:tc>
          <w:tcPr>
            <w:tcW w:w="959" w:type="dxa"/>
            <w:vAlign w:val="top"/>
            <w:vMerge w:val="restart"/>
            <w:tcBorders>
              <w:bottom w:val="nil"/>
            </w:tcBorders>
          </w:tcPr>
          <w:p>
            <w:pPr>
              <w:spacing w:line="297" w:lineRule="auto"/>
              <w:rPr>
                <w:rFonts w:ascii="Arial"/>
                <w:sz w:val="21"/>
              </w:rPr>
            </w:pPr>
            <w:r/>
          </w:p>
          <w:p>
            <w:pPr>
              <w:pStyle w:val="TableText"/>
              <w:ind w:left="99" w:right="28" w:hanging="19"/>
              <w:spacing w:before="39" w:line="233" w:lineRule="auto"/>
              <w:rPr>
                <w:sz w:val="12"/>
                <w:szCs w:val="12"/>
              </w:rPr>
            </w:pPr>
            <w:r>
              <w:rPr>
                <w:sz w:val="12"/>
                <w:szCs w:val="12"/>
              </w:rPr>
              <w:t>球坚蜻、瞄蚧， </w:t>
            </w:r>
            <w:r>
              <w:rPr>
                <w:sz w:val="12"/>
                <w:szCs w:val="12"/>
                <w:spacing w:val="-1"/>
              </w:rPr>
              <w:t>粉蚧、吹棉蚧</w:t>
            </w:r>
          </w:p>
        </w:tc>
        <w:tc>
          <w:tcPr>
            <w:tcW w:w="2698" w:type="dxa"/>
            <w:vAlign w:val="top"/>
            <w:vMerge w:val="restart"/>
            <w:tcBorders>
              <w:bottom w:val="nil"/>
            </w:tcBorders>
          </w:tcPr>
          <w:p>
            <w:pPr>
              <w:pStyle w:val="TableText"/>
              <w:ind w:left="11" w:right="109"/>
              <w:spacing w:before="209" w:line="215" w:lineRule="auto"/>
              <w:rPr>
                <w:sz w:val="12"/>
                <w:szCs w:val="12"/>
              </w:rPr>
            </w:pPr>
            <w:r>
              <w:rPr>
                <w:sz w:val="12"/>
                <w:szCs w:val="12"/>
                <w:spacing w:val="-1"/>
              </w:rPr>
              <w:t>一、4月已经有成虫出现，配合春季消杀，预防为</w:t>
            </w:r>
            <w:r>
              <w:rPr>
                <w:sz w:val="12"/>
                <w:szCs w:val="12"/>
                <w:spacing w:val="8"/>
              </w:rPr>
              <w:t xml:space="preserve"> </w:t>
            </w:r>
            <w:r>
              <w:rPr>
                <w:sz w:val="12"/>
                <w:szCs w:val="12"/>
                <w:spacing w:val="-3"/>
              </w:rPr>
              <w:t>主</w:t>
            </w:r>
            <w:r>
              <w:rPr>
                <w:sz w:val="12"/>
                <w:szCs w:val="12"/>
                <w:spacing w:val="-27"/>
              </w:rPr>
              <w:t xml:space="preserve"> </w:t>
            </w:r>
            <w:r>
              <w:rPr>
                <w:sz w:val="12"/>
                <w:szCs w:val="12"/>
                <w:spacing w:val="-3"/>
              </w:rPr>
              <w:t>：</w:t>
            </w:r>
          </w:p>
          <w:p>
            <w:pPr>
              <w:pStyle w:val="TableText"/>
              <w:ind w:left="11" w:right="43"/>
              <w:spacing w:line="233" w:lineRule="auto"/>
              <w:rPr>
                <w:sz w:val="12"/>
                <w:szCs w:val="12"/>
              </w:rPr>
            </w:pPr>
            <w:r>
              <w:rPr>
                <w:sz w:val="12"/>
                <w:szCs w:val="12"/>
                <w:spacing w:val="-1"/>
              </w:rPr>
              <w:t>二，5-10月为均有零星出现，有发现病情。及时喷</w:t>
            </w:r>
            <w:r>
              <w:rPr>
                <w:sz w:val="12"/>
                <w:szCs w:val="12"/>
                <w:spacing w:val="16"/>
              </w:rPr>
              <w:t xml:space="preserve"> </w:t>
            </w:r>
            <w:r>
              <w:rPr>
                <w:sz w:val="12"/>
                <w:szCs w:val="12"/>
                <w:spacing w:val="-1"/>
              </w:rPr>
              <w:t>药处理。</w:t>
            </w:r>
          </w:p>
        </w:tc>
        <w:tc>
          <w:tcPr>
            <w:tcW w:w="1269" w:type="dxa"/>
            <w:vAlign w:val="top"/>
          </w:tcPr>
          <w:p>
            <w:pPr>
              <w:pStyle w:val="TableText"/>
              <w:ind w:left="323"/>
              <w:spacing w:before="179" w:line="219" w:lineRule="auto"/>
              <w:rPr>
                <w:sz w:val="12"/>
                <w:szCs w:val="12"/>
              </w:rPr>
            </w:pPr>
            <w:r>
              <w:rPr>
                <w:sz w:val="12"/>
                <w:szCs w:val="12"/>
                <w:spacing w:val="2"/>
              </w:rPr>
              <w:t>国光蚡必治</w:t>
            </w:r>
          </w:p>
        </w:tc>
        <w:tc>
          <w:tcPr>
            <w:tcW w:w="1949" w:type="dxa"/>
            <w:vAlign w:val="top"/>
          </w:tcPr>
          <w:p>
            <w:pPr>
              <w:pStyle w:val="TableText"/>
              <w:ind w:left="333"/>
              <w:spacing w:before="179" w:line="219" w:lineRule="auto"/>
              <w:rPr>
                <w:sz w:val="12"/>
                <w:szCs w:val="12"/>
              </w:rPr>
            </w:pPr>
            <w:r>
              <w:rPr>
                <w:sz w:val="12"/>
                <w:szCs w:val="12"/>
                <w:spacing w:val="-5"/>
              </w:rPr>
              <w:t>40%啶虫脉</w:t>
            </w:r>
            <w:r>
              <w:rPr>
                <w:sz w:val="12"/>
                <w:szCs w:val="12"/>
                <w:spacing w:val="-6"/>
              </w:rPr>
              <w:t xml:space="preserve"> </w:t>
            </w:r>
            <w:r>
              <w:rPr>
                <w:sz w:val="12"/>
                <w:szCs w:val="12"/>
                <w:spacing w:val="-5"/>
              </w:rPr>
              <w:t>·毒死婢乳油</w:t>
            </w:r>
          </w:p>
        </w:tc>
        <w:tc>
          <w:tcPr>
            <w:tcW w:w="1639" w:type="dxa"/>
            <w:vAlign w:val="top"/>
          </w:tcPr>
          <w:p>
            <w:pPr>
              <w:pStyle w:val="TableText"/>
              <w:ind w:left="305"/>
              <w:spacing w:before="179" w:line="219" w:lineRule="auto"/>
              <w:rPr>
                <w:sz w:val="12"/>
                <w:szCs w:val="12"/>
              </w:rPr>
            </w:pPr>
            <w:r>
              <w:rPr>
                <w:sz w:val="12"/>
                <w:szCs w:val="12"/>
                <w:spacing w:val="-1"/>
              </w:rPr>
              <w:t>稀释2000-3000倍液</w:t>
            </w:r>
          </w:p>
        </w:tc>
        <w:tc>
          <w:tcPr>
            <w:tcW w:w="1059" w:type="dxa"/>
            <w:vAlign w:val="top"/>
            <w:vMerge w:val="restart"/>
            <w:tcBorders>
              <w:bottom w:val="nil"/>
            </w:tcBorders>
          </w:tcPr>
          <w:p>
            <w:pPr>
              <w:pStyle w:val="TableText"/>
              <w:ind w:left="16"/>
              <w:spacing w:before="269" w:line="219" w:lineRule="auto"/>
              <w:rPr>
                <w:sz w:val="12"/>
                <w:szCs w:val="12"/>
              </w:rPr>
            </w:pPr>
            <w:r>
              <w:rPr>
                <w:sz w:val="12"/>
                <w:szCs w:val="12"/>
                <w:spacing w:val="-1"/>
              </w:rPr>
              <w:t>一般用3次，时间间</w:t>
            </w:r>
          </w:p>
          <w:p>
            <w:pPr>
              <w:pStyle w:val="TableText"/>
              <w:ind w:left="16"/>
              <w:spacing w:before="18" w:line="199" w:lineRule="auto"/>
              <w:rPr>
                <w:sz w:val="12"/>
                <w:szCs w:val="12"/>
              </w:rPr>
            </w:pPr>
            <w:r>
              <w:rPr>
                <w:sz w:val="12"/>
                <w:szCs w:val="12"/>
                <w:spacing w:val="-2"/>
              </w:rPr>
              <w:t>隔7到10天，视现场</w:t>
            </w:r>
          </w:p>
          <w:p>
            <w:pPr>
              <w:pStyle w:val="TableText"/>
              <w:ind w:left="106"/>
              <w:spacing w:line="219" w:lineRule="auto"/>
              <w:rPr>
                <w:sz w:val="12"/>
                <w:szCs w:val="12"/>
              </w:rPr>
            </w:pPr>
            <w:r>
              <w:rPr>
                <w:sz w:val="12"/>
                <w:szCs w:val="12"/>
                <w:spacing w:val="-1"/>
              </w:rPr>
              <w:t>情况可增加次数</w:t>
            </w:r>
          </w:p>
        </w:tc>
        <w:tc>
          <w:tcPr>
            <w:tcW w:w="879" w:type="dxa"/>
            <w:vAlign w:val="top"/>
          </w:tcPr>
          <w:p>
            <w:pPr>
              <w:pStyle w:val="TableText"/>
              <w:ind w:left="166"/>
              <w:spacing w:before="174" w:line="214" w:lineRule="auto"/>
              <w:rPr>
                <w:sz w:val="12"/>
                <w:szCs w:val="12"/>
              </w:rPr>
            </w:pPr>
            <w:r>
              <w:rPr>
                <w:sz w:val="12"/>
                <w:szCs w:val="12"/>
                <w:spacing w:val="3"/>
              </w:rPr>
              <w:t>(200g/瓶)</w:t>
            </w:r>
          </w:p>
        </w:tc>
        <w:tc>
          <w:tcPr>
            <w:tcW w:w="2623" w:type="dxa"/>
            <w:vAlign w:val="top"/>
          </w:tcPr>
          <w:p>
            <w:pPr>
              <w:pStyle w:val="TableText"/>
              <w:ind w:left="7"/>
              <w:spacing w:before="178" w:line="219" w:lineRule="auto"/>
              <w:rPr>
                <w:sz w:val="12"/>
                <w:szCs w:val="12"/>
              </w:rPr>
            </w:pPr>
            <w:r>
              <w:rPr>
                <w:sz w:val="12"/>
                <w:szCs w:val="12"/>
                <w:spacing w:val="-1"/>
              </w:rPr>
              <w:t>专杀介壳虫。食叶类害虫，地下害虫</w:t>
            </w:r>
          </w:p>
        </w:tc>
      </w:tr>
      <w:tr>
        <w:trPr>
          <w:trHeight w:val="469"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tcBorders>
          </w:tcPr>
          <w:p>
            <w:pPr>
              <w:rPr>
                <w:rFonts w:ascii="Arial"/>
                <w:sz w:val="21"/>
              </w:rPr>
            </w:pPr>
            <w:r/>
          </w:p>
        </w:tc>
        <w:tc>
          <w:tcPr>
            <w:tcW w:w="1269" w:type="dxa"/>
            <w:vAlign w:val="top"/>
          </w:tcPr>
          <w:p>
            <w:pPr>
              <w:pStyle w:val="TableText"/>
              <w:ind w:left="323"/>
              <w:spacing w:before="179" w:line="220" w:lineRule="auto"/>
              <w:rPr>
                <w:sz w:val="12"/>
                <w:szCs w:val="12"/>
              </w:rPr>
            </w:pPr>
            <w:r>
              <w:rPr>
                <w:sz w:val="12"/>
                <w:szCs w:val="12"/>
                <w:spacing w:val="1"/>
              </w:rPr>
              <w:t>中威插捉手</w:t>
            </w:r>
          </w:p>
        </w:tc>
        <w:tc>
          <w:tcPr>
            <w:tcW w:w="1949" w:type="dxa"/>
            <w:vAlign w:val="top"/>
          </w:tcPr>
          <w:p>
            <w:pPr>
              <w:pStyle w:val="TableText"/>
              <w:ind w:left="514"/>
              <w:spacing w:before="178" w:line="219" w:lineRule="auto"/>
              <w:rPr>
                <w:sz w:val="12"/>
                <w:szCs w:val="12"/>
              </w:rPr>
            </w:pPr>
            <w:r>
              <w:rPr>
                <w:sz w:val="12"/>
                <w:szCs w:val="12"/>
                <w:spacing w:val="-6"/>
              </w:rPr>
              <w:t>高氯</w:t>
            </w:r>
            <w:r>
              <w:rPr>
                <w:sz w:val="12"/>
                <w:szCs w:val="12"/>
                <w:spacing w:val="-15"/>
              </w:rPr>
              <w:t xml:space="preserve"> </w:t>
            </w:r>
            <w:r>
              <w:rPr>
                <w:sz w:val="12"/>
                <w:szCs w:val="12"/>
                <w:spacing w:val="-6"/>
              </w:rPr>
              <w:t>·毒死婢15%</w:t>
            </w:r>
          </w:p>
        </w:tc>
        <w:tc>
          <w:tcPr>
            <w:tcW w:w="1639" w:type="dxa"/>
            <w:vAlign w:val="top"/>
          </w:tcPr>
          <w:p>
            <w:pPr>
              <w:pStyle w:val="TableText"/>
              <w:ind w:left="425"/>
              <w:spacing w:before="179" w:line="220" w:lineRule="auto"/>
              <w:rPr>
                <w:sz w:val="12"/>
                <w:szCs w:val="12"/>
              </w:rPr>
            </w:pPr>
            <w:r>
              <w:rPr>
                <w:sz w:val="12"/>
                <w:szCs w:val="12"/>
                <w:spacing w:val="-2"/>
              </w:rPr>
              <w:t>1000-1500倍液</w:t>
            </w:r>
          </w:p>
        </w:tc>
        <w:tc>
          <w:tcPr>
            <w:tcW w:w="1059" w:type="dxa"/>
            <w:vAlign w:val="top"/>
            <w:vMerge w:val="continue"/>
            <w:tcBorders>
              <w:top w:val="nil"/>
            </w:tcBorders>
          </w:tcPr>
          <w:p>
            <w:pPr>
              <w:rPr>
                <w:rFonts w:ascii="Arial"/>
                <w:sz w:val="21"/>
              </w:rPr>
            </w:pPr>
            <w:r/>
          </w:p>
        </w:tc>
        <w:tc>
          <w:tcPr>
            <w:tcW w:w="879" w:type="dxa"/>
            <w:vAlign w:val="top"/>
          </w:tcPr>
          <w:p>
            <w:pPr>
              <w:pStyle w:val="TableText"/>
              <w:ind w:left="136"/>
              <w:spacing w:before="179" w:line="221" w:lineRule="auto"/>
              <w:rPr>
                <w:sz w:val="12"/>
                <w:szCs w:val="12"/>
              </w:rPr>
            </w:pPr>
            <w:r>
              <w:rPr>
                <w:sz w:val="12"/>
                <w:szCs w:val="12"/>
                <w:spacing w:val="3"/>
              </w:rPr>
              <w:t>(200</w:t>
            </w:r>
            <w:r>
              <w:rPr>
                <w:sz w:val="12"/>
                <w:szCs w:val="12"/>
              </w:rPr>
              <w:t>ml</w:t>
            </w:r>
            <w:r>
              <w:rPr>
                <w:sz w:val="12"/>
                <w:szCs w:val="12"/>
                <w:spacing w:val="3"/>
              </w:rPr>
              <w:t>/瓶)</w:t>
            </w:r>
          </w:p>
        </w:tc>
        <w:tc>
          <w:tcPr>
            <w:tcW w:w="2623" w:type="dxa"/>
            <w:vAlign w:val="top"/>
          </w:tcPr>
          <w:p>
            <w:pPr>
              <w:pStyle w:val="TableText"/>
              <w:ind w:left="7"/>
              <w:spacing w:before="178" w:line="219" w:lineRule="auto"/>
              <w:rPr>
                <w:sz w:val="12"/>
                <w:szCs w:val="12"/>
              </w:rPr>
            </w:pPr>
            <w:r>
              <w:rPr>
                <w:sz w:val="12"/>
                <w:szCs w:val="12"/>
                <w:spacing w:val="-1"/>
              </w:rPr>
              <w:t>主要防治蚧壳虫、斑潜蝇及鳞翅目幼虫，飞孔等</w:t>
            </w:r>
          </w:p>
        </w:tc>
      </w:tr>
      <w:tr>
        <w:trPr>
          <w:trHeight w:val="420" w:hRule="atLeast"/>
        </w:trPr>
        <w:tc>
          <w:tcPr>
            <w:tcW w:w="425" w:type="dxa"/>
            <w:vAlign w:val="top"/>
            <w:vMerge w:val="continue"/>
            <w:tcBorders>
              <w:top w:val="nil"/>
              <w:bottom w:val="nil"/>
            </w:tcBorders>
          </w:tcPr>
          <w:p>
            <w:pPr>
              <w:rPr>
                <w:rFonts w:ascii="Arial"/>
                <w:sz w:val="21"/>
              </w:rPr>
            </w:pPr>
            <w:r/>
          </w:p>
        </w:tc>
        <w:tc>
          <w:tcPr>
            <w:tcW w:w="580" w:type="dxa"/>
            <w:vAlign w:val="top"/>
            <w:vMerge w:val="restart"/>
            <w:tcBorders>
              <w:bottom w:val="nil"/>
            </w:tcBorders>
          </w:tcPr>
          <w:p>
            <w:pPr>
              <w:spacing w:line="293" w:lineRule="auto"/>
              <w:rPr>
                <w:rFonts w:ascii="Arial"/>
                <w:sz w:val="21"/>
              </w:rPr>
            </w:pPr>
            <w:r/>
          </w:p>
          <w:p>
            <w:pPr>
              <w:spacing w:line="294" w:lineRule="auto"/>
              <w:rPr>
                <w:rFonts w:ascii="Arial"/>
                <w:sz w:val="21"/>
              </w:rPr>
            </w:pPr>
            <w:r/>
          </w:p>
          <w:p>
            <w:pPr>
              <w:pStyle w:val="TableText"/>
              <w:ind w:left="40"/>
              <w:spacing w:before="39" w:line="219" w:lineRule="auto"/>
              <w:rPr>
                <w:sz w:val="12"/>
                <w:szCs w:val="12"/>
              </w:rPr>
            </w:pPr>
            <w:r>
              <w:rPr>
                <w:sz w:val="12"/>
                <w:szCs w:val="12"/>
                <w:spacing w:val="-1"/>
              </w:rPr>
              <w:t>朝吸害虫</w:t>
            </w:r>
          </w:p>
        </w:tc>
        <w:tc>
          <w:tcPr>
            <w:tcW w:w="959"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pStyle w:val="TableText"/>
              <w:ind w:left="50" w:right="28" w:firstLine="29"/>
              <w:spacing w:before="39" w:line="209" w:lineRule="auto"/>
              <w:rPr>
                <w:sz w:val="12"/>
                <w:szCs w:val="12"/>
              </w:rPr>
            </w:pPr>
            <w:r>
              <w:rPr>
                <w:sz w:val="12"/>
                <w:szCs w:val="12"/>
              </w:rPr>
              <w:t>蚜虫，红蜘蛛， </w:t>
            </w:r>
            <w:r>
              <w:rPr>
                <w:sz w:val="12"/>
                <w:szCs w:val="12"/>
                <w:spacing w:val="-1"/>
              </w:rPr>
              <w:t>大青叶蝉、飞虱</w:t>
            </w:r>
          </w:p>
        </w:tc>
        <w:tc>
          <w:tcPr>
            <w:tcW w:w="2698"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 w:right="109"/>
              <w:spacing w:before="39" w:line="223" w:lineRule="auto"/>
              <w:rPr>
                <w:sz w:val="12"/>
                <w:szCs w:val="12"/>
              </w:rPr>
            </w:pPr>
            <w:r>
              <w:rPr>
                <w:sz w:val="12"/>
                <w:szCs w:val="12"/>
                <w:spacing w:val="-1"/>
              </w:rPr>
              <w:t>一，4月预防消杀为主。在进入雨季、高发季前全</w:t>
            </w:r>
            <w:r>
              <w:rPr>
                <w:sz w:val="12"/>
                <w:szCs w:val="12"/>
                <w:spacing w:val="8"/>
              </w:rPr>
              <w:t xml:space="preserve"> </w:t>
            </w:r>
            <w:r>
              <w:rPr>
                <w:sz w:val="12"/>
                <w:szCs w:val="12"/>
              </w:rPr>
              <w:t>园区消杀虫卵、虫蛹：</w:t>
            </w:r>
          </w:p>
          <w:p>
            <w:pPr>
              <w:pStyle w:val="TableText"/>
              <w:ind w:left="11" w:right="101"/>
              <w:spacing w:line="233" w:lineRule="auto"/>
              <w:rPr>
                <w:sz w:val="12"/>
                <w:szCs w:val="12"/>
              </w:rPr>
            </w:pPr>
            <w:r>
              <w:rPr>
                <w:sz w:val="12"/>
                <w:szCs w:val="12"/>
                <w:spacing w:val="-1"/>
              </w:rPr>
              <w:t>三：5月-7月是大部分害虫成蛹或羽化期，采取人</w:t>
            </w:r>
            <w:r>
              <w:rPr>
                <w:sz w:val="12"/>
                <w:szCs w:val="12"/>
                <w:spacing w:val="17"/>
              </w:rPr>
              <w:t xml:space="preserve"> </w:t>
            </w:r>
            <w:r>
              <w:rPr>
                <w:sz w:val="12"/>
                <w:szCs w:val="12"/>
                <w:spacing w:val="-1"/>
              </w:rPr>
              <w:t>工加药物双重治疗除卵，除蛹，除成虫。</w:t>
            </w:r>
          </w:p>
        </w:tc>
        <w:tc>
          <w:tcPr>
            <w:tcW w:w="1269" w:type="dxa"/>
            <w:vAlign w:val="top"/>
          </w:tcPr>
          <w:p>
            <w:pPr>
              <w:pStyle w:val="TableText"/>
              <w:ind w:left="383"/>
              <w:spacing w:before="150" w:line="219" w:lineRule="auto"/>
              <w:rPr>
                <w:sz w:val="12"/>
                <w:szCs w:val="12"/>
              </w:rPr>
            </w:pPr>
            <w:r>
              <w:rPr>
                <w:sz w:val="12"/>
                <w:szCs w:val="12"/>
                <w:spacing w:val="1"/>
              </w:rPr>
              <w:t>国光毙克</w:t>
            </w:r>
          </w:p>
        </w:tc>
        <w:tc>
          <w:tcPr>
            <w:tcW w:w="1949" w:type="dxa"/>
            <w:vAlign w:val="top"/>
          </w:tcPr>
          <w:p>
            <w:pPr>
              <w:pStyle w:val="TableText"/>
              <w:ind w:left="694"/>
              <w:spacing w:before="150" w:line="221" w:lineRule="auto"/>
              <w:rPr>
                <w:sz w:val="12"/>
                <w:szCs w:val="12"/>
              </w:rPr>
            </w:pPr>
            <w:r>
              <w:rPr>
                <w:sz w:val="12"/>
                <w:szCs w:val="12"/>
                <w:spacing w:val="-2"/>
              </w:rPr>
              <w:t>10M吡虫琳</w:t>
            </w:r>
          </w:p>
        </w:tc>
        <w:tc>
          <w:tcPr>
            <w:tcW w:w="1639" w:type="dxa"/>
            <w:vAlign w:val="top"/>
          </w:tcPr>
          <w:p>
            <w:pPr>
              <w:pStyle w:val="TableText"/>
              <w:ind w:left="305"/>
              <w:spacing w:before="150" w:line="219" w:lineRule="auto"/>
              <w:rPr>
                <w:sz w:val="12"/>
                <w:szCs w:val="12"/>
              </w:rPr>
            </w:pPr>
            <w:r>
              <w:rPr>
                <w:sz w:val="12"/>
                <w:szCs w:val="12"/>
                <w:spacing w:val="-1"/>
              </w:rPr>
              <w:t>稀释1000-1500倍液</w:t>
            </w:r>
          </w:p>
        </w:tc>
        <w:tc>
          <w:tcPr>
            <w:tcW w:w="1059" w:type="dxa"/>
            <w:vAlign w:val="top"/>
            <w:vMerge w:val="restart"/>
            <w:tcBorders>
              <w:bottom w:val="nil"/>
            </w:tcBorders>
          </w:tcPr>
          <w:p>
            <w:pPr>
              <w:spacing w:line="308" w:lineRule="auto"/>
              <w:rPr>
                <w:rFonts w:ascii="Arial"/>
                <w:sz w:val="21"/>
              </w:rPr>
            </w:pPr>
            <w:r/>
          </w:p>
          <w:p>
            <w:pPr>
              <w:spacing w:line="308" w:lineRule="auto"/>
              <w:rPr>
                <w:rFonts w:ascii="Arial"/>
                <w:sz w:val="21"/>
              </w:rPr>
            </w:pPr>
            <w:r/>
          </w:p>
          <w:p>
            <w:pPr>
              <w:spacing w:line="309" w:lineRule="auto"/>
              <w:rPr>
                <w:rFonts w:ascii="Arial"/>
                <w:sz w:val="21"/>
              </w:rPr>
            </w:pPr>
            <w:r/>
          </w:p>
          <w:p>
            <w:pPr>
              <w:pStyle w:val="TableText"/>
              <w:spacing w:before="39" w:line="219" w:lineRule="auto"/>
              <w:jc w:val="right"/>
              <w:rPr>
                <w:sz w:val="12"/>
                <w:szCs w:val="12"/>
              </w:rPr>
            </w:pPr>
            <w:r>
              <w:rPr>
                <w:sz w:val="12"/>
                <w:szCs w:val="12"/>
                <w:spacing w:val="1"/>
              </w:rPr>
              <w:t>一般用3次，时间问</w:t>
            </w:r>
          </w:p>
          <w:p>
            <w:pPr>
              <w:pStyle w:val="TableText"/>
              <w:ind w:left="16"/>
              <w:spacing w:before="7" w:line="220" w:lineRule="auto"/>
              <w:rPr>
                <w:sz w:val="12"/>
                <w:szCs w:val="12"/>
              </w:rPr>
            </w:pPr>
            <w:r>
              <w:rPr>
                <w:sz w:val="12"/>
                <w:szCs w:val="12"/>
                <w:spacing w:val="-2"/>
              </w:rPr>
              <w:t>隔7到10天，视现场</w:t>
            </w:r>
          </w:p>
          <w:p>
            <w:pPr>
              <w:pStyle w:val="TableText"/>
              <w:ind w:left="106"/>
              <w:spacing w:before="16" w:line="219" w:lineRule="auto"/>
              <w:rPr>
                <w:sz w:val="12"/>
                <w:szCs w:val="12"/>
              </w:rPr>
            </w:pPr>
            <w:r>
              <w:rPr>
                <w:sz w:val="12"/>
                <w:szCs w:val="12"/>
                <w:spacing w:val="-1"/>
              </w:rPr>
              <w:t>情况可增加次数</w:t>
            </w:r>
          </w:p>
        </w:tc>
        <w:tc>
          <w:tcPr>
            <w:tcW w:w="879" w:type="dxa"/>
            <w:vAlign w:val="top"/>
          </w:tcPr>
          <w:p>
            <w:pPr>
              <w:pStyle w:val="TableText"/>
              <w:ind w:left="196"/>
              <w:spacing w:before="145" w:line="214" w:lineRule="auto"/>
              <w:rPr>
                <w:sz w:val="12"/>
                <w:szCs w:val="12"/>
              </w:rPr>
            </w:pPr>
            <w:r>
              <w:rPr>
                <w:sz w:val="12"/>
                <w:szCs w:val="12"/>
                <w:spacing w:val="3"/>
              </w:rPr>
              <w:t>(10g/袋)</w:t>
            </w:r>
          </w:p>
        </w:tc>
        <w:tc>
          <w:tcPr>
            <w:tcW w:w="2623" w:type="dxa"/>
            <w:vAlign w:val="top"/>
          </w:tcPr>
          <w:p>
            <w:pPr>
              <w:pStyle w:val="TableText"/>
              <w:ind w:left="7"/>
              <w:spacing w:before="150" w:line="219" w:lineRule="auto"/>
              <w:rPr>
                <w:sz w:val="12"/>
                <w:szCs w:val="12"/>
              </w:rPr>
            </w:pPr>
            <w:r>
              <w:rPr>
                <w:sz w:val="12"/>
                <w:szCs w:val="12"/>
                <w:spacing w:val="-1"/>
              </w:rPr>
              <w:t>杀蚜虫、飞虱等害虫</w:t>
            </w:r>
          </w:p>
        </w:tc>
      </w:tr>
      <w:tr>
        <w:trPr>
          <w:trHeight w:val="470"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143"/>
              <w:spacing w:before="179" w:line="219" w:lineRule="auto"/>
              <w:rPr>
                <w:sz w:val="12"/>
                <w:szCs w:val="12"/>
              </w:rPr>
            </w:pPr>
            <w:r>
              <w:rPr>
                <w:sz w:val="12"/>
                <w:szCs w:val="12"/>
                <w:spacing w:val="2"/>
              </w:rPr>
              <w:t>中威壮美(杀蜗剂)</w:t>
            </w:r>
          </w:p>
        </w:tc>
        <w:tc>
          <w:tcPr>
            <w:tcW w:w="1949" w:type="dxa"/>
            <w:vAlign w:val="top"/>
          </w:tcPr>
          <w:p>
            <w:pPr>
              <w:pStyle w:val="TableText"/>
              <w:ind w:left="454"/>
              <w:spacing w:before="180" w:line="220" w:lineRule="auto"/>
              <w:rPr>
                <w:sz w:val="12"/>
                <w:szCs w:val="12"/>
              </w:rPr>
            </w:pPr>
            <w:r>
              <w:rPr>
                <w:sz w:val="12"/>
                <w:szCs w:val="12"/>
                <w:spacing w:val="-5"/>
              </w:rPr>
              <w:t>阿维</w:t>
            </w:r>
            <w:r>
              <w:rPr>
                <w:sz w:val="12"/>
                <w:szCs w:val="12"/>
                <w:spacing w:val="-14"/>
              </w:rPr>
              <w:t xml:space="preserve"> </w:t>
            </w:r>
            <w:r>
              <w:rPr>
                <w:sz w:val="12"/>
                <w:szCs w:val="12"/>
                <w:spacing w:val="-5"/>
              </w:rPr>
              <w:t>·哒蛹灵3.20%</w:t>
            </w:r>
          </w:p>
        </w:tc>
        <w:tc>
          <w:tcPr>
            <w:tcW w:w="1639" w:type="dxa"/>
            <w:vAlign w:val="top"/>
          </w:tcPr>
          <w:p>
            <w:pPr>
              <w:pStyle w:val="TableText"/>
              <w:ind w:left="574"/>
              <w:spacing w:before="180" w:line="220" w:lineRule="auto"/>
              <w:rPr>
                <w:sz w:val="12"/>
                <w:szCs w:val="12"/>
              </w:rPr>
            </w:pPr>
            <w:r>
              <w:rPr>
                <w:sz w:val="12"/>
                <w:szCs w:val="12"/>
                <w:spacing w:val="-2"/>
              </w:rPr>
              <w:t>1500倍液</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136"/>
              <w:spacing w:before="180" w:line="221" w:lineRule="auto"/>
              <w:rPr>
                <w:sz w:val="12"/>
                <w:szCs w:val="12"/>
              </w:rPr>
            </w:pPr>
            <w:r>
              <w:rPr>
                <w:sz w:val="12"/>
                <w:szCs w:val="12"/>
                <w:spacing w:val="3"/>
              </w:rPr>
              <w:t>(200</w:t>
            </w:r>
            <w:r>
              <w:rPr>
                <w:sz w:val="12"/>
                <w:szCs w:val="12"/>
              </w:rPr>
              <w:t>ml</w:t>
            </w:r>
            <w:r>
              <w:rPr>
                <w:sz w:val="12"/>
                <w:szCs w:val="12"/>
                <w:spacing w:val="3"/>
              </w:rPr>
              <w:t>/瓶)</w:t>
            </w:r>
          </w:p>
        </w:tc>
        <w:tc>
          <w:tcPr>
            <w:tcW w:w="2623" w:type="dxa"/>
            <w:vAlign w:val="top"/>
          </w:tcPr>
          <w:p>
            <w:pPr>
              <w:pStyle w:val="TableText"/>
              <w:ind w:left="16" w:right="89" w:hanging="9"/>
              <w:spacing w:before="120" w:line="210" w:lineRule="auto"/>
              <w:rPr>
                <w:sz w:val="12"/>
                <w:szCs w:val="12"/>
              </w:rPr>
            </w:pPr>
            <w:r>
              <w:rPr>
                <w:sz w:val="12"/>
                <w:szCs w:val="12"/>
                <w:spacing w:val="-1"/>
              </w:rPr>
              <w:t>对红蜘蛛，白蜘蛛及抗性螨类害虫有极强的杀灭</w:t>
            </w:r>
            <w:r>
              <w:rPr>
                <w:sz w:val="12"/>
                <w:szCs w:val="12"/>
                <w:spacing w:val="15"/>
                <w:w w:val="101"/>
              </w:rPr>
              <w:t xml:space="preserve"> </w:t>
            </w:r>
            <w:r>
              <w:rPr>
                <w:sz w:val="12"/>
                <w:szCs w:val="12"/>
                <w:spacing w:val="-2"/>
              </w:rPr>
              <w:t>作用</w:t>
            </w:r>
          </w:p>
        </w:tc>
      </w:tr>
      <w:tr>
        <w:trPr>
          <w:trHeight w:val="469"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383"/>
              <w:spacing w:before="180" w:line="219" w:lineRule="auto"/>
              <w:rPr>
                <w:sz w:val="12"/>
                <w:szCs w:val="12"/>
              </w:rPr>
            </w:pPr>
            <w:r>
              <w:rPr>
                <w:sz w:val="12"/>
                <w:szCs w:val="12"/>
                <w:spacing w:val="1"/>
              </w:rPr>
              <w:t>国光毒枪</w:t>
            </w:r>
          </w:p>
        </w:tc>
        <w:tc>
          <w:tcPr>
            <w:tcW w:w="1949" w:type="dxa"/>
            <w:vAlign w:val="top"/>
          </w:tcPr>
          <w:p>
            <w:pPr>
              <w:pStyle w:val="TableText"/>
              <w:ind w:left="394"/>
              <w:spacing w:before="180" w:line="219" w:lineRule="auto"/>
              <w:rPr>
                <w:sz w:val="12"/>
                <w:szCs w:val="12"/>
              </w:rPr>
            </w:pPr>
            <w:r>
              <w:rPr>
                <w:sz w:val="12"/>
                <w:szCs w:val="12"/>
                <w:spacing w:val="-5"/>
              </w:rPr>
              <w:t>45%丙溴</w:t>
            </w:r>
            <w:r>
              <w:rPr>
                <w:sz w:val="12"/>
                <w:szCs w:val="12"/>
                <w:spacing w:val="-11"/>
              </w:rPr>
              <w:t xml:space="preserve"> </w:t>
            </w:r>
            <w:r>
              <w:rPr>
                <w:sz w:val="12"/>
                <w:szCs w:val="12"/>
                <w:spacing w:val="-5"/>
              </w:rPr>
              <w:t>·辛硫磷乳油</w:t>
            </w:r>
          </w:p>
        </w:tc>
        <w:tc>
          <w:tcPr>
            <w:tcW w:w="1639" w:type="dxa"/>
            <w:vAlign w:val="top"/>
          </w:tcPr>
          <w:p>
            <w:pPr>
              <w:pStyle w:val="TableText"/>
              <w:ind w:left="455"/>
              <w:spacing w:before="180" w:line="219" w:lineRule="auto"/>
              <w:rPr>
                <w:sz w:val="12"/>
                <w:szCs w:val="12"/>
              </w:rPr>
            </w:pPr>
            <w:r>
              <w:rPr>
                <w:sz w:val="12"/>
                <w:szCs w:val="12"/>
                <w:spacing w:val="-1"/>
              </w:rPr>
              <w:t>稀释5-10倍液</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136"/>
              <w:spacing w:before="180" w:line="221" w:lineRule="auto"/>
              <w:rPr>
                <w:sz w:val="12"/>
                <w:szCs w:val="12"/>
              </w:rPr>
            </w:pPr>
            <w:r>
              <w:rPr>
                <w:sz w:val="12"/>
                <w:szCs w:val="12"/>
                <w:spacing w:val="3"/>
              </w:rPr>
              <w:t>(200</w:t>
            </w:r>
            <w:r>
              <w:rPr>
                <w:sz w:val="12"/>
                <w:szCs w:val="12"/>
              </w:rPr>
              <w:t>ml</w:t>
            </w:r>
            <w:r>
              <w:rPr>
                <w:sz w:val="12"/>
                <w:szCs w:val="12"/>
                <w:spacing w:val="3"/>
              </w:rPr>
              <w:t>/瓶)</w:t>
            </w:r>
          </w:p>
        </w:tc>
        <w:tc>
          <w:tcPr>
            <w:tcW w:w="2623" w:type="dxa"/>
            <w:vAlign w:val="top"/>
          </w:tcPr>
          <w:p>
            <w:pPr>
              <w:pStyle w:val="TableText"/>
              <w:ind w:left="7"/>
              <w:spacing w:before="180" w:line="219" w:lineRule="auto"/>
              <w:rPr>
                <w:sz w:val="12"/>
                <w:szCs w:val="12"/>
              </w:rPr>
            </w:pPr>
            <w:r>
              <w:rPr>
                <w:sz w:val="12"/>
                <w:szCs w:val="12"/>
                <w:spacing w:val="-1"/>
              </w:rPr>
              <w:t>注射虫洞，黄泥封洞</w:t>
            </w:r>
          </w:p>
        </w:tc>
      </w:tr>
      <w:tr>
        <w:trPr>
          <w:trHeight w:val="470" w:hRule="atLeast"/>
        </w:trPr>
        <w:tc>
          <w:tcPr>
            <w:tcW w:w="425" w:type="dxa"/>
            <w:vAlign w:val="top"/>
            <w:vMerge w:val="continue"/>
            <w:tcBorders>
              <w:top w:val="nil"/>
              <w:bottom w:val="nil"/>
            </w:tcBorders>
          </w:tcPr>
          <w:p>
            <w:pPr>
              <w:rPr>
                <w:rFonts w:ascii="Arial"/>
                <w:sz w:val="21"/>
              </w:rPr>
            </w:pPr>
            <w:r/>
          </w:p>
        </w:tc>
        <w:tc>
          <w:tcPr>
            <w:tcW w:w="580" w:type="dxa"/>
            <w:vAlign w:val="top"/>
            <w:vMerge w:val="restart"/>
            <w:tcBorders>
              <w:bottom w:val="nil"/>
            </w:tcBorders>
          </w:tcPr>
          <w:p>
            <w:pPr>
              <w:spacing w:line="378" w:lineRule="auto"/>
              <w:rPr>
                <w:rFonts w:ascii="Arial"/>
                <w:sz w:val="21"/>
              </w:rPr>
            </w:pPr>
            <w:r/>
          </w:p>
          <w:p>
            <w:pPr>
              <w:pStyle w:val="TableText"/>
              <w:ind w:left="40"/>
              <w:spacing w:before="39" w:line="219" w:lineRule="auto"/>
              <w:rPr>
                <w:sz w:val="12"/>
                <w:szCs w:val="12"/>
              </w:rPr>
            </w:pPr>
            <w:r>
              <w:rPr>
                <w:sz w:val="12"/>
                <w:szCs w:val="12"/>
                <w:spacing w:val="-1"/>
              </w:rPr>
              <w:t>蛀干害虫</w:t>
            </w:r>
          </w:p>
        </w:tc>
        <w:tc>
          <w:tcPr>
            <w:tcW w:w="959" w:type="dxa"/>
            <w:vAlign w:val="top"/>
            <w:vMerge w:val="restart"/>
            <w:tcBorders>
              <w:bottom w:val="nil"/>
            </w:tcBorders>
          </w:tcPr>
          <w:p>
            <w:pPr>
              <w:pStyle w:val="TableText"/>
              <w:spacing w:before="191" w:line="220" w:lineRule="auto"/>
              <w:jc w:val="right"/>
              <w:rPr>
                <w:sz w:val="12"/>
                <w:szCs w:val="12"/>
              </w:rPr>
            </w:pPr>
            <w:r>
              <w:rPr>
                <w:sz w:val="12"/>
                <w:szCs w:val="12"/>
                <w:spacing w:val="8"/>
              </w:rPr>
              <w:t>天牛、小蠢虫、</w:t>
            </w:r>
          </w:p>
          <w:p>
            <w:pPr>
              <w:pStyle w:val="TableText"/>
              <w:ind w:left="70"/>
              <w:spacing w:before="7" w:line="220" w:lineRule="auto"/>
              <w:rPr>
                <w:sz w:val="12"/>
                <w:szCs w:val="12"/>
              </w:rPr>
            </w:pPr>
            <w:r>
              <w:rPr>
                <w:sz w:val="12"/>
                <w:szCs w:val="12"/>
                <w:spacing w:val="-1"/>
              </w:rPr>
              <w:t>透妞蛾、木嘉蛾</w:t>
            </w:r>
          </w:p>
          <w:p>
            <w:pPr>
              <w:pStyle w:val="TableText"/>
              <w:ind w:left="50"/>
              <w:spacing w:before="15" w:line="219" w:lineRule="auto"/>
              <w:rPr>
                <w:sz w:val="12"/>
                <w:szCs w:val="12"/>
              </w:rPr>
            </w:pPr>
            <w:r>
              <w:rPr>
                <w:sz w:val="12"/>
                <w:szCs w:val="12"/>
                <w:spacing w:val="-3"/>
              </w:rPr>
              <w:t>、杨干象、吉丁</w:t>
            </w:r>
          </w:p>
          <w:p>
            <w:pPr>
              <w:pStyle w:val="TableText"/>
              <w:ind w:left="380"/>
              <w:spacing w:line="223" w:lineRule="auto"/>
              <w:rPr>
                <w:sz w:val="12"/>
                <w:szCs w:val="12"/>
              </w:rPr>
            </w:pPr>
            <w:r>
              <w:rPr>
                <w:sz w:val="12"/>
                <w:szCs w:val="12"/>
                <w:spacing w:val="-1"/>
              </w:rPr>
              <w:t>虫。</w:t>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263"/>
              <w:spacing w:before="180" w:line="219" w:lineRule="auto"/>
              <w:rPr>
                <w:sz w:val="12"/>
                <w:szCs w:val="12"/>
              </w:rPr>
            </w:pPr>
            <w:r>
              <w:rPr>
                <w:sz w:val="12"/>
                <w:szCs w:val="12"/>
                <w:spacing w:val="1"/>
              </w:rPr>
              <w:t>国光防蛀液剂</w:t>
            </w:r>
          </w:p>
        </w:tc>
        <w:tc>
          <w:tcPr>
            <w:tcW w:w="1949" w:type="dxa"/>
            <w:vAlign w:val="top"/>
          </w:tcPr>
          <w:p>
            <w:pPr>
              <w:pStyle w:val="TableText"/>
              <w:ind w:left="654"/>
              <w:spacing w:before="180" w:line="219" w:lineRule="auto"/>
              <w:rPr>
                <w:sz w:val="12"/>
                <w:szCs w:val="12"/>
              </w:rPr>
            </w:pPr>
            <w:r>
              <w:rPr>
                <w:sz w:val="12"/>
                <w:szCs w:val="12"/>
                <w:spacing w:val="-5"/>
              </w:rPr>
              <w:t>0</w:t>
            </w:r>
            <w:r>
              <w:rPr>
                <w:sz w:val="12"/>
                <w:szCs w:val="12"/>
                <w:spacing w:val="-22"/>
              </w:rPr>
              <w:t xml:space="preserve"> </w:t>
            </w:r>
            <w:r>
              <w:rPr>
                <w:sz w:val="12"/>
                <w:szCs w:val="12"/>
                <w:spacing w:val="-5"/>
              </w:rPr>
              <w:t>.</w:t>
            </w:r>
            <w:r>
              <w:rPr>
                <w:sz w:val="12"/>
                <w:szCs w:val="12"/>
                <w:spacing w:val="-23"/>
              </w:rPr>
              <w:t xml:space="preserve"> </w:t>
            </w:r>
            <w:r>
              <w:rPr>
                <w:sz w:val="12"/>
                <w:szCs w:val="12"/>
                <w:spacing w:val="-5"/>
              </w:rPr>
              <w:t>3</w:t>
            </w:r>
            <w:r>
              <w:rPr>
                <w:sz w:val="12"/>
                <w:szCs w:val="12"/>
                <w:spacing w:val="-28"/>
              </w:rPr>
              <w:t xml:space="preserve"> </w:t>
            </w:r>
            <w:r>
              <w:rPr>
                <w:sz w:val="12"/>
                <w:szCs w:val="12"/>
                <w:spacing w:val="-5"/>
              </w:rPr>
              <w:t>%</w:t>
            </w:r>
            <w:r>
              <w:rPr>
                <w:sz w:val="12"/>
                <w:szCs w:val="12"/>
                <w:spacing w:val="-23"/>
              </w:rPr>
              <w:t xml:space="preserve"> </w:t>
            </w:r>
            <w:r>
              <w:rPr>
                <w:sz w:val="12"/>
                <w:szCs w:val="12"/>
                <w:spacing w:val="-5"/>
              </w:rPr>
              <w:t>氯</w:t>
            </w:r>
            <w:r>
              <w:rPr>
                <w:sz w:val="12"/>
                <w:szCs w:val="12"/>
                <w:spacing w:val="-25"/>
              </w:rPr>
              <w:t xml:space="preserve"> </w:t>
            </w:r>
            <w:r>
              <w:rPr>
                <w:sz w:val="12"/>
                <w:szCs w:val="12"/>
                <w:spacing w:val="-5"/>
              </w:rPr>
              <w:t>菊</w:t>
            </w:r>
          </w:p>
        </w:tc>
        <w:tc>
          <w:tcPr>
            <w:tcW w:w="1639" w:type="dxa"/>
            <w:vAlign w:val="top"/>
          </w:tcPr>
          <w:p>
            <w:pPr>
              <w:pStyle w:val="TableText"/>
              <w:ind w:left="574"/>
              <w:spacing w:before="180" w:line="219" w:lineRule="auto"/>
              <w:rPr>
                <w:sz w:val="12"/>
                <w:szCs w:val="12"/>
              </w:rPr>
            </w:pPr>
            <w:r>
              <w:rPr>
                <w:sz w:val="12"/>
                <w:szCs w:val="12"/>
                <w:spacing w:val="3"/>
              </w:rPr>
              <w:t>直接使用</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166"/>
              <w:spacing w:before="181" w:line="220" w:lineRule="auto"/>
              <w:rPr>
                <w:sz w:val="12"/>
                <w:szCs w:val="12"/>
              </w:rPr>
            </w:pPr>
            <w:r>
              <w:rPr>
                <w:sz w:val="12"/>
                <w:szCs w:val="12"/>
                <w:spacing w:val="4"/>
              </w:rPr>
              <w:t>(20</w:t>
            </w:r>
            <w:r>
              <w:rPr>
                <w:sz w:val="12"/>
                <w:szCs w:val="12"/>
              </w:rPr>
              <w:t>ml</w:t>
            </w:r>
            <w:r>
              <w:rPr>
                <w:sz w:val="12"/>
                <w:szCs w:val="12"/>
                <w:spacing w:val="4"/>
              </w:rPr>
              <w:t>/支)</w:t>
            </w:r>
          </w:p>
        </w:tc>
        <w:tc>
          <w:tcPr>
            <w:tcW w:w="2623" w:type="dxa"/>
            <w:vAlign w:val="top"/>
          </w:tcPr>
          <w:p>
            <w:pPr>
              <w:pStyle w:val="TableText"/>
              <w:ind w:left="16" w:right="150" w:hanging="9"/>
              <w:spacing w:before="121" w:line="210" w:lineRule="auto"/>
              <w:rPr>
                <w:sz w:val="12"/>
                <w:szCs w:val="12"/>
              </w:rPr>
            </w:pPr>
            <w:r>
              <w:rPr>
                <w:sz w:val="12"/>
                <w:szCs w:val="12"/>
              </w:rPr>
              <w:t>专柔蛀杆性害虫胸径8-10cn用1支，</w:t>
            </w:r>
            <w:r>
              <w:rPr>
                <w:sz w:val="12"/>
                <w:szCs w:val="12"/>
                <w:spacing w:val="-1"/>
              </w:rPr>
              <w:t>每增加10cm</w:t>
            </w:r>
            <w:r>
              <w:rPr>
                <w:sz w:val="12"/>
                <w:szCs w:val="12"/>
              </w:rPr>
              <w:t xml:space="preserve"> </w:t>
            </w:r>
            <w:r>
              <w:rPr>
                <w:sz w:val="12"/>
                <w:szCs w:val="12"/>
                <w:spacing w:val="-1"/>
              </w:rPr>
              <w:t>增加1支</w:t>
            </w:r>
          </w:p>
        </w:tc>
      </w:tr>
      <w:tr>
        <w:trPr>
          <w:trHeight w:val="469"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143"/>
              <w:spacing w:before="180" w:line="219" w:lineRule="auto"/>
              <w:rPr>
                <w:sz w:val="12"/>
                <w:szCs w:val="12"/>
              </w:rPr>
            </w:pPr>
            <w:r>
              <w:rPr>
                <w:sz w:val="12"/>
                <w:szCs w:val="12"/>
                <w:spacing w:val="1"/>
              </w:rPr>
              <w:t>中威蛀干害虫专用</w:t>
            </w:r>
          </w:p>
        </w:tc>
        <w:tc>
          <w:tcPr>
            <w:tcW w:w="1949" w:type="dxa"/>
            <w:vAlign w:val="top"/>
          </w:tcPr>
          <w:p>
            <w:pPr>
              <w:pStyle w:val="TableText"/>
              <w:ind w:left="273"/>
              <w:spacing w:before="181" w:line="219" w:lineRule="auto"/>
              <w:rPr>
                <w:sz w:val="12"/>
                <w:szCs w:val="12"/>
              </w:rPr>
            </w:pPr>
            <w:r>
              <w:rPr>
                <w:sz w:val="12"/>
                <w:szCs w:val="12"/>
                <w:spacing w:val="-8"/>
              </w:rPr>
              <w:t>氰戊 ·马拉松</w:t>
            </w:r>
            <w:r>
              <w:rPr>
                <w:sz w:val="12"/>
                <w:szCs w:val="12"/>
                <w:spacing w:val="-14"/>
              </w:rPr>
              <w:t xml:space="preserve"> </w:t>
            </w:r>
            <w:r>
              <w:rPr>
                <w:sz w:val="12"/>
                <w:szCs w:val="12"/>
                <w:spacing w:val="-8"/>
              </w:rPr>
              <w:t>·苦参碱20%</w:t>
            </w:r>
          </w:p>
        </w:tc>
        <w:tc>
          <w:tcPr>
            <w:tcW w:w="1639" w:type="dxa"/>
            <w:vAlign w:val="top"/>
          </w:tcPr>
          <w:p>
            <w:pPr>
              <w:pStyle w:val="TableText"/>
              <w:ind w:left="574"/>
              <w:spacing w:before="181" w:line="219" w:lineRule="auto"/>
              <w:rPr>
                <w:sz w:val="12"/>
                <w:szCs w:val="12"/>
              </w:rPr>
            </w:pPr>
            <w:r>
              <w:rPr>
                <w:sz w:val="12"/>
                <w:szCs w:val="12"/>
                <w:spacing w:val="3"/>
              </w:rPr>
              <w:t>直接使用</w:t>
            </w:r>
          </w:p>
        </w:tc>
        <w:tc>
          <w:tcPr>
            <w:tcW w:w="1059" w:type="dxa"/>
            <w:vAlign w:val="top"/>
            <w:vMerge w:val="continue"/>
            <w:tcBorders>
              <w:top w:val="nil"/>
            </w:tcBorders>
          </w:tcPr>
          <w:p>
            <w:pPr>
              <w:rPr>
                <w:rFonts w:ascii="Arial"/>
                <w:sz w:val="21"/>
              </w:rPr>
            </w:pPr>
            <w:r/>
          </w:p>
        </w:tc>
        <w:tc>
          <w:tcPr>
            <w:tcW w:w="879" w:type="dxa"/>
            <w:vAlign w:val="top"/>
          </w:tcPr>
          <w:p>
            <w:pPr>
              <w:pStyle w:val="TableText"/>
              <w:ind w:left="166"/>
              <w:spacing w:before="181" w:line="220" w:lineRule="auto"/>
              <w:rPr>
                <w:sz w:val="12"/>
                <w:szCs w:val="12"/>
              </w:rPr>
            </w:pPr>
            <w:r>
              <w:rPr>
                <w:sz w:val="12"/>
                <w:szCs w:val="12"/>
                <w:spacing w:val="4"/>
              </w:rPr>
              <w:t>(20</w:t>
            </w:r>
            <w:r>
              <w:rPr>
                <w:sz w:val="12"/>
                <w:szCs w:val="12"/>
              </w:rPr>
              <w:t>ml</w:t>
            </w:r>
            <w:r>
              <w:rPr>
                <w:sz w:val="12"/>
                <w:szCs w:val="12"/>
                <w:spacing w:val="4"/>
              </w:rPr>
              <w:t>/支)</w:t>
            </w:r>
          </w:p>
        </w:tc>
        <w:tc>
          <w:tcPr>
            <w:tcW w:w="2623" w:type="dxa"/>
            <w:vAlign w:val="top"/>
          </w:tcPr>
          <w:p>
            <w:pPr>
              <w:pStyle w:val="TableText"/>
              <w:ind w:left="7" w:right="89"/>
              <w:spacing w:before="120" w:line="218" w:lineRule="auto"/>
              <w:rPr>
                <w:sz w:val="12"/>
                <w:szCs w:val="12"/>
              </w:rPr>
            </w:pPr>
            <w:r>
              <w:rPr>
                <w:sz w:val="12"/>
                <w:szCs w:val="12"/>
                <w:spacing w:val="-1"/>
              </w:rPr>
              <w:t>针对天牛幼虫，吉丁虫、松材线虫等蛀干害虫效</w:t>
            </w:r>
            <w:r>
              <w:rPr>
                <w:sz w:val="12"/>
                <w:szCs w:val="12"/>
                <w:spacing w:val="15"/>
              </w:rPr>
              <w:t xml:space="preserve"> </w:t>
            </w:r>
            <w:r>
              <w:rPr>
                <w:sz w:val="12"/>
                <w:szCs w:val="12"/>
                <w:spacing w:val="-2"/>
              </w:rPr>
              <w:t>果明显</w:t>
            </w:r>
          </w:p>
        </w:tc>
      </w:tr>
      <w:tr>
        <w:trPr>
          <w:trHeight w:val="470" w:hRule="atLeast"/>
        </w:trPr>
        <w:tc>
          <w:tcPr>
            <w:tcW w:w="425" w:type="dxa"/>
            <w:vAlign w:val="top"/>
            <w:vMerge w:val="continue"/>
            <w:tcBorders>
              <w:top w:val="nil"/>
            </w:tcBorders>
          </w:tcPr>
          <w:p>
            <w:pPr>
              <w:rPr>
                <w:rFonts w:ascii="Arial"/>
                <w:sz w:val="21"/>
              </w:rPr>
            </w:pPr>
            <w:r/>
          </w:p>
        </w:tc>
        <w:tc>
          <w:tcPr>
            <w:tcW w:w="580" w:type="dxa"/>
            <w:vAlign w:val="top"/>
          </w:tcPr>
          <w:p>
            <w:pPr>
              <w:pStyle w:val="TableText"/>
              <w:ind w:left="40"/>
              <w:spacing w:before="182" w:line="220" w:lineRule="auto"/>
              <w:rPr>
                <w:sz w:val="12"/>
                <w:szCs w:val="12"/>
              </w:rPr>
            </w:pPr>
            <w:r>
              <w:rPr>
                <w:sz w:val="12"/>
                <w:szCs w:val="12"/>
                <w:spacing w:val="-1"/>
              </w:rPr>
              <w:t>地下害虫</w:t>
            </w:r>
          </w:p>
        </w:tc>
        <w:tc>
          <w:tcPr>
            <w:tcW w:w="959" w:type="dxa"/>
            <w:vAlign w:val="top"/>
          </w:tcPr>
          <w:p>
            <w:pPr>
              <w:pStyle w:val="TableText"/>
              <w:ind w:left="109" w:right="28" w:hanging="29"/>
              <w:spacing w:before="101" w:line="250" w:lineRule="auto"/>
              <w:rPr>
                <w:sz w:val="12"/>
                <w:szCs w:val="12"/>
              </w:rPr>
            </w:pPr>
            <w:r>
              <w:rPr>
                <w:sz w:val="12"/>
                <w:szCs w:val="12"/>
              </w:rPr>
              <w:t>蛴蜻、地老虎， </w:t>
            </w:r>
            <w:r>
              <w:rPr>
                <w:sz w:val="12"/>
                <w:szCs w:val="12"/>
                <w:spacing w:val="-1"/>
              </w:rPr>
              <w:t>其他土中虫卵</w:t>
            </w:r>
          </w:p>
        </w:tc>
        <w:tc>
          <w:tcPr>
            <w:tcW w:w="2698" w:type="dxa"/>
            <w:vAlign w:val="top"/>
            <w:vMerge w:val="continue"/>
            <w:tcBorders>
              <w:top w:val="nil"/>
            </w:tcBorders>
          </w:tcPr>
          <w:p>
            <w:pPr>
              <w:rPr>
                <w:rFonts w:ascii="Arial"/>
                <w:sz w:val="21"/>
              </w:rPr>
            </w:pPr>
            <w:r/>
          </w:p>
        </w:tc>
        <w:tc>
          <w:tcPr>
            <w:tcW w:w="1269" w:type="dxa"/>
            <w:vAlign w:val="top"/>
          </w:tcPr>
          <w:p>
            <w:pPr>
              <w:pStyle w:val="TableText"/>
              <w:ind w:left="383"/>
              <w:spacing w:before="181" w:line="219" w:lineRule="auto"/>
              <w:rPr>
                <w:sz w:val="12"/>
                <w:szCs w:val="12"/>
              </w:rPr>
            </w:pPr>
            <w:r>
              <w:rPr>
                <w:sz w:val="12"/>
                <w:szCs w:val="12"/>
                <w:spacing w:val="1"/>
              </w:rPr>
              <w:t>国光地杀</w:t>
            </w:r>
          </w:p>
        </w:tc>
        <w:tc>
          <w:tcPr>
            <w:tcW w:w="1949" w:type="dxa"/>
            <w:vAlign w:val="top"/>
          </w:tcPr>
          <w:p>
            <w:pPr>
              <w:pStyle w:val="TableText"/>
              <w:ind w:left="183"/>
              <w:spacing w:before="181" w:line="219" w:lineRule="auto"/>
              <w:rPr>
                <w:sz w:val="12"/>
                <w:szCs w:val="12"/>
              </w:rPr>
            </w:pPr>
            <w:r>
              <w:rPr>
                <w:sz w:val="12"/>
                <w:szCs w:val="12"/>
                <w:spacing w:val="-4"/>
              </w:rPr>
              <w:t>5%丁硫克百威</w:t>
            </w:r>
            <w:r>
              <w:rPr>
                <w:sz w:val="12"/>
                <w:szCs w:val="12"/>
                <w:spacing w:val="-13"/>
              </w:rPr>
              <w:t xml:space="preserve"> </w:t>
            </w:r>
            <w:r>
              <w:rPr>
                <w:sz w:val="12"/>
                <w:szCs w:val="12"/>
                <w:spacing w:val="-4"/>
              </w:rPr>
              <w:t>·毒死婢颗粒剂</w:t>
            </w:r>
          </w:p>
        </w:tc>
        <w:tc>
          <w:tcPr>
            <w:tcW w:w="1639" w:type="dxa"/>
            <w:vAlign w:val="top"/>
          </w:tcPr>
          <w:p>
            <w:pPr>
              <w:pStyle w:val="TableText"/>
              <w:ind w:left="275"/>
              <w:spacing w:before="177" w:line="214" w:lineRule="auto"/>
              <w:rPr>
                <w:sz w:val="12"/>
                <w:szCs w:val="12"/>
              </w:rPr>
            </w:pPr>
            <w:r>
              <w:rPr>
                <w:sz w:val="12"/>
                <w:szCs w:val="12"/>
                <w:spacing w:val="-1"/>
              </w:rPr>
              <w:t>直接撤施：5-7kg/亩</w:t>
            </w:r>
          </w:p>
        </w:tc>
        <w:tc>
          <w:tcPr>
            <w:tcW w:w="1059" w:type="dxa"/>
            <w:vAlign w:val="top"/>
          </w:tcPr>
          <w:p>
            <w:pPr>
              <w:pStyle w:val="TableText"/>
              <w:ind w:left="256"/>
              <w:spacing w:before="181" w:line="219" w:lineRule="auto"/>
              <w:rPr>
                <w:sz w:val="12"/>
                <w:szCs w:val="12"/>
              </w:rPr>
            </w:pPr>
            <w:r>
              <w:rPr>
                <w:sz w:val="12"/>
                <w:szCs w:val="12"/>
                <w:spacing w:val="-2"/>
              </w:rPr>
              <w:t>一般用1次</w:t>
            </w:r>
          </w:p>
        </w:tc>
        <w:tc>
          <w:tcPr>
            <w:tcW w:w="879" w:type="dxa"/>
            <w:vAlign w:val="top"/>
          </w:tcPr>
          <w:p>
            <w:pPr>
              <w:pStyle w:val="TableText"/>
              <w:ind w:left="196"/>
              <w:spacing w:before="177" w:line="214" w:lineRule="auto"/>
              <w:rPr>
                <w:sz w:val="12"/>
                <w:szCs w:val="12"/>
              </w:rPr>
            </w:pPr>
            <w:r>
              <w:rPr>
                <w:sz w:val="12"/>
                <w:szCs w:val="12"/>
                <w:spacing w:val="5"/>
              </w:rPr>
              <w:t>(1</w:t>
            </w:r>
            <w:r>
              <w:rPr>
                <w:sz w:val="12"/>
                <w:szCs w:val="12"/>
              </w:rPr>
              <w:t>kg</w:t>
            </w:r>
            <w:r>
              <w:rPr>
                <w:sz w:val="12"/>
                <w:szCs w:val="12"/>
                <w:spacing w:val="5"/>
              </w:rPr>
              <w:t>/袋)</w:t>
            </w:r>
          </w:p>
        </w:tc>
        <w:tc>
          <w:tcPr>
            <w:tcW w:w="2623" w:type="dxa"/>
            <w:vAlign w:val="top"/>
          </w:tcPr>
          <w:p>
            <w:pPr>
              <w:pStyle w:val="TableText"/>
              <w:ind w:left="7"/>
              <w:spacing w:before="181" w:line="219" w:lineRule="auto"/>
              <w:rPr>
                <w:sz w:val="12"/>
                <w:szCs w:val="12"/>
              </w:rPr>
            </w:pPr>
            <w:r>
              <w:rPr>
                <w:sz w:val="12"/>
                <w:szCs w:val="12"/>
                <w:spacing w:val="-1"/>
              </w:rPr>
              <w:t>在土壤中杀灭害虫效果好，使用方便</w:t>
            </w:r>
          </w:p>
        </w:tc>
      </w:tr>
      <w:tr>
        <w:trPr>
          <w:trHeight w:val="469" w:hRule="atLeast"/>
        </w:trPr>
        <w:tc>
          <w:tcPr>
            <w:tcW w:w="425"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24"/>
              <w:spacing w:before="39" w:line="219" w:lineRule="auto"/>
              <w:rPr>
                <w:sz w:val="12"/>
                <w:szCs w:val="12"/>
              </w:rPr>
            </w:pPr>
            <w:r>
              <w:rPr>
                <w:sz w:val="12"/>
                <w:szCs w:val="12"/>
                <w:spacing w:val="-2"/>
              </w:rPr>
              <w:t>营养剂</w:t>
            </w:r>
          </w:p>
          <w:p>
            <w:pPr>
              <w:pStyle w:val="TableText"/>
              <w:ind w:left="54"/>
              <w:spacing w:before="17" w:line="219" w:lineRule="auto"/>
              <w:rPr>
                <w:sz w:val="12"/>
                <w:szCs w:val="12"/>
              </w:rPr>
            </w:pPr>
            <w:r>
              <w:rPr>
                <w:sz w:val="12"/>
                <w:szCs w:val="12"/>
                <w:spacing w:val="-1"/>
              </w:rPr>
              <w:t>/肥料</w:t>
            </w:r>
          </w:p>
        </w:tc>
        <w:tc>
          <w:tcPr>
            <w:tcW w:w="580" w:type="dxa"/>
            <w:vAlign w:val="top"/>
            <w:vMerge w:val="restart"/>
            <w:tcBorders>
              <w:bottom w:val="nil"/>
            </w:tcBorders>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40"/>
              <w:spacing w:before="39" w:line="219" w:lineRule="auto"/>
              <w:rPr>
                <w:sz w:val="12"/>
                <w:szCs w:val="12"/>
              </w:rPr>
            </w:pPr>
            <w:r>
              <w:rPr>
                <w:sz w:val="12"/>
                <w:szCs w:val="12"/>
                <w:spacing w:val="-1"/>
              </w:rPr>
              <w:t>树木复壮</w:t>
            </w:r>
          </w:p>
        </w:tc>
        <w:tc>
          <w:tcPr>
            <w:tcW w:w="959" w:type="dxa"/>
            <w:vAlign w:val="top"/>
            <w:vMerge w:val="restart"/>
            <w:tcBorders>
              <w:bottom w:val="nil"/>
            </w:tcBorders>
          </w:tcPr>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50"/>
              <w:spacing w:before="39" w:line="219" w:lineRule="auto"/>
              <w:rPr>
                <w:sz w:val="12"/>
                <w:szCs w:val="12"/>
              </w:rPr>
            </w:pPr>
            <w:r>
              <w:rPr>
                <w:sz w:val="12"/>
                <w:szCs w:val="12"/>
                <w:spacing w:val="2"/>
              </w:rPr>
              <w:t>树木长势弱，自</w:t>
            </w:r>
          </w:p>
          <w:p>
            <w:pPr>
              <w:pStyle w:val="TableText"/>
              <w:ind w:left="50"/>
              <w:spacing w:before="7" w:line="219" w:lineRule="auto"/>
              <w:rPr>
                <w:sz w:val="12"/>
                <w:szCs w:val="12"/>
              </w:rPr>
            </w:pPr>
            <w:r>
              <w:rPr>
                <w:sz w:val="12"/>
                <w:szCs w:val="12"/>
                <w:spacing w:val="-1"/>
              </w:rPr>
              <w:t>顺部向下有枯黄</w:t>
            </w:r>
          </w:p>
          <w:p>
            <w:pPr>
              <w:pStyle w:val="TableText"/>
              <w:ind w:left="50"/>
              <w:spacing w:before="27" w:line="215" w:lineRule="auto"/>
              <w:rPr>
                <w:sz w:val="12"/>
                <w:szCs w:val="12"/>
              </w:rPr>
            </w:pPr>
            <w:r>
              <w:rPr>
                <w:sz w:val="12"/>
                <w:szCs w:val="12"/>
                <w:spacing w:val="-1"/>
              </w:rPr>
              <w:t>现象，或高大乔</w:t>
            </w:r>
          </w:p>
          <w:p>
            <w:pPr>
              <w:pStyle w:val="TableText"/>
              <w:ind w:left="110"/>
              <w:spacing w:line="219" w:lineRule="auto"/>
              <w:rPr>
                <w:sz w:val="12"/>
                <w:szCs w:val="12"/>
              </w:rPr>
            </w:pPr>
            <w:r>
              <w:rPr>
                <w:sz w:val="12"/>
                <w:szCs w:val="12"/>
                <w:spacing w:val="-1"/>
              </w:rPr>
              <w:t>木及贵重树木</w:t>
            </w:r>
          </w:p>
        </w:tc>
        <w:tc>
          <w:tcPr>
            <w:tcW w:w="2698" w:type="dxa"/>
            <w:vAlign w:val="top"/>
            <w:vMerge w:val="restart"/>
            <w:tcBorders>
              <w:bottom w:val="nil"/>
            </w:tcBorders>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 w:right="41"/>
              <w:spacing w:before="39" w:line="221" w:lineRule="auto"/>
              <w:rPr>
                <w:sz w:val="12"/>
                <w:szCs w:val="12"/>
              </w:rPr>
            </w:pPr>
            <w:r>
              <w:rPr>
                <w:sz w:val="12"/>
                <w:szCs w:val="12"/>
                <w:spacing w:val="-1"/>
              </w:rPr>
              <w:t>一、主要集中在3月下句4月中句，气温上升，空气</w:t>
            </w:r>
            <w:r>
              <w:rPr>
                <w:sz w:val="12"/>
                <w:szCs w:val="12"/>
                <w:spacing w:val="7"/>
              </w:rPr>
              <w:t xml:space="preserve"> </w:t>
            </w:r>
            <w:r>
              <w:rPr>
                <w:sz w:val="12"/>
                <w:szCs w:val="12"/>
                <w:spacing w:val="-1"/>
              </w:rPr>
              <w:t>湿度增加，苗木结束体眠期开始返青，是树木复壮</w:t>
            </w:r>
            <w:r>
              <w:rPr>
                <w:sz w:val="12"/>
                <w:szCs w:val="12"/>
                <w:spacing w:val="16"/>
              </w:rPr>
              <w:t xml:space="preserve"> </w:t>
            </w:r>
            <w:r>
              <w:rPr>
                <w:sz w:val="12"/>
                <w:szCs w:val="12"/>
                <w:spacing w:val="-1"/>
              </w:rPr>
              <w:t>最佳时机穴施春肥：</w:t>
            </w:r>
          </w:p>
          <w:p>
            <w:pPr>
              <w:pStyle w:val="TableText"/>
              <w:ind w:left="11"/>
              <w:spacing w:before="18" w:line="219" w:lineRule="auto"/>
              <w:rPr>
                <w:sz w:val="12"/>
                <w:szCs w:val="12"/>
              </w:rPr>
            </w:pPr>
            <w:r>
              <w:rPr>
                <w:sz w:val="12"/>
                <w:szCs w:val="12"/>
              </w:rPr>
              <w:t>三，5-6月有个别情况，做专项泊疗。</w:t>
            </w:r>
          </w:p>
        </w:tc>
        <w:tc>
          <w:tcPr>
            <w:tcW w:w="1269" w:type="dxa"/>
            <w:vAlign w:val="top"/>
          </w:tcPr>
          <w:p>
            <w:pPr>
              <w:pStyle w:val="TableText"/>
              <w:ind w:left="263"/>
              <w:spacing w:before="182" w:line="219" w:lineRule="auto"/>
              <w:rPr>
                <w:sz w:val="12"/>
                <w:szCs w:val="12"/>
              </w:rPr>
            </w:pPr>
            <w:r>
              <w:rPr>
                <w:sz w:val="12"/>
                <w:szCs w:val="12"/>
              </w:rPr>
              <w:t>国光吊针原液</w:t>
            </w:r>
          </w:p>
        </w:tc>
        <w:tc>
          <w:tcPr>
            <w:tcW w:w="1949" w:type="dxa"/>
            <w:vAlign w:val="top"/>
          </w:tcPr>
          <w:p>
            <w:pPr>
              <w:pStyle w:val="TableText"/>
              <w:ind w:left="154"/>
              <w:spacing w:before="181" w:line="219" w:lineRule="auto"/>
              <w:rPr>
                <w:sz w:val="12"/>
                <w:szCs w:val="12"/>
              </w:rPr>
            </w:pPr>
            <w:r>
              <w:rPr>
                <w:sz w:val="12"/>
                <w:szCs w:val="12"/>
                <w:spacing w:val="-2"/>
              </w:rPr>
              <w:t>12%含氨基酸本溶肥料(础十辞》</w:t>
            </w:r>
          </w:p>
        </w:tc>
        <w:tc>
          <w:tcPr>
            <w:tcW w:w="1639" w:type="dxa"/>
            <w:vAlign w:val="top"/>
          </w:tcPr>
          <w:p>
            <w:pPr>
              <w:pStyle w:val="TableText"/>
              <w:ind w:left="365"/>
              <w:spacing w:before="182" w:line="219" w:lineRule="auto"/>
              <w:rPr>
                <w:sz w:val="12"/>
                <w:szCs w:val="12"/>
              </w:rPr>
            </w:pPr>
            <w:r>
              <w:rPr>
                <w:sz w:val="12"/>
                <w:szCs w:val="12"/>
                <w:spacing w:val="-1"/>
              </w:rPr>
              <w:t>稀释1000-1200倍</w:t>
            </w:r>
          </w:p>
        </w:tc>
        <w:tc>
          <w:tcPr>
            <w:tcW w:w="1059" w:type="dxa"/>
            <w:vAlign w:val="top"/>
            <w:vMerge w:val="restart"/>
            <w:tcBorders>
              <w:bottom w:val="nil"/>
            </w:tcBorders>
          </w:tcPr>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06"/>
              <w:spacing w:before="39" w:line="219" w:lineRule="auto"/>
              <w:rPr>
                <w:sz w:val="12"/>
                <w:szCs w:val="12"/>
              </w:rPr>
            </w:pPr>
            <w:r>
              <w:rPr>
                <w:sz w:val="12"/>
                <w:szCs w:val="12"/>
                <w:spacing w:val="-1"/>
              </w:rPr>
              <w:t>视树木生长情况</w:t>
            </w:r>
          </w:p>
        </w:tc>
        <w:tc>
          <w:tcPr>
            <w:tcW w:w="879" w:type="dxa"/>
            <w:vAlign w:val="top"/>
          </w:tcPr>
          <w:p>
            <w:pPr>
              <w:pStyle w:val="TableText"/>
              <w:ind w:left="166"/>
              <w:spacing w:before="177" w:line="214" w:lineRule="auto"/>
              <w:rPr>
                <w:sz w:val="12"/>
                <w:szCs w:val="12"/>
              </w:rPr>
            </w:pPr>
            <w:r>
              <w:rPr>
                <w:sz w:val="12"/>
                <w:szCs w:val="12"/>
                <w:spacing w:val="3"/>
              </w:rPr>
              <w:t>(200g/瓶)</w:t>
            </w:r>
          </w:p>
        </w:tc>
        <w:tc>
          <w:tcPr>
            <w:tcW w:w="2623" w:type="dxa"/>
            <w:vAlign w:val="top"/>
          </w:tcPr>
          <w:p>
            <w:pPr>
              <w:pStyle w:val="TableText"/>
              <w:ind w:left="7"/>
              <w:spacing w:before="181" w:line="219" w:lineRule="auto"/>
              <w:rPr>
                <w:sz w:val="12"/>
                <w:szCs w:val="12"/>
              </w:rPr>
            </w:pPr>
            <w:r>
              <w:rPr>
                <w:sz w:val="12"/>
                <w:szCs w:val="12"/>
                <w:spacing w:val="-1"/>
              </w:rPr>
              <w:t>补充水分和养分，促进快速成活</w:t>
            </w:r>
          </w:p>
        </w:tc>
      </w:tr>
      <w:tr>
        <w:trPr>
          <w:trHeight w:val="470"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183" w:line="220" w:lineRule="auto"/>
              <w:rPr>
                <w:sz w:val="12"/>
                <w:szCs w:val="12"/>
              </w:rPr>
            </w:pPr>
            <w:r>
              <w:rPr>
                <w:sz w:val="12"/>
                <w:szCs w:val="12"/>
                <w:spacing w:val="1"/>
              </w:rPr>
              <w:t>中威吊针液</w:t>
            </w:r>
          </w:p>
        </w:tc>
        <w:tc>
          <w:tcPr>
            <w:tcW w:w="1949" w:type="dxa"/>
            <w:vAlign w:val="top"/>
          </w:tcPr>
          <w:p>
            <w:pPr>
              <w:pStyle w:val="TableText"/>
              <w:ind w:left="183"/>
              <w:spacing w:before="181" w:line="216" w:lineRule="auto"/>
              <w:rPr>
                <w:sz w:val="12"/>
                <w:szCs w:val="12"/>
              </w:rPr>
            </w:pPr>
            <w:r>
              <w:rPr>
                <w:sz w:val="12"/>
                <w:szCs w:val="12"/>
                <w:spacing w:val="-1"/>
              </w:rPr>
              <w:t>DA-6,甲壳素、硼镁锌等2.85%</w:t>
            </w:r>
          </w:p>
        </w:tc>
        <w:tc>
          <w:tcPr>
            <w:tcW w:w="1639" w:type="dxa"/>
            <w:vAlign w:val="top"/>
          </w:tcPr>
          <w:p>
            <w:pPr>
              <w:pStyle w:val="TableText"/>
              <w:ind w:left="395"/>
              <w:spacing w:before="182" w:line="219" w:lineRule="auto"/>
              <w:rPr>
                <w:sz w:val="12"/>
                <w:szCs w:val="12"/>
              </w:rPr>
            </w:pPr>
            <w:r>
              <w:rPr>
                <w:sz w:val="12"/>
                <w:szCs w:val="12"/>
                <w:spacing w:val="-1"/>
              </w:rPr>
              <w:t>稀释60-100倍液</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256"/>
              <w:spacing w:before="178" w:line="214" w:lineRule="auto"/>
              <w:rPr>
                <w:sz w:val="12"/>
                <w:szCs w:val="12"/>
              </w:rPr>
            </w:pPr>
            <w:r>
              <w:rPr>
                <w:sz w:val="12"/>
                <w:szCs w:val="12"/>
                <w:spacing w:val="-3"/>
              </w:rPr>
              <w:t>lkg/袋</w:t>
            </w:r>
          </w:p>
        </w:tc>
        <w:tc>
          <w:tcPr>
            <w:tcW w:w="2623" w:type="dxa"/>
            <w:vAlign w:val="top"/>
          </w:tcPr>
          <w:p>
            <w:pPr>
              <w:pStyle w:val="TableText"/>
              <w:ind w:left="17" w:right="90" w:hanging="10"/>
              <w:spacing w:before="112" w:line="233" w:lineRule="auto"/>
              <w:rPr>
                <w:sz w:val="12"/>
                <w:szCs w:val="12"/>
              </w:rPr>
            </w:pPr>
            <w:r>
              <w:rPr>
                <w:sz w:val="12"/>
                <w:szCs w:val="12"/>
                <w:spacing w:val="-1"/>
              </w:rPr>
              <w:t>促使树体健壮，迅速补充营养，增强抗性，提高</w:t>
            </w:r>
            <w:r>
              <w:rPr>
                <w:sz w:val="12"/>
                <w:szCs w:val="12"/>
                <w:spacing w:val="14"/>
              </w:rPr>
              <w:t xml:space="preserve"> </w:t>
            </w:r>
            <w:r>
              <w:rPr>
                <w:sz w:val="12"/>
                <w:szCs w:val="12"/>
                <w:spacing w:val="-2"/>
              </w:rPr>
              <w:t>成活率</w:t>
            </w:r>
          </w:p>
        </w:tc>
      </w:tr>
      <w:tr>
        <w:trPr>
          <w:trHeight w:val="469"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233"/>
              <w:spacing w:before="183" w:line="219" w:lineRule="auto"/>
              <w:rPr>
                <w:sz w:val="12"/>
                <w:szCs w:val="12"/>
              </w:rPr>
            </w:pPr>
            <w:r>
              <w:rPr>
                <w:sz w:val="12"/>
                <w:szCs w:val="12"/>
                <w:spacing w:val="1"/>
              </w:rPr>
              <w:t>国光根动力2号</w:t>
            </w:r>
          </w:p>
        </w:tc>
        <w:tc>
          <w:tcPr>
            <w:tcW w:w="1949" w:type="dxa"/>
            <w:vAlign w:val="top"/>
          </w:tcPr>
          <w:p>
            <w:pPr>
              <w:pStyle w:val="TableText"/>
              <w:ind w:left="333"/>
              <w:spacing w:before="182" w:line="219" w:lineRule="auto"/>
              <w:rPr>
                <w:sz w:val="12"/>
                <w:szCs w:val="12"/>
              </w:rPr>
            </w:pPr>
            <w:r>
              <w:rPr>
                <w:sz w:val="12"/>
                <w:szCs w:val="12"/>
                <w:spacing w:val="2"/>
              </w:rPr>
              <w:t>13%含氮基酸水溶肥(钙)</w:t>
            </w:r>
          </w:p>
        </w:tc>
        <w:tc>
          <w:tcPr>
            <w:tcW w:w="1639" w:type="dxa"/>
            <w:vAlign w:val="top"/>
          </w:tcPr>
          <w:p>
            <w:pPr>
              <w:pStyle w:val="TableText"/>
              <w:ind w:left="335"/>
              <w:spacing w:before="183" w:line="219" w:lineRule="auto"/>
              <w:rPr>
                <w:sz w:val="12"/>
                <w:szCs w:val="12"/>
              </w:rPr>
            </w:pPr>
            <w:r>
              <w:rPr>
                <w:sz w:val="12"/>
                <w:szCs w:val="12"/>
                <w:spacing w:val="-1"/>
              </w:rPr>
              <w:t>稀释800-1000倍液</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226"/>
              <w:spacing w:before="183" w:line="221" w:lineRule="auto"/>
              <w:rPr>
                <w:sz w:val="12"/>
                <w:szCs w:val="12"/>
              </w:rPr>
            </w:pPr>
            <w:r>
              <w:rPr>
                <w:sz w:val="12"/>
                <w:szCs w:val="12"/>
                <w:spacing w:val="6"/>
              </w:rPr>
              <w:t>(</w:t>
            </w:r>
            <w:r>
              <w:rPr>
                <w:sz w:val="12"/>
                <w:szCs w:val="12"/>
              </w:rPr>
              <w:t>IL</w:t>
            </w:r>
            <w:r>
              <w:rPr>
                <w:sz w:val="12"/>
                <w:szCs w:val="12"/>
                <w:spacing w:val="6"/>
              </w:rPr>
              <w:t>/瓶)</w:t>
            </w:r>
          </w:p>
        </w:tc>
        <w:tc>
          <w:tcPr>
            <w:tcW w:w="2623" w:type="dxa"/>
            <w:vAlign w:val="top"/>
          </w:tcPr>
          <w:p>
            <w:pPr>
              <w:pStyle w:val="TableText"/>
              <w:ind w:left="7"/>
              <w:spacing w:before="183" w:line="219" w:lineRule="auto"/>
              <w:rPr>
                <w:sz w:val="12"/>
                <w:szCs w:val="12"/>
              </w:rPr>
            </w:pPr>
            <w:r>
              <w:rPr>
                <w:sz w:val="12"/>
                <w:szCs w:val="12"/>
                <w:spacing w:val="-1"/>
              </w:rPr>
              <w:t>诱导树木快速生根，提高移栽成活率</w:t>
            </w:r>
          </w:p>
        </w:tc>
      </w:tr>
      <w:tr>
        <w:trPr>
          <w:trHeight w:val="470"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184" w:line="220" w:lineRule="auto"/>
              <w:rPr>
                <w:sz w:val="12"/>
                <w:szCs w:val="12"/>
              </w:rPr>
            </w:pPr>
            <w:r>
              <w:rPr>
                <w:sz w:val="12"/>
                <w:szCs w:val="12"/>
                <w:spacing w:val="1"/>
              </w:rPr>
              <w:t>中威生根液</w:t>
            </w:r>
          </w:p>
        </w:tc>
        <w:tc>
          <w:tcPr>
            <w:tcW w:w="1949" w:type="dxa"/>
            <w:vAlign w:val="top"/>
          </w:tcPr>
          <w:p>
            <w:pPr>
              <w:pStyle w:val="TableText"/>
              <w:ind w:left="394"/>
              <w:spacing w:before="183" w:line="219" w:lineRule="auto"/>
              <w:rPr>
                <w:sz w:val="12"/>
                <w:szCs w:val="12"/>
              </w:rPr>
            </w:pPr>
            <w:r>
              <w:rPr>
                <w:sz w:val="12"/>
                <w:szCs w:val="12"/>
                <w:spacing w:val="-1"/>
              </w:rPr>
              <w:t>蔡乙酸、吲噪乙酸10%</w:t>
            </w:r>
          </w:p>
        </w:tc>
        <w:tc>
          <w:tcPr>
            <w:tcW w:w="1639" w:type="dxa"/>
            <w:vAlign w:val="top"/>
          </w:tcPr>
          <w:p>
            <w:pPr>
              <w:pStyle w:val="TableText"/>
              <w:ind w:left="485"/>
              <w:spacing w:before="184" w:line="220" w:lineRule="auto"/>
              <w:rPr>
                <w:sz w:val="12"/>
                <w:szCs w:val="12"/>
              </w:rPr>
            </w:pPr>
            <w:r>
              <w:rPr>
                <w:sz w:val="12"/>
                <w:szCs w:val="12"/>
                <w:spacing w:val="-1"/>
              </w:rPr>
              <w:t>300-500倍波</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256"/>
              <w:spacing w:before="179" w:line="214" w:lineRule="auto"/>
              <w:rPr>
                <w:sz w:val="12"/>
                <w:szCs w:val="12"/>
              </w:rPr>
            </w:pPr>
            <w:r>
              <w:rPr>
                <w:sz w:val="12"/>
                <w:szCs w:val="12"/>
                <w:spacing w:val="-1"/>
              </w:rPr>
              <w:t>4kg/桶</w:t>
            </w:r>
          </w:p>
        </w:tc>
        <w:tc>
          <w:tcPr>
            <w:tcW w:w="2623" w:type="dxa"/>
            <w:vAlign w:val="top"/>
          </w:tcPr>
          <w:p>
            <w:pPr>
              <w:pStyle w:val="TableText"/>
              <w:ind w:left="16" w:right="84" w:hanging="9"/>
              <w:spacing w:before="113" w:line="233" w:lineRule="auto"/>
              <w:rPr>
                <w:sz w:val="12"/>
                <w:szCs w:val="12"/>
              </w:rPr>
            </w:pPr>
            <w:r>
              <w:rPr>
                <w:sz w:val="12"/>
                <w:szCs w:val="12"/>
              </w:rPr>
              <w:t>促使树木快速生根，形成庞大根系，快速期芽， </w:t>
            </w:r>
            <w:r>
              <w:rPr>
                <w:sz w:val="12"/>
                <w:szCs w:val="12"/>
                <w:spacing w:val="-2"/>
              </w:rPr>
              <w:t>改善植物长势</w:t>
            </w:r>
          </w:p>
        </w:tc>
      </w:tr>
      <w:tr>
        <w:trPr>
          <w:trHeight w:val="480"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184" w:line="219" w:lineRule="auto"/>
              <w:rPr>
                <w:sz w:val="12"/>
                <w:szCs w:val="12"/>
              </w:rPr>
            </w:pPr>
            <w:r>
              <w:rPr>
                <w:sz w:val="12"/>
                <w:szCs w:val="12"/>
                <w:spacing w:val="2"/>
              </w:rPr>
              <w:t>国光树动力</w:t>
            </w:r>
          </w:p>
        </w:tc>
        <w:tc>
          <w:tcPr>
            <w:tcW w:w="1949" w:type="dxa"/>
            <w:vAlign w:val="top"/>
          </w:tcPr>
          <w:p>
            <w:pPr>
              <w:pStyle w:val="TableText"/>
              <w:ind w:left="724" w:right="80" w:hanging="660"/>
              <w:spacing w:before="113" w:line="263"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tc>
        <w:tc>
          <w:tcPr>
            <w:tcW w:w="1639" w:type="dxa"/>
            <w:vAlign w:val="top"/>
          </w:tcPr>
          <w:p>
            <w:pPr>
              <w:pStyle w:val="TableText"/>
              <w:ind w:left="65" w:right="68"/>
              <w:spacing w:before="114" w:line="248" w:lineRule="auto"/>
              <w:rPr>
                <w:sz w:val="12"/>
                <w:szCs w:val="12"/>
              </w:rPr>
            </w:pPr>
            <w:r>
              <w:rPr>
                <w:sz w:val="12"/>
                <w:szCs w:val="12"/>
                <w:spacing w:val="-1"/>
              </w:rPr>
              <w:t>直接使用，一般胸径8-10cm1</w:t>
            </w:r>
            <w:r>
              <w:rPr>
                <w:sz w:val="12"/>
                <w:szCs w:val="12"/>
                <w:spacing w:val="9"/>
              </w:rPr>
              <w:t xml:space="preserve"> </w:t>
            </w:r>
            <w:r>
              <w:rPr>
                <w:sz w:val="12"/>
                <w:szCs w:val="12"/>
                <w:spacing w:val="-1"/>
              </w:rPr>
              <w:t>瓶，胸径每增加10cm增加1瓶</w:t>
            </w:r>
          </w:p>
        </w:tc>
        <w:tc>
          <w:tcPr>
            <w:tcW w:w="1059" w:type="dxa"/>
            <w:vAlign w:val="top"/>
            <w:vMerge w:val="continue"/>
            <w:tcBorders>
              <w:top w:val="nil"/>
              <w:bottom w:val="nil"/>
            </w:tcBorders>
          </w:tcPr>
          <w:p>
            <w:pPr>
              <w:rPr>
                <w:rFonts w:ascii="Arial"/>
                <w:sz w:val="21"/>
              </w:rPr>
            </w:pPr>
            <w:r/>
          </w:p>
        </w:tc>
        <w:tc>
          <w:tcPr>
            <w:tcW w:w="879" w:type="dxa"/>
            <w:vAlign w:val="top"/>
          </w:tcPr>
          <w:p>
            <w:pPr>
              <w:pStyle w:val="TableText"/>
              <w:ind w:left="136"/>
              <w:spacing w:before="184" w:line="221" w:lineRule="auto"/>
              <w:rPr>
                <w:sz w:val="12"/>
                <w:szCs w:val="12"/>
              </w:rPr>
            </w:pPr>
            <w:r>
              <w:rPr>
                <w:sz w:val="12"/>
                <w:szCs w:val="12"/>
                <w:spacing w:val="3"/>
              </w:rPr>
              <w:t>(300</w:t>
            </w:r>
            <w:r>
              <w:rPr>
                <w:sz w:val="12"/>
                <w:szCs w:val="12"/>
              </w:rPr>
              <w:t>ml</w:t>
            </w:r>
            <w:r>
              <w:rPr>
                <w:sz w:val="12"/>
                <w:szCs w:val="12"/>
                <w:spacing w:val="3"/>
              </w:rPr>
              <w:t>/瓶)</w:t>
            </w:r>
          </w:p>
        </w:tc>
        <w:tc>
          <w:tcPr>
            <w:tcW w:w="2623" w:type="dxa"/>
            <w:vAlign w:val="top"/>
          </w:tcPr>
          <w:p>
            <w:pPr>
              <w:pStyle w:val="TableText"/>
              <w:ind w:left="7"/>
              <w:spacing w:before="184" w:line="219" w:lineRule="auto"/>
              <w:rPr>
                <w:sz w:val="12"/>
                <w:szCs w:val="12"/>
              </w:rPr>
            </w:pPr>
            <w:r>
              <w:rPr>
                <w:sz w:val="12"/>
                <w:szCs w:val="12"/>
                <w:spacing w:val="-1"/>
              </w:rPr>
              <w:t>大树直插瓶，大树古树复壮</w:t>
            </w:r>
          </w:p>
        </w:tc>
      </w:tr>
      <w:tr>
        <w:trPr>
          <w:trHeight w:val="470" w:hRule="atLeast"/>
        </w:trPr>
        <w:tc>
          <w:tcPr>
            <w:tcW w:w="425" w:type="dxa"/>
            <w:vAlign w:val="top"/>
            <w:vMerge w:val="continue"/>
            <w:tcBorders>
              <w:top w:val="nil"/>
              <w:bottom w:val="nil"/>
            </w:tcBorders>
          </w:tcPr>
          <w:p>
            <w:pPr>
              <w:rPr>
                <w:rFonts w:ascii="Arial"/>
                <w:sz w:val="21"/>
              </w:rPr>
            </w:pPr>
            <w:r/>
          </w:p>
        </w:tc>
        <w:tc>
          <w:tcPr>
            <w:tcW w:w="5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183" w:line="219" w:lineRule="auto"/>
              <w:rPr>
                <w:sz w:val="12"/>
                <w:szCs w:val="12"/>
              </w:rPr>
            </w:pPr>
            <w:r>
              <w:rPr>
                <w:sz w:val="12"/>
                <w:szCs w:val="12"/>
                <w:spacing w:val="-1"/>
              </w:rPr>
              <w:t>硫酸师型复合肥</w:t>
            </w:r>
          </w:p>
        </w:tc>
        <w:tc>
          <w:tcPr>
            <w:tcW w:w="1949" w:type="dxa"/>
            <w:vAlign w:val="top"/>
          </w:tcPr>
          <w:p>
            <w:pPr>
              <w:pStyle w:val="TableText"/>
              <w:ind w:left="544"/>
              <w:spacing w:before="183" w:line="219" w:lineRule="auto"/>
              <w:rPr>
                <w:sz w:val="12"/>
                <w:szCs w:val="12"/>
              </w:rPr>
            </w:pPr>
            <w:r>
              <w:rPr>
                <w:sz w:val="12"/>
                <w:szCs w:val="12"/>
                <w:spacing w:val="-1"/>
              </w:rPr>
              <w:t>氮15:磷15:钾15</w:t>
            </w:r>
          </w:p>
        </w:tc>
        <w:tc>
          <w:tcPr>
            <w:tcW w:w="1639" w:type="dxa"/>
            <w:vAlign w:val="top"/>
          </w:tcPr>
          <w:p>
            <w:pPr>
              <w:pStyle w:val="TableText"/>
              <w:ind w:left="514"/>
              <w:spacing w:before="184" w:line="220" w:lineRule="auto"/>
              <w:rPr>
                <w:sz w:val="12"/>
                <w:szCs w:val="12"/>
              </w:rPr>
            </w:pPr>
            <w:r>
              <w:rPr>
                <w:sz w:val="12"/>
                <w:szCs w:val="12"/>
                <w:spacing w:val="-1"/>
              </w:rPr>
              <w:t>撤施或六施</w:t>
            </w:r>
          </w:p>
        </w:tc>
        <w:tc>
          <w:tcPr>
            <w:tcW w:w="1059" w:type="dxa"/>
            <w:vAlign w:val="top"/>
            <w:vMerge w:val="continue"/>
            <w:tcBorders>
              <w:top w:val="nil"/>
            </w:tcBorders>
          </w:tcPr>
          <w:p>
            <w:pPr>
              <w:rPr>
                <w:rFonts w:ascii="Arial"/>
                <w:sz w:val="21"/>
              </w:rPr>
            </w:pPr>
            <w:r/>
          </w:p>
        </w:tc>
        <w:tc>
          <w:tcPr>
            <w:tcW w:w="879" w:type="dxa"/>
            <w:vAlign w:val="top"/>
          </w:tcPr>
          <w:p>
            <w:pPr>
              <w:pStyle w:val="TableText"/>
              <w:ind w:left="226"/>
              <w:spacing w:before="179" w:line="214" w:lineRule="auto"/>
              <w:rPr>
                <w:sz w:val="12"/>
                <w:szCs w:val="12"/>
              </w:rPr>
            </w:pPr>
            <w:r>
              <w:rPr>
                <w:sz w:val="12"/>
                <w:szCs w:val="12"/>
                <w:spacing w:val="-1"/>
              </w:rPr>
              <w:t>40kg/袋</w:t>
            </w:r>
          </w:p>
        </w:tc>
        <w:tc>
          <w:tcPr>
            <w:tcW w:w="2623" w:type="dxa"/>
            <w:vAlign w:val="top"/>
          </w:tcPr>
          <w:p>
            <w:pPr>
              <w:pStyle w:val="TableText"/>
              <w:ind w:left="7"/>
              <w:spacing w:before="184" w:line="219" w:lineRule="auto"/>
              <w:rPr>
                <w:sz w:val="12"/>
                <w:szCs w:val="12"/>
              </w:rPr>
            </w:pPr>
            <w:r>
              <w:rPr>
                <w:sz w:val="12"/>
                <w:szCs w:val="12"/>
                <w:spacing w:val="-1"/>
              </w:rPr>
              <w:t>乔递木、地被、草坪均可使用</w:t>
            </w:r>
          </w:p>
        </w:tc>
      </w:tr>
      <w:tr>
        <w:trPr>
          <w:trHeight w:val="634" w:hRule="atLeast"/>
        </w:trPr>
        <w:tc>
          <w:tcPr>
            <w:tcW w:w="425" w:type="dxa"/>
            <w:vAlign w:val="top"/>
            <w:vMerge w:val="continue"/>
            <w:tcBorders>
              <w:top w:val="nil"/>
            </w:tcBorders>
          </w:tcPr>
          <w:p>
            <w:pPr>
              <w:rPr>
                <w:rFonts w:ascii="Arial"/>
                <w:sz w:val="21"/>
              </w:rPr>
            </w:pPr>
            <w:r/>
          </w:p>
        </w:tc>
        <w:tc>
          <w:tcPr>
            <w:tcW w:w="5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tcBorders>
          </w:tcPr>
          <w:p>
            <w:pPr>
              <w:rPr>
                <w:rFonts w:ascii="Arial"/>
                <w:sz w:val="21"/>
              </w:rPr>
            </w:pPr>
            <w:r/>
          </w:p>
        </w:tc>
        <w:tc>
          <w:tcPr>
            <w:tcW w:w="1269" w:type="dxa"/>
            <w:vAlign w:val="top"/>
          </w:tcPr>
          <w:p>
            <w:pPr>
              <w:pStyle w:val="TableText"/>
              <w:ind w:left="263"/>
              <w:spacing w:before="264" w:line="219" w:lineRule="auto"/>
              <w:rPr>
                <w:sz w:val="12"/>
                <w:szCs w:val="12"/>
              </w:rPr>
            </w:pPr>
            <w:r>
              <w:rPr>
                <w:sz w:val="12"/>
                <w:szCs w:val="12"/>
                <w:spacing w:val="1"/>
              </w:rPr>
              <w:t>国光氦基酸钾</w:t>
            </w:r>
          </w:p>
        </w:tc>
        <w:tc>
          <w:tcPr>
            <w:tcW w:w="1949" w:type="dxa"/>
            <w:vAlign w:val="top"/>
          </w:tcPr>
          <w:p>
            <w:pPr>
              <w:pStyle w:val="TableText"/>
              <w:ind w:left="514"/>
              <w:spacing w:before="264" w:line="220" w:lineRule="auto"/>
              <w:rPr>
                <w:sz w:val="12"/>
                <w:szCs w:val="12"/>
              </w:rPr>
            </w:pPr>
            <w:r>
              <w:rPr>
                <w:sz w:val="12"/>
                <w:szCs w:val="12"/>
                <w:spacing w:val="1"/>
              </w:rPr>
              <w:t>12%氨基酸整合钾</w:t>
            </w:r>
          </w:p>
        </w:tc>
        <w:tc>
          <w:tcPr>
            <w:tcW w:w="1639" w:type="dxa"/>
            <w:vAlign w:val="top"/>
          </w:tcPr>
          <w:p>
            <w:pPr>
              <w:pStyle w:val="TableText"/>
              <w:ind w:left="365"/>
              <w:spacing w:before="264" w:line="219" w:lineRule="auto"/>
              <w:rPr>
                <w:sz w:val="12"/>
                <w:szCs w:val="12"/>
              </w:rPr>
            </w:pPr>
            <w:r>
              <w:rPr>
                <w:sz w:val="12"/>
                <w:szCs w:val="12"/>
                <w:spacing w:val="-1"/>
              </w:rPr>
              <w:t>稀释600-800倍液</w:t>
            </w:r>
          </w:p>
        </w:tc>
        <w:tc>
          <w:tcPr>
            <w:tcW w:w="1059" w:type="dxa"/>
            <w:vAlign w:val="top"/>
          </w:tcPr>
          <w:p>
            <w:pPr>
              <w:pStyle w:val="TableText"/>
              <w:ind w:left="256"/>
              <w:spacing w:before="264" w:line="219" w:lineRule="auto"/>
              <w:rPr>
                <w:sz w:val="12"/>
                <w:szCs w:val="12"/>
              </w:rPr>
            </w:pPr>
            <w:r>
              <w:rPr>
                <w:sz w:val="12"/>
                <w:szCs w:val="12"/>
                <w:spacing w:val="-2"/>
              </w:rPr>
              <w:t>一般用1次</w:t>
            </w:r>
          </w:p>
        </w:tc>
        <w:tc>
          <w:tcPr>
            <w:tcW w:w="879" w:type="dxa"/>
            <w:vAlign w:val="top"/>
          </w:tcPr>
          <w:p>
            <w:pPr>
              <w:pStyle w:val="TableText"/>
              <w:ind w:left="206"/>
              <w:spacing w:before="264" w:line="221" w:lineRule="auto"/>
              <w:rPr>
                <w:sz w:val="12"/>
                <w:szCs w:val="12"/>
              </w:rPr>
            </w:pPr>
            <w:r>
              <w:rPr>
                <w:sz w:val="12"/>
                <w:szCs w:val="12"/>
                <w:spacing w:val="-5"/>
              </w:rPr>
              <w:t>5</w:t>
            </w:r>
            <w:r>
              <w:rPr>
                <w:sz w:val="12"/>
                <w:szCs w:val="12"/>
                <w:spacing w:val="-25"/>
              </w:rPr>
              <w:t xml:space="preserve"> </w:t>
            </w:r>
            <w:r>
              <w:rPr>
                <w:sz w:val="12"/>
                <w:szCs w:val="12"/>
                <w:spacing w:val="-5"/>
              </w:rPr>
              <w:t>0</w:t>
            </w:r>
            <w:r>
              <w:rPr>
                <w:sz w:val="12"/>
                <w:szCs w:val="12"/>
                <w:spacing w:val="-27"/>
              </w:rPr>
              <w:t xml:space="preserve"> </w:t>
            </w:r>
            <w:r>
              <w:rPr>
                <w:sz w:val="12"/>
                <w:szCs w:val="12"/>
                <w:spacing w:val="-5"/>
              </w:rPr>
              <w:t>0</w:t>
            </w:r>
            <w:r>
              <w:rPr>
                <w:sz w:val="12"/>
                <w:szCs w:val="12"/>
                <w:spacing w:val="-28"/>
              </w:rPr>
              <w:t xml:space="preserve"> </w:t>
            </w:r>
            <w:r>
              <w:rPr>
                <w:sz w:val="12"/>
                <w:szCs w:val="12"/>
                <w:spacing w:val="-5"/>
              </w:rPr>
              <w:t>/</w:t>
            </w:r>
            <w:r>
              <w:rPr>
                <w:sz w:val="12"/>
                <w:szCs w:val="12"/>
                <w:spacing w:val="-27"/>
              </w:rPr>
              <w:t xml:space="preserve"> </w:t>
            </w:r>
            <w:r>
              <w:rPr>
                <w:sz w:val="12"/>
                <w:szCs w:val="12"/>
                <w:spacing w:val="-5"/>
              </w:rPr>
              <w:t>瓶</w:t>
            </w:r>
          </w:p>
        </w:tc>
        <w:tc>
          <w:tcPr>
            <w:tcW w:w="2623" w:type="dxa"/>
            <w:vAlign w:val="top"/>
          </w:tcPr>
          <w:p>
            <w:pPr>
              <w:pStyle w:val="TableText"/>
              <w:ind w:left="7" w:right="27" w:firstLine="9"/>
              <w:spacing w:before="193" w:line="255" w:lineRule="auto"/>
              <w:rPr>
                <w:sz w:val="12"/>
                <w:szCs w:val="12"/>
              </w:rPr>
            </w:pPr>
            <w:r>
              <w:rPr>
                <w:sz w:val="12"/>
                <w:szCs w:val="12"/>
                <w:spacing w:val="-1"/>
              </w:rPr>
              <w:t>防治因缺钾引起的植株瘦弱，生长不良，1万平方</w:t>
            </w:r>
            <w:r>
              <w:rPr>
                <w:sz w:val="12"/>
                <w:szCs w:val="12"/>
                <w:spacing w:val="8"/>
              </w:rPr>
              <w:t xml:space="preserve"> </w:t>
            </w:r>
            <w:r>
              <w:rPr>
                <w:sz w:val="12"/>
                <w:szCs w:val="12"/>
                <w:spacing w:val="-1"/>
              </w:rPr>
              <w:t>米年度约用量：50kg</w:t>
            </w:r>
          </w:p>
        </w:tc>
      </w:tr>
    </w:tbl>
    <w:p>
      <w:pPr>
        <w:spacing w:line="154" w:lineRule="exact"/>
        <w:rPr>
          <w:rFonts w:ascii="Arial"/>
          <w:sz w:val="13"/>
        </w:rPr>
      </w:pPr>
      <w:r/>
    </w:p>
    <w:p>
      <w:pPr>
        <w:spacing w:line="154" w:lineRule="exact"/>
        <w:sectPr>
          <w:pgSz w:w="14490" w:h="10240"/>
          <w:pgMar w:top="115" w:right="224" w:bottom="400" w:left="174" w:header="0" w:footer="0" w:gutter="0"/>
        </w:sectPr>
        <w:rPr>
          <w:rFonts w:ascii="Arial" w:hAnsi="Arial" w:eastAsia="Arial" w:cs="Arial"/>
          <w:sz w:val="13"/>
          <w:szCs w:val="13"/>
        </w:rPr>
      </w:pPr>
    </w:p>
    <w:tbl>
      <w:tblPr>
        <w:tblStyle w:val="TableNormal"/>
        <w:tblW w:w="1411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5"/>
        <w:gridCol w:w="570"/>
        <w:gridCol w:w="959"/>
        <w:gridCol w:w="2698"/>
        <w:gridCol w:w="1299"/>
        <w:gridCol w:w="1919"/>
        <w:gridCol w:w="1659"/>
        <w:gridCol w:w="1039"/>
        <w:gridCol w:w="899"/>
        <w:gridCol w:w="2623"/>
      </w:tblGrid>
      <w:tr>
        <w:trPr>
          <w:trHeight w:val="574" w:hRule="atLeast"/>
        </w:trPr>
        <w:tc>
          <w:tcPr>
            <w:tcW w:w="445" w:type="dxa"/>
            <w:vAlign w:val="top"/>
          </w:tcPr>
          <w:p>
            <w:pPr>
              <w:pStyle w:val="TableText"/>
              <w:ind w:left="96"/>
              <w:spacing w:before="228" w:line="219" w:lineRule="auto"/>
              <w:rPr>
                <w:sz w:val="12"/>
                <w:szCs w:val="12"/>
              </w:rPr>
            </w:pPr>
            <w:r>
              <w:rPr>
                <w:sz w:val="12"/>
                <w:szCs w:val="12"/>
                <w:b/>
                <w:bCs/>
                <w:spacing w:val="-3"/>
              </w:rPr>
              <w:t>分类</w:t>
            </w:r>
          </w:p>
        </w:tc>
        <w:tc>
          <w:tcPr>
            <w:tcW w:w="570" w:type="dxa"/>
            <w:vAlign w:val="top"/>
          </w:tcPr>
          <w:p>
            <w:pPr>
              <w:pStyle w:val="TableText"/>
              <w:ind w:left="31"/>
              <w:spacing w:before="78" w:line="219" w:lineRule="auto"/>
              <w:rPr>
                <w:sz w:val="12"/>
                <w:szCs w:val="12"/>
              </w:rPr>
            </w:pPr>
            <w:r>
              <w:rPr>
                <w:sz w:val="12"/>
                <w:szCs w:val="12"/>
                <w:b/>
                <w:bCs/>
                <w:spacing w:val="-3"/>
              </w:rPr>
              <w:t>消杀预防</w:t>
            </w:r>
          </w:p>
          <w:p>
            <w:pPr>
              <w:pStyle w:val="TableText"/>
              <w:ind w:left="31"/>
              <w:spacing w:before="17" w:line="220" w:lineRule="auto"/>
              <w:rPr>
                <w:sz w:val="12"/>
                <w:szCs w:val="12"/>
              </w:rPr>
            </w:pPr>
            <w:r>
              <w:rPr>
                <w:sz w:val="12"/>
                <w:szCs w:val="12"/>
                <w:b/>
                <w:bCs/>
                <w:spacing w:val="-3"/>
              </w:rPr>
              <w:t>及病虫害</w:t>
            </w:r>
          </w:p>
          <w:p>
            <w:pPr>
              <w:pStyle w:val="TableText"/>
              <w:ind w:left="151"/>
              <w:spacing w:before="6" w:line="219" w:lineRule="auto"/>
              <w:rPr>
                <w:sz w:val="12"/>
                <w:szCs w:val="12"/>
              </w:rPr>
            </w:pPr>
            <w:r>
              <w:rPr>
                <w:sz w:val="12"/>
                <w:szCs w:val="12"/>
                <w:b/>
                <w:bCs/>
                <w:spacing w:val="-3"/>
              </w:rPr>
              <w:t>分类</w:t>
            </w:r>
          </w:p>
        </w:tc>
        <w:tc>
          <w:tcPr>
            <w:tcW w:w="959" w:type="dxa"/>
            <w:vAlign w:val="top"/>
          </w:tcPr>
          <w:p>
            <w:pPr>
              <w:pStyle w:val="TableText"/>
              <w:ind w:left="171"/>
              <w:spacing w:before="228" w:line="219" w:lineRule="auto"/>
              <w:rPr>
                <w:sz w:val="12"/>
                <w:szCs w:val="12"/>
              </w:rPr>
            </w:pPr>
            <w:r>
              <w:rPr>
                <w:sz w:val="12"/>
                <w:szCs w:val="12"/>
                <w:b/>
                <w:bCs/>
                <w:spacing w:val="-3"/>
              </w:rPr>
              <w:t>常见病虫害</w:t>
            </w:r>
          </w:p>
        </w:tc>
        <w:tc>
          <w:tcPr>
            <w:tcW w:w="2698" w:type="dxa"/>
            <w:vAlign w:val="top"/>
          </w:tcPr>
          <w:p>
            <w:pPr>
              <w:pStyle w:val="TableText"/>
              <w:ind w:left="1002"/>
              <w:spacing w:before="228" w:line="219" w:lineRule="auto"/>
              <w:rPr>
                <w:sz w:val="12"/>
                <w:szCs w:val="12"/>
              </w:rPr>
            </w:pPr>
            <w:r>
              <w:rPr>
                <w:sz w:val="12"/>
                <w:szCs w:val="12"/>
                <w:b/>
                <w:bCs/>
                <w:spacing w:val="-3"/>
              </w:rPr>
              <w:t>主要发病月份</w:t>
            </w:r>
          </w:p>
        </w:tc>
        <w:tc>
          <w:tcPr>
            <w:tcW w:w="1299" w:type="dxa"/>
            <w:vAlign w:val="top"/>
          </w:tcPr>
          <w:p>
            <w:pPr>
              <w:pStyle w:val="TableText"/>
              <w:ind w:left="404"/>
              <w:spacing w:before="228" w:line="220" w:lineRule="auto"/>
              <w:rPr>
                <w:sz w:val="12"/>
                <w:szCs w:val="12"/>
              </w:rPr>
            </w:pPr>
            <w:r>
              <w:rPr>
                <w:sz w:val="12"/>
                <w:szCs w:val="12"/>
                <w:b/>
                <w:bCs/>
                <w:spacing w:val="-3"/>
              </w:rPr>
              <w:t>药品名称</w:t>
            </w:r>
          </w:p>
        </w:tc>
        <w:tc>
          <w:tcPr>
            <w:tcW w:w="1919" w:type="dxa"/>
            <w:vAlign w:val="top"/>
          </w:tcPr>
          <w:p>
            <w:pPr>
              <w:pStyle w:val="TableText"/>
              <w:ind w:left="715"/>
              <w:spacing w:before="228" w:line="220" w:lineRule="auto"/>
              <w:rPr>
                <w:sz w:val="12"/>
                <w:szCs w:val="12"/>
              </w:rPr>
            </w:pPr>
            <w:r>
              <w:rPr>
                <w:sz w:val="12"/>
                <w:szCs w:val="12"/>
                <w:b/>
                <w:bCs/>
                <w:spacing w:val="-3"/>
              </w:rPr>
              <w:t>主要成分</w:t>
            </w:r>
          </w:p>
        </w:tc>
        <w:tc>
          <w:tcPr>
            <w:tcW w:w="1659" w:type="dxa"/>
            <w:vAlign w:val="top"/>
          </w:tcPr>
          <w:p>
            <w:pPr>
              <w:pStyle w:val="TableText"/>
              <w:ind w:left="586"/>
              <w:spacing w:before="228" w:line="219" w:lineRule="auto"/>
              <w:rPr>
                <w:sz w:val="12"/>
                <w:szCs w:val="12"/>
              </w:rPr>
            </w:pPr>
            <w:r>
              <w:rPr>
                <w:sz w:val="12"/>
                <w:szCs w:val="12"/>
                <w:b/>
                <w:bCs/>
                <w:spacing w:val="-3"/>
              </w:rPr>
              <w:t>使用倍率</w:t>
            </w:r>
          </w:p>
        </w:tc>
        <w:tc>
          <w:tcPr>
            <w:tcW w:w="1039" w:type="dxa"/>
            <w:vAlign w:val="top"/>
          </w:tcPr>
          <w:p>
            <w:pPr>
              <w:pStyle w:val="TableText"/>
              <w:ind w:left="277"/>
              <w:spacing w:before="228" w:line="219" w:lineRule="auto"/>
              <w:rPr>
                <w:sz w:val="12"/>
                <w:szCs w:val="12"/>
              </w:rPr>
            </w:pPr>
            <w:r>
              <w:rPr>
                <w:sz w:val="12"/>
                <w:szCs w:val="12"/>
                <w:b/>
                <w:bCs/>
                <w:spacing w:val="-3"/>
              </w:rPr>
              <w:t>施用次数</w:t>
            </w:r>
          </w:p>
        </w:tc>
        <w:tc>
          <w:tcPr>
            <w:tcW w:w="899" w:type="dxa"/>
            <w:vAlign w:val="top"/>
          </w:tcPr>
          <w:p>
            <w:pPr>
              <w:pStyle w:val="TableText"/>
              <w:ind w:left="328"/>
              <w:spacing w:before="228" w:line="219" w:lineRule="auto"/>
              <w:rPr>
                <w:sz w:val="12"/>
                <w:szCs w:val="12"/>
              </w:rPr>
            </w:pPr>
            <w:r>
              <w:rPr>
                <w:sz w:val="12"/>
                <w:szCs w:val="12"/>
                <w:b/>
                <w:bCs/>
                <w:spacing w:val="-3"/>
              </w:rPr>
              <w:t>规格</w:t>
            </w:r>
          </w:p>
        </w:tc>
        <w:tc>
          <w:tcPr>
            <w:tcW w:w="2623" w:type="dxa"/>
            <w:vAlign w:val="top"/>
          </w:tcPr>
          <w:p>
            <w:pPr>
              <w:pStyle w:val="TableText"/>
              <w:ind w:left="1199"/>
              <w:spacing w:before="228" w:line="221" w:lineRule="auto"/>
              <w:rPr>
                <w:sz w:val="12"/>
                <w:szCs w:val="12"/>
              </w:rPr>
            </w:pPr>
            <w:r>
              <w:rPr>
                <w:sz w:val="12"/>
                <w:szCs w:val="12"/>
                <w:b/>
                <w:bCs/>
                <w:spacing w:val="-3"/>
              </w:rPr>
              <w:t>备注</w:t>
            </w:r>
          </w:p>
        </w:tc>
      </w:tr>
      <w:tr>
        <w:trPr>
          <w:trHeight w:val="718" w:hRule="atLeast"/>
        </w:trPr>
        <w:tc>
          <w:tcPr>
            <w:tcW w:w="445" w:type="dxa"/>
            <w:vAlign w:val="top"/>
            <w:vMerge w:val="restart"/>
            <w:tcBorders>
              <w:bottom w:val="nil"/>
            </w:tcBorders>
          </w:tcPr>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34"/>
              <w:spacing w:before="39" w:line="219" w:lineRule="auto"/>
              <w:rPr>
                <w:sz w:val="12"/>
                <w:szCs w:val="12"/>
              </w:rPr>
            </w:pPr>
            <w:r>
              <w:rPr>
                <w:sz w:val="12"/>
                <w:szCs w:val="12"/>
                <w:spacing w:val="-2"/>
              </w:rPr>
              <w:t>营养剂</w:t>
            </w:r>
          </w:p>
          <w:p>
            <w:pPr>
              <w:pStyle w:val="TableText"/>
              <w:ind w:left="64"/>
              <w:spacing w:before="17" w:line="219" w:lineRule="auto"/>
              <w:rPr>
                <w:sz w:val="12"/>
                <w:szCs w:val="12"/>
              </w:rPr>
            </w:pPr>
            <w:r>
              <w:rPr>
                <w:sz w:val="12"/>
                <w:szCs w:val="12"/>
                <w:spacing w:val="-1"/>
              </w:rPr>
              <w:t>/肥料</w:t>
            </w:r>
          </w:p>
        </w:tc>
        <w:tc>
          <w:tcPr>
            <w:tcW w:w="570" w:type="dxa"/>
            <w:vAlign w:val="top"/>
            <w:vMerge w:val="restart"/>
            <w:tcBorders>
              <w:bottom w:val="nil"/>
            </w:tcBorders>
          </w:tcPr>
          <w:p>
            <w:pPr>
              <w:spacing w:line="454" w:lineRule="auto"/>
              <w:rPr>
                <w:rFonts w:ascii="Arial"/>
                <w:sz w:val="21"/>
              </w:rPr>
            </w:pPr>
            <w:r/>
          </w:p>
          <w:p>
            <w:pPr>
              <w:pStyle w:val="TableText"/>
              <w:ind w:left="30"/>
              <w:spacing w:before="39" w:line="219" w:lineRule="auto"/>
              <w:rPr>
                <w:sz w:val="12"/>
                <w:szCs w:val="12"/>
              </w:rPr>
            </w:pPr>
            <w:r>
              <w:rPr>
                <w:sz w:val="12"/>
                <w:szCs w:val="12"/>
                <w:spacing w:val="-1"/>
              </w:rPr>
              <w:t>树木复壮</w:t>
            </w:r>
          </w:p>
        </w:tc>
        <w:tc>
          <w:tcPr>
            <w:tcW w:w="959" w:type="dxa"/>
            <w:vAlign w:val="top"/>
            <w:vMerge w:val="restart"/>
            <w:tcBorders>
              <w:bottom w:val="nil"/>
            </w:tcBorders>
          </w:tcPr>
          <w:p>
            <w:pPr>
              <w:pStyle w:val="TableText"/>
              <w:ind w:left="20" w:right="54" w:firstLine="89"/>
              <w:spacing w:before="275" w:line="232" w:lineRule="auto"/>
              <w:jc w:val="both"/>
              <w:rPr>
                <w:sz w:val="12"/>
                <w:szCs w:val="12"/>
              </w:rPr>
            </w:pPr>
            <w:r>
              <w:rPr>
                <w:sz w:val="12"/>
                <w:szCs w:val="12"/>
                <w:spacing w:val="2"/>
              </w:rPr>
              <w:t>树木长势，白</w:t>
            </w:r>
            <w:r>
              <w:rPr>
                <w:sz w:val="12"/>
                <w:szCs w:val="12"/>
                <w:spacing w:val="1"/>
              </w:rPr>
              <w:t xml:space="preserve">  </w:t>
            </w:r>
            <w:r>
              <w:rPr>
                <w:sz w:val="12"/>
                <w:szCs w:val="12"/>
                <w:spacing w:val="4"/>
              </w:rPr>
              <w:t>顺部向下有枯黄</w:t>
            </w:r>
            <w:r>
              <w:rPr>
                <w:sz w:val="12"/>
                <w:szCs w:val="12"/>
                <w:spacing w:val="5"/>
              </w:rPr>
              <w:t xml:space="preserve"> </w:t>
            </w:r>
            <w:r>
              <w:rPr>
                <w:sz w:val="12"/>
                <w:szCs w:val="12"/>
                <w:spacing w:val="-1"/>
              </w:rPr>
              <w:t>现象，或高大乔</w:t>
            </w:r>
            <w:r>
              <w:rPr>
                <w:sz w:val="12"/>
                <w:szCs w:val="12"/>
              </w:rPr>
              <w:t xml:space="preserve">  </w:t>
            </w:r>
            <w:r>
              <w:rPr>
                <w:sz w:val="12"/>
                <w:szCs w:val="12"/>
                <w:spacing w:val="4"/>
              </w:rPr>
              <w:t>木及贵重树木</w:t>
            </w:r>
          </w:p>
        </w:tc>
        <w:tc>
          <w:tcPr>
            <w:tcW w:w="2698" w:type="dxa"/>
            <w:vAlign w:val="top"/>
            <w:vMerge w:val="restart"/>
            <w:tcBorders>
              <w:bottom w:val="nil"/>
            </w:tcBorders>
          </w:tcPr>
          <w:p>
            <w:pPr>
              <w:pStyle w:val="TableText"/>
              <w:ind w:left="20" w:right="31" w:hanging="9"/>
              <w:spacing w:before="226" w:line="216" w:lineRule="auto"/>
              <w:rPr>
                <w:sz w:val="12"/>
                <w:szCs w:val="12"/>
              </w:rPr>
            </w:pPr>
            <w:r>
              <w:rPr>
                <w:sz w:val="12"/>
                <w:szCs w:val="12"/>
                <w:spacing w:val="-1"/>
              </w:rPr>
              <w:t>一、主要集中在3月下句4月中句，气湿上升，空气</w:t>
            </w:r>
            <w:r>
              <w:rPr>
                <w:sz w:val="12"/>
                <w:szCs w:val="12"/>
                <w:spacing w:val="7"/>
              </w:rPr>
              <w:t xml:space="preserve"> </w:t>
            </w:r>
            <w:r>
              <w:rPr>
                <w:sz w:val="12"/>
                <w:szCs w:val="12"/>
                <w:spacing w:val="-1"/>
              </w:rPr>
              <w:t>湿度增加，苗木结束体眠期开始返青，是树木复壮</w:t>
            </w:r>
            <w:r>
              <w:rPr>
                <w:sz w:val="12"/>
                <w:szCs w:val="12"/>
                <w:spacing w:val="16"/>
              </w:rPr>
              <w:t xml:space="preserve"> </w:t>
            </w:r>
            <w:r>
              <w:rPr>
                <w:sz w:val="12"/>
                <w:szCs w:val="12"/>
                <w:spacing w:val="-1"/>
              </w:rPr>
              <w:t>最佳时机穴施春肥：</w:t>
            </w:r>
          </w:p>
          <w:p>
            <w:pPr>
              <w:pStyle w:val="TableText"/>
              <w:ind w:left="21"/>
              <w:spacing w:before="18" w:line="219" w:lineRule="auto"/>
              <w:rPr>
                <w:sz w:val="12"/>
                <w:szCs w:val="12"/>
              </w:rPr>
            </w:pPr>
            <w:r>
              <w:rPr>
                <w:sz w:val="12"/>
                <w:szCs w:val="12"/>
                <w:spacing w:val="-1"/>
              </w:rPr>
              <w:t>二，5-6月有个别情况，做专项治疗。</w:t>
            </w:r>
          </w:p>
        </w:tc>
        <w:tc>
          <w:tcPr>
            <w:tcW w:w="1299" w:type="dxa"/>
            <w:vAlign w:val="top"/>
          </w:tcPr>
          <w:p>
            <w:pPr>
              <w:spacing w:line="254" w:lineRule="auto"/>
              <w:rPr>
                <w:rFonts w:ascii="Arial"/>
                <w:sz w:val="21"/>
              </w:rPr>
            </w:pPr>
            <w:r/>
          </w:p>
          <w:p>
            <w:pPr>
              <w:pStyle w:val="TableText"/>
              <w:ind w:left="223"/>
              <w:spacing w:before="39" w:line="219" w:lineRule="auto"/>
              <w:rPr>
                <w:sz w:val="12"/>
                <w:szCs w:val="12"/>
              </w:rPr>
            </w:pPr>
            <w:r>
              <w:rPr>
                <w:sz w:val="12"/>
                <w:szCs w:val="12"/>
                <w:spacing w:val="-1"/>
              </w:rPr>
              <w:t>生物活性有机肥</w:t>
            </w:r>
          </w:p>
        </w:tc>
        <w:tc>
          <w:tcPr>
            <w:tcW w:w="1919" w:type="dxa"/>
            <w:vAlign w:val="top"/>
          </w:tcPr>
          <w:p>
            <w:pPr>
              <w:pStyle w:val="TableText"/>
              <w:ind w:left="84"/>
              <w:spacing w:before="104" w:line="200" w:lineRule="auto"/>
              <w:rPr>
                <w:sz w:val="12"/>
                <w:szCs w:val="12"/>
              </w:rPr>
            </w:pPr>
            <w:r>
              <w:rPr>
                <w:sz w:val="12"/>
                <w:szCs w:val="12"/>
                <w:spacing w:val="-1"/>
              </w:rPr>
              <w:t>氟磷钾大于6%,有机质30%,腐殖酸</w:t>
            </w:r>
          </w:p>
          <w:p>
            <w:pPr>
              <w:pStyle w:val="TableText"/>
              <w:ind w:left="64"/>
              <w:spacing w:line="216" w:lineRule="auto"/>
              <w:rPr>
                <w:sz w:val="12"/>
                <w:szCs w:val="12"/>
              </w:rPr>
            </w:pPr>
            <w:r>
              <w:rPr>
                <w:sz w:val="12"/>
                <w:szCs w:val="12"/>
                <w:spacing w:val="-1"/>
              </w:rPr>
              <w:t>大于10%,西麻饼大于20%,土壤调</w:t>
            </w:r>
          </w:p>
          <w:p>
            <w:pPr>
              <w:pStyle w:val="TableText"/>
              <w:ind w:left="34"/>
              <w:spacing w:before="10" w:line="219" w:lineRule="auto"/>
              <w:rPr>
                <w:sz w:val="12"/>
                <w:szCs w:val="12"/>
              </w:rPr>
            </w:pPr>
            <w:r>
              <w:rPr>
                <w:sz w:val="12"/>
                <w:szCs w:val="12"/>
                <w:spacing w:val="-1"/>
              </w:rPr>
              <w:t>理剂大于10%活性菌2亿/克，微量元</w:t>
            </w:r>
          </w:p>
          <w:p>
            <w:pPr>
              <w:pStyle w:val="TableText"/>
              <w:ind w:left="173"/>
              <w:spacing w:before="18" w:line="219" w:lineRule="auto"/>
              <w:rPr>
                <w:sz w:val="12"/>
                <w:szCs w:val="12"/>
              </w:rPr>
            </w:pPr>
            <w:r>
              <w:rPr>
                <w:sz w:val="12"/>
                <w:szCs w:val="12"/>
                <w:spacing w:val="-1"/>
              </w:rPr>
              <w:t>素钙、磺、硫、铁、锋、铜等</w:t>
            </w:r>
          </w:p>
        </w:tc>
        <w:tc>
          <w:tcPr>
            <w:tcW w:w="1659" w:type="dxa"/>
            <w:vAlign w:val="top"/>
          </w:tcPr>
          <w:p>
            <w:pPr>
              <w:spacing w:line="255" w:lineRule="auto"/>
              <w:rPr>
                <w:rFonts w:ascii="Arial"/>
                <w:sz w:val="21"/>
              </w:rPr>
            </w:pPr>
            <w:r/>
          </w:p>
          <w:p>
            <w:pPr>
              <w:pStyle w:val="TableText"/>
              <w:ind w:left="524"/>
              <w:spacing w:before="39" w:line="220" w:lineRule="auto"/>
              <w:rPr>
                <w:sz w:val="12"/>
                <w:szCs w:val="12"/>
              </w:rPr>
            </w:pPr>
            <w:r>
              <w:rPr>
                <w:sz w:val="12"/>
                <w:szCs w:val="12"/>
                <w:spacing w:val="-1"/>
              </w:rPr>
              <w:t>穴施或撤施</w:t>
            </w:r>
          </w:p>
        </w:tc>
        <w:tc>
          <w:tcPr>
            <w:tcW w:w="1039" w:type="dxa"/>
            <w:vAlign w:val="top"/>
            <w:vMerge w:val="restart"/>
            <w:tcBorders>
              <w:bottom w:val="nil"/>
            </w:tcBorders>
          </w:tcPr>
          <w:p>
            <w:pPr>
              <w:spacing w:line="454" w:lineRule="auto"/>
              <w:rPr>
                <w:rFonts w:ascii="Arial"/>
                <w:sz w:val="21"/>
              </w:rPr>
            </w:pPr>
            <w:r/>
          </w:p>
          <w:p>
            <w:pPr>
              <w:pStyle w:val="TableText"/>
              <w:ind w:left="246"/>
              <w:spacing w:before="39" w:line="219" w:lineRule="auto"/>
              <w:rPr>
                <w:sz w:val="12"/>
                <w:szCs w:val="12"/>
              </w:rPr>
            </w:pPr>
            <w:r>
              <w:rPr>
                <w:sz w:val="12"/>
                <w:szCs w:val="12"/>
                <w:spacing w:val="-2"/>
              </w:rPr>
              <w:t>一般用1次</w:t>
            </w:r>
          </w:p>
        </w:tc>
        <w:tc>
          <w:tcPr>
            <w:tcW w:w="899" w:type="dxa"/>
            <w:vAlign w:val="top"/>
          </w:tcPr>
          <w:p>
            <w:pPr>
              <w:spacing w:line="251" w:lineRule="auto"/>
              <w:rPr>
                <w:rFonts w:ascii="Arial"/>
                <w:sz w:val="21"/>
              </w:rPr>
            </w:pPr>
            <w:r/>
          </w:p>
          <w:p>
            <w:pPr>
              <w:pStyle w:val="TableText"/>
              <w:ind w:left="236"/>
              <w:spacing w:before="39" w:line="214" w:lineRule="auto"/>
              <w:rPr>
                <w:sz w:val="12"/>
                <w:szCs w:val="12"/>
              </w:rPr>
            </w:pPr>
            <w:r>
              <w:rPr>
                <w:sz w:val="12"/>
                <w:szCs w:val="12"/>
                <w:spacing w:val="-1"/>
              </w:rPr>
              <w:t>40Kg/袋</w:t>
            </w:r>
          </w:p>
        </w:tc>
        <w:tc>
          <w:tcPr>
            <w:tcW w:w="2623" w:type="dxa"/>
            <w:vAlign w:val="top"/>
          </w:tcPr>
          <w:p>
            <w:pPr>
              <w:pStyle w:val="TableText"/>
              <w:ind w:left="17" w:right="23"/>
              <w:spacing w:before="236" w:line="224" w:lineRule="auto"/>
              <w:rPr>
                <w:sz w:val="12"/>
                <w:szCs w:val="12"/>
              </w:rPr>
            </w:pPr>
            <w:r>
              <w:rPr>
                <w:sz w:val="12"/>
                <w:szCs w:val="12"/>
                <w:spacing w:val="-1"/>
              </w:rPr>
              <w:t>改善土填结构，增强通风、储水能力，1万平方米</w:t>
            </w:r>
            <w:r>
              <w:rPr>
                <w:sz w:val="12"/>
                <w:szCs w:val="12"/>
                <w:spacing w:val="12"/>
              </w:rPr>
              <w:t xml:space="preserve"> </w:t>
            </w:r>
            <w:r>
              <w:rPr>
                <w:sz w:val="12"/>
                <w:szCs w:val="12"/>
                <w:spacing w:val="-1"/>
              </w:rPr>
              <w:t>年度约用量：400kg</w:t>
            </w:r>
          </w:p>
        </w:tc>
      </w:tr>
      <w:tr>
        <w:trPr>
          <w:trHeight w:val="389" w:hRule="atLeast"/>
        </w:trPr>
        <w:tc>
          <w:tcPr>
            <w:tcW w:w="445" w:type="dxa"/>
            <w:vAlign w:val="top"/>
            <w:vMerge w:val="continue"/>
            <w:tcBorders>
              <w:top w:val="nil"/>
              <w:bottom w:val="nil"/>
            </w:tcBorders>
          </w:tcPr>
          <w:p>
            <w:pPr>
              <w:rPr>
                <w:rFonts w:ascii="Arial"/>
                <w:sz w:val="21"/>
              </w:rPr>
            </w:pPr>
            <w:r/>
          </w:p>
        </w:tc>
        <w:tc>
          <w:tcPr>
            <w:tcW w:w="57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tcBorders>
          </w:tcPr>
          <w:p>
            <w:pPr>
              <w:rPr>
                <w:rFonts w:ascii="Arial"/>
                <w:sz w:val="21"/>
              </w:rPr>
            </w:pPr>
            <w:r/>
          </w:p>
        </w:tc>
        <w:tc>
          <w:tcPr>
            <w:tcW w:w="1299" w:type="dxa"/>
            <w:vAlign w:val="top"/>
          </w:tcPr>
          <w:p>
            <w:pPr>
              <w:pStyle w:val="TableText"/>
              <w:ind w:left="223"/>
              <w:spacing w:before="137" w:line="219" w:lineRule="auto"/>
              <w:rPr>
                <w:sz w:val="12"/>
                <w:szCs w:val="12"/>
              </w:rPr>
            </w:pPr>
            <w:r>
              <w:rPr>
                <w:sz w:val="12"/>
                <w:szCs w:val="12"/>
                <w:spacing w:val="-1"/>
              </w:rPr>
              <w:t>高效磷钾复合肥</w:t>
            </w:r>
          </w:p>
        </w:tc>
        <w:tc>
          <w:tcPr>
            <w:tcW w:w="1919" w:type="dxa"/>
            <w:vAlign w:val="top"/>
          </w:tcPr>
          <w:p>
            <w:pPr>
              <w:pStyle w:val="TableText"/>
              <w:ind w:left="654"/>
              <w:spacing w:before="138" w:line="219" w:lineRule="auto"/>
              <w:rPr>
                <w:sz w:val="12"/>
                <w:szCs w:val="12"/>
              </w:rPr>
            </w:pPr>
            <w:r>
              <w:rPr>
                <w:sz w:val="12"/>
                <w:szCs w:val="12"/>
                <w:spacing w:val="-1"/>
              </w:rPr>
              <w:t>磷酸二氢钾</w:t>
            </w:r>
          </w:p>
        </w:tc>
        <w:tc>
          <w:tcPr>
            <w:tcW w:w="1659" w:type="dxa"/>
            <w:vAlign w:val="top"/>
          </w:tcPr>
          <w:p>
            <w:pPr>
              <w:pStyle w:val="TableText"/>
              <w:ind w:left="165"/>
              <w:spacing w:before="138" w:line="219" w:lineRule="auto"/>
              <w:rPr>
                <w:sz w:val="12"/>
                <w:szCs w:val="12"/>
              </w:rPr>
            </w:pPr>
            <w:r>
              <w:rPr>
                <w:sz w:val="12"/>
                <w:szCs w:val="12"/>
                <w:spacing w:val="-1"/>
              </w:rPr>
              <w:t>直接穴施或0.2%叶面喷施</w:t>
            </w:r>
          </w:p>
        </w:tc>
        <w:tc>
          <w:tcPr>
            <w:tcW w:w="1039" w:type="dxa"/>
            <w:vAlign w:val="top"/>
            <w:vMerge w:val="continue"/>
            <w:tcBorders>
              <w:top w:val="nil"/>
            </w:tcBorders>
          </w:tcPr>
          <w:p>
            <w:pPr>
              <w:rPr>
                <w:rFonts w:ascii="Arial"/>
                <w:sz w:val="21"/>
              </w:rPr>
            </w:pPr>
            <w:r/>
          </w:p>
        </w:tc>
        <w:tc>
          <w:tcPr>
            <w:tcW w:w="899" w:type="dxa"/>
            <w:vAlign w:val="top"/>
          </w:tcPr>
          <w:p>
            <w:pPr>
              <w:pStyle w:val="TableText"/>
              <w:ind w:left="176"/>
              <w:spacing w:before="133" w:line="214" w:lineRule="auto"/>
              <w:rPr>
                <w:sz w:val="12"/>
                <w:szCs w:val="12"/>
              </w:rPr>
            </w:pPr>
            <w:r>
              <w:rPr>
                <w:sz w:val="12"/>
                <w:szCs w:val="12"/>
                <w:spacing w:val="4"/>
              </w:rPr>
              <w:t>(25</w:t>
            </w:r>
            <w:r>
              <w:rPr>
                <w:sz w:val="12"/>
                <w:szCs w:val="12"/>
              </w:rPr>
              <w:t>kg</w:t>
            </w:r>
            <w:r>
              <w:rPr>
                <w:sz w:val="12"/>
                <w:szCs w:val="12"/>
                <w:spacing w:val="4"/>
              </w:rPr>
              <w:t>/袋)</w:t>
            </w:r>
          </w:p>
        </w:tc>
        <w:tc>
          <w:tcPr>
            <w:tcW w:w="2623" w:type="dxa"/>
            <w:vAlign w:val="top"/>
          </w:tcPr>
          <w:p>
            <w:pPr>
              <w:pStyle w:val="TableText"/>
              <w:ind w:left="17" w:right="20"/>
              <w:spacing w:before="68" w:line="224" w:lineRule="auto"/>
              <w:rPr>
                <w:sz w:val="12"/>
                <w:szCs w:val="12"/>
              </w:rPr>
            </w:pPr>
            <w:r>
              <w:rPr>
                <w:sz w:val="12"/>
                <w:szCs w:val="12"/>
                <w:spacing w:val="-1"/>
              </w:rPr>
              <w:t>捉高树木木质化程度，有利树木安全越冬，1万平</w:t>
            </w:r>
            <w:r>
              <w:rPr>
                <w:sz w:val="12"/>
                <w:szCs w:val="12"/>
                <w:spacing w:val="15"/>
                <w:w w:val="101"/>
              </w:rPr>
              <w:t xml:space="preserve"> </w:t>
            </w:r>
            <w:r>
              <w:rPr>
                <w:sz w:val="12"/>
                <w:szCs w:val="12"/>
                <w:spacing w:val="-1"/>
              </w:rPr>
              <w:t>方米年度约用量：100kg</w:t>
            </w:r>
          </w:p>
        </w:tc>
      </w:tr>
      <w:tr>
        <w:trPr>
          <w:trHeight w:val="409" w:hRule="atLeast"/>
        </w:trPr>
        <w:tc>
          <w:tcPr>
            <w:tcW w:w="445" w:type="dxa"/>
            <w:vAlign w:val="top"/>
            <w:vMerge w:val="continue"/>
            <w:tcBorders>
              <w:top w:val="nil"/>
              <w:bottom w:val="nil"/>
            </w:tcBorders>
          </w:tcPr>
          <w:p>
            <w:pPr>
              <w:rPr>
                <w:rFonts w:ascii="Arial"/>
                <w:sz w:val="21"/>
              </w:rPr>
            </w:pPr>
            <w:r/>
          </w:p>
        </w:tc>
        <w:tc>
          <w:tcPr>
            <w:tcW w:w="570" w:type="dxa"/>
            <w:vAlign w:val="top"/>
            <w:vMerge w:val="restart"/>
            <w:tcBorders>
              <w:bottom w:val="nil"/>
            </w:tcBorders>
          </w:tcPr>
          <w:p>
            <w:pPr>
              <w:spacing w:line="313" w:lineRule="auto"/>
              <w:rPr>
                <w:rFonts w:ascii="Arial"/>
                <w:sz w:val="21"/>
              </w:rPr>
            </w:pPr>
            <w:r/>
          </w:p>
          <w:p>
            <w:pPr>
              <w:spacing w:line="313" w:lineRule="auto"/>
              <w:rPr>
                <w:rFonts w:ascii="Arial"/>
                <w:sz w:val="21"/>
              </w:rPr>
            </w:pPr>
            <w:r/>
          </w:p>
          <w:p>
            <w:pPr>
              <w:pStyle w:val="TableText"/>
              <w:ind w:left="30"/>
              <w:spacing w:before="39" w:line="219" w:lineRule="auto"/>
              <w:rPr>
                <w:sz w:val="12"/>
                <w:szCs w:val="12"/>
              </w:rPr>
            </w:pPr>
            <w:r>
              <w:rPr>
                <w:sz w:val="12"/>
                <w:szCs w:val="12"/>
                <w:spacing w:val="-2"/>
              </w:rPr>
              <w:t>草皮履绿</w:t>
            </w:r>
          </w:p>
        </w:tc>
        <w:tc>
          <w:tcPr>
            <w:tcW w:w="959" w:type="dxa"/>
            <w:vAlign w:val="top"/>
            <w:vMerge w:val="restart"/>
            <w:tcBorders>
              <w:bottom w:val="nil"/>
            </w:tcBorders>
          </w:tcPr>
          <w:p>
            <w:pPr>
              <w:spacing w:line="283" w:lineRule="auto"/>
              <w:rPr>
                <w:rFonts w:ascii="Arial"/>
                <w:sz w:val="21"/>
              </w:rPr>
            </w:pPr>
            <w:r/>
          </w:p>
          <w:p>
            <w:pPr>
              <w:spacing w:line="283" w:lineRule="auto"/>
              <w:rPr>
                <w:rFonts w:ascii="Arial"/>
                <w:sz w:val="21"/>
              </w:rPr>
            </w:pPr>
            <w:r/>
          </w:p>
          <w:p>
            <w:pPr>
              <w:pStyle w:val="TableText"/>
              <w:ind w:left="50"/>
              <w:spacing w:before="39" w:line="218" w:lineRule="auto"/>
              <w:rPr>
                <w:sz w:val="12"/>
                <w:szCs w:val="12"/>
              </w:rPr>
            </w:pPr>
            <w:r>
              <w:rPr>
                <w:sz w:val="12"/>
                <w:szCs w:val="12"/>
                <w:spacing w:val="-1"/>
              </w:rPr>
              <w:t>草坪发芽及长势</w:t>
            </w:r>
          </w:p>
          <w:p>
            <w:pPr>
              <w:pStyle w:val="TableText"/>
              <w:ind w:left="350"/>
              <w:spacing w:line="222" w:lineRule="auto"/>
              <w:rPr>
                <w:sz w:val="12"/>
                <w:szCs w:val="12"/>
              </w:rPr>
            </w:pPr>
            <w:r>
              <w:rPr>
                <w:sz w:val="12"/>
                <w:szCs w:val="12"/>
                <w:spacing w:val="-2"/>
              </w:rPr>
              <w:t>不良</w:t>
            </w:r>
          </w:p>
        </w:tc>
        <w:tc>
          <w:tcPr>
            <w:tcW w:w="2698" w:type="dxa"/>
            <w:vAlign w:val="top"/>
            <w:vMerge w:val="restart"/>
            <w:tcBorders>
              <w:bottom w:val="nil"/>
            </w:tcBorders>
          </w:tcPr>
          <w:p>
            <w:pPr>
              <w:pStyle w:val="TableText"/>
              <w:ind w:left="11" w:right="93" w:firstLine="9"/>
              <w:spacing w:before="248" w:line="209" w:lineRule="auto"/>
              <w:rPr>
                <w:sz w:val="12"/>
                <w:szCs w:val="12"/>
              </w:rPr>
            </w:pPr>
            <w:r>
              <w:rPr>
                <w:sz w:val="12"/>
                <w:szCs w:val="12"/>
                <w:spacing w:val="-1"/>
              </w:rPr>
              <w:t>一、4-5月中，气温上升，空气湿度增加。苗木结</w:t>
            </w:r>
            <w:r>
              <w:rPr>
                <w:sz w:val="12"/>
                <w:szCs w:val="12"/>
                <w:spacing w:val="15"/>
              </w:rPr>
              <w:t xml:space="preserve"> </w:t>
            </w:r>
            <w:r>
              <w:rPr>
                <w:sz w:val="12"/>
                <w:szCs w:val="12"/>
              </w:rPr>
              <w:t>束休眠期开始返青，是草皮施肥复绿最佳时机：</w:t>
            </w:r>
          </w:p>
          <w:p>
            <w:pPr>
              <w:pStyle w:val="TableText"/>
              <w:ind w:left="21" w:right="33"/>
              <w:spacing w:before="7" w:line="222" w:lineRule="auto"/>
              <w:rPr>
                <w:sz w:val="12"/>
                <w:szCs w:val="12"/>
              </w:rPr>
            </w:pPr>
            <w:r>
              <w:rPr>
                <w:sz w:val="12"/>
                <w:szCs w:val="12"/>
                <w:spacing w:val="-1"/>
              </w:rPr>
              <w:t>二、6-7月有个别情况，做专项治疗一般每月施肥</w:t>
            </w:r>
            <w:r>
              <w:rPr>
                <w:sz w:val="12"/>
                <w:szCs w:val="12"/>
                <w:spacing w:val="7"/>
              </w:rPr>
              <w:t xml:space="preserve">  </w:t>
            </w:r>
            <w:r>
              <w:rPr>
                <w:sz w:val="12"/>
                <w:szCs w:val="12"/>
                <w:spacing w:val="-1"/>
              </w:rPr>
              <w:t>一次，每次用量为春季的一率左右，10月份下冬肥</w:t>
            </w:r>
            <w:r>
              <w:rPr>
                <w:sz w:val="12"/>
                <w:szCs w:val="12"/>
                <w:spacing w:val="15"/>
              </w:rPr>
              <w:t xml:space="preserve"> </w:t>
            </w:r>
            <w:r>
              <w:rPr>
                <w:sz w:val="12"/>
                <w:szCs w:val="12"/>
              </w:rPr>
              <w:t>。具体参考草坪养护指南；</w:t>
            </w:r>
          </w:p>
          <w:p>
            <w:pPr>
              <w:pStyle w:val="TableText"/>
              <w:ind w:left="21"/>
              <w:spacing w:before="6" w:line="219" w:lineRule="auto"/>
              <w:rPr>
                <w:sz w:val="12"/>
                <w:szCs w:val="12"/>
              </w:rPr>
            </w:pPr>
            <w:r>
              <w:rPr>
                <w:sz w:val="12"/>
                <w:szCs w:val="12"/>
              </w:rPr>
              <w:t>三，9-10月施收肥，每月一次。</w:t>
            </w:r>
          </w:p>
        </w:tc>
        <w:tc>
          <w:tcPr>
            <w:tcW w:w="1299" w:type="dxa"/>
            <w:vAlign w:val="top"/>
          </w:tcPr>
          <w:p>
            <w:pPr>
              <w:pStyle w:val="TableText"/>
              <w:ind w:left="132" w:right="80" w:hanging="60"/>
              <w:spacing w:before="88" w:line="239" w:lineRule="auto"/>
              <w:rPr>
                <w:sz w:val="12"/>
                <w:szCs w:val="12"/>
              </w:rPr>
            </w:pPr>
            <w:r>
              <w:rPr>
                <w:sz w:val="12"/>
                <w:szCs w:val="12"/>
                <w:spacing w:val="-1"/>
              </w:rPr>
              <w:t>尿素(一般不单独使用</w:t>
            </w:r>
            <w:r>
              <w:rPr>
                <w:sz w:val="12"/>
                <w:szCs w:val="12"/>
                <w:spacing w:val="4"/>
              </w:rPr>
              <w:t xml:space="preserve"> </w:t>
            </w:r>
            <w:r>
              <w:rPr>
                <w:sz w:val="12"/>
                <w:szCs w:val="12"/>
                <w:spacing w:val="2"/>
              </w:rPr>
              <w:t>须配合磷钾肥使用)</w:t>
            </w:r>
          </w:p>
        </w:tc>
        <w:tc>
          <w:tcPr>
            <w:tcW w:w="1919" w:type="dxa"/>
            <w:vAlign w:val="top"/>
          </w:tcPr>
          <w:p>
            <w:pPr>
              <w:pStyle w:val="TableText"/>
              <w:ind w:left="504"/>
              <w:spacing w:before="147" w:line="216" w:lineRule="auto"/>
              <w:rPr>
                <w:sz w:val="12"/>
                <w:szCs w:val="12"/>
              </w:rPr>
            </w:pPr>
            <w:r>
              <w:rPr>
                <w:sz w:val="12"/>
                <w:szCs w:val="12"/>
                <w:spacing w:val="-1"/>
              </w:rPr>
              <w:t>C00N2)2,含氮46%</w:t>
            </w:r>
          </w:p>
        </w:tc>
        <w:tc>
          <w:tcPr>
            <w:tcW w:w="1659" w:type="dxa"/>
            <w:vAlign w:val="top"/>
          </w:tcPr>
          <w:p>
            <w:pPr>
              <w:pStyle w:val="TableText"/>
              <w:ind w:left="225"/>
              <w:spacing w:before="144" w:line="214" w:lineRule="auto"/>
              <w:rPr>
                <w:sz w:val="12"/>
                <w:szCs w:val="12"/>
              </w:rPr>
            </w:pPr>
            <w:r>
              <w:rPr>
                <w:sz w:val="12"/>
                <w:szCs w:val="12"/>
                <w:spacing w:val="-1"/>
              </w:rPr>
              <w:t>直接撤施：20-25kg/亩</w:t>
            </w:r>
          </w:p>
        </w:tc>
        <w:tc>
          <w:tcPr>
            <w:tcW w:w="1039" w:type="dxa"/>
            <w:vAlign w:val="top"/>
            <w:vMerge w:val="restart"/>
            <w:tcBorders>
              <w:bottom w:val="nil"/>
            </w:tcBorders>
          </w:tcPr>
          <w:p>
            <w:pPr>
              <w:spacing w:line="313" w:lineRule="auto"/>
              <w:rPr>
                <w:rFonts w:ascii="Arial"/>
                <w:sz w:val="21"/>
              </w:rPr>
            </w:pPr>
            <w:r/>
          </w:p>
          <w:p>
            <w:pPr>
              <w:spacing w:line="313" w:lineRule="auto"/>
              <w:rPr>
                <w:rFonts w:ascii="Arial"/>
                <w:sz w:val="21"/>
              </w:rPr>
            </w:pPr>
            <w:r/>
          </w:p>
          <w:p>
            <w:pPr>
              <w:pStyle w:val="TableText"/>
              <w:ind w:left="96"/>
              <w:spacing w:before="39" w:line="219" w:lineRule="auto"/>
              <w:rPr>
                <w:sz w:val="12"/>
                <w:szCs w:val="12"/>
              </w:rPr>
            </w:pPr>
            <w:r>
              <w:rPr>
                <w:sz w:val="12"/>
                <w:szCs w:val="12"/>
                <w:spacing w:val="-1"/>
              </w:rPr>
              <w:t>视草坪生长情况</w:t>
            </w:r>
          </w:p>
        </w:tc>
        <w:tc>
          <w:tcPr>
            <w:tcW w:w="899" w:type="dxa"/>
            <w:vAlign w:val="top"/>
          </w:tcPr>
          <w:p>
            <w:pPr>
              <w:pStyle w:val="TableText"/>
              <w:ind w:left="176"/>
              <w:spacing w:before="144" w:line="214" w:lineRule="auto"/>
              <w:rPr>
                <w:sz w:val="12"/>
                <w:szCs w:val="12"/>
              </w:rPr>
            </w:pPr>
            <w:r>
              <w:rPr>
                <w:sz w:val="12"/>
                <w:szCs w:val="12"/>
                <w:spacing w:val="4"/>
              </w:rPr>
              <w:t>(50</w:t>
            </w:r>
            <w:r>
              <w:rPr>
                <w:sz w:val="12"/>
                <w:szCs w:val="12"/>
              </w:rPr>
              <w:t>kg</w:t>
            </w:r>
            <w:r>
              <w:rPr>
                <w:sz w:val="12"/>
                <w:szCs w:val="12"/>
                <w:spacing w:val="4"/>
              </w:rPr>
              <w:t>/袋)</w:t>
            </w:r>
          </w:p>
        </w:tc>
        <w:tc>
          <w:tcPr>
            <w:tcW w:w="2623" w:type="dxa"/>
            <w:vAlign w:val="top"/>
          </w:tcPr>
          <w:p>
            <w:pPr>
              <w:pStyle w:val="TableText"/>
              <w:ind w:left="17" w:right="134"/>
              <w:spacing w:before="88" w:line="239" w:lineRule="auto"/>
              <w:rPr>
                <w:sz w:val="12"/>
                <w:szCs w:val="12"/>
              </w:rPr>
            </w:pPr>
            <w:r>
              <w:rPr>
                <w:sz w:val="12"/>
                <w:szCs w:val="12"/>
              </w:rPr>
              <w:t>促进草坪生长，增绿，1万平方米年度约用量： </w:t>
            </w:r>
            <w:r>
              <w:rPr>
                <w:sz w:val="12"/>
                <w:szCs w:val="12"/>
                <w:spacing w:val="-2"/>
              </w:rPr>
              <w:t>500kg</w:t>
            </w:r>
          </w:p>
        </w:tc>
      </w:tr>
      <w:tr>
        <w:trPr>
          <w:trHeight w:val="1038" w:hRule="atLeast"/>
        </w:trPr>
        <w:tc>
          <w:tcPr>
            <w:tcW w:w="445" w:type="dxa"/>
            <w:vAlign w:val="top"/>
            <w:vMerge w:val="continue"/>
            <w:tcBorders>
              <w:top w:val="nil"/>
            </w:tcBorders>
          </w:tcPr>
          <w:p>
            <w:pPr>
              <w:rPr>
                <w:rFonts w:ascii="Arial"/>
                <w:sz w:val="21"/>
              </w:rPr>
            </w:pPr>
            <w:r/>
          </w:p>
        </w:tc>
        <w:tc>
          <w:tcPr>
            <w:tcW w:w="57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tcBorders>
          </w:tcPr>
          <w:p>
            <w:pPr>
              <w:rPr>
                <w:rFonts w:ascii="Arial"/>
                <w:sz w:val="21"/>
              </w:rPr>
            </w:pPr>
            <w:r/>
          </w:p>
        </w:tc>
        <w:tc>
          <w:tcPr>
            <w:tcW w:w="1299" w:type="dxa"/>
            <w:vAlign w:val="top"/>
          </w:tcPr>
          <w:p>
            <w:pPr>
              <w:spacing w:line="418" w:lineRule="auto"/>
              <w:rPr>
                <w:rFonts w:ascii="Arial"/>
                <w:sz w:val="21"/>
              </w:rPr>
            </w:pPr>
            <w:r/>
          </w:p>
          <w:p>
            <w:pPr>
              <w:pStyle w:val="TableText"/>
              <w:ind w:left="403"/>
              <w:spacing w:before="39" w:line="219" w:lineRule="auto"/>
              <w:rPr>
                <w:sz w:val="12"/>
                <w:szCs w:val="12"/>
              </w:rPr>
            </w:pPr>
            <w:r>
              <w:rPr>
                <w:sz w:val="12"/>
                <w:szCs w:val="12"/>
                <w:spacing w:val="1"/>
              </w:rPr>
              <w:t>中威壮美</w:t>
            </w:r>
          </w:p>
        </w:tc>
        <w:tc>
          <w:tcPr>
            <w:tcW w:w="1919" w:type="dxa"/>
            <w:vAlign w:val="top"/>
          </w:tcPr>
          <w:p>
            <w:pPr>
              <w:spacing w:line="417" w:lineRule="auto"/>
              <w:rPr>
                <w:rFonts w:ascii="Arial"/>
                <w:sz w:val="21"/>
              </w:rPr>
            </w:pPr>
            <w:r/>
          </w:p>
          <w:p>
            <w:pPr>
              <w:pStyle w:val="TableText"/>
              <w:ind w:left="624"/>
              <w:spacing w:before="39" w:line="219" w:lineRule="auto"/>
              <w:rPr>
                <w:sz w:val="12"/>
                <w:szCs w:val="12"/>
              </w:rPr>
            </w:pPr>
            <w:r>
              <w:rPr>
                <w:sz w:val="12"/>
                <w:szCs w:val="12"/>
                <w:spacing w:val="-1"/>
              </w:rPr>
              <w:t>有机质≥60%</w:t>
            </w:r>
          </w:p>
        </w:tc>
        <w:tc>
          <w:tcPr>
            <w:tcW w:w="1659" w:type="dxa"/>
            <w:vAlign w:val="top"/>
          </w:tcPr>
          <w:p>
            <w:pPr>
              <w:spacing w:line="414" w:lineRule="auto"/>
              <w:rPr>
                <w:rFonts w:ascii="Arial"/>
                <w:sz w:val="21"/>
              </w:rPr>
            </w:pPr>
            <w:r/>
          </w:p>
          <w:p>
            <w:pPr>
              <w:pStyle w:val="TableText"/>
              <w:ind w:left="225"/>
              <w:spacing w:before="39" w:line="214" w:lineRule="auto"/>
              <w:rPr>
                <w:sz w:val="12"/>
                <w:szCs w:val="12"/>
              </w:rPr>
            </w:pPr>
            <w:r>
              <w:rPr>
                <w:sz w:val="12"/>
                <w:szCs w:val="12"/>
                <w:spacing w:val="-1"/>
              </w:rPr>
              <w:t>直接撒施：20-25kg/亩</w:t>
            </w:r>
          </w:p>
        </w:tc>
        <w:tc>
          <w:tcPr>
            <w:tcW w:w="1039" w:type="dxa"/>
            <w:vAlign w:val="top"/>
            <w:vMerge w:val="continue"/>
            <w:tcBorders>
              <w:top w:val="nil"/>
            </w:tcBorders>
          </w:tcPr>
          <w:p>
            <w:pPr>
              <w:rPr>
                <w:rFonts w:ascii="Arial"/>
                <w:sz w:val="21"/>
              </w:rPr>
            </w:pPr>
            <w:r/>
          </w:p>
        </w:tc>
        <w:tc>
          <w:tcPr>
            <w:tcW w:w="899" w:type="dxa"/>
            <w:vAlign w:val="top"/>
          </w:tcPr>
          <w:p>
            <w:pPr>
              <w:spacing w:line="414" w:lineRule="auto"/>
              <w:rPr>
                <w:rFonts w:ascii="Arial"/>
                <w:sz w:val="21"/>
              </w:rPr>
            </w:pPr>
            <w:r/>
          </w:p>
          <w:p>
            <w:pPr>
              <w:pStyle w:val="TableText"/>
              <w:ind w:left="176"/>
              <w:spacing w:before="39" w:line="214" w:lineRule="auto"/>
              <w:rPr>
                <w:sz w:val="12"/>
                <w:szCs w:val="12"/>
              </w:rPr>
            </w:pPr>
            <w:r>
              <w:rPr>
                <w:sz w:val="12"/>
                <w:szCs w:val="12"/>
                <w:spacing w:val="4"/>
              </w:rPr>
              <w:t>(25</w:t>
            </w:r>
            <w:r>
              <w:rPr>
                <w:sz w:val="12"/>
                <w:szCs w:val="12"/>
              </w:rPr>
              <w:t>kg</w:t>
            </w:r>
            <w:r>
              <w:rPr>
                <w:sz w:val="12"/>
                <w:szCs w:val="12"/>
                <w:spacing w:val="4"/>
              </w:rPr>
              <w:t>/袋)</w:t>
            </w:r>
          </w:p>
        </w:tc>
        <w:tc>
          <w:tcPr>
            <w:tcW w:w="2623" w:type="dxa"/>
            <w:vAlign w:val="top"/>
          </w:tcPr>
          <w:p>
            <w:pPr>
              <w:spacing w:line="358" w:lineRule="auto"/>
              <w:rPr>
                <w:rFonts w:ascii="Arial"/>
                <w:sz w:val="21"/>
              </w:rPr>
            </w:pPr>
            <w:r/>
          </w:p>
          <w:p>
            <w:pPr>
              <w:pStyle w:val="TableText"/>
              <w:ind w:left="17" w:right="20"/>
              <w:spacing w:before="39" w:line="225" w:lineRule="auto"/>
              <w:rPr>
                <w:sz w:val="12"/>
                <w:szCs w:val="12"/>
              </w:rPr>
            </w:pPr>
            <w:r>
              <w:rPr>
                <w:sz w:val="12"/>
                <w:szCs w:val="12"/>
                <w:spacing w:val="-1"/>
              </w:rPr>
              <w:t>促进草坪快速生根，全面营养。使用安全方便，1</w:t>
            </w:r>
            <w:r>
              <w:rPr>
                <w:sz w:val="12"/>
                <w:szCs w:val="12"/>
                <w:spacing w:val="15"/>
                <w:w w:val="101"/>
              </w:rPr>
              <w:t xml:space="preserve"> </w:t>
            </w:r>
            <w:r>
              <w:rPr>
                <w:sz w:val="12"/>
                <w:szCs w:val="12"/>
                <w:spacing w:val="-1"/>
              </w:rPr>
              <w:t>万平方米年度约用量：250kg</w:t>
            </w:r>
          </w:p>
        </w:tc>
      </w:tr>
      <w:tr>
        <w:trPr>
          <w:trHeight w:val="469" w:hRule="atLeast"/>
        </w:trPr>
        <w:tc>
          <w:tcPr>
            <w:tcW w:w="445" w:type="dxa"/>
            <w:vAlign w:val="top"/>
            <w:vMerge w:val="restart"/>
            <w:tcBorders>
              <w:bottom w:val="nil"/>
            </w:tcBorders>
          </w:tcPr>
          <w:p>
            <w:pPr>
              <w:spacing w:line="314" w:lineRule="auto"/>
              <w:rPr>
                <w:rFonts w:ascii="Arial"/>
                <w:sz w:val="21"/>
              </w:rPr>
            </w:pPr>
            <w:r/>
          </w:p>
          <w:p>
            <w:pPr>
              <w:spacing w:line="315" w:lineRule="auto"/>
              <w:rPr>
                <w:rFonts w:ascii="Arial"/>
                <w:sz w:val="21"/>
              </w:rPr>
            </w:pPr>
            <w:r/>
          </w:p>
          <w:p>
            <w:pPr>
              <w:pStyle w:val="TableText"/>
              <w:ind w:left="94"/>
              <w:spacing w:before="39" w:line="220" w:lineRule="auto"/>
              <w:rPr>
                <w:sz w:val="12"/>
                <w:szCs w:val="12"/>
              </w:rPr>
            </w:pPr>
            <w:r>
              <w:rPr>
                <w:sz w:val="12"/>
                <w:szCs w:val="12"/>
                <w:spacing w:val="-2"/>
              </w:rPr>
              <w:t>其他</w:t>
            </w:r>
          </w:p>
        </w:tc>
        <w:tc>
          <w:tcPr>
            <w:tcW w:w="570" w:type="dxa"/>
            <w:vAlign w:val="top"/>
            <w:vMerge w:val="restart"/>
            <w:tcBorders>
              <w:bottom w:val="nil"/>
            </w:tcBorders>
          </w:tcPr>
          <w:p>
            <w:pPr>
              <w:spacing w:line="314" w:lineRule="auto"/>
              <w:rPr>
                <w:rFonts w:ascii="Arial"/>
                <w:sz w:val="21"/>
              </w:rPr>
            </w:pPr>
            <w:r/>
          </w:p>
          <w:p>
            <w:pPr>
              <w:spacing w:line="315" w:lineRule="auto"/>
              <w:rPr>
                <w:rFonts w:ascii="Arial"/>
                <w:sz w:val="21"/>
              </w:rPr>
            </w:pPr>
            <w:r/>
          </w:p>
          <w:p>
            <w:pPr>
              <w:pStyle w:val="TableText"/>
              <w:ind w:left="30"/>
              <w:spacing w:before="39" w:line="219" w:lineRule="auto"/>
              <w:rPr>
                <w:sz w:val="12"/>
                <w:szCs w:val="12"/>
              </w:rPr>
            </w:pPr>
            <w:r>
              <w:rPr>
                <w:sz w:val="12"/>
                <w:szCs w:val="12"/>
                <w:spacing w:val="-1"/>
              </w:rPr>
              <w:t>树木养护</w:t>
            </w:r>
          </w:p>
        </w:tc>
        <w:tc>
          <w:tcPr>
            <w:tcW w:w="959" w:type="dxa"/>
            <w:vAlign w:val="top"/>
            <w:vMerge w:val="restart"/>
            <w:tcBorders>
              <w:bottom w:val="nil"/>
            </w:tcBorders>
          </w:tcPr>
          <w:p>
            <w:pPr>
              <w:spacing w:line="274" w:lineRule="auto"/>
              <w:rPr>
                <w:rFonts w:ascii="Arial"/>
                <w:sz w:val="21"/>
              </w:rPr>
            </w:pPr>
            <w:r/>
          </w:p>
          <w:p>
            <w:pPr>
              <w:spacing w:line="275" w:lineRule="auto"/>
              <w:rPr>
                <w:rFonts w:ascii="Arial"/>
                <w:sz w:val="21"/>
              </w:rPr>
            </w:pPr>
            <w:r/>
          </w:p>
          <w:p>
            <w:pPr>
              <w:pStyle w:val="TableText"/>
              <w:ind w:left="109" w:right="98" w:hanging="99"/>
              <w:spacing w:before="39" w:line="233" w:lineRule="auto"/>
              <w:rPr>
                <w:sz w:val="12"/>
                <w:szCs w:val="12"/>
              </w:rPr>
            </w:pPr>
            <w:r>
              <w:rPr>
                <w:sz w:val="12"/>
                <w:szCs w:val="12"/>
                <w:spacing w:val="-1"/>
              </w:rPr>
              <w:t>树木修剪创口，</w:t>
            </w:r>
            <w:r>
              <w:rPr>
                <w:sz w:val="12"/>
                <w:szCs w:val="12"/>
                <w:spacing w:val="5"/>
              </w:rPr>
              <w:t xml:space="preserve"> </w:t>
            </w:r>
            <w:r>
              <w:rPr>
                <w:sz w:val="12"/>
                <w:szCs w:val="12"/>
                <w:spacing w:val="2"/>
              </w:rPr>
              <w:t>腐烂病害伤口</w:t>
            </w:r>
          </w:p>
        </w:tc>
        <w:tc>
          <w:tcPr>
            <w:tcW w:w="2698" w:type="dxa"/>
            <w:vAlign w:val="top"/>
            <w:vMerge w:val="restart"/>
            <w:tcBorders>
              <w:bottom w:val="nil"/>
            </w:tcBorders>
          </w:tcPr>
          <w:p>
            <w:pPr>
              <w:spacing w:line="314" w:lineRule="auto"/>
              <w:rPr>
                <w:rFonts w:ascii="Arial"/>
                <w:sz w:val="21"/>
              </w:rPr>
            </w:pPr>
            <w:r/>
          </w:p>
          <w:p>
            <w:pPr>
              <w:spacing w:line="315" w:lineRule="auto"/>
              <w:rPr>
                <w:rFonts w:ascii="Arial"/>
                <w:sz w:val="21"/>
              </w:rPr>
            </w:pPr>
            <w:r/>
          </w:p>
          <w:p>
            <w:pPr>
              <w:pStyle w:val="TableText"/>
              <w:ind w:left="1120"/>
              <w:spacing w:before="39" w:line="219" w:lineRule="auto"/>
              <w:rPr>
                <w:sz w:val="12"/>
                <w:szCs w:val="12"/>
              </w:rPr>
            </w:pPr>
            <w:r>
              <w:rPr>
                <w:sz w:val="12"/>
                <w:szCs w:val="12"/>
                <w:spacing w:val="2"/>
              </w:rPr>
              <w:t>日常养护</w:t>
            </w:r>
          </w:p>
        </w:tc>
        <w:tc>
          <w:tcPr>
            <w:tcW w:w="1299" w:type="dxa"/>
            <w:vAlign w:val="top"/>
          </w:tcPr>
          <w:p>
            <w:pPr>
              <w:pStyle w:val="TableText"/>
              <w:ind w:left="223"/>
              <w:spacing w:before="181" w:line="219" w:lineRule="auto"/>
              <w:rPr>
                <w:sz w:val="12"/>
                <w:szCs w:val="12"/>
              </w:rPr>
            </w:pPr>
            <w:r>
              <w:rPr>
                <w:sz w:val="12"/>
                <w:szCs w:val="12"/>
                <w:spacing w:val="1"/>
              </w:rPr>
              <w:t>国光愈伤涂胰剂</w:t>
            </w:r>
          </w:p>
        </w:tc>
        <w:tc>
          <w:tcPr>
            <w:tcW w:w="1919" w:type="dxa"/>
            <w:vAlign w:val="top"/>
          </w:tcPr>
          <w:p>
            <w:pPr>
              <w:pStyle w:val="TableText"/>
              <w:ind w:left="714" w:right="60" w:hanging="660"/>
              <w:spacing w:before="111" w:line="219"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659" w:type="dxa"/>
            <w:vAlign w:val="top"/>
          </w:tcPr>
          <w:p>
            <w:pPr>
              <w:pStyle w:val="TableText"/>
              <w:ind w:left="165"/>
              <w:spacing w:before="182" w:line="219" w:lineRule="auto"/>
              <w:rPr>
                <w:sz w:val="12"/>
                <w:szCs w:val="12"/>
              </w:rPr>
            </w:pPr>
            <w:r>
              <w:rPr>
                <w:sz w:val="12"/>
                <w:szCs w:val="12"/>
                <w:spacing w:val="-1"/>
              </w:rPr>
              <w:t>直接使用，可略加水稀释</w:t>
            </w:r>
          </w:p>
        </w:tc>
        <w:tc>
          <w:tcPr>
            <w:tcW w:w="1039" w:type="dxa"/>
            <w:vAlign w:val="top"/>
            <w:vMerge w:val="restart"/>
            <w:tcBorders>
              <w:bottom w:val="nil"/>
            </w:tcBorders>
          </w:tcPr>
          <w:p>
            <w:pPr>
              <w:spacing w:line="274" w:lineRule="auto"/>
              <w:rPr>
                <w:rFonts w:ascii="Arial"/>
                <w:sz w:val="21"/>
              </w:rPr>
            </w:pPr>
            <w:r/>
          </w:p>
          <w:p>
            <w:pPr>
              <w:spacing w:line="275" w:lineRule="auto"/>
              <w:rPr>
                <w:rFonts w:ascii="Arial"/>
                <w:sz w:val="21"/>
              </w:rPr>
            </w:pPr>
            <w:r/>
          </w:p>
          <w:p>
            <w:pPr>
              <w:pStyle w:val="TableText"/>
              <w:ind w:left="36"/>
              <w:spacing w:before="39" w:line="219" w:lineRule="auto"/>
              <w:rPr>
                <w:sz w:val="12"/>
                <w:szCs w:val="12"/>
              </w:rPr>
            </w:pPr>
            <w:r>
              <w:rPr>
                <w:sz w:val="12"/>
                <w:szCs w:val="12"/>
                <w:spacing w:val="-1"/>
              </w:rPr>
              <w:t>乔木修募后和树皮</w:t>
            </w:r>
          </w:p>
          <w:p>
            <w:pPr>
              <w:pStyle w:val="TableText"/>
              <w:ind w:left="336"/>
              <w:spacing w:before="18" w:line="221" w:lineRule="auto"/>
              <w:rPr>
                <w:sz w:val="12"/>
                <w:szCs w:val="12"/>
              </w:rPr>
            </w:pPr>
            <w:r>
              <w:rPr>
                <w:sz w:val="12"/>
                <w:szCs w:val="12"/>
                <w:spacing w:val="-1"/>
              </w:rPr>
              <w:t>破损时</w:t>
            </w:r>
          </w:p>
        </w:tc>
        <w:tc>
          <w:tcPr>
            <w:tcW w:w="899" w:type="dxa"/>
            <w:vAlign w:val="top"/>
          </w:tcPr>
          <w:p>
            <w:pPr>
              <w:pStyle w:val="TableText"/>
              <w:ind w:left="176"/>
              <w:spacing w:before="177" w:line="214" w:lineRule="auto"/>
              <w:rPr>
                <w:sz w:val="12"/>
                <w:szCs w:val="12"/>
              </w:rPr>
            </w:pPr>
            <w:r>
              <w:rPr>
                <w:sz w:val="12"/>
                <w:szCs w:val="12"/>
                <w:spacing w:val="3"/>
              </w:rPr>
              <w:t>(500g/瓶)</w:t>
            </w:r>
          </w:p>
        </w:tc>
        <w:tc>
          <w:tcPr>
            <w:tcW w:w="2623" w:type="dxa"/>
            <w:vAlign w:val="top"/>
          </w:tcPr>
          <w:p>
            <w:pPr>
              <w:pStyle w:val="TableText"/>
              <w:ind w:left="17"/>
              <w:spacing w:before="181" w:line="219" w:lineRule="auto"/>
              <w:rPr>
                <w:sz w:val="12"/>
                <w:szCs w:val="12"/>
              </w:rPr>
            </w:pPr>
            <w:r>
              <w:rPr>
                <w:sz w:val="12"/>
                <w:szCs w:val="12"/>
                <w:spacing w:val="-1"/>
              </w:rPr>
              <w:t>促进伤口快速愈合，杀菌防腐</w:t>
            </w:r>
          </w:p>
        </w:tc>
      </w:tr>
      <w:tr>
        <w:trPr>
          <w:trHeight w:val="469" w:hRule="atLeast"/>
        </w:trPr>
        <w:tc>
          <w:tcPr>
            <w:tcW w:w="44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698" w:type="dxa"/>
            <w:vAlign w:val="top"/>
            <w:vMerge w:val="continue"/>
            <w:tcBorders>
              <w:top w:val="nil"/>
              <w:bottom w:val="nil"/>
            </w:tcBorders>
          </w:tcPr>
          <w:p>
            <w:pPr>
              <w:rPr>
                <w:rFonts w:ascii="Arial"/>
                <w:sz w:val="21"/>
              </w:rPr>
            </w:pPr>
            <w:r/>
          </w:p>
        </w:tc>
        <w:tc>
          <w:tcPr>
            <w:tcW w:w="1299" w:type="dxa"/>
            <w:vAlign w:val="top"/>
          </w:tcPr>
          <w:p>
            <w:pPr>
              <w:pStyle w:val="TableText"/>
              <w:ind w:left="343"/>
              <w:spacing w:before="182" w:line="219" w:lineRule="auto"/>
              <w:rPr>
                <w:sz w:val="12"/>
                <w:szCs w:val="12"/>
              </w:rPr>
            </w:pPr>
            <w:r>
              <w:rPr>
                <w:sz w:val="12"/>
                <w:szCs w:val="12"/>
                <w:spacing w:val="1"/>
              </w:rPr>
              <w:t>中威愈伤青</w:t>
            </w:r>
          </w:p>
        </w:tc>
        <w:tc>
          <w:tcPr>
            <w:tcW w:w="1919" w:type="dxa"/>
            <w:vAlign w:val="top"/>
          </w:tcPr>
          <w:p>
            <w:pPr>
              <w:pStyle w:val="TableText"/>
              <w:ind w:left="534"/>
              <w:spacing w:before="182" w:line="219" w:lineRule="auto"/>
              <w:rPr>
                <w:sz w:val="12"/>
                <w:szCs w:val="12"/>
              </w:rPr>
            </w:pPr>
            <w:r>
              <w:rPr>
                <w:sz w:val="12"/>
                <w:szCs w:val="12"/>
                <w:spacing w:val="-1"/>
              </w:rPr>
              <w:t>有机质、杀菌剂</w:t>
            </w:r>
          </w:p>
        </w:tc>
        <w:tc>
          <w:tcPr>
            <w:tcW w:w="1659" w:type="dxa"/>
            <w:vAlign w:val="top"/>
          </w:tcPr>
          <w:p>
            <w:pPr>
              <w:pStyle w:val="TableText"/>
              <w:ind w:left="165"/>
              <w:spacing w:before="183" w:line="219" w:lineRule="auto"/>
              <w:rPr>
                <w:sz w:val="12"/>
                <w:szCs w:val="12"/>
              </w:rPr>
            </w:pPr>
            <w:r>
              <w:rPr>
                <w:sz w:val="12"/>
                <w:szCs w:val="12"/>
                <w:spacing w:val="-1"/>
              </w:rPr>
              <w:t>直接使用，可略加水稀释</w:t>
            </w:r>
          </w:p>
        </w:tc>
        <w:tc>
          <w:tcPr>
            <w:tcW w:w="1039" w:type="dxa"/>
            <w:vAlign w:val="top"/>
            <w:vMerge w:val="continue"/>
            <w:tcBorders>
              <w:top w:val="nil"/>
              <w:bottom w:val="nil"/>
            </w:tcBorders>
          </w:tcPr>
          <w:p>
            <w:pPr>
              <w:rPr>
                <w:rFonts w:ascii="Arial"/>
                <w:sz w:val="21"/>
              </w:rPr>
            </w:pPr>
            <w:r/>
          </w:p>
        </w:tc>
        <w:tc>
          <w:tcPr>
            <w:tcW w:w="899" w:type="dxa"/>
            <w:vAlign w:val="top"/>
          </w:tcPr>
          <w:p>
            <w:pPr>
              <w:pStyle w:val="TableText"/>
              <w:ind w:left="176"/>
              <w:spacing w:before="178" w:line="214" w:lineRule="auto"/>
              <w:rPr>
                <w:sz w:val="12"/>
                <w:szCs w:val="12"/>
              </w:rPr>
            </w:pPr>
            <w:r>
              <w:rPr>
                <w:sz w:val="12"/>
                <w:szCs w:val="12"/>
                <w:spacing w:val="3"/>
              </w:rPr>
              <w:t>(500g/瓶)</w:t>
            </w:r>
          </w:p>
        </w:tc>
        <w:tc>
          <w:tcPr>
            <w:tcW w:w="2623" w:type="dxa"/>
            <w:vAlign w:val="top"/>
          </w:tcPr>
          <w:p>
            <w:pPr>
              <w:pStyle w:val="TableText"/>
              <w:ind w:left="17" w:right="79"/>
              <w:spacing w:before="123" w:line="210" w:lineRule="auto"/>
              <w:rPr>
                <w:sz w:val="12"/>
                <w:szCs w:val="12"/>
              </w:rPr>
            </w:pPr>
            <w:r>
              <w:rPr>
                <w:sz w:val="12"/>
                <w:szCs w:val="12"/>
                <w:spacing w:val="-1"/>
              </w:rPr>
              <w:t>适用树木移栽时切口及根部处理：病害伤口、树</w:t>
            </w:r>
            <w:r>
              <w:rPr>
                <w:sz w:val="12"/>
                <w:szCs w:val="12"/>
                <w:spacing w:val="15"/>
              </w:rPr>
              <w:t xml:space="preserve"> </w:t>
            </w:r>
            <w:r>
              <w:rPr>
                <w:sz w:val="12"/>
                <w:szCs w:val="12"/>
                <w:spacing w:val="-2"/>
              </w:rPr>
              <w:t>皮损失处理</w:t>
            </w:r>
          </w:p>
        </w:tc>
      </w:tr>
      <w:tr>
        <w:trPr>
          <w:trHeight w:val="494" w:hRule="atLeast"/>
        </w:trPr>
        <w:tc>
          <w:tcPr>
            <w:tcW w:w="445" w:type="dxa"/>
            <w:vAlign w:val="top"/>
            <w:vMerge w:val="continue"/>
            <w:tcBorders>
              <w:top w:val="nil"/>
            </w:tcBorders>
          </w:tcPr>
          <w:p>
            <w:pPr>
              <w:rPr>
                <w:rFonts w:ascii="Arial"/>
                <w:sz w:val="21"/>
              </w:rPr>
            </w:pPr>
            <w:r/>
          </w:p>
        </w:tc>
        <w:tc>
          <w:tcPr>
            <w:tcW w:w="57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698" w:type="dxa"/>
            <w:vAlign w:val="top"/>
            <w:vMerge w:val="continue"/>
            <w:tcBorders>
              <w:top w:val="nil"/>
            </w:tcBorders>
          </w:tcPr>
          <w:p>
            <w:pPr>
              <w:rPr>
                <w:rFonts w:ascii="Arial"/>
                <w:sz w:val="21"/>
              </w:rPr>
            </w:pPr>
            <w:r/>
          </w:p>
        </w:tc>
        <w:tc>
          <w:tcPr>
            <w:tcW w:w="1299" w:type="dxa"/>
            <w:vAlign w:val="top"/>
          </w:tcPr>
          <w:p>
            <w:pPr>
              <w:pStyle w:val="TableText"/>
              <w:ind w:left="403"/>
              <w:spacing w:before="194" w:line="219" w:lineRule="auto"/>
              <w:rPr>
                <w:sz w:val="12"/>
                <w:szCs w:val="12"/>
              </w:rPr>
            </w:pPr>
            <w:r>
              <w:rPr>
                <w:sz w:val="12"/>
                <w:szCs w:val="12"/>
                <w:spacing w:val="-2"/>
              </w:rPr>
              <w:t>丙烯颜料</w:t>
            </w:r>
          </w:p>
        </w:tc>
        <w:tc>
          <w:tcPr>
            <w:tcW w:w="1919" w:type="dxa"/>
            <w:vAlign w:val="top"/>
          </w:tcPr>
          <w:p>
            <w:pPr>
              <w:pStyle w:val="TableText"/>
              <w:ind w:left="173"/>
              <w:spacing w:before="193" w:line="219" w:lineRule="auto"/>
              <w:rPr>
                <w:sz w:val="12"/>
                <w:szCs w:val="12"/>
              </w:rPr>
            </w:pPr>
            <w:r>
              <w:rPr>
                <w:sz w:val="12"/>
                <w:szCs w:val="12"/>
                <w:spacing w:val="-1"/>
              </w:rPr>
              <w:t>成膜物质、颜料、济剂、助剂</w:t>
            </w:r>
          </w:p>
        </w:tc>
        <w:tc>
          <w:tcPr>
            <w:tcW w:w="1659" w:type="dxa"/>
            <w:vAlign w:val="top"/>
          </w:tcPr>
          <w:p>
            <w:pPr>
              <w:pStyle w:val="TableText"/>
              <w:ind w:left="584"/>
              <w:spacing w:before="193" w:line="219" w:lineRule="auto"/>
              <w:rPr>
                <w:sz w:val="12"/>
                <w:szCs w:val="12"/>
              </w:rPr>
            </w:pPr>
            <w:r>
              <w:rPr>
                <w:sz w:val="12"/>
                <w:szCs w:val="12"/>
                <w:spacing w:val="-1"/>
              </w:rPr>
              <w:t>加本稀释</w:t>
            </w:r>
          </w:p>
        </w:tc>
        <w:tc>
          <w:tcPr>
            <w:tcW w:w="1039" w:type="dxa"/>
            <w:vAlign w:val="top"/>
            <w:vMerge w:val="continue"/>
            <w:tcBorders>
              <w:top w:val="nil"/>
            </w:tcBorders>
          </w:tcPr>
          <w:p>
            <w:pPr>
              <w:rPr>
                <w:rFonts w:ascii="Arial"/>
                <w:sz w:val="21"/>
              </w:rPr>
            </w:pPr>
            <w:r/>
          </w:p>
        </w:tc>
        <w:tc>
          <w:tcPr>
            <w:tcW w:w="899" w:type="dxa"/>
            <w:vAlign w:val="top"/>
          </w:tcPr>
          <w:p>
            <w:pPr>
              <w:pStyle w:val="TableText"/>
              <w:ind w:left="206"/>
              <w:spacing w:before="194" w:line="221" w:lineRule="auto"/>
              <w:rPr>
                <w:sz w:val="12"/>
                <w:szCs w:val="12"/>
              </w:rPr>
            </w:pPr>
            <w:r>
              <w:rPr>
                <w:sz w:val="12"/>
                <w:szCs w:val="12"/>
                <w:spacing w:val="-1"/>
              </w:rPr>
              <w:t>300ml/瓶</w:t>
            </w:r>
          </w:p>
        </w:tc>
        <w:tc>
          <w:tcPr>
            <w:tcW w:w="2623" w:type="dxa"/>
            <w:vAlign w:val="top"/>
          </w:tcPr>
          <w:p>
            <w:pPr>
              <w:pStyle w:val="TableText"/>
              <w:ind w:left="17"/>
              <w:spacing w:before="194" w:line="219" w:lineRule="auto"/>
              <w:rPr>
                <w:sz w:val="12"/>
                <w:szCs w:val="12"/>
              </w:rPr>
            </w:pPr>
            <w:r>
              <w:rPr>
                <w:sz w:val="12"/>
                <w:szCs w:val="12"/>
                <w:spacing w:val="-1"/>
              </w:rPr>
              <w:t>调色、伤口涂抹</w:t>
            </w:r>
          </w:p>
        </w:tc>
      </w:tr>
    </w:tbl>
    <w:p>
      <w:pPr>
        <w:rPr>
          <w:rFonts w:ascii="Arial"/>
          <w:sz w:val="21"/>
        </w:rPr>
      </w:pPr>
      <w:r/>
    </w:p>
    <w:p>
      <w:pPr>
        <w:sectPr>
          <w:pgSz w:w="14490" w:h="10240"/>
          <w:pgMar w:top="104" w:right="204" w:bottom="400" w:left="164" w:header="0" w:footer="0" w:gutter="0"/>
        </w:sectPr>
        <w:rPr>
          <w:rFonts w:ascii="Arial" w:hAnsi="Arial" w:eastAsia="Arial" w:cs="Arial"/>
          <w:sz w:val="21"/>
          <w:szCs w:val="21"/>
        </w:rPr>
      </w:pPr>
    </w:p>
    <w:tbl>
      <w:tblPr>
        <w:tblStyle w:val="TableNormal"/>
        <w:tblW w:w="140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680"/>
        <w:gridCol w:w="959"/>
        <w:gridCol w:w="2738"/>
        <w:gridCol w:w="1279"/>
        <w:gridCol w:w="1919"/>
        <w:gridCol w:w="1659"/>
        <w:gridCol w:w="1049"/>
        <w:gridCol w:w="719"/>
        <w:gridCol w:w="2623"/>
      </w:tblGrid>
      <w:tr>
        <w:trPr>
          <w:trHeight w:val="634" w:hRule="atLeast"/>
        </w:trPr>
        <w:tc>
          <w:tcPr>
            <w:tcW w:w="14040" w:type="dxa"/>
            <w:vAlign w:val="top"/>
            <w:gridSpan w:val="10"/>
          </w:tcPr>
          <w:p>
            <w:pPr>
              <w:pStyle w:val="TableText"/>
              <w:ind w:left="5737"/>
              <w:spacing w:before="159" w:line="216" w:lineRule="auto"/>
              <w:rPr>
                <w:sz w:val="17"/>
                <w:szCs w:val="17"/>
              </w:rPr>
            </w:pPr>
            <w:r>
              <w:rPr>
                <w:sz w:val="17"/>
                <w:szCs w:val="17"/>
                <w:b/>
                <w:bCs/>
                <w:spacing w:val="-3"/>
              </w:rPr>
              <w:t>甘肃、宁夏地区农药肥料使用指导</w:t>
            </w:r>
          </w:p>
          <w:p>
            <w:pPr>
              <w:pStyle w:val="TableText"/>
              <w:ind w:left="4767"/>
              <w:spacing w:line="217" w:lineRule="auto"/>
              <w:rPr>
                <w:sz w:val="17"/>
                <w:szCs w:val="17"/>
              </w:rPr>
            </w:pPr>
            <w:r>
              <w:rPr>
                <w:sz w:val="17"/>
                <w:szCs w:val="17"/>
                <w:b/>
                <w:bCs/>
                <w:spacing w:val="-1"/>
              </w:rPr>
              <w:t>(本表中药品供参考，如有同类且成分相同</w:t>
            </w:r>
            <w:r>
              <w:rPr>
                <w:sz w:val="17"/>
                <w:szCs w:val="17"/>
                <w:b/>
                <w:bCs/>
                <w:spacing w:val="-2"/>
              </w:rPr>
              <w:t>、价格合理、低毒高效的药品，可选择使用</w:t>
            </w:r>
            <w:r>
              <w:rPr>
                <w:sz w:val="17"/>
                <w:szCs w:val="17"/>
                <w:spacing w:val="-2"/>
              </w:rPr>
              <w:t>)</w:t>
            </w:r>
          </w:p>
        </w:tc>
      </w:tr>
      <w:tr>
        <w:trPr>
          <w:trHeight w:val="519" w:hRule="atLeast"/>
        </w:trPr>
        <w:tc>
          <w:tcPr>
            <w:tcW w:w="415" w:type="dxa"/>
            <w:vAlign w:val="top"/>
          </w:tcPr>
          <w:p>
            <w:pPr>
              <w:pStyle w:val="TableText"/>
              <w:ind w:left="76"/>
              <w:spacing w:before="194" w:line="219" w:lineRule="auto"/>
              <w:rPr>
                <w:sz w:val="12"/>
                <w:szCs w:val="12"/>
              </w:rPr>
            </w:pPr>
            <w:r>
              <w:rPr>
                <w:sz w:val="12"/>
                <w:szCs w:val="12"/>
                <w:b/>
                <w:bCs/>
                <w:spacing w:val="-3"/>
              </w:rPr>
              <w:t>分类</w:t>
            </w:r>
          </w:p>
        </w:tc>
        <w:tc>
          <w:tcPr>
            <w:tcW w:w="680" w:type="dxa"/>
            <w:vAlign w:val="top"/>
          </w:tcPr>
          <w:p>
            <w:pPr>
              <w:pStyle w:val="TableText"/>
              <w:ind w:left="31"/>
              <w:spacing w:before="114" w:line="219" w:lineRule="auto"/>
              <w:rPr>
                <w:sz w:val="12"/>
                <w:szCs w:val="12"/>
              </w:rPr>
            </w:pPr>
            <w:r>
              <w:rPr>
                <w:sz w:val="12"/>
                <w:szCs w:val="12"/>
                <w:b/>
                <w:bCs/>
                <w:spacing w:val="-3"/>
              </w:rPr>
              <w:t>消杀预防及</w:t>
            </w:r>
          </w:p>
          <w:p>
            <w:pPr>
              <w:pStyle w:val="TableText"/>
              <w:ind w:left="31"/>
              <w:spacing w:before="27" w:line="219" w:lineRule="auto"/>
              <w:rPr>
                <w:sz w:val="12"/>
                <w:szCs w:val="12"/>
              </w:rPr>
            </w:pPr>
            <w:r>
              <w:rPr>
                <w:sz w:val="12"/>
                <w:szCs w:val="12"/>
                <w:b/>
                <w:bCs/>
                <w:spacing w:val="-2"/>
              </w:rPr>
              <w:t>病虫害分类</w:t>
            </w:r>
          </w:p>
        </w:tc>
        <w:tc>
          <w:tcPr>
            <w:tcW w:w="959" w:type="dxa"/>
            <w:vAlign w:val="top"/>
          </w:tcPr>
          <w:p>
            <w:pPr>
              <w:pStyle w:val="TableText"/>
              <w:ind w:left="171"/>
              <w:spacing w:before="194" w:line="219" w:lineRule="auto"/>
              <w:rPr>
                <w:sz w:val="12"/>
                <w:szCs w:val="12"/>
              </w:rPr>
            </w:pPr>
            <w:r>
              <w:rPr>
                <w:sz w:val="12"/>
                <w:szCs w:val="12"/>
                <w:b/>
                <w:bCs/>
                <w:spacing w:val="-3"/>
              </w:rPr>
              <w:t>常见病虫害</w:t>
            </w:r>
          </w:p>
        </w:tc>
        <w:tc>
          <w:tcPr>
            <w:tcW w:w="2738" w:type="dxa"/>
            <w:vAlign w:val="top"/>
          </w:tcPr>
          <w:p>
            <w:pPr>
              <w:pStyle w:val="TableText"/>
              <w:ind w:left="1022"/>
              <w:spacing w:before="194" w:line="219" w:lineRule="auto"/>
              <w:rPr>
                <w:sz w:val="12"/>
                <w:szCs w:val="12"/>
              </w:rPr>
            </w:pPr>
            <w:r>
              <w:rPr>
                <w:sz w:val="12"/>
                <w:szCs w:val="12"/>
                <w:b/>
                <w:bCs/>
                <w:spacing w:val="-3"/>
              </w:rPr>
              <w:t>主要发病月份</w:t>
            </w:r>
          </w:p>
        </w:tc>
        <w:tc>
          <w:tcPr>
            <w:tcW w:w="1279" w:type="dxa"/>
            <w:vAlign w:val="top"/>
          </w:tcPr>
          <w:p>
            <w:pPr>
              <w:pStyle w:val="TableText"/>
              <w:ind w:left="394"/>
              <w:spacing w:before="194" w:line="220" w:lineRule="auto"/>
              <w:rPr>
                <w:sz w:val="12"/>
                <w:szCs w:val="12"/>
              </w:rPr>
            </w:pPr>
            <w:r>
              <w:rPr>
                <w:sz w:val="12"/>
                <w:szCs w:val="12"/>
                <w:b/>
                <w:bCs/>
                <w:spacing w:val="-3"/>
              </w:rPr>
              <w:t>药品名称</w:t>
            </w:r>
          </w:p>
        </w:tc>
        <w:tc>
          <w:tcPr>
            <w:tcW w:w="1919" w:type="dxa"/>
            <w:vAlign w:val="top"/>
          </w:tcPr>
          <w:p>
            <w:pPr>
              <w:pStyle w:val="TableText"/>
              <w:ind w:left="715"/>
              <w:spacing w:before="194" w:line="220" w:lineRule="auto"/>
              <w:rPr>
                <w:sz w:val="12"/>
                <w:szCs w:val="12"/>
              </w:rPr>
            </w:pPr>
            <w:r>
              <w:rPr>
                <w:sz w:val="12"/>
                <w:szCs w:val="12"/>
                <w:b/>
                <w:bCs/>
                <w:spacing w:val="-3"/>
              </w:rPr>
              <w:t>主要成分</w:t>
            </w:r>
          </w:p>
        </w:tc>
        <w:tc>
          <w:tcPr>
            <w:tcW w:w="1659" w:type="dxa"/>
            <w:vAlign w:val="top"/>
          </w:tcPr>
          <w:p>
            <w:pPr>
              <w:pStyle w:val="TableText"/>
              <w:ind w:left="586"/>
              <w:spacing w:before="194" w:line="219" w:lineRule="auto"/>
              <w:rPr>
                <w:sz w:val="12"/>
                <w:szCs w:val="12"/>
              </w:rPr>
            </w:pPr>
            <w:r>
              <w:rPr>
                <w:sz w:val="12"/>
                <w:szCs w:val="12"/>
                <w:b/>
                <w:bCs/>
                <w:spacing w:val="-3"/>
              </w:rPr>
              <w:t>使用倍率</w:t>
            </w:r>
          </w:p>
        </w:tc>
        <w:tc>
          <w:tcPr>
            <w:tcW w:w="1049" w:type="dxa"/>
            <w:vAlign w:val="top"/>
          </w:tcPr>
          <w:p>
            <w:pPr>
              <w:pStyle w:val="TableText"/>
              <w:ind w:left="277"/>
              <w:spacing w:before="194" w:line="219" w:lineRule="auto"/>
              <w:rPr>
                <w:sz w:val="12"/>
                <w:szCs w:val="12"/>
              </w:rPr>
            </w:pPr>
            <w:r>
              <w:rPr>
                <w:sz w:val="12"/>
                <w:szCs w:val="12"/>
                <w:b/>
                <w:bCs/>
                <w:spacing w:val="-3"/>
              </w:rPr>
              <w:t>施用次数</w:t>
            </w:r>
          </w:p>
        </w:tc>
        <w:tc>
          <w:tcPr>
            <w:tcW w:w="719" w:type="dxa"/>
            <w:vAlign w:val="top"/>
          </w:tcPr>
          <w:p>
            <w:pPr>
              <w:pStyle w:val="TableText"/>
              <w:ind w:left="238"/>
              <w:spacing w:before="194" w:line="219" w:lineRule="auto"/>
              <w:rPr>
                <w:sz w:val="12"/>
                <w:szCs w:val="12"/>
              </w:rPr>
            </w:pPr>
            <w:r>
              <w:rPr>
                <w:sz w:val="12"/>
                <w:szCs w:val="12"/>
                <w:b/>
                <w:bCs/>
                <w:spacing w:val="-3"/>
              </w:rPr>
              <w:t>规格</w:t>
            </w:r>
          </w:p>
        </w:tc>
        <w:tc>
          <w:tcPr>
            <w:tcW w:w="2623" w:type="dxa"/>
            <w:vAlign w:val="top"/>
          </w:tcPr>
          <w:p>
            <w:pPr>
              <w:pStyle w:val="TableText"/>
              <w:ind w:left="1199"/>
              <w:spacing w:before="194" w:line="221" w:lineRule="auto"/>
              <w:rPr>
                <w:sz w:val="12"/>
                <w:szCs w:val="12"/>
              </w:rPr>
            </w:pPr>
            <w:r>
              <w:rPr>
                <w:sz w:val="12"/>
                <w:szCs w:val="12"/>
                <w:b/>
                <w:bCs/>
                <w:spacing w:val="-3"/>
              </w:rPr>
              <w:t>备注</w:t>
            </w:r>
          </w:p>
        </w:tc>
      </w:tr>
      <w:tr>
        <w:trPr>
          <w:trHeight w:val="420" w:hRule="atLeast"/>
        </w:trPr>
        <w:tc>
          <w:tcPr>
            <w:tcW w:w="415"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4"/>
              <w:spacing w:before="39" w:line="219" w:lineRule="auto"/>
              <w:rPr>
                <w:sz w:val="12"/>
                <w:szCs w:val="12"/>
              </w:rPr>
            </w:pPr>
            <w:r>
              <w:rPr>
                <w:sz w:val="12"/>
                <w:szCs w:val="12"/>
                <w:spacing w:val="-2"/>
              </w:rPr>
              <w:t>杀菌剂</w:t>
            </w:r>
          </w:p>
        </w:tc>
        <w:tc>
          <w:tcPr>
            <w:tcW w:w="680" w:type="dxa"/>
            <w:vAlign w:val="top"/>
            <w:vMerge w:val="restart"/>
            <w:tcBorders>
              <w:bottom w:val="nil"/>
            </w:tcBorders>
          </w:tcPr>
          <w:p>
            <w:pPr>
              <w:spacing w:line="267" w:lineRule="auto"/>
              <w:rPr>
                <w:rFonts w:ascii="Arial"/>
                <w:sz w:val="21"/>
              </w:rPr>
            </w:pPr>
            <w:r/>
          </w:p>
          <w:p>
            <w:pPr>
              <w:spacing w:line="267" w:lineRule="auto"/>
              <w:rPr>
                <w:rFonts w:ascii="Arial"/>
                <w:sz w:val="21"/>
              </w:rPr>
            </w:pPr>
            <w:r/>
          </w:p>
          <w:p>
            <w:pPr>
              <w:pStyle w:val="TableText"/>
              <w:ind w:left="90"/>
              <w:spacing w:before="39" w:line="219" w:lineRule="auto"/>
              <w:rPr>
                <w:sz w:val="12"/>
                <w:szCs w:val="12"/>
              </w:rPr>
            </w:pPr>
            <w:r>
              <w:rPr>
                <w:sz w:val="12"/>
                <w:szCs w:val="12"/>
                <w:spacing w:val="-2"/>
              </w:rPr>
              <w:t>消杀预防</w:t>
            </w:r>
          </w:p>
        </w:tc>
        <w:tc>
          <w:tcPr>
            <w:tcW w:w="959" w:type="dxa"/>
            <w:vAlign w:val="top"/>
            <w:vMerge w:val="restart"/>
            <w:tcBorders>
              <w:bottom w:val="nil"/>
            </w:tcBorders>
          </w:tcPr>
          <w:p>
            <w:pPr>
              <w:spacing w:line="465" w:lineRule="auto"/>
              <w:rPr>
                <w:rFonts w:ascii="Arial"/>
                <w:sz w:val="21"/>
              </w:rPr>
            </w:pPr>
            <w:r/>
          </w:p>
          <w:p>
            <w:pPr>
              <w:pStyle w:val="TableText"/>
              <w:ind w:left="50"/>
              <w:spacing w:before="39" w:line="219" w:lineRule="auto"/>
              <w:rPr>
                <w:sz w:val="12"/>
                <w:szCs w:val="12"/>
              </w:rPr>
            </w:pPr>
            <w:r>
              <w:rPr>
                <w:sz w:val="12"/>
                <w:szCs w:val="12"/>
                <w:spacing w:val="-1"/>
              </w:rPr>
              <w:t>全园区的菌类病</w:t>
            </w:r>
          </w:p>
          <w:p>
            <w:pPr>
              <w:pStyle w:val="TableText"/>
              <w:ind w:left="230"/>
              <w:spacing w:before="27" w:line="219" w:lineRule="auto"/>
              <w:rPr>
                <w:sz w:val="12"/>
                <w:szCs w:val="12"/>
              </w:rPr>
            </w:pPr>
            <w:r>
              <w:rPr>
                <w:sz w:val="12"/>
                <w:szCs w:val="12"/>
                <w:spacing w:val="-2"/>
              </w:rPr>
              <w:t>菌、虫卵</w:t>
            </w:r>
          </w:p>
        </w:tc>
        <w:tc>
          <w:tcPr>
            <w:tcW w:w="2738" w:type="dxa"/>
            <w:vAlign w:val="top"/>
            <w:vMerge w:val="restart"/>
            <w:tcBorders>
              <w:bottom w:val="nil"/>
            </w:tcBorders>
          </w:tcPr>
          <w:p>
            <w:pPr>
              <w:spacing w:line="464" w:lineRule="auto"/>
              <w:rPr>
                <w:rFonts w:ascii="Arial"/>
                <w:sz w:val="21"/>
              </w:rPr>
            </w:pPr>
            <w:r/>
          </w:p>
          <w:p>
            <w:pPr>
              <w:pStyle w:val="TableText"/>
              <w:ind w:left="11" w:right="21"/>
              <w:spacing w:before="39" w:line="264" w:lineRule="auto"/>
              <w:rPr>
                <w:sz w:val="12"/>
                <w:szCs w:val="12"/>
              </w:rPr>
            </w:pPr>
            <w:r>
              <w:rPr>
                <w:sz w:val="12"/>
                <w:szCs w:val="12"/>
                <w:spacing w:val="-1"/>
              </w:rPr>
              <w:t>4月下旬苗木返青前对全园区的病菌、虫卵，消杀1-</w:t>
            </w:r>
            <w:r>
              <w:rPr>
                <w:sz w:val="12"/>
                <w:szCs w:val="12"/>
                <w:spacing w:val="18"/>
                <w:w w:val="101"/>
              </w:rPr>
              <w:t xml:space="preserve"> </w:t>
            </w:r>
            <w:r>
              <w:rPr>
                <w:sz w:val="12"/>
                <w:szCs w:val="12"/>
                <w:spacing w:val="-1"/>
              </w:rPr>
              <w:t>2次。</w:t>
            </w:r>
          </w:p>
        </w:tc>
        <w:tc>
          <w:tcPr>
            <w:tcW w:w="1279" w:type="dxa"/>
            <w:vAlign w:val="top"/>
          </w:tcPr>
          <w:p>
            <w:pPr>
              <w:pStyle w:val="TableText"/>
              <w:ind w:left="393"/>
              <w:spacing w:before="147" w:line="220" w:lineRule="auto"/>
              <w:rPr>
                <w:sz w:val="12"/>
                <w:szCs w:val="12"/>
              </w:rPr>
            </w:pPr>
            <w:r>
              <w:rPr>
                <w:sz w:val="12"/>
                <w:szCs w:val="12"/>
                <w:spacing w:val="-1"/>
              </w:rPr>
              <w:t>波尔多液</w:t>
            </w:r>
          </w:p>
        </w:tc>
        <w:tc>
          <w:tcPr>
            <w:tcW w:w="1919" w:type="dxa"/>
            <w:vAlign w:val="top"/>
          </w:tcPr>
          <w:p>
            <w:pPr>
              <w:pStyle w:val="TableText"/>
              <w:ind w:left="654"/>
              <w:spacing w:before="147" w:line="221" w:lineRule="auto"/>
              <w:rPr>
                <w:sz w:val="12"/>
                <w:szCs w:val="12"/>
              </w:rPr>
            </w:pPr>
            <w:r>
              <w:rPr>
                <w:sz w:val="12"/>
                <w:szCs w:val="12"/>
                <w:spacing w:val="-1"/>
              </w:rPr>
              <w:t>碱式硫酸铜</w:t>
            </w:r>
          </w:p>
        </w:tc>
        <w:tc>
          <w:tcPr>
            <w:tcW w:w="1659" w:type="dxa"/>
            <w:vAlign w:val="top"/>
          </w:tcPr>
          <w:p>
            <w:pPr>
              <w:pStyle w:val="TableText"/>
              <w:ind w:left="554"/>
              <w:spacing w:before="147" w:line="220" w:lineRule="auto"/>
              <w:rPr>
                <w:sz w:val="12"/>
                <w:szCs w:val="12"/>
              </w:rPr>
            </w:pPr>
            <w:r>
              <w:rPr>
                <w:sz w:val="12"/>
                <w:szCs w:val="12"/>
                <w:spacing w:val="-6"/>
              </w:rPr>
              <w:t>160—240倍</w:t>
            </w:r>
          </w:p>
        </w:tc>
        <w:tc>
          <w:tcPr>
            <w:tcW w:w="1049"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pStyle w:val="TableText"/>
              <w:ind w:left="486"/>
              <w:spacing w:before="39" w:line="224" w:lineRule="auto"/>
              <w:rPr>
                <w:sz w:val="12"/>
                <w:szCs w:val="12"/>
              </w:rPr>
            </w:pPr>
            <w:r>
              <w:rPr>
                <w:sz w:val="12"/>
                <w:szCs w:val="12"/>
                <w:color w:val="304040"/>
              </w:rPr>
              <w:t>/</w:t>
            </w:r>
          </w:p>
        </w:tc>
        <w:tc>
          <w:tcPr>
            <w:tcW w:w="719" w:type="dxa"/>
            <w:vAlign w:val="top"/>
          </w:tcPr>
          <w:p>
            <w:pPr>
              <w:pStyle w:val="TableText"/>
              <w:ind w:left="146"/>
              <w:spacing w:before="142" w:line="214" w:lineRule="auto"/>
              <w:rPr>
                <w:sz w:val="12"/>
                <w:szCs w:val="12"/>
              </w:rPr>
            </w:pPr>
            <w:r>
              <w:rPr>
                <w:sz w:val="12"/>
                <w:szCs w:val="12"/>
                <w:spacing w:val="-1"/>
              </w:rPr>
              <w:t>200g/袋</w:t>
            </w:r>
          </w:p>
        </w:tc>
        <w:tc>
          <w:tcPr>
            <w:tcW w:w="2623" w:type="dxa"/>
            <w:vAlign w:val="top"/>
          </w:tcPr>
          <w:p>
            <w:pPr>
              <w:pStyle w:val="TableText"/>
              <w:ind w:left="17" w:right="65"/>
              <w:spacing w:before="77" w:line="247" w:lineRule="auto"/>
              <w:rPr>
                <w:sz w:val="12"/>
                <w:szCs w:val="12"/>
              </w:rPr>
            </w:pPr>
            <w:r>
              <w:rPr>
                <w:sz w:val="12"/>
                <w:szCs w:val="12"/>
              </w:rPr>
              <w:t>防治落叶病、炭痘病，炭疽病、霜霉病。不能与</w:t>
            </w:r>
            <w:r>
              <w:rPr>
                <w:sz w:val="12"/>
                <w:szCs w:val="12"/>
                <w:spacing w:val="8"/>
              </w:rPr>
              <w:t xml:space="preserve"> </w:t>
            </w:r>
            <w:r>
              <w:rPr>
                <w:sz w:val="12"/>
                <w:szCs w:val="12"/>
                <w:spacing w:val="-1"/>
              </w:rPr>
              <w:t>石硫合剂等碱性农药混用</w:t>
            </w:r>
          </w:p>
        </w:tc>
      </w:tr>
      <w:tr>
        <w:trPr>
          <w:trHeight w:val="41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273"/>
              <w:spacing w:before="146" w:line="219" w:lineRule="auto"/>
              <w:rPr>
                <w:sz w:val="12"/>
                <w:szCs w:val="12"/>
              </w:rPr>
            </w:pPr>
            <w:r>
              <w:rPr>
                <w:sz w:val="12"/>
                <w:szCs w:val="12"/>
                <w:spacing w:val="1"/>
              </w:rPr>
              <w:t>晶体石硫合剂</w:t>
            </w:r>
          </w:p>
        </w:tc>
        <w:tc>
          <w:tcPr>
            <w:tcW w:w="1919" w:type="dxa"/>
            <w:vAlign w:val="top"/>
          </w:tcPr>
          <w:p>
            <w:pPr>
              <w:pStyle w:val="TableText"/>
              <w:ind w:left="714"/>
              <w:spacing w:before="147" w:line="221" w:lineRule="auto"/>
              <w:rPr>
                <w:sz w:val="12"/>
                <w:szCs w:val="12"/>
              </w:rPr>
            </w:pPr>
            <w:r>
              <w:rPr>
                <w:sz w:val="12"/>
                <w:szCs w:val="12"/>
                <w:spacing w:val="-2"/>
              </w:rPr>
              <w:t>多疏化钙</w:t>
            </w:r>
          </w:p>
        </w:tc>
        <w:tc>
          <w:tcPr>
            <w:tcW w:w="1659" w:type="dxa"/>
            <w:vAlign w:val="top"/>
          </w:tcPr>
          <w:p>
            <w:pPr>
              <w:pStyle w:val="TableText"/>
              <w:ind w:left="524"/>
              <w:spacing w:before="147" w:line="220" w:lineRule="auto"/>
              <w:rPr>
                <w:sz w:val="12"/>
                <w:szCs w:val="12"/>
              </w:rPr>
            </w:pPr>
            <w:r>
              <w:rPr>
                <w:sz w:val="12"/>
                <w:szCs w:val="12"/>
                <w:spacing w:val="-6"/>
              </w:rPr>
              <w:t>800—1000倍</w:t>
            </w:r>
          </w:p>
        </w:tc>
        <w:tc>
          <w:tcPr>
            <w:tcW w:w="1049" w:type="dxa"/>
            <w:vAlign w:val="top"/>
            <w:vMerge w:val="continue"/>
            <w:tcBorders>
              <w:top w:val="nil"/>
              <w:bottom w:val="nil"/>
            </w:tcBorders>
          </w:tcPr>
          <w:p>
            <w:pPr>
              <w:rPr>
                <w:rFonts w:ascii="Arial"/>
                <w:sz w:val="21"/>
              </w:rPr>
            </w:pPr>
            <w:r/>
          </w:p>
        </w:tc>
        <w:tc>
          <w:tcPr>
            <w:tcW w:w="719" w:type="dxa"/>
            <w:vAlign w:val="top"/>
          </w:tcPr>
          <w:p>
            <w:pPr>
              <w:pStyle w:val="TableText"/>
              <w:ind w:left="86"/>
              <w:spacing w:before="142" w:line="214" w:lineRule="auto"/>
              <w:rPr>
                <w:sz w:val="12"/>
                <w:szCs w:val="12"/>
              </w:rPr>
            </w:pPr>
            <w:r>
              <w:rPr>
                <w:sz w:val="12"/>
                <w:szCs w:val="12"/>
                <w:spacing w:val="3"/>
              </w:rPr>
              <w:t>(400g/袋)</w:t>
            </w:r>
          </w:p>
        </w:tc>
        <w:tc>
          <w:tcPr>
            <w:tcW w:w="2623" w:type="dxa"/>
            <w:vAlign w:val="top"/>
          </w:tcPr>
          <w:p>
            <w:pPr>
              <w:pStyle w:val="TableText"/>
              <w:ind w:left="17" w:right="74"/>
              <w:spacing w:before="76" w:line="249" w:lineRule="auto"/>
              <w:rPr>
                <w:sz w:val="12"/>
                <w:szCs w:val="12"/>
              </w:rPr>
            </w:pPr>
            <w:r>
              <w:rPr>
                <w:sz w:val="12"/>
                <w:szCs w:val="12"/>
              </w:rPr>
              <w:t>价格低廉、效果好、对多种病菌具有抑杀作用， </w:t>
            </w:r>
            <w:r>
              <w:rPr>
                <w:sz w:val="12"/>
                <w:szCs w:val="12"/>
                <w:spacing w:val="2"/>
              </w:rPr>
              <w:t>国区消杀使用</w:t>
            </w:r>
          </w:p>
        </w:tc>
      </w:tr>
      <w:tr>
        <w:trPr>
          <w:trHeight w:val="419"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79" w:type="dxa"/>
            <w:vAlign w:val="top"/>
          </w:tcPr>
          <w:p>
            <w:pPr>
              <w:pStyle w:val="TableText"/>
              <w:ind w:left="393"/>
              <w:spacing w:before="147" w:line="219" w:lineRule="auto"/>
              <w:rPr>
                <w:sz w:val="12"/>
                <w:szCs w:val="12"/>
              </w:rPr>
            </w:pPr>
            <w:r>
              <w:rPr>
                <w:sz w:val="12"/>
                <w:szCs w:val="12"/>
                <w:spacing w:val="1"/>
              </w:rPr>
              <w:t>国光红杀</w:t>
            </w:r>
          </w:p>
        </w:tc>
        <w:tc>
          <w:tcPr>
            <w:tcW w:w="1919" w:type="dxa"/>
            <w:vAlign w:val="top"/>
          </w:tcPr>
          <w:p>
            <w:pPr>
              <w:pStyle w:val="TableText"/>
              <w:ind w:left="504"/>
              <w:spacing w:before="146" w:line="219" w:lineRule="auto"/>
              <w:rPr>
                <w:sz w:val="12"/>
                <w:szCs w:val="12"/>
              </w:rPr>
            </w:pPr>
            <w:r>
              <w:rPr>
                <w:sz w:val="12"/>
                <w:szCs w:val="12"/>
                <w:spacing w:val="-6"/>
              </w:rPr>
              <w:t>苯丁</w:t>
            </w:r>
            <w:r>
              <w:rPr>
                <w:sz w:val="12"/>
                <w:szCs w:val="12"/>
                <w:spacing w:val="-14"/>
              </w:rPr>
              <w:t xml:space="preserve"> </w:t>
            </w:r>
            <w:r>
              <w:rPr>
                <w:sz w:val="12"/>
                <w:szCs w:val="12"/>
                <w:spacing w:val="-6"/>
              </w:rPr>
              <w:t>·贴端灵10%</w:t>
            </w:r>
          </w:p>
        </w:tc>
        <w:tc>
          <w:tcPr>
            <w:tcW w:w="1659" w:type="dxa"/>
            <w:vAlign w:val="top"/>
          </w:tcPr>
          <w:p>
            <w:pPr>
              <w:pStyle w:val="TableText"/>
              <w:ind w:left="524"/>
              <w:spacing w:before="147" w:line="220" w:lineRule="auto"/>
              <w:rPr>
                <w:sz w:val="12"/>
                <w:szCs w:val="12"/>
              </w:rPr>
            </w:pPr>
            <w:r>
              <w:rPr>
                <w:sz w:val="12"/>
                <w:szCs w:val="12"/>
                <w:spacing w:val="-6"/>
              </w:rPr>
              <w:t>800—1000倍</w:t>
            </w:r>
          </w:p>
        </w:tc>
        <w:tc>
          <w:tcPr>
            <w:tcW w:w="1049" w:type="dxa"/>
            <w:vAlign w:val="top"/>
            <w:vMerge w:val="continue"/>
            <w:tcBorders>
              <w:top w:val="nil"/>
            </w:tcBorders>
          </w:tcPr>
          <w:p>
            <w:pPr>
              <w:rPr>
                <w:rFonts w:ascii="Arial"/>
                <w:sz w:val="21"/>
              </w:rPr>
            </w:pPr>
            <w:r/>
          </w:p>
        </w:tc>
        <w:tc>
          <w:tcPr>
            <w:tcW w:w="719" w:type="dxa"/>
            <w:vAlign w:val="top"/>
          </w:tcPr>
          <w:p>
            <w:pPr>
              <w:pStyle w:val="TableText"/>
              <w:ind w:left="116"/>
              <w:spacing w:before="147" w:line="221" w:lineRule="auto"/>
              <w:rPr>
                <w:sz w:val="12"/>
                <w:szCs w:val="12"/>
              </w:rPr>
            </w:pPr>
            <w:r>
              <w:rPr>
                <w:sz w:val="12"/>
                <w:szCs w:val="12"/>
                <w:spacing w:val="-1"/>
              </w:rPr>
              <w:t>200ml/瓶</w:t>
            </w:r>
          </w:p>
        </w:tc>
        <w:tc>
          <w:tcPr>
            <w:tcW w:w="2623" w:type="dxa"/>
            <w:vAlign w:val="top"/>
          </w:tcPr>
          <w:p>
            <w:pPr>
              <w:pStyle w:val="TableText"/>
              <w:ind w:left="17"/>
              <w:spacing w:before="146" w:line="219" w:lineRule="auto"/>
              <w:rPr>
                <w:sz w:val="12"/>
                <w:szCs w:val="12"/>
              </w:rPr>
            </w:pPr>
            <w:r>
              <w:rPr>
                <w:sz w:val="12"/>
                <w:szCs w:val="12"/>
                <w:spacing w:val="-1"/>
              </w:rPr>
              <w:t>高效，广谱杀蜻剂、防效高、虫卵兼杀</w:t>
            </w:r>
          </w:p>
        </w:tc>
      </w:tr>
      <w:tr>
        <w:trPr>
          <w:trHeight w:val="420" w:hRule="atLeast"/>
        </w:trPr>
        <w:tc>
          <w:tcPr>
            <w:tcW w:w="415" w:type="dxa"/>
            <w:vAlign w:val="top"/>
            <w:vMerge w:val="continue"/>
            <w:tcBorders>
              <w:top w:val="nil"/>
              <w:bottom w:val="nil"/>
            </w:tcBorders>
          </w:tcPr>
          <w:p>
            <w:pPr>
              <w:rPr>
                <w:rFonts w:ascii="Arial"/>
                <w:sz w:val="21"/>
              </w:rPr>
            </w:pPr>
            <w:r/>
          </w:p>
        </w:tc>
        <w:tc>
          <w:tcPr>
            <w:tcW w:w="680"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50"/>
              <w:spacing w:before="39" w:line="219" w:lineRule="auto"/>
              <w:rPr>
                <w:sz w:val="12"/>
                <w:szCs w:val="12"/>
              </w:rPr>
            </w:pPr>
            <w:r>
              <w:rPr>
                <w:sz w:val="12"/>
                <w:szCs w:val="12"/>
                <w:spacing w:val="-1"/>
              </w:rPr>
              <w:t>病菌类</w:t>
            </w:r>
          </w:p>
        </w:tc>
        <w:tc>
          <w:tcPr>
            <w:tcW w:w="959"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60" w:right="53" w:firstLine="49"/>
              <w:spacing w:before="39" w:line="224" w:lineRule="auto"/>
              <w:rPr>
                <w:sz w:val="12"/>
                <w:szCs w:val="12"/>
              </w:rPr>
            </w:pPr>
            <w:r>
              <w:rPr>
                <w:sz w:val="12"/>
                <w:szCs w:val="12"/>
                <w:spacing w:val="-2"/>
              </w:rPr>
              <w:t>炭疽病，白粉</w:t>
            </w:r>
            <w:r>
              <w:rPr>
                <w:sz w:val="12"/>
                <w:szCs w:val="12"/>
                <w:spacing w:val="2"/>
              </w:rPr>
              <w:t xml:space="preserve">  </w:t>
            </w:r>
            <w:r>
              <w:rPr>
                <w:sz w:val="12"/>
                <w:szCs w:val="12"/>
                <w:spacing w:val="-1"/>
              </w:rPr>
              <w:t>病，锈病、叶枯</w:t>
            </w:r>
            <w:r>
              <w:rPr>
                <w:sz w:val="12"/>
                <w:szCs w:val="12"/>
                <w:spacing w:val="1"/>
              </w:rPr>
              <w:t xml:space="preserve"> </w:t>
            </w:r>
            <w:r>
              <w:rPr>
                <w:sz w:val="12"/>
                <w:szCs w:val="12"/>
                <w:spacing w:val="7"/>
              </w:rPr>
              <w:t>病，叶斑病等</w:t>
            </w:r>
          </w:p>
        </w:tc>
        <w:tc>
          <w:tcPr>
            <w:tcW w:w="2738"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11"/>
              <w:spacing w:before="39" w:line="200" w:lineRule="auto"/>
              <w:rPr>
                <w:sz w:val="12"/>
                <w:szCs w:val="12"/>
              </w:rPr>
            </w:pPr>
            <w:r>
              <w:rPr>
                <w:sz w:val="12"/>
                <w:szCs w:val="12"/>
              </w:rPr>
              <w:t>一、5月全园区预防消杀为主：</w:t>
            </w:r>
          </w:p>
          <w:p>
            <w:pPr>
              <w:pStyle w:val="TableText"/>
              <w:ind w:left="11" w:right="23"/>
              <w:spacing w:line="229" w:lineRule="auto"/>
              <w:rPr>
                <w:sz w:val="12"/>
                <w:szCs w:val="12"/>
              </w:rPr>
            </w:pPr>
            <w:r>
              <w:rPr>
                <w:sz w:val="12"/>
                <w:szCs w:val="12"/>
                <w:spacing w:val="-1"/>
              </w:rPr>
              <w:t>二，7-9三个月为高发期。有发现病情，需及时喷药</w:t>
            </w:r>
            <w:r>
              <w:rPr>
                <w:sz w:val="12"/>
                <w:szCs w:val="12"/>
                <w:spacing w:val="16"/>
              </w:rPr>
              <w:t xml:space="preserve"> </w:t>
            </w:r>
            <w:r>
              <w:rPr>
                <w:sz w:val="12"/>
                <w:szCs w:val="12"/>
                <w:spacing w:val="-1"/>
              </w:rPr>
              <w:t>处理。</w:t>
            </w:r>
          </w:p>
        </w:tc>
        <w:tc>
          <w:tcPr>
            <w:tcW w:w="1279" w:type="dxa"/>
            <w:vAlign w:val="top"/>
          </w:tcPr>
          <w:p>
            <w:pPr>
              <w:pStyle w:val="TableText"/>
              <w:ind w:left="333"/>
              <w:spacing w:before="178" w:line="219" w:lineRule="auto"/>
              <w:rPr>
                <w:sz w:val="12"/>
                <w:szCs w:val="12"/>
              </w:rPr>
            </w:pPr>
            <w:r>
              <w:rPr>
                <w:sz w:val="12"/>
                <w:szCs w:val="12"/>
                <w:spacing w:val="1"/>
              </w:rPr>
              <w:t>国光三唑碉</w:t>
            </w:r>
          </w:p>
        </w:tc>
        <w:tc>
          <w:tcPr>
            <w:tcW w:w="1919" w:type="dxa"/>
            <w:vAlign w:val="top"/>
          </w:tcPr>
          <w:p>
            <w:pPr>
              <w:pStyle w:val="TableText"/>
              <w:ind w:left="684"/>
              <w:spacing w:before="148" w:line="221" w:lineRule="auto"/>
              <w:rPr>
                <w:sz w:val="12"/>
                <w:szCs w:val="12"/>
              </w:rPr>
            </w:pPr>
            <w:r>
              <w:rPr>
                <w:sz w:val="12"/>
                <w:szCs w:val="12"/>
                <w:spacing w:val="-1"/>
              </w:rPr>
              <w:t>20%三唑酮</w:t>
            </w:r>
          </w:p>
        </w:tc>
        <w:tc>
          <w:tcPr>
            <w:tcW w:w="1659" w:type="dxa"/>
            <w:vAlign w:val="top"/>
          </w:tcPr>
          <w:p>
            <w:pPr>
              <w:pStyle w:val="TableText"/>
              <w:ind w:left="375"/>
              <w:spacing w:before="168" w:line="219" w:lineRule="auto"/>
              <w:rPr>
                <w:sz w:val="12"/>
                <w:szCs w:val="12"/>
              </w:rPr>
            </w:pPr>
            <w:r>
              <w:rPr>
                <w:sz w:val="12"/>
                <w:szCs w:val="12"/>
                <w:spacing w:val="-1"/>
              </w:rPr>
              <w:t>稀释1500-2000倍</w:t>
            </w:r>
          </w:p>
        </w:tc>
        <w:tc>
          <w:tcPr>
            <w:tcW w:w="1049" w:type="dxa"/>
            <w:vAlign w:val="top"/>
            <w:vMerge w:val="restart"/>
            <w:tcBorders>
              <w:bottom w:val="nil"/>
            </w:tcBorders>
          </w:tcPr>
          <w:p>
            <w:pPr>
              <w:spacing w:line="247" w:lineRule="auto"/>
              <w:rPr>
                <w:rFonts w:ascii="Arial"/>
                <w:sz w:val="21"/>
              </w:rPr>
            </w:pPr>
            <w:r/>
          </w:p>
          <w:p>
            <w:pPr>
              <w:spacing w:line="248" w:lineRule="auto"/>
              <w:rPr>
                <w:rFonts w:ascii="Arial"/>
                <w:sz w:val="21"/>
              </w:rPr>
            </w:pPr>
            <w:r/>
          </w:p>
          <w:p>
            <w:pPr>
              <w:pStyle w:val="TableText"/>
              <w:ind w:left="6"/>
              <w:spacing w:before="39" w:line="216" w:lineRule="auto"/>
              <w:rPr>
                <w:sz w:val="12"/>
                <w:szCs w:val="12"/>
              </w:rPr>
            </w:pPr>
            <w:r>
              <w:rPr>
                <w:sz w:val="12"/>
                <w:szCs w:val="12"/>
                <w:spacing w:val="-1"/>
              </w:rPr>
              <w:t>一般用2次，时间间</w:t>
            </w:r>
          </w:p>
          <w:p>
            <w:pPr>
              <w:pStyle w:val="TableText"/>
              <w:ind w:left="246"/>
              <w:spacing w:line="220" w:lineRule="auto"/>
              <w:rPr>
                <w:sz w:val="12"/>
                <w:szCs w:val="12"/>
              </w:rPr>
            </w:pPr>
            <w:r>
              <w:rPr>
                <w:sz w:val="12"/>
                <w:szCs w:val="12"/>
                <w:spacing w:val="-2"/>
              </w:rPr>
              <w:t>隔7到10天</w:t>
            </w:r>
          </w:p>
        </w:tc>
        <w:tc>
          <w:tcPr>
            <w:tcW w:w="719" w:type="dxa"/>
            <w:vAlign w:val="top"/>
          </w:tcPr>
          <w:p>
            <w:pPr>
              <w:pStyle w:val="TableText"/>
              <w:ind w:left="116"/>
              <w:spacing w:before="168" w:line="221" w:lineRule="auto"/>
              <w:rPr>
                <w:sz w:val="12"/>
                <w:szCs w:val="12"/>
              </w:rPr>
            </w:pPr>
            <w:r>
              <w:rPr>
                <w:sz w:val="12"/>
                <w:szCs w:val="12"/>
                <w:spacing w:val="-1"/>
              </w:rPr>
              <w:t>200ml/瓶</w:t>
            </w:r>
          </w:p>
        </w:tc>
        <w:tc>
          <w:tcPr>
            <w:tcW w:w="2623" w:type="dxa"/>
            <w:vAlign w:val="top"/>
          </w:tcPr>
          <w:p>
            <w:pPr>
              <w:pStyle w:val="TableText"/>
              <w:ind w:left="17"/>
              <w:spacing w:before="148" w:line="219" w:lineRule="auto"/>
              <w:rPr>
                <w:sz w:val="12"/>
                <w:szCs w:val="12"/>
              </w:rPr>
            </w:pPr>
            <w:r>
              <w:rPr>
                <w:sz w:val="12"/>
                <w:szCs w:val="12"/>
                <w:spacing w:val="1"/>
              </w:rPr>
              <w:t>防治白粉病、锈病等(每年只能使用2-3次)</w:t>
            </w:r>
          </w:p>
        </w:tc>
      </w:tr>
      <w:tr>
        <w:trPr>
          <w:trHeight w:val="43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333"/>
              <w:spacing w:before="158" w:line="219" w:lineRule="auto"/>
              <w:rPr>
                <w:sz w:val="12"/>
                <w:szCs w:val="12"/>
              </w:rPr>
            </w:pPr>
            <w:r>
              <w:rPr>
                <w:sz w:val="12"/>
                <w:szCs w:val="12"/>
                <w:spacing w:val="-1"/>
              </w:rPr>
              <w:t>诺普信双通</w:t>
            </w:r>
          </w:p>
        </w:tc>
        <w:tc>
          <w:tcPr>
            <w:tcW w:w="1919" w:type="dxa"/>
            <w:vAlign w:val="top"/>
          </w:tcPr>
          <w:p>
            <w:pPr>
              <w:pStyle w:val="TableText"/>
              <w:ind w:left="504"/>
              <w:spacing w:before="158" w:line="220" w:lineRule="auto"/>
              <w:rPr>
                <w:sz w:val="12"/>
                <w:szCs w:val="12"/>
              </w:rPr>
            </w:pPr>
            <w:r>
              <w:rPr>
                <w:sz w:val="12"/>
                <w:szCs w:val="12"/>
                <w:spacing w:val="-6"/>
              </w:rPr>
              <w:t>硫磺</w:t>
            </w:r>
            <w:r>
              <w:rPr>
                <w:sz w:val="12"/>
                <w:szCs w:val="12"/>
                <w:spacing w:val="-12"/>
              </w:rPr>
              <w:t xml:space="preserve"> </w:t>
            </w:r>
            <w:r>
              <w:rPr>
                <w:sz w:val="12"/>
                <w:szCs w:val="12"/>
                <w:spacing w:val="-6"/>
              </w:rPr>
              <w:t>·三吐解15%</w:t>
            </w:r>
          </w:p>
        </w:tc>
        <w:tc>
          <w:tcPr>
            <w:tcW w:w="1659" w:type="dxa"/>
            <w:vAlign w:val="top"/>
          </w:tcPr>
          <w:p>
            <w:pPr>
              <w:pStyle w:val="TableText"/>
              <w:ind w:left="524"/>
              <w:spacing w:before="158" w:line="220" w:lineRule="auto"/>
              <w:rPr>
                <w:sz w:val="12"/>
                <w:szCs w:val="12"/>
              </w:rPr>
            </w:pPr>
            <w:r>
              <w:rPr>
                <w:sz w:val="12"/>
                <w:szCs w:val="12"/>
                <w:spacing w:val="-6"/>
              </w:rPr>
              <w:t>800—1000倍</w:t>
            </w:r>
          </w:p>
        </w:tc>
        <w:tc>
          <w:tcPr>
            <w:tcW w:w="1049" w:type="dxa"/>
            <w:vAlign w:val="top"/>
            <w:vMerge w:val="continue"/>
            <w:tcBorders>
              <w:top w:val="nil"/>
              <w:bottom w:val="nil"/>
            </w:tcBorders>
          </w:tcPr>
          <w:p>
            <w:pPr>
              <w:rPr>
                <w:rFonts w:ascii="Arial"/>
                <w:sz w:val="21"/>
              </w:rPr>
            </w:pPr>
            <w:r/>
          </w:p>
        </w:tc>
        <w:tc>
          <w:tcPr>
            <w:tcW w:w="719" w:type="dxa"/>
            <w:vAlign w:val="top"/>
          </w:tcPr>
          <w:p>
            <w:pPr>
              <w:pStyle w:val="TableText"/>
              <w:ind w:left="116"/>
              <w:spacing w:before="158" w:line="221" w:lineRule="auto"/>
              <w:rPr>
                <w:sz w:val="12"/>
                <w:szCs w:val="12"/>
              </w:rPr>
            </w:pPr>
            <w:r>
              <w:rPr>
                <w:sz w:val="12"/>
                <w:szCs w:val="12"/>
                <w:spacing w:val="-2"/>
              </w:rPr>
              <w:t>100ml/瓶</w:t>
            </w:r>
          </w:p>
        </w:tc>
        <w:tc>
          <w:tcPr>
            <w:tcW w:w="2623" w:type="dxa"/>
            <w:vAlign w:val="top"/>
          </w:tcPr>
          <w:p>
            <w:pPr>
              <w:pStyle w:val="TableText"/>
              <w:ind w:left="17" w:right="107" w:firstLine="9"/>
              <w:spacing w:before="97" w:line="210" w:lineRule="auto"/>
              <w:rPr>
                <w:sz w:val="12"/>
                <w:szCs w:val="12"/>
              </w:rPr>
            </w:pPr>
            <w:r>
              <w:rPr>
                <w:sz w:val="12"/>
                <w:szCs w:val="12"/>
              </w:rPr>
              <w:t>针对白粉病、锈病防效好，有内吸作用(每年只</w:t>
            </w:r>
            <w:r>
              <w:rPr>
                <w:sz w:val="12"/>
                <w:szCs w:val="12"/>
                <w:spacing w:val="16"/>
              </w:rPr>
              <w:t xml:space="preserve"> </w:t>
            </w:r>
            <w:r>
              <w:rPr>
                <w:sz w:val="12"/>
                <w:szCs w:val="12"/>
                <w:spacing w:val="3"/>
              </w:rPr>
              <w:t>能使用2-3次)</w:t>
            </w:r>
          </w:p>
        </w:tc>
      </w:tr>
      <w:tr>
        <w:trPr>
          <w:trHeight w:val="419"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333"/>
              <w:spacing w:before="148" w:line="220" w:lineRule="auto"/>
              <w:rPr>
                <w:sz w:val="12"/>
                <w:szCs w:val="12"/>
              </w:rPr>
            </w:pPr>
            <w:r>
              <w:rPr>
                <w:sz w:val="12"/>
                <w:szCs w:val="12"/>
                <w:spacing w:val="1"/>
              </w:rPr>
              <w:t>中威乐翻天</w:t>
            </w:r>
          </w:p>
        </w:tc>
        <w:tc>
          <w:tcPr>
            <w:tcW w:w="1919" w:type="dxa"/>
            <w:vAlign w:val="top"/>
          </w:tcPr>
          <w:p>
            <w:pPr>
              <w:pStyle w:val="TableText"/>
              <w:ind w:left="684"/>
              <w:spacing w:before="148" w:line="220" w:lineRule="auto"/>
              <w:rPr>
                <w:sz w:val="12"/>
                <w:szCs w:val="12"/>
              </w:rPr>
            </w:pPr>
            <w:r>
              <w:rPr>
                <w:sz w:val="12"/>
                <w:szCs w:val="12"/>
                <w:spacing w:val="-1"/>
              </w:rPr>
              <w:t>戊唑醉20%</w:t>
            </w:r>
          </w:p>
        </w:tc>
        <w:tc>
          <w:tcPr>
            <w:tcW w:w="1659" w:type="dxa"/>
            <w:vAlign w:val="top"/>
          </w:tcPr>
          <w:p>
            <w:pPr>
              <w:pStyle w:val="TableText"/>
              <w:ind w:left="434"/>
              <w:spacing w:before="148" w:line="220" w:lineRule="auto"/>
              <w:rPr>
                <w:sz w:val="12"/>
                <w:szCs w:val="12"/>
              </w:rPr>
            </w:pPr>
            <w:r>
              <w:rPr>
                <w:sz w:val="12"/>
                <w:szCs w:val="12"/>
                <w:spacing w:val="-2"/>
              </w:rPr>
              <w:t>1000-1500倍波</w:t>
            </w:r>
          </w:p>
        </w:tc>
        <w:tc>
          <w:tcPr>
            <w:tcW w:w="1049" w:type="dxa"/>
            <w:vAlign w:val="top"/>
            <w:vMerge w:val="continue"/>
            <w:tcBorders>
              <w:top w:val="nil"/>
            </w:tcBorders>
          </w:tcPr>
          <w:p>
            <w:pPr>
              <w:rPr>
                <w:rFonts w:ascii="Arial"/>
                <w:sz w:val="21"/>
              </w:rPr>
            </w:pPr>
            <w:r/>
          </w:p>
        </w:tc>
        <w:tc>
          <w:tcPr>
            <w:tcW w:w="719" w:type="dxa"/>
            <w:vAlign w:val="top"/>
          </w:tcPr>
          <w:p>
            <w:pPr>
              <w:pStyle w:val="TableText"/>
              <w:ind w:left="116"/>
              <w:spacing w:before="143" w:line="214" w:lineRule="auto"/>
              <w:rPr>
                <w:sz w:val="12"/>
                <w:szCs w:val="12"/>
              </w:rPr>
            </w:pPr>
            <w:r>
              <w:rPr>
                <w:sz w:val="12"/>
                <w:szCs w:val="12"/>
                <w:spacing w:val="3"/>
              </w:rPr>
              <w:t>(20g/袋)</w:t>
            </w:r>
          </w:p>
        </w:tc>
        <w:tc>
          <w:tcPr>
            <w:tcW w:w="2623" w:type="dxa"/>
            <w:vAlign w:val="top"/>
          </w:tcPr>
          <w:p>
            <w:pPr>
              <w:pStyle w:val="TableText"/>
              <w:ind w:left="17"/>
              <w:spacing w:before="148" w:line="219" w:lineRule="auto"/>
              <w:rPr>
                <w:sz w:val="12"/>
                <w:szCs w:val="12"/>
              </w:rPr>
            </w:pPr>
            <w:r>
              <w:rPr>
                <w:sz w:val="12"/>
                <w:szCs w:val="12"/>
              </w:rPr>
              <w:t>防治草坪白粉病、锈病</w:t>
            </w:r>
          </w:p>
        </w:tc>
      </w:tr>
      <w:tr>
        <w:trPr>
          <w:trHeight w:val="41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393"/>
              <w:spacing w:before="149" w:line="219" w:lineRule="auto"/>
              <w:rPr>
                <w:sz w:val="12"/>
                <w:szCs w:val="12"/>
              </w:rPr>
            </w:pPr>
            <w:r>
              <w:rPr>
                <w:sz w:val="12"/>
                <w:szCs w:val="12"/>
                <w:spacing w:val="1"/>
              </w:rPr>
              <w:t>国光英纳</w:t>
            </w:r>
          </w:p>
        </w:tc>
        <w:tc>
          <w:tcPr>
            <w:tcW w:w="1919" w:type="dxa"/>
            <w:vAlign w:val="top"/>
          </w:tcPr>
          <w:p>
            <w:pPr>
              <w:pStyle w:val="TableText"/>
              <w:ind w:left="684"/>
              <w:spacing w:before="149" w:line="221" w:lineRule="auto"/>
              <w:rPr>
                <w:sz w:val="12"/>
                <w:szCs w:val="12"/>
              </w:rPr>
            </w:pPr>
            <w:r>
              <w:rPr>
                <w:sz w:val="12"/>
                <w:szCs w:val="12"/>
                <w:spacing w:val="-9"/>
              </w:rPr>
              <w:t>50%多</w:t>
            </w:r>
            <w:r>
              <w:rPr>
                <w:sz w:val="12"/>
                <w:szCs w:val="12"/>
                <w:spacing w:val="-15"/>
              </w:rPr>
              <w:t xml:space="preserve"> </w:t>
            </w:r>
            <w:r>
              <w:rPr>
                <w:sz w:val="12"/>
                <w:szCs w:val="12"/>
                <w:spacing w:val="-9"/>
              </w:rPr>
              <w:t>·锰</w:t>
            </w:r>
          </w:p>
        </w:tc>
        <w:tc>
          <w:tcPr>
            <w:tcW w:w="1659" w:type="dxa"/>
            <w:vAlign w:val="top"/>
          </w:tcPr>
          <w:p>
            <w:pPr>
              <w:pStyle w:val="TableText"/>
              <w:ind w:left="375"/>
              <w:spacing w:before="149" w:line="219" w:lineRule="auto"/>
              <w:rPr>
                <w:sz w:val="12"/>
                <w:szCs w:val="12"/>
              </w:rPr>
            </w:pPr>
            <w:r>
              <w:rPr>
                <w:sz w:val="12"/>
                <w:szCs w:val="12"/>
                <w:spacing w:val="-1"/>
              </w:rPr>
              <w:t>稀释600-800倍液</w:t>
            </w:r>
          </w:p>
        </w:tc>
        <w:tc>
          <w:tcPr>
            <w:tcW w:w="1049" w:type="dxa"/>
            <w:vAlign w:val="top"/>
            <w:vMerge w:val="restart"/>
            <w:tcBorders>
              <w:bottom w:val="nil"/>
            </w:tcBorders>
          </w:tcPr>
          <w:p>
            <w:pPr>
              <w:spacing w:line="337" w:lineRule="auto"/>
              <w:rPr>
                <w:rFonts w:ascii="Arial"/>
                <w:sz w:val="21"/>
              </w:rPr>
            </w:pPr>
            <w:r/>
          </w:p>
          <w:p>
            <w:pPr>
              <w:spacing w:line="338" w:lineRule="auto"/>
              <w:rPr>
                <w:rFonts w:ascii="Arial"/>
                <w:sz w:val="21"/>
              </w:rPr>
            </w:pPr>
            <w:r/>
          </w:p>
          <w:p>
            <w:pPr>
              <w:pStyle w:val="TableText"/>
              <w:ind w:left="275" w:right="19" w:hanging="269"/>
              <w:spacing w:before="39" w:line="219" w:lineRule="auto"/>
              <w:rPr>
                <w:sz w:val="12"/>
                <w:szCs w:val="12"/>
              </w:rPr>
            </w:pPr>
            <w:r>
              <w:rPr>
                <w:sz w:val="12"/>
                <w:szCs w:val="12"/>
                <w:spacing w:val="-1"/>
              </w:rPr>
              <w:t>一般用3次，时间间</w:t>
            </w:r>
            <w:r>
              <w:rPr>
                <w:sz w:val="12"/>
                <w:szCs w:val="12"/>
                <w:spacing w:val="1"/>
              </w:rPr>
              <w:t xml:space="preserve"> </w:t>
            </w:r>
            <w:r>
              <w:rPr>
                <w:sz w:val="12"/>
                <w:szCs w:val="12"/>
                <w:spacing w:val="-2"/>
              </w:rPr>
              <w:t>隔T到10天</w:t>
            </w:r>
          </w:p>
        </w:tc>
        <w:tc>
          <w:tcPr>
            <w:tcW w:w="719" w:type="dxa"/>
            <w:vAlign w:val="top"/>
          </w:tcPr>
          <w:p>
            <w:pPr>
              <w:pStyle w:val="TableText"/>
              <w:ind w:left="86"/>
              <w:spacing w:before="144" w:line="214" w:lineRule="auto"/>
              <w:rPr>
                <w:sz w:val="12"/>
                <w:szCs w:val="12"/>
              </w:rPr>
            </w:pPr>
            <w:r>
              <w:rPr>
                <w:sz w:val="12"/>
                <w:szCs w:val="12"/>
                <w:spacing w:val="3"/>
              </w:rPr>
              <w:t>(500g/袋)</w:t>
            </w:r>
          </w:p>
        </w:tc>
        <w:tc>
          <w:tcPr>
            <w:tcW w:w="2623" w:type="dxa"/>
            <w:vAlign w:val="top"/>
          </w:tcPr>
          <w:p>
            <w:pPr>
              <w:pStyle w:val="TableText"/>
              <w:ind w:left="17"/>
              <w:spacing w:before="148" w:line="219" w:lineRule="auto"/>
              <w:rPr>
                <w:sz w:val="12"/>
                <w:szCs w:val="12"/>
              </w:rPr>
            </w:pPr>
            <w:r>
              <w:rPr>
                <w:sz w:val="12"/>
                <w:szCs w:val="12"/>
                <w:spacing w:val="-1"/>
              </w:rPr>
              <w:t>广谱性杀菌剂</w:t>
            </w:r>
          </w:p>
        </w:tc>
      </w:tr>
      <w:tr>
        <w:trPr>
          <w:trHeight w:val="409"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213"/>
              <w:spacing w:before="149" w:line="219" w:lineRule="auto"/>
              <w:rPr>
                <w:sz w:val="12"/>
                <w:szCs w:val="12"/>
              </w:rPr>
            </w:pPr>
            <w:r>
              <w:rPr>
                <w:sz w:val="12"/>
                <w:szCs w:val="12"/>
                <w:spacing w:val="-2"/>
              </w:rPr>
              <w:t>阿西米达悬浮液</w:t>
            </w:r>
          </w:p>
        </w:tc>
        <w:tc>
          <w:tcPr>
            <w:tcW w:w="1919" w:type="dxa"/>
            <w:vAlign w:val="top"/>
          </w:tcPr>
          <w:p>
            <w:pPr>
              <w:pStyle w:val="TableText"/>
              <w:ind w:left="774"/>
              <w:spacing w:before="149" w:line="219" w:lineRule="auto"/>
              <w:rPr>
                <w:sz w:val="12"/>
                <w:szCs w:val="12"/>
              </w:rPr>
            </w:pPr>
            <w:r>
              <w:rPr>
                <w:sz w:val="12"/>
                <w:szCs w:val="12"/>
                <w:spacing w:val="-3"/>
              </w:rPr>
              <w:t>嘧菌酯</w:t>
            </w:r>
          </w:p>
        </w:tc>
        <w:tc>
          <w:tcPr>
            <w:tcW w:w="1659" w:type="dxa"/>
            <w:vAlign w:val="top"/>
          </w:tcPr>
          <w:p>
            <w:pPr>
              <w:pStyle w:val="TableText"/>
              <w:ind w:left="705" w:right="50" w:hanging="660"/>
              <w:spacing w:before="88" w:line="219" w:lineRule="auto"/>
              <w:rPr>
                <w:sz w:val="12"/>
                <w:szCs w:val="12"/>
              </w:rPr>
            </w:pPr>
            <w:r>
              <w:rPr>
                <w:sz w:val="12"/>
                <w:szCs w:val="12"/>
                <w:spacing w:val="-1"/>
              </w:rPr>
              <w:t>25%阿西来达悬浮液1200-1500</w:t>
            </w:r>
            <w:r>
              <w:rPr>
                <w:sz w:val="12"/>
                <w:szCs w:val="12"/>
                <w:spacing w:val="11"/>
              </w:rPr>
              <w:t xml:space="preserve"> </w:t>
            </w:r>
            <w:r>
              <w:rPr>
                <w:sz w:val="12"/>
                <w:szCs w:val="12"/>
                <w:spacing w:val="-2"/>
              </w:rPr>
              <w:t>倍液</w:t>
            </w:r>
          </w:p>
        </w:tc>
        <w:tc>
          <w:tcPr>
            <w:tcW w:w="1049" w:type="dxa"/>
            <w:vAlign w:val="top"/>
            <w:vMerge w:val="continue"/>
            <w:tcBorders>
              <w:top w:val="nil"/>
              <w:bottom w:val="nil"/>
            </w:tcBorders>
          </w:tcPr>
          <w:p>
            <w:pPr>
              <w:rPr>
                <w:rFonts w:ascii="Arial"/>
                <w:sz w:val="21"/>
              </w:rPr>
            </w:pPr>
            <w:r/>
          </w:p>
        </w:tc>
        <w:tc>
          <w:tcPr>
            <w:tcW w:w="719" w:type="dxa"/>
            <w:vAlign w:val="top"/>
          </w:tcPr>
          <w:p>
            <w:pPr>
              <w:pStyle w:val="TableText"/>
              <w:ind w:left="207"/>
              <w:spacing w:before="149" w:line="221" w:lineRule="auto"/>
              <w:rPr>
                <w:sz w:val="12"/>
                <w:szCs w:val="12"/>
              </w:rPr>
            </w:pPr>
            <w:r>
              <w:rPr>
                <w:sz w:val="12"/>
                <w:szCs w:val="12"/>
                <w:spacing w:val="-3"/>
              </w:rPr>
              <w:t>11/瓶</w:t>
            </w:r>
          </w:p>
        </w:tc>
        <w:tc>
          <w:tcPr>
            <w:tcW w:w="2623" w:type="dxa"/>
            <w:vAlign w:val="top"/>
          </w:tcPr>
          <w:p>
            <w:pPr>
              <w:pStyle w:val="TableText"/>
              <w:ind w:left="17" w:right="79"/>
              <w:spacing w:before="88" w:line="219" w:lineRule="auto"/>
              <w:rPr>
                <w:sz w:val="12"/>
                <w:szCs w:val="12"/>
              </w:rPr>
            </w:pPr>
            <w:r>
              <w:rPr>
                <w:sz w:val="12"/>
                <w:szCs w:val="12"/>
                <w:spacing w:val="-1"/>
              </w:rPr>
              <w:t>广谱杀菌，对四大类致病真菌，天然低毒安全无</w:t>
            </w:r>
            <w:r>
              <w:rPr>
                <w:sz w:val="12"/>
                <w:szCs w:val="12"/>
                <w:spacing w:val="15"/>
              </w:rPr>
              <w:t xml:space="preserve"> </w:t>
            </w:r>
            <w:r>
              <w:rPr>
                <w:sz w:val="12"/>
                <w:szCs w:val="12"/>
                <w:spacing w:val="-3"/>
              </w:rPr>
              <w:t>公害</w:t>
            </w:r>
          </w:p>
        </w:tc>
      </w:tr>
      <w:tr>
        <w:trPr>
          <w:trHeight w:val="42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213"/>
              <w:spacing w:before="150" w:line="219" w:lineRule="auto"/>
              <w:rPr>
                <w:sz w:val="12"/>
                <w:szCs w:val="12"/>
              </w:rPr>
            </w:pPr>
            <w:r>
              <w:rPr>
                <w:sz w:val="12"/>
                <w:szCs w:val="12"/>
                <w:spacing w:val="1"/>
              </w:rPr>
              <w:t>国光甲基疏菌灵</w:t>
            </w:r>
          </w:p>
        </w:tc>
        <w:tc>
          <w:tcPr>
            <w:tcW w:w="1919" w:type="dxa"/>
            <w:vAlign w:val="top"/>
          </w:tcPr>
          <w:p>
            <w:pPr>
              <w:pStyle w:val="TableText"/>
              <w:ind w:left="564"/>
              <w:spacing w:before="150" w:line="219" w:lineRule="auto"/>
              <w:rPr>
                <w:sz w:val="12"/>
                <w:szCs w:val="12"/>
              </w:rPr>
            </w:pPr>
            <w:r>
              <w:rPr>
                <w:sz w:val="12"/>
                <w:szCs w:val="12"/>
                <w:spacing w:val="-1"/>
              </w:rPr>
              <w:t>70%甲基疏菌灵</w:t>
            </w:r>
          </w:p>
        </w:tc>
        <w:tc>
          <w:tcPr>
            <w:tcW w:w="1659" w:type="dxa"/>
            <w:vAlign w:val="top"/>
          </w:tcPr>
          <w:p>
            <w:pPr>
              <w:pStyle w:val="TableText"/>
              <w:ind w:left="345"/>
              <w:spacing w:before="150" w:line="219" w:lineRule="auto"/>
              <w:rPr>
                <w:sz w:val="12"/>
                <w:szCs w:val="12"/>
              </w:rPr>
            </w:pPr>
            <w:r>
              <w:rPr>
                <w:sz w:val="12"/>
                <w:szCs w:val="12"/>
                <w:spacing w:val="-1"/>
              </w:rPr>
              <w:t>稀释600-1000倍液</w:t>
            </w:r>
          </w:p>
        </w:tc>
        <w:tc>
          <w:tcPr>
            <w:tcW w:w="1049" w:type="dxa"/>
            <w:vAlign w:val="top"/>
            <w:vMerge w:val="continue"/>
            <w:tcBorders>
              <w:top w:val="nil"/>
              <w:bottom w:val="nil"/>
            </w:tcBorders>
          </w:tcPr>
          <w:p>
            <w:pPr>
              <w:rPr>
                <w:rFonts w:ascii="Arial"/>
                <w:sz w:val="21"/>
              </w:rPr>
            </w:pPr>
            <w:r/>
          </w:p>
        </w:tc>
        <w:tc>
          <w:tcPr>
            <w:tcW w:w="719" w:type="dxa"/>
            <w:vAlign w:val="top"/>
          </w:tcPr>
          <w:p>
            <w:pPr>
              <w:pStyle w:val="TableText"/>
              <w:ind w:left="177"/>
              <w:spacing w:before="145" w:line="214" w:lineRule="auto"/>
              <w:rPr>
                <w:sz w:val="12"/>
                <w:szCs w:val="12"/>
              </w:rPr>
            </w:pPr>
            <w:r>
              <w:rPr>
                <w:sz w:val="12"/>
                <w:szCs w:val="12"/>
                <w:spacing w:val="-3"/>
              </w:rPr>
              <w:t>Ikg/袋</w:t>
            </w:r>
          </w:p>
        </w:tc>
        <w:tc>
          <w:tcPr>
            <w:tcW w:w="2623" w:type="dxa"/>
            <w:vAlign w:val="top"/>
          </w:tcPr>
          <w:p>
            <w:pPr>
              <w:pStyle w:val="TableText"/>
              <w:ind w:left="17"/>
              <w:spacing w:before="149" w:line="219" w:lineRule="auto"/>
              <w:rPr>
                <w:sz w:val="12"/>
                <w:szCs w:val="12"/>
              </w:rPr>
            </w:pPr>
            <w:r>
              <w:rPr>
                <w:sz w:val="12"/>
                <w:szCs w:val="12"/>
              </w:rPr>
              <w:t>内吸，广谱高效杀菌剂</w:t>
            </w:r>
          </w:p>
        </w:tc>
      </w:tr>
      <w:tr>
        <w:trPr>
          <w:trHeight w:val="409"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333"/>
              <w:spacing w:before="149" w:line="219" w:lineRule="auto"/>
              <w:rPr>
                <w:sz w:val="12"/>
                <w:szCs w:val="12"/>
              </w:rPr>
            </w:pPr>
            <w:r>
              <w:rPr>
                <w:sz w:val="12"/>
                <w:szCs w:val="12"/>
                <w:spacing w:val="-1"/>
              </w:rPr>
              <w:t>诺普信璃托</w:t>
            </w:r>
          </w:p>
        </w:tc>
        <w:tc>
          <w:tcPr>
            <w:tcW w:w="1919" w:type="dxa"/>
            <w:vAlign w:val="top"/>
          </w:tcPr>
          <w:p>
            <w:pPr>
              <w:pStyle w:val="TableText"/>
              <w:ind w:left="564"/>
              <w:spacing w:before="149" w:line="219" w:lineRule="auto"/>
              <w:rPr>
                <w:sz w:val="12"/>
                <w:szCs w:val="12"/>
              </w:rPr>
            </w:pPr>
            <w:r>
              <w:rPr>
                <w:sz w:val="12"/>
                <w:szCs w:val="12"/>
              </w:rPr>
              <w:t>甲基硫菌灵50%</w:t>
            </w:r>
          </w:p>
        </w:tc>
        <w:tc>
          <w:tcPr>
            <w:tcW w:w="1659" w:type="dxa"/>
            <w:vAlign w:val="top"/>
          </w:tcPr>
          <w:p>
            <w:pPr>
              <w:pStyle w:val="TableText"/>
              <w:ind w:left="554"/>
              <w:spacing w:before="150" w:line="220" w:lineRule="auto"/>
              <w:rPr>
                <w:sz w:val="12"/>
                <w:szCs w:val="12"/>
              </w:rPr>
            </w:pPr>
            <w:r>
              <w:rPr>
                <w:sz w:val="12"/>
                <w:szCs w:val="12"/>
                <w:spacing w:val="-6"/>
              </w:rPr>
              <w:t>600—800倍</w:t>
            </w:r>
          </w:p>
        </w:tc>
        <w:tc>
          <w:tcPr>
            <w:tcW w:w="1049" w:type="dxa"/>
            <w:vAlign w:val="top"/>
            <w:vMerge w:val="continue"/>
            <w:tcBorders>
              <w:top w:val="nil"/>
            </w:tcBorders>
          </w:tcPr>
          <w:p>
            <w:pPr>
              <w:rPr>
                <w:rFonts w:ascii="Arial"/>
                <w:sz w:val="21"/>
              </w:rPr>
            </w:pPr>
            <w:r/>
          </w:p>
        </w:tc>
        <w:tc>
          <w:tcPr>
            <w:tcW w:w="719" w:type="dxa"/>
            <w:vAlign w:val="top"/>
          </w:tcPr>
          <w:p>
            <w:pPr>
              <w:pStyle w:val="TableText"/>
              <w:ind w:left="86"/>
              <w:spacing w:before="150" w:line="221" w:lineRule="auto"/>
              <w:rPr>
                <w:sz w:val="12"/>
                <w:szCs w:val="12"/>
              </w:rPr>
            </w:pPr>
            <w:r>
              <w:rPr>
                <w:sz w:val="12"/>
                <w:szCs w:val="12"/>
                <w:spacing w:val="-2"/>
              </w:rPr>
              <w:t>1000ml/瓶</w:t>
            </w:r>
          </w:p>
        </w:tc>
        <w:tc>
          <w:tcPr>
            <w:tcW w:w="2623" w:type="dxa"/>
            <w:vAlign w:val="top"/>
          </w:tcPr>
          <w:p>
            <w:pPr>
              <w:pStyle w:val="TableText"/>
              <w:ind w:left="17" w:right="72" w:firstLine="9"/>
              <w:spacing w:before="99" w:line="210" w:lineRule="auto"/>
              <w:rPr>
                <w:sz w:val="12"/>
                <w:szCs w:val="12"/>
              </w:rPr>
            </w:pPr>
            <w:r>
              <w:rPr>
                <w:sz w:val="12"/>
                <w:szCs w:val="12"/>
                <w:spacing w:val="-1"/>
              </w:rPr>
              <w:t>高效广谱内吸杀菌剂。颗粒细腻，分散性好，防</w:t>
            </w:r>
            <w:r>
              <w:rPr>
                <w:sz w:val="12"/>
                <w:szCs w:val="12"/>
                <w:spacing w:val="12"/>
              </w:rPr>
              <w:t xml:space="preserve"> </w:t>
            </w:r>
            <w:r>
              <w:rPr>
                <w:sz w:val="12"/>
                <w:szCs w:val="12"/>
                <w:spacing w:val="-1"/>
              </w:rPr>
              <w:t>治花木叶斑、炭痘、班墩黄化</w:t>
            </w:r>
          </w:p>
        </w:tc>
      </w:tr>
      <w:tr>
        <w:trPr>
          <w:trHeight w:val="43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213"/>
              <w:spacing w:before="161" w:line="219" w:lineRule="auto"/>
              <w:rPr>
                <w:sz w:val="12"/>
                <w:szCs w:val="12"/>
              </w:rPr>
            </w:pPr>
            <w:r>
              <w:rPr>
                <w:sz w:val="12"/>
                <w:szCs w:val="12"/>
                <w:spacing w:val="3"/>
              </w:rPr>
              <w:t>特克多(噻菌灵)</w:t>
            </w:r>
          </w:p>
        </w:tc>
        <w:tc>
          <w:tcPr>
            <w:tcW w:w="1919" w:type="dxa"/>
            <w:vAlign w:val="top"/>
          </w:tcPr>
          <w:p>
            <w:pPr>
              <w:pStyle w:val="TableText"/>
              <w:ind w:left="714"/>
              <w:spacing w:before="160" w:line="219" w:lineRule="auto"/>
              <w:rPr>
                <w:sz w:val="12"/>
                <w:szCs w:val="12"/>
              </w:rPr>
            </w:pPr>
            <w:r>
              <w:rPr>
                <w:sz w:val="12"/>
                <w:szCs w:val="12"/>
                <w:spacing w:val="-2"/>
              </w:rPr>
              <w:t>苯味唑类</w:t>
            </w:r>
          </w:p>
        </w:tc>
        <w:tc>
          <w:tcPr>
            <w:tcW w:w="1659" w:type="dxa"/>
            <w:vAlign w:val="top"/>
          </w:tcPr>
          <w:p>
            <w:pPr>
              <w:pStyle w:val="TableText"/>
              <w:ind w:left="285"/>
              <w:spacing w:before="160" w:line="219" w:lineRule="auto"/>
              <w:rPr>
                <w:sz w:val="12"/>
                <w:szCs w:val="12"/>
              </w:rPr>
            </w:pPr>
            <w:r>
              <w:rPr>
                <w:sz w:val="12"/>
                <w:szCs w:val="12"/>
                <w:spacing w:val="-1"/>
              </w:rPr>
              <w:t>45%悬浮剂600-800倍</w:t>
            </w:r>
          </w:p>
        </w:tc>
        <w:tc>
          <w:tcPr>
            <w:tcW w:w="1049" w:type="dxa"/>
            <w:vAlign w:val="top"/>
            <w:vMerge w:val="restart"/>
            <w:tcBorders>
              <w:bottom w:val="nil"/>
            </w:tcBorders>
          </w:tcPr>
          <w:p>
            <w:pPr>
              <w:spacing w:line="359" w:lineRule="auto"/>
              <w:rPr>
                <w:rFonts w:ascii="Arial"/>
                <w:sz w:val="21"/>
              </w:rPr>
            </w:pPr>
            <w:r/>
          </w:p>
          <w:p>
            <w:pPr>
              <w:pStyle w:val="TableText"/>
              <w:ind w:left="66"/>
              <w:spacing w:before="39" w:line="219" w:lineRule="auto"/>
              <w:rPr>
                <w:sz w:val="12"/>
                <w:szCs w:val="12"/>
              </w:rPr>
            </w:pPr>
            <w:r>
              <w:rPr>
                <w:sz w:val="12"/>
                <w:szCs w:val="12"/>
                <w:spacing w:val="-1"/>
              </w:rPr>
              <w:t>间隔10-15天1次。</w:t>
            </w:r>
          </w:p>
          <w:p>
            <w:pPr>
              <w:pStyle w:val="TableText"/>
              <w:ind w:left="246"/>
              <w:spacing w:before="17" w:line="219" w:lineRule="auto"/>
              <w:rPr>
                <w:sz w:val="12"/>
                <w:szCs w:val="12"/>
              </w:rPr>
            </w:pPr>
            <w:r>
              <w:rPr>
                <w:sz w:val="12"/>
                <w:szCs w:val="12"/>
                <w:spacing w:val="-1"/>
              </w:rPr>
              <w:t>连喷2-3次</w:t>
            </w:r>
          </w:p>
        </w:tc>
        <w:tc>
          <w:tcPr>
            <w:tcW w:w="719" w:type="dxa"/>
            <w:vAlign w:val="top"/>
          </w:tcPr>
          <w:p>
            <w:pPr>
              <w:pStyle w:val="TableText"/>
              <w:ind w:left="116"/>
              <w:spacing w:before="161" w:line="221" w:lineRule="auto"/>
              <w:rPr>
                <w:sz w:val="12"/>
                <w:szCs w:val="12"/>
              </w:rPr>
            </w:pPr>
            <w:r>
              <w:rPr>
                <w:sz w:val="12"/>
                <w:szCs w:val="12"/>
                <w:spacing w:val="-2"/>
              </w:rPr>
              <w:t>100ml/瓶</w:t>
            </w:r>
          </w:p>
        </w:tc>
        <w:tc>
          <w:tcPr>
            <w:tcW w:w="2623" w:type="dxa"/>
            <w:vAlign w:val="top"/>
          </w:tcPr>
          <w:p>
            <w:pPr>
              <w:pStyle w:val="TableText"/>
              <w:ind w:left="17" w:right="56" w:firstLine="9"/>
              <w:spacing w:before="90" w:line="229" w:lineRule="auto"/>
              <w:rPr>
                <w:sz w:val="12"/>
                <w:szCs w:val="12"/>
              </w:rPr>
            </w:pPr>
            <w:r>
              <w:rPr>
                <w:sz w:val="12"/>
                <w:szCs w:val="12"/>
              </w:rPr>
              <w:t>防治叶斑病、青霉病，炭疽病、灰霉病、黑星病</w:t>
            </w:r>
            <w:r>
              <w:rPr>
                <w:sz w:val="12"/>
                <w:szCs w:val="12"/>
                <w:spacing w:val="7"/>
              </w:rPr>
              <w:t xml:space="preserve"> </w:t>
            </w:r>
            <w:r>
              <w:rPr>
                <w:sz w:val="12"/>
                <w:szCs w:val="12"/>
                <w:color w:val="404040"/>
                <w:spacing w:val="1"/>
              </w:rPr>
              <w:t>,</w:t>
            </w:r>
            <w:r>
              <w:rPr>
                <w:sz w:val="12"/>
                <w:szCs w:val="12"/>
                <w:spacing w:val="1"/>
              </w:rPr>
              <w:t>白粉病等防治</w:t>
            </w:r>
          </w:p>
        </w:tc>
      </w:tr>
      <w:tr>
        <w:trPr>
          <w:trHeight w:val="619"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153"/>
              <w:spacing w:before="250" w:line="219" w:lineRule="auto"/>
              <w:rPr>
                <w:sz w:val="12"/>
                <w:szCs w:val="12"/>
              </w:rPr>
            </w:pPr>
            <w:r>
              <w:rPr>
                <w:sz w:val="12"/>
                <w:szCs w:val="12"/>
                <w:spacing w:val="2"/>
              </w:rPr>
              <w:t>好靓(丙疏多菌灵)</w:t>
            </w:r>
          </w:p>
        </w:tc>
        <w:tc>
          <w:tcPr>
            <w:tcW w:w="1919" w:type="dxa"/>
            <w:vAlign w:val="top"/>
          </w:tcPr>
          <w:p>
            <w:pPr>
              <w:pStyle w:val="TableText"/>
              <w:ind w:left="714"/>
              <w:spacing w:before="251" w:line="220" w:lineRule="auto"/>
              <w:rPr>
                <w:sz w:val="12"/>
                <w:szCs w:val="12"/>
              </w:rPr>
            </w:pPr>
            <w:r>
              <w:rPr>
                <w:sz w:val="12"/>
                <w:szCs w:val="12"/>
                <w:spacing w:val="-2"/>
              </w:rPr>
              <w:t>丙硫昧唑</w:t>
            </w:r>
          </w:p>
        </w:tc>
        <w:tc>
          <w:tcPr>
            <w:tcW w:w="1659" w:type="dxa"/>
            <w:vAlign w:val="top"/>
          </w:tcPr>
          <w:p>
            <w:pPr>
              <w:pStyle w:val="TableText"/>
              <w:ind w:left="285"/>
              <w:spacing w:before="250" w:line="219" w:lineRule="auto"/>
              <w:rPr>
                <w:sz w:val="12"/>
                <w:szCs w:val="12"/>
              </w:rPr>
            </w:pPr>
            <w:r>
              <w:rPr>
                <w:sz w:val="12"/>
                <w:szCs w:val="12"/>
                <w:spacing w:val="-1"/>
              </w:rPr>
              <w:t>20%好靓2000-3000倍</w:t>
            </w:r>
          </w:p>
        </w:tc>
        <w:tc>
          <w:tcPr>
            <w:tcW w:w="1049" w:type="dxa"/>
            <w:vAlign w:val="top"/>
            <w:vMerge w:val="continue"/>
            <w:tcBorders>
              <w:top w:val="nil"/>
            </w:tcBorders>
          </w:tcPr>
          <w:p>
            <w:pPr>
              <w:rPr>
                <w:rFonts w:ascii="Arial"/>
                <w:sz w:val="21"/>
              </w:rPr>
            </w:pPr>
            <w:r/>
          </w:p>
        </w:tc>
        <w:tc>
          <w:tcPr>
            <w:tcW w:w="719" w:type="dxa"/>
            <w:vAlign w:val="top"/>
          </w:tcPr>
          <w:p>
            <w:pPr>
              <w:pStyle w:val="TableText"/>
              <w:ind w:left="177"/>
              <w:spacing w:before="246" w:line="214" w:lineRule="auto"/>
              <w:rPr>
                <w:sz w:val="12"/>
                <w:szCs w:val="12"/>
              </w:rPr>
            </w:pPr>
            <w:r>
              <w:rPr>
                <w:sz w:val="12"/>
                <w:szCs w:val="12"/>
                <w:spacing w:val="-1"/>
              </w:rPr>
              <w:t>50g/袋</w:t>
            </w:r>
          </w:p>
        </w:tc>
        <w:tc>
          <w:tcPr>
            <w:tcW w:w="2623" w:type="dxa"/>
            <w:vAlign w:val="top"/>
          </w:tcPr>
          <w:p>
            <w:pPr>
              <w:pStyle w:val="TableText"/>
              <w:ind w:left="26" w:right="15" w:hanging="9"/>
              <w:spacing w:before="120" w:line="217" w:lineRule="auto"/>
              <w:jc w:val="both"/>
              <w:rPr>
                <w:sz w:val="12"/>
                <w:szCs w:val="12"/>
              </w:rPr>
            </w:pPr>
            <w:r>
              <w:rPr>
                <w:sz w:val="12"/>
                <w:szCs w:val="12"/>
                <w:spacing w:val="2"/>
              </w:rPr>
              <w:t>广谱内吸性杀菌剂。可用于防治枯萎病、疫病、</w:t>
            </w:r>
            <w:r>
              <w:rPr>
                <w:sz w:val="12"/>
                <w:szCs w:val="12"/>
                <w:spacing w:val="16"/>
                <w:w w:val="101"/>
              </w:rPr>
              <w:t xml:space="preserve"> </w:t>
            </w:r>
            <w:r>
              <w:rPr>
                <w:sz w:val="12"/>
                <w:szCs w:val="12"/>
              </w:rPr>
              <w:t>窗霉病、立枯病、根腐病、茎窗病、猝倒病等多</w:t>
            </w:r>
            <w:r>
              <w:rPr>
                <w:sz w:val="12"/>
                <w:szCs w:val="12"/>
                <w:spacing w:val="10"/>
              </w:rPr>
              <w:t xml:space="preserve"> </w:t>
            </w:r>
            <w:r>
              <w:rPr>
                <w:sz w:val="12"/>
                <w:szCs w:val="12"/>
                <w:spacing w:val="-1"/>
              </w:rPr>
              <w:t>种病害。使用方法：灌根，喷雾</w:t>
            </w:r>
          </w:p>
        </w:tc>
      </w:tr>
      <w:tr>
        <w:trPr>
          <w:trHeight w:val="669"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spacing w:line="241" w:lineRule="auto"/>
              <w:rPr>
                <w:rFonts w:ascii="Arial"/>
                <w:sz w:val="21"/>
              </w:rPr>
            </w:pPr>
            <w:r/>
          </w:p>
          <w:p>
            <w:pPr>
              <w:pStyle w:val="TableText"/>
              <w:ind w:left="453"/>
              <w:spacing w:before="39" w:line="219" w:lineRule="auto"/>
              <w:rPr>
                <w:sz w:val="12"/>
                <w:szCs w:val="12"/>
              </w:rPr>
            </w:pPr>
            <w:r>
              <w:rPr>
                <w:sz w:val="12"/>
                <w:szCs w:val="12"/>
                <w:spacing w:val="-3"/>
              </w:rPr>
              <w:t>替力克</w:t>
            </w:r>
          </w:p>
        </w:tc>
        <w:tc>
          <w:tcPr>
            <w:tcW w:w="1919" w:type="dxa"/>
            <w:vAlign w:val="top"/>
          </w:tcPr>
          <w:p>
            <w:pPr>
              <w:spacing w:line="241" w:lineRule="auto"/>
              <w:rPr>
                <w:rFonts w:ascii="Arial"/>
                <w:sz w:val="21"/>
              </w:rPr>
            </w:pPr>
            <w:r/>
          </w:p>
          <w:p>
            <w:pPr>
              <w:pStyle w:val="TableText"/>
              <w:ind w:left="624"/>
              <w:spacing w:before="39" w:line="220" w:lineRule="auto"/>
              <w:rPr>
                <w:sz w:val="12"/>
                <w:szCs w:val="12"/>
              </w:rPr>
            </w:pPr>
            <w:r>
              <w:rPr>
                <w:sz w:val="12"/>
                <w:szCs w:val="12"/>
                <w:spacing w:val="-1"/>
              </w:rPr>
              <w:t>72.2%丙酰胺</w:t>
            </w:r>
          </w:p>
        </w:tc>
        <w:tc>
          <w:tcPr>
            <w:tcW w:w="1659" w:type="dxa"/>
            <w:vAlign w:val="top"/>
          </w:tcPr>
          <w:p>
            <w:pPr>
              <w:spacing w:line="241" w:lineRule="auto"/>
              <w:rPr>
                <w:rFonts w:ascii="Arial"/>
                <w:sz w:val="21"/>
              </w:rPr>
            </w:pPr>
            <w:r/>
          </w:p>
          <w:p>
            <w:pPr>
              <w:pStyle w:val="TableText"/>
              <w:ind w:left="464"/>
              <w:spacing w:before="39" w:line="220" w:lineRule="auto"/>
              <w:rPr>
                <w:sz w:val="12"/>
                <w:szCs w:val="12"/>
              </w:rPr>
            </w:pPr>
            <w:r>
              <w:rPr>
                <w:sz w:val="12"/>
                <w:szCs w:val="12"/>
                <w:spacing w:val="-1"/>
              </w:rPr>
              <w:t>800-1000倍液</w:t>
            </w:r>
          </w:p>
        </w:tc>
        <w:tc>
          <w:tcPr>
            <w:tcW w:w="1049" w:type="dxa"/>
            <w:vAlign w:val="top"/>
          </w:tcPr>
          <w:p>
            <w:pPr>
              <w:pStyle w:val="TableText"/>
              <w:ind w:left="36"/>
              <w:spacing w:before="61" w:line="231" w:lineRule="auto"/>
              <w:rPr>
                <w:sz w:val="12"/>
                <w:szCs w:val="12"/>
              </w:rPr>
            </w:pPr>
            <w:r>
              <w:rPr>
                <w:sz w:val="12"/>
                <w:szCs w:val="12"/>
                <w:spacing w:val="-4"/>
              </w:rPr>
              <w:t>10天一次，连续喷</w:t>
            </w:r>
            <w:r>
              <w:rPr>
                <w:sz w:val="12"/>
                <w:szCs w:val="12"/>
                <w:spacing w:val="2"/>
              </w:rPr>
              <w:t xml:space="preserve">  </w:t>
            </w:r>
            <w:r>
              <w:rPr>
                <w:sz w:val="12"/>
                <w:szCs w:val="12"/>
                <w:spacing w:val="-2"/>
              </w:rPr>
              <w:t>洒病部地菌2-3次，</w:t>
            </w:r>
          </w:p>
          <w:p>
            <w:pPr>
              <w:pStyle w:val="TableText"/>
              <w:spacing w:line="216" w:lineRule="auto"/>
              <w:jc w:val="right"/>
              <w:rPr>
                <w:sz w:val="12"/>
                <w:szCs w:val="12"/>
              </w:rPr>
            </w:pPr>
            <w:r>
              <w:rPr>
                <w:sz w:val="12"/>
                <w:szCs w:val="12"/>
                <w:spacing w:val="-2"/>
              </w:rPr>
              <w:t>喷药1小时内遇雨，</w:t>
            </w:r>
          </w:p>
          <w:p>
            <w:pPr>
              <w:pStyle w:val="TableText"/>
              <w:ind w:left="335"/>
              <w:spacing w:line="220" w:lineRule="auto"/>
              <w:rPr>
                <w:sz w:val="12"/>
                <w:szCs w:val="12"/>
              </w:rPr>
            </w:pPr>
            <w:r>
              <w:rPr>
                <w:sz w:val="12"/>
                <w:szCs w:val="12"/>
                <w:spacing w:val="-2"/>
              </w:rPr>
              <w:t>雷重喷</w:t>
            </w:r>
          </w:p>
        </w:tc>
        <w:tc>
          <w:tcPr>
            <w:tcW w:w="719" w:type="dxa"/>
            <w:vAlign w:val="top"/>
          </w:tcPr>
          <w:p>
            <w:pPr>
              <w:spacing w:line="242" w:lineRule="auto"/>
              <w:rPr>
                <w:rFonts w:ascii="Arial"/>
                <w:sz w:val="21"/>
              </w:rPr>
            </w:pPr>
            <w:r/>
          </w:p>
          <w:p>
            <w:pPr>
              <w:pStyle w:val="TableText"/>
              <w:ind w:left="116"/>
              <w:spacing w:before="39" w:line="221" w:lineRule="auto"/>
              <w:rPr>
                <w:sz w:val="12"/>
                <w:szCs w:val="12"/>
              </w:rPr>
            </w:pPr>
            <w:r>
              <w:rPr>
                <w:sz w:val="12"/>
                <w:szCs w:val="12"/>
                <w:spacing w:val="-2"/>
              </w:rPr>
              <w:t>100ml/瓶</w:t>
            </w:r>
          </w:p>
        </w:tc>
        <w:tc>
          <w:tcPr>
            <w:tcW w:w="2623" w:type="dxa"/>
            <w:vAlign w:val="top"/>
          </w:tcPr>
          <w:p>
            <w:pPr>
              <w:spacing w:line="241" w:lineRule="auto"/>
              <w:rPr>
                <w:rFonts w:ascii="Arial"/>
                <w:sz w:val="21"/>
              </w:rPr>
            </w:pPr>
            <w:r/>
          </w:p>
          <w:p>
            <w:pPr>
              <w:pStyle w:val="TableText"/>
              <w:ind w:left="17"/>
              <w:spacing w:before="39" w:line="219" w:lineRule="auto"/>
              <w:rPr>
                <w:sz w:val="12"/>
                <w:szCs w:val="12"/>
              </w:rPr>
            </w:pPr>
            <w:r>
              <w:rPr>
                <w:sz w:val="12"/>
                <w:szCs w:val="12"/>
                <w:spacing w:val="-1"/>
              </w:rPr>
              <w:t>对根腐病、霜霉病、立枯病、养倒病有特效</w:t>
            </w:r>
          </w:p>
        </w:tc>
      </w:tr>
      <w:tr>
        <w:trPr>
          <w:trHeight w:val="30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453"/>
              <w:spacing w:before="93" w:line="219" w:lineRule="auto"/>
              <w:rPr>
                <w:sz w:val="12"/>
                <w:szCs w:val="12"/>
              </w:rPr>
            </w:pPr>
            <w:r>
              <w:rPr>
                <w:sz w:val="12"/>
                <w:szCs w:val="12"/>
                <w:spacing w:val="-1"/>
              </w:rPr>
              <w:t>链霉素</w:t>
            </w:r>
          </w:p>
        </w:tc>
        <w:tc>
          <w:tcPr>
            <w:tcW w:w="1919" w:type="dxa"/>
            <w:vAlign w:val="top"/>
          </w:tcPr>
          <w:p>
            <w:pPr>
              <w:pStyle w:val="TableText"/>
              <w:ind w:left="684"/>
              <w:spacing w:before="93" w:line="219" w:lineRule="auto"/>
              <w:rPr>
                <w:sz w:val="12"/>
                <w:szCs w:val="12"/>
              </w:rPr>
            </w:pPr>
            <w:r>
              <w:rPr>
                <w:sz w:val="12"/>
                <w:szCs w:val="12"/>
                <w:spacing w:val="-1"/>
              </w:rPr>
              <w:t>72%链霉素</w:t>
            </w:r>
          </w:p>
        </w:tc>
        <w:tc>
          <w:tcPr>
            <w:tcW w:w="1659" w:type="dxa"/>
            <w:vAlign w:val="top"/>
          </w:tcPr>
          <w:p>
            <w:pPr>
              <w:pStyle w:val="TableText"/>
              <w:ind w:left="585"/>
              <w:spacing w:before="93" w:line="220" w:lineRule="auto"/>
              <w:rPr>
                <w:sz w:val="12"/>
                <w:szCs w:val="12"/>
              </w:rPr>
            </w:pPr>
            <w:r>
              <w:rPr>
                <w:sz w:val="12"/>
                <w:szCs w:val="12"/>
                <w:spacing w:val="-1"/>
              </w:rPr>
              <w:t>3000倍液</w:t>
            </w:r>
          </w:p>
        </w:tc>
        <w:tc>
          <w:tcPr>
            <w:tcW w:w="1049" w:type="dxa"/>
            <w:vAlign w:val="top"/>
            <w:vMerge w:val="restart"/>
            <w:tcBorders>
              <w:bottom w:val="nil"/>
            </w:tcBorders>
          </w:tcPr>
          <w:p>
            <w:pPr>
              <w:pStyle w:val="TableText"/>
              <w:ind w:right="3"/>
              <w:spacing w:before="183" w:line="219" w:lineRule="auto"/>
              <w:jc w:val="right"/>
              <w:rPr>
                <w:sz w:val="12"/>
                <w:szCs w:val="12"/>
              </w:rPr>
            </w:pPr>
            <w:r>
              <w:rPr>
                <w:sz w:val="12"/>
                <w:szCs w:val="12"/>
                <w:spacing w:val="1"/>
              </w:rPr>
              <w:t>每10天喷施一次，</w:t>
            </w:r>
          </w:p>
          <w:p>
            <w:pPr>
              <w:pStyle w:val="TableText"/>
              <w:ind w:left="186"/>
              <w:spacing w:before="17" w:line="219" w:lineRule="auto"/>
              <w:rPr>
                <w:sz w:val="12"/>
                <w:szCs w:val="12"/>
              </w:rPr>
            </w:pPr>
            <w:r>
              <w:rPr>
                <w:sz w:val="12"/>
                <w:szCs w:val="12"/>
                <w:spacing w:val="-1"/>
              </w:rPr>
              <w:t>连喷3至4次。</w:t>
            </w:r>
          </w:p>
        </w:tc>
        <w:tc>
          <w:tcPr>
            <w:tcW w:w="719" w:type="dxa"/>
            <w:vAlign w:val="top"/>
          </w:tcPr>
          <w:p>
            <w:pPr>
              <w:pStyle w:val="TableText"/>
              <w:ind w:left="177"/>
              <w:spacing w:before="88" w:line="214" w:lineRule="auto"/>
              <w:rPr>
                <w:sz w:val="12"/>
                <w:szCs w:val="12"/>
              </w:rPr>
            </w:pPr>
            <w:r>
              <w:rPr>
                <w:sz w:val="12"/>
                <w:szCs w:val="12"/>
                <w:spacing w:val="-2"/>
              </w:rPr>
              <w:t>15g/袋</w:t>
            </w:r>
          </w:p>
        </w:tc>
        <w:tc>
          <w:tcPr>
            <w:tcW w:w="2623" w:type="dxa"/>
            <w:vAlign w:val="top"/>
            <w:vMerge w:val="restart"/>
            <w:tcBorders>
              <w:bottom w:val="nil"/>
            </w:tcBorders>
          </w:tcPr>
          <w:p>
            <w:pPr>
              <w:pStyle w:val="TableText"/>
              <w:ind w:left="17"/>
              <w:spacing w:before="253" w:line="219" w:lineRule="auto"/>
              <w:rPr>
                <w:sz w:val="12"/>
                <w:szCs w:val="12"/>
              </w:rPr>
            </w:pPr>
            <w:r>
              <w:rPr>
                <w:sz w:val="12"/>
                <w:szCs w:val="12"/>
                <w:spacing w:val="-1"/>
              </w:rPr>
              <w:t>防治细菌性穿孔病。对细菌性病害有特效</w:t>
            </w:r>
          </w:p>
        </w:tc>
      </w:tr>
      <w:tr>
        <w:trPr>
          <w:trHeight w:val="30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453"/>
              <w:spacing w:before="93" w:line="219" w:lineRule="auto"/>
              <w:rPr>
                <w:sz w:val="12"/>
                <w:szCs w:val="12"/>
              </w:rPr>
            </w:pPr>
            <w:r>
              <w:rPr>
                <w:sz w:val="12"/>
                <w:szCs w:val="12"/>
                <w:spacing w:val="-2"/>
              </w:rPr>
              <w:t>细菌灵</w:t>
            </w:r>
          </w:p>
        </w:tc>
        <w:tc>
          <w:tcPr>
            <w:tcW w:w="1919" w:type="dxa"/>
            <w:vAlign w:val="top"/>
          </w:tcPr>
          <w:p>
            <w:pPr>
              <w:pStyle w:val="TableText"/>
              <w:ind w:left="294"/>
              <w:spacing w:before="93" w:line="219" w:lineRule="auto"/>
              <w:rPr>
                <w:sz w:val="12"/>
                <w:szCs w:val="12"/>
              </w:rPr>
            </w:pPr>
            <w:r>
              <w:rPr>
                <w:sz w:val="12"/>
                <w:szCs w:val="12"/>
                <w:spacing w:val="-1"/>
              </w:rPr>
              <w:t>40%多菌灵，30%中生霉素</w:t>
            </w:r>
          </w:p>
        </w:tc>
        <w:tc>
          <w:tcPr>
            <w:tcW w:w="1659" w:type="dxa"/>
            <w:vAlign w:val="top"/>
          </w:tcPr>
          <w:p>
            <w:pPr>
              <w:pStyle w:val="TableText"/>
              <w:ind w:left="554"/>
              <w:spacing w:before="93" w:line="220" w:lineRule="auto"/>
              <w:rPr>
                <w:sz w:val="12"/>
                <w:szCs w:val="12"/>
              </w:rPr>
            </w:pPr>
            <w:r>
              <w:rPr>
                <w:sz w:val="12"/>
                <w:szCs w:val="12"/>
                <w:spacing w:val="-1"/>
              </w:rPr>
              <w:t>500-600倍</w:t>
            </w:r>
          </w:p>
        </w:tc>
        <w:tc>
          <w:tcPr>
            <w:tcW w:w="1049" w:type="dxa"/>
            <w:vAlign w:val="top"/>
            <w:vMerge w:val="continue"/>
            <w:tcBorders>
              <w:top w:val="nil"/>
            </w:tcBorders>
          </w:tcPr>
          <w:p>
            <w:pPr>
              <w:rPr>
                <w:rFonts w:ascii="Arial"/>
                <w:sz w:val="21"/>
              </w:rPr>
            </w:pPr>
            <w:r/>
          </w:p>
        </w:tc>
        <w:tc>
          <w:tcPr>
            <w:tcW w:w="719" w:type="dxa"/>
            <w:vAlign w:val="top"/>
          </w:tcPr>
          <w:p>
            <w:pPr>
              <w:pStyle w:val="TableText"/>
              <w:ind w:left="177"/>
              <w:spacing w:before="88" w:line="214" w:lineRule="auto"/>
              <w:rPr>
                <w:sz w:val="12"/>
                <w:szCs w:val="12"/>
              </w:rPr>
            </w:pPr>
            <w:r>
              <w:rPr>
                <w:sz w:val="12"/>
                <w:szCs w:val="12"/>
                <w:spacing w:val="-1"/>
              </w:rPr>
              <w:t>25g/袋</w:t>
            </w:r>
          </w:p>
        </w:tc>
        <w:tc>
          <w:tcPr>
            <w:tcW w:w="2623" w:type="dxa"/>
            <w:vAlign w:val="top"/>
            <w:vMerge w:val="continue"/>
            <w:tcBorders>
              <w:top w:val="nil"/>
            </w:tcBorders>
          </w:tcPr>
          <w:p>
            <w:pPr>
              <w:rPr>
                <w:rFonts w:ascii="Arial"/>
                <w:sz w:val="21"/>
              </w:rPr>
            </w:pPr>
            <w:r/>
          </w:p>
        </w:tc>
      </w:tr>
      <w:tr>
        <w:trPr>
          <w:trHeight w:val="549" w:hRule="atLeast"/>
        </w:trPr>
        <w:tc>
          <w:tcPr>
            <w:tcW w:w="415" w:type="dxa"/>
            <w:vAlign w:val="top"/>
            <w:vMerge w:val="continue"/>
            <w:tcBorders>
              <w:top w:val="nil"/>
            </w:tcBorders>
          </w:tcPr>
          <w:p>
            <w:pPr>
              <w:rPr>
                <w:rFonts w:ascii="Arial"/>
                <w:sz w:val="21"/>
              </w:rPr>
            </w:pPr>
            <w:r/>
          </w:p>
        </w:tc>
        <w:tc>
          <w:tcPr>
            <w:tcW w:w="6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79" w:type="dxa"/>
            <w:vAlign w:val="top"/>
          </w:tcPr>
          <w:p>
            <w:pPr>
              <w:pStyle w:val="TableText"/>
              <w:ind w:left="453"/>
              <w:spacing w:before="223" w:line="219" w:lineRule="auto"/>
              <w:rPr>
                <w:sz w:val="12"/>
                <w:szCs w:val="12"/>
              </w:rPr>
            </w:pPr>
            <w:r>
              <w:rPr>
                <w:sz w:val="12"/>
                <w:szCs w:val="12"/>
                <w:spacing w:val="-2"/>
              </w:rPr>
              <w:t>植病灵</w:t>
            </w:r>
          </w:p>
        </w:tc>
        <w:tc>
          <w:tcPr>
            <w:tcW w:w="1919" w:type="dxa"/>
            <w:vAlign w:val="top"/>
          </w:tcPr>
          <w:p>
            <w:pPr>
              <w:pStyle w:val="TableText"/>
              <w:ind w:left="354"/>
              <w:spacing w:before="223" w:line="219" w:lineRule="auto"/>
              <w:rPr>
                <w:sz w:val="12"/>
                <w:szCs w:val="12"/>
              </w:rPr>
            </w:pPr>
            <w:r>
              <w:rPr>
                <w:sz w:val="12"/>
                <w:szCs w:val="12"/>
                <w:spacing w:val="-1"/>
              </w:rPr>
              <w:t>盐酸金刚乙按、丙环唑</w:t>
            </w:r>
          </w:p>
        </w:tc>
        <w:tc>
          <w:tcPr>
            <w:tcW w:w="1659" w:type="dxa"/>
            <w:vAlign w:val="top"/>
          </w:tcPr>
          <w:p>
            <w:pPr>
              <w:pStyle w:val="TableText"/>
              <w:ind w:left="615"/>
              <w:spacing w:before="223" w:line="220" w:lineRule="auto"/>
              <w:rPr>
                <w:sz w:val="12"/>
                <w:szCs w:val="12"/>
              </w:rPr>
            </w:pPr>
            <w:r>
              <w:rPr>
                <w:sz w:val="12"/>
                <w:szCs w:val="12"/>
                <w:spacing w:val="-1"/>
              </w:rPr>
              <w:t>800倍液</w:t>
            </w:r>
          </w:p>
        </w:tc>
        <w:tc>
          <w:tcPr>
            <w:tcW w:w="1049" w:type="dxa"/>
            <w:vAlign w:val="top"/>
          </w:tcPr>
          <w:p>
            <w:pPr>
              <w:pStyle w:val="TableText"/>
              <w:ind w:left="15" w:right="2" w:hanging="9"/>
              <w:spacing w:before="102" w:line="210" w:lineRule="auto"/>
              <w:rPr>
                <w:sz w:val="12"/>
                <w:szCs w:val="12"/>
              </w:rPr>
            </w:pPr>
            <w:r>
              <w:rPr>
                <w:sz w:val="12"/>
                <w:szCs w:val="12"/>
                <w:spacing w:val="-1"/>
              </w:rPr>
              <w:t>发病初期，每5-7天</w:t>
            </w:r>
            <w:r>
              <w:rPr>
                <w:sz w:val="12"/>
                <w:szCs w:val="12"/>
                <w:spacing w:val="2"/>
              </w:rPr>
              <w:t xml:space="preserve"> </w:t>
            </w:r>
            <w:r>
              <w:rPr>
                <w:sz w:val="12"/>
                <w:szCs w:val="12"/>
              </w:rPr>
              <w:t>咳施一次，喷3遍，</w:t>
            </w:r>
          </w:p>
          <w:p>
            <w:pPr>
              <w:pStyle w:val="TableText"/>
              <w:ind w:left="186"/>
              <w:spacing w:before="7" w:line="219" w:lineRule="auto"/>
              <w:rPr>
                <w:sz w:val="12"/>
                <w:szCs w:val="12"/>
              </w:rPr>
            </w:pPr>
            <w:r>
              <w:rPr>
                <w:sz w:val="12"/>
                <w:szCs w:val="12"/>
              </w:rPr>
              <w:t>可减轻危害。</w:t>
            </w:r>
          </w:p>
        </w:tc>
        <w:tc>
          <w:tcPr>
            <w:tcW w:w="719" w:type="dxa"/>
            <w:vAlign w:val="top"/>
          </w:tcPr>
          <w:p>
            <w:pPr>
              <w:pStyle w:val="TableText"/>
              <w:ind w:left="146"/>
              <w:spacing w:before="223" w:line="221" w:lineRule="auto"/>
              <w:rPr>
                <w:sz w:val="12"/>
                <w:szCs w:val="12"/>
              </w:rPr>
            </w:pPr>
            <w:r>
              <w:rPr>
                <w:sz w:val="12"/>
                <w:szCs w:val="12"/>
                <w:spacing w:val="-2"/>
              </w:rPr>
              <w:t>15nl/瓶</w:t>
            </w:r>
          </w:p>
        </w:tc>
        <w:tc>
          <w:tcPr>
            <w:tcW w:w="2623" w:type="dxa"/>
            <w:vAlign w:val="top"/>
          </w:tcPr>
          <w:p>
            <w:pPr>
              <w:pStyle w:val="TableText"/>
              <w:ind w:left="17"/>
              <w:spacing w:before="223" w:line="219" w:lineRule="auto"/>
              <w:rPr>
                <w:sz w:val="12"/>
                <w:szCs w:val="12"/>
              </w:rPr>
            </w:pPr>
            <w:r>
              <w:rPr>
                <w:sz w:val="12"/>
                <w:szCs w:val="12"/>
                <w:spacing w:val="-1"/>
              </w:rPr>
              <w:t>防治花叶病，对病毒性病害有特效</w:t>
            </w:r>
          </w:p>
        </w:tc>
      </w:tr>
      <w:tr>
        <w:trPr>
          <w:trHeight w:val="390" w:hRule="atLeast"/>
        </w:trPr>
        <w:tc>
          <w:tcPr>
            <w:tcW w:w="415"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pStyle w:val="TableText"/>
              <w:ind w:left="14"/>
              <w:spacing w:before="39" w:line="219" w:lineRule="auto"/>
              <w:rPr>
                <w:sz w:val="12"/>
                <w:szCs w:val="12"/>
              </w:rPr>
            </w:pPr>
            <w:r>
              <w:rPr>
                <w:sz w:val="12"/>
                <w:szCs w:val="12"/>
                <w:spacing w:val="-2"/>
              </w:rPr>
              <w:t>杀虫剂</w:t>
            </w:r>
          </w:p>
        </w:tc>
        <w:tc>
          <w:tcPr>
            <w:tcW w:w="680" w:type="dxa"/>
            <w:vAlign w:val="top"/>
            <w:vMerge w:val="restart"/>
            <w:tcBorders>
              <w:bottom w:val="nil"/>
            </w:tcBorders>
          </w:tcPr>
          <w:p>
            <w:pPr>
              <w:spacing w:line="265" w:lineRule="auto"/>
              <w:rPr>
                <w:rFonts w:ascii="Arial"/>
                <w:sz w:val="21"/>
              </w:rPr>
            </w:pPr>
            <w:r/>
          </w:p>
          <w:p>
            <w:pPr>
              <w:spacing w:line="266" w:lineRule="auto"/>
              <w:rPr>
                <w:rFonts w:ascii="Arial"/>
                <w:sz w:val="21"/>
              </w:rPr>
            </w:pPr>
            <w:r/>
          </w:p>
          <w:p>
            <w:pPr>
              <w:pStyle w:val="TableText"/>
              <w:ind w:left="90"/>
              <w:spacing w:before="39" w:line="219" w:lineRule="auto"/>
              <w:rPr>
                <w:sz w:val="12"/>
                <w:szCs w:val="12"/>
              </w:rPr>
            </w:pPr>
            <w:r>
              <w:rPr>
                <w:sz w:val="12"/>
                <w:szCs w:val="12"/>
                <w:spacing w:val="-1"/>
              </w:rPr>
              <w:t>食叶害虫</w:t>
            </w:r>
          </w:p>
        </w:tc>
        <w:tc>
          <w:tcPr>
            <w:tcW w:w="959" w:type="dxa"/>
            <w:vAlign w:val="top"/>
            <w:vMerge w:val="restart"/>
            <w:tcBorders>
              <w:bottom w:val="nil"/>
            </w:tcBorders>
          </w:tcPr>
          <w:p>
            <w:pPr>
              <w:spacing w:line="322" w:lineRule="auto"/>
              <w:rPr>
                <w:rFonts w:ascii="Arial"/>
                <w:sz w:val="21"/>
              </w:rPr>
            </w:pPr>
            <w:r/>
          </w:p>
          <w:p>
            <w:pPr>
              <w:pStyle w:val="TableText"/>
              <w:ind w:left="50"/>
              <w:spacing w:before="39" w:line="219" w:lineRule="auto"/>
              <w:rPr>
                <w:sz w:val="12"/>
                <w:szCs w:val="12"/>
              </w:rPr>
            </w:pPr>
            <w:r>
              <w:rPr>
                <w:sz w:val="12"/>
                <w:szCs w:val="12"/>
                <w:spacing w:val="-1"/>
              </w:rPr>
              <w:t>粘虫，天幕毛虫</w:t>
            </w:r>
          </w:p>
          <w:p>
            <w:pPr>
              <w:pStyle w:val="TableText"/>
              <w:ind w:left="50"/>
              <w:spacing w:before="18" w:line="215" w:lineRule="auto"/>
              <w:rPr>
                <w:sz w:val="12"/>
                <w:szCs w:val="12"/>
              </w:rPr>
            </w:pPr>
            <w:r>
              <w:rPr>
                <w:sz w:val="12"/>
                <w:szCs w:val="12"/>
                <w:spacing w:val="-3"/>
              </w:rPr>
              <w:t>、叶甲、舞毒峨</w:t>
            </w:r>
          </w:p>
          <w:p>
            <w:pPr>
              <w:pStyle w:val="TableText"/>
              <w:ind w:left="80"/>
              <w:spacing w:line="218" w:lineRule="auto"/>
              <w:rPr>
                <w:sz w:val="12"/>
                <w:szCs w:val="12"/>
              </w:rPr>
            </w:pPr>
            <w:r>
              <w:rPr>
                <w:sz w:val="12"/>
                <w:szCs w:val="12"/>
              </w:rPr>
              <w:t>、尺竣、衰蛾，</w:t>
            </w:r>
          </w:p>
          <w:p>
            <w:pPr>
              <w:pStyle w:val="TableText"/>
              <w:ind w:left="350"/>
              <w:spacing w:before="18" w:line="219" w:lineRule="auto"/>
              <w:rPr>
                <w:sz w:val="12"/>
                <w:szCs w:val="12"/>
              </w:rPr>
            </w:pPr>
            <w:r>
              <w:rPr>
                <w:sz w:val="12"/>
                <w:szCs w:val="12"/>
                <w:spacing w:val="-2"/>
              </w:rPr>
              <w:t>刺蛾</w:t>
            </w:r>
          </w:p>
        </w:tc>
        <w:tc>
          <w:tcPr>
            <w:tcW w:w="2738" w:type="dxa"/>
            <w:vAlign w:val="top"/>
            <w:vMerge w:val="restart"/>
            <w:tcBorders>
              <w:bottom w:val="nil"/>
            </w:tcBorders>
          </w:tcPr>
          <w:p>
            <w:pPr>
              <w:pStyle w:val="TableText"/>
              <w:ind w:left="11" w:right="34"/>
              <w:spacing w:before="223" w:line="225"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rPr>
              <w:t>区消杀虫卵、蛹：</w:t>
            </w:r>
          </w:p>
          <w:p>
            <w:pPr>
              <w:pStyle w:val="TableText"/>
              <w:ind w:left="11" w:right="23"/>
              <w:spacing w:before="16" w:line="218" w:lineRule="auto"/>
              <w:rPr>
                <w:sz w:val="12"/>
                <w:szCs w:val="12"/>
              </w:rPr>
            </w:pPr>
            <w:r>
              <w:rPr>
                <w:sz w:val="12"/>
                <w:szCs w:val="12"/>
                <w:spacing w:val="-1"/>
              </w:rPr>
              <w:t>二、6月是大本分害虫成蝇或羽化期，采取人工加药</w:t>
            </w:r>
            <w:r>
              <w:rPr>
                <w:sz w:val="12"/>
                <w:szCs w:val="12"/>
                <w:spacing w:val="15"/>
              </w:rPr>
              <w:t xml:space="preserve"> </w:t>
            </w:r>
            <w:r>
              <w:rPr>
                <w:sz w:val="12"/>
                <w:szCs w:val="12"/>
                <w:spacing w:val="3"/>
              </w:rPr>
              <w:t>物双重治疗除卵，除蛹，除成虫；</w:t>
            </w:r>
          </w:p>
          <w:p>
            <w:pPr>
              <w:pStyle w:val="TableText"/>
              <w:ind w:left="11" w:right="81"/>
              <w:spacing w:before="17" w:line="210" w:lineRule="auto"/>
              <w:rPr>
                <w:sz w:val="12"/>
                <w:szCs w:val="12"/>
              </w:rPr>
            </w:pPr>
            <w:r>
              <w:rPr>
                <w:sz w:val="12"/>
                <w:szCs w:val="12"/>
                <w:spacing w:val="-1"/>
              </w:rPr>
              <w:t>三、7-10月为均有零星出现，有发现病情，及时喷</w:t>
            </w:r>
            <w:r>
              <w:rPr>
                <w:sz w:val="12"/>
                <w:szCs w:val="12"/>
                <w:spacing w:val="18"/>
              </w:rPr>
              <w:t xml:space="preserve"> </w:t>
            </w:r>
            <w:r>
              <w:rPr>
                <w:sz w:val="12"/>
                <w:szCs w:val="12"/>
              </w:rPr>
              <w:t>药处理。</w:t>
            </w:r>
          </w:p>
        </w:tc>
        <w:tc>
          <w:tcPr>
            <w:tcW w:w="1279" w:type="dxa"/>
            <w:vAlign w:val="top"/>
          </w:tcPr>
          <w:p>
            <w:pPr>
              <w:pStyle w:val="TableText"/>
              <w:ind w:left="393"/>
              <w:spacing w:before="144" w:line="219" w:lineRule="auto"/>
              <w:rPr>
                <w:sz w:val="12"/>
                <w:szCs w:val="12"/>
              </w:rPr>
            </w:pPr>
            <w:r>
              <w:rPr>
                <w:sz w:val="12"/>
                <w:szCs w:val="12"/>
                <w:spacing w:val="1"/>
              </w:rPr>
              <w:t>国光毒枪</w:t>
            </w:r>
          </w:p>
        </w:tc>
        <w:tc>
          <w:tcPr>
            <w:tcW w:w="1919" w:type="dxa"/>
            <w:vAlign w:val="top"/>
          </w:tcPr>
          <w:p>
            <w:pPr>
              <w:pStyle w:val="TableText"/>
              <w:ind w:left="384"/>
              <w:spacing w:before="144" w:line="219" w:lineRule="auto"/>
              <w:rPr>
                <w:sz w:val="12"/>
                <w:szCs w:val="12"/>
              </w:rPr>
            </w:pPr>
            <w:r>
              <w:rPr>
                <w:sz w:val="12"/>
                <w:szCs w:val="12"/>
                <w:spacing w:val="-5"/>
              </w:rPr>
              <w:t>45%丙演</w:t>
            </w:r>
            <w:r>
              <w:rPr>
                <w:sz w:val="12"/>
                <w:szCs w:val="12"/>
                <w:spacing w:val="-11"/>
              </w:rPr>
              <w:t xml:space="preserve"> </w:t>
            </w:r>
            <w:r>
              <w:rPr>
                <w:sz w:val="12"/>
                <w:szCs w:val="12"/>
                <w:spacing w:val="-5"/>
              </w:rPr>
              <w:t>·辛硫磷乳油</w:t>
            </w:r>
          </w:p>
        </w:tc>
        <w:tc>
          <w:tcPr>
            <w:tcW w:w="1659" w:type="dxa"/>
            <w:vAlign w:val="top"/>
          </w:tcPr>
          <w:p>
            <w:pPr>
              <w:pStyle w:val="TableText"/>
              <w:ind w:left="315"/>
              <w:spacing w:before="144" w:line="219" w:lineRule="auto"/>
              <w:rPr>
                <w:sz w:val="12"/>
                <w:szCs w:val="12"/>
              </w:rPr>
            </w:pPr>
            <w:r>
              <w:rPr>
                <w:sz w:val="12"/>
                <w:szCs w:val="12"/>
                <w:spacing w:val="-1"/>
              </w:rPr>
              <w:t>稀释2000-3000倍液</w:t>
            </w:r>
          </w:p>
        </w:tc>
        <w:tc>
          <w:tcPr>
            <w:tcW w:w="1049"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pStyle w:val="TableText"/>
              <w:ind w:left="6"/>
              <w:spacing w:before="39" w:line="216" w:lineRule="auto"/>
              <w:rPr>
                <w:sz w:val="12"/>
                <w:szCs w:val="12"/>
              </w:rPr>
            </w:pPr>
            <w:r>
              <w:rPr>
                <w:sz w:val="12"/>
                <w:szCs w:val="12"/>
                <w:spacing w:val="-1"/>
              </w:rPr>
              <w:t>一般用3次，时间间</w:t>
            </w:r>
          </w:p>
          <w:p>
            <w:pPr>
              <w:pStyle w:val="TableText"/>
              <w:ind w:left="246"/>
              <w:spacing w:line="220" w:lineRule="auto"/>
              <w:rPr>
                <w:sz w:val="12"/>
                <w:szCs w:val="12"/>
              </w:rPr>
            </w:pPr>
            <w:r>
              <w:rPr>
                <w:sz w:val="12"/>
                <w:szCs w:val="12"/>
                <w:spacing w:val="-2"/>
              </w:rPr>
              <w:t>隔7到10天</w:t>
            </w:r>
          </w:p>
        </w:tc>
        <w:tc>
          <w:tcPr>
            <w:tcW w:w="719" w:type="dxa"/>
            <w:vAlign w:val="top"/>
          </w:tcPr>
          <w:p>
            <w:pPr>
              <w:pStyle w:val="TableText"/>
              <w:ind w:left="266" w:right="137" w:hanging="89"/>
              <w:spacing w:before="96" w:line="217"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23" w:type="dxa"/>
            <w:vAlign w:val="top"/>
          </w:tcPr>
          <w:p>
            <w:pPr>
              <w:pStyle w:val="TableText"/>
              <w:ind w:left="17"/>
              <w:spacing w:before="144" w:line="219" w:lineRule="auto"/>
              <w:rPr>
                <w:sz w:val="12"/>
                <w:szCs w:val="12"/>
              </w:rPr>
            </w:pPr>
            <w:r>
              <w:rPr>
                <w:sz w:val="12"/>
                <w:szCs w:val="12"/>
                <w:spacing w:val="-1"/>
              </w:rPr>
              <w:t>高渗透性，杀卷叶虫，包叶虫、斑潜蝇等</w:t>
            </w:r>
          </w:p>
        </w:tc>
      </w:tr>
      <w:tr>
        <w:trPr>
          <w:trHeight w:val="350" w:hRule="atLeast"/>
        </w:trPr>
        <w:tc>
          <w:tcPr>
            <w:tcW w:w="415" w:type="dxa"/>
            <w:vAlign w:val="top"/>
            <w:vMerge w:val="continue"/>
            <w:tcBorders>
              <w:top w:val="nil"/>
              <w:bottom w:val="nil"/>
            </w:tcBorders>
          </w:tcPr>
          <w:p>
            <w:pPr>
              <w:rPr>
                <w:rFonts w:ascii="Arial"/>
                <w:sz w:val="21"/>
              </w:rPr>
            </w:pPr>
            <w:r/>
          </w:p>
        </w:tc>
        <w:tc>
          <w:tcPr>
            <w:tcW w:w="68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79" w:type="dxa"/>
            <w:vAlign w:val="top"/>
          </w:tcPr>
          <w:p>
            <w:pPr>
              <w:pStyle w:val="TableText"/>
              <w:ind w:left="393"/>
              <w:spacing w:before="124" w:line="219" w:lineRule="auto"/>
              <w:rPr>
                <w:sz w:val="12"/>
                <w:szCs w:val="12"/>
              </w:rPr>
            </w:pPr>
            <w:r>
              <w:rPr>
                <w:sz w:val="12"/>
                <w:szCs w:val="12"/>
                <w:spacing w:val="1"/>
              </w:rPr>
              <w:t>国光毒箭</w:t>
            </w:r>
          </w:p>
        </w:tc>
        <w:tc>
          <w:tcPr>
            <w:tcW w:w="1919" w:type="dxa"/>
            <w:vAlign w:val="top"/>
          </w:tcPr>
          <w:p>
            <w:pPr>
              <w:pStyle w:val="TableText"/>
              <w:ind w:left="504"/>
              <w:spacing w:before="124" w:line="219" w:lineRule="auto"/>
              <w:rPr>
                <w:sz w:val="12"/>
                <w:szCs w:val="12"/>
              </w:rPr>
            </w:pPr>
            <w:r>
              <w:rPr>
                <w:sz w:val="12"/>
                <w:szCs w:val="12"/>
                <w:spacing w:val="-1"/>
              </w:rPr>
              <w:t>20%氰戊菊酯乳油</w:t>
            </w:r>
          </w:p>
        </w:tc>
        <w:tc>
          <w:tcPr>
            <w:tcW w:w="1659" w:type="dxa"/>
            <w:vAlign w:val="top"/>
          </w:tcPr>
          <w:p>
            <w:pPr>
              <w:pStyle w:val="TableText"/>
              <w:ind w:left="315"/>
              <w:spacing w:before="124" w:line="219" w:lineRule="auto"/>
              <w:rPr>
                <w:sz w:val="12"/>
                <w:szCs w:val="12"/>
              </w:rPr>
            </w:pPr>
            <w:r>
              <w:rPr>
                <w:sz w:val="12"/>
                <w:szCs w:val="12"/>
                <w:spacing w:val="-1"/>
              </w:rPr>
              <w:t>稀释2000-3000倍液</w:t>
            </w:r>
          </w:p>
        </w:tc>
        <w:tc>
          <w:tcPr>
            <w:tcW w:w="1049" w:type="dxa"/>
            <w:vAlign w:val="top"/>
            <w:vMerge w:val="continue"/>
            <w:tcBorders>
              <w:top w:val="nil"/>
              <w:bottom w:val="nil"/>
            </w:tcBorders>
          </w:tcPr>
          <w:p>
            <w:pPr>
              <w:rPr>
                <w:rFonts w:ascii="Arial"/>
                <w:sz w:val="21"/>
              </w:rPr>
            </w:pPr>
            <w:r/>
          </w:p>
        </w:tc>
        <w:tc>
          <w:tcPr>
            <w:tcW w:w="719" w:type="dxa"/>
            <w:vAlign w:val="top"/>
          </w:tcPr>
          <w:p>
            <w:pPr>
              <w:pStyle w:val="TableText"/>
              <w:ind w:left="246" w:right="167" w:hanging="100"/>
              <w:spacing w:before="46" w:line="226" w:lineRule="auto"/>
              <w:rPr>
                <w:sz w:val="12"/>
                <w:szCs w:val="12"/>
              </w:rPr>
            </w:pPr>
            <w:r>
              <w:rPr>
                <w:sz w:val="12"/>
                <w:szCs w:val="12"/>
                <w:spacing w:val="-4"/>
              </w:rPr>
              <w:t>(200al/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23" w:type="dxa"/>
            <w:vAlign w:val="top"/>
          </w:tcPr>
          <w:p>
            <w:pPr>
              <w:pStyle w:val="TableText"/>
              <w:ind w:left="17"/>
              <w:spacing w:before="123" w:line="219" w:lineRule="auto"/>
              <w:rPr>
                <w:sz w:val="12"/>
                <w:szCs w:val="12"/>
              </w:rPr>
            </w:pPr>
            <w:r>
              <w:rPr>
                <w:sz w:val="12"/>
                <w:szCs w:val="12"/>
                <w:spacing w:val="-1"/>
              </w:rPr>
              <w:t>高效广谱、长效杀虫剂，杀食叶性害虫特效</w:t>
            </w:r>
          </w:p>
        </w:tc>
      </w:tr>
      <w:tr>
        <w:trPr>
          <w:trHeight w:val="504" w:hRule="atLeast"/>
        </w:trPr>
        <w:tc>
          <w:tcPr>
            <w:tcW w:w="415" w:type="dxa"/>
            <w:vAlign w:val="top"/>
            <w:vMerge w:val="continue"/>
            <w:tcBorders>
              <w:top w:val="nil"/>
            </w:tcBorders>
          </w:tcPr>
          <w:p>
            <w:pPr>
              <w:rPr>
                <w:rFonts w:ascii="Arial"/>
                <w:sz w:val="21"/>
              </w:rPr>
            </w:pPr>
            <w:r/>
          </w:p>
        </w:tc>
        <w:tc>
          <w:tcPr>
            <w:tcW w:w="68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79" w:type="dxa"/>
            <w:vAlign w:val="top"/>
          </w:tcPr>
          <w:p>
            <w:pPr>
              <w:pStyle w:val="TableText"/>
              <w:ind w:left="393"/>
              <w:spacing w:before="194" w:line="219" w:lineRule="auto"/>
              <w:rPr>
                <w:sz w:val="12"/>
                <w:szCs w:val="12"/>
              </w:rPr>
            </w:pPr>
            <w:r>
              <w:rPr>
                <w:sz w:val="12"/>
                <w:szCs w:val="12"/>
                <w:spacing w:val="1"/>
              </w:rPr>
              <w:t>国光乐克</w:t>
            </w:r>
          </w:p>
        </w:tc>
        <w:tc>
          <w:tcPr>
            <w:tcW w:w="1919" w:type="dxa"/>
            <w:vAlign w:val="top"/>
          </w:tcPr>
          <w:p>
            <w:pPr>
              <w:pStyle w:val="TableText"/>
              <w:ind w:left="143"/>
              <w:spacing w:before="193" w:line="219" w:lineRule="auto"/>
              <w:rPr>
                <w:sz w:val="12"/>
                <w:szCs w:val="12"/>
              </w:rPr>
            </w:pPr>
            <w:r>
              <w:rPr>
                <w:sz w:val="12"/>
                <w:szCs w:val="12"/>
              </w:rPr>
              <w:t>甲氦基阿维菌素苯甲酸盐5.70%</w:t>
            </w:r>
          </w:p>
        </w:tc>
        <w:tc>
          <w:tcPr>
            <w:tcW w:w="1659" w:type="dxa"/>
            <w:vAlign w:val="top"/>
          </w:tcPr>
          <w:p>
            <w:pPr>
              <w:pStyle w:val="TableText"/>
              <w:ind w:left="494"/>
              <w:spacing w:before="194" w:line="220" w:lineRule="auto"/>
              <w:rPr>
                <w:sz w:val="12"/>
                <w:szCs w:val="12"/>
              </w:rPr>
            </w:pPr>
            <w:r>
              <w:rPr>
                <w:sz w:val="12"/>
                <w:szCs w:val="12"/>
                <w:spacing w:val="-5"/>
              </w:rPr>
              <w:t>1000—1500倍</w:t>
            </w:r>
          </w:p>
        </w:tc>
        <w:tc>
          <w:tcPr>
            <w:tcW w:w="1049" w:type="dxa"/>
            <w:vAlign w:val="top"/>
            <w:vMerge w:val="continue"/>
            <w:tcBorders>
              <w:top w:val="nil"/>
            </w:tcBorders>
          </w:tcPr>
          <w:p>
            <w:pPr>
              <w:rPr>
                <w:rFonts w:ascii="Arial"/>
                <w:sz w:val="21"/>
              </w:rPr>
            </w:pPr>
            <w:r/>
          </w:p>
        </w:tc>
        <w:tc>
          <w:tcPr>
            <w:tcW w:w="719" w:type="dxa"/>
            <w:vAlign w:val="top"/>
          </w:tcPr>
          <w:p>
            <w:pPr>
              <w:pStyle w:val="TableText"/>
              <w:ind w:left="146"/>
              <w:spacing w:before="194" w:line="221" w:lineRule="auto"/>
              <w:rPr>
                <w:sz w:val="12"/>
                <w:szCs w:val="12"/>
              </w:rPr>
            </w:pPr>
            <w:r>
              <w:rPr>
                <w:sz w:val="12"/>
                <w:szCs w:val="12"/>
                <w:spacing w:val="-1"/>
              </w:rPr>
              <w:t>00ml/瓶</w:t>
            </w:r>
          </w:p>
        </w:tc>
        <w:tc>
          <w:tcPr>
            <w:tcW w:w="2623" w:type="dxa"/>
            <w:vAlign w:val="top"/>
          </w:tcPr>
          <w:p>
            <w:pPr>
              <w:pStyle w:val="TableText"/>
              <w:ind w:left="17"/>
              <w:spacing w:before="193" w:line="219" w:lineRule="auto"/>
              <w:rPr>
                <w:sz w:val="12"/>
                <w:szCs w:val="12"/>
              </w:rPr>
            </w:pPr>
            <w:r>
              <w:rPr>
                <w:sz w:val="12"/>
                <w:szCs w:val="12"/>
                <w:spacing w:val="-1"/>
              </w:rPr>
              <w:t>高效广谱杀虫剂，杀食叶性害虫特效</w:t>
            </w:r>
          </w:p>
        </w:tc>
      </w:tr>
    </w:tbl>
    <w:p>
      <w:pPr>
        <w:spacing w:line="74" w:lineRule="exact"/>
        <w:rPr>
          <w:rFonts w:ascii="Arial"/>
          <w:sz w:val="6"/>
        </w:rPr>
      </w:pPr>
      <w:r/>
    </w:p>
    <w:p>
      <w:pPr>
        <w:spacing w:line="74" w:lineRule="exact"/>
        <w:sectPr>
          <w:pgSz w:w="14490" w:h="10240"/>
          <w:pgMar w:top="104" w:right="244" w:bottom="400" w:left="194" w:header="0" w:footer="0" w:gutter="0"/>
        </w:sectPr>
        <w:rPr>
          <w:rFonts w:ascii="Arial" w:hAnsi="Arial" w:eastAsia="Arial" w:cs="Arial"/>
          <w:sz w:val="6"/>
          <w:szCs w:val="6"/>
        </w:rPr>
      </w:pPr>
    </w:p>
    <w:tbl>
      <w:tblPr>
        <w:tblStyle w:val="TableNormal"/>
        <w:tblW w:w="140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670"/>
        <w:gridCol w:w="949"/>
        <w:gridCol w:w="2738"/>
        <w:gridCol w:w="1289"/>
        <w:gridCol w:w="1919"/>
        <w:gridCol w:w="1659"/>
        <w:gridCol w:w="1049"/>
        <w:gridCol w:w="709"/>
        <w:gridCol w:w="2623"/>
      </w:tblGrid>
      <w:tr>
        <w:trPr>
          <w:trHeight w:val="524" w:hRule="atLeast"/>
        </w:trPr>
        <w:tc>
          <w:tcPr>
            <w:tcW w:w="425"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spacing w:before="39" w:line="219" w:lineRule="auto"/>
              <w:jc w:val="right"/>
              <w:rPr>
                <w:sz w:val="12"/>
                <w:szCs w:val="12"/>
              </w:rPr>
            </w:pPr>
            <w:r>
              <w:rPr>
                <w:sz w:val="12"/>
                <w:szCs w:val="12"/>
                <w:spacing w:val="13"/>
              </w:rPr>
              <w:t>杀虫剂</w:t>
            </w:r>
          </w:p>
        </w:tc>
        <w:tc>
          <w:tcPr>
            <w:tcW w:w="670" w:type="dxa"/>
            <w:vAlign w:val="top"/>
            <w:vMerge w:val="restart"/>
            <w:tcBorders>
              <w:bottom w:val="nil"/>
            </w:tcBorders>
          </w:tcPr>
          <w:p>
            <w:pPr>
              <w:spacing w:line="298" w:lineRule="auto"/>
              <w:rPr>
                <w:rFonts w:ascii="Arial"/>
                <w:sz w:val="21"/>
              </w:rPr>
            </w:pPr>
            <w:r/>
          </w:p>
          <w:p>
            <w:pPr>
              <w:spacing w:line="299" w:lineRule="auto"/>
              <w:rPr>
                <w:rFonts w:ascii="Arial"/>
                <w:sz w:val="21"/>
              </w:rPr>
            </w:pPr>
            <w:r/>
          </w:p>
          <w:p>
            <w:pPr>
              <w:pStyle w:val="TableText"/>
              <w:ind w:left="80"/>
              <w:spacing w:before="39" w:line="219" w:lineRule="auto"/>
              <w:rPr>
                <w:sz w:val="12"/>
                <w:szCs w:val="12"/>
              </w:rPr>
            </w:pPr>
            <w:r>
              <w:rPr>
                <w:sz w:val="12"/>
                <w:szCs w:val="12"/>
                <w:spacing w:val="-1"/>
              </w:rPr>
              <w:t>刺吸害虫</w:t>
            </w:r>
          </w:p>
        </w:tc>
        <w:tc>
          <w:tcPr>
            <w:tcW w:w="949"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pStyle w:val="TableText"/>
              <w:ind w:left="99" w:right="28" w:hanging="89"/>
              <w:spacing w:before="39" w:line="209" w:lineRule="auto"/>
              <w:rPr>
                <w:sz w:val="12"/>
                <w:szCs w:val="12"/>
              </w:rPr>
            </w:pPr>
            <w:r>
              <w:rPr>
                <w:sz w:val="12"/>
                <w:szCs w:val="12"/>
                <w:spacing w:val="8"/>
              </w:rPr>
              <w:t>球坚蚡、磨蚧、</w:t>
            </w:r>
            <w:r>
              <w:rPr>
                <w:sz w:val="12"/>
                <w:szCs w:val="12"/>
                <w:spacing w:val="2"/>
              </w:rPr>
              <w:t xml:space="preserve"> </w:t>
            </w:r>
            <w:r>
              <w:rPr>
                <w:sz w:val="12"/>
                <w:szCs w:val="12"/>
                <w:spacing w:val="-1"/>
              </w:rPr>
              <w:t>粉蚡、吹棉蚧</w:t>
            </w:r>
          </w:p>
        </w:tc>
        <w:tc>
          <w:tcPr>
            <w:tcW w:w="2738" w:type="dxa"/>
            <w:vAlign w:val="top"/>
            <w:vMerge w:val="restart"/>
            <w:tcBorders>
              <w:bottom w:val="nil"/>
            </w:tcBorders>
          </w:tcPr>
          <w:p>
            <w:pPr>
              <w:spacing w:line="368" w:lineRule="auto"/>
              <w:rPr>
                <w:rFonts w:ascii="Arial"/>
                <w:sz w:val="21"/>
              </w:rPr>
            </w:pPr>
            <w:r/>
          </w:p>
          <w:p>
            <w:pPr>
              <w:pStyle w:val="TableText"/>
              <w:ind w:left="11" w:right="149"/>
              <w:spacing w:before="39" w:line="242" w:lineRule="auto"/>
              <w:rPr>
                <w:sz w:val="12"/>
                <w:szCs w:val="12"/>
              </w:rPr>
            </w:pPr>
            <w:r>
              <w:rPr>
                <w:sz w:val="12"/>
                <w:szCs w:val="12"/>
                <w:spacing w:val="-1"/>
              </w:rPr>
              <w:t>一、4月已经有成虫出现，配合春季消杀，预防为</w:t>
            </w:r>
            <w:r>
              <w:rPr>
                <w:sz w:val="12"/>
                <w:szCs w:val="12"/>
                <w:spacing w:val="8"/>
              </w:rPr>
              <w:t xml:space="preserve"> </w:t>
            </w:r>
            <w:r>
              <w:rPr>
                <w:sz w:val="12"/>
                <w:szCs w:val="12"/>
                <w:spacing w:val="-3"/>
              </w:rPr>
              <w:t>主</w:t>
            </w:r>
            <w:r>
              <w:rPr>
                <w:sz w:val="12"/>
                <w:szCs w:val="12"/>
                <w:spacing w:val="-27"/>
              </w:rPr>
              <w:t xml:space="preserve"> </w:t>
            </w:r>
            <w:r>
              <w:rPr>
                <w:sz w:val="12"/>
                <w:szCs w:val="12"/>
                <w:spacing w:val="-3"/>
              </w:rPr>
              <w:t>：</w:t>
            </w:r>
          </w:p>
          <w:p>
            <w:pPr>
              <w:pStyle w:val="TableText"/>
              <w:ind w:left="11" w:right="83"/>
              <w:spacing w:before="5" w:line="210" w:lineRule="auto"/>
              <w:rPr>
                <w:sz w:val="12"/>
                <w:szCs w:val="12"/>
              </w:rPr>
            </w:pPr>
            <w:r>
              <w:rPr>
                <w:sz w:val="12"/>
                <w:szCs w:val="12"/>
                <w:spacing w:val="-1"/>
              </w:rPr>
              <w:t>二、5-10月为均有零星出现，有发现病情。及时喷</w:t>
            </w:r>
            <w:r>
              <w:rPr>
                <w:sz w:val="12"/>
                <w:szCs w:val="12"/>
                <w:spacing w:val="16"/>
              </w:rPr>
              <w:t xml:space="preserve"> </w:t>
            </w:r>
            <w:r>
              <w:rPr>
                <w:sz w:val="12"/>
                <w:szCs w:val="12"/>
              </w:rPr>
              <w:t>药处理。</w:t>
            </w:r>
          </w:p>
        </w:tc>
        <w:tc>
          <w:tcPr>
            <w:tcW w:w="1289" w:type="dxa"/>
            <w:vAlign w:val="top"/>
          </w:tcPr>
          <w:p>
            <w:pPr>
              <w:pStyle w:val="TableText"/>
              <w:ind w:left="333"/>
              <w:spacing w:before="199" w:line="219" w:lineRule="auto"/>
              <w:rPr>
                <w:sz w:val="12"/>
                <w:szCs w:val="12"/>
              </w:rPr>
            </w:pPr>
            <w:r>
              <w:rPr>
                <w:sz w:val="12"/>
                <w:szCs w:val="12"/>
                <w:spacing w:val="2"/>
              </w:rPr>
              <w:t>国光矫必治</w:t>
            </w:r>
          </w:p>
        </w:tc>
        <w:tc>
          <w:tcPr>
            <w:tcW w:w="1919" w:type="dxa"/>
            <w:vAlign w:val="top"/>
          </w:tcPr>
          <w:p>
            <w:pPr>
              <w:pStyle w:val="TableText"/>
              <w:ind w:left="324"/>
              <w:spacing w:before="200" w:line="219" w:lineRule="auto"/>
              <w:rPr>
                <w:sz w:val="12"/>
                <w:szCs w:val="12"/>
              </w:rPr>
            </w:pPr>
            <w:r>
              <w:rPr>
                <w:sz w:val="12"/>
                <w:szCs w:val="12"/>
                <w:spacing w:val="-5"/>
              </w:rPr>
              <w:t>40M实虫眯</w:t>
            </w:r>
            <w:r>
              <w:rPr>
                <w:sz w:val="12"/>
                <w:szCs w:val="12"/>
                <w:spacing w:val="-6"/>
              </w:rPr>
              <w:t xml:space="preserve"> </w:t>
            </w:r>
            <w:r>
              <w:rPr>
                <w:sz w:val="12"/>
                <w:szCs w:val="12"/>
                <w:spacing w:val="-5"/>
              </w:rPr>
              <w:t>·毒死婢乳油</w:t>
            </w:r>
          </w:p>
        </w:tc>
        <w:tc>
          <w:tcPr>
            <w:tcW w:w="1659" w:type="dxa"/>
            <w:vAlign w:val="top"/>
          </w:tcPr>
          <w:p>
            <w:pPr>
              <w:pStyle w:val="TableText"/>
              <w:ind w:left="315"/>
              <w:spacing w:before="200" w:line="219" w:lineRule="auto"/>
              <w:rPr>
                <w:sz w:val="12"/>
                <w:szCs w:val="12"/>
              </w:rPr>
            </w:pPr>
            <w:r>
              <w:rPr>
                <w:sz w:val="12"/>
                <w:szCs w:val="12"/>
                <w:spacing w:val="-1"/>
              </w:rPr>
              <w:t>稀释2000-3000倍液</w:t>
            </w:r>
          </w:p>
        </w:tc>
        <w:tc>
          <w:tcPr>
            <w:tcW w:w="1049" w:type="dxa"/>
            <w:vAlign w:val="top"/>
          </w:tcPr>
          <w:p>
            <w:pPr>
              <w:rPr>
                <w:rFonts w:ascii="Arial"/>
                <w:sz w:val="21"/>
              </w:rPr>
            </w:pPr>
            <w:r/>
          </w:p>
        </w:tc>
        <w:tc>
          <w:tcPr>
            <w:tcW w:w="709" w:type="dxa"/>
            <w:vAlign w:val="top"/>
          </w:tcPr>
          <w:p>
            <w:pPr>
              <w:pStyle w:val="TableText"/>
              <w:ind w:left="76"/>
              <w:spacing w:before="195" w:line="214" w:lineRule="auto"/>
              <w:rPr>
                <w:sz w:val="12"/>
                <w:szCs w:val="12"/>
              </w:rPr>
            </w:pPr>
            <w:r>
              <w:rPr>
                <w:sz w:val="12"/>
                <w:szCs w:val="12"/>
                <w:spacing w:val="3"/>
              </w:rPr>
              <w:t>(200g/瓶)</w:t>
            </w:r>
          </w:p>
        </w:tc>
        <w:tc>
          <w:tcPr>
            <w:tcW w:w="2623" w:type="dxa"/>
            <w:vAlign w:val="top"/>
          </w:tcPr>
          <w:p>
            <w:pPr>
              <w:pStyle w:val="TableText"/>
              <w:ind w:left="8"/>
              <w:spacing w:before="199" w:line="219" w:lineRule="auto"/>
              <w:rPr>
                <w:sz w:val="12"/>
                <w:szCs w:val="12"/>
              </w:rPr>
            </w:pPr>
            <w:r>
              <w:rPr>
                <w:sz w:val="12"/>
                <w:szCs w:val="12"/>
                <w:spacing w:val="-1"/>
              </w:rPr>
              <w:t>专杀介壳虫，食叶类害虫，地下害虫</w:t>
            </w:r>
          </w:p>
        </w:tc>
      </w:tr>
      <w:tr>
        <w:trPr>
          <w:trHeight w:val="430"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156" w:line="220" w:lineRule="auto"/>
              <w:rPr>
                <w:sz w:val="12"/>
                <w:szCs w:val="12"/>
              </w:rPr>
            </w:pPr>
            <w:r>
              <w:rPr>
                <w:sz w:val="12"/>
                <w:szCs w:val="12"/>
                <w:spacing w:val="1"/>
              </w:rPr>
              <w:t>中威捕捉手</w:t>
            </w:r>
          </w:p>
        </w:tc>
        <w:tc>
          <w:tcPr>
            <w:tcW w:w="1919" w:type="dxa"/>
            <w:vAlign w:val="top"/>
          </w:tcPr>
          <w:p>
            <w:pPr>
              <w:pStyle w:val="TableText"/>
              <w:ind w:left="504"/>
              <w:spacing w:before="155" w:line="219" w:lineRule="auto"/>
              <w:rPr>
                <w:sz w:val="12"/>
                <w:szCs w:val="12"/>
              </w:rPr>
            </w:pPr>
            <w:r>
              <w:rPr>
                <w:sz w:val="12"/>
                <w:szCs w:val="12"/>
                <w:spacing w:val="-6"/>
              </w:rPr>
              <w:t>高氧</w:t>
            </w:r>
            <w:r>
              <w:rPr>
                <w:sz w:val="12"/>
                <w:szCs w:val="12"/>
                <w:spacing w:val="-15"/>
              </w:rPr>
              <w:t xml:space="preserve"> </w:t>
            </w:r>
            <w:r>
              <w:rPr>
                <w:sz w:val="12"/>
                <w:szCs w:val="12"/>
                <w:spacing w:val="-6"/>
              </w:rPr>
              <w:t>·毒死蟀15%</w:t>
            </w:r>
          </w:p>
        </w:tc>
        <w:tc>
          <w:tcPr>
            <w:tcW w:w="1659" w:type="dxa"/>
            <w:vAlign w:val="top"/>
          </w:tcPr>
          <w:p>
            <w:pPr>
              <w:pStyle w:val="TableText"/>
              <w:ind w:left="434"/>
              <w:spacing w:before="156" w:line="220" w:lineRule="auto"/>
              <w:rPr>
                <w:sz w:val="12"/>
                <w:szCs w:val="12"/>
              </w:rPr>
            </w:pPr>
            <w:r>
              <w:rPr>
                <w:sz w:val="12"/>
                <w:szCs w:val="12"/>
                <w:spacing w:val="-2"/>
              </w:rPr>
              <w:t>1000-1500倍波</w:t>
            </w:r>
          </w:p>
        </w:tc>
        <w:tc>
          <w:tcPr>
            <w:tcW w:w="1049" w:type="dxa"/>
            <w:vAlign w:val="top"/>
            <w:vMerge w:val="restart"/>
            <w:tcBorders>
              <w:bottom w:val="nil"/>
            </w:tcBorders>
          </w:tcPr>
          <w:p>
            <w:pPr>
              <w:pStyle w:val="TableText"/>
              <w:ind w:left="6"/>
              <w:spacing w:before="6" w:line="185" w:lineRule="auto"/>
              <w:rPr>
                <w:sz w:val="12"/>
                <w:szCs w:val="12"/>
              </w:rPr>
            </w:pPr>
            <w:r>
              <w:rPr>
                <w:sz w:val="12"/>
                <w:szCs w:val="12"/>
                <w:spacing w:val="-1"/>
              </w:rPr>
              <w:t>一般用3次，时间间</w:t>
            </w:r>
          </w:p>
          <w:p>
            <w:pPr>
              <w:pStyle w:val="TableText"/>
              <w:ind w:left="16"/>
              <w:spacing w:line="214" w:lineRule="auto"/>
              <w:rPr>
                <w:sz w:val="12"/>
                <w:szCs w:val="12"/>
              </w:rPr>
            </w:pPr>
            <w:r>
              <w:rPr>
                <w:sz w:val="12"/>
                <w:szCs w:val="12"/>
                <w:spacing w:val="-2"/>
              </w:rPr>
              <w:t>隔7到10天，视现场</w:t>
            </w:r>
          </w:p>
          <w:p>
            <w:pPr>
              <w:pStyle w:val="TableText"/>
              <w:ind w:left="116"/>
              <w:spacing w:line="219" w:lineRule="auto"/>
              <w:rPr>
                <w:sz w:val="12"/>
                <w:szCs w:val="12"/>
              </w:rPr>
            </w:pPr>
            <w:r>
              <w:rPr>
                <w:sz w:val="12"/>
                <w:szCs w:val="12"/>
                <w:spacing w:val="-1"/>
              </w:rPr>
              <w:t>情况可增加次数</w:t>
            </w:r>
          </w:p>
        </w:tc>
        <w:tc>
          <w:tcPr>
            <w:tcW w:w="709" w:type="dxa"/>
            <w:vAlign w:val="top"/>
          </w:tcPr>
          <w:p>
            <w:pPr>
              <w:pStyle w:val="TableText"/>
              <w:ind w:left="256" w:right="167" w:hanging="120"/>
              <w:spacing w:before="98" w:line="217"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23" w:type="dxa"/>
            <w:vAlign w:val="top"/>
          </w:tcPr>
          <w:p>
            <w:pPr>
              <w:pStyle w:val="TableText"/>
              <w:ind w:left="8"/>
              <w:spacing w:before="156" w:line="219" w:lineRule="auto"/>
              <w:rPr>
                <w:sz w:val="12"/>
                <w:szCs w:val="12"/>
              </w:rPr>
            </w:pPr>
            <w:r>
              <w:rPr>
                <w:sz w:val="12"/>
                <w:szCs w:val="12"/>
                <w:spacing w:val="-1"/>
              </w:rPr>
              <w:t>主要防治蛾壳虫、班潜蝇及鳞翅目幼虫、飞函等</w:t>
            </w:r>
          </w:p>
        </w:tc>
      </w:tr>
      <w:tr>
        <w:trPr>
          <w:trHeight w:val="41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273"/>
              <w:spacing w:before="145" w:line="219" w:lineRule="auto"/>
              <w:rPr>
                <w:sz w:val="12"/>
                <w:szCs w:val="12"/>
              </w:rPr>
            </w:pPr>
            <w:r>
              <w:rPr>
                <w:sz w:val="12"/>
                <w:szCs w:val="12"/>
                <w:spacing w:val="-1"/>
              </w:rPr>
              <w:t>诺替信速介清</w:t>
            </w:r>
          </w:p>
        </w:tc>
        <w:tc>
          <w:tcPr>
            <w:tcW w:w="1919" w:type="dxa"/>
            <w:vAlign w:val="top"/>
          </w:tcPr>
          <w:p>
            <w:pPr>
              <w:pStyle w:val="TableText"/>
              <w:ind w:left="684"/>
              <w:spacing w:before="146" w:line="219" w:lineRule="auto"/>
              <w:rPr>
                <w:sz w:val="12"/>
                <w:szCs w:val="12"/>
              </w:rPr>
            </w:pPr>
            <w:r>
              <w:rPr>
                <w:sz w:val="12"/>
                <w:szCs w:val="12"/>
                <w:spacing w:val="-2"/>
              </w:rPr>
              <w:t>杀扑磷40%</w:t>
            </w:r>
          </w:p>
        </w:tc>
        <w:tc>
          <w:tcPr>
            <w:tcW w:w="1659" w:type="dxa"/>
            <w:vAlign w:val="top"/>
          </w:tcPr>
          <w:p>
            <w:pPr>
              <w:pStyle w:val="TableText"/>
              <w:ind w:left="494"/>
              <w:spacing w:before="146" w:line="220" w:lineRule="auto"/>
              <w:rPr>
                <w:sz w:val="12"/>
                <w:szCs w:val="12"/>
              </w:rPr>
            </w:pPr>
            <w:r>
              <w:rPr>
                <w:sz w:val="12"/>
                <w:szCs w:val="12"/>
                <w:spacing w:val="-5"/>
              </w:rPr>
              <w:t>1000—1500倍</w:t>
            </w:r>
          </w:p>
        </w:tc>
        <w:tc>
          <w:tcPr>
            <w:tcW w:w="1049" w:type="dxa"/>
            <w:vAlign w:val="top"/>
            <w:vMerge w:val="continue"/>
            <w:tcBorders>
              <w:top w:val="nil"/>
            </w:tcBorders>
          </w:tcPr>
          <w:p>
            <w:pPr>
              <w:rPr>
                <w:rFonts w:ascii="Arial"/>
                <w:sz w:val="21"/>
              </w:rPr>
            </w:pPr>
            <w:r/>
          </w:p>
        </w:tc>
        <w:tc>
          <w:tcPr>
            <w:tcW w:w="709" w:type="dxa"/>
            <w:vAlign w:val="top"/>
          </w:tcPr>
          <w:p>
            <w:pPr>
              <w:pStyle w:val="TableText"/>
              <w:ind w:left="76"/>
              <w:spacing w:before="146" w:line="221" w:lineRule="auto"/>
              <w:rPr>
                <w:sz w:val="12"/>
                <w:szCs w:val="12"/>
              </w:rPr>
            </w:pPr>
            <w:r>
              <w:rPr>
                <w:sz w:val="12"/>
                <w:szCs w:val="12"/>
                <w:spacing w:val="-2"/>
              </w:rPr>
              <w:t>1000ml/瓶</w:t>
            </w:r>
          </w:p>
        </w:tc>
        <w:tc>
          <w:tcPr>
            <w:tcW w:w="2623" w:type="dxa"/>
            <w:vAlign w:val="top"/>
          </w:tcPr>
          <w:p>
            <w:pPr>
              <w:pStyle w:val="TableText"/>
              <w:ind w:left="8"/>
              <w:spacing w:before="145" w:line="219" w:lineRule="auto"/>
              <w:rPr>
                <w:sz w:val="12"/>
                <w:szCs w:val="12"/>
              </w:rPr>
            </w:pPr>
            <w:r>
              <w:rPr>
                <w:sz w:val="12"/>
                <w:szCs w:val="12"/>
                <w:spacing w:val="-1"/>
              </w:rPr>
              <w:t>杀灭介壳虫，活性高</w:t>
            </w:r>
          </w:p>
        </w:tc>
      </w:tr>
      <w:tr>
        <w:trPr>
          <w:trHeight w:val="410" w:hRule="atLeast"/>
        </w:trPr>
        <w:tc>
          <w:tcPr>
            <w:tcW w:w="425" w:type="dxa"/>
            <w:vAlign w:val="top"/>
            <w:vMerge w:val="continue"/>
            <w:tcBorders>
              <w:top w:val="nil"/>
              <w:bottom w:val="nil"/>
            </w:tcBorders>
          </w:tcPr>
          <w:p>
            <w:pPr>
              <w:rPr>
                <w:rFonts w:ascii="Arial"/>
                <w:sz w:val="21"/>
              </w:rPr>
            </w:pPr>
            <w:r/>
          </w:p>
        </w:tc>
        <w:tc>
          <w:tcPr>
            <w:tcW w:w="670"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pStyle w:val="TableText"/>
              <w:ind w:left="80"/>
              <w:spacing w:before="39" w:line="219" w:lineRule="auto"/>
              <w:rPr>
                <w:sz w:val="12"/>
                <w:szCs w:val="12"/>
              </w:rPr>
            </w:pPr>
            <w:r>
              <w:rPr>
                <w:sz w:val="12"/>
                <w:szCs w:val="12"/>
                <w:spacing w:val="-1"/>
              </w:rPr>
              <w:t>刺吸害虫</w:t>
            </w:r>
          </w:p>
        </w:tc>
        <w:tc>
          <w:tcPr>
            <w:tcW w:w="949" w:type="dxa"/>
            <w:vAlign w:val="top"/>
            <w:vMerge w:val="restart"/>
            <w:tcBorders>
              <w:bottom w:val="nil"/>
            </w:tcBorders>
          </w:tcPr>
          <w:p>
            <w:pPr>
              <w:spacing w:line="455" w:lineRule="auto"/>
              <w:rPr>
                <w:rFonts w:ascii="Arial"/>
                <w:sz w:val="21"/>
              </w:rPr>
            </w:pPr>
            <w:r/>
          </w:p>
          <w:p>
            <w:pPr>
              <w:pStyle w:val="TableText"/>
              <w:ind w:left="219" w:right="88" w:hanging="209"/>
              <w:spacing w:before="39" w:line="247" w:lineRule="auto"/>
              <w:rPr>
                <w:sz w:val="12"/>
                <w:szCs w:val="12"/>
              </w:rPr>
            </w:pPr>
            <w:r>
              <w:rPr>
                <w:sz w:val="12"/>
                <w:szCs w:val="12"/>
              </w:rPr>
              <w:t>蚜虫、红蜘蛛。 </w:t>
            </w:r>
            <w:r>
              <w:rPr>
                <w:sz w:val="12"/>
                <w:szCs w:val="12"/>
                <w:spacing w:val="-2"/>
              </w:rPr>
              <w:t>大青叶蝉</w:t>
            </w:r>
          </w:p>
        </w:tc>
        <w:tc>
          <w:tcPr>
            <w:tcW w:w="2738"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 w:right="34"/>
              <w:spacing w:before="39" w:line="207"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spacing w:val="-1"/>
              </w:rPr>
              <w:t>区消杀虫卵、蛸：</w:t>
            </w:r>
          </w:p>
          <w:p>
            <w:pPr>
              <w:pStyle w:val="TableText"/>
              <w:ind w:left="11" w:right="21"/>
              <w:spacing w:before="1" w:line="232" w:lineRule="auto"/>
              <w:rPr>
                <w:sz w:val="12"/>
                <w:szCs w:val="12"/>
              </w:rPr>
            </w:pPr>
            <w:r>
              <w:rPr>
                <w:sz w:val="12"/>
                <w:szCs w:val="12"/>
                <w:spacing w:val="-1"/>
              </w:rPr>
              <w:t>三，6月-9月是大部分害虫成蛹或羽化期。采取人工</w:t>
            </w:r>
            <w:r>
              <w:rPr>
                <w:sz w:val="12"/>
                <w:szCs w:val="12"/>
                <w:spacing w:val="18"/>
              </w:rPr>
              <w:t xml:space="preserve"> </w:t>
            </w:r>
            <w:r>
              <w:rPr>
                <w:sz w:val="12"/>
                <w:szCs w:val="12"/>
              </w:rPr>
              <w:t>加药物双重治疗除卵，除蛹，除成虫。</w:t>
            </w:r>
          </w:p>
        </w:tc>
        <w:tc>
          <w:tcPr>
            <w:tcW w:w="1289" w:type="dxa"/>
            <w:vAlign w:val="top"/>
          </w:tcPr>
          <w:p>
            <w:pPr>
              <w:pStyle w:val="TableText"/>
              <w:ind w:left="393"/>
              <w:spacing w:before="147" w:line="219" w:lineRule="auto"/>
              <w:rPr>
                <w:sz w:val="12"/>
                <w:szCs w:val="12"/>
              </w:rPr>
            </w:pPr>
            <w:r>
              <w:rPr>
                <w:sz w:val="12"/>
                <w:szCs w:val="12"/>
                <w:spacing w:val="1"/>
              </w:rPr>
              <w:t>国光毙克</w:t>
            </w:r>
          </w:p>
        </w:tc>
        <w:tc>
          <w:tcPr>
            <w:tcW w:w="1919" w:type="dxa"/>
            <w:vAlign w:val="top"/>
          </w:tcPr>
          <w:p>
            <w:pPr>
              <w:pStyle w:val="TableText"/>
              <w:ind w:left="684"/>
              <w:spacing w:before="147" w:line="221" w:lineRule="auto"/>
              <w:rPr>
                <w:sz w:val="12"/>
                <w:szCs w:val="12"/>
              </w:rPr>
            </w:pPr>
            <w:r>
              <w:rPr>
                <w:sz w:val="12"/>
                <w:szCs w:val="12"/>
                <w:spacing w:val="-2"/>
              </w:rPr>
              <w:t>10%毗虫琳</w:t>
            </w:r>
          </w:p>
        </w:tc>
        <w:tc>
          <w:tcPr>
            <w:tcW w:w="1659" w:type="dxa"/>
            <w:vAlign w:val="top"/>
          </w:tcPr>
          <w:p>
            <w:pPr>
              <w:pStyle w:val="TableText"/>
              <w:ind w:left="315"/>
              <w:spacing w:before="147" w:line="219" w:lineRule="auto"/>
              <w:rPr>
                <w:sz w:val="12"/>
                <w:szCs w:val="12"/>
              </w:rPr>
            </w:pPr>
            <w:r>
              <w:rPr>
                <w:sz w:val="12"/>
                <w:szCs w:val="12"/>
                <w:spacing w:val="-1"/>
              </w:rPr>
              <w:t>稀释1000-1500倍液</w:t>
            </w:r>
          </w:p>
        </w:tc>
        <w:tc>
          <w:tcPr>
            <w:tcW w:w="1049" w:type="dxa"/>
            <w:vAlign w:val="top"/>
            <w:vMerge w:val="restart"/>
            <w:tcBorders>
              <w:bottom w:val="nil"/>
            </w:tcBorders>
          </w:tcPr>
          <w:p>
            <w:pPr>
              <w:spacing w:line="395" w:lineRule="auto"/>
              <w:rPr>
                <w:rFonts w:ascii="Arial"/>
                <w:sz w:val="21"/>
              </w:rPr>
            </w:pPr>
            <w:r/>
          </w:p>
          <w:p>
            <w:pPr>
              <w:pStyle w:val="TableText"/>
              <w:ind w:left="6"/>
              <w:spacing w:before="39" w:line="201" w:lineRule="auto"/>
              <w:rPr>
                <w:sz w:val="12"/>
                <w:szCs w:val="12"/>
              </w:rPr>
            </w:pPr>
            <w:r>
              <w:rPr>
                <w:sz w:val="12"/>
                <w:szCs w:val="12"/>
                <w:spacing w:val="-1"/>
              </w:rPr>
              <w:t>一般用3次，时间间</w:t>
            </w:r>
          </w:p>
          <w:p>
            <w:pPr>
              <w:pStyle w:val="TableText"/>
              <w:ind w:left="16"/>
              <w:spacing w:line="220" w:lineRule="auto"/>
              <w:rPr>
                <w:sz w:val="12"/>
                <w:szCs w:val="12"/>
              </w:rPr>
            </w:pPr>
            <w:r>
              <w:rPr>
                <w:sz w:val="12"/>
                <w:szCs w:val="12"/>
                <w:spacing w:val="-2"/>
              </w:rPr>
              <w:t>隔7到10天，视现场</w:t>
            </w:r>
          </w:p>
          <w:p>
            <w:pPr>
              <w:pStyle w:val="TableText"/>
              <w:ind w:left="126"/>
              <w:spacing w:before="6" w:line="219" w:lineRule="auto"/>
              <w:rPr>
                <w:sz w:val="12"/>
                <w:szCs w:val="12"/>
              </w:rPr>
            </w:pPr>
            <w:r>
              <w:rPr>
                <w:sz w:val="12"/>
                <w:szCs w:val="12"/>
                <w:spacing w:val="-1"/>
              </w:rPr>
              <w:t>情况可增加次数</w:t>
            </w:r>
          </w:p>
        </w:tc>
        <w:tc>
          <w:tcPr>
            <w:tcW w:w="709" w:type="dxa"/>
            <w:vAlign w:val="top"/>
          </w:tcPr>
          <w:p>
            <w:pPr>
              <w:pStyle w:val="TableText"/>
              <w:ind w:left="106"/>
              <w:spacing w:before="142" w:line="214" w:lineRule="auto"/>
              <w:rPr>
                <w:sz w:val="12"/>
                <w:szCs w:val="12"/>
              </w:rPr>
            </w:pPr>
            <w:r>
              <w:rPr>
                <w:sz w:val="12"/>
                <w:szCs w:val="12"/>
                <w:spacing w:val="3"/>
              </w:rPr>
              <w:t>(10g/袋)</w:t>
            </w:r>
          </w:p>
        </w:tc>
        <w:tc>
          <w:tcPr>
            <w:tcW w:w="2623" w:type="dxa"/>
            <w:vAlign w:val="top"/>
          </w:tcPr>
          <w:p>
            <w:pPr>
              <w:pStyle w:val="TableText"/>
              <w:ind w:left="8"/>
              <w:spacing w:before="147" w:line="219" w:lineRule="auto"/>
              <w:rPr>
                <w:sz w:val="12"/>
                <w:szCs w:val="12"/>
              </w:rPr>
            </w:pPr>
            <w:r>
              <w:rPr>
                <w:sz w:val="12"/>
                <w:szCs w:val="12"/>
                <w:spacing w:val="-1"/>
              </w:rPr>
              <w:t>杀蚜虫、飞弘等害虫</w:t>
            </w:r>
          </w:p>
        </w:tc>
      </w:tr>
      <w:tr>
        <w:trPr>
          <w:trHeight w:val="41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153"/>
              <w:spacing w:before="146" w:line="219" w:lineRule="auto"/>
              <w:rPr>
                <w:sz w:val="12"/>
                <w:szCs w:val="12"/>
              </w:rPr>
            </w:pPr>
            <w:r>
              <w:rPr>
                <w:sz w:val="12"/>
                <w:szCs w:val="12"/>
                <w:spacing w:val="2"/>
              </w:rPr>
              <w:t>中威壮美(杀螨剂)</w:t>
            </w:r>
          </w:p>
        </w:tc>
        <w:tc>
          <w:tcPr>
            <w:tcW w:w="1919" w:type="dxa"/>
            <w:vAlign w:val="top"/>
          </w:tcPr>
          <w:p>
            <w:pPr>
              <w:pStyle w:val="TableText"/>
              <w:ind w:left="444"/>
              <w:spacing w:before="147" w:line="219" w:lineRule="auto"/>
              <w:rPr>
                <w:sz w:val="12"/>
                <w:szCs w:val="12"/>
              </w:rPr>
            </w:pPr>
            <w:r>
              <w:rPr>
                <w:sz w:val="12"/>
                <w:szCs w:val="12"/>
                <w:spacing w:val="-5"/>
              </w:rPr>
              <w:t>阿维</w:t>
            </w:r>
            <w:r>
              <w:rPr>
                <w:sz w:val="12"/>
                <w:szCs w:val="12"/>
                <w:spacing w:val="-14"/>
              </w:rPr>
              <w:t xml:space="preserve"> </w:t>
            </w:r>
            <w:r>
              <w:rPr>
                <w:sz w:val="12"/>
                <w:szCs w:val="12"/>
                <w:spacing w:val="-5"/>
              </w:rPr>
              <w:t>·贴螨灵3.20%</w:t>
            </w:r>
          </w:p>
        </w:tc>
        <w:tc>
          <w:tcPr>
            <w:tcW w:w="1659" w:type="dxa"/>
            <w:vAlign w:val="top"/>
          </w:tcPr>
          <w:p>
            <w:pPr>
              <w:pStyle w:val="TableText"/>
              <w:ind w:left="585"/>
              <w:spacing w:before="147" w:line="220" w:lineRule="auto"/>
              <w:rPr>
                <w:sz w:val="12"/>
                <w:szCs w:val="12"/>
              </w:rPr>
            </w:pPr>
            <w:r>
              <w:rPr>
                <w:sz w:val="12"/>
                <w:szCs w:val="12"/>
                <w:spacing w:val="-2"/>
              </w:rPr>
              <w:t>1500倍液</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256" w:right="167" w:hanging="120"/>
              <w:spacing w:before="68" w:line="262" w:lineRule="auto"/>
              <w:rPr>
                <w:sz w:val="12"/>
                <w:szCs w:val="12"/>
              </w:rPr>
            </w:pPr>
            <w:r>
              <w:rPr>
                <w:sz w:val="12"/>
                <w:szCs w:val="12"/>
                <w:spacing w:val="-4"/>
              </w:rPr>
              <w:t>(200m1/</w:t>
            </w:r>
            <w:r>
              <w:rPr>
                <w:sz w:val="12"/>
                <w:szCs w:val="12"/>
                <w:spacing w:val="1"/>
              </w:rPr>
              <w:t xml:space="preserve"> </w:t>
            </w:r>
            <w:r>
              <w:rPr>
                <w:sz w:val="12"/>
                <w:szCs w:val="12"/>
                <w:spacing w:val="-4"/>
              </w:rPr>
              <w:t>形</w:t>
            </w:r>
            <w:r>
              <w:rPr>
                <w:sz w:val="12"/>
                <w:szCs w:val="12"/>
                <w:spacing w:val="-22"/>
              </w:rPr>
              <w:t xml:space="preserve"> </w:t>
            </w:r>
            <w:r>
              <w:rPr>
                <w:sz w:val="12"/>
                <w:szCs w:val="12"/>
                <w:spacing w:val="-4"/>
              </w:rPr>
              <w:t>)</w:t>
            </w:r>
          </w:p>
        </w:tc>
        <w:tc>
          <w:tcPr>
            <w:tcW w:w="2623" w:type="dxa"/>
            <w:vAlign w:val="top"/>
          </w:tcPr>
          <w:p>
            <w:pPr>
              <w:pStyle w:val="TableText"/>
              <w:ind w:left="8" w:right="89"/>
              <w:spacing w:before="67" w:line="263" w:lineRule="auto"/>
              <w:rPr>
                <w:sz w:val="12"/>
                <w:szCs w:val="12"/>
              </w:rPr>
            </w:pPr>
            <w:r>
              <w:rPr>
                <w:sz w:val="12"/>
                <w:szCs w:val="12"/>
                <w:spacing w:val="-1"/>
              </w:rPr>
              <w:t>对红蜘蛛、白蝴蛛及抗性螨类害虫有极强的杀灭</w:t>
            </w:r>
            <w:r>
              <w:rPr>
                <w:sz w:val="12"/>
                <w:szCs w:val="12"/>
                <w:spacing w:val="15"/>
                <w:w w:val="101"/>
              </w:rPr>
              <w:t xml:space="preserve"> </w:t>
            </w:r>
            <w:r>
              <w:rPr>
                <w:sz w:val="12"/>
                <w:szCs w:val="12"/>
                <w:spacing w:val="-2"/>
              </w:rPr>
              <w:t>作用</w:t>
            </w:r>
          </w:p>
        </w:tc>
      </w:tr>
      <w:tr>
        <w:trPr>
          <w:trHeight w:val="40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73"/>
              <w:spacing w:before="148" w:line="219" w:lineRule="auto"/>
              <w:rPr>
                <w:sz w:val="12"/>
                <w:szCs w:val="12"/>
              </w:rPr>
            </w:pPr>
            <w:r>
              <w:rPr>
                <w:sz w:val="12"/>
                <w:szCs w:val="12"/>
                <w:spacing w:val="-1"/>
              </w:rPr>
              <w:t>诺替信清毕净</w:t>
            </w:r>
          </w:p>
        </w:tc>
        <w:tc>
          <w:tcPr>
            <w:tcW w:w="1919" w:type="dxa"/>
            <w:vAlign w:val="top"/>
          </w:tcPr>
          <w:p>
            <w:pPr>
              <w:pStyle w:val="TableText"/>
              <w:ind w:left="264"/>
              <w:spacing w:before="148" w:line="219" w:lineRule="auto"/>
              <w:rPr>
                <w:sz w:val="12"/>
                <w:szCs w:val="12"/>
              </w:rPr>
            </w:pPr>
            <w:r>
              <w:rPr>
                <w:sz w:val="12"/>
                <w:szCs w:val="12"/>
                <w:spacing w:val="-6"/>
              </w:rPr>
              <w:t>阿维菌素 ·</w:t>
            </w:r>
            <w:r>
              <w:rPr>
                <w:sz w:val="12"/>
                <w:szCs w:val="12"/>
                <w:spacing w:val="-40"/>
              </w:rPr>
              <w:t xml:space="preserve"> </w:t>
            </w:r>
            <w:r>
              <w:rPr>
                <w:sz w:val="12"/>
                <w:szCs w:val="12"/>
                <w:spacing w:val="-6"/>
              </w:rPr>
              <w:t>甲氨菊酯1.80%</w:t>
            </w:r>
          </w:p>
        </w:tc>
        <w:tc>
          <w:tcPr>
            <w:tcW w:w="1659" w:type="dxa"/>
            <w:vAlign w:val="top"/>
          </w:tcPr>
          <w:p>
            <w:pPr>
              <w:pStyle w:val="TableText"/>
              <w:ind w:left="524"/>
              <w:spacing w:before="148" w:line="220" w:lineRule="auto"/>
              <w:rPr>
                <w:sz w:val="12"/>
                <w:szCs w:val="12"/>
              </w:rPr>
            </w:pPr>
            <w:r>
              <w:rPr>
                <w:sz w:val="12"/>
                <w:szCs w:val="12"/>
                <w:spacing w:val="-6"/>
              </w:rPr>
              <w:t>800—1000倍</w:t>
            </w:r>
          </w:p>
        </w:tc>
        <w:tc>
          <w:tcPr>
            <w:tcW w:w="1049" w:type="dxa"/>
            <w:vAlign w:val="top"/>
            <w:vMerge w:val="continue"/>
            <w:tcBorders>
              <w:top w:val="nil"/>
            </w:tcBorders>
          </w:tcPr>
          <w:p>
            <w:pPr>
              <w:rPr>
                <w:rFonts w:ascii="Arial"/>
                <w:sz w:val="21"/>
              </w:rPr>
            </w:pPr>
            <w:r/>
          </w:p>
        </w:tc>
        <w:tc>
          <w:tcPr>
            <w:tcW w:w="709" w:type="dxa"/>
            <w:vAlign w:val="top"/>
          </w:tcPr>
          <w:p>
            <w:pPr>
              <w:pStyle w:val="TableText"/>
              <w:ind w:left="76"/>
              <w:spacing w:before="148" w:line="221" w:lineRule="auto"/>
              <w:rPr>
                <w:sz w:val="12"/>
                <w:szCs w:val="12"/>
              </w:rPr>
            </w:pPr>
            <w:r>
              <w:rPr>
                <w:sz w:val="12"/>
                <w:szCs w:val="12"/>
                <w:spacing w:val="-2"/>
              </w:rPr>
              <w:t>1000ml/瓶</w:t>
            </w:r>
          </w:p>
        </w:tc>
        <w:tc>
          <w:tcPr>
            <w:tcW w:w="2623" w:type="dxa"/>
            <w:vAlign w:val="top"/>
          </w:tcPr>
          <w:p>
            <w:pPr>
              <w:pStyle w:val="TableText"/>
              <w:ind w:left="8"/>
              <w:spacing w:before="148" w:line="219" w:lineRule="auto"/>
              <w:rPr>
                <w:sz w:val="12"/>
                <w:szCs w:val="12"/>
              </w:rPr>
            </w:pPr>
            <w:r>
              <w:rPr>
                <w:sz w:val="12"/>
                <w:szCs w:val="12"/>
                <w:spacing w:val="-1"/>
              </w:rPr>
              <w:t>红蜘蛛、白购蛛、锈蜘蛛</w:t>
            </w:r>
          </w:p>
        </w:tc>
      </w:tr>
      <w:tr>
        <w:trPr>
          <w:trHeight w:val="420" w:hRule="atLeast"/>
        </w:trPr>
        <w:tc>
          <w:tcPr>
            <w:tcW w:w="425" w:type="dxa"/>
            <w:vAlign w:val="top"/>
            <w:vMerge w:val="continue"/>
            <w:tcBorders>
              <w:top w:val="nil"/>
              <w:bottom w:val="nil"/>
            </w:tcBorders>
          </w:tcPr>
          <w:p>
            <w:pPr>
              <w:rPr>
                <w:rFonts w:ascii="Arial"/>
                <w:sz w:val="21"/>
              </w:rPr>
            </w:pPr>
            <w:r/>
          </w:p>
        </w:tc>
        <w:tc>
          <w:tcPr>
            <w:tcW w:w="670"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80"/>
              <w:spacing w:before="39" w:line="219" w:lineRule="auto"/>
              <w:rPr>
                <w:sz w:val="12"/>
                <w:szCs w:val="12"/>
              </w:rPr>
            </w:pPr>
            <w:r>
              <w:rPr>
                <w:sz w:val="12"/>
                <w:szCs w:val="12"/>
                <w:spacing w:val="-1"/>
              </w:rPr>
              <w:t>蛀干害虫</w:t>
            </w:r>
          </w:p>
        </w:tc>
        <w:tc>
          <w:tcPr>
            <w:tcW w:w="949" w:type="dxa"/>
            <w:vAlign w:val="top"/>
            <w:vMerge w:val="restart"/>
            <w:tcBorders>
              <w:bottom w:val="nil"/>
            </w:tcBorders>
          </w:tcPr>
          <w:p>
            <w:pPr>
              <w:spacing w:line="338" w:lineRule="auto"/>
              <w:rPr>
                <w:rFonts w:ascii="Arial"/>
                <w:sz w:val="21"/>
              </w:rPr>
            </w:pPr>
            <w:r/>
          </w:p>
          <w:p>
            <w:pPr>
              <w:pStyle w:val="TableText"/>
              <w:ind w:left="40" w:right="43"/>
              <w:spacing w:before="39" w:line="226" w:lineRule="auto"/>
              <w:rPr>
                <w:sz w:val="12"/>
                <w:szCs w:val="12"/>
              </w:rPr>
            </w:pPr>
            <w:r>
              <w:rPr>
                <w:sz w:val="12"/>
                <w:szCs w:val="12"/>
                <w:spacing w:val="-1"/>
              </w:rPr>
              <w:t>光肩星天牛、小</w:t>
            </w:r>
            <w:r>
              <w:rPr>
                <w:sz w:val="12"/>
                <w:szCs w:val="12"/>
              </w:rPr>
              <w:t xml:space="preserve"> </w:t>
            </w:r>
            <w:r>
              <w:rPr>
                <w:sz w:val="12"/>
                <w:szCs w:val="12"/>
                <w:spacing w:val="1"/>
              </w:rPr>
              <w:t>蠢虫、透翅蚁。 </w:t>
            </w:r>
            <w:r>
              <w:rPr>
                <w:sz w:val="12"/>
                <w:szCs w:val="12"/>
                <w:spacing w:val="-2"/>
              </w:rPr>
              <w:t>芳香木蠹蛾、杨</w:t>
            </w:r>
            <w:r>
              <w:rPr>
                <w:sz w:val="12"/>
                <w:szCs w:val="12"/>
                <w:spacing w:val="5"/>
              </w:rPr>
              <w:t xml:space="preserve"> </w:t>
            </w:r>
            <w:r>
              <w:rPr>
                <w:sz w:val="12"/>
                <w:szCs w:val="12"/>
                <w:spacing w:val="2"/>
              </w:rPr>
              <w:t>干象、沟眶象等</w:t>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93"/>
              <w:spacing w:before="149" w:line="219" w:lineRule="auto"/>
              <w:rPr>
                <w:sz w:val="12"/>
                <w:szCs w:val="12"/>
              </w:rPr>
            </w:pPr>
            <w:r>
              <w:rPr>
                <w:sz w:val="12"/>
                <w:szCs w:val="12"/>
                <w:spacing w:val="1"/>
              </w:rPr>
              <w:t>国光毒枪</w:t>
            </w:r>
          </w:p>
        </w:tc>
        <w:tc>
          <w:tcPr>
            <w:tcW w:w="1919" w:type="dxa"/>
            <w:vAlign w:val="top"/>
          </w:tcPr>
          <w:p>
            <w:pPr>
              <w:pStyle w:val="TableText"/>
              <w:ind w:left="414"/>
              <w:spacing w:before="149" w:line="219" w:lineRule="auto"/>
              <w:rPr>
                <w:sz w:val="12"/>
                <w:szCs w:val="12"/>
              </w:rPr>
            </w:pPr>
            <w:r>
              <w:rPr>
                <w:sz w:val="12"/>
                <w:szCs w:val="12"/>
                <w:spacing w:val="-1"/>
              </w:rPr>
              <w:t>45%丙滨.辛硫磷乳油</w:t>
            </w:r>
          </w:p>
        </w:tc>
        <w:tc>
          <w:tcPr>
            <w:tcW w:w="1659" w:type="dxa"/>
            <w:vAlign w:val="top"/>
          </w:tcPr>
          <w:p>
            <w:pPr>
              <w:pStyle w:val="TableText"/>
              <w:ind w:left="464"/>
              <w:spacing w:before="149" w:line="219" w:lineRule="auto"/>
              <w:rPr>
                <w:sz w:val="12"/>
                <w:szCs w:val="12"/>
              </w:rPr>
            </w:pPr>
            <w:r>
              <w:rPr>
                <w:sz w:val="12"/>
                <w:szCs w:val="12"/>
                <w:spacing w:val="-1"/>
              </w:rPr>
              <w:t>稀释5-10倍液</w:t>
            </w:r>
          </w:p>
        </w:tc>
        <w:tc>
          <w:tcPr>
            <w:tcW w:w="1049" w:type="dxa"/>
            <w:vAlign w:val="top"/>
            <w:vMerge w:val="restart"/>
            <w:tcBorders>
              <w:bottom w:val="nil"/>
            </w:tcBorders>
          </w:tcPr>
          <w:p>
            <w:pPr>
              <w:spacing w:line="397" w:lineRule="auto"/>
              <w:rPr>
                <w:rFonts w:ascii="Arial"/>
                <w:sz w:val="21"/>
              </w:rPr>
            </w:pPr>
            <w:r/>
          </w:p>
          <w:p>
            <w:pPr>
              <w:pStyle w:val="TableText"/>
              <w:ind w:left="6"/>
              <w:spacing w:before="39" w:line="219" w:lineRule="auto"/>
              <w:rPr>
                <w:sz w:val="12"/>
                <w:szCs w:val="12"/>
              </w:rPr>
            </w:pPr>
            <w:r>
              <w:rPr>
                <w:sz w:val="12"/>
                <w:szCs w:val="12"/>
                <w:spacing w:val="-1"/>
              </w:rPr>
              <w:t>一般用3次，时间间</w:t>
            </w:r>
          </w:p>
          <w:p>
            <w:pPr>
              <w:pStyle w:val="TableText"/>
              <w:ind w:left="6"/>
              <w:spacing w:before="18" w:line="199" w:lineRule="auto"/>
              <w:rPr>
                <w:sz w:val="12"/>
                <w:szCs w:val="12"/>
              </w:rPr>
            </w:pPr>
            <w:r>
              <w:rPr>
                <w:sz w:val="12"/>
                <w:szCs w:val="12"/>
                <w:spacing w:val="-2"/>
              </w:rPr>
              <w:t>隔7到10天，视现场</w:t>
            </w:r>
          </w:p>
          <w:p>
            <w:pPr>
              <w:pStyle w:val="TableText"/>
              <w:ind w:left="96"/>
              <w:spacing w:line="219" w:lineRule="auto"/>
              <w:rPr>
                <w:sz w:val="12"/>
                <w:szCs w:val="12"/>
              </w:rPr>
            </w:pPr>
            <w:r>
              <w:rPr>
                <w:sz w:val="12"/>
                <w:szCs w:val="12"/>
                <w:spacing w:val="-1"/>
              </w:rPr>
              <w:t>情况可增加次数</w:t>
            </w:r>
          </w:p>
        </w:tc>
        <w:tc>
          <w:tcPr>
            <w:tcW w:w="709" w:type="dxa"/>
            <w:vAlign w:val="top"/>
          </w:tcPr>
          <w:p>
            <w:pPr>
              <w:pStyle w:val="TableText"/>
              <w:ind w:left="256" w:right="167" w:hanging="120"/>
              <w:spacing w:before="100" w:line="210" w:lineRule="auto"/>
              <w:rPr>
                <w:sz w:val="12"/>
                <w:szCs w:val="12"/>
              </w:rPr>
            </w:pPr>
            <w:r>
              <w:rPr>
                <w:sz w:val="12"/>
                <w:szCs w:val="12"/>
                <w:spacing w:val="-4"/>
              </w:rPr>
              <w:t>(200al/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23" w:type="dxa"/>
            <w:vAlign w:val="top"/>
          </w:tcPr>
          <w:p>
            <w:pPr>
              <w:pStyle w:val="TableText"/>
              <w:ind w:left="8"/>
              <w:spacing w:before="149" w:line="219" w:lineRule="auto"/>
              <w:rPr>
                <w:sz w:val="12"/>
                <w:szCs w:val="12"/>
              </w:rPr>
            </w:pPr>
            <w:r>
              <w:rPr>
                <w:sz w:val="12"/>
                <w:szCs w:val="12"/>
                <w:spacing w:val="-1"/>
              </w:rPr>
              <w:t>注射虫洞，黄泥封洞</w:t>
            </w:r>
          </w:p>
        </w:tc>
      </w:tr>
      <w:tr>
        <w:trPr>
          <w:trHeight w:val="40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73"/>
              <w:spacing w:before="148" w:line="219" w:lineRule="auto"/>
              <w:rPr>
                <w:sz w:val="12"/>
                <w:szCs w:val="12"/>
              </w:rPr>
            </w:pPr>
            <w:r>
              <w:rPr>
                <w:sz w:val="12"/>
                <w:szCs w:val="12"/>
                <w:spacing w:val="1"/>
              </w:rPr>
              <w:t>国光防蛀液剂</w:t>
            </w:r>
          </w:p>
        </w:tc>
        <w:tc>
          <w:tcPr>
            <w:tcW w:w="1919" w:type="dxa"/>
            <w:vAlign w:val="top"/>
          </w:tcPr>
          <w:p>
            <w:pPr>
              <w:pStyle w:val="TableText"/>
              <w:ind w:left="654"/>
              <w:spacing w:before="148" w:line="219" w:lineRule="auto"/>
              <w:rPr>
                <w:sz w:val="12"/>
                <w:szCs w:val="12"/>
              </w:rPr>
            </w:pPr>
            <w:r>
              <w:rPr>
                <w:sz w:val="12"/>
                <w:szCs w:val="12"/>
                <w:spacing w:val="-1"/>
              </w:rPr>
              <w:t>0.3%氧菊酯</w:t>
            </w:r>
          </w:p>
        </w:tc>
        <w:tc>
          <w:tcPr>
            <w:tcW w:w="1659" w:type="dxa"/>
            <w:vAlign w:val="top"/>
          </w:tcPr>
          <w:p>
            <w:pPr>
              <w:pStyle w:val="TableText"/>
              <w:ind w:left="585"/>
              <w:spacing w:before="149" w:line="219" w:lineRule="auto"/>
              <w:rPr>
                <w:sz w:val="12"/>
                <w:szCs w:val="12"/>
              </w:rPr>
            </w:pPr>
            <w:r>
              <w:rPr>
                <w:sz w:val="12"/>
                <w:szCs w:val="12"/>
                <w:spacing w:val="3"/>
              </w:rPr>
              <w:t>直接使用</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76"/>
              <w:spacing w:before="149" w:line="220" w:lineRule="auto"/>
              <w:rPr>
                <w:sz w:val="12"/>
                <w:szCs w:val="12"/>
              </w:rPr>
            </w:pPr>
            <w:r>
              <w:rPr>
                <w:sz w:val="12"/>
                <w:szCs w:val="12"/>
                <w:spacing w:val="4"/>
              </w:rPr>
              <w:t>(20</w:t>
            </w:r>
            <w:r>
              <w:rPr>
                <w:sz w:val="12"/>
                <w:szCs w:val="12"/>
              </w:rPr>
              <w:t>ml</w:t>
            </w:r>
            <w:r>
              <w:rPr>
                <w:sz w:val="12"/>
                <w:szCs w:val="12"/>
                <w:spacing w:val="4"/>
              </w:rPr>
              <w:t>/支)</w:t>
            </w:r>
          </w:p>
        </w:tc>
        <w:tc>
          <w:tcPr>
            <w:tcW w:w="2623" w:type="dxa"/>
            <w:vAlign w:val="top"/>
          </w:tcPr>
          <w:p>
            <w:pPr>
              <w:pStyle w:val="TableText"/>
              <w:ind w:left="17" w:right="150" w:hanging="9"/>
              <w:spacing w:before="78" w:line="234" w:lineRule="auto"/>
              <w:rPr>
                <w:sz w:val="12"/>
                <w:szCs w:val="12"/>
              </w:rPr>
            </w:pPr>
            <w:r>
              <w:rPr>
                <w:sz w:val="12"/>
                <w:szCs w:val="12"/>
              </w:rPr>
              <w:t>专杀蛀杆性害虫胸径8-10cm用1支，</w:t>
            </w:r>
            <w:r>
              <w:rPr>
                <w:sz w:val="12"/>
                <w:szCs w:val="12"/>
                <w:spacing w:val="-1"/>
              </w:rPr>
              <w:t>每增加10cn</w:t>
            </w:r>
            <w:r>
              <w:rPr>
                <w:sz w:val="12"/>
                <w:szCs w:val="12"/>
              </w:rPr>
              <w:t xml:space="preserve"> </w:t>
            </w:r>
            <w:r>
              <w:rPr>
                <w:sz w:val="12"/>
                <w:szCs w:val="12"/>
                <w:spacing w:val="-1"/>
              </w:rPr>
              <w:t>增加1支</w:t>
            </w:r>
          </w:p>
        </w:tc>
      </w:tr>
      <w:tr>
        <w:trPr>
          <w:trHeight w:val="41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153"/>
              <w:spacing w:before="149" w:line="219" w:lineRule="auto"/>
              <w:rPr>
                <w:sz w:val="12"/>
                <w:szCs w:val="12"/>
              </w:rPr>
            </w:pPr>
            <w:r>
              <w:rPr>
                <w:sz w:val="12"/>
                <w:szCs w:val="12"/>
                <w:spacing w:val="1"/>
              </w:rPr>
              <w:t>中威蛀干害虫专用</w:t>
            </w:r>
          </w:p>
        </w:tc>
        <w:tc>
          <w:tcPr>
            <w:tcW w:w="1919" w:type="dxa"/>
            <w:vAlign w:val="top"/>
          </w:tcPr>
          <w:p>
            <w:pPr>
              <w:pStyle w:val="TableText"/>
              <w:ind w:left="264"/>
              <w:spacing w:before="150" w:line="219" w:lineRule="auto"/>
              <w:rPr>
                <w:sz w:val="12"/>
                <w:szCs w:val="12"/>
              </w:rPr>
            </w:pPr>
            <w:r>
              <w:rPr>
                <w:sz w:val="12"/>
                <w:szCs w:val="12"/>
                <w:spacing w:val="-8"/>
              </w:rPr>
              <w:t>氰戊 ·马拉松</w:t>
            </w:r>
            <w:r>
              <w:rPr>
                <w:sz w:val="12"/>
                <w:szCs w:val="12"/>
                <w:spacing w:val="-14"/>
              </w:rPr>
              <w:t xml:space="preserve"> </w:t>
            </w:r>
            <w:r>
              <w:rPr>
                <w:sz w:val="12"/>
                <w:szCs w:val="12"/>
                <w:spacing w:val="-8"/>
              </w:rPr>
              <w:t>·苦参碱20%</w:t>
            </w:r>
          </w:p>
        </w:tc>
        <w:tc>
          <w:tcPr>
            <w:tcW w:w="1659" w:type="dxa"/>
            <w:vAlign w:val="top"/>
          </w:tcPr>
          <w:p>
            <w:pPr>
              <w:pStyle w:val="TableText"/>
              <w:ind w:left="585"/>
              <w:spacing w:before="150" w:line="219" w:lineRule="auto"/>
              <w:rPr>
                <w:sz w:val="12"/>
                <w:szCs w:val="12"/>
              </w:rPr>
            </w:pPr>
            <w:r>
              <w:rPr>
                <w:sz w:val="12"/>
                <w:szCs w:val="12"/>
                <w:spacing w:val="3"/>
              </w:rPr>
              <w:t>直接使用</w:t>
            </w:r>
          </w:p>
        </w:tc>
        <w:tc>
          <w:tcPr>
            <w:tcW w:w="1049" w:type="dxa"/>
            <w:vAlign w:val="top"/>
            <w:vMerge w:val="continue"/>
            <w:tcBorders>
              <w:top w:val="nil"/>
            </w:tcBorders>
          </w:tcPr>
          <w:p>
            <w:pPr>
              <w:rPr>
                <w:rFonts w:ascii="Arial"/>
                <w:sz w:val="21"/>
              </w:rPr>
            </w:pPr>
            <w:r/>
          </w:p>
        </w:tc>
        <w:tc>
          <w:tcPr>
            <w:tcW w:w="709" w:type="dxa"/>
            <w:vAlign w:val="top"/>
          </w:tcPr>
          <w:p>
            <w:pPr>
              <w:pStyle w:val="TableText"/>
              <w:ind w:left="76"/>
              <w:spacing w:before="150" w:line="220" w:lineRule="auto"/>
              <w:rPr>
                <w:sz w:val="12"/>
                <w:szCs w:val="12"/>
              </w:rPr>
            </w:pPr>
            <w:r>
              <w:rPr>
                <w:sz w:val="12"/>
                <w:szCs w:val="12"/>
                <w:spacing w:val="4"/>
              </w:rPr>
              <w:t>(20</w:t>
            </w:r>
            <w:r>
              <w:rPr>
                <w:sz w:val="12"/>
                <w:szCs w:val="12"/>
              </w:rPr>
              <w:t>ml</w:t>
            </w:r>
            <w:r>
              <w:rPr>
                <w:sz w:val="12"/>
                <w:szCs w:val="12"/>
                <w:spacing w:val="4"/>
              </w:rPr>
              <w:t>/支)</w:t>
            </w:r>
          </w:p>
        </w:tc>
        <w:tc>
          <w:tcPr>
            <w:tcW w:w="2623" w:type="dxa"/>
            <w:vAlign w:val="top"/>
          </w:tcPr>
          <w:p>
            <w:pPr>
              <w:pStyle w:val="TableText"/>
              <w:ind w:left="8" w:right="69" w:firstLine="19"/>
              <w:spacing w:before="99" w:line="218" w:lineRule="auto"/>
              <w:rPr>
                <w:sz w:val="12"/>
                <w:szCs w:val="12"/>
              </w:rPr>
            </w:pPr>
            <w:r>
              <w:rPr>
                <w:sz w:val="12"/>
                <w:szCs w:val="12"/>
                <w:spacing w:val="-1"/>
              </w:rPr>
              <w:t>针对天牛幼虫、吉丁虫，松材线虫等蛀干害虫效</w:t>
            </w:r>
            <w:r>
              <w:rPr>
                <w:sz w:val="12"/>
                <w:szCs w:val="12"/>
                <w:spacing w:val="15"/>
              </w:rPr>
              <w:t xml:space="preserve"> </w:t>
            </w:r>
            <w:r>
              <w:rPr>
                <w:sz w:val="12"/>
                <w:szCs w:val="12"/>
                <w:spacing w:val="-2"/>
              </w:rPr>
              <w:t>果明量</w:t>
            </w:r>
          </w:p>
        </w:tc>
      </w:tr>
      <w:tr>
        <w:trPr>
          <w:trHeight w:val="410" w:hRule="atLeast"/>
        </w:trPr>
        <w:tc>
          <w:tcPr>
            <w:tcW w:w="425" w:type="dxa"/>
            <w:vAlign w:val="top"/>
            <w:vMerge w:val="continue"/>
            <w:tcBorders>
              <w:top w:val="nil"/>
              <w:bottom w:val="nil"/>
            </w:tcBorders>
          </w:tcPr>
          <w:p>
            <w:pPr>
              <w:rPr>
                <w:rFonts w:ascii="Arial"/>
                <w:sz w:val="21"/>
              </w:rPr>
            </w:pPr>
            <w:r/>
          </w:p>
        </w:tc>
        <w:tc>
          <w:tcPr>
            <w:tcW w:w="670" w:type="dxa"/>
            <w:vAlign w:val="top"/>
            <w:vMerge w:val="restart"/>
            <w:tcBorders>
              <w:bottom w:val="nil"/>
            </w:tcBorders>
          </w:tcPr>
          <w:p>
            <w:pPr>
              <w:spacing w:line="274" w:lineRule="auto"/>
              <w:rPr>
                <w:rFonts w:ascii="Arial"/>
                <w:sz w:val="21"/>
              </w:rPr>
            </w:pPr>
            <w:r/>
          </w:p>
          <w:p>
            <w:pPr>
              <w:spacing w:line="274" w:lineRule="auto"/>
              <w:rPr>
                <w:rFonts w:ascii="Arial"/>
                <w:sz w:val="21"/>
              </w:rPr>
            </w:pPr>
            <w:r/>
          </w:p>
          <w:p>
            <w:pPr>
              <w:pStyle w:val="TableText"/>
              <w:ind w:left="80"/>
              <w:spacing w:before="39" w:line="220" w:lineRule="auto"/>
              <w:rPr>
                <w:sz w:val="12"/>
                <w:szCs w:val="12"/>
              </w:rPr>
            </w:pPr>
            <w:r>
              <w:rPr>
                <w:sz w:val="12"/>
                <w:szCs w:val="12"/>
                <w:spacing w:val="-1"/>
              </w:rPr>
              <w:t>地下害虫</w:t>
            </w:r>
          </w:p>
        </w:tc>
        <w:tc>
          <w:tcPr>
            <w:tcW w:w="949" w:type="dxa"/>
            <w:vAlign w:val="top"/>
            <w:vMerge w:val="restart"/>
            <w:tcBorders>
              <w:bottom w:val="nil"/>
            </w:tcBorders>
          </w:tcPr>
          <w:p>
            <w:pPr>
              <w:spacing w:line="467" w:lineRule="auto"/>
              <w:rPr>
                <w:rFonts w:ascii="Arial"/>
                <w:sz w:val="21"/>
              </w:rPr>
            </w:pPr>
            <w:r/>
          </w:p>
          <w:p>
            <w:pPr>
              <w:pStyle w:val="TableText"/>
              <w:ind w:left="99" w:right="88" w:hanging="89"/>
              <w:spacing w:before="39" w:line="235" w:lineRule="auto"/>
              <w:rPr>
                <w:sz w:val="12"/>
                <w:szCs w:val="12"/>
              </w:rPr>
            </w:pPr>
            <w:r>
              <w:rPr>
                <w:sz w:val="12"/>
                <w:szCs w:val="12"/>
              </w:rPr>
              <w:t>蛴蜻、地老虎， </w:t>
            </w:r>
            <w:r>
              <w:rPr>
                <w:sz w:val="12"/>
                <w:szCs w:val="12"/>
                <w:spacing w:val="-1"/>
              </w:rPr>
              <w:t>其他土中虫卵</w:t>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93"/>
              <w:spacing w:before="151" w:line="219" w:lineRule="auto"/>
              <w:rPr>
                <w:sz w:val="12"/>
                <w:szCs w:val="12"/>
              </w:rPr>
            </w:pPr>
            <w:r>
              <w:rPr>
                <w:sz w:val="12"/>
                <w:szCs w:val="12"/>
                <w:spacing w:val="1"/>
              </w:rPr>
              <w:t>国光地杀</w:t>
            </w:r>
          </w:p>
        </w:tc>
        <w:tc>
          <w:tcPr>
            <w:tcW w:w="1919" w:type="dxa"/>
            <w:vAlign w:val="top"/>
          </w:tcPr>
          <w:p>
            <w:pPr>
              <w:pStyle w:val="TableText"/>
              <w:ind w:left="173"/>
              <w:spacing w:before="150" w:line="219" w:lineRule="auto"/>
              <w:rPr>
                <w:sz w:val="12"/>
                <w:szCs w:val="12"/>
              </w:rPr>
            </w:pPr>
            <w:r>
              <w:rPr>
                <w:sz w:val="12"/>
                <w:szCs w:val="12"/>
                <w:spacing w:val="-4"/>
              </w:rPr>
              <w:t>5%丁硫克百威</w:t>
            </w:r>
            <w:r>
              <w:rPr>
                <w:sz w:val="12"/>
                <w:szCs w:val="12"/>
                <w:spacing w:val="-13"/>
              </w:rPr>
              <w:t xml:space="preserve"> </w:t>
            </w:r>
            <w:r>
              <w:rPr>
                <w:sz w:val="12"/>
                <w:szCs w:val="12"/>
                <w:spacing w:val="-4"/>
              </w:rPr>
              <w:t>·毒死蟀颗粒剂</w:t>
            </w:r>
          </w:p>
        </w:tc>
        <w:tc>
          <w:tcPr>
            <w:tcW w:w="1659" w:type="dxa"/>
            <w:vAlign w:val="top"/>
          </w:tcPr>
          <w:p>
            <w:pPr>
              <w:pStyle w:val="TableText"/>
              <w:ind w:left="285"/>
              <w:spacing w:before="146" w:line="214" w:lineRule="auto"/>
              <w:rPr>
                <w:sz w:val="12"/>
                <w:szCs w:val="12"/>
              </w:rPr>
            </w:pPr>
            <w:r>
              <w:rPr>
                <w:sz w:val="12"/>
                <w:szCs w:val="12"/>
                <w:spacing w:val="-1"/>
              </w:rPr>
              <w:t>直接撤施：5-7kg/亩</w:t>
            </w:r>
          </w:p>
        </w:tc>
        <w:tc>
          <w:tcPr>
            <w:tcW w:w="1049" w:type="dxa"/>
            <w:vAlign w:val="top"/>
            <w:vMerge w:val="restart"/>
            <w:tcBorders>
              <w:bottom w:val="nil"/>
            </w:tcBorders>
          </w:tcPr>
          <w:p>
            <w:pPr>
              <w:spacing w:line="274" w:lineRule="auto"/>
              <w:rPr>
                <w:rFonts w:ascii="Arial"/>
                <w:sz w:val="21"/>
              </w:rPr>
            </w:pPr>
            <w:r/>
          </w:p>
          <w:p>
            <w:pPr>
              <w:spacing w:line="274" w:lineRule="auto"/>
              <w:rPr>
                <w:rFonts w:ascii="Arial"/>
                <w:sz w:val="21"/>
              </w:rPr>
            </w:pPr>
            <w:r/>
          </w:p>
          <w:p>
            <w:pPr>
              <w:pStyle w:val="TableText"/>
              <w:ind w:left="246"/>
              <w:spacing w:before="39" w:line="219" w:lineRule="auto"/>
              <w:rPr>
                <w:sz w:val="12"/>
                <w:szCs w:val="12"/>
              </w:rPr>
            </w:pPr>
            <w:r>
              <w:rPr>
                <w:sz w:val="12"/>
                <w:szCs w:val="12"/>
                <w:spacing w:val="-2"/>
              </w:rPr>
              <w:t>一般用1次</w:t>
            </w:r>
          </w:p>
        </w:tc>
        <w:tc>
          <w:tcPr>
            <w:tcW w:w="709" w:type="dxa"/>
            <w:vAlign w:val="top"/>
          </w:tcPr>
          <w:p>
            <w:pPr>
              <w:pStyle w:val="TableText"/>
              <w:ind w:left="106"/>
              <w:spacing w:before="146" w:line="214" w:lineRule="auto"/>
              <w:rPr>
                <w:sz w:val="12"/>
                <w:szCs w:val="12"/>
              </w:rPr>
            </w:pPr>
            <w:r>
              <w:rPr>
                <w:sz w:val="12"/>
                <w:szCs w:val="12"/>
                <w:spacing w:val="6"/>
              </w:rPr>
              <w:t>(</w:t>
            </w:r>
            <w:r>
              <w:rPr>
                <w:sz w:val="12"/>
                <w:szCs w:val="12"/>
              </w:rPr>
              <w:t>lkg</w:t>
            </w:r>
            <w:r>
              <w:rPr>
                <w:sz w:val="12"/>
                <w:szCs w:val="12"/>
                <w:spacing w:val="6"/>
              </w:rPr>
              <w:t>/袋)</w:t>
            </w:r>
          </w:p>
        </w:tc>
        <w:tc>
          <w:tcPr>
            <w:tcW w:w="2623" w:type="dxa"/>
            <w:vAlign w:val="top"/>
          </w:tcPr>
          <w:p>
            <w:pPr>
              <w:pStyle w:val="TableText"/>
              <w:ind w:left="8"/>
              <w:spacing w:before="151" w:line="219" w:lineRule="auto"/>
              <w:rPr>
                <w:sz w:val="12"/>
                <w:szCs w:val="12"/>
              </w:rPr>
            </w:pPr>
            <w:r>
              <w:rPr>
                <w:sz w:val="12"/>
                <w:szCs w:val="12"/>
                <w:spacing w:val="-1"/>
              </w:rPr>
              <w:t>在土壤中桑灭害虫效果好，使用方便</w:t>
            </w:r>
          </w:p>
        </w:tc>
      </w:tr>
      <w:tr>
        <w:trPr>
          <w:trHeight w:val="440"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161" w:line="219" w:lineRule="auto"/>
              <w:rPr>
                <w:sz w:val="12"/>
                <w:szCs w:val="12"/>
              </w:rPr>
            </w:pPr>
            <w:r>
              <w:rPr>
                <w:sz w:val="12"/>
                <w:szCs w:val="12"/>
                <w:spacing w:val="-1"/>
              </w:rPr>
              <w:t>诺瞀信璃功</w:t>
            </w:r>
          </w:p>
        </w:tc>
        <w:tc>
          <w:tcPr>
            <w:tcW w:w="1919" w:type="dxa"/>
            <w:vAlign w:val="top"/>
          </w:tcPr>
          <w:p>
            <w:pPr>
              <w:pStyle w:val="TableText"/>
              <w:ind w:left="474"/>
              <w:spacing w:before="161" w:line="219" w:lineRule="auto"/>
              <w:rPr>
                <w:sz w:val="12"/>
                <w:szCs w:val="12"/>
              </w:rPr>
            </w:pPr>
            <w:r>
              <w:rPr>
                <w:sz w:val="12"/>
                <w:szCs w:val="12"/>
                <w:spacing w:val="-1"/>
              </w:rPr>
              <w:t>高效氯氨氰菊酯5%</w:t>
            </w:r>
          </w:p>
        </w:tc>
        <w:tc>
          <w:tcPr>
            <w:tcW w:w="1659" w:type="dxa"/>
            <w:vAlign w:val="top"/>
          </w:tcPr>
          <w:p>
            <w:pPr>
              <w:pStyle w:val="TableText"/>
              <w:ind w:left="494"/>
              <w:spacing w:before="161" w:line="220" w:lineRule="auto"/>
              <w:rPr>
                <w:sz w:val="12"/>
                <w:szCs w:val="12"/>
              </w:rPr>
            </w:pPr>
            <w:r>
              <w:rPr>
                <w:sz w:val="12"/>
                <w:szCs w:val="12"/>
                <w:spacing w:val="-5"/>
              </w:rPr>
              <w:t>1000—1500倍</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76"/>
              <w:spacing w:before="161" w:line="221" w:lineRule="auto"/>
              <w:rPr>
                <w:sz w:val="12"/>
                <w:szCs w:val="12"/>
              </w:rPr>
            </w:pPr>
            <w:r>
              <w:rPr>
                <w:sz w:val="12"/>
                <w:szCs w:val="12"/>
                <w:spacing w:val="-2"/>
              </w:rPr>
              <w:t>1000ml/瓶</w:t>
            </w:r>
          </w:p>
        </w:tc>
        <w:tc>
          <w:tcPr>
            <w:tcW w:w="2623" w:type="dxa"/>
            <w:vAlign w:val="top"/>
          </w:tcPr>
          <w:p>
            <w:pPr>
              <w:pStyle w:val="TableText"/>
              <w:ind w:left="17" w:right="92" w:hanging="9"/>
              <w:spacing w:before="110" w:line="209" w:lineRule="auto"/>
              <w:rPr>
                <w:sz w:val="12"/>
                <w:szCs w:val="12"/>
              </w:rPr>
            </w:pPr>
            <w:r>
              <w:rPr>
                <w:sz w:val="12"/>
                <w:szCs w:val="12"/>
                <w:spacing w:val="-1"/>
              </w:rPr>
              <w:t>杀灭蛴蜻、蝼蛄、蚯蚓等地下害虫和粘虫，蚜虫</w:t>
            </w:r>
            <w:r>
              <w:rPr>
                <w:sz w:val="12"/>
                <w:szCs w:val="12"/>
                <w:spacing w:val="12"/>
              </w:rPr>
              <w:t xml:space="preserve"> </w:t>
            </w:r>
            <w:r>
              <w:rPr>
                <w:sz w:val="12"/>
                <w:szCs w:val="12"/>
                <w:spacing w:val="-3"/>
              </w:rPr>
              <w:t>、青虫，蚂蚊等</w:t>
            </w:r>
          </w:p>
        </w:tc>
      </w:tr>
      <w:tr>
        <w:trPr>
          <w:trHeight w:val="420" w:hRule="atLeast"/>
        </w:trPr>
        <w:tc>
          <w:tcPr>
            <w:tcW w:w="425" w:type="dxa"/>
            <w:vAlign w:val="top"/>
            <w:vMerge w:val="continue"/>
            <w:tcBorders>
              <w:top w:val="nil"/>
            </w:tcBorders>
          </w:tcPr>
          <w:p>
            <w:pPr>
              <w:rPr>
                <w:rFonts w:ascii="Arial"/>
                <w:sz w:val="21"/>
              </w:rPr>
            </w:pPr>
            <w:r/>
          </w:p>
        </w:tc>
        <w:tc>
          <w:tcPr>
            <w:tcW w:w="67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333"/>
              <w:spacing w:before="151" w:line="220" w:lineRule="auto"/>
              <w:rPr>
                <w:sz w:val="12"/>
                <w:szCs w:val="12"/>
              </w:rPr>
            </w:pPr>
            <w:r>
              <w:rPr>
                <w:sz w:val="12"/>
                <w:szCs w:val="12"/>
              </w:rPr>
              <w:t>中威击绿健</w:t>
            </w:r>
          </w:p>
        </w:tc>
        <w:tc>
          <w:tcPr>
            <w:tcW w:w="1919" w:type="dxa"/>
            <w:vAlign w:val="top"/>
          </w:tcPr>
          <w:p>
            <w:pPr>
              <w:pStyle w:val="TableText"/>
              <w:ind w:left="684"/>
              <w:spacing w:before="151" w:line="219" w:lineRule="auto"/>
              <w:rPr>
                <w:sz w:val="12"/>
                <w:szCs w:val="12"/>
              </w:rPr>
            </w:pPr>
            <w:r>
              <w:rPr>
                <w:sz w:val="12"/>
                <w:szCs w:val="12"/>
                <w:spacing w:val="-1"/>
              </w:rPr>
              <w:t>二嗪磷20%</w:t>
            </w:r>
          </w:p>
        </w:tc>
        <w:tc>
          <w:tcPr>
            <w:tcW w:w="1659" w:type="dxa"/>
            <w:vAlign w:val="top"/>
          </w:tcPr>
          <w:p>
            <w:pPr>
              <w:pStyle w:val="TableText"/>
              <w:ind w:left="255"/>
              <w:spacing w:before="146" w:line="214" w:lineRule="auto"/>
              <w:rPr>
                <w:sz w:val="12"/>
                <w:szCs w:val="12"/>
              </w:rPr>
            </w:pPr>
            <w:r>
              <w:rPr>
                <w:sz w:val="12"/>
                <w:szCs w:val="12"/>
                <w:spacing w:val="-1"/>
              </w:rPr>
              <w:t>直接撒施，每南1-2kg</w:t>
            </w:r>
          </w:p>
        </w:tc>
        <w:tc>
          <w:tcPr>
            <w:tcW w:w="1049" w:type="dxa"/>
            <w:vAlign w:val="top"/>
            <w:vMerge w:val="continue"/>
            <w:tcBorders>
              <w:top w:val="nil"/>
            </w:tcBorders>
          </w:tcPr>
          <w:p>
            <w:pPr>
              <w:rPr>
                <w:rFonts w:ascii="Arial"/>
                <w:sz w:val="21"/>
              </w:rPr>
            </w:pPr>
            <w:r/>
          </w:p>
        </w:tc>
        <w:tc>
          <w:tcPr>
            <w:tcW w:w="709" w:type="dxa"/>
            <w:vAlign w:val="top"/>
          </w:tcPr>
          <w:p>
            <w:pPr>
              <w:pStyle w:val="TableText"/>
              <w:ind w:left="106"/>
              <w:spacing w:before="146" w:line="214" w:lineRule="auto"/>
              <w:rPr>
                <w:sz w:val="12"/>
                <w:szCs w:val="12"/>
              </w:rPr>
            </w:pPr>
            <w:r>
              <w:rPr>
                <w:sz w:val="12"/>
                <w:szCs w:val="12"/>
                <w:spacing w:val="5"/>
              </w:rPr>
              <w:t>(1</w:t>
            </w:r>
            <w:r>
              <w:rPr>
                <w:sz w:val="12"/>
                <w:szCs w:val="12"/>
              </w:rPr>
              <w:t>kg</w:t>
            </w:r>
            <w:r>
              <w:rPr>
                <w:sz w:val="12"/>
                <w:szCs w:val="12"/>
                <w:spacing w:val="5"/>
              </w:rPr>
              <w:t>/袋)</w:t>
            </w:r>
          </w:p>
        </w:tc>
        <w:tc>
          <w:tcPr>
            <w:tcW w:w="2623" w:type="dxa"/>
            <w:vAlign w:val="top"/>
          </w:tcPr>
          <w:p>
            <w:pPr>
              <w:pStyle w:val="TableText"/>
              <w:ind w:left="17" w:right="150" w:hanging="9"/>
              <w:spacing w:before="90" w:line="210" w:lineRule="auto"/>
              <w:rPr>
                <w:sz w:val="12"/>
                <w:szCs w:val="12"/>
              </w:rPr>
            </w:pPr>
            <w:r>
              <w:rPr>
                <w:sz w:val="12"/>
                <w:szCs w:val="12"/>
                <w:spacing w:val="-1"/>
              </w:rPr>
              <w:t>专治草坪地下害虫(蛴婚、金针虫、地老虎、根</w:t>
            </w:r>
            <w:r>
              <w:rPr>
                <w:sz w:val="12"/>
                <w:szCs w:val="12"/>
                <w:spacing w:val="14"/>
              </w:rPr>
              <w:t xml:space="preserve"> </w:t>
            </w:r>
            <w:r>
              <w:rPr>
                <w:sz w:val="12"/>
                <w:szCs w:val="12"/>
                <w:spacing w:val="5"/>
              </w:rPr>
              <w:t>结线虫等)</w:t>
            </w:r>
          </w:p>
        </w:tc>
      </w:tr>
      <w:tr>
        <w:trPr>
          <w:trHeight w:val="409" w:hRule="atLeast"/>
        </w:trPr>
        <w:tc>
          <w:tcPr>
            <w:tcW w:w="425" w:type="dxa"/>
            <w:vAlign w:val="top"/>
            <w:vMerge w:val="restart"/>
            <w:tcBorders>
              <w:bottom w:val="nil"/>
            </w:tcBorders>
          </w:tcPr>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24"/>
              <w:spacing w:before="39" w:line="219" w:lineRule="auto"/>
              <w:rPr>
                <w:sz w:val="12"/>
                <w:szCs w:val="12"/>
              </w:rPr>
            </w:pPr>
            <w:r>
              <w:rPr>
                <w:sz w:val="12"/>
                <w:szCs w:val="12"/>
                <w:spacing w:val="-2"/>
              </w:rPr>
              <w:t>营养剂</w:t>
            </w:r>
          </w:p>
          <w:p>
            <w:pPr>
              <w:pStyle w:val="TableText"/>
              <w:ind w:left="54"/>
              <w:spacing w:before="27" w:line="219" w:lineRule="auto"/>
              <w:rPr>
                <w:sz w:val="12"/>
                <w:szCs w:val="12"/>
              </w:rPr>
            </w:pPr>
            <w:r>
              <w:rPr>
                <w:sz w:val="12"/>
                <w:szCs w:val="12"/>
                <w:spacing w:val="-1"/>
              </w:rPr>
              <w:t>/肥料</w:t>
            </w:r>
          </w:p>
        </w:tc>
        <w:tc>
          <w:tcPr>
            <w:tcW w:w="670"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80"/>
              <w:spacing w:before="39" w:line="219" w:lineRule="auto"/>
              <w:rPr>
                <w:sz w:val="12"/>
                <w:szCs w:val="12"/>
              </w:rPr>
            </w:pPr>
            <w:r>
              <w:rPr>
                <w:sz w:val="12"/>
                <w:szCs w:val="12"/>
                <w:spacing w:val="-1"/>
              </w:rPr>
              <w:t>树木复壮</w:t>
            </w:r>
          </w:p>
        </w:tc>
        <w:tc>
          <w:tcPr>
            <w:tcW w:w="949"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0"/>
              <w:spacing w:before="39" w:line="219" w:lineRule="auto"/>
              <w:rPr>
                <w:sz w:val="12"/>
                <w:szCs w:val="12"/>
              </w:rPr>
            </w:pPr>
            <w:r>
              <w:rPr>
                <w:sz w:val="12"/>
                <w:szCs w:val="12"/>
                <w:spacing w:val="2"/>
              </w:rPr>
              <w:t>树木长势弱，自</w:t>
            </w:r>
          </w:p>
          <w:p>
            <w:pPr>
              <w:pStyle w:val="TableText"/>
              <w:ind w:left="30" w:right="63" w:firstLine="9"/>
              <w:spacing w:before="7" w:line="232" w:lineRule="auto"/>
              <w:jc w:val="both"/>
              <w:rPr>
                <w:sz w:val="12"/>
                <w:szCs w:val="12"/>
              </w:rPr>
            </w:pPr>
            <w:r>
              <w:rPr>
                <w:sz w:val="12"/>
                <w:szCs w:val="12"/>
                <w:spacing w:val="-1"/>
              </w:rPr>
              <w:t>顶部向下有枯黄</w:t>
            </w:r>
            <w:r>
              <w:rPr>
                <w:sz w:val="12"/>
                <w:szCs w:val="12"/>
                <w:spacing w:val="1"/>
              </w:rPr>
              <w:t xml:space="preserve"> </w:t>
            </w:r>
            <w:r>
              <w:rPr>
                <w:sz w:val="12"/>
                <w:szCs w:val="12"/>
                <w:spacing w:val="-1"/>
              </w:rPr>
              <w:t>现象，或高大乔</w:t>
            </w:r>
            <w:r>
              <w:rPr>
                <w:sz w:val="12"/>
                <w:szCs w:val="12"/>
              </w:rPr>
              <w:t xml:space="preserve"> </w:t>
            </w:r>
            <w:r>
              <w:rPr>
                <w:sz w:val="12"/>
                <w:szCs w:val="12"/>
                <w:spacing w:val="2"/>
              </w:rPr>
              <w:t>木及贵重树木</w:t>
            </w:r>
          </w:p>
        </w:tc>
        <w:tc>
          <w:tcPr>
            <w:tcW w:w="2738" w:type="dxa"/>
            <w:vAlign w:val="top"/>
            <w:vMerge w:val="restart"/>
            <w:tcBorders>
              <w:bottom w:val="nil"/>
            </w:tcBorders>
          </w:tcPr>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11" w:right="81"/>
              <w:spacing w:before="39" w:line="216" w:lineRule="auto"/>
              <w:rPr>
                <w:sz w:val="12"/>
                <w:szCs w:val="12"/>
              </w:rPr>
            </w:pPr>
            <w:r>
              <w:rPr>
                <w:sz w:val="12"/>
                <w:szCs w:val="12"/>
                <w:spacing w:val="-1"/>
              </w:rPr>
              <w:t>一，复壮宜放在树木发芽前或刚发芽，一方面是对</w:t>
            </w:r>
            <w:r>
              <w:rPr>
                <w:sz w:val="12"/>
                <w:szCs w:val="12"/>
                <w:spacing w:val="14"/>
              </w:rPr>
              <w:t xml:space="preserve"> </w:t>
            </w:r>
            <w:r>
              <w:rPr>
                <w:sz w:val="12"/>
                <w:szCs w:val="12"/>
                <w:spacing w:val="-1"/>
              </w:rPr>
              <w:t>树干的补水，另一方面是对根系的促生长，第三方</w:t>
            </w:r>
            <w:r>
              <w:rPr>
                <w:sz w:val="12"/>
                <w:szCs w:val="12"/>
                <w:spacing w:val="16"/>
              </w:rPr>
              <w:t xml:space="preserve"> </w:t>
            </w:r>
            <w:r>
              <w:rPr>
                <w:sz w:val="12"/>
                <w:szCs w:val="12"/>
                <w:spacing w:val="7"/>
              </w:rPr>
              <w:t>面就是补充肥力；</w:t>
            </w:r>
          </w:p>
          <w:p>
            <w:pPr>
              <w:pStyle w:val="TableText"/>
              <w:ind w:left="11" w:right="77"/>
              <w:spacing w:before="18" w:line="217" w:lineRule="auto"/>
              <w:rPr>
                <w:sz w:val="12"/>
                <w:szCs w:val="12"/>
              </w:rPr>
            </w:pPr>
            <w:r>
              <w:rPr>
                <w:sz w:val="12"/>
                <w:szCs w:val="12"/>
              </w:rPr>
              <w:t>二、对于后期出现的树木长势衰弱，应查明原</w:t>
            </w:r>
            <w:r>
              <w:rPr>
                <w:sz w:val="12"/>
                <w:szCs w:val="12"/>
                <w:spacing w:val="-1"/>
              </w:rPr>
              <w:t>园，</w:t>
            </w:r>
            <w:r>
              <w:rPr>
                <w:sz w:val="12"/>
                <w:szCs w:val="12"/>
              </w:rPr>
              <w:t xml:space="preserve"> </w:t>
            </w:r>
            <w:r>
              <w:rPr>
                <w:sz w:val="12"/>
                <w:szCs w:val="12"/>
              </w:rPr>
              <w:t>做专项治疗：</w:t>
            </w:r>
          </w:p>
          <w:p>
            <w:pPr>
              <w:pStyle w:val="TableText"/>
              <w:ind w:left="11" w:right="21"/>
              <w:spacing w:before="8" w:line="221" w:lineRule="auto"/>
              <w:rPr>
                <w:sz w:val="12"/>
                <w:szCs w:val="12"/>
              </w:rPr>
            </w:pPr>
            <w:r>
              <w:rPr>
                <w:sz w:val="12"/>
                <w:szCs w:val="12"/>
                <w:spacing w:val="-1"/>
              </w:rPr>
              <w:t>三，主要集中在4月中句-6月初，气温上升，空气湿</w:t>
            </w:r>
            <w:r>
              <w:rPr>
                <w:sz w:val="12"/>
                <w:szCs w:val="12"/>
                <w:spacing w:val="18"/>
              </w:rPr>
              <w:t xml:space="preserve"> </w:t>
            </w:r>
            <w:r>
              <w:rPr>
                <w:sz w:val="12"/>
                <w:szCs w:val="12"/>
                <w:spacing w:val="-1"/>
              </w:rPr>
              <w:t>度增加，苗木结束休眠期开始返青，是树木复壮最</w:t>
            </w:r>
            <w:r>
              <w:rPr>
                <w:sz w:val="12"/>
                <w:szCs w:val="12"/>
                <w:spacing w:val="8"/>
              </w:rPr>
              <w:t xml:space="preserve">  </w:t>
            </w:r>
            <w:r>
              <w:rPr>
                <w:sz w:val="12"/>
                <w:szCs w:val="12"/>
                <w:spacing w:val="14"/>
              </w:rPr>
              <w:t>住时机</w:t>
            </w:r>
            <w:r>
              <w:rPr>
                <w:sz w:val="12"/>
                <w:szCs w:val="12"/>
                <w:spacing w:val="-29"/>
              </w:rPr>
              <w:t xml:space="preserve"> </w:t>
            </w:r>
            <w:r>
              <w:rPr>
                <w:sz w:val="12"/>
                <w:szCs w:val="12"/>
                <w:spacing w:val="14"/>
              </w:rPr>
              <w:t>；</w:t>
            </w:r>
          </w:p>
          <w:p>
            <w:pPr>
              <w:pStyle w:val="TableText"/>
              <w:ind w:left="11"/>
              <w:spacing w:before="8" w:line="219" w:lineRule="auto"/>
              <w:rPr>
                <w:sz w:val="12"/>
                <w:szCs w:val="12"/>
              </w:rPr>
            </w:pPr>
            <w:r>
              <w:rPr>
                <w:sz w:val="12"/>
                <w:szCs w:val="12"/>
                <w:spacing w:val="-1"/>
              </w:rPr>
              <w:t>四、7-8月有个别情况，做专项治疗。</w:t>
            </w:r>
          </w:p>
        </w:tc>
        <w:tc>
          <w:tcPr>
            <w:tcW w:w="1289" w:type="dxa"/>
            <w:vAlign w:val="top"/>
          </w:tcPr>
          <w:p>
            <w:pPr>
              <w:pStyle w:val="TableText"/>
              <w:ind w:left="273"/>
              <w:spacing w:before="150" w:line="219" w:lineRule="auto"/>
              <w:rPr>
                <w:sz w:val="12"/>
                <w:szCs w:val="12"/>
              </w:rPr>
            </w:pPr>
            <w:r>
              <w:rPr>
                <w:sz w:val="12"/>
                <w:szCs w:val="12"/>
              </w:rPr>
              <w:t>国光吊针原液</w:t>
            </w:r>
          </w:p>
        </w:tc>
        <w:tc>
          <w:tcPr>
            <w:tcW w:w="1919" w:type="dxa"/>
            <w:vAlign w:val="top"/>
          </w:tcPr>
          <w:p>
            <w:pPr>
              <w:pStyle w:val="TableText"/>
              <w:ind w:left="173"/>
              <w:spacing w:before="150" w:line="219" w:lineRule="auto"/>
              <w:rPr>
                <w:sz w:val="12"/>
                <w:szCs w:val="12"/>
              </w:rPr>
            </w:pPr>
            <w:r>
              <w:rPr>
                <w:sz w:val="12"/>
                <w:szCs w:val="12"/>
                <w:spacing w:val="1"/>
              </w:rPr>
              <w:t>12%含氯基酸水济肥料(骡+锋)</w:t>
            </w:r>
          </w:p>
        </w:tc>
        <w:tc>
          <w:tcPr>
            <w:tcW w:w="1659" w:type="dxa"/>
            <w:vAlign w:val="top"/>
          </w:tcPr>
          <w:p>
            <w:pPr>
              <w:pStyle w:val="TableText"/>
              <w:ind w:left="375"/>
              <w:spacing w:before="150" w:line="219" w:lineRule="auto"/>
              <w:rPr>
                <w:sz w:val="12"/>
                <w:szCs w:val="12"/>
              </w:rPr>
            </w:pPr>
            <w:r>
              <w:rPr>
                <w:sz w:val="12"/>
                <w:szCs w:val="12"/>
                <w:spacing w:val="-1"/>
              </w:rPr>
              <w:t>稀释1000-1200倍</w:t>
            </w:r>
          </w:p>
        </w:tc>
        <w:tc>
          <w:tcPr>
            <w:tcW w:w="1049"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96"/>
              <w:spacing w:before="39" w:line="219" w:lineRule="auto"/>
              <w:rPr>
                <w:sz w:val="12"/>
                <w:szCs w:val="12"/>
              </w:rPr>
            </w:pPr>
            <w:r>
              <w:rPr>
                <w:sz w:val="12"/>
                <w:szCs w:val="12"/>
                <w:spacing w:val="-1"/>
              </w:rPr>
              <w:t>视树木生长情况</w:t>
            </w:r>
          </w:p>
        </w:tc>
        <w:tc>
          <w:tcPr>
            <w:tcW w:w="709" w:type="dxa"/>
            <w:vAlign w:val="top"/>
          </w:tcPr>
          <w:p>
            <w:pPr>
              <w:pStyle w:val="TableText"/>
              <w:ind w:left="76"/>
              <w:spacing w:before="146" w:line="214" w:lineRule="auto"/>
              <w:rPr>
                <w:sz w:val="12"/>
                <w:szCs w:val="12"/>
              </w:rPr>
            </w:pPr>
            <w:r>
              <w:rPr>
                <w:sz w:val="12"/>
                <w:szCs w:val="12"/>
                <w:spacing w:val="3"/>
              </w:rPr>
              <w:t>(200g/瓶)</w:t>
            </w:r>
          </w:p>
        </w:tc>
        <w:tc>
          <w:tcPr>
            <w:tcW w:w="2623" w:type="dxa"/>
            <w:vAlign w:val="top"/>
          </w:tcPr>
          <w:p>
            <w:pPr>
              <w:pStyle w:val="TableText"/>
              <w:ind w:left="8"/>
              <w:spacing w:before="150" w:line="219" w:lineRule="auto"/>
              <w:rPr>
                <w:sz w:val="12"/>
                <w:szCs w:val="12"/>
              </w:rPr>
            </w:pPr>
            <w:r>
              <w:rPr>
                <w:sz w:val="12"/>
                <w:szCs w:val="12"/>
                <w:spacing w:val="-1"/>
              </w:rPr>
              <w:t>补充水分和养分，促进快速成活</w:t>
            </w:r>
          </w:p>
        </w:tc>
      </w:tr>
      <w:tr>
        <w:trPr>
          <w:trHeight w:val="420"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152" w:line="220" w:lineRule="auto"/>
              <w:rPr>
                <w:sz w:val="12"/>
                <w:szCs w:val="12"/>
              </w:rPr>
            </w:pPr>
            <w:r>
              <w:rPr>
                <w:sz w:val="12"/>
                <w:szCs w:val="12"/>
                <w:spacing w:val="1"/>
              </w:rPr>
              <w:t>中威吊针液</w:t>
            </w:r>
          </w:p>
        </w:tc>
        <w:tc>
          <w:tcPr>
            <w:tcW w:w="1919" w:type="dxa"/>
            <w:vAlign w:val="top"/>
          </w:tcPr>
          <w:p>
            <w:pPr>
              <w:pStyle w:val="TableText"/>
              <w:ind w:left="173"/>
              <w:spacing w:before="150" w:line="216" w:lineRule="auto"/>
              <w:rPr>
                <w:sz w:val="12"/>
                <w:szCs w:val="12"/>
              </w:rPr>
            </w:pPr>
            <w:r>
              <w:rPr>
                <w:sz w:val="12"/>
                <w:szCs w:val="12"/>
                <w:spacing w:val="-1"/>
              </w:rPr>
              <w:t>DL-6,甲壳素，砌续锌等2.85%</w:t>
            </w:r>
          </w:p>
        </w:tc>
        <w:tc>
          <w:tcPr>
            <w:tcW w:w="1659" w:type="dxa"/>
            <w:vAlign w:val="top"/>
          </w:tcPr>
          <w:p>
            <w:pPr>
              <w:pStyle w:val="TableText"/>
              <w:ind w:left="404"/>
              <w:spacing w:before="152" w:line="219" w:lineRule="auto"/>
              <w:rPr>
                <w:sz w:val="12"/>
                <w:szCs w:val="12"/>
              </w:rPr>
            </w:pPr>
            <w:r>
              <w:rPr>
                <w:sz w:val="12"/>
                <w:szCs w:val="12"/>
                <w:spacing w:val="-1"/>
              </w:rPr>
              <w:t>稀释60-100倍液</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167"/>
              <w:spacing w:before="147" w:line="214" w:lineRule="auto"/>
              <w:rPr>
                <w:sz w:val="12"/>
                <w:szCs w:val="12"/>
              </w:rPr>
            </w:pPr>
            <w:r>
              <w:rPr>
                <w:sz w:val="12"/>
                <w:szCs w:val="12"/>
                <w:spacing w:val="-3"/>
              </w:rPr>
              <w:t>Ikg/袋</w:t>
            </w:r>
          </w:p>
        </w:tc>
        <w:tc>
          <w:tcPr>
            <w:tcW w:w="2623" w:type="dxa"/>
            <w:vAlign w:val="top"/>
          </w:tcPr>
          <w:p>
            <w:pPr>
              <w:pStyle w:val="TableText"/>
              <w:ind w:left="8" w:right="90"/>
              <w:spacing w:before="91" w:line="218" w:lineRule="auto"/>
              <w:rPr>
                <w:sz w:val="12"/>
                <w:szCs w:val="12"/>
              </w:rPr>
            </w:pPr>
            <w:r>
              <w:rPr>
                <w:sz w:val="12"/>
                <w:szCs w:val="12"/>
                <w:spacing w:val="-1"/>
              </w:rPr>
              <w:t>促使树体健壮，迅速补充壹养，增强抗性，提高</w:t>
            </w:r>
            <w:r>
              <w:rPr>
                <w:sz w:val="12"/>
                <w:szCs w:val="12"/>
                <w:spacing w:val="14"/>
              </w:rPr>
              <w:t xml:space="preserve"> </w:t>
            </w:r>
            <w:r>
              <w:rPr>
                <w:sz w:val="12"/>
                <w:szCs w:val="12"/>
                <w:spacing w:val="-2"/>
              </w:rPr>
              <w:t>成活率</w:t>
            </w:r>
          </w:p>
        </w:tc>
      </w:tr>
      <w:tr>
        <w:trPr>
          <w:trHeight w:val="40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43"/>
              <w:spacing w:before="152" w:line="219" w:lineRule="auto"/>
              <w:rPr>
                <w:sz w:val="12"/>
                <w:szCs w:val="12"/>
              </w:rPr>
            </w:pPr>
            <w:r>
              <w:rPr>
                <w:sz w:val="12"/>
                <w:szCs w:val="12"/>
                <w:spacing w:val="1"/>
              </w:rPr>
              <w:t>国光根动力2号</w:t>
            </w:r>
          </w:p>
        </w:tc>
        <w:tc>
          <w:tcPr>
            <w:tcW w:w="1919" w:type="dxa"/>
            <w:vAlign w:val="top"/>
          </w:tcPr>
          <w:p>
            <w:pPr>
              <w:pStyle w:val="TableText"/>
              <w:ind w:left="324"/>
              <w:spacing w:before="151" w:line="219" w:lineRule="auto"/>
              <w:rPr>
                <w:sz w:val="12"/>
                <w:szCs w:val="12"/>
              </w:rPr>
            </w:pPr>
            <w:r>
              <w:rPr>
                <w:sz w:val="12"/>
                <w:szCs w:val="12"/>
                <w:spacing w:val="2"/>
              </w:rPr>
              <w:t>13%含氦基酸水溶肥(钙)</w:t>
            </w:r>
          </w:p>
        </w:tc>
        <w:tc>
          <w:tcPr>
            <w:tcW w:w="1659" w:type="dxa"/>
            <w:vAlign w:val="top"/>
          </w:tcPr>
          <w:p>
            <w:pPr>
              <w:pStyle w:val="TableText"/>
              <w:ind w:left="345"/>
              <w:spacing w:before="152" w:line="219" w:lineRule="auto"/>
              <w:rPr>
                <w:sz w:val="12"/>
                <w:szCs w:val="12"/>
              </w:rPr>
            </w:pPr>
            <w:r>
              <w:rPr>
                <w:sz w:val="12"/>
                <w:szCs w:val="12"/>
                <w:spacing w:val="-1"/>
              </w:rPr>
              <w:t>稀释800-1000倍液</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136"/>
              <w:spacing w:before="152" w:line="221" w:lineRule="auto"/>
              <w:rPr>
                <w:sz w:val="12"/>
                <w:szCs w:val="12"/>
              </w:rPr>
            </w:pPr>
            <w:r>
              <w:rPr>
                <w:sz w:val="12"/>
                <w:szCs w:val="12"/>
                <w:spacing w:val="6"/>
              </w:rPr>
              <w:t>(</w:t>
            </w:r>
            <w:r>
              <w:rPr>
                <w:sz w:val="12"/>
                <w:szCs w:val="12"/>
              </w:rPr>
              <w:t>IL</w:t>
            </w:r>
            <w:r>
              <w:rPr>
                <w:sz w:val="12"/>
                <w:szCs w:val="12"/>
                <w:spacing w:val="6"/>
              </w:rPr>
              <w:t>/瓶)</w:t>
            </w:r>
          </w:p>
        </w:tc>
        <w:tc>
          <w:tcPr>
            <w:tcW w:w="2623" w:type="dxa"/>
            <w:vAlign w:val="top"/>
          </w:tcPr>
          <w:p>
            <w:pPr>
              <w:pStyle w:val="TableText"/>
              <w:ind w:left="8"/>
              <w:spacing w:before="152" w:line="219" w:lineRule="auto"/>
              <w:rPr>
                <w:sz w:val="12"/>
                <w:szCs w:val="12"/>
              </w:rPr>
            </w:pPr>
            <w:r>
              <w:rPr>
                <w:sz w:val="12"/>
                <w:szCs w:val="12"/>
                <w:spacing w:val="-1"/>
              </w:rPr>
              <w:t>诱导树木快速生根，提高移栽成活率</w:t>
            </w:r>
          </w:p>
        </w:tc>
      </w:tr>
      <w:tr>
        <w:trPr>
          <w:trHeight w:val="420"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93"/>
              <w:spacing w:before="153" w:line="219" w:lineRule="auto"/>
              <w:rPr>
                <w:sz w:val="12"/>
                <w:szCs w:val="12"/>
              </w:rPr>
            </w:pPr>
            <w:r>
              <w:rPr>
                <w:sz w:val="12"/>
                <w:szCs w:val="12"/>
                <w:spacing w:val="1"/>
              </w:rPr>
              <w:t>国光根盼</w:t>
            </w:r>
          </w:p>
        </w:tc>
        <w:tc>
          <w:tcPr>
            <w:tcW w:w="1919" w:type="dxa"/>
            <w:vAlign w:val="top"/>
          </w:tcPr>
          <w:p>
            <w:pPr>
              <w:pStyle w:val="TableText"/>
              <w:ind w:left="414"/>
              <w:spacing w:before="153" w:line="219" w:lineRule="auto"/>
              <w:rPr>
                <w:sz w:val="12"/>
                <w:szCs w:val="12"/>
              </w:rPr>
            </w:pPr>
            <w:r>
              <w:rPr>
                <w:sz w:val="12"/>
                <w:szCs w:val="12"/>
                <w:spacing w:val="-1"/>
              </w:rPr>
              <w:t>黎乙酸，明噪乙酸5%</w:t>
            </w:r>
          </w:p>
        </w:tc>
        <w:tc>
          <w:tcPr>
            <w:tcW w:w="1659" w:type="dxa"/>
            <w:vAlign w:val="top"/>
          </w:tcPr>
          <w:p>
            <w:pPr>
              <w:pStyle w:val="TableText"/>
              <w:ind w:left="434"/>
              <w:spacing w:before="153" w:line="220" w:lineRule="auto"/>
              <w:rPr>
                <w:sz w:val="12"/>
                <w:szCs w:val="12"/>
              </w:rPr>
            </w:pPr>
            <w:r>
              <w:rPr>
                <w:sz w:val="12"/>
                <w:szCs w:val="12"/>
                <w:spacing w:val="-1"/>
              </w:rPr>
              <w:t>2000-2500倍波</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106"/>
              <w:spacing w:before="153" w:line="221" w:lineRule="auto"/>
              <w:rPr>
                <w:sz w:val="12"/>
                <w:szCs w:val="12"/>
              </w:rPr>
            </w:pPr>
            <w:r>
              <w:rPr>
                <w:sz w:val="12"/>
                <w:szCs w:val="12"/>
                <w:spacing w:val="-1"/>
              </w:rPr>
              <w:t>200ml/瓶</w:t>
            </w:r>
          </w:p>
        </w:tc>
        <w:tc>
          <w:tcPr>
            <w:tcW w:w="2623" w:type="dxa"/>
            <w:vAlign w:val="top"/>
          </w:tcPr>
          <w:p>
            <w:pPr>
              <w:pStyle w:val="TableText"/>
              <w:ind w:left="8" w:right="84"/>
              <w:spacing w:before="82" w:line="249" w:lineRule="auto"/>
              <w:rPr>
                <w:sz w:val="12"/>
                <w:szCs w:val="12"/>
              </w:rPr>
            </w:pPr>
            <w:r>
              <w:rPr>
                <w:sz w:val="12"/>
                <w:szCs w:val="12"/>
              </w:rPr>
              <w:t>促使树木快速生根，形成庞大根系，快速萌芽， </w:t>
            </w:r>
            <w:r>
              <w:rPr>
                <w:sz w:val="12"/>
                <w:szCs w:val="12"/>
                <w:spacing w:val="-2"/>
              </w:rPr>
              <w:t>改善植物长势</w:t>
            </w:r>
          </w:p>
        </w:tc>
      </w:tr>
      <w:tr>
        <w:trPr>
          <w:trHeight w:val="410"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73"/>
              <w:spacing w:before="153" w:line="219" w:lineRule="auto"/>
              <w:rPr>
                <w:sz w:val="12"/>
                <w:szCs w:val="12"/>
              </w:rPr>
            </w:pPr>
            <w:r>
              <w:rPr>
                <w:sz w:val="12"/>
                <w:szCs w:val="12"/>
                <w:spacing w:val="-1"/>
              </w:rPr>
              <w:t>诺普信根聚地</w:t>
            </w:r>
          </w:p>
        </w:tc>
        <w:tc>
          <w:tcPr>
            <w:tcW w:w="1919" w:type="dxa"/>
            <w:vAlign w:val="top"/>
          </w:tcPr>
          <w:p>
            <w:pPr>
              <w:pStyle w:val="TableText"/>
              <w:ind w:left="593" w:right="300" w:hanging="299"/>
              <w:spacing w:before="82" w:line="225" w:lineRule="auto"/>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tc>
        <w:tc>
          <w:tcPr>
            <w:tcW w:w="1659" w:type="dxa"/>
            <w:vAlign w:val="top"/>
          </w:tcPr>
          <w:p>
            <w:pPr>
              <w:pStyle w:val="TableText"/>
              <w:ind w:left="554"/>
              <w:spacing w:before="153" w:line="220" w:lineRule="auto"/>
              <w:rPr>
                <w:sz w:val="12"/>
                <w:szCs w:val="12"/>
              </w:rPr>
            </w:pPr>
            <w:r>
              <w:rPr>
                <w:sz w:val="12"/>
                <w:szCs w:val="12"/>
                <w:spacing w:val="-6"/>
              </w:rPr>
              <w:t>600—800倍</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76"/>
              <w:spacing w:before="153" w:line="221" w:lineRule="auto"/>
              <w:rPr>
                <w:sz w:val="12"/>
                <w:szCs w:val="12"/>
              </w:rPr>
            </w:pPr>
            <w:r>
              <w:rPr>
                <w:sz w:val="12"/>
                <w:szCs w:val="12"/>
                <w:spacing w:val="-1"/>
              </w:rPr>
              <w:t>5000ml/瓶</w:t>
            </w:r>
          </w:p>
        </w:tc>
        <w:tc>
          <w:tcPr>
            <w:tcW w:w="2623" w:type="dxa"/>
            <w:vAlign w:val="top"/>
          </w:tcPr>
          <w:p>
            <w:pPr>
              <w:pStyle w:val="TableText"/>
              <w:ind w:left="17" w:right="201" w:hanging="9"/>
              <w:spacing w:before="81" w:line="233" w:lineRule="auto"/>
              <w:rPr>
                <w:sz w:val="12"/>
                <w:szCs w:val="12"/>
              </w:rPr>
            </w:pPr>
            <w:r>
              <w:rPr>
                <w:sz w:val="12"/>
                <w:szCs w:val="12"/>
                <w:spacing w:val="-1"/>
              </w:rPr>
              <w:t>提供根系生长发育内源动力，诱导刺激根系活</w:t>
            </w:r>
            <w:r>
              <w:rPr>
                <w:sz w:val="12"/>
                <w:szCs w:val="12"/>
                <w:spacing w:val="13"/>
              </w:rPr>
              <w:t xml:space="preserve"> </w:t>
            </w:r>
            <w:r>
              <w:rPr>
                <w:sz w:val="12"/>
                <w:szCs w:val="12"/>
                <w:spacing w:val="-1"/>
              </w:rPr>
              <w:t>力，提高移栽成活率，促进草坪快速生根成块</w:t>
            </w:r>
          </w:p>
        </w:tc>
      </w:tr>
      <w:tr>
        <w:trPr>
          <w:trHeight w:val="63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263" w:line="219" w:lineRule="auto"/>
              <w:rPr>
                <w:sz w:val="12"/>
                <w:szCs w:val="12"/>
              </w:rPr>
            </w:pPr>
            <w:r>
              <w:rPr>
                <w:sz w:val="12"/>
                <w:szCs w:val="12"/>
                <w:spacing w:val="2"/>
              </w:rPr>
              <w:t>国光树动力</w:t>
            </w:r>
          </w:p>
        </w:tc>
        <w:tc>
          <w:tcPr>
            <w:tcW w:w="1919" w:type="dxa"/>
            <w:vAlign w:val="top"/>
          </w:tcPr>
          <w:p>
            <w:pPr>
              <w:pStyle w:val="TableText"/>
              <w:ind w:left="713" w:right="60" w:hanging="660"/>
              <w:spacing w:before="193" w:line="247"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tc>
        <w:tc>
          <w:tcPr>
            <w:tcW w:w="1659" w:type="dxa"/>
            <w:vAlign w:val="top"/>
          </w:tcPr>
          <w:p>
            <w:pPr>
              <w:pStyle w:val="TableText"/>
              <w:ind w:left="94" w:right="58" w:hanging="19"/>
              <w:spacing w:before="202" w:line="233" w:lineRule="auto"/>
              <w:rPr>
                <w:sz w:val="12"/>
                <w:szCs w:val="12"/>
              </w:rPr>
            </w:pPr>
            <w:r>
              <w:rPr>
                <w:sz w:val="12"/>
                <w:szCs w:val="12"/>
                <w:spacing w:val="-1"/>
              </w:rPr>
              <w:t>直接使用。一般胸径8-10c插</w:t>
            </w:r>
            <w:r>
              <w:rPr>
                <w:sz w:val="12"/>
                <w:szCs w:val="12"/>
                <w:spacing w:val="8"/>
              </w:rPr>
              <w:t xml:space="preserve"> </w:t>
            </w:r>
            <w:r>
              <w:rPr>
                <w:sz w:val="12"/>
                <w:szCs w:val="12"/>
                <w:spacing w:val="-1"/>
              </w:rPr>
              <w:t>瓶，胸径每增加10cn增加1瓶</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256" w:right="197" w:hanging="89"/>
              <w:spacing w:before="194" w:line="248" w:lineRule="auto"/>
              <w:rPr>
                <w:sz w:val="12"/>
                <w:szCs w:val="12"/>
              </w:rPr>
            </w:pPr>
            <w:r>
              <w:rPr>
                <w:sz w:val="12"/>
                <w:szCs w:val="12"/>
                <w:spacing w:val="-5"/>
              </w:rPr>
              <w:t>(300a/</w:t>
            </w:r>
            <w:r>
              <w:rPr>
                <w:sz w:val="12"/>
                <w:szCs w:val="12"/>
                <w:spacing w:val="3"/>
              </w:rPr>
              <w:t xml:space="preserve"> </w:t>
            </w:r>
            <w:r>
              <w:rPr>
                <w:sz w:val="12"/>
                <w:szCs w:val="12"/>
                <w:spacing w:val="-3"/>
              </w:rPr>
              <w:t>瓶</w:t>
            </w:r>
            <w:r>
              <w:rPr>
                <w:sz w:val="12"/>
                <w:szCs w:val="12"/>
                <w:spacing w:val="-24"/>
              </w:rPr>
              <w:t xml:space="preserve"> </w:t>
            </w:r>
            <w:r>
              <w:rPr>
                <w:sz w:val="12"/>
                <w:szCs w:val="12"/>
                <w:spacing w:val="-3"/>
              </w:rPr>
              <w:t>)</w:t>
            </w:r>
          </w:p>
        </w:tc>
        <w:tc>
          <w:tcPr>
            <w:tcW w:w="2623" w:type="dxa"/>
            <w:vAlign w:val="top"/>
          </w:tcPr>
          <w:p>
            <w:pPr>
              <w:pStyle w:val="TableText"/>
              <w:ind w:left="8"/>
              <w:spacing w:before="263" w:line="219" w:lineRule="auto"/>
              <w:rPr>
                <w:sz w:val="12"/>
                <w:szCs w:val="12"/>
              </w:rPr>
            </w:pPr>
            <w:r>
              <w:rPr>
                <w:sz w:val="12"/>
                <w:szCs w:val="12"/>
                <w:spacing w:val="-1"/>
              </w:rPr>
              <w:t>大树直措瓶，大树古树复壮</w:t>
            </w:r>
          </w:p>
        </w:tc>
      </w:tr>
      <w:tr>
        <w:trPr>
          <w:trHeight w:val="639" w:hRule="atLeast"/>
        </w:trPr>
        <w:tc>
          <w:tcPr>
            <w:tcW w:w="425" w:type="dxa"/>
            <w:vAlign w:val="top"/>
            <w:vMerge w:val="continue"/>
            <w:tcBorders>
              <w:top w:val="nil"/>
              <w:bottom w:val="nil"/>
            </w:tcBorders>
          </w:tcPr>
          <w:p>
            <w:pPr>
              <w:rPr>
                <w:rFonts w:ascii="Arial"/>
                <w:sz w:val="21"/>
              </w:rPr>
            </w:pPr>
            <w:r/>
          </w:p>
        </w:tc>
        <w:tc>
          <w:tcPr>
            <w:tcW w:w="67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264" w:line="220" w:lineRule="auto"/>
              <w:rPr>
                <w:sz w:val="12"/>
                <w:szCs w:val="12"/>
              </w:rPr>
            </w:pPr>
            <w:r>
              <w:rPr>
                <w:sz w:val="12"/>
                <w:szCs w:val="12"/>
                <w:spacing w:val="1"/>
              </w:rPr>
              <w:t>中威激活液</w:t>
            </w:r>
          </w:p>
        </w:tc>
        <w:tc>
          <w:tcPr>
            <w:tcW w:w="1919" w:type="dxa"/>
            <w:vAlign w:val="top"/>
          </w:tcPr>
          <w:p>
            <w:pPr>
              <w:pStyle w:val="TableText"/>
              <w:ind w:left="474"/>
              <w:spacing w:before="262" w:line="216" w:lineRule="auto"/>
              <w:rPr>
                <w:sz w:val="12"/>
                <w:szCs w:val="12"/>
              </w:rPr>
            </w:pPr>
            <w:r>
              <w:rPr>
                <w:sz w:val="12"/>
                <w:szCs w:val="12"/>
                <w:spacing w:val="-1"/>
              </w:rPr>
              <w:t>6B-A,复确酚钠10%</w:t>
            </w:r>
          </w:p>
        </w:tc>
        <w:tc>
          <w:tcPr>
            <w:tcW w:w="1659" w:type="dxa"/>
            <w:vAlign w:val="top"/>
          </w:tcPr>
          <w:p>
            <w:pPr>
              <w:pStyle w:val="TableText"/>
              <w:ind w:left="74" w:right="49" w:hanging="29"/>
              <w:spacing w:before="194" w:line="248" w:lineRule="auto"/>
              <w:rPr>
                <w:sz w:val="12"/>
                <w:szCs w:val="12"/>
              </w:rPr>
            </w:pPr>
            <w:r>
              <w:rPr>
                <w:sz w:val="12"/>
                <w:szCs w:val="12"/>
                <w:spacing w:val="-1"/>
              </w:rPr>
              <w:t>直接使用。一般胸径8-10c插1</w:t>
            </w:r>
            <w:r>
              <w:rPr>
                <w:sz w:val="12"/>
                <w:szCs w:val="12"/>
                <w:spacing w:val="9"/>
              </w:rPr>
              <w:t xml:space="preserve"> </w:t>
            </w:r>
            <w:r>
              <w:rPr>
                <w:sz w:val="12"/>
                <w:szCs w:val="12"/>
                <w:spacing w:val="-1"/>
              </w:rPr>
              <w:t>瓶，胸径每增加10en增加1瓶</w:t>
            </w:r>
          </w:p>
        </w:tc>
        <w:tc>
          <w:tcPr>
            <w:tcW w:w="1049" w:type="dxa"/>
            <w:vAlign w:val="top"/>
            <w:vMerge w:val="continue"/>
            <w:tcBorders>
              <w:top w:val="nil"/>
              <w:bottom w:val="nil"/>
            </w:tcBorders>
          </w:tcPr>
          <w:p>
            <w:pPr>
              <w:rPr>
                <w:rFonts w:ascii="Arial"/>
                <w:sz w:val="21"/>
              </w:rPr>
            </w:pPr>
            <w:r/>
          </w:p>
        </w:tc>
        <w:tc>
          <w:tcPr>
            <w:tcW w:w="709" w:type="dxa"/>
            <w:vAlign w:val="top"/>
          </w:tcPr>
          <w:p>
            <w:pPr>
              <w:pStyle w:val="TableText"/>
              <w:ind w:left="256" w:right="167" w:hanging="120"/>
              <w:spacing w:before="206" w:line="217" w:lineRule="auto"/>
              <w:rPr>
                <w:sz w:val="12"/>
                <w:szCs w:val="12"/>
              </w:rPr>
            </w:pPr>
            <w:r>
              <w:rPr>
                <w:sz w:val="12"/>
                <w:szCs w:val="12"/>
                <w:spacing w:val="-4"/>
              </w:rPr>
              <w:t>(350ml/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23" w:type="dxa"/>
            <w:vAlign w:val="top"/>
          </w:tcPr>
          <w:p>
            <w:pPr>
              <w:pStyle w:val="TableText"/>
              <w:ind w:left="17" w:right="89" w:hanging="9"/>
              <w:spacing w:before="203" w:line="211" w:lineRule="auto"/>
              <w:rPr>
                <w:sz w:val="12"/>
                <w:szCs w:val="12"/>
              </w:rPr>
            </w:pPr>
            <w:r>
              <w:rPr>
                <w:sz w:val="12"/>
                <w:szCs w:val="12"/>
                <w:spacing w:val="-1"/>
              </w:rPr>
              <w:t>补充水分养分，促进发芽，防止黄叶、萎蔫，生</w:t>
            </w:r>
            <w:r>
              <w:rPr>
                <w:sz w:val="12"/>
                <w:szCs w:val="12"/>
                <w:spacing w:val="15"/>
              </w:rPr>
              <w:t xml:space="preserve"> </w:t>
            </w:r>
            <w:r>
              <w:rPr>
                <w:sz w:val="12"/>
                <w:szCs w:val="12"/>
                <w:spacing w:val="-2"/>
              </w:rPr>
              <w:t>理性病害</w:t>
            </w:r>
          </w:p>
        </w:tc>
      </w:tr>
      <w:tr>
        <w:trPr>
          <w:trHeight w:val="744" w:hRule="atLeast"/>
        </w:trPr>
        <w:tc>
          <w:tcPr>
            <w:tcW w:w="425" w:type="dxa"/>
            <w:vAlign w:val="top"/>
            <w:vMerge w:val="continue"/>
            <w:tcBorders>
              <w:top w:val="nil"/>
            </w:tcBorders>
          </w:tcPr>
          <w:p>
            <w:pPr>
              <w:rPr>
                <w:rFonts w:ascii="Arial"/>
                <w:sz w:val="21"/>
              </w:rPr>
            </w:pPr>
            <w:r/>
          </w:p>
        </w:tc>
        <w:tc>
          <w:tcPr>
            <w:tcW w:w="67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spacing w:line="273" w:lineRule="auto"/>
              <w:rPr>
                <w:rFonts w:ascii="Arial"/>
                <w:sz w:val="21"/>
              </w:rPr>
            </w:pPr>
            <w:r/>
          </w:p>
          <w:p>
            <w:pPr>
              <w:pStyle w:val="TableText"/>
              <w:ind w:left="393"/>
              <w:spacing w:before="39" w:line="219" w:lineRule="auto"/>
              <w:rPr>
                <w:sz w:val="12"/>
                <w:szCs w:val="12"/>
              </w:rPr>
            </w:pPr>
            <w:r>
              <w:rPr>
                <w:sz w:val="12"/>
                <w:szCs w:val="12"/>
                <w:spacing w:val="1"/>
              </w:rPr>
              <w:t>国光棒肥</w:t>
            </w:r>
          </w:p>
        </w:tc>
        <w:tc>
          <w:tcPr>
            <w:tcW w:w="1919" w:type="dxa"/>
            <w:vAlign w:val="top"/>
          </w:tcPr>
          <w:p>
            <w:pPr>
              <w:spacing w:line="273" w:lineRule="auto"/>
              <w:rPr>
                <w:rFonts w:ascii="Arial"/>
                <w:sz w:val="21"/>
              </w:rPr>
            </w:pPr>
            <w:r/>
          </w:p>
          <w:p>
            <w:pPr>
              <w:pStyle w:val="TableText"/>
              <w:ind w:left="173"/>
              <w:spacing w:before="39" w:line="219" w:lineRule="auto"/>
              <w:rPr>
                <w:sz w:val="12"/>
                <w:szCs w:val="12"/>
              </w:rPr>
            </w:pPr>
            <w:r>
              <w:rPr>
                <w:sz w:val="12"/>
                <w:szCs w:val="12"/>
                <w:spacing w:val="-1"/>
              </w:rPr>
              <w:t>微肥、稀有元素、大量元素肥</w:t>
            </w:r>
          </w:p>
        </w:tc>
        <w:tc>
          <w:tcPr>
            <w:tcW w:w="1659" w:type="dxa"/>
            <w:vAlign w:val="top"/>
          </w:tcPr>
          <w:p>
            <w:pPr>
              <w:pStyle w:val="TableText"/>
              <w:ind w:left="45"/>
              <w:spacing w:before="95" w:line="219" w:lineRule="auto"/>
              <w:rPr>
                <w:sz w:val="12"/>
                <w:szCs w:val="12"/>
              </w:rPr>
            </w:pPr>
            <w:r>
              <w:rPr>
                <w:sz w:val="12"/>
                <w:szCs w:val="12"/>
                <w:spacing w:val="-1"/>
              </w:rPr>
              <w:t>直接使用，根据树的胸径进行</w:t>
            </w:r>
          </w:p>
          <w:p>
            <w:pPr>
              <w:pStyle w:val="TableText"/>
              <w:ind w:left="105"/>
              <w:spacing w:before="27" w:line="200" w:lineRule="auto"/>
              <w:rPr>
                <w:sz w:val="12"/>
                <w:szCs w:val="12"/>
              </w:rPr>
            </w:pPr>
            <w:r>
              <w:rPr>
                <w:sz w:val="12"/>
                <w:szCs w:val="12"/>
              </w:rPr>
              <w:t>调整：10cm一下的树1-2支，</w:t>
            </w:r>
          </w:p>
          <w:p>
            <w:pPr>
              <w:pStyle w:val="TableText"/>
              <w:spacing w:line="219" w:lineRule="auto"/>
              <w:jc w:val="right"/>
              <w:rPr>
                <w:sz w:val="12"/>
                <w:szCs w:val="12"/>
              </w:rPr>
            </w:pPr>
            <w:r>
              <w:rPr>
                <w:sz w:val="12"/>
                <w:szCs w:val="12"/>
                <w:spacing w:val="-1"/>
              </w:rPr>
              <w:t>10cn以上的树胸径每增加len则</w:t>
            </w:r>
          </w:p>
          <w:p>
            <w:pPr>
              <w:pStyle w:val="TableText"/>
              <w:ind w:left="615"/>
              <w:spacing w:before="17" w:line="220" w:lineRule="auto"/>
              <w:rPr>
                <w:sz w:val="12"/>
                <w:szCs w:val="12"/>
              </w:rPr>
            </w:pPr>
            <w:r>
              <w:rPr>
                <w:sz w:val="12"/>
                <w:szCs w:val="12"/>
                <w:spacing w:val="-1"/>
              </w:rPr>
              <w:t>增加1支</w:t>
            </w:r>
          </w:p>
        </w:tc>
        <w:tc>
          <w:tcPr>
            <w:tcW w:w="1049" w:type="dxa"/>
            <w:vAlign w:val="top"/>
            <w:vMerge w:val="continue"/>
            <w:tcBorders>
              <w:top w:val="nil"/>
            </w:tcBorders>
          </w:tcPr>
          <w:p>
            <w:pPr>
              <w:rPr>
                <w:rFonts w:ascii="Arial"/>
                <w:sz w:val="21"/>
              </w:rPr>
            </w:pPr>
            <w:r/>
          </w:p>
        </w:tc>
        <w:tc>
          <w:tcPr>
            <w:tcW w:w="709" w:type="dxa"/>
            <w:vAlign w:val="top"/>
          </w:tcPr>
          <w:p>
            <w:pPr>
              <w:spacing w:line="274" w:lineRule="auto"/>
              <w:rPr>
                <w:rFonts w:ascii="Arial"/>
                <w:sz w:val="21"/>
              </w:rPr>
            </w:pPr>
            <w:r/>
          </w:p>
          <w:p>
            <w:pPr>
              <w:pStyle w:val="TableText"/>
              <w:ind w:left="46"/>
              <w:spacing w:before="39" w:line="220" w:lineRule="auto"/>
              <w:rPr>
                <w:sz w:val="12"/>
                <w:szCs w:val="12"/>
              </w:rPr>
            </w:pPr>
            <w:r>
              <w:rPr>
                <w:sz w:val="12"/>
                <w:szCs w:val="12"/>
                <w:spacing w:val="-1"/>
              </w:rPr>
              <w:t>3*15ex40根</w:t>
            </w:r>
          </w:p>
        </w:tc>
        <w:tc>
          <w:tcPr>
            <w:tcW w:w="2623" w:type="dxa"/>
            <w:vAlign w:val="top"/>
          </w:tcPr>
          <w:p>
            <w:pPr>
              <w:spacing w:line="274" w:lineRule="auto"/>
              <w:rPr>
                <w:rFonts w:ascii="Arial"/>
                <w:sz w:val="21"/>
              </w:rPr>
            </w:pPr>
            <w:r/>
          </w:p>
          <w:p>
            <w:pPr>
              <w:pStyle w:val="TableText"/>
              <w:ind w:left="8"/>
              <w:spacing w:before="39" w:line="219" w:lineRule="auto"/>
              <w:rPr>
                <w:sz w:val="12"/>
                <w:szCs w:val="12"/>
              </w:rPr>
            </w:pPr>
            <w:r>
              <w:rPr>
                <w:sz w:val="12"/>
                <w:szCs w:val="12"/>
                <w:spacing w:val="-1"/>
              </w:rPr>
              <w:t>古树，病树，弱树复壮</w:t>
            </w:r>
          </w:p>
        </w:tc>
      </w:tr>
    </w:tbl>
    <w:p>
      <w:pPr>
        <w:rPr>
          <w:rFonts w:ascii="Arial"/>
          <w:sz w:val="21"/>
        </w:rPr>
      </w:pPr>
      <w:r/>
    </w:p>
    <w:p>
      <w:pPr>
        <w:sectPr>
          <w:pgSz w:w="14490" w:h="10240"/>
          <w:pgMar w:top="104" w:right="254" w:bottom="400" w:left="194" w:header="0" w:footer="0" w:gutter="0"/>
        </w:sectPr>
        <w:rPr>
          <w:rFonts w:ascii="Arial" w:hAnsi="Arial" w:eastAsia="Arial" w:cs="Arial"/>
          <w:sz w:val="21"/>
          <w:szCs w:val="21"/>
        </w:rPr>
      </w:pPr>
    </w:p>
    <w:tbl>
      <w:tblPr>
        <w:tblStyle w:val="TableNormal"/>
        <w:tblW w:w="140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5"/>
        <w:gridCol w:w="650"/>
        <w:gridCol w:w="959"/>
        <w:gridCol w:w="2728"/>
        <w:gridCol w:w="1309"/>
        <w:gridCol w:w="1919"/>
        <w:gridCol w:w="1659"/>
        <w:gridCol w:w="1069"/>
        <w:gridCol w:w="699"/>
        <w:gridCol w:w="2623"/>
      </w:tblGrid>
      <w:tr>
        <w:trPr>
          <w:trHeight w:val="713" w:hRule="atLeast"/>
        </w:trPr>
        <w:tc>
          <w:tcPr>
            <w:tcW w:w="445" w:type="dxa"/>
            <w:vAlign w:val="top"/>
            <w:vMerge w:val="restart"/>
            <w:tcBorders>
              <w:bottom w:val="nil"/>
            </w:tcBorders>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34"/>
              <w:spacing w:before="39" w:line="219" w:lineRule="auto"/>
              <w:rPr>
                <w:sz w:val="12"/>
                <w:szCs w:val="12"/>
              </w:rPr>
            </w:pPr>
            <w:r>
              <w:rPr>
                <w:sz w:val="12"/>
                <w:szCs w:val="12"/>
                <w:spacing w:val="-2"/>
              </w:rPr>
              <w:t>营养剂</w:t>
            </w:r>
          </w:p>
          <w:p>
            <w:pPr>
              <w:pStyle w:val="TableText"/>
              <w:ind w:left="64"/>
              <w:spacing w:before="17" w:line="219" w:lineRule="auto"/>
              <w:rPr>
                <w:sz w:val="12"/>
                <w:szCs w:val="12"/>
              </w:rPr>
            </w:pPr>
            <w:r>
              <w:rPr>
                <w:sz w:val="12"/>
                <w:szCs w:val="12"/>
                <w:spacing w:val="-1"/>
              </w:rPr>
              <w:t>/肥料</w:t>
            </w:r>
          </w:p>
        </w:tc>
        <w:tc>
          <w:tcPr>
            <w:tcW w:w="650"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70"/>
              <w:spacing w:before="39" w:line="219" w:lineRule="auto"/>
              <w:rPr>
                <w:sz w:val="12"/>
                <w:szCs w:val="12"/>
              </w:rPr>
            </w:pPr>
            <w:r>
              <w:rPr>
                <w:sz w:val="12"/>
                <w:szCs w:val="12"/>
                <w:spacing w:val="-1"/>
              </w:rPr>
              <w:t>树木复壮</w:t>
            </w:r>
          </w:p>
        </w:tc>
        <w:tc>
          <w:tcPr>
            <w:tcW w:w="959"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50" w:right="38"/>
              <w:spacing w:before="39" w:line="232" w:lineRule="auto"/>
              <w:jc w:val="both"/>
              <w:rPr>
                <w:sz w:val="12"/>
                <w:szCs w:val="12"/>
              </w:rPr>
            </w:pPr>
            <w:r>
              <w:rPr>
                <w:sz w:val="12"/>
                <w:szCs w:val="12"/>
                <w:spacing w:val="2"/>
              </w:rPr>
              <w:t>树木长势弱，自</w:t>
            </w:r>
            <w:r>
              <w:rPr>
                <w:sz w:val="12"/>
                <w:szCs w:val="12"/>
                <w:spacing w:val="5"/>
              </w:rPr>
              <w:t xml:space="preserve"> </w:t>
            </w:r>
            <w:r>
              <w:rPr>
                <w:sz w:val="12"/>
                <w:szCs w:val="12"/>
                <w:spacing w:val="-1"/>
              </w:rPr>
              <w:t>顶部向下有枯黄</w:t>
            </w:r>
            <w:r>
              <w:rPr>
                <w:sz w:val="12"/>
                <w:szCs w:val="12"/>
                <w:spacing w:val="1"/>
              </w:rPr>
              <w:t xml:space="preserve"> </w:t>
            </w:r>
            <w:r>
              <w:rPr>
                <w:sz w:val="12"/>
                <w:szCs w:val="12"/>
                <w:spacing w:val="-1"/>
              </w:rPr>
              <w:t>现象，或高大乔</w:t>
            </w:r>
            <w:r>
              <w:rPr>
                <w:sz w:val="12"/>
                <w:szCs w:val="12"/>
              </w:rPr>
              <w:t xml:space="preserve"> </w:t>
            </w:r>
            <w:r>
              <w:rPr>
                <w:sz w:val="12"/>
                <w:szCs w:val="12"/>
              </w:rPr>
              <w:t>木及贵重树木</w:t>
            </w:r>
          </w:p>
        </w:tc>
        <w:tc>
          <w:tcPr>
            <w:tcW w:w="2728" w:type="dxa"/>
            <w:vAlign w:val="top"/>
            <w:vMerge w:val="restart"/>
            <w:tcBorders>
              <w:bottom w:val="nil"/>
            </w:tcBorders>
          </w:tcPr>
          <w:p>
            <w:pPr>
              <w:spacing w:line="437" w:lineRule="auto"/>
              <w:rPr>
                <w:rFonts w:ascii="Arial"/>
                <w:sz w:val="21"/>
              </w:rPr>
            </w:pPr>
            <w:r/>
          </w:p>
          <w:p>
            <w:pPr>
              <w:pStyle w:val="TableText"/>
              <w:ind w:left="11" w:right="71"/>
              <w:spacing w:before="39" w:line="226" w:lineRule="auto"/>
              <w:rPr>
                <w:sz w:val="12"/>
                <w:szCs w:val="12"/>
              </w:rPr>
            </w:pPr>
            <w:r>
              <w:rPr>
                <w:sz w:val="12"/>
                <w:szCs w:val="12"/>
                <w:spacing w:val="-1"/>
              </w:rPr>
              <w:t>一，复壮宜放在树木发芽前或刚发芽，一方而是对</w:t>
            </w:r>
            <w:r>
              <w:rPr>
                <w:sz w:val="12"/>
                <w:szCs w:val="12"/>
                <w:spacing w:val="14"/>
              </w:rPr>
              <w:t xml:space="preserve"> </w:t>
            </w:r>
            <w:r>
              <w:rPr>
                <w:sz w:val="12"/>
                <w:szCs w:val="12"/>
                <w:spacing w:val="-1"/>
              </w:rPr>
              <w:t>树干的补水，另一方面是对根系的促生长，第三方</w:t>
            </w:r>
            <w:r>
              <w:rPr>
                <w:sz w:val="12"/>
                <w:szCs w:val="12"/>
                <w:spacing w:val="16"/>
              </w:rPr>
              <w:t xml:space="preserve"> </w:t>
            </w:r>
            <w:r>
              <w:rPr>
                <w:sz w:val="12"/>
                <w:szCs w:val="12"/>
                <w:spacing w:val="7"/>
              </w:rPr>
              <w:t>面就是补充肥力；</w:t>
            </w:r>
          </w:p>
          <w:p>
            <w:pPr>
              <w:pStyle w:val="TableText"/>
              <w:ind w:left="11" w:right="186"/>
              <w:spacing w:before="1" w:line="232" w:lineRule="auto"/>
              <w:rPr>
                <w:sz w:val="12"/>
                <w:szCs w:val="12"/>
              </w:rPr>
            </w:pPr>
            <w:r>
              <w:rPr>
                <w:sz w:val="12"/>
                <w:szCs w:val="12"/>
              </w:rPr>
              <w:t>三、对于后期出现的树木长势衰，应查明原园， </w:t>
            </w:r>
            <w:r>
              <w:rPr>
                <w:sz w:val="12"/>
                <w:szCs w:val="12"/>
                <w:spacing w:val="10"/>
              </w:rPr>
              <w:t>做专顺治疗；</w:t>
            </w:r>
          </w:p>
          <w:p>
            <w:pPr>
              <w:pStyle w:val="TableText"/>
              <w:ind w:left="11" w:right="11"/>
              <w:spacing w:before="17" w:line="216" w:lineRule="auto"/>
              <w:rPr>
                <w:sz w:val="12"/>
                <w:szCs w:val="12"/>
              </w:rPr>
            </w:pPr>
            <w:r>
              <w:rPr>
                <w:sz w:val="12"/>
                <w:szCs w:val="12"/>
                <w:spacing w:val="-1"/>
              </w:rPr>
              <w:t>三，主要集中在4月中句-6月初，气温上升，空气湿</w:t>
            </w:r>
            <w:r>
              <w:rPr>
                <w:sz w:val="12"/>
                <w:szCs w:val="12"/>
                <w:spacing w:val="18"/>
              </w:rPr>
              <w:t xml:space="preserve"> </w:t>
            </w:r>
            <w:r>
              <w:rPr>
                <w:sz w:val="12"/>
                <w:szCs w:val="12"/>
                <w:spacing w:val="-1"/>
              </w:rPr>
              <w:t>度增加，苗木结束休眠期开始返青，是树木复壮最</w:t>
            </w:r>
            <w:r>
              <w:rPr>
                <w:sz w:val="12"/>
                <w:szCs w:val="12"/>
                <w:spacing w:val="8"/>
              </w:rPr>
              <w:t xml:space="preserve">  </w:t>
            </w:r>
            <w:r>
              <w:rPr>
                <w:sz w:val="12"/>
                <w:szCs w:val="12"/>
                <w:spacing w:val="14"/>
              </w:rPr>
              <w:t>住时机</w:t>
            </w:r>
            <w:r>
              <w:rPr>
                <w:sz w:val="12"/>
                <w:szCs w:val="12"/>
                <w:spacing w:val="-29"/>
              </w:rPr>
              <w:t xml:space="preserve"> </w:t>
            </w:r>
            <w:r>
              <w:rPr>
                <w:sz w:val="12"/>
                <w:szCs w:val="12"/>
                <w:spacing w:val="14"/>
              </w:rPr>
              <w:t>；</w:t>
            </w:r>
          </w:p>
          <w:p>
            <w:pPr>
              <w:pStyle w:val="TableText"/>
              <w:ind w:left="11"/>
              <w:spacing w:before="18" w:line="219" w:lineRule="auto"/>
              <w:rPr>
                <w:sz w:val="12"/>
                <w:szCs w:val="12"/>
              </w:rPr>
            </w:pPr>
            <w:r>
              <w:rPr>
                <w:sz w:val="12"/>
                <w:szCs w:val="12"/>
                <w:spacing w:val="-1"/>
              </w:rPr>
              <w:t>四、7-8月有个别情况，做专项治疗。</w:t>
            </w:r>
          </w:p>
        </w:tc>
        <w:tc>
          <w:tcPr>
            <w:tcW w:w="1309" w:type="dxa"/>
            <w:vAlign w:val="top"/>
          </w:tcPr>
          <w:p>
            <w:pPr>
              <w:spacing w:line="258" w:lineRule="auto"/>
              <w:rPr>
                <w:rFonts w:ascii="Arial"/>
                <w:sz w:val="21"/>
              </w:rPr>
            </w:pPr>
            <w:r/>
          </w:p>
          <w:p>
            <w:pPr>
              <w:pStyle w:val="TableText"/>
              <w:ind w:left="223"/>
              <w:spacing w:before="39" w:line="219" w:lineRule="auto"/>
              <w:rPr>
                <w:sz w:val="12"/>
                <w:szCs w:val="12"/>
              </w:rPr>
            </w:pPr>
            <w:r>
              <w:rPr>
                <w:sz w:val="12"/>
                <w:szCs w:val="12"/>
                <w:spacing w:val="-1"/>
              </w:rPr>
              <w:t>生物活性有机肥</w:t>
            </w:r>
          </w:p>
        </w:tc>
        <w:tc>
          <w:tcPr>
            <w:tcW w:w="1919" w:type="dxa"/>
            <w:vAlign w:val="top"/>
          </w:tcPr>
          <w:p>
            <w:pPr>
              <w:pStyle w:val="TableText"/>
              <w:ind w:left="113"/>
              <w:spacing w:before="78" w:line="216" w:lineRule="auto"/>
              <w:rPr>
                <w:sz w:val="12"/>
                <w:szCs w:val="12"/>
              </w:rPr>
            </w:pPr>
            <w:r>
              <w:rPr>
                <w:sz w:val="12"/>
                <w:szCs w:val="12"/>
                <w:spacing w:val="-1"/>
              </w:rPr>
              <w:t>氮磷钾大于%,有机质30%,腐殖酸</w:t>
            </w:r>
          </w:p>
          <w:p>
            <w:pPr>
              <w:pStyle w:val="TableText"/>
              <w:ind w:left="113"/>
              <w:spacing w:before="19" w:line="216" w:lineRule="auto"/>
              <w:rPr>
                <w:sz w:val="12"/>
                <w:szCs w:val="12"/>
              </w:rPr>
            </w:pPr>
            <w:r>
              <w:rPr>
                <w:sz w:val="12"/>
                <w:szCs w:val="12"/>
                <w:spacing w:val="-1"/>
              </w:rPr>
              <w:t>大于10%,蓖麻饼大于20%,土壤调</w:t>
            </w:r>
          </w:p>
          <w:p>
            <w:pPr>
              <w:pStyle w:val="TableText"/>
              <w:ind w:left="23"/>
              <w:spacing w:line="219" w:lineRule="auto"/>
              <w:rPr>
                <w:sz w:val="12"/>
                <w:szCs w:val="12"/>
              </w:rPr>
            </w:pPr>
            <w:r>
              <w:rPr>
                <w:sz w:val="12"/>
                <w:szCs w:val="12"/>
                <w:spacing w:val="-1"/>
              </w:rPr>
              <w:t>理剂大于10%活性菌2亿/克，微量元</w:t>
            </w:r>
          </w:p>
          <w:p>
            <w:pPr>
              <w:pStyle w:val="TableText"/>
              <w:ind w:left="193"/>
              <w:spacing w:before="8" w:line="219" w:lineRule="auto"/>
              <w:rPr>
                <w:sz w:val="12"/>
                <w:szCs w:val="12"/>
              </w:rPr>
            </w:pPr>
            <w:r>
              <w:rPr>
                <w:sz w:val="12"/>
                <w:szCs w:val="12"/>
                <w:spacing w:val="-1"/>
              </w:rPr>
              <w:t>素钙、镁、疏，铁，锌、铜等</w:t>
            </w:r>
          </w:p>
        </w:tc>
        <w:tc>
          <w:tcPr>
            <w:tcW w:w="1659" w:type="dxa"/>
            <w:vAlign w:val="top"/>
          </w:tcPr>
          <w:p>
            <w:pPr>
              <w:spacing w:line="259" w:lineRule="auto"/>
              <w:rPr>
                <w:rFonts w:ascii="Arial"/>
                <w:sz w:val="21"/>
              </w:rPr>
            </w:pPr>
            <w:r/>
          </w:p>
          <w:p>
            <w:pPr>
              <w:pStyle w:val="TableText"/>
              <w:ind w:left="524"/>
              <w:spacing w:before="39" w:line="220" w:lineRule="auto"/>
              <w:rPr>
                <w:sz w:val="12"/>
                <w:szCs w:val="12"/>
              </w:rPr>
            </w:pPr>
            <w:r>
              <w:rPr>
                <w:sz w:val="12"/>
                <w:szCs w:val="12"/>
                <w:spacing w:val="-1"/>
              </w:rPr>
              <w:t>穴施或撒施</w:t>
            </w:r>
          </w:p>
        </w:tc>
        <w:tc>
          <w:tcPr>
            <w:tcW w:w="1069" w:type="dxa"/>
            <w:vAlign w:val="top"/>
            <w:vMerge w:val="restart"/>
            <w:tcBorders>
              <w:bottom w:val="nil"/>
            </w:tcBorders>
          </w:tcPr>
          <w:p>
            <w:pPr>
              <w:spacing w:line="258" w:lineRule="auto"/>
              <w:rPr>
                <w:rFonts w:ascii="Arial"/>
                <w:sz w:val="21"/>
              </w:rPr>
            </w:pPr>
            <w:r/>
          </w:p>
          <w:p>
            <w:pPr>
              <w:spacing w:line="259" w:lineRule="auto"/>
              <w:rPr>
                <w:rFonts w:ascii="Arial"/>
                <w:sz w:val="21"/>
              </w:rPr>
            </w:pPr>
            <w:r/>
          </w:p>
          <w:p>
            <w:pPr>
              <w:pStyle w:val="TableText"/>
              <w:ind w:left="106"/>
              <w:spacing w:before="39" w:line="219" w:lineRule="auto"/>
              <w:rPr>
                <w:sz w:val="12"/>
                <w:szCs w:val="12"/>
              </w:rPr>
            </w:pPr>
            <w:r>
              <w:rPr>
                <w:sz w:val="12"/>
                <w:szCs w:val="12"/>
                <w:spacing w:val="-1"/>
              </w:rPr>
              <w:t>视树木生长情况</w:t>
            </w:r>
          </w:p>
        </w:tc>
        <w:tc>
          <w:tcPr>
            <w:tcW w:w="699" w:type="dxa"/>
            <w:vAlign w:val="top"/>
          </w:tcPr>
          <w:p>
            <w:pPr>
              <w:spacing w:line="255" w:lineRule="auto"/>
              <w:rPr>
                <w:rFonts w:ascii="Arial"/>
                <w:sz w:val="21"/>
              </w:rPr>
            </w:pPr>
            <w:r/>
          </w:p>
          <w:p>
            <w:pPr>
              <w:pStyle w:val="TableText"/>
              <w:ind w:left="137"/>
              <w:spacing w:before="39" w:line="214" w:lineRule="auto"/>
              <w:rPr>
                <w:sz w:val="12"/>
                <w:szCs w:val="12"/>
              </w:rPr>
            </w:pPr>
            <w:r>
              <w:rPr>
                <w:sz w:val="12"/>
                <w:szCs w:val="12"/>
                <w:spacing w:val="-1"/>
              </w:rPr>
              <w:t>40Kg/袋</w:t>
            </w:r>
          </w:p>
        </w:tc>
        <w:tc>
          <w:tcPr>
            <w:tcW w:w="2623" w:type="dxa"/>
            <w:vAlign w:val="top"/>
          </w:tcPr>
          <w:p>
            <w:pPr>
              <w:pStyle w:val="TableText"/>
              <w:ind w:left="17" w:right="4" w:firstLine="9"/>
              <w:spacing w:before="249" w:line="210" w:lineRule="auto"/>
              <w:rPr>
                <w:sz w:val="12"/>
                <w:szCs w:val="12"/>
              </w:rPr>
            </w:pPr>
            <w:r>
              <w:rPr>
                <w:sz w:val="12"/>
                <w:szCs w:val="12"/>
                <w:spacing w:val="2"/>
              </w:rPr>
              <w:t>改善土壤结构，增强透气、储本能力。乔灌木、</w:t>
            </w:r>
            <w:r>
              <w:rPr>
                <w:sz w:val="12"/>
                <w:szCs w:val="12"/>
                <w:spacing w:val="17"/>
              </w:rPr>
              <w:t xml:space="preserve"> </w:t>
            </w:r>
            <w:r>
              <w:rPr>
                <w:sz w:val="12"/>
                <w:szCs w:val="12"/>
                <w:spacing w:val="-1"/>
              </w:rPr>
              <w:t>烛被、草坪均可使用</w:t>
            </w:r>
          </w:p>
        </w:tc>
      </w:tr>
      <w:tr>
        <w:trPr>
          <w:trHeight w:val="519" w:hRule="atLeast"/>
        </w:trPr>
        <w:tc>
          <w:tcPr>
            <w:tcW w:w="445" w:type="dxa"/>
            <w:vAlign w:val="top"/>
            <w:vMerge w:val="continue"/>
            <w:tcBorders>
              <w:top w:val="nil"/>
              <w:bottom w:val="nil"/>
            </w:tcBorders>
          </w:tcPr>
          <w:p>
            <w:pPr>
              <w:rPr>
                <w:rFonts w:ascii="Arial"/>
                <w:sz w:val="21"/>
              </w:rPr>
            </w:pPr>
            <w:r/>
          </w:p>
        </w:tc>
        <w:tc>
          <w:tcPr>
            <w:tcW w:w="65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309" w:type="dxa"/>
            <w:vAlign w:val="top"/>
          </w:tcPr>
          <w:p>
            <w:pPr>
              <w:pStyle w:val="TableText"/>
              <w:ind w:left="103"/>
              <w:spacing w:before="196" w:line="219" w:lineRule="auto"/>
              <w:rPr>
                <w:sz w:val="12"/>
                <w:szCs w:val="12"/>
              </w:rPr>
            </w:pPr>
            <w:r>
              <w:rPr>
                <w:sz w:val="12"/>
                <w:szCs w:val="12"/>
              </w:rPr>
              <w:t>国光雨阳苗木专用肥</w:t>
            </w:r>
          </w:p>
        </w:tc>
        <w:tc>
          <w:tcPr>
            <w:tcW w:w="1919" w:type="dxa"/>
            <w:vAlign w:val="top"/>
          </w:tcPr>
          <w:p>
            <w:pPr>
              <w:pStyle w:val="TableText"/>
              <w:ind w:left="444"/>
              <w:spacing w:before="196" w:line="219" w:lineRule="auto"/>
              <w:rPr>
                <w:sz w:val="12"/>
                <w:szCs w:val="12"/>
              </w:rPr>
            </w:pPr>
            <w:r>
              <w:rPr>
                <w:sz w:val="12"/>
                <w:szCs w:val="12"/>
                <w:spacing w:val="-1"/>
              </w:rPr>
              <w:t>氯：磷：钾22:8;15</w:t>
            </w:r>
          </w:p>
        </w:tc>
        <w:tc>
          <w:tcPr>
            <w:tcW w:w="1659" w:type="dxa"/>
            <w:vAlign w:val="top"/>
          </w:tcPr>
          <w:p>
            <w:pPr>
              <w:pStyle w:val="TableText"/>
              <w:ind w:left="585"/>
              <w:spacing w:before="196" w:line="219" w:lineRule="auto"/>
              <w:rPr>
                <w:sz w:val="12"/>
                <w:szCs w:val="12"/>
              </w:rPr>
            </w:pPr>
            <w:r>
              <w:rPr>
                <w:sz w:val="12"/>
                <w:szCs w:val="12"/>
                <w:spacing w:val="3"/>
              </w:rPr>
              <w:t>直接使用</w:t>
            </w:r>
          </w:p>
        </w:tc>
        <w:tc>
          <w:tcPr>
            <w:tcW w:w="1069" w:type="dxa"/>
            <w:vAlign w:val="top"/>
            <w:vMerge w:val="continue"/>
            <w:tcBorders>
              <w:top w:val="nil"/>
            </w:tcBorders>
          </w:tcPr>
          <w:p>
            <w:pPr>
              <w:rPr>
                <w:rFonts w:ascii="Arial"/>
                <w:sz w:val="21"/>
              </w:rPr>
            </w:pPr>
            <w:r/>
          </w:p>
        </w:tc>
        <w:tc>
          <w:tcPr>
            <w:tcW w:w="699" w:type="dxa"/>
            <w:vAlign w:val="top"/>
          </w:tcPr>
          <w:p>
            <w:pPr>
              <w:pStyle w:val="TableText"/>
              <w:ind w:left="137"/>
              <w:spacing w:before="232" w:line="214" w:lineRule="auto"/>
              <w:rPr>
                <w:sz w:val="12"/>
                <w:szCs w:val="12"/>
              </w:rPr>
            </w:pPr>
            <w:r>
              <w:rPr>
                <w:sz w:val="12"/>
                <w:szCs w:val="12"/>
                <w:spacing w:val="-1"/>
              </w:rPr>
              <w:t>20kg/袋</w:t>
            </w:r>
          </w:p>
        </w:tc>
        <w:tc>
          <w:tcPr>
            <w:tcW w:w="2623" w:type="dxa"/>
            <w:vAlign w:val="top"/>
          </w:tcPr>
          <w:p>
            <w:pPr>
              <w:pStyle w:val="TableText"/>
              <w:ind w:left="27" w:right="10"/>
              <w:spacing w:before="136"/>
              <w:rPr>
                <w:sz w:val="12"/>
                <w:szCs w:val="12"/>
              </w:rPr>
            </w:pPr>
            <w:r>
              <w:rPr>
                <w:sz w:val="12"/>
                <w:szCs w:val="12"/>
                <w:spacing w:val="-1"/>
              </w:rPr>
              <w:t>乔木，灌木、地草坪均可使用，1万平方米年度约</w:t>
            </w:r>
            <w:r>
              <w:rPr>
                <w:sz w:val="12"/>
                <w:szCs w:val="12"/>
                <w:spacing w:val="15"/>
                <w:w w:val="101"/>
              </w:rPr>
              <w:t xml:space="preserve"> </w:t>
            </w:r>
            <w:r>
              <w:rPr>
                <w:sz w:val="12"/>
                <w:szCs w:val="12"/>
                <w:spacing w:val="-1"/>
              </w:rPr>
              <w:t>用量：500kg</w:t>
            </w:r>
          </w:p>
        </w:tc>
      </w:tr>
      <w:tr>
        <w:trPr>
          <w:trHeight w:val="439" w:hRule="atLeast"/>
        </w:trPr>
        <w:tc>
          <w:tcPr>
            <w:tcW w:w="445" w:type="dxa"/>
            <w:vAlign w:val="top"/>
            <w:vMerge w:val="continue"/>
            <w:tcBorders>
              <w:top w:val="nil"/>
              <w:bottom w:val="nil"/>
            </w:tcBorders>
          </w:tcPr>
          <w:p>
            <w:pPr>
              <w:rPr>
                <w:rFonts w:ascii="Arial"/>
                <w:sz w:val="21"/>
              </w:rPr>
            </w:pPr>
            <w:r/>
          </w:p>
        </w:tc>
        <w:tc>
          <w:tcPr>
            <w:tcW w:w="65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309" w:type="dxa"/>
            <w:vAlign w:val="top"/>
          </w:tcPr>
          <w:p>
            <w:pPr>
              <w:pStyle w:val="TableText"/>
              <w:ind w:left="283"/>
              <w:spacing w:before="158" w:line="219" w:lineRule="auto"/>
              <w:rPr>
                <w:sz w:val="12"/>
                <w:szCs w:val="12"/>
              </w:rPr>
            </w:pPr>
            <w:r>
              <w:rPr>
                <w:sz w:val="12"/>
                <w:szCs w:val="12"/>
                <w:spacing w:val="1"/>
              </w:rPr>
              <w:t>国光氨基酸钾</w:t>
            </w:r>
          </w:p>
        </w:tc>
        <w:tc>
          <w:tcPr>
            <w:tcW w:w="1919" w:type="dxa"/>
            <w:vAlign w:val="top"/>
          </w:tcPr>
          <w:p>
            <w:pPr>
              <w:pStyle w:val="TableText"/>
              <w:ind w:left="504"/>
              <w:spacing w:before="158" w:line="220" w:lineRule="auto"/>
              <w:rPr>
                <w:sz w:val="12"/>
                <w:szCs w:val="12"/>
              </w:rPr>
            </w:pPr>
            <w:r>
              <w:rPr>
                <w:sz w:val="12"/>
                <w:szCs w:val="12"/>
                <w:spacing w:val="1"/>
              </w:rPr>
              <w:t>12%氯基酸整合钾</w:t>
            </w:r>
          </w:p>
        </w:tc>
        <w:tc>
          <w:tcPr>
            <w:tcW w:w="1659" w:type="dxa"/>
            <w:vAlign w:val="top"/>
          </w:tcPr>
          <w:p>
            <w:pPr>
              <w:pStyle w:val="TableText"/>
              <w:ind w:left="375"/>
              <w:spacing w:before="158" w:line="219" w:lineRule="auto"/>
              <w:rPr>
                <w:sz w:val="12"/>
                <w:szCs w:val="12"/>
              </w:rPr>
            </w:pPr>
            <w:r>
              <w:rPr>
                <w:sz w:val="12"/>
                <w:szCs w:val="12"/>
                <w:spacing w:val="-1"/>
              </w:rPr>
              <w:t>稀释600-800倍波</w:t>
            </w:r>
          </w:p>
        </w:tc>
        <w:tc>
          <w:tcPr>
            <w:tcW w:w="1069" w:type="dxa"/>
            <w:vAlign w:val="top"/>
            <w:vMerge w:val="restart"/>
            <w:tcBorders>
              <w:bottom w:val="nil"/>
            </w:tcBorders>
          </w:tcPr>
          <w:p>
            <w:pPr>
              <w:spacing w:line="406" w:lineRule="auto"/>
              <w:rPr>
                <w:rFonts w:ascii="Arial"/>
                <w:sz w:val="21"/>
              </w:rPr>
            </w:pPr>
            <w:r/>
          </w:p>
          <w:p>
            <w:pPr>
              <w:pStyle w:val="TableText"/>
              <w:ind w:left="255"/>
              <w:spacing w:before="39" w:line="219" w:lineRule="auto"/>
              <w:rPr>
                <w:sz w:val="12"/>
                <w:szCs w:val="12"/>
              </w:rPr>
            </w:pPr>
            <w:r>
              <w:rPr>
                <w:sz w:val="12"/>
                <w:szCs w:val="12"/>
                <w:spacing w:val="-2"/>
              </w:rPr>
              <w:t>一般用1次</w:t>
            </w:r>
          </w:p>
        </w:tc>
        <w:tc>
          <w:tcPr>
            <w:tcW w:w="699" w:type="dxa"/>
            <w:vAlign w:val="top"/>
          </w:tcPr>
          <w:p>
            <w:pPr>
              <w:pStyle w:val="TableText"/>
              <w:ind w:left="137"/>
              <w:spacing w:before="153" w:line="214" w:lineRule="auto"/>
              <w:rPr>
                <w:sz w:val="12"/>
                <w:szCs w:val="12"/>
              </w:rPr>
            </w:pPr>
            <w:r>
              <w:rPr>
                <w:sz w:val="12"/>
                <w:szCs w:val="12"/>
                <w:spacing w:val="-1"/>
              </w:rPr>
              <w:t>500g/瓶</w:t>
            </w:r>
          </w:p>
        </w:tc>
        <w:tc>
          <w:tcPr>
            <w:tcW w:w="2623" w:type="dxa"/>
            <w:vAlign w:val="top"/>
          </w:tcPr>
          <w:p>
            <w:pPr>
              <w:pStyle w:val="TableText"/>
              <w:ind w:left="27" w:right="17"/>
              <w:spacing w:before="97"/>
              <w:rPr>
                <w:sz w:val="12"/>
                <w:szCs w:val="12"/>
              </w:rPr>
            </w:pPr>
            <w:r>
              <w:rPr>
                <w:sz w:val="12"/>
                <w:szCs w:val="12"/>
                <w:spacing w:val="-1"/>
              </w:rPr>
              <w:t>防治园缺钾引起的植株瘦弱，生长不良，1万平方</w:t>
            </w:r>
            <w:r>
              <w:rPr>
                <w:sz w:val="12"/>
                <w:szCs w:val="12"/>
                <w:spacing w:val="8"/>
              </w:rPr>
              <w:t xml:space="preserve"> </w:t>
            </w:r>
            <w:r>
              <w:rPr>
                <w:sz w:val="12"/>
                <w:szCs w:val="12"/>
                <w:spacing w:val="-1"/>
              </w:rPr>
              <w:t>米年度约用量：50kg</w:t>
            </w:r>
          </w:p>
        </w:tc>
      </w:tr>
      <w:tr>
        <w:trPr>
          <w:trHeight w:val="559" w:hRule="atLeast"/>
        </w:trPr>
        <w:tc>
          <w:tcPr>
            <w:tcW w:w="445" w:type="dxa"/>
            <w:vAlign w:val="top"/>
            <w:vMerge w:val="continue"/>
            <w:tcBorders>
              <w:top w:val="nil"/>
              <w:bottom w:val="nil"/>
            </w:tcBorders>
          </w:tcPr>
          <w:p>
            <w:pPr>
              <w:rPr>
                <w:rFonts w:ascii="Arial"/>
                <w:sz w:val="21"/>
              </w:rPr>
            </w:pPr>
            <w:r/>
          </w:p>
        </w:tc>
        <w:tc>
          <w:tcPr>
            <w:tcW w:w="65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tcBorders>
          </w:tcPr>
          <w:p>
            <w:pPr>
              <w:rPr>
                <w:rFonts w:ascii="Arial"/>
                <w:sz w:val="21"/>
              </w:rPr>
            </w:pPr>
            <w:r/>
          </w:p>
        </w:tc>
        <w:tc>
          <w:tcPr>
            <w:tcW w:w="1309" w:type="dxa"/>
            <w:vAlign w:val="top"/>
          </w:tcPr>
          <w:p>
            <w:pPr>
              <w:pStyle w:val="TableText"/>
              <w:ind w:left="223"/>
              <w:spacing w:before="218" w:line="219" w:lineRule="auto"/>
              <w:rPr>
                <w:sz w:val="12"/>
                <w:szCs w:val="12"/>
              </w:rPr>
            </w:pPr>
            <w:r>
              <w:rPr>
                <w:sz w:val="12"/>
                <w:szCs w:val="12"/>
                <w:spacing w:val="-1"/>
              </w:rPr>
              <w:t>高效磷钾复合肥</w:t>
            </w:r>
          </w:p>
        </w:tc>
        <w:tc>
          <w:tcPr>
            <w:tcW w:w="1919" w:type="dxa"/>
            <w:vAlign w:val="top"/>
          </w:tcPr>
          <w:p>
            <w:pPr>
              <w:pStyle w:val="TableText"/>
              <w:ind w:left="654"/>
              <w:spacing w:before="219" w:line="219" w:lineRule="auto"/>
              <w:rPr>
                <w:sz w:val="12"/>
                <w:szCs w:val="12"/>
              </w:rPr>
            </w:pPr>
            <w:r>
              <w:rPr>
                <w:sz w:val="12"/>
                <w:szCs w:val="12"/>
                <w:spacing w:val="-1"/>
              </w:rPr>
              <w:t>磷酸二氢师</w:t>
            </w:r>
          </w:p>
        </w:tc>
        <w:tc>
          <w:tcPr>
            <w:tcW w:w="1659" w:type="dxa"/>
            <w:vAlign w:val="top"/>
          </w:tcPr>
          <w:p>
            <w:pPr>
              <w:pStyle w:val="TableText"/>
              <w:ind w:left="195"/>
              <w:spacing w:before="219" w:line="219" w:lineRule="auto"/>
              <w:rPr>
                <w:sz w:val="12"/>
                <w:szCs w:val="12"/>
              </w:rPr>
            </w:pPr>
            <w:r>
              <w:rPr>
                <w:sz w:val="12"/>
                <w:szCs w:val="12"/>
                <w:spacing w:val="-1"/>
              </w:rPr>
              <w:t>直接穴施或0.2叶面唤施</w:t>
            </w:r>
          </w:p>
        </w:tc>
        <w:tc>
          <w:tcPr>
            <w:tcW w:w="1069" w:type="dxa"/>
            <w:vAlign w:val="top"/>
            <w:vMerge w:val="continue"/>
            <w:tcBorders>
              <w:top w:val="nil"/>
            </w:tcBorders>
          </w:tcPr>
          <w:p>
            <w:pPr>
              <w:rPr>
                <w:rFonts w:ascii="Arial"/>
                <w:sz w:val="21"/>
              </w:rPr>
            </w:pPr>
            <w:r/>
          </w:p>
        </w:tc>
        <w:tc>
          <w:tcPr>
            <w:tcW w:w="699" w:type="dxa"/>
            <w:vAlign w:val="top"/>
          </w:tcPr>
          <w:p>
            <w:pPr>
              <w:pStyle w:val="TableText"/>
              <w:ind w:left="76"/>
              <w:spacing w:before="214" w:line="214" w:lineRule="auto"/>
              <w:rPr>
                <w:sz w:val="12"/>
                <w:szCs w:val="12"/>
              </w:rPr>
            </w:pPr>
            <w:r>
              <w:rPr>
                <w:sz w:val="12"/>
                <w:szCs w:val="12"/>
                <w:spacing w:val="4"/>
              </w:rPr>
              <w:t>(25</w:t>
            </w:r>
            <w:r>
              <w:rPr>
                <w:sz w:val="12"/>
                <w:szCs w:val="12"/>
              </w:rPr>
              <w:t>kg</w:t>
            </w:r>
            <w:r>
              <w:rPr>
                <w:sz w:val="12"/>
                <w:szCs w:val="12"/>
                <w:spacing w:val="4"/>
              </w:rPr>
              <w:t>/袋)</w:t>
            </w:r>
          </w:p>
        </w:tc>
        <w:tc>
          <w:tcPr>
            <w:tcW w:w="2623" w:type="dxa"/>
            <w:vAlign w:val="top"/>
          </w:tcPr>
          <w:p>
            <w:pPr>
              <w:pStyle w:val="TableText"/>
              <w:ind w:left="27" w:right="10"/>
              <w:spacing w:before="148"/>
              <w:rPr>
                <w:sz w:val="12"/>
                <w:szCs w:val="12"/>
              </w:rPr>
            </w:pPr>
            <w:r>
              <w:rPr>
                <w:sz w:val="12"/>
                <w:szCs w:val="12"/>
                <w:spacing w:val="-1"/>
              </w:rPr>
              <w:t>提高树木木质化程度。有利树木安全越冬，1万平</w:t>
            </w:r>
            <w:r>
              <w:rPr>
                <w:sz w:val="12"/>
                <w:szCs w:val="12"/>
                <w:spacing w:val="15"/>
                <w:w w:val="101"/>
              </w:rPr>
              <w:t xml:space="preserve"> </w:t>
            </w:r>
            <w:r>
              <w:rPr>
                <w:sz w:val="12"/>
                <w:szCs w:val="12"/>
                <w:spacing w:val="-1"/>
              </w:rPr>
              <w:t>方米年度约用量：100kg</w:t>
            </w:r>
          </w:p>
        </w:tc>
      </w:tr>
      <w:tr>
        <w:trPr>
          <w:trHeight w:val="659" w:hRule="atLeast"/>
        </w:trPr>
        <w:tc>
          <w:tcPr>
            <w:tcW w:w="445" w:type="dxa"/>
            <w:vAlign w:val="top"/>
            <w:vMerge w:val="continue"/>
            <w:tcBorders>
              <w:top w:val="nil"/>
              <w:bottom w:val="nil"/>
            </w:tcBorders>
          </w:tcPr>
          <w:p>
            <w:pPr>
              <w:rPr>
                <w:rFonts w:ascii="Arial"/>
                <w:sz w:val="21"/>
              </w:rPr>
            </w:pPr>
            <w:r/>
          </w:p>
        </w:tc>
        <w:tc>
          <w:tcPr>
            <w:tcW w:w="650" w:type="dxa"/>
            <w:vAlign w:val="top"/>
            <w:vMerge w:val="restart"/>
            <w:tcBorders>
              <w:bottom w:val="nil"/>
            </w:tcBorders>
          </w:tcPr>
          <w:p>
            <w:pPr>
              <w:spacing w:line="293" w:lineRule="auto"/>
              <w:rPr>
                <w:rFonts w:ascii="Arial"/>
                <w:sz w:val="21"/>
              </w:rPr>
            </w:pPr>
            <w:r/>
          </w:p>
          <w:p>
            <w:pPr>
              <w:spacing w:line="294" w:lineRule="auto"/>
              <w:rPr>
                <w:rFonts w:ascii="Arial"/>
                <w:sz w:val="21"/>
              </w:rPr>
            </w:pPr>
            <w:r/>
          </w:p>
          <w:p>
            <w:pPr>
              <w:pStyle w:val="TableText"/>
              <w:ind w:left="70"/>
              <w:spacing w:before="39" w:line="219" w:lineRule="auto"/>
              <w:rPr>
                <w:sz w:val="12"/>
                <w:szCs w:val="12"/>
              </w:rPr>
            </w:pPr>
            <w:r>
              <w:rPr>
                <w:sz w:val="12"/>
                <w:szCs w:val="12"/>
                <w:spacing w:val="-2"/>
              </w:rPr>
              <w:t>草皮覆绿</w:t>
            </w:r>
          </w:p>
        </w:tc>
        <w:tc>
          <w:tcPr>
            <w:tcW w:w="959" w:type="dxa"/>
            <w:vAlign w:val="top"/>
            <w:vMerge w:val="restart"/>
            <w:tcBorders>
              <w:bottom w:val="nil"/>
            </w:tcBorders>
          </w:tcPr>
          <w:p>
            <w:pPr>
              <w:spacing w:line="258" w:lineRule="auto"/>
              <w:rPr>
                <w:rFonts w:ascii="Arial"/>
                <w:sz w:val="21"/>
              </w:rPr>
            </w:pPr>
            <w:r/>
          </w:p>
          <w:p>
            <w:pPr>
              <w:spacing w:line="259" w:lineRule="auto"/>
              <w:rPr>
                <w:rFonts w:ascii="Arial"/>
                <w:sz w:val="21"/>
              </w:rPr>
            </w:pPr>
            <w:r/>
          </w:p>
          <w:p>
            <w:pPr>
              <w:pStyle w:val="TableText"/>
              <w:ind w:left="50"/>
              <w:spacing w:before="39" w:line="218" w:lineRule="auto"/>
              <w:rPr>
                <w:sz w:val="12"/>
                <w:szCs w:val="12"/>
              </w:rPr>
            </w:pPr>
            <w:r>
              <w:rPr>
                <w:sz w:val="12"/>
                <w:szCs w:val="12"/>
                <w:spacing w:val="-1"/>
              </w:rPr>
              <w:t>草坪发芽及长势</w:t>
            </w:r>
          </w:p>
          <w:p>
            <w:pPr>
              <w:pStyle w:val="TableText"/>
              <w:ind w:left="350"/>
              <w:spacing w:line="222" w:lineRule="auto"/>
              <w:rPr>
                <w:sz w:val="12"/>
                <w:szCs w:val="12"/>
              </w:rPr>
            </w:pPr>
            <w:r>
              <w:rPr>
                <w:sz w:val="12"/>
                <w:szCs w:val="12"/>
                <w:spacing w:val="-2"/>
              </w:rPr>
              <w:t>不良</w:t>
            </w:r>
          </w:p>
        </w:tc>
        <w:tc>
          <w:tcPr>
            <w:tcW w:w="2728" w:type="dxa"/>
            <w:vAlign w:val="top"/>
            <w:vMerge w:val="restart"/>
            <w:tcBorders>
              <w:bottom w:val="nil"/>
            </w:tcBorders>
          </w:tcPr>
          <w:p>
            <w:pPr>
              <w:pStyle w:val="TableText"/>
              <w:ind w:left="11" w:right="71" w:firstLine="19"/>
              <w:spacing w:before="260" w:line="225" w:lineRule="auto"/>
              <w:rPr>
                <w:sz w:val="12"/>
                <w:szCs w:val="12"/>
              </w:rPr>
            </w:pPr>
            <w:r>
              <w:rPr>
                <w:sz w:val="12"/>
                <w:szCs w:val="12"/>
                <w:spacing w:val="-1"/>
              </w:rPr>
              <w:t>一、主要集中在5月中甸，气温上升，空气湿度增</w:t>
            </w:r>
            <w:r>
              <w:rPr>
                <w:sz w:val="12"/>
                <w:szCs w:val="12"/>
                <w:spacing w:val="2"/>
              </w:rPr>
              <w:t xml:space="preserve">  </w:t>
            </w:r>
            <w:r>
              <w:rPr>
                <w:sz w:val="12"/>
                <w:szCs w:val="12"/>
                <w:spacing w:val="-1"/>
              </w:rPr>
              <w:t>加。苗木结束休眠期开始返青，是草皮旅肥复绿最</w:t>
            </w:r>
            <w:r>
              <w:rPr>
                <w:sz w:val="12"/>
                <w:szCs w:val="12"/>
                <w:spacing w:val="16"/>
              </w:rPr>
              <w:t xml:space="preserve"> </w:t>
            </w:r>
            <w:r>
              <w:rPr>
                <w:sz w:val="12"/>
                <w:szCs w:val="12"/>
              </w:rPr>
              <w:t>住时机：</w:t>
            </w:r>
          </w:p>
          <w:p>
            <w:pPr>
              <w:pStyle w:val="TableText"/>
              <w:ind w:left="11" w:right="11"/>
              <w:spacing w:line="225" w:lineRule="auto"/>
              <w:rPr>
                <w:sz w:val="12"/>
                <w:szCs w:val="12"/>
              </w:rPr>
            </w:pPr>
            <w:r>
              <w:rPr>
                <w:sz w:val="12"/>
                <w:szCs w:val="12"/>
                <w:spacing w:val="-1"/>
              </w:rPr>
              <w:t>三、6-8月施用无机肥。给草坪补充养分。每次用量</w:t>
            </w:r>
            <w:r>
              <w:rPr>
                <w:sz w:val="12"/>
                <w:szCs w:val="12"/>
                <w:spacing w:val="18"/>
              </w:rPr>
              <w:t xml:space="preserve"> </w:t>
            </w:r>
            <w:r>
              <w:rPr>
                <w:sz w:val="12"/>
                <w:szCs w:val="12"/>
                <w:spacing w:val="6"/>
              </w:rPr>
              <w:t>为春季的一半左右；</w:t>
            </w:r>
          </w:p>
          <w:p>
            <w:pPr>
              <w:pStyle w:val="TableText"/>
              <w:ind w:left="11"/>
              <w:spacing w:before="16" w:line="219" w:lineRule="auto"/>
              <w:rPr>
                <w:sz w:val="12"/>
                <w:szCs w:val="12"/>
              </w:rPr>
            </w:pPr>
            <w:r>
              <w:rPr>
                <w:sz w:val="12"/>
                <w:szCs w:val="12"/>
              </w:rPr>
              <w:t>三、9月施秋肥。</w:t>
            </w:r>
          </w:p>
        </w:tc>
        <w:tc>
          <w:tcPr>
            <w:tcW w:w="1309" w:type="dxa"/>
            <w:vAlign w:val="top"/>
          </w:tcPr>
          <w:p>
            <w:pPr>
              <w:pStyle w:val="TableText"/>
              <w:ind w:left="162" w:right="90" w:hanging="89"/>
              <w:spacing w:before="200" w:line="247" w:lineRule="auto"/>
              <w:rPr>
                <w:sz w:val="12"/>
                <w:szCs w:val="12"/>
              </w:rPr>
            </w:pPr>
            <w:r>
              <w:rPr>
                <w:sz w:val="12"/>
                <w:szCs w:val="12"/>
                <w:spacing w:val="-1"/>
              </w:rPr>
              <w:t>尿素(一般不单独使用</w:t>
            </w:r>
            <w:r>
              <w:rPr>
                <w:sz w:val="12"/>
                <w:szCs w:val="12"/>
                <w:spacing w:val="4"/>
              </w:rPr>
              <w:t xml:space="preserve"> </w:t>
            </w:r>
            <w:r>
              <w:rPr>
                <w:sz w:val="12"/>
                <w:szCs w:val="12"/>
                <w:spacing w:val="1"/>
              </w:rPr>
              <w:t>需配合磷钾肥使用</w:t>
            </w:r>
          </w:p>
        </w:tc>
        <w:tc>
          <w:tcPr>
            <w:tcW w:w="1919" w:type="dxa"/>
            <w:vAlign w:val="top"/>
          </w:tcPr>
          <w:p>
            <w:pPr>
              <w:pStyle w:val="TableText"/>
              <w:ind w:left="444"/>
              <w:spacing w:before="268" w:line="216" w:lineRule="auto"/>
              <w:rPr>
                <w:sz w:val="12"/>
                <w:szCs w:val="12"/>
              </w:rPr>
            </w:pPr>
            <w:r>
              <w:rPr>
                <w:sz w:val="12"/>
                <w:szCs w:val="12"/>
                <w:spacing w:val="-1"/>
              </w:rPr>
              <w:t>①DCNH2)2,含氮46%</w:t>
            </w:r>
          </w:p>
        </w:tc>
        <w:tc>
          <w:tcPr>
            <w:tcW w:w="1659" w:type="dxa"/>
            <w:vAlign w:val="top"/>
          </w:tcPr>
          <w:p>
            <w:pPr>
              <w:pStyle w:val="TableText"/>
              <w:ind w:left="225"/>
              <w:spacing w:before="265" w:line="214" w:lineRule="auto"/>
              <w:rPr>
                <w:sz w:val="12"/>
                <w:szCs w:val="12"/>
              </w:rPr>
            </w:pPr>
            <w:r>
              <w:rPr>
                <w:sz w:val="12"/>
                <w:szCs w:val="12"/>
                <w:spacing w:val="-1"/>
              </w:rPr>
              <w:t>直接撤施：20-25kg/亩</w:t>
            </w:r>
          </w:p>
        </w:tc>
        <w:tc>
          <w:tcPr>
            <w:tcW w:w="1069" w:type="dxa"/>
            <w:vAlign w:val="top"/>
            <w:vMerge w:val="restart"/>
            <w:tcBorders>
              <w:bottom w:val="nil"/>
            </w:tcBorders>
          </w:tcPr>
          <w:p>
            <w:pPr>
              <w:spacing w:line="293" w:lineRule="auto"/>
              <w:rPr>
                <w:rFonts w:ascii="Arial"/>
                <w:sz w:val="21"/>
              </w:rPr>
            </w:pPr>
            <w:r/>
          </w:p>
          <w:p>
            <w:pPr>
              <w:spacing w:line="294" w:lineRule="auto"/>
              <w:rPr>
                <w:rFonts w:ascii="Arial"/>
                <w:sz w:val="21"/>
              </w:rPr>
            </w:pPr>
            <w:r/>
          </w:p>
          <w:p>
            <w:pPr>
              <w:pStyle w:val="TableText"/>
              <w:ind w:left="106"/>
              <w:spacing w:before="39" w:line="219" w:lineRule="auto"/>
              <w:rPr>
                <w:sz w:val="12"/>
                <w:szCs w:val="12"/>
              </w:rPr>
            </w:pPr>
            <w:r>
              <w:rPr>
                <w:sz w:val="12"/>
                <w:szCs w:val="12"/>
                <w:spacing w:val="-1"/>
              </w:rPr>
              <w:t>视草坪生长情况</w:t>
            </w:r>
          </w:p>
        </w:tc>
        <w:tc>
          <w:tcPr>
            <w:tcW w:w="699" w:type="dxa"/>
            <w:vAlign w:val="top"/>
          </w:tcPr>
          <w:p>
            <w:pPr>
              <w:pStyle w:val="TableText"/>
              <w:ind w:left="76"/>
              <w:spacing w:before="265" w:line="214" w:lineRule="auto"/>
              <w:rPr>
                <w:sz w:val="12"/>
                <w:szCs w:val="12"/>
              </w:rPr>
            </w:pPr>
            <w:r>
              <w:rPr>
                <w:sz w:val="12"/>
                <w:szCs w:val="12"/>
                <w:spacing w:val="4"/>
              </w:rPr>
              <w:t>(50</w:t>
            </w:r>
            <w:r>
              <w:rPr>
                <w:sz w:val="12"/>
                <w:szCs w:val="12"/>
              </w:rPr>
              <w:t>kg</w:t>
            </w:r>
            <w:r>
              <w:rPr>
                <w:sz w:val="12"/>
                <w:szCs w:val="12"/>
                <w:spacing w:val="4"/>
              </w:rPr>
              <w:t>/袋)</w:t>
            </w:r>
          </w:p>
        </w:tc>
        <w:tc>
          <w:tcPr>
            <w:tcW w:w="2623" w:type="dxa"/>
            <w:vAlign w:val="top"/>
          </w:tcPr>
          <w:p>
            <w:pPr>
              <w:pStyle w:val="TableText"/>
              <w:ind w:left="27" w:right="124"/>
              <w:spacing w:before="199"/>
              <w:rPr>
                <w:sz w:val="12"/>
                <w:szCs w:val="12"/>
              </w:rPr>
            </w:pPr>
            <w:r>
              <w:rPr>
                <w:sz w:val="12"/>
                <w:szCs w:val="12"/>
              </w:rPr>
              <w:t>促进草坪生长，增绿。1万平方米年度约用量： </w:t>
            </w:r>
            <w:r>
              <w:rPr>
                <w:sz w:val="12"/>
                <w:szCs w:val="12"/>
                <w:spacing w:val="-2"/>
              </w:rPr>
              <w:t>500kg</w:t>
            </w:r>
          </w:p>
        </w:tc>
      </w:tr>
      <w:tr>
        <w:trPr>
          <w:trHeight w:val="698" w:hRule="atLeast"/>
        </w:trPr>
        <w:tc>
          <w:tcPr>
            <w:tcW w:w="445" w:type="dxa"/>
            <w:vAlign w:val="top"/>
            <w:vMerge w:val="continue"/>
            <w:tcBorders>
              <w:top w:val="nil"/>
            </w:tcBorders>
          </w:tcPr>
          <w:p>
            <w:pPr>
              <w:rPr>
                <w:rFonts w:ascii="Arial"/>
                <w:sz w:val="21"/>
              </w:rPr>
            </w:pPr>
            <w:r/>
          </w:p>
        </w:tc>
        <w:tc>
          <w:tcPr>
            <w:tcW w:w="65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tcBorders>
          </w:tcPr>
          <w:p>
            <w:pPr>
              <w:rPr>
                <w:rFonts w:ascii="Arial"/>
                <w:sz w:val="21"/>
              </w:rPr>
            </w:pPr>
            <w:r/>
          </w:p>
        </w:tc>
        <w:tc>
          <w:tcPr>
            <w:tcW w:w="1309" w:type="dxa"/>
            <w:vAlign w:val="top"/>
          </w:tcPr>
          <w:p>
            <w:pPr>
              <w:pStyle w:val="TableText"/>
              <w:ind w:left="582" w:right="48" w:hanging="539"/>
              <w:spacing w:before="230" w:line="248" w:lineRule="auto"/>
              <w:rPr>
                <w:sz w:val="12"/>
                <w:szCs w:val="12"/>
              </w:rPr>
            </w:pPr>
            <w:r>
              <w:rPr>
                <w:sz w:val="12"/>
                <w:szCs w:val="12"/>
              </w:rPr>
              <w:t>国光活力源生物有机菌</w:t>
            </w:r>
            <w:r>
              <w:rPr>
                <w:sz w:val="12"/>
                <w:szCs w:val="12"/>
                <w:spacing w:val="6"/>
              </w:rPr>
              <w:t xml:space="preserve"> </w:t>
            </w:r>
            <w:r>
              <w:rPr>
                <w:sz w:val="12"/>
                <w:szCs w:val="12"/>
              </w:rPr>
              <w:t>肥</w:t>
            </w:r>
          </w:p>
        </w:tc>
        <w:tc>
          <w:tcPr>
            <w:tcW w:w="1919" w:type="dxa"/>
            <w:vAlign w:val="top"/>
          </w:tcPr>
          <w:p>
            <w:pPr>
              <w:pStyle w:val="TableText"/>
              <w:ind w:left="533" w:right="54" w:hanging="420"/>
              <w:spacing w:before="229" w:line="251" w:lineRule="auto"/>
              <w:rPr>
                <w:sz w:val="12"/>
                <w:szCs w:val="12"/>
              </w:rPr>
            </w:pPr>
            <w:r>
              <w:rPr>
                <w:sz w:val="12"/>
                <w:szCs w:val="12"/>
              </w:rPr>
              <w:t>有机质3≥60%,含枯草芽孢杆菌， </w:t>
            </w:r>
            <w:r>
              <w:rPr>
                <w:sz w:val="12"/>
                <w:szCs w:val="12"/>
                <w:spacing w:val="-1"/>
              </w:rPr>
              <w:t>侧孢短芽孢杆菌</w:t>
            </w:r>
          </w:p>
        </w:tc>
        <w:tc>
          <w:tcPr>
            <w:tcW w:w="1659" w:type="dxa"/>
            <w:vAlign w:val="top"/>
          </w:tcPr>
          <w:p>
            <w:pPr>
              <w:spacing w:line="246" w:lineRule="auto"/>
              <w:rPr>
                <w:rFonts w:ascii="Arial"/>
                <w:sz w:val="21"/>
              </w:rPr>
            </w:pPr>
            <w:r/>
          </w:p>
          <w:p>
            <w:pPr>
              <w:pStyle w:val="TableText"/>
              <w:ind w:left="225"/>
              <w:spacing w:before="39" w:line="214" w:lineRule="auto"/>
              <w:rPr>
                <w:sz w:val="12"/>
                <w:szCs w:val="12"/>
              </w:rPr>
            </w:pPr>
            <w:r>
              <w:rPr>
                <w:sz w:val="12"/>
                <w:szCs w:val="12"/>
                <w:spacing w:val="-1"/>
              </w:rPr>
              <w:t>直接撤施：40-60kg/亩</w:t>
            </w:r>
          </w:p>
        </w:tc>
        <w:tc>
          <w:tcPr>
            <w:tcW w:w="1069" w:type="dxa"/>
            <w:vAlign w:val="top"/>
            <w:vMerge w:val="continue"/>
            <w:tcBorders>
              <w:top w:val="nil"/>
            </w:tcBorders>
          </w:tcPr>
          <w:p>
            <w:pPr>
              <w:rPr>
                <w:rFonts w:ascii="Arial"/>
                <w:sz w:val="21"/>
              </w:rPr>
            </w:pPr>
            <w:r/>
          </w:p>
        </w:tc>
        <w:tc>
          <w:tcPr>
            <w:tcW w:w="699" w:type="dxa"/>
            <w:vAlign w:val="top"/>
          </w:tcPr>
          <w:p>
            <w:pPr>
              <w:spacing w:line="246" w:lineRule="auto"/>
              <w:rPr>
                <w:rFonts w:ascii="Arial"/>
                <w:sz w:val="21"/>
              </w:rPr>
            </w:pPr>
            <w:r/>
          </w:p>
          <w:p>
            <w:pPr>
              <w:pStyle w:val="TableText"/>
              <w:ind w:left="76"/>
              <w:spacing w:before="39" w:line="214" w:lineRule="auto"/>
              <w:rPr>
                <w:sz w:val="12"/>
                <w:szCs w:val="12"/>
              </w:rPr>
            </w:pPr>
            <w:r>
              <w:rPr>
                <w:sz w:val="12"/>
                <w:szCs w:val="12"/>
                <w:spacing w:val="4"/>
              </w:rPr>
              <w:t>(20</w:t>
            </w:r>
            <w:r>
              <w:rPr>
                <w:sz w:val="12"/>
                <w:szCs w:val="12"/>
              </w:rPr>
              <w:t>kg</w:t>
            </w:r>
            <w:r>
              <w:rPr>
                <w:sz w:val="12"/>
                <w:szCs w:val="12"/>
                <w:spacing w:val="4"/>
              </w:rPr>
              <w:t>/袋)</w:t>
            </w:r>
          </w:p>
        </w:tc>
        <w:tc>
          <w:tcPr>
            <w:tcW w:w="2623" w:type="dxa"/>
            <w:vAlign w:val="top"/>
          </w:tcPr>
          <w:p>
            <w:pPr>
              <w:pStyle w:val="TableText"/>
              <w:ind w:left="27" w:right="70"/>
              <w:spacing w:before="230"/>
              <w:rPr>
                <w:sz w:val="12"/>
                <w:szCs w:val="12"/>
              </w:rPr>
            </w:pPr>
            <w:r>
              <w:rPr>
                <w:sz w:val="12"/>
                <w:szCs w:val="12"/>
                <w:spacing w:val="-1"/>
              </w:rPr>
              <w:t>促进草坪快速生根。改良盐碱，全面营养，使用</w:t>
            </w:r>
            <w:r>
              <w:rPr>
                <w:sz w:val="12"/>
                <w:szCs w:val="12"/>
                <w:spacing w:val="14"/>
              </w:rPr>
              <w:t xml:space="preserve"> </w:t>
            </w:r>
            <w:r>
              <w:rPr>
                <w:sz w:val="12"/>
                <w:szCs w:val="12"/>
                <w:spacing w:val="-1"/>
              </w:rPr>
              <w:t>安全方便，1万平方米年度约用量：500kg</w:t>
            </w:r>
          </w:p>
        </w:tc>
      </w:tr>
      <w:tr>
        <w:trPr>
          <w:trHeight w:val="409" w:hRule="atLeast"/>
        </w:trPr>
        <w:tc>
          <w:tcPr>
            <w:tcW w:w="445" w:type="dxa"/>
            <w:vAlign w:val="top"/>
            <w:vMerge w:val="restart"/>
            <w:tcBorders>
              <w:bottom w:val="nil"/>
            </w:tcBorders>
          </w:tcPr>
          <w:p>
            <w:pPr>
              <w:spacing w:line="265" w:lineRule="auto"/>
              <w:rPr>
                <w:rFonts w:ascii="Arial"/>
                <w:sz w:val="21"/>
              </w:rPr>
            </w:pPr>
            <w:r/>
          </w:p>
          <w:p>
            <w:pPr>
              <w:spacing w:line="266" w:lineRule="auto"/>
              <w:rPr>
                <w:rFonts w:ascii="Arial"/>
                <w:sz w:val="21"/>
              </w:rPr>
            </w:pPr>
            <w:r/>
          </w:p>
          <w:p>
            <w:pPr>
              <w:pStyle w:val="TableText"/>
              <w:ind w:left="94"/>
              <w:spacing w:before="39" w:line="220" w:lineRule="auto"/>
              <w:rPr>
                <w:sz w:val="12"/>
                <w:szCs w:val="12"/>
              </w:rPr>
            </w:pPr>
            <w:r>
              <w:rPr>
                <w:sz w:val="12"/>
                <w:szCs w:val="12"/>
                <w:spacing w:val="-2"/>
              </w:rPr>
              <w:t>其他</w:t>
            </w:r>
          </w:p>
        </w:tc>
        <w:tc>
          <w:tcPr>
            <w:tcW w:w="650"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pStyle w:val="TableText"/>
              <w:ind w:left="70"/>
              <w:spacing w:before="39" w:line="219" w:lineRule="auto"/>
              <w:rPr>
                <w:sz w:val="12"/>
                <w:szCs w:val="12"/>
              </w:rPr>
            </w:pPr>
            <w:r>
              <w:rPr>
                <w:sz w:val="12"/>
                <w:szCs w:val="12"/>
                <w:spacing w:val="-1"/>
              </w:rPr>
              <w:t>树木养护</w:t>
            </w:r>
          </w:p>
        </w:tc>
        <w:tc>
          <w:tcPr>
            <w:tcW w:w="959" w:type="dxa"/>
            <w:vAlign w:val="top"/>
            <w:vMerge w:val="restart"/>
            <w:tcBorders>
              <w:bottom w:val="nil"/>
            </w:tcBorders>
          </w:tcPr>
          <w:p>
            <w:pPr>
              <w:spacing w:line="460" w:lineRule="auto"/>
              <w:rPr>
                <w:rFonts w:ascii="Arial"/>
                <w:sz w:val="21"/>
              </w:rPr>
            </w:pPr>
            <w:r/>
          </w:p>
          <w:p>
            <w:pPr>
              <w:pStyle w:val="TableText"/>
              <w:ind w:left="129" w:right="28" w:hanging="49"/>
              <w:spacing w:before="39" w:line="233" w:lineRule="auto"/>
              <w:rPr>
                <w:sz w:val="12"/>
                <w:szCs w:val="12"/>
              </w:rPr>
            </w:pPr>
            <w:r>
              <w:rPr>
                <w:sz w:val="12"/>
                <w:szCs w:val="12"/>
              </w:rPr>
              <w:t>树木修剪剑口， </w:t>
            </w:r>
            <w:r>
              <w:rPr>
                <w:sz w:val="12"/>
                <w:szCs w:val="12"/>
                <w:spacing w:val="2"/>
              </w:rPr>
              <w:t>腐烂病害伤口</w:t>
            </w:r>
          </w:p>
        </w:tc>
        <w:tc>
          <w:tcPr>
            <w:tcW w:w="2728"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pStyle w:val="TableText"/>
              <w:ind w:left="1150"/>
              <w:spacing w:before="39" w:line="219" w:lineRule="auto"/>
              <w:rPr>
                <w:sz w:val="12"/>
                <w:szCs w:val="12"/>
              </w:rPr>
            </w:pPr>
            <w:r>
              <w:rPr>
                <w:sz w:val="12"/>
                <w:szCs w:val="12"/>
                <w:spacing w:val="2"/>
              </w:rPr>
              <w:t>日常养护</w:t>
            </w:r>
          </w:p>
        </w:tc>
        <w:tc>
          <w:tcPr>
            <w:tcW w:w="1309" w:type="dxa"/>
            <w:vAlign w:val="top"/>
          </w:tcPr>
          <w:p>
            <w:pPr>
              <w:pStyle w:val="TableText"/>
              <w:ind w:left="223"/>
              <w:spacing w:before="152" w:line="219" w:lineRule="auto"/>
              <w:rPr>
                <w:sz w:val="12"/>
                <w:szCs w:val="12"/>
              </w:rPr>
            </w:pPr>
            <w:r>
              <w:rPr>
                <w:sz w:val="12"/>
                <w:szCs w:val="12"/>
                <w:spacing w:val="1"/>
              </w:rPr>
              <w:t>国光愈伤涂膜剂</w:t>
            </w:r>
          </w:p>
        </w:tc>
        <w:tc>
          <w:tcPr>
            <w:tcW w:w="1919" w:type="dxa"/>
            <w:vAlign w:val="top"/>
          </w:tcPr>
          <w:p>
            <w:pPr>
              <w:pStyle w:val="TableText"/>
              <w:ind w:left="713" w:right="60" w:hanging="660"/>
              <w:spacing w:before="72" w:line="250"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659" w:type="dxa"/>
            <w:vAlign w:val="top"/>
          </w:tcPr>
          <w:p>
            <w:pPr>
              <w:pStyle w:val="TableText"/>
              <w:ind w:left="165"/>
              <w:spacing w:before="152" w:line="219" w:lineRule="auto"/>
              <w:rPr>
                <w:sz w:val="12"/>
                <w:szCs w:val="12"/>
              </w:rPr>
            </w:pPr>
            <w:r>
              <w:rPr>
                <w:sz w:val="12"/>
                <w:szCs w:val="12"/>
                <w:spacing w:val="-1"/>
              </w:rPr>
              <w:t>直接使用，可略加水稀释</w:t>
            </w:r>
          </w:p>
        </w:tc>
        <w:tc>
          <w:tcPr>
            <w:tcW w:w="1069" w:type="dxa"/>
            <w:vAlign w:val="top"/>
            <w:vMerge w:val="restart"/>
            <w:tcBorders>
              <w:bottom w:val="nil"/>
            </w:tcBorders>
          </w:tcPr>
          <w:p>
            <w:pPr>
              <w:spacing w:line="461" w:lineRule="auto"/>
              <w:rPr>
                <w:rFonts w:ascii="Arial"/>
                <w:sz w:val="21"/>
              </w:rPr>
            </w:pPr>
            <w:r/>
          </w:p>
          <w:p>
            <w:pPr>
              <w:pStyle w:val="TableText"/>
              <w:ind w:left="355" w:right="58" w:hanging="309"/>
              <w:spacing w:before="39" w:line="235" w:lineRule="auto"/>
              <w:rPr>
                <w:sz w:val="12"/>
                <w:szCs w:val="12"/>
              </w:rPr>
            </w:pPr>
            <w:r>
              <w:rPr>
                <w:sz w:val="12"/>
                <w:szCs w:val="12"/>
                <w:spacing w:val="-1"/>
              </w:rPr>
              <w:t>乔木修剪后和树皮</w:t>
            </w:r>
            <w:r>
              <w:rPr>
                <w:sz w:val="12"/>
                <w:szCs w:val="12"/>
                <w:spacing w:val="1"/>
              </w:rPr>
              <w:t xml:space="preserve"> </w:t>
            </w:r>
            <w:r>
              <w:rPr>
                <w:sz w:val="12"/>
                <w:szCs w:val="12"/>
                <w:spacing w:val="-1"/>
              </w:rPr>
              <w:t>破损时</w:t>
            </w:r>
          </w:p>
        </w:tc>
        <w:tc>
          <w:tcPr>
            <w:tcW w:w="699" w:type="dxa"/>
            <w:vAlign w:val="top"/>
          </w:tcPr>
          <w:p>
            <w:pPr>
              <w:pStyle w:val="TableText"/>
              <w:ind w:left="76"/>
              <w:spacing w:before="148" w:line="214" w:lineRule="auto"/>
              <w:rPr>
                <w:sz w:val="12"/>
                <w:szCs w:val="12"/>
              </w:rPr>
            </w:pPr>
            <w:r>
              <w:rPr>
                <w:sz w:val="12"/>
                <w:szCs w:val="12"/>
                <w:spacing w:val="3"/>
              </w:rPr>
              <w:t>(500g/瓶)</w:t>
            </w:r>
          </w:p>
        </w:tc>
        <w:tc>
          <w:tcPr>
            <w:tcW w:w="2623" w:type="dxa"/>
            <w:vAlign w:val="top"/>
          </w:tcPr>
          <w:p>
            <w:pPr>
              <w:pStyle w:val="TableText"/>
              <w:ind w:left="27"/>
              <w:spacing w:before="152" w:line="219" w:lineRule="auto"/>
              <w:rPr>
                <w:sz w:val="12"/>
                <w:szCs w:val="12"/>
              </w:rPr>
            </w:pPr>
            <w:r>
              <w:rPr>
                <w:sz w:val="12"/>
                <w:szCs w:val="12"/>
                <w:spacing w:val="-1"/>
              </w:rPr>
              <w:t>促进伤口快速愈合，杀菌防腐</w:t>
            </w:r>
          </w:p>
        </w:tc>
      </w:tr>
      <w:tr>
        <w:trPr>
          <w:trHeight w:val="409" w:hRule="atLeast"/>
        </w:trPr>
        <w:tc>
          <w:tcPr>
            <w:tcW w:w="445" w:type="dxa"/>
            <w:vAlign w:val="top"/>
            <w:vMerge w:val="continue"/>
            <w:tcBorders>
              <w:top w:val="nil"/>
              <w:bottom w:val="nil"/>
            </w:tcBorders>
          </w:tcPr>
          <w:p>
            <w:pPr>
              <w:rPr>
                <w:rFonts w:ascii="Arial"/>
                <w:sz w:val="21"/>
              </w:rPr>
            </w:pPr>
            <w:r/>
          </w:p>
        </w:tc>
        <w:tc>
          <w:tcPr>
            <w:tcW w:w="65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728" w:type="dxa"/>
            <w:vAlign w:val="top"/>
            <w:vMerge w:val="continue"/>
            <w:tcBorders>
              <w:top w:val="nil"/>
              <w:bottom w:val="nil"/>
            </w:tcBorders>
          </w:tcPr>
          <w:p>
            <w:pPr>
              <w:rPr>
                <w:rFonts w:ascii="Arial"/>
                <w:sz w:val="21"/>
              </w:rPr>
            </w:pPr>
            <w:r/>
          </w:p>
        </w:tc>
        <w:tc>
          <w:tcPr>
            <w:tcW w:w="1309" w:type="dxa"/>
            <w:vAlign w:val="top"/>
          </w:tcPr>
          <w:p>
            <w:pPr>
              <w:pStyle w:val="TableText"/>
              <w:ind w:left="343"/>
              <w:spacing w:before="153" w:line="219" w:lineRule="auto"/>
              <w:rPr>
                <w:sz w:val="12"/>
                <w:szCs w:val="12"/>
              </w:rPr>
            </w:pPr>
            <w:r>
              <w:rPr>
                <w:sz w:val="12"/>
                <w:szCs w:val="12"/>
                <w:spacing w:val="1"/>
              </w:rPr>
              <w:t>中威愈伤膏</w:t>
            </w:r>
          </w:p>
        </w:tc>
        <w:tc>
          <w:tcPr>
            <w:tcW w:w="1919" w:type="dxa"/>
            <w:vAlign w:val="top"/>
          </w:tcPr>
          <w:p>
            <w:pPr>
              <w:pStyle w:val="TableText"/>
              <w:ind w:left="534"/>
              <w:spacing w:before="153" w:line="219" w:lineRule="auto"/>
              <w:rPr>
                <w:sz w:val="12"/>
                <w:szCs w:val="12"/>
              </w:rPr>
            </w:pPr>
            <w:r>
              <w:rPr>
                <w:sz w:val="12"/>
                <w:szCs w:val="12"/>
                <w:spacing w:val="-1"/>
              </w:rPr>
              <w:t>有机质、杀菌剂</w:t>
            </w:r>
          </w:p>
        </w:tc>
        <w:tc>
          <w:tcPr>
            <w:tcW w:w="1659" w:type="dxa"/>
            <w:vAlign w:val="top"/>
          </w:tcPr>
          <w:p>
            <w:pPr>
              <w:pStyle w:val="TableText"/>
              <w:ind w:left="165"/>
              <w:spacing w:before="154" w:line="219" w:lineRule="auto"/>
              <w:rPr>
                <w:sz w:val="12"/>
                <w:szCs w:val="12"/>
              </w:rPr>
            </w:pPr>
            <w:r>
              <w:rPr>
                <w:sz w:val="12"/>
                <w:szCs w:val="12"/>
                <w:spacing w:val="-1"/>
              </w:rPr>
              <w:t>直接使用，可略加水稀释</w:t>
            </w:r>
          </w:p>
        </w:tc>
        <w:tc>
          <w:tcPr>
            <w:tcW w:w="1069" w:type="dxa"/>
            <w:vAlign w:val="top"/>
            <w:vMerge w:val="continue"/>
            <w:tcBorders>
              <w:top w:val="nil"/>
              <w:bottom w:val="nil"/>
            </w:tcBorders>
          </w:tcPr>
          <w:p>
            <w:pPr>
              <w:rPr>
                <w:rFonts w:ascii="Arial"/>
                <w:sz w:val="21"/>
              </w:rPr>
            </w:pPr>
            <w:r/>
          </w:p>
        </w:tc>
        <w:tc>
          <w:tcPr>
            <w:tcW w:w="699" w:type="dxa"/>
            <w:vAlign w:val="top"/>
          </w:tcPr>
          <w:p>
            <w:pPr>
              <w:pStyle w:val="TableText"/>
              <w:ind w:left="76"/>
              <w:spacing w:before="149" w:line="214" w:lineRule="auto"/>
              <w:rPr>
                <w:sz w:val="12"/>
                <w:szCs w:val="12"/>
              </w:rPr>
            </w:pPr>
            <w:r>
              <w:rPr>
                <w:sz w:val="12"/>
                <w:szCs w:val="12"/>
                <w:spacing w:val="3"/>
              </w:rPr>
              <w:t>(500g/瓶)</w:t>
            </w:r>
          </w:p>
        </w:tc>
        <w:tc>
          <w:tcPr>
            <w:tcW w:w="2623" w:type="dxa"/>
            <w:vAlign w:val="top"/>
          </w:tcPr>
          <w:p>
            <w:pPr>
              <w:pStyle w:val="TableText"/>
              <w:ind w:left="17" w:right="69" w:firstLine="9"/>
              <w:spacing w:before="83" w:line="234" w:lineRule="auto"/>
              <w:rPr>
                <w:sz w:val="12"/>
                <w:szCs w:val="12"/>
              </w:rPr>
            </w:pPr>
            <w:r>
              <w:rPr>
                <w:sz w:val="12"/>
                <w:szCs w:val="12"/>
                <w:spacing w:val="-1"/>
              </w:rPr>
              <w:t>适用树木移栽时切口及根部处理：病害伤口、树</w:t>
            </w:r>
            <w:r>
              <w:rPr>
                <w:sz w:val="12"/>
                <w:szCs w:val="12"/>
                <w:spacing w:val="15"/>
              </w:rPr>
              <w:t xml:space="preserve"> </w:t>
            </w:r>
            <w:r>
              <w:rPr>
                <w:sz w:val="12"/>
                <w:szCs w:val="12"/>
                <w:spacing w:val="-2"/>
              </w:rPr>
              <w:t>皮损失处理</w:t>
            </w:r>
          </w:p>
        </w:tc>
      </w:tr>
      <w:tr>
        <w:trPr>
          <w:trHeight w:val="414" w:hRule="atLeast"/>
        </w:trPr>
        <w:tc>
          <w:tcPr>
            <w:tcW w:w="445" w:type="dxa"/>
            <w:vAlign w:val="top"/>
            <w:vMerge w:val="continue"/>
            <w:tcBorders>
              <w:top w:val="nil"/>
            </w:tcBorders>
          </w:tcPr>
          <w:p>
            <w:pPr>
              <w:rPr>
                <w:rFonts w:ascii="Arial"/>
                <w:sz w:val="21"/>
              </w:rPr>
            </w:pPr>
            <w:r/>
          </w:p>
        </w:tc>
        <w:tc>
          <w:tcPr>
            <w:tcW w:w="65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728" w:type="dxa"/>
            <w:vAlign w:val="top"/>
            <w:vMerge w:val="continue"/>
            <w:tcBorders>
              <w:top w:val="nil"/>
            </w:tcBorders>
          </w:tcPr>
          <w:p>
            <w:pPr>
              <w:rPr>
                <w:rFonts w:ascii="Arial"/>
                <w:sz w:val="21"/>
              </w:rPr>
            </w:pPr>
            <w:r/>
          </w:p>
        </w:tc>
        <w:tc>
          <w:tcPr>
            <w:tcW w:w="1309" w:type="dxa"/>
            <w:vAlign w:val="top"/>
          </w:tcPr>
          <w:p>
            <w:pPr>
              <w:pStyle w:val="TableText"/>
              <w:ind w:left="403"/>
              <w:spacing w:before="155" w:line="219" w:lineRule="auto"/>
              <w:rPr>
                <w:sz w:val="12"/>
                <w:szCs w:val="12"/>
              </w:rPr>
            </w:pPr>
            <w:r>
              <w:rPr>
                <w:sz w:val="12"/>
                <w:szCs w:val="12"/>
                <w:spacing w:val="-2"/>
              </w:rPr>
              <w:t>灰色油漆</w:t>
            </w:r>
          </w:p>
        </w:tc>
        <w:tc>
          <w:tcPr>
            <w:tcW w:w="1919" w:type="dxa"/>
            <w:vAlign w:val="top"/>
          </w:tcPr>
          <w:p>
            <w:pPr>
              <w:pStyle w:val="TableText"/>
              <w:ind w:left="173"/>
              <w:spacing w:before="174" w:line="219" w:lineRule="auto"/>
              <w:rPr>
                <w:sz w:val="12"/>
                <w:szCs w:val="12"/>
              </w:rPr>
            </w:pPr>
            <w:r>
              <w:rPr>
                <w:sz w:val="12"/>
                <w:szCs w:val="12"/>
                <w:spacing w:val="-1"/>
              </w:rPr>
              <w:t>成膜物质、颜料、溶剂、助剂</w:t>
            </w:r>
          </w:p>
        </w:tc>
        <w:tc>
          <w:tcPr>
            <w:tcW w:w="1659" w:type="dxa"/>
            <w:vAlign w:val="top"/>
          </w:tcPr>
          <w:p>
            <w:pPr>
              <w:pStyle w:val="TableText"/>
              <w:ind w:left="105"/>
              <w:spacing w:before="175" w:line="219" w:lineRule="auto"/>
              <w:rPr>
                <w:sz w:val="12"/>
                <w:szCs w:val="12"/>
              </w:rPr>
            </w:pPr>
            <w:r>
              <w:rPr>
                <w:sz w:val="12"/>
                <w:szCs w:val="12"/>
                <w:spacing w:val="-1"/>
              </w:rPr>
              <w:t>直接使用，可略加汽油稀释</w:t>
            </w:r>
          </w:p>
        </w:tc>
        <w:tc>
          <w:tcPr>
            <w:tcW w:w="1069" w:type="dxa"/>
            <w:vAlign w:val="top"/>
            <w:vMerge w:val="continue"/>
            <w:tcBorders>
              <w:top w:val="nil"/>
            </w:tcBorders>
          </w:tcPr>
          <w:p>
            <w:pPr>
              <w:rPr>
                <w:rFonts w:ascii="Arial"/>
                <w:sz w:val="21"/>
              </w:rPr>
            </w:pPr>
            <w:r/>
          </w:p>
        </w:tc>
        <w:tc>
          <w:tcPr>
            <w:tcW w:w="699" w:type="dxa"/>
            <w:vAlign w:val="top"/>
          </w:tcPr>
          <w:p>
            <w:pPr>
              <w:pStyle w:val="TableText"/>
              <w:ind w:left="197"/>
              <w:spacing w:before="175" w:line="219" w:lineRule="auto"/>
              <w:rPr>
                <w:sz w:val="12"/>
                <w:szCs w:val="12"/>
              </w:rPr>
            </w:pPr>
            <w:r>
              <w:rPr>
                <w:sz w:val="12"/>
                <w:szCs w:val="12"/>
              </w:rPr>
              <w:t>IL</w:t>
            </w:r>
            <w:r>
              <w:rPr>
                <w:sz w:val="12"/>
                <w:szCs w:val="12"/>
                <w:spacing w:val="4"/>
              </w:rPr>
              <w:t>/桶</w:t>
            </w:r>
          </w:p>
        </w:tc>
        <w:tc>
          <w:tcPr>
            <w:tcW w:w="2623" w:type="dxa"/>
            <w:vAlign w:val="top"/>
          </w:tcPr>
          <w:p>
            <w:pPr>
              <w:pStyle w:val="TableText"/>
              <w:ind w:left="27"/>
              <w:spacing w:before="155" w:line="219" w:lineRule="auto"/>
              <w:rPr>
                <w:sz w:val="12"/>
                <w:szCs w:val="12"/>
              </w:rPr>
            </w:pPr>
            <w:r>
              <w:rPr>
                <w:sz w:val="12"/>
                <w:szCs w:val="12"/>
                <w:spacing w:val="-1"/>
              </w:rPr>
              <w:t>伤口涂抹</w:t>
            </w:r>
          </w:p>
        </w:tc>
      </w:tr>
    </w:tbl>
    <w:p>
      <w:pPr>
        <w:rPr>
          <w:rFonts w:ascii="Arial"/>
          <w:sz w:val="21"/>
        </w:rPr>
      </w:pPr>
      <w:r/>
    </w:p>
    <w:p>
      <w:pPr>
        <w:sectPr>
          <w:pgSz w:w="14490" w:h="10240"/>
          <w:pgMar w:top="104" w:right="234" w:bottom="400" w:left="184" w:header="0" w:footer="0" w:gutter="0"/>
        </w:sectPr>
        <w:rPr>
          <w:rFonts w:ascii="Arial" w:hAnsi="Arial" w:eastAsia="Arial" w:cs="Arial"/>
          <w:sz w:val="21"/>
          <w:szCs w:val="21"/>
        </w:rPr>
      </w:pPr>
    </w:p>
    <w:tbl>
      <w:tblPr>
        <w:tblStyle w:val="TableNormal"/>
        <w:tblW w:w="140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90"/>
        <w:gridCol w:w="989"/>
        <w:gridCol w:w="2718"/>
        <w:gridCol w:w="1289"/>
        <w:gridCol w:w="1929"/>
        <w:gridCol w:w="1639"/>
        <w:gridCol w:w="1069"/>
        <w:gridCol w:w="819"/>
        <w:gridCol w:w="2603"/>
      </w:tblGrid>
      <w:tr>
        <w:trPr>
          <w:trHeight w:val="629" w:hRule="atLeast"/>
        </w:trPr>
        <w:tc>
          <w:tcPr>
            <w:tcW w:w="14070" w:type="dxa"/>
            <w:vAlign w:val="top"/>
            <w:gridSpan w:val="10"/>
            <w:tcBorders>
              <w:bottom w:val="single" w:color="000000" w:sz="2" w:space="0"/>
              <w:top w:val="single" w:color="000000" w:sz="2" w:space="0"/>
            </w:tcBorders>
          </w:tcPr>
          <w:p>
            <w:pPr>
              <w:pStyle w:val="TableText"/>
              <w:ind w:left="6067"/>
              <w:spacing w:before="153" w:line="218" w:lineRule="auto"/>
              <w:rPr>
                <w:sz w:val="16"/>
                <w:szCs w:val="16"/>
              </w:rPr>
            </w:pPr>
            <w:r>
              <w:rPr>
                <w:sz w:val="16"/>
                <w:szCs w:val="16"/>
                <w:b/>
                <w:bCs/>
                <w:spacing w:val="-2"/>
              </w:rPr>
              <w:t>陕西地区农药肥料使用指导</w:t>
            </w:r>
          </w:p>
          <w:p>
            <w:pPr>
              <w:pStyle w:val="TableText"/>
              <w:ind w:left="4797"/>
              <w:spacing w:before="19" w:line="218" w:lineRule="auto"/>
              <w:rPr>
                <w:sz w:val="16"/>
                <w:szCs w:val="16"/>
              </w:rPr>
            </w:pPr>
            <w:r>
              <w:rPr>
                <w:sz w:val="16"/>
                <w:szCs w:val="16"/>
                <w:b/>
                <w:bCs/>
                <w:spacing w:val="-1"/>
              </w:rPr>
              <w:t>(本表中药品供参考，如有同类且成分相同、价格合理、低毒</w:t>
            </w:r>
            <w:r>
              <w:rPr>
                <w:sz w:val="16"/>
                <w:szCs w:val="16"/>
                <w:b/>
                <w:bCs/>
                <w:spacing w:val="-2"/>
              </w:rPr>
              <w:t>高效的药品，可选择使用</w:t>
            </w:r>
            <w:r>
              <w:rPr>
                <w:sz w:val="16"/>
                <w:szCs w:val="16"/>
                <w:spacing w:val="-2"/>
              </w:rPr>
              <w:t>)</w:t>
            </w:r>
          </w:p>
        </w:tc>
      </w:tr>
      <w:tr>
        <w:trPr>
          <w:trHeight w:val="524" w:hRule="atLeast"/>
        </w:trPr>
        <w:tc>
          <w:tcPr>
            <w:tcW w:w="425" w:type="dxa"/>
            <w:vAlign w:val="top"/>
            <w:tcBorders>
              <w:bottom w:val="single" w:color="000000" w:sz="2" w:space="0"/>
              <w:top w:val="single" w:color="000000" w:sz="2" w:space="0"/>
            </w:tcBorders>
          </w:tcPr>
          <w:p>
            <w:pPr>
              <w:pStyle w:val="TableText"/>
              <w:ind w:left="86"/>
              <w:spacing w:before="198" w:line="219" w:lineRule="auto"/>
              <w:rPr>
                <w:sz w:val="12"/>
                <w:szCs w:val="12"/>
              </w:rPr>
            </w:pPr>
            <w:r>
              <w:rPr>
                <w:sz w:val="12"/>
                <w:szCs w:val="12"/>
                <w:b/>
                <w:bCs/>
                <w:spacing w:val="-3"/>
              </w:rPr>
              <w:t>分类</w:t>
            </w:r>
          </w:p>
        </w:tc>
        <w:tc>
          <w:tcPr>
            <w:tcW w:w="590" w:type="dxa"/>
            <w:vAlign w:val="top"/>
            <w:tcBorders>
              <w:bottom w:val="single" w:color="000000" w:sz="2" w:space="0"/>
              <w:top w:val="single" w:color="000000" w:sz="2" w:space="0"/>
            </w:tcBorders>
          </w:tcPr>
          <w:p>
            <w:pPr>
              <w:pStyle w:val="TableText"/>
              <w:ind w:left="41"/>
              <w:spacing w:before="58" w:line="219" w:lineRule="auto"/>
              <w:rPr>
                <w:sz w:val="12"/>
                <w:szCs w:val="12"/>
              </w:rPr>
            </w:pPr>
            <w:r>
              <w:rPr>
                <w:sz w:val="12"/>
                <w:szCs w:val="12"/>
                <w:b/>
                <w:bCs/>
                <w:spacing w:val="-3"/>
              </w:rPr>
              <w:t>消杀预防</w:t>
            </w:r>
          </w:p>
          <w:p>
            <w:pPr>
              <w:pStyle w:val="TableText"/>
              <w:ind w:left="61"/>
              <w:spacing w:before="7" w:line="220" w:lineRule="auto"/>
              <w:rPr>
                <w:sz w:val="12"/>
                <w:szCs w:val="12"/>
              </w:rPr>
            </w:pPr>
            <w:r>
              <w:rPr>
                <w:sz w:val="12"/>
                <w:szCs w:val="12"/>
                <w:b/>
                <w:bCs/>
                <w:spacing w:val="-3"/>
              </w:rPr>
              <w:t>及病虫害</w:t>
            </w:r>
          </w:p>
          <w:p>
            <w:pPr>
              <w:pStyle w:val="TableText"/>
              <w:ind w:left="161"/>
              <w:spacing w:before="6" w:line="219" w:lineRule="auto"/>
              <w:rPr>
                <w:sz w:val="12"/>
                <w:szCs w:val="12"/>
              </w:rPr>
            </w:pPr>
            <w:r>
              <w:rPr>
                <w:sz w:val="12"/>
                <w:szCs w:val="12"/>
                <w:b/>
                <w:bCs/>
                <w:spacing w:val="-3"/>
              </w:rPr>
              <w:t>分类</w:t>
            </w:r>
          </w:p>
        </w:tc>
        <w:tc>
          <w:tcPr>
            <w:tcW w:w="989" w:type="dxa"/>
            <w:vAlign w:val="top"/>
            <w:tcBorders>
              <w:bottom w:val="single" w:color="000000" w:sz="2" w:space="0"/>
              <w:top w:val="single" w:color="000000" w:sz="2" w:space="0"/>
            </w:tcBorders>
          </w:tcPr>
          <w:p>
            <w:pPr>
              <w:pStyle w:val="TableText"/>
              <w:ind w:left="181"/>
              <w:spacing w:before="198" w:line="219" w:lineRule="auto"/>
              <w:rPr>
                <w:sz w:val="12"/>
                <w:szCs w:val="12"/>
              </w:rPr>
            </w:pPr>
            <w:r>
              <w:rPr>
                <w:sz w:val="12"/>
                <w:szCs w:val="12"/>
                <w:b/>
                <w:bCs/>
                <w:spacing w:val="-3"/>
              </w:rPr>
              <w:t>常见病虫害</w:t>
            </w:r>
          </w:p>
        </w:tc>
        <w:tc>
          <w:tcPr>
            <w:tcW w:w="2718" w:type="dxa"/>
            <w:vAlign w:val="top"/>
            <w:tcBorders>
              <w:bottom w:val="single" w:color="000000" w:sz="2" w:space="0"/>
              <w:top w:val="single" w:color="000000" w:sz="2" w:space="0"/>
            </w:tcBorders>
          </w:tcPr>
          <w:p>
            <w:pPr>
              <w:pStyle w:val="TableText"/>
              <w:ind w:left="982"/>
              <w:spacing w:before="198" w:line="219" w:lineRule="auto"/>
              <w:rPr>
                <w:sz w:val="12"/>
                <w:szCs w:val="12"/>
              </w:rPr>
            </w:pPr>
            <w:r>
              <w:rPr>
                <w:sz w:val="12"/>
                <w:szCs w:val="12"/>
                <w:b/>
                <w:bCs/>
                <w:spacing w:val="-3"/>
              </w:rPr>
              <w:t>主要发病月份</w:t>
            </w:r>
          </w:p>
        </w:tc>
        <w:tc>
          <w:tcPr>
            <w:tcW w:w="1289" w:type="dxa"/>
            <w:vAlign w:val="top"/>
            <w:tcBorders>
              <w:bottom w:val="single" w:color="000000" w:sz="2" w:space="0"/>
              <w:top w:val="single" w:color="000000" w:sz="2" w:space="0"/>
            </w:tcBorders>
          </w:tcPr>
          <w:p>
            <w:pPr>
              <w:pStyle w:val="TableText"/>
              <w:ind w:left="394"/>
              <w:spacing w:before="198" w:line="220" w:lineRule="auto"/>
              <w:rPr>
                <w:sz w:val="12"/>
                <w:szCs w:val="12"/>
              </w:rPr>
            </w:pPr>
            <w:r>
              <w:rPr>
                <w:sz w:val="12"/>
                <w:szCs w:val="12"/>
                <w:b/>
                <w:bCs/>
                <w:spacing w:val="-3"/>
              </w:rPr>
              <w:t>药品名称</w:t>
            </w:r>
          </w:p>
        </w:tc>
        <w:tc>
          <w:tcPr>
            <w:tcW w:w="1929" w:type="dxa"/>
            <w:vAlign w:val="top"/>
            <w:tcBorders>
              <w:bottom w:val="single" w:color="000000" w:sz="2" w:space="0"/>
              <w:top w:val="single" w:color="000000" w:sz="2" w:space="0"/>
            </w:tcBorders>
          </w:tcPr>
          <w:p>
            <w:pPr>
              <w:pStyle w:val="TableText"/>
              <w:ind w:left="715"/>
              <w:spacing w:before="198" w:line="220" w:lineRule="auto"/>
              <w:rPr>
                <w:sz w:val="12"/>
                <w:szCs w:val="12"/>
              </w:rPr>
            </w:pPr>
            <w:r>
              <w:rPr>
                <w:sz w:val="12"/>
                <w:szCs w:val="12"/>
                <w:b/>
                <w:bCs/>
                <w:spacing w:val="-3"/>
              </w:rPr>
              <w:t>主要成分</w:t>
            </w:r>
          </w:p>
        </w:tc>
        <w:tc>
          <w:tcPr>
            <w:tcW w:w="1639" w:type="dxa"/>
            <w:vAlign w:val="top"/>
            <w:tcBorders>
              <w:bottom w:val="single" w:color="000000" w:sz="2" w:space="0"/>
              <w:top w:val="single" w:color="000000" w:sz="2" w:space="0"/>
            </w:tcBorders>
          </w:tcPr>
          <w:p>
            <w:pPr>
              <w:pStyle w:val="TableText"/>
              <w:ind w:left="576"/>
              <w:spacing w:before="198" w:line="219" w:lineRule="auto"/>
              <w:rPr>
                <w:sz w:val="12"/>
                <w:szCs w:val="12"/>
              </w:rPr>
            </w:pPr>
            <w:r>
              <w:rPr>
                <w:sz w:val="12"/>
                <w:szCs w:val="12"/>
                <w:b/>
                <w:bCs/>
                <w:spacing w:val="-3"/>
              </w:rPr>
              <w:t>使用倍率</w:t>
            </w:r>
          </w:p>
        </w:tc>
        <w:tc>
          <w:tcPr>
            <w:tcW w:w="1069" w:type="dxa"/>
            <w:vAlign w:val="top"/>
            <w:tcBorders>
              <w:bottom w:val="single" w:color="000000" w:sz="2" w:space="0"/>
              <w:top w:val="single" w:color="000000" w:sz="2" w:space="0"/>
            </w:tcBorders>
          </w:tcPr>
          <w:p>
            <w:pPr>
              <w:pStyle w:val="TableText"/>
              <w:ind w:left="287"/>
              <w:spacing w:before="198" w:line="219" w:lineRule="auto"/>
              <w:rPr>
                <w:sz w:val="12"/>
                <w:szCs w:val="12"/>
              </w:rPr>
            </w:pPr>
            <w:r>
              <w:rPr>
                <w:sz w:val="12"/>
                <w:szCs w:val="12"/>
                <w:b/>
                <w:bCs/>
                <w:spacing w:val="-3"/>
              </w:rPr>
              <w:t>施用次数</w:t>
            </w:r>
          </w:p>
        </w:tc>
        <w:tc>
          <w:tcPr>
            <w:tcW w:w="819" w:type="dxa"/>
            <w:vAlign w:val="top"/>
            <w:tcBorders>
              <w:bottom w:val="single" w:color="000000" w:sz="2" w:space="0"/>
              <w:top w:val="single" w:color="000000" w:sz="2" w:space="0"/>
            </w:tcBorders>
          </w:tcPr>
          <w:p>
            <w:pPr>
              <w:pStyle w:val="TableText"/>
              <w:ind w:left="288"/>
              <w:spacing w:before="198" w:line="219" w:lineRule="auto"/>
              <w:rPr>
                <w:sz w:val="12"/>
                <w:szCs w:val="12"/>
              </w:rPr>
            </w:pPr>
            <w:r>
              <w:rPr>
                <w:sz w:val="12"/>
                <w:szCs w:val="12"/>
                <w:b/>
                <w:bCs/>
                <w:spacing w:val="-3"/>
              </w:rPr>
              <w:t>规格</w:t>
            </w:r>
          </w:p>
        </w:tc>
        <w:tc>
          <w:tcPr>
            <w:tcW w:w="2603" w:type="dxa"/>
            <w:vAlign w:val="top"/>
            <w:tcBorders>
              <w:bottom w:val="single" w:color="000000" w:sz="2" w:space="0"/>
              <w:top w:val="single" w:color="000000" w:sz="2" w:space="0"/>
            </w:tcBorders>
          </w:tcPr>
          <w:p>
            <w:pPr>
              <w:pStyle w:val="TableText"/>
              <w:ind w:left="1189"/>
              <w:spacing w:before="198" w:line="221" w:lineRule="auto"/>
              <w:rPr>
                <w:sz w:val="12"/>
                <w:szCs w:val="12"/>
              </w:rPr>
            </w:pPr>
            <w:r>
              <w:rPr>
                <w:sz w:val="12"/>
                <w:szCs w:val="12"/>
                <w:b/>
                <w:bCs/>
                <w:spacing w:val="-3"/>
              </w:rPr>
              <w:t>备注</w:t>
            </w:r>
          </w:p>
        </w:tc>
      </w:tr>
      <w:tr>
        <w:trPr>
          <w:trHeight w:val="384" w:hRule="atLeast"/>
        </w:trPr>
        <w:tc>
          <w:tcPr>
            <w:tcW w:w="425" w:type="dxa"/>
            <w:vAlign w:val="top"/>
            <w:vMerge w:val="restart"/>
            <w:tcBorders>
              <w:bottom w:val="nil"/>
              <w:top w:val="single" w:color="000000" w:sz="2" w:space="0"/>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24"/>
              <w:spacing w:before="39" w:line="218" w:lineRule="auto"/>
              <w:rPr>
                <w:sz w:val="12"/>
                <w:szCs w:val="12"/>
              </w:rPr>
            </w:pPr>
            <w:r>
              <w:rPr>
                <w:sz w:val="12"/>
                <w:szCs w:val="12"/>
                <w:spacing w:val="-2"/>
              </w:rPr>
              <w:t>杀菌剂</w:t>
            </w:r>
          </w:p>
        </w:tc>
        <w:tc>
          <w:tcPr>
            <w:tcW w:w="590" w:type="dxa"/>
            <w:vAlign w:val="top"/>
            <w:vMerge w:val="restart"/>
            <w:tcBorders>
              <w:bottom w:val="nil"/>
              <w:top w:val="single" w:color="000000" w:sz="2" w:space="0"/>
            </w:tcBorders>
          </w:tcPr>
          <w:p>
            <w:pPr>
              <w:spacing w:line="288" w:lineRule="auto"/>
              <w:rPr>
                <w:rFonts w:ascii="Arial"/>
                <w:sz w:val="21"/>
              </w:rPr>
            </w:pPr>
            <w:r/>
          </w:p>
          <w:p>
            <w:pPr>
              <w:spacing w:line="289" w:lineRule="auto"/>
              <w:rPr>
                <w:rFonts w:ascii="Arial"/>
                <w:sz w:val="21"/>
              </w:rPr>
            </w:pPr>
            <w:r/>
          </w:p>
          <w:p>
            <w:pPr>
              <w:pStyle w:val="TableText"/>
              <w:ind w:left="40"/>
              <w:spacing w:before="39" w:line="219" w:lineRule="auto"/>
              <w:rPr>
                <w:sz w:val="12"/>
                <w:szCs w:val="12"/>
              </w:rPr>
            </w:pPr>
            <w:r>
              <w:rPr>
                <w:sz w:val="12"/>
                <w:szCs w:val="12"/>
                <w:spacing w:val="-2"/>
              </w:rPr>
              <w:t>消杀预防</w:t>
            </w:r>
          </w:p>
        </w:tc>
        <w:tc>
          <w:tcPr>
            <w:tcW w:w="989" w:type="dxa"/>
            <w:vAlign w:val="top"/>
            <w:vMerge w:val="restart"/>
            <w:tcBorders>
              <w:bottom w:val="nil"/>
              <w:top w:val="single" w:color="000000" w:sz="2" w:space="0"/>
            </w:tcBorders>
          </w:tcPr>
          <w:p>
            <w:pPr>
              <w:spacing w:line="253" w:lineRule="auto"/>
              <w:rPr>
                <w:rFonts w:ascii="Arial"/>
                <w:sz w:val="21"/>
              </w:rPr>
            </w:pPr>
            <w:r/>
          </w:p>
          <w:p>
            <w:pPr>
              <w:spacing w:line="254" w:lineRule="auto"/>
              <w:rPr>
                <w:rFonts w:ascii="Arial"/>
                <w:sz w:val="21"/>
              </w:rPr>
            </w:pPr>
            <w:r/>
          </w:p>
          <w:p>
            <w:pPr>
              <w:pStyle w:val="TableText"/>
              <w:ind w:left="60"/>
              <w:spacing w:before="39" w:line="219" w:lineRule="auto"/>
              <w:rPr>
                <w:sz w:val="12"/>
                <w:szCs w:val="12"/>
              </w:rPr>
            </w:pPr>
            <w:r>
              <w:rPr>
                <w:sz w:val="12"/>
                <w:szCs w:val="12"/>
                <w:spacing w:val="-1"/>
              </w:rPr>
              <w:t>全园区的菌类病</w:t>
            </w:r>
          </w:p>
          <w:p>
            <w:pPr>
              <w:pStyle w:val="TableText"/>
              <w:ind w:left="240"/>
              <w:spacing w:before="17" w:line="219" w:lineRule="auto"/>
              <w:rPr>
                <w:sz w:val="12"/>
                <w:szCs w:val="12"/>
              </w:rPr>
            </w:pPr>
            <w:r>
              <w:rPr>
                <w:sz w:val="12"/>
                <w:szCs w:val="12"/>
                <w:spacing w:val="-2"/>
              </w:rPr>
              <w:t>菌、虫卵</w:t>
            </w:r>
          </w:p>
        </w:tc>
        <w:tc>
          <w:tcPr>
            <w:tcW w:w="2718" w:type="dxa"/>
            <w:vAlign w:val="top"/>
            <w:vMerge w:val="restart"/>
            <w:tcBorders>
              <w:bottom w:val="nil"/>
              <w:top w:val="single" w:color="000000" w:sz="2" w:space="0"/>
            </w:tcBorders>
          </w:tcPr>
          <w:p>
            <w:pPr>
              <w:spacing w:line="253" w:lineRule="auto"/>
              <w:rPr>
                <w:rFonts w:ascii="Arial"/>
                <w:sz w:val="21"/>
              </w:rPr>
            </w:pPr>
            <w:r/>
          </w:p>
          <w:p>
            <w:pPr>
              <w:spacing w:line="254" w:lineRule="auto"/>
              <w:rPr>
                <w:rFonts w:ascii="Arial"/>
                <w:sz w:val="21"/>
              </w:rPr>
            </w:pPr>
            <w:r/>
          </w:p>
          <w:p>
            <w:pPr>
              <w:pStyle w:val="TableText"/>
              <w:ind w:left="11" w:right="64"/>
              <w:spacing w:before="39" w:line="264" w:lineRule="auto"/>
              <w:rPr>
                <w:sz w:val="12"/>
                <w:szCs w:val="12"/>
              </w:rPr>
            </w:pPr>
            <w:r>
              <w:rPr>
                <w:sz w:val="12"/>
                <w:szCs w:val="12"/>
                <w:spacing w:val="-1"/>
              </w:rPr>
              <w:t>3月底苗木返青前对全园区的病菌、虫卵、消杀1-2</w:t>
            </w:r>
            <w:r>
              <w:rPr>
                <w:sz w:val="12"/>
                <w:szCs w:val="12"/>
                <w:spacing w:val="15"/>
                <w:w w:val="101"/>
              </w:rPr>
              <w:t xml:space="preserve"> </w:t>
            </w:r>
            <w:r>
              <w:rPr>
                <w:sz w:val="12"/>
                <w:szCs w:val="12"/>
                <w:spacing w:val="-1"/>
              </w:rPr>
              <w:t>次。</w:t>
            </w:r>
          </w:p>
        </w:tc>
        <w:tc>
          <w:tcPr>
            <w:tcW w:w="1289" w:type="dxa"/>
            <w:vAlign w:val="top"/>
            <w:tcBorders>
              <w:bottom w:val="single" w:color="000000" w:sz="2" w:space="0"/>
              <w:top w:val="single" w:color="000000" w:sz="2" w:space="0"/>
            </w:tcBorders>
          </w:tcPr>
          <w:p>
            <w:pPr>
              <w:pStyle w:val="TableText"/>
              <w:ind w:left="393"/>
              <w:spacing w:before="130" w:line="220" w:lineRule="auto"/>
              <w:rPr>
                <w:sz w:val="12"/>
                <w:szCs w:val="12"/>
              </w:rPr>
            </w:pPr>
            <w:r>
              <w:rPr>
                <w:sz w:val="12"/>
                <w:szCs w:val="12"/>
                <w:spacing w:val="-1"/>
              </w:rPr>
              <w:t>波尔多液</w:t>
            </w:r>
          </w:p>
        </w:tc>
        <w:tc>
          <w:tcPr>
            <w:tcW w:w="1929" w:type="dxa"/>
            <w:vAlign w:val="top"/>
            <w:tcBorders>
              <w:bottom w:val="single" w:color="000000" w:sz="2" w:space="0"/>
              <w:top w:val="single" w:color="000000" w:sz="2" w:space="0"/>
            </w:tcBorders>
          </w:tcPr>
          <w:p>
            <w:pPr>
              <w:pStyle w:val="TableText"/>
              <w:ind w:left="654"/>
              <w:spacing w:before="130" w:line="221" w:lineRule="auto"/>
              <w:rPr>
                <w:sz w:val="12"/>
                <w:szCs w:val="12"/>
              </w:rPr>
            </w:pPr>
            <w:r>
              <w:rPr>
                <w:sz w:val="12"/>
                <w:szCs w:val="12"/>
                <w:spacing w:val="-1"/>
              </w:rPr>
              <w:t>碱式硫酸铜</w:t>
            </w:r>
          </w:p>
        </w:tc>
        <w:tc>
          <w:tcPr>
            <w:tcW w:w="1639" w:type="dxa"/>
            <w:vAlign w:val="top"/>
            <w:tcBorders>
              <w:bottom w:val="single" w:color="000000" w:sz="2" w:space="0"/>
              <w:top w:val="single" w:color="000000" w:sz="2" w:space="0"/>
            </w:tcBorders>
          </w:tcPr>
          <w:p>
            <w:pPr>
              <w:pStyle w:val="TableText"/>
              <w:ind w:left="544"/>
              <w:spacing w:before="130" w:line="220" w:lineRule="auto"/>
              <w:rPr>
                <w:sz w:val="12"/>
                <w:szCs w:val="12"/>
              </w:rPr>
            </w:pPr>
            <w:r>
              <w:rPr>
                <w:sz w:val="12"/>
                <w:szCs w:val="12"/>
                <w:spacing w:val="-2"/>
              </w:rPr>
              <w:t>160-240倍</w:t>
            </w:r>
          </w:p>
        </w:tc>
        <w:tc>
          <w:tcPr>
            <w:tcW w:w="1069" w:type="dxa"/>
            <w:vAlign w:val="top"/>
            <w:vMerge w:val="restart"/>
            <w:tcBorders>
              <w:bottom w:val="nil"/>
              <w:top w:val="single" w:color="000000" w:sz="2" w:space="0"/>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96"/>
              <w:spacing w:before="126" w:line="213" w:lineRule="auto"/>
              <w:rPr>
                <w:sz w:val="12"/>
                <w:szCs w:val="12"/>
              </w:rPr>
            </w:pPr>
            <w:r>
              <w:rPr>
                <w:sz w:val="12"/>
                <w:szCs w:val="12"/>
                <w:spacing w:val="-1"/>
              </w:rPr>
              <w:t>200g/袋</w:t>
            </w:r>
          </w:p>
        </w:tc>
        <w:tc>
          <w:tcPr>
            <w:tcW w:w="2603" w:type="dxa"/>
            <w:vAlign w:val="top"/>
            <w:tcBorders>
              <w:bottom w:val="single" w:color="000000" w:sz="2" w:space="0"/>
              <w:top w:val="single" w:color="000000" w:sz="2" w:space="0"/>
            </w:tcBorders>
          </w:tcPr>
          <w:p>
            <w:pPr>
              <w:pStyle w:val="TableText"/>
              <w:ind w:left="17" w:right="45"/>
              <w:spacing w:before="69" w:line="234" w:lineRule="auto"/>
              <w:rPr>
                <w:sz w:val="12"/>
                <w:szCs w:val="12"/>
              </w:rPr>
            </w:pPr>
            <w:r>
              <w:rPr>
                <w:sz w:val="12"/>
                <w:szCs w:val="12"/>
              </w:rPr>
              <w:t>防治落叶病、炭疽病、炭疽病、霜霉病。不能与</w:t>
            </w:r>
            <w:r>
              <w:rPr>
                <w:sz w:val="12"/>
                <w:szCs w:val="12"/>
                <w:spacing w:val="8"/>
              </w:rPr>
              <w:t xml:space="preserve"> </w:t>
            </w:r>
            <w:r>
              <w:rPr>
                <w:sz w:val="12"/>
                <w:szCs w:val="12"/>
                <w:spacing w:val="-1"/>
              </w:rPr>
              <w:t>石疏合剂等碱性衣药混用</w:t>
            </w:r>
          </w:p>
        </w:tc>
      </w:tr>
      <w:tr>
        <w:trPr>
          <w:trHeight w:val="39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140" w:line="218" w:lineRule="auto"/>
              <w:rPr>
                <w:sz w:val="12"/>
                <w:szCs w:val="12"/>
              </w:rPr>
            </w:pPr>
            <w:r>
              <w:rPr>
                <w:sz w:val="12"/>
                <w:szCs w:val="12"/>
                <w:spacing w:val="1"/>
              </w:rPr>
              <w:t>国光糊涂途白剂</w:t>
            </w:r>
          </w:p>
        </w:tc>
        <w:tc>
          <w:tcPr>
            <w:tcW w:w="1929" w:type="dxa"/>
            <w:vAlign w:val="top"/>
            <w:tcBorders>
              <w:bottom w:val="single" w:color="000000" w:sz="2" w:space="0"/>
              <w:top w:val="single" w:color="000000" w:sz="2" w:space="0"/>
            </w:tcBorders>
          </w:tcPr>
          <w:p>
            <w:pPr>
              <w:pStyle w:val="TableText"/>
              <w:ind w:left="554" w:right="69" w:hanging="500"/>
              <w:spacing w:before="70" w:line="232" w:lineRule="auto"/>
              <w:rPr>
                <w:sz w:val="12"/>
                <w:szCs w:val="12"/>
              </w:rPr>
            </w:pPr>
            <w:r>
              <w:rPr>
                <w:sz w:val="12"/>
                <w:szCs w:val="12"/>
                <w:spacing w:val="-1"/>
              </w:rPr>
              <w:t>粘着剂、防裂剂、保水剂、增稠剂</w:t>
            </w:r>
            <w:r>
              <w:rPr>
                <w:sz w:val="12"/>
                <w:szCs w:val="12"/>
                <w:spacing w:val="9"/>
              </w:rPr>
              <w:t xml:space="preserve"> </w:t>
            </w:r>
            <w:r>
              <w:rPr>
                <w:sz w:val="12"/>
                <w:szCs w:val="12"/>
                <w:spacing w:val="-3"/>
              </w:rPr>
              <w:t>、悬浮剂、填料</w:t>
            </w:r>
          </w:p>
        </w:tc>
        <w:tc>
          <w:tcPr>
            <w:tcW w:w="1639" w:type="dxa"/>
            <w:vAlign w:val="top"/>
            <w:tcBorders>
              <w:bottom w:val="single" w:color="000000" w:sz="2" w:space="0"/>
              <w:top w:val="single" w:color="000000" w:sz="2" w:space="0"/>
            </w:tcBorders>
          </w:tcPr>
          <w:p>
            <w:pPr>
              <w:pStyle w:val="TableText"/>
              <w:ind w:left="365"/>
              <w:spacing w:before="140" w:line="219" w:lineRule="auto"/>
              <w:rPr>
                <w:sz w:val="12"/>
                <w:szCs w:val="12"/>
              </w:rPr>
            </w:pPr>
            <w:r>
              <w:rPr>
                <w:sz w:val="12"/>
                <w:szCs w:val="12"/>
              </w:rPr>
              <w:t>1:1-1.2兑水唤涂</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137" w:line="213" w:lineRule="auto"/>
              <w:rPr>
                <w:sz w:val="12"/>
                <w:szCs w:val="12"/>
              </w:rPr>
            </w:pPr>
            <w:r>
              <w:rPr>
                <w:sz w:val="12"/>
                <w:szCs w:val="12"/>
                <w:spacing w:val="4"/>
              </w:rPr>
              <w:t>(20</w:t>
            </w:r>
            <w:r>
              <w:rPr>
                <w:sz w:val="12"/>
                <w:szCs w:val="12"/>
              </w:rPr>
              <w:t>kg</w:t>
            </w:r>
            <w:r>
              <w:rPr>
                <w:sz w:val="12"/>
                <w:szCs w:val="12"/>
                <w:spacing w:val="4"/>
              </w:rPr>
              <w:t>/袋)</w:t>
            </w:r>
          </w:p>
        </w:tc>
        <w:tc>
          <w:tcPr>
            <w:tcW w:w="2603" w:type="dxa"/>
            <w:vAlign w:val="top"/>
            <w:tcBorders>
              <w:bottom w:val="single" w:color="000000" w:sz="2" w:space="0"/>
              <w:top w:val="single" w:color="000000" w:sz="2" w:space="0"/>
            </w:tcBorders>
          </w:tcPr>
          <w:p>
            <w:pPr>
              <w:pStyle w:val="TableText"/>
              <w:ind w:left="17"/>
              <w:spacing w:before="140" w:line="219" w:lineRule="auto"/>
              <w:rPr>
                <w:sz w:val="12"/>
                <w:szCs w:val="12"/>
              </w:rPr>
            </w:pPr>
            <w:r>
              <w:rPr>
                <w:sz w:val="12"/>
                <w:szCs w:val="12"/>
                <w:spacing w:val="1"/>
              </w:rPr>
              <w:t>园区消杀防病虫</w:t>
            </w:r>
          </w:p>
        </w:tc>
      </w:tr>
      <w:tr>
        <w:trPr>
          <w:trHeight w:val="36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21" w:line="218" w:lineRule="auto"/>
              <w:rPr>
                <w:sz w:val="12"/>
                <w:szCs w:val="12"/>
              </w:rPr>
            </w:pPr>
            <w:r>
              <w:rPr>
                <w:sz w:val="12"/>
                <w:szCs w:val="12"/>
                <w:spacing w:val="1"/>
              </w:rPr>
              <w:t>品体石硫合剂</w:t>
            </w:r>
          </w:p>
        </w:tc>
        <w:tc>
          <w:tcPr>
            <w:tcW w:w="1929" w:type="dxa"/>
            <w:vAlign w:val="top"/>
            <w:tcBorders>
              <w:bottom w:val="single" w:color="000000" w:sz="2" w:space="0"/>
              <w:top w:val="single" w:color="000000" w:sz="2" w:space="0"/>
            </w:tcBorders>
          </w:tcPr>
          <w:p>
            <w:pPr>
              <w:pStyle w:val="TableText"/>
              <w:ind w:left="714"/>
              <w:spacing w:before="122" w:line="221" w:lineRule="auto"/>
              <w:rPr>
                <w:sz w:val="12"/>
                <w:szCs w:val="12"/>
              </w:rPr>
            </w:pPr>
            <w:r>
              <w:rPr>
                <w:sz w:val="12"/>
                <w:szCs w:val="12"/>
                <w:spacing w:val="-2"/>
              </w:rPr>
              <w:t>多硫化钙</w:t>
            </w:r>
          </w:p>
        </w:tc>
        <w:tc>
          <w:tcPr>
            <w:tcW w:w="1639" w:type="dxa"/>
            <w:vAlign w:val="top"/>
            <w:tcBorders>
              <w:bottom w:val="single" w:color="000000" w:sz="2" w:space="0"/>
              <w:top w:val="single" w:color="000000" w:sz="2" w:space="0"/>
            </w:tcBorders>
          </w:tcPr>
          <w:p>
            <w:pPr>
              <w:pStyle w:val="TableText"/>
              <w:ind w:left="514"/>
              <w:spacing w:before="121" w:line="220" w:lineRule="auto"/>
              <w:rPr>
                <w:sz w:val="12"/>
                <w:szCs w:val="12"/>
              </w:rPr>
            </w:pPr>
            <w:r>
              <w:rPr>
                <w:sz w:val="12"/>
                <w:szCs w:val="12"/>
                <w:spacing w:val="-6"/>
              </w:rPr>
              <w:t>800—1000倍</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117" w:line="213" w:lineRule="auto"/>
              <w:rPr>
                <w:sz w:val="12"/>
                <w:szCs w:val="12"/>
              </w:rPr>
            </w:pPr>
            <w:r>
              <w:rPr>
                <w:sz w:val="12"/>
                <w:szCs w:val="12"/>
                <w:spacing w:val="3"/>
              </w:rPr>
              <w:t>(400g/袋)</w:t>
            </w:r>
          </w:p>
        </w:tc>
        <w:tc>
          <w:tcPr>
            <w:tcW w:w="2603" w:type="dxa"/>
            <w:vAlign w:val="top"/>
            <w:tcBorders>
              <w:bottom w:val="single" w:color="000000" w:sz="2" w:space="0"/>
              <w:top w:val="single" w:color="000000" w:sz="2" w:space="0"/>
            </w:tcBorders>
          </w:tcPr>
          <w:p>
            <w:pPr>
              <w:pStyle w:val="TableText"/>
              <w:ind w:left="17" w:right="54"/>
              <w:spacing w:before="60" w:line="210" w:lineRule="auto"/>
              <w:rPr>
                <w:sz w:val="12"/>
                <w:szCs w:val="12"/>
              </w:rPr>
            </w:pPr>
            <w:r>
              <w:rPr>
                <w:sz w:val="12"/>
                <w:szCs w:val="12"/>
              </w:rPr>
              <w:t>价格低廉、效果好、对多种病菌具有抑杀作用， </w:t>
            </w:r>
            <w:r>
              <w:rPr>
                <w:sz w:val="12"/>
                <w:szCs w:val="12"/>
                <w:spacing w:val="2"/>
              </w:rPr>
              <w:t>园区消杀使用</w:t>
            </w:r>
          </w:p>
        </w:tc>
      </w:tr>
      <w:tr>
        <w:trPr>
          <w:trHeight w:val="19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42" w:line="219" w:lineRule="auto"/>
              <w:rPr>
                <w:sz w:val="12"/>
                <w:szCs w:val="12"/>
              </w:rPr>
            </w:pPr>
            <w:r>
              <w:rPr>
                <w:sz w:val="12"/>
                <w:szCs w:val="12"/>
                <w:spacing w:val="1"/>
              </w:rPr>
              <w:t>国光红杀</w:t>
            </w:r>
          </w:p>
        </w:tc>
        <w:tc>
          <w:tcPr>
            <w:tcW w:w="1929" w:type="dxa"/>
            <w:vAlign w:val="top"/>
            <w:tcBorders>
              <w:bottom w:val="single" w:color="000000" w:sz="2" w:space="0"/>
              <w:top w:val="single" w:color="000000" w:sz="2" w:space="0"/>
            </w:tcBorders>
          </w:tcPr>
          <w:p>
            <w:pPr>
              <w:pStyle w:val="TableText"/>
              <w:ind w:left="504"/>
              <w:spacing w:before="41" w:line="218" w:lineRule="auto"/>
              <w:rPr>
                <w:sz w:val="12"/>
                <w:szCs w:val="12"/>
              </w:rPr>
            </w:pPr>
            <w:r>
              <w:rPr>
                <w:sz w:val="12"/>
                <w:szCs w:val="12"/>
                <w:spacing w:val="-5"/>
              </w:rPr>
              <w:t>10%苯丁</w:t>
            </w:r>
            <w:r>
              <w:rPr>
                <w:sz w:val="12"/>
                <w:szCs w:val="12"/>
                <w:spacing w:val="-9"/>
              </w:rPr>
              <w:t xml:space="preserve"> </w:t>
            </w:r>
            <w:r>
              <w:rPr>
                <w:sz w:val="12"/>
                <w:szCs w:val="12"/>
                <w:spacing w:val="-5"/>
              </w:rPr>
              <w:t>·哒蜗灵</w:t>
            </w:r>
          </w:p>
        </w:tc>
        <w:tc>
          <w:tcPr>
            <w:tcW w:w="1639" w:type="dxa"/>
            <w:vAlign w:val="top"/>
            <w:tcBorders>
              <w:bottom w:val="single" w:color="000000" w:sz="2" w:space="0"/>
              <w:top w:val="single" w:color="000000" w:sz="2" w:space="0"/>
            </w:tcBorders>
          </w:tcPr>
          <w:p>
            <w:pPr>
              <w:pStyle w:val="TableText"/>
              <w:ind w:left="484"/>
              <w:spacing w:before="52" w:line="204" w:lineRule="auto"/>
              <w:rPr>
                <w:sz w:val="12"/>
                <w:szCs w:val="12"/>
              </w:rPr>
            </w:pPr>
            <w:r>
              <w:rPr>
                <w:sz w:val="12"/>
                <w:szCs w:val="12"/>
                <w:spacing w:val="-2"/>
              </w:rPr>
              <w:t>1000-1500倍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53" w:line="203"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51" w:line="205" w:lineRule="auto"/>
              <w:rPr>
                <w:sz w:val="12"/>
                <w:szCs w:val="12"/>
              </w:rPr>
            </w:pPr>
            <w:r>
              <w:rPr>
                <w:sz w:val="12"/>
                <w:szCs w:val="12"/>
                <w:spacing w:val="-1"/>
              </w:rPr>
              <w:t>高效、广谱杀蠕剂、防效高，虫卵兼杀</w:t>
            </w:r>
          </w:p>
        </w:tc>
      </w:tr>
      <w:tr>
        <w:trPr>
          <w:trHeight w:val="215" w:hRule="atLeast"/>
        </w:trPr>
        <w:tc>
          <w:tcPr>
            <w:tcW w:w="425" w:type="dxa"/>
            <w:vAlign w:val="top"/>
            <w:vMerge w:val="continue"/>
            <w:tcBorders>
              <w:bottom w:val="nil"/>
              <w:top w:val="nil"/>
            </w:tcBorders>
          </w:tcPr>
          <w:p>
            <w:pPr>
              <w:rPr>
                <w:rFonts w:ascii="Arial"/>
                <w:sz w:val="21"/>
              </w:rPr>
            </w:pPr>
            <w:r/>
          </w:p>
        </w:tc>
        <w:tc>
          <w:tcPr>
            <w:tcW w:w="590"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100"/>
              <w:spacing w:before="39" w:line="219" w:lineRule="auto"/>
              <w:rPr>
                <w:sz w:val="12"/>
                <w:szCs w:val="12"/>
              </w:rPr>
            </w:pPr>
            <w:r>
              <w:rPr>
                <w:sz w:val="12"/>
                <w:szCs w:val="12"/>
                <w:spacing w:val="-1"/>
              </w:rPr>
              <w:t>病菌类</w:t>
            </w:r>
          </w:p>
        </w:tc>
        <w:tc>
          <w:tcPr>
            <w:tcW w:w="989"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20"/>
              <w:spacing w:before="39" w:line="219" w:lineRule="auto"/>
              <w:rPr>
                <w:sz w:val="12"/>
                <w:szCs w:val="12"/>
              </w:rPr>
            </w:pPr>
            <w:r>
              <w:rPr>
                <w:sz w:val="12"/>
                <w:szCs w:val="12"/>
                <w:spacing w:val="-1"/>
              </w:rPr>
              <w:t>炭疸病，白粉</w:t>
            </w:r>
          </w:p>
          <w:p>
            <w:pPr>
              <w:pStyle w:val="TableText"/>
              <w:ind w:left="80"/>
              <w:spacing w:before="7" w:line="219" w:lineRule="auto"/>
              <w:rPr>
                <w:sz w:val="12"/>
                <w:szCs w:val="12"/>
              </w:rPr>
            </w:pPr>
            <w:r>
              <w:rPr>
                <w:sz w:val="12"/>
                <w:szCs w:val="12"/>
                <w:spacing w:val="-1"/>
              </w:rPr>
              <w:t>病，锈病、叶枯</w:t>
            </w:r>
          </w:p>
          <w:p>
            <w:pPr>
              <w:pStyle w:val="TableText"/>
              <w:ind w:left="60"/>
              <w:spacing w:before="17" w:line="200" w:lineRule="auto"/>
              <w:rPr>
                <w:sz w:val="12"/>
                <w:szCs w:val="12"/>
              </w:rPr>
            </w:pPr>
            <w:r>
              <w:rPr>
                <w:sz w:val="12"/>
                <w:szCs w:val="12"/>
                <w:spacing w:val="-1"/>
              </w:rPr>
              <w:t>病，叶斑病合政</w:t>
            </w:r>
          </w:p>
          <w:p>
            <w:pPr>
              <w:pStyle w:val="TableText"/>
              <w:ind w:left="60"/>
              <w:spacing w:line="219" w:lineRule="auto"/>
              <w:rPr>
                <w:sz w:val="12"/>
                <w:szCs w:val="12"/>
              </w:rPr>
            </w:pPr>
            <w:r>
              <w:rPr>
                <w:sz w:val="12"/>
                <w:szCs w:val="12"/>
                <w:spacing w:val="-1"/>
              </w:rPr>
              <w:t>枯萎病、大叶女</w:t>
            </w:r>
          </w:p>
          <w:p>
            <w:pPr>
              <w:pStyle w:val="TableText"/>
              <w:ind w:left="120"/>
              <w:spacing w:before="7" w:line="219" w:lineRule="auto"/>
              <w:rPr>
                <w:sz w:val="12"/>
                <w:szCs w:val="12"/>
              </w:rPr>
            </w:pPr>
            <w:r>
              <w:rPr>
                <w:sz w:val="12"/>
                <w:szCs w:val="12"/>
                <w:spacing w:val="-2"/>
              </w:rPr>
              <w:t>贞煤污病。草</w:t>
            </w:r>
          </w:p>
          <w:p>
            <w:pPr>
              <w:pStyle w:val="TableText"/>
              <w:ind w:left="60"/>
              <w:spacing w:before="17" w:line="200" w:lineRule="auto"/>
              <w:rPr>
                <w:sz w:val="12"/>
                <w:szCs w:val="12"/>
              </w:rPr>
            </w:pPr>
            <w:r>
              <w:rPr>
                <w:sz w:val="12"/>
                <w:szCs w:val="12"/>
                <w:spacing w:val="-1"/>
              </w:rPr>
              <w:t>坪：夏季班枯病</w:t>
            </w:r>
          </w:p>
          <w:p>
            <w:pPr>
              <w:pStyle w:val="TableText"/>
              <w:spacing w:line="219" w:lineRule="auto"/>
              <w:jc w:val="right"/>
              <w:rPr>
                <w:sz w:val="12"/>
                <w:szCs w:val="12"/>
              </w:rPr>
            </w:pPr>
            <w:r>
              <w:rPr>
                <w:sz w:val="12"/>
                <w:szCs w:val="12"/>
                <w:spacing w:val="6"/>
              </w:rPr>
              <w:t>、腐霉枯萎病、</w:t>
            </w:r>
          </w:p>
          <w:p>
            <w:pPr>
              <w:pStyle w:val="TableText"/>
              <w:ind w:left="140"/>
              <w:spacing w:before="7" w:line="219" w:lineRule="auto"/>
              <w:rPr>
                <w:sz w:val="12"/>
                <w:szCs w:val="12"/>
              </w:rPr>
            </w:pPr>
            <w:r>
              <w:rPr>
                <w:sz w:val="12"/>
                <w:szCs w:val="12"/>
                <w:spacing w:val="1"/>
              </w:rPr>
              <w:t>白粉病、锈病</w:t>
            </w:r>
          </w:p>
        </w:tc>
        <w:tc>
          <w:tcPr>
            <w:tcW w:w="2718" w:type="dxa"/>
            <w:vAlign w:val="top"/>
            <w:vMerge w:val="restart"/>
            <w:tcBorders>
              <w:bottom w:val="nil"/>
              <w:top w:val="single" w:color="000000" w:sz="2" w:space="0"/>
            </w:tcBorders>
          </w:tcPr>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
              <w:spacing w:before="39" w:line="200" w:lineRule="auto"/>
              <w:rPr>
                <w:sz w:val="12"/>
                <w:szCs w:val="12"/>
              </w:rPr>
            </w:pPr>
            <w:r>
              <w:rPr>
                <w:sz w:val="12"/>
                <w:szCs w:val="12"/>
              </w:rPr>
              <w:t>一、11中句-3月底全园区预防消杀为主。</w:t>
            </w:r>
          </w:p>
          <w:p>
            <w:pPr>
              <w:pStyle w:val="TableText"/>
              <w:ind w:left="11" w:right="63"/>
              <w:spacing w:line="225" w:lineRule="auto"/>
              <w:rPr>
                <w:sz w:val="12"/>
                <w:szCs w:val="12"/>
              </w:rPr>
            </w:pPr>
            <w:r>
              <w:rPr>
                <w:sz w:val="12"/>
                <w:szCs w:val="12"/>
                <w:spacing w:val="-1"/>
              </w:rPr>
              <w:t>二、4月底及7-9三个月为高发期。有发现病情，及</w:t>
            </w:r>
            <w:r>
              <w:rPr>
                <w:sz w:val="12"/>
                <w:szCs w:val="12"/>
                <w:spacing w:val="16"/>
              </w:rPr>
              <w:t xml:space="preserve"> </w:t>
            </w:r>
            <w:r>
              <w:rPr>
                <w:sz w:val="12"/>
                <w:szCs w:val="12"/>
                <w:spacing w:val="-2"/>
              </w:rPr>
              <w:t>时喷药处理</w:t>
            </w:r>
          </w:p>
        </w:tc>
        <w:tc>
          <w:tcPr>
            <w:tcW w:w="1289" w:type="dxa"/>
            <w:vAlign w:val="top"/>
            <w:tcBorders>
              <w:bottom w:val="single" w:color="000000" w:sz="2" w:space="0"/>
              <w:top w:val="single" w:color="000000" w:sz="2" w:space="0"/>
            </w:tcBorders>
          </w:tcPr>
          <w:p>
            <w:pPr>
              <w:pStyle w:val="TableText"/>
              <w:ind w:left="333"/>
              <w:spacing w:before="51" w:line="219" w:lineRule="auto"/>
              <w:rPr>
                <w:sz w:val="12"/>
                <w:szCs w:val="12"/>
              </w:rPr>
            </w:pPr>
            <w:r>
              <w:rPr>
                <w:sz w:val="12"/>
                <w:szCs w:val="12"/>
                <w:spacing w:val="1"/>
              </w:rPr>
              <w:t>国光三唑钢</w:t>
            </w:r>
          </w:p>
        </w:tc>
        <w:tc>
          <w:tcPr>
            <w:tcW w:w="1929" w:type="dxa"/>
            <w:vAlign w:val="top"/>
            <w:tcBorders>
              <w:bottom w:val="single" w:color="000000" w:sz="2" w:space="0"/>
              <w:top w:val="single" w:color="000000" w:sz="2" w:space="0"/>
            </w:tcBorders>
          </w:tcPr>
          <w:p>
            <w:pPr>
              <w:pStyle w:val="TableText"/>
              <w:ind w:left="684"/>
              <w:spacing w:before="51" w:line="219" w:lineRule="auto"/>
              <w:rPr>
                <w:sz w:val="12"/>
                <w:szCs w:val="12"/>
              </w:rPr>
            </w:pPr>
            <w:r>
              <w:rPr>
                <w:sz w:val="12"/>
                <w:szCs w:val="12"/>
                <w:spacing w:val="-1"/>
              </w:rPr>
              <w:t>20%三腔酮</w:t>
            </w:r>
          </w:p>
        </w:tc>
        <w:tc>
          <w:tcPr>
            <w:tcW w:w="1639" w:type="dxa"/>
            <w:vAlign w:val="top"/>
            <w:tcBorders>
              <w:bottom w:val="single" w:color="000000" w:sz="2" w:space="0"/>
              <w:top w:val="single" w:color="000000" w:sz="2" w:space="0"/>
            </w:tcBorders>
          </w:tcPr>
          <w:p>
            <w:pPr>
              <w:pStyle w:val="TableText"/>
              <w:ind w:left="365"/>
              <w:spacing w:before="51" w:line="219" w:lineRule="auto"/>
              <w:rPr>
                <w:sz w:val="12"/>
                <w:szCs w:val="12"/>
              </w:rPr>
            </w:pPr>
            <w:r>
              <w:rPr>
                <w:sz w:val="12"/>
                <w:szCs w:val="12"/>
                <w:spacing w:val="-1"/>
              </w:rPr>
              <w:t>稀释1500-2000倍</w:t>
            </w:r>
          </w:p>
        </w:tc>
        <w:tc>
          <w:tcPr>
            <w:tcW w:w="1069" w:type="dxa"/>
            <w:vAlign w:val="top"/>
            <w:vMerge w:val="restart"/>
            <w:tcBorders>
              <w:bottom w:val="nil"/>
              <w:top w:val="single" w:color="000000" w:sz="2" w:space="0"/>
            </w:tcBorders>
          </w:tcPr>
          <w:p>
            <w:pPr>
              <w:pStyle w:val="TableText"/>
              <w:ind w:left="16"/>
              <w:spacing w:before="261" w:line="219" w:lineRule="auto"/>
              <w:rPr>
                <w:sz w:val="12"/>
                <w:szCs w:val="12"/>
              </w:rPr>
            </w:pPr>
            <w:r>
              <w:rPr>
                <w:sz w:val="12"/>
                <w:szCs w:val="12"/>
                <w:spacing w:val="1"/>
              </w:rPr>
              <w:t>一般用2次，时间问</w:t>
            </w:r>
          </w:p>
          <w:p>
            <w:pPr>
              <w:pStyle w:val="TableText"/>
              <w:ind w:left="266"/>
              <w:spacing w:before="7" w:line="220" w:lineRule="auto"/>
              <w:rPr>
                <w:sz w:val="12"/>
                <w:szCs w:val="12"/>
              </w:rPr>
            </w:pPr>
            <w:r>
              <w:rPr>
                <w:sz w:val="12"/>
                <w:szCs w:val="12"/>
                <w:spacing w:val="-2"/>
              </w:rPr>
              <w:t>隔7到10天</w:t>
            </w:r>
          </w:p>
        </w:tc>
        <w:tc>
          <w:tcPr>
            <w:tcW w:w="819" w:type="dxa"/>
            <w:vAlign w:val="top"/>
            <w:tcBorders>
              <w:bottom w:val="single" w:color="000000" w:sz="2" w:space="0"/>
              <w:top w:val="single" w:color="000000" w:sz="2" w:space="0"/>
            </w:tcBorders>
          </w:tcPr>
          <w:p>
            <w:pPr>
              <w:pStyle w:val="TableText"/>
              <w:ind w:left="166"/>
              <w:spacing w:before="52"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51" w:line="219" w:lineRule="auto"/>
              <w:rPr>
                <w:sz w:val="12"/>
                <w:szCs w:val="12"/>
              </w:rPr>
            </w:pPr>
            <w:r>
              <w:rPr>
                <w:sz w:val="12"/>
                <w:szCs w:val="12"/>
                <w:spacing w:val="1"/>
              </w:rPr>
              <w:t>防治白粉病、锈病等(每年只能施用-3次)</w:t>
            </w:r>
          </w:p>
        </w:tc>
      </w:tr>
      <w:tr>
        <w:trPr>
          <w:trHeight w:val="33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11" w:line="219" w:lineRule="auto"/>
              <w:rPr>
                <w:sz w:val="12"/>
                <w:szCs w:val="12"/>
              </w:rPr>
            </w:pPr>
            <w:r>
              <w:rPr>
                <w:sz w:val="12"/>
                <w:szCs w:val="12"/>
                <w:spacing w:val="-1"/>
              </w:rPr>
              <w:t>诺善信双通</w:t>
            </w:r>
          </w:p>
        </w:tc>
        <w:tc>
          <w:tcPr>
            <w:tcW w:w="1929" w:type="dxa"/>
            <w:vAlign w:val="top"/>
            <w:tcBorders>
              <w:bottom w:val="single" w:color="000000" w:sz="2" w:space="0"/>
              <w:top w:val="single" w:color="000000" w:sz="2" w:space="0"/>
            </w:tcBorders>
          </w:tcPr>
          <w:p>
            <w:pPr>
              <w:pStyle w:val="TableText"/>
              <w:ind w:left="504"/>
              <w:spacing w:before="132" w:line="221" w:lineRule="auto"/>
              <w:rPr>
                <w:sz w:val="12"/>
                <w:szCs w:val="12"/>
              </w:rPr>
            </w:pPr>
            <w:r>
              <w:rPr>
                <w:sz w:val="12"/>
                <w:szCs w:val="12"/>
                <w:spacing w:val="-6"/>
              </w:rPr>
              <w:t>硫磺</w:t>
            </w:r>
            <w:r>
              <w:rPr>
                <w:sz w:val="12"/>
                <w:szCs w:val="12"/>
                <w:spacing w:val="-12"/>
              </w:rPr>
              <w:t xml:space="preserve"> </w:t>
            </w:r>
            <w:r>
              <w:rPr>
                <w:sz w:val="12"/>
                <w:szCs w:val="12"/>
                <w:spacing w:val="-6"/>
              </w:rPr>
              <w:t>·三唑酮45%</w:t>
            </w:r>
          </w:p>
        </w:tc>
        <w:tc>
          <w:tcPr>
            <w:tcW w:w="1639" w:type="dxa"/>
            <w:vAlign w:val="top"/>
            <w:tcBorders>
              <w:bottom w:val="single" w:color="000000" w:sz="2" w:space="0"/>
              <w:top w:val="single" w:color="000000" w:sz="2" w:space="0"/>
            </w:tcBorders>
          </w:tcPr>
          <w:p>
            <w:pPr>
              <w:pStyle w:val="TableText"/>
              <w:ind w:left="514"/>
              <w:spacing w:before="131" w:line="220" w:lineRule="auto"/>
              <w:rPr>
                <w:sz w:val="12"/>
                <w:szCs w:val="12"/>
              </w:rPr>
            </w:pPr>
            <w:r>
              <w:rPr>
                <w:sz w:val="12"/>
                <w:szCs w:val="12"/>
                <w:spacing w:val="-6"/>
              </w:rPr>
              <w:t>800—1000倍</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132" w:line="221" w:lineRule="auto"/>
              <w:rPr>
                <w:sz w:val="12"/>
                <w:szCs w:val="12"/>
              </w:rPr>
            </w:pPr>
            <w:r>
              <w:rPr>
                <w:sz w:val="12"/>
                <w:szCs w:val="12"/>
                <w:spacing w:val="-1"/>
              </w:rPr>
              <w:t>400nl/瓶</w:t>
            </w:r>
          </w:p>
        </w:tc>
        <w:tc>
          <w:tcPr>
            <w:tcW w:w="2603" w:type="dxa"/>
            <w:vAlign w:val="top"/>
            <w:tcBorders>
              <w:bottom w:val="single" w:color="000000" w:sz="2" w:space="0"/>
              <w:top w:val="single" w:color="000000" w:sz="2" w:space="0"/>
            </w:tcBorders>
          </w:tcPr>
          <w:p>
            <w:pPr>
              <w:pStyle w:val="TableText"/>
              <w:ind w:left="17" w:right="97"/>
              <w:spacing w:before="42" w:line="209" w:lineRule="auto"/>
              <w:rPr>
                <w:sz w:val="12"/>
                <w:szCs w:val="12"/>
              </w:rPr>
            </w:pPr>
            <w:r>
              <w:rPr>
                <w:sz w:val="12"/>
                <w:szCs w:val="12"/>
              </w:rPr>
              <w:t>针对白粉病、锈病防效好，有内吸作用(每年只</w:t>
            </w:r>
            <w:r>
              <w:rPr>
                <w:sz w:val="12"/>
                <w:szCs w:val="12"/>
                <w:spacing w:val="16"/>
              </w:rPr>
              <w:t xml:space="preserve"> </w:t>
            </w:r>
            <w:r>
              <w:rPr>
                <w:sz w:val="12"/>
                <w:szCs w:val="12"/>
                <w:spacing w:val="3"/>
              </w:rPr>
              <w:t>能施用-3次)</w:t>
            </w:r>
          </w:p>
        </w:tc>
      </w:tr>
      <w:tr>
        <w:trPr>
          <w:trHeight w:val="22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52" w:line="220" w:lineRule="auto"/>
              <w:rPr>
                <w:sz w:val="12"/>
                <w:szCs w:val="12"/>
              </w:rPr>
            </w:pPr>
            <w:r>
              <w:rPr>
                <w:sz w:val="12"/>
                <w:szCs w:val="12"/>
                <w:spacing w:val="1"/>
              </w:rPr>
              <w:t>中威乐翻天</w:t>
            </w:r>
          </w:p>
        </w:tc>
        <w:tc>
          <w:tcPr>
            <w:tcW w:w="1929" w:type="dxa"/>
            <w:vAlign w:val="top"/>
            <w:tcBorders>
              <w:bottom w:val="single" w:color="000000" w:sz="2" w:space="0"/>
              <w:top w:val="single" w:color="000000" w:sz="2" w:space="0"/>
            </w:tcBorders>
          </w:tcPr>
          <w:p>
            <w:pPr>
              <w:pStyle w:val="TableText"/>
              <w:ind w:left="684"/>
              <w:spacing w:before="52" w:line="220" w:lineRule="auto"/>
              <w:rPr>
                <w:sz w:val="12"/>
                <w:szCs w:val="12"/>
              </w:rPr>
            </w:pPr>
            <w:r>
              <w:rPr>
                <w:sz w:val="12"/>
                <w:szCs w:val="12"/>
                <w:spacing w:val="-1"/>
              </w:rPr>
              <w:t>戊唑醇20%</w:t>
            </w:r>
          </w:p>
        </w:tc>
        <w:tc>
          <w:tcPr>
            <w:tcW w:w="1639" w:type="dxa"/>
            <w:vAlign w:val="top"/>
            <w:tcBorders>
              <w:bottom w:val="single" w:color="000000" w:sz="2" w:space="0"/>
              <w:top w:val="single" w:color="000000" w:sz="2" w:space="0"/>
            </w:tcBorders>
          </w:tcPr>
          <w:p>
            <w:pPr>
              <w:pStyle w:val="TableText"/>
              <w:ind w:left="425"/>
              <w:spacing w:before="52" w:line="220" w:lineRule="auto"/>
              <w:rPr>
                <w:sz w:val="12"/>
                <w:szCs w:val="12"/>
              </w:rPr>
            </w:pPr>
            <w:r>
              <w:rPr>
                <w:sz w:val="12"/>
                <w:szCs w:val="12"/>
                <w:spacing w:val="-2"/>
              </w:rPr>
              <w:t>1000-1500倍液</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48" w:line="213" w:lineRule="auto"/>
              <w:rPr>
                <w:sz w:val="12"/>
                <w:szCs w:val="12"/>
              </w:rPr>
            </w:pPr>
            <w:r>
              <w:rPr>
                <w:sz w:val="12"/>
                <w:szCs w:val="12"/>
                <w:spacing w:val="3"/>
              </w:rPr>
              <w:t>(20g/袋)</w:t>
            </w:r>
          </w:p>
        </w:tc>
        <w:tc>
          <w:tcPr>
            <w:tcW w:w="2603" w:type="dxa"/>
            <w:vAlign w:val="top"/>
            <w:tcBorders>
              <w:bottom w:val="single" w:color="000000" w:sz="2" w:space="0"/>
              <w:top w:val="single" w:color="000000" w:sz="2" w:space="0"/>
            </w:tcBorders>
          </w:tcPr>
          <w:p>
            <w:pPr>
              <w:pStyle w:val="TableText"/>
              <w:ind w:left="17"/>
              <w:spacing w:before="52" w:line="219" w:lineRule="auto"/>
              <w:rPr>
                <w:sz w:val="12"/>
                <w:szCs w:val="12"/>
              </w:rPr>
            </w:pPr>
            <w:r>
              <w:rPr>
                <w:sz w:val="12"/>
                <w:szCs w:val="12"/>
                <w:spacing w:val="-1"/>
              </w:rPr>
              <w:t>防治草坪白粉病、锈病。</w:t>
            </w:r>
          </w:p>
        </w:tc>
      </w:tr>
      <w:tr>
        <w:trPr>
          <w:trHeight w:val="19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42" w:line="219" w:lineRule="auto"/>
              <w:rPr>
                <w:sz w:val="12"/>
                <w:szCs w:val="12"/>
              </w:rPr>
            </w:pPr>
            <w:r>
              <w:rPr>
                <w:sz w:val="12"/>
                <w:szCs w:val="12"/>
                <w:spacing w:val="3"/>
              </w:rPr>
              <w:t>国光多菌灵(中)</w:t>
            </w:r>
          </w:p>
        </w:tc>
        <w:tc>
          <w:tcPr>
            <w:tcW w:w="1929" w:type="dxa"/>
            <w:vAlign w:val="top"/>
            <w:tcBorders>
              <w:bottom w:val="single" w:color="000000" w:sz="2" w:space="0"/>
              <w:top w:val="single" w:color="000000" w:sz="2" w:space="0"/>
            </w:tcBorders>
          </w:tcPr>
          <w:p>
            <w:pPr>
              <w:pStyle w:val="TableText"/>
              <w:ind w:left="684"/>
              <w:spacing w:before="42" w:line="219" w:lineRule="auto"/>
              <w:rPr>
                <w:sz w:val="12"/>
                <w:szCs w:val="12"/>
              </w:rPr>
            </w:pPr>
            <w:r>
              <w:rPr>
                <w:sz w:val="12"/>
                <w:szCs w:val="12"/>
                <w:spacing w:val="-1"/>
              </w:rPr>
              <w:t>50%多菌灵</w:t>
            </w:r>
          </w:p>
        </w:tc>
        <w:tc>
          <w:tcPr>
            <w:tcW w:w="1639" w:type="dxa"/>
            <w:vAlign w:val="top"/>
            <w:tcBorders>
              <w:bottom w:val="single" w:color="000000" w:sz="2" w:space="0"/>
              <w:top w:val="single" w:color="000000" w:sz="2" w:space="0"/>
            </w:tcBorders>
          </w:tcPr>
          <w:p>
            <w:pPr>
              <w:pStyle w:val="TableText"/>
              <w:ind w:left="335"/>
              <w:spacing w:before="42" w:line="219" w:lineRule="auto"/>
              <w:rPr>
                <w:sz w:val="12"/>
                <w:szCs w:val="12"/>
              </w:rPr>
            </w:pPr>
            <w:r>
              <w:rPr>
                <w:sz w:val="12"/>
                <w:szCs w:val="12"/>
                <w:spacing w:val="-1"/>
              </w:rPr>
              <w:t>稀释600-1000倍液</w:t>
            </w:r>
          </w:p>
        </w:tc>
        <w:tc>
          <w:tcPr>
            <w:tcW w:w="1069" w:type="dxa"/>
            <w:vAlign w:val="top"/>
            <w:vMerge w:val="restart"/>
            <w:tcBorders>
              <w:bottom w:val="nil"/>
              <w:top w:val="single" w:color="000000" w:sz="2" w:space="0"/>
            </w:tcBorders>
          </w:tcPr>
          <w:p>
            <w:pPr>
              <w:spacing w:line="300" w:lineRule="auto"/>
              <w:rPr>
                <w:rFonts w:ascii="Arial"/>
                <w:sz w:val="21"/>
              </w:rPr>
            </w:pPr>
            <w:r/>
          </w:p>
          <w:p>
            <w:pPr>
              <w:pStyle w:val="TableText"/>
              <w:spacing w:before="39" w:line="201" w:lineRule="auto"/>
              <w:jc w:val="right"/>
              <w:rPr>
                <w:sz w:val="12"/>
                <w:szCs w:val="12"/>
              </w:rPr>
            </w:pPr>
            <w:r>
              <w:rPr>
                <w:sz w:val="12"/>
                <w:szCs w:val="12"/>
                <w:spacing w:val="-11"/>
              </w:rPr>
              <w:t>一般用2</w:t>
            </w:r>
            <w:r>
              <w:rPr>
                <w:sz w:val="12"/>
                <w:szCs w:val="12"/>
                <w:spacing w:val="-10"/>
              </w:rPr>
              <w:t>次，时间间</w:t>
            </w:r>
            <w:r>
              <w:rPr>
                <w:sz w:val="12"/>
                <w:szCs w:val="12"/>
                <w:spacing w:val="-6"/>
              </w:rPr>
              <w:t>上</w:t>
            </w:r>
          </w:p>
          <w:p>
            <w:pPr>
              <w:pStyle w:val="TableText"/>
              <w:ind w:left="266"/>
              <w:spacing w:line="219" w:lineRule="auto"/>
              <w:rPr>
                <w:sz w:val="12"/>
                <w:szCs w:val="12"/>
              </w:rPr>
            </w:pPr>
            <w:r>
              <w:rPr>
                <w:sz w:val="12"/>
                <w:szCs w:val="12"/>
                <w:spacing w:val="-2"/>
              </w:rPr>
              <w:t>隔7到10天</w:t>
            </w:r>
          </w:p>
        </w:tc>
        <w:tc>
          <w:tcPr>
            <w:tcW w:w="819" w:type="dxa"/>
            <w:vAlign w:val="top"/>
            <w:tcBorders>
              <w:bottom w:val="single" w:color="000000" w:sz="2" w:space="0"/>
              <w:top w:val="single" w:color="000000" w:sz="2" w:space="0"/>
            </w:tcBorders>
          </w:tcPr>
          <w:p>
            <w:pPr>
              <w:pStyle w:val="TableText"/>
              <w:ind w:left="136"/>
              <w:spacing w:before="38" w:line="213" w:lineRule="auto"/>
              <w:rPr>
                <w:sz w:val="12"/>
                <w:szCs w:val="12"/>
              </w:rPr>
            </w:pPr>
            <w:r>
              <w:rPr>
                <w:sz w:val="12"/>
                <w:szCs w:val="12"/>
                <w:spacing w:val="3"/>
              </w:rPr>
              <w:t>(100g/袋)</w:t>
            </w:r>
          </w:p>
        </w:tc>
        <w:tc>
          <w:tcPr>
            <w:tcW w:w="2603" w:type="dxa"/>
            <w:vAlign w:val="top"/>
            <w:tcBorders>
              <w:bottom w:val="single" w:color="000000" w:sz="2" w:space="0"/>
              <w:top w:val="single" w:color="000000" w:sz="2" w:space="0"/>
            </w:tcBorders>
          </w:tcPr>
          <w:p>
            <w:pPr>
              <w:pStyle w:val="TableText"/>
              <w:ind w:left="17"/>
              <w:spacing w:before="41" w:line="218" w:lineRule="auto"/>
              <w:rPr>
                <w:sz w:val="12"/>
                <w:szCs w:val="12"/>
              </w:rPr>
            </w:pPr>
            <w:r>
              <w:rPr>
                <w:sz w:val="12"/>
                <w:szCs w:val="12"/>
                <w:spacing w:val="-1"/>
              </w:rPr>
              <w:t>广谱性杀菌剂</w:t>
            </w:r>
          </w:p>
        </w:tc>
      </w:tr>
      <w:tr>
        <w:trPr>
          <w:trHeight w:val="21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51" w:line="219" w:lineRule="auto"/>
              <w:rPr>
                <w:sz w:val="12"/>
                <w:szCs w:val="12"/>
              </w:rPr>
            </w:pPr>
            <w:r>
              <w:rPr>
                <w:sz w:val="12"/>
                <w:szCs w:val="12"/>
                <w:spacing w:val="1"/>
              </w:rPr>
              <w:t>国光甲基硫菌灵</w:t>
            </w:r>
          </w:p>
        </w:tc>
        <w:tc>
          <w:tcPr>
            <w:tcW w:w="1929" w:type="dxa"/>
            <w:vAlign w:val="top"/>
            <w:tcBorders>
              <w:bottom w:val="single" w:color="000000" w:sz="2" w:space="0"/>
              <w:top w:val="single" w:color="000000" w:sz="2" w:space="0"/>
            </w:tcBorders>
          </w:tcPr>
          <w:p>
            <w:pPr>
              <w:pStyle w:val="TableText"/>
              <w:ind w:left="564"/>
              <w:spacing w:before="51" w:line="219" w:lineRule="auto"/>
              <w:rPr>
                <w:sz w:val="12"/>
                <w:szCs w:val="12"/>
              </w:rPr>
            </w:pPr>
            <w:r>
              <w:rPr>
                <w:sz w:val="12"/>
                <w:szCs w:val="12"/>
                <w:spacing w:val="-1"/>
              </w:rPr>
              <w:t>70%甲基疏菌灵</w:t>
            </w:r>
          </w:p>
        </w:tc>
        <w:tc>
          <w:tcPr>
            <w:tcW w:w="1639" w:type="dxa"/>
            <w:vAlign w:val="top"/>
            <w:tcBorders>
              <w:bottom w:val="single" w:color="000000" w:sz="2" w:space="0"/>
              <w:top w:val="single" w:color="000000" w:sz="2" w:space="0"/>
            </w:tcBorders>
          </w:tcPr>
          <w:p>
            <w:pPr>
              <w:pStyle w:val="TableText"/>
              <w:ind w:left="335"/>
              <w:spacing w:before="51" w:line="219" w:lineRule="auto"/>
              <w:rPr>
                <w:sz w:val="12"/>
                <w:szCs w:val="12"/>
              </w:rPr>
            </w:pPr>
            <w:r>
              <w:rPr>
                <w:sz w:val="12"/>
                <w:szCs w:val="12"/>
                <w:spacing w:val="-1"/>
              </w:rPr>
              <w:t>稀释600-1000倍液</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227"/>
              <w:spacing w:before="48" w:line="213" w:lineRule="auto"/>
              <w:rPr>
                <w:sz w:val="12"/>
                <w:szCs w:val="12"/>
              </w:rPr>
            </w:pPr>
            <w:r>
              <w:rPr>
                <w:sz w:val="12"/>
                <w:szCs w:val="12"/>
                <w:spacing w:val="-3"/>
              </w:rPr>
              <w:t>Ikg/袋</w:t>
            </w:r>
          </w:p>
        </w:tc>
        <w:tc>
          <w:tcPr>
            <w:tcW w:w="2603" w:type="dxa"/>
            <w:vAlign w:val="top"/>
            <w:tcBorders>
              <w:bottom w:val="single" w:color="000000" w:sz="2" w:space="0"/>
              <w:top w:val="single" w:color="000000" w:sz="2" w:space="0"/>
            </w:tcBorders>
          </w:tcPr>
          <w:p>
            <w:pPr>
              <w:pStyle w:val="TableText"/>
              <w:ind w:left="17"/>
              <w:spacing w:before="51" w:line="218" w:lineRule="auto"/>
              <w:rPr>
                <w:sz w:val="12"/>
                <w:szCs w:val="12"/>
              </w:rPr>
            </w:pPr>
            <w:r>
              <w:rPr>
                <w:sz w:val="12"/>
                <w:szCs w:val="12"/>
              </w:rPr>
              <w:t>内吸、广谱高效杀菌剂</w:t>
            </w:r>
          </w:p>
        </w:tc>
      </w:tr>
      <w:tr>
        <w:trPr>
          <w:trHeight w:val="19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41" w:line="219" w:lineRule="auto"/>
              <w:rPr>
                <w:sz w:val="12"/>
                <w:szCs w:val="12"/>
              </w:rPr>
            </w:pPr>
            <w:r>
              <w:rPr>
                <w:sz w:val="12"/>
                <w:szCs w:val="12"/>
                <w:spacing w:val="1"/>
              </w:rPr>
              <w:t>国光绿杀</w:t>
            </w:r>
          </w:p>
        </w:tc>
        <w:tc>
          <w:tcPr>
            <w:tcW w:w="1929" w:type="dxa"/>
            <w:vAlign w:val="top"/>
            <w:tcBorders>
              <w:bottom w:val="single" w:color="000000" w:sz="2" w:space="0"/>
              <w:top w:val="single" w:color="000000" w:sz="2" w:space="0"/>
            </w:tcBorders>
          </w:tcPr>
          <w:p>
            <w:pPr>
              <w:pStyle w:val="TableText"/>
              <w:ind w:left="684"/>
              <w:spacing w:before="43" w:line="218" w:lineRule="auto"/>
              <w:rPr>
                <w:sz w:val="12"/>
                <w:szCs w:val="12"/>
              </w:rPr>
            </w:pPr>
            <w:r>
              <w:rPr>
                <w:sz w:val="12"/>
                <w:szCs w:val="12"/>
                <w:spacing w:val="-9"/>
              </w:rPr>
              <w:t>58%甲</w:t>
            </w:r>
            <w:r>
              <w:rPr>
                <w:sz w:val="12"/>
                <w:szCs w:val="12"/>
                <w:spacing w:val="-15"/>
              </w:rPr>
              <w:t xml:space="preserve"> </w:t>
            </w:r>
            <w:r>
              <w:rPr>
                <w:sz w:val="12"/>
                <w:szCs w:val="12"/>
                <w:spacing w:val="-9"/>
              </w:rPr>
              <w:t>·锰</w:t>
            </w:r>
          </w:p>
        </w:tc>
        <w:tc>
          <w:tcPr>
            <w:tcW w:w="1639" w:type="dxa"/>
            <w:vAlign w:val="top"/>
            <w:tcBorders>
              <w:bottom w:val="single" w:color="000000" w:sz="2" w:space="0"/>
              <w:top w:val="single" w:color="000000" w:sz="2" w:space="0"/>
            </w:tcBorders>
          </w:tcPr>
          <w:p>
            <w:pPr>
              <w:pStyle w:val="TableText"/>
              <w:ind w:left="425"/>
              <w:spacing w:before="41" w:line="219" w:lineRule="auto"/>
              <w:rPr>
                <w:sz w:val="12"/>
                <w:szCs w:val="12"/>
              </w:rPr>
            </w:pPr>
            <w:r>
              <w:rPr>
                <w:sz w:val="12"/>
                <w:szCs w:val="12"/>
                <w:spacing w:val="-1"/>
              </w:rPr>
              <w:t>稀释400-600倍</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96"/>
              <w:spacing w:before="37" w:line="213" w:lineRule="auto"/>
              <w:rPr>
                <w:sz w:val="12"/>
                <w:szCs w:val="12"/>
              </w:rPr>
            </w:pPr>
            <w:r>
              <w:rPr>
                <w:sz w:val="12"/>
                <w:szCs w:val="12"/>
                <w:spacing w:val="-1"/>
              </w:rPr>
              <w:t>500g/袋</w:t>
            </w:r>
          </w:p>
        </w:tc>
        <w:tc>
          <w:tcPr>
            <w:tcW w:w="2603" w:type="dxa"/>
            <w:vAlign w:val="top"/>
            <w:tcBorders>
              <w:bottom w:val="single" w:color="000000" w:sz="2" w:space="0"/>
              <w:top w:val="single" w:color="000000" w:sz="2" w:space="0"/>
            </w:tcBorders>
          </w:tcPr>
          <w:p>
            <w:pPr>
              <w:pStyle w:val="TableText"/>
              <w:ind w:left="17"/>
              <w:spacing w:before="41" w:line="219" w:lineRule="auto"/>
              <w:rPr>
                <w:sz w:val="12"/>
                <w:szCs w:val="12"/>
              </w:rPr>
            </w:pPr>
            <w:r>
              <w:rPr>
                <w:sz w:val="12"/>
                <w:szCs w:val="12"/>
                <w:spacing w:val="1"/>
              </w:rPr>
              <w:t>防治草坪病害</w:t>
            </w:r>
          </w:p>
        </w:tc>
      </w:tr>
      <w:tr>
        <w:trPr>
          <w:trHeight w:val="30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11" w:line="219" w:lineRule="auto"/>
              <w:rPr>
                <w:sz w:val="12"/>
                <w:szCs w:val="12"/>
              </w:rPr>
            </w:pPr>
            <w:r>
              <w:rPr>
                <w:sz w:val="12"/>
                <w:szCs w:val="12"/>
                <w:spacing w:val="1"/>
              </w:rPr>
              <w:t>国光必鲜</w:t>
            </w:r>
          </w:p>
        </w:tc>
        <w:tc>
          <w:tcPr>
            <w:tcW w:w="1929" w:type="dxa"/>
            <w:vAlign w:val="top"/>
            <w:tcBorders>
              <w:bottom w:val="single" w:color="000000" w:sz="2" w:space="0"/>
              <w:top w:val="single" w:color="000000" w:sz="2" w:space="0"/>
            </w:tcBorders>
          </w:tcPr>
          <w:p>
            <w:pPr>
              <w:pStyle w:val="TableText"/>
              <w:ind w:left="684"/>
              <w:spacing w:before="111" w:line="220" w:lineRule="auto"/>
              <w:rPr>
                <w:sz w:val="12"/>
                <w:szCs w:val="12"/>
              </w:rPr>
            </w:pPr>
            <w:r>
              <w:rPr>
                <w:sz w:val="12"/>
                <w:szCs w:val="12"/>
                <w:spacing w:val="-1"/>
              </w:rPr>
              <w:t>25%味鲜胺</w:t>
            </w:r>
          </w:p>
        </w:tc>
        <w:tc>
          <w:tcPr>
            <w:tcW w:w="1639" w:type="dxa"/>
            <w:vAlign w:val="top"/>
            <w:tcBorders>
              <w:bottom w:val="single" w:color="000000" w:sz="2" w:space="0"/>
              <w:top w:val="single" w:color="000000" w:sz="2" w:space="0"/>
            </w:tcBorders>
          </w:tcPr>
          <w:p>
            <w:pPr>
              <w:pStyle w:val="TableText"/>
              <w:ind w:left="544"/>
              <w:spacing w:before="111" w:line="220" w:lineRule="auto"/>
              <w:rPr>
                <w:sz w:val="12"/>
                <w:szCs w:val="12"/>
              </w:rPr>
            </w:pPr>
            <w:r>
              <w:rPr>
                <w:sz w:val="12"/>
                <w:szCs w:val="12"/>
                <w:spacing w:val="-6"/>
              </w:rPr>
              <w:t>400—600倍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111"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91" w:line="219" w:lineRule="auto"/>
              <w:rPr>
                <w:sz w:val="12"/>
                <w:szCs w:val="12"/>
              </w:rPr>
            </w:pPr>
            <w:r>
              <w:rPr>
                <w:sz w:val="12"/>
                <w:szCs w:val="12"/>
              </w:rPr>
              <w:t>防治花木叶斑、炭疸病等叶部病害及枯萎病</w:t>
            </w:r>
          </w:p>
        </w:tc>
      </w:tr>
      <w:tr>
        <w:trPr>
          <w:trHeight w:val="30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111" w:line="219" w:lineRule="auto"/>
              <w:rPr>
                <w:sz w:val="12"/>
                <w:szCs w:val="12"/>
              </w:rPr>
            </w:pPr>
            <w:r>
              <w:rPr>
                <w:sz w:val="12"/>
                <w:szCs w:val="12"/>
                <w:spacing w:val="-2"/>
              </w:rPr>
              <w:t>阿西米达悬浮液</w:t>
            </w:r>
          </w:p>
        </w:tc>
        <w:tc>
          <w:tcPr>
            <w:tcW w:w="1929" w:type="dxa"/>
            <w:vAlign w:val="top"/>
            <w:tcBorders>
              <w:bottom w:val="single" w:color="000000" w:sz="2" w:space="0"/>
              <w:top w:val="single" w:color="000000" w:sz="2" w:space="0"/>
            </w:tcBorders>
          </w:tcPr>
          <w:p>
            <w:pPr>
              <w:pStyle w:val="TableText"/>
              <w:ind w:left="774"/>
              <w:spacing w:before="111" w:line="219" w:lineRule="auto"/>
              <w:rPr>
                <w:sz w:val="12"/>
                <w:szCs w:val="12"/>
              </w:rPr>
            </w:pPr>
            <w:r>
              <w:rPr>
                <w:sz w:val="12"/>
                <w:szCs w:val="12"/>
                <w:spacing w:val="-3"/>
              </w:rPr>
              <w:t>嗜菌酯</w:t>
            </w:r>
          </w:p>
        </w:tc>
        <w:tc>
          <w:tcPr>
            <w:tcW w:w="1639" w:type="dxa"/>
            <w:vAlign w:val="top"/>
            <w:tcBorders>
              <w:bottom w:val="single" w:color="000000" w:sz="2" w:space="0"/>
              <w:top w:val="single" w:color="000000" w:sz="2" w:space="0"/>
            </w:tcBorders>
          </w:tcPr>
          <w:p>
            <w:pPr>
              <w:pStyle w:val="TableText"/>
              <w:ind w:left="695" w:right="40" w:hanging="660"/>
              <w:spacing w:before="12" w:line="210" w:lineRule="auto"/>
              <w:rPr>
                <w:sz w:val="12"/>
                <w:szCs w:val="12"/>
              </w:rPr>
            </w:pPr>
            <w:r>
              <w:rPr>
                <w:sz w:val="12"/>
                <w:szCs w:val="12"/>
                <w:spacing w:val="-1"/>
              </w:rPr>
              <w:t>25%阿西米达悬浮液1200-1500</w:t>
            </w:r>
            <w:r>
              <w:rPr>
                <w:sz w:val="12"/>
                <w:szCs w:val="12"/>
                <w:spacing w:val="11"/>
              </w:rPr>
              <w:t xml:space="preserve"> </w:t>
            </w:r>
            <w:r>
              <w:rPr>
                <w:sz w:val="12"/>
                <w:szCs w:val="12"/>
                <w:spacing w:val="-2"/>
              </w:rPr>
              <w:t>倍液</w:t>
            </w:r>
          </w:p>
        </w:tc>
        <w:tc>
          <w:tcPr>
            <w:tcW w:w="1069" w:type="dxa"/>
            <w:vAlign w:val="top"/>
            <w:tcBorders>
              <w:bottom w:val="single" w:color="000000" w:sz="2" w:space="0"/>
              <w:top w:val="single" w:color="000000" w:sz="2" w:space="0"/>
            </w:tcBorders>
          </w:tcPr>
          <w:p>
            <w:pPr>
              <w:pStyle w:val="TableText"/>
              <w:ind w:left="16"/>
              <w:spacing w:before="12" w:line="200" w:lineRule="auto"/>
              <w:rPr>
                <w:sz w:val="12"/>
                <w:szCs w:val="12"/>
              </w:rPr>
            </w:pPr>
            <w:r>
              <w:rPr>
                <w:sz w:val="12"/>
                <w:szCs w:val="12"/>
                <w:spacing w:val="-1"/>
              </w:rPr>
              <w:t>一般用3次，时间间</w:t>
            </w:r>
          </w:p>
          <w:p>
            <w:pPr>
              <w:pStyle w:val="TableText"/>
              <w:ind w:left="266"/>
              <w:spacing w:line="219" w:lineRule="auto"/>
              <w:rPr>
                <w:sz w:val="12"/>
                <w:szCs w:val="12"/>
              </w:rPr>
            </w:pPr>
            <w:r>
              <w:rPr>
                <w:sz w:val="12"/>
                <w:szCs w:val="12"/>
                <w:spacing w:val="-2"/>
              </w:rPr>
              <w:t>隔7到10天</w:t>
            </w:r>
          </w:p>
        </w:tc>
        <w:tc>
          <w:tcPr>
            <w:tcW w:w="819" w:type="dxa"/>
            <w:vAlign w:val="top"/>
            <w:tcBorders>
              <w:bottom w:val="single" w:color="000000" w:sz="2" w:space="0"/>
              <w:top w:val="single" w:color="000000" w:sz="2" w:space="0"/>
            </w:tcBorders>
          </w:tcPr>
          <w:p>
            <w:pPr>
              <w:pStyle w:val="TableText"/>
              <w:ind w:left="257"/>
              <w:spacing w:before="112" w:line="221" w:lineRule="auto"/>
              <w:rPr>
                <w:sz w:val="12"/>
                <w:szCs w:val="12"/>
              </w:rPr>
            </w:pPr>
            <w:r>
              <w:rPr>
                <w:sz w:val="12"/>
                <w:szCs w:val="12"/>
                <w:spacing w:val="-3"/>
              </w:rPr>
              <w:t>11/瓶</w:t>
            </w:r>
          </w:p>
        </w:tc>
        <w:tc>
          <w:tcPr>
            <w:tcW w:w="2603" w:type="dxa"/>
            <w:vAlign w:val="top"/>
            <w:tcBorders>
              <w:bottom w:val="single" w:color="000000" w:sz="2" w:space="0"/>
              <w:top w:val="single" w:color="000000" w:sz="2" w:space="0"/>
            </w:tcBorders>
          </w:tcPr>
          <w:p>
            <w:pPr>
              <w:pStyle w:val="TableText"/>
              <w:ind w:left="17" w:right="59"/>
              <w:spacing w:before="12" w:line="210" w:lineRule="auto"/>
              <w:rPr>
                <w:sz w:val="12"/>
                <w:szCs w:val="12"/>
              </w:rPr>
            </w:pPr>
            <w:r>
              <w:rPr>
                <w:sz w:val="12"/>
                <w:szCs w:val="12"/>
                <w:spacing w:val="-1"/>
              </w:rPr>
              <w:t>广谱杀菌，对四大类玫病真菌，天然低毒安全无</w:t>
            </w:r>
            <w:r>
              <w:rPr>
                <w:sz w:val="12"/>
                <w:szCs w:val="12"/>
                <w:spacing w:val="15"/>
              </w:rPr>
              <w:t xml:space="preserve"> </w:t>
            </w:r>
            <w:r>
              <w:rPr>
                <w:sz w:val="12"/>
                <w:szCs w:val="12"/>
                <w:spacing w:val="-3"/>
              </w:rPr>
              <w:t>公害</w:t>
            </w:r>
          </w:p>
        </w:tc>
      </w:tr>
      <w:tr>
        <w:trPr>
          <w:trHeight w:val="31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122" w:line="219" w:lineRule="auto"/>
              <w:rPr>
                <w:sz w:val="12"/>
                <w:szCs w:val="12"/>
              </w:rPr>
            </w:pPr>
            <w:r>
              <w:rPr>
                <w:sz w:val="12"/>
                <w:szCs w:val="12"/>
                <w:spacing w:val="3"/>
              </w:rPr>
              <w:t>特克多(噻菌灵)</w:t>
            </w:r>
          </w:p>
        </w:tc>
        <w:tc>
          <w:tcPr>
            <w:tcW w:w="1929" w:type="dxa"/>
            <w:vAlign w:val="top"/>
            <w:tcBorders>
              <w:bottom w:val="single" w:color="000000" w:sz="2" w:space="0"/>
              <w:top w:val="single" w:color="000000" w:sz="2" w:space="0"/>
            </w:tcBorders>
          </w:tcPr>
          <w:p>
            <w:pPr>
              <w:pStyle w:val="TableText"/>
              <w:ind w:left="714"/>
              <w:spacing w:before="122" w:line="218" w:lineRule="auto"/>
              <w:rPr>
                <w:sz w:val="12"/>
                <w:szCs w:val="12"/>
              </w:rPr>
            </w:pPr>
            <w:r>
              <w:rPr>
                <w:sz w:val="12"/>
                <w:szCs w:val="12"/>
                <w:spacing w:val="-2"/>
              </w:rPr>
              <w:t>苯味唑类</w:t>
            </w:r>
          </w:p>
        </w:tc>
        <w:tc>
          <w:tcPr>
            <w:tcW w:w="1639" w:type="dxa"/>
            <w:vAlign w:val="top"/>
            <w:tcBorders>
              <w:bottom w:val="single" w:color="000000" w:sz="2" w:space="0"/>
              <w:top w:val="single" w:color="000000" w:sz="2" w:space="0"/>
            </w:tcBorders>
          </w:tcPr>
          <w:p>
            <w:pPr>
              <w:pStyle w:val="TableText"/>
              <w:ind w:left="275"/>
              <w:spacing w:before="132" w:line="218" w:lineRule="auto"/>
              <w:rPr>
                <w:sz w:val="12"/>
                <w:szCs w:val="12"/>
              </w:rPr>
            </w:pPr>
            <w:r>
              <w:rPr>
                <w:sz w:val="12"/>
                <w:szCs w:val="12"/>
                <w:spacing w:val="-1"/>
              </w:rPr>
              <w:t>45%悬浮剂600-800倍</w:t>
            </w:r>
          </w:p>
        </w:tc>
        <w:tc>
          <w:tcPr>
            <w:tcW w:w="1069" w:type="dxa"/>
            <w:vAlign w:val="top"/>
            <w:vMerge w:val="restart"/>
            <w:tcBorders>
              <w:bottom w:val="nil"/>
              <w:top w:val="single" w:color="000000" w:sz="2" w:space="0"/>
            </w:tcBorders>
          </w:tcPr>
          <w:p>
            <w:pPr>
              <w:spacing w:line="271" w:lineRule="auto"/>
              <w:rPr>
                <w:rFonts w:ascii="Arial"/>
                <w:sz w:val="21"/>
              </w:rPr>
            </w:pPr>
            <w:r/>
          </w:p>
          <w:p>
            <w:pPr>
              <w:pStyle w:val="TableText"/>
              <w:ind w:left="76"/>
              <w:spacing w:before="39" w:line="215" w:lineRule="auto"/>
              <w:rPr>
                <w:sz w:val="12"/>
                <w:szCs w:val="12"/>
              </w:rPr>
            </w:pPr>
            <w:r>
              <w:rPr>
                <w:sz w:val="12"/>
                <w:szCs w:val="12"/>
              </w:rPr>
              <w:t>问隔10-15天1次，</w:t>
            </w:r>
          </w:p>
          <w:p>
            <w:pPr>
              <w:pStyle w:val="TableText"/>
              <w:ind w:left="256"/>
              <w:spacing w:line="219" w:lineRule="auto"/>
              <w:rPr>
                <w:sz w:val="12"/>
                <w:szCs w:val="12"/>
              </w:rPr>
            </w:pPr>
            <w:r>
              <w:rPr>
                <w:sz w:val="12"/>
                <w:szCs w:val="12"/>
                <w:spacing w:val="-1"/>
              </w:rPr>
              <w:t>连喷2-3次</w:t>
            </w:r>
          </w:p>
        </w:tc>
        <w:tc>
          <w:tcPr>
            <w:tcW w:w="819" w:type="dxa"/>
            <w:vAlign w:val="top"/>
            <w:tcBorders>
              <w:bottom w:val="single" w:color="000000" w:sz="2" w:space="0"/>
              <w:top w:val="single" w:color="000000" w:sz="2" w:space="0"/>
            </w:tcBorders>
          </w:tcPr>
          <w:p>
            <w:pPr>
              <w:pStyle w:val="TableText"/>
              <w:ind w:left="166"/>
              <w:spacing w:before="113"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right="46"/>
              <w:spacing w:before="21" w:line="210" w:lineRule="auto"/>
              <w:rPr>
                <w:sz w:val="12"/>
                <w:szCs w:val="12"/>
              </w:rPr>
            </w:pPr>
            <w:r>
              <w:rPr>
                <w:sz w:val="12"/>
                <w:szCs w:val="12"/>
              </w:rPr>
              <w:t>防治叶斑病、青毒病、炭疽病、灰霉病、黑星病</w:t>
            </w:r>
            <w:r>
              <w:rPr>
                <w:sz w:val="12"/>
                <w:szCs w:val="12"/>
                <w:spacing w:val="7"/>
              </w:rPr>
              <w:t xml:space="preserve"> </w:t>
            </w:r>
            <w:r>
              <w:rPr>
                <w:sz w:val="12"/>
                <w:szCs w:val="12"/>
                <w:color w:val="405050"/>
                <w:spacing w:val="1"/>
              </w:rPr>
              <w:t>、</w:t>
            </w:r>
            <w:r>
              <w:rPr>
                <w:sz w:val="12"/>
                <w:szCs w:val="12"/>
                <w:spacing w:val="1"/>
              </w:rPr>
              <w:t>白粉病等防治</w:t>
            </w:r>
          </w:p>
        </w:tc>
      </w:tr>
      <w:tr>
        <w:trPr>
          <w:trHeight w:val="52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3"/>
              <w:spacing w:before="202" w:line="219" w:lineRule="auto"/>
              <w:rPr>
                <w:sz w:val="12"/>
                <w:szCs w:val="12"/>
              </w:rPr>
            </w:pPr>
            <w:r>
              <w:rPr>
                <w:sz w:val="12"/>
                <w:szCs w:val="12"/>
                <w:spacing w:val="2"/>
              </w:rPr>
              <w:t>好酸(丙硫多菌灵)</w:t>
            </w:r>
          </w:p>
        </w:tc>
        <w:tc>
          <w:tcPr>
            <w:tcW w:w="1929" w:type="dxa"/>
            <w:vAlign w:val="top"/>
            <w:tcBorders>
              <w:bottom w:val="single" w:color="000000" w:sz="2" w:space="0"/>
              <w:top w:val="single" w:color="000000" w:sz="2" w:space="0"/>
            </w:tcBorders>
          </w:tcPr>
          <w:p>
            <w:pPr>
              <w:pStyle w:val="TableText"/>
              <w:ind w:left="714"/>
              <w:spacing w:before="203" w:line="220" w:lineRule="auto"/>
              <w:rPr>
                <w:sz w:val="12"/>
                <w:szCs w:val="12"/>
              </w:rPr>
            </w:pPr>
            <w:r>
              <w:rPr>
                <w:sz w:val="12"/>
                <w:szCs w:val="12"/>
                <w:spacing w:val="-2"/>
              </w:rPr>
              <w:t>丙磁嘛唑</w:t>
            </w:r>
          </w:p>
        </w:tc>
        <w:tc>
          <w:tcPr>
            <w:tcW w:w="1639" w:type="dxa"/>
            <w:vAlign w:val="top"/>
            <w:tcBorders>
              <w:bottom w:val="single" w:color="000000" w:sz="2" w:space="0"/>
              <w:top w:val="single" w:color="000000" w:sz="2" w:space="0"/>
            </w:tcBorders>
          </w:tcPr>
          <w:p>
            <w:pPr>
              <w:pStyle w:val="TableText"/>
              <w:ind w:left="275"/>
              <w:spacing w:before="202" w:line="219" w:lineRule="auto"/>
              <w:rPr>
                <w:sz w:val="12"/>
                <w:szCs w:val="12"/>
              </w:rPr>
            </w:pPr>
            <w:r>
              <w:rPr>
                <w:sz w:val="12"/>
                <w:szCs w:val="12"/>
                <w:spacing w:val="-1"/>
              </w:rPr>
              <w:t>20%好靓2000-3000倍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227"/>
              <w:spacing w:before="199" w:line="213" w:lineRule="auto"/>
              <w:rPr>
                <w:sz w:val="12"/>
                <w:szCs w:val="12"/>
              </w:rPr>
            </w:pPr>
            <w:r>
              <w:rPr>
                <w:sz w:val="12"/>
                <w:szCs w:val="12"/>
                <w:spacing w:val="-1"/>
              </w:rPr>
              <w:t>50g/袋</w:t>
            </w:r>
          </w:p>
        </w:tc>
        <w:tc>
          <w:tcPr>
            <w:tcW w:w="2603" w:type="dxa"/>
            <w:vAlign w:val="top"/>
            <w:tcBorders>
              <w:bottom w:val="single" w:color="000000" w:sz="2" w:space="0"/>
              <w:top w:val="single" w:color="000000" w:sz="2" w:space="0"/>
            </w:tcBorders>
          </w:tcPr>
          <w:p>
            <w:pPr>
              <w:pStyle w:val="TableText"/>
              <w:ind w:left="17"/>
              <w:spacing w:before="82" w:line="200" w:lineRule="auto"/>
              <w:rPr>
                <w:sz w:val="12"/>
                <w:szCs w:val="12"/>
              </w:rPr>
            </w:pPr>
            <w:r>
              <w:rPr>
                <w:sz w:val="12"/>
                <w:szCs w:val="12"/>
              </w:rPr>
              <w:t>广内吸性杀菌剂。可用于防治枯萎惰，疫病，</w:t>
            </w:r>
          </w:p>
          <w:p>
            <w:pPr>
              <w:pStyle w:val="TableText"/>
              <w:ind w:left="17" w:right="59"/>
              <w:spacing w:before="1" w:line="231" w:lineRule="auto"/>
              <w:rPr>
                <w:sz w:val="12"/>
                <w:szCs w:val="12"/>
              </w:rPr>
            </w:pPr>
            <w:r>
              <w:rPr>
                <w:sz w:val="12"/>
                <w:szCs w:val="12"/>
                <w:spacing w:val="-1"/>
              </w:rPr>
              <w:t>腐霉病、立桔宿、根腐病、茎腐病、猝倒隋等多</w:t>
            </w:r>
            <w:r>
              <w:rPr>
                <w:sz w:val="12"/>
                <w:szCs w:val="12"/>
                <w:spacing w:val="15"/>
              </w:rPr>
              <w:t xml:space="preserve"> </w:t>
            </w:r>
            <w:r>
              <w:rPr>
                <w:sz w:val="12"/>
                <w:szCs w:val="12"/>
                <w:spacing w:val="-1"/>
              </w:rPr>
              <w:t>种病害。使用方法：濯根，喷雾</w:t>
            </w:r>
          </w:p>
        </w:tc>
      </w:tr>
      <w:tr>
        <w:trPr>
          <w:trHeight w:val="65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273" w:line="219" w:lineRule="auto"/>
              <w:rPr>
                <w:sz w:val="12"/>
                <w:szCs w:val="12"/>
              </w:rPr>
            </w:pPr>
            <w:r>
              <w:rPr>
                <w:sz w:val="12"/>
                <w:szCs w:val="12"/>
                <w:spacing w:val="-1"/>
              </w:rPr>
              <w:t>普力克</w:t>
            </w:r>
          </w:p>
        </w:tc>
        <w:tc>
          <w:tcPr>
            <w:tcW w:w="1929" w:type="dxa"/>
            <w:vAlign w:val="top"/>
            <w:tcBorders>
              <w:bottom w:val="single" w:color="000000" w:sz="2" w:space="0"/>
              <w:top w:val="single" w:color="000000" w:sz="2" w:space="0"/>
            </w:tcBorders>
          </w:tcPr>
          <w:p>
            <w:pPr>
              <w:pStyle w:val="TableText"/>
              <w:ind w:left="654"/>
              <w:spacing w:before="273" w:line="220" w:lineRule="auto"/>
              <w:rPr>
                <w:sz w:val="12"/>
                <w:szCs w:val="12"/>
              </w:rPr>
            </w:pPr>
            <w:r>
              <w:rPr>
                <w:sz w:val="12"/>
                <w:szCs w:val="12"/>
                <w:spacing w:val="-1"/>
              </w:rPr>
              <w:t>72.2丙酰胺</w:t>
            </w:r>
          </w:p>
        </w:tc>
        <w:tc>
          <w:tcPr>
            <w:tcW w:w="1639" w:type="dxa"/>
            <w:vAlign w:val="top"/>
            <w:tcBorders>
              <w:bottom w:val="single" w:color="000000" w:sz="2" w:space="0"/>
              <w:top w:val="single" w:color="000000" w:sz="2" w:space="0"/>
            </w:tcBorders>
          </w:tcPr>
          <w:p>
            <w:pPr>
              <w:pStyle w:val="TableText"/>
              <w:ind w:left="454"/>
              <w:spacing w:before="273" w:line="220" w:lineRule="auto"/>
              <w:rPr>
                <w:sz w:val="12"/>
                <w:szCs w:val="12"/>
              </w:rPr>
            </w:pPr>
            <w:r>
              <w:rPr>
                <w:sz w:val="12"/>
                <w:szCs w:val="12"/>
                <w:spacing w:val="-1"/>
              </w:rPr>
              <w:t>800-1000倍液</w:t>
            </w:r>
          </w:p>
        </w:tc>
        <w:tc>
          <w:tcPr>
            <w:tcW w:w="1069" w:type="dxa"/>
            <w:vAlign w:val="top"/>
            <w:tcBorders>
              <w:bottom w:val="single" w:color="000000" w:sz="2" w:space="0"/>
              <w:top w:val="single" w:color="000000" w:sz="2" w:space="0"/>
            </w:tcBorders>
          </w:tcPr>
          <w:p>
            <w:pPr>
              <w:pStyle w:val="TableText"/>
              <w:ind w:left="46"/>
              <w:spacing w:before="53" w:line="219" w:lineRule="auto"/>
              <w:rPr>
                <w:sz w:val="12"/>
                <w:szCs w:val="12"/>
              </w:rPr>
            </w:pPr>
            <w:r>
              <w:rPr>
                <w:sz w:val="12"/>
                <w:szCs w:val="12"/>
                <w:spacing w:val="-2"/>
              </w:rPr>
              <w:t>10天一次，连续喷</w:t>
            </w:r>
          </w:p>
          <w:p>
            <w:pPr>
              <w:pStyle w:val="TableText"/>
              <w:ind w:left="16"/>
              <w:spacing w:before="7" w:line="219" w:lineRule="auto"/>
              <w:rPr>
                <w:sz w:val="12"/>
                <w:szCs w:val="12"/>
              </w:rPr>
            </w:pPr>
            <w:r>
              <w:rPr>
                <w:sz w:val="12"/>
                <w:szCs w:val="12"/>
              </w:rPr>
              <w:t>洒病部地面2-3次。</w:t>
            </w:r>
          </w:p>
          <w:p>
            <w:pPr>
              <w:pStyle w:val="TableText"/>
              <w:spacing w:before="17" w:line="200" w:lineRule="auto"/>
              <w:jc w:val="right"/>
              <w:rPr>
                <w:sz w:val="12"/>
                <w:szCs w:val="12"/>
              </w:rPr>
            </w:pPr>
            <w:r>
              <w:rPr>
                <w:sz w:val="12"/>
                <w:szCs w:val="12"/>
                <w:spacing w:val="-1"/>
              </w:rPr>
              <w:t>喷药1小时内遇雨，</w:t>
            </w:r>
          </w:p>
          <w:p>
            <w:pPr>
              <w:pStyle w:val="TableText"/>
              <w:ind w:left="365"/>
              <w:spacing w:line="219" w:lineRule="auto"/>
              <w:rPr>
                <w:sz w:val="12"/>
                <w:szCs w:val="12"/>
              </w:rPr>
            </w:pPr>
            <w:r>
              <w:rPr>
                <w:sz w:val="12"/>
                <w:szCs w:val="12"/>
                <w:spacing w:val="-3"/>
              </w:rPr>
              <w:t>需重喷</w:t>
            </w:r>
          </w:p>
        </w:tc>
        <w:tc>
          <w:tcPr>
            <w:tcW w:w="819" w:type="dxa"/>
            <w:vAlign w:val="top"/>
            <w:tcBorders>
              <w:bottom w:val="single" w:color="000000" w:sz="2" w:space="0"/>
              <w:top w:val="single" w:color="000000" w:sz="2" w:space="0"/>
            </w:tcBorders>
          </w:tcPr>
          <w:p>
            <w:pPr>
              <w:pStyle w:val="TableText"/>
              <w:ind w:left="166"/>
              <w:spacing w:before="273"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spacing w:before="273" w:line="219" w:lineRule="auto"/>
              <w:rPr>
                <w:sz w:val="12"/>
                <w:szCs w:val="12"/>
              </w:rPr>
            </w:pPr>
            <w:r>
              <w:rPr>
                <w:sz w:val="12"/>
                <w:szCs w:val="12"/>
                <w:spacing w:val="-1"/>
              </w:rPr>
              <w:t>对根腐病、霜海病、立枯病、猝倒病有特效</w:t>
            </w:r>
          </w:p>
        </w:tc>
      </w:tr>
      <w:tr>
        <w:trPr>
          <w:trHeight w:val="27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93" w:line="219" w:lineRule="auto"/>
              <w:rPr>
                <w:sz w:val="12"/>
                <w:szCs w:val="12"/>
              </w:rPr>
            </w:pPr>
            <w:r>
              <w:rPr>
                <w:sz w:val="12"/>
                <w:szCs w:val="12"/>
                <w:spacing w:val="-1"/>
              </w:rPr>
              <w:t>链霉素</w:t>
            </w:r>
          </w:p>
        </w:tc>
        <w:tc>
          <w:tcPr>
            <w:tcW w:w="1929" w:type="dxa"/>
            <w:vAlign w:val="top"/>
            <w:tcBorders>
              <w:bottom w:val="single" w:color="000000" w:sz="2" w:space="0"/>
              <w:top w:val="single" w:color="000000" w:sz="2" w:space="0"/>
            </w:tcBorders>
          </w:tcPr>
          <w:p>
            <w:pPr>
              <w:pStyle w:val="TableText"/>
              <w:ind w:left="684"/>
              <w:spacing w:before="93" w:line="219" w:lineRule="auto"/>
              <w:rPr>
                <w:sz w:val="12"/>
                <w:szCs w:val="12"/>
              </w:rPr>
            </w:pPr>
            <w:r>
              <w:rPr>
                <w:sz w:val="12"/>
                <w:szCs w:val="12"/>
                <w:spacing w:val="-1"/>
              </w:rPr>
              <w:t>72M链霉素</w:t>
            </w:r>
          </w:p>
        </w:tc>
        <w:tc>
          <w:tcPr>
            <w:tcW w:w="1639" w:type="dxa"/>
            <w:vAlign w:val="top"/>
            <w:tcBorders>
              <w:bottom w:val="single" w:color="000000" w:sz="2" w:space="0"/>
              <w:top w:val="single" w:color="000000" w:sz="2" w:space="0"/>
            </w:tcBorders>
          </w:tcPr>
          <w:p>
            <w:pPr>
              <w:pStyle w:val="TableText"/>
              <w:ind w:left="574"/>
              <w:spacing w:before="94" w:line="220" w:lineRule="auto"/>
              <w:rPr>
                <w:sz w:val="12"/>
                <w:szCs w:val="12"/>
              </w:rPr>
            </w:pPr>
            <w:r>
              <w:rPr>
                <w:sz w:val="12"/>
                <w:szCs w:val="12"/>
                <w:spacing w:val="-1"/>
              </w:rPr>
              <w:t>3000倍液</w:t>
            </w:r>
          </w:p>
        </w:tc>
        <w:tc>
          <w:tcPr>
            <w:tcW w:w="1069" w:type="dxa"/>
            <w:vAlign w:val="top"/>
            <w:vMerge w:val="restart"/>
            <w:tcBorders>
              <w:bottom w:val="nil"/>
              <w:top w:val="single" w:color="000000" w:sz="2" w:space="0"/>
            </w:tcBorders>
          </w:tcPr>
          <w:p>
            <w:pPr>
              <w:pStyle w:val="TableText"/>
              <w:ind w:left="155" w:right="22" w:hanging="79"/>
              <w:spacing w:before="163" w:line="233" w:lineRule="auto"/>
              <w:rPr>
                <w:sz w:val="12"/>
                <w:szCs w:val="12"/>
              </w:rPr>
            </w:pPr>
            <w:r>
              <w:rPr>
                <w:sz w:val="12"/>
                <w:szCs w:val="12"/>
              </w:rPr>
              <w:t>每10天唤施一次。 </w:t>
            </w:r>
            <w:r>
              <w:rPr>
                <w:sz w:val="12"/>
                <w:szCs w:val="12"/>
              </w:rPr>
              <w:t>连唤3至4次。</w:t>
            </w:r>
          </w:p>
        </w:tc>
        <w:tc>
          <w:tcPr>
            <w:tcW w:w="819" w:type="dxa"/>
            <w:vAlign w:val="top"/>
            <w:tcBorders>
              <w:bottom w:val="single" w:color="000000" w:sz="2" w:space="0"/>
              <w:top w:val="single" w:color="000000" w:sz="2" w:space="0"/>
            </w:tcBorders>
          </w:tcPr>
          <w:p>
            <w:pPr>
              <w:pStyle w:val="TableText"/>
              <w:ind w:left="227"/>
              <w:spacing w:before="80" w:line="213" w:lineRule="auto"/>
              <w:rPr>
                <w:sz w:val="12"/>
                <w:szCs w:val="12"/>
              </w:rPr>
            </w:pPr>
            <w:r>
              <w:rPr>
                <w:sz w:val="12"/>
                <w:szCs w:val="12"/>
                <w:spacing w:val="-2"/>
              </w:rPr>
              <w:t>15g/袋</w:t>
            </w:r>
          </w:p>
        </w:tc>
        <w:tc>
          <w:tcPr>
            <w:tcW w:w="2603" w:type="dxa"/>
            <w:vAlign w:val="top"/>
            <w:vMerge w:val="restart"/>
            <w:tcBorders>
              <w:bottom w:val="nil"/>
              <w:top w:val="single" w:color="000000" w:sz="2" w:space="0"/>
            </w:tcBorders>
          </w:tcPr>
          <w:p>
            <w:pPr>
              <w:pStyle w:val="TableText"/>
              <w:ind w:left="17"/>
              <w:spacing w:before="233" w:line="219" w:lineRule="auto"/>
              <w:rPr>
                <w:sz w:val="12"/>
                <w:szCs w:val="12"/>
              </w:rPr>
            </w:pPr>
            <w:r>
              <w:rPr>
                <w:sz w:val="12"/>
                <w:szCs w:val="12"/>
                <w:spacing w:val="-1"/>
              </w:rPr>
              <w:t>防治细菌性穿孔病，对细菌性病害有特效</w:t>
            </w:r>
          </w:p>
        </w:tc>
      </w:tr>
      <w:tr>
        <w:trPr>
          <w:trHeight w:val="30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94" w:line="219" w:lineRule="auto"/>
              <w:rPr>
                <w:sz w:val="12"/>
                <w:szCs w:val="12"/>
              </w:rPr>
            </w:pPr>
            <w:r>
              <w:rPr>
                <w:sz w:val="12"/>
                <w:szCs w:val="12"/>
                <w:spacing w:val="-2"/>
              </w:rPr>
              <w:t>细菌灵</w:t>
            </w:r>
          </w:p>
        </w:tc>
        <w:tc>
          <w:tcPr>
            <w:tcW w:w="1929" w:type="dxa"/>
            <w:vAlign w:val="top"/>
            <w:tcBorders>
              <w:bottom w:val="single" w:color="000000" w:sz="2" w:space="0"/>
              <w:top w:val="single" w:color="000000" w:sz="2" w:space="0"/>
            </w:tcBorders>
          </w:tcPr>
          <w:p>
            <w:pPr>
              <w:pStyle w:val="TableText"/>
              <w:ind w:left="294"/>
              <w:spacing w:before="94" w:line="219" w:lineRule="auto"/>
              <w:rPr>
                <w:sz w:val="12"/>
                <w:szCs w:val="12"/>
              </w:rPr>
            </w:pPr>
            <w:r>
              <w:rPr>
                <w:sz w:val="12"/>
                <w:szCs w:val="12"/>
                <w:spacing w:val="-1"/>
              </w:rPr>
              <w:t>40%多菌灵、30%中生霉素</w:t>
            </w:r>
          </w:p>
        </w:tc>
        <w:tc>
          <w:tcPr>
            <w:tcW w:w="1639" w:type="dxa"/>
            <w:vAlign w:val="top"/>
            <w:tcBorders>
              <w:bottom w:val="single" w:color="000000" w:sz="2" w:space="0"/>
              <w:top w:val="single" w:color="000000" w:sz="2" w:space="0"/>
            </w:tcBorders>
          </w:tcPr>
          <w:p>
            <w:pPr>
              <w:pStyle w:val="TableText"/>
              <w:ind w:left="544"/>
              <w:spacing w:before="94" w:line="220" w:lineRule="auto"/>
              <w:rPr>
                <w:sz w:val="12"/>
                <w:szCs w:val="12"/>
              </w:rPr>
            </w:pPr>
            <w:r>
              <w:rPr>
                <w:sz w:val="12"/>
                <w:szCs w:val="12"/>
                <w:spacing w:val="-1"/>
              </w:rPr>
              <w:t>500-600倍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227"/>
              <w:spacing w:before="90" w:line="213" w:lineRule="auto"/>
              <w:rPr>
                <w:sz w:val="12"/>
                <w:szCs w:val="12"/>
              </w:rPr>
            </w:pPr>
            <w:r>
              <w:rPr>
                <w:sz w:val="12"/>
                <w:szCs w:val="12"/>
                <w:spacing w:val="-1"/>
              </w:rPr>
              <w:t>25g/袋</w:t>
            </w:r>
          </w:p>
        </w:tc>
        <w:tc>
          <w:tcPr>
            <w:tcW w:w="2603" w:type="dxa"/>
            <w:vAlign w:val="top"/>
            <w:vMerge w:val="continue"/>
            <w:tcBorders>
              <w:bottom w:val="single" w:color="000000" w:sz="2" w:space="0"/>
              <w:top w:val="nil"/>
            </w:tcBorders>
          </w:tcPr>
          <w:p>
            <w:pPr>
              <w:rPr>
                <w:rFonts w:ascii="Arial"/>
                <w:sz w:val="21"/>
              </w:rPr>
            </w:pPr>
            <w:r/>
          </w:p>
        </w:tc>
      </w:tr>
      <w:tr>
        <w:trPr>
          <w:trHeight w:val="544" w:hRule="atLeast"/>
        </w:trPr>
        <w:tc>
          <w:tcPr>
            <w:tcW w:w="425" w:type="dxa"/>
            <w:vAlign w:val="top"/>
            <w:vMerge w:val="continue"/>
            <w:tcBorders>
              <w:bottom w:val="single" w:color="000000" w:sz="2" w:space="0"/>
              <w:top w:val="nil"/>
            </w:tcBorders>
          </w:tcPr>
          <w:p>
            <w:pPr>
              <w:rPr>
                <w:rFonts w:ascii="Arial"/>
                <w:sz w:val="21"/>
              </w:rPr>
            </w:pPr>
            <w:r/>
          </w:p>
        </w:tc>
        <w:tc>
          <w:tcPr>
            <w:tcW w:w="59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214" w:line="219" w:lineRule="auto"/>
              <w:rPr>
                <w:sz w:val="12"/>
                <w:szCs w:val="12"/>
              </w:rPr>
            </w:pPr>
            <w:r>
              <w:rPr>
                <w:sz w:val="12"/>
                <w:szCs w:val="12"/>
                <w:spacing w:val="-2"/>
              </w:rPr>
              <w:t>植病灵</w:t>
            </w:r>
          </w:p>
        </w:tc>
        <w:tc>
          <w:tcPr>
            <w:tcW w:w="1929" w:type="dxa"/>
            <w:vAlign w:val="top"/>
            <w:tcBorders>
              <w:bottom w:val="single" w:color="000000" w:sz="2" w:space="0"/>
              <w:top w:val="single" w:color="000000" w:sz="2" w:space="0"/>
            </w:tcBorders>
          </w:tcPr>
          <w:p>
            <w:pPr>
              <w:pStyle w:val="TableText"/>
              <w:ind w:left="354"/>
              <w:spacing w:before="215" w:line="220" w:lineRule="auto"/>
              <w:rPr>
                <w:sz w:val="12"/>
                <w:szCs w:val="12"/>
              </w:rPr>
            </w:pPr>
            <w:r>
              <w:rPr>
                <w:sz w:val="12"/>
                <w:szCs w:val="12"/>
                <w:spacing w:val="-1"/>
              </w:rPr>
              <w:t>盐酸金刚乙胺、丙环喹</w:t>
            </w:r>
          </w:p>
        </w:tc>
        <w:tc>
          <w:tcPr>
            <w:tcW w:w="1639" w:type="dxa"/>
            <w:vAlign w:val="top"/>
            <w:tcBorders>
              <w:bottom w:val="single" w:color="000000" w:sz="2" w:space="0"/>
              <w:top w:val="single" w:color="000000" w:sz="2" w:space="0"/>
            </w:tcBorders>
          </w:tcPr>
          <w:p>
            <w:pPr>
              <w:pStyle w:val="TableText"/>
              <w:ind w:left="604"/>
              <w:spacing w:before="215" w:line="220" w:lineRule="auto"/>
              <w:rPr>
                <w:sz w:val="12"/>
                <w:szCs w:val="12"/>
              </w:rPr>
            </w:pPr>
            <w:r>
              <w:rPr>
                <w:sz w:val="12"/>
                <w:szCs w:val="12"/>
                <w:spacing w:val="-1"/>
              </w:rPr>
              <w:t>800倍液</w:t>
            </w:r>
          </w:p>
        </w:tc>
        <w:tc>
          <w:tcPr>
            <w:tcW w:w="1069" w:type="dxa"/>
            <w:vAlign w:val="top"/>
            <w:tcBorders>
              <w:bottom w:val="single" w:color="000000" w:sz="2" w:space="0"/>
              <w:top w:val="single" w:color="000000" w:sz="2" w:space="0"/>
            </w:tcBorders>
          </w:tcPr>
          <w:p>
            <w:pPr>
              <w:pStyle w:val="TableText"/>
              <w:ind w:left="45" w:hanging="29"/>
              <w:spacing w:before="64" w:line="223" w:lineRule="auto"/>
              <w:rPr>
                <w:sz w:val="12"/>
                <w:szCs w:val="12"/>
              </w:rPr>
            </w:pPr>
            <w:r>
              <w:rPr>
                <w:sz w:val="12"/>
                <w:szCs w:val="12"/>
                <w:spacing w:val="-2"/>
              </w:rPr>
              <w:t>发病初期，每5-7天</w:t>
            </w:r>
            <w:r>
              <w:rPr>
                <w:sz w:val="12"/>
                <w:szCs w:val="12"/>
                <w:spacing w:val="5"/>
              </w:rPr>
              <w:t xml:space="preserve"> </w:t>
            </w:r>
            <w:r>
              <w:rPr>
                <w:sz w:val="12"/>
                <w:szCs w:val="12"/>
                <w:spacing w:val="-1"/>
              </w:rPr>
              <w:t>喷施一次，喷3焉。</w:t>
            </w:r>
          </w:p>
          <w:p>
            <w:pPr>
              <w:pStyle w:val="TableText"/>
              <w:ind w:left="186"/>
              <w:spacing w:line="219" w:lineRule="auto"/>
              <w:rPr>
                <w:sz w:val="12"/>
                <w:szCs w:val="12"/>
              </w:rPr>
            </w:pPr>
            <w:r>
              <w:rPr>
                <w:sz w:val="12"/>
                <w:szCs w:val="12"/>
              </w:rPr>
              <w:t>可减轻危害。</w:t>
            </w:r>
          </w:p>
        </w:tc>
        <w:tc>
          <w:tcPr>
            <w:tcW w:w="819" w:type="dxa"/>
            <w:vAlign w:val="top"/>
            <w:tcBorders>
              <w:bottom w:val="single" w:color="000000" w:sz="2" w:space="0"/>
              <w:top w:val="single" w:color="000000" w:sz="2" w:space="0"/>
            </w:tcBorders>
          </w:tcPr>
          <w:p>
            <w:pPr>
              <w:pStyle w:val="TableText"/>
              <w:ind w:left="196"/>
              <w:spacing w:before="215" w:line="221" w:lineRule="auto"/>
              <w:rPr>
                <w:sz w:val="12"/>
                <w:szCs w:val="12"/>
              </w:rPr>
            </w:pPr>
            <w:r>
              <w:rPr>
                <w:sz w:val="12"/>
                <w:szCs w:val="12"/>
                <w:spacing w:val="-2"/>
              </w:rPr>
              <w:t>15ml/瓶</w:t>
            </w:r>
          </w:p>
        </w:tc>
        <w:tc>
          <w:tcPr>
            <w:tcW w:w="2603" w:type="dxa"/>
            <w:vAlign w:val="top"/>
            <w:tcBorders>
              <w:bottom w:val="single" w:color="000000" w:sz="2" w:space="0"/>
              <w:top w:val="single" w:color="000000" w:sz="2" w:space="0"/>
            </w:tcBorders>
          </w:tcPr>
          <w:p>
            <w:pPr>
              <w:pStyle w:val="TableText"/>
              <w:ind w:left="17"/>
              <w:spacing w:before="214" w:line="219" w:lineRule="auto"/>
              <w:rPr>
                <w:sz w:val="12"/>
                <w:szCs w:val="12"/>
              </w:rPr>
            </w:pPr>
            <w:r>
              <w:rPr>
                <w:sz w:val="12"/>
                <w:szCs w:val="12"/>
                <w:spacing w:val="-1"/>
              </w:rPr>
              <w:t>防治花叶病，对病毒性病害有特效</w:t>
            </w:r>
          </w:p>
        </w:tc>
      </w:tr>
      <w:tr>
        <w:trPr>
          <w:trHeight w:val="265" w:hRule="atLeast"/>
        </w:trPr>
        <w:tc>
          <w:tcPr>
            <w:tcW w:w="425"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4"/>
              <w:spacing w:before="39" w:line="219" w:lineRule="auto"/>
              <w:rPr>
                <w:sz w:val="12"/>
                <w:szCs w:val="12"/>
              </w:rPr>
            </w:pPr>
            <w:r>
              <w:rPr>
                <w:sz w:val="12"/>
                <w:szCs w:val="12"/>
                <w:spacing w:val="-2"/>
              </w:rPr>
              <w:t>杀虫刻</w:t>
            </w:r>
          </w:p>
        </w:tc>
        <w:tc>
          <w:tcPr>
            <w:tcW w:w="590" w:type="dxa"/>
            <w:vAlign w:val="top"/>
            <w:vMerge w:val="restart"/>
            <w:tcBorders>
              <w:bottom w:val="nil"/>
              <w:top w:val="single" w:color="000000" w:sz="2" w:space="0"/>
            </w:tcBorders>
          </w:tcPr>
          <w:p>
            <w:pPr>
              <w:spacing w:line="241" w:lineRule="auto"/>
              <w:rPr>
                <w:rFonts w:ascii="Arial"/>
                <w:sz w:val="21"/>
              </w:rPr>
            </w:pPr>
            <w:r/>
          </w:p>
          <w:p>
            <w:pPr>
              <w:spacing w:line="241" w:lineRule="auto"/>
              <w:rPr>
                <w:rFonts w:ascii="Arial"/>
                <w:sz w:val="21"/>
              </w:rPr>
            </w:pPr>
            <w:r/>
          </w:p>
          <w:p>
            <w:pPr>
              <w:pStyle w:val="TableText"/>
              <w:ind w:left="40"/>
              <w:spacing w:before="39" w:line="219" w:lineRule="auto"/>
              <w:rPr>
                <w:sz w:val="12"/>
                <w:szCs w:val="12"/>
              </w:rPr>
            </w:pPr>
            <w:r>
              <w:rPr>
                <w:sz w:val="12"/>
                <w:szCs w:val="12"/>
                <w:spacing w:val="-1"/>
              </w:rPr>
              <w:t>食叶害虫</w:t>
            </w:r>
          </w:p>
        </w:tc>
        <w:tc>
          <w:tcPr>
            <w:tcW w:w="989" w:type="dxa"/>
            <w:vAlign w:val="top"/>
            <w:vMerge w:val="restart"/>
            <w:tcBorders>
              <w:bottom w:val="nil"/>
              <w:top w:val="single" w:color="000000" w:sz="2" w:space="0"/>
            </w:tcBorders>
          </w:tcPr>
          <w:p>
            <w:pPr>
              <w:pStyle w:val="TableText"/>
              <w:ind w:left="60"/>
              <w:spacing w:before="15" w:line="215" w:lineRule="auto"/>
              <w:rPr>
                <w:sz w:val="12"/>
                <w:szCs w:val="12"/>
              </w:rPr>
            </w:pPr>
            <w:r>
              <w:rPr>
                <w:sz w:val="12"/>
                <w:szCs w:val="12"/>
                <w:spacing w:val="-1"/>
              </w:rPr>
              <w:t>粘虫。天尊毛虫</w:t>
            </w:r>
          </w:p>
          <w:p>
            <w:pPr>
              <w:pStyle w:val="TableText"/>
              <w:ind w:left="60"/>
              <w:spacing w:line="219" w:lineRule="auto"/>
              <w:rPr>
                <w:sz w:val="12"/>
                <w:szCs w:val="12"/>
              </w:rPr>
            </w:pPr>
            <w:r>
              <w:rPr>
                <w:sz w:val="12"/>
                <w:szCs w:val="12"/>
                <w:spacing w:val="-3"/>
              </w:rPr>
              <w:t>、美国白蛾、黄</w:t>
            </w:r>
          </w:p>
          <w:p>
            <w:pPr>
              <w:pStyle w:val="TableText"/>
              <w:ind w:left="40"/>
              <w:spacing w:before="7" w:line="219" w:lineRule="auto"/>
              <w:rPr>
                <w:sz w:val="12"/>
                <w:szCs w:val="12"/>
              </w:rPr>
            </w:pPr>
            <w:r>
              <w:rPr>
                <w:sz w:val="12"/>
                <w:szCs w:val="12"/>
                <w:spacing w:val="2"/>
              </w:rPr>
              <w:t>杨春叶瞑、叶甲</w:t>
            </w:r>
          </w:p>
          <w:p>
            <w:pPr>
              <w:pStyle w:val="TableText"/>
              <w:ind w:left="60"/>
              <w:spacing w:before="17" w:line="200" w:lineRule="auto"/>
              <w:rPr>
                <w:sz w:val="12"/>
                <w:szCs w:val="12"/>
              </w:rPr>
            </w:pPr>
            <w:r>
              <w:rPr>
                <w:sz w:val="12"/>
                <w:szCs w:val="12"/>
                <w:spacing w:val="-3"/>
              </w:rPr>
              <w:t>、舞毒峨、尺蝗</w:t>
            </w:r>
          </w:p>
          <w:p>
            <w:pPr>
              <w:pStyle w:val="TableText"/>
              <w:ind w:left="60"/>
              <w:spacing w:line="219" w:lineRule="auto"/>
              <w:rPr>
                <w:sz w:val="12"/>
                <w:szCs w:val="12"/>
              </w:rPr>
            </w:pPr>
            <w:r>
              <w:rPr>
                <w:sz w:val="12"/>
                <w:szCs w:val="12"/>
                <w:spacing w:val="-3"/>
              </w:rPr>
              <w:t>、衰蛾、黄刺蛾</w:t>
            </w:r>
          </w:p>
          <w:p>
            <w:pPr>
              <w:pStyle w:val="TableText"/>
              <w:ind w:left="60"/>
              <w:spacing w:before="17" w:line="200" w:lineRule="auto"/>
              <w:rPr>
                <w:sz w:val="12"/>
                <w:szCs w:val="12"/>
              </w:rPr>
            </w:pPr>
            <w:r>
              <w:rPr>
                <w:sz w:val="12"/>
                <w:szCs w:val="12"/>
                <w:spacing w:val="-3"/>
              </w:rPr>
              <w:t>、黄杨桑褶翅尺</w:t>
            </w:r>
          </w:p>
          <w:p>
            <w:pPr>
              <w:pStyle w:val="TableText"/>
              <w:ind w:left="249" w:right="28" w:hanging="199"/>
              <w:spacing w:line="206" w:lineRule="auto"/>
              <w:rPr>
                <w:sz w:val="12"/>
                <w:szCs w:val="12"/>
              </w:rPr>
            </w:pPr>
            <w:r>
              <w:rPr>
                <w:sz w:val="12"/>
                <w:szCs w:val="12"/>
                <w:spacing w:val="8"/>
              </w:rPr>
              <w:t>蛾、小老叶蛾、</w:t>
            </w:r>
            <w:r>
              <w:rPr>
                <w:sz w:val="12"/>
                <w:szCs w:val="12"/>
                <w:spacing w:val="2"/>
              </w:rPr>
              <w:t xml:space="preserve"> </w:t>
            </w:r>
            <w:r>
              <w:rPr>
                <w:sz w:val="12"/>
                <w:szCs w:val="12"/>
                <w:spacing w:val="-1"/>
              </w:rPr>
              <w:t>夜娥类，</w:t>
            </w:r>
          </w:p>
        </w:tc>
        <w:tc>
          <w:tcPr>
            <w:tcW w:w="2718" w:type="dxa"/>
            <w:vAlign w:val="top"/>
            <w:vMerge w:val="restart"/>
            <w:tcBorders>
              <w:bottom w:val="nil"/>
              <w:top w:val="single" w:color="000000" w:sz="2" w:space="0"/>
            </w:tcBorders>
          </w:tcPr>
          <w:p>
            <w:pPr>
              <w:pStyle w:val="TableText"/>
              <w:ind w:left="11"/>
              <w:spacing w:before="175" w:line="200" w:lineRule="auto"/>
              <w:rPr>
                <w:sz w:val="12"/>
                <w:szCs w:val="12"/>
              </w:rPr>
            </w:pPr>
            <w:r>
              <w:rPr>
                <w:sz w:val="12"/>
                <w:szCs w:val="12"/>
              </w:rPr>
              <w:t>一、3月底预防消杀为主。</w:t>
            </w:r>
          </w:p>
          <w:p>
            <w:pPr>
              <w:pStyle w:val="TableText"/>
              <w:ind w:left="11" w:right="3"/>
              <w:spacing w:line="222" w:lineRule="auto"/>
              <w:rPr>
                <w:sz w:val="12"/>
                <w:szCs w:val="12"/>
              </w:rPr>
            </w:pPr>
            <w:r>
              <w:rPr>
                <w:sz w:val="12"/>
                <w:szCs w:val="12"/>
                <w:spacing w:val="-1"/>
              </w:rPr>
              <w:t>二、4月底-5月底、9月中甸-10月中旬为幼虫活动最</w:t>
            </w:r>
            <w:r>
              <w:rPr>
                <w:sz w:val="12"/>
                <w:szCs w:val="12"/>
                <w:spacing w:val="18"/>
              </w:rPr>
              <w:t xml:space="preserve"> </w:t>
            </w:r>
            <w:r>
              <w:rPr>
                <w:sz w:val="12"/>
                <w:szCs w:val="12"/>
                <w:spacing w:val="-1"/>
              </w:rPr>
              <w:t>频繁的时期，也是很多食叶害虫的暴食期，应注意</w:t>
            </w:r>
            <w:r>
              <w:rPr>
                <w:sz w:val="12"/>
                <w:szCs w:val="12"/>
                <w:spacing w:val="7"/>
              </w:rPr>
              <w:t xml:space="preserve">  </w:t>
            </w:r>
            <w:r>
              <w:rPr>
                <w:sz w:val="12"/>
                <w:szCs w:val="12"/>
                <w:spacing w:val="-1"/>
              </w:rPr>
              <w:t>预防。</w:t>
            </w:r>
          </w:p>
          <w:p>
            <w:pPr>
              <w:pStyle w:val="TableText"/>
              <w:ind w:left="11" w:right="61"/>
              <w:spacing w:before="17" w:line="209" w:lineRule="auto"/>
              <w:rPr>
                <w:sz w:val="12"/>
                <w:szCs w:val="12"/>
              </w:rPr>
            </w:pPr>
            <w:r>
              <w:rPr>
                <w:sz w:val="12"/>
                <w:szCs w:val="12"/>
                <w:spacing w:val="-1"/>
              </w:rPr>
              <w:t>三，7、8两个月为均有零星出现，有发现病情，及</w:t>
            </w:r>
            <w:r>
              <w:rPr>
                <w:sz w:val="12"/>
                <w:szCs w:val="12"/>
                <w:spacing w:val="17"/>
              </w:rPr>
              <w:t xml:space="preserve"> </w:t>
            </w:r>
            <w:r>
              <w:rPr>
                <w:sz w:val="12"/>
                <w:szCs w:val="12"/>
              </w:rPr>
              <w:t>时喷药处理。11月底中句对越冬虫子进行消杀。</w:t>
            </w:r>
          </w:p>
        </w:tc>
        <w:tc>
          <w:tcPr>
            <w:tcW w:w="1289" w:type="dxa"/>
            <w:vAlign w:val="top"/>
            <w:tcBorders>
              <w:bottom w:val="single" w:color="000000" w:sz="2" w:space="0"/>
              <w:top w:val="single" w:color="000000" w:sz="2" w:space="0"/>
            </w:tcBorders>
          </w:tcPr>
          <w:p>
            <w:pPr>
              <w:pStyle w:val="TableText"/>
              <w:ind w:left="393"/>
              <w:spacing w:before="75" w:line="218" w:lineRule="auto"/>
              <w:rPr>
                <w:sz w:val="12"/>
                <w:szCs w:val="12"/>
              </w:rPr>
            </w:pPr>
            <w:r>
              <w:rPr>
                <w:sz w:val="12"/>
                <w:szCs w:val="12"/>
                <w:spacing w:val="2"/>
              </w:rPr>
              <w:t>国光依它</w:t>
            </w:r>
          </w:p>
        </w:tc>
        <w:tc>
          <w:tcPr>
            <w:tcW w:w="1929" w:type="dxa"/>
            <w:vAlign w:val="top"/>
            <w:tcBorders>
              <w:bottom w:val="single" w:color="000000" w:sz="2" w:space="0"/>
              <w:top w:val="single" w:color="000000" w:sz="2" w:space="0"/>
            </w:tcBorders>
          </w:tcPr>
          <w:p>
            <w:pPr>
              <w:pStyle w:val="TableText"/>
              <w:ind w:left="384"/>
              <w:spacing w:before="75" w:line="219" w:lineRule="auto"/>
              <w:rPr>
                <w:sz w:val="12"/>
                <w:szCs w:val="12"/>
              </w:rPr>
            </w:pPr>
            <w:r>
              <w:rPr>
                <w:sz w:val="12"/>
                <w:szCs w:val="12"/>
                <w:spacing w:val="-1"/>
              </w:rPr>
              <w:t>45%丙溴，辛硫磷乳油</w:t>
            </w:r>
          </w:p>
        </w:tc>
        <w:tc>
          <w:tcPr>
            <w:tcW w:w="1639" w:type="dxa"/>
            <w:vAlign w:val="top"/>
            <w:tcBorders>
              <w:bottom w:val="single" w:color="000000" w:sz="2" w:space="0"/>
              <w:top w:val="single" w:color="000000" w:sz="2" w:space="0"/>
            </w:tcBorders>
          </w:tcPr>
          <w:p>
            <w:pPr>
              <w:pStyle w:val="TableText"/>
              <w:ind w:left="305"/>
              <w:spacing w:before="75" w:line="219" w:lineRule="auto"/>
              <w:rPr>
                <w:sz w:val="12"/>
                <w:szCs w:val="12"/>
              </w:rPr>
            </w:pPr>
            <w:r>
              <w:rPr>
                <w:sz w:val="12"/>
                <w:szCs w:val="12"/>
                <w:spacing w:val="-1"/>
              </w:rPr>
              <w:t>稀释2000-2000倍液</w:t>
            </w:r>
          </w:p>
        </w:tc>
        <w:tc>
          <w:tcPr>
            <w:tcW w:w="1069" w:type="dxa"/>
            <w:vAlign w:val="top"/>
            <w:vMerge w:val="restart"/>
            <w:tcBorders>
              <w:bottom w:val="nil"/>
              <w:top w:val="single" w:color="000000" w:sz="2" w:space="0"/>
            </w:tcBorders>
          </w:tcPr>
          <w:p>
            <w:pPr>
              <w:spacing w:line="413" w:lineRule="auto"/>
              <w:rPr>
                <w:rFonts w:ascii="Arial"/>
                <w:sz w:val="21"/>
              </w:rPr>
            </w:pPr>
            <w:r/>
          </w:p>
          <w:p>
            <w:pPr>
              <w:pStyle w:val="TableText"/>
              <w:ind w:left="16"/>
              <w:spacing w:before="39" w:line="219" w:lineRule="auto"/>
              <w:rPr>
                <w:sz w:val="12"/>
                <w:szCs w:val="12"/>
              </w:rPr>
            </w:pPr>
            <w:r>
              <w:rPr>
                <w:sz w:val="12"/>
                <w:szCs w:val="12"/>
                <w:spacing w:val="-1"/>
              </w:rPr>
              <w:t>一般用2次，时间间</w:t>
            </w:r>
          </w:p>
          <w:p>
            <w:pPr>
              <w:pStyle w:val="TableText"/>
              <w:ind w:left="226"/>
              <w:spacing w:before="17" w:line="220" w:lineRule="auto"/>
              <w:rPr>
                <w:sz w:val="12"/>
                <w:szCs w:val="12"/>
              </w:rPr>
            </w:pPr>
            <w:r>
              <w:rPr>
                <w:sz w:val="12"/>
                <w:szCs w:val="12"/>
                <w:spacing w:val="-2"/>
              </w:rPr>
              <w:t>隔7到(10天</w:t>
            </w:r>
          </w:p>
        </w:tc>
        <w:tc>
          <w:tcPr>
            <w:tcW w:w="819" w:type="dxa"/>
            <w:vAlign w:val="top"/>
            <w:tcBorders>
              <w:bottom w:val="single" w:color="000000" w:sz="2" w:space="0"/>
              <w:top w:val="single" w:color="000000" w:sz="2" w:space="0"/>
            </w:tcBorders>
          </w:tcPr>
          <w:p>
            <w:pPr>
              <w:pStyle w:val="TableText"/>
              <w:ind w:left="106"/>
              <w:spacing w:before="76"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75" w:line="219" w:lineRule="auto"/>
              <w:rPr>
                <w:sz w:val="12"/>
                <w:szCs w:val="12"/>
              </w:rPr>
            </w:pPr>
            <w:r>
              <w:rPr>
                <w:sz w:val="12"/>
                <w:szCs w:val="12"/>
                <w:spacing w:val="-1"/>
              </w:rPr>
              <w:t>高渗透性，杀卷叶虫、包叶虫、班潜蝇等</w:t>
            </w:r>
          </w:p>
        </w:tc>
      </w:tr>
      <w:tr>
        <w:trPr>
          <w:trHeight w:val="30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95" w:line="219" w:lineRule="auto"/>
              <w:rPr>
                <w:sz w:val="12"/>
                <w:szCs w:val="12"/>
              </w:rPr>
            </w:pPr>
            <w:r>
              <w:rPr>
                <w:sz w:val="12"/>
                <w:szCs w:val="12"/>
                <w:spacing w:val="1"/>
              </w:rPr>
              <w:t>国光乙刻</w:t>
            </w:r>
          </w:p>
        </w:tc>
        <w:tc>
          <w:tcPr>
            <w:tcW w:w="1929" w:type="dxa"/>
            <w:vAlign w:val="top"/>
            <w:tcBorders>
              <w:bottom w:val="single" w:color="000000" w:sz="2" w:space="0"/>
              <w:top w:val="single" w:color="000000" w:sz="2" w:space="0"/>
            </w:tcBorders>
          </w:tcPr>
          <w:p>
            <w:pPr>
              <w:pStyle w:val="TableText"/>
              <w:ind w:left="504"/>
              <w:spacing w:before="95" w:line="219" w:lineRule="auto"/>
              <w:rPr>
                <w:sz w:val="12"/>
                <w:szCs w:val="12"/>
              </w:rPr>
            </w:pPr>
            <w:r>
              <w:rPr>
                <w:sz w:val="12"/>
                <w:szCs w:val="12"/>
                <w:spacing w:val="-1"/>
              </w:rPr>
              <w:t>20%氰戊菊酯乳油</w:t>
            </w:r>
          </w:p>
        </w:tc>
        <w:tc>
          <w:tcPr>
            <w:tcW w:w="1639" w:type="dxa"/>
            <w:vAlign w:val="top"/>
            <w:tcBorders>
              <w:bottom w:val="single" w:color="000000" w:sz="2" w:space="0"/>
              <w:top w:val="single" w:color="000000" w:sz="2" w:space="0"/>
            </w:tcBorders>
          </w:tcPr>
          <w:p>
            <w:pPr>
              <w:pStyle w:val="TableText"/>
              <w:ind w:left="305"/>
              <w:spacing w:before="95" w:line="219" w:lineRule="auto"/>
              <w:rPr>
                <w:sz w:val="12"/>
                <w:szCs w:val="12"/>
              </w:rPr>
            </w:pPr>
            <w:r>
              <w:rPr>
                <w:sz w:val="12"/>
                <w:szCs w:val="12"/>
                <w:spacing w:val="-1"/>
              </w:rPr>
              <w:t>稀释2000-3000倍液</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06"/>
              <w:spacing w:before="95"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94" w:line="218" w:lineRule="auto"/>
              <w:rPr>
                <w:sz w:val="12"/>
                <w:szCs w:val="12"/>
              </w:rPr>
            </w:pPr>
            <w:r>
              <w:rPr>
                <w:sz w:val="12"/>
                <w:szCs w:val="12"/>
                <w:spacing w:val="-1"/>
              </w:rPr>
              <w:t>高效广谱、长效杀虫剂，杀食叶性害虫特效</w:t>
            </w:r>
          </w:p>
        </w:tc>
      </w:tr>
      <w:tr>
        <w:trPr>
          <w:trHeight w:val="29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95" w:line="219" w:lineRule="auto"/>
              <w:rPr>
                <w:sz w:val="12"/>
                <w:szCs w:val="12"/>
              </w:rPr>
            </w:pPr>
            <w:r>
              <w:rPr>
                <w:sz w:val="12"/>
                <w:szCs w:val="12"/>
                <w:spacing w:val="1"/>
              </w:rPr>
              <w:t>国光乐克</w:t>
            </w:r>
          </w:p>
        </w:tc>
        <w:tc>
          <w:tcPr>
            <w:tcW w:w="1929" w:type="dxa"/>
            <w:vAlign w:val="top"/>
            <w:tcBorders>
              <w:bottom w:val="single" w:color="000000" w:sz="2" w:space="0"/>
              <w:top w:val="single" w:color="000000" w:sz="2" w:space="0"/>
            </w:tcBorders>
          </w:tcPr>
          <w:p>
            <w:pPr>
              <w:pStyle w:val="TableText"/>
              <w:ind w:left="654"/>
              <w:spacing w:before="96" w:line="220" w:lineRule="auto"/>
              <w:rPr>
                <w:sz w:val="12"/>
                <w:szCs w:val="12"/>
              </w:rPr>
            </w:pPr>
            <w:r>
              <w:rPr>
                <w:sz w:val="12"/>
                <w:szCs w:val="12"/>
                <w:spacing w:val="-1"/>
              </w:rPr>
              <w:t>5.7%甲维盐</w:t>
            </w:r>
          </w:p>
        </w:tc>
        <w:tc>
          <w:tcPr>
            <w:tcW w:w="1639" w:type="dxa"/>
            <w:vAlign w:val="top"/>
            <w:tcBorders>
              <w:bottom w:val="single" w:color="000000" w:sz="2" w:space="0"/>
              <w:top w:val="single" w:color="000000" w:sz="2" w:space="0"/>
            </w:tcBorders>
          </w:tcPr>
          <w:p>
            <w:pPr>
              <w:pStyle w:val="TableText"/>
              <w:ind w:left="484"/>
              <w:spacing w:before="96" w:line="220" w:lineRule="auto"/>
              <w:rPr>
                <w:sz w:val="12"/>
                <w:szCs w:val="12"/>
              </w:rPr>
            </w:pPr>
            <w:r>
              <w:rPr>
                <w:sz w:val="12"/>
                <w:szCs w:val="12"/>
                <w:spacing w:val="-1"/>
              </w:rPr>
              <w:t>3000-5000倍</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96"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spacing w:before="95" w:line="218" w:lineRule="auto"/>
              <w:rPr>
                <w:sz w:val="12"/>
                <w:szCs w:val="12"/>
              </w:rPr>
            </w:pPr>
            <w:r>
              <w:rPr>
                <w:sz w:val="12"/>
                <w:szCs w:val="12"/>
                <w:spacing w:val="-1"/>
              </w:rPr>
              <w:t>生物源杀虫剂，杀食叶性害虫和蜻类</w:t>
            </w:r>
          </w:p>
        </w:tc>
      </w:tr>
      <w:tr>
        <w:trPr>
          <w:trHeight w:val="28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85" w:line="219" w:lineRule="auto"/>
              <w:rPr>
                <w:sz w:val="12"/>
                <w:szCs w:val="12"/>
              </w:rPr>
            </w:pPr>
            <w:r>
              <w:rPr>
                <w:sz w:val="12"/>
                <w:szCs w:val="12"/>
                <w:spacing w:val="-1"/>
              </w:rPr>
              <w:t>诺普信黑战</w:t>
            </w:r>
          </w:p>
        </w:tc>
        <w:tc>
          <w:tcPr>
            <w:tcW w:w="1929" w:type="dxa"/>
            <w:vAlign w:val="top"/>
            <w:tcBorders>
              <w:bottom w:val="single" w:color="000000" w:sz="2" w:space="0"/>
              <w:top w:val="single" w:color="000000" w:sz="2" w:space="0"/>
            </w:tcBorders>
          </w:tcPr>
          <w:p>
            <w:pPr>
              <w:pStyle w:val="TableText"/>
              <w:ind w:left="444"/>
              <w:spacing w:before="85" w:line="219" w:lineRule="auto"/>
              <w:rPr>
                <w:sz w:val="12"/>
                <w:szCs w:val="12"/>
              </w:rPr>
            </w:pPr>
            <w:r>
              <w:rPr>
                <w:sz w:val="12"/>
                <w:szCs w:val="12"/>
                <w:spacing w:val="-5"/>
              </w:rPr>
              <w:t>甲维盐</w:t>
            </w:r>
            <w:r>
              <w:rPr>
                <w:sz w:val="12"/>
                <w:szCs w:val="12"/>
                <w:spacing w:val="-9"/>
              </w:rPr>
              <w:t xml:space="preserve"> </w:t>
            </w:r>
            <w:r>
              <w:rPr>
                <w:sz w:val="12"/>
                <w:szCs w:val="12"/>
                <w:spacing w:val="-5"/>
              </w:rPr>
              <w:t>·虫雕腓20%</w:t>
            </w:r>
          </w:p>
        </w:tc>
        <w:tc>
          <w:tcPr>
            <w:tcW w:w="1639" w:type="dxa"/>
            <w:vAlign w:val="top"/>
            <w:tcBorders>
              <w:bottom w:val="single" w:color="000000" w:sz="2" w:space="0"/>
              <w:top w:val="single" w:color="000000" w:sz="2" w:space="0"/>
            </w:tcBorders>
          </w:tcPr>
          <w:p>
            <w:pPr>
              <w:pStyle w:val="TableText"/>
              <w:ind w:left="484"/>
              <w:spacing w:before="85" w:line="220" w:lineRule="auto"/>
              <w:rPr>
                <w:sz w:val="12"/>
                <w:szCs w:val="12"/>
              </w:rPr>
            </w:pPr>
            <w:r>
              <w:rPr>
                <w:sz w:val="12"/>
                <w:szCs w:val="12"/>
                <w:spacing w:val="-5"/>
              </w:rPr>
              <w:t>1000—1500倍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86"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spacing w:before="85" w:line="218" w:lineRule="auto"/>
              <w:rPr>
                <w:sz w:val="12"/>
                <w:szCs w:val="12"/>
              </w:rPr>
            </w:pPr>
            <w:r>
              <w:rPr>
                <w:sz w:val="12"/>
                <w:szCs w:val="12"/>
                <w:spacing w:val="-1"/>
              </w:rPr>
              <w:t>高效广语杀虫剂，杀食叶性害虫特效</w:t>
            </w:r>
          </w:p>
        </w:tc>
      </w:tr>
      <w:tr>
        <w:trPr>
          <w:trHeight w:val="215" w:hRule="atLeast"/>
        </w:trPr>
        <w:tc>
          <w:tcPr>
            <w:tcW w:w="425" w:type="dxa"/>
            <w:vAlign w:val="top"/>
            <w:vMerge w:val="continue"/>
            <w:tcBorders>
              <w:bottom w:val="nil"/>
              <w:top w:val="nil"/>
            </w:tcBorders>
          </w:tcPr>
          <w:p>
            <w:pPr>
              <w:rPr>
                <w:rFonts w:ascii="Arial"/>
                <w:sz w:val="21"/>
              </w:rPr>
            </w:pPr>
            <w:r/>
          </w:p>
        </w:tc>
        <w:tc>
          <w:tcPr>
            <w:tcW w:w="590" w:type="dxa"/>
            <w:vAlign w:val="top"/>
            <w:vMerge w:val="restart"/>
            <w:tcBorders>
              <w:bottom w:val="nil"/>
              <w:top w:val="single" w:color="000000" w:sz="2" w:space="0"/>
            </w:tcBorders>
          </w:tcPr>
          <w:p>
            <w:pPr>
              <w:spacing w:line="255" w:lineRule="auto"/>
              <w:rPr>
                <w:rFonts w:ascii="Arial"/>
                <w:sz w:val="21"/>
              </w:rPr>
            </w:pPr>
            <w:r/>
          </w:p>
          <w:p>
            <w:pPr>
              <w:pStyle w:val="TableText"/>
              <w:ind w:left="40"/>
              <w:spacing w:before="39" w:line="219" w:lineRule="auto"/>
              <w:rPr>
                <w:sz w:val="12"/>
                <w:szCs w:val="12"/>
              </w:rPr>
            </w:pPr>
            <w:r>
              <w:rPr>
                <w:sz w:val="12"/>
                <w:szCs w:val="12"/>
                <w:spacing w:val="-1"/>
              </w:rPr>
              <w:t>朝吸害虫</w:t>
            </w:r>
          </w:p>
        </w:tc>
        <w:tc>
          <w:tcPr>
            <w:tcW w:w="989" w:type="dxa"/>
            <w:vAlign w:val="top"/>
            <w:vMerge w:val="restart"/>
            <w:tcBorders>
              <w:bottom w:val="nil"/>
              <w:top w:val="single" w:color="000000" w:sz="2" w:space="0"/>
            </w:tcBorders>
          </w:tcPr>
          <w:p>
            <w:pPr>
              <w:pStyle w:val="TableText"/>
              <w:ind w:left="60"/>
              <w:spacing w:before="156" w:line="220" w:lineRule="auto"/>
              <w:rPr>
                <w:sz w:val="12"/>
                <w:szCs w:val="12"/>
              </w:rPr>
            </w:pPr>
            <w:r>
              <w:rPr>
                <w:sz w:val="12"/>
                <w:szCs w:val="12"/>
                <w:spacing w:val="8"/>
              </w:rPr>
              <w:t>球坚蚧、腊蚧、</w:t>
            </w:r>
          </w:p>
          <w:p>
            <w:pPr>
              <w:pStyle w:val="TableText"/>
              <w:ind w:left="60"/>
              <w:spacing w:before="6" w:line="219" w:lineRule="auto"/>
              <w:rPr>
                <w:sz w:val="12"/>
                <w:szCs w:val="12"/>
              </w:rPr>
            </w:pPr>
            <w:r>
              <w:rPr>
                <w:sz w:val="12"/>
                <w:szCs w:val="12"/>
                <w:spacing w:val="8"/>
              </w:rPr>
              <w:t>粉蚧、吹棉蚧、</w:t>
            </w:r>
          </w:p>
          <w:p>
            <w:pPr>
              <w:pStyle w:val="TableText"/>
              <w:ind w:left="300"/>
              <w:spacing w:before="7" w:line="218" w:lineRule="auto"/>
              <w:rPr>
                <w:sz w:val="12"/>
                <w:szCs w:val="12"/>
              </w:rPr>
            </w:pPr>
            <w:r>
              <w:rPr>
                <w:sz w:val="12"/>
                <w:szCs w:val="12"/>
                <w:spacing w:val="-4"/>
              </w:rPr>
              <w:t>圆盾蚧</w:t>
            </w:r>
          </w:p>
        </w:tc>
        <w:tc>
          <w:tcPr>
            <w:tcW w:w="2718" w:type="dxa"/>
            <w:vAlign w:val="top"/>
            <w:vMerge w:val="restart"/>
            <w:tcBorders>
              <w:bottom w:val="nil"/>
              <w:top w:val="single" w:color="000000" w:sz="2" w:space="0"/>
            </w:tcBorders>
          </w:tcPr>
          <w:p>
            <w:pPr>
              <w:pStyle w:val="TableText"/>
              <w:ind w:left="11" w:right="9"/>
              <w:spacing w:before="86" w:line="222" w:lineRule="auto"/>
              <w:rPr>
                <w:sz w:val="12"/>
                <w:szCs w:val="12"/>
              </w:rPr>
            </w:pPr>
            <w:r>
              <w:rPr>
                <w:sz w:val="12"/>
                <w:szCs w:val="12"/>
                <w:spacing w:val="-1"/>
              </w:rPr>
              <w:t>一、4月初球坚蚧开始危害国槐，白腊蚧开始危害大</w:t>
            </w:r>
            <w:r>
              <w:rPr>
                <w:sz w:val="12"/>
                <w:szCs w:val="12"/>
                <w:spacing w:val="9"/>
              </w:rPr>
              <w:t xml:space="preserve"> </w:t>
            </w:r>
            <w:r>
              <w:rPr>
                <w:sz w:val="12"/>
                <w:szCs w:val="12"/>
              </w:rPr>
              <w:t>叶女贞，配合春季消杀，预防为主。</w:t>
            </w:r>
          </w:p>
          <w:p>
            <w:pPr>
              <w:pStyle w:val="TableText"/>
              <w:ind w:left="11" w:right="3"/>
              <w:spacing w:line="226" w:lineRule="auto"/>
              <w:rPr>
                <w:sz w:val="12"/>
                <w:szCs w:val="12"/>
              </w:rPr>
            </w:pPr>
            <w:r>
              <w:rPr>
                <w:sz w:val="12"/>
                <w:szCs w:val="12"/>
                <w:spacing w:val="-1"/>
              </w:rPr>
              <w:t>二，7-9月为小叶女奥品粉蚧、楼花桑白盾蚧危害盛</w:t>
            </w:r>
            <w:r>
              <w:rPr>
                <w:sz w:val="12"/>
                <w:szCs w:val="12"/>
                <w:spacing w:val="16"/>
              </w:rPr>
              <w:t xml:space="preserve"> </w:t>
            </w:r>
            <w:r>
              <w:rPr>
                <w:sz w:val="12"/>
                <w:szCs w:val="12"/>
              </w:rPr>
              <w:t>期，有发现病情，及时喷药处理。</w:t>
            </w:r>
          </w:p>
        </w:tc>
        <w:tc>
          <w:tcPr>
            <w:tcW w:w="1289" w:type="dxa"/>
            <w:vAlign w:val="top"/>
            <w:tcBorders>
              <w:bottom w:val="single" w:color="000000" w:sz="2" w:space="0"/>
              <w:top w:val="single" w:color="000000" w:sz="2" w:space="0"/>
            </w:tcBorders>
          </w:tcPr>
          <w:p>
            <w:pPr>
              <w:pStyle w:val="TableText"/>
              <w:ind w:left="393"/>
              <w:spacing w:before="56" w:line="219" w:lineRule="auto"/>
              <w:rPr>
                <w:sz w:val="12"/>
                <w:szCs w:val="12"/>
              </w:rPr>
            </w:pPr>
            <w:r>
              <w:rPr>
                <w:sz w:val="12"/>
                <w:szCs w:val="12"/>
                <w:spacing w:val="2"/>
              </w:rPr>
              <w:t>国光必治</w:t>
            </w:r>
          </w:p>
        </w:tc>
        <w:tc>
          <w:tcPr>
            <w:tcW w:w="1929" w:type="dxa"/>
            <w:vAlign w:val="top"/>
            <w:tcBorders>
              <w:bottom w:val="single" w:color="000000" w:sz="2" w:space="0"/>
              <w:top w:val="single" w:color="000000" w:sz="2" w:space="0"/>
            </w:tcBorders>
          </w:tcPr>
          <w:p>
            <w:pPr>
              <w:pStyle w:val="TableText"/>
              <w:ind w:left="354"/>
              <w:spacing w:before="76" w:line="198" w:lineRule="auto"/>
              <w:rPr>
                <w:sz w:val="12"/>
                <w:szCs w:val="12"/>
              </w:rPr>
            </w:pPr>
            <w:r>
              <w:rPr>
                <w:sz w:val="12"/>
                <w:szCs w:val="12"/>
                <w:spacing w:val="-1"/>
              </w:rPr>
              <w:t>40%啶虫眯.毒死蜂乳油</w:t>
            </w:r>
          </w:p>
        </w:tc>
        <w:tc>
          <w:tcPr>
            <w:tcW w:w="1639" w:type="dxa"/>
            <w:vAlign w:val="top"/>
            <w:tcBorders>
              <w:bottom w:val="single" w:color="000000" w:sz="2" w:space="0"/>
              <w:top w:val="single" w:color="000000" w:sz="2" w:space="0"/>
            </w:tcBorders>
          </w:tcPr>
          <w:p>
            <w:pPr>
              <w:pStyle w:val="TableText"/>
              <w:ind w:left="305"/>
              <w:spacing w:before="76" w:line="198" w:lineRule="auto"/>
              <w:rPr>
                <w:sz w:val="12"/>
                <w:szCs w:val="12"/>
              </w:rPr>
            </w:pPr>
            <w:r>
              <w:rPr>
                <w:sz w:val="12"/>
                <w:szCs w:val="12"/>
                <w:spacing w:val="-1"/>
              </w:rPr>
              <w:t>稀释1000-2000倍液</w:t>
            </w:r>
          </w:p>
        </w:tc>
        <w:tc>
          <w:tcPr>
            <w:tcW w:w="1069" w:type="dxa"/>
            <w:vAlign w:val="top"/>
            <w:vMerge w:val="restart"/>
            <w:tcBorders>
              <w:bottom w:val="nil"/>
              <w:top w:val="single" w:color="000000" w:sz="2" w:space="0"/>
            </w:tcBorders>
          </w:tcPr>
          <w:p>
            <w:pPr>
              <w:pStyle w:val="TableText"/>
              <w:ind w:left="16"/>
              <w:spacing w:before="156" w:line="219" w:lineRule="auto"/>
              <w:rPr>
                <w:sz w:val="12"/>
                <w:szCs w:val="12"/>
              </w:rPr>
            </w:pPr>
            <w:r>
              <w:rPr>
                <w:sz w:val="12"/>
                <w:szCs w:val="12"/>
                <w:spacing w:val="-1"/>
              </w:rPr>
              <w:t>一般用2次，时间间</w:t>
            </w:r>
          </w:p>
          <w:p>
            <w:pPr>
              <w:pStyle w:val="TableText"/>
              <w:ind w:left="16"/>
              <w:spacing w:before="7" w:line="220" w:lineRule="auto"/>
              <w:rPr>
                <w:sz w:val="12"/>
                <w:szCs w:val="12"/>
              </w:rPr>
            </w:pPr>
            <w:r>
              <w:rPr>
                <w:sz w:val="12"/>
                <w:szCs w:val="12"/>
                <w:spacing w:val="-2"/>
              </w:rPr>
              <w:t>隔7到10天，视现场</w:t>
            </w:r>
          </w:p>
          <w:p>
            <w:pPr>
              <w:pStyle w:val="TableText"/>
              <w:ind w:left="106"/>
              <w:spacing w:before="16" w:line="219" w:lineRule="auto"/>
              <w:rPr>
                <w:sz w:val="12"/>
                <w:szCs w:val="12"/>
              </w:rPr>
            </w:pPr>
            <w:r>
              <w:rPr>
                <w:sz w:val="12"/>
                <w:szCs w:val="12"/>
                <w:spacing w:val="-1"/>
              </w:rPr>
              <w:t>情况可增加次数</w:t>
            </w:r>
          </w:p>
        </w:tc>
        <w:tc>
          <w:tcPr>
            <w:tcW w:w="819" w:type="dxa"/>
            <w:vAlign w:val="top"/>
            <w:tcBorders>
              <w:bottom w:val="single" w:color="000000" w:sz="2" w:space="0"/>
              <w:top w:val="single" w:color="000000" w:sz="2" w:space="0"/>
            </w:tcBorders>
          </w:tcPr>
          <w:p>
            <w:pPr>
              <w:pStyle w:val="TableText"/>
              <w:ind w:left="136"/>
              <w:spacing w:before="72" w:line="204" w:lineRule="auto"/>
              <w:rPr>
                <w:sz w:val="12"/>
                <w:szCs w:val="12"/>
              </w:rPr>
            </w:pPr>
            <w:r>
              <w:rPr>
                <w:sz w:val="12"/>
                <w:szCs w:val="12"/>
                <w:spacing w:val="3"/>
              </w:rPr>
              <w:t>(200g/瓶)</w:t>
            </w:r>
          </w:p>
        </w:tc>
        <w:tc>
          <w:tcPr>
            <w:tcW w:w="2603" w:type="dxa"/>
            <w:vAlign w:val="top"/>
            <w:tcBorders>
              <w:bottom w:val="single" w:color="000000" w:sz="2" w:space="0"/>
              <w:top w:val="single" w:color="000000" w:sz="2" w:space="0"/>
            </w:tcBorders>
          </w:tcPr>
          <w:p>
            <w:pPr>
              <w:pStyle w:val="TableText"/>
              <w:ind w:left="17"/>
              <w:spacing w:before="75" w:line="199" w:lineRule="auto"/>
              <w:rPr>
                <w:sz w:val="12"/>
                <w:szCs w:val="12"/>
              </w:rPr>
            </w:pPr>
            <w:r>
              <w:rPr>
                <w:sz w:val="12"/>
                <w:szCs w:val="12"/>
                <w:spacing w:val="-1"/>
              </w:rPr>
              <w:t>专杀介壳虫，食叶类害虫。地下害虫</w:t>
            </w:r>
          </w:p>
        </w:tc>
      </w:tr>
      <w:tr>
        <w:trPr>
          <w:trHeight w:val="22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66" w:line="220" w:lineRule="auto"/>
              <w:rPr>
                <w:sz w:val="12"/>
                <w:szCs w:val="12"/>
              </w:rPr>
            </w:pPr>
            <w:r>
              <w:rPr>
                <w:sz w:val="12"/>
                <w:szCs w:val="12"/>
                <w:spacing w:val="1"/>
              </w:rPr>
              <w:t>中威捕捉手</w:t>
            </w:r>
          </w:p>
        </w:tc>
        <w:tc>
          <w:tcPr>
            <w:tcW w:w="1929" w:type="dxa"/>
            <w:vAlign w:val="top"/>
            <w:tcBorders>
              <w:bottom w:val="single" w:color="000000" w:sz="2" w:space="0"/>
              <w:top w:val="single" w:color="000000" w:sz="2" w:space="0"/>
            </w:tcBorders>
          </w:tcPr>
          <w:p>
            <w:pPr>
              <w:pStyle w:val="TableText"/>
              <w:ind w:left="504"/>
              <w:spacing w:before="55" w:line="218" w:lineRule="auto"/>
              <w:rPr>
                <w:sz w:val="12"/>
                <w:szCs w:val="12"/>
              </w:rPr>
            </w:pPr>
            <w:r>
              <w:rPr>
                <w:sz w:val="12"/>
                <w:szCs w:val="12"/>
                <w:spacing w:val="-6"/>
              </w:rPr>
              <w:t>高氧</w:t>
            </w:r>
            <w:r>
              <w:rPr>
                <w:sz w:val="12"/>
                <w:szCs w:val="12"/>
                <w:spacing w:val="-15"/>
              </w:rPr>
              <w:t xml:space="preserve"> </w:t>
            </w:r>
            <w:r>
              <w:rPr>
                <w:sz w:val="12"/>
                <w:szCs w:val="12"/>
                <w:spacing w:val="-6"/>
              </w:rPr>
              <w:t>·毒死蟀15%</w:t>
            </w:r>
          </w:p>
        </w:tc>
        <w:tc>
          <w:tcPr>
            <w:tcW w:w="1639" w:type="dxa"/>
            <w:vAlign w:val="top"/>
            <w:tcBorders>
              <w:bottom w:val="single" w:color="000000" w:sz="2" w:space="0"/>
              <w:top w:val="single" w:color="000000" w:sz="2" w:space="0"/>
            </w:tcBorders>
          </w:tcPr>
          <w:p>
            <w:pPr>
              <w:pStyle w:val="TableText"/>
              <w:ind w:left="425"/>
              <w:spacing w:before="76" w:line="213" w:lineRule="auto"/>
              <w:rPr>
                <w:sz w:val="12"/>
                <w:szCs w:val="12"/>
              </w:rPr>
            </w:pPr>
            <w:r>
              <w:rPr>
                <w:sz w:val="12"/>
                <w:szCs w:val="12"/>
                <w:spacing w:val="-2"/>
              </w:rPr>
              <w:t>1000-1500倍液</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06"/>
              <w:spacing w:before="76" w:line="213"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55" w:line="219" w:lineRule="auto"/>
              <w:rPr>
                <w:sz w:val="12"/>
                <w:szCs w:val="12"/>
              </w:rPr>
            </w:pPr>
            <w:r>
              <w:rPr>
                <w:sz w:val="12"/>
                <w:szCs w:val="12"/>
                <w:spacing w:val="-1"/>
              </w:rPr>
              <w:t>主要防治蚧壳虫、斑潜蝇及鳞翅目幼虫、飞乱等</w:t>
            </w:r>
          </w:p>
        </w:tc>
      </w:tr>
      <w:tr>
        <w:trPr>
          <w:trHeight w:val="255"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75" w:line="218" w:lineRule="auto"/>
              <w:rPr>
                <w:sz w:val="12"/>
                <w:szCs w:val="12"/>
              </w:rPr>
            </w:pPr>
            <w:r>
              <w:rPr>
                <w:sz w:val="12"/>
                <w:szCs w:val="12"/>
                <w:spacing w:val="-1"/>
              </w:rPr>
              <w:t>诺普信速介清</w:t>
            </w:r>
          </w:p>
        </w:tc>
        <w:tc>
          <w:tcPr>
            <w:tcW w:w="1929" w:type="dxa"/>
            <w:vAlign w:val="top"/>
            <w:tcBorders>
              <w:bottom w:val="single" w:color="000000" w:sz="2" w:space="0"/>
              <w:top w:val="single" w:color="000000" w:sz="2" w:space="0"/>
            </w:tcBorders>
          </w:tcPr>
          <w:p>
            <w:pPr>
              <w:pStyle w:val="TableText"/>
              <w:ind w:left="684"/>
              <w:spacing w:before="75" w:line="219" w:lineRule="auto"/>
              <w:rPr>
                <w:sz w:val="12"/>
                <w:szCs w:val="12"/>
              </w:rPr>
            </w:pPr>
            <w:r>
              <w:rPr>
                <w:sz w:val="12"/>
                <w:szCs w:val="12"/>
                <w:spacing w:val="-2"/>
              </w:rPr>
              <w:t>杀扑磷40%</w:t>
            </w:r>
          </w:p>
        </w:tc>
        <w:tc>
          <w:tcPr>
            <w:tcW w:w="1639" w:type="dxa"/>
            <w:vAlign w:val="top"/>
            <w:tcBorders>
              <w:bottom w:val="single" w:color="000000" w:sz="2" w:space="0"/>
              <w:top w:val="single" w:color="000000" w:sz="2" w:space="0"/>
            </w:tcBorders>
          </w:tcPr>
          <w:p>
            <w:pPr>
              <w:pStyle w:val="TableText"/>
              <w:ind w:left="484"/>
              <w:spacing w:before="75" w:line="220" w:lineRule="auto"/>
              <w:rPr>
                <w:sz w:val="12"/>
                <w:szCs w:val="12"/>
              </w:rPr>
            </w:pPr>
            <w:r>
              <w:rPr>
                <w:sz w:val="12"/>
                <w:szCs w:val="12"/>
                <w:spacing w:val="-5"/>
              </w:rPr>
              <w:t>1000—1500倍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76"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spacing w:before="75" w:line="218" w:lineRule="auto"/>
              <w:rPr>
                <w:sz w:val="12"/>
                <w:szCs w:val="12"/>
              </w:rPr>
            </w:pPr>
            <w:r>
              <w:rPr>
                <w:sz w:val="12"/>
                <w:szCs w:val="12"/>
                <w:spacing w:val="-1"/>
              </w:rPr>
              <w:t>杀灭介壳虫、木烈活性高</w:t>
            </w:r>
          </w:p>
        </w:tc>
      </w:tr>
      <w:tr>
        <w:trPr>
          <w:trHeight w:val="215" w:hRule="atLeast"/>
        </w:trPr>
        <w:tc>
          <w:tcPr>
            <w:tcW w:w="425" w:type="dxa"/>
            <w:vAlign w:val="top"/>
            <w:vMerge w:val="continue"/>
            <w:tcBorders>
              <w:bottom w:val="nil"/>
              <w:top w:val="nil"/>
            </w:tcBorders>
          </w:tcPr>
          <w:p>
            <w:pPr>
              <w:rPr>
                <w:rFonts w:ascii="Arial"/>
                <w:sz w:val="21"/>
              </w:rPr>
            </w:pPr>
            <w:r/>
          </w:p>
        </w:tc>
        <w:tc>
          <w:tcPr>
            <w:tcW w:w="590" w:type="dxa"/>
            <w:vAlign w:val="top"/>
            <w:vMerge w:val="restart"/>
            <w:tcBorders>
              <w:bottom w:val="nil"/>
              <w:top w:val="single" w:color="000000" w:sz="2" w:space="0"/>
            </w:tcBorders>
          </w:tcPr>
          <w:p>
            <w:pPr>
              <w:spacing w:line="304" w:lineRule="auto"/>
              <w:rPr>
                <w:rFonts w:ascii="Arial"/>
                <w:sz w:val="21"/>
              </w:rPr>
            </w:pPr>
            <w:r/>
          </w:p>
          <w:p>
            <w:pPr>
              <w:pStyle w:val="TableText"/>
              <w:ind w:left="40"/>
              <w:spacing w:before="39" w:line="219" w:lineRule="auto"/>
              <w:rPr>
                <w:sz w:val="12"/>
                <w:szCs w:val="12"/>
              </w:rPr>
            </w:pPr>
            <w:r>
              <w:rPr>
                <w:sz w:val="12"/>
                <w:szCs w:val="12"/>
                <w:spacing w:val="-1"/>
              </w:rPr>
              <w:t>朝吸害虫</w:t>
            </w:r>
          </w:p>
        </w:tc>
        <w:tc>
          <w:tcPr>
            <w:tcW w:w="989" w:type="dxa"/>
            <w:vAlign w:val="top"/>
            <w:vMerge w:val="restart"/>
            <w:tcBorders>
              <w:bottom w:val="nil"/>
              <w:top w:val="single" w:color="000000" w:sz="2" w:space="0"/>
            </w:tcBorders>
          </w:tcPr>
          <w:p>
            <w:pPr>
              <w:pStyle w:val="TableText"/>
              <w:ind w:left="60"/>
              <w:spacing w:before="205" w:line="215" w:lineRule="auto"/>
              <w:rPr>
                <w:sz w:val="12"/>
                <w:szCs w:val="12"/>
              </w:rPr>
            </w:pPr>
            <w:r>
              <w:rPr>
                <w:sz w:val="12"/>
                <w:szCs w:val="12"/>
                <w:spacing w:val="8"/>
              </w:rPr>
              <w:t>蚜虫、红蜘蛛、</w:t>
            </w:r>
          </w:p>
          <w:p>
            <w:pPr>
              <w:pStyle w:val="TableText"/>
              <w:ind w:left="419" w:right="64" w:hanging="339"/>
              <w:spacing w:before="1" w:line="248" w:lineRule="auto"/>
              <w:rPr>
                <w:sz w:val="12"/>
                <w:szCs w:val="12"/>
              </w:rPr>
            </w:pPr>
            <w:r>
              <w:rPr>
                <w:sz w:val="12"/>
                <w:szCs w:val="12"/>
                <w:spacing w:val="-1"/>
              </w:rPr>
              <w:t>木虱。叶蝉，商</w:t>
            </w:r>
            <w:r>
              <w:rPr>
                <w:sz w:val="12"/>
                <w:szCs w:val="12"/>
              </w:rPr>
              <w:t xml:space="preserve"> </w:t>
            </w:r>
            <w:r>
              <w:rPr>
                <w:sz w:val="12"/>
                <w:szCs w:val="12"/>
              </w:rPr>
              <w:t>马</w:t>
            </w:r>
          </w:p>
        </w:tc>
        <w:tc>
          <w:tcPr>
            <w:tcW w:w="2718" w:type="dxa"/>
            <w:vAlign w:val="top"/>
            <w:vMerge w:val="restart"/>
            <w:tcBorders>
              <w:bottom w:val="nil"/>
              <w:top w:val="single" w:color="000000" w:sz="2" w:space="0"/>
            </w:tcBorders>
          </w:tcPr>
          <w:p>
            <w:pPr>
              <w:pStyle w:val="TableText"/>
              <w:ind w:left="11" w:right="63"/>
              <w:spacing w:before="145" w:line="207" w:lineRule="auto"/>
              <w:rPr>
                <w:sz w:val="12"/>
                <w:szCs w:val="12"/>
              </w:rPr>
            </w:pPr>
            <w:r>
              <w:rPr>
                <w:sz w:val="12"/>
                <w:szCs w:val="12"/>
                <w:spacing w:val="-1"/>
              </w:rPr>
              <w:t>一、3月底-5月、8月中甸预防消杀为主，在进入雨</w:t>
            </w:r>
            <w:r>
              <w:rPr>
                <w:sz w:val="12"/>
                <w:szCs w:val="12"/>
                <w:spacing w:val="16"/>
              </w:rPr>
              <w:t xml:space="preserve"> </w:t>
            </w:r>
            <w:r>
              <w:rPr>
                <w:sz w:val="12"/>
                <w:szCs w:val="12"/>
              </w:rPr>
              <w:t>季、高发季前全园区消杀虫卵、幼虫，蛹。</w:t>
            </w:r>
          </w:p>
          <w:p>
            <w:pPr>
              <w:pStyle w:val="TableText"/>
              <w:ind w:left="11" w:right="3"/>
              <w:rPr>
                <w:sz w:val="12"/>
                <w:szCs w:val="12"/>
              </w:rPr>
            </w:pPr>
            <w:r>
              <w:rPr>
                <w:sz w:val="12"/>
                <w:szCs w:val="12"/>
                <w:spacing w:val="-1"/>
              </w:rPr>
              <w:t>二、6月-9月是大部分害虫成蛹或羽化期，采取人工</w:t>
            </w:r>
            <w:r>
              <w:rPr>
                <w:sz w:val="12"/>
                <w:szCs w:val="12"/>
                <w:spacing w:val="16"/>
              </w:rPr>
              <w:t xml:space="preserve"> </w:t>
            </w:r>
            <w:r>
              <w:rPr>
                <w:sz w:val="12"/>
                <w:szCs w:val="12"/>
              </w:rPr>
              <w:t>加药物双重治疗除卵，除蛹，除成虫。</w:t>
            </w:r>
          </w:p>
        </w:tc>
        <w:tc>
          <w:tcPr>
            <w:tcW w:w="1289" w:type="dxa"/>
            <w:vAlign w:val="top"/>
            <w:tcBorders>
              <w:bottom w:val="single" w:color="000000" w:sz="2" w:space="0"/>
              <w:top w:val="single" w:color="000000" w:sz="2" w:space="0"/>
            </w:tcBorders>
          </w:tcPr>
          <w:p>
            <w:pPr>
              <w:pStyle w:val="TableText"/>
              <w:ind w:left="393"/>
              <w:spacing w:before="55" w:line="219" w:lineRule="auto"/>
              <w:rPr>
                <w:sz w:val="12"/>
                <w:szCs w:val="12"/>
              </w:rPr>
            </w:pPr>
            <w:r>
              <w:rPr>
                <w:sz w:val="12"/>
                <w:szCs w:val="12"/>
                <w:spacing w:val="2"/>
              </w:rPr>
              <w:t>国光崇到</w:t>
            </w:r>
          </w:p>
        </w:tc>
        <w:tc>
          <w:tcPr>
            <w:tcW w:w="1929" w:type="dxa"/>
            <w:vAlign w:val="top"/>
            <w:tcBorders>
              <w:bottom w:val="single" w:color="000000" w:sz="2" w:space="0"/>
              <w:top w:val="single" w:color="000000" w:sz="2" w:space="0"/>
            </w:tcBorders>
          </w:tcPr>
          <w:p>
            <w:pPr>
              <w:pStyle w:val="TableText"/>
              <w:ind w:left="684"/>
              <w:spacing w:before="55" w:line="220" w:lineRule="auto"/>
              <w:rPr>
                <w:sz w:val="12"/>
                <w:szCs w:val="12"/>
              </w:rPr>
            </w:pPr>
            <w:r>
              <w:rPr>
                <w:sz w:val="12"/>
                <w:szCs w:val="12"/>
                <w:spacing w:val="-1"/>
              </w:rPr>
              <w:t>50%啶虫脒</w:t>
            </w:r>
          </w:p>
        </w:tc>
        <w:tc>
          <w:tcPr>
            <w:tcW w:w="1639" w:type="dxa"/>
            <w:vAlign w:val="top"/>
            <w:tcBorders>
              <w:bottom w:val="single" w:color="000000" w:sz="2" w:space="0"/>
              <w:top w:val="single" w:color="000000" w:sz="2" w:space="0"/>
            </w:tcBorders>
          </w:tcPr>
          <w:p>
            <w:pPr>
              <w:pStyle w:val="TableText"/>
              <w:ind w:left="305"/>
              <w:spacing w:before="55" w:line="219" w:lineRule="auto"/>
              <w:rPr>
                <w:sz w:val="12"/>
                <w:szCs w:val="12"/>
              </w:rPr>
            </w:pPr>
            <w:r>
              <w:rPr>
                <w:sz w:val="12"/>
                <w:szCs w:val="12"/>
                <w:spacing w:val="-1"/>
              </w:rPr>
              <w:t>稀释2000-3000倍液</w:t>
            </w:r>
          </w:p>
        </w:tc>
        <w:tc>
          <w:tcPr>
            <w:tcW w:w="1069" w:type="dxa"/>
            <w:vAlign w:val="top"/>
            <w:vMerge w:val="restart"/>
            <w:tcBorders>
              <w:bottom w:val="nil"/>
              <w:top w:val="single" w:color="000000" w:sz="2" w:space="0"/>
            </w:tcBorders>
          </w:tcPr>
          <w:p>
            <w:pPr>
              <w:pStyle w:val="TableText"/>
              <w:ind w:left="16"/>
              <w:spacing w:before="205" w:line="216" w:lineRule="auto"/>
              <w:rPr>
                <w:sz w:val="12"/>
                <w:szCs w:val="12"/>
              </w:rPr>
            </w:pPr>
            <w:r>
              <w:rPr>
                <w:sz w:val="12"/>
                <w:szCs w:val="12"/>
                <w:spacing w:val="-1"/>
              </w:rPr>
              <w:t>一般用2次，时间间</w:t>
            </w:r>
          </w:p>
          <w:p>
            <w:pPr>
              <w:pStyle w:val="TableText"/>
              <w:ind w:left="16"/>
              <w:spacing w:line="219" w:lineRule="auto"/>
              <w:rPr>
                <w:sz w:val="12"/>
                <w:szCs w:val="12"/>
              </w:rPr>
            </w:pPr>
            <w:r>
              <w:rPr>
                <w:sz w:val="12"/>
                <w:szCs w:val="12"/>
                <w:spacing w:val="-2"/>
              </w:rPr>
              <w:t>隔7到10天，视现场</w:t>
            </w:r>
          </w:p>
          <w:p>
            <w:pPr>
              <w:pStyle w:val="TableText"/>
              <w:ind w:left="116"/>
              <w:spacing w:before="6" w:line="219" w:lineRule="auto"/>
              <w:rPr>
                <w:sz w:val="12"/>
                <w:szCs w:val="12"/>
              </w:rPr>
            </w:pPr>
            <w:r>
              <w:rPr>
                <w:sz w:val="12"/>
                <w:szCs w:val="12"/>
                <w:spacing w:val="-1"/>
              </w:rPr>
              <w:t>情况可增加次数</w:t>
            </w:r>
          </w:p>
        </w:tc>
        <w:tc>
          <w:tcPr>
            <w:tcW w:w="819" w:type="dxa"/>
            <w:vAlign w:val="top"/>
            <w:tcBorders>
              <w:bottom w:val="single" w:color="000000" w:sz="2" w:space="0"/>
              <w:top w:val="single" w:color="000000" w:sz="2" w:space="0"/>
            </w:tcBorders>
          </w:tcPr>
          <w:p>
            <w:pPr>
              <w:pStyle w:val="TableText"/>
              <w:ind w:left="166"/>
              <w:spacing w:before="51" w:line="213" w:lineRule="auto"/>
              <w:rPr>
                <w:sz w:val="12"/>
                <w:szCs w:val="12"/>
              </w:rPr>
            </w:pPr>
            <w:r>
              <w:rPr>
                <w:sz w:val="12"/>
                <w:szCs w:val="12"/>
                <w:spacing w:val="3"/>
              </w:rPr>
              <w:t>(10g/袋)</w:t>
            </w:r>
          </w:p>
        </w:tc>
        <w:tc>
          <w:tcPr>
            <w:tcW w:w="2603" w:type="dxa"/>
            <w:vAlign w:val="top"/>
            <w:tcBorders>
              <w:bottom w:val="single" w:color="000000" w:sz="2" w:space="0"/>
              <w:top w:val="single" w:color="000000" w:sz="2" w:space="0"/>
            </w:tcBorders>
          </w:tcPr>
          <w:p>
            <w:pPr>
              <w:pStyle w:val="TableText"/>
              <w:ind w:left="17"/>
              <w:spacing w:before="55" w:line="219" w:lineRule="auto"/>
              <w:rPr>
                <w:sz w:val="12"/>
                <w:szCs w:val="12"/>
              </w:rPr>
            </w:pPr>
            <w:r>
              <w:rPr>
                <w:sz w:val="12"/>
                <w:szCs w:val="12"/>
                <w:spacing w:val="-1"/>
              </w:rPr>
              <w:t>杀蚜虫、茴马、叶蝉、飞凰等害虫</w:t>
            </w:r>
          </w:p>
        </w:tc>
      </w:tr>
      <w:tr>
        <w:trPr>
          <w:trHeight w:val="334" w:hRule="atLeast"/>
        </w:trPr>
        <w:tc>
          <w:tcPr>
            <w:tcW w:w="425" w:type="dxa"/>
            <w:vAlign w:val="top"/>
            <w:vMerge w:val="continue"/>
            <w:tcBorders>
              <w:bottom w:val="nil"/>
              <w:top w:val="nil"/>
            </w:tcBorders>
          </w:tcPr>
          <w:p>
            <w:pPr>
              <w:rPr>
                <w:rFonts w:ascii="Arial"/>
                <w:sz w:val="21"/>
              </w:rPr>
            </w:pPr>
            <w:r/>
          </w:p>
        </w:tc>
        <w:tc>
          <w:tcPr>
            <w:tcW w:w="59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23"/>
              <w:spacing w:before="114" w:line="218" w:lineRule="auto"/>
              <w:rPr>
                <w:sz w:val="12"/>
                <w:szCs w:val="12"/>
              </w:rPr>
            </w:pPr>
            <w:r>
              <w:rPr>
                <w:sz w:val="12"/>
                <w:szCs w:val="12"/>
                <w:spacing w:val="2"/>
              </w:rPr>
              <w:t>中威壮美《杀炳剂)</w:t>
            </w:r>
          </w:p>
        </w:tc>
        <w:tc>
          <w:tcPr>
            <w:tcW w:w="1929" w:type="dxa"/>
            <w:vAlign w:val="top"/>
            <w:tcBorders>
              <w:bottom w:val="single" w:color="000000" w:sz="2" w:space="0"/>
              <w:top w:val="single" w:color="000000" w:sz="2" w:space="0"/>
            </w:tcBorders>
          </w:tcPr>
          <w:p>
            <w:pPr>
              <w:pStyle w:val="TableText"/>
              <w:ind w:left="444"/>
              <w:spacing w:before="114" w:line="219" w:lineRule="auto"/>
              <w:rPr>
                <w:sz w:val="12"/>
                <w:szCs w:val="12"/>
              </w:rPr>
            </w:pPr>
            <w:r>
              <w:rPr>
                <w:sz w:val="12"/>
                <w:szCs w:val="12"/>
                <w:spacing w:val="-5"/>
              </w:rPr>
              <w:t>阿维</w:t>
            </w:r>
            <w:r>
              <w:rPr>
                <w:sz w:val="12"/>
                <w:szCs w:val="12"/>
                <w:spacing w:val="-14"/>
              </w:rPr>
              <w:t xml:space="preserve"> </w:t>
            </w:r>
            <w:r>
              <w:rPr>
                <w:sz w:val="12"/>
                <w:szCs w:val="12"/>
                <w:spacing w:val="-5"/>
              </w:rPr>
              <w:t>·贴蜗灵3.20%</w:t>
            </w:r>
          </w:p>
        </w:tc>
        <w:tc>
          <w:tcPr>
            <w:tcW w:w="1639" w:type="dxa"/>
            <w:vAlign w:val="top"/>
            <w:tcBorders>
              <w:bottom w:val="single" w:color="000000" w:sz="2" w:space="0"/>
              <w:top w:val="single" w:color="000000" w:sz="2" w:space="0"/>
            </w:tcBorders>
          </w:tcPr>
          <w:p>
            <w:pPr>
              <w:pStyle w:val="TableText"/>
              <w:ind w:left="574"/>
              <w:spacing w:before="115" w:line="220" w:lineRule="auto"/>
              <w:rPr>
                <w:sz w:val="12"/>
                <w:szCs w:val="12"/>
              </w:rPr>
            </w:pPr>
            <w:r>
              <w:rPr>
                <w:sz w:val="12"/>
                <w:szCs w:val="12"/>
                <w:spacing w:val="-2"/>
              </w:rPr>
              <w:t>1500倍液</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06"/>
              <w:spacing w:before="115"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right="59"/>
              <w:spacing w:before="45" w:line="210" w:lineRule="auto"/>
              <w:rPr>
                <w:sz w:val="12"/>
                <w:szCs w:val="12"/>
              </w:rPr>
            </w:pPr>
            <w:r>
              <w:rPr>
                <w:sz w:val="12"/>
                <w:szCs w:val="12"/>
                <w:spacing w:val="-1"/>
              </w:rPr>
              <w:t>对红蜘蛛，白蜘蛛及抗性螨类害虫有极强的杀灭</w:t>
            </w:r>
            <w:r>
              <w:rPr>
                <w:sz w:val="12"/>
                <w:szCs w:val="12"/>
                <w:spacing w:val="15"/>
                <w:w w:val="101"/>
              </w:rPr>
              <w:t xml:space="preserve"> </w:t>
            </w:r>
            <w:r>
              <w:rPr>
                <w:sz w:val="12"/>
                <w:szCs w:val="12"/>
                <w:spacing w:val="-2"/>
              </w:rPr>
              <w:t>作用</w:t>
            </w:r>
          </w:p>
        </w:tc>
      </w:tr>
      <w:tr>
        <w:trPr>
          <w:trHeight w:val="240" w:hRule="atLeast"/>
        </w:trPr>
        <w:tc>
          <w:tcPr>
            <w:tcW w:w="425" w:type="dxa"/>
            <w:vAlign w:val="top"/>
            <w:vMerge w:val="continue"/>
            <w:tcBorders>
              <w:bottom w:val="single" w:color="000000" w:sz="2" w:space="0"/>
              <w:top w:val="nil"/>
            </w:tcBorders>
          </w:tcPr>
          <w:p>
            <w:pPr>
              <w:rPr>
                <w:rFonts w:ascii="Arial"/>
                <w:sz w:val="21"/>
              </w:rPr>
            </w:pPr>
            <w:r/>
          </w:p>
        </w:tc>
        <w:tc>
          <w:tcPr>
            <w:tcW w:w="59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65" w:line="219" w:lineRule="auto"/>
              <w:rPr>
                <w:sz w:val="12"/>
                <w:szCs w:val="12"/>
              </w:rPr>
            </w:pPr>
            <w:r>
              <w:rPr>
                <w:sz w:val="12"/>
                <w:szCs w:val="12"/>
                <w:spacing w:val="1"/>
              </w:rPr>
              <w:t>国光红杀</w:t>
            </w:r>
          </w:p>
        </w:tc>
        <w:tc>
          <w:tcPr>
            <w:tcW w:w="1929" w:type="dxa"/>
            <w:vAlign w:val="top"/>
            <w:tcBorders>
              <w:bottom w:val="single" w:color="000000" w:sz="2" w:space="0"/>
              <w:top w:val="single" w:color="000000" w:sz="2" w:space="0"/>
            </w:tcBorders>
          </w:tcPr>
          <w:p>
            <w:pPr>
              <w:pStyle w:val="TableText"/>
              <w:ind w:left="504"/>
              <w:spacing w:before="65" w:line="218" w:lineRule="auto"/>
              <w:rPr>
                <w:sz w:val="12"/>
                <w:szCs w:val="12"/>
              </w:rPr>
            </w:pPr>
            <w:r>
              <w:rPr>
                <w:sz w:val="12"/>
                <w:szCs w:val="12"/>
                <w:spacing w:val="-5"/>
              </w:rPr>
              <w:t>10%苯丁</w:t>
            </w:r>
            <w:r>
              <w:rPr>
                <w:sz w:val="12"/>
                <w:szCs w:val="12"/>
                <w:spacing w:val="-9"/>
              </w:rPr>
              <w:t xml:space="preserve"> </w:t>
            </w:r>
            <w:r>
              <w:rPr>
                <w:sz w:val="12"/>
                <w:szCs w:val="12"/>
                <w:spacing w:val="-5"/>
              </w:rPr>
              <w:t>·哒蜻灵</w:t>
            </w:r>
          </w:p>
        </w:tc>
        <w:tc>
          <w:tcPr>
            <w:tcW w:w="1639" w:type="dxa"/>
            <w:vAlign w:val="top"/>
            <w:tcBorders>
              <w:bottom w:val="single" w:color="000000" w:sz="2" w:space="0"/>
              <w:top w:val="single" w:color="000000" w:sz="2" w:space="0"/>
            </w:tcBorders>
          </w:tcPr>
          <w:p>
            <w:pPr>
              <w:pStyle w:val="TableText"/>
              <w:ind w:left="484"/>
              <w:spacing w:before="65" w:line="220" w:lineRule="auto"/>
              <w:rPr>
                <w:sz w:val="12"/>
                <w:szCs w:val="12"/>
              </w:rPr>
            </w:pPr>
            <w:r>
              <w:rPr>
                <w:sz w:val="12"/>
                <w:szCs w:val="12"/>
                <w:spacing w:val="-5"/>
              </w:rPr>
              <w:t>1000—1500倍</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66"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65" w:line="219" w:lineRule="auto"/>
              <w:rPr>
                <w:sz w:val="12"/>
                <w:szCs w:val="12"/>
              </w:rPr>
            </w:pPr>
            <w:r>
              <w:rPr>
                <w:sz w:val="12"/>
                <w:szCs w:val="12"/>
                <w:spacing w:val="-1"/>
              </w:rPr>
              <w:t>红蜘蛛，白蜘蛛、锅蜘蛛</w:t>
            </w:r>
          </w:p>
        </w:tc>
      </w:tr>
    </w:tbl>
    <w:p>
      <w:pPr>
        <w:spacing w:line="14" w:lineRule="auto"/>
        <w:rPr>
          <w:rFonts w:ascii="Arial"/>
          <w:sz w:val="2"/>
        </w:rPr>
      </w:pPr>
      <w:r/>
    </w:p>
    <w:p>
      <w:pPr>
        <w:spacing w:line="14" w:lineRule="auto"/>
        <w:sectPr>
          <w:pgSz w:w="14490" w:h="10240"/>
          <w:pgMar w:top="115" w:right="234" w:bottom="235" w:left="174" w:header="0" w:footer="0" w:gutter="0"/>
        </w:sectPr>
        <w:rPr>
          <w:rFonts w:ascii="Arial" w:hAnsi="Arial" w:eastAsia="Arial" w:cs="Arial"/>
          <w:sz w:val="2"/>
          <w:szCs w:val="2"/>
        </w:rPr>
      </w:pPr>
    </w:p>
    <w:tbl>
      <w:tblPr>
        <w:tblStyle w:val="TableNormal"/>
        <w:tblW w:w="140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600"/>
        <w:gridCol w:w="989"/>
        <w:gridCol w:w="2718"/>
        <w:gridCol w:w="1289"/>
        <w:gridCol w:w="1929"/>
        <w:gridCol w:w="1639"/>
        <w:gridCol w:w="1069"/>
        <w:gridCol w:w="819"/>
        <w:gridCol w:w="2603"/>
      </w:tblGrid>
      <w:tr>
        <w:trPr>
          <w:trHeight w:val="529" w:hRule="atLeast"/>
        </w:trPr>
        <w:tc>
          <w:tcPr>
            <w:tcW w:w="415" w:type="dxa"/>
            <w:vAlign w:val="top"/>
            <w:tcBorders>
              <w:bottom w:val="single" w:color="000000" w:sz="2" w:space="0"/>
              <w:top w:val="single" w:color="000000" w:sz="2" w:space="0"/>
            </w:tcBorders>
          </w:tcPr>
          <w:p>
            <w:pPr>
              <w:pStyle w:val="TableText"/>
              <w:ind w:left="76"/>
              <w:spacing w:before="202" w:line="219" w:lineRule="auto"/>
              <w:rPr>
                <w:sz w:val="12"/>
                <w:szCs w:val="12"/>
              </w:rPr>
            </w:pPr>
            <w:r>
              <w:rPr>
                <w:sz w:val="12"/>
                <w:szCs w:val="12"/>
                <w:b/>
                <w:bCs/>
                <w:spacing w:val="-3"/>
              </w:rPr>
              <w:t>分类</w:t>
            </w:r>
          </w:p>
        </w:tc>
        <w:tc>
          <w:tcPr>
            <w:tcW w:w="600" w:type="dxa"/>
            <w:vAlign w:val="top"/>
            <w:tcBorders>
              <w:bottom w:val="single" w:color="000000" w:sz="2" w:space="0"/>
              <w:top w:val="single" w:color="000000" w:sz="2" w:space="0"/>
            </w:tcBorders>
          </w:tcPr>
          <w:p>
            <w:pPr>
              <w:pStyle w:val="TableText"/>
              <w:ind w:left="51"/>
              <w:spacing w:before="33" w:line="219" w:lineRule="auto"/>
              <w:rPr>
                <w:sz w:val="12"/>
                <w:szCs w:val="12"/>
              </w:rPr>
            </w:pPr>
            <w:r>
              <w:rPr>
                <w:sz w:val="12"/>
                <w:szCs w:val="12"/>
                <w:b/>
                <w:bCs/>
                <w:spacing w:val="-3"/>
              </w:rPr>
              <w:t>消杀预防</w:t>
            </w:r>
          </w:p>
          <w:p>
            <w:pPr>
              <w:pStyle w:val="TableText"/>
              <w:ind w:left="71"/>
              <w:spacing w:before="7" w:line="220" w:lineRule="auto"/>
              <w:rPr>
                <w:sz w:val="12"/>
                <w:szCs w:val="12"/>
              </w:rPr>
            </w:pPr>
            <w:r>
              <w:rPr>
                <w:sz w:val="12"/>
                <w:szCs w:val="12"/>
                <w:b/>
                <w:bCs/>
                <w:spacing w:val="-3"/>
              </w:rPr>
              <w:t>及病虫害</w:t>
            </w:r>
          </w:p>
          <w:p>
            <w:pPr>
              <w:pStyle w:val="TableText"/>
              <w:ind w:left="171"/>
              <w:spacing w:before="26" w:line="219" w:lineRule="auto"/>
              <w:rPr>
                <w:sz w:val="12"/>
                <w:szCs w:val="12"/>
              </w:rPr>
            </w:pPr>
            <w:r>
              <w:rPr>
                <w:sz w:val="12"/>
                <w:szCs w:val="12"/>
                <w:b/>
                <w:bCs/>
                <w:spacing w:val="-3"/>
              </w:rPr>
              <w:t>分类</w:t>
            </w:r>
          </w:p>
        </w:tc>
        <w:tc>
          <w:tcPr>
            <w:tcW w:w="989" w:type="dxa"/>
            <w:vAlign w:val="top"/>
            <w:tcBorders>
              <w:bottom w:val="single" w:color="000000" w:sz="2" w:space="0"/>
              <w:top w:val="single" w:color="000000" w:sz="2" w:space="0"/>
            </w:tcBorders>
          </w:tcPr>
          <w:p>
            <w:pPr>
              <w:pStyle w:val="TableText"/>
              <w:ind w:left="181"/>
              <w:spacing w:before="202" w:line="219" w:lineRule="auto"/>
              <w:rPr>
                <w:sz w:val="12"/>
                <w:szCs w:val="12"/>
              </w:rPr>
            </w:pPr>
            <w:r>
              <w:rPr>
                <w:sz w:val="12"/>
                <w:szCs w:val="12"/>
                <w:b/>
                <w:bCs/>
                <w:spacing w:val="-3"/>
              </w:rPr>
              <w:t>常见病虫害</w:t>
            </w:r>
          </w:p>
        </w:tc>
        <w:tc>
          <w:tcPr>
            <w:tcW w:w="2718" w:type="dxa"/>
            <w:vAlign w:val="top"/>
            <w:tcBorders>
              <w:bottom w:val="single" w:color="000000" w:sz="2" w:space="0"/>
              <w:top w:val="single" w:color="000000" w:sz="2" w:space="0"/>
            </w:tcBorders>
          </w:tcPr>
          <w:p>
            <w:pPr>
              <w:pStyle w:val="TableText"/>
              <w:ind w:left="982"/>
              <w:spacing w:before="202" w:line="219" w:lineRule="auto"/>
              <w:rPr>
                <w:sz w:val="12"/>
                <w:szCs w:val="12"/>
              </w:rPr>
            </w:pPr>
            <w:r>
              <w:rPr>
                <w:sz w:val="12"/>
                <w:szCs w:val="12"/>
                <w:b/>
                <w:bCs/>
                <w:spacing w:val="-3"/>
              </w:rPr>
              <w:t>主要发病月份</w:t>
            </w:r>
          </w:p>
        </w:tc>
        <w:tc>
          <w:tcPr>
            <w:tcW w:w="1289" w:type="dxa"/>
            <w:vAlign w:val="top"/>
            <w:tcBorders>
              <w:bottom w:val="single" w:color="000000" w:sz="2" w:space="0"/>
              <w:top w:val="single" w:color="000000" w:sz="2" w:space="0"/>
            </w:tcBorders>
          </w:tcPr>
          <w:p>
            <w:pPr>
              <w:pStyle w:val="TableText"/>
              <w:ind w:left="394"/>
              <w:spacing w:before="203" w:line="220" w:lineRule="auto"/>
              <w:rPr>
                <w:sz w:val="12"/>
                <w:szCs w:val="12"/>
              </w:rPr>
            </w:pPr>
            <w:r>
              <w:rPr>
                <w:sz w:val="12"/>
                <w:szCs w:val="12"/>
                <w:b/>
                <w:bCs/>
                <w:spacing w:val="-3"/>
              </w:rPr>
              <w:t>药品名称</w:t>
            </w:r>
          </w:p>
        </w:tc>
        <w:tc>
          <w:tcPr>
            <w:tcW w:w="1929" w:type="dxa"/>
            <w:vAlign w:val="top"/>
            <w:tcBorders>
              <w:bottom w:val="single" w:color="000000" w:sz="2" w:space="0"/>
              <w:top w:val="single" w:color="000000" w:sz="2" w:space="0"/>
            </w:tcBorders>
          </w:tcPr>
          <w:p>
            <w:pPr>
              <w:pStyle w:val="TableText"/>
              <w:ind w:left="715"/>
              <w:spacing w:before="203" w:line="220" w:lineRule="auto"/>
              <w:rPr>
                <w:sz w:val="12"/>
                <w:szCs w:val="12"/>
              </w:rPr>
            </w:pPr>
            <w:r>
              <w:rPr>
                <w:sz w:val="12"/>
                <w:szCs w:val="12"/>
                <w:b/>
                <w:bCs/>
                <w:spacing w:val="-3"/>
              </w:rPr>
              <w:t>主要成分</w:t>
            </w:r>
          </w:p>
        </w:tc>
        <w:tc>
          <w:tcPr>
            <w:tcW w:w="1639" w:type="dxa"/>
            <w:vAlign w:val="top"/>
            <w:tcBorders>
              <w:bottom w:val="single" w:color="000000" w:sz="2" w:space="0"/>
              <w:top w:val="single" w:color="000000" w:sz="2" w:space="0"/>
            </w:tcBorders>
          </w:tcPr>
          <w:p>
            <w:pPr>
              <w:pStyle w:val="TableText"/>
              <w:ind w:left="576"/>
              <w:spacing w:before="202" w:line="219" w:lineRule="auto"/>
              <w:rPr>
                <w:sz w:val="12"/>
                <w:szCs w:val="12"/>
              </w:rPr>
            </w:pPr>
            <w:r>
              <w:rPr>
                <w:sz w:val="12"/>
                <w:szCs w:val="12"/>
                <w:b/>
                <w:bCs/>
                <w:spacing w:val="-3"/>
              </w:rPr>
              <w:t>使用倍率</w:t>
            </w:r>
          </w:p>
        </w:tc>
        <w:tc>
          <w:tcPr>
            <w:tcW w:w="1069" w:type="dxa"/>
            <w:vAlign w:val="top"/>
            <w:tcBorders>
              <w:bottom w:val="single" w:color="000000" w:sz="2" w:space="0"/>
              <w:top w:val="single" w:color="000000" w:sz="2" w:space="0"/>
            </w:tcBorders>
          </w:tcPr>
          <w:p>
            <w:pPr>
              <w:pStyle w:val="TableText"/>
              <w:ind w:left="287"/>
              <w:spacing w:before="202" w:line="219" w:lineRule="auto"/>
              <w:rPr>
                <w:sz w:val="12"/>
                <w:szCs w:val="12"/>
              </w:rPr>
            </w:pPr>
            <w:r>
              <w:rPr>
                <w:sz w:val="12"/>
                <w:szCs w:val="12"/>
                <w:b/>
                <w:bCs/>
                <w:spacing w:val="-3"/>
              </w:rPr>
              <w:t>施用次数</w:t>
            </w:r>
          </w:p>
        </w:tc>
        <w:tc>
          <w:tcPr>
            <w:tcW w:w="819" w:type="dxa"/>
            <w:vAlign w:val="top"/>
            <w:tcBorders>
              <w:bottom w:val="single" w:color="000000" w:sz="2" w:space="0"/>
              <w:top w:val="single" w:color="000000" w:sz="2" w:space="0"/>
            </w:tcBorders>
          </w:tcPr>
          <w:p>
            <w:pPr>
              <w:pStyle w:val="TableText"/>
              <w:ind w:left="288"/>
              <w:spacing w:before="202" w:line="219" w:lineRule="auto"/>
              <w:rPr>
                <w:sz w:val="12"/>
                <w:szCs w:val="12"/>
              </w:rPr>
            </w:pPr>
            <w:r>
              <w:rPr>
                <w:sz w:val="12"/>
                <w:szCs w:val="12"/>
                <w:b/>
                <w:bCs/>
                <w:spacing w:val="-3"/>
              </w:rPr>
              <w:t>规格</w:t>
            </w:r>
          </w:p>
        </w:tc>
        <w:tc>
          <w:tcPr>
            <w:tcW w:w="2603" w:type="dxa"/>
            <w:vAlign w:val="top"/>
            <w:tcBorders>
              <w:bottom w:val="single" w:color="000000" w:sz="2" w:space="0"/>
              <w:top w:val="single" w:color="000000" w:sz="2" w:space="0"/>
            </w:tcBorders>
          </w:tcPr>
          <w:p>
            <w:pPr>
              <w:pStyle w:val="TableText"/>
              <w:ind w:left="1189"/>
              <w:spacing w:before="203" w:line="221" w:lineRule="auto"/>
              <w:rPr>
                <w:sz w:val="12"/>
                <w:szCs w:val="12"/>
              </w:rPr>
            </w:pPr>
            <w:r>
              <w:rPr>
                <w:sz w:val="12"/>
                <w:szCs w:val="12"/>
                <w:b/>
                <w:bCs/>
                <w:spacing w:val="-3"/>
              </w:rPr>
              <w:t>备注</w:t>
            </w:r>
          </w:p>
        </w:tc>
      </w:tr>
      <w:tr>
        <w:trPr>
          <w:trHeight w:val="255" w:hRule="atLeast"/>
        </w:trPr>
        <w:tc>
          <w:tcPr>
            <w:tcW w:w="415" w:type="dxa"/>
            <w:vAlign w:val="top"/>
            <w:vMerge w:val="restart"/>
            <w:tcBorders>
              <w:bottom w:val="nil"/>
              <w:top w:val="single" w:color="000000" w:sz="2" w:space="0"/>
            </w:tcBorders>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4"/>
              <w:spacing w:before="39" w:line="219" w:lineRule="auto"/>
              <w:rPr>
                <w:sz w:val="12"/>
                <w:szCs w:val="12"/>
              </w:rPr>
            </w:pPr>
            <w:r>
              <w:rPr>
                <w:sz w:val="12"/>
                <w:szCs w:val="12"/>
                <w:spacing w:val="9"/>
              </w:rPr>
              <w:t>杀虫刻</w:t>
            </w:r>
          </w:p>
        </w:tc>
        <w:tc>
          <w:tcPr>
            <w:tcW w:w="600" w:type="dxa"/>
            <w:vAlign w:val="top"/>
            <w:vMerge w:val="restart"/>
            <w:tcBorders>
              <w:bottom w:val="nil"/>
              <w:top w:val="single" w:color="000000" w:sz="2" w:space="0"/>
            </w:tcBorders>
          </w:tcPr>
          <w:p>
            <w:pPr>
              <w:spacing w:line="348" w:lineRule="auto"/>
              <w:rPr>
                <w:rFonts w:ascii="Arial"/>
                <w:sz w:val="21"/>
              </w:rPr>
            </w:pPr>
            <w:r/>
          </w:p>
          <w:p>
            <w:pPr>
              <w:pStyle w:val="TableText"/>
              <w:ind w:left="50"/>
              <w:spacing w:before="39" w:line="218" w:lineRule="auto"/>
              <w:rPr>
                <w:sz w:val="12"/>
                <w:szCs w:val="12"/>
              </w:rPr>
            </w:pPr>
            <w:r>
              <w:rPr>
                <w:sz w:val="12"/>
                <w:szCs w:val="12"/>
                <w:spacing w:val="-1"/>
              </w:rPr>
              <w:t>蛀干害虫</w:t>
            </w:r>
          </w:p>
        </w:tc>
        <w:tc>
          <w:tcPr>
            <w:tcW w:w="989" w:type="dxa"/>
            <w:vAlign w:val="top"/>
            <w:vMerge w:val="restart"/>
            <w:tcBorders>
              <w:bottom w:val="nil"/>
              <w:top w:val="single" w:color="000000" w:sz="2" w:space="0"/>
            </w:tcBorders>
          </w:tcPr>
          <w:p>
            <w:pPr>
              <w:pStyle w:val="TableText"/>
              <w:ind w:left="60"/>
              <w:spacing w:before="160" w:line="219" w:lineRule="auto"/>
              <w:rPr>
                <w:sz w:val="12"/>
                <w:szCs w:val="12"/>
              </w:rPr>
            </w:pPr>
            <w:r>
              <w:rPr>
                <w:sz w:val="12"/>
                <w:szCs w:val="12"/>
                <w:spacing w:val="-1"/>
              </w:rPr>
              <w:t>天牛类、小蠹虫</w:t>
            </w:r>
          </w:p>
          <w:p>
            <w:pPr>
              <w:pStyle w:val="TableText"/>
              <w:ind w:left="80"/>
              <w:spacing w:before="7" w:line="219" w:lineRule="auto"/>
              <w:rPr>
                <w:sz w:val="12"/>
                <w:szCs w:val="12"/>
              </w:rPr>
            </w:pPr>
            <w:r>
              <w:rPr>
                <w:sz w:val="12"/>
                <w:szCs w:val="12"/>
                <w:spacing w:val="-1"/>
              </w:rPr>
              <w:t>类、透翅蛾、木</w:t>
            </w:r>
          </w:p>
          <w:p>
            <w:pPr>
              <w:pStyle w:val="TableText"/>
              <w:ind w:left="50"/>
              <w:spacing w:before="7" w:line="219" w:lineRule="auto"/>
              <w:rPr>
                <w:sz w:val="12"/>
                <w:szCs w:val="12"/>
              </w:rPr>
            </w:pPr>
            <w:r>
              <w:rPr>
                <w:sz w:val="12"/>
                <w:szCs w:val="12"/>
                <w:spacing w:val="-2"/>
              </w:rPr>
              <w:t>蠹蛾类，古丁虫</w:t>
            </w:r>
          </w:p>
          <w:p>
            <w:pPr>
              <w:pStyle w:val="TableText"/>
              <w:ind w:left="390"/>
              <w:spacing w:before="17" w:line="219" w:lineRule="auto"/>
              <w:rPr>
                <w:sz w:val="12"/>
                <w:szCs w:val="12"/>
              </w:rPr>
            </w:pPr>
            <w:r>
              <w:rPr>
                <w:sz w:val="12"/>
                <w:szCs w:val="12"/>
                <w:spacing w:val="-3"/>
              </w:rPr>
              <w:t>类</w:t>
            </w:r>
            <w:r>
              <w:rPr>
                <w:sz w:val="12"/>
                <w:szCs w:val="12"/>
                <w:spacing w:val="-29"/>
              </w:rPr>
              <w:t xml:space="preserve"> </w:t>
            </w:r>
            <w:r>
              <w:rPr>
                <w:sz w:val="12"/>
                <w:szCs w:val="12"/>
                <w:spacing w:val="-3"/>
              </w:rPr>
              <w:t>，</w:t>
            </w:r>
          </w:p>
        </w:tc>
        <w:tc>
          <w:tcPr>
            <w:tcW w:w="2718" w:type="dxa"/>
            <w:vAlign w:val="top"/>
            <w:vMerge w:val="restart"/>
            <w:tcBorders>
              <w:bottom w:val="nil"/>
              <w:top w:val="single" w:color="000000" w:sz="2" w:space="0"/>
            </w:tcBorders>
          </w:tcPr>
          <w:p>
            <w:pPr>
              <w:spacing w:line="308" w:lineRule="auto"/>
              <w:rPr>
                <w:rFonts w:ascii="Arial"/>
                <w:sz w:val="21"/>
              </w:rPr>
            </w:pPr>
            <w:r/>
          </w:p>
          <w:p>
            <w:pPr>
              <w:spacing w:line="308" w:lineRule="auto"/>
              <w:rPr>
                <w:rFonts w:ascii="Arial"/>
                <w:sz w:val="21"/>
              </w:rPr>
            </w:pPr>
            <w:r/>
          </w:p>
          <w:p>
            <w:pPr>
              <w:pStyle w:val="TableText"/>
              <w:ind w:left="11" w:right="63"/>
              <w:spacing w:before="39" w:line="238" w:lineRule="auto"/>
              <w:rPr>
                <w:sz w:val="12"/>
                <w:szCs w:val="12"/>
              </w:rPr>
            </w:pPr>
            <w:r>
              <w:rPr>
                <w:sz w:val="12"/>
                <w:szCs w:val="12"/>
                <w:spacing w:val="-1"/>
              </w:rPr>
              <w:t>一、3月底-5月、8月中甸预防消杀为主，在进入雨</w:t>
            </w:r>
            <w:r>
              <w:rPr>
                <w:sz w:val="12"/>
                <w:szCs w:val="12"/>
                <w:spacing w:val="16"/>
              </w:rPr>
              <w:t xml:space="preserve"> </w:t>
            </w:r>
            <w:r>
              <w:rPr>
                <w:sz w:val="12"/>
                <w:szCs w:val="12"/>
              </w:rPr>
              <w:t>季、高发季前全园区消杀虫卵、幼虫、蛹。</w:t>
            </w:r>
          </w:p>
          <w:p>
            <w:pPr>
              <w:pStyle w:val="TableText"/>
              <w:ind w:left="11" w:right="1"/>
              <w:spacing w:line="209" w:lineRule="auto"/>
              <w:rPr>
                <w:sz w:val="12"/>
                <w:szCs w:val="12"/>
              </w:rPr>
            </w:pPr>
            <w:r>
              <w:rPr>
                <w:sz w:val="12"/>
                <w:szCs w:val="12"/>
                <w:spacing w:val="-1"/>
              </w:rPr>
              <w:t>三、6月-9月是大部分害虫成蚓或羽化期，采取人工</w:t>
            </w:r>
            <w:r>
              <w:rPr>
                <w:sz w:val="12"/>
                <w:szCs w:val="12"/>
                <w:spacing w:val="18"/>
              </w:rPr>
              <w:t xml:space="preserve"> </w:t>
            </w:r>
            <w:r>
              <w:rPr>
                <w:sz w:val="12"/>
                <w:szCs w:val="12"/>
              </w:rPr>
              <w:t>加药物双重治疗除卵，除蚓，除成虫。</w:t>
            </w:r>
          </w:p>
        </w:tc>
        <w:tc>
          <w:tcPr>
            <w:tcW w:w="1289" w:type="dxa"/>
            <w:vAlign w:val="top"/>
            <w:tcBorders>
              <w:bottom w:val="single" w:color="000000" w:sz="2" w:space="0"/>
              <w:top w:val="single" w:color="000000" w:sz="2" w:space="0"/>
            </w:tcBorders>
          </w:tcPr>
          <w:p>
            <w:pPr>
              <w:pStyle w:val="TableText"/>
              <w:ind w:left="393"/>
              <w:spacing w:before="69" w:line="218" w:lineRule="auto"/>
              <w:rPr>
                <w:sz w:val="12"/>
                <w:szCs w:val="12"/>
              </w:rPr>
            </w:pPr>
            <w:r>
              <w:rPr>
                <w:sz w:val="12"/>
                <w:szCs w:val="12"/>
                <w:spacing w:val="2"/>
              </w:rPr>
              <w:t>国光依它</w:t>
            </w:r>
          </w:p>
        </w:tc>
        <w:tc>
          <w:tcPr>
            <w:tcW w:w="1929" w:type="dxa"/>
            <w:vAlign w:val="top"/>
            <w:tcBorders>
              <w:bottom w:val="single" w:color="000000" w:sz="2" w:space="0"/>
              <w:top w:val="single" w:color="000000" w:sz="2" w:space="0"/>
            </w:tcBorders>
          </w:tcPr>
          <w:p>
            <w:pPr>
              <w:pStyle w:val="TableText"/>
              <w:ind w:left="384"/>
              <w:spacing w:before="70" w:line="219" w:lineRule="auto"/>
              <w:rPr>
                <w:sz w:val="12"/>
                <w:szCs w:val="12"/>
              </w:rPr>
            </w:pPr>
            <w:r>
              <w:rPr>
                <w:sz w:val="12"/>
                <w:szCs w:val="12"/>
                <w:spacing w:val="-5"/>
              </w:rPr>
              <w:t>45%丙溴</w:t>
            </w:r>
            <w:r>
              <w:rPr>
                <w:sz w:val="12"/>
                <w:szCs w:val="12"/>
                <w:spacing w:val="-11"/>
              </w:rPr>
              <w:t xml:space="preserve"> </w:t>
            </w:r>
            <w:r>
              <w:rPr>
                <w:sz w:val="12"/>
                <w:szCs w:val="12"/>
                <w:spacing w:val="-5"/>
              </w:rPr>
              <w:t>·辛硫磷乳油</w:t>
            </w:r>
          </w:p>
        </w:tc>
        <w:tc>
          <w:tcPr>
            <w:tcW w:w="1639" w:type="dxa"/>
            <w:vAlign w:val="top"/>
            <w:tcBorders>
              <w:bottom w:val="single" w:color="000000" w:sz="2" w:space="0"/>
              <w:top w:val="single" w:color="000000" w:sz="2" w:space="0"/>
            </w:tcBorders>
          </w:tcPr>
          <w:p>
            <w:pPr>
              <w:pStyle w:val="TableText"/>
              <w:ind w:left="454"/>
              <w:spacing w:before="70" w:line="219" w:lineRule="auto"/>
              <w:rPr>
                <w:sz w:val="12"/>
                <w:szCs w:val="12"/>
              </w:rPr>
            </w:pPr>
            <w:r>
              <w:rPr>
                <w:sz w:val="12"/>
                <w:szCs w:val="12"/>
                <w:spacing w:val="-1"/>
              </w:rPr>
              <w:t>稀释5-10倍液</w:t>
            </w:r>
          </w:p>
        </w:tc>
        <w:tc>
          <w:tcPr>
            <w:tcW w:w="1069" w:type="dxa"/>
            <w:vAlign w:val="top"/>
            <w:vMerge w:val="restart"/>
            <w:tcBorders>
              <w:bottom w:val="nil"/>
              <w:top w:val="single" w:color="000000" w:sz="2" w:space="0"/>
            </w:tcBorders>
          </w:tcPr>
          <w:p>
            <w:pPr>
              <w:pStyle w:val="TableText"/>
              <w:ind w:left="16"/>
              <w:spacing w:before="239" w:line="219" w:lineRule="auto"/>
              <w:rPr>
                <w:sz w:val="12"/>
                <w:szCs w:val="12"/>
              </w:rPr>
            </w:pPr>
            <w:r>
              <w:rPr>
                <w:sz w:val="12"/>
                <w:szCs w:val="12"/>
                <w:spacing w:val="-1"/>
              </w:rPr>
              <w:t>一般用2次，时间间</w:t>
            </w:r>
          </w:p>
          <w:p>
            <w:pPr>
              <w:pStyle w:val="TableText"/>
              <w:ind w:left="16"/>
              <w:spacing w:before="7" w:line="220" w:lineRule="auto"/>
              <w:rPr>
                <w:sz w:val="12"/>
                <w:szCs w:val="12"/>
              </w:rPr>
            </w:pPr>
            <w:r>
              <w:rPr>
                <w:sz w:val="12"/>
                <w:szCs w:val="12"/>
                <w:spacing w:val="-2"/>
              </w:rPr>
              <w:t>隔7到10天，视现场</w:t>
            </w:r>
          </w:p>
          <w:p>
            <w:pPr>
              <w:pStyle w:val="TableText"/>
              <w:ind w:left="106"/>
              <w:spacing w:before="6" w:line="219" w:lineRule="auto"/>
              <w:rPr>
                <w:sz w:val="12"/>
                <w:szCs w:val="12"/>
              </w:rPr>
            </w:pPr>
            <w:r>
              <w:rPr>
                <w:sz w:val="12"/>
                <w:szCs w:val="12"/>
                <w:spacing w:val="-1"/>
              </w:rPr>
              <w:t>情况可增加次数</w:t>
            </w:r>
          </w:p>
        </w:tc>
        <w:tc>
          <w:tcPr>
            <w:tcW w:w="819" w:type="dxa"/>
            <w:vAlign w:val="top"/>
            <w:tcBorders>
              <w:bottom w:val="single" w:color="000000" w:sz="2" w:space="0"/>
              <w:top w:val="single" w:color="000000" w:sz="2" w:space="0"/>
            </w:tcBorders>
          </w:tcPr>
          <w:p>
            <w:pPr>
              <w:pStyle w:val="TableText"/>
              <w:ind w:left="106"/>
              <w:spacing w:before="70"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70" w:line="219" w:lineRule="auto"/>
              <w:rPr>
                <w:sz w:val="12"/>
                <w:szCs w:val="12"/>
              </w:rPr>
            </w:pPr>
            <w:r>
              <w:rPr>
                <w:sz w:val="12"/>
                <w:szCs w:val="12"/>
                <w:spacing w:val="-1"/>
              </w:rPr>
              <w:t>注射虫洞，黄泥封洞</w:t>
            </w:r>
          </w:p>
        </w:tc>
      </w:tr>
      <w:tr>
        <w:trPr>
          <w:trHeight w:val="315"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99" w:line="218" w:lineRule="auto"/>
              <w:rPr>
                <w:sz w:val="12"/>
                <w:szCs w:val="12"/>
              </w:rPr>
            </w:pPr>
            <w:r>
              <w:rPr>
                <w:sz w:val="12"/>
                <w:szCs w:val="12"/>
                <w:spacing w:val="1"/>
              </w:rPr>
              <w:t>国光防蛀液剂</w:t>
            </w:r>
          </w:p>
        </w:tc>
        <w:tc>
          <w:tcPr>
            <w:tcW w:w="1929" w:type="dxa"/>
            <w:vAlign w:val="top"/>
            <w:tcBorders>
              <w:bottom w:val="single" w:color="000000" w:sz="2" w:space="0"/>
              <w:top w:val="single" w:color="000000" w:sz="2" w:space="0"/>
            </w:tcBorders>
          </w:tcPr>
          <w:p>
            <w:pPr>
              <w:pStyle w:val="TableText"/>
              <w:ind w:left="684"/>
              <w:spacing w:before="109" w:line="219" w:lineRule="auto"/>
              <w:rPr>
                <w:sz w:val="12"/>
                <w:szCs w:val="12"/>
              </w:rPr>
            </w:pPr>
            <w:r>
              <w:rPr>
                <w:sz w:val="12"/>
                <w:szCs w:val="12"/>
                <w:spacing w:val="-1"/>
              </w:rPr>
              <w:t>0.3氯菊酯</w:t>
            </w:r>
          </w:p>
        </w:tc>
        <w:tc>
          <w:tcPr>
            <w:tcW w:w="1639" w:type="dxa"/>
            <w:vAlign w:val="top"/>
            <w:tcBorders>
              <w:bottom w:val="single" w:color="000000" w:sz="2" w:space="0"/>
              <w:top w:val="single" w:color="000000" w:sz="2" w:space="0"/>
            </w:tcBorders>
          </w:tcPr>
          <w:p>
            <w:pPr>
              <w:pStyle w:val="TableText"/>
              <w:ind w:left="574"/>
              <w:spacing w:before="119" w:line="219" w:lineRule="auto"/>
              <w:rPr>
                <w:sz w:val="12"/>
                <w:szCs w:val="12"/>
              </w:rPr>
            </w:pPr>
            <w:r>
              <w:rPr>
                <w:sz w:val="12"/>
                <w:szCs w:val="12"/>
                <w:spacing w:val="3"/>
              </w:rPr>
              <w:t>直接使用</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100" w:line="220" w:lineRule="auto"/>
              <w:rPr>
                <w:sz w:val="12"/>
                <w:szCs w:val="12"/>
              </w:rPr>
            </w:pPr>
            <w:r>
              <w:rPr>
                <w:sz w:val="12"/>
                <w:szCs w:val="12"/>
                <w:spacing w:val="4"/>
              </w:rPr>
              <w:t>(20</w:t>
            </w:r>
            <w:r>
              <w:rPr>
                <w:sz w:val="12"/>
                <w:szCs w:val="12"/>
              </w:rPr>
              <w:t>ml</w:t>
            </w:r>
            <w:r>
              <w:rPr>
                <w:sz w:val="12"/>
                <w:szCs w:val="12"/>
                <w:spacing w:val="4"/>
              </w:rPr>
              <w:t>/支)</w:t>
            </w:r>
          </w:p>
        </w:tc>
        <w:tc>
          <w:tcPr>
            <w:tcW w:w="2603" w:type="dxa"/>
            <w:vAlign w:val="top"/>
            <w:tcBorders>
              <w:bottom w:val="single" w:color="000000" w:sz="2" w:space="0"/>
              <w:top w:val="single" w:color="000000" w:sz="2" w:space="0"/>
            </w:tcBorders>
          </w:tcPr>
          <w:p>
            <w:pPr>
              <w:pStyle w:val="TableText"/>
              <w:ind w:left="17" w:right="240"/>
              <w:spacing w:before="20" w:line="210" w:lineRule="auto"/>
              <w:rPr>
                <w:sz w:val="12"/>
                <w:szCs w:val="12"/>
              </w:rPr>
            </w:pPr>
            <w:r>
              <w:rPr>
                <w:sz w:val="12"/>
                <w:szCs w:val="12"/>
                <w:spacing w:val="-1"/>
              </w:rPr>
              <w:t>专杀蛀杆性害虫胸径8-10c用1支，每增加10c</w:t>
            </w:r>
            <w:r>
              <w:rPr>
                <w:sz w:val="12"/>
                <w:szCs w:val="12"/>
                <w:spacing w:val="17"/>
                <w:w w:val="101"/>
              </w:rPr>
              <w:t xml:space="preserve"> </w:t>
            </w:r>
            <w:r>
              <w:rPr>
                <w:sz w:val="12"/>
                <w:szCs w:val="12"/>
                <w:spacing w:val="-1"/>
              </w:rPr>
              <w:t>增加1支</w:t>
            </w:r>
          </w:p>
        </w:tc>
      </w:tr>
      <w:tr>
        <w:trPr>
          <w:trHeight w:val="32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3"/>
              <w:spacing w:before="99" w:line="218" w:lineRule="auto"/>
              <w:rPr>
                <w:sz w:val="12"/>
                <w:szCs w:val="12"/>
              </w:rPr>
            </w:pPr>
            <w:r>
              <w:rPr>
                <w:sz w:val="12"/>
                <w:szCs w:val="12"/>
                <w:spacing w:val="1"/>
              </w:rPr>
              <w:t>中威蛀干害虫专用</w:t>
            </w:r>
          </w:p>
        </w:tc>
        <w:tc>
          <w:tcPr>
            <w:tcW w:w="1929" w:type="dxa"/>
            <w:vAlign w:val="top"/>
            <w:tcBorders>
              <w:bottom w:val="single" w:color="000000" w:sz="2" w:space="0"/>
              <w:top w:val="single" w:color="000000" w:sz="2" w:space="0"/>
            </w:tcBorders>
          </w:tcPr>
          <w:p>
            <w:pPr>
              <w:pStyle w:val="TableText"/>
              <w:ind w:left="263"/>
              <w:spacing w:before="99" w:line="219" w:lineRule="auto"/>
              <w:rPr>
                <w:sz w:val="12"/>
                <w:szCs w:val="12"/>
              </w:rPr>
            </w:pPr>
            <w:r>
              <w:rPr>
                <w:sz w:val="12"/>
                <w:szCs w:val="12"/>
                <w:spacing w:val="-8"/>
              </w:rPr>
              <w:t>氟戊</w:t>
            </w:r>
            <w:r>
              <w:rPr>
                <w:sz w:val="12"/>
                <w:szCs w:val="12"/>
                <w:spacing w:val="-9"/>
              </w:rPr>
              <w:t xml:space="preserve"> </w:t>
            </w:r>
            <w:r>
              <w:rPr>
                <w:sz w:val="12"/>
                <w:szCs w:val="12"/>
                <w:spacing w:val="-8"/>
              </w:rPr>
              <w:t>·马拉松</w:t>
            </w:r>
            <w:r>
              <w:rPr>
                <w:sz w:val="12"/>
                <w:szCs w:val="12"/>
                <w:spacing w:val="-14"/>
              </w:rPr>
              <w:t xml:space="preserve"> </w:t>
            </w:r>
            <w:r>
              <w:rPr>
                <w:sz w:val="12"/>
                <w:szCs w:val="12"/>
                <w:spacing w:val="-8"/>
              </w:rPr>
              <w:t>·苦参碱20%</w:t>
            </w:r>
          </w:p>
        </w:tc>
        <w:tc>
          <w:tcPr>
            <w:tcW w:w="1639" w:type="dxa"/>
            <w:vAlign w:val="top"/>
            <w:tcBorders>
              <w:bottom w:val="single" w:color="000000" w:sz="2" w:space="0"/>
              <w:top w:val="single" w:color="000000" w:sz="2" w:space="0"/>
            </w:tcBorders>
          </w:tcPr>
          <w:p>
            <w:pPr>
              <w:pStyle w:val="TableText"/>
              <w:ind w:left="574"/>
              <w:spacing w:before="99" w:line="219" w:lineRule="auto"/>
              <w:rPr>
                <w:sz w:val="12"/>
                <w:szCs w:val="12"/>
              </w:rPr>
            </w:pPr>
            <w:r>
              <w:rPr>
                <w:sz w:val="12"/>
                <w:szCs w:val="12"/>
                <w:spacing w:val="3"/>
              </w:rPr>
              <w:t>直接使用</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99" w:line="220" w:lineRule="auto"/>
              <w:rPr>
                <w:sz w:val="12"/>
                <w:szCs w:val="12"/>
              </w:rPr>
            </w:pPr>
            <w:r>
              <w:rPr>
                <w:sz w:val="12"/>
                <w:szCs w:val="12"/>
                <w:spacing w:val="4"/>
              </w:rPr>
              <w:t>(20</w:t>
            </w:r>
            <w:r>
              <w:rPr>
                <w:sz w:val="12"/>
                <w:szCs w:val="12"/>
              </w:rPr>
              <w:t>ml</w:t>
            </w:r>
            <w:r>
              <w:rPr>
                <w:sz w:val="12"/>
                <w:szCs w:val="12"/>
                <w:spacing w:val="4"/>
              </w:rPr>
              <w:t>/支)</w:t>
            </w:r>
          </w:p>
        </w:tc>
        <w:tc>
          <w:tcPr>
            <w:tcW w:w="2603" w:type="dxa"/>
            <w:vAlign w:val="top"/>
            <w:tcBorders>
              <w:bottom w:val="single" w:color="000000" w:sz="2" w:space="0"/>
              <w:top w:val="single" w:color="000000" w:sz="2" w:space="0"/>
            </w:tcBorders>
          </w:tcPr>
          <w:p>
            <w:pPr>
              <w:pStyle w:val="TableText"/>
              <w:ind w:left="17" w:right="59"/>
              <w:spacing w:before="29" w:line="209" w:lineRule="auto"/>
              <w:rPr>
                <w:sz w:val="12"/>
                <w:szCs w:val="12"/>
              </w:rPr>
            </w:pPr>
            <w:r>
              <w:rPr>
                <w:sz w:val="12"/>
                <w:szCs w:val="12"/>
                <w:spacing w:val="-1"/>
              </w:rPr>
              <w:t>针对天牛幼虫、吉丁虫。木澎蛾、松材线虫等蛙</w:t>
            </w:r>
            <w:r>
              <w:rPr>
                <w:sz w:val="12"/>
                <w:szCs w:val="12"/>
                <w:spacing w:val="15"/>
              </w:rPr>
              <w:t xml:space="preserve"> </w:t>
            </w:r>
            <w:r>
              <w:rPr>
                <w:sz w:val="12"/>
                <w:szCs w:val="12"/>
                <w:spacing w:val="-1"/>
              </w:rPr>
              <w:t>干害虫效果明显</w:t>
            </w:r>
          </w:p>
        </w:tc>
      </w:tr>
      <w:tr>
        <w:trPr>
          <w:trHeight w:val="225" w:hRule="atLeast"/>
        </w:trPr>
        <w:tc>
          <w:tcPr>
            <w:tcW w:w="415" w:type="dxa"/>
            <w:vAlign w:val="top"/>
            <w:vMerge w:val="continue"/>
            <w:tcBorders>
              <w:bottom w:val="nil"/>
              <w:top w:val="nil"/>
            </w:tcBorders>
          </w:tcPr>
          <w:p>
            <w:pPr>
              <w:rPr>
                <w:rFonts w:ascii="Arial"/>
                <w:sz w:val="21"/>
              </w:rPr>
            </w:pPr>
            <w:r/>
          </w:p>
        </w:tc>
        <w:tc>
          <w:tcPr>
            <w:tcW w:w="600" w:type="dxa"/>
            <w:vAlign w:val="top"/>
            <w:vMerge w:val="restart"/>
            <w:tcBorders>
              <w:bottom w:val="nil"/>
              <w:top w:val="single" w:color="000000" w:sz="2" w:space="0"/>
            </w:tcBorders>
          </w:tcPr>
          <w:p>
            <w:pPr>
              <w:spacing w:line="319" w:lineRule="auto"/>
              <w:rPr>
                <w:rFonts w:ascii="Arial"/>
                <w:sz w:val="21"/>
              </w:rPr>
            </w:pPr>
            <w:r/>
          </w:p>
          <w:p>
            <w:pPr>
              <w:pStyle w:val="TableText"/>
              <w:ind w:left="50"/>
              <w:spacing w:before="39" w:line="220" w:lineRule="auto"/>
              <w:rPr>
                <w:sz w:val="12"/>
                <w:szCs w:val="12"/>
              </w:rPr>
            </w:pPr>
            <w:r>
              <w:rPr>
                <w:sz w:val="12"/>
                <w:szCs w:val="12"/>
                <w:spacing w:val="-1"/>
              </w:rPr>
              <w:t>地下害虫</w:t>
            </w:r>
          </w:p>
        </w:tc>
        <w:tc>
          <w:tcPr>
            <w:tcW w:w="989" w:type="dxa"/>
            <w:vAlign w:val="top"/>
            <w:vMerge w:val="restart"/>
            <w:tcBorders>
              <w:bottom w:val="nil"/>
              <w:top w:val="single" w:color="000000" w:sz="2" w:space="0"/>
            </w:tcBorders>
          </w:tcPr>
          <w:p>
            <w:pPr>
              <w:pStyle w:val="TableText"/>
              <w:ind w:left="90"/>
              <w:spacing w:before="209" w:line="218" w:lineRule="auto"/>
              <w:rPr>
                <w:sz w:val="12"/>
                <w:szCs w:val="12"/>
              </w:rPr>
            </w:pPr>
            <w:r>
              <w:rPr>
                <w:sz w:val="12"/>
                <w:szCs w:val="12"/>
                <w:spacing w:val="-1"/>
              </w:rPr>
              <w:t>蛴蛐、地老虎，</w:t>
            </w:r>
          </w:p>
          <w:p>
            <w:pPr>
              <w:pStyle w:val="TableText"/>
              <w:ind w:left="60" w:right="18" w:firstLine="29"/>
              <w:spacing w:before="18" w:line="219" w:lineRule="auto"/>
              <w:rPr>
                <w:sz w:val="12"/>
                <w:szCs w:val="12"/>
              </w:rPr>
            </w:pPr>
            <w:r>
              <w:rPr>
                <w:sz w:val="12"/>
                <w:szCs w:val="12"/>
              </w:rPr>
              <w:t>其他土中虫卵， </w:t>
            </w:r>
            <w:r>
              <w:rPr>
                <w:sz w:val="12"/>
                <w:szCs w:val="12"/>
                <w:spacing w:val="8"/>
              </w:rPr>
              <w:t>鳏姑，金针虫、</w:t>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50" w:line="219" w:lineRule="auto"/>
              <w:rPr>
                <w:sz w:val="12"/>
                <w:szCs w:val="12"/>
              </w:rPr>
            </w:pPr>
            <w:r>
              <w:rPr>
                <w:sz w:val="12"/>
                <w:szCs w:val="12"/>
                <w:spacing w:val="1"/>
              </w:rPr>
              <w:t>国光地柔</w:t>
            </w:r>
          </w:p>
        </w:tc>
        <w:tc>
          <w:tcPr>
            <w:tcW w:w="1929" w:type="dxa"/>
            <w:vAlign w:val="top"/>
            <w:tcBorders>
              <w:bottom w:val="single" w:color="000000" w:sz="2" w:space="0"/>
              <w:top w:val="single" w:color="000000" w:sz="2" w:space="0"/>
            </w:tcBorders>
          </w:tcPr>
          <w:p>
            <w:pPr>
              <w:pStyle w:val="TableText"/>
              <w:ind w:left="203"/>
              <w:spacing w:before="50" w:line="218" w:lineRule="auto"/>
              <w:rPr>
                <w:sz w:val="12"/>
                <w:szCs w:val="12"/>
              </w:rPr>
            </w:pPr>
            <w:r>
              <w:rPr>
                <w:sz w:val="12"/>
                <w:szCs w:val="12"/>
                <w:spacing w:val="-1"/>
              </w:rPr>
              <w:t>5%丁疏克百成.毒死蜱颗粒剂</w:t>
            </w:r>
          </w:p>
        </w:tc>
        <w:tc>
          <w:tcPr>
            <w:tcW w:w="1639" w:type="dxa"/>
            <w:vAlign w:val="top"/>
            <w:tcBorders>
              <w:bottom w:val="single" w:color="000000" w:sz="2" w:space="0"/>
              <w:top w:val="single" w:color="000000" w:sz="2" w:space="0"/>
            </w:tcBorders>
          </w:tcPr>
          <w:p>
            <w:pPr>
              <w:pStyle w:val="TableText"/>
              <w:ind w:left="275"/>
              <w:spacing w:before="46" w:line="213" w:lineRule="auto"/>
              <w:rPr>
                <w:sz w:val="12"/>
                <w:szCs w:val="12"/>
              </w:rPr>
            </w:pPr>
            <w:r>
              <w:rPr>
                <w:sz w:val="12"/>
                <w:szCs w:val="12"/>
                <w:spacing w:val="-1"/>
              </w:rPr>
              <w:t>直接撤施：5-7kg/亩</w:t>
            </w:r>
          </w:p>
        </w:tc>
        <w:tc>
          <w:tcPr>
            <w:tcW w:w="1069" w:type="dxa"/>
            <w:vAlign w:val="top"/>
            <w:vMerge w:val="restart"/>
            <w:tcBorders>
              <w:bottom w:val="nil"/>
              <w:top w:val="single" w:color="000000" w:sz="2" w:space="0"/>
            </w:tcBorders>
          </w:tcPr>
          <w:p>
            <w:pPr>
              <w:spacing w:line="318" w:lineRule="auto"/>
              <w:rPr>
                <w:rFonts w:ascii="Arial"/>
                <w:sz w:val="21"/>
              </w:rPr>
            </w:pPr>
            <w:r/>
          </w:p>
          <w:p>
            <w:pPr>
              <w:pStyle w:val="TableText"/>
              <w:ind w:left="256"/>
              <w:spacing w:before="39" w:line="219" w:lineRule="auto"/>
              <w:rPr>
                <w:sz w:val="12"/>
                <w:szCs w:val="12"/>
              </w:rPr>
            </w:pPr>
            <w:r>
              <w:rPr>
                <w:sz w:val="12"/>
                <w:szCs w:val="12"/>
                <w:spacing w:val="-2"/>
              </w:rPr>
              <w:t>一般用1次</w:t>
            </w:r>
          </w:p>
        </w:tc>
        <w:tc>
          <w:tcPr>
            <w:tcW w:w="819" w:type="dxa"/>
            <w:vAlign w:val="top"/>
            <w:tcBorders>
              <w:bottom w:val="single" w:color="000000" w:sz="2" w:space="0"/>
              <w:top w:val="single" w:color="000000" w:sz="2" w:space="0"/>
            </w:tcBorders>
          </w:tcPr>
          <w:p>
            <w:pPr>
              <w:pStyle w:val="TableText"/>
              <w:ind w:left="166"/>
              <w:spacing w:before="46" w:line="213" w:lineRule="auto"/>
              <w:rPr>
                <w:sz w:val="12"/>
                <w:szCs w:val="12"/>
              </w:rPr>
            </w:pPr>
            <w:r>
              <w:rPr>
                <w:sz w:val="12"/>
                <w:szCs w:val="12"/>
                <w:spacing w:val="6"/>
              </w:rPr>
              <w:t>(</w:t>
            </w:r>
            <w:r>
              <w:rPr>
                <w:sz w:val="12"/>
                <w:szCs w:val="12"/>
              </w:rPr>
              <w:t>Ikg</w:t>
            </w:r>
            <w:r>
              <w:rPr>
                <w:sz w:val="12"/>
                <w:szCs w:val="12"/>
                <w:spacing w:val="6"/>
              </w:rPr>
              <w:t>/袋)</w:t>
            </w:r>
          </w:p>
        </w:tc>
        <w:tc>
          <w:tcPr>
            <w:tcW w:w="2603" w:type="dxa"/>
            <w:vAlign w:val="top"/>
            <w:tcBorders>
              <w:bottom w:val="single" w:color="000000" w:sz="2" w:space="0"/>
              <w:top w:val="single" w:color="000000" w:sz="2" w:space="0"/>
            </w:tcBorders>
          </w:tcPr>
          <w:p>
            <w:pPr>
              <w:pStyle w:val="TableText"/>
              <w:ind w:left="17"/>
              <w:spacing w:before="50" w:line="219" w:lineRule="auto"/>
              <w:rPr>
                <w:sz w:val="12"/>
                <w:szCs w:val="12"/>
              </w:rPr>
            </w:pPr>
            <w:r>
              <w:rPr>
                <w:sz w:val="12"/>
                <w:szCs w:val="12"/>
                <w:spacing w:val="-1"/>
              </w:rPr>
              <w:t>在土壤中杀灭害虫效果好。使用方便</w:t>
            </w:r>
          </w:p>
        </w:tc>
      </w:tr>
      <w:tr>
        <w:trPr>
          <w:trHeight w:val="305"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09" w:line="219" w:lineRule="auto"/>
              <w:rPr>
                <w:sz w:val="12"/>
                <w:szCs w:val="12"/>
              </w:rPr>
            </w:pPr>
            <w:r>
              <w:rPr>
                <w:sz w:val="12"/>
                <w:szCs w:val="12"/>
                <w:spacing w:val="1"/>
              </w:rPr>
              <w:t>国光土桑</w:t>
            </w:r>
          </w:p>
        </w:tc>
        <w:tc>
          <w:tcPr>
            <w:tcW w:w="1929" w:type="dxa"/>
            <w:vAlign w:val="top"/>
            <w:tcBorders>
              <w:bottom w:val="single" w:color="000000" w:sz="2" w:space="0"/>
              <w:top w:val="single" w:color="000000" w:sz="2" w:space="0"/>
            </w:tcBorders>
          </w:tcPr>
          <w:p>
            <w:pPr>
              <w:pStyle w:val="TableText"/>
              <w:ind w:left="684"/>
              <w:spacing w:before="109" w:line="219" w:lineRule="auto"/>
              <w:rPr>
                <w:sz w:val="12"/>
                <w:szCs w:val="12"/>
              </w:rPr>
            </w:pPr>
            <w:r>
              <w:rPr>
                <w:sz w:val="12"/>
                <w:szCs w:val="12"/>
                <w:spacing w:val="-9"/>
              </w:rPr>
              <w:t>40%毒</w:t>
            </w:r>
            <w:r>
              <w:rPr>
                <w:sz w:val="12"/>
                <w:szCs w:val="12"/>
                <w:spacing w:val="-12"/>
              </w:rPr>
              <w:t xml:space="preserve"> </w:t>
            </w:r>
            <w:r>
              <w:rPr>
                <w:sz w:val="12"/>
                <w:szCs w:val="12"/>
                <w:spacing w:val="-9"/>
              </w:rPr>
              <w:t>·辛</w:t>
            </w:r>
          </w:p>
        </w:tc>
        <w:tc>
          <w:tcPr>
            <w:tcW w:w="1639" w:type="dxa"/>
            <w:vAlign w:val="top"/>
            <w:tcBorders>
              <w:bottom w:val="single" w:color="000000" w:sz="2" w:space="0"/>
              <w:top w:val="single" w:color="000000" w:sz="2" w:space="0"/>
            </w:tcBorders>
          </w:tcPr>
          <w:p>
            <w:pPr>
              <w:pStyle w:val="TableText"/>
              <w:ind w:left="484"/>
              <w:spacing w:before="110" w:line="220" w:lineRule="auto"/>
              <w:rPr>
                <w:sz w:val="12"/>
                <w:szCs w:val="12"/>
              </w:rPr>
            </w:pPr>
            <w:r>
              <w:rPr>
                <w:sz w:val="12"/>
                <w:szCs w:val="12"/>
                <w:spacing w:val="-5"/>
              </w:rPr>
              <w:t>1000—1500倍</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110"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right="62"/>
              <w:spacing w:before="9" w:line="209" w:lineRule="auto"/>
              <w:rPr>
                <w:sz w:val="12"/>
                <w:szCs w:val="12"/>
              </w:rPr>
            </w:pPr>
            <w:r>
              <w:rPr>
                <w:sz w:val="12"/>
                <w:szCs w:val="12"/>
                <w:spacing w:val="-1"/>
              </w:rPr>
              <w:t>杀灭蛴蜡、绩蛄、蚯蚓等地下害虫和粘虫、蚜虫</w:t>
            </w:r>
            <w:r>
              <w:rPr>
                <w:sz w:val="12"/>
                <w:szCs w:val="12"/>
                <w:spacing w:val="12"/>
              </w:rPr>
              <w:t xml:space="preserve"> </w:t>
            </w:r>
            <w:r>
              <w:rPr>
                <w:sz w:val="12"/>
                <w:szCs w:val="12"/>
                <w:spacing w:val="-3"/>
              </w:rPr>
              <w:t>、青虫，奶蚁等</w:t>
            </w:r>
          </w:p>
        </w:tc>
      </w:tr>
      <w:tr>
        <w:trPr>
          <w:trHeight w:val="304" w:hRule="atLeast"/>
        </w:trPr>
        <w:tc>
          <w:tcPr>
            <w:tcW w:w="415" w:type="dxa"/>
            <w:vAlign w:val="top"/>
            <w:vMerge w:val="continue"/>
            <w:tcBorders>
              <w:bottom w:val="single" w:color="000000" w:sz="2" w:space="0"/>
              <w:top w:val="nil"/>
            </w:tcBorders>
          </w:tcPr>
          <w:p>
            <w:pPr>
              <w:rPr>
                <w:rFonts w:ascii="Arial"/>
                <w:sz w:val="21"/>
              </w:rPr>
            </w:pPr>
            <w:r/>
          </w:p>
        </w:tc>
        <w:tc>
          <w:tcPr>
            <w:tcW w:w="60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89" w:line="220" w:lineRule="auto"/>
              <w:rPr>
                <w:sz w:val="12"/>
                <w:szCs w:val="12"/>
              </w:rPr>
            </w:pPr>
            <w:r>
              <w:rPr>
                <w:sz w:val="12"/>
                <w:szCs w:val="12"/>
              </w:rPr>
              <w:t>中威出绿健</w:t>
            </w:r>
          </w:p>
        </w:tc>
        <w:tc>
          <w:tcPr>
            <w:tcW w:w="1929" w:type="dxa"/>
            <w:vAlign w:val="top"/>
            <w:tcBorders>
              <w:bottom w:val="single" w:color="000000" w:sz="2" w:space="0"/>
              <w:top w:val="single" w:color="000000" w:sz="2" w:space="0"/>
            </w:tcBorders>
          </w:tcPr>
          <w:p>
            <w:pPr>
              <w:pStyle w:val="TableText"/>
              <w:ind w:left="684"/>
              <w:spacing w:before="89" w:line="219" w:lineRule="auto"/>
              <w:rPr>
                <w:sz w:val="12"/>
                <w:szCs w:val="12"/>
              </w:rPr>
            </w:pPr>
            <w:r>
              <w:rPr>
                <w:sz w:val="12"/>
                <w:szCs w:val="12"/>
                <w:spacing w:val="-1"/>
              </w:rPr>
              <w:t>二嗪磷20%</w:t>
            </w:r>
          </w:p>
        </w:tc>
        <w:tc>
          <w:tcPr>
            <w:tcW w:w="1639" w:type="dxa"/>
            <w:vAlign w:val="top"/>
            <w:tcBorders>
              <w:bottom w:val="single" w:color="000000" w:sz="2" w:space="0"/>
              <w:top w:val="single" w:color="000000" w:sz="2" w:space="0"/>
            </w:tcBorders>
          </w:tcPr>
          <w:p>
            <w:pPr>
              <w:pStyle w:val="TableText"/>
              <w:ind w:left="215"/>
              <w:spacing w:before="85" w:line="213" w:lineRule="auto"/>
              <w:rPr>
                <w:sz w:val="12"/>
                <w:szCs w:val="12"/>
              </w:rPr>
            </w:pPr>
            <w:r>
              <w:rPr>
                <w:sz w:val="12"/>
                <w:szCs w:val="12"/>
                <w:spacing w:val="-1"/>
              </w:rPr>
              <w:t>直接撤施，每亩1--2kg</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85" w:line="213" w:lineRule="auto"/>
              <w:rPr>
                <w:sz w:val="12"/>
                <w:szCs w:val="12"/>
              </w:rPr>
            </w:pPr>
            <w:r>
              <w:rPr>
                <w:sz w:val="12"/>
                <w:szCs w:val="12"/>
                <w:spacing w:val="6"/>
              </w:rPr>
              <w:t>(</w:t>
            </w:r>
            <w:r>
              <w:rPr>
                <w:sz w:val="12"/>
                <w:szCs w:val="12"/>
              </w:rPr>
              <w:t>lkg</w:t>
            </w:r>
            <w:r>
              <w:rPr>
                <w:sz w:val="12"/>
                <w:szCs w:val="12"/>
                <w:spacing w:val="6"/>
              </w:rPr>
              <w:t>/袋)</w:t>
            </w:r>
          </w:p>
        </w:tc>
        <w:tc>
          <w:tcPr>
            <w:tcW w:w="2603" w:type="dxa"/>
            <w:vAlign w:val="top"/>
            <w:tcBorders>
              <w:bottom w:val="single" w:color="000000" w:sz="2" w:space="0"/>
              <w:top w:val="single" w:color="000000" w:sz="2" w:space="0"/>
            </w:tcBorders>
          </w:tcPr>
          <w:p>
            <w:pPr>
              <w:pStyle w:val="TableText"/>
              <w:ind w:left="17" w:right="120"/>
              <w:spacing w:before="8" w:line="210" w:lineRule="auto"/>
              <w:rPr>
                <w:sz w:val="12"/>
                <w:szCs w:val="12"/>
              </w:rPr>
            </w:pPr>
            <w:r>
              <w:rPr>
                <w:sz w:val="12"/>
                <w:szCs w:val="12"/>
                <w:spacing w:val="-1"/>
              </w:rPr>
              <w:t>专治草坪地下害虫(蛴蜡、金针虫、地老虎、根</w:t>
            </w:r>
            <w:r>
              <w:rPr>
                <w:sz w:val="12"/>
                <w:szCs w:val="12"/>
                <w:spacing w:val="14"/>
              </w:rPr>
              <w:t xml:space="preserve"> </w:t>
            </w:r>
            <w:r>
              <w:rPr>
                <w:sz w:val="12"/>
                <w:szCs w:val="12"/>
                <w:spacing w:val="5"/>
              </w:rPr>
              <w:t>结线虫等)</w:t>
            </w:r>
          </w:p>
        </w:tc>
      </w:tr>
      <w:tr>
        <w:trPr>
          <w:trHeight w:val="644" w:hRule="atLeast"/>
        </w:trPr>
        <w:tc>
          <w:tcPr>
            <w:tcW w:w="415" w:type="dxa"/>
            <w:vAlign w:val="top"/>
            <w:vMerge w:val="restart"/>
            <w:tcBorders>
              <w:bottom w:val="nil"/>
              <w:top w:val="single" w:color="000000" w:sz="2" w:space="0"/>
            </w:tcBorders>
          </w:tcPr>
          <w:p>
            <w:pPr>
              <w:spacing w:line="427" w:lineRule="auto"/>
              <w:rPr>
                <w:rFonts w:ascii="Arial"/>
                <w:sz w:val="21"/>
              </w:rPr>
            </w:pPr>
            <w:r/>
          </w:p>
          <w:p>
            <w:pPr>
              <w:pStyle w:val="TableText"/>
              <w:ind w:left="14"/>
              <w:spacing w:before="39" w:line="218" w:lineRule="auto"/>
              <w:rPr>
                <w:sz w:val="12"/>
                <w:szCs w:val="12"/>
              </w:rPr>
            </w:pPr>
            <w:r>
              <w:rPr>
                <w:sz w:val="12"/>
                <w:szCs w:val="12"/>
                <w:spacing w:val="9"/>
              </w:rPr>
              <w:t>除草剂</w:t>
            </w:r>
          </w:p>
        </w:tc>
        <w:tc>
          <w:tcPr>
            <w:tcW w:w="600" w:type="dxa"/>
            <w:vAlign w:val="top"/>
            <w:tcBorders>
              <w:bottom w:val="single" w:color="000000" w:sz="2" w:space="0"/>
              <w:top w:val="single" w:color="000000" w:sz="2" w:space="0"/>
            </w:tcBorders>
          </w:tcPr>
          <w:p>
            <w:pPr>
              <w:pStyle w:val="TableText"/>
              <w:ind w:left="50"/>
              <w:spacing w:before="40" w:line="219" w:lineRule="auto"/>
              <w:rPr>
                <w:sz w:val="12"/>
                <w:szCs w:val="12"/>
              </w:rPr>
            </w:pPr>
            <w:r>
              <w:rPr>
                <w:sz w:val="12"/>
                <w:szCs w:val="12"/>
                <w:spacing w:val="-2"/>
              </w:rPr>
              <w:t>冷混草坪</w:t>
            </w:r>
          </w:p>
          <w:p>
            <w:pPr>
              <w:pStyle w:val="TableText"/>
              <w:ind w:left="70"/>
              <w:spacing w:before="7" w:line="219" w:lineRule="auto"/>
              <w:rPr>
                <w:sz w:val="12"/>
                <w:szCs w:val="12"/>
              </w:rPr>
            </w:pPr>
            <w:r>
              <w:rPr>
                <w:sz w:val="12"/>
                <w:szCs w:val="12"/>
                <w:spacing w:val="-2"/>
              </w:rPr>
              <w:t>里面防除</w:t>
            </w:r>
          </w:p>
          <w:p>
            <w:pPr>
              <w:pStyle w:val="TableText"/>
              <w:ind w:left="50"/>
              <w:spacing w:before="16" w:line="216" w:lineRule="auto"/>
              <w:rPr>
                <w:sz w:val="12"/>
                <w:szCs w:val="12"/>
              </w:rPr>
            </w:pPr>
            <w:r>
              <w:rPr>
                <w:sz w:val="12"/>
                <w:szCs w:val="12"/>
                <w:spacing w:val="-2"/>
              </w:rPr>
              <w:t>禾本科杂</w:t>
            </w:r>
          </w:p>
          <w:p>
            <w:pPr>
              <w:pStyle w:val="TableText"/>
              <w:ind w:left="230"/>
              <w:spacing w:line="219" w:lineRule="auto"/>
              <w:rPr>
                <w:sz w:val="12"/>
                <w:szCs w:val="12"/>
              </w:rPr>
            </w:pPr>
            <w:r>
              <w:rPr>
                <w:sz w:val="12"/>
                <w:szCs w:val="12"/>
              </w:rPr>
              <w:t>草</w:t>
            </w:r>
          </w:p>
        </w:tc>
        <w:tc>
          <w:tcPr>
            <w:tcW w:w="989" w:type="dxa"/>
            <w:vAlign w:val="top"/>
            <w:tcBorders>
              <w:bottom w:val="single" w:color="000000" w:sz="2" w:space="0"/>
              <w:top w:val="single" w:color="000000" w:sz="2" w:space="0"/>
            </w:tcBorders>
          </w:tcPr>
          <w:p>
            <w:pPr>
              <w:pStyle w:val="TableText"/>
              <w:ind w:left="60"/>
              <w:spacing w:before="190" w:line="219" w:lineRule="auto"/>
              <w:rPr>
                <w:sz w:val="12"/>
                <w:szCs w:val="12"/>
              </w:rPr>
            </w:pPr>
            <w:r>
              <w:rPr>
                <w:sz w:val="12"/>
                <w:szCs w:val="12"/>
                <w:spacing w:val="-1"/>
              </w:rPr>
              <w:t>羽尾草、牛筋草</w:t>
            </w:r>
          </w:p>
          <w:p>
            <w:pPr>
              <w:pStyle w:val="TableText"/>
              <w:ind w:left="300"/>
              <w:spacing w:before="7" w:line="220" w:lineRule="auto"/>
              <w:rPr>
                <w:sz w:val="12"/>
                <w:szCs w:val="12"/>
              </w:rPr>
            </w:pPr>
            <w:r>
              <w:rPr>
                <w:sz w:val="12"/>
                <w:szCs w:val="12"/>
                <w:spacing w:val="-4"/>
              </w:rPr>
              <w:t>、马塘</w:t>
            </w:r>
          </w:p>
        </w:tc>
        <w:tc>
          <w:tcPr>
            <w:tcW w:w="2718" w:type="dxa"/>
            <w:vAlign w:val="top"/>
            <w:tcBorders>
              <w:bottom w:val="single" w:color="000000" w:sz="2" w:space="0"/>
              <w:top w:val="single" w:color="000000" w:sz="2" w:space="0"/>
            </w:tcBorders>
          </w:tcPr>
          <w:p>
            <w:pPr>
              <w:pStyle w:val="TableText"/>
              <w:ind w:left="11"/>
              <w:spacing w:before="259" w:line="218" w:lineRule="auto"/>
              <w:rPr>
                <w:sz w:val="12"/>
                <w:szCs w:val="12"/>
              </w:rPr>
            </w:pPr>
            <w:r>
              <w:rPr>
                <w:sz w:val="12"/>
                <w:szCs w:val="12"/>
              </w:rPr>
              <w:t>6月下甸禾本科杂草酷续长出后用药。</w:t>
            </w:r>
          </w:p>
        </w:tc>
        <w:tc>
          <w:tcPr>
            <w:tcW w:w="1289" w:type="dxa"/>
            <w:vAlign w:val="top"/>
            <w:tcBorders>
              <w:bottom w:val="single" w:color="000000" w:sz="2" w:space="0"/>
              <w:top w:val="single" w:color="000000" w:sz="2" w:space="0"/>
            </w:tcBorders>
          </w:tcPr>
          <w:p>
            <w:pPr>
              <w:pStyle w:val="TableText"/>
              <w:ind w:left="393"/>
              <w:spacing w:before="259" w:line="219" w:lineRule="auto"/>
              <w:rPr>
                <w:sz w:val="12"/>
                <w:szCs w:val="12"/>
              </w:rPr>
            </w:pPr>
            <w:r>
              <w:rPr>
                <w:sz w:val="12"/>
                <w:szCs w:val="12"/>
                <w:spacing w:val="1"/>
              </w:rPr>
              <w:t>国光巧思</w:t>
            </w:r>
          </w:p>
        </w:tc>
        <w:tc>
          <w:tcPr>
            <w:tcW w:w="1929" w:type="dxa"/>
            <w:vAlign w:val="top"/>
            <w:tcBorders>
              <w:bottom w:val="single" w:color="000000" w:sz="2" w:space="0"/>
              <w:top w:val="single" w:color="000000" w:sz="2" w:space="0"/>
            </w:tcBorders>
          </w:tcPr>
          <w:p>
            <w:pPr>
              <w:pStyle w:val="TableText"/>
              <w:ind w:left="414"/>
              <w:spacing w:before="256" w:line="213" w:lineRule="auto"/>
              <w:rPr>
                <w:sz w:val="12"/>
                <w:szCs w:val="12"/>
              </w:rPr>
            </w:pPr>
            <w:r>
              <w:rPr>
                <w:sz w:val="12"/>
                <w:szCs w:val="12"/>
                <w:spacing w:val="-1"/>
              </w:rPr>
              <w:t>00g/升精噜唑禾草灵</w:t>
            </w:r>
          </w:p>
        </w:tc>
        <w:tc>
          <w:tcPr>
            <w:tcW w:w="1639" w:type="dxa"/>
            <w:vAlign w:val="top"/>
            <w:tcBorders>
              <w:bottom w:val="single" w:color="000000" w:sz="2" w:space="0"/>
              <w:top w:val="single" w:color="000000" w:sz="2" w:space="0"/>
            </w:tcBorders>
          </w:tcPr>
          <w:p>
            <w:pPr>
              <w:pStyle w:val="TableText"/>
              <w:ind w:left="444" w:right="33" w:hanging="349"/>
              <w:spacing w:before="190" w:line="232" w:lineRule="auto"/>
              <w:rPr>
                <w:sz w:val="12"/>
                <w:szCs w:val="12"/>
              </w:rPr>
            </w:pPr>
            <w:r>
              <w:rPr>
                <w:sz w:val="12"/>
                <w:szCs w:val="12"/>
              </w:rPr>
              <w:t>1.5瓶盖(18ml)兑15千克水， </w:t>
            </w:r>
            <w:r>
              <w:rPr>
                <w:sz w:val="12"/>
                <w:szCs w:val="12"/>
                <w:spacing w:val="-1"/>
              </w:rPr>
              <w:t>喷施200平方米</w:t>
            </w:r>
          </w:p>
        </w:tc>
        <w:tc>
          <w:tcPr>
            <w:tcW w:w="1069" w:type="dxa"/>
            <w:vAlign w:val="top"/>
            <w:tcBorders>
              <w:bottom w:val="single" w:color="000000" w:sz="2" w:space="0"/>
              <w:top w:val="single" w:color="000000" w:sz="2" w:space="0"/>
            </w:tcBorders>
          </w:tcPr>
          <w:p>
            <w:pPr>
              <w:pStyle w:val="TableText"/>
              <w:ind w:left="46"/>
              <w:spacing w:before="199" w:line="215" w:lineRule="auto"/>
              <w:rPr>
                <w:sz w:val="12"/>
                <w:szCs w:val="12"/>
              </w:rPr>
            </w:pPr>
            <w:r>
              <w:rPr>
                <w:sz w:val="12"/>
                <w:szCs w:val="12"/>
                <w:spacing w:val="-2"/>
              </w:rPr>
              <w:t>多年生杂草应反复</w:t>
            </w:r>
          </w:p>
          <w:p>
            <w:pPr>
              <w:pStyle w:val="TableText"/>
              <w:ind w:left="286"/>
              <w:spacing w:line="219" w:lineRule="auto"/>
              <w:rPr>
                <w:sz w:val="12"/>
                <w:szCs w:val="12"/>
              </w:rPr>
            </w:pPr>
            <w:r>
              <w:rPr>
                <w:sz w:val="12"/>
                <w:szCs w:val="12"/>
                <w:spacing w:val="-2"/>
              </w:rPr>
              <w:t>多次用药</w:t>
            </w:r>
          </w:p>
        </w:tc>
        <w:tc>
          <w:tcPr>
            <w:tcW w:w="819" w:type="dxa"/>
            <w:vAlign w:val="top"/>
            <w:tcBorders>
              <w:bottom w:val="single" w:color="000000" w:sz="2" w:space="0"/>
              <w:top w:val="single" w:color="000000" w:sz="2" w:space="0"/>
            </w:tcBorders>
          </w:tcPr>
          <w:p>
            <w:pPr>
              <w:pStyle w:val="TableText"/>
              <w:ind w:left="106"/>
              <w:spacing w:before="260" w:line="221" w:lineRule="auto"/>
              <w:rPr>
                <w:sz w:val="12"/>
                <w:szCs w:val="12"/>
              </w:rPr>
            </w:pPr>
            <w:r>
              <w:rPr>
                <w:sz w:val="12"/>
                <w:szCs w:val="12"/>
                <w:spacing w:val="-2"/>
              </w:rPr>
              <w:t>100ml*50瓶</w:t>
            </w:r>
          </w:p>
        </w:tc>
        <w:tc>
          <w:tcPr>
            <w:tcW w:w="2603" w:type="dxa"/>
            <w:vAlign w:val="top"/>
            <w:tcBorders>
              <w:bottom w:val="single" w:color="000000" w:sz="2" w:space="0"/>
              <w:top w:val="single" w:color="000000" w:sz="2" w:space="0"/>
            </w:tcBorders>
          </w:tcPr>
          <w:p>
            <w:pPr>
              <w:pStyle w:val="TableText"/>
              <w:ind w:left="17" w:right="55"/>
              <w:spacing w:before="110" w:line="232" w:lineRule="auto"/>
              <w:jc w:val="both"/>
              <w:rPr>
                <w:sz w:val="12"/>
                <w:szCs w:val="12"/>
              </w:rPr>
            </w:pPr>
            <w:r>
              <w:rPr>
                <w:sz w:val="12"/>
                <w:szCs w:val="12"/>
              </w:rPr>
              <w:t>主要防除禾本科草坪里面的大多数禾本科奈草， </w:t>
            </w:r>
            <w:r>
              <w:rPr>
                <w:sz w:val="12"/>
                <w:szCs w:val="12"/>
                <w:spacing w:val="-1"/>
              </w:rPr>
              <w:t>但对早熟禾有轻微的药害。不建议单播的早熟和</w:t>
            </w:r>
            <w:r>
              <w:rPr>
                <w:sz w:val="12"/>
                <w:szCs w:val="12"/>
                <w:spacing w:val="16"/>
              </w:rPr>
              <w:t xml:space="preserve"> </w:t>
            </w:r>
            <w:r>
              <w:rPr>
                <w:sz w:val="12"/>
                <w:szCs w:val="12"/>
                <w:spacing w:val="-1"/>
              </w:rPr>
              <w:t>以早熟禾为主的混播草坪使用。</w:t>
            </w:r>
          </w:p>
        </w:tc>
      </w:tr>
      <w:tr>
        <w:trPr>
          <w:trHeight w:val="414" w:hRule="atLeast"/>
        </w:trPr>
        <w:tc>
          <w:tcPr>
            <w:tcW w:w="415" w:type="dxa"/>
            <w:vAlign w:val="top"/>
            <w:vMerge w:val="continue"/>
            <w:tcBorders>
              <w:bottom w:val="single" w:color="000000" w:sz="2" w:space="0"/>
              <w:top w:val="nil"/>
            </w:tcBorders>
          </w:tcPr>
          <w:p>
            <w:pPr>
              <w:rPr>
                <w:rFonts w:ascii="Arial"/>
                <w:sz w:val="21"/>
              </w:rPr>
            </w:pPr>
            <w:r/>
          </w:p>
        </w:tc>
        <w:tc>
          <w:tcPr>
            <w:tcW w:w="600" w:type="dxa"/>
            <w:vAlign w:val="top"/>
            <w:tcBorders>
              <w:bottom w:val="single" w:color="000000" w:sz="2" w:space="0"/>
              <w:top w:val="single" w:color="000000" w:sz="2" w:space="0"/>
            </w:tcBorders>
          </w:tcPr>
          <w:p>
            <w:pPr>
              <w:pStyle w:val="TableText"/>
              <w:ind w:left="50"/>
              <w:spacing w:before="10" w:line="200" w:lineRule="auto"/>
              <w:rPr>
                <w:sz w:val="12"/>
                <w:szCs w:val="12"/>
              </w:rPr>
            </w:pPr>
            <w:r>
              <w:rPr>
                <w:sz w:val="12"/>
                <w:szCs w:val="12"/>
                <w:spacing w:val="-2"/>
              </w:rPr>
              <w:t>冷混草坪</w:t>
            </w:r>
          </w:p>
          <w:p>
            <w:pPr>
              <w:pStyle w:val="TableText"/>
              <w:ind w:left="189" w:right="82" w:hanging="149"/>
              <w:spacing w:before="1" w:line="202" w:lineRule="auto"/>
              <w:rPr>
                <w:sz w:val="12"/>
                <w:szCs w:val="12"/>
              </w:rPr>
            </w:pPr>
            <w:r>
              <w:rPr>
                <w:sz w:val="12"/>
                <w:szCs w:val="12"/>
                <w:spacing w:val="-4"/>
              </w:rPr>
              <w:t>防除风叶</w:t>
            </w:r>
            <w:r>
              <w:rPr>
                <w:sz w:val="12"/>
                <w:szCs w:val="12"/>
                <w:spacing w:val="2"/>
              </w:rPr>
              <w:t xml:space="preserve"> </w:t>
            </w:r>
            <w:r>
              <w:rPr>
                <w:sz w:val="12"/>
                <w:szCs w:val="12"/>
                <w:spacing w:val="-2"/>
              </w:rPr>
              <w:t>杂草</w:t>
            </w:r>
          </w:p>
        </w:tc>
        <w:tc>
          <w:tcPr>
            <w:tcW w:w="989" w:type="dxa"/>
            <w:vAlign w:val="top"/>
            <w:tcBorders>
              <w:bottom w:val="single" w:color="000000" w:sz="2" w:space="0"/>
              <w:top w:val="single" w:color="000000" w:sz="2" w:space="0"/>
            </w:tcBorders>
          </w:tcPr>
          <w:p>
            <w:pPr>
              <w:pStyle w:val="TableText"/>
              <w:ind w:left="60"/>
              <w:spacing w:before="80" w:line="219" w:lineRule="auto"/>
              <w:rPr>
                <w:sz w:val="12"/>
                <w:szCs w:val="12"/>
              </w:rPr>
            </w:pPr>
            <w:r>
              <w:rPr>
                <w:sz w:val="12"/>
                <w:szCs w:val="12"/>
                <w:spacing w:val="-1"/>
              </w:rPr>
              <w:t>三叶草，凹头苋</w:t>
            </w:r>
          </w:p>
          <w:p>
            <w:pPr>
              <w:pStyle w:val="TableText"/>
              <w:ind w:left="80"/>
              <w:spacing w:before="7" w:line="219" w:lineRule="auto"/>
              <w:rPr>
                <w:sz w:val="12"/>
                <w:szCs w:val="12"/>
              </w:rPr>
            </w:pPr>
            <w:r>
              <w:rPr>
                <w:sz w:val="12"/>
                <w:szCs w:val="12"/>
                <w:spacing w:val="-3"/>
              </w:rPr>
              <w:t>、小飞蓬、繁缕</w:t>
            </w:r>
          </w:p>
        </w:tc>
        <w:tc>
          <w:tcPr>
            <w:tcW w:w="2718" w:type="dxa"/>
            <w:vAlign w:val="top"/>
            <w:tcBorders>
              <w:bottom w:val="single" w:color="000000" w:sz="2" w:space="0"/>
              <w:top w:val="single" w:color="000000" w:sz="2" w:space="0"/>
            </w:tcBorders>
          </w:tcPr>
          <w:p>
            <w:pPr>
              <w:pStyle w:val="TableText"/>
              <w:ind w:left="11"/>
              <w:spacing w:before="150" w:line="219" w:lineRule="auto"/>
              <w:rPr>
                <w:sz w:val="12"/>
                <w:szCs w:val="12"/>
              </w:rPr>
            </w:pPr>
            <w:r>
              <w:rPr>
                <w:sz w:val="12"/>
                <w:szCs w:val="12"/>
                <w:spacing w:val="-1"/>
              </w:rPr>
              <w:t>4月中下句</w:t>
            </w:r>
            <w:r>
              <w:rPr>
                <w:sz w:val="12"/>
                <w:szCs w:val="12"/>
                <w:spacing w:val="15"/>
                <w:w w:val="101"/>
              </w:rPr>
              <w:t xml:space="preserve"> </w:t>
            </w:r>
            <w:r>
              <w:rPr>
                <w:sz w:val="12"/>
                <w:szCs w:val="12"/>
                <w:spacing w:val="-1"/>
              </w:rPr>
              <w:t>叶草陆续长出后用药。</w:t>
            </w:r>
          </w:p>
        </w:tc>
        <w:tc>
          <w:tcPr>
            <w:tcW w:w="1289" w:type="dxa"/>
            <w:vAlign w:val="top"/>
            <w:tcBorders>
              <w:bottom w:val="single" w:color="000000" w:sz="2" w:space="0"/>
              <w:top w:val="single" w:color="000000" w:sz="2" w:space="0"/>
            </w:tcBorders>
          </w:tcPr>
          <w:p>
            <w:pPr>
              <w:pStyle w:val="TableText"/>
              <w:ind w:left="393"/>
              <w:spacing w:before="150" w:line="219" w:lineRule="auto"/>
              <w:rPr>
                <w:sz w:val="12"/>
                <w:szCs w:val="12"/>
              </w:rPr>
            </w:pPr>
            <w:r>
              <w:rPr>
                <w:sz w:val="12"/>
                <w:szCs w:val="12"/>
                <w:spacing w:val="2"/>
              </w:rPr>
              <w:t>国光格尔</w:t>
            </w:r>
          </w:p>
        </w:tc>
        <w:tc>
          <w:tcPr>
            <w:tcW w:w="1929" w:type="dxa"/>
            <w:vAlign w:val="top"/>
            <w:tcBorders>
              <w:bottom w:val="single" w:color="000000" w:sz="2" w:space="0"/>
              <w:top w:val="single" w:color="000000" w:sz="2" w:space="0"/>
            </w:tcBorders>
          </w:tcPr>
          <w:p>
            <w:pPr>
              <w:pStyle w:val="TableText"/>
              <w:ind w:left="203"/>
              <w:spacing w:before="146" w:line="213" w:lineRule="auto"/>
              <w:rPr>
                <w:sz w:val="12"/>
                <w:szCs w:val="12"/>
              </w:rPr>
            </w:pPr>
            <w:r>
              <w:rPr>
                <w:sz w:val="12"/>
                <w:szCs w:val="12"/>
                <w:spacing w:val="-1"/>
              </w:rPr>
              <w:t>288g/升氯氟吡氧乙酸异辛酯</w:t>
            </w:r>
          </w:p>
        </w:tc>
        <w:tc>
          <w:tcPr>
            <w:tcW w:w="1639" w:type="dxa"/>
            <w:vAlign w:val="top"/>
            <w:tcBorders>
              <w:bottom w:val="single" w:color="000000" w:sz="2" w:space="0"/>
              <w:top w:val="single" w:color="000000" w:sz="2" w:space="0"/>
            </w:tcBorders>
          </w:tcPr>
          <w:p>
            <w:pPr>
              <w:pStyle w:val="TableText"/>
              <w:ind w:left="444" w:right="33" w:hanging="349"/>
              <w:spacing w:before="100" w:line="209" w:lineRule="auto"/>
              <w:rPr>
                <w:sz w:val="12"/>
                <w:szCs w:val="12"/>
              </w:rPr>
            </w:pPr>
            <w:r>
              <w:rPr>
                <w:sz w:val="12"/>
                <w:szCs w:val="12"/>
              </w:rPr>
              <w:t>1.5瓶盖(37ml)兑15千克水， </w:t>
            </w:r>
            <w:r>
              <w:rPr>
                <w:sz w:val="12"/>
                <w:szCs w:val="12"/>
                <w:spacing w:val="-1"/>
              </w:rPr>
              <w:t>喷施200平方米</w:t>
            </w:r>
          </w:p>
        </w:tc>
        <w:tc>
          <w:tcPr>
            <w:tcW w:w="1069" w:type="dxa"/>
            <w:vAlign w:val="top"/>
            <w:tcBorders>
              <w:bottom w:val="single" w:color="000000" w:sz="2" w:space="0"/>
              <w:top w:val="single" w:color="000000" w:sz="2" w:space="0"/>
            </w:tcBorders>
          </w:tcPr>
          <w:p>
            <w:pPr>
              <w:pStyle w:val="TableText"/>
              <w:ind w:left="316"/>
              <w:spacing w:before="150" w:line="219" w:lineRule="auto"/>
              <w:rPr>
                <w:sz w:val="12"/>
                <w:szCs w:val="12"/>
              </w:rPr>
            </w:pPr>
            <w:r>
              <w:rPr>
                <w:sz w:val="12"/>
                <w:szCs w:val="12"/>
                <w:spacing w:val="-3"/>
              </w:rPr>
              <w:t>1次用药</w:t>
            </w:r>
          </w:p>
        </w:tc>
        <w:tc>
          <w:tcPr>
            <w:tcW w:w="819" w:type="dxa"/>
            <w:vAlign w:val="top"/>
            <w:tcBorders>
              <w:bottom w:val="single" w:color="000000" w:sz="2" w:space="0"/>
              <w:top w:val="single" w:color="000000" w:sz="2" w:space="0"/>
            </w:tcBorders>
          </w:tcPr>
          <w:p>
            <w:pPr>
              <w:pStyle w:val="TableText"/>
              <w:ind w:left="166"/>
              <w:spacing w:before="150"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150" w:line="219" w:lineRule="auto"/>
              <w:rPr>
                <w:sz w:val="12"/>
                <w:szCs w:val="12"/>
              </w:rPr>
            </w:pPr>
            <w:r>
              <w:rPr>
                <w:sz w:val="12"/>
                <w:szCs w:val="12"/>
                <w:spacing w:val="-1"/>
              </w:rPr>
              <w:t>专治冷混草环中的大多数阔叶杂草</w:t>
            </w:r>
          </w:p>
        </w:tc>
      </w:tr>
      <w:tr>
        <w:trPr>
          <w:trHeight w:val="335" w:hRule="atLeast"/>
        </w:trPr>
        <w:tc>
          <w:tcPr>
            <w:tcW w:w="415" w:type="dxa"/>
            <w:vAlign w:val="top"/>
            <w:vMerge w:val="restart"/>
            <w:tcBorders>
              <w:bottom w:val="nil"/>
              <w:top w:val="single" w:color="000000" w:sz="2" w:space="0"/>
            </w:tcBorders>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4"/>
              <w:spacing w:before="39" w:line="218" w:lineRule="auto"/>
              <w:rPr>
                <w:sz w:val="12"/>
                <w:szCs w:val="12"/>
              </w:rPr>
            </w:pPr>
            <w:r>
              <w:rPr>
                <w:sz w:val="12"/>
                <w:szCs w:val="12"/>
                <w:spacing w:val="-2"/>
              </w:rPr>
              <w:t>营养剂</w:t>
            </w:r>
          </w:p>
          <w:p>
            <w:pPr>
              <w:pStyle w:val="TableText"/>
              <w:ind w:left="44"/>
              <w:spacing w:before="28" w:line="218" w:lineRule="auto"/>
              <w:rPr>
                <w:sz w:val="12"/>
                <w:szCs w:val="12"/>
              </w:rPr>
            </w:pPr>
            <w:r>
              <w:rPr>
                <w:sz w:val="12"/>
                <w:szCs w:val="12"/>
                <w:spacing w:val="-1"/>
              </w:rPr>
              <w:t>/肥料</w:t>
            </w:r>
          </w:p>
        </w:tc>
        <w:tc>
          <w:tcPr>
            <w:tcW w:w="600" w:type="dxa"/>
            <w:vAlign w:val="top"/>
            <w:vMerge w:val="restart"/>
            <w:tcBorders>
              <w:bottom w:val="nil"/>
              <w:top w:val="single" w:color="000000" w:sz="2" w:space="0"/>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50"/>
              <w:spacing w:before="39" w:line="219" w:lineRule="auto"/>
              <w:rPr>
                <w:sz w:val="12"/>
                <w:szCs w:val="12"/>
              </w:rPr>
            </w:pPr>
            <w:r>
              <w:rPr>
                <w:sz w:val="12"/>
                <w:szCs w:val="12"/>
                <w:spacing w:val="-1"/>
              </w:rPr>
              <w:t>树术复壮</w:t>
            </w:r>
          </w:p>
        </w:tc>
        <w:tc>
          <w:tcPr>
            <w:tcW w:w="989" w:type="dxa"/>
            <w:vAlign w:val="top"/>
            <w:vMerge w:val="restart"/>
            <w:tcBorders>
              <w:bottom w:val="nil"/>
              <w:top w:val="single" w:color="000000" w:sz="2" w:space="0"/>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60"/>
              <w:spacing w:before="39" w:line="219" w:lineRule="auto"/>
              <w:rPr>
                <w:sz w:val="12"/>
                <w:szCs w:val="12"/>
              </w:rPr>
            </w:pPr>
            <w:r>
              <w:rPr>
                <w:sz w:val="12"/>
                <w:szCs w:val="12"/>
                <w:spacing w:val="-1"/>
              </w:rPr>
              <w:t>树木长势弱，新</w:t>
            </w:r>
          </w:p>
          <w:p>
            <w:pPr>
              <w:pStyle w:val="TableText"/>
              <w:ind w:left="80"/>
              <w:spacing w:before="7" w:line="219" w:lineRule="auto"/>
              <w:rPr>
                <w:sz w:val="12"/>
                <w:szCs w:val="12"/>
              </w:rPr>
            </w:pPr>
            <w:r>
              <w:rPr>
                <w:sz w:val="12"/>
                <w:szCs w:val="12"/>
                <w:spacing w:val="-1"/>
              </w:rPr>
              <w:t>栽植树木未生根</w:t>
            </w:r>
          </w:p>
          <w:p>
            <w:pPr>
              <w:pStyle w:val="TableText"/>
              <w:ind w:left="60"/>
              <w:spacing w:before="17" w:line="200" w:lineRule="auto"/>
              <w:rPr>
                <w:sz w:val="12"/>
                <w:szCs w:val="12"/>
              </w:rPr>
            </w:pPr>
            <w:r>
              <w:rPr>
                <w:sz w:val="12"/>
                <w:szCs w:val="12"/>
                <w:spacing w:val="-3"/>
              </w:rPr>
              <w:t>、夏季反季节全</w:t>
            </w:r>
          </w:p>
          <w:p>
            <w:pPr>
              <w:pStyle w:val="TableText"/>
              <w:ind w:left="300"/>
              <w:spacing w:line="219" w:lineRule="auto"/>
              <w:rPr>
                <w:sz w:val="12"/>
                <w:szCs w:val="12"/>
              </w:rPr>
            </w:pPr>
            <w:r>
              <w:rPr>
                <w:sz w:val="12"/>
                <w:szCs w:val="12"/>
                <w:spacing w:val="1"/>
              </w:rPr>
              <w:t>国移植</w:t>
            </w:r>
          </w:p>
        </w:tc>
        <w:tc>
          <w:tcPr>
            <w:tcW w:w="2718" w:type="dxa"/>
            <w:vAlign w:val="top"/>
            <w:vMerge w:val="restart"/>
            <w:tcBorders>
              <w:bottom w:val="nil"/>
              <w:top w:val="single" w:color="000000" w:sz="2" w:space="0"/>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TableText"/>
              <w:ind w:left="11" w:right="61"/>
              <w:spacing w:before="39" w:line="225" w:lineRule="auto"/>
              <w:rPr>
                <w:sz w:val="12"/>
                <w:szCs w:val="12"/>
              </w:rPr>
            </w:pPr>
            <w:r>
              <w:rPr>
                <w:sz w:val="12"/>
                <w:szCs w:val="12"/>
                <w:spacing w:val="-1"/>
              </w:rPr>
              <w:t>一、复壮宜放在树木发芽前或刚发芽，一方面是对</w:t>
            </w:r>
            <w:r>
              <w:rPr>
                <w:sz w:val="12"/>
                <w:szCs w:val="12"/>
                <w:spacing w:val="14"/>
              </w:rPr>
              <w:t xml:space="preserve"> </w:t>
            </w:r>
            <w:r>
              <w:rPr>
                <w:sz w:val="12"/>
                <w:szCs w:val="12"/>
                <w:spacing w:val="-1"/>
              </w:rPr>
              <w:t>树干的补水，另一方面是对根系的促生长，第三方</w:t>
            </w:r>
            <w:r>
              <w:rPr>
                <w:sz w:val="12"/>
                <w:szCs w:val="12"/>
                <w:spacing w:val="16"/>
              </w:rPr>
              <w:t xml:space="preserve"> </w:t>
            </w:r>
            <w:r>
              <w:rPr>
                <w:sz w:val="12"/>
                <w:szCs w:val="12"/>
                <w:spacing w:val="-1"/>
              </w:rPr>
              <w:t>面就是补充肥力。</w:t>
            </w:r>
          </w:p>
          <w:p>
            <w:pPr>
              <w:pStyle w:val="TableText"/>
              <w:ind w:left="11" w:right="56"/>
              <w:spacing w:before="1" w:line="224" w:lineRule="auto"/>
              <w:rPr>
                <w:sz w:val="12"/>
                <w:szCs w:val="12"/>
              </w:rPr>
            </w:pPr>
            <w:r>
              <w:rPr>
                <w:sz w:val="12"/>
                <w:szCs w:val="12"/>
              </w:rPr>
              <w:t>三，对于后期出现的树木长势衰璃，应查明原因， </w:t>
            </w:r>
            <w:r>
              <w:rPr>
                <w:sz w:val="12"/>
                <w:szCs w:val="12"/>
              </w:rPr>
              <w:t>做专项治疗。</w:t>
            </w:r>
          </w:p>
          <w:p>
            <w:pPr>
              <w:pStyle w:val="TableText"/>
              <w:ind w:left="11" w:right="61"/>
              <w:spacing w:before="17" w:line="211" w:lineRule="auto"/>
              <w:rPr>
                <w:sz w:val="12"/>
                <w:szCs w:val="12"/>
              </w:rPr>
            </w:pPr>
            <w:r>
              <w:rPr>
                <w:sz w:val="12"/>
                <w:szCs w:val="12"/>
                <w:spacing w:val="-1"/>
              </w:rPr>
              <w:t>三、主要集中在4月中6月初，气温上升，空气湿度</w:t>
            </w:r>
            <w:r>
              <w:rPr>
                <w:sz w:val="12"/>
                <w:szCs w:val="12"/>
                <w:spacing w:val="17"/>
              </w:rPr>
              <w:t xml:space="preserve"> </w:t>
            </w:r>
            <w:r>
              <w:rPr>
                <w:sz w:val="12"/>
                <w:szCs w:val="12"/>
                <w:spacing w:val="-1"/>
              </w:rPr>
              <w:t>增加，苗木结束休联期开始返青，是树木复壮最佳</w:t>
            </w:r>
            <w:r>
              <w:rPr>
                <w:sz w:val="12"/>
                <w:szCs w:val="12"/>
                <w:spacing w:val="15"/>
                <w:w w:val="101"/>
              </w:rPr>
              <w:t xml:space="preserve"> </w:t>
            </w:r>
            <w:r>
              <w:rPr>
                <w:sz w:val="12"/>
                <w:szCs w:val="12"/>
                <w:spacing w:val="-1"/>
              </w:rPr>
              <w:t>时机。</w:t>
            </w:r>
          </w:p>
          <w:p>
            <w:pPr>
              <w:pStyle w:val="TableText"/>
              <w:ind w:left="11"/>
              <w:spacing w:before="8" w:line="219" w:lineRule="auto"/>
              <w:rPr>
                <w:sz w:val="12"/>
                <w:szCs w:val="12"/>
              </w:rPr>
            </w:pPr>
            <w:r>
              <w:rPr>
                <w:sz w:val="12"/>
                <w:szCs w:val="12"/>
                <w:spacing w:val="-1"/>
              </w:rPr>
              <w:t>四、7-8月有个别情况，做专项治疗。</w:t>
            </w:r>
          </w:p>
        </w:tc>
        <w:tc>
          <w:tcPr>
            <w:tcW w:w="1289" w:type="dxa"/>
            <w:vAlign w:val="top"/>
            <w:tcBorders>
              <w:bottom w:val="single" w:color="000000" w:sz="2" w:space="0"/>
              <w:top w:val="single" w:color="000000" w:sz="2" w:space="0"/>
            </w:tcBorders>
          </w:tcPr>
          <w:p>
            <w:pPr>
              <w:pStyle w:val="TableText"/>
              <w:ind w:left="93"/>
              <w:spacing w:before="110" w:line="219" w:lineRule="auto"/>
              <w:rPr>
                <w:sz w:val="12"/>
                <w:szCs w:val="12"/>
              </w:rPr>
            </w:pPr>
            <w:r>
              <w:rPr>
                <w:sz w:val="12"/>
                <w:szCs w:val="12"/>
                <w:spacing w:val="2"/>
              </w:rPr>
              <w:t>国光移成(吊针原液)</w:t>
            </w:r>
          </w:p>
        </w:tc>
        <w:tc>
          <w:tcPr>
            <w:tcW w:w="1929" w:type="dxa"/>
            <w:vAlign w:val="top"/>
            <w:tcBorders>
              <w:bottom w:val="single" w:color="000000" w:sz="2" w:space="0"/>
              <w:top w:val="single" w:color="000000" w:sz="2" w:space="0"/>
            </w:tcBorders>
          </w:tcPr>
          <w:p>
            <w:pPr>
              <w:pStyle w:val="TableText"/>
              <w:ind w:left="173"/>
              <w:spacing w:before="110" w:line="218" w:lineRule="auto"/>
              <w:rPr>
                <w:sz w:val="12"/>
                <w:szCs w:val="12"/>
              </w:rPr>
            </w:pPr>
            <w:r>
              <w:rPr>
                <w:sz w:val="12"/>
                <w:szCs w:val="12"/>
                <w:spacing w:val="1"/>
              </w:rPr>
              <w:t>12%含氨基酸水溶肥料(硼+锌)</w:t>
            </w:r>
          </w:p>
        </w:tc>
        <w:tc>
          <w:tcPr>
            <w:tcW w:w="1639" w:type="dxa"/>
            <w:vAlign w:val="top"/>
            <w:tcBorders>
              <w:bottom w:val="single" w:color="000000" w:sz="2" w:space="0"/>
              <w:top w:val="single" w:color="000000" w:sz="2" w:space="0"/>
            </w:tcBorders>
          </w:tcPr>
          <w:p>
            <w:pPr>
              <w:pStyle w:val="TableText"/>
              <w:ind w:left="365"/>
              <w:spacing w:before="110" w:line="219" w:lineRule="auto"/>
              <w:rPr>
                <w:sz w:val="12"/>
                <w:szCs w:val="12"/>
              </w:rPr>
            </w:pPr>
            <w:r>
              <w:rPr>
                <w:sz w:val="12"/>
                <w:szCs w:val="12"/>
                <w:spacing w:val="-1"/>
              </w:rPr>
              <w:t>稀释1000-1200倍</w:t>
            </w:r>
          </w:p>
        </w:tc>
        <w:tc>
          <w:tcPr>
            <w:tcW w:w="1069"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06"/>
              <w:spacing w:before="39" w:line="219" w:lineRule="auto"/>
              <w:rPr>
                <w:sz w:val="12"/>
                <w:szCs w:val="12"/>
              </w:rPr>
            </w:pPr>
            <w:r>
              <w:rPr>
                <w:sz w:val="12"/>
                <w:szCs w:val="12"/>
                <w:spacing w:val="-1"/>
              </w:rPr>
              <w:t>视树木生长情况</w:t>
            </w:r>
          </w:p>
        </w:tc>
        <w:tc>
          <w:tcPr>
            <w:tcW w:w="819" w:type="dxa"/>
            <w:vAlign w:val="top"/>
            <w:tcBorders>
              <w:bottom w:val="single" w:color="000000" w:sz="2" w:space="0"/>
              <w:top w:val="single" w:color="000000" w:sz="2" w:space="0"/>
            </w:tcBorders>
          </w:tcPr>
          <w:p>
            <w:pPr>
              <w:pStyle w:val="TableText"/>
              <w:ind w:left="136"/>
              <w:spacing w:before="107" w:line="213" w:lineRule="auto"/>
              <w:rPr>
                <w:sz w:val="12"/>
                <w:szCs w:val="12"/>
              </w:rPr>
            </w:pPr>
            <w:r>
              <w:rPr>
                <w:sz w:val="12"/>
                <w:szCs w:val="12"/>
                <w:spacing w:val="3"/>
              </w:rPr>
              <w:t>(200g/瓶)</w:t>
            </w:r>
          </w:p>
        </w:tc>
        <w:tc>
          <w:tcPr>
            <w:tcW w:w="2603" w:type="dxa"/>
            <w:vAlign w:val="top"/>
            <w:tcBorders>
              <w:bottom w:val="single" w:color="000000" w:sz="2" w:space="0"/>
              <w:top w:val="single" w:color="000000" w:sz="2" w:space="0"/>
            </w:tcBorders>
          </w:tcPr>
          <w:p>
            <w:pPr>
              <w:pStyle w:val="TableText"/>
              <w:ind w:left="17"/>
              <w:spacing w:before="110" w:line="218" w:lineRule="auto"/>
              <w:rPr>
                <w:sz w:val="12"/>
                <w:szCs w:val="12"/>
              </w:rPr>
            </w:pPr>
            <w:r>
              <w:rPr>
                <w:sz w:val="12"/>
                <w:szCs w:val="12"/>
                <w:spacing w:val="-1"/>
              </w:rPr>
              <w:t>补充水分和养分，促进快速成活</w:t>
            </w:r>
          </w:p>
        </w:tc>
      </w:tr>
      <w:tr>
        <w:trPr>
          <w:trHeight w:val="33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10" w:line="220" w:lineRule="auto"/>
              <w:rPr>
                <w:sz w:val="12"/>
                <w:szCs w:val="12"/>
              </w:rPr>
            </w:pPr>
            <w:r>
              <w:rPr>
                <w:sz w:val="12"/>
                <w:szCs w:val="12"/>
                <w:spacing w:val="1"/>
              </w:rPr>
              <w:t>中威吊针液</w:t>
            </w:r>
          </w:p>
        </w:tc>
        <w:tc>
          <w:tcPr>
            <w:tcW w:w="1929" w:type="dxa"/>
            <w:vAlign w:val="top"/>
            <w:tcBorders>
              <w:bottom w:val="single" w:color="000000" w:sz="2" w:space="0"/>
              <w:top w:val="single" w:color="000000" w:sz="2" w:space="0"/>
            </w:tcBorders>
          </w:tcPr>
          <w:p>
            <w:pPr>
              <w:pStyle w:val="TableText"/>
              <w:ind w:left="173"/>
              <w:spacing w:before="108" w:line="216" w:lineRule="auto"/>
              <w:rPr>
                <w:sz w:val="12"/>
                <w:szCs w:val="12"/>
              </w:rPr>
            </w:pPr>
            <w:r>
              <w:rPr>
                <w:sz w:val="12"/>
                <w:szCs w:val="12"/>
                <w:spacing w:val="-1"/>
              </w:rPr>
              <w:t>DM-6,甲壳素、硼镁锋等2.85%</w:t>
            </w:r>
          </w:p>
        </w:tc>
        <w:tc>
          <w:tcPr>
            <w:tcW w:w="1639" w:type="dxa"/>
            <w:vAlign w:val="top"/>
            <w:tcBorders>
              <w:bottom w:val="single" w:color="000000" w:sz="2" w:space="0"/>
              <w:top w:val="single" w:color="000000" w:sz="2" w:space="0"/>
            </w:tcBorders>
          </w:tcPr>
          <w:p>
            <w:pPr>
              <w:pStyle w:val="TableText"/>
              <w:ind w:left="395"/>
              <w:spacing w:before="110" w:line="219" w:lineRule="auto"/>
              <w:rPr>
                <w:sz w:val="12"/>
                <w:szCs w:val="12"/>
              </w:rPr>
            </w:pPr>
            <w:r>
              <w:rPr>
                <w:sz w:val="12"/>
                <w:szCs w:val="12"/>
                <w:spacing w:val="-1"/>
              </w:rPr>
              <w:t>稀释60-100倍液</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227"/>
              <w:spacing w:before="106" w:line="213" w:lineRule="auto"/>
              <w:rPr>
                <w:sz w:val="12"/>
                <w:szCs w:val="12"/>
              </w:rPr>
            </w:pPr>
            <w:r>
              <w:rPr>
                <w:sz w:val="12"/>
                <w:szCs w:val="12"/>
                <w:spacing w:val="-3"/>
              </w:rPr>
              <w:t>lkg/袋</w:t>
            </w:r>
          </w:p>
        </w:tc>
        <w:tc>
          <w:tcPr>
            <w:tcW w:w="2603" w:type="dxa"/>
            <w:vAlign w:val="top"/>
            <w:tcBorders>
              <w:bottom w:val="single" w:color="000000" w:sz="2" w:space="0"/>
              <w:top w:val="single" w:color="000000" w:sz="2" w:space="0"/>
            </w:tcBorders>
          </w:tcPr>
          <w:p>
            <w:pPr>
              <w:pStyle w:val="TableText"/>
              <w:ind w:left="17" w:right="60"/>
              <w:spacing w:before="39" w:line="210" w:lineRule="auto"/>
              <w:rPr>
                <w:sz w:val="12"/>
                <w:szCs w:val="12"/>
              </w:rPr>
            </w:pPr>
            <w:r>
              <w:rPr>
                <w:sz w:val="12"/>
                <w:szCs w:val="12"/>
                <w:spacing w:val="-1"/>
              </w:rPr>
              <w:t>促使树体健壮，迅速补充营养，增强抗性，提高</w:t>
            </w:r>
            <w:r>
              <w:rPr>
                <w:sz w:val="12"/>
                <w:szCs w:val="12"/>
                <w:spacing w:val="14"/>
              </w:rPr>
              <w:t xml:space="preserve"> </w:t>
            </w:r>
            <w:r>
              <w:rPr>
                <w:sz w:val="12"/>
                <w:szCs w:val="12"/>
                <w:spacing w:val="-2"/>
              </w:rPr>
              <w:t>成活率</w:t>
            </w:r>
          </w:p>
        </w:tc>
      </w:tr>
      <w:tr>
        <w:trPr>
          <w:trHeight w:val="33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11" w:line="219" w:lineRule="auto"/>
              <w:rPr>
                <w:sz w:val="12"/>
                <w:szCs w:val="12"/>
              </w:rPr>
            </w:pPr>
            <w:r>
              <w:rPr>
                <w:sz w:val="12"/>
                <w:szCs w:val="12"/>
                <w:spacing w:val="2"/>
              </w:rPr>
              <w:t>国光动力</w:t>
            </w:r>
          </w:p>
        </w:tc>
        <w:tc>
          <w:tcPr>
            <w:tcW w:w="1929" w:type="dxa"/>
            <w:vAlign w:val="top"/>
            <w:tcBorders>
              <w:bottom w:val="single" w:color="000000" w:sz="2" w:space="0"/>
              <w:top w:val="single" w:color="000000" w:sz="2" w:space="0"/>
            </w:tcBorders>
          </w:tcPr>
          <w:p>
            <w:pPr>
              <w:pStyle w:val="TableText"/>
              <w:ind w:left="324"/>
              <w:spacing w:before="110" w:line="218" w:lineRule="auto"/>
              <w:rPr>
                <w:sz w:val="12"/>
                <w:szCs w:val="12"/>
              </w:rPr>
            </w:pPr>
            <w:r>
              <w:rPr>
                <w:sz w:val="12"/>
                <w:szCs w:val="12"/>
                <w:spacing w:val="2"/>
              </w:rPr>
              <w:t>13%含氨基酸水溶肥(钙)</w:t>
            </w:r>
          </w:p>
        </w:tc>
        <w:tc>
          <w:tcPr>
            <w:tcW w:w="1639" w:type="dxa"/>
            <w:vAlign w:val="top"/>
            <w:tcBorders>
              <w:bottom w:val="single" w:color="000000" w:sz="2" w:space="0"/>
              <w:top w:val="single" w:color="000000" w:sz="2" w:space="0"/>
            </w:tcBorders>
          </w:tcPr>
          <w:p>
            <w:pPr>
              <w:pStyle w:val="TableText"/>
              <w:ind w:left="335"/>
              <w:spacing w:before="111" w:line="219" w:lineRule="auto"/>
              <w:rPr>
                <w:sz w:val="12"/>
                <w:szCs w:val="12"/>
              </w:rPr>
            </w:pPr>
            <w:r>
              <w:rPr>
                <w:sz w:val="12"/>
                <w:szCs w:val="12"/>
                <w:spacing w:val="-1"/>
              </w:rPr>
              <w:t>稀释800-1000倍液</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96"/>
              <w:spacing w:before="111" w:line="221" w:lineRule="auto"/>
              <w:rPr>
                <w:sz w:val="12"/>
                <w:szCs w:val="12"/>
              </w:rPr>
            </w:pPr>
            <w:r>
              <w:rPr>
                <w:sz w:val="12"/>
                <w:szCs w:val="12"/>
                <w:spacing w:val="6"/>
              </w:rPr>
              <w:t>(</w:t>
            </w:r>
            <w:r>
              <w:rPr>
                <w:sz w:val="12"/>
                <w:szCs w:val="12"/>
              </w:rPr>
              <w:t>IL</w:t>
            </w:r>
            <w:r>
              <w:rPr>
                <w:sz w:val="12"/>
                <w:szCs w:val="12"/>
                <w:spacing w:val="6"/>
              </w:rPr>
              <w:t>/瓶)</w:t>
            </w:r>
          </w:p>
        </w:tc>
        <w:tc>
          <w:tcPr>
            <w:tcW w:w="2603" w:type="dxa"/>
            <w:vAlign w:val="top"/>
            <w:tcBorders>
              <w:bottom w:val="single" w:color="000000" w:sz="2" w:space="0"/>
              <w:top w:val="single" w:color="000000" w:sz="2" w:space="0"/>
            </w:tcBorders>
          </w:tcPr>
          <w:p>
            <w:pPr>
              <w:pStyle w:val="TableText"/>
              <w:ind w:left="17"/>
              <w:spacing w:before="111" w:line="219" w:lineRule="auto"/>
              <w:rPr>
                <w:sz w:val="12"/>
                <w:szCs w:val="12"/>
              </w:rPr>
            </w:pPr>
            <w:r>
              <w:rPr>
                <w:sz w:val="12"/>
                <w:szCs w:val="12"/>
                <w:spacing w:val="-1"/>
              </w:rPr>
              <w:t>诱导树木快速生根，提高移栽成活率</w:t>
            </w:r>
          </w:p>
        </w:tc>
      </w:tr>
      <w:tr>
        <w:trPr>
          <w:trHeight w:val="335"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11" w:line="219" w:lineRule="auto"/>
              <w:rPr>
                <w:sz w:val="12"/>
                <w:szCs w:val="12"/>
              </w:rPr>
            </w:pPr>
            <w:r>
              <w:rPr>
                <w:sz w:val="12"/>
                <w:szCs w:val="12"/>
                <w:spacing w:val="1"/>
              </w:rPr>
              <w:t>国光根盼</w:t>
            </w:r>
          </w:p>
        </w:tc>
        <w:tc>
          <w:tcPr>
            <w:tcW w:w="1929" w:type="dxa"/>
            <w:vAlign w:val="top"/>
            <w:tcBorders>
              <w:bottom w:val="single" w:color="000000" w:sz="2" w:space="0"/>
              <w:top w:val="single" w:color="000000" w:sz="2" w:space="0"/>
            </w:tcBorders>
          </w:tcPr>
          <w:p>
            <w:pPr>
              <w:pStyle w:val="TableText"/>
              <w:ind w:left="414"/>
              <w:spacing w:before="111" w:line="219" w:lineRule="auto"/>
              <w:rPr>
                <w:sz w:val="12"/>
                <w:szCs w:val="12"/>
              </w:rPr>
            </w:pPr>
            <w:r>
              <w:rPr>
                <w:sz w:val="12"/>
                <w:szCs w:val="12"/>
                <w:spacing w:val="-1"/>
              </w:rPr>
              <w:t>蔡乙酸、喝噪乙酸5%</w:t>
            </w:r>
          </w:p>
        </w:tc>
        <w:tc>
          <w:tcPr>
            <w:tcW w:w="1639" w:type="dxa"/>
            <w:vAlign w:val="top"/>
            <w:tcBorders>
              <w:bottom w:val="single" w:color="000000" w:sz="2" w:space="0"/>
              <w:top w:val="single" w:color="000000" w:sz="2" w:space="0"/>
            </w:tcBorders>
          </w:tcPr>
          <w:p>
            <w:pPr>
              <w:pStyle w:val="TableText"/>
              <w:ind w:left="65"/>
              <w:spacing w:before="111" w:line="219" w:lineRule="auto"/>
              <w:rPr>
                <w:sz w:val="12"/>
                <w:szCs w:val="12"/>
              </w:rPr>
            </w:pPr>
            <w:r>
              <w:rPr>
                <w:sz w:val="12"/>
                <w:szCs w:val="12"/>
                <w:spacing w:val="-1"/>
              </w:rPr>
              <w:t>稀释100-150倍液，喷施根部</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112"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right="54"/>
              <w:spacing w:before="31" w:line="218" w:lineRule="auto"/>
              <w:rPr>
                <w:sz w:val="12"/>
                <w:szCs w:val="12"/>
              </w:rPr>
            </w:pPr>
            <w:r>
              <w:rPr>
                <w:sz w:val="12"/>
                <w:szCs w:val="12"/>
              </w:rPr>
              <w:t>促使树木快速生根，形成庞大根系，快速萌芽， </w:t>
            </w:r>
            <w:r>
              <w:rPr>
                <w:sz w:val="12"/>
                <w:szCs w:val="12"/>
                <w:spacing w:val="-2"/>
              </w:rPr>
              <w:t>改善植物长势</w:t>
            </w:r>
          </w:p>
        </w:tc>
      </w:tr>
      <w:tr>
        <w:trPr>
          <w:trHeight w:val="33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11" w:line="219" w:lineRule="auto"/>
              <w:rPr>
                <w:sz w:val="12"/>
                <w:szCs w:val="12"/>
              </w:rPr>
            </w:pPr>
            <w:r>
              <w:rPr>
                <w:sz w:val="12"/>
                <w:szCs w:val="12"/>
                <w:spacing w:val="-1"/>
              </w:rPr>
              <w:t>诺普信根聚地</w:t>
            </w:r>
          </w:p>
        </w:tc>
        <w:tc>
          <w:tcPr>
            <w:tcW w:w="1929" w:type="dxa"/>
            <w:vAlign w:val="top"/>
            <w:tcBorders>
              <w:bottom w:val="single" w:color="000000" w:sz="2" w:space="0"/>
              <w:top w:val="single" w:color="000000" w:sz="2" w:space="0"/>
            </w:tcBorders>
          </w:tcPr>
          <w:p>
            <w:pPr>
              <w:pStyle w:val="TableText"/>
              <w:ind w:left="603" w:right="310" w:hanging="309"/>
              <w:spacing w:before="30" w:line="212" w:lineRule="auto"/>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tc>
        <w:tc>
          <w:tcPr>
            <w:tcW w:w="1639" w:type="dxa"/>
            <w:vAlign w:val="top"/>
            <w:tcBorders>
              <w:bottom w:val="single" w:color="000000" w:sz="2" w:space="0"/>
              <w:top w:val="single" w:color="000000" w:sz="2" w:space="0"/>
            </w:tcBorders>
          </w:tcPr>
          <w:p>
            <w:pPr>
              <w:pStyle w:val="TableText"/>
              <w:ind w:left="544"/>
              <w:spacing w:before="111" w:line="220" w:lineRule="auto"/>
              <w:rPr>
                <w:sz w:val="12"/>
                <w:szCs w:val="12"/>
              </w:rPr>
            </w:pPr>
            <w:r>
              <w:rPr>
                <w:sz w:val="12"/>
                <w:szCs w:val="12"/>
                <w:spacing w:val="-6"/>
              </w:rPr>
              <w:t>600—800倍</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111" w:line="221" w:lineRule="auto"/>
              <w:rPr>
                <w:sz w:val="12"/>
                <w:szCs w:val="12"/>
              </w:rPr>
            </w:pPr>
            <w:r>
              <w:rPr>
                <w:sz w:val="12"/>
                <w:szCs w:val="12"/>
                <w:spacing w:val="-1"/>
              </w:rPr>
              <w:t>5000ml/瓶</w:t>
            </w:r>
          </w:p>
        </w:tc>
        <w:tc>
          <w:tcPr>
            <w:tcW w:w="2603" w:type="dxa"/>
            <w:vAlign w:val="top"/>
            <w:tcBorders>
              <w:bottom w:val="single" w:color="000000" w:sz="2" w:space="0"/>
              <w:top w:val="single" w:color="000000" w:sz="2" w:space="0"/>
            </w:tcBorders>
          </w:tcPr>
          <w:p>
            <w:pPr>
              <w:pStyle w:val="TableText"/>
              <w:ind w:left="17" w:right="180"/>
              <w:spacing w:before="30" w:line="217" w:lineRule="auto"/>
              <w:rPr>
                <w:sz w:val="12"/>
                <w:szCs w:val="12"/>
              </w:rPr>
            </w:pPr>
            <w:r>
              <w:rPr>
                <w:sz w:val="12"/>
                <w:szCs w:val="12"/>
                <w:spacing w:val="-1"/>
              </w:rPr>
              <w:t>提供根系生长发育内源动力。诱导刺激根系活</w:t>
            </w:r>
            <w:r>
              <w:rPr>
                <w:sz w:val="12"/>
                <w:szCs w:val="12"/>
                <w:spacing w:val="13"/>
              </w:rPr>
              <w:t xml:space="preserve"> </w:t>
            </w:r>
            <w:r>
              <w:rPr>
                <w:sz w:val="12"/>
                <w:szCs w:val="12"/>
                <w:spacing w:val="-1"/>
              </w:rPr>
              <w:t>力，提高移栽成活率，促进草坪快速生根成块</w:t>
            </w:r>
          </w:p>
        </w:tc>
      </w:tr>
      <w:tr>
        <w:trPr>
          <w:trHeight w:val="47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81" w:line="219" w:lineRule="auto"/>
              <w:rPr>
                <w:sz w:val="12"/>
                <w:szCs w:val="12"/>
              </w:rPr>
            </w:pPr>
            <w:r>
              <w:rPr>
                <w:sz w:val="12"/>
                <w:szCs w:val="12"/>
                <w:spacing w:val="2"/>
              </w:rPr>
              <w:t>国光树动力</w:t>
            </w:r>
          </w:p>
        </w:tc>
        <w:tc>
          <w:tcPr>
            <w:tcW w:w="1929" w:type="dxa"/>
            <w:vAlign w:val="top"/>
            <w:tcBorders>
              <w:bottom w:val="single" w:color="000000" w:sz="2" w:space="0"/>
              <w:top w:val="single" w:color="000000" w:sz="2" w:space="0"/>
            </w:tcBorders>
          </w:tcPr>
          <w:p>
            <w:pPr>
              <w:pStyle w:val="TableText"/>
              <w:ind w:left="734" w:right="70" w:hanging="680"/>
              <w:spacing w:before="101" w:line="232"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tc>
        <w:tc>
          <w:tcPr>
            <w:tcW w:w="1639" w:type="dxa"/>
            <w:vAlign w:val="top"/>
            <w:tcBorders>
              <w:bottom w:val="single" w:color="000000" w:sz="2" w:space="0"/>
              <w:top w:val="single" w:color="000000" w:sz="2" w:space="0"/>
            </w:tcBorders>
          </w:tcPr>
          <w:p>
            <w:pPr>
              <w:pStyle w:val="TableText"/>
              <w:ind w:left="73" w:hanging="58"/>
              <w:spacing w:before="101" w:line="233" w:lineRule="auto"/>
              <w:rPr>
                <w:sz w:val="12"/>
                <w:szCs w:val="12"/>
              </w:rPr>
            </w:pPr>
            <w:r>
              <w:rPr>
                <w:sz w:val="12"/>
                <w:szCs w:val="12"/>
                <w:spacing w:val="-1"/>
              </w:rPr>
              <w:t>直接使用，一般胸径8-10cn插!</w:t>
            </w:r>
            <w:r>
              <w:rPr>
                <w:sz w:val="12"/>
                <w:szCs w:val="12"/>
                <w:spacing w:val="9"/>
              </w:rPr>
              <w:t xml:space="preserve"> </w:t>
            </w:r>
            <w:r>
              <w:rPr>
                <w:sz w:val="12"/>
                <w:szCs w:val="12"/>
                <w:spacing w:val="-2"/>
              </w:rPr>
              <w:t>瓶，胸径每增加10cm增加1瓶</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06"/>
              <w:spacing w:before="182" w:line="221" w:lineRule="auto"/>
              <w:rPr>
                <w:sz w:val="12"/>
                <w:szCs w:val="12"/>
              </w:rPr>
            </w:pPr>
            <w:r>
              <w:rPr>
                <w:sz w:val="12"/>
                <w:szCs w:val="12"/>
                <w:spacing w:val="3"/>
              </w:rPr>
              <w:t>(300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181" w:line="219" w:lineRule="auto"/>
              <w:rPr>
                <w:sz w:val="12"/>
                <w:szCs w:val="12"/>
              </w:rPr>
            </w:pPr>
            <w:r>
              <w:rPr>
                <w:sz w:val="12"/>
                <w:szCs w:val="12"/>
                <w:spacing w:val="-1"/>
              </w:rPr>
              <w:t>大树直插瓶，大树古树复壮</w:t>
            </w:r>
          </w:p>
        </w:tc>
      </w:tr>
      <w:tr>
        <w:trPr>
          <w:trHeight w:val="47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82" w:line="220" w:lineRule="auto"/>
              <w:rPr>
                <w:sz w:val="12"/>
                <w:szCs w:val="12"/>
              </w:rPr>
            </w:pPr>
            <w:r>
              <w:rPr>
                <w:sz w:val="12"/>
                <w:szCs w:val="12"/>
                <w:spacing w:val="1"/>
              </w:rPr>
              <w:t>中威漳活液</w:t>
            </w:r>
          </w:p>
        </w:tc>
        <w:tc>
          <w:tcPr>
            <w:tcW w:w="1929" w:type="dxa"/>
            <w:vAlign w:val="top"/>
            <w:tcBorders>
              <w:bottom w:val="single" w:color="000000" w:sz="2" w:space="0"/>
              <w:top w:val="single" w:color="000000" w:sz="2" w:space="0"/>
            </w:tcBorders>
          </w:tcPr>
          <w:p>
            <w:pPr>
              <w:pStyle w:val="TableText"/>
              <w:ind w:left="474"/>
              <w:spacing w:before="180" w:line="216" w:lineRule="auto"/>
              <w:rPr>
                <w:sz w:val="12"/>
                <w:szCs w:val="12"/>
              </w:rPr>
            </w:pPr>
            <w:r>
              <w:rPr>
                <w:sz w:val="12"/>
                <w:szCs w:val="12"/>
                <w:spacing w:val="-1"/>
              </w:rPr>
              <w:t>6B-A,复硝酚钠10%</w:t>
            </w:r>
          </w:p>
        </w:tc>
        <w:tc>
          <w:tcPr>
            <w:tcW w:w="1639" w:type="dxa"/>
            <w:vAlign w:val="top"/>
            <w:tcBorders>
              <w:bottom w:val="single" w:color="000000" w:sz="2" w:space="0"/>
              <w:top w:val="single" w:color="000000" w:sz="2" w:space="0"/>
            </w:tcBorders>
          </w:tcPr>
          <w:p>
            <w:pPr>
              <w:pStyle w:val="TableText"/>
              <w:ind w:left="74" w:right="39" w:hanging="39"/>
              <w:spacing w:before="122" w:line="209" w:lineRule="auto"/>
              <w:rPr>
                <w:sz w:val="12"/>
                <w:szCs w:val="12"/>
              </w:rPr>
            </w:pPr>
            <w:r>
              <w:rPr>
                <w:sz w:val="12"/>
                <w:szCs w:val="12"/>
                <w:spacing w:val="-1"/>
              </w:rPr>
              <w:t>直接使用，一般胸径8-10cm插</w:t>
            </w:r>
            <w:r>
              <w:rPr>
                <w:sz w:val="12"/>
                <w:szCs w:val="12"/>
                <w:spacing w:val="9"/>
              </w:rPr>
              <w:t xml:space="preserve"> </w:t>
            </w:r>
            <w:r>
              <w:rPr>
                <w:sz w:val="12"/>
                <w:szCs w:val="12"/>
                <w:spacing w:val="-1"/>
              </w:rPr>
              <w:t>瓶。胸径每增加10cm增加1瓶</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06"/>
              <w:spacing w:before="182" w:line="221" w:lineRule="auto"/>
              <w:rPr>
                <w:sz w:val="12"/>
                <w:szCs w:val="12"/>
              </w:rPr>
            </w:pPr>
            <w:r>
              <w:rPr>
                <w:sz w:val="12"/>
                <w:szCs w:val="12"/>
                <w:spacing w:val="3"/>
              </w:rPr>
              <w:t>(350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right="59"/>
              <w:spacing w:before="122" w:line="210" w:lineRule="auto"/>
              <w:rPr>
                <w:sz w:val="12"/>
                <w:szCs w:val="12"/>
              </w:rPr>
            </w:pPr>
            <w:r>
              <w:rPr>
                <w:sz w:val="12"/>
                <w:szCs w:val="12"/>
                <w:spacing w:val="-1"/>
              </w:rPr>
              <w:t>补充水分养分，促进发芽、防止黄叶、萎蔫，生</w:t>
            </w:r>
            <w:r>
              <w:rPr>
                <w:sz w:val="12"/>
                <w:szCs w:val="12"/>
                <w:spacing w:val="15"/>
              </w:rPr>
              <w:t xml:space="preserve"> </w:t>
            </w:r>
            <w:r>
              <w:rPr>
                <w:sz w:val="12"/>
                <w:szCs w:val="12"/>
                <w:spacing w:val="-2"/>
              </w:rPr>
              <w:t>理性病害</w:t>
            </w:r>
          </w:p>
        </w:tc>
      </w:tr>
      <w:tr>
        <w:trPr>
          <w:trHeight w:val="61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252" w:line="218" w:lineRule="auto"/>
              <w:rPr>
                <w:sz w:val="12"/>
                <w:szCs w:val="12"/>
              </w:rPr>
            </w:pPr>
            <w:r>
              <w:rPr>
                <w:sz w:val="12"/>
                <w:szCs w:val="12"/>
                <w:spacing w:val="1"/>
              </w:rPr>
              <w:t>国光棒肥</w:t>
            </w:r>
          </w:p>
        </w:tc>
        <w:tc>
          <w:tcPr>
            <w:tcW w:w="1929" w:type="dxa"/>
            <w:vAlign w:val="top"/>
            <w:tcBorders>
              <w:bottom w:val="single" w:color="000000" w:sz="2" w:space="0"/>
              <w:top w:val="single" w:color="000000" w:sz="2" w:space="0"/>
            </w:tcBorders>
          </w:tcPr>
          <w:p>
            <w:pPr>
              <w:pStyle w:val="TableText"/>
              <w:ind w:left="173"/>
              <w:spacing w:before="252" w:line="218" w:lineRule="auto"/>
              <w:rPr>
                <w:sz w:val="12"/>
                <w:szCs w:val="12"/>
              </w:rPr>
            </w:pPr>
            <w:r>
              <w:rPr>
                <w:sz w:val="12"/>
                <w:szCs w:val="12"/>
                <w:spacing w:val="-1"/>
              </w:rPr>
              <w:t>微肥、稀有元素、大量元素肥</w:t>
            </w:r>
          </w:p>
        </w:tc>
        <w:tc>
          <w:tcPr>
            <w:tcW w:w="1639" w:type="dxa"/>
            <w:vAlign w:val="top"/>
            <w:tcBorders>
              <w:bottom w:val="single" w:color="000000" w:sz="2" w:space="0"/>
              <w:top w:val="single" w:color="000000" w:sz="2" w:space="0"/>
            </w:tcBorders>
          </w:tcPr>
          <w:p>
            <w:pPr>
              <w:pStyle w:val="TableText"/>
              <w:ind w:left="35"/>
              <w:spacing w:before="32" w:line="219" w:lineRule="auto"/>
              <w:rPr>
                <w:sz w:val="12"/>
                <w:szCs w:val="12"/>
              </w:rPr>
            </w:pPr>
            <w:r>
              <w:rPr>
                <w:sz w:val="12"/>
                <w:szCs w:val="12"/>
                <w:spacing w:val="-1"/>
              </w:rPr>
              <w:t>直接使用，根据树的胸径进行</w:t>
            </w:r>
          </w:p>
          <w:p>
            <w:pPr>
              <w:pStyle w:val="TableText"/>
              <w:ind w:left="125"/>
              <w:spacing w:before="17" w:line="200" w:lineRule="auto"/>
              <w:rPr>
                <w:sz w:val="12"/>
                <w:szCs w:val="12"/>
              </w:rPr>
            </w:pPr>
            <w:r>
              <w:rPr>
                <w:sz w:val="12"/>
                <w:szCs w:val="12"/>
              </w:rPr>
              <w:t>调整：10c一下的树1-2支，</w:t>
            </w:r>
          </w:p>
          <w:p>
            <w:pPr>
              <w:pStyle w:val="TableText"/>
              <w:spacing w:line="200" w:lineRule="auto"/>
              <w:jc w:val="right"/>
              <w:rPr>
                <w:sz w:val="12"/>
                <w:szCs w:val="12"/>
              </w:rPr>
            </w:pPr>
            <w:r>
              <w:rPr>
                <w:sz w:val="12"/>
                <w:szCs w:val="12"/>
                <w:spacing w:val="-1"/>
              </w:rPr>
              <w:t>10cn以上的树胸径每增加5cm则</w:t>
            </w:r>
          </w:p>
          <w:p>
            <w:pPr>
              <w:pStyle w:val="TableText"/>
              <w:ind w:left="624"/>
              <w:spacing w:line="219" w:lineRule="auto"/>
              <w:rPr>
                <w:sz w:val="12"/>
                <w:szCs w:val="12"/>
              </w:rPr>
            </w:pPr>
            <w:r>
              <w:rPr>
                <w:sz w:val="12"/>
                <w:szCs w:val="12"/>
                <w:spacing w:val="-1"/>
              </w:rPr>
              <w:t>增加1支</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76"/>
              <w:spacing w:before="252" w:line="220" w:lineRule="auto"/>
              <w:rPr>
                <w:sz w:val="12"/>
                <w:szCs w:val="12"/>
              </w:rPr>
            </w:pPr>
            <w:r>
              <w:rPr>
                <w:sz w:val="12"/>
                <w:szCs w:val="12"/>
                <w:spacing w:val="-1"/>
              </w:rPr>
              <w:t>3*15cn*40根</w:t>
            </w:r>
          </w:p>
        </w:tc>
        <w:tc>
          <w:tcPr>
            <w:tcW w:w="2603" w:type="dxa"/>
            <w:vAlign w:val="top"/>
            <w:tcBorders>
              <w:bottom w:val="single" w:color="000000" w:sz="2" w:space="0"/>
              <w:top w:val="single" w:color="000000" w:sz="2" w:space="0"/>
            </w:tcBorders>
          </w:tcPr>
          <w:p>
            <w:pPr>
              <w:pStyle w:val="TableText"/>
              <w:ind w:left="17"/>
              <w:spacing w:before="252" w:line="219" w:lineRule="auto"/>
              <w:rPr>
                <w:sz w:val="12"/>
                <w:szCs w:val="12"/>
              </w:rPr>
            </w:pPr>
            <w:r>
              <w:rPr>
                <w:sz w:val="12"/>
                <w:szCs w:val="12"/>
                <w:spacing w:val="-1"/>
              </w:rPr>
              <w:t>古树，病树，弱树复壮</w:t>
            </w:r>
          </w:p>
        </w:tc>
      </w:tr>
      <w:tr>
        <w:trPr>
          <w:trHeight w:val="39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142" w:line="218" w:lineRule="auto"/>
              <w:rPr>
                <w:sz w:val="12"/>
                <w:szCs w:val="12"/>
              </w:rPr>
            </w:pPr>
            <w:r>
              <w:rPr>
                <w:sz w:val="12"/>
                <w:szCs w:val="12"/>
              </w:rPr>
              <w:t>国光雨阳复合肥</w:t>
            </w:r>
          </w:p>
        </w:tc>
        <w:tc>
          <w:tcPr>
            <w:tcW w:w="1929" w:type="dxa"/>
            <w:vAlign w:val="top"/>
            <w:tcBorders>
              <w:bottom w:val="single" w:color="000000" w:sz="2" w:space="0"/>
              <w:top w:val="single" w:color="000000" w:sz="2" w:space="0"/>
            </w:tcBorders>
          </w:tcPr>
          <w:p>
            <w:pPr>
              <w:pStyle w:val="TableText"/>
              <w:ind w:left="654"/>
              <w:spacing w:before="142" w:line="218" w:lineRule="auto"/>
              <w:rPr>
                <w:sz w:val="12"/>
                <w:szCs w:val="12"/>
              </w:rPr>
            </w:pPr>
            <w:r>
              <w:rPr>
                <w:sz w:val="12"/>
                <w:szCs w:val="12"/>
                <w:spacing w:val="-1"/>
              </w:rPr>
              <w:t>大量元素肥</w:t>
            </w:r>
          </w:p>
        </w:tc>
        <w:tc>
          <w:tcPr>
            <w:tcW w:w="1639" w:type="dxa"/>
            <w:vAlign w:val="top"/>
            <w:tcBorders>
              <w:bottom w:val="single" w:color="000000" w:sz="2" w:space="0"/>
              <w:top w:val="single" w:color="000000" w:sz="2" w:space="0"/>
            </w:tcBorders>
          </w:tcPr>
          <w:p>
            <w:pPr>
              <w:pStyle w:val="TableText"/>
              <w:ind w:left="574"/>
              <w:spacing w:before="143" w:line="219" w:lineRule="auto"/>
              <w:rPr>
                <w:sz w:val="12"/>
                <w:szCs w:val="12"/>
              </w:rPr>
            </w:pPr>
            <w:r>
              <w:rPr>
                <w:sz w:val="12"/>
                <w:szCs w:val="12"/>
                <w:spacing w:val="3"/>
              </w:rPr>
              <w:t>直接使用</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96"/>
              <w:spacing w:before="139" w:line="213" w:lineRule="auto"/>
              <w:rPr>
                <w:sz w:val="12"/>
                <w:szCs w:val="12"/>
              </w:rPr>
            </w:pPr>
            <w:r>
              <w:rPr>
                <w:sz w:val="12"/>
                <w:szCs w:val="12"/>
                <w:spacing w:val="-1"/>
              </w:rPr>
              <w:t>20kg/袋</w:t>
            </w:r>
          </w:p>
        </w:tc>
        <w:tc>
          <w:tcPr>
            <w:tcW w:w="2603" w:type="dxa"/>
            <w:vAlign w:val="top"/>
            <w:tcBorders>
              <w:bottom w:val="single" w:color="000000" w:sz="2" w:space="0"/>
              <w:top w:val="single" w:color="000000" w:sz="2" w:space="0"/>
            </w:tcBorders>
          </w:tcPr>
          <w:p>
            <w:pPr>
              <w:pStyle w:val="TableText"/>
              <w:ind w:left="17" w:right="2"/>
              <w:spacing w:before="73" w:line="239" w:lineRule="auto"/>
              <w:rPr>
                <w:sz w:val="12"/>
                <w:szCs w:val="12"/>
              </w:rPr>
            </w:pPr>
            <w:r>
              <w:rPr>
                <w:sz w:val="12"/>
                <w:szCs w:val="12"/>
                <w:spacing w:val="-1"/>
              </w:rPr>
              <w:t>古树，病树，弱树复壮，促进草坪生长，增绿。1</w:t>
            </w:r>
            <w:r>
              <w:rPr>
                <w:sz w:val="12"/>
                <w:szCs w:val="12"/>
                <w:spacing w:val="13"/>
              </w:rPr>
              <w:t xml:space="preserve"> </w:t>
            </w:r>
            <w:r>
              <w:rPr>
                <w:sz w:val="12"/>
                <w:szCs w:val="12"/>
                <w:spacing w:val="-1"/>
              </w:rPr>
              <w:t>万平方米年度约用量：100kg。</w:t>
            </w:r>
          </w:p>
        </w:tc>
      </w:tr>
      <w:tr>
        <w:trPr>
          <w:trHeight w:val="36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23" w:line="219" w:lineRule="auto"/>
              <w:rPr>
                <w:sz w:val="12"/>
                <w:szCs w:val="12"/>
              </w:rPr>
            </w:pPr>
            <w:r>
              <w:rPr>
                <w:sz w:val="12"/>
                <w:szCs w:val="12"/>
                <w:spacing w:val="1"/>
              </w:rPr>
              <w:t>国光氯基酸钾</w:t>
            </w:r>
          </w:p>
        </w:tc>
        <w:tc>
          <w:tcPr>
            <w:tcW w:w="1929" w:type="dxa"/>
            <w:vAlign w:val="top"/>
            <w:tcBorders>
              <w:bottom w:val="single" w:color="000000" w:sz="2" w:space="0"/>
              <w:top w:val="single" w:color="000000" w:sz="2" w:space="0"/>
            </w:tcBorders>
          </w:tcPr>
          <w:p>
            <w:pPr>
              <w:pStyle w:val="TableText"/>
              <w:ind w:left="504"/>
              <w:spacing w:before="123" w:line="220" w:lineRule="auto"/>
              <w:rPr>
                <w:sz w:val="12"/>
                <w:szCs w:val="12"/>
              </w:rPr>
            </w:pPr>
            <w:r>
              <w:rPr>
                <w:sz w:val="12"/>
                <w:szCs w:val="12"/>
                <w:spacing w:val="1"/>
              </w:rPr>
              <w:t>12%氨基酸整合钾</w:t>
            </w:r>
          </w:p>
        </w:tc>
        <w:tc>
          <w:tcPr>
            <w:tcW w:w="1639" w:type="dxa"/>
            <w:vAlign w:val="top"/>
            <w:tcBorders>
              <w:bottom w:val="single" w:color="000000" w:sz="2" w:space="0"/>
              <w:top w:val="single" w:color="000000" w:sz="2" w:space="0"/>
            </w:tcBorders>
          </w:tcPr>
          <w:p>
            <w:pPr>
              <w:pStyle w:val="TableText"/>
              <w:ind w:left="365"/>
              <w:spacing w:before="123" w:line="219" w:lineRule="auto"/>
              <w:rPr>
                <w:sz w:val="12"/>
                <w:szCs w:val="12"/>
              </w:rPr>
            </w:pPr>
            <w:r>
              <w:rPr>
                <w:sz w:val="12"/>
                <w:szCs w:val="12"/>
                <w:spacing w:val="-1"/>
              </w:rPr>
              <w:t>稀释600-800倍液</w:t>
            </w:r>
          </w:p>
        </w:tc>
        <w:tc>
          <w:tcPr>
            <w:tcW w:w="1069" w:type="dxa"/>
            <w:vAlign w:val="top"/>
            <w:vMerge w:val="restart"/>
            <w:tcBorders>
              <w:bottom w:val="nil"/>
              <w:top w:val="single" w:color="000000" w:sz="2" w:space="0"/>
            </w:tcBorders>
          </w:tcPr>
          <w:p>
            <w:pPr>
              <w:spacing w:line="285" w:lineRule="auto"/>
              <w:rPr>
                <w:rFonts w:ascii="Arial"/>
                <w:sz w:val="21"/>
              </w:rPr>
            </w:pPr>
            <w:r/>
          </w:p>
          <w:p>
            <w:pPr>
              <w:spacing w:line="285" w:lineRule="auto"/>
              <w:rPr>
                <w:rFonts w:ascii="Arial"/>
                <w:sz w:val="21"/>
              </w:rPr>
            </w:pPr>
            <w:r/>
          </w:p>
          <w:p>
            <w:pPr>
              <w:pStyle w:val="TableText"/>
              <w:ind w:left="256"/>
              <w:spacing w:before="39" w:line="219" w:lineRule="auto"/>
              <w:rPr>
                <w:sz w:val="12"/>
                <w:szCs w:val="12"/>
              </w:rPr>
            </w:pPr>
            <w:r>
              <w:rPr>
                <w:sz w:val="12"/>
                <w:szCs w:val="12"/>
                <w:spacing w:val="-2"/>
              </w:rPr>
              <w:t>一般用1次</w:t>
            </w:r>
          </w:p>
        </w:tc>
        <w:tc>
          <w:tcPr>
            <w:tcW w:w="819" w:type="dxa"/>
            <w:vAlign w:val="top"/>
            <w:tcBorders>
              <w:bottom w:val="single" w:color="000000" w:sz="2" w:space="0"/>
              <w:top w:val="single" w:color="000000" w:sz="2" w:space="0"/>
            </w:tcBorders>
          </w:tcPr>
          <w:p>
            <w:pPr>
              <w:pStyle w:val="TableText"/>
              <w:ind w:left="196"/>
              <w:spacing w:before="120" w:line="213" w:lineRule="auto"/>
              <w:rPr>
                <w:sz w:val="12"/>
                <w:szCs w:val="12"/>
              </w:rPr>
            </w:pPr>
            <w:r>
              <w:rPr>
                <w:sz w:val="12"/>
                <w:szCs w:val="12"/>
                <w:spacing w:val="-1"/>
              </w:rPr>
              <w:t>800g/瓶</w:t>
            </w:r>
          </w:p>
        </w:tc>
        <w:tc>
          <w:tcPr>
            <w:tcW w:w="2603" w:type="dxa"/>
            <w:vAlign w:val="top"/>
            <w:tcBorders>
              <w:bottom w:val="single" w:color="000000" w:sz="2" w:space="0"/>
              <w:top w:val="single" w:color="000000" w:sz="2" w:space="0"/>
            </w:tcBorders>
          </w:tcPr>
          <w:p>
            <w:pPr>
              <w:pStyle w:val="TableText"/>
              <w:ind w:left="17" w:right="7"/>
              <w:spacing w:before="73" w:line="216" w:lineRule="auto"/>
              <w:rPr>
                <w:sz w:val="12"/>
                <w:szCs w:val="12"/>
              </w:rPr>
            </w:pPr>
            <w:r>
              <w:rPr>
                <w:sz w:val="12"/>
                <w:szCs w:val="12"/>
                <w:spacing w:val="-1"/>
              </w:rPr>
              <w:t>防治因缺弹引起的植株瘦弱，生长不良，1万平方</w:t>
            </w:r>
            <w:r>
              <w:rPr>
                <w:sz w:val="12"/>
                <w:szCs w:val="12"/>
                <w:spacing w:val="8"/>
              </w:rPr>
              <w:t xml:space="preserve"> </w:t>
            </w:r>
            <w:r>
              <w:rPr>
                <w:sz w:val="12"/>
                <w:szCs w:val="12"/>
              </w:rPr>
              <w:t>米年度约用量：50kg。</w:t>
            </w:r>
          </w:p>
        </w:tc>
      </w:tr>
      <w:tr>
        <w:trPr>
          <w:trHeight w:val="64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nil"/>
              <w:top w:val="nil"/>
            </w:tcBorders>
          </w:tcPr>
          <w:p>
            <w:pPr>
              <w:rPr>
                <w:rFonts w:ascii="Arial"/>
                <w:sz w:val="21"/>
              </w:rPr>
            </w:pPr>
            <w:r/>
          </w:p>
        </w:tc>
        <w:tc>
          <w:tcPr>
            <w:tcW w:w="989" w:type="dxa"/>
            <w:vAlign w:val="top"/>
            <w:vMerge w:val="continue"/>
            <w:tcBorders>
              <w:bottom w:val="nil"/>
              <w:top w:val="nil"/>
            </w:tcBorders>
          </w:tcPr>
          <w:p>
            <w:pPr>
              <w:rPr>
                <w:rFonts w:ascii="Arial"/>
                <w:sz w:val="21"/>
              </w:rPr>
            </w:pPr>
            <w:r/>
          </w:p>
        </w:tc>
        <w:tc>
          <w:tcPr>
            <w:tcW w:w="271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263" w:line="218" w:lineRule="auto"/>
              <w:rPr>
                <w:sz w:val="12"/>
                <w:szCs w:val="12"/>
              </w:rPr>
            </w:pPr>
            <w:r>
              <w:rPr>
                <w:sz w:val="12"/>
                <w:szCs w:val="12"/>
                <w:spacing w:val="-1"/>
              </w:rPr>
              <w:t>生物活性有机肥</w:t>
            </w:r>
          </w:p>
        </w:tc>
        <w:tc>
          <w:tcPr>
            <w:tcW w:w="1929" w:type="dxa"/>
            <w:vAlign w:val="top"/>
            <w:tcBorders>
              <w:bottom w:val="single" w:color="000000" w:sz="2" w:space="0"/>
              <w:top w:val="single" w:color="000000" w:sz="2" w:space="0"/>
            </w:tcBorders>
          </w:tcPr>
          <w:p>
            <w:pPr>
              <w:pStyle w:val="TableText"/>
              <w:ind w:left="64" w:right="101" w:firstLine="19"/>
              <w:spacing w:before="52" w:line="216" w:lineRule="auto"/>
              <w:rPr>
                <w:sz w:val="12"/>
                <w:szCs w:val="12"/>
              </w:rPr>
            </w:pPr>
            <w:r>
              <w:rPr>
                <w:sz w:val="12"/>
                <w:szCs w:val="12"/>
                <w:spacing w:val="-1"/>
              </w:rPr>
              <w:t>氯磷钾大于6%,有机质30%,腐殖酸</w:t>
            </w:r>
            <w:r>
              <w:rPr>
                <w:sz w:val="12"/>
                <w:szCs w:val="12"/>
                <w:spacing w:val="10"/>
              </w:rPr>
              <w:t xml:space="preserve"> </w:t>
            </w:r>
            <w:r>
              <w:rPr>
                <w:sz w:val="12"/>
                <w:szCs w:val="12"/>
                <w:spacing w:val="-1"/>
              </w:rPr>
              <w:t>大于10%,蓖麻饼大于20%,土壤调</w:t>
            </w:r>
          </w:p>
          <w:p>
            <w:pPr>
              <w:pStyle w:val="TableText"/>
              <w:ind w:left="143" w:right="51" w:hanging="129"/>
              <w:spacing w:line="231" w:lineRule="auto"/>
              <w:rPr>
                <w:sz w:val="12"/>
                <w:szCs w:val="12"/>
              </w:rPr>
            </w:pPr>
            <w:r>
              <w:rPr>
                <w:sz w:val="12"/>
                <w:szCs w:val="12"/>
                <w:spacing w:val="-1"/>
              </w:rPr>
              <w:t>理剂大于10%活性菌2亿/克，微量元</w:t>
            </w:r>
            <w:r>
              <w:rPr>
                <w:sz w:val="12"/>
                <w:szCs w:val="12"/>
                <w:spacing w:val="10"/>
              </w:rPr>
              <w:t xml:space="preserve"> </w:t>
            </w:r>
            <w:r>
              <w:rPr>
                <w:sz w:val="12"/>
                <w:szCs w:val="12"/>
                <w:spacing w:val="-1"/>
              </w:rPr>
              <w:t>素钙、镁、疏，铁、锋、铜等。</w:t>
            </w:r>
          </w:p>
        </w:tc>
        <w:tc>
          <w:tcPr>
            <w:tcW w:w="1639" w:type="dxa"/>
            <w:vAlign w:val="top"/>
            <w:tcBorders>
              <w:bottom w:val="single" w:color="000000" w:sz="2" w:space="0"/>
              <w:top w:val="single" w:color="000000" w:sz="2" w:space="0"/>
            </w:tcBorders>
          </w:tcPr>
          <w:p>
            <w:pPr>
              <w:pStyle w:val="TableText"/>
              <w:ind w:left="35"/>
              <w:spacing w:before="260" w:line="213" w:lineRule="auto"/>
              <w:rPr>
                <w:sz w:val="12"/>
                <w:szCs w:val="12"/>
              </w:rPr>
            </w:pPr>
            <w:r>
              <w:rPr>
                <w:sz w:val="12"/>
                <w:szCs w:val="12"/>
                <w:spacing w:val="-1"/>
              </w:rPr>
              <w:t>每南100-150kg,宜作底肥，亦</w:t>
            </w:r>
          </w:p>
        </w:tc>
        <w:tc>
          <w:tcPr>
            <w:tcW w:w="1069" w:type="dxa"/>
            <w:vAlign w:val="top"/>
            <w:vMerge w:val="continue"/>
            <w:tcBorders>
              <w:bottom w:val="nil"/>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96"/>
              <w:spacing w:before="260" w:line="213" w:lineRule="auto"/>
              <w:rPr>
                <w:sz w:val="12"/>
                <w:szCs w:val="12"/>
              </w:rPr>
            </w:pPr>
            <w:r>
              <w:rPr>
                <w:sz w:val="12"/>
                <w:szCs w:val="12"/>
                <w:spacing w:val="-1"/>
              </w:rPr>
              <w:t>40Kg\袋</w:t>
            </w:r>
          </w:p>
        </w:tc>
        <w:tc>
          <w:tcPr>
            <w:tcW w:w="2603" w:type="dxa"/>
            <w:vAlign w:val="top"/>
            <w:tcBorders>
              <w:bottom w:val="single" w:color="000000" w:sz="2" w:space="0"/>
              <w:top w:val="single" w:color="000000" w:sz="2" w:space="0"/>
            </w:tcBorders>
          </w:tcPr>
          <w:p>
            <w:pPr>
              <w:pStyle w:val="TableText"/>
              <w:ind w:left="17"/>
              <w:spacing w:before="133" w:line="213" w:lineRule="auto"/>
              <w:jc w:val="both"/>
              <w:rPr>
                <w:sz w:val="12"/>
                <w:szCs w:val="12"/>
              </w:rPr>
            </w:pPr>
            <w:r>
              <w:rPr>
                <w:sz w:val="12"/>
                <w:szCs w:val="12"/>
              </w:rPr>
              <w:t>固氮、解磷，解钾，降低成本，增加产量。改善</w:t>
            </w:r>
            <w:r>
              <w:rPr>
                <w:sz w:val="12"/>
                <w:szCs w:val="12"/>
                <w:spacing w:val="2"/>
              </w:rPr>
              <w:t xml:space="preserve">  </w:t>
            </w:r>
            <w:r>
              <w:rPr>
                <w:sz w:val="12"/>
                <w:szCs w:val="12"/>
                <w:spacing w:val="-1"/>
              </w:rPr>
              <w:t>土壤结构，增强通风、储水能力。1万平方米年度</w:t>
            </w:r>
            <w:r>
              <w:rPr>
                <w:sz w:val="12"/>
                <w:szCs w:val="12"/>
                <w:spacing w:val="15"/>
                <w:w w:val="101"/>
              </w:rPr>
              <w:t xml:space="preserve"> </w:t>
            </w:r>
            <w:r>
              <w:rPr>
                <w:sz w:val="12"/>
                <w:szCs w:val="12"/>
              </w:rPr>
              <w:t>约用量：400kg。</w:t>
            </w:r>
          </w:p>
        </w:tc>
      </w:tr>
      <w:tr>
        <w:trPr>
          <w:trHeight w:val="324" w:hRule="atLeast"/>
        </w:trPr>
        <w:tc>
          <w:tcPr>
            <w:tcW w:w="415" w:type="dxa"/>
            <w:vAlign w:val="top"/>
            <w:vMerge w:val="continue"/>
            <w:tcBorders>
              <w:bottom w:val="nil"/>
              <w:top w:val="nil"/>
            </w:tcBorders>
          </w:tcPr>
          <w:p>
            <w:pPr>
              <w:rPr>
                <w:rFonts w:ascii="Arial"/>
                <w:sz w:val="21"/>
              </w:rPr>
            </w:pPr>
            <w:r/>
          </w:p>
        </w:tc>
        <w:tc>
          <w:tcPr>
            <w:tcW w:w="60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104" w:line="219" w:lineRule="auto"/>
              <w:rPr>
                <w:sz w:val="12"/>
                <w:szCs w:val="12"/>
              </w:rPr>
            </w:pPr>
            <w:r>
              <w:rPr>
                <w:sz w:val="12"/>
                <w:szCs w:val="12"/>
                <w:spacing w:val="3"/>
              </w:rPr>
              <w:t>国光钾</w:t>
            </w:r>
          </w:p>
        </w:tc>
        <w:tc>
          <w:tcPr>
            <w:tcW w:w="1929" w:type="dxa"/>
            <w:vAlign w:val="top"/>
            <w:tcBorders>
              <w:bottom w:val="single" w:color="000000" w:sz="2" w:space="0"/>
              <w:top w:val="single" w:color="000000" w:sz="2" w:space="0"/>
            </w:tcBorders>
          </w:tcPr>
          <w:p>
            <w:pPr>
              <w:pStyle w:val="TableText"/>
              <w:ind w:left="564"/>
              <w:spacing w:before="104" w:line="219" w:lineRule="auto"/>
              <w:rPr>
                <w:sz w:val="12"/>
                <w:szCs w:val="12"/>
              </w:rPr>
            </w:pPr>
            <w:r>
              <w:rPr>
                <w:sz w:val="12"/>
                <w:szCs w:val="12"/>
                <w:spacing w:val="-1"/>
              </w:rPr>
              <w:t>98%磷酸二氢钾</w:t>
            </w:r>
          </w:p>
        </w:tc>
        <w:tc>
          <w:tcPr>
            <w:tcW w:w="1639" w:type="dxa"/>
            <w:vAlign w:val="top"/>
            <w:tcBorders>
              <w:bottom w:val="single" w:color="000000" w:sz="2" w:space="0"/>
              <w:top w:val="single" w:color="000000" w:sz="2" w:space="0"/>
            </w:tcBorders>
          </w:tcPr>
          <w:p>
            <w:pPr>
              <w:pStyle w:val="TableText"/>
              <w:ind w:left="155"/>
              <w:spacing w:before="104" w:line="219" w:lineRule="auto"/>
              <w:rPr>
                <w:sz w:val="12"/>
                <w:szCs w:val="12"/>
              </w:rPr>
            </w:pPr>
            <w:r>
              <w:rPr>
                <w:sz w:val="12"/>
                <w:szCs w:val="12"/>
                <w:spacing w:val="-1"/>
              </w:rPr>
              <w:t>直接穴施成0.2%叶面喷施</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66"/>
              <w:spacing w:before="100" w:line="213" w:lineRule="auto"/>
              <w:rPr>
                <w:sz w:val="12"/>
                <w:szCs w:val="12"/>
              </w:rPr>
            </w:pPr>
            <w:r>
              <w:rPr>
                <w:sz w:val="12"/>
                <w:szCs w:val="12"/>
                <w:spacing w:val="6"/>
              </w:rPr>
              <w:t>(</w:t>
            </w:r>
            <w:r>
              <w:rPr>
                <w:sz w:val="12"/>
                <w:szCs w:val="12"/>
              </w:rPr>
              <w:t>Ikg</w:t>
            </w:r>
            <w:r>
              <w:rPr>
                <w:sz w:val="12"/>
                <w:szCs w:val="12"/>
                <w:spacing w:val="6"/>
              </w:rPr>
              <w:t>/袋)</w:t>
            </w:r>
          </w:p>
        </w:tc>
        <w:tc>
          <w:tcPr>
            <w:tcW w:w="2603" w:type="dxa"/>
            <w:vAlign w:val="top"/>
            <w:tcBorders>
              <w:bottom w:val="single" w:color="000000" w:sz="2" w:space="0"/>
              <w:top w:val="single" w:color="000000" w:sz="2" w:space="0"/>
            </w:tcBorders>
          </w:tcPr>
          <w:p>
            <w:pPr>
              <w:pStyle w:val="TableText"/>
              <w:ind w:left="17"/>
              <w:spacing w:before="104" w:line="219" w:lineRule="auto"/>
              <w:rPr>
                <w:sz w:val="12"/>
                <w:szCs w:val="12"/>
              </w:rPr>
            </w:pPr>
            <w:r>
              <w:rPr>
                <w:sz w:val="12"/>
                <w:szCs w:val="12"/>
                <w:spacing w:val="-1"/>
              </w:rPr>
              <w:t>提高树木木质化程度，有利树木安全越冬</w:t>
            </w:r>
          </w:p>
        </w:tc>
      </w:tr>
      <w:tr>
        <w:trPr>
          <w:trHeight w:val="854" w:hRule="atLeast"/>
        </w:trPr>
        <w:tc>
          <w:tcPr>
            <w:tcW w:w="415" w:type="dxa"/>
            <w:vAlign w:val="top"/>
            <w:vMerge w:val="continue"/>
            <w:tcBorders>
              <w:bottom w:val="single" w:color="000000" w:sz="2" w:space="0"/>
              <w:top w:val="nil"/>
            </w:tcBorders>
          </w:tcPr>
          <w:p>
            <w:pPr>
              <w:rPr>
                <w:rFonts w:ascii="Arial"/>
                <w:sz w:val="21"/>
              </w:rPr>
            </w:pPr>
            <w:r/>
          </w:p>
        </w:tc>
        <w:tc>
          <w:tcPr>
            <w:tcW w:w="600" w:type="dxa"/>
            <w:vAlign w:val="top"/>
            <w:tcBorders>
              <w:bottom w:val="single" w:color="000000" w:sz="2" w:space="0"/>
              <w:top w:val="single" w:color="000000" w:sz="2" w:space="0"/>
            </w:tcBorders>
          </w:tcPr>
          <w:p>
            <w:pPr>
              <w:spacing w:line="333" w:lineRule="auto"/>
              <w:rPr>
                <w:rFonts w:ascii="Arial"/>
                <w:sz w:val="21"/>
              </w:rPr>
            </w:pPr>
            <w:r/>
          </w:p>
          <w:p>
            <w:pPr>
              <w:pStyle w:val="TableText"/>
              <w:ind w:left="50"/>
              <w:spacing w:before="39" w:line="219" w:lineRule="auto"/>
              <w:rPr>
                <w:sz w:val="12"/>
                <w:szCs w:val="12"/>
              </w:rPr>
            </w:pPr>
            <w:r>
              <w:rPr>
                <w:sz w:val="12"/>
                <w:szCs w:val="12"/>
                <w:spacing w:val="-2"/>
              </w:rPr>
              <w:t>草坪限绿</w:t>
            </w:r>
          </w:p>
        </w:tc>
        <w:tc>
          <w:tcPr>
            <w:tcW w:w="989" w:type="dxa"/>
            <w:vAlign w:val="top"/>
            <w:tcBorders>
              <w:bottom w:val="single" w:color="000000" w:sz="2" w:space="0"/>
              <w:top w:val="single" w:color="000000" w:sz="2" w:space="0"/>
            </w:tcBorders>
          </w:tcPr>
          <w:p>
            <w:pPr>
              <w:spacing w:line="283" w:lineRule="auto"/>
              <w:rPr>
                <w:rFonts w:ascii="Arial"/>
                <w:sz w:val="21"/>
              </w:rPr>
            </w:pPr>
            <w:r/>
          </w:p>
          <w:p>
            <w:pPr>
              <w:pStyle w:val="TableText"/>
              <w:ind w:left="29" w:right="134" w:hanging="19"/>
              <w:spacing w:before="39" w:line="222" w:lineRule="auto"/>
              <w:rPr>
                <w:sz w:val="12"/>
                <w:szCs w:val="12"/>
              </w:rPr>
            </w:pPr>
            <w:r>
              <w:rPr>
                <w:sz w:val="12"/>
                <w:szCs w:val="12"/>
                <w:spacing w:val="-1"/>
              </w:rPr>
              <w:t>草坪发芽及长势</w:t>
            </w:r>
            <w:r>
              <w:rPr>
                <w:sz w:val="12"/>
                <w:szCs w:val="12"/>
              </w:rPr>
              <w:t xml:space="preserve"> </w:t>
            </w:r>
            <w:r>
              <w:rPr>
                <w:sz w:val="12"/>
                <w:szCs w:val="12"/>
                <w:spacing w:val="-2"/>
              </w:rPr>
              <w:t>不良</w:t>
            </w:r>
          </w:p>
        </w:tc>
        <w:tc>
          <w:tcPr>
            <w:tcW w:w="2718" w:type="dxa"/>
            <w:vAlign w:val="top"/>
            <w:tcBorders>
              <w:bottom w:val="single" w:color="000000" w:sz="2" w:space="0"/>
              <w:top w:val="single" w:color="000000" w:sz="2" w:space="0"/>
            </w:tcBorders>
          </w:tcPr>
          <w:p>
            <w:pPr>
              <w:pStyle w:val="TableText"/>
              <w:ind w:left="11"/>
              <w:spacing w:before="35" w:line="220" w:lineRule="auto"/>
              <w:rPr>
                <w:sz w:val="12"/>
                <w:szCs w:val="12"/>
              </w:rPr>
            </w:pPr>
            <w:r>
              <w:rPr>
                <w:sz w:val="12"/>
                <w:szCs w:val="12"/>
                <w:spacing w:val="-1"/>
              </w:rPr>
              <w:t>一、主要集中在5月中，气温上升，空气湿度增加，</w:t>
            </w:r>
            <w:r>
              <w:rPr>
                <w:sz w:val="12"/>
                <w:szCs w:val="12"/>
                <w:spacing w:val="18"/>
                <w:w w:val="101"/>
              </w:rPr>
              <w:t xml:space="preserve"> </w:t>
            </w:r>
            <w:r>
              <w:rPr>
                <w:sz w:val="12"/>
                <w:szCs w:val="12"/>
                <w:spacing w:val="-1"/>
              </w:rPr>
              <w:t>苗木结束休眠期开始返青，是草皮施肥复绿最佳时</w:t>
            </w:r>
            <w:r>
              <w:rPr>
                <w:sz w:val="12"/>
                <w:szCs w:val="12"/>
                <w:spacing w:val="6"/>
              </w:rPr>
              <w:t xml:space="preserve">  </w:t>
            </w:r>
            <w:r>
              <w:rPr>
                <w:sz w:val="12"/>
                <w:szCs w:val="12"/>
                <w:spacing w:val="-1"/>
              </w:rPr>
              <w:t>机。</w:t>
            </w:r>
          </w:p>
          <w:p>
            <w:pPr>
              <w:pStyle w:val="TableText"/>
              <w:ind w:left="11" w:right="1"/>
              <w:spacing w:line="199" w:lineRule="auto"/>
              <w:rPr>
                <w:sz w:val="12"/>
                <w:szCs w:val="12"/>
              </w:rPr>
            </w:pPr>
            <w:r>
              <w:rPr>
                <w:sz w:val="12"/>
                <w:szCs w:val="12"/>
                <w:spacing w:val="-1"/>
              </w:rPr>
              <w:t>三、6-7月有个别情况，做专项治疗，一般每月施肥</w:t>
            </w:r>
            <w:r>
              <w:rPr>
                <w:sz w:val="12"/>
                <w:szCs w:val="12"/>
                <w:spacing w:val="18"/>
              </w:rPr>
              <w:t xml:space="preserve"> </w:t>
            </w:r>
            <w:r>
              <w:rPr>
                <w:sz w:val="12"/>
                <w:szCs w:val="12"/>
              </w:rPr>
              <w:t>一次，每次用量为春季的一般左右。</w:t>
            </w:r>
          </w:p>
          <w:p>
            <w:pPr>
              <w:pStyle w:val="TableText"/>
              <w:ind w:left="11"/>
              <w:spacing w:line="184" w:lineRule="auto"/>
              <w:rPr>
                <w:sz w:val="12"/>
                <w:szCs w:val="12"/>
              </w:rPr>
            </w:pPr>
            <w:r>
              <w:rPr>
                <w:sz w:val="12"/>
                <w:szCs w:val="12"/>
              </w:rPr>
              <w:t>三，10-11月施磷钾肥，提高苗木的抗寒抗早性。</w:t>
            </w:r>
          </w:p>
        </w:tc>
        <w:tc>
          <w:tcPr>
            <w:tcW w:w="1289" w:type="dxa"/>
            <w:vAlign w:val="top"/>
            <w:tcBorders>
              <w:bottom w:val="single" w:color="000000" w:sz="2" w:space="0"/>
              <w:top w:val="single" w:color="000000" w:sz="2" w:space="0"/>
            </w:tcBorders>
          </w:tcPr>
          <w:p>
            <w:pPr>
              <w:spacing w:line="333" w:lineRule="auto"/>
              <w:rPr>
                <w:rFonts w:ascii="Arial"/>
                <w:sz w:val="21"/>
              </w:rPr>
            </w:pPr>
            <w:r/>
          </w:p>
          <w:p>
            <w:pPr>
              <w:pStyle w:val="TableText"/>
              <w:ind w:left="393"/>
              <w:spacing w:before="39" w:line="219" w:lineRule="auto"/>
              <w:rPr>
                <w:sz w:val="12"/>
                <w:szCs w:val="12"/>
              </w:rPr>
            </w:pPr>
            <w:r>
              <w:rPr>
                <w:sz w:val="12"/>
                <w:szCs w:val="12"/>
                <w:spacing w:val="1"/>
              </w:rPr>
              <w:t>中成壮美</w:t>
            </w:r>
          </w:p>
        </w:tc>
        <w:tc>
          <w:tcPr>
            <w:tcW w:w="1929" w:type="dxa"/>
            <w:vAlign w:val="top"/>
            <w:tcBorders>
              <w:bottom w:val="single" w:color="000000" w:sz="2" w:space="0"/>
              <w:top w:val="single" w:color="000000" w:sz="2" w:space="0"/>
            </w:tcBorders>
          </w:tcPr>
          <w:p>
            <w:pPr>
              <w:spacing w:line="333" w:lineRule="auto"/>
              <w:rPr>
                <w:rFonts w:ascii="Arial"/>
                <w:sz w:val="21"/>
              </w:rPr>
            </w:pPr>
            <w:r/>
          </w:p>
          <w:p>
            <w:pPr>
              <w:pStyle w:val="TableText"/>
              <w:ind w:left="624"/>
              <w:spacing w:before="39" w:line="218" w:lineRule="auto"/>
              <w:rPr>
                <w:sz w:val="12"/>
                <w:szCs w:val="12"/>
              </w:rPr>
            </w:pPr>
            <w:r>
              <w:rPr>
                <w:sz w:val="12"/>
                <w:szCs w:val="12"/>
                <w:spacing w:val="-1"/>
              </w:rPr>
              <w:t>有机质≥60%</w:t>
            </w:r>
          </w:p>
        </w:tc>
        <w:tc>
          <w:tcPr>
            <w:tcW w:w="1639" w:type="dxa"/>
            <w:vAlign w:val="top"/>
            <w:tcBorders>
              <w:bottom w:val="single" w:color="000000" w:sz="2" w:space="0"/>
              <w:top w:val="single" w:color="000000" w:sz="2" w:space="0"/>
            </w:tcBorders>
          </w:tcPr>
          <w:p>
            <w:pPr>
              <w:spacing w:line="330" w:lineRule="auto"/>
              <w:rPr>
                <w:rFonts w:ascii="Arial"/>
                <w:sz w:val="21"/>
              </w:rPr>
            </w:pPr>
            <w:r/>
          </w:p>
          <w:p>
            <w:pPr>
              <w:pStyle w:val="TableText"/>
              <w:ind w:left="215"/>
              <w:spacing w:before="39" w:line="213" w:lineRule="auto"/>
              <w:rPr>
                <w:sz w:val="12"/>
                <w:szCs w:val="12"/>
              </w:rPr>
            </w:pPr>
            <w:r>
              <w:rPr>
                <w:sz w:val="12"/>
                <w:szCs w:val="12"/>
                <w:spacing w:val="-1"/>
              </w:rPr>
              <w:t>直接撤施：20-25kg/亩</w:t>
            </w:r>
          </w:p>
        </w:tc>
        <w:tc>
          <w:tcPr>
            <w:tcW w:w="1069" w:type="dxa"/>
            <w:vAlign w:val="top"/>
            <w:tcBorders>
              <w:bottom w:val="single" w:color="000000" w:sz="2" w:space="0"/>
              <w:top w:val="single" w:color="000000" w:sz="2" w:space="0"/>
            </w:tcBorders>
          </w:tcPr>
          <w:p>
            <w:pPr>
              <w:rPr>
                <w:rFonts w:ascii="Arial"/>
                <w:sz w:val="21"/>
              </w:rPr>
            </w:pPr>
            <w:r/>
          </w:p>
        </w:tc>
        <w:tc>
          <w:tcPr>
            <w:tcW w:w="819" w:type="dxa"/>
            <w:vAlign w:val="top"/>
            <w:tcBorders>
              <w:bottom w:val="single" w:color="000000" w:sz="2" w:space="0"/>
              <w:top w:val="single" w:color="000000" w:sz="2" w:space="0"/>
            </w:tcBorders>
          </w:tcPr>
          <w:p>
            <w:pPr>
              <w:spacing w:line="330" w:lineRule="auto"/>
              <w:rPr>
                <w:rFonts w:ascii="Arial"/>
                <w:sz w:val="21"/>
              </w:rPr>
            </w:pPr>
            <w:r/>
          </w:p>
          <w:p>
            <w:pPr>
              <w:pStyle w:val="TableText"/>
              <w:ind w:left="136"/>
              <w:spacing w:before="39" w:line="213" w:lineRule="auto"/>
              <w:rPr>
                <w:sz w:val="12"/>
                <w:szCs w:val="12"/>
              </w:rPr>
            </w:pPr>
            <w:r>
              <w:rPr>
                <w:sz w:val="12"/>
                <w:szCs w:val="12"/>
                <w:spacing w:val="4"/>
              </w:rPr>
              <w:t>(25</w:t>
            </w:r>
            <w:r>
              <w:rPr>
                <w:sz w:val="12"/>
                <w:szCs w:val="12"/>
              </w:rPr>
              <w:t>kg</w:t>
            </w:r>
            <w:r>
              <w:rPr>
                <w:sz w:val="12"/>
                <w:szCs w:val="12"/>
                <w:spacing w:val="4"/>
              </w:rPr>
              <w:t>/袋)</w:t>
            </w:r>
          </w:p>
        </w:tc>
        <w:tc>
          <w:tcPr>
            <w:tcW w:w="2603" w:type="dxa"/>
            <w:vAlign w:val="top"/>
            <w:tcBorders>
              <w:bottom w:val="single" w:color="000000" w:sz="2" w:space="0"/>
              <w:top w:val="single" w:color="000000" w:sz="2" w:space="0"/>
            </w:tcBorders>
          </w:tcPr>
          <w:p>
            <w:pPr>
              <w:spacing w:line="273" w:lineRule="auto"/>
              <w:rPr>
                <w:rFonts w:ascii="Arial"/>
                <w:sz w:val="21"/>
              </w:rPr>
            </w:pPr>
            <w:r/>
          </w:p>
          <w:p>
            <w:pPr>
              <w:pStyle w:val="TableText"/>
              <w:ind w:left="17" w:right="54"/>
              <w:spacing w:before="39" w:line="225" w:lineRule="auto"/>
              <w:rPr>
                <w:sz w:val="12"/>
                <w:szCs w:val="12"/>
              </w:rPr>
            </w:pPr>
            <w:r>
              <w:rPr>
                <w:sz w:val="12"/>
                <w:szCs w:val="12"/>
              </w:rPr>
              <w:t>促进草坪快速生根，全面营养，使用安全方便。 </w:t>
            </w:r>
            <w:r>
              <w:rPr>
                <w:sz w:val="12"/>
                <w:szCs w:val="12"/>
                <w:spacing w:val="-1"/>
              </w:rPr>
              <w:t>万平方米年度约用量：500kg。</w:t>
            </w:r>
          </w:p>
        </w:tc>
      </w:tr>
      <w:tr>
        <w:trPr>
          <w:trHeight w:val="334" w:hRule="atLeast"/>
        </w:trPr>
        <w:tc>
          <w:tcPr>
            <w:tcW w:w="415" w:type="dxa"/>
            <w:vAlign w:val="top"/>
            <w:vMerge w:val="restart"/>
            <w:tcBorders>
              <w:bottom w:val="nil"/>
              <w:top w:val="single" w:color="000000" w:sz="2" w:space="0"/>
            </w:tcBorders>
          </w:tcPr>
          <w:p>
            <w:pPr>
              <w:pStyle w:val="TableText"/>
              <w:ind w:left="74"/>
              <w:spacing w:before="265" w:line="220" w:lineRule="auto"/>
              <w:rPr>
                <w:sz w:val="12"/>
                <w:szCs w:val="12"/>
              </w:rPr>
            </w:pPr>
            <w:r>
              <w:rPr>
                <w:sz w:val="12"/>
                <w:szCs w:val="12"/>
                <w:spacing w:val="-2"/>
              </w:rPr>
              <w:t>其他</w:t>
            </w:r>
          </w:p>
        </w:tc>
        <w:tc>
          <w:tcPr>
            <w:tcW w:w="600" w:type="dxa"/>
            <w:vAlign w:val="top"/>
            <w:vMerge w:val="restart"/>
            <w:tcBorders>
              <w:bottom w:val="nil"/>
              <w:top w:val="single" w:color="000000" w:sz="2" w:space="0"/>
            </w:tcBorders>
          </w:tcPr>
          <w:p>
            <w:pPr>
              <w:pStyle w:val="TableText"/>
              <w:ind w:left="50"/>
              <w:spacing w:before="264" w:line="219" w:lineRule="auto"/>
              <w:rPr>
                <w:sz w:val="12"/>
                <w:szCs w:val="12"/>
              </w:rPr>
            </w:pPr>
            <w:r>
              <w:rPr>
                <w:sz w:val="12"/>
                <w:szCs w:val="12"/>
                <w:spacing w:val="-1"/>
              </w:rPr>
              <w:t>树木养护</w:t>
            </w:r>
          </w:p>
        </w:tc>
        <w:tc>
          <w:tcPr>
            <w:tcW w:w="989" w:type="dxa"/>
            <w:vAlign w:val="top"/>
            <w:vMerge w:val="restart"/>
            <w:tcBorders>
              <w:bottom w:val="nil"/>
              <w:top w:val="single" w:color="000000" w:sz="2" w:space="0"/>
            </w:tcBorders>
          </w:tcPr>
          <w:p>
            <w:pPr>
              <w:pStyle w:val="TableText"/>
              <w:ind w:left="139" w:right="48" w:hanging="49"/>
              <w:spacing w:before="215" w:line="209" w:lineRule="auto"/>
              <w:rPr>
                <w:sz w:val="12"/>
                <w:szCs w:val="12"/>
              </w:rPr>
            </w:pPr>
            <w:r>
              <w:rPr>
                <w:sz w:val="12"/>
                <w:szCs w:val="12"/>
                <w:spacing w:val="-1"/>
              </w:rPr>
              <w:t>树木修剪创口，</w:t>
            </w:r>
            <w:r>
              <w:rPr>
                <w:sz w:val="12"/>
                <w:szCs w:val="12"/>
                <w:spacing w:val="5"/>
              </w:rPr>
              <w:t xml:space="preserve"> </w:t>
            </w:r>
            <w:r>
              <w:rPr>
                <w:sz w:val="12"/>
                <w:szCs w:val="12"/>
                <w:spacing w:val="2"/>
              </w:rPr>
              <w:t>腐烂病害伤口</w:t>
            </w:r>
          </w:p>
        </w:tc>
        <w:tc>
          <w:tcPr>
            <w:tcW w:w="2718" w:type="dxa"/>
            <w:vAlign w:val="top"/>
            <w:vMerge w:val="restart"/>
            <w:tcBorders>
              <w:bottom w:val="nil"/>
              <w:top w:val="single" w:color="000000" w:sz="2" w:space="0"/>
            </w:tcBorders>
          </w:tcPr>
          <w:p>
            <w:pPr>
              <w:pStyle w:val="TableText"/>
              <w:ind w:left="1130"/>
              <w:spacing w:before="264" w:line="219" w:lineRule="auto"/>
              <w:rPr>
                <w:sz w:val="12"/>
                <w:szCs w:val="12"/>
              </w:rPr>
            </w:pPr>
            <w:r>
              <w:rPr>
                <w:sz w:val="12"/>
                <w:szCs w:val="12"/>
                <w:spacing w:val="2"/>
              </w:rPr>
              <w:t>日常养护</w:t>
            </w:r>
          </w:p>
        </w:tc>
        <w:tc>
          <w:tcPr>
            <w:tcW w:w="1289" w:type="dxa"/>
            <w:vAlign w:val="top"/>
            <w:tcBorders>
              <w:bottom w:val="single" w:color="000000" w:sz="2" w:space="0"/>
              <w:top w:val="single" w:color="000000" w:sz="2" w:space="0"/>
            </w:tcBorders>
          </w:tcPr>
          <w:p>
            <w:pPr>
              <w:pStyle w:val="TableText"/>
              <w:ind w:left="123"/>
              <w:spacing w:before="55" w:line="219" w:lineRule="auto"/>
              <w:rPr>
                <w:sz w:val="12"/>
                <w:szCs w:val="12"/>
              </w:rPr>
            </w:pPr>
            <w:r>
              <w:rPr>
                <w:sz w:val="12"/>
                <w:szCs w:val="12"/>
              </w:rPr>
              <w:t>国光糊涂(愈伤涂膜</w:t>
            </w:r>
          </w:p>
          <w:p>
            <w:pPr>
              <w:pStyle w:val="TableText"/>
              <w:ind w:left="543"/>
              <w:spacing w:before="6" w:line="184" w:lineRule="auto"/>
              <w:rPr>
                <w:sz w:val="12"/>
                <w:szCs w:val="12"/>
              </w:rPr>
            </w:pPr>
            <w:r>
              <w:rPr>
                <w:sz w:val="12"/>
                <w:szCs w:val="12"/>
                <w:spacing w:val="-3"/>
              </w:rPr>
              <w:t>剂</w:t>
            </w:r>
            <w:r>
              <w:rPr>
                <w:sz w:val="12"/>
                <w:szCs w:val="12"/>
                <w:spacing w:val="-24"/>
              </w:rPr>
              <w:t xml:space="preserve"> </w:t>
            </w:r>
            <w:r>
              <w:rPr>
                <w:sz w:val="12"/>
                <w:szCs w:val="12"/>
                <w:spacing w:val="-3"/>
              </w:rPr>
              <w:t>)</w:t>
            </w:r>
          </w:p>
        </w:tc>
        <w:tc>
          <w:tcPr>
            <w:tcW w:w="1929" w:type="dxa"/>
            <w:vAlign w:val="top"/>
            <w:tcBorders>
              <w:bottom w:val="single" w:color="000000" w:sz="2" w:space="0"/>
              <w:top w:val="single" w:color="000000" w:sz="2" w:space="0"/>
            </w:tcBorders>
          </w:tcPr>
          <w:p>
            <w:pPr>
              <w:pStyle w:val="TableText"/>
              <w:ind w:left="734" w:right="70" w:hanging="680"/>
              <w:spacing w:before="45" w:line="210"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639" w:type="dxa"/>
            <w:vAlign w:val="top"/>
            <w:tcBorders>
              <w:bottom w:val="single" w:color="000000" w:sz="2" w:space="0"/>
              <w:top w:val="single" w:color="000000" w:sz="2" w:space="0"/>
            </w:tcBorders>
          </w:tcPr>
          <w:p>
            <w:pPr>
              <w:pStyle w:val="TableText"/>
              <w:ind w:left="155"/>
              <w:spacing w:before="115" w:line="219" w:lineRule="auto"/>
              <w:rPr>
                <w:sz w:val="12"/>
                <w:szCs w:val="12"/>
              </w:rPr>
            </w:pPr>
            <w:r>
              <w:rPr>
                <w:sz w:val="12"/>
                <w:szCs w:val="12"/>
                <w:spacing w:val="-1"/>
              </w:rPr>
              <w:t>直接使用，可略加水稀释</w:t>
            </w:r>
          </w:p>
        </w:tc>
        <w:tc>
          <w:tcPr>
            <w:tcW w:w="1069" w:type="dxa"/>
            <w:vAlign w:val="top"/>
            <w:vMerge w:val="restart"/>
            <w:tcBorders>
              <w:bottom w:val="nil"/>
              <w:top w:val="single" w:color="000000" w:sz="2" w:space="0"/>
            </w:tcBorders>
          </w:tcPr>
          <w:p>
            <w:pPr>
              <w:pStyle w:val="TableText"/>
              <w:ind w:left="375" w:right="58" w:hanging="329"/>
              <w:spacing w:before="214" w:line="211" w:lineRule="auto"/>
              <w:rPr>
                <w:sz w:val="12"/>
                <w:szCs w:val="12"/>
              </w:rPr>
            </w:pPr>
            <w:r>
              <w:rPr>
                <w:sz w:val="12"/>
                <w:szCs w:val="12"/>
                <w:spacing w:val="-1"/>
              </w:rPr>
              <w:t>乔木修剪后和树皮</w:t>
            </w:r>
            <w:r>
              <w:rPr>
                <w:sz w:val="12"/>
                <w:szCs w:val="12"/>
                <w:spacing w:val="1"/>
              </w:rPr>
              <w:t xml:space="preserve"> </w:t>
            </w:r>
            <w:r>
              <w:rPr>
                <w:sz w:val="12"/>
                <w:szCs w:val="12"/>
                <w:spacing w:val="-1"/>
              </w:rPr>
              <w:t>破损时</w:t>
            </w:r>
          </w:p>
        </w:tc>
        <w:tc>
          <w:tcPr>
            <w:tcW w:w="819" w:type="dxa"/>
            <w:vAlign w:val="top"/>
            <w:tcBorders>
              <w:bottom w:val="single" w:color="000000" w:sz="2" w:space="0"/>
              <w:top w:val="single" w:color="000000" w:sz="2" w:space="0"/>
            </w:tcBorders>
          </w:tcPr>
          <w:p>
            <w:pPr>
              <w:pStyle w:val="TableText"/>
              <w:ind w:left="136"/>
              <w:spacing w:before="111" w:line="213" w:lineRule="auto"/>
              <w:rPr>
                <w:sz w:val="12"/>
                <w:szCs w:val="12"/>
              </w:rPr>
            </w:pPr>
            <w:r>
              <w:rPr>
                <w:sz w:val="12"/>
                <w:szCs w:val="12"/>
                <w:spacing w:val="3"/>
              </w:rPr>
              <w:t>(500g/瓶)</w:t>
            </w:r>
          </w:p>
        </w:tc>
        <w:tc>
          <w:tcPr>
            <w:tcW w:w="2603" w:type="dxa"/>
            <w:vAlign w:val="top"/>
            <w:tcBorders>
              <w:bottom w:val="single" w:color="000000" w:sz="2" w:space="0"/>
              <w:top w:val="single" w:color="000000" w:sz="2" w:space="0"/>
            </w:tcBorders>
          </w:tcPr>
          <w:p>
            <w:pPr>
              <w:pStyle w:val="TableText"/>
              <w:ind w:left="17"/>
              <w:spacing w:before="144" w:line="218" w:lineRule="auto"/>
              <w:rPr>
                <w:sz w:val="12"/>
                <w:szCs w:val="12"/>
              </w:rPr>
            </w:pPr>
            <w:r>
              <w:rPr>
                <w:sz w:val="12"/>
                <w:szCs w:val="12"/>
                <w:spacing w:val="-1"/>
              </w:rPr>
              <w:t>促进伤口快速愈合，杀菌防腐</w:t>
            </w:r>
          </w:p>
        </w:tc>
      </w:tr>
      <w:tr>
        <w:trPr>
          <w:trHeight w:val="300" w:hRule="atLeast"/>
        </w:trPr>
        <w:tc>
          <w:tcPr>
            <w:tcW w:w="415" w:type="dxa"/>
            <w:vAlign w:val="top"/>
            <w:vMerge w:val="continue"/>
            <w:tcBorders>
              <w:bottom w:val="single" w:color="000000" w:sz="2" w:space="0"/>
              <w:top w:val="nil"/>
            </w:tcBorders>
          </w:tcPr>
          <w:p>
            <w:pPr>
              <w:rPr>
                <w:rFonts w:ascii="Arial"/>
                <w:sz w:val="21"/>
              </w:rPr>
            </w:pPr>
            <w:r/>
          </w:p>
        </w:tc>
        <w:tc>
          <w:tcPr>
            <w:tcW w:w="600" w:type="dxa"/>
            <w:vAlign w:val="top"/>
            <w:vMerge w:val="continue"/>
            <w:tcBorders>
              <w:bottom w:val="single" w:color="000000" w:sz="2" w:space="0"/>
              <w:top w:val="nil"/>
            </w:tcBorders>
          </w:tcPr>
          <w:p>
            <w:pPr>
              <w:rPr>
                <w:rFonts w:ascii="Arial"/>
                <w:sz w:val="21"/>
              </w:rPr>
            </w:pPr>
            <w:r/>
          </w:p>
        </w:tc>
        <w:tc>
          <w:tcPr>
            <w:tcW w:w="989" w:type="dxa"/>
            <w:vAlign w:val="top"/>
            <w:vMerge w:val="continue"/>
            <w:tcBorders>
              <w:bottom w:val="single" w:color="000000" w:sz="2" w:space="0"/>
              <w:top w:val="nil"/>
            </w:tcBorders>
          </w:tcPr>
          <w:p>
            <w:pPr>
              <w:rPr>
                <w:rFonts w:ascii="Arial"/>
                <w:sz w:val="21"/>
              </w:rPr>
            </w:pPr>
            <w:r/>
          </w:p>
        </w:tc>
        <w:tc>
          <w:tcPr>
            <w:tcW w:w="271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95" w:line="218" w:lineRule="auto"/>
              <w:rPr>
                <w:sz w:val="12"/>
                <w:szCs w:val="12"/>
              </w:rPr>
            </w:pPr>
            <w:r>
              <w:rPr>
                <w:sz w:val="12"/>
                <w:szCs w:val="12"/>
                <w:spacing w:val="1"/>
              </w:rPr>
              <w:t>中威愈伤膏</w:t>
            </w:r>
          </w:p>
        </w:tc>
        <w:tc>
          <w:tcPr>
            <w:tcW w:w="1929" w:type="dxa"/>
            <w:vAlign w:val="top"/>
            <w:tcBorders>
              <w:bottom w:val="single" w:color="000000" w:sz="2" w:space="0"/>
              <w:top w:val="single" w:color="000000" w:sz="2" w:space="0"/>
            </w:tcBorders>
          </w:tcPr>
          <w:p>
            <w:pPr>
              <w:pStyle w:val="TableText"/>
              <w:ind w:left="534"/>
              <w:spacing w:before="95" w:line="218" w:lineRule="auto"/>
              <w:rPr>
                <w:sz w:val="12"/>
                <w:szCs w:val="12"/>
              </w:rPr>
            </w:pPr>
            <w:r>
              <w:rPr>
                <w:sz w:val="12"/>
                <w:szCs w:val="12"/>
                <w:spacing w:val="-1"/>
              </w:rPr>
              <w:t>有机质、柔菌剂</w:t>
            </w:r>
          </w:p>
        </w:tc>
        <w:tc>
          <w:tcPr>
            <w:tcW w:w="1639" w:type="dxa"/>
            <w:vAlign w:val="top"/>
            <w:tcBorders>
              <w:bottom w:val="single" w:color="000000" w:sz="2" w:space="0"/>
              <w:top w:val="single" w:color="000000" w:sz="2" w:space="0"/>
            </w:tcBorders>
          </w:tcPr>
          <w:p>
            <w:pPr>
              <w:pStyle w:val="TableText"/>
              <w:ind w:left="155"/>
              <w:spacing w:before="95" w:line="219" w:lineRule="auto"/>
              <w:rPr>
                <w:sz w:val="12"/>
                <w:szCs w:val="12"/>
              </w:rPr>
            </w:pPr>
            <w:r>
              <w:rPr>
                <w:sz w:val="12"/>
                <w:szCs w:val="12"/>
                <w:spacing w:val="-1"/>
              </w:rPr>
              <w:t>直接使用，可略加水稀释</w:t>
            </w:r>
          </w:p>
        </w:tc>
        <w:tc>
          <w:tcPr>
            <w:tcW w:w="1069" w:type="dxa"/>
            <w:vAlign w:val="top"/>
            <w:vMerge w:val="continue"/>
            <w:tcBorders>
              <w:bottom w:val="single" w:color="000000" w:sz="2" w:space="0"/>
              <w:top w:val="nil"/>
            </w:tcBorders>
          </w:tcPr>
          <w:p>
            <w:pPr>
              <w:rPr>
                <w:rFonts w:ascii="Arial"/>
                <w:sz w:val="21"/>
              </w:rPr>
            </w:pPr>
            <w:r/>
          </w:p>
        </w:tc>
        <w:tc>
          <w:tcPr>
            <w:tcW w:w="819" w:type="dxa"/>
            <w:vAlign w:val="top"/>
            <w:tcBorders>
              <w:bottom w:val="single" w:color="000000" w:sz="2" w:space="0"/>
              <w:top w:val="single" w:color="000000" w:sz="2" w:space="0"/>
            </w:tcBorders>
          </w:tcPr>
          <w:p>
            <w:pPr>
              <w:pStyle w:val="TableText"/>
              <w:ind w:left="136"/>
              <w:spacing w:before="92" w:line="213" w:lineRule="auto"/>
              <w:rPr>
                <w:sz w:val="12"/>
                <w:szCs w:val="12"/>
              </w:rPr>
            </w:pPr>
            <w:r>
              <w:rPr>
                <w:sz w:val="12"/>
                <w:szCs w:val="12"/>
                <w:spacing w:val="3"/>
              </w:rPr>
              <w:t>(500g/瓶)</w:t>
            </w:r>
          </w:p>
        </w:tc>
        <w:tc>
          <w:tcPr>
            <w:tcW w:w="2603" w:type="dxa"/>
            <w:vAlign w:val="top"/>
            <w:tcBorders>
              <w:bottom w:val="single" w:color="000000" w:sz="2" w:space="0"/>
              <w:top w:val="single" w:color="000000" w:sz="2" w:space="0"/>
            </w:tcBorders>
          </w:tcPr>
          <w:p>
            <w:pPr>
              <w:pStyle w:val="TableText"/>
              <w:ind w:left="17" w:right="59"/>
              <w:spacing w:before="15" w:line="203" w:lineRule="auto"/>
              <w:rPr>
                <w:sz w:val="12"/>
                <w:szCs w:val="12"/>
              </w:rPr>
            </w:pPr>
            <w:r>
              <w:rPr>
                <w:sz w:val="12"/>
                <w:szCs w:val="12"/>
                <w:spacing w:val="-1"/>
              </w:rPr>
              <w:t>适用树木移栽时切口及根部处理；病害伤口、树</w:t>
            </w:r>
            <w:r>
              <w:rPr>
                <w:sz w:val="12"/>
                <w:szCs w:val="12"/>
                <w:spacing w:val="15"/>
              </w:rPr>
              <w:t xml:space="preserve"> </w:t>
            </w:r>
            <w:r>
              <w:rPr>
                <w:sz w:val="12"/>
                <w:szCs w:val="12"/>
                <w:spacing w:val="-2"/>
              </w:rPr>
              <w:t>皮损失处理</w:t>
            </w:r>
          </w:p>
        </w:tc>
      </w:tr>
    </w:tbl>
    <w:p>
      <w:pPr>
        <w:spacing w:line="14" w:lineRule="auto"/>
        <w:rPr>
          <w:rFonts w:ascii="Arial"/>
          <w:sz w:val="2"/>
        </w:rPr>
      </w:pPr>
      <w:r/>
    </w:p>
    <w:p>
      <w:pPr>
        <w:spacing w:line="14" w:lineRule="auto"/>
        <w:sectPr>
          <w:pgSz w:w="14490" w:h="10240"/>
          <w:pgMar w:top="115" w:right="234" w:bottom="224" w:left="174" w:header="0" w:footer="0" w:gutter="0"/>
        </w:sectPr>
        <w:rPr>
          <w:rFonts w:ascii="Arial" w:hAnsi="Arial" w:eastAsia="Arial" w:cs="Arial"/>
          <w:sz w:val="2"/>
          <w:szCs w:val="2"/>
        </w:rPr>
      </w:pPr>
    </w:p>
    <w:tbl>
      <w:tblPr>
        <w:tblStyle w:val="TableNormal"/>
        <w:tblW w:w="139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85"/>
        <w:gridCol w:w="639"/>
        <w:gridCol w:w="959"/>
        <w:gridCol w:w="2888"/>
        <w:gridCol w:w="1049"/>
        <w:gridCol w:w="1489"/>
        <w:gridCol w:w="1229"/>
        <w:gridCol w:w="1369"/>
        <w:gridCol w:w="919"/>
        <w:gridCol w:w="2834"/>
      </w:tblGrid>
      <w:tr>
        <w:trPr>
          <w:trHeight w:val="669" w:hRule="atLeast"/>
        </w:trPr>
        <w:tc>
          <w:tcPr>
            <w:tcW w:w="13960" w:type="dxa"/>
            <w:vAlign w:val="top"/>
            <w:gridSpan w:val="10"/>
            <w:tcBorders>
              <w:bottom w:val="single" w:color="000000" w:sz="2" w:space="0"/>
              <w:top w:val="single" w:color="000000" w:sz="2" w:space="0"/>
            </w:tcBorders>
          </w:tcPr>
          <w:p>
            <w:pPr>
              <w:pStyle w:val="TableText"/>
              <w:ind w:left="6016"/>
              <w:spacing w:before="163" w:line="218" w:lineRule="auto"/>
              <w:rPr>
                <w:sz w:val="13"/>
                <w:szCs w:val="13"/>
              </w:rPr>
            </w:pPr>
            <w:r>
              <w:rPr>
                <w:sz w:val="13"/>
                <w:szCs w:val="13"/>
                <w:b/>
                <w:bCs/>
                <w:spacing w:val="29"/>
              </w:rPr>
              <w:t>新疆地区农药肥料使用指导</w:t>
            </w:r>
          </w:p>
          <w:p>
            <w:pPr>
              <w:pStyle w:val="TableText"/>
              <w:ind w:left="4505"/>
              <w:spacing w:before="55" w:line="218" w:lineRule="auto"/>
              <w:rPr>
                <w:sz w:val="13"/>
                <w:szCs w:val="13"/>
              </w:rPr>
            </w:pPr>
            <w:r>
              <w:rPr>
                <w:sz w:val="13"/>
                <w:szCs w:val="13"/>
                <w:spacing w:val="-2"/>
              </w:rPr>
              <w:t>(</w:t>
            </w:r>
            <w:r>
              <w:rPr>
                <w:sz w:val="13"/>
                <w:szCs w:val="13"/>
                <w:b/>
                <w:bCs/>
                <w:spacing w:val="-2"/>
              </w:rPr>
              <w:t>本表中药品供参考，如有同类且成分相同、价格合理、低毒高效的药品，可选择使用</w:t>
            </w:r>
            <w:r>
              <w:rPr>
                <w:sz w:val="13"/>
                <w:szCs w:val="13"/>
                <w:spacing w:val="-2"/>
              </w:rPr>
              <w:t>)</w:t>
            </w:r>
          </w:p>
        </w:tc>
      </w:tr>
      <w:tr>
        <w:trPr>
          <w:trHeight w:val="544" w:hRule="atLeast"/>
        </w:trPr>
        <w:tc>
          <w:tcPr>
            <w:tcW w:w="585" w:type="dxa"/>
            <w:vAlign w:val="top"/>
            <w:tcBorders>
              <w:bottom w:val="single" w:color="000000" w:sz="2" w:space="0"/>
              <w:top w:val="single" w:color="000000" w:sz="2" w:space="0"/>
            </w:tcBorders>
          </w:tcPr>
          <w:p>
            <w:pPr>
              <w:pStyle w:val="TableText"/>
              <w:ind w:left="156"/>
              <w:spacing w:before="208" w:line="219" w:lineRule="auto"/>
              <w:rPr>
                <w:sz w:val="13"/>
                <w:szCs w:val="13"/>
              </w:rPr>
            </w:pPr>
            <w:r>
              <w:rPr>
                <w:sz w:val="13"/>
                <w:szCs w:val="13"/>
                <w:b/>
                <w:bCs/>
                <w:spacing w:val="-4"/>
              </w:rPr>
              <w:t>分类</w:t>
            </w:r>
          </w:p>
        </w:tc>
        <w:tc>
          <w:tcPr>
            <w:tcW w:w="639" w:type="dxa"/>
            <w:vAlign w:val="top"/>
            <w:tcBorders>
              <w:bottom w:val="single" w:color="000000" w:sz="2" w:space="0"/>
              <w:top w:val="single" w:color="000000" w:sz="2" w:space="0"/>
            </w:tcBorders>
          </w:tcPr>
          <w:p>
            <w:pPr>
              <w:pStyle w:val="TableText"/>
              <w:ind w:left="51"/>
              <w:spacing w:before="48" w:line="219" w:lineRule="auto"/>
              <w:rPr>
                <w:sz w:val="13"/>
                <w:szCs w:val="13"/>
              </w:rPr>
            </w:pPr>
            <w:r>
              <w:rPr>
                <w:sz w:val="13"/>
                <w:szCs w:val="13"/>
                <w:b/>
                <w:bCs/>
                <w:spacing w:val="-3"/>
              </w:rPr>
              <w:t>消杀预防</w:t>
            </w:r>
          </w:p>
          <w:p>
            <w:pPr>
              <w:pStyle w:val="TableText"/>
              <w:ind w:left="51"/>
              <w:spacing w:before="5" w:line="220" w:lineRule="auto"/>
              <w:rPr>
                <w:sz w:val="13"/>
                <w:szCs w:val="13"/>
              </w:rPr>
            </w:pPr>
            <w:r>
              <w:rPr>
                <w:sz w:val="13"/>
                <w:szCs w:val="13"/>
                <w:b/>
                <w:bCs/>
                <w:spacing w:val="-3"/>
              </w:rPr>
              <w:t>及病虫害</w:t>
            </w:r>
          </w:p>
          <w:p>
            <w:pPr>
              <w:pStyle w:val="TableText"/>
              <w:ind w:left="181"/>
              <w:spacing w:before="4" w:line="219" w:lineRule="auto"/>
              <w:rPr>
                <w:sz w:val="13"/>
                <w:szCs w:val="13"/>
              </w:rPr>
            </w:pPr>
            <w:r>
              <w:rPr>
                <w:sz w:val="13"/>
                <w:szCs w:val="13"/>
                <w:b/>
                <w:bCs/>
                <w:spacing w:val="-4"/>
              </w:rPr>
              <w:t>分类</w:t>
            </w:r>
          </w:p>
        </w:tc>
        <w:tc>
          <w:tcPr>
            <w:tcW w:w="959" w:type="dxa"/>
            <w:vAlign w:val="top"/>
            <w:tcBorders>
              <w:bottom w:val="single" w:color="000000" w:sz="2" w:space="0"/>
              <w:top w:val="single" w:color="000000" w:sz="2" w:space="0"/>
            </w:tcBorders>
          </w:tcPr>
          <w:p>
            <w:pPr>
              <w:pStyle w:val="TableText"/>
              <w:ind w:left="142"/>
              <w:spacing w:before="208" w:line="219" w:lineRule="auto"/>
              <w:rPr>
                <w:sz w:val="13"/>
                <w:szCs w:val="13"/>
              </w:rPr>
            </w:pPr>
            <w:r>
              <w:rPr>
                <w:sz w:val="13"/>
                <w:szCs w:val="13"/>
                <w:b/>
                <w:bCs/>
                <w:spacing w:val="-3"/>
              </w:rPr>
              <w:t>常见病虫害</w:t>
            </w:r>
          </w:p>
        </w:tc>
        <w:tc>
          <w:tcPr>
            <w:tcW w:w="2888" w:type="dxa"/>
            <w:vAlign w:val="top"/>
            <w:tcBorders>
              <w:bottom w:val="single" w:color="000000" w:sz="2" w:space="0"/>
              <w:top w:val="single" w:color="000000" w:sz="2" w:space="0"/>
            </w:tcBorders>
          </w:tcPr>
          <w:p>
            <w:pPr>
              <w:pStyle w:val="TableText"/>
              <w:ind w:left="3"/>
              <w:spacing w:before="208" w:line="219" w:lineRule="auto"/>
              <w:rPr>
                <w:sz w:val="13"/>
                <w:szCs w:val="13"/>
              </w:rPr>
            </w:pPr>
            <w:r>
              <w:rPr>
                <w:sz w:val="13"/>
                <w:szCs w:val="13"/>
                <w:b/>
                <w:bCs/>
                <w:spacing w:val="-3"/>
              </w:rPr>
              <w:t>主要发病月份</w:t>
            </w:r>
          </w:p>
        </w:tc>
        <w:tc>
          <w:tcPr>
            <w:tcW w:w="1049" w:type="dxa"/>
            <w:vAlign w:val="top"/>
            <w:tcBorders>
              <w:bottom w:val="single" w:color="000000" w:sz="2" w:space="0"/>
              <w:top w:val="single" w:color="000000" w:sz="2" w:space="0"/>
            </w:tcBorders>
          </w:tcPr>
          <w:p>
            <w:pPr>
              <w:pStyle w:val="TableText"/>
              <w:ind w:left="255"/>
              <w:spacing w:before="208" w:line="220" w:lineRule="auto"/>
              <w:rPr>
                <w:sz w:val="13"/>
                <w:szCs w:val="13"/>
              </w:rPr>
            </w:pPr>
            <w:r>
              <w:rPr>
                <w:sz w:val="13"/>
                <w:szCs w:val="13"/>
                <w:b/>
                <w:bCs/>
                <w:spacing w:val="-3"/>
              </w:rPr>
              <w:t>药品名称</w:t>
            </w:r>
          </w:p>
        </w:tc>
        <w:tc>
          <w:tcPr>
            <w:tcW w:w="1489" w:type="dxa"/>
            <w:vAlign w:val="top"/>
            <w:tcBorders>
              <w:bottom w:val="single" w:color="000000" w:sz="2" w:space="0"/>
              <w:top w:val="single" w:color="000000" w:sz="2" w:space="0"/>
            </w:tcBorders>
          </w:tcPr>
          <w:p>
            <w:pPr>
              <w:pStyle w:val="TableText"/>
              <w:ind w:left="476"/>
              <w:spacing w:before="208" w:line="220" w:lineRule="auto"/>
              <w:rPr>
                <w:sz w:val="13"/>
                <w:szCs w:val="13"/>
              </w:rPr>
            </w:pPr>
            <w:r>
              <w:rPr>
                <w:sz w:val="13"/>
                <w:szCs w:val="13"/>
                <w:b/>
                <w:bCs/>
                <w:spacing w:val="-3"/>
              </w:rPr>
              <w:t>主要成分</w:t>
            </w:r>
          </w:p>
        </w:tc>
        <w:tc>
          <w:tcPr>
            <w:tcW w:w="1229" w:type="dxa"/>
            <w:vAlign w:val="top"/>
            <w:tcBorders>
              <w:bottom w:val="single" w:color="000000" w:sz="2" w:space="0"/>
              <w:top w:val="single" w:color="000000" w:sz="2" w:space="0"/>
            </w:tcBorders>
          </w:tcPr>
          <w:p>
            <w:pPr>
              <w:pStyle w:val="TableText"/>
              <w:ind w:left="347"/>
              <w:spacing w:before="208" w:line="219" w:lineRule="auto"/>
              <w:rPr>
                <w:sz w:val="13"/>
                <w:szCs w:val="13"/>
              </w:rPr>
            </w:pPr>
            <w:r>
              <w:rPr>
                <w:sz w:val="13"/>
                <w:szCs w:val="13"/>
                <w:b/>
                <w:bCs/>
                <w:spacing w:val="-3"/>
              </w:rPr>
              <w:t>使用倍率</w:t>
            </w:r>
          </w:p>
        </w:tc>
        <w:tc>
          <w:tcPr>
            <w:tcW w:w="1369" w:type="dxa"/>
            <w:vAlign w:val="top"/>
            <w:tcBorders>
              <w:bottom w:val="single" w:color="000000" w:sz="2" w:space="0"/>
              <w:top w:val="single" w:color="000000" w:sz="2" w:space="0"/>
            </w:tcBorders>
          </w:tcPr>
          <w:p>
            <w:pPr>
              <w:pStyle w:val="TableText"/>
              <w:ind w:left="418"/>
              <w:spacing w:before="208" w:line="219" w:lineRule="auto"/>
              <w:rPr>
                <w:sz w:val="13"/>
                <w:szCs w:val="13"/>
              </w:rPr>
            </w:pPr>
            <w:r>
              <w:rPr>
                <w:sz w:val="13"/>
                <w:szCs w:val="13"/>
                <w:b/>
                <w:bCs/>
                <w:spacing w:val="-3"/>
              </w:rPr>
              <w:t>施用次数</w:t>
            </w:r>
          </w:p>
        </w:tc>
        <w:tc>
          <w:tcPr>
            <w:tcW w:w="919" w:type="dxa"/>
            <w:vAlign w:val="top"/>
            <w:tcBorders>
              <w:bottom w:val="single" w:color="000000" w:sz="2" w:space="0"/>
              <w:top w:val="single" w:color="000000" w:sz="2" w:space="0"/>
            </w:tcBorders>
          </w:tcPr>
          <w:p>
            <w:pPr>
              <w:pStyle w:val="TableText"/>
              <w:ind w:left="329"/>
              <w:spacing w:before="208" w:line="219" w:lineRule="auto"/>
              <w:rPr>
                <w:sz w:val="13"/>
                <w:szCs w:val="13"/>
              </w:rPr>
            </w:pPr>
            <w:r>
              <w:rPr>
                <w:sz w:val="13"/>
                <w:szCs w:val="13"/>
                <w:b/>
                <w:bCs/>
                <w:spacing w:val="-3"/>
              </w:rPr>
              <w:t>规格</w:t>
            </w:r>
          </w:p>
        </w:tc>
        <w:tc>
          <w:tcPr>
            <w:tcW w:w="2834" w:type="dxa"/>
            <w:vAlign w:val="top"/>
            <w:tcBorders>
              <w:bottom w:val="single" w:color="000000" w:sz="2" w:space="0"/>
              <w:top w:val="single" w:color="000000" w:sz="2" w:space="0"/>
            </w:tcBorders>
          </w:tcPr>
          <w:p>
            <w:pPr>
              <w:pStyle w:val="TableText"/>
              <w:ind w:left="1290"/>
              <w:spacing w:before="209" w:line="221" w:lineRule="auto"/>
              <w:rPr>
                <w:sz w:val="13"/>
                <w:szCs w:val="13"/>
              </w:rPr>
            </w:pPr>
            <w:r>
              <w:rPr>
                <w:sz w:val="13"/>
                <w:szCs w:val="13"/>
                <w:b/>
                <w:bCs/>
                <w:spacing w:val="-4"/>
              </w:rPr>
              <w:t>备注</w:t>
            </w:r>
          </w:p>
        </w:tc>
      </w:tr>
      <w:tr>
        <w:trPr>
          <w:trHeight w:val="384" w:hRule="atLeast"/>
        </w:trPr>
        <w:tc>
          <w:tcPr>
            <w:tcW w:w="585" w:type="dxa"/>
            <w:vAlign w:val="top"/>
            <w:vMerge w:val="restart"/>
            <w:tcBorders>
              <w:bottom w:val="nil"/>
              <w:top w:val="single" w:color="000000" w:sz="2" w:space="0"/>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84"/>
              <w:spacing w:before="43" w:line="218" w:lineRule="auto"/>
              <w:rPr>
                <w:sz w:val="13"/>
                <w:szCs w:val="13"/>
              </w:rPr>
            </w:pPr>
            <w:r>
              <w:rPr>
                <w:sz w:val="13"/>
                <w:szCs w:val="13"/>
                <w:spacing w:val="-2"/>
              </w:rPr>
              <w:t>杀菌剂</w:t>
            </w:r>
          </w:p>
        </w:tc>
        <w:tc>
          <w:tcPr>
            <w:tcW w:w="639" w:type="dxa"/>
            <w:vAlign w:val="top"/>
            <w:vMerge w:val="restart"/>
            <w:tcBorders>
              <w:bottom w:val="nil"/>
              <w:top w:val="single" w:color="000000" w:sz="2" w:space="0"/>
            </w:tcBorders>
          </w:tcPr>
          <w:p>
            <w:pPr>
              <w:spacing w:line="445" w:lineRule="auto"/>
              <w:rPr>
                <w:rFonts w:ascii="Arial"/>
                <w:sz w:val="21"/>
              </w:rPr>
            </w:pPr>
            <w:r/>
          </w:p>
          <w:p>
            <w:pPr>
              <w:pStyle w:val="TableText"/>
              <w:ind w:left="179"/>
              <w:spacing w:before="42" w:line="219" w:lineRule="auto"/>
              <w:rPr>
                <w:sz w:val="13"/>
                <w:szCs w:val="13"/>
              </w:rPr>
            </w:pPr>
            <w:r>
              <w:rPr>
                <w:sz w:val="13"/>
                <w:szCs w:val="13"/>
                <w:spacing w:val="-2"/>
              </w:rPr>
              <w:t>消杀</w:t>
            </w:r>
          </w:p>
        </w:tc>
        <w:tc>
          <w:tcPr>
            <w:tcW w:w="959" w:type="dxa"/>
            <w:vAlign w:val="top"/>
            <w:vMerge w:val="restart"/>
            <w:tcBorders>
              <w:bottom w:val="nil"/>
              <w:top w:val="single" w:color="000000" w:sz="2" w:space="0"/>
            </w:tcBorders>
          </w:tcPr>
          <w:p>
            <w:pPr>
              <w:spacing w:line="385" w:lineRule="auto"/>
              <w:rPr>
                <w:rFonts w:ascii="Arial"/>
                <w:sz w:val="21"/>
              </w:rPr>
            </w:pPr>
            <w:r/>
          </w:p>
          <w:p>
            <w:pPr>
              <w:pStyle w:val="TableText"/>
              <w:ind w:left="11"/>
              <w:spacing w:before="42" w:line="219" w:lineRule="auto"/>
              <w:rPr>
                <w:sz w:val="13"/>
                <w:szCs w:val="13"/>
              </w:rPr>
            </w:pPr>
            <w:r>
              <w:rPr>
                <w:sz w:val="13"/>
                <w:szCs w:val="13"/>
                <w:spacing w:val="-1"/>
              </w:rPr>
              <w:t>全园区的菌类病</w:t>
            </w:r>
          </w:p>
          <w:p>
            <w:pPr>
              <w:pStyle w:val="TableText"/>
              <w:ind w:left="211"/>
              <w:spacing w:before="5" w:line="219" w:lineRule="auto"/>
              <w:rPr>
                <w:sz w:val="13"/>
                <w:szCs w:val="13"/>
              </w:rPr>
            </w:pPr>
            <w:r>
              <w:rPr>
                <w:sz w:val="13"/>
                <w:szCs w:val="13"/>
                <w:spacing w:val="-2"/>
              </w:rPr>
              <w:t>菌、虫卵</w:t>
            </w:r>
          </w:p>
        </w:tc>
        <w:tc>
          <w:tcPr>
            <w:tcW w:w="2888" w:type="dxa"/>
            <w:vAlign w:val="top"/>
            <w:vMerge w:val="restart"/>
            <w:tcBorders>
              <w:bottom w:val="nil"/>
              <w:top w:val="single" w:color="000000" w:sz="2" w:space="0"/>
            </w:tcBorders>
          </w:tcPr>
          <w:p>
            <w:pPr>
              <w:spacing w:line="385" w:lineRule="auto"/>
              <w:rPr>
                <w:rFonts w:ascii="Arial"/>
                <w:sz w:val="21"/>
              </w:rPr>
            </w:pPr>
            <w:r/>
          </w:p>
          <w:p>
            <w:pPr>
              <w:pStyle w:val="TableText"/>
              <w:ind w:left="11" w:hanging="9"/>
              <w:spacing w:before="42" w:line="216" w:lineRule="auto"/>
              <w:rPr>
                <w:sz w:val="13"/>
                <w:szCs w:val="13"/>
              </w:rPr>
            </w:pPr>
            <w:r>
              <w:rPr>
                <w:sz w:val="13"/>
                <w:szCs w:val="13"/>
                <w:spacing w:val="-5"/>
              </w:rPr>
              <w:t>4月下句苗木返青前对全园区的病菌、虫卵、消杀1-2</w:t>
            </w:r>
            <w:r>
              <w:rPr>
                <w:sz w:val="13"/>
                <w:szCs w:val="13"/>
                <w:spacing w:val="9"/>
              </w:rPr>
              <w:t xml:space="preserve"> </w:t>
            </w:r>
            <w:r>
              <w:rPr>
                <w:sz w:val="13"/>
                <w:szCs w:val="13"/>
                <w:spacing w:val="-2"/>
              </w:rPr>
              <w:t>次。</w:t>
            </w:r>
          </w:p>
        </w:tc>
        <w:tc>
          <w:tcPr>
            <w:tcW w:w="1049" w:type="dxa"/>
            <w:vAlign w:val="top"/>
            <w:tcBorders>
              <w:bottom w:val="single" w:color="000000" w:sz="2" w:space="0"/>
              <w:top w:val="single" w:color="000000" w:sz="2" w:space="0"/>
            </w:tcBorders>
          </w:tcPr>
          <w:p>
            <w:pPr>
              <w:pStyle w:val="TableText"/>
              <w:ind w:left="254"/>
              <w:spacing w:before="131" w:line="220" w:lineRule="auto"/>
              <w:rPr>
                <w:sz w:val="13"/>
                <w:szCs w:val="13"/>
              </w:rPr>
            </w:pPr>
            <w:r>
              <w:rPr>
                <w:sz w:val="13"/>
                <w:szCs w:val="13"/>
                <w:spacing w:val="-2"/>
              </w:rPr>
              <w:t>波尔多液</w:t>
            </w:r>
          </w:p>
        </w:tc>
        <w:tc>
          <w:tcPr>
            <w:tcW w:w="1489" w:type="dxa"/>
            <w:vAlign w:val="top"/>
            <w:tcBorders>
              <w:bottom w:val="single" w:color="000000" w:sz="2" w:space="0"/>
              <w:top w:val="single" w:color="000000" w:sz="2" w:space="0"/>
            </w:tcBorders>
          </w:tcPr>
          <w:p>
            <w:pPr>
              <w:pStyle w:val="TableText"/>
              <w:ind w:left="415"/>
              <w:spacing w:before="131" w:line="221" w:lineRule="auto"/>
              <w:rPr>
                <w:sz w:val="13"/>
                <w:szCs w:val="13"/>
              </w:rPr>
            </w:pPr>
            <w:r>
              <w:rPr>
                <w:sz w:val="13"/>
                <w:szCs w:val="13"/>
                <w:spacing w:val="-1"/>
              </w:rPr>
              <w:t>碱式硫酸铜</w:t>
            </w:r>
          </w:p>
        </w:tc>
        <w:tc>
          <w:tcPr>
            <w:tcW w:w="1229" w:type="dxa"/>
            <w:vAlign w:val="top"/>
            <w:tcBorders>
              <w:bottom w:val="single" w:color="000000" w:sz="2" w:space="0"/>
              <w:top w:val="single" w:color="000000" w:sz="2" w:space="0"/>
            </w:tcBorders>
          </w:tcPr>
          <w:p>
            <w:pPr>
              <w:pStyle w:val="TableText"/>
              <w:ind w:left="316"/>
              <w:spacing w:before="131" w:line="220" w:lineRule="auto"/>
              <w:rPr>
                <w:sz w:val="13"/>
                <w:szCs w:val="13"/>
              </w:rPr>
            </w:pPr>
            <w:r>
              <w:rPr>
                <w:sz w:val="13"/>
                <w:szCs w:val="13"/>
                <w:spacing w:val="-7"/>
              </w:rPr>
              <w:t>160—240倍</w:t>
            </w:r>
          </w:p>
        </w:tc>
        <w:tc>
          <w:tcPr>
            <w:tcW w:w="1369" w:type="dxa"/>
            <w:vAlign w:val="top"/>
            <w:vMerge w:val="restart"/>
            <w:tcBorders>
              <w:bottom w:val="nil"/>
              <w:top w:val="single" w:color="000000" w:sz="2" w:space="0"/>
            </w:tcBorders>
          </w:tcPr>
          <w:p>
            <w:pPr>
              <w:spacing w:line="448" w:lineRule="auto"/>
              <w:rPr>
                <w:rFonts w:ascii="Arial"/>
                <w:sz w:val="21"/>
              </w:rPr>
            </w:pPr>
            <w:r/>
          </w:p>
          <w:p>
            <w:pPr>
              <w:pStyle w:val="TableText"/>
              <w:ind w:left="647"/>
              <w:spacing w:before="43" w:line="224" w:lineRule="auto"/>
              <w:rPr>
                <w:sz w:val="13"/>
                <w:szCs w:val="13"/>
              </w:rPr>
            </w:pPr>
            <w:r>
              <w:rPr>
                <w:sz w:val="13"/>
                <w:szCs w:val="13"/>
              </w:rPr>
              <w:t>/</w:t>
            </w:r>
          </w:p>
        </w:tc>
        <w:tc>
          <w:tcPr>
            <w:tcW w:w="919" w:type="dxa"/>
            <w:vAlign w:val="top"/>
            <w:tcBorders>
              <w:bottom w:val="single" w:color="000000" w:sz="2" w:space="0"/>
              <w:top w:val="single" w:color="000000" w:sz="2" w:space="0"/>
            </w:tcBorders>
          </w:tcPr>
          <w:p>
            <w:pPr>
              <w:pStyle w:val="TableText"/>
              <w:ind w:left="228"/>
              <w:spacing w:before="126" w:line="213" w:lineRule="auto"/>
              <w:rPr>
                <w:sz w:val="13"/>
                <w:szCs w:val="13"/>
              </w:rPr>
            </w:pPr>
            <w:r>
              <w:rPr>
                <w:sz w:val="13"/>
                <w:szCs w:val="13"/>
                <w:spacing w:val="-1"/>
              </w:rPr>
              <w:t>200g/装</w:t>
            </w:r>
          </w:p>
        </w:tc>
        <w:tc>
          <w:tcPr>
            <w:tcW w:w="2834" w:type="dxa"/>
            <w:vAlign w:val="top"/>
            <w:tcBorders>
              <w:bottom w:val="single" w:color="000000" w:sz="2" w:space="0"/>
              <w:top w:val="single" w:color="000000" w:sz="2" w:space="0"/>
            </w:tcBorders>
          </w:tcPr>
          <w:p>
            <w:pPr>
              <w:pStyle w:val="TableText"/>
              <w:ind w:left="19"/>
              <w:spacing w:before="50" w:line="228" w:lineRule="auto"/>
              <w:rPr>
                <w:sz w:val="13"/>
                <w:szCs w:val="13"/>
              </w:rPr>
            </w:pPr>
            <w:r>
              <w:rPr>
                <w:sz w:val="13"/>
                <w:szCs w:val="13"/>
                <w:spacing w:val="-9"/>
              </w:rPr>
              <w:t>防治落</w:t>
            </w:r>
            <w:r>
              <w:rPr>
                <w:sz w:val="13"/>
                <w:szCs w:val="13"/>
                <w:spacing w:val="-8"/>
              </w:rPr>
              <w:t>叶病、炭疽病，炭疽病、霜霉病。不能</w:t>
            </w:r>
            <w:r>
              <w:rPr>
                <w:sz w:val="13"/>
                <w:szCs w:val="13"/>
                <w:spacing w:val="-9"/>
              </w:rPr>
              <w:t>与石</w:t>
            </w:r>
            <w:r>
              <w:rPr>
                <w:sz w:val="13"/>
                <w:szCs w:val="13"/>
                <w:spacing w:val="-6"/>
              </w:rPr>
              <w:t>硫</w:t>
            </w:r>
            <w:r>
              <w:rPr>
                <w:sz w:val="13"/>
                <w:szCs w:val="13"/>
              </w:rPr>
              <w:t xml:space="preserve"> </w:t>
            </w:r>
            <w:r>
              <w:rPr>
                <w:sz w:val="13"/>
                <w:szCs w:val="13"/>
                <w:spacing w:val="1"/>
              </w:rPr>
              <w:t>合剂等喊性农药混用</w:t>
            </w:r>
          </w:p>
        </w:tc>
      </w:tr>
      <w:tr>
        <w:trPr>
          <w:trHeight w:val="37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124"/>
              <w:spacing w:before="121" w:line="218" w:lineRule="auto"/>
              <w:rPr>
                <w:sz w:val="13"/>
                <w:szCs w:val="13"/>
              </w:rPr>
            </w:pPr>
            <w:r>
              <w:rPr>
                <w:sz w:val="13"/>
                <w:szCs w:val="13"/>
                <w:spacing w:val="1"/>
              </w:rPr>
              <w:t>晶体石硫合剂</w:t>
            </w:r>
          </w:p>
        </w:tc>
        <w:tc>
          <w:tcPr>
            <w:tcW w:w="1489" w:type="dxa"/>
            <w:vAlign w:val="top"/>
            <w:tcBorders>
              <w:bottom w:val="single" w:color="000000" w:sz="2" w:space="0"/>
              <w:top w:val="single" w:color="000000" w:sz="2" w:space="0"/>
            </w:tcBorders>
          </w:tcPr>
          <w:p>
            <w:pPr>
              <w:pStyle w:val="TableText"/>
              <w:ind w:left="475"/>
              <w:spacing w:before="121" w:line="221" w:lineRule="auto"/>
              <w:rPr>
                <w:sz w:val="13"/>
                <w:szCs w:val="13"/>
              </w:rPr>
            </w:pPr>
            <w:r>
              <w:rPr>
                <w:sz w:val="13"/>
                <w:szCs w:val="13"/>
                <w:spacing w:val="-3"/>
              </w:rPr>
              <w:t>多疏化钙</w:t>
            </w:r>
          </w:p>
        </w:tc>
        <w:tc>
          <w:tcPr>
            <w:tcW w:w="1229" w:type="dxa"/>
            <w:vAlign w:val="top"/>
            <w:tcBorders>
              <w:bottom w:val="single" w:color="000000" w:sz="2" w:space="0"/>
              <w:top w:val="single" w:color="000000" w:sz="2" w:space="0"/>
            </w:tcBorders>
          </w:tcPr>
          <w:p>
            <w:pPr>
              <w:pStyle w:val="TableText"/>
              <w:ind w:left="286"/>
              <w:spacing w:before="121" w:line="220" w:lineRule="auto"/>
              <w:rPr>
                <w:sz w:val="13"/>
                <w:szCs w:val="13"/>
              </w:rPr>
            </w:pPr>
            <w:r>
              <w:rPr>
                <w:sz w:val="13"/>
                <w:szCs w:val="13"/>
                <w:spacing w:val="-6"/>
              </w:rPr>
              <w:t>800—1000倍</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8"/>
              <w:spacing w:before="117" w:line="213" w:lineRule="auto"/>
              <w:rPr>
                <w:sz w:val="13"/>
                <w:szCs w:val="13"/>
              </w:rPr>
            </w:pPr>
            <w:r>
              <w:rPr>
                <w:sz w:val="13"/>
                <w:szCs w:val="13"/>
                <w:spacing w:val="4"/>
              </w:rPr>
              <w:t>(400g/袋)</w:t>
            </w:r>
          </w:p>
        </w:tc>
        <w:tc>
          <w:tcPr>
            <w:tcW w:w="2834" w:type="dxa"/>
            <w:vAlign w:val="top"/>
            <w:tcBorders>
              <w:bottom w:val="single" w:color="000000" w:sz="2" w:space="0"/>
              <w:top w:val="single" w:color="000000" w:sz="2" w:space="0"/>
            </w:tcBorders>
          </w:tcPr>
          <w:p>
            <w:pPr>
              <w:pStyle w:val="TableText"/>
              <w:ind w:left="19"/>
              <w:spacing w:before="49" w:line="217" w:lineRule="auto"/>
              <w:rPr>
                <w:sz w:val="13"/>
                <w:szCs w:val="13"/>
              </w:rPr>
            </w:pPr>
            <w:r>
              <w:rPr>
                <w:sz w:val="13"/>
                <w:szCs w:val="13"/>
                <w:spacing w:val="-8"/>
              </w:rPr>
              <w:t>价格低廉、效果好、对多种病菌具有抑杀作用</w:t>
            </w:r>
            <w:r>
              <w:rPr>
                <w:sz w:val="13"/>
                <w:szCs w:val="13"/>
                <w:spacing w:val="-9"/>
              </w:rPr>
              <w:t>，国区</w:t>
            </w:r>
            <w:r>
              <w:rPr>
                <w:sz w:val="13"/>
                <w:szCs w:val="13"/>
              </w:rPr>
              <w:t xml:space="preserve"> </w:t>
            </w:r>
            <w:r>
              <w:rPr>
                <w:sz w:val="13"/>
                <w:szCs w:val="13"/>
                <w:spacing w:val="3"/>
              </w:rPr>
              <w:t>消杀使用</w:t>
            </w:r>
          </w:p>
        </w:tc>
      </w:tr>
      <w:tr>
        <w:trPr>
          <w:trHeight w:val="34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254"/>
              <w:spacing w:before="111" w:line="219" w:lineRule="auto"/>
              <w:rPr>
                <w:sz w:val="13"/>
                <w:szCs w:val="13"/>
              </w:rPr>
            </w:pPr>
            <w:r>
              <w:rPr>
                <w:sz w:val="13"/>
                <w:szCs w:val="13"/>
                <w:spacing w:val="1"/>
              </w:rPr>
              <w:t>国光红杀</w:t>
            </w:r>
          </w:p>
        </w:tc>
        <w:tc>
          <w:tcPr>
            <w:tcW w:w="1489" w:type="dxa"/>
            <w:vAlign w:val="top"/>
            <w:tcBorders>
              <w:bottom w:val="single" w:color="000000" w:sz="2" w:space="0"/>
              <w:top w:val="single" w:color="000000" w:sz="2" w:space="0"/>
            </w:tcBorders>
          </w:tcPr>
          <w:p>
            <w:pPr>
              <w:pStyle w:val="TableText"/>
              <w:ind w:left="185"/>
              <w:spacing w:before="111" w:line="218" w:lineRule="auto"/>
              <w:rPr>
                <w:sz w:val="13"/>
                <w:szCs w:val="13"/>
              </w:rPr>
            </w:pPr>
            <w:r>
              <w:rPr>
                <w:sz w:val="13"/>
                <w:szCs w:val="13"/>
                <w:spacing w:val="-6"/>
              </w:rPr>
              <w:t>苯丁锡</w:t>
            </w:r>
            <w:r>
              <w:rPr>
                <w:sz w:val="13"/>
                <w:szCs w:val="13"/>
                <w:spacing w:val="-13"/>
              </w:rPr>
              <w:t xml:space="preserve"> </w:t>
            </w:r>
            <w:r>
              <w:rPr>
                <w:sz w:val="13"/>
                <w:szCs w:val="13"/>
                <w:spacing w:val="-6"/>
              </w:rPr>
              <w:t>·哒螨灵10%</w:t>
            </w:r>
          </w:p>
        </w:tc>
        <w:tc>
          <w:tcPr>
            <w:tcW w:w="1229" w:type="dxa"/>
            <w:vAlign w:val="top"/>
            <w:tcBorders>
              <w:bottom w:val="single" w:color="000000" w:sz="2" w:space="0"/>
              <w:top w:val="single" w:color="000000" w:sz="2" w:space="0"/>
            </w:tcBorders>
          </w:tcPr>
          <w:p>
            <w:pPr>
              <w:pStyle w:val="TableText"/>
              <w:ind w:left="286"/>
              <w:spacing w:before="112" w:line="220" w:lineRule="auto"/>
              <w:rPr>
                <w:sz w:val="13"/>
                <w:szCs w:val="13"/>
              </w:rPr>
            </w:pPr>
            <w:r>
              <w:rPr>
                <w:sz w:val="13"/>
                <w:szCs w:val="13"/>
                <w:spacing w:val="-6"/>
              </w:rPr>
              <w:t>800—1000倍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98"/>
              <w:spacing w:before="112" w:line="221" w:lineRule="auto"/>
              <w:rPr>
                <w:sz w:val="13"/>
                <w:szCs w:val="13"/>
              </w:rPr>
            </w:pPr>
            <w:r>
              <w:rPr>
                <w:sz w:val="13"/>
                <w:szCs w:val="13"/>
                <w:spacing w:val="-1"/>
              </w:rPr>
              <w:t>200ml/瓶</w:t>
            </w:r>
          </w:p>
        </w:tc>
        <w:tc>
          <w:tcPr>
            <w:tcW w:w="2834" w:type="dxa"/>
            <w:vAlign w:val="top"/>
            <w:tcBorders>
              <w:bottom w:val="single" w:color="000000" w:sz="2" w:space="0"/>
              <w:top w:val="single" w:color="000000" w:sz="2" w:space="0"/>
            </w:tcBorders>
          </w:tcPr>
          <w:p>
            <w:pPr>
              <w:pStyle w:val="TableText"/>
              <w:ind w:left="19"/>
              <w:spacing w:before="111" w:line="218" w:lineRule="auto"/>
              <w:rPr>
                <w:sz w:val="13"/>
                <w:szCs w:val="13"/>
              </w:rPr>
            </w:pPr>
            <w:r>
              <w:rPr>
                <w:sz w:val="13"/>
                <w:szCs w:val="13"/>
                <w:spacing w:val="-1"/>
              </w:rPr>
              <w:t>高效、广谱杀螨剂、防效高、虫卵兼杀</w:t>
            </w:r>
          </w:p>
        </w:tc>
      </w:tr>
      <w:tr>
        <w:trPr>
          <w:trHeight w:val="354" w:hRule="atLeast"/>
        </w:trPr>
        <w:tc>
          <w:tcPr>
            <w:tcW w:w="585" w:type="dxa"/>
            <w:vAlign w:val="top"/>
            <w:vMerge w:val="continue"/>
            <w:tcBorders>
              <w:bottom w:val="nil"/>
              <w:top w:val="nil"/>
            </w:tcBorders>
          </w:tcPr>
          <w:p>
            <w:pPr>
              <w:rPr>
                <w:rFonts w:ascii="Arial"/>
                <w:sz w:val="21"/>
              </w:rPr>
            </w:pPr>
            <w:r/>
          </w:p>
        </w:tc>
        <w:tc>
          <w:tcPr>
            <w:tcW w:w="639" w:type="dxa"/>
            <w:vAlign w:val="top"/>
            <w:vMerge w:val="restart"/>
            <w:tcBorders>
              <w:bottom w:val="nil"/>
              <w:top w:val="single" w:color="000000" w:sz="2" w:space="0"/>
            </w:tcBorders>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10"/>
              <w:spacing w:before="43" w:line="219" w:lineRule="auto"/>
              <w:rPr>
                <w:sz w:val="13"/>
                <w:szCs w:val="13"/>
              </w:rPr>
            </w:pPr>
            <w:r>
              <w:rPr>
                <w:sz w:val="13"/>
                <w:szCs w:val="13"/>
                <w:spacing w:val="-2"/>
              </w:rPr>
              <w:t>病菌类</w:t>
            </w:r>
          </w:p>
        </w:tc>
        <w:tc>
          <w:tcPr>
            <w:tcW w:w="959"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81"/>
              <w:spacing w:before="42" w:line="213" w:lineRule="auto"/>
              <w:rPr>
                <w:sz w:val="13"/>
                <w:szCs w:val="13"/>
              </w:rPr>
            </w:pPr>
            <w:r>
              <w:rPr>
                <w:sz w:val="13"/>
                <w:szCs w:val="13"/>
                <w:spacing w:val="-1"/>
              </w:rPr>
              <w:t>炭疽病，白粉</w:t>
            </w:r>
          </w:p>
          <w:p>
            <w:pPr>
              <w:pStyle w:val="TableText"/>
              <w:ind w:left="21"/>
              <w:spacing w:line="219" w:lineRule="auto"/>
              <w:rPr>
                <w:sz w:val="13"/>
                <w:szCs w:val="13"/>
              </w:rPr>
            </w:pPr>
            <w:r>
              <w:rPr>
                <w:sz w:val="13"/>
                <w:szCs w:val="13"/>
                <w:spacing w:val="-1"/>
              </w:rPr>
              <w:t>病，锈病、叶枯</w:t>
            </w:r>
          </w:p>
          <w:p>
            <w:pPr>
              <w:pStyle w:val="TableText"/>
              <w:ind w:left="141"/>
              <w:spacing w:before="5" w:line="219" w:lineRule="auto"/>
              <w:rPr>
                <w:sz w:val="13"/>
                <w:szCs w:val="13"/>
              </w:rPr>
            </w:pPr>
            <w:r>
              <w:rPr>
                <w:sz w:val="13"/>
                <w:szCs w:val="13"/>
                <w:spacing w:val="-1"/>
              </w:rPr>
              <w:t>病，叶斑病</w:t>
            </w:r>
          </w:p>
        </w:tc>
        <w:tc>
          <w:tcPr>
            <w:tcW w:w="2888" w:type="dxa"/>
            <w:vAlign w:val="top"/>
            <w:vMerge w:val="restart"/>
            <w:tcBorders>
              <w:bottom w:val="nil"/>
              <w:top w:val="single" w:color="000000" w:sz="2" w:space="0"/>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TableText"/>
              <w:ind w:left="2"/>
              <w:spacing w:before="42" w:line="219" w:lineRule="auto"/>
              <w:rPr>
                <w:sz w:val="13"/>
                <w:szCs w:val="13"/>
              </w:rPr>
            </w:pPr>
            <w:r>
              <w:rPr>
                <w:sz w:val="13"/>
                <w:szCs w:val="13"/>
                <w:spacing w:val="-2"/>
              </w:rPr>
              <w:t>一、5月全园区预防消杀为主</w:t>
            </w:r>
          </w:p>
          <w:p>
            <w:pPr>
              <w:pStyle w:val="TableText"/>
              <w:ind w:left="2"/>
              <w:spacing w:before="5" w:line="219" w:lineRule="auto"/>
              <w:rPr>
                <w:sz w:val="13"/>
                <w:szCs w:val="13"/>
              </w:rPr>
            </w:pPr>
            <w:r>
              <w:rPr>
                <w:sz w:val="13"/>
                <w:szCs w:val="13"/>
                <w:spacing w:val="-1"/>
              </w:rPr>
              <w:t>二、7-9月为高发期。有发现病情，及时喷药处理</w:t>
            </w:r>
          </w:p>
        </w:tc>
        <w:tc>
          <w:tcPr>
            <w:tcW w:w="1049" w:type="dxa"/>
            <w:vAlign w:val="top"/>
            <w:tcBorders>
              <w:bottom w:val="single" w:color="000000" w:sz="2" w:space="0"/>
              <w:top w:val="single" w:color="000000" w:sz="2" w:space="0"/>
            </w:tcBorders>
          </w:tcPr>
          <w:p>
            <w:pPr>
              <w:pStyle w:val="TableText"/>
              <w:ind w:left="194"/>
              <w:spacing w:before="112" w:line="219" w:lineRule="auto"/>
              <w:rPr>
                <w:sz w:val="13"/>
                <w:szCs w:val="13"/>
              </w:rPr>
            </w:pPr>
            <w:r>
              <w:rPr>
                <w:sz w:val="13"/>
                <w:szCs w:val="13"/>
                <w:spacing w:val="1"/>
              </w:rPr>
              <w:t>国光三唑酮</w:t>
            </w:r>
          </w:p>
        </w:tc>
        <w:tc>
          <w:tcPr>
            <w:tcW w:w="1489" w:type="dxa"/>
            <w:vAlign w:val="top"/>
            <w:tcBorders>
              <w:bottom w:val="single" w:color="000000" w:sz="2" w:space="0"/>
              <w:top w:val="single" w:color="000000" w:sz="2" w:space="0"/>
            </w:tcBorders>
          </w:tcPr>
          <w:p>
            <w:pPr>
              <w:pStyle w:val="TableText"/>
              <w:ind w:left="445"/>
              <w:spacing w:before="113" w:line="221" w:lineRule="auto"/>
              <w:rPr>
                <w:sz w:val="13"/>
                <w:szCs w:val="13"/>
              </w:rPr>
            </w:pPr>
            <w:r>
              <w:rPr>
                <w:sz w:val="13"/>
                <w:szCs w:val="13"/>
                <w:spacing w:val="-1"/>
              </w:rPr>
              <w:t>20%三唑酮</w:t>
            </w:r>
          </w:p>
        </w:tc>
        <w:tc>
          <w:tcPr>
            <w:tcW w:w="1229" w:type="dxa"/>
            <w:vAlign w:val="top"/>
            <w:tcBorders>
              <w:bottom w:val="single" w:color="000000" w:sz="2" w:space="0"/>
              <w:top w:val="single" w:color="000000" w:sz="2" w:space="0"/>
            </w:tcBorders>
          </w:tcPr>
          <w:p>
            <w:pPr>
              <w:pStyle w:val="TableText"/>
              <w:ind w:left="115"/>
              <w:spacing w:before="112" w:line="219" w:lineRule="auto"/>
              <w:rPr>
                <w:sz w:val="13"/>
                <w:szCs w:val="13"/>
              </w:rPr>
            </w:pPr>
            <w:r>
              <w:rPr>
                <w:sz w:val="13"/>
                <w:szCs w:val="13"/>
                <w:spacing w:val="-1"/>
              </w:rPr>
              <w:t>稀释1500-2000倍</w:t>
            </w:r>
          </w:p>
        </w:tc>
        <w:tc>
          <w:tcPr>
            <w:tcW w:w="1369" w:type="dxa"/>
            <w:vAlign w:val="top"/>
            <w:vMerge w:val="restart"/>
            <w:tcBorders>
              <w:bottom w:val="nil"/>
              <w:top w:val="single" w:color="000000" w:sz="2" w:space="0"/>
            </w:tcBorders>
          </w:tcPr>
          <w:p>
            <w:pPr>
              <w:spacing w:line="357" w:lineRule="auto"/>
              <w:rPr>
                <w:rFonts w:ascii="Arial"/>
                <w:sz w:val="21"/>
              </w:rPr>
            </w:pPr>
            <w:r/>
          </w:p>
          <w:p>
            <w:pPr>
              <w:pStyle w:val="TableText"/>
              <w:ind w:left="487" w:right="39" w:hanging="460"/>
              <w:spacing w:before="42" w:line="230" w:lineRule="auto"/>
              <w:rPr>
                <w:sz w:val="13"/>
                <w:szCs w:val="13"/>
              </w:rPr>
            </w:pPr>
            <w:r>
              <w:rPr>
                <w:sz w:val="13"/>
                <w:szCs w:val="13"/>
                <w:spacing w:val="-1"/>
              </w:rPr>
              <w:t>一般用2次，时间间隔7</w:t>
            </w:r>
            <w:r>
              <w:rPr>
                <w:sz w:val="13"/>
                <w:szCs w:val="13"/>
                <w:spacing w:val="2"/>
              </w:rPr>
              <w:t xml:space="preserve"> </w:t>
            </w:r>
            <w:r>
              <w:rPr>
                <w:sz w:val="13"/>
                <w:szCs w:val="13"/>
                <w:spacing w:val="-2"/>
              </w:rPr>
              <w:t>到10天</w:t>
            </w:r>
          </w:p>
        </w:tc>
        <w:tc>
          <w:tcPr>
            <w:tcW w:w="919" w:type="dxa"/>
            <w:vAlign w:val="top"/>
            <w:tcBorders>
              <w:bottom w:val="single" w:color="000000" w:sz="2" w:space="0"/>
              <w:top w:val="single" w:color="000000" w:sz="2" w:space="0"/>
            </w:tcBorders>
          </w:tcPr>
          <w:p>
            <w:pPr>
              <w:pStyle w:val="TableText"/>
              <w:ind w:left="198"/>
              <w:spacing w:before="113" w:line="221" w:lineRule="auto"/>
              <w:rPr>
                <w:sz w:val="13"/>
                <w:szCs w:val="13"/>
              </w:rPr>
            </w:pPr>
            <w:r>
              <w:rPr>
                <w:sz w:val="13"/>
                <w:szCs w:val="13"/>
                <w:spacing w:val="-1"/>
              </w:rPr>
              <w:t>200ml/瓶</w:t>
            </w:r>
          </w:p>
        </w:tc>
        <w:tc>
          <w:tcPr>
            <w:tcW w:w="2834" w:type="dxa"/>
            <w:vAlign w:val="top"/>
            <w:tcBorders>
              <w:bottom w:val="single" w:color="000000" w:sz="2" w:space="0"/>
              <w:top w:val="single" w:color="000000" w:sz="2" w:space="0"/>
            </w:tcBorders>
          </w:tcPr>
          <w:p>
            <w:pPr>
              <w:pStyle w:val="TableText"/>
              <w:ind w:left="19"/>
              <w:spacing w:before="112" w:line="219" w:lineRule="auto"/>
              <w:rPr>
                <w:sz w:val="13"/>
                <w:szCs w:val="13"/>
              </w:rPr>
            </w:pPr>
            <w:r>
              <w:rPr>
                <w:sz w:val="13"/>
                <w:szCs w:val="13"/>
                <w:spacing w:val="1"/>
              </w:rPr>
              <w:t>防治白粉病、锈病等(每年只能使用2-3次)</w:t>
            </w:r>
          </w:p>
        </w:tc>
      </w:tr>
      <w:tr>
        <w:trPr>
          <w:trHeight w:val="36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194"/>
              <w:spacing w:before="122" w:line="219" w:lineRule="auto"/>
              <w:rPr>
                <w:sz w:val="13"/>
                <w:szCs w:val="13"/>
              </w:rPr>
            </w:pPr>
            <w:r>
              <w:rPr>
                <w:sz w:val="13"/>
                <w:szCs w:val="13"/>
                <w:spacing w:val="-1"/>
              </w:rPr>
              <w:t>诺善信双通</w:t>
            </w:r>
          </w:p>
        </w:tc>
        <w:tc>
          <w:tcPr>
            <w:tcW w:w="1489" w:type="dxa"/>
            <w:vAlign w:val="top"/>
            <w:tcBorders>
              <w:bottom w:val="single" w:color="000000" w:sz="2" w:space="0"/>
              <w:top w:val="single" w:color="000000" w:sz="2" w:space="0"/>
            </w:tcBorders>
          </w:tcPr>
          <w:p>
            <w:pPr>
              <w:pStyle w:val="TableText"/>
              <w:ind w:left="245"/>
              <w:spacing w:before="123" w:line="221" w:lineRule="auto"/>
              <w:rPr>
                <w:sz w:val="13"/>
                <w:szCs w:val="13"/>
              </w:rPr>
            </w:pPr>
            <w:r>
              <w:rPr>
                <w:sz w:val="13"/>
                <w:szCs w:val="13"/>
                <w:spacing w:val="-7"/>
              </w:rPr>
              <w:t>硫磺</w:t>
            </w:r>
            <w:r>
              <w:rPr>
                <w:sz w:val="13"/>
                <w:szCs w:val="13"/>
                <w:spacing w:val="-8"/>
              </w:rPr>
              <w:t xml:space="preserve"> </w:t>
            </w:r>
            <w:r>
              <w:rPr>
                <w:sz w:val="13"/>
                <w:szCs w:val="13"/>
                <w:spacing w:val="-7"/>
              </w:rPr>
              <w:t>·三唑酮45%</w:t>
            </w:r>
          </w:p>
        </w:tc>
        <w:tc>
          <w:tcPr>
            <w:tcW w:w="1229" w:type="dxa"/>
            <w:vAlign w:val="top"/>
            <w:tcBorders>
              <w:bottom w:val="single" w:color="000000" w:sz="2" w:space="0"/>
              <w:top w:val="single" w:color="000000" w:sz="2" w:space="0"/>
            </w:tcBorders>
          </w:tcPr>
          <w:p>
            <w:pPr>
              <w:pStyle w:val="TableText"/>
              <w:ind w:left="286"/>
              <w:spacing w:before="123" w:line="220" w:lineRule="auto"/>
              <w:rPr>
                <w:sz w:val="13"/>
                <w:szCs w:val="13"/>
              </w:rPr>
            </w:pPr>
            <w:r>
              <w:rPr>
                <w:sz w:val="13"/>
                <w:szCs w:val="13"/>
                <w:spacing w:val="-6"/>
              </w:rPr>
              <w:t>800—1000倍</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98"/>
              <w:spacing w:before="123" w:line="221" w:lineRule="auto"/>
              <w:rPr>
                <w:sz w:val="13"/>
                <w:szCs w:val="13"/>
              </w:rPr>
            </w:pPr>
            <w:r>
              <w:rPr>
                <w:sz w:val="13"/>
                <w:szCs w:val="13"/>
                <w:spacing w:val="-1"/>
              </w:rPr>
              <w:t>400ml/瓶</w:t>
            </w:r>
          </w:p>
        </w:tc>
        <w:tc>
          <w:tcPr>
            <w:tcW w:w="2834" w:type="dxa"/>
            <w:vAlign w:val="top"/>
            <w:tcBorders>
              <w:bottom w:val="single" w:color="000000" w:sz="2" w:space="0"/>
              <w:top w:val="single" w:color="000000" w:sz="2" w:space="0"/>
            </w:tcBorders>
          </w:tcPr>
          <w:p>
            <w:pPr>
              <w:pStyle w:val="TableText"/>
              <w:ind w:left="19"/>
              <w:spacing w:before="42" w:line="221" w:lineRule="auto"/>
              <w:rPr>
                <w:sz w:val="13"/>
                <w:szCs w:val="13"/>
              </w:rPr>
            </w:pPr>
            <w:r>
              <w:rPr>
                <w:sz w:val="13"/>
                <w:szCs w:val="13"/>
                <w:spacing w:val="-6"/>
              </w:rPr>
              <w:t>针对白粉病、锈病防效好。有内吸作用(每年只能使</w:t>
            </w:r>
            <w:r>
              <w:rPr>
                <w:sz w:val="13"/>
                <w:szCs w:val="13"/>
                <w:spacing w:val="16"/>
                <w:w w:val="101"/>
              </w:rPr>
              <w:t xml:space="preserve"> </w:t>
            </w:r>
            <w:r>
              <w:rPr>
                <w:sz w:val="13"/>
                <w:szCs w:val="13"/>
                <w:spacing w:val="4"/>
              </w:rPr>
              <w:t>用2-3次)</w:t>
            </w:r>
          </w:p>
        </w:tc>
      </w:tr>
      <w:tr>
        <w:trPr>
          <w:trHeight w:val="33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194"/>
              <w:spacing w:before="103" w:line="220" w:lineRule="auto"/>
              <w:rPr>
                <w:sz w:val="13"/>
                <w:szCs w:val="13"/>
              </w:rPr>
            </w:pPr>
            <w:r>
              <w:rPr>
                <w:sz w:val="13"/>
                <w:szCs w:val="13"/>
                <w:spacing w:val="1"/>
              </w:rPr>
              <w:t>中威乐翻天</w:t>
            </w:r>
          </w:p>
        </w:tc>
        <w:tc>
          <w:tcPr>
            <w:tcW w:w="1489" w:type="dxa"/>
            <w:vAlign w:val="top"/>
            <w:tcBorders>
              <w:bottom w:val="single" w:color="000000" w:sz="2" w:space="0"/>
              <w:top w:val="single" w:color="000000" w:sz="2" w:space="0"/>
            </w:tcBorders>
          </w:tcPr>
          <w:p>
            <w:pPr>
              <w:pStyle w:val="TableText"/>
              <w:ind w:left="445"/>
              <w:spacing w:before="103" w:line="220" w:lineRule="auto"/>
              <w:rPr>
                <w:sz w:val="13"/>
                <w:szCs w:val="13"/>
              </w:rPr>
            </w:pPr>
            <w:r>
              <w:rPr>
                <w:sz w:val="13"/>
                <w:szCs w:val="13"/>
                <w:spacing w:val="-1"/>
              </w:rPr>
              <w:t>戊唑醇20%</w:t>
            </w:r>
          </w:p>
        </w:tc>
        <w:tc>
          <w:tcPr>
            <w:tcW w:w="1229" w:type="dxa"/>
            <w:vAlign w:val="top"/>
            <w:tcBorders>
              <w:bottom w:val="single" w:color="000000" w:sz="2" w:space="0"/>
              <w:top w:val="single" w:color="000000" w:sz="2" w:space="0"/>
            </w:tcBorders>
          </w:tcPr>
          <w:p>
            <w:pPr>
              <w:pStyle w:val="TableText"/>
              <w:ind w:left="186"/>
              <w:spacing w:before="103" w:line="220" w:lineRule="auto"/>
              <w:rPr>
                <w:sz w:val="13"/>
                <w:szCs w:val="13"/>
              </w:rPr>
            </w:pPr>
            <w:r>
              <w:rPr>
                <w:sz w:val="13"/>
                <w:szCs w:val="13"/>
                <w:spacing w:val="-2"/>
              </w:rPr>
              <w:t>1000-1500倍液</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98"/>
              <w:spacing w:before="99" w:line="213" w:lineRule="auto"/>
              <w:rPr>
                <w:sz w:val="13"/>
                <w:szCs w:val="13"/>
              </w:rPr>
            </w:pPr>
            <w:r>
              <w:rPr>
                <w:sz w:val="13"/>
                <w:szCs w:val="13"/>
                <w:spacing w:val="4"/>
              </w:rPr>
              <w:t>(20g/袋)</w:t>
            </w:r>
          </w:p>
        </w:tc>
        <w:tc>
          <w:tcPr>
            <w:tcW w:w="2834" w:type="dxa"/>
            <w:vAlign w:val="top"/>
            <w:tcBorders>
              <w:bottom w:val="single" w:color="000000" w:sz="2" w:space="0"/>
              <w:top w:val="single" w:color="000000" w:sz="2" w:space="0"/>
            </w:tcBorders>
          </w:tcPr>
          <w:p>
            <w:pPr>
              <w:pStyle w:val="TableText"/>
              <w:ind w:left="19"/>
              <w:spacing w:before="103" w:line="219" w:lineRule="auto"/>
              <w:rPr>
                <w:sz w:val="13"/>
                <w:szCs w:val="13"/>
              </w:rPr>
            </w:pPr>
            <w:r>
              <w:rPr>
                <w:sz w:val="13"/>
                <w:szCs w:val="13"/>
                <w:spacing w:val="-1"/>
              </w:rPr>
              <w:t>防治草坪白粉病，锈病。</w:t>
            </w:r>
          </w:p>
        </w:tc>
      </w:tr>
      <w:tr>
        <w:trPr>
          <w:trHeight w:val="35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254"/>
              <w:spacing w:before="114" w:line="219" w:lineRule="auto"/>
              <w:rPr>
                <w:sz w:val="13"/>
                <w:szCs w:val="13"/>
              </w:rPr>
            </w:pPr>
            <w:r>
              <w:rPr>
                <w:sz w:val="13"/>
                <w:szCs w:val="13"/>
                <w:spacing w:val="2"/>
              </w:rPr>
              <w:t>国光英纳</w:t>
            </w:r>
          </w:p>
        </w:tc>
        <w:tc>
          <w:tcPr>
            <w:tcW w:w="1489" w:type="dxa"/>
            <w:vAlign w:val="top"/>
            <w:tcBorders>
              <w:bottom w:val="single" w:color="000000" w:sz="2" w:space="0"/>
              <w:top w:val="single" w:color="000000" w:sz="2" w:space="0"/>
            </w:tcBorders>
          </w:tcPr>
          <w:p>
            <w:pPr>
              <w:pStyle w:val="TableText"/>
              <w:ind w:left="445"/>
              <w:spacing w:before="114" w:line="221" w:lineRule="auto"/>
              <w:rPr>
                <w:sz w:val="13"/>
                <w:szCs w:val="13"/>
              </w:rPr>
            </w:pPr>
            <w:r>
              <w:rPr>
                <w:sz w:val="13"/>
                <w:szCs w:val="13"/>
                <w:spacing w:val="-10"/>
              </w:rPr>
              <w:t>50%多</w:t>
            </w:r>
            <w:r>
              <w:rPr>
                <w:sz w:val="13"/>
                <w:szCs w:val="13"/>
                <w:spacing w:val="-14"/>
              </w:rPr>
              <w:t xml:space="preserve"> </w:t>
            </w:r>
            <w:r>
              <w:rPr>
                <w:sz w:val="13"/>
                <w:szCs w:val="13"/>
                <w:spacing w:val="-10"/>
              </w:rPr>
              <w:t>·锰</w:t>
            </w:r>
          </w:p>
        </w:tc>
        <w:tc>
          <w:tcPr>
            <w:tcW w:w="1229" w:type="dxa"/>
            <w:vAlign w:val="top"/>
            <w:tcBorders>
              <w:bottom w:val="single" w:color="000000" w:sz="2" w:space="0"/>
              <w:top w:val="single" w:color="000000" w:sz="2" w:space="0"/>
            </w:tcBorders>
          </w:tcPr>
          <w:p>
            <w:pPr>
              <w:pStyle w:val="TableText"/>
              <w:ind w:left="115"/>
              <w:spacing w:before="114" w:line="219" w:lineRule="auto"/>
              <w:rPr>
                <w:sz w:val="13"/>
                <w:szCs w:val="13"/>
              </w:rPr>
            </w:pPr>
            <w:r>
              <w:rPr>
                <w:sz w:val="13"/>
                <w:szCs w:val="13"/>
                <w:spacing w:val="-1"/>
              </w:rPr>
              <w:t>稀释600-800倍液</w:t>
            </w:r>
          </w:p>
        </w:tc>
        <w:tc>
          <w:tcPr>
            <w:tcW w:w="1369" w:type="dxa"/>
            <w:vAlign w:val="top"/>
            <w:vMerge w:val="restart"/>
            <w:tcBorders>
              <w:bottom w:val="nil"/>
              <w:top w:val="single" w:color="000000" w:sz="2" w:space="0"/>
            </w:tcBorders>
          </w:tcPr>
          <w:p>
            <w:pPr>
              <w:spacing w:line="323" w:lineRule="auto"/>
              <w:rPr>
                <w:rFonts w:ascii="Arial"/>
                <w:sz w:val="21"/>
              </w:rPr>
            </w:pPr>
            <w:r/>
          </w:p>
          <w:p>
            <w:pPr>
              <w:spacing w:line="323" w:lineRule="auto"/>
              <w:rPr>
                <w:rFonts w:ascii="Arial"/>
                <w:sz w:val="21"/>
              </w:rPr>
            </w:pPr>
            <w:r/>
          </w:p>
          <w:p>
            <w:pPr>
              <w:pStyle w:val="TableText"/>
              <w:ind w:left="487" w:right="39" w:hanging="460"/>
              <w:spacing w:before="42" w:line="210" w:lineRule="auto"/>
              <w:rPr>
                <w:sz w:val="13"/>
                <w:szCs w:val="13"/>
              </w:rPr>
            </w:pPr>
            <w:r>
              <w:rPr>
                <w:sz w:val="13"/>
                <w:szCs w:val="13"/>
                <w:spacing w:val="-1"/>
              </w:rPr>
              <w:t>一般用3次，时间间隔7</w:t>
            </w:r>
            <w:r>
              <w:rPr>
                <w:sz w:val="13"/>
                <w:szCs w:val="13"/>
                <w:spacing w:val="2"/>
              </w:rPr>
              <w:t xml:space="preserve"> </w:t>
            </w:r>
            <w:r>
              <w:rPr>
                <w:sz w:val="13"/>
                <w:szCs w:val="13"/>
                <w:spacing w:val="-2"/>
              </w:rPr>
              <w:t>到10天</w:t>
            </w:r>
          </w:p>
        </w:tc>
        <w:tc>
          <w:tcPr>
            <w:tcW w:w="919" w:type="dxa"/>
            <w:vAlign w:val="top"/>
            <w:tcBorders>
              <w:bottom w:val="single" w:color="000000" w:sz="2" w:space="0"/>
              <w:top w:val="single" w:color="000000" w:sz="2" w:space="0"/>
            </w:tcBorders>
          </w:tcPr>
          <w:p>
            <w:pPr>
              <w:pStyle w:val="TableText"/>
              <w:ind w:left="158"/>
              <w:spacing w:before="110" w:line="213" w:lineRule="auto"/>
              <w:rPr>
                <w:sz w:val="13"/>
                <w:szCs w:val="13"/>
              </w:rPr>
            </w:pPr>
            <w:r>
              <w:rPr>
                <w:sz w:val="13"/>
                <w:szCs w:val="13"/>
                <w:spacing w:val="4"/>
              </w:rPr>
              <w:t>(500g/袋)</w:t>
            </w:r>
          </w:p>
        </w:tc>
        <w:tc>
          <w:tcPr>
            <w:tcW w:w="2834" w:type="dxa"/>
            <w:vAlign w:val="top"/>
            <w:tcBorders>
              <w:bottom w:val="single" w:color="000000" w:sz="2" w:space="0"/>
              <w:top w:val="single" w:color="000000" w:sz="2" w:space="0"/>
            </w:tcBorders>
          </w:tcPr>
          <w:p>
            <w:pPr>
              <w:pStyle w:val="TableText"/>
              <w:ind w:left="19"/>
              <w:spacing w:before="113" w:line="218" w:lineRule="auto"/>
              <w:rPr>
                <w:sz w:val="13"/>
                <w:szCs w:val="13"/>
              </w:rPr>
            </w:pPr>
            <w:r>
              <w:rPr>
                <w:sz w:val="13"/>
                <w:szCs w:val="13"/>
                <w:spacing w:val="-1"/>
              </w:rPr>
              <w:t>广谱性杀菌剂</w:t>
            </w:r>
          </w:p>
        </w:tc>
      </w:tr>
      <w:tr>
        <w:trPr>
          <w:trHeight w:val="355"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64"/>
              <w:spacing w:before="114" w:line="219" w:lineRule="auto"/>
              <w:rPr>
                <w:sz w:val="13"/>
                <w:szCs w:val="13"/>
              </w:rPr>
            </w:pPr>
            <w:r>
              <w:rPr>
                <w:sz w:val="13"/>
                <w:szCs w:val="13"/>
                <w:spacing w:val="-2"/>
              </w:rPr>
              <w:t>阿西米达悬浮液</w:t>
            </w:r>
          </w:p>
        </w:tc>
        <w:tc>
          <w:tcPr>
            <w:tcW w:w="1489" w:type="dxa"/>
            <w:vAlign w:val="top"/>
            <w:tcBorders>
              <w:bottom w:val="single" w:color="000000" w:sz="2" w:space="0"/>
              <w:top w:val="single" w:color="000000" w:sz="2" w:space="0"/>
            </w:tcBorders>
          </w:tcPr>
          <w:p>
            <w:pPr>
              <w:pStyle w:val="TableText"/>
              <w:ind w:left="545"/>
              <w:spacing w:before="114" w:line="219" w:lineRule="auto"/>
              <w:rPr>
                <w:sz w:val="13"/>
                <w:szCs w:val="13"/>
              </w:rPr>
            </w:pPr>
            <w:r>
              <w:rPr>
                <w:sz w:val="13"/>
                <w:szCs w:val="13"/>
                <w:spacing w:val="-3"/>
              </w:rPr>
              <w:t>嘧菌酯</w:t>
            </w:r>
          </w:p>
        </w:tc>
        <w:tc>
          <w:tcPr>
            <w:tcW w:w="1229" w:type="dxa"/>
            <w:vAlign w:val="top"/>
            <w:tcBorders>
              <w:bottom w:val="single" w:color="000000" w:sz="2" w:space="0"/>
              <w:top w:val="single" w:color="000000" w:sz="2" w:space="0"/>
            </w:tcBorders>
          </w:tcPr>
          <w:p>
            <w:pPr>
              <w:pStyle w:val="TableText"/>
              <w:ind w:left="245" w:right="29" w:hanging="220"/>
              <w:spacing w:before="45" w:line="213" w:lineRule="auto"/>
              <w:rPr>
                <w:sz w:val="13"/>
                <w:szCs w:val="13"/>
              </w:rPr>
            </w:pPr>
            <w:r>
              <w:rPr>
                <w:sz w:val="13"/>
                <w:szCs w:val="13"/>
                <w:spacing w:val="-1"/>
              </w:rPr>
              <w:t>25M阿西米达悬浮液1</w:t>
            </w:r>
            <w:r>
              <w:rPr>
                <w:sz w:val="13"/>
                <w:szCs w:val="13"/>
                <w:spacing w:val="3"/>
              </w:rPr>
              <w:t xml:space="preserve"> </w:t>
            </w:r>
            <w:r>
              <w:rPr>
                <w:sz w:val="13"/>
                <w:szCs w:val="13"/>
                <w:spacing w:val="-1"/>
              </w:rPr>
              <w:t>200-1500倍液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88"/>
              <w:spacing w:before="115" w:line="221" w:lineRule="auto"/>
              <w:rPr>
                <w:sz w:val="13"/>
                <w:szCs w:val="13"/>
              </w:rPr>
            </w:pPr>
            <w:r>
              <w:rPr>
                <w:sz w:val="13"/>
                <w:szCs w:val="13"/>
                <w:spacing w:val="2"/>
              </w:rPr>
              <w:t>11/瓶</w:t>
            </w:r>
          </w:p>
        </w:tc>
        <w:tc>
          <w:tcPr>
            <w:tcW w:w="2834" w:type="dxa"/>
            <w:vAlign w:val="top"/>
            <w:tcBorders>
              <w:bottom w:val="single" w:color="000000" w:sz="2" w:space="0"/>
              <w:top w:val="single" w:color="000000" w:sz="2" w:space="0"/>
            </w:tcBorders>
          </w:tcPr>
          <w:p>
            <w:pPr>
              <w:pStyle w:val="TableText"/>
              <w:spacing w:before="44" w:line="219" w:lineRule="auto"/>
              <w:jc w:val="right"/>
              <w:rPr>
                <w:sz w:val="13"/>
                <w:szCs w:val="13"/>
              </w:rPr>
            </w:pPr>
            <w:r>
              <w:rPr>
                <w:sz w:val="13"/>
                <w:szCs w:val="13"/>
                <w:spacing w:val="-8"/>
              </w:rPr>
              <w:t>广谱杀菌，对四大类致病真菌，天然低毒安全</w:t>
            </w:r>
            <w:r>
              <w:rPr>
                <w:sz w:val="13"/>
                <w:szCs w:val="13"/>
                <w:spacing w:val="-9"/>
              </w:rPr>
              <w:t>无公害</w:t>
            </w:r>
          </w:p>
        </w:tc>
      </w:tr>
      <w:tr>
        <w:trPr>
          <w:trHeight w:val="33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64"/>
              <w:spacing w:before="104" w:line="219" w:lineRule="auto"/>
              <w:rPr>
                <w:sz w:val="13"/>
                <w:szCs w:val="13"/>
              </w:rPr>
            </w:pPr>
            <w:r>
              <w:rPr>
                <w:sz w:val="13"/>
                <w:szCs w:val="13"/>
                <w:spacing w:val="1"/>
              </w:rPr>
              <w:t>国光甲基硫菌灵</w:t>
            </w:r>
          </w:p>
        </w:tc>
        <w:tc>
          <w:tcPr>
            <w:tcW w:w="1489" w:type="dxa"/>
            <w:vAlign w:val="top"/>
            <w:tcBorders>
              <w:bottom w:val="single" w:color="000000" w:sz="2" w:space="0"/>
              <w:top w:val="single" w:color="000000" w:sz="2" w:space="0"/>
            </w:tcBorders>
          </w:tcPr>
          <w:p>
            <w:pPr>
              <w:pStyle w:val="TableText"/>
              <w:ind w:left="315"/>
              <w:spacing w:before="104" w:line="219" w:lineRule="auto"/>
              <w:rPr>
                <w:sz w:val="13"/>
                <w:szCs w:val="13"/>
              </w:rPr>
            </w:pPr>
            <w:r>
              <w:rPr>
                <w:sz w:val="13"/>
                <w:szCs w:val="13"/>
                <w:spacing w:val="-1"/>
              </w:rPr>
              <w:t>70%甲基硫菌灵</w:t>
            </w:r>
          </w:p>
        </w:tc>
        <w:tc>
          <w:tcPr>
            <w:tcW w:w="1229" w:type="dxa"/>
            <w:vAlign w:val="top"/>
            <w:tcBorders>
              <w:bottom w:val="single" w:color="000000" w:sz="2" w:space="0"/>
              <w:top w:val="single" w:color="000000" w:sz="2" w:space="0"/>
            </w:tcBorders>
          </w:tcPr>
          <w:p>
            <w:pPr>
              <w:pStyle w:val="TableText"/>
              <w:ind w:left="85"/>
              <w:spacing w:before="104" w:line="219" w:lineRule="auto"/>
              <w:rPr>
                <w:sz w:val="13"/>
                <w:szCs w:val="13"/>
              </w:rPr>
            </w:pPr>
            <w:r>
              <w:rPr>
                <w:sz w:val="13"/>
                <w:szCs w:val="13"/>
                <w:spacing w:val="-1"/>
              </w:rPr>
              <w:t>稀释600-1000倍液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58"/>
              <w:spacing w:before="100" w:line="213" w:lineRule="auto"/>
              <w:rPr>
                <w:sz w:val="13"/>
                <w:szCs w:val="13"/>
              </w:rPr>
            </w:pPr>
            <w:r>
              <w:rPr>
                <w:sz w:val="13"/>
                <w:szCs w:val="13"/>
                <w:spacing w:val="2"/>
              </w:rPr>
              <w:t>1</w:t>
            </w:r>
            <w:r>
              <w:rPr>
                <w:sz w:val="13"/>
                <w:szCs w:val="13"/>
              </w:rPr>
              <w:t>kg</w:t>
            </w:r>
            <w:r>
              <w:rPr>
                <w:sz w:val="13"/>
                <w:szCs w:val="13"/>
                <w:spacing w:val="2"/>
              </w:rPr>
              <w:t>/装</w:t>
            </w:r>
          </w:p>
        </w:tc>
        <w:tc>
          <w:tcPr>
            <w:tcW w:w="2834" w:type="dxa"/>
            <w:vAlign w:val="top"/>
            <w:tcBorders>
              <w:bottom w:val="single" w:color="000000" w:sz="2" w:space="0"/>
              <w:top w:val="single" w:color="000000" w:sz="2" w:space="0"/>
            </w:tcBorders>
          </w:tcPr>
          <w:p>
            <w:pPr>
              <w:pStyle w:val="TableText"/>
              <w:ind w:left="19"/>
              <w:spacing w:before="104" w:line="218" w:lineRule="auto"/>
              <w:rPr>
                <w:sz w:val="13"/>
                <w:szCs w:val="13"/>
              </w:rPr>
            </w:pPr>
            <w:r>
              <w:rPr>
                <w:sz w:val="13"/>
                <w:szCs w:val="13"/>
              </w:rPr>
              <w:t>内吸、广谱高效杀菌剂</w:t>
            </w:r>
          </w:p>
        </w:tc>
      </w:tr>
      <w:tr>
        <w:trPr>
          <w:trHeight w:val="58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194"/>
              <w:spacing w:before="234" w:line="219" w:lineRule="auto"/>
              <w:rPr>
                <w:sz w:val="13"/>
                <w:szCs w:val="13"/>
              </w:rPr>
            </w:pPr>
            <w:r>
              <w:rPr>
                <w:sz w:val="13"/>
                <w:szCs w:val="13"/>
                <w:spacing w:val="-1"/>
              </w:rPr>
              <w:t>诺善信瑞托</w:t>
            </w:r>
          </w:p>
        </w:tc>
        <w:tc>
          <w:tcPr>
            <w:tcW w:w="1489" w:type="dxa"/>
            <w:vAlign w:val="top"/>
            <w:tcBorders>
              <w:bottom w:val="single" w:color="000000" w:sz="2" w:space="0"/>
              <w:top w:val="single" w:color="000000" w:sz="2" w:space="0"/>
            </w:tcBorders>
          </w:tcPr>
          <w:p>
            <w:pPr>
              <w:pStyle w:val="TableText"/>
              <w:ind w:left="315"/>
              <w:spacing w:before="234" w:line="219" w:lineRule="auto"/>
              <w:rPr>
                <w:sz w:val="13"/>
                <w:szCs w:val="13"/>
              </w:rPr>
            </w:pPr>
            <w:r>
              <w:rPr>
                <w:sz w:val="13"/>
                <w:szCs w:val="13"/>
                <w:spacing w:val="-3"/>
              </w:rPr>
              <w:t>甲基疏菌灵50%</w:t>
            </w:r>
          </w:p>
        </w:tc>
        <w:tc>
          <w:tcPr>
            <w:tcW w:w="1229" w:type="dxa"/>
            <w:vAlign w:val="top"/>
            <w:tcBorders>
              <w:bottom w:val="single" w:color="000000" w:sz="2" w:space="0"/>
              <w:top w:val="single" w:color="000000" w:sz="2" w:space="0"/>
            </w:tcBorders>
          </w:tcPr>
          <w:p>
            <w:pPr>
              <w:pStyle w:val="TableText"/>
              <w:ind w:left="316"/>
              <w:spacing w:before="235" w:line="220" w:lineRule="auto"/>
              <w:rPr>
                <w:sz w:val="13"/>
                <w:szCs w:val="13"/>
              </w:rPr>
            </w:pPr>
            <w:r>
              <w:rPr>
                <w:sz w:val="13"/>
                <w:szCs w:val="13"/>
                <w:spacing w:val="-7"/>
              </w:rPr>
              <w:t>600—800倍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8"/>
              <w:spacing w:before="235" w:line="221" w:lineRule="auto"/>
              <w:rPr>
                <w:sz w:val="13"/>
                <w:szCs w:val="13"/>
              </w:rPr>
            </w:pPr>
            <w:r>
              <w:rPr>
                <w:sz w:val="13"/>
                <w:szCs w:val="13"/>
                <w:spacing w:val="1"/>
              </w:rPr>
              <w:t>1000</w:t>
            </w:r>
            <w:r>
              <w:rPr>
                <w:sz w:val="13"/>
                <w:szCs w:val="13"/>
              </w:rPr>
              <w:t>ml</w:t>
            </w:r>
            <w:r>
              <w:rPr>
                <w:sz w:val="13"/>
                <w:szCs w:val="13"/>
                <w:spacing w:val="1"/>
              </w:rPr>
              <w:t>/瓶</w:t>
            </w:r>
          </w:p>
        </w:tc>
        <w:tc>
          <w:tcPr>
            <w:tcW w:w="2834" w:type="dxa"/>
            <w:vAlign w:val="top"/>
            <w:tcBorders>
              <w:bottom w:val="single" w:color="000000" w:sz="2" w:space="0"/>
              <w:top w:val="single" w:color="000000" w:sz="2" w:space="0"/>
            </w:tcBorders>
          </w:tcPr>
          <w:p>
            <w:pPr>
              <w:pStyle w:val="TableText"/>
              <w:ind w:left="19"/>
              <w:spacing w:before="164" w:line="216" w:lineRule="auto"/>
              <w:rPr>
                <w:sz w:val="13"/>
                <w:szCs w:val="13"/>
              </w:rPr>
            </w:pPr>
            <w:r>
              <w:rPr>
                <w:sz w:val="13"/>
                <w:szCs w:val="13"/>
                <w:spacing w:val="-9"/>
              </w:rPr>
              <w:t>高效广</w:t>
            </w:r>
            <w:r>
              <w:rPr>
                <w:sz w:val="13"/>
                <w:szCs w:val="13"/>
                <w:spacing w:val="-8"/>
              </w:rPr>
              <w:t>谱内吸杀菌剂，颗粒组腻，分散性好，</w:t>
            </w:r>
            <w:r>
              <w:rPr>
                <w:sz w:val="13"/>
                <w:szCs w:val="13"/>
                <w:spacing w:val="-9"/>
              </w:rPr>
              <w:t>防治</w:t>
            </w:r>
            <w:r>
              <w:rPr>
                <w:sz w:val="13"/>
                <w:szCs w:val="13"/>
                <w:spacing w:val="-6"/>
              </w:rPr>
              <w:t>花</w:t>
            </w:r>
            <w:r>
              <w:rPr>
                <w:sz w:val="13"/>
                <w:szCs w:val="13"/>
              </w:rPr>
              <w:t xml:space="preserve"> </w:t>
            </w:r>
            <w:r>
              <w:rPr>
                <w:sz w:val="13"/>
                <w:szCs w:val="13"/>
                <w:spacing w:val="-1"/>
              </w:rPr>
              <w:t>木叶班，炭疽，斑驳黄化</w:t>
            </w:r>
          </w:p>
        </w:tc>
      </w:tr>
      <w:tr>
        <w:trPr>
          <w:trHeight w:val="55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64"/>
              <w:spacing w:before="215" w:line="219" w:lineRule="auto"/>
              <w:rPr>
                <w:sz w:val="13"/>
                <w:szCs w:val="13"/>
              </w:rPr>
            </w:pPr>
            <w:r>
              <w:rPr>
                <w:sz w:val="13"/>
                <w:szCs w:val="13"/>
                <w:spacing w:val="3"/>
              </w:rPr>
              <w:t>特克多(噻菌灵)</w:t>
            </w:r>
          </w:p>
        </w:tc>
        <w:tc>
          <w:tcPr>
            <w:tcW w:w="1489" w:type="dxa"/>
            <w:vAlign w:val="top"/>
            <w:tcBorders>
              <w:bottom w:val="single" w:color="000000" w:sz="2" w:space="0"/>
              <w:top w:val="single" w:color="000000" w:sz="2" w:space="0"/>
            </w:tcBorders>
          </w:tcPr>
          <w:p>
            <w:pPr>
              <w:pStyle w:val="TableText"/>
              <w:ind w:left="475"/>
              <w:spacing w:before="214" w:line="218" w:lineRule="auto"/>
              <w:rPr>
                <w:sz w:val="13"/>
                <w:szCs w:val="13"/>
              </w:rPr>
            </w:pPr>
            <w:r>
              <w:rPr>
                <w:sz w:val="13"/>
                <w:szCs w:val="13"/>
                <w:spacing w:val="-2"/>
              </w:rPr>
              <w:t>苯味唑类</w:t>
            </w:r>
          </w:p>
        </w:tc>
        <w:tc>
          <w:tcPr>
            <w:tcW w:w="1229" w:type="dxa"/>
            <w:vAlign w:val="top"/>
            <w:tcBorders>
              <w:bottom w:val="single" w:color="000000" w:sz="2" w:space="0"/>
              <w:top w:val="single" w:color="000000" w:sz="2" w:space="0"/>
            </w:tcBorders>
          </w:tcPr>
          <w:p>
            <w:pPr>
              <w:pStyle w:val="TableText"/>
              <w:ind w:left="25"/>
              <w:spacing w:before="214" w:line="218" w:lineRule="auto"/>
              <w:rPr>
                <w:sz w:val="13"/>
                <w:szCs w:val="13"/>
              </w:rPr>
            </w:pPr>
            <w:r>
              <w:rPr>
                <w:sz w:val="13"/>
                <w:szCs w:val="13"/>
                <w:spacing w:val="-1"/>
              </w:rPr>
              <w:t>45%悬浮剂600-800倍</w:t>
            </w:r>
          </w:p>
        </w:tc>
        <w:tc>
          <w:tcPr>
            <w:tcW w:w="1369" w:type="dxa"/>
            <w:vAlign w:val="top"/>
            <w:vMerge w:val="restart"/>
            <w:tcBorders>
              <w:bottom w:val="nil"/>
              <w:top w:val="single" w:color="000000" w:sz="2" w:space="0"/>
            </w:tcBorders>
          </w:tcPr>
          <w:p>
            <w:pPr>
              <w:spacing w:line="380" w:lineRule="auto"/>
              <w:rPr>
                <w:rFonts w:ascii="Arial"/>
                <w:sz w:val="21"/>
              </w:rPr>
            </w:pPr>
            <w:r/>
          </w:p>
          <w:p>
            <w:pPr>
              <w:pStyle w:val="TableText"/>
              <w:ind w:left="543" w:hanging="526"/>
              <w:spacing w:before="42" w:line="229" w:lineRule="auto"/>
              <w:rPr>
                <w:sz w:val="13"/>
                <w:szCs w:val="13"/>
              </w:rPr>
            </w:pPr>
            <w:r>
              <w:rPr>
                <w:sz w:val="13"/>
                <w:szCs w:val="13"/>
                <w:spacing w:val="-2"/>
              </w:rPr>
              <w:t>间隔10-15天I次，连喷2</w:t>
            </w:r>
            <w:r>
              <w:rPr>
                <w:sz w:val="13"/>
                <w:szCs w:val="13"/>
                <w:spacing w:val="3"/>
              </w:rPr>
              <w:t xml:space="preserve"> </w:t>
            </w:r>
            <w:r>
              <w:rPr>
                <w:sz w:val="13"/>
                <w:szCs w:val="13"/>
                <w:spacing w:val="-10"/>
                <w:w w:val="97"/>
              </w:rPr>
              <w:t>—3次</w:t>
            </w:r>
          </w:p>
        </w:tc>
        <w:tc>
          <w:tcPr>
            <w:tcW w:w="919" w:type="dxa"/>
            <w:vAlign w:val="top"/>
            <w:tcBorders>
              <w:bottom w:val="single" w:color="000000" w:sz="2" w:space="0"/>
              <w:top w:val="single" w:color="000000" w:sz="2" w:space="0"/>
            </w:tcBorders>
          </w:tcPr>
          <w:p>
            <w:pPr>
              <w:pStyle w:val="TableText"/>
              <w:ind w:left="198"/>
              <w:spacing w:before="215" w:line="221" w:lineRule="auto"/>
              <w:rPr>
                <w:sz w:val="13"/>
                <w:szCs w:val="13"/>
              </w:rPr>
            </w:pPr>
            <w:r>
              <w:rPr>
                <w:sz w:val="13"/>
                <w:szCs w:val="13"/>
                <w:spacing w:val="-2"/>
              </w:rPr>
              <w:t>100ml/瓶</w:t>
            </w:r>
          </w:p>
        </w:tc>
        <w:tc>
          <w:tcPr>
            <w:tcW w:w="2834" w:type="dxa"/>
            <w:vAlign w:val="top"/>
            <w:tcBorders>
              <w:bottom w:val="single" w:color="000000" w:sz="2" w:space="0"/>
              <w:top w:val="single" w:color="000000" w:sz="2" w:space="0"/>
            </w:tcBorders>
          </w:tcPr>
          <w:p>
            <w:pPr>
              <w:pStyle w:val="TableText"/>
              <w:ind w:left="19"/>
              <w:spacing w:before="145" w:line="216" w:lineRule="auto"/>
              <w:rPr>
                <w:sz w:val="13"/>
                <w:szCs w:val="13"/>
              </w:rPr>
            </w:pPr>
            <w:r>
              <w:rPr>
                <w:sz w:val="13"/>
                <w:szCs w:val="13"/>
                <w:spacing w:val="-8"/>
              </w:rPr>
              <w:t>防治叶斑病、青霉病、炭疽病、灰霉病、黑星</w:t>
            </w:r>
            <w:r>
              <w:rPr>
                <w:sz w:val="13"/>
                <w:szCs w:val="13"/>
                <w:spacing w:val="-9"/>
              </w:rPr>
              <w:t>病，白</w:t>
            </w:r>
            <w:r>
              <w:rPr>
                <w:sz w:val="13"/>
                <w:szCs w:val="13"/>
              </w:rPr>
              <w:t xml:space="preserve"> </w:t>
            </w:r>
            <w:r>
              <w:rPr>
                <w:sz w:val="13"/>
                <w:szCs w:val="13"/>
                <w:spacing w:val="-2"/>
              </w:rPr>
              <w:t>粉病等防治</w:t>
            </w:r>
          </w:p>
        </w:tc>
      </w:tr>
      <w:tr>
        <w:trPr>
          <w:trHeight w:val="58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64"/>
              <w:spacing w:before="155" w:line="219" w:lineRule="auto"/>
              <w:rPr>
                <w:sz w:val="13"/>
                <w:szCs w:val="13"/>
              </w:rPr>
            </w:pPr>
            <w:r>
              <w:rPr>
                <w:sz w:val="13"/>
                <w:szCs w:val="13"/>
                <w:spacing w:val="-1"/>
              </w:rPr>
              <w:t>好靓《丙硫多菌</w:t>
            </w:r>
          </w:p>
          <w:p>
            <w:pPr>
              <w:pStyle w:val="TableText"/>
              <w:ind w:left="414"/>
              <w:spacing w:before="7" w:line="221" w:lineRule="auto"/>
              <w:rPr>
                <w:sz w:val="13"/>
                <w:szCs w:val="13"/>
              </w:rPr>
            </w:pPr>
            <w:r>
              <w:rPr>
                <w:sz w:val="13"/>
                <w:szCs w:val="13"/>
                <w:spacing w:val="-4"/>
              </w:rPr>
              <w:t>灵</w:t>
            </w:r>
            <w:r>
              <w:rPr>
                <w:sz w:val="13"/>
                <w:szCs w:val="13"/>
                <w:spacing w:val="-19"/>
              </w:rPr>
              <w:t xml:space="preserve"> </w:t>
            </w:r>
            <w:r>
              <w:rPr>
                <w:sz w:val="13"/>
                <w:szCs w:val="13"/>
                <w:spacing w:val="-4"/>
              </w:rPr>
              <w:t>)</w:t>
            </w:r>
          </w:p>
        </w:tc>
        <w:tc>
          <w:tcPr>
            <w:tcW w:w="1489" w:type="dxa"/>
            <w:vAlign w:val="top"/>
            <w:tcBorders>
              <w:bottom w:val="single" w:color="000000" w:sz="2" w:space="0"/>
              <w:top w:val="single" w:color="000000" w:sz="2" w:space="0"/>
            </w:tcBorders>
          </w:tcPr>
          <w:p>
            <w:pPr>
              <w:pStyle w:val="TableText"/>
              <w:ind w:left="475"/>
              <w:spacing w:before="235" w:line="220" w:lineRule="auto"/>
              <w:rPr>
                <w:sz w:val="13"/>
                <w:szCs w:val="13"/>
              </w:rPr>
            </w:pPr>
            <w:r>
              <w:rPr>
                <w:sz w:val="13"/>
                <w:szCs w:val="13"/>
                <w:spacing w:val="-2"/>
              </w:rPr>
              <w:t>丙硫咪唑</w:t>
            </w:r>
          </w:p>
        </w:tc>
        <w:tc>
          <w:tcPr>
            <w:tcW w:w="1229" w:type="dxa"/>
            <w:vAlign w:val="top"/>
            <w:tcBorders>
              <w:bottom w:val="single" w:color="000000" w:sz="2" w:space="0"/>
              <w:top w:val="single" w:color="000000" w:sz="2" w:space="0"/>
            </w:tcBorders>
          </w:tcPr>
          <w:p>
            <w:pPr>
              <w:pStyle w:val="TableText"/>
              <w:ind w:left="25"/>
              <w:spacing w:before="235" w:line="219" w:lineRule="auto"/>
              <w:rPr>
                <w:sz w:val="13"/>
                <w:szCs w:val="13"/>
              </w:rPr>
            </w:pPr>
            <w:r>
              <w:rPr>
                <w:sz w:val="13"/>
                <w:szCs w:val="13"/>
                <w:spacing w:val="-1"/>
              </w:rPr>
              <w:t>20%好靓2000-3000倍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58"/>
              <w:spacing w:before="231" w:line="213" w:lineRule="auto"/>
              <w:rPr>
                <w:sz w:val="13"/>
                <w:szCs w:val="13"/>
              </w:rPr>
            </w:pPr>
            <w:r>
              <w:rPr>
                <w:sz w:val="13"/>
                <w:szCs w:val="13"/>
                <w:spacing w:val="-2"/>
              </w:rPr>
              <w:t>50g/袋</w:t>
            </w:r>
          </w:p>
        </w:tc>
        <w:tc>
          <w:tcPr>
            <w:tcW w:w="2834" w:type="dxa"/>
            <w:vAlign w:val="top"/>
            <w:tcBorders>
              <w:bottom w:val="single" w:color="000000" w:sz="2" w:space="0"/>
              <w:top w:val="single" w:color="000000" w:sz="2" w:space="0"/>
            </w:tcBorders>
          </w:tcPr>
          <w:p>
            <w:pPr>
              <w:pStyle w:val="TableText"/>
              <w:ind w:left="19"/>
              <w:spacing w:before="85" w:line="215" w:lineRule="auto"/>
              <w:jc w:val="both"/>
              <w:rPr>
                <w:sz w:val="13"/>
                <w:szCs w:val="13"/>
              </w:rPr>
            </w:pPr>
            <w:r>
              <w:rPr>
                <w:sz w:val="13"/>
                <w:szCs w:val="13"/>
                <w:spacing w:val="-11"/>
              </w:rPr>
              <w:t>广谱内吸性杀菌剂。可用于防治枯萎病、疫病、腐霉</w:t>
            </w:r>
            <w:r>
              <w:rPr>
                <w:sz w:val="13"/>
                <w:szCs w:val="13"/>
                <w:spacing w:val="4"/>
              </w:rPr>
              <w:t xml:space="preserve">  </w:t>
            </w:r>
            <w:r>
              <w:rPr>
                <w:sz w:val="13"/>
                <w:szCs w:val="13"/>
                <w:spacing w:val="-8"/>
              </w:rPr>
              <w:t>病、立枯病、根窗病、茎腐病、猝倒病等多种</w:t>
            </w:r>
            <w:r>
              <w:rPr>
                <w:sz w:val="13"/>
                <w:szCs w:val="13"/>
                <w:spacing w:val="-9"/>
              </w:rPr>
              <w:t>病害。</w:t>
            </w:r>
            <w:r>
              <w:rPr>
                <w:sz w:val="13"/>
                <w:szCs w:val="13"/>
              </w:rPr>
              <w:t xml:space="preserve"> </w:t>
            </w:r>
            <w:r>
              <w:rPr>
                <w:sz w:val="13"/>
                <w:szCs w:val="13"/>
                <w:spacing w:val="-3"/>
              </w:rPr>
              <w:t>使用方法：灌棍，喷雾</w:t>
            </w:r>
          </w:p>
        </w:tc>
      </w:tr>
      <w:tr>
        <w:trPr>
          <w:trHeight w:val="64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323"/>
              <w:spacing w:before="265" w:line="219" w:lineRule="auto"/>
              <w:rPr>
                <w:sz w:val="13"/>
                <w:szCs w:val="13"/>
              </w:rPr>
            </w:pPr>
            <w:r>
              <w:rPr>
                <w:sz w:val="13"/>
                <w:szCs w:val="13"/>
                <w:spacing w:val="-2"/>
              </w:rPr>
              <w:t>善力克</w:t>
            </w:r>
          </w:p>
        </w:tc>
        <w:tc>
          <w:tcPr>
            <w:tcW w:w="1489" w:type="dxa"/>
            <w:vAlign w:val="top"/>
            <w:tcBorders>
              <w:bottom w:val="single" w:color="000000" w:sz="2" w:space="0"/>
              <w:top w:val="single" w:color="000000" w:sz="2" w:space="0"/>
            </w:tcBorders>
          </w:tcPr>
          <w:p>
            <w:pPr>
              <w:pStyle w:val="TableText"/>
              <w:ind w:left="375"/>
              <w:spacing w:before="266" w:line="220" w:lineRule="auto"/>
              <w:rPr>
                <w:sz w:val="13"/>
                <w:szCs w:val="13"/>
              </w:rPr>
            </w:pPr>
            <w:r>
              <w:rPr>
                <w:sz w:val="13"/>
                <w:szCs w:val="13"/>
                <w:spacing w:val="-1"/>
              </w:rPr>
              <w:t>72.2%丙酰胺</w:t>
            </w:r>
          </w:p>
        </w:tc>
        <w:tc>
          <w:tcPr>
            <w:tcW w:w="1229" w:type="dxa"/>
            <w:vAlign w:val="top"/>
            <w:tcBorders>
              <w:bottom w:val="single" w:color="000000" w:sz="2" w:space="0"/>
              <w:top w:val="single" w:color="000000" w:sz="2" w:space="0"/>
            </w:tcBorders>
          </w:tcPr>
          <w:p>
            <w:pPr>
              <w:pStyle w:val="TableText"/>
              <w:ind w:left="216"/>
              <w:spacing w:before="266" w:line="220" w:lineRule="auto"/>
              <w:rPr>
                <w:sz w:val="13"/>
                <w:szCs w:val="13"/>
              </w:rPr>
            </w:pPr>
            <w:r>
              <w:rPr>
                <w:sz w:val="13"/>
                <w:szCs w:val="13"/>
                <w:spacing w:val="-1"/>
              </w:rPr>
              <w:t>800-1000倍液</w:t>
            </w:r>
          </w:p>
        </w:tc>
        <w:tc>
          <w:tcPr>
            <w:tcW w:w="1369" w:type="dxa"/>
            <w:vAlign w:val="top"/>
            <w:tcBorders>
              <w:bottom w:val="single" w:color="000000" w:sz="2" w:space="0"/>
              <w:top w:val="single" w:color="000000" w:sz="2" w:space="0"/>
            </w:tcBorders>
          </w:tcPr>
          <w:p>
            <w:pPr>
              <w:pStyle w:val="TableText"/>
              <w:ind w:left="27"/>
              <w:spacing w:before="105" w:line="219" w:lineRule="auto"/>
              <w:rPr>
                <w:sz w:val="13"/>
                <w:szCs w:val="13"/>
              </w:rPr>
            </w:pPr>
            <w:r>
              <w:rPr>
                <w:sz w:val="13"/>
                <w:szCs w:val="13"/>
              </w:rPr>
              <w:t>10天一次，连续喷酒病</w:t>
            </w:r>
          </w:p>
          <w:p>
            <w:pPr>
              <w:pStyle w:val="TableText"/>
              <w:ind w:left="27"/>
              <w:spacing w:before="5" w:line="213" w:lineRule="auto"/>
              <w:rPr>
                <w:sz w:val="13"/>
                <w:szCs w:val="13"/>
              </w:rPr>
            </w:pPr>
            <w:r>
              <w:rPr>
                <w:sz w:val="13"/>
                <w:szCs w:val="13"/>
                <w:spacing w:val="-1"/>
              </w:rPr>
              <w:t>部地面2-3次，喷药1小</w:t>
            </w:r>
          </w:p>
          <w:p>
            <w:pPr>
              <w:pStyle w:val="TableText"/>
              <w:ind w:left="187"/>
              <w:spacing w:line="219" w:lineRule="auto"/>
              <w:rPr>
                <w:sz w:val="13"/>
                <w:szCs w:val="13"/>
              </w:rPr>
            </w:pPr>
            <w:r>
              <w:rPr>
                <w:sz w:val="13"/>
                <w:szCs w:val="13"/>
                <w:spacing w:val="-2"/>
              </w:rPr>
              <w:t>时内遇雨，需重喷</w:t>
            </w:r>
          </w:p>
        </w:tc>
        <w:tc>
          <w:tcPr>
            <w:tcW w:w="919" w:type="dxa"/>
            <w:vAlign w:val="top"/>
            <w:tcBorders>
              <w:bottom w:val="single" w:color="000000" w:sz="2" w:space="0"/>
              <w:top w:val="single" w:color="000000" w:sz="2" w:space="0"/>
            </w:tcBorders>
          </w:tcPr>
          <w:p>
            <w:pPr>
              <w:pStyle w:val="TableText"/>
              <w:ind w:left="198"/>
              <w:spacing w:before="266" w:line="221" w:lineRule="auto"/>
              <w:rPr>
                <w:sz w:val="13"/>
                <w:szCs w:val="13"/>
              </w:rPr>
            </w:pPr>
            <w:r>
              <w:rPr>
                <w:sz w:val="13"/>
                <w:szCs w:val="13"/>
                <w:spacing w:val="-2"/>
              </w:rPr>
              <w:t>100ml/瓶</w:t>
            </w:r>
          </w:p>
        </w:tc>
        <w:tc>
          <w:tcPr>
            <w:tcW w:w="2834" w:type="dxa"/>
            <w:vAlign w:val="top"/>
            <w:tcBorders>
              <w:bottom w:val="single" w:color="000000" w:sz="2" w:space="0"/>
              <w:top w:val="single" w:color="000000" w:sz="2" w:space="0"/>
            </w:tcBorders>
          </w:tcPr>
          <w:p>
            <w:pPr>
              <w:pStyle w:val="TableText"/>
              <w:ind w:left="19"/>
              <w:spacing w:before="265" w:line="219" w:lineRule="auto"/>
              <w:rPr>
                <w:sz w:val="13"/>
                <w:szCs w:val="13"/>
              </w:rPr>
            </w:pPr>
            <w:r>
              <w:rPr>
                <w:sz w:val="13"/>
                <w:szCs w:val="13"/>
                <w:spacing w:val="-1"/>
              </w:rPr>
              <w:t>对根腐病、霜霉病、立枯病、猝倒病有特效</w:t>
            </w:r>
          </w:p>
        </w:tc>
      </w:tr>
      <w:tr>
        <w:trPr>
          <w:trHeight w:val="275"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323"/>
              <w:spacing w:before="76" w:line="219" w:lineRule="auto"/>
              <w:rPr>
                <w:sz w:val="13"/>
                <w:szCs w:val="13"/>
              </w:rPr>
            </w:pPr>
            <w:r>
              <w:rPr>
                <w:sz w:val="13"/>
                <w:szCs w:val="13"/>
                <w:spacing w:val="-2"/>
              </w:rPr>
              <w:t>链霉素</w:t>
            </w:r>
          </w:p>
        </w:tc>
        <w:tc>
          <w:tcPr>
            <w:tcW w:w="1489" w:type="dxa"/>
            <w:vAlign w:val="top"/>
            <w:tcBorders>
              <w:bottom w:val="single" w:color="000000" w:sz="2" w:space="0"/>
              <w:top w:val="single" w:color="000000" w:sz="2" w:space="0"/>
            </w:tcBorders>
          </w:tcPr>
          <w:p>
            <w:pPr>
              <w:pStyle w:val="TableText"/>
              <w:ind w:left="445"/>
              <w:spacing w:before="76" w:line="219" w:lineRule="auto"/>
              <w:rPr>
                <w:sz w:val="13"/>
                <w:szCs w:val="13"/>
              </w:rPr>
            </w:pPr>
            <w:r>
              <w:rPr>
                <w:sz w:val="13"/>
                <w:szCs w:val="13"/>
                <w:spacing w:val="-2"/>
              </w:rPr>
              <w:t>72%链霉素</w:t>
            </w:r>
          </w:p>
        </w:tc>
        <w:tc>
          <w:tcPr>
            <w:tcW w:w="1229" w:type="dxa"/>
            <w:vAlign w:val="top"/>
            <w:tcBorders>
              <w:bottom w:val="single" w:color="000000" w:sz="2" w:space="0"/>
              <w:top w:val="single" w:color="000000" w:sz="2" w:space="0"/>
            </w:tcBorders>
          </w:tcPr>
          <w:p>
            <w:pPr>
              <w:pStyle w:val="TableText"/>
              <w:ind w:left="346"/>
              <w:spacing w:before="76" w:line="220" w:lineRule="auto"/>
              <w:rPr>
                <w:sz w:val="13"/>
                <w:szCs w:val="13"/>
              </w:rPr>
            </w:pPr>
            <w:r>
              <w:rPr>
                <w:sz w:val="13"/>
                <w:szCs w:val="13"/>
                <w:spacing w:val="-1"/>
              </w:rPr>
              <w:t>3000倍液</w:t>
            </w:r>
          </w:p>
        </w:tc>
        <w:tc>
          <w:tcPr>
            <w:tcW w:w="1369" w:type="dxa"/>
            <w:vAlign w:val="top"/>
            <w:vMerge w:val="restart"/>
            <w:tcBorders>
              <w:bottom w:val="nil"/>
              <w:top w:val="single" w:color="000000" w:sz="2" w:space="0"/>
            </w:tcBorders>
          </w:tcPr>
          <w:p>
            <w:pPr>
              <w:pStyle w:val="TableText"/>
              <w:spacing w:before="136" w:line="219" w:lineRule="auto"/>
              <w:jc w:val="right"/>
              <w:rPr>
                <w:sz w:val="13"/>
                <w:szCs w:val="13"/>
              </w:rPr>
            </w:pPr>
            <w:r>
              <w:rPr>
                <w:sz w:val="13"/>
                <w:szCs w:val="13"/>
                <w:spacing w:val="-2"/>
              </w:rPr>
              <w:t>每10天唤施一次，连喷3</w:t>
            </w:r>
          </w:p>
          <w:p>
            <w:pPr>
              <w:pStyle w:val="TableText"/>
              <w:ind w:left="487"/>
              <w:spacing w:before="5" w:line="219" w:lineRule="auto"/>
              <w:rPr>
                <w:sz w:val="13"/>
                <w:szCs w:val="13"/>
              </w:rPr>
            </w:pPr>
            <w:r>
              <w:rPr>
                <w:sz w:val="13"/>
                <w:szCs w:val="13"/>
                <w:spacing w:val="-1"/>
              </w:rPr>
              <w:t>至4次。</w:t>
            </w:r>
          </w:p>
        </w:tc>
        <w:tc>
          <w:tcPr>
            <w:tcW w:w="919" w:type="dxa"/>
            <w:vAlign w:val="top"/>
            <w:tcBorders>
              <w:bottom w:val="single" w:color="000000" w:sz="2" w:space="0"/>
              <w:top w:val="single" w:color="000000" w:sz="2" w:space="0"/>
            </w:tcBorders>
          </w:tcPr>
          <w:p>
            <w:pPr>
              <w:pStyle w:val="TableText"/>
              <w:ind w:left="258"/>
              <w:spacing w:before="72" w:line="213" w:lineRule="auto"/>
              <w:rPr>
                <w:sz w:val="13"/>
                <w:szCs w:val="13"/>
              </w:rPr>
            </w:pPr>
            <w:r>
              <w:rPr>
                <w:sz w:val="13"/>
                <w:szCs w:val="13"/>
                <w:spacing w:val="1"/>
              </w:rPr>
              <w:t>15g/袋</w:t>
            </w:r>
          </w:p>
        </w:tc>
        <w:tc>
          <w:tcPr>
            <w:tcW w:w="2834" w:type="dxa"/>
            <w:vAlign w:val="top"/>
            <w:vMerge w:val="restart"/>
            <w:tcBorders>
              <w:bottom w:val="nil"/>
              <w:top w:val="single" w:color="000000" w:sz="2" w:space="0"/>
            </w:tcBorders>
          </w:tcPr>
          <w:p>
            <w:pPr>
              <w:pStyle w:val="TableText"/>
              <w:ind w:left="19"/>
              <w:spacing w:before="216" w:line="219" w:lineRule="auto"/>
              <w:rPr>
                <w:sz w:val="13"/>
                <w:szCs w:val="13"/>
              </w:rPr>
            </w:pPr>
            <w:r>
              <w:rPr>
                <w:sz w:val="13"/>
                <w:szCs w:val="13"/>
                <w:spacing w:val="-1"/>
              </w:rPr>
              <w:t>防治细菌性穿孔病，对细菌性病害有特效</w:t>
            </w:r>
          </w:p>
        </w:tc>
      </w:tr>
      <w:tr>
        <w:trPr>
          <w:trHeight w:val="275"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323"/>
              <w:spacing w:before="75" w:line="219" w:lineRule="auto"/>
              <w:rPr>
                <w:sz w:val="13"/>
                <w:szCs w:val="13"/>
              </w:rPr>
            </w:pPr>
            <w:r>
              <w:rPr>
                <w:sz w:val="13"/>
                <w:szCs w:val="13"/>
                <w:spacing w:val="-2"/>
              </w:rPr>
              <w:t>细菌灵</w:t>
            </w:r>
          </w:p>
        </w:tc>
        <w:tc>
          <w:tcPr>
            <w:tcW w:w="1489" w:type="dxa"/>
            <w:vAlign w:val="top"/>
            <w:tcBorders>
              <w:bottom w:val="single" w:color="000000" w:sz="2" w:space="0"/>
              <w:top w:val="single" w:color="000000" w:sz="2" w:space="0"/>
            </w:tcBorders>
          </w:tcPr>
          <w:p>
            <w:pPr>
              <w:pStyle w:val="TableText"/>
              <w:ind w:left="24"/>
              <w:spacing w:before="75" w:line="219" w:lineRule="auto"/>
              <w:rPr>
                <w:sz w:val="13"/>
                <w:szCs w:val="13"/>
              </w:rPr>
            </w:pPr>
            <w:r>
              <w:rPr>
                <w:sz w:val="13"/>
                <w:szCs w:val="13"/>
                <w:spacing w:val="-1"/>
              </w:rPr>
              <w:t>40%多菌灵、30%中生霉素</w:t>
            </w:r>
          </w:p>
        </w:tc>
        <w:tc>
          <w:tcPr>
            <w:tcW w:w="1229" w:type="dxa"/>
            <w:vAlign w:val="top"/>
            <w:tcBorders>
              <w:bottom w:val="single" w:color="000000" w:sz="2" w:space="0"/>
              <w:top w:val="single" w:color="000000" w:sz="2" w:space="0"/>
            </w:tcBorders>
          </w:tcPr>
          <w:p>
            <w:pPr>
              <w:pStyle w:val="TableText"/>
              <w:ind w:left="316"/>
              <w:spacing w:before="76" w:line="220" w:lineRule="auto"/>
              <w:rPr>
                <w:sz w:val="13"/>
                <w:szCs w:val="13"/>
              </w:rPr>
            </w:pPr>
            <w:r>
              <w:rPr>
                <w:sz w:val="13"/>
                <w:szCs w:val="13"/>
                <w:spacing w:val="-1"/>
              </w:rPr>
              <w:t>500-600倍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58"/>
              <w:spacing w:before="72" w:line="213" w:lineRule="auto"/>
              <w:rPr>
                <w:sz w:val="13"/>
                <w:szCs w:val="13"/>
              </w:rPr>
            </w:pPr>
            <w:r>
              <w:rPr>
                <w:sz w:val="13"/>
                <w:szCs w:val="13"/>
                <w:spacing w:val="-1"/>
              </w:rPr>
              <w:t>25g/装</w:t>
            </w:r>
          </w:p>
        </w:tc>
        <w:tc>
          <w:tcPr>
            <w:tcW w:w="2834" w:type="dxa"/>
            <w:vAlign w:val="top"/>
            <w:vMerge w:val="continue"/>
            <w:tcBorders>
              <w:bottom w:val="single" w:color="000000" w:sz="2" w:space="0"/>
              <w:top w:val="nil"/>
            </w:tcBorders>
          </w:tcPr>
          <w:p>
            <w:pPr>
              <w:rPr>
                <w:rFonts w:ascii="Arial"/>
                <w:sz w:val="21"/>
              </w:rPr>
            </w:pPr>
            <w:r/>
          </w:p>
        </w:tc>
      </w:tr>
      <w:tr>
        <w:trPr>
          <w:trHeight w:val="474" w:hRule="atLeast"/>
        </w:trPr>
        <w:tc>
          <w:tcPr>
            <w:tcW w:w="585" w:type="dxa"/>
            <w:vAlign w:val="top"/>
            <w:vMerge w:val="continue"/>
            <w:tcBorders>
              <w:bottom w:val="single" w:color="000000" w:sz="2" w:space="0"/>
              <w:top w:val="nil"/>
            </w:tcBorders>
          </w:tcPr>
          <w:p>
            <w:pPr>
              <w:rPr>
                <w:rFonts w:ascii="Arial"/>
                <w:sz w:val="21"/>
              </w:rPr>
            </w:pPr>
            <w:r/>
          </w:p>
        </w:tc>
        <w:tc>
          <w:tcPr>
            <w:tcW w:w="639"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323"/>
              <w:spacing w:before="175" w:line="219" w:lineRule="auto"/>
              <w:rPr>
                <w:sz w:val="13"/>
                <w:szCs w:val="13"/>
              </w:rPr>
            </w:pPr>
            <w:r>
              <w:rPr>
                <w:sz w:val="13"/>
                <w:szCs w:val="13"/>
                <w:spacing w:val="-2"/>
              </w:rPr>
              <w:t>植病灵</w:t>
            </w:r>
          </w:p>
        </w:tc>
        <w:tc>
          <w:tcPr>
            <w:tcW w:w="1489" w:type="dxa"/>
            <w:vAlign w:val="top"/>
            <w:tcBorders>
              <w:bottom w:val="single" w:color="000000" w:sz="2" w:space="0"/>
              <w:top w:val="single" w:color="000000" w:sz="2" w:space="0"/>
            </w:tcBorders>
          </w:tcPr>
          <w:p>
            <w:pPr>
              <w:pStyle w:val="TableText"/>
              <w:ind w:left="84"/>
              <w:spacing w:before="175" w:line="220" w:lineRule="auto"/>
              <w:rPr>
                <w:sz w:val="13"/>
                <w:szCs w:val="13"/>
              </w:rPr>
            </w:pPr>
            <w:r>
              <w:rPr>
                <w:sz w:val="13"/>
                <w:szCs w:val="13"/>
                <w:spacing w:val="-1"/>
              </w:rPr>
              <w:t>盐酸金刚乙胺、丙环唑</w:t>
            </w:r>
          </w:p>
        </w:tc>
        <w:tc>
          <w:tcPr>
            <w:tcW w:w="1229" w:type="dxa"/>
            <w:vAlign w:val="top"/>
            <w:tcBorders>
              <w:bottom w:val="single" w:color="000000" w:sz="2" w:space="0"/>
              <w:top w:val="single" w:color="000000" w:sz="2" w:space="0"/>
            </w:tcBorders>
          </w:tcPr>
          <w:p>
            <w:pPr>
              <w:pStyle w:val="TableText"/>
              <w:ind w:left="376"/>
              <w:spacing w:before="175" w:line="220" w:lineRule="auto"/>
              <w:rPr>
                <w:sz w:val="13"/>
                <w:szCs w:val="13"/>
              </w:rPr>
            </w:pPr>
            <w:r>
              <w:rPr>
                <w:sz w:val="13"/>
                <w:szCs w:val="13"/>
                <w:spacing w:val="-1"/>
              </w:rPr>
              <w:t>800倍液</w:t>
            </w:r>
          </w:p>
        </w:tc>
        <w:tc>
          <w:tcPr>
            <w:tcW w:w="1369" w:type="dxa"/>
            <w:vAlign w:val="top"/>
            <w:tcBorders>
              <w:bottom w:val="single" w:color="000000" w:sz="2" w:space="0"/>
              <w:top w:val="single" w:color="000000" w:sz="2" w:space="0"/>
            </w:tcBorders>
          </w:tcPr>
          <w:p>
            <w:pPr>
              <w:pStyle w:val="TableText"/>
              <w:spacing w:before="35" w:line="199" w:lineRule="auto"/>
              <w:jc w:val="right"/>
              <w:rPr>
                <w:sz w:val="13"/>
                <w:szCs w:val="13"/>
              </w:rPr>
            </w:pPr>
            <w:r>
              <w:rPr>
                <w:sz w:val="13"/>
                <w:szCs w:val="13"/>
                <w:spacing w:val="-2"/>
              </w:rPr>
              <w:t>发病初期。每5-7天喷施</w:t>
            </w:r>
          </w:p>
          <w:p>
            <w:pPr>
              <w:pStyle w:val="TableText"/>
              <w:spacing w:line="199" w:lineRule="auto"/>
              <w:jc w:val="right"/>
              <w:rPr>
                <w:sz w:val="13"/>
                <w:szCs w:val="13"/>
              </w:rPr>
            </w:pPr>
            <w:r>
              <w:rPr>
                <w:sz w:val="13"/>
                <w:szCs w:val="13"/>
                <w:spacing w:val="-3"/>
              </w:rPr>
              <w:t>一次，喷3遍，可减轻危</w:t>
            </w:r>
          </w:p>
          <w:p>
            <w:pPr>
              <w:pStyle w:val="TableText"/>
              <w:ind w:left="567"/>
              <w:spacing w:line="210" w:lineRule="auto"/>
              <w:rPr>
                <w:sz w:val="13"/>
                <w:szCs w:val="13"/>
              </w:rPr>
            </w:pPr>
            <w:r>
              <w:rPr>
                <w:sz w:val="13"/>
                <w:szCs w:val="13"/>
                <w:spacing w:val="-2"/>
              </w:rPr>
              <w:t>害。</w:t>
            </w:r>
          </w:p>
        </w:tc>
        <w:tc>
          <w:tcPr>
            <w:tcW w:w="919" w:type="dxa"/>
            <w:vAlign w:val="top"/>
            <w:tcBorders>
              <w:bottom w:val="single" w:color="000000" w:sz="2" w:space="0"/>
              <w:top w:val="single" w:color="000000" w:sz="2" w:space="0"/>
            </w:tcBorders>
          </w:tcPr>
          <w:p>
            <w:pPr>
              <w:pStyle w:val="TableText"/>
              <w:ind w:left="228"/>
              <w:spacing w:before="176" w:line="221" w:lineRule="auto"/>
              <w:rPr>
                <w:sz w:val="13"/>
                <w:szCs w:val="13"/>
              </w:rPr>
            </w:pPr>
            <w:r>
              <w:rPr>
                <w:sz w:val="13"/>
                <w:szCs w:val="13"/>
                <w:spacing w:val="-2"/>
              </w:rPr>
              <w:t>15ml/瓶</w:t>
            </w:r>
          </w:p>
        </w:tc>
        <w:tc>
          <w:tcPr>
            <w:tcW w:w="2834" w:type="dxa"/>
            <w:vAlign w:val="top"/>
            <w:tcBorders>
              <w:bottom w:val="single" w:color="000000" w:sz="2" w:space="0"/>
              <w:top w:val="single" w:color="000000" w:sz="2" w:space="0"/>
            </w:tcBorders>
          </w:tcPr>
          <w:p>
            <w:pPr>
              <w:pStyle w:val="TableText"/>
              <w:ind w:left="19"/>
              <w:spacing w:before="175" w:line="219" w:lineRule="auto"/>
              <w:rPr>
                <w:sz w:val="13"/>
                <w:szCs w:val="13"/>
              </w:rPr>
            </w:pPr>
            <w:r>
              <w:rPr>
                <w:sz w:val="13"/>
                <w:szCs w:val="13"/>
                <w:spacing w:val="-1"/>
              </w:rPr>
              <w:t>防治花叶病，对病毒性病害有特效</w:t>
            </w:r>
          </w:p>
        </w:tc>
      </w:tr>
      <w:tr>
        <w:trPr>
          <w:trHeight w:val="334" w:hRule="atLeast"/>
        </w:trPr>
        <w:tc>
          <w:tcPr>
            <w:tcW w:w="585" w:type="dxa"/>
            <w:vAlign w:val="top"/>
            <w:vMerge w:val="restart"/>
            <w:tcBorders>
              <w:bottom w:val="nil"/>
              <w:top w:val="single" w:color="000000" w:sz="2" w:space="0"/>
            </w:tcBorders>
          </w:tcPr>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84"/>
              <w:spacing w:before="42" w:line="218" w:lineRule="auto"/>
              <w:rPr>
                <w:sz w:val="13"/>
                <w:szCs w:val="13"/>
              </w:rPr>
            </w:pPr>
            <w:r>
              <w:rPr>
                <w:sz w:val="13"/>
                <w:szCs w:val="13"/>
                <w:spacing w:val="-2"/>
              </w:rPr>
              <w:t>杀虫剂</w:t>
            </w:r>
          </w:p>
        </w:tc>
        <w:tc>
          <w:tcPr>
            <w:tcW w:w="639" w:type="dxa"/>
            <w:vAlign w:val="top"/>
            <w:vMerge w:val="restart"/>
            <w:tcBorders>
              <w:bottom w:val="nil"/>
              <w:top w:val="single" w:color="000000" w:sz="2" w:space="0"/>
            </w:tcBorders>
          </w:tcPr>
          <w:p>
            <w:pPr>
              <w:spacing w:line="410" w:lineRule="auto"/>
              <w:rPr>
                <w:rFonts w:ascii="Arial"/>
                <w:sz w:val="21"/>
              </w:rPr>
            </w:pPr>
            <w:r/>
          </w:p>
          <w:p>
            <w:pPr>
              <w:pStyle w:val="TableText"/>
              <w:ind w:left="50"/>
              <w:spacing w:before="43" w:line="219" w:lineRule="auto"/>
              <w:rPr>
                <w:sz w:val="13"/>
                <w:szCs w:val="13"/>
              </w:rPr>
            </w:pPr>
            <w:r>
              <w:rPr>
                <w:sz w:val="13"/>
                <w:szCs w:val="13"/>
                <w:spacing w:val="-1"/>
              </w:rPr>
              <w:t>食叶害虫</w:t>
            </w:r>
          </w:p>
        </w:tc>
        <w:tc>
          <w:tcPr>
            <w:tcW w:w="959" w:type="dxa"/>
            <w:vAlign w:val="top"/>
            <w:vMerge w:val="restart"/>
            <w:tcBorders>
              <w:bottom w:val="nil"/>
              <w:top w:val="single" w:color="000000" w:sz="2" w:space="0"/>
            </w:tcBorders>
          </w:tcPr>
          <w:p>
            <w:pPr>
              <w:spacing w:line="271" w:lineRule="auto"/>
              <w:rPr>
                <w:rFonts w:ascii="Arial"/>
                <w:sz w:val="21"/>
              </w:rPr>
            </w:pPr>
            <w:r/>
          </w:p>
          <w:p>
            <w:pPr>
              <w:pStyle w:val="TableText"/>
              <w:ind w:left="11"/>
              <w:spacing w:before="42" w:line="199" w:lineRule="auto"/>
              <w:rPr>
                <w:sz w:val="13"/>
                <w:szCs w:val="13"/>
              </w:rPr>
            </w:pPr>
            <w:r>
              <w:rPr>
                <w:sz w:val="13"/>
                <w:szCs w:val="13"/>
                <w:spacing w:val="2"/>
              </w:rPr>
              <w:t>天幕毛虫、叶甲</w:t>
            </w:r>
          </w:p>
          <w:p>
            <w:pPr>
              <w:pStyle w:val="TableText"/>
              <w:ind w:left="11"/>
              <w:spacing w:line="218" w:lineRule="auto"/>
              <w:rPr>
                <w:sz w:val="13"/>
                <w:szCs w:val="13"/>
              </w:rPr>
            </w:pPr>
            <w:r>
              <w:rPr>
                <w:sz w:val="13"/>
                <w:szCs w:val="13"/>
                <w:spacing w:val="-3"/>
              </w:rPr>
              <w:t>、舞毒蛾、尺媛</w:t>
            </w:r>
          </w:p>
          <w:p>
            <w:pPr>
              <w:pStyle w:val="TableText"/>
              <w:ind w:left="81"/>
              <w:spacing w:before="6" w:line="219" w:lineRule="auto"/>
              <w:rPr>
                <w:sz w:val="13"/>
                <w:szCs w:val="13"/>
              </w:rPr>
            </w:pPr>
            <w:r>
              <w:rPr>
                <w:sz w:val="13"/>
                <w:szCs w:val="13"/>
                <w:spacing w:val="-3"/>
              </w:rPr>
              <w:t>、衰蛾、刺蛾</w:t>
            </w:r>
          </w:p>
        </w:tc>
        <w:tc>
          <w:tcPr>
            <w:tcW w:w="2888" w:type="dxa"/>
            <w:vAlign w:val="top"/>
            <w:vMerge w:val="restart"/>
            <w:tcBorders>
              <w:bottom w:val="nil"/>
              <w:top w:val="single" w:color="000000" w:sz="2" w:space="0"/>
            </w:tcBorders>
          </w:tcPr>
          <w:p>
            <w:pPr>
              <w:pStyle w:val="TableText"/>
              <w:ind w:left="11" w:right="5" w:hanging="9"/>
              <w:spacing w:before="85" w:line="216" w:lineRule="auto"/>
              <w:rPr>
                <w:sz w:val="13"/>
                <w:szCs w:val="13"/>
              </w:rPr>
            </w:pPr>
            <w:r>
              <w:rPr>
                <w:sz w:val="13"/>
                <w:szCs w:val="13"/>
                <w:spacing w:val="-8"/>
              </w:rPr>
              <w:t>一、5月预防消杀为主。在进入雨季、高发季前全园区</w:t>
            </w:r>
            <w:r>
              <w:rPr>
                <w:sz w:val="13"/>
                <w:szCs w:val="13"/>
                <w:spacing w:val="6"/>
              </w:rPr>
              <w:t xml:space="preserve"> </w:t>
            </w:r>
            <w:r>
              <w:rPr>
                <w:sz w:val="13"/>
                <w:szCs w:val="13"/>
                <w:spacing w:val="-1"/>
              </w:rPr>
              <w:t>消杀虫卵，蛹。</w:t>
            </w:r>
          </w:p>
          <w:p>
            <w:pPr>
              <w:pStyle w:val="TableText"/>
              <w:ind w:left="11" w:hanging="9"/>
              <w:spacing w:before="5" w:line="209" w:lineRule="auto"/>
              <w:rPr>
                <w:sz w:val="13"/>
                <w:szCs w:val="13"/>
              </w:rPr>
            </w:pPr>
            <w:r>
              <w:rPr>
                <w:sz w:val="13"/>
                <w:szCs w:val="13"/>
                <w:spacing w:val="-9"/>
              </w:rPr>
              <w:t>二</w:t>
            </w:r>
            <w:r>
              <w:rPr>
                <w:sz w:val="13"/>
                <w:szCs w:val="13"/>
                <w:spacing w:val="-8"/>
              </w:rPr>
              <w:t>，6月是大本分害虫成蛹或羽化期，采取人工加药</w:t>
            </w:r>
            <w:r>
              <w:rPr>
                <w:sz w:val="13"/>
                <w:szCs w:val="13"/>
                <w:spacing w:val="-7"/>
              </w:rPr>
              <w:t>物</w:t>
            </w:r>
            <w:r>
              <w:rPr>
                <w:sz w:val="13"/>
                <w:szCs w:val="13"/>
                <w:spacing w:val="11"/>
              </w:rPr>
              <w:t xml:space="preserve"> </w:t>
            </w:r>
            <w:r>
              <w:rPr>
                <w:sz w:val="13"/>
                <w:szCs w:val="13"/>
                <w:spacing w:val="-2"/>
              </w:rPr>
              <w:t>双重治疗除卵，除蛹，除成虫。</w:t>
            </w:r>
          </w:p>
          <w:p>
            <w:pPr>
              <w:pStyle w:val="TableText"/>
              <w:ind w:left="2"/>
              <w:spacing w:before="5" w:line="219" w:lineRule="auto"/>
              <w:rPr>
                <w:sz w:val="13"/>
                <w:szCs w:val="13"/>
              </w:rPr>
            </w:pPr>
            <w:r>
              <w:rPr>
                <w:sz w:val="13"/>
                <w:szCs w:val="13"/>
                <w:spacing w:val="-11"/>
              </w:rPr>
              <w:t>三、7</w:t>
            </w:r>
            <w:r>
              <w:rPr>
                <w:sz w:val="13"/>
                <w:szCs w:val="13"/>
                <w:spacing w:val="-10"/>
              </w:rPr>
              <w:t>-10月为均有零星出现，有发现病情，及时喷药</w:t>
            </w:r>
            <w:r>
              <w:rPr>
                <w:sz w:val="13"/>
                <w:szCs w:val="13"/>
                <w:spacing w:val="-7"/>
              </w:rPr>
              <w:t>处</w:t>
            </w:r>
            <w:r>
              <w:rPr>
                <w:sz w:val="13"/>
                <w:szCs w:val="13"/>
                <w:spacing w:val="14"/>
              </w:rPr>
              <w:t xml:space="preserve"> </w:t>
            </w:r>
            <w:r>
              <w:rPr>
                <w:sz w:val="13"/>
                <w:szCs w:val="13"/>
                <w:spacing w:val="-4"/>
              </w:rPr>
              <w:t>理</w:t>
            </w:r>
            <w:r>
              <w:rPr>
                <w:sz w:val="13"/>
                <w:szCs w:val="13"/>
                <w:spacing w:val="-35"/>
              </w:rPr>
              <w:t xml:space="preserve"> </w:t>
            </w:r>
            <w:r>
              <w:rPr>
                <w:sz w:val="13"/>
                <w:szCs w:val="13"/>
                <w:spacing w:val="-4"/>
              </w:rPr>
              <w:t>。</w:t>
            </w:r>
          </w:p>
        </w:tc>
        <w:tc>
          <w:tcPr>
            <w:tcW w:w="1049" w:type="dxa"/>
            <w:vAlign w:val="top"/>
            <w:tcBorders>
              <w:bottom w:val="single" w:color="000000" w:sz="2" w:space="0"/>
              <w:top w:val="single" w:color="000000" w:sz="2" w:space="0"/>
            </w:tcBorders>
          </w:tcPr>
          <w:p>
            <w:pPr>
              <w:pStyle w:val="TableText"/>
              <w:ind w:left="254"/>
              <w:spacing w:before="105" w:line="219" w:lineRule="auto"/>
              <w:rPr>
                <w:sz w:val="13"/>
                <w:szCs w:val="13"/>
              </w:rPr>
            </w:pPr>
            <w:r>
              <w:rPr>
                <w:sz w:val="13"/>
                <w:szCs w:val="13"/>
                <w:spacing w:val="1"/>
              </w:rPr>
              <w:t>国光毒枪</w:t>
            </w:r>
          </w:p>
        </w:tc>
        <w:tc>
          <w:tcPr>
            <w:tcW w:w="1489" w:type="dxa"/>
            <w:vAlign w:val="top"/>
            <w:tcBorders>
              <w:bottom w:val="single" w:color="000000" w:sz="2" w:space="0"/>
              <w:top w:val="single" w:color="000000" w:sz="2" w:space="0"/>
            </w:tcBorders>
          </w:tcPr>
          <w:p>
            <w:pPr>
              <w:pStyle w:val="TableText"/>
              <w:ind w:left="155"/>
              <w:spacing w:before="105" w:line="219" w:lineRule="auto"/>
              <w:rPr>
                <w:sz w:val="13"/>
                <w:szCs w:val="13"/>
              </w:rPr>
            </w:pPr>
            <w:r>
              <w:rPr>
                <w:sz w:val="13"/>
                <w:szCs w:val="13"/>
                <w:spacing w:val="-1"/>
              </w:rPr>
              <w:t>45%丙澳.辛碗磷乳油</w:t>
            </w:r>
          </w:p>
        </w:tc>
        <w:tc>
          <w:tcPr>
            <w:tcW w:w="1229" w:type="dxa"/>
            <w:vAlign w:val="top"/>
            <w:tcBorders>
              <w:bottom w:val="single" w:color="000000" w:sz="2" w:space="0"/>
              <w:top w:val="single" w:color="000000" w:sz="2" w:space="0"/>
            </w:tcBorders>
          </w:tcPr>
          <w:p>
            <w:pPr>
              <w:pStyle w:val="TableText"/>
              <w:ind w:left="55"/>
              <w:spacing w:before="105" w:line="219" w:lineRule="auto"/>
              <w:rPr>
                <w:sz w:val="13"/>
                <w:szCs w:val="13"/>
              </w:rPr>
            </w:pPr>
            <w:r>
              <w:rPr>
                <w:sz w:val="13"/>
                <w:szCs w:val="13"/>
                <w:spacing w:val="-1"/>
              </w:rPr>
              <w:t>稀释2000-3000倍液</w:t>
            </w:r>
          </w:p>
        </w:tc>
        <w:tc>
          <w:tcPr>
            <w:tcW w:w="1369" w:type="dxa"/>
            <w:vAlign w:val="top"/>
            <w:vMerge w:val="restart"/>
            <w:tcBorders>
              <w:bottom w:val="nil"/>
              <w:top w:val="single" w:color="000000" w:sz="2" w:space="0"/>
            </w:tcBorders>
          </w:tcPr>
          <w:p>
            <w:pPr>
              <w:spacing w:line="340" w:lineRule="auto"/>
              <w:rPr>
                <w:rFonts w:ascii="Arial"/>
                <w:sz w:val="21"/>
              </w:rPr>
            </w:pPr>
            <w:r/>
          </w:p>
          <w:p>
            <w:pPr>
              <w:pStyle w:val="TableText"/>
              <w:ind w:left="497" w:right="39" w:hanging="470"/>
              <w:spacing w:before="43" w:line="217" w:lineRule="auto"/>
              <w:rPr>
                <w:sz w:val="13"/>
                <w:szCs w:val="13"/>
              </w:rPr>
            </w:pPr>
            <w:r>
              <w:rPr>
                <w:sz w:val="13"/>
                <w:szCs w:val="13"/>
                <w:spacing w:val="-1"/>
              </w:rPr>
              <w:t>一般用3次，时间间隔7</w:t>
            </w:r>
            <w:r>
              <w:rPr>
                <w:sz w:val="13"/>
                <w:szCs w:val="13"/>
                <w:spacing w:val="2"/>
              </w:rPr>
              <w:t xml:space="preserve"> </w:t>
            </w:r>
            <w:r>
              <w:rPr>
                <w:sz w:val="13"/>
                <w:szCs w:val="13"/>
                <w:spacing w:val="-2"/>
              </w:rPr>
              <w:t>到10天</w:t>
            </w:r>
          </w:p>
        </w:tc>
        <w:tc>
          <w:tcPr>
            <w:tcW w:w="919" w:type="dxa"/>
            <w:vAlign w:val="top"/>
            <w:tcBorders>
              <w:bottom w:val="single" w:color="000000" w:sz="2" w:space="0"/>
              <w:top w:val="single" w:color="000000" w:sz="2" w:space="0"/>
            </w:tcBorders>
          </w:tcPr>
          <w:p>
            <w:pPr>
              <w:pStyle w:val="TableText"/>
              <w:ind w:left="128"/>
              <w:spacing w:before="106" w:line="221" w:lineRule="auto"/>
              <w:rPr>
                <w:sz w:val="13"/>
                <w:szCs w:val="13"/>
              </w:rPr>
            </w:pPr>
            <w:r>
              <w:rPr>
                <w:sz w:val="13"/>
                <w:szCs w:val="13"/>
                <w:spacing w:val="4"/>
              </w:rPr>
              <w:t>(200</w:t>
            </w:r>
            <w:r>
              <w:rPr>
                <w:sz w:val="13"/>
                <w:szCs w:val="13"/>
              </w:rPr>
              <w:t>ml</w:t>
            </w:r>
            <w:r>
              <w:rPr>
                <w:sz w:val="13"/>
                <w:szCs w:val="13"/>
                <w:spacing w:val="4"/>
              </w:rPr>
              <w:t>/瓶)</w:t>
            </w:r>
          </w:p>
        </w:tc>
        <w:tc>
          <w:tcPr>
            <w:tcW w:w="2834" w:type="dxa"/>
            <w:vAlign w:val="top"/>
            <w:tcBorders>
              <w:bottom w:val="single" w:color="000000" w:sz="2" w:space="0"/>
              <w:top w:val="single" w:color="000000" w:sz="2" w:space="0"/>
            </w:tcBorders>
          </w:tcPr>
          <w:p>
            <w:pPr>
              <w:pStyle w:val="TableText"/>
              <w:ind w:left="19"/>
              <w:spacing w:before="105" w:line="219" w:lineRule="auto"/>
              <w:rPr>
                <w:sz w:val="13"/>
                <w:szCs w:val="13"/>
              </w:rPr>
            </w:pPr>
            <w:r>
              <w:rPr>
                <w:sz w:val="13"/>
                <w:szCs w:val="13"/>
                <w:spacing w:val="-1"/>
              </w:rPr>
              <w:t>高渗透性，杀卷叶虫、包叶虫、斑潜蝇等</w:t>
            </w:r>
          </w:p>
        </w:tc>
      </w:tr>
      <w:tr>
        <w:trPr>
          <w:trHeight w:val="354"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254"/>
              <w:spacing w:before="116" w:line="219" w:lineRule="auto"/>
              <w:rPr>
                <w:sz w:val="13"/>
                <w:szCs w:val="13"/>
              </w:rPr>
            </w:pPr>
            <w:r>
              <w:rPr>
                <w:sz w:val="13"/>
                <w:szCs w:val="13"/>
                <w:spacing w:val="1"/>
              </w:rPr>
              <w:t>国光毒箭</w:t>
            </w:r>
          </w:p>
        </w:tc>
        <w:tc>
          <w:tcPr>
            <w:tcW w:w="1489" w:type="dxa"/>
            <w:vAlign w:val="top"/>
            <w:tcBorders>
              <w:bottom w:val="single" w:color="000000" w:sz="2" w:space="0"/>
              <w:top w:val="single" w:color="000000" w:sz="2" w:space="0"/>
            </w:tcBorders>
          </w:tcPr>
          <w:p>
            <w:pPr>
              <w:pStyle w:val="TableText"/>
              <w:ind w:left="245"/>
              <w:spacing w:before="116" w:line="219" w:lineRule="auto"/>
              <w:rPr>
                <w:sz w:val="13"/>
                <w:szCs w:val="13"/>
              </w:rPr>
            </w:pPr>
            <w:r>
              <w:rPr>
                <w:sz w:val="13"/>
                <w:szCs w:val="13"/>
                <w:spacing w:val="2"/>
              </w:rPr>
              <w:t>20%氰戊菊酯乳油</w:t>
            </w:r>
          </w:p>
        </w:tc>
        <w:tc>
          <w:tcPr>
            <w:tcW w:w="1229" w:type="dxa"/>
            <w:vAlign w:val="top"/>
            <w:tcBorders>
              <w:bottom w:val="single" w:color="000000" w:sz="2" w:space="0"/>
              <w:top w:val="single" w:color="000000" w:sz="2" w:space="0"/>
            </w:tcBorders>
          </w:tcPr>
          <w:p>
            <w:pPr>
              <w:pStyle w:val="TableText"/>
              <w:ind w:left="55"/>
              <w:spacing w:before="116" w:line="219" w:lineRule="auto"/>
              <w:rPr>
                <w:sz w:val="13"/>
                <w:szCs w:val="13"/>
              </w:rPr>
            </w:pPr>
            <w:r>
              <w:rPr>
                <w:sz w:val="13"/>
                <w:szCs w:val="13"/>
                <w:spacing w:val="-1"/>
              </w:rPr>
              <w:t>稀释2000-3000倍液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28"/>
              <w:spacing w:before="117" w:line="221" w:lineRule="auto"/>
              <w:rPr>
                <w:sz w:val="13"/>
                <w:szCs w:val="13"/>
              </w:rPr>
            </w:pPr>
            <w:r>
              <w:rPr>
                <w:sz w:val="13"/>
                <w:szCs w:val="13"/>
                <w:spacing w:val="4"/>
              </w:rPr>
              <w:t>(200</w:t>
            </w:r>
            <w:r>
              <w:rPr>
                <w:sz w:val="13"/>
                <w:szCs w:val="13"/>
              </w:rPr>
              <w:t>ml</w:t>
            </w:r>
            <w:r>
              <w:rPr>
                <w:sz w:val="13"/>
                <w:szCs w:val="13"/>
                <w:spacing w:val="4"/>
              </w:rPr>
              <w:t>/瓶)</w:t>
            </w:r>
          </w:p>
        </w:tc>
        <w:tc>
          <w:tcPr>
            <w:tcW w:w="2834" w:type="dxa"/>
            <w:vAlign w:val="top"/>
            <w:tcBorders>
              <w:bottom w:val="single" w:color="000000" w:sz="2" w:space="0"/>
              <w:top w:val="single" w:color="000000" w:sz="2" w:space="0"/>
            </w:tcBorders>
          </w:tcPr>
          <w:p>
            <w:pPr>
              <w:pStyle w:val="TableText"/>
              <w:ind w:left="19"/>
              <w:spacing w:before="116" w:line="218" w:lineRule="auto"/>
              <w:rPr>
                <w:sz w:val="13"/>
                <w:szCs w:val="13"/>
              </w:rPr>
            </w:pPr>
            <w:r>
              <w:rPr>
                <w:sz w:val="13"/>
                <w:szCs w:val="13"/>
                <w:spacing w:val="-1"/>
              </w:rPr>
              <w:t>高效广谱、长效杀虫剂，杀食叶性害虫特效</w:t>
            </w:r>
          </w:p>
        </w:tc>
      </w:tr>
      <w:tr>
        <w:trPr>
          <w:trHeight w:val="325"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254"/>
              <w:spacing w:before="107" w:line="219" w:lineRule="auto"/>
              <w:rPr>
                <w:sz w:val="13"/>
                <w:szCs w:val="13"/>
              </w:rPr>
            </w:pPr>
            <w:r>
              <w:rPr>
                <w:sz w:val="13"/>
                <w:szCs w:val="13"/>
                <w:spacing w:val="1"/>
              </w:rPr>
              <w:t>国光乐克</w:t>
            </w:r>
          </w:p>
        </w:tc>
        <w:tc>
          <w:tcPr>
            <w:tcW w:w="1489" w:type="dxa"/>
            <w:vAlign w:val="top"/>
            <w:tcBorders>
              <w:bottom w:val="single" w:color="000000" w:sz="2" w:space="0"/>
              <w:top w:val="single" w:color="000000" w:sz="2" w:space="0"/>
            </w:tcBorders>
          </w:tcPr>
          <w:p>
            <w:pPr>
              <w:pStyle w:val="TableText"/>
              <w:ind w:left="345"/>
              <w:spacing w:before="107" w:line="220" w:lineRule="auto"/>
              <w:rPr>
                <w:sz w:val="13"/>
                <w:szCs w:val="13"/>
              </w:rPr>
            </w:pPr>
            <w:r>
              <w:rPr>
                <w:sz w:val="13"/>
                <w:szCs w:val="13"/>
              </w:rPr>
              <w:t>甲维盐：5.7%</w:t>
            </w:r>
          </w:p>
        </w:tc>
        <w:tc>
          <w:tcPr>
            <w:tcW w:w="1229" w:type="dxa"/>
            <w:vAlign w:val="top"/>
            <w:tcBorders>
              <w:bottom w:val="single" w:color="000000" w:sz="2" w:space="0"/>
              <w:top w:val="single" w:color="000000" w:sz="2" w:space="0"/>
            </w:tcBorders>
          </w:tcPr>
          <w:p>
            <w:pPr>
              <w:pStyle w:val="TableText"/>
              <w:ind w:left="246"/>
              <w:spacing w:before="107" w:line="220" w:lineRule="auto"/>
              <w:rPr>
                <w:sz w:val="13"/>
                <w:szCs w:val="13"/>
              </w:rPr>
            </w:pPr>
            <w:r>
              <w:rPr>
                <w:sz w:val="13"/>
                <w:szCs w:val="13"/>
                <w:spacing w:val="-5"/>
              </w:rPr>
              <w:t>3000—5000倍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98"/>
              <w:spacing w:before="107" w:line="221" w:lineRule="auto"/>
              <w:rPr>
                <w:sz w:val="13"/>
                <w:szCs w:val="13"/>
              </w:rPr>
            </w:pPr>
            <w:r>
              <w:rPr>
                <w:sz w:val="13"/>
                <w:szCs w:val="13"/>
                <w:spacing w:val="-2"/>
              </w:rPr>
              <w:t>100ml/瓶</w:t>
            </w:r>
          </w:p>
        </w:tc>
        <w:tc>
          <w:tcPr>
            <w:tcW w:w="2834" w:type="dxa"/>
            <w:vAlign w:val="top"/>
            <w:tcBorders>
              <w:bottom w:val="single" w:color="000000" w:sz="2" w:space="0"/>
              <w:top w:val="single" w:color="000000" w:sz="2" w:space="0"/>
            </w:tcBorders>
          </w:tcPr>
          <w:p>
            <w:pPr>
              <w:pStyle w:val="TableText"/>
              <w:ind w:left="19"/>
              <w:spacing w:before="106" w:line="218" w:lineRule="auto"/>
              <w:rPr>
                <w:sz w:val="13"/>
                <w:szCs w:val="13"/>
              </w:rPr>
            </w:pPr>
            <w:r>
              <w:rPr>
                <w:sz w:val="13"/>
                <w:szCs w:val="13"/>
                <w:spacing w:val="-1"/>
              </w:rPr>
              <w:t>高效广谱杀虫剂，杀食叶性害虫特效</w:t>
            </w:r>
          </w:p>
        </w:tc>
      </w:tr>
      <w:tr>
        <w:trPr>
          <w:trHeight w:val="305" w:hRule="atLeast"/>
        </w:trPr>
        <w:tc>
          <w:tcPr>
            <w:tcW w:w="585" w:type="dxa"/>
            <w:vAlign w:val="top"/>
            <w:vMerge w:val="continue"/>
            <w:tcBorders>
              <w:bottom w:val="nil"/>
              <w:top w:val="nil"/>
            </w:tcBorders>
          </w:tcPr>
          <w:p>
            <w:pPr>
              <w:rPr>
                <w:rFonts w:ascii="Arial"/>
                <w:sz w:val="21"/>
              </w:rPr>
            </w:pPr>
            <w:r/>
          </w:p>
        </w:tc>
        <w:tc>
          <w:tcPr>
            <w:tcW w:w="639" w:type="dxa"/>
            <w:vAlign w:val="top"/>
            <w:vMerge w:val="restart"/>
            <w:tcBorders>
              <w:bottom w:val="nil"/>
              <w:top w:val="single" w:color="000000" w:sz="2" w:space="0"/>
            </w:tcBorders>
          </w:tcPr>
          <w:p>
            <w:pPr>
              <w:spacing w:line="361" w:lineRule="auto"/>
              <w:rPr>
                <w:rFonts w:ascii="Arial"/>
                <w:sz w:val="21"/>
              </w:rPr>
            </w:pPr>
            <w:r/>
          </w:p>
          <w:p>
            <w:pPr>
              <w:pStyle w:val="TableText"/>
              <w:ind w:left="50"/>
              <w:spacing w:before="43" w:line="219" w:lineRule="auto"/>
              <w:rPr>
                <w:sz w:val="13"/>
                <w:szCs w:val="13"/>
              </w:rPr>
            </w:pPr>
            <w:r>
              <w:rPr>
                <w:sz w:val="13"/>
                <w:szCs w:val="13"/>
                <w:spacing w:val="-1"/>
              </w:rPr>
              <w:t>刺吸害虫</w:t>
            </w:r>
          </w:p>
        </w:tc>
        <w:tc>
          <w:tcPr>
            <w:tcW w:w="959" w:type="dxa"/>
            <w:vAlign w:val="top"/>
            <w:vMerge w:val="restart"/>
            <w:tcBorders>
              <w:bottom w:val="nil"/>
              <w:top w:val="single" w:color="000000" w:sz="2" w:space="0"/>
            </w:tcBorders>
          </w:tcPr>
          <w:p>
            <w:pPr>
              <w:pStyle w:val="TableText"/>
              <w:spacing w:before="257" w:line="212" w:lineRule="auto"/>
              <w:jc w:val="right"/>
              <w:rPr>
                <w:sz w:val="13"/>
                <w:szCs w:val="13"/>
              </w:rPr>
            </w:pPr>
            <w:r>
              <w:rPr>
                <w:sz w:val="13"/>
                <w:szCs w:val="13"/>
                <w:spacing w:val="3"/>
              </w:rPr>
              <w:t>球坚蚡、腊蚧、</w:t>
            </w:r>
          </w:p>
          <w:p>
            <w:pPr>
              <w:pStyle w:val="TableText"/>
              <w:ind w:left="11"/>
              <w:spacing w:line="219" w:lineRule="auto"/>
              <w:rPr>
                <w:sz w:val="13"/>
                <w:szCs w:val="13"/>
              </w:rPr>
            </w:pPr>
            <w:r>
              <w:rPr>
                <w:sz w:val="13"/>
                <w:szCs w:val="13"/>
                <w:spacing w:val="-3"/>
              </w:rPr>
              <w:t>粉蚧、吹棉蚧。</w:t>
            </w:r>
          </w:p>
          <w:p>
            <w:pPr>
              <w:pStyle w:val="TableText"/>
              <w:ind w:left="271"/>
              <w:spacing w:before="5" w:line="218" w:lineRule="auto"/>
              <w:rPr>
                <w:sz w:val="13"/>
                <w:szCs w:val="13"/>
              </w:rPr>
            </w:pPr>
            <w:r>
              <w:rPr>
                <w:sz w:val="13"/>
                <w:szCs w:val="13"/>
                <w:spacing w:val="-2"/>
              </w:rPr>
              <w:t>枣干蚧</w:t>
            </w:r>
          </w:p>
        </w:tc>
        <w:tc>
          <w:tcPr>
            <w:tcW w:w="2888" w:type="dxa"/>
            <w:vAlign w:val="top"/>
            <w:vMerge w:val="restart"/>
            <w:tcBorders>
              <w:bottom w:val="nil"/>
              <w:top w:val="single" w:color="000000" w:sz="2" w:space="0"/>
            </w:tcBorders>
          </w:tcPr>
          <w:p>
            <w:pPr>
              <w:pStyle w:val="TableText"/>
              <w:ind w:left="2"/>
              <w:spacing w:before="186" w:line="219" w:lineRule="auto"/>
              <w:rPr>
                <w:sz w:val="13"/>
                <w:szCs w:val="13"/>
              </w:rPr>
            </w:pPr>
            <w:r>
              <w:rPr>
                <w:sz w:val="13"/>
                <w:szCs w:val="13"/>
                <w:spacing w:val="-3"/>
              </w:rPr>
              <w:t>一、4月已经有成虫出现，配合春季消杀，预防为主</w:t>
            </w:r>
          </w:p>
          <w:p>
            <w:pPr>
              <w:pStyle w:val="TableText"/>
              <w:ind w:left="2" w:firstLine="29"/>
              <w:spacing w:before="125" w:line="247" w:lineRule="auto"/>
              <w:rPr>
                <w:sz w:val="13"/>
                <w:szCs w:val="13"/>
              </w:rPr>
            </w:pPr>
            <w:r>
              <w:rPr>
                <w:sz w:val="13"/>
                <w:szCs w:val="13"/>
                <w:spacing w:val="-12"/>
              </w:rPr>
              <w:t>二、5-</w:t>
            </w:r>
            <w:r>
              <w:rPr>
                <w:sz w:val="13"/>
                <w:szCs w:val="13"/>
                <w:spacing w:val="-11"/>
              </w:rPr>
              <w:t>10月为均有零星出现，有发现病情。及时喷药</w:t>
            </w:r>
            <w:r>
              <w:rPr>
                <w:sz w:val="13"/>
                <w:szCs w:val="13"/>
                <w:spacing w:val="-7"/>
              </w:rPr>
              <w:t>处</w:t>
            </w:r>
            <w:r>
              <w:rPr>
                <w:sz w:val="13"/>
                <w:szCs w:val="13"/>
                <w:spacing w:val="10"/>
              </w:rPr>
              <w:t xml:space="preserve"> </w:t>
            </w:r>
            <w:r>
              <w:rPr>
                <w:sz w:val="13"/>
                <w:szCs w:val="13"/>
                <w:spacing w:val="-4"/>
              </w:rPr>
              <w:t>理</w:t>
            </w:r>
            <w:r>
              <w:rPr>
                <w:sz w:val="13"/>
                <w:szCs w:val="13"/>
                <w:spacing w:val="-35"/>
              </w:rPr>
              <w:t xml:space="preserve"> </w:t>
            </w:r>
            <w:r>
              <w:rPr>
                <w:sz w:val="13"/>
                <w:szCs w:val="13"/>
                <w:spacing w:val="-4"/>
              </w:rPr>
              <w:t>。</w:t>
            </w:r>
          </w:p>
        </w:tc>
        <w:tc>
          <w:tcPr>
            <w:tcW w:w="1049" w:type="dxa"/>
            <w:vAlign w:val="top"/>
            <w:tcBorders>
              <w:bottom w:val="single" w:color="000000" w:sz="2" w:space="0"/>
              <w:top w:val="single" w:color="000000" w:sz="2" w:space="0"/>
            </w:tcBorders>
          </w:tcPr>
          <w:p>
            <w:pPr>
              <w:pStyle w:val="TableText"/>
              <w:ind w:left="194"/>
              <w:spacing w:before="96" w:line="219" w:lineRule="auto"/>
              <w:rPr>
                <w:sz w:val="13"/>
                <w:szCs w:val="13"/>
              </w:rPr>
            </w:pPr>
            <w:r>
              <w:rPr>
                <w:sz w:val="13"/>
                <w:szCs w:val="13"/>
                <w:spacing w:val="2"/>
              </w:rPr>
              <w:t>国光阶必治</w:t>
            </w:r>
          </w:p>
        </w:tc>
        <w:tc>
          <w:tcPr>
            <w:tcW w:w="1489" w:type="dxa"/>
            <w:vAlign w:val="top"/>
            <w:tcBorders>
              <w:bottom w:val="single" w:color="000000" w:sz="2" w:space="0"/>
              <w:top w:val="single" w:color="000000" w:sz="2" w:space="0"/>
            </w:tcBorders>
          </w:tcPr>
          <w:p>
            <w:pPr>
              <w:pStyle w:val="TableText"/>
              <w:ind w:left="54"/>
              <w:spacing w:before="96" w:line="219" w:lineRule="auto"/>
              <w:rPr>
                <w:sz w:val="13"/>
                <w:szCs w:val="13"/>
              </w:rPr>
            </w:pPr>
            <w:r>
              <w:rPr>
                <w:sz w:val="13"/>
                <w:szCs w:val="13"/>
                <w:spacing w:val="-1"/>
              </w:rPr>
              <w:t>40M啶虫眯，毒死婢乳油</w:t>
            </w:r>
          </w:p>
        </w:tc>
        <w:tc>
          <w:tcPr>
            <w:tcW w:w="1229" w:type="dxa"/>
            <w:vAlign w:val="top"/>
            <w:tcBorders>
              <w:bottom w:val="single" w:color="000000" w:sz="2" w:space="0"/>
              <w:top w:val="single" w:color="000000" w:sz="2" w:space="0"/>
            </w:tcBorders>
          </w:tcPr>
          <w:p>
            <w:pPr>
              <w:pStyle w:val="TableText"/>
              <w:ind w:left="55"/>
              <w:spacing w:before="96" w:line="219" w:lineRule="auto"/>
              <w:rPr>
                <w:sz w:val="13"/>
                <w:szCs w:val="13"/>
              </w:rPr>
            </w:pPr>
            <w:r>
              <w:rPr>
                <w:sz w:val="13"/>
                <w:szCs w:val="13"/>
                <w:spacing w:val="-1"/>
              </w:rPr>
              <w:t>稀释2000-3000倍液</w:t>
            </w:r>
          </w:p>
        </w:tc>
        <w:tc>
          <w:tcPr>
            <w:tcW w:w="1369" w:type="dxa"/>
            <w:vAlign w:val="top"/>
            <w:vMerge w:val="restart"/>
            <w:tcBorders>
              <w:bottom w:val="nil"/>
              <w:top w:val="single" w:color="000000" w:sz="2" w:space="0"/>
            </w:tcBorders>
          </w:tcPr>
          <w:p>
            <w:pPr>
              <w:pStyle w:val="TableText"/>
              <w:ind w:left="27"/>
              <w:spacing w:before="256" w:line="213" w:lineRule="auto"/>
              <w:rPr>
                <w:sz w:val="13"/>
                <w:szCs w:val="13"/>
              </w:rPr>
            </w:pPr>
            <w:r>
              <w:rPr>
                <w:sz w:val="13"/>
                <w:szCs w:val="13"/>
                <w:spacing w:val="-1"/>
              </w:rPr>
              <w:t>一般用3次，时间间隔7</w:t>
            </w:r>
          </w:p>
          <w:p>
            <w:pPr>
              <w:pStyle w:val="TableText"/>
              <w:spacing w:line="219" w:lineRule="auto"/>
              <w:jc w:val="right"/>
              <w:rPr>
                <w:sz w:val="13"/>
                <w:szCs w:val="13"/>
              </w:rPr>
            </w:pPr>
            <w:r>
              <w:rPr>
                <w:sz w:val="13"/>
                <w:szCs w:val="13"/>
                <w:spacing w:val="-5"/>
              </w:rPr>
              <w:t>到10天，视现场情况可</w:t>
            </w:r>
          </w:p>
          <w:p>
            <w:pPr>
              <w:pStyle w:val="TableText"/>
              <w:ind w:left="416"/>
              <w:spacing w:before="4" w:line="219" w:lineRule="auto"/>
              <w:rPr>
                <w:sz w:val="13"/>
                <w:szCs w:val="13"/>
              </w:rPr>
            </w:pPr>
            <w:r>
              <w:rPr>
                <w:sz w:val="13"/>
                <w:szCs w:val="13"/>
                <w:spacing w:val="-2"/>
              </w:rPr>
              <w:t>增加次数</w:t>
            </w:r>
          </w:p>
        </w:tc>
        <w:tc>
          <w:tcPr>
            <w:tcW w:w="919" w:type="dxa"/>
            <w:vAlign w:val="top"/>
            <w:tcBorders>
              <w:bottom w:val="single" w:color="000000" w:sz="2" w:space="0"/>
              <w:top w:val="single" w:color="000000" w:sz="2" w:space="0"/>
            </w:tcBorders>
          </w:tcPr>
          <w:p>
            <w:pPr>
              <w:pStyle w:val="TableText"/>
              <w:ind w:left="158"/>
              <w:spacing w:before="92" w:line="213" w:lineRule="auto"/>
              <w:rPr>
                <w:sz w:val="13"/>
                <w:szCs w:val="13"/>
              </w:rPr>
            </w:pPr>
            <w:r>
              <w:rPr>
                <w:sz w:val="13"/>
                <w:szCs w:val="13"/>
                <w:spacing w:val="4"/>
              </w:rPr>
              <w:t>(200g/瓶)</w:t>
            </w:r>
          </w:p>
        </w:tc>
        <w:tc>
          <w:tcPr>
            <w:tcW w:w="2834" w:type="dxa"/>
            <w:vAlign w:val="top"/>
            <w:tcBorders>
              <w:bottom w:val="single" w:color="000000" w:sz="2" w:space="0"/>
              <w:top w:val="single" w:color="000000" w:sz="2" w:space="0"/>
            </w:tcBorders>
          </w:tcPr>
          <w:p>
            <w:pPr>
              <w:pStyle w:val="TableText"/>
              <w:ind w:left="19"/>
              <w:spacing w:before="96" w:line="218" w:lineRule="auto"/>
              <w:rPr>
                <w:sz w:val="13"/>
                <w:szCs w:val="13"/>
              </w:rPr>
            </w:pPr>
            <w:r>
              <w:rPr>
                <w:sz w:val="13"/>
                <w:szCs w:val="13"/>
                <w:spacing w:val="-1"/>
              </w:rPr>
              <w:t>专杀介壳虫，食叶类害虫，地下害虫</w:t>
            </w:r>
          </w:p>
        </w:tc>
      </w:tr>
      <w:tr>
        <w:trPr>
          <w:trHeight w:val="305" w:hRule="atLeast"/>
        </w:trPr>
        <w:tc>
          <w:tcPr>
            <w:tcW w:w="585" w:type="dxa"/>
            <w:vAlign w:val="top"/>
            <w:vMerge w:val="continue"/>
            <w:tcBorders>
              <w:bottom w:val="nil"/>
              <w:top w:val="nil"/>
            </w:tcBorders>
          </w:tcPr>
          <w:p>
            <w:pPr>
              <w:rPr>
                <w:rFonts w:ascii="Arial"/>
                <w:sz w:val="21"/>
              </w:rPr>
            </w:pPr>
            <w:r/>
          </w:p>
        </w:tc>
        <w:tc>
          <w:tcPr>
            <w:tcW w:w="639"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194"/>
              <w:spacing w:before="96" w:line="220" w:lineRule="auto"/>
              <w:rPr>
                <w:sz w:val="13"/>
                <w:szCs w:val="13"/>
              </w:rPr>
            </w:pPr>
            <w:r>
              <w:rPr>
                <w:sz w:val="13"/>
                <w:szCs w:val="13"/>
                <w:spacing w:val="1"/>
              </w:rPr>
              <w:t>中咸捕捉手</w:t>
            </w:r>
          </w:p>
        </w:tc>
        <w:tc>
          <w:tcPr>
            <w:tcW w:w="1489" w:type="dxa"/>
            <w:vAlign w:val="top"/>
            <w:tcBorders>
              <w:bottom w:val="single" w:color="000000" w:sz="2" w:space="0"/>
              <w:top w:val="single" w:color="000000" w:sz="2" w:space="0"/>
            </w:tcBorders>
          </w:tcPr>
          <w:p>
            <w:pPr>
              <w:pStyle w:val="TableText"/>
              <w:ind w:left="245"/>
              <w:spacing w:before="96" w:line="218" w:lineRule="auto"/>
              <w:rPr>
                <w:sz w:val="13"/>
                <w:szCs w:val="13"/>
              </w:rPr>
            </w:pPr>
            <w:r>
              <w:rPr>
                <w:sz w:val="13"/>
                <w:szCs w:val="13"/>
                <w:spacing w:val="-7"/>
              </w:rPr>
              <w:t>高氧</w:t>
            </w:r>
            <w:r>
              <w:rPr>
                <w:sz w:val="13"/>
                <w:szCs w:val="13"/>
                <w:spacing w:val="-12"/>
              </w:rPr>
              <w:t xml:space="preserve"> </w:t>
            </w:r>
            <w:r>
              <w:rPr>
                <w:sz w:val="13"/>
                <w:szCs w:val="13"/>
                <w:spacing w:val="-7"/>
              </w:rPr>
              <w:t>·毒死衅15%</w:t>
            </w:r>
          </w:p>
        </w:tc>
        <w:tc>
          <w:tcPr>
            <w:tcW w:w="1229" w:type="dxa"/>
            <w:vAlign w:val="top"/>
            <w:tcBorders>
              <w:bottom w:val="single" w:color="000000" w:sz="2" w:space="0"/>
              <w:top w:val="single" w:color="000000" w:sz="2" w:space="0"/>
            </w:tcBorders>
          </w:tcPr>
          <w:p>
            <w:pPr>
              <w:pStyle w:val="TableText"/>
              <w:ind w:left="256"/>
              <w:spacing w:before="96" w:line="220" w:lineRule="auto"/>
              <w:rPr>
                <w:sz w:val="13"/>
                <w:szCs w:val="13"/>
              </w:rPr>
            </w:pPr>
            <w:r>
              <w:rPr>
                <w:sz w:val="13"/>
                <w:szCs w:val="13"/>
                <w:spacing w:val="-2"/>
              </w:rPr>
              <w:t>1000-1500倍液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28"/>
              <w:spacing w:before="97" w:line="221" w:lineRule="auto"/>
              <w:rPr>
                <w:sz w:val="13"/>
                <w:szCs w:val="13"/>
              </w:rPr>
            </w:pPr>
            <w:r>
              <w:rPr>
                <w:sz w:val="13"/>
                <w:szCs w:val="13"/>
                <w:spacing w:val="4"/>
              </w:rPr>
              <w:t>(200</w:t>
            </w:r>
            <w:r>
              <w:rPr>
                <w:sz w:val="13"/>
                <w:szCs w:val="13"/>
              </w:rPr>
              <w:t>ml</w:t>
            </w:r>
            <w:r>
              <w:rPr>
                <w:sz w:val="13"/>
                <w:szCs w:val="13"/>
                <w:spacing w:val="4"/>
              </w:rPr>
              <w:t>/瓶)</w:t>
            </w:r>
          </w:p>
        </w:tc>
        <w:tc>
          <w:tcPr>
            <w:tcW w:w="2834" w:type="dxa"/>
            <w:vAlign w:val="top"/>
            <w:tcBorders>
              <w:bottom w:val="single" w:color="000000" w:sz="2" w:space="0"/>
              <w:top w:val="single" w:color="000000" w:sz="2" w:space="0"/>
            </w:tcBorders>
          </w:tcPr>
          <w:p>
            <w:pPr>
              <w:pStyle w:val="TableText"/>
              <w:ind w:left="19"/>
              <w:spacing w:before="96" w:line="219" w:lineRule="auto"/>
              <w:rPr>
                <w:sz w:val="13"/>
                <w:szCs w:val="13"/>
              </w:rPr>
            </w:pPr>
            <w:r>
              <w:rPr>
                <w:sz w:val="13"/>
                <w:szCs w:val="13"/>
                <w:spacing w:val="-1"/>
              </w:rPr>
              <w:t>主要防治蛾壳虫、斑潜蝇及鳞翅目幼虫、飞虱等</w:t>
            </w:r>
          </w:p>
        </w:tc>
      </w:tr>
      <w:tr>
        <w:trPr>
          <w:trHeight w:val="310" w:hRule="atLeast"/>
        </w:trPr>
        <w:tc>
          <w:tcPr>
            <w:tcW w:w="585" w:type="dxa"/>
            <w:vAlign w:val="top"/>
            <w:vMerge w:val="continue"/>
            <w:tcBorders>
              <w:bottom w:val="single" w:color="000000" w:sz="2" w:space="0"/>
              <w:top w:val="nil"/>
            </w:tcBorders>
          </w:tcPr>
          <w:p>
            <w:pPr>
              <w:rPr>
                <w:rFonts w:ascii="Arial"/>
                <w:sz w:val="21"/>
              </w:rPr>
            </w:pPr>
            <w:r/>
          </w:p>
        </w:tc>
        <w:tc>
          <w:tcPr>
            <w:tcW w:w="639"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49" w:type="dxa"/>
            <w:vAlign w:val="top"/>
            <w:tcBorders>
              <w:bottom w:val="single" w:color="000000" w:sz="2" w:space="0"/>
              <w:top w:val="single" w:color="000000" w:sz="2" w:space="0"/>
            </w:tcBorders>
          </w:tcPr>
          <w:p>
            <w:pPr>
              <w:pStyle w:val="TableText"/>
              <w:ind w:left="124"/>
              <w:spacing w:before="95" w:line="218" w:lineRule="auto"/>
              <w:rPr>
                <w:sz w:val="13"/>
                <w:szCs w:val="13"/>
              </w:rPr>
            </w:pPr>
            <w:r>
              <w:rPr>
                <w:sz w:val="13"/>
                <w:szCs w:val="13"/>
                <w:spacing w:val="-1"/>
              </w:rPr>
              <w:t>诺善信速介清</w:t>
            </w:r>
          </w:p>
        </w:tc>
        <w:tc>
          <w:tcPr>
            <w:tcW w:w="1489" w:type="dxa"/>
            <w:vAlign w:val="top"/>
            <w:tcBorders>
              <w:bottom w:val="single" w:color="000000" w:sz="2" w:space="0"/>
              <w:top w:val="single" w:color="000000" w:sz="2" w:space="0"/>
            </w:tcBorders>
          </w:tcPr>
          <w:p>
            <w:pPr>
              <w:pStyle w:val="TableText"/>
              <w:ind w:left="445"/>
              <w:spacing w:before="96" w:line="219" w:lineRule="auto"/>
              <w:rPr>
                <w:sz w:val="13"/>
                <w:szCs w:val="13"/>
              </w:rPr>
            </w:pPr>
            <w:r>
              <w:rPr>
                <w:sz w:val="13"/>
                <w:szCs w:val="13"/>
                <w:spacing w:val="-2"/>
              </w:rPr>
              <w:t>杀扑磷40%</w:t>
            </w:r>
          </w:p>
        </w:tc>
        <w:tc>
          <w:tcPr>
            <w:tcW w:w="1229" w:type="dxa"/>
            <w:vAlign w:val="top"/>
            <w:tcBorders>
              <w:bottom w:val="single" w:color="000000" w:sz="2" w:space="0"/>
              <w:top w:val="single" w:color="000000" w:sz="2" w:space="0"/>
            </w:tcBorders>
          </w:tcPr>
          <w:p>
            <w:pPr>
              <w:pStyle w:val="TableText"/>
              <w:ind w:left="246"/>
              <w:spacing w:before="96" w:line="220" w:lineRule="auto"/>
              <w:rPr>
                <w:sz w:val="13"/>
                <w:szCs w:val="13"/>
              </w:rPr>
            </w:pPr>
            <w:r>
              <w:rPr>
                <w:sz w:val="13"/>
                <w:szCs w:val="13"/>
                <w:spacing w:val="-5"/>
              </w:rPr>
              <w:t>1000—1500倍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8"/>
              <w:spacing w:before="96" w:line="221" w:lineRule="auto"/>
              <w:rPr>
                <w:sz w:val="13"/>
                <w:szCs w:val="13"/>
              </w:rPr>
            </w:pPr>
            <w:r>
              <w:rPr>
                <w:sz w:val="13"/>
                <w:szCs w:val="13"/>
                <w:spacing w:val="1"/>
              </w:rPr>
              <w:t>1000</w:t>
            </w:r>
            <w:r>
              <w:rPr>
                <w:sz w:val="13"/>
                <w:szCs w:val="13"/>
              </w:rPr>
              <w:t>ml</w:t>
            </w:r>
            <w:r>
              <w:rPr>
                <w:sz w:val="13"/>
                <w:szCs w:val="13"/>
                <w:spacing w:val="1"/>
              </w:rPr>
              <w:t>/瓶</w:t>
            </w:r>
          </w:p>
        </w:tc>
        <w:tc>
          <w:tcPr>
            <w:tcW w:w="2834" w:type="dxa"/>
            <w:vAlign w:val="top"/>
            <w:tcBorders>
              <w:bottom w:val="single" w:color="000000" w:sz="2" w:space="0"/>
              <w:top w:val="single" w:color="000000" w:sz="2" w:space="0"/>
            </w:tcBorders>
          </w:tcPr>
          <w:p>
            <w:pPr>
              <w:pStyle w:val="TableText"/>
              <w:ind w:left="19"/>
              <w:spacing w:before="95" w:line="218" w:lineRule="auto"/>
              <w:rPr>
                <w:sz w:val="13"/>
                <w:szCs w:val="13"/>
              </w:rPr>
            </w:pPr>
            <w:r>
              <w:rPr>
                <w:sz w:val="13"/>
                <w:szCs w:val="13"/>
                <w:spacing w:val="-1"/>
              </w:rPr>
              <w:t>杀灭介壳虫，活性高</w:t>
            </w:r>
          </w:p>
        </w:tc>
      </w:tr>
    </w:tbl>
    <w:p>
      <w:pPr>
        <w:spacing w:line="14" w:lineRule="auto"/>
        <w:rPr>
          <w:rFonts w:ascii="Arial"/>
          <w:sz w:val="2"/>
        </w:rPr>
      </w:pPr>
      <w:r/>
    </w:p>
    <w:p>
      <w:pPr>
        <w:spacing w:line="14" w:lineRule="auto"/>
        <w:sectPr>
          <w:pgSz w:w="14490" w:h="10240"/>
          <w:pgMar w:top="125" w:right="284" w:bottom="244" w:left="234" w:header="0" w:footer="0" w:gutter="0"/>
        </w:sectPr>
        <w:rPr>
          <w:rFonts w:ascii="Arial" w:hAnsi="Arial" w:eastAsia="Arial" w:cs="Arial"/>
          <w:sz w:val="2"/>
          <w:szCs w:val="2"/>
        </w:rPr>
      </w:pPr>
    </w:p>
    <w:tbl>
      <w:tblPr>
        <w:tblStyle w:val="TableNormal"/>
        <w:tblW w:w="139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85"/>
        <w:gridCol w:w="640"/>
        <w:gridCol w:w="949"/>
        <w:gridCol w:w="2888"/>
        <w:gridCol w:w="1059"/>
        <w:gridCol w:w="1489"/>
        <w:gridCol w:w="1229"/>
        <w:gridCol w:w="1369"/>
        <w:gridCol w:w="919"/>
        <w:gridCol w:w="2833"/>
      </w:tblGrid>
      <w:tr>
        <w:trPr>
          <w:trHeight w:val="529" w:hRule="atLeast"/>
        </w:trPr>
        <w:tc>
          <w:tcPr>
            <w:tcW w:w="585" w:type="dxa"/>
            <w:vAlign w:val="top"/>
            <w:tcBorders>
              <w:bottom w:val="single" w:color="000000" w:sz="2" w:space="0"/>
              <w:top w:val="single" w:color="000000" w:sz="2" w:space="0"/>
            </w:tcBorders>
          </w:tcPr>
          <w:p>
            <w:pPr>
              <w:pStyle w:val="TableText"/>
              <w:ind w:left="156"/>
              <w:spacing w:before="203" w:line="219" w:lineRule="auto"/>
              <w:rPr>
                <w:sz w:val="13"/>
                <w:szCs w:val="13"/>
              </w:rPr>
            </w:pPr>
            <w:r>
              <w:rPr>
                <w:sz w:val="13"/>
                <w:szCs w:val="13"/>
                <w:b/>
                <w:bCs/>
                <w:spacing w:val="-4"/>
              </w:rPr>
              <w:t>分类</w:t>
            </w:r>
          </w:p>
        </w:tc>
        <w:tc>
          <w:tcPr>
            <w:tcW w:w="640" w:type="dxa"/>
            <w:vAlign w:val="top"/>
            <w:tcBorders>
              <w:bottom w:val="single" w:color="000000" w:sz="2" w:space="0"/>
              <w:top w:val="single" w:color="000000" w:sz="2" w:space="0"/>
            </w:tcBorders>
          </w:tcPr>
          <w:p>
            <w:pPr>
              <w:pStyle w:val="TableText"/>
              <w:ind w:left="51"/>
              <w:spacing w:before="33" w:line="214" w:lineRule="auto"/>
              <w:rPr>
                <w:sz w:val="13"/>
                <w:szCs w:val="13"/>
              </w:rPr>
            </w:pPr>
            <w:r>
              <w:rPr>
                <w:sz w:val="13"/>
                <w:szCs w:val="13"/>
                <w:b/>
                <w:bCs/>
                <w:spacing w:val="-3"/>
              </w:rPr>
              <w:t>消杀预防</w:t>
            </w:r>
          </w:p>
          <w:p>
            <w:pPr>
              <w:pStyle w:val="TableText"/>
              <w:ind w:left="41"/>
              <w:spacing w:line="219" w:lineRule="auto"/>
              <w:rPr>
                <w:sz w:val="13"/>
                <w:szCs w:val="13"/>
              </w:rPr>
            </w:pPr>
            <w:r>
              <w:rPr>
                <w:sz w:val="13"/>
                <w:szCs w:val="13"/>
                <w:b/>
                <w:bCs/>
                <w:spacing w:val="-3"/>
              </w:rPr>
              <w:t>及病虫害</w:t>
            </w:r>
          </w:p>
          <w:p>
            <w:pPr>
              <w:pStyle w:val="TableText"/>
              <w:ind w:left="181"/>
              <w:spacing w:before="14" w:line="219" w:lineRule="auto"/>
              <w:rPr>
                <w:sz w:val="13"/>
                <w:szCs w:val="13"/>
              </w:rPr>
            </w:pPr>
            <w:r>
              <w:rPr>
                <w:sz w:val="13"/>
                <w:szCs w:val="13"/>
                <w:b/>
                <w:bCs/>
                <w:spacing w:val="-4"/>
              </w:rPr>
              <w:t>分类</w:t>
            </w:r>
          </w:p>
        </w:tc>
        <w:tc>
          <w:tcPr>
            <w:tcW w:w="949" w:type="dxa"/>
            <w:vAlign w:val="top"/>
            <w:tcBorders>
              <w:bottom w:val="single" w:color="000000" w:sz="2" w:space="0"/>
              <w:top w:val="single" w:color="000000" w:sz="2" w:space="0"/>
            </w:tcBorders>
          </w:tcPr>
          <w:p>
            <w:pPr>
              <w:pStyle w:val="TableText"/>
              <w:ind w:left="141"/>
              <w:spacing w:before="203" w:line="219" w:lineRule="auto"/>
              <w:rPr>
                <w:sz w:val="13"/>
                <w:szCs w:val="13"/>
              </w:rPr>
            </w:pPr>
            <w:r>
              <w:rPr>
                <w:sz w:val="13"/>
                <w:szCs w:val="13"/>
                <w:b/>
                <w:bCs/>
                <w:spacing w:val="-3"/>
              </w:rPr>
              <w:t>常见病虫害</w:t>
            </w:r>
          </w:p>
        </w:tc>
        <w:tc>
          <w:tcPr>
            <w:tcW w:w="2888" w:type="dxa"/>
            <w:vAlign w:val="top"/>
            <w:tcBorders>
              <w:bottom w:val="single" w:color="000000" w:sz="2" w:space="0"/>
              <w:top w:val="single" w:color="000000" w:sz="2" w:space="0"/>
            </w:tcBorders>
          </w:tcPr>
          <w:p>
            <w:pPr>
              <w:pStyle w:val="TableText"/>
              <w:ind w:left="12"/>
              <w:spacing w:before="203" w:line="219" w:lineRule="auto"/>
              <w:rPr>
                <w:sz w:val="13"/>
                <w:szCs w:val="13"/>
              </w:rPr>
            </w:pPr>
            <w:r>
              <w:rPr>
                <w:sz w:val="13"/>
                <w:szCs w:val="13"/>
                <w:b/>
                <w:bCs/>
                <w:spacing w:val="-3"/>
              </w:rPr>
              <w:t>主要发病月份</w:t>
            </w:r>
          </w:p>
        </w:tc>
        <w:tc>
          <w:tcPr>
            <w:tcW w:w="1059" w:type="dxa"/>
            <w:vAlign w:val="top"/>
            <w:tcBorders>
              <w:bottom w:val="single" w:color="000000" w:sz="2" w:space="0"/>
              <w:top w:val="single" w:color="000000" w:sz="2" w:space="0"/>
            </w:tcBorders>
          </w:tcPr>
          <w:p>
            <w:pPr>
              <w:pStyle w:val="TableText"/>
              <w:ind w:left="264"/>
              <w:spacing w:before="203" w:line="220" w:lineRule="auto"/>
              <w:rPr>
                <w:sz w:val="13"/>
                <w:szCs w:val="13"/>
              </w:rPr>
            </w:pPr>
            <w:r>
              <w:rPr>
                <w:sz w:val="13"/>
                <w:szCs w:val="13"/>
                <w:b/>
                <w:bCs/>
                <w:spacing w:val="-3"/>
              </w:rPr>
              <w:t>药品名称</w:t>
            </w:r>
          </w:p>
        </w:tc>
        <w:tc>
          <w:tcPr>
            <w:tcW w:w="1489" w:type="dxa"/>
            <w:vAlign w:val="top"/>
            <w:tcBorders>
              <w:bottom w:val="single" w:color="000000" w:sz="2" w:space="0"/>
              <w:top w:val="single" w:color="000000" w:sz="2" w:space="0"/>
            </w:tcBorders>
          </w:tcPr>
          <w:p>
            <w:pPr>
              <w:pStyle w:val="TableText"/>
              <w:ind w:left="475"/>
              <w:spacing w:before="203" w:line="220" w:lineRule="auto"/>
              <w:rPr>
                <w:sz w:val="13"/>
                <w:szCs w:val="13"/>
              </w:rPr>
            </w:pPr>
            <w:r>
              <w:rPr>
                <w:sz w:val="13"/>
                <w:szCs w:val="13"/>
                <w:b/>
                <w:bCs/>
                <w:spacing w:val="-3"/>
              </w:rPr>
              <w:t>主要成分</w:t>
            </w:r>
          </w:p>
        </w:tc>
        <w:tc>
          <w:tcPr>
            <w:tcW w:w="1229" w:type="dxa"/>
            <w:vAlign w:val="top"/>
            <w:tcBorders>
              <w:bottom w:val="single" w:color="000000" w:sz="2" w:space="0"/>
              <w:top w:val="single" w:color="000000" w:sz="2" w:space="0"/>
            </w:tcBorders>
          </w:tcPr>
          <w:p>
            <w:pPr>
              <w:pStyle w:val="TableText"/>
              <w:ind w:left="346"/>
              <w:spacing w:before="203" w:line="219" w:lineRule="auto"/>
              <w:rPr>
                <w:sz w:val="13"/>
                <w:szCs w:val="13"/>
              </w:rPr>
            </w:pPr>
            <w:r>
              <w:rPr>
                <w:sz w:val="13"/>
                <w:szCs w:val="13"/>
                <w:b/>
                <w:bCs/>
                <w:spacing w:val="-3"/>
              </w:rPr>
              <w:t>使用倍率</w:t>
            </w:r>
          </w:p>
        </w:tc>
        <w:tc>
          <w:tcPr>
            <w:tcW w:w="1369" w:type="dxa"/>
            <w:vAlign w:val="top"/>
            <w:tcBorders>
              <w:bottom w:val="single" w:color="000000" w:sz="2" w:space="0"/>
              <w:top w:val="single" w:color="000000" w:sz="2" w:space="0"/>
            </w:tcBorders>
          </w:tcPr>
          <w:p>
            <w:pPr>
              <w:pStyle w:val="TableText"/>
              <w:ind w:left="417"/>
              <w:spacing w:before="203" w:line="219" w:lineRule="auto"/>
              <w:rPr>
                <w:sz w:val="13"/>
                <w:szCs w:val="13"/>
              </w:rPr>
            </w:pPr>
            <w:r>
              <w:rPr>
                <w:sz w:val="13"/>
                <w:szCs w:val="13"/>
                <w:b/>
                <w:bCs/>
                <w:spacing w:val="-3"/>
              </w:rPr>
              <w:t>施用次数</w:t>
            </w:r>
          </w:p>
        </w:tc>
        <w:tc>
          <w:tcPr>
            <w:tcW w:w="919" w:type="dxa"/>
            <w:vAlign w:val="top"/>
            <w:tcBorders>
              <w:bottom w:val="single" w:color="000000" w:sz="2" w:space="0"/>
              <w:top w:val="single" w:color="000000" w:sz="2" w:space="0"/>
            </w:tcBorders>
          </w:tcPr>
          <w:p>
            <w:pPr>
              <w:pStyle w:val="TableText"/>
              <w:ind w:left="328"/>
              <w:spacing w:before="203" w:line="219" w:lineRule="auto"/>
              <w:rPr>
                <w:sz w:val="13"/>
                <w:szCs w:val="13"/>
              </w:rPr>
            </w:pPr>
            <w:r>
              <w:rPr>
                <w:sz w:val="13"/>
                <w:szCs w:val="13"/>
                <w:b/>
                <w:bCs/>
                <w:spacing w:val="-3"/>
              </w:rPr>
              <w:t>规格</w:t>
            </w:r>
          </w:p>
        </w:tc>
        <w:tc>
          <w:tcPr>
            <w:tcW w:w="2833" w:type="dxa"/>
            <w:vAlign w:val="top"/>
            <w:tcBorders>
              <w:bottom w:val="single" w:color="000000" w:sz="2" w:space="0"/>
              <w:top w:val="single" w:color="000000" w:sz="2" w:space="0"/>
            </w:tcBorders>
          </w:tcPr>
          <w:p>
            <w:pPr>
              <w:pStyle w:val="TableText"/>
              <w:ind w:left="1299"/>
              <w:spacing w:before="203" w:line="221" w:lineRule="auto"/>
              <w:rPr>
                <w:sz w:val="13"/>
                <w:szCs w:val="13"/>
              </w:rPr>
            </w:pPr>
            <w:r>
              <w:rPr>
                <w:sz w:val="13"/>
                <w:szCs w:val="13"/>
                <w:b/>
                <w:bCs/>
                <w:spacing w:val="-4"/>
              </w:rPr>
              <w:t>备注</w:t>
            </w:r>
          </w:p>
        </w:tc>
      </w:tr>
      <w:tr>
        <w:trPr>
          <w:trHeight w:val="364" w:hRule="atLeast"/>
        </w:trPr>
        <w:tc>
          <w:tcPr>
            <w:tcW w:w="585" w:type="dxa"/>
            <w:vAlign w:val="top"/>
            <w:vMerge w:val="restart"/>
            <w:tcBorders>
              <w:bottom w:val="nil"/>
              <w:top w:val="single" w:color="000000" w:sz="2" w:space="0"/>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84"/>
              <w:spacing w:before="43" w:line="218" w:lineRule="auto"/>
              <w:rPr>
                <w:sz w:val="13"/>
                <w:szCs w:val="13"/>
              </w:rPr>
            </w:pPr>
            <w:r>
              <w:rPr>
                <w:sz w:val="13"/>
                <w:szCs w:val="13"/>
                <w:spacing w:val="-2"/>
              </w:rPr>
              <w:t>杀虫剂</w:t>
            </w:r>
          </w:p>
        </w:tc>
        <w:tc>
          <w:tcPr>
            <w:tcW w:w="640" w:type="dxa"/>
            <w:vAlign w:val="top"/>
            <w:vMerge w:val="restart"/>
            <w:tcBorders>
              <w:bottom w:val="nil"/>
              <w:top w:val="single" w:color="000000" w:sz="2" w:space="0"/>
            </w:tcBorders>
          </w:tcPr>
          <w:p>
            <w:pPr>
              <w:spacing w:line="425" w:lineRule="auto"/>
              <w:rPr>
                <w:rFonts w:ascii="Arial"/>
                <w:sz w:val="21"/>
              </w:rPr>
            </w:pPr>
            <w:r/>
          </w:p>
          <w:p>
            <w:pPr>
              <w:pStyle w:val="TableText"/>
              <w:ind w:left="50"/>
              <w:spacing w:before="42" w:line="219" w:lineRule="auto"/>
              <w:rPr>
                <w:sz w:val="13"/>
                <w:szCs w:val="13"/>
              </w:rPr>
            </w:pPr>
            <w:r>
              <w:rPr>
                <w:sz w:val="13"/>
                <w:szCs w:val="13"/>
                <w:spacing w:val="-1"/>
              </w:rPr>
              <w:t>刺吸害虫</w:t>
            </w:r>
          </w:p>
        </w:tc>
        <w:tc>
          <w:tcPr>
            <w:tcW w:w="949" w:type="dxa"/>
            <w:vAlign w:val="top"/>
            <w:vMerge w:val="restart"/>
            <w:tcBorders>
              <w:bottom w:val="nil"/>
              <w:top w:val="single" w:color="000000" w:sz="2" w:space="0"/>
            </w:tcBorders>
          </w:tcPr>
          <w:p>
            <w:pPr>
              <w:spacing w:line="356" w:lineRule="auto"/>
              <w:rPr>
                <w:rFonts w:ascii="Arial"/>
                <w:sz w:val="21"/>
              </w:rPr>
            </w:pPr>
            <w:r/>
          </w:p>
          <w:p>
            <w:pPr>
              <w:pStyle w:val="TableText"/>
              <w:ind w:left="210" w:hanging="200"/>
              <w:spacing w:before="42" w:line="215" w:lineRule="auto"/>
              <w:rPr>
                <w:sz w:val="13"/>
                <w:szCs w:val="13"/>
              </w:rPr>
            </w:pPr>
            <w:r>
              <w:rPr>
                <w:sz w:val="13"/>
                <w:szCs w:val="13"/>
                <w:spacing w:val="2"/>
              </w:rPr>
              <w:t>蚜虫、红蜘蛛、</w:t>
            </w:r>
            <w:r>
              <w:rPr>
                <w:sz w:val="13"/>
                <w:szCs w:val="13"/>
                <w:spacing w:val="3"/>
              </w:rPr>
              <w:t xml:space="preserve"> </w:t>
            </w:r>
            <w:r>
              <w:rPr>
                <w:sz w:val="13"/>
                <w:szCs w:val="13"/>
                <w:spacing w:val="-6"/>
              </w:rPr>
              <w:t>大青叶蝉</w:t>
            </w:r>
          </w:p>
        </w:tc>
        <w:tc>
          <w:tcPr>
            <w:tcW w:w="2888" w:type="dxa"/>
            <w:vAlign w:val="top"/>
            <w:vMerge w:val="restart"/>
            <w:tcBorders>
              <w:bottom w:val="nil"/>
              <w:top w:val="single" w:color="000000" w:sz="2" w:space="0"/>
            </w:tcBorders>
          </w:tcPr>
          <w:p>
            <w:pPr>
              <w:spacing w:line="341" w:lineRule="auto"/>
              <w:rPr>
                <w:rFonts w:ascii="Arial"/>
                <w:sz w:val="21"/>
              </w:rPr>
            </w:pPr>
            <w:r/>
          </w:p>
          <w:p>
            <w:pPr>
              <w:spacing w:line="342" w:lineRule="auto"/>
              <w:rPr>
                <w:rFonts w:ascii="Arial"/>
                <w:sz w:val="21"/>
              </w:rPr>
            </w:pPr>
            <w:r/>
          </w:p>
          <w:p>
            <w:pPr>
              <w:pStyle w:val="TableText"/>
              <w:ind w:left="11" w:right="6"/>
              <w:spacing w:before="42" w:line="209" w:lineRule="auto"/>
              <w:rPr>
                <w:sz w:val="13"/>
                <w:szCs w:val="13"/>
              </w:rPr>
            </w:pPr>
            <w:r>
              <w:rPr>
                <w:sz w:val="13"/>
                <w:szCs w:val="13"/>
                <w:spacing w:val="-8"/>
              </w:rPr>
              <w:t>一、5月、10月预防消杀为主，在进入雨季、高发季前</w:t>
            </w:r>
            <w:r>
              <w:rPr>
                <w:sz w:val="13"/>
                <w:szCs w:val="13"/>
                <w:spacing w:val="4"/>
              </w:rPr>
              <w:t xml:space="preserve"> </w:t>
            </w:r>
            <w:r>
              <w:rPr>
                <w:sz w:val="13"/>
                <w:szCs w:val="13"/>
                <w:spacing w:val="-2"/>
              </w:rPr>
              <w:t>全园区消杀虫卵、幼虫、蛹。</w:t>
            </w:r>
          </w:p>
          <w:p>
            <w:pPr>
              <w:pStyle w:val="TableText"/>
              <w:ind w:left="11"/>
              <w:spacing w:before="5" w:line="216" w:lineRule="auto"/>
              <w:rPr>
                <w:sz w:val="13"/>
                <w:szCs w:val="13"/>
              </w:rPr>
            </w:pPr>
            <w:r>
              <w:rPr>
                <w:sz w:val="13"/>
                <w:szCs w:val="13"/>
                <w:spacing w:val="-8"/>
              </w:rPr>
              <w:t>二、6月-9月是大部分害虫成蛹或羽化期。采取人工加</w:t>
            </w:r>
            <w:r>
              <w:rPr>
                <w:sz w:val="13"/>
                <w:szCs w:val="13"/>
                <w:spacing w:val="10"/>
              </w:rPr>
              <w:t xml:space="preserve"> </w:t>
            </w:r>
            <w:r>
              <w:rPr>
                <w:sz w:val="13"/>
                <w:szCs w:val="13"/>
                <w:spacing w:val="-1"/>
              </w:rPr>
              <w:t>药物双重治疗除卵，除蛹，除成虫。</w:t>
            </w:r>
          </w:p>
        </w:tc>
        <w:tc>
          <w:tcPr>
            <w:tcW w:w="1059" w:type="dxa"/>
            <w:vAlign w:val="top"/>
            <w:tcBorders>
              <w:bottom w:val="single" w:color="000000" w:sz="2" w:space="0"/>
              <w:top w:val="single" w:color="000000" w:sz="2" w:space="0"/>
            </w:tcBorders>
          </w:tcPr>
          <w:p>
            <w:pPr>
              <w:pStyle w:val="TableText"/>
              <w:ind w:left="263"/>
              <w:spacing w:before="120" w:line="219" w:lineRule="auto"/>
              <w:rPr>
                <w:sz w:val="13"/>
                <w:szCs w:val="13"/>
              </w:rPr>
            </w:pPr>
            <w:r>
              <w:rPr>
                <w:sz w:val="13"/>
                <w:szCs w:val="13"/>
                <w:spacing w:val="1"/>
              </w:rPr>
              <w:t>国光毙克</w:t>
            </w:r>
          </w:p>
        </w:tc>
        <w:tc>
          <w:tcPr>
            <w:tcW w:w="1489" w:type="dxa"/>
            <w:vAlign w:val="top"/>
            <w:tcBorders>
              <w:bottom w:val="single" w:color="000000" w:sz="2" w:space="0"/>
              <w:top w:val="single" w:color="000000" w:sz="2" w:space="0"/>
            </w:tcBorders>
          </w:tcPr>
          <w:p>
            <w:pPr>
              <w:pStyle w:val="TableText"/>
              <w:ind w:left="444"/>
              <w:spacing w:before="120" w:line="220" w:lineRule="auto"/>
              <w:rPr>
                <w:sz w:val="13"/>
                <w:szCs w:val="13"/>
              </w:rPr>
            </w:pPr>
            <w:r>
              <w:rPr>
                <w:sz w:val="13"/>
                <w:szCs w:val="13"/>
                <w:spacing w:val="-2"/>
              </w:rPr>
              <w:t>10%吡虫啉</w:t>
            </w:r>
          </w:p>
        </w:tc>
        <w:tc>
          <w:tcPr>
            <w:tcW w:w="1229" w:type="dxa"/>
            <w:vAlign w:val="top"/>
            <w:tcBorders>
              <w:bottom w:val="single" w:color="000000" w:sz="2" w:space="0"/>
              <w:top w:val="single" w:color="000000" w:sz="2" w:space="0"/>
            </w:tcBorders>
          </w:tcPr>
          <w:p>
            <w:pPr>
              <w:pStyle w:val="TableText"/>
              <w:spacing w:before="120" w:line="219" w:lineRule="auto"/>
              <w:jc w:val="right"/>
              <w:rPr>
                <w:sz w:val="13"/>
                <w:szCs w:val="13"/>
              </w:rPr>
            </w:pPr>
            <w:r>
              <w:rPr>
                <w:sz w:val="13"/>
                <w:szCs w:val="13"/>
                <w:spacing w:val="-1"/>
              </w:rPr>
              <w:t>稀释1000-1500倍液</w:t>
            </w:r>
          </w:p>
        </w:tc>
        <w:tc>
          <w:tcPr>
            <w:tcW w:w="1369" w:type="dxa"/>
            <w:vAlign w:val="top"/>
            <w:vMerge w:val="restart"/>
            <w:tcBorders>
              <w:bottom w:val="nil"/>
              <w:top w:val="single" w:color="000000" w:sz="2" w:space="0"/>
            </w:tcBorders>
          </w:tcPr>
          <w:p>
            <w:pPr>
              <w:spacing w:line="296" w:lineRule="auto"/>
              <w:rPr>
                <w:rFonts w:ascii="Arial"/>
                <w:sz w:val="21"/>
              </w:rPr>
            </w:pPr>
            <w:r/>
          </w:p>
          <w:p>
            <w:pPr>
              <w:pStyle w:val="TableText"/>
              <w:ind w:left="26"/>
              <w:spacing w:before="42" w:line="199" w:lineRule="auto"/>
              <w:rPr>
                <w:sz w:val="13"/>
                <w:szCs w:val="13"/>
              </w:rPr>
            </w:pPr>
            <w:r>
              <w:rPr>
                <w:sz w:val="13"/>
                <w:szCs w:val="13"/>
                <w:spacing w:val="-1"/>
              </w:rPr>
              <w:t>一般用3次，时间间隔7</w:t>
            </w:r>
          </w:p>
          <w:p>
            <w:pPr>
              <w:pStyle w:val="TableText"/>
              <w:ind w:left="26"/>
              <w:spacing w:line="212" w:lineRule="auto"/>
              <w:rPr>
                <w:sz w:val="13"/>
                <w:szCs w:val="13"/>
              </w:rPr>
            </w:pPr>
            <w:r>
              <w:rPr>
                <w:sz w:val="13"/>
                <w:szCs w:val="13"/>
                <w:spacing w:val="-1"/>
              </w:rPr>
              <w:t>到10天，视现场情况可</w:t>
            </w:r>
          </w:p>
          <w:p>
            <w:pPr>
              <w:pStyle w:val="TableText"/>
              <w:ind w:left="435"/>
              <w:spacing w:line="219" w:lineRule="auto"/>
              <w:rPr>
                <w:sz w:val="13"/>
                <w:szCs w:val="13"/>
              </w:rPr>
            </w:pPr>
            <w:r>
              <w:rPr>
                <w:sz w:val="13"/>
                <w:szCs w:val="13"/>
                <w:spacing w:val="-2"/>
              </w:rPr>
              <w:t>增加次数</w:t>
            </w:r>
          </w:p>
        </w:tc>
        <w:tc>
          <w:tcPr>
            <w:tcW w:w="919" w:type="dxa"/>
            <w:vAlign w:val="top"/>
            <w:tcBorders>
              <w:bottom w:val="single" w:color="000000" w:sz="2" w:space="0"/>
              <w:top w:val="single" w:color="000000" w:sz="2" w:space="0"/>
            </w:tcBorders>
          </w:tcPr>
          <w:p>
            <w:pPr>
              <w:pStyle w:val="TableText"/>
              <w:ind w:left="197"/>
              <w:spacing w:before="116" w:line="213" w:lineRule="auto"/>
              <w:rPr>
                <w:sz w:val="13"/>
                <w:szCs w:val="13"/>
              </w:rPr>
            </w:pPr>
            <w:r>
              <w:rPr>
                <w:sz w:val="13"/>
                <w:szCs w:val="13"/>
                <w:spacing w:val="4"/>
              </w:rPr>
              <w:t>(10g/袋)</w:t>
            </w:r>
          </w:p>
        </w:tc>
        <w:tc>
          <w:tcPr>
            <w:tcW w:w="2833" w:type="dxa"/>
            <w:vAlign w:val="top"/>
            <w:tcBorders>
              <w:bottom w:val="single" w:color="000000" w:sz="2" w:space="0"/>
              <w:top w:val="single" w:color="000000" w:sz="2" w:space="0"/>
            </w:tcBorders>
          </w:tcPr>
          <w:p>
            <w:pPr>
              <w:pStyle w:val="TableText"/>
              <w:ind w:left="18"/>
              <w:spacing w:before="120" w:line="219" w:lineRule="auto"/>
              <w:rPr>
                <w:sz w:val="13"/>
                <w:szCs w:val="13"/>
              </w:rPr>
            </w:pPr>
            <w:r>
              <w:rPr>
                <w:sz w:val="13"/>
                <w:szCs w:val="13"/>
                <w:spacing w:val="-1"/>
              </w:rPr>
              <w:t>杀蚜虫、飞虱等害虫</w:t>
            </w:r>
          </w:p>
        </w:tc>
      </w:tr>
      <w:tr>
        <w:trPr>
          <w:trHeight w:val="355"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93"/>
              <w:spacing w:before="41" w:line="212" w:lineRule="auto"/>
              <w:rPr>
                <w:sz w:val="13"/>
                <w:szCs w:val="13"/>
              </w:rPr>
            </w:pPr>
            <w:r>
              <w:rPr>
                <w:sz w:val="13"/>
                <w:szCs w:val="13"/>
                <w:spacing w:val="1"/>
              </w:rPr>
              <w:t>中威壮美(杀螨</w:t>
            </w:r>
          </w:p>
          <w:p>
            <w:pPr>
              <w:pStyle w:val="TableText"/>
              <w:ind w:left="382"/>
              <w:spacing w:line="218" w:lineRule="auto"/>
              <w:rPr>
                <w:sz w:val="13"/>
                <w:szCs w:val="13"/>
              </w:rPr>
            </w:pPr>
            <w:r>
              <w:rPr>
                <w:sz w:val="13"/>
                <w:szCs w:val="13"/>
                <w:spacing w:val="11"/>
              </w:rPr>
              <w:t>剂)</w:t>
            </w:r>
          </w:p>
        </w:tc>
        <w:tc>
          <w:tcPr>
            <w:tcW w:w="1489" w:type="dxa"/>
            <w:vAlign w:val="top"/>
            <w:tcBorders>
              <w:bottom w:val="single" w:color="000000" w:sz="2" w:space="0"/>
              <w:top w:val="single" w:color="000000" w:sz="2" w:space="0"/>
            </w:tcBorders>
          </w:tcPr>
          <w:p>
            <w:pPr>
              <w:pStyle w:val="TableText"/>
              <w:ind w:left="184"/>
              <w:spacing w:before="111" w:line="219" w:lineRule="auto"/>
              <w:rPr>
                <w:sz w:val="13"/>
                <w:szCs w:val="13"/>
              </w:rPr>
            </w:pPr>
            <w:r>
              <w:rPr>
                <w:sz w:val="13"/>
                <w:szCs w:val="13"/>
                <w:spacing w:val="-6"/>
              </w:rPr>
              <w:t>阿维</w:t>
            </w:r>
            <w:r>
              <w:rPr>
                <w:sz w:val="13"/>
                <w:szCs w:val="13"/>
                <w:spacing w:val="-9"/>
              </w:rPr>
              <w:t xml:space="preserve"> </w:t>
            </w:r>
            <w:r>
              <w:rPr>
                <w:sz w:val="13"/>
                <w:szCs w:val="13"/>
                <w:spacing w:val="-6"/>
              </w:rPr>
              <w:t>·哒蜻灵3.20%</w:t>
            </w:r>
          </w:p>
        </w:tc>
        <w:tc>
          <w:tcPr>
            <w:tcW w:w="1229" w:type="dxa"/>
            <w:vAlign w:val="top"/>
            <w:tcBorders>
              <w:bottom w:val="single" w:color="000000" w:sz="2" w:space="0"/>
              <w:top w:val="single" w:color="000000" w:sz="2" w:space="0"/>
            </w:tcBorders>
          </w:tcPr>
          <w:p>
            <w:pPr>
              <w:pStyle w:val="TableText"/>
              <w:ind w:left="345"/>
              <w:spacing w:before="111" w:line="220" w:lineRule="auto"/>
              <w:rPr>
                <w:sz w:val="13"/>
                <w:szCs w:val="13"/>
              </w:rPr>
            </w:pPr>
            <w:r>
              <w:rPr>
                <w:sz w:val="13"/>
                <w:szCs w:val="13"/>
              </w:rPr>
              <w:t>1500倍液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27"/>
              <w:spacing w:before="111" w:line="221" w:lineRule="auto"/>
              <w:rPr>
                <w:sz w:val="13"/>
                <w:szCs w:val="13"/>
              </w:rPr>
            </w:pPr>
            <w:r>
              <w:rPr>
                <w:sz w:val="13"/>
                <w:szCs w:val="13"/>
                <w:spacing w:val="4"/>
              </w:rPr>
              <w:t>(200</w:t>
            </w:r>
            <w:r>
              <w:rPr>
                <w:sz w:val="13"/>
                <w:szCs w:val="13"/>
              </w:rPr>
              <w:t>ml</w:t>
            </w:r>
            <w:r>
              <w:rPr>
                <w:sz w:val="13"/>
                <w:szCs w:val="13"/>
                <w:spacing w:val="4"/>
              </w:rPr>
              <w:t>/瓶)</w:t>
            </w:r>
          </w:p>
        </w:tc>
        <w:tc>
          <w:tcPr>
            <w:tcW w:w="2833" w:type="dxa"/>
            <w:vAlign w:val="top"/>
            <w:tcBorders>
              <w:bottom w:val="single" w:color="000000" w:sz="2" w:space="0"/>
              <w:top w:val="single" w:color="000000" w:sz="2" w:space="0"/>
            </w:tcBorders>
          </w:tcPr>
          <w:p>
            <w:pPr>
              <w:pStyle w:val="TableText"/>
              <w:spacing w:before="51" w:line="219" w:lineRule="auto"/>
              <w:jc w:val="right"/>
              <w:rPr>
                <w:sz w:val="13"/>
                <w:szCs w:val="13"/>
              </w:rPr>
            </w:pPr>
            <w:r>
              <w:rPr>
                <w:sz w:val="13"/>
                <w:szCs w:val="13"/>
                <w:spacing w:val="-8"/>
              </w:rPr>
              <w:t>对红蜿蛛、白蜘蛛及抗性蜻类害虫有极强的杀</w:t>
            </w:r>
            <w:r>
              <w:rPr>
                <w:sz w:val="13"/>
                <w:szCs w:val="13"/>
                <w:spacing w:val="-9"/>
              </w:rPr>
              <w:t>灭作用</w:t>
            </w:r>
          </w:p>
        </w:tc>
      </w:tr>
      <w:tr>
        <w:trPr>
          <w:trHeight w:val="335"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33"/>
              <w:spacing w:before="100" w:line="219" w:lineRule="auto"/>
              <w:rPr>
                <w:sz w:val="13"/>
                <w:szCs w:val="13"/>
              </w:rPr>
            </w:pPr>
            <w:r>
              <w:rPr>
                <w:sz w:val="13"/>
                <w:szCs w:val="13"/>
                <w:spacing w:val="-1"/>
              </w:rPr>
              <w:t>诺普信满毕净</w:t>
            </w:r>
          </w:p>
        </w:tc>
        <w:tc>
          <w:tcPr>
            <w:tcW w:w="1489" w:type="dxa"/>
            <w:vAlign w:val="top"/>
            <w:tcBorders>
              <w:bottom w:val="single" w:color="000000" w:sz="2" w:space="0"/>
              <w:top w:val="single" w:color="000000" w:sz="2" w:space="0"/>
            </w:tcBorders>
          </w:tcPr>
          <w:p>
            <w:pPr>
              <w:pStyle w:val="TableText"/>
              <w:ind w:left="154"/>
              <w:spacing w:before="30" w:line="217" w:lineRule="auto"/>
              <w:rPr>
                <w:sz w:val="13"/>
                <w:szCs w:val="13"/>
              </w:rPr>
            </w:pPr>
            <w:r>
              <w:rPr>
                <w:sz w:val="13"/>
                <w:szCs w:val="13"/>
                <w:spacing w:val="-9"/>
              </w:rPr>
              <w:t>阿维菌素</w:t>
            </w:r>
            <w:r>
              <w:rPr>
                <w:sz w:val="13"/>
                <w:szCs w:val="13"/>
                <w:spacing w:val="-13"/>
              </w:rPr>
              <w:t xml:space="preserve"> </w:t>
            </w:r>
            <w:r>
              <w:rPr>
                <w:sz w:val="13"/>
                <w:szCs w:val="13"/>
                <w:spacing w:val="-9"/>
              </w:rPr>
              <w:t>·</w:t>
            </w:r>
            <w:r>
              <w:rPr>
                <w:sz w:val="13"/>
                <w:szCs w:val="13"/>
                <w:spacing w:val="-43"/>
              </w:rPr>
              <w:t xml:space="preserve"> </w:t>
            </w:r>
            <w:r>
              <w:rPr>
                <w:sz w:val="13"/>
                <w:szCs w:val="13"/>
                <w:spacing w:val="-9"/>
              </w:rPr>
              <w:t>甲氰菊配</w:t>
            </w:r>
          </w:p>
          <w:p>
            <w:pPr>
              <w:pStyle w:val="TableText"/>
              <w:ind w:left="584"/>
              <w:spacing w:line="200" w:lineRule="auto"/>
              <w:rPr>
                <w:sz w:val="13"/>
                <w:szCs w:val="13"/>
              </w:rPr>
            </w:pPr>
            <w:r>
              <w:rPr>
                <w:sz w:val="13"/>
                <w:szCs w:val="13"/>
                <w:spacing w:val="-3"/>
              </w:rPr>
              <w:t>1.80%</w:t>
            </w:r>
          </w:p>
        </w:tc>
        <w:tc>
          <w:tcPr>
            <w:tcW w:w="1229" w:type="dxa"/>
            <w:vAlign w:val="top"/>
            <w:tcBorders>
              <w:bottom w:val="single" w:color="000000" w:sz="2" w:space="0"/>
              <w:top w:val="single" w:color="000000" w:sz="2" w:space="0"/>
            </w:tcBorders>
          </w:tcPr>
          <w:p>
            <w:pPr>
              <w:pStyle w:val="TableText"/>
              <w:ind w:left="285"/>
              <w:spacing w:before="101" w:line="220" w:lineRule="auto"/>
              <w:rPr>
                <w:sz w:val="13"/>
                <w:szCs w:val="13"/>
              </w:rPr>
            </w:pPr>
            <w:r>
              <w:rPr>
                <w:sz w:val="13"/>
                <w:szCs w:val="13"/>
                <w:spacing w:val="-6"/>
              </w:rPr>
              <w:t>800—1000倍</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7"/>
              <w:spacing w:before="101" w:line="221" w:lineRule="auto"/>
              <w:rPr>
                <w:sz w:val="13"/>
                <w:szCs w:val="13"/>
              </w:rPr>
            </w:pPr>
            <w:r>
              <w:rPr>
                <w:sz w:val="13"/>
                <w:szCs w:val="13"/>
                <w:spacing w:val="1"/>
              </w:rPr>
              <w:t>1000</w:t>
            </w:r>
            <w:r>
              <w:rPr>
                <w:sz w:val="13"/>
                <w:szCs w:val="13"/>
              </w:rPr>
              <w:t>ml</w:t>
            </w:r>
            <w:r>
              <w:rPr>
                <w:sz w:val="13"/>
                <w:szCs w:val="13"/>
                <w:spacing w:val="1"/>
              </w:rPr>
              <w:t>/瓶</w:t>
            </w:r>
          </w:p>
        </w:tc>
        <w:tc>
          <w:tcPr>
            <w:tcW w:w="2833" w:type="dxa"/>
            <w:vAlign w:val="top"/>
            <w:tcBorders>
              <w:bottom w:val="single" w:color="000000" w:sz="2" w:space="0"/>
              <w:top w:val="single" w:color="000000" w:sz="2" w:space="0"/>
            </w:tcBorders>
          </w:tcPr>
          <w:p>
            <w:pPr>
              <w:pStyle w:val="TableText"/>
              <w:ind w:left="18"/>
              <w:spacing w:before="100" w:line="219" w:lineRule="auto"/>
              <w:rPr>
                <w:sz w:val="13"/>
                <w:szCs w:val="13"/>
              </w:rPr>
            </w:pPr>
            <w:r>
              <w:rPr>
                <w:sz w:val="13"/>
                <w:szCs w:val="13"/>
                <w:spacing w:val="-1"/>
              </w:rPr>
              <w:t>红蜘蛛、白蜘蛛、锈蜘蛛</w:t>
            </w:r>
          </w:p>
        </w:tc>
      </w:tr>
      <w:tr>
        <w:trPr>
          <w:trHeight w:val="355" w:hRule="atLeast"/>
        </w:trPr>
        <w:tc>
          <w:tcPr>
            <w:tcW w:w="585" w:type="dxa"/>
            <w:vAlign w:val="top"/>
            <w:vMerge w:val="continue"/>
            <w:tcBorders>
              <w:bottom w:val="nil"/>
              <w:top w:val="nil"/>
            </w:tcBorders>
          </w:tcPr>
          <w:p>
            <w:pPr>
              <w:rPr>
                <w:rFonts w:ascii="Arial"/>
                <w:sz w:val="21"/>
              </w:rPr>
            </w:pPr>
            <w:r/>
          </w:p>
        </w:tc>
        <w:tc>
          <w:tcPr>
            <w:tcW w:w="640" w:type="dxa"/>
            <w:vAlign w:val="top"/>
            <w:vMerge w:val="restart"/>
            <w:tcBorders>
              <w:bottom w:val="nil"/>
              <w:top w:val="single" w:color="000000" w:sz="2" w:space="0"/>
            </w:tcBorders>
          </w:tcPr>
          <w:p>
            <w:pPr>
              <w:spacing w:line="424" w:lineRule="auto"/>
              <w:rPr>
                <w:rFonts w:ascii="Arial"/>
                <w:sz w:val="21"/>
              </w:rPr>
            </w:pPr>
            <w:r/>
          </w:p>
          <w:p>
            <w:pPr>
              <w:pStyle w:val="TableText"/>
              <w:ind w:left="50"/>
              <w:spacing w:before="43" w:line="218" w:lineRule="auto"/>
              <w:rPr>
                <w:sz w:val="13"/>
                <w:szCs w:val="13"/>
              </w:rPr>
            </w:pPr>
            <w:r>
              <w:rPr>
                <w:sz w:val="13"/>
                <w:szCs w:val="13"/>
                <w:spacing w:val="-1"/>
              </w:rPr>
              <w:t>蛀干害虫</w:t>
            </w:r>
          </w:p>
        </w:tc>
        <w:tc>
          <w:tcPr>
            <w:tcW w:w="949" w:type="dxa"/>
            <w:vAlign w:val="top"/>
            <w:vMerge w:val="restart"/>
            <w:tcBorders>
              <w:bottom w:val="nil"/>
              <w:top w:val="single" w:color="000000" w:sz="2" w:space="0"/>
            </w:tcBorders>
          </w:tcPr>
          <w:p>
            <w:pPr>
              <w:spacing w:line="296" w:lineRule="auto"/>
              <w:rPr>
                <w:rFonts w:ascii="Arial"/>
                <w:sz w:val="21"/>
              </w:rPr>
            </w:pPr>
            <w:r/>
          </w:p>
          <w:p>
            <w:pPr>
              <w:pStyle w:val="TableText"/>
              <w:ind w:left="30" w:firstLine="9"/>
              <w:spacing w:before="43" w:line="216" w:lineRule="auto"/>
              <w:rPr>
                <w:sz w:val="13"/>
                <w:szCs w:val="13"/>
              </w:rPr>
            </w:pPr>
            <w:r>
              <w:rPr>
                <w:sz w:val="13"/>
                <w:szCs w:val="13"/>
                <w:spacing w:val="-2"/>
              </w:rPr>
              <w:t>天牛、小蠢虫。</w:t>
            </w:r>
            <w:r>
              <w:rPr>
                <w:sz w:val="13"/>
                <w:szCs w:val="13"/>
                <w:spacing w:val="2"/>
              </w:rPr>
              <w:t xml:space="preserve"> </w:t>
            </w:r>
            <w:r>
              <w:rPr>
                <w:sz w:val="13"/>
                <w:szCs w:val="13"/>
                <w:spacing w:val="-2"/>
              </w:rPr>
              <w:t>透翅蝇、木盘蛾</w:t>
            </w:r>
          </w:p>
          <w:p>
            <w:pPr>
              <w:pStyle w:val="TableText"/>
              <w:ind w:left="200"/>
              <w:spacing w:before="4" w:line="218" w:lineRule="auto"/>
              <w:rPr>
                <w:sz w:val="13"/>
                <w:szCs w:val="13"/>
              </w:rPr>
            </w:pPr>
            <w:r>
              <w:rPr>
                <w:sz w:val="13"/>
                <w:szCs w:val="13"/>
                <w:spacing w:val="-4"/>
              </w:rPr>
              <w:t>、杨干象</w:t>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263"/>
              <w:spacing w:before="110" w:line="219" w:lineRule="auto"/>
              <w:rPr>
                <w:sz w:val="13"/>
                <w:szCs w:val="13"/>
              </w:rPr>
            </w:pPr>
            <w:r>
              <w:rPr>
                <w:sz w:val="13"/>
                <w:szCs w:val="13"/>
                <w:spacing w:val="1"/>
              </w:rPr>
              <w:t>国光毒枪</w:t>
            </w:r>
          </w:p>
        </w:tc>
        <w:tc>
          <w:tcPr>
            <w:tcW w:w="1489" w:type="dxa"/>
            <w:vAlign w:val="top"/>
            <w:tcBorders>
              <w:bottom w:val="single" w:color="000000" w:sz="2" w:space="0"/>
              <w:top w:val="single" w:color="000000" w:sz="2" w:space="0"/>
            </w:tcBorders>
          </w:tcPr>
          <w:p>
            <w:pPr>
              <w:pStyle w:val="TableText"/>
              <w:ind w:left="154"/>
              <w:spacing w:before="110" w:line="219" w:lineRule="auto"/>
              <w:rPr>
                <w:sz w:val="13"/>
                <w:szCs w:val="13"/>
              </w:rPr>
            </w:pPr>
            <w:r>
              <w:rPr>
                <w:sz w:val="13"/>
                <w:szCs w:val="13"/>
                <w:spacing w:val="-1"/>
              </w:rPr>
              <w:t>45%丙溴.辛硫磷乳油</w:t>
            </w:r>
          </w:p>
        </w:tc>
        <w:tc>
          <w:tcPr>
            <w:tcW w:w="1229" w:type="dxa"/>
            <w:vAlign w:val="top"/>
            <w:tcBorders>
              <w:bottom w:val="single" w:color="000000" w:sz="2" w:space="0"/>
              <w:top w:val="single" w:color="000000" w:sz="2" w:space="0"/>
            </w:tcBorders>
          </w:tcPr>
          <w:p>
            <w:pPr>
              <w:pStyle w:val="TableText"/>
              <w:ind w:left="215"/>
              <w:spacing w:before="110" w:line="219" w:lineRule="auto"/>
              <w:rPr>
                <w:sz w:val="13"/>
                <w:szCs w:val="13"/>
              </w:rPr>
            </w:pPr>
            <w:r>
              <w:rPr>
                <w:sz w:val="13"/>
                <w:szCs w:val="13"/>
                <w:spacing w:val="-1"/>
              </w:rPr>
              <w:t>稀释5-10倍液</w:t>
            </w:r>
          </w:p>
        </w:tc>
        <w:tc>
          <w:tcPr>
            <w:tcW w:w="1369" w:type="dxa"/>
            <w:vAlign w:val="top"/>
            <w:vMerge w:val="restart"/>
            <w:tcBorders>
              <w:bottom w:val="nil"/>
              <w:top w:val="single" w:color="000000" w:sz="2" w:space="0"/>
            </w:tcBorders>
          </w:tcPr>
          <w:p>
            <w:pPr>
              <w:spacing w:line="295" w:lineRule="auto"/>
              <w:rPr>
                <w:rFonts w:ascii="Arial"/>
                <w:sz w:val="21"/>
              </w:rPr>
            </w:pPr>
            <w:r/>
          </w:p>
          <w:p>
            <w:pPr>
              <w:pStyle w:val="TableText"/>
              <w:ind w:left="26"/>
              <w:spacing w:before="42" w:line="214" w:lineRule="auto"/>
              <w:rPr>
                <w:sz w:val="13"/>
                <w:szCs w:val="13"/>
              </w:rPr>
            </w:pPr>
            <w:r>
              <w:rPr>
                <w:sz w:val="13"/>
                <w:szCs w:val="13"/>
                <w:spacing w:val="-1"/>
              </w:rPr>
              <w:t>一般用3次，时间间隔7</w:t>
            </w:r>
          </w:p>
          <w:p>
            <w:pPr>
              <w:pStyle w:val="TableText"/>
              <w:spacing w:line="212" w:lineRule="auto"/>
              <w:jc w:val="right"/>
              <w:rPr>
                <w:sz w:val="13"/>
                <w:szCs w:val="13"/>
              </w:rPr>
            </w:pPr>
            <w:r>
              <w:rPr>
                <w:sz w:val="13"/>
                <w:szCs w:val="13"/>
                <w:spacing w:val="-5"/>
              </w:rPr>
              <w:t>到10天，视现场情况可</w:t>
            </w:r>
          </w:p>
          <w:p>
            <w:pPr>
              <w:pStyle w:val="TableText"/>
              <w:ind w:left="435"/>
              <w:spacing w:line="219" w:lineRule="auto"/>
              <w:rPr>
                <w:sz w:val="13"/>
                <w:szCs w:val="13"/>
              </w:rPr>
            </w:pPr>
            <w:r>
              <w:rPr>
                <w:sz w:val="13"/>
                <w:szCs w:val="13"/>
                <w:spacing w:val="-2"/>
              </w:rPr>
              <w:t>增加次数</w:t>
            </w:r>
          </w:p>
        </w:tc>
        <w:tc>
          <w:tcPr>
            <w:tcW w:w="919" w:type="dxa"/>
            <w:vAlign w:val="top"/>
            <w:tcBorders>
              <w:bottom w:val="single" w:color="000000" w:sz="2" w:space="0"/>
              <w:top w:val="single" w:color="000000" w:sz="2" w:space="0"/>
            </w:tcBorders>
          </w:tcPr>
          <w:p>
            <w:pPr>
              <w:pStyle w:val="TableText"/>
              <w:ind w:left="127"/>
              <w:spacing w:before="110" w:line="221" w:lineRule="auto"/>
              <w:rPr>
                <w:sz w:val="13"/>
                <w:szCs w:val="13"/>
              </w:rPr>
            </w:pPr>
            <w:r>
              <w:rPr>
                <w:sz w:val="13"/>
                <w:szCs w:val="13"/>
                <w:spacing w:val="4"/>
              </w:rPr>
              <w:t>(200</w:t>
            </w:r>
            <w:r>
              <w:rPr>
                <w:sz w:val="13"/>
                <w:szCs w:val="13"/>
              </w:rPr>
              <w:t>ml</w:t>
            </w:r>
            <w:r>
              <w:rPr>
                <w:sz w:val="13"/>
                <w:szCs w:val="13"/>
                <w:spacing w:val="4"/>
              </w:rPr>
              <w:t>/瓶)</w:t>
            </w:r>
          </w:p>
        </w:tc>
        <w:tc>
          <w:tcPr>
            <w:tcW w:w="2833" w:type="dxa"/>
            <w:vAlign w:val="top"/>
            <w:tcBorders>
              <w:bottom w:val="single" w:color="000000" w:sz="2" w:space="0"/>
              <w:top w:val="single" w:color="000000" w:sz="2" w:space="0"/>
            </w:tcBorders>
          </w:tcPr>
          <w:p>
            <w:pPr>
              <w:pStyle w:val="TableText"/>
              <w:ind w:left="18"/>
              <w:spacing w:before="110" w:line="219" w:lineRule="auto"/>
              <w:rPr>
                <w:sz w:val="13"/>
                <w:szCs w:val="13"/>
              </w:rPr>
            </w:pPr>
            <w:r>
              <w:rPr>
                <w:sz w:val="13"/>
                <w:szCs w:val="13"/>
                <w:spacing w:val="-1"/>
              </w:rPr>
              <w:t>注射虫洞，黄泥封洞</w:t>
            </w:r>
          </w:p>
        </w:tc>
      </w:tr>
      <w:tr>
        <w:trPr>
          <w:trHeight w:val="36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33"/>
              <w:spacing w:before="119" w:line="218" w:lineRule="auto"/>
              <w:rPr>
                <w:sz w:val="13"/>
                <w:szCs w:val="13"/>
              </w:rPr>
            </w:pPr>
            <w:r>
              <w:rPr>
                <w:sz w:val="13"/>
                <w:szCs w:val="13"/>
                <w:spacing w:val="1"/>
              </w:rPr>
              <w:t>国光防蛀液剂</w:t>
            </w:r>
          </w:p>
        </w:tc>
        <w:tc>
          <w:tcPr>
            <w:tcW w:w="1489" w:type="dxa"/>
            <w:vAlign w:val="top"/>
            <w:tcBorders>
              <w:bottom w:val="single" w:color="000000" w:sz="2" w:space="0"/>
              <w:top w:val="single" w:color="000000" w:sz="2" w:space="0"/>
            </w:tcBorders>
          </w:tcPr>
          <w:p>
            <w:pPr>
              <w:pStyle w:val="TableText"/>
              <w:ind w:left="414"/>
              <w:spacing w:before="119" w:line="219" w:lineRule="auto"/>
              <w:rPr>
                <w:sz w:val="13"/>
                <w:szCs w:val="13"/>
              </w:rPr>
            </w:pPr>
            <w:r>
              <w:rPr>
                <w:sz w:val="13"/>
                <w:szCs w:val="13"/>
                <w:spacing w:val="-1"/>
              </w:rPr>
              <w:t>0.3%氯菊酯</w:t>
            </w:r>
          </w:p>
        </w:tc>
        <w:tc>
          <w:tcPr>
            <w:tcW w:w="1229" w:type="dxa"/>
            <w:vAlign w:val="top"/>
            <w:tcBorders>
              <w:bottom w:val="single" w:color="000000" w:sz="2" w:space="0"/>
              <w:top w:val="single" w:color="000000" w:sz="2" w:space="0"/>
            </w:tcBorders>
          </w:tcPr>
          <w:p>
            <w:pPr>
              <w:pStyle w:val="TableText"/>
              <w:ind w:left="345"/>
              <w:spacing w:before="119" w:line="219" w:lineRule="auto"/>
              <w:rPr>
                <w:sz w:val="13"/>
                <w:szCs w:val="13"/>
              </w:rPr>
            </w:pPr>
            <w:r>
              <w:rPr>
                <w:sz w:val="13"/>
                <w:szCs w:val="13"/>
                <w:spacing w:val="3"/>
              </w:rPr>
              <w:t>直接使用</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7"/>
              <w:spacing w:before="120" w:line="220" w:lineRule="auto"/>
              <w:rPr>
                <w:sz w:val="13"/>
                <w:szCs w:val="13"/>
              </w:rPr>
            </w:pPr>
            <w:r>
              <w:rPr>
                <w:sz w:val="13"/>
                <w:szCs w:val="13"/>
                <w:spacing w:val="5"/>
              </w:rPr>
              <w:t>(20</w:t>
            </w:r>
            <w:r>
              <w:rPr>
                <w:sz w:val="13"/>
                <w:szCs w:val="13"/>
              </w:rPr>
              <w:t>ml</w:t>
            </w:r>
            <w:r>
              <w:rPr>
                <w:sz w:val="13"/>
                <w:szCs w:val="13"/>
                <w:spacing w:val="5"/>
              </w:rPr>
              <w:t>/支)</w:t>
            </w:r>
          </w:p>
        </w:tc>
        <w:tc>
          <w:tcPr>
            <w:tcW w:w="2833" w:type="dxa"/>
            <w:vAlign w:val="top"/>
            <w:tcBorders>
              <w:bottom w:val="single" w:color="000000" w:sz="2" w:space="0"/>
              <w:top w:val="single" w:color="000000" w:sz="2" w:space="0"/>
            </w:tcBorders>
          </w:tcPr>
          <w:p>
            <w:pPr>
              <w:pStyle w:val="TableText"/>
              <w:ind w:left="18" w:right="15"/>
              <w:spacing w:before="59" w:line="209" w:lineRule="auto"/>
              <w:rPr>
                <w:sz w:val="13"/>
                <w:szCs w:val="13"/>
              </w:rPr>
            </w:pPr>
            <w:r>
              <w:rPr>
                <w:sz w:val="13"/>
                <w:szCs w:val="13"/>
              </w:rPr>
              <w:t>专杀蛀杆性害虫胸径8-10cm用1支，每</w:t>
            </w:r>
            <w:r>
              <w:rPr>
                <w:sz w:val="13"/>
                <w:szCs w:val="13"/>
                <w:spacing w:val="-1"/>
              </w:rPr>
              <w:t>增加10cm增</w:t>
            </w:r>
            <w:r>
              <w:rPr>
                <w:sz w:val="13"/>
                <w:szCs w:val="13"/>
              </w:rPr>
              <w:t xml:space="preserve"> </w:t>
            </w:r>
            <w:r>
              <w:rPr>
                <w:sz w:val="13"/>
                <w:szCs w:val="13"/>
                <w:spacing w:val="-2"/>
              </w:rPr>
              <w:t>加支</w:t>
            </w:r>
          </w:p>
        </w:tc>
      </w:tr>
      <w:tr>
        <w:trPr>
          <w:trHeight w:val="345"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spacing w:before="110" w:line="218" w:lineRule="auto"/>
              <w:jc w:val="right"/>
              <w:rPr>
                <w:sz w:val="13"/>
                <w:szCs w:val="13"/>
              </w:rPr>
            </w:pPr>
            <w:r>
              <w:rPr>
                <w:sz w:val="13"/>
                <w:szCs w:val="13"/>
                <w:spacing w:val="-1"/>
              </w:rPr>
              <w:t>中威蛀干害虫专用</w:t>
            </w:r>
          </w:p>
        </w:tc>
        <w:tc>
          <w:tcPr>
            <w:tcW w:w="1489" w:type="dxa"/>
            <w:vAlign w:val="top"/>
            <w:tcBorders>
              <w:bottom w:val="single" w:color="000000" w:sz="2" w:space="0"/>
              <w:top w:val="single" w:color="000000" w:sz="2" w:space="0"/>
            </w:tcBorders>
          </w:tcPr>
          <w:p>
            <w:pPr>
              <w:pStyle w:val="TableText"/>
              <w:ind w:left="633" w:right="99" w:hanging="550"/>
              <w:spacing w:before="40" w:line="209" w:lineRule="auto"/>
              <w:rPr>
                <w:sz w:val="13"/>
                <w:szCs w:val="13"/>
              </w:rPr>
            </w:pPr>
            <w:r>
              <w:rPr>
                <w:sz w:val="13"/>
                <w:szCs w:val="13"/>
                <w:spacing w:val="-11"/>
              </w:rPr>
              <w:t>氰虎 ·马控松</w:t>
            </w:r>
            <w:r>
              <w:rPr>
                <w:sz w:val="13"/>
                <w:szCs w:val="13"/>
                <w:spacing w:val="-15"/>
              </w:rPr>
              <w:t xml:space="preserve"> </w:t>
            </w:r>
            <w:r>
              <w:rPr>
                <w:sz w:val="13"/>
                <w:szCs w:val="13"/>
                <w:spacing w:val="-11"/>
              </w:rPr>
              <w:t>·苦参碱</w:t>
            </w:r>
            <w:r>
              <w:rPr>
                <w:sz w:val="13"/>
                <w:szCs w:val="13"/>
              </w:rPr>
              <w:t xml:space="preserve"> </w:t>
            </w:r>
            <w:r>
              <w:rPr>
                <w:sz w:val="13"/>
                <w:szCs w:val="13"/>
                <w:spacing w:val="-2"/>
              </w:rPr>
              <w:t>20%</w:t>
            </w:r>
          </w:p>
        </w:tc>
        <w:tc>
          <w:tcPr>
            <w:tcW w:w="1229" w:type="dxa"/>
            <w:vAlign w:val="top"/>
            <w:tcBorders>
              <w:bottom w:val="single" w:color="000000" w:sz="2" w:space="0"/>
              <w:top w:val="single" w:color="000000" w:sz="2" w:space="0"/>
            </w:tcBorders>
          </w:tcPr>
          <w:p>
            <w:pPr>
              <w:pStyle w:val="TableText"/>
              <w:ind w:left="345"/>
              <w:spacing w:before="110" w:line="219" w:lineRule="auto"/>
              <w:rPr>
                <w:sz w:val="13"/>
                <w:szCs w:val="13"/>
              </w:rPr>
            </w:pPr>
            <w:r>
              <w:rPr>
                <w:sz w:val="13"/>
                <w:szCs w:val="13"/>
                <w:spacing w:val="3"/>
              </w:rPr>
              <w:t>直接使用</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7"/>
              <w:spacing w:before="110" w:line="220" w:lineRule="auto"/>
              <w:rPr>
                <w:sz w:val="13"/>
                <w:szCs w:val="13"/>
              </w:rPr>
            </w:pPr>
            <w:r>
              <w:rPr>
                <w:sz w:val="13"/>
                <w:szCs w:val="13"/>
                <w:spacing w:val="5"/>
              </w:rPr>
              <w:t>(20</w:t>
            </w:r>
            <w:r>
              <w:rPr>
                <w:sz w:val="13"/>
                <w:szCs w:val="13"/>
              </w:rPr>
              <w:t>ml</w:t>
            </w:r>
            <w:r>
              <w:rPr>
                <w:sz w:val="13"/>
                <w:szCs w:val="13"/>
                <w:spacing w:val="5"/>
              </w:rPr>
              <w:t>/支)</w:t>
            </w:r>
          </w:p>
        </w:tc>
        <w:tc>
          <w:tcPr>
            <w:tcW w:w="2833" w:type="dxa"/>
            <w:vAlign w:val="top"/>
            <w:tcBorders>
              <w:bottom w:val="single" w:color="000000" w:sz="2" w:space="0"/>
              <w:top w:val="single" w:color="000000" w:sz="2" w:space="0"/>
            </w:tcBorders>
          </w:tcPr>
          <w:p>
            <w:pPr>
              <w:pStyle w:val="TableText"/>
              <w:ind w:left="18"/>
              <w:spacing w:before="30" w:line="216" w:lineRule="auto"/>
              <w:rPr>
                <w:sz w:val="13"/>
                <w:szCs w:val="13"/>
              </w:rPr>
            </w:pPr>
            <w:r>
              <w:rPr>
                <w:sz w:val="13"/>
                <w:szCs w:val="13"/>
                <w:spacing w:val="-8"/>
              </w:rPr>
              <w:t>针对天牛幼虫、吉丁虫、松材线虫等蛀干害虫</w:t>
            </w:r>
            <w:r>
              <w:rPr>
                <w:sz w:val="13"/>
                <w:szCs w:val="13"/>
                <w:spacing w:val="-9"/>
              </w:rPr>
              <w:t>效果明</w:t>
            </w:r>
            <w:r>
              <w:rPr>
                <w:sz w:val="13"/>
                <w:szCs w:val="13"/>
              </w:rPr>
              <w:t xml:space="preserve"> </w:t>
            </w:r>
            <w:r>
              <w:rPr>
                <w:sz w:val="13"/>
                <w:szCs w:val="13"/>
              </w:rPr>
              <w:t>显</w:t>
            </w:r>
          </w:p>
        </w:tc>
      </w:tr>
      <w:tr>
        <w:trPr>
          <w:trHeight w:val="355" w:hRule="atLeast"/>
        </w:trPr>
        <w:tc>
          <w:tcPr>
            <w:tcW w:w="585" w:type="dxa"/>
            <w:vAlign w:val="top"/>
            <w:vMerge w:val="continue"/>
            <w:tcBorders>
              <w:bottom w:val="nil"/>
              <w:top w:val="nil"/>
            </w:tcBorders>
          </w:tcPr>
          <w:p>
            <w:pPr>
              <w:rPr>
                <w:rFonts w:ascii="Arial"/>
                <w:sz w:val="21"/>
              </w:rPr>
            </w:pPr>
            <w:r/>
          </w:p>
        </w:tc>
        <w:tc>
          <w:tcPr>
            <w:tcW w:w="640" w:type="dxa"/>
            <w:vAlign w:val="top"/>
            <w:vMerge w:val="restart"/>
            <w:tcBorders>
              <w:bottom w:val="nil"/>
              <w:top w:val="single" w:color="000000" w:sz="2" w:space="0"/>
            </w:tcBorders>
          </w:tcPr>
          <w:p>
            <w:pPr>
              <w:spacing w:line="454" w:lineRule="auto"/>
              <w:rPr>
                <w:rFonts w:ascii="Arial"/>
                <w:sz w:val="21"/>
              </w:rPr>
            </w:pPr>
            <w:r/>
          </w:p>
          <w:p>
            <w:pPr>
              <w:pStyle w:val="TableText"/>
              <w:ind w:left="50"/>
              <w:spacing w:before="43" w:line="220" w:lineRule="auto"/>
              <w:rPr>
                <w:sz w:val="13"/>
                <w:szCs w:val="13"/>
              </w:rPr>
            </w:pPr>
            <w:r>
              <w:rPr>
                <w:sz w:val="13"/>
                <w:szCs w:val="13"/>
                <w:spacing w:val="-1"/>
              </w:rPr>
              <w:t>地下害虫</w:t>
            </w:r>
          </w:p>
        </w:tc>
        <w:tc>
          <w:tcPr>
            <w:tcW w:w="949" w:type="dxa"/>
            <w:vAlign w:val="top"/>
            <w:vMerge w:val="restart"/>
            <w:tcBorders>
              <w:bottom w:val="nil"/>
              <w:top w:val="single" w:color="000000" w:sz="2" w:space="0"/>
            </w:tcBorders>
          </w:tcPr>
          <w:p>
            <w:pPr>
              <w:spacing w:line="384" w:lineRule="auto"/>
              <w:rPr>
                <w:rFonts w:ascii="Arial"/>
                <w:sz w:val="21"/>
              </w:rPr>
            </w:pPr>
            <w:r/>
          </w:p>
          <w:p>
            <w:pPr>
              <w:pStyle w:val="TableText"/>
              <w:ind w:left="95" w:hanging="85"/>
              <w:spacing w:before="42" w:line="217" w:lineRule="auto"/>
              <w:rPr>
                <w:sz w:val="13"/>
                <w:szCs w:val="13"/>
              </w:rPr>
            </w:pPr>
            <w:r>
              <w:rPr>
                <w:sz w:val="13"/>
                <w:szCs w:val="13"/>
                <w:spacing w:val="2"/>
              </w:rPr>
              <w:t>蛴崎、地老虎、</w:t>
            </w:r>
            <w:r>
              <w:rPr>
                <w:sz w:val="13"/>
                <w:szCs w:val="13"/>
                <w:spacing w:val="3"/>
              </w:rPr>
              <w:t xml:space="preserve"> </w:t>
            </w:r>
            <w:r>
              <w:rPr>
                <w:sz w:val="13"/>
                <w:szCs w:val="13"/>
                <w:spacing w:val="-6"/>
              </w:rPr>
              <w:t>其他土中虫卵</w:t>
            </w:r>
          </w:p>
        </w:tc>
        <w:tc>
          <w:tcPr>
            <w:tcW w:w="2888" w:type="dxa"/>
            <w:vAlign w:val="top"/>
            <w:vMerge w:val="restart"/>
            <w:tcBorders>
              <w:bottom w:val="nil"/>
              <w:top w:val="single" w:color="000000" w:sz="2" w:space="0"/>
            </w:tcBorders>
          </w:tcPr>
          <w:p>
            <w:pPr>
              <w:spacing w:line="246" w:lineRule="auto"/>
              <w:rPr>
                <w:rFonts w:ascii="Arial"/>
                <w:sz w:val="21"/>
              </w:rPr>
            </w:pPr>
            <w:r/>
          </w:p>
          <w:p>
            <w:pPr>
              <w:pStyle w:val="TableText"/>
              <w:ind w:left="11" w:right="6"/>
              <w:spacing w:before="42" w:line="205" w:lineRule="auto"/>
              <w:rPr>
                <w:sz w:val="13"/>
                <w:szCs w:val="13"/>
              </w:rPr>
            </w:pPr>
            <w:r>
              <w:rPr>
                <w:sz w:val="13"/>
                <w:szCs w:val="13"/>
                <w:spacing w:val="-8"/>
              </w:rPr>
              <w:t>一、5月、10月预防消杀为主，在进入雨季、高发季前</w:t>
            </w:r>
            <w:r>
              <w:rPr>
                <w:sz w:val="13"/>
                <w:szCs w:val="13"/>
                <w:spacing w:val="4"/>
              </w:rPr>
              <w:t xml:space="preserve"> </w:t>
            </w:r>
            <w:r>
              <w:rPr>
                <w:sz w:val="13"/>
                <w:szCs w:val="13"/>
                <w:spacing w:val="-2"/>
              </w:rPr>
              <w:t>全园区消杀虫卵、幼虫、蛹。</w:t>
            </w:r>
          </w:p>
          <w:p>
            <w:pPr>
              <w:pStyle w:val="TableText"/>
              <w:ind w:left="11"/>
              <w:spacing w:line="223" w:lineRule="auto"/>
              <w:rPr>
                <w:sz w:val="13"/>
                <w:szCs w:val="13"/>
              </w:rPr>
            </w:pPr>
            <w:r>
              <w:rPr>
                <w:sz w:val="13"/>
                <w:szCs w:val="13"/>
                <w:spacing w:val="-8"/>
              </w:rPr>
              <w:t>二、6月-9月是大部分害虫成蛹或羽化期。采取人工加</w:t>
            </w:r>
            <w:r>
              <w:rPr>
                <w:sz w:val="13"/>
                <w:szCs w:val="13"/>
                <w:spacing w:val="10"/>
              </w:rPr>
              <w:t xml:space="preserve"> </w:t>
            </w:r>
            <w:r>
              <w:rPr>
                <w:sz w:val="13"/>
                <w:szCs w:val="13"/>
                <w:spacing w:val="-1"/>
              </w:rPr>
              <w:t>药物双重治疗除卵，除蛹，除成虫。</w:t>
            </w:r>
          </w:p>
        </w:tc>
        <w:tc>
          <w:tcPr>
            <w:tcW w:w="1059" w:type="dxa"/>
            <w:vAlign w:val="top"/>
            <w:tcBorders>
              <w:bottom w:val="single" w:color="000000" w:sz="2" w:space="0"/>
              <w:top w:val="single" w:color="000000" w:sz="2" w:space="0"/>
            </w:tcBorders>
          </w:tcPr>
          <w:p>
            <w:pPr>
              <w:pStyle w:val="TableText"/>
              <w:ind w:left="263"/>
              <w:spacing w:before="110" w:line="219" w:lineRule="auto"/>
              <w:rPr>
                <w:sz w:val="13"/>
                <w:szCs w:val="13"/>
              </w:rPr>
            </w:pPr>
            <w:r>
              <w:rPr>
                <w:sz w:val="13"/>
                <w:szCs w:val="13"/>
                <w:spacing w:val="1"/>
              </w:rPr>
              <w:t>国光地杀</w:t>
            </w:r>
          </w:p>
        </w:tc>
        <w:tc>
          <w:tcPr>
            <w:tcW w:w="1489" w:type="dxa"/>
            <w:vAlign w:val="top"/>
            <w:tcBorders>
              <w:bottom w:val="single" w:color="000000" w:sz="2" w:space="0"/>
              <w:top w:val="single" w:color="000000" w:sz="2" w:space="0"/>
            </w:tcBorders>
          </w:tcPr>
          <w:p>
            <w:pPr>
              <w:pStyle w:val="TableText"/>
              <w:ind w:left="673" w:right="32" w:hanging="650"/>
              <w:spacing w:before="60" w:line="202" w:lineRule="auto"/>
              <w:rPr>
                <w:sz w:val="13"/>
                <w:szCs w:val="13"/>
              </w:rPr>
            </w:pPr>
            <w:r>
              <w:rPr>
                <w:sz w:val="13"/>
                <w:szCs w:val="13"/>
                <w:spacing w:val="-1"/>
              </w:rPr>
              <w:t>5%丁硫克百威毒死蜂颗粒</w:t>
            </w:r>
            <w:r>
              <w:rPr>
                <w:sz w:val="13"/>
                <w:szCs w:val="13"/>
                <w:spacing w:val="3"/>
              </w:rPr>
              <w:t xml:space="preserve"> </w:t>
            </w:r>
            <w:r>
              <w:rPr>
                <w:sz w:val="13"/>
                <w:szCs w:val="13"/>
              </w:rPr>
              <w:t>剂</w:t>
            </w:r>
          </w:p>
        </w:tc>
        <w:tc>
          <w:tcPr>
            <w:tcW w:w="1229" w:type="dxa"/>
            <w:vAlign w:val="top"/>
            <w:tcBorders>
              <w:bottom w:val="single" w:color="000000" w:sz="2" w:space="0"/>
              <w:top w:val="single" w:color="000000" w:sz="2" w:space="0"/>
            </w:tcBorders>
          </w:tcPr>
          <w:p>
            <w:pPr>
              <w:pStyle w:val="TableText"/>
              <w:ind w:left="24"/>
              <w:spacing w:before="106" w:line="213" w:lineRule="auto"/>
              <w:rPr>
                <w:sz w:val="13"/>
                <w:szCs w:val="13"/>
              </w:rPr>
            </w:pPr>
            <w:r>
              <w:rPr>
                <w:sz w:val="13"/>
                <w:szCs w:val="13"/>
                <w:spacing w:val="-1"/>
              </w:rPr>
              <w:t>直接撤施：5-7kg/亩</w:t>
            </w:r>
          </w:p>
        </w:tc>
        <w:tc>
          <w:tcPr>
            <w:tcW w:w="1369" w:type="dxa"/>
            <w:vAlign w:val="top"/>
            <w:vMerge w:val="restart"/>
            <w:tcBorders>
              <w:bottom w:val="nil"/>
              <w:top w:val="single" w:color="000000" w:sz="2" w:space="0"/>
            </w:tcBorders>
          </w:tcPr>
          <w:p>
            <w:pPr>
              <w:spacing w:line="454" w:lineRule="auto"/>
              <w:rPr>
                <w:rFonts w:ascii="Arial"/>
                <w:sz w:val="21"/>
              </w:rPr>
            </w:pPr>
            <w:r/>
          </w:p>
          <w:p>
            <w:pPr>
              <w:pStyle w:val="TableText"/>
              <w:ind w:left="385"/>
              <w:spacing w:before="42" w:line="219" w:lineRule="auto"/>
              <w:rPr>
                <w:sz w:val="13"/>
                <w:szCs w:val="13"/>
              </w:rPr>
            </w:pPr>
            <w:r>
              <w:rPr>
                <w:sz w:val="13"/>
                <w:szCs w:val="13"/>
                <w:spacing w:val="-2"/>
              </w:rPr>
              <w:t>一般用1次</w:t>
            </w:r>
          </w:p>
        </w:tc>
        <w:tc>
          <w:tcPr>
            <w:tcW w:w="919" w:type="dxa"/>
            <w:vAlign w:val="top"/>
            <w:tcBorders>
              <w:bottom w:val="single" w:color="000000" w:sz="2" w:space="0"/>
              <w:top w:val="single" w:color="000000" w:sz="2" w:space="0"/>
            </w:tcBorders>
          </w:tcPr>
          <w:p>
            <w:pPr>
              <w:pStyle w:val="TableText"/>
              <w:ind w:left="197"/>
              <w:spacing w:before="106" w:line="213" w:lineRule="auto"/>
              <w:rPr>
                <w:sz w:val="13"/>
                <w:szCs w:val="13"/>
              </w:rPr>
            </w:pPr>
            <w:r>
              <w:rPr>
                <w:sz w:val="13"/>
                <w:szCs w:val="13"/>
                <w:spacing w:val="5"/>
              </w:rPr>
              <w:t>(1</w:t>
            </w:r>
            <w:r>
              <w:rPr>
                <w:sz w:val="13"/>
                <w:szCs w:val="13"/>
              </w:rPr>
              <w:t>kg</w:t>
            </w:r>
            <w:r>
              <w:rPr>
                <w:sz w:val="13"/>
                <w:szCs w:val="13"/>
                <w:spacing w:val="5"/>
              </w:rPr>
              <w:t>/袋)</w:t>
            </w:r>
          </w:p>
        </w:tc>
        <w:tc>
          <w:tcPr>
            <w:tcW w:w="2833" w:type="dxa"/>
            <w:vAlign w:val="top"/>
            <w:tcBorders>
              <w:bottom w:val="single" w:color="000000" w:sz="2" w:space="0"/>
              <w:top w:val="single" w:color="000000" w:sz="2" w:space="0"/>
            </w:tcBorders>
          </w:tcPr>
          <w:p>
            <w:pPr>
              <w:pStyle w:val="TableText"/>
              <w:ind w:left="18"/>
              <w:spacing w:before="110" w:line="219" w:lineRule="auto"/>
              <w:rPr>
                <w:sz w:val="13"/>
                <w:szCs w:val="13"/>
              </w:rPr>
            </w:pPr>
            <w:r>
              <w:rPr>
                <w:sz w:val="13"/>
                <w:szCs w:val="13"/>
                <w:spacing w:val="-1"/>
              </w:rPr>
              <w:t>在土壤中杀灭害虫效果好，使用方便</w:t>
            </w:r>
          </w:p>
        </w:tc>
      </w:tr>
      <w:tr>
        <w:trPr>
          <w:trHeight w:val="38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93"/>
              <w:spacing w:before="129" w:line="219" w:lineRule="auto"/>
              <w:rPr>
                <w:sz w:val="13"/>
                <w:szCs w:val="13"/>
              </w:rPr>
            </w:pPr>
            <w:r>
              <w:rPr>
                <w:sz w:val="13"/>
                <w:szCs w:val="13"/>
                <w:spacing w:val="-1"/>
              </w:rPr>
              <w:t>诺善信瑞功</w:t>
            </w:r>
          </w:p>
        </w:tc>
        <w:tc>
          <w:tcPr>
            <w:tcW w:w="1489" w:type="dxa"/>
            <w:vAlign w:val="top"/>
            <w:tcBorders>
              <w:bottom w:val="single" w:color="000000" w:sz="2" w:space="0"/>
              <w:top w:val="single" w:color="000000" w:sz="2" w:space="0"/>
            </w:tcBorders>
          </w:tcPr>
          <w:p>
            <w:pPr>
              <w:pStyle w:val="TableText"/>
              <w:ind w:left="214"/>
              <w:spacing w:before="129" w:line="219" w:lineRule="auto"/>
              <w:rPr>
                <w:sz w:val="13"/>
                <w:szCs w:val="13"/>
              </w:rPr>
            </w:pPr>
            <w:r>
              <w:rPr>
                <w:sz w:val="13"/>
                <w:szCs w:val="13"/>
                <w:spacing w:val="-1"/>
              </w:rPr>
              <w:t>高效氯氟氰菊酯5%</w:t>
            </w:r>
          </w:p>
        </w:tc>
        <w:tc>
          <w:tcPr>
            <w:tcW w:w="1229" w:type="dxa"/>
            <w:vAlign w:val="top"/>
            <w:tcBorders>
              <w:bottom w:val="single" w:color="000000" w:sz="2" w:space="0"/>
              <w:top w:val="single" w:color="000000" w:sz="2" w:space="0"/>
            </w:tcBorders>
          </w:tcPr>
          <w:p>
            <w:pPr>
              <w:pStyle w:val="TableText"/>
              <w:ind w:left="245"/>
              <w:spacing w:before="129" w:line="220" w:lineRule="auto"/>
              <w:rPr>
                <w:sz w:val="13"/>
                <w:szCs w:val="13"/>
              </w:rPr>
            </w:pPr>
            <w:r>
              <w:rPr>
                <w:sz w:val="13"/>
                <w:szCs w:val="13"/>
                <w:spacing w:val="-5"/>
              </w:rPr>
              <w:t>1000—1500倍</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7"/>
              <w:spacing w:before="130" w:line="221" w:lineRule="auto"/>
              <w:rPr>
                <w:sz w:val="13"/>
                <w:szCs w:val="13"/>
              </w:rPr>
            </w:pPr>
            <w:r>
              <w:rPr>
                <w:sz w:val="13"/>
                <w:szCs w:val="13"/>
                <w:spacing w:val="1"/>
              </w:rPr>
              <w:t>1000</w:t>
            </w:r>
            <w:r>
              <w:rPr>
                <w:sz w:val="13"/>
                <w:szCs w:val="13"/>
              </w:rPr>
              <w:t>ml</w:t>
            </w:r>
            <w:r>
              <w:rPr>
                <w:sz w:val="13"/>
                <w:szCs w:val="13"/>
                <w:spacing w:val="1"/>
              </w:rPr>
              <w:t>/瓶</w:t>
            </w:r>
          </w:p>
        </w:tc>
        <w:tc>
          <w:tcPr>
            <w:tcW w:w="2833" w:type="dxa"/>
            <w:vAlign w:val="top"/>
            <w:tcBorders>
              <w:bottom w:val="single" w:color="000000" w:sz="2" w:space="0"/>
              <w:top w:val="single" w:color="000000" w:sz="2" w:space="0"/>
            </w:tcBorders>
          </w:tcPr>
          <w:p>
            <w:pPr>
              <w:pStyle w:val="TableText"/>
              <w:ind w:left="18"/>
              <w:spacing w:before="48" w:line="230" w:lineRule="auto"/>
              <w:rPr>
                <w:sz w:val="13"/>
                <w:szCs w:val="13"/>
              </w:rPr>
            </w:pPr>
            <w:r>
              <w:rPr>
                <w:sz w:val="13"/>
                <w:szCs w:val="13"/>
                <w:spacing w:val="-9"/>
              </w:rPr>
              <w:t>杀灭蛴</w:t>
            </w:r>
            <w:r>
              <w:rPr>
                <w:sz w:val="13"/>
                <w:szCs w:val="13"/>
                <w:spacing w:val="-8"/>
              </w:rPr>
              <w:t>蜡、蝼站、蚯螳等地下害虫和粘虫、蚜</w:t>
            </w:r>
            <w:r>
              <w:rPr>
                <w:sz w:val="13"/>
                <w:szCs w:val="13"/>
                <w:spacing w:val="-9"/>
              </w:rPr>
              <w:t>虫、</w:t>
            </w:r>
            <w:r>
              <w:rPr>
                <w:sz w:val="13"/>
                <w:szCs w:val="13"/>
                <w:spacing w:val="-6"/>
              </w:rPr>
              <w:t>青</w:t>
            </w:r>
            <w:r>
              <w:rPr>
                <w:sz w:val="13"/>
                <w:szCs w:val="13"/>
              </w:rPr>
              <w:t xml:space="preserve"> </w:t>
            </w:r>
            <w:r>
              <w:rPr>
                <w:sz w:val="13"/>
                <w:szCs w:val="13"/>
                <w:spacing w:val="-2"/>
              </w:rPr>
              <w:t>虫、蚂蚁等</w:t>
            </w:r>
          </w:p>
        </w:tc>
      </w:tr>
      <w:tr>
        <w:trPr>
          <w:trHeight w:val="384" w:hRule="atLeast"/>
        </w:trPr>
        <w:tc>
          <w:tcPr>
            <w:tcW w:w="585" w:type="dxa"/>
            <w:vAlign w:val="top"/>
            <w:vMerge w:val="continue"/>
            <w:tcBorders>
              <w:bottom w:val="single" w:color="000000" w:sz="2" w:space="0"/>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93"/>
              <w:spacing w:before="130" w:line="220" w:lineRule="auto"/>
              <w:rPr>
                <w:sz w:val="13"/>
                <w:szCs w:val="13"/>
              </w:rPr>
            </w:pPr>
            <w:r>
              <w:rPr>
                <w:sz w:val="13"/>
                <w:szCs w:val="13"/>
                <w:spacing w:val="1"/>
              </w:rPr>
              <w:t>中威击绿健</w:t>
            </w:r>
          </w:p>
        </w:tc>
        <w:tc>
          <w:tcPr>
            <w:tcW w:w="1489" w:type="dxa"/>
            <w:vAlign w:val="top"/>
            <w:tcBorders>
              <w:bottom w:val="single" w:color="000000" w:sz="2" w:space="0"/>
              <w:top w:val="single" w:color="000000" w:sz="2" w:space="0"/>
            </w:tcBorders>
          </w:tcPr>
          <w:p>
            <w:pPr>
              <w:pStyle w:val="TableText"/>
              <w:ind w:left="444"/>
              <w:spacing w:before="130" w:line="221" w:lineRule="auto"/>
              <w:rPr>
                <w:sz w:val="13"/>
                <w:szCs w:val="13"/>
              </w:rPr>
            </w:pPr>
            <w:r>
              <w:rPr>
                <w:sz w:val="13"/>
                <w:szCs w:val="13"/>
                <w:spacing w:val="-2"/>
              </w:rPr>
              <w:t>二嗪磕20%</w:t>
            </w:r>
          </w:p>
        </w:tc>
        <w:tc>
          <w:tcPr>
            <w:tcW w:w="1229" w:type="dxa"/>
            <w:vAlign w:val="top"/>
            <w:tcBorders>
              <w:bottom w:val="single" w:color="000000" w:sz="2" w:space="0"/>
              <w:top w:val="single" w:color="000000" w:sz="2" w:space="0"/>
            </w:tcBorders>
          </w:tcPr>
          <w:p>
            <w:pPr>
              <w:pStyle w:val="TableText"/>
              <w:ind w:left="512" w:hanging="388"/>
              <w:spacing w:before="50" w:line="210" w:lineRule="auto"/>
              <w:rPr>
                <w:sz w:val="13"/>
                <w:szCs w:val="13"/>
              </w:rPr>
            </w:pPr>
            <w:r>
              <w:rPr>
                <w:sz w:val="13"/>
                <w:szCs w:val="13"/>
                <w:spacing w:val="-2"/>
              </w:rPr>
              <w:t>直接撤施，每亩1--</w:t>
            </w:r>
            <w:r>
              <w:rPr>
                <w:sz w:val="13"/>
                <w:szCs w:val="13"/>
                <w:spacing w:val="8"/>
              </w:rPr>
              <w:t xml:space="preserve"> </w:t>
            </w:r>
            <w:r>
              <w:rPr>
                <w:sz w:val="13"/>
                <w:szCs w:val="13"/>
                <w:spacing w:val="-2"/>
              </w:rPr>
              <w:t>2kg</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97"/>
              <w:spacing w:before="126" w:line="213" w:lineRule="auto"/>
              <w:rPr>
                <w:sz w:val="13"/>
                <w:szCs w:val="13"/>
              </w:rPr>
            </w:pPr>
            <w:r>
              <w:rPr>
                <w:sz w:val="13"/>
                <w:szCs w:val="13"/>
                <w:spacing w:val="5"/>
              </w:rPr>
              <w:t>(1</w:t>
            </w:r>
            <w:r>
              <w:rPr>
                <w:sz w:val="13"/>
                <w:szCs w:val="13"/>
              </w:rPr>
              <w:t>kg</w:t>
            </w:r>
            <w:r>
              <w:rPr>
                <w:sz w:val="13"/>
                <w:szCs w:val="13"/>
                <w:spacing w:val="5"/>
              </w:rPr>
              <w:t>/袋)</w:t>
            </w:r>
          </w:p>
        </w:tc>
        <w:tc>
          <w:tcPr>
            <w:tcW w:w="2833" w:type="dxa"/>
            <w:vAlign w:val="top"/>
            <w:tcBorders>
              <w:bottom w:val="single" w:color="000000" w:sz="2" w:space="0"/>
              <w:top w:val="single" w:color="000000" w:sz="2" w:space="0"/>
            </w:tcBorders>
          </w:tcPr>
          <w:p>
            <w:pPr>
              <w:pStyle w:val="TableText"/>
              <w:ind w:left="18"/>
              <w:spacing w:before="50" w:line="216" w:lineRule="auto"/>
              <w:rPr>
                <w:sz w:val="13"/>
                <w:szCs w:val="13"/>
              </w:rPr>
            </w:pPr>
            <w:r>
              <w:rPr>
                <w:sz w:val="13"/>
                <w:szCs w:val="13"/>
                <w:spacing w:val="-6"/>
              </w:rPr>
              <w:t>专治草坪地下害虫(蛴蜡、金针虫、地老虎、根结线</w:t>
            </w:r>
            <w:r>
              <w:rPr>
                <w:sz w:val="13"/>
                <w:szCs w:val="13"/>
                <w:spacing w:val="16"/>
                <w:w w:val="101"/>
              </w:rPr>
              <w:t xml:space="preserve"> </w:t>
            </w:r>
            <w:r>
              <w:rPr>
                <w:sz w:val="13"/>
                <w:szCs w:val="13"/>
                <w:spacing w:val="7"/>
              </w:rPr>
              <w:t>虫等)</w:t>
            </w:r>
          </w:p>
        </w:tc>
      </w:tr>
      <w:tr>
        <w:trPr>
          <w:trHeight w:val="394" w:hRule="atLeast"/>
        </w:trPr>
        <w:tc>
          <w:tcPr>
            <w:tcW w:w="585" w:type="dxa"/>
            <w:vAlign w:val="top"/>
            <w:vMerge w:val="restart"/>
            <w:tcBorders>
              <w:bottom w:val="nil"/>
              <w:top w:val="single" w:color="000000" w:sz="2" w:space="0"/>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14" w:right="5" w:hanging="200"/>
              <w:spacing w:before="42" w:line="231" w:lineRule="auto"/>
              <w:rPr>
                <w:sz w:val="13"/>
                <w:szCs w:val="13"/>
              </w:rPr>
            </w:pPr>
            <w:r>
              <w:rPr>
                <w:sz w:val="13"/>
                <w:szCs w:val="13"/>
                <w:spacing w:val="-7"/>
              </w:rPr>
              <w:t>营养剂/肥</w:t>
            </w:r>
            <w:r>
              <w:rPr>
                <w:sz w:val="13"/>
                <w:szCs w:val="13"/>
                <w:spacing w:val="3"/>
              </w:rPr>
              <w:t xml:space="preserve"> </w:t>
            </w:r>
            <w:r>
              <w:rPr>
                <w:sz w:val="13"/>
                <w:szCs w:val="13"/>
              </w:rPr>
              <w:t>料</w:t>
            </w:r>
          </w:p>
        </w:tc>
        <w:tc>
          <w:tcPr>
            <w:tcW w:w="640" w:type="dxa"/>
            <w:vAlign w:val="top"/>
            <w:vMerge w:val="restart"/>
            <w:tcBorders>
              <w:bottom w:val="nil"/>
              <w:top w:val="single" w:color="000000" w:sz="2" w:space="0"/>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50"/>
              <w:spacing w:before="43" w:line="219" w:lineRule="auto"/>
              <w:rPr>
                <w:sz w:val="13"/>
                <w:szCs w:val="13"/>
              </w:rPr>
            </w:pPr>
            <w:r>
              <w:rPr>
                <w:sz w:val="13"/>
                <w:szCs w:val="13"/>
                <w:spacing w:val="-1"/>
              </w:rPr>
              <w:t>树木复壮</w:t>
            </w:r>
          </w:p>
        </w:tc>
        <w:tc>
          <w:tcPr>
            <w:tcW w:w="949" w:type="dxa"/>
            <w:vAlign w:val="top"/>
            <w:vMerge w:val="restart"/>
            <w:tcBorders>
              <w:bottom w:val="nil"/>
              <w:top w:val="single" w:color="000000" w:sz="2" w:space="0"/>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0"/>
              <w:spacing w:before="42" w:line="228" w:lineRule="auto"/>
              <w:jc w:val="both"/>
              <w:rPr>
                <w:sz w:val="13"/>
                <w:szCs w:val="13"/>
              </w:rPr>
            </w:pPr>
            <w:r>
              <w:rPr>
                <w:sz w:val="13"/>
                <w:szCs w:val="13"/>
                <w:spacing w:val="2"/>
              </w:rPr>
              <w:t>树木长势弱，自</w:t>
            </w:r>
            <w:r>
              <w:rPr>
                <w:sz w:val="13"/>
                <w:szCs w:val="13"/>
                <w:spacing w:val="3"/>
              </w:rPr>
              <w:t xml:space="preserve"> </w:t>
            </w:r>
            <w:r>
              <w:rPr>
                <w:sz w:val="13"/>
                <w:szCs w:val="13"/>
                <w:spacing w:val="-2"/>
              </w:rPr>
              <w:t>顶部向下有枯黄</w:t>
            </w:r>
            <w:r>
              <w:rPr>
                <w:sz w:val="13"/>
                <w:szCs w:val="13"/>
                <w:spacing w:val="5"/>
              </w:rPr>
              <w:t xml:space="preserve"> </w:t>
            </w:r>
            <w:r>
              <w:rPr>
                <w:sz w:val="13"/>
                <w:szCs w:val="13"/>
                <w:spacing w:val="-2"/>
              </w:rPr>
              <w:t>现象，或高大乔</w:t>
            </w:r>
            <w:r>
              <w:rPr>
                <w:sz w:val="13"/>
                <w:szCs w:val="13"/>
                <w:spacing w:val="4"/>
              </w:rPr>
              <w:t xml:space="preserve"> </w:t>
            </w:r>
            <w:r>
              <w:rPr>
                <w:sz w:val="13"/>
                <w:szCs w:val="13"/>
                <w:spacing w:val="-2"/>
              </w:rPr>
              <w:t>木及贵重树木</w:t>
            </w:r>
          </w:p>
        </w:tc>
        <w:tc>
          <w:tcPr>
            <w:tcW w:w="2888" w:type="dxa"/>
            <w:vAlign w:val="top"/>
            <w:vMerge w:val="restart"/>
            <w:tcBorders>
              <w:bottom w:val="nil"/>
              <w:top w:val="single" w:color="000000" w:sz="2" w:space="0"/>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11"/>
              <w:spacing w:before="42" w:line="213" w:lineRule="auto"/>
              <w:rPr>
                <w:sz w:val="13"/>
                <w:szCs w:val="13"/>
              </w:rPr>
            </w:pPr>
            <w:r>
              <w:rPr>
                <w:sz w:val="13"/>
                <w:szCs w:val="13"/>
                <w:spacing w:val="-12"/>
              </w:rPr>
              <w:t>一</w:t>
            </w:r>
            <w:r>
              <w:rPr>
                <w:sz w:val="13"/>
                <w:szCs w:val="13"/>
                <w:spacing w:val="-11"/>
              </w:rPr>
              <w:t>、复壮宜放在树木发芽前或刚发芽。一方面是对树</w:t>
            </w:r>
            <w:r>
              <w:rPr>
                <w:sz w:val="13"/>
                <w:szCs w:val="13"/>
                <w:spacing w:val="-10"/>
              </w:rPr>
              <w:t>干</w:t>
            </w:r>
            <w:r>
              <w:rPr>
                <w:sz w:val="13"/>
                <w:szCs w:val="13"/>
                <w:spacing w:val="5"/>
              </w:rPr>
              <w:t xml:space="preserve"> </w:t>
            </w:r>
            <w:r>
              <w:rPr>
                <w:sz w:val="13"/>
                <w:szCs w:val="13"/>
                <w:spacing w:val="-12"/>
              </w:rPr>
              <w:t>的</w:t>
            </w:r>
            <w:r>
              <w:rPr>
                <w:sz w:val="13"/>
                <w:szCs w:val="13"/>
                <w:spacing w:val="-11"/>
              </w:rPr>
              <w:t>补水，另一方面是对根系的促生长，第三方面就是</w:t>
            </w:r>
            <w:r>
              <w:rPr>
                <w:sz w:val="13"/>
                <w:szCs w:val="13"/>
                <w:spacing w:val="-10"/>
              </w:rPr>
              <w:t>补</w:t>
            </w:r>
            <w:r>
              <w:rPr>
                <w:sz w:val="13"/>
                <w:szCs w:val="13"/>
                <w:spacing w:val="9"/>
              </w:rPr>
              <w:t xml:space="preserve"> </w:t>
            </w:r>
            <w:r>
              <w:rPr>
                <w:sz w:val="13"/>
                <w:szCs w:val="13"/>
                <w:spacing w:val="-1"/>
              </w:rPr>
              <w:t>充肥力。</w:t>
            </w:r>
          </w:p>
          <w:p>
            <w:pPr>
              <w:pStyle w:val="TableText"/>
              <w:ind w:left="11"/>
              <w:spacing w:before="1" w:line="223" w:lineRule="auto"/>
              <w:rPr>
                <w:sz w:val="13"/>
                <w:szCs w:val="13"/>
              </w:rPr>
            </w:pPr>
            <w:r>
              <w:rPr>
                <w:sz w:val="13"/>
                <w:szCs w:val="13"/>
                <w:spacing w:val="-12"/>
              </w:rPr>
              <w:t>三、对</w:t>
            </w:r>
            <w:r>
              <w:rPr>
                <w:sz w:val="13"/>
                <w:szCs w:val="13"/>
                <w:spacing w:val="-11"/>
              </w:rPr>
              <w:t>于后期出现的树木长势衰弱，应查明原因，做</w:t>
            </w:r>
            <w:r>
              <w:rPr>
                <w:sz w:val="13"/>
                <w:szCs w:val="13"/>
                <w:spacing w:val="-8"/>
              </w:rPr>
              <w:t>专</w:t>
            </w:r>
            <w:r>
              <w:rPr>
                <w:sz w:val="13"/>
                <w:szCs w:val="13"/>
                <w:spacing w:val="9"/>
              </w:rPr>
              <w:t xml:space="preserve"> </w:t>
            </w:r>
            <w:r>
              <w:rPr>
                <w:sz w:val="13"/>
                <w:szCs w:val="13"/>
                <w:spacing w:val="-1"/>
              </w:rPr>
              <w:t>项治疗。</w:t>
            </w:r>
          </w:p>
          <w:p>
            <w:pPr>
              <w:pStyle w:val="TableText"/>
              <w:ind w:left="11"/>
              <w:spacing w:before="4" w:line="213" w:lineRule="auto"/>
              <w:rPr>
                <w:sz w:val="13"/>
                <w:szCs w:val="13"/>
              </w:rPr>
            </w:pPr>
            <w:r>
              <w:rPr>
                <w:sz w:val="13"/>
                <w:szCs w:val="13"/>
                <w:spacing w:val="-3"/>
              </w:rPr>
              <w:t>三、主要集中在4月中句-6月初，气温上升，空气湿</w:t>
            </w:r>
            <w:r>
              <w:rPr>
                <w:sz w:val="13"/>
                <w:szCs w:val="13"/>
                <w:spacing w:val="11"/>
              </w:rPr>
              <w:t xml:space="preserve"> </w:t>
            </w:r>
            <w:r>
              <w:rPr>
                <w:sz w:val="13"/>
                <w:szCs w:val="13"/>
                <w:spacing w:val="-12"/>
              </w:rPr>
              <w:t>度增加</w:t>
            </w:r>
            <w:r>
              <w:rPr>
                <w:sz w:val="13"/>
                <w:szCs w:val="13"/>
                <w:spacing w:val="-11"/>
              </w:rPr>
              <w:t>，苗木结束休配期开始返青，是树木复壮最佳</w:t>
            </w:r>
            <w:r>
              <w:rPr>
                <w:sz w:val="13"/>
                <w:szCs w:val="13"/>
                <w:spacing w:val="-8"/>
              </w:rPr>
              <w:t>时</w:t>
            </w:r>
            <w:r>
              <w:rPr>
                <w:sz w:val="13"/>
                <w:szCs w:val="13"/>
                <w:spacing w:val="9"/>
              </w:rPr>
              <w:t xml:space="preserve"> </w:t>
            </w:r>
            <w:r>
              <w:rPr>
                <w:sz w:val="13"/>
                <w:szCs w:val="13"/>
                <w:spacing w:val="-4"/>
              </w:rPr>
              <w:t>机。</w:t>
            </w:r>
          </w:p>
          <w:p>
            <w:pPr>
              <w:pStyle w:val="TableText"/>
              <w:ind w:left="11"/>
              <w:spacing w:line="219" w:lineRule="auto"/>
              <w:rPr>
                <w:sz w:val="13"/>
                <w:szCs w:val="13"/>
              </w:rPr>
            </w:pPr>
            <w:r>
              <w:rPr>
                <w:sz w:val="13"/>
                <w:szCs w:val="13"/>
                <w:spacing w:val="-1"/>
              </w:rPr>
              <w:t>四、7-8月有个别情况，做专项治疗。</w:t>
            </w:r>
          </w:p>
        </w:tc>
        <w:tc>
          <w:tcPr>
            <w:tcW w:w="1059" w:type="dxa"/>
            <w:vAlign w:val="top"/>
            <w:tcBorders>
              <w:bottom w:val="single" w:color="000000" w:sz="2" w:space="0"/>
              <w:top w:val="single" w:color="000000" w:sz="2" w:space="0"/>
            </w:tcBorders>
          </w:tcPr>
          <w:p>
            <w:pPr>
              <w:pStyle w:val="TableText"/>
              <w:ind w:left="133"/>
              <w:spacing w:before="130" w:line="219" w:lineRule="auto"/>
              <w:rPr>
                <w:sz w:val="13"/>
                <w:szCs w:val="13"/>
              </w:rPr>
            </w:pPr>
            <w:r>
              <w:rPr>
                <w:sz w:val="13"/>
                <w:szCs w:val="13"/>
              </w:rPr>
              <w:t>国光吊针原液</w:t>
            </w:r>
          </w:p>
        </w:tc>
        <w:tc>
          <w:tcPr>
            <w:tcW w:w="1489" w:type="dxa"/>
            <w:vAlign w:val="top"/>
            <w:tcBorders>
              <w:bottom w:val="single" w:color="000000" w:sz="2" w:space="0"/>
              <w:top w:val="single" w:color="000000" w:sz="2" w:space="0"/>
            </w:tcBorders>
          </w:tcPr>
          <w:p>
            <w:pPr>
              <w:pStyle w:val="TableText"/>
              <w:ind w:left="573" w:right="14" w:hanging="550"/>
              <w:spacing w:before="60" w:line="217" w:lineRule="auto"/>
              <w:rPr>
                <w:sz w:val="13"/>
                <w:szCs w:val="13"/>
              </w:rPr>
            </w:pPr>
            <w:r>
              <w:rPr>
                <w:sz w:val="13"/>
                <w:szCs w:val="13"/>
              </w:rPr>
              <w:t>12%含氨基酸水溶肥料(硼</w:t>
            </w:r>
            <w:r>
              <w:rPr>
                <w:sz w:val="13"/>
                <w:szCs w:val="13"/>
                <w:spacing w:val="9"/>
              </w:rPr>
              <w:t xml:space="preserve"> </w:t>
            </w:r>
            <w:r>
              <w:rPr>
                <w:sz w:val="13"/>
                <w:szCs w:val="13"/>
                <w:spacing w:val="-3"/>
              </w:rPr>
              <w:t>十锌》</w:t>
            </w:r>
          </w:p>
        </w:tc>
        <w:tc>
          <w:tcPr>
            <w:tcW w:w="1229" w:type="dxa"/>
            <w:vAlign w:val="top"/>
            <w:tcBorders>
              <w:bottom w:val="single" w:color="000000" w:sz="2" w:space="0"/>
              <w:top w:val="single" w:color="000000" w:sz="2" w:space="0"/>
            </w:tcBorders>
          </w:tcPr>
          <w:p>
            <w:pPr>
              <w:pStyle w:val="TableText"/>
              <w:ind w:left="114"/>
              <w:spacing w:before="130" w:line="219" w:lineRule="auto"/>
              <w:rPr>
                <w:sz w:val="13"/>
                <w:szCs w:val="13"/>
              </w:rPr>
            </w:pPr>
            <w:r>
              <w:rPr>
                <w:sz w:val="13"/>
                <w:szCs w:val="13"/>
                <w:spacing w:val="-1"/>
              </w:rPr>
              <w:t>稀释1000-1200倍</w:t>
            </w:r>
          </w:p>
        </w:tc>
        <w:tc>
          <w:tcPr>
            <w:tcW w:w="1369" w:type="dxa"/>
            <w:vAlign w:val="top"/>
            <w:vMerge w:val="restart"/>
            <w:tcBorders>
              <w:bottom w:val="nil"/>
              <w:top w:val="single" w:color="000000" w:sz="2" w:space="0"/>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26"/>
              <w:spacing w:before="43" w:line="219" w:lineRule="auto"/>
              <w:rPr>
                <w:sz w:val="13"/>
                <w:szCs w:val="13"/>
              </w:rPr>
            </w:pPr>
            <w:r>
              <w:rPr>
                <w:sz w:val="13"/>
                <w:szCs w:val="13"/>
                <w:spacing w:val="-1"/>
              </w:rPr>
              <w:t>视树木生长情况</w:t>
            </w:r>
          </w:p>
        </w:tc>
        <w:tc>
          <w:tcPr>
            <w:tcW w:w="919" w:type="dxa"/>
            <w:vAlign w:val="top"/>
            <w:tcBorders>
              <w:bottom w:val="single" w:color="000000" w:sz="2" w:space="0"/>
              <w:top w:val="single" w:color="000000" w:sz="2" w:space="0"/>
            </w:tcBorders>
          </w:tcPr>
          <w:p>
            <w:pPr>
              <w:pStyle w:val="TableText"/>
              <w:ind w:left="157"/>
              <w:spacing w:before="126" w:line="213" w:lineRule="auto"/>
              <w:rPr>
                <w:sz w:val="13"/>
                <w:szCs w:val="13"/>
              </w:rPr>
            </w:pPr>
            <w:r>
              <w:rPr>
                <w:sz w:val="13"/>
                <w:szCs w:val="13"/>
                <w:spacing w:val="4"/>
              </w:rPr>
              <w:t>(200g/瓶)</w:t>
            </w:r>
          </w:p>
        </w:tc>
        <w:tc>
          <w:tcPr>
            <w:tcW w:w="2833" w:type="dxa"/>
            <w:vAlign w:val="top"/>
            <w:tcBorders>
              <w:bottom w:val="single" w:color="000000" w:sz="2" w:space="0"/>
              <w:top w:val="single" w:color="000000" w:sz="2" w:space="0"/>
            </w:tcBorders>
          </w:tcPr>
          <w:p>
            <w:pPr>
              <w:pStyle w:val="TableText"/>
              <w:ind w:left="18"/>
              <w:spacing w:before="130" w:line="218" w:lineRule="auto"/>
              <w:rPr>
                <w:sz w:val="13"/>
                <w:szCs w:val="13"/>
              </w:rPr>
            </w:pPr>
            <w:r>
              <w:rPr>
                <w:sz w:val="13"/>
                <w:szCs w:val="13"/>
                <w:spacing w:val="-1"/>
              </w:rPr>
              <w:t>补充水分和养分，促进快速成活</w:t>
            </w:r>
          </w:p>
        </w:tc>
      </w:tr>
      <w:tr>
        <w:trPr>
          <w:trHeight w:val="38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93"/>
              <w:spacing w:before="131" w:line="220" w:lineRule="auto"/>
              <w:rPr>
                <w:sz w:val="13"/>
                <w:szCs w:val="13"/>
              </w:rPr>
            </w:pPr>
            <w:r>
              <w:rPr>
                <w:sz w:val="13"/>
                <w:szCs w:val="13"/>
                <w:spacing w:val="1"/>
              </w:rPr>
              <w:t>中威吊针液</w:t>
            </w:r>
          </w:p>
        </w:tc>
        <w:tc>
          <w:tcPr>
            <w:tcW w:w="1489" w:type="dxa"/>
            <w:vAlign w:val="top"/>
            <w:tcBorders>
              <w:bottom w:val="single" w:color="000000" w:sz="2" w:space="0"/>
              <w:top w:val="single" w:color="000000" w:sz="2" w:space="0"/>
            </w:tcBorders>
          </w:tcPr>
          <w:p>
            <w:pPr>
              <w:pStyle w:val="TableText"/>
              <w:ind w:left="583" w:right="62" w:hanging="530"/>
              <w:spacing w:before="59" w:line="223" w:lineRule="auto"/>
              <w:rPr>
                <w:sz w:val="13"/>
                <w:szCs w:val="13"/>
              </w:rPr>
            </w:pPr>
            <w:r>
              <w:rPr>
                <w:sz w:val="13"/>
                <w:szCs w:val="13"/>
                <w:spacing w:val="-1"/>
              </w:rPr>
              <w:t>DA-6,甲壳素、硼镁锌等</w:t>
            </w:r>
            <w:r>
              <w:rPr>
                <w:sz w:val="13"/>
                <w:szCs w:val="13"/>
                <w:spacing w:val="9"/>
              </w:rPr>
              <w:t xml:space="preserve"> </w:t>
            </w:r>
            <w:r>
              <w:rPr>
                <w:sz w:val="13"/>
                <w:szCs w:val="13"/>
                <w:spacing w:val="-1"/>
              </w:rPr>
              <w:t>2.85%</w:t>
            </w:r>
          </w:p>
        </w:tc>
        <w:tc>
          <w:tcPr>
            <w:tcW w:w="1229" w:type="dxa"/>
            <w:vAlign w:val="top"/>
            <w:tcBorders>
              <w:bottom w:val="single" w:color="000000" w:sz="2" w:space="0"/>
              <w:top w:val="single" w:color="000000" w:sz="2" w:space="0"/>
            </w:tcBorders>
          </w:tcPr>
          <w:p>
            <w:pPr>
              <w:pStyle w:val="TableText"/>
              <w:ind w:left="155"/>
              <w:spacing w:before="131" w:line="219" w:lineRule="auto"/>
              <w:rPr>
                <w:sz w:val="13"/>
                <w:szCs w:val="13"/>
              </w:rPr>
            </w:pPr>
            <w:r>
              <w:rPr>
                <w:sz w:val="13"/>
                <w:szCs w:val="13"/>
                <w:spacing w:val="-1"/>
              </w:rPr>
              <w:t>稀释60-100倍液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57"/>
              <w:spacing w:before="127" w:line="213" w:lineRule="auto"/>
              <w:rPr>
                <w:sz w:val="13"/>
                <w:szCs w:val="13"/>
              </w:rPr>
            </w:pPr>
            <w:r>
              <w:rPr>
                <w:sz w:val="13"/>
                <w:szCs w:val="13"/>
                <w:spacing w:val="1"/>
              </w:rPr>
              <w:t>1</w:t>
            </w:r>
            <w:r>
              <w:rPr>
                <w:sz w:val="13"/>
                <w:szCs w:val="13"/>
              </w:rPr>
              <w:t>kg</w:t>
            </w:r>
            <w:r>
              <w:rPr>
                <w:sz w:val="13"/>
                <w:szCs w:val="13"/>
                <w:spacing w:val="1"/>
              </w:rPr>
              <w:t>/袋</w:t>
            </w:r>
          </w:p>
        </w:tc>
        <w:tc>
          <w:tcPr>
            <w:tcW w:w="2833" w:type="dxa"/>
            <w:vAlign w:val="top"/>
            <w:tcBorders>
              <w:bottom w:val="single" w:color="000000" w:sz="2" w:space="0"/>
              <w:top w:val="single" w:color="000000" w:sz="2" w:space="0"/>
            </w:tcBorders>
          </w:tcPr>
          <w:p>
            <w:pPr>
              <w:pStyle w:val="TableText"/>
              <w:ind w:left="18"/>
              <w:spacing w:before="61" w:line="209" w:lineRule="auto"/>
              <w:rPr>
                <w:sz w:val="13"/>
                <w:szCs w:val="13"/>
              </w:rPr>
            </w:pPr>
            <w:r>
              <w:rPr>
                <w:sz w:val="13"/>
                <w:szCs w:val="13"/>
                <w:spacing w:val="-9"/>
              </w:rPr>
              <w:t>促使树</w:t>
            </w:r>
            <w:r>
              <w:rPr>
                <w:sz w:val="13"/>
                <w:szCs w:val="13"/>
                <w:spacing w:val="-8"/>
              </w:rPr>
              <w:t>体健壮，迅速补充营养，增强抗性，提</w:t>
            </w:r>
            <w:r>
              <w:rPr>
                <w:sz w:val="13"/>
                <w:szCs w:val="13"/>
                <w:spacing w:val="-9"/>
              </w:rPr>
              <w:t>高成</w:t>
            </w:r>
            <w:r>
              <w:rPr>
                <w:sz w:val="13"/>
                <w:szCs w:val="13"/>
                <w:spacing w:val="-6"/>
              </w:rPr>
              <w:t>活</w:t>
            </w:r>
            <w:r>
              <w:rPr>
                <w:sz w:val="13"/>
                <w:szCs w:val="13"/>
              </w:rPr>
              <w:t xml:space="preserve"> </w:t>
            </w:r>
            <w:r>
              <w:rPr>
                <w:sz w:val="13"/>
                <w:szCs w:val="13"/>
              </w:rPr>
              <w:t>率</w:t>
            </w:r>
          </w:p>
        </w:tc>
      </w:tr>
      <w:tr>
        <w:trPr>
          <w:trHeight w:val="39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93"/>
              <w:spacing w:before="131" w:line="219" w:lineRule="auto"/>
              <w:rPr>
                <w:sz w:val="13"/>
                <w:szCs w:val="13"/>
              </w:rPr>
            </w:pPr>
            <w:r>
              <w:rPr>
                <w:sz w:val="13"/>
                <w:szCs w:val="13"/>
                <w:spacing w:val="1"/>
              </w:rPr>
              <w:t>国光根动力2号</w:t>
            </w:r>
          </w:p>
        </w:tc>
        <w:tc>
          <w:tcPr>
            <w:tcW w:w="1489" w:type="dxa"/>
            <w:vAlign w:val="top"/>
            <w:tcBorders>
              <w:bottom w:val="single" w:color="000000" w:sz="2" w:space="0"/>
              <w:top w:val="single" w:color="000000" w:sz="2" w:space="0"/>
            </w:tcBorders>
          </w:tcPr>
          <w:p>
            <w:pPr>
              <w:pStyle w:val="TableText"/>
              <w:ind w:left="53"/>
              <w:spacing w:before="131" w:line="218" w:lineRule="auto"/>
              <w:rPr>
                <w:sz w:val="13"/>
                <w:szCs w:val="13"/>
              </w:rPr>
            </w:pPr>
            <w:r>
              <w:rPr>
                <w:sz w:val="13"/>
                <w:szCs w:val="13"/>
                <w:spacing w:val="1"/>
              </w:rPr>
              <w:t>13%含氮基酸水溶肥(钙)</w:t>
            </w:r>
          </w:p>
        </w:tc>
        <w:tc>
          <w:tcPr>
            <w:tcW w:w="1229" w:type="dxa"/>
            <w:vAlign w:val="top"/>
            <w:tcBorders>
              <w:bottom w:val="single" w:color="000000" w:sz="2" w:space="0"/>
              <w:top w:val="single" w:color="000000" w:sz="2" w:space="0"/>
            </w:tcBorders>
          </w:tcPr>
          <w:p>
            <w:pPr>
              <w:pStyle w:val="TableText"/>
              <w:ind w:left="84"/>
              <w:spacing w:before="131" w:line="219" w:lineRule="auto"/>
              <w:rPr>
                <w:sz w:val="13"/>
                <w:szCs w:val="13"/>
              </w:rPr>
            </w:pPr>
            <w:r>
              <w:rPr>
                <w:sz w:val="13"/>
                <w:szCs w:val="13"/>
                <w:spacing w:val="-1"/>
              </w:rPr>
              <w:t>稀释800-1000倍液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27"/>
              <w:spacing w:before="132" w:line="221" w:lineRule="auto"/>
              <w:rPr>
                <w:sz w:val="13"/>
                <w:szCs w:val="13"/>
              </w:rPr>
            </w:pPr>
            <w:r>
              <w:rPr>
                <w:sz w:val="13"/>
                <w:szCs w:val="13"/>
                <w:spacing w:val="3"/>
              </w:rPr>
              <w:t>(1L/瓶)</w:t>
            </w:r>
          </w:p>
        </w:tc>
        <w:tc>
          <w:tcPr>
            <w:tcW w:w="2833" w:type="dxa"/>
            <w:vAlign w:val="top"/>
            <w:tcBorders>
              <w:bottom w:val="single" w:color="000000" w:sz="2" w:space="0"/>
              <w:top w:val="single" w:color="000000" w:sz="2" w:space="0"/>
            </w:tcBorders>
          </w:tcPr>
          <w:p>
            <w:pPr>
              <w:pStyle w:val="TableText"/>
              <w:ind w:left="18"/>
              <w:spacing w:before="131" w:line="219" w:lineRule="auto"/>
              <w:rPr>
                <w:sz w:val="13"/>
                <w:szCs w:val="13"/>
              </w:rPr>
            </w:pPr>
            <w:r>
              <w:rPr>
                <w:sz w:val="13"/>
                <w:szCs w:val="13"/>
                <w:spacing w:val="-1"/>
              </w:rPr>
              <w:t>诱导树木快速生根，提高移栽成活率</w:t>
            </w:r>
          </w:p>
        </w:tc>
      </w:tr>
      <w:tr>
        <w:trPr>
          <w:trHeight w:val="41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263"/>
              <w:spacing w:before="142" w:line="219" w:lineRule="auto"/>
              <w:rPr>
                <w:sz w:val="13"/>
                <w:szCs w:val="13"/>
              </w:rPr>
            </w:pPr>
            <w:r>
              <w:rPr>
                <w:sz w:val="13"/>
                <w:szCs w:val="13"/>
                <w:spacing w:val="1"/>
              </w:rPr>
              <w:t>国光根盼</w:t>
            </w:r>
          </w:p>
        </w:tc>
        <w:tc>
          <w:tcPr>
            <w:tcW w:w="1489" w:type="dxa"/>
            <w:vAlign w:val="top"/>
            <w:tcBorders>
              <w:bottom w:val="single" w:color="000000" w:sz="2" w:space="0"/>
              <w:top w:val="single" w:color="000000" w:sz="2" w:space="0"/>
            </w:tcBorders>
          </w:tcPr>
          <w:p>
            <w:pPr>
              <w:pStyle w:val="TableText"/>
              <w:ind w:left="154"/>
              <w:spacing w:before="142" w:line="220" w:lineRule="auto"/>
              <w:rPr>
                <w:sz w:val="13"/>
                <w:szCs w:val="13"/>
              </w:rPr>
            </w:pPr>
            <w:r>
              <w:rPr>
                <w:sz w:val="13"/>
                <w:szCs w:val="13"/>
                <w:spacing w:val="-1"/>
              </w:rPr>
              <w:t>黎乙酸、吲噪乙酸5%</w:t>
            </w:r>
          </w:p>
        </w:tc>
        <w:tc>
          <w:tcPr>
            <w:tcW w:w="1229" w:type="dxa"/>
            <w:vAlign w:val="top"/>
            <w:tcBorders>
              <w:bottom w:val="single" w:color="000000" w:sz="2" w:space="0"/>
              <w:top w:val="single" w:color="000000" w:sz="2" w:space="0"/>
            </w:tcBorders>
          </w:tcPr>
          <w:p>
            <w:pPr>
              <w:pStyle w:val="TableText"/>
              <w:ind w:left="185"/>
              <w:spacing w:before="142" w:line="220" w:lineRule="auto"/>
              <w:rPr>
                <w:sz w:val="13"/>
                <w:szCs w:val="13"/>
              </w:rPr>
            </w:pPr>
            <w:r>
              <w:rPr>
                <w:sz w:val="13"/>
                <w:szCs w:val="13"/>
                <w:spacing w:val="-1"/>
              </w:rPr>
              <w:t>2000-2500倍液</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97"/>
              <w:spacing w:before="143" w:line="221" w:lineRule="auto"/>
              <w:rPr>
                <w:sz w:val="13"/>
                <w:szCs w:val="13"/>
              </w:rPr>
            </w:pPr>
            <w:r>
              <w:rPr>
                <w:sz w:val="13"/>
                <w:szCs w:val="13"/>
                <w:spacing w:val="-1"/>
              </w:rPr>
              <w:t>200ml/瓶</w:t>
            </w:r>
          </w:p>
        </w:tc>
        <w:tc>
          <w:tcPr>
            <w:tcW w:w="2833" w:type="dxa"/>
            <w:vAlign w:val="top"/>
            <w:tcBorders>
              <w:bottom w:val="single" w:color="000000" w:sz="2" w:space="0"/>
              <w:top w:val="single" w:color="000000" w:sz="2" w:space="0"/>
            </w:tcBorders>
          </w:tcPr>
          <w:p>
            <w:pPr>
              <w:pStyle w:val="TableText"/>
              <w:ind w:left="18"/>
              <w:spacing w:before="51" w:line="230" w:lineRule="auto"/>
              <w:rPr>
                <w:sz w:val="13"/>
                <w:szCs w:val="13"/>
              </w:rPr>
            </w:pPr>
            <w:r>
              <w:rPr>
                <w:sz w:val="13"/>
                <w:szCs w:val="13"/>
                <w:spacing w:val="-9"/>
              </w:rPr>
              <w:t>促使</w:t>
            </w:r>
            <w:r>
              <w:rPr>
                <w:sz w:val="13"/>
                <w:szCs w:val="13"/>
                <w:spacing w:val="-8"/>
              </w:rPr>
              <w:t>树木快速生根，形成庞大根系，快速萌芽</w:t>
            </w:r>
            <w:r>
              <w:rPr>
                <w:sz w:val="13"/>
                <w:szCs w:val="13"/>
                <w:spacing w:val="-9"/>
              </w:rPr>
              <w:t>，改</w:t>
            </w:r>
            <w:r>
              <w:rPr>
                <w:sz w:val="13"/>
                <w:szCs w:val="13"/>
                <w:spacing w:val="-7"/>
              </w:rPr>
              <w:t>善</w:t>
            </w:r>
            <w:r>
              <w:rPr>
                <w:sz w:val="13"/>
                <w:szCs w:val="13"/>
              </w:rPr>
              <w:t xml:space="preserve"> </w:t>
            </w:r>
            <w:r>
              <w:rPr>
                <w:sz w:val="13"/>
                <w:szCs w:val="13"/>
                <w:spacing w:val="-2"/>
              </w:rPr>
              <w:t>植物长势</w:t>
            </w:r>
          </w:p>
        </w:tc>
      </w:tr>
      <w:tr>
        <w:trPr>
          <w:trHeight w:val="44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33"/>
              <w:spacing w:before="162" w:line="219" w:lineRule="auto"/>
              <w:rPr>
                <w:sz w:val="13"/>
                <w:szCs w:val="13"/>
              </w:rPr>
            </w:pPr>
            <w:r>
              <w:rPr>
                <w:sz w:val="13"/>
                <w:szCs w:val="13"/>
                <w:spacing w:val="-1"/>
              </w:rPr>
              <w:t>诺普信根聚地</w:t>
            </w:r>
          </w:p>
        </w:tc>
        <w:tc>
          <w:tcPr>
            <w:tcW w:w="1489" w:type="dxa"/>
            <w:vAlign w:val="top"/>
            <w:tcBorders>
              <w:bottom w:val="single" w:color="000000" w:sz="2" w:space="0"/>
              <w:top w:val="single" w:color="000000" w:sz="2" w:space="0"/>
            </w:tcBorders>
          </w:tcPr>
          <w:p>
            <w:pPr>
              <w:pStyle w:val="TableText"/>
              <w:ind w:left="383" w:right="30" w:hanging="360"/>
              <w:spacing w:before="83" w:line="210" w:lineRule="auto"/>
              <w:rPr>
                <w:sz w:val="13"/>
                <w:szCs w:val="13"/>
              </w:rPr>
            </w:pPr>
            <w:r>
              <w:rPr>
                <w:sz w:val="13"/>
                <w:szCs w:val="13"/>
                <w:spacing w:val="-1"/>
              </w:rPr>
              <w:t>有机质黄腐酸、大量元素</w:t>
            </w:r>
            <w:r>
              <w:rPr>
                <w:sz w:val="13"/>
                <w:szCs w:val="13"/>
                <w:spacing w:val="4"/>
              </w:rPr>
              <w:t xml:space="preserve"> </w:t>
            </w:r>
            <w:r>
              <w:rPr>
                <w:sz w:val="13"/>
                <w:szCs w:val="13"/>
                <w:spacing w:val="-2"/>
              </w:rPr>
              <w:t>11g/L+454g/L</w:t>
            </w:r>
          </w:p>
        </w:tc>
        <w:tc>
          <w:tcPr>
            <w:tcW w:w="1229" w:type="dxa"/>
            <w:vAlign w:val="top"/>
            <w:tcBorders>
              <w:bottom w:val="single" w:color="000000" w:sz="2" w:space="0"/>
              <w:top w:val="single" w:color="000000" w:sz="2" w:space="0"/>
            </w:tcBorders>
          </w:tcPr>
          <w:p>
            <w:pPr>
              <w:pStyle w:val="TableText"/>
              <w:ind w:left="315"/>
              <w:spacing w:before="163" w:line="220" w:lineRule="auto"/>
              <w:rPr>
                <w:sz w:val="13"/>
                <w:szCs w:val="13"/>
              </w:rPr>
            </w:pPr>
            <w:r>
              <w:rPr>
                <w:sz w:val="13"/>
                <w:szCs w:val="13"/>
                <w:spacing w:val="-7"/>
              </w:rPr>
              <w:t>600—800倍</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7"/>
              <w:spacing w:before="163" w:line="221" w:lineRule="auto"/>
              <w:rPr>
                <w:sz w:val="13"/>
                <w:szCs w:val="13"/>
              </w:rPr>
            </w:pPr>
            <w:r>
              <w:rPr>
                <w:sz w:val="13"/>
                <w:szCs w:val="13"/>
                <w:spacing w:val="-1"/>
              </w:rPr>
              <w:t>5000ml/瓶</w:t>
            </w:r>
          </w:p>
        </w:tc>
        <w:tc>
          <w:tcPr>
            <w:tcW w:w="2833" w:type="dxa"/>
            <w:vAlign w:val="top"/>
            <w:tcBorders>
              <w:bottom w:val="single" w:color="000000" w:sz="2" w:space="0"/>
              <w:top w:val="single" w:color="000000" w:sz="2" w:space="0"/>
            </w:tcBorders>
          </w:tcPr>
          <w:p>
            <w:pPr>
              <w:pStyle w:val="TableText"/>
              <w:ind w:left="18"/>
              <w:spacing w:before="81" w:line="216" w:lineRule="auto"/>
              <w:rPr>
                <w:sz w:val="13"/>
                <w:szCs w:val="13"/>
              </w:rPr>
            </w:pPr>
            <w:r>
              <w:rPr>
                <w:sz w:val="13"/>
                <w:szCs w:val="13"/>
                <w:spacing w:val="-3"/>
              </w:rPr>
              <w:t>提供根系生长发育内源动力，诱导刺激系活力，提</w:t>
            </w:r>
            <w:r>
              <w:rPr>
                <w:sz w:val="13"/>
                <w:szCs w:val="13"/>
                <w:spacing w:val="9"/>
              </w:rPr>
              <w:t xml:space="preserve"> </w:t>
            </w:r>
            <w:r>
              <w:rPr>
                <w:sz w:val="13"/>
                <w:szCs w:val="13"/>
                <w:spacing w:val="-1"/>
              </w:rPr>
              <w:t>高移栽成活率，促进草坪快速生根成块</w:t>
            </w:r>
          </w:p>
        </w:tc>
      </w:tr>
      <w:tr>
        <w:trPr>
          <w:trHeight w:val="55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93"/>
              <w:spacing w:before="213" w:line="219" w:lineRule="auto"/>
              <w:rPr>
                <w:sz w:val="13"/>
                <w:szCs w:val="13"/>
              </w:rPr>
            </w:pPr>
            <w:r>
              <w:rPr>
                <w:sz w:val="13"/>
                <w:szCs w:val="13"/>
                <w:spacing w:val="2"/>
              </w:rPr>
              <w:t>国光树动力</w:t>
            </w:r>
          </w:p>
        </w:tc>
        <w:tc>
          <w:tcPr>
            <w:tcW w:w="1489" w:type="dxa"/>
            <w:vAlign w:val="top"/>
            <w:tcBorders>
              <w:bottom w:val="single" w:color="000000" w:sz="2" w:space="0"/>
              <w:top w:val="single" w:color="000000" w:sz="2" w:space="0"/>
            </w:tcBorders>
          </w:tcPr>
          <w:p>
            <w:pPr>
              <w:pStyle w:val="TableText"/>
              <w:ind w:left="208" w:hanging="185"/>
              <w:spacing w:before="153" w:line="208" w:lineRule="auto"/>
              <w:rPr>
                <w:sz w:val="13"/>
                <w:szCs w:val="13"/>
              </w:rPr>
            </w:pPr>
            <w:r>
              <w:rPr>
                <w:sz w:val="13"/>
                <w:szCs w:val="13"/>
                <w:spacing w:val="2"/>
              </w:rPr>
              <w:t>细胞分裂类高活性物质、 </w:t>
            </w:r>
            <w:r>
              <w:rPr>
                <w:sz w:val="13"/>
                <w:szCs w:val="13"/>
                <w:spacing w:val="-4"/>
              </w:rPr>
              <w:t>含丰富矿物质溶剂</w:t>
            </w:r>
          </w:p>
        </w:tc>
        <w:tc>
          <w:tcPr>
            <w:tcW w:w="1229" w:type="dxa"/>
            <w:vAlign w:val="top"/>
            <w:tcBorders>
              <w:bottom w:val="single" w:color="000000" w:sz="2" w:space="0"/>
              <w:top w:val="single" w:color="000000" w:sz="2" w:space="0"/>
            </w:tcBorders>
          </w:tcPr>
          <w:p>
            <w:pPr>
              <w:pStyle w:val="TableText"/>
              <w:ind w:left="24"/>
              <w:spacing w:before="63" w:line="219" w:lineRule="auto"/>
              <w:rPr>
                <w:sz w:val="13"/>
                <w:szCs w:val="13"/>
              </w:rPr>
            </w:pPr>
            <w:r>
              <w:rPr>
                <w:sz w:val="13"/>
                <w:szCs w:val="13"/>
                <w:spacing w:val="-1"/>
              </w:rPr>
              <w:t>直接使用，一般胸径</w:t>
            </w:r>
          </w:p>
          <w:p>
            <w:pPr>
              <w:pStyle w:val="TableText"/>
              <w:spacing w:before="5" w:line="214" w:lineRule="auto"/>
              <w:jc w:val="right"/>
              <w:rPr>
                <w:sz w:val="13"/>
                <w:szCs w:val="13"/>
              </w:rPr>
            </w:pPr>
            <w:r>
              <w:rPr>
                <w:sz w:val="13"/>
                <w:szCs w:val="13"/>
                <w:spacing w:val="-3"/>
              </w:rPr>
              <w:t>8-10cn指1瓶，胸径每</w:t>
            </w:r>
          </w:p>
          <w:p>
            <w:pPr>
              <w:pStyle w:val="TableText"/>
              <w:ind w:left="165"/>
              <w:spacing w:line="220" w:lineRule="auto"/>
              <w:rPr>
                <w:sz w:val="13"/>
                <w:szCs w:val="13"/>
              </w:rPr>
            </w:pPr>
            <w:r>
              <w:rPr>
                <w:sz w:val="13"/>
                <w:szCs w:val="13"/>
                <w:spacing w:val="-1"/>
              </w:rPr>
              <w:t>增加10cn增加1瓶</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27"/>
              <w:spacing w:before="213" w:line="221" w:lineRule="auto"/>
              <w:rPr>
                <w:sz w:val="13"/>
                <w:szCs w:val="13"/>
              </w:rPr>
            </w:pPr>
            <w:r>
              <w:rPr>
                <w:sz w:val="13"/>
                <w:szCs w:val="13"/>
                <w:spacing w:val="4"/>
              </w:rPr>
              <w:t>(300</w:t>
            </w:r>
            <w:r>
              <w:rPr>
                <w:sz w:val="13"/>
                <w:szCs w:val="13"/>
              </w:rPr>
              <w:t>ml</w:t>
            </w:r>
            <w:r>
              <w:rPr>
                <w:sz w:val="13"/>
                <w:szCs w:val="13"/>
                <w:spacing w:val="4"/>
              </w:rPr>
              <w:t>/瓶)</w:t>
            </w:r>
          </w:p>
        </w:tc>
        <w:tc>
          <w:tcPr>
            <w:tcW w:w="2833" w:type="dxa"/>
            <w:vAlign w:val="top"/>
            <w:tcBorders>
              <w:bottom w:val="single" w:color="000000" w:sz="2" w:space="0"/>
              <w:top w:val="single" w:color="000000" w:sz="2" w:space="0"/>
            </w:tcBorders>
          </w:tcPr>
          <w:p>
            <w:pPr>
              <w:pStyle w:val="TableText"/>
              <w:ind w:left="18"/>
              <w:spacing w:before="213" w:line="219" w:lineRule="auto"/>
              <w:rPr>
                <w:sz w:val="13"/>
                <w:szCs w:val="13"/>
              </w:rPr>
            </w:pPr>
            <w:r>
              <w:rPr>
                <w:sz w:val="13"/>
                <w:szCs w:val="13"/>
                <w:spacing w:val="-1"/>
              </w:rPr>
              <w:t>大树直插瓶，大树古树复壮</w:t>
            </w:r>
          </w:p>
        </w:tc>
      </w:tr>
      <w:tr>
        <w:trPr>
          <w:trHeight w:val="61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193"/>
              <w:spacing w:before="243" w:line="220" w:lineRule="auto"/>
              <w:rPr>
                <w:sz w:val="13"/>
                <w:szCs w:val="13"/>
              </w:rPr>
            </w:pPr>
            <w:r>
              <w:rPr>
                <w:sz w:val="13"/>
                <w:szCs w:val="13"/>
                <w:spacing w:val="1"/>
              </w:rPr>
              <w:t>中威激活液</w:t>
            </w:r>
          </w:p>
        </w:tc>
        <w:tc>
          <w:tcPr>
            <w:tcW w:w="1489" w:type="dxa"/>
            <w:vAlign w:val="top"/>
            <w:tcBorders>
              <w:bottom w:val="single" w:color="000000" w:sz="2" w:space="0"/>
              <w:top w:val="single" w:color="000000" w:sz="2" w:space="0"/>
            </w:tcBorders>
          </w:tcPr>
          <w:p>
            <w:pPr>
              <w:pStyle w:val="TableText"/>
              <w:ind w:left="214"/>
              <w:spacing w:before="241" w:line="216" w:lineRule="auto"/>
              <w:rPr>
                <w:sz w:val="13"/>
                <w:szCs w:val="13"/>
              </w:rPr>
            </w:pPr>
            <w:r>
              <w:rPr>
                <w:sz w:val="13"/>
                <w:szCs w:val="13"/>
                <w:spacing w:val="-1"/>
              </w:rPr>
              <w:t>6B-A,复硝酚钠10%</w:t>
            </w:r>
          </w:p>
        </w:tc>
        <w:tc>
          <w:tcPr>
            <w:tcW w:w="1229" w:type="dxa"/>
            <w:vAlign w:val="top"/>
            <w:tcBorders>
              <w:bottom w:val="single" w:color="000000" w:sz="2" w:space="0"/>
              <w:top w:val="single" w:color="000000" w:sz="2" w:space="0"/>
            </w:tcBorders>
          </w:tcPr>
          <w:p>
            <w:pPr>
              <w:pStyle w:val="TableText"/>
              <w:ind w:left="24"/>
              <w:spacing w:before="103" w:line="213" w:lineRule="auto"/>
              <w:rPr>
                <w:sz w:val="13"/>
                <w:szCs w:val="13"/>
              </w:rPr>
            </w:pPr>
            <w:r>
              <w:rPr>
                <w:sz w:val="13"/>
                <w:szCs w:val="13"/>
                <w:spacing w:val="-1"/>
              </w:rPr>
              <w:t>直接使用，一般胸径</w:t>
            </w:r>
          </w:p>
          <w:p>
            <w:pPr>
              <w:pStyle w:val="TableText"/>
              <w:spacing w:line="214" w:lineRule="auto"/>
              <w:jc w:val="right"/>
              <w:rPr>
                <w:sz w:val="13"/>
                <w:szCs w:val="13"/>
              </w:rPr>
            </w:pPr>
            <w:r>
              <w:rPr>
                <w:sz w:val="13"/>
                <w:szCs w:val="13"/>
                <w:spacing w:val="-8"/>
              </w:rPr>
              <w:t>8</w:t>
            </w:r>
            <w:r>
              <w:rPr>
                <w:sz w:val="13"/>
                <w:szCs w:val="13"/>
                <w:spacing w:val="-7"/>
              </w:rPr>
              <w:t>-10cm指1瓶，胸径</w:t>
            </w:r>
            <w:r>
              <w:rPr>
                <w:sz w:val="13"/>
                <w:szCs w:val="13"/>
                <w:spacing w:val="-6"/>
              </w:rPr>
              <w:t>每</w:t>
            </w:r>
          </w:p>
          <w:p>
            <w:pPr>
              <w:pStyle w:val="TableText"/>
              <w:ind w:left="155"/>
              <w:spacing w:line="220" w:lineRule="auto"/>
              <w:rPr>
                <w:sz w:val="13"/>
                <w:szCs w:val="13"/>
              </w:rPr>
            </w:pPr>
            <w:r>
              <w:rPr>
                <w:sz w:val="13"/>
                <w:szCs w:val="13"/>
                <w:spacing w:val="-1"/>
              </w:rPr>
              <w:t>增加10cn增加1瓶</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27"/>
              <w:spacing w:before="244" w:line="221" w:lineRule="auto"/>
              <w:rPr>
                <w:sz w:val="13"/>
                <w:szCs w:val="13"/>
              </w:rPr>
            </w:pPr>
            <w:r>
              <w:rPr>
                <w:sz w:val="13"/>
                <w:szCs w:val="13"/>
                <w:spacing w:val="4"/>
              </w:rPr>
              <w:t>(350</w:t>
            </w:r>
            <w:r>
              <w:rPr>
                <w:sz w:val="13"/>
                <w:szCs w:val="13"/>
              </w:rPr>
              <w:t>ml</w:t>
            </w:r>
            <w:r>
              <w:rPr>
                <w:sz w:val="13"/>
                <w:szCs w:val="13"/>
                <w:spacing w:val="4"/>
              </w:rPr>
              <w:t>/瓶)</w:t>
            </w:r>
          </w:p>
        </w:tc>
        <w:tc>
          <w:tcPr>
            <w:tcW w:w="2833" w:type="dxa"/>
            <w:vAlign w:val="top"/>
            <w:tcBorders>
              <w:bottom w:val="single" w:color="000000" w:sz="2" w:space="0"/>
              <w:top w:val="single" w:color="000000" w:sz="2" w:space="0"/>
            </w:tcBorders>
          </w:tcPr>
          <w:p>
            <w:pPr>
              <w:pStyle w:val="TableText"/>
              <w:ind w:left="18"/>
              <w:spacing w:before="192" w:line="210" w:lineRule="auto"/>
              <w:rPr>
                <w:sz w:val="13"/>
                <w:szCs w:val="13"/>
              </w:rPr>
            </w:pPr>
            <w:r>
              <w:rPr>
                <w:sz w:val="13"/>
                <w:szCs w:val="13"/>
                <w:spacing w:val="-9"/>
              </w:rPr>
              <w:t>补充水</w:t>
            </w:r>
            <w:r>
              <w:rPr>
                <w:sz w:val="13"/>
                <w:szCs w:val="13"/>
                <w:spacing w:val="-8"/>
              </w:rPr>
              <w:t>分养分，促进发芽、防止黄叶、萎善，</w:t>
            </w:r>
            <w:r>
              <w:rPr>
                <w:sz w:val="13"/>
                <w:szCs w:val="13"/>
                <w:spacing w:val="-9"/>
              </w:rPr>
              <w:t>生理</w:t>
            </w:r>
            <w:r>
              <w:rPr>
                <w:sz w:val="13"/>
                <w:szCs w:val="13"/>
                <w:spacing w:val="-6"/>
              </w:rPr>
              <w:t>性</w:t>
            </w:r>
            <w:r>
              <w:rPr>
                <w:sz w:val="13"/>
                <w:szCs w:val="13"/>
              </w:rPr>
              <w:t xml:space="preserve"> </w:t>
            </w:r>
            <w:r>
              <w:rPr>
                <w:sz w:val="13"/>
                <w:szCs w:val="13"/>
                <w:spacing w:val="-2"/>
              </w:rPr>
              <w:t>病害</w:t>
            </w:r>
          </w:p>
        </w:tc>
      </w:tr>
      <w:tr>
        <w:trPr>
          <w:trHeight w:val="88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spacing w:line="339" w:lineRule="auto"/>
              <w:rPr>
                <w:rFonts w:ascii="Arial"/>
                <w:sz w:val="21"/>
              </w:rPr>
            </w:pPr>
            <w:r/>
          </w:p>
          <w:p>
            <w:pPr>
              <w:pStyle w:val="TableText"/>
              <w:ind w:left="263"/>
              <w:spacing w:before="42" w:line="218" w:lineRule="auto"/>
              <w:rPr>
                <w:sz w:val="13"/>
                <w:szCs w:val="13"/>
              </w:rPr>
            </w:pPr>
            <w:r>
              <w:rPr>
                <w:sz w:val="13"/>
                <w:szCs w:val="13"/>
                <w:spacing w:val="1"/>
              </w:rPr>
              <w:t>国光棒肥</w:t>
            </w:r>
          </w:p>
        </w:tc>
        <w:tc>
          <w:tcPr>
            <w:tcW w:w="1489" w:type="dxa"/>
            <w:vAlign w:val="top"/>
            <w:tcBorders>
              <w:bottom w:val="single" w:color="000000" w:sz="2" w:space="0"/>
              <w:top w:val="single" w:color="000000" w:sz="2" w:space="0"/>
            </w:tcBorders>
          </w:tcPr>
          <w:p>
            <w:pPr>
              <w:spacing w:line="268" w:lineRule="auto"/>
              <w:rPr>
                <w:rFonts w:ascii="Arial"/>
                <w:sz w:val="21"/>
              </w:rPr>
            </w:pPr>
            <w:r/>
          </w:p>
          <w:p>
            <w:pPr>
              <w:pStyle w:val="TableText"/>
              <w:ind w:left="623" w:right="30" w:hanging="600"/>
              <w:spacing w:before="43" w:line="216" w:lineRule="auto"/>
              <w:rPr>
                <w:sz w:val="13"/>
                <w:szCs w:val="13"/>
              </w:rPr>
            </w:pPr>
            <w:r>
              <w:rPr>
                <w:sz w:val="13"/>
                <w:szCs w:val="13"/>
                <w:spacing w:val="-1"/>
              </w:rPr>
              <w:t>微肥、稀有元素、大量元</w:t>
            </w:r>
            <w:r>
              <w:rPr>
                <w:sz w:val="13"/>
                <w:szCs w:val="13"/>
                <w:spacing w:val="4"/>
              </w:rPr>
              <w:t xml:space="preserve"> </w:t>
            </w:r>
            <w:r>
              <w:rPr>
                <w:sz w:val="13"/>
                <w:szCs w:val="13"/>
                <w:spacing w:val="-2"/>
              </w:rPr>
              <w:t>素肥</w:t>
            </w:r>
          </w:p>
        </w:tc>
        <w:tc>
          <w:tcPr>
            <w:tcW w:w="1229" w:type="dxa"/>
            <w:vAlign w:val="top"/>
            <w:tcBorders>
              <w:bottom w:val="single" w:color="000000" w:sz="2" w:space="0"/>
              <w:top w:val="single" w:color="000000" w:sz="2" w:space="0"/>
            </w:tcBorders>
          </w:tcPr>
          <w:p>
            <w:pPr>
              <w:pStyle w:val="TableText"/>
              <w:ind w:left="24"/>
              <w:spacing w:before="83" w:line="213" w:lineRule="auto"/>
              <w:rPr>
                <w:sz w:val="13"/>
                <w:szCs w:val="13"/>
              </w:rPr>
            </w:pPr>
            <w:r>
              <w:rPr>
                <w:sz w:val="13"/>
                <w:szCs w:val="13"/>
                <w:spacing w:val="-1"/>
              </w:rPr>
              <w:t>直接使用，根据树的</w:t>
            </w:r>
          </w:p>
          <w:p>
            <w:pPr>
              <w:pStyle w:val="TableText"/>
              <w:spacing w:line="198" w:lineRule="auto"/>
              <w:jc w:val="right"/>
              <w:rPr>
                <w:sz w:val="13"/>
                <w:szCs w:val="13"/>
              </w:rPr>
            </w:pPr>
            <w:r>
              <w:rPr>
                <w:sz w:val="13"/>
                <w:szCs w:val="13"/>
                <w:spacing w:val="-2"/>
              </w:rPr>
              <w:t>胸径进行调整：10cn</w:t>
            </w:r>
          </w:p>
          <w:p>
            <w:pPr>
              <w:pStyle w:val="TableText"/>
              <w:spacing w:line="212" w:lineRule="auto"/>
              <w:jc w:val="right"/>
              <w:rPr>
                <w:sz w:val="13"/>
                <w:szCs w:val="13"/>
              </w:rPr>
            </w:pPr>
            <w:r>
              <w:rPr>
                <w:sz w:val="13"/>
                <w:szCs w:val="13"/>
                <w:spacing w:val="-3"/>
              </w:rPr>
              <w:t>一下的树1-2支，10cn</w:t>
            </w:r>
          </w:p>
          <w:p>
            <w:pPr>
              <w:pStyle w:val="TableText"/>
              <w:ind w:right="1"/>
              <w:spacing w:line="219" w:lineRule="auto"/>
              <w:jc w:val="right"/>
              <w:rPr>
                <w:sz w:val="13"/>
                <w:szCs w:val="13"/>
              </w:rPr>
            </w:pPr>
            <w:r>
              <w:rPr>
                <w:sz w:val="13"/>
                <w:szCs w:val="13"/>
                <w:spacing w:val="-2"/>
              </w:rPr>
              <w:t>以上的树胸径每增加</w:t>
            </w:r>
          </w:p>
          <w:p>
            <w:pPr>
              <w:pStyle w:val="TableText"/>
              <w:ind w:left="215"/>
              <w:spacing w:before="5" w:line="220" w:lineRule="auto"/>
              <w:rPr>
                <w:sz w:val="13"/>
                <w:szCs w:val="13"/>
              </w:rPr>
            </w:pPr>
            <w:r>
              <w:rPr>
                <w:sz w:val="13"/>
                <w:szCs w:val="13"/>
                <w:spacing w:val="-1"/>
              </w:rPr>
              <w:t>5cn则增加1支</w:t>
            </w:r>
          </w:p>
        </w:tc>
        <w:tc>
          <w:tcPr>
            <w:tcW w:w="1369" w:type="dxa"/>
            <w:vAlign w:val="top"/>
            <w:vMerge w:val="continue"/>
            <w:tcBorders>
              <w:bottom w:val="nil"/>
              <w:top w:val="nil"/>
            </w:tcBorders>
          </w:tcPr>
          <w:p>
            <w:pPr>
              <w:rPr>
                <w:rFonts w:ascii="Arial"/>
                <w:sz w:val="21"/>
              </w:rPr>
            </w:pPr>
            <w:r/>
          </w:p>
        </w:tc>
        <w:tc>
          <w:tcPr>
            <w:tcW w:w="919" w:type="dxa"/>
            <w:vAlign w:val="top"/>
            <w:tcBorders>
              <w:bottom w:val="single" w:color="000000" w:sz="2" w:space="0"/>
              <w:top w:val="single" w:color="000000" w:sz="2" w:space="0"/>
            </w:tcBorders>
          </w:tcPr>
          <w:p>
            <w:pPr>
              <w:spacing w:line="339" w:lineRule="auto"/>
              <w:rPr>
                <w:rFonts w:ascii="Arial"/>
                <w:sz w:val="21"/>
              </w:rPr>
            </w:pPr>
            <w:r/>
          </w:p>
          <w:p>
            <w:pPr>
              <w:pStyle w:val="TableText"/>
              <w:ind w:left="97"/>
              <w:spacing w:before="42" w:line="220" w:lineRule="auto"/>
              <w:rPr>
                <w:sz w:val="13"/>
                <w:szCs w:val="13"/>
              </w:rPr>
            </w:pPr>
            <w:r>
              <w:rPr>
                <w:sz w:val="13"/>
                <w:szCs w:val="13"/>
                <w:spacing w:val="-1"/>
              </w:rPr>
              <w:t>3*15cn+40根</w:t>
            </w:r>
          </w:p>
        </w:tc>
        <w:tc>
          <w:tcPr>
            <w:tcW w:w="2833" w:type="dxa"/>
            <w:vAlign w:val="top"/>
            <w:tcBorders>
              <w:bottom w:val="single" w:color="000000" w:sz="2" w:space="0"/>
              <w:top w:val="single" w:color="000000" w:sz="2" w:space="0"/>
            </w:tcBorders>
          </w:tcPr>
          <w:p>
            <w:pPr>
              <w:spacing w:line="339" w:lineRule="auto"/>
              <w:rPr>
                <w:rFonts w:ascii="Arial"/>
                <w:sz w:val="21"/>
              </w:rPr>
            </w:pPr>
            <w:r/>
          </w:p>
          <w:p>
            <w:pPr>
              <w:pStyle w:val="TableText"/>
              <w:ind w:left="18"/>
              <w:spacing w:before="42" w:line="219" w:lineRule="auto"/>
              <w:rPr>
                <w:sz w:val="13"/>
                <w:szCs w:val="13"/>
              </w:rPr>
            </w:pPr>
            <w:r>
              <w:rPr>
                <w:sz w:val="13"/>
                <w:szCs w:val="13"/>
                <w:spacing w:val="-1"/>
              </w:rPr>
              <w:t>古树，病树，弱树复壮</w:t>
            </w:r>
          </w:p>
        </w:tc>
      </w:tr>
      <w:tr>
        <w:trPr>
          <w:trHeight w:val="42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444" w:hanging="431"/>
              <w:spacing w:before="64" w:line="242" w:lineRule="auto"/>
              <w:rPr>
                <w:sz w:val="13"/>
                <w:szCs w:val="13"/>
              </w:rPr>
            </w:pPr>
            <w:r>
              <w:rPr>
                <w:sz w:val="13"/>
                <w:szCs w:val="13"/>
                <w:spacing w:val="-1"/>
              </w:rPr>
              <w:t>国光雨阳苗木专用</w:t>
            </w:r>
            <w:r>
              <w:rPr>
                <w:sz w:val="13"/>
                <w:szCs w:val="13"/>
                <w:spacing w:val="2"/>
              </w:rPr>
              <w:t xml:space="preserve"> </w:t>
            </w:r>
            <w:r>
              <w:rPr>
                <w:sz w:val="13"/>
                <w:szCs w:val="13"/>
              </w:rPr>
              <w:t>肥</w:t>
            </w:r>
          </w:p>
        </w:tc>
        <w:tc>
          <w:tcPr>
            <w:tcW w:w="1489" w:type="dxa"/>
            <w:vAlign w:val="top"/>
            <w:tcBorders>
              <w:bottom w:val="single" w:color="000000" w:sz="2" w:space="0"/>
              <w:top w:val="single" w:color="000000" w:sz="2" w:space="0"/>
            </w:tcBorders>
          </w:tcPr>
          <w:p>
            <w:pPr>
              <w:pStyle w:val="TableText"/>
              <w:ind w:left="314"/>
              <w:spacing w:before="153" w:line="218" w:lineRule="auto"/>
              <w:rPr>
                <w:sz w:val="13"/>
                <w:szCs w:val="13"/>
              </w:rPr>
            </w:pPr>
            <w:r>
              <w:rPr>
                <w:sz w:val="13"/>
                <w:szCs w:val="13"/>
                <w:spacing w:val="-1"/>
              </w:rPr>
              <w:t>氮磷钾22:8:15</w:t>
            </w:r>
          </w:p>
        </w:tc>
        <w:tc>
          <w:tcPr>
            <w:tcW w:w="1229" w:type="dxa"/>
            <w:vAlign w:val="top"/>
            <w:tcBorders>
              <w:bottom w:val="single" w:color="000000" w:sz="2" w:space="0"/>
              <w:top w:val="single" w:color="000000" w:sz="2" w:space="0"/>
            </w:tcBorders>
          </w:tcPr>
          <w:p>
            <w:pPr>
              <w:pStyle w:val="TableText"/>
              <w:ind w:left="345"/>
              <w:spacing w:before="153" w:line="219" w:lineRule="auto"/>
              <w:rPr>
                <w:sz w:val="13"/>
                <w:szCs w:val="13"/>
              </w:rPr>
            </w:pPr>
            <w:r>
              <w:rPr>
                <w:sz w:val="13"/>
                <w:szCs w:val="13"/>
                <w:spacing w:val="3"/>
              </w:rPr>
              <w:t>直接使用</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227"/>
              <w:spacing w:before="150" w:line="213" w:lineRule="auto"/>
              <w:rPr>
                <w:sz w:val="13"/>
                <w:szCs w:val="13"/>
              </w:rPr>
            </w:pPr>
            <w:r>
              <w:rPr>
                <w:sz w:val="13"/>
                <w:szCs w:val="13"/>
                <w:spacing w:val="-1"/>
              </w:rPr>
              <w:t>20kg/袋</w:t>
            </w:r>
          </w:p>
        </w:tc>
        <w:tc>
          <w:tcPr>
            <w:tcW w:w="2833" w:type="dxa"/>
            <w:vAlign w:val="top"/>
            <w:tcBorders>
              <w:bottom w:val="single" w:color="000000" w:sz="2" w:space="0"/>
              <w:top w:val="single" w:color="000000" w:sz="2" w:space="0"/>
            </w:tcBorders>
          </w:tcPr>
          <w:p>
            <w:pPr>
              <w:pStyle w:val="TableText"/>
              <w:ind w:left="18"/>
              <w:spacing w:before="153" w:line="219" w:lineRule="auto"/>
              <w:rPr>
                <w:sz w:val="13"/>
                <w:szCs w:val="13"/>
              </w:rPr>
            </w:pPr>
            <w:r>
              <w:rPr>
                <w:sz w:val="13"/>
                <w:szCs w:val="13"/>
                <w:spacing w:val="-1"/>
              </w:rPr>
              <w:t>古树，病树，弱树复壮</w:t>
            </w:r>
          </w:p>
        </w:tc>
      </w:tr>
      <w:tr>
        <w:trPr>
          <w:trHeight w:val="414" w:hRule="atLeast"/>
        </w:trPr>
        <w:tc>
          <w:tcPr>
            <w:tcW w:w="585" w:type="dxa"/>
            <w:vAlign w:val="top"/>
            <w:vMerge w:val="continue"/>
            <w:tcBorders>
              <w:bottom w:val="nil"/>
              <w:top w:val="nil"/>
            </w:tcBorders>
          </w:tcPr>
          <w:p>
            <w:pPr>
              <w:rPr>
                <w:rFonts w:ascii="Arial"/>
                <w:sz w:val="21"/>
              </w:rPr>
            </w:pPr>
            <w:r/>
          </w:p>
        </w:tc>
        <w:tc>
          <w:tcPr>
            <w:tcW w:w="640" w:type="dxa"/>
            <w:vAlign w:val="top"/>
            <w:vMerge w:val="restart"/>
            <w:tcBorders>
              <w:bottom w:val="nil"/>
              <w:top w:val="single" w:color="000000" w:sz="2" w:space="0"/>
            </w:tcBorders>
          </w:tcPr>
          <w:p>
            <w:pPr>
              <w:spacing w:line="323" w:lineRule="auto"/>
              <w:rPr>
                <w:rFonts w:ascii="Arial"/>
                <w:sz w:val="21"/>
              </w:rPr>
            </w:pPr>
            <w:r/>
          </w:p>
          <w:p>
            <w:pPr>
              <w:spacing w:line="324" w:lineRule="auto"/>
              <w:rPr>
                <w:rFonts w:ascii="Arial"/>
                <w:sz w:val="21"/>
              </w:rPr>
            </w:pPr>
            <w:r/>
          </w:p>
          <w:p>
            <w:pPr>
              <w:pStyle w:val="TableText"/>
              <w:ind w:left="50"/>
              <w:spacing w:before="42" w:line="219" w:lineRule="auto"/>
              <w:rPr>
                <w:sz w:val="13"/>
                <w:szCs w:val="13"/>
              </w:rPr>
            </w:pPr>
            <w:r>
              <w:rPr>
                <w:sz w:val="13"/>
                <w:szCs w:val="13"/>
                <w:spacing w:val="-2"/>
              </w:rPr>
              <w:t>草皮覆绿</w:t>
            </w:r>
          </w:p>
        </w:tc>
        <w:tc>
          <w:tcPr>
            <w:tcW w:w="949" w:type="dxa"/>
            <w:vAlign w:val="top"/>
            <w:vMerge w:val="restart"/>
            <w:tcBorders>
              <w:bottom w:val="nil"/>
              <w:top w:val="single" w:color="000000" w:sz="2" w:space="0"/>
            </w:tcBorders>
          </w:tcPr>
          <w:p>
            <w:pPr>
              <w:spacing w:line="289" w:lineRule="auto"/>
              <w:rPr>
                <w:rFonts w:ascii="Arial"/>
                <w:sz w:val="21"/>
              </w:rPr>
            </w:pPr>
            <w:r/>
          </w:p>
          <w:p>
            <w:pPr>
              <w:spacing w:line="289" w:lineRule="auto"/>
              <w:rPr>
                <w:rFonts w:ascii="Arial"/>
                <w:sz w:val="21"/>
              </w:rPr>
            </w:pPr>
            <w:r/>
          </w:p>
          <w:p>
            <w:pPr>
              <w:pStyle w:val="TableText"/>
              <w:ind w:left="199" w:right="155" w:hanging="59"/>
              <w:spacing w:before="42" w:line="243" w:lineRule="auto"/>
              <w:rPr>
                <w:sz w:val="13"/>
                <w:szCs w:val="13"/>
              </w:rPr>
            </w:pPr>
            <w:r>
              <w:rPr>
                <w:sz w:val="13"/>
                <w:szCs w:val="13"/>
                <w:spacing w:val="-2"/>
              </w:rPr>
              <w:t>草坪发芽及</w:t>
            </w:r>
            <w:r>
              <w:rPr>
                <w:sz w:val="13"/>
                <w:szCs w:val="13"/>
                <w:spacing w:val="2"/>
              </w:rPr>
              <w:t xml:space="preserve"> </w:t>
            </w:r>
            <w:r>
              <w:rPr>
                <w:sz w:val="13"/>
                <w:szCs w:val="13"/>
                <w:spacing w:val="-2"/>
              </w:rPr>
              <w:t>长劳不良</w:t>
            </w:r>
          </w:p>
        </w:tc>
        <w:tc>
          <w:tcPr>
            <w:tcW w:w="2888" w:type="dxa"/>
            <w:vAlign w:val="top"/>
            <w:vMerge w:val="restart"/>
            <w:tcBorders>
              <w:bottom w:val="nil"/>
              <w:top w:val="single" w:color="000000" w:sz="2" w:space="0"/>
            </w:tcBorders>
          </w:tcPr>
          <w:p>
            <w:pPr>
              <w:pStyle w:val="TableText"/>
              <w:ind w:left="11"/>
              <w:spacing w:before="244" w:line="215" w:lineRule="auto"/>
              <w:rPr>
                <w:sz w:val="13"/>
                <w:szCs w:val="13"/>
              </w:rPr>
            </w:pPr>
            <w:r>
              <w:rPr>
                <w:sz w:val="13"/>
                <w:szCs w:val="13"/>
                <w:spacing w:val="-3"/>
              </w:rPr>
              <w:t>一、主要集中在4-5月，气温上升，空气湿度增加，</w:t>
            </w:r>
            <w:r>
              <w:rPr>
                <w:sz w:val="13"/>
                <w:szCs w:val="13"/>
                <w:spacing w:val="12"/>
              </w:rPr>
              <w:t xml:space="preserve"> </w:t>
            </w:r>
            <w:r>
              <w:rPr>
                <w:sz w:val="13"/>
                <w:szCs w:val="13"/>
                <w:spacing w:val="-8"/>
              </w:rPr>
              <w:t>苗木结束休眠期开始返青，是草皮施肥复绿最佳时机</w:t>
            </w:r>
          </w:p>
          <w:p>
            <w:pPr>
              <w:pStyle w:val="TableText"/>
              <w:ind w:left="11"/>
              <w:spacing w:before="146" w:line="224" w:lineRule="auto"/>
              <w:rPr>
                <w:sz w:val="13"/>
                <w:szCs w:val="13"/>
              </w:rPr>
            </w:pPr>
            <w:r>
              <w:rPr>
                <w:sz w:val="13"/>
                <w:szCs w:val="13"/>
                <w:spacing w:val="-3"/>
              </w:rPr>
              <w:t>二、6-7月有个别情况，做专项治疗2、6-9月有个别</w:t>
            </w:r>
            <w:r>
              <w:rPr>
                <w:sz w:val="13"/>
                <w:szCs w:val="13"/>
                <w:spacing w:val="18"/>
                <w:w w:val="101"/>
              </w:rPr>
              <w:t xml:space="preserve"> </w:t>
            </w:r>
            <w:r>
              <w:rPr>
                <w:sz w:val="13"/>
                <w:szCs w:val="13"/>
                <w:spacing w:val="-11"/>
              </w:rPr>
              <w:t>情况，做专项治疗一般每月施肥一次，每次用量为春季</w:t>
            </w:r>
            <w:r>
              <w:rPr>
                <w:sz w:val="13"/>
                <w:szCs w:val="13"/>
                <w:spacing w:val="4"/>
              </w:rPr>
              <w:t xml:space="preserve"> </w:t>
            </w:r>
            <w:r>
              <w:rPr>
                <w:sz w:val="13"/>
                <w:szCs w:val="13"/>
                <w:spacing w:val="-1"/>
              </w:rPr>
              <w:t>的一率左右，9-10月份下冬肥。</w:t>
            </w:r>
          </w:p>
        </w:tc>
        <w:tc>
          <w:tcPr>
            <w:tcW w:w="1059" w:type="dxa"/>
            <w:vAlign w:val="top"/>
            <w:tcBorders>
              <w:bottom w:val="single" w:color="000000" w:sz="2" w:space="0"/>
              <w:top w:val="single" w:color="000000" w:sz="2" w:space="0"/>
            </w:tcBorders>
          </w:tcPr>
          <w:p>
            <w:pPr>
              <w:pStyle w:val="TableText"/>
              <w:ind w:left="133"/>
              <w:spacing w:before="144" w:line="219" w:lineRule="auto"/>
              <w:rPr>
                <w:sz w:val="13"/>
                <w:szCs w:val="13"/>
              </w:rPr>
            </w:pPr>
            <w:r>
              <w:rPr>
                <w:sz w:val="13"/>
                <w:szCs w:val="13"/>
                <w:spacing w:val="1"/>
              </w:rPr>
              <w:t>国光氨基酸钾</w:t>
            </w:r>
          </w:p>
        </w:tc>
        <w:tc>
          <w:tcPr>
            <w:tcW w:w="1489" w:type="dxa"/>
            <w:vAlign w:val="top"/>
            <w:tcBorders>
              <w:bottom w:val="single" w:color="000000" w:sz="2" w:space="0"/>
              <w:top w:val="single" w:color="000000" w:sz="2" w:space="0"/>
            </w:tcBorders>
          </w:tcPr>
          <w:p>
            <w:pPr>
              <w:pStyle w:val="TableText"/>
              <w:ind w:left="284"/>
              <w:spacing w:before="144" w:line="220" w:lineRule="auto"/>
              <w:rPr>
                <w:sz w:val="13"/>
                <w:szCs w:val="13"/>
              </w:rPr>
            </w:pPr>
            <w:r>
              <w:rPr>
                <w:sz w:val="13"/>
                <w:szCs w:val="13"/>
                <w:spacing w:val="1"/>
              </w:rPr>
              <w:t>12氨基酸整合钾</w:t>
            </w:r>
          </w:p>
        </w:tc>
        <w:tc>
          <w:tcPr>
            <w:tcW w:w="1229" w:type="dxa"/>
            <w:vAlign w:val="top"/>
            <w:tcBorders>
              <w:bottom w:val="single" w:color="000000" w:sz="2" w:space="0"/>
              <w:top w:val="single" w:color="000000" w:sz="2" w:space="0"/>
            </w:tcBorders>
          </w:tcPr>
          <w:p>
            <w:pPr>
              <w:pStyle w:val="TableText"/>
              <w:ind w:left="114"/>
              <w:spacing w:before="144" w:line="219" w:lineRule="auto"/>
              <w:rPr>
                <w:sz w:val="13"/>
                <w:szCs w:val="13"/>
              </w:rPr>
            </w:pPr>
            <w:r>
              <w:rPr>
                <w:sz w:val="13"/>
                <w:szCs w:val="13"/>
                <w:spacing w:val="-1"/>
              </w:rPr>
              <w:t>稀释600-800倍液</w:t>
            </w:r>
          </w:p>
        </w:tc>
        <w:tc>
          <w:tcPr>
            <w:tcW w:w="1369" w:type="dxa"/>
            <w:vAlign w:val="top"/>
            <w:vMerge w:val="restart"/>
            <w:tcBorders>
              <w:bottom w:val="nil"/>
              <w:top w:val="single" w:color="000000" w:sz="2" w:space="0"/>
            </w:tcBorders>
          </w:tcPr>
          <w:p>
            <w:pPr>
              <w:spacing w:line="379" w:lineRule="auto"/>
              <w:rPr>
                <w:rFonts w:ascii="Arial"/>
                <w:sz w:val="21"/>
              </w:rPr>
            </w:pPr>
            <w:r/>
          </w:p>
          <w:p>
            <w:pPr>
              <w:pStyle w:val="TableText"/>
              <w:ind w:left="385"/>
              <w:spacing w:before="42" w:line="219" w:lineRule="auto"/>
              <w:rPr>
                <w:sz w:val="13"/>
                <w:szCs w:val="13"/>
              </w:rPr>
            </w:pPr>
            <w:r>
              <w:rPr>
                <w:sz w:val="13"/>
                <w:szCs w:val="13"/>
                <w:spacing w:val="-2"/>
              </w:rPr>
              <w:t>一般用1次</w:t>
            </w:r>
          </w:p>
        </w:tc>
        <w:tc>
          <w:tcPr>
            <w:tcW w:w="919" w:type="dxa"/>
            <w:vAlign w:val="top"/>
            <w:tcBorders>
              <w:bottom w:val="single" w:color="000000" w:sz="2" w:space="0"/>
              <w:top w:val="single" w:color="000000" w:sz="2" w:space="0"/>
            </w:tcBorders>
          </w:tcPr>
          <w:p>
            <w:pPr>
              <w:pStyle w:val="TableText"/>
              <w:ind w:left="227"/>
              <w:spacing w:before="140" w:line="213" w:lineRule="auto"/>
              <w:rPr>
                <w:sz w:val="13"/>
                <w:szCs w:val="13"/>
              </w:rPr>
            </w:pPr>
            <w:r>
              <w:rPr>
                <w:sz w:val="13"/>
                <w:szCs w:val="13"/>
                <w:spacing w:val="-1"/>
              </w:rPr>
              <w:t>500g/瓶</w:t>
            </w:r>
          </w:p>
        </w:tc>
        <w:tc>
          <w:tcPr>
            <w:tcW w:w="2833" w:type="dxa"/>
            <w:vAlign w:val="top"/>
            <w:tcBorders>
              <w:bottom w:val="single" w:color="000000" w:sz="2" w:space="0"/>
              <w:top w:val="single" w:color="000000" w:sz="2" w:space="0"/>
            </w:tcBorders>
          </w:tcPr>
          <w:p>
            <w:pPr>
              <w:pStyle w:val="TableText"/>
              <w:ind w:left="18"/>
              <w:spacing w:before="144" w:line="219" w:lineRule="auto"/>
              <w:rPr>
                <w:sz w:val="13"/>
                <w:szCs w:val="13"/>
              </w:rPr>
            </w:pPr>
            <w:r>
              <w:rPr>
                <w:sz w:val="13"/>
                <w:szCs w:val="13"/>
              </w:rPr>
              <w:t>防治因缺钾引起的植株瘦弱，生长不良</w:t>
            </w:r>
          </w:p>
        </w:tc>
      </w:tr>
      <w:tr>
        <w:trPr>
          <w:trHeight w:val="544" w:hRule="atLeast"/>
        </w:trPr>
        <w:tc>
          <w:tcPr>
            <w:tcW w:w="58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888" w:type="dxa"/>
            <w:vAlign w:val="top"/>
            <w:vMerge w:val="continue"/>
            <w:tcBorders>
              <w:bottom w:val="nil"/>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63"/>
              <w:spacing w:before="214" w:line="218" w:lineRule="auto"/>
              <w:rPr>
                <w:sz w:val="13"/>
                <w:szCs w:val="13"/>
              </w:rPr>
            </w:pPr>
            <w:r>
              <w:rPr>
                <w:sz w:val="13"/>
                <w:szCs w:val="13"/>
                <w:spacing w:val="-2"/>
              </w:rPr>
              <w:t>高效磷钾复合肥</w:t>
            </w:r>
          </w:p>
        </w:tc>
        <w:tc>
          <w:tcPr>
            <w:tcW w:w="1489" w:type="dxa"/>
            <w:vAlign w:val="top"/>
            <w:tcBorders>
              <w:bottom w:val="single" w:color="000000" w:sz="2" w:space="0"/>
              <w:top w:val="single" w:color="000000" w:sz="2" w:space="0"/>
            </w:tcBorders>
          </w:tcPr>
          <w:p>
            <w:pPr>
              <w:pStyle w:val="TableText"/>
              <w:ind w:left="414"/>
              <w:spacing w:before="214" w:line="219" w:lineRule="auto"/>
              <w:rPr>
                <w:sz w:val="13"/>
                <w:szCs w:val="13"/>
              </w:rPr>
            </w:pPr>
            <w:r>
              <w:rPr>
                <w:sz w:val="13"/>
                <w:szCs w:val="13"/>
                <w:spacing w:val="-1"/>
              </w:rPr>
              <w:t>磷酸二氢钾</w:t>
            </w:r>
          </w:p>
        </w:tc>
        <w:tc>
          <w:tcPr>
            <w:tcW w:w="1229" w:type="dxa"/>
            <w:vAlign w:val="top"/>
            <w:tcBorders>
              <w:bottom w:val="single" w:color="000000" w:sz="2" w:space="0"/>
              <w:top w:val="single" w:color="000000" w:sz="2" w:space="0"/>
            </w:tcBorders>
          </w:tcPr>
          <w:p>
            <w:pPr>
              <w:pStyle w:val="TableText"/>
              <w:ind w:left="24"/>
              <w:spacing w:before="144" w:line="219" w:lineRule="auto"/>
              <w:rPr>
                <w:sz w:val="13"/>
                <w:szCs w:val="13"/>
              </w:rPr>
            </w:pPr>
            <w:r>
              <w:rPr>
                <w:sz w:val="13"/>
                <w:szCs w:val="13"/>
                <w:spacing w:val="-1"/>
              </w:rPr>
              <w:t>直接穴施成0.2%叶面</w:t>
            </w:r>
          </w:p>
          <w:p>
            <w:pPr>
              <w:pStyle w:val="TableText"/>
              <w:ind w:left="475"/>
              <w:spacing w:before="5" w:line="220" w:lineRule="auto"/>
              <w:rPr>
                <w:sz w:val="13"/>
                <w:szCs w:val="13"/>
              </w:rPr>
            </w:pPr>
            <w:r>
              <w:rPr>
                <w:sz w:val="13"/>
                <w:szCs w:val="13"/>
                <w:spacing w:val="-3"/>
              </w:rPr>
              <w:t>喷施</w:t>
            </w:r>
          </w:p>
        </w:tc>
        <w:tc>
          <w:tcPr>
            <w:tcW w:w="1369" w:type="dxa"/>
            <w:vAlign w:val="top"/>
            <w:vMerge w:val="continue"/>
            <w:tcBorders>
              <w:bottom w:val="single" w:color="000000" w:sz="2" w:space="0"/>
              <w:top w:val="nil"/>
            </w:tcBorders>
          </w:tcPr>
          <w:p>
            <w:pPr>
              <w:rPr>
                <w:rFonts w:ascii="Arial"/>
                <w:sz w:val="21"/>
              </w:rPr>
            </w:pPr>
            <w:r/>
          </w:p>
        </w:tc>
        <w:tc>
          <w:tcPr>
            <w:tcW w:w="919" w:type="dxa"/>
            <w:vAlign w:val="top"/>
            <w:tcBorders>
              <w:bottom w:val="single" w:color="000000" w:sz="2" w:space="0"/>
              <w:top w:val="single" w:color="000000" w:sz="2" w:space="0"/>
            </w:tcBorders>
          </w:tcPr>
          <w:p>
            <w:pPr>
              <w:pStyle w:val="TableText"/>
              <w:ind w:left="157"/>
              <w:spacing w:before="211" w:line="213" w:lineRule="auto"/>
              <w:rPr>
                <w:sz w:val="13"/>
                <w:szCs w:val="13"/>
              </w:rPr>
            </w:pPr>
            <w:r>
              <w:rPr>
                <w:sz w:val="13"/>
                <w:szCs w:val="13"/>
                <w:spacing w:val="5"/>
              </w:rPr>
              <w:t>(25</w:t>
            </w:r>
            <w:r>
              <w:rPr>
                <w:sz w:val="13"/>
                <w:szCs w:val="13"/>
              </w:rPr>
              <w:t>kg</w:t>
            </w:r>
            <w:r>
              <w:rPr>
                <w:sz w:val="13"/>
                <w:szCs w:val="13"/>
                <w:spacing w:val="5"/>
              </w:rPr>
              <w:t>/袋)</w:t>
            </w:r>
          </w:p>
        </w:tc>
        <w:tc>
          <w:tcPr>
            <w:tcW w:w="2833" w:type="dxa"/>
            <w:vAlign w:val="top"/>
            <w:tcBorders>
              <w:bottom w:val="single" w:color="000000" w:sz="2" w:space="0"/>
              <w:top w:val="single" w:color="000000" w:sz="2" w:space="0"/>
            </w:tcBorders>
          </w:tcPr>
          <w:p>
            <w:pPr>
              <w:pStyle w:val="TableText"/>
              <w:ind w:left="18"/>
              <w:spacing w:before="144" w:line="221" w:lineRule="auto"/>
              <w:rPr>
                <w:sz w:val="13"/>
                <w:szCs w:val="13"/>
              </w:rPr>
            </w:pPr>
            <w:r>
              <w:rPr>
                <w:sz w:val="13"/>
                <w:szCs w:val="13"/>
                <w:spacing w:val="-12"/>
              </w:rPr>
              <w:t>提高树木木</w:t>
            </w:r>
            <w:r>
              <w:rPr>
                <w:sz w:val="13"/>
                <w:szCs w:val="13"/>
                <w:spacing w:val="-11"/>
              </w:rPr>
              <w:t>质化程度，有利树木安全越冬，1万平方</w:t>
            </w:r>
            <w:r>
              <w:rPr>
                <w:sz w:val="13"/>
                <w:szCs w:val="13"/>
                <w:spacing w:val="-6"/>
              </w:rPr>
              <w:t>米</w:t>
            </w:r>
            <w:r>
              <w:rPr>
                <w:sz w:val="13"/>
                <w:szCs w:val="13"/>
                <w:spacing w:val="12"/>
              </w:rPr>
              <w:t xml:space="preserve"> </w:t>
            </w:r>
            <w:r>
              <w:rPr>
                <w:sz w:val="13"/>
                <w:szCs w:val="13"/>
                <w:spacing w:val="-1"/>
              </w:rPr>
              <w:t>年度约用量：150kg。</w:t>
            </w:r>
          </w:p>
        </w:tc>
      </w:tr>
      <w:tr>
        <w:trPr>
          <w:trHeight w:val="539" w:hRule="atLeast"/>
        </w:trPr>
        <w:tc>
          <w:tcPr>
            <w:tcW w:w="585" w:type="dxa"/>
            <w:vAlign w:val="top"/>
            <w:vMerge w:val="continue"/>
            <w:tcBorders>
              <w:bottom w:val="single" w:color="000000" w:sz="2" w:space="0"/>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888" w:type="dxa"/>
            <w:vAlign w:val="top"/>
            <w:vMerge w:val="continue"/>
            <w:tcBorders>
              <w:bottom w:val="single" w:color="000000" w:sz="2" w:space="0"/>
              <w:top w:val="nil"/>
            </w:tcBorders>
          </w:tcPr>
          <w:p>
            <w:pPr>
              <w:rPr>
                <w:rFonts w:ascii="Arial"/>
                <w:sz w:val="21"/>
              </w:rPr>
            </w:pPr>
            <w:r/>
          </w:p>
        </w:tc>
        <w:tc>
          <w:tcPr>
            <w:tcW w:w="1059" w:type="dxa"/>
            <w:vAlign w:val="top"/>
            <w:tcBorders>
              <w:bottom w:val="single" w:color="000000" w:sz="2" w:space="0"/>
              <w:top w:val="single" w:color="000000" w:sz="2" w:space="0"/>
            </w:tcBorders>
          </w:tcPr>
          <w:p>
            <w:pPr>
              <w:pStyle w:val="TableText"/>
              <w:ind w:left="23" w:firstLine="9"/>
              <w:spacing w:before="55" w:line="216" w:lineRule="auto"/>
              <w:rPr>
                <w:sz w:val="13"/>
                <w:szCs w:val="13"/>
              </w:rPr>
            </w:pPr>
            <w:r>
              <w:rPr>
                <w:sz w:val="13"/>
                <w:szCs w:val="13"/>
                <w:spacing w:val="-2"/>
              </w:rPr>
              <w:t>尿素(一般很少单</w:t>
            </w:r>
            <w:r>
              <w:rPr>
                <w:sz w:val="13"/>
                <w:szCs w:val="13"/>
                <w:spacing w:val="1"/>
              </w:rPr>
              <w:t xml:space="preserve">  </w:t>
            </w:r>
            <w:r>
              <w:rPr>
                <w:sz w:val="13"/>
                <w:szCs w:val="13"/>
                <w:spacing w:val="-2"/>
              </w:rPr>
              <w:t>独使用须配合磷钾</w:t>
            </w:r>
          </w:p>
          <w:p>
            <w:pPr>
              <w:pStyle w:val="TableText"/>
              <w:ind w:left="292"/>
              <w:spacing w:before="5" w:line="218" w:lineRule="auto"/>
              <w:rPr>
                <w:sz w:val="13"/>
                <w:szCs w:val="13"/>
              </w:rPr>
            </w:pPr>
            <w:r>
              <w:rPr>
                <w:sz w:val="13"/>
                <w:szCs w:val="13"/>
                <w:spacing w:val="5"/>
              </w:rPr>
              <w:t>肥使用)</w:t>
            </w:r>
          </w:p>
        </w:tc>
        <w:tc>
          <w:tcPr>
            <w:tcW w:w="1489" w:type="dxa"/>
            <w:vAlign w:val="top"/>
            <w:tcBorders>
              <w:bottom w:val="single" w:color="000000" w:sz="2" w:space="0"/>
              <w:top w:val="single" w:color="000000" w:sz="2" w:space="0"/>
            </w:tcBorders>
          </w:tcPr>
          <w:p>
            <w:pPr>
              <w:pStyle w:val="TableText"/>
              <w:ind w:left="214"/>
              <w:spacing w:before="203" w:line="216" w:lineRule="auto"/>
              <w:rPr>
                <w:sz w:val="13"/>
                <w:szCs w:val="13"/>
              </w:rPr>
            </w:pPr>
            <w:r>
              <w:rPr>
                <w:sz w:val="13"/>
                <w:szCs w:val="13"/>
                <w:spacing w:val="-1"/>
              </w:rPr>
              <w:t>0O(NH2)2,含氮46%</w:t>
            </w:r>
          </w:p>
        </w:tc>
        <w:tc>
          <w:tcPr>
            <w:tcW w:w="1229" w:type="dxa"/>
            <w:vAlign w:val="top"/>
            <w:tcBorders>
              <w:bottom w:val="single" w:color="000000" w:sz="2" w:space="0"/>
              <w:top w:val="single" w:color="000000" w:sz="2" w:space="0"/>
            </w:tcBorders>
          </w:tcPr>
          <w:p>
            <w:pPr>
              <w:pStyle w:val="TableText"/>
              <w:ind w:left="24"/>
              <w:spacing w:before="141" w:line="205" w:lineRule="auto"/>
              <w:rPr>
                <w:sz w:val="13"/>
                <w:szCs w:val="13"/>
              </w:rPr>
            </w:pPr>
            <w:r>
              <w:rPr>
                <w:sz w:val="13"/>
                <w:szCs w:val="13"/>
                <w:spacing w:val="-1"/>
              </w:rPr>
              <w:t>直接撒施：20-25kg/</w:t>
            </w:r>
          </w:p>
          <w:p>
            <w:pPr>
              <w:pStyle w:val="TableText"/>
              <w:ind w:left="545"/>
              <w:spacing w:line="219" w:lineRule="auto"/>
              <w:rPr>
                <w:sz w:val="13"/>
                <w:szCs w:val="13"/>
              </w:rPr>
            </w:pPr>
            <w:r>
              <w:rPr>
                <w:sz w:val="13"/>
                <w:szCs w:val="13"/>
              </w:rPr>
              <w:t>亩</w:t>
            </w:r>
          </w:p>
        </w:tc>
        <w:tc>
          <w:tcPr>
            <w:tcW w:w="1369" w:type="dxa"/>
            <w:vAlign w:val="top"/>
            <w:tcBorders>
              <w:bottom w:val="single" w:color="000000" w:sz="2" w:space="0"/>
              <w:top w:val="single" w:color="000000" w:sz="2" w:space="0"/>
            </w:tcBorders>
          </w:tcPr>
          <w:p>
            <w:pPr>
              <w:pStyle w:val="TableText"/>
              <w:ind w:left="226"/>
              <w:spacing w:before="205" w:line="219" w:lineRule="auto"/>
              <w:rPr>
                <w:sz w:val="13"/>
                <w:szCs w:val="13"/>
              </w:rPr>
            </w:pPr>
            <w:r>
              <w:rPr>
                <w:sz w:val="13"/>
                <w:szCs w:val="13"/>
                <w:spacing w:val="-1"/>
              </w:rPr>
              <w:t>视草坪生长情况</w:t>
            </w:r>
          </w:p>
        </w:tc>
        <w:tc>
          <w:tcPr>
            <w:tcW w:w="919" w:type="dxa"/>
            <w:vAlign w:val="top"/>
            <w:tcBorders>
              <w:bottom w:val="single" w:color="000000" w:sz="2" w:space="0"/>
              <w:top w:val="single" w:color="000000" w:sz="2" w:space="0"/>
            </w:tcBorders>
          </w:tcPr>
          <w:p>
            <w:pPr>
              <w:pStyle w:val="TableText"/>
              <w:ind w:left="157"/>
              <w:spacing w:before="201" w:line="213" w:lineRule="auto"/>
              <w:rPr>
                <w:sz w:val="13"/>
                <w:szCs w:val="13"/>
              </w:rPr>
            </w:pPr>
            <w:r>
              <w:rPr>
                <w:sz w:val="13"/>
                <w:szCs w:val="13"/>
                <w:spacing w:val="5"/>
              </w:rPr>
              <w:t>(50</w:t>
            </w:r>
            <w:r>
              <w:rPr>
                <w:sz w:val="13"/>
                <w:szCs w:val="13"/>
              </w:rPr>
              <w:t>kg</w:t>
            </w:r>
            <w:r>
              <w:rPr>
                <w:sz w:val="13"/>
                <w:szCs w:val="13"/>
                <w:spacing w:val="5"/>
              </w:rPr>
              <w:t>/袋)</w:t>
            </w:r>
          </w:p>
        </w:tc>
        <w:tc>
          <w:tcPr>
            <w:tcW w:w="2833" w:type="dxa"/>
            <w:vAlign w:val="top"/>
            <w:tcBorders>
              <w:bottom w:val="single" w:color="000000" w:sz="2" w:space="0"/>
              <w:top w:val="single" w:color="000000" w:sz="2" w:space="0"/>
            </w:tcBorders>
          </w:tcPr>
          <w:p>
            <w:pPr>
              <w:pStyle w:val="TableText"/>
              <w:ind w:left="18" w:right="139"/>
              <w:spacing w:before="134" w:line="221" w:lineRule="auto"/>
              <w:rPr>
                <w:sz w:val="13"/>
                <w:szCs w:val="13"/>
              </w:rPr>
            </w:pPr>
            <w:r>
              <w:rPr>
                <w:sz w:val="13"/>
                <w:szCs w:val="13"/>
              </w:rPr>
              <w:t>促进草坪生长。增绿，1万平方米年度的用量： </w:t>
            </w:r>
            <w:r>
              <w:rPr>
                <w:sz w:val="13"/>
                <w:szCs w:val="13"/>
                <w:spacing w:val="-4"/>
              </w:rPr>
              <w:t>100kg。</w:t>
            </w:r>
          </w:p>
        </w:tc>
      </w:tr>
    </w:tbl>
    <w:p>
      <w:pPr>
        <w:spacing w:line="14" w:lineRule="auto"/>
        <w:rPr>
          <w:rFonts w:ascii="Arial"/>
          <w:sz w:val="2"/>
        </w:rPr>
      </w:pPr>
      <w:r/>
    </w:p>
    <w:p>
      <w:pPr>
        <w:spacing w:line="14" w:lineRule="auto"/>
        <w:sectPr>
          <w:pgSz w:w="14490" w:h="10240"/>
          <w:pgMar w:top="134" w:right="284" w:bottom="205" w:left="234" w:header="0" w:footer="0" w:gutter="0"/>
        </w:sectPr>
        <w:rPr>
          <w:rFonts w:ascii="Arial" w:hAnsi="Arial" w:eastAsia="Arial" w:cs="Arial"/>
          <w:sz w:val="2"/>
          <w:szCs w:val="2"/>
        </w:rPr>
      </w:pPr>
    </w:p>
    <w:tbl>
      <w:tblPr>
        <w:tblStyle w:val="TableNormal"/>
        <w:tblW w:w="140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15"/>
        <w:gridCol w:w="610"/>
        <w:gridCol w:w="959"/>
        <w:gridCol w:w="2908"/>
        <w:gridCol w:w="1059"/>
        <w:gridCol w:w="1479"/>
        <w:gridCol w:w="1229"/>
        <w:gridCol w:w="1369"/>
        <w:gridCol w:w="919"/>
        <w:gridCol w:w="2853"/>
      </w:tblGrid>
      <w:tr>
        <w:trPr>
          <w:trHeight w:val="534" w:hRule="atLeast"/>
        </w:trPr>
        <w:tc>
          <w:tcPr>
            <w:tcW w:w="615" w:type="dxa"/>
            <w:vAlign w:val="top"/>
          </w:tcPr>
          <w:p>
            <w:pPr>
              <w:pStyle w:val="TableText"/>
              <w:ind w:left="166"/>
              <w:spacing w:before="198" w:line="219" w:lineRule="auto"/>
              <w:rPr>
                <w:sz w:val="13"/>
                <w:szCs w:val="13"/>
              </w:rPr>
            </w:pPr>
            <w:r>
              <w:rPr>
                <w:sz w:val="13"/>
                <w:szCs w:val="13"/>
                <w:b/>
                <w:bCs/>
                <w:spacing w:val="-4"/>
              </w:rPr>
              <w:t>分类</w:t>
            </w:r>
          </w:p>
        </w:tc>
        <w:tc>
          <w:tcPr>
            <w:tcW w:w="610" w:type="dxa"/>
            <w:vAlign w:val="top"/>
          </w:tcPr>
          <w:p>
            <w:pPr>
              <w:pStyle w:val="TableText"/>
              <w:ind w:left="31"/>
              <w:spacing w:before="48" w:line="214" w:lineRule="auto"/>
              <w:rPr>
                <w:sz w:val="13"/>
                <w:szCs w:val="13"/>
              </w:rPr>
            </w:pPr>
            <w:r>
              <w:rPr>
                <w:sz w:val="13"/>
                <w:szCs w:val="13"/>
                <w:b/>
                <w:bCs/>
                <w:spacing w:val="-3"/>
              </w:rPr>
              <w:t>消杀预防</w:t>
            </w:r>
          </w:p>
          <w:p>
            <w:pPr>
              <w:pStyle w:val="TableText"/>
              <w:ind w:left="21"/>
              <w:spacing w:line="198" w:lineRule="auto"/>
              <w:rPr>
                <w:sz w:val="13"/>
                <w:szCs w:val="13"/>
              </w:rPr>
            </w:pPr>
            <w:r>
              <w:rPr>
                <w:sz w:val="13"/>
                <w:szCs w:val="13"/>
                <w:b/>
                <w:bCs/>
                <w:spacing w:val="-3"/>
              </w:rPr>
              <w:t>及病虫害</w:t>
            </w:r>
          </w:p>
          <w:p>
            <w:pPr>
              <w:pStyle w:val="TableText"/>
              <w:ind w:left="161"/>
              <w:spacing w:line="219" w:lineRule="auto"/>
              <w:rPr>
                <w:sz w:val="13"/>
                <w:szCs w:val="13"/>
              </w:rPr>
            </w:pPr>
            <w:r>
              <w:rPr>
                <w:sz w:val="13"/>
                <w:szCs w:val="13"/>
                <w:b/>
                <w:bCs/>
                <w:spacing w:val="-4"/>
              </w:rPr>
              <w:t>分类</w:t>
            </w:r>
          </w:p>
        </w:tc>
        <w:tc>
          <w:tcPr>
            <w:tcW w:w="959" w:type="dxa"/>
            <w:vAlign w:val="top"/>
          </w:tcPr>
          <w:p>
            <w:pPr>
              <w:pStyle w:val="TableText"/>
              <w:ind w:left="141"/>
              <w:spacing w:before="198" w:line="219" w:lineRule="auto"/>
              <w:rPr>
                <w:sz w:val="13"/>
                <w:szCs w:val="13"/>
              </w:rPr>
            </w:pPr>
            <w:r>
              <w:rPr>
                <w:sz w:val="13"/>
                <w:szCs w:val="13"/>
                <w:b/>
                <w:bCs/>
                <w:spacing w:val="-3"/>
              </w:rPr>
              <w:t>常见病虫害</w:t>
            </w:r>
          </w:p>
        </w:tc>
        <w:tc>
          <w:tcPr>
            <w:tcW w:w="2908" w:type="dxa"/>
            <w:vAlign w:val="top"/>
          </w:tcPr>
          <w:p>
            <w:pPr>
              <w:pStyle w:val="TableText"/>
              <w:ind w:left="12"/>
              <w:spacing w:before="198" w:line="219" w:lineRule="auto"/>
              <w:rPr>
                <w:sz w:val="13"/>
                <w:szCs w:val="13"/>
              </w:rPr>
            </w:pPr>
            <w:r>
              <w:rPr>
                <w:sz w:val="13"/>
                <w:szCs w:val="13"/>
                <w:b/>
                <w:bCs/>
                <w:spacing w:val="-3"/>
              </w:rPr>
              <w:t>主要发病月份</w:t>
            </w:r>
          </w:p>
        </w:tc>
        <w:tc>
          <w:tcPr>
            <w:tcW w:w="1059" w:type="dxa"/>
            <w:vAlign w:val="top"/>
          </w:tcPr>
          <w:p>
            <w:pPr>
              <w:pStyle w:val="TableText"/>
              <w:ind w:left="264"/>
              <w:spacing w:before="198" w:line="220" w:lineRule="auto"/>
              <w:rPr>
                <w:sz w:val="13"/>
                <w:szCs w:val="13"/>
              </w:rPr>
            </w:pPr>
            <w:r>
              <w:rPr>
                <w:sz w:val="13"/>
                <w:szCs w:val="13"/>
                <w:b/>
                <w:bCs/>
                <w:spacing w:val="-3"/>
              </w:rPr>
              <w:t>药品名称</w:t>
            </w:r>
          </w:p>
        </w:tc>
        <w:tc>
          <w:tcPr>
            <w:tcW w:w="1479" w:type="dxa"/>
            <w:vAlign w:val="top"/>
          </w:tcPr>
          <w:p>
            <w:pPr>
              <w:pStyle w:val="TableText"/>
              <w:ind w:left="475"/>
              <w:spacing w:before="198" w:line="220" w:lineRule="auto"/>
              <w:rPr>
                <w:sz w:val="13"/>
                <w:szCs w:val="13"/>
              </w:rPr>
            </w:pPr>
            <w:r>
              <w:rPr>
                <w:sz w:val="13"/>
                <w:szCs w:val="13"/>
                <w:b/>
                <w:bCs/>
                <w:spacing w:val="-3"/>
              </w:rPr>
              <w:t>主要成分</w:t>
            </w:r>
          </w:p>
        </w:tc>
        <w:tc>
          <w:tcPr>
            <w:tcW w:w="1229" w:type="dxa"/>
            <w:vAlign w:val="top"/>
          </w:tcPr>
          <w:p>
            <w:pPr>
              <w:pStyle w:val="TableText"/>
              <w:ind w:left="346"/>
              <w:spacing w:before="198" w:line="219" w:lineRule="auto"/>
              <w:rPr>
                <w:sz w:val="13"/>
                <w:szCs w:val="13"/>
              </w:rPr>
            </w:pPr>
            <w:r>
              <w:rPr>
                <w:sz w:val="13"/>
                <w:szCs w:val="13"/>
                <w:b/>
                <w:bCs/>
                <w:spacing w:val="-3"/>
              </w:rPr>
              <w:t>使用倍率</w:t>
            </w:r>
          </w:p>
        </w:tc>
        <w:tc>
          <w:tcPr>
            <w:tcW w:w="1369" w:type="dxa"/>
            <w:vAlign w:val="top"/>
          </w:tcPr>
          <w:p>
            <w:pPr>
              <w:pStyle w:val="TableText"/>
              <w:ind w:left="417"/>
              <w:spacing w:before="198" w:line="219" w:lineRule="auto"/>
              <w:rPr>
                <w:sz w:val="13"/>
                <w:szCs w:val="13"/>
              </w:rPr>
            </w:pPr>
            <w:r>
              <w:rPr>
                <w:sz w:val="13"/>
                <w:szCs w:val="13"/>
                <w:b/>
                <w:bCs/>
                <w:spacing w:val="-3"/>
              </w:rPr>
              <w:t>施用次数</w:t>
            </w:r>
          </w:p>
        </w:tc>
        <w:tc>
          <w:tcPr>
            <w:tcW w:w="919" w:type="dxa"/>
            <w:vAlign w:val="top"/>
          </w:tcPr>
          <w:p>
            <w:pPr>
              <w:pStyle w:val="TableText"/>
              <w:ind w:left="328"/>
              <w:spacing w:before="198" w:line="219" w:lineRule="auto"/>
              <w:rPr>
                <w:sz w:val="13"/>
                <w:szCs w:val="13"/>
              </w:rPr>
            </w:pPr>
            <w:r>
              <w:rPr>
                <w:sz w:val="13"/>
                <w:szCs w:val="13"/>
                <w:b/>
                <w:bCs/>
                <w:spacing w:val="-3"/>
              </w:rPr>
              <w:t>规格</w:t>
            </w:r>
          </w:p>
        </w:tc>
        <w:tc>
          <w:tcPr>
            <w:tcW w:w="2853" w:type="dxa"/>
            <w:vAlign w:val="top"/>
          </w:tcPr>
          <w:p>
            <w:pPr>
              <w:pStyle w:val="TableText"/>
              <w:ind w:left="1299"/>
              <w:spacing w:before="199" w:line="221" w:lineRule="auto"/>
              <w:rPr>
                <w:sz w:val="13"/>
                <w:szCs w:val="13"/>
              </w:rPr>
            </w:pPr>
            <w:r>
              <w:rPr>
                <w:sz w:val="13"/>
                <w:szCs w:val="13"/>
                <w:b/>
                <w:bCs/>
                <w:spacing w:val="-4"/>
              </w:rPr>
              <w:t>备注</w:t>
            </w:r>
          </w:p>
        </w:tc>
      </w:tr>
      <w:tr>
        <w:trPr>
          <w:trHeight w:val="928" w:hRule="atLeast"/>
        </w:trPr>
        <w:tc>
          <w:tcPr>
            <w:tcW w:w="615"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4"/>
              <w:spacing w:before="43" w:line="219" w:lineRule="auto"/>
              <w:rPr>
                <w:sz w:val="13"/>
                <w:szCs w:val="13"/>
              </w:rPr>
            </w:pPr>
            <w:r>
              <w:rPr>
                <w:sz w:val="13"/>
                <w:szCs w:val="13"/>
                <w:spacing w:val="-2"/>
              </w:rPr>
              <w:t>营养剂/肥</w:t>
            </w:r>
          </w:p>
          <w:p>
            <w:pPr>
              <w:pStyle w:val="TableText"/>
              <w:ind w:left="235"/>
              <w:spacing w:before="6" w:line="220" w:lineRule="auto"/>
              <w:rPr>
                <w:sz w:val="13"/>
                <w:szCs w:val="13"/>
              </w:rPr>
            </w:pPr>
            <w:r>
              <w:rPr>
                <w:sz w:val="13"/>
                <w:szCs w:val="13"/>
              </w:rPr>
              <w:t>料</w:t>
            </w:r>
          </w:p>
        </w:tc>
        <w:tc>
          <w:tcPr>
            <w:tcW w:w="610" w:type="dxa"/>
            <w:vAlign w:val="top"/>
            <w:vMerge w:val="restart"/>
            <w:tcBorders>
              <w:bottom w:val="nil"/>
            </w:tcBorders>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30"/>
              <w:spacing w:before="42" w:line="219" w:lineRule="auto"/>
              <w:rPr>
                <w:sz w:val="13"/>
                <w:szCs w:val="13"/>
              </w:rPr>
            </w:pPr>
            <w:r>
              <w:rPr>
                <w:sz w:val="13"/>
                <w:szCs w:val="13"/>
                <w:spacing w:val="-2"/>
              </w:rPr>
              <w:t>草皮覆绿</w:t>
            </w:r>
          </w:p>
        </w:tc>
        <w:tc>
          <w:tcPr>
            <w:tcW w:w="959"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209" w:right="165" w:hanging="69"/>
              <w:spacing w:before="42" w:line="229" w:lineRule="auto"/>
              <w:rPr>
                <w:sz w:val="13"/>
                <w:szCs w:val="13"/>
              </w:rPr>
            </w:pPr>
            <w:r>
              <w:rPr>
                <w:sz w:val="13"/>
                <w:szCs w:val="13"/>
                <w:spacing w:val="-2"/>
              </w:rPr>
              <w:t>草坪发芽及</w:t>
            </w:r>
            <w:r>
              <w:rPr>
                <w:sz w:val="13"/>
                <w:szCs w:val="13"/>
                <w:spacing w:val="2"/>
              </w:rPr>
              <w:t xml:space="preserve"> </w:t>
            </w:r>
            <w:r>
              <w:rPr>
                <w:sz w:val="13"/>
                <w:szCs w:val="13"/>
                <w:spacing w:val="-2"/>
              </w:rPr>
              <w:t>长势不良</w:t>
            </w:r>
          </w:p>
        </w:tc>
        <w:tc>
          <w:tcPr>
            <w:tcW w:w="2908"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1"/>
              <w:spacing w:before="43" w:line="223" w:lineRule="auto"/>
              <w:rPr>
                <w:sz w:val="13"/>
                <w:szCs w:val="13"/>
              </w:rPr>
            </w:pPr>
            <w:r>
              <w:rPr>
                <w:sz w:val="13"/>
                <w:szCs w:val="13"/>
                <w:spacing w:val="-2"/>
              </w:rPr>
              <w:t>一、主要集中在4-5月，气温上升，空气湿度增加，</w:t>
            </w:r>
            <w:r>
              <w:rPr>
                <w:sz w:val="13"/>
                <w:szCs w:val="13"/>
                <w:spacing w:val="8"/>
              </w:rPr>
              <w:t xml:space="preserve"> </w:t>
            </w:r>
            <w:r>
              <w:rPr>
                <w:sz w:val="13"/>
                <w:szCs w:val="13"/>
                <w:spacing w:val="-6"/>
              </w:rPr>
              <w:t>苗木结束体眠期开始返青，是草皮施肥复绿最佳时机</w:t>
            </w:r>
          </w:p>
          <w:p>
            <w:pPr>
              <w:pStyle w:val="TableText"/>
              <w:ind w:left="11" w:right="2" w:firstLine="9"/>
              <w:spacing w:before="133" w:line="216" w:lineRule="auto"/>
              <w:rPr>
                <w:sz w:val="13"/>
                <w:szCs w:val="13"/>
              </w:rPr>
            </w:pPr>
            <w:r>
              <w:rPr>
                <w:sz w:val="13"/>
                <w:szCs w:val="13"/>
                <w:spacing w:val="-1"/>
              </w:rPr>
              <w:t>二、6-7月有个别情况，做专项治疗2,6-9月有个别</w:t>
            </w:r>
            <w:r>
              <w:rPr>
                <w:sz w:val="13"/>
                <w:szCs w:val="13"/>
                <w:spacing w:val="17"/>
                <w:w w:val="101"/>
              </w:rPr>
              <w:t xml:space="preserve"> </w:t>
            </w:r>
            <w:r>
              <w:rPr>
                <w:sz w:val="13"/>
                <w:szCs w:val="13"/>
                <w:spacing w:val="-11"/>
              </w:rPr>
              <w:t>情况</w:t>
            </w:r>
            <w:r>
              <w:rPr>
                <w:sz w:val="13"/>
                <w:szCs w:val="13"/>
                <w:spacing w:val="-10"/>
              </w:rPr>
              <w:t>，做专项治疗一般每月施肥一次，每次用量为春</w:t>
            </w:r>
            <w:r>
              <w:rPr>
                <w:sz w:val="13"/>
                <w:szCs w:val="13"/>
                <w:spacing w:val="-8"/>
              </w:rPr>
              <w:t>季</w:t>
            </w:r>
            <w:r>
              <w:rPr>
                <w:sz w:val="13"/>
                <w:szCs w:val="13"/>
                <w:spacing w:val="3"/>
              </w:rPr>
              <w:t xml:space="preserve"> </w:t>
            </w:r>
            <w:r>
              <w:rPr>
                <w:sz w:val="13"/>
                <w:szCs w:val="13"/>
                <w:spacing w:val="-1"/>
              </w:rPr>
              <w:t>的一率左右，9-10月份下冬肥。</w:t>
            </w:r>
          </w:p>
        </w:tc>
        <w:tc>
          <w:tcPr>
            <w:tcW w:w="1059" w:type="dxa"/>
            <w:vAlign w:val="top"/>
          </w:tcPr>
          <w:p>
            <w:pPr>
              <w:spacing w:line="291" w:lineRule="auto"/>
              <w:rPr>
                <w:rFonts w:ascii="Arial"/>
                <w:sz w:val="21"/>
              </w:rPr>
            </w:pPr>
            <w:r/>
          </w:p>
          <w:p>
            <w:pPr>
              <w:pStyle w:val="TableText"/>
              <w:ind w:left="33"/>
              <w:spacing w:before="43" w:line="200" w:lineRule="auto"/>
              <w:rPr>
                <w:sz w:val="13"/>
                <w:szCs w:val="13"/>
              </w:rPr>
            </w:pPr>
            <w:r>
              <w:rPr>
                <w:sz w:val="13"/>
                <w:szCs w:val="13"/>
                <w:spacing w:val="-1"/>
              </w:rPr>
              <w:t>有机-无机复混肥</w:t>
            </w:r>
          </w:p>
          <w:p>
            <w:pPr>
              <w:pStyle w:val="TableText"/>
              <w:ind w:left="453"/>
              <w:spacing w:line="220" w:lineRule="auto"/>
              <w:rPr>
                <w:sz w:val="13"/>
                <w:szCs w:val="13"/>
              </w:rPr>
            </w:pPr>
            <w:r>
              <w:rPr>
                <w:sz w:val="13"/>
                <w:szCs w:val="13"/>
              </w:rPr>
              <w:t>料</w:t>
            </w:r>
          </w:p>
        </w:tc>
        <w:tc>
          <w:tcPr>
            <w:tcW w:w="1479" w:type="dxa"/>
            <w:vAlign w:val="top"/>
          </w:tcPr>
          <w:p>
            <w:pPr>
              <w:pStyle w:val="TableText"/>
              <w:spacing w:before="116" w:line="199" w:lineRule="auto"/>
              <w:jc w:val="right"/>
              <w:rPr>
                <w:sz w:val="13"/>
                <w:szCs w:val="13"/>
              </w:rPr>
            </w:pPr>
            <w:r>
              <w:rPr>
                <w:sz w:val="13"/>
                <w:szCs w:val="13"/>
                <w:spacing w:val="2"/>
              </w:rPr>
              <w:t>含有植物生长所雪的飘、</w:t>
            </w:r>
          </w:p>
          <w:p>
            <w:pPr>
              <w:pStyle w:val="TableText"/>
              <w:ind w:left="13"/>
              <w:spacing w:line="219" w:lineRule="auto"/>
              <w:rPr>
                <w:sz w:val="13"/>
                <w:szCs w:val="13"/>
              </w:rPr>
            </w:pPr>
            <w:r>
              <w:rPr>
                <w:sz w:val="13"/>
                <w:szCs w:val="13"/>
                <w:spacing w:val="-1"/>
              </w:rPr>
              <w:t>磷、钾，满足植物在整个</w:t>
            </w:r>
          </w:p>
          <w:p>
            <w:pPr>
              <w:pStyle w:val="TableText"/>
              <w:ind w:left="13"/>
              <w:spacing w:before="5" w:line="219" w:lineRule="auto"/>
              <w:rPr>
                <w:sz w:val="13"/>
                <w:szCs w:val="13"/>
              </w:rPr>
            </w:pPr>
            <w:r>
              <w:rPr>
                <w:sz w:val="13"/>
                <w:szCs w:val="13"/>
                <w:spacing w:val="-1"/>
              </w:rPr>
              <w:t>生长期所雷的养分，还添</w:t>
            </w:r>
          </w:p>
          <w:p>
            <w:pPr>
              <w:pStyle w:val="TableText"/>
              <w:ind w:left="13"/>
              <w:spacing w:before="5" w:line="199" w:lineRule="auto"/>
              <w:rPr>
                <w:sz w:val="13"/>
                <w:szCs w:val="13"/>
              </w:rPr>
            </w:pPr>
            <w:r>
              <w:rPr>
                <w:sz w:val="13"/>
                <w:szCs w:val="13"/>
                <w:spacing w:val="-1"/>
              </w:rPr>
              <w:t>加了适量的有机质和复合</w:t>
            </w:r>
          </w:p>
          <w:p>
            <w:pPr>
              <w:pStyle w:val="TableText"/>
              <w:ind w:left="374"/>
              <w:spacing w:line="219" w:lineRule="auto"/>
              <w:rPr>
                <w:sz w:val="13"/>
                <w:szCs w:val="13"/>
              </w:rPr>
            </w:pPr>
            <w:r>
              <w:rPr>
                <w:sz w:val="13"/>
                <w:szCs w:val="13"/>
                <w:spacing w:val="-4"/>
              </w:rPr>
              <w:t>微生物菌种。</w:t>
            </w:r>
          </w:p>
        </w:tc>
        <w:tc>
          <w:tcPr>
            <w:tcW w:w="1229" w:type="dxa"/>
            <w:vAlign w:val="top"/>
          </w:tcPr>
          <w:p>
            <w:pPr>
              <w:spacing w:line="352" w:lineRule="auto"/>
              <w:rPr>
                <w:rFonts w:ascii="Arial"/>
                <w:sz w:val="21"/>
              </w:rPr>
            </w:pPr>
            <w:r/>
          </w:p>
          <w:p>
            <w:pPr>
              <w:pStyle w:val="TableText"/>
              <w:ind w:left="14"/>
              <w:spacing w:before="42" w:line="220" w:lineRule="auto"/>
              <w:rPr>
                <w:sz w:val="13"/>
                <w:szCs w:val="13"/>
              </w:rPr>
            </w:pPr>
            <w:r>
              <w:rPr>
                <w:sz w:val="13"/>
                <w:szCs w:val="13"/>
                <w:spacing w:val="-1"/>
              </w:rPr>
              <w:t>穴施或撤施</w:t>
            </w:r>
          </w:p>
        </w:tc>
        <w:tc>
          <w:tcPr>
            <w:tcW w:w="1369" w:type="dxa"/>
            <w:vAlign w:val="top"/>
          </w:tcPr>
          <w:p>
            <w:pPr>
              <w:spacing w:line="351" w:lineRule="auto"/>
              <w:rPr>
                <w:rFonts w:ascii="Arial"/>
                <w:sz w:val="21"/>
              </w:rPr>
            </w:pPr>
            <w:r/>
          </w:p>
          <w:p>
            <w:pPr>
              <w:pStyle w:val="TableText"/>
              <w:ind w:left="226"/>
              <w:spacing w:before="43" w:line="219" w:lineRule="auto"/>
              <w:rPr>
                <w:sz w:val="13"/>
                <w:szCs w:val="13"/>
              </w:rPr>
            </w:pPr>
            <w:r>
              <w:rPr>
                <w:sz w:val="13"/>
                <w:szCs w:val="13"/>
                <w:spacing w:val="-1"/>
              </w:rPr>
              <w:t>视草坪生长情况</w:t>
            </w:r>
          </w:p>
        </w:tc>
        <w:tc>
          <w:tcPr>
            <w:tcW w:w="919" w:type="dxa"/>
            <w:vAlign w:val="top"/>
          </w:tcPr>
          <w:p>
            <w:pPr>
              <w:spacing w:line="355" w:lineRule="auto"/>
              <w:rPr>
                <w:rFonts w:ascii="Arial"/>
                <w:sz w:val="21"/>
              </w:rPr>
            </w:pPr>
            <w:r/>
          </w:p>
          <w:p>
            <w:pPr>
              <w:pStyle w:val="TableText"/>
              <w:ind w:left="417"/>
              <w:spacing w:before="42" w:line="224" w:lineRule="auto"/>
              <w:rPr>
                <w:sz w:val="13"/>
                <w:szCs w:val="13"/>
              </w:rPr>
            </w:pPr>
            <w:r>
              <w:rPr>
                <w:sz w:val="13"/>
                <w:szCs w:val="13"/>
              </w:rPr>
              <w:t>/</w:t>
            </w:r>
          </w:p>
        </w:tc>
        <w:tc>
          <w:tcPr>
            <w:tcW w:w="2853" w:type="dxa"/>
            <w:vAlign w:val="top"/>
          </w:tcPr>
          <w:p>
            <w:pPr>
              <w:spacing w:line="302" w:lineRule="auto"/>
              <w:rPr>
                <w:rFonts w:ascii="Arial"/>
                <w:sz w:val="21"/>
              </w:rPr>
            </w:pPr>
            <w:r/>
          </w:p>
          <w:p>
            <w:pPr>
              <w:pStyle w:val="TableText"/>
              <w:ind w:left="8"/>
              <w:spacing w:before="42" w:line="210" w:lineRule="auto"/>
              <w:rPr>
                <w:sz w:val="13"/>
                <w:szCs w:val="13"/>
              </w:rPr>
            </w:pPr>
            <w:r>
              <w:rPr>
                <w:sz w:val="13"/>
                <w:szCs w:val="13"/>
                <w:spacing w:val="-11"/>
              </w:rPr>
              <w:t>改善</w:t>
            </w:r>
            <w:r>
              <w:rPr>
                <w:sz w:val="13"/>
                <w:szCs w:val="13"/>
                <w:spacing w:val="-10"/>
              </w:rPr>
              <w:t>土壤结构，增强通风、储水能力。1万平方米年</w:t>
            </w:r>
            <w:r>
              <w:rPr>
                <w:sz w:val="13"/>
                <w:szCs w:val="13"/>
                <w:spacing w:val="-8"/>
              </w:rPr>
              <w:t>度</w:t>
            </w:r>
            <w:r>
              <w:rPr>
                <w:sz w:val="13"/>
                <w:szCs w:val="13"/>
                <w:spacing w:val="18"/>
                <w:w w:val="101"/>
              </w:rPr>
              <w:t xml:space="preserve"> </w:t>
            </w:r>
            <w:r>
              <w:rPr>
                <w:sz w:val="13"/>
                <w:szCs w:val="13"/>
                <w:spacing w:val="-1"/>
              </w:rPr>
              <w:t>约用量：500kg。</w:t>
            </w:r>
          </w:p>
        </w:tc>
      </w:tr>
      <w:tr>
        <w:trPr>
          <w:trHeight w:val="918" w:hRule="atLeast"/>
        </w:trPr>
        <w:tc>
          <w:tcPr>
            <w:tcW w:w="615" w:type="dxa"/>
            <w:vAlign w:val="top"/>
            <w:vMerge w:val="continue"/>
            <w:tcBorders>
              <w:top w:val="nil"/>
              <w:bottom w:val="nil"/>
            </w:tcBorders>
          </w:tcPr>
          <w:p>
            <w:pPr>
              <w:rPr>
                <w:rFonts w:ascii="Arial"/>
                <w:sz w:val="21"/>
              </w:rPr>
            </w:pPr>
            <w:r/>
          </w:p>
        </w:tc>
        <w:tc>
          <w:tcPr>
            <w:tcW w:w="61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908" w:type="dxa"/>
            <w:vAlign w:val="top"/>
            <w:vMerge w:val="continue"/>
            <w:tcBorders>
              <w:top w:val="nil"/>
              <w:bottom w:val="nil"/>
            </w:tcBorders>
          </w:tcPr>
          <w:p>
            <w:pPr>
              <w:rPr>
                <w:rFonts w:ascii="Arial"/>
                <w:sz w:val="21"/>
              </w:rPr>
            </w:pPr>
            <w:r/>
          </w:p>
        </w:tc>
        <w:tc>
          <w:tcPr>
            <w:tcW w:w="1059" w:type="dxa"/>
            <w:vAlign w:val="top"/>
          </w:tcPr>
          <w:p>
            <w:pPr>
              <w:spacing w:line="353" w:lineRule="auto"/>
              <w:rPr>
                <w:rFonts w:ascii="Arial"/>
                <w:sz w:val="21"/>
              </w:rPr>
            </w:pPr>
            <w:r/>
          </w:p>
          <w:p>
            <w:pPr>
              <w:pStyle w:val="TableText"/>
              <w:ind w:left="13"/>
              <w:spacing w:before="42" w:line="219" w:lineRule="auto"/>
              <w:rPr>
                <w:sz w:val="13"/>
                <w:szCs w:val="13"/>
              </w:rPr>
            </w:pPr>
            <w:r>
              <w:rPr>
                <w:sz w:val="13"/>
                <w:szCs w:val="13"/>
                <w:spacing w:val="-1"/>
              </w:rPr>
              <w:t>生物活性有机肥</w:t>
            </w:r>
          </w:p>
        </w:tc>
        <w:tc>
          <w:tcPr>
            <w:tcW w:w="1479" w:type="dxa"/>
            <w:vAlign w:val="top"/>
          </w:tcPr>
          <w:p>
            <w:pPr>
              <w:pStyle w:val="TableText"/>
              <w:ind w:left="114"/>
              <w:spacing w:before="26" w:line="216" w:lineRule="auto"/>
              <w:rPr>
                <w:sz w:val="13"/>
                <w:szCs w:val="13"/>
              </w:rPr>
            </w:pPr>
            <w:r>
              <w:rPr>
                <w:sz w:val="13"/>
                <w:szCs w:val="13"/>
                <w:spacing w:val="-1"/>
              </w:rPr>
              <w:t>氮磷钾大于65,有机质</w:t>
            </w:r>
          </w:p>
          <w:p>
            <w:pPr>
              <w:pStyle w:val="TableText"/>
              <w:ind w:left="83"/>
              <w:spacing w:before="7" w:line="199" w:lineRule="auto"/>
              <w:rPr>
                <w:sz w:val="13"/>
                <w:szCs w:val="13"/>
              </w:rPr>
            </w:pPr>
            <w:r>
              <w:rPr>
                <w:sz w:val="13"/>
                <w:szCs w:val="13"/>
                <w:spacing w:val="-1"/>
              </w:rPr>
              <w:t>30%,腐殖酸大于10%,蓖</w:t>
            </w:r>
          </w:p>
          <w:p>
            <w:pPr>
              <w:pStyle w:val="TableText"/>
              <w:ind w:left="13"/>
              <w:spacing w:line="215" w:lineRule="auto"/>
              <w:rPr>
                <w:sz w:val="13"/>
                <w:szCs w:val="13"/>
              </w:rPr>
            </w:pPr>
            <w:r>
              <w:rPr>
                <w:sz w:val="13"/>
                <w:szCs w:val="13"/>
                <w:spacing w:val="-1"/>
              </w:rPr>
              <w:t>麻饼大于20%,土壤调理剂</w:t>
            </w:r>
          </w:p>
          <w:p>
            <w:pPr>
              <w:pStyle w:val="TableText"/>
              <w:spacing w:line="198" w:lineRule="auto"/>
              <w:jc w:val="right"/>
              <w:rPr>
                <w:sz w:val="13"/>
                <w:szCs w:val="13"/>
              </w:rPr>
            </w:pPr>
            <w:r>
              <w:rPr>
                <w:sz w:val="13"/>
                <w:szCs w:val="13"/>
                <w:spacing w:val="-8"/>
              </w:rPr>
              <w:t>大</w:t>
            </w:r>
            <w:r>
              <w:rPr>
                <w:sz w:val="13"/>
                <w:szCs w:val="13"/>
                <w:spacing w:val="-7"/>
              </w:rPr>
              <w:t>于10%活性菌2亿/克，</w:t>
            </w:r>
            <w:r>
              <w:rPr>
                <w:sz w:val="13"/>
                <w:szCs w:val="13"/>
                <w:spacing w:val="-6"/>
              </w:rPr>
              <w:t>微</w:t>
            </w:r>
          </w:p>
          <w:p>
            <w:pPr>
              <w:pStyle w:val="TableText"/>
              <w:spacing w:line="198" w:lineRule="auto"/>
              <w:jc w:val="right"/>
              <w:rPr>
                <w:sz w:val="13"/>
                <w:szCs w:val="13"/>
              </w:rPr>
            </w:pPr>
            <w:r>
              <w:rPr>
                <w:sz w:val="13"/>
                <w:szCs w:val="13"/>
                <w:spacing w:val="-2"/>
              </w:rPr>
              <w:t>量元素钙、镁、碗，铁、</w:t>
            </w:r>
          </w:p>
          <w:p>
            <w:pPr>
              <w:pStyle w:val="TableText"/>
              <w:ind w:left="434"/>
              <w:spacing w:before="1" w:line="212" w:lineRule="auto"/>
              <w:rPr>
                <w:sz w:val="13"/>
                <w:szCs w:val="13"/>
              </w:rPr>
            </w:pPr>
            <w:r>
              <w:rPr>
                <w:sz w:val="13"/>
                <w:szCs w:val="13"/>
                <w:spacing w:val="1"/>
              </w:rPr>
              <w:t>锌、钢等。</w:t>
            </w:r>
          </w:p>
        </w:tc>
        <w:tc>
          <w:tcPr>
            <w:tcW w:w="1229" w:type="dxa"/>
            <w:vAlign w:val="top"/>
          </w:tcPr>
          <w:p>
            <w:pPr>
              <w:spacing w:line="354" w:lineRule="auto"/>
              <w:rPr>
                <w:rFonts w:ascii="Arial"/>
                <w:sz w:val="21"/>
              </w:rPr>
            </w:pPr>
            <w:r/>
          </w:p>
          <w:p>
            <w:pPr>
              <w:pStyle w:val="TableText"/>
              <w:ind w:left="14"/>
              <w:spacing w:before="42" w:line="220" w:lineRule="auto"/>
              <w:rPr>
                <w:sz w:val="13"/>
                <w:szCs w:val="13"/>
              </w:rPr>
            </w:pPr>
            <w:r>
              <w:rPr>
                <w:sz w:val="13"/>
                <w:szCs w:val="13"/>
                <w:spacing w:val="-1"/>
              </w:rPr>
              <w:t>穴施或撤施</w:t>
            </w:r>
          </w:p>
        </w:tc>
        <w:tc>
          <w:tcPr>
            <w:tcW w:w="1369" w:type="dxa"/>
            <w:vAlign w:val="top"/>
            <w:vMerge w:val="restart"/>
            <w:tcBorders>
              <w:bottom w:val="nil"/>
            </w:tcBorders>
          </w:tcPr>
          <w:p>
            <w:pPr>
              <w:spacing w:line="321" w:lineRule="auto"/>
              <w:rPr>
                <w:rFonts w:ascii="Arial"/>
                <w:sz w:val="21"/>
              </w:rPr>
            </w:pPr>
            <w:r/>
          </w:p>
          <w:p>
            <w:pPr>
              <w:spacing w:line="321" w:lineRule="auto"/>
              <w:rPr>
                <w:rFonts w:ascii="Arial"/>
                <w:sz w:val="21"/>
              </w:rPr>
            </w:pPr>
            <w:r/>
          </w:p>
          <w:p>
            <w:pPr>
              <w:pStyle w:val="TableText"/>
              <w:ind w:left="226"/>
              <w:spacing w:before="42" w:line="219" w:lineRule="auto"/>
              <w:rPr>
                <w:sz w:val="13"/>
                <w:szCs w:val="13"/>
              </w:rPr>
            </w:pPr>
            <w:r>
              <w:rPr>
                <w:sz w:val="13"/>
                <w:szCs w:val="13"/>
                <w:spacing w:val="-1"/>
              </w:rPr>
              <w:t>视草坪生长情况</w:t>
            </w:r>
          </w:p>
        </w:tc>
        <w:tc>
          <w:tcPr>
            <w:tcW w:w="919" w:type="dxa"/>
            <w:vAlign w:val="top"/>
          </w:tcPr>
          <w:p>
            <w:pPr>
              <w:spacing w:line="349" w:lineRule="auto"/>
              <w:rPr>
                <w:rFonts w:ascii="Arial"/>
                <w:sz w:val="21"/>
              </w:rPr>
            </w:pPr>
            <w:r/>
          </w:p>
          <w:p>
            <w:pPr>
              <w:pStyle w:val="TableText"/>
              <w:ind w:left="227"/>
              <w:spacing w:before="42" w:line="214" w:lineRule="auto"/>
              <w:rPr>
                <w:sz w:val="13"/>
                <w:szCs w:val="13"/>
              </w:rPr>
            </w:pPr>
            <w:r>
              <w:rPr>
                <w:sz w:val="13"/>
                <w:szCs w:val="13"/>
                <w:spacing w:val="-1"/>
              </w:rPr>
              <w:t>40Kg\袋</w:t>
            </w:r>
          </w:p>
        </w:tc>
        <w:tc>
          <w:tcPr>
            <w:tcW w:w="2853" w:type="dxa"/>
            <w:vAlign w:val="top"/>
          </w:tcPr>
          <w:p>
            <w:pPr>
              <w:spacing w:line="304" w:lineRule="auto"/>
              <w:rPr>
                <w:rFonts w:ascii="Arial"/>
                <w:sz w:val="21"/>
              </w:rPr>
            </w:pPr>
            <w:r/>
          </w:p>
          <w:p>
            <w:pPr>
              <w:pStyle w:val="TableText"/>
              <w:ind w:left="8"/>
              <w:spacing w:before="42" w:line="203" w:lineRule="auto"/>
              <w:rPr>
                <w:sz w:val="13"/>
                <w:szCs w:val="13"/>
              </w:rPr>
            </w:pPr>
            <w:r>
              <w:rPr>
                <w:sz w:val="13"/>
                <w:szCs w:val="13"/>
                <w:spacing w:val="-11"/>
              </w:rPr>
              <w:t>改善</w:t>
            </w:r>
            <w:r>
              <w:rPr>
                <w:sz w:val="13"/>
                <w:szCs w:val="13"/>
                <w:spacing w:val="-10"/>
              </w:rPr>
              <w:t>土壤结构，增强通风、储水能力。1万平方米年</w:t>
            </w:r>
            <w:r>
              <w:rPr>
                <w:sz w:val="13"/>
                <w:szCs w:val="13"/>
                <w:spacing w:val="-8"/>
              </w:rPr>
              <w:t>度</w:t>
            </w:r>
            <w:r>
              <w:rPr>
                <w:sz w:val="13"/>
                <w:szCs w:val="13"/>
                <w:spacing w:val="18"/>
                <w:w w:val="101"/>
              </w:rPr>
              <w:t xml:space="preserve"> </w:t>
            </w:r>
            <w:r>
              <w:rPr>
                <w:sz w:val="13"/>
                <w:szCs w:val="13"/>
                <w:spacing w:val="-1"/>
              </w:rPr>
              <w:t>约用量：400kg。</w:t>
            </w:r>
          </w:p>
        </w:tc>
      </w:tr>
      <w:tr>
        <w:trPr>
          <w:trHeight w:val="569" w:hRule="atLeast"/>
        </w:trPr>
        <w:tc>
          <w:tcPr>
            <w:tcW w:w="615" w:type="dxa"/>
            <w:vAlign w:val="top"/>
            <w:vMerge w:val="continue"/>
            <w:tcBorders>
              <w:top w:val="nil"/>
            </w:tcBorders>
          </w:tcPr>
          <w:p>
            <w:pPr>
              <w:rPr>
                <w:rFonts w:ascii="Arial"/>
                <w:sz w:val="21"/>
              </w:rPr>
            </w:pPr>
            <w:r/>
          </w:p>
        </w:tc>
        <w:tc>
          <w:tcPr>
            <w:tcW w:w="61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908" w:type="dxa"/>
            <w:vAlign w:val="top"/>
            <w:vMerge w:val="continue"/>
            <w:tcBorders>
              <w:top w:val="nil"/>
            </w:tcBorders>
          </w:tcPr>
          <w:p>
            <w:pPr>
              <w:rPr>
                <w:rFonts w:ascii="Arial"/>
                <w:sz w:val="21"/>
              </w:rPr>
            </w:pPr>
            <w:r/>
          </w:p>
        </w:tc>
        <w:tc>
          <w:tcPr>
            <w:tcW w:w="1059" w:type="dxa"/>
            <w:vAlign w:val="top"/>
          </w:tcPr>
          <w:p>
            <w:pPr>
              <w:pStyle w:val="TableText"/>
              <w:ind w:left="329" w:hanging="316"/>
              <w:spacing w:before="149" w:line="216" w:lineRule="auto"/>
              <w:rPr>
                <w:sz w:val="13"/>
                <w:szCs w:val="13"/>
              </w:rPr>
            </w:pPr>
            <w:r>
              <w:rPr>
                <w:sz w:val="13"/>
                <w:szCs w:val="13"/>
                <w:spacing w:val="-1"/>
              </w:rPr>
              <w:t>国光活力源生物有</w:t>
            </w:r>
            <w:r>
              <w:rPr>
                <w:sz w:val="13"/>
                <w:szCs w:val="13"/>
                <w:spacing w:val="2"/>
              </w:rPr>
              <w:t xml:space="preserve"> </w:t>
            </w:r>
            <w:r>
              <w:rPr>
                <w:sz w:val="13"/>
                <w:szCs w:val="13"/>
                <w:spacing w:val="-2"/>
              </w:rPr>
              <w:t>机菌肥</w:t>
            </w:r>
          </w:p>
        </w:tc>
        <w:tc>
          <w:tcPr>
            <w:tcW w:w="1479" w:type="dxa"/>
            <w:vAlign w:val="top"/>
          </w:tcPr>
          <w:p>
            <w:pPr>
              <w:pStyle w:val="TableText"/>
              <w:ind w:left="53" w:firstLine="29"/>
              <w:spacing w:before="148" w:line="218" w:lineRule="auto"/>
              <w:rPr>
                <w:sz w:val="13"/>
                <w:szCs w:val="13"/>
              </w:rPr>
            </w:pPr>
            <w:r>
              <w:rPr>
                <w:sz w:val="13"/>
                <w:szCs w:val="13"/>
                <w:spacing w:val="-2"/>
              </w:rPr>
              <w:t>有机质≥60%,含枯草芽</w:t>
            </w:r>
            <w:r>
              <w:rPr>
                <w:sz w:val="13"/>
                <w:szCs w:val="13"/>
                <w:spacing w:val="3"/>
              </w:rPr>
              <w:t xml:space="preserve">  </w:t>
            </w:r>
            <w:r>
              <w:rPr>
                <w:sz w:val="13"/>
                <w:szCs w:val="13"/>
                <w:spacing w:val="-2"/>
              </w:rPr>
              <w:t>孢杆菌。侧孢短芽孢杆菌</w:t>
            </w:r>
          </w:p>
        </w:tc>
        <w:tc>
          <w:tcPr>
            <w:tcW w:w="1229" w:type="dxa"/>
            <w:vAlign w:val="top"/>
          </w:tcPr>
          <w:p>
            <w:pPr>
              <w:pStyle w:val="TableText"/>
              <w:ind w:left="564" w:right="30" w:hanging="540"/>
              <w:spacing w:before="146" w:line="222" w:lineRule="auto"/>
              <w:rPr>
                <w:sz w:val="13"/>
                <w:szCs w:val="13"/>
              </w:rPr>
            </w:pPr>
            <w:r>
              <w:rPr>
                <w:sz w:val="13"/>
                <w:szCs w:val="13"/>
                <w:spacing w:val="-1"/>
              </w:rPr>
              <w:t>直接撤施：40-60kg/</w:t>
            </w:r>
            <w:r>
              <w:rPr>
                <w:sz w:val="13"/>
                <w:szCs w:val="13"/>
                <w:spacing w:val="5"/>
              </w:rPr>
              <w:t xml:space="preserve"> </w:t>
            </w:r>
            <w:r>
              <w:rPr>
                <w:sz w:val="13"/>
                <w:szCs w:val="13"/>
              </w:rPr>
              <w:t>亩</w:t>
            </w:r>
          </w:p>
        </w:tc>
        <w:tc>
          <w:tcPr>
            <w:tcW w:w="1369" w:type="dxa"/>
            <w:vAlign w:val="top"/>
            <w:vMerge w:val="continue"/>
            <w:tcBorders>
              <w:top w:val="nil"/>
            </w:tcBorders>
          </w:tcPr>
          <w:p>
            <w:pPr>
              <w:rPr>
                <w:rFonts w:ascii="Arial"/>
                <w:sz w:val="21"/>
              </w:rPr>
            </w:pPr>
            <w:r/>
          </w:p>
        </w:tc>
        <w:tc>
          <w:tcPr>
            <w:tcW w:w="919" w:type="dxa"/>
            <w:vAlign w:val="top"/>
          </w:tcPr>
          <w:p>
            <w:pPr>
              <w:pStyle w:val="TableText"/>
              <w:ind w:left="157"/>
              <w:spacing w:before="215" w:line="214" w:lineRule="auto"/>
              <w:rPr>
                <w:sz w:val="13"/>
                <w:szCs w:val="13"/>
              </w:rPr>
            </w:pPr>
            <w:r>
              <w:rPr>
                <w:sz w:val="13"/>
                <w:szCs w:val="13"/>
                <w:spacing w:val="5"/>
              </w:rPr>
              <w:t>(20</w:t>
            </w:r>
            <w:r>
              <w:rPr>
                <w:sz w:val="13"/>
                <w:szCs w:val="13"/>
              </w:rPr>
              <w:t>kg</w:t>
            </w:r>
            <w:r>
              <w:rPr>
                <w:sz w:val="13"/>
                <w:szCs w:val="13"/>
                <w:spacing w:val="5"/>
              </w:rPr>
              <w:t>/袋)</w:t>
            </w:r>
          </w:p>
        </w:tc>
        <w:tc>
          <w:tcPr>
            <w:tcW w:w="2853" w:type="dxa"/>
            <w:vAlign w:val="top"/>
          </w:tcPr>
          <w:p>
            <w:pPr>
              <w:pStyle w:val="TableText"/>
              <w:ind w:left="8"/>
              <w:spacing w:before="150" w:line="221" w:lineRule="auto"/>
              <w:rPr>
                <w:sz w:val="13"/>
                <w:szCs w:val="13"/>
              </w:rPr>
            </w:pPr>
            <w:r>
              <w:rPr>
                <w:sz w:val="13"/>
                <w:szCs w:val="13"/>
                <w:spacing w:val="-7"/>
              </w:rPr>
              <w:t>促进草坪快速生根，改良盐酸，全面营养，使用安全</w:t>
            </w:r>
            <w:r>
              <w:rPr>
                <w:sz w:val="13"/>
                <w:szCs w:val="13"/>
                <w:spacing w:val="4"/>
              </w:rPr>
              <w:t xml:space="preserve"> </w:t>
            </w:r>
            <w:r>
              <w:rPr>
                <w:sz w:val="13"/>
                <w:szCs w:val="13"/>
                <w:spacing w:val="-2"/>
              </w:rPr>
              <w:t>方便。1万平方米年度约用量：500kg。</w:t>
            </w:r>
          </w:p>
        </w:tc>
      </w:tr>
      <w:tr>
        <w:trPr>
          <w:trHeight w:val="589" w:hRule="atLeast"/>
        </w:trPr>
        <w:tc>
          <w:tcPr>
            <w:tcW w:w="615"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65"/>
              <w:spacing w:before="42" w:line="220" w:lineRule="auto"/>
              <w:rPr>
                <w:sz w:val="13"/>
                <w:szCs w:val="13"/>
              </w:rPr>
            </w:pPr>
            <w:r>
              <w:rPr>
                <w:sz w:val="13"/>
                <w:szCs w:val="13"/>
                <w:spacing w:val="-2"/>
              </w:rPr>
              <w:t>其他</w:t>
            </w:r>
          </w:p>
        </w:tc>
        <w:tc>
          <w:tcPr>
            <w:tcW w:w="610"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0"/>
              <w:spacing w:before="42" w:line="219" w:lineRule="auto"/>
              <w:rPr>
                <w:sz w:val="13"/>
                <w:szCs w:val="13"/>
              </w:rPr>
            </w:pPr>
            <w:r>
              <w:rPr>
                <w:sz w:val="13"/>
                <w:szCs w:val="13"/>
                <w:spacing w:val="-1"/>
              </w:rPr>
              <w:t>树木养护</w:t>
            </w:r>
          </w:p>
        </w:tc>
        <w:tc>
          <w:tcPr>
            <w:tcW w:w="959"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TableText"/>
              <w:ind w:left="79" w:hanging="39"/>
              <w:spacing w:before="43" w:line="229" w:lineRule="auto"/>
              <w:rPr>
                <w:sz w:val="13"/>
                <w:szCs w:val="13"/>
              </w:rPr>
            </w:pPr>
            <w:r>
              <w:rPr>
                <w:sz w:val="13"/>
                <w:szCs w:val="13"/>
                <w:spacing w:val="-1"/>
              </w:rPr>
              <w:t>树木修剪创口，</w:t>
            </w:r>
            <w:r>
              <w:rPr>
                <w:sz w:val="13"/>
                <w:szCs w:val="13"/>
                <w:spacing w:val="4"/>
              </w:rPr>
              <w:t xml:space="preserve"> </w:t>
            </w:r>
            <w:r>
              <w:rPr>
                <w:sz w:val="13"/>
                <w:szCs w:val="13"/>
                <w:spacing w:val="2"/>
              </w:rPr>
              <w:t>腐烂病害伤口</w:t>
            </w:r>
          </w:p>
        </w:tc>
        <w:tc>
          <w:tcPr>
            <w:tcW w:w="2908"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211"/>
              <w:spacing w:before="42" w:line="219" w:lineRule="auto"/>
              <w:rPr>
                <w:sz w:val="13"/>
                <w:szCs w:val="13"/>
              </w:rPr>
            </w:pPr>
            <w:r>
              <w:rPr>
                <w:sz w:val="13"/>
                <w:szCs w:val="13"/>
                <w:spacing w:val="2"/>
              </w:rPr>
              <w:t>日常养护</w:t>
            </w:r>
          </w:p>
        </w:tc>
        <w:tc>
          <w:tcPr>
            <w:tcW w:w="1059" w:type="dxa"/>
            <w:vAlign w:val="top"/>
          </w:tcPr>
          <w:p>
            <w:pPr>
              <w:pStyle w:val="TableText"/>
              <w:ind w:left="63"/>
              <w:spacing w:before="230" w:line="219" w:lineRule="auto"/>
              <w:rPr>
                <w:sz w:val="13"/>
                <w:szCs w:val="13"/>
              </w:rPr>
            </w:pPr>
            <w:r>
              <w:rPr>
                <w:sz w:val="13"/>
                <w:szCs w:val="13"/>
                <w:spacing w:val="1"/>
              </w:rPr>
              <w:t>国光金伤涂膜剂</w:t>
            </w:r>
          </w:p>
        </w:tc>
        <w:tc>
          <w:tcPr>
            <w:tcW w:w="1479" w:type="dxa"/>
            <w:vAlign w:val="top"/>
          </w:tcPr>
          <w:p>
            <w:pPr>
              <w:pStyle w:val="TableText"/>
              <w:ind w:left="213" w:right="31" w:hanging="200"/>
              <w:spacing w:before="161" w:line="243" w:lineRule="auto"/>
              <w:rPr>
                <w:sz w:val="13"/>
                <w:szCs w:val="13"/>
              </w:rPr>
            </w:pPr>
            <w:r>
              <w:rPr>
                <w:sz w:val="13"/>
                <w:szCs w:val="13"/>
                <w:spacing w:val="-1"/>
              </w:rPr>
              <w:t>成膜剂，甲基硫菌灵、防</w:t>
            </w:r>
            <w:r>
              <w:rPr>
                <w:sz w:val="13"/>
                <w:szCs w:val="13"/>
                <w:spacing w:val="3"/>
              </w:rPr>
              <w:t xml:space="preserve"> </w:t>
            </w:r>
            <w:r>
              <w:rPr>
                <w:sz w:val="13"/>
                <w:szCs w:val="13"/>
                <w:spacing w:val="-1"/>
              </w:rPr>
              <w:t>腐剂、促生长物质</w:t>
            </w:r>
          </w:p>
        </w:tc>
        <w:tc>
          <w:tcPr>
            <w:tcW w:w="1229" w:type="dxa"/>
            <w:vAlign w:val="top"/>
          </w:tcPr>
          <w:p>
            <w:pPr>
              <w:pStyle w:val="TableText"/>
              <w:ind w:left="24"/>
              <w:spacing w:before="151" w:line="219" w:lineRule="auto"/>
              <w:rPr>
                <w:sz w:val="13"/>
                <w:szCs w:val="13"/>
              </w:rPr>
            </w:pPr>
            <w:r>
              <w:rPr>
                <w:sz w:val="13"/>
                <w:szCs w:val="13"/>
                <w:spacing w:val="-1"/>
              </w:rPr>
              <w:t>直接使用，可略加水</w:t>
            </w:r>
          </w:p>
          <w:p>
            <w:pPr>
              <w:pStyle w:val="TableText"/>
              <w:ind w:left="475"/>
              <w:spacing w:before="15" w:line="219" w:lineRule="auto"/>
              <w:rPr>
                <w:sz w:val="13"/>
                <w:szCs w:val="13"/>
              </w:rPr>
            </w:pPr>
            <w:r>
              <w:rPr>
                <w:sz w:val="13"/>
                <w:szCs w:val="13"/>
                <w:spacing w:val="-2"/>
              </w:rPr>
              <w:t>稀释</w:t>
            </w:r>
          </w:p>
        </w:tc>
        <w:tc>
          <w:tcPr>
            <w:tcW w:w="1369"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TableText"/>
              <w:ind w:left="616" w:right="38" w:hanging="590"/>
              <w:spacing w:before="42" w:line="247" w:lineRule="auto"/>
              <w:rPr>
                <w:sz w:val="13"/>
                <w:szCs w:val="13"/>
              </w:rPr>
            </w:pPr>
            <w:r>
              <w:rPr>
                <w:sz w:val="13"/>
                <w:szCs w:val="13"/>
                <w:spacing w:val="-1"/>
              </w:rPr>
              <w:t>乔木修剪后和树皮破提</w:t>
            </w:r>
            <w:r>
              <w:rPr>
                <w:sz w:val="13"/>
                <w:szCs w:val="13"/>
                <w:spacing w:val="3"/>
              </w:rPr>
              <w:t xml:space="preserve"> </w:t>
            </w:r>
            <w:r>
              <w:rPr>
                <w:sz w:val="13"/>
                <w:szCs w:val="13"/>
              </w:rPr>
              <w:t>时</w:t>
            </w:r>
          </w:p>
        </w:tc>
        <w:tc>
          <w:tcPr>
            <w:tcW w:w="919" w:type="dxa"/>
            <w:vAlign w:val="top"/>
          </w:tcPr>
          <w:p>
            <w:pPr>
              <w:pStyle w:val="TableText"/>
              <w:ind w:left="157"/>
              <w:spacing w:before="226" w:line="214" w:lineRule="auto"/>
              <w:rPr>
                <w:sz w:val="13"/>
                <w:szCs w:val="13"/>
              </w:rPr>
            </w:pPr>
            <w:r>
              <w:rPr>
                <w:sz w:val="13"/>
                <w:szCs w:val="13"/>
                <w:spacing w:val="4"/>
              </w:rPr>
              <w:t>(500g/瓶)</w:t>
            </w:r>
          </w:p>
        </w:tc>
        <w:tc>
          <w:tcPr>
            <w:tcW w:w="2853" w:type="dxa"/>
            <w:vAlign w:val="top"/>
          </w:tcPr>
          <w:p>
            <w:pPr>
              <w:pStyle w:val="TableText"/>
              <w:ind w:left="8"/>
              <w:spacing w:before="230" w:line="219" w:lineRule="auto"/>
              <w:rPr>
                <w:sz w:val="13"/>
                <w:szCs w:val="13"/>
              </w:rPr>
            </w:pPr>
            <w:r>
              <w:rPr>
                <w:sz w:val="13"/>
                <w:szCs w:val="13"/>
                <w:spacing w:val="-1"/>
              </w:rPr>
              <w:t>促进伤口快速金合，杀菌防腐</w:t>
            </w:r>
          </w:p>
        </w:tc>
      </w:tr>
      <w:tr>
        <w:trPr>
          <w:trHeight w:val="599" w:hRule="atLeast"/>
        </w:trPr>
        <w:tc>
          <w:tcPr>
            <w:tcW w:w="615" w:type="dxa"/>
            <w:vAlign w:val="top"/>
            <w:vMerge w:val="continue"/>
            <w:tcBorders>
              <w:top w:val="nil"/>
              <w:bottom w:val="nil"/>
            </w:tcBorders>
          </w:tcPr>
          <w:p>
            <w:pPr>
              <w:rPr>
                <w:rFonts w:ascii="Arial"/>
                <w:sz w:val="21"/>
              </w:rPr>
            </w:pPr>
            <w:r/>
          </w:p>
        </w:tc>
        <w:tc>
          <w:tcPr>
            <w:tcW w:w="610" w:type="dxa"/>
            <w:vAlign w:val="top"/>
            <w:vMerge w:val="continue"/>
            <w:tcBorders>
              <w:top w:val="nil"/>
              <w:bottom w:val="nil"/>
            </w:tcBorders>
          </w:tcPr>
          <w:p>
            <w:pPr>
              <w:rPr>
                <w:rFonts w:ascii="Arial"/>
                <w:sz w:val="21"/>
              </w:rPr>
            </w:pPr>
            <w:r/>
          </w:p>
        </w:tc>
        <w:tc>
          <w:tcPr>
            <w:tcW w:w="959" w:type="dxa"/>
            <w:vAlign w:val="top"/>
            <w:vMerge w:val="continue"/>
            <w:tcBorders>
              <w:top w:val="nil"/>
              <w:bottom w:val="nil"/>
            </w:tcBorders>
          </w:tcPr>
          <w:p>
            <w:pPr>
              <w:rPr>
                <w:rFonts w:ascii="Arial"/>
                <w:sz w:val="21"/>
              </w:rPr>
            </w:pPr>
            <w:r/>
          </w:p>
        </w:tc>
        <w:tc>
          <w:tcPr>
            <w:tcW w:w="2908" w:type="dxa"/>
            <w:vAlign w:val="top"/>
            <w:vMerge w:val="continue"/>
            <w:tcBorders>
              <w:top w:val="nil"/>
              <w:bottom w:val="nil"/>
            </w:tcBorders>
          </w:tcPr>
          <w:p>
            <w:pPr>
              <w:rPr>
                <w:rFonts w:ascii="Arial"/>
                <w:sz w:val="21"/>
              </w:rPr>
            </w:pPr>
            <w:r/>
          </w:p>
        </w:tc>
        <w:tc>
          <w:tcPr>
            <w:tcW w:w="1059" w:type="dxa"/>
            <w:vAlign w:val="top"/>
          </w:tcPr>
          <w:p>
            <w:pPr>
              <w:pStyle w:val="TableText"/>
              <w:ind w:left="193"/>
              <w:spacing w:before="241" w:line="219" w:lineRule="auto"/>
              <w:rPr>
                <w:sz w:val="13"/>
                <w:szCs w:val="13"/>
              </w:rPr>
            </w:pPr>
            <w:r>
              <w:rPr>
                <w:sz w:val="13"/>
                <w:szCs w:val="13"/>
                <w:spacing w:val="1"/>
              </w:rPr>
              <w:t>中威愈伤膏</w:t>
            </w:r>
          </w:p>
        </w:tc>
        <w:tc>
          <w:tcPr>
            <w:tcW w:w="1479" w:type="dxa"/>
            <w:vAlign w:val="top"/>
          </w:tcPr>
          <w:p>
            <w:pPr>
              <w:pStyle w:val="TableText"/>
              <w:ind w:left="274"/>
              <w:spacing w:before="241" w:line="219" w:lineRule="auto"/>
              <w:rPr>
                <w:sz w:val="13"/>
                <w:szCs w:val="13"/>
              </w:rPr>
            </w:pPr>
            <w:r>
              <w:rPr>
                <w:sz w:val="13"/>
                <w:szCs w:val="13"/>
                <w:spacing w:val="-1"/>
              </w:rPr>
              <w:t>有机质、桑菌剂</w:t>
            </w:r>
          </w:p>
        </w:tc>
        <w:tc>
          <w:tcPr>
            <w:tcW w:w="1229" w:type="dxa"/>
            <w:vAlign w:val="top"/>
          </w:tcPr>
          <w:p>
            <w:pPr>
              <w:pStyle w:val="TableText"/>
              <w:ind w:left="504" w:right="30" w:hanging="480"/>
              <w:spacing w:before="172" w:line="216" w:lineRule="auto"/>
              <w:rPr>
                <w:sz w:val="13"/>
                <w:szCs w:val="13"/>
              </w:rPr>
            </w:pPr>
            <w:r>
              <w:rPr>
                <w:sz w:val="13"/>
                <w:szCs w:val="13"/>
                <w:spacing w:val="-1"/>
              </w:rPr>
              <w:t>直接使用，可略加水</w:t>
            </w:r>
            <w:r>
              <w:rPr>
                <w:sz w:val="13"/>
                <w:szCs w:val="13"/>
                <w:spacing w:val="1"/>
              </w:rPr>
              <w:t xml:space="preserve"> </w:t>
            </w:r>
            <w:r>
              <w:rPr>
                <w:sz w:val="13"/>
                <w:szCs w:val="13"/>
                <w:spacing w:val="-2"/>
              </w:rPr>
              <w:t>稀释</w:t>
            </w:r>
          </w:p>
        </w:tc>
        <w:tc>
          <w:tcPr>
            <w:tcW w:w="1369" w:type="dxa"/>
            <w:vAlign w:val="top"/>
            <w:vMerge w:val="continue"/>
            <w:tcBorders>
              <w:top w:val="nil"/>
              <w:bottom w:val="nil"/>
            </w:tcBorders>
          </w:tcPr>
          <w:p>
            <w:pPr>
              <w:rPr>
                <w:rFonts w:ascii="Arial"/>
                <w:sz w:val="21"/>
              </w:rPr>
            </w:pPr>
            <w:r/>
          </w:p>
        </w:tc>
        <w:tc>
          <w:tcPr>
            <w:tcW w:w="919" w:type="dxa"/>
            <w:vAlign w:val="top"/>
          </w:tcPr>
          <w:p>
            <w:pPr>
              <w:pStyle w:val="TableText"/>
              <w:ind w:left="157"/>
              <w:spacing w:before="237" w:line="214" w:lineRule="auto"/>
              <w:rPr>
                <w:sz w:val="13"/>
                <w:szCs w:val="13"/>
              </w:rPr>
            </w:pPr>
            <w:r>
              <w:rPr>
                <w:sz w:val="13"/>
                <w:szCs w:val="13"/>
                <w:spacing w:val="4"/>
              </w:rPr>
              <w:t>(500g/瓶)</w:t>
            </w:r>
          </w:p>
        </w:tc>
        <w:tc>
          <w:tcPr>
            <w:tcW w:w="2853" w:type="dxa"/>
            <w:vAlign w:val="top"/>
          </w:tcPr>
          <w:p>
            <w:pPr>
              <w:pStyle w:val="TableText"/>
              <w:ind w:left="27" w:hanging="19"/>
              <w:spacing w:before="171" w:line="211" w:lineRule="auto"/>
              <w:rPr>
                <w:sz w:val="13"/>
                <w:szCs w:val="13"/>
              </w:rPr>
            </w:pPr>
            <w:r>
              <w:rPr>
                <w:sz w:val="13"/>
                <w:szCs w:val="13"/>
                <w:spacing w:val="-7"/>
              </w:rPr>
              <w:t>适用树木移鼓时切口及根部处理；病害伤口、树皮损</w:t>
            </w:r>
            <w:r>
              <w:rPr>
                <w:sz w:val="13"/>
                <w:szCs w:val="13"/>
                <w:spacing w:val="4"/>
              </w:rPr>
              <w:t xml:space="preserve"> </w:t>
            </w:r>
            <w:r>
              <w:rPr>
                <w:sz w:val="13"/>
                <w:szCs w:val="13"/>
                <w:spacing w:val="-2"/>
              </w:rPr>
              <w:t>失处理</w:t>
            </w:r>
          </w:p>
        </w:tc>
      </w:tr>
      <w:tr>
        <w:trPr>
          <w:trHeight w:val="603" w:hRule="atLeast"/>
        </w:trPr>
        <w:tc>
          <w:tcPr>
            <w:tcW w:w="615" w:type="dxa"/>
            <w:vAlign w:val="top"/>
            <w:vMerge w:val="continue"/>
            <w:tcBorders>
              <w:top w:val="nil"/>
            </w:tcBorders>
          </w:tcPr>
          <w:p>
            <w:pPr>
              <w:rPr>
                <w:rFonts w:ascii="Arial"/>
                <w:sz w:val="21"/>
              </w:rPr>
            </w:pPr>
            <w:r/>
          </w:p>
        </w:tc>
        <w:tc>
          <w:tcPr>
            <w:tcW w:w="610" w:type="dxa"/>
            <w:vAlign w:val="top"/>
            <w:vMerge w:val="continue"/>
            <w:tcBorders>
              <w:top w:val="nil"/>
            </w:tcBorders>
          </w:tcPr>
          <w:p>
            <w:pPr>
              <w:rPr>
                <w:rFonts w:ascii="Arial"/>
                <w:sz w:val="21"/>
              </w:rPr>
            </w:pPr>
            <w:r/>
          </w:p>
        </w:tc>
        <w:tc>
          <w:tcPr>
            <w:tcW w:w="959" w:type="dxa"/>
            <w:vAlign w:val="top"/>
            <w:vMerge w:val="continue"/>
            <w:tcBorders>
              <w:top w:val="nil"/>
            </w:tcBorders>
          </w:tcPr>
          <w:p>
            <w:pPr>
              <w:rPr>
                <w:rFonts w:ascii="Arial"/>
                <w:sz w:val="21"/>
              </w:rPr>
            </w:pPr>
            <w:r/>
          </w:p>
        </w:tc>
        <w:tc>
          <w:tcPr>
            <w:tcW w:w="2908" w:type="dxa"/>
            <w:vAlign w:val="top"/>
            <w:vMerge w:val="continue"/>
            <w:tcBorders>
              <w:top w:val="nil"/>
            </w:tcBorders>
          </w:tcPr>
          <w:p>
            <w:pPr>
              <w:rPr>
                <w:rFonts w:ascii="Arial"/>
                <w:sz w:val="21"/>
              </w:rPr>
            </w:pPr>
            <w:r/>
          </w:p>
        </w:tc>
        <w:tc>
          <w:tcPr>
            <w:tcW w:w="1059" w:type="dxa"/>
            <w:vAlign w:val="top"/>
          </w:tcPr>
          <w:p>
            <w:pPr>
              <w:pStyle w:val="TableText"/>
              <w:ind w:left="262"/>
              <w:spacing w:before="243" w:line="219" w:lineRule="auto"/>
              <w:rPr>
                <w:sz w:val="13"/>
                <w:szCs w:val="13"/>
              </w:rPr>
            </w:pPr>
            <w:r>
              <w:rPr>
                <w:sz w:val="13"/>
                <w:szCs w:val="13"/>
                <w:spacing w:val="-2"/>
              </w:rPr>
              <w:t>灰色油漆</w:t>
            </w:r>
          </w:p>
        </w:tc>
        <w:tc>
          <w:tcPr>
            <w:tcW w:w="1479" w:type="dxa"/>
            <w:vAlign w:val="top"/>
          </w:tcPr>
          <w:p>
            <w:pPr>
              <w:pStyle w:val="TableText"/>
              <w:ind w:left="587" w:hanging="574"/>
              <w:spacing w:before="163" w:line="243" w:lineRule="auto"/>
              <w:rPr>
                <w:sz w:val="13"/>
                <w:szCs w:val="13"/>
              </w:rPr>
            </w:pPr>
            <w:r>
              <w:rPr>
                <w:sz w:val="13"/>
                <w:szCs w:val="13"/>
                <w:spacing w:val="2"/>
              </w:rPr>
              <w:t>成膜物质、颜料、溶剂、 </w:t>
            </w:r>
            <w:r>
              <w:rPr>
                <w:sz w:val="13"/>
                <w:szCs w:val="13"/>
                <w:spacing w:val="-3"/>
              </w:rPr>
              <w:t>助剂</w:t>
            </w:r>
          </w:p>
        </w:tc>
        <w:tc>
          <w:tcPr>
            <w:tcW w:w="1229" w:type="dxa"/>
            <w:vAlign w:val="top"/>
          </w:tcPr>
          <w:p>
            <w:pPr>
              <w:pStyle w:val="TableText"/>
              <w:ind w:left="24"/>
              <w:spacing w:before="163" w:line="219" w:lineRule="auto"/>
              <w:rPr>
                <w:sz w:val="13"/>
                <w:szCs w:val="13"/>
              </w:rPr>
            </w:pPr>
            <w:r>
              <w:rPr>
                <w:sz w:val="13"/>
                <w:szCs w:val="13"/>
                <w:spacing w:val="-1"/>
              </w:rPr>
              <w:t>直接使用，可略加汽</w:t>
            </w:r>
          </w:p>
          <w:p>
            <w:pPr>
              <w:pStyle w:val="TableText"/>
              <w:ind w:left="415"/>
              <w:spacing w:before="15" w:line="219" w:lineRule="auto"/>
              <w:rPr>
                <w:sz w:val="13"/>
                <w:szCs w:val="13"/>
              </w:rPr>
            </w:pPr>
            <w:r>
              <w:rPr>
                <w:sz w:val="13"/>
                <w:szCs w:val="13"/>
                <w:spacing w:val="-2"/>
              </w:rPr>
              <w:t>油稀释</w:t>
            </w:r>
          </w:p>
        </w:tc>
        <w:tc>
          <w:tcPr>
            <w:tcW w:w="1369" w:type="dxa"/>
            <w:vAlign w:val="top"/>
            <w:vMerge w:val="continue"/>
            <w:tcBorders>
              <w:top w:val="nil"/>
            </w:tcBorders>
          </w:tcPr>
          <w:p>
            <w:pPr>
              <w:rPr>
                <w:rFonts w:ascii="Arial"/>
                <w:sz w:val="21"/>
              </w:rPr>
            </w:pPr>
            <w:r/>
          </w:p>
        </w:tc>
        <w:tc>
          <w:tcPr>
            <w:tcW w:w="919" w:type="dxa"/>
            <w:vAlign w:val="top"/>
          </w:tcPr>
          <w:p>
            <w:pPr>
              <w:pStyle w:val="TableText"/>
              <w:ind w:left="287"/>
              <w:spacing w:before="243" w:line="219" w:lineRule="auto"/>
              <w:rPr>
                <w:sz w:val="13"/>
                <w:szCs w:val="13"/>
              </w:rPr>
            </w:pPr>
            <w:r>
              <w:rPr>
                <w:sz w:val="13"/>
                <w:szCs w:val="13"/>
                <w:spacing w:val="3"/>
              </w:rPr>
              <w:t>1L/桶</w:t>
            </w:r>
          </w:p>
        </w:tc>
        <w:tc>
          <w:tcPr>
            <w:tcW w:w="2853" w:type="dxa"/>
            <w:vAlign w:val="top"/>
          </w:tcPr>
          <w:p>
            <w:pPr>
              <w:pStyle w:val="TableText"/>
              <w:ind w:left="8"/>
              <w:spacing w:before="243" w:line="219" w:lineRule="auto"/>
              <w:rPr>
                <w:sz w:val="13"/>
                <w:szCs w:val="13"/>
              </w:rPr>
            </w:pPr>
            <w:r>
              <w:rPr>
                <w:sz w:val="13"/>
                <w:szCs w:val="13"/>
                <w:spacing w:val="-1"/>
              </w:rPr>
              <w:t>伤口涂抹</w:t>
            </w:r>
          </w:p>
        </w:tc>
      </w:tr>
    </w:tbl>
    <w:p>
      <w:pPr>
        <w:rPr>
          <w:rFonts w:ascii="Arial"/>
          <w:sz w:val="21"/>
        </w:rPr>
      </w:pPr>
      <w:r/>
    </w:p>
    <w:p>
      <w:pPr>
        <w:sectPr>
          <w:pgSz w:w="14490" w:h="10240"/>
          <w:pgMar w:top="134" w:right="254" w:bottom="400" w:left="224" w:header="0" w:footer="0" w:gutter="0"/>
        </w:sectPr>
        <w:rPr>
          <w:rFonts w:ascii="Arial" w:hAnsi="Arial" w:eastAsia="Arial" w:cs="Arial"/>
          <w:sz w:val="21"/>
          <w:szCs w:val="21"/>
        </w:rPr>
      </w:pPr>
    </w:p>
    <w:tbl>
      <w:tblPr>
        <w:tblStyle w:val="TableNormal"/>
        <w:tblW w:w="140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60"/>
        <w:gridCol w:w="929"/>
        <w:gridCol w:w="2748"/>
        <w:gridCol w:w="1119"/>
        <w:gridCol w:w="2099"/>
        <w:gridCol w:w="1319"/>
        <w:gridCol w:w="1529"/>
        <w:gridCol w:w="729"/>
        <w:gridCol w:w="2603"/>
      </w:tblGrid>
      <w:tr>
        <w:trPr>
          <w:trHeight w:val="629" w:hRule="atLeast"/>
        </w:trPr>
        <w:tc>
          <w:tcPr>
            <w:tcW w:w="14060" w:type="dxa"/>
            <w:vAlign w:val="top"/>
            <w:gridSpan w:val="10"/>
            <w:tcBorders>
              <w:bottom w:val="single" w:color="000000" w:sz="2" w:space="0"/>
              <w:top w:val="single" w:color="000000" w:sz="2" w:space="0"/>
            </w:tcBorders>
          </w:tcPr>
          <w:p>
            <w:pPr>
              <w:pStyle w:val="TableText"/>
              <w:ind w:left="5747"/>
              <w:spacing w:before="154" w:line="218" w:lineRule="auto"/>
              <w:rPr>
                <w:sz w:val="17"/>
                <w:szCs w:val="17"/>
              </w:rPr>
            </w:pPr>
            <w:r>
              <w:rPr>
                <w:sz w:val="17"/>
                <w:szCs w:val="17"/>
                <w:b/>
                <w:bCs/>
                <w:spacing w:val="-3"/>
              </w:rPr>
              <w:t>江苏、安徽地区农药肥料使用指导</w:t>
            </w:r>
          </w:p>
          <w:p>
            <w:pPr>
              <w:pStyle w:val="TableText"/>
              <w:ind w:left="4787"/>
              <w:spacing w:before="7" w:line="218" w:lineRule="auto"/>
              <w:rPr>
                <w:sz w:val="17"/>
                <w:szCs w:val="17"/>
              </w:rPr>
            </w:pPr>
            <w:r>
              <w:rPr>
                <w:sz w:val="17"/>
                <w:szCs w:val="17"/>
                <w:b/>
                <w:bCs/>
                <w:spacing w:val="-1"/>
              </w:rPr>
              <w:t>(本表中药品供参考，如有同类且成分相同</w:t>
            </w:r>
            <w:r>
              <w:rPr>
                <w:sz w:val="17"/>
                <w:szCs w:val="17"/>
                <w:b/>
                <w:bCs/>
                <w:spacing w:val="-2"/>
              </w:rPr>
              <w:t>、价格合理、低毒高效的药品，可选择使用</w:t>
            </w:r>
            <w:r>
              <w:rPr>
                <w:sz w:val="17"/>
                <w:szCs w:val="17"/>
                <w:spacing w:val="-2"/>
              </w:rPr>
              <w:t>)</w:t>
            </w:r>
          </w:p>
        </w:tc>
      </w:tr>
      <w:tr>
        <w:trPr>
          <w:trHeight w:val="634" w:hRule="atLeast"/>
        </w:trPr>
        <w:tc>
          <w:tcPr>
            <w:tcW w:w="425" w:type="dxa"/>
            <w:vAlign w:val="top"/>
            <w:tcBorders>
              <w:bottom w:val="single" w:color="000000" w:sz="2" w:space="0"/>
              <w:top w:val="single" w:color="000000" w:sz="2" w:space="0"/>
            </w:tcBorders>
          </w:tcPr>
          <w:p>
            <w:pPr>
              <w:pStyle w:val="TableText"/>
              <w:ind w:left="86"/>
              <w:spacing w:before="258" w:line="219" w:lineRule="auto"/>
              <w:rPr>
                <w:sz w:val="12"/>
                <w:szCs w:val="12"/>
              </w:rPr>
            </w:pPr>
            <w:r>
              <w:rPr>
                <w:sz w:val="12"/>
                <w:szCs w:val="12"/>
                <w:b/>
                <w:bCs/>
                <w:spacing w:val="-3"/>
              </w:rPr>
              <w:t>分类</w:t>
            </w:r>
          </w:p>
        </w:tc>
        <w:tc>
          <w:tcPr>
            <w:tcW w:w="560" w:type="dxa"/>
            <w:vAlign w:val="top"/>
            <w:tcBorders>
              <w:bottom w:val="single" w:color="000000" w:sz="2" w:space="0"/>
              <w:top w:val="single" w:color="000000" w:sz="2" w:space="0"/>
            </w:tcBorders>
          </w:tcPr>
          <w:p>
            <w:pPr>
              <w:pStyle w:val="TableText"/>
              <w:ind w:left="31"/>
              <w:spacing w:before="108" w:line="219" w:lineRule="auto"/>
              <w:rPr>
                <w:sz w:val="12"/>
                <w:szCs w:val="12"/>
              </w:rPr>
            </w:pPr>
            <w:r>
              <w:rPr>
                <w:sz w:val="12"/>
                <w:szCs w:val="12"/>
                <w:b/>
                <w:bCs/>
                <w:spacing w:val="-3"/>
              </w:rPr>
              <w:t>消杀预防</w:t>
            </w:r>
          </w:p>
          <w:p>
            <w:pPr>
              <w:pStyle w:val="TableText"/>
              <w:ind w:left="140" w:right="42" w:hanging="109"/>
              <w:spacing w:before="7" w:line="233" w:lineRule="auto"/>
              <w:rPr>
                <w:sz w:val="12"/>
                <w:szCs w:val="12"/>
              </w:rPr>
            </w:pPr>
            <w:r>
              <w:rPr>
                <w:sz w:val="12"/>
                <w:szCs w:val="12"/>
                <w:b/>
                <w:bCs/>
                <w:spacing w:val="-3"/>
              </w:rPr>
              <w:t>及病虫害</w:t>
            </w:r>
            <w:r>
              <w:rPr>
                <w:sz w:val="12"/>
                <w:szCs w:val="12"/>
                <w:spacing w:val="1"/>
              </w:rPr>
              <w:t xml:space="preserve"> </w:t>
            </w:r>
            <w:r>
              <w:rPr>
                <w:sz w:val="12"/>
                <w:szCs w:val="12"/>
                <w:b/>
                <w:bCs/>
                <w:spacing w:val="-3"/>
              </w:rPr>
              <w:t>分英</w:t>
            </w:r>
          </w:p>
        </w:tc>
        <w:tc>
          <w:tcPr>
            <w:tcW w:w="929" w:type="dxa"/>
            <w:vAlign w:val="top"/>
            <w:tcBorders>
              <w:bottom w:val="single" w:color="000000" w:sz="2" w:space="0"/>
              <w:top w:val="single" w:color="000000" w:sz="2" w:space="0"/>
            </w:tcBorders>
          </w:tcPr>
          <w:p>
            <w:pPr>
              <w:pStyle w:val="TableText"/>
              <w:ind w:left="151"/>
              <w:spacing w:before="258" w:line="219" w:lineRule="auto"/>
              <w:rPr>
                <w:sz w:val="12"/>
                <w:szCs w:val="12"/>
              </w:rPr>
            </w:pPr>
            <w:r>
              <w:rPr>
                <w:sz w:val="12"/>
                <w:szCs w:val="12"/>
                <w:b/>
                <w:bCs/>
                <w:spacing w:val="-3"/>
              </w:rPr>
              <w:t>常见病虫害</w:t>
            </w:r>
          </w:p>
        </w:tc>
        <w:tc>
          <w:tcPr>
            <w:tcW w:w="2748" w:type="dxa"/>
            <w:vAlign w:val="top"/>
            <w:tcBorders>
              <w:bottom w:val="single" w:color="000000" w:sz="2" w:space="0"/>
              <w:top w:val="single" w:color="000000" w:sz="2" w:space="0"/>
            </w:tcBorders>
          </w:tcPr>
          <w:p>
            <w:pPr>
              <w:pStyle w:val="TableText"/>
              <w:ind w:left="12"/>
              <w:spacing w:before="258" w:line="219" w:lineRule="auto"/>
              <w:rPr>
                <w:sz w:val="12"/>
                <w:szCs w:val="12"/>
              </w:rPr>
            </w:pPr>
            <w:r>
              <w:rPr>
                <w:sz w:val="12"/>
                <w:szCs w:val="12"/>
                <w:b/>
                <w:bCs/>
                <w:spacing w:val="-3"/>
              </w:rPr>
              <w:t>主要发病月份</w:t>
            </w:r>
          </w:p>
        </w:tc>
        <w:tc>
          <w:tcPr>
            <w:tcW w:w="1119" w:type="dxa"/>
            <w:vAlign w:val="top"/>
            <w:tcBorders>
              <w:bottom w:val="single" w:color="000000" w:sz="2" w:space="0"/>
              <w:top w:val="single" w:color="000000" w:sz="2" w:space="0"/>
            </w:tcBorders>
          </w:tcPr>
          <w:p>
            <w:pPr>
              <w:pStyle w:val="TableText"/>
              <w:ind w:left="313"/>
              <w:spacing w:before="260" w:line="220" w:lineRule="auto"/>
              <w:rPr>
                <w:sz w:val="12"/>
                <w:szCs w:val="12"/>
              </w:rPr>
            </w:pPr>
            <w:r>
              <w:rPr>
                <w:sz w:val="12"/>
                <w:szCs w:val="12"/>
                <w:spacing w:val="-2"/>
              </w:rPr>
              <w:t>药品名称</w:t>
            </w:r>
          </w:p>
        </w:tc>
        <w:tc>
          <w:tcPr>
            <w:tcW w:w="2099" w:type="dxa"/>
            <w:vAlign w:val="top"/>
            <w:tcBorders>
              <w:bottom w:val="single" w:color="000000" w:sz="2" w:space="0"/>
              <w:top w:val="single" w:color="000000" w:sz="2" w:space="0"/>
            </w:tcBorders>
          </w:tcPr>
          <w:p>
            <w:pPr>
              <w:pStyle w:val="TableText"/>
              <w:ind w:left="805"/>
              <w:spacing w:before="258" w:line="220" w:lineRule="auto"/>
              <w:rPr>
                <w:sz w:val="12"/>
                <w:szCs w:val="12"/>
              </w:rPr>
            </w:pPr>
            <w:r>
              <w:rPr>
                <w:sz w:val="12"/>
                <w:szCs w:val="12"/>
                <w:b/>
                <w:bCs/>
                <w:spacing w:val="-3"/>
              </w:rPr>
              <w:t>主要成分</w:t>
            </w:r>
          </w:p>
        </w:tc>
        <w:tc>
          <w:tcPr>
            <w:tcW w:w="1319" w:type="dxa"/>
            <w:vAlign w:val="top"/>
            <w:tcBorders>
              <w:bottom w:val="single" w:color="000000" w:sz="2" w:space="0"/>
              <w:top w:val="single" w:color="000000" w:sz="2" w:space="0"/>
            </w:tcBorders>
          </w:tcPr>
          <w:p>
            <w:pPr>
              <w:pStyle w:val="TableText"/>
              <w:ind w:left="415"/>
              <w:spacing w:before="259" w:line="219" w:lineRule="auto"/>
              <w:rPr>
                <w:sz w:val="12"/>
                <w:szCs w:val="12"/>
              </w:rPr>
            </w:pPr>
            <w:r>
              <w:rPr>
                <w:sz w:val="12"/>
                <w:szCs w:val="12"/>
                <w:spacing w:val="-1"/>
              </w:rPr>
              <w:t>使用倍率</w:t>
            </w:r>
          </w:p>
        </w:tc>
        <w:tc>
          <w:tcPr>
            <w:tcW w:w="1529" w:type="dxa"/>
            <w:vAlign w:val="top"/>
            <w:tcBorders>
              <w:bottom w:val="single" w:color="000000" w:sz="2" w:space="0"/>
              <w:top w:val="single" w:color="000000" w:sz="2" w:space="0"/>
            </w:tcBorders>
          </w:tcPr>
          <w:p>
            <w:pPr>
              <w:pStyle w:val="TableText"/>
              <w:ind w:left="517"/>
              <w:spacing w:before="258" w:line="219" w:lineRule="auto"/>
              <w:rPr>
                <w:sz w:val="12"/>
                <w:szCs w:val="12"/>
              </w:rPr>
            </w:pPr>
            <w:r>
              <w:rPr>
                <w:sz w:val="12"/>
                <w:szCs w:val="12"/>
                <w:b/>
                <w:bCs/>
                <w:spacing w:val="-3"/>
              </w:rPr>
              <w:t>施用次数</w:t>
            </w:r>
          </w:p>
        </w:tc>
        <w:tc>
          <w:tcPr>
            <w:tcW w:w="729" w:type="dxa"/>
            <w:vAlign w:val="top"/>
            <w:tcBorders>
              <w:bottom w:val="single" w:color="000000" w:sz="2" w:space="0"/>
              <w:top w:val="single" w:color="000000" w:sz="2" w:space="0"/>
            </w:tcBorders>
          </w:tcPr>
          <w:p>
            <w:pPr>
              <w:pStyle w:val="TableText"/>
              <w:ind w:left="238"/>
              <w:spacing w:before="258" w:line="219" w:lineRule="auto"/>
              <w:rPr>
                <w:sz w:val="12"/>
                <w:szCs w:val="12"/>
              </w:rPr>
            </w:pPr>
            <w:r>
              <w:rPr>
                <w:sz w:val="12"/>
                <w:szCs w:val="12"/>
                <w:b/>
                <w:bCs/>
                <w:spacing w:val="-3"/>
              </w:rPr>
              <w:t>规格</w:t>
            </w:r>
          </w:p>
        </w:tc>
        <w:tc>
          <w:tcPr>
            <w:tcW w:w="2603" w:type="dxa"/>
            <w:vAlign w:val="top"/>
            <w:tcBorders>
              <w:bottom w:val="single" w:color="000000" w:sz="2" w:space="0"/>
              <w:top w:val="single" w:color="000000" w:sz="2" w:space="0"/>
            </w:tcBorders>
          </w:tcPr>
          <w:p>
            <w:pPr>
              <w:pStyle w:val="TableText"/>
              <w:ind w:left="1189"/>
              <w:spacing w:before="258" w:line="221" w:lineRule="auto"/>
              <w:rPr>
                <w:sz w:val="12"/>
                <w:szCs w:val="12"/>
              </w:rPr>
            </w:pPr>
            <w:r>
              <w:rPr>
                <w:sz w:val="12"/>
                <w:szCs w:val="12"/>
                <w:b/>
                <w:bCs/>
                <w:spacing w:val="-3"/>
              </w:rPr>
              <w:t>备注</w:t>
            </w:r>
          </w:p>
        </w:tc>
      </w:tr>
      <w:tr>
        <w:trPr>
          <w:trHeight w:val="335" w:hRule="atLeast"/>
        </w:trPr>
        <w:tc>
          <w:tcPr>
            <w:tcW w:w="425" w:type="dxa"/>
            <w:vAlign w:val="top"/>
            <w:vMerge w:val="restart"/>
            <w:tcBorders>
              <w:bottom w:val="nil"/>
              <w:top w:val="single" w:color="000000" w:sz="2" w:space="0"/>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spacing w:before="39" w:line="218" w:lineRule="auto"/>
              <w:jc w:val="right"/>
              <w:rPr>
                <w:sz w:val="12"/>
                <w:szCs w:val="12"/>
              </w:rPr>
            </w:pPr>
            <w:r>
              <w:rPr>
                <w:sz w:val="12"/>
                <w:szCs w:val="12"/>
                <w:spacing w:val="13"/>
              </w:rPr>
              <w:t>希菌剂</w:t>
            </w:r>
          </w:p>
        </w:tc>
        <w:tc>
          <w:tcPr>
            <w:tcW w:w="560" w:type="dxa"/>
            <w:vAlign w:val="top"/>
            <w:vMerge w:val="restart"/>
            <w:tcBorders>
              <w:bottom w:val="nil"/>
              <w:top w:val="single" w:color="000000" w:sz="2" w:space="0"/>
            </w:tcBorders>
          </w:tcPr>
          <w:p>
            <w:pPr>
              <w:pStyle w:val="TableText"/>
              <w:ind w:left="30"/>
              <w:spacing w:before="260" w:line="219" w:lineRule="auto"/>
              <w:rPr>
                <w:sz w:val="12"/>
                <w:szCs w:val="12"/>
              </w:rPr>
            </w:pPr>
            <w:r>
              <w:rPr>
                <w:sz w:val="12"/>
                <w:szCs w:val="12"/>
                <w:spacing w:val="-2"/>
              </w:rPr>
              <w:t>消杀预防</w:t>
            </w:r>
          </w:p>
        </w:tc>
        <w:tc>
          <w:tcPr>
            <w:tcW w:w="929" w:type="dxa"/>
            <w:vAlign w:val="top"/>
            <w:vMerge w:val="restart"/>
            <w:tcBorders>
              <w:bottom w:val="nil"/>
              <w:top w:val="single" w:color="000000" w:sz="2" w:space="0"/>
            </w:tcBorders>
          </w:tcPr>
          <w:p>
            <w:pPr>
              <w:pStyle w:val="TableText"/>
              <w:ind w:left="30"/>
              <w:spacing w:before="180" w:line="219" w:lineRule="auto"/>
              <w:rPr>
                <w:sz w:val="12"/>
                <w:szCs w:val="12"/>
              </w:rPr>
            </w:pPr>
            <w:r>
              <w:rPr>
                <w:sz w:val="12"/>
                <w:szCs w:val="12"/>
                <w:spacing w:val="-1"/>
              </w:rPr>
              <w:t>全园区的菌类病</w:t>
            </w:r>
          </w:p>
          <w:p>
            <w:pPr>
              <w:pStyle w:val="TableText"/>
              <w:ind w:left="210"/>
              <w:spacing w:before="17" w:line="219" w:lineRule="auto"/>
              <w:rPr>
                <w:sz w:val="12"/>
                <w:szCs w:val="12"/>
              </w:rPr>
            </w:pPr>
            <w:r>
              <w:rPr>
                <w:sz w:val="12"/>
                <w:szCs w:val="12"/>
                <w:spacing w:val="-2"/>
              </w:rPr>
              <w:t>菌、虫卵</w:t>
            </w:r>
          </w:p>
        </w:tc>
        <w:tc>
          <w:tcPr>
            <w:tcW w:w="2748" w:type="dxa"/>
            <w:vAlign w:val="top"/>
            <w:vMerge w:val="restart"/>
            <w:tcBorders>
              <w:bottom w:val="nil"/>
              <w:top w:val="single" w:color="000000" w:sz="2" w:space="0"/>
            </w:tcBorders>
          </w:tcPr>
          <w:p>
            <w:pPr>
              <w:pStyle w:val="TableText"/>
              <w:ind w:left="11" w:right="34"/>
              <w:spacing w:before="180" w:line="248" w:lineRule="auto"/>
              <w:rPr>
                <w:sz w:val="12"/>
                <w:szCs w:val="12"/>
              </w:rPr>
            </w:pPr>
            <w:r>
              <w:rPr>
                <w:sz w:val="12"/>
                <w:szCs w:val="12"/>
                <w:spacing w:val="-1"/>
              </w:rPr>
              <w:t>3月上、中句苗木返青前对全园区的菌类、虫卵，滔</w:t>
            </w:r>
            <w:r>
              <w:rPr>
                <w:sz w:val="12"/>
                <w:szCs w:val="12"/>
                <w:spacing w:val="14"/>
              </w:rPr>
              <w:t xml:space="preserve"> </w:t>
            </w:r>
            <w:r>
              <w:rPr>
                <w:sz w:val="12"/>
                <w:szCs w:val="12"/>
              </w:rPr>
              <w:t>杀1-2次。</w:t>
            </w:r>
          </w:p>
        </w:tc>
        <w:tc>
          <w:tcPr>
            <w:tcW w:w="1119" w:type="dxa"/>
            <w:vAlign w:val="top"/>
            <w:tcBorders>
              <w:bottom w:val="single" w:color="000000" w:sz="2" w:space="0"/>
              <w:top w:val="single" w:color="000000" w:sz="2" w:space="0"/>
            </w:tcBorders>
          </w:tcPr>
          <w:p>
            <w:pPr>
              <w:pStyle w:val="TableText"/>
              <w:ind w:left="313"/>
              <w:spacing w:before="110" w:line="220" w:lineRule="auto"/>
              <w:rPr>
                <w:sz w:val="12"/>
                <w:szCs w:val="12"/>
              </w:rPr>
            </w:pPr>
            <w:r>
              <w:rPr>
                <w:sz w:val="12"/>
                <w:szCs w:val="12"/>
                <w:spacing w:val="-1"/>
              </w:rPr>
              <w:t>波尔多液</w:t>
            </w:r>
          </w:p>
        </w:tc>
        <w:tc>
          <w:tcPr>
            <w:tcW w:w="2099" w:type="dxa"/>
            <w:vAlign w:val="top"/>
            <w:tcBorders>
              <w:bottom w:val="single" w:color="000000" w:sz="2" w:space="0"/>
              <w:top w:val="single" w:color="000000" w:sz="2" w:space="0"/>
            </w:tcBorders>
          </w:tcPr>
          <w:p>
            <w:pPr>
              <w:pStyle w:val="TableText"/>
              <w:ind w:left="744"/>
              <w:spacing w:before="110" w:line="221" w:lineRule="auto"/>
              <w:rPr>
                <w:sz w:val="12"/>
                <w:szCs w:val="12"/>
              </w:rPr>
            </w:pPr>
            <w:r>
              <w:rPr>
                <w:sz w:val="12"/>
                <w:szCs w:val="12"/>
                <w:spacing w:val="-1"/>
              </w:rPr>
              <w:t>碱式硫酸钢</w:t>
            </w:r>
          </w:p>
        </w:tc>
        <w:tc>
          <w:tcPr>
            <w:tcW w:w="1319" w:type="dxa"/>
            <w:vAlign w:val="top"/>
            <w:tcBorders>
              <w:bottom w:val="single" w:color="000000" w:sz="2" w:space="0"/>
              <w:top w:val="single" w:color="000000" w:sz="2" w:space="0"/>
            </w:tcBorders>
          </w:tcPr>
          <w:p>
            <w:pPr>
              <w:pStyle w:val="TableText"/>
              <w:ind w:left="385"/>
              <w:spacing w:before="110" w:line="220" w:lineRule="auto"/>
              <w:rPr>
                <w:sz w:val="12"/>
                <w:szCs w:val="12"/>
              </w:rPr>
            </w:pPr>
            <w:r>
              <w:rPr>
                <w:sz w:val="12"/>
                <w:szCs w:val="12"/>
                <w:spacing w:val="-6"/>
              </w:rPr>
              <w:t>160—240倍</w:t>
            </w:r>
          </w:p>
        </w:tc>
        <w:tc>
          <w:tcPr>
            <w:tcW w:w="1529" w:type="dxa"/>
            <w:vAlign w:val="top"/>
            <w:vMerge w:val="restart"/>
            <w:tcBorders>
              <w:bottom w:val="nil"/>
              <w:top w:val="single" w:color="000000" w:sz="2" w:space="0"/>
            </w:tcBorders>
          </w:tcPr>
          <w:p>
            <w:pPr>
              <w:pStyle w:val="TableText"/>
              <w:ind w:left="725"/>
              <w:spacing w:before="263" w:line="224" w:lineRule="auto"/>
              <w:rPr>
                <w:sz w:val="12"/>
                <w:szCs w:val="12"/>
              </w:rPr>
            </w:pPr>
            <w:r>
              <w:rPr>
                <w:sz w:val="12"/>
                <w:szCs w:val="12"/>
              </w:rPr>
              <w:t>/</w:t>
            </w:r>
          </w:p>
        </w:tc>
        <w:tc>
          <w:tcPr>
            <w:tcW w:w="729" w:type="dxa"/>
            <w:vAlign w:val="top"/>
            <w:tcBorders>
              <w:bottom w:val="single" w:color="000000" w:sz="2" w:space="0"/>
              <w:top w:val="single" w:color="000000" w:sz="2" w:space="0"/>
            </w:tcBorders>
          </w:tcPr>
          <w:p>
            <w:pPr>
              <w:pStyle w:val="TableText"/>
              <w:ind w:left="147"/>
              <w:spacing w:before="106" w:line="213" w:lineRule="auto"/>
              <w:rPr>
                <w:sz w:val="12"/>
                <w:szCs w:val="12"/>
              </w:rPr>
            </w:pPr>
            <w:r>
              <w:rPr>
                <w:sz w:val="12"/>
                <w:szCs w:val="12"/>
                <w:spacing w:val="-1"/>
              </w:rPr>
              <w:t>200g/袋</w:t>
            </w:r>
          </w:p>
        </w:tc>
        <w:tc>
          <w:tcPr>
            <w:tcW w:w="2603" w:type="dxa"/>
            <w:vAlign w:val="top"/>
            <w:tcBorders>
              <w:bottom w:val="single" w:color="000000" w:sz="2" w:space="0"/>
              <w:top w:val="single" w:color="000000" w:sz="2" w:space="0"/>
            </w:tcBorders>
          </w:tcPr>
          <w:p>
            <w:pPr>
              <w:pStyle w:val="TableText"/>
              <w:ind w:left="17" w:right="45"/>
              <w:spacing w:before="30" w:line="216" w:lineRule="auto"/>
              <w:rPr>
                <w:sz w:val="12"/>
                <w:szCs w:val="12"/>
              </w:rPr>
            </w:pPr>
            <w:r>
              <w:rPr>
                <w:sz w:val="12"/>
                <w:szCs w:val="12"/>
              </w:rPr>
              <w:t>防治落叶病、炭痘病、炭殖病、霜霉病。不能与</w:t>
            </w:r>
            <w:r>
              <w:rPr>
                <w:sz w:val="12"/>
                <w:szCs w:val="12"/>
                <w:spacing w:val="8"/>
              </w:rPr>
              <w:t xml:space="preserve"> </w:t>
            </w:r>
            <w:r>
              <w:rPr>
                <w:sz w:val="12"/>
                <w:szCs w:val="12"/>
                <w:spacing w:val="-1"/>
              </w:rPr>
              <w:t>石硫合剂等碱性衣药混用</w:t>
            </w:r>
          </w:p>
        </w:tc>
      </w:tr>
      <w:tr>
        <w:trPr>
          <w:trHeight w:val="30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93"/>
              <w:spacing w:before="89" w:line="218" w:lineRule="auto"/>
              <w:rPr>
                <w:sz w:val="12"/>
                <w:szCs w:val="12"/>
              </w:rPr>
            </w:pPr>
            <w:r>
              <w:rPr>
                <w:sz w:val="12"/>
                <w:szCs w:val="12"/>
                <w:spacing w:val="1"/>
              </w:rPr>
              <w:t>晶体石硫合剂</w:t>
            </w:r>
          </w:p>
        </w:tc>
        <w:tc>
          <w:tcPr>
            <w:tcW w:w="2099" w:type="dxa"/>
            <w:vAlign w:val="top"/>
            <w:tcBorders>
              <w:bottom w:val="single" w:color="000000" w:sz="2" w:space="0"/>
              <w:top w:val="single" w:color="000000" w:sz="2" w:space="0"/>
            </w:tcBorders>
          </w:tcPr>
          <w:p>
            <w:pPr>
              <w:pStyle w:val="TableText"/>
              <w:ind w:left="804"/>
              <w:spacing w:before="90" w:line="221" w:lineRule="auto"/>
              <w:rPr>
                <w:sz w:val="12"/>
                <w:szCs w:val="12"/>
              </w:rPr>
            </w:pPr>
            <w:r>
              <w:rPr>
                <w:sz w:val="12"/>
                <w:szCs w:val="12"/>
                <w:spacing w:val="-2"/>
              </w:rPr>
              <w:t>多硫化钙</w:t>
            </w:r>
          </w:p>
        </w:tc>
        <w:tc>
          <w:tcPr>
            <w:tcW w:w="1319" w:type="dxa"/>
            <w:vAlign w:val="top"/>
            <w:tcBorders>
              <w:bottom w:val="single" w:color="000000" w:sz="2" w:space="0"/>
              <w:top w:val="single" w:color="000000" w:sz="2" w:space="0"/>
            </w:tcBorders>
          </w:tcPr>
          <w:p>
            <w:pPr>
              <w:pStyle w:val="TableText"/>
              <w:ind w:left="385"/>
              <w:spacing w:before="90" w:line="220" w:lineRule="auto"/>
              <w:rPr>
                <w:sz w:val="12"/>
                <w:szCs w:val="12"/>
              </w:rPr>
            </w:pPr>
            <w:r>
              <w:rPr>
                <w:sz w:val="12"/>
                <w:szCs w:val="12"/>
                <w:spacing w:val="-6"/>
              </w:rPr>
              <w:t>400—600倍</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16"/>
              <w:spacing w:before="90" w:line="220" w:lineRule="auto"/>
              <w:rPr>
                <w:sz w:val="12"/>
                <w:szCs w:val="12"/>
              </w:rPr>
            </w:pPr>
            <w:r>
              <w:rPr>
                <w:sz w:val="12"/>
                <w:szCs w:val="12"/>
                <w:spacing w:val="3"/>
              </w:rPr>
              <w:t>(400/装)</w:t>
            </w:r>
          </w:p>
        </w:tc>
        <w:tc>
          <w:tcPr>
            <w:tcW w:w="2603" w:type="dxa"/>
            <w:vAlign w:val="top"/>
            <w:tcBorders>
              <w:bottom w:val="single" w:color="000000" w:sz="2" w:space="0"/>
              <w:top w:val="single" w:color="000000" w:sz="2" w:space="0"/>
            </w:tcBorders>
          </w:tcPr>
          <w:p>
            <w:pPr>
              <w:pStyle w:val="TableText"/>
              <w:ind w:left="17" w:right="54"/>
              <w:spacing w:before="9" w:line="210" w:lineRule="auto"/>
              <w:rPr>
                <w:sz w:val="12"/>
                <w:szCs w:val="12"/>
              </w:rPr>
            </w:pPr>
            <w:r>
              <w:rPr>
                <w:sz w:val="12"/>
                <w:szCs w:val="12"/>
              </w:rPr>
              <w:t>价格低廉、效果好、对多种病菌具有抑杀作用， </w:t>
            </w:r>
            <w:r>
              <w:rPr>
                <w:sz w:val="12"/>
                <w:szCs w:val="12"/>
                <w:spacing w:val="2"/>
              </w:rPr>
              <w:t>园区消养使用</w:t>
            </w:r>
          </w:p>
        </w:tc>
      </w:tr>
      <w:tr>
        <w:trPr>
          <w:trHeight w:val="304" w:hRule="atLeast"/>
        </w:trPr>
        <w:tc>
          <w:tcPr>
            <w:tcW w:w="42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90"/>
              <w:spacing w:before="39" w:line="219" w:lineRule="auto"/>
              <w:rPr>
                <w:sz w:val="12"/>
                <w:szCs w:val="12"/>
              </w:rPr>
            </w:pPr>
            <w:r>
              <w:rPr>
                <w:sz w:val="12"/>
                <w:szCs w:val="12"/>
                <w:spacing w:val="-1"/>
              </w:rPr>
              <w:t>病菌类</w:t>
            </w:r>
          </w:p>
        </w:tc>
        <w:tc>
          <w:tcPr>
            <w:tcW w:w="929" w:type="dxa"/>
            <w:vAlign w:val="top"/>
            <w:vMerge w:val="restart"/>
            <w:tcBorders>
              <w:bottom w:val="nil"/>
              <w:top w:val="single" w:color="000000" w:sz="2" w:space="0"/>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30" w:right="53" w:firstLine="59"/>
              <w:spacing w:before="39" w:line="222" w:lineRule="auto"/>
              <w:rPr>
                <w:sz w:val="12"/>
                <w:szCs w:val="12"/>
              </w:rPr>
            </w:pPr>
            <w:r>
              <w:rPr>
                <w:sz w:val="12"/>
                <w:szCs w:val="12"/>
                <w:spacing w:val="-1"/>
              </w:rPr>
              <w:t>溃疡病、炭疽</w:t>
            </w:r>
            <w:r>
              <w:rPr>
                <w:sz w:val="12"/>
                <w:szCs w:val="12"/>
              </w:rPr>
              <w:t xml:space="preserve">  </w:t>
            </w:r>
            <w:r>
              <w:rPr>
                <w:sz w:val="12"/>
                <w:szCs w:val="12"/>
                <w:spacing w:val="-1"/>
              </w:rPr>
              <w:t>病，白粉病，锈</w:t>
            </w:r>
          </w:p>
          <w:p>
            <w:pPr>
              <w:pStyle w:val="TableText"/>
              <w:ind w:left="10"/>
              <w:spacing w:line="219" w:lineRule="auto"/>
              <w:rPr>
                <w:sz w:val="12"/>
                <w:szCs w:val="12"/>
              </w:rPr>
            </w:pPr>
            <w:r>
              <w:rPr>
                <w:sz w:val="12"/>
                <w:szCs w:val="12"/>
                <w:spacing w:val="-1"/>
              </w:rPr>
              <w:t>病、叶枯病，叶</w:t>
            </w:r>
          </w:p>
          <w:p>
            <w:pPr>
              <w:pStyle w:val="TableText"/>
              <w:ind w:left="20"/>
              <w:spacing w:before="7" w:line="219" w:lineRule="auto"/>
              <w:rPr>
                <w:sz w:val="12"/>
                <w:szCs w:val="12"/>
              </w:rPr>
            </w:pPr>
            <w:r>
              <w:rPr>
                <w:sz w:val="12"/>
                <w:szCs w:val="12"/>
                <w:spacing w:val="-1"/>
              </w:rPr>
              <w:t>班病、桔梢病等</w:t>
            </w:r>
          </w:p>
        </w:tc>
        <w:tc>
          <w:tcPr>
            <w:tcW w:w="2748"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1"/>
              <w:spacing w:before="39" w:line="219" w:lineRule="auto"/>
              <w:rPr>
                <w:sz w:val="12"/>
                <w:szCs w:val="12"/>
              </w:rPr>
            </w:pPr>
            <w:r>
              <w:rPr>
                <w:sz w:val="12"/>
                <w:szCs w:val="12"/>
              </w:rPr>
              <w:t>一，5月全园区预防消杀为主：</w:t>
            </w:r>
          </w:p>
          <w:p>
            <w:pPr>
              <w:pStyle w:val="TableText"/>
              <w:ind w:left="11"/>
              <w:spacing w:before="7" w:line="219" w:lineRule="auto"/>
              <w:rPr>
                <w:sz w:val="12"/>
                <w:szCs w:val="12"/>
              </w:rPr>
            </w:pPr>
            <w:r>
              <w:rPr>
                <w:sz w:val="12"/>
                <w:szCs w:val="12"/>
                <w:spacing w:val="-1"/>
              </w:rPr>
              <w:t>二，6-10月为高发期。有发现病情，及时喷药处理</w:t>
            </w:r>
          </w:p>
        </w:tc>
        <w:tc>
          <w:tcPr>
            <w:tcW w:w="1119" w:type="dxa"/>
            <w:vAlign w:val="top"/>
            <w:tcBorders>
              <w:bottom w:val="single" w:color="000000" w:sz="2" w:space="0"/>
              <w:top w:val="single" w:color="000000" w:sz="2" w:space="0"/>
            </w:tcBorders>
          </w:tcPr>
          <w:p>
            <w:pPr>
              <w:pStyle w:val="TableText"/>
              <w:ind w:left="253"/>
              <w:spacing w:before="120" w:line="219" w:lineRule="auto"/>
              <w:rPr>
                <w:sz w:val="12"/>
                <w:szCs w:val="12"/>
              </w:rPr>
            </w:pPr>
            <w:r>
              <w:rPr>
                <w:sz w:val="12"/>
                <w:szCs w:val="12"/>
                <w:spacing w:val="1"/>
              </w:rPr>
              <w:t>国光三唑嗣</w:t>
            </w:r>
          </w:p>
        </w:tc>
        <w:tc>
          <w:tcPr>
            <w:tcW w:w="2099" w:type="dxa"/>
            <w:vAlign w:val="top"/>
            <w:tcBorders>
              <w:bottom w:val="single" w:color="000000" w:sz="2" w:space="0"/>
              <w:top w:val="single" w:color="000000" w:sz="2" w:space="0"/>
            </w:tcBorders>
          </w:tcPr>
          <w:p>
            <w:pPr>
              <w:pStyle w:val="TableText"/>
              <w:ind w:left="864"/>
              <w:spacing w:before="91" w:line="221" w:lineRule="auto"/>
              <w:rPr>
                <w:sz w:val="12"/>
                <w:szCs w:val="12"/>
              </w:rPr>
            </w:pPr>
            <w:r>
              <w:rPr>
                <w:sz w:val="12"/>
                <w:szCs w:val="12"/>
                <w:spacing w:val="-2"/>
              </w:rPr>
              <w:t>三唑酮</w:t>
            </w:r>
          </w:p>
        </w:tc>
        <w:tc>
          <w:tcPr>
            <w:tcW w:w="1319" w:type="dxa"/>
            <w:vAlign w:val="top"/>
            <w:tcBorders>
              <w:bottom w:val="single" w:color="000000" w:sz="2" w:space="0"/>
              <w:top w:val="single" w:color="000000" w:sz="2" w:space="0"/>
            </w:tcBorders>
          </w:tcPr>
          <w:p>
            <w:pPr>
              <w:pStyle w:val="TableText"/>
              <w:ind w:left="235"/>
              <w:spacing w:before="120" w:line="219" w:lineRule="auto"/>
              <w:rPr>
                <w:sz w:val="12"/>
                <w:szCs w:val="12"/>
              </w:rPr>
            </w:pPr>
            <w:r>
              <w:rPr>
                <w:sz w:val="12"/>
                <w:szCs w:val="12"/>
                <w:spacing w:val="-1"/>
              </w:rPr>
              <w:t>稀释800-1000倍</w:t>
            </w:r>
          </w:p>
        </w:tc>
        <w:tc>
          <w:tcPr>
            <w:tcW w:w="1529" w:type="dxa"/>
            <w:vAlign w:val="top"/>
            <w:tcBorders>
              <w:bottom w:val="single" w:color="000000" w:sz="2" w:space="0"/>
              <w:top w:val="single" w:color="000000" w:sz="2" w:space="0"/>
            </w:tcBorders>
          </w:tcPr>
          <w:p>
            <w:pPr>
              <w:pStyle w:val="TableText"/>
              <w:ind w:left="705" w:right="49" w:hanging="670"/>
              <w:spacing w:before="10" w:line="210" w:lineRule="auto"/>
              <w:rPr>
                <w:sz w:val="12"/>
                <w:szCs w:val="12"/>
              </w:rPr>
            </w:pPr>
            <w:r>
              <w:rPr>
                <w:sz w:val="12"/>
                <w:szCs w:val="12"/>
                <w:spacing w:val="-1"/>
              </w:rPr>
              <w:t>一般用2次，时间间隔7到10</w:t>
            </w:r>
            <w:r>
              <w:rPr>
                <w:sz w:val="12"/>
                <w:szCs w:val="12"/>
                <w:spacing w:val="6"/>
              </w:rPr>
              <w:t xml:space="preserve"> </w:t>
            </w:r>
            <w:r>
              <w:rPr>
                <w:sz w:val="12"/>
                <w:szCs w:val="12"/>
              </w:rPr>
              <w:t>天</w:t>
            </w:r>
          </w:p>
        </w:tc>
        <w:tc>
          <w:tcPr>
            <w:tcW w:w="729" w:type="dxa"/>
            <w:vAlign w:val="top"/>
            <w:tcBorders>
              <w:bottom w:val="single" w:color="000000" w:sz="2" w:space="0"/>
              <w:top w:val="single" w:color="000000" w:sz="2" w:space="0"/>
            </w:tcBorders>
          </w:tcPr>
          <w:p>
            <w:pPr>
              <w:pStyle w:val="TableText"/>
              <w:ind w:left="116"/>
              <w:spacing w:before="111"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120" w:line="219" w:lineRule="auto"/>
              <w:rPr>
                <w:sz w:val="12"/>
                <w:szCs w:val="12"/>
              </w:rPr>
            </w:pPr>
            <w:r>
              <w:rPr>
                <w:sz w:val="12"/>
                <w:szCs w:val="12"/>
                <w:spacing w:val="-2"/>
              </w:rPr>
              <w:t>防治白粉病、锈病等</w:t>
            </w:r>
          </w:p>
        </w:tc>
      </w:tr>
      <w:tr>
        <w:trPr>
          <w:trHeight w:val="33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03"/>
              <w:spacing w:before="111" w:line="219" w:lineRule="auto"/>
              <w:rPr>
                <w:sz w:val="12"/>
                <w:szCs w:val="12"/>
              </w:rPr>
            </w:pPr>
            <w:r>
              <w:rPr>
                <w:sz w:val="12"/>
                <w:szCs w:val="12"/>
              </w:rPr>
              <w:t>国光多菌灵《中》</w:t>
            </w:r>
          </w:p>
        </w:tc>
        <w:tc>
          <w:tcPr>
            <w:tcW w:w="2099" w:type="dxa"/>
            <w:vAlign w:val="top"/>
            <w:tcBorders>
              <w:bottom w:val="single" w:color="000000" w:sz="2" w:space="0"/>
              <w:top w:val="single" w:color="000000" w:sz="2" w:space="0"/>
            </w:tcBorders>
          </w:tcPr>
          <w:p>
            <w:pPr>
              <w:pStyle w:val="TableText"/>
              <w:ind w:left="804"/>
              <w:spacing w:before="111" w:line="219" w:lineRule="auto"/>
              <w:rPr>
                <w:sz w:val="12"/>
                <w:szCs w:val="12"/>
              </w:rPr>
            </w:pPr>
            <w:r>
              <w:rPr>
                <w:sz w:val="12"/>
                <w:szCs w:val="12"/>
                <w:spacing w:val="-2"/>
              </w:rPr>
              <w:t>50多菌灵</w:t>
            </w:r>
          </w:p>
        </w:tc>
        <w:tc>
          <w:tcPr>
            <w:tcW w:w="1319" w:type="dxa"/>
            <w:vAlign w:val="top"/>
            <w:tcBorders>
              <w:bottom w:val="single" w:color="000000" w:sz="2" w:space="0"/>
              <w:top w:val="single" w:color="000000" w:sz="2" w:space="0"/>
            </w:tcBorders>
          </w:tcPr>
          <w:p>
            <w:pPr>
              <w:pStyle w:val="TableText"/>
              <w:ind w:left="205"/>
              <w:spacing w:before="111" w:line="219" w:lineRule="auto"/>
              <w:rPr>
                <w:sz w:val="12"/>
                <w:szCs w:val="12"/>
              </w:rPr>
            </w:pPr>
            <w:r>
              <w:rPr>
                <w:sz w:val="12"/>
                <w:szCs w:val="12"/>
                <w:spacing w:val="-1"/>
              </w:rPr>
              <w:t>稀释600-800倍液</w:t>
            </w:r>
          </w:p>
        </w:tc>
        <w:tc>
          <w:tcPr>
            <w:tcW w:w="1529" w:type="dxa"/>
            <w:vAlign w:val="top"/>
            <w:vMerge w:val="restart"/>
            <w:tcBorders>
              <w:bottom w:val="nil"/>
              <w:top w:val="single" w:color="000000" w:sz="2" w:space="0"/>
            </w:tcBorders>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695" w:right="49" w:hanging="660"/>
              <w:spacing w:before="39" w:line="249" w:lineRule="auto"/>
              <w:rPr>
                <w:sz w:val="12"/>
                <w:szCs w:val="12"/>
              </w:rPr>
            </w:pPr>
            <w:r>
              <w:rPr>
                <w:sz w:val="12"/>
                <w:szCs w:val="12"/>
                <w:spacing w:val="-1"/>
              </w:rPr>
              <w:t>一般用3次，时间间隔7到10</w:t>
            </w:r>
            <w:r>
              <w:rPr>
                <w:sz w:val="12"/>
                <w:szCs w:val="12"/>
                <w:spacing w:val="6"/>
              </w:rPr>
              <w:t xml:space="preserve"> </w:t>
            </w:r>
            <w:r>
              <w:rPr>
                <w:sz w:val="12"/>
                <w:szCs w:val="12"/>
              </w:rPr>
              <w:t>天</w:t>
            </w:r>
          </w:p>
        </w:tc>
        <w:tc>
          <w:tcPr>
            <w:tcW w:w="729" w:type="dxa"/>
            <w:vAlign w:val="top"/>
            <w:tcBorders>
              <w:bottom w:val="single" w:color="000000" w:sz="2" w:space="0"/>
              <w:top w:val="single" w:color="000000" w:sz="2" w:space="0"/>
            </w:tcBorders>
          </w:tcPr>
          <w:p>
            <w:pPr>
              <w:pStyle w:val="TableText"/>
              <w:ind w:left="86"/>
              <w:spacing w:before="107" w:line="213" w:lineRule="auto"/>
              <w:rPr>
                <w:sz w:val="12"/>
                <w:szCs w:val="12"/>
              </w:rPr>
            </w:pPr>
            <w:r>
              <w:rPr>
                <w:sz w:val="12"/>
                <w:szCs w:val="12"/>
                <w:spacing w:val="3"/>
              </w:rPr>
              <w:t>(100g/袋)</w:t>
            </w:r>
          </w:p>
        </w:tc>
        <w:tc>
          <w:tcPr>
            <w:tcW w:w="2603" w:type="dxa"/>
            <w:vAlign w:val="top"/>
            <w:tcBorders>
              <w:bottom w:val="single" w:color="000000" w:sz="2" w:space="0"/>
              <w:top w:val="single" w:color="000000" w:sz="2" w:space="0"/>
            </w:tcBorders>
          </w:tcPr>
          <w:p>
            <w:pPr>
              <w:pStyle w:val="TableText"/>
              <w:ind w:left="17"/>
              <w:spacing w:before="110" w:line="218" w:lineRule="auto"/>
              <w:rPr>
                <w:sz w:val="12"/>
                <w:szCs w:val="12"/>
              </w:rPr>
            </w:pPr>
            <w:r>
              <w:rPr>
                <w:sz w:val="12"/>
                <w:szCs w:val="12"/>
                <w:spacing w:val="-1"/>
              </w:rPr>
              <w:t>广谱性桑菌剂</w:t>
            </w:r>
          </w:p>
        </w:tc>
      </w:tr>
      <w:tr>
        <w:trPr>
          <w:trHeight w:val="30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433"/>
              <w:spacing w:before="91" w:line="220" w:lineRule="auto"/>
              <w:rPr>
                <w:sz w:val="12"/>
                <w:szCs w:val="12"/>
              </w:rPr>
            </w:pPr>
            <w:r>
              <w:rPr>
                <w:sz w:val="12"/>
                <w:szCs w:val="12"/>
                <w:spacing w:val="-2"/>
              </w:rPr>
              <w:t>英纳</w:t>
            </w:r>
          </w:p>
        </w:tc>
        <w:tc>
          <w:tcPr>
            <w:tcW w:w="2099" w:type="dxa"/>
            <w:vAlign w:val="top"/>
            <w:tcBorders>
              <w:bottom w:val="single" w:color="000000" w:sz="2" w:space="0"/>
              <w:top w:val="single" w:color="000000" w:sz="2" w:space="0"/>
            </w:tcBorders>
          </w:tcPr>
          <w:p>
            <w:pPr>
              <w:pStyle w:val="TableText"/>
              <w:ind w:left="24"/>
              <w:spacing w:before="90" w:line="218" w:lineRule="auto"/>
              <w:rPr>
                <w:sz w:val="12"/>
                <w:szCs w:val="12"/>
              </w:rPr>
            </w:pPr>
            <w:r>
              <w:rPr>
                <w:sz w:val="12"/>
                <w:szCs w:val="12"/>
              </w:rPr>
              <w:t>甲基托布津、三唑酮，烯唑醇、代森锰</w:t>
            </w:r>
          </w:p>
        </w:tc>
        <w:tc>
          <w:tcPr>
            <w:tcW w:w="1319" w:type="dxa"/>
            <w:vAlign w:val="top"/>
            <w:tcBorders>
              <w:bottom w:val="single" w:color="000000" w:sz="2" w:space="0"/>
              <w:top w:val="single" w:color="000000" w:sz="2" w:space="0"/>
            </w:tcBorders>
          </w:tcPr>
          <w:p>
            <w:pPr>
              <w:pStyle w:val="TableText"/>
              <w:ind w:left="205"/>
              <w:spacing w:before="90" w:line="219" w:lineRule="auto"/>
              <w:rPr>
                <w:sz w:val="12"/>
                <w:szCs w:val="12"/>
              </w:rPr>
            </w:pPr>
            <w:r>
              <w:rPr>
                <w:sz w:val="12"/>
                <w:szCs w:val="12"/>
                <w:spacing w:val="-1"/>
              </w:rPr>
              <w:t>稀释400-600倍液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87" w:line="213" w:lineRule="auto"/>
              <w:rPr>
                <w:sz w:val="12"/>
                <w:szCs w:val="12"/>
              </w:rPr>
            </w:pPr>
            <w:r>
              <w:rPr>
                <w:sz w:val="12"/>
                <w:szCs w:val="12"/>
                <w:spacing w:val="-1"/>
              </w:rPr>
              <w:t>500g+20袋</w:t>
            </w:r>
          </w:p>
        </w:tc>
        <w:tc>
          <w:tcPr>
            <w:tcW w:w="2603" w:type="dxa"/>
            <w:vAlign w:val="top"/>
            <w:tcBorders>
              <w:bottom w:val="single" w:color="000000" w:sz="2" w:space="0"/>
              <w:top w:val="single" w:color="000000" w:sz="2" w:space="0"/>
            </w:tcBorders>
          </w:tcPr>
          <w:p>
            <w:pPr>
              <w:pStyle w:val="TableText"/>
              <w:spacing w:before="90" w:line="219" w:lineRule="auto"/>
              <w:jc w:val="right"/>
              <w:rPr>
                <w:sz w:val="12"/>
                <w:szCs w:val="12"/>
              </w:rPr>
            </w:pPr>
            <w:r>
              <w:rPr>
                <w:sz w:val="12"/>
                <w:szCs w:val="12"/>
                <w:spacing w:val="-3"/>
              </w:rPr>
              <w:t>治苗木、行道树、绿植及花卉的叶斑病，发疸病等</w:t>
            </w:r>
          </w:p>
        </w:tc>
      </w:tr>
      <w:tr>
        <w:trPr>
          <w:trHeight w:val="33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433"/>
              <w:spacing w:before="111" w:line="219" w:lineRule="auto"/>
              <w:rPr>
                <w:sz w:val="12"/>
                <w:szCs w:val="12"/>
              </w:rPr>
            </w:pPr>
            <w:r>
              <w:rPr>
                <w:sz w:val="12"/>
                <w:szCs w:val="12"/>
                <w:spacing w:val="-2"/>
              </w:rPr>
              <w:t>黑杀</w:t>
            </w:r>
          </w:p>
        </w:tc>
        <w:tc>
          <w:tcPr>
            <w:tcW w:w="2099" w:type="dxa"/>
            <w:vAlign w:val="top"/>
            <w:tcBorders>
              <w:bottom w:val="single" w:color="000000" w:sz="2" w:space="0"/>
              <w:top w:val="single" w:color="000000" w:sz="2" w:space="0"/>
            </w:tcBorders>
          </w:tcPr>
          <w:p>
            <w:pPr>
              <w:pStyle w:val="TableText"/>
              <w:ind w:left="144"/>
              <w:spacing w:before="111" w:line="219" w:lineRule="auto"/>
              <w:rPr>
                <w:sz w:val="12"/>
                <w:szCs w:val="12"/>
              </w:rPr>
            </w:pPr>
            <w:r>
              <w:rPr>
                <w:sz w:val="12"/>
                <w:szCs w:val="12"/>
                <w:spacing w:val="-1"/>
              </w:rPr>
              <w:t>炳唑醇、戊唑酮、高活性抗病因子</w:t>
            </w:r>
          </w:p>
        </w:tc>
        <w:tc>
          <w:tcPr>
            <w:tcW w:w="1319" w:type="dxa"/>
            <w:vAlign w:val="top"/>
            <w:tcBorders>
              <w:bottom w:val="single" w:color="000000" w:sz="2" w:space="0"/>
              <w:top w:val="single" w:color="000000" w:sz="2" w:space="0"/>
            </w:tcBorders>
          </w:tcPr>
          <w:p>
            <w:pPr>
              <w:pStyle w:val="TableText"/>
              <w:ind w:left="205"/>
              <w:spacing w:before="111" w:line="219" w:lineRule="auto"/>
              <w:rPr>
                <w:sz w:val="12"/>
                <w:szCs w:val="12"/>
              </w:rPr>
            </w:pPr>
            <w:r>
              <w:rPr>
                <w:sz w:val="12"/>
                <w:szCs w:val="12"/>
                <w:spacing w:val="-1"/>
              </w:rPr>
              <w:t>稀释2000-3000倍</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07" w:line="213" w:lineRule="auto"/>
              <w:rPr>
                <w:sz w:val="12"/>
                <w:szCs w:val="12"/>
              </w:rPr>
            </w:pPr>
            <w:r>
              <w:rPr>
                <w:sz w:val="12"/>
                <w:szCs w:val="12"/>
                <w:spacing w:val="-1"/>
              </w:rPr>
              <w:t>40g+100袋</w:t>
            </w:r>
          </w:p>
        </w:tc>
        <w:tc>
          <w:tcPr>
            <w:tcW w:w="2603" w:type="dxa"/>
            <w:vAlign w:val="top"/>
            <w:tcBorders>
              <w:bottom w:val="single" w:color="000000" w:sz="2" w:space="0"/>
              <w:top w:val="single" w:color="000000" w:sz="2" w:space="0"/>
            </w:tcBorders>
          </w:tcPr>
          <w:p>
            <w:pPr>
              <w:pStyle w:val="TableText"/>
              <w:ind w:left="17"/>
              <w:spacing w:before="111" w:line="219" w:lineRule="auto"/>
              <w:rPr>
                <w:sz w:val="12"/>
                <w:szCs w:val="12"/>
              </w:rPr>
            </w:pPr>
            <w:r>
              <w:rPr>
                <w:sz w:val="12"/>
                <w:szCs w:val="12"/>
                <w:spacing w:val="-1"/>
              </w:rPr>
              <w:t>泊白粉病、锈病、黑斑痛、白绢病等多种病害</w:t>
            </w:r>
          </w:p>
        </w:tc>
      </w:tr>
      <w:tr>
        <w:trPr>
          <w:trHeight w:val="30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433"/>
              <w:spacing w:before="92" w:line="219" w:lineRule="auto"/>
              <w:rPr>
                <w:sz w:val="12"/>
                <w:szCs w:val="12"/>
              </w:rPr>
            </w:pPr>
            <w:r>
              <w:rPr>
                <w:sz w:val="12"/>
                <w:szCs w:val="12"/>
                <w:spacing w:val="-2"/>
              </w:rPr>
              <w:t>绿杀</w:t>
            </w:r>
          </w:p>
        </w:tc>
        <w:tc>
          <w:tcPr>
            <w:tcW w:w="2099" w:type="dxa"/>
            <w:vAlign w:val="top"/>
            <w:tcBorders>
              <w:bottom w:val="single" w:color="000000" w:sz="2" w:space="0"/>
              <w:top w:val="single" w:color="000000" w:sz="2" w:space="0"/>
            </w:tcBorders>
          </w:tcPr>
          <w:p>
            <w:pPr>
              <w:pStyle w:val="TableText"/>
              <w:ind w:left="684"/>
              <w:spacing w:before="92" w:line="220" w:lineRule="auto"/>
              <w:rPr>
                <w:sz w:val="12"/>
                <w:szCs w:val="12"/>
              </w:rPr>
            </w:pPr>
            <w:r>
              <w:rPr>
                <w:sz w:val="12"/>
                <w:szCs w:val="12"/>
                <w:spacing w:val="1"/>
              </w:rPr>
              <w:t>甲霜灵，锰锌</w:t>
            </w:r>
          </w:p>
        </w:tc>
        <w:tc>
          <w:tcPr>
            <w:tcW w:w="1319" w:type="dxa"/>
            <w:vAlign w:val="top"/>
            <w:tcBorders>
              <w:bottom w:val="single" w:color="000000" w:sz="2" w:space="0"/>
              <w:top w:val="single" w:color="000000" w:sz="2" w:space="0"/>
            </w:tcBorders>
          </w:tcPr>
          <w:p>
            <w:pPr>
              <w:pStyle w:val="TableText"/>
              <w:ind w:left="205"/>
              <w:spacing w:before="92" w:line="219" w:lineRule="auto"/>
              <w:rPr>
                <w:sz w:val="12"/>
                <w:szCs w:val="12"/>
              </w:rPr>
            </w:pPr>
            <w:r>
              <w:rPr>
                <w:sz w:val="12"/>
                <w:szCs w:val="12"/>
                <w:spacing w:val="-1"/>
              </w:rPr>
              <w:t>稀释400-600倍液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88" w:line="213" w:lineRule="auto"/>
              <w:rPr>
                <w:sz w:val="12"/>
                <w:szCs w:val="12"/>
              </w:rPr>
            </w:pPr>
            <w:r>
              <w:rPr>
                <w:sz w:val="12"/>
                <w:szCs w:val="12"/>
                <w:spacing w:val="-1"/>
              </w:rPr>
              <w:t>500g+20袭</w:t>
            </w:r>
          </w:p>
        </w:tc>
        <w:tc>
          <w:tcPr>
            <w:tcW w:w="2603" w:type="dxa"/>
            <w:vAlign w:val="top"/>
            <w:tcBorders>
              <w:bottom w:val="single" w:color="000000" w:sz="2" w:space="0"/>
              <w:top w:val="single" w:color="000000" w:sz="2" w:space="0"/>
            </w:tcBorders>
          </w:tcPr>
          <w:p>
            <w:pPr>
              <w:pStyle w:val="TableText"/>
              <w:ind w:left="17"/>
              <w:spacing w:before="91" w:line="218" w:lineRule="auto"/>
              <w:rPr>
                <w:sz w:val="12"/>
                <w:szCs w:val="12"/>
              </w:rPr>
            </w:pPr>
            <w:r>
              <w:rPr>
                <w:sz w:val="12"/>
                <w:szCs w:val="12"/>
                <w:spacing w:val="-1"/>
              </w:rPr>
              <w:t>高效广谱杀蜻剂，防效高，持效期长</w:t>
            </w:r>
          </w:p>
        </w:tc>
      </w:tr>
      <w:tr>
        <w:trPr>
          <w:trHeight w:val="39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33"/>
              <w:spacing w:before="141" w:line="219" w:lineRule="auto"/>
              <w:rPr>
                <w:sz w:val="12"/>
                <w:szCs w:val="12"/>
              </w:rPr>
            </w:pPr>
            <w:r>
              <w:rPr>
                <w:sz w:val="12"/>
                <w:szCs w:val="12"/>
                <w:spacing w:val="-2"/>
              </w:rPr>
              <w:t>阿西米达悬浮液</w:t>
            </w:r>
          </w:p>
        </w:tc>
        <w:tc>
          <w:tcPr>
            <w:tcW w:w="2099" w:type="dxa"/>
            <w:vAlign w:val="top"/>
            <w:tcBorders>
              <w:bottom w:val="single" w:color="000000" w:sz="2" w:space="0"/>
              <w:top w:val="single" w:color="000000" w:sz="2" w:space="0"/>
            </w:tcBorders>
          </w:tcPr>
          <w:p>
            <w:pPr>
              <w:pStyle w:val="TableText"/>
              <w:ind w:left="864"/>
              <w:spacing w:before="141" w:line="219" w:lineRule="auto"/>
              <w:rPr>
                <w:sz w:val="12"/>
                <w:szCs w:val="12"/>
              </w:rPr>
            </w:pPr>
            <w:r>
              <w:rPr>
                <w:sz w:val="12"/>
                <w:szCs w:val="12"/>
                <w:spacing w:val="-3"/>
              </w:rPr>
              <w:t>嗜菌酣</w:t>
            </w:r>
          </w:p>
        </w:tc>
        <w:tc>
          <w:tcPr>
            <w:tcW w:w="1319" w:type="dxa"/>
            <w:vAlign w:val="top"/>
            <w:tcBorders>
              <w:bottom w:val="single" w:color="000000" w:sz="2" w:space="0"/>
              <w:top w:val="single" w:color="000000" w:sz="2" w:space="0"/>
            </w:tcBorders>
          </w:tcPr>
          <w:p>
            <w:pPr>
              <w:pStyle w:val="TableText"/>
              <w:ind w:left="115"/>
              <w:spacing w:before="71" w:line="218" w:lineRule="auto"/>
              <w:rPr>
                <w:sz w:val="12"/>
                <w:szCs w:val="12"/>
              </w:rPr>
            </w:pPr>
            <w:r>
              <w:rPr>
                <w:sz w:val="12"/>
                <w:szCs w:val="12"/>
                <w:spacing w:val="-1"/>
              </w:rPr>
              <w:t>25M阿西米达暴浮液I</w:t>
            </w:r>
          </w:p>
          <w:p>
            <w:pPr>
              <w:pStyle w:val="TableText"/>
              <w:ind w:left="305"/>
              <w:spacing w:before="8" w:line="220" w:lineRule="auto"/>
              <w:rPr>
                <w:sz w:val="12"/>
                <w:szCs w:val="12"/>
              </w:rPr>
            </w:pPr>
            <w:r>
              <w:rPr>
                <w:sz w:val="12"/>
                <w:szCs w:val="12"/>
                <w:spacing w:val="-1"/>
              </w:rPr>
              <w:t>200-1500倍液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207"/>
              <w:spacing w:before="162" w:line="221" w:lineRule="auto"/>
              <w:rPr>
                <w:sz w:val="12"/>
                <w:szCs w:val="12"/>
              </w:rPr>
            </w:pPr>
            <w:r>
              <w:rPr>
                <w:sz w:val="12"/>
                <w:szCs w:val="12"/>
                <w:spacing w:val="-3"/>
              </w:rPr>
              <w:t>11/瓶</w:t>
            </w:r>
          </w:p>
        </w:tc>
        <w:tc>
          <w:tcPr>
            <w:tcW w:w="2603" w:type="dxa"/>
            <w:vAlign w:val="top"/>
            <w:tcBorders>
              <w:bottom w:val="single" w:color="000000" w:sz="2" w:space="0"/>
              <w:top w:val="single" w:color="000000" w:sz="2" w:space="0"/>
            </w:tcBorders>
          </w:tcPr>
          <w:p>
            <w:pPr>
              <w:pStyle w:val="TableText"/>
              <w:ind w:left="17" w:right="59"/>
              <w:spacing w:before="72"/>
              <w:rPr>
                <w:sz w:val="12"/>
                <w:szCs w:val="12"/>
              </w:rPr>
            </w:pPr>
            <w:r>
              <w:rPr>
                <w:sz w:val="12"/>
                <w:szCs w:val="12"/>
                <w:spacing w:val="-1"/>
              </w:rPr>
              <w:t>广谱杀菌，对四大类致病真菌，天然低毒安全无</w:t>
            </w:r>
            <w:r>
              <w:rPr>
                <w:sz w:val="12"/>
                <w:szCs w:val="12"/>
                <w:spacing w:val="15"/>
              </w:rPr>
              <w:t xml:space="preserve"> </w:t>
            </w:r>
            <w:r>
              <w:rPr>
                <w:sz w:val="12"/>
                <w:szCs w:val="12"/>
                <w:spacing w:val="-3"/>
              </w:rPr>
              <w:t>公害</w:t>
            </w:r>
          </w:p>
        </w:tc>
      </w:tr>
      <w:tr>
        <w:trPr>
          <w:trHeight w:val="30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23"/>
              <w:spacing w:before="112" w:line="219" w:lineRule="auto"/>
              <w:rPr>
                <w:sz w:val="12"/>
                <w:szCs w:val="12"/>
              </w:rPr>
            </w:pPr>
            <w:r>
              <w:rPr>
                <w:sz w:val="12"/>
                <w:szCs w:val="12"/>
                <w:spacing w:val="-1"/>
              </w:rPr>
              <w:t>70%代森猛锌</w:t>
            </w:r>
          </w:p>
        </w:tc>
        <w:tc>
          <w:tcPr>
            <w:tcW w:w="2099" w:type="dxa"/>
            <w:vAlign w:val="top"/>
            <w:tcBorders>
              <w:bottom w:val="single" w:color="000000" w:sz="2" w:space="0"/>
              <w:top w:val="single" w:color="000000" w:sz="2" w:space="0"/>
            </w:tcBorders>
          </w:tcPr>
          <w:p>
            <w:pPr>
              <w:pStyle w:val="TableText"/>
              <w:ind w:left="714"/>
              <w:spacing w:before="92" w:line="219" w:lineRule="auto"/>
              <w:rPr>
                <w:sz w:val="12"/>
                <w:szCs w:val="12"/>
              </w:rPr>
            </w:pPr>
            <w:r>
              <w:rPr>
                <w:sz w:val="12"/>
                <w:szCs w:val="12"/>
                <w:spacing w:val="-1"/>
              </w:rPr>
              <w:t>代森钟80%WP</w:t>
            </w:r>
          </w:p>
        </w:tc>
        <w:tc>
          <w:tcPr>
            <w:tcW w:w="1319" w:type="dxa"/>
            <w:vAlign w:val="top"/>
            <w:tcBorders>
              <w:bottom w:val="single" w:color="000000" w:sz="2" w:space="0"/>
              <w:top w:val="single" w:color="000000" w:sz="2" w:space="0"/>
            </w:tcBorders>
          </w:tcPr>
          <w:p>
            <w:pPr>
              <w:pStyle w:val="TableText"/>
              <w:ind w:left="275"/>
              <w:spacing w:before="92" w:line="219" w:lineRule="auto"/>
              <w:rPr>
                <w:sz w:val="12"/>
                <w:szCs w:val="12"/>
              </w:rPr>
            </w:pPr>
            <w:r>
              <w:rPr>
                <w:sz w:val="12"/>
                <w:szCs w:val="12"/>
                <w:spacing w:val="-1"/>
              </w:rPr>
              <w:t>稀释600-800倍液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08" w:line="213" w:lineRule="auto"/>
              <w:rPr>
                <w:sz w:val="12"/>
                <w:szCs w:val="12"/>
              </w:rPr>
            </w:pPr>
            <w:r>
              <w:rPr>
                <w:sz w:val="12"/>
                <w:szCs w:val="12"/>
                <w:spacing w:val="-1"/>
              </w:rPr>
              <w:t>500g+20袋</w:t>
            </w:r>
          </w:p>
        </w:tc>
        <w:tc>
          <w:tcPr>
            <w:tcW w:w="2603" w:type="dxa"/>
            <w:vAlign w:val="top"/>
            <w:tcBorders>
              <w:bottom w:val="single" w:color="000000" w:sz="2" w:space="0"/>
              <w:top w:val="single" w:color="000000" w:sz="2" w:space="0"/>
            </w:tcBorders>
          </w:tcPr>
          <w:p>
            <w:pPr>
              <w:pStyle w:val="TableText"/>
              <w:ind w:left="17"/>
              <w:spacing w:before="112" w:line="218" w:lineRule="auto"/>
              <w:rPr>
                <w:sz w:val="12"/>
                <w:szCs w:val="12"/>
              </w:rPr>
            </w:pPr>
            <w:r>
              <w:rPr>
                <w:sz w:val="12"/>
                <w:szCs w:val="12"/>
                <w:spacing w:val="-1"/>
              </w:rPr>
              <w:t>保护性杀菌剂</w:t>
            </w:r>
          </w:p>
        </w:tc>
      </w:tr>
      <w:tr>
        <w:trPr>
          <w:trHeight w:val="32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02" w:line="219" w:lineRule="auto"/>
              <w:rPr>
                <w:sz w:val="12"/>
                <w:szCs w:val="12"/>
              </w:rPr>
            </w:pPr>
            <w:r>
              <w:rPr>
                <w:sz w:val="12"/>
                <w:szCs w:val="12"/>
                <w:spacing w:val="-1"/>
              </w:rPr>
              <w:t>诺普信双道</w:t>
            </w:r>
          </w:p>
        </w:tc>
        <w:tc>
          <w:tcPr>
            <w:tcW w:w="2099" w:type="dxa"/>
            <w:vAlign w:val="top"/>
            <w:tcBorders>
              <w:bottom w:val="single" w:color="000000" w:sz="2" w:space="0"/>
              <w:top w:val="single" w:color="000000" w:sz="2" w:space="0"/>
            </w:tcBorders>
          </w:tcPr>
          <w:p>
            <w:pPr>
              <w:pStyle w:val="TableText"/>
              <w:ind w:left="594"/>
              <w:spacing w:before="102" w:line="219" w:lineRule="auto"/>
              <w:rPr>
                <w:sz w:val="12"/>
                <w:szCs w:val="12"/>
              </w:rPr>
            </w:pPr>
            <w:r>
              <w:rPr>
                <w:sz w:val="12"/>
                <w:szCs w:val="12"/>
                <w:spacing w:val="-6"/>
              </w:rPr>
              <w:t>疏磺</w:t>
            </w:r>
            <w:r>
              <w:rPr>
                <w:sz w:val="12"/>
                <w:szCs w:val="12"/>
                <w:spacing w:val="-13"/>
              </w:rPr>
              <w:t xml:space="preserve"> </w:t>
            </w:r>
            <w:r>
              <w:rPr>
                <w:sz w:val="12"/>
                <w:szCs w:val="12"/>
                <w:spacing w:val="-6"/>
              </w:rPr>
              <w:t>·三唑酬45%</w:t>
            </w:r>
          </w:p>
        </w:tc>
        <w:tc>
          <w:tcPr>
            <w:tcW w:w="1319" w:type="dxa"/>
            <w:vAlign w:val="top"/>
            <w:tcBorders>
              <w:bottom w:val="single" w:color="000000" w:sz="2" w:space="0"/>
              <w:top w:val="single" w:color="000000" w:sz="2" w:space="0"/>
            </w:tcBorders>
          </w:tcPr>
          <w:p>
            <w:pPr>
              <w:pStyle w:val="TableText"/>
              <w:ind w:left="355"/>
              <w:spacing w:before="103" w:line="220" w:lineRule="auto"/>
              <w:rPr>
                <w:sz w:val="12"/>
                <w:szCs w:val="12"/>
              </w:rPr>
            </w:pPr>
            <w:r>
              <w:rPr>
                <w:sz w:val="12"/>
                <w:szCs w:val="12"/>
                <w:spacing w:val="-6"/>
              </w:rPr>
              <w:t>800—1000倍</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16"/>
              <w:spacing w:before="103" w:line="221" w:lineRule="auto"/>
              <w:rPr>
                <w:sz w:val="12"/>
                <w:szCs w:val="12"/>
              </w:rPr>
            </w:pPr>
            <w:r>
              <w:rPr>
                <w:sz w:val="12"/>
                <w:szCs w:val="12"/>
                <w:spacing w:val="-1"/>
              </w:rPr>
              <w:t>400ml/瓶</w:t>
            </w:r>
          </w:p>
        </w:tc>
        <w:tc>
          <w:tcPr>
            <w:tcW w:w="2603" w:type="dxa"/>
            <w:vAlign w:val="top"/>
            <w:tcBorders>
              <w:bottom w:val="single" w:color="000000" w:sz="2" w:space="0"/>
              <w:top w:val="single" w:color="000000" w:sz="2" w:space="0"/>
            </w:tcBorders>
          </w:tcPr>
          <w:p>
            <w:pPr>
              <w:pStyle w:val="TableText"/>
              <w:ind w:left="17"/>
              <w:spacing w:before="102" w:line="219" w:lineRule="auto"/>
              <w:rPr>
                <w:sz w:val="12"/>
                <w:szCs w:val="12"/>
              </w:rPr>
            </w:pPr>
            <w:r>
              <w:rPr>
                <w:sz w:val="12"/>
                <w:szCs w:val="12"/>
                <w:spacing w:val="-1"/>
              </w:rPr>
              <w:t>针对白粉病、锈病防效好，有内吸作用</w:t>
            </w:r>
          </w:p>
        </w:tc>
      </w:tr>
      <w:tr>
        <w:trPr>
          <w:trHeight w:val="31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02" w:line="220" w:lineRule="auto"/>
              <w:rPr>
                <w:sz w:val="12"/>
                <w:szCs w:val="12"/>
              </w:rPr>
            </w:pPr>
            <w:r>
              <w:rPr>
                <w:sz w:val="12"/>
                <w:szCs w:val="12"/>
                <w:spacing w:val="1"/>
              </w:rPr>
              <w:t>中威乐翻天</w:t>
            </w:r>
          </w:p>
        </w:tc>
        <w:tc>
          <w:tcPr>
            <w:tcW w:w="2099" w:type="dxa"/>
            <w:vAlign w:val="top"/>
            <w:tcBorders>
              <w:bottom w:val="single" w:color="000000" w:sz="2" w:space="0"/>
              <w:top w:val="single" w:color="000000" w:sz="2" w:space="0"/>
            </w:tcBorders>
          </w:tcPr>
          <w:p>
            <w:pPr>
              <w:pStyle w:val="TableText"/>
              <w:ind w:left="774"/>
              <w:spacing w:before="102" w:line="220" w:lineRule="auto"/>
              <w:rPr>
                <w:sz w:val="12"/>
                <w:szCs w:val="12"/>
              </w:rPr>
            </w:pPr>
            <w:r>
              <w:rPr>
                <w:sz w:val="12"/>
                <w:szCs w:val="12"/>
                <w:spacing w:val="-1"/>
              </w:rPr>
              <w:t>戊唑醉20%</w:t>
            </w:r>
          </w:p>
        </w:tc>
        <w:tc>
          <w:tcPr>
            <w:tcW w:w="1319" w:type="dxa"/>
            <w:vAlign w:val="top"/>
            <w:tcBorders>
              <w:bottom w:val="single" w:color="000000" w:sz="2" w:space="0"/>
              <w:top w:val="single" w:color="000000" w:sz="2" w:space="0"/>
            </w:tcBorders>
          </w:tcPr>
          <w:p>
            <w:pPr>
              <w:pStyle w:val="TableText"/>
              <w:ind w:left="265"/>
              <w:spacing w:before="102" w:line="220" w:lineRule="auto"/>
              <w:rPr>
                <w:sz w:val="12"/>
                <w:szCs w:val="12"/>
              </w:rPr>
            </w:pPr>
            <w:r>
              <w:rPr>
                <w:sz w:val="12"/>
                <w:szCs w:val="12"/>
                <w:spacing w:val="-2"/>
              </w:rPr>
              <w:t>1000-1500倍液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16"/>
              <w:spacing w:before="98" w:line="213" w:lineRule="auto"/>
              <w:rPr>
                <w:sz w:val="12"/>
                <w:szCs w:val="12"/>
              </w:rPr>
            </w:pPr>
            <w:r>
              <w:rPr>
                <w:sz w:val="12"/>
                <w:szCs w:val="12"/>
                <w:spacing w:val="3"/>
              </w:rPr>
              <w:t>(20g/袋)</w:t>
            </w:r>
          </w:p>
        </w:tc>
        <w:tc>
          <w:tcPr>
            <w:tcW w:w="2603" w:type="dxa"/>
            <w:vAlign w:val="top"/>
            <w:tcBorders>
              <w:bottom w:val="single" w:color="000000" w:sz="2" w:space="0"/>
              <w:top w:val="single" w:color="000000" w:sz="2" w:space="0"/>
            </w:tcBorders>
          </w:tcPr>
          <w:p>
            <w:pPr>
              <w:pStyle w:val="TableText"/>
              <w:ind w:left="17"/>
              <w:spacing w:before="102" w:line="219" w:lineRule="auto"/>
              <w:rPr>
                <w:sz w:val="12"/>
                <w:szCs w:val="12"/>
              </w:rPr>
            </w:pPr>
            <w:r>
              <w:rPr>
                <w:sz w:val="12"/>
                <w:szCs w:val="12"/>
              </w:rPr>
              <w:t>防治草坪白粉病，锈病</w:t>
            </w:r>
          </w:p>
        </w:tc>
      </w:tr>
      <w:tr>
        <w:trPr>
          <w:trHeight w:val="33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12" w:line="219" w:lineRule="auto"/>
              <w:rPr>
                <w:sz w:val="12"/>
                <w:szCs w:val="12"/>
              </w:rPr>
            </w:pPr>
            <w:r>
              <w:rPr>
                <w:sz w:val="12"/>
                <w:szCs w:val="12"/>
                <w:spacing w:val="-1"/>
              </w:rPr>
              <w:t>诺普信瑞托</w:t>
            </w:r>
          </w:p>
        </w:tc>
        <w:tc>
          <w:tcPr>
            <w:tcW w:w="2099" w:type="dxa"/>
            <w:vAlign w:val="top"/>
            <w:tcBorders>
              <w:bottom w:val="single" w:color="000000" w:sz="2" w:space="0"/>
              <w:top w:val="single" w:color="000000" w:sz="2" w:space="0"/>
            </w:tcBorders>
          </w:tcPr>
          <w:p>
            <w:pPr>
              <w:pStyle w:val="TableText"/>
              <w:ind w:left="654"/>
              <w:spacing w:before="112" w:line="219" w:lineRule="auto"/>
              <w:rPr>
                <w:sz w:val="12"/>
                <w:szCs w:val="12"/>
              </w:rPr>
            </w:pPr>
            <w:r>
              <w:rPr>
                <w:sz w:val="12"/>
                <w:szCs w:val="12"/>
              </w:rPr>
              <w:t>甲基硫菌灵50%</w:t>
            </w:r>
          </w:p>
        </w:tc>
        <w:tc>
          <w:tcPr>
            <w:tcW w:w="1319" w:type="dxa"/>
            <w:vAlign w:val="top"/>
            <w:tcBorders>
              <w:bottom w:val="single" w:color="000000" w:sz="2" w:space="0"/>
              <w:top w:val="single" w:color="000000" w:sz="2" w:space="0"/>
            </w:tcBorders>
          </w:tcPr>
          <w:p>
            <w:pPr>
              <w:pStyle w:val="TableText"/>
              <w:ind w:left="385"/>
              <w:spacing w:before="112" w:line="220" w:lineRule="auto"/>
              <w:rPr>
                <w:sz w:val="12"/>
                <w:szCs w:val="12"/>
              </w:rPr>
            </w:pPr>
            <w:r>
              <w:rPr>
                <w:sz w:val="12"/>
                <w:szCs w:val="12"/>
                <w:spacing w:val="-6"/>
              </w:rPr>
              <w:t>600—800倍</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12" w:line="221" w:lineRule="auto"/>
              <w:rPr>
                <w:sz w:val="12"/>
                <w:szCs w:val="12"/>
              </w:rPr>
            </w:pPr>
            <w:r>
              <w:rPr>
                <w:sz w:val="12"/>
                <w:szCs w:val="12"/>
                <w:spacing w:val="-2"/>
              </w:rPr>
              <w:t>1000m1/瓶</w:t>
            </w:r>
          </w:p>
        </w:tc>
        <w:tc>
          <w:tcPr>
            <w:tcW w:w="2603" w:type="dxa"/>
            <w:vAlign w:val="top"/>
            <w:tcBorders>
              <w:bottom w:val="single" w:color="000000" w:sz="2" w:space="0"/>
              <w:top w:val="single" w:color="000000" w:sz="2" w:space="0"/>
            </w:tcBorders>
          </w:tcPr>
          <w:p>
            <w:pPr>
              <w:pStyle w:val="TableText"/>
              <w:ind w:left="17" w:right="62"/>
              <w:spacing w:before="41" w:line="210" w:lineRule="auto"/>
              <w:rPr>
                <w:sz w:val="12"/>
                <w:szCs w:val="12"/>
              </w:rPr>
            </w:pPr>
            <w:r>
              <w:rPr>
                <w:sz w:val="12"/>
                <w:szCs w:val="12"/>
                <w:spacing w:val="-1"/>
              </w:rPr>
              <w:t>高效广谱内吸杀菌剂，颗粒细腻，分散性好。防</w:t>
            </w:r>
            <w:r>
              <w:rPr>
                <w:sz w:val="12"/>
                <w:szCs w:val="12"/>
                <w:spacing w:val="12"/>
              </w:rPr>
              <w:t xml:space="preserve"> </w:t>
            </w:r>
            <w:r>
              <w:rPr>
                <w:sz w:val="12"/>
                <w:szCs w:val="12"/>
                <w:spacing w:val="-1"/>
              </w:rPr>
              <w:t>治花木叶理、炭痘、班取黄化</w:t>
            </w:r>
          </w:p>
        </w:tc>
      </w:tr>
      <w:tr>
        <w:trPr>
          <w:trHeight w:val="30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73"/>
              <w:spacing w:before="112" w:line="219" w:lineRule="auto"/>
              <w:rPr>
                <w:sz w:val="12"/>
                <w:szCs w:val="12"/>
              </w:rPr>
            </w:pPr>
            <w:r>
              <w:rPr>
                <w:sz w:val="12"/>
                <w:szCs w:val="12"/>
                <w:spacing w:val="-2"/>
              </w:rPr>
              <w:t>百菌清</w:t>
            </w:r>
          </w:p>
        </w:tc>
        <w:tc>
          <w:tcPr>
            <w:tcW w:w="2099" w:type="dxa"/>
            <w:vAlign w:val="top"/>
            <w:tcBorders>
              <w:bottom w:val="single" w:color="000000" w:sz="2" w:space="0"/>
              <w:top w:val="single" w:color="000000" w:sz="2" w:space="0"/>
            </w:tcBorders>
          </w:tcPr>
          <w:p>
            <w:pPr>
              <w:pStyle w:val="TableText"/>
              <w:ind w:left="774"/>
              <w:spacing w:before="112" w:line="220" w:lineRule="auto"/>
              <w:rPr>
                <w:sz w:val="12"/>
                <w:szCs w:val="12"/>
              </w:rPr>
            </w:pPr>
            <w:r>
              <w:rPr>
                <w:sz w:val="12"/>
                <w:szCs w:val="12"/>
                <w:spacing w:val="-1"/>
              </w:rPr>
              <w:t>75%百卤清</w:t>
            </w:r>
          </w:p>
        </w:tc>
        <w:tc>
          <w:tcPr>
            <w:tcW w:w="1319" w:type="dxa"/>
            <w:vAlign w:val="top"/>
            <w:tcBorders>
              <w:bottom w:val="single" w:color="000000" w:sz="2" w:space="0"/>
              <w:top w:val="single" w:color="000000" w:sz="2" w:space="0"/>
            </w:tcBorders>
          </w:tcPr>
          <w:p>
            <w:pPr>
              <w:pStyle w:val="TableText"/>
              <w:ind w:left="175"/>
              <w:spacing w:before="92" w:line="219" w:lineRule="auto"/>
              <w:rPr>
                <w:sz w:val="12"/>
                <w:szCs w:val="12"/>
              </w:rPr>
            </w:pPr>
            <w:r>
              <w:rPr>
                <w:sz w:val="12"/>
                <w:szCs w:val="12"/>
                <w:spacing w:val="-1"/>
              </w:rPr>
              <w:t>稀释500-1000倍液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56"/>
              <w:spacing w:before="129" w:line="213" w:lineRule="auto"/>
              <w:rPr>
                <w:sz w:val="12"/>
                <w:szCs w:val="12"/>
              </w:rPr>
            </w:pPr>
            <w:r>
              <w:rPr>
                <w:sz w:val="12"/>
                <w:szCs w:val="12"/>
                <w:spacing w:val="-2"/>
              </w:rPr>
              <w:t>lkg/1*10袋</w:t>
            </w:r>
          </w:p>
        </w:tc>
        <w:tc>
          <w:tcPr>
            <w:tcW w:w="2603" w:type="dxa"/>
            <w:vAlign w:val="top"/>
            <w:tcBorders>
              <w:bottom w:val="single" w:color="000000" w:sz="2" w:space="0"/>
              <w:top w:val="single" w:color="000000" w:sz="2" w:space="0"/>
            </w:tcBorders>
          </w:tcPr>
          <w:p>
            <w:pPr>
              <w:pStyle w:val="TableText"/>
              <w:ind w:left="17"/>
              <w:spacing w:before="132" w:line="218" w:lineRule="auto"/>
              <w:rPr>
                <w:sz w:val="12"/>
                <w:szCs w:val="12"/>
              </w:rPr>
            </w:pPr>
            <w:r>
              <w:rPr>
                <w:sz w:val="12"/>
                <w:szCs w:val="12"/>
                <w:spacing w:val="-1"/>
              </w:rPr>
              <w:t>高效广谱杀菌剂</w:t>
            </w:r>
          </w:p>
        </w:tc>
      </w:tr>
      <w:tr>
        <w:trPr>
          <w:trHeight w:val="30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33"/>
              <w:spacing w:before="123" w:line="219" w:lineRule="auto"/>
              <w:rPr>
                <w:sz w:val="12"/>
                <w:szCs w:val="12"/>
              </w:rPr>
            </w:pPr>
            <w:r>
              <w:rPr>
                <w:sz w:val="12"/>
                <w:szCs w:val="12"/>
                <w:spacing w:val="1"/>
              </w:rPr>
              <w:t>国光甲基硫菌灵</w:t>
            </w:r>
          </w:p>
        </w:tc>
        <w:tc>
          <w:tcPr>
            <w:tcW w:w="2099" w:type="dxa"/>
            <w:vAlign w:val="top"/>
            <w:tcBorders>
              <w:bottom w:val="single" w:color="000000" w:sz="2" w:space="0"/>
              <w:top w:val="single" w:color="000000" w:sz="2" w:space="0"/>
            </w:tcBorders>
          </w:tcPr>
          <w:p>
            <w:pPr>
              <w:pStyle w:val="TableText"/>
              <w:ind w:left="654"/>
              <w:spacing w:before="123" w:line="219" w:lineRule="auto"/>
              <w:rPr>
                <w:sz w:val="12"/>
                <w:szCs w:val="12"/>
              </w:rPr>
            </w:pPr>
            <w:r>
              <w:rPr>
                <w:sz w:val="12"/>
                <w:szCs w:val="12"/>
                <w:spacing w:val="-1"/>
              </w:rPr>
              <w:t>70%甲基硫菌灵</w:t>
            </w:r>
          </w:p>
        </w:tc>
        <w:tc>
          <w:tcPr>
            <w:tcW w:w="1319" w:type="dxa"/>
            <w:vAlign w:val="top"/>
            <w:tcBorders>
              <w:bottom w:val="single" w:color="000000" w:sz="2" w:space="0"/>
              <w:top w:val="single" w:color="000000" w:sz="2" w:space="0"/>
            </w:tcBorders>
          </w:tcPr>
          <w:p>
            <w:pPr>
              <w:pStyle w:val="TableText"/>
              <w:ind w:left="175"/>
              <w:spacing w:before="123" w:line="219" w:lineRule="auto"/>
              <w:rPr>
                <w:sz w:val="12"/>
                <w:szCs w:val="12"/>
              </w:rPr>
            </w:pPr>
            <w:r>
              <w:rPr>
                <w:sz w:val="12"/>
                <w:szCs w:val="12"/>
                <w:spacing w:val="-1"/>
              </w:rPr>
              <w:t>稀释600-1000倍液</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77"/>
              <w:spacing w:before="119" w:line="213" w:lineRule="auto"/>
              <w:rPr>
                <w:sz w:val="12"/>
                <w:szCs w:val="12"/>
              </w:rPr>
            </w:pPr>
            <w:r>
              <w:rPr>
                <w:sz w:val="12"/>
                <w:szCs w:val="12"/>
                <w:spacing w:val="-3"/>
              </w:rPr>
              <w:t>Ikg/袋</w:t>
            </w:r>
          </w:p>
        </w:tc>
        <w:tc>
          <w:tcPr>
            <w:tcW w:w="2603" w:type="dxa"/>
            <w:vAlign w:val="top"/>
            <w:tcBorders>
              <w:bottom w:val="single" w:color="000000" w:sz="2" w:space="0"/>
              <w:top w:val="single" w:color="000000" w:sz="2" w:space="0"/>
            </w:tcBorders>
          </w:tcPr>
          <w:p>
            <w:pPr>
              <w:pStyle w:val="TableText"/>
              <w:ind w:left="17"/>
              <w:spacing w:before="123" w:line="218" w:lineRule="auto"/>
              <w:rPr>
                <w:sz w:val="12"/>
                <w:szCs w:val="12"/>
              </w:rPr>
            </w:pPr>
            <w:r>
              <w:rPr>
                <w:sz w:val="12"/>
                <w:szCs w:val="12"/>
              </w:rPr>
              <w:t>内吸，广谱高效杀菌剂</w:t>
            </w:r>
          </w:p>
        </w:tc>
      </w:tr>
      <w:tr>
        <w:trPr>
          <w:trHeight w:val="42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73"/>
              <w:spacing w:before="152" w:line="219" w:lineRule="auto"/>
              <w:rPr>
                <w:sz w:val="12"/>
                <w:szCs w:val="12"/>
              </w:rPr>
            </w:pPr>
            <w:r>
              <w:rPr>
                <w:sz w:val="12"/>
                <w:szCs w:val="12"/>
                <w:spacing w:val="-1"/>
              </w:rPr>
              <w:t>普力克</w:t>
            </w:r>
          </w:p>
        </w:tc>
        <w:tc>
          <w:tcPr>
            <w:tcW w:w="2099" w:type="dxa"/>
            <w:vAlign w:val="top"/>
            <w:tcBorders>
              <w:bottom w:val="single" w:color="000000" w:sz="2" w:space="0"/>
              <w:top w:val="single" w:color="000000" w:sz="2" w:space="0"/>
            </w:tcBorders>
          </w:tcPr>
          <w:p>
            <w:pPr>
              <w:pStyle w:val="TableText"/>
              <w:ind w:left="714"/>
              <w:spacing w:before="153" w:line="220" w:lineRule="auto"/>
              <w:rPr>
                <w:sz w:val="12"/>
                <w:szCs w:val="12"/>
              </w:rPr>
            </w:pPr>
            <w:r>
              <w:rPr>
                <w:sz w:val="12"/>
                <w:szCs w:val="12"/>
                <w:spacing w:val="-1"/>
              </w:rPr>
              <w:t>72.2%丙酸胺</w:t>
            </w:r>
          </w:p>
        </w:tc>
        <w:tc>
          <w:tcPr>
            <w:tcW w:w="1319" w:type="dxa"/>
            <w:vAlign w:val="top"/>
            <w:tcBorders>
              <w:bottom w:val="single" w:color="000000" w:sz="2" w:space="0"/>
              <w:top w:val="single" w:color="000000" w:sz="2" w:space="0"/>
            </w:tcBorders>
          </w:tcPr>
          <w:p>
            <w:pPr>
              <w:pStyle w:val="TableText"/>
              <w:ind w:left="295"/>
              <w:spacing w:before="193" w:line="220" w:lineRule="auto"/>
              <w:rPr>
                <w:sz w:val="12"/>
                <w:szCs w:val="12"/>
              </w:rPr>
            </w:pPr>
            <w:r>
              <w:rPr>
                <w:sz w:val="12"/>
                <w:szCs w:val="12"/>
                <w:spacing w:val="-1"/>
              </w:rPr>
              <w:t>800-1000倍液</w:t>
            </w:r>
          </w:p>
        </w:tc>
        <w:tc>
          <w:tcPr>
            <w:tcW w:w="1529" w:type="dxa"/>
            <w:vAlign w:val="top"/>
            <w:tcBorders>
              <w:bottom w:val="single" w:color="000000" w:sz="2" w:space="0"/>
              <w:top w:val="single" w:color="000000" w:sz="2" w:space="0"/>
            </w:tcBorders>
          </w:tcPr>
          <w:p>
            <w:pPr>
              <w:pStyle w:val="TableText"/>
              <w:ind w:left="35"/>
              <w:spacing w:before="42" w:line="200" w:lineRule="auto"/>
              <w:rPr>
                <w:sz w:val="12"/>
                <w:szCs w:val="12"/>
              </w:rPr>
            </w:pPr>
            <w:r>
              <w:rPr>
                <w:sz w:val="12"/>
                <w:szCs w:val="12"/>
                <w:spacing w:val="-2"/>
              </w:rPr>
              <w:t>10天一次，连续喷洒病部地</w:t>
            </w:r>
          </w:p>
          <w:p>
            <w:pPr>
              <w:pStyle w:val="TableText"/>
              <w:ind w:left="115"/>
              <w:spacing w:line="185" w:lineRule="auto"/>
              <w:rPr>
                <w:sz w:val="12"/>
                <w:szCs w:val="12"/>
              </w:rPr>
            </w:pPr>
            <w:r>
              <w:rPr>
                <w:sz w:val="12"/>
                <w:szCs w:val="12"/>
                <w:spacing w:val="-1"/>
              </w:rPr>
              <w:t>面2-3次。喷药1小时内遇</w:t>
            </w:r>
          </w:p>
          <w:p>
            <w:pPr>
              <w:pStyle w:val="TableText"/>
              <w:ind w:left="456"/>
              <w:spacing w:line="185" w:lineRule="auto"/>
              <w:rPr>
                <w:sz w:val="12"/>
                <w:szCs w:val="12"/>
              </w:rPr>
            </w:pPr>
            <w:r>
              <w:rPr>
                <w:sz w:val="12"/>
                <w:szCs w:val="12"/>
                <w:spacing w:val="-2"/>
              </w:rPr>
              <w:t>前，需重喷</w:t>
            </w:r>
          </w:p>
        </w:tc>
        <w:tc>
          <w:tcPr>
            <w:tcW w:w="729" w:type="dxa"/>
            <w:vAlign w:val="top"/>
            <w:tcBorders>
              <w:bottom w:val="single" w:color="000000" w:sz="2" w:space="0"/>
              <w:top w:val="single" w:color="000000" w:sz="2" w:space="0"/>
            </w:tcBorders>
          </w:tcPr>
          <w:p>
            <w:pPr>
              <w:pStyle w:val="TableText"/>
              <w:ind w:left="116"/>
              <w:spacing w:before="153"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spacing w:before="192" w:line="219" w:lineRule="auto"/>
              <w:rPr>
                <w:sz w:val="12"/>
                <w:szCs w:val="12"/>
              </w:rPr>
            </w:pPr>
            <w:r>
              <w:rPr>
                <w:sz w:val="12"/>
                <w:szCs w:val="12"/>
                <w:spacing w:val="-1"/>
              </w:rPr>
              <w:t>对根腐病、霜霉病、立枯病、猝倒病有特效</w:t>
            </w:r>
          </w:p>
        </w:tc>
      </w:tr>
      <w:tr>
        <w:trPr>
          <w:trHeight w:val="33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73"/>
              <w:spacing w:before="113" w:line="219" w:lineRule="auto"/>
              <w:rPr>
                <w:sz w:val="12"/>
                <w:szCs w:val="12"/>
              </w:rPr>
            </w:pPr>
            <w:r>
              <w:rPr>
                <w:sz w:val="12"/>
                <w:szCs w:val="12"/>
                <w:spacing w:val="-1"/>
              </w:rPr>
              <w:t>链霉素</w:t>
            </w:r>
          </w:p>
        </w:tc>
        <w:tc>
          <w:tcPr>
            <w:tcW w:w="2099" w:type="dxa"/>
            <w:vAlign w:val="top"/>
            <w:tcBorders>
              <w:bottom w:val="single" w:color="000000" w:sz="2" w:space="0"/>
              <w:top w:val="single" w:color="000000" w:sz="2" w:space="0"/>
            </w:tcBorders>
          </w:tcPr>
          <w:p>
            <w:pPr>
              <w:pStyle w:val="TableText"/>
              <w:ind w:left="774"/>
              <w:spacing w:before="113" w:line="219" w:lineRule="auto"/>
              <w:rPr>
                <w:sz w:val="12"/>
                <w:szCs w:val="12"/>
              </w:rPr>
            </w:pPr>
            <w:r>
              <w:rPr>
                <w:sz w:val="12"/>
                <w:szCs w:val="12"/>
                <w:spacing w:val="-1"/>
              </w:rPr>
              <w:t>72%链霉素</w:t>
            </w:r>
          </w:p>
        </w:tc>
        <w:tc>
          <w:tcPr>
            <w:tcW w:w="1319" w:type="dxa"/>
            <w:vAlign w:val="top"/>
            <w:tcBorders>
              <w:bottom w:val="single" w:color="000000" w:sz="2" w:space="0"/>
              <w:top w:val="single" w:color="000000" w:sz="2" w:space="0"/>
            </w:tcBorders>
          </w:tcPr>
          <w:p>
            <w:pPr>
              <w:pStyle w:val="TableText"/>
              <w:ind w:left="415"/>
              <w:spacing w:before="113" w:line="220" w:lineRule="auto"/>
              <w:rPr>
                <w:sz w:val="12"/>
                <w:szCs w:val="12"/>
              </w:rPr>
            </w:pPr>
            <w:r>
              <w:rPr>
                <w:sz w:val="12"/>
                <w:szCs w:val="12"/>
                <w:spacing w:val="-1"/>
              </w:rPr>
              <w:t>3000倍液</w:t>
            </w:r>
          </w:p>
        </w:tc>
        <w:tc>
          <w:tcPr>
            <w:tcW w:w="1529" w:type="dxa"/>
            <w:vAlign w:val="top"/>
            <w:vMerge w:val="restart"/>
            <w:tcBorders>
              <w:bottom w:val="nil"/>
              <w:top w:val="single" w:color="000000" w:sz="2" w:space="0"/>
            </w:tcBorders>
          </w:tcPr>
          <w:p>
            <w:pPr>
              <w:pStyle w:val="TableText"/>
              <w:ind w:left="35"/>
              <w:spacing w:before="223" w:line="215" w:lineRule="auto"/>
              <w:rPr>
                <w:sz w:val="12"/>
                <w:szCs w:val="12"/>
              </w:rPr>
            </w:pPr>
            <w:r>
              <w:rPr>
                <w:sz w:val="12"/>
                <w:szCs w:val="12"/>
                <w:spacing w:val="-1"/>
              </w:rPr>
              <w:t>每10天喷施一次，连喷3至4</w:t>
            </w:r>
          </w:p>
          <w:p>
            <w:pPr>
              <w:pStyle w:val="TableText"/>
              <w:ind w:left="666"/>
              <w:spacing w:line="219" w:lineRule="auto"/>
              <w:rPr>
                <w:sz w:val="12"/>
                <w:szCs w:val="12"/>
              </w:rPr>
            </w:pPr>
            <w:r>
              <w:rPr>
                <w:sz w:val="12"/>
                <w:szCs w:val="12"/>
                <w:spacing w:val="-1"/>
              </w:rPr>
              <w:t>次。</w:t>
            </w:r>
          </w:p>
        </w:tc>
        <w:tc>
          <w:tcPr>
            <w:tcW w:w="729" w:type="dxa"/>
            <w:vAlign w:val="top"/>
            <w:tcBorders>
              <w:bottom w:val="single" w:color="000000" w:sz="2" w:space="0"/>
              <w:top w:val="single" w:color="000000" w:sz="2" w:space="0"/>
            </w:tcBorders>
          </w:tcPr>
          <w:p>
            <w:pPr>
              <w:pStyle w:val="TableText"/>
              <w:ind w:left="177"/>
              <w:spacing w:before="109" w:line="213" w:lineRule="auto"/>
              <w:rPr>
                <w:sz w:val="12"/>
                <w:szCs w:val="12"/>
              </w:rPr>
            </w:pPr>
            <w:r>
              <w:rPr>
                <w:sz w:val="12"/>
                <w:szCs w:val="12"/>
                <w:spacing w:val="-2"/>
              </w:rPr>
              <w:t>15g/袋</w:t>
            </w:r>
          </w:p>
        </w:tc>
        <w:tc>
          <w:tcPr>
            <w:tcW w:w="2603" w:type="dxa"/>
            <w:vAlign w:val="top"/>
            <w:tcBorders>
              <w:bottom w:val="single" w:color="000000" w:sz="2" w:space="0"/>
              <w:top w:val="single" w:color="000000" w:sz="2" w:space="0"/>
            </w:tcBorders>
          </w:tcPr>
          <w:p>
            <w:pPr>
              <w:rPr>
                <w:rFonts w:ascii="Arial"/>
                <w:sz w:val="21"/>
              </w:rPr>
            </w:pPr>
            <w:r/>
          </w:p>
        </w:tc>
      </w:tr>
      <w:tr>
        <w:trPr>
          <w:trHeight w:val="33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73"/>
              <w:spacing w:before="114" w:line="219" w:lineRule="auto"/>
              <w:rPr>
                <w:sz w:val="12"/>
                <w:szCs w:val="12"/>
              </w:rPr>
            </w:pPr>
            <w:r>
              <w:rPr>
                <w:sz w:val="12"/>
                <w:szCs w:val="12"/>
                <w:spacing w:val="-2"/>
              </w:rPr>
              <w:t>细菌灵</w:t>
            </w:r>
          </w:p>
        </w:tc>
        <w:tc>
          <w:tcPr>
            <w:tcW w:w="2099" w:type="dxa"/>
            <w:vAlign w:val="top"/>
            <w:tcBorders>
              <w:bottom w:val="single" w:color="000000" w:sz="2" w:space="0"/>
              <w:top w:val="single" w:color="000000" w:sz="2" w:space="0"/>
            </w:tcBorders>
          </w:tcPr>
          <w:p>
            <w:pPr>
              <w:pStyle w:val="TableText"/>
              <w:ind w:left="383"/>
              <w:spacing w:before="44" w:line="219" w:lineRule="auto"/>
              <w:rPr>
                <w:sz w:val="12"/>
                <w:szCs w:val="12"/>
              </w:rPr>
            </w:pPr>
            <w:r>
              <w:rPr>
                <w:sz w:val="12"/>
                <w:szCs w:val="12"/>
                <w:spacing w:val="-1"/>
              </w:rPr>
              <w:t>40%多菌灵，30%中生霉素</w:t>
            </w:r>
          </w:p>
        </w:tc>
        <w:tc>
          <w:tcPr>
            <w:tcW w:w="1319" w:type="dxa"/>
            <w:vAlign w:val="top"/>
            <w:tcBorders>
              <w:bottom w:val="single" w:color="000000" w:sz="2" w:space="0"/>
              <w:top w:val="single" w:color="000000" w:sz="2" w:space="0"/>
            </w:tcBorders>
          </w:tcPr>
          <w:p>
            <w:pPr>
              <w:pStyle w:val="TableText"/>
              <w:ind w:left="385"/>
              <w:spacing w:before="134" w:line="220" w:lineRule="auto"/>
              <w:rPr>
                <w:sz w:val="12"/>
                <w:szCs w:val="12"/>
              </w:rPr>
            </w:pPr>
            <w:r>
              <w:rPr>
                <w:sz w:val="12"/>
                <w:szCs w:val="12"/>
                <w:spacing w:val="-1"/>
              </w:rPr>
              <w:t>500-600倍</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77"/>
              <w:spacing w:before="110" w:line="213" w:lineRule="auto"/>
              <w:rPr>
                <w:sz w:val="12"/>
                <w:szCs w:val="12"/>
              </w:rPr>
            </w:pPr>
            <w:r>
              <w:rPr>
                <w:sz w:val="12"/>
                <w:szCs w:val="12"/>
                <w:spacing w:val="-1"/>
              </w:rPr>
              <w:t>25g/袋</w:t>
            </w:r>
          </w:p>
        </w:tc>
        <w:tc>
          <w:tcPr>
            <w:tcW w:w="2603" w:type="dxa"/>
            <w:vAlign w:val="top"/>
            <w:tcBorders>
              <w:bottom w:val="single" w:color="000000" w:sz="2" w:space="0"/>
              <w:top w:val="single" w:color="000000" w:sz="2" w:space="0"/>
            </w:tcBorders>
          </w:tcPr>
          <w:p>
            <w:pPr>
              <w:pStyle w:val="TableText"/>
              <w:ind w:left="17"/>
              <w:spacing w:before="14" w:line="219" w:lineRule="auto"/>
              <w:rPr>
                <w:sz w:val="12"/>
                <w:szCs w:val="12"/>
              </w:rPr>
            </w:pPr>
            <w:r>
              <w:rPr>
                <w:sz w:val="12"/>
                <w:szCs w:val="12"/>
                <w:spacing w:val="-1"/>
              </w:rPr>
              <w:t>防治细菌性穿孔病，对细面性病害有特效</w:t>
            </w:r>
          </w:p>
        </w:tc>
      </w:tr>
      <w:tr>
        <w:trPr>
          <w:trHeight w:val="41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73"/>
              <w:spacing w:before="153" w:line="219" w:lineRule="auto"/>
              <w:rPr>
                <w:sz w:val="12"/>
                <w:szCs w:val="12"/>
              </w:rPr>
            </w:pPr>
            <w:r>
              <w:rPr>
                <w:sz w:val="12"/>
                <w:szCs w:val="12"/>
                <w:spacing w:val="-2"/>
              </w:rPr>
              <w:t>植病灵</w:t>
            </w:r>
          </w:p>
        </w:tc>
        <w:tc>
          <w:tcPr>
            <w:tcW w:w="2099" w:type="dxa"/>
            <w:vAlign w:val="top"/>
            <w:tcBorders>
              <w:bottom w:val="single" w:color="000000" w:sz="2" w:space="0"/>
              <w:top w:val="single" w:color="000000" w:sz="2" w:space="0"/>
            </w:tcBorders>
          </w:tcPr>
          <w:p>
            <w:pPr>
              <w:pStyle w:val="TableText"/>
              <w:ind w:left="443"/>
              <w:spacing w:before="153" w:line="220" w:lineRule="auto"/>
              <w:rPr>
                <w:sz w:val="12"/>
                <w:szCs w:val="12"/>
              </w:rPr>
            </w:pPr>
            <w:r>
              <w:rPr>
                <w:sz w:val="12"/>
                <w:szCs w:val="12"/>
                <w:spacing w:val="-1"/>
              </w:rPr>
              <w:t>盐酸金刚乙胺、丙环唑</w:t>
            </w:r>
          </w:p>
        </w:tc>
        <w:tc>
          <w:tcPr>
            <w:tcW w:w="1319" w:type="dxa"/>
            <w:vAlign w:val="top"/>
            <w:tcBorders>
              <w:bottom w:val="single" w:color="000000" w:sz="2" w:space="0"/>
              <w:top w:val="single" w:color="000000" w:sz="2" w:space="0"/>
            </w:tcBorders>
          </w:tcPr>
          <w:p>
            <w:pPr>
              <w:pStyle w:val="TableText"/>
              <w:ind w:left="445"/>
              <w:spacing w:before="153" w:line="220" w:lineRule="auto"/>
              <w:rPr>
                <w:sz w:val="12"/>
                <w:szCs w:val="12"/>
              </w:rPr>
            </w:pPr>
            <w:r>
              <w:rPr>
                <w:sz w:val="12"/>
                <w:szCs w:val="12"/>
                <w:spacing w:val="-1"/>
              </w:rPr>
              <w:t>800倍液</w:t>
            </w:r>
          </w:p>
        </w:tc>
        <w:tc>
          <w:tcPr>
            <w:tcW w:w="1529" w:type="dxa"/>
            <w:vAlign w:val="top"/>
            <w:tcBorders>
              <w:bottom w:val="single" w:color="000000" w:sz="2" w:space="0"/>
              <w:top w:val="single" w:color="000000" w:sz="2" w:space="0"/>
            </w:tcBorders>
          </w:tcPr>
          <w:p>
            <w:pPr>
              <w:pStyle w:val="TableText"/>
              <w:ind w:left="84" w:right="53" w:hanging="19"/>
              <w:spacing w:before="83" w:line="233" w:lineRule="auto"/>
              <w:rPr>
                <w:sz w:val="12"/>
                <w:szCs w:val="12"/>
              </w:rPr>
            </w:pPr>
            <w:r>
              <w:rPr>
                <w:sz w:val="12"/>
                <w:szCs w:val="12"/>
                <w:spacing w:val="-1"/>
              </w:rPr>
              <w:t>发病初期，每5-7天喷施一</w:t>
            </w:r>
            <w:r>
              <w:rPr>
                <w:sz w:val="12"/>
                <w:szCs w:val="12"/>
                <w:spacing w:val="5"/>
              </w:rPr>
              <w:t xml:space="preserve"> </w:t>
            </w:r>
            <w:r>
              <w:rPr>
                <w:sz w:val="12"/>
                <w:szCs w:val="12"/>
                <w:spacing w:val="-1"/>
              </w:rPr>
              <w:t>次，喷3遍，可减轻危害。</w:t>
            </w:r>
          </w:p>
        </w:tc>
        <w:tc>
          <w:tcPr>
            <w:tcW w:w="729" w:type="dxa"/>
            <w:vAlign w:val="top"/>
            <w:tcBorders>
              <w:bottom w:val="single" w:color="000000" w:sz="2" w:space="0"/>
              <w:top w:val="single" w:color="000000" w:sz="2" w:space="0"/>
            </w:tcBorders>
          </w:tcPr>
          <w:p>
            <w:pPr>
              <w:pStyle w:val="TableText"/>
              <w:ind w:left="147"/>
              <w:spacing w:before="154" w:line="221" w:lineRule="auto"/>
              <w:rPr>
                <w:sz w:val="12"/>
                <w:szCs w:val="12"/>
              </w:rPr>
            </w:pPr>
            <w:r>
              <w:rPr>
                <w:sz w:val="12"/>
                <w:szCs w:val="12"/>
                <w:spacing w:val="-2"/>
              </w:rPr>
              <w:t>15nl/瓶</w:t>
            </w:r>
          </w:p>
        </w:tc>
        <w:tc>
          <w:tcPr>
            <w:tcW w:w="2603" w:type="dxa"/>
            <w:vAlign w:val="top"/>
            <w:tcBorders>
              <w:bottom w:val="single" w:color="000000" w:sz="2" w:space="0"/>
              <w:top w:val="single" w:color="000000" w:sz="2" w:space="0"/>
            </w:tcBorders>
          </w:tcPr>
          <w:p>
            <w:pPr>
              <w:pStyle w:val="TableText"/>
              <w:ind w:left="17"/>
              <w:spacing w:before="153" w:line="219" w:lineRule="auto"/>
              <w:rPr>
                <w:sz w:val="12"/>
                <w:szCs w:val="12"/>
              </w:rPr>
            </w:pPr>
            <w:r>
              <w:rPr>
                <w:sz w:val="12"/>
                <w:szCs w:val="12"/>
                <w:spacing w:val="-1"/>
              </w:rPr>
              <w:t>防治花叶病，对病毒性病害有特效</w:t>
            </w:r>
          </w:p>
        </w:tc>
      </w:tr>
      <w:tr>
        <w:trPr>
          <w:trHeight w:val="36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33"/>
              <w:spacing w:before="144" w:line="219" w:lineRule="auto"/>
              <w:rPr>
                <w:sz w:val="12"/>
                <w:szCs w:val="12"/>
              </w:rPr>
            </w:pPr>
            <w:r>
              <w:rPr>
                <w:sz w:val="12"/>
                <w:szCs w:val="12"/>
                <w:spacing w:val="3"/>
              </w:rPr>
              <w:t>特克多(噻菌灵)</w:t>
            </w:r>
          </w:p>
        </w:tc>
        <w:tc>
          <w:tcPr>
            <w:tcW w:w="2099" w:type="dxa"/>
            <w:vAlign w:val="top"/>
            <w:tcBorders>
              <w:bottom w:val="single" w:color="000000" w:sz="2" w:space="0"/>
              <w:top w:val="single" w:color="000000" w:sz="2" w:space="0"/>
            </w:tcBorders>
          </w:tcPr>
          <w:p>
            <w:pPr>
              <w:pStyle w:val="TableText"/>
              <w:ind w:left="804"/>
              <w:spacing w:before="143" w:line="218" w:lineRule="auto"/>
              <w:rPr>
                <w:sz w:val="12"/>
                <w:szCs w:val="12"/>
              </w:rPr>
            </w:pPr>
            <w:r>
              <w:rPr>
                <w:sz w:val="12"/>
                <w:szCs w:val="12"/>
                <w:spacing w:val="-2"/>
              </w:rPr>
              <w:t>苯味唑类</w:t>
            </w:r>
          </w:p>
        </w:tc>
        <w:tc>
          <w:tcPr>
            <w:tcW w:w="1319" w:type="dxa"/>
            <w:vAlign w:val="top"/>
            <w:tcBorders>
              <w:bottom w:val="single" w:color="000000" w:sz="2" w:space="0"/>
              <w:top w:val="single" w:color="000000" w:sz="2" w:space="0"/>
            </w:tcBorders>
          </w:tcPr>
          <w:p>
            <w:pPr>
              <w:pStyle w:val="TableText"/>
              <w:ind w:left="115"/>
              <w:spacing w:before="124" w:line="218" w:lineRule="auto"/>
              <w:rPr>
                <w:sz w:val="12"/>
                <w:szCs w:val="12"/>
              </w:rPr>
            </w:pPr>
            <w:r>
              <w:rPr>
                <w:sz w:val="12"/>
                <w:szCs w:val="12"/>
                <w:spacing w:val="-1"/>
              </w:rPr>
              <w:t>45%悬浮剂600-800倍</w:t>
            </w:r>
          </w:p>
        </w:tc>
        <w:tc>
          <w:tcPr>
            <w:tcW w:w="1529" w:type="dxa"/>
            <w:vAlign w:val="top"/>
            <w:vMerge w:val="restart"/>
            <w:tcBorders>
              <w:bottom w:val="nil"/>
              <w:top w:val="single" w:color="000000" w:sz="2" w:space="0"/>
            </w:tcBorders>
          </w:tcPr>
          <w:p>
            <w:pPr>
              <w:spacing w:line="322" w:lineRule="auto"/>
              <w:rPr>
                <w:rFonts w:ascii="Arial"/>
                <w:sz w:val="21"/>
              </w:rPr>
            </w:pPr>
            <w:r/>
          </w:p>
          <w:p>
            <w:pPr>
              <w:pStyle w:val="TableText"/>
              <w:ind w:left="695" w:right="65" w:hanging="630"/>
              <w:spacing w:before="39" w:line="248" w:lineRule="auto"/>
              <w:rPr>
                <w:sz w:val="12"/>
                <w:szCs w:val="12"/>
              </w:rPr>
            </w:pPr>
            <w:r>
              <w:rPr>
                <w:sz w:val="12"/>
                <w:szCs w:val="12"/>
              </w:rPr>
              <w:t>问隔10-15天1次，连喷2-3</w:t>
            </w:r>
            <w:r>
              <w:rPr>
                <w:sz w:val="12"/>
                <w:szCs w:val="12"/>
                <w:spacing w:val="6"/>
              </w:rPr>
              <w:t xml:space="preserve"> </w:t>
            </w:r>
            <w:r>
              <w:rPr>
                <w:sz w:val="12"/>
                <w:szCs w:val="12"/>
              </w:rPr>
              <w:t>次</w:t>
            </w:r>
          </w:p>
        </w:tc>
        <w:tc>
          <w:tcPr>
            <w:tcW w:w="729" w:type="dxa"/>
            <w:vAlign w:val="top"/>
            <w:tcBorders>
              <w:bottom w:val="single" w:color="000000" w:sz="2" w:space="0"/>
              <w:top w:val="single" w:color="000000" w:sz="2" w:space="0"/>
            </w:tcBorders>
          </w:tcPr>
          <w:p>
            <w:pPr>
              <w:pStyle w:val="TableText"/>
              <w:ind w:left="116"/>
              <w:spacing w:before="144"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right="46"/>
              <w:spacing w:before="53" w:line="231" w:lineRule="auto"/>
              <w:rPr>
                <w:sz w:val="12"/>
                <w:szCs w:val="12"/>
              </w:rPr>
            </w:pPr>
            <w:r>
              <w:rPr>
                <w:sz w:val="12"/>
                <w:szCs w:val="12"/>
              </w:rPr>
              <w:t>防治叶斑病、青霉病、炭殖病、灰霉病、黑星病</w:t>
            </w:r>
            <w:r>
              <w:rPr>
                <w:sz w:val="12"/>
                <w:szCs w:val="12"/>
                <w:spacing w:val="7"/>
              </w:rPr>
              <w:t xml:space="preserve"> </w:t>
            </w:r>
            <w:r>
              <w:rPr>
                <w:sz w:val="12"/>
                <w:szCs w:val="12"/>
              </w:rPr>
              <w:t>、白粉病等防治</w:t>
            </w:r>
          </w:p>
        </w:tc>
      </w:tr>
      <w:tr>
        <w:trPr>
          <w:trHeight w:val="584" w:hRule="atLeast"/>
        </w:trPr>
        <w:tc>
          <w:tcPr>
            <w:tcW w:w="42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72"/>
              <w:spacing w:before="234" w:line="219" w:lineRule="auto"/>
              <w:rPr>
                <w:sz w:val="12"/>
                <w:szCs w:val="12"/>
              </w:rPr>
            </w:pPr>
            <w:r>
              <w:rPr>
                <w:sz w:val="12"/>
                <w:szCs w:val="12"/>
                <w:spacing w:val="2"/>
              </w:rPr>
              <w:t>好靓(丙硫多菌灵)</w:t>
            </w:r>
          </w:p>
        </w:tc>
        <w:tc>
          <w:tcPr>
            <w:tcW w:w="2099" w:type="dxa"/>
            <w:vAlign w:val="top"/>
            <w:tcBorders>
              <w:bottom w:val="single" w:color="000000" w:sz="2" w:space="0"/>
              <w:top w:val="single" w:color="000000" w:sz="2" w:space="0"/>
            </w:tcBorders>
          </w:tcPr>
          <w:p>
            <w:pPr>
              <w:pStyle w:val="TableText"/>
              <w:ind w:left="804"/>
              <w:spacing w:before="234" w:line="220" w:lineRule="auto"/>
              <w:rPr>
                <w:sz w:val="12"/>
                <w:szCs w:val="12"/>
              </w:rPr>
            </w:pPr>
            <w:r>
              <w:rPr>
                <w:sz w:val="12"/>
                <w:szCs w:val="12"/>
                <w:spacing w:val="-2"/>
              </w:rPr>
              <w:t>丙硫咪唑</w:t>
            </w:r>
          </w:p>
        </w:tc>
        <w:tc>
          <w:tcPr>
            <w:tcW w:w="1319" w:type="dxa"/>
            <w:vAlign w:val="top"/>
            <w:tcBorders>
              <w:bottom w:val="single" w:color="000000" w:sz="2" w:space="0"/>
              <w:top w:val="single" w:color="000000" w:sz="2" w:space="0"/>
            </w:tcBorders>
          </w:tcPr>
          <w:p>
            <w:pPr>
              <w:pStyle w:val="TableText"/>
              <w:ind w:left="115"/>
              <w:spacing w:before="234" w:line="219" w:lineRule="auto"/>
              <w:rPr>
                <w:sz w:val="12"/>
                <w:szCs w:val="12"/>
              </w:rPr>
            </w:pPr>
            <w:r>
              <w:rPr>
                <w:sz w:val="12"/>
                <w:szCs w:val="12"/>
                <w:spacing w:val="-1"/>
              </w:rPr>
              <w:t>20%好靓2000-3000倍</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77"/>
              <w:spacing w:before="231" w:line="213" w:lineRule="auto"/>
              <w:rPr>
                <w:sz w:val="12"/>
                <w:szCs w:val="12"/>
              </w:rPr>
            </w:pPr>
            <w:r>
              <w:rPr>
                <w:sz w:val="12"/>
                <w:szCs w:val="12"/>
                <w:spacing w:val="-1"/>
              </w:rPr>
              <w:t>50g/袋</w:t>
            </w:r>
          </w:p>
        </w:tc>
        <w:tc>
          <w:tcPr>
            <w:tcW w:w="2603" w:type="dxa"/>
            <w:vAlign w:val="top"/>
            <w:tcBorders>
              <w:bottom w:val="single" w:color="000000" w:sz="2" w:space="0"/>
              <w:top w:val="single" w:color="000000" w:sz="2" w:space="0"/>
            </w:tcBorders>
          </w:tcPr>
          <w:p>
            <w:pPr>
              <w:pStyle w:val="TableText"/>
              <w:ind w:left="17"/>
              <w:spacing w:before="94" w:line="232" w:lineRule="auto"/>
              <w:jc w:val="both"/>
              <w:rPr>
                <w:sz w:val="12"/>
                <w:szCs w:val="12"/>
              </w:rPr>
            </w:pPr>
            <w:r>
              <w:rPr>
                <w:sz w:val="12"/>
                <w:szCs w:val="12"/>
                <w:spacing w:val="2"/>
              </w:rPr>
              <w:t>广谱内吸性杀菌剂。可用于防治枯差病、疫病、</w:t>
            </w:r>
            <w:r>
              <w:rPr>
                <w:sz w:val="12"/>
                <w:szCs w:val="12"/>
                <w:spacing w:val="12"/>
              </w:rPr>
              <w:t xml:space="preserve"> </w:t>
            </w:r>
            <w:r>
              <w:rPr>
                <w:sz w:val="12"/>
                <w:szCs w:val="12"/>
                <w:spacing w:val="-1"/>
              </w:rPr>
              <w:t>腐霉病、立枯病、根腐病、茎腐病、猝倒病等多</w:t>
            </w:r>
            <w:r>
              <w:rPr>
                <w:sz w:val="12"/>
                <w:szCs w:val="12"/>
                <w:spacing w:val="5"/>
              </w:rPr>
              <w:t xml:space="preserve">  </w:t>
            </w:r>
            <w:r>
              <w:rPr>
                <w:sz w:val="12"/>
                <w:szCs w:val="12"/>
                <w:spacing w:val="-1"/>
              </w:rPr>
              <w:t>种病害。使用方法：灌根，喷雾</w:t>
            </w:r>
          </w:p>
        </w:tc>
      </w:tr>
      <w:tr>
        <w:trPr>
          <w:trHeight w:val="364" w:hRule="atLeast"/>
        </w:trPr>
        <w:tc>
          <w:tcPr>
            <w:tcW w:w="425" w:type="dxa"/>
            <w:vAlign w:val="top"/>
            <w:vMerge w:val="restart"/>
            <w:tcBorders>
              <w:bottom w:val="nil"/>
              <w:top w:val="single" w:color="000000" w:sz="2" w:space="0"/>
            </w:tcBorders>
          </w:tcPr>
          <w:p>
            <w:pPr>
              <w:spacing w:line="325" w:lineRule="auto"/>
              <w:rPr>
                <w:rFonts w:ascii="Arial"/>
                <w:sz w:val="21"/>
              </w:rPr>
            </w:pPr>
            <w:r/>
          </w:p>
          <w:p>
            <w:pPr>
              <w:spacing w:line="326" w:lineRule="auto"/>
              <w:rPr>
                <w:rFonts w:ascii="Arial"/>
                <w:sz w:val="21"/>
              </w:rPr>
            </w:pPr>
            <w:r/>
          </w:p>
          <w:p>
            <w:pPr>
              <w:pStyle w:val="TableText"/>
              <w:ind w:left="24"/>
              <w:spacing w:before="39" w:line="218" w:lineRule="auto"/>
              <w:rPr>
                <w:sz w:val="12"/>
                <w:szCs w:val="12"/>
              </w:rPr>
            </w:pPr>
            <w:r>
              <w:rPr>
                <w:sz w:val="12"/>
                <w:szCs w:val="12"/>
                <w:spacing w:val="-2"/>
              </w:rPr>
              <w:t>希虫剂</w:t>
            </w:r>
          </w:p>
        </w:tc>
        <w:tc>
          <w:tcPr>
            <w:tcW w:w="560" w:type="dxa"/>
            <w:vAlign w:val="top"/>
            <w:vMerge w:val="restart"/>
            <w:tcBorders>
              <w:bottom w:val="nil"/>
              <w:top w:val="single" w:color="000000" w:sz="2" w:space="0"/>
            </w:tcBorders>
          </w:tcPr>
          <w:p>
            <w:pPr>
              <w:spacing w:line="325" w:lineRule="auto"/>
              <w:rPr>
                <w:rFonts w:ascii="Arial"/>
                <w:sz w:val="21"/>
              </w:rPr>
            </w:pPr>
            <w:r/>
          </w:p>
          <w:p>
            <w:pPr>
              <w:spacing w:line="326" w:lineRule="auto"/>
              <w:rPr>
                <w:rFonts w:ascii="Arial"/>
                <w:sz w:val="21"/>
              </w:rPr>
            </w:pPr>
            <w:r/>
          </w:p>
          <w:p>
            <w:pPr>
              <w:pStyle w:val="TableText"/>
              <w:ind w:left="30"/>
              <w:spacing w:before="39" w:line="219" w:lineRule="auto"/>
              <w:rPr>
                <w:sz w:val="12"/>
                <w:szCs w:val="12"/>
              </w:rPr>
            </w:pPr>
            <w:r>
              <w:rPr>
                <w:sz w:val="12"/>
                <w:szCs w:val="12"/>
                <w:spacing w:val="-1"/>
              </w:rPr>
              <w:t>食叶害虫</w:t>
            </w:r>
          </w:p>
        </w:tc>
        <w:tc>
          <w:tcPr>
            <w:tcW w:w="929" w:type="dxa"/>
            <w:vAlign w:val="top"/>
            <w:vMerge w:val="restart"/>
            <w:tcBorders>
              <w:bottom w:val="nil"/>
              <w:top w:val="single" w:color="000000" w:sz="2" w:space="0"/>
            </w:tcBorders>
          </w:tcPr>
          <w:p>
            <w:pPr>
              <w:pStyle w:val="TableText"/>
              <w:spacing w:before="115" w:line="220" w:lineRule="auto"/>
              <w:jc w:val="right"/>
              <w:rPr>
                <w:sz w:val="12"/>
                <w:szCs w:val="12"/>
              </w:rPr>
            </w:pPr>
            <w:r>
              <w:rPr>
                <w:sz w:val="12"/>
                <w:szCs w:val="12"/>
                <w:spacing w:val="6"/>
              </w:rPr>
              <w:t>重阳木惶斑蛾、</w:t>
            </w:r>
          </w:p>
          <w:p>
            <w:pPr>
              <w:pStyle w:val="TableText"/>
              <w:spacing w:before="16" w:line="200" w:lineRule="auto"/>
              <w:jc w:val="right"/>
              <w:rPr>
                <w:sz w:val="12"/>
                <w:szCs w:val="12"/>
              </w:rPr>
            </w:pPr>
            <w:r>
              <w:rPr>
                <w:sz w:val="12"/>
                <w:szCs w:val="12"/>
                <w:spacing w:val="6"/>
              </w:rPr>
              <w:t>刺蛾、樟巢蜗、</w:t>
            </w:r>
          </w:p>
          <w:p>
            <w:pPr>
              <w:pStyle w:val="TableText"/>
              <w:ind w:left="390"/>
              <w:spacing w:line="219" w:lineRule="auto"/>
              <w:rPr>
                <w:sz w:val="12"/>
                <w:szCs w:val="12"/>
              </w:rPr>
            </w:pPr>
            <w:r>
              <w:rPr>
                <w:sz w:val="12"/>
                <w:szCs w:val="12"/>
              </w:rPr>
              <w:t>槐</w:t>
            </w:r>
          </w:p>
          <w:p>
            <w:pPr>
              <w:pStyle w:val="TableText"/>
              <w:ind w:left="10" w:right="40" w:firstLine="19"/>
              <w:spacing w:before="17" w:line="224" w:lineRule="auto"/>
              <w:rPr>
                <w:sz w:val="12"/>
                <w:szCs w:val="12"/>
              </w:rPr>
            </w:pPr>
            <w:r>
              <w:rPr>
                <w:sz w:val="12"/>
                <w:szCs w:val="12"/>
                <w:spacing w:val="-1"/>
              </w:rPr>
              <w:t>尺蛾、斜纹夜蛾</w:t>
            </w:r>
            <w:r>
              <w:rPr>
                <w:sz w:val="12"/>
                <w:szCs w:val="12"/>
                <w:spacing w:val="1"/>
              </w:rPr>
              <w:t xml:space="preserve"> </w:t>
            </w:r>
            <w:r>
              <w:rPr>
                <w:sz w:val="12"/>
                <w:szCs w:val="12"/>
                <w:spacing w:val="12"/>
              </w:rPr>
              <w:t>等，天募毛虫.</w:t>
            </w:r>
            <w:r>
              <w:rPr>
                <w:sz w:val="12"/>
                <w:szCs w:val="12"/>
                <w:spacing w:val="2"/>
              </w:rPr>
              <w:t xml:space="preserve"> </w:t>
            </w:r>
            <w:r>
              <w:rPr>
                <w:sz w:val="12"/>
                <w:szCs w:val="12"/>
                <w:spacing w:val="-2"/>
              </w:rPr>
              <w:t>叶甲、算毒蛾</w:t>
            </w:r>
          </w:p>
          <w:p>
            <w:pPr>
              <w:pStyle w:val="TableText"/>
              <w:ind w:left="29" w:right="53" w:hanging="19"/>
              <w:spacing w:before="1" w:line="231" w:lineRule="auto"/>
              <w:rPr>
                <w:sz w:val="12"/>
                <w:szCs w:val="12"/>
              </w:rPr>
            </w:pPr>
            <w:r>
              <w:rPr>
                <w:sz w:val="12"/>
                <w:szCs w:val="12"/>
                <w:spacing w:val="-1"/>
              </w:rPr>
              <w:t>尺蝗、衰蛾、刺</w:t>
            </w:r>
            <w:r>
              <w:rPr>
                <w:sz w:val="12"/>
                <w:szCs w:val="12"/>
                <w:spacing w:val="1"/>
              </w:rPr>
              <w:t xml:space="preserve"> </w:t>
            </w:r>
            <w:r>
              <w:rPr>
                <w:sz w:val="12"/>
                <w:szCs w:val="12"/>
                <w:spacing w:val="-1"/>
              </w:rPr>
              <w:t>蛾、黄杨组野蚁</w:t>
            </w:r>
          </w:p>
          <w:p>
            <w:pPr>
              <w:pStyle w:val="TableText"/>
              <w:ind w:left="150"/>
              <w:spacing w:line="219" w:lineRule="auto"/>
              <w:rPr>
                <w:sz w:val="12"/>
                <w:szCs w:val="12"/>
              </w:rPr>
            </w:pPr>
            <w:r>
              <w:rPr>
                <w:sz w:val="12"/>
                <w:szCs w:val="12"/>
                <w:spacing w:val="-3"/>
              </w:rPr>
              <w:t>、卷叶蜗等</w:t>
            </w:r>
          </w:p>
        </w:tc>
        <w:tc>
          <w:tcPr>
            <w:tcW w:w="2748" w:type="dxa"/>
            <w:vAlign w:val="top"/>
            <w:vMerge w:val="restart"/>
            <w:tcBorders>
              <w:bottom w:val="nil"/>
              <w:top w:val="single" w:color="000000" w:sz="2" w:space="0"/>
            </w:tcBorders>
          </w:tcPr>
          <w:p>
            <w:pPr>
              <w:spacing w:line="314" w:lineRule="auto"/>
              <w:rPr>
                <w:rFonts w:ascii="Arial"/>
                <w:sz w:val="21"/>
              </w:rPr>
            </w:pPr>
            <w:r/>
          </w:p>
          <w:p>
            <w:pPr>
              <w:pStyle w:val="TableText"/>
              <w:ind w:left="11" w:right="44"/>
              <w:spacing w:before="39" w:line="207"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spacing w:val="-1"/>
              </w:rPr>
              <w:t>区消杀虫卵、蝠：</w:t>
            </w:r>
          </w:p>
          <w:p>
            <w:pPr>
              <w:pStyle w:val="TableText"/>
              <w:ind w:left="11" w:right="33"/>
              <w:spacing w:line="232" w:lineRule="auto"/>
              <w:rPr>
                <w:sz w:val="12"/>
                <w:szCs w:val="12"/>
              </w:rPr>
            </w:pPr>
            <w:r>
              <w:rPr>
                <w:sz w:val="12"/>
                <w:szCs w:val="12"/>
                <w:spacing w:val="-1"/>
              </w:rPr>
              <w:t>二，6月是大本分害虫成蛹或羽化期，采取人工加药</w:t>
            </w:r>
            <w:r>
              <w:rPr>
                <w:sz w:val="12"/>
                <w:szCs w:val="12"/>
                <w:spacing w:val="15"/>
              </w:rPr>
              <w:t xml:space="preserve"> </w:t>
            </w:r>
            <w:r>
              <w:rPr>
                <w:sz w:val="12"/>
                <w:szCs w:val="12"/>
                <w:spacing w:val="-1"/>
              </w:rPr>
              <w:t>物双重治疗除卵，除蛹，除成虫：</w:t>
            </w:r>
          </w:p>
          <w:p>
            <w:pPr>
              <w:pStyle w:val="TableText"/>
              <w:ind w:left="11" w:right="91"/>
              <w:spacing w:before="18" w:line="221" w:lineRule="auto"/>
              <w:rPr>
                <w:sz w:val="12"/>
                <w:szCs w:val="12"/>
              </w:rPr>
            </w:pPr>
            <w:r>
              <w:rPr>
                <w:sz w:val="12"/>
                <w:szCs w:val="12"/>
                <w:spacing w:val="-1"/>
              </w:rPr>
              <w:t>三、7-10月均有零星出现，有发现病情，及时喷药</w:t>
            </w:r>
            <w:r>
              <w:rPr>
                <w:sz w:val="12"/>
                <w:szCs w:val="12"/>
                <w:spacing w:val="18"/>
              </w:rPr>
              <w:t xml:space="preserve"> </w:t>
            </w:r>
            <w:r>
              <w:rPr>
                <w:sz w:val="12"/>
                <w:szCs w:val="12"/>
                <w:spacing w:val="-1"/>
              </w:rPr>
              <w:t>处理。</w:t>
            </w:r>
          </w:p>
        </w:tc>
        <w:tc>
          <w:tcPr>
            <w:tcW w:w="1119" w:type="dxa"/>
            <w:vAlign w:val="top"/>
            <w:tcBorders>
              <w:bottom w:val="single" w:color="000000" w:sz="2" w:space="0"/>
              <w:top w:val="single" w:color="000000" w:sz="2" w:space="0"/>
            </w:tcBorders>
          </w:tcPr>
          <w:p>
            <w:pPr>
              <w:pStyle w:val="TableText"/>
              <w:ind w:left="313"/>
              <w:spacing w:before="125" w:line="219" w:lineRule="auto"/>
              <w:rPr>
                <w:sz w:val="12"/>
                <w:szCs w:val="12"/>
              </w:rPr>
            </w:pPr>
            <w:r>
              <w:rPr>
                <w:sz w:val="12"/>
                <w:szCs w:val="12"/>
                <w:spacing w:val="1"/>
              </w:rPr>
              <w:t>国光毒枪</w:t>
            </w:r>
          </w:p>
        </w:tc>
        <w:tc>
          <w:tcPr>
            <w:tcW w:w="2099" w:type="dxa"/>
            <w:vAlign w:val="top"/>
            <w:tcBorders>
              <w:bottom w:val="single" w:color="000000" w:sz="2" w:space="0"/>
              <w:top w:val="single" w:color="000000" w:sz="2" w:space="0"/>
            </w:tcBorders>
          </w:tcPr>
          <w:p>
            <w:pPr>
              <w:pStyle w:val="TableText"/>
              <w:ind w:left="473"/>
              <w:spacing w:before="125" w:line="219" w:lineRule="auto"/>
              <w:rPr>
                <w:sz w:val="12"/>
                <w:szCs w:val="12"/>
              </w:rPr>
            </w:pPr>
            <w:r>
              <w:rPr>
                <w:sz w:val="12"/>
                <w:szCs w:val="12"/>
                <w:spacing w:val="-1"/>
              </w:rPr>
              <w:t>45%丙溴，辛硫磷乳油</w:t>
            </w:r>
          </w:p>
        </w:tc>
        <w:tc>
          <w:tcPr>
            <w:tcW w:w="1319" w:type="dxa"/>
            <w:vAlign w:val="top"/>
            <w:tcBorders>
              <w:bottom w:val="single" w:color="000000" w:sz="2" w:space="0"/>
              <w:top w:val="single" w:color="000000" w:sz="2" w:space="0"/>
            </w:tcBorders>
          </w:tcPr>
          <w:p>
            <w:pPr>
              <w:pStyle w:val="TableText"/>
              <w:ind w:left="145"/>
              <w:spacing w:before="125" w:line="219" w:lineRule="auto"/>
              <w:rPr>
                <w:sz w:val="12"/>
                <w:szCs w:val="12"/>
              </w:rPr>
            </w:pPr>
            <w:r>
              <w:rPr>
                <w:sz w:val="12"/>
                <w:szCs w:val="12"/>
                <w:spacing w:val="-1"/>
              </w:rPr>
              <w:t>稀释1000-1200倍液</w:t>
            </w:r>
          </w:p>
        </w:tc>
        <w:tc>
          <w:tcPr>
            <w:tcW w:w="1529" w:type="dxa"/>
            <w:vAlign w:val="top"/>
            <w:vMerge w:val="restart"/>
            <w:tcBorders>
              <w:bottom w:val="nil"/>
              <w:top w:val="single" w:color="000000" w:sz="2" w:space="0"/>
            </w:tcBorders>
          </w:tcPr>
          <w:p>
            <w:pPr>
              <w:spacing w:line="296" w:lineRule="auto"/>
              <w:rPr>
                <w:rFonts w:ascii="Arial"/>
                <w:sz w:val="21"/>
              </w:rPr>
            </w:pPr>
            <w:r/>
          </w:p>
          <w:p>
            <w:pPr>
              <w:spacing w:line="296" w:lineRule="auto"/>
              <w:rPr>
                <w:rFonts w:ascii="Arial"/>
                <w:sz w:val="21"/>
              </w:rPr>
            </w:pPr>
            <w:r/>
          </w:p>
          <w:p>
            <w:pPr>
              <w:pStyle w:val="TableText"/>
              <w:ind w:left="695" w:right="19" w:hanging="690"/>
              <w:spacing w:before="39" w:line="218" w:lineRule="auto"/>
              <w:rPr>
                <w:sz w:val="12"/>
                <w:szCs w:val="12"/>
              </w:rPr>
            </w:pPr>
            <w:r>
              <w:rPr>
                <w:sz w:val="12"/>
                <w:szCs w:val="12"/>
                <w:spacing w:val="-1"/>
              </w:rPr>
              <w:t>一般用1次，时间间隔10到15</w:t>
            </w:r>
            <w:r>
              <w:rPr>
                <w:sz w:val="12"/>
                <w:szCs w:val="12"/>
                <w:spacing w:val="7"/>
              </w:rPr>
              <w:t xml:space="preserve"> </w:t>
            </w:r>
            <w:r>
              <w:rPr>
                <w:sz w:val="12"/>
                <w:szCs w:val="12"/>
              </w:rPr>
              <w:t>天</w:t>
            </w:r>
          </w:p>
        </w:tc>
        <w:tc>
          <w:tcPr>
            <w:tcW w:w="729" w:type="dxa"/>
            <w:vAlign w:val="top"/>
            <w:tcBorders>
              <w:bottom w:val="single" w:color="000000" w:sz="2" w:space="0"/>
              <w:top w:val="single" w:color="000000" w:sz="2" w:space="0"/>
            </w:tcBorders>
          </w:tcPr>
          <w:p>
            <w:pPr>
              <w:pStyle w:val="TableText"/>
              <w:ind w:left="216" w:right="177" w:hanging="69"/>
              <w:spacing w:before="77" w:line="209"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125" w:line="219" w:lineRule="auto"/>
              <w:rPr>
                <w:sz w:val="12"/>
                <w:szCs w:val="12"/>
              </w:rPr>
            </w:pPr>
            <w:r>
              <w:rPr>
                <w:sz w:val="12"/>
                <w:szCs w:val="12"/>
                <w:spacing w:val="-1"/>
              </w:rPr>
              <w:t>高渗透性，杀卷叶虫，包叶虫、斑潜蝇等</w:t>
            </w:r>
          </w:p>
        </w:tc>
      </w:tr>
      <w:tr>
        <w:trPr>
          <w:trHeight w:val="36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433"/>
              <w:spacing w:before="125" w:line="219" w:lineRule="auto"/>
              <w:rPr>
                <w:sz w:val="12"/>
                <w:szCs w:val="12"/>
              </w:rPr>
            </w:pPr>
            <w:r>
              <w:rPr>
                <w:sz w:val="12"/>
                <w:szCs w:val="12"/>
                <w:spacing w:val="-3"/>
              </w:rPr>
              <w:t>乐克</w:t>
            </w:r>
          </w:p>
        </w:tc>
        <w:tc>
          <w:tcPr>
            <w:tcW w:w="2099" w:type="dxa"/>
            <w:vAlign w:val="top"/>
            <w:tcBorders>
              <w:bottom w:val="single" w:color="000000" w:sz="2" w:space="0"/>
              <w:top w:val="single" w:color="000000" w:sz="2" w:space="0"/>
            </w:tcBorders>
          </w:tcPr>
          <w:p>
            <w:pPr>
              <w:pStyle w:val="TableText"/>
              <w:ind w:left="323"/>
              <w:spacing w:before="125" w:line="218" w:lineRule="auto"/>
              <w:rPr>
                <w:sz w:val="12"/>
                <w:szCs w:val="12"/>
              </w:rPr>
            </w:pPr>
            <w:r>
              <w:rPr>
                <w:sz w:val="12"/>
                <w:szCs w:val="12"/>
                <w:spacing w:val="-1"/>
              </w:rPr>
              <w:t>5%甲氨热阿维菌素苯甲酸盐</w:t>
            </w:r>
          </w:p>
        </w:tc>
        <w:tc>
          <w:tcPr>
            <w:tcW w:w="1319" w:type="dxa"/>
            <w:vAlign w:val="top"/>
            <w:tcBorders>
              <w:bottom w:val="single" w:color="000000" w:sz="2" w:space="0"/>
              <w:top w:val="single" w:color="000000" w:sz="2" w:space="0"/>
            </w:tcBorders>
          </w:tcPr>
          <w:p>
            <w:pPr>
              <w:pStyle w:val="TableText"/>
              <w:ind w:left="175"/>
              <w:spacing w:before="125" w:line="219" w:lineRule="auto"/>
              <w:rPr>
                <w:sz w:val="12"/>
                <w:szCs w:val="12"/>
              </w:rPr>
            </w:pPr>
            <w:r>
              <w:rPr>
                <w:sz w:val="12"/>
                <w:szCs w:val="12"/>
                <w:spacing w:val="-1"/>
              </w:rPr>
              <w:t>稀释30005000倍液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266" w:right="177" w:hanging="119"/>
              <w:spacing w:before="78" w:line="209" w:lineRule="auto"/>
              <w:rPr>
                <w:sz w:val="12"/>
                <w:szCs w:val="12"/>
              </w:rPr>
            </w:pPr>
            <w:r>
              <w:rPr>
                <w:sz w:val="12"/>
                <w:szCs w:val="12"/>
                <w:spacing w:val="-4"/>
              </w:rPr>
              <w:t>(100ml/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125" w:line="219" w:lineRule="auto"/>
              <w:rPr>
                <w:sz w:val="12"/>
                <w:szCs w:val="12"/>
              </w:rPr>
            </w:pPr>
            <w:r>
              <w:rPr>
                <w:sz w:val="12"/>
                <w:szCs w:val="12"/>
                <w:spacing w:val="-1"/>
              </w:rPr>
              <w:t>高效广谱、长效杀虫刻</w:t>
            </w:r>
          </w:p>
        </w:tc>
      </w:tr>
      <w:tr>
        <w:trPr>
          <w:trHeight w:val="44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13"/>
              <w:spacing w:before="165" w:line="219" w:lineRule="auto"/>
              <w:rPr>
                <w:sz w:val="12"/>
                <w:szCs w:val="12"/>
              </w:rPr>
            </w:pPr>
            <w:r>
              <w:rPr>
                <w:sz w:val="12"/>
                <w:szCs w:val="12"/>
                <w:spacing w:val="1"/>
              </w:rPr>
              <w:t>国光毒箭</w:t>
            </w:r>
          </w:p>
        </w:tc>
        <w:tc>
          <w:tcPr>
            <w:tcW w:w="2099" w:type="dxa"/>
            <w:vAlign w:val="top"/>
            <w:tcBorders>
              <w:bottom w:val="single" w:color="000000" w:sz="2" w:space="0"/>
              <w:top w:val="single" w:color="000000" w:sz="2" w:space="0"/>
            </w:tcBorders>
          </w:tcPr>
          <w:p>
            <w:pPr>
              <w:pStyle w:val="TableText"/>
              <w:ind w:left="594"/>
              <w:spacing w:before="164" w:line="218" w:lineRule="auto"/>
              <w:rPr>
                <w:sz w:val="12"/>
                <w:szCs w:val="12"/>
              </w:rPr>
            </w:pPr>
            <w:r>
              <w:rPr>
                <w:sz w:val="12"/>
                <w:szCs w:val="12"/>
                <w:spacing w:val="-1"/>
              </w:rPr>
              <w:t>20%气虎菊酯乳油</w:t>
            </w:r>
          </w:p>
        </w:tc>
        <w:tc>
          <w:tcPr>
            <w:tcW w:w="1319" w:type="dxa"/>
            <w:vAlign w:val="top"/>
            <w:tcBorders>
              <w:bottom w:val="single" w:color="000000" w:sz="2" w:space="0"/>
              <w:top w:val="single" w:color="000000" w:sz="2" w:space="0"/>
            </w:tcBorders>
          </w:tcPr>
          <w:p>
            <w:pPr>
              <w:pStyle w:val="TableText"/>
              <w:ind w:left="145"/>
              <w:spacing w:before="165" w:line="219" w:lineRule="auto"/>
              <w:rPr>
                <w:sz w:val="12"/>
                <w:szCs w:val="12"/>
              </w:rPr>
            </w:pPr>
            <w:r>
              <w:rPr>
                <w:sz w:val="12"/>
                <w:szCs w:val="12"/>
                <w:spacing w:val="-1"/>
              </w:rPr>
              <w:t>稀释1000-1200倍液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266" w:right="177" w:hanging="119"/>
              <w:spacing w:before="97" w:line="247" w:lineRule="auto"/>
              <w:rPr>
                <w:sz w:val="12"/>
                <w:szCs w:val="12"/>
              </w:rPr>
            </w:pPr>
            <w:r>
              <w:rPr>
                <w:sz w:val="12"/>
                <w:szCs w:val="12"/>
                <w:spacing w:val="-4"/>
              </w:rPr>
              <w:t>(200m1/</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164" w:line="218" w:lineRule="auto"/>
              <w:rPr>
                <w:sz w:val="12"/>
                <w:szCs w:val="12"/>
              </w:rPr>
            </w:pPr>
            <w:r>
              <w:rPr>
                <w:sz w:val="12"/>
                <w:szCs w:val="12"/>
                <w:spacing w:val="-1"/>
              </w:rPr>
              <w:t>高效广谱、长效杀虫剂。杀食叶性害虫特效</w:t>
            </w:r>
          </w:p>
        </w:tc>
      </w:tr>
      <w:tr>
        <w:trPr>
          <w:trHeight w:val="310" w:hRule="atLeast"/>
        </w:trPr>
        <w:tc>
          <w:tcPr>
            <w:tcW w:w="42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95" w:line="219" w:lineRule="auto"/>
              <w:rPr>
                <w:sz w:val="12"/>
                <w:szCs w:val="12"/>
              </w:rPr>
            </w:pPr>
            <w:r>
              <w:rPr>
                <w:sz w:val="12"/>
                <w:szCs w:val="12"/>
                <w:spacing w:val="-1"/>
              </w:rPr>
              <w:t>诺替信黑战</w:t>
            </w:r>
          </w:p>
        </w:tc>
        <w:tc>
          <w:tcPr>
            <w:tcW w:w="2099" w:type="dxa"/>
            <w:vAlign w:val="top"/>
            <w:tcBorders>
              <w:bottom w:val="single" w:color="000000" w:sz="2" w:space="0"/>
              <w:top w:val="single" w:color="000000" w:sz="2" w:space="0"/>
            </w:tcBorders>
          </w:tcPr>
          <w:p>
            <w:pPr>
              <w:pStyle w:val="TableText"/>
              <w:ind w:left="534"/>
              <w:spacing w:before="95" w:line="219" w:lineRule="auto"/>
              <w:rPr>
                <w:sz w:val="12"/>
                <w:szCs w:val="12"/>
              </w:rPr>
            </w:pPr>
            <w:r>
              <w:rPr>
                <w:sz w:val="12"/>
                <w:szCs w:val="12"/>
                <w:spacing w:val="-5"/>
              </w:rPr>
              <w:t>甲维盐</w:t>
            </w:r>
            <w:r>
              <w:rPr>
                <w:sz w:val="12"/>
                <w:szCs w:val="12"/>
                <w:spacing w:val="-9"/>
              </w:rPr>
              <w:t xml:space="preserve"> </w:t>
            </w:r>
            <w:r>
              <w:rPr>
                <w:sz w:val="12"/>
                <w:szCs w:val="12"/>
                <w:spacing w:val="-5"/>
              </w:rPr>
              <w:t>·虫雕胖20%</w:t>
            </w:r>
          </w:p>
        </w:tc>
        <w:tc>
          <w:tcPr>
            <w:tcW w:w="1319" w:type="dxa"/>
            <w:vAlign w:val="top"/>
            <w:tcBorders>
              <w:bottom w:val="single" w:color="000000" w:sz="2" w:space="0"/>
              <w:top w:val="single" w:color="000000" w:sz="2" w:space="0"/>
            </w:tcBorders>
          </w:tcPr>
          <w:p>
            <w:pPr>
              <w:pStyle w:val="TableText"/>
              <w:ind w:left="325"/>
              <w:spacing w:before="96" w:line="220" w:lineRule="auto"/>
              <w:rPr>
                <w:sz w:val="12"/>
                <w:szCs w:val="12"/>
              </w:rPr>
            </w:pPr>
            <w:r>
              <w:rPr>
                <w:sz w:val="12"/>
                <w:szCs w:val="12"/>
                <w:spacing w:val="-5"/>
              </w:rPr>
              <w:t>1000—1500倍</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16"/>
              <w:spacing w:before="96"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spacing w:before="95" w:line="218" w:lineRule="auto"/>
              <w:rPr>
                <w:sz w:val="12"/>
                <w:szCs w:val="12"/>
              </w:rPr>
            </w:pPr>
            <w:r>
              <w:rPr>
                <w:sz w:val="12"/>
                <w:szCs w:val="12"/>
                <w:spacing w:val="-1"/>
              </w:rPr>
              <w:t>高效广谱杀虫剂，杀食叶性害虫特效</w:t>
            </w:r>
          </w:p>
        </w:tc>
      </w:tr>
    </w:tbl>
    <w:p>
      <w:pPr>
        <w:spacing w:line="14" w:lineRule="auto"/>
        <w:rPr>
          <w:rFonts w:ascii="Arial"/>
          <w:sz w:val="2"/>
        </w:rPr>
      </w:pPr>
      <w:r/>
    </w:p>
    <w:p>
      <w:pPr>
        <w:spacing w:line="14" w:lineRule="auto"/>
        <w:sectPr>
          <w:pgSz w:w="14490" w:h="10240"/>
          <w:pgMar w:top="115" w:right="234" w:bottom="274" w:left="184" w:header="0" w:footer="0" w:gutter="0"/>
        </w:sectPr>
        <w:rPr>
          <w:rFonts w:ascii="Arial" w:hAnsi="Arial" w:eastAsia="Arial" w:cs="Arial"/>
          <w:sz w:val="2"/>
          <w:szCs w:val="2"/>
        </w:rPr>
      </w:pPr>
    </w:p>
    <w:tbl>
      <w:tblPr>
        <w:tblStyle w:val="TableNormal"/>
        <w:tblW w:w="140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560"/>
        <w:gridCol w:w="929"/>
        <w:gridCol w:w="2748"/>
        <w:gridCol w:w="1119"/>
        <w:gridCol w:w="2089"/>
        <w:gridCol w:w="1329"/>
        <w:gridCol w:w="1529"/>
        <w:gridCol w:w="729"/>
        <w:gridCol w:w="2603"/>
      </w:tblGrid>
      <w:tr>
        <w:trPr>
          <w:trHeight w:val="619" w:hRule="atLeast"/>
        </w:trPr>
        <w:tc>
          <w:tcPr>
            <w:tcW w:w="425" w:type="dxa"/>
            <w:vAlign w:val="top"/>
            <w:tcBorders>
              <w:bottom w:val="single" w:color="000000" w:sz="2" w:space="0"/>
              <w:top w:val="single" w:color="000000" w:sz="2" w:space="0"/>
            </w:tcBorders>
          </w:tcPr>
          <w:p>
            <w:pPr>
              <w:pStyle w:val="TableText"/>
              <w:ind w:left="86"/>
              <w:spacing w:before="252" w:line="219" w:lineRule="auto"/>
              <w:rPr>
                <w:sz w:val="12"/>
                <w:szCs w:val="12"/>
              </w:rPr>
            </w:pPr>
            <w:r>
              <w:rPr>
                <w:sz w:val="12"/>
                <w:szCs w:val="12"/>
                <w:b/>
                <w:bCs/>
                <w:spacing w:val="-3"/>
              </w:rPr>
              <w:t>分类</w:t>
            </w:r>
          </w:p>
        </w:tc>
        <w:tc>
          <w:tcPr>
            <w:tcW w:w="560" w:type="dxa"/>
            <w:vAlign w:val="top"/>
            <w:tcBorders>
              <w:bottom w:val="single" w:color="000000" w:sz="2" w:space="0"/>
              <w:top w:val="single" w:color="000000" w:sz="2" w:space="0"/>
            </w:tcBorders>
          </w:tcPr>
          <w:p>
            <w:pPr>
              <w:pStyle w:val="TableText"/>
              <w:ind w:left="31"/>
              <w:spacing w:before="83" w:line="219" w:lineRule="auto"/>
              <w:rPr>
                <w:sz w:val="12"/>
                <w:szCs w:val="12"/>
              </w:rPr>
            </w:pPr>
            <w:r>
              <w:rPr>
                <w:sz w:val="12"/>
                <w:szCs w:val="12"/>
                <w:b/>
                <w:bCs/>
                <w:spacing w:val="-3"/>
              </w:rPr>
              <w:t>消杀预防</w:t>
            </w:r>
          </w:p>
          <w:p>
            <w:pPr>
              <w:pStyle w:val="TableText"/>
              <w:ind w:left="31"/>
              <w:spacing w:before="17" w:line="220" w:lineRule="auto"/>
              <w:rPr>
                <w:sz w:val="12"/>
                <w:szCs w:val="12"/>
              </w:rPr>
            </w:pPr>
            <w:r>
              <w:rPr>
                <w:sz w:val="12"/>
                <w:szCs w:val="12"/>
                <w:b/>
                <w:bCs/>
                <w:spacing w:val="-3"/>
              </w:rPr>
              <w:t>及病虫害</w:t>
            </w:r>
          </w:p>
          <w:p>
            <w:pPr>
              <w:pStyle w:val="TableText"/>
              <w:ind w:left="151"/>
              <w:spacing w:before="16" w:line="219" w:lineRule="auto"/>
              <w:rPr>
                <w:sz w:val="12"/>
                <w:szCs w:val="12"/>
              </w:rPr>
            </w:pPr>
            <w:r>
              <w:rPr>
                <w:sz w:val="12"/>
                <w:szCs w:val="12"/>
                <w:b/>
                <w:bCs/>
                <w:spacing w:val="-3"/>
              </w:rPr>
              <w:t>分类</w:t>
            </w:r>
          </w:p>
        </w:tc>
        <w:tc>
          <w:tcPr>
            <w:tcW w:w="929" w:type="dxa"/>
            <w:vAlign w:val="top"/>
            <w:tcBorders>
              <w:bottom w:val="single" w:color="000000" w:sz="2" w:space="0"/>
              <w:top w:val="single" w:color="000000" w:sz="2" w:space="0"/>
            </w:tcBorders>
          </w:tcPr>
          <w:p>
            <w:pPr>
              <w:pStyle w:val="TableText"/>
              <w:ind w:left="151"/>
              <w:spacing w:before="252" w:line="219" w:lineRule="auto"/>
              <w:rPr>
                <w:sz w:val="12"/>
                <w:szCs w:val="12"/>
              </w:rPr>
            </w:pPr>
            <w:r>
              <w:rPr>
                <w:sz w:val="12"/>
                <w:szCs w:val="12"/>
                <w:b/>
                <w:bCs/>
                <w:spacing w:val="-3"/>
              </w:rPr>
              <w:t>常见病虫害</w:t>
            </w:r>
          </w:p>
        </w:tc>
        <w:tc>
          <w:tcPr>
            <w:tcW w:w="2748" w:type="dxa"/>
            <w:vAlign w:val="top"/>
            <w:tcBorders>
              <w:bottom w:val="single" w:color="000000" w:sz="2" w:space="0"/>
              <w:top w:val="single" w:color="000000" w:sz="2" w:space="0"/>
            </w:tcBorders>
          </w:tcPr>
          <w:p>
            <w:pPr>
              <w:pStyle w:val="TableText"/>
              <w:ind w:left="12"/>
              <w:spacing w:before="252" w:line="219" w:lineRule="auto"/>
              <w:rPr>
                <w:sz w:val="12"/>
                <w:szCs w:val="12"/>
              </w:rPr>
            </w:pPr>
            <w:r>
              <w:rPr>
                <w:sz w:val="12"/>
                <w:szCs w:val="12"/>
                <w:b/>
                <w:bCs/>
                <w:spacing w:val="-3"/>
              </w:rPr>
              <w:t>主要发病月份</w:t>
            </w:r>
          </w:p>
        </w:tc>
        <w:tc>
          <w:tcPr>
            <w:tcW w:w="1119" w:type="dxa"/>
            <w:vAlign w:val="top"/>
            <w:tcBorders>
              <w:bottom w:val="single" w:color="000000" w:sz="2" w:space="0"/>
              <w:top w:val="single" w:color="000000" w:sz="2" w:space="0"/>
            </w:tcBorders>
          </w:tcPr>
          <w:p>
            <w:pPr>
              <w:pStyle w:val="TableText"/>
              <w:ind w:left="314"/>
              <w:spacing w:before="253" w:line="220" w:lineRule="auto"/>
              <w:rPr>
                <w:sz w:val="12"/>
                <w:szCs w:val="12"/>
              </w:rPr>
            </w:pPr>
            <w:r>
              <w:rPr>
                <w:sz w:val="12"/>
                <w:szCs w:val="12"/>
                <w:b/>
                <w:bCs/>
                <w:spacing w:val="-3"/>
              </w:rPr>
              <w:t>药品名称</w:t>
            </w:r>
          </w:p>
        </w:tc>
        <w:tc>
          <w:tcPr>
            <w:tcW w:w="2089" w:type="dxa"/>
            <w:vAlign w:val="top"/>
            <w:tcBorders>
              <w:bottom w:val="single" w:color="000000" w:sz="2" w:space="0"/>
              <w:top w:val="single" w:color="000000" w:sz="2" w:space="0"/>
            </w:tcBorders>
          </w:tcPr>
          <w:p>
            <w:pPr>
              <w:pStyle w:val="TableText"/>
              <w:ind w:left="795"/>
              <w:spacing w:before="253" w:line="220" w:lineRule="auto"/>
              <w:rPr>
                <w:sz w:val="12"/>
                <w:szCs w:val="12"/>
              </w:rPr>
            </w:pPr>
            <w:r>
              <w:rPr>
                <w:sz w:val="12"/>
                <w:szCs w:val="12"/>
                <w:b/>
                <w:bCs/>
                <w:spacing w:val="-3"/>
              </w:rPr>
              <w:t>主要成分</w:t>
            </w:r>
          </w:p>
        </w:tc>
        <w:tc>
          <w:tcPr>
            <w:tcW w:w="1329" w:type="dxa"/>
            <w:vAlign w:val="top"/>
            <w:tcBorders>
              <w:bottom w:val="single" w:color="000000" w:sz="2" w:space="0"/>
              <w:top w:val="single" w:color="000000" w:sz="2" w:space="0"/>
            </w:tcBorders>
          </w:tcPr>
          <w:p>
            <w:pPr>
              <w:pStyle w:val="TableText"/>
              <w:ind w:left="416"/>
              <w:spacing w:before="252" w:line="219" w:lineRule="auto"/>
              <w:rPr>
                <w:sz w:val="12"/>
                <w:szCs w:val="12"/>
              </w:rPr>
            </w:pPr>
            <w:r>
              <w:rPr>
                <w:sz w:val="12"/>
                <w:szCs w:val="12"/>
                <w:b/>
                <w:bCs/>
                <w:spacing w:val="-3"/>
              </w:rPr>
              <w:t>使用倍率</w:t>
            </w:r>
          </w:p>
        </w:tc>
        <w:tc>
          <w:tcPr>
            <w:tcW w:w="1529" w:type="dxa"/>
            <w:vAlign w:val="top"/>
            <w:tcBorders>
              <w:bottom w:val="single" w:color="000000" w:sz="2" w:space="0"/>
              <w:top w:val="single" w:color="000000" w:sz="2" w:space="0"/>
            </w:tcBorders>
          </w:tcPr>
          <w:p>
            <w:pPr>
              <w:pStyle w:val="TableText"/>
              <w:ind w:left="517"/>
              <w:spacing w:before="252" w:line="219" w:lineRule="auto"/>
              <w:rPr>
                <w:sz w:val="12"/>
                <w:szCs w:val="12"/>
              </w:rPr>
            </w:pPr>
            <w:r>
              <w:rPr>
                <w:sz w:val="12"/>
                <w:szCs w:val="12"/>
                <w:b/>
                <w:bCs/>
                <w:spacing w:val="-3"/>
              </w:rPr>
              <w:t>施用次数</w:t>
            </w:r>
          </w:p>
        </w:tc>
        <w:tc>
          <w:tcPr>
            <w:tcW w:w="729" w:type="dxa"/>
            <w:vAlign w:val="top"/>
            <w:tcBorders>
              <w:bottom w:val="single" w:color="000000" w:sz="2" w:space="0"/>
              <w:top w:val="single" w:color="000000" w:sz="2" w:space="0"/>
            </w:tcBorders>
          </w:tcPr>
          <w:p>
            <w:pPr>
              <w:pStyle w:val="TableText"/>
              <w:ind w:left="238"/>
              <w:spacing w:before="252" w:line="219" w:lineRule="auto"/>
              <w:rPr>
                <w:sz w:val="12"/>
                <w:szCs w:val="12"/>
              </w:rPr>
            </w:pPr>
            <w:r>
              <w:rPr>
                <w:sz w:val="12"/>
                <w:szCs w:val="12"/>
                <w:b/>
                <w:bCs/>
                <w:spacing w:val="-3"/>
              </w:rPr>
              <w:t>规格</w:t>
            </w:r>
          </w:p>
        </w:tc>
        <w:tc>
          <w:tcPr>
            <w:tcW w:w="2603" w:type="dxa"/>
            <w:vAlign w:val="top"/>
            <w:tcBorders>
              <w:bottom w:val="single" w:color="000000" w:sz="2" w:space="0"/>
              <w:top w:val="single" w:color="000000" w:sz="2" w:space="0"/>
            </w:tcBorders>
          </w:tcPr>
          <w:p>
            <w:pPr>
              <w:pStyle w:val="TableText"/>
              <w:ind w:left="1189"/>
              <w:spacing w:before="253" w:line="221" w:lineRule="auto"/>
              <w:rPr>
                <w:sz w:val="12"/>
                <w:szCs w:val="12"/>
              </w:rPr>
            </w:pPr>
            <w:r>
              <w:rPr>
                <w:sz w:val="12"/>
                <w:szCs w:val="12"/>
                <w:b/>
                <w:bCs/>
                <w:spacing w:val="-3"/>
              </w:rPr>
              <w:t>备注</w:t>
            </w:r>
          </w:p>
        </w:tc>
      </w:tr>
      <w:tr>
        <w:trPr>
          <w:trHeight w:val="504" w:hRule="atLeast"/>
        </w:trPr>
        <w:tc>
          <w:tcPr>
            <w:tcW w:w="425"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4"/>
              <w:spacing w:before="39" w:line="218" w:lineRule="auto"/>
              <w:rPr>
                <w:sz w:val="12"/>
                <w:szCs w:val="12"/>
              </w:rPr>
            </w:pPr>
            <w:r>
              <w:rPr>
                <w:sz w:val="12"/>
                <w:szCs w:val="12"/>
                <w:spacing w:val="-2"/>
              </w:rPr>
              <w:t>杀虫剂</w:t>
            </w:r>
          </w:p>
        </w:tc>
        <w:tc>
          <w:tcPr>
            <w:tcW w:w="560" w:type="dxa"/>
            <w:vAlign w:val="top"/>
            <w:vMerge w:val="restart"/>
            <w:tcBorders>
              <w:bottom w:val="nil"/>
              <w:top w:val="single" w:color="000000" w:sz="2" w:space="0"/>
            </w:tcBorders>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30"/>
              <w:spacing w:before="39" w:line="219" w:lineRule="auto"/>
              <w:rPr>
                <w:sz w:val="12"/>
                <w:szCs w:val="12"/>
              </w:rPr>
            </w:pPr>
            <w:r>
              <w:rPr>
                <w:sz w:val="12"/>
                <w:szCs w:val="12"/>
                <w:spacing w:val="-1"/>
              </w:rPr>
              <w:t>刺吸害虫</w:t>
            </w:r>
          </w:p>
        </w:tc>
        <w:tc>
          <w:tcPr>
            <w:tcW w:w="929" w:type="dxa"/>
            <w:vAlign w:val="top"/>
            <w:vMerge w:val="restart"/>
            <w:tcBorders>
              <w:bottom w:val="nil"/>
              <w:top w:val="single" w:color="000000" w:sz="2" w:space="0"/>
            </w:tcBorders>
          </w:tcPr>
          <w:p>
            <w:pPr>
              <w:spacing w:line="477" w:lineRule="auto"/>
              <w:rPr>
                <w:rFonts w:ascii="Arial"/>
                <w:sz w:val="21"/>
              </w:rPr>
            </w:pPr>
            <w:r/>
          </w:p>
          <w:p>
            <w:pPr>
              <w:pStyle w:val="TableText"/>
              <w:ind w:left="10" w:right="53" w:firstLine="19"/>
              <w:spacing w:before="39" w:line="233" w:lineRule="auto"/>
              <w:rPr>
                <w:sz w:val="12"/>
                <w:szCs w:val="12"/>
              </w:rPr>
            </w:pPr>
            <w:r>
              <w:rPr>
                <w:sz w:val="12"/>
                <w:szCs w:val="12"/>
                <w:spacing w:val="-1"/>
              </w:rPr>
              <w:t>介壳虫、红蝴蛛</w:t>
            </w:r>
            <w:r>
              <w:rPr>
                <w:sz w:val="12"/>
                <w:szCs w:val="12"/>
                <w:spacing w:val="1"/>
              </w:rPr>
              <w:t xml:space="preserve"> </w:t>
            </w:r>
            <w:r>
              <w:rPr>
                <w:sz w:val="12"/>
                <w:szCs w:val="12"/>
                <w:spacing w:val="-3"/>
              </w:rPr>
              <w:t>、前马、飞乱等</w:t>
            </w:r>
          </w:p>
        </w:tc>
        <w:tc>
          <w:tcPr>
            <w:tcW w:w="2748" w:type="dxa"/>
            <w:vAlign w:val="top"/>
            <w:vMerge w:val="restart"/>
            <w:tcBorders>
              <w:bottom w:val="nil"/>
              <w:top w:val="single" w:color="000000" w:sz="2" w:space="0"/>
            </w:tcBorders>
          </w:tcPr>
          <w:p>
            <w:pPr>
              <w:spacing w:line="347" w:lineRule="auto"/>
              <w:rPr>
                <w:rFonts w:ascii="Arial"/>
                <w:sz w:val="21"/>
              </w:rPr>
            </w:pPr>
            <w:r/>
          </w:p>
          <w:p>
            <w:pPr>
              <w:pStyle w:val="TableText"/>
              <w:ind w:left="11" w:right="160"/>
              <w:spacing w:before="39" w:line="212" w:lineRule="auto"/>
              <w:rPr>
                <w:sz w:val="12"/>
                <w:szCs w:val="12"/>
              </w:rPr>
            </w:pPr>
            <w:r>
              <w:rPr>
                <w:sz w:val="12"/>
                <w:szCs w:val="12"/>
                <w:spacing w:val="-1"/>
              </w:rPr>
              <w:t>一、4,9月己经有成虫出现，配合春季消杀，预防</w:t>
            </w:r>
            <w:r>
              <w:rPr>
                <w:sz w:val="12"/>
                <w:szCs w:val="12"/>
                <w:spacing w:val="8"/>
              </w:rPr>
              <w:t xml:space="preserve"> </w:t>
            </w:r>
            <w:r>
              <w:rPr>
                <w:sz w:val="12"/>
                <w:szCs w:val="12"/>
                <w:spacing w:val="-4"/>
              </w:rPr>
              <w:t>为</w:t>
            </w:r>
            <w:r>
              <w:rPr>
                <w:sz w:val="12"/>
                <w:szCs w:val="12"/>
                <w:spacing w:val="-8"/>
              </w:rPr>
              <w:t xml:space="preserve"> </w:t>
            </w:r>
            <w:r>
              <w:rPr>
                <w:sz w:val="12"/>
                <w:szCs w:val="12"/>
                <w:spacing w:val="-4"/>
              </w:rPr>
              <w:t>主</w:t>
            </w:r>
            <w:r>
              <w:rPr>
                <w:sz w:val="12"/>
                <w:szCs w:val="12"/>
                <w:spacing w:val="-13"/>
              </w:rPr>
              <w:t xml:space="preserve"> </w:t>
            </w:r>
            <w:r>
              <w:rPr>
                <w:sz w:val="12"/>
                <w:szCs w:val="12"/>
                <w:spacing w:val="-4"/>
              </w:rPr>
              <w:t>；</w:t>
            </w:r>
          </w:p>
          <w:p>
            <w:pPr>
              <w:pStyle w:val="TableText"/>
              <w:ind w:left="11" w:right="93"/>
              <w:spacing w:before="4" w:line="243" w:lineRule="auto"/>
              <w:rPr>
                <w:sz w:val="12"/>
                <w:szCs w:val="12"/>
              </w:rPr>
            </w:pPr>
            <w:r>
              <w:rPr>
                <w:sz w:val="12"/>
                <w:szCs w:val="12"/>
                <w:spacing w:val="-1"/>
              </w:rPr>
              <w:t>二，5-10月为零星出现，有发现病情，及时喷药处</w:t>
            </w:r>
            <w:r>
              <w:rPr>
                <w:sz w:val="12"/>
                <w:szCs w:val="12"/>
                <w:spacing w:val="16"/>
              </w:rPr>
              <w:t xml:space="preserve"> </w:t>
            </w:r>
            <w:r>
              <w:rPr>
                <w:sz w:val="12"/>
                <w:szCs w:val="12"/>
                <w:spacing w:val="-1"/>
              </w:rPr>
              <w:t>理。</w:t>
            </w:r>
          </w:p>
        </w:tc>
        <w:tc>
          <w:tcPr>
            <w:tcW w:w="1119" w:type="dxa"/>
            <w:vAlign w:val="top"/>
            <w:tcBorders>
              <w:bottom w:val="single" w:color="000000" w:sz="2" w:space="0"/>
              <w:top w:val="single" w:color="000000" w:sz="2" w:space="0"/>
            </w:tcBorders>
          </w:tcPr>
          <w:p>
            <w:pPr>
              <w:pStyle w:val="TableText"/>
              <w:ind w:left="253"/>
              <w:spacing w:before="189" w:line="219" w:lineRule="auto"/>
              <w:rPr>
                <w:sz w:val="12"/>
                <w:szCs w:val="12"/>
              </w:rPr>
            </w:pPr>
            <w:r>
              <w:rPr>
                <w:sz w:val="12"/>
                <w:szCs w:val="12"/>
                <w:spacing w:val="2"/>
              </w:rPr>
              <w:t>国光蚧必治</w:t>
            </w:r>
          </w:p>
        </w:tc>
        <w:tc>
          <w:tcPr>
            <w:tcW w:w="2089" w:type="dxa"/>
            <w:vAlign w:val="top"/>
            <w:tcBorders>
              <w:bottom w:val="single" w:color="000000" w:sz="2" w:space="0"/>
              <w:top w:val="single" w:color="000000" w:sz="2" w:space="0"/>
            </w:tcBorders>
          </w:tcPr>
          <w:p>
            <w:pPr>
              <w:pStyle w:val="TableText"/>
              <w:ind w:left="433"/>
              <w:spacing w:before="189" w:line="219" w:lineRule="auto"/>
              <w:rPr>
                <w:sz w:val="12"/>
                <w:szCs w:val="12"/>
              </w:rPr>
            </w:pPr>
            <w:r>
              <w:rPr>
                <w:sz w:val="12"/>
                <w:szCs w:val="12"/>
                <w:spacing w:val="-1"/>
              </w:rPr>
              <w:t>40%啶虫眯.毒死婢乳油</w:t>
            </w:r>
          </w:p>
        </w:tc>
        <w:tc>
          <w:tcPr>
            <w:tcW w:w="1329" w:type="dxa"/>
            <w:vAlign w:val="top"/>
            <w:tcBorders>
              <w:bottom w:val="single" w:color="000000" w:sz="2" w:space="0"/>
              <w:top w:val="single" w:color="000000" w:sz="2" w:space="0"/>
            </w:tcBorders>
          </w:tcPr>
          <w:p>
            <w:pPr>
              <w:pStyle w:val="TableText"/>
              <w:ind w:left="175"/>
              <w:spacing w:before="189" w:line="219" w:lineRule="auto"/>
              <w:rPr>
                <w:sz w:val="12"/>
                <w:szCs w:val="12"/>
              </w:rPr>
            </w:pPr>
            <w:r>
              <w:rPr>
                <w:sz w:val="12"/>
                <w:szCs w:val="12"/>
                <w:spacing w:val="-1"/>
              </w:rPr>
              <w:t>稀释600-1000倍液</w:t>
            </w:r>
          </w:p>
        </w:tc>
        <w:tc>
          <w:tcPr>
            <w:tcW w:w="1529" w:type="dxa"/>
            <w:vAlign w:val="top"/>
            <w:tcBorders>
              <w:bottom w:val="single" w:color="000000" w:sz="2" w:space="0"/>
              <w:top w:val="single" w:color="000000" w:sz="2" w:space="0"/>
            </w:tcBorders>
          </w:tcPr>
          <w:p>
            <w:pPr>
              <w:pStyle w:val="TableText"/>
              <w:ind w:left="35" w:right="49"/>
              <w:spacing w:before="119" w:line="248" w:lineRule="auto"/>
              <w:rPr>
                <w:sz w:val="12"/>
                <w:szCs w:val="12"/>
              </w:rPr>
            </w:pPr>
            <w:r>
              <w:rPr>
                <w:sz w:val="12"/>
                <w:szCs w:val="12"/>
                <w:spacing w:val="-1"/>
              </w:rPr>
              <w:t>一般用3次，时间间隔7到10</w:t>
            </w:r>
            <w:r>
              <w:rPr>
                <w:sz w:val="12"/>
                <w:szCs w:val="12"/>
                <w:spacing w:val="6"/>
              </w:rPr>
              <w:t xml:space="preserve"> </w:t>
            </w:r>
            <w:r>
              <w:rPr>
                <w:sz w:val="12"/>
                <w:szCs w:val="12"/>
                <w:spacing w:val="-1"/>
              </w:rPr>
              <w:t>天，视现场情况可增加次数</w:t>
            </w:r>
          </w:p>
        </w:tc>
        <w:tc>
          <w:tcPr>
            <w:tcW w:w="729" w:type="dxa"/>
            <w:vAlign w:val="top"/>
            <w:tcBorders>
              <w:bottom w:val="single" w:color="000000" w:sz="2" w:space="0"/>
              <w:top w:val="single" w:color="000000" w:sz="2" w:space="0"/>
            </w:tcBorders>
          </w:tcPr>
          <w:p>
            <w:pPr>
              <w:pStyle w:val="TableText"/>
              <w:ind w:left="86"/>
              <w:spacing w:before="186" w:line="213" w:lineRule="auto"/>
              <w:rPr>
                <w:sz w:val="12"/>
                <w:szCs w:val="12"/>
              </w:rPr>
            </w:pPr>
            <w:r>
              <w:rPr>
                <w:sz w:val="12"/>
                <w:szCs w:val="12"/>
                <w:spacing w:val="3"/>
              </w:rPr>
              <w:t>(200g/瓶)</w:t>
            </w:r>
          </w:p>
        </w:tc>
        <w:tc>
          <w:tcPr>
            <w:tcW w:w="2603" w:type="dxa"/>
            <w:vAlign w:val="top"/>
            <w:tcBorders>
              <w:bottom w:val="single" w:color="000000" w:sz="2" w:space="0"/>
              <w:top w:val="single" w:color="000000" w:sz="2" w:space="0"/>
            </w:tcBorders>
          </w:tcPr>
          <w:p>
            <w:pPr>
              <w:pStyle w:val="TableText"/>
              <w:ind w:left="17"/>
              <w:spacing w:before="189" w:line="218" w:lineRule="auto"/>
              <w:rPr>
                <w:sz w:val="12"/>
                <w:szCs w:val="12"/>
              </w:rPr>
            </w:pPr>
            <w:r>
              <w:rPr>
                <w:sz w:val="12"/>
                <w:szCs w:val="12"/>
                <w:spacing w:val="-1"/>
              </w:rPr>
              <w:t>专杀介壳虫，食叶类害虫，地下害虫</w:t>
            </w:r>
          </w:p>
        </w:tc>
      </w:tr>
      <w:tr>
        <w:trPr>
          <w:trHeight w:val="39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40" w:line="220" w:lineRule="auto"/>
              <w:rPr>
                <w:sz w:val="12"/>
                <w:szCs w:val="12"/>
              </w:rPr>
            </w:pPr>
            <w:r>
              <w:rPr>
                <w:sz w:val="12"/>
                <w:szCs w:val="12"/>
                <w:spacing w:val="1"/>
              </w:rPr>
              <w:t>中威捕捉手</w:t>
            </w:r>
          </w:p>
        </w:tc>
        <w:tc>
          <w:tcPr>
            <w:tcW w:w="2089" w:type="dxa"/>
            <w:vAlign w:val="top"/>
            <w:tcBorders>
              <w:bottom w:val="single" w:color="000000" w:sz="2" w:space="0"/>
              <w:top w:val="single" w:color="000000" w:sz="2" w:space="0"/>
            </w:tcBorders>
          </w:tcPr>
          <w:p>
            <w:pPr>
              <w:pStyle w:val="TableText"/>
              <w:ind w:left="584"/>
              <w:spacing w:before="140" w:line="218" w:lineRule="auto"/>
              <w:rPr>
                <w:sz w:val="12"/>
                <w:szCs w:val="12"/>
              </w:rPr>
            </w:pPr>
            <w:r>
              <w:rPr>
                <w:sz w:val="12"/>
                <w:szCs w:val="12"/>
                <w:spacing w:val="-6"/>
              </w:rPr>
              <w:t>高氧</w:t>
            </w:r>
            <w:r>
              <w:rPr>
                <w:sz w:val="12"/>
                <w:szCs w:val="12"/>
                <w:spacing w:val="-15"/>
              </w:rPr>
              <w:t xml:space="preserve"> </w:t>
            </w:r>
            <w:r>
              <w:rPr>
                <w:sz w:val="12"/>
                <w:szCs w:val="12"/>
                <w:spacing w:val="-6"/>
              </w:rPr>
              <w:t>·毒死蜂15%</w:t>
            </w:r>
          </w:p>
        </w:tc>
        <w:tc>
          <w:tcPr>
            <w:tcW w:w="1329" w:type="dxa"/>
            <w:vAlign w:val="top"/>
            <w:tcBorders>
              <w:bottom w:val="single" w:color="000000" w:sz="2" w:space="0"/>
              <w:top w:val="single" w:color="000000" w:sz="2" w:space="0"/>
            </w:tcBorders>
          </w:tcPr>
          <w:p>
            <w:pPr>
              <w:pStyle w:val="TableText"/>
              <w:ind w:left="265"/>
              <w:spacing w:before="140" w:line="220" w:lineRule="auto"/>
              <w:rPr>
                <w:sz w:val="12"/>
                <w:szCs w:val="12"/>
              </w:rPr>
            </w:pPr>
            <w:r>
              <w:rPr>
                <w:sz w:val="12"/>
                <w:szCs w:val="12"/>
                <w:spacing w:val="-2"/>
              </w:rPr>
              <w:t>1000-1500倍液</w:t>
            </w:r>
          </w:p>
        </w:tc>
        <w:tc>
          <w:tcPr>
            <w:tcW w:w="1529" w:type="dxa"/>
            <w:vAlign w:val="top"/>
            <w:vMerge w:val="restart"/>
            <w:tcBorders>
              <w:bottom w:val="nil"/>
              <w:top w:val="single" w:color="000000" w:sz="2" w:space="0"/>
            </w:tcBorders>
          </w:tcPr>
          <w:p>
            <w:pPr>
              <w:pStyle w:val="TableText"/>
              <w:ind w:left="35" w:right="49"/>
              <w:spacing w:before="270" w:line="232" w:lineRule="auto"/>
              <w:rPr>
                <w:sz w:val="12"/>
                <w:szCs w:val="12"/>
              </w:rPr>
            </w:pPr>
            <w:r>
              <w:rPr>
                <w:sz w:val="12"/>
                <w:szCs w:val="12"/>
                <w:spacing w:val="-1"/>
              </w:rPr>
              <w:t>一般用3次，时间间隔7到10</w:t>
            </w:r>
            <w:r>
              <w:rPr>
                <w:sz w:val="12"/>
                <w:szCs w:val="12"/>
                <w:spacing w:val="6"/>
              </w:rPr>
              <w:t xml:space="preserve"> </w:t>
            </w:r>
            <w:r>
              <w:rPr>
                <w:sz w:val="12"/>
                <w:szCs w:val="12"/>
                <w:spacing w:val="-1"/>
              </w:rPr>
              <w:t>天，视现场情况可增加次数</w:t>
            </w:r>
          </w:p>
        </w:tc>
        <w:tc>
          <w:tcPr>
            <w:tcW w:w="729" w:type="dxa"/>
            <w:vAlign w:val="top"/>
            <w:tcBorders>
              <w:bottom w:val="single" w:color="000000" w:sz="2" w:space="0"/>
              <w:top w:val="single" w:color="000000" w:sz="2" w:space="0"/>
            </w:tcBorders>
          </w:tcPr>
          <w:p>
            <w:pPr>
              <w:pStyle w:val="TableText"/>
              <w:ind w:left="266" w:right="177" w:hanging="119"/>
              <w:spacing w:before="71" w:line="232"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140" w:line="219" w:lineRule="auto"/>
              <w:rPr>
                <w:sz w:val="12"/>
                <w:szCs w:val="12"/>
              </w:rPr>
            </w:pPr>
            <w:r>
              <w:rPr>
                <w:sz w:val="12"/>
                <w:szCs w:val="12"/>
                <w:spacing w:val="-1"/>
              </w:rPr>
              <w:t>主要防治蛾壳虫，班潜蝇及鳞翅目幼虫，飞函等</w:t>
            </w:r>
          </w:p>
        </w:tc>
      </w:tr>
      <w:tr>
        <w:trPr>
          <w:trHeight w:val="41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93"/>
              <w:spacing w:before="150" w:line="218" w:lineRule="auto"/>
              <w:rPr>
                <w:sz w:val="12"/>
                <w:szCs w:val="12"/>
              </w:rPr>
            </w:pPr>
            <w:r>
              <w:rPr>
                <w:sz w:val="12"/>
                <w:szCs w:val="12"/>
                <w:spacing w:val="-1"/>
              </w:rPr>
              <w:t>诺普信速介清</w:t>
            </w:r>
          </w:p>
        </w:tc>
        <w:tc>
          <w:tcPr>
            <w:tcW w:w="2089" w:type="dxa"/>
            <w:vAlign w:val="top"/>
            <w:tcBorders>
              <w:bottom w:val="single" w:color="000000" w:sz="2" w:space="0"/>
              <w:top w:val="single" w:color="000000" w:sz="2" w:space="0"/>
            </w:tcBorders>
          </w:tcPr>
          <w:p>
            <w:pPr>
              <w:pStyle w:val="TableText"/>
              <w:ind w:left="764"/>
              <w:spacing w:before="150" w:line="219" w:lineRule="auto"/>
              <w:rPr>
                <w:sz w:val="12"/>
                <w:szCs w:val="12"/>
              </w:rPr>
            </w:pPr>
            <w:r>
              <w:rPr>
                <w:sz w:val="12"/>
                <w:szCs w:val="12"/>
                <w:spacing w:val="-2"/>
              </w:rPr>
              <w:t>杀扑磷40%</w:t>
            </w:r>
          </w:p>
        </w:tc>
        <w:tc>
          <w:tcPr>
            <w:tcW w:w="1329" w:type="dxa"/>
            <w:vAlign w:val="top"/>
            <w:tcBorders>
              <w:bottom w:val="single" w:color="000000" w:sz="2" w:space="0"/>
              <w:top w:val="single" w:color="000000" w:sz="2" w:space="0"/>
            </w:tcBorders>
          </w:tcPr>
          <w:p>
            <w:pPr>
              <w:pStyle w:val="TableText"/>
              <w:ind w:left="325"/>
              <w:spacing w:before="151" w:line="220" w:lineRule="auto"/>
              <w:rPr>
                <w:sz w:val="12"/>
                <w:szCs w:val="12"/>
              </w:rPr>
            </w:pPr>
            <w:r>
              <w:rPr>
                <w:sz w:val="12"/>
                <w:szCs w:val="12"/>
                <w:spacing w:val="-5"/>
              </w:rPr>
              <w:t>1000—1500倍</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51" w:line="221" w:lineRule="auto"/>
              <w:rPr>
                <w:sz w:val="12"/>
                <w:szCs w:val="12"/>
              </w:rPr>
            </w:pPr>
            <w:r>
              <w:rPr>
                <w:sz w:val="12"/>
                <w:szCs w:val="12"/>
                <w:spacing w:val="-2"/>
              </w:rPr>
              <w:t>1000s1/瓶</w:t>
            </w:r>
          </w:p>
        </w:tc>
        <w:tc>
          <w:tcPr>
            <w:tcW w:w="2603" w:type="dxa"/>
            <w:vAlign w:val="top"/>
            <w:tcBorders>
              <w:bottom w:val="single" w:color="000000" w:sz="2" w:space="0"/>
              <w:top w:val="single" w:color="000000" w:sz="2" w:space="0"/>
            </w:tcBorders>
          </w:tcPr>
          <w:p>
            <w:pPr>
              <w:pStyle w:val="TableText"/>
              <w:ind w:left="17"/>
              <w:spacing w:before="150" w:line="218" w:lineRule="auto"/>
              <w:rPr>
                <w:sz w:val="12"/>
                <w:szCs w:val="12"/>
              </w:rPr>
            </w:pPr>
            <w:r>
              <w:rPr>
                <w:sz w:val="12"/>
                <w:szCs w:val="12"/>
                <w:spacing w:val="-1"/>
              </w:rPr>
              <w:t>杀灭介壳虫，活性高</w:t>
            </w:r>
          </w:p>
        </w:tc>
      </w:tr>
      <w:tr>
        <w:trPr>
          <w:trHeight w:val="39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restart"/>
            <w:tcBorders>
              <w:bottom w:val="nil"/>
              <w:top w:val="single" w:color="000000" w:sz="2" w:space="0"/>
            </w:tcBorders>
          </w:tcPr>
          <w:p>
            <w:pPr>
              <w:spacing w:line="279" w:lineRule="auto"/>
              <w:rPr>
                <w:rFonts w:ascii="Arial"/>
                <w:sz w:val="21"/>
              </w:rPr>
            </w:pPr>
            <w:r/>
          </w:p>
          <w:p>
            <w:pPr>
              <w:spacing w:line="279" w:lineRule="auto"/>
              <w:rPr>
                <w:rFonts w:ascii="Arial"/>
                <w:sz w:val="21"/>
              </w:rPr>
            </w:pPr>
            <w:r/>
          </w:p>
          <w:p>
            <w:pPr>
              <w:pStyle w:val="TableText"/>
              <w:spacing w:before="39" w:line="219" w:lineRule="auto"/>
              <w:jc w:val="right"/>
              <w:rPr>
                <w:sz w:val="12"/>
                <w:szCs w:val="12"/>
              </w:rPr>
            </w:pPr>
            <w:r>
              <w:rPr>
                <w:sz w:val="12"/>
                <w:szCs w:val="12"/>
                <w:spacing w:val="6"/>
              </w:rPr>
              <w:t>蚜虫、红蝴蛛、</w:t>
            </w:r>
          </w:p>
          <w:p>
            <w:pPr>
              <w:pStyle w:val="TableText"/>
              <w:ind w:left="30"/>
              <w:spacing w:before="17" w:line="200" w:lineRule="auto"/>
              <w:rPr>
                <w:sz w:val="12"/>
                <w:szCs w:val="12"/>
              </w:rPr>
            </w:pPr>
            <w:r>
              <w:rPr>
                <w:sz w:val="12"/>
                <w:szCs w:val="12"/>
                <w:spacing w:val="-1"/>
              </w:rPr>
              <w:t>大青叶蝉、方翅</w:t>
            </w:r>
          </w:p>
          <w:p>
            <w:pPr>
              <w:pStyle w:val="TableText"/>
              <w:ind w:left="270"/>
              <w:spacing w:line="219" w:lineRule="auto"/>
              <w:rPr>
                <w:sz w:val="12"/>
                <w:szCs w:val="12"/>
              </w:rPr>
            </w:pPr>
            <w:r>
              <w:rPr>
                <w:sz w:val="12"/>
                <w:szCs w:val="12"/>
                <w:spacing w:val="-4"/>
              </w:rPr>
              <w:t>网蝽等</w:t>
            </w:r>
          </w:p>
        </w:tc>
        <w:tc>
          <w:tcPr>
            <w:tcW w:w="2748" w:type="dxa"/>
            <w:vAlign w:val="top"/>
            <w:vMerge w:val="restart"/>
            <w:tcBorders>
              <w:bottom w:val="nil"/>
              <w:top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pStyle w:val="TableText"/>
              <w:ind w:left="11" w:right="44"/>
              <w:spacing w:before="39" w:line="223"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spacing w:val="7"/>
              </w:rPr>
              <w:t>区消杀虫卵、蛹；</w:t>
            </w:r>
          </w:p>
          <w:p>
            <w:pPr>
              <w:pStyle w:val="TableText"/>
              <w:ind w:left="11" w:right="33"/>
              <w:spacing w:line="225" w:lineRule="auto"/>
              <w:rPr>
                <w:sz w:val="12"/>
                <w:szCs w:val="12"/>
              </w:rPr>
            </w:pPr>
            <w:r>
              <w:rPr>
                <w:sz w:val="12"/>
                <w:szCs w:val="12"/>
                <w:spacing w:val="-1"/>
              </w:rPr>
              <w:t>二、6月-9月是大部分害虫成蛹或羽化期，采取人工</w:t>
            </w:r>
            <w:r>
              <w:rPr>
                <w:sz w:val="12"/>
                <w:szCs w:val="12"/>
                <w:spacing w:val="16"/>
              </w:rPr>
              <w:t xml:space="preserve"> </w:t>
            </w:r>
            <w:r>
              <w:rPr>
                <w:sz w:val="12"/>
                <w:szCs w:val="12"/>
                <w:spacing w:val="-1"/>
              </w:rPr>
              <w:t>加药物双重泊疗除卵，除蛹，除成虫。</w:t>
            </w:r>
          </w:p>
        </w:tc>
        <w:tc>
          <w:tcPr>
            <w:tcW w:w="1119" w:type="dxa"/>
            <w:vAlign w:val="top"/>
            <w:tcBorders>
              <w:bottom w:val="single" w:color="000000" w:sz="2" w:space="0"/>
              <w:top w:val="single" w:color="000000" w:sz="2" w:space="0"/>
            </w:tcBorders>
          </w:tcPr>
          <w:p>
            <w:pPr>
              <w:pStyle w:val="TableText"/>
              <w:ind w:left="313"/>
              <w:spacing w:before="141" w:line="219" w:lineRule="auto"/>
              <w:rPr>
                <w:sz w:val="12"/>
                <w:szCs w:val="12"/>
              </w:rPr>
            </w:pPr>
            <w:r>
              <w:rPr>
                <w:sz w:val="12"/>
                <w:szCs w:val="12"/>
                <w:spacing w:val="1"/>
              </w:rPr>
              <w:t>国光红杀</w:t>
            </w:r>
          </w:p>
        </w:tc>
        <w:tc>
          <w:tcPr>
            <w:tcW w:w="2089" w:type="dxa"/>
            <w:vAlign w:val="top"/>
            <w:tcBorders>
              <w:bottom w:val="single" w:color="000000" w:sz="2" w:space="0"/>
              <w:top w:val="single" w:color="000000" w:sz="2" w:space="0"/>
            </w:tcBorders>
          </w:tcPr>
          <w:p>
            <w:pPr>
              <w:pStyle w:val="TableText"/>
              <w:ind w:left="314"/>
              <w:spacing w:before="141" w:line="218" w:lineRule="auto"/>
              <w:rPr>
                <w:sz w:val="12"/>
                <w:szCs w:val="12"/>
              </w:rPr>
            </w:pPr>
            <w:r>
              <w:rPr>
                <w:sz w:val="12"/>
                <w:szCs w:val="12"/>
                <w:spacing w:val="-1"/>
              </w:rPr>
              <w:t>苯丁锡和哒螨灵的复配制剂</w:t>
            </w:r>
          </w:p>
        </w:tc>
        <w:tc>
          <w:tcPr>
            <w:tcW w:w="1329" w:type="dxa"/>
            <w:vAlign w:val="top"/>
            <w:tcBorders>
              <w:bottom w:val="single" w:color="000000" w:sz="2" w:space="0"/>
              <w:top w:val="single" w:color="000000" w:sz="2" w:space="0"/>
            </w:tcBorders>
          </w:tcPr>
          <w:p>
            <w:pPr>
              <w:pStyle w:val="TableText"/>
              <w:ind w:left="145"/>
              <w:spacing w:before="141" w:line="219" w:lineRule="auto"/>
              <w:rPr>
                <w:sz w:val="12"/>
                <w:szCs w:val="12"/>
              </w:rPr>
            </w:pPr>
            <w:r>
              <w:rPr>
                <w:sz w:val="12"/>
                <w:szCs w:val="12"/>
                <w:spacing w:val="-1"/>
              </w:rPr>
              <w:t>稀释1500-2000倍液</w:t>
            </w:r>
          </w:p>
        </w:tc>
        <w:tc>
          <w:tcPr>
            <w:tcW w:w="1529" w:type="dxa"/>
            <w:vAlign w:val="top"/>
            <w:tcBorders>
              <w:bottom w:val="single" w:color="000000" w:sz="2" w:space="0"/>
              <w:top w:val="single" w:color="000000" w:sz="2" w:space="0"/>
            </w:tcBorders>
          </w:tcPr>
          <w:p>
            <w:pPr>
              <w:pStyle w:val="TableText"/>
              <w:ind w:left="426"/>
              <w:spacing w:before="141" w:line="219" w:lineRule="auto"/>
              <w:rPr>
                <w:sz w:val="12"/>
                <w:szCs w:val="12"/>
              </w:rPr>
            </w:pPr>
            <w:r>
              <w:rPr>
                <w:sz w:val="12"/>
                <w:szCs w:val="12"/>
                <w:spacing w:val="-1"/>
              </w:rPr>
              <w:t>一般用1-2次</w:t>
            </w:r>
          </w:p>
        </w:tc>
        <w:tc>
          <w:tcPr>
            <w:tcW w:w="729" w:type="dxa"/>
            <w:vAlign w:val="top"/>
            <w:tcBorders>
              <w:bottom w:val="single" w:color="000000" w:sz="2" w:space="0"/>
              <w:top w:val="single" w:color="000000" w:sz="2" w:space="0"/>
            </w:tcBorders>
          </w:tcPr>
          <w:p>
            <w:pPr>
              <w:pStyle w:val="TableText"/>
              <w:ind w:left="266" w:right="137" w:hanging="79"/>
              <w:spacing w:before="73" w:line="232"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141" w:line="218" w:lineRule="auto"/>
              <w:rPr>
                <w:sz w:val="12"/>
                <w:szCs w:val="12"/>
              </w:rPr>
            </w:pPr>
            <w:r>
              <w:rPr>
                <w:sz w:val="12"/>
                <w:szCs w:val="12"/>
                <w:spacing w:val="-1"/>
              </w:rPr>
              <w:t>高效广谱杀蜻剂，防效高、持效期长</w:t>
            </w:r>
          </w:p>
        </w:tc>
      </w:tr>
      <w:tr>
        <w:trPr>
          <w:trHeight w:val="38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93"/>
              <w:spacing w:before="132" w:line="219" w:lineRule="auto"/>
              <w:rPr>
                <w:sz w:val="12"/>
                <w:szCs w:val="12"/>
              </w:rPr>
            </w:pPr>
            <w:r>
              <w:rPr>
                <w:sz w:val="12"/>
                <w:szCs w:val="12"/>
                <w:spacing w:val="-1"/>
              </w:rPr>
              <w:t>诺普信清毕净</w:t>
            </w:r>
          </w:p>
        </w:tc>
        <w:tc>
          <w:tcPr>
            <w:tcW w:w="2089" w:type="dxa"/>
            <w:vAlign w:val="top"/>
            <w:tcBorders>
              <w:bottom w:val="single" w:color="000000" w:sz="2" w:space="0"/>
              <w:top w:val="single" w:color="000000" w:sz="2" w:space="0"/>
            </w:tcBorders>
          </w:tcPr>
          <w:p>
            <w:pPr>
              <w:pStyle w:val="TableText"/>
              <w:ind w:left="343"/>
              <w:spacing w:before="132" w:line="219" w:lineRule="auto"/>
              <w:rPr>
                <w:sz w:val="12"/>
                <w:szCs w:val="12"/>
              </w:rPr>
            </w:pPr>
            <w:r>
              <w:rPr>
                <w:sz w:val="12"/>
                <w:szCs w:val="12"/>
                <w:spacing w:val="-6"/>
              </w:rPr>
              <w:t>阿维菌素 ·</w:t>
            </w:r>
            <w:r>
              <w:rPr>
                <w:sz w:val="12"/>
                <w:szCs w:val="12"/>
                <w:spacing w:val="-40"/>
              </w:rPr>
              <w:t xml:space="preserve"> </w:t>
            </w:r>
            <w:r>
              <w:rPr>
                <w:sz w:val="12"/>
                <w:szCs w:val="12"/>
                <w:spacing w:val="-6"/>
              </w:rPr>
              <w:t>甲佩菊酯1.80%</w:t>
            </w:r>
          </w:p>
        </w:tc>
        <w:tc>
          <w:tcPr>
            <w:tcW w:w="1329" w:type="dxa"/>
            <w:vAlign w:val="top"/>
            <w:tcBorders>
              <w:bottom w:val="single" w:color="000000" w:sz="2" w:space="0"/>
              <w:top w:val="single" w:color="000000" w:sz="2" w:space="0"/>
            </w:tcBorders>
          </w:tcPr>
          <w:p>
            <w:pPr>
              <w:pStyle w:val="TableText"/>
              <w:ind w:left="355"/>
              <w:spacing w:before="132" w:line="220" w:lineRule="auto"/>
              <w:rPr>
                <w:sz w:val="12"/>
                <w:szCs w:val="12"/>
              </w:rPr>
            </w:pPr>
            <w:r>
              <w:rPr>
                <w:sz w:val="12"/>
                <w:szCs w:val="12"/>
                <w:spacing w:val="-6"/>
              </w:rPr>
              <w:t>800—1000倍</w:t>
            </w:r>
          </w:p>
        </w:tc>
        <w:tc>
          <w:tcPr>
            <w:tcW w:w="1529" w:type="dxa"/>
            <w:vAlign w:val="top"/>
            <w:vMerge w:val="restart"/>
            <w:tcBorders>
              <w:bottom w:val="nil"/>
              <w:top w:val="single" w:color="000000" w:sz="2" w:space="0"/>
            </w:tcBorders>
          </w:tcPr>
          <w:p>
            <w:pPr>
              <w:spacing w:line="460" w:lineRule="auto"/>
              <w:rPr>
                <w:rFonts w:ascii="Arial"/>
                <w:sz w:val="21"/>
              </w:rPr>
            </w:pPr>
            <w:r/>
          </w:p>
          <w:p>
            <w:pPr>
              <w:pStyle w:val="TableText"/>
              <w:ind w:left="15" w:right="49" w:firstLine="19"/>
              <w:spacing w:before="39" w:line="209" w:lineRule="auto"/>
              <w:rPr>
                <w:sz w:val="12"/>
                <w:szCs w:val="12"/>
              </w:rPr>
            </w:pPr>
            <w:r>
              <w:rPr>
                <w:sz w:val="12"/>
                <w:szCs w:val="12"/>
                <w:spacing w:val="-1"/>
              </w:rPr>
              <w:t>一般用3次，时间间隔7到10</w:t>
            </w:r>
            <w:r>
              <w:rPr>
                <w:sz w:val="12"/>
                <w:szCs w:val="12"/>
                <w:spacing w:val="6"/>
              </w:rPr>
              <w:t xml:space="preserve"> </w:t>
            </w:r>
            <w:r>
              <w:rPr>
                <w:sz w:val="12"/>
                <w:szCs w:val="12"/>
                <w:spacing w:val="-1"/>
              </w:rPr>
              <w:t>天。视现场情况可增加次数</w:t>
            </w:r>
          </w:p>
        </w:tc>
        <w:tc>
          <w:tcPr>
            <w:tcW w:w="729" w:type="dxa"/>
            <w:vAlign w:val="top"/>
            <w:tcBorders>
              <w:bottom w:val="single" w:color="000000" w:sz="2" w:space="0"/>
              <w:top w:val="single" w:color="000000" w:sz="2" w:space="0"/>
            </w:tcBorders>
          </w:tcPr>
          <w:p>
            <w:pPr>
              <w:pStyle w:val="TableText"/>
              <w:ind w:left="86"/>
              <w:spacing w:before="132"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spacing w:before="132" w:line="219" w:lineRule="auto"/>
              <w:rPr>
                <w:sz w:val="12"/>
                <w:szCs w:val="12"/>
              </w:rPr>
            </w:pPr>
            <w:r>
              <w:rPr>
                <w:sz w:val="12"/>
                <w:szCs w:val="12"/>
                <w:spacing w:val="-1"/>
              </w:rPr>
              <w:t>红蜘蛛、白蝴蛛、锈蜘蛛</w:t>
            </w:r>
          </w:p>
        </w:tc>
      </w:tr>
      <w:tr>
        <w:trPr>
          <w:trHeight w:val="42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72"/>
              <w:spacing w:before="151" w:line="218" w:lineRule="auto"/>
              <w:rPr>
                <w:sz w:val="12"/>
                <w:szCs w:val="12"/>
              </w:rPr>
            </w:pPr>
            <w:r>
              <w:rPr>
                <w:sz w:val="12"/>
                <w:szCs w:val="12"/>
                <w:spacing w:val="2"/>
              </w:rPr>
              <w:t>中威壮美(杀蜗剂)</w:t>
            </w:r>
          </w:p>
        </w:tc>
        <w:tc>
          <w:tcPr>
            <w:tcW w:w="2089" w:type="dxa"/>
            <w:vAlign w:val="top"/>
            <w:tcBorders>
              <w:bottom w:val="single" w:color="000000" w:sz="2" w:space="0"/>
              <w:top w:val="single" w:color="000000" w:sz="2" w:space="0"/>
            </w:tcBorders>
          </w:tcPr>
          <w:p>
            <w:pPr>
              <w:pStyle w:val="TableText"/>
              <w:ind w:left="524"/>
              <w:spacing w:before="151" w:line="219" w:lineRule="auto"/>
              <w:rPr>
                <w:sz w:val="12"/>
                <w:szCs w:val="12"/>
              </w:rPr>
            </w:pPr>
            <w:r>
              <w:rPr>
                <w:sz w:val="12"/>
                <w:szCs w:val="12"/>
                <w:spacing w:val="-5"/>
              </w:rPr>
              <w:t>阿维</w:t>
            </w:r>
            <w:r>
              <w:rPr>
                <w:sz w:val="12"/>
                <w:szCs w:val="12"/>
                <w:spacing w:val="-14"/>
              </w:rPr>
              <w:t xml:space="preserve"> </w:t>
            </w:r>
            <w:r>
              <w:rPr>
                <w:sz w:val="12"/>
                <w:szCs w:val="12"/>
                <w:spacing w:val="-5"/>
              </w:rPr>
              <w:t>·哒蜻灵3.20%</w:t>
            </w:r>
          </w:p>
        </w:tc>
        <w:tc>
          <w:tcPr>
            <w:tcW w:w="1329" w:type="dxa"/>
            <w:vAlign w:val="top"/>
            <w:tcBorders>
              <w:bottom w:val="single" w:color="000000" w:sz="2" w:space="0"/>
              <w:top w:val="single" w:color="000000" w:sz="2" w:space="0"/>
            </w:tcBorders>
          </w:tcPr>
          <w:p>
            <w:pPr>
              <w:pStyle w:val="TableText"/>
              <w:ind w:left="415"/>
              <w:spacing w:before="151" w:line="220" w:lineRule="auto"/>
              <w:rPr>
                <w:sz w:val="12"/>
                <w:szCs w:val="12"/>
              </w:rPr>
            </w:pPr>
            <w:r>
              <w:rPr>
                <w:sz w:val="12"/>
                <w:szCs w:val="12"/>
                <w:spacing w:val="-2"/>
              </w:rPr>
              <w:t>1500倍液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266" w:right="177" w:hanging="119"/>
              <w:spacing w:before="103" w:line="217" w:lineRule="auto"/>
              <w:rPr>
                <w:sz w:val="12"/>
                <w:szCs w:val="12"/>
              </w:rPr>
            </w:pPr>
            <w:r>
              <w:rPr>
                <w:sz w:val="12"/>
                <w:szCs w:val="12"/>
                <w:spacing w:val="-4"/>
              </w:rPr>
              <w:t>(200al/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right="59"/>
              <w:spacing w:before="81" w:line="249" w:lineRule="auto"/>
              <w:rPr>
                <w:sz w:val="12"/>
                <w:szCs w:val="12"/>
              </w:rPr>
            </w:pPr>
            <w:r>
              <w:rPr>
                <w:sz w:val="12"/>
                <w:szCs w:val="12"/>
                <w:spacing w:val="-1"/>
              </w:rPr>
              <w:t>对红蜘蛛、白购蛛及抗性蜗类害虫有极强的杀灭</w:t>
            </w:r>
            <w:r>
              <w:rPr>
                <w:sz w:val="12"/>
                <w:szCs w:val="12"/>
                <w:spacing w:val="15"/>
                <w:w w:val="101"/>
              </w:rPr>
              <w:t xml:space="preserve"> </w:t>
            </w:r>
            <w:r>
              <w:rPr>
                <w:sz w:val="12"/>
                <w:szCs w:val="12"/>
                <w:spacing w:val="-2"/>
              </w:rPr>
              <w:t>作用</w:t>
            </w:r>
          </w:p>
        </w:tc>
      </w:tr>
      <w:tr>
        <w:trPr>
          <w:trHeight w:val="38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13"/>
              <w:spacing w:before="132" w:line="219" w:lineRule="auto"/>
              <w:rPr>
                <w:sz w:val="12"/>
                <w:szCs w:val="12"/>
              </w:rPr>
            </w:pPr>
            <w:r>
              <w:rPr>
                <w:sz w:val="12"/>
                <w:szCs w:val="12"/>
                <w:spacing w:val="1"/>
              </w:rPr>
              <w:t>国光毙克</w:t>
            </w:r>
          </w:p>
        </w:tc>
        <w:tc>
          <w:tcPr>
            <w:tcW w:w="2089" w:type="dxa"/>
            <w:vAlign w:val="top"/>
            <w:tcBorders>
              <w:bottom w:val="single" w:color="000000" w:sz="2" w:space="0"/>
              <w:top w:val="single" w:color="000000" w:sz="2" w:space="0"/>
            </w:tcBorders>
          </w:tcPr>
          <w:p>
            <w:pPr>
              <w:pStyle w:val="TableText"/>
              <w:ind w:left="764"/>
              <w:spacing w:before="132" w:line="220" w:lineRule="auto"/>
              <w:rPr>
                <w:sz w:val="12"/>
                <w:szCs w:val="12"/>
              </w:rPr>
            </w:pPr>
            <w:r>
              <w:rPr>
                <w:sz w:val="12"/>
                <w:szCs w:val="12"/>
                <w:spacing w:val="-2"/>
              </w:rPr>
              <w:t>10%吡虫啉</w:t>
            </w:r>
          </w:p>
        </w:tc>
        <w:tc>
          <w:tcPr>
            <w:tcW w:w="1329" w:type="dxa"/>
            <w:vAlign w:val="top"/>
            <w:tcBorders>
              <w:bottom w:val="single" w:color="000000" w:sz="2" w:space="0"/>
              <w:top w:val="single" w:color="000000" w:sz="2" w:space="0"/>
            </w:tcBorders>
          </w:tcPr>
          <w:p>
            <w:pPr>
              <w:pStyle w:val="TableText"/>
              <w:ind w:left="145"/>
              <w:spacing w:before="132" w:line="219" w:lineRule="auto"/>
              <w:rPr>
                <w:sz w:val="12"/>
                <w:szCs w:val="12"/>
              </w:rPr>
            </w:pPr>
            <w:r>
              <w:rPr>
                <w:sz w:val="12"/>
                <w:szCs w:val="12"/>
                <w:spacing w:val="-1"/>
              </w:rPr>
              <w:t>稀释1000-1200倍液</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16"/>
              <w:spacing w:before="128" w:line="213" w:lineRule="auto"/>
              <w:rPr>
                <w:sz w:val="12"/>
                <w:szCs w:val="12"/>
              </w:rPr>
            </w:pPr>
            <w:r>
              <w:rPr>
                <w:sz w:val="12"/>
                <w:szCs w:val="12"/>
                <w:spacing w:val="3"/>
              </w:rPr>
              <w:t>(10g/袋)</w:t>
            </w:r>
          </w:p>
        </w:tc>
        <w:tc>
          <w:tcPr>
            <w:tcW w:w="2603" w:type="dxa"/>
            <w:vAlign w:val="top"/>
            <w:tcBorders>
              <w:bottom w:val="single" w:color="000000" w:sz="2" w:space="0"/>
              <w:top w:val="single" w:color="000000" w:sz="2" w:space="0"/>
            </w:tcBorders>
          </w:tcPr>
          <w:p>
            <w:pPr>
              <w:pStyle w:val="TableText"/>
              <w:ind w:left="17"/>
              <w:spacing w:before="132" w:line="219" w:lineRule="auto"/>
              <w:rPr>
                <w:sz w:val="12"/>
                <w:szCs w:val="12"/>
              </w:rPr>
            </w:pPr>
            <w:r>
              <w:rPr>
                <w:sz w:val="12"/>
                <w:szCs w:val="12"/>
                <w:spacing w:val="-1"/>
              </w:rPr>
              <w:t>杀蚜虫，飞弘等害虫</w:t>
            </w:r>
          </w:p>
        </w:tc>
      </w:tr>
      <w:tr>
        <w:trPr>
          <w:trHeight w:val="424" w:hRule="atLeast"/>
        </w:trPr>
        <w:tc>
          <w:tcPr>
            <w:tcW w:w="42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254" w:lineRule="auto"/>
              <w:rPr>
                <w:rFonts w:ascii="Arial"/>
                <w:sz w:val="21"/>
              </w:rPr>
            </w:pPr>
            <w:r/>
          </w:p>
          <w:p>
            <w:pPr>
              <w:spacing w:line="254" w:lineRule="auto"/>
              <w:rPr>
                <w:rFonts w:ascii="Arial"/>
                <w:sz w:val="21"/>
              </w:rPr>
            </w:pPr>
            <w:r/>
          </w:p>
          <w:p>
            <w:pPr>
              <w:pStyle w:val="TableText"/>
              <w:ind w:left="30"/>
              <w:spacing w:before="39" w:line="218" w:lineRule="auto"/>
              <w:rPr>
                <w:sz w:val="12"/>
                <w:szCs w:val="12"/>
              </w:rPr>
            </w:pPr>
            <w:r>
              <w:rPr>
                <w:sz w:val="12"/>
                <w:szCs w:val="12"/>
                <w:spacing w:val="-1"/>
              </w:rPr>
              <w:t>蛀干害虫</w:t>
            </w:r>
          </w:p>
        </w:tc>
        <w:tc>
          <w:tcPr>
            <w:tcW w:w="929" w:type="dxa"/>
            <w:vAlign w:val="top"/>
            <w:vMerge w:val="restart"/>
            <w:tcBorders>
              <w:bottom w:val="nil"/>
              <w:top w:val="single" w:color="000000" w:sz="2" w:space="0"/>
            </w:tcBorders>
          </w:tcPr>
          <w:p>
            <w:pPr>
              <w:spacing w:line="300" w:lineRule="auto"/>
              <w:rPr>
                <w:rFonts w:ascii="Arial"/>
                <w:sz w:val="21"/>
              </w:rPr>
            </w:pPr>
            <w:r/>
          </w:p>
          <w:p>
            <w:pPr>
              <w:pStyle w:val="TableText"/>
              <w:ind w:left="30"/>
              <w:spacing w:before="39" w:line="219" w:lineRule="auto"/>
              <w:rPr>
                <w:sz w:val="12"/>
                <w:szCs w:val="12"/>
              </w:rPr>
            </w:pPr>
            <w:r>
              <w:rPr>
                <w:sz w:val="12"/>
                <w:szCs w:val="12"/>
                <w:spacing w:val="-1"/>
              </w:rPr>
              <w:t>光病星天牛，小</w:t>
            </w:r>
          </w:p>
          <w:p>
            <w:pPr>
              <w:pStyle w:val="TableText"/>
              <w:spacing w:before="17" w:line="199" w:lineRule="auto"/>
              <w:jc w:val="right"/>
              <w:rPr>
                <w:sz w:val="12"/>
                <w:szCs w:val="12"/>
              </w:rPr>
            </w:pPr>
            <w:r>
              <w:rPr>
                <w:sz w:val="12"/>
                <w:szCs w:val="12"/>
                <w:spacing w:val="6"/>
              </w:rPr>
              <w:t>蠢虫、透翅娥、</w:t>
            </w:r>
          </w:p>
          <w:p>
            <w:pPr>
              <w:pStyle w:val="TableText"/>
              <w:ind w:left="30"/>
              <w:spacing w:line="219" w:lineRule="auto"/>
              <w:rPr>
                <w:sz w:val="12"/>
                <w:szCs w:val="12"/>
              </w:rPr>
            </w:pPr>
            <w:r>
              <w:rPr>
                <w:sz w:val="12"/>
                <w:szCs w:val="12"/>
                <w:spacing w:val="-1"/>
              </w:rPr>
              <w:t>芳香木蠢峨、杨</w:t>
            </w:r>
          </w:p>
          <w:p>
            <w:pPr>
              <w:pStyle w:val="TableText"/>
              <w:ind w:left="330"/>
              <w:spacing w:before="17" w:line="218" w:lineRule="auto"/>
              <w:rPr>
                <w:sz w:val="12"/>
                <w:szCs w:val="12"/>
              </w:rPr>
            </w:pPr>
            <w:r>
              <w:rPr>
                <w:sz w:val="12"/>
                <w:szCs w:val="12"/>
                <w:spacing w:val="-2"/>
              </w:rPr>
              <w:t>干象</w:t>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13"/>
              <w:spacing w:before="151" w:line="219" w:lineRule="auto"/>
              <w:rPr>
                <w:sz w:val="12"/>
                <w:szCs w:val="12"/>
              </w:rPr>
            </w:pPr>
            <w:r>
              <w:rPr>
                <w:sz w:val="12"/>
                <w:szCs w:val="12"/>
                <w:spacing w:val="1"/>
              </w:rPr>
              <w:t>国光毒枪</w:t>
            </w:r>
          </w:p>
        </w:tc>
        <w:tc>
          <w:tcPr>
            <w:tcW w:w="2089" w:type="dxa"/>
            <w:vAlign w:val="top"/>
            <w:tcBorders>
              <w:bottom w:val="single" w:color="000000" w:sz="2" w:space="0"/>
              <w:top w:val="single" w:color="000000" w:sz="2" w:space="0"/>
            </w:tcBorders>
          </w:tcPr>
          <w:p>
            <w:pPr>
              <w:pStyle w:val="TableText"/>
              <w:ind w:left="493"/>
              <w:spacing w:before="151" w:line="219" w:lineRule="auto"/>
              <w:rPr>
                <w:sz w:val="12"/>
                <w:szCs w:val="12"/>
              </w:rPr>
            </w:pPr>
            <w:r>
              <w:rPr>
                <w:sz w:val="12"/>
                <w:szCs w:val="12"/>
                <w:spacing w:val="-1"/>
              </w:rPr>
              <w:t>45%丙溴.辛硫磷乳油</w:t>
            </w:r>
          </w:p>
        </w:tc>
        <w:tc>
          <w:tcPr>
            <w:tcW w:w="1329" w:type="dxa"/>
            <w:vAlign w:val="top"/>
            <w:tcBorders>
              <w:bottom w:val="single" w:color="000000" w:sz="2" w:space="0"/>
              <w:top w:val="single" w:color="000000" w:sz="2" w:space="0"/>
            </w:tcBorders>
          </w:tcPr>
          <w:p>
            <w:pPr>
              <w:pStyle w:val="TableText"/>
              <w:ind w:left="295"/>
              <w:spacing w:before="151" w:line="219" w:lineRule="auto"/>
              <w:rPr>
                <w:sz w:val="12"/>
                <w:szCs w:val="12"/>
              </w:rPr>
            </w:pPr>
            <w:r>
              <w:rPr>
                <w:sz w:val="12"/>
                <w:szCs w:val="12"/>
                <w:spacing w:val="-1"/>
              </w:rPr>
              <w:t>稀释5-10倍液</w:t>
            </w:r>
          </w:p>
        </w:tc>
        <w:tc>
          <w:tcPr>
            <w:tcW w:w="1529" w:type="dxa"/>
            <w:vAlign w:val="top"/>
            <w:vMerge w:val="restart"/>
            <w:tcBorders>
              <w:bottom w:val="nil"/>
              <w:top w:val="single" w:color="000000" w:sz="2" w:space="0"/>
            </w:tcBorders>
          </w:tcPr>
          <w:p>
            <w:pPr>
              <w:spacing w:line="469" w:lineRule="auto"/>
              <w:rPr>
                <w:rFonts w:ascii="Arial"/>
                <w:sz w:val="21"/>
              </w:rPr>
            </w:pPr>
            <w:r/>
          </w:p>
          <w:p>
            <w:pPr>
              <w:pStyle w:val="TableText"/>
              <w:ind w:left="415" w:right="19" w:hanging="410"/>
              <w:spacing w:before="39" w:line="209" w:lineRule="auto"/>
              <w:rPr>
                <w:sz w:val="12"/>
                <w:szCs w:val="12"/>
              </w:rPr>
            </w:pPr>
            <w:r>
              <w:rPr>
                <w:sz w:val="12"/>
                <w:szCs w:val="12"/>
                <w:spacing w:val="-1"/>
              </w:rPr>
              <w:t>一般用1-3次，时间视现场情</w:t>
            </w:r>
            <w:r>
              <w:rPr>
                <w:sz w:val="12"/>
                <w:szCs w:val="12"/>
                <w:spacing w:val="6"/>
              </w:rPr>
              <w:t xml:space="preserve"> </w:t>
            </w:r>
            <w:r>
              <w:rPr>
                <w:sz w:val="12"/>
                <w:szCs w:val="12"/>
                <w:spacing w:val="-1"/>
              </w:rPr>
              <w:t>况可增加次数</w:t>
            </w:r>
          </w:p>
        </w:tc>
        <w:tc>
          <w:tcPr>
            <w:tcW w:w="729" w:type="dxa"/>
            <w:vAlign w:val="top"/>
            <w:tcBorders>
              <w:bottom w:val="single" w:color="000000" w:sz="2" w:space="0"/>
              <w:top w:val="single" w:color="000000" w:sz="2" w:space="0"/>
            </w:tcBorders>
          </w:tcPr>
          <w:p>
            <w:pPr>
              <w:pStyle w:val="TableText"/>
              <w:ind w:left="266" w:right="177" w:hanging="119"/>
              <w:spacing w:before="83" w:line="247" w:lineRule="auto"/>
              <w:rPr>
                <w:sz w:val="12"/>
                <w:szCs w:val="12"/>
              </w:rPr>
            </w:pPr>
            <w:r>
              <w:rPr>
                <w:sz w:val="12"/>
                <w:szCs w:val="12"/>
                <w:spacing w:val="-4"/>
              </w:rPr>
              <w:t>(200ml/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151" w:line="219" w:lineRule="auto"/>
              <w:rPr>
                <w:sz w:val="12"/>
                <w:szCs w:val="12"/>
              </w:rPr>
            </w:pPr>
            <w:r>
              <w:rPr>
                <w:sz w:val="12"/>
                <w:szCs w:val="12"/>
                <w:spacing w:val="-1"/>
              </w:rPr>
              <w:t>注射虫洞，黄泥封洞</w:t>
            </w:r>
          </w:p>
        </w:tc>
      </w:tr>
      <w:tr>
        <w:trPr>
          <w:trHeight w:val="39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93"/>
              <w:spacing w:before="141" w:line="218" w:lineRule="auto"/>
              <w:rPr>
                <w:sz w:val="12"/>
                <w:szCs w:val="12"/>
              </w:rPr>
            </w:pPr>
            <w:r>
              <w:rPr>
                <w:sz w:val="12"/>
                <w:szCs w:val="12"/>
                <w:spacing w:val="1"/>
              </w:rPr>
              <w:t>国光防蛙液剂</w:t>
            </w:r>
          </w:p>
        </w:tc>
        <w:tc>
          <w:tcPr>
            <w:tcW w:w="2089" w:type="dxa"/>
            <w:vAlign w:val="top"/>
            <w:tcBorders>
              <w:bottom w:val="single" w:color="000000" w:sz="2" w:space="0"/>
              <w:top w:val="single" w:color="000000" w:sz="2" w:space="0"/>
            </w:tcBorders>
          </w:tcPr>
          <w:p>
            <w:pPr>
              <w:pStyle w:val="TableText"/>
              <w:ind w:left="734"/>
              <w:spacing w:before="142" w:line="219" w:lineRule="auto"/>
              <w:rPr>
                <w:sz w:val="12"/>
                <w:szCs w:val="12"/>
              </w:rPr>
            </w:pPr>
            <w:r>
              <w:rPr>
                <w:sz w:val="12"/>
                <w:szCs w:val="12"/>
                <w:spacing w:val="-1"/>
              </w:rPr>
              <w:t>0.35氯菊酯</w:t>
            </w:r>
          </w:p>
        </w:tc>
        <w:tc>
          <w:tcPr>
            <w:tcW w:w="1329" w:type="dxa"/>
            <w:vAlign w:val="top"/>
            <w:tcBorders>
              <w:bottom w:val="single" w:color="000000" w:sz="2" w:space="0"/>
              <w:top w:val="single" w:color="000000" w:sz="2" w:space="0"/>
            </w:tcBorders>
          </w:tcPr>
          <w:p>
            <w:pPr>
              <w:pStyle w:val="TableText"/>
              <w:ind w:left="415"/>
              <w:spacing w:before="142" w:line="219" w:lineRule="auto"/>
              <w:rPr>
                <w:sz w:val="12"/>
                <w:szCs w:val="12"/>
              </w:rPr>
            </w:pPr>
            <w:r>
              <w:rPr>
                <w:sz w:val="12"/>
                <w:szCs w:val="12"/>
                <w:spacing w:val="3"/>
              </w:rPr>
              <w:t>直接使用</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42" w:line="220" w:lineRule="auto"/>
              <w:rPr>
                <w:sz w:val="12"/>
                <w:szCs w:val="12"/>
              </w:rPr>
            </w:pPr>
            <w:r>
              <w:rPr>
                <w:sz w:val="12"/>
                <w:szCs w:val="12"/>
                <w:spacing w:val="4"/>
              </w:rPr>
              <w:t>(20</w:t>
            </w:r>
            <w:r>
              <w:rPr>
                <w:sz w:val="12"/>
                <w:szCs w:val="12"/>
              </w:rPr>
              <w:t>al</w:t>
            </w:r>
            <w:r>
              <w:rPr>
                <w:sz w:val="12"/>
                <w:szCs w:val="12"/>
                <w:spacing w:val="4"/>
              </w:rPr>
              <w:t>/支)</w:t>
            </w:r>
          </w:p>
        </w:tc>
        <w:tc>
          <w:tcPr>
            <w:tcW w:w="2603" w:type="dxa"/>
            <w:vAlign w:val="top"/>
            <w:tcBorders>
              <w:bottom w:val="single" w:color="000000" w:sz="2" w:space="0"/>
              <w:top w:val="single" w:color="000000" w:sz="2" w:space="0"/>
            </w:tcBorders>
          </w:tcPr>
          <w:p>
            <w:pPr>
              <w:pStyle w:val="TableText"/>
              <w:ind w:left="17" w:right="120"/>
              <w:spacing w:before="82" w:line="218" w:lineRule="auto"/>
              <w:rPr>
                <w:sz w:val="12"/>
                <w:szCs w:val="12"/>
              </w:rPr>
            </w:pPr>
            <w:r>
              <w:rPr>
                <w:sz w:val="12"/>
                <w:szCs w:val="12"/>
              </w:rPr>
              <w:t>专杀蛀杆性害虫胸径8-10cm用1支，</w:t>
            </w:r>
            <w:r>
              <w:rPr>
                <w:sz w:val="12"/>
                <w:szCs w:val="12"/>
                <w:spacing w:val="-1"/>
              </w:rPr>
              <w:t>每增加10cm</w:t>
            </w:r>
            <w:r>
              <w:rPr>
                <w:sz w:val="12"/>
                <w:szCs w:val="12"/>
              </w:rPr>
              <w:t xml:space="preserve"> </w:t>
            </w:r>
            <w:r>
              <w:rPr>
                <w:sz w:val="12"/>
                <w:szCs w:val="12"/>
                <w:spacing w:val="-1"/>
              </w:rPr>
              <w:t>增加1支</w:t>
            </w:r>
          </w:p>
        </w:tc>
      </w:tr>
      <w:tr>
        <w:trPr>
          <w:trHeight w:val="38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72"/>
              <w:spacing w:before="132" w:line="218" w:lineRule="auto"/>
              <w:rPr>
                <w:sz w:val="12"/>
                <w:szCs w:val="12"/>
              </w:rPr>
            </w:pPr>
            <w:r>
              <w:rPr>
                <w:sz w:val="12"/>
                <w:szCs w:val="12"/>
                <w:spacing w:val="1"/>
              </w:rPr>
              <w:t>中威蛀干害虫专用</w:t>
            </w:r>
          </w:p>
        </w:tc>
        <w:tc>
          <w:tcPr>
            <w:tcW w:w="2089" w:type="dxa"/>
            <w:vAlign w:val="top"/>
            <w:tcBorders>
              <w:bottom w:val="single" w:color="000000" w:sz="2" w:space="0"/>
              <w:top w:val="single" w:color="000000" w:sz="2" w:space="0"/>
            </w:tcBorders>
          </w:tcPr>
          <w:p>
            <w:pPr>
              <w:pStyle w:val="TableText"/>
              <w:ind w:left="343"/>
              <w:spacing w:before="132" w:line="219" w:lineRule="auto"/>
              <w:rPr>
                <w:sz w:val="12"/>
                <w:szCs w:val="12"/>
              </w:rPr>
            </w:pPr>
            <w:r>
              <w:rPr>
                <w:sz w:val="12"/>
                <w:szCs w:val="12"/>
                <w:spacing w:val="-8"/>
              </w:rPr>
              <w:t>氰戊 ·马拉松</w:t>
            </w:r>
            <w:r>
              <w:rPr>
                <w:sz w:val="12"/>
                <w:szCs w:val="12"/>
                <w:spacing w:val="-14"/>
              </w:rPr>
              <w:t xml:space="preserve"> </w:t>
            </w:r>
            <w:r>
              <w:rPr>
                <w:sz w:val="12"/>
                <w:szCs w:val="12"/>
                <w:spacing w:val="-8"/>
              </w:rPr>
              <w:t>·苦参碱20%</w:t>
            </w:r>
          </w:p>
        </w:tc>
        <w:tc>
          <w:tcPr>
            <w:tcW w:w="1329" w:type="dxa"/>
            <w:vAlign w:val="top"/>
            <w:tcBorders>
              <w:bottom w:val="single" w:color="000000" w:sz="2" w:space="0"/>
              <w:top w:val="single" w:color="000000" w:sz="2" w:space="0"/>
            </w:tcBorders>
          </w:tcPr>
          <w:p>
            <w:pPr>
              <w:pStyle w:val="TableText"/>
              <w:ind w:left="415"/>
              <w:spacing w:before="132" w:line="219" w:lineRule="auto"/>
              <w:rPr>
                <w:sz w:val="12"/>
                <w:szCs w:val="12"/>
              </w:rPr>
            </w:pPr>
            <w:r>
              <w:rPr>
                <w:sz w:val="12"/>
                <w:szCs w:val="12"/>
                <w:spacing w:val="3"/>
              </w:rPr>
              <w:t>直接使用</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32" w:line="220" w:lineRule="auto"/>
              <w:rPr>
                <w:sz w:val="12"/>
                <w:szCs w:val="12"/>
              </w:rPr>
            </w:pPr>
            <w:r>
              <w:rPr>
                <w:sz w:val="12"/>
                <w:szCs w:val="12"/>
                <w:spacing w:val="4"/>
              </w:rPr>
              <w:t>(20</w:t>
            </w:r>
            <w:r>
              <w:rPr>
                <w:sz w:val="12"/>
                <w:szCs w:val="12"/>
              </w:rPr>
              <w:t>ml</w:t>
            </w:r>
            <w:r>
              <w:rPr>
                <w:sz w:val="12"/>
                <w:szCs w:val="12"/>
                <w:spacing w:val="4"/>
              </w:rPr>
              <w:t>/支)</w:t>
            </w:r>
          </w:p>
        </w:tc>
        <w:tc>
          <w:tcPr>
            <w:tcW w:w="2603" w:type="dxa"/>
            <w:vAlign w:val="top"/>
            <w:tcBorders>
              <w:bottom w:val="single" w:color="000000" w:sz="2" w:space="0"/>
              <w:top w:val="single" w:color="000000" w:sz="2" w:space="0"/>
            </w:tcBorders>
          </w:tcPr>
          <w:p>
            <w:pPr>
              <w:pStyle w:val="TableText"/>
              <w:ind w:left="17" w:right="59"/>
              <w:spacing w:before="82" w:line="225" w:lineRule="auto"/>
              <w:rPr>
                <w:sz w:val="12"/>
                <w:szCs w:val="12"/>
              </w:rPr>
            </w:pPr>
            <w:r>
              <w:rPr>
                <w:sz w:val="12"/>
                <w:szCs w:val="12"/>
                <w:spacing w:val="-1"/>
              </w:rPr>
              <w:t>针对天牛幼虫、吉丁虫、松材线虫等蛙干害虫效</w:t>
            </w:r>
            <w:r>
              <w:rPr>
                <w:sz w:val="12"/>
                <w:szCs w:val="12"/>
                <w:spacing w:val="15"/>
              </w:rPr>
              <w:t xml:space="preserve"> </w:t>
            </w:r>
            <w:r>
              <w:rPr>
                <w:sz w:val="12"/>
                <w:szCs w:val="12"/>
                <w:spacing w:val="-2"/>
              </w:rPr>
              <w:t>果明星</w:t>
            </w:r>
          </w:p>
        </w:tc>
      </w:tr>
      <w:tr>
        <w:trPr>
          <w:trHeight w:val="424" w:hRule="atLeast"/>
        </w:trPr>
        <w:tc>
          <w:tcPr>
            <w:tcW w:w="42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311" w:lineRule="auto"/>
              <w:rPr>
                <w:rFonts w:ascii="Arial"/>
                <w:sz w:val="21"/>
              </w:rPr>
            </w:pPr>
            <w:r/>
          </w:p>
          <w:p>
            <w:pPr>
              <w:pStyle w:val="TableText"/>
              <w:ind w:left="30"/>
              <w:spacing w:before="39" w:line="220" w:lineRule="auto"/>
              <w:rPr>
                <w:sz w:val="12"/>
                <w:szCs w:val="12"/>
              </w:rPr>
            </w:pPr>
            <w:r>
              <w:rPr>
                <w:sz w:val="12"/>
                <w:szCs w:val="12"/>
                <w:spacing w:val="-1"/>
              </w:rPr>
              <w:t>地下害虫</w:t>
            </w:r>
          </w:p>
        </w:tc>
        <w:tc>
          <w:tcPr>
            <w:tcW w:w="929" w:type="dxa"/>
            <w:vAlign w:val="top"/>
            <w:vMerge w:val="restart"/>
            <w:tcBorders>
              <w:bottom w:val="nil"/>
              <w:top w:val="single" w:color="000000" w:sz="2" w:space="0"/>
            </w:tcBorders>
          </w:tcPr>
          <w:p>
            <w:pPr>
              <w:pStyle w:val="TableText"/>
              <w:spacing w:before="221" w:line="218" w:lineRule="auto"/>
              <w:jc w:val="right"/>
              <w:rPr>
                <w:sz w:val="12"/>
                <w:szCs w:val="12"/>
              </w:rPr>
            </w:pPr>
            <w:r>
              <w:rPr>
                <w:sz w:val="12"/>
                <w:szCs w:val="12"/>
                <w:spacing w:val="6"/>
              </w:rPr>
              <w:t>蛴蜻、地老虎、</w:t>
            </w:r>
          </w:p>
          <w:p>
            <w:pPr>
              <w:pStyle w:val="TableText"/>
              <w:ind w:left="30"/>
              <w:spacing w:before="17" w:line="201" w:lineRule="auto"/>
              <w:rPr>
                <w:sz w:val="12"/>
                <w:szCs w:val="12"/>
              </w:rPr>
            </w:pPr>
            <w:r>
              <w:rPr>
                <w:sz w:val="12"/>
                <w:szCs w:val="12"/>
                <w:spacing w:val="-1"/>
              </w:rPr>
              <w:t>茎草螟类其他土</w:t>
            </w:r>
          </w:p>
          <w:p>
            <w:pPr>
              <w:pStyle w:val="TableText"/>
              <w:ind w:left="270"/>
              <w:spacing w:line="219" w:lineRule="auto"/>
              <w:rPr>
                <w:sz w:val="12"/>
                <w:szCs w:val="12"/>
              </w:rPr>
            </w:pPr>
            <w:r>
              <w:rPr>
                <w:sz w:val="12"/>
                <w:szCs w:val="12"/>
                <w:spacing w:val="3"/>
              </w:rPr>
              <w:t>中虫卵</w:t>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313"/>
              <w:spacing w:before="182" w:line="219" w:lineRule="auto"/>
              <w:rPr>
                <w:sz w:val="12"/>
                <w:szCs w:val="12"/>
              </w:rPr>
            </w:pPr>
            <w:r>
              <w:rPr>
                <w:sz w:val="12"/>
                <w:szCs w:val="12"/>
                <w:spacing w:val="1"/>
              </w:rPr>
              <w:t>国光地杀</w:t>
            </w:r>
          </w:p>
        </w:tc>
        <w:tc>
          <w:tcPr>
            <w:tcW w:w="2089" w:type="dxa"/>
            <w:vAlign w:val="top"/>
            <w:tcBorders>
              <w:bottom w:val="single" w:color="000000" w:sz="2" w:space="0"/>
              <w:top w:val="single" w:color="000000" w:sz="2" w:space="0"/>
            </w:tcBorders>
          </w:tcPr>
          <w:p>
            <w:pPr>
              <w:pStyle w:val="TableText"/>
              <w:ind w:left="313"/>
              <w:spacing w:before="151" w:line="218" w:lineRule="auto"/>
              <w:rPr>
                <w:sz w:val="12"/>
                <w:szCs w:val="12"/>
              </w:rPr>
            </w:pPr>
            <w:r>
              <w:rPr>
                <w:sz w:val="12"/>
                <w:szCs w:val="12"/>
                <w:spacing w:val="-1"/>
              </w:rPr>
              <w:t>5%丁硫克百威毒死蜂颗粒剂</w:t>
            </w:r>
          </w:p>
        </w:tc>
        <w:tc>
          <w:tcPr>
            <w:tcW w:w="1329" w:type="dxa"/>
            <w:vAlign w:val="top"/>
            <w:tcBorders>
              <w:bottom w:val="single" w:color="000000" w:sz="2" w:space="0"/>
              <w:top w:val="single" w:color="000000" w:sz="2" w:space="0"/>
            </w:tcBorders>
          </w:tcPr>
          <w:p>
            <w:pPr>
              <w:pStyle w:val="TableText"/>
              <w:ind w:left="115"/>
              <w:spacing w:before="178" w:line="213" w:lineRule="auto"/>
              <w:rPr>
                <w:sz w:val="12"/>
                <w:szCs w:val="12"/>
              </w:rPr>
            </w:pPr>
            <w:r>
              <w:rPr>
                <w:sz w:val="12"/>
                <w:szCs w:val="12"/>
                <w:spacing w:val="-1"/>
              </w:rPr>
              <w:t>直接撤施：4-5kg/亩</w:t>
            </w:r>
          </w:p>
        </w:tc>
        <w:tc>
          <w:tcPr>
            <w:tcW w:w="1529" w:type="dxa"/>
            <w:vAlign w:val="top"/>
            <w:vMerge w:val="restart"/>
            <w:tcBorders>
              <w:bottom w:val="nil"/>
              <w:top w:val="single" w:color="000000" w:sz="2" w:space="0"/>
            </w:tcBorders>
          </w:tcPr>
          <w:p>
            <w:pPr>
              <w:spacing w:line="311" w:lineRule="auto"/>
              <w:rPr>
                <w:rFonts w:ascii="Arial"/>
                <w:sz w:val="21"/>
              </w:rPr>
            </w:pPr>
            <w:r/>
          </w:p>
          <w:p>
            <w:pPr>
              <w:pStyle w:val="TableText"/>
              <w:ind w:left="486"/>
              <w:spacing w:before="39" w:line="219" w:lineRule="auto"/>
              <w:rPr>
                <w:sz w:val="12"/>
                <w:szCs w:val="12"/>
              </w:rPr>
            </w:pPr>
            <w:r>
              <w:rPr>
                <w:sz w:val="12"/>
                <w:szCs w:val="12"/>
                <w:spacing w:val="-2"/>
              </w:rPr>
              <w:t>一般用2次</w:t>
            </w:r>
          </w:p>
        </w:tc>
        <w:tc>
          <w:tcPr>
            <w:tcW w:w="729" w:type="dxa"/>
            <w:vAlign w:val="top"/>
            <w:tcBorders>
              <w:bottom w:val="single" w:color="000000" w:sz="2" w:space="0"/>
              <w:top w:val="single" w:color="000000" w:sz="2" w:space="0"/>
            </w:tcBorders>
          </w:tcPr>
          <w:p>
            <w:pPr>
              <w:pStyle w:val="TableText"/>
              <w:ind w:left="116"/>
              <w:spacing w:before="183" w:line="222" w:lineRule="auto"/>
              <w:rPr>
                <w:sz w:val="12"/>
                <w:szCs w:val="12"/>
              </w:rPr>
            </w:pPr>
            <w:r>
              <w:rPr>
                <w:sz w:val="12"/>
                <w:szCs w:val="12"/>
                <w:spacing w:val="5"/>
              </w:rPr>
              <w:t>(1</w:t>
            </w:r>
            <w:r>
              <w:rPr>
                <w:sz w:val="12"/>
                <w:szCs w:val="12"/>
              </w:rPr>
              <w:t>kz</w:t>
            </w:r>
            <w:r>
              <w:rPr>
                <w:sz w:val="12"/>
                <w:szCs w:val="12"/>
                <w:spacing w:val="5"/>
              </w:rPr>
              <w:t>/袋)</w:t>
            </w:r>
          </w:p>
        </w:tc>
        <w:tc>
          <w:tcPr>
            <w:tcW w:w="2603" w:type="dxa"/>
            <w:vAlign w:val="top"/>
            <w:tcBorders>
              <w:bottom w:val="single" w:color="000000" w:sz="2" w:space="0"/>
              <w:top w:val="single" w:color="000000" w:sz="2" w:space="0"/>
            </w:tcBorders>
          </w:tcPr>
          <w:p>
            <w:pPr>
              <w:pStyle w:val="TableText"/>
              <w:ind w:left="17"/>
              <w:spacing w:before="182" w:line="219" w:lineRule="auto"/>
              <w:rPr>
                <w:sz w:val="12"/>
                <w:szCs w:val="12"/>
              </w:rPr>
            </w:pPr>
            <w:r>
              <w:rPr>
                <w:sz w:val="12"/>
                <w:szCs w:val="12"/>
                <w:spacing w:val="-1"/>
              </w:rPr>
              <w:t>在土壤中杀灭害虫效果好，使用方便</w:t>
            </w:r>
          </w:p>
        </w:tc>
      </w:tr>
      <w:tr>
        <w:trPr>
          <w:trHeight w:val="384" w:hRule="atLeast"/>
        </w:trPr>
        <w:tc>
          <w:tcPr>
            <w:tcW w:w="42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33" w:line="220" w:lineRule="auto"/>
              <w:rPr>
                <w:sz w:val="12"/>
                <w:szCs w:val="12"/>
              </w:rPr>
            </w:pPr>
            <w:r>
              <w:rPr>
                <w:sz w:val="12"/>
                <w:szCs w:val="12"/>
              </w:rPr>
              <w:t>中威击绿健</w:t>
            </w:r>
          </w:p>
        </w:tc>
        <w:tc>
          <w:tcPr>
            <w:tcW w:w="2089" w:type="dxa"/>
            <w:vAlign w:val="top"/>
            <w:tcBorders>
              <w:bottom w:val="single" w:color="000000" w:sz="2" w:space="0"/>
              <w:top w:val="single" w:color="000000" w:sz="2" w:space="0"/>
            </w:tcBorders>
          </w:tcPr>
          <w:p>
            <w:pPr>
              <w:pStyle w:val="TableText"/>
              <w:ind w:left="764"/>
              <w:spacing w:before="132" w:line="219" w:lineRule="auto"/>
              <w:rPr>
                <w:sz w:val="12"/>
                <w:szCs w:val="12"/>
              </w:rPr>
            </w:pPr>
            <w:r>
              <w:rPr>
                <w:sz w:val="12"/>
                <w:szCs w:val="12"/>
                <w:spacing w:val="-1"/>
              </w:rPr>
              <w:t>二嗪磷20%</w:t>
            </w:r>
          </w:p>
        </w:tc>
        <w:tc>
          <w:tcPr>
            <w:tcW w:w="1329" w:type="dxa"/>
            <w:vAlign w:val="top"/>
            <w:tcBorders>
              <w:bottom w:val="single" w:color="000000" w:sz="2" w:space="0"/>
              <w:top w:val="single" w:color="000000" w:sz="2" w:space="0"/>
            </w:tcBorders>
          </w:tcPr>
          <w:p>
            <w:pPr>
              <w:pStyle w:val="TableText"/>
              <w:ind w:left="145"/>
              <w:spacing w:before="129" w:line="213" w:lineRule="auto"/>
              <w:rPr>
                <w:sz w:val="12"/>
                <w:szCs w:val="12"/>
              </w:rPr>
            </w:pPr>
            <w:r>
              <w:rPr>
                <w:sz w:val="12"/>
                <w:szCs w:val="12"/>
                <w:spacing w:val="-1"/>
              </w:rPr>
              <w:t>直接撒施，每亩5kg</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16"/>
              <w:spacing w:before="129" w:line="213" w:lineRule="auto"/>
              <w:rPr>
                <w:sz w:val="12"/>
                <w:szCs w:val="12"/>
              </w:rPr>
            </w:pPr>
            <w:r>
              <w:rPr>
                <w:sz w:val="12"/>
                <w:szCs w:val="12"/>
                <w:spacing w:val="5"/>
              </w:rPr>
              <w:t>(1</w:t>
            </w:r>
            <w:r>
              <w:rPr>
                <w:sz w:val="12"/>
                <w:szCs w:val="12"/>
              </w:rPr>
              <w:t>kg</w:t>
            </w:r>
            <w:r>
              <w:rPr>
                <w:sz w:val="12"/>
                <w:szCs w:val="12"/>
                <w:spacing w:val="5"/>
              </w:rPr>
              <w:t>/袋)</w:t>
            </w:r>
          </w:p>
        </w:tc>
        <w:tc>
          <w:tcPr>
            <w:tcW w:w="2603" w:type="dxa"/>
            <w:vAlign w:val="top"/>
            <w:tcBorders>
              <w:bottom w:val="single" w:color="000000" w:sz="2" w:space="0"/>
              <w:top w:val="single" w:color="000000" w:sz="2" w:space="0"/>
            </w:tcBorders>
          </w:tcPr>
          <w:p>
            <w:pPr>
              <w:pStyle w:val="TableText"/>
              <w:ind w:left="17" w:right="120"/>
              <w:spacing w:before="82" w:line="224" w:lineRule="auto"/>
              <w:rPr>
                <w:sz w:val="12"/>
                <w:szCs w:val="12"/>
              </w:rPr>
            </w:pPr>
            <w:r>
              <w:rPr>
                <w:sz w:val="12"/>
                <w:szCs w:val="12"/>
                <w:spacing w:val="-1"/>
              </w:rPr>
              <w:t>专治草坪地下害虫(蛴蜡、金针虫、地老虎，根</w:t>
            </w:r>
            <w:r>
              <w:rPr>
                <w:sz w:val="12"/>
                <w:szCs w:val="12"/>
                <w:spacing w:val="14"/>
              </w:rPr>
              <w:t xml:space="preserve"> </w:t>
            </w:r>
            <w:r>
              <w:rPr>
                <w:sz w:val="12"/>
                <w:szCs w:val="12"/>
                <w:spacing w:val="5"/>
              </w:rPr>
              <w:t>结线虫等)</w:t>
            </w:r>
          </w:p>
        </w:tc>
      </w:tr>
      <w:tr>
        <w:trPr>
          <w:trHeight w:val="425" w:hRule="atLeast"/>
        </w:trPr>
        <w:tc>
          <w:tcPr>
            <w:tcW w:w="425"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24"/>
              <w:spacing w:before="39" w:line="218" w:lineRule="auto"/>
              <w:rPr>
                <w:sz w:val="12"/>
                <w:szCs w:val="12"/>
              </w:rPr>
            </w:pPr>
            <w:r>
              <w:rPr>
                <w:sz w:val="12"/>
                <w:szCs w:val="12"/>
                <w:spacing w:val="-2"/>
              </w:rPr>
              <w:t>营养剂</w:t>
            </w:r>
          </w:p>
          <w:p>
            <w:pPr>
              <w:pStyle w:val="TableText"/>
              <w:ind w:left="54"/>
              <w:spacing w:before="28" w:line="218" w:lineRule="auto"/>
              <w:rPr>
                <w:sz w:val="12"/>
                <w:szCs w:val="12"/>
              </w:rPr>
            </w:pPr>
            <w:r>
              <w:rPr>
                <w:sz w:val="12"/>
                <w:szCs w:val="12"/>
                <w:spacing w:val="-1"/>
              </w:rPr>
              <w:t>/肥料</w:t>
            </w:r>
          </w:p>
        </w:tc>
        <w:tc>
          <w:tcPr>
            <w:tcW w:w="560" w:type="dxa"/>
            <w:vAlign w:val="top"/>
            <w:vMerge w:val="restart"/>
            <w:tcBorders>
              <w:bottom w:val="nil"/>
              <w:top w:val="single" w:color="000000" w:sz="2" w:space="0"/>
            </w:tcBorders>
          </w:tcPr>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30"/>
              <w:spacing w:before="39" w:line="219" w:lineRule="auto"/>
              <w:rPr>
                <w:sz w:val="12"/>
                <w:szCs w:val="12"/>
              </w:rPr>
            </w:pPr>
            <w:r>
              <w:rPr>
                <w:sz w:val="12"/>
                <w:szCs w:val="12"/>
                <w:spacing w:val="-1"/>
              </w:rPr>
              <w:t>树木复壮</w:t>
            </w:r>
          </w:p>
        </w:tc>
        <w:tc>
          <w:tcPr>
            <w:tcW w:w="929" w:type="dxa"/>
            <w:vAlign w:val="top"/>
            <w:vMerge w:val="restart"/>
            <w:tcBorders>
              <w:bottom w:val="nil"/>
              <w:top w:val="single" w:color="000000" w:sz="2" w:space="0"/>
            </w:tcBorders>
          </w:tcPr>
          <w:p>
            <w:pPr>
              <w:spacing w:line="315" w:lineRule="auto"/>
              <w:rPr>
                <w:rFonts w:ascii="Arial"/>
                <w:sz w:val="21"/>
              </w:rPr>
            </w:pPr>
            <w:r/>
          </w:p>
          <w:p>
            <w:pPr>
              <w:spacing w:line="316" w:lineRule="auto"/>
              <w:rPr>
                <w:rFonts w:ascii="Arial"/>
                <w:sz w:val="21"/>
              </w:rPr>
            </w:pPr>
            <w:r/>
          </w:p>
          <w:p>
            <w:pPr>
              <w:spacing w:line="316" w:lineRule="auto"/>
              <w:rPr>
                <w:rFonts w:ascii="Arial"/>
                <w:sz w:val="21"/>
              </w:rPr>
            </w:pPr>
            <w:r/>
          </w:p>
          <w:p>
            <w:pPr>
              <w:pStyle w:val="TableText"/>
              <w:ind w:left="30"/>
              <w:spacing w:before="39" w:line="219" w:lineRule="auto"/>
              <w:rPr>
                <w:sz w:val="12"/>
                <w:szCs w:val="12"/>
              </w:rPr>
            </w:pPr>
            <w:r>
              <w:rPr>
                <w:sz w:val="12"/>
                <w:szCs w:val="12"/>
                <w:spacing w:val="2"/>
              </w:rPr>
              <w:t>树木长势弱，自</w:t>
            </w:r>
          </w:p>
          <w:p>
            <w:pPr>
              <w:pStyle w:val="TableText"/>
              <w:ind w:left="10" w:right="55" w:firstLine="19"/>
              <w:spacing w:before="17" w:line="224" w:lineRule="auto"/>
              <w:jc w:val="both"/>
              <w:rPr>
                <w:sz w:val="12"/>
                <w:szCs w:val="12"/>
              </w:rPr>
            </w:pPr>
            <w:r>
              <w:rPr>
                <w:sz w:val="12"/>
                <w:szCs w:val="12"/>
                <w:spacing w:val="-1"/>
              </w:rPr>
              <w:t>项部向下有枯黄</w:t>
            </w:r>
            <w:r>
              <w:rPr>
                <w:sz w:val="12"/>
                <w:szCs w:val="12"/>
              </w:rPr>
              <w:t xml:space="preserve"> </w:t>
            </w:r>
            <w:r>
              <w:rPr>
                <w:sz w:val="12"/>
                <w:szCs w:val="12"/>
                <w:spacing w:val="-1"/>
              </w:rPr>
              <w:t>现象，或高大乔</w:t>
            </w:r>
            <w:r>
              <w:rPr>
                <w:sz w:val="12"/>
                <w:szCs w:val="12"/>
              </w:rPr>
              <w:t xml:space="preserve"> </w:t>
            </w:r>
            <w:r>
              <w:rPr>
                <w:sz w:val="12"/>
                <w:szCs w:val="12"/>
                <w:spacing w:val="-1"/>
              </w:rPr>
              <w:t>木及贵重树木</w:t>
            </w:r>
          </w:p>
        </w:tc>
        <w:tc>
          <w:tcPr>
            <w:tcW w:w="2748" w:type="dxa"/>
            <w:vAlign w:val="top"/>
            <w:vMerge w:val="restart"/>
            <w:tcBorders>
              <w:bottom w:val="nil"/>
              <w:top w:val="single" w:color="000000" w:sz="2" w:space="0"/>
            </w:tcBorders>
          </w:tcPr>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11" w:right="7"/>
              <w:spacing w:before="39" w:line="221" w:lineRule="auto"/>
              <w:rPr>
                <w:sz w:val="12"/>
                <w:szCs w:val="12"/>
              </w:rPr>
            </w:pPr>
            <w:r>
              <w:rPr>
                <w:sz w:val="12"/>
                <w:szCs w:val="12"/>
                <w:spacing w:val="-2"/>
              </w:rPr>
              <w:t>一、主要集中在4月中5月初，气温上升，空气湿度增</w:t>
            </w:r>
            <w:r>
              <w:rPr>
                <w:sz w:val="12"/>
                <w:szCs w:val="12"/>
                <w:spacing w:val="6"/>
              </w:rPr>
              <w:t xml:space="preserve"> </w:t>
            </w:r>
            <w:r>
              <w:rPr>
                <w:sz w:val="12"/>
                <w:szCs w:val="12"/>
                <w:spacing w:val="-1"/>
              </w:rPr>
              <w:t>加。苗木结束休眠期开始返青，是树木复壮最佳时</w:t>
            </w:r>
            <w:r>
              <w:rPr>
                <w:sz w:val="12"/>
                <w:szCs w:val="12"/>
                <w:spacing w:val="8"/>
              </w:rPr>
              <w:t xml:space="preserve">  </w:t>
            </w:r>
            <w:r>
              <w:rPr>
                <w:sz w:val="12"/>
                <w:szCs w:val="12"/>
                <w:spacing w:val="-3"/>
              </w:rPr>
              <w:t>机</w:t>
            </w:r>
            <w:r>
              <w:rPr>
                <w:sz w:val="12"/>
                <w:szCs w:val="12"/>
                <w:spacing w:val="-28"/>
              </w:rPr>
              <w:t xml:space="preserve"> </w:t>
            </w:r>
            <w:r>
              <w:rPr>
                <w:sz w:val="12"/>
                <w:szCs w:val="12"/>
                <w:spacing w:val="-3"/>
              </w:rPr>
              <w:t>：</w:t>
            </w:r>
          </w:p>
          <w:p>
            <w:pPr>
              <w:pStyle w:val="TableText"/>
              <w:ind w:left="11"/>
              <w:spacing w:before="18" w:line="219" w:lineRule="auto"/>
              <w:rPr>
                <w:sz w:val="12"/>
                <w:szCs w:val="12"/>
              </w:rPr>
            </w:pPr>
            <w:r>
              <w:rPr>
                <w:sz w:val="12"/>
                <w:szCs w:val="12"/>
                <w:spacing w:val="-1"/>
              </w:rPr>
              <w:t>二，6-9月有个别情况，做专项治疗。</w:t>
            </w:r>
          </w:p>
        </w:tc>
        <w:tc>
          <w:tcPr>
            <w:tcW w:w="1119" w:type="dxa"/>
            <w:vAlign w:val="top"/>
            <w:tcBorders>
              <w:bottom w:val="single" w:color="000000" w:sz="2" w:space="0"/>
              <w:top w:val="single" w:color="000000" w:sz="2" w:space="0"/>
            </w:tcBorders>
          </w:tcPr>
          <w:p>
            <w:pPr>
              <w:pStyle w:val="TableText"/>
              <w:ind w:left="193"/>
              <w:spacing w:before="183" w:line="219" w:lineRule="auto"/>
              <w:rPr>
                <w:sz w:val="12"/>
                <w:szCs w:val="12"/>
              </w:rPr>
            </w:pPr>
            <w:r>
              <w:rPr>
                <w:sz w:val="12"/>
                <w:szCs w:val="12"/>
              </w:rPr>
              <w:t>国光吊针原液</w:t>
            </w:r>
          </w:p>
        </w:tc>
        <w:tc>
          <w:tcPr>
            <w:tcW w:w="2089" w:type="dxa"/>
            <w:vAlign w:val="top"/>
            <w:tcBorders>
              <w:bottom w:val="single" w:color="000000" w:sz="2" w:space="0"/>
              <w:top w:val="single" w:color="000000" w:sz="2" w:space="0"/>
            </w:tcBorders>
          </w:tcPr>
          <w:p>
            <w:pPr>
              <w:pStyle w:val="TableText"/>
              <w:ind w:left="194"/>
              <w:spacing w:before="153" w:line="218" w:lineRule="auto"/>
              <w:rPr>
                <w:sz w:val="12"/>
                <w:szCs w:val="12"/>
              </w:rPr>
            </w:pPr>
            <w:r>
              <w:rPr>
                <w:sz w:val="12"/>
                <w:szCs w:val="12"/>
                <w:spacing w:val="1"/>
              </w:rPr>
              <w:t>12%含氦氨基酸水溶肥料(醋+锌)</w:t>
            </w:r>
          </w:p>
        </w:tc>
        <w:tc>
          <w:tcPr>
            <w:tcW w:w="1329" w:type="dxa"/>
            <w:vAlign w:val="top"/>
            <w:tcBorders>
              <w:bottom w:val="single" w:color="000000" w:sz="2" w:space="0"/>
              <w:top w:val="single" w:color="000000" w:sz="2" w:space="0"/>
            </w:tcBorders>
          </w:tcPr>
          <w:p>
            <w:pPr>
              <w:pStyle w:val="TableText"/>
              <w:ind w:left="205"/>
              <w:spacing w:before="183" w:line="219" w:lineRule="auto"/>
              <w:rPr>
                <w:sz w:val="12"/>
                <w:szCs w:val="12"/>
              </w:rPr>
            </w:pPr>
            <w:r>
              <w:rPr>
                <w:sz w:val="12"/>
                <w:szCs w:val="12"/>
                <w:spacing w:val="-1"/>
              </w:rPr>
              <w:t>稀释1000-1200倍</w:t>
            </w:r>
          </w:p>
        </w:tc>
        <w:tc>
          <w:tcPr>
            <w:tcW w:w="1529" w:type="dxa"/>
            <w:vAlign w:val="top"/>
            <w:vMerge w:val="restart"/>
            <w:tcBorders>
              <w:bottom w:val="nil"/>
              <w:top w:val="single" w:color="000000" w:sz="2" w:space="0"/>
            </w:tcBorders>
          </w:tcPr>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336"/>
              <w:spacing w:before="39" w:line="219" w:lineRule="auto"/>
              <w:rPr>
                <w:sz w:val="12"/>
                <w:szCs w:val="12"/>
              </w:rPr>
            </w:pPr>
            <w:r>
              <w:rPr>
                <w:sz w:val="12"/>
                <w:szCs w:val="12"/>
                <w:spacing w:val="-1"/>
              </w:rPr>
              <w:t>视树木生长情况</w:t>
            </w:r>
          </w:p>
        </w:tc>
        <w:tc>
          <w:tcPr>
            <w:tcW w:w="729" w:type="dxa"/>
            <w:vAlign w:val="top"/>
            <w:tcBorders>
              <w:bottom w:val="single" w:color="000000" w:sz="2" w:space="0"/>
              <w:top w:val="single" w:color="000000" w:sz="2" w:space="0"/>
            </w:tcBorders>
          </w:tcPr>
          <w:p>
            <w:pPr>
              <w:pStyle w:val="TableText"/>
              <w:ind w:left="86"/>
              <w:spacing w:before="183" w:line="221" w:lineRule="auto"/>
              <w:rPr>
                <w:sz w:val="12"/>
                <w:szCs w:val="12"/>
              </w:rPr>
            </w:pPr>
            <w:r>
              <w:rPr>
                <w:sz w:val="12"/>
                <w:szCs w:val="12"/>
                <w:spacing w:val="3"/>
              </w:rPr>
              <w:t>(200z/瓶)</w:t>
            </w:r>
          </w:p>
        </w:tc>
        <w:tc>
          <w:tcPr>
            <w:tcW w:w="2603" w:type="dxa"/>
            <w:vAlign w:val="top"/>
            <w:tcBorders>
              <w:bottom w:val="single" w:color="000000" w:sz="2" w:space="0"/>
              <w:top w:val="single" w:color="000000" w:sz="2" w:space="0"/>
            </w:tcBorders>
          </w:tcPr>
          <w:p>
            <w:pPr>
              <w:pStyle w:val="TableText"/>
              <w:ind w:left="17"/>
              <w:spacing w:before="183" w:line="218" w:lineRule="auto"/>
              <w:rPr>
                <w:sz w:val="12"/>
                <w:szCs w:val="12"/>
              </w:rPr>
            </w:pPr>
            <w:r>
              <w:rPr>
                <w:sz w:val="12"/>
                <w:szCs w:val="12"/>
                <w:spacing w:val="-1"/>
              </w:rPr>
              <w:t>补充水分和养分，促进快速成活</w:t>
            </w:r>
          </w:p>
        </w:tc>
      </w:tr>
      <w:tr>
        <w:trPr>
          <w:trHeight w:val="41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53" w:line="220" w:lineRule="auto"/>
              <w:rPr>
                <w:sz w:val="12"/>
                <w:szCs w:val="12"/>
              </w:rPr>
            </w:pPr>
            <w:r>
              <w:rPr>
                <w:sz w:val="12"/>
                <w:szCs w:val="12"/>
                <w:spacing w:val="1"/>
              </w:rPr>
              <w:t>中威吊针液</w:t>
            </w:r>
          </w:p>
        </w:tc>
        <w:tc>
          <w:tcPr>
            <w:tcW w:w="2089" w:type="dxa"/>
            <w:vAlign w:val="top"/>
            <w:tcBorders>
              <w:bottom w:val="single" w:color="000000" w:sz="2" w:space="0"/>
              <w:top w:val="single" w:color="000000" w:sz="2" w:space="0"/>
            </w:tcBorders>
          </w:tcPr>
          <w:p>
            <w:pPr>
              <w:pStyle w:val="TableText"/>
              <w:ind w:left="254"/>
              <w:spacing w:before="151" w:line="216" w:lineRule="auto"/>
              <w:rPr>
                <w:sz w:val="12"/>
                <w:szCs w:val="12"/>
              </w:rPr>
            </w:pPr>
            <w:r>
              <w:rPr>
                <w:sz w:val="12"/>
                <w:szCs w:val="12"/>
                <w:spacing w:val="-1"/>
              </w:rPr>
              <w:t>DM-6,甲壳素、硼镁锌等2.85%</w:t>
            </w:r>
          </w:p>
        </w:tc>
        <w:tc>
          <w:tcPr>
            <w:tcW w:w="1329" w:type="dxa"/>
            <w:vAlign w:val="top"/>
            <w:tcBorders>
              <w:bottom w:val="single" w:color="000000" w:sz="2" w:space="0"/>
              <w:top w:val="single" w:color="000000" w:sz="2" w:space="0"/>
            </w:tcBorders>
          </w:tcPr>
          <w:p>
            <w:pPr>
              <w:pStyle w:val="TableText"/>
              <w:ind w:left="235"/>
              <w:spacing w:before="152" w:line="219" w:lineRule="auto"/>
              <w:rPr>
                <w:sz w:val="12"/>
                <w:szCs w:val="12"/>
              </w:rPr>
            </w:pPr>
            <w:r>
              <w:rPr>
                <w:sz w:val="12"/>
                <w:szCs w:val="12"/>
                <w:spacing w:val="-1"/>
              </w:rPr>
              <w:t>稀释60-100倍液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77"/>
              <w:spacing w:before="149" w:line="213" w:lineRule="auto"/>
              <w:rPr>
                <w:sz w:val="12"/>
                <w:szCs w:val="12"/>
              </w:rPr>
            </w:pPr>
            <w:r>
              <w:rPr>
                <w:sz w:val="12"/>
                <w:szCs w:val="12"/>
                <w:spacing w:val="-3"/>
              </w:rPr>
              <w:t>Ikg/袋</w:t>
            </w:r>
          </w:p>
        </w:tc>
        <w:tc>
          <w:tcPr>
            <w:tcW w:w="2603" w:type="dxa"/>
            <w:vAlign w:val="top"/>
            <w:tcBorders>
              <w:bottom w:val="single" w:color="000000" w:sz="2" w:space="0"/>
              <w:top w:val="single" w:color="000000" w:sz="2" w:space="0"/>
            </w:tcBorders>
          </w:tcPr>
          <w:p>
            <w:pPr>
              <w:pStyle w:val="TableText"/>
              <w:ind w:left="17" w:right="60"/>
              <w:spacing w:before="102" w:line="210" w:lineRule="auto"/>
              <w:rPr>
                <w:sz w:val="12"/>
                <w:szCs w:val="12"/>
              </w:rPr>
            </w:pPr>
            <w:r>
              <w:rPr>
                <w:sz w:val="12"/>
                <w:szCs w:val="12"/>
                <w:spacing w:val="-1"/>
              </w:rPr>
              <w:t>促使树体健壮，迅速补充营养，增强抗性，提高</w:t>
            </w:r>
            <w:r>
              <w:rPr>
                <w:sz w:val="12"/>
                <w:szCs w:val="12"/>
                <w:spacing w:val="14"/>
              </w:rPr>
              <w:t xml:space="preserve"> </w:t>
            </w:r>
            <w:r>
              <w:rPr>
                <w:sz w:val="12"/>
                <w:szCs w:val="12"/>
                <w:spacing w:val="-2"/>
              </w:rPr>
              <w:t>成活率</w:t>
            </w:r>
          </w:p>
        </w:tc>
      </w:tr>
      <w:tr>
        <w:trPr>
          <w:trHeight w:val="42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63"/>
              <w:spacing w:before="153" w:line="219" w:lineRule="auto"/>
              <w:rPr>
                <w:sz w:val="12"/>
                <w:szCs w:val="12"/>
              </w:rPr>
            </w:pPr>
            <w:r>
              <w:rPr>
                <w:sz w:val="12"/>
                <w:szCs w:val="12"/>
                <w:spacing w:val="1"/>
              </w:rPr>
              <w:t>国光根动力2号</w:t>
            </w:r>
          </w:p>
        </w:tc>
        <w:tc>
          <w:tcPr>
            <w:tcW w:w="2089" w:type="dxa"/>
            <w:vAlign w:val="top"/>
            <w:tcBorders>
              <w:bottom w:val="single" w:color="000000" w:sz="2" w:space="0"/>
              <w:top w:val="single" w:color="000000" w:sz="2" w:space="0"/>
            </w:tcBorders>
          </w:tcPr>
          <w:p>
            <w:pPr>
              <w:pStyle w:val="TableText"/>
              <w:ind w:left="433"/>
              <w:spacing w:before="153" w:line="218" w:lineRule="auto"/>
              <w:rPr>
                <w:sz w:val="12"/>
                <w:szCs w:val="12"/>
              </w:rPr>
            </w:pPr>
            <w:r>
              <w:rPr>
                <w:sz w:val="12"/>
                <w:szCs w:val="12"/>
                <w:spacing w:val="2"/>
              </w:rPr>
              <w:t>3%含氨基酸水溶肥(钙)</w:t>
            </w:r>
          </w:p>
        </w:tc>
        <w:tc>
          <w:tcPr>
            <w:tcW w:w="1329" w:type="dxa"/>
            <w:vAlign w:val="top"/>
            <w:tcBorders>
              <w:bottom w:val="single" w:color="000000" w:sz="2" w:space="0"/>
              <w:top w:val="single" w:color="000000" w:sz="2" w:space="0"/>
            </w:tcBorders>
          </w:tcPr>
          <w:p>
            <w:pPr>
              <w:pStyle w:val="TableText"/>
              <w:ind w:left="175"/>
              <w:spacing w:before="153" w:line="219" w:lineRule="auto"/>
              <w:rPr>
                <w:sz w:val="12"/>
                <w:szCs w:val="12"/>
              </w:rPr>
            </w:pPr>
            <w:r>
              <w:rPr>
                <w:sz w:val="12"/>
                <w:szCs w:val="12"/>
                <w:spacing w:val="-1"/>
              </w:rPr>
              <w:t>稀释800-1000倍液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47"/>
              <w:spacing w:before="153" w:line="221" w:lineRule="auto"/>
              <w:rPr>
                <w:sz w:val="12"/>
                <w:szCs w:val="12"/>
              </w:rPr>
            </w:pPr>
            <w:r>
              <w:rPr>
                <w:sz w:val="12"/>
                <w:szCs w:val="12"/>
                <w:spacing w:val="6"/>
              </w:rPr>
              <w:t>(</w:t>
            </w:r>
            <w:r>
              <w:rPr>
                <w:sz w:val="12"/>
                <w:szCs w:val="12"/>
              </w:rPr>
              <w:t>IL</w:t>
            </w:r>
            <w:r>
              <w:rPr>
                <w:sz w:val="12"/>
                <w:szCs w:val="12"/>
                <w:spacing w:val="6"/>
              </w:rPr>
              <w:t>/瓶)</w:t>
            </w:r>
          </w:p>
        </w:tc>
        <w:tc>
          <w:tcPr>
            <w:tcW w:w="2603" w:type="dxa"/>
            <w:vAlign w:val="top"/>
            <w:tcBorders>
              <w:bottom w:val="single" w:color="000000" w:sz="2" w:space="0"/>
              <w:top w:val="single" w:color="000000" w:sz="2" w:space="0"/>
            </w:tcBorders>
          </w:tcPr>
          <w:p>
            <w:pPr>
              <w:pStyle w:val="TableText"/>
              <w:ind w:left="17"/>
              <w:spacing w:before="153" w:line="219" w:lineRule="auto"/>
              <w:rPr>
                <w:sz w:val="12"/>
                <w:szCs w:val="12"/>
              </w:rPr>
            </w:pPr>
            <w:r>
              <w:rPr>
                <w:sz w:val="12"/>
                <w:szCs w:val="12"/>
                <w:spacing w:val="-1"/>
              </w:rPr>
              <w:t>诱导树木快速生根，提高移栽成活率</w:t>
            </w:r>
          </w:p>
        </w:tc>
      </w:tr>
      <w:tr>
        <w:trPr>
          <w:trHeight w:val="385"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433"/>
              <w:spacing w:before="134" w:line="220" w:lineRule="auto"/>
              <w:rPr>
                <w:sz w:val="12"/>
                <w:szCs w:val="12"/>
              </w:rPr>
            </w:pPr>
            <w:r>
              <w:rPr>
                <w:sz w:val="12"/>
                <w:szCs w:val="12"/>
                <w:spacing w:val="-2"/>
              </w:rPr>
              <w:t>根多</w:t>
            </w:r>
          </w:p>
        </w:tc>
        <w:tc>
          <w:tcPr>
            <w:tcW w:w="2089" w:type="dxa"/>
            <w:vAlign w:val="top"/>
            <w:tcBorders>
              <w:bottom w:val="single" w:color="000000" w:sz="2" w:space="0"/>
              <w:top w:val="single" w:color="000000" w:sz="2" w:space="0"/>
            </w:tcBorders>
          </w:tcPr>
          <w:p>
            <w:pPr>
              <w:pStyle w:val="TableText"/>
              <w:ind w:left="734"/>
              <w:spacing w:before="134" w:line="220" w:lineRule="auto"/>
              <w:rPr>
                <w:sz w:val="12"/>
                <w:szCs w:val="12"/>
              </w:rPr>
            </w:pPr>
            <w:r>
              <w:rPr>
                <w:sz w:val="12"/>
                <w:szCs w:val="12"/>
                <w:spacing w:val="-1"/>
              </w:rPr>
              <w:t>氨基酸、Ca</w:t>
            </w:r>
          </w:p>
        </w:tc>
        <w:tc>
          <w:tcPr>
            <w:tcW w:w="1329" w:type="dxa"/>
            <w:vAlign w:val="top"/>
            <w:tcBorders>
              <w:bottom w:val="single" w:color="000000" w:sz="2" w:space="0"/>
              <w:top w:val="single" w:color="000000" w:sz="2" w:space="0"/>
            </w:tcBorders>
          </w:tcPr>
          <w:p>
            <w:pPr>
              <w:pStyle w:val="TableText"/>
              <w:ind w:left="175"/>
              <w:spacing w:before="133" w:line="219" w:lineRule="auto"/>
              <w:rPr>
                <w:sz w:val="12"/>
                <w:szCs w:val="12"/>
              </w:rPr>
            </w:pPr>
            <w:r>
              <w:rPr>
                <w:sz w:val="12"/>
                <w:szCs w:val="12"/>
                <w:spacing w:val="-1"/>
              </w:rPr>
              <w:t>稀释800-1000倍液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34" w:line="221" w:lineRule="auto"/>
              <w:rPr>
                <w:sz w:val="12"/>
                <w:szCs w:val="12"/>
              </w:rPr>
            </w:pPr>
            <w:r>
              <w:rPr>
                <w:sz w:val="12"/>
                <w:szCs w:val="12"/>
                <w:spacing w:val="3"/>
              </w:rPr>
              <w:t>(200z/瓶)</w:t>
            </w:r>
          </w:p>
        </w:tc>
        <w:tc>
          <w:tcPr>
            <w:tcW w:w="2603" w:type="dxa"/>
            <w:vAlign w:val="top"/>
            <w:tcBorders>
              <w:bottom w:val="single" w:color="000000" w:sz="2" w:space="0"/>
              <w:top w:val="single" w:color="000000" w:sz="2" w:space="0"/>
            </w:tcBorders>
          </w:tcPr>
          <w:p>
            <w:pPr>
              <w:pStyle w:val="TableText"/>
              <w:ind w:left="17"/>
              <w:spacing w:before="133" w:line="219" w:lineRule="auto"/>
              <w:rPr>
                <w:sz w:val="12"/>
                <w:szCs w:val="12"/>
              </w:rPr>
            </w:pPr>
            <w:r>
              <w:rPr>
                <w:sz w:val="12"/>
                <w:szCs w:val="12"/>
                <w:spacing w:val="-1"/>
              </w:rPr>
              <w:t>恢复和增强根系活力，使植株根系发达</w:t>
            </w:r>
          </w:p>
        </w:tc>
      </w:tr>
      <w:tr>
        <w:trPr>
          <w:trHeight w:val="42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153" w:line="220" w:lineRule="auto"/>
              <w:rPr>
                <w:sz w:val="12"/>
                <w:szCs w:val="12"/>
              </w:rPr>
            </w:pPr>
            <w:r>
              <w:rPr>
                <w:sz w:val="12"/>
                <w:szCs w:val="12"/>
                <w:spacing w:val="1"/>
              </w:rPr>
              <w:t>中威生根液</w:t>
            </w:r>
          </w:p>
        </w:tc>
        <w:tc>
          <w:tcPr>
            <w:tcW w:w="2089" w:type="dxa"/>
            <w:vAlign w:val="top"/>
            <w:tcBorders>
              <w:bottom w:val="single" w:color="000000" w:sz="2" w:space="0"/>
              <w:top w:val="single" w:color="000000" w:sz="2" w:space="0"/>
            </w:tcBorders>
          </w:tcPr>
          <w:p>
            <w:pPr>
              <w:pStyle w:val="TableText"/>
              <w:ind w:left="463"/>
              <w:spacing w:before="153" w:line="219" w:lineRule="auto"/>
              <w:rPr>
                <w:sz w:val="12"/>
                <w:szCs w:val="12"/>
              </w:rPr>
            </w:pPr>
            <w:r>
              <w:rPr>
                <w:sz w:val="12"/>
                <w:szCs w:val="12"/>
                <w:spacing w:val="-1"/>
              </w:rPr>
              <w:t>紫乙酸、喝噪乙酸10%</w:t>
            </w:r>
          </w:p>
        </w:tc>
        <w:tc>
          <w:tcPr>
            <w:tcW w:w="1329" w:type="dxa"/>
            <w:vAlign w:val="top"/>
            <w:tcBorders>
              <w:bottom w:val="single" w:color="000000" w:sz="2" w:space="0"/>
              <w:top w:val="single" w:color="000000" w:sz="2" w:space="0"/>
            </w:tcBorders>
          </w:tcPr>
          <w:p>
            <w:pPr>
              <w:pStyle w:val="TableText"/>
              <w:ind w:left="325"/>
              <w:spacing w:before="153" w:line="220" w:lineRule="auto"/>
              <w:rPr>
                <w:sz w:val="12"/>
                <w:szCs w:val="12"/>
              </w:rPr>
            </w:pPr>
            <w:r>
              <w:rPr>
                <w:sz w:val="12"/>
                <w:szCs w:val="12"/>
                <w:spacing w:val="-1"/>
              </w:rPr>
              <w:t>300-500倍液</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177"/>
              <w:spacing w:before="149" w:line="213" w:lineRule="auto"/>
              <w:rPr>
                <w:sz w:val="12"/>
                <w:szCs w:val="12"/>
              </w:rPr>
            </w:pPr>
            <w:r>
              <w:rPr>
                <w:sz w:val="12"/>
                <w:szCs w:val="12"/>
                <w:spacing w:val="-1"/>
              </w:rPr>
              <w:t>4kg/桶</w:t>
            </w:r>
          </w:p>
        </w:tc>
        <w:tc>
          <w:tcPr>
            <w:tcW w:w="2603" w:type="dxa"/>
            <w:vAlign w:val="top"/>
            <w:tcBorders>
              <w:bottom w:val="single" w:color="000000" w:sz="2" w:space="0"/>
              <w:top w:val="single" w:color="000000" w:sz="2" w:space="0"/>
            </w:tcBorders>
          </w:tcPr>
          <w:p>
            <w:pPr>
              <w:pStyle w:val="TableText"/>
              <w:ind w:left="17" w:right="54"/>
              <w:spacing w:before="92" w:line="247" w:lineRule="auto"/>
              <w:rPr>
                <w:sz w:val="12"/>
                <w:szCs w:val="12"/>
              </w:rPr>
            </w:pPr>
            <w:r>
              <w:rPr>
                <w:sz w:val="12"/>
                <w:szCs w:val="12"/>
              </w:rPr>
              <w:t>促使树木快速生根，形成庞大根系，快速萌芽， </w:t>
            </w:r>
            <w:r>
              <w:rPr>
                <w:sz w:val="12"/>
                <w:szCs w:val="12"/>
                <w:spacing w:val="-2"/>
              </w:rPr>
              <w:t>改善植物长势</w:t>
            </w:r>
          </w:p>
        </w:tc>
      </w:tr>
      <w:tr>
        <w:trPr>
          <w:trHeight w:val="41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193"/>
              <w:spacing w:before="153" w:line="219" w:lineRule="auto"/>
              <w:rPr>
                <w:sz w:val="12"/>
                <w:szCs w:val="12"/>
              </w:rPr>
            </w:pPr>
            <w:r>
              <w:rPr>
                <w:sz w:val="12"/>
                <w:szCs w:val="12"/>
                <w:spacing w:val="-1"/>
              </w:rPr>
              <w:t>诺耆信根聚地</w:t>
            </w:r>
          </w:p>
        </w:tc>
        <w:tc>
          <w:tcPr>
            <w:tcW w:w="2089" w:type="dxa"/>
            <w:vAlign w:val="top"/>
            <w:tcBorders>
              <w:bottom w:val="single" w:color="000000" w:sz="2" w:space="0"/>
              <w:top w:val="single" w:color="000000" w:sz="2" w:space="0"/>
            </w:tcBorders>
          </w:tcPr>
          <w:p>
            <w:pPr>
              <w:pStyle w:val="TableText"/>
              <w:ind w:left="683" w:right="390" w:hanging="310"/>
              <w:spacing w:before="93" w:line="204" w:lineRule="auto"/>
              <w:rPr>
                <w:sz w:val="12"/>
                <w:szCs w:val="12"/>
              </w:rPr>
            </w:pPr>
            <w:r>
              <w:rPr>
                <w:sz w:val="12"/>
                <w:szCs w:val="12"/>
                <w:spacing w:val="-1"/>
              </w:rPr>
              <w:t>有机质黄腐酸、大量元素</w:t>
            </w:r>
            <w:r>
              <w:rPr>
                <w:sz w:val="12"/>
                <w:szCs w:val="12"/>
                <w:spacing w:val="4"/>
              </w:rPr>
              <w:t xml:space="preserve"> </w:t>
            </w:r>
            <w:r>
              <w:rPr>
                <w:sz w:val="12"/>
                <w:szCs w:val="12"/>
                <w:spacing w:val="-2"/>
              </w:rPr>
              <w:t>1lg/L+454g/L</w:t>
            </w:r>
          </w:p>
        </w:tc>
        <w:tc>
          <w:tcPr>
            <w:tcW w:w="1329" w:type="dxa"/>
            <w:vAlign w:val="top"/>
            <w:tcBorders>
              <w:bottom w:val="single" w:color="000000" w:sz="2" w:space="0"/>
              <w:top w:val="single" w:color="000000" w:sz="2" w:space="0"/>
            </w:tcBorders>
          </w:tcPr>
          <w:p>
            <w:pPr>
              <w:pStyle w:val="TableText"/>
              <w:ind w:left="385"/>
              <w:spacing w:before="154" w:line="220" w:lineRule="auto"/>
              <w:rPr>
                <w:sz w:val="12"/>
                <w:szCs w:val="12"/>
              </w:rPr>
            </w:pPr>
            <w:r>
              <w:rPr>
                <w:sz w:val="12"/>
                <w:szCs w:val="12"/>
                <w:spacing w:val="-6"/>
              </w:rPr>
              <w:t>600—800倍</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86"/>
              <w:spacing w:before="154" w:line="221" w:lineRule="auto"/>
              <w:rPr>
                <w:sz w:val="12"/>
                <w:szCs w:val="12"/>
              </w:rPr>
            </w:pPr>
            <w:r>
              <w:rPr>
                <w:sz w:val="12"/>
                <w:szCs w:val="12"/>
                <w:spacing w:val="-1"/>
              </w:rPr>
              <w:t>5000m1/瓶</w:t>
            </w:r>
          </w:p>
        </w:tc>
        <w:tc>
          <w:tcPr>
            <w:tcW w:w="2603" w:type="dxa"/>
            <w:vAlign w:val="top"/>
            <w:tcBorders>
              <w:bottom w:val="single" w:color="000000" w:sz="2" w:space="0"/>
              <w:top w:val="single" w:color="000000" w:sz="2" w:space="0"/>
            </w:tcBorders>
          </w:tcPr>
          <w:p>
            <w:pPr>
              <w:pStyle w:val="TableText"/>
              <w:ind w:left="17" w:right="180"/>
              <w:spacing w:before="93" w:line="209" w:lineRule="auto"/>
              <w:rPr>
                <w:sz w:val="12"/>
                <w:szCs w:val="12"/>
              </w:rPr>
            </w:pPr>
            <w:r>
              <w:rPr>
                <w:sz w:val="12"/>
                <w:szCs w:val="12"/>
                <w:spacing w:val="-1"/>
              </w:rPr>
              <w:t>提供根系生长发育内源动力，诱导刺激根系活</w:t>
            </w:r>
            <w:r>
              <w:rPr>
                <w:sz w:val="12"/>
                <w:szCs w:val="12"/>
                <w:spacing w:val="13"/>
              </w:rPr>
              <w:t xml:space="preserve"> </w:t>
            </w:r>
            <w:r>
              <w:rPr>
                <w:sz w:val="12"/>
                <w:szCs w:val="12"/>
                <w:spacing w:val="-1"/>
              </w:rPr>
              <w:t>力，提高移栽成活率，促进草坪快速生根成块</w:t>
            </w:r>
          </w:p>
        </w:tc>
      </w:tr>
      <w:tr>
        <w:trPr>
          <w:trHeight w:val="534" w:hRule="atLeast"/>
        </w:trPr>
        <w:tc>
          <w:tcPr>
            <w:tcW w:w="42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0"/>
              <w:spacing w:before="39" w:line="219" w:lineRule="auto"/>
              <w:rPr>
                <w:sz w:val="12"/>
                <w:szCs w:val="12"/>
              </w:rPr>
            </w:pPr>
            <w:r>
              <w:rPr>
                <w:sz w:val="12"/>
                <w:szCs w:val="12"/>
                <w:spacing w:val="-1"/>
              </w:rPr>
              <w:t>树木复壮</w:t>
            </w:r>
          </w:p>
        </w:tc>
        <w:tc>
          <w:tcPr>
            <w:tcW w:w="929" w:type="dxa"/>
            <w:vAlign w:val="top"/>
            <w:vMerge w:val="restart"/>
            <w:tcBorders>
              <w:bottom w:val="nil"/>
              <w:top w:val="single" w:color="000000" w:sz="2" w:space="0"/>
            </w:tcBorders>
          </w:tcPr>
          <w:p>
            <w:pPr>
              <w:spacing w:line="285" w:lineRule="auto"/>
              <w:rPr>
                <w:rFonts w:ascii="Arial"/>
                <w:sz w:val="21"/>
              </w:rPr>
            </w:pPr>
            <w:r/>
          </w:p>
          <w:p>
            <w:pPr>
              <w:spacing w:line="286" w:lineRule="auto"/>
              <w:rPr>
                <w:rFonts w:ascii="Arial"/>
                <w:sz w:val="21"/>
              </w:rPr>
            </w:pPr>
            <w:r/>
          </w:p>
          <w:p>
            <w:pPr>
              <w:pStyle w:val="TableText"/>
              <w:ind w:left="30"/>
              <w:spacing w:before="39" w:line="219" w:lineRule="auto"/>
              <w:rPr>
                <w:sz w:val="12"/>
                <w:szCs w:val="12"/>
              </w:rPr>
            </w:pPr>
            <w:r>
              <w:rPr>
                <w:sz w:val="12"/>
                <w:szCs w:val="12"/>
                <w:spacing w:val="2"/>
              </w:rPr>
              <w:t>树木长势弱，白</w:t>
            </w:r>
          </w:p>
          <w:p>
            <w:pPr>
              <w:pStyle w:val="TableText"/>
              <w:ind w:left="30"/>
              <w:spacing w:before="17" w:line="215" w:lineRule="auto"/>
              <w:rPr>
                <w:sz w:val="12"/>
                <w:szCs w:val="12"/>
              </w:rPr>
            </w:pPr>
            <w:r>
              <w:rPr>
                <w:sz w:val="12"/>
                <w:szCs w:val="12"/>
                <w:spacing w:val="-1"/>
              </w:rPr>
              <w:t>顾部向下有枯黄</w:t>
            </w:r>
          </w:p>
          <w:p>
            <w:pPr>
              <w:pStyle w:val="TableText"/>
              <w:ind w:left="10" w:right="54" w:firstLine="19"/>
              <w:spacing w:line="248" w:lineRule="auto"/>
              <w:rPr>
                <w:sz w:val="12"/>
                <w:szCs w:val="12"/>
              </w:rPr>
            </w:pPr>
            <w:r>
              <w:rPr>
                <w:sz w:val="12"/>
                <w:szCs w:val="12"/>
                <w:spacing w:val="-1"/>
              </w:rPr>
              <w:t>现象，或高大乔</w:t>
            </w:r>
            <w:r>
              <w:rPr>
                <w:sz w:val="12"/>
                <w:szCs w:val="12"/>
              </w:rPr>
              <w:t xml:space="preserve"> </w:t>
            </w:r>
            <w:r>
              <w:rPr>
                <w:sz w:val="12"/>
                <w:szCs w:val="12"/>
                <w:spacing w:val="-1"/>
              </w:rPr>
              <w:t>木及贵重树木</w:t>
            </w:r>
          </w:p>
        </w:tc>
        <w:tc>
          <w:tcPr>
            <w:tcW w:w="2748" w:type="dxa"/>
            <w:vAlign w:val="top"/>
            <w:vMerge w:val="restart"/>
            <w:tcBorders>
              <w:bottom w:val="nil"/>
              <w:top w:val="single" w:color="000000" w:sz="2" w:space="0"/>
            </w:tcBorders>
          </w:tcPr>
          <w:p>
            <w:pPr>
              <w:spacing w:line="251" w:lineRule="auto"/>
              <w:rPr>
                <w:rFonts w:ascii="Arial"/>
                <w:sz w:val="21"/>
              </w:rPr>
            </w:pPr>
            <w:r/>
          </w:p>
          <w:p>
            <w:pPr>
              <w:spacing w:line="251" w:lineRule="auto"/>
              <w:rPr>
                <w:rFonts w:ascii="Arial"/>
                <w:sz w:val="21"/>
              </w:rPr>
            </w:pPr>
            <w:r/>
          </w:p>
          <w:p>
            <w:pPr>
              <w:pStyle w:val="TableText"/>
              <w:ind w:left="11" w:right="7"/>
              <w:spacing w:before="39" w:line="226" w:lineRule="auto"/>
              <w:rPr>
                <w:sz w:val="12"/>
                <w:szCs w:val="12"/>
              </w:rPr>
            </w:pPr>
            <w:r>
              <w:rPr>
                <w:sz w:val="12"/>
                <w:szCs w:val="12"/>
                <w:spacing w:val="-2"/>
              </w:rPr>
              <w:t>一、主要集中在4月中5月初，气温上开，空气湿度增</w:t>
            </w:r>
            <w:r>
              <w:rPr>
                <w:sz w:val="12"/>
                <w:szCs w:val="12"/>
                <w:spacing w:val="6"/>
              </w:rPr>
              <w:t xml:space="preserve"> </w:t>
            </w:r>
            <w:r>
              <w:rPr>
                <w:sz w:val="12"/>
                <w:szCs w:val="12"/>
                <w:spacing w:val="-1"/>
              </w:rPr>
              <w:t>加。苗木结束休眠期开始返青，是树木复壮最性时</w:t>
            </w:r>
            <w:r>
              <w:rPr>
                <w:sz w:val="12"/>
                <w:szCs w:val="12"/>
                <w:spacing w:val="8"/>
              </w:rPr>
              <w:t xml:space="preserve">  </w:t>
            </w:r>
            <w:r>
              <w:rPr>
                <w:sz w:val="12"/>
                <w:szCs w:val="12"/>
                <w:spacing w:val="-3"/>
              </w:rPr>
              <w:t>机</w:t>
            </w:r>
            <w:r>
              <w:rPr>
                <w:sz w:val="12"/>
                <w:szCs w:val="12"/>
                <w:spacing w:val="-28"/>
              </w:rPr>
              <w:t xml:space="preserve"> </w:t>
            </w:r>
            <w:r>
              <w:rPr>
                <w:sz w:val="12"/>
                <w:szCs w:val="12"/>
                <w:spacing w:val="-3"/>
              </w:rPr>
              <w:t>：</w:t>
            </w:r>
          </w:p>
          <w:p>
            <w:pPr>
              <w:pStyle w:val="TableText"/>
              <w:ind w:left="11"/>
              <w:spacing w:before="18" w:line="219" w:lineRule="auto"/>
              <w:rPr>
                <w:sz w:val="12"/>
                <w:szCs w:val="12"/>
              </w:rPr>
            </w:pPr>
            <w:r>
              <w:rPr>
                <w:sz w:val="12"/>
                <w:szCs w:val="12"/>
              </w:rPr>
              <w:t>三，6-9月有个别情况，做专项治疗。</w:t>
            </w:r>
          </w:p>
        </w:tc>
        <w:tc>
          <w:tcPr>
            <w:tcW w:w="1119" w:type="dxa"/>
            <w:vAlign w:val="top"/>
            <w:tcBorders>
              <w:bottom w:val="single" w:color="000000" w:sz="2" w:space="0"/>
              <w:top w:val="single" w:color="000000" w:sz="2" w:space="0"/>
            </w:tcBorders>
          </w:tcPr>
          <w:p>
            <w:pPr>
              <w:pStyle w:val="TableText"/>
              <w:ind w:left="253"/>
              <w:spacing w:before="214" w:line="219" w:lineRule="auto"/>
              <w:rPr>
                <w:sz w:val="12"/>
                <w:szCs w:val="12"/>
              </w:rPr>
            </w:pPr>
            <w:r>
              <w:rPr>
                <w:sz w:val="12"/>
                <w:szCs w:val="12"/>
                <w:spacing w:val="2"/>
              </w:rPr>
              <w:t>国光树动力</w:t>
            </w:r>
          </w:p>
        </w:tc>
        <w:tc>
          <w:tcPr>
            <w:tcW w:w="2089" w:type="dxa"/>
            <w:vAlign w:val="top"/>
            <w:tcBorders>
              <w:bottom w:val="single" w:color="000000" w:sz="2" w:space="0"/>
              <w:top w:val="single" w:color="000000" w:sz="2" w:space="0"/>
            </w:tcBorders>
          </w:tcPr>
          <w:p>
            <w:pPr>
              <w:pStyle w:val="TableText"/>
              <w:ind w:left="913" w:right="30" w:hanging="899"/>
              <w:spacing w:before="153" w:line="217" w:lineRule="auto"/>
              <w:rPr>
                <w:sz w:val="12"/>
                <w:szCs w:val="12"/>
              </w:rPr>
            </w:pPr>
            <w:r>
              <w:rPr>
                <w:sz w:val="12"/>
                <w:szCs w:val="12"/>
                <w:spacing w:val="-1"/>
              </w:rPr>
              <w:t>细胞分裂类高活性物质，含丰富矿物质</w:t>
            </w:r>
            <w:r>
              <w:rPr>
                <w:sz w:val="12"/>
                <w:szCs w:val="12"/>
                <w:spacing w:val="10"/>
              </w:rPr>
              <w:t xml:space="preserve"> </w:t>
            </w:r>
            <w:r>
              <w:rPr>
                <w:sz w:val="12"/>
                <w:szCs w:val="12"/>
                <w:spacing w:val="-2"/>
              </w:rPr>
              <w:t>溶剂</w:t>
            </w:r>
          </w:p>
        </w:tc>
        <w:tc>
          <w:tcPr>
            <w:tcW w:w="1329" w:type="dxa"/>
            <w:vAlign w:val="top"/>
            <w:tcBorders>
              <w:bottom w:val="single" w:color="000000" w:sz="2" w:space="0"/>
              <w:top w:val="single" w:color="000000" w:sz="2" w:space="0"/>
            </w:tcBorders>
          </w:tcPr>
          <w:p>
            <w:pPr>
              <w:pStyle w:val="TableText"/>
              <w:ind w:left="55"/>
              <w:spacing w:before="74" w:line="219" w:lineRule="auto"/>
              <w:rPr>
                <w:sz w:val="12"/>
                <w:szCs w:val="12"/>
              </w:rPr>
            </w:pPr>
            <w:r>
              <w:rPr>
                <w:sz w:val="12"/>
                <w:szCs w:val="12"/>
                <w:spacing w:val="-1"/>
              </w:rPr>
              <w:t>直接使用，一般胸径8-</w:t>
            </w:r>
          </w:p>
          <w:p>
            <w:pPr>
              <w:pStyle w:val="TableText"/>
              <w:ind w:left="15"/>
              <w:spacing w:before="7" w:line="219" w:lineRule="auto"/>
              <w:rPr>
                <w:sz w:val="12"/>
                <w:szCs w:val="12"/>
              </w:rPr>
            </w:pPr>
            <w:r>
              <w:rPr>
                <w:sz w:val="12"/>
                <w:szCs w:val="12"/>
              </w:rPr>
              <w:t>10cn扬1瓶，胸径每增加</w:t>
            </w:r>
          </w:p>
          <w:p>
            <w:pPr>
              <w:pStyle w:val="TableText"/>
              <w:ind w:left="325"/>
              <w:spacing w:before="18" w:line="214" w:lineRule="auto"/>
              <w:rPr>
                <w:sz w:val="12"/>
                <w:szCs w:val="12"/>
              </w:rPr>
            </w:pPr>
            <w:r>
              <w:rPr>
                <w:sz w:val="12"/>
                <w:szCs w:val="12"/>
                <w:spacing w:val="-2"/>
              </w:rPr>
              <w:t>10cn增加1瓶</w:t>
            </w:r>
          </w:p>
        </w:tc>
        <w:tc>
          <w:tcPr>
            <w:tcW w:w="1529"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36"/>
              <w:spacing w:before="39" w:line="219" w:lineRule="auto"/>
              <w:rPr>
                <w:sz w:val="12"/>
                <w:szCs w:val="12"/>
              </w:rPr>
            </w:pPr>
            <w:r>
              <w:rPr>
                <w:sz w:val="12"/>
                <w:szCs w:val="12"/>
                <w:spacing w:val="-1"/>
              </w:rPr>
              <w:t>视树木生长情况</w:t>
            </w:r>
          </w:p>
        </w:tc>
        <w:tc>
          <w:tcPr>
            <w:tcW w:w="729" w:type="dxa"/>
            <w:vAlign w:val="top"/>
            <w:tcBorders>
              <w:bottom w:val="single" w:color="000000" w:sz="2" w:space="0"/>
              <w:top w:val="single" w:color="000000" w:sz="2" w:space="0"/>
            </w:tcBorders>
          </w:tcPr>
          <w:p>
            <w:pPr>
              <w:pStyle w:val="TableText"/>
              <w:ind w:left="266" w:right="177" w:hanging="119"/>
              <w:spacing w:before="156" w:line="217" w:lineRule="auto"/>
              <w:rPr>
                <w:sz w:val="12"/>
                <w:szCs w:val="12"/>
              </w:rPr>
            </w:pPr>
            <w:r>
              <w:rPr>
                <w:sz w:val="12"/>
                <w:szCs w:val="12"/>
                <w:spacing w:val="-4"/>
              </w:rPr>
              <w:t>(300ml/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spacing w:before="214" w:line="219" w:lineRule="auto"/>
              <w:rPr>
                <w:sz w:val="12"/>
                <w:szCs w:val="12"/>
              </w:rPr>
            </w:pPr>
            <w:r>
              <w:rPr>
                <w:sz w:val="12"/>
                <w:szCs w:val="12"/>
                <w:spacing w:val="-1"/>
              </w:rPr>
              <w:t>大树直指瓶，大树古树复壮</w:t>
            </w:r>
          </w:p>
        </w:tc>
      </w:tr>
      <w:tr>
        <w:trPr>
          <w:trHeight w:val="534" w:hRule="atLeast"/>
        </w:trPr>
        <w:tc>
          <w:tcPr>
            <w:tcW w:w="42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2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119" w:type="dxa"/>
            <w:vAlign w:val="top"/>
            <w:tcBorders>
              <w:bottom w:val="single" w:color="000000" w:sz="2" w:space="0"/>
              <w:top w:val="single" w:color="000000" w:sz="2" w:space="0"/>
            </w:tcBorders>
          </w:tcPr>
          <w:p>
            <w:pPr>
              <w:pStyle w:val="TableText"/>
              <w:ind w:left="253"/>
              <w:spacing w:before="214" w:line="220" w:lineRule="auto"/>
              <w:rPr>
                <w:sz w:val="12"/>
                <w:szCs w:val="12"/>
              </w:rPr>
            </w:pPr>
            <w:r>
              <w:rPr>
                <w:sz w:val="12"/>
                <w:szCs w:val="12"/>
                <w:spacing w:val="1"/>
              </w:rPr>
              <w:t>中威激活液</w:t>
            </w:r>
          </w:p>
        </w:tc>
        <w:tc>
          <w:tcPr>
            <w:tcW w:w="2089" w:type="dxa"/>
            <w:vAlign w:val="top"/>
            <w:tcBorders>
              <w:bottom w:val="single" w:color="000000" w:sz="2" w:space="0"/>
              <w:top w:val="single" w:color="000000" w:sz="2" w:space="0"/>
            </w:tcBorders>
          </w:tcPr>
          <w:p>
            <w:pPr>
              <w:pStyle w:val="TableText"/>
              <w:ind w:left="554"/>
              <w:spacing w:before="212" w:line="216" w:lineRule="auto"/>
              <w:rPr>
                <w:sz w:val="12"/>
                <w:szCs w:val="12"/>
              </w:rPr>
            </w:pPr>
            <w:r>
              <w:rPr>
                <w:sz w:val="12"/>
                <w:szCs w:val="12"/>
                <w:spacing w:val="-1"/>
              </w:rPr>
              <w:t>6B-A,复硝酚钠10%</w:t>
            </w:r>
          </w:p>
        </w:tc>
        <w:tc>
          <w:tcPr>
            <w:tcW w:w="1329" w:type="dxa"/>
            <w:vAlign w:val="top"/>
            <w:tcBorders>
              <w:bottom w:val="single" w:color="000000" w:sz="2" w:space="0"/>
              <w:top w:val="single" w:color="000000" w:sz="2" w:space="0"/>
            </w:tcBorders>
          </w:tcPr>
          <w:p>
            <w:pPr>
              <w:pStyle w:val="TableText"/>
              <w:ind w:left="55"/>
              <w:spacing w:before="74" w:line="219" w:lineRule="auto"/>
              <w:rPr>
                <w:sz w:val="12"/>
                <w:szCs w:val="12"/>
              </w:rPr>
            </w:pPr>
            <w:r>
              <w:rPr>
                <w:sz w:val="12"/>
                <w:szCs w:val="12"/>
                <w:spacing w:val="-1"/>
              </w:rPr>
              <w:t>直接使用，一般胸径8-</w:t>
            </w:r>
          </w:p>
          <w:p>
            <w:pPr>
              <w:pStyle w:val="TableText"/>
              <w:ind w:left="25"/>
              <w:spacing w:before="17" w:line="201" w:lineRule="auto"/>
              <w:rPr>
                <w:sz w:val="12"/>
                <w:szCs w:val="12"/>
              </w:rPr>
            </w:pPr>
            <w:r>
              <w:rPr>
                <w:sz w:val="12"/>
                <w:szCs w:val="12"/>
              </w:rPr>
              <w:t>10cn插1瓶，胸径每增加</w:t>
            </w:r>
          </w:p>
          <w:p>
            <w:pPr>
              <w:pStyle w:val="TableText"/>
              <w:ind w:left="345"/>
              <w:spacing w:line="220" w:lineRule="auto"/>
              <w:rPr>
                <w:sz w:val="12"/>
                <w:szCs w:val="12"/>
              </w:rPr>
            </w:pPr>
            <w:r>
              <w:rPr>
                <w:sz w:val="12"/>
                <w:szCs w:val="12"/>
                <w:spacing w:val="-2"/>
              </w:rPr>
              <w:t>10en增加1瓶</w:t>
            </w:r>
          </w:p>
        </w:tc>
        <w:tc>
          <w:tcPr>
            <w:tcW w:w="1529" w:type="dxa"/>
            <w:vAlign w:val="top"/>
            <w:vMerge w:val="continue"/>
            <w:tcBorders>
              <w:bottom w:val="nil"/>
              <w:top w:val="nil"/>
            </w:tcBorders>
          </w:tcPr>
          <w:p>
            <w:pPr>
              <w:rPr>
                <w:rFonts w:ascii="Arial"/>
                <w:sz w:val="21"/>
              </w:rPr>
            </w:pPr>
            <w:r/>
          </w:p>
        </w:tc>
        <w:tc>
          <w:tcPr>
            <w:tcW w:w="729" w:type="dxa"/>
            <w:vAlign w:val="top"/>
            <w:tcBorders>
              <w:bottom w:val="single" w:color="000000" w:sz="2" w:space="0"/>
              <w:top w:val="single" w:color="000000" w:sz="2" w:space="0"/>
            </w:tcBorders>
          </w:tcPr>
          <w:p>
            <w:pPr>
              <w:pStyle w:val="TableText"/>
              <w:ind w:left="266" w:right="177" w:hanging="119"/>
              <w:spacing w:before="156" w:line="217" w:lineRule="auto"/>
              <w:rPr>
                <w:sz w:val="12"/>
                <w:szCs w:val="12"/>
              </w:rPr>
            </w:pPr>
            <w:r>
              <w:rPr>
                <w:sz w:val="12"/>
                <w:szCs w:val="12"/>
                <w:spacing w:val="-4"/>
              </w:rPr>
              <w:t>(350ml/</w:t>
            </w:r>
            <w:r>
              <w:rPr>
                <w:sz w:val="12"/>
                <w:szCs w:val="12"/>
                <w:spacing w:val="1"/>
              </w:rPr>
              <w:t xml:space="preserve"> </w:t>
            </w:r>
            <w:r>
              <w:rPr>
                <w:sz w:val="12"/>
                <w:szCs w:val="12"/>
                <w:spacing w:val="-3"/>
              </w:rPr>
              <w:t>瓶</w:t>
            </w:r>
            <w:r>
              <w:rPr>
                <w:sz w:val="12"/>
                <w:szCs w:val="12"/>
                <w:spacing w:val="-24"/>
              </w:rPr>
              <w:t xml:space="preserve"> </w:t>
            </w:r>
            <w:r>
              <w:rPr>
                <w:sz w:val="12"/>
                <w:szCs w:val="12"/>
                <w:spacing w:val="-3"/>
              </w:rPr>
              <w:t>)</w:t>
            </w:r>
          </w:p>
        </w:tc>
        <w:tc>
          <w:tcPr>
            <w:tcW w:w="2603" w:type="dxa"/>
            <w:vAlign w:val="top"/>
            <w:tcBorders>
              <w:bottom w:val="single" w:color="000000" w:sz="2" w:space="0"/>
              <w:top w:val="single" w:color="000000" w:sz="2" w:space="0"/>
            </w:tcBorders>
          </w:tcPr>
          <w:p>
            <w:pPr>
              <w:pStyle w:val="TableText"/>
              <w:ind w:left="17" w:right="59"/>
              <w:spacing w:before="144" w:line="234" w:lineRule="auto"/>
              <w:rPr>
                <w:sz w:val="12"/>
                <w:szCs w:val="12"/>
              </w:rPr>
            </w:pPr>
            <w:r>
              <w:rPr>
                <w:sz w:val="12"/>
                <w:szCs w:val="12"/>
                <w:spacing w:val="-1"/>
              </w:rPr>
              <w:t>补充水分养分，促进发芽、防止黄叶、萎蔫，生</w:t>
            </w:r>
            <w:r>
              <w:rPr>
                <w:sz w:val="12"/>
                <w:szCs w:val="12"/>
                <w:spacing w:val="15"/>
              </w:rPr>
              <w:t xml:space="preserve"> </w:t>
            </w:r>
            <w:r>
              <w:rPr>
                <w:sz w:val="12"/>
                <w:szCs w:val="12"/>
                <w:spacing w:val="-2"/>
              </w:rPr>
              <w:t>理性病害</w:t>
            </w:r>
          </w:p>
        </w:tc>
      </w:tr>
      <w:tr>
        <w:trPr>
          <w:trHeight w:val="699" w:hRule="atLeast"/>
        </w:trPr>
        <w:tc>
          <w:tcPr>
            <w:tcW w:w="42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2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119" w:type="dxa"/>
            <w:vAlign w:val="top"/>
            <w:tcBorders>
              <w:bottom w:val="single" w:color="000000" w:sz="2" w:space="0"/>
              <w:top w:val="single" w:color="000000" w:sz="2" w:space="0"/>
            </w:tcBorders>
          </w:tcPr>
          <w:p>
            <w:pPr>
              <w:spacing w:line="254" w:lineRule="auto"/>
              <w:rPr>
                <w:rFonts w:ascii="Arial"/>
                <w:sz w:val="21"/>
              </w:rPr>
            </w:pPr>
            <w:r/>
          </w:p>
          <w:p>
            <w:pPr>
              <w:pStyle w:val="TableText"/>
              <w:ind w:left="313"/>
              <w:spacing w:before="39" w:line="218" w:lineRule="auto"/>
              <w:rPr>
                <w:sz w:val="12"/>
                <w:szCs w:val="12"/>
              </w:rPr>
            </w:pPr>
            <w:r>
              <w:rPr>
                <w:sz w:val="12"/>
                <w:szCs w:val="12"/>
                <w:spacing w:val="1"/>
              </w:rPr>
              <w:t>国光棒肥</w:t>
            </w:r>
          </w:p>
        </w:tc>
        <w:tc>
          <w:tcPr>
            <w:tcW w:w="2089" w:type="dxa"/>
            <w:vAlign w:val="top"/>
            <w:tcBorders>
              <w:bottom w:val="single" w:color="000000" w:sz="2" w:space="0"/>
              <w:top w:val="single" w:color="000000" w:sz="2" w:space="0"/>
            </w:tcBorders>
          </w:tcPr>
          <w:p>
            <w:pPr>
              <w:spacing w:line="254" w:lineRule="auto"/>
              <w:rPr>
                <w:rFonts w:ascii="Arial"/>
                <w:sz w:val="21"/>
              </w:rPr>
            </w:pPr>
            <w:r/>
          </w:p>
          <w:p>
            <w:pPr>
              <w:pStyle w:val="TableText"/>
              <w:ind w:left="254"/>
              <w:spacing w:before="39" w:line="218" w:lineRule="auto"/>
              <w:rPr>
                <w:sz w:val="12"/>
                <w:szCs w:val="12"/>
              </w:rPr>
            </w:pPr>
            <w:r>
              <w:rPr>
                <w:sz w:val="12"/>
                <w:szCs w:val="12"/>
                <w:spacing w:val="-1"/>
              </w:rPr>
              <w:t>微肥，稀有元素、大量元素肥</w:t>
            </w:r>
          </w:p>
        </w:tc>
        <w:tc>
          <w:tcPr>
            <w:tcW w:w="1329" w:type="dxa"/>
            <w:vAlign w:val="top"/>
            <w:tcBorders>
              <w:bottom w:val="single" w:color="000000" w:sz="2" w:space="0"/>
              <w:top w:val="single" w:color="000000" w:sz="2" w:space="0"/>
            </w:tcBorders>
          </w:tcPr>
          <w:p>
            <w:pPr>
              <w:pStyle w:val="TableText"/>
              <w:ind w:left="55"/>
              <w:spacing w:before="25" w:line="200" w:lineRule="auto"/>
              <w:rPr>
                <w:sz w:val="12"/>
                <w:szCs w:val="12"/>
              </w:rPr>
            </w:pPr>
            <w:r>
              <w:rPr>
                <w:sz w:val="12"/>
                <w:szCs w:val="12"/>
                <w:spacing w:val="-1"/>
              </w:rPr>
              <w:t>直接使用，根据树的胸</w:t>
            </w:r>
          </w:p>
          <w:p>
            <w:pPr>
              <w:pStyle w:val="TableText"/>
              <w:ind w:left="15"/>
              <w:spacing w:line="219" w:lineRule="auto"/>
              <w:rPr>
                <w:sz w:val="12"/>
                <w:szCs w:val="12"/>
              </w:rPr>
            </w:pPr>
            <w:r>
              <w:rPr>
                <w:sz w:val="12"/>
                <w:szCs w:val="12"/>
                <w:spacing w:val="-1"/>
              </w:rPr>
              <w:t>径进行调整：10c一下</w:t>
            </w:r>
          </w:p>
          <w:p>
            <w:pPr>
              <w:pStyle w:val="TableText"/>
              <w:ind w:left="25"/>
              <w:spacing w:before="27" w:line="200" w:lineRule="auto"/>
              <w:rPr>
                <w:sz w:val="12"/>
                <w:szCs w:val="12"/>
              </w:rPr>
            </w:pPr>
            <w:r>
              <w:rPr>
                <w:sz w:val="12"/>
                <w:szCs w:val="12"/>
              </w:rPr>
              <w:t>的树1-2支，10cm以上的</w:t>
            </w:r>
          </w:p>
          <w:p>
            <w:pPr>
              <w:pStyle w:val="TableText"/>
              <w:ind w:left="35"/>
              <w:spacing w:line="200" w:lineRule="auto"/>
              <w:rPr>
                <w:sz w:val="12"/>
                <w:szCs w:val="12"/>
              </w:rPr>
            </w:pPr>
            <w:r>
              <w:rPr>
                <w:sz w:val="12"/>
                <w:szCs w:val="12"/>
                <w:spacing w:val="-1"/>
              </w:rPr>
              <w:t>树胸径每增加5cm则增加</w:t>
            </w:r>
          </w:p>
          <w:p>
            <w:pPr>
              <w:pStyle w:val="TableText"/>
              <w:ind w:left="574"/>
              <w:spacing w:line="159" w:lineRule="auto"/>
              <w:rPr>
                <w:sz w:val="12"/>
                <w:szCs w:val="12"/>
              </w:rPr>
            </w:pPr>
            <w:r>
              <w:rPr>
                <w:sz w:val="12"/>
                <w:szCs w:val="12"/>
                <w:spacing w:val="3"/>
              </w:rPr>
              <w:t>1支</w:t>
            </w:r>
          </w:p>
        </w:tc>
        <w:tc>
          <w:tcPr>
            <w:tcW w:w="1529" w:type="dxa"/>
            <w:vAlign w:val="top"/>
            <w:vMerge w:val="continue"/>
            <w:tcBorders>
              <w:bottom w:val="single" w:color="000000" w:sz="2" w:space="0"/>
              <w:top w:val="nil"/>
            </w:tcBorders>
          </w:tcPr>
          <w:p>
            <w:pPr>
              <w:rPr>
                <w:rFonts w:ascii="Arial"/>
                <w:sz w:val="21"/>
              </w:rPr>
            </w:pPr>
            <w:r/>
          </w:p>
        </w:tc>
        <w:tc>
          <w:tcPr>
            <w:tcW w:w="729" w:type="dxa"/>
            <w:vAlign w:val="top"/>
            <w:tcBorders>
              <w:bottom w:val="single" w:color="000000" w:sz="2" w:space="0"/>
              <w:top w:val="single" w:color="000000" w:sz="2" w:space="0"/>
            </w:tcBorders>
          </w:tcPr>
          <w:p>
            <w:pPr>
              <w:spacing w:line="254" w:lineRule="auto"/>
              <w:rPr>
                <w:rFonts w:ascii="Arial"/>
                <w:sz w:val="21"/>
              </w:rPr>
            </w:pPr>
            <w:r/>
          </w:p>
          <w:p>
            <w:pPr>
              <w:pStyle w:val="TableText"/>
              <w:ind w:left="26"/>
              <w:spacing w:before="39" w:line="220" w:lineRule="auto"/>
              <w:rPr>
                <w:sz w:val="12"/>
                <w:szCs w:val="12"/>
              </w:rPr>
            </w:pPr>
            <w:r>
              <w:rPr>
                <w:sz w:val="12"/>
                <w:szCs w:val="12"/>
                <w:spacing w:val="-1"/>
              </w:rPr>
              <w:t>3*15cm*40根</w:t>
            </w:r>
          </w:p>
        </w:tc>
        <w:tc>
          <w:tcPr>
            <w:tcW w:w="2603" w:type="dxa"/>
            <w:vAlign w:val="top"/>
            <w:tcBorders>
              <w:bottom w:val="single" w:color="000000" w:sz="2" w:space="0"/>
              <w:top w:val="single" w:color="000000" w:sz="2" w:space="0"/>
            </w:tcBorders>
          </w:tcPr>
          <w:p>
            <w:pPr>
              <w:spacing w:line="254" w:lineRule="auto"/>
              <w:rPr>
                <w:rFonts w:ascii="Arial"/>
                <w:sz w:val="21"/>
              </w:rPr>
            </w:pPr>
            <w:r/>
          </w:p>
          <w:p>
            <w:pPr>
              <w:pStyle w:val="TableText"/>
              <w:ind w:left="17"/>
              <w:spacing w:before="39" w:line="219" w:lineRule="auto"/>
              <w:rPr>
                <w:sz w:val="12"/>
                <w:szCs w:val="12"/>
              </w:rPr>
            </w:pPr>
            <w:r>
              <w:rPr>
                <w:sz w:val="12"/>
                <w:szCs w:val="12"/>
                <w:spacing w:val="-1"/>
              </w:rPr>
              <w:t>古树，病树，弱树复壮</w:t>
            </w:r>
          </w:p>
        </w:tc>
      </w:tr>
    </w:tbl>
    <w:p>
      <w:pPr>
        <w:spacing w:line="14" w:lineRule="auto"/>
        <w:rPr>
          <w:rFonts w:ascii="Arial"/>
          <w:sz w:val="2"/>
        </w:rPr>
      </w:pPr>
      <w:r/>
    </w:p>
    <w:p>
      <w:pPr>
        <w:spacing w:line="14" w:lineRule="auto"/>
        <w:sectPr>
          <w:pgSz w:w="14490" w:h="10240"/>
          <w:pgMar w:top="115" w:right="234" w:bottom="214" w:left="184" w:header="0" w:footer="0" w:gutter="0"/>
        </w:sectPr>
        <w:rPr>
          <w:rFonts w:ascii="Arial" w:hAnsi="Arial" w:eastAsia="Arial" w:cs="Arial"/>
          <w:sz w:val="2"/>
          <w:szCs w:val="2"/>
        </w:rPr>
      </w:pPr>
    </w:p>
    <w:tbl>
      <w:tblPr>
        <w:tblStyle w:val="TableNormal"/>
        <w:tblW w:w="141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5"/>
        <w:gridCol w:w="540"/>
        <w:gridCol w:w="939"/>
        <w:gridCol w:w="2768"/>
        <w:gridCol w:w="1099"/>
        <w:gridCol w:w="2119"/>
        <w:gridCol w:w="1319"/>
        <w:gridCol w:w="1519"/>
        <w:gridCol w:w="729"/>
        <w:gridCol w:w="2623"/>
      </w:tblGrid>
      <w:tr>
        <w:trPr>
          <w:trHeight w:val="634" w:hRule="atLeast"/>
        </w:trPr>
        <w:tc>
          <w:tcPr>
            <w:tcW w:w="445" w:type="dxa"/>
            <w:vAlign w:val="top"/>
          </w:tcPr>
          <w:p>
            <w:pPr>
              <w:pStyle w:val="TableText"/>
              <w:ind w:left="96"/>
              <w:spacing w:before="258" w:line="219" w:lineRule="auto"/>
              <w:rPr>
                <w:sz w:val="12"/>
                <w:szCs w:val="12"/>
              </w:rPr>
            </w:pPr>
            <w:r>
              <w:rPr>
                <w:sz w:val="12"/>
                <w:szCs w:val="12"/>
                <w:b/>
                <w:bCs/>
                <w:spacing w:val="-3"/>
              </w:rPr>
              <w:t>分类</w:t>
            </w:r>
          </w:p>
        </w:tc>
        <w:tc>
          <w:tcPr>
            <w:tcW w:w="540" w:type="dxa"/>
            <w:vAlign w:val="top"/>
          </w:tcPr>
          <w:p>
            <w:pPr>
              <w:pStyle w:val="TableText"/>
              <w:ind w:left="21"/>
              <w:spacing w:before="108" w:line="219" w:lineRule="auto"/>
              <w:rPr>
                <w:sz w:val="12"/>
                <w:szCs w:val="12"/>
              </w:rPr>
            </w:pPr>
            <w:r>
              <w:rPr>
                <w:sz w:val="12"/>
                <w:szCs w:val="12"/>
                <w:b/>
                <w:bCs/>
                <w:spacing w:val="-3"/>
              </w:rPr>
              <w:t>消杀预防</w:t>
            </w:r>
          </w:p>
          <w:p>
            <w:pPr>
              <w:pStyle w:val="TableText"/>
              <w:ind w:left="21"/>
              <w:spacing w:before="17" w:line="215" w:lineRule="auto"/>
              <w:rPr>
                <w:sz w:val="12"/>
                <w:szCs w:val="12"/>
              </w:rPr>
            </w:pPr>
            <w:r>
              <w:rPr>
                <w:sz w:val="12"/>
                <w:szCs w:val="12"/>
                <w:b/>
                <w:bCs/>
                <w:spacing w:val="-3"/>
              </w:rPr>
              <w:t>及病虫害</w:t>
            </w:r>
          </w:p>
          <w:p>
            <w:pPr>
              <w:pStyle w:val="TableText"/>
              <w:ind w:left="141"/>
              <w:spacing w:line="219" w:lineRule="auto"/>
              <w:rPr>
                <w:sz w:val="12"/>
                <w:szCs w:val="12"/>
              </w:rPr>
            </w:pPr>
            <w:r>
              <w:rPr>
                <w:sz w:val="12"/>
                <w:szCs w:val="12"/>
                <w:b/>
                <w:bCs/>
                <w:spacing w:val="-3"/>
              </w:rPr>
              <w:t>分类</w:t>
            </w:r>
          </w:p>
        </w:tc>
        <w:tc>
          <w:tcPr>
            <w:tcW w:w="939" w:type="dxa"/>
            <w:vAlign w:val="top"/>
          </w:tcPr>
          <w:p>
            <w:pPr>
              <w:pStyle w:val="TableText"/>
              <w:ind w:left="161"/>
              <w:spacing w:before="258" w:line="219" w:lineRule="auto"/>
              <w:rPr>
                <w:sz w:val="12"/>
                <w:szCs w:val="12"/>
              </w:rPr>
            </w:pPr>
            <w:r>
              <w:rPr>
                <w:sz w:val="12"/>
                <w:szCs w:val="12"/>
                <w:b/>
                <w:bCs/>
                <w:spacing w:val="-3"/>
              </w:rPr>
              <w:t>常见病虫害</w:t>
            </w:r>
          </w:p>
        </w:tc>
        <w:tc>
          <w:tcPr>
            <w:tcW w:w="2768" w:type="dxa"/>
            <w:vAlign w:val="top"/>
          </w:tcPr>
          <w:p>
            <w:pPr>
              <w:pStyle w:val="TableText"/>
              <w:ind w:left="2"/>
              <w:spacing w:before="258" w:line="219" w:lineRule="auto"/>
              <w:rPr>
                <w:sz w:val="12"/>
                <w:szCs w:val="12"/>
              </w:rPr>
            </w:pPr>
            <w:r>
              <w:rPr>
                <w:sz w:val="12"/>
                <w:szCs w:val="12"/>
                <w:b/>
                <w:bCs/>
                <w:spacing w:val="-3"/>
              </w:rPr>
              <w:t>主要发病月份</w:t>
            </w:r>
          </w:p>
        </w:tc>
        <w:tc>
          <w:tcPr>
            <w:tcW w:w="1099" w:type="dxa"/>
            <w:vAlign w:val="top"/>
          </w:tcPr>
          <w:p>
            <w:pPr>
              <w:pStyle w:val="TableText"/>
              <w:ind w:left="304"/>
              <w:spacing w:before="258" w:line="220" w:lineRule="auto"/>
              <w:rPr>
                <w:sz w:val="12"/>
                <w:szCs w:val="12"/>
              </w:rPr>
            </w:pPr>
            <w:r>
              <w:rPr>
                <w:sz w:val="12"/>
                <w:szCs w:val="12"/>
                <w:b/>
                <w:bCs/>
                <w:spacing w:val="-3"/>
              </w:rPr>
              <w:t>药品名称</w:t>
            </w:r>
          </w:p>
        </w:tc>
        <w:tc>
          <w:tcPr>
            <w:tcW w:w="2119" w:type="dxa"/>
            <w:vAlign w:val="top"/>
          </w:tcPr>
          <w:p>
            <w:pPr>
              <w:pStyle w:val="TableText"/>
              <w:ind w:left="815"/>
              <w:spacing w:before="258" w:line="220" w:lineRule="auto"/>
              <w:rPr>
                <w:sz w:val="12"/>
                <w:szCs w:val="12"/>
              </w:rPr>
            </w:pPr>
            <w:r>
              <w:rPr>
                <w:sz w:val="12"/>
                <w:szCs w:val="12"/>
                <w:b/>
                <w:bCs/>
                <w:spacing w:val="-3"/>
              </w:rPr>
              <w:t>主要成分</w:t>
            </w:r>
          </w:p>
        </w:tc>
        <w:tc>
          <w:tcPr>
            <w:tcW w:w="1319" w:type="dxa"/>
            <w:vAlign w:val="top"/>
          </w:tcPr>
          <w:p>
            <w:pPr>
              <w:pStyle w:val="TableText"/>
              <w:ind w:left="416"/>
              <w:spacing w:before="258" w:line="219" w:lineRule="auto"/>
              <w:rPr>
                <w:sz w:val="12"/>
                <w:szCs w:val="12"/>
              </w:rPr>
            </w:pPr>
            <w:r>
              <w:rPr>
                <w:sz w:val="12"/>
                <w:szCs w:val="12"/>
                <w:b/>
                <w:bCs/>
                <w:spacing w:val="-3"/>
              </w:rPr>
              <w:t>使用倍率</w:t>
            </w:r>
          </w:p>
        </w:tc>
        <w:tc>
          <w:tcPr>
            <w:tcW w:w="1519" w:type="dxa"/>
            <w:vAlign w:val="top"/>
          </w:tcPr>
          <w:p>
            <w:pPr>
              <w:pStyle w:val="TableText"/>
              <w:ind w:left="517"/>
              <w:spacing w:before="258" w:line="219" w:lineRule="auto"/>
              <w:rPr>
                <w:sz w:val="12"/>
                <w:szCs w:val="12"/>
              </w:rPr>
            </w:pPr>
            <w:r>
              <w:rPr>
                <w:sz w:val="12"/>
                <w:szCs w:val="12"/>
                <w:b/>
                <w:bCs/>
                <w:spacing w:val="-3"/>
              </w:rPr>
              <w:t>施用次数</w:t>
            </w:r>
          </w:p>
        </w:tc>
        <w:tc>
          <w:tcPr>
            <w:tcW w:w="729" w:type="dxa"/>
            <w:vAlign w:val="top"/>
          </w:tcPr>
          <w:p>
            <w:pPr>
              <w:pStyle w:val="TableText"/>
              <w:ind w:left="238"/>
              <w:spacing w:before="258" w:line="219" w:lineRule="auto"/>
              <w:rPr>
                <w:sz w:val="12"/>
                <w:szCs w:val="12"/>
              </w:rPr>
            </w:pPr>
            <w:r>
              <w:rPr>
                <w:sz w:val="12"/>
                <w:szCs w:val="12"/>
                <w:b/>
                <w:bCs/>
                <w:spacing w:val="-3"/>
              </w:rPr>
              <w:t>规格</w:t>
            </w:r>
          </w:p>
        </w:tc>
        <w:tc>
          <w:tcPr>
            <w:tcW w:w="2623" w:type="dxa"/>
            <w:vAlign w:val="top"/>
          </w:tcPr>
          <w:p>
            <w:pPr>
              <w:pStyle w:val="TableText"/>
              <w:ind w:left="1199"/>
              <w:spacing w:before="258" w:line="221" w:lineRule="auto"/>
              <w:rPr>
                <w:sz w:val="12"/>
                <w:szCs w:val="12"/>
              </w:rPr>
            </w:pPr>
            <w:r>
              <w:rPr>
                <w:sz w:val="12"/>
                <w:szCs w:val="12"/>
                <w:b/>
                <w:bCs/>
                <w:spacing w:val="-3"/>
              </w:rPr>
              <w:t>备注</w:t>
            </w:r>
          </w:p>
        </w:tc>
      </w:tr>
      <w:tr>
        <w:trPr>
          <w:trHeight w:val="299" w:hRule="atLeast"/>
        </w:trPr>
        <w:tc>
          <w:tcPr>
            <w:tcW w:w="445"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24" w:right="48" w:firstLine="9"/>
              <w:spacing w:before="39" w:line="232" w:lineRule="auto"/>
              <w:rPr>
                <w:sz w:val="12"/>
                <w:szCs w:val="12"/>
              </w:rPr>
            </w:pPr>
            <w:r>
              <w:rPr>
                <w:sz w:val="12"/>
                <w:szCs w:val="12"/>
                <w:spacing w:val="-3"/>
              </w:rPr>
              <w:t>营养剂</w:t>
            </w:r>
            <w:r>
              <w:rPr>
                <w:sz w:val="12"/>
                <w:szCs w:val="12"/>
              </w:rPr>
              <w:t xml:space="preserve"> </w:t>
            </w:r>
            <w:r>
              <w:rPr>
                <w:sz w:val="12"/>
                <w:szCs w:val="12"/>
                <w:spacing w:val="-1"/>
              </w:rPr>
              <w:t>/肥料</w:t>
            </w:r>
          </w:p>
        </w:tc>
        <w:tc>
          <w:tcPr>
            <w:tcW w:w="540" w:type="dxa"/>
            <w:vAlign w:val="top"/>
            <w:vMerge w:val="restart"/>
            <w:tcBorders>
              <w:bottom w:val="nil"/>
            </w:tcBorders>
          </w:tcPr>
          <w:p>
            <w:pPr>
              <w:spacing w:line="341" w:lineRule="auto"/>
              <w:rPr>
                <w:rFonts w:ascii="Arial"/>
                <w:sz w:val="21"/>
              </w:rPr>
            </w:pPr>
            <w:r/>
          </w:p>
          <w:p>
            <w:pPr>
              <w:spacing w:line="341" w:lineRule="auto"/>
              <w:rPr>
                <w:rFonts w:ascii="Arial"/>
                <w:sz w:val="21"/>
              </w:rPr>
            </w:pPr>
            <w:r/>
          </w:p>
          <w:p>
            <w:pPr>
              <w:pStyle w:val="TableText"/>
              <w:ind w:left="20"/>
              <w:spacing w:before="39" w:line="219" w:lineRule="auto"/>
              <w:rPr>
                <w:sz w:val="12"/>
                <w:szCs w:val="12"/>
              </w:rPr>
            </w:pPr>
            <w:r>
              <w:rPr>
                <w:sz w:val="12"/>
                <w:szCs w:val="12"/>
                <w:spacing w:val="-1"/>
              </w:rPr>
              <w:t>树木复壮</w:t>
            </w:r>
          </w:p>
        </w:tc>
        <w:tc>
          <w:tcPr>
            <w:tcW w:w="939" w:type="dxa"/>
            <w:vAlign w:val="top"/>
            <w:vMerge w:val="restart"/>
            <w:tcBorders>
              <w:bottom w:val="nil"/>
            </w:tcBorders>
          </w:tcPr>
          <w:p>
            <w:pPr>
              <w:spacing w:line="453" w:lineRule="auto"/>
              <w:rPr>
                <w:rFonts w:ascii="Arial"/>
                <w:sz w:val="21"/>
              </w:rPr>
            </w:pPr>
            <w:r/>
          </w:p>
          <w:p>
            <w:pPr>
              <w:pStyle w:val="TableText"/>
              <w:ind w:left="40" w:right="33"/>
              <w:spacing w:before="39" w:line="232" w:lineRule="auto"/>
              <w:jc w:val="both"/>
              <w:rPr>
                <w:sz w:val="12"/>
                <w:szCs w:val="12"/>
              </w:rPr>
            </w:pPr>
            <w:r>
              <w:rPr>
                <w:sz w:val="12"/>
                <w:szCs w:val="12"/>
                <w:spacing w:val="2"/>
              </w:rPr>
              <w:t>树木长势弱，白</w:t>
            </w:r>
            <w:r>
              <w:rPr>
                <w:sz w:val="12"/>
                <w:szCs w:val="12"/>
              </w:rPr>
              <w:t xml:space="preserve"> </w:t>
            </w:r>
            <w:r>
              <w:rPr>
                <w:sz w:val="12"/>
                <w:szCs w:val="12"/>
                <w:spacing w:val="-1"/>
              </w:rPr>
              <w:t>颠部向下有枯黄</w:t>
            </w:r>
            <w:r>
              <w:rPr>
                <w:sz w:val="12"/>
                <w:szCs w:val="12"/>
              </w:rPr>
              <w:t xml:space="preserve"> </w:t>
            </w:r>
            <w:r>
              <w:rPr>
                <w:sz w:val="12"/>
                <w:szCs w:val="12"/>
                <w:spacing w:val="-1"/>
              </w:rPr>
              <w:t>现象，或高大乔</w:t>
            </w:r>
            <w:r>
              <w:rPr>
                <w:sz w:val="12"/>
                <w:szCs w:val="12"/>
              </w:rPr>
              <w:t xml:space="preserve"> </w:t>
            </w:r>
            <w:r>
              <w:rPr>
                <w:sz w:val="12"/>
                <w:szCs w:val="12"/>
                <w:spacing w:val="-1"/>
              </w:rPr>
              <w:t>木及贵重树木</w:t>
            </w:r>
          </w:p>
        </w:tc>
        <w:tc>
          <w:tcPr>
            <w:tcW w:w="2768" w:type="dxa"/>
            <w:vAlign w:val="top"/>
            <w:vMerge w:val="restart"/>
            <w:tcBorders>
              <w:bottom w:val="nil"/>
            </w:tcBorders>
          </w:tcPr>
          <w:p>
            <w:pPr>
              <w:pStyle w:val="TableText"/>
              <w:ind w:left="1" w:right="3" w:firstLine="9"/>
              <w:spacing w:before="5" w:line="223" w:lineRule="auto"/>
              <w:rPr>
                <w:sz w:val="12"/>
                <w:szCs w:val="12"/>
              </w:rPr>
            </w:pPr>
            <w:r>
              <w:rPr>
                <w:sz w:val="12"/>
                <w:szCs w:val="12"/>
                <w:spacing w:val="-1"/>
              </w:rPr>
              <w:t>一、主要集中在4月中5月初，气温上升，空气湿度增</w:t>
            </w:r>
            <w:r>
              <w:rPr>
                <w:sz w:val="12"/>
                <w:szCs w:val="12"/>
                <w:spacing w:val="6"/>
              </w:rPr>
              <w:t xml:space="preserve"> </w:t>
            </w:r>
            <w:r>
              <w:rPr>
                <w:sz w:val="12"/>
                <w:szCs w:val="12"/>
                <w:spacing w:val="-1"/>
              </w:rPr>
              <w:t>加。苗木结束休眠期开始返青，是树木复壮最佳时</w:t>
            </w:r>
          </w:p>
          <w:p>
            <w:pPr>
              <w:pStyle w:val="TableText"/>
              <w:ind w:left="31"/>
              <w:spacing w:line="218" w:lineRule="auto"/>
              <w:rPr>
                <w:sz w:val="12"/>
                <w:szCs w:val="12"/>
              </w:rPr>
            </w:pPr>
            <w:r>
              <w:rPr>
                <w:sz w:val="12"/>
                <w:szCs w:val="12"/>
                <w:spacing w:val="-3"/>
              </w:rPr>
              <w:t>机</w:t>
            </w:r>
            <w:r>
              <w:rPr>
                <w:sz w:val="12"/>
                <w:szCs w:val="12"/>
                <w:spacing w:val="-28"/>
              </w:rPr>
              <w:t xml:space="preserve"> </w:t>
            </w:r>
            <w:r>
              <w:rPr>
                <w:sz w:val="12"/>
                <w:szCs w:val="12"/>
                <w:spacing w:val="-3"/>
              </w:rPr>
              <w:t>：</w:t>
            </w:r>
          </w:p>
          <w:p>
            <w:pPr>
              <w:pStyle w:val="TableText"/>
              <w:ind w:left="1"/>
              <w:spacing w:before="18" w:line="219" w:lineRule="auto"/>
              <w:rPr>
                <w:sz w:val="12"/>
                <w:szCs w:val="12"/>
              </w:rPr>
            </w:pPr>
            <w:r>
              <w:rPr>
                <w:sz w:val="12"/>
                <w:szCs w:val="12"/>
              </w:rPr>
              <w:t>三，6-9月有个别情况，做专项治疗。</w:t>
            </w:r>
          </w:p>
        </w:tc>
        <w:tc>
          <w:tcPr>
            <w:tcW w:w="1099" w:type="dxa"/>
            <w:vAlign w:val="top"/>
          </w:tcPr>
          <w:p>
            <w:pPr>
              <w:pStyle w:val="TableText"/>
              <w:ind w:left="363"/>
              <w:spacing w:before="85" w:line="219" w:lineRule="auto"/>
              <w:rPr>
                <w:sz w:val="12"/>
                <w:szCs w:val="12"/>
              </w:rPr>
            </w:pPr>
            <w:r>
              <w:rPr>
                <w:sz w:val="12"/>
                <w:szCs w:val="12"/>
                <w:spacing w:val="-2"/>
              </w:rPr>
              <w:t>有机肥</w:t>
            </w:r>
          </w:p>
        </w:tc>
        <w:tc>
          <w:tcPr>
            <w:tcW w:w="2119" w:type="dxa"/>
            <w:vAlign w:val="top"/>
          </w:tcPr>
          <w:p>
            <w:pPr>
              <w:pStyle w:val="TableText"/>
              <w:ind w:left="894" w:right="160" w:hanging="740"/>
              <w:spacing w:before="5" w:line="209" w:lineRule="auto"/>
              <w:rPr>
                <w:sz w:val="12"/>
                <w:szCs w:val="12"/>
              </w:rPr>
            </w:pPr>
            <w:r>
              <w:rPr>
                <w:sz w:val="12"/>
                <w:szCs w:val="12"/>
                <w:spacing w:val="-1"/>
              </w:rPr>
              <w:t>有机质含量&gt;45%、氮+五氧化二磷+</w:t>
            </w:r>
            <w:r>
              <w:rPr>
                <w:sz w:val="12"/>
                <w:szCs w:val="12"/>
                <w:spacing w:val="11"/>
              </w:rPr>
              <w:t xml:space="preserve"> </w:t>
            </w:r>
            <w:r>
              <w:rPr>
                <w:sz w:val="12"/>
                <w:szCs w:val="12"/>
                <w:spacing w:val="-2"/>
              </w:rPr>
              <w:t>氧化钾</w:t>
            </w:r>
          </w:p>
        </w:tc>
        <w:tc>
          <w:tcPr>
            <w:tcW w:w="1319" w:type="dxa"/>
            <w:vAlign w:val="top"/>
          </w:tcPr>
          <w:p>
            <w:pPr>
              <w:pStyle w:val="TableText"/>
              <w:ind w:left="415"/>
              <w:spacing w:before="86" w:line="219" w:lineRule="auto"/>
              <w:rPr>
                <w:sz w:val="12"/>
                <w:szCs w:val="12"/>
              </w:rPr>
            </w:pPr>
            <w:r>
              <w:rPr>
                <w:sz w:val="12"/>
                <w:szCs w:val="12"/>
                <w:spacing w:val="3"/>
              </w:rPr>
              <w:t>直接使用</w:t>
            </w:r>
          </w:p>
        </w:tc>
        <w:tc>
          <w:tcPr>
            <w:tcW w:w="1519" w:type="dxa"/>
            <w:vAlign w:val="top"/>
            <w:vMerge w:val="restart"/>
            <w:tcBorders>
              <w:bottom w:val="nil"/>
            </w:tcBorders>
          </w:tcPr>
          <w:p>
            <w:pPr>
              <w:spacing w:line="265" w:lineRule="auto"/>
              <w:rPr>
                <w:rFonts w:ascii="Arial"/>
                <w:sz w:val="21"/>
              </w:rPr>
            </w:pPr>
            <w:r/>
          </w:p>
          <w:p>
            <w:pPr>
              <w:pStyle w:val="TableText"/>
              <w:ind w:left="336"/>
              <w:spacing w:before="39" w:line="219" w:lineRule="auto"/>
              <w:rPr>
                <w:sz w:val="12"/>
                <w:szCs w:val="12"/>
              </w:rPr>
            </w:pPr>
            <w:r>
              <w:rPr>
                <w:sz w:val="12"/>
                <w:szCs w:val="12"/>
                <w:spacing w:val="-1"/>
              </w:rPr>
              <w:t>视树木生长情况</w:t>
            </w:r>
          </w:p>
        </w:tc>
        <w:tc>
          <w:tcPr>
            <w:tcW w:w="729" w:type="dxa"/>
            <w:vAlign w:val="top"/>
          </w:tcPr>
          <w:p>
            <w:pPr>
              <w:pStyle w:val="TableText"/>
              <w:ind w:left="147"/>
              <w:spacing w:before="81" w:line="214" w:lineRule="auto"/>
              <w:rPr>
                <w:sz w:val="12"/>
                <w:szCs w:val="12"/>
              </w:rPr>
            </w:pPr>
            <w:r>
              <w:rPr>
                <w:sz w:val="12"/>
                <w:szCs w:val="12"/>
                <w:spacing w:val="-1"/>
              </w:rPr>
              <w:t>50kg/袋</w:t>
            </w:r>
          </w:p>
        </w:tc>
        <w:tc>
          <w:tcPr>
            <w:tcW w:w="2623" w:type="dxa"/>
            <w:vAlign w:val="top"/>
          </w:tcPr>
          <w:p>
            <w:pPr>
              <w:pStyle w:val="TableText"/>
              <w:ind w:left="17"/>
              <w:spacing w:before="86" w:line="219" w:lineRule="auto"/>
              <w:rPr>
                <w:sz w:val="12"/>
                <w:szCs w:val="12"/>
              </w:rPr>
            </w:pPr>
            <w:r>
              <w:rPr>
                <w:sz w:val="12"/>
                <w:szCs w:val="12"/>
                <w:spacing w:val="-1"/>
              </w:rPr>
              <w:t>病弱苗木复壮、崔进生长</w:t>
            </w:r>
          </w:p>
        </w:tc>
      </w:tr>
      <w:tr>
        <w:trPr>
          <w:trHeight w:val="41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39" w:type="dxa"/>
            <w:vAlign w:val="top"/>
            <w:vMerge w:val="continue"/>
            <w:tcBorders>
              <w:top w:val="nil"/>
              <w:bottom w:val="nil"/>
            </w:tcBorders>
          </w:tcPr>
          <w:p>
            <w:pPr>
              <w:rPr>
                <w:rFonts w:ascii="Arial"/>
                <w:sz w:val="21"/>
              </w:rPr>
            </w:pPr>
            <w:r/>
          </w:p>
        </w:tc>
        <w:tc>
          <w:tcPr>
            <w:tcW w:w="2768" w:type="dxa"/>
            <w:vAlign w:val="top"/>
            <w:vMerge w:val="continue"/>
            <w:tcBorders>
              <w:top w:val="nil"/>
            </w:tcBorders>
          </w:tcPr>
          <w:p>
            <w:pPr>
              <w:rPr>
                <w:rFonts w:ascii="Arial"/>
                <w:sz w:val="21"/>
              </w:rPr>
            </w:pPr>
            <w:r/>
          </w:p>
        </w:tc>
        <w:tc>
          <w:tcPr>
            <w:tcW w:w="1099" w:type="dxa"/>
            <w:vAlign w:val="top"/>
          </w:tcPr>
          <w:p>
            <w:pPr>
              <w:pStyle w:val="TableText"/>
              <w:ind w:left="363"/>
              <w:spacing w:before="146" w:line="219" w:lineRule="auto"/>
              <w:rPr>
                <w:sz w:val="12"/>
                <w:szCs w:val="12"/>
              </w:rPr>
            </w:pPr>
            <w:r>
              <w:rPr>
                <w:sz w:val="12"/>
                <w:szCs w:val="12"/>
                <w:spacing w:val="-2"/>
              </w:rPr>
              <w:t>复合肥</w:t>
            </w:r>
          </w:p>
        </w:tc>
        <w:tc>
          <w:tcPr>
            <w:tcW w:w="2119" w:type="dxa"/>
            <w:vAlign w:val="top"/>
          </w:tcPr>
          <w:p>
            <w:pPr>
              <w:pStyle w:val="TableText"/>
              <w:ind w:left="304"/>
              <w:spacing w:before="146" w:line="219" w:lineRule="auto"/>
              <w:rPr>
                <w:sz w:val="12"/>
                <w:szCs w:val="12"/>
              </w:rPr>
            </w:pPr>
            <w:r>
              <w:rPr>
                <w:sz w:val="12"/>
                <w:szCs w:val="12"/>
                <w:spacing w:val="2"/>
              </w:rPr>
              <w:t>大量元素肥《高氮低磷中钾)</w:t>
            </w:r>
          </w:p>
        </w:tc>
        <w:tc>
          <w:tcPr>
            <w:tcW w:w="1319" w:type="dxa"/>
            <w:vAlign w:val="top"/>
          </w:tcPr>
          <w:p>
            <w:pPr>
              <w:pStyle w:val="TableText"/>
              <w:ind w:left="415"/>
              <w:spacing w:before="147" w:line="219" w:lineRule="auto"/>
              <w:rPr>
                <w:sz w:val="12"/>
                <w:szCs w:val="12"/>
              </w:rPr>
            </w:pPr>
            <w:r>
              <w:rPr>
                <w:sz w:val="12"/>
                <w:szCs w:val="12"/>
                <w:spacing w:val="3"/>
              </w:rPr>
              <w:t>直接使用</w:t>
            </w:r>
          </w:p>
        </w:tc>
        <w:tc>
          <w:tcPr>
            <w:tcW w:w="1519" w:type="dxa"/>
            <w:vAlign w:val="top"/>
            <w:vMerge w:val="continue"/>
            <w:tcBorders>
              <w:top w:val="nil"/>
            </w:tcBorders>
          </w:tcPr>
          <w:p>
            <w:pPr>
              <w:rPr>
                <w:rFonts w:ascii="Arial"/>
                <w:sz w:val="21"/>
              </w:rPr>
            </w:pPr>
            <w:r/>
          </w:p>
        </w:tc>
        <w:tc>
          <w:tcPr>
            <w:tcW w:w="729" w:type="dxa"/>
            <w:vAlign w:val="top"/>
          </w:tcPr>
          <w:p>
            <w:pPr>
              <w:pStyle w:val="TableText"/>
              <w:ind w:left="147"/>
              <w:spacing w:before="142" w:line="214" w:lineRule="auto"/>
              <w:rPr>
                <w:sz w:val="12"/>
                <w:szCs w:val="12"/>
              </w:rPr>
            </w:pPr>
            <w:r>
              <w:rPr>
                <w:sz w:val="12"/>
                <w:szCs w:val="12"/>
                <w:spacing w:val="-1"/>
              </w:rPr>
              <w:t>50kg/袋</w:t>
            </w:r>
          </w:p>
        </w:tc>
        <w:tc>
          <w:tcPr>
            <w:tcW w:w="2623" w:type="dxa"/>
            <w:vAlign w:val="top"/>
          </w:tcPr>
          <w:p>
            <w:pPr>
              <w:pStyle w:val="TableText"/>
              <w:ind w:left="17"/>
              <w:spacing w:before="147" w:line="219" w:lineRule="auto"/>
              <w:rPr>
                <w:sz w:val="12"/>
                <w:szCs w:val="12"/>
              </w:rPr>
            </w:pPr>
            <w:r>
              <w:rPr>
                <w:sz w:val="12"/>
                <w:szCs w:val="12"/>
                <w:spacing w:val="-1"/>
              </w:rPr>
              <w:t>古树，病树，弱树复壮</w:t>
            </w:r>
          </w:p>
        </w:tc>
      </w:tr>
      <w:tr>
        <w:trPr>
          <w:trHeight w:val="40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39" w:type="dxa"/>
            <w:vAlign w:val="top"/>
            <w:vMerge w:val="continue"/>
            <w:tcBorders>
              <w:top w:val="nil"/>
              <w:bottom w:val="nil"/>
            </w:tcBorders>
          </w:tcPr>
          <w:p>
            <w:pPr>
              <w:rPr>
                <w:rFonts w:ascii="Arial"/>
                <w:sz w:val="21"/>
              </w:rPr>
            </w:pPr>
            <w:r/>
          </w:p>
        </w:tc>
        <w:tc>
          <w:tcPr>
            <w:tcW w:w="2768" w:type="dxa"/>
            <w:vAlign w:val="top"/>
            <w:vMerge w:val="restart"/>
            <w:tcBorders>
              <w:bottom w:val="nil"/>
            </w:tcBorders>
          </w:tcPr>
          <w:p>
            <w:pPr>
              <w:spacing w:line="375" w:lineRule="auto"/>
              <w:rPr>
                <w:rFonts w:ascii="Arial"/>
                <w:sz w:val="21"/>
              </w:rPr>
            </w:pPr>
            <w:r/>
          </w:p>
          <w:p>
            <w:pPr>
              <w:pStyle w:val="TableText"/>
              <w:ind w:left="1" w:right="56"/>
              <w:spacing w:before="39" w:line="226" w:lineRule="auto"/>
              <w:rPr>
                <w:sz w:val="12"/>
                <w:szCs w:val="12"/>
              </w:rPr>
            </w:pPr>
            <w:r>
              <w:rPr>
                <w:sz w:val="12"/>
                <w:szCs w:val="12"/>
              </w:rPr>
              <w:t>一、主要集中在4月中，气温上升，空气涅度增加， </w:t>
            </w:r>
            <w:r>
              <w:rPr>
                <w:sz w:val="12"/>
                <w:szCs w:val="12"/>
              </w:rPr>
              <w:t>苗木结束体眠期开始返青，是草皮施肥复绿最性时</w:t>
            </w:r>
            <w:r>
              <w:rPr>
                <w:sz w:val="12"/>
                <w:szCs w:val="12"/>
                <w:spacing w:val="1"/>
              </w:rPr>
              <w:t xml:space="preserve">  </w:t>
            </w:r>
            <w:r>
              <w:rPr>
                <w:sz w:val="12"/>
                <w:szCs w:val="12"/>
                <w:spacing w:val="-3"/>
              </w:rPr>
              <w:t>机</w:t>
            </w:r>
            <w:r>
              <w:rPr>
                <w:sz w:val="12"/>
                <w:szCs w:val="12"/>
                <w:spacing w:val="33"/>
              </w:rPr>
              <w:t xml:space="preserve"> </w:t>
            </w:r>
            <w:r>
              <w:rPr>
                <w:sz w:val="12"/>
                <w:szCs w:val="12"/>
                <w:spacing w:val="-3"/>
              </w:rPr>
              <w:t>；</w:t>
            </w:r>
          </w:p>
          <w:p>
            <w:pPr>
              <w:pStyle w:val="TableText"/>
              <w:ind w:left="11"/>
              <w:spacing w:line="219" w:lineRule="auto"/>
              <w:rPr>
                <w:sz w:val="12"/>
                <w:szCs w:val="12"/>
              </w:rPr>
            </w:pPr>
            <w:r>
              <w:rPr>
                <w:sz w:val="12"/>
                <w:szCs w:val="12"/>
              </w:rPr>
              <w:t>三，5-7月有个别情况，做专项治疗：</w:t>
            </w:r>
          </w:p>
          <w:p>
            <w:pPr>
              <w:pStyle w:val="TableText"/>
              <w:ind w:left="11"/>
              <w:spacing w:before="6" w:line="219" w:lineRule="auto"/>
              <w:rPr>
                <w:sz w:val="12"/>
                <w:szCs w:val="12"/>
              </w:rPr>
            </w:pPr>
            <w:r>
              <w:rPr>
                <w:sz w:val="12"/>
                <w:szCs w:val="12"/>
              </w:rPr>
              <w:t>三，9-11月施秋肥。</w:t>
            </w:r>
          </w:p>
        </w:tc>
        <w:tc>
          <w:tcPr>
            <w:tcW w:w="1099" w:type="dxa"/>
            <w:vAlign w:val="top"/>
          </w:tcPr>
          <w:p>
            <w:pPr>
              <w:pStyle w:val="TableText"/>
              <w:ind w:left="183"/>
              <w:spacing w:before="147" w:line="219" w:lineRule="auto"/>
              <w:rPr>
                <w:sz w:val="12"/>
                <w:szCs w:val="12"/>
              </w:rPr>
            </w:pPr>
            <w:r>
              <w:rPr>
                <w:sz w:val="12"/>
                <w:szCs w:val="12"/>
              </w:rPr>
              <w:t>国光氨基酸肝</w:t>
            </w:r>
          </w:p>
        </w:tc>
        <w:tc>
          <w:tcPr>
            <w:tcW w:w="2119" w:type="dxa"/>
            <w:vAlign w:val="top"/>
          </w:tcPr>
          <w:p>
            <w:pPr>
              <w:pStyle w:val="TableText"/>
              <w:ind w:left="604"/>
              <w:spacing w:before="148" w:line="220" w:lineRule="auto"/>
              <w:rPr>
                <w:sz w:val="12"/>
                <w:szCs w:val="12"/>
              </w:rPr>
            </w:pPr>
            <w:r>
              <w:rPr>
                <w:sz w:val="12"/>
                <w:szCs w:val="12"/>
                <w:spacing w:val="1"/>
              </w:rPr>
              <w:t>12%氦基酸整合钾</w:t>
            </w:r>
          </w:p>
        </w:tc>
        <w:tc>
          <w:tcPr>
            <w:tcW w:w="1319" w:type="dxa"/>
            <w:vAlign w:val="top"/>
          </w:tcPr>
          <w:p>
            <w:pPr>
              <w:pStyle w:val="TableText"/>
              <w:ind w:left="205"/>
              <w:spacing w:before="147" w:line="219" w:lineRule="auto"/>
              <w:rPr>
                <w:sz w:val="12"/>
                <w:szCs w:val="12"/>
              </w:rPr>
            </w:pPr>
            <w:r>
              <w:rPr>
                <w:sz w:val="12"/>
                <w:szCs w:val="12"/>
                <w:spacing w:val="-1"/>
              </w:rPr>
              <w:t>稀释600-800倍液</w:t>
            </w:r>
          </w:p>
        </w:tc>
        <w:tc>
          <w:tcPr>
            <w:tcW w:w="1519" w:type="dxa"/>
            <w:vAlign w:val="top"/>
            <w:vMerge w:val="restart"/>
            <w:tcBorders>
              <w:bottom w:val="nil"/>
            </w:tcBorders>
          </w:tcPr>
          <w:p>
            <w:pPr>
              <w:spacing w:line="317" w:lineRule="auto"/>
              <w:rPr>
                <w:rFonts w:ascii="Arial"/>
                <w:sz w:val="21"/>
              </w:rPr>
            </w:pPr>
            <w:r/>
          </w:p>
          <w:p>
            <w:pPr>
              <w:pStyle w:val="TableText"/>
              <w:ind w:left="486"/>
              <w:spacing w:before="39" w:line="219" w:lineRule="auto"/>
              <w:rPr>
                <w:sz w:val="12"/>
                <w:szCs w:val="12"/>
              </w:rPr>
            </w:pPr>
            <w:r>
              <w:rPr>
                <w:sz w:val="12"/>
                <w:szCs w:val="12"/>
                <w:spacing w:val="-2"/>
              </w:rPr>
              <w:t>一般用1次</w:t>
            </w:r>
          </w:p>
        </w:tc>
        <w:tc>
          <w:tcPr>
            <w:tcW w:w="729" w:type="dxa"/>
            <w:vAlign w:val="top"/>
          </w:tcPr>
          <w:p>
            <w:pPr>
              <w:pStyle w:val="TableText"/>
              <w:ind w:left="147"/>
              <w:spacing w:before="143" w:line="214" w:lineRule="auto"/>
              <w:rPr>
                <w:sz w:val="12"/>
                <w:szCs w:val="12"/>
              </w:rPr>
            </w:pPr>
            <w:r>
              <w:rPr>
                <w:sz w:val="12"/>
                <w:szCs w:val="12"/>
                <w:spacing w:val="-1"/>
              </w:rPr>
              <w:t>500g/瓶</w:t>
            </w:r>
          </w:p>
        </w:tc>
        <w:tc>
          <w:tcPr>
            <w:tcW w:w="2623" w:type="dxa"/>
            <w:vAlign w:val="top"/>
          </w:tcPr>
          <w:p>
            <w:pPr>
              <w:pStyle w:val="TableText"/>
              <w:ind w:left="17" w:right="27"/>
              <w:spacing w:before="77"/>
              <w:rPr>
                <w:sz w:val="12"/>
                <w:szCs w:val="12"/>
              </w:rPr>
            </w:pPr>
            <w:r>
              <w:rPr>
                <w:sz w:val="12"/>
                <w:szCs w:val="12"/>
                <w:spacing w:val="-1"/>
              </w:rPr>
              <w:t>防治因缺钾引起的植株瘦弱，生长不良，1万平方</w:t>
            </w:r>
            <w:r>
              <w:rPr>
                <w:sz w:val="12"/>
                <w:szCs w:val="12"/>
                <w:spacing w:val="8"/>
              </w:rPr>
              <w:t xml:space="preserve"> </w:t>
            </w:r>
            <w:r>
              <w:rPr>
                <w:sz w:val="12"/>
                <w:szCs w:val="12"/>
                <w:spacing w:val="-1"/>
              </w:rPr>
              <w:t>米年度约用量：40kg</w:t>
            </w:r>
          </w:p>
        </w:tc>
      </w:tr>
      <w:tr>
        <w:trPr>
          <w:trHeight w:val="41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tcBorders>
          </w:tcPr>
          <w:p>
            <w:pPr>
              <w:rPr>
                <w:rFonts w:ascii="Arial"/>
                <w:sz w:val="21"/>
              </w:rPr>
            </w:pPr>
            <w:r/>
          </w:p>
        </w:tc>
        <w:tc>
          <w:tcPr>
            <w:tcW w:w="939" w:type="dxa"/>
            <w:vAlign w:val="top"/>
            <w:vMerge w:val="continue"/>
            <w:tcBorders>
              <w:top w:val="nil"/>
            </w:tcBorders>
          </w:tcPr>
          <w:p>
            <w:pPr>
              <w:rPr>
                <w:rFonts w:ascii="Arial"/>
                <w:sz w:val="21"/>
              </w:rPr>
            </w:pPr>
            <w:r/>
          </w:p>
        </w:tc>
        <w:tc>
          <w:tcPr>
            <w:tcW w:w="2768" w:type="dxa"/>
            <w:vAlign w:val="top"/>
            <w:vMerge w:val="continue"/>
            <w:tcBorders>
              <w:top w:val="nil"/>
              <w:bottom w:val="nil"/>
            </w:tcBorders>
          </w:tcPr>
          <w:p>
            <w:pPr>
              <w:rPr>
                <w:rFonts w:ascii="Arial"/>
                <w:sz w:val="21"/>
              </w:rPr>
            </w:pPr>
            <w:r/>
          </w:p>
        </w:tc>
        <w:tc>
          <w:tcPr>
            <w:tcW w:w="1099" w:type="dxa"/>
            <w:vAlign w:val="top"/>
          </w:tcPr>
          <w:p>
            <w:pPr>
              <w:pStyle w:val="TableText"/>
              <w:ind w:left="123"/>
              <w:spacing w:before="148" w:line="219" w:lineRule="auto"/>
              <w:rPr>
                <w:sz w:val="12"/>
                <w:szCs w:val="12"/>
              </w:rPr>
            </w:pPr>
            <w:r>
              <w:rPr>
                <w:sz w:val="12"/>
                <w:szCs w:val="12"/>
                <w:spacing w:val="-1"/>
              </w:rPr>
              <w:t>高效磷钾复合肥</w:t>
            </w:r>
          </w:p>
        </w:tc>
        <w:tc>
          <w:tcPr>
            <w:tcW w:w="2119" w:type="dxa"/>
            <w:vAlign w:val="top"/>
          </w:tcPr>
          <w:p>
            <w:pPr>
              <w:pStyle w:val="TableText"/>
              <w:ind w:left="754"/>
              <w:spacing w:before="149" w:line="219" w:lineRule="auto"/>
              <w:rPr>
                <w:sz w:val="12"/>
                <w:szCs w:val="12"/>
              </w:rPr>
            </w:pPr>
            <w:r>
              <w:rPr>
                <w:sz w:val="12"/>
                <w:szCs w:val="12"/>
                <w:spacing w:val="-1"/>
              </w:rPr>
              <w:t>磷酸二氢钾</w:t>
            </w:r>
          </w:p>
        </w:tc>
        <w:tc>
          <w:tcPr>
            <w:tcW w:w="1319" w:type="dxa"/>
            <w:vAlign w:val="top"/>
          </w:tcPr>
          <w:p>
            <w:pPr>
              <w:pStyle w:val="TableText"/>
              <w:ind w:left="574" w:right="89" w:hanging="489"/>
              <w:spacing w:before="98" w:line="213" w:lineRule="auto"/>
              <w:rPr>
                <w:sz w:val="12"/>
                <w:szCs w:val="12"/>
              </w:rPr>
            </w:pPr>
            <w:r>
              <w:rPr>
                <w:sz w:val="12"/>
                <w:szCs w:val="12"/>
                <w:spacing w:val="-1"/>
              </w:rPr>
              <w:t>直接穴施或0.2叶面喷</w:t>
            </w:r>
            <w:r>
              <w:rPr>
                <w:sz w:val="12"/>
                <w:szCs w:val="12"/>
                <w:spacing w:val="4"/>
              </w:rPr>
              <w:t xml:space="preserve"> </w:t>
            </w:r>
            <w:r>
              <w:rPr>
                <w:sz w:val="12"/>
                <w:szCs w:val="12"/>
              </w:rPr>
              <w:t>施</w:t>
            </w:r>
          </w:p>
        </w:tc>
        <w:tc>
          <w:tcPr>
            <w:tcW w:w="1519" w:type="dxa"/>
            <w:vAlign w:val="top"/>
            <w:vMerge w:val="continue"/>
            <w:tcBorders>
              <w:top w:val="nil"/>
            </w:tcBorders>
          </w:tcPr>
          <w:p>
            <w:pPr>
              <w:rPr>
                <w:rFonts w:ascii="Arial"/>
                <w:sz w:val="21"/>
              </w:rPr>
            </w:pPr>
            <w:r/>
          </w:p>
        </w:tc>
        <w:tc>
          <w:tcPr>
            <w:tcW w:w="729" w:type="dxa"/>
            <w:vAlign w:val="top"/>
          </w:tcPr>
          <w:p>
            <w:pPr>
              <w:pStyle w:val="TableText"/>
              <w:ind w:left="86"/>
              <w:spacing w:before="144" w:line="214" w:lineRule="auto"/>
              <w:rPr>
                <w:sz w:val="12"/>
                <w:szCs w:val="12"/>
              </w:rPr>
            </w:pPr>
            <w:r>
              <w:rPr>
                <w:sz w:val="12"/>
                <w:szCs w:val="12"/>
                <w:spacing w:val="4"/>
              </w:rPr>
              <w:t>(25</w:t>
            </w:r>
            <w:r>
              <w:rPr>
                <w:sz w:val="12"/>
                <w:szCs w:val="12"/>
              </w:rPr>
              <w:t>kg</w:t>
            </w:r>
            <w:r>
              <w:rPr>
                <w:sz w:val="12"/>
                <w:szCs w:val="12"/>
                <w:spacing w:val="4"/>
              </w:rPr>
              <w:t>/袋)</w:t>
            </w:r>
          </w:p>
        </w:tc>
        <w:tc>
          <w:tcPr>
            <w:tcW w:w="2623" w:type="dxa"/>
            <w:vAlign w:val="top"/>
          </w:tcPr>
          <w:p>
            <w:pPr>
              <w:pStyle w:val="TableText"/>
              <w:ind w:left="17"/>
              <w:spacing w:before="149" w:line="219" w:lineRule="auto"/>
              <w:rPr>
                <w:sz w:val="12"/>
                <w:szCs w:val="12"/>
              </w:rPr>
            </w:pPr>
            <w:r>
              <w:rPr>
                <w:sz w:val="12"/>
                <w:szCs w:val="12"/>
                <w:spacing w:val="-1"/>
              </w:rPr>
              <w:t>提高树木木质化程度。有利树木安全越冬</w:t>
            </w:r>
          </w:p>
        </w:tc>
      </w:tr>
      <w:tr>
        <w:trPr>
          <w:trHeight w:val="409" w:hRule="atLeast"/>
        </w:trPr>
        <w:tc>
          <w:tcPr>
            <w:tcW w:w="445" w:type="dxa"/>
            <w:vAlign w:val="top"/>
            <w:vMerge w:val="continue"/>
            <w:tcBorders>
              <w:top w:val="nil"/>
              <w:bottom w:val="nil"/>
            </w:tcBorders>
          </w:tcPr>
          <w:p>
            <w:pPr>
              <w:rPr>
                <w:rFonts w:ascii="Arial"/>
                <w:sz w:val="21"/>
              </w:rPr>
            </w:pPr>
            <w:r/>
          </w:p>
        </w:tc>
        <w:tc>
          <w:tcPr>
            <w:tcW w:w="540" w:type="dxa"/>
            <w:vAlign w:val="top"/>
            <w:vMerge w:val="restart"/>
            <w:tcBorders>
              <w:bottom w:val="nil"/>
            </w:tcBorders>
          </w:tcPr>
          <w:p>
            <w:pPr>
              <w:spacing w:line="319" w:lineRule="auto"/>
              <w:rPr>
                <w:rFonts w:ascii="Arial"/>
                <w:sz w:val="21"/>
              </w:rPr>
            </w:pPr>
            <w:r/>
          </w:p>
          <w:p>
            <w:pPr>
              <w:pStyle w:val="TableText"/>
              <w:ind w:left="20"/>
              <w:spacing w:before="39" w:line="219" w:lineRule="auto"/>
              <w:rPr>
                <w:sz w:val="12"/>
                <w:szCs w:val="12"/>
              </w:rPr>
            </w:pPr>
            <w:r>
              <w:rPr>
                <w:sz w:val="12"/>
                <w:szCs w:val="12"/>
                <w:spacing w:val="-2"/>
              </w:rPr>
              <w:t>草皮覆绿</w:t>
            </w:r>
          </w:p>
        </w:tc>
        <w:tc>
          <w:tcPr>
            <w:tcW w:w="939" w:type="dxa"/>
            <w:vAlign w:val="top"/>
            <w:vMerge w:val="restart"/>
            <w:tcBorders>
              <w:bottom w:val="nil"/>
            </w:tcBorders>
          </w:tcPr>
          <w:p>
            <w:pPr>
              <w:pStyle w:val="TableText"/>
              <w:ind w:left="40"/>
              <w:spacing w:before="280" w:line="219" w:lineRule="auto"/>
              <w:rPr>
                <w:sz w:val="12"/>
                <w:szCs w:val="12"/>
              </w:rPr>
            </w:pPr>
            <w:r>
              <w:rPr>
                <w:sz w:val="12"/>
                <w:szCs w:val="12"/>
                <w:spacing w:val="-1"/>
              </w:rPr>
              <w:t>草坪发芽及长势</w:t>
            </w:r>
          </w:p>
          <w:p>
            <w:pPr>
              <w:pStyle w:val="TableText"/>
              <w:ind w:left="340"/>
              <w:spacing w:before="19" w:line="222" w:lineRule="auto"/>
              <w:rPr>
                <w:sz w:val="12"/>
                <w:szCs w:val="12"/>
              </w:rPr>
            </w:pPr>
            <w:r>
              <w:rPr>
                <w:sz w:val="12"/>
                <w:szCs w:val="12"/>
                <w:spacing w:val="-2"/>
              </w:rPr>
              <w:t>不良</w:t>
            </w:r>
          </w:p>
        </w:tc>
        <w:tc>
          <w:tcPr>
            <w:tcW w:w="2768" w:type="dxa"/>
            <w:vAlign w:val="top"/>
            <w:vMerge w:val="continue"/>
            <w:tcBorders>
              <w:top w:val="nil"/>
              <w:bottom w:val="nil"/>
            </w:tcBorders>
          </w:tcPr>
          <w:p>
            <w:pPr>
              <w:rPr>
                <w:rFonts w:ascii="Arial"/>
                <w:sz w:val="21"/>
              </w:rPr>
            </w:pPr>
            <w:r/>
          </w:p>
        </w:tc>
        <w:tc>
          <w:tcPr>
            <w:tcW w:w="1099" w:type="dxa"/>
            <w:vAlign w:val="top"/>
          </w:tcPr>
          <w:p>
            <w:pPr>
              <w:pStyle w:val="TableText"/>
              <w:ind w:left="423"/>
              <w:spacing w:before="150" w:line="219" w:lineRule="auto"/>
              <w:rPr>
                <w:sz w:val="12"/>
                <w:szCs w:val="12"/>
              </w:rPr>
            </w:pPr>
            <w:r>
              <w:rPr>
                <w:sz w:val="12"/>
                <w:szCs w:val="12"/>
                <w:spacing w:val="-2"/>
              </w:rPr>
              <w:t>尿素</w:t>
            </w:r>
          </w:p>
        </w:tc>
        <w:tc>
          <w:tcPr>
            <w:tcW w:w="2119" w:type="dxa"/>
            <w:vAlign w:val="top"/>
          </w:tcPr>
          <w:p>
            <w:pPr>
              <w:pStyle w:val="TableText"/>
              <w:ind w:left="574"/>
              <w:spacing w:before="148" w:line="216" w:lineRule="auto"/>
              <w:rPr>
                <w:sz w:val="12"/>
                <w:szCs w:val="12"/>
              </w:rPr>
            </w:pPr>
            <w:r>
              <w:rPr>
                <w:sz w:val="12"/>
                <w:szCs w:val="12"/>
                <w:spacing w:val="-1"/>
              </w:rPr>
              <w:t>COCAH2)2,含氯48%</w:t>
            </w:r>
          </w:p>
        </w:tc>
        <w:tc>
          <w:tcPr>
            <w:tcW w:w="1319" w:type="dxa"/>
            <w:vAlign w:val="top"/>
          </w:tcPr>
          <w:p>
            <w:pPr>
              <w:pStyle w:val="TableText"/>
              <w:ind w:left="55"/>
              <w:spacing w:before="145" w:line="214" w:lineRule="auto"/>
              <w:rPr>
                <w:sz w:val="12"/>
                <w:szCs w:val="12"/>
              </w:rPr>
            </w:pPr>
            <w:r>
              <w:rPr>
                <w:sz w:val="12"/>
                <w:szCs w:val="12"/>
                <w:spacing w:val="-1"/>
              </w:rPr>
              <w:t>直接徽施：20-25kg/亩</w:t>
            </w:r>
          </w:p>
        </w:tc>
        <w:tc>
          <w:tcPr>
            <w:tcW w:w="1519" w:type="dxa"/>
            <w:vAlign w:val="top"/>
            <w:vMerge w:val="restart"/>
            <w:tcBorders>
              <w:bottom w:val="nil"/>
            </w:tcBorders>
          </w:tcPr>
          <w:p>
            <w:pPr>
              <w:spacing w:line="319" w:lineRule="auto"/>
              <w:rPr>
                <w:rFonts w:ascii="Arial"/>
                <w:sz w:val="21"/>
              </w:rPr>
            </w:pPr>
            <w:r/>
          </w:p>
          <w:p>
            <w:pPr>
              <w:pStyle w:val="TableText"/>
              <w:ind w:left="336"/>
              <w:spacing w:before="39" w:line="219" w:lineRule="auto"/>
              <w:rPr>
                <w:sz w:val="12"/>
                <w:szCs w:val="12"/>
              </w:rPr>
            </w:pPr>
            <w:r>
              <w:rPr>
                <w:sz w:val="12"/>
                <w:szCs w:val="12"/>
                <w:spacing w:val="-1"/>
              </w:rPr>
              <w:t>视草坪生长情况</w:t>
            </w:r>
          </w:p>
        </w:tc>
        <w:tc>
          <w:tcPr>
            <w:tcW w:w="729" w:type="dxa"/>
            <w:vAlign w:val="top"/>
          </w:tcPr>
          <w:p>
            <w:pPr>
              <w:pStyle w:val="TableText"/>
              <w:ind w:left="86"/>
              <w:spacing w:before="145" w:line="214" w:lineRule="auto"/>
              <w:rPr>
                <w:sz w:val="12"/>
                <w:szCs w:val="12"/>
              </w:rPr>
            </w:pPr>
            <w:r>
              <w:rPr>
                <w:sz w:val="12"/>
                <w:szCs w:val="12"/>
                <w:spacing w:val="4"/>
              </w:rPr>
              <w:t>(50</w:t>
            </w:r>
            <w:r>
              <w:rPr>
                <w:sz w:val="12"/>
                <w:szCs w:val="12"/>
              </w:rPr>
              <w:t>kg</w:t>
            </w:r>
            <w:r>
              <w:rPr>
                <w:sz w:val="12"/>
                <w:szCs w:val="12"/>
                <w:spacing w:val="4"/>
              </w:rPr>
              <w:t>/袋)</w:t>
            </w:r>
          </w:p>
        </w:tc>
        <w:tc>
          <w:tcPr>
            <w:tcW w:w="2623" w:type="dxa"/>
            <w:vAlign w:val="top"/>
          </w:tcPr>
          <w:p>
            <w:pPr>
              <w:pStyle w:val="TableText"/>
              <w:ind w:left="17" w:right="134"/>
              <w:spacing w:before="79"/>
              <w:rPr>
                <w:sz w:val="12"/>
                <w:szCs w:val="12"/>
              </w:rPr>
            </w:pPr>
            <w:r>
              <w:rPr>
                <w:sz w:val="12"/>
                <w:szCs w:val="12"/>
              </w:rPr>
              <w:t>促进草坪生长，增绿，1万平方米年度约用量： </w:t>
            </w:r>
            <w:r>
              <w:rPr>
                <w:sz w:val="12"/>
                <w:szCs w:val="12"/>
                <w:spacing w:val="-1"/>
              </w:rPr>
              <w:t>200kg</w:t>
            </w:r>
          </w:p>
        </w:tc>
      </w:tr>
      <w:tr>
        <w:trPr>
          <w:trHeight w:val="419" w:hRule="atLeast"/>
        </w:trPr>
        <w:tc>
          <w:tcPr>
            <w:tcW w:w="445" w:type="dxa"/>
            <w:vAlign w:val="top"/>
            <w:vMerge w:val="continue"/>
            <w:tcBorders>
              <w:top w:val="nil"/>
            </w:tcBorders>
          </w:tcPr>
          <w:p>
            <w:pPr>
              <w:rPr>
                <w:rFonts w:ascii="Arial"/>
                <w:sz w:val="21"/>
              </w:rPr>
            </w:pPr>
            <w:r/>
          </w:p>
        </w:tc>
        <w:tc>
          <w:tcPr>
            <w:tcW w:w="540" w:type="dxa"/>
            <w:vAlign w:val="top"/>
            <w:vMerge w:val="continue"/>
            <w:tcBorders>
              <w:top w:val="nil"/>
            </w:tcBorders>
          </w:tcPr>
          <w:p>
            <w:pPr>
              <w:rPr>
                <w:rFonts w:ascii="Arial"/>
                <w:sz w:val="21"/>
              </w:rPr>
            </w:pPr>
            <w:r/>
          </w:p>
        </w:tc>
        <w:tc>
          <w:tcPr>
            <w:tcW w:w="939" w:type="dxa"/>
            <w:vAlign w:val="top"/>
            <w:vMerge w:val="continue"/>
            <w:tcBorders>
              <w:top w:val="nil"/>
            </w:tcBorders>
          </w:tcPr>
          <w:p>
            <w:pPr>
              <w:rPr>
                <w:rFonts w:ascii="Arial"/>
                <w:sz w:val="21"/>
              </w:rPr>
            </w:pPr>
            <w:r/>
          </w:p>
        </w:tc>
        <w:tc>
          <w:tcPr>
            <w:tcW w:w="2768" w:type="dxa"/>
            <w:vAlign w:val="top"/>
            <w:vMerge w:val="continue"/>
            <w:tcBorders>
              <w:top w:val="nil"/>
            </w:tcBorders>
          </w:tcPr>
          <w:p>
            <w:pPr>
              <w:rPr>
                <w:rFonts w:ascii="Arial"/>
                <w:sz w:val="21"/>
              </w:rPr>
            </w:pPr>
            <w:r/>
          </w:p>
        </w:tc>
        <w:tc>
          <w:tcPr>
            <w:tcW w:w="1099" w:type="dxa"/>
            <w:vAlign w:val="top"/>
          </w:tcPr>
          <w:p>
            <w:pPr>
              <w:pStyle w:val="TableText"/>
              <w:ind w:left="303"/>
              <w:spacing w:before="151" w:line="219" w:lineRule="auto"/>
              <w:rPr>
                <w:sz w:val="12"/>
                <w:szCs w:val="12"/>
              </w:rPr>
            </w:pPr>
            <w:r>
              <w:rPr>
                <w:sz w:val="12"/>
                <w:szCs w:val="12"/>
                <w:spacing w:val="1"/>
              </w:rPr>
              <w:t>中威壮美</w:t>
            </w:r>
          </w:p>
        </w:tc>
        <w:tc>
          <w:tcPr>
            <w:tcW w:w="2119" w:type="dxa"/>
            <w:vAlign w:val="top"/>
          </w:tcPr>
          <w:p>
            <w:pPr>
              <w:pStyle w:val="TableText"/>
              <w:ind w:left="724"/>
              <w:spacing w:before="150" w:line="219" w:lineRule="auto"/>
              <w:rPr>
                <w:sz w:val="12"/>
                <w:szCs w:val="12"/>
              </w:rPr>
            </w:pPr>
            <w:r>
              <w:rPr>
                <w:sz w:val="12"/>
                <w:szCs w:val="12"/>
                <w:spacing w:val="-1"/>
              </w:rPr>
              <w:t>有机质≥60%</w:t>
            </w:r>
          </w:p>
        </w:tc>
        <w:tc>
          <w:tcPr>
            <w:tcW w:w="1319" w:type="dxa"/>
            <w:vAlign w:val="top"/>
          </w:tcPr>
          <w:p>
            <w:pPr>
              <w:pStyle w:val="TableText"/>
              <w:ind w:left="55"/>
              <w:spacing w:before="146" w:line="214" w:lineRule="auto"/>
              <w:rPr>
                <w:sz w:val="12"/>
                <w:szCs w:val="12"/>
              </w:rPr>
            </w:pPr>
            <w:r>
              <w:rPr>
                <w:sz w:val="12"/>
                <w:szCs w:val="12"/>
                <w:spacing w:val="-1"/>
              </w:rPr>
              <w:t>直接撒施：20-25kg/亩</w:t>
            </w:r>
          </w:p>
        </w:tc>
        <w:tc>
          <w:tcPr>
            <w:tcW w:w="1519" w:type="dxa"/>
            <w:vAlign w:val="top"/>
            <w:vMerge w:val="continue"/>
            <w:tcBorders>
              <w:top w:val="nil"/>
            </w:tcBorders>
          </w:tcPr>
          <w:p>
            <w:pPr>
              <w:rPr>
                <w:rFonts w:ascii="Arial"/>
                <w:sz w:val="21"/>
              </w:rPr>
            </w:pPr>
            <w:r/>
          </w:p>
        </w:tc>
        <w:tc>
          <w:tcPr>
            <w:tcW w:w="729" w:type="dxa"/>
            <w:vAlign w:val="top"/>
          </w:tcPr>
          <w:p>
            <w:pPr>
              <w:pStyle w:val="TableText"/>
              <w:ind w:left="86"/>
              <w:spacing w:before="146" w:line="214" w:lineRule="auto"/>
              <w:rPr>
                <w:sz w:val="12"/>
                <w:szCs w:val="12"/>
              </w:rPr>
            </w:pPr>
            <w:r>
              <w:rPr>
                <w:sz w:val="12"/>
                <w:szCs w:val="12"/>
                <w:spacing w:val="4"/>
              </w:rPr>
              <w:t>(25</w:t>
            </w:r>
            <w:r>
              <w:rPr>
                <w:sz w:val="12"/>
                <w:szCs w:val="12"/>
              </w:rPr>
              <w:t>kg</w:t>
            </w:r>
            <w:r>
              <w:rPr>
                <w:sz w:val="12"/>
                <w:szCs w:val="12"/>
                <w:spacing w:val="4"/>
              </w:rPr>
              <w:t>/袋)</w:t>
            </w:r>
          </w:p>
        </w:tc>
        <w:tc>
          <w:tcPr>
            <w:tcW w:w="2623" w:type="dxa"/>
            <w:vAlign w:val="top"/>
          </w:tcPr>
          <w:p>
            <w:pPr>
              <w:pStyle w:val="TableText"/>
              <w:ind w:left="17" w:right="20"/>
              <w:spacing w:before="80" w:line="225" w:lineRule="auto"/>
              <w:rPr>
                <w:sz w:val="12"/>
                <w:szCs w:val="12"/>
              </w:rPr>
            </w:pPr>
            <w:r>
              <w:rPr>
                <w:sz w:val="12"/>
                <w:szCs w:val="12"/>
                <w:spacing w:val="-1"/>
              </w:rPr>
              <w:t>促进草坪快速生根。全面营养，使用安全方便，1</w:t>
            </w:r>
            <w:r>
              <w:rPr>
                <w:sz w:val="12"/>
                <w:szCs w:val="12"/>
                <w:spacing w:val="15"/>
                <w:w w:val="101"/>
              </w:rPr>
              <w:t xml:space="preserve"> </w:t>
            </w:r>
            <w:r>
              <w:rPr>
                <w:sz w:val="12"/>
                <w:szCs w:val="12"/>
                <w:spacing w:val="-1"/>
              </w:rPr>
              <w:t>万平方米年度约用量：600kg</w:t>
            </w:r>
          </w:p>
        </w:tc>
      </w:tr>
      <w:tr>
        <w:trPr>
          <w:trHeight w:val="409" w:hRule="atLeast"/>
        </w:trPr>
        <w:tc>
          <w:tcPr>
            <w:tcW w:w="445"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pStyle w:val="TableText"/>
              <w:ind w:left="94"/>
              <w:spacing w:before="39" w:line="220" w:lineRule="auto"/>
              <w:rPr>
                <w:sz w:val="12"/>
                <w:szCs w:val="12"/>
              </w:rPr>
            </w:pPr>
            <w:r>
              <w:rPr>
                <w:sz w:val="12"/>
                <w:szCs w:val="12"/>
                <w:spacing w:val="-2"/>
              </w:rPr>
              <w:t>其他</w:t>
            </w:r>
          </w:p>
        </w:tc>
        <w:tc>
          <w:tcPr>
            <w:tcW w:w="540"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pStyle w:val="TableText"/>
              <w:ind w:left="20"/>
              <w:spacing w:before="39" w:line="219" w:lineRule="auto"/>
              <w:rPr>
                <w:sz w:val="12"/>
                <w:szCs w:val="12"/>
              </w:rPr>
            </w:pPr>
            <w:r>
              <w:rPr>
                <w:sz w:val="12"/>
                <w:szCs w:val="12"/>
                <w:spacing w:val="-1"/>
              </w:rPr>
              <w:t>树木养护</w:t>
            </w:r>
          </w:p>
        </w:tc>
        <w:tc>
          <w:tcPr>
            <w:tcW w:w="939" w:type="dxa"/>
            <w:vAlign w:val="top"/>
            <w:vMerge w:val="restart"/>
            <w:tcBorders>
              <w:bottom w:val="nil"/>
            </w:tcBorders>
          </w:tcPr>
          <w:p>
            <w:pPr>
              <w:spacing w:line="469" w:lineRule="auto"/>
              <w:rPr>
                <w:rFonts w:ascii="Arial"/>
                <w:sz w:val="21"/>
              </w:rPr>
            </w:pPr>
            <w:r/>
          </w:p>
          <w:p>
            <w:pPr>
              <w:pStyle w:val="TableText"/>
              <w:ind w:left="99" w:right="18" w:hanging="29"/>
              <w:spacing w:before="39" w:line="233" w:lineRule="auto"/>
              <w:rPr>
                <w:sz w:val="12"/>
                <w:szCs w:val="12"/>
              </w:rPr>
            </w:pPr>
            <w:r>
              <w:rPr>
                <w:sz w:val="12"/>
                <w:szCs w:val="12"/>
              </w:rPr>
              <w:t>树木修剪创口， </w:t>
            </w:r>
            <w:r>
              <w:rPr>
                <w:sz w:val="12"/>
                <w:szCs w:val="12"/>
                <w:spacing w:val="2"/>
              </w:rPr>
              <w:t>腐烂病害伤口</w:t>
            </w:r>
          </w:p>
        </w:tc>
        <w:tc>
          <w:tcPr>
            <w:tcW w:w="2768"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pStyle w:val="TableText"/>
              <w:ind w:left="1160"/>
              <w:spacing w:before="39" w:line="219" w:lineRule="auto"/>
              <w:rPr>
                <w:sz w:val="12"/>
                <w:szCs w:val="12"/>
              </w:rPr>
            </w:pPr>
            <w:r>
              <w:rPr>
                <w:sz w:val="12"/>
                <w:szCs w:val="12"/>
                <w:spacing w:val="2"/>
              </w:rPr>
              <w:t>日常养护</w:t>
            </w:r>
          </w:p>
        </w:tc>
        <w:tc>
          <w:tcPr>
            <w:tcW w:w="1099" w:type="dxa"/>
            <w:vAlign w:val="top"/>
          </w:tcPr>
          <w:p>
            <w:pPr>
              <w:pStyle w:val="TableText"/>
              <w:ind w:left="123"/>
              <w:spacing w:before="151" w:line="219" w:lineRule="auto"/>
              <w:rPr>
                <w:sz w:val="12"/>
                <w:szCs w:val="12"/>
              </w:rPr>
            </w:pPr>
            <w:r>
              <w:rPr>
                <w:sz w:val="12"/>
                <w:szCs w:val="12"/>
                <w:spacing w:val="1"/>
              </w:rPr>
              <w:t>国光愈伤涂膜剂</w:t>
            </w:r>
          </w:p>
        </w:tc>
        <w:tc>
          <w:tcPr>
            <w:tcW w:w="2119" w:type="dxa"/>
            <w:vAlign w:val="top"/>
          </w:tcPr>
          <w:p>
            <w:pPr>
              <w:pStyle w:val="TableText"/>
              <w:ind w:left="933" w:right="40" w:hanging="899"/>
              <w:spacing w:before="91" w:line="211" w:lineRule="auto"/>
              <w:rPr>
                <w:sz w:val="12"/>
                <w:szCs w:val="12"/>
              </w:rPr>
            </w:pPr>
            <w:r>
              <w:rPr>
                <w:sz w:val="12"/>
                <w:szCs w:val="12"/>
                <w:spacing w:val="-1"/>
              </w:rPr>
              <w:t>成膜剂、甲基硫菌灵、防腐剂、促生长</w:t>
            </w:r>
            <w:r>
              <w:rPr>
                <w:sz w:val="12"/>
                <w:szCs w:val="12"/>
                <w:spacing w:val="10"/>
              </w:rPr>
              <w:t xml:space="preserve"> </w:t>
            </w:r>
            <w:r>
              <w:rPr>
                <w:sz w:val="12"/>
                <w:szCs w:val="12"/>
                <w:spacing w:val="-2"/>
              </w:rPr>
              <w:t>物质</w:t>
            </w:r>
          </w:p>
        </w:tc>
        <w:tc>
          <w:tcPr>
            <w:tcW w:w="1319" w:type="dxa"/>
            <w:vAlign w:val="top"/>
          </w:tcPr>
          <w:p>
            <w:pPr>
              <w:pStyle w:val="TableText"/>
              <w:ind w:left="55"/>
              <w:spacing w:before="81" w:line="219" w:lineRule="auto"/>
              <w:rPr>
                <w:sz w:val="12"/>
                <w:szCs w:val="12"/>
              </w:rPr>
            </w:pPr>
            <w:r>
              <w:rPr>
                <w:sz w:val="12"/>
                <w:szCs w:val="12"/>
                <w:spacing w:val="-1"/>
              </w:rPr>
              <w:t>直接使用，可略加本稀</w:t>
            </w:r>
          </w:p>
          <w:p>
            <w:pPr>
              <w:pStyle w:val="TableText"/>
              <w:ind w:left="594"/>
              <w:spacing w:before="18" w:line="219" w:lineRule="auto"/>
              <w:rPr>
                <w:sz w:val="12"/>
                <w:szCs w:val="12"/>
              </w:rPr>
            </w:pPr>
            <w:r>
              <w:rPr>
                <w:sz w:val="12"/>
                <w:szCs w:val="12"/>
              </w:rPr>
              <w:t>释</w:t>
            </w:r>
          </w:p>
        </w:tc>
        <w:tc>
          <w:tcPr>
            <w:tcW w:w="1519"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pStyle w:val="TableText"/>
              <w:ind w:left="95"/>
              <w:spacing w:before="39" w:line="219" w:lineRule="auto"/>
              <w:rPr>
                <w:sz w:val="12"/>
                <w:szCs w:val="12"/>
              </w:rPr>
            </w:pPr>
            <w:r>
              <w:rPr>
                <w:sz w:val="12"/>
                <w:szCs w:val="12"/>
                <w:spacing w:val="-1"/>
              </w:rPr>
              <w:t>乔木修剪后和树皮破损时</w:t>
            </w:r>
          </w:p>
        </w:tc>
        <w:tc>
          <w:tcPr>
            <w:tcW w:w="729" w:type="dxa"/>
            <w:vAlign w:val="top"/>
          </w:tcPr>
          <w:p>
            <w:pPr>
              <w:pStyle w:val="TableText"/>
              <w:ind w:left="86"/>
              <w:spacing w:before="147" w:line="214" w:lineRule="auto"/>
              <w:rPr>
                <w:sz w:val="12"/>
                <w:szCs w:val="12"/>
              </w:rPr>
            </w:pPr>
            <w:r>
              <w:rPr>
                <w:sz w:val="12"/>
                <w:szCs w:val="12"/>
                <w:spacing w:val="3"/>
              </w:rPr>
              <w:t>(500g/瓶)</w:t>
            </w:r>
          </w:p>
        </w:tc>
        <w:tc>
          <w:tcPr>
            <w:tcW w:w="2623" w:type="dxa"/>
            <w:vAlign w:val="top"/>
          </w:tcPr>
          <w:p>
            <w:pPr>
              <w:pStyle w:val="TableText"/>
              <w:ind w:left="17"/>
              <w:spacing w:before="151" w:line="219" w:lineRule="auto"/>
              <w:rPr>
                <w:sz w:val="12"/>
                <w:szCs w:val="12"/>
              </w:rPr>
            </w:pPr>
            <w:r>
              <w:rPr>
                <w:sz w:val="12"/>
                <w:szCs w:val="12"/>
                <w:spacing w:val="-1"/>
              </w:rPr>
              <w:t>促进伤口快速愈合。杀菌防腐</w:t>
            </w:r>
          </w:p>
        </w:tc>
      </w:tr>
      <w:tr>
        <w:trPr>
          <w:trHeight w:val="419" w:hRule="atLeast"/>
        </w:trPr>
        <w:tc>
          <w:tcPr>
            <w:tcW w:w="44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939" w:type="dxa"/>
            <w:vAlign w:val="top"/>
            <w:vMerge w:val="continue"/>
            <w:tcBorders>
              <w:top w:val="nil"/>
              <w:bottom w:val="nil"/>
            </w:tcBorders>
          </w:tcPr>
          <w:p>
            <w:pPr>
              <w:rPr>
                <w:rFonts w:ascii="Arial"/>
                <w:sz w:val="21"/>
              </w:rPr>
            </w:pPr>
            <w:r/>
          </w:p>
        </w:tc>
        <w:tc>
          <w:tcPr>
            <w:tcW w:w="2768" w:type="dxa"/>
            <w:vAlign w:val="top"/>
            <w:vMerge w:val="continue"/>
            <w:tcBorders>
              <w:top w:val="nil"/>
              <w:bottom w:val="nil"/>
            </w:tcBorders>
          </w:tcPr>
          <w:p>
            <w:pPr>
              <w:rPr>
                <w:rFonts w:ascii="Arial"/>
                <w:sz w:val="21"/>
              </w:rPr>
            </w:pPr>
            <w:r/>
          </w:p>
        </w:tc>
        <w:tc>
          <w:tcPr>
            <w:tcW w:w="1099" w:type="dxa"/>
            <w:vAlign w:val="top"/>
          </w:tcPr>
          <w:p>
            <w:pPr>
              <w:pStyle w:val="TableText"/>
              <w:ind w:left="243"/>
              <w:spacing w:before="152" w:line="219" w:lineRule="auto"/>
              <w:rPr>
                <w:sz w:val="12"/>
                <w:szCs w:val="12"/>
              </w:rPr>
            </w:pPr>
            <w:r>
              <w:rPr>
                <w:sz w:val="12"/>
                <w:szCs w:val="12"/>
                <w:spacing w:val="1"/>
              </w:rPr>
              <w:t>中威愈伤膏</w:t>
            </w:r>
          </w:p>
        </w:tc>
        <w:tc>
          <w:tcPr>
            <w:tcW w:w="2119" w:type="dxa"/>
            <w:vAlign w:val="top"/>
          </w:tcPr>
          <w:p>
            <w:pPr>
              <w:pStyle w:val="TableText"/>
              <w:ind w:left="634"/>
              <w:spacing w:before="152" w:line="219" w:lineRule="auto"/>
              <w:rPr>
                <w:sz w:val="12"/>
                <w:szCs w:val="12"/>
              </w:rPr>
            </w:pPr>
            <w:r>
              <w:rPr>
                <w:sz w:val="12"/>
                <w:szCs w:val="12"/>
                <w:spacing w:val="-1"/>
              </w:rPr>
              <w:t>有机质、桑菌剂</w:t>
            </w:r>
          </w:p>
        </w:tc>
        <w:tc>
          <w:tcPr>
            <w:tcW w:w="1319" w:type="dxa"/>
            <w:vAlign w:val="top"/>
          </w:tcPr>
          <w:p>
            <w:pPr>
              <w:pStyle w:val="TableText"/>
              <w:ind w:left="55"/>
              <w:spacing w:before="83" w:line="219" w:lineRule="auto"/>
              <w:rPr>
                <w:sz w:val="12"/>
                <w:szCs w:val="12"/>
              </w:rPr>
            </w:pPr>
            <w:r>
              <w:rPr>
                <w:sz w:val="12"/>
                <w:szCs w:val="12"/>
                <w:spacing w:val="-1"/>
              </w:rPr>
              <w:t>直接使用，可略加水稀</w:t>
            </w:r>
          </w:p>
          <w:p>
            <w:pPr>
              <w:pStyle w:val="TableText"/>
              <w:ind w:left="594"/>
              <w:spacing w:before="7" w:line="219" w:lineRule="auto"/>
              <w:rPr>
                <w:sz w:val="12"/>
                <w:szCs w:val="12"/>
              </w:rPr>
            </w:pPr>
            <w:r>
              <w:rPr>
                <w:sz w:val="12"/>
                <w:szCs w:val="12"/>
              </w:rPr>
              <w:t>释</w:t>
            </w:r>
          </w:p>
        </w:tc>
        <w:tc>
          <w:tcPr>
            <w:tcW w:w="1519" w:type="dxa"/>
            <w:vAlign w:val="top"/>
            <w:vMerge w:val="continue"/>
            <w:tcBorders>
              <w:top w:val="nil"/>
              <w:bottom w:val="nil"/>
            </w:tcBorders>
          </w:tcPr>
          <w:p>
            <w:pPr>
              <w:rPr>
                <w:rFonts w:ascii="Arial"/>
                <w:sz w:val="21"/>
              </w:rPr>
            </w:pPr>
            <w:r/>
          </w:p>
        </w:tc>
        <w:tc>
          <w:tcPr>
            <w:tcW w:w="729" w:type="dxa"/>
            <w:vAlign w:val="top"/>
          </w:tcPr>
          <w:p>
            <w:pPr>
              <w:pStyle w:val="TableText"/>
              <w:ind w:left="86"/>
              <w:spacing w:before="148" w:line="214" w:lineRule="auto"/>
              <w:rPr>
                <w:sz w:val="12"/>
                <w:szCs w:val="12"/>
              </w:rPr>
            </w:pPr>
            <w:r>
              <w:rPr>
                <w:sz w:val="12"/>
                <w:szCs w:val="12"/>
                <w:spacing w:val="3"/>
              </w:rPr>
              <w:t>(500g/瓶)</w:t>
            </w:r>
          </w:p>
        </w:tc>
        <w:tc>
          <w:tcPr>
            <w:tcW w:w="2623" w:type="dxa"/>
            <w:vAlign w:val="top"/>
          </w:tcPr>
          <w:p>
            <w:pPr>
              <w:pStyle w:val="TableText"/>
              <w:ind w:left="17" w:right="79"/>
              <w:spacing w:before="103" w:line="210" w:lineRule="auto"/>
              <w:rPr>
                <w:sz w:val="12"/>
                <w:szCs w:val="12"/>
              </w:rPr>
            </w:pPr>
            <w:r>
              <w:rPr>
                <w:sz w:val="12"/>
                <w:szCs w:val="12"/>
                <w:spacing w:val="-1"/>
              </w:rPr>
              <w:t>适用树木移栽时切口及根部处理；病害伤口、树</w:t>
            </w:r>
            <w:r>
              <w:rPr>
                <w:sz w:val="12"/>
                <w:szCs w:val="12"/>
                <w:spacing w:val="15"/>
              </w:rPr>
              <w:t xml:space="preserve"> </w:t>
            </w:r>
            <w:r>
              <w:rPr>
                <w:sz w:val="12"/>
                <w:szCs w:val="12"/>
                <w:spacing w:val="-2"/>
              </w:rPr>
              <w:t>皮损失处理</w:t>
            </w:r>
          </w:p>
        </w:tc>
      </w:tr>
      <w:tr>
        <w:trPr>
          <w:trHeight w:val="414" w:hRule="atLeast"/>
        </w:trPr>
        <w:tc>
          <w:tcPr>
            <w:tcW w:w="445" w:type="dxa"/>
            <w:vAlign w:val="top"/>
            <w:vMerge w:val="continue"/>
            <w:tcBorders>
              <w:top w:val="nil"/>
            </w:tcBorders>
          </w:tcPr>
          <w:p>
            <w:pPr>
              <w:rPr>
                <w:rFonts w:ascii="Arial"/>
                <w:sz w:val="21"/>
              </w:rPr>
            </w:pPr>
            <w:r/>
          </w:p>
        </w:tc>
        <w:tc>
          <w:tcPr>
            <w:tcW w:w="540" w:type="dxa"/>
            <w:vAlign w:val="top"/>
            <w:vMerge w:val="continue"/>
            <w:tcBorders>
              <w:top w:val="nil"/>
            </w:tcBorders>
          </w:tcPr>
          <w:p>
            <w:pPr>
              <w:rPr>
                <w:rFonts w:ascii="Arial"/>
                <w:sz w:val="21"/>
              </w:rPr>
            </w:pPr>
            <w:r/>
          </w:p>
        </w:tc>
        <w:tc>
          <w:tcPr>
            <w:tcW w:w="939" w:type="dxa"/>
            <w:vAlign w:val="top"/>
            <w:vMerge w:val="continue"/>
            <w:tcBorders>
              <w:top w:val="nil"/>
            </w:tcBorders>
          </w:tcPr>
          <w:p>
            <w:pPr>
              <w:rPr>
                <w:rFonts w:ascii="Arial"/>
                <w:sz w:val="21"/>
              </w:rPr>
            </w:pPr>
            <w:r/>
          </w:p>
        </w:tc>
        <w:tc>
          <w:tcPr>
            <w:tcW w:w="2768" w:type="dxa"/>
            <w:vAlign w:val="top"/>
            <w:vMerge w:val="continue"/>
            <w:tcBorders>
              <w:top w:val="nil"/>
            </w:tcBorders>
          </w:tcPr>
          <w:p>
            <w:pPr>
              <w:rPr>
                <w:rFonts w:ascii="Arial"/>
                <w:sz w:val="21"/>
              </w:rPr>
            </w:pPr>
            <w:r/>
          </w:p>
        </w:tc>
        <w:tc>
          <w:tcPr>
            <w:tcW w:w="1099" w:type="dxa"/>
            <w:vAlign w:val="top"/>
          </w:tcPr>
          <w:p>
            <w:pPr>
              <w:pStyle w:val="TableText"/>
              <w:ind w:left="303"/>
              <w:spacing w:before="174" w:line="219" w:lineRule="auto"/>
              <w:rPr>
                <w:sz w:val="12"/>
                <w:szCs w:val="12"/>
              </w:rPr>
            </w:pPr>
            <w:r>
              <w:rPr>
                <w:sz w:val="12"/>
                <w:szCs w:val="12"/>
                <w:spacing w:val="-2"/>
              </w:rPr>
              <w:t>灰色油漆</w:t>
            </w:r>
          </w:p>
        </w:tc>
        <w:tc>
          <w:tcPr>
            <w:tcW w:w="2119" w:type="dxa"/>
            <w:vAlign w:val="top"/>
          </w:tcPr>
          <w:p>
            <w:pPr>
              <w:pStyle w:val="TableText"/>
              <w:ind w:left="274"/>
              <w:spacing w:before="153" w:line="219" w:lineRule="auto"/>
              <w:rPr>
                <w:sz w:val="12"/>
                <w:szCs w:val="12"/>
              </w:rPr>
            </w:pPr>
            <w:r>
              <w:rPr>
                <w:sz w:val="12"/>
                <w:szCs w:val="12"/>
                <w:spacing w:val="-1"/>
              </w:rPr>
              <w:t>成膜物质、颜料、溶剂、助剂</w:t>
            </w:r>
          </w:p>
        </w:tc>
        <w:tc>
          <w:tcPr>
            <w:tcW w:w="1319" w:type="dxa"/>
            <w:vAlign w:val="top"/>
          </w:tcPr>
          <w:p>
            <w:pPr>
              <w:pStyle w:val="TableText"/>
              <w:ind w:left="55"/>
              <w:spacing w:before="94" w:line="215" w:lineRule="auto"/>
              <w:rPr>
                <w:sz w:val="12"/>
                <w:szCs w:val="12"/>
              </w:rPr>
            </w:pPr>
            <w:r>
              <w:rPr>
                <w:sz w:val="12"/>
                <w:szCs w:val="12"/>
                <w:spacing w:val="-1"/>
              </w:rPr>
              <w:t>直接使用，可略加汽油</w:t>
            </w:r>
          </w:p>
          <w:p>
            <w:pPr>
              <w:pStyle w:val="TableText"/>
              <w:ind w:left="534"/>
              <w:spacing w:line="219" w:lineRule="auto"/>
              <w:rPr>
                <w:sz w:val="12"/>
                <w:szCs w:val="12"/>
              </w:rPr>
            </w:pPr>
            <w:r>
              <w:rPr>
                <w:sz w:val="12"/>
                <w:szCs w:val="12"/>
                <w:spacing w:val="-2"/>
              </w:rPr>
              <w:t>稀释</w:t>
            </w:r>
          </w:p>
        </w:tc>
        <w:tc>
          <w:tcPr>
            <w:tcW w:w="1519" w:type="dxa"/>
            <w:vAlign w:val="top"/>
            <w:vMerge w:val="continue"/>
            <w:tcBorders>
              <w:top w:val="nil"/>
            </w:tcBorders>
          </w:tcPr>
          <w:p>
            <w:pPr>
              <w:rPr>
                <w:rFonts w:ascii="Arial"/>
                <w:sz w:val="21"/>
              </w:rPr>
            </w:pPr>
            <w:r/>
          </w:p>
        </w:tc>
        <w:tc>
          <w:tcPr>
            <w:tcW w:w="729" w:type="dxa"/>
            <w:vAlign w:val="top"/>
          </w:tcPr>
          <w:p>
            <w:pPr>
              <w:pStyle w:val="TableText"/>
              <w:ind w:left="207"/>
              <w:spacing w:before="174" w:line="219" w:lineRule="auto"/>
              <w:rPr>
                <w:sz w:val="12"/>
                <w:szCs w:val="12"/>
              </w:rPr>
            </w:pPr>
            <w:r>
              <w:rPr>
                <w:sz w:val="12"/>
                <w:szCs w:val="12"/>
              </w:rPr>
              <w:t>IL</w:t>
            </w:r>
            <w:r>
              <w:rPr>
                <w:sz w:val="12"/>
                <w:szCs w:val="12"/>
                <w:spacing w:val="4"/>
              </w:rPr>
              <w:t>/桶</w:t>
            </w:r>
          </w:p>
        </w:tc>
        <w:tc>
          <w:tcPr>
            <w:tcW w:w="2623" w:type="dxa"/>
            <w:vAlign w:val="top"/>
          </w:tcPr>
          <w:p>
            <w:pPr>
              <w:pStyle w:val="TableText"/>
              <w:ind w:left="17"/>
              <w:spacing w:before="174" w:line="219" w:lineRule="auto"/>
              <w:rPr>
                <w:sz w:val="12"/>
                <w:szCs w:val="12"/>
              </w:rPr>
            </w:pPr>
            <w:r>
              <w:rPr>
                <w:sz w:val="12"/>
                <w:szCs w:val="12"/>
                <w:spacing w:val="-1"/>
              </w:rPr>
              <w:t>伤口涂抹</w:t>
            </w:r>
          </w:p>
        </w:tc>
      </w:tr>
    </w:tbl>
    <w:p>
      <w:pPr>
        <w:rPr>
          <w:rFonts w:ascii="Arial"/>
          <w:sz w:val="21"/>
        </w:rPr>
      </w:pPr>
      <w:r/>
    </w:p>
    <w:p>
      <w:pPr>
        <w:sectPr>
          <w:pgSz w:w="14490" w:h="10240"/>
          <w:pgMar w:top="134" w:right="214" w:bottom="400" w:left="164" w:header="0" w:footer="0" w:gutter="0"/>
        </w:sectPr>
        <w:rPr>
          <w:rFonts w:ascii="Arial" w:hAnsi="Arial" w:eastAsia="Arial" w:cs="Arial"/>
          <w:sz w:val="21"/>
          <w:szCs w:val="21"/>
        </w:rPr>
      </w:pPr>
    </w:p>
    <w:tbl>
      <w:tblPr>
        <w:tblStyle w:val="TableNormal"/>
        <w:tblW w:w="138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5"/>
        <w:gridCol w:w="810"/>
        <w:gridCol w:w="889"/>
        <w:gridCol w:w="2548"/>
        <w:gridCol w:w="1409"/>
        <w:gridCol w:w="1619"/>
        <w:gridCol w:w="1339"/>
        <w:gridCol w:w="1149"/>
        <w:gridCol w:w="899"/>
        <w:gridCol w:w="2843"/>
      </w:tblGrid>
      <w:tr>
        <w:trPr>
          <w:trHeight w:val="609" w:hRule="atLeast"/>
        </w:trPr>
        <w:tc>
          <w:tcPr>
            <w:tcW w:w="13890" w:type="dxa"/>
            <w:vAlign w:val="top"/>
            <w:gridSpan w:val="10"/>
            <w:tcBorders>
              <w:bottom w:val="single" w:color="000000" w:sz="2" w:space="0"/>
              <w:top w:val="single" w:color="000000" w:sz="2" w:space="0"/>
            </w:tcBorders>
          </w:tcPr>
          <w:p>
            <w:pPr>
              <w:pStyle w:val="TableText"/>
              <w:ind w:left="6216"/>
              <w:spacing w:before="162" w:line="218" w:lineRule="auto"/>
              <w:rPr>
                <w:sz w:val="12"/>
                <w:szCs w:val="12"/>
              </w:rPr>
            </w:pPr>
            <w:r>
              <w:rPr>
                <w:sz w:val="12"/>
                <w:szCs w:val="12"/>
                <w:b/>
                <w:bCs/>
                <w:spacing w:val="-2"/>
              </w:rPr>
              <w:t>浙江地区农药肥料使用指导</w:t>
            </w:r>
          </w:p>
          <w:p>
            <w:pPr>
              <w:pStyle w:val="TableText"/>
              <w:ind w:left="4654"/>
              <w:spacing w:before="17" w:line="218" w:lineRule="auto"/>
              <w:rPr>
                <w:sz w:val="12"/>
                <w:szCs w:val="12"/>
              </w:rPr>
            </w:pPr>
            <w:r>
              <w:rPr>
                <w:sz w:val="12"/>
                <w:szCs w:val="12"/>
                <w:spacing w:val="-2"/>
              </w:rPr>
              <w:t>(</w:t>
            </w:r>
            <w:r>
              <w:rPr>
                <w:sz w:val="12"/>
                <w:szCs w:val="12"/>
                <w:spacing w:val="-33"/>
              </w:rPr>
              <w:t xml:space="preserve"> </w:t>
            </w:r>
            <w:r>
              <w:rPr>
                <w:sz w:val="12"/>
                <w:szCs w:val="12"/>
                <w:b/>
                <w:bCs/>
                <w:spacing w:val="-2"/>
              </w:rPr>
              <w:t>本表中药品供参考，如有同类且成分相同、价格合理、低毒高效的药品，可选择使用</w:t>
            </w:r>
            <w:r>
              <w:rPr>
                <w:sz w:val="12"/>
                <w:szCs w:val="12"/>
                <w:spacing w:val="-2"/>
              </w:rPr>
              <w:t>)</w:t>
            </w:r>
          </w:p>
        </w:tc>
      </w:tr>
      <w:tr>
        <w:trPr>
          <w:trHeight w:val="484" w:hRule="atLeast"/>
        </w:trPr>
        <w:tc>
          <w:tcPr>
            <w:tcW w:w="385" w:type="dxa"/>
            <w:vAlign w:val="top"/>
            <w:tcBorders>
              <w:bottom w:val="single" w:color="000000" w:sz="2" w:space="0"/>
              <w:top w:val="single" w:color="000000" w:sz="2" w:space="0"/>
            </w:tcBorders>
          </w:tcPr>
          <w:p>
            <w:pPr>
              <w:pStyle w:val="TableText"/>
              <w:ind w:left="66"/>
              <w:spacing w:before="178" w:line="219" w:lineRule="auto"/>
              <w:rPr>
                <w:sz w:val="12"/>
                <w:szCs w:val="12"/>
              </w:rPr>
            </w:pPr>
            <w:r>
              <w:rPr>
                <w:sz w:val="12"/>
                <w:szCs w:val="12"/>
                <w:b/>
                <w:bCs/>
                <w:spacing w:val="-3"/>
              </w:rPr>
              <w:t>分类</w:t>
            </w:r>
          </w:p>
        </w:tc>
        <w:tc>
          <w:tcPr>
            <w:tcW w:w="810" w:type="dxa"/>
            <w:vAlign w:val="top"/>
            <w:tcBorders>
              <w:bottom w:val="single" w:color="000000" w:sz="2" w:space="0"/>
              <w:top w:val="single" w:color="000000" w:sz="2" w:space="0"/>
            </w:tcBorders>
          </w:tcPr>
          <w:p>
            <w:pPr>
              <w:pStyle w:val="TableText"/>
              <w:ind w:left="31"/>
              <w:spacing w:before="78" w:line="219" w:lineRule="auto"/>
              <w:rPr>
                <w:sz w:val="12"/>
                <w:szCs w:val="12"/>
              </w:rPr>
            </w:pPr>
            <w:r>
              <w:rPr>
                <w:sz w:val="12"/>
                <w:szCs w:val="12"/>
                <w:b/>
                <w:bCs/>
                <w:spacing w:val="-3"/>
              </w:rPr>
              <w:t>消杀预防及病</w:t>
            </w:r>
          </w:p>
          <w:p>
            <w:pPr>
              <w:pStyle w:val="TableText"/>
              <w:ind w:left="151"/>
              <w:spacing w:before="17" w:line="219" w:lineRule="auto"/>
              <w:rPr>
                <w:sz w:val="12"/>
                <w:szCs w:val="12"/>
              </w:rPr>
            </w:pPr>
            <w:r>
              <w:rPr>
                <w:sz w:val="12"/>
                <w:szCs w:val="12"/>
                <w:b/>
                <w:bCs/>
                <w:spacing w:val="-3"/>
              </w:rPr>
              <w:t>虫害分类</w:t>
            </w:r>
          </w:p>
        </w:tc>
        <w:tc>
          <w:tcPr>
            <w:tcW w:w="889" w:type="dxa"/>
            <w:vAlign w:val="top"/>
            <w:tcBorders>
              <w:bottom w:val="single" w:color="000000" w:sz="2" w:space="0"/>
              <w:top w:val="single" w:color="000000" w:sz="2" w:space="0"/>
            </w:tcBorders>
          </w:tcPr>
          <w:p>
            <w:pPr>
              <w:pStyle w:val="TableText"/>
              <w:ind w:left="131"/>
              <w:spacing w:before="178" w:line="219" w:lineRule="auto"/>
              <w:rPr>
                <w:sz w:val="12"/>
                <w:szCs w:val="12"/>
              </w:rPr>
            </w:pPr>
            <w:r>
              <w:rPr>
                <w:sz w:val="12"/>
                <w:szCs w:val="12"/>
                <w:b/>
                <w:bCs/>
                <w:spacing w:val="-3"/>
              </w:rPr>
              <w:t>常见病虫害</w:t>
            </w:r>
          </w:p>
        </w:tc>
        <w:tc>
          <w:tcPr>
            <w:tcW w:w="2548" w:type="dxa"/>
            <w:vAlign w:val="top"/>
            <w:tcBorders>
              <w:bottom w:val="single" w:color="000000" w:sz="2" w:space="0"/>
              <w:top w:val="single" w:color="000000" w:sz="2" w:space="0"/>
            </w:tcBorders>
          </w:tcPr>
          <w:p>
            <w:pPr>
              <w:pStyle w:val="TableText"/>
              <w:ind w:left="952"/>
              <w:spacing w:before="178" w:line="219" w:lineRule="auto"/>
              <w:rPr>
                <w:sz w:val="12"/>
                <w:szCs w:val="12"/>
              </w:rPr>
            </w:pPr>
            <w:r>
              <w:rPr>
                <w:sz w:val="12"/>
                <w:szCs w:val="12"/>
                <w:b/>
                <w:bCs/>
                <w:spacing w:val="-3"/>
              </w:rPr>
              <w:t>主要发病月份</w:t>
            </w:r>
          </w:p>
        </w:tc>
        <w:tc>
          <w:tcPr>
            <w:tcW w:w="1409" w:type="dxa"/>
            <w:vAlign w:val="top"/>
            <w:tcBorders>
              <w:bottom w:val="single" w:color="000000" w:sz="2" w:space="0"/>
              <w:top w:val="single" w:color="000000" w:sz="2" w:space="0"/>
            </w:tcBorders>
          </w:tcPr>
          <w:p>
            <w:pPr>
              <w:pStyle w:val="TableText"/>
              <w:ind w:left="454"/>
              <w:spacing w:before="178" w:line="220" w:lineRule="auto"/>
              <w:rPr>
                <w:sz w:val="12"/>
                <w:szCs w:val="12"/>
              </w:rPr>
            </w:pPr>
            <w:r>
              <w:rPr>
                <w:sz w:val="12"/>
                <w:szCs w:val="12"/>
                <w:b/>
                <w:bCs/>
                <w:spacing w:val="-3"/>
              </w:rPr>
              <w:t>药品名称</w:t>
            </w:r>
          </w:p>
        </w:tc>
        <w:tc>
          <w:tcPr>
            <w:tcW w:w="1619" w:type="dxa"/>
            <w:vAlign w:val="top"/>
            <w:tcBorders>
              <w:bottom w:val="single" w:color="000000" w:sz="2" w:space="0"/>
              <w:top w:val="single" w:color="000000" w:sz="2" w:space="0"/>
            </w:tcBorders>
          </w:tcPr>
          <w:p>
            <w:pPr>
              <w:pStyle w:val="TableText"/>
              <w:ind w:left="565"/>
              <w:spacing w:before="178" w:line="220" w:lineRule="auto"/>
              <w:rPr>
                <w:sz w:val="12"/>
                <w:szCs w:val="12"/>
              </w:rPr>
            </w:pPr>
            <w:r>
              <w:rPr>
                <w:sz w:val="12"/>
                <w:szCs w:val="12"/>
                <w:b/>
                <w:bCs/>
                <w:spacing w:val="-3"/>
              </w:rPr>
              <w:t>主要成分</w:t>
            </w:r>
          </w:p>
        </w:tc>
        <w:tc>
          <w:tcPr>
            <w:tcW w:w="1339" w:type="dxa"/>
            <w:vAlign w:val="top"/>
            <w:tcBorders>
              <w:bottom w:val="single" w:color="000000" w:sz="2" w:space="0"/>
              <w:top w:val="single" w:color="000000" w:sz="2" w:space="0"/>
            </w:tcBorders>
          </w:tcPr>
          <w:p>
            <w:pPr>
              <w:pStyle w:val="TableText"/>
              <w:ind w:left="426"/>
              <w:spacing w:before="178" w:line="219" w:lineRule="auto"/>
              <w:rPr>
                <w:sz w:val="12"/>
                <w:szCs w:val="12"/>
              </w:rPr>
            </w:pPr>
            <w:r>
              <w:rPr>
                <w:sz w:val="12"/>
                <w:szCs w:val="12"/>
                <w:b/>
                <w:bCs/>
                <w:spacing w:val="-3"/>
              </w:rPr>
              <w:t>使用倍率</w:t>
            </w:r>
          </w:p>
        </w:tc>
        <w:tc>
          <w:tcPr>
            <w:tcW w:w="1149" w:type="dxa"/>
            <w:vAlign w:val="top"/>
            <w:tcBorders>
              <w:bottom w:val="single" w:color="000000" w:sz="2" w:space="0"/>
              <w:top w:val="single" w:color="000000" w:sz="2" w:space="0"/>
            </w:tcBorders>
          </w:tcPr>
          <w:p>
            <w:pPr>
              <w:pStyle w:val="TableText"/>
              <w:ind w:left="327"/>
              <w:spacing w:before="178" w:line="219" w:lineRule="auto"/>
              <w:rPr>
                <w:sz w:val="12"/>
                <w:szCs w:val="12"/>
              </w:rPr>
            </w:pPr>
            <w:r>
              <w:rPr>
                <w:sz w:val="12"/>
                <w:szCs w:val="12"/>
                <w:b/>
                <w:bCs/>
                <w:spacing w:val="-3"/>
              </w:rPr>
              <w:t>施用次数</w:t>
            </w:r>
          </w:p>
        </w:tc>
        <w:tc>
          <w:tcPr>
            <w:tcW w:w="899" w:type="dxa"/>
            <w:vAlign w:val="top"/>
            <w:tcBorders>
              <w:bottom w:val="single" w:color="000000" w:sz="2" w:space="0"/>
              <w:top w:val="single" w:color="000000" w:sz="2" w:space="0"/>
            </w:tcBorders>
          </w:tcPr>
          <w:p>
            <w:pPr>
              <w:pStyle w:val="TableText"/>
              <w:ind w:left="328"/>
              <w:spacing w:before="178" w:line="219" w:lineRule="auto"/>
              <w:rPr>
                <w:sz w:val="12"/>
                <w:szCs w:val="12"/>
              </w:rPr>
            </w:pPr>
            <w:r>
              <w:rPr>
                <w:sz w:val="12"/>
                <w:szCs w:val="12"/>
                <w:b/>
                <w:bCs/>
                <w:spacing w:val="-3"/>
              </w:rPr>
              <w:t>规格</w:t>
            </w:r>
          </w:p>
        </w:tc>
        <w:tc>
          <w:tcPr>
            <w:tcW w:w="2843" w:type="dxa"/>
            <w:vAlign w:val="top"/>
            <w:tcBorders>
              <w:bottom w:val="single" w:color="000000" w:sz="2" w:space="0"/>
              <w:top w:val="single" w:color="000000" w:sz="2" w:space="0"/>
            </w:tcBorders>
          </w:tcPr>
          <w:p>
            <w:pPr>
              <w:pStyle w:val="TableText"/>
              <w:ind w:left="1319"/>
              <w:spacing w:before="178" w:line="221" w:lineRule="auto"/>
              <w:rPr>
                <w:sz w:val="12"/>
                <w:szCs w:val="12"/>
              </w:rPr>
            </w:pPr>
            <w:r>
              <w:rPr>
                <w:sz w:val="12"/>
                <w:szCs w:val="12"/>
                <w:b/>
                <w:bCs/>
                <w:spacing w:val="-3"/>
              </w:rPr>
              <w:t>备注</w:t>
            </w:r>
          </w:p>
        </w:tc>
      </w:tr>
      <w:tr>
        <w:trPr>
          <w:trHeight w:val="484" w:hRule="atLeast"/>
        </w:trPr>
        <w:tc>
          <w:tcPr>
            <w:tcW w:w="385" w:type="dxa"/>
            <w:vAlign w:val="top"/>
            <w:vMerge w:val="restart"/>
            <w:tcBorders>
              <w:bottom w:val="nil"/>
              <w:top w:val="single" w:color="000000" w:sz="2" w:space="0"/>
            </w:tcBorders>
          </w:tcPr>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4"/>
              <w:spacing w:before="39" w:line="218" w:lineRule="auto"/>
              <w:rPr>
                <w:sz w:val="12"/>
                <w:szCs w:val="12"/>
              </w:rPr>
            </w:pPr>
            <w:r>
              <w:rPr>
                <w:sz w:val="12"/>
                <w:szCs w:val="12"/>
                <w:spacing w:val="-2"/>
              </w:rPr>
              <w:t>杀菌剂</w:t>
            </w:r>
          </w:p>
        </w:tc>
        <w:tc>
          <w:tcPr>
            <w:tcW w:w="810" w:type="dxa"/>
            <w:vAlign w:val="top"/>
            <w:vMerge w:val="restart"/>
            <w:tcBorders>
              <w:bottom w:val="nil"/>
              <w:top w:val="single" w:color="000000" w:sz="2" w:space="0"/>
            </w:tcBorders>
          </w:tcPr>
          <w:p>
            <w:pPr>
              <w:spacing w:line="339" w:lineRule="auto"/>
              <w:rPr>
                <w:rFonts w:ascii="Arial"/>
                <w:sz w:val="21"/>
              </w:rPr>
            </w:pPr>
            <w:r/>
          </w:p>
          <w:p>
            <w:pPr>
              <w:pStyle w:val="TableText"/>
              <w:ind w:left="150"/>
              <w:spacing w:before="39" w:line="219" w:lineRule="auto"/>
              <w:rPr>
                <w:sz w:val="12"/>
                <w:szCs w:val="12"/>
              </w:rPr>
            </w:pPr>
            <w:r>
              <w:rPr>
                <w:sz w:val="12"/>
                <w:szCs w:val="12"/>
                <w:spacing w:val="-2"/>
              </w:rPr>
              <w:t>消杀预防</w:t>
            </w:r>
          </w:p>
        </w:tc>
        <w:tc>
          <w:tcPr>
            <w:tcW w:w="889" w:type="dxa"/>
            <w:vAlign w:val="top"/>
            <w:vMerge w:val="restart"/>
            <w:tcBorders>
              <w:bottom w:val="nil"/>
              <w:top w:val="single" w:color="000000" w:sz="2" w:space="0"/>
            </w:tcBorders>
          </w:tcPr>
          <w:p>
            <w:pPr>
              <w:spacing w:line="269" w:lineRule="auto"/>
              <w:rPr>
                <w:rFonts w:ascii="Arial"/>
                <w:sz w:val="21"/>
              </w:rPr>
            </w:pPr>
            <w:r/>
          </w:p>
          <w:p>
            <w:pPr>
              <w:pStyle w:val="TableText"/>
              <w:ind w:left="229" w:right="33" w:hanging="219"/>
              <w:spacing w:before="39" w:line="209" w:lineRule="auto"/>
              <w:rPr>
                <w:sz w:val="12"/>
                <w:szCs w:val="12"/>
              </w:rPr>
            </w:pPr>
            <w:r>
              <w:rPr>
                <w:sz w:val="12"/>
                <w:szCs w:val="12"/>
                <w:spacing w:val="-1"/>
              </w:rPr>
              <w:t>全园区的菌类病</w:t>
            </w:r>
            <w:r>
              <w:rPr>
                <w:sz w:val="12"/>
                <w:szCs w:val="12"/>
                <w:spacing w:val="1"/>
              </w:rPr>
              <w:t xml:space="preserve"> </w:t>
            </w:r>
            <w:r>
              <w:rPr>
                <w:sz w:val="12"/>
                <w:szCs w:val="12"/>
                <w:spacing w:val="-2"/>
              </w:rPr>
              <w:t>菌、虫卵</w:t>
            </w:r>
          </w:p>
        </w:tc>
        <w:tc>
          <w:tcPr>
            <w:tcW w:w="2548" w:type="dxa"/>
            <w:vAlign w:val="top"/>
            <w:vMerge w:val="restart"/>
            <w:tcBorders>
              <w:bottom w:val="nil"/>
              <w:top w:val="single" w:color="000000" w:sz="2" w:space="0"/>
            </w:tcBorders>
          </w:tcPr>
          <w:p>
            <w:pPr>
              <w:spacing w:line="268" w:lineRule="auto"/>
              <w:rPr>
                <w:rFonts w:ascii="Arial"/>
                <w:sz w:val="21"/>
              </w:rPr>
            </w:pPr>
            <w:r/>
          </w:p>
          <w:p>
            <w:pPr>
              <w:pStyle w:val="TableText"/>
              <w:ind w:left="11"/>
              <w:spacing w:before="39" w:line="210" w:lineRule="auto"/>
              <w:rPr>
                <w:sz w:val="12"/>
                <w:szCs w:val="12"/>
              </w:rPr>
            </w:pPr>
            <w:r>
              <w:rPr>
                <w:sz w:val="12"/>
                <w:szCs w:val="12"/>
                <w:spacing w:val="-5"/>
              </w:rPr>
              <w:t>2月下句、3月上句苗木返青前对全园区的菌类、虫</w:t>
            </w:r>
            <w:r>
              <w:rPr>
                <w:sz w:val="12"/>
                <w:szCs w:val="12"/>
              </w:rPr>
              <w:t xml:space="preserve"> </w:t>
            </w:r>
            <w:r>
              <w:rPr>
                <w:sz w:val="12"/>
                <w:szCs w:val="12"/>
                <w:spacing w:val="-1"/>
              </w:rPr>
              <w:t>卵、消桑1-2次</w:t>
            </w:r>
          </w:p>
        </w:tc>
        <w:tc>
          <w:tcPr>
            <w:tcW w:w="1409" w:type="dxa"/>
            <w:vAlign w:val="top"/>
            <w:tcBorders>
              <w:bottom w:val="single" w:color="000000" w:sz="2" w:space="0"/>
              <w:top w:val="single" w:color="000000" w:sz="2" w:space="0"/>
            </w:tcBorders>
          </w:tcPr>
          <w:p>
            <w:pPr>
              <w:pStyle w:val="TableText"/>
              <w:ind w:left="453"/>
              <w:spacing w:before="180" w:line="220" w:lineRule="auto"/>
              <w:rPr>
                <w:sz w:val="12"/>
                <w:szCs w:val="12"/>
              </w:rPr>
            </w:pPr>
            <w:r>
              <w:rPr>
                <w:sz w:val="12"/>
                <w:szCs w:val="12"/>
                <w:spacing w:val="-2"/>
              </w:rPr>
              <w:t>该尔多液</w:t>
            </w:r>
          </w:p>
        </w:tc>
        <w:tc>
          <w:tcPr>
            <w:tcW w:w="1619" w:type="dxa"/>
            <w:vAlign w:val="top"/>
            <w:tcBorders>
              <w:bottom w:val="single" w:color="000000" w:sz="2" w:space="0"/>
              <w:top w:val="single" w:color="000000" w:sz="2" w:space="0"/>
            </w:tcBorders>
          </w:tcPr>
          <w:p>
            <w:pPr>
              <w:pStyle w:val="TableText"/>
              <w:ind w:left="504"/>
              <w:spacing w:before="180" w:line="221" w:lineRule="auto"/>
              <w:rPr>
                <w:sz w:val="12"/>
                <w:szCs w:val="12"/>
              </w:rPr>
            </w:pPr>
            <w:r>
              <w:rPr>
                <w:sz w:val="12"/>
                <w:szCs w:val="12"/>
                <w:spacing w:val="-1"/>
              </w:rPr>
              <w:t>碱式硫酸铜</w:t>
            </w:r>
          </w:p>
        </w:tc>
        <w:tc>
          <w:tcPr>
            <w:tcW w:w="1339" w:type="dxa"/>
            <w:vAlign w:val="top"/>
            <w:tcBorders>
              <w:bottom w:val="single" w:color="000000" w:sz="2" w:space="0"/>
              <w:top w:val="single" w:color="000000" w:sz="2" w:space="0"/>
            </w:tcBorders>
          </w:tcPr>
          <w:p>
            <w:pPr>
              <w:pStyle w:val="TableText"/>
              <w:ind w:left="395"/>
              <w:spacing w:before="180" w:line="220" w:lineRule="auto"/>
              <w:rPr>
                <w:sz w:val="12"/>
                <w:szCs w:val="12"/>
              </w:rPr>
            </w:pPr>
            <w:r>
              <w:rPr>
                <w:sz w:val="12"/>
                <w:szCs w:val="12"/>
                <w:spacing w:val="-2"/>
              </w:rPr>
              <w:t>160-240倍</w:t>
            </w:r>
          </w:p>
        </w:tc>
        <w:tc>
          <w:tcPr>
            <w:tcW w:w="1149" w:type="dxa"/>
            <w:vAlign w:val="top"/>
            <w:vMerge w:val="restart"/>
            <w:tcBorders>
              <w:bottom w:val="nil"/>
              <w:top w:val="single" w:color="000000" w:sz="2" w:space="0"/>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37"/>
              <w:spacing w:before="176" w:line="213" w:lineRule="auto"/>
              <w:rPr>
                <w:sz w:val="12"/>
                <w:szCs w:val="12"/>
              </w:rPr>
            </w:pPr>
            <w:r>
              <w:rPr>
                <w:sz w:val="12"/>
                <w:szCs w:val="12"/>
                <w:spacing w:val="-1"/>
              </w:rPr>
              <w:t>200g/袋</w:t>
            </w:r>
          </w:p>
        </w:tc>
        <w:tc>
          <w:tcPr>
            <w:tcW w:w="2843" w:type="dxa"/>
            <w:vAlign w:val="top"/>
            <w:tcBorders>
              <w:bottom w:val="single" w:color="000000" w:sz="2" w:space="0"/>
              <w:top w:val="single" w:color="000000" w:sz="2" w:space="0"/>
            </w:tcBorders>
          </w:tcPr>
          <w:p>
            <w:pPr>
              <w:pStyle w:val="TableText"/>
              <w:ind w:left="18"/>
              <w:spacing w:before="129" w:line="210" w:lineRule="auto"/>
              <w:rPr>
                <w:sz w:val="12"/>
                <w:szCs w:val="12"/>
              </w:rPr>
            </w:pPr>
            <w:r>
              <w:rPr>
                <w:sz w:val="12"/>
                <w:szCs w:val="12"/>
                <w:spacing w:val="-8"/>
              </w:rPr>
              <w:t>防治落叶病、炭疽病、炭疽病、薪霉病。不能与石疏合剂</w:t>
            </w:r>
            <w:r>
              <w:rPr>
                <w:sz w:val="12"/>
                <w:szCs w:val="12"/>
                <w:spacing w:val="13"/>
              </w:rPr>
              <w:t xml:space="preserve"> </w:t>
            </w:r>
            <w:r>
              <w:rPr>
                <w:sz w:val="12"/>
                <w:szCs w:val="12"/>
                <w:spacing w:val="1"/>
              </w:rPr>
              <w:t>等碱性农药混用</w:t>
            </w:r>
          </w:p>
        </w:tc>
      </w:tr>
      <w:tr>
        <w:trPr>
          <w:trHeight w:val="38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48" w:type="dxa"/>
            <w:vAlign w:val="top"/>
            <w:vMerge w:val="continue"/>
            <w:tcBorders>
              <w:bottom w:val="single" w:color="000000" w:sz="2" w:space="0"/>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33"/>
              <w:spacing w:before="150" w:line="218" w:lineRule="auto"/>
              <w:rPr>
                <w:sz w:val="12"/>
                <w:szCs w:val="12"/>
              </w:rPr>
            </w:pPr>
            <w:r>
              <w:rPr>
                <w:sz w:val="12"/>
                <w:szCs w:val="12"/>
                <w:spacing w:val="1"/>
              </w:rPr>
              <w:t>晶体石硫合剂</w:t>
            </w:r>
          </w:p>
        </w:tc>
        <w:tc>
          <w:tcPr>
            <w:tcW w:w="1619" w:type="dxa"/>
            <w:vAlign w:val="top"/>
            <w:tcBorders>
              <w:bottom w:val="single" w:color="000000" w:sz="2" w:space="0"/>
              <w:top w:val="single" w:color="000000" w:sz="2" w:space="0"/>
            </w:tcBorders>
          </w:tcPr>
          <w:p>
            <w:pPr>
              <w:pStyle w:val="TableText"/>
              <w:ind w:left="564"/>
              <w:spacing w:before="151" w:line="221" w:lineRule="auto"/>
              <w:rPr>
                <w:sz w:val="12"/>
                <w:szCs w:val="12"/>
              </w:rPr>
            </w:pPr>
            <w:r>
              <w:rPr>
                <w:sz w:val="12"/>
                <w:szCs w:val="12"/>
                <w:spacing w:val="-2"/>
              </w:rPr>
              <w:t>多硫化钙</w:t>
            </w:r>
          </w:p>
        </w:tc>
        <w:tc>
          <w:tcPr>
            <w:tcW w:w="1339" w:type="dxa"/>
            <w:vAlign w:val="top"/>
            <w:tcBorders>
              <w:bottom w:val="single" w:color="000000" w:sz="2" w:space="0"/>
              <w:top w:val="single" w:color="000000" w:sz="2" w:space="0"/>
            </w:tcBorders>
          </w:tcPr>
          <w:p>
            <w:pPr>
              <w:pStyle w:val="TableText"/>
              <w:ind w:left="395"/>
              <w:spacing w:before="131" w:line="220" w:lineRule="auto"/>
              <w:rPr>
                <w:sz w:val="12"/>
                <w:szCs w:val="12"/>
              </w:rPr>
            </w:pPr>
            <w:r>
              <w:rPr>
                <w:sz w:val="12"/>
                <w:szCs w:val="12"/>
                <w:spacing w:val="-6"/>
              </w:rPr>
              <w:t>400—600倍</w:t>
            </w:r>
          </w:p>
        </w:tc>
        <w:tc>
          <w:tcPr>
            <w:tcW w:w="1149" w:type="dxa"/>
            <w:vAlign w:val="top"/>
            <w:vMerge w:val="continue"/>
            <w:tcBorders>
              <w:bottom w:val="single" w:color="000000" w:sz="2" w:space="0"/>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37"/>
              <w:spacing w:before="147" w:line="213" w:lineRule="auto"/>
              <w:rPr>
                <w:sz w:val="12"/>
                <w:szCs w:val="12"/>
              </w:rPr>
            </w:pPr>
            <w:r>
              <w:rPr>
                <w:sz w:val="12"/>
                <w:szCs w:val="12"/>
                <w:spacing w:val="-4"/>
              </w:rPr>
              <w:t>(400g/)</w:t>
            </w:r>
          </w:p>
        </w:tc>
        <w:tc>
          <w:tcPr>
            <w:tcW w:w="2843" w:type="dxa"/>
            <w:vAlign w:val="top"/>
            <w:tcBorders>
              <w:bottom w:val="single" w:color="000000" w:sz="2" w:space="0"/>
              <w:top w:val="single" w:color="000000" w:sz="2" w:space="0"/>
            </w:tcBorders>
          </w:tcPr>
          <w:p>
            <w:pPr>
              <w:pStyle w:val="TableText"/>
              <w:ind w:left="18"/>
              <w:spacing w:before="90" w:line="210" w:lineRule="auto"/>
              <w:rPr>
                <w:sz w:val="12"/>
                <w:szCs w:val="12"/>
              </w:rPr>
            </w:pPr>
            <w:r>
              <w:rPr>
                <w:sz w:val="12"/>
                <w:szCs w:val="12"/>
                <w:spacing w:val="-9"/>
              </w:rPr>
              <w:t>价</w:t>
            </w:r>
            <w:r>
              <w:rPr>
                <w:sz w:val="12"/>
                <w:szCs w:val="12"/>
                <w:spacing w:val="-8"/>
              </w:rPr>
              <w:t>格医廉，效果好，对多种病菌具有抑杀作用，园区消</w:t>
            </w:r>
            <w:r>
              <w:rPr>
                <w:sz w:val="12"/>
                <w:szCs w:val="12"/>
                <w:spacing w:val="-7"/>
              </w:rPr>
              <w:t>杀</w:t>
            </w:r>
            <w:r>
              <w:rPr>
                <w:sz w:val="12"/>
                <w:szCs w:val="12"/>
                <w:spacing w:val="13"/>
              </w:rPr>
              <w:t xml:space="preserve"> </w:t>
            </w:r>
            <w:r>
              <w:rPr>
                <w:sz w:val="12"/>
                <w:szCs w:val="12"/>
                <w:spacing w:val="-2"/>
              </w:rPr>
              <w:t>使用</w:t>
            </w:r>
          </w:p>
        </w:tc>
      </w:tr>
      <w:tr>
        <w:trPr>
          <w:trHeight w:val="305" w:hRule="atLeast"/>
        </w:trPr>
        <w:tc>
          <w:tcPr>
            <w:tcW w:w="385" w:type="dxa"/>
            <w:vAlign w:val="top"/>
            <w:vMerge w:val="continue"/>
            <w:tcBorders>
              <w:bottom w:val="nil"/>
              <w:top w:val="nil"/>
            </w:tcBorders>
          </w:tcPr>
          <w:p>
            <w:pPr>
              <w:rPr>
                <w:rFonts w:ascii="Arial"/>
                <w:sz w:val="21"/>
              </w:rPr>
            </w:pPr>
            <w:r/>
          </w:p>
        </w:tc>
        <w:tc>
          <w:tcPr>
            <w:tcW w:w="810" w:type="dxa"/>
            <w:vAlign w:val="top"/>
            <w:vMerge w:val="restart"/>
            <w:tcBorders>
              <w:bottom w:val="nil"/>
              <w:top w:val="single" w:color="000000" w:sz="2" w:space="0"/>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10"/>
              <w:spacing w:before="39" w:line="219" w:lineRule="auto"/>
              <w:rPr>
                <w:sz w:val="12"/>
                <w:szCs w:val="12"/>
              </w:rPr>
            </w:pPr>
            <w:r>
              <w:rPr>
                <w:sz w:val="12"/>
                <w:szCs w:val="12"/>
                <w:spacing w:val="-1"/>
              </w:rPr>
              <w:t>病菌类</w:t>
            </w:r>
          </w:p>
        </w:tc>
        <w:tc>
          <w:tcPr>
            <w:tcW w:w="889" w:type="dxa"/>
            <w:vAlign w:val="top"/>
            <w:vMerge w:val="restart"/>
            <w:tcBorders>
              <w:bottom w:val="nil"/>
              <w:top w:val="single" w:color="000000" w:sz="2" w:space="0"/>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10" w:right="33" w:firstLine="59"/>
              <w:spacing w:before="39" w:line="217" w:lineRule="auto"/>
              <w:rPr>
                <w:sz w:val="12"/>
                <w:szCs w:val="12"/>
              </w:rPr>
            </w:pPr>
            <w:r>
              <w:rPr>
                <w:sz w:val="12"/>
                <w:szCs w:val="12"/>
                <w:spacing w:val="-2"/>
              </w:rPr>
              <w:t>炭疽病，白粉</w:t>
            </w:r>
            <w:r>
              <w:rPr>
                <w:sz w:val="12"/>
                <w:szCs w:val="12"/>
                <w:spacing w:val="2"/>
              </w:rPr>
              <w:t xml:space="preserve">  </w:t>
            </w:r>
            <w:r>
              <w:rPr>
                <w:sz w:val="12"/>
                <w:szCs w:val="12"/>
                <w:spacing w:val="-1"/>
              </w:rPr>
              <w:t>病，锈病，叶枯</w:t>
            </w:r>
          </w:p>
          <w:p>
            <w:pPr>
              <w:pStyle w:val="TableText"/>
              <w:ind w:left="69" w:right="33" w:hanging="59"/>
              <w:spacing w:before="7" w:line="209" w:lineRule="auto"/>
              <w:rPr>
                <w:sz w:val="12"/>
                <w:szCs w:val="12"/>
              </w:rPr>
            </w:pPr>
            <w:r>
              <w:rPr>
                <w:sz w:val="12"/>
                <w:szCs w:val="12"/>
                <w:spacing w:val="-1"/>
              </w:rPr>
              <w:t>病。叶斑病、茎</w:t>
            </w:r>
            <w:r>
              <w:rPr>
                <w:sz w:val="12"/>
                <w:szCs w:val="12"/>
                <w:spacing w:val="1"/>
              </w:rPr>
              <w:t xml:space="preserve"> </w:t>
            </w:r>
            <w:r>
              <w:rPr>
                <w:sz w:val="12"/>
                <w:szCs w:val="12"/>
                <w:spacing w:val="-1"/>
              </w:rPr>
              <w:t>枯病、腐烂病</w:t>
            </w:r>
          </w:p>
        </w:tc>
        <w:tc>
          <w:tcPr>
            <w:tcW w:w="2548" w:type="dxa"/>
            <w:vAlign w:val="top"/>
            <w:vMerge w:val="restart"/>
            <w:tcBorders>
              <w:bottom w:val="nil"/>
              <w:top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1"/>
              <w:spacing w:before="39" w:line="200" w:lineRule="auto"/>
              <w:rPr>
                <w:sz w:val="12"/>
                <w:szCs w:val="12"/>
              </w:rPr>
            </w:pPr>
            <w:r>
              <w:rPr>
                <w:sz w:val="12"/>
                <w:szCs w:val="12"/>
                <w:spacing w:val="-1"/>
              </w:rPr>
              <w:t>一，4月全园区预防消杀为主</w:t>
            </w:r>
          </w:p>
          <w:p>
            <w:pPr>
              <w:pStyle w:val="TableText"/>
              <w:spacing w:line="219" w:lineRule="auto"/>
              <w:jc w:val="right"/>
              <w:rPr>
                <w:sz w:val="12"/>
                <w:szCs w:val="12"/>
              </w:rPr>
            </w:pPr>
            <w:r>
              <w:rPr>
                <w:sz w:val="12"/>
                <w:szCs w:val="12"/>
                <w:spacing w:val="-3"/>
              </w:rPr>
              <w:t>二、5-9月为高发期。有发现病情，及时喷药处理</w:t>
            </w:r>
          </w:p>
        </w:tc>
        <w:tc>
          <w:tcPr>
            <w:tcW w:w="1409" w:type="dxa"/>
            <w:vAlign w:val="top"/>
            <w:tcBorders>
              <w:bottom w:val="single" w:color="000000" w:sz="2" w:space="0"/>
              <w:top w:val="single" w:color="000000" w:sz="2" w:space="0"/>
            </w:tcBorders>
          </w:tcPr>
          <w:p>
            <w:pPr>
              <w:pStyle w:val="TableText"/>
              <w:ind w:left="393"/>
              <w:spacing w:before="91" w:line="219" w:lineRule="auto"/>
              <w:rPr>
                <w:sz w:val="12"/>
                <w:szCs w:val="12"/>
              </w:rPr>
            </w:pPr>
            <w:r>
              <w:rPr>
                <w:sz w:val="12"/>
                <w:szCs w:val="12"/>
                <w:spacing w:val="1"/>
              </w:rPr>
              <w:t>国光三唑硐</w:t>
            </w:r>
          </w:p>
        </w:tc>
        <w:tc>
          <w:tcPr>
            <w:tcW w:w="1619" w:type="dxa"/>
            <w:vAlign w:val="top"/>
            <w:tcBorders>
              <w:bottom w:val="single" w:color="000000" w:sz="2" w:space="0"/>
              <w:top w:val="single" w:color="000000" w:sz="2" w:space="0"/>
            </w:tcBorders>
          </w:tcPr>
          <w:p>
            <w:pPr>
              <w:pStyle w:val="TableText"/>
              <w:ind w:left="534"/>
              <w:spacing w:before="91" w:line="220" w:lineRule="auto"/>
              <w:rPr>
                <w:sz w:val="12"/>
                <w:szCs w:val="12"/>
              </w:rPr>
            </w:pPr>
            <w:r>
              <w:rPr>
                <w:sz w:val="12"/>
                <w:szCs w:val="12"/>
                <w:spacing w:val="-1"/>
              </w:rPr>
              <w:t>20%三唑刑</w:t>
            </w:r>
          </w:p>
        </w:tc>
        <w:tc>
          <w:tcPr>
            <w:tcW w:w="1339" w:type="dxa"/>
            <w:vAlign w:val="top"/>
            <w:tcBorders>
              <w:bottom w:val="single" w:color="000000" w:sz="2" w:space="0"/>
              <w:top w:val="single" w:color="000000" w:sz="2" w:space="0"/>
            </w:tcBorders>
          </w:tcPr>
          <w:p>
            <w:pPr>
              <w:pStyle w:val="TableText"/>
              <w:ind w:left="245"/>
              <w:spacing w:before="91" w:line="219" w:lineRule="auto"/>
              <w:rPr>
                <w:sz w:val="12"/>
                <w:szCs w:val="12"/>
              </w:rPr>
            </w:pPr>
            <w:r>
              <w:rPr>
                <w:sz w:val="12"/>
                <w:szCs w:val="12"/>
                <w:spacing w:val="-1"/>
              </w:rPr>
              <w:t>稀释800-1000倍</w:t>
            </w:r>
          </w:p>
        </w:tc>
        <w:tc>
          <w:tcPr>
            <w:tcW w:w="1149" w:type="dxa"/>
            <w:vAlign w:val="top"/>
            <w:tcBorders>
              <w:bottom w:val="single" w:color="000000" w:sz="2" w:space="0"/>
              <w:top w:val="single" w:color="000000" w:sz="2" w:space="0"/>
            </w:tcBorders>
          </w:tcPr>
          <w:p>
            <w:pPr>
              <w:pStyle w:val="TableText"/>
              <w:ind w:left="384" w:hanging="368"/>
              <w:spacing w:before="11" w:line="210" w:lineRule="auto"/>
              <w:rPr>
                <w:sz w:val="12"/>
                <w:szCs w:val="12"/>
              </w:rPr>
            </w:pPr>
            <w:r>
              <w:rPr>
                <w:sz w:val="12"/>
                <w:szCs w:val="12"/>
                <w:spacing w:val="-8"/>
              </w:rPr>
              <w:t>一般用2次，时间间隔7</w:t>
            </w:r>
            <w:r>
              <w:rPr>
                <w:sz w:val="12"/>
                <w:szCs w:val="12"/>
                <w:spacing w:val="9"/>
              </w:rPr>
              <w:t xml:space="preserve"> </w:t>
            </w:r>
            <w:r>
              <w:rPr>
                <w:sz w:val="12"/>
                <w:szCs w:val="12"/>
                <w:spacing w:val="-2"/>
              </w:rPr>
              <w:t>到10天</w:t>
            </w:r>
          </w:p>
        </w:tc>
        <w:tc>
          <w:tcPr>
            <w:tcW w:w="899" w:type="dxa"/>
            <w:vAlign w:val="top"/>
            <w:tcBorders>
              <w:bottom w:val="single" w:color="000000" w:sz="2" w:space="0"/>
              <w:top w:val="single" w:color="000000" w:sz="2" w:space="0"/>
            </w:tcBorders>
          </w:tcPr>
          <w:p>
            <w:pPr>
              <w:pStyle w:val="TableText"/>
              <w:ind w:left="207"/>
              <w:spacing w:before="92" w:line="221" w:lineRule="auto"/>
              <w:rPr>
                <w:sz w:val="12"/>
                <w:szCs w:val="12"/>
              </w:rPr>
            </w:pPr>
            <w:r>
              <w:rPr>
                <w:sz w:val="12"/>
                <w:szCs w:val="12"/>
                <w:spacing w:val="-1"/>
              </w:rPr>
              <w:t>200m1/瓶</w:t>
            </w:r>
          </w:p>
        </w:tc>
        <w:tc>
          <w:tcPr>
            <w:tcW w:w="2843" w:type="dxa"/>
            <w:vAlign w:val="top"/>
            <w:tcBorders>
              <w:bottom w:val="single" w:color="000000" w:sz="2" w:space="0"/>
              <w:top w:val="single" w:color="000000" w:sz="2" w:space="0"/>
            </w:tcBorders>
          </w:tcPr>
          <w:p>
            <w:pPr>
              <w:pStyle w:val="TableText"/>
              <w:ind w:left="18"/>
              <w:spacing w:before="91" w:line="219" w:lineRule="auto"/>
              <w:rPr>
                <w:sz w:val="12"/>
                <w:szCs w:val="12"/>
              </w:rPr>
            </w:pPr>
            <w:r>
              <w:rPr>
                <w:sz w:val="12"/>
                <w:szCs w:val="12"/>
                <w:spacing w:val="-2"/>
              </w:rPr>
              <w:t>防治白粉病、锈病等</w:t>
            </w:r>
          </w:p>
        </w:tc>
      </w:tr>
      <w:tr>
        <w:trPr>
          <w:trHeight w:val="18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243"/>
              <w:spacing w:before="31" w:line="219" w:lineRule="auto"/>
              <w:rPr>
                <w:sz w:val="12"/>
                <w:szCs w:val="12"/>
              </w:rPr>
            </w:pPr>
            <w:r>
              <w:rPr>
                <w:sz w:val="12"/>
                <w:szCs w:val="12"/>
                <w:spacing w:val="3"/>
              </w:rPr>
              <w:t>国光多菌灵《中)</w:t>
            </w:r>
          </w:p>
        </w:tc>
        <w:tc>
          <w:tcPr>
            <w:tcW w:w="1619" w:type="dxa"/>
            <w:vAlign w:val="top"/>
            <w:tcBorders>
              <w:bottom w:val="single" w:color="000000" w:sz="2" w:space="0"/>
              <w:top w:val="single" w:color="000000" w:sz="2" w:space="0"/>
            </w:tcBorders>
          </w:tcPr>
          <w:p>
            <w:pPr>
              <w:pStyle w:val="TableText"/>
              <w:ind w:left="534"/>
              <w:spacing w:before="31" w:line="219" w:lineRule="auto"/>
              <w:rPr>
                <w:sz w:val="12"/>
                <w:szCs w:val="12"/>
              </w:rPr>
            </w:pPr>
            <w:r>
              <w:rPr>
                <w:sz w:val="12"/>
                <w:szCs w:val="12"/>
                <w:spacing w:val="-1"/>
              </w:rPr>
              <w:t>50%多菌灵</w:t>
            </w:r>
          </w:p>
        </w:tc>
        <w:tc>
          <w:tcPr>
            <w:tcW w:w="1339" w:type="dxa"/>
            <w:vAlign w:val="top"/>
            <w:tcBorders>
              <w:bottom w:val="single" w:color="000000" w:sz="2" w:space="0"/>
              <w:top w:val="single" w:color="000000" w:sz="2" w:space="0"/>
            </w:tcBorders>
          </w:tcPr>
          <w:p>
            <w:pPr>
              <w:pStyle w:val="TableText"/>
              <w:ind w:left="215"/>
              <w:spacing w:before="31" w:line="219" w:lineRule="auto"/>
              <w:rPr>
                <w:sz w:val="12"/>
                <w:szCs w:val="12"/>
              </w:rPr>
            </w:pPr>
            <w:r>
              <w:rPr>
                <w:sz w:val="12"/>
                <w:szCs w:val="12"/>
                <w:spacing w:val="-1"/>
              </w:rPr>
              <w:t>稀释600-800倍液</w:t>
            </w:r>
          </w:p>
        </w:tc>
        <w:tc>
          <w:tcPr>
            <w:tcW w:w="1149" w:type="dxa"/>
            <w:vAlign w:val="top"/>
            <w:vMerge w:val="restart"/>
            <w:tcBorders>
              <w:bottom w:val="nil"/>
              <w:top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84" w:hanging="368"/>
              <w:spacing w:before="39" w:line="218" w:lineRule="auto"/>
              <w:rPr>
                <w:sz w:val="12"/>
                <w:szCs w:val="12"/>
              </w:rPr>
            </w:pPr>
            <w:r>
              <w:rPr>
                <w:sz w:val="12"/>
                <w:szCs w:val="12"/>
                <w:spacing w:val="-8"/>
              </w:rPr>
              <w:t>一般用3次，时间间隔7</w:t>
            </w:r>
            <w:r>
              <w:rPr>
                <w:sz w:val="12"/>
                <w:szCs w:val="12"/>
                <w:spacing w:val="9"/>
              </w:rPr>
              <w:t xml:space="preserve"> </w:t>
            </w:r>
            <w:r>
              <w:rPr>
                <w:sz w:val="12"/>
                <w:szCs w:val="12"/>
                <w:spacing w:val="-2"/>
              </w:rPr>
              <w:t>到10天</w:t>
            </w:r>
          </w:p>
        </w:tc>
        <w:tc>
          <w:tcPr>
            <w:tcW w:w="899" w:type="dxa"/>
            <w:vAlign w:val="top"/>
            <w:tcBorders>
              <w:bottom w:val="single" w:color="000000" w:sz="2" w:space="0"/>
              <w:top w:val="single" w:color="000000" w:sz="2" w:space="0"/>
            </w:tcBorders>
          </w:tcPr>
          <w:p>
            <w:pPr>
              <w:pStyle w:val="TableText"/>
              <w:ind w:left="177"/>
              <w:spacing w:before="27" w:line="213" w:lineRule="auto"/>
              <w:rPr>
                <w:sz w:val="12"/>
                <w:szCs w:val="12"/>
              </w:rPr>
            </w:pPr>
            <w:r>
              <w:rPr>
                <w:sz w:val="12"/>
                <w:szCs w:val="12"/>
                <w:spacing w:val="3"/>
              </w:rPr>
              <w:t>(100g/袋)</w:t>
            </w:r>
          </w:p>
        </w:tc>
        <w:tc>
          <w:tcPr>
            <w:tcW w:w="2843" w:type="dxa"/>
            <w:vAlign w:val="top"/>
            <w:tcBorders>
              <w:bottom w:val="single" w:color="000000" w:sz="2" w:space="0"/>
              <w:top w:val="single" w:color="000000" w:sz="2" w:space="0"/>
            </w:tcBorders>
          </w:tcPr>
          <w:p>
            <w:pPr>
              <w:pStyle w:val="TableText"/>
              <w:ind w:left="18"/>
              <w:spacing w:before="31" w:line="218" w:lineRule="auto"/>
              <w:rPr>
                <w:sz w:val="12"/>
                <w:szCs w:val="12"/>
              </w:rPr>
            </w:pPr>
            <w:r>
              <w:rPr>
                <w:sz w:val="12"/>
                <w:szCs w:val="12"/>
                <w:spacing w:val="-1"/>
              </w:rPr>
              <w:t>广谱性杀菌剂</w:t>
            </w:r>
          </w:p>
        </w:tc>
      </w:tr>
      <w:tr>
        <w:trPr>
          <w:trHeight w:val="24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73"/>
              <w:spacing w:before="61" w:line="220" w:lineRule="auto"/>
              <w:rPr>
                <w:sz w:val="12"/>
                <w:szCs w:val="12"/>
              </w:rPr>
            </w:pPr>
            <w:r>
              <w:rPr>
                <w:sz w:val="12"/>
                <w:szCs w:val="12"/>
                <w:spacing w:val="-2"/>
              </w:rPr>
              <w:t>英纳</w:t>
            </w:r>
          </w:p>
        </w:tc>
        <w:tc>
          <w:tcPr>
            <w:tcW w:w="1619" w:type="dxa"/>
            <w:vAlign w:val="top"/>
            <w:tcBorders>
              <w:bottom w:val="single" w:color="000000" w:sz="2" w:space="0"/>
              <w:top w:val="single" w:color="000000" w:sz="2" w:space="0"/>
            </w:tcBorders>
          </w:tcPr>
          <w:p>
            <w:pPr>
              <w:pStyle w:val="TableText"/>
              <w:spacing w:before="60" w:line="218" w:lineRule="auto"/>
              <w:jc w:val="right"/>
              <w:rPr>
                <w:sz w:val="12"/>
                <w:szCs w:val="12"/>
              </w:rPr>
            </w:pPr>
            <w:r>
              <w:rPr>
                <w:sz w:val="12"/>
                <w:szCs w:val="12"/>
                <w:spacing w:val="-7"/>
              </w:rPr>
              <w:t>甲基托布津、三唑制、拓唑醇，</w:t>
            </w:r>
          </w:p>
        </w:tc>
        <w:tc>
          <w:tcPr>
            <w:tcW w:w="1339" w:type="dxa"/>
            <w:vAlign w:val="top"/>
            <w:tcBorders>
              <w:bottom w:val="single" w:color="000000" w:sz="2" w:space="0"/>
              <w:top w:val="single" w:color="000000" w:sz="2" w:space="0"/>
            </w:tcBorders>
          </w:tcPr>
          <w:p>
            <w:pPr>
              <w:pStyle w:val="TableText"/>
              <w:ind w:left="285"/>
              <w:spacing w:before="60" w:line="219" w:lineRule="auto"/>
              <w:rPr>
                <w:sz w:val="12"/>
                <w:szCs w:val="12"/>
              </w:rPr>
            </w:pPr>
            <w:r>
              <w:rPr>
                <w:sz w:val="12"/>
                <w:szCs w:val="12"/>
                <w:spacing w:val="-1"/>
              </w:rPr>
              <w:t>稀释400-600倍液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77"/>
              <w:spacing w:before="57" w:line="213" w:lineRule="auto"/>
              <w:rPr>
                <w:sz w:val="12"/>
                <w:szCs w:val="12"/>
              </w:rPr>
            </w:pPr>
            <w:r>
              <w:rPr>
                <w:sz w:val="12"/>
                <w:szCs w:val="12"/>
                <w:spacing w:val="-1"/>
              </w:rPr>
              <w:t>500g+20袋</w:t>
            </w:r>
          </w:p>
        </w:tc>
        <w:tc>
          <w:tcPr>
            <w:tcW w:w="2843" w:type="dxa"/>
            <w:vAlign w:val="top"/>
            <w:tcBorders>
              <w:bottom w:val="single" w:color="000000" w:sz="2" w:space="0"/>
              <w:top w:val="single" w:color="000000" w:sz="2" w:space="0"/>
            </w:tcBorders>
          </w:tcPr>
          <w:p>
            <w:pPr>
              <w:pStyle w:val="TableText"/>
              <w:ind w:left="18"/>
              <w:spacing w:before="60" w:line="219" w:lineRule="auto"/>
              <w:rPr>
                <w:sz w:val="12"/>
                <w:szCs w:val="12"/>
              </w:rPr>
            </w:pPr>
            <w:r>
              <w:rPr>
                <w:sz w:val="12"/>
                <w:szCs w:val="12"/>
                <w:spacing w:val="-1"/>
              </w:rPr>
              <w:t>治苗木、行道树，经植及花卉的叶斑病，炭疽病等</w:t>
            </w:r>
          </w:p>
        </w:tc>
      </w:tr>
      <w:tr>
        <w:trPr>
          <w:trHeight w:val="19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73"/>
              <w:spacing w:before="40" w:line="219" w:lineRule="auto"/>
              <w:rPr>
                <w:sz w:val="12"/>
                <w:szCs w:val="12"/>
              </w:rPr>
            </w:pPr>
            <w:r>
              <w:rPr>
                <w:sz w:val="12"/>
                <w:szCs w:val="12"/>
                <w:spacing w:val="-2"/>
              </w:rPr>
              <w:t>黑杀</w:t>
            </w:r>
          </w:p>
        </w:tc>
        <w:tc>
          <w:tcPr>
            <w:tcW w:w="1619" w:type="dxa"/>
            <w:vAlign w:val="top"/>
            <w:tcBorders>
              <w:bottom w:val="single" w:color="000000" w:sz="2" w:space="0"/>
              <w:top w:val="single" w:color="000000" w:sz="2" w:space="0"/>
            </w:tcBorders>
          </w:tcPr>
          <w:p>
            <w:pPr>
              <w:pStyle w:val="TableText"/>
              <w:ind w:left="474"/>
              <w:spacing w:before="40" w:line="220" w:lineRule="auto"/>
              <w:rPr>
                <w:sz w:val="12"/>
                <w:szCs w:val="12"/>
              </w:rPr>
            </w:pPr>
            <w:r>
              <w:rPr>
                <w:sz w:val="12"/>
                <w:szCs w:val="12"/>
                <w:spacing w:val="-2"/>
              </w:rPr>
              <w:t>12.5%娣唑醇</w:t>
            </w:r>
          </w:p>
        </w:tc>
        <w:tc>
          <w:tcPr>
            <w:tcW w:w="1339" w:type="dxa"/>
            <w:vAlign w:val="top"/>
            <w:tcBorders>
              <w:bottom w:val="single" w:color="000000" w:sz="2" w:space="0"/>
              <w:top w:val="single" w:color="000000" w:sz="2" w:space="0"/>
            </w:tcBorders>
          </w:tcPr>
          <w:p>
            <w:pPr>
              <w:pStyle w:val="TableText"/>
              <w:ind w:left="215"/>
              <w:spacing w:before="40" w:line="219" w:lineRule="auto"/>
              <w:rPr>
                <w:sz w:val="12"/>
                <w:szCs w:val="12"/>
              </w:rPr>
            </w:pPr>
            <w:r>
              <w:rPr>
                <w:sz w:val="12"/>
                <w:szCs w:val="12"/>
                <w:spacing w:val="-1"/>
              </w:rPr>
              <w:t>稀释2000-3000倍</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77"/>
              <w:spacing w:before="37" w:line="213" w:lineRule="auto"/>
              <w:rPr>
                <w:sz w:val="12"/>
                <w:szCs w:val="12"/>
              </w:rPr>
            </w:pPr>
            <w:r>
              <w:rPr>
                <w:sz w:val="12"/>
                <w:szCs w:val="12"/>
                <w:spacing w:val="-1"/>
              </w:rPr>
              <w:t>40g+100袋</w:t>
            </w:r>
          </w:p>
        </w:tc>
        <w:tc>
          <w:tcPr>
            <w:tcW w:w="2843" w:type="dxa"/>
            <w:vAlign w:val="top"/>
            <w:tcBorders>
              <w:bottom w:val="single" w:color="000000" w:sz="2" w:space="0"/>
              <w:top w:val="single" w:color="000000" w:sz="2" w:space="0"/>
            </w:tcBorders>
          </w:tcPr>
          <w:p>
            <w:pPr>
              <w:pStyle w:val="TableText"/>
              <w:ind w:left="18"/>
              <w:spacing w:before="40" w:line="219" w:lineRule="auto"/>
              <w:rPr>
                <w:sz w:val="12"/>
                <w:szCs w:val="12"/>
              </w:rPr>
            </w:pPr>
            <w:r>
              <w:rPr>
                <w:sz w:val="12"/>
                <w:szCs w:val="12"/>
                <w:spacing w:val="-1"/>
              </w:rPr>
              <w:t>治白粉病，锈病，男班病、白指病等多种病害</w:t>
            </w:r>
          </w:p>
        </w:tc>
      </w:tr>
      <w:tr>
        <w:trPr>
          <w:trHeight w:val="24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73"/>
              <w:spacing w:before="60" w:line="219" w:lineRule="auto"/>
              <w:rPr>
                <w:sz w:val="12"/>
                <w:szCs w:val="12"/>
              </w:rPr>
            </w:pPr>
            <w:r>
              <w:rPr>
                <w:sz w:val="12"/>
                <w:szCs w:val="12"/>
                <w:spacing w:val="-2"/>
              </w:rPr>
              <w:t>绿杀</w:t>
            </w:r>
          </w:p>
        </w:tc>
        <w:tc>
          <w:tcPr>
            <w:tcW w:w="1619" w:type="dxa"/>
            <w:vAlign w:val="top"/>
            <w:tcBorders>
              <w:bottom w:val="single" w:color="000000" w:sz="2" w:space="0"/>
              <w:top w:val="single" w:color="000000" w:sz="2" w:space="0"/>
            </w:tcBorders>
          </w:tcPr>
          <w:p>
            <w:pPr>
              <w:pStyle w:val="TableText"/>
              <w:ind w:left="234"/>
              <w:spacing w:before="60" w:line="218" w:lineRule="auto"/>
              <w:rPr>
                <w:sz w:val="12"/>
                <w:szCs w:val="12"/>
              </w:rPr>
            </w:pPr>
            <w:r>
              <w:rPr>
                <w:sz w:val="12"/>
                <w:szCs w:val="12"/>
                <w:spacing w:val="-1"/>
              </w:rPr>
              <w:t>B0M胸霉利可湿性粉剂</w:t>
            </w:r>
          </w:p>
        </w:tc>
        <w:tc>
          <w:tcPr>
            <w:tcW w:w="1339" w:type="dxa"/>
            <w:vAlign w:val="top"/>
            <w:tcBorders>
              <w:bottom w:val="single" w:color="000000" w:sz="2" w:space="0"/>
              <w:top w:val="single" w:color="000000" w:sz="2" w:space="0"/>
            </w:tcBorders>
          </w:tcPr>
          <w:p>
            <w:pPr>
              <w:pStyle w:val="TableText"/>
              <w:ind w:left="215"/>
              <w:spacing w:before="60" w:line="219" w:lineRule="auto"/>
              <w:rPr>
                <w:sz w:val="12"/>
                <w:szCs w:val="12"/>
              </w:rPr>
            </w:pPr>
            <w:r>
              <w:rPr>
                <w:sz w:val="12"/>
                <w:szCs w:val="12"/>
                <w:spacing w:val="-1"/>
              </w:rPr>
              <w:t>稀释400-600倍液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07"/>
              <w:spacing w:before="56" w:line="213" w:lineRule="auto"/>
              <w:rPr>
                <w:sz w:val="12"/>
                <w:szCs w:val="12"/>
              </w:rPr>
            </w:pPr>
            <w:r>
              <w:rPr>
                <w:sz w:val="12"/>
                <w:szCs w:val="12"/>
                <w:spacing w:val="-1"/>
              </w:rPr>
              <w:t>GDg*20袋</w:t>
            </w:r>
          </w:p>
        </w:tc>
        <w:tc>
          <w:tcPr>
            <w:tcW w:w="2843" w:type="dxa"/>
            <w:vAlign w:val="top"/>
            <w:tcBorders>
              <w:bottom w:val="single" w:color="000000" w:sz="2" w:space="0"/>
              <w:top w:val="single" w:color="000000" w:sz="2" w:space="0"/>
            </w:tcBorders>
          </w:tcPr>
          <w:p>
            <w:pPr>
              <w:pStyle w:val="TableText"/>
              <w:ind w:left="18"/>
              <w:spacing w:before="60" w:line="218" w:lineRule="auto"/>
              <w:rPr>
                <w:sz w:val="12"/>
                <w:szCs w:val="12"/>
              </w:rPr>
            </w:pPr>
            <w:r>
              <w:rPr>
                <w:sz w:val="12"/>
                <w:szCs w:val="12"/>
                <w:spacing w:val="-1"/>
              </w:rPr>
              <w:t>高效广谱杀蜗剂，防效高、持效期长</w:t>
            </w:r>
          </w:p>
        </w:tc>
      </w:tr>
      <w:tr>
        <w:trPr>
          <w:trHeight w:val="22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63"/>
              <w:spacing w:before="50" w:line="219" w:lineRule="auto"/>
              <w:rPr>
                <w:sz w:val="12"/>
                <w:szCs w:val="12"/>
              </w:rPr>
            </w:pPr>
            <w:r>
              <w:rPr>
                <w:sz w:val="12"/>
                <w:szCs w:val="12"/>
                <w:spacing w:val="-1"/>
              </w:rPr>
              <w:t>70%代森锰锌</w:t>
            </w:r>
          </w:p>
        </w:tc>
        <w:tc>
          <w:tcPr>
            <w:tcW w:w="1619" w:type="dxa"/>
            <w:vAlign w:val="top"/>
            <w:tcBorders>
              <w:bottom w:val="single" w:color="000000" w:sz="2" w:space="0"/>
              <w:top w:val="single" w:color="000000" w:sz="2" w:space="0"/>
            </w:tcBorders>
          </w:tcPr>
          <w:p>
            <w:pPr>
              <w:pStyle w:val="TableText"/>
              <w:ind w:left="474"/>
              <w:spacing w:before="50" w:line="219" w:lineRule="auto"/>
              <w:rPr>
                <w:sz w:val="12"/>
                <w:szCs w:val="12"/>
              </w:rPr>
            </w:pPr>
            <w:r>
              <w:rPr>
                <w:sz w:val="12"/>
                <w:szCs w:val="12"/>
                <w:spacing w:val="-1"/>
              </w:rPr>
              <w:t>70%代森锰锋</w:t>
            </w:r>
          </w:p>
        </w:tc>
        <w:tc>
          <w:tcPr>
            <w:tcW w:w="1339" w:type="dxa"/>
            <w:vAlign w:val="top"/>
            <w:tcBorders>
              <w:bottom w:val="single" w:color="000000" w:sz="2" w:space="0"/>
              <w:top w:val="single" w:color="000000" w:sz="2" w:space="0"/>
            </w:tcBorders>
          </w:tcPr>
          <w:p>
            <w:pPr>
              <w:pStyle w:val="TableText"/>
              <w:ind w:left="215"/>
              <w:spacing w:before="50" w:line="219" w:lineRule="auto"/>
              <w:rPr>
                <w:sz w:val="12"/>
                <w:szCs w:val="12"/>
              </w:rPr>
            </w:pPr>
            <w:r>
              <w:rPr>
                <w:sz w:val="12"/>
                <w:szCs w:val="12"/>
                <w:spacing w:val="-1"/>
              </w:rPr>
              <w:t>稀释600-800档液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77"/>
              <w:spacing w:before="46" w:line="213" w:lineRule="auto"/>
              <w:rPr>
                <w:sz w:val="12"/>
                <w:szCs w:val="12"/>
              </w:rPr>
            </w:pPr>
            <w:r>
              <w:rPr>
                <w:sz w:val="12"/>
                <w:szCs w:val="12"/>
                <w:spacing w:val="-1"/>
              </w:rPr>
              <w:t>500g+20袋</w:t>
            </w:r>
          </w:p>
        </w:tc>
        <w:tc>
          <w:tcPr>
            <w:tcW w:w="2843" w:type="dxa"/>
            <w:vAlign w:val="top"/>
            <w:tcBorders>
              <w:bottom w:val="single" w:color="000000" w:sz="2" w:space="0"/>
              <w:top w:val="single" w:color="000000" w:sz="2" w:space="0"/>
            </w:tcBorders>
          </w:tcPr>
          <w:p>
            <w:pPr>
              <w:pStyle w:val="TableText"/>
              <w:ind w:left="18"/>
              <w:spacing w:before="49" w:line="218" w:lineRule="auto"/>
              <w:rPr>
                <w:sz w:val="12"/>
                <w:szCs w:val="12"/>
              </w:rPr>
            </w:pPr>
            <w:r>
              <w:rPr>
                <w:sz w:val="12"/>
                <w:szCs w:val="12"/>
                <w:spacing w:val="-1"/>
              </w:rPr>
              <w:t>保护性杀菌剂</w:t>
            </w:r>
          </w:p>
        </w:tc>
      </w:tr>
      <w:tr>
        <w:trPr>
          <w:trHeight w:val="18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13"/>
              <w:spacing w:before="30" w:line="220" w:lineRule="auto"/>
              <w:rPr>
                <w:sz w:val="12"/>
                <w:szCs w:val="12"/>
              </w:rPr>
            </w:pPr>
            <w:r>
              <w:rPr>
                <w:sz w:val="12"/>
                <w:szCs w:val="12"/>
                <w:spacing w:val="-2"/>
              </w:rPr>
              <w:t>百面清</w:t>
            </w:r>
          </w:p>
        </w:tc>
        <w:tc>
          <w:tcPr>
            <w:tcW w:w="1619" w:type="dxa"/>
            <w:vAlign w:val="top"/>
            <w:tcBorders>
              <w:bottom w:val="single" w:color="000000" w:sz="2" w:space="0"/>
              <w:top w:val="single" w:color="000000" w:sz="2" w:space="0"/>
            </w:tcBorders>
          </w:tcPr>
          <w:p>
            <w:pPr>
              <w:pStyle w:val="TableText"/>
              <w:ind w:left="294"/>
              <w:spacing w:before="29" w:line="219" w:lineRule="auto"/>
              <w:rPr>
                <w:sz w:val="12"/>
                <w:szCs w:val="12"/>
              </w:rPr>
            </w:pPr>
            <w:r>
              <w:rPr>
                <w:sz w:val="12"/>
                <w:szCs w:val="12"/>
                <w:spacing w:val="-2"/>
              </w:rPr>
              <w:t>噜菌酯的百菌清60%</w:t>
            </w:r>
          </w:p>
        </w:tc>
        <w:tc>
          <w:tcPr>
            <w:tcW w:w="1339" w:type="dxa"/>
            <w:vAlign w:val="top"/>
            <w:tcBorders>
              <w:bottom w:val="single" w:color="000000" w:sz="2" w:space="0"/>
              <w:top w:val="single" w:color="000000" w:sz="2" w:space="0"/>
            </w:tcBorders>
          </w:tcPr>
          <w:p>
            <w:pPr>
              <w:pStyle w:val="TableText"/>
              <w:ind w:left="185"/>
              <w:spacing w:before="29" w:line="219" w:lineRule="auto"/>
              <w:rPr>
                <w:sz w:val="12"/>
                <w:szCs w:val="12"/>
              </w:rPr>
            </w:pPr>
            <w:r>
              <w:rPr>
                <w:sz w:val="12"/>
                <w:szCs w:val="12"/>
                <w:spacing w:val="-1"/>
              </w:rPr>
              <w:t>移释500-1000倍液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47"/>
              <w:spacing w:before="26" w:line="213" w:lineRule="auto"/>
              <w:rPr>
                <w:sz w:val="12"/>
                <w:szCs w:val="12"/>
              </w:rPr>
            </w:pPr>
            <w:r>
              <w:rPr>
                <w:sz w:val="12"/>
                <w:szCs w:val="12"/>
                <w:spacing w:val="-2"/>
              </w:rPr>
              <w:t>1kg/1*10袋</w:t>
            </w:r>
          </w:p>
        </w:tc>
        <w:tc>
          <w:tcPr>
            <w:tcW w:w="2843" w:type="dxa"/>
            <w:vAlign w:val="top"/>
            <w:tcBorders>
              <w:bottom w:val="single" w:color="000000" w:sz="2" w:space="0"/>
              <w:top w:val="single" w:color="000000" w:sz="2" w:space="0"/>
            </w:tcBorders>
          </w:tcPr>
          <w:p>
            <w:pPr>
              <w:pStyle w:val="TableText"/>
              <w:ind w:left="18"/>
              <w:spacing w:before="29" w:line="219" w:lineRule="auto"/>
              <w:rPr>
                <w:sz w:val="12"/>
                <w:szCs w:val="12"/>
              </w:rPr>
            </w:pPr>
            <w:r>
              <w:rPr>
                <w:sz w:val="12"/>
                <w:szCs w:val="12"/>
                <w:spacing w:val="-1"/>
              </w:rPr>
              <w:t>高效广谱杀菌刺</w:t>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93"/>
              <w:spacing w:before="89" w:line="219" w:lineRule="auto"/>
              <w:rPr>
                <w:sz w:val="12"/>
                <w:szCs w:val="12"/>
              </w:rPr>
            </w:pPr>
            <w:r>
              <w:rPr>
                <w:sz w:val="12"/>
                <w:szCs w:val="12"/>
                <w:spacing w:val="-1"/>
              </w:rPr>
              <w:t>草坪嘟克菌</w:t>
            </w:r>
          </w:p>
        </w:tc>
        <w:tc>
          <w:tcPr>
            <w:tcW w:w="1619" w:type="dxa"/>
            <w:vAlign w:val="top"/>
            <w:tcBorders>
              <w:bottom w:val="single" w:color="000000" w:sz="2" w:space="0"/>
              <w:top w:val="single" w:color="000000" w:sz="2" w:space="0"/>
            </w:tcBorders>
          </w:tcPr>
          <w:p>
            <w:pPr>
              <w:pStyle w:val="TableText"/>
              <w:ind w:left="534"/>
              <w:spacing w:before="89" w:line="219" w:lineRule="auto"/>
              <w:rPr>
                <w:sz w:val="12"/>
                <w:szCs w:val="12"/>
              </w:rPr>
            </w:pPr>
            <w:r>
              <w:rPr>
                <w:sz w:val="12"/>
                <w:szCs w:val="12"/>
                <w:spacing w:val="-1"/>
              </w:rPr>
              <w:t>30%喷克菌</w:t>
            </w:r>
          </w:p>
        </w:tc>
        <w:tc>
          <w:tcPr>
            <w:tcW w:w="1339" w:type="dxa"/>
            <w:vAlign w:val="top"/>
            <w:tcBorders>
              <w:bottom w:val="single" w:color="000000" w:sz="2" w:space="0"/>
              <w:top w:val="single" w:color="000000" w:sz="2" w:space="0"/>
            </w:tcBorders>
          </w:tcPr>
          <w:p>
            <w:pPr>
              <w:pStyle w:val="TableText"/>
              <w:ind w:left="305"/>
              <w:spacing w:before="89" w:line="219" w:lineRule="auto"/>
              <w:rPr>
                <w:sz w:val="12"/>
                <w:szCs w:val="12"/>
              </w:rPr>
            </w:pPr>
            <w:r>
              <w:rPr>
                <w:sz w:val="12"/>
                <w:szCs w:val="12"/>
                <w:spacing w:val="-2"/>
              </w:rPr>
              <w:t>易释1500倍液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47"/>
              <w:spacing w:before="88" w:line="218" w:lineRule="auto"/>
              <w:rPr>
                <w:sz w:val="12"/>
                <w:szCs w:val="12"/>
              </w:rPr>
            </w:pPr>
            <w:r>
              <w:rPr>
                <w:sz w:val="12"/>
                <w:szCs w:val="12"/>
                <w:spacing w:val="3"/>
              </w:rPr>
              <w:t>(100</w:t>
            </w:r>
            <w:r>
              <w:rPr>
                <w:sz w:val="12"/>
                <w:szCs w:val="12"/>
              </w:rPr>
              <w:t>mJ</w:t>
            </w:r>
            <w:r>
              <w:rPr>
                <w:sz w:val="12"/>
                <w:szCs w:val="12"/>
                <w:spacing w:val="3"/>
              </w:rPr>
              <w:t>/瓶)</w:t>
            </w:r>
          </w:p>
        </w:tc>
        <w:tc>
          <w:tcPr>
            <w:tcW w:w="2843" w:type="dxa"/>
            <w:vAlign w:val="top"/>
            <w:tcBorders>
              <w:bottom w:val="single" w:color="000000" w:sz="2" w:space="0"/>
              <w:top w:val="single" w:color="000000" w:sz="2" w:space="0"/>
            </w:tcBorders>
          </w:tcPr>
          <w:p>
            <w:pPr>
              <w:pStyle w:val="TableText"/>
              <w:spacing w:before="89" w:line="219" w:lineRule="auto"/>
              <w:jc w:val="right"/>
              <w:rPr>
                <w:sz w:val="12"/>
                <w:szCs w:val="12"/>
              </w:rPr>
            </w:pPr>
            <w:r>
              <w:rPr>
                <w:sz w:val="12"/>
                <w:szCs w:val="12"/>
                <w:spacing w:val="-13"/>
              </w:rPr>
              <w:t>治疗草</w:t>
            </w:r>
            <w:r>
              <w:rPr>
                <w:sz w:val="12"/>
                <w:szCs w:val="12"/>
                <w:spacing w:val="-12"/>
              </w:rPr>
              <w:t>坪白粉病，锈病，黑粉病，宛殖，褐班和腐霉枯赛</w:t>
            </w:r>
            <w:r>
              <w:rPr>
                <w:sz w:val="12"/>
                <w:szCs w:val="12"/>
                <w:spacing w:val="-9"/>
              </w:rPr>
              <w:t>病</w:t>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93"/>
              <w:spacing w:before="90" w:line="220" w:lineRule="auto"/>
              <w:rPr>
                <w:sz w:val="12"/>
                <w:szCs w:val="12"/>
              </w:rPr>
            </w:pPr>
            <w:r>
              <w:rPr>
                <w:sz w:val="12"/>
                <w:szCs w:val="12"/>
                <w:spacing w:val="-1"/>
              </w:rPr>
              <w:t>激禾乙蒜案</w:t>
            </w:r>
          </w:p>
        </w:tc>
        <w:tc>
          <w:tcPr>
            <w:tcW w:w="1619" w:type="dxa"/>
            <w:vAlign w:val="top"/>
            <w:tcBorders>
              <w:bottom w:val="single" w:color="000000" w:sz="2" w:space="0"/>
              <w:top w:val="single" w:color="000000" w:sz="2" w:space="0"/>
            </w:tcBorders>
          </w:tcPr>
          <w:p>
            <w:pPr>
              <w:pStyle w:val="TableText"/>
              <w:ind w:left="524"/>
              <w:spacing w:before="90" w:line="219" w:lineRule="auto"/>
              <w:rPr>
                <w:sz w:val="12"/>
                <w:szCs w:val="12"/>
              </w:rPr>
            </w:pPr>
            <w:r>
              <w:rPr>
                <w:sz w:val="12"/>
                <w:szCs w:val="12"/>
                <w:spacing w:val="-6"/>
              </w:rPr>
              <w:t>3</w:t>
            </w:r>
            <w:r>
              <w:rPr>
                <w:sz w:val="12"/>
                <w:szCs w:val="12"/>
                <w:spacing w:val="-17"/>
              </w:rPr>
              <w:t xml:space="preserve"> </w:t>
            </w:r>
            <w:r>
              <w:rPr>
                <w:sz w:val="12"/>
                <w:szCs w:val="12"/>
                <w:spacing w:val="-6"/>
              </w:rPr>
              <w:t>0</w:t>
            </w:r>
            <w:r>
              <w:rPr>
                <w:sz w:val="12"/>
                <w:szCs w:val="12"/>
                <w:spacing w:val="-21"/>
              </w:rPr>
              <w:t xml:space="preserve"> </w:t>
            </w:r>
            <w:r>
              <w:rPr>
                <w:sz w:val="12"/>
                <w:szCs w:val="12"/>
                <w:spacing w:val="-6"/>
              </w:rPr>
              <w:t>% 乙</w:t>
            </w:r>
            <w:r>
              <w:rPr>
                <w:sz w:val="12"/>
                <w:szCs w:val="12"/>
                <w:spacing w:val="-16"/>
              </w:rPr>
              <w:t xml:space="preserve"> </w:t>
            </w:r>
            <w:r>
              <w:rPr>
                <w:sz w:val="12"/>
                <w:szCs w:val="12"/>
                <w:spacing w:val="-6"/>
              </w:rPr>
              <w:t>萍</w:t>
            </w:r>
          </w:p>
        </w:tc>
        <w:tc>
          <w:tcPr>
            <w:tcW w:w="1339" w:type="dxa"/>
            <w:vAlign w:val="top"/>
            <w:tcBorders>
              <w:bottom w:val="single" w:color="000000" w:sz="2" w:space="0"/>
              <w:top w:val="single" w:color="000000" w:sz="2" w:space="0"/>
            </w:tcBorders>
          </w:tcPr>
          <w:p>
            <w:pPr>
              <w:pStyle w:val="TableText"/>
              <w:ind w:left="225"/>
              <w:spacing w:before="90" w:line="219" w:lineRule="auto"/>
              <w:rPr>
                <w:sz w:val="12"/>
                <w:szCs w:val="12"/>
              </w:rPr>
            </w:pPr>
            <w:r>
              <w:rPr>
                <w:sz w:val="12"/>
                <w:szCs w:val="12"/>
                <w:spacing w:val="-1"/>
              </w:rPr>
              <w:t>解释1500-3000倍液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57"/>
              <w:spacing w:before="90" w:line="221" w:lineRule="auto"/>
              <w:rPr>
                <w:sz w:val="12"/>
                <w:szCs w:val="12"/>
              </w:rPr>
            </w:pPr>
            <w:r>
              <w:rPr>
                <w:sz w:val="12"/>
                <w:szCs w:val="12"/>
              </w:rPr>
              <w:t>(200ml/瓶)*20</w:t>
            </w:r>
          </w:p>
        </w:tc>
        <w:tc>
          <w:tcPr>
            <w:tcW w:w="2843" w:type="dxa"/>
            <w:vAlign w:val="top"/>
            <w:tcBorders>
              <w:bottom w:val="single" w:color="000000" w:sz="2" w:space="0"/>
              <w:top w:val="single" w:color="000000" w:sz="2" w:space="0"/>
            </w:tcBorders>
          </w:tcPr>
          <w:p>
            <w:pPr>
              <w:pStyle w:val="TableText"/>
              <w:ind w:left="18"/>
              <w:spacing w:before="90" w:line="219" w:lineRule="auto"/>
              <w:rPr>
                <w:sz w:val="12"/>
                <w:szCs w:val="12"/>
              </w:rPr>
            </w:pPr>
            <w:r>
              <w:rPr>
                <w:sz w:val="12"/>
                <w:szCs w:val="12"/>
                <w:spacing w:val="-1"/>
              </w:rPr>
              <w:t>用于防治腐烂病、叶斑病、枯萎病和炭疸病</w:t>
            </w:r>
          </w:p>
        </w:tc>
      </w:tr>
      <w:tr>
        <w:trPr>
          <w:trHeight w:val="32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93"/>
              <w:spacing w:before="100" w:line="218" w:lineRule="auto"/>
              <w:rPr>
                <w:sz w:val="12"/>
                <w:szCs w:val="12"/>
              </w:rPr>
            </w:pPr>
            <w:r>
              <w:rPr>
                <w:sz w:val="12"/>
                <w:szCs w:val="12"/>
                <w:spacing w:val="1"/>
              </w:rPr>
              <w:t>甲基托布津</w:t>
            </w:r>
          </w:p>
        </w:tc>
        <w:tc>
          <w:tcPr>
            <w:tcW w:w="1619" w:type="dxa"/>
            <w:vAlign w:val="top"/>
            <w:tcBorders>
              <w:bottom w:val="single" w:color="000000" w:sz="2" w:space="0"/>
              <w:top w:val="single" w:color="000000" w:sz="2" w:space="0"/>
            </w:tcBorders>
          </w:tcPr>
          <w:p>
            <w:pPr>
              <w:pStyle w:val="TableText"/>
              <w:ind w:left="143"/>
              <w:spacing w:before="100" w:line="218" w:lineRule="auto"/>
              <w:rPr>
                <w:sz w:val="12"/>
                <w:szCs w:val="12"/>
              </w:rPr>
            </w:pPr>
            <w:r>
              <w:rPr>
                <w:sz w:val="12"/>
                <w:szCs w:val="12"/>
              </w:rPr>
              <w:t>甲基疏菌灵、表面活性剂</w:t>
            </w:r>
          </w:p>
        </w:tc>
        <w:tc>
          <w:tcPr>
            <w:tcW w:w="1339" w:type="dxa"/>
            <w:vAlign w:val="top"/>
            <w:tcBorders>
              <w:bottom w:val="single" w:color="000000" w:sz="2" w:space="0"/>
              <w:top w:val="single" w:color="000000" w:sz="2" w:space="0"/>
            </w:tcBorders>
          </w:tcPr>
          <w:p>
            <w:pPr>
              <w:pStyle w:val="TableText"/>
              <w:ind w:left="305"/>
              <w:spacing w:before="101" w:line="220" w:lineRule="auto"/>
              <w:rPr>
                <w:sz w:val="12"/>
                <w:szCs w:val="12"/>
              </w:rPr>
            </w:pPr>
            <w:r>
              <w:rPr>
                <w:sz w:val="12"/>
                <w:szCs w:val="12"/>
                <w:spacing w:val="-1"/>
              </w:rPr>
              <w:t>800-1200倍液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07"/>
              <w:spacing w:before="100" w:line="219" w:lineRule="auto"/>
              <w:rPr>
                <w:sz w:val="12"/>
                <w:szCs w:val="12"/>
              </w:rPr>
            </w:pPr>
            <w:r>
              <w:rPr>
                <w:sz w:val="12"/>
                <w:szCs w:val="12"/>
                <w:spacing w:val="1"/>
              </w:rPr>
              <w:t>100克/挚</w:t>
            </w:r>
          </w:p>
        </w:tc>
        <w:tc>
          <w:tcPr>
            <w:tcW w:w="2843" w:type="dxa"/>
            <w:vAlign w:val="top"/>
            <w:tcBorders>
              <w:bottom w:val="single" w:color="000000" w:sz="2" w:space="0"/>
              <w:top w:val="single" w:color="000000" w:sz="2" w:space="0"/>
            </w:tcBorders>
          </w:tcPr>
          <w:p>
            <w:pPr>
              <w:pStyle w:val="TableText"/>
              <w:spacing w:before="100" w:line="219" w:lineRule="auto"/>
              <w:jc w:val="right"/>
              <w:rPr>
                <w:sz w:val="12"/>
                <w:szCs w:val="12"/>
              </w:rPr>
            </w:pPr>
            <w:r>
              <w:rPr>
                <w:sz w:val="12"/>
                <w:szCs w:val="12"/>
                <w:spacing w:val="-3"/>
              </w:rPr>
              <w:t>广谱性内吸低毒杀菌刻、具有吸收、防治和治疗作用。</w:t>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273"/>
              <w:spacing w:before="91" w:line="219" w:lineRule="auto"/>
              <w:rPr>
                <w:sz w:val="12"/>
                <w:szCs w:val="12"/>
              </w:rPr>
            </w:pPr>
            <w:r>
              <w:rPr>
                <w:sz w:val="12"/>
                <w:szCs w:val="12"/>
                <w:spacing w:val="-2"/>
              </w:rPr>
              <w:t>阿西米达悬浮液</w:t>
            </w:r>
          </w:p>
        </w:tc>
        <w:tc>
          <w:tcPr>
            <w:tcW w:w="1619" w:type="dxa"/>
            <w:vAlign w:val="top"/>
            <w:tcBorders>
              <w:bottom w:val="single" w:color="000000" w:sz="2" w:space="0"/>
              <w:top w:val="single" w:color="000000" w:sz="2" w:space="0"/>
            </w:tcBorders>
          </w:tcPr>
          <w:p>
            <w:pPr>
              <w:pStyle w:val="TableText"/>
              <w:ind w:left="624"/>
              <w:spacing w:before="91" w:line="219" w:lineRule="auto"/>
              <w:rPr>
                <w:sz w:val="12"/>
                <w:szCs w:val="12"/>
              </w:rPr>
            </w:pPr>
            <w:r>
              <w:rPr>
                <w:sz w:val="12"/>
                <w:szCs w:val="12"/>
                <w:spacing w:val="-3"/>
              </w:rPr>
              <w:t>嗜菌酣</w:t>
            </w:r>
          </w:p>
        </w:tc>
        <w:tc>
          <w:tcPr>
            <w:tcW w:w="1339" w:type="dxa"/>
            <w:vAlign w:val="top"/>
            <w:tcBorders>
              <w:bottom w:val="single" w:color="000000" w:sz="2" w:space="0"/>
              <w:top w:val="single" w:color="000000" w:sz="2" w:space="0"/>
            </w:tcBorders>
          </w:tcPr>
          <w:p>
            <w:pPr>
              <w:pStyle w:val="TableText"/>
              <w:ind w:left="464" w:hanging="450"/>
              <w:spacing w:before="31" w:line="202" w:lineRule="auto"/>
              <w:rPr>
                <w:sz w:val="12"/>
                <w:szCs w:val="12"/>
              </w:rPr>
            </w:pPr>
            <w:r>
              <w:rPr>
                <w:sz w:val="12"/>
                <w:szCs w:val="12"/>
                <w:spacing w:val="-1"/>
              </w:rPr>
              <w:t>25%阿西米达悬浮液1200-</w:t>
            </w:r>
            <w:r>
              <w:rPr>
                <w:sz w:val="12"/>
                <w:szCs w:val="12"/>
                <w:spacing w:val="7"/>
              </w:rPr>
              <w:t xml:space="preserve"> </w:t>
            </w:r>
            <w:r>
              <w:rPr>
                <w:sz w:val="12"/>
                <w:szCs w:val="12"/>
                <w:spacing w:val="-2"/>
              </w:rPr>
              <w:t>1500倍液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97"/>
              <w:spacing w:before="92" w:line="221" w:lineRule="auto"/>
              <w:rPr>
                <w:sz w:val="12"/>
                <w:szCs w:val="12"/>
              </w:rPr>
            </w:pPr>
            <w:r>
              <w:rPr>
                <w:sz w:val="12"/>
                <w:szCs w:val="12"/>
                <w:spacing w:val="-3"/>
              </w:rPr>
              <w:t>11/瓶</w:t>
            </w:r>
          </w:p>
        </w:tc>
        <w:tc>
          <w:tcPr>
            <w:tcW w:w="2843" w:type="dxa"/>
            <w:vAlign w:val="top"/>
            <w:tcBorders>
              <w:bottom w:val="single" w:color="000000" w:sz="2" w:space="0"/>
              <w:top w:val="single" w:color="000000" w:sz="2" w:space="0"/>
            </w:tcBorders>
          </w:tcPr>
          <w:p>
            <w:pPr>
              <w:pStyle w:val="TableText"/>
              <w:ind w:left="18"/>
              <w:spacing w:before="91" w:line="219" w:lineRule="auto"/>
              <w:rPr>
                <w:sz w:val="12"/>
                <w:szCs w:val="12"/>
              </w:rPr>
            </w:pPr>
            <w:r>
              <w:rPr>
                <w:sz w:val="12"/>
                <w:szCs w:val="12"/>
                <w:spacing w:val="-1"/>
              </w:rPr>
              <w:t>广语杀菌，对四大类玫病真菌，天然低毒安全无公害</w:t>
            </w:r>
          </w:p>
        </w:tc>
      </w:tr>
      <w:tr>
        <w:trPr>
          <w:trHeight w:val="41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33"/>
              <w:spacing w:before="151" w:line="218" w:lineRule="auto"/>
              <w:rPr>
                <w:sz w:val="12"/>
                <w:szCs w:val="12"/>
              </w:rPr>
            </w:pPr>
            <w:r>
              <w:rPr>
                <w:sz w:val="12"/>
                <w:szCs w:val="12"/>
                <w:spacing w:val="-1"/>
              </w:rPr>
              <w:t>太抗几丁聚辖</w:t>
            </w:r>
          </w:p>
        </w:tc>
        <w:tc>
          <w:tcPr>
            <w:tcW w:w="1619" w:type="dxa"/>
            <w:vAlign w:val="top"/>
            <w:tcBorders>
              <w:bottom w:val="single" w:color="000000" w:sz="2" w:space="0"/>
              <w:top w:val="single" w:color="000000" w:sz="2" w:space="0"/>
            </w:tcBorders>
          </w:tcPr>
          <w:p>
            <w:pPr>
              <w:pStyle w:val="TableText"/>
              <w:ind w:left="143"/>
              <w:spacing w:before="151" w:line="218" w:lineRule="auto"/>
              <w:rPr>
                <w:sz w:val="12"/>
                <w:szCs w:val="12"/>
              </w:rPr>
            </w:pPr>
            <w:r>
              <w:rPr>
                <w:sz w:val="12"/>
                <w:szCs w:val="12"/>
                <w:spacing w:val="-1"/>
              </w:rPr>
              <w:t>0.5%为神武几丁聚赌水剂</w:t>
            </w:r>
          </w:p>
        </w:tc>
        <w:tc>
          <w:tcPr>
            <w:tcW w:w="1339" w:type="dxa"/>
            <w:vAlign w:val="top"/>
            <w:tcBorders>
              <w:bottom w:val="single" w:color="000000" w:sz="2" w:space="0"/>
              <w:top w:val="single" w:color="000000" w:sz="2" w:space="0"/>
            </w:tcBorders>
          </w:tcPr>
          <w:p>
            <w:pPr>
              <w:pStyle w:val="TableText"/>
              <w:ind w:left="395"/>
              <w:spacing w:before="152" w:line="220" w:lineRule="auto"/>
              <w:rPr>
                <w:sz w:val="12"/>
                <w:szCs w:val="12"/>
              </w:rPr>
            </w:pPr>
            <w:r>
              <w:rPr>
                <w:sz w:val="12"/>
                <w:szCs w:val="12"/>
                <w:spacing w:val="-2"/>
              </w:rPr>
              <w:t>100-500倍</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17"/>
              <w:spacing w:before="72" w:line="221" w:lineRule="auto"/>
              <w:rPr>
                <w:sz w:val="12"/>
                <w:szCs w:val="12"/>
              </w:rPr>
            </w:pPr>
            <w:r>
              <w:rPr>
                <w:sz w:val="12"/>
                <w:szCs w:val="12"/>
                <w:spacing w:val="-1"/>
              </w:rPr>
              <w:t>40瓶(100ml/</w:t>
            </w:r>
          </w:p>
          <w:p>
            <w:pPr>
              <w:pStyle w:val="TableText"/>
              <w:ind w:left="267"/>
              <w:spacing w:before="25" w:line="220" w:lineRule="auto"/>
              <w:rPr>
                <w:sz w:val="12"/>
                <w:szCs w:val="12"/>
              </w:rPr>
            </w:pPr>
            <w:r>
              <w:rPr>
                <w:sz w:val="12"/>
                <w:szCs w:val="12"/>
                <w:spacing w:val="-1"/>
              </w:rPr>
              <w:t>瓶)/箱</w:t>
            </w:r>
          </w:p>
        </w:tc>
        <w:tc>
          <w:tcPr>
            <w:tcW w:w="2843" w:type="dxa"/>
            <w:vAlign w:val="top"/>
            <w:tcBorders>
              <w:bottom w:val="single" w:color="000000" w:sz="2" w:space="0"/>
              <w:top w:val="single" w:color="000000" w:sz="2" w:space="0"/>
            </w:tcBorders>
          </w:tcPr>
          <w:p>
            <w:pPr>
              <w:pStyle w:val="TableText"/>
              <w:ind w:left="18"/>
              <w:spacing w:before="152" w:line="219" w:lineRule="auto"/>
              <w:rPr>
                <w:sz w:val="12"/>
                <w:szCs w:val="12"/>
              </w:rPr>
            </w:pPr>
            <w:r>
              <w:rPr>
                <w:sz w:val="12"/>
                <w:szCs w:val="12"/>
                <w:spacing w:val="-2"/>
              </w:rPr>
              <w:t>治疗白粉病</w:t>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13"/>
              <w:spacing w:before="92" w:line="220" w:lineRule="auto"/>
              <w:rPr>
                <w:sz w:val="12"/>
                <w:szCs w:val="12"/>
              </w:rPr>
            </w:pPr>
            <w:r>
              <w:rPr>
                <w:sz w:val="12"/>
                <w:szCs w:val="12"/>
                <w:spacing w:val="-2"/>
              </w:rPr>
              <w:t>乐谱道</w:t>
            </w:r>
          </w:p>
        </w:tc>
        <w:tc>
          <w:tcPr>
            <w:tcW w:w="1619" w:type="dxa"/>
            <w:vAlign w:val="top"/>
            <w:tcBorders>
              <w:bottom w:val="single" w:color="000000" w:sz="2" w:space="0"/>
              <w:top w:val="single" w:color="000000" w:sz="2" w:space="0"/>
            </w:tcBorders>
          </w:tcPr>
          <w:p>
            <w:pPr>
              <w:pStyle w:val="TableText"/>
              <w:ind w:left="204"/>
              <w:spacing w:before="92" w:line="219" w:lineRule="auto"/>
              <w:rPr>
                <w:sz w:val="12"/>
                <w:szCs w:val="12"/>
              </w:rPr>
            </w:pPr>
            <w:r>
              <w:rPr>
                <w:sz w:val="12"/>
                <w:szCs w:val="12"/>
                <w:spacing w:val="-1"/>
              </w:rPr>
              <w:t>三唑类及二甲酰亚胺类</w:t>
            </w:r>
          </w:p>
        </w:tc>
        <w:tc>
          <w:tcPr>
            <w:tcW w:w="1339" w:type="dxa"/>
            <w:vAlign w:val="top"/>
            <w:tcBorders>
              <w:bottom w:val="single" w:color="000000" w:sz="2" w:space="0"/>
              <w:top w:val="single" w:color="000000" w:sz="2" w:space="0"/>
            </w:tcBorders>
          </w:tcPr>
          <w:p>
            <w:pPr>
              <w:pStyle w:val="TableText"/>
              <w:ind w:left="335"/>
              <w:spacing w:before="92" w:line="220" w:lineRule="auto"/>
              <w:rPr>
                <w:sz w:val="12"/>
                <w:szCs w:val="12"/>
              </w:rPr>
            </w:pPr>
            <w:r>
              <w:rPr>
                <w:sz w:val="12"/>
                <w:szCs w:val="12"/>
                <w:spacing w:val="-2"/>
              </w:rPr>
              <w:t>1000-1500倍</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356" w:right="25" w:hanging="299"/>
              <w:spacing w:before="8" w:line="213" w:lineRule="auto"/>
              <w:rPr>
                <w:sz w:val="12"/>
                <w:szCs w:val="12"/>
              </w:rPr>
            </w:pPr>
            <w:r>
              <w:rPr>
                <w:sz w:val="12"/>
                <w:szCs w:val="12"/>
                <w:spacing w:val="2"/>
              </w:rPr>
              <w:t>30E《200g/瓶)</w:t>
            </w:r>
            <w:r>
              <w:rPr>
                <w:sz w:val="12"/>
                <w:szCs w:val="12"/>
                <w:spacing w:val="3"/>
              </w:rPr>
              <w:t xml:space="preserve"> </w:t>
            </w:r>
            <w:r>
              <w:rPr>
                <w:sz w:val="12"/>
                <w:szCs w:val="12"/>
                <w:spacing w:val="-1"/>
              </w:rPr>
              <w:t>/箱</w:t>
            </w:r>
          </w:p>
        </w:tc>
        <w:tc>
          <w:tcPr>
            <w:tcW w:w="2843" w:type="dxa"/>
            <w:vAlign w:val="top"/>
            <w:tcBorders>
              <w:bottom w:val="single" w:color="000000" w:sz="2" w:space="0"/>
              <w:top w:val="single" w:color="000000" w:sz="2" w:space="0"/>
            </w:tcBorders>
          </w:tcPr>
          <w:p>
            <w:pPr>
              <w:pStyle w:val="TableText"/>
              <w:ind w:left="18"/>
              <w:spacing w:before="92" w:line="218" w:lineRule="auto"/>
              <w:rPr>
                <w:sz w:val="12"/>
                <w:szCs w:val="12"/>
              </w:rPr>
            </w:pPr>
            <w:r>
              <w:rPr>
                <w:sz w:val="12"/>
                <w:szCs w:val="12"/>
              </w:rPr>
              <w:t>白粉病，锈病，炭疱病，等广诸型杀菌剂</w:t>
            </w:r>
          </w:p>
        </w:tc>
      </w:tr>
      <w:tr>
        <w:trPr>
          <w:trHeight w:val="30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273"/>
              <w:spacing w:before="93" w:line="219" w:lineRule="auto"/>
              <w:rPr>
                <w:sz w:val="12"/>
                <w:szCs w:val="12"/>
              </w:rPr>
            </w:pPr>
            <w:r>
              <w:rPr>
                <w:sz w:val="12"/>
                <w:szCs w:val="12"/>
                <w:spacing w:val="-2"/>
              </w:rPr>
              <w:t>惠光，代森猛锌</w:t>
            </w:r>
          </w:p>
        </w:tc>
        <w:tc>
          <w:tcPr>
            <w:tcW w:w="1619" w:type="dxa"/>
            <w:vAlign w:val="top"/>
            <w:tcBorders>
              <w:bottom w:val="single" w:color="000000" w:sz="2" w:space="0"/>
              <w:top w:val="single" w:color="000000" w:sz="2" w:space="0"/>
            </w:tcBorders>
          </w:tcPr>
          <w:p>
            <w:pPr>
              <w:pStyle w:val="TableText"/>
              <w:ind w:left="384"/>
              <w:spacing w:before="93" w:line="219" w:lineRule="auto"/>
              <w:rPr>
                <w:sz w:val="12"/>
                <w:szCs w:val="12"/>
              </w:rPr>
            </w:pPr>
            <w:r>
              <w:rPr>
                <w:sz w:val="12"/>
                <w:szCs w:val="12"/>
                <w:spacing w:val="-1"/>
              </w:rPr>
              <w:t>代森锰和代森猝</w:t>
            </w:r>
          </w:p>
        </w:tc>
        <w:tc>
          <w:tcPr>
            <w:tcW w:w="1339" w:type="dxa"/>
            <w:vAlign w:val="top"/>
            <w:tcBorders>
              <w:bottom w:val="single" w:color="000000" w:sz="2" w:space="0"/>
              <w:top w:val="single" w:color="000000" w:sz="2" w:space="0"/>
            </w:tcBorders>
          </w:tcPr>
          <w:p>
            <w:pPr>
              <w:pStyle w:val="TableText"/>
              <w:ind w:left="395"/>
              <w:spacing w:before="93" w:line="220" w:lineRule="auto"/>
              <w:rPr>
                <w:sz w:val="12"/>
                <w:szCs w:val="12"/>
              </w:rPr>
            </w:pPr>
            <w:r>
              <w:rPr>
                <w:sz w:val="12"/>
                <w:szCs w:val="12"/>
                <w:spacing w:val="-1"/>
              </w:rPr>
              <w:t>550-800倍</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345" w:hanging="318"/>
              <w:spacing w:before="9" w:line="213" w:lineRule="auto"/>
              <w:rPr>
                <w:sz w:val="12"/>
                <w:szCs w:val="12"/>
              </w:rPr>
            </w:pPr>
            <w:r>
              <w:rPr>
                <w:sz w:val="12"/>
                <w:szCs w:val="12"/>
                <w:spacing w:val="1"/>
              </w:rPr>
              <w:t>50包《200g/包)</w:t>
            </w:r>
            <w:r>
              <w:rPr>
                <w:sz w:val="12"/>
                <w:szCs w:val="12"/>
                <w:spacing w:val="9"/>
              </w:rPr>
              <w:t xml:space="preserve"> </w:t>
            </w:r>
            <w:r>
              <w:rPr>
                <w:sz w:val="12"/>
                <w:szCs w:val="12"/>
                <w:spacing w:val="-1"/>
              </w:rPr>
              <w:t>/箱</w:t>
            </w:r>
          </w:p>
        </w:tc>
        <w:tc>
          <w:tcPr>
            <w:tcW w:w="2843" w:type="dxa"/>
            <w:vAlign w:val="top"/>
            <w:tcBorders>
              <w:bottom w:val="single" w:color="000000" w:sz="2" w:space="0"/>
              <w:top w:val="single" w:color="000000" w:sz="2" w:space="0"/>
            </w:tcBorders>
          </w:tcPr>
          <w:p>
            <w:pPr>
              <w:pStyle w:val="TableText"/>
              <w:ind w:left="18"/>
              <w:spacing w:before="93" w:line="218" w:lineRule="auto"/>
              <w:rPr>
                <w:sz w:val="12"/>
                <w:szCs w:val="12"/>
              </w:rPr>
            </w:pPr>
            <w:r>
              <w:rPr>
                <w:sz w:val="12"/>
                <w:szCs w:val="12"/>
                <w:spacing w:val="-1"/>
              </w:rPr>
              <w:t>发疸病，男星病，等广谱型杀菌剂</w:t>
            </w:r>
          </w:p>
        </w:tc>
      </w:tr>
      <w:tr>
        <w:trPr>
          <w:trHeight w:val="32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393"/>
              <w:spacing w:before="102" w:line="219" w:lineRule="auto"/>
              <w:rPr>
                <w:sz w:val="12"/>
                <w:szCs w:val="12"/>
              </w:rPr>
            </w:pPr>
            <w:r>
              <w:rPr>
                <w:sz w:val="12"/>
                <w:szCs w:val="12"/>
                <w:spacing w:val="-1"/>
              </w:rPr>
              <w:t>坪安广菌灵</w:t>
            </w:r>
          </w:p>
        </w:tc>
        <w:tc>
          <w:tcPr>
            <w:tcW w:w="1619" w:type="dxa"/>
            <w:vAlign w:val="top"/>
            <w:tcBorders>
              <w:bottom w:val="single" w:color="000000" w:sz="2" w:space="0"/>
              <w:top w:val="single" w:color="000000" w:sz="2" w:space="0"/>
            </w:tcBorders>
          </w:tcPr>
          <w:p>
            <w:pPr>
              <w:pStyle w:val="TableText"/>
              <w:ind w:left="534"/>
              <w:spacing w:before="102" w:line="219" w:lineRule="auto"/>
              <w:rPr>
                <w:sz w:val="12"/>
                <w:szCs w:val="12"/>
              </w:rPr>
            </w:pPr>
            <w:r>
              <w:rPr>
                <w:sz w:val="12"/>
                <w:szCs w:val="12"/>
                <w:spacing w:val="-1"/>
              </w:rPr>
              <w:t>50%多菌灵</w:t>
            </w:r>
          </w:p>
        </w:tc>
        <w:tc>
          <w:tcPr>
            <w:tcW w:w="1339" w:type="dxa"/>
            <w:vAlign w:val="top"/>
            <w:tcBorders>
              <w:bottom w:val="single" w:color="000000" w:sz="2" w:space="0"/>
              <w:top w:val="single" w:color="000000" w:sz="2" w:space="0"/>
            </w:tcBorders>
          </w:tcPr>
          <w:p>
            <w:pPr>
              <w:pStyle w:val="TableText"/>
              <w:ind w:left="285"/>
              <w:spacing w:before="102" w:line="219" w:lineRule="auto"/>
              <w:rPr>
                <w:sz w:val="12"/>
                <w:szCs w:val="12"/>
              </w:rPr>
            </w:pPr>
            <w:r>
              <w:rPr>
                <w:sz w:val="12"/>
                <w:szCs w:val="12"/>
                <w:spacing w:val="-1"/>
              </w:rPr>
              <w:t>稀释600-800倍液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37"/>
              <w:spacing w:before="99" w:line="213" w:lineRule="auto"/>
              <w:rPr>
                <w:sz w:val="12"/>
                <w:szCs w:val="12"/>
              </w:rPr>
            </w:pPr>
            <w:r>
              <w:rPr>
                <w:sz w:val="12"/>
                <w:szCs w:val="12"/>
                <w:spacing w:val="-1"/>
              </w:rPr>
              <w:t>200g/袋</w:t>
            </w:r>
          </w:p>
        </w:tc>
        <w:tc>
          <w:tcPr>
            <w:tcW w:w="2843" w:type="dxa"/>
            <w:vAlign w:val="top"/>
            <w:tcBorders>
              <w:bottom w:val="single" w:color="000000" w:sz="2" w:space="0"/>
              <w:top w:val="single" w:color="000000" w:sz="2" w:space="0"/>
            </w:tcBorders>
          </w:tcPr>
          <w:p>
            <w:pPr>
              <w:pStyle w:val="TableText"/>
              <w:ind w:left="18"/>
              <w:spacing w:before="102" w:line="219" w:lineRule="auto"/>
              <w:rPr>
                <w:sz w:val="12"/>
                <w:szCs w:val="12"/>
              </w:rPr>
            </w:pPr>
            <w:r>
              <w:rPr>
                <w:sz w:val="12"/>
                <w:szCs w:val="12"/>
              </w:rPr>
              <w:t>叶面喷施，防治草坪多种病害</w:t>
            </w:r>
          </w:p>
        </w:tc>
      </w:tr>
      <w:tr>
        <w:trPr>
          <w:trHeight w:val="19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273"/>
              <w:spacing w:before="43" w:line="218" w:lineRule="auto"/>
              <w:rPr>
                <w:sz w:val="12"/>
                <w:szCs w:val="12"/>
              </w:rPr>
            </w:pPr>
            <w:r>
              <w:rPr>
                <w:sz w:val="12"/>
                <w:szCs w:val="12"/>
                <w:spacing w:val="1"/>
              </w:rPr>
              <w:t>国光甲基疏菌灵</w:t>
            </w:r>
          </w:p>
        </w:tc>
        <w:tc>
          <w:tcPr>
            <w:tcW w:w="1619" w:type="dxa"/>
            <w:vAlign w:val="top"/>
            <w:tcBorders>
              <w:bottom w:val="single" w:color="000000" w:sz="2" w:space="0"/>
              <w:top w:val="single" w:color="000000" w:sz="2" w:space="0"/>
            </w:tcBorders>
          </w:tcPr>
          <w:p>
            <w:pPr>
              <w:pStyle w:val="TableText"/>
              <w:ind w:left="414"/>
              <w:spacing w:before="43" w:line="218" w:lineRule="auto"/>
              <w:rPr>
                <w:sz w:val="12"/>
                <w:szCs w:val="12"/>
              </w:rPr>
            </w:pPr>
            <w:r>
              <w:rPr>
                <w:sz w:val="12"/>
                <w:szCs w:val="12"/>
                <w:spacing w:val="-1"/>
              </w:rPr>
              <w:t>70%甲基疏菌灵</w:t>
            </w:r>
          </w:p>
        </w:tc>
        <w:tc>
          <w:tcPr>
            <w:tcW w:w="1339" w:type="dxa"/>
            <w:vAlign w:val="top"/>
            <w:tcBorders>
              <w:bottom w:val="single" w:color="000000" w:sz="2" w:space="0"/>
              <w:top w:val="single" w:color="000000" w:sz="2" w:space="0"/>
            </w:tcBorders>
          </w:tcPr>
          <w:p>
            <w:pPr>
              <w:pStyle w:val="TableText"/>
              <w:ind w:left="185"/>
              <w:spacing w:before="43" w:line="218" w:lineRule="auto"/>
              <w:rPr>
                <w:sz w:val="12"/>
                <w:szCs w:val="12"/>
              </w:rPr>
            </w:pPr>
            <w:r>
              <w:rPr>
                <w:sz w:val="12"/>
                <w:szCs w:val="12"/>
                <w:spacing w:val="-1"/>
              </w:rPr>
              <w:t>稀释600-1000倍液</w:t>
            </w:r>
          </w:p>
        </w:tc>
        <w:tc>
          <w:tcPr>
            <w:tcW w:w="1149" w:type="dxa"/>
            <w:vAlign w:val="top"/>
            <w:vMerge w:val="continue"/>
            <w:tcBorders>
              <w:bottom w:val="single" w:color="000000" w:sz="2" w:space="0"/>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67"/>
              <w:spacing w:before="40" w:line="213" w:lineRule="auto"/>
              <w:rPr>
                <w:sz w:val="12"/>
                <w:szCs w:val="12"/>
              </w:rPr>
            </w:pPr>
            <w:r>
              <w:rPr>
                <w:sz w:val="12"/>
                <w:szCs w:val="12"/>
                <w:spacing w:val="-3"/>
              </w:rPr>
              <w:t>lkg/装</w:t>
            </w:r>
          </w:p>
        </w:tc>
        <w:tc>
          <w:tcPr>
            <w:tcW w:w="2843" w:type="dxa"/>
            <w:vAlign w:val="top"/>
            <w:tcBorders>
              <w:bottom w:val="single" w:color="000000" w:sz="2" w:space="0"/>
              <w:top w:val="single" w:color="000000" w:sz="2" w:space="0"/>
            </w:tcBorders>
          </w:tcPr>
          <w:p>
            <w:pPr>
              <w:pStyle w:val="TableText"/>
              <w:ind w:left="18"/>
              <w:spacing w:before="43" w:line="218" w:lineRule="auto"/>
              <w:rPr>
                <w:sz w:val="12"/>
                <w:szCs w:val="12"/>
              </w:rPr>
            </w:pPr>
            <w:r>
              <w:rPr>
                <w:sz w:val="12"/>
                <w:szCs w:val="12"/>
              </w:rPr>
              <w:t>内吸、广请高效柔菌剂</w:t>
            </w:r>
          </w:p>
        </w:tc>
      </w:tr>
      <w:tr>
        <w:trPr>
          <w:trHeight w:val="32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273"/>
              <w:spacing w:before="103" w:line="219" w:lineRule="auto"/>
              <w:rPr>
                <w:sz w:val="12"/>
                <w:szCs w:val="12"/>
              </w:rPr>
            </w:pPr>
            <w:r>
              <w:rPr>
                <w:sz w:val="12"/>
                <w:szCs w:val="12"/>
                <w:spacing w:val="3"/>
              </w:rPr>
              <w:t>特克多(噻菌灵)</w:t>
            </w:r>
          </w:p>
        </w:tc>
        <w:tc>
          <w:tcPr>
            <w:tcW w:w="1619" w:type="dxa"/>
            <w:vAlign w:val="top"/>
            <w:tcBorders>
              <w:bottom w:val="single" w:color="000000" w:sz="2" w:space="0"/>
              <w:top w:val="single" w:color="000000" w:sz="2" w:space="0"/>
            </w:tcBorders>
          </w:tcPr>
          <w:p>
            <w:pPr>
              <w:pStyle w:val="TableText"/>
              <w:ind w:left="564"/>
              <w:spacing w:before="103" w:line="218" w:lineRule="auto"/>
              <w:rPr>
                <w:sz w:val="12"/>
                <w:szCs w:val="12"/>
              </w:rPr>
            </w:pPr>
            <w:r>
              <w:rPr>
                <w:sz w:val="12"/>
                <w:szCs w:val="12"/>
                <w:spacing w:val="-2"/>
              </w:rPr>
              <w:t>苯咪唑类</w:t>
            </w:r>
          </w:p>
        </w:tc>
        <w:tc>
          <w:tcPr>
            <w:tcW w:w="1339" w:type="dxa"/>
            <w:vAlign w:val="top"/>
            <w:tcBorders>
              <w:bottom w:val="single" w:color="000000" w:sz="2" w:space="0"/>
              <w:top w:val="single" w:color="000000" w:sz="2" w:space="0"/>
            </w:tcBorders>
          </w:tcPr>
          <w:p>
            <w:pPr>
              <w:pStyle w:val="TableText"/>
              <w:ind w:left="185"/>
              <w:spacing w:before="103" w:line="220" w:lineRule="auto"/>
              <w:rPr>
                <w:sz w:val="12"/>
                <w:szCs w:val="12"/>
              </w:rPr>
            </w:pPr>
            <w:r>
              <w:rPr>
                <w:sz w:val="12"/>
                <w:szCs w:val="12"/>
                <w:spacing w:val="-1"/>
              </w:rPr>
              <w:t>45M悬浮600-800倍</w:t>
            </w:r>
          </w:p>
        </w:tc>
        <w:tc>
          <w:tcPr>
            <w:tcW w:w="1149" w:type="dxa"/>
            <w:vAlign w:val="top"/>
            <w:vMerge w:val="restart"/>
            <w:tcBorders>
              <w:bottom w:val="nil"/>
              <w:top w:val="single" w:color="000000" w:sz="2" w:space="0"/>
            </w:tcBorders>
          </w:tcPr>
          <w:p>
            <w:pPr>
              <w:spacing w:line="272" w:lineRule="auto"/>
              <w:rPr>
                <w:rFonts w:ascii="Arial"/>
                <w:sz w:val="21"/>
              </w:rPr>
            </w:pPr>
            <w:r/>
          </w:p>
          <w:p>
            <w:pPr>
              <w:pStyle w:val="TableText"/>
              <w:spacing w:before="39" w:line="200" w:lineRule="auto"/>
              <w:jc w:val="right"/>
              <w:rPr>
                <w:sz w:val="12"/>
                <w:szCs w:val="12"/>
              </w:rPr>
            </w:pPr>
            <w:r>
              <w:rPr>
                <w:sz w:val="12"/>
                <w:szCs w:val="12"/>
                <w:spacing w:val="-6"/>
              </w:rPr>
              <w:t>间隔10-15天1次，连喷</w:t>
            </w:r>
          </w:p>
          <w:p>
            <w:pPr>
              <w:pStyle w:val="TableText"/>
              <w:ind w:left="426"/>
              <w:spacing w:line="219" w:lineRule="auto"/>
              <w:rPr>
                <w:sz w:val="12"/>
                <w:szCs w:val="12"/>
              </w:rPr>
            </w:pPr>
            <w:r>
              <w:rPr>
                <w:sz w:val="12"/>
                <w:szCs w:val="12"/>
                <w:spacing w:val="-2"/>
              </w:rPr>
              <w:t>2-3次</w:t>
            </w:r>
          </w:p>
        </w:tc>
        <w:tc>
          <w:tcPr>
            <w:tcW w:w="899" w:type="dxa"/>
            <w:vAlign w:val="top"/>
            <w:tcBorders>
              <w:bottom w:val="single" w:color="000000" w:sz="2" w:space="0"/>
              <w:top w:val="single" w:color="000000" w:sz="2" w:space="0"/>
            </w:tcBorders>
          </w:tcPr>
          <w:p>
            <w:pPr>
              <w:pStyle w:val="TableText"/>
              <w:ind w:left="207"/>
              <w:spacing w:before="103" w:line="221" w:lineRule="auto"/>
              <w:rPr>
                <w:sz w:val="12"/>
                <w:szCs w:val="12"/>
              </w:rPr>
            </w:pPr>
            <w:r>
              <w:rPr>
                <w:sz w:val="12"/>
                <w:szCs w:val="12"/>
                <w:spacing w:val="-2"/>
              </w:rPr>
              <w:t>100ml/瓶</w:t>
            </w:r>
          </w:p>
        </w:tc>
        <w:tc>
          <w:tcPr>
            <w:tcW w:w="2843" w:type="dxa"/>
            <w:vAlign w:val="top"/>
            <w:tcBorders>
              <w:bottom w:val="single" w:color="000000" w:sz="2" w:space="0"/>
              <w:top w:val="single" w:color="000000" w:sz="2" w:space="0"/>
            </w:tcBorders>
          </w:tcPr>
          <w:p>
            <w:pPr>
              <w:pStyle w:val="TableText"/>
              <w:ind w:left="18"/>
              <w:spacing w:before="32" w:line="210" w:lineRule="auto"/>
              <w:rPr>
                <w:sz w:val="12"/>
                <w:szCs w:val="12"/>
              </w:rPr>
            </w:pPr>
            <w:r>
              <w:rPr>
                <w:sz w:val="12"/>
                <w:szCs w:val="12"/>
                <w:spacing w:val="-8"/>
              </w:rPr>
              <w:t>防治叶斑病、青霉病、炭疽病、灰霉病、黑星病、白粉病</w:t>
            </w:r>
            <w:r>
              <w:rPr>
                <w:sz w:val="12"/>
                <w:szCs w:val="12"/>
                <w:spacing w:val="13"/>
              </w:rPr>
              <w:t xml:space="preserve"> </w:t>
            </w:r>
            <w:r>
              <w:rPr>
                <w:sz w:val="12"/>
                <w:szCs w:val="12"/>
                <w:spacing w:val="-2"/>
              </w:rPr>
              <w:t>等防治</w:t>
            </w:r>
          </w:p>
        </w:tc>
      </w:tr>
      <w:tr>
        <w:trPr>
          <w:trHeight w:val="52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183"/>
              <w:spacing w:before="203" w:line="219" w:lineRule="auto"/>
              <w:rPr>
                <w:sz w:val="12"/>
                <w:szCs w:val="12"/>
              </w:rPr>
            </w:pPr>
            <w:r>
              <w:rPr>
                <w:sz w:val="12"/>
                <w:szCs w:val="12"/>
                <w:spacing w:val="2"/>
              </w:rPr>
              <w:t>好靓《丙硫多菌灵)</w:t>
            </w:r>
          </w:p>
        </w:tc>
        <w:tc>
          <w:tcPr>
            <w:tcW w:w="1619" w:type="dxa"/>
            <w:vAlign w:val="top"/>
            <w:tcBorders>
              <w:bottom w:val="single" w:color="000000" w:sz="2" w:space="0"/>
              <w:top w:val="single" w:color="000000" w:sz="2" w:space="0"/>
            </w:tcBorders>
          </w:tcPr>
          <w:p>
            <w:pPr>
              <w:pStyle w:val="TableText"/>
              <w:ind w:left="624"/>
              <w:spacing w:before="204" w:line="220" w:lineRule="auto"/>
              <w:rPr>
                <w:sz w:val="12"/>
                <w:szCs w:val="12"/>
              </w:rPr>
            </w:pPr>
            <w:r>
              <w:rPr>
                <w:sz w:val="12"/>
                <w:szCs w:val="12"/>
                <w:spacing w:val="-2"/>
              </w:rPr>
              <w:t>丙咪唑</w:t>
            </w:r>
          </w:p>
        </w:tc>
        <w:tc>
          <w:tcPr>
            <w:tcW w:w="1339" w:type="dxa"/>
            <w:vAlign w:val="top"/>
            <w:tcBorders>
              <w:bottom w:val="single" w:color="000000" w:sz="2" w:space="0"/>
              <w:top w:val="single" w:color="000000" w:sz="2" w:space="0"/>
            </w:tcBorders>
          </w:tcPr>
          <w:p>
            <w:pPr>
              <w:pStyle w:val="TableText"/>
              <w:ind w:left="155"/>
              <w:spacing w:before="203" w:line="219" w:lineRule="auto"/>
              <w:rPr>
                <w:sz w:val="12"/>
                <w:szCs w:val="12"/>
              </w:rPr>
            </w:pPr>
            <w:r>
              <w:rPr>
                <w:sz w:val="12"/>
                <w:szCs w:val="12"/>
                <w:spacing w:val="-1"/>
              </w:rPr>
              <w:t>20%好靓200-3000倍</w:t>
            </w:r>
          </w:p>
        </w:tc>
        <w:tc>
          <w:tcPr>
            <w:tcW w:w="1149" w:type="dxa"/>
            <w:vAlign w:val="top"/>
            <w:vMerge w:val="continue"/>
            <w:tcBorders>
              <w:bottom w:val="single" w:color="000000" w:sz="2" w:space="0"/>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67"/>
              <w:spacing w:before="200" w:line="213" w:lineRule="auto"/>
              <w:rPr>
                <w:sz w:val="12"/>
                <w:szCs w:val="12"/>
              </w:rPr>
            </w:pPr>
            <w:r>
              <w:rPr>
                <w:sz w:val="12"/>
                <w:szCs w:val="12"/>
                <w:spacing w:val="-1"/>
              </w:rPr>
              <w:t>50g/袋</w:t>
            </w:r>
          </w:p>
        </w:tc>
        <w:tc>
          <w:tcPr>
            <w:tcW w:w="2843" w:type="dxa"/>
            <w:vAlign w:val="top"/>
            <w:tcBorders>
              <w:bottom w:val="single" w:color="000000" w:sz="2" w:space="0"/>
              <w:top w:val="single" w:color="000000" w:sz="2" w:space="0"/>
            </w:tcBorders>
          </w:tcPr>
          <w:p>
            <w:pPr>
              <w:pStyle w:val="TableText"/>
              <w:ind w:left="18"/>
              <w:spacing w:before="74" w:line="211" w:lineRule="auto"/>
              <w:rPr>
                <w:sz w:val="12"/>
                <w:szCs w:val="12"/>
              </w:rPr>
            </w:pPr>
            <w:r>
              <w:rPr>
                <w:sz w:val="12"/>
                <w:szCs w:val="12"/>
                <w:spacing w:val="-1"/>
              </w:rPr>
              <w:t>广语内吸性杀菌剂。可用于防治枯萎病、疫病、腐霉</w:t>
            </w:r>
            <w:r>
              <w:rPr>
                <w:sz w:val="12"/>
                <w:szCs w:val="12"/>
                <w:spacing w:val="8"/>
              </w:rPr>
              <w:t xml:space="preserve">  </w:t>
            </w:r>
            <w:r>
              <w:rPr>
                <w:sz w:val="12"/>
                <w:szCs w:val="12"/>
                <w:spacing w:val="-3"/>
              </w:rPr>
              <w:t>病、立枯病、根腐病、茎腐病、猝例病等多种病害。便</w:t>
            </w:r>
            <w:r>
              <w:rPr>
                <w:sz w:val="12"/>
                <w:szCs w:val="12"/>
                <w:spacing w:val="5"/>
              </w:rPr>
              <w:t xml:space="preserve"> </w:t>
            </w:r>
            <w:r>
              <w:rPr>
                <w:sz w:val="12"/>
                <w:szCs w:val="12"/>
                <w:spacing w:val="-1"/>
              </w:rPr>
              <w:t>用方法，灌根，唤雾</w:t>
            </w:r>
          </w:p>
        </w:tc>
      </w:tr>
      <w:tr>
        <w:trPr>
          <w:trHeight w:val="56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13"/>
              <w:spacing w:before="224" w:line="219" w:lineRule="auto"/>
              <w:rPr>
                <w:sz w:val="12"/>
                <w:szCs w:val="12"/>
              </w:rPr>
            </w:pPr>
            <w:r>
              <w:rPr>
                <w:sz w:val="12"/>
                <w:szCs w:val="12"/>
                <w:spacing w:val="-3"/>
              </w:rPr>
              <w:t>替力克</w:t>
            </w:r>
          </w:p>
        </w:tc>
        <w:tc>
          <w:tcPr>
            <w:tcW w:w="1619" w:type="dxa"/>
            <w:vAlign w:val="top"/>
            <w:tcBorders>
              <w:bottom w:val="single" w:color="000000" w:sz="2" w:space="0"/>
              <w:top w:val="single" w:color="000000" w:sz="2" w:space="0"/>
            </w:tcBorders>
          </w:tcPr>
          <w:p>
            <w:pPr>
              <w:pStyle w:val="TableText"/>
              <w:ind w:left="504"/>
              <w:spacing w:before="224" w:line="220" w:lineRule="auto"/>
              <w:rPr>
                <w:sz w:val="12"/>
                <w:szCs w:val="12"/>
              </w:rPr>
            </w:pPr>
            <w:r>
              <w:rPr>
                <w:sz w:val="12"/>
                <w:szCs w:val="12"/>
                <w:spacing w:val="-1"/>
              </w:rPr>
              <w:t>72.2丙酰胺</w:t>
            </w:r>
          </w:p>
        </w:tc>
        <w:tc>
          <w:tcPr>
            <w:tcW w:w="1339" w:type="dxa"/>
            <w:vAlign w:val="top"/>
            <w:tcBorders>
              <w:bottom w:val="single" w:color="000000" w:sz="2" w:space="0"/>
              <w:top w:val="single" w:color="000000" w:sz="2" w:space="0"/>
            </w:tcBorders>
          </w:tcPr>
          <w:p>
            <w:pPr>
              <w:pStyle w:val="TableText"/>
              <w:ind w:left="305"/>
              <w:spacing w:before="224" w:line="219" w:lineRule="auto"/>
              <w:rPr>
                <w:sz w:val="12"/>
                <w:szCs w:val="12"/>
              </w:rPr>
            </w:pPr>
            <w:r>
              <w:rPr>
                <w:sz w:val="12"/>
                <w:szCs w:val="12"/>
                <w:spacing w:val="-1"/>
              </w:rPr>
              <w:t>800-1000倍渡</w:t>
            </w:r>
          </w:p>
        </w:tc>
        <w:tc>
          <w:tcPr>
            <w:tcW w:w="1149" w:type="dxa"/>
            <w:vAlign w:val="top"/>
            <w:tcBorders>
              <w:bottom w:val="single" w:color="000000" w:sz="2" w:space="0"/>
              <w:top w:val="single" w:color="000000" w:sz="2" w:space="0"/>
            </w:tcBorders>
          </w:tcPr>
          <w:p>
            <w:pPr>
              <w:pStyle w:val="TableText"/>
              <w:spacing w:before="84" w:line="219" w:lineRule="auto"/>
              <w:jc w:val="right"/>
              <w:rPr>
                <w:sz w:val="12"/>
                <w:szCs w:val="12"/>
              </w:rPr>
            </w:pPr>
            <w:r>
              <w:rPr>
                <w:sz w:val="12"/>
                <w:szCs w:val="12"/>
                <w:spacing w:val="-8"/>
              </w:rPr>
              <w:t>10天一次，连续喷酒病</w:t>
            </w:r>
          </w:p>
          <w:p>
            <w:pPr>
              <w:pStyle w:val="TableText"/>
              <w:spacing w:before="7" w:line="215" w:lineRule="auto"/>
              <w:jc w:val="right"/>
              <w:rPr>
                <w:sz w:val="12"/>
                <w:szCs w:val="12"/>
              </w:rPr>
            </w:pPr>
            <w:r>
              <w:rPr>
                <w:sz w:val="12"/>
                <w:szCs w:val="12"/>
                <w:spacing w:val="-7"/>
              </w:rPr>
              <w:t>部地面2-3次，唤药1小</w:t>
            </w:r>
          </w:p>
          <w:p>
            <w:pPr>
              <w:pStyle w:val="TableText"/>
              <w:ind w:left="86"/>
              <w:spacing w:line="219" w:lineRule="auto"/>
              <w:rPr>
                <w:sz w:val="12"/>
                <w:szCs w:val="12"/>
              </w:rPr>
            </w:pPr>
            <w:r>
              <w:rPr>
                <w:sz w:val="12"/>
                <w:szCs w:val="12"/>
                <w:spacing w:val="-2"/>
              </w:rPr>
              <w:t>时内遇雨，需重唤</w:t>
            </w:r>
          </w:p>
        </w:tc>
        <w:tc>
          <w:tcPr>
            <w:tcW w:w="899" w:type="dxa"/>
            <w:vAlign w:val="top"/>
            <w:tcBorders>
              <w:bottom w:val="single" w:color="000000" w:sz="2" w:space="0"/>
              <w:top w:val="single" w:color="000000" w:sz="2" w:space="0"/>
            </w:tcBorders>
          </w:tcPr>
          <w:p>
            <w:pPr>
              <w:pStyle w:val="TableText"/>
              <w:ind w:left="207"/>
              <w:spacing w:before="224" w:line="221" w:lineRule="auto"/>
              <w:rPr>
                <w:sz w:val="12"/>
                <w:szCs w:val="12"/>
              </w:rPr>
            </w:pPr>
            <w:r>
              <w:rPr>
                <w:sz w:val="12"/>
                <w:szCs w:val="12"/>
                <w:spacing w:val="-2"/>
              </w:rPr>
              <w:t>100ml/瓶</w:t>
            </w:r>
          </w:p>
        </w:tc>
        <w:tc>
          <w:tcPr>
            <w:tcW w:w="2843" w:type="dxa"/>
            <w:vAlign w:val="top"/>
            <w:tcBorders>
              <w:bottom w:val="single" w:color="000000" w:sz="2" w:space="0"/>
              <w:top w:val="single" w:color="000000" w:sz="2" w:space="0"/>
            </w:tcBorders>
          </w:tcPr>
          <w:p>
            <w:pPr>
              <w:pStyle w:val="TableText"/>
              <w:ind w:left="18"/>
              <w:spacing w:before="224" w:line="219" w:lineRule="auto"/>
              <w:rPr>
                <w:sz w:val="12"/>
                <w:szCs w:val="12"/>
              </w:rPr>
            </w:pPr>
            <w:r>
              <w:rPr>
                <w:sz w:val="12"/>
                <w:szCs w:val="12"/>
                <w:spacing w:val="-1"/>
              </w:rPr>
              <w:t>对祝腐病、温霉病、立枯病、猝倒病有特效</w:t>
            </w:r>
          </w:p>
        </w:tc>
      </w:tr>
      <w:tr>
        <w:trPr>
          <w:trHeight w:val="27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13"/>
              <w:spacing w:before="84" w:line="219" w:lineRule="auto"/>
              <w:rPr>
                <w:sz w:val="12"/>
                <w:szCs w:val="12"/>
              </w:rPr>
            </w:pPr>
            <w:r>
              <w:rPr>
                <w:sz w:val="12"/>
                <w:szCs w:val="12"/>
                <w:spacing w:val="-1"/>
              </w:rPr>
              <w:t>链霉素</w:t>
            </w:r>
          </w:p>
        </w:tc>
        <w:tc>
          <w:tcPr>
            <w:tcW w:w="1619" w:type="dxa"/>
            <w:vAlign w:val="top"/>
            <w:tcBorders>
              <w:bottom w:val="single" w:color="000000" w:sz="2" w:space="0"/>
              <w:top w:val="single" w:color="000000" w:sz="2" w:space="0"/>
            </w:tcBorders>
          </w:tcPr>
          <w:p>
            <w:pPr>
              <w:pStyle w:val="TableText"/>
              <w:ind w:left="534"/>
              <w:spacing w:before="84" w:line="219" w:lineRule="auto"/>
              <w:rPr>
                <w:sz w:val="12"/>
                <w:szCs w:val="12"/>
              </w:rPr>
            </w:pPr>
            <w:r>
              <w:rPr>
                <w:sz w:val="12"/>
                <w:szCs w:val="12"/>
                <w:spacing w:val="-1"/>
              </w:rPr>
              <w:t>72%链霉素</w:t>
            </w:r>
          </w:p>
        </w:tc>
        <w:tc>
          <w:tcPr>
            <w:tcW w:w="1339" w:type="dxa"/>
            <w:vAlign w:val="top"/>
            <w:tcBorders>
              <w:bottom w:val="single" w:color="000000" w:sz="2" w:space="0"/>
              <w:top w:val="single" w:color="000000" w:sz="2" w:space="0"/>
            </w:tcBorders>
          </w:tcPr>
          <w:p>
            <w:pPr>
              <w:pStyle w:val="TableText"/>
              <w:ind w:left="455"/>
              <w:spacing w:before="84" w:line="220" w:lineRule="auto"/>
              <w:rPr>
                <w:sz w:val="12"/>
                <w:szCs w:val="12"/>
              </w:rPr>
            </w:pPr>
            <w:r>
              <w:rPr>
                <w:sz w:val="12"/>
                <w:szCs w:val="12"/>
                <w:spacing w:val="-2"/>
              </w:rPr>
              <w:t>300倍液</w:t>
            </w:r>
          </w:p>
        </w:tc>
        <w:tc>
          <w:tcPr>
            <w:tcW w:w="1149" w:type="dxa"/>
            <w:vAlign w:val="top"/>
            <w:vMerge w:val="restart"/>
            <w:tcBorders>
              <w:bottom w:val="nil"/>
              <w:top w:val="single" w:color="000000" w:sz="2" w:space="0"/>
            </w:tcBorders>
          </w:tcPr>
          <w:p>
            <w:pPr>
              <w:pStyle w:val="TableText"/>
              <w:spacing w:before="114" w:line="219" w:lineRule="auto"/>
              <w:jc w:val="right"/>
              <w:rPr>
                <w:sz w:val="12"/>
                <w:szCs w:val="12"/>
              </w:rPr>
            </w:pPr>
            <w:r>
              <w:rPr>
                <w:sz w:val="12"/>
                <w:szCs w:val="12"/>
                <w:spacing w:val="-9"/>
              </w:rPr>
              <w:t>每1</w:t>
            </w:r>
            <w:r>
              <w:rPr>
                <w:sz w:val="12"/>
                <w:szCs w:val="12"/>
                <w:spacing w:val="-8"/>
              </w:rPr>
              <w:t>0天喷施一次。连</w:t>
            </w:r>
            <w:r>
              <w:rPr>
                <w:sz w:val="12"/>
                <w:szCs w:val="12"/>
                <w:spacing w:val="-6"/>
              </w:rPr>
              <w:t>喷</w:t>
            </w:r>
          </w:p>
          <w:p>
            <w:pPr>
              <w:pStyle w:val="TableText"/>
              <w:ind w:left="366"/>
              <w:spacing w:before="7" w:line="219" w:lineRule="auto"/>
              <w:rPr>
                <w:sz w:val="12"/>
                <w:szCs w:val="12"/>
              </w:rPr>
            </w:pPr>
            <w:r>
              <w:rPr>
                <w:sz w:val="12"/>
                <w:szCs w:val="12"/>
                <w:spacing w:val="-1"/>
              </w:rPr>
              <w:t>3至4次。</w:t>
            </w:r>
          </w:p>
        </w:tc>
        <w:tc>
          <w:tcPr>
            <w:tcW w:w="899" w:type="dxa"/>
            <w:vAlign w:val="top"/>
            <w:tcBorders>
              <w:bottom w:val="single" w:color="000000" w:sz="2" w:space="0"/>
              <w:top w:val="single" w:color="000000" w:sz="2" w:space="0"/>
            </w:tcBorders>
          </w:tcPr>
          <w:p>
            <w:pPr>
              <w:pStyle w:val="TableText"/>
              <w:ind w:left="267"/>
              <w:spacing w:before="81" w:line="213" w:lineRule="auto"/>
              <w:rPr>
                <w:sz w:val="12"/>
                <w:szCs w:val="12"/>
              </w:rPr>
            </w:pPr>
            <w:r>
              <w:rPr>
                <w:sz w:val="12"/>
                <w:szCs w:val="12"/>
                <w:spacing w:val="-2"/>
              </w:rPr>
              <w:t>15g/装</w:t>
            </w:r>
          </w:p>
        </w:tc>
        <w:tc>
          <w:tcPr>
            <w:tcW w:w="2843" w:type="dxa"/>
            <w:vAlign w:val="top"/>
            <w:vMerge w:val="restart"/>
            <w:tcBorders>
              <w:bottom w:val="nil"/>
              <w:top w:val="single" w:color="000000" w:sz="2" w:space="0"/>
            </w:tcBorders>
          </w:tcPr>
          <w:p>
            <w:pPr>
              <w:pStyle w:val="TableText"/>
              <w:ind w:left="18"/>
              <w:spacing w:before="184" w:line="219" w:lineRule="auto"/>
              <w:rPr>
                <w:sz w:val="12"/>
                <w:szCs w:val="12"/>
              </w:rPr>
            </w:pPr>
            <w:r>
              <w:rPr>
                <w:sz w:val="12"/>
                <w:szCs w:val="12"/>
                <w:spacing w:val="-1"/>
              </w:rPr>
              <w:t>防治细菌性穿孔殇，对细菌性病害有特效</w:t>
            </w:r>
          </w:p>
        </w:tc>
      </w:tr>
      <w:tr>
        <w:trPr>
          <w:trHeight w:val="20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13"/>
              <w:spacing w:before="44" w:line="219" w:lineRule="auto"/>
              <w:rPr>
                <w:sz w:val="12"/>
                <w:szCs w:val="12"/>
              </w:rPr>
            </w:pPr>
            <w:r>
              <w:rPr>
                <w:sz w:val="12"/>
                <w:szCs w:val="12"/>
                <w:spacing w:val="-2"/>
              </w:rPr>
              <w:t>细菌灵</w:t>
            </w:r>
          </w:p>
        </w:tc>
        <w:tc>
          <w:tcPr>
            <w:tcW w:w="1619" w:type="dxa"/>
            <w:vAlign w:val="top"/>
            <w:tcBorders>
              <w:bottom w:val="single" w:color="000000" w:sz="2" w:space="0"/>
              <w:top w:val="single" w:color="000000" w:sz="2" w:space="0"/>
            </w:tcBorders>
          </w:tcPr>
          <w:p>
            <w:pPr>
              <w:pStyle w:val="TableText"/>
              <w:ind w:left="143"/>
              <w:spacing w:before="44" w:line="219" w:lineRule="auto"/>
              <w:rPr>
                <w:sz w:val="12"/>
                <w:szCs w:val="12"/>
              </w:rPr>
            </w:pPr>
            <w:r>
              <w:rPr>
                <w:sz w:val="12"/>
                <w:szCs w:val="12"/>
                <w:spacing w:val="-1"/>
              </w:rPr>
              <w:t>40%多菌灵、30%中生霉素</w:t>
            </w:r>
          </w:p>
        </w:tc>
        <w:tc>
          <w:tcPr>
            <w:tcW w:w="1339" w:type="dxa"/>
            <w:vAlign w:val="top"/>
            <w:tcBorders>
              <w:bottom w:val="single" w:color="000000" w:sz="2" w:space="0"/>
              <w:top w:val="single" w:color="000000" w:sz="2" w:space="0"/>
            </w:tcBorders>
          </w:tcPr>
          <w:p>
            <w:pPr>
              <w:pStyle w:val="TableText"/>
              <w:ind w:left="395"/>
              <w:spacing w:before="44" w:line="220" w:lineRule="auto"/>
              <w:rPr>
                <w:sz w:val="12"/>
                <w:szCs w:val="12"/>
              </w:rPr>
            </w:pPr>
            <w:r>
              <w:rPr>
                <w:sz w:val="12"/>
                <w:szCs w:val="12"/>
                <w:spacing w:val="-1"/>
              </w:rPr>
              <w:t>500-600倍</w:t>
            </w:r>
          </w:p>
        </w:tc>
        <w:tc>
          <w:tcPr>
            <w:tcW w:w="1149" w:type="dxa"/>
            <w:vAlign w:val="top"/>
            <w:vMerge w:val="continue"/>
            <w:tcBorders>
              <w:bottom w:val="single" w:color="000000" w:sz="2" w:space="0"/>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267"/>
              <w:spacing w:before="40" w:line="213" w:lineRule="auto"/>
              <w:rPr>
                <w:sz w:val="12"/>
                <w:szCs w:val="12"/>
              </w:rPr>
            </w:pPr>
            <w:r>
              <w:rPr>
                <w:sz w:val="12"/>
                <w:szCs w:val="12"/>
                <w:spacing w:val="-1"/>
              </w:rPr>
              <w:t>25g/袋</w:t>
            </w:r>
          </w:p>
        </w:tc>
        <w:tc>
          <w:tcPr>
            <w:tcW w:w="2843" w:type="dxa"/>
            <w:vAlign w:val="top"/>
            <w:vMerge w:val="continue"/>
            <w:tcBorders>
              <w:bottom w:val="single" w:color="000000" w:sz="2" w:space="0"/>
              <w:top w:val="nil"/>
            </w:tcBorders>
          </w:tcPr>
          <w:p>
            <w:pPr>
              <w:rPr>
                <w:rFonts w:ascii="Arial"/>
                <w:sz w:val="21"/>
              </w:rPr>
            </w:pPr>
            <w:r/>
          </w:p>
        </w:tc>
      </w:tr>
      <w:tr>
        <w:trPr>
          <w:trHeight w:val="404" w:hRule="atLeast"/>
        </w:trPr>
        <w:tc>
          <w:tcPr>
            <w:tcW w:w="385" w:type="dxa"/>
            <w:vAlign w:val="top"/>
            <w:vMerge w:val="continue"/>
            <w:tcBorders>
              <w:bottom w:val="single" w:color="000000" w:sz="2" w:space="0"/>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48" w:type="dxa"/>
            <w:vAlign w:val="top"/>
            <w:vMerge w:val="continue"/>
            <w:tcBorders>
              <w:bottom w:val="single" w:color="000000" w:sz="2" w:space="0"/>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513"/>
              <w:spacing w:before="144" w:line="219" w:lineRule="auto"/>
              <w:rPr>
                <w:sz w:val="12"/>
                <w:szCs w:val="12"/>
              </w:rPr>
            </w:pPr>
            <w:r>
              <w:rPr>
                <w:sz w:val="12"/>
                <w:szCs w:val="12"/>
                <w:spacing w:val="-2"/>
              </w:rPr>
              <w:t>植病灵</w:t>
            </w:r>
          </w:p>
        </w:tc>
        <w:tc>
          <w:tcPr>
            <w:tcW w:w="1619" w:type="dxa"/>
            <w:vAlign w:val="top"/>
            <w:tcBorders>
              <w:bottom w:val="single" w:color="000000" w:sz="2" w:space="0"/>
              <w:top w:val="single" w:color="000000" w:sz="2" w:space="0"/>
            </w:tcBorders>
          </w:tcPr>
          <w:p>
            <w:pPr>
              <w:pStyle w:val="TableText"/>
              <w:ind w:left="204"/>
              <w:spacing w:before="144" w:line="220" w:lineRule="auto"/>
              <w:rPr>
                <w:sz w:val="12"/>
                <w:szCs w:val="12"/>
              </w:rPr>
            </w:pPr>
            <w:r>
              <w:rPr>
                <w:sz w:val="12"/>
                <w:szCs w:val="12"/>
                <w:spacing w:val="-1"/>
              </w:rPr>
              <w:t>盐酸金刚乙胺，丙环唑</w:t>
            </w:r>
          </w:p>
        </w:tc>
        <w:tc>
          <w:tcPr>
            <w:tcW w:w="1339" w:type="dxa"/>
            <w:vAlign w:val="top"/>
            <w:tcBorders>
              <w:bottom w:val="single" w:color="000000" w:sz="2" w:space="0"/>
              <w:top w:val="single" w:color="000000" w:sz="2" w:space="0"/>
            </w:tcBorders>
          </w:tcPr>
          <w:p>
            <w:pPr>
              <w:pStyle w:val="TableText"/>
              <w:ind w:left="455"/>
              <w:spacing w:before="144" w:line="220" w:lineRule="auto"/>
              <w:rPr>
                <w:sz w:val="12"/>
                <w:szCs w:val="12"/>
              </w:rPr>
            </w:pPr>
            <w:r>
              <w:rPr>
                <w:sz w:val="12"/>
                <w:szCs w:val="12"/>
                <w:spacing w:val="-1"/>
              </w:rPr>
              <w:t>800倍液</w:t>
            </w:r>
          </w:p>
        </w:tc>
        <w:tc>
          <w:tcPr>
            <w:tcW w:w="1149" w:type="dxa"/>
            <w:vAlign w:val="top"/>
            <w:tcBorders>
              <w:bottom w:val="single" w:color="000000" w:sz="2" w:space="0"/>
              <w:top w:val="single" w:color="000000" w:sz="2" w:space="0"/>
            </w:tcBorders>
          </w:tcPr>
          <w:p>
            <w:pPr>
              <w:pStyle w:val="TableText"/>
              <w:spacing w:before="33" w:line="200" w:lineRule="auto"/>
              <w:jc w:val="right"/>
              <w:rPr>
                <w:sz w:val="12"/>
                <w:szCs w:val="12"/>
              </w:rPr>
            </w:pPr>
            <w:r>
              <w:rPr>
                <w:sz w:val="12"/>
                <w:szCs w:val="12"/>
                <w:spacing w:val="-2"/>
              </w:rPr>
              <w:t>发病初期，每5-7天喷</w:t>
            </w:r>
          </w:p>
          <w:p>
            <w:pPr>
              <w:pStyle w:val="TableText"/>
              <w:spacing w:line="199" w:lineRule="auto"/>
              <w:jc w:val="right"/>
              <w:rPr>
                <w:sz w:val="12"/>
                <w:szCs w:val="12"/>
              </w:rPr>
            </w:pPr>
            <w:r>
              <w:rPr>
                <w:sz w:val="12"/>
                <w:szCs w:val="12"/>
                <w:spacing w:val="-6"/>
              </w:rPr>
              <w:t>施一次，嘲3遍，可减</w:t>
            </w:r>
          </w:p>
          <w:p>
            <w:pPr>
              <w:pStyle w:val="TableText"/>
              <w:ind w:left="356"/>
              <w:spacing w:line="100" w:lineRule="exact"/>
              <w:rPr>
                <w:sz w:val="12"/>
                <w:szCs w:val="12"/>
              </w:rPr>
            </w:pPr>
            <w:r>
              <w:rPr>
                <w:sz w:val="12"/>
                <w:szCs w:val="12"/>
                <w:spacing w:val="-1"/>
                <w:position w:val="-2"/>
              </w:rPr>
              <w:t>轻危害。</w:t>
            </w:r>
          </w:p>
        </w:tc>
        <w:tc>
          <w:tcPr>
            <w:tcW w:w="899" w:type="dxa"/>
            <w:vAlign w:val="top"/>
            <w:tcBorders>
              <w:bottom w:val="single" w:color="000000" w:sz="2" w:space="0"/>
              <w:top w:val="single" w:color="000000" w:sz="2" w:space="0"/>
            </w:tcBorders>
          </w:tcPr>
          <w:p>
            <w:pPr>
              <w:pStyle w:val="TableText"/>
              <w:ind w:left="237"/>
              <w:spacing w:before="144" w:line="221" w:lineRule="auto"/>
              <w:rPr>
                <w:sz w:val="12"/>
                <w:szCs w:val="12"/>
              </w:rPr>
            </w:pPr>
            <w:r>
              <w:rPr>
                <w:sz w:val="12"/>
                <w:szCs w:val="12"/>
                <w:spacing w:val="-2"/>
              </w:rPr>
              <w:t>15ml/瓶</w:t>
            </w:r>
          </w:p>
        </w:tc>
        <w:tc>
          <w:tcPr>
            <w:tcW w:w="2843" w:type="dxa"/>
            <w:vAlign w:val="top"/>
            <w:tcBorders>
              <w:bottom w:val="single" w:color="000000" w:sz="2" w:space="0"/>
              <w:top w:val="single" w:color="000000" w:sz="2" w:space="0"/>
            </w:tcBorders>
          </w:tcPr>
          <w:p>
            <w:pPr>
              <w:pStyle w:val="TableText"/>
              <w:ind w:left="18"/>
              <w:spacing w:before="144" w:line="219" w:lineRule="auto"/>
              <w:rPr>
                <w:sz w:val="12"/>
                <w:szCs w:val="12"/>
              </w:rPr>
            </w:pPr>
            <w:r>
              <w:rPr>
                <w:sz w:val="12"/>
                <w:szCs w:val="12"/>
                <w:spacing w:val="-1"/>
              </w:rPr>
              <w:t>防治花叶病，对病霉性病害有特效</w:t>
            </w:r>
          </w:p>
        </w:tc>
      </w:tr>
      <w:tr>
        <w:trPr>
          <w:trHeight w:val="225" w:hRule="atLeast"/>
        </w:trPr>
        <w:tc>
          <w:tcPr>
            <w:tcW w:w="385" w:type="dxa"/>
            <w:vAlign w:val="top"/>
            <w:vMerge w:val="restart"/>
            <w:tcBorders>
              <w:bottom w:val="nil"/>
              <w:top w:val="single" w:color="000000" w:sz="2" w:space="0"/>
            </w:tcBorders>
          </w:tcPr>
          <w:p>
            <w:pPr>
              <w:spacing w:line="462" w:lineRule="auto"/>
              <w:rPr>
                <w:rFonts w:ascii="Arial"/>
                <w:sz w:val="21"/>
              </w:rPr>
            </w:pPr>
            <w:r/>
          </w:p>
          <w:p>
            <w:pPr>
              <w:pStyle w:val="TableText"/>
              <w:ind w:left="14"/>
              <w:spacing w:before="39" w:line="218" w:lineRule="auto"/>
              <w:rPr>
                <w:sz w:val="12"/>
                <w:szCs w:val="12"/>
              </w:rPr>
            </w:pPr>
            <w:r>
              <w:rPr>
                <w:sz w:val="12"/>
                <w:szCs w:val="12"/>
                <w:spacing w:val="-2"/>
              </w:rPr>
              <w:t>杀虫剂</w:t>
            </w:r>
          </w:p>
        </w:tc>
        <w:tc>
          <w:tcPr>
            <w:tcW w:w="810" w:type="dxa"/>
            <w:vAlign w:val="top"/>
            <w:vMerge w:val="restart"/>
            <w:tcBorders>
              <w:bottom w:val="nil"/>
              <w:top w:val="single" w:color="000000" w:sz="2" w:space="0"/>
            </w:tcBorders>
          </w:tcPr>
          <w:p>
            <w:pPr>
              <w:spacing w:line="462" w:lineRule="auto"/>
              <w:rPr>
                <w:rFonts w:ascii="Arial"/>
                <w:sz w:val="21"/>
              </w:rPr>
            </w:pPr>
            <w:r/>
          </w:p>
          <w:p>
            <w:pPr>
              <w:pStyle w:val="TableText"/>
              <w:ind w:left="150"/>
              <w:spacing w:before="39" w:line="219" w:lineRule="auto"/>
              <w:rPr>
                <w:sz w:val="12"/>
                <w:szCs w:val="12"/>
              </w:rPr>
            </w:pPr>
            <w:r>
              <w:rPr>
                <w:sz w:val="12"/>
                <w:szCs w:val="12"/>
                <w:spacing w:val="-1"/>
              </w:rPr>
              <w:t>食叶害虫</w:t>
            </w:r>
          </w:p>
        </w:tc>
        <w:tc>
          <w:tcPr>
            <w:tcW w:w="889" w:type="dxa"/>
            <w:vAlign w:val="top"/>
            <w:vMerge w:val="restart"/>
            <w:tcBorders>
              <w:bottom w:val="nil"/>
              <w:top w:val="single" w:color="000000" w:sz="2" w:space="0"/>
            </w:tcBorders>
          </w:tcPr>
          <w:p>
            <w:pPr>
              <w:pStyle w:val="TableText"/>
              <w:ind w:left="10" w:firstLine="29"/>
              <w:spacing w:before="223" w:line="220" w:lineRule="auto"/>
              <w:jc w:val="both"/>
              <w:rPr>
                <w:sz w:val="12"/>
                <w:szCs w:val="12"/>
              </w:rPr>
            </w:pPr>
            <w:r>
              <w:rPr>
                <w:sz w:val="12"/>
                <w:szCs w:val="12"/>
                <w:spacing w:val="-1"/>
              </w:rPr>
              <w:t>粘虫，金龟子。</w:t>
            </w:r>
            <w:r>
              <w:rPr>
                <w:sz w:val="12"/>
                <w:szCs w:val="12"/>
                <w:spacing w:val="4"/>
              </w:rPr>
              <w:t xml:space="preserve"> </w:t>
            </w:r>
            <w:r>
              <w:rPr>
                <w:sz w:val="12"/>
                <w:szCs w:val="12"/>
                <w:spacing w:val="3"/>
              </w:rPr>
              <w:t>天喜毛虫，叶甲</w:t>
            </w:r>
            <w:r>
              <w:rPr>
                <w:sz w:val="12"/>
                <w:szCs w:val="12"/>
                <w:spacing w:val="1"/>
              </w:rPr>
              <w:t xml:space="preserve"> </w:t>
            </w:r>
            <w:r>
              <w:rPr>
                <w:sz w:val="12"/>
                <w:szCs w:val="12"/>
                <w:spacing w:val="-1"/>
              </w:rPr>
              <w:t>、舞毒峨、尺螺</w:t>
            </w:r>
            <w:r>
              <w:rPr>
                <w:sz w:val="12"/>
                <w:szCs w:val="12"/>
                <w:spacing w:val="4"/>
              </w:rPr>
              <w:t xml:space="preserve"> </w:t>
            </w:r>
            <w:r>
              <w:rPr>
                <w:sz w:val="12"/>
                <w:szCs w:val="12"/>
                <w:spacing w:val="4"/>
              </w:rPr>
              <w:t>、衰峨、刺峨。</w:t>
            </w:r>
            <w:r>
              <w:rPr>
                <w:sz w:val="12"/>
                <w:szCs w:val="12"/>
              </w:rPr>
              <w:t xml:space="preserve"> </w:t>
            </w:r>
            <w:r>
              <w:rPr>
                <w:sz w:val="12"/>
                <w:szCs w:val="12"/>
                <w:spacing w:val="-1"/>
              </w:rPr>
              <w:t>蝴野朗，梯垦明</w:t>
            </w:r>
          </w:p>
        </w:tc>
        <w:tc>
          <w:tcPr>
            <w:tcW w:w="2548" w:type="dxa"/>
            <w:vAlign w:val="top"/>
            <w:vMerge w:val="restart"/>
            <w:tcBorders>
              <w:bottom w:val="nil"/>
              <w:top w:val="single" w:color="000000" w:sz="2" w:space="0"/>
            </w:tcBorders>
          </w:tcPr>
          <w:p>
            <w:pPr>
              <w:pStyle w:val="TableText"/>
              <w:ind w:left="11" w:right="85"/>
              <w:spacing w:before="165" w:line="199" w:lineRule="auto"/>
              <w:rPr>
                <w:sz w:val="12"/>
                <w:szCs w:val="12"/>
              </w:rPr>
            </w:pPr>
            <w:r>
              <w:rPr>
                <w:sz w:val="12"/>
                <w:szCs w:val="12"/>
                <w:spacing w:val="-1"/>
              </w:rPr>
              <w:t>、4月预防消杀为主，在进入雨季、高发季前全</w:t>
            </w:r>
            <w:r>
              <w:rPr>
                <w:sz w:val="12"/>
                <w:szCs w:val="12"/>
                <w:spacing w:val="1"/>
              </w:rPr>
              <w:t xml:space="preserve"> </w:t>
            </w:r>
            <w:r>
              <w:rPr>
                <w:sz w:val="12"/>
                <w:szCs w:val="12"/>
                <w:spacing w:val="-1"/>
              </w:rPr>
              <w:t>阳区消杀虫卵蛹。</w:t>
            </w:r>
          </w:p>
          <w:p>
            <w:pPr>
              <w:pStyle w:val="TableText"/>
              <w:ind w:left="11"/>
              <w:spacing w:line="238" w:lineRule="auto"/>
              <w:rPr>
                <w:sz w:val="12"/>
                <w:szCs w:val="12"/>
              </w:rPr>
            </w:pPr>
            <w:r>
              <w:rPr>
                <w:sz w:val="12"/>
                <w:szCs w:val="12"/>
                <w:spacing w:val="-3"/>
              </w:rPr>
              <w:t>三，5-8月是大本分害虫成蠕或羽化期，采取人工</w:t>
            </w:r>
            <w:r>
              <w:rPr>
                <w:sz w:val="12"/>
                <w:szCs w:val="12"/>
                <w:spacing w:val="14"/>
              </w:rPr>
              <w:t xml:space="preserve"> </w:t>
            </w:r>
            <w:r>
              <w:rPr>
                <w:sz w:val="12"/>
                <w:szCs w:val="12"/>
                <w:spacing w:val="-1"/>
              </w:rPr>
              <w:t>加药物双重泊疗除归，除蚓，除成虫。</w:t>
            </w:r>
          </w:p>
          <w:p>
            <w:pPr>
              <w:pStyle w:val="TableText"/>
              <w:ind w:left="11" w:right="2" w:firstLine="9"/>
              <w:spacing w:line="210" w:lineRule="auto"/>
              <w:rPr>
                <w:sz w:val="12"/>
                <w:szCs w:val="12"/>
              </w:rPr>
            </w:pPr>
            <w:r>
              <w:rPr>
                <w:sz w:val="12"/>
                <w:szCs w:val="12"/>
                <w:spacing w:val="-6"/>
              </w:rPr>
              <w:t>三、9-11月为均有零星出现，有发现病情，及时喷</w:t>
            </w:r>
            <w:r>
              <w:rPr>
                <w:sz w:val="12"/>
                <w:szCs w:val="12"/>
                <w:spacing w:val="17"/>
                <w:w w:val="101"/>
              </w:rPr>
              <w:t xml:space="preserve"> </w:t>
            </w:r>
            <w:r>
              <w:rPr>
                <w:sz w:val="12"/>
                <w:szCs w:val="12"/>
              </w:rPr>
              <w:t>药处理。</w:t>
            </w:r>
          </w:p>
        </w:tc>
        <w:tc>
          <w:tcPr>
            <w:tcW w:w="1409" w:type="dxa"/>
            <w:vAlign w:val="top"/>
            <w:tcBorders>
              <w:bottom w:val="single" w:color="000000" w:sz="2" w:space="0"/>
              <w:top w:val="single" w:color="000000" w:sz="2" w:space="0"/>
            </w:tcBorders>
          </w:tcPr>
          <w:p>
            <w:pPr>
              <w:pStyle w:val="TableText"/>
              <w:ind w:left="453"/>
              <w:spacing w:before="54" w:line="219" w:lineRule="auto"/>
              <w:rPr>
                <w:sz w:val="12"/>
                <w:szCs w:val="12"/>
              </w:rPr>
            </w:pPr>
            <w:r>
              <w:rPr>
                <w:sz w:val="12"/>
                <w:szCs w:val="12"/>
                <w:spacing w:val="1"/>
              </w:rPr>
              <w:t>国光毒枪</w:t>
            </w:r>
          </w:p>
        </w:tc>
        <w:tc>
          <w:tcPr>
            <w:tcW w:w="1619" w:type="dxa"/>
            <w:vAlign w:val="top"/>
            <w:tcBorders>
              <w:bottom w:val="single" w:color="000000" w:sz="2" w:space="0"/>
              <w:top w:val="single" w:color="000000" w:sz="2" w:space="0"/>
            </w:tcBorders>
          </w:tcPr>
          <w:p>
            <w:pPr>
              <w:pStyle w:val="TableText"/>
              <w:ind w:left="264"/>
              <w:spacing w:before="54" w:line="219" w:lineRule="auto"/>
              <w:rPr>
                <w:sz w:val="12"/>
                <w:szCs w:val="12"/>
              </w:rPr>
            </w:pPr>
            <w:r>
              <w:rPr>
                <w:sz w:val="12"/>
                <w:szCs w:val="12"/>
                <w:spacing w:val="-1"/>
              </w:rPr>
              <w:t>45%丙溴.辛硫磷乳油</w:t>
            </w:r>
          </w:p>
        </w:tc>
        <w:tc>
          <w:tcPr>
            <w:tcW w:w="1339" w:type="dxa"/>
            <w:vAlign w:val="top"/>
            <w:tcBorders>
              <w:bottom w:val="single" w:color="000000" w:sz="2" w:space="0"/>
              <w:top w:val="single" w:color="000000" w:sz="2" w:space="0"/>
            </w:tcBorders>
          </w:tcPr>
          <w:p>
            <w:pPr>
              <w:pStyle w:val="TableText"/>
              <w:ind w:left="155"/>
              <w:spacing w:before="54" w:line="219" w:lineRule="auto"/>
              <w:rPr>
                <w:sz w:val="12"/>
                <w:szCs w:val="12"/>
              </w:rPr>
            </w:pPr>
            <w:r>
              <w:rPr>
                <w:sz w:val="12"/>
                <w:szCs w:val="12"/>
                <w:spacing w:val="-1"/>
              </w:rPr>
              <w:t>稀释1000-1200倍液</w:t>
            </w:r>
          </w:p>
        </w:tc>
        <w:tc>
          <w:tcPr>
            <w:tcW w:w="1149" w:type="dxa"/>
            <w:vAlign w:val="top"/>
            <w:vMerge w:val="restart"/>
            <w:tcBorders>
              <w:bottom w:val="nil"/>
              <w:top w:val="single" w:color="000000" w:sz="2" w:space="0"/>
            </w:tcBorders>
          </w:tcPr>
          <w:p>
            <w:pPr>
              <w:spacing w:line="392" w:lineRule="auto"/>
              <w:rPr>
                <w:rFonts w:ascii="Arial"/>
                <w:sz w:val="21"/>
              </w:rPr>
            </w:pPr>
            <w:r/>
          </w:p>
          <w:p>
            <w:pPr>
              <w:pStyle w:val="TableText"/>
              <w:ind w:left="325" w:hanging="309"/>
              <w:spacing w:before="39" w:line="234" w:lineRule="auto"/>
              <w:rPr>
                <w:sz w:val="12"/>
                <w:szCs w:val="12"/>
              </w:rPr>
            </w:pPr>
            <w:r>
              <w:rPr>
                <w:sz w:val="12"/>
                <w:szCs w:val="12"/>
                <w:spacing w:val="-14"/>
              </w:rPr>
              <w:t>一般用1次，时</w:t>
            </w:r>
            <w:r>
              <w:rPr>
                <w:sz w:val="12"/>
                <w:szCs w:val="12"/>
                <w:spacing w:val="-13"/>
              </w:rPr>
              <w:t>间间隔</w:t>
            </w:r>
            <w:r>
              <w:rPr>
                <w:sz w:val="12"/>
                <w:szCs w:val="12"/>
                <w:spacing w:val="-6"/>
              </w:rPr>
              <w:t>上</w:t>
            </w:r>
            <w:r>
              <w:rPr>
                <w:sz w:val="12"/>
                <w:szCs w:val="12"/>
                <w:spacing w:val="4"/>
              </w:rPr>
              <w:t xml:space="preserve"> </w:t>
            </w:r>
            <w:r>
              <w:rPr>
                <w:sz w:val="12"/>
                <w:szCs w:val="12"/>
                <w:spacing w:val="-2"/>
              </w:rPr>
              <w:t>10到15天</w:t>
            </w:r>
          </w:p>
        </w:tc>
        <w:tc>
          <w:tcPr>
            <w:tcW w:w="899" w:type="dxa"/>
            <w:vAlign w:val="top"/>
            <w:tcBorders>
              <w:bottom w:val="single" w:color="000000" w:sz="2" w:space="0"/>
              <w:top w:val="single" w:color="000000" w:sz="2" w:space="0"/>
            </w:tcBorders>
          </w:tcPr>
          <w:p>
            <w:pPr>
              <w:pStyle w:val="TableText"/>
              <w:ind w:left="147"/>
              <w:spacing w:before="55" w:line="221" w:lineRule="auto"/>
              <w:rPr>
                <w:sz w:val="12"/>
                <w:szCs w:val="12"/>
              </w:rPr>
            </w:pPr>
            <w:r>
              <w:rPr>
                <w:sz w:val="12"/>
                <w:szCs w:val="12"/>
              </w:rPr>
              <w:t>(200m1/瓶》</w:t>
            </w:r>
          </w:p>
        </w:tc>
        <w:tc>
          <w:tcPr>
            <w:tcW w:w="2843" w:type="dxa"/>
            <w:vAlign w:val="top"/>
            <w:tcBorders>
              <w:bottom w:val="single" w:color="000000" w:sz="2" w:space="0"/>
              <w:top w:val="single" w:color="000000" w:sz="2" w:space="0"/>
            </w:tcBorders>
          </w:tcPr>
          <w:p>
            <w:pPr>
              <w:pStyle w:val="TableText"/>
              <w:ind w:left="18"/>
              <w:spacing w:before="54" w:line="219" w:lineRule="auto"/>
              <w:rPr>
                <w:sz w:val="12"/>
                <w:szCs w:val="12"/>
              </w:rPr>
            </w:pPr>
            <w:r>
              <w:rPr>
                <w:sz w:val="12"/>
                <w:szCs w:val="12"/>
                <w:spacing w:val="-1"/>
              </w:rPr>
              <w:t>高渗透性，柔卷叶虫、包叶虫、斑潜蛹等</w:t>
            </w:r>
          </w:p>
        </w:tc>
      </w:tr>
      <w:tr>
        <w:trPr>
          <w:trHeight w:val="24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48" w:type="dxa"/>
            <w:vAlign w:val="top"/>
            <w:vMerge w:val="continue"/>
            <w:tcBorders>
              <w:bottom w:val="nil"/>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453"/>
              <w:spacing w:before="64" w:line="219" w:lineRule="auto"/>
              <w:rPr>
                <w:sz w:val="12"/>
                <w:szCs w:val="12"/>
              </w:rPr>
            </w:pPr>
            <w:r>
              <w:rPr>
                <w:sz w:val="12"/>
                <w:szCs w:val="12"/>
                <w:spacing w:val="1"/>
              </w:rPr>
              <w:t>国光乐克</w:t>
            </w:r>
          </w:p>
        </w:tc>
        <w:tc>
          <w:tcPr>
            <w:tcW w:w="1619" w:type="dxa"/>
            <w:vAlign w:val="top"/>
            <w:tcBorders>
              <w:bottom w:val="single" w:color="000000" w:sz="2" w:space="0"/>
              <w:top w:val="single" w:color="000000" w:sz="2" w:space="0"/>
            </w:tcBorders>
          </w:tcPr>
          <w:p>
            <w:pPr>
              <w:pStyle w:val="TableText"/>
              <w:ind w:left="143"/>
              <w:spacing w:before="64" w:line="218" w:lineRule="auto"/>
              <w:rPr>
                <w:sz w:val="12"/>
                <w:szCs w:val="12"/>
              </w:rPr>
            </w:pPr>
            <w:r>
              <w:rPr>
                <w:sz w:val="12"/>
                <w:szCs w:val="12"/>
              </w:rPr>
              <w:t>甲氨基阿维菌素苯甲酸盐</w:t>
            </w:r>
          </w:p>
        </w:tc>
        <w:tc>
          <w:tcPr>
            <w:tcW w:w="1339" w:type="dxa"/>
            <w:vAlign w:val="top"/>
            <w:tcBorders>
              <w:bottom w:val="single" w:color="000000" w:sz="2" w:space="0"/>
              <w:top w:val="single" w:color="000000" w:sz="2" w:space="0"/>
            </w:tcBorders>
          </w:tcPr>
          <w:p>
            <w:pPr>
              <w:pStyle w:val="TableText"/>
              <w:ind w:left="155"/>
              <w:spacing w:before="64" w:line="219" w:lineRule="auto"/>
              <w:rPr>
                <w:sz w:val="12"/>
                <w:szCs w:val="12"/>
              </w:rPr>
            </w:pPr>
            <w:r>
              <w:rPr>
                <w:sz w:val="12"/>
                <w:szCs w:val="12"/>
                <w:spacing w:val="-4"/>
              </w:rPr>
              <w:t>稀释3000—5000倍液</w:t>
            </w:r>
          </w:p>
        </w:tc>
        <w:tc>
          <w:tcPr>
            <w:tcW w:w="1149" w:type="dxa"/>
            <w:vAlign w:val="top"/>
            <w:vMerge w:val="continue"/>
            <w:tcBorders>
              <w:bottom w:val="nil"/>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47"/>
              <w:spacing w:before="64" w:line="221" w:lineRule="auto"/>
              <w:rPr>
                <w:sz w:val="12"/>
                <w:szCs w:val="12"/>
              </w:rPr>
            </w:pPr>
            <w:r>
              <w:rPr>
                <w:sz w:val="12"/>
                <w:szCs w:val="12"/>
                <w:spacing w:val="2"/>
              </w:rPr>
              <w:t>(100m1/瓶)</w:t>
            </w:r>
          </w:p>
        </w:tc>
        <w:tc>
          <w:tcPr>
            <w:tcW w:w="2843" w:type="dxa"/>
            <w:vAlign w:val="top"/>
            <w:tcBorders>
              <w:bottom w:val="single" w:color="000000" w:sz="2" w:space="0"/>
              <w:top w:val="single" w:color="000000" w:sz="2" w:space="0"/>
            </w:tcBorders>
          </w:tcPr>
          <w:p>
            <w:pPr>
              <w:pStyle w:val="TableText"/>
              <w:ind w:left="18"/>
              <w:spacing w:before="64" w:line="218" w:lineRule="auto"/>
              <w:rPr>
                <w:sz w:val="12"/>
                <w:szCs w:val="12"/>
              </w:rPr>
            </w:pPr>
            <w:r>
              <w:rPr>
                <w:sz w:val="12"/>
                <w:szCs w:val="12"/>
                <w:spacing w:val="-1"/>
              </w:rPr>
              <w:t>高效广谱、长效染虫剂</w:t>
            </w:r>
          </w:p>
        </w:tc>
      </w:tr>
      <w:tr>
        <w:trPr>
          <w:trHeight w:val="639" w:hRule="atLeast"/>
        </w:trPr>
        <w:tc>
          <w:tcPr>
            <w:tcW w:w="385" w:type="dxa"/>
            <w:vAlign w:val="top"/>
            <w:vMerge w:val="continue"/>
            <w:tcBorders>
              <w:bottom w:val="single" w:color="000000" w:sz="2" w:space="0"/>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48" w:type="dxa"/>
            <w:vAlign w:val="top"/>
            <w:vMerge w:val="continue"/>
            <w:tcBorders>
              <w:bottom w:val="single" w:color="000000" w:sz="2" w:space="0"/>
              <w:top w:val="nil"/>
            </w:tcBorders>
          </w:tcPr>
          <w:p>
            <w:pPr>
              <w:rPr>
                <w:rFonts w:ascii="Arial"/>
                <w:sz w:val="21"/>
              </w:rPr>
            </w:pPr>
            <w:r/>
          </w:p>
        </w:tc>
        <w:tc>
          <w:tcPr>
            <w:tcW w:w="1409" w:type="dxa"/>
            <w:vAlign w:val="top"/>
            <w:tcBorders>
              <w:bottom w:val="single" w:color="000000" w:sz="2" w:space="0"/>
              <w:top w:val="single" w:color="000000" w:sz="2" w:space="0"/>
            </w:tcBorders>
          </w:tcPr>
          <w:p>
            <w:pPr>
              <w:pStyle w:val="TableText"/>
              <w:ind w:left="453"/>
              <w:spacing w:before="264" w:line="219" w:lineRule="auto"/>
              <w:rPr>
                <w:sz w:val="12"/>
                <w:szCs w:val="12"/>
              </w:rPr>
            </w:pPr>
            <w:r>
              <w:rPr>
                <w:sz w:val="12"/>
                <w:szCs w:val="12"/>
                <w:spacing w:val="1"/>
              </w:rPr>
              <w:t>国光毒箭</w:t>
            </w:r>
          </w:p>
        </w:tc>
        <w:tc>
          <w:tcPr>
            <w:tcW w:w="1619" w:type="dxa"/>
            <w:vAlign w:val="top"/>
            <w:tcBorders>
              <w:bottom w:val="single" w:color="000000" w:sz="2" w:space="0"/>
              <w:top w:val="single" w:color="000000" w:sz="2" w:space="0"/>
            </w:tcBorders>
          </w:tcPr>
          <w:p>
            <w:pPr>
              <w:pStyle w:val="TableText"/>
              <w:ind w:left="354"/>
              <w:spacing w:before="264" w:line="219" w:lineRule="auto"/>
              <w:rPr>
                <w:sz w:val="12"/>
                <w:szCs w:val="12"/>
              </w:rPr>
            </w:pPr>
            <w:r>
              <w:rPr>
                <w:sz w:val="12"/>
                <w:szCs w:val="12"/>
                <w:spacing w:val="-1"/>
              </w:rPr>
              <w:t>205厘戊菊酯乳油</w:t>
            </w:r>
          </w:p>
        </w:tc>
        <w:tc>
          <w:tcPr>
            <w:tcW w:w="1339" w:type="dxa"/>
            <w:vAlign w:val="top"/>
            <w:tcBorders>
              <w:bottom w:val="single" w:color="000000" w:sz="2" w:space="0"/>
              <w:top w:val="single" w:color="000000" w:sz="2" w:space="0"/>
            </w:tcBorders>
          </w:tcPr>
          <w:p>
            <w:pPr>
              <w:pStyle w:val="TableText"/>
              <w:ind w:left="155"/>
              <w:spacing w:before="264" w:line="219" w:lineRule="auto"/>
              <w:rPr>
                <w:sz w:val="12"/>
                <w:szCs w:val="12"/>
              </w:rPr>
            </w:pPr>
            <w:r>
              <w:rPr>
                <w:sz w:val="12"/>
                <w:szCs w:val="12"/>
                <w:spacing w:val="-1"/>
              </w:rPr>
              <w:t>稀释1000-1200倍液</w:t>
            </w:r>
          </w:p>
        </w:tc>
        <w:tc>
          <w:tcPr>
            <w:tcW w:w="1149" w:type="dxa"/>
            <w:vAlign w:val="top"/>
            <w:vMerge w:val="continue"/>
            <w:tcBorders>
              <w:bottom w:val="single" w:color="000000" w:sz="2" w:space="0"/>
              <w:top w:val="nil"/>
            </w:tcBorders>
          </w:tcPr>
          <w:p>
            <w:pPr>
              <w:rPr>
                <w:rFonts w:ascii="Arial"/>
                <w:sz w:val="21"/>
              </w:rPr>
            </w:pPr>
            <w:r/>
          </w:p>
        </w:tc>
        <w:tc>
          <w:tcPr>
            <w:tcW w:w="899" w:type="dxa"/>
            <w:vAlign w:val="top"/>
            <w:tcBorders>
              <w:bottom w:val="single" w:color="000000" w:sz="2" w:space="0"/>
              <w:top w:val="single" w:color="000000" w:sz="2" w:space="0"/>
            </w:tcBorders>
          </w:tcPr>
          <w:p>
            <w:pPr>
              <w:pStyle w:val="TableText"/>
              <w:ind w:left="147"/>
              <w:spacing w:before="265" w:line="221" w:lineRule="auto"/>
              <w:rPr>
                <w:sz w:val="12"/>
                <w:szCs w:val="12"/>
              </w:rPr>
            </w:pPr>
            <w:r>
              <w:rPr>
                <w:sz w:val="12"/>
                <w:szCs w:val="12"/>
                <w:spacing w:val="2"/>
              </w:rPr>
              <w:t>(200m1/瓶)</w:t>
            </w:r>
          </w:p>
        </w:tc>
        <w:tc>
          <w:tcPr>
            <w:tcW w:w="2843" w:type="dxa"/>
            <w:vAlign w:val="top"/>
            <w:tcBorders>
              <w:bottom w:val="single" w:color="000000" w:sz="2" w:space="0"/>
              <w:top w:val="single" w:color="000000" w:sz="2" w:space="0"/>
            </w:tcBorders>
          </w:tcPr>
          <w:p>
            <w:pPr>
              <w:pStyle w:val="TableText"/>
              <w:ind w:left="18"/>
              <w:spacing w:before="264" w:line="218" w:lineRule="auto"/>
              <w:rPr>
                <w:sz w:val="12"/>
                <w:szCs w:val="12"/>
              </w:rPr>
            </w:pPr>
            <w:r>
              <w:rPr>
                <w:sz w:val="12"/>
                <w:szCs w:val="12"/>
                <w:spacing w:val="-1"/>
              </w:rPr>
              <w:t>高效广谱，长效杀虫剂。杀食叶性害虫特效</w:t>
            </w:r>
          </w:p>
        </w:tc>
      </w:tr>
    </w:tbl>
    <w:p>
      <w:pPr>
        <w:spacing w:line="14" w:lineRule="auto"/>
        <w:rPr>
          <w:rFonts w:ascii="Arial"/>
          <w:sz w:val="2"/>
        </w:rPr>
      </w:pPr>
      <w:r/>
    </w:p>
    <w:p>
      <w:pPr>
        <w:spacing w:line="14" w:lineRule="auto"/>
        <w:sectPr>
          <w:pgSz w:w="14490" w:h="10240"/>
          <w:pgMar w:top="125" w:right="324" w:bottom="224" w:left="264" w:header="0" w:footer="0" w:gutter="0"/>
        </w:sectPr>
        <w:rPr>
          <w:rFonts w:ascii="Arial" w:hAnsi="Arial" w:eastAsia="Arial" w:cs="Arial"/>
          <w:sz w:val="2"/>
          <w:szCs w:val="2"/>
        </w:rPr>
      </w:pPr>
    </w:p>
    <w:tbl>
      <w:tblPr>
        <w:tblStyle w:val="TableNormal"/>
        <w:tblW w:w="138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5"/>
        <w:gridCol w:w="810"/>
        <w:gridCol w:w="889"/>
        <w:gridCol w:w="2538"/>
        <w:gridCol w:w="1419"/>
        <w:gridCol w:w="1619"/>
        <w:gridCol w:w="1329"/>
        <w:gridCol w:w="1149"/>
        <w:gridCol w:w="909"/>
        <w:gridCol w:w="2843"/>
      </w:tblGrid>
      <w:tr>
        <w:trPr>
          <w:trHeight w:val="499" w:hRule="atLeast"/>
        </w:trPr>
        <w:tc>
          <w:tcPr>
            <w:tcW w:w="385" w:type="dxa"/>
            <w:vAlign w:val="top"/>
            <w:tcBorders>
              <w:bottom w:val="single" w:color="000000" w:sz="2" w:space="0"/>
              <w:top w:val="single" w:color="000000" w:sz="2" w:space="0"/>
            </w:tcBorders>
          </w:tcPr>
          <w:p>
            <w:pPr>
              <w:pStyle w:val="TableText"/>
              <w:ind w:left="66"/>
              <w:spacing w:before="192" w:line="219" w:lineRule="auto"/>
              <w:rPr>
                <w:sz w:val="12"/>
                <w:szCs w:val="12"/>
              </w:rPr>
            </w:pPr>
            <w:r>
              <w:rPr>
                <w:sz w:val="12"/>
                <w:szCs w:val="12"/>
                <w:b/>
                <w:bCs/>
                <w:spacing w:val="-3"/>
              </w:rPr>
              <w:t>分类</w:t>
            </w:r>
          </w:p>
        </w:tc>
        <w:tc>
          <w:tcPr>
            <w:tcW w:w="810" w:type="dxa"/>
            <w:vAlign w:val="top"/>
            <w:tcBorders>
              <w:bottom w:val="single" w:color="000000" w:sz="2" w:space="0"/>
              <w:top w:val="single" w:color="000000" w:sz="2" w:space="0"/>
            </w:tcBorders>
          </w:tcPr>
          <w:p>
            <w:pPr>
              <w:pStyle w:val="TableText"/>
              <w:ind w:left="31"/>
              <w:spacing w:before="112" w:line="216" w:lineRule="auto"/>
              <w:rPr>
                <w:sz w:val="12"/>
                <w:szCs w:val="12"/>
              </w:rPr>
            </w:pPr>
            <w:r>
              <w:rPr>
                <w:sz w:val="12"/>
                <w:szCs w:val="12"/>
                <w:b/>
                <w:bCs/>
                <w:spacing w:val="-3"/>
              </w:rPr>
              <w:t>消杀预防及病</w:t>
            </w:r>
          </w:p>
          <w:p>
            <w:pPr>
              <w:pStyle w:val="TableText"/>
              <w:ind w:left="151"/>
              <w:spacing w:line="219" w:lineRule="auto"/>
              <w:rPr>
                <w:sz w:val="12"/>
                <w:szCs w:val="12"/>
              </w:rPr>
            </w:pPr>
            <w:r>
              <w:rPr>
                <w:sz w:val="12"/>
                <w:szCs w:val="12"/>
                <w:b/>
                <w:bCs/>
                <w:spacing w:val="-3"/>
              </w:rPr>
              <w:t>虫害分英</w:t>
            </w:r>
          </w:p>
        </w:tc>
        <w:tc>
          <w:tcPr>
            <w:tcW w:w="889" w:type="dxa"/>
            <w:vAlign w:val="top"/>
            <w:tcBorders>
              <w:bottom w:val="single" w:color="000000" w:sz="2" w:space="0"/>
              <w:top w:val="single" w:color="000000" w:sz="2" w:space="0"/>
            </w:tcBorders>
          </w:tcPr>
          <w:p>
            <w:pPr>
              <w:pStyle w:val="TableText"/>
              <w:ind w:left="131"/>
              <w:spacing w:before="192" w:line="219" w:lineRule="auto"/>
              <w:rPr>
                <w:sz w:val="12"/>
                <w:szCs w:val="12"/>
              </w:rPr>
            </w:pPr>
            <w:r>
              <w:rPr>
                <w:sz w:val="12"/>
                <w:szCs w:val="12"/>
                <w:b/>
                <w:bCs/>
                <w:spacing w:val="-3"/>
              </w:rPr>
              <w:t>常见病虫害</w:t>
            </w:r>
          </w:p>
        </w:tc>
        <w:tc>
          <w:tcPr>
            <w:tcW w:w="2538" w:type="dxa"/>
            <w:vAlign w:val="top"/>
            <w:tcBorders>
              <w:bottom w:val="single" w:color="000000" w:sz="2" w:space="0"/>
              <w:top w:val="single" w:color="000000" w:sz="2" w:space="0"/>
            </w:tcBorders>
          </w:tcPr>
          <w:p>
            <w:pPr>
              <w:pStyle w:val="TableText"/>
              <w:ind w:left="942"/>
              <w:spacing w:before="192" w:line="219" w:lineRule="auto"/>
              <w:rPr>
                <w:sz w:val="12"/>
                <w:szCs w:val="12"/>
              </w:rPr>
            </w:pPr>
            <w:r>
              <w:rPr>
                <w:sz w:val="12"/>
                <w:szCs w:val="12"/>
                <w:b/>
                <w:bCs/>
                <w:spacing w:val="-3"/>
              </w:rPr>
              <w:t>主要发病月份</w:t>
            </w:r>
          </w:p>
        </w:tc>
        <w:tc>
          <w:tcPr>
            <w:tcW w:w="1419" w:type="dxa"/>
            <w:vAlign w:val="top"/>
            <w:tcBorders>
              <w:bottom w:val="single" w:color="000000" w:sz="2" w:space="0"/>
              <w:top w:val="single" w:color="000000" w:sz="2" w:space="0"/>
            </w:tcBorders>
          </w:tcPr>
          <w:p>
            <w:pPr>
              <w:pStyle w:val="TableText"/>
              <w:ind w:left="464"/>
              <w:spacing w:before="193" w:line="220" w:lineRule="auto"/>
              <w:rPr>
                <w:sz w:val="12"/>
                <w:szCs w:val="12"/>
              </w:rPr>
            </w:pPr>
            <w:r>
              <w:rPr>
                <w:sz w:val="12"/>
                <w:szCs w:val="12"/>
                <w:b/>
                <w:bCs/>
                <w:spacing w:val="-3"/>
              </w:rPr>
              <w:t>药晶名称</w:t>
            </w:r>
          </w:p>
        </w:tc>
        <w:tc>
          <w:tcPr>
            <w:tcW w:w="1619" w:type="dxa"/>
            <w:vAlign w:val="top"/>
            <w:tcBorders>
              <w:bottom w:val="single" w:color="000000" w:sz="2" w:space="0"/>
              <w:top w:val="single" w:color="000000" w:sz="2" w:space="0"/>
            </w:tcBorders>
          </w:tcPr>
          <w:p>
            <w:pPr>
              <w:pStyle w:val="TableText"/>
              <w:ind w:left="565"/>
              <w:spacing w:before="193" w:line="220" w:lineRule="auto"/>
              <w:rPr>
                <w:sz w:val="12"/>
                <w:szCs w:val="12"/>
              </w:rPr>
            </w:pPr>
            <w:r>
              <w:rPr>
                <w:sz w:val="12"/>
                <w:szCs w:val="12"/>
                <w:b/>
                <w:bCs/>
                <w:spacing w:val="-3"/>
              </w:rPr>
              <w:t>主要成分</w:t>
            </w:r>
          </w:p>
        </w:tc>
        <w:tc>
          <w:tcPr>
            <w:tcW w:w="1329" w:type="dxa"/>
            <w:vAlign w:val="top"/>
            <w:tcBorders>
              <w:bottom w:val="single" w:color="000000" w:sz="2" w:space="0"/>
              <w:top w:val="single" w:color="000000" w:sz="2" w:space="0"/>
            </w:tcBorders>
          </w:tcPr>
          <w:p>
            <w:pPr>
              <w:pStyle w:val="TableText"/>
              <w:ind w:left="416"/>
              <w:spacing w:before="192" w:line="219" w:lineRule="auto"/>
              <w:rPr>
                <w:sz w:val="12"/>
                <w:szCs w:val="12"/>
              </w:rPr>
            </w:pPr>
            <w:r>
              <w:rPr>
                <w:sz w:val="12"/>
                <w:szCs w:val="12"/>
                <w:b/>
                <w:bCs/>
                <w:spacing w:val="-3"/>
              </w:rPr>
              <w:t>使用倍率</w:t>
            </w:r>
          </w:p>
        </w:tc>
        <w:tc>
          <w:tcPr>
            <w:tcW w:w="1149" w:type="dxa"/>
            <w:vAlign w:val="top"/>
            <w:tcBorders>
              <w:bottom w:val="single" w:color="000000" w:sz="2" w:space="0"/>
              <w:top w:val="single" w:color="000000" w:sz="2" w:space="0"/>
            </w:tcBorders>
          </w:tcPr>
          <w:p>
            <w:pPr>
              <w:pStyle w:val="TableText"/>
              <w:ind w:left="327"/>
              <w:spacing w:before="192" w:line="219" w:lineRule="auto"/>
              <w:rPr>
                <w:sz w:val="12"/>
                <w:szCs w:val="12"/>
              </w:rPr>
            </w:pPr>
            <w:r>
              <w:rPr>
                <w:sz w:val="12"/>
                <w:szCs w:val="12"/>
                <w:b/>
                <w:bCs/>
                <w:spacing w:val="-3"/>
              </w:rPr>
              <w:t>施用次数</w:t>
            </w:r>
          </w:p>
        </w:tc>
        <w:tc>
          <w:tcPr>
            <w:tcW w:w="909" w:type="dxa"/>
            <w:vAlign w:val="top"/>
            <w:tcBorders>
              <w:bottom w:val="single" w:color="000000" w:sz="2" w:space="0"/>
              <w:top w:val="single" w:color="000000" w:sz="2" w:space="0"/>
            </w:tcBorders>
          </w:tcPr>
          <w:p>
            <w:pPr>
              <w:pStyle w:val="TableText"/>
              <w:ind w:left="328"/>
              <w:spacing w:before="192" w:line="219" w:lineRule="auto"/>
              <w:rPr>
                <w:sz w:val="12"/>
                <w:szCs w:val="12"/>
              </w:rPr>
            </w:pPr>
            <w:r>
              <w:rPr>
                <w:sz w:val="12"/>
                <w:szCs w:val="12"/>
                <w:b/>
                <w:bCs/>
                <w:spacing w:val="-3"/>
              </w:rPr>
              <w:t>规格</w:t>
            </w:r>
          </w:p>
        </w:tc>
        <w:tc>
          <w:tcPr>
            <w:tcW w:w="2843" w:type="dxa"/>
            <w:vAlign w:val="top"/>
            <w:tcBorders>
              <w:bottom w:val="single" w:color="000000" w:sz="2" w:space="0"/>
              <w:top w:val="single" w:color="000000" w:sz="2" w:space="0"/>
            </w:tcBorders>
          </w:tcPr>
          <w:p>
            <w:pPr>
              <w:pStyle w:val="TableText"/>
              <w:ind w:left="1299"/>
              <w:spacing w:before="193" w:line="221" w:lineRule="auto"/>
              <w:rPr>
                <w:sz w:val="12"/>
                <w:szCs w:val="12"/>
              </w:rPr>
            </w:pPr>
            <w:r>
              <w:rPr>
                <w:sz w:val="12"/>
                <w:szCs w:val="12"/>
                <w:b/>
                <w:bCs/>
                <w:spacing w:val="-3"/>
              </w:rPr>
              <w:t>备注</w:t>
            </w:r>
          </w:p>
        </w:tc>
      </w:tr>
      <w:tr>
        <w:trPr>
          <w:trHeight w:val="364" w:hRule="atLeast"/>
        </w:trPr>
        <w:tc>
          <w:tcPr>
            <w:tcW w:w="385" w:type="dxa"/>
            <w:vAlign w:val="top"/>
            <w:vMerge w:val="restart"/>
            <w:tcBorders>
              <w:bottom w:val="nil"/>
              <w:top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4"/>
              <w:spacing w:before="39" w:line="218" w:lineRule="auto"/>
              <w:rPr>
                <w:sz w:val="12"/>
                <w:szCs w:val="12"/>
              </w:rPr>
            </w:pPr>
            <w:r>
              <w:rPr>
                <w:sz w:val="12"/>
                <w:szCs w:val="12"/>
                <w:spacing w:val="-2"/>
              </w:rPr>
              <w:t>杀虫剂</w:t>
            </w:r>
          </w:p>
        </w:tc>
        <w:tc>
          <w:tcPr>
            <w:tcW w:w="810" w:type="dxa"/>
            <w:vAlign w:val="top"/>
            <w:vMerge w:val="restart"/>
            <w:tcBorders>
              <w:bottom w:val="nil"/>
              <w:top w:val="single" w:color="000000" w:sz="2" w:space="0"/>
            </w:tcBorders>
          </w:tcPr>
          <w:p>
            <w:pPr>
              <w:spacing w:line="318" w:lineRule="auto"/>
              <w:rPr>
                <w:rFonts w:ascii="Arial"/>
                <w:sz w:val="21"/>
              </w:rPr>
            </w:pPr>
            <w:r/>
          </w:p>
          <w:p>
            <w:pPr>
              <w:spacing w:line="318" w:lineRule="auto"/>
              <w:rPr>
                <w:rFonts w:ascii="Arial"/>
                <w:sz w:val="21"/>
              </w:rPr>
            </w:pPr>
            <w:r/>
          </w:p>
          <w:p>
            <w:pPr>
              <w:pStyle w:val="TableText"/>
              <w:ind w:left="150"/>
              <w:spacing w:before="39" w:line="219" w:lineRule="auto"/>
              <w:rPr>
                <w:sz w:val="12"/>
                <w:szCs w:val="12"/>
              </w:rPr>
            </w:pPr>
            <w:r>
              <w:rPr>
                <w:sz w:val="12"/>
                <w:szCs w:val="12"/>
                <w:spacing w:val="-1"/>
              </w:rPr>
              <w:t>刺吸害虫</w:t>
            </w:r>
          </w:p>
        </w:tc>
        <w:tc>
          <w:tcPr>
            <w:tcW w:w="889" w:type="dxa"/>
            <w:vAlign w:val="top"/>
            <w:vMerge w:val="restart"/>
            <w:tcBorders>
              <w:bottom w:val="nil"/>
              <w:top w:val="single" w:color="000000" w:sz="2" w:space="0"/>
            </w:tcBorders>
          </w:tcPr>
          <w:p>
            <w:pPr>
              <w:spacing w:line="288" w:lineRule="auto"/>
              <w:rPr>
                <w:rFonts w:ascii="Arial"/>
                <w:sz w:val="21"/>
              </w:rPr>
            </w:pPr>
            <w:r/>
          </w:p>
          <w:p>
            <w:pPr>
              <w:spacing w:line="289" w:lineRule="auto"/>
              <w:rPr>
                <w:rFonts w:ascii="Arial"/>
                <w:sz w:val="21"/>
              </w:rPr>
            </w:pPr>
            <w:r/>
          </w:p>
          <w:p>
            <w:pPr>
              <w:pStyle w:val="TableText"/>
              <w:ind w:left="70" w:right="4" w:firstLine="9"/>
              <w:spacing w:before="39" w:line="209" w:lineRule="auto"/>
              <w:rPr>
                <w:sz w:val="12"/>
                <w:szCs w:val="12"/>
              </w:rPr>
            </w:pPr>
            <w:r>
              <w:rPr>
                <w:sz w:val="12"/>
                <w:szCs w:val="12"/>
                <w:spacing w:val="-7"/>
              </w:rPr>
              <w:t>龟腊妹，红错娇</w:t>
            </w:r>
            <w:r>
              <w:rPr>
                <w:sz w:val="12"/>
                <w:szCs w:val="12"/>
                <w:spacing w:val="2"/>
              </w:rPr>
              <w:t xml:space="preserve"> </w:t>
            </w:r>
            <w:r>
              <w:rPr>
                <w:sz w:val="12"/>
                <w:szCs w:val="12"/>
                <w:spacing w:val="-3"/>
              </w:rPr>
              <w:t>、粉蚧，鳞蚧</w:t>
            </w:r>
          </w:p>
        </w:tc>
        <w:tc>
          <w:tcPr>
            <w:tcW w:w="2538" w:type="dxa"/>
            <w:vAlign w:val="top"/>
            <w:vMerge w:val="restart"/>
            <w:tcBorders>
              <w:bottom w:val="nil"/>
              <w:top w:val="single" w:color="000000" w:sz="2" w:space="0"/>
            </w:tcBorders>
          </w:tcPr>
          <w:p>
            <w:pPr>
              <w:spacing w:line="438" w:lineRule="auto"/>
              <w:rPr>
                <w:rFonts w:ascii="Arial"/>
                <w:sz w:val="21"/>
              </w:rPr>
            </w:pPr>
            <w:r/>
          </w:p>
          <w:p>
            <w:pPr>
              <w:pStyle w:val="TableText"/>
              <w:ind w:left="1" w:firstLine="19"/>
              <w:spacing w:before="39" w:line="207" w:lineRule="auto"/>
              <w:rPr>
                <w:sz w:val="12"/>
                <w:szCs w:val="12"/>
              </w:rPr>
            </w:pPr>
            <w:r>
              <w:rPr>
                <w:sz w:val="12"/>
                <w:szCs w:val="12"/>
                <w:spacing w:val="-4"/>
              </w:rPr>
              <w:t>一、4.9月已经有成虫出现，配合春季消杀。预防</w:t>
            </w:r>
            <w:r>
              <w:rPr>
                <w:sz w:val="12"/>
                <w:szCs w:val="12"/>
                <w:spacing w:val="17"/>
              </w:rPr>
              <w:t xml:space="preserve"> </w:t>
            </w:r>
            <w:r>
              <w:rPr>
                <w:sz w:val="12"/>
                <w:szCs w:val="12"/>
                <w:spacing w:val="-1"/>
              </w:rPr>
              <w:t>为主。</w:t>
            </w:r>
          </w:p>
          <w:p>
            <w:pPr>
              <w:pStyle w:val="TableText"/>
              <w:ind w:left="11" w:right="2" w:firstLine="9"/>
              <w:spacing w:line="210" w:lineRule="auto"/>
              <w:rPr>
                <w:sz w:val="12"/>
                <w:szCs w:val="12"/>
              </w:rPr>
            </w:pPr>
            <w:r>
              <w:rPr>
                <w:sz w:val="12"/>
                <w:szCs w:val="12"/>
                <w:spacing w:val="-6"/>
              </w:rPr>
              <w:t>二，5-10月为均有零星出现，有发现病情，及时喷</w:t>
            </w:r>
            <w:r>
              <w:rPr>
                <w:sz w:val="12"/>
                <w:szCs w:val="12"/>
                <w:spacing w:val="7"/>
              </w:rPr>
              <w:t xml:space="preserve"> </w:t>
            </w:r>
            <w:r>
              <w:rPr>
                <w:sz w:val="12"/>
                <w:szCs w:val="12"/>
              </w:rPr>
              <w:t>药处理。</w:t>
            </w:r>
          </w:p>
        </w:tc>
        <w:tc>
          <w:tcPr>
            <w:tcW w:w="1419" w:type="dxa"/>
            <w:vAlign w:val="top"/>
            <w:tcBorders>
              <w:bottom w:val="single" w:color="000000" w:sz="2" w:space="0"/>
              <w:top w:val="single" w:color="000000" w:sz="2" w:space="0"/>
            </w:tcBorders>
          </w:tcPr>
          <w:p>
            <w:pPr>
              <w:pStyle w:val="TableText"/>
              <w:ind w:left="583"/>
              <w:spacing w:before="120" w:line="219" w:lineRule="auto"/>
              <w:rPr>
                <w:sz w:val="12"/>
                <w:szCs w:val="12"/>
              </w:rPr>
            </w:pPr>
            <w:r>
              <w:rPr>
                <w:sz w:val="12"/>
                <w:szCs w:val="12"/>
                <w:spacing w:val="-2"/>
              </w:rPr>
              <w:t>狂杀</w:t>
            </w:r>
          </w:p>
        </w:tc>
        <w:tc>
          <w:tcPr>
            <w:tcW w:w="1619" w:type="dxa"/>
            <w:vAlign w:val="top"/>
            <w:tcBorders>
              <w:bottom w:val="single" w:color="000000" w:sz="2" w:space="0"/>
              <w:top w:val="single" w:color="000000" w:sz="2" w:space="0"/>
            </w:tcBorders>
          </w:tcPr>
          <w:p>
            <w:pPr>
              <w:pStyle w:val="TableText"/>
              <w:ind w:left="324"/>
              <w:spacing w:before="120" w:line="219" w:lineRule="auto"/>
              <w:rPr>
                <w:sz w:val="12"/>
                <w:szCs w:val="12"/>
              </w:rPr>
            </w:pPr>
            <w:r>
              <w:rPr>
                <w:sz w:val="12"/>
                <w:szCs w:val="12"/>
                <w:spacing w:val="-1"/>
              </w:rPr>
              <w:t>40%毒死婢+新硫酸</w:t>
            </w:r>
          </w:p>
        </w:tc>
        <w:tc>
          <w:tcPr>
            <w:tcW w:w="1329" w:type="dxa"/>
            <w:vAlign w:val="top"/>
            <w:tcBorders>
              <w:bottom w:val="single" w:color="000000" w:sz="2" w:space="0"/>
              <w:top w:val="single" w:color="000000" w:sz="2" w:space="0"/>
            </w:tcBorders>
          </w:tcPr>
          <w:p>
            <w:pPr>
              <w:pStyle w:val="TableText"/>
              <w:ind w:left="235"/>
              <w:spacing w:before="120" w:line="219" w:lineRule="auto"/>
              <w:rPr>
                <w:sz w:val="12"/>
                <w:szCs w:val="12"/>
              </w:rPr>
            </w:pPr>
            <w:r>
              <w:rPr>
                <w:sz w:val="12"/>
                <w:szCs w:val="12"/>
                <w:spacing w:val="-1"/>
              </w:rPr>
              <w:t>郝释1500-2500倍液</w:t>
            </w:r>
          </w:p>
        </w:tc>
        <w:tc>
          <w:tcPr>
            <w:tcW w:w="1149" w:type="dxa"/>
            <w:vAlign w:val="top"/>
            <w:vMerge w:val="restart"/>
            <w:tcBorders>
              <w:bottom w:val="nil"/>
              <w:top w:val="single" w:color="000000" w:sz="2" w:space="0"/>
            </w:tcBorders>
          </w:tcPr>
          <w:p>
            <w:pPr>
              <w:spacing w:line="243" w:lineRule="auto"/>
              <w:rPr>
                <w:rFonts w:ascii="Arial"/>
                <w:sz w:val="21"/>
              </w:rPr>
            </w:pPr>
            <w:r/>
          </w:p>
          <w:p>
            <w:pPr>
              <w:spacing w:line="244" w:lineRule="auto"/>
              <w:rPr>
                <w:rFonts w:ascii="Arial"/>
                <w:sz w:val="21"/>
              </w:rPr>
            </w:pPr>
            <w:r/>
          </w:p>
          <w:p>
            <w:pPr>
              <w:pStyle w:val="TableText"/>
              <w:spacing w:before="39" w:line="219" w:lineRule="auto"/>
              <w:jc w:val="right"/>
              <w:rPr>
                <w:sz w:val="12"/>
                <w:szCs w:val="12"/>
              </w:rPr>
            </w:pPr>
            <w:r>
              <w:rPr>
                <w:sz w:val="12"/>
                <w:szCs w:val="12"/>
                <w:spacing w:val="-2"/>
              </w:rPr>
              <w:t>一般用3次，时间间隔</w:t>
            </w:r>
          </w:p>
          <w:p>
            <w:pPr>
              <w:pStyle w:val="TableText"/>
              <w:spacing w:before="18" w:line="214" w:lineRule="auto"/>
              <w:jc w:val="right"/>
              <w:rPr>
                <w:sz w:val="12"/>
                <w:szCs w:val="12"/>
              </w:rPr>
            </w:pPr>
            <w:r>
              <w:rPr>
                <w:sz w:val="12"/>
                <w:szCs w:val="12"/>
                <w:spacing w:val="-9"/>
              </w:rPr>
              <w:t>到1</w:t>
            </w:r>
            <w:r>
              <w:rPr>
                <w:sz w:val="12"/>
                <w:szCs w:val="12"/>
                <w:spacing w:val="-8"/>
              </w:rPr>
              <w:t>0天，视现场情况</w:t>
            </w:r>
            <w:r>
              <w:rPr>
                <w:sz w:val="12"/>
                <w:szCs w:val="12"/>
                <w:spacing w:val="-6"/>
              </w:rPr>
              <w:t>可</w:t>
            </w:r>
          </w:p>
          <w:p>
            <w:pPr>
              <w:pStyle w:val="TableText"/>
              <w:ind w:left="326"/>
              <w:spacing w:line="219" w:lineRule="auto"/>
              <w:rPr>
                <w:sz w:val="12"/>
                <w:szCs w:val="12"/>
              </w:rPr>
            </w:pPr>
            <w:r>
              <w:rPr>
                <w:sz w:val="12"/>
                <w:szCs w:val="12"/>
                <w:spacing w:val="-1"/>
              </w:rPr>
              <w:t>增加次数</w:t>
            </w:r>
          </w:p>
        </w:tc>
        <w:tc>
          <w:tcPr>
            <w:tcW w:w="909" w:type="dxa"/>
            <w:vAlign w:val="top"/>
            <w:tcBorders>
              <w:bottom w:val="single" w:color="000000" w:sz="2" w:space="0"/>
              <w:top w:val="single" w:color="000000" w:sz="2" w:space="0"/>
            </w:tcBorders>
          </w:tcPr>
          <w:p>
            <w:pPr>
              <w:pStyle w:val="TableText"/>
              <w:ind w:left="147"/>
              <w:spacing w:before="120" w:line="221" w:lineRule="auto"/>
              <w:rPr>
                <w:sz w:val="12"/>
                <w:szCs w:val="12"/>
              </w:rPr>
            </w:pPr>
            <w:r>
              <w:rPr>
                <w:sz w:val="12"/>
                <w:szCs w:val="12"/>
                <w:spacing w:val="3"/>
              </w:rPr>
              <w:t>(200</w:t>
            </w:r>
            <w:r>
              <w:rPr>
                <w:sz w:val="12"/>
                <w:szCs w:val="12"/>
              </w:rPr>
              <w:t>ml</w:t>
            </w:r>
            <w:r>
              <w:rPr>
                <w:sz w:val="12"/>
                <w:szCs w:val="12"/>
                <w:spacing w:val="3"/>
              </w:rPr>
              <w:t>/瓶)</w:t>
            </w:r>
          </w:p>
        </w:tc>
        <w:tc>
          <w:tcPr>
            <w:tcW w:w="2843" w:type="dxa"/>
            <w:vAlign w:val="top"/>
            <w:tcBorders>
              <w:bottom w:val="single" w:color="000000" w:sz="2" w:space="0"/>
              <w:top w:val="single" w:color="000000" w:sz="2" w:space="0"/>
            </w:tcBorders>
          </w:tcPr>
          <w:p>
            <w:pPr>
              <w:pStyle w:val="TableText"/>
              <w:ind w:left="18"/>
              <w:spacing w:before="119" w:line="218" w:lineRule="auto"/>
              <w:rPr>
                <w:sz w:val="12"/>
                <w:szCs w:val="12"/>
              </w:rPr>
            </w:pPr>
            <w:r>
              <w:rPr>
                <w:sz w:val="12"/>
                <w:szCs w:val="12"/>
              </w:rPr>
              <w:t>胃毒和触杀杀虫剂</w:t>
            </w:r>
          </w:p>
        </w:tc>
      </w:tr>
      <w:tr>
        <w:trPr>
          <w:trHeight w:val="34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523"/>
              <w:spacing w:before="110" w:line="219" w:lineRule="auto"/>
              <w:rPr>
                <w:sz w:val="12"/>
                <w:szCs w:val="12"/>
              </w:rPr>
            </w:pPr>
            <w:r>
              <w:rPr>
                <w:sz w:val="12"/>
                <w:szCs w:val="12"/>
                <w:spacing w:val="1"/>
              </w:rPr>
              <w:t>甲胶磷</w:t>
            </w:r>
          </w:p>
        </w:tc>
        <w:tc>
          <w:tcPr>
            <w:tcW w:w="1619" w:type="dxa"/>
            <w:vAlign w:val="top"/>
            <w:tcBorders>
              <w:bottom w:val="single" w:color="000000" w:sz="2" w:space="0"/>
              <w:top w:val="single" w:color="000000" w:sz="2" w:space="0"/>
            </w:tcBorders>
          </w:tcPr>
          <w:p>
            <w:pPr>
              <w:pStyle w:val="TableText"/>
              <w:ind w:left="534"/>
              <w:spacing w:before="110" w:line="219" w:lineRule="auto"/>
              <w:rPr>
                <w:sz w:val="12"/>
                <w:szCs w:val="12"/>
              </w:rPr>
            </w:pPr>
            <w:r>
              <w:rPr>
                <w:sz w:val="12"/>
                <w:szCs w:val="12"/>
                <w:spacing w:val="-1"/>
              </w:rPr>
              <w:t>70%甲腋磷</w:t>
            </w:r>
          </w:p>
        </w:tc>
        <w:tc>
          <w:tcPr>
            <w:tcW w:w="1329" w:type="dxa"/>
            <w:vAlign w:val="top"/>
            <w:tcBorders>
              <w:bottom w:val="single" w:color="000000" w:sz="2" w:space="0"/>
              <w:top w:val="single" w:color="000000" w:sz="2" w:space="0"/>
            </w:tcBorders>
          </w:tcPr>
          <w:p>
            <w:pPr>
              <w:pStyle w:val="TableText"/>
              <w:ind w:left="145"/>
              <w:spacing w:before="110" w:line="219" w:lineRule="auto"/>
              <w:rPr>
                <w:sz w:val="12"/>
                <w:szCs w:val="12"/>
              </w:rPr>
            </w:pPr>
            <w:r>
              <w:rPr>
                <w:sz w:val="12"/>
                <w:szCs w:val="12"/>
                <w:spacing w:val="-1"/>
              </w:rPr>
              <w:t>稀释1000-3000倍液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57"/>
              <w:spacing w:before="60" w:line="216" w:lineRule="auto"/>
              <w:rPr>
                <w:sz w:val="12"/>
                <w:szCs w:val="12"/>
              </w:rPr>
            </w:pPr>
            <w:r>
              <w:rPr>
                <w:sz w:val="12"/>
                <w:szCs w:val="12"/>
                <w:spacing w:val="-1"/>
              </w:rPr>
              <w:t>350克/瓶20瓶/</w:t>
            </w:r>
          </w:p>
          <w:p>
            <w:pPr>
              <w:pStyle w:val="TableText"/>
              <w:ind w:left="387"/>
              <w:spacing w:line="204" w:lineRule="auto"/>
              <w:rPr>
                <w:sz w:val="12"/>
                <w:szCs w:val="12"/>
              </w:rPr>
            </w:pPr>
            <w:r>
              <w:rPr>
                <w:sz w:val="12"/>
                <w:szCs w:val="12"/>
              </w:rPr>
              <w:t>箱</w:t>
            </w:r>
          </w:p>
        </w:tc>
        <w:tc>
          <w:tcPr>
            <w:tcW w:w="2843" w:type="dxa"/>
            <w:vAlign w:val="top"/>
            <w:tcBorders>
              <w:bottom w:val="single" w:color="000000" w:sz="2" w:space="0"/>
              <w:top w:val="single" w:color="000000" w:sz="2" w:space="0"/>
            </w:tcBorders>
          </w:tcPr>
          <w:p>
            <w:pPr>
              <w:pStyle w:val="TableText"/>
              <w:ind w:left="18"/>
              <w:spacing w:before="40" w:line="210" w:lineRule="auto"/>
              <w:rPr>
                <w:sz w:val="12"/>
                <w:szCs w:val="12"/>
              </w:rPr>
            </w:pPr>
            <w:r>
              <w:rPr>
                <w:sz w:val="12"/>
                <w:szCs w:val="12"/>
                <w:spacing w:val="-3"/>
              </w:rPr>
              <w:t>广谱性杀虫剂，具有胃毒和触杀作用，防治咀咽式、刺</w:t>
            </w:r>
            <w:r>
              <w:rPr>
                <w:sz w:val="12"/>
                <w:szCs w:val="12"/>
                <w:spacing w:val="5"/>
              </w:rPr>
              <w:t xml:space="preserve"> </w:t>
            </w:r>
            <w:r>
              <w:rPr>
                <w:sz w:val="12"/>
                <w:szCs w:val="12"/>
                <w:spacing w:val="-1"/>
              </w:rPr>
              <w:t>吸式害虫。</w:t>
            </w:r>
          </w:p>
        </w:tc>
      </w:tr>
      <w:tr>
        <w:trPr>
          <w:trHeight w:val="34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523"/>
              <w:spacing w:before="111" w:line="220" w:lineRule="auto"/>
              <w:rPr>
                <w:sz w:val="12"/>
                <w:szCs w:val="12"/>
              </w:rPr>
            </w:pPr>
            <w:r>
              <w:rPr>
                <w:sz w:val="12"/>
                <w:szCs w:val="12"/>
                <w:spacing w:val="-2"/>
              </w:rPr>
              <w:t>农龄乐</w:t>
            </w:r>
          </w:p>
        </w:tc>
        <w:tc>
          <w:tcPr>
            <w:tcW w:w="1619" w:type="dxa"/>
            <w:vAlign w:val="top"/>
            <w:tcBorders>
              <w:bottom w:val="single" w:color="000000" w:sz="2" w:space="0"/>
              <w:top w:val="single" w:color="000000" w:sz="2" w:space="0"/>
            </w:tcBorders>
          </w:tcPr>
          <w:p>
            <w:pPr>
              <w:pStyle w:val="TableText"/>
              <w:ind w:left="234"/>
              <w:spacing w:before="111" w:line="219" w:lineRule="auto"/>
              <w:rPr>
                <w:sz w:val="12"/>
                <w:szCs w:val="12"/>
              </w:rPr>
            </w:pPr>
            <w:r>
              <w:rPr>
                <w:sz w:val="12"/>
                <w:szCs w:val="12"/>
                <w:spacing w:val="-1"/>
              </w:rPr>
              <w:t>30%喷虫眯毒死蟀乳油</w:t>
            </w:r>
          </w:p>
        </w:tc>
        <w:tc>
          <w:tcPr>
            <w:tcW w:w="1329" w:type="dxa"/>
            <w:vAlign w:val="top"/>
            <w:tcBorders>
              <w:bottom w:val="single" w:color="000000" w:sz="2" w:space="0"/>
              <w:top w:val="single" w:color="000000" w:sz="2" w:space="0"/>
            </w:tcBorders>
          </w:tcPr>
          <w:p>
            <w:pPr>
              <w:pStyle w:val="TableText"/>
              <w:ind w:left="355"/>
              <w:spacing w:before="111" w:line="220" w:lineRule="auto"/>
              <w:rPr>
                <w:sz w:val="12"/>
                <w:szCs w:val="12"/>
              </w:rPr>
            </w:pPr>
            <w:r>
              <w:rPr>
                <w:sz w:val="12"/>
                <w:szCs w:val="12"/>
                <w:spacing w:val="-1"/>
              </w:rPr>
              <w:t>800-1000倍</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356" w:right="65" w:hanging="269"/>
              <w:spacing w:before="47" w:line="213" w:lineRule="auto"/>
              <w:rPr>
                <w:sz w:val="12"/>
                <w:szCs w:val="12"/>
              </w:rPr>
            </w:pPr>
            <w:r>
              <w:rPr>
                <w:sz w:val="12"/>
                <w:szCs w:val="12"/>
                <w:spacing w:val="2"/>
              </w:rPr>
              <w:t>30B(250g/瓶)</w:t>
            </w:r>
            <w:r>
              <w:rPr>
                <w:sz w:val="12"/>
                <w:szCs w:val="12"/>
                <w:spacing w:val="3"/>
              </w:rPr>
              <w:t xml:space="preserve"> </w:t>
            </w:r>
            <w:r>
              <w:rPr>
                <w:sz w:val="12"/>
                <w:szCs w:val="12"/>
                <w:spacing w:val="-1"/>
              </w:rPr>
              <w:t>/箱</w:t>
            </w:r>
          </w:p>
        </w:tc>
        <w:tc>
          <w:tcPr>
            <w:tcW w:w="2843" w:type="dxa"/>
            <w:vAlign w:val="top"/>
            <w:tcBorders>
              <w:bottom w:val="single" w:color="000000" w:sz="2" w:space="0"/>
              <w:top w:val="single" w:color="000000" w:sz="2" w:space="0"/>
            </w:tcBorders>
          </w:tcPr>
          <w:p>
            <w:pPr>
              <w:pStyle w:val="TableText"/>
              <w:ind w:left="18"/>
              <w:spacing w:before="111" w:line="219" w:lineRule="auto"/>
              <w:rPr>
                <w:sz w:val="12"/>
                <w:szCs w:val="12"/>
              </w:rPr>
            </w:pPr>
            <w:r>
              <w:rPr>
                <w:sz w:val="12"/>
                <w:szCs w:val="12"/>
                <w:spacing w:val="-1"/>
              </w:rPr>
              <w:t>对矢尖龄特效</w:t>
            </w:r>
          </w:p>
        </w:tc>
      </w:tr>
      <w:tr>
        <w:trPr>
          <w:trHeight w:val="4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141" w:line="219" w:lineRule="auto"/>
              <w:rPr>
                <w:sz w:val="12"/>
                <w:szCs w:val="12"/>
              </w:rPr>
            </w:pPr>
            <w:r>
              <w:rPr>
                <w:sz w:val="12"/>
                <w:szCs w:val="12"/>
                <w:spacing w:val="2"/>
              </w:rPr>
              <w:t>国光龄必泊</w:t>
            </w:r>
          </w:p>
        </w:tc>
        <w:tc>
          <w:tcPr>
            <w:tcW w:w="1619" w:type="dxa"/>
            <w:vAlign w:val="top"/>
            <w:tcBorders>
              <w:bottom w:val="single" w:color="000000" w:sz="2" w:space="0"/>
              <w:top w:val="single" w:color="000000" w:sz="2" w:space="0"/>
            </w:tcBorders>
          </w:tcPr>
          <w:p>
            <w:pPr>
              <w:pStyle w:val="TableText"/>
              <w:ind w:left="234"/>
              <w:spacing w:before="141" w:line="219" w:lineRule="auto"/>
              <w:rPr>
                <w:sz w:val="12"/>
                <w:szCs w:val="12"/>
              </w:rPr>
            </w:pPr>
            <w:r>
              <w:rPr>
                <w:sz w:val="12"/>
                <w:szCs w:val="12"/>
                <w:spacing w:val="-1"/>
              </w:rPr>
              <w:t>400啶虫眯毒死蚌乳油</w:t>
            </w:r>
          </w:p>
        </w:tc>
        <w:tc>
          <w:tcPr>
            <w:tcW w:w="1329" w:type="dxa"/>
            <w:vAlign w:val="top"/>
            <w:tcBorders>
              <w:bottom w:val="single" w:color="000000" w:sz="2" w:space="0"/>
              <w:top w:val="single" w:color="000000" w:sz="2" w:space="0"/>
            </w:tcBorders>
          </w:tcPr>
          <w:p>
            <w:pPr>
              <w:pStyle w:val="TableText"/>
              <w:ind w:left="175"/>
              <w:spacing w:before="141" w:line="219" w:lineRule="auto"/>
              <w:rPr>
                <w:sz w:val="12"/>
                <w:szCs w:val="12"/>
              </w:rPr>
            </w:pPr>
            <w:r>
              <w:rPr>
                <w:sz w:val="12"/>
                <w:szCs w:val="12"/>
                <w:spacing w:val="-1"/>
              </w:rPr>
              <w:t>绑释600-1000倍液</w:t>
            </w:r>
          </w:p>
        </w:tc>
        <w:tc>
          <w:tcPr>
            <w:tcW w:w="1149" w:type="dxa"/>
            <w:vAlign w:val="top"/>
            <w:vMerge w:val="continue"/>
            <w:tcBorders>
              <w:bottom w:val="single" w:color="000000" w:sz="2" w:space="0"/>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77"/>
              <w:spacing w:before="138" w:line="213" w:lineRule="auto"/>
              <w:rPr>
                <w:sz w:val="12"/>
                <w:szCs w:val="12"/>
              </w:rPr>
            </w:pPr>
            <w:r>
              <w:rPr>
                <w:sz w:val="12"/>
                <w:szCs w:val="12"/>
                <w:spacing w:val="3"/>
              </w:rPr>
              <w:t>(200g/瓶)</w:t>
            </w:r>
          </w:p>
        </w:tc>
        <w:tc>
          <w:tcPr>
            <w:tcW w:w="2843" w:type="dxa"/>
            <w:vAlign w:val="top"/>
            <w:tcBorders>
              <w:bottom w:val="single" w:color="000000" w:sz="2" w:space="0"/>
              <w:top w:val="single" w:color="000000" w:sz="2" w:space="0"/>
            </w:tcBorders>
          </w:tcPr>
          <w:p>
            <w:pPr>
              <w:pStyle w:val="TableText"/>
              <w:ind w:left="18"/>
              <w:spacing w:before="141" w:line="218" w:lineRule="auto"/>
              <w:rPr>
                <w:sz w:val="12"/>
                <w:szCs w:val="12"/>
              </w:rPr>
            </w:pPr>
            <w:r>
              <w:rPr>
                <w:sz w:val="12"/>
                <w:szCs w:val="12"/>
                <w:spacing w:val="-1"/>
              </w:rPr>
              <w:t>专杀介壳虫，食叶类害虫，地下害虫</w:t>
            </w:r>
          </w:p>
        </w:tc>
      </w:tr>
      <w:tr>
        <w:trPr>
          <w:trHeight w:val="275" w:hRule="atLeast"/>
        </w:trPr>
        <w:tc>
          <w:tcPr>
            <w:tcW w:w="385" w:type="dxa"/>
            <w:vAlign w:val="top"/>
            <w:vMerge w:val="continue"/>
            <w:tcBorders>
              <w:bottom w:val="nil"/>
              <w:top w:val="nil"/>
            </w:tcBorders>
          </w:tcPr>
          <w:p>
            <w:pPr>
              <w:rPr>
                <w:rFonts w:ascii="Arial"/>
                <w:sz w:val="21"/>
              </w:rPr>
            </w:pPr>
            <w:r/>
          </w:p>
        </w:tc>
        <w:tc>
          <w:tcPr>
            <w:tcW w:w="810" w:type="dxa"/>
            <w:vAlign w:val="top"/>
            <w:vMerge w:val="restart"/>
            <w:tcBorders>
              <w:bottom w:val="nil"/>
              <w:top w:val="single" w:color="000000" w:sz="2" w:space="0"/>
            </w:tcBorders>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150"/>
              <w:spacing w:before="39" w:line="219" w:lineRule="auto"/>
              <w:rPr>
                <w:sz w:val="12"/>
                <w:szCs w:val="12"/>
              </w:rPr>
            </w:pPr>
            <w:r>
              <w:rPr>
                <w:sz w:val="12"/>
                <w:szCs w:val="12"/>
                <w:spacing w:val="-1"/>
              </w:rPr>
              <w:t>刺吸害虫</w:t>
            </w:r>
          </w:p>
        </w:tc>
        <w:tc>
          <w:tcPr>
            <w:tcW w:w="889" w:type="dxa"/>
            <w:vAlign w:val="top"/>
            <w:vMerge w:val="restart"/>
            <w:tcBorders>
              <w:bottom w:val="nil"/>
              <w:top w:val="single" w:color="000000" w:sz="2" w:space="0"/>
            </w:tcBorders>
          </w:tcPr>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10" w:firstLine="29"/>
              <w:spacing w:before="39" w:line="262" w:lineRule="auto"/>
              <w:rPr>
                <w:sz w:val="12"/>
                <w:szCs w:val="12"/>
              </w:rPr>
            </w:pPr>
            <w:r>
              <w:rPr>
                <w:sz w:val="12"/>
                <w:szCs w:val="12"/>
                <w:spacing w:val="-1"/>
              </w:rPr>
              <w:t>好虫，红蜘蛛，</w:t>
            </w:r>
            <w:r>
              <w:rPr>
                <w:sz w:val="12"/>
                <w:szCs w:val="12"/>
                <w:spacing w:val="4"/>
              </w:rPr>
              <w:t xml:space="preserve"> </w:t>
            </w:r>
            <w:r>
              <w:rPr>
                <w:sz w:val="12"/>
                <w:szCs w:val="12"/>
                <w:spacing w:val="-1"/>
              </w:rPr>
              <w:t>大青叶蝉，网蝽</w:t>
            </w:r>
          </w:p>
        </w:tc>
        <w:tc>
          <w:tcPr>
            <w:tcW w:w="2538" w:type="dxa"/>
            <w:vAlign w:val="top"/>
            <w:vMerge w:val="restart"/>
            <w:tcBorders>
              <w:bottom w:val="nil"/>
              <w:top w:val="single" w:color="000000" w:sz="2" w:space="0"/>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 w:right="7"/>
              <w:spacing w:before="39" w:line="207" w:lineRule="auto"/>
              <w:rPr>
                <w:sz w:val="12"/>
                <w:szCs w:val="12"/>
              </w:rPr>
            </w:pPr>
            <w:r>
              <w:rPr>
                <w:sz w:val="12"/>
                <w:szCs w:val="12"/>
                <w:spacing w:val="-3"/>
              </w:rPr>
              <w:t>一、5月预防清杀为主，在进入雨季、高发季前全</w:t>
            </w:r>
            <w:r>
              <w:rPr>
                <w:sz w:val="12"/>
                <w:szCs w:val="12"/>
                <w:spacing w:val="4"/>
              </w:rPr>
              <w:t xml:space="preserve"> </w:t>
            </w:r>
            <w:r>
              <w:rPr>
                <w:sz w:val="12"/>
                <w:szCs w:val="12"/>
                <w:spacing w:val="-1"/>
              </w:rPr>
              <w:t>园区消杀虫卵，蛹。</w:t>
            </w:r>
          </w:p>
          <w:p>
            <w:pPr>
              <w:pStyle w:val="TableText"/>
              <w:ind w:left="1" w:right="1"/>
              <w:spacing w:before="1" w:line="232" w:lineRule="auto"/>
              <w:rPr>
                <w:sz w:val="12"/>
                <w:szCs w:val="12"/>
              </w:rPr>
            </w:pPr>
            <w:r>
              <w:rPr>
                <w:sz w:val="12"/>
                <w:szCs w:val="12"/>
                <w:spacing w:val="-3"/>
              </w:rPr>
              <w:t>三、6月-9月是大部分害虫成蛹或羽化期，采取人</w:t>
            </w:r>
            <w:r>
              <w:rPr>
                <w:sz w:val="12"/>
                <w:szCs w:val="12"/>
                <w:spacing w:val="13"/>
              </w:rPr>
              <w:t xml:space="preserve"> </w:t>
            </w:r>
            <w:r>
              <w:rPr>
                <w:sz w:val="12"/>
                <w:szCs w:val="12"/>
                <w:spacing w:val="-1"/>
              </w:rPr>
              <w:t>工加药物双重治疗除卵，除师，除成虫。</w:t>
            </w:r>
          </w:p>
        </w:tc>
        <w:tc>
          <w:tcPr>
            <w:tcW w:w="1419" w:type="dxa"/>
            <w:vAlign w:val="top"/>
            <w:tcBorders>
              <w:bottom w:val="single" w:color="000000" w:sz="2" w:space="0"/>
              <w:top w:val="single" w:color="000000" w:sz="2" w:space="0"/>
            </w:tcBorders>
          </w:tcPr>
          <w:p>
            <w:pPr>
              <w:pStyle w:val="TableText"/>
              <w:ind w:left="463"/>
              <w:spacing w:before="82" w:line="219" w:lineRule="auto"/>
              <w:rPr>
                <w:sz w:val="12"/>
                <w:szCs w:val="12"/>
              </w:rPr>
            </w:pPr>
            <w:r>
              <w:rPr>
                <w:sz w:val="12"/>
                <w:szCs w:val="12"/>
                <w:spacing w:val="1"/>
              </w:rPr>
              <w:t>国光红杀</w:t>
            </w:r>
          </w:p>
        </w:tc>
        <w:tc>
          <w:tcPr>
            <w:tcW w:w="1619" w:type="dxa"/>
            <w:vAlign w:val="top"/>
            <w:tcBorders>
              <w:bottom w:val="single" w:color="000000" w:sz="2" w:space="0"/>
              <w:top w:val="single" w:color="000000" w:sz="2" w:space="0"/>
            </w:tcBorders>
          </w:tcPr>
          <w:p>
            <w:pPr>
              <w:pStyle w:val="TableText"/>
              <w:ind w:left="354"/>
              <w:spacing w:before="82" w:line="218" w:lineRule="auto"/>
              <w:rPr>
                <w:sz w:val="12"/>
                <w:szCs w:val="12"/>
              </w:rPr>
            </w:pPr>
            <w:r>
              <w:rPr>
                <w:sz w:val="12"/>
                <w:szCs w:val="12"/>
              </w:rPr>
              <w:t>10%苯丁锡哒端灵</w:t>
            </w:r>
          </w:p>
        </w:tc>
        <w:tc>
          <w:tcPr>
            <w:tcW w:w="1329" w:type="dxa"/>
            <w:vAlign w:val="top"/>
            <w:tcBorders>
              <w:bottom w:val="single" w:color="000000" w:sz="2" w:space="0"/>
              <w:top w:val="single" w:color="000000" w:sz="2" w:space="0"/>
            </w:tcBorders>
          </w:tcPr>
          <w:p>
            <w:pPr>
              <w:pStyle w:val="TableText"/>
              <w:ind w:left="145"/>
              <w:spacing w:before="82" w:line="219" w:lineRule="auto"/>
              <w:rPr>
                <w:sz w:val="12"/>
                <w:szCs w:val="12"/>
              </w:rPr>
            </w:pPr>
            <w:r>
              <w:rPr>
                <w:sz w:val="12"/>
                <w:szCs w:val="12"/>
                <w:spacing w:val="-1"/>
              </w:rPr>
              <w:t>稀释1500-2000倍液</w:t>
            </w:r>
          </w:p>
        </w:tc>
        <w:tc>
          <w:tcPr>
            <w:tcW w:w="1149" w:type="dxa"/>
            <w:vAlign w:val="top"/>
            <w:vMerge w:val="restart"/>
            <w:tcBorders>
              <w:bottom w:val="nil"/>
              <w:top w:val="single" w:color="000000" w:sz="2" w:space="0"/>
            </w:tcBorders>
          </w:tcPr>
          <w:p>
            <w:pPr>
              <w:spacing w:line="340" w:lineRule="auto"/>
              <w:rPr>
                <w:rFonts w:ascii="Arial"/>
                <w:sz w:val="21"/>
              </w:rPr>
            </w:pPr>
            <w:r/>
          </w:p>
          <w:p>
            <w:pPr>
              <w:pStyle w:val="TableText"/>
              <w:ind w:left="235"/>
              <w:spacing w:before="39" w:line="219" w:lineRule="auto"/>
              <w:rPr>
                <w:sz w:val="12"/>
                <w:szCs w:val="12"/>
              </w:rPr>
            </w:pPr>
            <w:r>
              <w:rPr>
                <w:sz w:val="12"/>
                <w:szCs w:val="12"/>
                <w:spacing w:val="-1"/>
              </w:rPr>
              <w:t>一般用1-2次</w:t>
            </w:r>
          </w:p>
        </w:tc>
        <w:tc>
          <w:tcPr>
            <w:tcW w:w="909" w:type="dxa"/>
            <w:vAlign w:val="top"/>
            <w:tcBorders>
              <w:bottom w:val="single" w:color="000000" w:sz="2" w:space="0"/>
              <w:top w:val="single" w:color="000000" w:sz="2" w:space="0"/>
            </w:tcBorders>
          </w:tcPr>
          <w:p>
            <w:pPr>
              <w:pStyle w:val="TableText"/>
              <w:ind w:left="147"/>
              <w:spacing w:before="83" w:line="221" w:lineRule="auto"/>
              <w:rPr>
                <w:sz w:val="12"/>
                <w:szCs w:val="12"/>
              </w:rPr>
            </w:pPr>
            <w:r>
              <w:rPr>
                <w:sz w:val="12"/>
                <w:szCs w:val="12"/>
                <w:spacing w:val="3"/>
              </w:rPr>
              <w:t>(200</w:t>
            </w:r>
            <w:r>
              <w:rPr>
                <w:sz w:val="12"/>
                <w:szCs w:val="12"/>
              </w:rPr>
              <w:t>ml</w:t>
            </w:r>
            <w:r>
              <w:rPr>
                <w:sz w:val="12"/>
                <w:szCs w:val="12"/>
                <w:spacing w:val="3"/>
              </w:rPr>
              <w:t>/瓶)</w:t>
            </w:r>
          </w:p>
        </w:tc>
        <w:tc>
          <w:tcPr>
            <w:tcW w:w="2843" w:type="dxa"/>
            <w:vAlign w:val="top"/>
            <w:tcBorders>
              <w:bottom w:val="single" w:color="000000" w:sz="2" w:space="0"/>
              <w:top w:val="single" w:color="000000" w:sz="2" w:space="0"/>
            </w:tcBorders>
          </w:tcPr>
          <w:p>
            <w:pPr>
              <w:pStyle w:val="TableText"/>
              <w:ind w:left="18"/>
              <w:spacing w:before="82" w:line="218" w:lineRule="auto"/>
              <w:rPr>
                <w:sz w:val="12"/>
                <w:szCs w:val="12"/>
              </w:rPr>
            </w:pPr>
            <w:r>
              <w:rPr>
                <w:sz w:val="12"/>
                <w:szCs w:val="12"/>
                <w:spacing w:val="-1"/>
              </w:rPr>
              <w:t>高效广谱杀蜻剂，防效高、持效期长</w:t>
            </w:r>
          </w:p>
        </w:tc>
      </w:tr>
      <w:tr>
        <w:trPr>
          <w:trHeight w:val="29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343"/>
              <w:spacing w:before="92" w:line="219" w:lineRule="auto"/>
              <w:rPr>
                <w:sz w:val="12"/>
                <w:szCs w:val="12"/>
              </w:rPr>
            </w:pPr>
            <w:r>
              <w:rPr>
                <w:sz w:val="12"/>
                <w:szCs w:val="12"/>
                <w:spacing w:val="1"/>
              </w:rPr>
              <w:t>甲无踩噬晴灵</w:t>
            </w:r>
          </w:p>
        </w:tc>
        <w:tc>
          <w:tcPr>
            <w:tcW w:w="1619" w:type="dxa"/>
            <w:vAlign w:val="top"/>
            <w:tcBorders>
              <w:bottom w:val="single" w:color="000000" w:sz="2" w:space="0"/>
              <w:top w:val="single" w:color="000000" w:sz="2" w:space="0"/>
            </w:tcBorders>
          </w:tcPr>
          <w:p>
            <w:pPr>
              <w:pStyle w:val="TableText"/>
              <w:ind w:left="504"/>
              <w:spacing w:before="92" w:line="221" w:lineRule="auto"/>
              <w:rPr>
                <w:sz w:val="12"/>
                <w:szCs w:val="12"/>
              </w:rPr>
            </w:pPr>
            <w:r>
              <w:rPr>
                <w:sz w:val="12"/>
                <w:szCs w:val="12"/>
                <w:spacing w:val="1"/>
              </w:rPr>
              <w:t>15%.哒弱灵</w:t>
            </w:r>
          </w:p>
        </w:tc>
        <w:tc>
          <w:tcPr>
            <w:tcW w:w="1329" w:type="dxa"/>
            <w:vAlign w:val="top"/>
            <w:tcBorders>
              <w:bottom w:val="single" w:color="000000" w:sz="2" w:space="0"/>
              <w:top w:val="single" w:color="000000" w:sz="2" w:space="0"/>
            </w:tcBorders>
          </w:tcPr>
          <w:p>
            <w:pPr>
              <w:pStyle w:val="TableText"/>
              <w:ind w:left="325"/>
              <w:spacing w:before="92" w:line="220" w:lineRule="auto"/>
              <w:rPr>
                <w:sz w:val="12"/>
                <w:szCs w:val="12"/>
              </w:rPr>
            </w:pPr>
            <w:r>
              <w:rPr>
                <w:sz w:val="12"/>
                <w:szCs w:val="12"/>
                <w:spacing w:val="-2"/>
              </w:rPr>
              <w:t>1500-2000倍</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17"/>
              <w:spacing w:before="23" w:line="199" w:lineRule="auto"/>
              <w:rPr>
                <w:sz w:val="12"/>
                <w:szCs w:val="12"/>
              </w:rPr>
            </w:pPr>
            <w:r>
              <w:rPr>
                <w:sz w:val="12"/>
                <w:szCs w:val="12"/>
                <w:spacing w:val="-1"/>
              </w:rPr>
              <w:t>20瓶(200ml/</w:t>
            </w:r>
          </w:p>
          <w:p>
            <w:pPr>
              <w:pStyle w:val="TableText"/>
              <w:ind w:left="267"/>
              <w:spacing w:line="203" w:lineRule="auto"/>
              <w:rPr>
                <w:sz w:val="12"/>
                <w:szCs w:val="12"/>
              </w:rPr>
            </w:pPr>
            <w:r>
              <w:rPr>
                <w:sz w:val="12"/>
                <w:szCs w:val="12"/>
                <w:spacing w:val="-1"/>
              </w:rPr>
              <w:t>瓶)/箱</w:t>
            </w:r>
          </w:p>
        </w:tc>
        <w:tc>
          <w:tcPr>
            <w:tcW w:w="2843" w:type="dxa"/>
            <w:vAlign w:val="top"/>
            <w:tcBorders>
              <w:bottom w:val="single" w:color="000000" w:sz="2" w:space="0"/>
              <w:top w:val="single" w:color="000000" w:sz="2" w:space="0"/>
            </w:tcBorders>
          </w:tcPr>
          <w:p>
            <w:pPr>
              <w:pStyle w:val="TableText"/>
              <w:ind w:left="18"/>
              <w:spacing w:before="92" w:line="219" w:lineRule="auto"/>
              <w:rPr>
                <w:sz w:val="12"/>
                <w:szCs w:val="12"/>
              </w:rPr>
            </w:pPr>
            <w:r>
              <w:rPr>
                <w:sz w:val="12"/>
                <w:szCs w:val="12"/>
                <w:spacing w:val="-1"/>
              </w:rPr>
              <w:t>专系红物蛛</w:t>
            </w:r>
          </w:p>
        </w:tc>
      </w:tr>
      <w:tr>
        <w:trPr>
          <w:trHeight w:val="29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2"/>
              <w:spacing w:before="91" w:line="218" w:lineRule="auto"/>
              <w:rPr>
                <w:sz w:val="12"/>
                <w:szCs w:val="12"/>
              </w:rPr>
            </w:pPr>
            <w:r>
              <w:rPr>
                <w:sz w:val="12"/>
                <w:szCs w:val="12"/>
              </w:rPr>
              <w:t>甲氦热阿维菌素苯甲酸盐</w:t>
            </w:r>
          </w:p>
        </w:tc>
        <w:tc>
          <w:tcPr>
            <w:tcW w:w="1619" w:type="dxa"/>
            <w:vAlign w:val="top"/>
            <w:tcBorders>
              <w:bottom w:val="single" w:color="000000" w:sz="2" w:space="0"/>
              <w:top w:val="single" w:color="000000" w:sz="2" w:space="0"/>
            </w:tcBorders>
          </w:tcPr>
          <w:p>
            <w:pPr>
              <w:pStyle w:val="TableText"/>
              <w:ind w:left="143"/>
              <w:spacing w:before="91" w:line="218" w:lineRule="auto"/>
              <w:rPr>
                <w:sz w:val="12"/>
                <w:szCs w:val="12"/>
              </w:rPr>
            </w:pPr>
            <w:r>
              <w:rPr>
                <w:sz w:val="12"/>
                <w:szCs w:val="12"/>
              </w:rPr>
              <w:t>甲氨基阿维卤素笨甲酸盐</w:t>
            </w:r>
          </w:p>
        </w:tc>
        <w:tc>
          <w:tcPr>
            <w:tcW w:w="1329" w:type="dxa"/>
            <w:vAlign w:val="top"/>
            <w:tcBorders>
              <w:bottom w:val="single" w:color="000000" w:sz="2" w:space="0"/>
              <w:top w:val="single" w:color="000000" w:sz="2" w:space="0"/>
            </w:tcBorders>
          </w:tcPr>
          <w:p>
            <w:pPr>
              <w:pStyle w:val="TableText"/>
              <w:ind w:left="205"/>
              <w:spacing w:before="91" w:line="219" w:lineRule="auto"/>
              <w:rPr>
                <w:sz w:val="12"/>
                <w:szCs w:val="12"/>
              </w:rPr>
            </w:pPr>
            <w:r>
              <w:rPr>
                <w:sz w:val="12"/>
                <w:szCs w:val="12"/>
                <w:spacing w:val="-1"/>
              </w:rPr>
              <w:t>裤释1000-2000倍</w:t>
            </w:r>
          </w:p>
        </w:tc>
        <w:tc>
          <w:tcPr>
            <w:tcW w:w="1149" w:type="dxa"/>
            <w:vAlign w:val="top"/>
            <w:vMerge w:val="continue"/>
            <w:tcBorders>
              <w:bottom w:val="single" w:color="000000" w:sz="2" w:space="0"/>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57"/>
              <w:spacing w:before="31" w:line="201" w:lineRule="auto"/>
              <w:rPr>
                <w:sz w:val="12"/>
                <w:szCs w:val="12"/>
              </w:rPr>
            </w:pPr>
            <w:r>
              <w:rPr>
                <w:sz w:val="12"/>
                <w:szCs w:val="12"/>
                <w:spacing w:val="-1"/>
              </w:rPr>
              <w:t>350克/瓶20瓶/</w:t>
            </w:r>
          </w:p>
          <w:p>
            <w:pPr>
              <w:pStyle w:val="TableText"/>
              <w:ind w:left="387"/>
              <w:spacing w:line="187" w:lineRule="auto"/>
              <w:rPr>
                <w:sz w:val="12"/>
                <w:szCs w:val="12"/>
              </w:rPr>
            </w:pPr>
            <w:r>
              <w:rPr>
                <w:sz w:val="12"/>
                <w:szCs w:val="12"/>
              </w:rPr>
              <w:t>箱</w:t>
            </w:r>
          </w:p>
        </w:tc>
        <w:tc>
          <w:tcPr>
            <w:tcW w:w="2843" w:type="dxa"/>
            <w:vAlign w:val="top"/>
            <w:tcBorders>
              <w:bottom w:val="single" w:color="000000" w:sz="2" w:space="0"/>
              <w:top w:val="single" w:color="000000" w:sz="2" w:space="0"/>
            </w:tcBorders>
          </w:tcPr>
          <w:p>
            <w:pPr>
              <w:pStyle w:val="TableText"/>
              <w:ind w:left="18" w:firstLine="9"/>
              <w:spacing w:before="11" w:line="203" w:lineRule="auto"/>
              <w:rPr>
                <w:sz w:val="12"/>
                <w:szCs w:val="12"/>
              </w:rPr>
            </w:pPr>
            <w:r>
              <w:rPr>
                <w:sz w:val="12"/>
                <w:szCs w:val="12"/>
                <w:spacing w:val="-3"/>
              </w:rPr>
              <w:t>广谱性染虫剂，具有胃毒和触桑作用，防治</w:t>
            </w:r>
            <w:r>
              <w:rPr>
                <w:sz w:val="12"/>
                <w:szCs w:val="12"/>
                <w:spacing w:val="-4"/>
              </w:rPr>
              <w:t>咀嚼式，刺</w:t>
            </w:r>
            <w:r>
              <w:rPr>
                <w:sz w:val="12"/>
                <w:szCs w:val="12"/>
              </w:rPr>
              <w:t xml:space="preserve"> </w:t>
            </w:r>
            <w:r>
              <w:rPr>
                <w:sz w:val="12"/>
                <w:szCs w:val="12"/>
                <w:spacing w:val="-1"/>
              </w:rPr>
              <w:t>吸式害虫。</w:t>
            </w:r>
          </w:p>
        </w:tc>
      </w:tr>
      <w:tr>
        <w:trPr>
          <w:trHeight w:val="49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523"/>
              <w:spacing w:before="192" w:line="220" w:lineRule="auto"/>
              <w:rPr>
                <w:sz w:val="12"/>
                <w:szCs w:val="12"/>
              </w:rPr>
            </w:pPr>
            <w:r>
              <w:rPr>
                <w:sz w:val="12"/>
                <w:szCs w:val="12"/>
                <w:spacing w:val="-2"/>
              </w:rPr>
              <w:t>蚜强灵</w:t>
            </w:r>
          </w:p>
        </w:tc>
        <w:tc>
          <w:tcPr>
            <w:tcW w:w="1619" w:type="dxa"/>
            <w:vAlign w:val="top"/>
            <w:tcBorders>
              <w:bottom w:val="single" w:color="000000" w:sz="2" w:space="0"/>
              <w:top w:val="single" w:color="000000" w:sz="2" w:space="0"/>
            </w:tcBorders>
          </w:tcPr>
          <w:p>
            <w:pPr>
              <w:pStyle w:val="TableText"/>
              <w:ind w:left="324"/>
              <w:spacing w:before="192" w:line="218" w:lineRule="auto"/>
              <w:rPr>
                <w:sz w:val="12"/>
                <w:szCs w:val="12"/>
              </w:rPr>
            </w:pPr>
            <w:r>
              <w:rPr>
                <w:sz w:val="12"/>
                <w:szCs w:val="12"/>
                <w:spacing w:val="-7"/>
              </w:rPr>
              <w:t>吡</w:t>
            </w:r>
            <w:r>
              <w:rPr>
                <w:sz w:val="12"/>
                <w:szCs w:val="12"/>
                <w:spacing w:val="-15"/>
              </w:rPr>
              <w:t xml:space="preserve"> </w:t>
            </w:r>
            <w:r>
              <w:rPr>
                <w:sz w:val="12"/>
                <w:szCs w:val="12"/>
                <w:spacing w:val="-7"/>
              </w:rPr>
              <w:t>·噻可湿性粉剂</w:t>
            </w:r>
          </w:p>
        </w:tc>
        <w:tc>
          <w:tcPr>
            <w:tcW w:w="1329" w:type="dxa"/>
            <w:vAlign w:val="top"/>
            <w:tcBorders>
              <w:bottom w:val="single" w:color="000000" w:sz="2" w:space="0"/>
              <w:top w:val="single" w:color="000000" w:sz="2" w:space="0"/>
            </w:tcBorders>
          </w:tcPr>
          <w:p>
            <w:pPr>
              <w:pStyle w:val="TableText"/>
              <w:ind w:left="205"/>
              <w:spacing w:before="192" w:line="219" w:lineRule="auto"/>
              <w:rPr>
                <w:sz w:val="12"/>
                <w:szCs w:val="12"/>
              </w:rPr>
            </w:pPr>
            <w:r>
              <w:rPr>
                <w:sz w:val="12"/>
                <w:szCs w:val="12"/>
                <w:spacing w:val="-1"/>
              </w:rPr>
              <w:t>稀释1000-3000倍</w:t>
            </w:r>
          </w:p>
        </w:tc>
        <w:tc>
          <w:tcPr>
            <w:tcW w:w="1149" w:type="dxa"/>
            <w:vAlign w:val="top"/>
            <w:tcBorders>
              <w:bottom w:val="single" w:color="000000" w:sz="2" w:space="0"/>
              <w:top w:val="single" w:color="000000" w:sz="2" w:space="0"/>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47"/>
              <w:spacing w:before="188" w:line="213" w:lineRule="auto"/>
              <w:rPr>
                <w:sz w:val="12"/>
                <w:szCs w:val="12"/>
              </w:rPr>
            </w:pPr>
            <w:r>
              <w:rPr>
                <w:sz w:val="12"/>
                <w:szCs w:val="12"/>
                <w:spacing w:val="-1"/>
              </w:rPr>
              <w:t>20g/袋*250</w:t>
            </w:r>
          </w:p>
        </w:tc>
        <w:tc>
          <w:tcPr>
            <w:tcW w:w="2843" w:type="dxa"/>
            <w:vAlign w:val="top"/>
            <w:tcBorders>
              <w:bottom w:val="single" w:color="000000" w:sz="2" w:space="0"/>
              <w:top w:val="single" w:color="000000" w:sz="2" w:space="0"/>
            </w:tcBorders>
          </w:tcPr>
          <w:p>
            <w:pPr>
              <w:pStyle w:val="TableText"/>
              <w:ind w:left="18"/>
              <w:spacing w:before="51" w:line="217" w:lineRule="auto"/>
              <w:jc w:val="both"/>
              <w:rPr>
                <w:sz w:val="12"/>
                <w:szCs w:val="12"/>
              </w:rPr>
            </w:pPr>
            <w:r>
              <w:rPr>
                <w:sz w:val="12"/>
                <w:szCs w:val="12"/>
                <w:spacing w:val="-9"/>
              </w:rPr>
              <w:t>具有</w:t>
            </w:r>
            <w:r>
              <w:rPr>
                <w:sz w:val="12"/>
                <w:szCs w:val="12"/>
                <w:spacing w:val="-8"/>
              </w:rPr>
              <w:t>广谱、高效、低毒、低残留，害虫不易产生抗性，</w:t>
            </w:r>
            <w:r>
              <w:rPr>
                <w:sz w:val="12"/>
                <w:szCs w:val="12"/>
                <w:spacing w:val="-6"/>
              </w:rPr>
              <w:t>对</w:t>
            </w:r>
            <w:r>
              <w:rPr>
                <w:sz w:val="12"/>
                <w:szCs w:val="12"/>
                <w:spacing w:val="13"/>
              </w:rPr>
              <w:t xml:space="preserve"> </w:t>
            </w:r>
            <w:r>
              <w:rPr>
                <w:sz w:val="12"/>
                <w:szCs w:val="12"/>
                <w:spacing w:val="-9"/>
              </w:rPr>
              <w:t>人、</w:t>
            </w:r>
            <w:r>
              <w:rPr>
                <w:sz w:val="12"/>
                <w:szCs w:val="12"/>
                <w:spacing w:val="-8"/>
              </w:rPr>
              <w:t>畜、植物和天敌安全等特点，并有触杀、胃毒和内</w:t>
            </w:r>
            <w:r>
              <w:rPr>
                <w:sz w:val="12"/>
                <w:szCs w:val="12"/>
                <w:spacing w:val="-6"/>
              </w:rPr>
              <w:t>吸</w:t>
            </w:r>
            <w:r>
              <w:rPr>
                <w:sz w:val="12"/>
                <w:szCs w:val="12"/>
                <w:spacing w:val="13"/>
              </w:rPr>
              <w:t xml:space="preserve"> </w:t>
            </w:r>
            <w:r>
              <w:rPr>
                <w:sz w:val="12"/>
                <w:szCs w:val="12"/>
                <w:spacing w:val="-1"/>
              </w:rPr>
              <w:t>多重药效，主要用于防治刺吸式口客害虫</w:t>
            </w:r>
          </w:p>
        </w:tc>
      </w:tr>
      <w:tr>
        <w:trPr>
          <w:trHeight w:val="28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82" w:line="219" w:lineRule="auto"/>
              <w:rPr>
                <w:sz w:val="12"/>
                <w:szCs w:val="12"/>
              </w:rPr>
            </w:pPr>
            <w:r>
              <w:rPr>
                <w:sz w:val="12"/>
                <w:szCs w:val="12"/>
                <w:spacing w:val="-2"/>
              </w:rPr>
              <w:t>阿维菌素</w:t>
            </w:r>
          </w:p>
        </w:tc>
        <w:tc>
          <w:tcPr>
            <w:tcW w:w="1619" w:type="dxa"/>
            <w:vAlign w:val="top"/>
            <w:tcBorders>
              <w:bottom w:val="single" w:color="000000" w:sz="2" w:space="0"/>
              <w:top w:val="single" w:color="000000" w:sz="2" w:space="0"/>
            </w:tcBorders>
          </w:tcPr>
          <w:p>
            <w:pPr>
              <w:pStyle w:val="TableText"/>
              <w:ind w:left="354"/>
              <w:spacing w:before="112" w:line="219" w:lineRule="auto"/>
              <w:rPr>
                <w:sz w:val="12"/>
                <w:szCs w:val="12"/>
              </w:rPr>
            </w:pPr>
            <w:r>
              <w:rPr>
                <w:sz w:val="12"/>
                <w:szCs w:val="12"/>
                <w:spacing w:val="1"/>
              </w:rPr>
              <w:t>1.8阿维菌素乳油</w:t>
            </w:r>
          </w:p>
        </w:tc>
        <w:tc>
          <w:tcPr>
            <w:tcW w:w="1329" w:type="dxa"/>
            <w:vAlign w:val="top"/>
            <w:tcBorders>
              <w:bottom w:val="single" w:color="000000" w:sz="2" w:space="0"/>
              <w:top w:val="single" w:color="000000" w:sz="2" w:space="0"/>
            </w:tcBorders>
          </w:tcPr>
          <w:p>
            <w:pPr>
              <w:pStyle w:val="TableText"/>
              <w:ind w:left="265"/>
              <w:spacing w:before="113" w:line="220" w:lineRule="auto"/>
              <w:rPr>
                <w:sz w:val="12"/>
                <w:szCs w:val="12"/>
              </w:rPr>
            </w:pPr>
            <w:r>
              <w:rPr>
                <w:sz w:val="12"/>
                <w:szCs w:val="12"/>
                <w:spacing w:val="-1"/>
              </w:rPr>
              <w:t>3000-4000倍液</w:t>
            </w:r>
          </w:p>
        </w:tc>
        <w:tc>
          <w:tcPr>
            <w:tcW w:w="1149" w:type="dxa"/>
            <w:vAlign w:val="top"/>
            <w:tcBorders>
              <w:bottom w:val="single" w:color="000000" w:sz="2" w:space="0"/>
              <w:top w:val="single" w:color="000000" w:sz="2" w:space="0"/>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77"/>
              <w:spacing w:before="103" w:line="221" w:lineRule="auto"/>
              <w:rPr>
                <w:sz w:val="12"/>
                <w:szCs w:val="12"/>
              </w:rPr>
            </w:pPr>
            <w:r>
              <w:rPr>
                <w:sz w:val="12"/>
                <w:szCs w:val="12"/>
                <w:spacing w:val="-2"/>
              </w:rPr>
              <w:t>100ML./瓶</w:t>
            </w:r>
          </w:p>
        </w:tc>
        <w:tc>
          <w:tcPr>
            <w:tcW w:w="2843" w:type="dxa"/>
            <w:vAlign w:val="top"/>
            <w:tcBorders>
              <w:bottom w:val="single" w:color="000000" w:sz="2" w:space="0"/>
              <w:top w:val="single" w:color="000000" w:sz="2" w:space="0"/>
            </w:tcBorders>
          </w:tcPr>
          <w:p>
            <w:pPr>
              <w:pStyle w:val="TableText"/>
              <w:spacing w:before="112" w:line="218" w:lineRule="auto"/>
              <w:jc w:val="right"/>
              <w:rPr>
                <w:sz w:val="12"/>
                <w:szCs w:val="12"/>
              </w:rPr>
            </w:pPr>
            <w:r>
              <w:rPr>
                <w:sz w:val="12"/>
                <w:szCs w:val="12"/>
                <w:spacing w:val="-3"/>
              </w:rPr>
              <w:t>抗生素杀虫、杀蜗剂对昆虫和羁类具有胃毒和触杀作用</w:t>
            </w:r>
          </w:p>
        </w:tc>
      </w:tr>
      <w:tr>
        <w:trPr>
          <w:trHeight w:val="4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142" w:line="219" w:lineRule="auto"/>
              <w:rPr>
                <w:sz w:val="12"/>
                <w:szCs w:val="12"/>
              </w:rPr>
            </w:pPr>
            <w:r>
              <w:rPr>
                <w:sz w:val="12"/>
                <w:szCs w:val="12"/>
                <w:spacing w:val="1"/>
              </w:rPr>
              <w:t>国光毙克</w:t>
            </w:r>
          </w:p>
        </w:tc>
        <w:tc>
          <w:tcPr>
            <w:tcW w:w="1619" w:type="dxa"/>
            <w:vAlign w:val="top"/>
            <w:tcBorders>
              <w:bottom w:val="single" w:color="000000" w:sz="2" w:space="0"/>
              <w:top w:val="single" w:color="000000" w:sz="2" w:space="0"/>
            </w:tcBorders>
          </w:tcPr>
          <w:p>
            <w:pPr>
              <w:pStyle w:val="TableText"/>
              <w:ind w:left="534"/>
              <w:spacing w:before="142" w:line="220" w:lineRule="auto"/>
              <w:rPr>
                <w:sz w:val="12"/>
                <w:szCs w:val="12"/>
              </w:rPr>
            </w:pPr>
            <w:r>
              <w:rPr>
                <w:sz w:val="12"/>
                <w:szCs w:val="12"/>
                <w:spacing w:val="-2"/>
              </w:rPr>
              <w:t>10%吡虫啉</w:t>
            </w:r>
          </w:p>
        </w:tc>
        <w:tc>
          <w:tcPr>
            <w:tcW w:w="1329" w:type="dxa"/>
            <w:vAlign w:val="top"/>
            <w:tcBorders>
              <w:bottom w:val="single" w:color="000000" w:sz="2" w:space="0"/>
              <w:top w:val="single" w:color="000000" w:sz="2" w:space="0"/>
            </w:tcBorders>
          </w:tcPr>
          <w:p>
            <w:pPr>
              <w:pStyle w:val="TableText"/>
              <w:ind w:left="225"/>
              <w:spacing w:before="142" w:line="219" w:lineRule="auto"/>
              <w:rPr>
                <w:sz w:val="12"/>
                <w:szCs w:val="12"/>
              </w:rPr>
            </w:pPr>
            <w:r>
              <w:rPr>
                <w:sz w:val="12"/>
                <w:szCs w:val="12"/>
                <w:spacing w:val="-1"/>
              </w:rPr>
              <w:t>骄释1000-1200倍液</w:t>
            </w:r>
          </w:p>
        </w:tc>
        <w:tc>
          <w:tcPr>
            <w:tcW w:w="1149" w:type="dxa"/>
            <w:vAlign w:val="top"/>
            <w:tcBorders>
              <w:bottom w:val="single" w:color="000000" w:sz="2" w:space="0"/>
              <w:top w:val="single" w:color="000000" w:sz="2" w:space="0"/>
            </w:tcBorders>
          </w:tcPr>
          <w:p>
            <w:pPr>
              <w:pStyle w:val="TableText"/>
              <w:spacing w:before="32" w:line="200" w:lineRule="auto"/>
              <w:jc w:val="right"/>
              <w:rPr>
                <w:sz w:val="12"/>
                <w:szCs w:val="12"/>
              </w:rPr>
            </w:pPr>
            <w:r>
              <w:rPr>
                <w:sz w:val="12"/>
                <w:szCs w:val="12"/>
                <w:spacing w:val="-8"/>
              </w:rPr>
              <w:t>一般用3次，时间间隔7</w:t>
            </w:r>
          </w:p>
          <w:p>
            <w:pPr>
              <w:pStyle w:val="TableText"/>
              <w:ind w:left="365" w:hanging="349"/>
              <w:spacing w:before="1" w:line="177" w:lineRule="auto"/>
              <w:rPr>
                <w:sz w:val="12"/>
                <w:szCs w:val="12"/>
              </w:rPr>
            </w:pPr>
            <w:r>
              <w:rPr>
                <w:sz w:val="12"/>
                <w:szCs w:val="12"/>
                <w:spacing w:val="-9"/>
              </w:rPr>
              <w:t>到1</w:t>
            </w:r>
            <w:r>
              <w:rPr>
                <w:sz w:val="12"/>
                <w:szCs w:val="12"/>
                <w:spacing w:val="-8"/>
              </w:rPr>
              <w:t>0天，视现场情况</w:t>
            </w:r>
            <w:r>
              <w:rPr>
                <w:sz w:val="12"/>
                <w:szCs w:val="12"/>
                <w:spacing w:val="-6"/>
              </w:rPr>
              <w:t>可</w:t>
            </w:r>
            <w:r>
              <w:rPr>
                <w:sz w:val="12"/>
                <w:szCs w:val="12"/>
                <w:spacing w:val="9"/>
              </w:rPr>
              <w:t xml:space="preserve"> </w:t>
            </w:r>
            <w:r>
              <w:rPr>
                <w:sz w:val="12"/>
                <w:szCs w:val="12"/>
                <w:spacing w:val="-2"/>
              </w:rPr>
              <w:t>增加次数</w:t>
            </w:r>
          </w:p>
        </w:tc>
        <w:tc>
          <w:tcPr>
            <w:tcW w:w="909" w:type="dxa"/>
            <w:vAlign w:val="top"/>
            <w:tcBorders>
              <w:bottom w:val="single" w:color="000000" w:sz="2" w:space="0"/>
              <w:top w:val="single" w:color="000000" w:sz="2" w:space="0"/>
            </w:tcBorders>
          </w:tcPr>
          <w:p>
            <w:pPr>
              <w:pStyle w:val="TableText"/>
              <w:ind w:left="207"/>
              <w:spacing w:before="138" w:line="213" w:lineRule="auto"/>
              <w:rPr>
                <w:sz w:val="12"/>
                <w:szCs w:val="12"/>
              </w:rPr>
            </w:pPr>
            <w:r>
              <w:rPr>
                <w:sz w:val="12"/>
                <w:szCs w:val="12"/>
                <w:spacing w:val="3"/>
              </w:rPr>
              <w:t>(10g/装)</w:t>
            </w:r>
          </w:p>
        </w:tc>
        <w:tc>
          <w:tcPr>
            <w:tcW w:w="2843" w:type="dxa"/>
            <w:vAlign w:val="top"/>
            <w:tcBorders>
              <w:bottom w:val="single" w:color="000000" w:sz="2" w:space="0"/>
              <w:top w:val="single" w:color="000000" w:sz="2" w:space="0"/>
            </w:tcBorders>
          </w:tcPr>
          <w:p>
            <w:pPr>
              <w:pStyle w:val="TableText"/>
              <w:ind w:left="18"/>
              <w:spacing w:before="142" w:line="219" w:lineRule="auto"/>
              <w:rPr>
                <w:sz w:val="12"/>
                <w:szCs w:val="12"/>
              </w:rPr>
            </w:pPr>
            <w:r>
              <w:rPr>
                <w:sz w:val="12"/>
                <w:szCs w:val="12"/>
                <w:spacing w:val="-1"/>
              </w:rPr>
              <w:t>柔蚜虫、飞源等害虫</w:t>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restart"/>
            <w:tcBorders>
              <w:bottom w:val="nil"/>
              <w:top w:val="single" w:color="000000" w:sz="2" w:space="0"/>
            </w:tcBorders>
          </w:tcPr>
          <w:p>
            <w:pPr>
              <w:spacing w:line="289" w:lineRule="auto"/>
              <w:rPr>
                <w:rFonts w:ascii="Arial"/>
                <w:sz w:val="21"/>
              </w:rPr>
            </w:pPr>
            <w:r/>
          </w:p>
          <w:p>
            <w:pPr>
              <w:spacing w:line="290" w:lineRule="auto"/>
              <w:rPr>
                <w:rFonts w:ascii="Arial"/>
                <w:sz w:val="21"/>
              </w:rPr>
            </w:pPr>
            <w:r/>
          </w:p>
          <w:p>
            <w:pPr>
              <w:pStyle w:val="TableText"/>
              <w:ind w:left="150"/>
              <w:spacing w:before="39" w:line="218" w:lineRule="auto"/>
              <w:rPr>
                <w:sz w:val="12"/>
                <w:szCs w:val="12"/>
              </w:rPr>
            </w:pPr>
            <w:r>
              <w:rPr>
                <w:sz w:val="12"/>
                <w:szCs w:val="12"/>
                <w:spacing w:val="-1"/>
              </w:rPr>
              <w:t>蛀干害虫</w:t>
            </w:r>
          </w:p>
        </w:tc>
        <w:tc>
          <w:tcPr>
            <w:tcW w:w="889" w:type="dxa"/>
            <w:vAlign w:val="top"/>
            <w:vMerge w:val="restart"/>
            <w:tcBorders>
              <w:bottom w:val="nil"/>
              <w:top w:val="single" w:color="000000" w:sz="2" w:space="0"/>
            </w:tcBorders>
          </w:tcPr>
          <w:p>
            <w:pPr>
              <w:spacing w:line="410" w:lineRule="auto"/>
              <w:rPr>
                <w:rFonts w:ascii="Arial"/>
                <w:sz w:val="21"/>
              </w:rPr>
            </w:pPr>
            <w:r/>
          </w:p>
          <w:p>
            <w:pPr>
              <w:pStyle w:val="TableText"/>
              <w:ind w:left="10"/>
              <w:spacing w:before="39" w:line="200" w:lineRule="auto"/>
              <w:rPr>
                <w:sz w:val="12"/>
                <w:szCs w:val="12"/>
              </w:rPr>
            </w:pPr>
            <w:r>
              <w:rPr>
                <w:sz w:val="12"/>
                <w:szCs w:val="12"/>
                <w:spacing w:val="-1"/>
              </w:rPr>
              <w:t>光响星天牛、小</w:t>
            </w:r>
          </w:p>
          <w:p>
            <w:pPr>
              <w:pStyle w:val="TableText"/>
              <w:spacing w:line="215" w:lineRule="auto"/>
              <w:jc w:val="right"/>
              <w:rPr>
                <w:sz w:val="12"/>
                <w:szCs w:val="12"/>
              </w:rPr>
            </w:pPr>
            <w:r>
              <w:rPr>
                <w:sz w:val="12"/>
                <w:szCs w:val="12"/>
                <w:spacing w:val="4"/>
              </w:rPr>
              <w:t>素虫、透妞峨、</w:t>
            </w:r>
          </w:p>
          <w:p>
            <w:pPr>
              <w:pStyle w:val="TableText"/>
              <w:ind w:left="10"/>
              <w:spacing w:line="200" w:lineRule="auto"/>
              <w:rPr>
                <w:sz w:val="12"/>
                <w:szCs w:val="12"/>
              </w:rPr>
            </w:pPr>
            <w:r>
              <w:rPr>
                <w:sz w:val="12"/>
                <w:szCs w:val="12"/>
                <w:spacing w:val="-1"/>
              </w:rPr>
              <w:t>芳香木盘蛾、吉</w:t>
            </w:r>
          </w:p>
          <w:p>
            <w:pPr>
              <w:pStyle w:val="TableText"/>
              <w:ind w:left="310"/>
              <w:spacing w:line="220" w:lineRule="auto"/>
              <w:rPr>
                <w:sz w:val="12"/>
                <w:szCs w:val="12"/>
              </w:rPr>
            </w:pPr>
            <w:r>
              <w:rPr>
                <w:sz w:val="12"/>
                <w:szCs w:val="12"/>
                <w:spacing w:val="-2"/>
              </w:rPr>
              <w:t>丁虫</w:t>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93" w:line="219" w:lineRule="auto"/>
              <w:rPr>
                <w:sz w:val="12"/>
                <w:szCs w:val="12"/>
              </w:rPr>
            </w:pPr>
            <w:r>
              <w:rPr>
                <w:sz w:val="12"/>
                <w:szCs w:val="12"/>
                <w:spacing w:val="1"/>
              </w:rPr>
              <w:t>国光毒检</w:t>
            </w:r>
          </w:p>
        </w:tc>
        <w:tc>
          <w:tcPr>
            <w:tcW w:w="1619" w:type="dxa"/>
            <w:vAlign w:val="top"/>
            <w:tcBorders>
              <w:bottom w:val="single" w:color="000000" w:sz="2" w:space="0"/>
              <w:top w:val="single" w:color="000000" w:sz="2" w:space="0"/>
            </w:tcBorders>
          </w:tcPr>
          <w:p>
            <w:pPr>
              <w:pStyle w:val="TableText"/>
              <w:ind w:left="234"/>
              <w:spacing w:before="93" w:line="219" w:lineRule="auto"/>
              <w:rPr>
                <w:sz w:val="12"/>
                <w:szCs w:val="12"/>
              </w:rPr>
            </w:pPr>
            <w:r>
              <w:rPr>
                <w:sz w:val="12"/>
                <w:szCs w:val="12"/>
                <w:spacing w:val="-1"/>
              </w:rPr>
              <w:t>45%丙流，辛疏磷乳油</w:t>
            </w:r>
          </w:p>
        </w:tc>
        <w:tc>
          <w:tcPr>
            <w:tcW w:w="1329" w:type="dxa"/>
            <w:vAlign w:val="top"/>
            <w:tcBorders>
              <w:bottom w:val="single" w:color="000000" w:sz="2" w:space="0"/>
              <w:top w:val="single" w:color="000000" w:sz="2" w:space="0"/>
            </w:tcBorders>
          </w:tcPr>
          <w:p>
            <w:pPr>
              <w:pStyle w:val="TableText"/>
              <w:ind w:left="295"/>
              <w:spacing w:before="93" w:line="219" w:lineRule="auto"/>
              <w:rPr>
                <w:sz w:val="12"/>
                <w:szCs w:val="12"/>
              </w:rPr>
            </w:pPr>
            <w:r>
              <w:rPr>
                <w:sz w:val="12"/>
                <w:szCs w:val="12"/>
                <w:spacing w:val="-1"/>
              </w:rPr>
              <w:t>稀释5-10倍波</w:t>
            </w:r>
          </w:p>
        </w:tc>
        <w:tc>
          <w:tcPr>
            <w:tcW w:w="1149" w:type="dxa"/>
            <w:vAlign w:val="top"/>
            <w:vMerge w:val="restart"/>
            <w:tcBorders>
              <w:bottom w:val="nil"/>
              <w:top w:val="single" w:color="000000" w:sz="2" w:space="0"/>
            </w:tcBorders>
          </w:tcPr>
          <w:p>
            <w:pPr>
              <w:spacing w:line="270" w:lineRule="auto"/>
              <w:rPr>
                <w:rFonts w:ascii="Arial"/>
                <w:sz w:val="21"/>
              </w:rPr>
            </w:pPr>
            <w:r/>
          </w:p>
          <w:p>
            <w:pPr>
              <w:spacing w:line="270" w:lineRule="auto"/>
              <w:rPr>
                <w:rFonts w:ascii="Arial"/>
                <w:sz w:val="21"/>
              </w:rPr>
            </w:pPr>
            <w:r/>
          </w:p>
          <w:p>
            <w:pPr>
              <w:pStyle w:val="TableText"/>
              <w:ind w:left="25" w:hanging="9"/>
              <w:spacing w:before="39" w:line="217" w:lineRule="auto"/>
              <w:rPr>
                <w:sz w:val="12"/>
                <w:szCs w:val="12"/>
              </w:rPr>
            </w:pPr>
            <w:r>
              <w:rPr>
                <w:sz w:val="12"/>
                <w:szCs w:val="12"/>
                <w:spacing w:val="-2"/>
              </w:rPr>
              <w:t>一般用1-2次。时间视</w:t>
            </w:r>
            <w:r>
              <w:rPr>
                <w:sz w:val="12"/>
                <w:szCs w:val="12"/>
                <w:spacing w:val="3"/>
              </w:rPr>
              <w:t xml:space="preserve"> </w:t>
            </w:r>
            <w:r>
              <w:rPr>
                <w:sz w:val="12"/>
                <w:szCs w:val="12"/>
                <w:spacing w:val="-2"/>
              </w:rPr>
              <w:t>现场情况可增加次数</w:t>
            </w:r>
          </w:p>
        </w:tc>
        <w:tc>
          <w:tcPr>
            <w:tcW w:w="909" w:type="dxa"/>
            <w:vAlign w:val="top"/>
            <w:tcBorders>
              <w:bottom w:val="single" w:color="000000" w:sz="2" w:space="0"/>
              <w:top w:val="single" w:color="000000" w:sz="2" w:space="0"/>
            </w:tcBorders>
          </w:tcPr>
          <w:p>
            <w:pPr>
              <w:pStyle w:val="TableText"/>
              <w:ind w:left="147"/>
              <w:spacing w:before="93" w:line="221" w:lineRule="auto"/>
              <w:rPr>
                <w:sz w:val="12"/>
                <w:szCs w:val="12"/>
              </w:rPr>
            </w:pPr>
            <w:r>
              <w:rPr>
                <w:sz w:val="12"/>
                <w:szCs w:val="12"/>
                <w:spacing w:val="3"/>
              </w:rPr>
              <w:t>(200</w:t>
            </w:r>
            <w:r>
              <w:rPr>
                <w:sz w:val="12"/>
                <w:szCs w:val="12"/>
              </w:rPr>
              <w:t>ml</w:t>
            </w:r>
            <w:r>
              <w:rPr>
                <w:sz w:val="12"/>
                <w:szCs w:val="12"/>
                <w:spacing w:val="3"/>
              </w:rPr>
              <w:t>/瓶)</w:t>
            </w:r>
          </w:p>
        </w:tc>
        <w:tc>
          <w:tcPr>
            <w:tcW w:w="2843" w:type="dxa"/>
            <w:vAlign w:val="top"/>
            <w:tcBorders>
              <w:bottom w:val="single" w:color="000000" w:sz="2" w:space="0"/>
              <w:top w:val="single" w:color="000000" w:sz="2" w:space="0"/>
            </w:tcBorders>
          </w:tcPr>
          <w:p>
            <w:pPr>
              <w:pStyle w:val="TableText"/>
              <w:ind w:left="18"/>
              <w:spacing w:before="93" w:line="219" w:lineRule="auto"/>
              <w:rPr>
                <w:sz w:val="12"/>
                <w:szCs w:val="12"/>
              </w:rPr>
            </w:pPr>
            <w:r>
              <w:rPr>
                <w:sz w:val="12"/>
                <w:szCs w:val="12"/>
                <w:spacing w:val="-1"/>
              </w:rPr>
              <w:t>注射虫洞，黄泥封洞</w:t>
            </w:r>
          </w:p>
        </w:tc>
      </w:tr>
      <w:tr>
        <w:trPr>
          <w:trHeight w:val="18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33" w:line="217" w:lineRule="auto"/>
              <w:rPr>
                <w:sz w:val="12"/>
                <w:szCs w:val="12"/>
              </w:rPr>
            </w:pPr>
            <w:r>
              <w:rPr>
                <w:sz w:val="12"/>
                <w:szCs w:val="12"/>
                <w:spacing w:val="2"/>
              </w:rPr>
              <w:t>国先服多</w:t>
            </w:r>
          </w:p>
        </w:tc>
        <w:tc>
          <w:tcPr>
            <w:tcW w:w="1619" w:type="dxa"/>
            <w:vAlign w:val="top"/>
            <w:tcBorders>
              <w:bottom w:val="single" w:color="000000" w:sz="2" w:space="0"/>
              <w:top w:val="single" w:color="000000" w:sz="2" w:space="0"/>
            </w:tcBorders>
          </w:tcPr>
          <w:p>
            <w:pPr>
              <w:pStyle w:val="TableText"/>
              <w:ind w:left="534"/>
              <w:spacing w:before="33" w:line="218" w:lineRule="auto"/>
              <w:rPr>
                <w:sz w:val="12"/>
                <w:szCs w:val="12"/>
              </w:rPr>
            </w:pPr>
            <w:r>
              <w:rPr>
                <w:sz w:val="12"/>
                <w:szCs w:val="12"/>
                <w:spacing w:val="-1"/>
              </w:rPr>
              <w:t>20%摹乙酸</w:t>
            </w:r>
          </w:p>
        </w:tc>
        <w:tc>
          <w:tcPr>
            <w:tcW w:w="1329" w:type="dxa"/>
            <w:vAlign w:val="top"/>
            <w:tcBorders>
              <w:bottom w:val="single" w:color="000000" w:sz="2" w:space="0"/>
              <w:top w:val="single" w:color="000000" w:sz="2" w:space="0"/>
            </w:tcBorders>
          </w:tcPr>
          <w:p>
            <w:pPr>
              <w:pStyle w:val="TableText"/>
              <w:ind w:left="175"/>
              <w:spacing w:before="33" w:line="217" w:lineRule="auto"/>
              <w:rPr>
                <w:sz w:val="12"/>
                <w:szCs w:val="12"/>
              </w:rPr>
            </w:pPr>
            <w:r>
              <w:rPr>
                <w:sz w:val="12"/>
                <w:szCs w:val="12"/>
                <w:spacing w:val="-1"/>
              </w:rPr>
              <w:t>裤释800-1000倍液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spacing w:line="175" w:lineRule="exact"/>
              <w:rPr>
                <w:rFonts w:ascii="Arial"/>
                <w:sz w:val="15"/>
              </w:rPr>
            </w:pPr>
            <w:r/>
          </w:p>
        </w:tc>
        <w:tc>
          <w:tcPr>
            <w:tcW w:w="2843" w:type="dxa"/>
            <w:vAlign w:val="top"/>
            <w:tcBorders>
              <w:bottom w:val="single" w:color="000000" w:sz="2" w:space="0"/>
              <w:top w:val="single" w:color="000000" w:sz="2" w:space="0"/>
            </w:tcBorders>
          </w:tcPr>
          <w:p>
            <w:pPr>
              <w:spacing w:line="175" w:lineRule="exact"/>
              <w:rPr>
                <w:rFonts w:ascii="Arial"/>
                <w:sz w:val="15"/>
              </w:rPr>
            </w:pPr>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343"/>
              <w:spacing w:before="93" w:line="218" w:lineRule="auto"/>
              <w:rPr>
                <w:sz w:val="12"/>
                <w:szCs w:val="12"/>
              </w:rPr>
            </w:pPr>
            <w:r>
              <w:rPr>
                <w:sz w:val="12"/>
                <w:szCs w:val="12"/>
                <w:spacing w:val="1"/>
              </w:rPr>
              <w:t>国光防蛙液剂</w:t>
            </w:r>
          </w:p>
        </w:tc>
        <w:tc>
          <w:tcPr>
            <w:tcW w:w="1619" w:type="dxa"/>
            <w:vAlign w:val="top"/>
            <w:tcBorders>
              <w:bottom w:val="single" w:color="000000" w:sz="2" w:space="0"/>
              <w:top w:val="single" w:color="000000" w:sz="2" w:space="0"/>
            </w:tcBorders>
          </w:tcPr>
          <w:p>
            <w:pPr>
              <w:pStyle w:val="TableText"/>
              <w:ind w:left="504"/>
              <w:spacing w:before="93" w:line="219" w:lineRule="auto"/>
              <w:rPr>
                <w:sz w:val="12"/>
                <w:szCs w:val="12"/>
              </w:rPr>
            </w:pPr>
            <w:r>
              <w:rPr>
                <w:sz w:val="12"/>
                <w:szCs w:val="12"/>
                <w:spacing w:val="-1"/>
              </w:rPr>
              <w:t>0.3%氯菊酯</w:t>
            </w:r>
          </w:p>
        </w:tc>
        <w:tc>
          <w:tcPr>
            <w:tcW w:w="1329" w:type="dxa"/>
            <w:vAlign w:val="top"/>
            <w:tcBorders>
              <w:bottom w:val="single" w:color="000000" w:sz="2" w:space="0"/>
              <w:top w:val="single" w:color="000000" w:sz="2" w:space="0"/>
            </w:tcBorders>
          </w:tcPr>
          <w:p>
            <w:pPr>
              <w:pStyle w:val="TableText"/>
              <w:ind w:left="415"/>
              <w:spacing w:before="93" w:line="219" w:lineRule="auto"/>
              <w:rPr>
                <w:sz w:val="12"/>
                <w:szCs w:val="12"/>
              </w:rPr>
            </w:pPr>
            <w:r>
              <w:rPr>
                <w:sz w:val="12"/>
                <w:szCs w:val="12"/>
                <w:spacing w:val="3"/>
              </w:rPr>
              <w:t>直接使用</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77"/>
              <w:spacing w:before="93" w:line="220" w:lineRule="auto"/>
              <w:rPr>
                <w:sz w:val="12"/>
                <w:szCs w:val="12"/>
              </w:rPr>
            </w:pPr>
            <w:r>
              <w:rPr>
                <w:sz w:val="12"/>
                <w:szCs w:val="12"/>
                <w:spacing w:val="4"/>
              </w:rPr>
              <w:t>(20</w:t>
            </w:r>
            <w:r>
              <w:rPr>
                <w:sz w:val="12"/>
                <w:szCs w:val="12"/>
              </w:rPr>
              <w:t>ml</w:t>
            </w:r>
            <w:r>
              <w:rPr>
                <w:sz w:val="12"/>
                <w:szCs w:val="12"/>
                <w:spacing w:val="4"/>
              </w:rPr>
              <w:t>/支)</w:t>
            </w:r>
          </w:p>
        </w:tc>
        <w:tc>
          <w:tcPr>
            <w:tcW w:w="2843" w:type="dxa"/>
            <w:vAlign w:val="top"/>
            <w:tcBorders>
              <w:bottom w:val="single" w:color="000000" w:sz="2" w:space="0"/>
              <w:top w:val="single" w:color="000000" w:sz="2" w:space="0"/>
            </w:tcBorders>
          </w:tcPr>
          <w:p>
            <w:pPr>
              <w:pStyle w:val="TableText"/>
              <w:spacing w:before="93" w:line="219" w:lineRule="auto"/>
              <w:jc w:val="right"/>
              <w:rPr>
                <w:sz w:val="12"/>
                <w:szCs w:val="12"/>
              </w:rPr>
            </w:pPr>
            <w:r>
              <w:rPr>
                <w:sz w:val="12"/>
                <w:szCs w:val="12"/>
              </w:rPr>
              <w:t>专杀蛀杆性害虫胸径8-10cm用1支，每增加</w:t>
            </w:r>
            <w:r>
              <w:rPr>
                <w:sz w:val="12"/>
                <w:szCs w:val="12"/>
                <w:spacing w:val="-1"/>
              </w:rPr>
              <w:t>10cm增加支</w:t>
            </w:r>
          </w:p>
        </w:tc>
      </w:tr>
      <w:tr>
        <w:trPr>
          <w:trHeight w:val="27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84" w:line="221" w:lineRule="auto"/>
              <w:rPr>
                <w:sz w:val="12"/>
                <w:szCs w:val="12"/>
              </w:rPr>
            </w:pPr>
            <w:r>
              <w:rPr>
                <w:sz w:val="12"/>
                <w:szCs w:val="12"/>
                <w:spacing w:val="-1"/>
              </w:rPr>
              <w:t>飘绿牛丁</w:t>
            </w:r>
          </w:p>
        </w:tc>
        <w:tc>
          <w:tcPr>
            <w:tcW w:w="1619" w:type="dxa"/>
            <w:vAlign w:val="top"/>
            <w:tcBorders>
              <w:bottom w:val="single" w:color="000000" w:sz="2" w:space="0"/>
              <w:top w:val="single" w:color="000000" w:sz="2" w:space="0"/>
            </w:tcBorders>
          </w:tcPr>
          <w:p>
            <w:pPr>
              <w:pStyle w:val="TableText"/>
              <w:ind w:left="83"/>
              <w:spacing w:before="83" w:line="218" w:lineRule="auto"/>
              <w:rPr>
                <w:sz w:val="12"/>
                <w:szCs w:val="12"/>
              </w:rPr>
            </w:pPr>
            <w:r>
              <w:rPr>
                <w:sz w:val="12"/>
                <w:szCs w:val="12"/>
                <w:spacing w:val="-1"/>
              </w:rPr>
              <w:t>8%丁硫克百成，毒死肆颗粒</w:t>
            </w:r>
          </w:p>
        </w:tc>
        <w:tc>
          <w:tcPr>
            <w:tcW w:w="1329" w:type="dxa"/>
            <w:vAlign w:val="top"/>
            <w:tcBorders>
              <w:bottom w:val="single" w:color="000000" w:sz="2" w:space="0"/>
              <w:top w:val="single" w:color="000000" w:sz="2" w:space="0"/>
            </w:tcBorders>
          </w:tcPr>
          <w:p>
            <w:pPr>
              <w:pStyle w:val="TableText"/>
              <w:ind w:left="265"/>
              <w:spacing w:before="84" w:line="219" w:lineRule="auto"/>
              <w:rPr>
                <w:sz w:val="12"/>
                <w:szCs w:val="12"/>
              </w:rPr>
            </w:pPr>
            <w:r>
              <w:rPr>
                <w:sz w:val="12"/>
                <w:szCs w:val="12"/>
                <w:spacing w:val="-1"/>
              </w:rPr>
              <w:t>稀释500-600倍</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87"/>
              <w:spacing w:before="84" w:line="220" w:lineRule="auto"/>
              <w:rPr>
                <w:sz w:val="12"/>
                <w:szCs w:val="12"/>
              </w:rPr>
            </w:pPr>
            <w:r>
              <w:rPr>
                <w:sz w:val="12"/>
                <w:szCs w:val="12"/>
                <w:spacing w:val="-1"/>
              </w:rPr>
              <w:t>200ml*30B/箱</w:t>
            </w:r>
          </w:p>
        </w:tc>
        <w:tc>
          <w:tcPr>
            <w:tcW w:w="2843" w:type="dxa"/>
            <w:vAlign w:val="top"/>
            <w:tcBorders>
              <w:bottom w:val="single" w:color="000000" w:sz="2" w:space="0"/>
              <w:top w:val="single" w:color="000000" w:sz="2" w:space="0"/>
            </w:tcBorders>
          </w:tcPr>
          <w:p>
            <w:pPr>
              <w:pStyle w:val="TableText"/>
              <w:ind w:left="18"/>
              <w:spacing w:before="14" w:line="193" w:lineRule="auto"/>
              <w:rPr>
                <w:sz w:val="12"/>
                <w:szCs w:val="12"/>
              </w:rPr>
            </w:pPr>
            <w:r>
              <w:rPr>
                <w:sz w:val="12"/>
                <w:szCs w:val="12"/>
                <w:spacing w:val="-9"/>
              </w:rPr>
              <w:t>本</w:t>
            </w:r>
            <w:r>
              <w:rPr>
                <w:sz w:val="12"/>
                <w:szCs w:val="12"/>
                <w:spacing w:val="-8"/>
              </w:rPr>
              <w:t>品可用于防治天牛、松毛虫，杨干象，红棉象甲等爬</w:t>
            </w:r>
            <w:r>
              <w:rPr>
                <w:sz w:val="12"/>
                <w:szCs w:val="12"/>
                <w:spacing w:val="-7"/>
              </w:rPr>
              <w:t>行</w:t>
            </w:r>
            <w:r>
              <w:rPr>
                <w:sz w:val="12"/>
                <w:szCs w:val="12"/>
                <w:spacing w:val="13"/>
              </w:rPr>
              <w:t xml:space="preserve"> </w:t>
            </w:r>
            <w:r>
              <w:rPr>
                <w:sz w:val="12"/>
                <w:szCs w:val="12"/>
                <w:spacing w:val="-1"/>
              </w:rPr>
              <w:t>类害虫，对助治各种天牛特效</w:t>
            </w:r>
          </w:p>
        </w:tc>
      </w:tr>
      <w:tr>
        <w:trPr>
          <w:trHeight w:val="27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223"/>
              <w:spacing w:before="83" w:line="218" w:lineRule="auto"/>
              <w:rPr>
                <w:sz w:val="12"/>
                <w:szCs w:val="12"/>
              </w:rPr>
            </w:pPr>
            <w:r>
              <w:rPr>
                <w:sz w:val="12"/>
                <w:szCs w:val="12"/>
                <w:spacing w:val="1"/>
              </w:rPr>
              <w:t>中威蛀干害虫专用</w:t>
            </w:r>
          </w:p>
        </w:tc>
        <w:tc>
          <w:tcPr>
            <w:tcW w:w="1619" w:type="dxa"/>
            <w:vAlign w:val="top"/>
            <w:tcBorders>
              <w:bottom w:val="single" w:color="000000" w:sz="2" w:space="0"/>
              <w:top w:val="single" w:color="000000" w:sz="2" w:space="0"/>
            </w:tcBorders>
          </w:tcPr>
          <w:p>
            <w:pPr>
              <w:pStyle w:val="TableText"/>
              <w:ind w:left="504"/>
              <w:spacing w:before="83" w:line="219" w:lineRule="auto"/>
              <w:rPr>
                <w:sz w:val="12"/>
                <w:szCs w:val="12"/>
              </w:rPr>
            </w:pPr>
            <w:r>
              <w:rPr>
                <w:sz w:val="12"/>
                <w:szCs w:val="12"/>
                <w:spacing w:val="-1"/>
              </w:rPr>
              <w:t>0.2%氯菊酯</w:t>
            </w:r>
          </w:p>
        </w:tc>
        <w:tc>
          <w:tcPr>
            <w:tcW w:w="1329" w:type="dxa"/>
            <w:vAlign w:val="top"/>
            <w:tcBorders>
              <w:bottom w:val="single" w:color="000000" w:sz="2" w:space="0"/>
              <w:top w:val="single" w:color="000000" w:sz="2" w:space="0"/>
            </w:tcBorders>
          </w:tcPr>
          <w:p>
            <w:pPr>
              <w:pStyle w:val="TableText"/>
              <w:ind w:left="415"/>
              <w:spacing w:before="83" w:line="219" w:lineRule="auto"/>
              <w:rPr>
                <w:sz w:val="12"/>
                <w:szCs w:val="12"/>
              </w:rPr>
            </w:pPr>
            <w:r>
              <w:rPr>
                <w:sz w:val="12"/>
                <w:szCs w:val="12"/>
                <w:spacing w:val="3"/>
              </w:rPr>
              <w:t>直接使用</w:t>
            </w:r>
          </w:p>
        </w:tc>
        <w:tc>
          <w:tcPr>
            <w:tcW w:w="1149" w:type="dxa"/>
            <w:vAlign w:val="top"/>
            <w:vMerge w:val="continue"/>
            <w:tcBorders>
              <w:bottom w:val="single" w:color="000000" w:sz="2" w:space="0"/>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77"/>
              <w:spacing w:before="84" w:line="220" w:lineRule="auto"/>
              <w:rPr>
                <w:sz w:val="12"/>
                <w:szCs w:val="12"/>
              </w:rPr>
            </w:pPr>
            <w:r>
              <w:rPr>
                <w:sz w:val="12"/>
                <w:szCs w:val="12"/>
                <w:spacing w:val="4"/>
              </w:rPr>
              <w:t>(20</w:t>
            </w:r>
            <w:r>
              <w:rPr>
                <w:sz w:val="12"/>
                <w:szCs w:val="12"/>
              </w:rPr>
              <w:t>ml</w:t>
            </w:r>
            <w:r>
              <w:rPr>
                <w:sz w:val="12"/>
                <w:szCs w:val="12"/>
                <w:spacing w:val="4"/>
              </w:rPr>
              <w:t>/支)</w:t>
            </w:r>
          </w:p>
        </w:tc>
        <w:tc>
          <w:tcPr>
            <w:tcW w:w="2843" w:type="dxa"/>
            <w:vAlign w:val="top"/>
            <w:tcBorders>
              <w:bottom w:val="single" w:color="000000" w:sz="2" w:space="0"/>
              <w:top w:val="single" w:color="000000" w:sz="2" w:space="0"/>
            </w:tcBorders>
          </w:tcPr>
          <w:p>
            <w:pPr>
              <w:pStyle w:val="TableText"/>
              <w:spacing w:before="83" w:line="218" w:lineRule="auto"/>
              <w:jc w:val="right"/>
              <w:rPr>
                <w:sz w:val="12"/>
                <w:szCs w:val="12"/>
              </w:rPr>
            </w:pPr>
            <w:r>
              <w:rPr>
                <w:sz w:val="12"/>
                <w:szCs w:val="12"/>
                <w:spacing w:val="-3"/>
              </w:rPr>
              <w:t>计对天牛幼虫，吉丁虫、松材线虫等蛀干害虫效果明是</w:t>
            </w:r>
          </w:p>
        </w:tc>
      </w:tr>
      <w:tr>
        <w:trPr>
          <w:trHeight w:val="215" w:hRule="atLeast"/>
        </w:trPr>
        <w:tc>
          <w:tcPr>
            <w:tcW w:w="385" w:type="dxa"/>
            <w:vAlign w:val="top"/>
            <w:vMerge w:val="continue"/>
            <w:tcBorders>
              <w:bottom w:val="nil"/>
              <w:top w:val="nil"/>
            </w:tcBorders>
          </w:tcPr>
          <w:p>
            <w:pPr>
              <w:rPr>
                <w:rFonts w:ascii="Arial"/>
                <w:sz w:val="21"/>
              </w:rPr>
            </w:pPr>
            <w:r/>
          </w:p>
        </w:tc>
        <w:tc>
          <w:tcPr>
            <w:tcW w:w="810" w:type="dxa"/>
            <w:vAlign w:val="top"/>
            <w:vMerge w:val="restart"/>
            <w:tcBorders>
              <w:bottom w:val="nil"/>
              <w:top w:val="single" w:color="000000" w:sz="2" w:space="0"/>
            </w:tcBorders>
          </w:tcPr>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50"/>
              <w:spacing w:before="39" w:line="220" w:lineRule="auto"/>
              <w:rPr>
                <w:sz w:val="12"/>
                <w:szCs w:val="12"/>
              </w:rPr>
            </w:pPr>
            <w:r>
              <w:rPr>
                <w:sz w:val="12"/>
                <w:szCs w:val="12"/>
                <w:spacing w:val="-1"/>
              </w:rPr>
              <w:t>地下害虫</w:t>
            </w:r>
          </w:p>
        </w:tc>
        <w:tc>
          <w:tcPr>
            <w:tcW w:w="889" w:type="dxa"/>
            <w:vAlign w:val="top"/>
            <w:vMerge w:val="restart"/>
            <w:tcBorders>
              <w:bottom w:val="nil"/>
              <w:top w:val="single" w:color="000000" w:sz="2" w:space="0"/>
            </w:tcBorders>
          </w:tcPr>
          <w:p>
            <w:pPr>
              <w:spacing w:line="345" w:lineRule="auto"/>
              <w:rPr>
                <w:rFonts w:ascii="Arial"/>
                <w:sz w:val="21"/>
              </w:rPr>
            </w:pPr>
            <w:r/>
          </w:p>
          <w:p>
            <w:pPr>
              <w:spacing w:line="345" w:lineRule="auto"/>
              <w:rPr>
                <w:rFonts w:ascii="Arial"/>
                <w:sz w:val="21"/>
              </w:rPr>
            </w:pPr>
            <w:r/>
          </w:p>
          <w:p>
            <w:pPr>
              <w:pStyle w:val="TableText"/>
              <w:ind w:left="119" w:hanging="79"/>
              <w:spacing w:before="39" w:line="210" w:lineRule="auto"/>
              <w:rPr>
                <w:sz w:val="12"/>
                <w:szCs w:val="12"/>
              </w:rPr>
            </w:pPr>
            <w:r>
              <w:rPr>
                <w:sz w:val="12"/>
                <w:szCs w:val="12"/>
                <w:spacing w:val="-1"/>
              </w:rPr>
              <w:t>蛴蟾、地老虎，</w:t>
            </w:r>
            <w:r>
              <w:rPr>
                <w:sz w:val="12"/>
                <w:szCs w:val="12"/>
                <w:spacing w:val="4"/>
              </w:rPr>
              <w:t xml:space="preserve"> </w:t>
            </w:r>
            <w:r>
              <w:rPr>
                <w:sz w:val="12"/>
                <w:szCs w:val="12"/>
                <w:spacing w:val="-1"/>
              </w:rPr>
              <w:t>其他土中虫卵</w:t>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54" w:line="219" w:lineRule="auto"/>
              <w:rPr>
                <w:sz w:val="12"/>
                <w:szCs w:val="12"/>
              </w:rPr>
            </w:pPr>
            <w:r>
              <w:rPr>
                <w:sz w:val="12"/>
                <w:szCs w:val="12"/>
                <w:spacing w:val="1"/>
              </w:rPr>
              <w:t>国光地杀</w:t>
            </w:r>
          </w:p>
        </w:tc>
        <w:tc>
          <w:tcPr>
            <w:tcW w:w="1619" w:type="dxa"/>
            <w:vAlign w:val="top"/>
            <w:tcBorders>
              <w:bottom w:val="single" w:color="000000" w:sz="2" w:space="0"/>
              <w:top w:val="single" w:color="000000" w:sz="2" w:space="0"/>
            </w:tcBorders>
          </w:tcPr>
          <w:p>
            <w:pPr>
              <w:pStyle w:val="TableText"/>
              <w:ind w:left="54"/>
              <w:spacing w:before="54" w:line="218" w:lineRule="auto"/>
              <w:rPr>
                <w:sz w:val="12"/>
                <w:szCs w:val="12"/>
              </w:rPr>
            </w:pPr>
            <w:r>
              <w:rPr>
                <w:sz w:val="12"/>
                <w:szCs w:val="12"/>
                <w:spacing w:val="-1"/>
              </w:rPr>
              <w:t>5%丁破克百威 毒死婢颗粒剂</w:t>
            </w:r>
          </w:p>
        </w:tc>
        <w:tc>
          <w:tcPr>
            <w:tcW w:w="1329" w:type="dxa"/>
            <w:vAlign w:val="top"/>
            <w:tcBorders>
              <w:bottom w:val="single" w:color="000000" w:sz="2" w:space="0"/>
              <w:top w:val="single" w:color="000000" w:sz="2" w:space="0"/>
            </w:tcBorders>
          </w:tcPr>
          <w:p>
            <w:pPr>
              <w:pStyle w:val="TableText"/>
              <w:ind w:left="115"/>
              <w:spacing w:before="50" w:line="213" w:lineRule="auto"/>
              <w:rPr>
                <w:sz w:val="12"/>
                <w:szCs w:val="12"/>
              </w:rPr>
            </w:pPr>
            <w:r>
              <w:rPr>
                <w:sz w:val="12"/>
                <w:szCs w:val="12"/>
                <w:spacing w:val="-1"/>
              </w:rPr>
              <w:t>直接撒施：4-5kg/亩</w:t>
            </w:r>
          </w:p>
        </w:tc>
        <w:tc>
          <w:tcPr>
            <w:tcW w:w="1149" w:type="dxa"/>
            <w:vAlign w:val="top"/>
            <w:vMerge w:val="restart"/>
            <w:tcBorders>
              <w:bottom w:val="nil"/>
              <w:top w:val="single" w:color="000000" w:sz="2" w:space="0"/>
            </w:tcBorders>
          </w:tcPr>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296"/>
              <w:spacing w:before="39" w:line="219" w:lineRule="auto"/>
              <w:rPr>
                <w:sz w:val="12"/>
                <w:szCs w:val="12"/>
              </w:rPr>
            </w:pPr>
            <w:r>
              <w:rPr>
                <w:sz w:val="12"/>
                <w:szCs w:val="12"/>
                <w:spacing w:val="-2"/>
              </w:rPr>
              <w:t>一般用2次</w:t>
            </w:r>
          </w:p>
        </w:tc>
        <w:tc>
          <w:tcPr>
            <w:tcW w:w="909" w:type="dxa"/>
            <w:vAlign w:val="top"/>
            <w:tcBorders>
              <w:bottom w:val="single" w:color="000000" w:sz="2" w:space="0"/>
              <w:top w:val="single" w:color="000000" w:sz="2" w:space="0"/>
            </w:tcBorders>
          </w:tcPr>
          <w:p>
            <w:pPr>
              <w:pStyle w:val="TableText"/>
              <w:ind w:left="207"/>
              <w:spacing w:before="50" w:line="213" w:lineRule="auto"/>
              <w:rPr>
                <w:sz w:val="12"/>
                <w:szCs w:val="12"/>
              </w:rPr>
            </w:pPr>
            <w:r>
              <w:rPr>
                <w:sz w:val="12"/>
                <w:szCs w:val="12"/>
                <w:spacing w:val="5"/>
              </w:rPr>
              <w:t>(1</w:t>
            </w:r>
            <w:r>
              <w:rPr>
                <w:sz w:val="12"/>
                <w:szCs w:val="12"/>
              </w:rPr>
              <w:t>kg</w:t>
            </w:r>
            <w:r>
              <w:rPr>
                <w:sz w:val="12"/>
                <w:szCs w:val="12"/>
                <w:spacing w:val="5"/>
              </w:rPr>
              <w:t>/装)</w:t>
            </w:r>
          </w:p>
        </w:tc>
        <w:tc>
          <w:tcPr>
            <w:tcW w:w="2843" w:type="dxa"/>
            <w:vAlign w:val="top"/>
            <w:tcBorders>
              <w:bottom w:val="single" w:color="000000" w:sz="2" w:space="0"/>
              <w:top w:val="single" w:color="000000" w:sz="2" w:space="0"/>
            </w:tcBorders>
          </w:tcPr>
          <w:p>
            <w:pPr>
              <w:pStyle w:val="TableText"/>
              <w:ind w:left="18"/>
              <w:spacing w:before="54" w:line="219" w:lineRule="auto"/>
              <w:rPr>
                <w:sz w:val="12"/>
                <w:szCs w:val="12"/>
              </w:rPr>
            </w:pPr>
            <w:r>
              <w:rPr>
                <w:sz w:val="12"/>
                <w:szCs w:val="12"/>
                <w:spacing w:val="-1"/>
              </w:rPr>
              <w:t>在土壤中杀灭害虫效果好，使用方便</w:t>
            </w:r>
          </w:p>
        </w:tc>
      </w:tr>
      <w:tr>
        <w:trPr>
          <w:trHeight w:val="19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43" w:line="217" w:lineRule="auto"/>
              <w:rPr>
                <w:sz w:val="12"/>
                <w:szCs w:val="12"/>
              </w:rPr>
            </w:pPr>
            <w:r>
              <w:rPr>
                <w:sz w:val="12"/>
                <w:szCs w:val="12"/>
                <w:spacing w:val="-2"/>
              </w:rPr>
              <w:t>一灌树无虫</w:t>
            </w:r>
          </w:p>
        </w:tc>
        <w:tc>
          <w:tcPr>
            <w:tcW w:w="1619" w:type="dxa"/>
            <w:vAlign w:val="top"/>
            <w:tcBorders>
              <w:bottom w:val="single" w:color="000000" w:sz="2" w:space="0"/>
              <w:top w:val="single" w:color="000000" w:sz="2" w:space="0"/>
            </w:tcBorders>
          </w:tcPr>
          <w:p>
            <w:pPr>
              <w:pStyle w:val="TableText"/>
              <w:ind w:left="504"/>
              <w:spacing w:before="43" w:line="217" w:lineRule="auto"/>
              <w:rPr>
                <w:sz w:val="12"/>
                <w:szCs w:val="12"/>
              </w:rPr>
            </w:pPr>
            <w:r>
              <w:rPr>
                <w:sz w:val="12"/>
                <w:szCs w:val="12"/>
                <w:spacing w:val="-2"/>
              </w:rPr>
              <w:t>辛疏磷复配</w:t>
            </w:r>
          </w:p>
        </w:tc>
        <w:tc>
          <w:tcPr>
            <w:tcW w:w="1329" w:type="dxa"/>
            <w:vAlign w:val="top"/>
            <w:tcBorders>
              <w:bottom w:val="single" w:color="000000" w:sz="2" w:space="0"/>
              <w:top w:val="single" w:color="000000" w:sz="2" w:space="0"/>
            </w:tcBorders>
          </w:tcPr>
          <w:p>
            <w:pPr>
              <w:pStyle w:val="TableText"/>
              <w:ind w:left="215"/>
              <w:spacing w:before="43" w:line="217" w:lineRule="auto"/>
              <w:rPr>
                <w:sz w:val="12"/>
                <w:szCs w:val="12"/>
              </w:rPr>
            </w:pPr>
            <w:r>
              <w:rPr>
                <w:sz w:val="12"/>
                <w:szCs w:val="12"/>
                <w:spacing w:val="-1"/>
              </w:rPr>
              <w:t>稀释1500-2000倍液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47"/>
              <w:spacing w:before="45" w:line="215" w:lineRule="auto"/>
              <w:rPr>
                <w:sz w:val="12"/>
                <w:szCs w:val="12"/>
              </w:rPr>
            </w:pPr>
            <w:r>
              <w:rPr>
                <w:sz w:val="12"/>
                <w:szCs w:val="12"/>
                <w:spacing w:val="3"/>
              </w:rPr>
              <w:t>(100</w:t>
            </w:r>
            <w:r>
              <w:rPr>
                <w:sz w:val="12"/>
                <w:szCs w:val="12"/>
              </w:rPr>
              <w:t>ml</w:t>
            </w:r>
            <w:r>
              <w:rPr>
                <w:sz w:val="12"/>
                <w:szCs w:val="12"/>
                <w:spacing w:val="3"/>
              </w:rPr>
              <w:t>/瓶)</w:t>
            </w:r>
          </w:p>
        </w:tc>
        <w:tc>
          <w:tcPr>
            <w:tcW w:w="2843" w:type="dxa"/>
            <w:vAlign w:val="top"/>
            <w:tcBorders>
              <w:bottom w:val="single" w:color="000000" w:sz="2" w:space="0"/>
              <w:top w:val="single" w:color="000000" w:sz="2" w:space="0"/>
            </w:tcBorders>
          </w:tcPr>
          <w:p>
            <w:pPr>
              <w:pStyle w:val="TableText"/>
              <w:ind w:left="18"/>
              <w:spacing w:before="43" w:line="217" w:lineRule="auto"/>
              <w:rPr>
                <w:sz w:val="12"/>
                <w:szCs w:val="12"/>
              </w:rPr>
            </w:pPr>
            <w:r>
              <w:rPr>
                <w:sz w:val="12"/>
                <w:szCs w:val="12"/>
              </w:rPr>
              <w:t>用于灌根，具有内吸、胃杀、触桑、熏落和渗透作用</w:t>
            </w:r>
          </w:p>
        </w:tc>
      </w:tr>
      <w:tr>
        <w:trPr>
          <w:trHeight w:val="33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523"/>
              <w:spacing w:before="114" w:line="219" w:lineRule="auto"/>
              <w:rPr>
                <w:sz w:val="12"/>
                <w:szCs w:val="12"/>
              </w:rPr>
            </w:pPr>
            <w:r>
              <w:rPr>
                <w:sz w:val="12"/>
                <w:szCs w:val="12"/>
                <w:spacing w:val="-2"/>
              </w:rPr>
              <w:t>辛硫磷</w:t>
            </w:r>
          </w:p>
        </w:tc>
        <w:tc>
          <w:tcPr>
            <w:tcW w:w="1619" w:type="dxa"/>
            <w:vAlign w:val="top"/>
            <w:tcBorders>
              <w:bottom w:val="single" w:color="000000" w:sz="2" w:space="0"/>
              <w:top w:val="single" w:color="000000" w:sz="2" w:space="0"/>
            </w:tcBorders>
          </w:tcPr>
          <w:p>
            <w:pPr>
              <w:pStyle w:val="TableText"/>
              <w:ind w:left="534"/>
              <w:spacing w:before="114" w:line="219" w:lineRule="auto"/>
              <w:rPr>
                <w:sz w:val="12"/>
                <w:szCs w:val="12"/>
              </w:rPr>
            </w:pPr>
            <w:r>
              <w:rPr>
                <w:sz w:val="12"/>
                <w:szCs w:val="12"/>
                <w:spacing w:val="-1"/>
              </w:rPr>
              <w:t>50%串硫磷</w:t>
            </w:r>
          </w:p>
        </w:tc>
        <w:tc>
          <w:tcPr>
            <w:tcW w:w="1329" w:type="dxa"/>
            <w:vAlign w:val="top"/>
            <w:tcBorders>
              <w:bottom w:val="single" w:color="000000" w:sz="2" w:space="0"/>
              <w:top w:val="single" w:color="000000" w:sz="2" w:space="0"/>
            </w:tcBorders>
          </w:tcPr>
          <w:p>
            <w:pPr>
              <w:pStyle w:val="TableText"/>
              <w:ind w:left="145"/>
              <w:spacing w:before="114" w:line="219" w:lineRule="auto"/>
              <w:rPr>
                <w:sz w:val="12"/>
                <w:szCs w:val="12"/>
              </w:rPr>
            </w:pPr>
            <w:r>
              <w:rPr>
                <w:sz w:val="12"/>
                <w:szCs w:val="12"/>
                <w:spacing w:val="-1"/>
              </w:rPr>
              <w:t>稀释1000-2000倍液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57"/>
              <w:spacing w:before="44" w:line="199" w:lineRule="auto"/>
              <w:rPr>
                <w:sz w:val="12"/>
                <w:szCs w:val="12"/>
              </w:rPr>
            </w:pPr>
            <w:r>
              <w:rPr>
                <w:sz w:val="12"/>
                <w:szCs w:val="12"/>
                <w:spacing w:val="-2"/>
              </w:rPr>
              <w:t>200mL/瓶</w:t>
            </w:r>
            <w:r>
              <w:rPr>
                <w:sz w:val="12"/>
                <w:szCs w:val="12"/>
                <w:spacing w:val="6"/>
              </w:rPr>
              <w:t xml:space="preserve">   </w:t>
            </w:r>
            <w:r>
              <w:rPr>
                <w:sz w:val="12"/>
                <w:szCs w:val="12"/>
                <w:spacing w:val="-2"/>
              </w:rPr>
              <w:t>20</w:t>
            </w:r>
          </w:p>
          <w:p>
            <w:pPr>
              <w:pStyle w:val="TableText"/>
              <w:ind w:left="307"/>
              <w:spacing w:line="219" w:lineRule="auto"/>
              <w:rPr>
                <w:sz w:val="12"/>
                <w:szCs w:val="12"/>
              </w:rPr>
            </w:pPr>
            <w:r>
              <w:rPr>
                <w:sz w:val="12"/>
                <w:szCs w:val="12"/>
                <w:spacing w:val="-1"/>
              </w:rPr>
              <w:t>瓶/箱</w:t>
            </w:r>
          </w:p>
        </w:tc>
        <w:tc>
          <w:tcPr>
            <w:tcW w:w="2843" w:type="dxa"/>
            <w:vAlign w:val="top"/>
            <w:tcBorders>
              <w:bottom w:val="single" w:color="000000" w:sz="2" w:space="0"/>
              <w:top w:val="single" w:color="000000" w:sz="2" w:space="0"/>
            </w:tcBorders>
          </w:tcPr>
          <w:p>
            <w:pPr>
              <w:pStyle w:val="TableText"/>
              <w:ind w:left="18" w:firstLine="99"/>
              <w:spacing w:before="43" w:line="210" w:lineRule="auto"/>
              <w:rPr>
                <w:sz w:val="12"/>
                <w:szCs w:val="12"/>
              </w:rPr>
            </w:pPr>
            <w:r>
              <w:rPr>
                <w:sz w:val="12"/>
                <w:szCs w:val="12"/>
                <w:spacing w:val="-2"/>
              </w:rPr>
              <w:t>广谱杀虫剂，对鳞翅目大龄幼虫和地下害虫有较好效</w:t>
            </w:r>
            <w:r>
              <w:rPr>
                <w:sz w:val="12"/>
                <w:szCs w:val="12"/>
              </w:rPr>
              <w:t xml:space="preserve"> </w:t>
            </w:r>
            <w:r>
              <w:rPr>
                <w:sz w:val="12"/>
                <w:szCs w:val="12"/>
                <w:spacing w:val="-1"/>
              </w:rPr>
              <w:t>果，防泊蛴绩，蛟姑等</w:t>
            </w:r>
          </w:p>
        </w:tc>
      </w:tr>
      <w:tr>
        <w:trPr>
          <w:trHeight w:val="63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264" w:line="221" w:lineRule="auto"/>
              <w:rPr>
                <w:sz w:val="12"/>
                <w:szCs w:val="12"/>
              </w:rPr>
            </w:pPr>
            <w:r>
              <w:rPr>
                <w:sz w:val="12"/>
                <w:szCs w:val="12"/>
                <w:spacing w:val="-1"/>
              </w:rPr>
              <w:t>飘缘地丛</w:t>
            </w:r>
          </w:p>
        </w:tc>
        <w:tc>
          <w:tcPr>
            <w:tcW w:w="1619" w:type="dxa"/>
            <w:vAlign w:val="top"/>
            <w:tcBorders>
              <w:bottom w:val="single" w:color="000000" w:sz="2" w:space="0"/>
              <w:top w:val="single" w:color="000000" w:sz="2" w:space="0"/>
            </w:tcBorders>
          </w:tcPr>
          <w:p>
            <w:pPr>
              <w:pStyle w:val="TableText"/>
              <w:ind w:left="354"/>
              <w:spacing w:before="263" w:line="218" w:lineRule="auto"/>
              <w:rPr>
                <w:sz w:val="12"/>
                <w:szCs w:val="12"/>
              </w:rPr>
            </w:pPr>
            <w:r>
              <w:rPr>
                <w:sz w:val="12"/>
                <w:szCs w:val="12"/>
                <w:spacing w:val="-6"/>
              </w:rPr>
              <w:t>高氯</w:t>
            </w:r>
            <w:r>
              <w:rPr>
                <w:sz w:val="12"/>
                <w:szCs w:val="12"/>
                <w:spacing w:val="-15"/>
              </w:rPr>
              <w:t xml:space="preserve"> </w:t>
            </w:r>
            <w:r>
              <w:rPr>
                <w:sz w:val="12"/>
                <w:szCs w:val="12"/>
                <w:spacing w:val="-6"/>
              </w:rPr>
              <w:t>·毒死肆15%</w:t>
            </w:r>
          </w:p>
        </w:tc>
        <w:tc>
          <w:tcPr>
            <w:tcW w:w="1329" w:type="dxa"/>
            <w:vAlign w:val="top"/>
            <w:tcBorders>
              <w:bottom w:val="single" w:color="000000" w:sz="2" w:space="0"/>
              <w:top w:val="single" w:color="000000" w:sz="2" w:space="0"/>
            </w:tcBorders>
          </w:tcPr>
          <w:p>
            <w:pPr>
              <w:pStyle w:val="TableText"/>
              <w:ind w:left="85"/>
              <w:spacing w:before="263" w:line="219" w:lineRule="auto"/>
              <w:rPr>
                <w:sz w:val="12"/>
                <w:szCs w:val="12"/>
              </w:rPr>
            </w:pPr>
            <w:r>
              <w:rPr>
                <w:sz w:val="12"/>
                <w:szCs w:val="12"/>
                <w:spacing w:val="-1"/>
              </w:rPr>
              <w:t>稀释1200-150D倍浇灌</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87"/>
              <w:spacing w:before="263" w:line="220" w:lineRule="auto"/>
              <w:rPr>
                <w:sz w:val="12"/>
                <w:szCs w:val="12"/>
              </w:rPr>
            </w:pPr>
            <w:r>
              <w:rPr>
                <w:sz w:val="12"/>
                <w:szCs w:val="12"/>
                <w:spacing w:val="-1"/>
              </w:rPr>
              <w:t>5DOmL*2DB/箱</w:t>
            </w:r>
          </w:p>
        </w:tc>
        <w:tc>
          <w:tcPr>
            <w:tcW w:w="2843" w:type="dxa"/>
            <w:vAlign w:val="top"/>
            <w:tcBorders>
              <w:bottom w:val="single" w:color="000000" w:sz="2" w:space="0"/>
              <w:top w:val="single" w:color="000000" w:sz="2" w:space="0"/>
            </w:tcBorders>
          </w:tcPr>
          <w:p>
            <w:pPr>
              <w:pStyle w:val="TableText"/>
              <w:ind w:left="18"/>
              <w:spacing w:before="51" w:line="220" w:lineRule="auto"/>
              <w:jc w:val="both"/>
              <w:rPr>
                <w:sz w:val="12"/>
                <w:szCs w:val="12"/>
              </w:rPr>
            </w:pPr>
            <w:r>
              <w:rPr>
                <w:sz w:val="12"/>
                <w:szCs w:val="12"/>
                <w:spacing w:val="-5"/>
              </w:rPr>
              <w:t>渗入草坪下10c左右效果最佳，防治对象：地老虎，金针</w:t>
            </w:r>
            <w:r>
              <w:rPr>
                <w:sz w:val="12"/>
                <w:szCs w:val="12"/>
                <w:spacing w:val="2"/>
              </w:rPr>
              <w:t xml:space="preserve"> </w:t>
            </w:r>
            <w:r>
              <w:rPr>
                <w:sz w:val="12"/>
                <w:szCs w:val="12"/>
                <w:spacing w:val="-9"/>
              </w:rPr>
              <w:t>虫</w:t>
            </w:r>
            <w:r>
              <w:rPr>
                <w:sz w:val="12"/>
                <w:szCs w:val="12"/>
                <w:spacing w:val="-8"/>
              </w:rPr>
              <w:t>、蚂蚁、蛴蜻、金龟子、青虫、帖虫，具有触杀，胃</w:t>
            </w:r>
            <w:r>
              <w:rPr>
                <w:sz w:val="12"/>
                <w:szCs w:val="12"/>
                <w:spacing w:val="-7"/>
              </w:rPr>
              <w:t>毒</w:t>
            </w:r>
            <w:r>
              <w:rPr>
                <w:sz w:val="12"/>
                <w:szCs w:val="12"/>
                <w:spacing w:val="13"/>
              </w:rPr>
              <w:t xml:space="preserve"> </w:t>
            </w:r>
            <w:r>
              <w:rPr>
                <w:sz w:val="12"/>
                <w:szCs w:val="12"/>
                <w:spacing w:val="-9"/>
              </w:rPr>
              <w:t>作</w:t>
            </w:r>
            <w:r>
              <w:rPr>
                <w:sz w:val="12"/>
                <w:szCs w:val="12"/>
                <w:spacing w:val="-8"/>
              </w:rPr>
              <w:t>用，在土壤中不能移动，残效期长，本品含高地下虫</w:t>
            </w:r>
            <w:r>
              <w:rPr>
                <w:sz w:val="12"/>
                <w:szCs w:val="12"/>
                <w:spacing w:val="-7"/>
              </w:rPr>
              <w:t>渗</w:t>
            </w:r>
            <w:r>
              <w:rPr>
                <w:sz w:val="12"/>
                <w:szCs w:val="12"/>
                <w:spacing w:val="12"/>
              </w:rPr>
              <w:t xml:space="preserve"> </w:t>
            </w:r>
            <w:r>
              <w:rPr>
                <w:sz w:val="12"/>
                <w:szCs w:val="12"/>
                <w:spacing w:val="-1"/>
              </w:rPr>
              <w:t>透剂，能迅速渗入土层。</w:t>
            </w:r>
          </w:p>
        </w:tc>
      </w:tr>
      <w:tr>
        <w:trPr>
          <w:trHeight w:val="275" w:hRule="atLeast"/>
        </w:trPr>
        <w:tc>
          <w:tcPr>
            <w:tcW w:w="385" w:type="dxa"/>
            <w:vAlign w:val="top"/>
            <w:vMerge w:val="continue"/>
            <w:tcBorders>
              <w:bottom w:val="single" w:color="000000" w:sz="2" w:space="0"/>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84" w:line="220" w:lineRule="auto"/>
              <w:rPr>
                <w:sz w:val="12"/>
                <w:szCs w:val="12"/>
              </w:rPr>
            </w:pPr>
            <w:r>
              <w:rPr>
                <w:sz w:val="12"/>
                <w:szCs w:val="12"/>
              </w:rPr>
              <w:t>中威击绿健</w:t>
            </w:r>
          </w:p>
        </w:tc>
        <w:tc>
          <w:tcPr>
            <w:tcW w:w="1619" w:type="dxa"/>
            <w:vAlign w:val="top"/>
            <w:tcBorders>
              <w:bottom w:val="single" w:color="000000" w:sz="2" w:space="0"/>
              <w:top w:val="single" w:color="000000" w:sz="2" w:space="0"/>
            </w:tcBorders>
          </w:tcPr>
          <w:p>
            <w:pPr>
              <w:pStyle w:val="TableText"/>
              <w:ind w:left="143"/>
              <w:spacing w:before="83" w:line="218" w:lineRule="auto"/>
              <w:rPr>
                <w:sz w:val="12"/>
                <w:szCs w:val="12"/>
              </w:rPr>
            </w:pPr>
            <w:r>
              <w:rPr>
                <w:sz w:val="12"/>
                <w:szCs w:val="12"/>
                <w:spacing w:val="-1"/>
              </w:rPr>
              <w:t>丁磷克百威毒死蚌颗粒剂</w:t>
            </w:r>
          </w:p>
        </w:tc>
        <w:tc>
          <w:tcPr>
            <w:tcW w:w="1329" w:type="dxa"/>
            <w:vAlign w:val="top"/>
            <w:tcBorders>
              <w:bottom w:val="single" w:color="000000" w:sz="2" w:space="0"/>
              <w:top w:val="single" w:color="000000" w:sz="2" w:space="0"/>
            </w:tcBorders>
          </w:tcPr>
          <w:p>
            <w:pPr>
              <w:pStyle w:val="TableText"/>
              <w:ind w:left="205"/>
              <w:spacing w:before="80" w:line="213" w:lineRule="auto"/>
              <w:rPr>
                <w:sz w:val="12"/>
                <w:szCs w:val="12"/>
              </w:rPr>
            </w:pPr>
            <w:r>
              <w:rPr>
                <w:sz w:val="12"/>
                <w:szCs w:val="12"/>
                <w:spacing w:val="-1"/>
              </w:rPr>
              <w:t>直按撒施，每亩g</w:t>
            </w:r>
          </w:p>
        </w:tc>
        <w:tc>
          <w:tcPr>
            <w:tcW w:w="1149" w:type="dxa"/>
            <w:vAlign w:val="top"/>
            <w:vMerge w:val="continue"/>
            <w:tcBorders>
              <w:bottom w:val="single" w:color="000000" w:sz="2" w:space="0"/>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207"/>
              <w:spacing w:before="80" w:line="213" w:lineRule="auto"/>
              <w:rPr>
                <w:sz w:val="12"/>
                <w:szCs w:val="12"/>
              </w:rPr>
            </w:pPr>
            <w:r>
              <w:rPr>
                <w:sz w:val="12"/>
                <w:szCs w:val="12"/>
                <w:spacing w:val="6"/>
              </w:rPr>
              <w:t>(</w:t>
            </w:r>
            <w:r>
              <w:rPr>
                <w:sz w:val="12"/>
                <w:szCs w:val="12"/>
              </w:rPr>
              <w:t>lkg</w:t>
            </w:r>
            <w:r>
              <w:rPr>
                <w:sz w:val="12"/>
                <w:szCs w:val="12"/>
                <w:spacing w:val="6"/>
              </w:rPr>
              <w:t>/袋)</w:t>
            </w:r>
          </w:p>
        </w:tc>
        <w:tc>
          <w:tcPr>
            <w:tcW w:w="2843" w:type="dxa"/>
            <w:vAlign w:val="top"/>
            <w:tcBorders>
              <w:bottom w:val="single" w:color="000000" w:sz="2" w:space="0"/>
              <w:top w:val="single" w:color="000000" w:sz="2" w:space="0"/>
            </w:tcBorders>
          </w:tcPr>
          <w:p>
            <w:pPr>
              <w:pStyle w:val="TableText"/>
              <w:ind w:left="18"/>
              <w:spacing w:before="14" w:line="193" w:lineRule="auto"/>
              <w:rPr>
                <w:sz w:val="12"/>
                <w:szCs w:val="12"/>
              </w:rPr>
            </w:pPr>
            <w:r>
              <w:rPr>
                <w:sz w:val="12"/>
                <w:szCs w:val="12"/>
                <w:spacing w:val="-3"/>
              </w:rPr>
              <w:t>专治草坪地下害虫《蛴蜡、金针虫，地老虎，根结线虫</w:t>
            </w:r>
            <w:r>
              <w:rPr>
                <w:sz w:val="12"/>
                <w:szCs w:val="12"/>
                <w:spacing w:val="5"/>
              </w:rPr>
              <w:t xml:space="preserve"> </w:t>
            </w:r>
            <w:r>
              <w:rPr>
                <w:sz w:val="12"/>
                <w:szCs w:val="12"/>
                <w:spacing w:val="-3"/>
              </w:rPr>
              <w:t>等</w:t>
            </w:r>
            <w:r>
              <w:rPr>
                <w:sz w:val="12"/>
                <w:szCs w:val="12"/>
                <w:spacing w:val="-23"/>
              </w:rPr>
              <w:t xml:space="preserve"> </w:t>
            </w:r>
            <w:r>
              <w:rPr>
                <w:sz w:val="12"/>
                <w:szCs w:val="12"/>
                <w:spacing w:val="-3"/>
              </w:rPr>
              <w:t>)</w:t>
            </w:r>
          </w:p>
        </w:tc>
      </w:tr>
      <w:tr>
        <w:trPr>
          <w:trHeight w:val="195" w:hRule="atLeast"/>
        </w:trPr>
        <w:tc>
          <w:tcPr>
            <w:tcW w:w="385" w:type="dxa"/>
            <w:vAlign w:val="top"/>
            <w:vMerge w:val="restart"/>
            <w:tcBorders>
              <w:bottom w:val="nil"/>
              <w:top w:val="single" w:color="000000" w:sz="2" w:space="0"/>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4"/>
              <w:spacing w:before="39" w:line="200" w:lineRule="auto"/>
              <w:rPr>
                <w:sz w:val="12"/>
                <w:szCs w:val="12"/>
              </w:rPr>
            </w:pPr>
            <w:r>
              <w:rPr>
                <w:sz w:val="12"/>
                <w:szCs w:val="12"/>
                <w:spacing w:val="-2"/>
              </w:rPr>
              <w:t>营养剂</w:t>
            </w:r>
          </w:p>
          <w:p>
            <w:pPr>
              <w:pStyle w:val="TableText"/>
              <w:ind w:left="34"/>
              <w:spacing w:line="218" w:lineRule="auto"/>
              <w:rPr>
                <w:sz w:val="12"/>
                <w:szCs w:val="12"/>
              </w:rPr>
            </w:pPr>
            <w:r>
              <w:rPr>
                <w:sz w:val="12"/>
                <w:szCs w:val="12"/>
                <w:spacing w:val="-1"/>
              </w:rPr>
              <w:t>/肥料</w:t>
            </w:r>
          </w:p>
        </w:tc>
        <w:tc>
          <w:tcPr>
            <w:tcW w:w="810"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50"/>
              <w:spacing w:before="39" w:line="219" w:lineRule="auto"/>
              <w:rPr>
                <w:sz w:val="12"/>
                <w:szCs w:val="12"/>
              </w:rPr>
            </w:pPr>
            <w:r>
              <w:rPr>
                <w:sz w:val="12"/>
                <w:szCs w:val="12"/>
                <w:spacing w:val="-1"/>
              </w:rPr>
              <w:t>树木复壮</w:t>
            </w:r>
          </w:p>
        </w:tc>
        <w:tc>
          <w:tcPr>
            <w:tcW w:w="889" w:type="dxa"/>
            <w:vAlign w:val="top"/>
            <w:vMerge w:val="restart"/>
            <w:tcBorders>
              <w:bottom w:val="nil"/>
              <w:top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10"/>
              <w:spacing w:before="39" w:line="215" w:lineRule="auto"/>
              <w:rPr>
                <w:sz w:val="12"/>
                <w:szCs w:val="12"/>
              </w:rPr>
            </w:pPr>
            <w:r>
              <w:rPr>
                <w:sz w:val="12"/>
                <w:szCs w:val="12"/>
                <w:spacing w:val="2"/>
              </w:rPr>
              <w:t>树木长势弱，自</w:t>
            </w:r>
          </w:p>
          <w:p>
            <w:pPr>
              <w:pStyle w:val="TableText"/>
              <w:ind w:left="10"/>
              <w:spacing w:line="199" w:lineRule="auto"/>
              <w:rPr>
                <w:sz w:val="12"/>
                <w:szCs w:val="12"/>
              </w:rPr>
            </w:pPr>
            <w:r>
              <w:rPr>
                <w:sz w:val="12"/>
                <w:szCs w:val="12"/>
                <w:spacing w:val="-1"/>
              </w:rPr>
              <w:t>顶部向下有枯黄</w:t>
            </w:r>
          </w:p>
          <w:p>
            <w:pPr>
              <w:pStyle w:val="TableText"/>
              <w:spacing w:line="199" w:lineRule="auto"/>
              <w:jc w:val="right"/>
              <w:rPr>
                <w:sz w:val="12"/>
                <w:szCs w:val="12"/>
              </w:rPr>
            </w:pPr>
            <w:r>
              <w:rPr>
                <w:sz w:val="12"/>
                <w:szCs w:val="12"/>
                <w:spacing w:val="-2"/>
              </w:rPr>
              <w:t>现象，或高大乔</w:t>
            </w:r>
          </w:p>
          <w:p>
            <w:pPr>
              <w:pStyle w:val="TableText"/>
              <w:ind w:left="70"/>
              <w:spacing w:line="219" w:lineRule="auto"/>
              <w:rPr>
                <w:sz w:val="12"/>
                <w:szCs w:val="12"/>
              </w:rPr>
            </w:pPr>
            <w:r>
              <w:rPr>
                <w:sz w:val="12"/>
                <w:szCs w:val="12"/>
                <w:spacing w:val="-1"/>
              </w:rPr>
              <w:t>木及贵重树木</w:t>
            </w:r>
          </w:p>
        </w:tc>
        <w:tc>
          <w:tcPr>
            <w:tcW w:w="2538" w:type="dxa"/>
            <w:vAlign w:val="top"/>
            <w:vMerge w:val="restart"/>
            <w:tcBorders>
              <w:bottom w:val="nil"/>
              <w:top w:val="single" w:color="000000" w:sz="2" w:space="0"/>
            </w:tcBorders>
          </w:tcPr>
          <w:p>
            <w:pPr>
              <w:spacing w:line="291" w:lineRule="auto"/>
              <w:rPr>
                <w:rFonts w:ascii="Arial"/>
                <w:sz w:val="21"/>
              </w:rPr>
            </w:pPr>
            <w:r/>
          </w:p>
          <w:p>
            <w:pPr>
              <w:spacing w:line="291" w:lineRule="auto"/>
              <w:rPr>
                <w:rFonts w:ascii="Arial"/>
                <w:sz w:val="21"/>
              </w:rPr>
            </w:pPr>
            <w:r/>
          </w:p>
          <w:p>
            <w:pPr>
              <w:spacing w:line="291" w:lineRule="auto"/>
              <w:rPr>
                <w:rFonts w:ascii="Arial"/>
                <w:sz w:val="21"/>
              </w:rPr>
            </w:pPr>
            <w:r/>
          </w:p>
          <w:p>
            <w:pPr>
              <w:spacing w:line="292" w:lineRule="auto"/>
              <w:rPr>
                <w:rFonts w:ascii="Arial"/>
                <w:sz w:val="21"/>
              </w:rPr>
            </w:pPr>
            <w:r/>
          </w:p>
          <w:p>
            <w:pPr>
              <w:pStyle w:val="TableText"/>
              <w:ind w:left="1"/>
              <w:spacing w:before="39" w:line="200" w:lineRule="auto"/>
              <w:rPr>
                <w:sz w:val="12"/>
                <w:szCs w:val="12"/>
              </w:rPr>
            </w:pPr>
            <w:r>
              <w:rPr>
                <w:sz w:val="12"/>
                <w:szCs w:val="12"/>
              </w:rPr>
              <w:t>一、主要是栽植期间使用。</w:t>
            </w:r>
          </w:p>
          <w:p>
            <w:pPr>
              <w:pStyle w:val="TableText"/>
              <w:ind w:left="21"/>
              <w:spacing w:line="219" w:lineRule="auto"/>
              <w:rPr>
                <w:sz w:val="12"/>
                <w:szCs w:val="12"/>
              </w:rPr>
            </w:pPr>
            <w:r>
              <w:rPr>
                <w:sz w:val="12"/>
                <w:szCs w:val="12"/>
                <w:spacing w:val="-1"/>
              </w:rPr>
              <w:t>二、有个删情况，做专项治疗。</w:t>
            </w:r>
          </w:p>
        </w:tc>
        <w:tc>
          <w:tcPr>
            <w:tcW w:w="1419" w:type="dxa"/>
            <w:vAlign w:val="top"/>
            <w:tcBorders>
              <w:bottom w:val="single" w:color="000000" w:sz="2" w:space="0"/>
              <w:top w:val="single" w:color="000000" w:sz="2" w:space="0"/>
            </w:tcBorders>
          </w:tcPr>
          <w:p>
            <w:pPr>
              <w:pStyle w:val="TableText"/>
              <w:ind w:left="343"/>
              <w:spacing w:before="43" w:line="218" w:lineRule="auto"/>
              <w:rPr>
                <w:sz w:val="12"/>
                <w:szCs w:val="12"/>
              </w:rPr>
            </w:pPr>
            <w:r>
              <w:rPr>
                <w:sz w:val="12"/>
                <w:szCs w:val="12"/>
              </w:rPr>
              <w:t>国光吊针原液</w:t>
            </w:r>
          </w:p>
        </w:tc>
        <w:tc>
          <w:tcPr>
            <w:tcW w:w="1619" w:type="dxa"/>
            <w:vAlign w:val="top"/>
            <w:tcBorders>
              <w:bottom w:val="single" w:color="000000" w:sz="2" w:space="0"/>
              <w:top w:val="single" w:color="000000" w:sz="2" w:space="0"/>
            </w:tcBorders>
          </w:tcPr>
          <w:p>
            <w:pPr>
              <w:pStyle w:val="TableText"/>
              <w:ind w:left="83"/>
              <w:spacing w:before="43" w:line="218" w:lineRule="auto"/>
              <w:rPr>
                <w:sz w:val="12"/>
                <w:szCs w:val="12"/>
              </w:rPr>
            </w:pPr>
            <w:r>
              <w:rPr>
                <w:sz w:val="12"/>
                <w:szCs w:val="12"/>
                <w:spacing w:val="-1"/>
              </w:rPr>
              <w:t>12%含氦基酸水溶肥料硼+锋</w:t>
            </w:r>
          </w:p>
        </w:tc>
        <w:tc>
          <w:tcPr>
            <w:tcW w:w="1329" w:type="dxa"/>
            <w:vAlign w:val="top"/>
            <w:tcBorders>
              <w:bottom w:val="single" w:color="000000" w:sz="2" w:space="0"/>
              <w:top w:val="single" w:color="000000" w:sz="2" w:space="0"/>
            </w:tcBorders>
          </w:tcPr>
          <w:p>
            <w:pPr>
              <w:pStyle w:val="TableText"/>
              <w:ind w:left="275"/>
              <w:spacing w:before="43" w:line="218" w:lineRule="auto"/>
              <w:rPr>
                <w:sz w:val="12"/>
                <w:szCs w:val="12"/>
              </w:rPr>
            </w:pPr>
            <w:r>
              <w:rPr>
                <w:sz w:val="12"/>
                <w:szCs w:val="12"/>
                <w:spacing w:val="-1"/>
              </w:rPr>
              <w:t>稀释1000-1200倍</w:t>
            </w:r>
          </w:p>
        </w:tc>
        <w:tc>
          <w:tcPr>
            <w:tcW w:w="1149"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46"/>
              <w:spacing w:before="39" w:line="219" w:lineRule="auto"/>
              <w:rPr>
                <w:sz w:val="12"/>
                <w:szCs w:val="12"/>
              </w:rPr>
            </w:pPr>
            <w:r>
              <w:rPr>
                <w:sz w:val="12"/>
                <w:szCs w:val="12"/>
                <w:spacing w:val="-1"/>
              </w:rPr>
              <w:t>视树木生长情况</w:t>
            </w:r>
          </w:p>
        </w:tc>
        <w:tc>
          <w:tcPr>
            <w:tcW w:w="909" w:type="dxa"/>
            <w:vAlign w:val="top"/>
            <w:tcBorders>
              <w:bottom w:val="single" w:color="000000" w:sz="2" w:space="0"/>
              <w:top w:val="single" w:color="000000" w:sz="2" w:space="0"/>
            </w:tcBorders>
          </w:tcPr>
          <w:p>
            <w:pPr>
              <w:pStyle w:val="TableText"/>
              <w:ind w:left="207"/>
              <w:spacing w:before="40" w:line="213" w:lineRule="auto"/>
              <w:rPr>
                <w:sz w:val="12"/>
                <w:szCs w:val="12"/>
              </w:rPr>
            </w:pPr>
            <w:r>
              <w:rPr>
                <w:sz w:val="12"/>
                <w:szCs w:val="12"/>
                <w:spacing w:val="-3"/>
              </w:rPr>
              <w:t>(200g/R)</w:t>
            </w:r>
          </w:p>
        </w:tc>
        <w:tc>
          <w:tcPr>
            <w:tcW w:w="2843" w:type="dxa"/>
            <w:vAlign w:val="top"/>
            <w:tcBorders>
              <w:bottom w:val="single" w:color="000000" w:sz="2" w:space="0"/>
              <w:top w:val="single" w:color="000000" w:sz="2" w:space="0"/>
            </w:tcBorders>
          </w:tcPr>
          <w:p>
            <w:pPr>
              <w:pStyle w:val="TableText"/>
              <w:ind w:left="18"/>
              <w:spacing w:before="43" w:line="218" w:lineRule="auto"/>
              <w:rPr>
                <w:sz w:val="12"/>
                <w:szCs w:val="12"/>
              </w:rPr>
            </w:pPr>
            <w:r>
              <w:rPr>
                <w:sz w:val="12"/>
                <w:szCs w:val="12"/>
                <w:spacing w:val="-1"/>
              </w:rPr>
              <w:t>补充水分和养分，促进快速成活</w:t>
            </w:r>
          </w:p>
        </w:tc>
      </w:tr>
      <w:tr>
        <w:trPr>
          <w:trHeight w:val="21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53" w:line="220" w:lineRule="auto"/>
              <w:rPr>
                <w:sz w:val="12"/>
                <w:szCs w:val="12"/>
              </w:rPr>
            </w:pPr>
            <w:r>
              <w:rPr>
                <w:sz w:val="12"/>
                <w:szCs w:val="12"/>
                <w:spacing w:val="1"/>
              </w:rPr>
              <w:t>中威吊针液</w:t>
            </w:r>
          </w:p>
        </w:tc>
        <w:tc>
          <w:tcPr>
            <w:tcW w:w="1619" w:type="dxa"/>
            <w:vAlign w:val="top"/>
            <w:tcBorders>
              <w:bottom w:val="single" w:color="000000" w:sz="2" w:space="0"/>
              <w:top w:val="single" w:color="000000" w:sz="2" w:space="0"/>
            </w:tcBorders>
          </w:tcPr>
          <w:p>
            <w:pPr>
              <w:pStyle w:val="TableText"/>
              <w:ind w:left="24"/>
              <w:spacing w:before="51" w:line="216" w:lineRule="auto"/>
              <w:rPr>
                <w:sz w:val="12"/>
                <w:szCs w:val="12"/>
              </w:rPr>
            </w:pPr>
            <w:r>
              <w:rPr>
                <w:sz w:val="12"/>
                <w:szCs w:val="12"/>
                <w:spacing w:val="-1"/>
              </w:rPr>
              <w:t>DA-6,甲壳素，硼锁锌等2.85%</w:t>
            </w:r>
          </w:p>
        </w:tc>
        <w:tc>
          <w:tcPr>
            <w:tcW w:w="1329" w:type="dxa"/>
            <w:vAlign w:val="top"/>
            <w:tcBorders>
              <w:bottom w:val="single" w:color="000000" w:sz="2" w:space="0"/>
              <w:top w:val="single" w:color="000000" w:sz="2" w:space="0"/>
            </w:tcBorders>
          </w:tcPr>
          <w:p>
            <w:pPr>
              <w:pStyle w:val="TableText"/>
              <w:ind w:left="235"/>
              <w:spacing w:before="53" w:line="219" w:lineRule="auto"/>
              <w:rPr>
                <w:sz w:val="12"/>
                <w:szCs w:val="12"/>
              </w:rPr>
            </w:pPr>
            <w:r>
              <w:rPr>
                <w:sz w:val="12"/>
                <w:szCs w:val="12"/>
                <w:spacing w:val="-1"/>
              </w:rPr>
              <w:t>稀释60-100倍液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267"/>
              <w:spacing w:before="49" w:line="213" w:lineRule="auto"/>
              <w:rPr>
                <w:sz w:val="12"/>
                <w:szCs w:val="12"/>
              </w:rPr>
            </w:pPr>
            <w:r>
              <w:rPr>
                <w:sz w:val="12"/>
                <w:szCs w:val="12"/>
                <w:spacing w:val="-3"/>
              </w:rPr>
              <w:t>Ikg/装</w:t>
            </w:r>
          </w:p>
        </w:tc>
        <w:tc>
          <w:tcPr>
            <w:tcW w:w="2843" w:type="dxa"/>
            <w:vAlign w:val="top"/>
            <w:tcBorders>
              <w:bottom w:val="single" w:color="000000" w:sz="2" w:space="0"/>
              <w:top w:val="single" w:color="000000" w:sz="2" w:space="0"/>
            </w:tcBorders>
          </w:tcPr>
          <w:p>
            <w:pPr>
              <w:pStyle w:val="TableText"/>
              <w:spacing w:before="53" w:line="218" w:lineRule="auto"/>
              <w:jc w:val="right"/>
              <w:rPr>
                <w:sz w:val="12"/>
                <w:szCs w:val="12"/>
              </w:rPr>
            </w:pPr>
            <w:r>
              <w:rPr>
                <w:sz w:val="12"/>
                <w:szCs w:val="12"/>
                <w:spacing w:val="-3"/>
              </w:rPr>
              <w:t>促使树体健壮，迅速补充营养，增强抗性，捉高成活率</w:t>
            </w:r>
          </w:p>
        </w:tc>
      </w:tr>
      <w:tr>
        <w:trPr>
          <w:trHeight w:val="27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313"/>
              <w:spacing w:before="83" w:line="219" w:lineRule="auto"/>
              <w:rPr>
                <w:sz w:val="12"/>
                <w:szCs w:val="12"/>
              </w:rPr>
            </w:pPr>
            <w:r>
              <w:rPr>
                <w:sz w:val="12"/>
                <w:szCs w:val="12"/>
                <w:spacing w:val="1"/>
              </w:rPr>
              <w:t>国光根动力2号</w:t>
            </w:r>
          </w:p>
        </w:tc>
        <w:tc>
          <w:tcPr>
            <w:tcW w:w="1619" w:type="dxa"/>
            <w:vAlign w:val="top"/>
            <w:tcBorders>
              <w:bottom w:val="single" w:color="000000" w:sz="2" w:space="0"/>
              <w:top w:val="single" w:color="000000" w:sz="2" w:space="0"/>
            </w:tcBorders>
          </w:tcPr>
          <w:p>
            <w:pPr>
              <w:pStyle w:val="TableText"/>
              <w:ind w:left="662" w:hanging="648"/>
              <w:spacing w:before="13" w:line="193" w:lineRule="auto"/>
              <w:rPr>
                <w:sz w:val="12"/>
                <w:szCs w:val="12"/>
              </w:rPr>
            </w:pPr>
            <w:r>
              <w:rPr>
                <w:sz w:val="12"/>
                <w:szCs w:val="12"/>
                <w:spacing w:val="-7"/>
              </w:rPr>
              <w:t>黎乙酸、喷哚丁酸、复殖龄钠，</w:t>
            </w:r>
            <w:r>
              <w:rPr>
                <w:sz w:val="12"/>
                <w:szCs w:val="12"/>
                <w:spacing w:val="11"/>
              </w:rPr>
              <w:t xml:space="preserve"> </w:t>
            </w:r>
            <w:r>
              <w:rPr>
                <w:sz w:val="12"/>
                <w:szCs w:val="12"/>
                <w:spacing w:val="-4"/>
              </w:rPr>
              <w:t>微肥</w:t>
            </w:r>
          </w:p>
        </w:tc>
        <w:tc>
          <w:tcPr>
            <w:tcW w:w="1329" w:type="dxa"/>
            <w:vAlign w:val="top"/>
            <w:tcBorders>
              <w:bottom w:val="single" w:color="000000" w:sz="2" w:space="0"/>
              <w:top w:val="single" w:color="000000" w:sz="2" w:space="0"/>
            </w:tcBorders>
          </w:tcPr>
          <w:p>
            <w:pPr>
              <w:pStyle w:val="TableText"/>
              <w:ind w:left="175"/>
              <w:spacing w:before="83" w:line="219" w:lineRule="auto"/>
              <w:rPr>
                <w:sz w:val="12"/>
                <w:szCs w:val="12"/>
              </w:rPr>
            </w:pPr>
            <w:r>
              <w:rPr>
                <w:sz w:val="12"/>
                <w:szCs w:val="12"/>
                <w:spacing w:val="-1"/>
              </w:rPr>
              <w:t>解释800-1000倍液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267"/>
              <w:spacing w:before="83" w:line="221" w:lineRule="auto"/>
              <w:rPr>
                <w:sz w:val="12"/>
                <w:szCs w:val="12"/>
              </w:rPr>
            </w:pPr>
            <w:r>
              <w:rPr>
                <w:sz w:val="12"/>
                <w:szCs w:val="12"/>
                <w:spacing w:val="5"/>
              </w:rPr>
              <w:t>(L/瓶)</w:t>
            </w:r>
          </w:p>
        </w:tc>
        <w:tc>
          <w:tcPr>
            <w:tcW w:w="2843" w:type="dxa"/>
            <w:vAlign w:val="top"/>
            <w:tcBorders>
              <w:bottom w:val="single" w:color="000000" w:sz="2" w:space="0"/>
              <w:top w:val="single" w:color="000000" w:sz="2" w:space="0"/>
            </w:tcBorders>
          </w:tcPr>
          <w:p>
            <w:pPr>
              <w:pStyle w:val="TableText"/>
              <w:ind w:left="18"/>
              <w:spacing w:before="83" w:line="219" w:lineRule="auto"/>
              <w:rPr>
                <w:sz w:val="12"/>
                <w:szCs w:val="12"/>
              </w:rPr>
            </w:pPr>
            <w:r>
              <w:rPr>
                <w:sz w:val="12"/>
                <w:szCs w:val="12"/>
                <w:spacing w:val="-1"/>
              </w:rPr>
              <w:t>诱导树木快速生根，提高移栽成活率</w:t>
            </w:r>
          </w:p>
        </w:tc>
      </w:tr>
      <w:tr>
        <w:trPr>
          <w:trHeight w:val="18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583"/>
              <w:spacing w:before="33" w:line="217" w:lineRule="auto"/>
              <w:rPr>
                <w:sz w:val="12"/>
                <w:szCs w:val="12"/>
              </w:rPr>
            </w:pPr>
            <w:r>
              <w:rPr>
                <w:sz w:val="12"/>
                <w:szCs w:val="12"/>
                <w:spacing w:val="-2"/>
              </w:rPr>
              <w:t>根多</w:t>
            </w:r>
          </w:p>
        </w:tc>
        <w:tc>
          <w:tcPr>
            <w:tcW w:w="1619" w:type="dxa"/>
            <w:vAlign w:val="top"/>
            <w:tcBorders>
              <w:bottom w:val="single" w:color="000000" w:sz="2" w:space="0"/>
              <w:top w:val="single" w:color="000000" w:sz="2" w:space="0"/>
            </w:tcBorders>
          </w:tcPr>
          <w:p>
            <w:pPr>
              <w:pStyle w:val="TableText"/>
              <w:ind w:left="534"/>
              <w:spacing w:before="33" w:line="217" w:lineRule="auto"/>
              <w:rPr>
                <w:sz w:val="12"/>
                <w:szCs w:val="12"/>
              </w:rPr>
            </w:pPr>
            <w:r>
              <w:rPr>
                <w:sz w:val="12"/>
                <w:szCs w:val="12"/>
                <w:spacing w:val="-1"/>
              </w:rPr>
              <w:t>20%禁乙酸</w:t>
            </w:r>
          </w:p>
        </w:tc>
        <w:tc>
          <w:tcPr>
            <w:tcW w:w="1329" w:type="dxa"/>
            <w:vAlign w:val="top"/>
            <w:tcBorders>
              <w:bottom w:val="single" w:color="000000" w:sz="2" w:space="0"/>
              <w:top w:val="single" w:color="000000" w:sz="2" w:space="0"/>
            </w:tcBorders>
          </w:tcPr>
          <w:p>
            <w:pPr>
              <w:pStyle w:val="TableText"/>
              <w:ind w:left="175"/>
              <w:spacing w:before="33" w:line="217" w:lineRule="auto"/>
              <w:rPr>
                <w:sz w:val="12"/>
                <w:szCs w:val="12"/>
              </w:rPr>
            </w:pPr>
            <w:r>
              <w:rPr>
                <w:sz w:val="12"/>
                <w:szCs w:val="12"/>
                <w:spacing w:val="-1"/>
              </w:rPr>
              <w:t>骄释800-1000倍液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77"/>
              <w:spacing w:before="30" w:line="213" w:lineRule="auto"/>
              <w:rPr>
                <w:sz w:val="12"/>
                <w:szCs w:val="12"/>
              </w:rPr>
            </w:pPr>
            <w:r>
              <w:rPr>
                <w:sz w:val="12"/>
                <w:szCs w:val="12"/>
                <w:spacing w:val="3"/>
              </w:rPr>
              <w:t>(200g/瓶)</w:t>
            </w:r>
          </w:p>
        </w:tc>
        <w:tc>
          <w:tcPr>
            <w:tcW w:w="2843" w:type="dxa"/>
            <w:vAlign w:val="top"/>
            <w:tcBorders>
              <w:bottom w:val="single" w:color="000000" w:sz="2" w:space="0"/>
              <w:top w:val="single" w:color="000000" w:sz="2" w:space="0"/>
            </w:tcBorders>
          </w:tcPr>
          <w:p>
            <w:pPr>
              <w:pStyle w:val="TableText"/>
              <w:ind w:left="18"/>
              <w:spacing w:before="33" w:line="217" w:lineRule="auto"/>
              <w:rPr>
                <w:sz w:val="12"/>
                <w:szCs w:val="12"/>
              </w:rPr>
            </w:pPr>
            <w:r>
              <w:rPr>
                <w:sz w:val="12"/>
                <w:szCs w:val="12"/>
              </w:rPr>
              <w:t>恢复和增强根系活力，使植株根系发达。</w:t>
            </w:r>
          </w:p>
        </w:tc>
      </w:tr>
      <w:tr>
        <w:trPr>
          <w:trHeight w:val="30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93" w:line="220" w:lineRule="auto"/>
              <w:rPr>
                <w:sz w:val="12"/>
                <w:szCs w:val="12"/>
              </w:rPr>
            </w:pPr>
            <w:r>
              <w:rPr>
                <w:sz w:val="12"/>
                <w:szCs w:val="12"/>
                <w:spacing w:val="1"/>
              </w:rPr>
              <w:t>中成生根液</w:t>
            </w:r>
          </w:p>
        </w:tc>
        <w:tc>
          <w:tcPr>
            <w:tcW w:w="1619" w:type="dxa"/>
            <w:vAlign w:val="top"/>
            <w:tcBorders>
              <w:bottom w:val="single" w:color="000000" w:sz="2" w:space="0"/>
              <w:top w:val="single" w:color="000000" w:sz="2" w:space="0"/>
            </w:tcBorders>
          </w:tcPr>
          <w:p>
            <w:pPr>
              <w:pStyle w:val="TableText"/>
              <w:ind w:left="624"/>
              <w:spacing w:before="93" w:line="219" w:lineRule="auto"/>
              <w:rPr>
                <w:sz w:val="12"/>
                <w:szCs w:val="12"/>
              </w:rPr>
            </w:pPr>
            <w:r>
              <w:rPr>
                <w:sz w:val="12"/>
                <w:szCs w:val="12"/>
                <w:spacing w:val="-2"/>
              </w:rPr>
              <w:t>恭乙酸</w:t>
            </w:r>
          </w:p>
        </w:tc>
        <w:tc>
          <w:tcPr>
            <w:tcW w:w="1329" w:type="dxa"/>
            <w:vAlign w:val="top"/>
            <w:tcBorders>
              <w:bottom w:val="single" w:color="000000" w:sz="2" w:space="0"/>
              <w:top w:val="single" w:color="000000" w:sz="2" w:space="0"/>
            </w:tcBorders>
          </w:tcPr>
          <w:p>
            <w:pPr>
              <w:pStyle w:val="TableText"/>
              <w:ind w:left="325"/>
              <w:spacing w:before="93" w:line="220" w:lineRule="auto"/>
              <w:rPr>
                <w:sz w:val="12"/>
                <w:szCs w:val="12"/>
              </w:rPr>
            </w:pPr>
            <w:r>
              <w:rPr>
                <w:sz w:val="12"/>
                <w:szCs w:val="12"/>
                <w:spacing w:val="-1"/>
              </w:rPr>
              <w:t>300-500倍液</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267"/>
              <w:spacing w:before="89" w:line="213" w:lineRule="auto"/>
              <w:rPr>
                <w:sz w:val="12"/>
                <w:szCs w:val="12"/>
              </w:rPr>
            </w:pPr>
            <w:r>
              <w:rPr>
                <w:sz w:val="12"/>
                <w:szCs w:val="12"/>
                <w:spacing w:val="-1"/>
              </w:rPr>
              <w:t>4kg/桶</w:t>
            </w:r>
          </w:p>
        </w:tc>
        <w:tc>
          <w:tcPr>
            <w:tcW w:w="2843" w:type="dxa"/>
            <w:vAlign w:val="top"/>
            <w:tcBorders>
              <w:bottom w:val="single" w:color="000000" w:sz="2" w:space="0"/>
              <w:top w:val="single" w:color="000000" w:sz="2" w:space="0"/>
            </w:tcBorders>
          </w:tcPr>
          <w:p>
            <w:pPr>
              <w:pStyle w:val="TableText"/>
              <w:ind w:left="18"/>
              <w:spacing w:before="12" w:line="210" w:lineRule="auto"/>
              <w:rPr>
                <w:sz w:val="12"/>
                <w:szCs w:val="12"/>
              </w:rPr>
            </w:pPr>
            <w:r>
              <w:rPr>
                <w:sz w:val="12"/>
                <w:szCs w:val="12"/>
                <w:spacing w:val="-9"/>
              </w:rPr>
              <w:t>促</w:t>
            </w:r>
            <w:r>
              <w:rPr>
                <w:sz w:val="12"/>
                <w:szCs w:val="12"/>
                <w:spacing w:val="-8"/>
              </w:rPr>
              <w:t>使树木快速生根，形成庞大根系，快速萌芽，改善植</w:t>
            </w:r>
            <w:r>
              <w:rPr>
                <w:sz w:val="12"/>
                <w:szCs w:val="12"/>
                <w:spacing w:val="-7"/>
              </w:rPr>
              <w:t>物</w:t>
            </w:r>
            <w:r>
              <w:rPr>
                <w:sz w:val="12"/>
                <w:szCs w:val="12"/>
                <w:spacing w:val="13"/>
              </w:rPr>
              <w:t xml:space="preserve"> </w:t>
            </w:r>
            <w:r>
              <w:rPr>
                <w:sz w:val="12"/>
                <w:szCs w:val="12"/>
                <w:spacing w:val="-2"/>
              </w:rPr>
              <w:t>长势</w:t>
            </w:r>
          </w:p>
        </w:tc>
      </w:tr>
      <w:tr>
        <w:trPr>
          <w:trHeight w:val="275"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84" w:line="219" w:lineRule="auto"/>
              <w:rPr>
                <w:sz w:val="12"/>
                <w:szCs w:val="12"/>
              </w:rPr>
            </w:pPr>
            <w:r>
              <w:rPr>
                <w:sz w:val="12"/>
                <w:szCs w:val="12"/>
                <w:spacing w:val="2"/>
              </w:rPr>
              <w:t>国光树动力</w:t>
            </w:r>
          </w:p>
        </w:tc>
        <w:tc>
          <w:tcPr>
            <w:tcW w:w="1619" w:type="dxa"/>
            <w:vAlign w:val="top"/>
            <w:tcBorders>
              <w:bottom w:val="single" w:color="000000" w:sz="2" w:space="0"/>
              <w:top w:val="single" w:color="000000" w:sz="2" w:space="0"/>
            </w:tcBorders>
          </w:tcPr>
          <w:p>
            <w:pPr>
              <w:pStyle w:val="TableText"/>
              <w:ind w:left="522" w:hanging="508"/>
              <w:spacing w:before="14" w:line="193" w:lineRule="auto"/>
              <w:rPr>
                <w:sz w:val="12"/>
                <w:szCs w:val="12"/>
              </w:rPr>
            </w:pPr>
            <w:r>
              <w:rPr>
                <w:sz w:val="12"/>
                <w:szCs w:val="12"/>
                <w:spacing w:val="-7"/>
              </w:rPr>
              <w:t>细胞分裂类高活性物质、含丰富</w:t>
            </w:r>
            <w:r>
              <w:rPr>
                <w:sz w:val="12"/>
                <w:szCs w:val="12"/>
                <w:spacing w:val="11"/>
              </w:rPr>
              <w:t xml:space="preserve"> </w:t>
            </w:r>
            <w:r>
              <w:rPr>
                <w:sz w:val="12"/>
                <w:szCs w:val="12"/>
                <w:spacing w:val="-1"/>
              </w:rPr>
              <w:t>矿物顺溶剂</w:t>
            </w:r>
          </w:p>
        </w:tc>
        <w:tc>
          <w:tcPr>
            <w:tcW w:w="1329" w:type="dxa"/>
            <w:vAlign w:val="top"/>
            <w:tcBorders>
              <w:bottom w:val="single" w:color="000000" w:sz="2" w:space="0"/>
              <w:top w:val="single" w:color="000000" w:sz="2" w:space="0"/>
            </w:tcBorders>
          </w:tcPr>
          <w:p>
            <w:pPr>
              <w:pStyle w:val="TableText"/>
              <w:ind w:left="85"/>
              <w:spacing w:before="14" w:line="184" w:lineRule="auto"/>
              <w:rPr>
                <w:sz w:val="12"/>
                <w:szCs w:val="12"/>
              </w:rPr>
            </w:pPr>
            <w:r>
              <w:rPr>
                <w:sz w:val="12"/>
                <w:szCs w:val="12"/>
                <w:spacing w:val="-1"/>
              </w:rPr>
              <w:t>直接使用，一尼胸径8</w:t>
            </w:r>
          </w:p>
          <w:p>
            <w:pPr>
              <w:pStyle w:val="TableText"/>
              <w:ind w:left="145"/>
              <w:spacing w:line="201" w:lineRule="auto"/>
              <w:rPr>
                <w:sz w:val="12"/>
                <w:szCs w:val="12"/>
              </w:rPr>
            </w:pPr>
            <w:r>
              <w:rPr>
                <w:sz w:val="12"/>
                <w:szCs w:val="12"/>
              </w:rPr>
              <w:t>10m瓶，胸径每增加</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47"/>
              <w:spacing w:before="84" w:line="221" w:lineRule="auto"/>
              <w:rPr>
                <w:sz w:val="12"/>
                <w:szCs w:val="12"/>
              </w:rPr>
            </w:pPr>
            <w:r>
              <w:rPr>
                <w:sz w:val="12"/>
                <w:szCs w:val="12"/>
                <w:spacing w:val="3"/>
              </w:rPr>
              <w:t>(300</w:t>
            </w:r>
            <w:r>
              <w:rPr>
                <w:sz w:val="12"/>
                <w:szCs w:val="12"/>
              </w:rPr>
              <w:t>ml</w:t>
            </w:r>
            <w:r>
              <w:rPr>
                <w:sz w:val="12"/>
                <w:szCs w:val="12"/>
                <w:spacing w:val="3"/>
              </w:rPr>
              <w:t>/瓶)</w:t>
            </w:r>
          </w:p>
        </w:tc>
        <w:tc>
          <w:tcPr>
            <w:tcW w:w="2843" w:type="dxa"/>
            <w:vAlign w:val="top"/>
            <w:tcBorders>
              <w:bottom w:val="single" w:color="000000" w:sz="2" w:space="0"/>
              <w:top w:val="single" w:color="000000" w:sz="2" w:space="0"/>
            </w:tcBorders>
          </w:tcPr>
          <w:p>
            <w:pPr>
              <w:pStyle w:val="TableText"/>
              <w:ind w:left="18"/>
              <w:spacing w:before="84" w:line="219" w:lineRule="auto"/>
              <w:rPr>
                <w:sz w:val="12"/>
                <w:szCs w:val="12"/>
              </w:rPr>
            </w:pPr>
            <w:r>
              <w:rPr>
                <w:sz w:val="12"/>
                <w:szCs w:val="12"/>
                <w:spacing w:val="-1"/>
              </w:rPr>
              <w:t>大树直插瓶，大树古树复壮</w:t>
            </w:r>
          </w:p>
        </w:tc>
      </w:tr>
      <w:tr>
        <w:trPr>
          <w:trHeight w:val="41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03"/>
              <w:spacing w:before="154" w:line="220" w:lineRule="auto"/>
              <w:rPr>
                <w:sz w:val="12"/>
                <w:szCs w:val="12"/>
              </w:rPr>
            </w:pPr>
            <w:r>
              <w:rPr>
                <w:sz w:val="12"/>
                <w:szCs w:val="12"/>
                <w:spacing w:val="1"/>
              </w:rPr>
              <w:t>中威激活液</w:t>
            </w:r>
          </w:p>
        </w:tc>
        <w:tc>
          <w:tcPr>
            <w:tcW w:w="1619" w:type="dxa"/>
            <w:vAlign w:val="top"/>
            <w:tcBorders>
              <w:bottom w:val="single" w:color="000000" w:sz="2" w:space="0"/>
              <w:top w:val="single" w:color="000000" w:sz="2" w:space="0"/>
            </w:tcBorders>
          </w:tcPr>
          <w:p>
            <w:pPr>
              <w:pStyle w:val="TableText"/>
              <w:ind w:left="498" w:hanging="484"/>
              <w:spacing w:before="82" w:line="220" w:lineRule="auto"/>
              <w:rPr>
                <w:sz w:val="12"/>
                <w:szCs w:val="12"/>
              </w:rPr>
            </w:pPr>
            <w:r>
              <w:rPr>
                <w:sz w:val="12"/>
                <w:szCs w:val="12"/>
                <w:spacing w:val="-2"/>
              </w:rPr>
              <w:t>氯基酸大于等于10.0%,锰+锌大</w:t>
            </w:r>
            <w:r>
              <w:rPr>
                <w:sz w:val="12"/>
                <w:szCs w:val="12"/>
                <w:spacing w:val="7"/>
              </w:rPr>
              <w:t xml:space="preserve"> </w:t>
            </w:r>
            <w:r>
              <w:rPr>
                <w:sz w:val="12"/>
                <w:szCs w:val="12"/>
                <w:spacing w:val="-2"/>
              </w:rPr>
              <w:t>于等于2.0%</w:t>
            </w:r>
          </w:p>
        </w:tc>
        <w:tc>
          <w:tcPr>
            <w:tcW w:w="1329" w:type="dxa"/>
            <w:vAlign w:val="top"/>
            <w:tcBorders>
              <w:bottom w:val="single" w:color="000000" w:sz="2" w:space="0"/>
              <w:top w:val="single" w:color="000000" w:sz="2" w:space="0"/>
            </w:tcBorders>
          </w:tcPr>
          <w:p>
            <w:pPr>
              <w:pStyle w:val="TableText"/>
              <w:ind w:left="54"/>
              <w:spacing w:before="13" w:line="219" w:lineRule="auto"/>
              <w:rPr>
                <w:sz w:val="12"/>
                <w:szCs w:val="12"/>
              </w:rPr>
            </w:pPr>
            <w:r>
              <w:rPr>
                <w:sz w:val="12"/>
                <w:szCs w:val="12"/>
                <w:spacing w:val="-1"/>
              </w:rPr>
              <w:t>直接使用，一般胸径8-</w:t>
            </w:r>
          </w:p>
          <w:p>
            <w:pPr>
              <w:pStyle w:val="TableText"/>
              <w:spacing w:before="7" w:line="186" w:lineRule="auto"/>
              <w:jc w:val="right"/>
              <w:rPr>
                <w:sz w:val="12"/>
                <w:szCs w:val="12"/>
              </w:rPr>
            </w:pPr>
            <w:r>
              <w:rPr>
                <w:sz w:val="12"/>
                <w:szCs w:val="12"/>
                <w:spacing w:val="-2"/>
              </w:rPr>
              <w:t>10cn捅1瓶。胸径每增加</w:t>
            </w:r>
          </w:p>
          <w:p>
            <w:pPr>
              <w:pStyle w:val="TableText"/>
              <w:ind w:left="325"/>
              <w:spacing w:line="183" w:lineRule="auto"/>
              <w:rPr>
                <w:sz w:val="12"/>
                <w:szCs w:val="12"/>
              </w:rPr>
            </w:pPr>
            <w:r>
              <w:rPr>
                <w:sz w:val="12"/>
                <w:szCs w:val="12"/>
                <w:spacing w:val="-2"/>
              </w:rPr>
              <w:t>10cm增加1我</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47"/>
              <w:spacing w:before="154" w:line="221" w:lineRule="auto"/>
              <w:rPr>
                <w:sz w:val="12"/>
                <w:szCs w:val="12"/>
              </w:rPr>
            </w:pPr>
            <w:r>
              <w:rPr>
                <w:sz w:val="12"/>
                <w:szCs w:val="12"/>
                <w:spacing w:val="3"/>
              </w:rPr>
              <w:t>(350</w:t>
            </w:r>
            <w:r>
              <w:rPr>
                <w:sz w:val="12"/>
                <w:szCs w:val="12"/>
              </w:rPr>
              <w:t>ml</w:t>
            </w:r>
            <w:r>
              <w:rPr>
                <w:sz w:val="12"/>
                <w:szCs w:val="12"/>
                <w:spacing w:val="3"/>
              </w:rPr>
              <w:t>/瓶)</w:t>
            </w:r>
          </w:p>
        </w:tc>
        <w:tc>
          <w:tcPr>
            <w:tcW w:w="2843" w:type="dxa"/>
            <w:vAlign w:val="top"/>
            <w:tcBorders>
              <w:bottom w:val="single" w:color="000000" w:sz="2" w:space="0"/>
              <w:top w:val="single" w:color="000000" w:sz="2" w:space="0"/>
            </w:tcBorders>
          </w:tcPr>
          <w:p>
            <w:pPr>
              <w:pStyle w:val="TableText"/>
              <w:spacing w:before="153" w:line="218" w:lineRule="auto"/>
              <w:jc w:val="right"/>
              <w:rPr>
                <w:sz w:val="12"/>
                <w:szCs w:val="12"/>
              </w:rPr>
            </w:pPr>
            <w:r>
              <w:rPr>
                <w:sz w:val="12"/>
                <w:szCs w:val="12"/>
                <w:spacing w:val="-8"/>
              </w:rPr>
              <w:t>补充水分养分，促进发芽、防止黄叶、萎鸢，生理性病害</w:t>
            </w:r>
          </w:p>
        </w:tc>
      </w:tr>
      <w:tr>
        <w:trPr>
          <w:trHeight w:val="584" w:hRule="atLeast"/>
        </w:trPr>
        <w:tc>
          <w:tcPr>
            <w:tcW w:w="385" w:type="dxa"/>
            <w:vAlign w:val="top"/>
            <w:vMerge w:val="continue"/>
            <w:tcBorders>
              <w:bottom w:val="nil"/>
              <w:top w:val="nil"/>
            </w:tcBorders>
          </w:tcPr>
          <w:p>
            <w:pPr>
              <w:rPr>
                <w:rFonts w:ascii="Arial"/>
                <w:sz w:val="21"/>
              </w:rPr>
            </w:pPr>
            <w:r/>
          </w:p>
        </w:tc>
        <w:tc>
          <w:tcPr>
            <w:tcW w:w="810" w:type="dxa"/>
            <w:vAlign w:val="top"/>
            <w:vMerge w:val="continue"/>
            <w:tcBorders>
              <w:bottom w:val="nil"/>
              <w:top w:val="nil"/>
            </w:tcBorders>
          </w:tcPr>
          <w:p>
            <w:pPr>
              <w:rPr>
                <w:rFonts w:ascii="Arial"/>
                <w:sz w:val="21"/>
              </w:rPr>
            </w:pPr>
            <w:r/>
          </w:p>
        </w:tc>
        <w:tc>
          <w:tcPr>
            <w:tcW w:w="88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463"/>
              <w:spacing w:before="234" w:line="218" w:lineRule="auto"/>
              <w:rPr>
                <w:sz w:val="12"/>
                <w:szCs w:val="12"/>
              </w:rPr>
            </w:pPr>
            <w:r>
              <w:rPr>
                <w:sz w:val="12"/>
                <w:szCs w:val="12"/>
                <w:spacing w:val="1"/>
              </w:rPr>
              <w:t>国光棒肥</w:t>
            </w:r>
          </w:p>
        </w:tc>
        <w:tc>
          <w:tcPr>
            <w:tcW w:w="1619" w:type="dxa"/>
            <w:vAlign w:val="top"/>
            <w:tcBorders>
              <w:bottom w:val="single" w:color="000000" w:sz="2" w:space="0"/>
              <w:top w:val="single" w:color="000000" w:sz="2" w:space="0"/>
            </w:tcBorders>
          </w:tcPr>
          <w:p>
            <w:pPr>
              <w:pStyle w:val="TableText"/>
              <w:ind w:left="24"/>
              <w:spacing w:before="234" w:line="218" w:lineRule="auto"/>
              <w:rPr>
                <w:sz w:val="12"/>
                <w:szCs w:val="12"/>
              </w:rPr>
            </w:pPr>
            <w:r>
              <w:rPr>
                <w:sz w:val="12"/>
                <w:szCs w:val="12"/>
                <w:spacing w:val="-1"/>
              </w:rPr>
              <w:t>微肥，稀有元素，大量元素肥</w:t>
            </w:r>
          </w:p>
        </w:tc>
        <w:tc>
          <w:tcPr>
            <w:tcW w:w="1329" w:type="dxa"/>
            <w:vAlign w:val="top"/>
            <w:tcBorders>
              <w:bottom w:val="single" w:color="000000" w:sz="2" w:space="0"/>
              <w:top w:val="single" w:color="000000" w:sz="2" w:space="0"/>
            </w:tcBorders>
          </w:tcPr>
          <w:p>
            <w:pPr>
              <w:pStyle w:val="TableText"/>
              <w:spacing w:before="34" w:line="215" w:lineRule="auto"/>
              <w:jc w:val="right"/>
              <w:rPr>
                <w:sz w:val="12"/>
                <w:szCs w:val="12"/>
              </w:rPr>
            </w:pPr>
            <w:r>
              <w:rPr>
                <w:sz w:val="12"/>
                <w:szCs w:val="12"/>
                <w:spacing w:val="-2"/>
              </w:rPr>
              <w:t>直接使用，根据树的胸径</w:t>
            </w:r>
          </w:p>
          <w:p>
            <w:pPr>
              <w:pStyle w:val="TableText"/>
              <w:ind w:left="24"/>
              <w:spacing w:line="215" w:lineRule="auto"/>
              <w:rPr>
                <w:sz w:val="12"/>
                <w:szCs w:val="12"/>
              </w:rPr>
            </w:pPr>
            <w:r>
              <w:rPr>
                <w:sz w:val="12"/>
                <w:szCs w:val="12"/>
                <w:spacing w:val="-1"/>
              </w:rPr>
              <w:t>进行调整：10c一下的树</w:t>
            </w:r>
          </w:p>
          <w:p>
            <w:pPr>
              <w:pStyle w:val="TableText"/>
              <w:spacing w:line="199" w:lineRule="auto"/>
              <w:jc w:val="right"/>
              <w:rPr>
                <w:sz w:val="12"/>
                <w:szCs w:val="12"/>
              </w:rPr>
            </w:pPr>
            <w:r>
              <w:rPr>
                <w:sz w:val="12"/>
                <w:szCs w:val="12"/>
                <w:spacing w:val="-6"/>
              </w:rPr>
              <w:t>1-2支，10cm以上的树胸径</w:t>
            </w:r>
          </w:p>
          <w:p>
            <w:pPr>
              <w:pStyle w:val="TableText"/>
              <w:ind w:left="175"/>
              <w:spacing w:line="200" w:lineRule="auto"/>
              <w:rPr>
                <w:sz w:val="12"/>
                <w:szCs w:val="12"/>
              </w:rPr>
            </w:pPr>
            <w:r>
              <w:rPr>
                <w:sz w:val="12"/>
                <w:szCs w:val="12"/>
                <w:spacing w:val="-1"/>
              </w:rPr>
              <w:t>每增加5cm则增加1支</w:t>
            </w:r>
          </w:p>
        </w:tc>
        <w:tc>
          <w:tcPr>
            <w:tcW w:w="1149" w:type="dxa"/>
            <w:vAlign w:val="top"/>
            <w:vMerge w:val="continue"/>
            <w:tcBorders>
              <w:bottom w:val="nil"/>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117"/>
              <w:spacing w:before="234" w:line="220" w:lineRule="auto"/>
              <w:rPr>
                <w:sz w:val="12"/>
                <w:szCs w:val="12"/>
              </w:rPr>
            </w:pPr>
            <w:r>
              <w:rPr>
                <w:sz w:val="12"/>
                <w:szCs w:val="12"/>
                <w:spacing w:val="-1"/>
              </w:rPr>
              <w:t>3*15cm+10根</w:t>
            </w:r>
          </w:p>
        </w:tc>
        <w:tc>
          <w:tcPr>
            <w:tcW w:w="2843" w:type="dxa"/>
            <w:vAlign w:val="top"/>
            <w:tcBorders>
              <w:bottom w:val="single" w:color="000000" w:sz="2" w:space="0"/>
              <w:top w:val="single" w:color="000000" w:sz="2" w:space="0"/>
            </w:tcBorders>
          </w:tcPr>
          <w:p>
            <w:pPr>
              <w:pStyle w:val="TableText"/>
              <w:ind w:left="18"/>
              <w:spacing w:before="234" w:line="219" w:lineRule="auto"/>
              <w:rPr>
                <w:sz w:val="12"/>
                <w:szCs w:val="12"/>
              </w:rPr>
            </w:pPr>
            <w:r>
              <w:rPr>
                <w:sz w:val="12"/>
                <w:szCs w:val="12"/>
                <w:spacing w:val="-1"/>
              </w:rPr>
              <w:t>古树，病树，影树复壮</w:t>
            </w:r>
          </w:p>
        </w:tc>
      </w:tr>
      <w:tr>
        <w:trPr>
          <w:trHeight w:val="269" w:hRule="atLeast"/>
        </w:trPr>
        <w:tc>
          <w:tcPr>
            <w:tcW w:w="385" w:type="dxa"/>
            <w:vAlign w:val="top"/>
            <w:vMerge w:val="continue"/>
            <w:tcBorders>
              <w:bottom w:val="single" w:color="000000" w:sz="2" w:space="0"/>
              <w:top w:val="nil"/>
            </w:tcBorders>
          </w:tcPr>
          <w:p>
            <w:pPr>
              <w:rPr>
                <w:rFonts w:ascii="Arial"/>
                <w:sz w:val="21"/>
              </w:rPr>
            </w:pPr>
            <w:r/>
          </w:p>
        </w:tc>
        <w:tc>
          <w:tcPr>
            <w:tcW w:w="810" w:type="dxa"/>
            <w:vAlign w:val="top"/>
            <w:vMerge w:val="continue"/>
            <w:tcBorders>
              <w:bottom w:val="single" w:color="000000" w:sz="2" w:space="0"/>
              <w:top w:val="nil"/>
            </w:tcBorders>
          </w:tcPr>
          <w:p>
            <w:pPr>
              <w:rPr>
                <w:rFonts w:ascii="Arial"/>
                <w:sz w:val="21"/>
              </w:rPr>
            </w:pPr>
            <w:r/>
          </w:p>
        </w:tc>
        <w:tc>
          <w:tcPr>
            <w:tcW w:w="88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419" w:type="dxa"/>
            <w:vAlign w:val="top"/>
            <w:tcBorders>
              <w:bottom w:val="single" w:color="000000" w:sz="2" w:space="0"/>
              <w:top w:val="single" w:color="000000" w:sz="2" w:space="0"/>
            </w:tcBorders>
          </w:tcPr>
          <w:p>
            <w:pPr>
              <w:pStyle w:val="TableText"/>
              <w:ind w:left="523"/>
              <w:spacing w:before="74" w:line="218" w:lineRule="auto"/>
              <w:rPr>
                <w:sz w:val="12"/>
                <w:szCs w:val="12"/>
              </w:rPr>
            </w:pPr>
            <w:r>
              <w:rPr>
                <w:sz w:val="12"/>
                <w:szCs w:val="12"/>
                <w:spacing w:val="-2"/>
              </w:rPr>
              <w:t>复合肥</w:t>
            </w:r>
          </w:p>
        </w:tc>
        <w:tc>
          <w:tcPr>
            <w:tcW w:w="1619" w:type="dxa"/>
            <w:vAlign w:val="top"/>
            <w:tcBorders>
              <w:bottom w:val="single" w:color="000000" w:sz="2" w:space="0"/>
              <w:top w:val="single" w:color="000000" w:sz="2" w:space="0"/>
            </w:tcBorders>
          </w:tcPr>
          <w:p>
            <w:pPr>
              <w:pStyle w:val="TableText"/>
              <w:ind w:left="143"/>
              <w:spacing w:before="74" w:line="218" w:lineRule="auto"/>
              <w:rPr>
                <w:sz w:val="12"/>
                <w:szCs w:val="12"/>
              </w:rPr>
            </w:pPr>
            <w:r>
              <w:rPr>
                <w:sz w:val="12"/>
                <w:szCs w:val="12"/>
                <w:spacing w:val="-1"/>
              </w:rPr>
              <w:t>大量元素肥高氮低磷钾肥</w:t>
            </w:r>
          </w:p>
        </w:tc>
        <w:tc>
          <w:tcPr>
            <w:tcW w:w="1329" w:type="dxa"/>
            <w:vAlign w:val="top"/>
            <w:tcBorders>
              <w:bottom w:val="single" w:color="000000" w:sz="2" w:space="0"/>
              <w:top w:val="single" w:color="000000" w:sz="2" w:space="0"/>
            </w:tcBorders>
          </w:tcPr>
          <w:p>
            <w:pPr>
              <w:pStyle w:val="TableText"/>
              <w:ind w:left="415"/>
              <w:spacing w:before="74" w:line="219" w:lineRule="auto"/>
              <w:rPr>
                <w:sz w:val="12"/>
                <w:szCs w:val="12"/>
              </w:rPr>
            </w:pPr>
            <w:r>
              <w:rPr>
                <w:sz w:val="12"/>
                <w:szCs w:val="12"/>
                <w:spacing w:val="3"/>
              </w:rPr>
              <w:t>直接使用</w:t>
            </w:r>
          </w:p>
        </w:tc>
        <w:tc>
          <w:tcPr>
            <w:tcW w:w="1149" w:type="dxa"/>
            <w:vAlign w:val="top"/>
            <w:vMerge w:val="continue"/>
            <w:tcBorders>
              <w:bottom w:val="single" w:color="000000" w:sz="2" w:space="0"/>
              <w:top w:val="nil"/>
            </w:tcBorders>
          </w:tcPr>
          <w:p>
            <w:pPr>
              <w:rPr>
                <w:rFonts w:ascii="Arial"/>
                <w:sz w:val="21"/>
              </w:rPr>
            </w:pPr>
            <w:r/>
          </w:p>
        </w:tc>
        <w:tc>
          <w:tcPr>
            <w:tcW w:w="909" w:type="dxa"/>
            <w:vAlign w:val="top"/>
            <w:tcBorders>
              <w:bottom w:val="single" w:color="000000" w:sz="2" w:space="0"/>
              <w:top w:val="single" w:color="000000" w:sz="2" w:space="0"/>
            </w:tcBorders>
          </w:tcPr>
          <w:p>
            <w:pPr>
              <w:pStyle w:val="TableText"/>
              <w:ind w:left="237"/>
              <w:spacing w:before="71" w:line="213" w:lineRule="auto"/>
              <w:rPr>
                <w:sz w:val="12"/>
                <w:szCs w:val="12"/>
              </w:rPr>
            </w:pPr>
            <w:r>
              <w:rPr>
                <w:sz w:val="12"/>
                <w:szCs w:val="12"/>
                <w:spacing w:val="-1"/>
              </w:rPr>
              <w:t>50kg/装</w:t>
            </w:r>
          </w:p>
        </w:tc>
        <w:tc>
          <w:tcPr>
            <w:tcW w:w="2843" w:type="dxa"/>
            <w:vAlign w:val="top"/>
            <w:tcBorders>
              <w:bottom w:val="single" w:color="000000" w:sz="2" w:space="0"/>
              <w:top w:val="single" w:color="000000" w:sz="2" w:space="0"/>
            </w:tcBorders>
          </w:tcPr>
          <w:p>
            <w:pPr>
              <w:pStyle w:val="TableText"/>
              <w:ind w:left="18"/>
              <w:spacing w:before="74" w:line="219" w:lineRule="auto"/>
              <w:rPr>
                <w:sz w:val="12"/>
                <w:szCs w:val="12"/>
              </w:rPr>
            </w:pPr>
            <w:r>
              <w:rPr>
                <w:sz w:val="12"/>
                <w:szCs w:val="12"/>
                <w:spacing w:val="-1"/>
              </w:rPr>
              <w:t>古树，病树，蛋树复壮</w:t>
            </w:r>
          </w:p>
        </w:tc>
      </w:tr>
    </w:tbl>
    <w:p>
      <w:pPr>
        <w:spacing w:line="14" w:lineRule="auto"/>
        <w:rPr>
          <w:rFonts w:ascii="Arial"/>
          <w:sz w:val="2"/>
        </w:rPr>
      </w:pPr>
      <w:r/>
    </w:p>
    <w:p>
      <w:pPr>
        <w:spacing w:line="14" w:lineRule="auto"/>
        <w:sectPr>
          <w:pgSz w:w="14490" w:h="10240"/>
          <w:pgMar w:top="125" w:right="324" w:bottom="235" w:left="264" w:header="0" w:footer="0" w:gutter="0"/>
        </w:sectPr>
        <w:rPr>
          <w:rFonts w:ascii="Arial" w:hAnsi="Arial" w:eastAsia="Arial" w:cs="Arial"/>
          <w:sz w:val="2"/>
          <w:szCs w:val="2"/>
        </w:rPr>
      </w:pPr>
    </w:p>
    <w:tbl>
      <w:tblPr>
        <w:tblStyle w:val="TableNormal"/>
        <w:tblW w:w="1392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800"/>
        <w:gridCol w:w="889"/>
        <w:gridCol w:w="2538"/>
        <w:gridCol w:w="1409"/>
        <w:gridCol w:w="1619"/>
        <w:gridCol w:w="1329"/>
        <w:gridCol w:w="1169"/>
        <w:gridCol w:w="889"/>
        <w:gridCol w:w="2865"/>
      </w:tblGrid>
      <w:tr>
        <w:trPr>
          <w:trHeight w:val="484" w:hRule="atLeast"/>
        </w:trPr>
        <w:tc>
          <w:tcPr>
            <w:tcW w:w="415" w:type="dxa"/>
            <w:vAlign w:val="top"/>
          </w:tcPr>
          <w:p>
            <w:pPr>
              <w:pStyle w:val="TableText"/>
              <w:ind w:left="76"/>
              <w:spacing w:before="178" w:line="219" w:lineRule="auto"/>
              <w:rPr>
                <w:sz w:val="12"/>
                <w:szCs w:val="12"/>
              </w:rPr>
            </w:pPr>
            <w:r>
              <w:rPr>
                <w:sz w:val="12"/>
                <w:szCs w:val="12"/>
                <w:b/>
                <w:bCs/>
                <w:spacing w:val="-3"/>
              </w:rPr>
              <w:t>分类</w:t>
            </w:r>
          </w:p>
        </w:tc>
        <w:tc>
          <w:tcPr>
            <w:tcW w:w="800" w:type="dxa"/>
            <w:vAlign w:val="top"/>
          </w:tcPr>
          <w:p>
            <w:pPr>
              <w:pStyle w:val="TableText"/>
              <w:ind w:left="31"/>
              <w:spacing w:before="107" w:line="201" w:lineRule="auto"/>
              <w:rPr>
                <w:sz w:val="12"/>
                <w:szCs w:val="12"/>
              </w:rPr>
            </w:pPr>
            <w:r>
              <w:rPr>
                <w:sz w:val="12"/>
                <w:szCs w:val="12"/>
                <w:b/>
                <w:bCs/>
                <w:spacing w:val="-3"/>
              </w:rPr>
              <w:t>消杀预防及病</w:t>
            </w:r>
          </w:p>
          <w:p>
            <w:pPr>
              <w:pStyle w:val="TableText"/>
              <w:ind w:left="161"/>
              <w:spacing w:line="220" w:lineRule="auto"/>
              <w:rPr>
                <w:sz w:val="12"/>
                <w:szCs w:val="12"/>
              </w:rPr>
            </w:pPr>
            <w:r>
              <w:rPr>
                <w:sz w:val="12"/>
                <w:szCs w:val="12"/>
                <w:b/>
                <w:bCs/>
                <w:spacing w:val="-3"/>
              </w:rPr>
              <w:t>虫害分英</w:t>
            </w:r>
          </w:p>
        </w:tc>
        <w:tc>
          <w:tcPr>
            <w:tcW w:w="889" w:type="dxa"/>
            <w:vAlign w:val="top"/>
          </w:tcPr>
          <w:p>
            <w:pPr>
              <w:pStyle w:val="TableText"/>
              <w:ind w:left="131"/>
              <w:spacing w:before="178" w:line="219" w:lineRule="auto"/>
              <w:rPr>
                <w:sz w:val="12"/>
                <w:szCs w:val="12"/>
              </w:rPr>
            </w:pPr>
            <w:r>
              <w:rPr>
                <w:sz w:val="12"/>
                <w:szCs w:val="12"/>
                <w:b/>
                <w:bCs/>
                <w:spacing w:val="-3"/>
              </w:rPr>
              <w:t>常见病虫害</w:t>
            </w:r>
          </w:p>
        </w:tc>
        <w:tc>
          <w:tcPr>
            <w:tcW w:w="2538" w:type="dxa"/>
            <w:vAlign w:val="top"/>
          </w:tcPr>
          <w:p>
            <w:pPr>
              <w:pStyle w:val="TableText"/>
              <w:ind w:left="942"/>
              <w:spacing w:before="178" w:line="219" w:lineRule="auto"/>
              <w:rPr>
                <w:sz w:val="12"/>
                <w:szCs w:val="12"/>
              </w:rPr>
            </w:pPr>
            <w:r>
              <w:rPr>
                <w:sz w:val="12"/>
                <w:szCs w:val="12"/>
                <w:b/>
                <w:bCs/>
                <w:spacing w:val="-3"/>
              </w:rPr>
              <w:t>主要发病月份</w:t>
            </w:r>
          </w:p>
        </w:tc>
        <w:tc>
          <w:tcPr>
            <w:tcW w:w="1409" w:type="dxa"/>
            <w:vAlign w:val="top"/>
          </w:tcPr>
          <w:p>
            <w:pPr>
              <w:pStyle w:val="TableText"/>
              <w:ind w:left="454"/>
              <w:spacing w:before="178" w:line="220" w:lineRule="auto"/>
              <w:rPr>
                <w:sz w:val="12"/>
                <w:szCs w:val="12"/>
              </w:rPr>
            </w:pPr>
            <w:r>
              <w:rPr>
                <w:sz w:val="12"/>
                <w:szCs w:val="12"/>
                <w:b/>
                <w:bCs/>
                <w:spacing w:val="-3"/>
              </w:rPr>
              <w:t>药品名称</w:t>
            </w:r>
          </w:p>
        </w:tc>
        <w:tc>
          <w:tcPr>
            <w:tcW w:w="1619" w:type="dxa"/>
            <w:vAlign w:val="top"/>
          </w:tcPr>
          <w:p>
            <w:pPr>
              <w:pStyle w:val="TableText"/>
              <w:ind w:left="565"/>
              <w:spacing w:before="178" w:line="220" w:lineRule="auto"/>
              <w:rPr>
                <w:sz w:val="12"/>
                <w:szCs w:val="12"/>
              </w:rPr>
            </w:pPr>
            <w:r>
              <w:rPr>
                <w:sz w:val="12"/>
                <w:szCs w:val="12"/>
                <w:b/>
                <w:bCs/>
                <w:spacing w:val="-3"/>
              </w:rPr>
              <w:t>主要成分</w:t>
            </w:r>
          </w:p>
        </w:tc>
        <w:tc>
          <w:tcPr>
            <w:tcW w:w="1329" w:type="dxa"/>
            <w:vAlign w:val="top"/>
          </w:tcPr>
          <w:p>
            <w:pPr>
              <w:pStyle w:val="TableText"/>
              <w:ind w:left="416"/>
              <w:spacing w:before="178" w:line="219" w:lineRule="auto"/>
              <w:rPr>
                <w:sz w:val="12"/>
                <w:szCs w:val="12"/>
              </w:rPr>
            </w:pPr>
            <w:r>
              <w:rPr>
                <w:sz w:val="12"/>
                <w:szCs w:val="12"/>
                <w:b/>
                <w:bCs/>
                <w:spacing w:val="-3"/>
              </w:rPr>
              <w:t>使用倍率</w:t>
            </w:r>
          </w:p>
        </w:tc>
        <w:tc>
          <w:tcPr>
            <w:tcW w:w="1169" w:type="dxa"/>
            <w:vAlign w:val="top"/>
          </w:tcPr>
          <w:p>
            <w:pPr>
              <w:pStyle w:val="TableText"/>
              <w:ind w:left="337"/>
              <w:spacing w:before="178" w:line="219" w:lineRule="auto"/>
              <w:rPr>
                <w:sz w:val="12"/>
                <w:szCs w:val="12"/>
              </w:rPr>
            </w:pPr>
            <w:r>
              <w:rPr>
                <w:sz w:val="12"/>
                <w:szCs w:val="12"/>
                <w:b/>
                <w:bCs/>
                <w:spacing w:val="-3"/>
              </w:rPr>
              <w:t>施用次数</w:t>
            </w:r>
          </w:p>
        </w:tc>
        <w:tc>
          <w:tcPr>
            <w:tcW w:w="889" w:type="dxa"/>
            <w:vAlign w:val="top"/>
          </w:tcPr>
          <w:p>
            <w:pPr>
              <w:pStyle w:val="TableText"/>
              <w:ind w:left="318"/>
              <w:spacing w:before="178" w:line="219" w:lineRule="auto"/>
              <w:rPr>
                <w:sz w:val="12"/>
                <w:szCs w:val="12"/>
              </w:rPr>
            </w:pPr>
            <w:r>
              <w:rPr>
                <w:sz w:val="12"/>
                <w:szCs w:val="12"/>
                <w:b/>
                <w:bCs/>
                <w:spacing w:val="-3"/>
              </w:rPr>
              <w:t>规格</w:t>
            </w:r>
          </w:p>
        </w:tc>
        <w:tc>
          <w:tcPr>
            <w:tcW w:w="2865" w:type="dxa"/>
            <w:vAlign w:val="top"/>
          </w:tcPr>
          <w:p>
            <w:pPr>
              <w:pStyle w:val="TableText"/>
              <w:ind w:left="1319"/>
              <w:spacing w:before="178" w:line="221" w:lineRule="auto"/>
              <w:rPr>
                <w:sz w:val="12"/>
                <w:szCs w:val="12"/>
              </w:rPr>
            </w:pPr>
            <w:r>
              <w:rPr>
                <w:sz w:val="12"/>
                <w:szCs w:val="12"/>
                <w:b/>
                <w:bCs/>
                <w:spacing w:val="-3"/>
              </w:rPr>
              <w:t>备注</w:t>
            </w:r>
          </w:p>
        </w:tc>
      </w:tr>
      <w:tr>
        <w:trPr>
          <w:trHeight w:val="349" w:hRule="atLeast"/>
        </w:trPr>
        <w:tc>
          <w:tcPr>
            <w:tcW w:w="415" w:type="dxa"/>
            <w:vAlign w:val="top"/>
            <w:vMerge w:val="restart"/>
            <w:tcBorders>
              <w:bottom w:val="nil"/>
            </w:tcBorders>
          </w:tcPr>
          <w:p>
            <w:pPr>
              <w:spacing w:line="322" w:lineRule="auto"/>
              <w:rPr>
                <w:rFonts w:ascii="Arial"/>
                <w:sz w:val="21"/>
              </w:rPr>
            </w:pPr>
            <w:r/>
          </w:p>
          <w:p>
            <w:pPr>
              <w:spacing w:line="322" w:lineRule="auto"/>
              <w:rPr>
                <w:rFonts w:ascii="Arial"/>
                <w:sz w:val="21"/>
              </w:rPr>
            </w:pPr>
            <w:r/>
          </w:p>
          <w:p>
            <w:pPr>
              <w:pStyle w:val="TableText"/>
              <w:ind w:left="43" w:right="5" w:hanging="29"/>
              <w:spacing w:before="36" w:line="235" w:lineRule="auto"/>
              <w:rPr>
                <w:sz w:val="12"/>
                <w:szCs w:val="12"/>
              </w:rPr>
            </w:pPr>
            <w:r>
              <w:rPr>
                <w:sz w:val="11"/>
                <w:szCs w:val="11"/>
                <w:spacing w:val="-9"/>
                <w:w w:val="95"/>
              </w:rPr>
              <w:t>营养剂上</w:t>
            </w:r>
            <w:r>
              <w:rPr>
                <w:sz w:val="11"/>
                <w:szCs w:val="11"/>
                <w:spacing w:val="1"/>
              </w:rPr>
              <w:t xml:space="preserve"> </w:t>
            </w:r>
            <w:r>
              <w:rPr>
                <w:sz w:val="12"/>
                <w:szCs w:val="12"/>
                <w:spacing w:val="-1"/>
              </w:rPr>
              <w:t>/肥料</w:t>
            </w:r>
          </w:p>
        </w:tc>
        <w:tc>
          <w:tcPr>
            <w:tcW w:w="800" w:type="dxa"/>
            <w:vAlign w:val="top"/>
            <w:vMerge w:val="restart"/>
            <w:tcBorders>
              <w:bottom w:val="nil"/>
            </w:tcBorders>
          </w:tcPr>
          <w:p>
            <w:pPr>
              <w:spacing w:line="265" w:lineRule="auto"/>
              <w:rPr>
                <w:rFonts w:ascii="Arial"/>
                <w:sz w:val="21"/>
              </w:rPr>
            </w:pPr>
            <w:r/>
          </w:p>
          <w:p>
            <w:pPr>
              <w:pStyle w:val="TableText"/>
              <w:ind w:left="150"/>
              <w:spacing w:before="39" w:line="219" w:lineRule="auto"/>
              <w:rPr>
                <w:sz w:val="12"/>
                <w:szCs w:val="12"/>
              </w:rPr>
            </w:pPr>
            <w:r>
              <w:rPr>
                <w:sz w:val="12"/>
                <w:szCs w:val="12"/>
                <w:spacing w:val="-1"/>
              </w:rPr>
              <w:t>树木复壮</w:t>
            </w:r>
          </w:p>
        </w:tc>
        <w:tc>
          <w:tcPr>
            <w:tcW w:w="889" w:type="dxa"/>
            <w:vAlign w:val="top"/>
            <w:vMerge w:val="restart"/>
            <w:tcBorders>
              <w:bottom w:val="nil"/>
            </w:tcBorders>
          </w:tcPr>
          <w:p>
            <w:pPr>
              <w:pStyle w:val="TableText"/>
              <w:ind w:left="10"/>
              <w:spacing w:before="86" w:line="219" w:lineRule="auto"/>
              <w:rPr>
                <w:sz w:val="12"/>
                <w:szCs w:val="12"/>
              </w:rPr>
            </w:pPr>
            <w:r>
              <w:rPr>
                <w:sz w:val="12"/>
                <w:szCs w:val="12"/>
                <w:spacing w:val="2"/>
              </w:rPr>
              <w:t>树木长势弱，自</w:t>
            </w:r>
          </w:p>
          <w:p>
            <w:pPr>
              <w:pStyle w:val="TableText"/>
              <w:ind w:left="10"/>
              <w:spacing w:before="17" w:line="200" w:lineRule="auto"/>
              <w:rPr>
                <w:sz w:val="12"/>
                <w:szCs w:val="12"/>
              </w:rPr>
            </w:pPr>
            <w:r>
              <w:rPr>
                <w:sz w:val="12"/>
                <w:szCs w:val="12"/>
                <w:spacing w:val="-1"/>
              </w:rPr>
              <w:t>顶部向下有枯黄</w:t>
            </w:r>
          </w:p>
          <w:p>
            <w:pPr>
              <w:pStyle w:val="TableText"/>
              <w:ind w:left="10"/>
              <w:spacing w:line="219" w:lineRule="auto"/>
              <w:rPr>
                <w:sz w:val="12"/>
                <w:szCs w:val="12"/>
              </w:rPr>
            </w:pPr>
            <w:r>
              <w:rPr>
                <w:sz w:val="12"/>
                <w:szCs w:val="12"/>
                <w:spacing w:val="-1"/>
              </w:rPr>
              <w:t>现象，或高大乔</w:t>
            </w:r>
          </w:p>
          <w:p>
            <w:pPr>
              <w:pStyle w:val="TableText"/>
              <w:ind w:left="70"/>
              <w:spacing w:before="7" w:line="219" w:lineRule="auto"/>
              <w:rPr>
                <w:sz w:val="12"/>
                <w:szCs w:val="12"/>
              </w:rPr>
            </w:pPr>
            <w:r>
              <w:rPr>
                <w:sz w:val="12"/>
                <w:szCs w:val="12"/>
                <w:spacing w:val="-1"/>
              </w:rPr>
              <w:t>木及贵重树木</w:t>
            </w:r>
          </w:p>
        </w:tc>
        <w:tc>
          <w:tcPr>
            <w:tcW w:w="2538" w:type="dxa"/>
            <w:vAlign w:val="top"/>
            <w:vMerge w:val="restart"/>
            <w:tcBorders>
              <w:bottom w:val="nil"/>
            </w:tcBorders>
          </w:tcPr>
          <w:p>
            <w:pPr>
              <w:pStyle w:val="TableText"/>
              <w:ind w:left="11"/>
              <w:spacing w:before="185" w:line="200" w:lineRule="auto"/>
              <w:rPr>
                <w:sz w:val="12"/>
                <w:szCs w:val="12"/>
              </w:rPr>
            </w:pPr>
            <w:r>
              <w:rPr>
                <w:sz w:val="12"/>
                <w:szCs w:val="12"/>
              </w:rPr>
              <w:t>一，主要是裁植期间使用。</w:t>
            </w:r>
          </w:p>
          <w:p>
            <w:pPr>
              <w:pStyle w:val="TableText"/>
              <w:ind w:left="11"/>
              <w:spacing w:line="219" w:lineRule="auto"/>
              <w:rPr>
                <w:sz w:val="12"/>
                <w:szCs w:val="12"/>
              </w:rPr>
            </w:pPr>
            <w:r>
              <w:rPr>
                <w:sz w:val="12"/>
                <w:szCs w:val="12"/>
                <w:spacing w:val="-1"/>
              </w:rPr>
              <w:t>二、有个别情况，做专项治疗。</w:t>
            </w:r>
          </w:p>
        </w:tc>
        <w:tc>
          <w:tcPr>
            <w:tcW w:w="1409" w:type="dxa"/>
            <w:vAlign w:val="top"/>
          </w:tcPr>
          <w:p>
            <w:pPr>
              <w:pStyle w:val="TableText"/>
              <w:ind w:left="333"/>
              <w:spacing w:before="116" w:line="219" w:lineRule="auto"/>
              <w:rPr>
                <w:sz w:val="12"/>
                <w:szCs w:val="12"/>
              </w:rPr>
            </w:pPr>
            <w:r>
              <w:rPr>
                <w:sz w:val="12"/>
                <w:szCs w:val="12"/>
                <w:spacing w:val="1"/>
              </w:rPr>
              <w:t>国光氨基酸钾</w:t>
            </w:r>
          </w:p>
        </w:tc>
        <w:tc>
          <w:tcPr>
            <w:tcW w:w="1619" w:type="dxa"/>
            <w:vAlign w:val="top"/>
          </w:tcPr>
          <w:p>
            <w:pPr>
              <w:pStyle w:val="TableText"/>
              <w:ind w:left="384"/>
              <w:spacing w:before="116" w:line="221" w:lineRule="auto"/>
              <w:rPr>
                <w:sz w:val="12"/>
                <w:szCs w:val="12"/>
              </w:rPr>
            </w:pPr>
            <w:r>
              <w:rPr>
                <w:sz w:val="12"/>
                <w:szCs w:val="12"/>
                <w:spacing w:val="-1"/>
              </w:rPr>
              <w:t>2%氦基酸整合肝</w:t>
            </w:r>
          </w:p>
        </w:tc>
        <w:tc>
          <w:tcPr>
            <w:tcW w:w="1329" w:type="dxa"/>
            <w:vAlign w:val="top"/>
          </w:tcPr>
          <w:p>
            <w:pPr>
              <w:pStyle w:val="TableText"/>
              <w:ind w:left="275"/>
              <w:spacing w:before="116" w:line="219" w:lineRule="auto"/>
              <w:rPr>
                <w:sz w:val="12"/>
                <w:szCs w:val="12"/>
              </w:rPr>
            </w:pPr>
            <w:r>
              <w:rPr>
                <w:sz w:val="12"/>
                <w:szCs w:val="12"/>
                <w:spacing w:val="-1"/>
              </w:rPr>
              <w:t>稀释600-800倍液</w:t>
            </w:r>
          </w:p>
        </w:tc>
        <w:tc>
          <w:tcPr>
            <w:tcW w:w="1169" w:type="dxa"/>
            <w:vAlign w:val="top"/>
            <w:vMerge w:val="restart"/>
            <w:tcBorders>
              <w:bottom w:val="nil"/>
            </w:tcBorders>
          </w:tcPr>
          <w:p>
            <w:pPr>
              <w:spacing w:line="265" w:lineRule="auto"/>
              <w:rPr>
                <w:rFonts w:ascii="Arial"/>
                <w:sz w:val="21"/>
              </w:rPr>
            </w:pPr>
            <w:r/>
          </w:p>
          <w:p>
            <w:pPr>
              <w:pStyle w:val="TableText"/>
              <w:ind w:left="306"/>
              <w:spacing w:before="39" w:line="219" w:lineRule="auto"/>
              <w:rPr>
                <w:sz w:val="12"/>
                <w:szCs w:val="12"/>
              </w:rPr>
            </w:pPr>
            <w:r>
              <w:rPr>
                <w:sz w:val="12"/>
                <w:szCs w:val="12"/>
                <w:spacing w:val="-2"/>
              </w:rPr>
              <w:t>一般用1次</w:t>
            </w:r>
          </w:p>
        </w:tc>
        <w:tc>
          <w:tcPr>
            <w:tcW w:w="889" w:type="dxa"/>
            <w:vAlign w:val="top"/>
          </w:tcPr>
          <w:p>
            <w:pPr>
              <w:pStyle w:val="TableText"/>
              <w:ind w:left="227"/>
              <w:spacing w:before="111" w:line="214" w:lineRule="auto"/>
              <w:rPr>
                <w:sz w:val="12"/>
                <w:szCs w:val="12"/>
              </w:rPr>
            </w:pPr>
            <w:r>
              <w:rPr>
                <w:sz w:val="12"/>
                <w:szCs w:val="12"/>
                <w:spacing w:val="-1"/>
              </w:rPr>
              <w:t>500g/瓶</w:t>
            </w:r>
          </w:p>
        </w:tc>
        <w:tc>
          <w:tcPr>
            <w:tcW w:w="2865" w:type="dxa"/>
            <w:vAlign w:val="top"/>
          </w:tcPr>
          <w:p>
            <w:pPr>
              <w:pStyle w:val="TableText"/>
              <w:ind w:left="18"/>
              <w:spacing w:before="55" w:line="204" w:lineRule="auto"/>
              <w:rPr>
                <w:sz w:val="12"/>
                <w:szCs w:val="12"/>
              </w:rPr>
            </w:pPr>
            <w:r>
              <w:rPr>
                <w:sz w:val="12"/>
                <w:szCs w:val="12"/>
                <w:spacing w:val="-4"/>
              </w:rPr>
              <w:t>防治因缺钾引起的植株瘦弱，生长不良。1万</w:t>
            </w:r>
            <w:r>
              <w:rPr>
                <w:sz w:val="12"/>
                <w:szCs w:val="12"/>
                <w:spacing w:val="-5"/>
              </w:rPr>
              <w:t>平方米年度</w:t>
            </w:r>
            <w:r>
              <w:rPr>
                <w:sz w:val="12"/>
                <w:szCs w:val="12"/>
              </w:rPr>
              <w:t xml:space="preserve"> </w:t>
            </w:r>
            <w:r>
              <w:rPr>
                <w:sz w:val="12"/>
                <w:szCs w:val="12"/>
                <w:spacing w:val="5"/>
              </w:rPr>
              <w:t>约用量：40</w:t>
            </w:r>
            <w:r>
              <w:rPr>
                <w:sz w:val="12"/>
                <w:szCs w:val="12"/>
              </w:rPr>
              <w:t>kg</w:t>
            </w:r>
            <w:r>
              <w:rPr>
                <w:sz w:val="12"/>
                <w:szCs w:val="12"/>
                <w:spacing w:val="5"/>
              </w:rPr>
              <w:t>.</w:t>
            </w:r>
          </w:p>
        </w:tc>
      </w:tr>
      <w:tr>
        <w:trPr>
          <w:trHeight w:val="379" w:hRule="atLeast"/>
        </w:trPr>
        <w:tc>
          <w:tcPr>
            <w:tcW w:w="415" w:type="dxa"/>
            <w:vAlign w:val="top"/>
            <w:vMerge w:val="continue"/>
            <w:tcBorders>
              <w:top w:val="nil"/>
              <w:bottom w:val="nil"/>
            </w:tcBorders>
          </w:tcPr>
          <w:p>
            <w:pPr>
              <w:rPr>
                <w:rFonts w:ascii="Arial"/>
                <w:sz w:val="21"/>
              </w:rPr>
            </w:pPr>
            <w:r/>
          </w:p>
        </w:tc>
        <w:tc>
          <w:tcPr>
            <w:tcW w:w="800" w:type="dxa"/>
            <w:vAlign w:val="top"/>
            <w:vMerge w:val="continue"/>
            <w:tcBorders>
              <w:top w:val="nil"/>
            </w:tcBorders>
          </w:tcPr>
          <w:p>
            <w:pPr>
              <w:rPr>
                <w:rFonts w:ascii="Arial"/>
                <w:sz w:val="21"/>
              </w:rPr>
            </w:pPr>
            <w:r/>
          </w:p>
        </w:tc>
        <w:tc>
          <w:tcPr>
            <w:tcW w:w="889" w:type="dxa"/>
            <w:vAlign w:val="top"/>
            <w:vMerge w:val="continue"/>
            <w:tcBorders>
              <w:top w:val="nil"/>
            </w:tcBorders>
          </w:tcPr>
          <w:p>
            <w:pPr>
              <w:rPr>
                <w:rFonts w:ascii="Arial"/>
                <w:sz w:val="21"/>
              </w:rPr>
            </w:pPr>
            <w:r/>
          </w:p>
        </w:tc>
        <w:tc>
          <w:tcPr>
            <w:tcW w:w="2538" w:type="dxa"/>
            <w:vAlign w:val="top"/>
            <w:vMerge w:val="continue"/>
            <w:tcBorders>
              <w:top w:val="nil"/>
            </w:tcBorders>
          </w:tcPr>
          <w:p>
            <w:pPr>
              <w:rPr>
                <w:rFonts w:ascii="Arial"/>
                <w:sz w:val="21"/>
              </w:rPr>
            </w:pPr>
            <w:r/>
          </w:p>
        </w:tc>
        <w:tc>
          <w:tcPr>
            <w:tcW w:w="1409" w:type="dxa"/>
            <w:vAlign w:val="top"/>
          </w:tcPr>
          <w:p>
            <w:pPr>
              <w:pStyle w:val="TableText"/>
              <w:ind w:left="273"/>
              <w:spacing w:before="126" w:line="219" w:lineRule="auto"/>
              <w:rPr>
                <w:sz w:val="12"/>
                <w:szCs w:val="12"/>
              </w:rPr>
            </w:pPr>
            <w:r>
              <w:rPr>
                <w:sz w:val="12"/>
                <w:szCs w:val="12"/>
                <w:spacing w:val="-1"/>
              </w:rPr>
              <w:t>高效磷押复合肥</w:t>
            </w:r>
          </w:p>
        </w:tc>
        <w:tc>
          <w:tcPr>
            <w:tcW w:w="1619" w:type="dxa"/>
            <w:vAlign w:val="top"/>
          </w:tcPr>
          <w:p>
            <w:pPr>
              <w:pStyle w:val="TableText"/>
              <w:ind w:left="504"/>
              <w:spacing w:before="126" w:line="219" w:lineRule="auto"/>
              <w:rPr>
                <w:sz w:val="12"/>
                <w:szCs w:val="12"/>
              </w:rPr>
            </w:pPr>
            <w:r>
              <w:rPr>
                <w:sz w:val="12"/>
                <w:szCs w:val="12"/>
                <w:spacing w:val="-1"/>
              </w:rPr>
              <w:t>磷酸二氯钾</w:t>
            </w:r>
          </w:p>
        </w:tc>
        <w:tc>
          <w:tcPr>
            <w:tcW w:w="1329" w:type="dxa"/>
            <w:vAlign w:val="top"/>
          </w:tcPr>
          <w:p>
            <w:pPr>
              <w:pStyle w:val="TableText"/>
              <w:spacing w:before="126" w:line="219" w:lineRule="auto"/>
              <w:jc w:val="right"/>
              <w:rPr>
                <w:sz w:val="12"/>
                <w:szCs w:val="12"/>
              </w:rPr>
            </w:pPr>
            <w:r>
              <w:rPr>
                <w:sz w:val="12"/>
                <w:szCs w:val="12"/>
                <w:spacing w:val="-2"/>
              </w:rPr>
              <w:t>直接穴施或0.2%叶面嗅施</w:t>
            </w:r>
          </w:p>
        </w:tc>
        <w:tc>
          <w:tcPr>
            <w:tcW w:w="1169" w:type="dxa"/>
            <w:vAlign w:val="top"/>
            <w:vMerge w:val="continue"/>
            <w:tcBorders>
              <w:top w:val="nil"/>
            </w:tcBorders>
          </w:tcPr>
          <w:p>
            <w:pPr>
              <w:rPr>
                <w:rFonts w:ascii="Arial"/>
                <w:sz w:val="21"/>
              </w:rPr>
            </w:pPr>
            <w:r/>
          </w:p>
        </w:tc>
        <w:tc>
          <w:tcPr>
            <w:tcW w:w="889" w:type="dxa"/>
            <w:vAlign w:val="top"/>
          </w:tcPr>
          <w:p>
            <w:pPr>
              <w:pStyle w:val="TableText"/>
              <w:ind w:left="167"/>
              <w:spacing w:before="122" w:line="214" w:lineRule="auto"/>
              <w:rPr>
                <w:sz w:val="12"/>
                <w:szCs w:val="12"/>
              </w:rPr>
            </w:pPr>
            <w:r>
              <w:rPr>
                <w:sz w:val="12"/>
                <w:szCs w:val="12"/>
                <w:spacing w:val="4"/>
              </w:rPr>
              <w:t>(25</w:t>
            </w:r>
            <w:r>
              <w:rPr>
                <w:sz w:val="12"/>
                <w:szCs w:val="12"/>
              </w:rPr>
              <w:t>kg</w:t>
            </w:r>
            <w:r>
              <w:rPr>
                <w:sz w:val="12"/>
                <w:szCs w:val="12"/>
                <w:spacing w:val="4"/>
              </w:rPr>
              <w:t>/袋)</w:t>
            </w:r>
          </w:p>
        </w:tc>
        <w:tc>
          <w:tcPr>
            <w:tcW w:w="2865" w:type="dxa"/>
            <w:vAlign w:val="top"/>
          </w:tcPr>
          <w:p>
            <w:pPr>
              <w:pStyle w:val="TableText"/>
              <w:ind w:left="18" w:right="1"/>
              <w:spacing w:before="56"/>
              <w:rPr>
                <w:sz w:val="12"/>
                <w:szCs w:val="12"/>
              </w:rPr>
            </w:pPr>
            <w:r>
              <w:rPr>
                <w:sz w:val="12"/>
                <w:szCs w:val="12"/>
                <w:spacing w:val="-4"/>
              </w:rPr>
              <w:t>提高树木木质化程度，有利树本安全越冬，</w:t>
            </w:r>
            <w:r>
              <w:rPr>
                <w:sz w:val="12"/>
                <w:szCs w:val="12"/>
                <w:spacing w:val="-5"/>
              </w:rPr>
              <w:t>1万平方米年</w:t>
            </w:r>
            <w:r>
              <w:rPr>
                <w:sz w:val="12"/>
                <w:szCs w:val="12"/>
              </w:rPr>
              <w:t xml:space="preserve"> </w:t>
            </w:r>
            <w:r>
              <w:rPr>
                <w:sz w:val="12"/>
                <w:szCs w:val="12"/>
              </w:rPr>
              <w:t>度约用量：100kg。</w:t>
            </w:r>
          </w:p>
        </w:tc>
      </w:tr>
      <w:tr>
        <w:trPr>
          <w:trHeight w:val="299" w:hRule="atLeast"/>
        </w:trPr>
        <w:tc>
          <w:tcPr>
            <w:tcW w:w="415" w:type="dxa"/>
            <w:vAlign w:val="top"/>
            <w:vMerge w:val="continue"/>
            <w:tcBorders>
              <w:top w:val="nil"/>
              <w:bottom w:val="nil"/>
            </w:tcBorders>
          </w:tcPr>
          <w:p>
            <w:pPr>
              <w:rPr>
                <w:rFonts w:ascii="Arial"/>
                <w:sz w:val="21"/>
              </w:rPr>
            </w:pPr>
            <w:r/>
          </w:p>
        </w:tc>
        <w:tc>
          <w:tcPr>
            <w:tcW w:w="800" w:type="dxa"/>
            <w:vAlign w:val="top"/>
            <w:vMerge w:val="restart"/>
            <w:tcBorders>
              <w:bottom w:val="nil"/>
            </w:tcBorders>
          </w:tcPr>
          <w:p>
            <w:pPr>
              <w:spacing w:line="327" w:lineRule="auto"/>
              <w:rPr>
                <w:rFonts w:ascii="Arial"/>
                <w:sz w:val="21"/>
              </w:rPr>
            </w:pPr>
            <w:r/>
          </w:p>
          <w:p>
            <w:pPr>
              <w:pStyle w:val="TableText"/>
              <w:ind w:left="150"/>
              <w:spacing w:before="39" w:line="219" w:lineRule="auto"/>
              <w:rPr>
                <w:sz w:val="12"/>
                <w:szCs w:val="12"/>
              </w:rPr>
            </w:pPr>
            <w:r>
              <w:rPr>
                <w:sz w:val="12"/>
                <w:szCs w:val="12"/>
                <w:spacing w:val="-2"/>
              </w:rPr>
              <w:t>草皮覆绿</w:t>
            </w:r>
          </w:p>
        </w:tc>
        <w:tc>
          <w:tcPr>
            <w:tcW w:w="889" w:type="dxa"/>
            <w:vAlign w:val="top"/>
            <w:vMerge w:val="restart"/>
            <w:tcBorders>
              <w:bottom w:val="nil"/>
            </w:tcBorders>
          </w:tcPr>
          <w:p>
            <w:pPr>
              <w:spacing w:line="257" w:lineRule="auto"/>
              <w:rPr>
                <w:rFonts w:ascii="Arial"/>
                <w:sz w:val="21"/>
              </w:rPr>
            </w:pPr>
            <w:r/>
          </w:p>
          <w:p>
            <w:pPr>
              <w:pStyle w:val="TableText"/>
              <w:ind w:left="329" w:right="34" w:hanging="319"/>
              <w:spacing w:before="39" w:line="237" w:lineRule="auto"/>
              <w:rPr>
                <w:sz w:val="12"/>
                <w:szCs w:val="12"/>
              </w:rPr>
            </w:pPr>
            <w:r>
              <w:rPr>
                <w:sz w:val="12"/>
                <w:szCs w:val="12"/>
                <w:spacing w:val="-1"/>
              </w:rPr>
              <w:t>草坪发芽及长势</w:t>
            </w:r>
            <w:r>
              <w:rPr>
                <w:sz w:val="12"/>
                <w:szCs w:val="12"/>
              </w:rPr>
              <w:t xml:space="preserve"> </w:t>
            </w:r>
            <w:r>
              <w:rPr>
                <w:sz w:val="12"/>
                <w:szCs w:val="12"/>
                <w:spacing w:val="-2"/>
              </w:rPr>
              <w:t>不良</w:t>
            </w:r>
          </w:p>
        </w:tc>
        <w:tc>
          <w:tcPr>
            <w:tcW w:w="2538" w:type="dxa"/>
            <w:vAlign w:val="top"/>
            <w:vMerge w:val="restart"/>
            <w:tcBorders>
              <w:bottom w:val="nil"/>
            </w:tcBorders>
          </w:tcPr>
          <w:p>
            <w:pPr>
              <w:pStyle w:val="TableText"/>
              <w:ind w:left="11"/>
              <w:spacing w:before="18" w:line="219" w:lineRule="auto"/>
              <w:rPr>
                <w:sz w:val="12"/>
                <w:szCs w:val="12"/>
              </w:rPr>
            </w:pPr>
            <w:r>
              <w:rPr>
                <w:sz w:val="12"/>
                <w:szCs w:val="12"/>
              </w:rPr>
              <w:t>、主妻集中在3月，气温上升。空气湿度增加，</w:t>
            </w:r>
          </w:p>
          <w:p>
            <w:pPr>
              <w:pStyle w:val="TableText"/>
              <w:ind w:left="11"/>
              <w:spacing w:before="7" w:line="209" w:lineRule="auto"/>
              <w:jc w:val="both"/>
              <w:rPr>
                <w:sz w:val="12"/>
                <w:szCs w:val="12"/>
              </w:rPr>
            </w:pPr>
            <w:r>
              <w:rPr>
                <w:sz w:val="12"/>
                <w:szCs w:val="12"/>
                <w:spacing w:val="-6"/>
              </w:rPr>
              <w:t>苗木结束体配期开始返青，是草皮施肥复绿最住时</w:t>
            </w:r>
            <w:r>
              <w:rPr>
                <w:sz w:val="12"/>
                <w:szCs w:val="12"/>
                <w:spacing w:val="7"/>
              </w:rPr>
              <w:t xml:space="preserve"> </w:t>
            </w:r>
            <w:r>
              <w:rPr>
                <w:sz w:val="12"/>
                <w:szCs w:val="12"/>
                <w:spacing w:val="-1"/>
              </w:rPr>
              <w:t>机。</w:t>
            </w:r>
          </w:p>
          <w:p>
            <w:pPr>
              <w:pStyle w:val="TableText"/>
              <w:ind w:left="11"/>
              <w:spacing w:before="7" w:line="200" w:lineRule="auto"/>
              <w:rPr>
                <w:sz w:val="12"/>
                <w:szCs w:val="12"/>
              </w:rPr>
            </w:pPr>
            <w:r>
              <w:rPr>
                <w:sz w:val="12"/>
                <w:szCs w:val="12"/>
              </w:rPr>
              <w:t>二，5-10月有个别情况，做专项泊疗。</w:t>
            </w:r>
          </w:p>
          <w:p>
            <w:pPr>
              <w:pStyle w:val="TableText"/>
              <w:ind w:left="11"/>
              <w:spacing w:line="218" w:lineRule="auto"/>
              <w:rPr>
                <w:sz w:val="12"/>
                <w:szCs w:val="12"/>
              </w:rPr>
            </w:pPr>
            <w:r>
              <w:rPr>
                <w:sz w:val="12"/>
                <w:szCs w:val="12"/>
              </w:rPr>
              <w:t>三，9月施秋肥。</w:t>
            </w:r>
          </w:p>
        </w:tc>
        <w:tc>
          <w:tcPr>
            <w:tcW w:w="1409" w:type="dxa"/>
            <w:vAlign w:val="top"/>
          </w:tcPr>
          <w:p>
            <w:pPr>
              <w:pStyle w:val="TableText"/>
              <w:ind w:left="2"/>
              <w:spacing w:before="8" w:line="219" w:lineRule="auto"/>
              <w:rPr>
                <w:sz w:val="12"/>
                <w:szCs w:val="12"/>
              </w:rPr>
            </w:pPr>
            <w:r>
              <w:rPr>
                <w:sz w:val="12"/>
                <w:szCs w:val="12"/>
                <w:spacing w:val="-1"/>
              </w:rPr>
              <w:t>尿素(一般很少单独使用须</w:t>
            </w:r>
          </w:p>
          <w:p>
            <w:pPr>
              <w:pStyle w:val="TableText"/>
              <w:ind w:left="263"/>
              <w:spacing w:before="7" w:line="202" w:lineRule="auto"/>
              <w:rPr>
                <w:sz w:val="12"/>
                <w:szCs w:val="12"/>
              </w:rPr>
            </w:pPr>
            <w:r>
              <w:rPr>
                <w:sz w:val="12"/>
                <w:szCs w:val="12"/>
                <w:spacing w:val="3"/>
              </w:rPr>
              <w:t>配合磷钾肥使用)</w:t>
            </w:r>
          </w:p>
        </w:tc>
        <w:tc>
          <w:tcPr>
            <w:tcW w:w="1619" w:type="dxa"/>
            <w:vAlign w:val="top"/>
          </w:tcPr>
          <w:p>
            <w:pPr>
              <w:pStyle w:val="TableText"/>
              <w:ind w:left="324"/>
              <w:spacing w:before="86" w:line="216" w:lineRule="auto"/>
              <w:rPr>
                <w:sz w:val="12"/>
                <w:szCs w:val="12"/>
              </w:rPr>
            </w:pPr>
            <w:r>
              <w:rPr>
                <w:sz w:val="12"/>
                <w:szCs w:val="12"/>
                <w:spacing w:val="16"/>
              </w:rPr>
              <w:t>QNF22,含氩46%</w:t>
            </w:r>
          </w:p>
        </w:tc>
        <w:tc>
          <w:tcPr>
            <w:tcW w:w="1329" w:type="dxa"/>
            <w:vAlign w:val="top"/>
          </w:tcPr>
          <w:p>
            <w:pPr>
              <w:pStyle w:val="TableText"/>
              <w:spacing w:before="83" w:line="214" w:lineRule="auto"/>
              <w:jc w:val="right"/>
              <w:rPr>
                <w:sz w:val="12"/>
                <w:szCs w:val="12"/>
              </w:rPr>
            </w:pPr>
            <w:r>
              <w:rPr>
                <w:sz w:val="12"/>
                <w:szCs w:val="12"/>
                <w:spacing w:val="-1"/>
              </w:rPr>
              <w:t>直接撤施：20-25kg/亩</w:t>
            </w:r>
          </w:p>
        </w:tc>
        <w:tc>
          <w:tcPr>
            <w:tcW w:w="1169" w:type="dxa"/>
            <w:vAlign w:val="top"/>
            <w:vMerge w:val="restart"/>
            <w:tcBorders>
              <w:bottom w:val="nil"/>
            </w:tcBorders>
          </w:tcPr>
          <w:p>
            <w:pPr>
              <w:spacing w:line="327" w:lineRule="auto"/>
              <w:rPr>
                <w:rFonts w:ascii="Arial"/>
                <w:sz w:val="21"/>
              </w:rPr>
            </w:pPr>
            <w:r/>
          </w:p>
          <w:p>
            <w:pPr>
              <w:pStyle w:val="TableText"/>
              <w:ind w:left="155"/>
              <w:spacing w:before="39" w:line="219" w:lineRule="auto"/>
              <w:rPr>
                <w:sz w:val="12"/>
                <w:szCs w:val="12"/>
              </w:rPr>
            </w:pPr>
            <w:r>
              <w:rPr>
                <w:sz w:val="12"/>
                <w:szCs w:val="12"/>
                <w:spacing w:val="-1"/>
              </w:rPr>
              <w:t>视草坪生长情况</w:t>
            </w:r>
          </w:p>
        </w:tc>
        <w:tc>
          <w:tcPr>
            <w:tcW w:w="889" w:type="dxa"/>
            <w:vAlign w:val="top"/>
          </w:tcPr>
          <w:p>
            <w:pPr>
              <w:pStyle w:val="TableText"/>
              <w:ind w:left="167"/>
              <w:spacing w:before="83" w:line="214" w:lineRule="auto"/>
              <w:rPr>
                <w:sz w:val="12"/>
                <w:szCs w:val="12"/>
              </w:rPr>
            </w:pPr>
            <w:r>
              <w:rPr>
                <w:sz w:val="12"/>
                <w:szCs w:val="12"/>
                <w:spacing w:val="4"/>
              </w:rPr>
              <w:t>(50</w:t>
            </w:r>
            <w:r>
              <w:rPr>
                <w:sz w:val="12"/>
                <w:szCs w:val="12"/>
              </w:rPr>
              <w:t>kg</w:t>
            </w:r>
            <w:r>
              <w:rPr>
                <w:sz w:val="12"/>
                <w:szCs w:val="12"/>
                <w:spacing w:val="4"/>
              </w:rPr>
              <w:t>/装)</w:t>
            </w:r>
          </w:p>
        </w:tc>
        <w:tc>
          <w:tcPr>
            <w:tcW w:w="2865" w:type="dxa"/>
            <w:vAlign w:val="top"/>
          </w:tcPr>
          <w:p>
            <w:pPr>
              <w:pStyle w:val="TableText"/>
              <w:spacing w:before="83" w:line="214" w:lineRule="auto"/>
              <w:jc w:val="right"/>
              <w:rPr>
                <w:sz w:val="12"/>
                <w:szCs w:val="12"/>
              </w:rPr>
            </w:pPr>
            <w:r>
              <w:rPr>
                <w:sz w:val="12"/>
                <w:szCs w:val="12"/>
                <w:spacing w:val="-2"/>
              </w:rPr>
              <w:t>促进草坪生长，增绿，1万平方来年度约用量：200kg。</w:t>
            </w:r>
          </w:p>
        </w:tc>
      </w:tr>
      <w:tr>
        <w:trPr>
          <w:trHeight w:val="539" w:hRule="atLeast"/>
        </w:trPr>
        <w:tc>
          <w:tcPr>
            <w:tcW w:w="415" w:type="dxa"/>
            <w:vAlign w:val="top"/>
            <w:vMerge w:val="continue"/>
            <w:tcBorders>
              <w:top w:val="nil"/>
            </w:tcBorders>
          </w:tcPr>
          <w:p>
            <w:pPr>
              <w:rPr>
                <w:rFonts w:ascii="Arial"/>
                <w:sz w:val="21"/>
              </w:rPr>
            </w:pPr>
            <w:r/>
          </w:p>
        </w:tc>
        <w:tc>
          <w:tcPr>
            <w:tcW w:w="800" w:type="dxa"/>
            <w:vAlign w:val="top"/>
            <w:vMerge w:val="continue"/>
            <w:tcBorders>
              <w:top w:val="nil"/>
            </w:tcBorders>
          </w:tcPr>
          <w:p>
            <w:pPr>
              <w:rPr>
                <w:rFonts w:ascii="Arial"/>
                <w:sz w:val="21"/>
              </w:rPr>
            </w:pPr>
            <w:r/>
          </w:p>
        </w:tc>
        <w:tc>
          <w:tcPr>
            <w:tcW w:w="889" w:type="dxa"/>
            <w:vAlign w:val="top"/>
            <w:vMerge w:val="continue"/>
            <w:tcBorders>
              <w:top w:val="nil"/>
            </w:tcBorders>
          </w:tcPr>
          <w:p>
            <w:pPr>
              <w:rPr>
                <w:rFonts w:ascii="Arial"/>
                <w:sz w:val="21"/>
              </w:rPr>
            </w:pPr>
            <w:r/>
          </w:p>
        </w:tc>
        <w:tc>
          <w:tcPr>
            <w:tcW w:w="2538" w:type="dxa"/>
            <w:vAlign w:val="top"/>
            <w:vMerge w:val="continue"/>
            <w:tcBorders>
              <w:top w:val="nil"/>
            </w:tcBorders>
          </w:tcPr>
          <w:p>
            <w:pPr>
              <w:rPr>
                <w:rFonts w:ascii="Arial"/>
                <w:sz w:val="21"/>
              </w:rPr>
            </w:pPr>
            <w:r/>
          </w:p>
        </w:tc>
        <w:tc>
          <w:tcPr>
            <w:tcW w:w="1409" w:type="dxa"/>
            <w:vAlign w:val="top"/>
          </w:tcPr>
          <w:p>
            <w:pPr>
              <w:pStyle w:val="TableText"/>
              <w:ind w:left="453"/>
              <w:spacing w:before="209" w:line="219" w:lineRule="auto"/>
              <w:rPr>
                <w:sz w:val="12"/>
                <w:szCs w:val="12"/>
              </w:rPr>
            </w:pPr>
            <w:r>
              <w:rPr>
                <w:sz w:val="12"/>
                <w:szCs w:val="12"/>
                <w:spacing w:val="1"/>
              </w:rPr>
              <w:t>中威壮美</w:t>
            </w:r>
          </w:p>
        </w:tc>
        <w:tc>
          <w:tcPr>
            <w:tcW w:w="1619" w:type="dxa"/>
            <w:vAlign w:val="top"/>
          </w:tcPr>
          <w:p>
            <w:pPr>
              <w:pStyle w:val="TableText"/>
              <w:ind w:left="474"/>
              <w:spacing w:before="208" w:line="219" w:lineRule="auto"/>
              <w:rPr>
                <w:sz w:val="12"/>
                <w:szCs w:val="12"/>
              </w:rPr>
            </w:pPr>
            <w:r>
              <w:rPr>
                <w:sz w:val="12"/>
                <w:szCs w:val="12"/>
                <w:spacing w:val="-1"/>
              </w:rPr>
              <w:t>有机质≥60%</w:t>
            </w:r>
          </w:p>
        </w:tc>
        <w:tc>
          <w:tcPr>
            <w:tcW w:w="1329" w:type="dxa"/>
            <w:vAlign w:val="top"/>
          </w:tcPr>
          <w:p>
            <w:pPr>
              <w:pStyle w:val="TableText"/>
              <w:spacing w:before="204" w:line="214" w:lineRule="auto"/>
              <w:jc w:val="right"/>
              <w:rPr>
                <w:sz w:val="12"/>
                <w:szCs w:val="12"/>
              </w:rPr>
            </w:pPr>
            <w:r>
              <w:rPr>
                <w:sz w:val="12"/>
                <w:szCs w:val="12"/>
                <w:spacing w:val="-1"/>
              </w:rPr>
              <w:t>直接撤施：20-25kg/亩</w:t>
            </w:r>
          </w:p>
        </w:tc>
        <w:tc>
          <w:tcPr>
            <w:tcW w:w="1169" w:type="dxa"/>
            <w:vAlign w:val="top"/>
            <w:vMerge w:val="continue"/>
            <w:tcBorders>
              <w:top w:val="nil"/>
            </w:tcBorders>
          </w:tcPr>
          <w:p>
            <w:pPr>
              <w:rPr>
                <w:rFonts w:ascii="Arial"/>
                <w:sz w:val="21"/>
              </w:rPr>
            </w:pPr>
            <w:r/>
          </w:p>
        </w:tc>
        <w:tc>
          <w:tcPr>
            <w:tcW w:w="889" w:type="dxa"/>
            <w:vAlign w:val="top"/>
          </w:tcPr>
          <w:p>
            <w:pPr>
              <w:pStyle w:val="TableText"/>
              <w:ind w:left="167"/>
              <w:spacing w:before="204" w:line="214" w:lineRule="auto"/>
              <w:rPr>
                <w:sz w:val="12"/>
                <w:szCs w:val="12"/>
              </w:rPr>
            </w:pPr>
            <w:r>
              <w:rPr>
                <w:sz w:val="12"/>
                <w:szCs w:val="12"/>
                <w:spacing w:val="4"/>
              </w:rPr>
              <w:t>(25</w:t>
            </w:r>
            <w:r>
              <w:rPr>
                <w:sz w:val="12"/>
                <w:szCs w:val="12"/>
              </w:rPr>
              <w:t>kg</w:t>
            </w:r>
            <w:r>
              <w:rPr>
                <w:sz w:val="12"/>
                <w:szCs w:val="12"/>
                <w:spacing w:val="4"/>
              </w:rPr>
              <w:t>/装)</w:t>
            </w:r>
          </w:p>
        </w:tc>
        <w:tc>
          <w:tcPr>
            <w:tcW w:w="2865" w:type="dxa"/>
            <w:vAlign w:val="top"/>
          </w:tcPr>
          <w:p>
            <w:pPr>
              <w:pStyle w:val="TableText"/>
              <w:ind w:left="18"/>
              <w:spacing w:before="158" w:line="212" w:lineRule="auto"/>
              <w:rPr>
                <w:sz w:val="12"/>
                <w:szCs w:val="12"/>
              </w:rPr>
            </w:pPr>
            <w:r>
              <w:rPr>
                <w:sz w:val="12"/>
                <w:szCs w:val="12"/>
                <w:spacing w:val="-4"/>
              </w:rPr>
              <w:t>促进草坪快速生根，驱虫，全面营养，使用安</w:t>
            </w:r>
            <w:r>
              <w:rPr>
                <w:sz w:val="12"/>
                <w:szCs w:val="12"/>
                <w:spacing w:val="-5"/>
              </w:rPr>
              <w:t>全方便，1</w:t>
            </w:r>
            <w:r>
              <w:rPr>
                <w:sz w:val="12"/>
                <w:szCs w:val="12"/>
              </w:rPr>
              <w:t xml:space="preserve"> </w:t>
            </w:r>
            <w:r>
              <w:rPr>
                <w:sz w:val="12"/>
                <w:szCs w:val="12"/>
                <w:spacing w:val="2"/>
              </w:rPr>
              <w:t>万平方米年度的用量：600</w:t>
            </w:r>
            <w:r>
              <w:rPr>
                <w:sz w:val="12"/>
                <w:szCs w:val="12"/>
              </w:rPr>
              <w:t>kg</w:t>
            </w:r>
            <w:r>
              <w:rPr>
                <w:sz w:val="12"/>
                <w:szCs w:val="12"/>
                <w:spacing w:val="2"/>
              </w:rPr>
              <w:t>.</w:t>
            </w:r>
          </w:p>
        </w:tc>
      </w:tr>
      <w:tr>
        <w:trPr>
          <w:trHeight w:val="269" w:hRule="atLeast"/>
        </w:trPr>
        <w:tc>
          <w:tcPr>
            <w:tcW w:w="415" w:type="dxa"/>
            <w:vAlign w:val="top"/>
            <w:vMerge w:val="restart"/>
            <w:tcBorders>
              <w:bottom w:val="nil"/>
            </w:tcBorders>
          </w:tcPr>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74"/>
              <w:spacing w:before="39" w:line="220" w:lineRule="auto"/>
              <w:rPr>
                <w:sz w:val="12"/>
                <w:szCs w:val="12"/>
              </w:rPr>
            </w:pPr>
            <w:r>
              <w:rPr>
                <w:sz w:val="12"/>
                <w:szCs w:val="12"/>
                <w:spacing w:val="-2"/>
              </w:rPr>
              <w:t>其他</w:t>
            </w:r>
          </w:p>
        </w:tc>
        <w:tc>
          <w:tcPr>
            <w:tcW w:w="800" w:type="dxa"/>
            <w:vAlign w:val="top"/>
            <w:vMerge w:val="restart"/>
            <w:tcBorders>
              <w:bottom w:val="nil"/>
            </w:tcBorders>
          </w:tcPr>
          <w:p>
            <w:pPr>
              <w:spacing w:line="358" w:lineRule="auto"/>
              <w:rPr>
                <w:rFonts w:ascii="Arial"/>
                <w:sz w:val="21"/>
              </w:rPr>
            </w:pPr>
            <w:r/>
          </w:p>
          <w:p>
            <w:pPr>
              <w:pStyle w:val="TableText"/>
              <w:ind w:left="150"/>
              <w:spacing w:before="39" w:line="219" w:lineRule="auto"/>
              <w:rPr>
                <w:sz w:val="12"/>
                <w:szCs w:val="12"/>
              </w:rPr>
            </w:pPr>
            <w:r>
              <w:rPr>
                <w:sz w:val="12"/>
                <w:szCs w:val="12"/>
                <w:spacing w:val="-1"/>
              </w:rPr>
              <w:t>树木养护</w:t>
            </w:r>
          </w:p>
        </w:tc>
        <w:tc>
          <w:tcPr>
            <w:tcW w:w="889" w:type="dxa"/>
            <w:vAlign w:val="top"/>
            <w:vMerge w:val="restart"/>
            <w:tcBorders>
              <w:bottom w:val="nil"/>
            </w:tcBorders>
          </w:tcPr>
          <w:p>
            <w:pPr>
              <w:spacing w:line="279" w:lineRule="auto"/>
              <w:rPr>
                <w:rFonts w:ascii="Arial"/>
                <w:sz w:val="21"/>
              </w:rPr>
            </w:pPr>
            <w:r/>
          </w:p>
          <w:p>
            <w:pPr>
              <w:pStyle w:val="TableText"/>
              <w:ind w:left="69" w:hanging="29"/>
              <w:spacing w:before="39" w:line="248" w:lineRule="auto"/>
              <w:rPr>
                <w:sz w:val="12"/>
                <w:szCs w:val="12"/>
              </w:rPr>
            </w:pPr>
            <w:r>
              <w:rPr>
                <w:sz w:val="12"/>
                <w:szCs w:val="12"/>
                <w:spacing w:val="-1"/>
              </w:rPr>
              <w:t>树木修剪创口，</w:t>
            </w:r>
            <w:r>
              <w:rPr>
                <w:sz w:val="12"/>
                <w:szCs w:val="12"/>
                <w:spacing w:val="4"/>
              </w:rPr>
              <w:t xml:space="preserve"> </w:t>
            </w:r>
            <w:r>
              <w:rPr>
                <w:sz w:val="12"/>
                <w:szCs w:val="12"/>
                <w:spacing w:val="2"/>
              </w:rPr>
              <w:t>腐烂病害伤口</w:t>
            </w:r>
          </w:p>
        </w:tc>
        <w:tc>
          <w:tcPr>
            <w:tcW w:w="2538" w:type="dxa"/>
            <w:vAlign w:val="top"/>
            <w:vMerge w:val="restart"/>
            <w:tcBorders>
              <w:bottom w:val="nil"/>
            </w:tcBorders>
          </w:tcPr>
          <w:p>
            <w:pPr>
              <w:spacing w:line="295" w:lineRule="auto"/>
              <w:rPr>
                <w:rFonts w:ascii="Arial"/>
                <w:sz w:val="21"/>
              </w:rPr>
            </w:pPr>
            <w:r/>
          </w:p>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1040"/>
              <w:spacing w:before="39" w:line="219" w:lineRule="auto"/>
              <w:rPr>
                <w:sz w:val="12"/>
                <w:szCs w:val="12"/>
              </w:rPr>
            </w:pPr>
            <w:r>
              <w:rPr>
                <w:sz w:val="12"/>
                <w:szCs w:val="12"/>
                <w:spacing w:val="2"/>
              </w:rPr>
              <w:t>日常养护</w:t>
            </w:r>
          </w:p>
        </w:tc>
        <w:tc>
          <w:tcPr>
            <w:tcW w:w="1409" w:type="dxa"/>
            <w:vAlign w:val="top"/>
          </w:tcPr>
          <w:p>
            <w:pPr>
              <w:pStyle w:val="TableText"/>
              <w:ind w:left="273"/>
              <w:spacing w:before="79" w:line="219" w:lineRule="auto"/>
              <w:rPr>
                <w:sz w:val="12"/>
                <w:szCs w:val="12"/>
              </w:rPr>
            </w:pPr>
            <w:r>
              <w:rPr>
                <w:sz w:val="12"/>
                <w:szCs w:val="12"/>
                <w:spacing w:val="1"/>
              </w:rPr>
              <w:t>国光愈伤涂膜剂</w:t>
            </w:r>
          </w:p>
        </w:tc>
        <w:tc>
          <w:tcPr>
            <w:tcW w:w="1619" w:type="dxa"/>
            <w:vAlign w:val="top"/>
          </w:tcPr>
          <w:p>
            <w:pPr>
              <w:pStyle w:val="TableText"/>
              <w:ind w:left="384"/>
              <w:spacing w:before="79" w:line="219" w:lineRule="auto"/>
              <w:rPr>
                <w:sz w:val="12"/>
                <w:szCs w:val="12"/>
              </w:rPr>
            </w:pPr>
            <w:r>
              <w:rPr>
                <w:sz w:val="12"/>
                <w:szCs w:val="12"/>
                <w:spacing w:val="-1"/>
              </w:rPr>
              <w:t>有机质、杀菌剂</w:t>
            </w:r>
          </w:p>
        </w:tc>
        <w:tc>
          <w:tcPr>
            <w:tcW w:w="1329" w:type="dxa"/>
            <w:vAlign w:val="top"/>
          </w:tcPr>
          <w:p>
            <w:pPr>
              <w:pStyle w:val="TableText"/>
              <w:spacing w:before="80" w:line="219" w:lineRule="auto"/>
              <w:jc w:val="right"/>
              <w:rPr>
                <w:sz w:val="12"/>
                <w:szCs w:val="12"/>
              </w:rPr>
            </w:pPr>
            <w:r>
              <w:rPr>
                <w:sz w:val="12"/>
                <w:szCs w:val="12"/>
                <w:spacing w:val="-2"/>
              </w:rPr>
              <w:t>直接使用，可略加水稀释</w:t>
            </w:r>
          </w:p>
        </w:tc>
        <w:tc>
          <w:tcPr>
            <w:tcW w:w="1169" w:type="dxa"/>
            <w:vAlign w:val="top"/>
            <w:vMerge w:val="restart"/>
            <w:tcBorders>
              <w:bottom w:val="nil"/>
            </w:tcBorders>
          </w:tcPr>
          <w:p>
            <w:pPr>
              <w:spacing w:line="298" w:lineRule="auto"/>
              <w:rPr>
                <w:rFonts w:ascii="Arial"/>
                <w:sz w:val="21"/>
              </w:rPr>
            </w:pPr>
            <w:r/>
          </w:p>
          <w:p>
            <w:pPr>
              <w:pStyle w:val="TableText"/>
              <w:ind w:left="514" w:hanging="498"/>
              <w:spacing w:before="39" w:line="221" w:lineRule="auto"/>
              <w:rPr>
                <w:sz w:val="12"/>
                <w:szCs w:val="12"/>
              </w:rPr>
            </w:pPr>
            <w:r>
              <w:rPr>
                <w:sz w:val="12"/>
                <w:szCs w:val="12"/>
                <w:spacing w:val="-6"/>
              </w:rPr>
              <w:t>乔木修剪后和树皮破拟</w:t>
            </w:r>
            <w:r>
              <w:rPr>
                <w:sz w:val="12"/>
                <w:szCs w:val="12"/>
                <w:spacing w:val="1"/>
              </w:rPr>
              <w:t xml:space="preserve"> </w:t>
            </w:r>
            <w:r>
              <w:rPr>
                <w:sz w:val="12"/>
                <w:szCs w:val="12"/>
              </w:rPr>
              <w:t>时</w:t>
            </w:r>
          </w:p>
        </w:tc>
        <w:tc>
          <w:tcPr>
            <w:tcW w:w="889" w:type="dxa"/>
            <w:vAlign w:val="top"/>
          </w:tcPr>
          <w:p>
            <w:pPr>
              <w:pStyle w:val="TableText"/>
              <w:ind w:left="167"/>
              <w:spacing w:before="75" w:line="214" w:lineRule="auto"/>
              <w:rPr>
                <w:sz w:val="12"/>
                <w:szCs w:val="12"/>
              </w:rPr>
            </w:pPr>
            <w:r>
              <w:rPr>
                <w:sz w:val="12"/>
                <w:szCs w:val="12"/>
                <w:spacing w:val="3"/>
              </w:rPr>
              <w:t>(500g/瓶)</w:t>
            </w:r>
          </w:p>
        </w:tc>
        <w:tc>
          <w:tcPr>
            <w:tcW w:w="2865" w:type="dxa"/>
            <w:vAlign w:val="top"/>
          </w:tcPr>
          <w:p>
            <w:pPr>
              <w:pStyle w:val="TableText"/>
              <w:ind w:left="18"/>
              <w:spacing w:before="9" w:line="192" w:lineRule="auto"/>
              <w:rPr>
                <w:sz w:val="12"/>
                <w:szCs w:val="12"/>
              </w:rPr>
            </w:pPr>
            <w:r>
              <w:rPr>
                <w:sz w:val="12"/>
                <w:szCs w:val="12"/>
                <w:spacing w:val="-4"/>
              </w:rPr>
              <w:t>促旺伤口快速愈合，杀国防腐，I万平方米年</w:t>
            </w:r>
            <w:r>
              <w:rPr>
                <w:sz w:val="12"/>
                <w:szCs w:val="12"/>
                <w:spacing w:val="-5"/>
              </w:rPr>
              <w:t>度约用量：</w:t>
            </w:r>
            <w:r>
              <w:rPr>
                <w:sz w:val="12"/>
                <w:szCs w:val="12"/>
              </w:rPr>
              <w:t xml:space="preserve"> </w:t>
            </w:r>
            <w:r>
              <w:rPr>
                <w:sz w:val="12"/>
                <w:szCs w:val="12"/>
                <w:spacing w:val="-4"/>
              </w:rPr>
              <w:t>i50%g</w:t>
            </w:r>
          </w:p>
        </w:tc>
      </w:tr>
      <w:tr>
        <w:trPr>
          <w:trHeight w:val="300" w:hRule="atLeast"/>
        </w:trPr>
        <w:tc>
          <w:tcPr>
            <w:tcW w:w="415" w:type="dxa"/>
            <w:vAlign w:val="top"/>
            <w:vMerge w:val="continue"/>
            <w:tcBorders>
              <w:top w:val="nil"/>
              <w:bottom w:val="nil"/>
            </w:tcBorders>
          </w:tcPr>
          <w:p>
            <w:pPr>
              <w:rPr>
                <w:rFonts w:ascii="Arial"/>
                <w:sz w:val="21"/>
              </w:rPr>
            </w:pPr>
            <w:r/>
          </w:p>
        </w:tc>
        <w:tc>
          <w:tcPr>
            <w:tcW w:w="800" w:type="dxa"/>
            <w:vAlign w:val="top"/>
            <w:vMerge w:val="continue"/>
            <w:tcBorders>
              <w:top w:val="nil"/>
              <w:bottom w:val="nil"/>
            </w:tcBorders>
          </w:tcPr>
          <w:p>
            <w:pPr>
              <w:rPr>
                <w:rFonts w:ascii="Arial"/>
                <w:sz w:val="21"/>
              </w:rPr>
            </w:pPr>
            <w:r/>
          </w:p>
        </w:tc>
        <w:tc>
          <w:tcPr>
            <w:tcW w:w="88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409" w:type="dxa"/>
            <w:vAlign w:val="top"/>
          </w:tcPr>
          <w:p>
            <w:pPr>
              <w:pStyle w:val="TableText"/>
              <w:ind w:left="393"/>
              <w:spacing w:before="90" w:line="219" w:lineRule="auto"/>
              <w:rPr>
                <w:sz w:val="12"/>
                <w:szCs w:val="12"/>
              </w:rPr>
            </w:pPr>
            <w:r>
              <w:rPr>
                <w:sz w:val="12"/>
                <w:szCs w:val="12"/>
                <w:spacing w:val="1"/>
              </w:rPr>
              <w:t>中威愈伤膏</w:t>
            </w:r>
          </w:p>
        </w:tc>
        <w:tc>
          <w:tcPr>
            <w:tcW w:w="1619" w:type="dxa"/>
            <w:vAlign w:val="top"/>
          </w:tcPr>
          <w:p>
            <w:pPr>
              <w:pStyle w:val="TableText"/>
              <w:ind w:left="384"/>
              <w:spacing w:before="90" w:line="219" w:lineRule="auto"/>
              <w:rPr>
                <w:sz w:val="12"/>
                <w:szCs w:val="12"/>
              </w:rPr>
            </w:pPr>
            <w:r>
              <w:rPr>
                <w:sz w:val="12"/>
                <w:szCs w:val="12"/>
                <w:spacing w:val="-1"/>
              </w:rPr>
              <w:t>有机质、杀菌剂</w:t>
            </w:r>
          </w:p>
        </w:tc>
        <w:tc>
          <w:tcPr>
            <w:tcW w:w="1329" w:type="dxa"/>
            <w:vAlign w:val="top"/>
          </w:tcPr>
          <w:p>
            <w:pPr>
              <w:pStyle w:val="TableText"/>
              <w:spacing w:before="91" w:line="219" w:lineRule="auto"/>
              <w:jc w:val="right"/>
              <w:rPr>
                <w:sz w:val="12"/>
                <w:szCs w:val="12"/>
              </w:rPr>
            </w:pPr>
            <w:r>
              <w:rPr>
                <w:sz w:val="12"/>
                <w:szCs w:val="12"/>
                <w:spacing w:val="-2"/>
              </w:rPr>
              <w:t>直接使用，可略加水稀释</w:t>
            </w:r>
          </w:p>
        </w:tc>
        <w:tc>
          <w:tcPr>
            <w:tcW w:w="1169" w:type="dxa"/>
            <w:vAlign w:val="top"/>
            <w:vMerge w:val="continue"/>
            <w:tcBorders>
              <w:top w:val="nil"/>
              <w:bottom w:val="nil"/>
            </w:tcBorders>
          </w:tcPr>
          <w:p>
            <w:pPr>
              <w:rPr>
                <w:rFonts w:ascii="Arial"/>
                <w:sz w:val="21"/>
              </w:rPr>
            </w:pPr>
            <w:r/>
          </w:p>
        </w:tc>
        <w:tc>
          <w:tcPr>
            <w:tcW w:w="889" w:type="dxa"/>
            <w:vAlign w:val="top"/>
          </w:tcPr>
          <w:p>
            <w:pPr>
              <w:pStyle w:val="TableText"/>
              <w:ind w:left="167"/>
              <w:spacing w:before="86" w:line="214" w:lineRule="auto"/>
              <w:rPr>
                <w:sz w:val="12"/>
                <w:szCs w:val="12"/>
              </w:rPr>
            </w:pPr>
            <w:r>
              <w:rPr>
                <w:sz w:val="12"/>
                <w:szCs w:val="12"/>
                <w:spacing w:val="3"/>
              </w:rPr>
              <w:t>(500g/瓶)</w:t>
            </w:r>
          </w:p>
        </w:tc>
        <w:tc>
          <w:tcPr>
            <w:tcW w:w="2865" w:type="dxa"/>
            <w:vAlign w:val="top"/>
          </w:tcPr>
          <w:p>
            <w:pPr>
              <w:pStyle w:val="TableText"/>
              <w:ind w:left="18" w:right="2"/>
              <w:spacing w:before="31" w:line="199" w:lineRule="auto"/>
              <w:rPr>
                <w:sz w:val="12"/>
                <w:szCs w:val="12"/>
              </w:rPr>
            </w:pPr>
            <w:r>
              <w:rPr>
                <w:sz w:val="12"/>
                <w:szCs w:val="12"/>
                <w:spacing w:val="-7"/>
              </w:rPr>
              <w:t>适用树木移裁时切口及根部处理：病害伤口，树皮提失处</w:t>
            </w:r>
            <w:r>
              <w:rPr>
                <w:sz w:val="12"/>
                <w:szCs w:val="12"/>
                <w:spacing w:val="8"/>
              </w:rPr>
              <w:t xml:space="preserve"> </w:t>
            </w:r>
            <w:r>
              <w:rPr>
                <w:sz w:val="12"/>
                <w:szCs w:val="12"/>
              </w:rPr>
              <w:t>理</w:t>
            </w:r>
          </w:p>
        </w:tc>
      </w:tr>
      <w:tr>
        <w:trPr>
          <w:trHeight w:val="319" w:hRule="atLeast"/>
        </w:trPr>
        <w:tc>
          <w:tcPr>
            <w:tcW w:w="415" w:type="dxa"/>
            <w:vAlign w:val="top"/>
            <w:vMerge w:val="continue"/>
            <w:tcBorders>
              <w:top w:val="nil"/>
              <w:bottom w:val="nil"/>
            </w:tcBorders>
          </w:tcPr>
          <w:p>
            <w:pPr>
              <w:rPr>
                <w:rFonts w:ascii="Arial"/>
                <w:sz w:val="21"/>
              </w:rPr>
            </w:pPr>
            <w:r/>
          </w:p>
        </w:tc>
        <w:tc>
          <w:tcPr>
            <w:tcW w:w="800" w:type="dxa"/>
            <w:vAlign w:val="top"/>
            <w:vMerge w:val="continue"/>
            <w:tcBorders>
              <w:top w:val="nil"/>
            </w:tcBorders>
          </w:tcPr>
          <w:p>
            <w:pPr>
              <w:rPr>
                <w:rFonts w:ascii="Arial"/>
                <w:sz w:val="21"/>
              </w:rPr>
            </w:pPr>
            <w:r/>
          </w:p>
        </w:tc>
        <w:tc>
          <w:tcPr>
            <w:tcW w:w="889" w:type="dxa"/>
            <w:vAlign w:val="top"/>
            <w:vMerge w:val="continue"/>
            <w:tcBorders>
              <w:top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409" w:type="dxa"/>
            <w:vAlign w:val="top"/>
          </w:tcPr>
          <w:p>
            <w:pPr>
              <w:pStyle w:val="TableText"/>
              <w:ind w:left="453"/>
              <w:spacing w:before="101" w:line="219" w:lineRule="auto"/>
              <w:rPr>
                <w:sz w:val="12"/>
                <w:szCs w:val="12"/>
              </w:rPr>
            </w:pPr>
            <w:r>
              <w:rPr>
                <w:sz w:val="12"/>
                <w:szCs w:val="12"/>
                <w:spacing w:val="-2"/>
              </w:rPr>
              <w:t>灰色油漆</w:t>
            </w:r>
          </w:p>
        </w:tc>
        <w:tc>
          <w:tcPr>
            <w:tcW w:w="1619" w:type="dxa"/>
            <w:vAlign w:val="top"/>
          </w:tcPr>
          <w:p>
            <w:pPr>
              <w:pStyle w:val="TableText"/>
              <w:ind w:left="24"/>
              <w:spacing w:before="100" w:line="219" w:lineRule="auto"/>
              <w:rPr>
                <w:sz w:val="12"/>
                <w:szCs w:val="12"/>
              </w:rPr>
            </w:pPr>
            <w:r>
              <w:rPr>
                <w:sz w:val="12"/>
                <w:szCs w:val="12"/>
                <w:spacing w:val="-1"/>
              </w:rPr>
              <w:t>成膜物质、颜料，溶剂、助剂</w:t>
            </w:r>
          </w:p>
        </w:tc>
        <w:tc>
          <w:tcPr>
            <w:tcW w:w="1329" w:type="dxa"/>
            <w:vAlign w:val="top"/>
          </w:tcPr>
          <w:p>
            <w:pPr>
              <w:pStyle w:val="TableText"/>
              <w:ind w:left="589" w:hanging="575"/>
              <w:spacing w:before="30" w:line="214" w:lineRule="auto"/>
              <w:rPr>
                <w:sz w:val="12"/>
                <w:szCs w:val="12"/>
              </w:rPr>
            </w:pPr>
            <w:r>
              <w:rPr>
                <w:sz w:val="12"/>
                <w:szCs w:val="12"/>
                <w:spacing w:val="-2"/>
              </w:rPr>
              <w:t>直接使用，可略加汽油稀</w:t>
            </w:r>
            <w:r>
              <w:rPr>
                <w:sz w:val="12"/>
                <w:szCs w:val="12"/>
                <w:spacing w:val="5"/>
              </w:rPr>
              <w:t xml:space="preserve"> </w:t>
            </w:r>
            <w:r>
              <w:rPr>
                <w:sz w:val="12"/>
                <w:szCs w:val="12"/>
              </w:rPr>
              <w:t>释</w:t>
            </w:r>
          </w:p>
        </w:tc>
        <w:tc>
          <w:tcPr>
            <w:tcW w:w="1169" w:type="dxa"/>
            <w:vAlign w:val="top"/>
            <w:vMerge w:val="continue"/>
            <w:tcBorders>
              <w:top w:val="nil"/>
            </w:tcBorders>
          </w:tcPr>
          <w:p>
            <w:pPr>
              <w:rPr>
                <w:rFonts w:ascii="Arial"/>
                <w:sz w:val="21"/>
              </w:rPr>
            </w:pPr>
            <w:r/>
          </w:p>
        </w:tc>
        <w:tc>
          <w:tcPr>
            <w:tcW w:w="889" w:type="dxa"/>
            <w:vAlign w:val="top"/>
          </w:tcPr>
          <w:p>
            <w:pPr>
              <w:pStyle w:val="TableText"/>
              <w:ind w:left="287"/>
              <w:spacing w:before="101" w:line="219" w:lineRule="auto"/>
              <w:rPr>
                <w:sz w:val="12"/>
                <w:szCs w:val="12"/>
              </w:rPr>
            </w:pPr>
            <w:r>
              <w:rPr>
                <w:sz w:val="12"/>
                <w:szCs w:val="12"/>
                <w:spacing w:val="-2"/>
              </w:rPr>
              <w:t>IL/雁</w:t>
            </w:r>
          </w:p>
        </w:tc>
        <w:tc>
          <w:tcPr>
            <w:tcW w:w="2865" w:type="dxa"/>
            <w:vAlign w:val="top"/>
          </w:tcPr>
          <w:p>
            <w:pPr>
              <w:pStyle w:val="TableText"/>
              <w:ind w:left="18"/>
              <w:spacing w:before="101" w:line="219" w:lineRule="auto"/>
              <w:rPr>
                <w:sz w:val="12"/>
                <w:szCs w:val="12"/>
              </w:rPr>
            </w:pPr>
            <w:r>
              <w:rPr>
                <w:sz w:val="12"/>
                <w:szCs w:val="12"/>
                <w:spacing w:val="-1"/>
              </w:rPr>
              <w:t>伤口涂抹</w:t>
            </w:r>
          </w:p>
        </w:tc>
      </w:tr>
      <w:tr>
        <w:trPr>
          <w:trHeight w:val="300" w:hRule="atLeast"/>
        </w:trPr>
        <w:tc>
          <w:tcPr>
            <w:tcW w:w="415" w:type="dxa"/>
            <w:vAlign w:val="top"/>
            <w:vMerge w:val="continue"/>
            <w:tcBorders>
              <w:top w:val="nil"/>
              <w:bottom w:val="nil"/>
            </w:tcBorders>
          </w:tcPr>
          <w:p>
            <w:pPr>
              <w:rPr>
                <w:rFonts w:ascii="Arial"/>
                <w:sz w:val="21"/>
              </w:rPr>
            </w:pPr>
            <w:r/>
          </w:p>
        </w:tc>
        <w:tc>
          <w:tcPr>
            <w:tcW w:w="800" w:type="dxa"/>
            <w:vAlign w:val="top"/>
            <w:vMerge w:val="restart"/>
            <w:tcBorders>
              <w:bottom w:val="nil"/>
            </w:tcBorders>
          </w:tcPr>
          <w:p>
            <w:pPr>
              <w:spacing w:line="390" w:lineRule="auto"/>
              <w:rPr>
                <w:rFonts w:ascii="Arial"/>
                <w:sz w:val="21"/>
              </w:rPr>
            </w:pPr>
            <w:r/>
          </w:p>
          <w:p>
            <w:pPr>
              <w:pStyle w:val="TableText"/>
              <w:ind w:left="210"/>
              <w:spacing w:before="39" w:line="219" w:lineRule="auto"/>
              <w:rPr>
                <w:sz w:val="12"/>
                <w:szCs w:val="12"/>
              </w:rPr>
            </w:pPr>
            <w:r>
              <w:rPr>
                <w:sz w:val="12"/>
                <w:szCs w:val="12"/>
                <w:spacing w:val="-3"/>
              </w:rPr>
              <w:t>除杂草</w:t>
            </w:r>
          </w:p>
        </w:tc>
        <w:tc>
          <w:tcPr>
            <w:tcW w:w="889" w:type="dxa"/>
            <w:vAlign w:val="top"/>
            <w:vMerge w:val="restart"/>
            <w:tcBorders>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409" w:type="dxa"/>
            <w:vAlign w:val="top"/>
          </w:tcPr>
          <w:p>
            <w:pPr>
              <w:pStyle w:val="TableText"/>
              <w:ind w:left="513"/>
              <w:spacing w:before="92" w:line="219" w:lineRule="auto"/>
              <w:rPr>
                <w:sz w:val="12"/>
                <w:szCs w:val="12"/>
              </w:rPr>
            </w:pPr>
            <w:r>
              <w:rPr>
                <w:sz w:val="12"/>
                <w:szCs w:val="12"/>
                <w:spacing w:val="-3"/>
              </w:rPr>
              <w:t>暖草能</w:t>
            </w:r>
          </w:p>
        </w:tc>
        <w:tc>
          <w:tcPr>
            <w:tcW w:w="1619" w:type="dxa"/>
            <w:vAlign w:val="top"/>
          </w:tcPr>
          <w:p>
            <w:pPr>
              <w:pStyle w:val="TableText"/>
              <w:ind w:left="534"/>
              <w:spacing w:before="92" w:line="219" w:lineRule="auto"/>
              <w:rPr>
                <w:sz w:val="12"/>
                <w:szCs w:val="12"/>
              </w:rPr>
            </w:pPr>
            <w:r>
              <w:rPr>
                <w:sz w:val="12"/>
                <w:szCs w:val="12"/>
                <w:spacing w:val="-1"/>
              </w:rPr>
              <w:t>41%草甘麟</w:t>
            </w:r>
          </w:p>
        </w:tc>
        <w:tc>
          <w:tcPr>
            <w:tcW w:w="1329" w:type="dxa"/>
            <w:vAlign w:val="top"/>
          </w:tcPr>
          <w:p>
            <w:pPr>
              <w:pStyle w:val="TableText"/>
              <w:ind w:left="24"/>
              <w:spacing w:before="91" w:line="219" w:lineRule="auto"/>
              <w:rPr>
                <w:sz w:val="12"/>
                <w:szCs w:val="12"/>
              </w:rPr>
            </w:pPr>
            <w:r>
              <w:rPr>
                <w:sz w:val="12"/>
                <w:szCs w:val="12"/>
                <w:spacing w:val="-1"/>
              </w:rPr>
              <w:t>每6-8克本品兑本15公斤</w:t>
            </w:r>
          </w:p>
        </w:tc>
        <w:tc>
          <w:tcPr>
            <w:tcW w:w="1169" w:type="dxa"/>
            <w:vAlign w:val="top"/>
            <w:vMerge w:val="restart"/>
            <w:tcBorders>
              <w:bottom w:val="nil"/>
            </w:tcBorders>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215"/>
              <w:spacing w:before="39" w:line="219" w:lineRule="auto"/>
              <w:rPr>
                <w:sz w:val="12"/>
                <w:szCs w:val="12"/>
              </w:rPr>
            </w:pPr>
            <w:r>
              <w:rPr>
                <w:sz w:val="12"/>
                <w:szCs w:val="12"/>
                <w:spacing w:val="-1"/>
              </w:rPr>
              <w:t>视草具体情况</w:t>
            </w:r>
          </w:p>
        </w:tc>
        <w:tc>
          <w:tcPr>
            <w:tcW w:w="889" w:type="dxa"/>
            <w:vAlign w:val="top"/>
          </w:tcPr>
          <w:p>
            <w:pPr>
              <w:pStyle w:val="TableText"/>
              <w:ind w:left="137"/>
              <w:spacing w:before="87" w:line="214" w:lineRule="auto"/>
              <w:rPr>
                <w:sz w:val="12"/>
                <w:szCs w:val="12"/>
              </w:rPr>
            </w:pPr>
            <w:r>
              <w:rPr>
                <w:sz w:val="12"/>
                <w:szCs w:val="12"/>
                <w:spacing w:val="-1"/>
              </w:rPr>
              <w:t>2g+L00小袋</w:t>
            </w:r>
          </w:p>
        </w:tc>
        <w:tc>
          <w:tcPr>
            <w:tcW w:w="2865" w:type="dxa"/>
            <w:vAlign w:val="top"/>
          </w:tcPr>
          <w:p>
            <w:pPr>
              <w:pStyle w:val="TableText"/>
              <w:ind w:left="18" w:right="21"/>
              <w:spacing w:before="11" w:line="209" w:lineRule="auto"/>
              <w:rPr>
                <w:sz w:val="12"/>
                <w:szCs w:val="12"/>
              </w:rPr>
            </w:pPr>
            <w:r>
              <w:rPr>
                <w:sz w:val="12"/>
                <w:szCs w:val="12"/>
              </w:rPr>
              <w:t>对33平方米草坪进行叶面喷施，防治对象</w:t>
            </w:r>
            <w:r>
              <w:rPr>
                <w:sz w:val="12"/>
                <w:szCs w:val="12"/>
                <w:spacing w:val="-1"/>
              </w:rPr>
              <w:t xml:space="preserve"> 禾本科来草</w:t>
            </w:r>
            <w:r>
              <w:rPr>
                <w:sz w:val="12"/>
                <w:szCs w:val="12"/>
              </w:rPr>
              <w:t xml:space="preserve"> </w:t>
            </w:r>
            <w:r>
              <w:rPr>
                <w:sz w:val="12"/>
                <w:szCs w:val="12"/>
                <w:spacing w:val="-2"/>
              </w:rPr>
              <w:t>、阔叶杂菜、莎草科杂享</w:t>
            </w:r>
          </w:p>
        </w:tc>
      </w:tr>
      <w:tr>
        <w:trPr>
          <w:trHeight w:val="319" w:hRule="atLeast"/>
        </w:trPr>
        <w:tc>
          <w:tcPr>
            <w:tcW w:w="415" w:type="dxa"/>
            <w:vAlign w:val="top"/>
            <w:vMerge w:val="continue"/>
            <w:tcBorders>
              <w:top w:val="nil"/>
              <w:bottom w:val="nil"/>
            </w:tcBorders>
          </w:tcPr>
          <w:p>
            <w:pPr>
              <w:rPr>
                <w:rFonts w:ascii="Arial"/>
                <w:sz w:val="21"/>
              </w:rPr>
            </w:pPr>
            <w:r/>
          </w:p>
        </w:tc>
        <w:tc>
          <w:tcPr>
            <w:tcW w:w="800" w:type="dxa"/>
            <w:vAlign w:val="top"/>
            <w:vMerge w:val="continue"/>
            <w:tcBorders>
              <w:top w:val="nil"/>
              <w:bottom w:val="nil"/>
            </w:tcBorders>
          </w:tcPr>
          <w:p>
            <w:pPr>
              <w:rPr>
                <w:rFonts w:ascii="Arial"/>
                <w:sz w:val="21"/>
              </w:rPr>
            </w:pPr>
            <w:r/>
          </w:p>
        </w:tc>
        <w:tc>
          <w:tcPr>
            <w:tcW w:w="88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409" w:type="dxa"/>
            <w:vAlign w:val="top"/>
          </w:tcPr>
          <w:p>
            <w:pPr>
              <w:pStyle w:val="TableText"/>
              <w:ind w:left="513"/>
              <w:spacing w:before="102" w:line="219" w:lineRule="auto"/>
              <w:rPr>
                <w:sz w:val="12"/>
                <w:szCs w:val="12"/>
              </w:rPr>
            </w:pPr>
            <w:r>
              <w:rPr>
                <w:sz w:val="12"/>
                <w:szCs w:val="12"/>
                <w:spacing w:val="-2"/>
              </w:rPr>
              <w:t>异内隆</w:t>
            </w:r>
          </w:p>
        </w:tc>
        <w:tc>
          <w:tcPr>
            <w:tcW w:w="1619" w:type="dxa"/>
            <w:vAlign w:val="top"/>
          </w:tcPr>
          <w:p>
            <w:pPr>
              <w:pStyle w:val="TableText"/>
              <w:ind w:left="534"/>
              <w:spacing w:before="132" w:line="219" w:lineRule="auto"/>
              <w:rPr>
                <w:sz w:val="12"/>
                <w:szCs w:val="12"/>
              </w:rPr>
            </w:pPr>
            <w:r>
              <w:rPr>
                <w:sz w:val="12"/>
                <w:szCs w:val="12"/>
                <w:spacing w:val="-1"/>
              </w:rPr>
              <w:t>20%异丙隆</w:t>
            </w:r>
          </w:p>
        </w:tc>
        <w:tc>
          <w:tcPr>
            <w:tcW w:w="1329" w:type="dxa"/>
            <w:vAlign w:val="top"/>
          </w:tcPr>
          <w:p>
            <w:pPr>
              <w:pStyle w:val="TableText"/>
              <w:ind w:left="205"/>
              <w:spacing w:before="132" w:line="219" w:lineRule="auto"/>
              <w:rPr>
                <w:sz w:val="12"/>
                <w:szCs w:val="12"/>
              </w:rPr>
            </w:pPr>
            <w:r>
              <w:rPr>
                <w:sz w:val="12"/>
                <w:szCs w:val="12"/>
                <w:spacing w:val="-1"/>
              </w:rPr>
              <w:t>稀释3000-4000倍</w:t>
            </w:r>
          </w:p>
        </w:tc>
        <w:tc>
          <w:tcPr>
            <w:tcW w:w="1169" w:type="dxa"/>
            <w:vAlign w:val="top"/>
            <w:vMerge w:val="continue"/>
            <w:tcBorders>
              <w:top w:val="nil"/>
              <w:bottom w:val="nil"/>
            </w:tcBorders>
          </w:tcPr>
          <w:p>
            <w:pPr>
              <w:rPr>
                <w:rFonts w:ascii="Arial"/>
                <w:sz w:val="21"/>
              </w:rPr>
            </w:pPr>
            <w:r/>
          </w:p>
        </w:tc>
        <w:tc>
          <w:tcPr>
            <w:tcW w:w="889" w:type="dxa"/>
            <w:vAlign w:val="top"/>
          </w:tcPr>
          <w:p>
            <w:pPr>
              <w:pStyle w:val="TableText"/>
              <w:ind w:left="137"/>
              <w:spacing w:before="127" w:line="214" w:lineRule="auto"/>
              <w:rPr>
                <w:sz w:val="12"/>
                <w:szCs w:val="12"/>
              </w:rPr>
            </w:pPr>
            <w:r>
              <w:rPr>
                <w:sz w:val="12"/>
                <w:szCs w:val="12"/>
                <w:spacing w:val="-1"/>
              </w:rPr>
              <w:t>25g/袋*200</w:t>
            </w:r>
          </w:p>
        </w:tc>
        <w:tc>
          <w:tcPr>
            <w:tcW w:w="2865" w:type="dxa"/>
            <w:vAlign w:val="top"/>
          </w:tcPr>
          <w:p>
            <w:pPr>
              <w:pStyle w:val="TableText"/>
              <w:spacing w:before="131" w:line="219" w:lineRule="auto"/>
              <w:jc w:val="right"/>
              <w:rPr>
                <w:sz w:val="12"/>
                <w:szCs w:val="12"/>
              </w:rPr>
            </w:pPr>
            <w:r>
              <w:rPr>
                <w:sz w:val="12"/>
                <w:szCs w:val="12"/>
                <w:spacing w:val="-8"/>
              </w:rPr>
              <w:t>内</w:t>
            </w:r>
            <w:r>
              <w:rPr>
                <w:sz w:val="12"/>
                <w:szCs w:val="12"/>
                <w:spacing w:val="-7"/>
              </w:rPr>
              <w:t>吸传导型土壤处理剂兼茎叶处理剂，可防除一年生朵</w:t>
            </w:r>
            <w:r>
              <w:rPr>
                <w:sz w:val="12"/>
                <w:szCs w:val="12"/>
                <w:spacing w:val="-6"/>
              </w:rPr>
              <w:t>草</w:t>
            </w:r>
          </w:p>
        </w:tc>
      </w:tr>
      <w:tr>
        <w:trPr>
          <w:trHeight w:val="329" w:hRule="atLeast"/>
        </w:trPr>
        <w:tc>
          <w:tcPr>
            <w:tcW w:w="415" w:type="dxa"/>
            <w:vAlign w:val="top"/>
            <w:vMerge w:val="continue"/>
            <w:tcBorders>
              <w:top w:val="nil"/>
              <w:bottom w:val="nil"/>
            </w:tcBorders>
          </w:tcPr>
          <w:p>
            <w:pPr>
              <w:rPr>
                <w:rFonts w:ascii="Arial"/>
                <w:sz w:val="21"/>
              </w:rPr>
            </w:pPr>
            <w:r/>
          </w:p>
        </w:tc>
        <w:tc>
          <w:tcPr>
            <w:tcW w:w="800" w:type="dxa"/>
            <w:vAlign w:val="top"/>
            <w:vMerge w:val="continue"/>
            <w:tcBorders>
              <w:top w:val="nil"/>
            </w:tcBorders>
          </w:tcPr>
          <w:p>
            <w:pPr>
              <w:rPr>
                <w:rFonts w:ascii="Arial"/>
                <w:sz w:val="21"/>
              </w:rPr>
            </w:pPr>
            <w:r/>
          </w:p>
        </w:tc>
        <w:tc>
          <w:tcPr>
            <w:tcW w:w="889" w:type="dxa"/>
            <w:vAlign w:val="top"/>
            <w:vMerge w:val="continue"/>
            <w:tcBorders>
              <w:top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409" w:type="dxa"/>
            <w:vAlign w:val="top"/>
          </w:tcPr>
          <w:p>
            <w:pPr>
              <w:pStyle w:val="TableText"/>
              <w:ind w:left="513"/>
              <w:spacing w:before="112" w:line="219" w:lineRule="auto"/>
              <w:rPr>
                <w:sz w:val="12"/>
                <w:szCs w:val="12"/>
              </w:rPr>
            </w:pPr>
            <w:r>
              <w:rPr>
                <w:sz w:val="12"/>
                <w:szCs w:val="12"/>
                <w:spacing w:val="-2"/>
              </w:rPr>
              <w:t>苯磅隆</w:t>
            </w:r>
          </w:p>
        </w:tc>
        <w:tc>
          <w:tcPr>
            <w:tcW w:w="1619" w:type="dxa"/>
            <w:vAlign w:val="top"/>
          </w:tcPr>
          <w:p>
            <w:pPr>
              <w:pStyle w:val="TableText"/>
              <w:ind w:left="624"/>
              <w:spacing w:before="112" w:line="219" w:lineRule="auto"/>
              <w:rPr>
                <w:sz w:val="12"/>
                <w:szCs w:val="12"/>
              </w:rPr>
            </w:pPr>
            <w:r>
              <w:rPr>
                <w:sz w:val="12"/>
                <w:szCs w:val="12"/>
                <w:spacing w:val="-2"/>
              </w:rPr>
              <w:t>苯磅隆</w:t>
            </w:r>
          </w:p>
        </w:tc>
        <w:tc>
          <w:tcPr>
            <w:tcW w:w="1329" w:type="dxa"/>
            <w:vAlign w:val="top"/>
          </w:tcPr>
          <w:p>
            <w:pPr>
              <w:pStyle w:val="TableText"/>
              <w:ind w:left="205"/>
              <w:spacing w:before="112" w:line="219" w:lineRule="auto"/>
              <w:rPr>
                <w:sz w:val="12"/>
                <w:szCs w:val="12"/>
              </w:rPr>
            </w:pPr>
            <w:r>
              <w:rPr>
                <w:sz w:val="12"/>
                <w:szCs w:val="12"/>
                <w:spacing w:val="-1"/>
              </w:rPr>
              <w:t>稀释3000-4000倍</w:t>
            </w:r>
          </w:p>
        </w:tc>
        <w:tc>
          <w:tcPr>
            <w:tcW w:w="1169" w:type="dxa"/>
            <w:vAlign w:val="top"/>
            <w:vMerge w:val="continue"/>
            <w:tcBorders>
              <w:top w:val="nil"/>
              <w:bottom w:val="nil"/>
            </w:tcBorders>
          </w:tcPr>
          <w:p>
            <w:pPr>
              <w:rPr>
                <w:rFonts w:ascii="Arial"/>
                <w:sz w:val="21"/>
              </w:rPr>
            </w:pPr>
            <w:r/>
          </w:p>
        </w:tc>
        <w:tc>
          <w:tcPr>
            <w:tcW w:w="889" w:type="dxa"/>
            <w:vAlign w:val="top"/>
          </w:tcPr>
          <w:p>
            <w:pPr>
              <w:pStyle w:val="TableText"/>
              <w:ind w:left="137"/>
              <w:spacing w:before="108" w:line="214" w:lineRule="auto"/>
              <w:rPr>
                <w:sz w:val="12"/>
                <w:szCs w:val="12"/>
              </w:rPr>
            </w:pPr>
            <w:r>
              <w:rPr>
                <w:sz w:val="12"/>
                <w:szCs w:val="12"/>
                <w:spacing w:val="12"/>
                <w:w w:val="108"/>
              </w:rPr>
              <w:t>10g/袋00</w:t>
            </w:r>
          </w:p>
        </w:tc>
        <w:tc>
          <w:tcPr>
            <w:tcW w:w="2865" w:type="dxa"/>
            <w:vAlign w:val="top"/>
          </w:tcPr>
          <w:p>
            <w:pPr>
              <w:pStyle w:val="TableText"/>
              <w:ind w:left="18"/>
              <w:spacing w:before="112" w:line="219" w:lineRule="auto"/>
              <w:rPr>
                <w:sz w:val="12"/>
                <w:szCs w:val="12"/>
              </w:rPr>
            </w:pPr>
            <w:r>
              <w:rPr>
                <w:sz w:val="12"/>
                <w:szCs w:val="12"/>
                <w:spacing w:val="-1"/>
              </w:rPr>
              <w:t>主要用于防除各种一年生阔叶杂草，对草皮无害</w:t>
            </w:r>
          </w:p>
        </w:tc>
      </w:tr>
      <w:tr>
        <w:trPr>
          <w:trHeight w:val="684" w:hRule="atLeast"/>
        </w:trPr>
        <w:tc>
          <w:tcPr>
            <w:tcW w:w="415" w:type="dxa"/>
            <w:vAlign w:val="top"/>
            <w:vMerge w:val="continue"/>
            <w:tcBorders>
              <w:top w:val="nil"/>
            </w:tcBorders>
          </w:tcPr>
          <w:p>
            <w:pPr>
              <w:rPr>
                <w:rFonts w:ascii="Arial"/>
                <w:sz w:val="21"/>
              </w:rPr>
            </w:pPr>
            <w:r/>
          </w:p>
        </w:tc>
        <w:tc>
          <w:tcPr>
            <w:tcW w:w="800" w:type="dxa"/>
            <w:vAlign w:val="top"/>
          </w:tcPr>
          <w:p>
            <w:pPr>
              <w:spacing w:line="242" w:lineRule="auto"/>
              <w:rPr>
                <w:rFonts w:ascii="Arial"/>
                <w:sz w:val="21"/>
              </w:rPr>
            </w:pPr>
            <w:r/>
          </w:p>
          <w:p>
            <w:pPr>
              <w:pStyle w:val="TableText"/>
              <w:ind w:left="210"/>
              <w:spacing w:before="39" w:line="219" w:lineRule="auto"/>
              <w:rPr>
                <w:sz w:val="12"/>
                <w:szCs w:val="12"/>
              </w:rPr>
            </w:pPr>
            <w:r>
              <w:rPr>
                <w:sz w:val="12"/>
                <w:szCs w:val="12"/>
                <w:spacing w:val="-3"/>
              </w:rPr>
              <w:t>除青苔</w:t>
            </w:r>
          </w:p>
        </w:tc>
        <w:tc>
          <w:tcPr>
            <w:tcW w:w="889" w:type="dxa"/>
            <w:vAlign w:val="top"/>
          </w:tcPr>
          <w:p>
            <w:pPr>
              <w:spacing w:line="246" w:lineRule="auto"/>
              <w:rPr>
                <w:rFonts w:ascii="Arial"/>
                <w:sz w:val="21"/>
              </w:rPr>
            </w:pPr>
            <w:r/>
          </w:p>
          <w:p>
            <w:pPr>
              <w:pStyle w:val="TableText"/>
              <w:ind w:left="399"/>
              <w:spacing w:before="39" w:line="224" w:lineRule="auto"/>
              <w:rPr>
                <w:sz w:val="12"/>
                <w:szCs w:val="12"/>
              </w:rPr>
            </w:pPr>
            <w:r>
              <w:rPr>
                <w:sz w:val="12"/>
                <w:szCs w:val="12"/>
                <w:color w:val="606060"/>
              </w:rPr>
              <w:t>/</w:t>
            </w:r>
          </w:p>
        </w:tc>
        <w:tc>
          <w:tcPr>
            <w:tcW w:w="2538" w:type="dxa"/>
            <w:vAlign w:val="top"/>
            <w:vMerge w:val="continue"/>
            <w:tcBorders>
              <w:top w:val="nil"/>
            </w:tcBorders>
          </w:tcPr>
          <w:p>
            <w:pPr>
              <w:rPr>
                <w:rFonts w:ascii="Arial"/>
                <w:sz w:val="21"/>
              </w:rPr>
            </w:pPr>
            <w:r/>
          </w:p>
        </w:tc>
        <w:tc>
          <w:tcPr>
            <w:tcW w:w="1409" w:type="dxa"/>
            <w:vAlign w:val="top"/>
          </w:tcPr>
          <w:p>
            <w:pPr>
              <w:spacing w:line="243" w:lineRule="auto"/>
              <w:rPr>
                <w:rFonts w:ascii="Arial"/>
                <w:sz w:val="21"/>
              </w:rPr>
            </w:pPr>
            <w:r/>
          </w:p>
          <w:p>
            <w:pPr>
              <w:pStyle w:val="TableText"/>
              <w:ind w:left="513"/>
              <w:spacing w:before="39" w:line="220" w:lineRule="auto"/>
              <w:rPr>
                <w:sz w:val="12"/>
                <w:szCs w:val="12"/>
              </w:rPr>
            </w:pPr>
            <w:r>
              <w:rPr>
                <w:sz w:val="12"/>
                <w:szCs w:val="12"/>
                <w:spacing w:val="-2"/>
              </w:rPr>
              <w:t>清答净</w:t>
            </w:r>
          </w:p>
        </w:tc>
        <w:tc>
          <w:tcPr>
            <w:tcW w:w="1619" w:type="dxa"/>
            <w:vAlign w:val="top"/>
          </w:tcPr>
          <w:p>
            <w:pPr>
              <w:spacing w:line="242" w:lineRule="auto"/>
              <w:rPr>
                <w:rFonts w:ascii="Arial"/>
                <w:sz w:val="21"/>
              </w:rPr>
            </w:pPr>
            <w:r/>
          </w:p>
          <w:p>
            <w:pPr>
              <w:pStyle w:val="TableText"/>
              <w:ind w:left="143"/>
              <w:spacing w:before="39" w:line="219" w:lineRule="auto"/>
              <w:rPr>
                <w:sz w:val="12"/>
                <w:szCs w:val="12"/>
              </w:rPr>
            </w:pPr>
            <w:r>
              <w:rPr>
                <w:sz w:val="12"/>
                <w:szCs w:val="12"/>
                <w:spacing w:val="-1"/>
              </w:rPr>
              <w:t>十二烤基飘类表面活性剂</w:t>
            </w:r>
          </w:p>
        </w:tc>
        <w:tc>
          <w:tcPr>
            <w:tcW w:w="1329" w:type="dxa"/>
            <w:vAlign w:val="top"/>
          </w:tcPr>
          <w:p>
            <w:pPr>
              <w:spacing w:line="243" w:lineRule="auto"/>
              <w:rPr>
                <w:rFonts w:ascii="Arial"/>
                <w:sz w:val="21"/>
              </w:rPr>
            </w:pPr>
            <w:r/>
          </w:p>
          <w:p>
            <w:pPr>
              <w:pStyle w:val="TableText"/>
              <w:ind w:left="54"/>
              <w:spacing w:before="39" w:line="219" w:lineRule="auto"/>
              <w:rPr>
                <w:sz w:val="12"/>
                <w:szCs w:val="12"/>
              </w:rPr>
            </w:pPr>
            <w:r>
              <w:rPr>
                <w:sz w:val="12"/>
                <w:szCs w:val="12"/>
                <w:spacing w:val="-1"/>
              </w:rPr>
              <w:t>667立方米水体使用1袋</w:t>
            </w:r>
          </w:p>
        </w:tc>
        <w:tc>
          <w:tcPr>
            <w:tcW w:w="1169" w:type="dxa"/>
            <w:vAlign w:val="top"/>
            <w:vMerge w:val="continue"/>
            <w:tcBorders>
              <w:top w:val="nil"/>
            </w:tcBorders>
          </w:tcPr>
          <w:p>
            <w:pPr>
              <w:rPr>
                <w:rFonts w:ascii="Arial"/>
                <w:sz w:val="21"/>
              </w:rPr>
            </w:pPr>
            <w:r/>
          </w:p>
        </w:tc>
        <w:tc>
          <w:tcPr>
            <w:tcW w:w="889" w:type="dxa"/>
            <w:vAlign w:val="top"/>
          </w:tcPr>
          <w:p>
            <w:pPr>
              <w:pStyle w:val="TableText"/>
              <w:ind w:left="137"/>
              <w:spacing w:before="279" w:line="214" w:lineRule="auto"/>
              <w:rPr>
                <w:sz w:val="12"/>
                <w:szCs w:val="12"/>
              </w:rPr>
            </w:pPr>
            <w:r>
              <w:rPr>
                <w:sz w:val="12"/>
                <w:szCs w:val="12"/>
                <w:spacing w:val="-2"/>
              </w:rPr>
              <w:t>100g/袋*80</w:t>
            </w:r>
          </w:p>
        </w:tc>
        <w:tc>
          <w:tcPr>
            <w:tcW w:w="2865" w:type="dxa"/>
            <w:vAlign w:val="top"/>
          </w:tcPr>
          <w:p>
            <w:pPr>
              <w:pStyle w:val="TableText"/>
              <w:ind w:left="18"/>
              <w:spacing w:before="92" w:line="222" w:lineRule="auto"/>
              <w:jc w:val="both"/>
              <w:rPr>
                <w:sz w:val="12"/>
                <w:szCs w:val="12"/>
              </w:rPr>
            </w:pPr>
            <w:r>
              <w:rPr>
                <w:sz w:val="12"/>
                <w:szCs w:val="12"/>
                <w:spacing w:val="-7"/>
              </w:rPr>
              <w:t>选择性将水缩，水网蔷，蓝藻、双星藻、转板藻等形成青</w:t>
            </w:r>
            <w:r>
              <w:rPr>
                <w:sz w:val="12"/>
                <w:szCs w:val="12"/>
                <w:spacing w:val="8"/>
              </w:rPr>
              <w:t xml:space="preserve"> </w:t>
            </w:r>
            <w:r>
              <w:rPr>
                <w:sz w:val="12"/>
                <w:szCs w:val="12"/>
                <w:spacing w:val="-7"/>
              </w:rPr>
              <w:t>苔的藻类和有害水草杀灭，从面达到清苦除草的作用。具</w:t>
            </w:r>
            <w:r>
              <w:rPr>
                <w:sz w:val="12"/>
                <w:szCs w:val="12"/>
                <w:spacing w:val="10"/>
              </w:rPr>
              <w:t xml:space="preserve"> </w:t>
            </w:r>
            <w:r>
              <w:rPr>
                <w:sz w:val="12"/>
                <w:szCs w:val="12"/>
                <w:spacing w:val="-7"/>
              </w:rPr>
              <w:t>有用量少，毒性低，效果好的特点。为高效、安全的清苔</w:t>
            </w:r>
            <w:r>
              <w:rPr>
                <w:sz w:val="12"/>
                <w:szCs w:val="12"/>
                <w:spacing w:val="10"/>
              </w:rPr>
              <w:t xml:space="preserve"> </w:t>
            </w:r>
            <w:r>
              <w:rPr>
                <w:sz w:val="12"/>
                <w:szCs w:val="12"/>
              </w:rPr>
              <w:t>除草专用品。</w:t>
            </w:r>
          </w:p>
        </w:tc>
      </w:tr>
    </w:tbl>
    <w:p>
      <w:pPr>
        <w:rPr>
          <w:rFonts w:ascii="Arial"/>
          <w:sz w:val="21"/>
        </w:rPr>
      </w:pPr>
      <w:r/>
    </w:p>
    <w:p>
      <w:pPr>
        <w:sectPr>
          <w:pgSz w:w="14490" w:h="10240"/>
          <w:pgMar w:top="134" w:right="302" w:bottom="400" w:left="254" w:header="0" w:footer="0" w:gutter="0"/>
        </w:sectPr>
        <w:rPr>
          <w:rFonts w:ascii="Arial" w:hAnsi="Arial" w:eastAsia="Arial" w:cs="Arial"/>
          <w:sz w:val="21"/>
          <w:szCs w:val="21"/>
        </w:rPr>
      </w:pPr>
    </w:p>
    <w:tbl>
      <w:tblPr>
        <w:tblStyle w:val="TableNormal"/>
        <w:tblW w:w="14073"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620"/>
        <w:gridCol w:w="849"/>
        <w:gridCol w:w="2748"/>
        <w:gridCol w:w="1289"/>
        <w:gridCol w:w="1389"/>
        <w:gridCol w:w="1349"/>
        <w:gridCol w:w="1249"/>
        <w:gridCol w:w="1009"/>
        <w:gridCol w:w="3146"/>
      </w:tblGrid>
      <w:tr>
        <w:trPr>
          <w:trHeight w:val="639" w:hRule="atLeast"/>
        </w:trPr>
        <w:tc>
          <w:tcPr>
            <w:tcW w:w="14073" w:type="dxa"/>
            <w:vAlign w:val="top"/>
            <w:gridSpan w:val="10"/>
            <w:tcBorders>
              <w:bottom w:val="single" w:color="000000" w:sz="2" w:space="0"/>
              <w:top w:val="single" w:color="000000" w:sz="2" w:space="0"/>
            </w:tcBorders>
          </w:tcPr>
          <w:p>
            <w:pPr>
              <w:pStyle w:val="TableText"/>
              <w:ind w:left="5876"/>
              <w:spacing w:before="162" w:line="218" w:lineRule="auto"/>
              <w:rPr>
                <w:sz w:val="12"/>
                <w:szCs w:val="12"/>
              </w:rPr>
            </w:pPr>
            <w:r>
              <w:rPr>
                <w:sz w:val="12"/>
                <w:szCs w:val="12"/>
                <w:b/>
                <w:bCs/>
                <w:spacing w:val="-8"/>
              </w:rPr>
              <w:t>湖</w:t>
            </w:r>
            <w:r>
              <w:rPr>
                <w:sz w:val="12"/>
                <w:szCs w:val="12"/>
                <w:spacing w:val="-12"/>
              </w:rPr>
              <w:t xml:space="preserve"> </w:t>
            </w:r>
            <w:r>
              <w:rPr>
                <w:sz w:val="12"/>
                <w:szCs w:val="12"/>
                <w:b/>
                <w:bCs/>
                <w:spacing w:val="-8"/>
              </w:rPr>
              <w:t>南</w:t>
            </w:r>
            <w:r>
              <w:rPr>
                <w:sz w:val="12"/>
                <w:szCs w:val="12"/>
                <w:spacing w:val="-8"/>
              </w:rPr>
              <w:t xml:space="preserve"> </w:t>
            </w:r>
            <w:r>
              <w:rPr>
                <w:sz w:val="12"/>
                <w:szCs w:val="12"/>
                <w:b/>
                <w:bCs/>
                <w:spacing w:val="-8"/>
              </w:rPr>
              <w:t>、</w:t>
            </w:r>
            <w:r>
              <w:rPr>
                <w:sz w:val="12"/>
                <w:szCs w:val="12"/>
                <w:spacing w:val="-18"/>
              </w:rPr>
              <w:t xml:space="preserve"> </w:t>
            </w:r>
            <w:r>
              <w:rPr>
                <w:sz w:val="12"/>
                <w:szCs w:val="12"/>
                <w:b/>
                <w:bCs/>
                <w:spacing w:val="-8"/>
              </w:rPr>
              <w:t>江</w:t>
            </w:r>
            <w:r>
              <w:rPr>
                <w:sz w:val="12"/>
                <w:szCs w:val="12"/>
                <w:spacing w:val="-17"/>
              </w:rPr>
              <w:t xml:space="preserve"> </w:t>
            </w:r>
            <w:r>
              <w:rPr>
                <w:sz w:val="12"/>
                <w:szCs w:val="12"/>
                <w:b/>
                <w:bCs/>
                <w:spacing w:val="-8"/>
              </w:rPr>
              <w:t>西</w:t>
            </w:r>
            <w:r>
              <w:rPr>
                <w:sz w:val="12"/>
                <w:szCs w:val="12"/>
                <w:spacing w:val="-19"/>
              </w:rPr>
              <w:t xml:space="preserve"> </w:t>
            </w:r>
            <w:r>
              <w:rPr>
                <w:sz w:val="12"/>
                <w:szCs w:val="12"/>
                <w:b/>
                <w:bCs/>
                <w:spacing w:val="-8"/>
              </w:rPr>
              <w:t>地</w:t>
            </w:r>
            <w:r>
              <w:rPr>
                <w:sz w:val="12"/>
                <w:szCs w:val="12"/>
                <w:spacing w:val="-10"/>
              </w:rPr>
              <w:t xml:space="preserve"> </w:t>
            </w:r>
            <w:r>
              <w:rPr>
                <w:sz w:val="12"/>
                <w:szCs w:val="12"/>
                <w:b/>
                <w:bCs/>
                <w:spacing w:val="-8"/>
              </w:rPr>
              <w:t>区</w:t>
            </w:r>
            <w:r>
              <w:rPr>
                <w:sz w:val="12"/>
                <w:szCs w:val="12"/>
                <w:spacing w:val="-19"/>
              </w:rPr>
              <w:t xml:space="preserve"> </w:t>
            </w:r>
            <w:r>
              <w:rPr>
                <w:sz w:val="12"/>
                <w:szCs w:val="12"/>
                <w:b/>
                <w:bCs/>
                <w:spacing w:val="-8"/>
              </w:rPr>
              <w:t>农</w:t>
            </w:r>
            <w:r>
              <w:rPr>
                <w:sz w:val="12"/>
                <w:szCs w:val="12"/>
                <w:spacing w:val="-17"/>
              </w:rPr>
              <w:t xml:space="preserve"> </w:t>
            </w:r>
            <w:r>
              <w:rPr>
                <w:sz w:val="12"/>
                <w:szCs w:val="12"/>
                <w:b/>
                <w:bCs/>
                <w:spacing w:val="-8"/>
              </w:rPr>
              <w:t>药</w:t>
            </w:r>
            <w:r>
              <w:rPr>
                <w:sz w:val="12"/>
                <w:szCs w:val="12"/>
                <w:spacing w:val="-19"/>
              </w:rPr>
              <w:t xml:space="preserve"> </w:t>
            </w:r>
            <w:r>
              <w:rPr>
                <w:sz w:val="12"/>
                <w:szCs w:val="12"/>
                <w:b/>
                <w:bCs/>
                <w:spacing w:val="-8"/>
              </w:rPr>
              <w:t>肥</w:t>
            </w:r>
            <w:r>
              <w:rPr>
                <w:sz w:val="12"/>
                <w:szCs w:val="12"/>
                <w:spacing w:val="-19"/>
              </w:rPr>
              <w:t xml:space="preserve"> </w:t>
            </w:r>
            <w:r>
              <w:rPr>
                <w:sz w:val="12"/>
                <w:szCs w:val="12"/>
                <w:b/>
                <w:bCs/>
                <w:spacing w:val="-8"/>
              </w:rPr>
              <w:t>料</w:t>
            </w:r>
            <w:r>
              <w:rPr>
                <w:sz w:val="12"/>
                <w:szCs w:val="12"/>
                <w:spacing w:val="-19"/>
              </w:rPr>
              <w:t xml:space="preserve"> </w:t>
            </w:r>
            <w:r>
              <w:rPr>
                <w:sz w:val="12"/>
                <w:szCs w:val="12"/>
                <w:b/>
                <w:bCs/>
                <w:spacing w:val="-8"/>
              </w:rPr>
              <w:t>使</w:t>
            </w:r>
            <w:r>
              <w:rPr>
                <w:sz w:val="12"/>
                <w:szCs w:val="12"/>
                <w:spacing w:val="-18"/>
              </w:rPr>
              <w:t xml:space="preserve"> </w:t>
            </w:r>
            <w:r>
              <w:rPr>
                <w:sz w:val="12"/>
                <w:szCs w:val="12"/>
                <w:b/>
                <w:bCs/>
                <w:spacing w:val="-8"/>
              </w:rPr>
              <w:t>用</w:t>
            </w:r>
            <w:r>
              <w:rPr>
                <w:sz w:val="12"/>
                <w:szCs w:val="12"/>
                <w:spacing w:val="-17"/>
              </w:rPr>
              <w:t xml:space="preserve"> </w:t>
            </w:r>
            <w:r>
              <w:rPr>
                <w:sz w:val="12"/>
                <w:szCs w:val="12"/>
                <w:b/>
                <w:bCs/>
                <w:spacing w:val="-8"/>
              </w:rPr>
              <w:t>指</w:t>
            </w:r>
            <w:r>
              <w:rPr>
                <w:sz w:val="12"/>
                <w:szCs w:val="12"/>
                <w:spacing w:val="-16"/>
              </w:rPr>
              <w:t xml:space="preserve"> </w:t>
            </w:r>
            <w:r>
              <w:rPr>
                <w:sz w:val="12"/>
                <w:szCs w:val="12"/>
                <w:b/>
                <w:bCs/>
                <w:spacing w:val="-8"/>
              </w:rPr>
              <w:t>导</w:t>
            </w:r>
          </w:p>
          <w:p>
            <w:pPr>
              <w:pStyle w:val="TableText"/>
              <w:ind w:left="4746"/>
              <w:spacing w:before="57" w:line="218" w:lineRule="auto"/>
              <w:rPr>
                <w:sz w:val="12"/>
                <w:szCs w:val="12"/>
              </w:rPr>
            </w:pPr>
            <w:r>
              <w:rPr>
                <w:sz w:val="12"/>
                <w:szCs w:val="12"/>
                <w:b/>
                <w:bCs/>
                <w:spacing w:val="-1"/>
              </w:rPr>
              <w:t>(本表中药品供参考，如有同类且成分相同、价格合理、低毒高效的药品，可选择使用</w:t>
            </w:r>
            <w:r>
              <w:rPr>
                <w:sz w:val="12"/>
                <w:szCs w:val="12"/>
                <w:spacing w:val="-1"/>
              </w:rPr>
              <w:t>)</w:t>
            </w:r>
          </w:p>
        </w:tc>
      </w:tr>
      <w:tr>
        <w:trPr>
          <w:trHeight w:val="534" w:hRule="atLeast"/>
        </w:trPr>
        <w:tc>
          <w:tcPr>
            <w:tcW w:w="425" w:type="dxa"/>
            <w:vAlign w:val="top"/>
            <w:tcBorders>
              <w:bottom w:val="single" w:color="000000" w:sz="2" w:space="0"/>
              <w:top w:val="single" w:color="000000" w:sz="2" w:space="0"/>
            </w:tcBorders>
          </w:tcPr>
          <w:p>
            <w:pPr>
              <w:pStyle w:val="TableText"/>
              <w:ind w:left="86"/>
              <w:spacing w:before="208" w:line="219" w:lineRule="auto"/>
              <w:rPr>
                <w:sz w:val="12"/>
                <w:szCs w:val="12"/>
              </w:rPr>
            </w:pPr>
            <w:r>
              <w:rPr>
                <w:sz w:val="12"/>
                <w:szCs w:val="12"/>
                <w:b/>
                <w:bCs/>
                <w:spacing w:val="-3"/>
              </w:rPr>
              <w:t>分类</w:t>
            </w:r>
          </w:p>
        </w:tc>
        <w:tc>
          <w:tcPr>
            <w:tcW w:w="620" w:type="dxa"/>
            <w:vAlign w:val="top"/>
            <w:tcBorders>
              <w:bottom w:val="single" w:color="000000" w:sz="2" w:space="0"/>
              <w:top w:val="single" w:color="000000" w:sz="2" w:space="0"/>
            </w:tcBorders>
          </w:tcPr>
          <w:p>
            <w:pPr>
              <w:pStyle w:val="TableText"/>
              <w:ind w:right="13"/>
              <w:spacing w:before="48" w:line="219" w:lineRule="auto"/>
              <w:jc w:val="right"/>
              <w:rPr>
                <w:sz w:val="12"/>
                <w:szCs w:val="12"/>
              </w:rPr>
            </w:pPr>
            <w:r>
              <w:rPr>
                <w:sz w:val="12"/>
                <w:szCs w:val="12"/>
                <w:b/>
                <w:bCs/>
                <w:spacing w:val="-3"/>
              </w:rPr>
              <w:t>消杀预防</w:t>
            </w:r>
          </w:p>
          <w:p>
            <w:pPr>
              <w:pStyle w:val="TableText"/>
              <w:ind w:left="200" w:right="12" w:hanging="79"/>
              <w:spacing w:before="17" w:line="232" w:lineRule="auto"/>
              <w:rPr>
                <w:sz w:val="12"/>
                <w:szCs w:val="12"/>
              </w:rPr>
            </w:pPr>
            <w:r>
              <w:rPr>
                <w:sz w:val="12"/>
                <w:szCs w:val="12"/>
                <w:b/>
                <w:bCs/>
                <w:spacing w:val="-3"/>
              </w:rPr>
              <w:t>及病虫害</w:t>
            </w:r>
            <w:r>
              <w:rPr>
                <w:sz w:val="12"/>
                <w:szCs w:val="12"/>
                <w:spacing w:val="1"/>
              </w:rPr>
              <w:t xml:space="preserve"> </w:t>
            </w:r>
            <w:r>
              <w:rPr>
                <w:sz w:val="12"/>
                <w:szCs w:val="12"/>
                <w:b/>
                <w:bCs/>
                <w:spacing w:val="-3"/>
              </w:rPr>
              <w:t>分类</w:t>
            </w:r>
          </w:p>
        </w:tc>
        <w:tc>
          <w:tcPr>
            <w:tcW w:w="849" w:type="dxa"/>
            <w:vAlign w:val="top"/>
            <w:tcBorders>
              <w:bottom w:val="single" w:color="000000" w:sz="2" w:space="0"/>
              <w:top w:val="single" w:color="000000" w:sz="2" w:space="0"/>
            </w:tcBorders>
          </w:tcPr>
          <w:p>
            <w:pPr>
              <w:pStyle w:val="TableText"/>
              <w:ind w:left="141"/>
              <w:spacing w:before="208" w:line="219" w:lineRule="auto"/>
              <w:rPr>
                <w:sz w:val="12"/>
                <w:szCs w:val="12"/>
              </w:rPr>
            </w:pPr>
            <w:r>
              <w:rPr>
                <w:sz w:val="12"/>
                <w:szCs w:val="12"/>
                <w:b/>
                <w:bCs/>
                <w:spacing w:val="-3"/>
              </w:rPr>
              <w:t>常见病虫害</w:t>
            </w:r>
          </w:p>
        </w:tc>
        <w:tc>
          <w:tcPr>
            <w:tcW w:w="2748" w:type="dxa"/>
            <w:vAlign w:val="top"/>
            <w:tcBorders>
              <w:bottom w:val="single" w:color="000000" w:sz="2" w:space="0"/>
              <w:top w:val="single" w:color="000000" w:sz="2" w:space="0"/>
            </w:tcBorders>
          </w:tcPr>
          <w:p>
            <w:pPr>
              <w:pStyle w:val="TableText"/>
              <w:ind w:left="1032"/>
              <w:spacing w:before="208" w:line="219" w:lineRule="auto"/>
              <w:rPr>
                <w:sz w:val="12"/>
                <w:szCs w:val="12"/>
              </w:rPr>
            </w:pPr>
            <w:r>
              <w:rPr>
                <w:sz w:val="12"/>
                <w:szCs w:val="12"/>
                <w:b/>
                <w:bCs/>
                <w:spacing w:val="-3"/>
              </w:rPr>
              <w:t>主要发病月份</w:t>
            </w:r>
          </w:p>
        </w:tc>
        <w:tc>
          <w:tcPr>
            <w:tcW w:w="1289" w:type="dxa"/>
            <w:vAlign w:val="top"/>
            <w:tcBorders>
              <w:bottom w:val="single" w:color="000000" w:sz="2" w:space="0"/>
              <w:top w:val="single" w:color="000000" w:sz="2" w:space="0"/>
            </w:tcBorders>
          </w:tcPr>
          <w:p>
            <w:pPr>
              <w:pStyle w:val="TableText"/>
              <w:ind w:left="394"/>
              <w:spacing w:before="208" w:line="220" w:lineRule="auto"/>
              <w:rPr>
                <w:sz w:val="12"/>
                <w:szCs w:val="12"/>
              </w:rPr>
            </w:pPr>
            <w:r>
              <w:rPr>
                <w:sz w:val="12"/>
                <w:szCs w:val="12"/>
                <w:b/>
                <w:bCs/>
                <w:spacing w:val="-3"/>
              </w:rPr>
              <w:t>药品名称</w:t>
            </w:r>
          </w:p>
        </w:tc>
        <w:tc>
          <w:tcPr>
            <w:tcW w:w="1389" w:type="dxa"/>
            <w:vAlign w:val="top"/>
            <w:tcBorders>
              <w:bottom w:val="single" w:color="000000" w:sz="2" w:space="0"/>
              <w:top w:val="single" w:color="000000" w:sz="2" w:space="0"/>
            </w:tcBorders>
          </w:tcPr>
          <w:p>
            <w:pPr>
              <w:pStyle w:val="TableText"/>
              <w:ind w:left="445"/>
              <w:spacing w:before="208" w:line="220" w:lineRule="auto"/>
              <w:rPr>
                <w:sz w:val="12"/>
                <w:szCs w:val="12"/>
              </w:rPr>
            </w:pPr>
            <w:r>
              <w:rPr>
                <w:sz w:val="12"/>
                <w:szCs w:val="12"/>
                <w:b/>
                <w:bCs/>
                <w:spacing w:val="-3"/>
              </w:rPr>
              <w:t>主要成分</w:t>
            </w:r>
          </w:p>
        </w:tc>
        <w:tc>
          <w:tcPr>
            <w:tcW w:w="1349" w:type="dxa"/>
            <w:vAlign w:val="top"/>
            <w:tcBorders>
              <w:bottom w:val="single" w:color="000000" w:sz="2" w:space="0"/>
              <w:top w:val="single" w:color="000000" w:sz="2" w:space="0"/>
            </w:tcBorders>
          </w:tcPr>
          <w:p>
            <w:pPr>
              <w:pStyle w:val="TableText"/>
              <w:ind w:left="426"/>
              <w:spacing w:before="208" w:line="219" w:lineRule="auto"/>
              <w:rPr>
                <w:sz w:val="12"/>
                <w:szCs w:val="12"/>
              </w:rPr>
            </w:pPr>
            <w:r>
              <w:rPr>
                <w:sz w:val="12"/>
                <w:szCs w:val="12"/>
                <w:b/>
                <w:bCs/>
                <w:spacing w:val="-3"/>
              </w:rPr>
              <w:t>使用倍率</w:t>
            </w:r>
          </w:p>
        </w:tc>
        <w:tc>
          <w:tcPr>
            <w:tcW w:w="1249" w:type="dxa"/>
            <w:vAlign w:val="top"/>
            <w:tcBorders>
              <w:bottom w:val="single" w:color="000000" w:sz="2" w:space="0"/>
              <w:top w:val="single" w:color="000000" w:sz="2" w:space="0"/>
            </w:tcBorders>
          </w:tcPr>
          <w:p>
            <w:pPr>
              <w:pStyle w:val="TableText"/>
              <w:ind w:left="377"/>
              <w:spacing w:before="208" w:line="219" w:lineRule="auto"/>
              <w:rPr>
                <w:sz w:val="12"/>
                <w:szCs w:val="12"/>
              </w:rPr>
            </w:pPr>
            <w:r>
              <w:rPr>
                <w:sz w:val="12"/>
                <w:szCs w:val="12"/>
                <w:b/>
                <w:bCs/>
                <w:spacing w:val="-3"/>
              </w:rPr>
              <w:t>施用次数</w:t>
            </w:r>
          </w:p>
        </w:tc>
        <w:tc>
          <w:tcPr>
            <w:tcW w:w="1009" w:type="dxa"/>
            <w:vAlign w:val="top"/>
            <w:tcBorders>
              <w:bottom w:val="single" w:color="000000" w:sz="2" w:space="0"/>
              <w:top w:val="single" w:color="000000" w:sz="2" w:space="0"/>
            </w:tcBorders>
          </w:tcPr>
          <w:p>
            <w:pPr>
              <w:pStyle w:val="TableText"/>
              <w:ind w:left="378"/>
              <w:spacing w:before="208" w:line="219" w:lineRule="auto"/>
              <w:rPr>
                <w:sz w:val="12"/>
                <w:szCs w:val="12"/>
              </w:rPr>
            </w:pPr>
            <w:r>
              <w:rPr>
                <w:sz w:val="12"/>
                <w:szCs w:val="12"/>
                <w:b/>
                <w:bCs/>
                <w:spacing w:val="-3"/>
              </w:rPr>
              <w:t>规格</w:t>
            </w:r>
          </w:p>
        </w:tc>
        <w:tc>
          <w:tcPr>
            <w:tcW w:w="3146" w:type="dxa"/>
            <w:vAlign w:val="top"/>
            <w:tcBorders>
              <w:bottom w:val="single" w:color="000000" w:sz="2" w:space="0"/>
              <w:top w:val="single" w:color="000000" w:sz="2" w:space="0"/>
            </w:tcBorders>
          </w:tcPr>
          <w:p>
            <w:pPr>
              <w:pStyle w:val="TableText"/>
              <w:ind w:left="1469"/>
              <w:spacing w:before="209" w:line="221" w:lineRule="auto"/>
              <w:rPr>
                <w:sz w:val="12"/>
                <w:szCs w:val="12"/>
              </w:rPr>
            </w:pPr>
            <w:r>
              <w:rPr>
                <w:sz w:val="12"/>
                <w:szCs w:val="12"/>
                <w:b/>
                <w:bCs/>
                <w:spacing w:val="-3"/>
              </w:rPr>
              <w:t>备注</w:t>
            </w:r>
          </w:p>
        </w:tc>
      </w:tr>
      <w:tr>
        <w:trPr>
          <w:trHeight w:val="334" w:hRule="atLeast"/>
        </w:trPr>
        <w:tc>
          <w:tcPr>
            <w:tcW w:w="425"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4"/>
              <w:spacing w:before="39" w:line="219" w:lineRule="auto"/>
              <w:rPr>
                <w:sz w:val="12"/>
                <w:szCs w:val="12"/>
              </w:rPr>
            </w:pPr>
            <w:r>
              <w:rPr>
                <w:sz w:val="12"/>
                <w:szCs w:val="12"/>
                <w:spacing w:val="-2"/>
              </w:rPr>
              <w:t>杀菌刻</w:t>
            </w:r>
          </w:p>
        </w:tc>
        <w:tc>
          <w:tcPr>
            <w:tcW w:w="620" w:type="dxa"/>
            <w:vAlign w:val="top"/>
            <w:vMerge w:val="restart"/>
            <w:tcBorders>
              <w:bottom w:val="nil"/>
              <w:top w:val="single" w:color="000000" w:sz="2" w:space="0"/>
            </w:tcBorders>
          </w:tcPr>
          <w:p>
            <w:pPr>
              <w:spacing w:line="308" w:lineRule="auto"/>
              <w:rPr>
                <w:rFonts w:ascii="Arial"/>
                <w:sz w:val="21"/>
              </w:rPr>
            </w:pPr>
            <w:r/>
          </w:p>
          <w:p>
            <w:pPr>
              <w:spacing w:line="309" w:lineRule="auto"/>
              <w:rPr>
                <w:rFonts w:ascii="Arial"/>
                <w:sz w:val="21"/>
              </w:rPr>
            </w:pPr>
            <w:r/>
          </w:p>
          <w:p>
            <w:pPr>
              <w:pStyle w:val="TableText"/>
              <w:ind w:left="80"/>
              <w:spacing w:before="39" w:line="219" w:lineRule="auto"/>
              <w:rPr>
                <w:sz w:val="12"/>
                <w:szCs w:val="12"/>
              </w:rPr>
            </w:pPr>
            <w:r>
              <w:rPr>
                <w:sz w:val="12"/>
                <w:szCs w:val="12"/>
                <w:spacing w:val="-2"/>
              </w:rPr>
              <w:t>消杀预防</w:t>
            </w:r>
          </w:p>
        </w:tc>
        <w:tc>
          <w:tcPr>
            <w:tcW w:w="849" w:type="dxa"/>
            <w:vAlign w:val="top"/>
            <w:vMerge w:val="restart"/>
            <w:tcBorders>
              <w:bottom w:val="nil"/>
              <w:top w:val="single" w:color="000000" w:sz="2" w:space="0"/>
            </w:tcBorders>
          </w:tcPr>
          <w:p>
            <w:pPr>
              <w:spacing w:line="264" w:lineRule="auto"/>
              <w:rPr>
                <w:rFonts w:ascii="Arial"/>
                <w:sz w:val="21"/>
              </w:rPr>
            </w:pPr>
            <w:r/>
          </w:p>
          <w:p>
            <w:pPr>
              <w:spacing w:line="264" w:lineRule="auto"/>
              <w:rPr>
                <w:rFonts w:ascii="Arial"/>
                <w:sz w:val="21"/>
              </w:rPr>
            </w:pPr>
            <w:r/>
          </w:p>
          <w:p>
            <w:pPr>
              <w:pStyle w:val="TableText"/>
              <w:ind w:left="209" w:right="33" w:hanging="119"/>
              <w:spacing w:before="39" w:line="248" w:lineRule="auto"/>
              <w:rPr>
                <w:sz w:val="12"/>
                <w:szCs w:val="12"/>
              </w:rPr>
            </w:pPr>
            <w:r>
              <w:rPr>
                <w:sz w:val="12"/>
                <w:szCs w:val="12"/>
                <w:spacing w:val="-1"/>
              </w:rPr>
              <w:t>全园区的菌类</w:t>
            </w:r>
            <w:r>
              <w:rPr>
                <w:sz w:val="12"/>
                <w:szCs w:val="12"/>
              </w:rPr>
              <w:t xml:space="preserve"> </w:t>
            </w:r>
            <w:r>
              <w:rPr>
                <w:sz w:val="12"/>
                <w:szCs w:val="12"/>
                <w:spacing w:val="-1"/>
              </w:rPr>
              <w:t>病菌、虫卵</w:t>
            </w:r>
          </w:p>
        </w:tc>
        <w:tc>
          <w:tcPr>
            <w:tcW w:w="2748" w:type="dxa"/>
            <w:vAlign w:val="top"/>
            <w:vMerge w:val="restart"/>
            <w:tcBorders>
              <w:bottom w:val="nil"/>
              <w:top w:val="single" w:color="000000" w:sz="2" w:space="0"/>
            </w:tcBorders>
          </w:tcPr>
          <w:p>
            <w:pPr>
              <w:spacing w:line="263" w:lineRule="auto"/>
              <w:rPr>
                <w:rFonts w:ascii="Arial"/>
                <w:sz w:val="21"/>
              </w:rPr>
            </w:pPr>
            <w:r/>
          </w:p>
          <w:p>
            <w:pPr>
              <w:spacing w:line="264" w:lineRule="auto"/>
              <w:rPr>
                <w:rFonts w:ascii="Arial"/>
                <w:sz w:val="21"/>
              </w:rPr>
            </w:pPr>
            <w:r/>
          </w:p>
          <w:p>
            <w:pPr>
              <w:pStyle w:val="TableText"/>
              <w:ind w:left="1" w:right="24" w:firstLine="19"/>
              <w:spacing w:before="39" w:line="249" w:lineRule="auto"/>
              <w:rPr>
                <w:sz w:val="12"/>
                <w:szCs w:val="12"/>
              </w:rPr>
            </w:pPr>
            <w:r>
              <w:rPr>
                <w:sz w:val="12"/>
                <w:szCs w:val="12"/>
                <w:spacing w:val="-1"/>
              </w:rPr>
              <w:t>3月上句苗木返青前对全园区的菌类，虫卵，消杀1-</w:t>
            </w:r>
            <w:r>
              <w:rPr>
                <w:sz w:val="12"/>
                <w:szCs w:val="12"/>
                <w:spacing w:val="15"/>
                <w:w w:val="101"/>
              </w:rPr>
              <w:t xml:space="preserve"> </w:t>
            </w:r>
            <w:r>
              <w:rPr>
                <w:sz w:val="12"/>
                <w:szCs w:val="12"/>
                <w:spacing w:val="-1"/>
              </w:rPr>
              <w:t>2次。</w:t>
            </w:r>
          </w:p>
        </w:tc>
        <w:tc>
          <w:tcPr>
            <w:tcW w:w="1289" w:type="dxa"/>
            <w:vAlign w:val="top"/>
            <w:tcBorders>
              <w:bottom w:val="single" w:color="000000" w:sz="2" w:space="0"/>
              <w:top w:val="single" w:color="000000" w:sz="2" w:space="0"/>
            </w:tcBorders>
          </w:tcPr>
          <w:p>
            <w:pPr>
              <w:pStyle w:val="TableText"/>
              <w:ind w:left="393"/>
              <w:spacing w:before="111" w:line="220" w:lineRule="auto"/>
              <w:rPr>
                <w:sz w:val="12"/>
                <w:szCs w:val="12"/>
              </w:rPr>
            </w:pPr>
            <w:r>
              <w:rPr>
                <w:sz w:val="12"/>
                <w:szCs w:val="12"/>
                <w:spacing w:val="-1"/>
              </w:rPr>
              <w:t>波尔多液</w:t>
            </w:r>
          </w:p>
        </w:tc>
        <w:tc>
          <w:tcPr>
            <w:tcW w:w="1389" w:type="dxa"/>
            <w:vAlign w:val="top"/>
            <w:tcBorders>
              <w:bottom w:val="single" w:color="000000" w:sz="2" w:space="0"/>
              <w:top w:val="single" w:color="000000" w:sz="2" w:space="0"/>
            </w:tcBorders>
          </w:tcPr>
          <w:p>
            <w:pPr>
              <w:pStyle w:val="TableText"/>
              <w:ind w:left="384"/>
              <w:spacing w:before="111" w:line="221" w:lineRule="auto"/>
              <w:rPr>
                <w:sz w:val="12"/>
                <w:szCs w:val="12"/>
              </w:rPr>
            </w:pPr>
            <w:r>
              <w:rPr>
                <w:sz w:val="12"/>
                <w:szCs w:val="12"/>
                <w:spacing w:val="-1"/>
              </w:rPr>
              <w:t>碱式疏酸铜</w:t>
            </w:r>
          </w:p>
        </w:tc>
        <w:tc>
          <w:tcPr>
            <w:tcW w:w="1349" w:type="dxa"/>
            <w:vAlign w:val="top"/>
            <w:tcBorders>
              <w:bottom w:val="single" w:color="000000" w:sz="2" w:space="0"/>
              <w:top w:val="single" w:color="000000" w:sz="2" w:space="0"/>
            </w:tcBorders>
          </w:tcPr>
          <w:p>
            <w:pPr>
              <w:pStyle w:val="TableText"/>
              <w:ind w:left="394"/>
              <w:spacing w:before="111" w:line="220" w:lineRule="auto"/>
              <w:rPr>
                <w:sz w:val="12"/>
                <w:szCs w:val="12"/>
              </w:rPr>
            </w:pPr>
            <w:r>
              <w:rPr>
                <w:sz w:val="12"/>
                <w:szCs w:val="12"/>
                <w:spacing w:val="-2"/>
              </w:rPr>
              <w:t>160-240倍</w:t>
            </w:r>
          </w:p>
        </w:tc>
        <w:tc>
          <w:tcPr>
            <w:tcW w:w="1249" w:type="dxa"/>
            <w:vAlign w:val="top"/>
            <w:vMerge w:val="restart"/>
            <w:tcBorders>
              <w:bottom w:val="nil"/>
              <w:top w:val="single" w:color="000000" w:sz="2" w:space="0"/>
            </w:tcBorders>
          </w:tcPr>
          <w:p>
            <w:pPr>
              <w:spacing w:line="310" w:lineRule="auto"/>
              <w:rPr>
                <w:rFonts w:ascii="Arial"/>
                <w:sz w:val="21"/>
              </w:rPr>
            </w:pPr>
            <w:r/>
          </w:p>
          <w:p>
            <w:pPr>
              <w:spacing w:line="311" w:lineRule="auto"/>
              <w:rPr>
                <w:rFonts w:ascii="Arial"/>
                <w:sz w:val="21"/>
              </w:rPr>
            </w:pPr>
            <w:r/>
          </w:p>
          <w:p>
            <w:pPr>
              <w:pStyle w:val="TableText"/>
              <w:ind w:left="585"/>
              <w:spacing w:before="39" w:line="224" w:lineRule="auto"/>
              <w:rPr>
                <w:sz w:val="12"/>
                <w:szCs w:val="12"/>
              </w:rPr>
            </w:pPr>
            <w:r>
              <w:rPr>
                <w:sz w:val="12"/>
                <w:szCs w:val="12"/>
                <w:color w:val="404040"/>
              </w:rPr>
              <w:t>/</w:t>
            </w:r>
          </w:p>
        </w:tc>
        <w:tc>
          <w:tcPr>
            <w:tcW w:w="1009" w:type="dxa"/>
            <w:vAlign w:val="top"/>
            <w:tcBorders>
              <w:bottom w:val="single" w:color="000000" w:sz="2" w:space="0"/>
              <w:top w:val="single" w:color="000000" w:sz="2" w:space="0"/>
            </w:tcBorders>
          </w:tcPr>
          <w:p>
            <w:pPr>
              <w:pStyle w:val="TableText"/>
              <w:ind w:left="287"/>
              <w:spacing w:before="107" w:line="213" w:lineRule="auto"/>
              <w:rPr>
                <w:sz w:val="12"/>
                <w:szCs w:val="12"/>
              </w:rPr>
            </w:pPr>
            <w:r>
              <w:rPr>
                <w:sz w:val="12"/>
                <w:szCs w:val="12"/>
                <w:spacing w:val="-1"/>
              </w:rPr>
              <w:t>200g/袋</w:t>
            </w:r>
          </w:p>
        </w:tc>
        <w:tc>
          <w:tcPr>
            <w:tcW w:w="3146" w:type="dxa"/>
            <w:vAlign w:val="top"/>
            <w:tcBorders>
              <w:bottom w:val="single" w:color="000000" w:sz="2" w:space="0"/>
              <w:top w:val="single" w:color="000000" w:sz="2" w:space="0"/>
            </w:tcBorders>
          </w:tcPr>
          <w:p>
            <w:pPr>
              <w:pStyle w:val="TableText"/>
              <w:ind w:left="18" w:right="10"/>
              <w:spacing w:before="41" w:line="210" w:lineRule="auto"/>
              <w:rPr>
                <w:sz w:val="12"/>
                <w:szCs w:val="12"/>
              </w:rPr>
            </w:pPr>
            <w:r>
              <w:rPr>
                <w:sz w:val="12"/>
                <w:szCs w:val="12"/>
                <w:spacing w:val="-1"/>
              </w:rPr>
              <w:t>防治落叶病、炭疽病、炭疽病、霜霉病，不能与石硫合刻等</w:t>
            </w:r>
            <w:r>
              <w:rPr>
                <w:sz w:val="12"/>
                <w:szCs w:val="12"/>
                <w:spacing w:val="12"/>
              </w:rPr>
              <w:t xml:space="preserve"> </w:t>
            </w:r>
            <w:r>
              <w:rPr>
                <w:sz w:val="12"/>
                <w:szCs w:val="12"/>
                <w:spacing w:val="-1"/>
              </w:rPr>
              <w:t>碱性衣药混用</w:t>
            </w:r>
          </w:p>
        </w:tc>
      </w:tr>
      <w:tr>
        <w:trPr>
          <w:trHeight w:val="24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43"/>
              <w:spacing w:before="61" w:line="219" w:lineRule="auto"/>
              <w:rPr>
                <w:sz w:val="12"/>
                <w:szCs w:val="12"/>
              </w:rPr>
            </w:pPr>
            <w:r>
              <w:rPr>
                <w:sz w:val="12"/>
                <w:szCs w:val="12"/>
                <w:spacing w:val="-1"/>
              </w:rPr>
              <w:t>50%国光多菌灵</w:t>
            </w:r>
          </w:p>
        </w:tc>
        <w:tc>
          <w:tcPr>
            <w:tcW w:w="1389" w:type="dxa"/>
            <w:vAlign w:val="top"/>
            <w:tcBorders>
              <w:bottom w:val="single" w:color="000000" w:sz="2" w:space="0"/>
              <w:top w:val="single" w:color="000000" w:sz="2" w:space="0"/>
            </w:tcBorders>
          </w:tcPr>
          <w:p>
            <w:pPr>
              <w:pStyle w:val="TableText"/>
              <w:ind w:left="414"/>
              <w:spacing w:before="61" w:line="219" w:lineRule="auto"/>
              <w:rPr>
                <w:sz w:val="12"/>
                <w:szCs w:val="12"/>
              </w:rPr>
            </w:pPr>
            <w:r>
              <w:rPr>
                <w:sz w:val="12"/>
                <w:szCs w:val="12"/>
                <w:spacing w:val="-2"/>
              </w:rPr>
              <w:t>多菌灵50%</w:t>
            </w:r>
          </w:p>
        </w:tc>
        <w:tc>
          <w:tcPr>
            <w:tcW w:w="1349" w:type="dxa"/>
            <w:vAlign w:val="top"/>
            <w:tcBorders>
              <w:bottom w:val="single" w:color="000000" w:sz="2" w:space="0"/>
              <w:top w:val="single" w:color="000000" w:sz="2" w:space="0"/>
            </w:tcBorders>
          </w:tcPr>
          <w:p>
            <w:pPr>
              <w:pStyle w:val="TableText"/>
              <w:ind w:left="255"/>
              <w:spacing w:before="61" w:line="219" w:lineRule="auto"/>
              <w:rPr>
                <w:sz w:val="12"/>
                <w:szCs w:val="12"/>
              </w:rPr>
            </w:pPr>
            <w:r>
              <w:rPr>
                <w:sz w:val="12"/>
                <w:szCs w:val="12"/>
                <w:spacing w:val="-1"/>
              </w:rPr>
              <w:t>稀释600-1000倍液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27"/>
              <w:spacing w:before="58" w:line="213" w:lineRule="auto"/>
              <w:rPr>
                <w:sz w:val="12"/>
                <w:szCs w:val="12"/>
              </w:rPr>
            </w:pPr>
            <w:r>
              <w:rPr>
                <w:sz w:val="12"/>
                <w:szCs w:val="12"/>
                <w:spacing w:val="3"/>
              </w:rPr>
              <w:t>(200g/袋)</w:t>
            </w:r>
          </w:p>
        </w:tc>
        <w:tc>
          <w:tcPr>
            <w:tcW w:w="3146" w:type="dxa"/>
            <w:vAlign w:val="top"/>
            <w:tcBorders>
              <w:bottom w:val="single" w:color="000000" w:sz="2" w:space="0"/>
              <w:top w:val="single" w:color="000000" w:sz="2" w:space="0"/>
            </w:tcBorders>
          </w:tcPr>
          <w:p>
            <w:pPr>
              <w:pStyle w:val="TableText"/>
              <w:ind w:left="18"/>
              <w:spacing w:before="61" w:line="218" w:lineRule="auto"/>
              <w:rPr>
                <w:sz w:val="12"/>
                <w:szCs w:val="12"/>
              </w:rPr>
            </w:pPr>
            <w:r>
              <w:rPr>
                <w:sz w:val="12"/>
                <w:szCs w:val="12"/>
                <w:spacing w:val="-1"/>
              </w:rPr>
              <w:t>广谱性杀菌剂</w:t>
            </w:r>
          </w:p>
        </w:tc>
      </w:tr>
      <w:tr>
        <w:trPr>
          <w:trHeight w:val="33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62"/>
              <w:spacing w:before="41" w:line="200" w:lineRule="auto"/>
              <w:rPr>
                <w:sz w:val="12"/>
                <w:szCs w:val="12"/>
              </w:rPr>
            </w:pPr>
            <w:r>
              <w:rPr>
                <w:sz w:val="12"/>
                <w:szCs w:val="12"/>
              </w:rPr>
              <w:t>国光依它(原名“国光</w:t>
            </w:r>
          </w:p>
          <w:p>
            <w:pPr>
              <w:pStyle w:val="TableText"/>
              <w:ind w:left="393"/>
              <w:spacing w:line="219" w:lineRule="auto"/>
              <w:rPr>
                <w:sz w:val="12"/>
                <w:szCs w:val="12"/>
              </w:rPr>
            </w:pPr>
            <w:r>
              <w:rPr>
                <w:sz w:val="12"/>
                <w:szCs w:val="12"/>
                <w:spacing w:val="6"/>
              </w:rPr>
              <w:t>毒枪”)</w:t>
            </w:r>
          </w:p>
        </w:tc>
        <w:tc>
          <w:tcPr>
            <w:tcW w:w="1389" w:type="dxa"/>
            <w:vAlign w:val="top"/>
            <w:tcBorders>
              <w:bottom w:val="single" w:color="000000" w:sz="2" w:space="0"/>
              <w:top w:val="single" w:color="000000" w:sz="2" w:space="0"/>
            </w:tcBorders>
          </w:tcPr>
          <w:p>
            <w:pPr>
              <w:pStyle w:val="TableText"/>
              <w:ind w:left="114"/>
              <w:spacing w:before="111" w:line="219" w:lineRule="auto"/>
              <w:rPr>
                <w:sz w:val="12"/>
                <w:szCs w:val="12"/>
              </w:rPr>
            </w:pPr>
            <w:r>
              <w:rPr>
                <w:sz w:val="12"/>
                <w:szCs w:val="12"/>
                <w:spacing w:val="-1"/>
              </w:rPr>
              <w:t>丙溴，辛硫磷45%乳油</w:t>
            </w:r>
          </w:p>
        </w:tc>
        <w:tc>
          <w:tcPr>
            <w:tcW w:w="1349" w:type="dxa"/>
            <w:vAlign w:val="top"/>
            <w:tcBorders>
              <w:bottom w:val="single" w:color="000000" w:sz="2" w:space="0"/>
              <w:top w:val="single" w:color="000000" w:sz="2" w:space="0"/>
            </w:tcBorders>
          </w:tcPr>
          <w:p>
            <w:pPr>
              <w:pStyle w:val="TableText"/>
              <w:ind w:left="185"/>
              <w:spacing w:before="111" w:line="219" w:lineRule="auto"/>
              <w:rPr>
                <w:sz w:val="12"/>
                <w:szCs w:val="12"/>
              </w:rPr>
            </w:pPr>
            <w:r>
              <w:rPr>
                <w:sz w:val="12"/>
                <w:szCs w:val="12"/>
                <w:spacing w:val="-1"/>
              </w:rPr>
              <w:t>稀释200-3000倍液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197"/>
              <w:spacing w:before="112" w:line="221" w:lineRule="auto"/>
              <w:rPr>
                <w:sz w:val="12"/>
                <w:szCs w:val="12"/>
              </w:rPr>
            </w:pPr>
            <w:r>
              <w:rPr>
                <w:sz w:val="12"/>
                <w:szCs w:val="12"/>
                <w:spacing w:val="3"/>
              </w:rPr>
              <w:t>(200</w:t>
            </w:r>
            <w:r>
              <w:rPr>
                <w:sz w:val="12"/>
                <w:szCs w:val="12"/>
              </w:rPr>
              <w:t>ml</w:t>
            </w:r>
            <w:r>
              <w:rPr>
                <w:sz w:val="12"/>
                <w:szCs w:val="12"/>
                <w:spacing w:val="3"/>
              </w:rPr>
              <w:t>/瓶)</w:t>
            </w:r>
          </w:p>
        </w:tc>
        <w:tc>
          <w:tcPr>
            <w:tcW w:w="3146" w:type="dxa"/>
            <w:vAlign w:val="top"/>
            <w:tcBorders>
              <w:bottom w:val="single" w:color="000000" w:sz="2" w:space="0"/>
              <w:top w:val="single" w:color="000000" w:sz="2" w:space="0"/>
            </w:tcBorders>
          </w:tcPr>
          <w:p>
            <w:pPr>
              <w:pStyle w:val="TableText"/>
              <w:ind w:left="18"/>
              <w:spacing w:before="111" w:line="219" w:lineRule="auto"/>
              <w:rPr>
                <w:sz w:val="12"/>
                <w:szCs w:val="12"/>
              </w:rPr>
            </w:pPr>
            <w:r>
              <w:rPr>
                <w:sz w:val="12"/>
                <w:szCs w:val="12"/>
                <w:spacing w:val="-1"/>
              </w:rPr>
              <w:t>高涉透性，杀卷叶虫，包叶虫、斑潜蝇等</w:t>
            </w:r>
          </w:p>
        </w:tc>
      </w:tr>
      <w:tr>
        <w:trPr>
          <w:trHeight w:val="25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71" w:line="219" w:lineRule="auto"/>
              <w:rPr>
                <w:sz w:val="12"/>
                <w:szCs w:val="12"/>
              </w:rPr>
            </w:pPr>
            <w:r>
              <w:rPr>
                <w:sz w:val="12"/>
                <w:szCs w:val="12"/>
                <w:spacing w:val="1"/>
              </w:rPr>
              <w:t>国光红杀</w:t>
            </w:r>
          </w:p>
        </w:tc>
        <w:tc>
          <w:tcPr>
            <w:tcW w:w="1389" w:type="dxa"/>
            <w:vAlign w:val="top"/>
            <w:tcBorders>
              <w:bottom w:val="single" w:color="000000" w:sz="2" w:space="0"/>
              <w:top w:val="single" w:color="000000" w:sz="2" w:space="0"/>
            </w:tcBorders>
          </w:tcPr>
          <w:p>
            <w:pPr>
              <w:pStyle w:val="TableText"/>
              <w:ind w:left="233"/>
              <w:spacing w:before="71" w:line="218" w:lineRule="auto"/>
              <w:rPr>
                <w:sz w:val="12"/>
                <w:szCs w:val="12"/>
              </w:rPr>
            </w:pPr>
            <w:r>
              <w:rPr>
                <w:sz w:val="12"/>
                <w:szCs w:val="12"/>
                <w:spacing w:val="-6"/>
              </w:rPr>
              <w:t>笨丁</w:t>
            </w:r>
            <w:r>
              <w:rPr>
                <w:sz w:val="12"/>
                <w:szCs w:val="12"/>
                <w:spacing w:val="-12"/>
              </w:rPr>
              <w:t xml:space="preserve"> </w:t>
            </w:r>
            <w:r>
              <w:rPr>
                <w:sz w:val="12"/>
                <w:szCs w:val="12"/>
                <w:spacing w:val="-6"/>
              </w:rPr>
              <w:t>·哒蜗灵10%</w:t>
            </w:r>
          </w:p>
        </w:tc>
        <w:tc>
          <w:tcPr>
            <w:tcW w:w="1349" w:type="dxa"/>
            <w:vAlign w:val="top"/>
            <w:tcBorders>
              <w:bottom w:val="single" w:color="000000" w:sz="2" w:space="0"/>
              <w:top w:val="single" w:color="000000" w:sz="2" w:space="0"/>
            </w:tcBorders>
          </w:tcPr>
          <w:p>
            <w:pPr>
              <w:pStyle w:val="TableText"/>
              <w:ind w:left="185"/>
              <w:spacing w:before="71" w:line="219" w:lineRule="auto"/>
              <w:rPr>
                <w:sz w:val="12"/>
                <w:szCs w:val="12"/>
              </w:rPr>
            </w:pPr>
            <w:r>
              <w:rPr>
                <w:sz w:val="12"/>
                <w:szCs w:val="12"/>
                <w:spacing w:val="-1"/>
              </w:rPr>
              <w:t>稀释800-1500倍液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57"/>
              <w:spacing w:before="72" w:line="221" w:lineRule="auto"/>
              <w:rPr>
                <w:sz w:val="12"/>
                <w:szCs w:val="12"/>
              </w:rPr>
            </w:pPr>
            <w:r>
              <w:rPr>
                <w:sz w:val="12"/>
                <w:szCs w:val="12"/>
                <w:spacing w:val="-1"/>
              </w:rPr>
              <w:t>200ml/瓶</w:t>
            </w:r>
          </w:p>
        </w:tc>
        <w:tc>
          <w:tcPr>
            <w:tcW w:w="3146" w:type="dxa"/>
            <w:vAlign w:val="top"/>
            <w:tcBorders>
              <w:bottom w:val="single" w:color="000000" w:sz="2" w:space="0"/>
              <w:top w:val="single" w:color="000000" w:sz="2" w:space="0"/>
            </w:tcBorders>
          </w:tcPr>
          <w:p>
            <w:pPr>
              <w:pStyle w:val="TableText"/>
              <w:ind w:left="18"/>
              <w:spacing w:before="71" w:line="218" w:lineRule="auto"/>
              <w:rPr>
                <w:sz w:val="12"/>
                <w:szCs w:val="12"/>
              </w:rPr>
            </w:pPr>
            <w:r>
              <w:rPr>
                <w:sz w:val="12"/>
                <w:szCs w:val="12"/>
                <w:spacing w:val="-1"/>
              </w:rPr>
              <w:t>春秋季高效、广谱杀螨剂、防效高、虫卵兼杀</w:t>
            </w:r>
          </w:p>
        </w:tc>
      </w:tr>
      <w:tr>
        <w:trPr>
          <w:trHeight w:val="24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4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61" w:line="218" w:lineRule="auto"/>
              <w:rPr>
                <w:sz w:val="12"/>
                <w:szCs w:val="12"/>
              </w:rPr>
            </w:pPr>
            <w:r>
              <w:rPr>
                <w:sz w:val="12"/>
                <w:szCs w:val="12"/>
                <w:spacing w:val="1"/>
              </w:rPr>
              <w:t>品体石硫合剂</w:t>
            </w:r>
          </w:p>
        </w:tc>
        <w:tc>
          <w:tcPr>
            <w:tcW w:w="1389" w:type="dxa"/>
            <w:vAlign w:val="top"/>
            <w:tcBorders>
              <w:bottom w:val="single" w:color="000000" w:sz="2" w:space="0"/>
              <w:top w:val="single" w:color="000000" w:sz="2" w:space="0"/>
            </w:tcBorders>
          </w:tcPr>
          <w:p>
            <w:pPr>
              <w:pStyle w:val="TableText"/>
              <w:ind w:left="444"/>
              <w:spacing w:before="62" w:line="221" w:lineRule="auto"/>
              <w:rPr>
                <w:sz w:val="12"/>
                <w:szCs w:val="12"/>
              </w:rPr>
            </w:pPr>
            <w:r>
              <w:rPr>
                <w:sz w:val="12"/>
                <w:szCs w:val="12"/>
                <w:spacing w:val="-2"/>
              </w:rPr>
              <w:t>多硫化钙</w:t>
            </w:r>
          </w:p>
        </w:tc>
        <w:tc>
          <w:tcPr>
            <w:tcW w:w="1349" w:type="dxa"/>
            <w:vAlign w:val="top"/>
            <w:tcBorders>
              <w:bottom w:val="single" w:color="000000" w:sz="2" w:space="0"/>
              <w:top w:val="single" w:color="000000" w:sz="2" w:space="0"/>
            </w:tcBorders>
          </w:tcPr>
          <w:p>
            <w:pPr>
              <w:pStyle w:val="TableText"/>
              <w:ind w:left="364"/>
              <w:spacing w:before="61" w:line="220" w:lineRule="auto"/>
              <w:rPr>
                <w:sz w:val="12"/>
                <w:szCs w:val="12"/>
              </w:rPr>
            </w:pPr>
            <w:r>
              <w:rPr>
                <w:sz w:val="12"/>
                <w:szCs w:val="12"/>
                <w:spacing w:val="-6"/>
              </w:rPr>
              <w:t>800—1000倍</w:t>
            </w:r>
          </w:p>
        </w:tc>
        <w:tc>
          <w:tcPr>
            <w:tcW w:w="1249" w:type="dxa"/>
            <w:vAlign w:val="top"/>
            <w:vMerge w:val="continue"/>
            <w:tcBorders>
              <w:bottom w:val="single" w:color="000000" w:sz="2" w:space="0"/>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27"/>
              <w:spacing w:before="61" w:line="220" w:lineRule="auto"/>
              <w:rPr>
                <w:sz w:val="12"/>
                <w:szCs w:val="12"/>
              </w:rPr>
            </w:pPr>
            <w:r>
              <w:rPr>
                <w:sz w:val="12"/>
                <w:szCs w:val="12"/>
                <w:spacing w:val="3"/>
              </w:rPr>
              <w:t>(400z/装)</w:t>
            </w:r>
          </w:p>
        </w:tc>
        <w:tc>
          <w:tcPr>
            <w:tcW w:w="3146" w:type="dxa"/>
            <w:vAlign w:val="top"/>
            <w:tcBorders>
              <w:bottom w:val="single" w:color="000000" w:sz="2" w:space="0"/>
              <w:top w:val="single" w:color="000000" w:sz="2" w:space="0"/>
            </w:tcBorders>
          </w:tcPr>
          <w:p>
            <w:pPr>
              <w:pStyle w:val="TableText"/>
              <w:ind w:left="18"/>
              <w:spacing w:before="61" w:line="219" w:lineRule="auto"/>
              <w:rPr>
                <w:sz w:val="12"/>
                <w:szCs w:val="12"/>
              </w:rPr>
            </w:pPr>
            <w:r>
              <w:rPr>
                <w:sz w:val="12"/>
                <w:szCs w:val="12"/>
              </w:rPr>
              <w:t>盒格低康、效果好，对多种劝菌具有抑条作</w:t>
            </w:r>
            <w:r>
              <w:rPr>
                <w:sz w:val="12"/>
                <w:szCs w:val="12"/>
                <w:spacing w:val="-1"/>
              </w:rPr>
              <w:t>用，园区消条位</w:t>
            </w:r>
          </w:p>
        </w:tc>
      </w:tr>
      <w:tr>
        <w:trPr>
          <w:trHeight w:val="394" w:hRule="atLeast"/>
        </w:trPr>
        <w:tc>
          <w:tcPr>
            <w:tcW w:w="425" w:type="dxa"/>
            <w:vAlign w:val="top"/>
            <w:vMerge w:val="continue"/>
            <w:tcBorders>
              <w:bottom w:val="nil"/>
              <w:top w:val="nil"/>
            </w:tcBorders>
          </w:tcPr>
          <w:p>
            <w:pPr>
              <w:rPr>
                <w:rFonts w:ascii="Arial"/>
                <w:sz w:val="21"/>
              </w:rPr>
            </w:pPr>
            <w:r/>
          </w:p>
        </w:tc>
        <w:tc>
          <w:tcPr>
            <w:tcW w:w="620" w:type="dxa"/>
            <w:vAlign w:val="top"/>
            <w:vMerge w:val="restart"/>
            <w:tcBorders>
              <w:bottom w:val="nil"/>
              <w:top w:val="single" w:color="000000" w:sz="2"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right="12"/>
              <w:spacing w:before="39" w:line="219" w:lineRule="auto"/>
              <w:jc w:val="right"/>
              <w:rPr>
                <w:sz w:val="12"/>
                <w:szCs w:val="12"/>
              </w:rPr>
            </w:pPr>
            <w:r>
              <w:rPr>
                <w:sz w:val="12"/>
                <w:szCs w:val="12"/>
                <w:spacing w:val="-1"/>
              </w:rPr>
              <w:t>病菌类</w:t>
            </w:r>
          </w:p>
        </w:tc>
        <w:tc>
          <w:tcPr>
            <w:tcW w:w="849" w:type="dxa"/>
            <w:vAlign w:val="top"/>
            <w:vMerge w:val="restart"/>
            <w:tcBorders>
              <w:bottom w:val="nil"/>
              <w:top w:val="single" w:color="000000" w:sz="2" w:space="0"/>
            </w:tcBorders>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90"/>
              <w:spacing w:before="39" w:line="200" w:lineRule="auto"/>
              <w:rPr>
                <w:sz w:val="12"/>
                <w:szCs w:val="12"/>
              </w:rPr>
            </w:pPr>
            <w:r>
              <w:rPr>
                <w:sz w:val="12"/>
                <w:szCs w:val="12"/>
                <w:spacing w:val="-1"/>
              </w:rPr>
              <w:t>豢疸病、白粉</w:t>
            </w:r>
          </w:p>
          <w:p>
            <w:pPr>
              <w:pStyle w:val="TableText"/>
              <w:ind w:left="70" w:right="46"/>
              <w:spacing w:before="1" w:line="220" w:lineRule="auto"/>
              <w:jc w:val="both"/>
              <w:rPr>
                <w:sz w:val="12"/>
                <w:szCs w:val="12"/>
              </w:rPr>
            </w:pPr>
            <w:r>
              <w:rPr>
                <w:sz w:val="12"/>
                <w:szCs w:val="12"/>
                <w:spacing w:val="-1"/>
              </w:rPr>
              <w:t>病、锈病、叶</w:t>
            </w:r>
            <w:r>
              <w:rPr>
                <w:sz w:val="12"/>
                <w:szCs w:val="12"/>
              </w:rPr>
              <w:t xml:space="preserve"> </w:t>
            </w:r>
            <w:r>
              <w:rPr>
                <w:sz w:val="12"/>
                <w:szCs w:val="12"/>
                <w:spacing w:val="-1"/>
              </w:rPr>
              <w:t>枯病、叶斑病</w:t>
            </w:r>
            <w:r>
              <w:rPr>
                <w:sz w:val="12"/>
                <w:szCs w:val="12"/>
              </w:rPr>
              <w:t xml:space="preserve"> </w:t>
            </w:r>
            <w:r>
              <w:rPr>
                <w:sz w:val="12"/>
                <w:szCs w:val="12"/>
              </w:rPr>
              <w:t>、褐班病，煤</w:t>
            </w:r>
          </w:p>
          <w:p>
            <w:pPr>
              <w:pStyle w:val="TableText"/>
              <w:ind w:left="320"/>
              <w:spacing w:line="220" w:lineRule="auto"/>
              <w:rPr>
                <w:sz w:val="12"/>
                <w:szCs w:val="12"/>
              </w:rPr>
            </w:pPr>
            <w:r>
              <w:rPr>
                <w:sz w:val="12"/>
                <w:szCs w:val="12"/>
                <w:spacing w:val="-2"/>
              </w:rPr>
              <w:t>污病</w:t>
            </w:r>
          </w:p>
        </w:tc>
        <w:tc>
          <w:tcPr>
            <w:tcW w:w="2748" w:type="dxa"/>
            <w:vAlign w:val="top"/>
            <w:vMerge w:val="restart"/>
            <w:tcBorders>
              <w:bottom w:val="nil"/>
              <w:top w:val="single" w:color="000000" w:sz="2" w:space="0"/>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1"/>
              <w:spacing w:before="39" w:line="219" w:lineRule="auto"/>
              <w:rPr>
                <w:sz w:val="12"/>
                <w:szCs w:val="12"/>
              </w:rPr>
            </w:pPr>
            <w:r>
              <w:rPr>
                <w:sz w:val="12"/>
                <w:szCs w:val="12"/>
                <w:spacing w:val="3"/>
              </w:rPr>
              <w:t>一、2、3月全园区预防消杀为主；</w:t>
            </w:r>
          </w:p>
          <w:p>
            <w:pPr>
              <w:pStyle w:val="TableText"/>
              <w:ind w:left="11" w:right="33"/>
              <w:spacing w:before="17" w:line="210" w:lineRule="auto"/>
              <w:rPr>
                <w:sz w:val="12"/>
                <w:szCs w:val="12"/>
              </w:rPr>
            </w:pPr>
            <w:r>
              <w:rPr>
                <w:sz w:val="12"/>
                <w:szCs w:val="12"/>
                <w:spacing w:val="-1"/>
              </w:rPr>
              <w:t>二、4-9月，六个月为高发期。有发现病情，及时喷</w:t>
            </w:r>
            <w:r>
              <w:rPr>
                <w:sz w:val="12"/>
                <w:szCs w:val="12"/>
                <w:spacing w:val="16"/>
              </w:rPr>
              <w:t xml:space="preserve"> </w:t>
            </w:r>
            <w:r>
              <w:rPr>
                <w:sz w:val="12"/>
                <w:szCs w:val="12"/>
                <w:spacing w:val="-1"/>
              </w:rPr>
              <w:t>药处理。</w:t>
            </w:r>
          </w:p>
        </w:tc>
        <w:tc>
          <w:tcPr>
            <w:tcW w:w="1289" w:type="dxa"/>
            <w:vAlign w:val="top"/>
            <w:tcBorders>
              <w:bottom w:val="single" w:color="000000" w:sz="2" w:space="0"/>
              <w:top w:val="single" w:color="000000" w:sz="2" w:space="0"/>
            </w:tcBorders>
          </w:tcPr>
          <w:p>
            <w:pPr>
              <w:pStyle w:val="TableText"/>
              <w:ind w:left="213"/>
              <w:spacing w:before="141" w:line="219" w:lineRule="auto"/>
              <w:rPr>
                <w:sz w:val="12"/>
                <w:szCs w:val="12"/>
              </w:rPr>
            </w:pPr>
            <w:r>
              <w:rPr>
                <w:sz w:val="12"/>
                <w:szCs w:val="12"/>
                <w:spacing w:val="3"/>
              </w:rPr>
              <w:t>特克多(噻菌灵)</w:t>
            </w:r>
          </w:p>
        </w:tc>
        <w:tc>
          <w:tcPr>
            <w:tcW w:w="1389" w:type="dxa"/>
            <w:vAlign w:val="top"/>
            <w:tcBorders>
              <w:bottom w:val="single" w:color="000000" w:sz="2" w:space="0"/>
              <w:top w:val="single" w:color="000000" w:sz="2" w:space="0"/>
            </w:tcBorders>
          </w:tcPr>
          <w:p>
            <w:pPr>
              <w:pStyle w:val="TableText"/>
              <w:ind w:left="444"/>
              <w:spacing w:before="140" w:line="218" w:lineRule="auto"/>
              <w:rPr>
                <w:sz w:val="12"/>
                <w:szCs w:val="12"/>
              </w:rPr>
            </w:pPr>
            <w:r>
              <w:rPr>
                <w:sz w:val="12"/>
                <w:szCs w:val="12"/>
                <w:spacing w:val="-2"/>
              </w:rPr>
              <w:t>苯味唑类</w:t>
            </w:r>
          </w:p>
        </w:tc>
        <w:tc>
          <w:tcPr>
            <w:tcW w:w="1349" w:type="dxa"/>
            <w:vAlign w:val="top"/>
            <w:tcBorders>
              <w:bottom w:val="single" w:color="000000" w:sz="2" w:space="0"/>
              <w:top w:val="single" w:color="000000" w:sz="2" w:space="0"/>
            </w:tcBorders>
          </w:tcPr>
          <w:p>
            <w:pPr>
              <w:pStyle w:val="TableText"/>
              <w:ind w:left="195"/>
              <w:spacing w:before="140" w:line="218" w:lineRule="auto"/>
              <w:rPr>
                <w:sz w:val="12"/>
                <w:szCs w:val="12"/>
              </w:rPr>
            </w:pPr>
            <w:r>
              <w:rPr>
                <w:sz w:val="12"/>
                <w:szCs w:val="12"/>
                <w:spacing w:val="-1"/>
              </w:rPr>
              <w:t>45K悬浮剂600-800倍</w:t>
            </w:r>
          </w:p>
        </w:tc>
        <w:tc>
          <w:tcPr>
            <w:tcW w:w="1249" w:type="dxa"/>
            <w:vAlign w:val="top"/>
            <w:vMerge w:val="restart"/>
            <w:tcBorders>
              <w:bottom w:val="nil"/>
              <w:top w:val="single" w:color="000000" w:sz="2" w:space="0"/>
            </w:tcBorders>
          </w:tcPr>
          <w:p>
            <w:pPr>
              <w:spacing w:line="269" w:lineRule="auto"/>
              <w:rPr>
                <w:rFonts w:ascii="Arial"/>
                <w:sz w:val="21"/>
              </w:rPr>
            </w:pPr>
            <w:r/>
          </w:p>
          <w:p>
            <w:pPr>
              <w:pStyle w:val="TableText"/>
              <w:ind w:left="435" w:right="36" w:hanging="419"/>
              <w:spacing w:before="39" w:line="210" w:lineRule="auto"/>
              <w:rPr>
                <w:sz w:val="12"/>
                <w:szCs w:val="12"/>
              </w:rPr>
            </w:pPr>
            <w:r>
              <w:rPr>
                <w:sz w:val="12"/>
                <w:szCs w:val="12"/>
                <w:spacing w:val="-2"/>
              </w:rPr>
              <w:t>间隔10-15天1次，连喷</w:t>
            </w:r>
            <w:r>
              <w:rPr>
                <w:sz w:val="12"/>
                <w:szCs w:val="12"/>
                <w:spacing w:val="10"/>
              </w:rPr>
              <w:t xml:space="preserve"> </w:t>
            </w:r>
            <w:r>
              <w:rPr>
                <w:sz w:val="12"/>
                <w:szCs w:val="12"/>
                <w:spacing w:val="-2"/>
              </w:rPr>
              <w:t>2-3次</w:t>
            </w:r>
          </w:p>
        </w:tc>
        <w:tc>
          <w:tcPr>
            <w:tcW w:w="1009" w:type="dxa"/>
            <w:vAlign w:val="top"/>
            <w:tcBorders>
              <w:bottom w:val="single" w:color="000000" w:sz="2" w:space="0"/>
              <w:top w:val="single" w:color="000000" w:sz="2" w:space="0"/>
            </w:tcBorders>
          </w:tcPr>
          <w:p>
            <w:pPr>
              <w:pStyle w:val="TableText"/>
              <w:ind w:left="257"/>
              <w:spacing w:before="141" w:line="221" w:lineRule="auto"/>
              <w:rPr>
                <w:sz w:val="12"/>
                <w:szCs w:val="12"/>
              </w:rPr>
            </w:pPr>
            <w:r>
              <w:rPr>
                <w:sz w:val="12"/>
                <w:szCs w:val="12"/>
                <w:spacing w:val="-2"/>
              </w:rPr>
              <w:t>100ml/瓶</w:t>
            </w:r>
          </w:p>
        </w:tc>
        <w:tc>
          <w:tcPr>
            <w:tcW w:w="3146" w:type="dxa"/>
            <w:vAlign w:val="top"/>
            <w:tcBorders>
              <w:bottom w:val="single" w:color="000000" w:sz="2" w:space="0"/>
              <w:top w:val="single" w:color="000000" w:sz="2" w:space="0"/>
            </w:tcBorders>
          </w:tcPr>
          <w:p>
            <w:pPr>
              <w:pStyle w:val="TableText"/>
              <w:ind w:left="18" w:right="10"/>
              <w:spacing w:before="70" w:line="219" w:lineRule="auto"/>
              <w:rPr>
                <w:sz w:val="12"/>
                <w:szCs w:val="12"/>
              </w:rPr>
            </w:pPr>
            <w:r>
              <w:rPr>
                <w:sz w:val="12"/>
                <w:szCs w:val="12"/>
                <w:spacing w:val="-1"/>
              </w:rPr>
              <w:t>防治叶斑病、青霉病、炭疽病、灰霉病、黑星病、白粉病等</w:t>
            </w:r>
            <w:r>
              <w:rPr>
                <w:sz w:val="12"/>
                <w:szCs w:val="12"/>
                <w:spacing w:val="12"/>
              </w:rPr>
              <w:t xml:space="preserve"> </w:t>
            </w:r>
            <w:r>
              <w:rPr>
                <w:sz w:val="12"/>
                <w:szCs w:val="12"/>
                <w:spacing w:val="5"/>
              </w:rPr>
              <w:t>防治</w:t>
            </w:r>
          </w:p>
        </w:tc>
      </w:tr>
      <w:tr>
        <w:trPr>
          <w:trHeight w:val="44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3"/>
              <w:spacing w:before="161" w:line="219" w:lineRule="auto"/>
              <w:rPr>
                <w:sz w:val="12"/>
                <w:szCs w:val="12"/>
              </w:rPr>
            </w:pPr>
            <w:r>
              <w:rPr>
                <w:sz w:val="12"/>
                <w:szCs w:val="12"/>
                <w:spacing w:val="2"/>
              </w:rPr>
              <w:t>好靓(内硫多菌灵)</w:t>
            </w:r>
          </w:p>
        </w:tc>
        <w:tc>
          <w:tcPr>
            <w:tcW w:w="1389" w:type="dxa"/>
            <w:vAlign w:val="top"/>
            <w:tcBorders>
              <w:bottom w:val="single" w:color="000000" w:sz="2" w:space="0"/>
              <w:top w:val="single" w:color="000000" w:sz="2" w:space="0"/>
            </w:tcBorders>
          </w:tcPr>
          <w:p>
            <w:pPr>
              <w:pStyle w:val="TableText"/>
              <w:ind w:left="444"/>
              <w:spacing w:before="162" w:line="220" w:lineRule="auto"/>
              <w:rPr>
                <w:sz w:val="12"/>
                <w:szCs w:val="12"/>
              </w:rPr>
            </w:pPr>
            <w:r>
              <w:rPr>
                <w:sz w:val="12"/>
                <w:szCs w:val="12"/>
                <w:spacing w:val="-2"/>
              </w:rPr>
              <w:t>丙硫味唑</w:t>
            </w:r>
          </w:p>
        </w:tc>
        <w:tc>
          <w:tcPr>
            <w:tcW w:w="1349" w:type="dxa"/>
            <w:vAlign w:val="top"/>
            <w:tcBorders>
              <w:bottom w:val="single" w:color="000000" w:sz="2" w:space="0"/>
              <w:top w:val="single" w:color="000000" w:sz="2" w:space="0"/>
            </w:tcBorders>
          </w:tcPr>
          <w:p>
            <w:pPr>
              <w:pStyle w:val="TableText"/>
              <w:ind w:left="125"/>
              <w:spacing w:before="161" w:line="218" w:lineRule="auto"/>
              <w:rPr>
                <w:sz w:val="12"/>
                <w:szCs w:val="12"/>
              </w:rPr>
            </w:pPr>
            <w:r>
              <w:rPr>
                <w:sz w:val="12"/>
                <w:szCs w:val="12"/>
                <w:spacing w:val="-1"/>
              </w:rPr>
              <w:t>20%好假2000-3000倍</w:t>
            </w:r>
          </w:p>
        </w:tc>
        <w:tc>
          <w:tcPr>
            <w:tcW w:w="1249" w:type="dxa"/>
            <w:vAlign w:val="top"/>
            <w:vMerge w:val="continue"/>
            <w:tcBorders>
              <w:bottom w:val="single" w:color="000000" w:sz="2" w:space="0"/>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317"/>
              <w:spacing w:before="162" w:line="220" w:lineRule="auto"/>
              <w:rPr>
                <w:sz w:val="12"/>
                <w:szCs w:val="12"/>
              </w:rPr>
            </w:pPr>
            <w:r>
              <w:rPr>
                <w:sz w:val="12"/>
                <w:szCs w:val="12"/>
                <w:spacing w:val="-1"/>
              </w:rPr>
              <w:t>50z/装</w:t>
            </w:r>
          </w:p>
        </w:tc>
        <w:tc>
          <w:tcPr>
            <w:tcW w:w="3146" w:type="dxa"/>
            <w:vAlign w:val="top"/>
            <w:tcBorders>
              <w:bottom w:val="single" w:color="000000" w:sz="2" w:space="0"/>
              <w:top w:val="single" w:color="000000" w:sz="2" w:space="0"/>
            </w:tcBorders>
          </w:tcPr>
          <w:p>
            <w:pPr>
              <w:pStyle w:val="TableText"/>
              <w:ind w:left="18" w:right="2"/>
              <w:spacing w:before="32" w:line="206" w:lineRule="auto"/>
              <w:jc w:val="both"/>
              <w:rPr>
                <w:sz w:val="12"/>
                <w:szCs w:val="12"/>
              </w:rPr>
            </w:pPr>
            <w:r>
              <w:rPr>
                <w:sz w:val="12"/>
                <w:szCs w:val="12"/>
              </w:rPr>
              <w:t>广谱内吸性杀菌剂。可用于防治枯萎病、疫病</w:t>
            </w:r>
            <w:r>
              <w:rPr>
                <w:sz w:val="12"/>
                <w:szCs w:val="12"/>
                <w:spacing w:val="-1"/>
              </w:rPr>
              <w:t>、腐霉病、立</w:t>
            </w:r>
            <w:r>
              <w:rPr>
                <w:sz w:val="12"/>
                <w:szCs w:val="12"/>
              </w:rPr>
              <w:t xml:space="preserve"> </w:t>
            </w:r>
            <w:r>
              <w:rPr>
                <w:sz w:val="12"/>
                <w:szCs w:val="12"/>
              </w:rPr>
              <w:t>枯病、根腐病、茎腐病、猝倒病等多种病害</w:t>
            </w:r>
            <w:r>
              <w:rPr>
                <w:sz w:val="12"/>
                <w:szCs w:val="12"/>
                <w:spacing w:val="-1"/>
              </w:rPr>
              <w:t>。使用方法：灌</w:t>
            </w:r>
            <w:r>
              <w:rPr>
                <w:sz w:val="12"/>
                <w:szCs w:val="12"/>
              </w:rPr>
              <w:t xml:space="preserve"> </w:t>
            </w:r>
            <w:r>
              <w:rPr>
                <w:sz w:val="12"/>
                <w:szCs w:val="12"/>
                <w:spacing w:val="-1"/>
              </w:rPr>
              <w:t>根，喷雾</w:t>
            </w:r>
          </w:p>
        </w:tc>
      </w:tr>
      <w:tr>
        <w:trPr>
          <w:trHeight w:val="36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42" w:line="219" w:lineRule="auto"/>
              <w:rPr>
                <w:sz w:val="12"/>
                <w:szCs w:val="12"/>
              </w:rPr>
            </w:pPr>
            <w:r>
              <w:rPr>
                <w:sz w:val="12"/>
                <w:szCs w:val="12"/>
                <w:spacing w:val="1"/>
              </w:rPr>
              <w:t>国光三唑硐</w:t>
            </w:r>
          </w:p>
        </w:tc>
        <w:tc>
          <w:tcPr>
            <w:tcW w:w="1389" w:type="dxa"/>
            <w:vAlign w:val="top"/>
            <w:tcBorders>
              <w:bottom w:val="single" w:color="000000" w:sz="2" w:space="0"/>
              <w:top w:val="single" w:color="000000" w:sz="2" w:space="0"/>
            </w:tcBorders>
          </w:tcPr>
          <w:p>
            <w:pPr>
              <w:pStyle w:val="TableText"/>
              <w:ind w:left="414"/>
              <w:spacing w:before="143" w:line="221" w:lineRule="auto"/>
              <w:rPr>
                <w:sz w:val="12"/>
                <w:szCs w:val="12"/>
              </w:rPr>
            </w:pPr>
            <w:r>
              <w:rPr>
                <w:sz w:val="12"/>
                <w:szCs w:val="12"/>
                <w:spacing w:val="-1"/>
              </w:rPr>
              <w:t>20%三唑酮</w:t>
            </w:r>
          </w:p>
        </w:tc>
        <w:tc>
          <w:tcPr>
            <w:tcW w:w="1349" w:type="dxa"/>
            <w:vAlign w:val="top"/>
            <w:tcBorders>
              <w:bottom w:val="single" w:color="000000" w:sz="2" w:space="0"/>
              <w:top w:val="single" w:color="000000" w:sz="2" w:space="0"/>
            </w:tcBorders>
          </w:tcPr>
          <w:p>
            <w:pPr>
              <w:pStyle w:val="TableText"/>
              <w:ind w:left="215"/>
              <w:spacing w:before="142" w:line="219" w:lineRule="auto"/>
              <w:rPr>
                <w:sz w:val="12"/>
                <w:szCs w:val="12"/>
              </w:rPr>
            </w:pPr>
            <w:r>
              <w:rPr>
                <w:sz w:val="12"/>
                <w:szCs w:val="12"/>
                <w:spacing w:val="-1"/>
              </w:rPr>
              <w:t>稀释1500-2000倍</w:t>
            </w:r>
          </w:p>
        </w:tc>
        <w:tc>
          <w:tcPr>
            <w:tcW w:w="1249" w:type="dxa"/>
            <w:vAlign w:val="top"/>
            <w:tcBorders>
              <w:bottom w:val="single" w:color="000000" w:sz="2" w:space="0"/>
              <w:top w:val="single" w:color="000000" w:sz="2" w:space="0"/>
            </w:tcBorders>
          </w:tcPr>
          <w:p>
            <w:pPr>
              <w:pStyle w:val="TableText"/>
              <w:ind w:left="455" w:right="29" w:hanging="439"/>
              <w:spacing w:before="63" w:line="218" w:lineRule="auto"/>
              <w:rPr>
                <w:sz w:val="12"/>
                <w:szCs w:val="12"/>
              </w:rPr>
            </w:pPr>
            <w:r>
              <w:rPr>
                <w:sz w:val="12"/>
                <w:szCs w:val="12"/>
                <w:spacing w:val="-1"/>
              </w:rPr>
              <w:t>一般用2次，时间问隔7</w:t>
            </w:r>
            <w:r>
              <w:rPr>
                <w:sz w:val="12"/>
                <w:szCs w:val="12"/>
                <w:spacing w:val="3"/>
              </w:rPr>
              <w:t xml:space="preserve"> </w:t>
            </w:r>
            <w:r>
              <w:rPr>
                <w:sz w:val="12"/>
                <w:szCs w:val="12"/>
                <w:spacing w:val="-2"/>
              </w:rPr>
              <w:t>到10天</w:t>
            </w:r>
          </w:p>
        </w:tc>
        <w:tc>
          <w:tcPr>
            <w:tcW w:w="1009" w:type="dxa"/>
            <w:vAlign w:val="top"/>
            <w:tcBorders>
              <w:bottom w:val="single" w:color="000000" w:sz="2" w:space="0"/>
              <w:top w:val="single" w:color="000000" w:sz="2" w:space="0"/>
            </w:tcBorders>
          </w:tcPr>
          <w:p>
            <w:pPr>
              <w:pStyle w:val="TableText"/>
              <w:ind w:left="257"/>
              <w:spacing w:before="143" w:line="221" w:lineRule="auto"/>
              <w:rPr>
                <w:sz w:val="12"/>
                <w:szCs w:val="12"/>
              </w:rPr>
            </w:pPr>
            <w:r>
              <w:rPr>
                <w:sz w:val="12"/>
                <w:szCs w:val="12"/>
                <w:spacing w:val="-1"/>
              </w:rPr>
              <w:t>200ml/瓶</w:t>
            </w:r>
          </w:p>
        </w:tc>
        <w:tc>
          <w:tcPr>
            <w:tcW w:w="3146" w:type="dxa"/>
            <w:vAlign w:val="top"/>
            <w:tcBorders>
              <w:bottom w:val="single" w:color="000000" w:sz="2" w:space="0"/>
              <w:top w:val="single" w:color="000000" w:sz="2" w:space="0"/>
            </w:tcBorders>
          </w:tcPr>
          <w:p>
            <w:pPr>
              <w:pStyle w:val="TableText"/>
              <w:ind w:left="18"/>
              <w:spacing w:before="142" w:line="219" w:lineRule="auto"/>
              <w:rPr>
                <w:sz w:val="12"/>
                <w:szCs w:val="12"/>
              </w:rPr>
            </w:pPr>
            <w:r>
              <w:rPr>
                <w:sz w:val="12"/>
                <w:szCs w:val="12"/>
                <w:spacing w:val="-2"/>
              </w:rPr>
              <w:t>防治白粉病、锈病等</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93" w:line="219" w:lineRule="auto"/>
              <w:rPr>
                <w:sz w:val="12"/>
                <w:szCs w:val="12"/>
              </w:rPr>
            </w:pPr>
            <w:r>
              <w:rPr>
                <w:sz w:val="12"/>
                <w:szCs w:val="12"/>
                <w:spacing w:val="1"/>
              </w:rPr>
              <w:t>国光英纳</w:t>
            </w:r>
          </w:p>
        </w:tc>
        <w:tc>
          <w:tcPr>
            <w:tcW w:w="1389" w:type="dxa"/>
            <w:vAlign w:val="top"/>
            <w:tcBorders>
              <w:bottom w:val="single" w:color="000000" w:sz="2" w:space="0"/>
              <w:top w:val="single" w:color="000000" w:sz="2" w:space="0"/>
            </w:tcBorders>
          </w:tcPr>
          <w:p>
            <w:pPr>
              <w:pStyle w:val="TableText"/>
              <w:ind w:left="353"/>
              <w:spacing w:before="93" w:line="221" w:lineRule="auto"/>
              <w:rPr>
                <w:sz w:val="12"/>
                <w:szCs w:val="12"/>
              </w:rPr>
            </w:pPr>
            <w:r>
              <w:rPr>
                <w:sz w:val="12"/>
                <w:szCs w:val="12"/>
                <w:spacing w:val="-8"/>
              </w:rPr>
              <w:t>50%多</w:t>
            </w:r>
            <w:r>
              <w:rPr>
                <w:sz w:val="12"/>
                <w:szCs w:val="12"/>
                <w:spacing w:val="-13"/>
              </w:rPr>
              <w:t xml:space="preserve"> </w:t>
            </w:r>
            <w:r>
              <w:rPr>
                <w:sz w:val="12"/>
                <w:szCs w:val="12"/>
                <w:spacing w:val="-8"/>
              </w:rPr>
              <w:t>·锰锋</w:t>
            </w:r>
          </w:p>
        </w:tc>
        <w:tc>
          <w:tcPr>
            <w:tcW w:w="1349" w:type="dxa"/>
            <w:vAlign w:val="top"/>
            <w:tcBorders>
              <w:bottom w:val="single" w:color="000000" w:sz="2" w:space="0"/>
              <w:top w:val="single" w:color="000000" w:sz="2" w:space="0"/>
            </w:tcBorders>
          </w:tcPr>
          <w:p>
            <w:pPr>
              <w:pStyle w:val="TableText"/>
              <w:ind w:left="215"/>
              <w:spacing w:before="93" w:line="219" w:lineRule="auto"/>
              <w:rPr>
                <w:sz w:val="12"/>
                <w:szCs w:val="12"/>
              </w:rPr>
            </w:pPr>
            <w:r>
              <w:rPr>
                <w:sz w:val="12"/>
                <w:szCs w:val="12"/>
                <w:spacing w:val="-1"/>
              </w:rPr>
              <w:t>稀释400-600倍液</w:t>
            </w:r>
          </w:p>
        </w:tc>
        <w:tc>
          <w:tcPr>
            <w:tcW w:w="1249" w:type="dxa"/>
            <w:vAlign w:val="top"/>
            <w:vMerge w:val="restart"/>
            <w:tcBorders>
              <w:bottom w:val="nil"/>
              <w:top w:val="single" w:color="000000" w:sz="2" w:space="0"/>
            </w:tcBorders>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6"/>
              <w:spacing w:before="39" w:line="219" w:lineRule="auto"/>
              <w:rPr>
                <w:sz w:val="12"/>
                <w:szCs w:val="12"/>
              </w:rPr>
            </w:pPr>
            <w:r>
              <w:rPr>
                <w:sz w:val="12"/>
                <w:szCs w:val="12"/>
                <w:spacing w:val="-1"/>
              </w:rPr>
              <w:t>一般用3次，时间间隔7</w:t>
            </w:r>
          </w:p>
          <w:p>
            <w:pPr>
              <w:pStyle w:val="TableText"/>
              <w:ind w:left="446"/>
              <w:spacing w:before="7" w:line="220" w:lineRule="auto"/>
              <w:rPr>
                <w:sz w:val="12"/>
                <w:szCs w:val="12"/>
              </w:rPr>
            </w:pPr>
            <w:r>
              <w:rPr>
                <w:sz w:val="12"/>
                <w:szCs w:val="12"/>
                <w:spacing w:val="-2"/>
              </w:rPr>
              <w:t>到10天</w:t>
            </w:r>
          </w:p>
        </w:tc>
        <w:tc>
          <w:tcPr>
            <w:tcW w:w="1009" w:type="dxa"/>
            <w:vAlign w:val="top"/>
            <w:tcBorders>
              <w:bottom w:val="single" w:color="000000" w:sz="2" w:space="0"/>
              <w:top w:val="single" w:color="000000" w:sz="2" w:space="0"/>
            </w:tcBorders>
          </w:tcPr>
          <w:p>
            <w:pPr>
              <w:pStyle w:val="TableText"/>
              <w:ind w:left="287"/>
              <w:spacing w:before="89" w:line="213" w:lineRule="auto"/>
              <w:rPr>
                <w:sz w:val="12"/>
                <w:szCs w:val="12"/>
              </w:rPr>
            </w:pPr>
            <w:r>
              <w:rPr>
                <w:sz w:val="12"/>
                <w:szCs w:val="12"/>
                <w:spacing w:val="-1"/>
              </w:rPr>
              <w:t>500g/袋</w:t>
            </w:r>
          </w:p>
        </w:tc>
        <w:tc>
          <w:tcPr>
            <w:tcW w:w="3146" w:type="dxa"/>
            <w:vAlign w:val="top"/>
            <w:tcBorders>
              <w:bottom w:val="single" w:color="000000" w:sz="2" w:space="0"/>
              <w:top w:val="single" w:color="000000" w:sz="2" w:space="0"/>
            </w:tcBorders>
          </w:tcPr>
          <w:p>
            <w:pPr>
              <w:pStyle w:val="TableText"/>
              <w:ind w:left="18"/>
              <w:spacing w:before="93" w:line="219" w:lineRule="auto"/>
              <w:rPr>
                <w:sz w:val="12"/>
                <w:szCs w:val="12"/>
              </w:rPr>
            </w:pPr>
            <w:r>
              <w:rPr>
                <w:sz w:val="12"/>
                <w:szCs w:val="12"/>
                <w:spacing w:val="-1"/>
              </w:rPr>
              <w:t>治苗木、行道树，绿植及花卉的叶斑病，炭痘病等</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93" w:line="219" w:lineRule="auto"/>
              <w:rPr>
                <w:sz w:val="12"/>
                <w:szCs w:val="12"/>
              </w:rPr>
            </w:pPr>
            <w:r>
              <w:rPr>
                <w:sz w:val="12"/>
                <w:szCs w:val="12"/>
                <w:spacing w:val="1"/>
              </w:rPr>
              <w:t>国光必鲜</w:t>
            </w:r>
          </w:p>
        </w:tc>
        <w:tc>
          <w:tcPr>
            <w:tcW w:w="1389" w:type="dxa"/>
            <w:vAlign w:val="top"/>
            <w:tcBorders>
              <w:bottom w:val="single" w:color="000000" w:sz="2" w:space="0"/>
              <w:top w:val="single" w:color="000000" w:sz="2" w:space="0"/>
            </w:tcBorders>
          </w:tcPr>
          <w:p>
            <w:pPr>
              <w:pStyle w:val="TableText"/>
              <w:ind w:left="414"/>
              <w:spacing w:before="93" w:line="220" w:lineRule="auto"/>
              <w:rPr>
                <w:sz w:val="12"/>
                <w:szCs w:val="12"/>
              </w:rPr>
            </w:pPr>
            <w:r>
              <w:rPr>
                <w:sz w:val="12"/>
                <w:szCs w:val="12"/>
                <w:spacing w:val="-1"/>
              </w:rPr>
              <w:t>25M咪鲜胺</w:t>
            </w:r>
          </w:p>
        </w:tc>
        <w:tc>
          <w:tcPr>
            <w:tcW w:w="1349" w:type="dxa"/>
            <w:vAlign w:val="top"/>
            <w:tcBorders>
              <w:bottom w:val="single" w:color="000000" w:sz="2" w:space="0"/>
              <w:top w:val="single" w:color="000000" w:sz="2" w:space="0"/>
            </w:tcBorders>
          </w:tcPr>
          <w:p>
            <w:pPr>
              <w:pStyle w:val="TableText"/>
              <w:ind w:left="215"/>
              <w:spacing w:before="93" w:line="219" w:lineRule="auto"/>
              <w:rPr>
                <w:sz w:val="12"/>
                <w:szCs w:val="12"/>
              </w:rPr>
            </w:pPr>
            <w:r>
              <w:rPr>
                <w:sz w:val="12"/>
                <w:szCs w:val="12"/>
                <w:spacing w:val="-1"/>
              </w:rPr>
              <w:t>稀释500-600倍液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57"/>
              <w:spacing w:before="93" w:line="221" w:lineRule="auto"/>
              <w:rPr>
                <w:sz w:val="12"/>
                <w:szCs w:val="12"/>
              </w:rPr>
            </w:pPr>
            <w:r>
              <w:rPr>
                <w:sz w:val="12"/>
                <w:szCs w:val="12"/>
                <w:spacing w:val="-1"/>
              </w:rPr>
              <w:t>200ml/瓶</w:t>
            </w:r>
          </w:p>
        </w:tc>
        <w:tc>
          <w:tcPr>
            <w:tcW w:w="3146" w:type="dxa"/>
            <w:vAlign w:val="top"/>
            <w:tcBorders>
              <w:bottom w:val="single" w:color="000000" w:sz="2" w:space="0"/>
              <w:top w:val="single" w:color="000000" w:sz="2" w:space="0"/>
            </w:tcBorders>
          </w:tcPr>
          <w:p>
            <w:pPr>
              <w:pStyle w:val="TableText"/>
              <w:ind w:left="18"/>
              <w:spacing w:before="13" w:line="210" w:lineRule="auto"/>
              <w:rPr>
                <w:sz w:val="12"/>
                <w:szCs w:val="12"/>
              </w:rPr>
            </w:pPr>
            <w:r>
              <w:rPr>
                <w:sz w:val="12"/>
                <w:szCs w:val="12"/>
              </w:rPr>
              <w:t>防治花卉苗木炭疽病，叶斑病、叶枯病，草坪枯萎</w:t>
            </w:r>
            <w:r>
              <w:rPr>
                <w:sz w:val="12"/>
                <w:szCs w:val="12"/>
                <w:spacing w:val="-1"/>
              </w:rPr>
              <w:t>病等多种</w:t>
            </w:r>
            <w:r>
              <w:rPr>
                <w:sz w:val="12"/>
                <w:szCs w:val="12"/>
              </w:rPr>
              <w:t xml:space="preserve"> </w:t>
            </w:r>
            <w:r>
              <w:rPr>
                <w:sz w:val="12"/>
                <w:szCs w:val="12"/>
                <w:spacing w:val="-2"/>
              </w:rPr>
              <w:t>病害</w:t>
            </w:r>
          </w:p>
        </w:tc>
      </w:tr>
      <w:tr>
        <w:trPr>
          <w:trHeight w:val="28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82" w:line="219" w:lineRule="auto"/>
              <w:rPr>
                <w:sz w:val="12"/>
                <w:szCs w:val="12"/>
              </w:rPr>
            </w:pPr>
            <w:r>
              <w:rPr>
                <w:sz w:val="12"/>
                <w:szCs w:val="12"/>
                <w:spacing w:val="-2"/>
              </w:rPr>
              <w:t>阿西米达悬浮液</w:t>
            </w:r>
          </w:p>
        </w:tc>
        <w:tc>
          <w:tcPr>
            <w:tcW w:w="1389" w:type="dxa"/>
            <w:vAlign w:val="top"/>
            <w:tcBorders>
              <w:bottom w:val="single" w:color="000000" w:sz="2" w:space="0"/>
              <w:top w:val="single" w:color="000000" w:sz="2" w:space="0"/>
            </w:tcBorders>
          </w:tcPr>
          <w:p>
            <w:pPr>
              <w:pStyle w:val="TableText"/>
              <w:ind w:left="504"/>
              <w:spacing w:before="82" w:line="219" w:lineRule="auto"/>
              <w:rPr>
                <w:sz w:val="12"/>
                <w:szCs w:val="12"/>
              </w:rPr>
            </w:pPr>
            <w:r>
              <w:rPr>
                <w:sz w:val="12"/>
                <w:szCs w:val="12"/>
                <w:spacing w:val="-3"/>
              </w:rPr>
              <w:t>嘧菌酯</w:t>
            </w:r>
          </w:p>
        </w:tc>
        <w:tc>
          <w:tcPr>
            <w:tcW w:w="1349" w:type="dxa"/>
            <w:vAlign w:val="top"/>
            <w:tcBorders>
              <w:bottom w:val="single" w:color="000000" w:sz="2" w:space="0"/>
              <w:top w:val="single" w:color="000000" w:sz="2" w:space="0"/>
            </w:tcBorders>
          </w:tcPr>
          <w:p>
            <w:pPr>
              <w:pStyle w:val="TableText"/>
              <w:ind w:left="125"/>
              <w:spacing w:before="12" w:line="201" w:lineRule="auto"/>
              <w:rPr>
                <w:sz w:val="12"/>
                <w:szCs w:val="12"/>
              </w:rPr>
            </w:pPr>
            <w:r>
              <w:rPr>
                <w:sz w:val="12"/>
                <w:szCs w:val="12"/>
                <w:spacing w:val="-1"/>
              </w:rPr>
              <w:t>25%月西米达悬浮液1</w:t>
            </w:r>
          </w:p>
          <w:p>
            <w:pPr>
              <w:pStyle w:val="TableText"/>
              <w:ind w:left="305"/>
              <w:spacing w:line="202" w:lineRule="auto"/>
              <w:rPr>
                <w:sz w:val="12"/>
                <w:szCs w:val="12"/>
              </w:rPr>
            </w:pPr>
            <w:r>
              <w:rPr>
                <w:sz w:val="12"/>
                <w:szCs w:val="12"/>
                <w:spacing w:val="-1"/>
              </w:rPr>
              <w:t>200-1500倍液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347"/>
              <w:spacing w:before="83" w:line="221" w:lineRule="auto"/>
              <w:rPr>
                <w:sz w:val="12"/>
                <w:szCs w:val="12"/>
              </w:rPr>
            </w:pPr>
            <w:r>
              <w:rPr>
                <w:sz w:val="12"/>
                <w:szCs w:val="12"/>
                <w:spacing w:val="-3"/>
              </w:rPr>
              <w:t>11/瓶</w:t>
            </w:r>
          </w:p>
        </w:tc>
        <w:tc>
          <w:tcPr>
            <w:tcW w:w="3146" w:type="dxa"/>
            <w:vAlign w:val="top"/>
            <w:tcBorders>
              <w:bottom w:val="single" w:color="000000" w:sz="2" w:space="0"/>
              <w:top w:val="single" w:color="000000" w:sz="2" w:space="0"/>
            </w:tcBorders>
          </w:tcPr>
          <w:p>
            <w:pPr>
              <w:pStyle w:val="TableText"/>
              <w:ind w:left="18"/>
              <w:spacing w:before="82" w:line="219" w:lineRule="auto"/>
              <w:rPr>
                <w:sz w:val="12"/>
                <w:szCs w:val="12"/>
              </w:rPr>
            </w:pPr>
            <w:r>
              <w:rPr>
                <w:sz w:val="12"/>
                <w:szCs w:val="12"/>
                <w:spacing w:val="-1"/>
              </w:rPr>
              <w:t>广谱杀菌，对四大类致病真菌，天然低毒安全无公害</w:t>
            </w:r>
          </w:p>
        </w:tc>
      </w:tr>
      <w:tr>
        <w:trPr>
          <w:trHeight w:val="28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82" w:line="219" w:lineRule="auto"/>
              <w:rPr>
                <w:sz w:val="12"/>
                <w:szCs w:val="12"/>
              </w:rPr>
            </w:pPr>
            <w:r>
              <w:rPr>
                <w:sz w:val="12"/>
                <w:szCs w:val="12"/>
                <w:spacing w:val="-1"/>
              </w:rPr>
              <w:t>诺普信安玛</w:t>
            </w:r>
          </w:p>
        </w:tc>
        <w:tc>
          <w:tcPr>
            <w:tcW w:w="1389" w:type="dxa"/>
            <w:vAlign w:val="top"/>
            <w:tcBorders>
              <w:bottom w:val="single" w:color="000000" w:sz="2" w:space="0"/>
              <w:top w:val="single" w:color="000000" w:sz="2" w:space="0"/>
            </w:tcBorders>
          </w:tcPr>
          <w:p>
            <w:pPr>
              <w:pStyle w:val="TableText"/>
              <w:ind w:left="353"/>
              <w:spacing w:before="83" w:line="220" w:lineRule="auto"/>
              <w:rPr>
                <w:sz w:val="12"/>
                <w:szCs w:val="12"/>
              </w:rPr>
            </w:pPr>
            <w:r>
              <w:rPr>
                <w:sz w:val="12"/>
                <w:szCs w:val="12"/>
                <w:spacing w:val="-1"/>
              </w:rPr>
              <w:t>炳敞吗啉50%</w:t>
            </w:r>
          </w:p>
        </w:tc>
        <w:tc>
          <w:tcPr>
            <w:tcW w:w="1349" w:type="dxa"/>
            <w:vAlign w:val="top"/>
            <w:tcBorders>
              <w:bottom w:val="single" w:color="000000" w:sz="2" w:space="0"/>
              <w:top w:val="single" w:color="000000" w:sz="2" w:space="0"/>
            </w:tcBorders>
          </w:tcPr>
          <w:p>
            <w:pPr>
              <w:pStyle w:val="TableText"/>
              <w:ind w:left="155"/>
              <w:spacing w:before="82" w:line="219" w:lineRule="auto"/>
              <w:rPr>
                <w:sz w:val="12"/>
                <w:szCs w:val="12"/>
              </w:rPr>
            </w:pPr>
            <w:r>
              <w:rPr>
                <w:sz w:val="12"/>
                <w:szCs w:val="12"/>
                <w:spacing w:val="-1"/>
              </w:rPr>
              <w:t>稀释1000-1200倍液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57"/>
              <w:spacing w:before="84" w:line="222" w:lineRule="auto"/>
              <w:rPr>
                <w:sz w:val="12"/>
                <w:szCs w:val="12"/>
              </w:rPr>
            </w:pPr>
            <w:r>
              <w:rPr>
                <w:sz w:val="12"/>
                <w:szCs w:val="12"/>
                <w:spacing w:val="3"/>
              </w:rPr>
              <w:t>(40z/袋)</w:t>
            </w:r>
          </w:p>
        </w:tc>
        <w:tc>
          <w:tcPr>
            <w:tcW w:w="3146" w:type="dxa"/>
            <w:vAlign w:val="top"/>
            <w:tcBorders>
              <w:bottom w:val="single" w:color="000000" w:sz="2" w:space="0"/>
              <w:top w:val="single" w:color="000000" w:sz="2" w:space="0"/>
            </w:tcBorders>
          </w:tcPr>
          <w:p>
            <w:pPr>
              <w:pStyle w:val="TableText"/>
              <w:ind w:left="18" w:right="123"/>
              <w:spacing w:before="12" w:line="202" w:lineRule="auto"/>
              <w:rPr>
                <w:sz w:val="12"/>
                <w:szCs w:val="12"/>
              </w:rPr>
            </w:pPr>
            <w:r>
              <w:rPr>
                <w:sz w:val="12"/>
                <w:szCs w:val="12"/>
              </w:rPr>
              <w:t>专治花卉苗木霜霉、白胡病，高温高涅霜疫腐</w:t>
            </w:r>
            <w:r>
              <w:rPr>
                <w:sz w:val="12"/>
                <w:szCs w:val="12"/>
                <w:spacing w:val="-1"/>
              </w:rPr>
              <w:t>烂，1000一</w:t>
            </w:r>
            <w:r>
              <w:rPr>
                <w:sz w:val="12"/>
                <w:szCs w:val="12"/>
              </w:rPr>
              <w:t xml:space="preserve"> </w:t>
            </w:r>
            <w:r>
              <w:rPr>
                <w:sz w:val="12"/>
                <w:szCs w:val="12"/>
                <w:spacing w:val="-2"/>
              </w:rPr>
              <w:t>1500倍</w:t>
            </w:r>
          </w:p>
        </w:tc>
      </w:tr>
      <w:tr>
        <w:trPr>
          <w:trHeight w:val="29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92" w:line="219" w:lineRule="auto"/>
              <w:rPr>
                <w:sz w:val="12"/>
                <w:szCs w:val="12"/>
              </w:rPr>
            </w:pPr>
            <w:r>
              <w:rPr>
                <w:sz w:val="12"/>
                <w:szCs w:val="12"/>
                <w:spacing w:val="-1"/>
              </w:rPr>
              <w:t>诺普信双通</w:t>
            </w:r>
          </w:p>
        </w:tc>
        <w:tc>
          <w:tcPr>
            <w:tcW w:w="1389" w:type="dxa"/>
            <w:vAlign w:val="top"/>
            <w:tcBorders>
              <w:bottom w:val="single" w:color="000000" w:sz="2" w:space="0"/>
              <w:top w:val="single" w:color="000000" w:sz="2" w:space="0"/>
            </w:tcBorders>
          </w:tcPr>
          <w:p>
            <w:pPr>
              <w:pStyle w:val="TableText"/>
              <w:ind w:left="233"/>
              <w:spacing w:before="92" w:line="220" w:lineRule="auto"/>
              <w:rPr>
                <w:sz w:val="12"/>
                <w:szCs w:val="12"/>
              </w:rPr>
            </w:pPr>
            <w:r>
              <w:rPr>
                <w:sz w:val="12"/>
                <w:szCs w:val="12"/>
                <w:spacing w:val="-6"/>
              </w:rPr>
              <w:t>硫碛</w:t>
            </w:r>
            <w:r>
              <w:rPr>
                <w:sz w:val="12"/>
                <w:szCs w:val="12"/>
                <w:spacing w:val="-12"/>
              </w:rPr>
              <w:t xml:space="preserve"> </w:t>
            </w:r>
            <w:r>
              <w:rPr>
                <w:sz w:val="12"/>
                <w:szCs w:val="12"/>
                <w:spacing w:val="-6"/>
              </w:rPr>
              <w:t>·三唑酮45%</w:t>
            </w:r>
          </w:p>
        </w:tc>
        <w:tc>
          <w:tcPr>
            <w:tcW w:w="1349" w:type="dxa"/>
            <w:vAlign w:val="top"/>
            <w:tcBorders>
              <w:bottom w:val="single" w:color="000000" w:sz="2" w:space="0"/>
              <w:top w:val="single" w:color="000000" w:sz="2" w:space="0"/>
            </w:tcBorders>
          </w:tcPr>
          <w:p>
            <w:pPr>
              <w:pStyle w:val="TableText"/>
              <w:ind w:left="364"/>
              <w:spacing w:before="92" w:line="220" w:lineRule="auto"/>
              <w:rPr>
                <w:sz w:val="12"/>
                <w:szCs w:val="12"/>
              </w:rPr>
            </w:pPr>
            <w:r>
              <w:rPr>
                <w:sz w:val="12"/>
                <w:szCs w:val="12"/>
                <w:spacing w:val="-6"/>
              </w:rPr>
              <w:t>800—1000倍</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57"/>
              <w:spacing w:before="93" w:line="221" w:lineRule="auto"/>
              <w:rPr>
                <w:sz w:val="12"/>
                <w:szCs w:val="12"/>
              </w:rPr>
            </w:pPr>
            <w:r>
              <w:rPr>
                <w:sz w:val="12"/>
                <w:szCs w:val="12"/>
                <w:spacing w:val="-1"/>
              </w:rPr>
              <w:t>400ml/瓶</w:t>
            </w:r>
          </w:p>
        </w:tc>
        <w:tc>
          <w:tcPr>
            <w:tcW w:w="3146" w:type="dxa"/>
            <w:vAlign w:val="top"/>
            <w:tcBorders>
              <w:bottom w:val="single" w:color="000000" w:sz="2" w:space="0"/>
              <w:top w:val="single" w:color="000000" w:sz="2" w:space="0"/>
            </w:tcBorders>
          </w:tcPr>
          <w:p>
            <w:pPr>
              <w:pStyle w:val="TableText"/>
              <w:ind w:left="18"/>
              <w:spacing w:before="92" w:line="219" w:lineRule="auto"/>
              <w:rPr>
                <w:sz w:val="12"/>
                <w:szCs w:val="12"/>
              </w:rPr>
            </w:pPr>
            <w:r>
              <w:rPr>
                <w:sz w:val="12"/>
                <w:szCs w:val="12"/>
                <w:spacing w:val="-1"/>
              </w:rPr>
              <w:t>针对白粉病、锈病防效好，有内吸作用</w:t>
            </w:r>
          </w:p>
        </w:tc>
      </w:tr>
      <w:tr>
        <w:trPr>
          <w:trHeight w:val="28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43"/>
              <w:spacing w:before="82" w:line="219" w:lineRule="auto"/>
              <w:rPr>
                <w:sz w:val="12"/>
                <w:szCs w:val="12"/>
              </w:rPr>
            </w:pPr>
            <w:r>
              <w:rPr>
                <w:sz w:val="12"/>
                <w:szCs w:val="12"/>
                <w:spacing w:val="-1"/>
              </w:rPr>
              <w:t>50%国光多菌灵</w:t>
            </w:r>
          </w:p>
        </w:tc>
        <w:tc>
          <w:tcPr>
            <w:tcW w:w="1389" w:type="dxa"/>
            <w:vAlign w:val="top"/>
            <w:tcBorders>
              <w:bottom w:val="single" w:color="000000" w:sz="2" w:space="0"/>
              <w:top w:val="single" w:color="000000" w:sz="2" w:space="0"/>
            </w:tcBorders>
          </w:tcPr>
          <w:p>
            <w:pPr>
              <w:pStyle w:val="TableText"/>
              <w:ind w:left="414"/>
              <w:spacing w:before="82" w:line="219" w:lineRule="auto"/>
              <w:rPr>
                <w:sz w:val="12"/>
                <w:szCs w:val="12"/>
              </w:rPr>
            </w:pPr>
            <w:r>
              <w:rPr>
                <w:sz w:val="12"/>
                <w:szCs w:val="12"/>
                <w:spacing w:val="-1"/>
              </w:rPr>
              <w:t>50%多菌灵</w:t>
            </w:r>
          </w:p>
        </w:tc>
        <w:tc>
          <w:tcPr>
            <w:tcW w:w="1349" w:type="dxa"/>
            <w:vAlign w:val="top"/>
            <w:tcBorders>
              <w:bottom w:val="single" w:color="000000" w:sz="2" w:space="0"/>
              <w:top w:val="single" w:color="000000" w:sz="2" w:space="0"/>
            </w:tcBorders>
          </w:tcPr>
          <w:p>
            <w:pPr>
              <w:pStyle w:val="TableText"/>
              <w:ind w:left="185"/>
              <w:spacing w:before="82" w:line="219" w:lineRule="auto"/>
              <w:rPr>
                <w:sz w:val="12"/>
                <w:szCs w:val="12"/>
              </w:rPr>
            </w:pPr>
            <w:r>
              <w:rPr>
                <w:sz w:val="12"/>
                <w:szCs w:val="12"/>
                <w:spacing w:val="-1"/>
              </w:rPr>
              <w:t>稀释600-1000倍液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27"/>
              <w:spacing w:before="78" w:line="213" w:lineRule="auto"/>
              <w:rPr>
                <w:sz w:val="12"/>
                <w:szCs w:val="12"/>
              </w:rPr>
            </w:pPr>
            <w:r>
              <w:rPr>
                <w:sz w:val="12"/>
                <w:szCs w:val="12"/>
                <w:spacing w:val="3"/>
              </w:rPr>
              <w:t>(100g/袋)</w:t>
            </w:r>
          </w:p>
        </w:tc>
        <w:tc>
          <w:tcPr>
            <w:tcW w:w="3146" w:type="dxa"/>
            <w:vAlign w:val="top"/>
            <w:tcBorders>
              <w:bottom w:val="single" w:color="000000" w:sz="2" w:space="0"/>
              <w:top w:val="single" w:color="000000" w:sz="2" w:space="0"/>
            </w:tcBorders>
          </w:tcPr>
          <w:p>
            <w:pPr>
              <w:pStyle w:val="TableText"/>
              <w:ind w:left="18"/>
              <w:spacing w:before="82" w:line="218" w:lineRule="auto"/>
              <w:rPr>
                <w:sz w:val="12"/>
                <w:szCs w:val="12"/>
              </w:rPr>
            </w:pPr>
            <w:r>
              <w:rPr>
                <w:sz w:val="12"/>
                <w:szCs w:val="12"/>
                <w:spacing w:val="-1"/>
              </w:rPr>
              <w:t>广谱性杀菌剂</w:t>
            </w:r>
          </w:p>
        </w:tc>
      </w:tr>
      <w:tr>
        <w:trPr>
          <w:trHeight w:val="28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82" w:line="219" w:lineRule="auto"/>
              <w:rPr>
                <w:sz w:val="12"/>
                <w:szCs w:val="12"/>
              </w:rPr>
            </w:pPr>
            <w:r>
              <w:rPr>
                <w:sz w:val="12"/>
                <w:szCs w:val="12"/>
                <w:spacing w:val="1"/>
              </w:rPr>
              <w:t>国光甲基硫菌灵</w:t>
            </w:r>
          </w:p>
        </w:tc>
        <w:tc>
          <w:tcPr>
            <w:tcW w:w="1389" w:type="dxa"/>
            <w:vAlign w:val="top"/>
            <w:tcBorders>
              <w:bottom w:val="single" w:color="000000" w:sz="2" w:space="0"/>
              <w:top w:val="single" w:color="000000" w:sz="2" w:space="0"/>
            </w:tcBorders>
          </w:tcPr>
          <w:p>
            <w:pPr>
              <w:pStyle w:val="TableText"/>
              <w:ind w:left="293"/>
              <w:spacing w:before="82" w:line="219" w:lineRule="auto"/>
              <w:rPr>
                <w:sz w:val="12"/>
                <w:szCs w:val="12"/>
              </w:rPr>
            </w:pPr>
            <w:r>
              <w:rPr>
                <w:sz w:val="12"/>
                <w:szCs w:val="12"/>
                <w:spacing w:val="-1"/>
              </w:rPr>
              <w:t>70%甲基硫菌灵</w:t>
            </w:r>
          </w:p>
        </w:tc>
        <w:tc>
          <w:tcPr>
            <w:tcW w:w="1349" w:type="dxa"/>
            <w:vAlign w:val="top"/>
            <w:tcBorders>
              <w:bottom w:val="single" w:color="000000" w:sz="2" w:space="0"/>
              <w:top w:val="single" w:color="000000" w:sz="2" w:space="0"/>
            </w:tcBorders>
          </w:tcPr>
          <w:p>
            <w:pPr>
              <w:pStyle w:val="TableText"/>
              <w:ind w:left="185"/>
              <w:spacing w:before="82" w:line="219" w:lineRule="auto"/>
              <w:rPr>
                <w:sz w:val="12"/>
                <w:szCs w:val="12"/>
              </w:rPr>
            </w:pPr>
            <w:r>
              <w:rPr>
                <w:sz w:val="12"/>
                <w:szCs w:val="12"/>
                <w:spacing w:val="-1"/>
              </w:rPr>
              <w:t>稀释600-1000倍液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317"/>
              <w:spacing w:before="78" w:line="213" w:lineRule="auto"/>
              <w:rPr>
                <w:sz w:val="12"/>
                <w:szCs w:val="12"/>
              </w:rPr>
            </w:pPr>
            <w:r>
              <w:rPr>
                <w:sz w:val="12"/>
                <w:szCs w:val="12"/>
                <w:spacing w:val="-1"/>
              </w:rPr>
              <w:t>Jkg/袋</w:t>
            </w:r>
          </w:p>
        </w:tc>
        <w:tc>
          <w:tcPr>
            <w:tcW w:w="3146" w:type="dxa"/>
            <w:vAlign w:val="top"/>
            <w:tcBorders>
              <w:bottom w:val="single" w:color="000000" w:sz="2" w:space="0"/>
              <w:top w:val="single" w:color="000000" w:sz="2" w:space="0"/>
            </w:tcBorders>
          </w:tcPr>
          <w:p>
            <w:pPr>
              <w:pStyle w:val="TableText"/>
              <w:ind w:left="18"/>
              <w:spacing w:before="82" w:line="218" w:lineRule="auto"/>
              <w:rPr>
                <w:sz w:val="12"/>
                <w:szCs w:val="12"/>
              </w:rPr>
            </w:pPr>
            <w:r>
              <w:rPr>
                <w:sz w:val="12"/>
                <w:szCs w:val="12"/>
              </w:rPr>
              <w:t>内吸、广谱高效杀菌剂</w:t>
            </w:r>
          </w:p>
        </w:tc>
      </w:tr>
      <w:tr>
        <w:trPr>
          <w:trHeight w:val="28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03"/>
              <w:spacing w:before="82" w:line="219" w:lineRule="auto"/>
              <w:rPr>
                <w:sz w:val="12"/>
                <w:szCs w:val="12"/>
              </w:rPr>
            </w:pPr>
            <w:r>
              <w:rPr>
                <w:sz w:val="12"/>
                <w:szCs w:val="12"/>
                <w:spacing w:val="-1"/>
              </w:rPr>
              <w:t>70%代森锰锌</w:t>
            </w:r>
          </w:p>
        </w:tc>
        <w:tc>
          <w:tcPr>
            <w:tcW w:w="1389" w:type="dxa"/>
            <w:vAlign w:val="top"/>
            <w:tcBorders>
              <w:bottom w:val="single" w:color="000000" w:sz="2" w:space="0"/>
              <w:top w:val="single" w:color="000000" w:sz="2" w:space="0"/>
            </w:tcBorders>
          </w:tcPr>
          <w:p>
            <w:pPr>
              <w:pStyle w:val="TableText"/>
              <w:ind w:left="353"/>
              <w:spacing w:before="82" w:line="219" w:lineRule="auto"/>
              <w:rPr>
                <w:sz w:val="12"/>
                <w:szCs w:val="12"/>
              </w:rPr>
            </w:pPr>
            <w:r>
              <w:rPr>
                <w:sz w:val="12"/>
                <w:szCs w:val="12"/>
                <w:spacing w:val="-1"/>
              </w:rPr>
              <w:t>70%代森锰锌</w:t>
            </w:r>
          </w:p>
        </w:tc>
        <w:tc>
          <w:tcPr>
            <w:tcW w:w="1349" w:type="dxa"/>
            <w:vAlign w:val="top"/>
            <w:tcBorders>
              <w:bottom w:val="single" w:color="000000" w:sz="2" w:space="0"/>
              <w:top w:val="single" w:color="000000" w:sz="2" w:space="0"/>
            </w:tcBorders>
          </w:tcPr>
          <w:p>
            <w:pPr>
              <w:pStyle w:val="TableText"/>
              <w:ind w:left="285"/>
              <w:spacing w:before="82" w:line="219" w:lineRule="auto"/>
              <w:rPr>
                <w:sz w:val="12"/>
                <w:szCs w:val="12"/>
              </w:rPr>
            </w:pPr>
            <w:r>
              <w:rPr>
                <w:sz w:val="12"/>
                <w:szCs w:val="12"/>
                <w:spacing w:val="-1"/>
              </w:rPr>
              <w:t>稀释600-800倍液</w:t>
            </w:r>
          </w:p>
        </w:tc>
        <w:tc>
          <w:tcPr>
            <w:tcW w:w="1249" w:type="dxa"/>
            <w:vAlign w:val="top"/>
            <w:vMerge w:val="continue"/>
            <w:tcBorders>
              <w:bottom w:val="single" w:color="000000" w:sz="2" w:space="0"/>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287"/>
              <w:spacing w:before="78" w:line="213" w:lineRule="auto"/>
              <w:rPr>
                <w:sz w:val="12"/>
                <w:szCs w:val="12"/>
              </w:rPr>
            </w:pPr>
            <w:r>
              <w:rPr>
                <w:sz w:val="12"/>
                <w:szCs w:val="12"/>
                <w:spacing w:val="-1"/>
              </w:rPr>
              <w:t>500g/袋</w:t>
            </w:r>
          </w:p>
        </w:tc>
        <w:tc>
          <w:tcPr>
            <w:tcW w:w="3146" w:type="dxa"/>
            <w:vAlign w:val="top"/>
            <w:tcBorders>
              <w:bottom w:val="single" w:color="000000" w:sz="2" w:space="0"/>
              <w:top w:val="single" w:color="000000" w:sz="2" w:space="0"/>
            </w:tcBorders>
          </w:tcPr>
          <w:p>
            <w:pPr>
              <w:pStyle w:val="TableText"/>
              <w:ind w:left="18"/>
              <w:spacing w:before="81" w:line="218" w:lineRule="auto"/>
              <w:rPr>
                <w:sz w:val="12"/>
                <w:szCs w:val="12"/>
              </w:rPr>
            </w:pPr>
            <w:r>
              <w:rPr>
                <w:sz w:val="12"/>
                <w:szCs w:val="12"/>
                <w:spacing w:val="-1"/>
              </w:rPr>
              <w:t>保护性杀菌剂</w:t>
            </w:r>
          </w:p>
        </w:tc>
      </w:tr>
      <w:tr>
        <w:trPr>
          <w:trHeight w:val="50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191" w:line="219" w:lineRule="auto"/>
              <w:rPr>
                <w:sz w:val="12"/>
                <w:szCs w:val="12"/>
              </w:rPr>
            </w:pPr>
            <w:r>
              <w:rPr>
                <w:sz w:val="12"/>
                <w:szCs w:val="12"/>
                <w:spacing w:val="-1"/>
              </w:rPr>
              <w:t>普力克</w:t>
            </w:r>
          </w:p>
        </w:tc>
        <w:tc>
          <w:tcPr>
            <w:tcW w:w="1389" w:type="dxa"/>
            <w:vAlign w:val="top"/>
            <w:tcBorders>
              <w:bottom w:val="single" w:color="000000" w:sz="2" w:space="0"/>
              <w:top w:val="single" w:color="000000" w:sz="2" w:space="0"/>
            </w:tcBorders>
          </w:tcPr>
          <w:p>
            <w:pPr>
              <w:pStyle w:val="TableText"/>
              <w:ind w:left="353"/>
              <w:spacing w:before="191" w:line="219" w:lineRule="auto"/>
              <w:rPr>
                <w:sz w:val="12"/>
                <w:szCs w:val="12"/>
              </w:rPr>
            </w:pPr>
            <w:r>
              <w:rPr>
                <w:sz w:val="12"/>
                <w:szCs w:val="12"/>
                <w:spacing w:val="-1"/>
              </w:rPr>
              <w:t>72.2%丙酰枝</w:t>
            </w:r>
          </w:p>
        </w:tc>
        <w:tc>
          <w:tcPr>
            <w:tcW w:w="1349" w:type="dxa"/>
            <w:vAlign w:val="top"/>
            <w:tcBorders>
              <w:bottom w:val="single" w:color="000000" w:sz="2" w:space="0"/>
              <w:top w:val="single" w:color="000000" w:sz="2" w:space="0"/>
            </w:tcBorders>
          </w:tcPr>
          <w:p>
            <w:pPr>
              <w:pStyle w:val="TableText"/>
              <w:ind w:left="305"/>
              <w:spacing w:before="192" w:line="220" w:lineRule="auto"/>
              <w:rPr>
                <w:sz w:val="12"/>
                <w:szCs w:val="12"/>
              </w:rPr>
            </w:pPr>
            <w:r>
              <w:rPr>
                <w:sz w:val="12"/>
                <w:szCs w:val="12"/>
                <w:spacing w:val="-1"/>
              </w:rPr>
              <w:t>800-1000倍液</w:t>
            </w:r>
          </w:p>
        </w:tc>
        <w:tc>
          <w:tcPr>
            <w:tcW w:w="1249" w:type="dxa"/>
            <w:vAlign w:val="top"/>
            <w:tcBorders>
              <w:bottom w:val="single" w:color="000000" w:sz="2" w:space="0"/>
              <w:top w:val="single" w:color="000000" w:sz="2" w:space="0"/>
            </w:tcBorders>
          </w:tcPr>
          <w:p>
            <w:pPr>
              <w:pStyle w:val="TableText"/>
              <w:ind w:left="16"/>
              <w:spacing w:before="61" w:line="219" w:lineRule="auto"/>
              <w:rPr>
                <w:sz w:val="12"/>
                <w:szCs w:val="12"/>
              </w:rPr>
            </w:pPr>
            <w:r>
              <w:rPr>
                <w:sz w:val="12"/>
                <w:szCs w:val="12"/>
              </w:rPr>
              <w:t>10天一次，连续喷酒病</w:t>
            </w:r>
          </w:p>
          <w:p>
            <w:pPr>
              <w:pStyle w:val="TableText"/>
              <w:ind w:left="36"/>
              <w:spacing w:before="7" w:line="219" w:lineRule="auto"/>
              <w:rPr>
                <w:sz w:val="12"/>
                <w:szCs w:val="12"/>
              </w:rPr>
            </w:pPr>
            <w:r>
              <w:rPr>
                <w:sz w:val="12"/>
                <w:szCs w:val="12"/>
                <w:spacing w:val="-1"/>
              </w:rPr>
              <w:t>部勉面2-3次，喷药1小</w:t>
            </w:r>
          </w:p>
          <w:p>
            <w:pPr>
              <w:pStyle w:val="TableText"/>
              <w:ind w:left="156"/>
              <w:spacing w:before="7" w:line="204" w:lineRule="auto"/>
              <w:rPr>
                <w:sz w:val="12"/>
                <w:szCs w:val="12"/>
              </w:rPr>
            </w:pPr>
            <w:r>
              <w:rPr>
                <w:sz w:val="12"/>
                <w:szCs w:val="12"/>
                <w:spacing w:val="-2"/>
              </w:rPr>
              <w:t>时内遇雨，需重吮</w:t>
            </w:r>
          </w:p>
        </w:tc>
        <w:tc>
          <w:tcPr>
            <w:tcW w:w="1009" w:type="dxa"/>
            <w:vAlign w:val="top"/>
            <w:tcBorders>
              <w:bottom w:val="single" w:color="000000" w:sz="2" w:space="0"/>
              <w:top w:val="single" w:color="000000" w:sz="2" w:space="0"/>
            </w:tcBorders>
          </w:tcPr>
          <w:p>
            <w:pPr>
              <w:pStyle w:val="TableText"/>
              <w:ind w:left="257"/>
              <w:spacing w:before="192" w:line="221" w:lineRule="auto"/>
              <w:rPr>
                <w:sz w:val="12"/>
                <w:szCs w:val="12"/>
              </w:rPr>
            </w:pPr>
            <w:r>
              <w:rPr>
                <w:sz w:val="12"/>
                <w:szCs w:val="12"/>
                <w:spacing w:val="-2"/>
              </w:rPr>
              <w:t>100ml/瓶</w:t>
            </w:r>
          </w:p>
        </w:tc>
        <w:tc>
          <w:tcPr>
            <w:tcW w:w="3146" w:type="dxa"/>
            <w:vAlign w:val="top"/>
            <w:tcBorders>
              <w:bottom w:val="single" w:color="000000" w:sz="2" w:space="0"/>
              <w:top w:val="single" w:color="000000" w:sz="2" w:space="0"/>
            </w:tcBorders>
          </w:tcPr>
          <w:p>
            <w:pPr>
              <w:pStyle w:val="TableText"/>
              <w:ind w:left="18"/>
              <w:spacing w:before="191" w:line="219" w:lineRule="auto"/>
              <w:rPr>
                <w:sz w:val="12"/>
                <w:szCs w:val="12"/>
              </w:rPr>
            </w:pPr>
            <w:r>
              <w:rPr>
                <w:sz w:val="12"/>
                <w:szCs w:val="12"/>
                <w:spacing w:val="-1"/>
              </w:rPr>
              <w:t>对根腐病、霜霉病，立枯病、猝倒病有特效</w:t>
            </w:r>
          </w:p>
        </w:tc>
      </w:tr>
      <w:tr>
        <w:trPr>
          <w:trHeight w:val="33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112" w:line="219" w:lineRule="auto"/>
              <w:rPr>
                <w:sz w:val="12"/>
                <w:szCs w:val="12"/>
              </w:rPr>
            </w:pPr>
            <w:r>
              <w:rPr>
                <w:sz w:val="12"/>
                <w:szCs w:val="12"/>
                <w:spacing w:val="-1"/>
              </w:rPr>
              <w:t>链霉素</w:t>
            </w:r>
          </w:p>
        </w:tc>
        <w:tc>
          <w:tcPr>
            <w:tcW w:w="1389" w:type="dxa"/>
            <w:vAlign w:val="top"/>
            <w:tcBorders>
              <w:bottom w:val="single" w:color="000000" w:sz="2" w:space="0"/>
              <w:top w:val="single" w:color="000000" w:sz="2" w:space="0"/>
            </w:tcBorders>
          </w:tcPr>
          <w:p>
            <w:pPr>
              <w:pStyle w:val="TableText"/>
              <w:ind w:left="414"/>
              <w:spacing w:before="112" w:line="219" w:lineRule="auto"/>
              <w:rPr>
                <w:sz w:val="12"/>
                <w:szCs w:val="12"/>
              </w:rPr>
            </w:pPr>
            <w:r>
              <w:rPr>
                <w:sz w:val="12"/>
                <w:szCs w:val="12"/>
                <w:spacing w:val="-1"/>
              </w:rPr>
              <w:t>72%链霉素</w:t>
            </w:r>
          </w:p>
        </w:tc>
        <w:tc>
          <w:tcPr>
            <w:tcW w:w="1349" w:type="dxa"/>
            <w:vAlign w:val="top"/>
            <w:tcBorders>
              <w:bottom w:val="single" w:color="000000" w:sz="2" w:space="0"/>
              <w:top w:val="single" w:color="000000" w:sz="2" w:space="0"/>
            </w:tcBorders>
          </w:tcPr>
          <w:p>
            <w:pPr>
              <w:pStyle w:val="TableText"/>
              <w:ind w:left="424"/>
              <w:spacing w:before="112" w:line="220" w:lineRule="auto"/>
              <w:rPr>
                <w:sz w:val="12"/>
                <w:szCs w:val="12"/>
              </w:rPr>
            </w:pPr>
            <w:r>
              <w:rPr>
                <w:sz w:val="12"/>
                <w:szCs w:val="12"/>
                <w:spacing w:val="-1"/>
              </w:rPr>
              <w:t>3000倍液</w:t>
            </w:r>
          </w:p>
        </w:tc>
        <w:tc>
          <w:tcPr>
            <w:tcW w:w="1249" w:type="dxa"/>
            <w:vAlign w:val="top"/>
            <w:vMerge w:val="restart"/>
            <w:tcBorders>
              <w:bottom w:val="nil"/>
              <w:top w:val="single" w:color="000000" w:sz="2" w:space="0"/>
            </w:tcBorders>
          </w:tcPr>
          <w:p>
            <w:pPr>
              <w:pStyle w:val="TableText"/>
              <w:ind w:left="16"/>
              <w:spacing w:before="212" w:line="219" w:lineRule="auto"/>
              <w:rPr>
                <w:sz w:val="12"/>
                <w:szCs w:val="12"/>
              </w:rPr>
            </w:pPr>
            <w:r>
              <w:rPr>
                <w:sz w:val="12"/>
                <w:szCs w:val="12"/>
                <w:spacing w:val="-1"/>
              </w:rPr>
              <w:t>每10天喷施一次，连喷</w:t>
            </w:r>
          </w:p>
          <w:p>
            <w:pPr>
              <w:pStyle w:val="TableText"/>
              <w:ind w:left="406"/>
              <w:spacing w:before="17" w:line="219" w:lineRule="auto"/>
              <w:rPr>
                <w:sz w:val="12"/>
                <w:szCs w:val="12"/>
              </w:rPr>
            </w:pPr>
            <w:r>
              <w:rPr>
                <w:sz w:val="12"/>
                <w:szCs w:val="12"/>
              </w:rPr>
              <w:t>3至4次。</w:t>
            </w:r>
          </w:p>
        </w:tc>
        <w:tc>
          <w:tcPr>
            <w:tcW w:w="1009" w:type="dxa"/>
            <w:vAlign w:val="top"/>
            <w:tcBorders>
              <w:bottom w:val="single" w:color="000000" w:sz="2" w:space="0"/>
              <w:top w:val="single" w:color="000000" w:sz="2" w:space="0"/>
            </w:tcBorders>
          </w:tcPr>
          <w:p>
            <w:pPr>
              <w:pStyle w:val="TableText"/>
              <w:ind w:left="317"/>
              <w:spacing w:before="108" w:line="213" w:lineRule="auto"/>
              <w:rPr>
                <w:sz w:val="12"/>
                <w:szCs w:val="12"/>
              </w:rPr>
            </w:pPr>
            <w:r>
              <w:rPr>
                <w:sz w:val="12"/>
                <w:szCs w:val="12"/>
                <w:spacing w:val="-2"/>
              </w:rPr>
              <w:t>15g/袋</w:t>
            </w:r>
          </w:p>
        </w:tc>
        <w:tc>
          <w:tcPr>
            <w:tcW w:w="3146" w:type="dxa"/>
            <w:vAlign w:val="top"/>
            <w:vMerge w:val="restart"/>
            <w:tcBorders>
              <w:bottom w:val="nil"/>
              <w:top w:val="single" w:color="000000" w:sz="2" w:space="0"/>
            </w:tcBorders>
          </w:tcPr>
          <w:p>
            <w:pPr>
              <w:spacing w:line="241" w:lineRule="auto"/>
              <w:rPr>
                <w:rFonts w:ascii="Arial"/>
                <w:sz w:val="21"/>
              </w:rPr>
            </w:pPr>
            <w:r/>
          </w:p>
          <w:p>
            <w:pPr>
              <w:pStyle w:val="TableText"/>
              <w:ind w:left="18"/>
              <w:spacing w:before="39" w:line="219" w:lineRule="auto"/>
              <w:rPr>
                <w:sz w:val="12"/>
                <w:szCs w:val="12"/>
              </w:rPr>
            </w:pPr>
            <w:r>
              <w:rPr>
                <w:sz w:val="12"/>
                <w:szCs w:val="12"/>
                <w:spacing w:val="-1"/>
              </w:rPr>
              <w:t>防治细菌性穿孔病，对细菌性病害有特效</w:t>
            </w:r>
          </w:p>
        </w:tc>
      </w:tr>
      <w:tr>
        <w:trPr>
          <w:trHeight w:val="33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132" w:line="219" w:lineRule="auto"/>
              <w:rPr>
                <w:sz w:val="12"/>
                <w:szCs w:val="12"/>
              </w:rPr>
            </w:pPr>
            <w:r>
              <w:rPr>
                <w:sz w:val="12"/>
                <w:szCs w:val="12"/>
                <w:spacing w:val="-2"/>
              </w:rPr>
              <w:t>细菌灵</w:t>
            </w:r>
          </w:p>
        </w:tc>
        <w:tc>
          <w:tcPr>
            <w:tcW w:w="1389" w:type="dxa"/>
            <w:vAlign w:val="top"/>
            <w:tcBorders>
              <w:bottom w:val="single" w:color="000000" w:sz="2" w:space="0"/>
              <w:top w:val="single" w:color="000000" w:sz="2" w:space="0"/>
            </w:tcBorders>
          </w:tcPr>
          <w:p>
            <w:pPr>
              <w:pStyle w:val="TableText"/>
              <w:ind w:left="24"/>
              <w:spacing w:before="132" w:line="219" w:lineRule="auto"/>
              <w:rPr>
                <w:sz w:val="12"/>
                <w:szCs w:val="12"/>
              </w:rPr>
            </w:pPr>
            <w:r>
              <w:rPr>
                <w:sz w:val="12"/>
                <w:szCs w:val="12"/>
                <w:spacing w:val="-1"/>
              </w:rPr>
              <w:t>40%多菌灵、30%中生霉素</w:t>
            </w:r>
          </w:p>
        </w:tc>
        <w:tc>
          <w:tcPr>
            <w:tcW w:w="1349" w:type="dxa"/>
            <w:vAlign w:val="top"/>
            <w:tcBorders>
              <w:bottom w:val="single" w:color="000000" w:sz="2" w:space="0"/>
              <w:top w:val="single" w:color="000000" w:sz="2" w:space="0"/>
            </w:tcBorders>
          </w:tcPr>
          <w:p>
            <w:pPr>
              <w:pStyle w:val="TableText"/>
              <w:ind w:left="394"/>
              <w:spacing w:before="132" w:line="220" w:lineRule="auto"/>
              <w:rPr>
                <w:sz w:val="12"/>
                <w:szCs w:val="12"/>
              </w:rPr>
            </w:pPr>
            <w:r>
              <w:rPr>
                <w:sz w:val="12"/>
                <w:szCs w:val="12"/>
                <w:spacing w:val="-1"/>
              </w:rPr>
              <w:t>500-600倍</w:t>
            </w:r>
          </w:p>
        </w:tc>
        <w:tc>
          <w:tcPr>
            <w:tcW w:w="1249" w:type="dxa"/>
            <w:vAlign w:val="top"/>
            <w:vMerge w:val="continue"/>
            <w:tcBorders>
              <w:bottom w:val="single" w:color="000000" w:sz="2" w:space="0"/>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317"/>
              <w:spacing w:before="128" w:line="213" w:lineRule="auto"/>
              <w:rPr>
                <w:sz w:val="12"/>
                <w:szCs w:val="12"/>
              </w:rPr>
            </w:pPr>
            <w:r>
              <w:rPr>
                <w:sz w:val="12"/>
                <w:szCs w:val="12"/>
                <w:spacing w:val="-1"/>
              </w:rPr>
              <w:t>25g/装</w:t>
            </w:r>
          </w:p>
        </w:tc>
        <w:tc>
          <w:tcPr>
            <w:tcW w:w="3146" w:type="dxa"/>
            <w:vAlign w:val="top"/>
            <w:vMerge w:val="continue"/>
            <w:tcBorders>
              <w:bottom w:val="single" w:color="000000" w:sz="2" w:space="0"/>
              <w:top w:val="nil"/>
            </w:tcBorders>
          </w:tcPr>
          <w:p>
            <w:pPr>
              <w:rPr>
                <w:rFonts w:ascii="Arial"/>
                <w:sz w:val="21"/>
              </w:rPr>
            </w:pPr>
            <w:r/>
          </w:p>
        </w:tc>
      </w:tr>
      <w:tr>
        <w:trPr>
          <w:trHeight w:val="504" w:hRule="atLeast"/>
        </w:trPr>
        <w:tc>
          <w:tcPr>
            <w:tcW w:w="425" w:type="dxa"/>
            <w:vAlign w:val="top"/>
            <w:vMerge w:val="continue"/>
            <w:tcBorders>
              <w:bottom w:val="single" w:color="000000" w:sz="2" w:space="0"/>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4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192" w:line="219" w:lineRule="auto"/>
              <w:rPr>
                <w:sz w:val="12"/>
                <w:szCs w:val="12"/>
              </w:rPr>
            </w:pPr>
            <w:r>
              <w:rPr>
                <w:sz w:val="12"/>
                <w:szCs w:val="12"/>
                <w:spacing w:val="-2"/>
              </w:rPr>
              <w:t>植病灵</w:t>
            </w:r>
          </w:p>
        </w:tc>
        <w:tc>
          <w:tcPr>
            <w:tcW w:w="1389" w:type="dxa"/>
            <w:vAlign w:val="top"/>
            <w:tcBorders>
              <w:bottom w:val="single" w:color="000000" w:sz="2" w:space="0"/>
              <w:top w:val="single" w:color="000000" w:sz="2" w:space="0"/>
            </w:tcBorders>
          </w:tcPr>
          <w:p>
            <w:pPr>
              <w:pStyle w:val="TableText"/>
              <w:ind w:left="84"/>
              <w:spacing w:before="193" w:line="220" w:lineRule="auto"/>
              <w:rPr>
                <w:sz w:val="12"/>
                <w:szCs w:val="12"/>
              </w:rPr>
            </w:pPr>
            <w:r>
              <w:rPr>
                <w:sz w:val="12"/>
                <w:szCs w:val="12"/>
                <w:spacing w:val="-1"/>
              </w:rPr>
              <w:t>盐酸金刚乙胺、丙环唑</w:t>
            </w:r>
          </w:p>
        </w:tc>
        <w:tc>
          <w:tcPr>
            <w:tcW w:w="1349" w:type="dxa"/>
            <w:vAlign w:val="top"/>
            <w:tcBorders>
              <w:bottom w:val="single" w:color="000000" w:sz="2" w:space="0"/>
              <w:top w:val="single" w:color="000000" w:sz="2" w:space="0"/>
            </w:tcBorders>
          </w:tcPr>
          <w:p>
            <w:pPr>
              <w:pStyle w:val="TableText"/>
              <w:ind w:left="454"/>
              <w:spacing w:before="193" w:line="220" w:lineRule="auto"/>
              <w:rPr>
                <w:sz w:val="12"/>
                <w:szCs w:val="12"/>
              </w:rPr>
            </w:pPr>
            <w:r>
              <w:rPr>
                <w:sz w:val="12"/>
                <w:szCs w:val="12"/>
                <w:spacing w:val="-1"/>
              </w:rPr>
              <w:t>800倍液</w:t>
            </w:r>
          </w:p>
        </w:tc>
        <w:tc>
          <w:tcPr>
            <w:tcW w:w="1249" w:type="dxa"/>
            <w:vAlign w:val="top"/>
            <w:tcBorders>
              <w:bottom w:val="single" w:color="000000" w:sz="2" w:space="0"/>
              <w:top w:val="single" w:color="000000" w:sz="2" w:space="0"/>
            </w:tcBorders>
          </w:tcPr>
          <w:p>
            <w:pPr>
              <w:pStyle w:val="TableText"/>
              <w:ind w:left="65" w:right="37" w:hanging="19"/>
              <w:spacing w:before="63" w:line="209" w:lineRule="auto"/>
              <w:rPr>
                <w:sz w:val="12"/>
                <w:szCs w:val="12"/>
              </w:rPr>
            </w:pPr>
            <w:r>
              <w:rPr>
                <w:sz w:val="12"/>
                <w:szCs w:val="12"/>
                <w:spacing w:val="-1"/>
              </w:rPr>
              <w:t>发病初期，每5-7天喷</w:t>
            </w:r>
            <w:r>
              <w:rPr>
                <w:sz w:val="12"/>
                <w:szCs w:val="12"/>
                <w:spacing w:val="3"/>
              </w:rPr>
              <w:t xml:space="preserve"> </w:t>
            </w:r>
            <w:r>
              <w:rPr>
                <w:sz w:val="12"/>
                <w:szCs w:val="12"/>
                <w:spacing w:val="-1"/>
              </w:rPr>
              <w:t>施一次，喷3遍，可减</w:t>
            </w:r>
          </w:p>
          <w:p>
            <w:pPr>
              <w:pStyle w:val="TableText"/>
              <w:ind w:left="406"/>
              <w:spacing w:before="7" w:line="219" w:lineRule="auto"/>
              <w:rPr>
                <w:sz w:val="12"/>
                <w:szCs w:val="12"/>
              </w:rPr>
            </w:pPr>
            <w:r>
              <w:rPr>
                <w:sz w:val="12"/>
                <w:szCs w:val="12"/>
              </w:rPr>
              <w:t>轻危害。</w:t>
            </w:r>
          </w:p>
        </w:tc>
        <w:tc>
          <w:tcPr>
            <w:tcW w:w="1009" w:type="dxa"/>
            <w:vAlign w:val="top"/>
            <w:tcBorders>
              <w:bottom w:val="single" w:color="000000" w:sz="2" w:space="0"/>
              <w:top w:val="single" w:color="000000" w:sz="2" w:space="0"/>
            </w:tcBorders>
          </w:tcPr>
          <w:p>
            <w:pPr>
              <w:pStyle w:val="TableText"/>
              <w:ind w:left="287"/>
              <w:spacing w:before="193" w:line="221" w:lineRule="auto"/>
              <w:rPr>
                <w:sz w:val="12"/>
                <w:szCs w:val="12"/>
              </w:rPr>
            </w:pPr>
            <w:r>
              <w:rPr>
                <w:sz w:val="12"/>
                <w:szCs w:val="12"/>
                <w:spacing w:val="-2"/>
              </w:rPr>
              <w:t>15al/瓶</w:t>
            </w:r>
          </w:p>
        </w:tc>
        <w:tc>
          <w:tcPr>
            <w:tcW w:w="3146" w:type="dxa"/>
            <w:vAlign w:val="top"/>
            <w:tcBorders>
              <w:bottom w:val="single" w:color="000000" w:sz="2" w:space="0"/>
              <w:top w:val="single" w:color="000000" w:sz="2" w:space="0"/>
            </w:tcBorders>
          </w:tcPr>
          <w:p>
            <w:pPr>
              <w:pStyle w:val="TableText"/>
              <w:ind w:left="18"/>
              <w:spacing w:before="192" w:line="219" w:lineRule="auto"/>
              <w:rPr>
                <w:sz w:val="12"/>
                <w:szCs w:val="12"/>
              </w:rPr>
            </w:pPr>
            <w:r>
              <w:rPr>
                <w:sz w:val="12"/>
                <w:szCs w:val="12"/>
                <w:spacing w:val="-1"/>
              </w:rPr>
              <w:t>防治花叶病，对病毒性病害有特效</w:t>
            </w:r>
          </w:p>
        </w:tc>
      </w:tr>
      <w:tr>
        <w:trPr>
          <w:trHeight w:val="424" w:hRule="atLeast"/>
        </w:trPr>
        <w:tc>
          <w:tcPr>
            <w:tcW w:w="425" w:type="dxa"/>
            <w:vAlign w:val="top"/>
            <w:vMerge w:val="restart"/>
            <w:tcBorders>
              <w:bottom w:val="nil"/>
              <w:top w:val="single" w:color="000000" w:sz="2" w:space="0"/>
            </w:tcBorders>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24"/>
              <w:spacing w:before="39" w:line="219" w:lineRule="auto"/>
              <w:rPr>
                <w:sz w:val="12"/>
                <w:szCs w:val="12"/>
              </w:rPr>
            </w:pPr>
            <w:r>
              <w:rPr>
                <w:sz w:val="12"/>
                <w:szCs w:val="12"/>
                <w:spacing w:val="-2"/>
              </w:rPr>
              <w:t>杀虫刻</w:t>
            </w:r>
          </w:p>
        </w:tc>
        <w:tc>
          <w:tcPr>
            <w:tcW w:w="620" w:type="dxa"/>
            <w:vAlign w:val="top"/>
            <w:vMerge w:val="restart"/>
            <w:tcBorders>
              <w:bottom w:val="nil"/>
              <w:top w:val="single" w:color="000000" w:sz="2" w:space="0"/>
            </w:tcBorders>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90"/>
              <w:spacing w:before="39" w:line="219" w:lineRule="auto"/>
              <w:rPr>
                <w:sz w:val="12"/>
                <w:szCs w:val="12"/>
              </w:rPr>
            </w:pPr>
            <w:r>
              <w:rPr>
                <w:sz w:val="12"/>
                <w:szCs w:val="12"/>
                <w:spacing w:val="-1"/>
              </w:rPr>
              <w:t>食叶害虫</w:t>
            </w:r>
          </w:p>
        </w:tc>
        <w:tc>
          <w:tcPr>
            <w:tcW w:w="849"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pStyle w:val="TableText"/>
              <w:ind w:left="70" w:right="33" w:firstLine="19"/>
              <w:spacing w:before="39"/>
              <w:jc w:val="both"/>
              <w:rPr>
                <w:sz w:val="12"/>
                <w:szCs w:val="12"/>
              </w:rPr>
            </w:pPr>
            <w:r>
              <w:rPr>
                <w:sz w:val="12"/>
                <w:szCs w:val="12"/>
                <w:spacing w:val="-1"/>
              </w:rPr>
              <w:t>粘虫、天幕毛</w:t>
            </w:r>
            <w:r>
              <w:rPr>
                <w:sz w:val="12"/>
                <w:szCs w:val="12"/>
              </w:rPr>
              <w:t xml:space="preserve"> </w:t>
            </w:r>
            <w:r>
              <w:rPr>
                <w:sz w:val="12"/>
                <w:szCs w:val="12"/>
                <w:spacing w:val="-2"/>
              </w:rPr>
              <w:t>虫、叶甲、章</w:t>
            </w:r>
            <w:r>
              <w:rPr>
                <w:sz w:val="12"/>
                <w:szCs w:val="12"/>
                <w:spacing w:val="3"/>
              </w:rPr>
              <w:t xml:space="preserve"> </w:t>
            </w:r>
            <w:r>
              <w:rPr>
                <w:sz w:val="12"/>
                <w:szCs w:val="12"/>
                <w:spacing w:val="2"/>
              </w:rPr>
              <w:t>蛾、刺蛾，夜</w:t>
            </w:r>
          </w:p>
          <w:p>
            <w:pPr>
              <w:pStyle w:val="TableText"/>
              <w:ind w:right="13"/>
              <w:spacing w:before="1" w:line="216" w:lineRule="auto"/>
              <w:jc w:val="right"/>
              <w:rPr>
                <w:sz w:val="12"/>
                <w:szCs w:val="12"/>
              </w:rPr>
            </w:pPr>
            <w:r>
              <w:rPr>
                <w:sz w:val="12"/>
                <w:szCs w:val="12"/>
                <w:spacing w:val="2"/>
              </w:rPr>
              <w:t>蛾、尺媛，白</w:t>
            </w:r>
          </w:p>
          <w:p>
            <w:pPr>
              <w:pStyle w:val="TableText"/>
              <w:ind w:left="330"/>
              <w:spacing w:line="219" w:lineRule="auto"/>
              <w:rPr>
                <w:sz w:val="12"/>
                <w:szCs w:val="12"/>
              </w:rPr>
            </w:pPr>
            <w:r>
              <w:rPr>
                <w:sz w:val="12"/>
                <w:szCs w:val="12"/>
                <w:spacing w:val="-2"/>
              </w:rPr>
              <w:t>粉蝶</w:t>
            </w:r>
          </w:p>
        </w:tc>
        <w:tc>
          <w:tcPr>
            <w:tcW w:w="2748" w:type="dxa"/>
            <w:vAlign w:val="top"/>
            <w:vMerge w:val="restart"/>
            <w:tcBorders>
              <w:bottom w:val="nil"/>
              <w:top w:val="single" w:color="000000" w:sz="2" w:space="0"/>
            </w:tcBorders>
          </w:tcPr>
          <w:p>
            <w:pPr>
              <w:spacing w:line="451" w:lineRule="auto"/>
              <w:rPr>
                <w:rFonts w:ascii="Arial"/>
                <w:sz w:val="21"/>
              </w:rPr>
            </w:pPr>
            <w:r/>
          </w:p>
          <w:p>
            <w:pPr>
              <w:pStyle w:val="TableText"/>
              <w:ind w:left="1" w:right="44" w:firstLine="9"/>
              <w:spacing w:before="39" w:line="230" w:lineRule="auto"/>
              <w:rPr>
                <w:sz w:val="12"/>
                <w:szCs w:val="12"/>
              </w:rPr>
            </w:pPr>
            <w:r>
              <w:rPr>
                <w:sz w:val="12"/>
                <w:szCs w:val="12"/>
                <w:spacing w:val="-1"/>
              </w:rPr>
              <w:t>一、3月预防消杀为主，在进入雨季，高发季前全园</w:t>
            </w:r>
            <w:r>
              <w:rPr>
                <w:sz w:val="12"/>
                <w:szCs w:val="12"/>
                <w:spacing w:val="4"/>
              </w:rPr>
              <w:t xml:space="preserve"> </w:t>
            </w:r>
            <w:r>
              <w:rPr>
                <w:sz w:val="12"/>
                <w:szCs w:val="12"/>
                <w:spacing w:val="-1"/>
              </w:rPr>
              <w:t>区消杀虫卵、蛹：</w:t>
            </w:r>
          </w:p>
          <w:p>
            <w:pPr>
              <w:pStyle w:val="TableText"/>
              <w:ind w:left="20" w:right="103" w:hanging="19"/>
              <w:spacing w:before="1" w:line="209" w:lineRule="auto"/>
              <w:rPr>
                <w:sz w:val="12"/>
                <w:szCs w:val="12"/>
              </w:rPr>
            </w:pPr>
            <w:r>
              <w:rPr>
                <w:sz w:val="12"/>
                <w:szCs w:val="12"/>
                <w:spacing w:val="-1"/>
              </w:rPr>
              <w:t>二、4--6月是大部分害虫成蝉或羽化期。采取人工</w:t>
            </w:r>
            <w:r>
              <w:rPr>
                <w:sz w:val="12"/>
                <w:szCs w:val="12"/>
                <w:spacing w:val="16"/>
              </w:rPr>
              <w:t xml:space="preserve"> </w:t>
            </w:r>
            <w:r>
              <w:rPr>
                <w:sz w:val="12"/>
                <w:szCs w:val="12"/>
              </w:rPr>
              <w:t>加药物双重治疗除卵，除蛹，除成虫：</w:t>
            </w:r>
          </w:p>
          <w:p>
            <w:pPr>
              <w:pStyle w:val="TableText"/>
              <w:ind w:left="1" w:right="91" w:firstLine="9"/>
              <w:spacing w:before="6" w:line="233" w:lineRule="auto"/>
              <w:rPr>
                <w:sz w:val="12"/>
                <w:szCs w:val="12"/>
              </w:rPr>
            </w:pPr>
            <w:r>
              <w:rPr>
                <w:sz w:val="12"/>
                <w:szCs w:val="12"/>
              </w:rPr>
              <w:t>三，7、8、9.10四个月为均有零星出</w:t>
            </w:r>
            <w:r>
              <w:rPr>
                <w:sz w:val="12"/>
                <w:szCs w:val="12"/>
                <w:spacing w:val="-1"/>
              </w:rPr>
              <w:t>现，有发现病</w:t>
            </w:r>
            <w:r>
              <w:rPr>
                <w:sz w:val="12"/>
                <w:szCs w:val="12"/>
              </w:rPr>
              <w:t xml:space="preserve"> </w:t>
            </w:r>
            <w:r>
              <w:rPr>
                <w:sz w:val="12"/>
                <w:szCs w:val="12"/>
              </w:rPr>
              <w:t>情，及时唤药处理。</w:t>
            </w:r>
          </w:p>
        </w:tc>
        <w:tc>
          <w:tcPr>
            <w:tcW w:w="1289" w:type="dxa"/>
            <w:vAlign w:val="top"/>
            <w:tcBorders>
              <w:bottom w:val="single" w:color="000000" w:sz="2" w:space="0"/>
              <w:top w:val="single" w:color="000000" w:sz="2" w:space="0"/>
            </w:tcBorders>
          </w:tcPr>
          <w:p>
            <w:pPr>
              <w:pStyle w:val="TableText"/>
              <w:ind w:left="62"/>
              <w:spacing w:before="93" w:line="216" w:lineRule="auto"/>
              <w:rPr>
                <w:sz w:val="12"/>
                <w:szCs w:val="12"/>
              </w:rPr>
            </w:pPr>
            <w:r>
              <w:rPr>
                <w:sz w:val="12"/>
                <w:szCs w:val="12"/>
              </w:rPr>
              <w:t>国光依它(原名“国光</w:t>
            </w:r>
          </w:p>
          <w:p>
            <w:pPr>
              <w:pStyle w:val="TableText"/>
              <w:ind w:left="423"/>
              <w:spacing w:line="219" w:lineRule="auto"/>
              <w:rPr>
                <w:sz w:val="12"/>
                <w:szCs w:val="12"/>
              </w:rPr>
            </w:pPr>
            <w:r>
              <w:rPr>
                <w:sz w:val="12"/>
                <w:szCs w:val="12"/>
                <w:spacing w:val="6"/>
              </w:rPr>
              <w:t>毒枪”)</w:t>
            </w:r>
          </w:p>
        </w:tc>
        <w:tc>
          <w:tcPr>
            <w:tcW w:w="1389" w:type="dxa"/>
            <w:vAlign w:val="top"/>
            <w:tcBorders>
              <w:bottom w:val="single" w:color="000000" w:sz="2" w:space="0"/>
              <w:top w:val="single" w:color="000000" w:sz="2" w:space="0"/>
            </w:tcBorders>
          </w:tcPr>
          <w:p>
            <w:pPr>
              <w:pStyle w:val="TableText"/>
              <w:ind w:left="114"/>
              <w:spacing w:before="153" w:line="219" w:lineRule="auto"/>
              <w:rPr>
                <w:sz w:val="12"/>
                <w:szCs w:val="12"/>
              </w:rPr>
            </w:pPr>
            <w:r>
              <w:rPr>
                <w:sz w:val="12"/>
                <w:szCs w:val="12"/>
                <w:spacing w:val="-5"/>
              </w:rPr>
              <w:t>丙溴</w:t>
            </w:r>
            <w:r>
              <w:rPr>
                <w:sz w:val="12"/>
                <w:szCs w:val="12"/>
                <w:spacing w:val="-14"/>
              </w:rPr>
              <w:t xml:space="preserve"> </w:t>
            </w:r>
            <w:r>
              <w:rPr>
                <w:sz w:val="12"/>
                <w:szCs w:val="12"/>
                <w:spacing w:val="-5"/>
              </w:rPr>
              <w:t>·辛疏磷45%乳油</w:t>
            </w:r>
          </w:p>
        </w:tc>
        <w:tc>
          <w:tcPr>
            <w:tcW w:w="1349" w:type="dxa"/>
            <w:vAlign w:val="top"/>
            <w:tcBorders>
              <w:bottom w:val="single" w:color="000000" w:sz="2" w:space="0"/>
              <w:top w:val="single" w:color="000000" w:sz="2" w:space="0"/>
            </w:tcBorders>
          </w:tcPr>
          <w:p>
            <w:pPr>
              <w:pStyle w:val="TableText"/>
              <w:ind w:left="155"/>
              <w:spacing w:before="153" w:line="219" w:lineRule="auto"/>
              <w:rPr>
                <w:sz w:val="12"/>
                <w:szCs w:val="12"/>
              </w:rPr>
            </w:pPr>
            <w:r>
              <w:rPr>
                <w:sz w:val="12"/>
                <w:szCs w:val="12"/>
                <w:spacing w:val="-1"/>
              </w:rPr>
              <w:t>稀释2000-3000倍液</w:t>
            </w:r>
          </w:p>
        </w:tc>
        <w:tc>
          <w:tcPr>
            <w:tcW w:w="1249" w:type="dxa"/>
            <w:vAlign w:val="top"/>
            <w:vMerge w:val="restart"/>
            <w:tcBorders>
              <w:bottom w:val="nil"/>
              <w:top w:val="single" w:color="000000" w:sz="2" w:space="0"/>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6"/>
              <w:spacing w:before="39" w:line="219" w:lineRule="auto"/>
              <w:rPr>
                <w:sz w:val="12"/>
                <w:szCs w:val="12"/>
              </w:rPr>
            </w:pPr>
            <w:r>
              <w:rPr>
                <w:sz w:val="12"/>
                <w:szCs w:val="12"/>
                <w:spacing w:val="-1"/>
              </w:rPr>
              <w:t>一般用3次，时间间隔7</w:t>
            </w:r>
          </w:p>
          <w:p>
            <w:pPr>
              <w:pStyle w:val="TableText"/>
              <w:ind w:left="436"/>
              <w:spacing w:before="17" w:line="220" w:lineRule="auto"/>
              <w:rPr>
                <w:sz w:val="12"/>
                <w:szCs w:val="12"/>
              </w:rPr>
            </w:pPr>
            <w:r>
              <w:rPr>
                <w:sz w:val="12"/>
                <w:szCs w:val="12"/>
                <w:spacing w:val="-2"/>
              </w:rPr>
              <w:t>到10天</w:t>
            </w:r>
          </w:p>
        </w:tc>
        <w:tc>
          <w:tcPr>
            <w:tcW w:w="1009" w:type="dxa"/>
            <w:vAlign w:val="top"/>
            <w:tcBorders>
              <w:bottom w:val="single" w:color="000000" w:sz="2" w:space="0"/>
              <w:top w:val="single" w:color="000000" w:sz="2" w:space="0"/>
            </w:tcBorders>
          </w:tcPr>
          <w:p>
            <w:pPr>
              <w:pStyle w:val="TableText"/>
              <w:ind w:left="197"/>
              <w:spacing w:before="154" w:line="221" w:lineRule="auto"/>
              <w:rPr>
                <w:sz w:val="12"/>
                <w:szCs w:val="12"/>
              </w:rPr>
            </w:pPr>
            <w:r>
              <w:rPr>
                <w:sz w:val="12"/>
                <w:szCs w:val="12"/>
                <w:spacing w:val="3"/>
              </w:rPr>
              <w:t>(200</w:t>
            </w:r>
            <w:r>
              <w:rPr>
                <w:sz w:val="12"/>
                <w:szCs w:val="12"/>
              </w:rPr>
              <w:t>ml</w:t>
            </w:r>
            <w:r>
              <w:rPr>
                <w:sz w:val="12"/>
                <w:szCs w:val="12"/>
                <w:spacing w:val="3"/>
              </w:rPr>
              <w:t>/瓶)</w:t>
            </w:r>
          </w:p>
        </w:tc>
        <w:tc>
          <w:tcPr>
            <w:tcW w:w="3146" w:type="dxa"/>
            <w:vAlign w:val="top"/>
            <w:tcBorders>
              <w:bottom w:val="single" w:color="000000" w:sz="2" w:space="0"/>
              <w:top w:val="single" w:color="000000" w:sz="2" w:space="0"/>
            </w:tcBorders>
          </w:tcPr>
          <w:p>
            <w:pPr>
              <w:pStyle w:val="TableText"/>
              <w:ind w:left="18"/>
              <w:spacing w:before="153" w:line="219" w:lineRule="auto"/>
              <w:rPr>
                <w:sz w:val="12"/>
                <w:szCs w:val="12"/>
              </w:rPr>
            </w:pPr>
            <w:r>
              <w:rPr>
                <w:sz w:val="12"/>
                <w:szCs w:val="12"/>
                <w:spacing w:val="-1"/>
              </w:rPr>
              <w:t>高渗透性，杀卷叶虫、包叶虫、斑潜蝇等</w:t>
            </w:r>
          </w:p>
        </w:tc>
      </w:tr>
      <w:tr>
        <w:trPr>
          <w:trHeight w:val="61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62"/>
              <w:spacing w:before="194" w:line="215" w:lineRule="auto"/>
              <w:rPr>
                <w:sz w:val="12"/>
                <w:szCs w:val="12"/>
              </w:rPr>
            </w:pPr>
            <w:r>
              <w:rPr>
                <w:sz w:val="12"/>
                <w:szCs w:val="12"/>
              </w:rPr>
              <w:t>国光乙刻(原名“国光</w:t>
            </w:r>
          </w:p>
          <w:p>
            <w:pPr>
              <w:pStyle w:val="TableText"/>
              <w:ind w:left="483"/>
              <w:spacing w:line="219" w:lineRule="auto"/>
              <w:rPr>
                <w:sz w:val="12"/>
                <w:szCs w:val="12"/>
              </w:rPr>
            </w:pPr>
            <w:r>
              <w:rPr>
                <w:sz w:val="12"/>
                <w:szCs w:val="12"/>
                <w:spacing w:val="-3"/>
              </w:rPr>
              <w:t>毒箭》</w:t>
            </w:r>
          </w:p>
        </w:tc>
        <w:tc>
          <w:tcPr>
            <w:tcW w:w="1389" w:type="dxa"/>
            <w:vAlign w:val="top"/>
            <w:tcBorders>
              <w:bottom w:val="single" w:color="000000" w:sz="2" w:space="0"/>
              <w:top w:val="single" w:color="000000" w:sz="2" w:space="0"/>
            </w:tcBorders>
          </w:tcPr>
          <w:p>
            <w:pPr>
              <w:pStyle w:val="TableText"/>
              <w:ind w:left="233"/>
              <w:spacing w:before="254" w:line="219" w:lineRule="auto"/>
              <w:rPr>
                <w:sz w:val="12"/>
                <w:szCs w:val="12"/>
              </w:rPr>
            </w:pPr>
            <w:r>
              <w:rPr>
                <w:sz w:val="12"/>
                <w:szCs w:val="12"/>
                <w:spacing w:val="-1"/>
              </w:rPr>
              <w:t>20%氟戊菊阳乳油</w:t>
            </w:r>
          </w:p>
        </w:tc>
        <w:tc>
          <w:tcPr>
            <w:tcW w:w="1349" w:type="dxa"/>
            <w:vAlign w:val="top"/>
            <w:tcBorders>
              <w:bottom w:val="single" w:color="000000" w:sz="2" w:space="0"/>
              <w:top w:val="single" w:color="000000" w:sz="2" w:space="0"/>
            </w:tcBorders>
          </w:tcPr>
          <w:p>
            <w:pPr>
              <w:pStyle w:val="TableText"/>
              <w:ind w:left="155"/>
              <w:spacing w:before="254" w:line="219" w:lineRule="auto"/>
              <w:rPr>
                <w:sz w:val="12"/>
                <w:szCs w:val="12"/>
              </w:rPr>
            </w:pPr>
            <w:r>
              <w:rPr>
                <w:sz w:val="12"/>
                <w:szCs w:val="12"/>
                <w:spacing w:val="-1"/>
              </w:rPr>
              <w:t>稀释2000-3000倍液</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197"/>
              <w:spacing w:before="254" w:line="221" w:lineRule="auto"/>
              <w:rPr>
                <w:sz w:val="12"/>
                <w:szCs w:val="12"/>
              </w:rPr>
            </w:pPr>
            <w:r>
              <w:rPr>
                <w:sz w:val="12"/>
                <w:szCs w:val="12"/>
                <w:spacing w:val="3"/>
              </w:rPr>
              <w:t>(200</w:t>
            </w:r>
            <w:r>
              <w:rPr>
                <w:sz w:val="12"/>
                <w:szCs w:val="12"/>
              </w:rPr>
              <w:t>ml</w:t>
            </w:r>
            <w:r>
              <w:rPr>
                <w:sz w:val="12"/>
                <w:szCs w:val="12"/>
                <w:spacing w:val="3"/>
              </w:rPr>
              <w:t>/瓶)</w:t>
            </w:r>
          </w:p>
        </w:tc>
        <w:tc>
          <w:tcPr>
            <w:tcW w:w="3146" w:type="dxa"/>
            <w:vAlign w:val="top"/>
            <w:tcBorders>
              <w:bottom w:val="single" w:color="000000" w:sz="2" w:space="0"/>
              <w:top w:val="single" w:color="000000" w:sz="2" w:space="0"/>
            </w:tcBorders>
          </w:tcPr>
          <w:p>
            <w:pPr>
              <w:pStyle w:val="TableText"/>
              <w:ind w:left="18"/>
              <w:spacing w:before="254" w:line="218" w:lineRule="auto"/>
              <w:rPr>
                <w:sz w:val="12"/>
                <w:szCs w:val="12"/>
              </w:rPr>
            </w:pPr>
            <w:r>
              <w:rPr>
                <w:sz w:val="12"/>
                <w:szCs w:val="12"/>
                <w:spacing w:val="-1"/>
              </w:rPr>
              <w:t>高效广谱、长效杀虫剂，桑食叶性害虫特效</w:t>
            </w:r>
          </w:p>
        </w:tc>
      </w:tr>
      <w:tr>
        <w:trPr>
          <w:trHeight w:val="33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4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14" w:line="219" w:lineRule="auto"/>
              <w:rPr>
                <w:sz w:val="12"/>
                <w:szCs w:val="12"/>
              </w:rPr>
            </w:pPr>
            <w:r>
              <w:rPr>
                <w:sz w:val="12"/>
                <w:szCs w:val="12"/>
                <w:spacing w:val="1"/>
              </w:rPr>
              <w:t>国光毒死碑</w:t>
            </w:r>
          </w:p>
        </w:tc>
        <w:tc>
          <w:tcPr>
            <w:tcW w:w="1389" w:type="dxa"/>
            <w:vAlign w:val="top"/>
            <w:tcBorders>
              <w:bottom w:val="single" w:color="000000" w:sz="2" w:space="0"/>
              <w:top w:val="single" w:color="000000" w:sz="2" w:space="0"/>
            </w:tcBorders>
          </w:tcPr>
          <w:p>
            <w:pPr>
              <w:pStyle w:val="TableText"/>
              <w:ind w:left="414"/>
              <w:spacing w:before="114" w:line="219" w:lineRule="auto"/>
              <w:rPr>
                <w:sz w:val="12"/>
                <w:szCs w:val="12"/>
              </w:rPr>
            </w:pPr>
            <w:r>
              <w:rPr>
                <w:sz w:val="12"/>
                <w:szCs w:val="12"/>
                <w:spacing w:val="-1"/>
              </w:rPr>
              <w:t>48%毒死婢</w:t>
            </w:r>
          </w:p>
        </w:tc>
        <w:tc>
          <w:tcPr>
            <w:tcW w:w="1349" w:type="dxa"/>
            <w:vAlign w:val="top"/>
            <w:tcBorders>
              <w:bottom w:val="single" w:color="000000" w:sz="2" w:space="0"/>
              <w:top w:val="single" w:color="000000" w:sz="2" w:space="0"/>
            </w:tcBorders>
          </w:tcPr>
          <w:p>
            <w:pPr>
              <w:pStyle w:val="TableText"/>
              <w:ind w:left="334"/>
              <w:spacing w:before="115" w:line="220" w:lineRule="auto"/>
              <w:rPr>
                <w:sz w:val="12"/>
                <w:szCs w:val="12"/>
              </w:rPr>
            </w:pPr>
            <w:r>
              <w:rPr>
                <w:sz w:val="12"/>
                <w:szCs w:val="12"/>
                <w:spacing w:val="-5"/>
              </w:rPr>
              <w:t>1000—1500倍</w:t>
            </w:r>
          </w:p>
        </w:tc>
        <w:tc>
          <w:tcPr>
            <w:tcW w:w="1249" w:type="dxa"/>
            <w:vAlign w:val="top"/>
            <w:vMerge w:val="continue"/>
            <w:tcBorders>
              <w:bottom w:val="nil"/>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317"/>
              <w:spacing w:before="115" w:line="221" w:lineRule="auto"/>
              <w:rPr>
                <w:sz w:val="12"/>
                <w:szCs w:val="12"/>
              </w:rPr>
            </w:pPr>
            <w:r>
              <w:rPr>
                <w:sz w:val="12"/>
                <w:szCs w:val="12"/>
                <w:spacing w:val="-3"/>
              </w:rPr>
              <w:t>11./瓶</w:t>
            </w:r>
          </w:p>
        </w:tc>
        <w:tc>
          <w:tcPr>
            <w:tcW w:w="3146" w:type="dxa"/>
            <w:vAlign w:val="top"/>
            <w:tcBorders>
              <w:bottom w:val="single" w:color="000000" w:sz="2" w:space="0"/>
              <w:top w:val="single" w:color="000000" w:sz="2" w:space="0"/>
            </w:tcBorders>
          </w:tcPr>
          <w:p>
            <w:pPr>
              <w:pStyle w:val="TableText"/>
              <w:ind w:left="18"/>
              <w:spacing w:before="114" w:line="218" w:lineRule="auto"/>
              <w:rPr>
                <w:sz w:val="12"/>
                <w:szCs w:val="12"/>
              </w:rPr>
            </w:pPr>
            <w:r>
              <w:rPr>
                <w:sz w:val="12"/>
                <w:szCs w:val="12"/>
                <w:spacing w:val="-1"/>
              </w:rPr>
              <w:t>高效广谱杀虫剂，杀食叶性害虫特效</w:t>
            </w:r>
          </w:p>
        </w:tc>
      </w:tr>
      <w:tr>
        <w:trPr>
          <w:trHeight w:val="419" w:hRule="atLeast"/>
        </w:trPr>
        <w:tc>
          <w:tcPr>
            <w:tcW w:w="425" w:type="dxa"/>
            <w:vAlign w:val="top"/>
            <w:vMerge w:val="continue"/>
            <w:tcBorders>
              <w:bottom w:val="single" w:color="000000" w:sz="2" w:space="0"/>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4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54" w:line="218" w:lineRule="auto"/>
              <w:rPr>
                <w:sz w:val="12"/>
                <w:szCs w:val="12"/>
              </w:rPr>
            </w:pPr>
            <w:r>
              <w:rPr>
                <w:sz w:val="12"/>
                <w:szCs w:val="12"/>
                <w:spacing w:val="1"/>
              </w:rPr>
              <w:t>中威杀蛾机密</w:t>
            </w:r>
          </w:p>
        </w:tc>
        <w:tc>
          <w:tcPr>
            <w:tcW w:w="1389" w:type="dxa"/>
            <w:vAlign w:val="top"/>
            <w:tcBorders>
              <w:bottom w:val="single" w:color="000000" w:sz="2" w:space="0"/>
              <w:top w:val="single" w:color="000000" w:sz="2" w:space="0"/>
            </w:tcBorders>
          </w:tcPr>
          <w:p>
            <w:pPr>
              <w:pStyle w:val="TableText"/>
              <w:ind w:left="84"/>
              <w:spacing w:before="84" w:line="219" w:lineRule="auto"/>
              <w:rPr>
                <w:sz w:val="12"/>
                <w:szCs w:val="12"/>
              </w:rPr>
            </w:pPr>
            <w:r>
              <w:rPr>
                <w:sz w:val="12"/>
                <w:szCs w:val="12"/>
                <w:spacing w:val="-11"/>
              </w:rPr>
              <w:t>氰戊</w:t>
            </w:r>
            <w:r>
              <w:rPr>
                <w:sz w:val="12"/>
                <w:szCs w:val="12"/>
                <w:spacing w:val="-15"/>
              </w:rPr>
              <w:t xml:space="preserve"> </w:t>
            </w:r>
            <w:r>
              <w:rPr>
                <w:sz w:val="12"/>
                <w:szCs w:val="12"/>
                <w:spacing w:val="-11"/>
              </w:rPr>
              <w:t>·马拉松</w:t>
            </w:r>
            <w:r>
              <w:rPr>
                <w:sz w:val="12"/>
                <w:szCs w:val="12"/>
                <w:spacing w:val="-14"/>
              </w:rPr>
              <w:t xml:space="preserve"> </w:t>
            </w:r>
            <w:r>
              <w:rPr>
                <w:sz w:val="12"/>
                <w:szCs w:val="12"/>
                <w:spacing w:val="-11"/>
              </w:rPr>
              <w:t>·</w:t>
            </w:r>
            <w:r>
              <w:rPr>
                <w:sz w:val="12"/>
                <w:szCs w:val="12"/>
                <w:spacing w:val="-40"/>
              </w:rPr>
              <w:t xml:space="preserve"> </w:t>
            </w:r>
            <w:r>
              <w:rPr>
                <w:sz w:val="12"/>
                <w:szCs w:val="12"/>
                <w:spacing w:val="-11"/>
              </w:rPr>
              <w:t>甲维盐</w:t>
            </w:r>
          </w:p>
          <w:p>
            <w:pPr>
              <w:pStyle w:val="TableText"/>
              <w:ind w:left="594"/>
              <w:spacing w:before="39" w:line="219" w:lineRule="auto"/>
              <w:rPr>
                <w:sz w:val="12"/>
                <w:szCs w:val="12"/>
              </w:rPr>
            </w:pPr>
            <w:r>
              <w:rPr>
                <w:sz w:val="12"/>
                <w:szCs w:val="12"/>
                <w:spacing w:val="-2"/>
              </w:rPr>
              <w:t>20%</w:t>
            </w:r>
          </w:p>
        </w:tc>
        <w:tc>
          <w:tcPr>
            <w:tcW w:w="1349" w:type="dxa"/>
            <w:vAlign w:val="top"/>
            <w:tcBorders>
              <w:bottom w:val="single" w:color="000000" w:sz="2" w:space="0"/>
              <w:top w:val="single" w:color="000000" w:sz="2" w:space="0"/>
            </w:tcBorders>
          </w:tcPr>
          <w:p>
            <w:pPr>
              <w:pStyle w:val="TableText"/>
              <w:ind w:left="155"/>
              <w:spacing w:before="154" w:line="219" w:lineRule="auto"/>
              <w:rPr>
                <w:sz w:val="12"/>
                <w:szCs w:val="12"/>
              </w:rPr>
            </w:pPr>
            <w:r>
              <w:rPr>
                <w:sz w:val="12"/>
                <w:szCs w:val="12"/>
                <w:spacing w:val="-1"/>
              </w:rPr>
              <w:t>稀释1000-2000倍液</w:t>
            </w:r>
          </w:p>
        </w:tc>
        <w:tc>
          <w:tcPr>
            <w:tcW w:w="1249" w:type="dxa"/>
            <w:vAlign w:val="top"/>
            <w:vMerge w:val="continue"/>
            <w:tcBorders>
              <w:bottom w:val="single" w:color="000000" w:sz="2" w:space="0"/>
              <w:top w:val="nil"/>
            </w:tcBorders>
          </w:tcPr>
          <w:p>
            <w:pPr>
              <w:rPr>
                <w:rFonts w:ascii="Arial"/>
                <w:sz w:val="21"/>
              </w:rPr>
            </w:pPr>
            <w:r/>
          </w:p>
        </w:tc>
        <w:tc>
          <w:tcPr>
            <w:tcW w:w="1009" w:type="dxa"/>
            <w:vAlign w:val="top"/>
            <w:tcBorders>
              <w:bottom w:val="single" w:color="000000" w:sz="2" w:space="0"/>
              <w:top w:val="single" w:color="000000" w:sz="2" w:space="0"/>
            </w:tcBorders>
          </w:tcPr>
          <w:p>
            <w:pPr>
              <w:pStyle w:val="TableText"/>
              <w:ind w:left="166"/>
              <w:spacing w:before="155" w:line="221" w:lineRule="auto"/>
              <w:rPr>
                <w:sz w:val="12"/>
                <w:szCs w:val="12"/>
              </w:rPr>
            </w:pPr>
            <w:r>
              <w:rPr>
                <w:sz w:val="12"/>
                <w:szCs w:val="12"/>
                <w:spacing w:val="-1"/>
              </w:rPr>
              <w:t>200al×20瓶</w:t>
            </w:r>
          </w:p>
        </w:tc>
        <w:tc>
          <w:tcPr>
            <w:tcW w:w="3146" w:type="dxa"/>
            <w:vAlign w:val="top"/>
            <w:tcBorders>
              <w:bottom w:val="single" w:color="000000" w:sz="2" w:space="0"/>
              <w:top w:val="single" w:color="000000" w:sz="2" w:space="0"/>
            </w:tcBorders>
          </w:tcPr>
          <w:p>
            <w:pPr>
              <w:pStyle w:val="TableText"/>
              <w:ind w:left="18"/>
              <w:spacing w:before="154" w:line="219" w:lineRule="auto"/>
              <w:rPr>
                <w:sz w:val="12"/>
                <w:szCs w:val="12"/>
              </w:rPr>
            </w:pPr>
            <w:r>
              <w:rPr>
                <w:sz w:val="12"/>
                <w:szCs w:val="12"/>
                <w:spacing w:val="-1"/>
              </w:rPr>
              <w:t>防治美国白峨、菜峨等蛾类害虫</w:t>
            </w:r>
          </w:p>
        </w:tc>
      </w:tr>
    </w:tbl>
    <w:p>
      <w:pPr>
        <w:spacing w:line="14" w:lineRule="auto"/>
        <w:rPr>
          <w:rFonts w:ascii="Arial"/>
          <w:sz w:val="2"/>
        </w:rPr>
      </w:pPr>
      <w:r/>
    </w:p>
    <w:p>
      <w:pPr>
        <w:spacing w:line="14" w:lineRule="auto"/>
        <w:sectPr>
          <w:pgSz w:w="14490" w:h="10240"/>
          <w:pgMar w:top="104" w:right="231" w:bottom="400" w:left="174" w:header="0" w:footer="0" w:gutter="0"/>
        </w:sectPr>
        <w:rPr>
          <w:rFonts w:ascii="Arial" w:hAnsi="Arial" w:eastAsia="Arial" w:cs="Arial"/>
          <w:sz w:val="2"/>
          <w:szCs w:val="2"/>
        </w:rPr>
      </w:pPr>
    </w:p>
    <w:tbl>
      <w:tblPr>
        <w:tblStyle w:val="TableNormal"/>
        <w:tblW w:w="140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620"/>
        <w:gridCol w:w="839"/>
        <w:gridCol w:w="2748"/>
        <w:gridCol w:w="1289"/>
        <w:gridCol w:w="1389"/>
        <w:gridCol w:w="1359"/>
        <w:gridCol w:w="1239"/>
        <w:gridCol w:w="1019"/>
        <w:gridCol w:w="3143"/>
      </w:tblGrid>
      <w:tr>
        <w:trPr>
          <w:trHeight w:val="539" w:hRule="atLeast"/>
        </w:trPr>
        <w:tc>
          <w:tcPr>
            <w:tcW w:w="425" w:type="dxa"/>
            <w:vAlign w:val="top"/>
            <w:tcBorders>
              <w:bottom w:val="single" w:color="000000" w:sz="2" w:space="0"/>
              <w:top w:val="single" w:color="000000" w:sz="2" w:space="0"/>
            </w:tcBorders>
          </w:tcPr>
          <w:p>
            <w:pPr>
              <w:pStyle w:val="TableText"/>
              <w:ind w:left="86"/>
              <w:spacing w:before="212" w:line="219" w:lineRule="auto"/>
              <w:rPr>
                <w:sz w:val="12"/>
                <w:szCs w:val="12"/>
              </w:rPr>
            </w:pPr>
            <w:r>
              <w:rPr>
                <w:sz w:val="12"/>
                <w:szCs w:val="12"/>
                <w:b/>
                <w:bCs/>
                <w:spacing w:val="-3"/>
              </w:rPr>
              <w:t>分类</w:t>
            </w:r>
          </w:p>
        </w:tc>
        <w:tc>
          <w:tcPr>
            <w:tcW w:w="620" w:type="dxa"/>
            <w:vAlign w:val="top"/>
            <w:tcBorders>
              <w:bottom w:val="single" w:color="000000" w:sz="2" w:space="0"/>
              <w:top w:val="single" w:color="000000" w:sz="2" w:space="0"/>
            </w:tcBorders>
          </w:tcPr>
          <w:p>
            <w:pPr>
              <w:pStyle w:val="TableText"/>
              <w:ind w:left="61"/>
              <w:spacing w:before="33" w:line="219" w:lineRule="auto"/>
              <w:rPr>
                <w:sz w:val="12"/>
                <w:szCs w:val="12"/>
              </w:rPr>
            </w:pPr>
            <w:r>
              <w:rPr>
                <w:sz w:val="12"/>
                <w:szCs w:val="12"/>
                <w:b/>
                <w:bCs/>
                <w:spacing w:val="-3"/>
              </w:rPr>
              <w:t>消杀预防</w:t>
            </w:r>
          </w:p>
          <w:p>
            <w:pPr>
              <w:pStyle w:val="TableText"/>
              <w:ind w:left="61"/>
              <w:spacing w:before="17" w:line="220" w:lineRule="auto"/>
              <w:rPr>
                <w:sz w:val="12"/>
                <w:szCs w:val="12"/>
              </w:rPr>
            </w:pPr>
            <w:r>
              <w:rPr>
                <w:sz w:val="12"/>
                <w:szCs w:val="12"/>
                <w:b/>
                <w:bCs/>
                <w:spacing w:val="-3"/>
              </w:rPr>
              <w:t>及病虫害</w:t>
            </w:r>
          </w:p>
          <w:p>
            <w:pPr>
              <w:pStyle w:val="TableText"/>
              <w:ind w:left="181"/>
              <w:spacing w:before="26" w:line="219" w:lineRule="auto"/>
              <w:rPr>
                <w:sz w:val="12"/>
                <w:szCs w:val="12"/>
              </w:rPr>
            </w:pPr>
            <w:r>
              <w:rPr>
                <w:sz w:val="12"/>
                <w:szCs w:val="12"/>
                <w:b/>
                <w:bCs/>
                <w:spacing w:val="-3"/>
              </w:rPr>
              <w:t>分类</w:t>
            </w:r>
          </w:p>
        </w:tc>
        <w:tc>
          <w:tcPr>
            <w:tcW w:w="839" w:type="dxa"/>
            <w:vAlign w:val="top"/>
            <w:tcBorders>
              <w:bottom w:val="single" w:color="000000" w:sz="2" w:space="0"/>
              <w:top w:val="single" w:color="000000" w:sz="2" w:space="0"/>
            </w:tcBorders>
          </w:tcPr>
          <w:p>
            <w:pPr>
              <w:pStyle w:val="TableText"/>
              <w:ind w:left="111"/>
              <w:spacing w:before="212" w:line="219" w:lineRule="auto"/>
              <w:rPr>
                <w:sz w:val="12"/>
                <w:szCs w:val="12"/>
              </w:rPr>
            </w:pPr>
            <w:r>
              <w:rPr>
                <w:sz w:val="12"/>
                <w:szCs w:val="12"/>
                <w:b/>
                <w:bCs/>
                <w:spacing w:val="-3"/>
              </w:rPr>
              <w:t>常见病虫害</w:t>
            </w:r>
          </w:p>
        </w:tc>
        <w:tc>
          <w:tcPr>
            <w:tcW w:w="2748" w:type="dxa"/>
            <w:vAlign w:val="top"/>
            <w:tcBorders>
              <w:bottom w:val="single" w:color="000000" w:sz="2" w:space="0"/>
              <w:top w:val="single" w:color="000000" w:sz="2" w:space="0"/>
            </w:tcBorders>
          </w:tcPr>
          <w:p>
            <w:pPr>
              <w:pStyle w:val="TableText"/>
              <w:ind w:left="1032"/>
              <w:spacing w:before="212" w:line="219" w:lineRule="auto"/>
              <w:rPr>
                <w:sz w:val="12"/>
                <w:szCs w:val="12"/>
              </w:rPr>
            </w:pPr>
            <w:r>
              <w:rPr>
                <w:sz w:val="12"/>
                <w:szCs w:val="12"/>
                <w:b/>
                <w:bCs/>
                <w:spacing w:val="-3"/>
              </w:rPr>
              <w:t>主要发病月份</w:t>
            </w:r>
          </w:p>
        </w:tc>
        <w:tc>
          <w:tcPr>
            <w:tcW w:w="1289" w:type="dxa"/>
            <w:vAlign w:val="top"/>
            <w:tcBorders>
              <w:bottom w:val="single" w:color="000000" w:sz="2" w:space="0"/>
              <w:top w:val="single" w:color="000000" w:sz="2" w:space="0"/>
            </w:tcBorders>
          </w:tcPr>
          <w:p>
            <w:pPr>
              <w:pStyle w:val="TableText"/>
              <w:ind w:left="394"/>
              <w:spacing w:before="213" w:line="220" w:lineRule="auto"/>
              <w:rPr>
                <w:sz w:val="12"/>
                <w:szCs w:val="12"/>
              </w:rPr>
            </w:pPr>
            <w:r>
              <w:rPr>
                <w:sz w:val="12"/>
                <w:szCs w:val="12"/>
                <w:b/>
                <w:bCs/>
                <w:spacing w:val="-3"/>
              </w:rPr>
              <w:t>药品名称</w:t>
            </w:r>
          </w:p>
        </w:tc>
        <w:tc>
          <w:tcPr>
            <w:tcW w:w="1389" w:type="dxa"/>
            <w:vAlign w:val="top"/>
            <w:tcBorders>
              <w:bottom w:val="single" w:color="000000" w:sz="2" w:space="0"/>
              <w:top w:val="single" w:color="000000" w:sz="2" w:space="0"/>
            </w:tcBorders>
          </w:tcPr>
          <w:p>
            <w:pPr>
              <w:pStyle w:val="TableText"/>
              <w:ind w:left="445"/>
              <w:spacing w:before="213" w:line="220" w:lineRule="auto"/>
              <w:rPr>
                <w:sz w:val="12"/>
                <w:szCs w:val="12"/>
              </w:rPr>
            </w:pPr>
            <w:r>
              <w:rPr>
                <w:sz w:val="12"/>
                <w:szCs w:val="12"/>
                <w:b/>
                <w:bCs/>
                <w:spacing w:val="-3"/>
              </w:rPr>
              <w:t>主要成分</w:t>
            </w:r>
          </w:p>
        </w:tc>
        <w:tc>
          <w:tcPr>
            <w:tcW w:w="1359" w:type="dxa"/>
            <w:vAlign w:val="top"/>
            <w:tcBorders>
              <w:bottom w:val="single" w:color="000000" w:sz="2" w:space="0"/>
              <w:top w:val="single" w:color="000000" w:sz="2" w:space="0"/>
            </w:tcBorders>
          </w:tcPr>
          <w:p>
            <w:pPr>
              <w:pStyle w:val="TableText"/>
              <w:ind w:left="436"/>
              <w:spacing w:before="212" w:line="219" w:lineRule="auto"/>
              <w:rPr>
                <w:sz w:val="12"/>
                <w:szCs w:val="12"/>
              </w:rPr>
            </w:pPr>
            <w:r>
              <w:rPr>
                <w:sz w:val="12"/>
                <w:szCs w:val="12"/>
                <w:b/>
                <w:bCs/>
                <w:spacing w:val="-3"/>
              </w:rPr>
              <w:t>使用倍率</w:t>
            </w:r>
          </w:p>
        </w:tc>
        <w:tc>
          <w:tcPr>
            <w:tcW w:w="1239" w:type="dxa"/>
            <w:vAlign w:val="top"/>
            <w:tcBorders>
              <w:bottom w:val="single" w:color="000000" w:sz="2" w:space="0"/>
              <w:top w:val="single" w:color="000000" w:sz="2" w:space="0"/>
            </w:tcBorders>
          </w:tcPr>
          <w:p>
            <w:pPr>
              <w:pStyle w:val="TableText"/>
              <w:ind w:left="377"/>
              <w:spacing w:before="212" w:line="219" w:lineRule="auto"/>
              <w:rPr>
                <w:sz w:val="12"/>
                <w:szCs w:val="12"/>
              </w:rPr>
            </w:pPr>
            <w:r>
              <w:rPr>
                <w:sz w:val="12"/>
                <w:szCs w:val="12"/>
                <w:b/>
                <w:bCs/>
                <w:spacing w:val="-3"/>
              </w:rPr>
              <w:t>施用次数</w:t>
            </w:r>
          </w:p>
        </w:tc>
        <w:tc>
          <w:tcPr>
            <w:tcW w:w="1019" w:type="dxa"/>
            <w:vAlign w:val="top"/>
            <w:tcBorders>
              <w:bottom w:val="single" w:color="000000" w:sz="2" w:space="0"/>
              <w:top w:val="single" w:color="000000" w:sz="2" w:space="0"/>
            </w:tcBorders>
          </w:tcPr>
          <w:p>
            <w:pPr>
              <w:pStyle w:val="TableText"/>
              <w:ind w:left="388"/>
              <w:spacing w:before="212" w:line="219" w:lineRule="auto"/>
              <w:rPr>
                <w:sz w:val="12"/>
                <w:szCs w:val="12"/>
              </w:rPr>
            </w:pPr>
            <w:r>
              <w:rPr>
                <w:sz w:val="12"/>
                <w:szCs w:val="12"/>
                <w:b/>
                <w:bCs/>
                <w:spacing w:val="-3"/>
              </w:rPr>
              <w:t>规格</w:t>
            </w:r>
          </w:p>
        </w:tc>
        <w:tc>
          <w:tcPr>
            <w:tcW w:w="3143" w:type="dxa"/>
            <w:vAlign w:val="top"/>
            <w:tcBorders>
              <w:bottom w:val="single" w:color="000000" w:sz="2" w:space="0"/>
              <w:top w:val="single" w:color="000000" w:sz="2" w:space="0"/>
            </w:tcBorders>
          </w:tcPr>
          <w:p>
            <w:pPr>
              <w:pStyle w:val="TableText"/>
              <w:ind w:left="1469"/>
              <w:spacing w:before="213" w:line="221" w:lineRule="auto"/>
              <w:rPr>
                <w:sz w:val="12"/>
                <w:szCs w:val="12"/>
              </w:rPr>
            </w:pPr>
            <w:r>
              <w:rPr>
                <w:sz w:val="12"/>
                <w:szCs w:val="12"/>
                <w:b/>
                <w:bCs/>
                <w:spacing w:val="-3"/>
              </w:rPr>
              <w:t>备注</w:t>
            </w:r>
          </w:p>
        </w:tc>
      </w:tr>
      <w:tr>
        <w:trPr>
          <w:trHeight w:val="305" w:hRule="atLeast"/>
        </w:trPr>
        <w:tc>
          <w:tcPr>
            <w:tcW w:w="425"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4"/>
              <w:spacing w:before="39" w:line="219" w:lineRule="auto"/>
              <w:rPr>
                <w:sz w:val="12"/>
                <w:szCs w:val="12"/>
              </w:rPr>
            </w:pPr>
            <w:r>
              <w:rPr>
                <w:sz w:val="12"/>
                <w:szCs w:val="12"/>
                <w:spacing w:val="-2"/>
              </w:rPr>
              <w:t>杀</w:t>
            </w:r>
            <w:r>
              <w:rPr>
                <w:sz w:val="12"/>
                <w:szCs w:val="12"/>
                <w:color w:val="505050"/>
                <w:spacing w:val="-2"/>
              </w:rPr>
              <w:t>虫</w:t>
            </w:r>
            <w:r>
              <w:rPr>
                <w:sz w:val="12"/>
                <w:szCs w:val="12"/>
                <w:spacing w:val="-2"/>
              </w:rPr>
              <w:t>刻</w:t>
            </w:r>
          </w:p>
        </w:tc>
        <w:tc>
          <w:tcPr>
            <w:tcW w:w="620" w:type="dxa"/>
            <w:vAlign w:val="top"/>
            <w:vMerge w:val="restart"/>
            <w:tcBorders>
              <w:bottom w:val="nil"/>
              <w:top w:val="single" w:color="000000" w:sz="2" w:space="0"/>
            </w:tcBorders>
          </w:tcPr>
          <w:p>
            <w:pPr>
              <w:spacing w:line="447" w:lineRule="auto"/>
              <w:rPr>
                <w:rFonts w:ascii="Arial"/>
                <w:sz w:val="21"/>
              </w:rPr>
            </w:pPr>
            <w:r/>
          </w:p>
          <w:p>
            <w:pPr>
              <w:pStyle w:val="TableText"/>
              <w:ind w:left="60"/>
              <w:spacing w:before="39" w:line="219" w:lineRule="auto"/>
              <w:rPr>
                <w:sz w:val="12"/>
                <w:szCs w:val="12"/>
              </w:rPr>
            </w:pPr>
            <w:r>
              <w:rPr>
                <w:sz w:val="12"/>
                <w:szCs w:val="12"/>
                <w:spacing w:val="-1"/>
              </w:rPr>
              <w:t>食叶害虫</w:t>
            </w:r>
          </w:p>
        </w:tc>
        <w:tc>
          <w:tcPr>
            <w:tcW w:w="839" w:type="dxa"/>
            <w:vAlign w:val="top"/>
            <w:vMerge w:val="restart"/>
            <w:tcBorders>
              <w:bottom w:val="nil"/>
              <w:top w:val="single" w:color="000000" w:sz="2" w:space="0"/>
            </w:tcBorders>
          </w:tcPr>
          <w:p>
            <w:pPr>
              <w:pStyle w:val="TableText"/>
              <w:ind w:left="59" w:hanging="9"/>
              <w:spacing w:before="189" w:line="221" w:lineRule="auto"/>
              <w:rPr>
                <w:sz w:val="12"/>
                <w:szCs w:val="12"/>
              </w:rPr>
            </w:pPr>
            <w:r>
              <w:rPr>
                <w:sz w:val="12"/>
                <w:szCs w:val="12"/>
                <w:spacing w:val="-1"/>
              </w:rPr>
              <w:t>粘虫、天幕毛</w:t>
            </w:r>
            <w:r>
              <w:rPr>
                <w:sz w:val="12"/>
                <w:szCs w:val="12"/>
              </w:rPr>
              <w:t xml:space="preserve">  </w:t>
            </w:r>
            <w:r>
              <w:rPr>
                <w:sz w:val="12"/>
                <w:szCs w:val="12"/>
                <w:spacing w:val="-2"/>
              </w:rPr>
              <w:t>虫、叶甲、衰</w:t>
            </w:r>
            <w:r>
              <w:rPr>
                <w:sz w:val="12"/>
                <w:szCs w:val="12"/>
                <w:spacing w:val="1"/>
              </w:rPr>
              <w:t xml:space="preserve">  </w:t>
            </w:r>
            <w:r>
              <w:rPr>
                <w:sz w:val="12"/>
                <w:szCs w:val="12"/>
                <w:spacing w:val="-1"/>
              </w:rPr>
              <w:t>蛾、刺蛾、夜</w:t>
            </w:r>
            <w:r>
              <w:rPr>
                <w:sz w:val="12"/>
                <w:szCs w:val="12"/>
              </w:rPr>
              <w:t xml:space="preserve">  </w:t>
            </w:r>
            <w:r>
              <w:rPr>
                <w:sz w:val="12"/>
                <w:szCs w:val="12"/>
                <w:spacing w:val="-8"/>
              </w:rPr>
              <w:t>蛾 、</w:t>
            </w:r>
            <w:r>
              <w:rPr>
                <w:sz w:val="12"/>
                <w:szCs w:val="12"/>
                <w:spacing w:val="-9"/>
              </w:rPr>
              <w:t xml:space="preserve"> </w:t>
            </w:r>
            <w:r>
              <w:rPr>
                <w:sz w:val="12"/>
                <w:szCs w:val="12"/>
                <w:spacing w:val="-8"/>
              </w:rPr>
              <w:t>尺 、 百</w:t>
            </w:r>
          </w:p>
          <w:p>
            <w:pPr>
              <w:pStyle w:val="TableText"/>
              <w:ind w:left="310"/>
              <w:spacing w:before="4" w:line="219" w:lineRule="auto"/>
              <w:rPr>
                <w:sz w:val="12"/>
                <w:szCs w:val="12"/>
              </w:rPr>
            </w:pPr>
            <w:r>
              <w:rPr>
                <w:sz w:val="12"/>
                <w:szCs w:val="12"/>
                <w:spacing w:val="-2"/>
              </w:rPr>
              <w:t>粉蝶</w:t>
            </w:r>
          </w:p>
        </w:tc>
        <w:tc>
          <w:tcPr>
            <w:tcW w:w="2748" w:type="dxa"/>
            <w:vAlign w:val="top"/>
            <w:vMerge w:val="restart"/>
            <w:tcBorders>
              <w:bottom w:val="nil"/>
              <w:top w:val="single" w:color="000000" w:sz="2" w:space="0"/>
            </w:tcBorders>
          </w:tcPr>
          <w:p>
            <w:pPr>
              <w:pStyle w:val="TableText"/>
              <w:ind w:left="11" w:right="44"/>
              <w:spacing w:before="109" w:line="225" w:lineRule="auto"/>
              <w:rPr>
                <w:sz w:val="12"/>
                <w:szCs w:val="12"/>
              </w:rPr>
            </w:pPr>
            <w:r>
              <w:rPr>
                <w:sz w:val="12"/>
                <w:szCs w:val="12"/>
                <w:spacing w:val="-1"/>
              </w:rPr>
              <w:t>一、3月预防消杀为主，在进入雨季，高发季前全园</w:t>
            </w:r>
            <w:r>
              <w:rPr>
                <w:sz w:val="12"/>
                <w:szCs w:val="12"/>
                <w:spacing w:val="4"/>
              </w:rPr>
              <w:t xml:space="preserve"> </w:t>
            </w:r>
            <w:r>
              <w:rPr>
                <w:sz w:val="12"/>
                <w:szCs w:val="12"/>
                <w:spacing w:val="-1"/>
              </w:rPr>
              <w:t>区消杀虫卵、蛹：</w:t>
            </w:r>
          </w:p>
          <w:p>
            <w:pPr>
              <w:pStyle w:val="TableText"/>
              <w:ind w:left="11" w:right="91"/>
              <w:spacing w:before="16" w:line="208" w:lineRule="auto"/>
              <w:rPr>
                <w:sz w:val="12"/>
                <w:szCs w:val="12"/>
              </w:rPr>
            </w:pPr>
            <w:r>
              <w:rPr>
                <w:sz w:val="12"/>
                <w:szCs w:val="12"/>
                <w:spacing w:val="-1"/>
              </w:rPr>
              <w:t>三、4--6月是大部分害虫成蛹或羽化期。采取人工</w:t>
            </w:r>
            <w:r>
              <w:rPr>
                <w:sz w:val="12"/>
                <w:szCs w:val="12"/>
                <w:spacing w:val="18"/>
              </w:rPr>
              <w:t xml:space="preserve"> </w:t>
            </w:r>
            <w:r>
              <w:rPr>
                <w:sz w:val="12"/>
                <w:szCs w:val="12"/>
                <w:spacing w:val="3"/>
              </w:rPr>
              <w:t>加药物双重治疗除卵，除鲜，除成虫；</w:t>
            </w:r>
          </w:p>
          <w:p>
            <w:pPr>
              <w:pStyle w:val="TableText"/>
              <w:ind w:left="11" w:right="31"/>
              <w:spacing w:line="232" w:lineRule="auto"/>
              <w:rPr>
                <w:sz w:val="12"/>
                <w:szCs w:val="12"/>
              </w:rPr>
            </w:pPr>
            <w:r>
              <w:rPr>
                <w:sz w:val="12"/>
                <w:szCs w:val="12"/>
              </w:rPr>
              <w:t>三、7、8、9、10四个月为均有零星出</w:t>
            </w:r>
            <w:r>
              <w:rPr>
                <w:sz w:val="12"/>
                <w:szCs w:val="12"/>
                <w:spacing w:val="-1"/>
              </w:rPr>
              <w:t>现，有发现病</w:t>
            </w:r>
            <w:r>
              <w:rPr>
                <w:sz w:val="12"/>
                <w:szCs w:val="12"/>
              </w:rPr>
              <w:t xml:space="preserve"> </w:t>
            </w:r>
            <w:r>
              <w:rPr>
                <w:sz w:val="12"/>
                <w:szCs w:val="12"/>
                <w:spacing w:val="-1"/>
              </w:rPr>
              <w:t>情，及时唤药处理，</w:t>
            </w:r>
          </w:p>
        </w:tc>
        <w:tc>
          <w:tcPr>
            <w:tcW w:w="1289" w:type="dxa"/>
            <w:vAlign w:val="top"/>
            <w:tcBorders>
              <w:bottom w:val="single" w:color="000000" w:sz="2" w:space="0"/>
              <w:top w:val="single" w:color="000000" w:sz="2" w:space="0"/>
            </w:tcBorders>
          </w:tcPr>
          <w:p>
            <w:pPr>
              <w:pStyle w:val="TableText"/>
              <w:ind w:left="333"/>
              <w:spacing w:before="90" w:line="219" w:lineRule="auto"/>
              <w:rPr>
                <w:sz w:val="12"/>
                <w:szCs w:val="12"/>
              </w:rPr>
            </w:pPr>
            <w:r>
              <w:rPr>
                <w:sz w:val="12"/>
                <w:szCs w:val="12"/>
                <w:spacing w:val="-1"/>
              </w:rPr>
              <w:t>诺普信瑞功</w:t>
            </w:r>
          </w:p>
        </w:tc>
        <w:tc>
          <w:tcPr>
            <w:tcW w:w="1389" w:type="dxa"/>
            <w:vAlign w:val="top"/>
            <w:tcBorders>
              <w:bottom w:val="single" w:color="000000" w:sz="2" w:space="0"/>
              <w:top w:val="single" w:color="000000" w:sz="2" w:space="0"/>
            </w:tcBorders>
          </w:tcPr>
          <w:p>
            <w:pPr>
              <w:pStyle w:val="TableText"/>
              <w:ind w:left="233"/>
              <w:spacing w:before="90" w:line="219" w:lineRule="auto"/>
              <w:rPr>
                <w:sz w:val="12"/>
                <w:szCs w:val="12"/>
              </w:rPr>
            </w:pPr>
            <w:r>
              <w:rPr>
                <w:sz w:val="12"/>
                <w:szCs w:val="12"/>
                <w:spacing w:val="-1"/>
              </w:rPr>
              <w:t>高效氯氟氰菊酯5</w:t>
            </w:r>
          </w:p>
        </w:tc>
        <w:tc>
          <w:tcPr>
            <w:tcW w:w="1359" w:type="dxa"/>
            <w:vAlign w:val="top"/>
            <w:tcBorders>
              <w:bottom w:val="single" w:color="000000" w:sz="2" w:space="0"/>
              <w:top w:val="single" w:color="000000" w:sz="2" w:space="0"/>
            </w:tcBorders>
          </w:tcPr>
          <w:p>
            <w:pPr>
              <w:pStyle w:val="TableText"/>
              <w:ind w:left="344"/>
              <w:spacing w:before="90" w:line="220" w:lineRule="auto"/>
              <w:rPr>
                <w:sz w:val="12"/>
                <w:szCs w:val="12"/>
              </w:rPr>
            </w:pPr>
            <w:r>
              <w:rPr>
                <w:sz w:val="12"/>
                <w:szCs w:val="12"/>
                <w:spacing w:val="-5"/>
              </w:rPr>
              <w:t>1000—1500倍</w:t>
            </w:r>
          </w:p>
        </w:tc>
        <w:tc>
          <w:tcPr>
            <w:tcW w:w="1239" w:type="dxa"/>
            <w:vAlign w:val="top"/>
            <w:vMerge w:val="restart"/>
            <w:tcBorders>
              <w:bottom w:val="nil"/>
              <w:top w:val="single" w:color="000000" w:sz="2" w:space="0"/>
            </w:tcBorders>
          </w:tcPr>
          <w:p>
            <w:pPr>
              <w:pStyle w:val="TableText"/>
              <w:ind w:left="455" w:right="19" w:hanging="439"/>
              <w:spacing w:before="189" w:line="234" w:lineRule="auto"/>
              <w:rPr>
                <w:sz w:val="12"/>
                <w:szCs w:val="12"/>
              </w:rPr>
            </w:pPr>
            <w:r>
              <w:rPr>
                <w:sz w:val="12"/>
                <w:szCs w:val="12"/>
                <w:spacing w:val="-1"/>
              </w:rPr>
              <w:t>一般用3次，时间间隔7</w:t>
            </w:r>
            <w:r>
              <w:rPr>
                <w:sz w:val="12"/>
                <w:szCs w:val="12"/>
                <w:spacing w:val="3"/>
              </w:rPr>
              <w:t xml:space="preserve"> </w:t>
            </w:r>
            <w:r>
              <w:rPr>
                <w:sz w:val="12"/>
                <w:szCs w:val="12"/>
                <w:spacing w:val="-2"/>
              </w:rPr>
              <w:t>到10天</w:t>
            </w:r>
          </w:p>
        </w:tc>
        <w:tc>
          <w:tcPr>
            <w:tcW w:w="1019" w:type="dxa"/>
            <w:vAlign w:val="top"/>
            <w:tcBorders>
              <w:bottom w:val="single" w:color="000000" w:sz="2" w:space="0"/>
              <w:top w:val="single" w:color="000000" w:sz="2" w:space="0"/>
            </w:tcBorders>
          </w:tcPr>
          <w:p>
            <w:pPr>
              <w:pStyle w:val="TableText"/>
              <w:ind w:left="267"/>
              <w:spacing w:before="90" w:line="221" w:lineRule="auto"/>
              <w:rPr>
                <w:sz w:val="12"/>
                <w:szCs w:val="12"/>
              </w:rPr>
            </w:pPr>
            <w:r>
              <w:rPr>
                <w:sz w:val="12"/>
                <w:szCs w:val="12"/>
                <w:spacing w:val="-1"/>
              </w:rPr>
              <w:t>000al/瓶</w:t>
            </w:r>
          </w:p>
        </w:tc>
        <w:tc>
          <w:tcPr>
            <w:tcW w:w="3143" w:type="dxa"/>
            <w:vAlign w:val="top"/>
            <w:tcBorders>
              <w:bottom w:val="single" w:color="000000" w:sz="2" w:space="0"/>
              <w:top w:val="single" w:color="000000" w:sz="2" w:space="0"/>
            </w:tcBorders>
          </w:tcPr>
          <w:p>
            <w:pPr>
              <w:pStyle w:val="TableText"/>
              <w:ind w:left="18"/>
              <w:spacing w:before="89" w:line="218" w:lineRule="auto"/>
              <w:rPr>
                <w:sz w:val="12"/>
                <w:szCs w:val="12"/>
              </w:rPr>
            </w:pPr>
            <w:r>
              <w:rPr>
                <w:sz w:val="12"/>
                <w:szCs w:val="12"/>
                <w:spacing w:val="-1"/>
              </w:rPr>
              <w:t>青虫、螺、毒刺峨。红蚂蚁</w:t>
            </w:r>
          </w:p>
        </w:tc>
      </w:tr>
      <w:tr>
        <w:trPr>
          <w:trHeight w:val="33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29" w:line="219" w:lineRule="auto"/>
              <w:rPr>
                <w:sz w:val="12"/>
                <w:szCs w:val="12"/>
              </w:rPr>
            </w:pPr>
            <w:r>
              <w:rPr>
                <w:sz w:val="12"/>
                <w:szCs w:val="12"/>
                <w:spacing w:val="-1"/>
              </w:rPr>
              <w:t>诺普信黑战</w:t>
            </w:r>
          </w:p>
        </w:tc>
        <w:tc>
          <w:tcPr>
            <w:tcW w:w="1389" w:type="dxa"/>
            <w:vAlign w:val="top"/>
            <w:tcBorders>
              <w:bottom w:val="single" w:color="000000" w:sz="2" w:space="0"/>
              <w:top w:val="single" w:color="000000" w:sz="2" w:space="0"/>
            </w:tcBorders>
          </w:tcPr>
          <w:p>
            <w:pPr>
              <w:pStyle w:val="TableText"/>
              <w:ind w:left="173"/>
              <w:spacing w:before="129" w:line="219" w:lineRule="auto"/>
              <w:rPr>
                <w:sz w:val="12"/>
                <w:szCs w:val="12"/>
              </w:rPr>
            </w:pPr>
            <w:r>
              <w:rPr>
                <w:sz w:val="12"/>
                <w:szCs w:val="12"/>
                <w:spacing w:val="-5"/>
              </w:rPr>
              <w:t>甲维盐</w:t>
            </w:r>
            <w:r>
              <w:rPr>
                <w:sz w:val="12"/>
                <w:szCs w:val="12"/>
                <w:spacing w:val="-9"/>
              </w:rPr>
              <w:t xml:space="preserve"> </w:t>
            </w:r>
            <w:r>
              <w:rPr>
                <w:sz w:val="12"/>
                <w:szCs w:val="12"/>
                <w:spacing w:val="-5"/>
              </w:rPr>
              <w:t>·虫酰肼20%</w:t>
            </w:r>
          </w:p>
        </w:tc>
        <w:tc>
          <w:tcPr>
            <w:tcW w:w="1359" w:type="dxa"/>
            <w:vAlign w:val="top"/>
            <w:tcBorders>
              <w:bottom w:val="single" w:color="000000" w:sz="2" w:space="0"/>
              <w:top w:val="single" w:color="000000" w:sz="2" w:space="0"/>
            </w:tcBorders>
          </w:tcPr>
          <w:p>
            <w:pPr>
              <w:pStyle w:val="TableText"/>
              <w:ind w:left="344"/>
              <w:spacing w:before="130" w:line="220" w:lineRule="auto"/>
              <w:rPr>
                <w:sz w:val="12"/>
                <w:szCs w:val="12"/>
              </w:rPr>
            </w:pPr>
            <w:r>
              <w:rPr>
                <w:sz w:val="12"/>
                <w:szCs w:val="12"/>
                <w:spacing w:val="-2"/>
              </w:rPr>
              <w:t>1000-1500倍</w:t>
            </w:r>
          </w:p>
        </w:tc>
        <w:tc>
          <w:tcPr>
            <w:tcW w:w="1239" w:type="dxa"/>
            <w:vAlign w:val="top"/>
            <w:vMerge w:val="continue"/>
            <w:tcBorders>
              <w:bottom w:val="single" w:color="000000" w:sz="2" w:space="0"/>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67"/>
              <w:spacing w:before="130" w:line="221" w:lineRule="auto"/>
              <w:rPr>
                <w:sz w:val="12"/>
                <w:szCs w:val="12"/>
              </w:rPr>
            </w:pPr>
            <w:r>
              <w:rPr>
                <w:sz w:val="12"/>
                <w:szCs w:val="12"/>
                <w:spacing w:val="-2"/>
              </w:rPr>
              <w:t>100ml/瓶</w:t>
            </w:r>
          </w:p>
        </w:tc>
        <w:tc>
          <w:tcPr>
            <w:tcW w:w="3143" w:type="dxa"/>
            <w:vAlign w:val="top"/>
            <w:tcBorders>
              <w:bottom w:val="single" w:color="000000" w:sz="2" w:space="0"/>
              <w:top w:val="single" w:color="000000" w:sz="2" w:space="0"/>
            </w:tcBorders>
          </w:tcPr>
          <w:p>
            <w:pPr>
              <w:pStyle w:val="TableText"/>
              <w:ind w:left="18"/>
              <w:spacing w:before="129" w:line="219" w:lineRule="auto"/>
              <w:rPr>
                <w:sz w:val="12"/>
                <w:szCs w:val="12"/>
              </w:rPr>
            </w:pPr>
            <w:r>
              <w:rPr>
                <w:sz w:val="12"/>
                <w:szCs w:val="12"/>
                <w:spacing w:val="-1"/>
              </w:rPr>
              <w:t>高效广谱杀虫刻。杀食叶性害虫特效</w:t>
            </w:r>
          </w:p>
        </w:tc>
      </w:tr>
      <w:tr>
        <w:trPr>
          <w:trHeight w:val="44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3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2"/>
              <w:spacing w:before="109" w:line="217" w:lineRule="auto"/>
              <w:rPr>
                <w:sz w:val="12"/>
                <w:szCs w:val="12"/>
              </w:rPr>
            </w:pPr>
            <w:r>
              <w:rPr>
                <w:sz w:val="12"/>
                <w:szCs w:val="12"/>
              </w:rPr>
              <w:t>国光崇刻《适用棕榈植</w:t>
            </w:r>
          </w:p>
          <w:p>
            <w:pPr>
              <w:pStyle w:val="TableText"/>
              <w:ind w:left="543"/>
              <w:spacing w:line="220" w:lineRule="auto"/>
              <w:rPr>
                <w:sz w:val="12"/>
                <w:szCs w:val="12"/>
              </w:rPr>
            </w:pPr>
            <w:r>
              <w:rPr>
                <w:sz w:val="12"/>
                <w:szCs w:val="12"/>
                <w:spacing w:val="-3"/>
              </w:rPr>
              <w:t>物</w:t>
            </w:r>
            <w:r>
              <w:rPr>
                <w:sz w:val="12"/>
                <w:szCs w:val="12"/>
                <w:spacing w:val="-24"/>
              </w:rPr>
              <w:t xml:space="preserve"> </w:t>
            </w:r>
            <w:r>
              <w:rPr>
                <w:sz w:val="12"/>
                <w:szCs w:val="12"/>
                <w:spacing w:val="-3"/>
              </w:rPr>
              <w:t>)</w:t>
            </w:r>
          </w:p>
        </w:tc>
        <w:tc>
          <w:tcPr>
            <w:tcW w:w="1389" w:type="dxa"/>
            <w:vAlign w:val="top"/>
            <w:tcBorders>
              <w:bottom w:val="single" w:color="000000" w:sz="2" w:space="0"/>
              <w:top w:val="single" w:color="000000" w:sz="2" w:space="0"/>
            </w:tcBorders>
          </w:tcPr>
          <w:p>
            <w:pPr>
              <w:pStyle w:val="TableText"/>
              <w:ind w:left="414"/>
              <w:spacing w:before="160" w:line="220" w:lineRule="auto"/>
              <w:rPr>
                <w:sz w:val="12"/>
                <w:szCs w:val="12"/>
              </w:rPr>
            </w:pPr>
            <w:r>
              <w:rPr>
                <w:sz w:val="12"/>
                <w:szCs w:val="12"/>
                <w:spacing w:val="-1"/>
              </w:rPr>
              <w:t>50%碗虫眯</w:t>
            </w:r>
          </w:p>
        </w:tc>
        <w:tc>
          <w:tcPr>
            <w:tcW w:w="1359" w:type="dxa"/>
            <w:vAlign w:val="top"/>
            <w:tcBorders>
              <w:bottom w:val="single" w:color="000000" w:sz="2" w:space="0"/>
              <w:top w:val="single" w:color="000000" w:sz="2" w:space="0"/>
            </w:tcBorders>
          </w:tcPr>
          <w:p>
            <w:pPr>
              <w:pStyle w:val="TableText"/>
              <w:ind w:left="434" w:right="19" w:hanging="419"/>
              <w:spacing w:before="101" w:line="247" w:lineRule="auto"/>
              <w:rPr>
                <w:sz w:val="12"/>
                <w:szCs w:val="12"/>
              </w:rPr>
            </w:pPr>
            <w:r>
              <w:rPr>
                <w:sz w:val="12"/>
                <w:szCs w:val="12"/>
                <w:spacing w:val="-1"/>
              </w:rPr>
              <w:t>挂包型，挫在苏铁及海枣</w:t>
            </w:r>
            <w:r>
              <w:rPr>
                <w:sz w:val="12"/>
                <w:szCs w:val="12"/>
                <w:spacing w:val="4"/>
              </w:rPr>
              <w:t xml:space="preserve"> </w:t>
            </w:r>
            <w:r>
              <w:rPr>
                <w:sz w:val="12"/>
                <w:szCs w:val="12"/>
                <w:spacing w:val="-1"/>
              </w:rPr>
              <w:t>树叶心上</w:t>
            </w:r>
          </w:p>
        </w:tc>
        <w:tc>
          <w:tcPr>
            <w:tcW w:w="1239" w:type="dxa"/>
            <w:vAlign w:val="top"/>
            <w:tcBorders>
              <w:bottom w:val="single" w:color="000000" w:sz="2" w:space="0"/>
              <w:top w:val="single" w:color="000000" w:sz="2" w:space="0"/>
            </w:tcBorders>
          </w:tcPr>
          <w:p>
            <w:pPr>
              <w:pStyle w:val="TableText"/>
              <w:ind w:left="346"/>
              <w:spacing w:before="160" w:line="219" w:lineRule="auto"/>
              <w:rPr>
                <w:sz w:val="12"/>
                <w:szCs w:val="12"/>
              </w:rPr>
            </w:pPr>
            <w:r>
              <w:rPr>
                <w:sz w:val="12"/>
                <w:szCs w:val="12"/>
                <w:spacing w:val="-2"/>
              </w:rPr>
              <w:t>一般用1次</w:t>
            </w:r>
          </w:p>
        </w:tc>
        <w:tc>
          <w:tcPr>
            <w:tcW w:w="1019" w:type="dxa"/>
            <w:vAlign w:val="top"/>
            <w:tcBorders>
              <w:bottom w:val="single" w:color="000000" w:sz="2" w:space="0"/>
              <w:top w:val="single" w:color="000000" w:sz="2" w:space="0"/>
            </w:tcBorders>
          </w:tcPr>
          <w:p>
            <w:pPr>
              <w:pStyle w:val="TableText"/>
              <w:ind w:left="237"/>
              <w:spacing w:before="156" w:line="213" w:lineRule="auto"/>
              <w:rPr>
                <w:sz w:val="12"/>
                <w:szCs w:val="12"/>
              </w:rPr>
            </w:pPr>
            <w:r>
              <w:rPr>
                <w:sz w:val="12"/>
                <w:szCs w:val="12"/>
                <w:spacing w:val="3"/>
              </w:rPr>
              <w:t>(2.5g/装)</w:t>
            </w:r>
          </w:p>
        </w:tc>
        <w:tc>
          <w:tcPr>
            <w:tcW w:w="3143" w:type="dxa"/>
            <w:vAlign w:val="top"/>
            <w:tcBorders>
              <w:bottom w:val="single" w:color="000000" w:sz="2" w:space="0"/>
              <w:top w:val="single" w:color="000000" w:sz="2" w:space="0"/>
            </w:tcBorders>
          </w:tcPr>
          <w:p>
            <w:pPr>
              <w:pStyle w:val="TableText"/>
              <w:ind w:left="18"/>
              <w:spacing w:before="160" w:line="218" w:lineRule="auto"/>
              <w:rPr>
                <w:sz w:val="12"/>
                <w:szCs w:val="12"/>
              </w:rPr>
            </w:pPr>
            <w:r>
              <w:rPr>
                <w:sz w:val="12"/>
                <w:szCs w:val="12"/>
                <w:spacing w:val="1"/>
              </w:rPr>
              <w:t>杀棕椭科树上部心叶甲</w:t>
            </w:r>
          </w:p>
        </w:tc>
      </w:tr>
      <w:tr>
        <w:trPr>
          <w:trHeight w:val="304" w:hRule="atLeast"/>
        </w:trPr>
        <w:tc>
          <w:tcPr>
            <w:tcW w:w="425" w:type="dxa"/>
            <w:vAlign w:val="top"/>
            <w:vMerge w:val="continue"/>
            <w:tcBorders>
              <w:bottom w:val="nil"/>
              <w:top w:val="nil"/>
            </w:tcBorders>
          </w:tcPr>
          <w:p>
            <w:pPr>
              <w:rPr>
                <w:rFonts w:ascii="Arial"/>
                <w:sz w:val="21"/>
              </w:rPr>
            </w:pPr>
            <w:r/>
          </w:p>
        </w:tc>
        <w:tc>
          <w:tcPr>
            <w:tcW w:w="620" w:type="dxa"/>
            <w:vAlign w:val="top"/>
            <w:vMerge w:val="restart"/>
            <w:tcBorders>
              <w:bottom w:val="nil"/>
              <w:top w:val="single" w:color="000000" w:sz="2" w:space="0"/>
            </w:tcBorders>
          </w:tcPr>
          <w:p>
            <w:pPr>
              <w:spacing w:line="379" w:lineRule="auto"/>
              <w:rPr>
                <w:rFonts w:ascii="Arial"/>
                <w:sz w:val="21"/>
              </w:rPr>
            </w:pPr>
            <w:r/>
          </w:p>
          <w:p>
            <w:pPr>
              <w:pStyle w:val="TableText"/>
              <w:ind w:left="60"/>
              <w:spacing w:before="39" w:line="219" w:lineRule="auto"/>
              <w:rPr>
                <w:sz w:val="12"/>
                <w:szCs w:val="12"/>
              </w:rPr>
            </w:pPr>
            <w:r>
              <w:rPr>
                <w:sz w:val="12"/>
                <w:szCs w:val="12"/>
                <w:spacing w:val="-1"/>
              </w:rPr>
              <w:t>刺吸害虫</w:t>
            </w:r>
          </w:p>
        </w:tc>
        <w:tc>
          <w:tcPr>
            <w:tcW w:w="839" w:type="dxa"/>
            <w:vAlign w:val="top"/>
            <w:vMerge w:val="restart"/>
            <w:tcBorders>
              <w:bottom w:val="nil"/>
              <w:top w:val="single" w:color="000000" w:sz="2" w:space="0"/>
            </w:tcBorders>
          </w:tcPr>
          <w:p>
            <w:pPr>
              <w:pStyle w:val="TableText"/>
              <w:ind w:left="50"/>
              <w:spacing w:before="191" w:line="220" w:lineRule="auto"/>
              <w:rPr>
                <w:sz w:val="12"/>
                <w:szCs w:val="12"/>
              </w:rPr>
            </w:pPr>
            <w:r>
              <w:rPr>
                <w:sz w:val="12"/>
                <w:szCs w:val="12"/>
                <w:spacing w:val="-1"/>
              </w:rPr>
              <w:t>球坚蚧，脂蚧</w:t>
            </w:r>
          </w:p>
          <w:p>
            <w:pPr>
              <w:pStyle w:val="TableText"/>
              <w:ind w:left="70"/>
              <w:spacing w:before="6" w:line="200" w:lineRule="auto"/>
              <w:rPr>
                <w:sz w:val="12"/>
                <w:szCs w:val="12"/>
              </w:rPr>
            </w:pPr>
            <w:r>
              <w:rPr>
                <w:sz w:val="12"/>
                <w:szCs w:val="12"/>
              </w:rPr>
              <w:t>、粉蚡、吹棉</w:t>
            </w:r>
          </w:p>
          <w:p>
            <w:pPr>
              <w:pStyle w:val="TableText"/>
              <w:ind w:left="50"/>
              <w:spacing w:line="219" w:lineRule="auto"/>
              <w:rPr>
                <w:sz w:val="12"/>
                <w:szCs w:val="12"/>
              </w:rPr>
            </w:pPr>
            <w:r>
              <w:rPr>
                <w:sz w:val="12"/>
                <w:szCs w:val="12"/>
                <w:spacing w:val="-1"/>
              </w:rPr>
              <w:t>蚧、粉虱、木</w:t>
            </w:r>
          </w:p>
          <w:p>
            <w:pPr>
              <w:pStyle w:val="TableText"/>
              <w:ind w:left="350"/>
              <w:spacing w:before="19" w:line="221" w:lineRule="auto"/>
              <w:rPr>
                <w:sz w:val="12"/>
                <w:szCs w:val="12"/>
              </w:rPr>
            </w:pPr>
            <w:r>
              <w:rPr>
                <w:sz w:val="12"/>
                <w:szCs w:val="12"/>
              </w:rPr>
              <w:t>虱</w:t>
            </w:r>
          </w:p>
        </w:tc>
        <w:tc>
          <w:tcPr>
            <w:tcW w:w="2748" w:type="dxa"/>
            <w:vAlign w:val="top"/>
            <w:vMerge w:val="restart"/>
            <w:tcBorders>
              <w:bottom w:val="nil"/>
              <w:top w:val="single" w:color="000000" w:sz="2" w:space="0"/>
            </w:tcBorders>
          </w:tcPr>
          <w:p>
            <w:pPr>
              <w:pStyle w:val="TableText"/>
              <w:ind w:left="11" w:right="159"/>
              <w:spacing w:before="180" w:line="242" w:lineRule="auto"/>
              <w:rPr>
                <w:sz w:val="12"/>
                <w:szCs w:val="12"/>
              </w:rPr>
            </w:pPr>
            <w:r>
              <w:rPr>
                <w:sz w:val="12"/>
                <w:szCs w:val="12"/>
                <w:spacing w:val="-1"/>
              </w:rPr>
              <w:t>一、4月已经有成虫出现，配合春季消杀，预防为</w:t>
            </w:r>
            <w:r>
              <w:rPr>
                <w:sz w:val="12"/>
                <w:szCs w:val="12"/>
                <w:spacing w:val="8"/>
              </w:rPr>
              <w:t xml:space="preserve"> </w:t>
            </w:r>
            <w:r>
              <w:rPr>
                <w:sz w:val="12"/>
                <w:szCs w:val="12"/>
                <w:spacing w:val="-3"/>
              </w:rPr>
              <w:t>主</w:t>
            </w:r>
            <w:r>
              <w:rPr>
                <w:sz w:val="12"/>
                <w:szCs w:val="12"/>
                <w:spacing w:val="-27"/>
              </w:rPr>
              <w:t xml:space="preserve"> </w:t>
            </w:r>
            <w:r>
              <w:rPr>
                <w:sz w:val="12"/>
                <w:szCs w:val="12"/>
                <w:spacing w:val="-3"/>
              </w:rPr>
              <w:t>：</w:t>
            </w:r>
          </w:p>
          <w:p>
            <w:pPr>
              <w:pStyle w:val="TableText"/>
              <w:ind w:left="11" w:right="213"/>
              <w:spacing w:before="5" w:line="210" w:lineRule="auto"/>
              <w:rPr>
                <w:sz w:val="12"/>
                <w:szCs w:val="12"/>
              </w:rPr>
            </w:pPr>
            <w:r>
              <w:rPr>
                <w:sz w:val="12"/>
                <w:szCs w:val="12"/>
                <w:spacing w:val="-1"/>
              </w:rPr>
              <w:t>二、5-10月，六个月为均有零星出现，有发现病</w:t>
            </w:r>
            <w:r>
              <w:rPr>
                <w:sz w:val="12"/>
                <w:szCs w:val="12"/>
                <w:spacing w:val="15"/>
              </w:rPr>
              <w:t xml:space="preserve"> </w:t>
            </w:r>
            <w:r>
              <w:rPr>
                <w:sz w:val="12"/>
                <w:szCs w:val="12"/>
              </w:rPr>
              <w:t>情，及时喷药处理。</w:t>
            </w:r>
          </w:p>
        </w:tc>
        <w:tc>
          <w:tcPr>
            <w:tcW w:w="1289" w:type="dxa"/>
            <w:vAlign w:val="top"/>
            <w:tcBorders>
              <w:bottom w:val="single" w:color="000000" w:sz="2" w:space="0"/>
              <w:top w:val="single" w:color="000000" w:sz="2" w:space="0"/>
            </w:tcBorders>
          </w:tcPr>
          <w:p>
            <w:pPr>
              <w:pStyle w:val="TableText"/>
              <w:ind w:left="393"/>
              <w:spacing w:before="90" w:line="219" w:lineRule="auto"/>
              <w:rPr>
                <w:sz w:val="12"/>
                <w:szCs w:val="12"/>
              </w:rPr>
            </w:pPr>
            <w:r>
              <w:rPr>
                <w:sz w:val="12"/>
                <w:szCs w:val="12"/>
                <w:spacing w:val="2"/>
              </w:rPr>
              <w:t>国光必泊</w:t>
            </w:r>
          </w:p>
        </w:tc>
        <w:tc>
          <w:tcPr>
            <w:tcW w:w="1389" w:type="dxa"/>
            <w:vAlign w:val="top"/>
            <w:tcBorders>
              <w:bottom w:val="single" w:color="000000" w:sz="2" w:space="0"/>
              <w:top w:val="single" w:color="000000" w:sz="2" w:space="0"/>
            </w:tcBorders>
          </w:tcPr>
          <w:p>
            <w:pPr>
              <w:pStyle w:val="TableText"/>
              <w:ind w:left="414"/>
              <w:spacing w:before="90" w:line="219" w:lineRule="auto"/>
              <w:rPr>
                <w:sz w:val="12"/>
                <w:szCs w:val="12"/>
              </w:rPr>
            </w:pPr>
            <w:r>
              <w:rPr>
                <w:sz w:val="12"/>
                <w:szCs w:val="12"/>
                <w:spacing w:val="-9"/>
              </w:rPr>
              <w:t>40%啶</w:t>
            </w:r>
            <w:r>
              <w:rPr>
                <w:sz w:val="12"/>
                <w:szCs w:val="12"/>
                <w:spacing w:val="-12"/>
              </w:rPr>
              <w:t xml:space="preserve"> </w:t>
            </w:r>
            <w:r>
              <w:rPr>
                <w:sz w:val="12"/>
                <w:szCs w:val="12"/>
                <w:spacing w:val="-9"/>
              </w:rPr>
              <w:t>·毒</w:t>
            </w:r>
          </w:p>
        </w:tc>
        <w:tc>
          <w:tcPr>
            <w:tcW w:w="1359" w:type="dxa"/>
            <w:vAlign w:val="top"/>
            <w:tcBorders>
              <w:bottom w:val="single" w:color="000000" w:sz="2" w:space="0"/>
              <w:top w:val="single" w:color="000000" w:sz="2" w:space="0"/>
            </w:tcBorders>
          </w:tcPr>
          <w:p>
            <w:pPr>
              <w:pStyle w:val="TableText"/>
              <w:ind w:left="165"/>
              <w:spacing w:before="90" w:line="219" w:lineRule="auto"/>
              <w:rPr>
                <w:sz w:val="12"/>
                <w:szCs w:val="12"/>
              </w:rPr>
            </w:pPr>
            <w:r>
              <w:rPr>
                <w:sz w:val="12"/>
                <w:szCs w:val="12"/>
                <w:spacing w:val="-1"/>
              </w:rPr>
              <w:t>稀释2000-3000倍液</w:t>
            </w:r>
          </w:p>
        </w:tc>
        <w:tc>
          <w:tcPr>
            <w:tcW w:w="1239" w:type="dxa"/>
            <w:vAlign w:val="top"/>
            <w:vMerge w:val="restart"/>
            <w:tcBorders>
              <w:bottom w:val="nil"/>
              <w:top w:val="single" w:color="000000" w:sz="2" w:space="0"/>
            </w:tcBorders>
          </w:tcPr>
          <w:p>
            <w:pPr>
              <w:pStyle w:val="TableText"/>
              <w:ind w:left="16" w:right="20" w:firstLine="29"/>
              <w:spacing w:before="269" w:line="231" w:lineRule="auto"/>
              <w:rPr>
                <w:sz w:val="12"/>
                <w:szCs w:val="12"/>
              </w:rPr>
            </w:pPr>
            <w:r>
              <w:rPr>
                <w:sz w:val="12"/>
                <w:szCs w:val="12"/>
                <w:spacing w:val="-1"/>
              </w:rPr>
              <w:t>一般用3次，时间间隔</w:t>
            </w:r>
            <w:r>
              <w:rPr>
                <w:sz w:val="12"/>
                <w:szCs w:val="12"/>
                <w:spacing w:val="2"/>
              </w:rPr>
              <w:t xml:space="preserve"> </w:t>
            </w:r>
            <w:r>
              <w:rPr>
                <w:sz w:val="12"/>
                <w:szCs w:val="12"/>
                <w:spacing w:val="-1"/>
              </w:rPr>
              <w:t>到10天，视现场情况可</w:t>
            </w:r>
          </w:p>
          <w:p>
            <w:pPr>
              <w:pStyle w:val="TableText"/>
              <w:ind w:left="376"/>
              <w:spacing w:line="219" w:lineRule="auto"/>
              <w:rPr>
                <w:sz w:val="12"/>
                <w:szCs w:val="12"/>
              </w:rPr>
            </w:pPr>
            <w:r>
              <w:rPr>
                <w:sz w:val="12"/>
                <w:szCs w:val="12"/>
                <w:spacing w:val="-1"/>
              </w:rPr>
              <w:t>增加次数</w:t>
            </w:r>
          </w:p>
        </w:tc>
        <w:tc>
          <w:tcPr>
            <w:tcW w:w="1019" w:type="dxa"/>
            <w:vAlign w:val="top"/>
            <w:tcBorders>
              <w:bottom w:val="single" w:color="000000" w:sz="2" w:space="0"/>
              <w:top w:val="single" w:color="000000" w:sz="2" w:space="0"/>
            </w:tcBorders>
          </w:tcPr>
          <w:p>
            <w:pPr>
              <w:pStyle w:val="TableText"/>
              <w:ind w:left="237"/>
              <w:spacing w:before="91" w:line="221" w:lineRule="auto"/>
              <w:rPr>
                <w:sz w:val="12"/>
                <w:szCs w:val="12"/>
              </w:rPr>
            </w:pPr>
            <w:r>
              <w:rPr>
                <w:sz w:val="12"/>
                <w:szCs w:val="12"/>
                <w:spacing w:val="3"/>
              </w:rPr>
              <w:t>(200z/瓶)</w:t>
            </w:r>
          </w:p>
        </w:tc>
        <w:tc>
          <w:tcPr>
            <w:tcW w:w="3143" w:type="dxa"/>
            <w:vAlign w:val="top"/>
            <w:tcBorders>
              <w:bottom w:val="single" w:color="000000" w:sz="2" w:space="0"/>
              <w:top w:val="single" w:color="000000" w:sz="2" w:space="0"/>
            </w:tcBorders>
          </w:tcPr>
          <w:p>
            <w:pPr>
              <w:pStyle w:val="TableText"/>
              <w:ind w:left="18"/>
              <w:spacing w:before="90" w:line="218" w:lineRule="auto"/>
              <w:rPr>
                <w:sz w:val="12"/>
                <w:szCs w:val="12"/>
              </w:rPr>
            </w:pPr>
            <w:r>
              <w:rPr>
                <w:sz w:val="12"/>
                <w:szCs w:val="12"/>
                <w:spacing w:val="-1"/>
              </w:rPr>
              <w:t>专杀介壳虫，食叶类害虫，地下害虫</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91" w:line="220" w:lineRule="auto"/>
              <w:rPr>
                <w:sz w:val="12"/>
                <w:szCs w:val="12"/>
              </w:rPr>
            </w:pPr>
            <w:r>
              <w:rPr>
                <w:sz w:val="12"/>
                <w:szCs w:val="12"/>
                <w:spacing w:val="1"/>
              </w:rPr>
              <w:t>中威浦捉于</w:t>
            </w:r>
          </w:p>
        </w:tc>
        <w:tc>
          <w:tcPr>
            <w:tcW w:w="1389" w:type="dxa"/>
            <w:vAlign w:val="top"/>
            <w:tcBorders>
              <w:bottom w:val="single" w:color="000000" w:sz="2" w:space="0"/>
              <w:top w:val="single" w:color="000000" w:sz="2" w:space="0"/>
            </w:tcBorders>
          </w:tcPr>
          <w:p>
            <w:pPr>
              <w:pStyle w:val="TableText"/>
              <w:ind w:left="233"/>
              <w:spacing w:before="91" w:line="219" w:lineRule="auto"/>
              <w:rPr>
                <w:sz w:val="12"/>
                <w:szCs w:val="12"/>
              </w:rPr>
            </w:pPr>
            <w:r>
              <w:rPr>
                <w:sz w:val="12"/>
                <w:szCs w:val="12"/>
                <w:spacing w:val="-6"/>
              </w:rPr>
              <w:t>高氯</w:t>
            </w:r>
            <w:r>
              <w:rPr>
                <w:sz w:val="12"/>
                <w:szCs w:val="12"/>
                <w:spacing w:val="-15"/>
              </w:rPr>
              <w:t xml:space="preserve"> </w:t>
            </w:r>
            <w:r>
              <w:rPr>
                <w:sz w:val="12"/>
                <w:szCs w:val="12"/>
                <w:spacing w:val="-6"/>
              </w:rPr>
              <w:t>·毒死婢15%</w:t>
            </w:r>
          </w:p>
        </w:tc>
        <w:tc>
          <w:tcPr>
            <w:tcW w:w="1359" w:type="dxa"/>
            <w:vAlign w:val="top"/>
            <w:tcBorders>
              <w:bottom w:val="single" w:color="000000" w:sz="2" w:space="0"/>
              <w:top w:val="single" w:color="000000" w:sz="2" w:space="0"/>
            </w:tcBorders>
          </w:tcPr>
          <w:p>
            <w:pPr>
              <w:pStyle w:val="TableText"/>
              <w:ind w:left="285"/>
              <w:spacing w:before="91" w:line="220" w:lineRule="auto"/>
              <w:rPr>
                <w:sz w:val="12"/>
                <w:szCs w:val="12"/>
              </w:rPr>
            </w:pPr>
            <w:r>
              <w:rPr>
                <w:sz w:val="12"/>
                <w:szCs w:val="12"/>
                <w:spacing w:val="-2"/>
              </w:rPr>
              <w:t>1000-1500倍液</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37"/>
              <w:spacing w:before="92" w:line="221" w:lineRule="auto"/>
              <w:rPr>
                <w:sz w:val="12"/>
                <w:szCs w:val="12"/>
              </w:rPr>
            </w:pPr>
            <w:r>
              <w:rPr>
                <w:sz w:val="12"/>
                <w:szCs w:val="12"/>
                <w:spacing w:val="3"/>
              </w:rPr>
              <w:t>(200l/瓶)</w:t>
            </w:r>
          </w:p>
        </w:tc>
        <w:tc>
          <w:tcPr>
            <w:tcW w:w="3143" w:type="dxa"/>
            <w:vAlign w:val="top"/>
            <w:tcBorders>
              <w:bottom w:val="single" w:color="000000" w:sz="2" w:space="0"/>
              <w:top w:val="single" w:color="000000" w:sz="2" w:space="0"/>
            </w:tcBorders>
          </w:tcPr>
          <w:p>
            <w:pPr>
              <w:pStyle w:val="TableText"/>
              <w:ind w:left="18"/>
              <w:spacing w:before="91" w:line="219" w:lineRule="auto"/>
              <w:rPr>
                <w:sz w:val="12"/>
                <w:szCs w:val="12"/>
              </w:rPr>
            </w:pPr>
            <w:r>
              <w:rPr>
                <w:sz w:val="12"/>
                <w:szCs w:val="12"/>
                <w:spacing w:val="-1"/>
              </w:rPr>
              <w:t>主要防治蚡壳虫、斑潜蝇及鳞翅目幼虫，飞温等</w:t>
            </w:r>
          </w:p>
        </w:tc>
      </w:tr>
      <w:tr>
        <w:trPr>
          <w:trHeight w:val="33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3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10" w:line="218" w:lineRule="auto"/>
              <w:rPr>
                <w:sz w:val="12"/>
                <w:szCs w:val="12"/>
              </w:rPr>
            </w:pPr>
            <w:r>
              <w:rPr>
                <w:sz w:val="12"/>
                <w:szCs w:val="12"/>
                <w:spacing w:val="-1"/>
              </w:rPr>
              <w:t>诺警信速介清</w:t>
            </w:r>
          </w:p>
        </w:tc>
        <w:tc>
          <w:tcPr>
            <w:tcW w:w="1389" w:type="dxa"/>
            <w:vAlign w:val="top"/>
            <w:tcBorders>
              <w:bottom w:val="single" w:color="000000" w:sz="2" w:space="0"/>
              <w:top w:val="single" w:color="000000" w:sz="2" w:space="0"/>
            </w:tcBorders>
          </w:tcPr>
          <w:p>
            <w:pPr>
              <w:pStyle w:val="TableText"/>
              <w:ind w:left="414"/>
              <w:spacing w:before="111" w:line="219" w:lineRule="auto"/>
              <w:rPr>
                <w:sz w:val="12"/>
                <w:szCs w:val="12"/>
              </w:rPr>
            </w:pPr>
            <w:r>
              <w:rPr>
                <w:sz w:val="12"/>
                <w:szCs w:val="12"/>
                <w:spacing w:val="-1"/>
              </w:rPr>
              <w:t>柔扑磷40%</w:t>
            </w:r>
          </w:p>
        </w:tc>
        <w:tc>
          <w:tcPr>
            <w:tcW w:w="1359" w:type="dxa"/>
            <w:vAlign w:val="top"/>
            <w:tcBorders>
              <w:bottom w:val="single" w:color="000000" w:sz="2" w:space="0"/>
              <w:top w:val="single" w:color="000000" w:sz="2" w:space="0"/>
            </w:tcBorders>
          </w:tcPr>
          <w:p>
            <w:pPr>
              <w:pStyle w:val="TableText"/>
              <w:ind w:left="344"/>
              <w:spacing w:before="111" w:line="220" w:lineRule="auto"/>
              <w:rPr>
                <w:sz w:val="12"/>
                <w:szCs w:val="12"/>
              </w:rPr>
            </w:pPr>
            <w:r>
              <w:rPr>
                <w:sz w:val="12"/>
                <w:szCs w:val="12"/>
                <w:spacing w:val="-2"/>
              </w:rPr>
              <w:t>1000-1500倍</w:t>
            </w:r>
          </w:p>
        </w:tc>
        <w:tc>
          <w:tcPr>
            <w:tcW w:w="1239" w:type="dxa"/>
            <w:vAlign w:val="top"/>
            <w:vMerge w:val="continue"/>
            <w:tcBorders>
              <w:bottom w:val="single" w:color="000000" w:sz="2" w:space="0"/>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37"/>
              <w:spacing w:before="111" w:line="221" w:lineRule="auto"/>
              <w:rPr>
                <w:sz w:val="12"/>
                <w:szCs w:val="12"/>
              </w:rPr>
            </w:pPr>
            <w:r>
              <w:rPr>
                <w:sz w:val="12"/>
                <w:szCs w:val="12"/>
                <w:spacing w:val="-2"/>
              </w:rPr>
              <w:t>1000ml/瓶</w:t>
            </w:r>
          </w:p>
        </w:tc>
        <w:tc>
          <w:tcPr>
            <w:tcW w:w="3143" w:type="dxa"/>
            <w:vAlign w:val="top"/>
            <w:tcBorders>
              <w:bottom w:val="single" w:color="000000" w:sz="2" w:space="0"/>
              <w:top w:val="single" w:color="000000" w:sz="2" w:space="0"/>
            </w:tcBorders>
          </w:tcPr>
          <w:p>
            <w:pPr>
              <w:pStyle w:val="TableText"/>
              <w:ind w:left="18"/>
              <w:spacing w:before="110" w:line="218" w:lineRule="auto"/>
              <w:rPr>
                <w:sz w:val="12"/>
                <w:szCs w:val="12"/>
              </w:rPr>
            </w:pPr>
            <w:r>
              <w:rPr>
                <w:sz w:val="12"/>
                <w:szCs w:val="12"/>
                <w:spacing w:val="-1"/>
              </w:rPr>
              <w:t>希灭介壳虫，活性高</w:t>
            </w:r>
          </w:p>
        </w:tc>
      </w:tr>
      <w:tr>
        <w:trPr>
          <w:trHeight w:val="315" w:hRule="atLeast"/>
        </w:trPr>
        <w:tc>
          <w:tcPr>
            <w:tcW w:w="425" w:type="dxa"/>
            <w:vAlign w:val="top"/>
            <w:vMerge w:val="continue"/>
            <w:tcBorders>
              <w:bottom w:val="nil"/>
              <w:top w:val="nil"/>
            </w:tcBorders>
          </w:tcPr>
          <w:p>
            <w:pPr>
              <w:rPr>
                <w:rFonts w:ascii="Arial"/>
                <w:sz w:val="21"/>
              </w:rPr>
            </w:pPr>
            <w:r/>
          </w:p>
        </w:tc>
        <w:tc>
          <w:tcPr>
            <w:tcW w:w="620" w:type="dxa"/>
            <w:vAlign w:val="top"/>
            <w:vMerge w:val="restart"/>
            <w:tcBorders>
              <w:bottom w:val="nil"/>
              <w:top w:val="single" w:color="000000" w:sz="2" w:space="0"/>
            </w:tcBorders>
          </w:tcPr>
          <w:p>
            <w:pPr>
              <w:spacing w:line="343" w:lineRule="auto"/>
              <w:rPr>
                <w:rFonts w:ascii="Arial"/>
                <w:sz w:val="21"/>
              </w:rPr>
            </w:pPr>
            <w:r/>
          </w:p>
          <w:p>
            <w:pPr>
              <w:spacing w:line="343" w:lineRule="auto"/>
              <w:rPr>
                <w:rFonts w:ascii="Arial"/>
                <w:sz w:val="21"/>
              </w:rPr>
            </w:pPr>
            <w:r/>
          </w:p>
          <w:p>
            <w:pPr>
              <w:pStyle w:val="TableText"/>
              <w:ind w:left="60"/>
              <w:spacing w:before="39" w:line="219" w:lineRule="auto"/>
              <w:rPr>
                <w:sz w:val="12"/>
                <w:szCs w:val="12"/>
              </w:rPr>
            </w:pPr>
            <w:r>
              <w:rPr>
                <w:sz w:val="12"/>
                <w:szCs w:val="12"/>
                <w:spacing w:val="-1"/>
              </w:rPr>
              <w:t>朝吸害虫</w:t>
            </w:r>
          </w:p>
        </w:tc>
        <w:tc>
          <w:tcPr>
            <w:tcW w:w="839" w:type="dxa"/>
            <w:vAlign w:val="top"/>
            <w:vMerge w:val="restart"/>
            <w:tcBorders>
              <w:bottom w:val="nil"/>
              <w:top w:val="single" w:color="000000" w:sz="2" w:space="0"/>
            </w:tcBorders>
          </w:tcPr>
          <w:p>
            <w:pPr>
              <w:spacing w:line="308" w:lineRule="auto"/>
              <w:rPr>
                <w:rFonts w:ascii="Arial"/>
                <w:sz w:val="21"/>
              </w:rPr>
            </w:pPr>
            <w:r/>
          </w:p>
          <w:p>
            <w:pPr>
              <w:spacing w:line="309" w:lineRule="auto"/>
              <w:rPr>
                <w:rFonts w:ascii="Arial"/>
                <w:sz w:val="21"/>
              </w:rPr>
            </w:pPr>
            <w:r/>
          </w:p>
          <w:p>
            <w:pPr>
              <w:pStyle w:val="TableText"/>
              <w:ind w:left="109" w:right="63" w:hanging="59"/>
              <w:spacing w:before="39" w:line="247" w:lineRule="auto"/>
              <w:rPr>
                <w:sz w:val="12"/>
                <w:szCs w:val="12"/>
              </w:rPr>
            </w:pPr>
            <w:r>
              <w:rPr>
                <w:sz w:val="12"/>
                <w:szCs w:val="12"/>
                <w:spacing w:val="-1"/>
              </w:rPr>
              <w:t>蚜虫，红蜘蛛</w:t>
            </w:r>
            <w:r>
              <w:rPr>
                <w:sz w:val="12"/>
                <w:szCs w:val="12"/>
              </w:rPr>
              <w:t xml:space="preserve"> </w:t>
            </w:r>
            <w:r>
              <w:rPr>
                <w:sz w:val="12"/>
                <w:szCs w:val="12"/>
                <w:spacing w:val="-3"/>
              </w:rPr>
              <w:t>、大青叶鲜</w:t>
            </w:r>
          </w:p>
        </w:tc>
        <w:tc>
          <w:tcPr>
            <w:tcW w:w="2748" w:type="dxa"/>
            <w:vAlign w:val="top"/>
            <w:vMerge w:val="restart"/>
            <w:tcBorders>
              <w:bottom w:val="nil"/>
              <w:top w:val="single" w:color="000000" w:sz="2" w:space="0"/>
            </w:tcBorders>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11" w:right="143" w:firstLine="9"/>
              <w:spacing w:before="39" w:line="223" w:lineRule="auto"/>
              <w:rPr>
                <w:sz w:val="12"/>
                <w:szCs w:val="12"/>
              </w:rPr>
            </w:pPr>
            <w:r>
              <w:rPr>
                <w:sz w:val="12"/>
                <w:szCs w:val="12"/>
                <w:spacing w:val="-1"/>
              </w:rPr>
              <w:t>一、3.4月预防消杀为主，在进入雨季，高发季前</w:t>
            </w:r>
            <w:r>
              <w:rPr>
                <w:sz w:val="12"/>
                <w:szCs w:val="12"/>
                <w:spacing w:val="15"/>
              </w:rPr>
              <w:t xml:space="preserve"> </w:t>
            </w:r>
            <w:r>
              <w:rPr>
                <w:sz w:val="12"/>
                <w:szCs w:val="12"/>
                <w:spacing w:val="-1"/>
              </w:rPr>
              <w:t>全园区消杀虫卵，蛹</w:t>
            </w:r>
          </w:p>
          <w:p>
            <w:pPr>
              <w:pStyle w:val="TableText"/>
              <w:ind w:left="11" w:right="33"/>
              <w:spacing w:line="225" w:lineRule="auto"/>
              <w:rPr>
                <w:sz w:val="12"/>
                <w:szCs w:val="12"/>
              </w:rPr>
            </w:pPr>
            <w:r>
              <w:rPr>
                <w:sz w:val="12"/>
                <w:szCs w:val="12"/>
                <w:spacing w:val="-1"/>
              </w:rPr>
              <w:t>二、5月-9月是大部分害虫成蛹或羽化期，采取人工</w:t>
            </w:r>
            <w:r>
              <w:rPr>
                <w:sz w:val="12"/>
                <w:szCs w:val="12"/>
                <w:spacing w:val="16"/>
              </w:rPr>
              <w:t xml:space="preserve"> </w:t>
            </w:r>
            <w:r>
              <w:rPr>
                <w:sz w:val="12"/>
                <w:szCs w:val="12"/>
              </w:rPr>
              <w:t>加药物双重治疗除卵，除蛹，除成虫。</w:t>
            </w:r>
          </w:p>
        </w:tc>
        <w:tc>
          <w:tcPr>
            <w:tcW w:w="1289" w:type="dxa"/>
            <w:vAlign w:val="top"/>
            <w:tcBorders>
              <w:bottom w:val="single" w:color="000000" w:sz="2" w:space="0"/>
              <w:top w:val="single" w:color="000000" w:sz="2" w:space="0"/>
            </w:tcBorders>
          </w:tcPr>
          <w:p>
            <w:pPr>
              <w:pStyle w:val="TableText"/>
              <w:ind w:left="393"/>
              <w:spacing w:before="100" w:line="219" w:lineRule="auto"/>
              <w:rPr>
                <w:sz w:val="12"/>
                <w:szCs w:val="12"/>
              </w:rPr>
            </w:pPr>
            <w:r>
              <w:rPr>
                <w:sz w:val="12"/>
                <w:szCs w:val="12"/>
                <w:spacing w:val="1"/>
              </w:rPr>
              <w:t>国光毙克</w:t>
            </w:r>
          </w:p>
        </w:tc>
        <w:tc>
          <w:tcPr>
            <w:tcW w:w="1389" w:type="dxa"/>
            <w:vAlign w:val="top"/>
            <w:tcBorders>
              <w:bottom w:val="single" w:color="000000" w:sz="2" w:space="0"/>
              <w:top w:val="single" w:color="000000" w:sz="2" w:space="0"/>
            </w:tcBorders>
          </w:tcPr>
          <w:p>
            <w:pPr>
              <w:pStyle w:val="TableText"/>
              <w:ind w:left="384"/>
              <w:spacing w:before="101" w:line="220" w:lineRule="auto"/>
              <w:rPr>
                <w:sz w:val="12"/>
                <w:szCs w:val="12"/>
              </w:rPr>
            </w:pPr>
            <w:r>
              <w:rPr>
                <w:sz w:val="12"/>
                <w:szCs w:val="12"/>
                <w:spacing w:val="-2"/>
              </w:rPr>
              <w:t>10%M吡虫啉</w:t>
            </w:r>
          </w:p>
        </w:tc>
        <w:tc>
          <w:tcPr>
            <w:tcW w:w="1359" w:type="dxa"/>
            <w:vAlign w:val="top"/>
            <w:tcBorders>
              <w:bottom w:val="single" w:color="000000" w:sz="2" w:space="0"/>
              <w:top w:val="single" w:color="000000" w:sz="2" w:space="0"/>
            </w:tcBorders>
          </w:tcPr>
          <w:p>
            <w:pPr>
              <w:pStyle w:val="TableText"/>
              <w:ind w:left="235"/>
              <w:spacing w:before="100" w:line="219" w:lineRule="auto"/>
              <w:rPr>
                <w:sz w:val="12"/>
                <w:szCs w:val="12"/>
              </w:rPr>
            </w:pPr>
            <w:r>
              <w:rPr>
                <w:sz w:val="12"/>
                <w:szCs w:val="12"/>
                <w:spacing w:val="-1"/>
              </w:rPr>
              <w:t>稀释1000-1500倍液</w:t>
            </w:r>
          </w:p>
        </w:tc>
        <w:tc>
          <w:tcPr>
            <w:tcW w:w="1239" w:type="dxa"/>
            <w:vAlign w:val="top"/>
            <w:vMerge w:val="restart"/>
            <w:tcBorders>
              <w:bottom w:val="nil"/>
              <w:top w:val="single" w:color="000000" w:sz="2" w:space="0"/>
            </w:tcBorders>
          </w:tcPr>
          <w:p>
            <w:pPr>
              <w:spacing w:line="278" w:lineRule="auto"/>
              <w:rPr>
                <w:rFonts w:ascii="Arial"/>
                <w:sz w:val="21"/>
              </w:rPr>
            </w:pPr>
            <w:r/>
          </w:p>
          <w:p>
            <w:pPr>
              <w:spacing w:line="279" w:lineRule="auto"/>
              <w:rPr>
                <w:rFonts w:ascii="Arial"/>
                <w:sz w:val="21"/>
              </w:rPr>
            </w:pPr>
            <w:r/>
          </w:p>
          <w:p>
            <w:pPr>
              <w:pStyle w:val="TableText"/>
              <w:ind w:left="16"/>
              <w:spacing w:before="39" w:line="200" w:lineRule="auto"/>
              <w:rPr>
                <w:sz w:val="12"/>
                <w:szCs w:val="12"/>
              </w:rPr>
            </w:pPr>
            <w:r>
              <w:rPr>
                <w:sz w:val="12"/>
                <w:szCs w:val="12"/>
                <w:spacing w:val="-1"/>
              </w:rPr>
              <w:t>一般用3次，时间间隔7</w:t>
            </w:r>
          </w:p>
          <w:p>
            <w:pPr>
              <w:pStyle w:val="TableText"/>
              <w:ind w:left="26"/>
              <w:spacing w:line="219" w:lineRule="auto"/>
              <w:rPr>
                <w:sz w:val="12"/>
                <w:szCs w:val="12"/>
              </w:rPr>
            </w:pPr>
            <w:r>
              <w:rPr>
                <w:sz w:val="12"/>
                <w:szCs w:val="12"/>
                <w:spacing w:val="-1"/>
              </w:rPr>
              <w:t>到10天，视现场情况可</w:t>
            </w:r>
          </w:p>
          <w:p>
            <w:pPr>
              <w:pStyle w:val="TableText"/>
              <w:ind w:left="376"/>
              <w:spacing w:before="16" w:line="219" w:lineRule="auto"/>
              <w:rPr>
                <w:sz w:val="12"/>
                <w:szCs w:val="12"/>
              </w:rPr>
            </w:pPr>
            <w:r>
              <w:rPr>
                <w:sz w:val="12"/>
                <w:szCs w:val="12"/>
                <w:spacing w:val="-1"/>
              </w:rPr>
              <w:t>增加次数</w:t>
            </w:r>
          </w:p>
        </w:tc>
        <w:tc>
          <w:tcPr>
            <w:tcW w:w="1019" w:type="dxa"/>
            <w:vAlign w:val="top"/>
            <w:tcBorders>
              <w:bottom w:val="single" w:color="000000" w:sz="2" w:space="0"/>
              <w:top w:val="single" w:color="000000" w:sz="2" w:space="0"/>
            </w:tcBorders>
          </w:tcPr>
          <w:p>
            <w:pPr>
              <w:pStyle w:val="TableText"/>
              <w:ind w:left="267"/>
              <w:spacing w:before="97" w:line="213" w:lineRule="auto"/>
              <w:rPr>
                <w:sz w:val="12"/>
                <w:szCs w:val="12"/>
              </w:rPr>
            </w:pPr>
            <w:r>
              <w:rPr>
                <w:sz w:val="12"/>
                <w:szCs w:val="12"/>
                <w:spacing w:val="3"/>
              </w:rPr>
              <w:t>(10g/袋)</w:t>
            </w:r>
          </w:p>
        </w:tc>
        <w:tc>
          <w:tcPr>
            <w:tcW w:w="3143" w:type="dxa"/>
            <w:vAlign w:val="top"/>
            <w:tcBorders>
              <w:bottom w:val="single" w:color="000000" w:sz="2" w:space="0"/>
              <w:top w:val="single" w:color="000000" w:sz="2" w:space="0"/>
            </w:tcBorders>
          </w:tcPr>
          <w:p>
            <w:pPr>
              <w:pStyle w:val="TableText"/>
              <w:ind w:left="18"/>
              <w:spacing w:before="100" w:line="219" w:lineRule="auto"/>
              <w:rPr>
                <w:sz w:val="12"/>
                <w:szCs w:val="12"/>
              </w:rPr>
            </w:pPr>
            <w:r>
              <w:rPr>
                <w:sz w:val="12"/>
                <w:szCs w:val="12"/>
                <w:spacing w:val="-1"/>
              </w:rPr>
              <w:t>杀蚜虫，飞弘等害虫</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90" w:line="219" w:lineRule="auto"/>
              <w:rPr>
                <w:sz w:val="12"/>
                <w:szCs w:val="12"/>
              </w:rPr>
            </w:pPr>
            <w:r>
              <w:rPr>
                <w:sz w:val="12"/>
                <w:szCs w:val="12"/>
                <w:spacing w:val="1"/>
              </w:rPr>
              <w:t>国光敌死克</w:t>
            </w:r>
          </w:p>
        </w:tc>
        <w:tc>
          <w:tcPr>
            <w:tcW w:w="1389" w:type="dxa"/>
            <w:vAlign w:val="top"/>
            <w:tcBorders>
              <w:bottom w:val="single" w:color="000000" w:sz="2" w:space="0"/>
              <w:top w:val="single" w:color="000000" w:sz="2" w:space="0"/>
            </w:tcBorders>
          </w:tcPr>
          <w:p>
            <w:pPr>
              <w:pStyle w:val="TableText"/>
              <w:ind w:left="14" w:right="41" w:firstLine="9"/>
              <w:spacing w:before="10" w:line="209" w:lineRule="auto"/>
              <w:rPr>
                <w:sz w:val="12"/>
                <w:szCs w:val="12"/>
              </w:rPr>
            </w:pPr>
            <w:r>
              <w:rPr>
                <w:sz w:val="12"/>
                <w:szCs w:val="12"/>
                <w:spacing w:val="-1"/>
              </w:rPr>
              <w:t>苯丁锡和哒螨灵的复配制</w:t>
            </w:r>
            <w:r>
              <w:rPr>
                <w:sz w:val="12"/>
                <w:szCs w:val="12"/>
                <w:spacing w:val="3"/>
              </w:rPr>
              <w:t xml:space="preserve"> </w:t>
            </w:r>
            <w:r>
              <w:rPr>
                <w:sz w:val="12"/>
                <w:szCs w:val="12"/>
              </w:rPr>
              <w:t>剂</w:t>
            </w:r>
          </w:p>
        </w:tc>
        <w:tc>
          <w:tcPr>
            <w:tcW w:w="1359" w:type="dxa"/>
            <w:vAlign w:val="top"/>
            <w:tcBorders>
              <w:bottom w:val="single" w:color="000000" w:sz="2" w:space="0"/>
              <w:top w:val="single" w:color="000000" w:sz="2" w:space="0"/>
            </w:tcBorders>
          </w:tcPr>
          <w:p>
            <w:pPr>
              <w:pStyle w:val="TableText"/>
              <w:ind w:left="235"/>
              <w:spacing w:before="120" w:line="219" w:lineRule="auto"/>
              <w:rPr>
                <w:sz w:val="12"/>
                <w:szCs w:val="12"/>
              </w:rPr>
            </w:pPr>
            <w:r>
              <w:rPr>
                <w:sz w:val="12"/>
                <w:szCs w:val="12"/>
                <w:spacing w:val="-1"/>
              </w:rPr>
              <w:t>稀释1000-1500倍液</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86"/>
              <w:spacing w:before="90" w:line="220" w:lineRule="auto"/>
              <w:rPr>
                <w:sz w:val="12"/>
                <w:szCs w:val="12"/>
              </w:rPr>
            </w:pPr>
            <w:r>
              <w:rPr>
                <w:sz w:val="12"/>
                <w:szCs w:val="12"/>
                <w:spacing w:val="-1"/>
              </w:rPr>
              <w:t>200m1×20瓶/箱</w:t>
            </w:r>
          </w:p>
        </w:tc>
        <w:tc>
          <w:tcPr>
            <w:tcW w:w="3143" w:type="dxa"/>
            <w:vAlign w:val="top"/>
            <w:tcBorders>
              <w:bottom w:val="single" w:color="000000" w:sz="2" w:space="0"/>
              <w:top w:val="single" w:color="000000" w:sz="2" w:space="0"/>
            </w:tcBorders>
          </w:tcPr>
          <w:p>
            <w:pPr>
              <w:pStyle w:val="TableText"/>
              <w:ind w:left="18"/>
              <w:spacing w:before="120" w:line="219" w:lineRule="auto"/>
              <w:rPr>
                <w:sz w:val="12"/>
                <w:szCs w:val="12"/>
              </w:rPr>
            </w:pPr>
            <w:r>
              <w:rPr>
                <w:sz w:val="12"/>
                <w:szCs w:val="12"/>
                <w:spacing w:val="-1"/>
              </w:rPr>
              <w:t>杀蚜虫、飞双等害虫</w:t>
            </w:r>
          </w:p>
        </w:tc>
      </w:tr>
      <w:tr>
        <w:trPr>
          <w:trHeight w:val="33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22"/>
              <w:spacing w:before="109" w:line="218" w:lineRule="auto"/>
              <w:rPr>
                <w:sz w:val="12"/>
                <w:szCs w:val="12"/>
              </w:rPr>
            </w:pPr>
            <w:r>
              <w:rPr>
                <w:sz w:val="12"/>
                <w:szCs w:val="12"/>
                <w:spacing w:val="2"/>
              </w:rPr>
              <w:t>中威壮美《杀炳剂)</w:t>
            </w:r>
          </w:p>
        </w:tc>
        <w:tc>
          <w:tcPr>
            <w:tcW w:w="1389" w:type="dxa"/>
            <w:vAlign w:val="top"/>
            <w:tcBorders>
              <w:bottom w:val="single" w:color="000000" w:sz="2" w:space="0"/>
              <w:top w:val="single" w:color="000000" w:sz="2" w:space="0"/>
            </w:tcBorders>
          </w:tcPr>
          <w:p>
            <w:pPr>
              <w:pStyle w:val="TableText"/>
              <w:ind w:left="174"/>
              <w:spacing w:before="110" w:line="220" w:lineRule="auto"/>
              <w:rPr>
                <w:sz w:val="12"/>
                <w:szCs w:val="12"/>
              </w:rPr>
            </w:pPr>
            <w:r>
              <w:rPr>
                <w:sz w:val="12"/>
                <w:szCs w:val="12"/>
                <w:spacing w:val="-5"/>
              </w:rPr>
              <w:t>阿维</w:t>
            </w:r>
            <w:r>
              <w:rPr>
                <w:sz w:val="12"/>
                <w:szCs w:val="12"/>
                <w:spacing w:val="-14"/>
              </w:rPr>
              <w:t xml:space="preserve"> </w:t>
            </w:r>
            <w:r>
              <w:rPr>
                <w:sz w:val="12"/>
                <w:szCs w:val="12"/>
                <w:spacing w:val="-5"/>
              </w:rPr>
              <w:t>·哒蜗灵3.20%</w:t>
            </w:r>
          </w:p>
        </w:tc>
        <w:tc>
          <w:tcPr>
            <w:tcW w:w="1359" w:type="dxa"/>
            <w:vAlign w:val="top"/>
            <w:tcBorders>
              <w:bottom w:val="single" w:color="000000" w:sz="2" w:space="0"/>
              <w:top w:val="single" w:color="000000" w:sz="2" w:space="0"/>
            </w:tcBorders>
          </w:tcPr>
          <w:p>
            <w:pPr>
              <w:pStyle w:val="TableText"/>
              <w:ind w:left="434"/>
              <w:spacing w:before="110" w:line="220" w:lineRule="auto"/>
              <w:rPr>
                <w:sz w:val="12"/>
                <w:szCs w:val="12"/>
              </w:rPr>
            </w:pPr>
            <w:r>
              <w:rPr>
                <w:sz w:val="12"/>
                <w:szCs w:val="12"/>
                <w:spacing w:val="-2"/>
              </w:rPr>
              <w:t>1500倍液</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07"/>
              <w:spacing w:before="110" w:line="221" w:lineRule="auto"/>
              <w:rPr>
                <w:sz w:val="12"/>
                <w:szCs w:val="12"/>
              </w:rPr>
            </w:pPr>
            <w:r>
              <w:rPr>
                <w:sz w:val="12"/>
                <w:szCs w:val="12"/>
                <w:spacing w:val="3"/>
              </w:rPr>
              <w:t>(200</w:t>
            </w:r>
            <w:r>
              <w:rPr>
                <w:sz w:val="12"/>
                <w:szCs w:val="12"/>
              </w:rPr>
              <w:t>ml</w:t>
            </w:r>
            <w:r>
              <w:rPr>
                <w:sz w:val="12"/>
                <w:szCs w:val="12"/>
                <w:spacing w:val="3"/>
              </w:rPr>
              <w:t>/瓶)</w:t>
            </w:r>
          </w:p>
        </w:tc>
        <w:tc>
          <w:tcPr>
            <w:tcW w:w="3143" w:type="dxa"/>
            <w:vAlign w:val="top"/>
            <w:tcBorders>
              <w:bottom w:val="single" w:color="000000" w:sz="2" w:space="0"/>
              <w:top w:val="single" w:color="000000" w:sz="2" w:space="0"/>
            </w:tcBorders>
          </w:tcPr>
          <w:p>
            <w:pPr>
              <w:pStyle w:val="TableText"/>
              <w:ind w:left="18"/>
              <w:spacing w:before="109" w:line="219" w:lineRule="auto"/>
              <w:rPr>
                <w:sz w:val="12"/>
                <w:szCs w:val="12"/>
              </w:rPr>
            </w:pPr>
            <w:r>
              <w:rPr>
                <w:sz w:val="12"/>
                <w:szCs w:val="12"/>
                <w:spacing w:val="-1"/>
              </w:rPr>
              <w:t>对红螂蛛、白蜘蛛及抗性蜻类害虫有极强的杀灭作用</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90" w:line="219" w:lineRule="auto"/>
              <w:rPr>
                <w:sz w:val="12"/>
                <w:szCs w:val="12"/>
              </w:rPr>
            </w:pPr>
            <w:r>
              <w:rPr>
                <w:sz w:val="12"/>
                <w:szCs w:val="12"/>
                <w:spacing w:val="-1"/>
              </w:rPr>
              <w:t>诺普信清毕净</w:t>
            </w:r>
          </w:p>
        </w:tc>
        <w:tc>
          <w:tcPr>
            <w:tcW w:w="1389" w:type="dxa"/>
            <w:vAlign w:val="top"/>
            <w:tcBorders>
              <w:bottom w:val="single" w:color="000000" w:sz="2" w:space="0"/>
              <w:top w:val="single" w:color="000000" w:sz="2" w:space="0"/>
            </w:tcBorders>
          </w:tcPr>
          <w:p>
            <w:pPr>
              <w:pStyle w:val="TableText"/>
              <w:ind w:left="554" w:right="164" w:hanging="410"/>
              <w:spacing w:before="20" w:line="211" w:lineRule="auto"/>
              <w:rPr>
                <w:sz w:val="12"/>
                <w:szCs w:val="12"/>
              </w:rPr>
            </w:pPr>
            <w:r>
              <w:rPr>
                <w:sz w:val="12"/>
                <w:szCs w:val="12"/>
                <w:spacing w:val="-9"/>
              </w:rPr>
              <w:t>阿维菌素</w:t>
            </w:r>
            <w:r>
              <w:rPr>
                <w:sz w:val="12"/>
                <w:szCs w:val="12"/>
                <w:spacing w:val="-11"/>
              </w:rPr>
              <w:t xml:space="preserve"> </w:t>
            </w:r>
            <w:r>
              <w:rPr>
                <w:sz w:val="12"/>
                <w:szCs w:val="12"/>
                <w:spacing w:val="-9"/>
              </w:rPr>
              <w:t>·</w:t>
            </w:r>
            <w:r>
              <w:rPr>
                <w:sz w:val="12"/>
                <w:szCs w:val="12"/>
                <w:spacing w:val="-39"/>
              </w:rPr>
              <w:t xml:space="preserve"> </w:t>
            </w:r>
            <w:r>
              <w:rPr>
                <w:sz w:val="12"/>
                <w:szCs w:val="12"/>
                <w:spacing w:val="-9"/>
              </w:rPr>
              <w:t>甲氰菊酯</w:t>
            </w:r>
            <w:r>
              <w:rPr>
                <w:sz w:val="12"/>
                <w:szCs w:val="12"/>
              </w:rPr>
              <w:t xml:space="preserve"> </w:t>
            </w:r>
            <w:r>
              <w:rPr>
                <w:sz w:val="12"/>
                <w:szCs w:val="12"/>
                <w:spacing w:val="-3"/>
              </w:rPr>
              <w:t>1.80%</w:t>
            </w:r>
          </w:p>
        </w:tc>
        <w:tc>
          <w:tcPr>
            <w:tcW w:w="1359" w:type="dxa"/>
            <w:vAlign w:val="top"/>
            <w:tcBorders>
              <w:bottom w:val="single" w:color="000000" w:sz="2" w:space="0"/>
              <w:top w:val="single" w:color="000000" w:sz="2" w:space="0"/>
            </w:tcBorders>
          </w:tcPr>
          <w:p>
            <w:pPr>
              <w:pStyle w:val="TableText"/>
              <w:ind w:left="374"/>
              <w:spacing w:before="90" w:line="220" w:lineRule="auto"/>
              <w:rPr>
                <w:sz w:val="12"/>
                <w:szCs w:val="12"/>
              </w:rPr>
            </w:pPr>
            <w:r>
              <w:rPr>
                <w:sz w:val="12"/>
                <w:szCs w:val="12"/>
                <w:spacing w:val="-1"/>
              </w:rPr>
              <w:t>800-1000倍</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37"/>
              <w:spacing w:before="91" w:line="221" w:lineRule="auto"/>
              <w:rPr>
                <w:sz w:val="12"/>
                <w:szCs w:val="12"/>
              </w:rPr>
            </w:pPr>
            <w:r>
              <w:rPr>
                <w:sz w:val="12"/>
                <w:szCs w:val="12"/>
                <w:spacing w:val="-2"/>
              </w:rPr>
              <w:t>1000ml/瓶</w:t>
            </w:r>
          </w:p>
        </w:tc>
        <w:tc>
          <w:tcPr>
            <w:tcW w:w="3143" w:type="dxa"/>
            <w:vAlign w:val="top"/>
            <w:tcBorders>
              <w:bottom w:val="single" w:color="000000" w:sz="2" w:space="0"/>
              <w:top w:val="single" w:color="000000" w:sz="2" w:space="0"/>
            </w:tcBorders>
          </w:tcPr>
          <w:p>
            <w:pPr>
              <w:pStyle w:val="TableText"/>
              <w:ind w:left="18"/>
              <w:spacing w:before="90" w:line="219" w:lineRule="auto"/>
              <w:rPr>
                <w:sz w:val="12"/>
                <w:szCs w:val="12"/>
              </w:rPr>
            </w:pPr>
            <w:r>
              <w:rPr>
                <w:sz w:val="12"/>
                <w:szCs w:val="12"/>
                <w:spacing w:val="-1"/>
              </w:rPr>
              <w:t>红蜘蛛、白蜘蛛、锈蜘蛛</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3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90" w:line="219" w:lineRule="auto"/>
              <w:rPr>
                <w:sz w:val="12"/>
                <w:szCs w:val="12"/>
              </w:rPr>
            </w:pPr>
            <w:r>
              <w:rPr>
                <w:sz w:val="12"/>
                <w:szCs w:val="12"/>
                <w:spacing w:val="1"/>
              </w:rPr>
              <w:t>国光崇刻</w:t>
            </w:r>
          </w:p>
        </w:tc>
        <w:tc>
          <w:tcPr>
            <w:tcW w:w="1389" w:type="dxa"/>
            <w:vAlign w:val="top"/>
            <w:tcBorders>
              <w:bottom w:val="single" w:color="000000" w:sz="2" w:space="0"/>
              <w:top w:val="single" w:color="000000" w:sz="2" w:space="0"/>
            </w:tcBorders>
          </w:tcPr>
          <w:p>
            <w:pPr>
              <w:pStyle w:val="TableText"/>
              <w:ind w:left="414"/>
              <w:spacing w:before="90" w:line="220" w:lineRule="auto"/>
              <w:rPr>
                <w:sz w:val="12"/>
                <w:szCs w:val="12"/>
              </w:rPr>
            </w:pPr>
            <w:r>
              <w:rPr>
                <w:sz w:val="12"/>
                <w:szCs w:val="12"/>
                <w:spacing w:val="-1"/>
              </w:rPr>
              <w:t>50V咤虫眯</w:t>
            </w:r>
          </w:p>
        </w:tc>
        <w:tc>
          <w:tcPr>
            <w:tcW w:w="1359" w:type="dxa"/>
            <w:vAlign w:val="top"/>
            <w:tcBorders>
              <w:bottom w:val="single" w:color="000000" w:sz="2" w:space="0"/>
              <w:top w:val="single" w:color="000000" w:sz="2" w:space="0"/>
            </w:tcBorders>
          </w:tcPr>
          <w:p>
            <w:pPr>
              <w:pStyle w:val="TableText"/>
              <w:ind w:left="585" w:right="48" w:hanging="540"/>
              <w:spacing w:before="10" w:line="210" w:lineRule="auto"/>
              <w:rPr>
                <w:sz w:val="12"/>
                <w:szCs w:val="12"/>
              </w:rPr>
            </w:pPr>
            <w:r>
              <w:rPr>
                <w:sz w:val="12"/>
                <w:szCs w:val="12"/>
                <w:spacing w:val="-1"/>
              </w:rPr>
              <w:t>稀释3000-5000倍液叶面</w:t>
            </w:r>
            <w:r>
              <w:rPr>
                <w:sz w:val="12"/>
                <w:szCs w:val="12"/>
                <w:spacing w:val="9"/>
              </w:rPr>
              <w:t xml:space="preserve"> </w:t>
            </w:r>
            <w:r>
              <w:rPr>
                <w:sz w:val="12"/>
                <w:szCs w:val="12"/>
                <w:spacing w:val="-3"/>
              </w:rPr>
              <w:t>喷雾</w:t>
            </w:r>
          </w:p>
        </w:tc>
        <w:tc>
          <w:tcPr>
            <w:tcW w:w="1239" w:type="dxa"/>
            <w:vAlign w:val="top"/>
            <w:vMerge w:val="continue"/>
            <w:tcBorders>
              <w:bottom w:val="single" w:color="000000" w:sz="2" w:space="0"/>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67"/>
              <w:spacing w:before="86" w:line="213" w:lineRule="auto"/>
              <w:rPr>
                <w:sz w:val="12"/>
                <w:szCs w:val="12"/>
              </w:rPr>
            </w:pPr>
            <w:r>
              <w:rPr>
                <w:sz w:val="12"/>
                <w:szCs w:val="12"/>
                <w:spacing w:val="3"/>
              </w:rPr>
              <w:t>(10g/袋)</w:t>
            </w:r>
          </w:p>
        </w:tc>
        <w:tc>
          <w:tcPr>
            <w:tcW w:w="3143" w:type="dxa"/>
            <w:vAlign w:val="top"/>
            <w:tcBorders>
              <w:bottom w:val="single" w:color="000000" w:sz="2" w:space="0"/>
              <w:top w:val="single" w:color="000000" w:sz="2" w:space="0"/>
            </w:tcBorders>
          </w:tcPr>
          <w:p>
            <w:pPr>
              <w:pStyle w:val="TableText"/>
              <w:ind w:left="18"/>
              <w:spacing w:before="90" w:line="219" w:lineRule="auto"/>
              <w:rPr>
                <w:sz w:val="12"/>
                <w:szCs w:val="12"/>
              </w:rPr>
            </w:pPr>
            <w:r>
              <w:rPr>
                <w:sz w:val="12"/>
                <w:szCs w:val="12"/>
                <w:spacing w:val="-2"/>
              </w:rPr>
              <w:t>防治刺吸式口器害虫</w:t>
            </w:r>
          </w:p>
        </w:tc>
      </w:tr>
      <w:tr>
        <w:trPr>
          <w:trHeight w:val="334" w:hRule="atLeast"/>
        </w:trPr>
        <w:tc>
          <w:tcPr>
            <w:tcW w:w="425" w:type="dxa"/>
            <w:vAlign w:val="top"/>
            <w:vMerge w:val="continue"/>
            <w:tcBorders>
              <w:bottom w:val="nil"/>
              <w:top w:val="nil"/>
            </w:tcBorders>
          </w:tcPr>
          <w:p>
            <w:pPr>
              <w:rPr>
                <w:rFonts w:ascii="Arial"/>
                <w:sz w:val="21"/>
              </w:rPr>
            </w:pPr>
            <w:r/>
          </w:p>
        </w:tc>
        <w:tc>
          <w:tcPr>
            <w:tcW w:w="620"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pStyle w:val="TableText"/>
              <w:ind w:left="60"/>
              <w:spacing w:before="39" w:line="218" w:lineRule="auto"/>
              <w:rPr>
                <w:sz w:val="12"/>
                <w:szCs w:val="12"/>
              </w:rPr>
            </w:pPr>
            <w:r>
              <w:rPr>
                <w:sz w:val="12"/>
                <w:szCs w:val="12"/>
                <w:spacing w:val="-1"/>
              </w:rPr>
              <w:t>蛀干害虫</w:t>
            </w:r>
          </w:p>
        </w:tc>
        <w:tc>
          <w:tcPr>
            <w:tcW w:w="839" w:type="dxa"/>
            <w:vAlign w:val="top"/>
            <w:vMerge w:val="restart"/>
            <w:tcBorders>
              <w:bottom w:val="nil"/>
              <w:top w:val="single" w:color="000000" w:sz="2" w:space="0"/>
            </w:tcBorders>
          </w:tcPr>
          <w:p>
            <w:pPr>
              <w:pStyle w:val="TableText"/>
              <w:ind w:left="50"/>
              <w:spacing w:before="279" w:line="219" w:lineRule="auto"/>
              <w:rPr>
                <w:sz w:val="12"/>
                <w:szCs w:val="12"/>
              </w:rPr>
            </w:pPr>
            <w:r>
              <w:rPr>
                <w:sz w:val="12"/>
                <w:szCs w:val="12"/>
                <w:spacing w:val="-1"/>
              </w:rPr>
              <w:t>星天牛、桃红</w:t>
            </w:r>
          </w:p>
          <w:p>
            <w:pPr>
              <w:pStyle w:val="TableText"/>
              <w:ind w:left="40"/>
              <w:spacing w:before="7" w:line="219" w:lineRule="auto"/>
              <w:rPr>
                <w:sz w:val="12"/>
                <w:szCs w:val="12"/>
              </w:rPr>
            </w:pPr>
            <w:r>
              <w:rPr>
                <w:sz w:val="12"/>
                <w:szCs w:val="12"/>
                <w:spacing w:val="2"/>
              </w:rPr>
              <w:t>预天牛，光肩</w:t>
            </w:r>
          </w:p>
          <w:p>
            <w:pPr>
              <w:pStyle w:val="TableText"/>
              <w:ind w:left="60"/>
              <w:spacing w:before="7" w:line="220" w:lineRule="auto"/>
              <w:rPr>
                <w:sz w:val="12"/>
                <w:szCs w:val="12"/>
              </w:rPr>
            </w:pPr>
            <w:r>
              <w:rPr>
                <w:sz w:val="12"/>
                <w:szCs w:val="12"/>
                <w:spacing w:val="-1"/>
              </w:rPr>
              <w:t>星天牛，云班</w:t>
            </w:r>
          </w:p>
          <w:p>
            <w:pPr>
              <w:pStyle w:val="TableText"/>
              <w:ind w:left="50"/>
              <w:spacing w:before="16" w:line="215" w:lineRule="auto"/>
              <w:rPr>
                <w:sz w:val="12"/>
                <w:szCs w:val="12"/>
              </w:rPr>
            </w:pPr>
            <w:r>
              <w:rPr>
                <w:sz w:val="12"/>
                <w:szCs w:val="12"/>
                <w:spacing w:val="-1"/>
              </w:rPr>
              <w:t>天牛、小盘虫</w:t>
            </w:r>
          </w:p>
          <w:p>
            <w:pPr>
              <w:pStyle w:val="TableText"/>
              <w:ind w:left="170"/>
              <w:spacing w:before="1" w:line="219" w:lineRule="auto"/>
              <w:rPr>
                <w:sz w:val="12"/>
                <w:szCs w:val="12"/>
              </w:rPr>
            </w:pPr>
            <w:r>
              <w:rPr>
                <w:sz w:val="12"/>
                <w:szCs w:val="12"/>
                <w:spacing w:val="-4"/>
              </w:rPr>
              <w:t>、木矗蛾</w:t>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09" w:line="218" w:lineRule="auto"/>
              <w:rPr>
                <w:sz w:val="12"/>
                <w:szCs w:val="12"/>
              </w:rPr>
            </w:pPr>
            <w:r>
              <w:rPr>
                <w:sz w:val="12"/>
                <w:szCs w:val="12"/>
                <w:spacing w:val="2"/>
              </w:rPr>
              <w:t>国光依它</w:t>
            </w:r>
          </w:p>
        </w:tc>
        <w:tc>
          <w:tcPr>
            <w:tcW w:w="1389" w:type="dxa"/>
            <w:vAlign w:val="top"/>
            <w:tcBorders>
              <w:bottom w:val="single" w:color="000000" w:sz="2" w:space="0"/>
              <w:top w:val="single" w:color="000000" w:sz="2" w:space="0"/>
            </w:tcBorders>
          </w:tcPr>
          <w:p>
            <w:pPr>
              <w:pStyle w:val="TableText"/>
              <w:ind w:left="114"/>
              <w:spacing w:before="109" w:line="219" w:lineRule="auto"/>
              <w:rPr>
                <w:sz w:val="12"/>
                <w:szCs w:val="12"/>
              </w:rPr>
            </w:pPr>
            <w:r>
              <w:rPr>
                <w:sz w:val="12"/>
                <w:szCs w:val="12"/>
                <w:spacing w:val="-5"/>
              </w:rPr>
              <w:t>45%丙溴</w:t>
            </w:r>
            <w:r>
              <w:rPr>
                <w:sz w:val="12"/>
                <w:szCs w:val="12"/>
                <w:spacing w:val="-11"/>
              </w:rPr>
              <w:t xml:space="preserve"> </w:t>
            </w:r>
            <w:r>
              <w:rPr>
                <w:sz w:val="12"/>
                <w:szCs w:val="12"/>
                <w:spacing w:val="-5"/>
              </w:rPr>
              <w:t>·辛硫磷乳泊</w:t>
            </w:r>
          </w:p>
        </w:tc>
        <w:tc>
          <w:tcPr>
            <w:tcW w:w="1359" w:type="dxa"/>
            <w:vAlign w:val="top"/>
            <w:tcBorders>
              <w:bottom w:val="single" w:color="000000" w:sz="2" w:space="0"/>
              <w:top w:val="single" w:color="000000" w:sz="2" w:space="0"/>
            </w:tcBorders>
          </w:tcPr>
          <w:p>
            <w:pPr>
              <w:pStyle w:val="TableText"/>
              <w:ind w:left="314"/>
              <w:spacing w:before="109" w:line="219" w:lineRule="auto"/>
              <w:rPr>
                <w:sz w:val="12"/>
                <w:szCs w:val="12"/>
              </w:rPr>
            </w:pPr>
            <w:r>
              <w:rPr>
                <w:sz w:val="12"/>
                <w:szCs w:val="12"/>
                <w:spacing w:val="-1"/>
              </w:rPr>
              <w:t>稀释5-10倍液</w:t>
            </w:r>
          </w:p>
        </w:tc>
        <w:tc>
          <w:tcPr>
            <w:tcW w:w="1239" w:type="dxa"/>
            <w:vAlign w:val="top"/>
            <w:vMerge w:val="restart"/>
            <w:tcBorders>
              <w:bottom w:val="nil"/>
              <w:top w:val="single" w:color="000000" w:sz="2" w:space="0"/>
            </w:tcBorders>
          </w:tcPr>
          <w:p>
            <w:pPr>
              <w:spacing w:line="388" w:lineRule="auto"/>
              <w:rPr>
                <w:rFonts w:ascii="Arial"/>
                <w:sz w:val="21"/>
              </w:rPr>
            </w:pPr>
            <w:r/>
          </w:p>
          <w:p>
            <w:pPr>
              <w:pStyle w:val="TableText"/>
              <w:ind w:left="16"/>
              <w:spacing w:before="39" w:line="219" w:lineRule="auto"/>
              <w:rPr>
                <w:sz w:val="12"/>
                <w:szCs w:val="12"/>
              </w:rPr>
            </w:pPr>
            <w:r>
              <w:rPr>
                <w:sz w:val="12"/>
                <w:szCs w:val="12"/>
                <w:spacing w:val="-1"/>
              </w:rPr>
              <w:t>一般用3次，时间间隔7</w:t>
            </w:r>
          </w:p>
          <w:p>
            <w:pPr>
              <w:pStyle w:val="TableText"/>
              <w:ind w:left="16"/>
              <w:spacing w:before="17" w:line="215" w:lineRule="auto"/>
              <w:rPr>
                <w:sz w:val="12"/>
                <w:szCs w:val="12"/>
              </w:rPr>
            </w:pPr>
            <w:r>
              <w:rPr>
                <w:sz w:val="12"/>
                <w:szCs w:val="12"/>
                <w:spacing w:val="-1"/>
              </w:rPr>
              <w:t>到10天，视现场情况可</w:t>
            </w:r>
          </w:p>
          <w:p>
            <w:pPr>
              <w:pStyle w:val="TableText"/>
              <w:ind w:left="376"/>
              <w:spacing w:line="219" w:lineRule="auto"/>
              <w:rPr>
                <w:sz w:val="12"/>
                <w:szCs w:val="12"/>
              </w:rPr>
            </w:pPr>
            <w:r>
              <w:rPr>
                <w:sz w:val="12"/>
                <w:szCs w:val="12"/>
                <w:spacing w:val="-1"/>
              </w:rPr>
              <w:t>增加次数</w:t>
            </w:r>
          </w:p>
        </w:tc>
        <w:tc>
          <w:tcPr>
            <w:tcW w:w="1019" w:type="dxa"/>
            <w:vAlign w:val="top"/>
            <w:tcBorders>
              <w:bottom w:val="single" w:color="000000" w:sz="2" w:space="0"/>
              <w:top w:val="single" w:color="000000" w:sz="2" w:space="0"/>
            </w:tcBorders>
          </w:tcPr>
          <w:p>
            <w:pPr>
              <w:pStyle w:val="TableText"/>
              <w:ind w:left="207"/>
              <w:spacing w:before="110" w:line="221" w:lineRule="auto"/>
              <w:rPr>
                <w:sz w:val="12"/>
                <w:szCs w:val="12"/>
              </w:rPr>
            </w:pPr>
            <w:r>
              <w:rPr>
                <w:sz w:val="12"/>
                <w:szCs w:val="12"/>
                <w:spacing w:val="3"/>
              </w:rPr>
              <w:t>(200</w:t>
            </w:r>
            <w:r>
              <w:rPr>
                <w:sz w:val="12"/>
                <w:szCs w:val="12"/>
              </w:rPr>
              <w:t>ml</w:t>
            </w:r>
            <w:r>
              <w:rPr>
                <w:sz w:val="12"/>
                <w:szCs w:val="12"/>
                <w:spacing w:val="3"/>
              </w:rPr>
              <w:t>/瓶)</w:t>
            </w:r>
          </w:p>
        </w:tc>
        <w:tc>
          <w:tcPr>
            <w:tcW w:w="3143" w:type="dxa"/>
            <w:vAlign w:val="top"/>
            <w:tcBorders>
              <w:bottom w:val="single" w:color="000000" w:sz="2" w:space="0"/>
              <w:top w:val="single" w:color="000000" w:sz="2" w:space="0"/>
            </w:tcBorders>
          </w:tcPr>
          <w:p>
            <w:pPr>
              <w:pStyle w:val="TableText"/>
              <w:ind w:left="18"/>
              <w:spacing w:before="109" w:line="219" w:lineRule="auto"/>
              <w:rPr>
                <w:sz w:val="12"/>
                <w:szCs w:val="12"/>
              </w:rPr>
            </w:pPr>
            <w:r>
              <w:rPr>
                <w:sz w:val="12"/>
                <w:szCs w:val="12"/>
                <w:spacing w:val="-1"/>
              </w:rPr>
              <w:t>注射虫洞，黄泥封洞</w:t>
            </w:r>
          </w:p>
        </w:tc>
      </w:tr>
      <w:tr>
        <w:trPr>
          <w:trHeight w:val="30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3"/>
              <w:spacing w:before="90" w:line="218" w:lineRule="auto"/>
              <w:rPr>
                <w:sz w:val="12"/>
                <w:szCs w:val="12"/>
              </w:rPr>
            </w:pPr>
            <w:r>
              <w:rPr>
                <w:sz w:val="12"/>
                <w:szCs w:val="12"/>
                <w:spacing w:val="1"/>
              </w:rPr>
              <w:t>中威蛀干害虫专用</w:t>
            </w:r>
          </w:p>
        </w:tc>
        <w:tc>
          <w:tcPr>
            <w:tcW w:w="1389" w:type="dxa"/>
            <w:vAlign w:val="top"/>
            <w:tcBorders>
              <w:bottom w:val="single" w:color="000000" w:sz="2" w:space="0"/>
              <w:top w:val="single" w:color="000000" w:sz="2" w:space="0"/>
            </w:tcBorders>
          </w:tcPr>
          <w:p>
            <w:pPr>
              <w:pStyle w:val="TableText"/>
              <w:ind w:left="84"/>
              <w:spacing w:before="10" w:line="218" w:lineRule="auto"/>
              <w:rPr>
                <w:sz w:val="12"/>
                <w:szCs w:val="12"/>
              </w:rPr>
            </w:pPr>
            <w:r>
              <w:rPr>
                <w:sz w:val="12"/>
                <w:szCs w:val="12"/>
                <w:spacing w:val="-10"/>
              </w:rPr>
              <w:t>氰虎</w:t>
            </w:r>
            <w:r>
              <w:rPr>
                <w:sz w:val="12"/>
                <w:szCs w:val="12"/>
                <w:spacing w:val="-12"/>
              </w:rPr>
              <w:t xml:space="preserve"> </w:t>
            </w:r>
            <w:r>
              <w:rPr>
                <w:sz w:val="12"/>
                <w:szCs w:val="12"/>
                <w:spacing w:val="-10"/>
              </w:rPr>
              <w:t>·马拉松</w:t>
            </w:r>
            <w:r>
              <w:rPr>
                <w:sz w:val="12"/>
                <w:szCs w:val="12"/>
                <w:spacing w:val="-14"/>
              </w:rPr>
              <w:t xml:space="preserve"> </w:t>
            </w:r>
            <w:r>
              <w:rPr>
                <w:sz w:val="12"/>
                <w:szCs w:val="12"/>
                <w:spacing w:val="-10"/>
              </w:rPr>
              <w:t>·苦参碱</w:t>
            </w:r>
          </w:p>
          <w:p>
            <w:pPr>
              <w:pStyle w:val="TableText"/>
              <w:ind w:left="594"/>
              <w:spacing w:line="219" w:lineRule="auto"/>
              <w:rPr>
                <w:sz w:val="12"/>
                <w:szCs w:val="12"/>
              </w:rPr>
            </w:pPr>
            <w:r>
              <w:rPr>
                <w:sz w:val="12"/>
                <w:szCs w:val="12"/>
                <w:spacing w:val="-2"/>
              </w:rPr>
              <w:t>20%</w:t>
            </w:r>
          </w:p>
        </w:tc>
        <w:tc>
          <w:tcPr>
            <w:tcW w:w="1359" w:type="dxa"/>
            <w:vAlign w:val="top"/>
            <w:tcBorders>
              <w:bottom w:val="single" w:color="000000" w:sz="2" w:space="0"/>
              <w:top w:val="single" w:color="000000" w:sz="2" w:space="0"/>
            </w:tcBorders>
          </w:tcPr>
          <w:p>
            <w:pPr>
              <w:pStyle w:val="TableText"/>
              <w:ind w:left="434"/>
              <w:spacing w:before="90" w:line="219" w:lineRule="auto"/>
              <w:rPr>
                <w:sz w:val="12"/>
                <w:szCs w:val="12"/>
              </w:rPr>
            </w:pPr>
            <w:r>
              <w:rPr>
                <w:sz w:val="12"/>
                <w:szCs w:val="12"/>
                <w:spacing w:val="3"/>
              </w:rPr>
              <w:t>直接使用</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37"/>
              <w:spacing w:before="90" w:line="220" w:lineRule="auto"/>
              <w:rPr>
                <w:sz w:val="12"/>
                <w:szCs w:val="12"/>
              </w:rPr>
            </w:pPr>
            <w:r>
              <w:rPr>
                <w:sz w:val="12"/>
                <w:szCs w:val="12"/>
                <w:spacing w:val="4"/>
              </w:rPr>
              <w:t>(20</w:t>
            </w:r>
            <w:r>
              <w:rPr>
                <w:sz w:val="12"/>
                <w:szCs w:val="12"/>
              </w:rPr>
              <w:t>ul</w:t>
            </w:r>
            <w:r>
              <w:rPr>
                <w:sz w:val="12"/>
                <w:szCs w:val="12"/>
                <w:spacing w:val="4"/>
              </w:rPr>
              <w:t>/支)</w:t>
            </w:r>
          </w:p>
        </w:tc>
        <w:tc>
          <w:tcPr>
            <w:tcW w:w="3143" w:type="dxa"/>
            <w:vAlign w:val="top"/>
            <w:tcBorders>
              <w:bottom w:val="single" w:color="000000" w:sz="2" w:space="0"/>
              <w:top w:val="single" w:color="000000" w:sz="2" w:space="0"/>
            </w:tcBorders>
          </w:tcPr>
          <w:p>
            <w:pPr>
              <w:pStyle w:val="TableText"/>
              <w:ind w:left="18"/>
              <w:spacing w:before="90" w:line="218" w:lineRule="auto"/>
              <w:rPr>
                <w:sz w:val="12"/>
                <w:szCs w:val="12"/>
              </w:rPr>
            </w:pPr>
            <w:r>
              <w:rPr>
                <w:sz w:val="12"/>
                <w:szCs w:val="12"/>
                <w:spacing w:val="-1"/>
              </w:rPr>
              <w:t>针对天牛幼虫，吉丁虫，松材线虫等蛀干害虫效果明显</w:t>
            </w:r>
          </w:p>
        </w:tc>
      </w:tr>
      <w:tr>
        <w:trPr>
          <w:trHeight w:val="61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3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249" w:line="218" w:lineRule="auto"/>
              <w:rPr>
                <w:sz w:val="12"/>
                <w:szCs w:val="12"/>
              </w:rPr>
            </w:pPr>
            <w:r>
              <w:rPr>
                <w:sz w:val="12"/>
                <w:szCs w:val="12"/>
                <w:spacing w:val="1"/>
              </w:rPr>
              <w:t>国光防蛀液剂</w:t>
            </w:r>
          </w:p>
        </w:tc>
        <w:tc>
          <w:tcPr>
            <w:tcW w:w="1389" w:type="dxa"/>
            <w:vAlign w:val="top"/>
            <w:tcBorders>
              <w:bottom w:val="single" w:color="000000" w:sz="2" w:space="0"/>
              <w:top w:val="single" w:color="000000" w:sz="2" w:space="0"/>
            </w:tcBorders>
          </w:tcPr>
          <w:p>
            <w:pPr>
              <w:pStyle w:val="TableText"/>
              <w:ind w:left="384"/>
              <w:spacing w:before="249" w:line="218" w:lineRule="auto"/>
              <w:rPr>
                <w:sz w:val="12"/>
                <w:szCs w:val="12"/>
              </w:rPr>
            </w:pPr>
            <w:r>
              <w:rPr>
                <w:sz w:val="12"/>
                <w:szCs w:val="12"/>
                <w:spacing w:val="-1"/>
              </w:rPr>
              <w:t>0.3%氧菊酯</w:t>
            </w:r>
          </w:p>
        </w:tc>
        <w:tc>
          <w:tcPr>
            <w:tcW w:w="1359" w:type="dxa"/>
            <w:vAlign w:val="top"/>
            <w:tcBorders>
              <w:bottom w:val="single" w:color="000000" w:sz="2" w:space="0"/>
              <w:top w:val="single" w:color="000000" w:sz="2" w:space="0"/>
            </w:tcBorders>
          </w:tcPr>
          <w:p>
            <w:pPr>
              <w:pStyle w:val="TableText"/>
              <w:ind w:left="434"/>
              <w:spacing w:before="249" w:line="219" w:lineRule="auto"/>
              <w:rPr>
                <w:sz w:val="12"/>
                <w:szCs w:val="12"/>
              </w:rPr>
            </w:pPr>
            <w:r>
              <w:rPr>
                <w:sz w:val="12"/>
                <w:szCs w:val="12"/>
                <w:spacing w:val="3"/>
              </w:rPr>
              <w:t>直接使用</w:t>
            </w:r>
          </w:p>
        </w:tc>
        <w:tc>
          <w:tcPr>
            <w:tcW w:w="1239" w:type="dxa"/>
            <w:vAlign w:val="top"/>
            <w:vMerge w:val="continue"/>
            <w:tcBorders>
              <w:bottom w:val="single" w:color="000000" w:sz="2" w:space="0"/>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37"/>
              <w:spacing w:before="250" w:line="220" w:lineRule="auto"/>
              <w:rPr>
                <w:sz w:val="12"/>
                <w:szCs w:val="12"/>
              </w:rPr>
            </w:pPr>
            <w:r>
              <w:rPr>
                <w:sz w:val="12"/>
                <w:szCs w:val="12"/>
                <w:spacing w:val="4"/>
              </w:rPr>
              <w:t>(20</w:t>
            </w:r>
            <w:r>
              <w:rPr>
                <w:sz w:val="12"/>
                <w:szCs w:val="12"/>
              </w:rPr>
              <w:t>nl</w:t>
            </w:r>
            <w:r>
              <w:rPr>
                <w:sz w:val="12"/>
                <w:szCs w:val="12"/>
                <w:spacing w:val="4"/>
              </w:rPr>
              <w:t>/支)</w:t>
            </w:r>
          </w:p>
        </w:tc>
        <w:tc>
          <w:tcPr>
            <w:tcW w:w="3143" w:type="dxa"/>
            <w:vAlign w:val="top"/>
            <w:tcBorders>
              <w:bottom w:val="single" w:color="000000" w:sz="2" w:space="0"/>
              <w:top w:val="single" w:color="000000" w:sz="2" w:space="0"/>
            </w:tcBorders>
          </w:tcPr>
          <w:p>
            <w:pPr>
              <w:pStyle w:val="TableText"/>
              <w:ind w:left="18"/>
              <w:spacing w:before="249" w:line="219" w:lineRule="auto"/>
              <w:rPr>
                <w:sz w:val="12"/>
                <w:szCs w:val="12"/>
              </w:rPr>
            </w:pPr>
            <w:r>
              <w:rPr>
                <w:sz w:val="12"/>
                <w:szCs w:val="12"/>
              </w:rPr>
              <w:t>专杀蛀杆性害虫胸径8-10cn用1支，每增加1</w:t>
            </w:r>
            <w:r>
              <w:rPr>
                <w:sz w:val="12"/>
                <w:szCs w:val="12"/>
                <w:spacing w:val="-1"/>
              </w:rPr>
              <w:t>0cn增加1支</w:t>
            </w:r>
          </w:p>
        </w:tc>
      </w:tr>
      <w:tr>
        <w:trPr>
          <w:trHeight w:val="364" w:hRule="atLeast"/>
        </w:trPr>
        <w:tc>
          <w:tcPr>
            <w:tcW w:w="425" w:type="dxa"/>
            <w:vAlign w:val="top"/>
            <w:vMerge w:val="continue"/>
            <w:tcBorders>
              <w:bottom w:val="nil"/>
              <w:top w:val="nil"/>
            </w:tcBorders>
          </w:tcPr>
          <w:p>
            <w:pPr>
              <w:rPr>
                <w:rFonts w:ascii="Arial"/>
                <w:sz w:val="21"/>
              </w:rPr>
            </w:pPr>
            <w:r/>
          </w:p>
        </w:tc>
        <w:tc>
          <w:tcPr>
            <w:tcW w:w="620" w:type="dxa"/>
            <w:vAlign w:val="top"/>
            <w:vMerge w:val="restart"/>
            <w:tcBorders>
              <w:bottom w:val="nil"/>
              <w:top w:val="single" w:color="000000" w:sz="2" w:space="0"/>
            </w:tcBorders>
          </w:tcPr>
          <w:p>
            <w:pPr>
              <w:spacing w:line="279" w:lineRule="auto"/>
              <w:rPr>
                <w:rFonts w:ascii="Arial"/>
                <w:sz w:val="21"/>
              </w:rPr>
            </w:pPr>
            <w:r/>
          </w:p>
          <w:p>
            <w:pPr>
              <w:pStyle w:val="TableText"/>
              <w:ind w:left="60"/>
              <w:spacing w:before="39" w:line="220" w:lineRule="auto"/>
              <w:rPr>
                <w:sz w:val="12"/>
                <w:szCs w:val="12"/>
              </w:rPr>
            </w:pPr>
            <w:r>
              <w:rPr>
                <w:sz w:val="12"/>
                <w:szCs w:val="12"/>
                <w:spacing w:val="-1"/>
              </w:rPr>
              <w:t>地下害虫</w:t>
            </w:r>
          </w:p>
        </w:tc>
        <w:tc>
          <w:tcPr>
            <w:tcW w:w="839" w:type="dxa"/>
            <w:vAlign w:val="top"/>
            <w:vMerge w:val="restart"/>
            <w:tcBorders>
              <w:bottom w:val="nil"/>
              <w:top w:val="single" w:color="000000" w:sz="2" w:space="0"/>
            </w:tcBorders>
          </w:tcPr>
          <w:p>
            <w:pPr>
              <w:pStyle w:val="TableText"/>
              <w:ind w:left="50"/>
              <w:spacing w:before="189" w:line="201" w:lineRule="auto"/>
              <w:rPr>
                <w:sz w:val="12"/>
                <w:szCs w:val="12"/>
              </w:rPr>
            </w:pPr>
            <w:r>
              <w:rPr>
                <w:sz w:val="12"/>
                <w:szCs w:val="12"/>
                <w:spacing w:val="-1"/>
              </w:rPr>
              <w:t>蛴蜡、地老虎</w:t>
            </w:r>
          </w:p>
          <w:p>
            <w:pPr>
              <w:pStyle w:val="TableText"/>
              <w:ind w:left="60"/>
              <w:spacing w:line="219" w:lineRule="auto"/>
              <w:rPr>
                <w:sz w:val="12"/>
                <w:szCs w:val="12"/>
              </w:rPr>
            </w:pPr>
            <w:r>
              <w:rPr>
                <w:sz w:val="12"/>
                <w:szCs w:val="12"/>
                <w:spacing w:val="-1"/>
              </w:rPr>
              <w:t>、其他土中虫</w:t>
            </w:r>
          </w:p>
          <w:p>
            <w:pPr>
              <w:pStyle w:val="TableText"/>
              <w:ind w:left="360"/>
              <w:spacing w:before="6" w:line="220" w:lineRule="auto"/>
              <w:rPr>
                <w:sz w:val="12"/>
                <w:szCs w:val="12"/>
              </w:rPr>
            </w:pPr>
            <w:r>
              <w:rPr>
                <w:sz w:val="12"/>
                <w:szCs w:val="12"/>
              </w:rPr>
              <w:t>卵</w:t>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20" w:line="219" w:lineRule="auto"/>
              <w:rPr>
                <w:sz w:val="12"/>
                <w:szCs w:val="12"/>
              </w:rPr>
            </w:pPr>
            <w:r>
              <w:rPr>
                <w:sz w:val="12"/>
                <w:szCs w:val="12"/>
                <w:spacing w:val="-1"/>
              </w:rPr>
              <w:t>诺善信瑞功</w:t>
            </w:r>
          </w:p>
        </w:tc>
        <w:tc>
          <w:tcPr>
            <w:tcW w:w="1389" w:type="dxa"/>
            <w:vAlign w:val="top"/>
            <w:tcBorders>
              <w:bottom w:val="single" w:color="000000" w:sz="2" w:space="0"/>
              <w:top w:val="single" w:color="000000" w:sz="2" w:space="0"/>
            </w:tcBorders>
          </w:tcPr>
          <w:p>
            <w:pPr>
              <w:pStyle w:val="TableText"/>
              <w:ind w:left="203"/>
              <w:spacing w:before="120" w:line="219" w:lineRule="auto"/>
              <w:rPr>
                <w:sz w:val="12"/>
                <w:szCs w:val="12"/>
              </w:rPr>
            </w:pPr>
            <w:r>
              <w:rPr>
                <w:sz w:val="12"/>
                <w:szCs w:val="12"/>
                <w:spacing w:val="-1"/>
              </w:rPr>
              <w:t>高效氯氟氰菊酯5%</w:t>
            </w:r>
          </w:p>
        </w:tc>
        <w:tc>
          <w:tcPr>
            <w:tcW w:w="1359" w:type="dxa"/>
            <w:vAlign w:val="top"/>
            <w:tcBorders>
              <w:bottom w:val="single" w:color="000000" w:sz="2" w:space="0"/>
              <w:top w:val="single" w:color="000000" w:sz="2" w:space="0"/>
            </w:tcBorders>
          </w:tcPr>
          <w:p>
            <w:pPr>
              <w:pStyle w:val="TableText"/>
              <w:ind w:left="344"/>
              <w:spacing w:before="120" w:line="220" w:lineRule="auto"/>
              <w:rPr>
                <w:sz w:val="12"/>
                <w:szCs w:val="12"/>
              </w:rPr>
            </w:pPr>
            <w:r>
              <w:rPr>
                <w:sz w:val="12"/>
                <w:szCs w:val="12"/>
                <w:spacing w:val="-5"/>
              </w:rPr>
              <w:t>1000—1500倍</w:t>
            </w:r>
          </w:p>
        </w:tc>
        <w:tc>
          <w:tcPr>
            <w:tcW w:w="1239" w:type="dxa"/>
            <w:vAlign w:val="top"/>
            <w:vMerge w:val="restart"/>
            <w:tcBorders>
              <w:bottom w:val="nil"/>
              <w:top w:val="single" w:color="000000" w:sz="2" w:space="0"/>
            </w:tcBorders>
          </w:tcPr>
          <w:p>
            <w:pPr>
              <w:spacing w:line="279" w:lineRule="auto"/>
              <w:rPr>
                <w:rFonts w:ascii="Arial"/>
                <w:sz w:val="21"/>
              </w:rPr>
            </w:pPr>
            <w:r/>
          </w:p>
          <w:p>
            <w:pPr>
              <w:pStyle w:val="TableText"/>
              <w:ind w:left="346"/>
              <w:spacing w:before="39" w:line="219" w:lineRule="auto"/>
              <w:rPr>
                <w:sz w:val="12"/>
                <w:szCs w:val="12"/>
              </w:rPr>
            </w:pPr>
            <w:r>
              <w:rPr>
                <w:sz w:val="12"/>
                <w:szCs w:val="12"/>
                <w:spacing w:val="-2"/>
              </w:rPr>
              <w:t>一般用1次</w:t>
            </w:r>
          </w:p>
        </w:tc>
        <w:tc>
          <w:tcPr>
            <w:tcW w:w="1019" w:type="dxa"/>
            <w:vAlign w:val="top"/>
            <w:tcBorders>
              <w:bottom w:val="single" w:color="000000" w:sz="2" w:space="0"/>
              <w:top w:val="single" w:color="000000" w:sz="2" w:space="0"/>
            </w:tcBorders>
          </w:tcPr>
          <w:p>
            <w:pPr>
              <w:pStyle w:val="TableText"/>
              <w:ind w:left="267"/>
              <w:spacing w:before="120" w:line="221" w:lineRule="auto"/>
              <w:rPr>
                <w:sz w:val="12"/>
                <w:szCs w:val="12"/>
              </w:rPr>
            </w:pPr>
            <w:r>
              <w:rPr>
                <w:sz w:val="12"/>
                <w:szCs w:val="12"/>
                <w:spacing w:val="-2"/>
              </w:rPr>
              <w:t>1000l/瓶</w:t>
            </w:r>
          </w:p>
        </w:tc>
        <w:tc>
          <w:tcPr>
            <w:tcW w:w="3143" w:type="dxa"/>
            <w:vAlign w:val="top"/>
            <w:tcBorders>
              <w:bottom w:val="single" w:color="000000" w:sz="2" w:space="0"/>
              <w:top w:val="single" w:color="000000" w:sz="2" w:space="0"/>
            </w:tcBorders>
          </w:tcPr>
          <w:p>
            <w:pPr>
              <w:pStyle w:val="TableText"/>
              <w:ind w:left="18" w:right="1"/>
              <w:spacing w:before="59" w:line="218" w:lineRule="auto"/>
              <w:rPr>
                <w:sz w:val="12"/>
                <w:szCs w:val="12"/>
              </w:rPr>
            </w:pPr>
            <w:r>
              <w:rPr>
                <w:sz w:val="12"/>
                <w:szCs w:val="12"/>
                <w:spacing w:val="-1"/>
              </w:rPr>
              <w:t>杀灭蛴嬉、颇帖，蚯蚓等地下害虫和粘虫、财虫、青虫、蚂</w:t>
            </w:r>
            <w:r>
              <w:rPr>
                <w:sz w:val="12"/>
                <w:szCs w:val="12"/>
                <w:spacing w:val="17"/>
                <w:w w:val="101"/>
              </w:rPr>
              <w:t xml:space="preserve"> </w:t>
            </w:r>
            <w:r>
              <w:rPr>
                <w:sz w:val="12"/>
                <w:szCs w:val="12"/>
                <w:spacing w:val="-2"/>
              </w:rPr>
              <w:t>蚁等</w:t>
            </w:r>
          </w:p>
        </w:tc>
      </w:tr>
      <w:tr>
        <w:trPr>
          <w:trHeight w:val="394" w:hRule="atLeast"/>
        </w:trPr>
        <w:tc>
          <w:tcPr>
            <w:tcW w:w="425" w:type="dxa"/>
            <w:vAlign w:val="top"/>
            <w:vMerge w:val="continue"/>
            <w:tcBorders>
              <w:bottom w:val="single" w:color="000000" w:sz="2" w:space="0"/>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3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40" w:line="219" w:lineRule="auto"/>
              <w:rPr>
                <w:sz w:val="12"/>
                <w:szCs w:val="12"/>
              </w:rPr>
            </w:pPr>
            <w:r>
              <w:rPr>
                <w:sz w:val="12"/>
                <w:szCs w:val="12"/>
                <w:spacing w:val="1"/>
              </w:rPr>
              <w:t>国光地杀</w:t>
            </w:r>
          </w:p>
        </w:tc>
        <w:tc>
          <w:tcPr>
            <w:tcW w:w="1389" w:type="dxa"/>
            <w:vAlign w:val="top"/>
            <w:tcBorders>
              <w:bottom w:val="single" w:color="000000" w:sz="2" w:space="0"/>
              <w:top w:val="single" w:color="000000" w:sz="2" w:space="0"/>
            </w:tcBorders>
          </w:tcPr>
          <w:p>
            <w:pPr>
              <w:pStyle w:val="TableText"/>
              <w:ind w:left="620" w:hanging="606"/>
              <w:spacing w:before="71" w:line="216" w:lineRule="auto"/>
              <w:rPr>
                <w:sz w:val="12"/>
                <w:szCs w:val="12"/>
              </w:rPr>
            </w:pPr>
            <w:r>
              <w:rPr>
                <w:sz w:val="12"/>
                <w:szCs w:val="12"/>
                <w:spacing w:val="-2"/>
              </w:rPr>
              <w:t>5%丁硫克百威.毒死蟀颗粒</w:t>
            </w:r>
            <w:r>
              <w:rPr>
                <w:sz w:val="12"/>
                <w:szCs w:val="12"/>
                <w:spacing w:val="9"/>
              </w:rPr>
              <w:t xml:space="preserve"> </w:t>
            </w:r>
            <w:r>
              <w:rPr>
                <w:sz w:val="12"/>
                <w:szCs w:val="12"/>
              </w:rPr>
              <w:t>剂</w:t>
            </w:r>
          </w:p>
        </w:tc>
        <w:tc>
          <w:tcPr>
            <w:tcW w:w="1359" w:type="dxa"/>
            <w:vAlign w:val="top"/>
            <w:tcBorders>
              <w:bottom w:val="single" w:color="000000" w:sz="2" w:space="0"/>
              <w:top w:val="single" w:color="000000" w:sz="2" w:space="0"/>
            </w:tcBorders>
          </w:tcPr>
          <w:p>
            <w:pPr>
              <w:pStyle w:val="TableText"/>
              <w:ind w:left="135"/>
              <w:spacing w:before="137" w:line="213" w:lineRule="auto"/>
              <w:rPr>
                <w:sz w:val="12"/>
                <w:szCs w:val="12"/>
              </w:rPr>
            </w:pPr>
            <w:r>
              <w:rPr>
                <w:sz w:val="12"/>
                <w:szCs w:val="12"/>
                <w:spacing w:val="-1"/>
              </w:rPr>
              <w:t>直接撤施：5-7kg/亩</w:t>
            </w:r>
          </w:p>
        </w:tc>
        <w:tc>
          <w:tcPr>
            <w:tcW w:w="1239" w:type="dxa"/>
            <w:vAlign w:val="top"/>
            <w:vMerge w:val="continue"/>
            <w:tcBorders>
              <w:bottom w:val="single" w:color="000000" w:sz="2" w:space="0"/>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67"/>
              <w:spacing w:before="137" w:line="213" w:lineRule="auto"/>
              <w:rPr>
                <w:sz w:val="12"/>
                <w:szCs w:val="12"/>
              </w:rPr>
            </w:pPr>
            <w:r>
              <w:rPr>
                <w:sz w:val="12"/>
                <w:szCs w:val="12"/>
                <w:spacing w:val="6"/>
              </w:rPr>
              <w:t>(</w:t>
            </w:r>
            <w:r>
              <w:rPr>
                <w:sz w:val="12"/>
                <w:szCs w:val="12"/>
              </w:rPr>
              <w:t>lkg</w:t>
            </w:r>
            <w:r>
              <w:rPr>
                <w:sz w:val="12"/>
                <w:szCs w:val="12"/>
                <w:spacing w:val="6"/>
              </w:rPr>
              <w:t>/袋)</w:t>
            </w:r>
          </w:p>
        </w:tc>
        <w:tc>
          <w:tcPr>
            <w:tcW w:w="3143" w:type="dxa"/>
            <w:vAlign w:val="top"/>
            <w:tcBorders>
              <w:bottom w:val="single" w:color="000000" w:sz="2" w:space="0"/>
              <w:top w:val="single" w:color="000000" w:sz="2" w:space="0"/>
            </w:tcBorders>
          </w:tcPr>
          <w:p>
            <w:pPr>
              <w:pStyle w:val="TableText"/>
              <w:ind w:left="18"/>
              <w:spacing w:before="140" w:line="219" w:lineRule="auto"/>
              <w:rPr>
                <w:sz w:val="12"/>
                <w:szCs w:val="12"/>
              </w:rPr>
            </w:pPr>
            <w:r>
              <w:rPr>
                <w:sz w:val="12"/>
                <w:szCs w:val="12"/>
                <w:spacing w:val="-1"/>
              </w:rPr>
              <w:t>在土壤中杀灭害虫效果好，使用方便</w:t>
            </w:r>
          </w:p>
        </w:tc>
      </w:tr>
      <w:tr>
        <w:trPr>
          <w:trHeight w:val="384" w:hRule="atLeast"/>
        </w:trPr>
        <w:tc>
          <w:tcPr>
            <w:tcW w:w="425" w:type="dxa"/>
            <w:vAlign w:val="top"/>
            <w:vMerge w:val="restart"/>
            <w:tcBorders>
              <w:bottom w:val="nil"/>
              <w:top w:val="single" w:color="000000" w:sz="2" w:space="0"/>
            </w:tcBorders>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24"/>
              <w:spacing w:before="39" w:line="218" w:lineRule="auto"/>
              <w:rPr>
                <w:sz w:val="12"/>
                <w:szCs w:val="12"/>
              </w:rPr>
            </w:pPr>
            <w:r>
              <w:rPr>
                <w:sz w:val="12"/>
                <w:szCs w:val="12"/>
                <w:spacing w:val="-2"/>
              </w:rPr>
              <w:t>营养剂</w:t>
            </w:r>
          </w:p>
          <w:p>
            <w:pPr>
              <w:pStyle w:val="TableText"/>
              <w:ind w:left="54"/>
              <w:spacing w:before="18" w:line="218" w:lineRule="auto"/>
              <w:rPr>
                <w:sz w:val="12"/>
                <w:szCs w:val="12"/>
              </w:rPr>
            </w:pPr>
            <w:r>
              <w:rPr>
                <w:sz w:val="12"/>
                <w:szCs w:val="12"/>
                <w:spacing w:val="-1"/>
              </w:rPr>
              <w:t>/肥料</w:t>
            </w:r>
          </w:p>
        </w:tc>
        <w:tc>
          <w:tcPr>
            <w:tcW w:w="620" w:type="dxa"/>
            <w:vAlign w:val="top"/>
            <w:vMerge w:val="restart"/>
            <w:tcBorders>
              <w:bottom w:val="nil"/>
              <w:top w:val="single" w:color="000000" w:sz="2" w:space="0"/>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60"/>
              <w:spacing w:before="39" w:line="219" w:lineRule="auto"/>
              <w:rPr>
                <w:sz w:val="12"/>
                <w:szCs w:val="12"/>
              </w:rPr>
            </w:pPr>
            <w:r>
              <w:rPr>
                <w:sz w:val="12"/>
                <w:szCs w:val="12"/>
                <w:spacing w:val="-1"/>
              </w:rPr>
              <w:t>树木复壮</w:t>
            </w:r>
          </w:p>
        </w:tc>
        <w:tc>
          <w:tcPr>
            <w:tcW w:w="839" w:type="dxa"/>
            <w:vAlign w:val="top"/>
            <w:vMerge w:val="restart"/>
            <w:tcBorders>
              <w:bottom w:val="nil"/>
              <w:top w:val="single" w:color="000000" w:sz="2" w:space="0"/>
            </w:tcBorders>
          </w:tcPr>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60" w:right="28" w:firstLine="19"/>
              <w:spacing w:before="39" w:line="209" w:lineRule="auto"/>
              <w:rPr>
                <w:sz w:val="12"/>
                <w:szCs w:val="12"/>
              </w:rPr>
            </w:pPr>
            <w:r>
              <w:rPr>
                <w:sz w:val="12"/>
                <w:szCs w:val="12"/>
              </w:rPr>
              <w:t>树木长势弱， </w:t>
            </w:r>
            <w:r>
              <w:rPr>
                <w:sz w:val="12"/>
                <w:szCs w:val="12"/>
                <w:spacing w:val="1"/>
              </w:rPr>
              <w:t>自顶部向下有</w:t>
            </w:r>
          </w:p>
          <w:p>
            <w:pPr>
              <w:pStyle w:val="TableText"/>
              <w:ind w:left="60"/>
              <w:spacing w:before="7" w:line="219" w:lineRule="auto"/>
              <w:rPr>
                <w:sz w:val="12"/>
                <w:szCs w:val="12"/>
              </w:rPr>
            </w:pPr>
            <w:r>
              <w:rPr>
                <w:sz w:val="12"/>
                <w:szCs w:val="12"/>
                <w:spacing w:val="-1"/>
              </w:rPr>
              <w:t>桔黄现象。或</w:t>
            </w:r>
          </w:p>
          <w:p>
            <w:pPr>
              <w:pStyle w:val="TableText"/>
              <w:ind w:left="50"/>
              <w:spacing w:before="17" w:line="215" w:lineRule="auto"/>
              <w:rPr>
                <w:sz w:val="12"/>
                <w:szCs w:val="12"/>
              </w:rPr>
            </w:pPr>
            <w:r>
              <w:rPr>
                <w:sz w:val="12"/>
                <w:szCs w:val="12"/>
                <w:spacing w:val="-2"/>
              </w:rPr>
              <w:t>高大乔木及贵</w:t>
            </w:r>
          </w:p>
          <w:p>
            <w:pPr>
              <w:pStyle w:val="TableText"/>
              <w:ind w:left="50"/>
              <w:spacing w:line="219" w:lineRule="auto"/>
              <w:rPr>
                <w:sz w:val="12"/>
                <w:szCs w:val="12"/>
              </w:rPr>
            </w:pPr>
            <w:r>
              <w:rPr>
                <w:sz w:val="12"/>
                <w:szCs w:val="12"/>
                <w:spacing w:val="-1"/>
              </w:rPr>
              <w:t>重树木，或因</w:t>
            </w:r>
          </w:p>
          <w:p>
            <w:pPr>
              <w:pStyle w:val="TableText"/>
              <w:ind w:left="60"/>
              <w:spacing w:before="7" w:line="220" w:lineRule="auto"/>
              <w:rPr>
                <w:sz w:val="12"/>
                <w:szCs w:val="12"/>
              </w:rPr>
            </w:pPr>
            <w:r>
              <w:rPr>
                <w:sz w:val="12"/>
                <w:szCs w:val="12"/>
                <w:spacing w:val="-1"/>
              </w:rPr>
              <w:t>缺铁而引起的</w:t>
            </w:r>
          </w:p>
          <w:p>
            <w:pPr>
              <w:pStyle w:val="TableText"/>
              <w:ind w:left="80"/>
              <w:spacing w:before="16" w:line="215" w:lineRule="auto"/>
              <w:rPr>
                <w:sz w:val="12"/>
                <w:szCs w:val="12"/>
              </w:rPr>
            </w:pPr>
            <w:r>
              <w:rPr>
                <w:sz w:val="12"/>
                <w:szCs w:val="12"/>
              </w:rPr>
              <w:t>各种黄化症，</w:t>
            </w:r>
          </w:p>
          <w:p>
            <w:pPr>
              <w:pStyle w:val="TableText"/>
              <w:ind w:left="170"/>
              <w:spacing w:line="219" w:lineRule="auto"/>
              <w:rPr>
                <w:sz w:val="12"/>
                <w:szCs w:val="12"/>
              </w:rPr>
            </w:pPr>
            <w:r>
              <w:rPr>
                <w:sz w:val="12"/>
                <w:szCs w:val="12"/>
                <w:spacing w:val="-2"/>
              </w:rPr>
              <w:t>发育不良</w:t>
            </w:r>
          </w:p>
        </w:tc>
        <w:tc>
          <w:tcPr>
            <w:tcW w:w="2748" w:type="dxa"/>
            <w:vAlign w:val="top"/>
            <w:vMerge w:val="restart"/>
            <w:tcBorders>
              <w:bottom w:val="nil"/>
              <w:top w:val="single" w:color="000000" w:sz="2" w:space="0"/>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1" w:right="80" w:firstLine="19"/>
              <w:spacing w:before="39" w:line="216" w:lineRule="auto"/>
              <w:rPr>
                <w:sz w:val="12"/>
                <w:szCs w:val="12"/>
              </w:rPr>
            </w:pPr>
            <w:r>
              <w:rPr>
                <w:sz w:val="12"/>
                <w:szCs w:val="12"/>
                <w:spacing w:val="-1"/>
              </w:rPr>
              <w:t>一、主要集中在2月中3月初。气温上升，空气湿度</w:t>
            </w:r>
            <w:r>
              <w:rPr>
                <w:sz w:val="12"/>
                <w:szCs w:val="12"/>
                <w:spacing w:val="8"/>
              </w:rPr>
              <w:t xml:space="preserve"> </w:t>
            </w:r>
            <w:r>
              <w:rPr>
                <w:sz w:val="12"/>
                <w:szCs w:val="12"/>
                <w:spacing w:val="-1"/>
              </w:rPr>
              <w:t>增加，苗木结束休眠期开始返青，是树木复壮最佳</w:t>
            </w:r>
            <w:r>
              <w:rPr>
                <w:sz w:val="12"/>
                <w:szCs w:val="12"/>
                <w:spacing w:val="15"/>
                <w:w w:val="101"/>
              </w:rPr>
              <w:t xml:space="preserve"> </w:t>
            </w:r>
            <w:r>
              <w:rPr>
                <w:sz w:val="12"/>
                <w:szCs w:val="12"/>
                <w:spacing w:val="-3"/>
              </w:rPr>
              <w:t>时机</w:t>
            </w:r>
          </w:p>
          <w:p>
            <w:pPr>
              <w:pStyle w:val="TableText"/>
              <w:ind w:left="11"/>
              <w:spacing w:before="18" w:line="219" w:lineRule="auto"/>
              <w:rPr>
                <w:sz w:val="12"/>
                <w:szCs w:val="12"/>
              </w:rPr>
            </w:pPr>
            <w:r>
              <w:rPr>
                <w:sz w:val="12"/>
                <w:szCs w:val="12"/>
                <w:spacing w:val="-1"/>
              </w:rPr>
              <w:t>二、7-8月有个别情况，做专项治疗。</w:t>
            </w:r>
          </w:p>
        </w:tc>
        <w:tc>
          <w:tcPr>
            <w:tcW w:w="1289" w:type="dxa"/>
            <w:vAlign w:val="top"/>
            <w:tcBorders>
              <w:bottom w:val="single" w:color="000000" w:sz="2" w:space="0"/>
              <w:top w:val="single" w:color="000000" w:sz="2" w:space="0"/>
            </w:tcBorders>
          </w:tcPr>
          <w:p>
            <w:pPr>
              <w:pStyle w:val="TableText"/>
              <w:ind w:left="273"/>
              <w:spacing w:before="131" w:line="219" w:lineRule="auto"/>
              <w:rPr>
                <w:sz w:val="12"/>
                <w:szCs w:val="12"/>
              </w:rPr>
            </w:pPr>
            <w:r>
              <w:rPr>
                <w:sz w:val="12"/>
                <w:szCs w:val="12"/>
              </w:rPr>
              <w:t>国光吊针原液</w:t>
            </w:r>
          </w:p>
        </w:tc>
        <w:tc>
          <w:tcPr>
            <w:tcW w:w="1389" w:type="dxa"/>
            <w:vAlign w:val="top"/>
            <w:tcBorders>
              <w:bottom w:val="single" w:color="000000" w:sz="2" w:space="0"/>
              <w:top w:val="single" w:color="000000" w:sz="2" w:space="0"/>
            </w:tcBorders>
          </w:tcPr>
          <w:p>
            <w:pPr>
              <w:pStyle w:val="TableText"/>
              <w:ind w:left="24"/>
              <w:spacing w:before="61" w:line="218" w:lineRule="auto"/>
              <w:rPr>
                <w:sz w:val="12"/>
                <w:szCs w:val="12"/>
              </w:rPr>
            </w:pPr>
            <w:r>
              <w:rPr>
                <w:sz w:val="12"/>
                <w:szCs w:val="12"/>
                <w:spacing w:val="-1"/>
              </w:rPr>
              <w:t>12%含氦基酸水溶肥料(碟</w:t>
            </w:r>
          </w:p>
          <w:p>
            <w:pPr>
              <w:pStyle w:val="TableText"/>
              <w:ind w:left="534"/>
              <w:spacing w:before="8" w:line="220" w:lineRule="auto"/>
              <w:rPr>
                <w:sz w:val="12"/>
                <w:szCs w:val="12"/>
              </w:rPr>
            </w:pPr>
            <w:r>
              <w:rPr>
                <w:sz w:val="12"/>
                <w:szCs w:val="12"/>
                <w:spacing w:val="8"/>
              </w:rPr>
              <w:t>十锌)</w:t>
            </w:r>
          </w:p>
        </w:tc>
        <w:tc>
          <w:tcPr>
            <w:tcW w:w="1359" w:type="dxa"/>
            <w:vAlign w:val="top"/>
            <w:tcBorders>
              <w:bottom w:val="single" w:color="000000" w:sz="2" w:space="0"/>
              <w:top w:val="single" w:color="000000" w:sz="2" w:space="0"/>
            </w:tcBorders>
          </w:tcPr>
          <w:p>
            <w:pPr>
              <w:pStyle w:val="TableText"/>
              <w:ind w:left="225"/>
              <w:spacing w:before="131" w:line="219" w:lineRule="auto"/>
              <w:rPr>
                <w:sz w:val="12"/>
                <w:szCs w:val="12"/>
              </w:rPr>
            </w:pPr>
            <w:r>
              <w:rPr>
                <w:sz w:val="12"/>
                <w:szCs w:val="12"/>
                <w:spacing w:val="-1"/>
              </w:rPr>
              <w:t>稀释1000-1200倍</w:t>
            </w:r>
          </w:p>
        </w:tc>
        <w:tc>
          <w:tcPr>
            <w:tcW w:w="1239" w:type="dxa"/>
            <w:vAlign w:val="top"/>
            <w:vMerge w:val="restart"/>
            <w:tcBorders>
              <w:bottom w:val="nil"/>
              <w:top w:val="single" w:color="000000" w:sz="2" w:space="0"/>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196"/>
              <w:spacing w:before="39" w:line="219" w:lineRule="auto"/>
              <w:rPr>
                <w:sz w:val="12"/>
                <w:szCs w:val="12"/>
              </w:rPr>
            </w:pPr>
            <w:r>
              <w:rPr>
                <w:sz w:val="12"/>
                <w:szCs w:val="12"/>
                <w:spacing w:val="-1"/>
              </w:rPr>
              <w:t>视树木生长情况</w:t>
            </w:r>
          </w:p>
        </w:tc>
        <w:tc>
          <w:tcPr>
            <w:tcW w:w="1019" w:type="dxa"/>
            <w:vAlign w:val="top"/>
            <w:tcBorders>
              <w:bottom w:val="single" w:color="000000" w:sz="2" w:space="0"/>
              <w:top w:val="single" w:color="000000" w:sz="2" w:space="0"/>
            </w:tcBorders>
          </w:tcPr>
          <w:p>
            <w:pPr>
              <w:pStyle w:val="TableText"/>
              <w:ind w:left="237"/>
              <w:spacing w:before="127" w:line="213" w:lineRule="auto"/>
              <w:rPr>
                <w:sz w:val="12"/>
                <w:szCs w:val="12"/>
              </w:rPr>
            </w:pPr>
            <w:r>
              <w:rPr>
                <w:sz w:val="12"/>
                <w:szCs w:val="12"/>
                <w:spacing w:val="-1"/>
              </w:rPr>
              <w:t>(200g/瓶》</w:t>
            </w:r>
          </w:p>
        </w:tc>
        <w:tc>
          <w:tcPr>
            <w:tcW w:w="3143" w:type="dxa"/>
            <w:vAlign w:val="top"/>
            <w:tcBorders>
              <w:bottom w:val="single" w:color="000000" w:sz="2" w:space="0"/>
              <w:top w:val="single" w:color="000000" w:sz="2" w:space="0"/>
            </w:tcBorders>
          </w:tcPr>
          <w:p>
            <w:pPr>
              <w:pStyle w:val="TableText"/>
              <w:ind w:left="18"/>
              <w:spacing w:before="131" w:line="218" w:lineRule="auto"/>
              <w:rPr>
                <w:sz w:val="12"/>
                <w:szCs w:val="12"/>
              </w:rPr>
            </w:pPr>
            <w:r>
              <w:rPr>
                <w:sz w:val="12"/>
                <w:szCs w:val="12"/>
                <w:spacing w:val="-1"/>
              </w:rPr>
              <w:t>补充本分和养分，促进快速成活</w:t>
            </w:r>
          </w:p>
        </w:tc>
      </w:tr>
      <w:tr>
        <w:trPr>
          <w:trHeight w:val="365"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43"/>
              <w:spacing w:before="122" w:line="219" w:lineRule="auto"/>
              <w:rPr>
                <w:sz w:val="12"/>
                <w:szCs w:val="12"/>
              </w:rPr>
            </w:pPr>
            <w:r>
              <w:rPr>
                <w:sz w:val="12"/>
                <w:szCs w:val="12"/>
                <w:spacing w:val="1"/>
              </w:rPr>
              <w:t>国光根动力2号</w:t>
            </w:r>
          </w:p>
        </w:tc>
        <w:tc>
          <w:tcPr>
            <w:tcW w:w="1389" w:type="dxa"/>
            <w:vAlign w:val="top"/>
            <w:tcBorders>
              <w:bottom w:val="single" w:color="000000" w:sz="2" w:space="0"/>
              <w:top w:val="single" w:color="000000" w:sz="2" w:space="0"/>
            </w:tcBorders>
          </w:tcPr>
          <w:p>
            <w:pPr>
              <w:pStyle w:val="TableText"/>
              <w:ind w:left="54"/>
              <w:spacing w:before="121" w:line="218" w:lineRule="auto"/>
              <w:rPr>
                <w:sz w:val="12"/>
                <w:szCs w:val="12"/>
              </w:rPr>
            </w:pPr>
            <w:r>
              <w:rPr>
                <w:sz w:val="12"/>
                <w:szCs w:val="12"/>
                <w:spacing w:val="2"/>
              </w:rPr>
              <w:t>13%含氨基酸水溶肥(钙)</w:t>
            </w:r>
          </w:p>
        </w:tc>
        <w:tc>
          <w:tcPr>
            <w:tcW w:w="1359" w:type="dxa"/>
            <w:vAlign w:val="top"/>
            <w:tcBorders>
              <w:bottom w:val="single" w:color="000000" w:sz="2" w:space="0"/>
              <w:top w:val="single" w:color="000000" w:sz="2" w:space="0"/>
            </w:tcBorders>
          </w:tcPr>
          <w:p>
            <w:pPr>
              <w:pStyle w:val="TableText"/>
              <w:ind w:left="195"/>
              <w:spacing w:before="122" w:line="219" w:lineRule="auto"/>
              <w:rPr>
                <w:sz w:val="12"/>
                <w:szCs w:val="12"/>
              </w:rPr>
            </w:pPr>
            <w:r>
              <w:rPr>
                <w:sz w:val="12"/>
                <w:szCs w:val="12"/>
                <w:spacing w:val="-1"/>
              </w:rPr>
              <w:t>稀释800-1000倍液</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97"/>
              <w:spacing w:before="122" w:line="221" w:lineRule="auto"/>
              <w:rPr>
                <w:sz w:val="12"/>
                <w:szCs w:val="12"/>
              </w:rPr>
            </w:pPr>
            <w:r>
              <w:rPr>
                <w:sz w:val="12"/>
                <w:szCs w:val="12"/>
                <w:spacing w:val="4"/>
              </w:rPr>
              <w:t>(1L/瓶)</w:t>
            </w:r>
          </w:p>
        </w:tc>
        <w:tc>
          <w:tcPr>
            <w:tcW w:w="3143" w:type="dxa"/>
            <w:vAlign w:val="top"/>
            <w:tcBorders>
              <w:bottom w:val="single" w:color="000000" w:sz="2" w:space="0"/>
              <w:top w:val="single" w:color="000000" w:sz="2" w:space="0"/>
            </w:tcBorders>
          </w:tcPr>
          <w:p>
            <w:pPr>
              <w:pStyle w:val="TableText"/>
              <w:ind w:left="18"/>
              <w:spacing w:before="122" w:line="219" w:lineRule="auto"/>
              <w:rPr>
                <w:sz w:val="12"/>
                <w:szCs w:val="12"/>
              </w:rPr>
            </w:pPr>
            <w:r>
              <w:rPr>
                <w:sz w:val="12"/>
                <w:szCs w:val="12"/>
                <w:spacing w:val="-1"/>
              </w:rPr>
              <w:t>诱导树木快速生根，提高移栽成活率</w:t>
            </w:r>
          </w:p>
        </w:tc>
      </w:tr>
      <w:tr>
        <w:trPr>
          <w:trHeight w:val="39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41" w:line="219" w:lineRule="auto"/>
              <w:rPr>
                <w:sz w:val="12"/>
                <w:szCs w:val="12"/>
              </w:rPr>
            </w:pPr>
            <w:r>
              <w:rPr>
                <w:sz w:val="12"/>
                <w:szCs w:val="12"/>
                <w:spacing w:val="1"/>
              </w:rPr>
              <w:t>国光撤根生</w:t>
            </w:r>
          </w:p>
        </w:tc>
        <w:tc>
          <w:tcPr>
            <w:tcW w:w="1389" w:type="dxa"/>
            <w:vAlign w:val="top"/>
            <w:tcBorders>
              <w:bottom w:val="single" w:color="000000" w:sz="2" w:space="0"/>
              <w:top w:val="single" w:color="000000" w:sz="2" w:space="0"/>
            </w:tcBorders>
          </w:tcPr>
          <w:p>
            <w:pPr>
              <w:pStyle w:val="TableText"/>
              <w:ind w:left="562" w:hanging="548"/>
              <w:spacing w:before="72" w:line="216" w:lineRule="auto"/>
              <w:rPr>
                <w:sz w:val="12"/>
                <w:szCs w:val="12"/>
              </w:rPr>
            </w:pPr>
            <w:r>
              <w:rPr>
                <w:sz w:val="12"/>
                <w:szCs w:val="12"/>
                <w:spacing w:val="-2"/>
              </w:rPr>
              <w:t>叼.秦及多种营养元素及有</w:t>
            </w:r>
            <w:r>
              <w:rPr>
                <w:sz w:val="12"/>
                <w:szCs w:val="12"/>
                <w:spacing w:val="7"/>
              </w:rPr>
              <w:t xml:space="preserve"> </w:t>
            </w:r>
            <w:r>
              <w:rPr>
                <w:sz w:val="12"/>
                <w:szCs w:val="12"/>
                <w:spacing w:val="-2"/>
              </w:rPr>
              <w:t>机质</w:t>
            </w:r>
          </w:p>
        </w:tc>
        <w:tc>
          <w:tcPr>
            <w:tcW w:w="1359" w:type="dxa"/>
            <w:vAlign w:val="top"/>
            <w:tcBorders>
              <w:bottom w:val="single" w:color="000000" w:sz="2" w:space="0"/>
              <w:top w:val="single" w:color="000000" w:sz="2" w:space="0"/>
            </w:tcBorders>
          </w:tcPr>
          <w:p>
            <w:pPr>
              <w:pStyle w:val="TableText"/>
              <w:ind w:left="195"/>
              <w:spacing w:before="138" w:line="213" w:lineRule="auto"/>
              <w:rPr>
                <w:sz w:val="12"/>
                <w:szCs w:val="12"/>
              </w:rPr>
            </w:pPr>
            <w:r>
              <w:rPr>
                <w:sz w:val="12"/>
                <w:szCs w:val="12"/>
                <w:spacing w:val="-1"/>
              </w:rPr>
              <w:t>每平米用量10-20g</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67"/>
              <w:spacing w:before="138" w:line="213" w:lineRule="auto"/>
              <w:rPr>
                <w:sz w:val="12"/>
                <w:szCs w:val="12"/>
              </w:rPr>
            </w:pPr>
            <w:r>
              <w:rPr>
                <w:sz w:val="12"/>
                <w:szCs w:val="12"/>
                <w:spacing w:val="5"/>
              </w:rPr>
              <w:t>(1</w:t>
            </w:r>
            <w:r>
              <w:rPr>
                <w:sz w:val="12"/>
                <w:szCs w:val="12"/>
              </w:rPr>
              <w:t>kg</w:t>
            </w:r>
            <w:r>
              <w:rPr>
                <w:sz w:val="12"/>
                <w:szCs w:val="12"/>
                <w:spacing w:val="5"/>
              </w:rPr>
              <w:t>/袋)</w:t>
            </w:r>
          </w:p>
        </w:tc>
        <w:tc>
          <w:tcPr>
            <w:tcW w:w="3143" w:type="dxa"/>
            <w:vAlign w:val="top"/>
            <w:tcBorders>
              <w:bottom w:val="single" w:color="000000" w:sz="2" w:space="0"/>
              <w:top w:val="single" w:color="000000" w:sz="2" w:space="0"/>
            </w:tcBorders>
          </w:tcPr>
          <w:p>
            <w:pPr>
              <w:pStyle w:val="TableText"/>
              <w:ind w:left="18"/>
              <w:spacing w:before="141" w:line="218" w:lineRule="auto"/>
              <w:rPr>
                <w:sz w:val="12"/>
                <w:szCs w:val="12"/>
              </w:rPr>
            </w:pPr>
            <w:r>
              <w:rPr>
                <w:sz w:val="12"/>
                <w:szCs w:val="12"/>
                <w:spacing w:val="-1"/>
              </w:rPr>
              <w:t>促进快速生根，提高成活率</w:t>
            </w:r>
          </w:p>
        </w:tc>
      </w:tr>
      <w:tr>
        <w:trPr>
          <w:trHeight w:val="36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22" w:line="219" w:lineRule="auto"/>
              <w:rPr>
                <w:sz w:val="12"/>
                <w:szCs w:val="12"/>
              </w:rPr>
            </w:pPr>
            <w:r>
              <w:rPr>
                <w:sz w:val="12"/>
                <w:szCs w:val="12"/>
                <w:spacing w:val="1"/>
              </w:rPr>
              <w:t>国光根盼</w:t>
            </w:r>
          </w:p>
        </w:tc>
        <w:tc>
          <w:tcPr>
            <w:tcW w:w="1389" w:type="dxa"/>
            <w:vAlign w:val="top"/>
            <w:tcBorders>
              <w:bottom w:val="single" w:color="000000" w:sz="2" w:space="0"/>
              <w:top w:val="single" w:color="000000" w:sz="2" w:space="0"/>
            </w:tcBorders>
          </w:tcPr>
          <w:p>
            <w:pPr>
              <w:pStyle w:val="TableText"/>
              <w:ind w:left="263"/>
              <w:spacing w:before="121" w:line="218" w:lineRule="auto"/>
              <w:rPr>
                <w:sz w:val="12"/>
                <w:szCs w:val="12"/>
              </w:rPr>
            </w:pPr>
            <w:r>
              <w:rPr>
                <w:sz w:val="12"/>
                <w:szCs w:val="12"/>
                <w:spacing w:val="-7"/>
              </w:rPr>
              <w:t>SU</w:t>
            </w:r>
            <w:r>
              <w:rPr>
                <w:sz w:val="12"/>
                <w:szCs w:val="12"/>
                <w:spacing w:val="-11"/>
              </w:rPr>
              <w:t xml:space="preserve"> </w:t>
            </w:r>
            <w:r>
              <w:rPr>
                <w:sz w:val="12"/>
                <w:szCs w:val="12"/>
                <w:spacing w:val="-7"/>
              </w:rPr>
              <w:t>·蔡可溶液剂</w:t>
            </w:r>
          </w:p>
        </w:tc>
        <w:tc>
          <w:tcPr>
            <w:tcW w:w="1359" w:type="dxa"/>
            <w:vAlign w:val="top"/>
            <w:tcBorders>
              <w:bottom w:val="single" w:color="000000" w:sz="2" w:space="0"/>
              <w:top w:val="single" w:color="000000" w:sz="2" w:space="0"/>
            </w:tcBorders>
          </w:tcPr>
          <w:p>
            <w:pPr>
              <w:pStyle w:val="TableText"/>
              <w:ind w:left="225"/>
              <w:spacing w:before="122" w:line="219" w:lineRule="auto"/>
              <w:rPr>
                <w:sz w:val="12"/>
                <w:szCs w:val="12"/>
              </w:rPr>
            </w:pPr>
            <w:r>
              <w:rPr>
                <w:sz w:val="12"/>
                <w:szCs w:val="12"/>
                <w:spacing w:val="-1"/>
              </w:rPr>
              <w:t>稀释2000-2500倍</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07"/>
              <w:spacing w:before="122" w:line="221" w:lineRule="auto"/>
              <w:rPr>
                <w:sz w:val="12"/>
                <w:szCs w:val="12"/>
              </w:rPr>
            </w:pPr>
            <w:r>
              <w:rPr>
                <w:sz w:val="12"/>
                <w:szCs w:val="12"/>
                <w:spacing w:val="3"/>
              </w:rPr>
              <w:t>(200</w:t>
            </w:r>
            <w:r>
              <w:rPr>
                <w:sz w:val="12"/>
                <w:szCs w:val="12"/>
              </w:rPr>
              <w:t>ml</w:t>
            </w:r>
            <w:r>
              <w:rPr>
                <w:sz w:val="12"/>
                <w:szCs w:val="12"/>
                <w:spacing w:val="3"/>
              </w:rPr>
              <w:t>/瓶)</w:t>
            </w:r>
          </w:p>
        </w:tc>
        <w:tc>
          <w:tcPr>
            <w:tcW w:w="3143" w:type="dxa"/>
            <w:vAlign w:val="top"/>
            <w:tcBorders>
              <w:bottom w:val="single" w:color="000000" w:sz="2" w:space="0"/>
              <w:top w:val="single" w:color="000000" w:sz="2" w:space="0"/>
            </w:tcBorders>
          </w:tcPr>
          <w:p>
            <w:pPr>
              <w:pStyle w:val="TableText"/>
              <w:ind w:left="18"/>
              <w:spacing w:before="121" w:line="218" w:lineRule="auto"/>
              <w:rPr>
                <w:sz w:val="12"/>
                <w:szCs w:val="12"/>
              </w:rPr>
            </w:pPr>
            <w:r>
              <w:rPr>
                <w:sz w:val="12"/>
                <w:szCs w:val="12"/>
                <w:spacing w:val="-1"/>
              </w:rPr>
              <w:t>促进快速生根，提高成活率</w:t>
            </w:r>
          </w:p>
        </w:tc>
      </w:tr>
      <w:tr>
        <w:trPr>
          <w:trHeight w:val="38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33" w:line="220" w:lineRule="auto"/>
              <w:rPr>
                <w:sz w:val="12"/>
                <w:szCs w:val="12"/>
              </w:rPr>
            </w:pPr>
            <w:r>
              <w:rPr>
                <w:sz w:val="12"/>
                <w:szCs w:val="12"/>
                <w:spacing w:val="1"/>
              </w:rPr>
              <w:t>中成生根液</w:t>
            </w:r>
          </w:p>
        </w:tc>
        <w:tc>
          <w:tcPr>
            <w:tcW w:w="1389" w:type="dxa"/>
            <w:vAlign w:val="top"/>
            <w:tcBorders>
              <w:bottom w:val="single" w:color="000000" w:sz="2" w:space="0"/>
              <w:top w:val="single" w:color="000000" w:sz="2" w:space="0"/>
            </w:tcBorders>
          </w:tcPr>
          <w:p>
            <w:pPr>
              <w:pStyle w:val="TableText"/>
              <w:ind w:left="114"/>
              <w:spacing w:before="132" w:line="219" w:lineRule="auto"/>
              <w:rPr>
                <w:sz w:val="12"/>
                <w:szCs w:val="12"/>
              </w:rPr>
            </w:pPr>
            <w:r>
              <w:rPr>
                <w:sz w:val="12"/>
                <w:szCs w:val="12"/>
                <w:spacing w:val="-1"/>
              </w:rPr>
              <w:t>蔡乙酸、引噪乙酸10%</w:t>
            </w:r>
          </w:p>
        </w:tc>
        <w:tc>
          <w:tcPr>
            <w:tcW w:w="1359" w:type="dxa"/>
            <w:vAlign w:val="top"/>
            <w:tcBorders>
              <w:bottom w:val="single" w:color="000000" w:sz="2" w:space="0"/>
              <w:top w:val="single" w:color="000000" w:sz="2" w:space="0"/>
            </w:tcBorders>
          </w:tcPr>
          <w:p>
            <w:pPr>
              <w:pStyle w:val="TableText"/>
              <w:ind w:left="344"/>
              <w:spacing w:before="133" w:line="220" w:lineRule="auto"/>
              <w:rPr>
                <w:sz w:val="12"/>
                <w:szCs w:val="12"/>
              </w:rPr>
            </w:pPr>
            <w:r>
              <w:rPr>
                <w:sz w:val="12"/>
                <w:szCs w:val="12"/>
                <w:spacing w:val="-1"/>
              </w:rPr>
              <w:t>300-500倍液</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327"/>
              <w:spacing w:before="129" w:line="213" w:lineRule="auto"/>
              <w:rPr>
                <w:sz w:val="12"/>
                <w:szCs w:val="12"/>
              </w:rPr>
            </w:pPr>
            <w:r>
              <w:rPr>
                <w:sz w:val="12"/>
                <w:szCs w:val="12"/>
                <w:spacing w:val="-1"/>
              </w:rPr>
              <w:t>4kg/桶</w:t>
            </w:r>
          </w:p>
        </w:tc>
        <w:tc>
          <w:tcPr>
            <w:tcW w:w="3143" w:type="dxa"/>
            <w:vAlign w:val="top"/>
            <w:tcBorders>
              <w:bottom w:val="single" w:color="000000" w:sz="2" w:space="0"/>
              <w:top w:val="single" w:color="000000" w:sz="2" w:space="0"/>
            </w:tcBorders>
          </w:tcPr>
          <w:p>
            <w:pPr>
              <w:pStyle w:val="TableText"/>
              <w:ind w:left="18"/>
              <w:spacing w:before="81" w:line="210" w:lineRule="auto"/>
              <w:rPr>
                <w:sz w:val="12"/>
                <w:szCs w:val="12"/>
              </w:rPr>
            </w:pPr>
            <w:r>
              <w:rPr>
                <w:sz w:val="12"/>
                <w:szCs w:val="12"/>
              </w:rPr>
              <w:t>促便树木快速生根，形成庞大根系，快速萌</w:t>
            </w:r>
            <w:r>
              <w:rPr>
                <w:sz w:val="12"/>
                <w:szCs w:val="12"/>
                <w:spacing w:val="-1"/>
              </w:rPr>
              <w:t>芽，改善植物长</w:t>
            </w:r>
            <w:r>
              <w:rPr>
                <w:sz w:val="12"/>
                <w:szCs w:val="12"/>
              </w:rPr>
              <w:t xml:space="preserve"> </w:t>
            </w:r>
            <w:r>
              <w:rPr>
                <w:sz w:val="12"/>
                <w:szCs w:val="12"/>
              </w:rPr>
              <w:t>势</w:t>
            </w:r>
          </w:p>
        </w:tc>
      </w:tr>
      <w:tr>
        <w:trPr>
          <w:trHeight w:val="38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33" w:line="220" w:lineRule="auto"/>
              <w:rPr>
                <w:sz w:val="12"/>
                <w:szCs w:val="12"/>
              </w:rPr>
            </w:pPr>
            <w:r>
              <w:rPr>
                <w:sz w:val="12"/>
                <w:szCs w:val="12"/>
                <w:spacing w:val="-1"/>
              </w:rPr>
              <w:t>通用稀施美</w:t>
            </w:r>
          </w:p>
        </w:tc>
        <w:tc>
          <w:tcPr>
            <w:tcW w:w="1389" w:type="dxa"/>
            <w:vAlign w:val="top"/>
            <w:tcBorders>
              <w:bottom w:val="single" w:color="000000" w:sz="2" w:space="0"/>
              <w:top w:val="single" w:color="000000" w:sz="2" w:space="0"/>
            </w:tcBorders>
          </w:tcPr>
          <w:p>
            <w:pPr>
              <w:pStyle w:val="TableText"/>
              <w:ind w:left="203"/>
              <w:spacing w:before="133" w:line="219" w:lineRule="auto"/>
              <w:rPr>
                <w:sz w:val="12"/>
                <w:szCs w:val="12"/>
              </w:rPr>
            </w:pPr>
            <w:r>
              <w:rPr>
                <w:sz w:val="12"/>
                <w:szCs w:val="12"/>
                <w:spacing w:val="-1"/>
              </w:rPr>
              <w:t>氯基酸及微量元素</w:t>
            </w:r>
          </w:p>
        </w:tc>
        <w:tc>
          <w:tcPr>
            <w:tcW w:w="1359" w:type="dxa"/>
            <w:vAlign w:val="top"/>
            <w:tcBorders>
              <w:bottom w:val="single" w:color="000000" w:sz="2" w:space="0"/>
              <w:top w:val="single" w:color="000000" w:sz="2" w:space="0"/>
            </w:tcBorders>
          </w:tcPr>
          <w:p>
            <w:pPr>
              <w:pStyle w:val="TableText"/>
              <w:ind w:left="195"/>
              <w:spacing w:before="133" w:line="219" w:lineRule="auto"/>
              <w:rPr>
                <w:sz w:val="12"/>
                <w:szCs w:val="12"/>
              </w:rPr>
            </w:pPr>
            <w:r>
              <w:rPr>
                <w:sz w:val="12"/>
                <w:szCs w:val="12"/>
                <w:spacing w:val="-1"/>
              </w:rPr>
              <w:t>稀释800-1000倍液</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116"/>
              <w:spacing w:before="129" w:line="213" w:lineRule="auto"/>
              <w:rPr>
                <w:sz w:val="12"/>
                <w:szCs w:val="12"/>
              </w:rPr>
            </w:pPr>
            <w:r>
              <w:rPr>
                <w:sz w:val="12"/>
                <w:szCs w:val="12"/>
                <w:spacing w:val="-1"/>
              </w:rPr>
              <w:t>500g×20瓶/箱</w:t>
            </w:r>
          </w:p>
        </w:tc>
        <w:tc>
          <w:tcPr>
            <w:tcW w:w="3143" w:type="dxa"/>
            <w:vAlign w:val="top"/>
            <w:tcBorders>
              <w:bottom w:val="single" w:color="000000" w:sz="2" w:space="0"/>
              <w:top w:val="single" w:color="000000" w:sz="2" w:space="0"/>
            </w:tcBorders>
          </w:tcPr>
          <w:p>
            <w:pPr>
              <w:pStyle w:val="TableText"/>
              <w:ind w:left="18"/>
              <w:spacing w:before="133" w:line="218" w:lineRule="auto"/>
              <w:rPr>
                <w:sz w:val="12"/>
                <w:szCs w:val="12"/>
              </w:rPr>
            </w:pPr>
            <w:r>
              <w:rPr>
                <w:sz w:val="12"/>
                <w:szCs w:val="12"/>
                <w:spacing w:val="-1"/>
              </w:rPr>
              <w:t>促使树体健壮，迅速补充营养，增强抗性，提高成活率</w:t>
            </w:r>
          </w:p>
        </w:tc>
      </w:tr>
      <w:tr>
        <w:trPr>
          <w:trHeight w:val="37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33" w:line="219" w:lineRule="auto"/>
              <w:rPr>
                <w:sz w:val="12"/>
                <w:szCs w:val="12"/>
              </w:rPr>
            </w:pPr>
            <w:r>
              <w:rPr>
                <w:sz w:val="12"/>
                <w:szCs w:val="12"/>
                <w:spacing w:val="-1"/>
              </w:rPr>
              <w:t>抗冻必施</w:t>
            </w:r>
          </w:p>
        </w:tc>
        <w:tc>
          <w:tcPr>
            <w:tcW w:w="1389" w:type="dxa"/>
            <w:vAlign w:val="top"/>
            <w:tcBorders>
              <w:bottom w:val="single" w:color="000000" w:sz="2" w:space="0"/>
              <w:top w:val="single" w:color="000000" w:sz="2" w:space="0"/>
            </w:tcBorders>
          </w:tcPr>
          <w:p>
            <w:pPr>
              <w:pStyle w:val="TableText"/>
              <w:ind w:left="114"/>
              <w:spacing w:before="134" w:line="220" w:lineRule="auto"/>
              <w:rPr>
                <w:sz w:val="12"/>
                <w:szCs w:val="12"/>
              </w:rPr>
            </w:pPr>
            <w:r>
              <w:rPr>
                <w:sz w:val="12"/>
                <w:szCs w:val="12"/>
                <w:spacing w:val="-1"/>
              </w:rPr>
              <w:t>黎乙酸、吲噪乙酸10%</w:t>
            </w:r>
          </w:p>
        </w:tc>
        <w:tc>
          <w:tcPr>
            <w:tcW w:w="1359" w:type="dxa"/>
            <w:vAlign w:val="top"/>
            <w:tcBorders>
              <w:bottom w:val="single" w:color="000000" w:sz="2" w:space="0"/>
              <w:top w:val="single" w:color="000000" w:sz="2" w:space="0"/>
            </w:tcBorders>
          </w:tcPr>
          <w:p>
            <w:pPr>
              <w:pStyle w:val="TableText"/>
              <w:ind w:left="344"/>
              <w:spacing w:before="134" w:line="220" w:lineRule="auto"/>
              <w:rPr>
                <w:sz w:val="12"/>
                <w:szCs w:val="12"/>
              </w:rPr>
            </w:pPr>
            <w:r>
              <w:rPr>
                <w:sz w:val="12"/>
                <w:szCs w:val="12"/>
                <w:spacing w:val="-1"/>
              </w:rPr>
              <w:t>300-500倍波</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37"/>
              <w:spacing w:before="134" w:line="220" w:lineRule="auto"/>
              <w:rPr>
                <w:sz w:val="12"/>
                <w:szCs w:val="12"/>
              </w:rPr>
            </w:pPr>
            <w:r>
              <w:rPr>
                <w:sz w:val="12"/>
                <w:szCs w:val="12"/>
                <w:spacing w:val="1"/>
              </w:rPr>
              <w:t>1</w:t>
            </w:r>
            <w:r>
              <w:rPr>
                <w:sz w:val="12"/>
                <w:szCs w:val="12"/>
              </w:rPr>
              <w:t>Lx</w:t>
            </w:r>
            <w:r>
              <w:rPr>
                <w:sz w:val="12"/>
                <w:szCs w:val="12"/>
                <w:spacing w:val="1"/>
              </w:rPr>
              <w:t>9瓶/箱</w:t>
            </w:r>
          </w:p>
        </w:tc>
        <w:tc>
          <w:tcPr>
            <w:tcW w:w="3143" w:type="dxa"/>
            <w:vAlign w:val="top"/>
            <w:tcBorders>
              <w:bottom w:val="single" w:color="000000" w:sz="2" w:space="0"/>
              <w:top w:val="single" w:color="000000" w:sz="2" w:space="0"/>
            </w:tcBorders>
          </w:tcPr>
          <w:p>
            <w:pPr>
              <w:pStyle w:val="TableText"/>
              <w:ind w:left="18"/>
              <w:spacing w:before="73" w:line="210" w:lineRule="auto"/>
              <w:rPr>
                <w:sz w:val="12"/>
                <w:szCs w:val="12"/>
              </w:rPr>
            </w:pPr>
            <w:r>
              <w:rPr>
                <w:sz w:val="12"/>
                <w:szCs w:val="12"/>
              </w:rPr>
              <w:t>促使树木快速生椹，形成庞大根系，快速萌</w:t>
            </w:r>
            <w:r>
              <w:rPr>
                <w:sz w:val="12"/>
                <w:szCs w:val="12"/>
                <w:spacing w:val="-1"/>
              </w:rPr>
              <w:t>身，改善植物长</w:t>
            </w:r>
            <w:r>
              <w:rPr>
                <w:sz w:val="12"/>
                <w:szCs w:val="12"/>
              </w:rPr>
              <w:t xml:space="preserve"> </w:t>
            </w:r>
            <w:r>
              <w:rPr>
                <w:sz w:val="12"/>
                <w:szCs w:val="12"/>
              </w:rPr>
              <w:t>势</w:t>
            </w:r>
          </w:p>
        </w:tc>
      </w:tr>
      <w:tr>
        <w:trPr>
          <w:trHeight w:val="394" w:hRule="atLeast"/>
        </w:trPr>
        <w:tc>
          <w:tcPr>
            <w:tcW w:w="425" w:type="dxa"/>
            <w:vAlign w:val="top"/>
            <w:vMerge w:val="continue"/>
            <w:tcBorders>
              <w:bottom w:val="nil"/>
              <w:top w:val="nil"/>
            </w:tcBorders>
          </w:tcPr>
          <w:p>
            <w:pPr>
              <w:rPr>
                <w:rFonts w:ascii="Arial"/>
                <w:sz w:val="21"/>
              </w:rPr>
            </w:pPr>
            <w:r/>
          </w:p>
        </w:tc>
        <w:tc>
          <w:tcPr>
            <w:tcW w:w="620" w:type="dxa"/>
            <w:vAlign w:val="top"/>
            <w:vMerge w:val="continue"/>
            <w:tcBorders>
              <w:bottom w:val="nil"/>
              <w:top w:val="nil"/>
            </w:tcBorders>
          </w:tcPr>
          <w:p>
            <w:pPr>
              <w:rPr>
                <w:rFonts w:ascii="Arial"/>
                <w:sz w:val="21"/>
              </w:rPr>
            </w:pPr>
            <w:r/>
          </w:p>
        </w:tc>
        <w:tc>
          <w:tcPr>
            <w:tcW w:w="83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44" w:line="219" w:lineRule="auto"/>
              <w:rPr>
                <w:sz w:val="12"/>
                <w:szCs w:val="12"/>
              </w:rPr>
            </w:pPr>
            <w:r>
              <w:rPr>
                <w:sz w:val="12"/>
                <w:szCs w:val="12"/>
                <w:spacing w:val="1"/>
              </w:rPr>
              <w:t>国光移成</w:t>
            </w:r>
          </w:p>
        </w:tc>
        <w:tc>
          <w:tcPr>
            <w:tcW w:w="1389" w:type="dxa"/>
            <w:vAlign w:val="top"/>
            <w:tcBorders>
              <w:bottom w:val="single" w:color="000000" w:sz="2" w:space="0"/>
              <w:top w:val="single" w:color="000000" w:sz="2" w:space="0"/>
            </w:tcBorders>
          </w:tcPr>
          <w:p>
            <w:pPr>
              <w:pStyle w:val="TableText"/>
              <w:ind w:left="24"/>
              <w:spacing w:before="74" w:line="218" w:lineRule="auto"/>
              <w:rPr>
                <w:sz w:val="12"/>
                <w:szCs w:val="12"/>
              </w:rPr>
            </w:pPr>
            <w:r>
              <w:rPr>
                <w:sz w:val="12"/>
                <w:szCs w:val="12"/>
                <w:spacing w:val="-1"/>
              </w:rPr>
              <w:t>12%含氨基酸水溶肥料(磁</w:t>
            </w:r>
          </w:p>
          <w:p>
            <w:pPr>
              <w:pStyle w:val="TableText"/>
              <w:ind w:left="534"/>
              <w:spacing w:before="8" w:line="221" w:lineRule="auto"/>
              <w:rPr>
                <w:sz w:val="12"/>
                <w:szCs w:val="12"/>
              </w:rPr>
            </w:pPr>
            <w:r>
              <w:rPr>
                <w:sz w:val="12"/>
                <w:szCs w:val="12"/>
                <w:spacing w:val="8"/>
              </w:rPr>
              <w:t>十锋)</w:t>
            </w:r>
          </w:p>
        </w:tc>
        <w:tc>
          <w:tcPr>
            <w:tcW w:w="1359" w:type="dxa"/>
            <w:vAlign w:val="top"/>
            <w:tcBorders>
              <w:bottom w:val="single" w:color="000000" w:sz="2" w:space="0"/>
              <w:top w:val="single" w:color="000000" w:sz="2" w:space="0"/>
            </w:tcBorders>
          </w:tcPr>
          <w:p>
            <w:pPr>
              <w:pStyle w:val="TableText"/>
              <w:ind w:left="225"/>
              <w:spacing w:before="144" w:line="219" w:lineRule="auto"/>
              <w:rPr>
                <w:sz w:val="12"/>
                <w:szCs w:val="12"/>
              </w:rPr>
            </w:pPr>
            <w:r>
              <w:rPr>
                <w:sz w:val="12"/>
                <w:szCs w:val="12"/>
                <w:spacing w:val="-1"/>
              </w:rPr>
              <w:t>稀释1000-1200倍</w:t>
            </w:r>
          </w:p>
        </w:tc>
        <w:tc>
          <w:tcPr>
            <w:tcW w:w="1239" w:type="dxa"/>
            <w:vAlign w:val="top"/>
            <w:vMerge w:val="continue"/>
            <w:tcBorders>
              <w:bottom w:val="nil"/>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207"/>
              <w:spacing w:before="144" w:line="221" w:lineRule="auto"/>
              <w:rPr>
                <w:sz w:val="12"/>
                <w:szCs w:val="12"/>
              </w:rPr>
            </w:pPr>
            <w:r>
              <w:rPr>
                <w:sz w:val="12"/>
                <w:szCs w:val="12"/>
                <w:spacing w:val="3"/>
              </w:rPr>
              <w:t>(200</w:t>
            </w:r>
            <w:r>
              <w:rPr>
                <w:sz w:val="12"/>
                <w:szCs w:val="12"/>
              </w:rPr>
              <w:t>nl</w:t>
            </w:r>
            <w:r>
              <w:rPr>
                <w:sz w:val="12"/>
                <w:szCs w:val="12"/>
                <w:spacing w:val="3"/>
              </w:rPr>
              <w:t>/瓶)</w:t>
            </w:r>
          </w:p>
        </w:tc>
        <w:tc>
          <w:tcPr>
            <w:tcW w:w="3143" w:type="dxa"/>
            <w:vAlign w:val="top"/>
            <w:tcBorders>
              <w:bottom w:val="single" w:color="000000" w:sz="2" w:space="0"/>
              <w:top w:val="single" w:color="000000" w:sz="2" w:space="0"/>
            </w:tcBorders>
          </w:tcPr>
          <w:p>
            <w:pPr>
              <w:pStyle w:val="TableText"/>
              <w:ind w:left="18"/>
              <w:spacing w:before="144" w:line="218" w:lineRule="auto"/>
              <w:rPr>
                <w:sz w:val="12"/>
                <w:szCs w:val="12"/>
              </w:rPr>
            </w:pPr>
            <w:r>
              <w:rPr>
                <w:sz w:val="12"/>
                <w:szCs w:val="12"/>
                <w:spacing w:val="-1"/>
              </w:rPr>
              <w:t>补充水分和养分，促进快速成活</w:t>
            </w:r>
          </w:p>
        </w:tc>
      </w:tr>
      <w:tr>
        <w:trPr>
          <w:trHeight w:val="469" w:hRule="atLeast"/>
        </w:trPr>
        <w:tc>
          <w:tcPr>
            <w:tcW w:w="425" w:type="dxa"/>
            <w:vAlign w:val="top"/>
            <w:vMerge w:val="continue"/>
            <w:tcBorders>
              <w:bottom w:val="single" w:color="000000" w:sz="2" w:space="0"/>
              <w:top w:val="nil"/>
            </w:tcBorders>
          </w:tcPr>
          <w:p>
            <w:pPr>
              <w:rPr>
                <w:rFonts w:ascii="Arial"/>
                <w:sz w:val="21"/>
              </w:rPr>
            </w:pPr>
            <w:r/>
          </w:p>
        </w:tc>
        <w:tc>
          <w:tcPr>
            <w:tcW w:w="620" w:type="dxa"/>
            <w:vAlign w:val="top"/>
            <w:vMerge w:val="continue"/>
            <w:tcBorders>
              <w:bottom w:val="single" w:color="000000" w:sz="2" w:space="0"/>
              <w:top w:val="nil"/>
            </w:tcBorders>
          </w:tcPr>
          <w:p>
            <w:pPr>
              <w:rPr>
                <w:rFonts w:ascii="Arial"/>
                <w:sz w:val="21"/>
              </w:rPr>
            </w:pPr>
            <w:r/>
          </w:p>
        </w:tc>
        <w:tc>
          <w:tcPr>
            <w:tcW w:w="83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174" w:line="219" w:lineRule="auto"/>
              <w:rPr>
                <w:sz w:val="12"/>
                <w:szCs w:val="12"/>
              </w:rPr>
            </w:pPr>
            <w:r>
              <w:rPr>
                <w:sz w:val="12"/>
                <w:szCs w:val="12"/>
              </w:rPr>
              <w:t>国光树动力套餐</w:t>
            </w:r>
          </w:p>
        </w:tc>
        <w:tc>
          <w:tcPr>
            <w:tcW w:w="1389" w:type="dxa"/>
            <w:vAlign w:val="top"/>
            <w:tcBorders>
              <w:bottom w:val="single" w:color="000000" w:sz="2" w:space="0"/>
              <w:top w:val="single" w:color="000000" w:sz="2" w:space="0"/>
            </w:tcBorders>
          </w:tcPr>
          <w:p>
            <w:pPr>
              <w:pStyle w:val="TableText"/>
              <w:ind w:left="220" w:hanging="196"/>
              <w:spacing w:before="124" w:line="209" w:lineRule="auto"/>
              <w:rPr>
                <w:sz w:val="12"/>
                <w:szCs w:val="12"/>
              </w:rPr>
            </w:pPr>
            <w:r>
              <w:rPr>
                <w:sz w:val="12"/>
                <w:szCs w:val="12"/>
                <w:spacing w:val="3"/>
              </w:rPr>
              <w:t>细胞分裂类高活性物质、</w:t>
            </w:r>
            <w:r>
              <w:rPr>
                <w:sz w:val="12"/>
                <w:szCs w:val="12"/>
              </w:rPr>
              <w:t xml:space="preserve"> </w:t>
            </w:r>
            <w:r>
              <w:rPr>
                <w:sz w:val="12"/>
                <w:szCs w:val="12"/>
                <w:spacing w:val="-3"/>
              </w:rPr>
              <w:t>含丰畜矿物质溶剂</w:t>
            </w:r>
          </w:p>
        </w:tc>
        <w:tc>
          <w:tcPr>
            <w:tcW w:w="1359" w:type="dxa"/>
            <w:vAlign w:val="top"/>
            <w:tcBorders>
              <w:bottom w:val="single" w:color="000000" w:sz="2" w:space="0"/>
              <w:top w:val="single" w:color="000000" w:sz="2" w:space="0"/>
            </w:tcBorders>
          </w:tcPr>
          <w:p>
            <w:pPr>
              <w:pStyle w:val="TableText"/>
              <w:ind w:left="75"/>
              <w:spacing w:before="34" w:line="219" w:lineRule="auto"/>
              <w:rPr>
                <w:sz w:val="12"/>
                <w:szCs w:val="12"/>
              </w:rPr>
            </w:pPr>
            <w:r>
              <w:rPr>
                <w:sz w:val="12"/>
                <w:szCs w:val="12"/>
                <w:spacing w:val="-1"/>
              </w:rPr>
              <w:t>直接使用，一般胸径8-</w:t>
            </w:r>
          </w:p>
          <w:p>
            <w:pPr>
              <w:pStyle w:val="TableText"/>
              <w:ind w:left="45"/>
              <w:spacing w:before="7" w:line="217" w:lineRule="auto"/>
              <w:rPr>
                <w:sz w:val="12"/>
                <w:szCs w:val="12"/>
              </w:rPr>
            </w:pPr>
            <w:r>
              <w:rPr>
                <w:sz w:val="12"/>
                <w:szCs w:val="12"/>
              </w:rPr>
              <w:t>10c插1瓶，胸径每增加</w:t>
            </w:r>
          </w:p>
          <w:p>
            <w:pPr>
              <w:pStyle w:val="TableText"/>
              <w:ind w:left="364"/>
              <w:spacing w:line="205" w:lineRule="auto"/>
              <w:rPr>
                <w:sz w:val="12"/>
                <w:szCs w:val="12"/>
              </w:rPr>
            </w:pPr>
            <w:r>
              <w:rPr>
                <w:sz w:val="12"/>
                <w:szCs w:val="12"/>
                <w:spacing w:val="-2"/>
              </w:rPr>
              <w:t>10cm增加11瓶</w:t>
            </w:r>
          </w:p>
        </w:tc>
        <w:tc>
          <w:tcPr>
            <w:tcW w:w="1239" w:type="dxa"/>
            <w:vAlign w:val="top"/>
            <w:vMerge w:val="continue"/>
            <w:tcBorders>
              <w:bottom w:val="single" w:color="000000" w:sz="2" w:space="0"/>
              <w:top w:val="nil"/>
            </w:tcBorders>
          </w:tcPr>
          <w:p>
            <w:pPr>
              <w:rPr>
                <w:rFonts w:ascii="Arial"/>
                <w:sz w:val="21"/>
              </w:rPr>
            </w:pPr>
            <w:r/>
          </w:p>
        </w:tc>
        <w:tc>
          <w:tcPr>
            <w:tcW w:w="1019" w:type="dxa"/>
            <w:vAlign w:val="top"/>
            <w:tcBorders>
              <w:bottom w:val="single" w:color="000000" w:sz="2" w:space="0"/>
              <w:top w:val="single" w:color="000000" w:sz="2" w:space="0"/>
            </w:tcBorders>
          </w:tcPr>
          <w:p>
            <w:pPr>
              <w:pStyle w:val="TableText"/>
              <w:ind w:left="86"/>
              <w:spacing w:before="175" w:line="221" w:lineRule="auto"/>
              <w:rPr>
                <w:sz w:val="12"/>
                <w:szCs w:val="12"/>
              </w:rPr>
            </w:pPr>
            <w:r>
              <w:rPr>
                <w:sz w:val="12"/>
                <w:szCs w:val="12"/>
                <w:spacing w:val="2"/>
              </w:rPr>
              <w:t>(300</w:t>
            </w:r>
            <w:r>
              <w:rPr>
                <w:sz w:val="12"/>
                <w:szCs w:val="12"/>
              </w:rPr>
              <w:t>ml</w:t>
            </w:r>
            <w:r>
              <w:rPr>
                <w:sz w:val="12"/>
                <w:szCs w:val="12"/>
                <w:spacing w:val="2"/>
              </w:rPr>
              <w:t>+2</w:t>
            </w:r>
            <w:r>
              <w:rPr>
                <w:sz w:val="12"/>
                <w:szCs w:val="12"/>
              </w:rPr>
              <w:t>nl</w:t>
            </w:r>
            <w:r>
              <w:rPr>
                <w:sz w:val="12"/>
                <w:szCs w:val="12"/>
                <w:spacing w:val="2"/>
              </w:rPr>
              <w:t>/瓶)</w:t>
            </w:r>
          </w:p>
        </w:tc>
        <w:tc>
          <w:tcPr>
            <w:tcW w:w="3143" w:type="dxa"/>
            <w:vAlign w:val="top"/>
            <w:tcBorders>
              <w:bottom w:val="single" w:color="000000" w:sz="2" w:space="0"/>
              <w:top w:val="single" w:color="000000" w:sz="2" w:space="0"/>
            </w:tcBorders>
          </w:tcPr>
          <w:p>
            <w:pPr>
              <w:pStyle w:val="TableText"/>
              <w:ind w:left="18"/>
              <w:spacing w:before="174" w:line="219" w:lineRule="auto"/>
              <w:rPr>
                <w:sz w:val="12"/>
                <w:szCs w:val="12"/>
              </w:rPr>
            </w:pPr>
            <w:r>
              <w:rPr>
                <w:sz w:val="12"/>
                <w:szCs w:val="12"/>
                <w:spacing w:val="-1"/>
              </w:rPr>
              <w:t>大树直插瓶，大树古树复壮</w:t>
            </w:r>
          </w:p>
        </w:tc>
      </w:tr>
    </w:tbl>
    <w:p>
      <w:pPr>
        <w:spacing w:line="14" w:lineRule="auto"/>
        <w:rPr>
          <w:rFonts w:ascii="Arial"/>
          <w:sz w:val="2"/>
        </w:rPr>
      </w:pPr>
      <w:r/>
    </w:p>
    <w:p>
      <w:pPr>
        <w:spacing w:line="14" w:lineRule="auto"/>
        <w:sectPr>
          <w:pgSz w:w="14490" w:h="10240"/>
          <w:pgMar w:top="115" w:right="234" w:bottom="325" w:left="174" w:header="0" w:footer="0" w:gutter="0"/>
        </w:sectPr>
        <w:rPr>
          <w:rFonts w:ascii="Arial" w:hAnsi="Arial" w:eastAsia="Arial" w:cs="Arial"/>
          <w:sz w:val="2"/>
          <w:szCs w:val="2"/>
        </w:rPr>
      </w:pPr>
    </w:p>
    <w:tbl>
      <w:tblPr>
        <w:tblStyle w:val="TableNormal"/>
        <w:tblW w:w="1410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5"/>
        <w:gridCol w:w="620"/>
        <w:gridCol w:w="849"/>
        <w:gridCol w:w="2738"/>
        <w:gridCol w:w="1289"/>
        <w:gridCol w:w="1409"/>
        <w:gridCol w:w="1349"/>
        <w:gridCol w:w="1219"/>
        <w:gridCol w:w="1009"/>
        <w:gridCol w:w="3173"/>
      </w:tblGrid>
      <w:tr>
        <w:trPr>
          <w:trHeight w:val="514" w:hRule="atLeast"/>
        </w:trPr>
        <w:tc>
          <w:tcPr>
            <w:tcW w:w="445" w:type="dxa"/>
            <w:vAlign w:val="top"/>
          </w:tcPr>
          <w:p>
            <w:pPr>
              <w:pStyle w:val="TableText"/>
              <w:ind w:left="96"/>
              <w:spacing w:before="198" w:line="219" w:lineRule="auto"/>
              <w:rPr>
                <w:sz w:val="12"/>
                <w:szCs w:val="12"/>
              </w:rPr>
            </w:pPr>
            <w:r>
              <w:rPr>
                <w:sz w:val="12"/>
                <w:szCs w:val="12"/>
                <w:b/>
                <w:bCs/>
                <w:spacing w:val="-3"/>
              </w:rPr>
              <w:t>分类</w:t>
            </w:r>
          </w:p>
        </w:tc>
        <w:tc>
          <w:tcPr>
            <w:tcW w:w="620" w:type="dxa"/>
            <w:vAlign w:val="top"/>
          </w:tcPr>
          <w:p>
            <w:pPr>
              <w:pStyle w:val="TableText"/>
              <w:ind w:left="61"/>
              <w:spacing w:before="48" w:line="219" w:lineRule="auto"/>
              <w:rPr>
                <w:sz w:val="12"/>
                <w:szCs w:val="12"/>
              </w:rPr>
            </w:pPr>
            <w:r>
              <w:rPr>
                <w:sz w:val="12"/>
                <w:szCs w:val="12"/>
                <w:b/>
                <w:bCs/>
                <w:spacing w:val="-3"/>
              </w:rPr>
              <w:t>消杀预防</w:t>
            </w:r>
          </w:p>
          <w:p>
            <w:pPr>
              <w:pStyle w:val="TableText"/>
              <w:ind w:left="61"/>
              <w:spacing w:before="7" w:line="220" w:lineRule="auto"/>
              <w:rPr>
                <w:sz w:val="12"/>
                <w:szCs w:val="12"/>
              </w:rPr>
            </w:pPr>
            <w:r>
              <w:rPr>
                <w:sz w:val="12"/>
                <w:szCs w:val="12"/>
                <w:b/>
                <w:bCs/>
                <w:spacing w:val="-3"/>
              </w:rPr>
              <w:t>及病虫害</w:t>
            </w:r>
          </w:p>
          <w:p>
            <w:pPr>
              <w:pStyle w:val="TableText"/>
              <w:ind w:left="181"/>
              <w:spacing w:before="6" w:line="219" w:lineRule="auto"/>
              <w:rPr>
                <w:sz w:val="12"/>
                <w:szCs w:val="12"/>
              </w:rPr>
            </w:pPr>
            <w:r>
              <w:rPr>
                <w:sz w:val="12"/>
                <w:szCs w:val="12"/>
                <w:b/>
                <w:bCs/>
                <w:spacing w:val="-3"/>
              </w:rPr>
              <w:t>分类</w:t>
            </w:r>
          </w:p>
        </w:tc>
        <w:tc>
          <w:tcPr>
            <w:tcW w:w="849" w:type="dxa"/>
            <w:vAlign w:val="top"/>
          </w:tcPr>
          <w:p>
            <w:pPr>
              <w:pStyle w:val="TableText"/>
              <w:ind w:left="111"/>
              <w:spacing w:before="198" w:line="219" w:lineRule="auto"/>
              <w:rPr>
                <w:sz w:val="12"/>
                <w:szCs w:val="12"/>
              </w:rPr>
            </w:pPr>
            <w:r>
              <w:rPr>
                <w:sz w:val="12"/>
                <w:szCs w:val="12"/>
                <w:b/>
                <w:bCs/>
                <w:spacing w:val="-3"/>
              </w:rPr>
              <w:t>常见病虫害</w:t>
            </w:r>
          </w:p>
        </w:tc>
        <w:tc>
          <w:tcPr>
            <w:tcW w:w="2738" w:type="dxa"/>
            <w:vAlign w:val="top"/>
          </w:tcPr>
          <w:p>
            <w:pPr>
              <w:pStyle w:val="TableText"/>
              <w:ind w:left="1022"/>
              <w:spacing w:before="198" w:line="219" w:lineRule="auto"/>
              <w:rPr>
                <w:sz w:val="12"/>
                <w:szCs w:val="12"/>
              </w:rPr>
            </w:pPr>
            <w:r>
              <w:rPr>
                <w:sz w:val="12"/>
                <w:szCs w:val="12"/>
                <w:b/>
                <w:bCs/>
                <w:spacing w:val="-3"/>
              </w:rPr>
              <w:t>主要发病月份</w:t>
            </w:r>
          </w:p>
        </w:tc>
        <w:tc>
          <w:tcPr>
            <w:tcW w:w="1289" w:type="dxa"/>
            <w:vAlign w:val="top"/>
          </w:tcPr>
          <w:p>
            <w:pPr>
              <w:pStyle w:val="TableText"/>
              <w:ind w:left="394"/>
              <w:spacing w:before="198" w:line="220" w:lineRule="auto"/>
              <w:rPr>
                <w:sz w:val="12"/>
                <w:szCs w:val="12"/>
              </w:rPr>
            </w:pPr>
            <w:r>
              <w:rPr>
                <w:sz w:val="12"/>
                <w:szCs w:val="12"/>
                <w:b/>
                <w:bCs/>
                <w:spacing w:val="-3"/>
              </w:rPr>
              <w:t>药品名称</w:t>
            </w:r>
          </w:p>
        </w:tc>
        <w:tc>
          <w:tcPr>
            <w:tcW w:w="1409" w:type="dxa"/>
            <w:vAlign w:val="top"/>
          </w:tcPr>
          <w:p>
            <w:pPr>
              <w:pStyle w:val="TableText"/>
              <w:ind w:left="455"/>
              <w:spacing w:before="198" w:line="220" w:lineRule="auto"/>
              <w:rPr>
                <w:sz w:val="12"/>
                <w:szCs w:val="12"/>
              </w:rPr>
            </w:pPr>
            <w:r>
              <w:rPr>
                <w:sz w:val="12"/>
                <w:szCs w:val="12"/>
                <w:b/>
                <w:bCs/>
                <w:spacing w:val="-3"/>
              </w:rPr>
              <w:t>主要成分</w:t>
            </w:r>
          </w:p>
        </w:tc>
        <w:tc>
          <w:tcPr>
            <w:tcW w:w="1349" w:type="dxa"/>
            <w:vAlign w:val="top"/>
          </w:tcPr>
          <w:p>
            <w:pPr>
              <w:pStyle w:val="TableText"/>
              <w:ind w:left="426"/>
              <w:spacing w:before="198" w:line="219" w:lineRule="auto"/>
              <w:rPr>
                <w:sz w:val="12"/>
                <w:szCs w:val="12"/>
              </w:rPr>
            </w:pPr>
            <w:r>
              <w:rPr>
                <w:sz w:val="12"/>
                <w:szCs w:val="12"/>
                <w:b/>
                <w:bCs/>
                <w:spacing w:val="-3"/>
              </w:rPr>
              <w:t>使用倍率</w:t>
            </w:r>
          </w:p>
        </w:tc>
        <w:tc>
          <w:tcPr>
            <w:tcW w:w="1219" w:type="dxa"/>
            <w:vAlign w:val="top"/>
          </w:tcPr>
          <w:p>
            <w:pPr>
              <w:pStyle w:val="TableText"/>
              <w:ind w:left="367"/>
              <w:spacing w:before="198" w:line="219" w:lineRule="auto"/>
              <w:rPr>
                <w:sz w:val="12"/>
                <w:szCs w:val="12"/>
              </w:rPr>
            </w:pPr>
            <w:r>
              <w:rPr>
                <w:sz w:val="12"/>
                <w:szCs w:val="12"/>
                <w:b/>
                <w:bCs/>
                <w:spacing w:val="-3"/>
              </w:rPr>
              <w:t>施用次数</w:t>
            </w:r>
          </w:p>
        </w:tc>
        <w:tc>
          <w:tcPr>
            <w:tcW w:w="1009" w:type="dxa"/>
            <w:vAlign w:val="top"/>
          </w:tcPr>
          <w:p>
            <w:pPr>
              <w:pStyle w:val="TableText"/>
              <w:ind w:left="378"/>
              <w:spacing w:before="198" w:line="219" w:lineRule="auto"/>
              <w:rPr>
                <w:sz w:val="12"/>
                <w:szCs w:val="12"/>
              </w:rPr>
            </w:pPr>
            <w:r>
              <w:rPr>
                <w:sz w:val="12"/>
                <w:szCs w:val="12"/>
                <w:b/>
                <w:bCs/>
                <w:spacing w:val="-3"/>
              </w:rPr>
              <w:t>规格</w:t>
            </w:r>
          </w:p>
        </w:tc>
        <w:tc>
          <w:tcPr>
            <w:tcW w:w="3173" w:type="dxa"/>
            <w:vAlign w:val="top"/>
          </w:tcPr>
          <w:p>
            <w:pPr>
              <w:pStyle w:val="TableText"/>
              <w:ind w:left="1479"/>
              <w:spacing w:before="198" w:line="221" w:lineRule="auto"/>
              <w:rPr>
                <w:sz w:val="12"/>
                <w:szCs w:val="12"/>
              </w:rPr>
            </w:pPr>
            <w:r>
              <w:rPr>
                <w:sz w:val="12"/>
                <w:szCs w:val="12"/>
                <w:b/>
                <w:bCs/>
                <w:spacing w:val="-3"/>
              </w:rPr>
              <w:t>备注</w:t>
            </w:r>
          </w:p>
        </w:tc>
      </w:tr>
      <w:tr>
        <w:trPr>
          <w:trHeight w:val="589" w:hRule="atLeast"/>
        </w:trPr>
        <w:tc>
          <w:tcPr>
            <w:tcW w:w="445"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34"/>
              <w:spacing w:before="39" w:line="219" w:lineRule="auto"/>
              <w:rPr>
                <w:sz w:val="12"/>
                <w:szCs w:val="12"/>
              </w:rPr>
            </w:pPr>
            <w:r>
              <w:rPr>
                <w:sz w:val="12"/>
                <w:szCs w:val="12"/>
                <w:spacing w:val="-2"/>
              </w:rPr>
              <w:t>营养刻</w:t>
            </w:r>
          </w:p>
          <w:p>
            <w:pPr>
              <w:pStyle w:val="TableText"/>
              <w:ind w:left="64"/>
              <w:spacing w:before="16" w:line="219" w:lineRule="auto"/>
              <w:rPr>
                <w:sz w:val="12"/>
                <w:szCs w:val="12"/>
              </w:rPr>
            </w:pPr>
            <w:r>
              <w:rPr>
                <w:sz w:val="12"/>
                <w:szCs w:val="12"/>
                <w:spacing w:val="-1"/>
              </w:rPr>
              <w:t>/肥料</w:t>
            </w:r>
          </w:p>
        </w:tc>
        <w:tc>
          <w:tcPr>
            <w:tcW w:w="620"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60"/>
              <w:spacing w:before="39" w:line="219" w:lineRule="auto"/>
              <w:rPr>
                <w:sz w:val="12"/>
                <w:szCs w:val="12"/>
              </w:rPr>
            </w:pPr>
            <w:r>
              <w:rPr>
                <w:sz w:val="12"/>
                <w:szCs w:val="12"/>
                <w:spacing w:val="-1"/>
              </w:rPr>
              <w:t>树木复壮</w:t>
            </w:r>
          </w:p>
        </w:tc>
        <w:tc>
          <w:tcPr>
            <w:tcW w:w="849" w:type="dxa"/>
            <w:vAlign w:val="top"/>
            <w:vMerge w:val="restart"/>
            <w:tcBorders>
              <w:bottom w:val="nil"/>
            </w:tcBorders>
          </w:tcPr>
          <w:p>
            <w:pPr>
              <w:spacing w:line="261" w:lineRule="auto"/>
              <w:rPr>
                <w:rFonts w:ascii="Arial"/>
                <w:sz w:val="21"/>
              </w:rPr>
            </w:pPr>
            <w:r/>
          </w:p>
          <w:p>
            <w:pPr>
              <w:spacing w:line="262" w:lineRule="auto"/>
              <w:rPr>
                <w:rFonts w:ascii="Arial"/>
                <w:sz w:val="21"/>
              </w:rPr>
            </w:pPr>
            <w:r/>
          </w:p>
          <w:p>
            <w:pPr>
              <w:pStyle w:val="TableText"/>
              <w:ind w:left="80"/>
              <w:spacing w:before="39" w:line="219" w:lineRule="auto"/>
              <w:rPr>
                <w:sz w:val="12"/>
                <w:szCs w:val="12"/>
              </w:rPr>
            </w:pPr>
            <w:r>
              <w:rPr>
                <w:sz w:val="12"/>
                <w:szCs w:val="12"/>
              </w:rPr>
              <w:t>树木长势弱，</w:t>
            </w:r>
          </w:p>
          <w:p>
            <w:pPr>
              <w:pStyle w:val="TableText"/>
              <w:ind w:left="20"/>
              <w:spacing w:before="7" w:line="219" w:lineRule="auto"/>
              <w:rPr>
                <w:sz w:val="12"/>
                <w:szCs w:val="12"/>
              </w:rPr>
            </w:pPr>
            <w:r>
              <w:rPr>
                <w:sz w:val="12"/>
                <w:szCs w:val="12"/>
                <w:spacing w:val="1"/>
              </w:rPr>
              <w:t>白顶部向下有</w:t>
            </w:r>
          </w:p>
          <w:p>
            <w:pPr>
              <w:pStyle w:val="TableText"/>
              <w:ind w:left="50"/>
              <w:spacing w:before="17" w:line="200" w:lineRule="auto"/>
              <w:rPr>
                <w:sz w:val="12"/>
                <w:szCs w:val="12"/>
              </w:rPr>
            </w:pPr>
            <w:r>
              <w:rPr>
                <w:sz w:val="12"/>
                <w:szCs w:val="12"/>
                <w:spacing w:val="-1"/>
              </w:rPr>
              <w:t>枯黄现象，或</w:t>
            </w:r>
          </w:p>
          <w:p>
            <w:pPr>
              <w:pStyle w:val="TableText"/>
              <w:ind w:left="40"/>
              <w:spacing w:line="215" w:lineRule="auto"/>
              <w:rPr>
                <w:sz w:val="12"/>
                <w:szCs w:val="12"/>
              </w:rPr>
            </w:pPr>
            <w:r>
              <w:rPr>
                <w:sz w:val="12"/>
                <w:szCs w:val="12"/>
                <w:spacing w:val="-2"/>
              </w:rPr>
              <w:t>高大乔木及责</w:t>
            </w:r>
          </w:p>
          <w:p>
            <w:pPr>
              <w:pStyle w:val="TableText"/>
              <w:ind w:left="50"/>
              <w:spacing w:line="219" w:lineRule="auto"/>
              <w:rPr>
                <w:sz w:val="12"/>
                <w:szCs w:val="12"/>
              </w:rPr>
            </w:pPr>
            <w:r>
              <w:rPr>
                <w:sz w:val="12"/>
                <w:szCs w:val="12"/>
                <w:spacing w:val="-1"/>
              </w:rPr>
              <w:t>重树木，或因</w:t>
            </w:r>
          </w:p>
          <w:p>
            <w:pPr>
              <w:pStyle w:val="TableText"/>
              <w:ind w:left="50"/>
              <w:spacing w:before="18" w:line="199" w:lineRule="auto"/>
              <w:rPr>
                <w:sz w:val="12"/>
                <w:szCs w:val="12"/>
              </w:rPr>
            </w:pPr>
            <w:r>
              <w:rPr>
                <w:sz w:val="12"/>
                <w:szCs w:val="12"/>
                <w:spacing w:val="-1"/>
              </w:rPr>
              <w:t>缺铁而引起的</w:t>
            </w:r>
          </w:p>
          <w:p>
            <w:pPr>
              <w:pStyle w:val="TableText"/>
              <w:ind w:left="60"/>
              <w:spacing w:line="219" w:lineRule="auto"/>
              <w:rPr>
                <w:sz w:val="12"/>
                <w:szCs w:val="12"/>
              </w:rPr>
            </w:pPr>
            <w:r>
              <w:rPr>
                <w:sz w:val="12"/>
                <w:szCs w:val="12"/>
              </w:rPr>
              <w:t>各种黄化症，</w:t>
            </w:r>
          </w:p>
          <w:p>
            <w:pPr>
              <w:pStyle w:val="TableText"/>
              <w:ind w:left="180"/>
              <w:spacing w:before="8" w:line="219" w:lineRule="auto"/>
              <w:rPr>
                <w:sz w:val="12"/>
                <w:szCs w:val="12"/>
              </w:rPr>
            </w:pPr>
            <w:r>
              <w:rPr>
                <w:sz w:val="12"/>
                <w:szCs w:val="12"/>
                <w:spacing w:val="-2"/>
              </w:rPr>
              <w:t>发育不良</w:t>
            </w:r>
          </w:p>
        </w:tc>
        <w:tc>
          <w:tcPr>
            <w:tcW w:w="2738"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pStyle w:val="TableText"/>
              <w:ind w:left="11" w:right="82"/>
              <w:spacing w:before="39" w:line="216" w:lineRule="auto"/>
              <w:rPr>
                <w:sz w:val="12"/>
                <w:szCs w:val="12"/>
              </w:rPr>
            </w:pPr>
            <w:r>
              <w:rPr>
                <w:sz w:val="12"/>
                <w:szCs w:val="12"/>
                <w:spacing w:val="-1"/>
              </w:rPr>
              <w:t>一、主要集中在2月中3月初，气温上升，空气湿度</w:t>
            </w:r>
            <w:r>
              <w:rPr>
                <w:sz w:val="12"/>
                <w:szCs w:val="12"/>
                <w:spacing w:val="8"/>
              </w:rPr>
              <w:t xml:space="preserve"> </w:t>
            </w:r>
            <w:r>
              <w:rPr>
                <w:sz w:val="12"/>
                <w:szCs w:val="12"/>
                <w:spacing w:val="-1"/>
              </w:rPr>
              <w:t>增加，苗木结束体眠期开始返青，是树木复壮最性</w:t>
            </w:r>
            <w:r>
              <w:rPr>
                <w:sz w:val="12"/>
                <w:szCs w:val="12"/>
                <w:spacing w:val="15"/>
                <w:w w:val="101"/>
              </w:rPr>
              <w:t xml:space="preserve"> </w:t>
            </w:r>
            <w:r>
              <w:rPr>
                <w:sz w:val="12"/>
                <w:szCs w:val="12"/>
                <w:spacing w:val="-5"/>
              </w:rPr>
              <w:t>时</w:t>
            </w:r>
            <w:r>
              <w:rPr>
                <w:sz w:val="12"/>
                <w:szCs w:val="12"/>
                <w:spacing w:val="-7"/>
              </w:rPr>
              <w:t xml:space="preserve"> </w:t>
            </w:r>
            <w:r>
              <w:rPr>
                <w:sz w:val="12"/>
                <w:szCs w:val="12"/>
                <w:spacing w:val="-5"/>
              </w:rPr>
              <w:t>机</w:t>
            </w:r>
            <w:r>
              <w:rPr>
                <w:sz w:val="12"/>
                <w:szCs w:val="12"/>
                <w:spacing w:val="-11"/>
              </w:rPr>
              <w:t xml:space="preserve"> </w:t>
            </w:r>
            <w:r>
              <w:rPr>
                <w:sz w:val="12"/>
                <w:szCs w:val="12"/>
                <w:spacing w:val="-5"/>
              </w:rPr>
              <w:t>；</w:t>
            </w:r>
          </w:p>
          <w:p>
            <w:pPr>
              <w:pStyle w:val="TableText"/>
              <w:ind w:left="11"/>
              <w:spacing w:before="18" w:line="219" w:lineRule="auto"/>
              <w:rPr>
                <w:sz w:val="12"/>
                <w:szCs w:val="12"/>
              </w:rPr>
            </w:pPr>
            <w:r>
              <w:rPr>
                <w:sz w:val="12"/>
                <w:szCs w:val="12"/>
              </w:rPr>
              <w:t>三、7-8月有个别情况，做专项治疗。</w:t>
            </w:r>
          </w:p>
        </w:tc>
        <w:tc>
          <w:tcPr>
            <w:tcW w:w="1289" w:type="dxa"/>
            <w:vAlign w:val="top"/>
          </w:tcPr>
          <w:p>
            <w:pPr>
              <w:pStyle w:val="TableText"/>
              <w:ind w:left="393"/>
              <w:spacing w:before="235" w:line="219" w:lineRule="auto"/>
              <w:rPr>
                <w:sz w:val="12"/>
                <w:szCs w:val="12"/>
              </w:rPr>
            </w:pPr>
            <w:r>
              <w:rPr>
                <w:sz w:val="12"/>
                <w:szCs w:val="12"/>
                <w:spacing w:val="1"/>
              </w:rPr>
              <w:t>国光棒肥</w:t>
            </w:r>
          </w:p>
        </w:tc>
        <w:tc>
          <w:tcPr>
            <w:tcW w:w="1409" w:type="dxa"/>
            <w:vAlign w:val="top"/>
          </w:tcPr>
          <w:p>
            <w:pPr>
              <w:pStyle w:val="TableText"/>
              <w:ind w:left="574" w:right="49" w:hanging="540"/>
              <w:spacing w:before="175" w:line="209" w:lineRule="auto"/>
              <w:rPr>
                <w:sz w:val="12"/>
                <w:szCs w:val="12"/>
              </w:rPr>
            </w:pPr>
            <w:r>
              <w:rPr>
                <w:sz w:val="12"/>
                <w:szCs w:val="12"/>
                <w:spacing w:val="-1"/>
              </w:rPr>
              <w:t>微肥、稀有元素，大量元</w:t>
            </w:r>
            <w:r>
              <w:rPr>
                <w:sz w:val="12"/>
                <w:szCs w:val="12"/>
                <w:spacing w:val="5"/>
              </w:rPr>
              <w:t xml:space="preserve"> </w:t>
            </w:r>
            <w:r>
              <w:rPr>
                <w:sz w:val="12"/>
                <w:szCs w:val="12"/>
                <w:spacing w:val="-2"/>
              </w:rPr>
              <w:t>素肥</w:t>
            </w:r>
          </w:p>
        </w:tc>
        <w:tc>
          <w:tcPr>
            <w:tcW w:w="1349" w:type="dxa"/>
            <w:vAlign w:val="top"/>
          </w:tcPr>
          <w:p>
            <w:pPr>
              <w:pStyle w:val="TableText"/>
              <w:ind w:left="5"/>
              <w:spacing w:before="16" w:line="219" w:lineRule="auto"/>
              <w:rPr>
                <w:sz w:val="12"/>
                <w:szCs w:val="12"/>
              </w:rPr>
            </w:pPr>
            <w:r>
              <w:rPr>
                <w:sz w:val="12"/>
                <w:szCs w:val="12"/>
                <w:spacing w:val="-1"/>
              </w:rPr>
              <w:t>直接使用，根据树的胸径</w:t>
            </w:r>
          </w:p>
          <w:p>
            <w:pPr>
              <w:pStyle w:val="TableText"/>
              <w:ind w:left="5"/>
              <w:spacing w:before="27" w:line="200" w:lineRule="auto"/>
              <w:rPr>
                <w:sz w:val="12"/>
                <w:szCs w:val="12"/>
              </w:rPr>
            </w:pPr>
            <w:r>
              <w:rPr>
                <w:sz w:val="12"/>
                <w:szCs w:val="12"/>
                <w:spacing w:val="-1"/>
              </w:rPr>
              <w:t>进行调整：10cn以下的树</w:t>
            </w:r>
          </w:p>
          <w:p>
            <w:pPr>
              <w:pStyle w:val="TableText"/>
              <w:ind w:left="35"/>
              <w:spacing w:line="200" w:lineRule="auto"/>
              <w:rPr>
                <w:sz w:val="12"/>
                <w:szCs w:val="12"/>
              </w:rPr>
            </w:pPr>
            <w:r>
              <w:rPr>
                <w:sz w:val="12"/>
                <w:szCs w:val="12"/>
              </w:rPr>
              <w:t>1-2支，10cm以上的树胸</w:t>
            </w:r>
          </w:p>
          <w:p>
            <w:pPr>
              <w:pStyle w:val="TableText"/>
              <w:ind w:left="65"/>
              <w:spacing w:line="204" w:lineRule="auto"/>
              <w:rPr>
                <w:sz w:val="12"/>
                <w:szCs w:val="12"/>
              </w:rPr>
            </w:pPr>
            <w:r>
              <w:rPr>
                <w:sz w:val="12"/>
                <w:szCs w:val="12"/>
                <w:spacing w:val="-1"/>
              </w:rPr>
              <w:t>径每增加5cm测增加1支</w:t>
            </w:r>
          </w:p>
        </w:tc>
        <w:tc>
          <w:tcPr>
            <w:tcW w:w="1219" w:type="dxa"/>
            <w:vAlign w:val="top"/>
            <w:vMerge w:val="restart"/>
            <w:tcBorders>
              <w:bottom w:val="nil"/>
            </w:tcBorders>
          </w:tcPr>
          <w:p>
            <w:pPr>
              <w:spacing w:line="301" w:lineRule="auto"/>
              <w:rPr>
                <w:rFonts w:ascii="Arial"/>
                <w:sz w:val="21"/>
              </w:rPr>
            </w:pPr>
            <w:r/>
          </w:p>
          <w:p>
            <w:pPr>
              <w:spacing w:line="302" w:lineRule="auto"/>
              <w:rPr>
                <w:rFonts w:ascii="Arial"/>
                <w:sz w:val="21"/>
              </w:rPr>
            </w:pPr>
            <w:r/>
          </w:p>
          <w:p>
            <w:pPr>
              <w:pStyle w:val="TableText"/>
              <w:ind w:left="186"/>
              <w:spacing w:before="39" w:line="219" w:lineRule="auto"/>
              <w:rPr>
                <w:sz w:val="12"/>
                <w:szCs w:val="12"/>
              </w:rPr>
            </w:pPr>
            <w:r>
              <w:rPr>
                <w:sz w:val="12"/>
                <w:szCs w:val="12"/>
                <w:spacing w:val="-1"/>
              </w:rPr>
              <w:t>视树木生长情况</w:t>
            </w:r>
          </w:p>
        </w:tc>
        <w:tc>
          <w:tcPr>
            <w:tcW w:w="1009" w:type="dxa"/>
            <w:vAlign w:val="top"/>
          </w:tcPr>
          <w:p>
            <w:pPr>
              <w:pStyle w:val="TableText"/>
              <w:ind w:left="196"/>
              <w:spacing w:before="236" w:line="220" w:lineRule="auto"/>
              <w:rPr>
                <w:sz w:val="12"/>
                <w:szCs w:val="12"/>
              </w:rPr>
            </w:pPr>
            <w:r>
              <w:rPr>
                <w:sz w:val="12"/>
                <w:szCs w:val="12"/>
                <w:spacing w:val="-1"/>
              </w:rPr>
              <w:t>3*15m*10根</w:t>
            </w:r>
          </w:p>
        </w:tc>
        <w:tc>
          <w:tcPr>
            <w:tcW w:w="3173" w:type="dxa"/>
            <w:vAlign w:val="top"/>
          </w:tcPr>
          <w:p>
            <w:pPr>
              <w:pStyle w:val="TableText"/>
              <w:ind w:left="18"/>
              <w:spacing w:before="236" w:line="219" w:lineRule="auto"/>
              <w:rPr>
                <w:sz w:val="12"/>
                <w:szCs w:val="12"/>
              </w:rPr>
            </w:pPr>
            <w:r>
              <w:rPr>
                <w:sz w:val="12"/>
                <w:szCs w:val="12"/>
                <w:spacing w:val="-1"/>
              </w:rPr>
              <w:t>古树，病树，弱树复壮，1万平方米年度约用量：300根</w:t>
            </w:r>
          </w:p>
        </w:tc>
      </w:tr>
      <w:tr>
        <w:trPr>
          <w:trHeight w:val="379" w:hRule="atLeast"/>
        </w:trPr>
        <w:tc>
          <w:tcPr>
            <w:tcW w:w="44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8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73"/>
              <w:spacing w:before="127" w:line="219" w:lineRule="auto"/>
              <w:rPr>
                <w:sz w:val="12"/>
                <w:szCs w:val="12"/>
              </w:rPr>
            </w:pPr>
            <w:r>
              <w:rPr>
                <w:sz w:val="12"/>
                <w:szCs w:val="12"/>
              </w:rPr>
              <w:t>国光氨热酸铁</w:t>
            </w:r>
          </w:p>
        </w:tc>
        <w:tc>
          <w:tcPr>
            <w:tcW w:w="1409" w:type="dxa"/>
            <w:vAlign w:val="top"/>
          </w:tcPr>
          <w:p>
            <w:pPr>
              <w:pStyle w:val="TableText"/>
              <w:ind w:left="243"/>
              <w:spacing w:before="127" w:line="220" w:lineRule="auto"/>
              <w:rPr>
                <w:sz w:val="12"/>
                <w:szCs w:val="12"/>
              </w:rPr>
            </w:pPr>
            <w:r>
              <w:rPr>
                <w:sz w:val="12"/>
                <w:szCs w:val="12"/>
                <w:spacing w:val="-2"/>
              </w:rPr>
              <w:t>12%氨基酸整合铁</w:t>
            </w:r>
          </w:p>
        </w:tc>
        <w:tc>
          <w:tcPr>
            <w:tcW w:w="1349" w:type="dxa"/>
            <w:vAlign w:val="top"/>
          </w:tcPr>
          <w:p>
            <w:pPr>
              <w:pStyle w:val="TableText"/>
              <w:ind w:left="215"/>
              <w:spacing w:before="127" w:line="219" w:lineRule="auto"/>
              <w:rPr>
                <w:sz w:val="12"/>
                <w:szCs w:val="12"/>
              </w:rPr>
            </w:pPr>
            <w:r>
              <w:rPr>
                <w:sz w:val="12"/>
                <w:szCs w:val="12"/>
                <w:spacing w:val="-1"/>
              </w:rPr>
              <w:t>稀释600-800倍液</w:t>
            </w:r>
          </w:p>
        </w:tc>
        <w:tc>
          <w:tcPr>
            <w:tcW w:w="1219" w:type="dxa"/>
            <w:vAlign w:val="top"/>
            <w:vMerge w:val="continue"/>
            <w:tcBorders>
              <w:top w:val="nil"/>
              <w:bottom w:val="nil"/>
            </w:tcBorders>
          </w:tcPr>
          <w:p>
            <w:pPr>
              <w:rPr>
                <w:rFonts w:ascii="Arial"/>
                <w:sz w:val="21"/>
              </w:rPr>
            </w:pPr>
            <w:r/>
          </w:p>
        </w:tc>
        <w:tc>
          <w:tcPr>
            <w:tcW w:w="1009" w:type="dxa"/>
            <w:vAlign w:val="top"/>
          </w:tcPr>
          <w:p>
            <w:pPr>
              <w:pStyle w:val="TableText"/>
              <w:ind w:left="287"/>
              <w:spacing w:before="122" w:line="214" w:lineRule="auto"/>
              <w:rPr>
                <w:sz w:val="12"/>
                <w:szCs w:val="12"/>
              </w:rPr>
            </w:pPr>
            <w:r>
              <w:rPr>
                <w:sz w:val="12"/>
                <w:szCs w:val="12"/>
                <w:spacing w:val="-1"/>
              </w:rPr>
              <w:t>500g/瓶</w:t>
            </w:r>
          </w:p>
        </w:tc>
        <w:tc>
          <w:tcPr>
            <w:tcW w:w="3173" w:type="dxa"/>
            <w:vAlign w:val="top"/>
          </w:tcPr>
          <w:p>
            <w:pPr>
              <w:pStyle w:val="TableText"/>
              <w:ind w:left="18"/>
              <w:spacing w:before="127" w:line="219" w:lineRule="auto"/>
              <w:rPr>
                <w:sz w:val="12"/>
                <w:szCs w:val="12"/>
              </w:rPr>
            </w:pPr>
            <w:r>
              <w:rPr>
                <w:sz w:val="12"/>
                <w:szCs w:val="12"/>
                <w:spacing w:val="-1"/>
              </w:rPr>
              <w:t>防治因缺铁引起的黄化失绿症，吸收好</w:t>
            </w:r>
          </w:p>
        </w:tc>
      </w:tr>
      <w:tr>
        <w:trPr>
          <w:trHeight w:val="419" w:hRule="atLeast"/>
        </w:trPr>
        <w:tc>
          <w:tcPr>
            <w:tcW w:w="44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8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453"/>
              <w:spacing w:before="147" w:line="219" w:lineRule="auto"/>
              <w:rPr>
                <w:sz w:val="12"/>
                <w:szCs w:val="12"/>
              </w:rPr>
            </w:pPr>
            <w:r>
              <w:rPr>
                <w:sz w:val="12"/>
                <w:szCs w:val="12"/>
                <w:spacing w:val="-2"/>
              </w:rPr>
              <w:t>复合肥</w:t>
            </w:r>
          </w:p>
        </w:tc>
        <w:tc>
          <w:tcPr>
            <w:tcW w:w="1409" w:type="dxa"/>
            <w:vAlign w:val="top"/>
          </w:tcPr>
          <w:p>
            <w:pPr>
              <w:pStyle w:val="TableText"/>
              <w:ind w:left="394"/>
              <w:spacing w:before="147" w:line="219" w:lineRule="auto"/>
              <w:rPr>
                <w:sz w:val="12"/>
                <w:szCs w:val="12"/>
              </w:rPr>
            </w:pPr>
            <w:r>
              <w:rPr>
                <w:sz w:val="12"/>
                <w:szCs w:val="12"/>
                <w:spacing w:val="-1"/>
              </w:rPr>
              <w:t>大量元素肥</w:t>
            </w:r>
          </w:p>
        </w:tc>
        <w:tc>
          <w:tcPr>
            <w:tcW w:w="1349" w:type="dxa"/>
            <w:vAlign w:val="top"/>
          </w:tcPr>
          <w:p>
            <w:pPr>
              <w:pStyle w:val="TableText"/>
              <w:ind w:left="424"/>
              <w:spacing w:before="148" w:line="219" w:lineRule="auto"/>
              <w:rPr>
                <w:sz w:val="12"/>
                <w:szCs w:val="12"/>
              </w:rPr>
            </w:pPr>
            <w:r>
              <w:rPr>
                <w:sz w:val="12"/>
                <w:szCs w:val="12"/>
                <w:spacing w:val="3"/>
              </w:rPr>
              <w:t>直接使用</w:t>
            </w:r>
          </w:p>
        </w:tc>
        <w:tc>
          <w:tcPr>
            <w:tcW w:w="1219" w:type="dxa"/>
            <w:vAlign w:val="top"/>
            <w:vMerge w:val="continue"/>
            <w:tcBorders>
              <w:top w:val="nil"/>
            </w:tcBorders>
          </w:tcPr>
          <w:p>
            <w:pPr>
              <w:rPr>
                <w:rFonts w:ascii="Arial"/>
                <w:sz w:val="21"/>
              </w:rPr>
            </w:pPr>
            <w:r/>
          </w:p>
        </w:tc>
        <w:tc>
          <w:tcPr>
            <w:tcW w:w="1009" w:type="dxa"/>
            <w:vAlign w:val="top"/>
          </w:tcPr>
          <w:p>
            <w:pPr>
              <w:pStyle w:val="TableText"/>
              <w:ind w:left="287"/>
              <w:spacing w:before="143" w:line="214" w:lineRule="auto"/>
              <w:rPr>
                <w:sz w:val="12"/>
                <w:szCs w:val="12"/>
              </w:rPr>
            </w:pPr>
            <w:r>
              <w:rPr>
                <w:sz w:val="12"/>
                <w:szCs w:val="12"/>
                <w:spacing w:val="-1"/>
              </w:rPr>
              <w:t>50kg/装</w:t>
            </w:r>
          </w:p>
        </w:tc>
        <w:tc>
          <w:tcPr>
            <w:tcW w:w="3173" w:type="dxa"/>
            <w:vAlign w:val="top"/>
          </w:tcPr>
          <w:p>
            <w:pPr>
              <w:pStyle w:val="TableText"/>
              <w:ind w:left="18"/>
              <w:spacing w:before="143" w:line="214" w:lineRule="auto"/>
              <w:rPr>
                <w:sz w:val="12"/>
                <w:szCs w:val="12"/>
              </w:rPr>
            </w:pPr>
            <w:r>
              <w:rPr>
                <w:sz w:val="12"/>
                <w:szCs w:val="12"/>
                <w:spacing w:val="-1"/>
              </w:rPr>
              <w:t>古树，病树，弱树复壮，1万平方米年度约用量：300kg</w:t>
            </w:r>
          </w:p>
        </w:tc>
      </w:tr>
      <w:tr>
        <w:trPr>
          <w:trHeight w:val="409" w:hRule="atLeast"/>
        </w:trPr>
        <w:tc>
          <w:tcPr>
            <w:tcW w:w="44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8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273"/>
              <w:spacing w:before="149" w:line="219" w:lineRule="auto"/>
              <w:rPr>
                <w:sz w:val="12"/>
                <w:szCs w:val="12"/>
              </w:rPr>
            </w:pPr>
            <w:r>
              <w:rPr>
                <w:sz w:val="12"/>
                <w:szCs w:val="12"/>
                <w:spacing w:val="1"/>
              </w:rPr>
              <w:t>国光佤基酸钾</w:t>
            </w:r>
          </w:p>
        </w:tc>
        <w:tc>
          <w:tcPr>
            <w:tcW w:w="1409" w:type="dxa"/>
            <w:vAlign w:val="top"/>
          </w:tcPr>
          <w:p>
            <w:pPr>
              <w:pStyle w:val="TableText"/>
              <w:ind w:left="273"/>
              <w:spacing w:before="149" w:line="220" w:lineRule="auto"/>
              <w:rPr>
                <w:sz w:val="12"/>
                <w:szCs w:val="12"/>
              </w:rPr>
            </w:pPr>
            <w:r>
              <w:rPr>
                <w:sz w:val="12"/>
                <w:szCs w:val="12"/>
                <w:spacing w:val="-1"/>
              </w:rPr>
              <w:t>2%氨基酸整合钾</w:t>
            </w:r>
          </w:p>
        </w:tc>
        <w:tc>
          <w:tcPr>
            <w:tcW w:w="1349" w:type="dxa"/>
            <w:vAlign w:val="top"/>
          </w:tcPr>
          <w:p>
            <w:pPr>
              <w:pStyle w:val="TableText"/>
              <w:ind w:left="215"/>
              <w:spacing w:before="149" w:line="219" w:lineRule="auto"/>
              <w:rPr>
                <w:sz w:val="12"/>
                <w:szCs w:val="12"/>
              </w:rPr>
            </w:pPr>
            <w:r>
              <w:rPr>
                <w:sz w:val="12"/>
                <w:szCs w:val="12"/>
                <w:spacing w:val="-1"/>
              </w:rPr>
              <w:t>稀释600-800倍波</w:t>
            </w:r>
          </w:p>
        </w:tc>
        <w:tc>
          <w:tcPr>
            <w:tcW w:w="1219" w:type="dxa"/>
            <w:vAlign w:val="top"/>
            <w:vMerge w:val="restart"/>
            <w:tcBorders>
              <w:bottom w:val="nil"/>
            </w:tcBorders>
          </w:tcPr>
          <w:p>
            <w:pPr>
              <w:spacing w:line="318" w:lineRule="auto"/>
              <w:rPr>
                <w:rFonts w:ascii="Arial"/>
                <w:sz w:val="21"/>
              </w:rPr>
            </w:pPr>
            <w:r/>
          </w:p>
          <w:p>
            <w:pPr>
              <w:pStyle w:val="TableText"/>
              <w:ind w:left="336"/>
              <w:spacing w:before="39" w:line="219" w:lineRule="auto"/>
              <w:rPr>
                <w:sz w:val="12"/>
                <w:szCs w:val="12"/>
              </w:rPr>
            </w:pPr>
            <w:r>
              <w:rPr>
                <w:sz w:val="12"/>
                <w:szCs w:val="12"/>
                <w:spacing w:val="-2"/>
              </w:rPr>
              <w:t>一般用1次</w:t>
            </w:r>
          </w:p>
        </w:tc>
        <w:tc>
          <w:tcPr>
            <w:tcW w:w="1009" w:type="dxa"/>
            <w:vAlign w:val="top"/>
          </w:tcPr>
          <w:p>
            <w:pPr>
              <w:pStyle w:val="TableText"/>
              <w:ind w:left="287"/>
              <w:spacing w:before="144" w:line="214" w:lineRule="auto"/>
              <w:rPr>
                <w:sz w:val="12"/>
                <w:szCs w:val="12"/>
              </w:rPr>
            </w:pPr>
            <w:r>
              <w:rPr>
                <w:sz w:val="12"/>
                <w:szCs w:val="12"/>
                <w:spacing w:val="-1"/>
              </w:rPr>
              <w:t>500g/瓶</w:t>
            </w:r>
          </w:p>
        </w:tc>
        <w:tc>
          <w:tcPr>
            <w:tcW w:w="3173" w:type="dxa"/>
            <w:vAlign w:val="top"/>
          </w:tcPr>
          <w:p>
            <w:pPr>
              <w:pStyle w:val="TableText"/>
              <w:ind w:left="18" w:right="74"/>
              <w:spacing w:before="78"/>
              <w:rPr>
                <w:sz w:val="12"/>
                <w:szCs w:val="12"/>
              </w:rPr>
            </w:pPr>
            <w:r>
              <w:rPr>
                <w:sz w:val="12"/>
                <w:szCs w:val="12"/>
              </w:rPr>
              <w:t>防治因缺钾引起的植株瘦弱，生长不良，1万平方米年度约</w:t>
            </w:r>
            <w:r>
              <w:rPr>
                <w:sz w:val="12"/>
                <w:szCs w:val="12"/>
                <w:spacing w:val="9"/>
              </w:rPr>
              <w:t xml:space="preserve"> </w:t>
            </w:r>
            <w:r>
              <w:rPr>
                <w:sz w:val="12"/>
                <w:szCs w:val="12"/>
                <w:spacing w:val="-1"/>
              </w:rPr>
              <w:t>用量：50kg</w:t>
            </w:r>
          </w:p>
        </w:tc>
      </w:tr>
      <w:tr>
        <w:trPr>
          <w:trHeight w:val="409" w:hRule="atLeast"/>
        </w:trPr>
        <w:tc>
          <w:tcPr>
            <w:tcW w:w="445" w:type="dxa"/>
            <w:vAlign w:val="top"/>
            <w:vMerge w:val="continue"/>
            <w:tcBorders>
              <w:top w:val="nil"/>
              <w:bottom w:val="nil"/>
            </w:tcBorders>
          </w:tcPr>
          <w:p>
            <w:pPr>
              <w:rPr>
                <w:rFonts w:ascii="Arial"/>
                <w:sz w:val="21"/>
              </w:rPr>
            </w:pPr>
            <w:r/>
          </w:p>
        </w:tc>
        <w:tc>
          <w:tcPr>
            <w:tcW w:w="620" w:type="dxa"/>
            <w:vAlign w:val="top"/>
            <w:vMerge w:val="continue"/>
            <w:tcBorders>
              <w:top w:val="nil"/>
            </w:tcBorders>
          </w:tcPr>
          <w:p>
            <w:pPr>
              <w:rPr>
                <w:rFonts w:ascii="Arial"/>
                <w:sz w:val="21"/>
              </w:rPr>
            </w:pPr>
            <w:r/>
          </w:p>
        </w:tc>
        <w:tc>
          <w:tcPr>
            <w:tcW w:w="8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453"/>
              <w:spacing w:before="149" w:line="219" w:lineRule="auto"/>
              <w:rPr>
                <w:sz w:val="12"/>
                <w:szCs w:val="12"/>
              </w:rPr>
            </w:pPr>
            <w:r>
              <w:rPr>
                <w:sz w:val="12"/>
                <w:szCs w:val="12"/>
                <w:spacing w:val="-2"/>
              </w:rPr>
              <w:t>有机肥</w:t>
            </w:r>
          </w:p>
        </w:tc>
        <w:tc>
          <w:tcPr>
            <w:tcW w:w="1409" w:type="dxa"/>
            <w:vAlign w:val="top"/>
          </w:tcPr>
          <w:p>
            <w:pPr>
              <w:pStyle w:val="TableText"/>
              <w:ind w:left="242" w:right="187" w:hanging="29"/>
              <w:spacing w:before="78" w:line="214" w:lineRule="auto"/>
              <w:rPr>
                <w:sz w:val="12"/>
                <w:szCs w:val="12"/>
              </w:rPr>
            </w:pPr>
            <w:r>
              <w:rPr>
                <w:sz w:val="12"/>
                <w:szCs w:val="12"/>
                <w:spacing w:val="3"/>
              </w:rPr>
              <w:t>有机质含量≥45%,</w:t>
            </w:r>
            <w:r>
              <w:rPr>
                <w:sz w:val="12"/>
                <w:szCs w:val="12"/>
                <w:spacing w:val="6"/>
              </w:rPr>
              <w:t xml:space="preserve"> </w:t>
            </w:r>
            <w:r>
              <w:rPr>
                <w:sz w:val="12"/>
                <w:szCs w:val="12"/>
                <w:spacing w:val="-2"/>
              </w:rPr>
              <w:t>(N+P202+K20)≥6%</w:t>
            </w:r>
          </w:p>
        </w:tc>
        <w:tc>
          <w:tcPr>
            <w:tcW w:w="1349" w:type="dxa"/>
            <w:vAlign w:val="top"/>
          </w:tcPr>
          <w:p>
            <w:pPr>
              <w:pStyle w:val="TableText"/>
              <w:ind w:left="364"/>
              <w:spacing w:before="150" w:line="220" w:lineRule="auto"/>
              <w:rPr>
                <w:sz w:val="12"/>
                <w:szCs w:val="12"/>
              </w:rPr>
            </w:pPr>
            <w:r>
              <w:rPr>
                <w:sz w:val="12"/>
                <w:szCs w:val="12"/>
                <w:spacing w:val="-1"/>
              </w:rPr>
              <w:t>穴施或撤施</w:t>
            </w:r>
          </w:p>
        </w:tc>
        <w:tc>
          <w:tcPr>
            <w:tcW w:w="1219" w:type="dxa"/>
            <w:vAlign w:val="top"/>
            <w:vMerge w:val="continue"/>
            <w:tcBorders>
              <w:top w:val="nil"/>
            </w:tcBorders>
          </w:tcPr>
          <w:p>
            <w:pPr>
              <w:rPr>
                <w:rFonts w:ascii="Arial"/>
                <w:sz w:val="21"/>
              </w:rPr>
            </w:pPr>
            <w:r/>
          </w:p>
        </w:tc>
        <w:tc>
          <w:tcPr>
            <w:tcW w:w="1009" w:type="dxa"/>
            <w:vAlign w:val="top"/>
          </w:tcPr>
          <w:p>
            <w:pPr>
              <w:pStyle w:val="TableText"/>
              <w:ind w:left="287"/>
              <w:spacing w:before="145" w:line="214" w:lineRule="auto"/>
              <w:rPr>
                <w:sz w:val="12"/>
                <w:szCs w:val="12"/>
              </w:rPr>
            </w:pPr>
            <w:r>
              <w:rPr>
                <w:sz w:val="12"/>
                <w:szCs w:val="12"/>
                <w:spacing w:val="-1"/>
              </w:rPr>
              <w:t>25kg/装</w:t>
            </w:r>
          </w:p>
        </w:tc>
        <w:tc>
          <w:tcPr>
            <w:tcW w:w="3173" w:type="dxa"/>
            <w:vAlign w:val="top"/>
          </w:tcPr>
          <w:p>
            <w:pPr>
              <w:pStyle w:val="TableText"/>
              <w:ind w:left="18"/>
              <w:spacing w:before="145" w:line="214" w:lineRule="auto"/>
              <w:rPr>
                <w:sz w:val="12"/>
                <w:szCs w:val="12"/>
              </w:rPr>
            </w:pPr>
            <w:r>
              <w:rPr>
                <w:sz w:val="12"/>
                <w:szCs w:val="12"/>
                <w:spacing w:val="-1"/>
              </w:rPr>
              <w:t>增加树体养分贮备，1万平方米年度约用量：200kg</w:t>
            </w:r>
          </w:p>
        </w:tc>
      </w:tr>
      <w:tr>
        <w:trPr>
          <w:trHeight w:val="539" w:hRule="atLeast"/>
        </w:trPr>
        <w:tc>
          <w:tcPr>
            <w:tcW w:w="445" w:type="dxa"/>
            <w:vAlign w:val="top"/>
            <w:vMerge w:val="continue"/>
            <w:tcBorders>
              <w:top w:val="nil"/>
              <w:bottom w:val="nil"/>
            </w:tcBorders>
          </w:tcPr>
          <w:p>
            <w:pPr>
              <w:rPr>
                <w:rFonts w:ascii="Arial"/>
                <w:sz w:val="21"/>
              </w:rPr>
            </w:pPr>
            <w:r/>
          </w:p>
        </w:tc>
        <w:tc>
          <w:tcPr>
            <w:tcW w:w="620" w:type="dxa"/>
            <w:vAlign w:val="top"/>
            <w:vMerge w:val="restart"/>
            <w:tcBorders>
              <w:bottom w:val="nil"/>
            </w:tcBorders>
          </w:tcPr>
          <w:p>
            <w:pPr>
              <w:spacing w:line="389" w:lineRule="auto"/>
              <w:rPr>
                <w:rFonts w:ascii="Arial"/>
                <w:sz w:val="21"/>
              </w:rPr>
            </w:pPr>
            <w:r/>
          </w:p>
          <w:p>
            <w:pPr>
              <w:pStyle w:val="TableText"/>
              <w:ind w:left="60"/>
              <w:spacing w:before="39" w:line="219" w:lineRule="auto"/>
              <w:rPr>
                <w:sz w:val="12"/>
                <w:szCs w:val="12"/>
              </w:rPr>
            </w:pPr>
            <w:r>
              <w:rPr>
                <w:sz w:val="12"/>
                <w:szCs w:val="12"/>
                <w:spacing w:val="-2"/>
              </w:rPr>
              <w:t>草皮覆绿</w:t>
            </w:r>
          </w:p>
        </w:tc>
        <w:tc>
          <w:tcPr>
            <w:tcW w:w="849" w:type="dxa"/>
            <w:vAlign w:val="top"/>
            <w:vMerge w:val="restart"/>
            <w:tcBorders>
              <w:bottom w:val="nil"/>
            </w:tcBorders>
          </w:tcPr>
          <w:p>
            <w:pPr>
              <w:spacing w:line="330" w:lineRule="auto"/>
              <w:rPr>
                <w:rFonts w:ascii="Arial"/>
                <w:sz w:val="21"/>
              </w:rPr>
            </w:pPr>
            <w:r/>
          </w:p>
          <w:p>
            <w:pPr>
              <w:pStyle w:val="TableText"/>
              <w:ind w:left="50"/>
              <w:spacing w:before="39" w:line="215" w:lineRule="auto"/>
              <w:rPr>
                <w:sz w:val="12"/>
                <w:szCs w:val="12"/>
              </w:rPr>
            </w:pPr>
            <w:r>
              <w:rPr>
                <w:sz w:val="12"/>
                <w:szCs w:val="12"/>
                <w:spacing w:val="-1"/>
              </w:rPr>
              <w:t>草坪发芽及长</w:t>
            </w:r>
          </w:p>
          <w:p>
            <w:pPr>
              <w:pStyle w:val="TableText"/>
              <w:ind w:left="230"/>
              <w:spacing w:line="219" w:lineRule="auto"/>
              <w:rPr>
                <w:sz w:val="12"/>
                <w:szCs w:val="12"/>
              </w:rPr>
            </w:pPr>
            <w:r>
              <w:rPr>
                <w:sz w:val="12"/>
                <w:szCs w:val="12"/>
                <w:spacing w:val="-2"/>
              </w:rPr>
              <w:t>势不良</w:t>
            </w:r>
          </w:p>
        </w:tc>
        <w:tc>
          <w:tcPr>
            <w:tcW w:w="2738" w:type="dxa"/>
            <w:vAlign w:val="top"/>
            <w:vMerge w:val="restart"/>
            <w:tcBorders>
              <w:bottom w:val="nil"/>
            </w:tcBorders>
          </w:tcPr>
          <w:p>
            <w:pPr>
              <w:pStyle w:val="TableText"/>
              <w:ind w:left="11" w:right="16"/>
              <w:spacing w:before="60" w:line="231" w:lineRule="auto"/>
              <w:rPr>
                <w:sz w:val="12"/>
                <w:szCs w:val="12"/>
              </w:rPr>
            </w:pPr>
            <w:r>
              <w:rPr>
                <w:sz w:val="12"/>
                <w:szCs w:val="12"/>
              </w:rPr>
              <w:t>一、主要集中在3月下，气温上升，空气湿度增加， </w:t>
            </w:r>
            <w:r>
              <w:rPr>
                <w:sz w:val="12"/>
                <w:szCs w:val="12"/>
                <w:spacing w:val="-1"/>
              </w:rPr>
              <w:t>苗木结束体眠期开始返青，是草皮施肥复绿最住时</w:t>
            </w:r>
            <w:r>
              <w:rPr>
                <w:sz w:val="12"/>
                <w:szCs w:val="12"/>
                <w:spacing w:val="7"/>
              </w:rPr>
              <w:t xml:space="preserve">  </w:t>
            </w:r>
            <w:r>
              <w:rPr>
                <w:sz w:val="12"/>
                <w:szCs w:val="12"/>
                <w:spacing w:val="4"/>
              </w:rPr>
              <w:t>机。3-5月全园区施肥一次；</w:t>
            </w:r>
          </w:p>
          <w:p>
            <w:pPr>
              <w:pStyle w:val="TableText"/>
              <w:ind w:left="11" w:right="81"/>
              <w:spacing w:line="225" w:lineRule="auto"/>
              <w:rPr>
                <w:sz w:val="12"/>
                <w:szCs w:val="12"/>
              </w:rPr>
            </w:pPr>
            <w:r>
              <w:rPr>
                <w:sz w:val="12"/>
                <w:szCs w:val="12"/>
              </w:rPr>
              <w:t>三、9-11月下句以P、K为主的肥料，</w:t>
            </w:r>
            <w:r>
              <w:rPr>
                <w:sz w:val="12"/>
                <w:szCs w:val="12"/>
                <w:spacing w:val="-1"/>
              </w:rPr>
              <w:t>增加保绿时间</w:t>
            </w:r>
            <w:r>
              <w:rPr>
                <w:sz w:val="12"/>
                <w:szCs w:val="12"/>
              </w:rPr>
              <w:t xml:space="preserve"> </w:t>
            </w:r>
            <w:r>
              <w:rPr>
                <w:sz w:val="12"/>
                <w:szCs w:val="12"/>
                <w:spacing w:val="-1"/>
              </w:rPr>
              <w:t>及抗塞性。</w:t>
            </w:r>
          </w:p>
        </w:tc>
        <w:tc>
          <w:tcPr>
            <w:tcW w:w="1289" w:type="dxa"/>
            <w:vAlign w:val="top"/>
          </w:tcPr>
          <w:p>
            <w:pPr>
              <w:pStyle w:val="TableText"/>
              <w:ind w:left="122"/>
              <w:spacing w:before="150" w:line="218" w:lineRule="auto"/>
              <w:rPr>
                <w:sz w:val="12"/>
                <w:szCs w:val="12"/>
              </w:rPr>
            </w:pPr>
            <w:r>
              <w:rPr>
                <w:sz w:val="12"/>
                <w:szCs w:val="12"/>
                <w:spacing w:val="-1"/>
              </w:rPr>
              <w:t>尿素(配合磷钾肥使</w:t>
            </w:r>
          </w:p>
          <w:p>
            <w:pPr>
              <w:pStyle w:val="TableText"/>
              <w:ind w:left="543"/>
              <w:spacing w:line="220" w:lineRule="auto"/>
              <w:rPr>
                <w:sz w:val="12"/>
                <w:szCs w:val="12"/>
              </w:rPr>
            </w:pPr>
            <w:r>
              <w:rPr>
                <w:sz w:val="12"/>
                <w:szCs w:val="12"/>
                <w:spacing w:val="-3"/>
              </w:rPr>
              <w:t>用</w:t>
            </w:r>
            <w:r>
              <w:rPr>
                <w:sz w:val="12"/>
                <w:szCs w:val="12"/>
                <w:spacing w:val="-23"/>
              </w:rPr>
              <w:t xml:space="preserve"> </w:t>
            </w:r>
            <w:r>
              <w:rPr>
                <w:sz w:val="12"/>
                <w:szCs w:val="12"/>
                <w:spacing w:val="-3"/>
              </w:rPr>
              <w:t>)</w:t>
            </w:r>
          </w:p>
        </w:tc>
        <w:tc>
          <w:tcPr>
            <w:tcW w:w="1409" w:type="dxa"/>
            <w:vAlign w:val="top"/>
          </w:tcPr>
          <w:p>
            <w:pPr>
              <w:pStyle w:val="TableText"/>
              <w:ind w:left="243"/>
              <w:spacing w:before="210" w:line="219" w:lineRule="auto"/>
              <w:rPr>
                <w:sz w:val="12"/>
                <w:szCs w:val="12"/>
              </w:rPr>
            </w:pPr>
            <w:r>
              <w:rPr>
                <w:sz w:val="12"/>
                <w:szCs w:val="12"/>
                <w:spacing w:val="-1"/>
              </w:rPr>
              <w:t>0O(MH)。含氮46%</w:t>
            </w:r>
          </w:p>
        </w:tc>
        <w:tc>
          <w:tcPr>
            <w:tcW w:w="1349" w:type="dxa"/>
            <w:vAlign w:val="top"/>
          </w:tcPr>
          <w:p>
            <w:pPr>
              <w:pStyle w:val="TableText"/>
              <w:ind w:left="65"/>
              <w:spacing w:before="206" w:line="214" w:lineRule="auto"/>
              <w:rPr>
                <w:sz w:val="12"/>
                <w:szCs w:val="12"/>
              </w:rPr>
            </w:pPr>
            <w:r>
              <w:rPr>
                <w:sz w:val="12"/>
                <w:szCs w:val="12"/>
                <w:spacing w:val="-1"/>
              </w:rPr>
              <w:t>直按撒施：20-25kg/亩</w:t>
            </w:r>
          </w:p>
        </w:tc>
        <w:tc>
          <w:tcPr>
            <w:tcW w:w="1219" w:type="dxa"/>
            <w:vAlign w:val="top"/>
            <w:vMerge w:val="restart"/>
            <w:tcBorders>
              <w:bottom w:val="nil"/>
            </w:tcBorders>
          </w:tcPr>
          <w:p>
            <w:pPr>
              <w:spacing w:line="389" w:lineRule="auto"/>
              <w:rPr>
                <w:rFonts w:ascii="Arial"/>
                <w:sz w:val="21"/>
              </w:rPr>
            </w:pPr>
            <w:r/>
          </w:p>
          <w:p>
            <w:pPr>
              <w:pStyle w:val="TableText"/>
              <w:ind w:left="186"/>
              <w:spacing w:before="39" w:line="219" w:lineRule="auto"/>
              <w:rPr>
                <w:sz w:val="12"/>
                <w:szCs w:val="12"/>
              </w:rPr>
            </w:pPr>
            <w:r>
              <w:rPr>
                <w:sz w:val="12"/>
                <w:szCs w:val="12"/>
                <w:spacing w:val="-1"/>
              </w:rPr>
              <w:t>视草坪生长情况</w:t>
            </w:r>
          </w:p>
        </w:tc>
        <w:tc>
          <w:tcPr>
            <w:tcW w:w="1009" w:type="dxa"/>
            <w:vAlign w:val="top"/>
          </w:tcPr>
          <w:p>
            <w:pPr>
              <w:pStyle w:val="TableText"/>
              <w:ind w:left="227"/>
              <w:spacing w:before="206" w:line="214" w:lineRule="auto"/>
              <w:rPr>
                <w:sz w:val="12"/>
                <w:szCs w:val="12"/>
              </w:rPr>
            </w:pPr>
            <w:r>
              <w:rPr>
                <w:sz w:val="12"/>
                <w:szCs w:val="12"/>
                <w:spacing w:val="4"/>
              </w:rPr>
              <w:t>(50</w:t>
            </w:r>
            <w:r>
              <w:rPr>
                <w:sz w:val="12"/>
                <w:szCs w:val="12"/>
              </w:rPr>
              <w:t>kg</w:t>
            </w:r>
            <w:r>
              <w:rPr>
                <w:sz w:val="12"/>
                <w:szCs w:val="12"/>
                <w:spacing w:val="4"/>
              </w:rPr>
              <w:t>/装)</w:t>
            </w:r>
          </w:p>
        </w:tc>
        <w:tc>
          <w:tcPr>
            <w:tcW w:w="3173" w:type="dxa"/>
            <w:vAlign w:val="top"/>
          </w:tcPr>
          <w:p>
            <w:pPr>
              <w:pStyle w:val="TableText"/>
              <w:ind w:left="18"/>
              <w:spacing w:before="206" w:line="214" w:lineRule="auto"/>
              <w:rPr>
                <w:sz w:val="12"/>
                <w:szCs w:val="12"/>
              </w:rPr>
            </w:pPr>
            <w:r>
              <w:rPr>
                <w:sz w:val="12"/>
                <w:szCs w:val="12"/>
              </w:rPr>
              <w:t>促进草坪生长，增绿，1万平方米年度的用</w:t>
            </w:r>
            <w:r>
              <w:rPr>
                <w:sz w:val="12"/>
                <w:szCs w:val="12"/>
                <w:spacing w:val="-1"/>
              </w:rPr>
              <w:t>量：500kg</w:t>
            </w:r>
          </w:p>
        </w:tc>
      </w:tr>
      <w:tr>
        <w:trPr>
          <w:trHeight w:val="429" w:hRule="atLeast"/>
        </w:trPr>
        <w:tc>
          <w:tcPr>
            <w:tcW w:w="445" w:type="dxa"/>
            <w:vAlign w:val="top"/>
            <w:vMerge w:val="continue"/>
            <w:tcBorders>
              <w:top w:val="nil"/>
            </w:tcBorders>
          </w:tcPr>
          <w:p>
            <w:pPr>
              <w:rPr>
                <w:rFonts w:ascii="Arial"/>
                <w:sz w:val="21"/>
              </w:rPr>
            </w:pPr>
            <w:r/>
          </w:p>
        </w:tc>
        <w:tc>
          <w:tcPr>
            <w:tcW w:w="620" w:type="dxa"/>
            <w:vAlign w:val="top"/>
            <w:vMerge w:val="continue"/>
            <w:tcBorders>
              <w:top w:val="nil"/>
            </w:tcBorders>
          </w:tcPr>
          <w:p>
            <w:pPr>
              <w:rPr>
                <w:rFonts w:ascii="Arial"/>
                <w:sz w:val="21"/>
              </w:rPr>
            </w:pPr>
            <w:r/>
          </w:p>
        </w:tc>
        <w:tc>
          <w:tcPr>
            <w:tcW w:w="8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572" w:right="8" w:hanging="570"/>
              <w:spacing w:before="91" w:line="252" w:lineRule="auto"/>
              <w:rPr>
                <w:sz w:val="12"/>
                <w:szCs w:val="12"/>
              </w:rPr>
            </w:pPr>
            <w:r>
              <w:rPr>
                <w:sz w:val="12"/>
                <w:szCs w:val="12"/>
              </w:rPr>
              <w:t>中威壮美-草坪专用抗虫</w:t>
            </w:r>
            <w:r>
              <w:rPr>
                <w:sz w:val="12"/>
                <w:szCs w:val="12"/>
                <w:spacing w:val="6"/>
              </w:rPr>
              <w:t xml:space="preserve"> </w:t>
            </w:r>
            <w:r>
              <w:rPr>
                <w:sz w:val="12"/>
                <w:szCs w:val="12"/>
              </w:rPr>
              <w:t>型</w:t>
            </w:r>
          </w:p>
        </w:tc>
        <w:tc>
          <w:tcPr>
            <w:tcW w:w="1409" w:type="dxa"/>
            <w:vAlign w:val="top"/>
          </w:tcPr>
          <w:p>
            <w:pPr>
              <w:pStyle w:val="TableText"/>
              <w:ind w:left="363"/>
              <w:spacing w:before="161" w:line="219" w:lineRule="auto"/>
              <w:rPr>
                <w:sz w:val="12"/>
                <w:szCs w:val="12"/>
              </w:rPr>
            </w:pPr>
            <w:r>
              <w:rPr>
                <w:sz w:val="12"/>
                <w:szCs w:val="12"/>
                <w:spacing w:val="-1"/>
              </w:rPr>
              <w:t>有机质≥60%</w:t>
            </w:r>
          </w:p>
        </w:tc>
        <w:tc>
          <w:tcPr>
            <w:tcW w:w="1349" w:type="dxa"/>
            <w:vAlign w:val="top"/>
          </w:tcPr>
          <w:p>
            <w:pPr>
              <w:pStyle w:val="TableText"/>
              <w:ind w:left="65"/>
              <w:spacing w:before="157" w:line="214" w:lineRule="auto"/>
              <w:rPr>
                <w:sz w:val="12"/>
                <w:szCs w:val="12"/>
              </w:rPr>
            </w:pPr>
            <w:r>
              <w:rPr>
                <w:sz w:val="12"/>
                <w:szCs w:val="12"/>
                <w:spacing w:val="-1"/>
              </w:rPr>
              <w:t>直接撒施：20-25kg/亩</w:t>
            </w:r>
          </w:p>
        </w:tc>
        <w:tc>
          <w:tcPr>
            <w:tcW w:w="1219" w:type="dxa"/>
            <w:vAlign w:val="top"/>
            <w:vMerge w:val="continue"/>
            <w:tcBorders>
              <w:top w:val="nil"/>
            </w:tcBorders>
          </w:tcPr>
          <w:p>
            <w:pPr>
              <w:rPr>
                <w:rFonts w:ascii="Arial"/>
                <w:sz w:val="21"/>
              </w:rPr>
            </w:pPr>
            <w:r/>
          </w:p>
        </w:tc>
        <w:tc>
          <w:tcPr>
            <w:tcW w:w="1009" w:type="dxa"/>
            <w:vAlign w:val="top"/>
          </w:tcPr>
          <w:p>
            <w:pPr>
              <w:pStyle w:val="TableText"/>
              <w:ind w:left="287"/>
              <w:spacing w:before="157" w:line="214" w:lineRule="auto"/>
              <w:rPr>
                <w:sz w:val="12"/>
                <w:szCs w:val="12"/>
              </w:rPr>
            </w:pPr>
            <w:r>
              <w:rPr>
                <w:sz w:val="12"/>
                <w:szCs w:val="12"/>
                <w:spacing w:val="-1"/>
              </w:rPr>
              <w:t>25kg/袋</w:t>
            </w:r>
          </w:p>
        </w:tc>
        <w:tc>
          <w:tcPr>
            <w:tcW w:w="3173" w:type="dxa"/>
            <w:vAlign w:val="top"/>
          </w:tcPr>
          <w:p>
            <w:pPr>
              <w:pStyle w:val="TableText"/>
              <w:ind w:left="18" w:right="90"/>
              <w:spacing w:before="101" w:line="204" w:lineRule="auto"/>
              <w:rPr>
                <w:sz w:val="12"/>
                <w:szCs w:val="12"/>
              </w:rPr>
            </w:pPr>
            <w:r>
              <w:rPr>
                <w:sz w:val="12"/>
                <w:szCs w:val="12"/>
              </w:rPr>
              <w:t>草坪全面营养，高效生物驱虫，保证草坪健</w:t>
            </w:r>
            <w:r>
              <w:rPr>
                <w:sz w:val="12"/>
                <w:szCs w:val="12"/>
                <w:spacing w:val="-1"/>
              </w:rPr>
              <w:t>康生长，1万平</w:t>
            </w:r>
            <w:r>
              <w:rPr>
                <w:sz w:val="12"/>
                <w:szCs w:val="12"/>
              </w:rPr>
              <w:t xml:space="preserve"> </w:t>
            </w:r>
            <w:r>
              <w:rPr>
                <w:sz w:val="12"/>
                <w:szCs w:val="12"/>
                <w:spacing w:val="-1"/>
              </w:rPr>
              <w:t>方米年度的用量：1000k8g</w:t>
            </w:r>
          </w:p>
        </w:tc>
      </w:tr>
      <w:tr>
        <w:trPr>
          <w:trHeight w:val="439" w:hRule="atLeast"/>
        </w:trPr>
        <w:tc>
          <w:tcPr>
            <w:tcW w:w="445" w:type="dxa"/>
            <w:vAlign w:val="top"/>
            <w:vMerge w:val="restart"/>
            <w:tcBorders>
              <w:bottom w:val="nil"/>
            </w:tcBorders>
          </w:tcPr>
          <w:p>
            <w:pPr>
              <w:spacing w:line="471" w:lineRule="auto"/>
              <w:rPr>
                <w:rFonts w:ascii="Arial"/>
                <w:sz w:val="21"/>
              </w:rPr>
            </w:pPr>
            <w:r/>
          </w:p>
          <w:p>
            <w:pPr>
              <w:pStyle w:val="TableText"/>
              <w:ind w:left="94"/>
              <w:spacing w:before="39" w:line="220" w:lineRule="auto"/>
              <w:rPr>
                <w:sz w:val="12"/>
                <w:szCs w:val="12"/>
              </w:rPr>
            </w:pPr>
            <w:r>
              <w:rPr>
                <w:sz w:val="12"/>
                <w:szCs w:val="12"/>
                <w:spacing w:val="-2"/>
              </w:rPr>
              <w:t>其他</w:t>
            </w:r>
          </w:p>
        </w:tc>
        <w:tc>
          <w:tcPr>
            <w:tcW w:w="620" w:type="dxa"/>
            <w:vAlign w:val="top"/>
            <w:vMerge w:val="restart"/>
            <w:tcBorders>
              <w:bottom w:val="nil"/>
            </w:tcBorders>
          </w:tcPr>
          <w:p>
            <w:pPr>
              <w:spacing w:line="471" w:lineRule="auto"/>
              <w:rPr>
                <w:rFonts w:ascii="Arial"/>
                <w:sz w:val="21"/>
              </w:rPr>
            </w:pPr>
            <w:r/>
          </w:p>
          <w:p>
            <w:pPr>
              <w:pStyle w:val="TableText"/>
              <w:ind w:left="60"/>
              <w:spacing w:before="39" w:line="219" w:lineRule="auto"/>
              <w:rPr>
                <w:sz w:val="12"/>
                <w:szCs w:val="12"/>
              </w:rPr>
            </w:pPr>
            <w:r>
              <w:rPr>
                <w:sz w:val="12"/>
                <w:szCs w:val="12"/>
                <w:spacing w:val="-1"/>
              </w:rPr>
              <w:t>树木养护</w:t>
            </w:r>
          </w:p>
        </w:tc>
        <w:tc>
          <w:tcPr>
            <w:tcW w:w="849" w:type="dxa"/>
            <w:vAlign w:val="top"/>
            <w:vMerge w:val="restart"/>
            <w:tcBorders>
              <w:bottom w:val="nil"/>
            </w:tcBorders>
          </w:tcPr>
          <w:p>
            <w:pPr>
              <w:spacing w:line="341" w:lineRule="auto"/>
              <w:rPr>
                <w:rFonts w:ascii="Arial"/>
                <w:sz w:val="21"/>
              </w:rPr>
            </w:pPr>
            <w:r/>
          </w:p>
          <w:p>
            <w:pPr>
              <w:pStyle w:val="TableText"/>
              <w:ind w:left="50" w:right="61" w:firstLine="59"/>
              <w:spacing w:before="39" w:line="210" w:lineRule="auto"/>
              <w:rPr>
                <w:sz w:val="12"/>
                <w:szCs w:val="12"/>
              </w:rPr>
            </w:pPr>
            <w:r>
              <w:rPr>
                <w:sz w:val="12"/>
                <w:szCs w:val="12"/>
                <w:spacing w:val="-1"/>
              </w:rPr>
              <w:t>树木修剪创</w:t>
            </w:r>
            <w:r>
              <w:rPr>
                <w:sz w:val="12"/>
                <w:szCs w:val="12"/>
              </w:rPr>
              <w:t xml:space="preserve">  </w:t>
            </w:r>
            <w:r>
              <w:rPr>
                <w:sz w:val="12"/>
                <w:szCs w:val="12"/>
                <w:spacing w:val="1"/>
              </w:rPr>
              <w:t>口，腐烂病害</w:t>
            </w:r>
          </w:p>
          <w:p>
            <w:pPr>
              <w:pStyle w:val="TableText"/>
              <w:ind w:left="290"/>
              <w:spacing w:before="17" w:line="219" w:lineRule="auto"/>
              <w:rPr>
                <w:sz w:val="12"/>
                <w:szCs w:val="12"/>
              </w:rPr>
            </w:pPr>
            <w:r>
              <w:rPr>
                <w:sz w:val="12"/>
                <w:szCs w:val="12"/>
                <w:spacing w:val="8"/>
              </w:rPr>
              <w:t>伤口</w:t>
            </w:r>
          </w:p>
        </w:tc>
        <w:tc>
          <w:tcPr>
            <w:tcW w:w="2738" w:type="dxa"/>
            <w:vAlign w:val="top"/>
            <w:vMerge w:val="restart"/>
            <w:tcBorders>
              <w:bottom w:val="nil"/>
            </w:tcBorders>
          </w:tcPr>
          <w:p>
            <w:pPr>
              <w:spacing w:line="471" w:lineRule="auto"/>
              <w:rPr>
                <w:rFonts w:ascii="Arial"/>
                <w:sz w:val="21"/>
              </w:rPr>
            </w:pPr>
            <w:r/>
          </w:p>
          <w:p>
            <w:pPr>
              <w:pStyle w:val="TableText"/>
              <w:ind w:left="1140"/>
              <w:spacing w:before="39" w:line="219" w:lineRule="auto"/>
              <w:rPr>
                <w:sz w:val="12"/>
                <w:szCs w:val="12"/>
              </w:rPr>
            </w:pPr>
            <w:r>
              <w:rPr>
                <w:sz w:val="12"/>
                <w:szCs w:val="12"/>
                <w:spacing w:val="2"/>
              </w:rPr>
              <w:t>日常养护</w:t>
            </w:r>
          </w:p>
        </w:tc>
        <w:tc>
          <w:tcPr>
            <w:tcW w:w="1289" w:type="dxa"/>
            <w:vAlign w:val="top"/>
          </w:tcPr>
          <w:p>
            <w:pPr>
              <w:pStyle w:val="TableText"/>
              <w:ind w:left="62"/>
              <w:spacing w:before="83" w:line="219" w:lineRule="auto"/>
              <w:rPr>
                <w:sz w:val="12"/>
                <w:szCs w:val="12"/>
              </w:rPr>
            </w:pPr>
            <w:r>
              <w:rPr>
                <w:sz w:val="12"/>
                <w:szCs w:val="12"/>
              </w:rPr>
              <w:t>国光糊涂(原名“国光</w:t>
            </w:r>
          </w:p>
          <w:p>
            <w:pPr>
              <w:pStyle w:val="TableText"/>
              <w:ind w:left="223"/>
              <w:spacing w:before="6" w:line="219" w:lineRule="auto"/>
              <w:rPr>
                <w:sz w:val="12"/>
                <w:szCs w:val="12"/>
              </w:rPr>
            </w:pPr>
            <w:r>
              <w:rPr>
                <w:sz w:val="12"/>
                <w:szCs w:val="12"/>
                <w:spacing w:val="3"/>
              </w:rPr>
              <w:t>愈伤涂膜剂”)</w:t>
            </w:r>
          </w:p>
        </w:tc>
        <w:tc>
          <w:tcPr>
            <w:tcW w:w="1409" w:type="dxa"/>
            <w:vAlign w:val="top"/>
          </w:tcPr>
          <w:p>
            <w:pPr>
              <w:pStyle w:val="TableText"/>
              <w:ind w:left="233" w:right="50" w:hanging="199"/>
              <w:spacing w:before="81" w:line="233" w:lineRule="auto"/>
              <w:rPr>
                <w:sz w:val="12"/>
                <w:szCs w:val="12"/>
              </w:rPr>
            </w:pPr>
            <w:r>
              <w:rPr>
                <w:sz w:val="12"/>
                <w:szCs w:val="12"/>
                <w:spacing w:val="-1"/>
              </w:rPr>
              <w:t>成膜剂、甲基硫菌灵、防</w:t>
            </w:r>
            <w:r>
              <w:rPr>
                <w:sz w:val="12"/>
                <w:szCs w:val="12"/>
                <w:spacing w:val="4"/>
              </w:rPr>
              <w:t xml:space="preserve"> </w:t>
            </w:r>
            <w:r>
              <w:rPr>
                <w:sz w:val="12"/>
                <w:szCs w:val="12"/>
                <w:spacing w:val="-1"/>
              </w:rPr>
              <w:t>腐剂、促生长物质</w:t>
            </w:r>
          </w:p>
        </w:tc>
        <w:tc>
          <w:tcPr>
            <w:tcW w:w="1349" w:type="dxa"/>
            <w:vAlign w:val="top"/>
          </w:tcPr>
          <w:p>
            <w:pPr>
              <w:pStyle w:val="TableText"/>
              <w:ind w:left="5"/>
              <w:spacing w:before="163" w:line="219" w:lineRule="auto"/>
              <w:rPr>
                <w:sz w:val="12"/>
                <w:szCs w:val="12"/>
              </w:rPr>
            </w:pPr>
            <w:r>
              <w:rPr>
                <w:sz w:val="12"/>
                <w:szCs w:val="12"/>
                <w:spacing w:val="-1"/>
              </w:rPr>
              <w:t>直接使用，可略加水稀释</w:t>
            </w:r>
          </w:p>
        </w:tc>
        <w:tc>
          <w:tcPr>
            <w:tcW w:w="1219" w:type="dxa"/>
            <w:vAlign w:val="top"/>
            <w:vMerge w:val="restart"/>
            <w:tcBorders>
              <w:bottom w:val="nil"/>
            </w:tcBorders>
          </w:tcPr>
          <w:p>
            <w:pPr>
              <w:spacing w:line="410" w:lineRule="auto"/>
              <w:rPr>
                <w:rFonts w:ascii="Arial"/>
                <w:sz w:val="21"/>
              </w:rPr>
            </w:pPr>
            <w:r/>
          </w:p>
          <w:p>
            <w:pPr>
              <w:pStyle w:val="TableText"/>
              <w:ind w:left="545" w:hanging="529"/>
              <w:spacing w:before="39" w:line="252" w:lineRule="auto"/>
              <w:rPr>
                <w:sz w:val="12"/>
                <w:szCs w:val="12"/>
              </w:rPr>
            </w:pPr>
            <w:r>
              <w:rPr>
                <w:sz w:val="12"/>
                <w:szCs w:val="12"/>
                <w:spacing w:val="-1"/>
              </w:rPr>
              <w:t>乔木修剪后和树皮破损</w:t>
            </w:r>
            <w:r>
              <w:rPr>
                <w:sz w:val="12"/>
                <w:szCs w:val="12"/>
                <w:spacing w:val="1"/>
              </w:rPr>
              <w:t xml:space="preserve"> </w:t>
            </w:r>
            <w:r>
              <w:rPr>
                <w:sz w:val="12"/>
                <w:szCs w:val="12"/>
              </w:rPr>
              <w:t>时</w:t>
            </w:r>
          </w:p>
        </w:tc>
        <w:tc>
          <w:tcPr>
            <w:tcW w:w="1009" w:type="dxa"/>
            <w:vAlign w:val="top"/>
          </w:tcPr>
          <w:p>
            <w:pPr>
              <w:pStyle w:val="TableText"/>
              <w:ind w:left="227"/>
              <w:spacing w:before="158" w:line="214" w:lineRule="auto"/>
              <w:rPr>
                <w:sz w:val="12"/>
                <w:szCs w:val="12"/>
              </w:rPr>
            </w:pPr>
            <w:r>
              <w:rPr>
                <w:sz w:val="12"/>
                <w:szCs w:val="12"/>
                <w:spacing w:val="3"/>
              </w:rPr>
              <w:t>(500g/瓶)</w:t>
            </w:r>
          </w:p>
        </w:tc>
        <w:tc>
          <w:tcPr>
            <w:tcW w:w="3173" w:type="dxa"/>
            <w:vAlign w:val="top"/>
          </w:tcPr>
          <w:p>
            <w:pPr>
              <w:pStyle w:val="TableText"/>
              <w:ind w:left="18"/>
              <w:spacing w:before="162" w:line="219" w:lineRule="auto"/>
              <w:rPr>
                <w:sz w:val="12"/>
                <w:szCs w:val="12"/>
              </w:rPr>
            </w:pPr>
            <w:r>
              <w:rPr>
                <w:sz w:val="12"/>
                <w:szCs w:val="12"/>
              </w:rPr>
              <w:t>促进伤口快速愈合，杀菌防腐，混合多菌灵</w:t>
            </w:r>
            <w:r>
              <w:rPr>
                <w:sz w:val="12"/>
                <w:szCs w:val="12"/>
                <w:spacing w:val="-1"/>
              </w:rPr>
              <w:t>涂抹效果更佳</w:t>
            </w:r>
          </w:p>
        </w:tc>
      </w:tr>
      <w:tr>
        <w:trPr>
          <w:trHeight w:val="359" w:hRule="atLeast"/>
        </w:trPr>
        <w:tc>
          <w:tcPr>
            <w:tcW w:w="44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849" w:type="dxa"/>
            <w:vAlign w:val="top"/>
            <w:vMerge w:val="continue"/>
            <w:tcBorders>
              <w:top w:val="nil"/>
              <w:bottom w:val="nil"/>
            </w:tcBorders>
          </w:tcPr>
          <w:p>
            <w:pPr>
              <w:rPr>
                <w:rFonts w:ascii="Arial"/>
                <w:sz w:val="21"/>
              </w:rPr>
            </w:pPr>
            <w:r/>
          </w:p>
        </w:tc>
        <w:tc>
          <w:tcPr>
            <w:tcW w:w="2738" w:type="dxa"/>
            <w:vAlign w:val="top"/>
            <w:vMerge w:val="continue"/>
            <w:tcBorders>
              <w:top w:val="nil"/>
              <w:bottom w:val="nil"/>
            </w:tcBorders>
          </w:tcPr>
          <w:p>
            <w:pPr>
              <w:rPr>
                <w:rFonts w:ascii="Arial"/>
                <w:sz w:val="21"/>
              </w:rPr>
            </w:pPr>
            <w:r/>
          </w:p>
        </w:tc>
        <w:tc>
          <w:tcPr>
            <w:tcW w:w="1289" w:type="dxa"/>
            <w:vAlign w:val="top"/>
          </w:tcPr>
          <w:p>
            <w:pPr>
              <w:pStyle w:val="TableText"/>
              <w:ind w:left="333"/>
              <w:spacing w:before="123" w:line="219" w:lineRule="auto"/>
              <w:rPr>
                <w:sz w:val="12"/>
                <w:szCs w:val="12"/>
              </w:rPr>
            </w:pPr>
            <w:r>
              <w:rPr>
                <w:sz w:val="12"/>
                <w:szCs w:val="12"/>
                <w:spacing w:val="1"/>
              </w:rPr>
              <w:t>中威愈伤膏</w:t>
            </w:r>
          </w:p>
        </w:tc>
        <w:tc>
          <w:tcPr>
            <w:tcW w:w="1409" w:type="dxa"/>
            <w:vAlign w:val="top"/>
          </w:tcPr>
          <w:p>
            <w:pPr>
              <w:pStyle w:val="TableText"/>
              <w:ind w:left="273"/>
              <w:spacing w:before="123" w:line="219" w:lineRule="auto"/>
              <w:rPr>
                <w:sz w:val="12"/>
                <w:szCs w:val="12"/>
              </w:rPr>
            </w:pPr>
            <w:r>
              <w:rPr>
                <w:sz w:val="12"/>
                <w:szCs w:val="12"/>
                <w:spacing w:val="-1"/>
              </w:rPr>
              <w:t>有机质、杀菌剂</w:t>
            </w:r>
          </w:p>
        </w:tc>
        <w:tc>
          <w:tcPr>
            <w:tcW w:w="1349" w:type="dxa"/>
            <w:vAlign w:val="top"/>
          </w:tcPr>
          <w:p>
            <w:pPr>
              <w:pStyle w:val="TableText"/>
              <w:ind w:left="5"/>
              <w:spacing w:before="124" w:line="219" w:lineRule="auto"/>
              <w:rPr>
                <w:sz w:val="12"/>
                <w:szCs w:val="12"/>
              </w:rPr>
            </w:pPr>
            <w:r>
              <w:rPr>
                <w:sz w:val="12"/>
                <w:szCs w:val="12"/>
                <w:spacing w:val="-1"/>
              </w:rPr>
              <w:t>直接使用，可略加水稀释</w:t>
            </w:r>
          </w:p>
        </w:tc>
        <w:tc>
          <w:tcPr>
            <w:tcW w:w="1219" w:type="dxa"/>
            <w:vAlign w:val="top"/>
            <w:vMerge w:val="continue"/>
            <w:tcBorders>
              <w:top w:val="nil"/>
              <w:bottom w:val="nil"/>
            </w:tcBorders>
          </w:tcPr>
          <w:p>
            <w:pPr>
              <w:rPr>
                <w:rFonts w:ascii="Arial"/>
                <w:sz w:val="21"/>
              </w:rPr>
            </w:pPr>
            <w:r/>
          </w:p>
        </w:tc>
        <w:tc>
          <w:tcPr>
            <w:tcW w:w="1009" w:type="dxa"/>
            <w:vAlign w:val="top"/>
          </w:tcPr>
          <w:p>
            <w:pPr>
              <w:pStyle w:val="TableText"/>
              <w:ind w:left="227"/>
              <w:spacing w:before="119" w:line="214" w:lineRule="auto"/>
              <w:rPr>
                <w:sz w:val="12"/>
                <w:szCs w:val="12"/>
              </w:rPr>
            </w:pPr>
            <w:r>
              <w:rPr>
                <w:sz w:val="12"/>
                <w:szCs w:val="12"/>
                <w:spacing w:val="3"/>
              </w:rPr>
              <w:t>(500g/瓶)</w:t>
            </w:r>
          </w:p>
        </w:tc>
        <w:tc>
          <w:tcPr>
            <w:tcW w:w="3173" w:type="dxa"/>
            <w:vAlign w:val="top"/>
          </w:tcPr>
          <w:p>
            <w:pPr>
              <w:pStyle w:val="TableText"/>
              <w:ind w:left="18"/>
              <w:spacing w:before="124" w:line="219" w:lineRule="auto"/>
              <w:rPr>
                <w:sz w:val="12"/>
                <w:szCs w:val="12"/>
              </w:rPr>
            </w:pPr>
            <w:r>
              <w:rPr>
                <w:sz w:val="12"/>
                <w:szCs w:val="12"/>
              </w:rPr>
              <w:t>适用树木移救时切口及根部处理：病害伤口、</w:t>
            </w:r>
            <w:r>
              <w:rPr>
                <w:sz w:val="12"/>
                <w:szCs w:val="12"/>
                <w:spacing w:val="-1"/>
              </w:rPr>
              <w:t>树皮损失处理</w:t>
            </w:r>
          </w:p>
        </w:tc>
      </w:tr>
      <w:tr>
        <w:trPr>
          <w:trHeight w:val="325" w:hRule="atLeast"/>
        </w:trPr>
        <w:tc>
          <w:tcPr>
            <w:tcW w:w="445" w:type="dxa"/>
            <w:vAlign w:val="top"/>
            <w:vMerge w:val="continue"/>
            <w:tcBorders>
              <w:top w:val="nil"/>
            </w:tcBorders>
          </w:tcPr>
          <w:p>
            <w:pPr>
              <w:rPr>
                <w:rFonts w:ascii="Arial"/>
                <w:sz w:val="21"/>
              </w:rPr>
            </w:pPr>
            <w:r/>
          </w:p>
        </w:tc>
        <w:tc>
          <w:tcPr>
            <w:tcW w:w="620" w:type="dxa"/>
            <w:vAlign w:val="top"/>
            <w:vMerge w:val="continue"/>
            <w:tcBorders>
              <w:top w:val="nil"/>
            </w:tcBorders>
          </w:tcPr>
          <w:p>
            <w:pPr>
              <w:rPr>
                <w:rFonts w:ascii="Arial"/>
                <w:sz w:val="21"/>
              </w:rPr>
            </w:pPr>
            <w:r/>
          </w:p>
        </w:tc>
        <w:tc>
          <w:tcPr>
            <w:tcW w:w="849" w:type="dxa"/>
            <w:vAlign w:val="top"/>
            <w:vMerge w:val="continue"/>
            <w:tcBorders>
              <w:top w:val="nil"/>
            </w:tcBorders>
          </w:tcPr>
          <w:p>
            <w:pPr>
              <w:rPr>
                <w:rFonts w:ascii="Arial"/>
                <w:sz w:val="21"/>
              </w:rPr>
            </w:pPr>
            <w:r/>
          </w:p>
        </w:tc>
        <w:tc>
          <w:tcPr>
            <w:tcW w:w="2738" w:type="dxa"/>
            <w:vAlign w:val="top"/>
            <w:vMerge w:val="continue"/>
            <w:tcBorders>
              <w:top w:val="nil"/>
            </w:tcBorders>
          </w:tcPr>
          <w:p>
            <w:pPr>
              <w:rPr>
                <w:rFonts w:ascii="Arial"/>
                <w:sz w:val="21"/>
              </w:rPr>
            </w:pPr>
            <w:r/>
          </w:p>
        </w:tc>
        <w:tc>
          <w:tcPr>
            <w:tcW w:w="1289" w:type="dxa"/>
            <w:vAlign w:val="top"/>
          </w:tcPr>
          <w:p>
            <w:pPr>
              <w:pStyle w:val="TableText"/>
              <w:ind w:left="393"/>
              <w:spacing w:before="125" w:line="219" w:lineRule="auto"/>
              <w:rPr>
                <w:sz w:val="12"/>
                <w:szCs w:val="12"/>
              </w:rPr>
            </w:pPr>
            <w:r>
              <w:rPr>
                <w:sz w:val="12"/>
                <w:szCs w:val="12"/>
                <w:spacing w:val="-2"/>
              </w:rPr>
              <w:t>灰色油漆</w:t>
            </w:r>
          </w:p>
        </w:tc>
        <w:tc>
          <w:tcPr>
            <w:tcW w:w="1409" w:type="dxa"/>
            <w:vAlign w:val="top"/>
          </w:tcPr>
          <w:p>
            <w:pPr>
              <w:pStyle w:val="TableText"/>
              <w:ind w:left="578" w:hanging="544"/>
              <w:spacing w:before="34" w:line="209" w:lineRule="auto"/>
              <w:rPr>
                <w:sz w:val="12"/>
                <w:szCs w:val="12"/>
              </w:rPr>
            </w:pPr>
            <w:r>
              <w:rPr>
                <w:sz w:val="12"/>
                <w:szCs w:val="12"/>
                <w:spacing w:val="4"/>
              </w:rPr>
              <w:t>成膜物质、颜料、溶剂、</w:t>
            </w:r>
            <w:r>
              <w:rPr>
                <w:sz w:val="12"/>
                <w:szCs w:val="12"/>
              </w:rPr>
              <w:t xml:space="preserve"> </w:t>
            </w:r>
            <w:r>
              <w:rPr>
                <w:sz w:val="12"/>
                <w:szCs w:val="12"/>
                <w:spacing w:val="-2"/>
              </w:rPr>
              <w:t>助剂</w:t>
            </w:r>
          </w:p>
        </w:tc>
        <w:tc>
          <w:tcPr>
            <w:tcW w:w="1349" w:type="dxa"/>
            <w:vAlign w:val="top"/>
          </w:tcPr>
          <w:p>
            <w:pPr>
              <w:pStyle w:val="TableText"/>
              <w:ind w:left="615" w:right="19" w:hanging="610"/>
              <w:spacing w:before="34" w:line="210" w:lineRule="auto"/>
              <w:rPr>
                <w:sz w:val="12"/>
                <w:szCs w:val="12"/>
              </w:rPr>
            </w:pPr>
            <w:r>
              <w:rPr>
                <w:sz w:val="12"/>
                <w:szCs w:val="12"/>
                <w:spacing w:val="-1"/>
              </w:rPr>
              <w:t>直接使用，可略加汽油稀</w:t>
            </w:r>
            <w:r>
              <w:rPr>
                <w:sz w:val="12"/>
                <w:szCs w:val="12"/>
                <w:spacing w:val="4"/>
              </w:rPr>
              <w:t xml:space="preserve"> </w:t>
            </w:r>
            <w:r>
              <w:rPr>
                <w:sz w:val="12"/>
                <w:szCs w:val="12"/>
              </w:rPr>
              <w:t>释</w:t>
            </w:r>
          </w:p>
        </w:tc>
        <w:tc>
          <w:tcPr>
            <w:tcW w:w="1219" w:type="dxa"/>
            <w:vAlign w:val="top"/>
            <w:vMerge w:val="continue"/>
            <w:tcBorders>
              <w:top w:val="nil"/>
            </w:tcBorders>
          </w:tcPr>
          <w:p>
            <w:pPr>
              <w:rPr>
                <w:rFonts w:ascii="Arial"/>
                <w:sz w:val="21"/>
              </w:rPr>
            </w:pPr>
            <w:r/>
          </w:p>
        </w:tc>
        <w:tc>
          <w:tcPr>
            <w:tcW w:w="1009" w:type="dxa"/>
            <w:vAlign w:val="top"/>
          </w:tcPr>
          <w:p>
            <w:pPr>
              <w:pStyle w:val="TableText"/>
              <w:ind w:left="347"/>
              <w:spacing w:before="125" w:line="219" w:lineRule="auto"/>
              <w:rPr>
                <w:sz w:val="12"/>
                <w:szCs w:val="12"/>
              </w:rPr>
            </w:pPr>
            <w:r>
              <w:rPr>
                <w:sz w:val="12"/>
                <w:szCs w:val="12"/>
                <w:spacing w:val="2"/>
              </w:rPr>
              <w:t>11/桶</w:t>
            </w:r>
          </w:p>
        </w:tc>
        <w:tc>
          <w:tcPr>
            <w:tcW w:w="3173" w:type="dxa"/>
            <w:vAlign w:val="top"/>
          </w:tcPr>
          <w:p>
            <w:pPr>
              <w:pStyle w:val="TableText"/>
              <w:ind w:left="18"/>
              <w:spacing w:before="125" w:line="219" w:lineRule="auto"/>
              <w:rPr>
                <w:sz w:val="12"/>
                <w:szCs w:val="12"/>
              </w:rPr>
            </w:pPr>
            <w:r>
              <w:rPr>
                <w:sz w:val="12"/>
                <w:szCs w:val="12"/>
                <w:spacing w:val="-1"/>
              </w:rPr>
              <w:t>伤口涂抹</w:t>
            </w:r>
          </w:p>
        </w:tc>
      </w:tr>
    </w:tbl>
    <w:p>
      <w:pPr>
        <w:rPr>
          <w:rFonts w:ascii="Arial"/>
          <w:sz w:val="21"/>
        </w:rPr>
      </w:pPr>
      <w:r/>
    </w:p>
    <w:p>
      <w:pPr>
        <w:sectPr>
          <w:pgSz w:w="14490" w:h="10240"/>
          <w:pgMar w:top="104" w:right="214" w:bottom="400" w:left="164" w:header="0" w:footer="0" w:gutter="0"/>
        </w:sectPr>
        <w:rPr>
          <w:rFonts w:ascii="Arial" w:hAnsi="Arial" w:eastAsia="Arial" w:cs="Arial"/>
          <w:sz w:val="21"/>
          <w:szCs w:val="21"/>
        </w:rPr>
      </w:pPr>
    </w:p>
    <w:tbl>
      <w:tblPr>
        <w:tblStyle w:val="TableNormal"/>
        <w:tblW w:w="139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85"/>
        <w:gridCol w:w="620"/>
        <w:gridCol w:w="1039"/>
        <w:gridCol w:w="2798"/>
        <w:gridCol w:w="949"/>
        <w:gridCol w:w="1909"/>
        <w:gridCol w:w="1379"/>
        <w:gridCol w:w="1289"/>
        <w:gridCol w:w="689"/>
        <w:gridCol w:w="2703"/>
      </w:tblGrid>
      <w:tr>
        <w:trPr>
          <w:trHeight w:val="714" w:hRule="atLeast"/>
        </w:trPr>
        <w:tc>
          <w:tcPr>
            <w:tcW w:w="13960" w:type="dxa"/>
            <w:vAlign w:val="top"/>
            <w:gridSpan w:val="10"/>
          </w:tcPr>
          <w:p>
            <w:pPr>
              <w:pStyle w:val="TableText"/>
              <w:ind w:left="5697"/>
              <w:spacing w:before="189" w:line="216" w:lineRule="auto"/>
              <w:rPr>
                <w:sz w:val="17"/>
                <w:szCs w:val="17"/>
              </w:rPr>
            </w:pPr>
            <w:r>
              <w:rPr>
                <w:sz w:val="17"/>
                <w:szCs w:val="17"/>
                <w:b/>
                <w:bCs/>
                <w:spacing w:val="-3"/>
              </w:rPr>
              <w:t>河南、湖北地区农药肥料使用指导</w:t>
            </w:r>
          </w:p>
          <w:p>
            <w:pPr>
              <w:pStyle w:val="TableText"/>
              <w:ind w:left="4644"/>
              <w:spacing w:line="217" w:lineRule="auto"/>
              <w:rPr>
                <w:sz w:val="17"/>
                <w:szCs w:val="17"/>
              </w:rPr>
            </w:pPr>
            <w:r>
              <w:rPr>
                <w:sz w:val="17"/>
                <w:szCs w:val="17"/>
                <w:spacing w:val="-2"/>
              </w:rPr>
              <w:t>(</w:t>
            </w:r>
            <w:r>
              <w:rPr>
                <w:sz w:val="17"/>
                <w:szCs w:val="17"/>
                <w:spacing w:val="-51"/>
              </w:rPr>
              <w:t xml:space="preserve"> </w:t>
            </w:r>
            <w:r>
              <w:rPr>
                <w:sz w:val="17"/>
                <w:szCs w:val="17"/>
                <w:b/>
                <w:bCs/>
                <w:spacing w:val="-2"/>
              </w:rPr>
              <w:t>本表中药品供参考，如有同类且成分相同、价格合理、低毒高效</w:t>
            </w:r>
            <w:r>
              <w:rPr>
                <w:sz w:val="17"/>
                <w:szCs w:val="17"/>
                <w:b/>
                <w:bCs/>
                <w:spacing w:val="-3"/>
              </w:rPr>
              <w:t>的药品，可选择使用</w:t>
            </w:r>
            <w:r>
              <w:rPr>
                <w:sz w:val="17"/>
                <w:szCs w:val="17"/>
                <w:spacing w:val="-3"/>
              </w:rPr>
              <w:t>)</w:t>
            </w:r>
          </w:p>
        </w:tc>
      </w:tr>
      <w:tr>
        <w:trPr>
          <w:trHeight w:val="629" w:hRule="atLeast"/>
        </w:trPr>
        <w:tc>
          <w:tcPr>
            <w:tcW w:w="585" w:type="dxa"/>
            <w:vAlign w:val="top"/>
          </w:tcPr>
          <w:p>
            <w:pPr>
              <w:pStyle w:val="TableText"/>
              <w:ind w:left="156"/>
              <w:spacing w:before="244" w:line="219" w:lineRule="auto"/>
              <w:rPr>
                <w:sz w:val="13"/>
                <w:szCs w:val="13"/>
              </w:rPr>
            </w:pPr>
            <w:r>
              <w:rPr>
                <w:sz w:val="13"/>
                <w:szCs w:val="13"/>
                <w:b/>
                <w:bCs/>
                <w:spacing w:val="-4"/>
              </w:rPr>
              <w:t>分类</w:t>
            </w:r>
          </w:p>
        </w:tc>
        <w:tc>
          <w:tcPr>
            <w:tcW w:w="620" w:type="dxa"/>
            <w:vAlign w:val="top"/>
          </w:tcPr>
          <w:p>
            <w:pPr>
              <w:pStyle w:val="TableText"/>
              <w:ind w:left="41"/>
              <w:spacing w:before="84" w:line="219" w:lineRule="auto"/>
              <w:rPr>
                <w:sz w:val="13"/>
                <w:szCs w:val="13"/>
              </w:rPr>
            </w:pPr>
            <w:r>
              <w:rPr>
                <w:sz w:val="13"/>
                <w:szCs w:val="13"/>
                <w:b/>
                <w:bCs/>
                <w:spacing w:val="-3"/>
              </w:rPr>
              <w:t>消杀预防</w:t>
            </w:r>
          </w:p>
          <w:p>
            <w:pPr>
              <w:pStyle w:val="TableText"/>
              <w:ind w:left="41"/>
              <w:spacing w:before="6" w:line="220" w:lineRule="auto"/>
              <w:rPr>
                <w:sz w:val="13"/>
                <w:szCs w:val="13"/>
              </w:rPr>
            </w:pPr>
            <w:r>
              <w:rPr>
                <w:sz w:val="13"/>
                <w:szCs w:val="13"/>
                <w:b/>
                <w:bCs/>
                <w:spacing w:val="-3"/>
              </w:rPr>
              <w:t>及病虫害</w:t>
            </w:r>
          </w:p>
          <w:p>
            <w:pPr>
              <w:pStyle w:val="TableText"/>
              <w:ind w:left="171"/>
              <w:spacing w:before="4" w:line="219" w:lineRule="auto"/>
              <w:rPr>
                <w:sz w:val="13"/>
                <w:szCs w:val="13"/>
              </w:rPr>
            </w:pPr>
            <w:r>
              <w:rPr>
                <w:sz w:val="13"/>
                <w:szCs w:val="13"/>
                <w:b/>
                <w:bCs/>
                <w:spacing w:val="-4"/>
              </w:rPr>
              <w:t>分类</w:t>
            </w:r>
          </w:p>
        </w:tc>
        <w:tc>
          <w:tcPr>
            <w:tcW w:w="1039" w:type="dxa"/>
            <w:vAlign w:val="top"/>
          </w:tcPr>
          <w:p>
            <w:pPr>
              <w:pStyle w:val="TableText"/>
              <w:ind w:left="181"/>
              <w:spacing w:before="244" w:line="219" w:lineRule="auto"/>
              <w:rPr>
                <w:sz w:val="13"/>
                <w:szCs w:val="13"/>
              </w:rPr>
            </w:pPr>
            <w:r>
              <w:rPr>
                <w:sz w:val="13"/>
                <w:szCs w:val="13"/>
                <w:b/>
                <w:bCs/>
                <w:spacing w:val="-3"/>
              </w:rPr>
              <w:t>常见病虫害</w:t>
            </w:r>
          </w:p>
        </w:tc>
        <w:tc>
          <w:tcPr>
            <w:tcW w:w="2798" w:type="dxa"/>
            <w:vAlign w:val="top"/>
          </w:tcPr>
          <w:p>
            <w:pPr>
              <w:pStyle w:val="TableText"/>
              <w:ind w:left="1032"/>
              <w:spacing w:before="244" w:line="219" w:lineRule="auto"/>
              <w:rPr>
                <w:sz w:val="13"/>
                <w:szCs w:val="13"/>
              </w:rPr>
            </w:pPr>
            <w:r>
              <w:rPr>
                <w:sz w:val="13"/>
                <w:szCs w:val="13"/>
                <w:b/>
                <w:bCs/>
                <w:spacing w:val="-3"/>
              </w:rPr>
              <w:t>主要发病月份</w:t>
            </w:r>
          </w:p>
        </w:tc>
        <w:tc>
          <w:tcPr>
            <w:tcW w:w="949" w:type="dxa"/>
            <w:vAlign w:val="top"/>
          </w:tcPr>
          <w:p>
            <w:pPr>
              <w:pStyle w:val="TableText"/>
              <w:ind w:left="204"/>
              <w:spacing w:before="244" w:line="220" w:lineRule="auto"/>
              <w:rPr>
                <w:sz w:val="13"/>
                <w:szCs w:val="13"/>
              </w:rPr>
            </w:pPr>
            <w:r>
              <w:rPr>
                <w:sz w:val="13"/>
                <w:szCs w:val="13"/>
                <w:b/>
                <w:bCs/>
                <w:spacing w:val="-3"/>
              </w:rPr>
              <w:t>药品名称</w:t>
            </w:r>
          </w:p>
        </w:tc>
        <w:tc>
          <w:tcPr>
            <w:tcW w:w="1909" w:type="dxa"/>
            <w:vAlign w:val="top"/>
          </w:tcPr>
          <w:p>
            <w:pPr>
              <w:pStyle w:val="TableText"/>
              <w:ind w:left="685"/>
              <w:spacing w:before="244" w:line="220" w:lineRule="auto"/>
              <w:rPr>
                <w:sz w:val="13"/>
                <w:szCs w:val="13"/>
              </w:rPr>
            </w:pPr>
            <w:r>
              <w:rPr>
                <w:sz w:val="13"/>
                <w:szCs w:val="13"/>
                <w:b/>
                <w:bCs/>
                <w:spacing w:val="-3"/>
              </w:rPr>
              <w:t>主要成分</w:t>
            </w:r>
          </w:p>
        </w:tc>
        <w:tc>
          <w:tcPr>
            <w:tcW w:w="1379" w:type="dxa"/>
            <w:vAlign w:val="top"/>
          </w:tcPr>
          <w:p>
            <w:pPr>
              <w:pStyle w:val="TableText"/>
              <w:ind w:left="426"/>
              <w:spacing w:before="244" w:line="219" w:lineRule="auto"/>
              <w:rPr>
                <w:sz w:val="13"/>
                <w:szCs w:val="13"/>
              </w:rPr>
            </w:pPr>
            <w:r>
              <w:rPr>
                <w:sz w:val="13"/>
                <w:szCs w:val="13"/>
                <w:b/>
                <w:bCs/>
                <w:spacing w:val="-3"/>
              </w:rPr>
              <w:t>使用倍率</w:t>
            </w:r>
          </w:p>
        </w:tc>
        <w:tc>
          <w:tcPr>
            <w:tcW w:w="1289" w:type="dxa"/>
            <w:vAlign w:val="top"/>
          </w:tcPr>
          <w:p>
            <w:pPr>
              <w:pStyle w:val="TableText"/>
              <w:ind w:left="377"/>
              <w:spacing w:before="244" w:line="219" w:lineRule="auto"/>
              <w:rPr>
                <w:sz w:val="13"/>
                <w:szCs w:val="13"/>
              </w:rPr>
            </w:pPr>
            <w:r>
              <w:rPr>
                <w:sz w:val="13"/>
                <w:szCs w:val="13"/>
                <w:b/>
                <w:bCs/>
                <w:spacing w:val="-3"/>
              </w:rPr>
              <w:t>施用次数</w:t>
            </w:r>
          </w:p>
        </w:tc>
        <w:tc>
          <w:tcPr>
            <w:tcW w:w="689" w:type="dxa"/>
            <w:vAlign w:val="top"/>
          </w:tcPr>
          <w:p>
            <w:pPr>
              <w:pStyle w:val="TableText"/>
              <w:ind w:left="208"/>
              <w:spacing w:before="244" w:line="219" w:lineRule="auto"/>
              <w:rPr>
                <w:sz w:val="13"/>
                <w:szCs w:val="13"/>
              </w:rPr>
            </w:pPr>
            <w:r>
              <w:rPr>
                <w:sz w:val="13"/>
                <w:szCs w:val="13"/>
                <w:b/>
                <w:bCs/>
                <w:spacing w:val="-3"/>
              </w:rPr>
              <w:t>规格</w:t>
            </w:r>
          </w:p>
        </w:tc>
        <w:tc>
          <w:tcPr>
            <w:tcW w:w="2703" w:type="dxa"/>
            <w:vAlign w:val="top"/>
          </w:tcPr>
          <w:p>
            <w:pPr>
              <w:pStyle w:val="TableText"/>
              <w:ind w:left="1239"/>
              <w:spacing w:before="245" w:line="221" w:lineRule="auto"/>
              <w:rPr>
                <w:sz w:val="13"/>
                <w:szCs w:val="13"/>
              </w:rPr>
            </w:pPr>
            <w:r>
              <w:rPr>
                <w:sz w:val="13"/>
                <w:szCs w:val="13"/>
                <w:b/>
                <w:bCs/>
                <w:spacing w:val="-4"/>
              </w:rPr>
              <w:t>备注</w:t>
            </w:r>
          </w:p>
        </w:tc>
      </w:tr>
      <w:tr>
        <w:trPr>
          <w:trHeight w:val="499" w:hRule="atLeast"/>
        </w:trPr>
        <w:tc>
          <w:tcPr>
            <w:tcW w:w="585"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84"/>
              <w:spacing w:before="42" w:line="219" w:lineRule="auto"/>
              <w:rPr>
                <w:sz w:val="13"/>
                <w:szCs w:val="13"/>
              </w:rPr>
            </w:pPr>
            <w:r>
              <w:rPr>
                <w:sz w:val="13"/>
                <w:szCs w:val="13"/>
                <w:spacing w:val="-2"/>
              </w:rPr>
              <w:t>杀菌剂</w:t>
            </w:r>
          </w:p>
        </w:tc>
        <w:tc>
          <w:tcPr>
            <w:tcW w:w="620" w:type="dxa"/>
            <w:vAlign w:val="top"/>
            <w:vMerge w:val="restart"/>
            <w:tcBorders>
              <w:bottom w:val="nil"/>
            </w:tcBorders>
          </w:tcPr>
          <w:p>
            <w:pPr>
              <w:spacing w:line="392" w:lineRule="auto"/>
              <w:rPr>
                <w:rFonts w:ascii="Arial"/>
                <w:sz w:val="21"/>
              </w:rPr>
            </w:pPr>
            <w:r/>
          </w:p>
          <w:p>
            <w:pPr>
              <w:pStyle w:val="TableText"/>
              <w:ind w:left="40"/>
              <w:spacing w:before="42" w:line="219" w:lineRule="auto"/>
              <w:rPr>
                <w:sz w:val="13"/>
                <w:szCs w:val="13"/>
              </w:rPr>
            </w:pPr>
            <w:r>
              <w:rPr>
                <w:sz w:val="13"/>
                <w:szCs w:val="13"/>
                <w:spacing w:val="-2"/>
              </w:rPr>
              <w:t>消杀预防</w:t>
            </w:r>
          </w:p>
        </w:tc>
        <w:tc>
          <w:tcPr>
            <w:tcW w:w="1039" w:type="dxa"/>
            <w:vAlign w:val="top"/>
            <w:vMerge w:val="restart"/>
            <w:tcBorders>
              <w:bottom w:val="nil"/>
            </w:tcBorders>
          </w:tcPr>
          <w:p>
            <w:pPr>
              <w:spacing w:line="313" w:lineRule="auto"/>
              <w:rPr>
                <w:rFonts w:ascii="Arial"/>
                <w:sz w:val="21"/>
              </w:rPr>
            </w:pPr>
            <w:r/>
          </w:p>
          <w:p>
            <w:pPr>
              <w:pStyle w:val="TableText"/>
              <w:ind w:left="305" w:hanging="295"/>
              <w:spacing w:before="42" w:line="225" w:lineRule="auto"/>
              <w:rPr>
                <w:sz w:val="13"/>
                <w:szCs w:val="13"/>
              </w:rPr>
            </w:pPr>
            <w:r>
              <w:rPr>
                <w:sz w:val="13"/>
                <w:szCs w:val="13"/>
                <w:spacing w:val="-3"/>
              </w:rPr>
              <w:t>全园区的菌类病菌</w:t>
            </w:r>
            <w:r>
              <w:rPr>
                <w:sz w:val="13"/>
                <w:szCs w:val="13"/>
                <w:spacing w:val="1"/>
              </w:rPr>
              <w:t xml:space="preserve"> </w:t>
            </w:r>
            <w:r>
              <w:rPr>
                <w:sz w:val="13"/>
                <w:szCs w:val="13"/>
                <w:spacing w:val="-7"/>
              </w:rPr>
              <w:t>,</w:t>
            </w:r>
            <w:r>
              <w:rPr>
                <w:sz w:val="13"/>
                <w:szCs w:val="13"/>
                <w:spacing w:val="-9"/>
              </w:rPr>
              <w:t xml:space="preserve"> </w:t>
            </w:r>
            <w:r>
              <w:rPr>
                <w:sz w:val="13"/>
                <w:szCs w:val="13"/>
                <w:spacing w:val="-7"/>
              </w:rPr>
              <w:t>虫</w:t>
            </w:r>
            <w:r>
              <w:rPr>
                <w:sz w:val="13"/>
                <w:szCs w:val="13"/>
                <w:spacing w:val="-10"/>
              </w:rPr>
              <w:t xml:space="preserve"> </w:t>
            </w:r>
            <w:r>
              <w:rPr>
                <w:sz w:val="13"/>
                <w:szCs w:val="13"/>
                <w:spacing w:val="-7"/>
              </w:rPr>
              <w:t>卵</w:t>
            </w:r>
          </w:p>
        </w:tc>
        <w:tc>
          <w:tcPr>
            <w:tcW w:w="2798" w:type="dxa"/>
            <w:vAlign w:val="top"/>
            <w:vMerge w:val="restart"/>
            <w:tcBorders>
              <w:bottom w:val="nil"/>
            </w:tcBorders>
          </w:tcPr>
          <w:p>
            <w:pPr>
              <w:spacing w:line="243" w:lineRule="auto"/>
              <w:rPr>
                <w:rFonts w:ascii="Arial"/>
                <w:sz w:val="21"/>
              </w:rPr>
            </w:pPr>
            <w:r/>
          </w:p>
          <w:p>
            <w:pPr>
              <w:pStyle w:val="TableText"/>
              <w:ind w:left="11" w:right="6"/>
              <w:spacing w:before="42" w:line="216" w:lineRule="auto"/>
              <w:rPr>
                <w:sz w:val="13"/>
                <w:szCs w:val="13"/>
              </w:rPr>
            </w:pPr>
            <w:r>
              <w:rPr>
                <w:sz w:val="13"/>
                <w:szCs w:val="13"/>
                <w:spacing w:val="-7"/>
              </w:rPr>
              <w:t>一、2月下句苗木返青前对全国区的病菌、虫卵、消</w:t>
            </w:r>
            <w:r>
              <w:rPr>
                <w:sz w:val="13"/>
                <w:szCs w:val="13"/>
                <w:spacing w:val="5"/>
              </w:rPr>
              <w:t xml:space="preserve"> </w:t>
            </w:r>
            <w:r>
              <w:rPr>
                <w:sz w:val="13"/>
                <w:szCs w:val="13"/>
              </w:rPr>
              <w:t>杀1-2次：</w:t>
            </w:r>
          </w:p>
          <w:p>
            <w:pPr>
              <w:pStyle w:val="TableText"/>
              <w:ind w:left="11"/>
              <w:spacing w:before="5" w:line="219" w:lineRule="auto"/>
              <w:rPr>
                <w:sz w:val="13"/>
                <w:szCs w:val="13"/>
              </w:rPr>
            </w:pPr>
            <w:r>
              <w:rPr>
                <w:sz w:val="13"/>
                <w:szCs w:val="13"/>
              </w:rPr>
              <w:t>三、10月下句病虫害越冬前对全区消杀1-2次。</w:t>
            </w:r>
          </w:p>
        </w:tc>
        <w:tc>
          <w:tcPr>
            <w:tcW w:w="949" w:type="dxa"/>
            <w:vAlign w:val="top"/>
          </w:tcPr>
          <w:p>
            <w:pPr>
              <w:pStyle w:val="TableText"/>
              <w:ind w:left="203"/>
              <w:spacing w:before="187" w:line="220" w:lineRule="auto"/>
              <w:rPr>
                <w:sz w:val="13"/>
                <w:szCs w:val="13"/>
              </w:rPr>
            </w:pPr>
            <w:r>
              <w:rPr>
                <w:sz w:val="13"/>
                <w:szCs w:val="13"/>
                <w:spacing w:val="-2"/>
              </w:rPr>
              <w:t>波尔多液</w:t>
            </w:r>
          </w:p>
        </w:tc>
        <w:tc>
          <w:tcPr>
            <w:tcW w:w="1909" w:type="dxa"/>
            <w:vAlign w:val="top"/>
          </w:tcPr>
          <w:p>
            <w:pPr>
              <w:pStyle w:val="TableText"/>
              <w:ind w:left="624"/>
              <w:spacing w:before="188" w:line="221" w:lineRule="auto"/>
              <w:rPr>
                <w:sz w:val="13"/>
                <w:szCs w:val="13"/>
              </w:rPr>
            </w:pPr>
            <w:r>
              <w:rPr>
                <w:sz w:val="13"/>
                <w:szCs w:val="13"/>
                <w:spacing w:val="-1"/>
              </w:rPr>
              <w:t>碱式硫酸钢</w:t>
            </w:r>
          </w:p>
        </w:tc>
        <w:tc>
          <w:tcPr>
            <w:tcW w:w="1379" w:type="dxa"/>
            <w:vAlign w:val="top"/>
          </w:tcPr>
          <w:p>
            <w:pPr>
              <w:pStyle w:val="TableText"/>
              <w:ind w:left="385"/>
              <w:spacing w:before="187" w:line="220" w:lineRule="auto"/>
              <w:rPr>
                <w:sz w:val="13"/>
                <w:szCs w:val="13"/>
              </w:rPr>
            </w:pPr>
            <w:r>
              <w:rPr>
                <w:sz w:val="13"/>
                <w:szCs w:val="13"/>
                <w:spacing w:val="-6"/>
              </w:rPr>
              <w:t>160—240倍</w:t>
            </w:r>
          </w:p>
        </w:tc>
        <w:tc>
          <w:tcPr>
            <w:tcW w:w="1289" w:type="dxa"/>
            <w:vAlign w:val="top"/>
            <w:vMerge w:val="restart"/>
            <w:tcBorders>
              <w:bottom w:val="nil"/>
            </w:tcBorders>
          </w:tcPr>
          <w:p>
            <w:pPr>
              <w:spacing w:line="396" w:lineRule="auto"/>
              <w:rPr>
                <w:rFonts w:ascii="Arial"/>
                <w:sz w:val="21"/>
              </w:rPr>
            </w:pPr>
            <w:r/>
          </w:p>
          <w:p>
            <w:pPr>
              <w:pStyle w:val="TableText"/>
              <w:ind w:left="606"/>
              <w:spacing w:before="42" w:line="224" w:lineRule="auto"/>
              <w:rPr>
                <w:sz w:val="13"/>
                <w:szCs w:val="13"/>
              </w:rPr>
            </w:pPr>
            <w:r>
              <w:rPr>
                <w:sz w:val="13"/>
                <w:szCs w:val="13"/>
                <w:color w:val="505050"/>
              </w:rPr>
              <w:t>/</w:t>
            </w:r>
          </w:p>
        </w:tc>
        <w:tc>
          <w:tcPr>
            <w:tcW w:w="689" w:type="dxa"/>
            <w:vAlign w:val="top"/>
          </w:tcPr>
          <w:p>
            <w:pPr>
              <w:pStyle w:val="TableText"/>
              <w:ind w:left="106"/>
              <w:spacing w:before="182" w:line="214" w:lineRule="auto"/>
              <w:rPr>
                <w:sz w:val="13"/>
                <w:szCs w:val="13"/>
              </w:rPr>
            </w:pPr>
            <w:r>
              <w:rPr>
                <w:sz w:val="13"/>
                <w:szCs w:val="13"/>
                <w:spacing w:val="-1"/>
              </w:rPr>
              <w:t>200g/袋</w:t>
            </w:r>
          </w:p>
        </w:tc>
        <w:tc>
          <w:tcPr>
            <w:tcW w:w="2703" w:type="dxa"/>
            <w:vAlign w:val="top"/>
          </w:tcPr>
          <w:p>
            <w:pPr>
              <w:pStyle w:val="TableText"/>
              <w:ind w:left="8"/>
              <w:spacing w:before="126" w:line="216" w:lineRule="auto"/>
              <w:rPr>
                <w:sz w:val="13"/>
                <w:szCs w:val="13"/>
              </w:rPr>
            </w:pPr>
            <w:r>
              <w:rPr>
                <w:sz w:val="13"/>
                <w:szCs w:val="13"/>
                <w:spacing w:val="-9"/>
              </w:rPr>
              <w:t>防</w:t>
            </w:r>
            <w:r>
              <w:rPr>
                <w:sz w:val="13"/>
                <w:szCs w:val="13"/>
                <w:spacing w:val="-8"/>
              </w:rPr>
              <w:t>治落叶病、炭疸病、炭拒病、霜霉病。不能与</w:t>
            </w:r>
            <w:r>
              <w:rPr>
                <w:sz w:val="13"/>
                <w:szCs w:val="13"/>
                <w:spacing w:val="-7"/>
              </w:rPr>
              <w:t>石</w:t>
            </w:r>
            <w:r>
              <w:rPr>
                <w:sz w:val="13"/>
                <w:szCs w:val="13"/>
              </w:rPr>
              <w:t xml:space="preserve"> </w:t>
            </w:r>
            <w:r>
              <w:rPr>
                <w:sz w:val="13"/>
                <w:szCs w:val="13"/>
                <w:spacing w:val="1"/>
              </w:rPr>
              <w:t>硫合剂等碱性农药混用</w:t>
            </w:r>
          </w:p>
        </w:tc>
      </w:tr>
      <w:tr>
        <w:trPr>
          <w:trHeight w:val="490"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tcBorders>
          </w:tcPr>
          <w:p>
            <w:pPr>
              <w:rPr>
                <w:rFonts w:ascii="Arial"/>
                <w:sz w:val="21"/>
              </w:rPr>
            </w:pPr>
            <w:r/>
          </w:p>
        </w:tc>
        <w:tc>
          <w:tcPr>
            <w:tcW w:w="1039" w:type="dxa"/>
            <w:vAlign w:val="top"/>
            <w:vMerge w:val="continue"/>
            <w:tcBorders>
              <w:top w:val="nil"/>
            </w:tcBorders>
          </w:tcPr>
          <w:p>
            <w:pPr>
              <w:rPr>
                <w:rFonts w:ascii="Arial"/>
                <w:sz w:val="21"/>
              </w:rPr>
            </w:pPr>
            <w:r/>
          </w:p>
        </w:tc>
        <w:tc>
          <w:tcPr>
            <w:tcW w:w="2798" w:type="dxa"/>
            <w:vAlign w:val="top"/>
            <w:vMerge w:val="continue"/>
            <w:tcBorders>
              <w:top w:val="nil"/>
            </w:tcBorders>
          </w:tcPr>
          <w:p>
            <w:pPr>
              <w:rPr>
                <w:rFonts w:ascii="Arial"/>
                <w:sz w:val="21"/>
              </w:rPr>
            </w:pPr>
            <w:r/>
          </w:p>
        </w:tc>
        <w:tc>
          <w:tcPr>
            <w:tcW w:w="949" w:type="dxa"/>
            <w:vAlign w:val="top"/>
          </w:tcPr>
          <w:p>
            <w:pPr>
              <w:pStyle w:val="TableText"/>
              <w:ind w:left="73"/>
              <w:spacing w:before="177" w:line="219" w:lineRule="auto"/>
              <w:rPr>
                <w:sz w:val="13"/>
                <w:szCs w:val="13"/>
              </w:rPr>
            </w:pPr>
            <w:r>
              <w:rPr>
                <w:sz w:val="13"/>
                <w:szCs w:val="13"/>
                <w:spacing w:val="1"/>
              </w:rPr>
              <w:t>晶体石硫合剂</w:t>
            </w:r>
          </w:p>
        </w:tc>
        <w:tc>
          <w:tcPr>
            <w:tcW w:w="1909" w:type="dxa"/>
            <w:vAlign w:val="top"/>
          </w:tcPr>
          <w:p>
            <w:pPr>
              <w:pStyle w:val="TableText"/>
              <w:ind w:left="684"/>
              <w:spacing w:before="179" w:line="221" w:lineRule="auto"/>
              <w:rPr>
                <w:sz w:val="13"/>
                <w:szCs w:val="13"/>
              </w:rPr>
            </w:pPr>
            <w:r>
              <w:rPr>
                <w:sz w:val="13"/>
                <w:szCs w:val="13"/>
                <w:spacing w:val="-3"/>
              </w:rPr>
              <w:t>多硫化钙</w:t>
            </w:r>
          </w:p>
        </w:tc>
        <w:tc>
          <w:tcPr>
            <w:tcW w:w="1379" w:type="dxa"/>
            <w:vAlign w:val="top"/>
          </w:tcPr>
          <w:p>
            <w:pPr>
              <w:pStyle w:val="TableText"/>
              <w:ind w:left="355"/>
              <w:spacing w:before="178" w:line="220" w:lineRule="auto"/>
              <w:rPr>
                <w:sz w:val="13"/>
                <w:szCs w:val="13"/>
              </w:rPr>
            </w:pPr>
            <w:r>
              <w:rPr>
                <w:sz w:val="13"/>
                <w:szCs w:val="13"/>
                <w:spacing w:val="-6"/>
              </w:rPr>
              <w:t>800—1000倍</w:t>
            </w:r>
          </w:p>
        </w:tc>
        <w:tc>
          <w:tcPr>
            <w:tcW w:w="1289" w:type="dxa"/>
            <w:vAlign w:val="top"/>
            <w:vMerge w:val="continue"/>
            <w:tcBorders>
              <w:top w:val="nil"/>
            </w:tcBorders>
          </w:tcPr>
          <w:p>
            <w:pPr>
              <w:rPr>
                <w:rFonts w:ascii="Arial"/>
                <w:sz w:val="21"/>
              </w:rPr>
            </w:pPr>
            <w:r/>
          </w:p>
        </w:tc>
        <w:tc>
          <w:tcPr>
            <w:tcW w:w="689" w:type="dxa"/>
            <w:vAlign w:val="top"/>
          </w:tcPr>
          <w:p>
            <w:pPr>
              <w:pStyle w:val="TableText"/>
              <w:ind w:left="235" w:right="169" w:hanging="89"/>
              <w:spacing w:before="113" w:line="215" w:lineRule="auto"/>
              <w:rPr>
                <w:sz w:val="13"/>
                <w:szCs w:val="13"/>
              </w:rPr>
            </w:pPr>
            <w:r>
              <w:rPr>
                <w:sz w:val="13"/>
                <w:szCs w:val="13"/>
                <w:spacing w:val="-5"/>
              </w:rPr>
              <w:t>(400g/</w:t>
            </w:r>
            <w:r>
              <w:rPr>
                <w:sz w:val="13"/>
                <w:szCs w:val="13"/>
                <w:spacing w:val="1"/>
              </w:rPr>
              <w:t xml:space="preserve"> </w:t>
            </w:r>
            <w:r>
              <w:rPr>
                <w:sz w:val="13"/>
                <w:szCs w:val="13"/>
                <w:spacing w:val="-3"/>
              </w:rPr>
              <w:t>袋</w:t>
            </w:r>
            <w:r>
              <w:rPr>
                <w:sz w:val="13"/>
                <w:szCs w:val="13"/>
                <w:spacing w:val="-21"/>
              </w:rPr>
              <w:t xml:space="preserve"> </w:t>
            </w:r>
            <w:r>
              <w:rPr>
                <w:sz w:val="13"/>
                <w:szCs w:val="13"/>
                <w:spacing w:val="-3"/>
              </w:rPr>
              <w:t>)</w:t>
            </w:r>
          </w:p>
        </w:tc>
        <w:tc>
          <w:tcPr>
            <w:tcW w:w="2703" w:type="dxa"/>
            <w:vAlign w:val="top"/>
          </w:tcPr>
          <w:p>
            <w:pPr>
              <w:pStyle w:val="TableText"/>
              <w:ind w:left="17" w:hanging="9"/>
              <w:spacing w:before="116" w:line="210" w:lineRule="auto"/>
              <w:rPr>
                <w:sz w:val="13"/>
                <w:szCs w:val="13"/>
              </w:rPr>
            </w:pPr>
            <w:r>
              <w:rPr>
                <w:sz w:val="13"/>
                <w:szCs w:val="13"/>
                <w:spacing w:val="-8"/>
              </w:rPr>
              <w:t>价格低廉、效果好、对多种病菌具有抑杀作用，园</w:t>
            </w:r>
            <w:r>
              <w:rPr>
                <w:sz w:val="13"/>
                <w:szCs w:val="13"/>
              </w:rPr>
              <w:t xml:space="preserve"> </w:t>
            </w:r>
            <w:r>
              <w:rPr>
                <w:sz w:val="13"/>
                <w:szCs w:val="13"/>
                <w:spacing w:val="2"/>
              </w:rPr>
              <w:t>区消杀使用</w:t>
            </w:r>
          </w:p>
        </w:tc>
      </w:tr>
      <w:tr>
        <w:trPr>
          <w:trHeight w:val="500" w:hRule="atLeast"/>
        </w:trPr>
        <w:tc>
          <w:tcPr>
            <w:tcW w:w="585" w:type="dxa"/>
            <w:vAlign w:val="top"/>
            <w:vMerge w:val="continue"/>
            <w:tcBorders>
              <w:top w:val="nil"/>
              <w:bottom w:val="nil"/>
            </w:tcBorders>
          </w:tcPr>
          <w:p>
            <w:pPr>
              <w:rPr>
                <w:rFonts w:ascii="Arial"/>
                <w:sz w:val="21"/>
              </w:rPr>
            </w:pPr>
            <w:r/>
          </w:p>
        </w:tc>
        <w:tc>
          <w:tcPr>
            <w:tcW w:w="620" w:type="dxa"/>
            <w:vAlign w:val="top"/>
            <w:vMerge w:val="restart"/>
            <w:tcBorders>
              <w:bottom w:val="nil"/>
            </w:tcBorders>
          </w:tcPr>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00"/>
              <w:spacing w:before="42" w:line="219" w:lineRule="auto"/>
              <w:rPr>
                <w:sz w:val="13"/>
                <w:szCs w:val="13"/>
              </w:rPr>
            </w:pPr>
            <w:r>
              <w:rPr>
                <w:sz w:val="13"/>
                <w:szCs w:val="13"/>
                <w:spacing w:val="-2"/>
              </w:rPr>
              <w:t>病菌类</w:t>
            </w:r>
          </w:p>
        </w:tc>
        <w:tc>
          <w:tcPr>
            <w:tcW w:w="1039" w:type="dxa"/>
            <w:vAlign w:val="top"/>
            <w:vMerge w:val="restart"/>
            <w:tcBorders>
              <w:bottom w:val="nil"/>
            </w:tcBorders>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spacing w:before="43" w:line="219" w:lineRule="auto"/>
              <w:jc w:val="right"/>
              <w:rPr>
                <w:sz w:val="13"/>
                <w:szCs w:val="13"/>
              </w:rPr>
            </w:pPr>
            <w:r>
              <w:rPr>
                <w:sz w:val="13"/>
                <w:szCs w:val="13"/>
                <w:spacing w:val="-4"/>
              </w:rPr>
              <w:t>炭疽病，白粉病，</w:t>
            </w:r>
          </w:p>
          <w:p>
            <w:pPr>
              <w:pStyle w:val="TableText"/>
              <w:spacing w:before="5" w:line="213" w:lineRule="auto"/>
              <w:jc w:val="right"/>
              <w:rPr>
                <w:sz w:val="13"/>
                <w:szCs w:val="13"/>
              </w:rPr>
            </w:pPr>
            <w:r>
              <w:rPr>
                <w:sz w:val="13"/>
                <w:szCs w:val="13"/>
                <w:spacing w:val="-3"/>
              </w:rPr>
              <w:t>锈病，叶枯病，叶</w:t>
            </w:r>
          </w:p>
          <w:p>
            <w:pPr>
              <w:pStyle w:val="TableText"/>
              <w:ind w:left="339"/>
              <w:spacing w:line="219" w:lineRule="auto"/>
              <w:rPr>
                <w:sz w:val="13"/>
                <w:szCs w:val="13"/>
              </w:rPr>
            </w:pPr>
            <w:r>
              <w:rPr>
                <w:sz w:val="13"/>
                <w:szCs w:val="13"/>
                <w:spacing w:val="-2"/>
              </w:rPr>
              <w:t>斑病等</w:t>
            </w:r>
          </w:p>
        </w:tc>
        <w:tc>
          <w:tcPr>
            <w:tcW w:w="2798"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
              <w:spacing w:before="42" w:line="219" w:lineRule="auto"/>
              <w:rPr>
                <w:sz w:val="13"/>
                <w:szCs w:val="13"/>
              </w:rPr>
            </w:pPr>
            <w:r>
              <w:rPr>
                <w:sz w:val="13"/>
                <w:szCs w:val="13"/>
              </w:rPr>
              <w:t>一、3月全园区预防消杀为主：</w:t>
            </w:r>
          </w:p>
          <w:p>
            <w:pPr>
              <w:pStyle w:val="TableText"/>
              <w:spacing w:before="5" w:line="219" w:lineRule="auto"/>
              <w:jc w:val="right"/>
              <w:rPr>
                <w:sz w:val="13"/>
                <w:szCs w:val="13"/>
              </w:rPr>
            </w:pPr>
            <w:r>
              <w:rPr>
                <w:sz w:val="13"/>
                <w:szCs w:val="13"/>
                <w:spacing w:val="-5"/>
              </w:rPr>
              <w:t>二、4-10月为高发期。有发现病情。及时喷药处理</w:t>
            </w:r>
          </w:p>
        </w:tc>
        <w:tc>
          <w:tcPr>
            <w:tcW w:w="949" w:type="dxa"/>
            <w:vAlign w:val="top"/>
          </w:tcPr>
          <w:p>
            <w:pPr>
              <w:pStyle w:val="TableText"/>
              <w:ind w:left="143"/>
              <w:spacing w:before="188" w:line="219" w:lineRule="auto"/>
              <w:rPr>
                <w:sz w:val="13"/>
                <w:szCs w:val="13"/>
              </w:rPr>
            </w:pPr>
            <w:r>
              <w:rPr>
                <w:sz w:val="13"/>
                <w:szCs w:val="13"/>
                <w:spacing w:val="1"/>
              </w:rPr>
              <w:t>国光三唑硐</w:t>
            </w:r>
          </w:p>
        </w:tc>
        <w:tc>
          <w:tcPr>
            <w:tcW w:w="1909" w:type="dxa"/>
            <w:vAlign w:val="top"/>
          </w:tcPr>
          <w:p>
            <w:pPr>
              <w:pStyle w:val="TableText"/>
              <w:ind w:left="654"/>
              <w:spacing w:before="189" w:line="221" w:lineRule="auto"/>
              <w:rPr>
                <w:sz w:val="13"/>
                <w:szCs w:val="13"/>
              </w:rPr>
            </w:pPr>
            <w:r>
              <w:rPr>
                <w:sz w:val="13"/>
                <w:szCs w:val="13"/>
                <w:spacing w:val="-1"/>
              </w:rPr>
              <w:t>20%三唑酮</w:t>
            </w:r>
          </w:p>
        </w:tc>
        <w:tc>
          <w:tcPr>
            <w:tcW w:w="1379" w:type="dxa"/>
            <w:vAlign w:val="top"/>
          </w:tcPr>
          <w:p>
            <w:pPr>
              <w:pStyle w:val="TableText"/>
              <w:ind w:left="195"/>
              <w:spacing w:before="188" w:line="219" w:lineRule="auto"/>
              <w:rPr>
                <w:sz w:val="13"/>
                <w:szCs w:val="13"/>
              </w:rPr>
            </w:pPr>
            <w:r>
              <w:rPr>
                <w:sz w:val="13"/>
                <w:szCs w:val="13"/>
                <w:spacing w:val="-1"/>
              </w:rPr>
              <w:t>稀释1500-2000倍</w:t>
            </w:r>
          </w:p>
        </w:tc>
        <w:tc>
          <w:tcPr>
            <w:tcW w:w="1289" w:type="dxa"/>
            <w:vAlign w:val="top"/>
            <w:vMerge w:val="restart"/>
            <w:tcBorders>
              <w:bottom w:val="nil"/>
            </w:tcBorders>
          </w:tcPr>
          <w:p>
            <w:pPr>
              <w:spacing w:line="323" w:lineRule="auto"/>
              <w:rPr>
                <w:rFonts w:ascii="Arial"/>
                <w:sz w:val="21"/>
              </w:rPr>
            </w:pPr>
            <w:r/>
          </w:p>
          <w:p>
            <w:pPr>
              <w:pStyle w:val="TableText"/>
              <w:ind w:left="444" w:hanging="428"/>
              <w:spacing w:before="42" w:line="210" w:lineRule="auto"/>
              <w:rPr>
                <w:sz w:val="13"/>
                <w:szCs w:val="13"/>
              </w:rPr>
            </w:pPr>
            <w:r>
              <w:rPr>
                <w:sz w:val="13"/>
                <w:szCs w:val="13"/>
                <w:spacing w:val="-4"/>
              </w:rPr>
              <w:t>一般用3次，时间间隔7</w:t>
            </w:r>
            <w:r>
              <w:rPr>
                <w:sz w:val="13"/>
                <w:szCs w:val="13"/>
                <w:spacing w:val="5"/>
              </w:rPr>
              <w:t xml:space="preserve"> </w:t>
            </w:r>
            <w:r>
              <w:rPr>
                <w:sz w:val="13"/>
                <w:szCs w:val="13"/>
                <w:spacing w:val="-2"/>
              </w:rPr>
              <w:t>到10天</w:t>
            </w:r>
          </w:p>
        </w:tc>
        <w:tc>
          <w:tcPr>
            <w:tcW w:w="689" w:type="dxa"/>
            <w:vAlign w:val="top"/>
          </w:tcPr>
          <w:p>
            <w:pPr>
              <w:pStyle w:val="TableText"/>
              <w:ind w:left="77"/>
              <w:spacing w:before="189" w:line="221" w:lineRule="auto"/>
              <w:rPr>
                <w:sz w:val="13"/>
                <w:szCs w:val="13"/>
              </w:rPr>
            </w:pPr>
            <w:r>
              <w:rPr>
                <w:sz w:val="13"/>
                <w:szCs w:val="13"/>
                <w:spacing w:val="-1"/>
              </w:rPr>
              <w:t>200ml/瓶</w:t>
            </w:r>
          </w:p>
        </w:tc>
        <w:tc>
          <w:tcPr>
            <w:tcW w:w="2703" w:type="dxa"/>
            <w:vAlign w:val="top"/>
          </w:tcPr>
          <w:p>
            <w:pPr>
              <w:pStyle w:val="TableText"/>
              <w:ind w:left="8"/>
              <w:spacing w:before="188" w:line="219" w:lineRule="auto"/>
              <w:rPr>
                <w:sz w:val="13"/>
                <w:szCs w:val="13"/>
              </w:rPr>
            </w:pPr>
            <w:r>
              <w:rPr>
                <w:sz w:val="13"/>
                <w:szCs w:val="13"/>
                <w:spacing w:val="-2"/>
              </w:rPr>
              <w:t>防治白粉病、锈病等</w:t>
            </w:r>
          </w:p>
        </w:tc>
      </w:tr>
      <w:tr>
        <w:trPr>
          <w:trHeight w:val="469"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143"/>
              <w:spacing w:before="168" w:line="220" w:lineRule="auto"/>
              <w:rPr>
                <w:sz w:val="13"/>
                <w:szCs w:val="13"/>
              </w:rPr>
            </w:pPr>
            <w:r>
              <w:rPr>
                <w:sz w:val="13"/>
                <w:szCs w:val="13"/>
                <w:spacing w:val="1"/>
              </w:rPr>
              <w:t>中威乐翻天</w:t>
            </w:r>
          </w:p>
        </w:tc>
        <w:tc>
          <w:tcPr>
            <w:tcW w:w="1909" w:type="dxa"/>
            <w:vAlign w:val="top"/>
          </w:tcPr>
          <w:p>
            <w:pPr>
              <w:pStyle w:val="TableText"/>
              <w:ind w:left="654"/>
              <w:spacing w:before="168" w:line="220" w:lineRule="auto"/>
              <w:rPr>
                <w:sz w:val="13"/>
                <w:szCs w:val="13"/>
              </w:rPr>
            </w:pPr>
            <w:r>
              <w:rPr>
                <w:sz w:val="13"/>
                <w:szCs w:val="13"/>
                <w:spacing w:val="-1"/>
              </w:rPr>
              <w:t>戊唑醇20%</w:t>
            </w:r>
          </w:p>
        </w:tc>
        <w:tc>
          <w:tcPr>
            <w:tcW w:w="1379" w:type="dxa"/>
            <w:vAlign w:val="top"/>
          </w:tcPr>
          <w:p>
            <w:pPr>
              <w:pStyle w:val="TableText"/>
              <w:ind w:left="355"/>
              <w:spacing w:before="168" w:line="220" w:lineRule="auto"/>
              <w:rPr>
                <w:sz w:val="13"/>
                <w:szCs w:val="13"/>
              </w:rPr>
            </w:pPr>
            <w:r>
              <w:rPr>
                <w:sz w:val="13"/>
                <w:szCs w:val="13"/>
                <w:spacing w:val="-2"/>
              </w:rPr>
              <w:t>1000-1500倍液</w:t>
            </w:r>
          </w:p>
        </w:tc>
        <w:tc>
          <w:tcPr>
            <w:tcW w:w="1289" w:type="dxa"/>
            <w:vAlign w:val="top"/>
            <w:vMerge w:val="continue"/>
            <w:tcBorders>
              <w:top w:val="nil"/>
            </w:tcBorders>
          </w:tcPr>
          <w:p>
            <w:pPr>
              <w:rPr>
                <w:rFonts w:ascii="Arial"/>
                <w:sz w:val="21"/>
              </w:rPr>
            </w:pPr>
            <w:r/>
          </w:p>
        </w:tc>
        <w:tc>
          <w:tcPr>
            <w:tcW w:w="689" w:type="dxa"/>
            <w:vAlign w:val="top"/>
          </w:tcPr>
          <w:p>
            <w:pPr>
              <w:pStyle w:val="TableText"/>
              <w:ind w:left="77"/>
              <w:spacing w:before="163" w:line="214" w:lineRule="auto"/>
              <w:rPr>
                <w:sz w:val="13"/>
                <w:szCs w:val="13"/>
              </w:rPr>
            </w:pPr>
            <w:r>
              <w:rPr>
                <w:sz w:val="13"/>
                <w:szCs w:val="13"/>
                <w:spacing w:val="4"/>
              </w:rPr>
              <w:t>(20g/袋)</w:t>
            </w:r>
          </w:p>
        </w:tc>
        <w:tc>
          <w:tcPr>
            <w:tcW w:w="2703" w:type="dxa"/>
            <w:vAlign w:val="top"/>
          </w:tcPr>
          <w:p>
            <w:pPr>
              <w:pStyle w:val="TableText"/>
              <w:ind w:left="8"/>
              <w:spacing w:before="168" w:line="219" w:lineRule="auto"/>
              <w:rPr>
                <w:sz w:val="13"/>
                <w:szCs w:val="13"/>
              </w:rPr>
            </w:pPr>
            <w:r>
              <w:rPr>
                <w:sz w:val="13"/>
                <w:szCs w:val="13"/>
              </w:rPr>
              <w:t>防治草坪白粉病、锈病</w:t>
            </w:r>
          </w:p>
        </w:tc>
      </w:tr>
      <w:tr>
        <w:trPr>
          <w:trHeight w:val="490"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143"/>
              <w:spacing w:before="119" w:line="219" w:lineRule="auto"/>
              <w:rPr>
                <w:sz w:val="13"/>
                <w:szCs w:val="13"/>
              </w:rPr>
            </w:pPr>
            <w:r>
              <w:rPr>
                <w:sz w:val="13"/>
                <w:szCs w:val="13"/>
                <w:spacing w:val="1"/>
              </w:rPr>
              <w:t>国光多菌灵</w:t>
            </w:r>
          </w:p>
          <w:p>
            <w:pPr>
              <w:pStyle w:val="TableText"/>
              <w:ind w:left="332"/>
              <w:spacing w:before="6" w:line="220" w:lineRule="auto"/>
              <w:rPr>
                <w:sz w:val="13"/>
                <w:szCs w:val="13"/>
              </w:rPr>
            </w:pPr>
            <w:r>
              <w:rPr>
                <w:sz w:val="13"/>
                <w:szCs w:val="13"/>
                <w:spacing w:val="9"/>
              </w:rPr>
              <w:t>(中)</w:t>
            </w:r>
          </w:p>
        </w:tc>
        <w:tc>
          <w:tcPr>
            <w:tcW w:w="1909" w:type="dxa"/>
            <w:vAlign w:val="top"/>
          </w:tcPr>
          <w:p>
            <w:pPr>
              <w:pStyle w:val="TableText"/>
              <w:ind w:left="654"/>
              <w:spacing w:before="179" w:line="219" w:lineRule="auto"/>
              <w:rPr>
                <w:sz w:val="13"/>
                <w:szCs w:val="13"/>
              </w:rPr>
            </w:pPr>
            <w:r>
              <w:rPr>
                <w:sz w:val="13"/>
                <w:szCs w:val="13"/>
                <w:spacing w:val="-1"/>
              </w:rPr>
              <w:t>50%多菌灵</w:t>
            </w:r>
          </w:p>
        </w:tc>
        <w:tc>
          <w:tcPr>
            <w:tcW w:w="1379" w:type="dxa"/>
            <w:vAlign w:val="top"/>
          </w:tcPr>
          <w:p>
            <w:pPr>
              <w:pStyle w:val="TableText"/>
              <w:ind w:left="165"/>
              <w:spacing w:before="179" w:line="219" w:lineRule="auto"/>
              <w:rPr>
                <w:sz w:val="13"/>
                <w:szCs w:val="13"/>
              </w:rPr>
            </w:pPr>
            <w:r>
              <w:rPr>
                <w:sz w:val="13"/>
                <w:szCs w:val="13"/>
                <w:spacing w:val="-1"/>
              </w:rPr>
              <w:t>稀释600-1000倍液</w:t>
            </w:r>
          </w:p>
        </w:tc>
        <w:tc>
          <w:tcPr>
            <w:tcW w:w="1289" w:type="dxa"/>
            <w:vAlign w:val="top"/>
            <w:vMerge w:val="restart"/>
            <w:tcBorders>
              <w:bottom w:val="nil"/>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444" w:hanging="428"/>
              <w:spacing w:before="42" w:line="230" w:lineRule="auto"/>
              <w:rPr>
                <w:sz w:val="13"/>
                <w:szCs w:val="13"/>
              </w:rPr>
            </w:pPr>
            <w:r>
              <w:rPr>
                <w:sz w:val="13"/>
                <w:szCs w:val="13"/>
                <w:spacing w:val="-4"/>
              </w:rPr>
              <w:t>一般用3次，时间间隔7</w:t>
            </w:r>
            <w:r>
              <w:rPr>
                <w:sz w:val="13"/>
                <w:szCs w:val="13"/>
                <w:spacing w:val="5"/>
              </w:rPr>
              <w:t xml:space="preserve"> </w:t>
            </w:r>
            <w:r>
              <w:rPr>
                <w:sz w:val="13"/>
                <w:szCs w:val="13"/>
                <w:spacing w:val="-2"/>
              </w:rPr>
              <w:t>到10天</w:t>
            </w:r>
          </w:p>
        </w:tc>
        <w:tc>
          <w:tcPr>
            <w:tcW w:w="689" w:type="dxa"/>
            <w:vAlign w:val="top"/>
          </w:tcPr>
          <w:p>
            <w:pPr>
              <w:pStyle w:val="TableText"/>
              <w:ind w:left="235" w:right="169" w:hanging="89"/>
              <w:spacing w:before="115" w:line="239" w:lineRule="auto"/>
              <w:rPr>
                <w:sz w:val="13"/>
                <w:szCs w:val="13"/>
              </w:rPr>
            </w:pPr>
            <w:r>
              <w:rPr>
                <w:sz w:val="13"/>
                <w:szCs w:val="13"/>
                <w:spacing w:val="-5"/>
              </w:rPr>
              <w:t>(100g/</w:t>
            </w:r>
            <w:r>
              <w:rPr>
                <w:sz w:val="13"/>
                <w:szCs w:val="13"/>
                <w:spacing w:val="1"/>
              </w:rPr>
              <w:t xml:space="preserve"> </w:t>
            </w:r>
            <w:r>
              <w:rPr>
                <w:sz w:val="13"/>
                <w:szCs w:val="13"/>
                <w:spacing w:val="-3"/>
              </w:rPr>
              <w:t>袋</w:t>
            </w:r>
            <w:r>
              <w:rPr>
                <w:sz w:val="13"/>
                <w:szCs w:val="13"/>
                <w:spacing w:val="-21"/>
              </w:rPr>
              <w:t xml:space="preserve"> </w:t>
            </w:r>
            <w:r>
              <w:rPr>
                <w:sz w:val="13"/>
                <w:szCs w:val="13"/>
                <w:spacing w:val="-3"/>
              </w:rPr>
              <w:t>)</w:t>
            </w:r>
          </w:p>
        </w:tc>
        <w:tc>
          <w:tcPr>
            <w:tcW w:w="2703" w:type="dxa"/>
            <w:vAlign w:val="top"/>
          </w:tcPr>
          <w:p>
            <w:pPr>
              <w:pStyle w:val="TableText"/>
              <w:ind w:left="8"/>
              <w:spacing w:before="178" w:line="219" w:lineRule="auto"/>
              <w:rPr>
                <w:sz w:val="13"/>
                <w:szCs w:val="13"/>
              </w:rPr>
            </w:pPr>
            <w:r>
              <w:rPr>
                <w:sz w:val="13"/>
                <w:szCs w:val="13"/>
                <w:spacing w:val="-1"/>
              </w:rPr>
              <w:t>广谱性杀菌剂</w:t>
            </w:r>
          </w:p>
        </w:tc>
      </w:tr>
      <w:tr>
        <w:trPr>
          <w:trHeight w:val="490"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332"/>
              <w:spacing w:before="179" w:line="219" w:lineRule="auto"/>
              <w:rPr>
                <w:sz w:val="13"/>
                <w:szCs w:val="13"/>
              </w:rPr>
            </w:pPr>
            <w:r>
              <w:rPr>
                <w:sz w:val="13"/>
                <w:szCs w:val="13"/>
                <w:spacing w:val="-2"/>
              </w:rPr>
              <w:t>绿杀</w:t>
            </w:r>
          </w:p>
        </w:tc>
        <w:tc>
          <w:tcPr>
            <w:tcW w:w="1909" w:type="dxa"/>
            <w:vAlign w:val="top"/>
          </w:tcPr>
          <w:p>
            <w:pPr>
              <w:pStyle w:val="TableText"/>
              <w:ind w:left="524"/>
              <w:spacing w:before="179" w:line="220" w:lineRule="auto"/>
              <w:rPr>
                <w:sz w:val="13"/>
                <w:szCs w:val="13"/>
              </w:rPr>
            </w:pPr>
            <w:r>
              <w:rPr>
                <w:sz w:val="13"/>
                <w:szCs w:val="13"/>
                <w:spacing w:val="-8"/>
              </w:rPr>
              <w:t>58%甲霜</w:t>
            </w:r>
            <w:r>
              <w:rPr>
                <w:sz w:val="13"/>
                <w:szCs w:val="13"/>
                <w:spacing w:val="-10"/>
              </w:rPr>
              <w:t xml:space="preserve"> </w:t>
            </w:r>
            <w:r>
              <w:rPr>
                <w:sz w:val="13"/>
                <w:szCs w:val="13"/>
                <w:spacing w:val="-8"/>
              </w:rPr>
              <w:t>·锰锌</w:t>
            </w:r>
          </w:p>
        </w:tc>
        <w:tc>
          <w:tcPr>
            <w:tcW w:w="1379" w:type="dxa"/>
            <w:vAlign w:val="top"/>
          </w:tcPr>
          <w:p>
            <w:pPr>
              <w:pStyle w:val="TableText"/>
              <w:ind w:left="255"/>
              <w:spacing w:before="179" w:line="219" w:lineRule="auto"/>
              <w:rPr>
                <w:sz w:val="13"/>
                <w:szCs w:val="13"/>
              </w:rPr>
            </w:pPr>
            <w:r>
              <w:rPr>
                <w:sz w:val="13"/>
                <w:szCs w:val="13"/>
                <w:spacing w:val="-1"/>
              </w:rPr>
              <w:t>稀释400-600倍</w:t>
            </w:r>
          </w:p>
        </w:tc>
        <w:tc>
          <w:tcPr>
            <w:tcW w:w="1289" w:type="dxa"/>
            <w:vAlign w:val="top"/>
            <w:vMerge w:val="continue"/>
            <w:tcBorders>
              <w:top w:val="nil"/>
              <w:bottom w:val="nil"/>
            </w:tcBorders>
          </w:tcPr>
          <w:p>
            <w:pPr>
              <w:rPr>
                <w:rFonts w:ascii="Arial"/>
                <w:sz w:val="21"/>
              </w:rPr>
            </w:pPr>
            <w:r/>
          </w:p>
        </w:tc>
        <w:tc>
          <w:tcPr>
            <w:tcW w:w="689" w:type="dxa"/>
            <w:vAlign w:val="top"/>
          </w:tcPr>
          <w:p>
            <w:pPr>
              <w:pStyle w:val="TableText"/>
              <w:ind w:left="77"/>
              <w:spacing w:before="174" w:line="214" w:lineRule="auto"/>
              <w:rPr>
                <w:sz w:val="13"/>
                <w:szCs w:val="13"/>
              </w:rPr>
            </w:pPr>
            <w:r>
              <w:rPr>
                <w:sz w:val="13"/>
                <w:szCs w:val="13"/>
                <w:spacing w:val="-1"/>
              </w:rPr>
              <w:t>500kg/袋</w:t>
            </w:r>
          </w:p>
        </w:tc>
        <w:tc>
          <w:tcPr>
            <w:tcW w:w="2703" w:type="dxa"/>
            <w:vAlign w:val="top"/>
          </w:tcPr>
          <w:p>
            <w:pPr>
              <w:pStyle w:val="TableText"/>
              <w:spacing w:before="179" w:line="219" w:lineRule="auto"/>
              <w:jc w:val="right"/>
              <w:rPr>
                <w:sz w:val="13"/>
                <w:szCs w:val="13"/>
              </w:rPr>
            </w:pPr>
            <w:r>
              <w:rPr>
                <w:sz w:val="13"/>
                <w:szCs w:val="13"/>
                <w:spacing w:val="-3"/>
              </w:rPr>
              <w:t>防治冷季性草坪的腐霉枯萎病，白粉病，锈病等</w:t>
            </w:r>
          </w:p>
        </w:tc>
      </w:tr>
      <w:tr>
        <w:trPr>
          <w:trHeight w:val="499"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13"/>
              <w:spacing w:before="189" w:line="219" w:lineRule="auto"/>
              <w:rPr>
                <w:sz w:val="13"/>
                <w:szCs w:val="13"/>
              </w:rPr>
            </w:pPr>
            <w:r>
              <w:rPr>
                <w:sz w:val="13"/>
                <w:szCs w:val="13"/>
                <w:spacing w:val="-2"/>
              </w:rPr>
              <w:t>阿西米达悬浮液</w:t>
            </w:r>
          </w:p>
        </w:tc>
        <w:tc>
          <w:tcPr>
            <w:tcW w:w="1909" w:type="dxa"/>
            <w:vAlign w:val="top"/>
          </w:tcPr>
          <w:p>
            <w:pPr>
              <w:pStyle w:val="TableText"/>
              <w:ind w:left="754"/>
              <w:spacing w:before="189" w:line="219" w:lineRule="auto"/>
              <w:rPr>
                <w:sz w:val="13"/>
                <w:szCs w:val="13"/>
              </w:rPr>
            </w:pPr>
            <w:r>
              <w:rPr>
                <w:sz w:val="13"/>
                <w:szCs w:val="13"/>
                <w:spacing w:val="-3"/>
              </w:rPr>
              <w:t>嘧菌酯</w:t>
            </w:r>
          </w:p>
        </w:tc>
        <w:tc>
          <w:tcPr>
            <w:tcW w:w="1379" w:type="dxa"/>
            <w:vAlign w:val="top"/>
          </w:tcPr>
          <w:p>
            <w:pPr>
              <w:pStyle w:val="TableText"/>
              <w:ind w:left="334" w:right="110" w:hanging="239"/>
              <w:spacing w:before="119" w:line="217" w:lineRule="auto"/>
              <w:rPr>
                <w:sz w:val="13"/>
                <w:szCs w:val="13"/>
              </w:rPr>
            </w:pPr>
            <w:r>
              <w:rPr>
                <w:sz w:val="13"/>
                <w:szCs w:val="13"/>
                <w:spacing w:val="-1"/>
              </w:rPr>
              <w:t>25M阿西米达悬浮液1</w:t>
            </w:r>
            <w:r>
              <w:rPr>
                <w:sz w:val="13"/>
                <w:szCs w:val="13"/>
                <w:spacing w:val="3"/>
              </w:rPr>
              <w:t xml:space="preserve"> </w:t>
            </w:r>
            <w:r>
              <w:rPr>
                <w:sz w:val="13"/>
                <w:szCs w:val="13"/>
                <w:spacing w:val="-1"/>
              </w:rPr>
              <w:t>200-1500倍液</w:t>
            </w:r>
          </w:p>
        </w:tc>
        <w:tc>
          <w:tcPr>
            <w:tcW w:w="1289" w:type="dxa"/>
            <w:vAlign w:val="top"/>
            <w:vMerge w:val="continue"/>
            <w:tcBorders>
              <w:top w:val="nil"/>
              <w:bottom w:val="nil"/>
            </w:tcBorders>
          </w:tcPr>
          <w:p>
            <w:pPr>
              <w:rPr>
                <w:rFonts w:ascii="Arial"/>
                <w:sz w:val="21"/>
              </w:rPr>
            </w:pPr>
            <w:r/>
          </w:p>
        </w:tc>
        <w:tc>
          <w:tcPr>
            <w:tcW w:w="689" w:type="dxa"/>
            <w:vAlign w:val="top"/>
          </w:tcPr>
          <w:p>
            <w:pPr>
              <w:pStyle w:val="TableText"/>
              <w:ind w:left="176"/>
              <w:spacing w:before="190" w:line="221" w:lineRule="auto"/>
              <w:rPr>
                <w:sz w:val="13"/>
                <w:szCs w:val="13"/>
              </w:rPr>
            </w:pPr>
            <w:r>
              <w:rPr>
                <w:sz w:val="13"/>
                <w:szCs w:val="13"/>
                <w:spacing w:val="-3"/>
              </w:rPr>
              <w:t>11/瓶</w:t>
            </w:r>
          </w:p>
        </w:tc>
        <w:tc>
          <w:tcPr>
            <w:tcW w:w="2703" w:type="dxa"/>
            <w:vAlign w:val="top"/>
          </w:tcPr>
          <w:p>
            <w:pPr>
              <w:pStyle w:val="TableText"/>
              <w:ind w:left="8"/>
              <w:spacing w:before="109" w:line="230" w:lineRule="auto"/>
              <w:rPr>
                <w:sz w:val="13"/>
                <w:szCs w:val="13"/>
              </w:rPr>
            </w:pPr>
            <w:r>
              <w:rPr>
                <w:sz w:val="13"/>
                <w:szCs w:val="13"/>
                <w:spacing w:val="-8"/>
              </w:rPr>
              <w:t>广谱杀菌，对四大类致病真菌，天然低毒安全无公</w:t>
            </w:r>
            <w:r>
              <w:rPr>
                <w:sz w:val="13"/>
                <w:szCs w:val="13"/>
              </w:rPr>
              <w:t xml:space="preserve"> </w:t>
            </w:r>
            <w:r>
              <w:rPr>
                <w:sz w:val="13"/>
                <w:szCs w:val="13"/>
              </w:rPr>
              <w:t>害</w:t>
            </w:r>
          </w:p>
        </w:tc>
      </w:tr>
      <w:tr>
        <w:trPr>
          <w:trHeight w:val="489"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13"/>
              <w:spacing w:before="180" w:line="219" w:lineRule="auto"/>
              <w:rPr>
                <w:sz w:val="13"/>
                <w:szCs w:val="13"/>
              </w:rPr>
            </w:pPr>
            <w:r>
              <w:rPr>
                <w:sz w:val="13"/>
                <w:szCs w:val="13"/>
                <w:spacing w:val="1"/>
              </w:rPr>
              <w:t>国光甲基硫菌灵</w:t>
            </w:r>
          </w:p>
        </w:tc>
        <w:tc>
          <w:tcPr>
            <w:tcW w:w="1909" w:type="dxa"/>
            <w:vAlign w:val="top"/>
          </w:tcPr>
          <w:p>
            <w:pPr>
              <w:pStyle w:val="TableText"/>
              <w:ind w:left="524"/>
              <w:spacing w:before="180" w:line="219" w:lineRule="auto"/>
              <w:rPr>
                <w:sz w:val="13"/>
                <w:szCs w:val="13"/>
              </w:rPr>
            </w:pPr>
            <w:r>
              <w:rPr>
                <w:sz w:val="13"/>
                <w:szCs w:val="13"/>
                <w:spacing w:val="-1"/>
              </w:rPr>
              <w:t>70%甲基疏菌灵</w:t>
            </w:r>
          </w:p>
        </w:tc>
        <w:tc>
          <w:tcPr>
            <w:tcW w:w="1379" w:type="dxa"/>
            <w:vAlign w:val="top"/>
          </w:tcPr>
          <w:p>
            <w:pPr>
              <w:pStyle w:val="TableText"/>
              <w:ind w:left="165"/>
              <w:spacing w:before="180" w:line="219" w:lineRule="auto"/>
              <w:rPr>
                <w:sz w:val="13"/>
                <w:szCs w:val="13"/>
              </w:rPr>
            </w:pPr>
            <w:r>
              <w:rPr>
                <w:sz w:val="13"/>
                <w:szCs w:val="13"/>
                <w:spacing w:val="-1"/>
              </w:rPr>
              <w:t>稀释600-1000倍液</w:t>
            </w:r>
          </w:p>
        </w:tc>
        <w:tc>
          <w:tcPr>
            <w:tcW w:w="1289" w:type="dxa"/>
            <w:vAlign w:val="top"/>
            <w:vMerge w:val="continue"/>
            <w:tcBorders>
              <w:top w:val="nil"/>
            </w:tcBorders>
          </w:tcPr>
          <w:p>
            <w:pPr>
              <w:rPr>
                <w:rFonts w:ascii="Arial"/>
                <w:sz w:val="21"/>
              </w:rPr>
            </w:pPr>
            <w:r/>
          </w:p>
        </w:tc>
        <w:tc>
          <w:tcPr>
            <w:tcW w:w="689" w:type="dxa"/>
            <w:vAlign w:val="top"/>
          </w:tcPr>
          <w:p>
            <w:pPr>
              <w:pStyle w:val="TableText"/>
              <w:ind w:left="146"/>
              <w:spacing w:before="175" w:line="214" w:lineRule="auto"/>
              <w:rPr>
                <w:sz w:val="13"/>
                <w:szCs w:val="13"/>
              </w:rPr>
            </w:pPr>
            <w:r>
              <w:rPr>
                <w:sz w:val="13"/>
                <w:szCs w:val="13"/>
                <w:spacing w:val="-3"/>
              </w:rPr>
              <w:t>lkg/袋</w:t>
            </w:r>
          </w:p>
        </w:tc>
        <w:tc>
          <w:tcPr>
            <w:tcW w:w="2703" w:type="dxa"/>
            <w:vAlign w:val="top"/>
          </w:tcPr>
          <w:p>
            <w:pPr>
              <w:pStyle w:val="TableText"/>
              <w:ind w:left="8"/>
              <w:spacing w:before="179" w:line="219" w:lineRule="auto"/>
              <w:rPr>
                <w:sz w:val="13"/>
                <w:szCs w:val="13"/>
              </w:rPr>
            </w:pPr>
            <w:r>
              <w:rPr>
                <w:sz w:val="13"/>
                <w:szCs w:val="13"/>
              </w:rPr>
              <w:t>内吸，广谱高效杀菌剂</w:t>
            </w:r>
          </w:p>
        </w:tc>
      </w:tr>
      <w:tr>
        <w:trPr>
          <w:trHeight w:val="499"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103"/>
              <w:spacing w:before="111" w:line="219" w:lineRule="auto"/>
              <w:rPr>
                <w:sz w:val="13"/>
                <w:szCs w:val="13"/>
              </w:rPr>
            </w:pPr>
            <w:r>
              <w:rPr>
                <w:sz w:val="13"/>
                <w:szCs w:val="13"/>
                <w:spacing w:val="-1"/>
              </w:rPr>
              <w:t>特克多(噻菌</w:t>
            </w:r>
          </w:p>
          <w:p>
            <w:pPr>
              <w:pStyle w:val="TableText"/>
              <w:ind w:left="362"/>
              <w:spacing w:before="17" w:line="221" w:lineRule="auto"/>
              <w:rPr>
                <w:sz w:val="13"/>
                <w:szCs w:val="13"/>
              </w:rPr>
            </w:pPr>
            <w:r>
              <w:rPr>
                <w:sz w:val="13"/>
                <w:szCs w:val="13"/>
                <w:spacing w:val="-4"/>
              </w:rPr>
              <w:t>灵</w:t>
            </w:r>
            <w:r>
              <w:rPr>
                <w:sz w:val="13"/>
                <w:szCs w:val="13"/>
                <w:spacing w:val="-19"/>
              </w:rPr>
              <w:t xml:space="preserve"> </w:t>
            </w:r>
            <w:r>
              <w:rPr>
                <w:sz w:val="13"/>
                <w:szCs w:val="13"/>
                <w:spacing w:val="-4"/>
              </w:rPr>
              <w:t>)</w:t>
            </w:r>
          </w:p>
        </w:tc>
        <w:tc>
          <w:tcPr>
            <w:tcW w:w="1909" w:type="dxa"/>
            <w:vAlign w:val="top"/>
          </w:tcPr>
          <w:p>
            <w:pPr>
              <w:pStyle w:val="TableText"/>
              <w:ind w:left="684"/>
              <w:spacing w:before="190" w:line="219" w:lineRule="auto"/>
              <w:rPr>
                <w:sz w:val="13"/>
                <w:szCs w:val="13"/>
              </w:rPr>
            </w:pPr>
            <w:r>
              <w:rPr>
                <w:sz w:val="13"/>
                <w:szCs w:val="13"/>
                <w:spacing w:val="-2"/>
              </w:rPr>
              <w:t>苯味唑类</w:t>
            </w:r>
          </w:p>
        </w:tc>
        <w:tc>
          <w:tcPr>
            <w:tcW w:w="1379" w:type="dxa"/>
            <w:vAlign w:val="top"/>
          </w:tcPr>
          <w:p>
            <w:pPr>
              <w:pStyle w:val="TableText"/>
              <w:ind w:right="8"/>
              <w:spacing w:before="190" w:line="219" w:lineRule="auto"/>
              <w:jc w:val="right"/>
              <w:rPr>
                <w:sz w:val="13"/>
                <w:szCs w:val="13"/>
              </w:rPr>
            </w:pPr>
            <w:r>
              <w:rPr>
                <w:sz w:val="13"/>
                <w:szCs w:val="13"/>
                <w:spacing w:val="-1"/>
              </w:rPr>
              <w:t>45%悬浮剂600-800倍</w:t>
            </w:r>
          </w:p>
        </w:tc>
        <w:tc>
          <w:tcPr>
            <w:tcW w:w="1289" w:type="dxa"/>
            <w:vAlign w:val="top"/>
            <w:vMerge w:val="restart"/>
            <w:tcBorders>
              <w:bottom w:val="nil"/>
            </w:tcBorders>
          </w:tcPr>
          <w:p>
            <w:pPr>
              <w:spacing w:line="317" w:lineRule="auto"/>
              <w:rPr>
                <w:rFonts w:ascii="Arial"/>
                <w:sz w:val="21"/>
              </w:rPr>
            </w:pPr>
            <w:r/>
          </w:p>
          <w:p>
            <w:pPr>
              <w:pStyle w:val="TableText"/>
              <w:ind w:left="468" w:hanging="452"/>
              <w:spacing w:before="42" w:line="229" w:lineRule="auto"/>
              <w:rPr>
                <w:sz w:val="13"/>
                <w:szCs w:val="13"/>
              </w:rPr>
            </w:pPr>
            <w:r>
              <w:rPr>
                <w:sz w:val="13"/>
                <w:szCs w:val="13"/>
                <w:spacing w:val="-3"/>
              </w:rPr>
              <w:t>间隔10-15天1次，连喷</w:t>
            </w:r>
            <w:r>
              <w:rPr>
                <w:sz w:val="13"/>
                <w:szCs w:val="13"/>
              </w:rPr>
              <w:t xml:space="preserve"> </w:t>
            </w:r>
            <w:r>
              <w:rPr>
                <w:sz w:val="13"/>
                <w:szCs w:val="13"/>
                <w:spacing w:val="-3"/>
              </w:rPr>
              <w:t>2-3次</w:t>
            </w:r>
          </w:p>
        </w:tc>
        <w:tc>
          <w:tcPr>
            <w:tcW w:w="689" w:type="dxa"/>
            <w:vAlign w:val="top"/>
          </w:tcPr>
          <w:p>
            <w:pPr>
              <w:pStyle w:val="TableText"/>
              <w:ind w:left="77"/>
              <w:spacing w:before="192" w:line="221" w:lineRule="auto"/>
              <w:rPr>
                <w:sz w:val="13"/>
                <w:szCs w:val="13"/>
              </w:rPr>
            </w:pPr>
            <w:r>
              <w:rPr>
                <w:sz w:val="13"/>
                <w:szCs w:val="13"/>
                <w:spacing w:val="-2"/>
              </w:rPr>
              <w:t>100ml/瓶</w:t>
            </w:r>
          </w:p>
        </w:tc>
        <w:tc>
          <w:tcPr>
            <w:tcW w:w="2703" w:type="dxa"/>
            <w:vAlign w:val="top"/>
          </w:tcPr>
          <w:p>
            <w:pPr>
              <w:pStyle w:val="TableText"/>
              <w:ind w:left="8"/>
              <w:spacing w:before="120" w:line="244" w:lineRule="auto"/>
              <w:rPr>
                <w:sz w:val="13"/>
                <w:szCs w:val="13"/>
              </w:rPr>
            </w:pPr>
            <w:r>
              <w:rPr>
                <w:sz w:val="13"/>
                <w:szCs w:val="13"/>
                <w:spacing w:val="-3"/>
              </w:rPr>
              <w:t>防治叶斑病、青霉病、炭疽病、灰霉病、黑星病</w:t>
            </w:r>
            <w:r>
              <w:rPr>
                <w:sz w:val="13"/>
                <w:szCs w:val="13"/>
                <w:spacing w:val="16"/>
                <w:w w:val="101"/>
              </w:rPr>
              <w:t xml:space="preserve"> </w:t>
            </w:r>
            <w:r>
              <w:rPr>
                <w:sz w:val="13"/>
                <w:szCs w:val="13"/>
                <w:spacing w:val="-1"/>
              </w:rPr>
              <w:t>、白粉病等防治</w:t>
            </w:r>
          </w:p>
        </w:tc>
      </w:tr>
      <w:tr>
        <w:trPr>
          <w:trHeight w:val="490"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43"/>
              <w:spacing w:before="112" w:line="215" w:lineRule="auto"/>
              <w:rPr>
                <w:sz w:val="13"/>
                <w:szCs w:val="13"/>
              </w:rPr>
            </w:pPr>
            <w:r>
              <w:rPr>
                <w:sz w:val="13"/>
                <w:szCs w:val="13"/>
                <w:spacing w:val="-1"/>
              </w:rPr>
              <w:t>好靓(丙硫多菌</w:t>
            </w:r>
          </w:p>
          <w:p>
            <w:pPr>
              <w:pStyle w:val="TableText"/>
              <w:ind w:left="352"/>
              <w:spacing w:line="221" w:lineRule="auto"/>
              <w:rPr>
                <w:sz w:val="13"/>
                <w:szCs w:val="13"/>
              </w:rPr>
            </w:pPr>
            <w:r>
              <w:rPr>
                <w:sz w:val="13"/>
                <w:szCs w:val="13"/>
                <w:spacing w:val="-4"/>
              </w:rPr>
              <w:t>灵</w:t>
            </w:r>
            <w:r>
              <w:rPr>
                <w:sz w:val="13"/>
                <w:szCs w:val="13"/>
                <w:spacing w:val="-29"/>
              </w:rPr>
              <w:t xml:space="preserve"> </w:t>
            </w:r>
            <w:r>
              <w:rPr>
                <w:sz w:val="13"/>
                <w:szCs w:val="13"/>
                <w:spacing w:val="-4"/>
              </w:rPr>
              <w:t>)</w:t>
            </w:r>
          </w:p>
        </w:tc>
        <w:tc>
          <w:tcPr>
            <w:tcW w:w="1909" w:type="dxa"/>
            <w:vAlign w:val="top"/>
          </w:tcPr>
          <w:p>
            <w:pPr>
              <w:pStyle w:val="TableText"/>
              <w:ind w:left="684"/>
              <w:spacing w:before="182" w:line="220" w:lineRule="auto"/>
              <w:rPr>
                <w:sz w:val="13"/>
                <w:szCs w:val="13"/>
              </w:rPr>
            </w:pPr>
            <w:r>
              <w:rPr>
                <w:sz w:val="13"/>
                <w:szCs w:val="13"/>
                <w:spacing w:val="-2"/>
              </w:rPr>
              <w:t>丙硫味唑</w:t>
            </w:r>
          </w:p>
        </w:tc>
        <w:tc>
          <w:tcPr>
            <w:tcW w:w="1379" w:type="dxa"/>
            <w:vAlign w:val="top"/>
          </w:tcPr>
          <w:p>
            <w:pPr>
              <w:pStyle w:val="TableText"/>
              <w:spacing w:before="182" w:line="219" w:lineRule="auto"/>
              <w:jc w:val="right"/>
              <w:rPr>
                <w:sz w:val="13"/>
                <w:szCs w:val="13"/>
              </w:rPr>
            </w:pPr>
            <w:r>
              <w:rPr>
                <w:sz w:val="13"/>
                <w:szCs w:val="13"/>
                <w:spacing w:val="-2"/>
              </w:rPr>
              <w:t>20%好靓2000-3000倍</w:t>
            </w:r>
          </w:p>
        </w:tc>
        <w:tc>
          <w:tcPr>
            <w:tcW w:w="1289" w:type="dxa"/>
            <w:vAlign w:val="top"/>
            <w:vMerge w:val="continue"/>
            <w:tcBorders>
              <w:top w:val="nil"/>
            </w:tcBorders>
          </w:tcPr>
          <w:p>
            <w:pPr>
              <w:rPr>
                <w:rFonts w:ascii="Arial"/>
                <w:sz w:val="21"/>
              </w:rPr>
            </w:pPr>
            <w:r/>
          </w:p>
        </w:tc>
        <w:tc>
          <w:tcPr>
            <w:tcW w:w="689" w:type="dxa"/>
            <w:vAlign w:val="top"/>
          </w:tcPr>
          <w:p>
            <w:pPr>
              <w:pStyle w:val="TableText"/>
              <w:ind w:left="146"/>
              <w:spacing w:before="177" w:line="214" w:lineRule="auto"/>
              <w:rPr>
                <w:sz w:val="13"/>
                <w:szCs w:val="13"/>
              </w:rPr>
            </w:pPr>
            <w:r>
              <w:rPr>
                <w:sz w:val="13"/>
                <w:szCs w:val="13"/>
                <w:spacing w:val="-2"/>
              </w:rPr>
              <w:t>50g/袋</w:t>
            </w:r>
          </w:p>
        </w:tc>
        <w:tc>
          <w:tcPr>
            <w:tcW w:w="2703" w:type="dxa"/>
            <w:vAlign w:val="top"/>
          </w:tcPr>
          <w:p>
            <w:pPr>
              <w:pStyle w:val="TableText"/>
              <w:ind w:left="8"/>
              <w:spacing w:before="42" w:line="207" w:lineRule="auto"/>
              <w:jc w:val="both"/>
              <w:rPr>
                <w:sz w:val="13"/>
                <w:szCs w:val="13"/>
              </w:rPr>
            </w:pPr>
            <w:r>
              <w:rPr>
                <w:sz w:val="13"/>
                <w:szCs w:val="13"/>
                <w:spacing w:val="-8"/>
              </w:rPr>
              <w:t>广谱内吸性杀菌剂。可用于防治枯萎病，疫病、腐</w:t>
            </w:r>
            <w:r>
              <w:rPr>
                <w:sz w:val="13"/>
                <w:szCs w:val="13"/>
              </w:rPr>
              <w:t xml:space="preserve"> </w:t>
            </w:r>
            <w:r>
              <w:rPr>
                <w:sz w:val="13"/>
                <w:szCs w:val="13"/>
                <w:spacing w:val="-8"/>
              </w:rPr>
              <w:t>霉病，立枯病、根腐病、茎腐痛、养倒病等多种病</w:t>
            </w:r>
            <w:r>
              <w:rPr>
                <w:sz w:val="13"/>
                <w:szCs w:val="13"/>
              </w:rPr>
              <w:t xml:space="preserve"> </w:t>
            </w:r>
            <w:r>
              <w:rPr>
                <w:sz w:val="13"/>
                <w:szCs w:val="13"/>
              </w:rPr>
              <w:t>害。使用方法：灌根。喷雾</w:t>
            </w:r>
          </w:p>
        </w:tc>
      </w:tr>
      <w:tr>
        <w:trPr>
          <w:trHeight w:val="479"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273"/>
              <w:spacing w:before="182" w:line="219" w:lineRule="auto"/>
              <w:rPr>
                <w:sz w:val="13"/>
                <w:szCs w:val="13"/>
              </w:rPr>
            </w:pPr>
            <w:r>
              <w:rPr>
                <w:sz w:val="13"/>
                <w:szCs w:val="13"/>
                <w:spacing w:val="-2"/>
              </w:rPr>
              <w:t>普力克</w:t>
            </w:r>
          </w:p>
        </w:tc>
        <w:tc>
          <w:tcPr>
            <w:tcW w:w="1909" w:type="dxa"/>
            <w:vAlign w:val="top"/>
          </w:tcPr>
          <w:p>
            <w:pPr>
              <w:pStyle w:val="TableText"/>
              <w:ind w:left="584"/>
              <w:spacing w:before="182" w:line="220" w:lineRule="auto"/>
              <w:rPr>
                <w:sz w:val="13"/>
                <w:szCs w:val="13"/>
              </w:rPr>
            </w:pPr>
            <w:r>
              <w:rPr>
                <w:sz w:val="13"/>
                <w:szCs w:val="13"/>
                <w:spacing w:val="-1"/>
              </w:rPr>
              <w:t>72.2%丙酰胺</w:t>
            </w:r>
          </w:p>
        </w:tc>
        <w:tc>
          <w:tcPr>
            <w:tcW w:w="1379" w:type="dxa"/>
            <w:vAlign w:val="top"/>
          </w:tcPr>
          <w:p>
            <w:pPr>
              <w:pStyle w:val="TableText"/>
              <w:ind w:left="295"/>
              <w:spacing w:before="182" w:line="220" w:lineRule="auto"/>
              <w:rPr>
                <w:sz w:val="13"/>
                <w:szCs w:val="13"/>
              </w:rPr>
            </w:pPr>
            <w:r>
              <w:rPr>
                <w:sz w:val="13"/>
                <w:szCs w:val="13"/>
                <w:spacing w:val="-1"/>
              </w:rPr>
              <w:t>800-1000倍液</w:t>
            </w:r>
          </w:p>
        </w:tc>
        <w:tc>
          <w:tcPr>
            <w:tcW w:w="1289" w:type="dxa"/>
            <w:vAlign w:val="top"/>
          </w:tcPr>
          <w:p>
            <w:pPr>
              <w:pStyle w:val="TableText"/>
              <w:spacing w:before="32" w:line="199" w:lineRule="auto"/>
              <w:jc w:val="right"/>
              <w:rPr>
                <w:sz w:val="13"/>
                <w:szCs w:val="13"/>
              </w:rPr>
            </w:pPr>
            <w:r>
              <w:rPr>
                <w:sz w:val="13"/>
                <w:szCs w:val="13"/>
                <w:spacing w:val="-4"/>
              </w:rPr>
              <w:t>10天一次，连续喷酒病</w:t>
            </w:r>
          </w:p>
          <w:p>
            <w:pPr>
              <w:pStyle w:val="TableText"/>
              <w:spacing w:line="213" w:lineRule="auto"/>
              <w:jc w:val="right"/>
              <w:rPr>
                <w:sz w:val="13"/>
                <w:szCs w:val="13"/>
              </w:rPr>
            </w:pPr>
            <w:r>
              <w:rPr>
                <w:sz w:val="13"/>
                <w:szCs w:val="13"/>
                <w:spacing w:val="-4"/>
              </w:rPr>
              <w:t>部地面2-3次，喷药1小</w:t>
            </w:r>
          </w:p>
          <w:p>
            <w:pPr>
              <w:pStyle w:val="TableText"/>
              <w:ind w:left="146"/>
              <w:spacing w:line="208" w:lineRule="auto"/>
              <w:rPr>
                <w:sz w:val="13"/>
                <w:szCs w:val="13"/>
              </w:rPr>
            </w:pPr>
            <w:r>
              <w:rPr>
                <w:sz w:val="13"/>
                <w:szCs w:val="13"/>
                <w:spacing w:val="-2"/>
              </w:rPr>
              <w:t>时内遇雨，需重喷</w:t>
            </w:r>
          </w:p>
        </w:tc>
        <w:tc>
          <w:tcPr>
            <w:tcW w:w="689" w:type="dxa"/>
            <w:vAlign w:val="top"/>
          </w:tcPr>
          <w:p>
            <w:pPr>
              <w:pStyle w:val="TableText"/>
              <w:ind w:left="77"/>
              <w:spacing w:before="183" w:line="221" w:lineRule="auto"/>
              <w:rPr>
                <w:sz w:val="13"/>
                <w:szCs w:val="13"/>
              </w:rPr>
            </w:pPr>
            <w:r>
              <w:rPr>
                <w:sz w:val="13"/>
                <w:szCs w:val="13"/>
                <w:spacing w:val="-2"/>
              </w:rPr>
              <w:t>100nl/瓶</w:t>
            </w:r>
          </w:p>
        </w:tc>
        <w:tc>
          <w:tcPr>
            <w:tcW w:w="2703" w:type="dxa"/>
            <w:vAlign w:val="top"/>
          </w:tcPr>
          <w:p>
            <w:pPr>
              <w:pStyle w:val="TableText"/>
              <w:ind w:left="8"/>
              <w:spacing w:before="182" w:line="219" w:lineRule="auto"/>
              <w:rPr>
                <w:sz w:val="13"/>
                <w:szCs w:val="13"/>
              </w:rPr>
            </w:pPr>
            <w:r>
              <w:rPr>
                <w:sz w:val="13"/>
                <w:szCs w:val="13"/>
                <w:spacing w:val="-1"/>
              </w:rPr>
              <w:t>对根腐病、霜霉病、立枯病、猝倒病有特效</w:t>
            </w:r>
          </w:p>
        </w:tc>
      </w:tr>
      <w:tr>
        <w:trPr>
          <w:trHeight w:val="310"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273"/>
              <w:spacing w:before="93" w:line="219" w:lineRule="auto"/>
              <w:rPr>
                <w:sz w:val="13"/>
                <w:szCs w:val="13"/>
              </w:rPr>
            </w:pPr>
            <w:r>
              <w:rPr>
                <w:sz w:val="13"/>
                <w:szCs w:val="13"/>
                <w:spacing w:val="-2"/>
              </w:rPr>
              <w:t>链霉素</w:t>
            </w:r>
          </w:p>
        </w:tc>
        <w:tc>
          <w:tcPr>
            <w:tcW w:w="1909" w:type="dxa"/>
            <w:vAlign w:val="top"/>
          </w:tcPr>
          <w:p>
            <w:pPr>
              <w:pStyle w:val="TableText"/>
              <w:ind w:left="654"/>
              <w:spacing w:before="93" w:line="219" w:lineRule="auto"/>
              <w:rPr>
                <w:sz w:val="13"/>
                <w:szCs w:val="13"/>
              </w:rPr>
            </w:pPr>
            <w:r>
              <w:rPr>
                <w:sz w:val="13"/>
                <w:szCs w:val="13"/>
                <w:spacing w:val="-2"/>
              </w:rPr>
              <w:t>72%链毒素</w:t>
            </w:r>
          </w:p>
        </w:tc>
        <w:tc>
          <w:tcPr>
            <w:tcW w:w="1379" w:type="dxa"/>
            <w:vAlign w:val="top"/>
          </w:tcPr>
          <w:p>
            <w:pPr>
              <w:pStyle w:val="TableText"/>
              <w:ind w:left="425"/>
              <w:spacing w:before="93" w:line="220" w:lineRule="auto"/>
              <w:rPr>
                <w:sz w:val="13"/>
                <w:szCs w:val="13"/>
              </w:rPr>
            </w:pPr>
            <w:r>
              <w:rPr>
                <w:sz w:val="13"/>
                <w:szCs w:val="13"/>
                <w:spacing w:val="-1"/>
              </w:rPr>
              <w:t>3000倍液</w:t>
            </w:r>
          </w:p>
        </w:tc>
        <w:tc>
          <w:tcPr>
            <w:tcW w:w="1289" w:type="dxa"/>
            <w:vAlign w:val="top"/>
            <w:vMerge w:val="restart"/>
            <w:tcBorders>
              <w:bottom w:val="nil"/>
            </w:tcBorders>
          </w:tcPr>
          <w:p>
            <w:pPr>
              <w:pStyle w:val="TableText"/>
              <w:spacing w:before="263" w:line="199" w:lineRule="auto"/>
              <w:jc w:val="right"/>
              <w:rPr>
                <w:sz w:val="13"/>
                <w:szCs w:val="13"/>
              </w:rPr>
            </w:pPr>
            <w:r>
              <w:rPr>
                <w:sz w:val="13"/>
                <w:szCs w:val="13"/>
                <w:spacing w:val="-4"/>
              </w:rPr>
              <w:t>每10天喷施一次，连喷</w:t>
            </w:r>
          </w:p>
          <w:p>
            <w:pPr>
              <w:pStyle w:val="TableText"/>
              <w:ind w:left="406"/>
              <w:spacing w:line="219" w:lineRule="auto"/>
              <w:rPr>
                <w:sz w:val="13"/>
                <w:szCs w:val="13"/>
              </w:rPr>
            </w:pPr>
            <w:r>
              <w:rPr>
                <w:sz w:val="13"/>
                <w:szCs w:val="13"/>
                <w:spacing w:val="1"/>
              </w:rPr>
              <w:t>3至4次。</w:t>
            </w:r>
          </w:p>
        </w:tc>
        <w:tc>
          <w:tcPr>
            <w:tcW w:w="689" w:type="dxa"/>
            <w:vAlign w:val="top"/>
          </w:tcPr>
          <w:p>
            <w:pPr>
              <w:pStyle w:val="TableText"/>
              <w:ind w:left="146"/>
              <w:spacing w:before="88" w:line="214" w:lineRule="auto"/>
              <w:rPr>
                <w:sz w:val="13"/>
                <w:szCs w:val="13"/>
              </w:rPr>
            </w:pPr>
            <w:r>
              <w:rPr>
                <w:sz w:val="13"/>
                <w:szCs w:val="13"/>
                <w:spacing w:val="1"/>
              </w:rPr>
              <w:t>15g/袋</w:t>
            </w:r>
          </w:p>
        </w:tc>
        <w:tc>
          <w:tcPr>
            <w:tcW w:w="2703" w:type="dxa"/>
            <w:vAlign w:val="top"/>
            <w:vMerge w:val="restart"/>
            <w:tcBorders>
              <w:bottom w:val="nil"/>
            </w:tcBorders>
          </w:tcPr>
          <w:p>
            <w:pPr>
              <w:spacing w:line="279" w:lineRule="auto"/>
              <w:rPr>
                <w:rFonts w:ascii="Arial"/>
                <w:sz w:val="21"/>
              </w:rPr>
            </w:pPr>
            <w:r/>
          </w:p>
          <w:p>
            <w:pPr>
              <w:pStyle w:val="TableText"/>
              <w:ind w:left="8"/>
              <w:spacing w:before="42" w:line="219" w:lineRule="auto"/>
              <w:rPr>
                <w:sz w:val="13"/>
                <w:szCs w:val="13"/>
              </w:rPr>
            </w:pPr>
            <w:r>
              <w:rPr>
                <w:sz w:val="13"/>
                <w:szCs w:val="13"/>
                <w:spacing w:val="-1"/>
              </w:rPr>
              <w:t>防治细菌性穿孔病，对细菌性病害有特效</w:t>
            </w:r>
          </w:p>
        </w:tc>
      </w:tr>
      <w:tr>
        <w:trPr>
          <w:trHeight w:val="440"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273"/>
              <w:spacing w:before="163" w:line="219" w:lineRule="auto"/>
              <w:rPr>
                <w:sz w:val="13"/>
                <w:szCs w:val="13"/>
              </w:rPr>
            </w:pPr>
            <w:r>
              <w:rPr>
                <w:sz w:val="13"/>
                <w:szCs w:val="13"/>
                <w:spacing w:val="-2"/>
              </w:rPr>
              <w:t>细菌灵</w:t>
            </w:r>
          </w:p>
        </w:tc>
        <w:tc>
          <w:tcPr>
            <w:tcW w:w="1909" w:type="dxa"/>
            <w:vAlign w:val="top"/>
          </w:tcPr>
          <w:p>
            <w:pPr>
              <w:pStyle w:val="TableText"/>
              <w:ind w:left="584"/>
              <w:spacing w:before="23" w:line="219" w:lineRule="auto"/>
              <w:rPr>
                <w:sz w:val="13"/>
                <w:szCs w:val="13"/>
              </w:rPr>
            </w:pPr>
            <w:r>
              <w:rPr>
                <w:sz w:val="13"/>
                <w:szCs w:val="13"/>
                <w:spacing w:val="9"/>
              </w:rPr>
              <w:t>40%多菌灵、</w:t>
            </w:r>
          </w:p>
          <w:p>
            <w:pPr>
              <w:pStyle w:val="TableText"/>
              <w:ind w:left="584"/>
              <w:spacing w:before="5" w:line="219" w:lineRule="auto"/>
              <w:rPr>
                <w:sz w:val="13"/>
                <w:szCs w:val="13"/>
              </w:rPr>
            </w:pPr>
            <w:r>
              <w:rPr>
                <w:sz w:val="13"/>
                <w:szCs w:val="13"/>
                <w:spacing w:val="-1"/>
              </w:rPr>
              <w:t>30%中生霉素</w:t>
            </w:r>
          </w:p>
        </w:tc>
        <w:tc>
          <w:tcPr>
            <w:tcW w:w="1379" w:type="dxa"/>
            <w:vAlign w:val="top"/>
          </w:tcPr>
          <w:p>
            <w:pPr>
              <w:pStyle w:val="TableText"/>
              <w:ind w:left="385"/>
              <w:spacing w:before="163" w:line="220" w:lineRule="auto"/>
              <w:rPr>
                <w:sz w:val="13"/>
                <w:szCs w:val="13"/>
              </w:rPr>
            </w:pPr>
            <w:r>
              <w:rPr>
                <w:sz w:val="13"/>
                <w:szCs w:val="13"/>
                <w:spacing w:val="-1"/>
              </w:rPr>
              <w:t>500-600倍</w:t>
            </w:r>
          </w:p>
        </w:tc>
        <w:tc>
          <w:tcPr>
            <w:tcW w:w="1289" w:type="dxa"/>
            <w:vAlign w:val="top"/>
            <w:vMerge w:val="continue"/>
            <w:tcBorders>
              <w:top w:val="nil"/>
            </w:tcBorders>
          </w:tcPr>
          <w:p>
            <w:pPr>
              <w:rPr>
                <w:rFonts w:ascii="Arial"/>
                <w:sz w:val="21"/>
              </w:rPr>
            </w:pPr>
            <w:r/>
          </w:p>
        </w:tc>
        <w:tc>
          <w:tcPr>
            <w:tcW w:w="689" w:type="dxa"/>
            <w:vAlign w:val="top"/>
          </w:tcPr>
          <w:p>
            <w:pPr>
              <w:pStyle w:val="TableText"/>
              <w:ind w:left="146"/>
              <w:spacing w:before="158" w:line="214" w:lineRule="auto"/>
              <w:rPr>
                <w:sz w:val="13"/>
                <w:szCs w:val="13"/>
              </w:rPr>
            </w:pPr>
            <w:r>
              <w:rPr>
                <w:sz w:val="13"/>
                <w:szCs w:val="13"/>
                <w:spacing w:val="-1"/>
              </w:rPr>
              <w:t>25g/袋</w:t>
            </w:r>
          </w:p>
        </w:tc>
        <w:tc>
          <w:tcPr>
            <w:tcW w:w="2703" w:type="dxa"/>
            <w:vAlign w:val="top"/>
            <w:vMerge w:val="continue"/>
            <w:tcBorders>
              <w:top w:val="nil"/>
            </w:tcBorders>
          </w:tcPr>
          <w:p>
            <w:pPr>
              <w:rPr>
                <w:rFonts w:ascii="Arial"/>
                <w:sz w:val="21"/>
              </w:rPr>
            </w:pPr>
            <w:r/>
          </w:p>
        </w:tc>
      </w:tr>
      <w:tr>
        <w:trPr>
          <w:trHeight w:val="469" w:hRule="atLeast"/>
        </w:trPr>
        <w:tc>
          <w:tcPr>
            <w:tcW w:w="585" w:type="dxa"/>
            <w:vAlign w:val="top"/>
            <w:vMerge w:val="continue"/>
            <w:tcBorders>
              <w:top w:val="nil"/>
            </w:tcBorders>
          </w:tcPr>
          <w:p>
            <w:pPr>
              <w:rPr>
                <w:rFonts w:ascii="Arial"/>
                <w:sz w:val="21"/>
              </w:rPr>
            </w:pPr>
            <w:r/>
          </w:p>
        </w:tc>
        <w:tc>
          <w:tcPr>
            <w:tcW w:w="620" w:type="dxa"/>
            <w:vAlign w:val="top"/>
            <w:vMerge w:val="continue"/>
            <w:tcBorders>
              <w:top w:val="nil"/>
            </w:tcBorders>
          </w:tcPr>
          <w:p>
            <w:pPr>
              <w:rPr>
                <w:rFonts w:ascii="Arial"/>
                <w:sz w:val="21"/>
              </w:rPr>
            </w:pPr>
            <w:r/>
          </w:p>
        </w:tc>
        <w:tc>
          <w:tcPr>
            <w:tcW w:w="1039" w:type="dxa"/>
            <w:vAlign w:val="top"/>
            <w:vMerge w:val="continue"/>
            <w:tcBorders>
              <w:top w:val="nil"/>
            </w:tcBorders>
          </w:tcPr>
          <w:p>
            <w:pPr>
              <w:rPr>
                <w:rFonts w:ascii="Arial"/>
                <w:sz w:val="21"/>
              </w:rPr>
            </w:pPr>
            <w:r/>
          </w:p>
        </w:tc>
        <w:tc>
          <w:tcPr>
            <w:tcW w:w="2798" w:type="dxa"/>
            <w:vAlign w:val="top"/>
            <w:vMerge w:val="continue"/>
            <w:tcBorders>
              <w:top w:val="nil"/>
            </w:tcBorders>
          </w:tcPr>
          <w:p>
            <w:pPr>
              <w:rPr>
                <w:rFonts w:ascii="Arial"/>
                <w:sz w:val="21"/>
              </w:rPr>
            </w:pPr>
            <w:r/>
          </w:p>
        </w:tc>
        <w:tc>
          <w:tcPr>
            <w:tcW w:w="949" w:type="dxa"/>
            <w:vAlign w:val="top"/>
          </w:tcPr>
          <w:p>
            <w:pPr>
              <w:pStyle w:val="TableText"/>
              <w:ind w:left="273"/>
              <w:spacing w:before="173" w:line="219" w:lineRule="auto"/>
              <w:rPr>
                <w:sz w:val="13"/>
                <w:szCs w:val="13"/>
              </w:rPr>
            </w:pPr>
            <w:r>
              <w:rPr>
                <w:sz w:val="13"/>
                <w:szCs w:val="13"/>
                <w:spacing w:val="-2"/>
              </w:rPr>
              <w:t>植病灵</w:t>
            </w:r>
          </w:p>
        </w:tc>
        <w:tc>
          <w:tcPr>
            <w:tcW w:w="1909" w:type="dxa"/>
            <w:vAlign w:val="top"/>
          </w:tcPr>
          <w:p>
            <w:pPr>
              <w:pStyle w:val="TableText"/>
              <w:ind w:left="294"/>
              <w:spacing w:before="173" w:line="220" w:lineRule="auto"/>
              <w:rPr>
                <w:sz w:val="13"/>
                <w:szCs w:val="13"/>
              </w:rPr>
            </w:pPr>
            <w:r>
              <w:rPr>
                <w:sz w:val="13"/>
                <w:szCs w:val="13"/>
                <w:spacing w:val="-1"/>
              </w:rPr>
              <w:t>盐酸金刚乙胺、丙环哇</w:t>
            </w:r>
          </w:p>
        </w:tc>
        <w:tc>
          <w:tcPr>
            <w:tcW w:w="1379" w:type="dxa"/>
            <w:vAlign w:val="top"/>
          </w:tcPr>
          <w:p>
            <w:pPr>
              <w:pStyle w:val="TableText"/>
              <w:ind w:left="455"/>
              <w:spacing w:before="173" w:line="220" w:lineRule="auto"/>
              <w:rPr>
                <w:sz w:val="13"/>
                <w:szCs w:val="13"/>
              </w:rPr>
            </w:pPr>
            <w:r>
              <w:rPr>
                <w:sz w:val="13"/>
                <w:szCs w:val="13"/>
                <w:spacing w:val="-1"/>
              </w:rPr>
              <w:t>800倍液</w:t>
            </w:r>
          </w:p>
        </w:tc>
        <w:tc>
          <w:tcPr>
            <w:tcW w:w="1289" w:type="dxa"/>
            <w:vAlign w:val="top"/>
          </w:tcPr>
          <w:p>
            <w:pPr>
              <w:pStyle w:val="TableText"/>
              <w:ind w:left="16"/>
              <w:spacing w:before="33" w:line="199" w:lineRule="auto"/>
              <w:rPr>
                <w:sz w:val="13"/>
                <w:szCs w:val="13"/>
              </w:rPr>
            </w:pPr>
            <w:r>
              <w:rPr>
                <w:sz w:val="13"/>
                <w:szCs w:val="13"/>
                <w:spacing w:val="-1"/>
              </w:rPr>
              <w:t>发病初期，每5-7天喷</w:t>
            </w:r>
          </w:p>
          <w:p>
            <w:pPr>
              <w:pStyle w:val="TableText"/>
              <w:ind w:left="16"/>
              <w:spacing w:line="198" w:lineRule="auto"/>
              <w:rPr>
                <w:sz w:val="13"/>
                <w:szCs w:val="13"/>
              </w:rPr>
            </w:pPr>
            <w:r>
              <w:rPr>
                <w:sz w:val="13"/>
                <w:szCs w:val="13"/>
                <w:spacing w:val="-1"/>
              </w:rPr>
              <w:t>施一次，喷3遍，可减</w:t>
            </w:r>
          </w:p>
          <w:p>
            <w:pPr>
              <w:pStyle w:val="TableText"/>
              <w:ind w:left="416"/>
              <w:spacing w:line="207" w:lineRule="auto"/>
              <w:rPr>
                <w:sz w:val="13"/>
                <w:szCs w:val="13"/>
              </w:rPr>
            </w:pPr>
            <w:r>
              <w:rPr>
                <w:sz w:val="13"/>
                <w:szCs w:val="13"/>
                <w:spacing w:val="-5"/>
              </w:rPr>
              <w:t>轻危害。</w:t>
            </w:r>
          </w:p>
        </w:tc>
        <w:tc>
          <w:tcPr>
            <w:tcW w:w="689" w:type="dxa"/>
            <w:vAlign w:val="top"/>
          </w:tcPr>
          <w:p>
            <w:pPr>
              <w:pStyle w:val="TableText"/>
              <w:ind w:left="106"/>
              <w:spacing w:before="174" w:line="221" w:lineRule="auto"/>
              <w:rPr>
                <w:sz w:val="13"/>
                <w:szCs w:val="13"/>
              </w:rPr>
            </w:pPr>
            <w:r>
              <w:rPr>
                <w:sz w:val="13"/>
                <w:szCs w:val="13"/>
                <w:spacing w:val="2"/>
              </w:rPr>
              <w:t>15</w:t>
            </w:r>
            <w:r>
              <w:rPr>
                <w:sz w:val="13"/>
                <w:szCs w:val="13"/>
              </w:rPr>
              <w:t>ml</w:t>
            </w:r>
            <w:r>
              <w:rPr>
                <w:sz w:val="13"/>
                <w:szCs w:val="13"/>
                <w:spacing w:val="2"/>
              </w:rPr>
              <w:t>/瓶</w:t>
            </w:r>
          </w:p>
        </w:tc>
        <w:tc>
          <w:tcPr>
            <w:tcW w:w="2703" w:type="dxa"/>
            <w:vAlign w:val="top"/>
          </w:tcPr>
          <w:p>
            <w:pPr>
              <w:pStyle w:val="TableText"/>
              <w:ind w:left="8"/>
              <w:spacing w:before="173" w:line="219" w:lineRule="auto"/>
              <w:rPr>
                <w:sz w:val="13"/>
                <w:szCs w:val="13"/>
              </w:rPr>
            </w:pPr>
            <w:r>
              <w:rPr>
                <w:sz w:val="13"/>
                <w:szCs w:val="13"/>
                <w:spacing w:val="-1"/>
              </w:rPr>
              <w:t>防治花叶病，对病毒性病害有特效</w:t>
            </w:r>
          </w:p>
        </w:tc>
      </w:tr>
      <w:tr>
        <w:trPr>
          <w:trHeight w:val="440" w:hRule="atLeast"/>
        </w:trPr>
        <w:tc>
          <w:tcPr>
            <w:tcW w:w="585" w:type="dxa"/>
            <w:vAlign w:val="top"/>
            <w:vMerge w:val="restart"/>
            <w:tcBorders>
              <w:bottom w:val="nil"/>
            </w:tcBorders>
          </w:tcPr>
          <w:p>
            <w:pPr>
              <w:spacing w:line="313" w:lineRule="auto"/>
              <w:rPr>
                <w:rFonts w:ascii="Arial"/>
                <w:sz w:val="21"/>
              </w:rPr>
            </w:pPr>
            <w:r/>
          </w:p>
          <w:p>
            <w:pPr>
              <w:spacing w:line="314" w:lineRule="auto"/>
              <w:rPr>
                <w:rFonts w:ascii="Arial"/>
                <w:sz w:val="21"/>
              </w:rPr>
            </w:pPr>
            <w:r/>
          </w:p>
          <w:p>
            <w:pPr>
              <w:pStyle w:val="TableText"/>
              <w:ind w:left="84"/>
              <w:spacing w:before="42" w:line="219" w:lineRule="auto"/>
              <w:rPr>
                <w:sz w:val="13"/>
                <w:szCs w:val="13"/>
              </w:rPr>
            </w:pPr>
            <w:r>
              <w:rPr>
                <w:sz w:val="13"/>
                <w:szCs w:val="13"/>
                <w:spacing w:val="-2"/>
              </w:rPr>
              <w:t>杀虫剂</w:t>
            </w:r>
          </w:p>
        </w:tc>
        <w:tc>
          <w:tcPr>
            <w:tcW w:w="620" w:type="dxa"/>
            <w:vAlign w:val="top"/>
            <w:vMerge w:val="restart"/>
            <w:tcBorders>
              <w:bottom w:val="nil"/>
            </w:tcBorders>
          </w:tcPr>
          <w:p>
            <w:pPr>
              <w:spacing w:line="314" w:lineRule="auto"/>
              <w:rPr>
                <w:rFonts w:ascii="Arial"/>
                <w:sz w:val="21"/>
              </w:rPr>
            </w:pPr>
            <w:r/>
          </w:p>
          <w:p>
            <w:pPr>
              <w:spacing w:line="314" w:lineRule="auto"/>
              <w:rPr>
                <w:rFonts w:ascii="Arial"/>
                <w:sz w:val="21"/>
              </w:rPr>
            </w:pPr>
            <w:r/>
          </w:p>
          <w:p>
            <w:pPr>
              <w:pStyle w:val="TableText"/>
              <w:ind w:left="40"/>
              <w:spacing w:before="42" w:line="219" w:lineRule="auto"/>
              <w:rPr>
                <w:sz w:val="13"/>
                <w:szCs w:val="13"/>
              </w:rPr>
            </w:pPr>
            <w:r>
              <w:rPr>
                <w:sz w:val="13"/>
                <w:szCs w:val="13"/>
                <w:spacing w:val="-1"/>
              </w:rPr>
              <w:t>食叶害虫</w:t>
            </w:r>
          </w:p>
        </w:tc>
        <w:tc>
          <w:tcPr>
            <w:tcW w:w="1039" w:type="dxa"/>
            <w:vAlign w:val="top"/>
            <w:vMerge w:val="restart"/>
            <w:tcBorders>
              <w:bottom w:val="nil"/>
            </w:tcBorders>
          </w:tcPr>
          <w:p>
            <w:pPr>
              <w:spacing w:line="329" w:lineRule="auto"/>
              <w:rPr>
                <w:rFonts w:ascii="Arial"/>
                <w:sz w:val="21"/>
              </w:rPr>
            </w:pPr>
            <w:r/>
          </w:p>
          <w:p>
            <w:pPr>
              <w:pStyle w:val="TableText"/>
              <w:spacing w:before="43" w:line="213" w:lineRule="auto"/>
              <w:jc w:val="right"/>
              <w:rPr>
                <w:sz w:val="13"/>
                <w:szCs w:val="13"/>
              </w:rPr>
            </w:pPr>
            <w:r>
              <w:rPr>
                <w:sz w:val="13"/>
                <w:szCs w:val="13"/>
                <w:spacing w:val="-4"/>
              </w:rPr>
              <w:t>美国白蛾、粘虫，</w:t>
            </w:r>
          </w:p>
          <w:p>
            <w:pPr>
              <w:pStyle w:val="TableText"/>
              <w:spacing w:line="212" w:lineRule="auto"/>
              <w:jc w:val="right"/>
              <w:rPr>
                <w:sz w:val="13"/>
                <w:szCs w:val="13"/>
              </w:rPr>
            </w:pPr>
            <w:r>
              <w:rPr>
                <w:sz w:val="13"/>
                <w:szCs w:val="13"/>
                <w:spacing w:val="-3"/>
              </w:rPr>
              <w:t>天暮毛虫、叶甲，</w:t>
            </w:r>
          </w:p>
          <w:p>
            <w:pPr>
              <w:pStyle w:val="TableText"/>
              <w:spacing w:line="218" w:lineRule="auto"/>
              <w:jc w:val="right"/>
              <w:rPr>
                <w:sz w:val="13"/>
                <w:szCs w:val="13"/>
              </w:rPr>
            </w:pPr>
            <w:r>
              <w:rPr>
                <w:sz w:val="13"/>
                <w:szCs w:val="13"/>
                <w:spacing w:val="-5"/>
              </w:rPr>
              <w:t>舞毒蛾、尺蝼、衰</w:t>
            </w:r>
          </w:p>
          <w:p>
            <w:pPr>
              <w:pStyle w:val="TableText"/>
              <w:ind w:left="294" w:hanging="284"/>
              <w:spacing w:before="6" w:line="229" w:lineRule="auto"/>
              <w:rPr>
                <w:sz w:val="13"/>
                <w:szCs w:val="13"/>
              </w:rPr>
            </w:pPr>
            <w:r>
              <w:rPr>
                <w:sz w:val="13"/>
                <w:szCs w:val="13"/>
                <w:spacing w:val="-3"/>
              </w:rPr>
              <w:t>蛾、刺蛾、巢蛾、</w:t>
            </w:r>
            <w:r>
              <w:rPr>
                <w:sz w:val="13"/>
                <w:szCs w:val="13"/>
                <w:spacing w:val="1"/>
              </w:rPr>
              <w:t xml:space="preserve"> </w:t>
            </w:r>
            <w:r>
              <w:rPr>
                <w:sz w:val="13"/>
                <w:szCs w:val="13"/>
                <w:spacing w:val="-7"/>
              </w:rPr>
              <w:t>夜峨等</w:t>
            </w:r>
          </w:p>
        </w:tc>
        <w:tc>
          <w:tcPr>
            <w:tcW w:w="2798" w:type="dxa"/>
            <w:vAlign w:val="top"/>
            <w:vMerge w:val="restart"/>
            <w:tcBorders>
              <w:bottom w:val="nil"/>
            </w:tcBorders>
          </w:tcPr>
          <w:p>
            <w:pPr>
              <w:spacing w:line="250" w:lineRule="auto"/>
              <w:rPr>
                <w:rFonts w:ascii="Arial"/>
                <w:sz w:val="21"/>
              </w:rPr>
            </w:pPr>
            <w:r/>
          </w:p>
          <w:p>
            <w:pPr>
              <w:pStyle w:val="TableText"/>
              <w:ind w:left="11" w:right="6"/>
              <w:spacing w:before="42" w:line="220" w:lineRule="auto"/>
              <w:rPr>
                <w:sz w:val="13"/>
                <w:szCs w:val="13"/>
              </w:rPr>
            </w:pPr>
            <w:r>
              <w:rPr>
                <w:sz w:val="13"/>
                <w:szCs w:val="13"/>
                <w:spacing w:val="-7"/>
              </w:rPr>
              <w:t>一，3月预防消杀为主，在进入雨季、高发季前全园</w:t>
            </w:r>
            <w:r>
              <w:rPr>
                <w:sz w:val="13"/>
                <w:szCs w:val="13"/>
                <w:spacing w:val="5"/>
              </w:rPr>
              <w:t xml:space="preserve"> </w:t>
            </w:r>
            <w:r>
              <w:rPr>
                <w:sz w:val="13"/>
                <w:szCs w:val="13"/>
                <w:spacing w:val="-1"/>
              </w:rPr>
              <w:t>区消杀虫卵、蛹。</w:t>
            </w:r>
          </w:p>
          <w:p>
            <w:pPr>
              <w:pStyle w:val="TableText"/>
              <w:ind w:left="11"/>
              <w:spacing w:line="223" w:lineRule="auto"/>
              <w:rPr>
                <w:sz w:val="13"/>
                <w:szCs w:val="13"/>
              </w:rPr>
            </w:pPr>
            <w:r>
              <w:rPr>
                <w:sz w:val="13"/>
                <w:szCs w:val="13"/>
                <w:spacing w:val="-9"/>
              </w:rPr>
              <w:t>二、5、6月是大本分害虫成蛹或羽化期，采取人工加</w:t>
            </w:r>
            <w:r>
              <w:rPr>
                <w:sz w:val="13"/>
                <w:szCs w:val="13"/>
                <w:spacing w:val="1"/>
              </w:rPr>
              <w:t xml:space="preserve"> </w:t>
            </w:r>
            <w:r>
              <w:rPr>
                <w:sz w:val="13"/>
                <w:szCs w:val="13"/>
                <w:spacing w:val="3"/>
              </w:rPr>
              <w:t>药物双重治疗除卵，除蛹，除成虫；</w:t>
            </w:r>
          </w:p>
          <w:p>
            <w:pPr>
              <w:pStyle w:val="TableText"/>
              <w:ind w:left="11" w:right="1"/>
              <w:spacing w:before="4" w:line="214" w:lineRule="auto"/>
              <w:rPr>
                <w:sz w:val="13"/>
                <w:szCs w:val="13"/>
              </w:rPr>
            </w:pPr>
            <w:r>
              <w:rPr>
                <w:sz w:val="13"/>
                <w:szCs w:val="13"/>
                <w:spacing w:val="-10"/>
              </w:rPr>
              <w:t>三</w:t>
            </w:r>
            <w:r>
              <w:rPr>
                <w:sz w:val="13"/>
                <w:szCs w:val="13"/>
                <w:spacing w:val="-9"/>
              </w:rPr>
              <w:t>、7-10月为均有零星出现，有发现病情。及时嗅</w:t>
            </w:r>
            <w:r>
              <w:rPr>
                <w:sz w:val="13"/>
                <w:szCs w:val="13"/>
                <w:spacing w:val="-8"/>
              </w:rPr>
              <w:t>药</w:t>
            </w:r>
            <w:r>
              <w:rPr>
                <w:sz w:val="13"/>
                <w:szCs w:val="13"/>
                <w:spacing w:val="9"/>
              </w:rPr>
              <w:t xml:space="preserve"> </w:t>
            </w:r>
            <w:r>
              <w:rPr>
                <w:sz w:val="13"/>
                <w:szCs w:val="13"/>
                <w:spacing w:val="-2"/>
              </w:rPr>
              <w:t>处理。</w:t>
            </w:r>
          </w:p>
        </w:tc>
        <w:tc>
          <w:tcPr>
            <w:tcW w:w="949" w:type="dxa"/>
            <w:vAlign w:val="top"/>
          </w:tcPr>
          <w:p>
            <w:pPr>
              <w:pStyle w:val="TableText"/>
              <w:ind w:left="203"/>
              <w:spacing w:before="164" w:line="219" w:lineRule="auto"/>
              <w:rPr>
                <w:sz w:val="13"/>
                <w:szCs w:val="13"/>
              </w:rPr>
            </w:pPr>
            <w:r>
              <w:rPr>
                <w:sz w:val="13"/>
                <w:szCs w:val="13"/>
                <w:spacing w:val="1"/>
              </w:rPr>
              <w:t>国光毒枪</w:t>
            </w:r>
          </w:p>
        </w:tc>
        <w:tc>
          <w:tcPr>
            <w:tcW w:w="1909" w:type="dxa"/>
            <w:vAlign w:val="top"/>
          </w:tcPr>
          <w:p>
            <w:pPr>
              <w:pStyle w:val="TableText"/>
              <w:ind w:left="324"/>
              <w:spacing w:before="164" w:line="219" w:lineRule="auto"/>
              <w:rPr>
                <w:sz w:val="13"/>
                <w:szCs w:val="13"/>
              </w:rPr>
            </w:pPr>
            <w:r>
              <w:rPr>
                <w:sz w:val="13"/>
                <w:szCs w:val="13"/>
                <w:spacing w:val="-4"/>
              </w:rPr>
              <w:t>45%丙溴 ·辛颛磷乳油</w:t>
            </w:r>
          </w:p>
        </w:tc>
        <w:tc>
          <w:tcPr>
            <w:tcW w:w="1379" w:type="dxa"/>
            <w:vAlign w:val="top"/>
          </w:tcPr>
          <w:p>
            <w:pPr>
              <w:pStyle w:val="TableText"/>
              <w:ind w:right="13"/>
              <w:spacing w:before="164" w:line="219" w:lineRule="auto"/>
              <w:jc w:val="right"/>
              <w:rPr>
                <w:sz w:val="13"/>
                <w:szCs w:val="13"/>
              </w:rPr>
            </w:pPr>
            <w:r>
              <w:rPr>
                <w:sz w:val="13"/>
                <w:szCs w:val="13"/>
                <w:spacing w:val="-1"/>
              </w:rPr>
              <w:t>稀释2000-3000倍液</w:t>
            </w:r>
          </w:p>
        </w:tc>
        <w:tc>
          <w:tcPr>
            <w:tcW w:w="1289" w:type="dxa"/>
            <w:vAlign w:val="top"/>
            <w:vMerge w:val="restart"/>
            <w:tcBorders>
              <w:bottom w:val="nil"/>
            </w:tcBorders>
          </w:tcPr>
          <w:p>
            <w:pPr>
              <w:spacing w:line="279" w:lineRule="auto"/>
              <w:rPr>
                <w:rFonts w:ascii="Arial"/>
                <w:sz w:val="21"/>
              </w:rPr>
            </w:pPr>
            <w:r/>
          </w:p>
          <w:p>
            <w:pPr>
              <w:spacing w:line="280" w:lineRule="auto"/>
              <w:rPr>
                <w:rFonts w:ascii="Arial"/>
                <w:sz w:val="21"/>
              </w:rPr>
            </w:pPr>
            <w:r/>
          </w:p>
          <w:p>
            <w:pPr>
              <w:pStyle w:val="TableText"/>
              <w:ind w:left="444" w:hanging="428"/>
              <w:spacing w:before="42" w:line="230" w:lineRule="auto"/>
              <w:rPr>
                <w:sz w:val="13"/>
                <w:szCs w:val="13"/>
              </w:rPr>
            </w:pPr>
            <w:r>
              <w:rPr>
                <w:sz w:val="13"/>
                <w:szCs w:val="13"/>
                <w:spacing w:val="-4"/>
              </w:rPr>
              <w:t>一般用3次，时间间隔7</w:t>
            </w:r>
            <w:r>
              <w:rPr>
                <w:sz w:val="13"/>
                <w:szCs w:val="13"/>
                <w:spacing w:val="5"/>
              </w:rPr>
              <w:t xml:space="preserve"> </w:t>
            </w:r>
            <w:r>
              <w:rPr>
                <w:sz w:val="13"/>
                <w:szCs w:val="13"/>
                <w:spacing w:val="-2"/>
              </w:rPr>
              <w:t>到10天</w:t>
            </w:r>
          </w:p>
        </w:tc>
        <w:tc>
          <w:tcPr>
            <w:tcW w:w="689" w:type="dxa"/>
            <w:vAlign w:val="top"/>
          </w:tcPr>
          <w:p>
            <w:pPr>
              <w:pStyle w:val="TableText"/>
              <w:ind w:left="205" w:right="144" w:hanging="99"/>
              <w:spacing w:before="96" w:line="216" w:lineRule="auto"/>
              <w:rPr>
                <w:sz w:val="13"/>
                <w:szCs w:val="13"/>
              </w:rPr>
            </w:pPr>
            <w:r>
              <w:rPr>
                <w:sz w:val="13"/>
                <w:szCs w:val="13"/>
                <w:spacing w:val="-4"/>
              </w:rPr>
              <w:t>(200ml/</w:t>
            </w:r>
            <w:r>
              <w:rPr>
                <w:sz w:val="13"/>
                <w:szCs w:val="13"/>
              </w:rPr>
              <w:t xml:space="preserve"> </w:t>
            </w:r>
            <w:r>
              <w:rPr>
                <w:sz w:val="13"/>
                <w:szCs w:val="13"/>
                <w:spacing w:val="11"/>
              </w:rPr>
              <w:t>瓶)</w:t>
            </w:r>
          </w:p>
        </w:tc>
        <w:tc>
          <w:tcPr>
            <w:tcW w:w="2703" w:type="dxa"/>
            <w:vAlign w:val="top"/>
          </w:tcPr>
          <w:p>
            <w:pPr>
              <w:pStyle w:val="TableText"/>
              <w:ind w:left="8"/>
              <w:spacing w:before="164" w:line="219" w:lineRule="auto"/>
              <w:rPr>
                <w:sz w:val="13"/>
                <w:szCs w:val="13"/>
              </w:rPr>
            </w:pPr>
            <w:r>
              <w:rPr>
                <w:sz w:val="13"/>
                <w:szCs w:val="13"/>
                <w:spacing w:val="-1"/>
              </w:rPr>
              <w:t>高渗透性，杀卷叶虫，包叶虫、斑潜蝇等</w:t>
            </w:r>
          </w:p>
        </w:tc>
      </w:tr>
      <w:tr>
        <w:trPr>
          <w:trHeight w:val="439" w:hRule="atLeast"/>
        </w:trPr>
        <w:tc>
          <w:tcPr>
            <w:tcW w:w="585"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c>
          <w:tcPr>
            <w:tcW w:w="1039" w:type="dxa"/>
            <w:vAlign w:val="top"/>
            <w:vMerge w:val="continue"/>
            <w:tcBorders>
              <w:top w:val="nil"/>
              <w:bottom w:val="nil"/>
            </w:tcBorders>
          </w:tcPr>
          <w:p>
            <w:pPr>
              <w:rPr>
                <w:rFonts w:ascii="Arial"/>
                <w:sz w:val="21"/>
              </w:rPr>
            </w:pPr>
            <w:r/>
          </w:p>
        </w:tc>
        <w:tc>
          <w:tcPr>
            <w:tcW w:w="2798" w:type="dxa"/>
            <w:vAlign w:val="top"/>
            <w:vMerge w:val="continue"/>
            <w:tcBorders>
              <w:top w:val="nil"/>
              <w:bottom w:val="nil"/>
            </w:tcBorders>
          </w:tcPr>
          <w:p>
            <w:pPr>
              <w:rPr>
                <w:rFonts w:ascii="Arial"/>
                <w:sz w:val="21"/>
              </w:rPr>
            </w:pPr>
            <w:r/>
          </w:p>
        </w:tc>
        <w:tc>
          <w:tcPr>
            <w:tcW w:w="949" w:type="dxa"/>
            <w:vAlign w:val="top"/>
          </w:tcPr>
          <w:p>
            <w:pPr>
              <w:pStyle w:val="TableText"/>
              <w:ind w:left="203"/>
              <w:spacing w:before="164" w:line="219" w:lineRule="auto"/>
              <w:rPr>
                <w:sz w:val="13"/>
                <w:szCs w:val="13"/>
              </w:rPr>
            </w:pPr>
            <w:r>
              <w:rPr>
                <w:sz w:val="13"/>
                <w:szCs w:val="13"/>
                <w:spacing w:val="1"/>
              </w:rPr>
              <w:t>国光毒箭</w:t>
            </w:r>
          </w:p>
        </w:tc>
        <w:tc>
          <w:tcPr>
            <w:tcW w:w="1909" w:type="dxa"/>
            <w:vAlign w:val="top"/>
          </w:tcPr>
          <w:p>
            <w:pPr>
              <w:pStyle w:val="TableText"/>
              <w:ind w:left="454"/>
              <w:spacing w:before="164" w:line="219" w:lineRule="auto"/>
              <w:rPr>
                <w:sz w:val="13"/>
                <w:szCs w:val="13"/>
              </w:rPr>
            </w:pPr>
            <w:r>
              <w:rPr>
                <w:sz w:val="13"/>
                <w:szCs w:val="13"/>
                <w:spacing w:val="2"/>
              </w:rPr>
              <w:t>20%氰戊菊酯乳油</w:t>
            </w:r>
          </w:p>
        </w:tc>
        <w:tc>
          <w:tcPr>
            <w:tcW w:w="1379" w:type="dxa"/>
            <w:vAlign w:val="top"/>
          </w:tcPr>
          <w:p>
            <w:pPr>
              <w:pStyle w:val="TableText"/>
              <w:ind w:right="13"/>
              <w:spacing w:before="164" w:line="219" w:lineRule="auto"/>
              <w:jc w:val="right"/>
              <w:rPr>
                <w:sz w:val="13"/>
                <w:szCs w:val="13"/>
              </w:rPr>
            </w:pPr>
            <w:r>
              <w:rPr>
                <w:sz w:val="13"/>
                <w:szCs w:val="13"/>
                <w:spacing w:val="-1"/>
              </w:rPr>
              <w:t>稀释2000-3000倍液</w:t>
            </w:r>
          </w:p>
        </w:tc>
        <w:tc>
          <w:tcPr>
            <w:tcW w:w="1289" w:type="dxa"/>
            <w:vAlign w:val="top"/>
            <w:vMerge w:val="continue"/>
            <w:tcBorders>
              <w:top w:val="nil"/>
              <w:bottom w:val="nil"/>
            </w:tcBorders>
          </w:tcPr>
          <w:p>
            <w:pPr>
              <w:rPr>
                <w:rFonts w:ascii="Arial"/>
                <w:sz w:val="21"/>
              </w:rPr>
            </w:pPr>
            <w:r/>
          </w:p>
        </w:tc>
        <w:tc>
          <w:tcPr>
            <w:tcW w:w="689" w:type="dxa"/>
            <w:vAlign w:val="top"/>
          </w:tcPr>
          <w:p>
            <w:pPr>
              <w:pStyle w:val="TableText"/>
              <w:ind w:left="235" w:right="144" w:hanging="129"/>
              <w:spacing w:before="86" w:line="228" w:lineRule="auto"/>
              <w:rPr>
                <w:sz w:val="13"/>
                <w:szCs w:val="13"/>
              </w:rPr>
            </w:pPr>
            <w:r>
              <w:rPr>
                <w:sz w:val="13"/>
                <w:szCs w:val="13"/>
                <w:spacing w:val="-4"/>
              </w:rPr>
              <w:t>(200ml/</w:t>
            </w:r>
            <w:r>
              <w:rPr>
                <w:sz w:val="13"/>
                <w:szCs w:val="13"/>
              </w:rPr>
              <w:t xml:space="preserve"> </w:t>
            </w:r>
            <w:r>
              <w:rPr>
                <w:sz w:val="13"/>
                <w:szCs w:val="13"/>
                <w:spacing w:val="-3"/>
              </w:rPr>
              <w:t>瓶</w:t>
            </w:r>
            <w:r>
              <w:rPr>
                <w:sz w:val="13"/>
                <w:szCs w:val="13"/>
                <w:spacing w:val="-21"/>
              </w:rPr>
              <w:t xml:space="preserve"> </w:t>
            </w:r>
            <w:r>
              <w:rPr>
                <w:sz w:val="13"/>
                <w:szCs w:val="13"/>
                <w:spacing w:val="-3"/>
              </w:rPr>
              <w:t>)</w:t>
            </w:r>
          </w:p>
        </w:tc>
        <w:tc>
          <w:tcPr>
            <w:tcW w:w="2703" w:type="dxa"/>
            <w:vAlign w:val="top"/>
          </w:tcPr>
          <w:p>
            <w:pPr>
              <w:pStyle w:val="TableText"/>
              <w:ind w:left="8"/>
              <w:spacing w:before="163" w:line="219" w:lineRule="auto"/>
              <w:rPr>
                <w:sz w:val="13"/>
                <w:szCs w:val="13"/>
              </w:rPr>
            </w:pPr>
            <w:r>
              <w:rPr>
                <w:sz w:val="13"/>
                <w:szCs w:val="13"/>
                <w:spacing w:val="-1"/>
              </w:rPr>
              <w:t>高效广谱、长效杀虫剂，杀食叶性害虫特效</w:t>
            </w:r>
          </w:p>
        </w:tc>
      </w:tr>
      <w:tr>
        <w:trPr>
          <w:trHeight w:val="574" w:hRule="atLeast"/>
        </w:trPr>
        <w:tc>
          <w:tcPr>
            <w:tcW w:w="585" w:type="dxa"/>
            <w:vAlign w:val="top"/>
            <w:vMerge w:val="continue"/>
            <w:tcBorders>
              <w:top w:val="nil"/>
            </w:tcBorders>
          </w:tcPr>
          <w:p>
            <w:pPr>
              <w:rPr>
                <w:rFonts w:ascii="Arial"/>
                <w:sz w:val="21"/>
              </w:rPr>
            </w:pPr>
            <w:r/>
          </w:p>
        </w:tc>
        <w:tc>
          <w:tcPr>
            <w:tcW w:w="620" w:type="dxa"/>
            <w:vAlign w:val="top"/>
            <w:vMerge w:val="continue"/>
            <w:tcBorders>
              <w:top w:val="nil"/>
            </w:tcBorders>
          </w:tcPr>
          <w:p>
            <w:pPr>
              <w:rPr>
                <w:rFonts w:ascii="Arial"/>
                <w:sz w:val="21"/>
              </w:rPr>
            </w:pPr>
            <w:r/>
          </w:p>
        </w:tc>
        <w:tc>
          <w:tcPr>
            <w:tcW w:w="1039" w:type="dxa"/>
            <w:vAlign w:val="top"/>
            <w:vMerge w:val="continue"/>
            <w:tcBorders>
              <w:top w:val="nil"/>
            </w:tcBorders>
          </w:tcPr>
          <w:p>
            <w:pPr>
              <w:rPr>
                <w:rFonts w:ascii="Arial"/>
                <w:sz w:val="21"/>
              </w:rPr>
            </w:pPr>
            <w:r/>
          </w:p>
        </w:tc>
        <w:tc>
          <w:tcPr>
            <w:tcW w:w="2798" w:type="dxa"/>
            <w:vAlign w:val="top"/>
            <w:vMerge w:val="continue"/>
            <w:tcBorders>
              <w:top w:val="nil"/>
            </w:tcBorders>
          </w:tcPr>
          <w:p>
            <w:pPr>
              <w:rPr>
                <w:rFonts w:ascii="Arial"/>
                <w:sz w:val="21"/>
              </w:rPr>
            </w:pPr>
            <w:r/>
          </w:p>
        </w:tc>
        <w:tc>
          <w:tcPr>
            <w:tcW w:w="949" w:type="dxa"/>
            <w:vAlign w:val="top"/>
          </w:tcPr>
          <w:p>
            <w:pPr>
              <w:pStyle w:val="TableText"/>
              <w:ind w:left="203"/>
              <w:spacing w:before="224" w:line="219" w:lineRule="auto"/>
              <w:rPr>
                <w:sz w:val="13"/>
                <w:szCs w:val="13"/>
              </w:rPr>
            </w:pPr>
            <w:r>
              <w:rPr>
                <w:sz w:val="13"/>
                <w:szCs w:val="13"/>
                <w:spacing w:val="-2"/>
              </w:rPr>
              <w:t>杀蛾机密</w:t>
            </w:r>
          </w:p>
        </w:tc>
        <w:tc>
          <w:tcPr>
            <w:tcW w:w="1909" w:type="dxa"/>
            <w:vAlign w:val="top"/>
          </w:tcPr>
          <w:p>
            <w:pPr>
              <w:pStyle w:val="TableText"/>
              <w:ind w:left="193"/>
              <w:spacing w:before="225" w:line="219" w:lineRule="auto"/>
              <w:rPr>
                <w:sz w:val="13"/>
                <w:szCs w:val="13"/>
              </w:rPr>
            </w:pPr>
            <w:r>
              <w:rPr>
                <w:sz w:val="13"/>
                <w:szCs w:val="13"/>
                <w:spacing w:val="-10"/>
              </w:rPr>
              <w:t>氰戊 ·马拉松</w:t>
            </w:r>
            <w:r>
              <w:rPr>
                <w:sz w:val="13"/>
                <w:szCs w:val="13"/>
                <w:spacing w:val="-15"/>
              </w:rPr>
              <w:t xml:space="preserve"> </w:t>
            </w:r>
            <w:r>
              <w:rPr>
                <w:sz w:val="13"/>
                <w:szCs w:val="13"/>
                <w:spacing w:val="-10"/>
              </w:rPr>
              <w:t>·</w:t>
            </w:r>
            <w:r>
              <w:rPr>
                <w:sz w:val="13"/>
                <w:szCs w:val="13"/>
                <w:spacing w:val="-44"/>
              </w:rPr>
              <w:t xml:space="preserve"> </w:t>
            </w:r>
            <w:r>
              <w:rPr>
                <w:sz w:val="13"/>
                <w:szCs w:val="13"/>
                <w:spacing w:val="-10"/>
              </w:rPr>
              <w:t>甲维盐20%</w:t>
            </w:r>
          </w:p>
        </w:tc>
        <w:tc>
          <w:tcPr>
            <w:tcW w:w="1379" w:type="dxa"/>
            <w:vAlign w:val="top"/>
          </w:tcPr>
          <w:p>
            <w:pPr>
              <w:pStyle w:val="TableText"/>
              <w:ind w:left="425"/>
              <w:spacing w:before="225" w:line="220" w:lineRule="auto"/>
              <w:rPr>
                <w:sz w:val="13"/>
                <w:szCs w:val="13"/>
              </w:rPr>
            </w:pPr>
            <w:r>
              <w:rPr>
                <w:sz w:val="13"/>
                <w:szCs w:val="13"/>
              </w:rPr>
              <w:t>1500倍液</w:t>
            </w:r>
          </w:p>
        </w:tc>
        <w:tc>
          <w:tcPr>
            <w:tcW w:w="1289" w:type="dxa"/>
            <w:vAlign w:val="top"/>
            <w:vMerge w:val="continue"/>
            <w:tcBorders>
              <w:top w:val="nil"/>
            </w:tcBorders>
          </w:tcPr>
          <w:p>
            <w:pPr>
              <w:rPr>
                <w:rFonts w:ascii="Arial"/>
                <w:sz w:val="21"/>
              </w:rPr>
            </w:pPr>
            <w:r/>
          </w:p>
        </w:tc>
        <w:tc>
          <w:tcPr>
            <w:tcW w:w="689" w:type="dxa"/>
            <w:vAlign w:val="top"/>
          </w:tcPr>
          <w:p>
            <w:pPr>
              <w:pStyle w:val="TableText"/>
              <w:ind w:left="17"/>
              <w:spacing w:before="225" w:line="221" w:lineRule="auto"/>
              <w:rPr>
                <w:sz w:val="13"/>
                <w:szCs w:val="13"/>
              </w:rPr>
            </w:pPr>
            <w:r>
              <w:rPr>
                <w:sz w:val="13"/>
                <w:szCs w:val="13"/>
                <w:spacing w:val="-1"/>
              </w:rPr>
              <w:t>200ml/瓶</w:t>
            </w:r>
          </w:p>
        </w:tc>
        <w:tc>
          <w:tcPr>
            <w:tcW w:w="2703" w:type="dxa"/>
            <w:vAlign w:val="top"/>
          </w:tcPr>
          <w:p>
            <w:pPr>
              <w:pStyle w:val="TableText"/>
              <w:ind w:left="8"/>
              <w:spacing w:before="225" w:line="219" w:lineRule="auto"/>
              <w:rPr>
                <w:sz w:val="13"/>
                <w:szCs w:val="13"/>
              </w:rPr>
            </w:pPr>
            <w:r>
              <w:rPr>
                <w:sz w:val="13"/>
                <w:szCs w:val="13"/>
              </w:rPr>
              <w:t>防治美国白蛾、菜蛾等蛾类害虫</w:t>
            </w:r>
          </w:p>
        </w:tc>
      </w:tr>
    </w:tbl>
    <w:p>
      <w:pPr>
        <w:spacing w:line="94" w:lineRule="exact"/>
        <w:rPr>
          <w:rFonts w:ascii="Arial"/>
          <w:sz w:val="8"/>
        </w:rPr>
      </w:pPr>
      <w:r/>
    </w:p>
    <w:p>
      <w:pPr>
        <w:spacing w:line="94" w:lineRule="exact"/>
        <w:sectPr>
          <w:pgSz w:w="14490" w:h="10240"/>
          <w:pgMar w:top="125" w:right="284" w:bottom="400" w:left="234" w:header="0" w:footer="0" w:gutter="0"/>
        </w:sectPr>
        <w:rPr>
          <w:rFonts w:ascii="Arial" w:hAnsi="Arial" w:eastAsia="Arial" w:cs="Arial"/>
          <w:sz w:val="8"/>
          <w:szCs w:val="8"/>
        </w:rPr>
      </w:pPr>
    </w:p>
    <w:tbl>
      <w:tblPr>
        <w:tblStyle w:val="TableNormal"/>
        <w:tblW w:w="139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85"/>
        <w:gridCol w:w="610"/>
        <w:gridCol w:w="1039"/>
        <w:gridCol w:w="2798"/>
        <w:gridCol w:w="959"/>
        <w:gridCol w:w="1909"/>
        <w:gridCol w:w="1369"/>
        <w:gridCol w:w="1289"/>
        <w:gridCol w:w="699"/>
        <w:gridCol w:w="2693"/>
      </w:tblGrid>
      <w:tr>
        <w:trPr>
          <w:trHeight w:val="659" w:hRule="atLeast"/>
        </w:trPr>
        <w:tc>
          <w:tcPr>
            <w:tcW w:w="585" w:type="dxa"/>
            <w:vAlign w:val="top"/>
            <w:tcBorders>
              <w:bottom w:val="single" w:color="000000" w:sz="2" w:space="0"/>
              <w:top w:val="single" w:color="000000" w:sz="2" w:space="0"/>
            </w:tcBorders>
          </w:tcPr>
          <w:p>
            <w:pPr>
              <w:pStyle w:val="TableText"/>
              <w:ind w:left="156"/>
              <w:spacing w:before="263" w:line="219" w:lineRule="auto"/>
              <w:rPr>
                <w:sz w:val="13"/>
                <w:szCs w:val="13"/>
              </w:rPr>
            </w:pPr>
            <w:r>
              <w:rPr>
                <w:sz w:val="13"/>
                <w:szCs w:val="13"/>
                <w:b/>
                <w:bCs/>
                <w:spacing w:val="-4"/>
              </w:rPr>
              <w:t>分类</w:t>
            </w:r>
          </w:p>
        </w:tc>
        <w:tc>
          <w:tcPr>
            <w:tcW w:w="610" w:type="dxa"/>
            <w:vAlign w:val="top"/>
            <w:tcBorders>
              <w:bottom w:val="single" w:color="000000" w:sz="2" w:space="0"/>
              <w:top w:val="single" w:color="000000" w:sz="2" w:space="0"/>
            </w:tcBorders>
          </w:tcPr>
          <w:p>
            <w:pPr>
              <w:pStyle w:val="TableText"/>
              <w:ind w:left="31"/>
              <w:spacing w:before="112" w:line="214" w:lineRule="auto"/>
              <w:rPr>
                <w:sz w:val="13"/>
                <w:szCs w:val="13"/>
              </w:rPr>
            </w:pPr>
            <w:r>
              <w:rPr>
                <w:sz w:val="13"/>
                <w:szCs w:val="13"/>
                <w:b/>
                <w:bCs/>
                <w:spacing w:val="-3"/>
              </w:rPr>
              <w:t>消杀预防</w:t>
            </w:r>
          </w:p>
          <w:p>
            <w:pPr>
              <w:pStyle w:val="TableText"/>
              <w:ind w:left="31"/>
              <w:spacing w:line="219" w:lineRule="auto"/>
              <w:rPr>
                <w:sz w:val="13"/>
                <w:szCs w:val="13"/>
              </w:rPr>
            </w:pPr>
            <w:r>
              <w:rPr>
                <w:sz w:val="13"/>
                <w:szCs w:val="13"/>
                <w:b/>
                <w:bCs/>
                <w:spacing w:val="-3"/>
              </w:rPr>
              <w:t>及病虫害</w:t>
            </w:r>
          </w:p>
          <w:p>
            <w:pPr>
              <w:pStyle w:val="TableText"/>
              <w:ind w:left="161"/>
              <w:spacing w:before="4" w:line="219" w:lineRule="auto"/>
              <w:rPr>
                <w:sz w:val="13"/>
                <w:szCs w:val="13"/>
              </w:rPr>
            </w:pPr>
            <w:r>
              <w:rPr>
                <w:sz w:val="13"/>
                <w:szCs w:val="13"/>
                <w:b/>
                <w:bCs/>
                <w:spacing w:val="-4"/>
              </w:rPr>
              <w:t>分类</w:t>
            </w:r>
          </w:p>
        </w:tc>
        <w:tc>
          <w:tcPr>
            <w:tcW w:w="1039" w:type="dxa"/>
            <w:vAlign w:val="top"/>
            <w:tcBorders>
              <w:bottom w:val="single" w:color="000000" w:sz="2" w:space="0"/>
              <w:top w:val="single" w:color="000000" w:sz="2" w:space="0"/>
            </w:tcBorders>
          </w:tcPr>
          <w:p>
            <w:pPr>
              <w:pStyle w:val="TableText"/>
              <w:ind w:left="181"/>
              <w:spacing w:before="263" w:line="219" w:lineRule="auto"/>
              <w:rPr>
                <w:sz w:val="13"/>
                <w:szCs w:val="13"/>
              </w:rPr>
            </w:pPr>
            <w:r>
              <w:rPr>
                <w:sz w:val="13"/>
                <w:szCs w:val="13"/>
                <w:b/>
                <w:bCs/>
                <w:spacing w:val="-3"/>
              </w:rPr>
              <w:t>常见病虫害</w:t>
            </w:r>
          </w:p>
        </w:tc>
        <w:tc>
          <w:tcPr>
            <w:tcW w:w="2798" w:type="dxa"/>
            <w:vAlign w:val="top"/>
            <w:tcBorders>
              <w:bottom w:val="single" w:color="000000" w:sz="2" w:space="0"/>
              <w:top w:val="single" w:color="000000" w:sz="2" w:space="0"/>
            </w:tcBorders>
          </w:tcPr>
          <w:p>
            <w:pPr>
              <w:pStyle w:val="TableText"/>
              <w:ind w:left="1022"/>
              <w:spacing w:before="263" w:line="219" w:lineRule="auto"/>
              <w:rPr>
                <w:sz w:val="13"/>
                <w:szCs w:val="13"/>
              </w:rPr>
            </w:pPr>
            <w:r>
              <w:rPr>
                <w:sz w:val="13"/>
                <w:szCs w:val="13"/>
                <w:b/>
                <w:bCs/>
                <w:spacing w:val="-3"/>
              </w:rPr>
              <w:t>主要发病月份</w:t>
            </w:r>
          </w:p>
        </w:tc>
        <w:tc>
          <w:tcPr>
            <w:tcW w:w="959" w:type="dxa"/>
            <w:vAlign w:val="top"/>
            <w:tcBorders>
              <w:bottom w:val="single" w:color="000000" w:sz="2" w:space="0"/>
              <w:top w:val="single" w:color="000000" w:sz="2" w:space="0"/>
            </w:tcBorders>
          </w:tcPr>
          <w:p>
            <w:pPr>
              <w:pStyle w:val="TableText"/>
              <w:ind w:left="214"/>
              <w:spacing w:before="263" w:line="220" w:lineRule="auto"/>
              <w:rPr>
                <w:sz w:val="13"/>
                <w:szCs w:val="13"/>
              </w:rPr>
            </w:pPr>
            <w:r>
              <w:rPr>
                <w:sz w:val="13"/>
                <w:szCs w:val="13"/>
                <w:b/>
                <w:bCs/>
                <w:spacing w:val="-3"/>
              </w:rPr>
              <w:t>药品名称</w:t>
            </w:r>
          </w:p>
        </w:tc>
        <w:tc>
          <w:tcPr>
            <w:tcW w:w="1909" w:type="dxa"/>
            <w:vAlign w:val="top"/>
            <w:tcBorders>
              <w:bottom w:val="single" w:color="000000" w:sz="2" w:space="0"/>
              <w:top w:val="single" w:color="000000" w:sz="2" w:space="0"/>
            </w:tcBorders>
          </w:tcPr>
          <w:p>
            <w:pPr>
              <w:pStyle w:val="TableText"/>
              <w:ind w:left="685"/>
              <w:spacing w:before="263" w:line="220" w:lineRule="auto"/>
              <w:rPr>
                <w:sz w:val="13"/>
                <w:szCs w:val="13"/>
              </w:rPr>
            </w:pPr>
            <w:r>
              <w:rPr>
                <w:sz w:val="13"/>
                <w:szCs w:val="13"/>
                <w:b/>
                <w:bCs/>
                <w:spacing w:val="-3"/>
              </w:rPr>
              <w:t>主要成分</w:t>
            </w:r>
          </w:p>
        </w:tc>
        <w:tc>
          <w:tcPr>
            <w:tcW w:w="1369" w:type="dxa"/>
            <w:vAlign w:val="top"/>
            <w:tcBorders>
              <w:bottom w:val="single" w:color="000000" w:sz="2" w:space="0"/>
              <w:top w:val="single" w:color="000000" w:sz="2" w:space="0"/>
            </w:tcBorders>
          </w:tcPr>
          <w:p>
            <w:pPr>
              <w:pStyle w:val="TableText"/>
              <w:ind w:left="416"/>
              <w:spacing w:before="263" w:line="219" w:lineRule="auto"/>
              <w:rPr>
                <w:sz w:val="13"/>
                <w:szCs w:val="13"/>
              </w:rPr>
            </w:pPr>
            <w:r>
              <w:rPr>
                <w:sz w:val="13"/>
                <w:szCs w:val="13"/>
                <w:b/>
                <w:bCs/>
                <w:spacing w:val="-3"/>
              </w:rPr>
              <w:t>使用倍率</w:t>
            </w:r>
          </w:p>
        </w:tc>
        <w:tc>
          <w:tcPr>
            <w:tcW w:w="1289" w:type="dxa"/>
            <w:vAlign w:val="top"/>
            <w:tcBorders>
              <w:bottom w:val="single" w:color="000000" w:sz="2" w:space="0"/>
              <w:top w:val="single" w:color="000000" w:sz="2" w:space="0"/>
            </w:tcBorders>
          </w:tcPr>
          <w:p>
            <w:pPr>
              <w:pStyle w:val="TableText"/>
              <w:ind w:left="377"/>
              <w:spacing w:before="263" w:line="219" w:lineRule="auto"/>
              <w:rPr>
                <w:sz w:val="13"/>
                <w:szCs w:val="13"/>
              </w:rPr>
            </w:pPr>
            <w:r>
              <w:rPr>
                <w:sz w:val="13"/>
                <w:szCs w:val="13"/>
                <w:b/>
                <w:bCs/>
                <w:spacing w:val="-3"/>
              </w:rPr>
              <w:t>施用次数</w:t>
            </w:r>
          </w:p>
        </w:tc>
        <w:tc>
          <w:tcPr>
            <w:tcW w:w="699" w:type="dxa"/>
            <w:vAlign w:val="top"/>
            <w:tcBorders>
              <w:bottom w:val="single" w:color="000000" w:sz="2" w:space="0"/>
              <w:top w:val="single" w:color="000000" w:sz="2" w:space="0"/>
            </w:tcBorders>
          </w:tcPr>
          <w:p>
            <w:pPr>
              <w:pStyle w:val="TableText"/>
              <w:ind w:left="218"/>
              <w:spacing w:before="263" w:line="219" w:lineRule="auto"/>
              <w:rPr>
                <w:sz w:val="13"/>
                <w:szCs w:val="13"/>
              </w:rPr>
            </w:pPr>
            <w:r>
              <w:rPr>
                <w:sz w:val="13"/>
                <w:szCs w:val="13"/>
                <w:b/>
                <w:bCs/>
                <w:spacing w:val="-3"/>
              </w:rPr>
              <w:t>规格</w:t>
            </w:r>
          </w:p>
        </w:tc>
        <w:tc>
          <w:tcPr>
            <w:tcW w:w="2693" w:type="dxa"/>
            <w:vAlign w:val="top"/>
            <w:tcBorders>
              <w:bottom w:val="single" w:color="000000" w:sz="2" w:space="0"/>
              <w:top w:val="single" w:color="000000" w:sz="2" w:space="0"/>
            </w:tcBorders>
          </w:tcPr>
          <w:p>
            <w:pPr>
              <w:pStyle w:val="TableText"/>
              <w:ind w:left="1229"/>
              <w:spacing w:before="263" w:line="221" w:lineRule="auto"/>
              <w:rPr>
                <w:sz w:val="13"/>
                <w:szCs w:val="13"/>
              </w:rPr>
            </w:pPr>
            <w:r>
              <w:rPr>
                <w:sz w:val="13"/>
                <w:szCs w:val="13"/>
                <w:b/>
                <w:bCs/>
                <w:spacing w:val="-4"/>
              </w:rPr>
              <w:t>备注</w:t>
            </w:r>
          </w:p>
        </w:tc>
      </w:tr>
      <w:tr>
        <w:trPr>
          <w:trHeight w:val="484" w:hRule="atLeast"/>
        </w:trPr>
        <w:tc>
          <w:tcPr>
            <w:tcW w:w="585" w:type="dxa"/>
            <w:vAlign w:val="top"/>
            <w:vMerge w:val="restart"/>
            <w:tcBorders>
              <w:bottom w:val="nil"/>
              <w:top w:val="single" w:color="000000" w:sz="2" w:space="0"/>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84"/>
              <w:spacing w:before="42" w:line="218" w:lineRule="auto"/>
              <w:rPr>
                <w:sz w:val="13"/>
                <w:szCs w:val="13"/>
              </w:rPr>
            </w:pPr>
            <w:r>
              <w:rPr>
                <w:sz w:val="13"/>
                <w:szCs w:val="13"/>
                <w:spacing w:val="-2"/>
              </w:rPr>
              <w:t>杀虫剂</w:t>
            </w:r>
          </w:p>
        </w:tc>
        <w:tc>
          <w:tcPr>
            <w:tcW w:w="610" w:type="dxa"/>
            <w:vAlign w:val="top"/>
            <w:vMerge w:val="restart"/>
            <w:tcBorders>
              <w:bottom w:val="nil"/>
              <w:top w:val="single" w:color="000000" w:sz="2" w:space="0"/>
            </w:tcBorders>
          </w:tcPr>
          <w:p>
            <w:pPr>
              <w:spacing w:line="395" w:lineRule="auto"/>
              <w:rPr>
                <w:rFonts w:ascii="Arial"/>
                <w:sz w:val="21"/>
              </w:rPr>
            </w:pPr>
            <w:r/>
          </w:p>
          <w:p>
            <w:pPr>
              <w:pStyle w:val="TableText"/>
              <w:ind w:left="30"/>
              <w:spacing w:before="42" w:line="219" w:lineRule="auto"/>
              <w:rPr>
                <w:sz w:val="13"/>
                <w:szCs w:val="13"/>
              </w:rPr>
            </w:pPr>
            <w:r>
              <w:rPr>
                <w:sz w:val="13"/>
                <w:szCs w:val="13"/>
                <w:spacing w:val="-1"/>
              </w:rPr>
              <w:t>刺吸害虫</w:t>
            </w:r>
          </w:p>
        </w:tc>
        <w:tc>
          <w:tcPr>
            <w:tcW w:w="1039" w:type="dxa"/>
            <w:vAlign w:val="top"/>
            <w:vMerge w:val="restart"/>
            <w:tcBorders>
              <w:bottom w:val="nil"/>
              <w:top w:val="single" w:color="000000" w:sz="2" w:space="0"/>
            </w:tcBorders>
          </w:tcPr>
          <w:p>
            <w:pPr>
              <w:spacing w:line="246" w:lineRule="auto"/>
              <w:rPr>
                <w:rFonts w:ascii="Arial"/>
                <w:sz w:val="21"/>
              </w:rPr>
            </w:pPr>
            <w:r/>
          </w:p>
          <w:p>
            <w:pPr>
              <w:pStyle w:val="TableText"/>
              <w:spacing w:before="42" w:line="213" w:lineRule="auto"/>
              <w:jc w:val="right"/>
              <w:rPr>
                <w:sz w:val="13"/>
                <w:szCs w:val="13"/>
              </w:rPr>
            </w:pPr>
            <w:r>
              <w:rPr>
                <w:sz w:val="13"/>
                <w:szCs w:val="13"/>
                <w:spacing w:val="-3"/>
              </w:rPr>
              <w:t>球坚蚧、腊蚧、粉</w:t>
            </w:r>
          </w:p>
          <w:p>
            <w:pPr>
              <w:pStyle w:val="TableText"/>
              <w:spacing w:line="198" w:lineRule="auto"/>
              <w:jc w:val="right"/>
              <w:rPr>
                <w:sz w:val="13"/>
                <w:szCs w:val="13"/>
              </w:rPr>
            </w:pPr>
            <w:r>
              <w:rPr>
                <w:sz w:val="13"/>
                <w:szCs w:val="13"/>
                <w:spacing w:val="-5"/>
              </w:rPr>
              <w:t>蚧、吹棉蚧、白蜻</w:t>
            </w:r>
          </w:p>
          <w:p>
            <w:pPr>
              <w:pStyle w:val="TableText"/>
              <w:spacing w:line="219" w:lineRule="auto"/>
              <w:jc w:val="right"/>
              <w:rPr>
                <w:sz w:val="13"/>
                <w:szCs w:val="13"/>
              </w:rPr>
            </w:pPr>
            <w:r>
              <w:rPr>
                <w:sz w:val="13"/>
                <w:szCs w:val="13"/>
                <w:spacing w:val="-3"/>
              </w:rPr>
              <w:t>绵粉蚧、草履蚡等</w:t>
            </w:r>
          </w:p>
        </w:tc>
        <w:tc>
          <w:tcPr>
            <w:tcW w:w="2798" w:type="dxa"/>
            <w:vAlign w:val="top"/>
            <w:vMerge w:val="restart"/>
            <w:tcBorders>
              <w:bottom w:val="nil"/>
              <w:top w:val="single" w:color="000000" w:sz="2" w:space="0"/>
            </w:tcBorders>
          </w:tcPr>
          <w:p>
            <w:pPr>
              <w:pStyle w:val="TableText"/>
              <w:ind w:left="1" w:right="5"/>
              <w:spacing w:before="209" w:line="213" w:lineRule="auto"/>
              <w:rPr>
                <w:sz w:val="13"/>
                <w:szCs w:val="13"/>
              </w:rPr>
            </w:pPr>
            <w:r>
              <w:rPr>
                <w:sz w:val="13"/>
                <w:szCs w:val="13"/>
                <w:spacing w:val="-1"/>
              </w:rPr>
              <w:t>一，3月已经有成虫出现，配合春季消杀。预防为</w:t>
            </w:r>
            <w:r>
              <w:rPr>
                <w:sz w:val="13"/>
                <w:szCs w:val="13"/>
                <w:spacing w:val="7"/>
              </w:rPr>
              <w:t xml:space="preserve"> </w:t>
            </w:r>
            <w:r>
              <w:rPr>
                <w:sz w:val="13"/>
                <w:szCs w:val="13"/>
                <w:spacing w:val="-4"/>
              </w:rPr>
              <w:t>主</w:t>
            </w:r>
            <w:r>
              <w:rPr>
                <w:sz w:val="13"/>
                <w:szCs w:val="13"/>
                <w:spacing w:val="-23"/>
              </w:rPr>
              <w:t xml:space="preserve"> </w:t>
            </w:r>
            <w:r>
              <w:rPr>
                <w:sz w:val="13"/>
                <w:szCs w:val="13"/>
                <w:spacing w:val="-4"/>
              </w:rPr>
              <w:t>：</w:t>
            </w:r>
          </w:p>
          <w:p>
            <w:pPr>
              <w:pStyle w:val="TableText"/>
              <w:ind w:left="1" w:right="1"/>
              <w:spacing w:line="227" w:lineRule="auto"/>
              <w:rPr>
                <w:sz w:val="13"/>
                <w:szCs w:val="13"/>
              </w:rPr>
            </w:pPr>
            <w:r>
              <w:rPr>
                <w:sz w:val="13"/>
                <w:szCs w:val="13"/>
                <w:spacing w:val="-9"/>
              </w:rPr>
              <w:t>三</w:t>
            </w:r>
            <w:r>
              <w:rPr>
                <w:sz w:val="13"/>
                <w:szCs w:val="13"/>
                <w:spacing w:val="-8"/>
              </w:rPr>
              <w:t>、4-10月为均有零星出现，有发现病</w:t>
            </w:r>
            <w:r>
              <w:rPr>
                <w:sz w:val="13"/>
                <w:szCs w:val="13"/>
                <w:spacing w:val="-9"/>
              </w:rPr>
              <w:t>情，及时喷</w:t>
            </w:r>
            <w:r>
              <w:rPr>
                <w:sz w:val="13"/>
                <w:szCs w:val="13"/>
                <w:spacing w:val="-8"/>
              </w:rPr>
              <w:t>药</w:t>
            </w:r>
            <w:r>
              <w:rPr>
                <w:sz w:val="13"/>
                <w:szCs w:val="13"/>
              </w:rPr>
              <w:t xml:space="preserve"> </w:t>
            </w:r>
            <w:r>
              <w:rPr>
                <w:sz w:val="13"/>
                <w:szCs w:val="13"/>
                <w:spacing w:val="1"/>
              </w:rPr>
              <w:t>处理。</w:t>
            </w:r>
          </w:p>
        </w:tc>
        <w:tc>
          <w:tcPr>
            <w:tcW w:w="959" w:type="dxa"/>
            <w:vAlign w:val="top"/>
            <w:tcBorders>
              <w:bottom w:val="single" w:color="000000" w:sz="2" w:space="0"/>
              <w:top w:val="single" w:color="000000" w:sz="2" w:space="0"/>
            </w:tcBorders>
          </w:tcPr>
          <w:p>
            <w:pPr>
              <w:pStyle w:val="TableText"/>
              <w:ind w:left="143"/>
              <w:spacing w:before="180" w:line="219" w:lineRule="auto"/>
              <w:rPr>
                <w:sz w:val="13"/>
                <w:szCs w:val="13"/>
              </w:rPr>
            </w:pPr>
            <w:r>
              <w:rPr>
                <w:sz w:val="13"/>
                <w:szCs w:val="13"/>
                <w:spacing w:val="2"/>
              </w:rPr>
              <w:t>国光蚡必治</w:t>
            </w:r>
          </w:p>
        </w:tc>
        <w:tc>
          <w:tcPr>
            <w:tcW w:w="1909" w:type="dxa"/>
            <w:vAlign w:val="top"/>
            <w:tcBorders>
              <w:bottom w:val="single" w:color="000000" w:sz="2" w:space="0"/>
              <w:top w:val="single" w:color="000000" w:sz="2" w:space="0"/>
            </w:tcBorders>
          </w:tcPr>
          <w:p>
            <w:pPr>
              <w:pStyle w:val="TableText"/>
              <w:ind w:left="264"/>
              <w:spacing w:before="180" w:line="219" w:lineRule="auto"/>
              <w:rPr>
                <w:sz w:val="13"/>
                <w:szCs w:val="13"/>
              </w:rPr>
            </w:pPr>
            <w:r>
              <w:rPr>
                <w:sz w:val="13"/>
                <w:szCs w:val="13"/>
                <w:spacing w:val="-5"/>
              </w:rPr>
              <w:t>40%咤虫睐</w:t>
            </w:r>
            <w:r>
              <w:rPr>
                <w:sz w:val="13"/>
                <w:szCs w:val="13"/>
                <w:spacing w:val="-11"/>
              </w:rPr>
              <w:t xml:space="preserve"> </w:t>
            </w:r>
            <w:r>
              <w:rPr>
                <w:sz w:val="13"/>
                <w:szCs w:val="13"/>
                <w:spacing w:val="-5"/>
              </w:rPr>
              <w:t>·毒死蟀乳油</w:t>
            </w:r>
          </w:p>
        </w:tc>
        <w:tc>
          <w:tcPr>
            <w:tcW w:w="1369" w:type="dxa"/>
            <w:vAlign w:val="top"/>
            <w:tcBorders>
              <w:bottom w:val="single" w:color="000000" w:sz="2" w:space="0"/>
              <w:top w:val="single" w:color="000000" w:sz="2" w:space="0"/>
            </w:tcBorders>
          </w:tcPr>
          <w:p>
            <w:pPr>
              <w:pStyle w:val="TableText"/>
              <w:ind w:left="125"/>
              <w:spacing w:before="180" w:line="219" w:lineRule="auto"/>
              <w:rPr>
                <w:sz w:val="13"/>
                <w:szCs w:val="13"/>
              </w:rPr>
            </w:pPr>
            <w:r>
              <w:rPr>
                <w:sz w:val="13"/>
                <w:szCs w:val="13"/>
                <w:spacing w:val="-1"/>
              </w:rPr>
              <w:t>稀释2000-3000倍液</w:t>
            </w:r>
          </w:p>
        </w:tc>
        <w:tc>
          <w:tcPr>
            <w:tcW w:w="1289" w:type="dxa"/>
            <w:vAlign w:val="top"/>
            <w:vMerge w:val="restart"/>
            <w:tcBorders>
              <w:bottom w:val="nil"/>
              <w:top w:val="single" w:color="000000" w:sz="2" w:space="0"/>
            </w:tcBorders>
          </w:tcPr>
          <w:p>
            <w:pPr>
              <w:spacing w:line="246" w:lineRule="auto"/>
              <w:rPr>
                <w:rFonts w:ascii="Arial"/>
                <w:sz w:val="21"/>
              </w:rPr>
            </w:pPr>
            <w:r/>
          </w:p>
          <w:p>
            <w:pPr>
              <w:pStyle w:val="TableText"/>
              <w:spacing w:before="42" w:line="219" w:lineRule="auto"/>
              <w:jc w:val="right"/>
              <w:rPr>
                <w:sz w:val="13"/>
                <w:szCs w:val="13"/>
              </w:rPr>
            </w:pPr>
            <w:r>
              <w:rPr>
                <w:sz w:val="13"/>
                <w:szCs w:val="13"/>
                <w:spacing w:val="-4"/>
              </w:rPr>
              <w:t>一般用3次，时间间隔7</w:t>
            </w:r>
          </w:p>
          <w:p>
            <w:pPr>
              <w:pStyle w:val="TableText"/>
              <w:spacing w:before="5" w:line="198" w:lineRule="auto"/>
              <w:jc w:val="right"/>
              <w:rPr>
                <w:sz w:val="13"/>
                <w:szCs w:val="13"/>
              </w:rPr>
            </w:pPr>
            <w:r>
              <w:rPr>
                <w:sz w:val="13"/>
                <w:szCs w:val="13"/>
                <w:spacing w:val="-4"/>
              </w:rPr>
              <w:t>到10天，视现场情况可</w:t>
            </w:r>
          </w:p>
          <w:p>
            <w:pPr>
              <w:pStyle w:val="TableText"/>
              <w:ind w:left="376"/>
              <w:spacing w:line="219" w:lineRule="auto"/>
              <w:rPr>
                <w:sz w:val="13"/>
                <w:szCs w:val="13"/>
              </w:rPr>
            </w:pPr>
            <w:r>
              <w:rPr>
                <w:sz w:val="13"/>
                <w:szCs w:val="13"/>
                <w:spacing w:val="-2"/>
              </w:rPr>
              <w:t>增加次数</w:t>
            </w:r>
          </w:p>
        </w:tc>
        <w:tc>
          <w:tcPr>
            <w:tcW w:w="699" w:type="dxa"/>
            <w:vAlign w:val="top"/>
            <w:tcBorders>
              <w:bottom w:val="single" w:color="000000" w:sz="2" w:space="0"/>
              <w:top w:val="single" w:color="000000" w:sz="2" w:space="0"/>
            </w:tcBorders>
          </w:tcPr>
          <w:p>
            <w:pPr>
              <w:pStyle w:val="TableText"/>
              <w:ind w:left="245" w:right="179" w:hanging="99"/>
              <w:spacing w:before="115" w:line="223" w:lineRule="auto"/>
              <w:rPr>
                <w:sz w:val="13"/>
                <w:szCs w:val="13"/>
              </w:rPr>
            </w:pPr>
            <w:r>
              <w:rPr>
                <w:sz w:val="13"/>
                <w:szCs w:val="13"/>
                <w:spacing w:val="-5"/>
              </w:rPr>
              <w:t>(200g/</w:t>
            </w:r>
            <w:r>
              <w:rPr>
                <w:sz w:val="13"/>
                <w:szCs w:val="13"/>
                <w:spacing w:val="1"/>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180" w:line="218" w:lineRule="auto"/>
              <w:rPr>
                <w:sz w:val="13"/>
                <w:szCs w:val="13"/>
              </w:rPr>
            </w:pPr>
            <w:r>
              <w:rPr>
                <w:sz w:val="13"/>
                <w:szCs w:val="13"/>
                <w:spacing w:val="-1"/>
              </w:rPr>
              <w:t>专杀介壳虫。木强，食叶类害虫，地下害虫</w:t>
            </w:r>
          </w:p>
        </w:tc>
      </w:tr>
      <w:tr>
        <w:trPr>
          <w:trHeight w:val="51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single" w:color="000000" w:sz="2" w:space="0"/>
              <w:top w:val="nil"/>
            </w:tcBorders>
          </w:tcPr>
          <w:p>
            <w:pPr>
              <w:rPr>
                <w:rFonts w:ascii="Arial"/>
                <w:sz w:val="21"/>
              </w:rPr>
            </w:pPr>
            <w:r/>
          </w:p>
        </w:tc>
        <w:tc>
          <w:tcPr>
            <w:tcW w:w="1039" w:type="dxa"/>
            <w:vAlign w:val="top"/>
            <w:vMerge w:val="continue"/>
            <w:tcBorders>
              <w:bottom w:val="single" w:color="000000" w:sz="2" w:space="0"/>
              <w:top w:val="nil"/>
            </w:tcBorders>
          </w:tcPr>
          <w:p>
            <w:pPr>
              <w:rPr>
                <w:rFonts w:ascii="Arial"/>
                <w:sz w:val="21"/>
              </w:rPr>
            </w:pPr>
            <w:r/>
          </w:p>
        </w:tc>
        <w:tc>
          <w:tcPr>
            <w:tcW w:w="2798" w:type="dxa"/>
            <w:vAlign w:val="top"/>
            <w:vMerge w:val="continue"/>
            <w:tcBorders>
              <w:bottom w:val="single" w:color="000000" w:sz="2" w:space="0"/>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43"/>
              <w:spacing w:before="190" w:line="220" w:lineRule="auto"/>
              <w:rPr>
                <w:sz w:val="13"/>
                <w:szCs w:val="13"/>
              </w:rPr>
            </w:pPr>
            <w:r>
              <w:rPr>
                <w:sz w:val="13"/>
                <w:szCs w:val="13"/>
                <w:spacing w:val="1"/>
              </w:rPr>
              <w:t>中威捕捉手</w:t>
            </w:r>
          </w:p>
        </w:tc>
        <w:tc>
          <w:tcPr>
            <w:tcW w:w="1909" w:type="dxa"/>
            <w:vAlign w:val="top"/>
            <w:tcBorders>
              <w:bottom w:val="single" w:color="000000" w:sz="2" w:space="0"/>
              <w:top w:val="single" w:color="000000" w:sz="2" w:space="0"/>
            </w:tcBorders>
          </w:tcPr>
          <w:p>
            <w:pPr>
              <w:pStyle w:val="TableText"/>
              <w:ind w:left="454"/>
              <w:spacing w:before="190" w:line="219" w:lineRule="auto"/>
              <w:rPr>
                <w:sz w:val="13"/>
                <w:szCs w:val="13"/>
              </w:rPr>
            </w:pPr>
            <w:r>
              <w:rPr>
                <w:sz w:val="13"/>
                <w:szCs w:val="13"/>
                <w:spacing w:val="-7"/>
              </w:rPr>
              <w:t>高氯</w:t>
            </w:r>
            <w:r>
              <w:rPr>
                <w:sz w:val="13"/>
                <w:szCs w:val="13"/>
                <w:spacing w:val="-12"/>
              </w:rPr>
              <w:t xml:space="preserve"> </w:t>
            </w:r>
            <w:r>
              <w:rPr>
                <w:sz w:val="13"/>
                <w:szCs w:val="13"/>
                <w:spacing w:val="-7"/>
              </w:rPr>
              <w:t>·毒死蟀15%</w:t>
            </w:r>
          </w:p>
        </w:tc>
        <w:tc>
          <w:tcPr>
            <w:tcW w:w="1369" w:type="dxa"/>
            <w:vAlign w:val="top"/>
            <w:tcBorders>
              <w:bottom w:val="single" w:color="000000" w:sz="2" w:space="0"/>
              <w:top w:val="single" w:color="000000" w:sz="2" w:space="0"/>
            </w:tcBorders>
          </w:tcPr>
          <w:p>
            <w:pPr>
              <w:pStyle w:val="TableText"/>
              <w:ind w:left="345"/>
              <w:spacing w:before="190" w:line="220" w:lineRule="auto"/>
              <w:rPr>
                <w:sz w:val="13"/>
                <w:szCs w:val="13"/>
              </w:rPr>
            </w:pPr>
            <w:r>
              <w:rPr>
                <w:sz w:val="13"/>
                <w:szCs w:val="13"/>
                <w:spacing w:val="-2"/>
              </w:rPr>
              <w:t>1000-1500倍液</w:t>
            </w:r>
          </w:p>
        </w:tc>
        <w:tc>
          <w:tcPr>
            <w:tcW w:w="128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15" w:right="144" w:hanging="99"/>
              <w:spacing w:before="132" w:line="216" w:lineRule="auto"/>
              <w:rPr>
                <w:sz w:val="13"/>
                <w:szCs w:val="13"/>
              </w:rPr>
            </w:pPr>
            <w:r>
              <w:rPr>
                <w:sz w:val="13"/>
                <w:szCs w:val="13"/>
                <w:spacing w:val="-4"/>
              </w:rPr>
              <w:t>(200ml/</w:t>
            </w:r>
            <w:r>
              <w:rPr>
                <w:sz w:val="13"/>
                <w:szCs w:val="13"/>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130" w:line="229" w:lineRule="auto"/>
              <w:rPr>
                <w:sz w:val="13"/>
                <w:szCs w:val="13"/>
              </w:rPr>
            </w:pPr>
            <w:r>
              <w:rPr>
                <w:sz w:val="13"/>
                <w:szCs w:val="13"/>
                <w:spacing w:val="-10"/>
              </w:rPr>
              <w:t>主</w:t>
            </w:r>
            <w:r>
              <w:rPr>
                <w:sz w:val="13"/>
                <w:szCs w:val="13"/>
                <w:spacing w:val="-9"/>
              </w:rPr>
              <w:t>蔓防治蚧壳虫。叶蝉，斑潜蝎及鳞翅目幼虫、</w:t>
            </w:r>
            <w:r>
              <w:rPr>
                <w:sz w:val="13"/>
                <w:szCs w:val="13"/>
                <w:spacing w:val="-8"/>
              </w:rPr>
              <w:t>飞</w:t>
            </w:r>
            <w:r>
              <w:rPr>
                <w:sz w:val="13"/>
                <w:szCs w:val="13"/>
                <w:spacing w:val="1"/>
              </w:rPr>
              <w:t xml:space="preserve"> </w:t>
            </w:r>
            <w:r>
              <w:rPr>
                <w:sz w:val="13"/>
                <w:szCs w:val="13"/>
                <w:spacing w:val="-3"/>
              </w:rPr>
              <w:t>虱等</w:t>
            </w:r>
          </w:p>
        </w:tc>
      </w:tr>
      <w:tr>
        <w:trPr>
          <w:trHeight w:val="475" w:hRule="atLeast"/>
        </w:trPr>
        <w:tc>
          <w:tcPr>
            <w:tcW w:w="585" w:type="dxa"/>
            <w:vAlign w:val="top"/>
            <w:vMerge w:val="continue"/>
            <w:tcBorders>
              <w:bottom w:val="nil"/>
              <w:top w:val="nil"/>
            </w:tcBorders>
          </w:tcPr>
          <w:p>
            <w:pPr>
              <w:rPr>
                <w:rFonts w:ascii="Arial"/>
                <w:sz w:val="21"/>
              </w:rPr>
            </w:pPr>
            <w:r/>
          </w:p>
        </w:tc>
        <w:tc>
          <w:tcPr>
            <w:tcW w:w="610" w:type="dxa"/>
            <w:vAlign w:val="top"/>
            <w:vMerge w:val="restart"/>
            <w:tcBorders>
              <w:bottom w:val="nil"/>
              <w:top w:val="single" w:color="000000" w:sz="2" w:space="0"/>
            </w:tcBorders>
          </w:tcPr>
          <w:p>
            <w:pPr>
              <w:spacing w:line="386" w:lineRule="auto"/>
              <w:rPr>
                <w:rFonts w:ascii="Arial"/>
                <w:sz w:val="21"/>
              </w:rPr>
            </w:pPr>
            <w:r/>
          </w:p>
          <w:p>
            <w:pPr>
              <w:pStyle w:val="TableText"/>
              <w:ind w:left="30"/>
              <w:spacing w:before="42" w:line="219" w:lineRule="auto"/>
              <w:rPr>
                <w:sz w:val="13"/>
                <w:szCs w:val="13"/>
              </w:rPr>
            </w:pPr>
            <w:r>
              <w:rPr>
                <w:sz w:val="13"/>
                <w:szCs w:val="13"/>
                <w:spacing w:val="-1"/>
              </w:rPr>
              <w:t>刺吸害虫</w:t>
            </w:r>
          </w:p>
        </w:tc>
        <w:tc>
          <w:tcPr>
            <w:tcW w:w="1039" w:type="dxa"/>
            <w:vAlign w:val="top"/>
            <w:vMerge w:val="restart"/>
            <w:tcBorders>
              <w:bottom w:val="nil"/>
              <w:top w:val="single" w:color="000000" w:sz="2" w:space="0"/>
            </w:tcBorders>
          </w:tcPr>
          <w:p>
            <w:pPr>
              <w:pStyle w:val="TableText"/>
              <w:spacing w:before="271" w:line="212" w:lineRule="auto"/>
              <w:jc w:val="right"/>
              <w:rPr>
                <w:sz w:val="13"/>
                <w:szCs w:val="13"/>
              </w:rPr>
            </w:pPr>
            <w:r>
              <w:rPr>
                <w:sz w:val="13"/>
                <w:szCs w:val="13"/>
                <w:spacing w:val="-3"/>
              </w:rPr>
              <w:t>蚜虫、红蜘蛛、大</w:t>
            </w:r>
          </w:p>
          <w:p>
            <w:pPr>
              <w:pStyle w:val="TableText"/>
              <w:ind w:left="433" w:hanging="423"/>
              <w:spacing w:line="211" w:lineRule="auto"/>
              <w:rPr>
                <w:sz w:val="13"/>
                <w:szCs w:val="13"/>
              </w:rPr>
            </w:pPr>
            <w:r>
              <w:rPr>
                <w:sz w:val="13"/>
                <w:szCs w:val="13"/>
                <w:spacing w:val="-3"/>
              </w:rPr>
              <w:t>青叶蝉、木虱、粉</w:t>
            </w:r>
            <w:r>
              <w:rPr>
                <w:sz w:val="13"/>
                <w:szCs w:val="13"/>
                <w:spacing w:val="1"/>
              </w:rPr>
              <w:t xml:space="preserve"> </w:t>
            </w:r>
            <w:r>
              <w:rPr>
                <w:sz w:val="13"/>
                <w:szCs w:val="13"/>
              </w:rPr>
              <w:t>系</w:t>
            </w:r>
          </w:p>
        </w:tc>
        <w:tc>
          <w:tcPr>
            <w:tcW w:w="2798" w:type="dxa"/>
            <w:vAlign w:val="top"/>
            <w:vMerge w:val="restart"/>
            <w:tcBorders>
              <w:bottom w:val="nil"/>
              <w:top w:val="single" w:color="000000" w:sz="2" w:space="0"/>
            </w:tcBorders>
          </w:tcPr>
          <w:p>
            <w:pPr>
              <w:pStyle w:val="TableText"/>
              <w:ind w:left="1" w:right="6"/>
              <w:spacing w:before="200" w:line="209" w:lineRule="auto"/>
              <w:rPr>
                <w:sz w:val="13"/>
                <w:szCs w:val="13"/>
              </w:rPr>
            </w:pPr>
            <w:r>
              <w:rPr>
                <w:sz w:val="13"/>
                <w:szCs w:val="13"/>
                <w:spacing w:val="-7"/>
              </w:rPr>
              <w:t>一，3月预防消杀为主，在进入雨季、高发季前全园</w:t>
            </w:r>
            <w:r>
              <w:rPr>
                <w:sz w:val="13"/>
                <w:szCs w:val="13"/>
                <w:spacing w:val="15"/>
              </w:rPr>
              <w:t xml:space="preserve"> </w:t>
            </w:r>
            <w:r>
              <w:rPr>
                <w:sz w:val="13"/>
                <w:szCs w:val="13"/>
              </w:rPr>
              <w:t>区消杀虫卵、蛹：</w:t>
            </w:r>
          </w:p>
          <w:p>
            <w:pPr>
              <w:pStyle w:val="TableText"/>
              <w:ind w:left="10" w:right="62" w:hanging="9"/>
              <w:spacing w:before="5" w:line="217" w:lineRule="auto"/>
              <w:rPr>
                <w:sz w:val="13"/>
                <w:szCs w:val="13"/>
              </w:rPr>
            </w:pPr>
            <w:r>
              <w:rPr>
                <w:sz w:val="13"/>
                <w:szCs w:val="13"/>
                <w:spacing w:val="-1"/>
              </w:rPr>
              <w:t>三、3-9月均有零星发现，5月-6月是害虫高发期</w:t>
            </w:r>
            <w:r>
              <w:rPr>
                <w:sz w:val="13"/>
                <w:szCs w:val="13"/>
                <w:spacing w:val="17"/>
                <w:w w:val="101"/>
              </w:rPr>
              <w:t xml:space="preserve"> </w:t>
            </w:r>
            <w:r>
              <w:rPr>
                <w:sz w:val="13"/>
                <w:szCs w:val="13"/>
                <w:spacing w:val="-1"/>
              </w:rPr>
              <w:t>期，发现病害，及时喷药。</w:t>
            </w:r>
          </w:p>
        </w:tc>
        <w:tc>
          <w:tcPr>
            <w:tcW w:w="959" w:type="dxa"/>
            <w:vAlign w:val="top"/>
            <w:tcBorders>
              <w:bottom w:val="single" w:color="000000" w:sz="2" w:space="0"/>
              <w:top w:val="single" w:color="000000" w:sz="2" w:space="0"/>
            </w:tcBorders>
          </w:tcPr>
          <w:p>
            <w:pPr>
              <w:pStyle w:val="TableText"/>
              <w:ind w:left="213"/>
              <w:spacing w:before="171" w:line="219" w:lineRule="auto"/>
              <w:rPr>
                <w:sz w:val="13"/>
                <w:szCs w:val="13"/>
              </w:rPr>
            </w:pPr>
            <w:r>
              <w:rPr>
                <w:sz w:val="13"/>
                <w:szCs w:val="13"/>
                <w:spacing w:val="1"/>
              </w:rPr>
              <w:t>国光矩克</w:t>
            </w:r>
          </w:p>
        </w:tc>
        <w:tc>
          <w:tcPr>
            <w:tcW w:w="1909" w:type="dxa"/>
            <w:vAlign w:val="top"/>
            <w:tcBorders>
              <w:bottom w:val="single" w:color="000000" w:sz="2" w:space="0"/>
              <w:top w:val="single" w:color="000000" w:sz="2" w:space="0"/>
            </w:tcBorders>
          </w:tcPr>
          <w:p>
            <w:pPr>
              <w:pStyle w:val="TableText"/>
              <w:ind w:left="654"/>
              <w:spacing w:before="171" w:line="220" w:lineRule="auto"/>
              <w:rPr>
                <w:sz w:val="13"/>
                <w:szCs w:val="13"/>
              </w:rPr>
            </w:pPr>
            <w:r>
              <w:rPr>
                <w:sz w:val="13"/>
                <w:szCs w:val="13"/>
                <w:spacing w:val="-2"/>
              </w:rPr>
              <w:t>10%吐虫啉</w:t>
            </w:r>
          </w:p>
        </w:tc>
        <w:tc>
          <w:tcPr>
            <w:tcW w:w="1369" w:type="dxa"/>
            <w:vAlign w:val="top"/>
            <w:tcBorders>
              <w:bottom w:val="single" w:color="000000" w:sz="2" w:space="0"/>
              <w:top w:val="single" w:color="000000" w:sz="2" w:space="0"/>
            </w:tcBorders>
          </w:tcPr>
          <w:p>
            <w:pPr>
              <w:pStyle w:val="TableText"/>
              <w:ind w:left="205"/>
              <w:spacing w:before="171" w:line="219" w:lineRule="auto"/>
              <w:rPr>
                <w:sz w:val="13"/>
                <w:szCs w:val="13"/>
              </w:rPr>
            </w:pPr>
            <w:r>
              <w:rPr>
                <w:sz w:val="13"/>
                <w:szCs w:val="13"/>
                <w:spacing w:val="-1"/>
              </w:rPr>
              <w:t>稀释1000-1500倍液</w:t>
            </w:r>
          </w:p>
        </w:tc>
        <w:tc>
          <w:tcPr>
            <w:tcW w:w="1289" w:type="dxa"/>
            <w:vAlign w:val="top"/>
            <w:vMerge w:val="restart"/>
            <w:tcBorders>
              <w:bottom w:val="nil"/>
              <w:top w:val="single" w:color="000000" w:sz="2" w:space="0"/>
            </w:tcBorders>
          </w:tcPr>
          <w:p>
            <w:pPr>
              <w:pStyle w:val="TableText"/>
              <w:spacing w:before="270" w:line="219" w:lineRule="auto"/>
              <w:jc w:val="right"/>
              <w:rPr>
                <w:sz w:val="13"/>
                <w:szCs w:val="13"/>
              </w:rPr>
            </w:pPr>
            <w:r>
              <w:rPr>
                <w:sz w:val="13"/>
                <w:szCs w:val="13"/>
                <w:spacing w:val="-4"/>
              </w:rPr>
              <w:t>一般用3次，时间间隔7</w:t>
            </w:r>
          </w:p>
          <w:p>
            <w:pPr>
              <w:pStyle w:val="TableText"/>
              <w:spacing w:before="5" w:line="220" w:lineRule="auto"/>
              <w:jc w:val="right"/>
              <w:rPr>
                <w:sz w:val="13"/>
                <w:szCs w:val="13"/>
              </w:rPr>
            </w:pPr>
            <w:r>
              <w:rPr>
                <w:sz w:val="13"/>
                <w:szCs w:val="13"/>
                <w:spacing w:val="-4"/>
              </w:rPr>
              <w:t>到10天，视现场情况可</w:t>
            </w:r>
          </w:p>
          <w:p>
            <w:pPr>
              <w:pStyle w:val="TableText"/>
              <w:ind w:left="376"/>
              <w:spacing w:before="4" w:line="219" w:lineRule="auto"/>
              <w:rPr>
                <w:sz w:val="13"/>
                <w:szCs w:val="13"/>
              </w:rPr>
            </w:pPr>
            <w:r>
              <w:rPr>
                <w:sz w:val="13"/>
                <w:szCs w:val="13"/>
                <w:spacing w:val="-2"/>
              </w:rPr>
              <w:t>增加次数</w:t>
            </w:r>
          </w:p>
        </w:tc>
        <w:tc>
          <w:tcPr>
            <w:tcW w:w="699" w:type="dxa"/>
            <w:vAlign w:val="top"/>
            <w:tcBorders>
              <w:bottom w:val="single" w:color="000000" w:sz="2" w:space="0"/>
              <w:top w:val="single" w:color="000000" w:sz="2" w:space="0"/>
            </w:tcBorders>
          </w:tcPr>
          <w:p>
            <w:pPr>
              <w:pStyle w:val="TableText"/>
              <w:ind w:left="87"/>
              <w:spacing w:before="167" w:line="213" w:lineRule="auto"/>
              <w:rPr>
                <w:sz w:val="13"/>
                <w:szCs w:val="13"/>
              </w:rPr>
            </w:pPr>
            <w:r>
              <w:rPr>
                <w:sz w:val="13"/>
                <w:szCs w:val="13"/>
                <w:spacing w:val="4"/>
              </w:rPr>
              <w:t>(10g/袋)</w:t>
            </w:r>
          </w:p>
        </w:tc>
        <w:tc>
          <w:tcPr>
            <w:tcW w:w="2693" w:type="dxa"/>
            <w:vAlign w:val="top"/>
            <w:tcBorders>
              <w:bottom w:val="single" w:color="000000" w:sz="2" w:space="0"/>
              <w:top w:val="single" w:color="000000" w:sz="2" w:space="0"/>
            </w:tcBorders>
          </w:tcPr>
          <w:p>
            <w:pPr>
              <w:pStyle w:val="TableText"/>
              <w:ind w:left="18"/>
              <w:spacing w:before="171" w:line="219" w:lineRule="auto"/>
              <w:rPr>
                <w:sz w:val="13"/>
                <w:szCs w:val="13"/>
              </w:rPr>
            </w:pPr>
            <w:r>
              <w:rPr>
                <w:sz w:val="13"/>
                <w:szCs w:val="13"/>
                <w:spacing w:val="-1"/>
              </w:rPr>
              <w:t>杀好虫、粉虱、叶鲜，飞照等害虫</w:t>
            </w:r>
          </w:p>
        </w:tc>
      </w:tr>
      <w:tr>
        <w:trPr>
          <w:trHeight w:val="50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single" w:color="000000" w:sz="2" w:space="0"/>
              <w:top w:val="nil"/>
            </w:tcBorders>
          </w:tcPr>
          <w:p>
            <w:pPr>
              <w:rPr>
                <w:rFonts w:ascii="Arial"/>
                <w:sz w:val="21"/>
              </w:rPr>
            </w:pPr>
            <w:r/>
          </w:p>
        </w:tc>
        <w:tc>
          <w:tcPr>
            <w:tcW w:w="1039" w:type="dxa"/>
            <w:vAlign w:val="top"/>
            <w:vMerge w:val="continue"/>
            <w:tcBorders>
              <w:bottom w:val="single" w:color="000000" w:sz="2" w:space="0"/>
              <w:top w:val="nil"/>
            </w:tcBorders>
          </w:tcPr>
          <w:p>
            <w:pPr>
              <w:rPr>
                <w:rFonts w:ascii="Arial"/>
                <w:sz w:val="21"/>
              </w:rPr>
            </w:pPr>
            <w:r/>
          </w:p>
        </w:tc>
        <w:tc>
          <w:tcPr>
            <w:tcW w:w="2798" w:type="dxa"/>
            <w:vAlign w:val="top"/>
            <w:vMerge w:val="continue"/>
            <w:tcBorders>
              <w:bottom w:val="single" w:color="000000" w:sz="2" w:space="0"/>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43"/>
              <w:spacing w:before="120" w:line="219" w:lineRule="auto"/>
              <w:rPr>
                <w:sz w:val="13"/>
                <w:szCs w:val="13"/>
              </w:rPr>
            </w:pPr>
            <w:r>
              <w:rPr>
                <w:sz w:val="13"/>
                <w:szCs w:val="13"/>
                <w:spacing w:val="1"/>
              </w:rPr>
              <w:t>中威壮美(杀蜻</w:t>
            </w:r>
          </w:p>
          <w:p>
            <w:pPr>
              <w:pStyle w:val="TableText"/>
              <w:ind w:left="372"/>
              <w:spacing w:before="5" w:line="218" w:lineRule="auto"/>
              <w:rPr>
                <w:sz w:val="13"/>
                <w:szCs w:val="13"/>
              </w:rPr>
            </w:pPr>
            <w:r>
              <w:rPr>
                <w:sz w:val="13"/>
                <w:szCs w:val="13"/>
                <w:spacing w:val="11"/>
              </w:rPr>
              <w:t>剂)</w:t>
            </w:r>
          </w:p>
        </w:tc>
        <w:tc>
          <w:tcPr>
            <w:tcW w:w="1909" w:type="dxa"/>
            <w:vAlign w:val="top"/>
            <w:tcBorders>
              <w:bottom w:val="single" w:color="000000" w:sz="2" w:space="0"/>
              <w:top w:val="single" w:color="000000" w:sz="2" w:space="0"/>
            </w:tcBorders>
          </w:tcPr>
          <w:p>
            <w:pPr>
              <w:pStyle w:val="TableText"/>
              <w:ind w:left="394"/>
              <w:spacing w:before="190" w:line="219" w:lineRule="auto"/>
              <w:rPr>
                <w:sz w:val="13"/>
                <w:szCs w:val="13"/>
              </w:rPr>
            </w:pPr>
            <w:r>
              <w:rPr>
                <w:sz w:val="13"/>
                <w:szCs w:val="13"/>
                <w:spacing w:val="-6"/>
              </w:rPr>
              <w:t>阿维</w:t>
            </w:r>
            <w:r>
              <w:rPr>
                <w:sz w:val="13"/>
                <w:szCs w:val="13"/>
                <w:spacing w:val="-9"/>
              </w:rPr>
              <w:t xml:space="preserve"> </w:t>
            </w:r>
            <w:r>
              <w:rPr>
                <w:sz w:val="13"/>
                <w:szCs w:val="13"/>
                <w:spacing w:val="-6"/>
              </w:rPr>
              <w:t>·哒蝴灵3.20%</w:t>
            </w:r>
          </w:p>
        </w:tc>
        <w:tc>
          <w:tcPr>
            <w:tcW w:w="1369" w:type="dxa"/>
            <w:vAlign w:val="top"/>
            <w:tcBorders>
              <w:bottom w:val="single" w:color="000000" w:sz="2" w:space="0"/>
              <w:top w:val="single" w:color="000000" w:sz="2" w:space="0"/>
            </w:tcBorders>
          </w:tcPr>
          <w:p>
            <w:pPr>
              <w:pStyle w:val="TableText"/>
              <w:ind w:left="415"/>
              <w:spacing w:before="190" w:line="220" w:lineRule="auto"/>
              <w:rPr>
                <w:sz w:val="13"/>
                <w:szCs w:val="13"/>
              </w:rPr>
            </w:pPr>
            <w:r>
              <w:rPr>
                <w:sz w:val="13"/>
                <w:szCs w:val="13"/>
              </w:rPr>
              <w:t>1500倍液</w:t>
            </w:r>
          </w:p>
        </w:tc>
        <w:tc>
          <w:tcPr>
            <w:tcW w:w="128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45" w:right="144" w:hanging="129"/>
              <w:spacing w:before="123" w:line="228" w:lineRule="auto"/>
              <w:rPr>
                <w:sz w:val="13"/>
                <w:szCs w:val="13"/>
              </w:rPr>
            </w:pPr>
            <w:r>
              <w:rPr>
                <w:sz w:val="13"/>
                <w:szCs w:val="13"/>
                <w:spacing w:val="-4"/>
              </w:rPr>
              <w:t>(200ml/</w:t>
            </w:r>
            <w:r>
              <w:rPr>
                <w:sz w:val="13"/>
                <w:szCs w:val="13"/>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130" w:line="210" w:lineRule="auto"/>
              <w:rPr>
                <w:sz w:val="13"/>
                <w:szCs w:val="13"/>
              </w:rPr>
            </w:pPr>
            <w:r>
              <w:rPr>
                <w:sz w:val="13"/>
                <w:szCs w:val="13"/>
                <w:spacing w:val="-9"/>
              </w:rPr>
              <w:t>对红蜘蛛、白蜘蛛及抗性螨类害虫有极强的杀灭作</w:t>
            </w:r>
            <w:r>
              <w:rPr>
                <w:sz w:val="13"/>
                <w:szCs w:val="13"/>
                <w:spacing w:val="1"/>
              </w:rPr>
              <w:t xml:space="preserve"> </w:t>
            </w:r>
            <w:r>
              <w:rPr>
                <w:sz w:val="13"/>
                <w:szCs w:val="13"/>
              </w:rPr>
              <w:t>用</w:t>
            </w:r>
          </w:p>
        </w:tc>
      </w:tr>
      <w:tr>
        <w:trPr>
          <w:trHeight w:val="494" w:hRule="atLeast"/>
        </w:trPr>
        <w:tc>
          <w:tcPr>
            <w:tcW w:w="585" w:type="dxa"/>
            <w:vAlign w:val="top"/>
            <w:vMerge w:val="continue"/>
            <w:tcBorders>
              <w:bottom w:val="nil"/>
              <w:top w:val="nil"/>
            </w:tcBorders>
          </w:tcPr>
          <w:p>
            <w:pPr>
              <w:rPr>
                <w:rFonts w:ascii="Arial"/>
                <w:sz w:val="21"/>
              </w:rPr>
            </w:pPr>
            <w:r/>
          </w:p>
        </w:tc>
        <w:tc>
          <w:tcPr>
            <w:tcW w:w="610" w:type="dxa"/>
            <w:vAlign w:val="top"/>
            <w:vMerge w:val="restart"/>
            <w:tcBorders>
              <w:bottom w:val="nil"/>
              <w:top w:val="single" w:color="000000" w:sz="2" w:space="0"/>
            </w:tcBorders>
          </w:tcPr>
          <w:p>
            <w:pPr>
              <w:spacing w:line="316" w:lineRule="auto"/>
              <w:rPr>
                <w:rFonts w:ascii="Arial"/>
                <w:sz w:val="21"/>
              </w:rPr>
            </w:pPr>
            <w:r/>
          </w:p>
          <w:p>
            <w:pPr>
              <w:spacing w:line="317" w:lineRule="auto"/>
              <w:rPr>
                <w:rFonts w:ascii="Arial"/>
                <w:sz w:val="21"/>
              </w:rPr>
            </w:pPr>
            <w:r/>
          </w:p>
          <w:p>
            <w:pPr>
              <w:pStyle w:val="TableText"/>
              <w:ind w:left="30"/>
              <w:spacing w:before="43" w:line="218" w:lineRule="auto"/>
              <w:rPr>
                <w:sz w:val="13"/>
                <w:szCs w:val="13"/>
              </w:rPr>
            </w:pPr>
            <w:r>
              <w:rPr>
                <w:sz w:val="13"/>
                <w:szCs w:val="13"/>
                <w:spacing w:val="-1"/>
              </w:rPr>
              <w:t>蛀干害虫</w:t>
            </w:r>
          </w:p>
        </w:tc>
        <w:tc>
          <w:tcPr>
            <w:tcW w:w="1039" w:type="dxa"/>
            <w:vAlign w:val="top"/>
            <w:vMerge w:val="restart"/>
            <w:tcBorders>
              <w:bottom w:val="nil"/>
              <w:top w:val="single" w:color="000000" w:sz="2" w:space="0"/>
            </w:tcBorders>
          </w:tcPr>
          <w:p>
            <w:pPr>
              <w:spacing w:line="247" w:lineRule="auto"/>
              <w:rPr>
                <w:rFonts w:ascii="Arial"/>
                <w:sz w:val="21"/>
              </w:rPr>
            </w:pPr>
            <w:r/>
          </w:p>
          <w:p>
            <w:pPr>
              <w:spacing w:line="248" w:lineRule="auto"/>
              <w:rPr>
                <w:rFonts w:ascii="Arial"/>
                <w:sz w:val="21"/>
              </w:rPr>
            </w:pPr>
            <w:r/>
          </w:p>
          <w:p>
            <w:pPr>
              <w:pStyle w:val="TableText"/>
              <w:spacing w:before="42" w:line="219" w:lineRule="auto"/>
              <w:jc w:val="right"/>
              <w:rPr>
                <w:sz w:val="13"/>
                <w:szCs w:val="13"/>
              </w:rPr>
            </w:pPr>
            <w:r>
              <w:rPr>
                <w:sz w:val="13"/>
                <w:szCs w:val="13"/>
                <w:spacing w:val="-3"/>
              </w:rPr>
              <w:t>光南星天牛、小盘</w:t>
            </w:r>
          </w:p>
          <w:p>
            <w:pPr>
              <w:pStyle w:val="TableText"/>
              <w:ind w:left="49" w:hanging="39"/>
              <w:spacing w:before="5" w:line="208" w:lineRule="auto"/>
              <w:rPr>
                <w:sz w:val="13"/>
                <w:szCs w:val="13"/>
              </w:rPr>
            </w:pPr>
            <w:r>
              <w:rPr>
                <w:sz w:val="13"/>
                <w:szCs w:val="13"/>
                <w:spacing w:val="-3"/>
              </w:rPr>
              <w:t>虫、透妞蛾、芳香</w:t>
            </w:r>
            <w:r>
              <w:rPr>
                <w:sz w:val="13"/>
                <w:szCs w:val="13"/>
                <w:spacing w:val="1"/>
              </w:rPr>
              <w:t xml:space="preserve"> </w:t>
            </w:r>
            <w:r>
              <w:rPr>
                <w:sz w:val="13"/>
                <w:szCs w:val="13"/>
                <w:spacing w:val="-3"/>
              </w:rPr>
              <w:t>木盘峨、杨干象</w:t>
            </w:r>
          </w:p>
        </w:tc>
        <w:tc>
          <w:tcPr>
            <w:tcW w:w="2798" w:type="dxa"/>
            <w:vAlign w:val="top"/>
            <w:vMerge w:val="restart"/>
            <w:tcBorders>
              <w:bottom w:val="nil"/>
              <w:top w:val="single" w:color="000000" w:sz="2" w:space="0"/>
            </w:tcBorders>
          </w:tcPr>
          <w:p>
            <w:pPr>
              <w:spacing w:line="266" w:lineRule="auto"/>
              <w:rPr>
                <w:rFonts w:ascii="Arial"/>
                <w:sz w:val="21"/>
              </w:rPr>
            </w:pPr>
            <w:r/>
          </w:p>
          <w:p>
            <w:pPr>
              <w:pStyle w:val="TableText"/>
              <w:ind w:left="10" w:right="6" w:hanging="9"/>
              <w:spacing w:before="42" w:line="213" w:lineRule="auto"/>
              <w:rPr>
                <w:sz w:val="13"/>
                <w:szCs w:val="13"/>
              </w:rPr>
            </w:pPr>
            <w:r>
              <w:rPr>
                <w:sz w:val="13"/>
                <w:szCs w:val="13"/>
                <w:spacing w:val="-7"/>
              </w:rPr>
              <w:t>一，3月预防消杀为主。在进入雨季、高发季前全园</w:t>
            </w:r>
            <w:r>
              <w:rPr>
                <w:sz w:val="13"/>
                <w:szCs w:val="13"/>
                <w:spacing w:val="15"/>
              </w:rPr>
              <w:t xml:space="preserve"> </w:t>
            </w:r>
            <w:r>
              <w:rPr>
                <w:sz w:val="13"/>
                <w:szCs w:val="13"/>
                <w:spacing w:val="-1"/>
              </w:rPr>
              <w:t>区消杀虫卵、蛹：</w:t>
            </w:r>
          </w:p>
          <w:p>
            <w:pPr>
              <w:pStyle w:val="TableText"/>
              <w:ind w:left="1" w:firstLine="9"/>
              <w:spacing w:line="220" w:lineRule="auto"/>
              <w:rPr>
                <w:sz w:val="13"/>
                <w:szCs w:val="13"/>
              </w:rPr>
            </w:pPr>
            <w:r>
              <w:rPr>
                <w:sz w:val="13"/>
                <w:szCs w:val="13"/>
                <w:spacing w:val="-7"/>
              </w:rPr>
              <w:t>三、6月-9月是大部分害虫成蛹或羽化期，采取人工</w:t>
            </w:r>
            <w:r>
              <w:rPr>
                <w:sz w:val="13"/>
                <w:szCs w:val="13"/>
                <w:spacing w:val="18"/>
                <w:w w:val="101"/>
              </w:rPr>
              <w:t xml:space="preserve"> </w:t>
            </w:r>
            <w:r>
              <w:rPr>
                <w:sz w:val="13"/>
                <w:szCs w:val="13"/>
                <w:spacing w:val="3"/>
              </w:rPr>
              <w:t>加药物双重治疗除卵，除蛹，除成虫；</w:t>
            </w:r>
          </w:p>
          <w:p>
            <w:pPr>
              <w:pStyle w:val="TableText"/>
              <w:spacing w:line="219" w:lineRule="auto"/>
              <w:jc w:val="right"/>
              <w:rPr>
                <w:sz w:val="13"/>
                <w:szCs w:val="13"/>
              </w:rPr>
            </w:pPr>
            <w:r>
              <w:rPr>
                <w:sz w:val="13"/>
                <w:szCs w:val="13"/>
                <w:spacing w:val="-4"/>
              </w:rPr>
              <w:t>三，3-10月均有零星发现，发珑病害，及时处理：</w:t>
            </w:r>
          </w:p>
          <w:p>
            <w:pPr>
              <w:pStyle w:val="TableText"/>
              <w:ind w:left="1"/>
              <w:spacing w:before="5" w:line="218" w:lineRule="auto"/>
              <w:rPr>
                <w:sz w:val="13"/>
                <w:szCs w:val="13"/>
              </w:rPr>
            </w:pPr>
            <w:r>
              <w:rPr>
                <w:sz w:val="13"/>
                <w:szCs w:val="13"/>
              </w:rPr>
              <w:t>4、10月中句至次年3月中句采用人工抽捉方法。</w:t>
            </w:r>
          </w:p>
        </w:tc>
        <w:tc>
          <w:tcPr>
            <w:tcW w:w="959" w:type="dxa"/>
            <w:vAlign w:val="top"/>
            <w:tcBorders>
              <w:bottom w:val="single" w:color="000000" w:sz="2" w:space="0"/>
              <w:top w:val="single" w:color="000000" w:sz="2" w:space="0"/>
            </w:tcBorders>
          </w:tcPr>
          <w:p>
            <w:pPr>
              <w:pStyle w:val="TableText"/>
              <w:ind w:left="213"/>
              <w:spacing w:before="180" w:line="219" w:lineRule="auto"/>
              <w:rPr>
                <w:sz w:val="13"/>
                <w:szCs w:val="13"/>
              </w:rPr>
            </w:pPr>
            <w:r>
              <w:rPr>
                <w:sz w:val="13"/>
                <w:szCs w:val="13"/>
                <w:spacing w:val="1"/>
              </w:rPr>
              <w:t>国光毒枪</w:t>
            </w:r>
          </w:p>
        </w:tc>
        <w:tc>
          <w:tcPr>
            <w:tcW w:w="1909" w:type="dxa"/>
            <w:vAlign w:val="top"/>
            <w:tcBorders>
              <w:bottom w:val="single" w:color="000000" w:sz="2" w:space="0"/>
              <w:top w:val="single" w:color="000000" w:sz="2" w:space="0"/>
            </w:tcBorders>
          </w:tcPr>
          <w:p>
            <w:pPr>
              <w:pStyle w:val="TableText"/>
              <w:ind w:left="324"/>
              <w:spacing w:before="180" w:line="219" w:lineRule="auto"/>
              <w:rPr>
                <w:sz w:val="13"/>
                <w:szCs w:val="13"/>
              </w:rPr>
            </w:pPr>
            <w:r>
              <w:rPr>
                <w:sz w:val="13"/>
                <w:szCs w:val="13"/>
                <w:spacing w:val="1"/>
              </w:rPr>
              <w:t>45%丙溴，辛疏磷乳油</w:t>
            </w:r>
          </w:p>
        </w:tc>
        <w:tc>
          <w:tcPr>
            <w:tcW w:w="1369" w:type="dxa"/>
            <w:vAlign w:val="top"/>
            <w:tcBorders>
              <w:bottom w:val="single" w:color="000000" w:sz="2" w:space="0"/>
              <w:top w:val="single" w:color="000000" w:sz="2" w:space="0"/>
            </w:tcBorders>
          </w:tcPr>
          <w:p>
            <w:pPr>
              <w:pStyle w:val="TableText"/>
              <w:ind w:left="285"/>
              <w:spacing w:before="180" w:line="219" w:lineRule="auto"/>
              <w:rPr>
                <w:sz w:val="13"/>
                <w:szCs w:val="13"/>
              </w:rPr>
            </w:pPr>
            <w:r>
              <w:rPr>
                <w:sz w:val="13"/>
                <w:szCs w:val="13"/>
                <w:spacing w:val="-1"/>
              </w:rPr>
              <w:t>稀释5-10倍液</w:t>
            </w:r>
          </w:p>
        </w:tc>
        <w:tc>
          <w:tcPr>
            <w:tcW w:w="1289" w:type="dxa"/>
            <w:vAlign w:val="top"/>
            <w:vMerge w:val="restart"/>
            <w:tcBorders>
              <w:bottom w:val="nil"/>
              <w:top w:val="single" w:color="000000" w:sz="2" w:space="0"/>
            </w:tcBorders>
          </w:tcPr>
          <w:p>
            <w:pPr>
              <w:spacing w:line="242" w:lineRule="auto"/>
              <w:rPr>
                <w:rFonts w:ascii="Arial"/>
                <w:sz w:val="21"/>
              </w:rPr>
            </w:pPr>
            <w:r/>
          </w:p>
          <w:p>
            <w:pPr>
              <w:spacing w:line="243" w:lineRule="auto"/>
              <w:rPr>
                <w:rFonts w:ascii="Arial"/>
                <w:sz w:val="21"/>
              </w:rPr>
            </w:pPr>
            <w:r/>
          </w:p>
          <w:p>
            <w:pPr>
              <w:pStyle w:val="TableText"/>
              <w:spacing w:before="42" w:line="219" w:lineRule="auto"/>
              <w:jc w:val="right"/>
              <w:rPr>
                <w:sz w:val="13"/>
                <w:szCs w:val="13"/>
              </w:rPr>
            </w:pPr>
            <w:r>
              <w:rPr>
                <w:sz w:val="13"/>
                <w:szCs w:val="13"/>
                <w:spacing w:val="-4"/>
              </w:rPr>
              <w:t>一般用3次，时间间隔7</w:t>
            </w:r>
          </w:p>
          <w:p>
            <w:pPr>
              <w:pStyle w:val="TableText"/>
              <w:spacing w:before="5" w:line="198" w:lineRule="auto"/>
              <w:jc w:val="right"/>
              <w:rPr>
                <w:sz w:val="13"/>
                <w:szCs w:val="13"/>
              </w:rPr>
            </w:pPr>
            <w:r>
              <w:rPr>
                <w:sz w:val="13"/>
                <w:szCs w:val="13"/>
                <w:spacing w:val="-4"/>
              </w:rPr>
              <w:t>到10天，视现场情况可</w:t>
            </w:r>
          </w:p>
          <w:p>
            <w:pPr>
              <w:pStyle w:val="TableText"/>
              <w:ind w:left="376"/>
              <w:spacing w:line="219" w:lineRule="auto"/>
              <w:rPr>
                <w:sz w:val="13"/>
                <w:szCs w:val="13"/>
              </w:rPr>
            </w:pPr>
            <w:r>
              <w:rPr>
                <w:sz w:val="13"/>
                <w:szCs w:val="13"/>
                <w:spacing w:val="-2"/>
              </w:rPr>
              <w:t>增加次数</w:t>
            </w:r>
          </w:p>
        </w:tc>
        <w:tc>
          <w:tcPr>
            <w:tcW w:w="699" w:type="dxa"/>
            <w:vAlign w:val="top"/>
            <w:tcBorders>
              <w:bottom w:val="single" w:color="000000" w:sz="2" w:space="0"/>
              <w:top w:val="single" w:color="000000" w:sz="2" w:space="0"/>
            </w:tcBorders>
          </w:tcPr>
          <w:p>
            <w:pPr>
              <w:pStyle w:val="TableText"/>
              <w:ind w:left="245" w:right="144" w:hanging="129"/>
              <w:spacing w:before="103" w:line="228" w:lineRule="auto"/>
              <w:rPr>
                <w:sz w:val="13"/>
                <w:szCs w:val="13"/>
              </w:rPr>
            </w:pPr>
            <w:r>
              <w:rPr>
                <w:sz w:val="13"/>
                <w:szCs w:val="13"/>
                <w:spacing w:val="-4"/>
              </w:rPr>
              <w:t>(200ml/</w:t>
            </w:r>
            <w:r>
              <w:rPr>
                <w:sz w:val="13"/>
                <w:szCs w:val="13"/>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180" w:line="219" w:lineRule="auto"/>
              <w:rPr>
                <w:sz w:val="13"/>
                <w:szCs w:val="13"/>
              </w:rPr>
            </w:pPr>
            <w:r>
              <w:rPr>
                <w:sz w:val="13"/>
                <w:szCs w:val="13"/>
                <w:spacing w:val="-1"/>
              </w:rPr>
              <w:t>注射虫洞，黄泥封洞</w:t>
            </w:r>
          </w:p>
        </w:tc>
      </w:tr>
      <w:tr>
        <w:trPr>
          <w:trHeight w:val="50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83"/>
              <w:spacing w:before="191" w:line="218" w:lineRule="auto"/>
              <w:rPr>
                <w:sz w:val="13"/>
                <w:szCs w:val="13"/>
              </w:rPr>
            </w:pPr>
            <w:r>
              <w:rPr>
                <w:sz w:val="13"/>
                <w:szCs w:val="13"/>
                <w:spacing w:val="1"/>
              </w:rPr>
              <w:t>国光防蛀液剂</w:t>
            </w:r>
          </w:p>
        </w:tc>
        <w:tc>
          <w:tcPr>
            <w:tcW w:w="1909" w:type="dxa"/>
            <w:vAlign w:val="top"/>
            <w:tcBorders>
              <w:bottom w:val="single" w:color="000000" w:sz="2" w:space="0"/>
              <w:top w:val="single" w:color="000000" w:sz="2" w:space="0"/>
            </w:tcBorders>
          </w:tcPr>
          <w:p>
            <w:pPr>
              <w:pStyle w:val="TableText"/>
              <w:ind w:left="624"/>
              <w:spacing w:before="191" w:line="218" w:lineRule="auto"/>
              <w:rPr>
                <w:sz w:val="13"/>
                <w:szCs w:val="13"/>
              </w:rPr>
            </w:pPr>
            <w:r>
              <w:rPr>
                <w:sz w:val="13"/>
                <w:szCs w:val="13"/>
                <w:spacing w:val="-1"/>
              </w:rPr>
              <w:t>0.3%氧菊酯</w:t>
            </w:r>
          </w:p>
        </w:tc>
        <w:tc>
          <w:tcPr>
            <w:tcW w:w="1369" w:type="dxa"/>
            <w:vAlign w:val="top"/>
            <w:tcBorders>
              <w:bottom w:val="single" w:color="000000" w:sz="2" w:space="0"/>
              <w:top w:val="single" w:color="000000" w:sz="2" w:space="0"/>
            </w:tcBorders>
          </w:tcPr>
          <w:p>
            <w:pPr>
              <w:pStyle w:val="TableText"/>
              <w:ind w:left="415"/>
              <w:spacing w:before="191" w:line="219" w:lineRule="auto"/>
              <w:rPr>
                <w:sz w:val="13"/>
                <w:szCs w:val="13"/>
              </w:rPr>
            </w:pPr>
            <w:r>
              <w:rPr>
                <w:sz w:val="13"/>
                <w:szCs w:val="13"/>
                <w:spacing w:val="3"/>
              </w:rPr>
              <w:t>直接使用</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45" w:right="179" w:hanging="99"/>
              <w:spacing w:before="103" w:line="227" w:lineRule="auto"/>
              <w:rPr>
                <w:sz w:val="13"/>
                <w:szCs w:val="13"/>
              </w:rPr>
            </w:pPr>
            <w:r>
              <w:rPr>
                <w:sz w:val="13"/>
                <w:szCs w:val="13"/>
                <w:spacing w:val="-5"/>
              </w:rPr>
              <w:t>(20m1/</w:t>
            </w:r>
            <w:r>
              <w:rPr>
                <w:sz w:val="13"/>
                <w:szCs w:val="13"/>
                <w:spacing w:val="1"/>
              </w:rPr>
              <w:t xml:space="preserve"> </w:t>
            </w:r>
            <w:r>
              <w:rPr>
                <w:sz w:val="13"/>
                <w:szCs w:val="13"/>
                <w:spacing w:val="11"/>
              </w:rPr>
              <w:t>支)</w:t>
            </w:r>
          </w:p>
        </w:tc>
        <w:tc>
          <w:tcPr>
            <w:tcW w:w="2693" w:type="dxa"/>
            <w:vAlign w:val="top"/>
            <w:tcBorders>
              <w:bottom w:val="single" w:color="000000" w:sz="2" w:space="0"/>
              <w:top w:val="single" w:color="000000" w:sz="2" w:space="0"/>
            </w:tcBorders>
          </w:tcPr>
          <w:p>
            <w:pPr>
              <w:pStyle w:val="TableText"/>
              <w:ind w:left="18" w:right="5"/>
              <w:spacing w:before="111" w:line="230" w:lineRule="auto"/>
              <w:rPr>
                <w:sz w:val="13"/>
                <w:szCs w:val="13"/>
              </w:rPr>
            </w:pPr>
            <w:r>
              <w:rPr>
                <w:sz w:val="13"/>
                <w:szCs w:val="13"/>
              </w:rPr>
              <w:t>专杀蛀杆性害虫胸径8-10cm用1支，</w:t>
            </w:r>
            <w:r>
              <w:rPr>
                <w:sz w:val="13"/>
                <w:szCs w:val="13"/>
                <w:spacing w:val="-1"/>
              </w:rPr>
              <w:t>每增加10cm</w:t>
            </w:r>
            <w:r>
              <w:rPr>
                <w:sz w:val="13"/>
                <w:szCs w:val="13"/>
              </w:rPr>
              <w:t xml:space="preserve"> </w:t>
            </w:r>
            <w:r>
              <w:rPr>
                <w:sz w:val="13"/>
                <w:szCs w:val="13"/>
                <w:spacing w:val="-1"/>
              </w:rPr>
              <w:t>增加1支</w:t>
            </w:r>
          </w:p>
        </w:tc>
      </w:tr>
      <w:tr>
        <w:trPr>
          <w:trHeight w:val="47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single" w:color="000000" w:sz="2" w:space="0"/>
              <w:top w:val="nil"/>
            </w:tcBorders>
          </w:tcPr>
          <w:p>
            <w:pPr>
              <w:rPr>
                <w:rFonts w:ascii="Arial"/>
                <w:sz w:val="21"/>
              </w:rPr>
            </w:pPr>
            <w:r/>
          </w:p>
        </w:tc>
        <w:tc>
          <w:tcPr>
            <w:tcW w:w="1039" w:type="dxa"/>
            <w:vAlign w:val="top"/>
            <w:vMerge w:val="continue"/>
            <w:tcBorders>
              <w:bottom w:val="single" w:color="000000" w:sz="2" w:space="0"/>
              <w:top w:val="nil"/>
            </w:tcBorders>
          </w:tcPr>
          <w:p>
            <w:pPr>
              <w:rPr>
                <w:rFonts w:ascii="Arial"/>
                <w:sz w:val="21"/>
              </w:rPr>
            </w:pPr>
            <w:r/>
          </w:p>
        </w:tc>
        <w:tc>
          <w:tcPr>
            <w:tcW w:w="2798" w:type="dxa"/>
            <w:vAlign w:val="top"/>
            <w:vMerge w:val="continue"/>
            <w:tcBorders>
              <w:bottom w:val="single" w:color="000000" w:sz="2" w:space="0"/>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3"/>
              <w:spacing w:before="101" w:line="218" w:lineRule="auto"/>
              <w:rPr>
                <w:sz w:val="13"/>
                <w:szCs w:val="13"/>
              </w:rPr>
            </w:pPr>
            <w:r>
              <w:rPr>
                <w:sz w:val="13"/>
                <w:szCs w:val="13"/>
                <w:spacing w:val="1"/>
              </w:rPr>
              <w:t>中威蛀干害虫专</w:t>
            </w:r>
          </w:p>
          <w:p>
            <w:pPr>
              <w:pStyle w:val="TableText"/>
              <w:ind w:left="402"/>
              <w:spacing w:before="7" w:line="221" w:lineRule="auto"/>
              <w:rPr>
                <w:sz w:val="13"/>
                <w:szCs w:val="13"/>
              </w:rPr>
            </w:pPr>
            <w:r>
              <w:rPr>
                <w:sz w:val="13"/>
                <w:szCs w:val="13"/>
              </w:rPr>
              <w:t>用</w:t>
            </w:r>
          </w:p>
        </w:tc>
        <w:tc>
          <w:tcPr>
            <w:tcW w:w="1909" w:type="dxa"/>
            <w:vAlign w:val="top"/>
            <w:tcBorders>
              <w:bottom w:val="single" w:color="000000" w:sz="2" w:space="0"/>
              <w:top w:val="single" w:color="000000" w:sz="2" w:space="0"/>
            </w:tcBorders>
          </w:tcPr>
          <w:p>
            <w:pPr>
              <w:pStyle w:val="TableText"/>
              <w:ind w:left="193"/>
              <w:spacing w:before="171" w:line="219" w:lineRule="auto"/>
              <w:rPr>
                <w:sz w:val="13"/>
                <w:szCs w:val="13"/>
              </w:rPr>
            </w:pPr>
            <w:r>
              <w:rPr>
                <w:sz w:val="13"/>
                <w:szCs w:val="13"/>
                <w:spacing w:val="-9"/>
              </w:rPr>
              <w:t>氰戊</w:t>
            </w:r>
            <w:r>
              <w:rPr>
                <w:sz w:val="13"/>
                <w:szCs w:val="13"/>
                <w:spacing w:val="-4"/>
              </w:rPr>
              <w:t xml:space="preserve"> </w:t>
            </w:r>
            <w:r>
              <w:rPr>
                <w:sz w:val="13"/>
                <w:szCs w:val="13"/>
                <w:spacing w:val="-9"/>
              </w:rPr>
              <w:t>·马拉松</w:t>
            </w:r>
            <w:r>
              <w:rPr>
                <w:sz w:val="13"/>
                <w:szCs w:val="13"/>
                <w:spacing w:val="-15"/>
              </w:rPr>
              <w:t xml:space="preserve"> </w:t>
            </w:r>
            <w:r>
              <w:rPr>
                <w:sz w:val="13"/>
                <w:szCs w:val="13"/>
                <w:spacing w:val="-9"/>
              </w:rPr>
              <w:t>·苦参碱20%</w:t>
            </w:r>
          </w:p>
        </w:tc>
        <w:tc>
          <w:tcPr>
            <w:tcW w:w="1369" w:type="dxa"/>
            <w:vAlign w:val="top"/>
            <w:tcBorders>
              <w:bottom w:val="single" w:color="000000" w:sz="2" w:space="0"/>
              <w:top w:val="single" w:color="000000" w:sz="2" w:space="0"/>
            </w:tcBorders>
          </w:tcPr>
          <w:p>
            <w:pPr>
              <w:pStyle w:val="TableText"/>
              <w:ind w:left="415"/>
              <w:spacing w:before="171" w:line="219" w:lineRule="auto"/>
              <w:rPr>
                <w:sz w:val="13"/>
                <w:szCs w:val="13"/>
              </w:rPr>
            </w:pPr>
            <w:r>
              <w:rPr>
                <w:sz w:val="13"/>
                <w:szCs w:val="13"/>
                <w:spacing w:val="3"/>
              </w:rPr>
              <w:t>直接使用</w:t>
            </w:r>
          </w:p>
        </w:tc>
        <w:tc>
          <w:tcPr>
            <w:tcW w:w="128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25" w:right="179" w:hanging="79"/>
              <w:spacing w:before="91" w:line="217" w:lineRule="auto"/>
              <w:rPr>
                <w:sz w:val="13"/>
                <w:szCs w:val="13"/>
              </w:rPr>
            </w:pPr>
            <w:r>
              <w:rPr>
                <w:sz w:val="13"/>
                <w:szCs w:val="13"/>
                <w:spacing w:val="-5"/>
              </w:rPr>
              <w:t>(20mJ/</w:t>
            </w:r>
            <w:r>
              <w:rPr>
                <w:sz w:val="13"/>
                <w:szCs w:val="13"/>
                <w:spacing w:val="1"/>
              </w:rPr>
              <w:t xml:space="preserve"> </w:t>
            </w:r>
            <w:r>
              <w:rPr>
                <w:sz w:val="13"/>
                <w:szCs w:val="13"/>
                <w:spacing w:val="11"/>
              </w:rPr>
              <w:t>支)</w:t>
            </w:r>
          </w:p>
        </w:tc>
        <w:tc>
          <w:tcPr>
            <w:tcW w:w="2693" w:type="dxa"/>
            <w:vAlign w:val="top"/>
            <w:tcBorders>
              <w:bottom w:val="single" w:color="000000" w:sz="2" w:space="0"/>
              <w:top w:val="single" w:color="000000" w:sz="2" w:space="0"/>
            </w:tcBorders>
          </w:tcPr>
          <w:p>
            <w:pPr>
              <w:pStyle w:val="TableText"/>
              <w:ind w:left="18"/>
              <w:spacing w:before="90" w:line="230" w:lineRule="auto"/>
              <w:rPr>
                <w:sz w:val="13"/>
                <w:szCs w:val="13"/>
              </w:rPr>
            </w:pPr>
            <w:r>
              <w:rPr>
                <w:sz w:val="13"/>
                <w:szCs w:val="13"/>
                <w:spacing w:val="-10"/>
              </w:rPr>
              <w:t>廿</w:t>
            </w:r>
            <w:r>
              <w:rPr>
                <w:sz w:val="13"/>
                <w:szCs w:val="13"/>
                <w:spacing w:val="-9"/>
              </w:rPr>
              <w:t>对天牛幼虫，吉丁虫、松材线虫等蛀干害虫效</w:t>
            </w:r>
            <w:r>
              <w:rPr>
                <w:sz w:val="13"/>
                <w:szCs w:val="13"/>
                <w:spacing w:val="-8"/>
              </w:rPr>
              <w:t>果</w:t>
            </w:r>
            <w:r>
              <w:rPr>
                <w:sz w:val="13"/>
                <w:szCs w:val="13"/>
                <w:spacing w:val="1"/>
              </w:rPr>
              <w:t xml:space="preserve"> </w:t>
            </w:r>
            <w:r>
              <w:rPr>
                <w:sz w:val="13"/>
                <w:szCs w:val="13"/>
                <w:spacing w:val="4"/>
              </w:rPr>
              <w:t>明显</w:t>
            </w:r>
          </w:p>
        </w:tc>
      </w:tr>
      <w:tr>
        <w:trPr>
          <w:trHeight w:val="504" w:hRule="atLeast"/>
        </w:trPr>
        <w:tc>
          <w:tcPr>
            <w:tcW w:w="585" w:type="dxa"/>
            <w:vAlign w:val="top"/>
            <w:vMerge w:val="continue"/>
            <w:tcBorders>
              <w:bottom w:val="nil"/>
              <w:top w:val="nil"/>
            </w:tcBorders>
          </w:tcPr>
          <w:p>
            <w:pPr>
              <w:rPr>
                <w:rFonts w:ascii="Arial"/>
                <w:sz w:val="21"/>
              </w:rPr>
            </w:pPr>
            <w:r/>
          </w:p>
        </w:tc>
        <w:tc>
          <w:tcPr>
            <w:tcW w:w="610" w:type="dxa"/>
            <w:vAlign w:val="top"/>
            <w:vMerge w:val="restart"/>
            <w:tcBorders>
              <w:bottom w:val="nil"/>
              <w:top w:val="single" w:color="000000" w:sz="2" w:space="0"/>
            </w:tcBorders>
          </w:tcPr>
          <w:p>
            <w:pPr>
              <w:spacing w:line="268" w:lineRule="auto"/>
              <w:rPr>
                <w:rFonts w:ascii="Arial"/>
                <w:sz w:val="21"/>
              </w:rPr>
            </w:pPr>
            <w:r/>
          </w:p>
          <w:p>
            <w:pPr>
              <w:spacing w:line="268" w:lineRule="auto"/>
              <w:rPr>
                <w:rFonts w:ascii="Arial"/>
                <w:sz w:val="21"/>
              </w:rPr>
            </w:pPr>
            <w:r/>
          </w:p>
          <w:p>
            <w:pPr>
              <w:pStyle w:val="TableText"/>
              <w:ind w:left="30"/>
              <w:spacing w:before="42" w:line="220" w:lineRule="auto"/>
              <w:rPr>
                <w:sz w:val="13"/>
                <w:szCs w:val="13"/>
              </w:rPr>
            </w:pPr>
            <w:r>
              <w:rPr>
                <w:sz w:val="13"/>
                <w:szCs w:val="13"/>
                <w:spacing w:val="-1"/>
              </w:rPr>
              <w:t>地下害虫</w:t>
            </w:r>
          </w:p>
        </w:tc>
        <w:tc>
          <w:tcPr>
            <w:tcW w:w="1039" w:type="dxa"/>
            <w:vAlign w:val="top"/>
            <w:vMerge w:val="restart"/>
            <w:tcBorders>
              <w:bottom w:val="nil"/>
              <w:top w:val="single" w:color="000000" w:sz="2" w:space="0"/>
            </w:tcBorders>
          </w:tcPr>
          <w:p>
            <w:pPr>
              <w:spacing w:line="465" w:lineRule="auto"/>
              <w:rPr>
                <w:rFonts w:ascii="Arial"/>
                <w:sz w:val="21"/>
              </w:rPr>
            </w:pPr>
            <w:r/>
          </w:p>
          <w:p>
            <w:pPr>
              <w:pStyle w:val="TableText"/>
              <w:ind w:left="177" w:hanging="167"/>
              <w:spacing w:before="42" w:line="231" w:lineRule="auto"/>
              <w:rPr>
                <w:sz w:val="13"/>
                <w:szCs w:val="13"/>
              </w:rPr>
            </w:pPr>
            <w:r>
              <w:rPr>
                <w:sz w:val="13"/>
                <w:szCs w:val="13"/>
                <w:spacing w:val="-3"/>
              </w:rPr>
              <w:t>蛴蜡、地老虎，其</w:t>
            </w:r>
            <w:r>
              <w:rPr>
                <w:sz w:val="13"/>
                <w:szCs w:val="13"/>
                <w:spacing w:val="1"/>
              </w:rPr>
              <w:t xml:space="preserve"> </w:t>
            </w:r>
            <w:r>
              <w:rPr>
                <w:sz w:val="13"/>
                <w:szCs w:val="13"/>
                <w:spacing w:val="-3"/>
              </w:rPr>
              <w:t>他土中虫卵</w:t>
            </w:r>
          </w:p>
        </w:tc>
        <w:tc>
          <w:tcPr>
            <w:tcW w:w="2798" w:type="dxa"/>
            <w:vAlign w:val="top"/>
            <w:vMerge w:val="restart"/>
            <w:tcBorders>
              <w:bottom w:val="nil"/>
              <w:top w:val="single" w:color="000000" w:sz="2" w:space="0"/>
            </w:tcBorders>
          </w:tcPr>
          <w:p>
            <w:pPr>
              <w:pStyle w:val="TableText"/>
              <w:ind w:left="1" w:right="6"/>
              <w:spacing w:before="122" w:line="223" w:lineRule="auto"/>
              <w:rPr>
                <w:sz w:val="13"/>
                <w:szCs w:val="13"/>
              </w:rPr>
            </w:pPr>
            <w:r>
              <w:rPr>
                <w:sz w:val="13"/>
                <w:szCs w:val="13"/>
                <w:spacing w:val="-7"/>
              </w:rPr>
              <w:t>一、3月预防消杀为主，在进入雨季、高发季前全园</w:t>
            </w:r>
            <w:r>
              <w:rPr>
                <w:sz w:val="13"/>
                <w:szCs w:val="13"/>
                <w:spacing w:val="15"/>
              </w:rPr>
              <w:t xml:space="preserve"> </w:t>
            </w:r>
            <w:r>
              <w:rPr>
                <w:sz w:val="13"/>
                <w:szCs w:val="13"/>
                <w:spacing w:val="8"/>
              </w:rPr>
              <w:t>区消杀虫卵、蛹；</w:t>
            </w:r>
          </w:p>
          <w:p>
            <w:pPr>
              <w:pStyle w:val="TableText"/>
              <w:ind w:left="10" w:hanging="9"/>
              <w:spacing w:before="5" w:line="216" w:lineRule="auto"/>
              <w:rPr>
                <w:sz w:val="13"/>
                <w:szCs w:val="13"/>
              </w:rPr>
            </w:pPr>
            <w:r>
              <w:rPr>
                <w:sz w:val="13"/>
                <w:szCs w:val="13"/>
                <w:spacing w:val="-6"/>
              </w:rPr>
              <w:t>三、6月-9月是大部分害虫成蛹成羽化期，采取人工</w:t>
            </w:r>
            <w:r>
              <w:rPr>
                <w:sz w:val="13"/>
                <w:szCs w:val="13"/>
                <w:spacing w:val="4"/>
              </w:rPr>
              <w:t xml:space="preserve"> </w:t>
            </w:r>
            <w:r>
              <w:rPr>
                <w:sz w:val="13"/>
                <w:szCs w:val="13"/>
                <w:spacing w:val="-1"/>
              </w:rPr>
              <w:t>加药物双重治疗除卵，除蛹，除成虫：</w:t>
            </w:r>
          </w:p>
          <w:p>
            <w:pPr>
              <w:pStyle w:val="TableText"/>
              <w:ind w:left="1"/>
              <w:spacing w:before="16" w:line="215" w:lineRule="auto"/>
              <w:rPr>
                <w:sz w:val="13"/>
                <w:szCs w:val="13"/>
              </w:rPr>
            </w:pPr>
            <w:r>
              <w:rPr>
                <w:sz w:val="13"/>
                <w:szCs w:val="13"/>
                <w:spacing w:val="-1"/>
              </w:rPr>
              <w:t>三、3月初至5月底，用黑光灯，糖酷酒液诱杀。4</w:t>
            </w:r>
            <w:r>
              <w:rPr>
                <w:sz w:val="13"/>
                <w:szCs w:val="13"/>
                <w:spacing w:val="13"/>
              </w:rPr>
              <w:t xml:space="preserve"> </w:t>
            </w:r>
            <w:r>
              <w:rPr>
                <w:sz w:val="13"/>
                <w:szCs w:val="13"/>
                <w:spacing w:val="-4"/>
              </w:rPr>
              <w:t>.5月中下句至六月上句是幼虫为害盛期。全园区撒</w:t>
            </w:r>
            <w:r>
              <w:rPr>
                <w:sz w:val="13"/>
                <w:szCs w:val="13"/>
                <w:spacing w:val="12"/>
              </w:rPr>
              <w:t xml:space="preserve"> </w:t>
            </w:r>
            <w:r>
              <w:rPr>
                <w:sz w:val="13"/>
                <w:szCs w:val="13"/>
                <w:spacing w:val="1"/>
              </w:rPr>
              <w:t>施农药。</w:t>
            </w:r>
          </w:p>
        </w:tc>
        <w:tc>
          <w:tcPr>
            <w:tcW w:w="959" w:type="dxa"/>
            <w:vAlign w:val="top"/>
            <w:tcBorders>
              <w:bottom w:val="single" w:color="000000" w:sz="2" w:space="0"/>
              <w:top w:val="single" w:color="000000" w:sz="2" w:space="0"/>
            </w:tcBorders>
          </w:tcPr>
          <w:p>
            <w:pPr>
              <w:pStyle w:val="TableText"/>
              <w:ind w:left="213"/>
              <w:spacing w:before="192" w:line="219" w:lineRule="auto"/>
              <w:rPr>
                <w:sz w:val="13"/>
                <w:szCs w:val="13"/>
              </w:rPr>
            </w:pPr>
            <w:r>
              <w:rPr>
                <w:sz w:val="13"/>
                <w:szCs w:val="13"/>
                <w:spacing w:val="1"/>
              </w:rPr>
              <w:t>国光地杀</w:t>
            </w:r>
          </w:p>
        </w:tc>
        <w:tc>
          <w:tcPr>
            <w:tcW w:w="1909" w:type="dxa"/>
            <w:vAlign w:val="top"/>
            <w:tcBorders>
              <w:bottom w:val="single" w:color="000000" w:sz="2" w:space="0"/>
              <w:top w:val="single" w:color="000000" w:sz="2" w:space="0"/>
            </w:tcBorders>
          </w:tcPr>
          <w:p>
            <w:pPr>
              <w:pStyle w:val="TableText"/>
              <w:ind w:left="133"/>
              <w:spacing w:before="192" w:line="218" w:lineRule="auto"/>
              <w:rPr>
                <w:sz w:val="13"/>
                <w:szCs w:val="13"/>
              </w:rPr>
            </w:pPr>
            <w:r>
              <w:rPr>
                <w:sz w:val="13"/>
                <w:szCs w:val="13"/>
                <w:spacing w:val="-1"/>
              </w:rPr>
              <w:t>5S丁硫克百威.毒死蟀颗粒剂</w:t>
            </w:r>
          </w:p>
        </w:tc>
        <w:tc>
          <w:tcPr>
            <w:tcW w:w="1369" w:type="dxa"/>
            <w:vAlign w:val="top"/>
            <w:tcBorders>
              <w:bottom w:val="single" w:color="000000" w:sz="2" w:space="0"/>
              <w:top w:val="single" w:color="000000" w:sz="2" w:space="0"/>
            </w:tcBorders>
          </w:tcPr>
          <w:p>
            <w:pPr>
              <w:pStyle w:val="TableText"/>
              <w:ind w:left="95"/>
              <w:spacing w:before="188" w:line="213" w:lineRule="auto"/>
              <w:rPr>
                <w:sz w:val="13"/>
                <w:szCs w:val="13"/>
              </w:rPr>
            </w:pPr>
            <w:r>
              <w:rPr>
                <w:sz w:val="13"/>
                <w:szCs w:val="13"/>
                <w:spacing w:val="-1"/>
              </w:rPr>
              <w:t>直接撤施：5-7kg/亩</w:t>
            </w:r>
          </w:p>
        </w:tc>
        <w:tc>
          <w:tcPr>
            <w:tcW w:w="1289" w:type="dxa"/>
            <w:vAlign w:val="top"/>
            <w:vMerge w:val="restart"/>
            <w:tcBorders>
              <w:bottom w:val="nil"/>
              <w:top w:val="single" w:color="000000" w:sz="2" w:space="0"/>
            </w:tcBorders>
          </w:tcPr>
          <w:p>
            <w:pPr>
              <w:spacing w:line="268" w:lineRule="auto"/>
              <w:rPr>
                <w:rFonts w:ascii="Arial"/>
                <w:sz w:val="21"/>
              </w:rPr>
            </w:pPr>
            <w:r/>
          </w:p>
          <w:p>
            <w:pPr>
              <w:spacing w:line="268" w:lineRule="auto"/>
              <w:rPr>
                <w:rFonts w:ascii="Arial"/>
                <w:sz w:val="21"/>
              </w:rPr>
            </w:pPr>
            <w:r/>
          </w:p>
          <w:p>
            <w:pPr>
              <w:pStyle w:val="TableText"/>
              <w:ind w:left="346"/>
              <w:spacing w:before="42" w:line="219" w:lineRule="auto"/>
              <w:rPr>
                <w:sz w:val="13"/>
                <w:szCs w:val="13"/>
              </w:rPr>
            </w:pPr>
            <w:r>
              <w:rPr>
                <w:sz w:val="13"/>
                <w:szCs w:val="13"/>
                <w:spacing w:val="-2"/>
              </w:rPr>
              <w:t>一般用2次</w:t>
            </w:r>
          </w:p>
        </w:tc>
        <w:tc>
          <w:tcPr>
            <w:tcW w:w="699" w:type="dxa"/>
            <w:vAlign w:val="top"/>
            <w:tcBorders>
              <w:bottom w:val="single" w:color="000000" w:sz="2" w:space="0"/>
              <w:top w:val="single" w:color="000000" w:sz="2" w:space="0"/>
            </w:tcBorders>
          </w:tcPr>
          <w:p>
            <w:pPr>
              <w:pStyle w:val="TableText"/>
              <w:ind w:left="87"/>
              <w:spacing w:before="188" w:line="213" w:lineRule="auto"/>
              <w:rPr>
                <w:sz w:val="13"/>
                <w:szCs w:val="13"/>
              </w:rPr>
            </w:pPr>
            <w:r>
              <w:rPr>
                <w:sz w:val="13"/>
                <w:szCs w:val="13"/>
                <w:spacing w:val="7"/>
              </w:rPr>
              <w:t>(</w:t>
            </w:r>
            <w:r>
              <w:rPr>
                <w:sz w:val="13"/>
                <w:szCs w:val="13"/>
              </w:rPr>
              <w:t>Ikg</w:t>
            </w:r>
            <w:r>
              <w:rPr>
                <w:sz w:val="13"/>
                <w:szCs w:val="13"/>
                <w:spacing w:val="7"/>
              </w:rPr>
              <w:t>/袋)</w:t>
            </w:r>
          </w:p>
        </w:tc>
        <w:tc>
          <w:tcPr>
            <w:tcW w:w="2693" w:type="dxa"/>
            <w:vAlign w:val="top"/>
            <w:tcBorders>
              <w:bottom w:val="single" w:color="000000" w:sz="2" w:space="0"/>
              <w:top w:val="single" w:color="000000" w:sz="2" w:space="0"/>
            </w:tcBorders>
          </w:tcPr>
          <w:p>
            <w:pPr>
              <w:pStyle w:val="TableText"/>
              <w:ind w:left="18"/>
              <w:spacing w:before="192" w:line="219" w:lineRule="auto"/>
              <w:rPr>
                <w:sz w:val="13"/>
                <w:szCs w:val="13"/>
              </w:rPr>
            </w:pPr>
            <w:r>
              <w:rPr>
                <w:sz w:val="13"/>
                <w:szCs w:val="13"/>
                <w:spacing w:val="-1"/>
              </w:rPr>
              <w:t>在土壤中杀灭害虫效果好，使用方便</w:t>
            </w:r>
          </w:p>
        </w:tc>
      </w:tr>
      <w:tr>
        <w:trPr>
          <w:trHeight w:val="774" w:hRule="atLeast"/>
        </w:trPr>
        <w:tc>
          <w:tcPr>
            <w:tcW w:w="585" w:type="dxa"/>
            <w:vAlign w:val="top"/>
            <w:vMerge w:val="continue"/>
            <w:tcBorders>
              <w:bottom w:val="single" w:color="000000" w:sz="2" w:space="0"/>
              <w:top w:val="nil"/>
            </w:tcBorders>
          </w:tcPr>
          <w:p>
            <w:pPr>
              <w:rPr>
                <w:rFonts w:ascii="Arial"/>
                <w:sz w:val="21"/>
              </w:rPr>
            </w:pPr>
            <w:r/>
          </w:p>
        </w:tc>
        <w:tc>
          <w:tcPr>
            <w:tcW w:w="610" w:type="dxa"/>
            <w:vAlign w:val="top"/>
            <w:vMerge w:val="continue"/>
            <w:tcBorders>
              <w:bottom w:val="single" w:color="000000" w:sz="2" w:space="0"/>
              <w:top w:val="nil"/>
            </w:tcBorders>
          </w:tcPr>
          <w:p>
            <w:pPr>
              <w:rPr>
                <w:rFonts w:ascii="Arial"/>
                <w:sz w:val="21"/>
              </w:rPr>
            </w:pPr>
            <w:r/>
          </w:p>
        </w:tc>
        <w:tc>
          <w:tcPr>
            <w:tcW w:w="1039" w:type="dxa"/>
            <w:vAlign w:val="top"/>
            <w:vMerge w:val="continue"/>
            <w:tcBorders>
              <w:bottom w:val="single" w:color="000000" w:sz="2" w:space="0"/>
              <w:top w:val="nil"/>
            </w:tcBorders>
          </w:tcPr>
          <w:p>
            <w:pPr>
              <w:rPr>
                <w:rFonts w:ascii="Arial"/>
                <w:sz w:val="21"/>
              </w:rPr>
            </w:pPr>
            <w:r/>
          </w:p>
        </w:tc>
        <w:tc>
          <w:tcPr>
            <w:tcW w:w="2798" w:type="dxa"/>
            <w:vAlign w:val="top"/>
            <w:vMerge w:val="continue"/>
            <w:tcBorders>
              <w:bottom w:val="single" w:color="000000" w:sz="2" w:space="0"/>
              <w:top w:val="nil"/>
            </w:tcBorders>
          </w:tcPr>
          <w:p>
            <w:pPr>
              <w:rPr>
                <w:rFonts w:ascii="Arial"/>
                <w:sz w:val="21"/>
              </w:rPr>
            </w:pPr>
            <w:r/>
          </w:p>
        </w:tc>
        <w:tc>
          <w:tcPr>
            <w:tcW w:w="959" w:type="dxa"/>
            <w:vAlign w:val="top"/>
            <w:tcBorders>
              <w:bottom w:val="single" w:color="000000" w:sz="2" w:space="0"/>
              <w:top w:val="single" w:color="000000" w:sz="2" w:space="0"/>
            </w:tcBorders>
          </w:tcPr>
          <w:p>
            <w:pPr>
              <w:spacing w:line="278" w:lineRule="auto"/>
              <w:rPr>
                <w:rFonts w:ascii="Arial"/>
                <w:sz w:val="21"/>
              </w:rPr>
            </w:pPr>
            <w:r/>
          </w:p>
          <w:p>
            <w:pPr>
              <w:pStyle w:val="TableText"/>
              <w:ind w:left="143"/>
              <w:spacing w:before="43" w:line="220" w:lineRule="auto"/>
              <w:rPr>
                <w:sz w:val="13"/>
                <w:szCs w:val="13"/>
              </w:rPr>
            </w:pPr>
            <w:r>
              <w:rPr>
                <w:sz w:val="13"/>
                <w:szCs w:val="13"/>
                <w:spacing w:val="1"/>
              </w:rPr>
              <w:t>中威击绿健</w:t>
            </w:r>
          </w:p>
        </w:tc>
        <w:tc>
          <w:tcPr>
            <w:tcW w:w="1909" w:type="dxa"/>
            <w:vAlign w:val="top"/>
            <w:tcBorders>
              <w:bottom w:val="single" w:color="000000" w:sz="2" w:space="0"/>
              <w:top w:val="single" w:color="000000" w:sz="2" w:space="0"/>
            </w:tcBorders>
          </w:tcPr>
          <w:p>
            <w:pPr>
              <w:spacing w:line="278" w:lineRule="auto"/>
              <w:rPr>
                <w:rFonts w:ascii="Arial"/>
                <w:sz w:val="21"/>
              </w:rPr>
            </w:pPr>
            <w:r/>
          </w:p>
          <w:p>
            <w:pPr>
              <w:pStyle w:val="TableText"/>
              <w:ind w:left="654"/>
              <w:spacing w:before="42" w:line="219" w:lineRule="auto"/>
              <w:rPr>
                <w:sz w:val="13"/>
                <w:szCs w:val="13"/>
              </w:rPr>
            </w:pPr>
            <w:r>
              <w:rPr>
                <w:sz w:val="13"/>
                <w:szCs w:val="13"/>
                <w:spacing w:val="-2"/>
              </w:rPr>
              <w:t>二嗪磷20%</w:t>
            </w:r>
          </w:p>
        </w:tc>
        <w:tc>
          <w:tcPr>
            <w:tcW w:w="1369" w:type="dxa"/>
            <w:vAlign w:val="top"/>
            <w:tcBorders>
              <w:bottom w:val="single" w:color="000000" w:sz="2" w:space="0"/>
              <w:top w:val="single" w:color="000000" w:sz="2" w:space="0"/>
            </w:tcBorders>
          </w:tcPr>
          <w:p>
            <w:pPr>
              <w:spacing w:line="274" w:lineRule="auto"/>
              <w:rPr>
                <w:rFonts w:ascii="Arial"/>
                <w:sz w:val="21"/>
              </w:rPr>
            </w:pPr>
            <w:r/>
          </w:p>
          <w:p>
            <w:pPr>
              <w:pStyle w:val="TableText"/>
              <w:spacing w:before="42" w:line="213" w:lineRule="auto"/>
              <w:jc w:val="right"/>
              <w:rPr>
                <w:sz w:val="13"/>
                <w:szCs w:val="13"/>
              </w:rPr>
            </w:pPr>
            <w:r>
              <w:rPr>
                <w:sz w:val="13"/>
                <w:szCs w:val="13"/>
                <w:spacing w:val="-3"/>
              </w:rPr>
              <w:t>直接撒施，每亩1-2kg</w:t>
            </w:r>
          </w:p>
        </w:tc>
        <w:tc>
          <w:tcPr>
            <w:tcW w:w="128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spacing w:line="274" w:lineRule="auto"/>
              <w:rPr>
                <w:rFonts w:ascii="Arial"/>
                <w:sz w:val="21"/>
              </w:rPr>
            </w:pPr>
            <w:r/>
          </w:p>
          <w:p>
            <w:pPr>
              <w:pStyle w:val="TableText"/>
              <w:ind w:left="87"/>
              <w:spacing w:before="42" w:line="213" w:lineRule="auto"/>
              <w:rPr>
                <w:sz w:val="13"/>
                <w:szCs w:val="13"/>
              </w:rPr>
            </w:pPr>
            <w:r>
              <w:rPr>
                <w:sz w:val="13"/>
                <w:szCs w:val="13"/>
                <w:spacing w:val="5"/>
              </w:rPr>
              <w:t>(1</w:t>
            </w:r>
            <w:r>
              <w:rPr>
                <w:sz w:val="13"/>
                <w:szCs w:val="13"/>
              </w:rPr>
              <w:t>kg</w:t>
            </w:r>
            <w:r>
              <w:rPr>
                <w:sz w:val="13"/>
                <w:szCs w:val="13"/>
                <w:spacing w:val="5"/>
              </w:rPr>
              <w:t>/袋)</w:t>
            </w:r>
          </w:p>
        </w:tc>
        <w:tc>
          <w:tcPr>
            <w:tcW w:w="2693" w:type="dxa"/>
            <w:vAlign w:val="top"/>
            <w:tcBorders>
              <w:bottom w:val="single" w:color="000000" w:sz="2" w:space="0"/>
              <w:top w:val="single" w:color="000000" w:sz="2" w:space="0"/>
            </w:tcBorders>
          </w:tcPr>
          <w:p>
            <w:pPr>
              <w:pStyle w:val="TableText"/>
              <w:ind w:left="18"/>
              <w:spacing w:before="251" w:line="230" w:lineRule="auto"/>
              <w:rPr>
                <w:sz w:val="13"/>
                <w:szCs w:val="13"/>
              </w:rPr>
            </w:pPr>
            <w:r>
              <w:rPr>
                <w:sz w:val="13"/>
                <w:szCs w:val="13"/>
                <w:spacing w:val="-6"/>
              </w:rPr>
              <w:t>专治草坪地下害虫(蛴蠕、金针虫，地老虎，根结</w:t>
            </w:r>
            <w:r>
              <w:rPr>
                <w:sz w:val="13"/>
                <w:szCs w:val="13"/>
              </w:rPr>
              <w:t xml:space="preserve"> </w:t>
            </w:r>
            <w:r>
              <w:rPr>
                <w:sz w:val="13"/>
                <w:szCs w:val="13"/>
                <w:spacing w:val="5"/>
              </w:rPr>
              <w:t>线虫等)</w:t>
            </w:r>
          </w:p>
        </w:tc>
      </w:tr>
      <w:tr>
        <w:trPr>
          <w:trHeight w:val="474" w:hRule="atLeast"/>
        </w:trPr>
        <w:tc>
          <w:tcPr>
            <w:tcW w:w="585" w:type="dxa"/>
            <w:vAlign w:val="top"/>
            <w:vMerge w:val="restart"/>
            <w:tcBorders>
              <w:bottom w:val="nil"/>
              <w:top w:val="single" w:color="000000" w:sz="2" w:space="0"/>
            </w:tcBorders>
          </w:tcPr>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54"/>
              <w:spacing w:before="42" w:line="218" w:lineRule="auto"/>
              <w:rPr>
                <w:sz w:val="13"/>
                <w:szCs w:val="13"/>
              </w:rPr>
            </w:pPr>
            <w:r>
              <w:rPr>
                <w:sz w:val="13"/>
                <w:szCs w:val="13"/>
                <w:spacing w:val="-2"/>
              </w:rPr>
              <w:t>营养剂/</w:t>
            </w:r>
          </w:p>
          <w:p>
            <w:pPr>
              <w:pStyle w:val="TableText"/>
              <w:ind w:left="154" w:right="70" w:hanging="100"/>
              <w:spacing w:before="6" w:line="208" w:lineRule="auto"/>
              <w:rPr>
                <w:sz w:val="13"/>
                <w:szCs w:val="13"/>
              </w:rPr>
            </w:pPr>
            <w:r>
              <w:rPr>
                <w:sz w:val="13"/>
                <w:szCs w:val="13"/>
                <w:spacing w:val="-2"/>
              </w:rPr>
              <w:t>肥料/调</w:t>
            </w:r>
            <w:r>
              <w:rPr>
                <w:sz w:val="13"/>
                <w:szCs w:val="13"/>
                <w:spacing w:val="1"/>
              </w:rPr>
              <w:t xml:space="preserve"> </w:t>
            </w:r>
            <w:r>
              <w:rPr>
                <w:sz w:val="13"/>
                <w:szCs w:val="13"/>
                <w:spacing w:val="-2"/>
              </w:rPr>
              <w:t>节剂</w:t>
            </w:r>
          </w:p>
        </w:tc>
        <w:tc>
          <w:tcPr>
            <w:tcW w:w="610" w:type="dxa"/>
            <w:vAlign w:val="top"/>
            <w:vMerge w:val="restart"/>
            <w:tcBorders>
              <w:bottom w:val="nil"/>
              <w:top w:val="single" w:color="000000" w:sz="2" w:space="0"/>
            </w:tcBorders>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30"/>
              <w:spacing w:before="42" w:line="219" w:lineRule="auto"/>
              <w:rPr>
                <w:sz w:val="13"/>
                <w:szCs w:val="13"/>
              </w:rPr>
            </w:pPr>
            <w:r>
              <w:rPr>
                <w:sz w:val="13"/>
                <w:szCs w:val="13"/>
                <w:spacing w:val="-1"/>
              </w:rPr>
              <w:t>树木复壮</w:t>
            </w:r>
          </w:p>
        </w:tc>
        <w:tc>
          <w:tcPr>
            <w:tcW w:w="1039" w:type="dxa"/>
            <w:vAlign w:val="top"/>
            <w:vMerge w:val="restart"/>
            <w:tcBorders>
              <w:bottom w:val="nil"/>
              <w:top w:val="single" w:color="000000" w:sz="2" w:space="0"/>
            </w:tcBorders>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spacing w:before="42" w:line="199" w:lineRule="auto"/>
              <w:jc w:val="right"/>
              <w:rPr>
                <w:sz w:val="13"/>
                <w:szCs w:val="13"/>
              </w:rPr>
            </w:pPr>
            <w:r>
              <w:rPr>
                <w:sz w:val="13"/>
                <w:szCs w:val="13"/>
                <w:spacing w:val="-3"/>
              </w:rPr>
              <w:t>树木长势弱，自项</w:t>
            </w:r>
          </w:p>
          <w:p>
            <w:pPr>
              <w:pStyle w:val="TableText"/>
              <w:ind w:left="50"/>
              <w:spacing w:line="198" w:lineRule="auto"/>
              <w:rPr>
                <w:sz w:val="13"/>
                <w:szCs w:val="13"/>
              </w:rPr>
            </w:pPr>
            <w:r>
              <w:rPr>
                <w:sz w:val="13"/>
                <w:szCs w:val="13"/>
                <w:spacing w:val="-1"/>
              </w:rPr>
              <w:t>部向下有枯黄现</w:t>
            </w:r>
          </w:p>
          <w:p>
            <w:pPr>
              <w:pStyle w:val="TableText"/>
              <w:spacing w:line="219" w:lineRule="auto"/>
              <w:jc w:val="right"/>
              <w:rPr>
                <w:sz w:val="13"/>
                <w:szCs w:val="13"/>
              </w:rPr>
            </w:pPr>
            <w:r>
              <w:rPr>
                <w:sz w:val="13"/>
                <w:szCs w:val="13"/>
                <w:spacing w:val="-3"/>
              </w:rPr>
              <w:t>象，或高大乔木及</w:t>
            </w:r>
          </w:p>
          <w:p>
            <w:pPr>
              <w:pStyle w:val="TableText"/>
              <w:ind w:left="250"/>
              <w:spacing w:before="5" w:line="219" w:lineRule="auto"/>
              <w:rPr>
                <w:sz w:val="13"/>
                <w:szCs w:val="13"/>
              </w:rPr>
            </w:pPr>
            <w:r>
              <w:rPr>
                <w:sz w:val="13"/>
                <w:szCs w:val="13"/>
                <w:spacing w:val="-2"/>
              </w:rPr>
              <w:t>责重树木</w:t>
            </w:r>
          </w:p>
        </w:tc>
        <w:tc>
          <w:tcPr>
            <w:tcW w:w="2798" w:type="dxa"/>
            <w:vAlign w:val="top"/>
            <w:vMerge w:val="restart"/>
            <w:tcBorders>
              <w:bottom w:val="nil"/>
              <w:top w:val="single" w:color="000000" w:sz="2" w:space="0"/>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1" w:firstLine="9"/>
              <w:spacing w:before="42" w:line="217" w:lineRule="auto"/>
              <w:rPr>
                <w:sz w:val="13"/>
                <w:szCs w:val="13"/>
              </w:rPr>
            </w:pPr>
            <w:r>
              <w:rPr>
                <w:sz w:val="13"/>
                <w:szCs w:val="13"/>
                <w:spacing w:val="-10"/>
              </w:rPr>
              <w:t>一、主要集中在3月至4月中句，气温上升，空气湿度</w:t>
            </w:r>
            <w:r>
              <w:rPr>
                <w:sz w:val="13"/>
                <w:szCs w:val="13"/>
                <w:spacing w:val="18"/>
                <w:w w:val="101"/>
              </w:rPr>
              <w:t xml:space="preserve"> </w:t>
            </w:r>
            <w:r>
              <w:rPr>
                <w:sz w:val="13"/>
                <w:szCs w:val="13"/>
                <w:spacing w:val="-10"/>
              </w:rPr>
              <w:t>增</w:t>
            </w:r>
            <w:r>
              <w:rPr>
                <w:sz w:val="13"/>
                <w:szCs w:val="13"/>
                <w:spacing w:val="-9"/>
              </w:rPr>
              <w:t>加，苗木结束休眠期开始返青，是树木复壮最佳</w:t>
            </w:r>
            <w:r>
              <w:rPr>
                <w:sz w:val="13"/>
                <w:szCs w:val="13"/>
                <w:spacing w:val="-8"/>
              </w:rPr>
              <w:t>时</w:t>
            </w:r>
            <w:r>
              <w:rPr>
                <w:sz w:val="13"/>
                <w:szCs w:val="13"/>
                <w:spacing w:val="2"/>
              </w:rPr>
              <w:t xml:space="preserve"> </w:t>
            </w:r>
            <w:r>
              <w:rPr>
                <w:sz w:val="13"/>
                <w:szCs w:val="13"/>
                <w:spacing w:val="-3"/>
              </w:rPr>
              <w:t>机</w:t>
            </w:r>
            <w:r>
              <w:rPr>
                <w:sz w:val="13"/>
                <w:szCs w:val="13"/>
                <w:spacing w:val="-26"/>
              </w:rPr>
              <w:t xml:space="preserve"> </w:t>
            </w:r>
            <w:r>
              <w:rPr>
                <w:sz w:val="13"/>
                <w:szCs w:val="13"/>
                <w:spacing w:val="-3"/>
              </w:rPr>
              <w:t>：</w:t>
            </w:r>
          </w:p>
          <w:p>
            <w:pPr>
              <w:pStyle w:val="TableText"/>
              <w:ind w:left="1" w:right="127"/>
              <w:spacing w:before="1" w:line="208" w:lineRule="auto"/>
              <w:rPr>
                <w:sz w:val="13"/>
                <w:szCs w:val="13"/>
              </w:rPr>
            </w:pPr>
            <w:r>
              <w:rPr>
                <w:sz w:val="13"/>
                <w:szCs w:val="13"/>
                <w:spacing w:val="-1"/>
              </w:rPr>
              <w:t>三，5-6月苗木有一个小的生长高峰期，可以复</w:t>
            </w:r>
            <w:r>
              <w:rPr>
                <w:sz w:val="13"/>
                <w:szCs w:val="13"/>
                <w:spacing w:val="15"/>
              </w:rPr>
              <w:t xml:space="preserve"> </w:t>
            </w:r>
            <w:r>
              <w:rPr>
                <w:sz w:val="13"/>
                <w:szCs w:val="13"/>
                <w:spacing w:val="-3"/>
              </w:rPr>
              <w:t>壮</w:t>
            </w:r>
            <w:r>
              <w:rPr>
                <w:sz w:val="13"/>
                <w:szCs w:val="13"/>
                <w:spacing w:val="35"/>
              </w:rPr>
              <w:t xml:space="preserve"> </w:t>
            </w:r>
            <w:r>
              <w:rPr>
                <w:sz w:val="13"/>
                <w:szCs w:val="13"/>
                <w:spacing w:val="-3"/>
              </w:rPr>
              <w:t>；</w:t>
            </w:r>
          </w:p>
          <w:p>
            <w:pPr>
              <w:pStyle w:val="TableText"/>
              <w:ind w:left="1"/>
              <w:spacing w:before="5" w:line="219" w:lineRule="auto"/>
              <w:rPr>
                <w:sz w:val="13"/>
                <w:szCs w:val="13"/>
              </w:rPr>
            </w:pPr>
            <w:r>
              <w:rPr>
                <w:sz w:val="13"/>
                <w:szCs w:val="13"/>
                <w:spacing w:val="3"/>
              </w:rPr>
              <w:t>三、8-9是苗木另一个生长高峰期，适合复壮；</w:t>
            </w:r>
          </w:p>
          <w:p>
            <w:pPr>
              <w:pStyle w:val="TableText"/>
              <w:ind w:left="1"/>
              <w:spacing w:before="4" w:line="210" w:lineRule="auto"/>
              <w:rPr>
                <w:sz w:val="13"/>
                <w:szCs w:val="13"/>
              </w:rPr>
            </w:pPr>
            <w:r>
              <w:rPr>
                <w:sz w:val="13"/>
                <w:szCs w:val="13"/>
                <w:spacing w:val="-10"/>
              </w:rPr>
              <w:t>四</w:t>
            </w:r>
            <w:r>
              <w:rPr>
                <w:sz w:val="13"/>
                <w:szCs w:val="13"/>
                <w:spacing w:val="-9"/>
              </w:rPr>
              <w:t>、对于后期出现的树木长势衰弱，应查明原因，</w:t>
            </w:r>
            <w:r>
              <w:rPr>
                <w:sz w:val="13"/>
                <w:szCs w:val="13"/>
                <w:spacing w:val="-8"/>
              </w:rPr>
              <w:t>做</w:t>
            </w:r>
            <w:r>
              <w:rPr>
                <w:sz w:val="13"/>
                <w:szCs w:val="13"/>
                <w:spacing w:val="2"/>
              </w:rPr>
              <w:t xml:space="preserve"> </w:t>
            </w:r>
            <w:r>
              <w:rPr>
                <w:sz w:val="13"/>
                <w:szCs w:val="13"/>
                <w:spacing w:val="1"/>
              </w:rPr>
              <w:t>专项治疗。</w:t>
            </w:r>
          </w:p>
        </w:tc>
        <w:tc>
          <w:tcPr>
            <w:tcW w:w="959" w:type="dxa"/>
            <w:vAlign w:val="top"/>
            <w:tcBorders>
              <w:bottom w:val="single" w:color="000000" w:sz="2" w:space="0"/>
              <w:top w:val="single" w:color="000000" w:sz="2" w:space="0"/>
            </w:tcBorders>
          </w:tcPr>
          <w:p>
            <w:pPr>
              <w:pStyle w:val="TableText"/>
              <w:ind w:left="83"/>
              <w:spacing w:before="172" w:line="219" w:lineRule="auto"/>
              <w:rPr>
                <w:sz w:val="13"/>
                <w:szCs w:val="13"/>
              </w:rPr>
            </w:pPr>
            <w:r>
              <w:rPr>
                <w:sz w:val="13"/>
                <w:szCs w:val="13"/>
              </w:rPr>
              <w:t>国光吊针原液</w:t>
            </w:r>
          </w:p>
        </w:tc>
        <w:tc>
          <w:tcPr>
            <w:tcW w:w="1909" w:type="dxa"/>
            <w:vAlign w:val="top"/>
            <w:tcBorders>
              <w:bottom w:val="single" w:color="000000" w:sz="2" w:space="0"/>
              <w:top w:val="single" w:color="000000" w:sz="2" w:space="0"/>
            </w:tcBorders>
          </w:tcPr>
          <w:p>
            <w:pPr>
              <w:pStyle w:val="TableText"/>
              <w:ind w:left="104"/>
              <w:spacing w:before="172" w:line="218" w:lineRule="auto"/>
              <w:rPr>
                <w:sz w:val="13"/>
                <w:szCs w:val="13"/>
              </w:rPr>
            </w:pPr>
            <w:r>
              <w:rPr>
                <w:sz w:val="13"/>
                <w:szCs w:val="13"/>
                <w:spacing w:val="1"/>
              </w:rPr>
              <w:t>125含氨基酸水溶肥料(硼+锋)</w:t>
            </w:r>
          </w:p>
        </w:tc>
        <w:tc>
          <w:tcPr>
            <w:tcW w:w="1369" w:type="dxa"/>
            <w:vAlign w:val="top"/>
            <w:tcBorders>
              <w:bottom w:val="single" w:color="000000" w:sz="2" w:space="0"/>
              <w:top w:val="single" w:color="000000" w:sz="2" w:space="0"/>
            </w:tcBorders>
          </w:tcPr>
          <w:p>
            <w:pPr>
              <w:pStyle w:val="TableText"/>
              <w:ind w:left="265"/>
              <w:spacing w:before="172" w:line="219" w:lineRule="auto"/>
              <w:rPr>
                <w:sz w:val="13"/>
                <w:szCs w:val="13"/>
              </w:rPr>
            </w:pPr>
            <w:r>
              <w:rPr>
                <w:sz w:val="13"/>
                <w:szCs w:val="13"/>
                <w:spacing w:val="-1"/>
              </w:rPr>
              <w:t>稀释1000-1200倍</w:t>
            </w:r>
          </w:p>
        </w:tc>
        <w:tc>
          <w:tcPr>
            <w:tcW w:w="1289" w:type="dxa"/>
            <w:vAlign w:val="top"/>
            <w:vMerge w:val="restart"/>
            <w:tcBorders>
              <w:bottom w:val="nil"/>
              <w:top w:val="single" w:color="000000" w:sz="2" w:space="0"/>
            </w:tcBorders>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86"/>
              <w:spacing w:before="42" w:line="219" w:lineRule="auto"/>
              <w:rPr>
                <w:sz w:val="13"/>
                <w:szCs w:val="13"/>
              </w:rPr>
            </w:pPr>
            <w:r>
              <w:rPr>
                <w:sz w:val="13"/>
                <w:szCs w:val="13"/>
                <w:spacing w:val="-1"/>
              </w:rPr>
              <w:t>视树木生长情况</w:t>
            </w:r>
          </w:p>
        </w:tc>
        <w:tc>
          <w:tcPr>
            <w:tcW w:w="699" w:type="dxa"/>
            <w:vAlign w:val="top"/>
            <w:tcBorders>
              <w:bottom w:val="single" w:color="000000" w:sz="2" w:space="0"/>
              <w:top w:val="single" w:color="000000" w:sz="2" w:space="0"/>
            </w:tcBorders>
          </w:tcPr>
          <w:p>
            <w:pPr>
              <w:pStyle w:val="TableText"/>
              <w:ind w:left="245" w:right="179" w:hanging="99"/>
              <w:spacing w:before="98" w:line="237" w:lineRule="auto"/>
              <w:rPr>
                <w:sz w:val="13"/>
                <w:szCs w:val="13"/>
              </w:rPr>
            </w:pPr>
            <w:r>
              <w:rPr>
                <w:sz w:val="13"/>
                <w:szCs w:val="13"/>
                <w:spacing w:val="-5"/>
              </w:rPr>
              <w:t>(200g/</w:t>
            </w:r>
            <w:r>
              <w:rPr>
                <w:sz w:val="13"/>
                <w:szCs w:val="13"/>
                <w:spacing w:val="1"/>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172" w:line="218" w:lineRule="auto"/>
              <w:rPr>
                <w:sz w:val="13"/>
                <w:szCs w:val="13"/>
              </w:rPr>
            </w:pPr>
            <w:r>
              <w:rPr>
                <w:sz w:val="13"/>
                <w:szCs w:val="13"/>
                <w:spacing w:val="-1"/>
              </w:rPr>
              <w:t>补充水分和养分，促进快速成活</w:t>
            </w:r>
          </w:p>
        </w:tc>
      </w:tr>
      <w:tr>
        <w:trPr>
          <w:trHeight w:val="50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43"/>
              <w:spacing w:before="193" w:line="220" w:lineRule="auto"/>
              <w:rPr>
                <w:sz w:val="13"/>
                <w:szCs w:val="13"/>
              </w:rPr>
            </w:pPr>
            <w:r>
              <w:rPr>
                <w:sz w:val="13"/>
                <w:szCs w:val="13"/>
                <w:spacing w:val="1"/>
              </w:rPr>
              <w:t>中威吊针液</w:t>
            </w:r>
          </w:p>
        </w:tc>
        <w:tc>
          <w:tcPr>
            <w:tcW w:w="1909" w:type="dxa"/>
            <w:vAlign w:val="top"/>
            <w:tcBorders>
              <w:bottom w:val="single" w:color="000000" w:sz="2" w:space="0"/>
              <w:top w:val="single" w:color="000000" w:sz="2" w:space="0"/>
            </w:tcBorders>
          </w:tcPr>
          <w:p>
            <w:pPr>
              <w:pStyle w:val="TableText"/>
              <w:ind w:left="104"/>
              <w:spacing w:before="191" w:line="216" w:lineRule="auto"/>
              <w:rPr>
                <w:sz w:val="13"/>
                <w:szCs w:val="13"/>
              </w:rPr>
            </w:pPr>
            <w:r>
              <w:rPr>
                <w:sz w:val="13"/>
                <w:szCs w:val="13"/>
                <w:spacing w:val="-1"/>
              </w:rPr>
              <w:t>DA-6,甲壳素，砸镁锌等2.85%</w:t>
            </w:r>
          </w:p>
        </w:tc>
        <w:tc>
          <w:tcPr>
            <w:tcW w:w="1369" w:type="dxa"/>
            <w:vAlign w:val="top"/>
            <w:tcBorders>
              <w:bottom w:val="single" w:color="000000" w:sz="2" w:space="0"/>
              <w:top w:val="single" w:color="000000" w:sz="2" w:space="0"/>
            </w:tcBorders>
          </w:tcPr>
          <w:p>
            <w:pPr>
              <w:pStyle w:val="TableText"/>
              <w:ind w:left="225"/>
              <w:spacing w:before="193" w:line="219" w:lineRule="auto"/>
              <w:rPr>
                <w:sz w:val="13"/>
                <w:szCs w:val="13"/>
              </w:rPr>
            </w:pPr>
            <w:r>
              <w:rPr>
                <w:sz w:val="13"/>
                <w:szCs w:val="13"/>
                <w:spacing w:val="-1"/>
              </w:rPr>
              <w:t>稀释60-100倍液</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46"/>
              <w:spacing w:before="189" w:line="213" w:lineRule="auto"/>
              <w:rPr>
                <w:sz w:val="13"/>
                <w:szCs w:val="13"/>
              </w:rPr>
            </w:pPr>
            <w:r>
              <w:rPr>
                <w:sz w:val="13"/>
                <w:szCs w:val="13"/>
                <w:spacing w:val="1"/>
              </w:rPr>
              <w:t>1</w:t>
            </w:r>
            <w:r>
              <w:rPr>
                <w:sz w:val="13"/>
                <w:szCs w:val="13"/>
              </w:rPr>
              <w:t>kg</w:t>
            </w:r>
            <w:r>
              <w:rPr>
                <w:sz w:val="13"/>
                <w:szCs w:val="13"/>
                <w:spacing w:val="1"/>
              </w:rPr>
              <w:t>/袋</w:t>
            </w:r>
          </w:p>
        </w:tc>
        <w:tc>
          <w:tcPr>
            <w:tcW w:w="2693" w:type="dxa"/>
            <w:vAlign w:val="top"/>
            <w:tcBorders>
              <w:bottom w:val="single" w:color="000000" w:sz="2" w:space="0"/>
              <w:top w:val="single" w:color="000000" w:sz="2" w:space="0"/>
            </w:tcBorders>
          </w:tcPr>
          <w:p>
            <w:pPr>
              <w:pStyle w:val="TableText"/>
              <w:ind w:left="18"/>
              <w:spacing w:before="122" w:line="230" w:lineRule="auto"/>
              <w:rPr>
                <w:sz w:val="13"/>
                <w:szCs w:val="13"/>
              </w:rPr>
            </w:pPr>
            <w:r>
              <w:rPr>
                <w:sz w:val="13"/>
                <w:szCs w:val="13"/>
                <w:spacing w:val="-10"/>
              </w:rPr>
              <w:t>促使</w:t>
            </w:r>
            <w:r>
              <w:rPr>
                <w:sz w:val="13"/>
                <w:szCs w:val="13"/>
                <w:spacing w:val="-9"/>
              </w:rPr>
              <w:t>树体健壮，迅速补充营养，增强抗性，提高</w:t>
            </w:r>
            <w:r>
              <w:rPr>
                <w:sz w:val="13"/>
                <w:szCs w:val="13"/>
                <w:spacing w:val="-7"/>
              </w:rPr>
              <w:t>成</w:t>
            </w:r>
            <w:r>
              <w:rPr>
                <w:sz w:val="13"/>
                <w:szCs w:val="13"/>
                <w:spacing w:val="1"/>
              </w:rPr>
              <w:t xml:space="preserve"> </w:t>
            </w:r>
            <w:r>
              <w:rPr>
                <w:sz w:val="13"/>
                <w:szCs w:val="13"/>
                <w:spacing w:val="-2"/>
              </w:rPr>
              <w:t>活率</w:t>
            </w:r>
          </w:p>
        </w:tc>
      </w:tr>
      <w:tr>
        <w:trPr>
          <w:trHeight w:val="49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43"/>
              <w:spacing w:before="183" w:line="219" w:lineRule="auto"/>
              <w:rPr>
                <w:sz w:val="13"/>
                <w:szCs w:val="13"/>
              </w:rPr>
            </w:pPr>
            <w:r>
              <w:rPr>
                <w:sz w:val="13"/>
                <w:szCs w:val="13"/>
                <w:spacing w:val="1"/>
              </w:rPr>
              <w:t>国光根动力2号</w:t>
            </w:r>
          </w:p>
        </w:tc>
        <w:tc>
          <w:tcPr>
            <w:tcW w:w="1909" w:type="dxa"/>
            <w:vAlign w:val="top"/>
            <w:tcBorders>
              <w:bottom w:val="single" w:color="000000" w:sz="2" w:space="0"/>
              <w:top w:val="single" w:color="000000" w:sz="2" w:space="0"/>
            </w:tcBorders>
          </w:tcPr>
          <w:p>
            <w:pPr>
              <w:pStyle w:val="TableText"/>
              <w:ind w:left="264"/>
              <w:spacing w:before="183" w:line="218" w:lineRule="auto"/>
              <w:rPr>
                <w:sz w:val="13"/>
                <w:szCs w:val="13"/>
              </w:rPr>
            </w:pPr>
            <w:r>
              <w:rPr>
                <w:sz w:val="13"/>
                <w:szCs w:val="13"/>
                <w:spacing w:val="1"/>
              </w:rPr>
              <w:t>13%含氨基酸水溶肥(钙)</w:t>
            </w:r>
          </w:p>
        </w:tc>
        <w:tc>
          <w:tcPr>
            <w:tcW w:w="1369" w:type="dxa"/>
            <w:vAlign w:val="top"/>
            <w:tcBorders>
              <w:bottom w:val="single" w:color="000000" w:sz="2" w:space="0"/>
              <w:top w:val="single" w:color="000000" w:sz="2" w:space="0"/>
            </w:tcBorders>
          </w:tcPr>
          <w:p>
            <w:pPr>
              <w:pStyle w:val="TableText"/>
              <w:ind w:left="155"/>
              <w:spacing w:before="183" w:line="219" w:lineRule="auto"/>
              <w:rPr>
                <w:sz w:val="13"/>
                <w:szCs w:val="13"/>
              </w:rPr>
            </w:pPr>
            <w:r>
              <w:rPr>
                <w:sz w:val="13"/>
                <w:szCs w:val="13"/>
                <w:spacing w:val="-1"/>
              </w:rPr>
              <w:t>稀释800-1000倍液</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46"/>
              <w:spacing w:before="184" w:line="221" w:lineRule="auto"/>
              <w:rPr>
                <w:sz w:val="13"/>
                <w:szCs w:val="13"/>
              </w:rPr>
            </w:pPr>
            <w:r>
              <w:rPr>
                <w:sz w:val="13"/>
                <w:szCs w:val="13"/>
                <w:spacing w:val="5"/>
              </w:rPr>
              <w:t>(L/瓶)</w:t>
            </w:r>
          </w:p>
        </w:tc>
        <w:tc>
          <w:tcPr>
            <w:tcW w:w="2693" w:type="dxa"/>
            <w:vAlign w:val="top"/>
            <w:tcBorders>
              <w:bottom w:val="single" w:color="000000" w:sz="2" w:space="0"/>
              <w:top w:val="single" w:color="000000" w:sz="2" w:space="0"/>
            </w:tcBorders>
          </w:tcPr>
          <w:p>
            <w:pPr>
              <w:pStyle w:val="TableText"/>
              <w:ind w:left="18"/>
              <w:spacing w:before="183" w:line="219" w:lineRule="auto"/>
              <w:rPr>
                <w:sz w:val="13"/>
                <w:szCs w:val="13"/>
              </w:rPr>
            </w:pPr>
            <w:r>
              <w:rPr>
                <w:sz w:val="13"/>
                <w:szCs w:val="13"/>
                <w:spacing w:val="-1"/>
              </w:rPr>
              <w:t>诱导树木快速生根，提高移栽成活率</w:t>
            </w:r>
          </w:p>
        </w:tc>
      </w:tr>
      <w:tr>
        <w:trPr>
          <w:trHeight w:val="50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43"/>
              <w:spacing w:before="194" w:line="220" w:lineRule="auto"/>
              <w:rPr>
                <w:sz w:val="13"/>
                <w:szCs w:val="13"/>
              </w:rPr>
            </w:pPr>
            <w:r>
              <w:rPr>
                <w:sz w:val="13"/>
                <w:szCs w:val="13"/>
                <w:spacing w:val="1"/>
              </w:rPr>
              <w:t>中威生根液</w:t>
            </w:r>
          </w:p>
        </w:tc>
        <w:tc>
          <w:tcPr>
            <w:tcW w:w="1909" w:type="dxa"/>
            <w:vAlign w:val="top"/>
            <w:tcBorders>
              <w:bottom w:val="single" w:color="000000" w:sz="2" w:space="0"/>
              <w:top w:val="single" w:color="000000" w:sz="2" w:space="0"/>
            </w:tcBorders>
          </w:tcPr>
          <w:p>
            <w:pPr>
              <w:pStyle w:val="TableText"/>
              <w:ind w:left="394"/>
              <w:spacing w:before="193" w:line="219" w:lineRule="auto"/>
              <w:rPr>
                <w:sz w:val="13"/>
                <w:szCs w:val="13"/>
              </w:rPr>
            </w:pPr>
            <w:r>
              <w:rPr>
                <w:sz w:val="13"/>
                <w:szCs w:val="13"/>
                <w:spacing w:val="-1"/>
              </w:rPr>
              <w:t>蔡乙酸、噪乙酸10%</w:t>
            </w:r>
          </w:p>
        </w:tc>
        <w:tc>
          <w:tcPr>
            <w:tcW w:w="1369" w:type="dxa"/>
            <w:vAlign w:val="top"/>
            <w:tcBorders>
              <w:bottom w:val="single" w:color="000000" w:sz="2" w:space="0"/>
              <w:top w:val="single" w:color="000000" w:sz="2" w:space="0"/>
            </w:tcBorders>
          </w:tcPr>
          <w:p>
            <w:pPr>
              <w:pStyle w:val="TableText"/>
              <w:ind w:left="315"/>
              <w:spacing w:before="194" w:line="220" w:lineRule="auto"/>
              <w:rPr>
                <w:sz w:val="13"/>
                <w:szCs w:val="13"/>
              </w:rPr>
            </w:pPr>
            <w:r>
              <w:rPr>
                <w:sz w:val="13"/>
                <w:szCs w:val="13"/>
                <w:spacing w:val="-1"/>
              </w:rPr>
              <w:t>300-500倍液</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46"/>
              <w:spacing w:before="190" w:line="213" w:lineRule="auto"/>
              <w:rPr>
                <w:sz w:val="13"/>
                <w:szCs w:val="13"/>
              </w:rPr>
            </w:pPr>
            <w:r>
              <w:rPr>
                <w:sz w:val="13"/>
                <w:szCs w:val="13"/>
                <w:spacing w:val="-1"/>
              </w:rPr>
              <w:t>4kg/桶</w:t>
            </w:r>
          </w:p>
        </w:tc>
        <w:tc>
          <w:tcPr>
            <w:tcW w:w="2693" w:type="dxa"/>
            <w:vAlign w:val="top"/>
            <w:tcBorders>
              <w:bottom w:val="single" w:color="000000" w:sz="2" w:space="0"/>
              <w:top w:val="single" w:color="000000" w:sz="2" w:space="0"/>
            </w:tcBorders>
          </w:tcPr>
          <w:p>
            <w:pPr>
              <w:pStyle w:val="TableText"/>
              <w:ind w:left="18"/>
              <w:spacing w:before="113" w:line="244" w:lineRule="auto"/>
              <w:rPr>
                <w:sz w:val="13"/>
                <w:szCs w:val="13"/>
              </w:rPr>
            </w:pPr>
            <w:r>
              <w:rPr>
                <w:sz w:val="13"/>
                <w:szCs w:val="13"/>
                <w:spacing w:val="-10"/>
              </w:rPr>
              <w:t>促使树</w:t>
            </w:r>
            <w:r>
              <w:rPr>
                <w:sz w:val="13"/>
                <w:szCs w:val="13"/>
                <w:spacing w:val="-9"/>
              </w:rPr>
              <w:t>木快速生根，形成庞大根系，快速萌芽，</w:t>
            </w:r>
            <w:r>
              <w:rPr>
                <w:sz w:val="13"/>
                <w:szCs w:val="13"/>
                <w:spacing w:val="-6"/>
              </w:rPr>
              <w:t>改</w:t>
            </w:r>
            <w:r>
              <w:rPr>
                <w:sz w:val="13"/>
                <w:szCs w:val="13"/>
                <w:spacing w:val="1"/>
              </w:rPr>
              <w:t xml:space="preserve"> </w:t>
            </w:r>
            <w:r>
              <w:rPr>
                <w:sz w:val="13"/>
                <w:szCs w:val="13"/>
                <w:spacing w:val="2"/>
              </w:rPr>
              <w:t>喾植物长势</w:t>
            </w:r>
          </w:p>
        </w:tc>
      </w:tr>
      <w:tr>
        <w:trPr>
          <w:trHeight w:val="58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43"/>
              <w:spacing w:before="234" w:line="219" w:lineRule="auto"/>
              <w:rPr>
                <w:sz w:val="13"/>
                <w:szCs w:val="13"/>
              </w:rPr>
            </w:pPr>
            <w:r>
              <w:rPr>
                <w:sz w:val="13"/>
                <w:szCs w:val="13"/>
                <w:spacing w:val="2"/>
              </w:rPr>
              <w:t>国光树动力</w:t>
            </w:r>
          </w:p>
        </w:tc>
        <w:tc>
          <w:tcPr>
            <w:tcW w:w="1909" w:type="dxa"/>
            <w:vAlign w:val="top"/>
            <w:tcBorders>
              <w:bottom w:val="single" w:color="000000" w:sz="2" w:space="0"/>
              <w:top w:val="single" w:color="000000" w:sz="2" w:space="0"/>
            </w:tcBorders>
          </w:tcPr>
          <w:p>
            <w:pPr>
              <w:pStyle w:val="TableText"/>
              <w:ind w:left="683" w:hanging="669"/>
              <w:spacing w:before="164" w:line="228" w:lineRule="auto"/>
              <w:rPr>
                <w:sz w:val="13"/>
                <w:szCs w:val="13"/>
              </w:rPr>
            </w:pPr>
            <w:r>
              <w:rPr>
                <w:sz w:val="13"/>
                <w:szCs w:val="13"/>
                <w:spacing w:val="-5"/>
              </w:rPr>
              <w:t>细胞分裂类高活性物质，含丰富矿</w:t>
            </w:r>
            <w:r>
              <w:rPr>
                <w:sz w:val="13"/>
                <w:szCs w:val="13"/>
                <w:spacing w:val="8"/>
              </w:rPr>
              <w:t xml:space="preserve"> </w:t>
            </w:r>
            <w:r>
              <w:rPr>
                <w:sz w:val="13"/>
                <w:szCs w:val="13"/>
                <w:spacing w:val="-1"/>
              </w:rPr>
              <w:t>物质溶剂</w:t>
            </w:r>
          </w:p>
        </w:tc>
        <w:tc>
          <w:tcPr>
            <w:tcW w:w="1369" w:type="dxa"/>
            <w:vAlign w:val="top"/>
            <w:tcBorders>
              <w:bottom w:val="single" w:color="000000" w:sz="2" w:space="0"/>
              <w:top w:val="single" w:color="000000" w:sz="2" w:space="0"/>
            </w:tcBorders>
          </w:tcPr>
          <w:p>
            <w:pPr>
              <w:pStyle w:val="TableText"/>
              <w:ind w:left="25"/>
              <w:spacing w:before="94" w:line="219" w:lineRule="auto"/>
              <w:rPr>
                <w:sz w:val="13"/>
                <w:szCs w:val="13"/>
              </w:rPr>
            </w:pPr>
            <w:r>
              <w:rPr>
                <w:sz w:val="13"/>
                <w:szCs w:val="13"/>
                <w:spacing w:val="-1"/>
              </w:rPr>
              <w:t>直接使用，一般胸径8-</w:t>
            </w:r>
          </w:p>
          <w:p>
            <w:pPr>
              <w:pStyle w:val="TableText"/>
              <w:spacing w:before="5" w:line="200" w:lineRule="auto"/>
              <w:jc w:val="right"/>
              <w:rPr>
                <w:sz w:val="13"/>
                <w:szCs w:val="13"/>
              </w:rPr>
            </w:pPr>
            <w:r>
              <w:rPr>
                <w:sz w:val="13"/>
                <w:szCs w:val="13"/>
                <w:spacing w:val="-2"/>
              </w:rPr>
              <w:t>10cm描1瓶，胸径每增加</w:t>
            </w:r>
          </w:p>
          <w:p>
            <w:pPr>
              <w:pStyle w:val="TableText"/>
              <w:ind w:left="315"/>
              <w:spacing w:line="220" w:lineRule="auto"/>
              <w:rPr>
                <w:sz w:val="13"/>
                <w:szCs w:val="13"/>
              </w:rPr>
            </w:pPr>
            <w:r>
              <w:rPr>
                <w:sz w:val="13"/>
                <w:szCs w:val="13"/>
                <w:spacing w:val="1"/>
              </w:rPr>
              <w:t>10</w:t>
            </w:r>
            <w:r>
              <w:rPr>
                <w:sz w:val="13"/>
                <w:szCs w:val="13"/>
              </w:rPr>
              <w:t>cn</w:t>
            </w:r>
            <w:r>
              <w:rPr>
                <w:sz w:val="13"/>
                <w:szCs w:val="13"/>
                <w:spacing w:val="1"/>
              </w:rPr>
              <w:t>增加1瓶</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45" w:right="144" w:hanging="129"/>
              <w:spacing w:before="166" w:line="228" w:lineRule="auto"/>
              <w:rPr>
                <w:sz w:val="13"/>
                <w:szCs w:val="13"/>
              </w:rPr>
            </w:pPr>
            <w:r>
              <w:rPr>
                <w:sz w:val="13"/>
                <w:szCs w:val="13"/>
                <w:spacing w:val="-4"/>
              </w:rPr>
              <w:t>(300ml/</w:t>
            </w:r>
            <w:r>
              <w:rPr>
                <w:sz w:val="13"/>
                <w:szCs w:val="13"/>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234" w:line="219" w:lineRule="auto"/>
              <w:rPr>
                <w:sz w:val="13"/>
                <w:szCs w:val="13"/>
              </w:rPr>
            </w:pPr>
            <w:r>
              <w:rPr>
                <w:sz w:val="13"/>
                <w:szCs w:val="13"/>
                <w:spacing w:val="-1"/>
              </w:rPr>
              <w:t>大树直插瓶，大树古树复壮</w:t>
            </w:r>
          </w:p>
        </w:tc>
      </w:tr>
      <w:tr>
        <w:trPr>
          <w:trHeight w:val="61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43"/>
              <w:spacing w:before="244" w:line="220" w:lineRule="auto"/>
              <w:rPr>
                <w:sz w:val="13"/>
                <w:szCs w:val="13"/>
              </w:rPr>
            </w:pPr>
            <w:r>
              <w:rPr>
                <w:sz w:val="13"/>
                <w:szCs w:val="13"/>
                <w:spacing w:val="1"/>
              </w:rPr>
              <w:t>中威激活液</w:t>
            </w:r>
          </w:p>
        </w:tc>
        <w:tc>
          <w:tcPr>
            <w:tcW w:w="1909" w:type="dxa"/>
            <w:vAlign w:val="top"/>
            <w:tcBorders>
              <w:bottom w:val="single" w:color="000000" w:sz="2" w:space="0"/>
              <w:top w:val="single" w:color="000000" w:sz="2" w:space="0"/>
            </w:tcBorders>
          </w:tcPr>
          <w:p>
            <w:pPr>
              <w:pStyle w:val="TableText"/>
              <w:ind w:left="424"/>
              <w:spacing w:before="242" w:line="216" w:lineRule="auto"/>
              <w:rPr>
                <w:sz w:val="13"/>
                <w:szCs w:val="13"/>
              </w:rPr>
            </w:pPr>
            <w:r>
              <w:rPr>
                <w:sz w:val="13"/>
                <w:szCs w:val="13"/>
                <w:spacing w:val="-1"/>
              </w:rPr>
              <w:t>6B-A,复硝酚钠10%</w:t>
            </w:r>
          </w:p>
        </w:tc>
        <w:tc>
          <w:tcPr>
            <w:tcW w:w="1369" w:type="dxa"/>
            <w:vAlign w:val="top"/>
            <w:tcBorders>
              <w:bottom w:val="single" w:color="000000" w:sz="2" w:space="0"/>
              <w:top w:val="single" w:color="000000" w:sz="2" w:space="0"/>
            </w:tcBorders>
          </w:tcPr>
          <w:p>
            <w:pPr>
              <w:pStyle w:val="TableText"/>
              <w:ind w:left="25"/>
              <w:spacing w:before="104" w:line="199" w:lineRule="auto"/>
              <w:rPr>
                <w:sz w:val="13"/>
                <w:szCs w:val="13"/>
              </w:rPr>
            </w:pPr>
            <w:r>
              <w:rPr>
                <w:sz w:val="13"/>
                <w:szCs w:val="13"/>
                <w:spacing w:val="-1"/>
              </w:rPr>
              <w:t>直接使用，一般胸径8-</w:t>
            </w:r>
          </w:p>
          <w:p>
            <w:pPr>
              <w:pStyle w:val="TableText"/>
              <w:spacing w:line="219" w:lineRule="auto"/>
              <w:jc w:val="right"/>
              <w:rPr>
                <w:sz w:val="13"/>
                <w:szCs w:val="13"/>
              </w:rPr>
            </w:pPr>
            <w:r>
              <w:rPr>
                <w:sz w:val="13"/>
                <w:szCs w:val="13"/>
                <w:spacing w:val="-2"/>
              </w:rPr>
              <w:t>10cm插1瓶，胸径每增加</w:t>
            </w:r>
          </w:p>
          <w:p>
            <w:pPr>
              <w:pStyle w:val="TableText"/>
              <w:ind w:left="315"/>
              <w:spacing w:before="16" w:line="221" w:lineRule="auto"/>
              <w:rPr>
                <w:sz w:val="13"/>
                <w:szCs w:val="13"/>
              </w:rPr>
            </w:pPr>
            <w:r>
              <w:rPr>
                <w:sz w:val="13"/>
                <w:szCs w:val="13"/>
                <w:spacing w:val="1"/>
              </w:rPr>
              <w:t>10</w:t>
            </w:r>
            <w:r>
              <w:rPr>
                <w:sz w:val="13"/>
                <w:szCs w:val="13"/>
              </w:rPr>
              <w:t>cn</w:t>
            </w:r>
            <w:r>
              <w:rPr>
                <w:sz w:val="13"/>
                <w:szCs w:val="13"/>
                <w:spacing w:val="1"/>
              </w:rPr>
              <w:t>增加1瓶</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245" w:right="144" w:hanging="129"/>
              <w:spacing w:before="177" w:line="228" w:lineRule="auto"/>
              <w:rPr>
                <w:sz w:val="13"/>
                <w:szCs w:val="13"/>
              </w:rPr>
            </w:pPr>
            <w:r>
              <w:rPr>
                <w:sz w:val="13"/>
                <w:szCs w:val="13"/>
                <w:spacing w:val="-4"/>
              </w:rPr>
              <w:t>(350ml/</w:t>
            </w:r>
            <w:r>
              <w:rPr>
                <w:sz w:val="13"/>
                <w:szCs w:val="13"/>
              </w:rPr>
              <w:t xml:space="preserve"> </w:t>
            </w:r>
            <w:r>
              <w:rPr>
                <w:sz w:val="13"/>
                <w:szCs w:val="13"/>
                <w:spacing w:val="11"/>
              </w:rPr>
              <w:t>瓶)</w:t>
            </w:r>
          </w:p>
        </w:tc>
        <w:tc>
          <w:tcPr>
            <w:tcW w:w="2693" w:type="dxa"/>
            <w:vAlign w:val="top"/>
            <w:tcBorders>
              <w:bottom w:val="single" w:color="000000" w:sz="2" w:space="0"/>
              <w:top w:val="single" w:color="000000" w:sz="2" w:space="0"/>
            </w:tcBorders>
          </w:tcPr>
          <w:p>
            <w:pPr>
              <w:pStyle w:val="TableText"/>
              <w:ind w:left="18"/>
              <w:spacing w:before="173" w:line="231" w:lineRule="auto"/>
              <w:rPr>
                <w:sz w:val="13"/>
                <w:szCs w:val="13"/>
              </w:rPr>
            </w:pPr>
            <w:r>
              <w:rPr>
                <w:sz w:val="13"/>
                <w:szCs w:val="13"/>
                <w:spacing w:val="-10"/>
              </w:rPr>
              <w:t>补充水</w:t>
            </w:r>
            <w:r>
              <w:rPr>
                <w:sz w:val="13"/>
                <w:szCs w:val="13"/>
                <w:spacing w:val="-9"/>
              </w:rPr>
              <w:t>分养分，促进发芽、防止黄叶、萎蔫，生</w:t>
            </w:r>
            <w:r>
              <w:rPr>
                <w:sz w:val="13"/>
                <w:szCs w:val="13"/>
                <w:spacing w:val="-6"/>
              </w:rPr>
              <w:t>理</w:t>
            </w:r>
            <w:r>
              <w:rPr>
                <w:sz w:val="13"/>
                <w:szCs w:val="13"/>
                <w:spacing w:val="1"/>
              </w:rPr>
              <w:t xml:space="preserve"> </w:t>
            </w:r>
            <w:r>
              <w:rPr>
                <w:sz w:val="13"/>
                <w:szCs w:val="13"/>
                <w:spacing w:val="-2"/>
              </w:rPr>
              <w:t>性病害</w:t>
            </w:r>
          </w:p>
        </w:tc>
      </w:tr>
      <w:tr>
        <w:trPr>
          <w:trHeight w:val="634" w:hRule="atLeast"/>
        </w:trPr>
        <w:tc>
          <w:tcPr>
            <w:tcW w:w="585" w:type="dxa"/>
            <w:vAlign w:val="top"/>
            <w:vMerge w:val="continue"/>
            <w:tcBorders>
              <w:bottom w:val="nil"/>
              <w:top w:val="nil"/>
            </w:tcBorders>
          </w:tcPr>
          <w:p>
            <w:pPr>
              <w:rPr>
                <w:rFonts w:ascii="Arial"/>
                <w:sz w:val="21"/>
              </w:rPr>
            </w:pPr>
            <w:r/>
          </w:p>
        </w:tc>
        <w:tc>
          <w:tcPr>
            <w:tcW w:w="610" w:type="dxa"/>
            <w:vAlign w:val="top"/>
            <w:vMerge w:val="continue"/>
            <w:tcBorders>
              <w:bottom w:val="nil"/>
              <w:top w:val="nil"/>
            </w:tcBorders>
          </w:tcPr>
          <w:p>
            <w:pPr>
              <w:rPr>
                <w:rFonts w:ascii="Arial"/>
                <w:sz w:val="21"/>
              </w:rPr>
            </w:pPr>
            <w:r/>
          </w:p>
        </w:tc>
        <w:tc>
          <w:tcPr>
            <w:tcW w:w="1039" w:type="dxa"/>
            <w:vAlign w:val="top"/>
            <w:vMerge w:val="continue"/>
            <w:tcBorders>
              <w:bottom w:val="nil"/>
              <w:top w:val="nil"/>
            </w:tcBorders>
          </w:tcPr>
          <w:p>
            <w:pPr>
              <w:rPr>
                <w:rFonts w:ascii="Arial"/>
                <w:sz w:val="21"/>
              </w:rPr>
            </w:pPr>
            <w:r/>
          </w:p>
        </w:tc>
        <w:tc>
          <w:tcPr>
            <w:tcW w:w="2798" w:type="dxa"/>
            <w:vAlign w:val="top"/>
            <w:vMerge w:val="continue"/>
            <w:tcBorders>
              <w:bottom w:val="nil"/>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213"/>
              <w:spacing w:before="254" w:line="218" w:lineRule="auto"/>
              <w:rPr>
                <w:sz w:val="13"/>
                <w:szCs w:val="13"/>
              </w:rPr>
            </w:pPr>
            <w:r>
              <w:rPr>
                <w:sz w:val="13"/>
                <w:szCs w:val="13"/>
                <w:spacing w:val="1"/>
              </w:rPr>
              <w:t>国光棒肥</w:t>
            </w:r>
          </w:p>
        </w:tc>
        <w:tc>
          <w:tcPr>
            <w:tcW w:w="1909" w:type="dxa"/>
            <w:vAlign w:val="top"/>
            <w:tcBorders>
              <w:bottom w:val="single" w:color="000000" w:sz="2" w:space="0"/>
              <w:top w:val="single" w:color="000000" w:sz="2" w:space="0"/>
            </w:tcBorders>
          </w:tcPr>
          <w:p>
            <w:pPr>
              <w:pStyle w:val="TableText"/>
              <w:ind w:left="104"/>
              <w:spacing w:before="254" w:line="218" w:lineRule="auto"/>
              <w:rPr>
                <w:sz w:val="13"/>
                <w:szCs w:val="13"/>
              </w:rPr>
            </w:pPr>
            <w:r>
              <w:rPr>
                <w:sz w:val="13"/>
                <w:szCs w:val="13"/>
                <w:spacing w:val="-1"/>
              </w:rPr>
              <w:t>微肥、稀有元素、大量元素肥</w:t>
            </w:r>
          </w:p>
        </w:tc>
        <w:tc>
          <w:tcPr>
            <w:tcW w:w="1369" w:type="dxa"/>
            <w:vAlign w:val="top"/>
            <w:tcBorders>
              <w:bottom w:val="single" w:color="000000" w:sz="2" w:space="0"/>
              <w:top w:val="single" w:color="000000" w:sz="2" w:space="0"/>
            </w:tcBorders>
          </w:tcPr>
          <w:p>
            <w:pPr>
              <w:pStyle w:val="TableText"/>
              <w:ind w:left="25" w:right="126" w:firstLine="99"/>
              <w:spacing w:before="13" w:line="220" w:lineRule="auto"/>
              <w:rPr>
                <w:sz w:val="11"/>
                <w:szCs w:val="11"/>
              </w:rPr>
            </w:pPr>
            <w:r>
              <w:rPr>
                <w:sz w:val="10"/>
                <w:szCs w:val="10"/>
                <w:spacing w:val="10"/>
              </w:rPr>
              <w:t>直接使用，根括树的胸</w:t>
            </w:r>
            <w:r>
              <w:rPr>
                <w:sz w:val="10"/>
                <w:szCs w:val="10"/>
                <w:spacing w:val="6"/>
              </w:rPr>
              <w:t xml:space="preserve"> </w:t>
            </w:r>
            <w:r>
              <w:rPr>
                <w:sz w:val="10"/>
                <w:szCs w:val="10"/>
                <w:spacing w:val="15"/>
              </w:rPr>
              <w:t>径进行调整：10</w:t>
            </w:r>
            <w:r>
              <w:rPr>
                <w:sz w:val="10"/>
                <w:szCs w:val="10"/>
              </w:rPr>
              <w:t>cn</w:t>
            </w:r>
            <w:r>
              <w:rPr>
                <w:sz w:val="10"/>
                <w:szCs w:val="10"/>
                <w:spacing w:val="15"/>
              </w:rPr>
              <w:t>一下</w:t>
            </w:r>
            <w:r>
              <w:rPr>
                <w:sz w:val="10"/>
                <w:szCs w:val="10"/>
                <w:spacing w:val="2"/>
              </w:rPr>
              <w:t xml:space="preserve">  </w:t>
            </w:r>
            <w:r>
              <w:rPr>
                <w:sz w:val="11"/>
                <w:szCs w:val="11"/>
                <w:spacing w:val="-1"/>
              </w:rPr>
              <w:t>的树1-2支，10cn以上的</w:t>
            </w:r>
            <w:r>
              <w:rPr>
                <w:sz w:val="11"/>
                <w:szCs w:val="11"/>
                <w:spacing w:val="4"/>
              </w:rPr>
              <w:t xml:space="preserve">  </w:t>
            </w:r>
            <w:r>
              <w:rPr>
                <w:sz w:val="11"/>
                <w:szCs w:val="11"/>
                <w:spacing w:val="-1"/>
              </w:rPr>
              <w:t>树胸径每增加5cm则增加</w:t>
            </w:r>
          </w:p>
          <w:p>
            <w:pPr>
              <w:pStyle w:val="TableText"/>
              <w:ind w:left="624"/>
              <w:spacing w:line="184" w:lineRule="auto"/>
              <w:rPr>
                <w:sz w:val="11"/>
                <w:szCs w:val="11"/>
              </w:rPr>
            </w:pPr>
            <w:r>
              <w:rPr>
                <w:sz w:val="11"/>
                <w:szCs w:val="11"/>
              </w:rPr>
              <w:t>支</w:t>
            </w:r>
          </w:p>
        </w:tc>
        <w:tc>
          <w:tcPr>
            <w:tcW w:w="1289" w:type="dxa"/>
            <w:vAlign w:val="top"/>
            <w:vMerge w:val="continue"/>
            <w:tcBorders>
              <w:bottom w:val="nil"/>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47"/>
              <w:spacing w:before="198" w:line="182" w:lineRule="auto"/>
              <w:rPr>
                <w:sz w:val="13"/>
                <w:szCs w:val="13"/>
              </w:rPr>
            </w:pPr>
            <w:r>
              <w:rPr>
                <w:sz w:val="13"/>
                <w:szCs w:val="13"/>
                <w:spacing w:val="-1"/>
              </w:rPr>
              <w:t>3+15cm+40</w:t>
            </w:r>
          </w:p>
          <w:p>
            <w:pPr>
              <w:pStyle w:val="TableText"/>
              <w:ind w:left="277"/>
              <w:spacing w:line="218" w:lineRule="auto"/>
              <w:rPr>
                <w:sz w:val="13"/>
                <w:szCs w:val="13"/>
              </w:rPr>
            </w:pPr>
            <w:r>
              <w:rPr>
                <w:sz w:val="13"/>
                <w:szCs w:val="13"/>
              </w:rPr>
              <w:t>根</w:t>
            </w:r>
          </w:p>
        </w:tc>
        <w:tc>
          <w:tcPr>
            <w:tcW w:w="2693" w:type="dxa"/>
            <w:vAlign w:val="top"/>
            <w:tcBorders>
              <w:bottom w:val="single" w:color="000000" w:sz="2" w:space="0"/>
              <w:top w:val="single" w:color="000000" w:sz="2" w:space="0"/>
            </w:tcBorders>
          </w:tcPr>
          <w:p>
            <w:pPr>
              <w:pStyle w:val="TableText"/>
              <w:ind w:left="18"/>
              <w:spacing w:before="254" w:line="219" w:lineRule="auto"/>
              <w:rPr>
                <w:sz w:val="13"/>
                <w:szCs w:val="13"/>
              </w:rPr>
            </w:pPr>
            <w:r>
              <w:rPr>
                <w:sz w:val="13"/>
                <w:szCs w:val="13"/>
                <w:spacing w:val="-1"/>
              </w:rPr>
              <w:t>古树，病树，弱树复壮</w:t>
            </w:r>
          </w:p>
        </w:tc>
      </w:tr>
      <w:tr>
        <w:trPr>
          <w:trHeight w:val="499" w:hRule="atLeast"/>
        </w:trPr>
        <w:tc>
          <w:tcPr>
            <w:tcW w:w="585" w:type="dxa"/>
            <w:vAlign w:val="top"/>
            <w:vMerge w:val="continue"/>
            <w:tcBorders>
              <w:bottom w:val="single" w:color="000000" w:sz="2" w:space="0"/>
              <w:top w:val="nil"/>
            </w:tcBorders>
          </w:tcPr>
          <w:p>
            <w:pPr>
              <w:rPr>
                <w:rFonts w:ascii="Arial"/>
                <w:sz w:val="21"/>
              </w:rPr>
            </w:pPr>
            <w:r/>
          </w:p>
        </w:tc>
        <w:tc>
          <w:tcPr>
            <w:tcW w:w="610" w:type="dxa"/>
            <w:vAlign w:val="top"/>
            <w:vMerge w:val="continue"/>
            <w:tcBorders>
              <w:bottom w:val="single" w:color="000000" w:sz="2" w:space="0"/>
              <w:top w:val="nil"/>
            </w:tcBorders>
          </w:tcPr>
          <w:p>
            <w:pPr>
              <w:rPr>
                <w:rFonts w:ascii="Arial"/>
                <w:sz w:val="21"/>
              </w:rPr>
            </w:pPr>
            <w:r/>
          </w:p>
        </w:tc>
        <w:tc>
          <w:tcPr>
            <w:tcW w:w="1039" w:type="dxa"/>
            <w:vAlign w:val="top"/>
            <w:vMerge w:val="continue"/>
            <w:tcBorders>
              <w:bottom w:val="single" w:color="000000" w:sz="2" w:space="0"/>
              <w:top w:val="nil"/>
            </w:tcBorders>
          </w:tcPr>
          <w:p>
            <w:pPr>
              <w:rPr>
                <w:rFonts w:ascii="Arial"/>
                <w:sz w:val="21"/>
              </w:rPr>
            </w:pPr>
            <w:r/>
          </w:p>
        </w:tc>
        <w:tc>
          <w:tcPr>
            <w:tcW w:w="2798" w:type="dxa"/>
            <w:vAlign w:val="top"/>
            <w:vMerge w:val="continue"/>
            <w:tcBorders>
              <w:bottom w:val="single" w:color="000000" w:sz="2" w:space="0"/>
              <w:top w:val="nil"/>
            </w:tcBorders>
          </w:tcPr>
          <w:p>
            <w:pPr>
              <w:rPr>
                <w:rFonts w:ascii="Arial"/>
                <w:sz w:val="21"/>
              </w:rPr>
            </w:pPr>
            <w:r/>
          </w:p>
        </w:tc>
        <w:tc>
          <w:tcPr>
            <w:tcW w:w="959" w:type="dxa"/>
            <w:vAlign w:val="top"/>
            <w:tcBorders>
              <w:bottom w:val="single" w:color="000000" w:sz="2" w:space="0"/>
              <w:top w:val="single" w:color="000000" w:sz="2" w:space="0"/>
            </w:tcBorders>
          </w:tcPr>
          <w:p>
            <w:pPr>
              <w:pStyle w:val="TableText"/>
              <w:ind w:left="13"/>
              <w:spacing w:before="125" w:line="198" w:lineRule="auto"/>
              <w:rPr>
                <w:sz w:val="13"/>
                <w:szCs w:val="13"/>
              </w:rPr>
            </w:pPr>
            <w:r>
              <w:rPr>
                <w:sz w:val="13"/>
                <w:szCs w:val="13"/>
                <w:spacing w:val="1"/>
              </w:rPr>
              <w:t>国光雨阳苗木专</w:t>
            </w:r>
          </w:p>
          <w:p>
            <w:pPr>
              <w:pStyle w:val="TableText"/>
              <w:ind w:left="342"/>
              <w:spacing w:line="218" w:lineRule="auto"/>
              <w:rPr>
                <w:sz w:val="13"/>
                <w:szCs w:val="13"/>
              </w:rPr>
            </w:pPr>
            <w:r>
              <w:rPr>
                <w:sz w:val="13"/>
                <w:szCs w:val="13"/>
                <w:spacing w:val="-2"/>
              </w:rPr>
              <w:t>用肥</w:t>
            </w:r>
          </w:p>
        </w:tc>
        <w:tc>
          <w:tcPr>
            <w:tcW w:w="1909" w:type="dxa"/>
            <w:vAlign w:val="top"/>
            <w:tcBorders>
              <w:bottom w:val="single" w:color="000000" w:sz="2" w:space="0"/>
              <w:top w:val="single" w:color="000000" w:sz="2" w:space="0"/>
            </w:tcBorders>
          </w:tcPr>
          <w:p>
            <w:pPr>
              <w:pStyle w:val="TableText"/>
              <w:ind w:left="524"/>
              <w:spacing w:before="185" w:line="219" w:lineRule="auto"/>
              <w:rPr>
                <w:sz w:val="13"/>
                <w:szCs w:val="13"/>
              </w:rPr>
            </w:pPr>
            <w:r>
              <w:rPr>
                <w:sz w:val="13"/>
                <w:szCs w:val="13"/>
                <w:spacing w:val="-1"/>
              </w:rPr>
              <w:t>氯磷钾22:8:15</w:t>
            </w:r>
          </w:p>
        </w:tc>
        <w:tc>
          <w:tcPr>
            <w:tcW w:w="1369" w:type="dxa"/>
            <w:vAlign w:val="top"/>
            <w:tcBorders>
              <w:bottom w:val="single" w:color="000000" w:sz="2" w:space="0"/>
              <w:top w:val="single" w:color="000000" w:sz="2" w:space="0"/>
            </w:tcBorders>
          </w:tcPr>
          <w:p>
            <w:pPr>
              <w:pStyle w:val="TableText"/>
              <w:ind w:left="415"/>
              <w:spacing w:before="185" w:line="219" w:lineRule="auto"/>
              <w:rPr>
                <w:sz w:val="13"/>
                <w:szCs w:val="13"/>
              </w:rPr>
            </w:pPr>
            <w:r>
              <w:rPr>
                <w:sz w:val="13"/>
                <w:szCs w:val="13"/>
                <w:spacing w:val="3"/>
              </w:rPr>
              <w:t>直接使用</w:t>
            </w:r>
          </w:p>
        </w:tc>
        <w:tc>
          <w:tcPr>
            <w:tcW w:w="1289" w:type="dxa"/>
            <w:vAlign w:val="top"/>
            <w:vMerge w:val="continue"/>
            <w:tcBorders>
              <w:bottom w:val="single" w:color="000000" w:sz="2" w:space="0"/>
              <w:top w:val="nil"/>
            </w:tcBorders>
          </w:tcPr>
          <w:p>
            <w:pPr>
              <w:rPr>
                <w:rFonts w:ascii="Arial"/>
                <w:sz w:val="21"/>
              </w:rPr>
            </w:pPr>
            <w:r/>
          </w:p>
        </w:tc>
        <w:tc>
          <w:tcPr>
            <w:tcW w:w="699" w:type="dxa"/>
            <w:vAlign w:val="top"/>
            <w:tcBorders>
              <w:bottom w:val="single" w:color="000000" w:sz="2" w:space="0"/>
              <w:top w:val="single" w:color="000000" w:sz="2" w:space="0"/>
            </w:tcBorders>
          </w:tcPr>
          <w:p>
            <w:pPr>
              <w:pStyle w:val="TableText"/>
              <w:ind w:left="116"/>
              <w:spacing w:before="181" w:line="213" w:lineRule="auto"/>
              <w:rPr>
                <w:sz w:val="13"/>
                <w:szCs w:val="13"/>
              </w:rPr>
            </w:pPr>
            <w:r>
              <w:rPr>
                <w:sz w:val="13"/>
                <w:szCs w:val="13"/>
                <w:spacing w:val="-1"/>
              </w:rPr>
              <w:t>20kg/袋</w:t>
            </w:r>
          </w:p>
        </w:tc>
        <w:tc>
          <w:tcPr>
            <w:tcW w:w="2693" w:type="dxa"/>
            <w:vAlign w:val="top"/>
            <w:tcBorders>
              <w:bottom w:val="single" w:color="000000" w:sz="2" w:space="0"/>
              <w:top w:val="single" w:color="000000" w:sz="2" w:space="0"/>
            </w:tcBorders>
          </w:tcPr>
          <w:p>
            <w:pPr>
              <w:pStyle w:val="TableText"/>
              <w:ind w:left="18"/>
              <w:spacing w:before="185" w:line="219" w:lineRule="auto"/>
              <w:rPr>
                <w:sz w:val="13"/>
                <w:szCs w:val="13"/>
              </w:rPr>
            </w:pPr>
            <w:r>
              <w:rPr>
                <w:sz w:val="13"/>
                <w:szCs w:val="13"/>
                <w:spacing w:val="1"/>
              </w:rPr>
              <w:t>乔木、灌木、地草坪均可使用</w:t>
            </w:r>
          </w:p>
        </w:tc>
      </w:tr>
    </w:tbl>
    <w:p>
      <w:pPr>
        <w:spacing w:line="14" w:lineRule="auto"/>
        <w:rPr>
          <w:rFonts w:ascii="Arial"/>
          <w:sz w:val="2"/>
        </w:rPr>
      </w:pPr>
      <w:r/>
    </w:p>
    <w:p>
      <w:pPr>
        <w:spacing w:line="14" w:lineRule="auto"/>
        <w:sectPr>
          <w:pgSz w:w="14490" w:h="10240"/>
          <w:pgMar w:top="125" w:right="294" w:bottom="315" w:left="234" w:header="0" w:footer="0" w:gutter="0"/>
        </w:sectPr>
        <w:rPr>
          <w:rFonts w:ascii="Arial" w:hAnsi="Arial" w:eastAsia="Arial" w:cs="Arial"/>
          <w:sz w:val="2"/>
          <w:szCs w:val="2"/>
        </w:rPr>
      </w:pPr>
    </w:p>
    <w:tbl>
      <w:tblPr>
        <w:tblStyle w:val="TableNormal"/>
        <w:tblW w:w="139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585"/>
        <w:gridCol w:w="640"/>
        <w:gridCol w:w="1009"/>
        <w:gridCol w:w="2818"/>
        <w:gridCol w:w="949"/>
        <w:gridCol w:w="1929"/>
        <w:gridCol w:w="1369"/>
        <w:gridCol w:w="1289"/>
        <w:gridCol w:w="689"/>
        <w:gridCol w:w="2713"/>
      </w:tblGrid>
      <w:tr>
        <w:trPr>
          <w:trHeight w:val="654" w:hRule="atLeast"/>
        </w:trPr>
        <w:tc>
          <w:tcPr>
            <w:tcW w:w="585" w:type="dxa"/>
            <w:vAlign w:val="top"/>
          </w:tcPr>
          <w:p>
            <w:pPr>
              <w:pStyle w:val="TableText"/>
              <w:ind w:left="156"/>
              <w:spacing w:before="258" w:line="219" w:lineRule="auto"/>
              <w:rPr>
                <w:sz w:val="13"/>
                <w:szCs w:val="13"/>
              </w:rPr>
            </w:pPr>
            <w:r>
              <w:rPr>
                <w:sz w:val="13"/>
                <w:szCs w:val="13"/>
                <w:b/>
                <w:bCs/>
                <w:spacing w:val="-4"/>
              </w:rPr>
              <w:t>分类</w:t>
            </w:r>
          </w:p>
        </w:tc>
        <w:tc>
          <w:tcPr>
            <w:tcW w:w="640" w:type="dxa"/>
            <w:vAlign w:val="top"/>
          </w:tcPr>
          <w:p>
            <w:pPr>
              <w:pStyle w:val="TableText"/>
              <w:ind w:left="51"/>
              <w:spacing w:before="98" w:line="214" w:lineRule="auto"/>
              <w:rPr>
                <w:sz w:val="13"/>
                <w:szCs w:val="13"/>
              </w:rPr>
            </w:pPr>
            <w:r>
              <w:rPr>
                <w:sz w:val="13"/>
                <w:szCs w:val="13"/>
                <w:b/>
                <w:bCs/>
                <w:spacing w:val="-3"/>
              </w:rPr>
              <w:t>消杀预防</w:t>
            </w:r>
          </w:p>
          <w:p>
            <w:pPr>
              <w:pStyle w:val="TableText"/>
              <w:ind w:left="51"/>
              <w:spacing w:line="220" w:lineRule="auto"/>
              <w:rPr>
                <w:sz w:val="13"/>
                <w:szCs w:val="13"/>
              </w:rPr>
            </w:pPr>
            <w:r>
              <w:rPr>
                <w:sz w:val="13"/>
                <w:szCs w:val="13"/>
                <w:b/>
                <w:bCs/>
                <w:spacing w:val="-3"/>
              </w:rPr>
              <w:t>及病虫害</w:t>
            </w:r>
          </w:p>
          <w:p>
            <w:pPr>
              <w:pStyle w:val="TableText"/>
              <w:ind w:left="181"/>
              <w:spacing w:before="4" w:line="219" w:lineRule="auto"/>
              <w:rPr>
                <w:sz w:val="13"/>
                <w:szCs w:val="13"/>
              </w:rPr>
            </w:pPr>
            <w:r>
              <w:rPr>
                <w:sz w:val="13"/>
                <w:szCs w:val="13"/>
                <w:b/>
                <w:bCs/>
                <w:spacing w:val="-4"/>
              </w:rPr>
              <w:t>分类</w:t>
            </w:r>
          </w:p>
        </w:tc>
        <w:tc>
          <w:tcPr>
            <w:tcW w:w="1009" w:type="dxa"/>
            <w:vAlign w:val="top"/>
          </w:tcPr>
          <w:p>
            <w:pPr>
              <w:pStyle w:val="TableText"/>
              <w:ind w:left="171"/>
              <w:spacing w:before="258" w:line="219" w:lineRule="auto"/>
              <w:rPr>
                <w:sz w:val="13"/>
                <w:szCs w:val="13"/>
              </w:rPr>
            </w:pPr>
            <w:r>
              <w:rPr>
                <w:sz w:val="13"/>
                <w:szCs w:val="13"/>
                <w:b/>
                <w:bCs/>
                <w:spacing w:val="-3"/>
              </w:rPr>
              <w:t>常见病虫害</w:t>
            </w:r>
          </w:p>
        </w:tc>
        <w:tc>
          <w:tcPr>
            <w:tcW w:w="2818" w:type="dxa"/>
            <w:vAlign w:val="top"/>
          </w:tcPr>
          <w:p>
            <w:pPr>
              <w:pStyle w:val="TableText"/>
              <w:ind w:left="1042"/>
              <w:spacing w:before="258" w:line="219" w:lineRule="auto"/>
              <w:rPr>
                <w:sz w:val="13"/>
                <w:szCs w:val="13"/>
              </w:rPr>
            </w:pPr>
            <w:r>
              <w:rPr>
                <w:sz w:val="13"/>
                <w:szCs w:val="13"/>
                <w:b/>
                <w:bCs/>
                <w:spacing w:val="-3"/>
              </w:rPr>
              <w:t>主要发病月份</w:t>
            </w:r>
          </w:p>
        </w:tc>
        <w:tc>
          <w:tcPr>
            <w:tcW w:w="949" w:type="dxa"/>
            <w:vAlign w:val="top"/>
          </w:tcPr>
          <w:p>
            <w:pPr>
              <w:pStyle w:val="TableText"/>
              <w:ind w:left="204"/>
              <w:spacing w:before="258" w:line="220" w:lineRule="auto"/>
              <w:rPr>
                <w:sz w:val="13"/>
                <w:szCs w:val="13"/>
              </w:rPr>
            </w:pPr>
            <w:r>
              <w:rPr>
                <w:sz w:val="13"/>
                <w:szCs w:val="13"/>
                <w:b/>
                <w:bCs/>
                <w:spacing w:val="-3"/>
              </w:rPr>
              <w:t>药品名称</w:t>
            </w:r>
          </w:p>
        </w:tc>
        <w:tc>
          <w:tcPr>
            <w:tcW w:w="1929" w:type="dxa"/>
            <w:vAlign w:val="top"/>
          </w:tcPr>
          <w:p>
            <w:pPr>
              <w:pStyle w:val="TableText"/>
              <w:ind w:left="695"/>
              <w:spacing w:before="258" w:line="220" w:lineRule="auto"/>
              <w:rPr>
                <w:sz w:val="13"/>
                <w:szCs w:val="13"/>
              </w:rPr>
            </w:pPr>
            <w:r>
              <w:rPr>
                <w:sz w:val="13"/>
                <w:szCs w:val="13"/>
                <w:b/>
                <w:bCs/>
                <w:spacing w:val="-3"/>
              </w:rPr>
              <w:t>主要成分</w:t>
            </w:r>
          </w:p>
        </w:tc>
        <w:tc>
          <w:tcPr>
            <w:tcW w:w="1369" w:type="dxa"/>
            <w:vAlign w:val="top"/>
          </w:tcPr>
          <w:p>
            <w:pPr>
              <w:pStyle w:val="TableText"/>
              <w:ind w:left="416"/>
              <w:spacing w:before="258" w:line="219" w:lineRule="auto"/>
              <w:rPr>
                <w:sz w:val="13"/>
                <w:szCs w:val="13"/>
              </w:rPr>
            </w:pPr>
            <w:r>
              <w:rPr>
                <w:sz w:val="13"/>
                <w:szCs w:val="13"/>
                <w:b/>
                <w:bCs/>
                <w:spacing w:val="-3"/>
              </w:rPr>
              <w:t>使用倍率</w:t>
            </w:r>
          </w:p>
        </w:tc>
        <w:tc>
          <w:tcPr>
            <w:tcW w:w="1289" w:type="dxa"/>
            <w:vAlign w:val="top"/>
          </w:tcPr>
          <w:p>
            <w:pPr>
              <w:pStyle w:val="TableText"/>
              <w:ind w:left="377"/>
              <w:spacing w:before="258" w:line="219" w:lineRule="auto"/>
              <w:rPr>
                <w:sz w:val="13"/>
                <w:szCs w:val="13"/>
              </w:rPr>
            </w:pPr>
            <w:r>
              <w:rPr>
                <w:sz w:val="13"/>
                <w:szCs w:val="13"/>
                <w:b/>
                <w:bCs/>
                <w:spacing w:val="-3"/>
              </w:rPr>
              <w:t>施用次数</w:t>
            </w:r>
          </w:p>
        </w:tc>
        <w:tc>
          <w:tcPr>
            <w:tcW w:w="689" w:type="dxa"/>
            <w:vAlign w:val="top"/>
          </w:tcPr>
          <w:p>
            <w:pPr>
              <w:pStyle w:val="TableText"/>
              <w:ind w:left="208"/>
              <w:spacing w:before="258" w:line="219" w:lineRule="auto"/>
              <w:rPr>
                <w:sz w:val="13"/>
                <w:szCs w:val="13"/>
              </w:rPr>
            </w:pPr>
            <w:r>
              <w:rPr>
                <w:sz w:val="13"/>
                <w:szCs w:val="13"/>
                <w:b/>
                <w:bCs/>
                <w:spacing w:val="-3"/>
              </w:rPr>
              <w:t>规格</w:t>
            </w:r>
          </w:p>
        </w:tc>
        <w:tc>
          <w:tcPr>
            <w:tcW w:w="2713" w:type="dxa"/>
            <w:vAlign w:val="top"/>
          </w:tcPr>
          <w:p>
            <w:pPr>
              <w:pStyle w:val="TableText"/>
              <w:ind w:left="1229"/>
              <w:spacing w:before="259" w:line="221" w:lineRule="auto"/>
              <w:rPr>
                <w:sz w:val="13"/>
                <w:szCs w:val="13"/>
              </w:rPr>
            </w:pPr>
            <w:r>
              <w:rPr>
                <w:sz w:val="13"/>
                <w:szCs w:val="13"/>
                <w:b/>
                <w:bCs/>
                <w:spacing w:val="-4"/>
              </w:rPr>
              <w:t>备注</w:t>
            </w:r>
          </w:p>
        </w:tc>
      </w:tr>
      <w:tr>
        <w:trPr>
          <w:trHeight w:val="469" w:hRule="atLeast"/>
        </w:trPr>
        <w:tc>
          <w:tcPr>
            <w:tcW w:w="585"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84"/>
              <w:spacing w:before="43" w:line="219" w:lineRule="auto"/>
              <w:rPr>
                <w:sz w:val="13"/>
                <w:szCs w:val="13"/>
              </w:rPr>
            </w:pPr>
            <w:r>
              <w:rPr>
                <w:sz w:val="13"/>
                <w:szCs w:val="13"/>
                <w:spacing w:val="-3"/>
              </w:rPr>
              <w:t>营养剂</w:t>
            </w:r>
          </w:p>
          <w:p>
            <w:pPr>
              <w:pStyle w:val="TableText"/>
              <w:ind w:left="54"/>
              <w:spacing w:before="5" w:line="199" w:lineRule="auto"/>
              <w:rPr>
                <w:sz w:val="13"/>
                <w:szCs w:val="13"/>
              </w:rPr>
            </w:pPr>
            <w:r>
              <w:rPr>
                <w:sz w:val="13"/>
                <w:szCs w:val="13"/>
                <w:spacing w:val="-1"/>
              </w:rPr>
              <w:t>肥料/调</w:t>
            </w:r>
          </w:p>
          <w:p>
            <w:pPr>
              <w:pStyle w:val="TableText"/>
              <w:ind w:left="155"/>
              <w:spacing w:line="218" w:lineRule="auto"/>
              <w:rPr>
                <w:sz w:val="13"/>
                <w:szCs w:val="13"/>
              </w:rPr>
            </w:pPr>
            <w:r>
              <w:rPr>
                <w:sz w:val="13"/>
                <w:szCs w:val="13"/>
                <w:spacing w:val="-2"/>
              </w:rPr>
              <w:t>节剂</w:t>
            </w:r>
          </w:p>
        </w:tc>
        <w:tc>
          <w:tcPr>
            <w:tcW w:w="640"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TableText"/>
              <w:ind w:left="50"/>
              <w:spacing w:before="42" w:line="219" w:lineRule="auto"/>
              <w:rPr>
                <w:sz w:val="13"/>
                <w:szCs w:val="13"/>
              </w:rPr>
            </w:pPr>
            <w:r>
              <w:rPr>
                <w:sz w:val="13"/>
                <w:szCs w:val="13"/>
                <w:spacing w:val="-1"/>
              </w:rPr>
              <w:t>树木复壮</w:t>
            </w:r>
          </w:p>
        </w:tc>
        <w:tc>
          <w:tcPr>
            <w:tcW w:w="1009" w:type="dxa"/>
            <w:vAlign w:val="top"/>
            <w:vMerge w:val="restart"/>
            <w:tcBorders>
              <w:bottom w:val="nil"/>
            </w:tcBorders>
          </w:tcPr>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spacing w:before="42" w:line="213" w:lineRule="auto"/>
              <w:jc w:val="right"/>
              <w:rPr>
                <w:sz w:val="13"/>
                <w:szCs w:val="13"/>
              </w:rPr>
            </w:pPr>
            <w:r>
              <w:rPr>
                <w:sz w:val="13"/>
                <w:szCs w:val="13"/>
                <w:spacing w:val="-7"/>
              </w:rPr>
              <w:t>树木长势弱，白顶</w:t>
            </w:r>
          </w:p>
          <w:p>
            <w:pPr>
              <w:pStyle w:val="TableText"/>
              <w:ind w:left="40"/>
              <w:spacing w:line="198" w:lineRule="auto"/>
              <w:rPr>
                <w:sz w:val="13"/>
                <w:szCs w:val="13"/>
              </w:rPr>
            </w:pPr>
            <w:r>
              <w:rPr>
                <w:sz w:val="13"/>
                <w:szCs w:val="13"/>
                <w:spacing w:val="-1"/>
              </w:rPr>
              <w:t>部向下有枯黄现</w:t>
            </w:r>
          </w:p>
          <w:p>
            <w:pPr>
              <w:pStyle w:val="TableText"/>
              <w:spacing w:line="212" w:lineRule="auto"/>
              <w:jc w:val="right"/>
              <w:rPr>
                <w:sz w:val="13"/>
                <w:szCs w:val="13"/>
              </w:rPr>
            </w:pPr>
            <w:r>
              <w:rPr>
                <w:sz w:val="13"/>
                <w:szCs w:val="13"/>
                <w:spacing w:val="-7"/>
              </w:rPr>
              <w:t>象，或高大乔木及</w:t>
            </w:r>
          </w:p>
          <w:p>
            <w:pPr>
              <w:pStyle w:val="TableText"/>
              <w:ind w:left="260"/>
              <w:spacing w:line="219" w:lineRule="auto"/>
              <w:rPr>
                <w:sz w:val="13"/>
                <w:szCs w:val="13"/>
              </w:rPr>
            </w:pPr>
            <w:r>
              <w:rPr>
                <w:sz w:val="13"/>
                <w:szCs w:val="13"/>
                <w:spacing w:val="-2"/>
              </w:rPr>
              <w:t>贵重树木</w:t>
            </w:r>
          </w:p>
        </w:tc>
        <w:tc>
          <w:tcPr>
            <w:tcW w:w="2818" w:type="dxa"/>
            <w:vAlign w:val="top"/>
            <w:vMerge w:val="restart"/>
            <w:tcBorders>
              <w:bottom w:val="nil"/>
            </w:tcBorders>
          </w:tcPr>
          <w:p>
            <w:pPr>
              <w:spacing w:line="345" w:lineRule="auto"/>
              <w:rPr>
                <w:rFonts w:ascii="Arial"/>
                <w:sz w:val="21"/>
              </w:rPr>
            </w:pPr>
            <w:r/>
          </w:p>
          <w:p>
            <w:pPr>
              <w:spacing w:line="345" w:lineRule="auto"/>
              <w:rPr>
                <w:rFonts w:ascii="Arial"/>
                <w:sz w:val="21"/>
              </w:rPr>
            </w:pPr>
            <w:r/>
          </w:p>
          <w:p>
            <w:pPr>
              <w:pStyle w:val="TableText"/>
              <w:ind w:left="1" w:firstLine="29"/>
              <w:spacing w:before="42" w:line="222" w:lineRule="auto"/>
              <w:rPr>
                <w:sz w:val="13"/>
                <w:szCs w:val="13"/>
              </w:rPr>
            </w:pPr>
            <w:r>
              <w:rPr>
                <w:sz w:val="13"/>
                <w:szCs w:val="13"/>
                <w:spacing w:val="-10"/>
              </w:rPr>
              <w:t>一、主要集中在3月至4月中旬，气温上开。空气湿度</w:t>
            </w:r>
            <w:r>
              <w:rPr>
                <w:sz w:val="13"/>
                <w:szCs w:val="13"/>
                <w:spacing w:val="18"/>
                <w:w w:val="101"/>
              </w:rPr>
              <w:t xml:space="preserve"> </w:t>
            </w:r>
            <w:r>
              <w:rPr>
                <w:sz w:val="13"/>
                <w:szCs w:val="13"/>
                <w:spacing w:val="-8"/>
              </w:rPr>
              <w:t>增加，苗木结束休眠期开始返青，是树木复壮最住时</w:t>
            </w:r>
            <w:r>
              <w:rPr>
                <w:sz w:val="13"/>
                <w:szCs w:val="13"/>
              </w:rPr>
              <w:t xml:space="preserve"> </w:t>
            </w:r>
            <w:r>
              <w:rPr>
                <w:sz w:val="13"/>
                <w:szCs w:val="13"/>
                <w:spacing w:val="-2"/>
              </w:rPr>
              <w:t>机：</w:t>
            </w:r>
          </w:p>
          <w:p>
            <w:pPr>
              <w:pStyle w:val="TableText"/>
              <w:ind w:left="1" w:right="149"/>
              <w:spacing w:before="1" w:line="205" w:lineRule="auto"/>
              <w:rPr>
                <w:sz w:val="13"/>
                <w:szCs w:val="13"/>
              </w:rPr>
            </w:pPr>
            <w:r>
              <w:rPr>
                <w:sz w:val="13"/>
                <w:szCs w:val="13"/>
                <w:spacing w:val="-1"/>
              </w:rPr>
              <w:t>二、5-6月苗木有一个小的生长高峰期。可以复</w:t>
            </w:r>
            <w:r>
              <w:rPr>
                <w:sz w:val="13"/>
                <w:szCs w:val="13"/>
                <w:spacing w:val="13"/>
              </w:rPr>
              <w:t xml:space="preserve"> </w:t>
            </w:r>
            <w:r>
              <w:rPr>
                <w:sz w:val="13"/>
                <w:szCs w:val="13"/>
                <w:spacing w:val="-3"/>
              </w:rPr>
              <w:t>壮</w:t>
            </w:r>
            <w:r>
              <w:rPr>
                <w:sz w:val="13"/>
                <w:szCs w:val="13"/>
                <w:spacing w:val="35"/>
              </w:rPr>
              <w:t xml:space="preserve"> </w:t>
            </w:r>
            <w:r>
              <w:rPr>
                <w:sz w:val="13"/>
                <w:szCs w:val="13"/>
                <w:spacing w:val="-3"/>
              </w:rPr>
              <w:t>；</w:t>
            </w:r>
          </w:p>
          <w:p>
            <w:pPr>
              <w:pStyle w:val="TableText"/>
              <w:ind w:left="21"/>
              <w:spacing w:line="213" w:lineRule="auto"/>
              <w:rPr>
                <w:sz w:val="13"/>
                <w:szCs w:val="13"/>
              </w:rPr>
            </w:pPr>
            <w:r>
              <w:rPr>
                <w:sz w:val="13"/>
                <w:szCs w:val="13"/>
              </w:rPr>
              <w:t>三、8-9是苗木另一个生长高峰期，适合复壮：</w:t>
            </w:r>
          </w:p>
          <w:p>
            <w:pPr>
              <w:pStyle w:val="TableText"/>
              <w:ind w:left="1" w:firstLine="9"/>
              <w:spacing w:line="231" w:lineRule="auto"/>
              <w:rPr>
                <w:sz w:val="13"/>
                <w:szCs w:val="13"/>
              </w:rPr>
            </w:pPr>
            <w:r>
              <w:rPr>
                <w:sz w:val="13"/>
                <w:szCs w:val="13"/>
                <w:spacing w:val="-10"/>
              </w:rPr>
              <w:t>四</w:t>
            </w:r>
            <w:r>
              <w:rPr>
                <w:sz w:val="13"/>
                <w:szCs w:val="13"/>
                <w:spacing w:val="-9"/>
              </w:rPr>
              <w:t>、对于后期出现的树木长势衰蛋，应查明原因，</w:t>
            </w:r>
            <w:r>
              <w:rPr>
                <w:sz w:val="13"/>
                <w:szCs w:val="13"/>
                <w:spacing w:val="-8"/>
              </w:rPr>
              <w:t>做</w:t>
            </w:r>
            <w:r>
              <w:rPr>
                <w:sz w:val="13"/>
                <w:szCs w:val="13"/>
                <w:spacing w:val="12"/>
              </w:rPr>
              <w:t xml:space="preserve"> </w:t>
            </w:r>
            <w:r>
              <w:rPr>
                <w:sz w:val="13"/>
                <w:szCs w:val="13"/>
                <w:spacing w:val="-4"/>
              </w:rPr>
              <w:t>专项治疗。</w:t>
            </w:r>
          </w:p>
        </w:tc>
        <w:tc>
          <w:tcPr>
            <w:tcW w:w="949" w:type="dxa"/>
            <w:vAlign w:val="top"/>
          </w:tcPr>
          <w:p>
            <w:pPr>
              <w:pStyle w:val="TableText"/>
              <w:ind w:left="73"/>
              <w:spacing w:before="166" w:line="219" w:lineRule="auto"/>
              <w:rPr>
                <w:sz w:val="13"/>
                <w:szCs w:val="13"/>
              </w:rPr>
            </w:pPr>
            <w:r>
              <w:rPr>
                <w:sz w:val="13"/>
                <w:szCs w:val="13"/>
                <w:spacing w:val="1"/>
              </w:rPr>
              <w:t>国光氨基酸钾</w:t>
            </w:r>
          </w:p>
        </w:tc>
        <w:tc>
          <w:tcPr>
            <w:tcW w:w="1929" w:type="dxa"/>
            <w:vAlign w:val="top"/>
          </w:tcPr>
          <w:p>
            <w:pPr>
              <w:pStyle w:val="TableText"/>
              <w:ind w:left="464"/>
              <w:spacing w:before="165" w:line="219" w:lineRule="auto"/>
              <w:rPr>
                <w:sz w:val="13"/>
                <w:szCs w:val="13"/>
              </w:rPr>
            </w:pPr>
            <w:r>
              <w:rPr>
                <w:sz w:val="13"/>
                <w:szCs w:val="13"/>
                <w:spacing w:val="1"/>
              </w:rPr>
              <w:t>125氮基酸整合钾</w:t>
            </w:r>
          </w:p>
        </w:tc>
        <w:tc>
          <w:tcPr>
            <w:tcW w:w="1369" w:type="dxa"/>
            <w:vAlign w:val="top"/>
          </w:tcPr>
          <w:p>
            <w:pPr>
              <w:pStyle w:val="TableText"/>
              <w:ind w:left="185"/>
              <w:spacing w:before="166" w:line="219" w:lineRule="auto"/>
              <w:rPr>
                <w:sz w:val="13"/>
                <w:szCs w:val="13"/>
              </w:rPr>
            </w:pPr>
            <w:r>
              <w:rPr>
                <w:sz w:val="13"/>
                <w:szCs w:val="13"/>
                <w:spacing w:val="-1"/>
              </w:rPr>
              <w:t>稀释600-800倍液</w:t>
            </w:r>
          </w:p>
        </w:tc>
        <w:tc>
          <w:tcPr>
            <w:tcW w:w="1289"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pStyle w:val="TableText"/>
              <w:ind w:left="276"/>
              <w:spacing w:before="42" w:line="219" w:lineRule="auto"/>
              <w:rPr>
                <w:sz w:val="13"/>
                <w:szCs w:val="13"/>
              </w:rPr>
            </w:pPr>
            <w:r>
              <w:rPr>
                <w:sz w:val="13"/>
                <w:szCs w:val="13"/>
                <w:spacing w:val="-2"/>
              </w:rPr>
              <w:t>一般用1-2次</w:t>
            </w:r>
          </w:p>
        </w:tc>
        <w:tc>
          <w:tcPr>
            <w:tcW w:w="689" w:type="dxa"/>
            <w:vAlign w:val="top"/>
          </w:tcPr>
          <w:p>
            <w:pPr>
              <w:pStyle w:val="TableText"/>
              <w:ind w:left="106"/>
              <w:spacing w:before="161" w:line="214" w:lineRule="auto"/>
              <w:rPr>
                <w:sz w:val="13"/>
                <w:szCs w:val="13"/>
              </w:rPr>
            </w:pPr>
            <w:r>
              <w:rPr>
                <w:sz w:val="13"/>
                <w:szCs w:val="13"/>
                <w:spacing w:val="-1"/>
              </w:rPr>
              <w:t>500g/瓶</w:t>
            </w:r>
          </w:p>
        </w:tc>
        <w:tc>
          <w:tcPr>
            <w:tcW w:w="2713" w:type="dxa"/>
            <w:vAlign w:val="top"/>
          </w:tcPr>
          <w:p>
            <w:pPr>
              <w:pStyle w:val="TableText"/>
              <w:ind w:left="18"/>
              <w:spacing w:before="106" w:line="235" w:lineRule="auto"/>
              <w:rPr>
                <w:sz w:val="13"/>
                <w:szCs w:val="13"/>
              </w:rPr>
            </w:pPr>
            <w:r>
              <w:rPr>
                <w:sz w:val="13"/>
                <w:szCs w:val="13"/>
                <w:spacing w:val="-12"/>
              </w:rPr>
              <w:t>防治因缺评</w:t>
            </w:r>
            <w:r>
              <w:rPr>
                <w:sz w:val="13"/>
                <w:szCs w:val="13"/>
                <w:spacing w:val="-11"/>
              </w:rPr>
              <w:t>引起的植株瘦弱，生长不良，1万平方</w:t>
            </w:r>
            <w:r>
              <w:rPr>
                <w:sz w:val="13"/>
                <w:szCs w:val="13"/>
                <w:spacing w:val="-6"/>
              </w:rPr>
              <w:t>米</w:t>
            </w:r>
            <w:r>
              <w:rPr>
                <w:sz w:val="13"/>
                <w:szCs w:val="13"/>
                <w:spacing w:val="11"/>
              </w:rPr>
              <w:t xml:space="preserve"> </w:t>
            </w:r>
            <w:r>
              <w:rPr>
                <w:sz w:val="13"/>
                <w:szCs w:val="13"/>
                <w:spacing w:val="-1"/>
              </w:rPr>
              <w:t>年度约用量：50kg</w:t>
            </w:r>
          </w:p>
        </w:tc>
      </w:tr>
      <w:tr>
        <w:trPr>
          <w:trHeight w:val="868" w:hRule="atLeast"/>
        </w:trPr>
        <w:tc>
          <w:tcPr>
            <w:tcW w:w="585" w:type="dxa"/>
            <w:vAlign w:val="top"/>
            <w:vMerge w:val="continue"/>
            <w:tcBorders>
              <w:top w:val="nil"/>
              <w:bottom w:val="nil"/>
            </w:tcBorders>
          </w:tcPr>
          <w:p>
            <w:pPr>
              <w:rPr>
                <w:rFonts w:ascii="Arial"/>
                <w:sz w:val="21"/>
              </w:rPr>
            </w:pPr>
            <w:r/>
          </w:p>
        </w:tc>
        <w:tc>
          <w:tcPr>
            <w:tcW w:w="640" w:type="dxa"/>
            <w:vAlign w:val="top"/>
            <w:vMerge w:val="continue"/>
            <w:tcBorders>
              <w:top w:val="nil"/>
              <w:bottom w:val="nil"/>
            </w:tcBorders>
          </w:tcPr>
          <w:p>
            <w:pPr>
              <w:rPr>
                <w:rFonts w:ascii="Arial"/>
                <w:sz w:val="21"/>
              </w:rPr>
            </w:pPr>
            <w:r/>
          </w:p>
        </w:tc>
        <w:tc>
          <w:tcPr>
            <w:tcW w:w="1009" w:type="dxa"/>
            <w:vAlign w:val="top"/>
            <w:vMerge w:val="continue"/>
            <w:tcBorders>
              <w:top w:val="nil"/>
              <w:bottom w:val="nil"/>
            </w:tcBorders>
          </w:tcPr>
          <w:p>
            <w:pPr>
              <w:rPr>
                <w:rFonts w:ascii="Arial"/>
                <w:sz w:val="21"/>
              </w:rPr>
            </w:pPr>
            <w:r/>
          </w:p>
        </w:tc>
        <w:tc>
          <w:tcPr>
            <w:tcW w:w="2818" w:type="dxa"/>
            <w:vAlign w:val="top"/>
            <w:vMerge w:val="continue"/>
            <w:tcBorders>
              <w:top w:val="nil"/>
              <w:bottom w:val="nil"/>
            </w:tcBorders>
          </w:tcPr>
          <w:p>
            <w:pPr>
              <w:rPr>
                <w:rFonts w:ascii="Arial"/>
                <w:sz w:val="21"/>
              </w:rPr>
            </w:pPr>
            <w:r/>
          </w:p>
        </w:tc>
        <w:tc>
          <w:tcPr>
            <w:tcW w:w="949" w:type="dxa"/>
            <w:vAlign w:val="top"/>
          </w:tcPr>
          <w:p>
            <w:pPr>
              <w:spacing w:line="263" w:lineRule="auto"/>
              <w:rPr>
                <w:rFonts w:ascii="Arial"/>
                <w:sz w:val="21"/>
              </w:rPr>
            </w:pPr>
            <w:r/>
          </w:p>
          <w:p>
            <w:pPr>
              <w:pStyle w:val="TableText"/>
              <w:spacing w:before="42" w:line="214" w:lineRule="auto"/>
              <w:jc w:val="right"/>
              <w:rPr>
                <w:sz w:val="13"/>
                <w:szCs w:val="13"/>
              </w:rPr>
            </w:pPr>
            <w:r>
              <w:rPr>
                <w:sz w:val="13"/>
                <w:szCs w:val="13"/>
                <w:spacing w:val="-8"/>
              </w:rPr>
              <w:t>有机</w:t>
            </w:r>
            <w:r>
              <w:rPr>
                <w:sz w:val="13"/>
                <w:szCs w:val="13"/>
                <w:spacing w:val="-7"/>
              </w:rPr>
              <w:t>-无机复混</w:t>
            </w:r>
            <w:r>
              <w:rPr>
                <w:sz w:val="13"/>
                <w:szCs w:val="13"/>
                <w:spacing w:val="-5"/>
              </w:rPr>
              <w:t>肥</w:t>
            </w:r>
          </w:p>
          <w:p>
            <w:pPr>
              <w:pStyle w:val="TableText"/>
              <w:ind w:left="402"/>
              <w:spacing w:line="220" w:lineRule="auto"/>
              <w:rPr>
                <w:sz w:val="13"/>
                <w:szCs w:val="13"/>
              </w:rPr>
            </w:pPr>
            <w:r>
              <w:rPr>
                <w:sz w:val="13"/>
                <w:szCs w:val="13"/>
              </w:rPr>
              <w:t>料</w:t>
            </w:r>
          </w:p>
        </w:tc>
        <w:tc>
          <w:tcPr>
            <w:tcW w:w="1929" w:type="dxa"/>
            <w:vAlign w:val="top"/>
          </w:tcPr>
          <w:p>
            <w:pPr>
              <w:pStyle w:val="TableText"/>
              <w:spacing w:before="147" w:line="213" w:lineRule="auto"/>
              <w:jc w:val="right"/>
              <w:rPr>
                <w:sz w:val="13"/>
                <w:szCs w:val="13"/>
              </w:rPr>
            </w:pPr>
            <w:r>
              <w:rPr>
                <w:sz w:val="13"/>
                <w:szCs w:val="13"/>
                <w:spacing w:val="-4"/>
              </w:rPr>
              <w:t>含有植物生长所霄的氯、磷、钾，</w:t>
            </w:r>
          </w:p>
          <w:p>
            <w:pPr>
              <w:pStyle w:val="TableText"/>
              <w:spacing w:line="219" w:lineRule="auto"/>
              <w:jc w:val="right"/>
              <w:rPr>
                <w:sz w:val="13"/>
                <w:szCs w:val="13"/>
              </w:rPr>
            </w:pPr>
            <w:r>
              <w:rPr>
                <w:sz w:val="13"/>
                <w:szCs w:val="13"/>
                <w:spacing w:val="-1"/>
              </w:rPr>
              <w:t>满足植物在整个生长期所需的养</w:t>
            </w:r>
          </w:p>
          <w:p>
            <w:pPr>
              <w:pStyle w:val="TableText"/>
              <w:spacing w:before="4" w:line="214" w:lineRule="auto"/>
              <w:jc w:val="right"/>
              <w:rPr>
                <w:sz w:val="13"/>
                <w:szCs w:val="13"/>
              </w:rPr>
            </w:pPr>
            <w:r>
              <w:rPr>
                <w:sz w:val="13"/>
                <w:szCs w:val="13"/>
                <w:spacing w:val="-4"/>
              </w:rPr>
              <w:t>分，还添加了适量的有机质和复合</w:t>
            </w:r>
          </w:p>
          <w:p>
            <w:pPr>
              <w:pStyle w:val="TableText"/>
              <w:ind w:left="654"/>
              <w:spacing w:line="219" w:lineRule="auto"/>
              <w:rPr>
                <w:sz w:val="13"/>
                <w:szCs w:val="13"/>
              </w:rPr>
            </w:pPr>
            <w:r>
              <w:rPr>
                <w:sz w:val="13"/>
                <w:szCs w:val="13"/>
                <w:spacing w:val="-1"/>
              </w:rPr>
              <w:t>微生物菌种</w:t>
            </w:r>
          </w:p>
        </w:tc>
        <w:tc>
          <w:tcPr>
            <w:tcW w:w="1369" w:type="dxa"/>
            <w:vAlign w:val="top"/>
          </w:tcPr>
          <w:p>
            <w:pPr>
              <w:spacing w:line="323" w:lineRule="auto"/>
              <w:rPr>
                <w:rFonts w:ascii="Arial"/>
                <w:sz w:val="21"/>
              </w:rPr>
            </w:pPr>
            <w:r/>
          </w:p>
          <w:p>
            <w:pPr>
              <w:pStyle w:val="TableText"/>
              <w:ind w:left="355"/>
              <w:spacing w:before="42" w:line="220" w:lineRule="auto"/>
              <w:rPr>
                <w:sz w:val="13"/>
                <w:szCs w:val="13"/>
              </w:rPr>
            </w:pPr>
            <w:r>
              <w:rPr>
                <w:sz w:val="13"/>
                <w:szCs w:val="13"/>
                <w:spacing w:val="-1"/>
              </w:rPr>
              <w:t>撒施或穴施</w:t>
            </w:r>
          </w:p>
        </w:tc>
        <w:tc>
          <w:tcPr>
            <w:tcW w:w="1289" w:type="dxa"/>
            <w:vAlign w:val="top"/>
            <w:vMerge w:val="continue"/>
            <w:tcBorders>
              <w:top w:val="nil"/>
              <w:bottom w:val="nil"/>
            </w:tcBorders>
          </w:tcPr>
          <w:p>
            <w:pPr>
              <w:rPr>
                <w:rFonts w:ascii="Arial"/>
                <w:sz w:val="21"/>
              </w:rPr>
            </w:pPr>
            <w:r/>
          </w:p>
        </w:tc>
        <w:tc>
          <w:tcPr>
            <w:tcW w:w="689" w:type="dxa"/>
            <w:vAlign w:val="top"/>
          </w:tcPr>
          <w:p>
            <w:pPr>
              <w:spacing w:line="326" w:lineRule="auto"/>
              <w:rPr>
                <w:rFonts w:ascii="Arial"/>
                <w:sz w:val="21"/>
              </w:rPr>
            </w:pPr>
            <w:r/>
          </w:p>
          <w:p>
            <w:pPr>
              <w:pStyle w:val="TableText"/>
              <w:ind w:left="307"/>
              <w:spacing w:before="43" w:line="224" w:lineRule="auto"/>
              <w:rPr>
                <w:sz w:val="13"/>
                <w:szCs w:val="13"/>
              </w:rPr>
            </w:pPr>
            <w:r>
              <w:rPr>
                <w:sz w:val="13"/>
                <w:szCs w:val="13"/>
              </w:rPr>
              <w:t>/</w:t>
            </w:r>
          </w:p>
        </w:tc>
        <w:tc>
          <w:tcPr>
            <w:tcW w:w="2713" w:type="dxa"/>
            <w:vAlign w:val="top"/>
          </w:tcPr>
          <w:p>
            <w:pPr>
              <w:spacing w:line="272" w:lineRule="auto"/>
              <w:rPr>
                <w:rFonts w:ascii="Arial"/>
                <w:sz w:val="21"/>
              </w:rPr>
            </w:pPr>
            <w:r/>
          </w:p>
          <w:p>
            <w:pPr>
              <w:pStyle w:val="TableText"/>
              <w:ind w:left="18" w:firstLine="139"/>
              <w:spacing w:before="43" w:line="221" w:lineRule="auto"/>
              <w:rPr>
                <w:sz w:val="13"/>
                <w:szCs w:val="13"/>
              </w:rPr>
            </w:pPr>
            <w:r>
              <w:rPr>
                <w:sz w:val="13"/>
                <w:szCs w:val="13"/>
                <w:spacing w:val="-13"/>
              </w:rPr>
              <w:t>改善土壤结构</w:t>
            </w:r>
            <w:r>
              <w:rPr>
                <w:sz w:val="13"/>
                <w:szCs w:val="13"/>
                <w:spacing w:val="-12"/>
              </w:rPr>
              <w:t>，增强通风、储水能力。1万平方</w:t>
            </w:r>
            <w:r>
              <w:rPr>
                <w:sz w:val="13"/>
                <w:szCs w:val="13"/>
                <w:spacing w:val="-6"/>
              </w:rPr>
              <w:t>米</w:t>
            </w:r>
            <w:r>
              <w:rPr>
                <w:sz w:val="13"/>
                <w:szCs w:val="13"/>
                <w:spacing w:val="13"/>
              </w:rPr>
              <w:t xml:space="preserve"> </w:t>
            </w:r>
            <w:r>
              <w:rPr>
                <w:sz w:val="13"/>
                <w:szCs w:val="13"/>
                <w:spacing w:val="-1"/>
              </w:rPr>
              <w:t>年度约用量：200kg</w:t>
            </w:r>
          </w:p>
        </w:tc>
      </w:tr>
      <w:tr>
        <w:trPr>
          <w:trHeight w:val="869" w:hRule="atLeast"/>
        </w:trPr>
        <w:tc>
          <w:tcPr>
            <w:tcW w:w="585" w:type="dxa"/>
            <w:vAlign w:val="top"/>
            <w:vMerge w:val="continue"/>
            <w:tcBorders>
              <w:top w:val="nil"/>
              <w:bottom w:val="nil"/>
            </w:tcBorders>
          </w:tcPr>
          <w:p>
            <w:pPr>
              <w:rPr>
                <w:rFonts w:ascii="Arial"/>
                <w:sz w:val="21"/>
              </w:rPr>
            </w:pPr>
            <w:r/>
          </w:p>
        </w:tc>
        <w:tc>
          <w:tcPr>
            <w:tcW w:w="640" w:type="dxa"/>
            <w:vAlign w:val="top"/>
            <w:vMerge w:val="continue"/>
            <w:tcBorders>
              <w:top w:val="nil"/>
              <w:bottom w:val="nil"/>
            </w:tcBorders>
          </w:tcPr>
          <w:p>
            <w:pPr>
              <w:rPr>
                <w:rFonts w:ascii="Arial"/>
                <w:sz w:val="21"/>
              </w:rPr>
            </w:pPr>
            <w:r/>
          </w:p>
        </w:tc>
        <w:tc>
          <w:tcPr>
            <w:tcW w:w="1009" w:type="dxa"/>
            <w:vAlign w:val="top"/>
            <w:vMerge w:val="continue"/>
            <w:tcBorders>
              <w:top w:val="nil"/>
              <w:bottom w:val="nil"/>
            </w:tcBorders>
          </w:tcPr>
          <w:p>
            <w:pPr>
              <w:rPr>
                <w:rFonts w:ascii="Arial"/>
                <w:sz w:val="21"/>
              </w:rPr>
            </w:pPr>
            <w:r/>
          </w:p>
        </w:tc>
        <w:tc>
          <w:tcPr>
            <w:tcW w:w="2818" w:type="dxa"/>
            <w:vAlign w:val="top"/>
            <w:vMerge w:val="continue"/>
            <w:tcBorders>
              <w:top w:val="nil"/>
              <w:bottom w:val="nil"/>
            </w:tcBorders>
          </w:tcPr>
          <w:p>
            <w:pPr>
              <w:rPr>
                <w:rFonts w:ascii="Arial"/>
                <w:sz w:val="21"/>
              </w:rPr>
            </w:pPr>
            <w:r/>
          </w:p>
        </w:tc>
        <w:tc>
          <w:tcPr>
            <w:tcW w:w="949" w:type="dxa"/>
            <w:vAlign w:val="top"/>
          </w:tcPr>
          <w:p>
            <w:pPr>
              <w:spacing w:line="324" w:lineRule="auto"/>
              <w:rPr>
                <w:rFonts w:ascii="Arial"/>
                <w:sz w:val="21"/>
              </w:rPr>
            </w:pPr>
            <w:r/>
          </w:p>
          <w:p>
            <w:pPr>
              <w:pStyle w:val="TableText"/>
              <w:ind w:left="13"/>
              <w:spacing w:before="42" w:line="219" w:lineRule="auto"/>
              <w:rPr>
                <w:sz w:val="13"/>
                <w:szCs w:val="13"/>
              </w:rPr>
            </w:pPr>
            <w:r>
              <w:rPr>
                <w:sz w:val="13"/>
                <w:szCs w:val="13"/>
                <w:spacing w:val="-1"/>
              </w:rPr>
              <w:t>生物活性有机肥</w:t>
            </w:r>
          </w:p>
        </w:tc>
        <w:tc>
          <w:tcPr>
            <w:tcW w:w="1929" w:type="dxa"/>
            <w:vAlign w:val="top"/>
          </w:tcPr>
          <w:p>
            <w:pPr>
              <w:pStyle w:val="TableText"/>
              <w:ind w:left="14" w:firstLine="59"/>
              <w:spacing w:before="126" w:line="220" w:lineRule="auto"/>
              <w:rPr>
                <w:sz w:val="13"/>
                <w:szCs w:val="13"/>
              </w:rPr>
            </w:pPr>
            <w:r>
              <w:rPr>
                <w:sz w:val="13"/>
                <w:szCs w:val="13"/>
                <w:spacing w:val="-1"/>
              </w:rPr>
              <w:t>氯磷钾大于65,有机质30%,腐殖</w:t>
            </w:r>
            <w:r>
              <w:rPr>
                <w:sz w:val="13"/>
                <w:szCs w:val="13"/>
                <w:spacing w:val="3"/>
              </w:rPr>
              <w:t xml:space="preserve">  </w:t>
            </w:r>
            <w:r>
              <w:rPr>
                <w:sz w:val="13"/>
                <w:szCs w:val="13"/>
              </w:rPr>
              <w:t>酸大于10%,芭麻饼大于20%,土蜜</w:t>
            </w:r>
            <w:r>
              <w:rPr>
                <w:sz w:val="13"/>
                <w:szCs w:val="13"/>
                <w:spacing w:val="6"/>
              </w:rPr>
              <w:t xml:space="preserve">  </w:t>
            </w:r>
            <w:r>
              <w:rPr>
                <w:sz w:val="13"/>
                <w:szCs w:val="13"/>
                <w:spacing w:val="-1"/>
              </w:rPr>
              <w:t>调理剂大于10%活性菌2亿/克，微</w:t>
            </w:r>
            <w:r>
              <w:rPr>
                <w:sz w:val="13"/>
                <w:szCs w:val="13"/>
                <w:spacing w:val="8"/>
              </w:rPr>
              <w:t xml:space="preserve"> </w:t>
            </w:r>
            <w:r>
              <w:rPr>
                <w:sz w:val="13"/>
                <w:szCs w:val="13"/>
                <w:spacing w:val="-4"/>
              </w:rPr>
              <w:t>量元素钙、镁、硫、铁、锌、铜等</w:t>
            </w:r>
          </w:p>
        </w:tc>
        <w:tc>
          <w:tcPr>
            <w:tcW w:w="1369" w:type="dxa"/>
            <w:vAlign w:val="top"/>
          </w:tcPr>
          <w:p>
            <w:pPr>
              <w:spacing w:line="325" w:lineRule="auto"/>
              <w:rPr>
                <w:rFonts w:ascii="Arial"/>
                <w:sz w:val="21"/>
              </w:rPr>
            </w:pPr>
            <w:r/>
          </w:p>
          <w:p>
            <w:pPr>
              <w:pStyle w:val="TableText"/>
              <w:ind w:left="355"/>
              <w:spacing w:before="42" w:line="220" w:lineRule="auto"/>
              <w:rPr>
                <w:sz w:val="13"/>
                <w:szCs w:val="13"/>
              </w:rPr>
            </w:pPr>
            <w:r>
              <w:rPr>
                <w:sz w:val="13"/>
                <w:szCs w:val="13"/>
                <w:spacing w:val="-1"/>
              </w:rPr>
              <w:t>穴施或撒施</w:t>
            </w:r>
          </w:p>
        </w:tc>
        <w:tc>
          <w:tcPr>
            <w:tcW w:w="1289" w:type="dxa"/>
            <w:vAlign w:val="top"/>
            <w:vMerge w:val="continue"/>
            <w:tcBorders>
              <w:top w:val="nil"/>
              <w:bottom w:val="nil"/>
            </w:tcBorders>
          </w:tcPr>
          <w:p>
            <w:pPr>
              <w:rPr>
                <w:rFonts w:ascii="Arial"/>
                <w:sz w:val="21"/>
              </w:rPr>
            </w:pPr>
            <w:r/>
          </w:p>
        </w:tc>
        <w:tc>
          <w:tcPr>
            <w:tcW w:w="689" w:type="dxa"/>
            <w:vAlign w:val="top"/>
          </w:tcPr>
          <w:p>
            <w:pPr>
              <w:spacing w:line="320" w:lineRule="auto"/>
              <w:rPr>
                <w:rFonts w:ascii="Arial"/>
                <w:sz w:val="21"/>
              </w:rPr>
            </w:pPr>
            <w:r/>
          </w:p>
          <w:p>
            <w:pPr>
              <w:pStyle w:val="TableText"/>
              <w:ind w:left="106"/>
              <w:spacing w:before="42" w:line="214" w:lineRule="auto"/>
              <w:rPr>
                <w:sz w:val="13"/>
                <w:szCs w:val="13"/>
              </w:rPr>
            </w:pPr>
            <w:r>
              <w:rPr>
                <w:sz w:val="13"/>
                <w:szCs w:val="13"/>
                <w:spacing w:val="-1"/>
              </w:rPr>
              <w:t>40Kg/袋</w:t>
            </w:r>
          </w:p>
        </w:tc>
        <w:tc>
          <w:tcPr>
            <w:tcW w:w="2713" w:type="dxa"/>
            <w:vAlign w:val="top"/>
          </w:tcPr>
          <w:p>
            <w:pPr>
              <w:pStyle w:val="TableText"/>
              <w:ind w:left="18"/>
              <w:spacing w:before="239" w:line="209" w:lineRule="auto"/>
              <w:rPr>
                <w:sz w:val="13"/>
                <w:szCs w:val="13"/>
              </w:rPr>
            </w:pPr>
            <w:r>
              <w:rPr>
                <w:sz w:val="13"/>
                <w:szCs w:val="13"/>
                <w:spacing w:val="-9"/>
              </w:rPr>
              <w:t>改善</w:t>
            </w:r>
            <w:r>
              <w:rPr>
                <w:sz w:val="13"/>
                <w:szCs w:val="13"/>
                <w:spacing w:val="-8"/>
              </w:rPr>
              <w:t>土壤结构，增强透气、储水能力。乔灌木，</w:t>
            </w:r>
            <w:r>
              <w:rPr>
                <w:sz w:val="13"/>
                <w:szCs w:val="13"/>
                <w:spacing w:val="-6"/>
              </w:rPr>
              <w:t>地</w:t>
            </w:r>
            <w:r>
              <w:rPr>
                <w:sz w:val="13"/>
                <w:szCs w:val="13"/>
              </w:rPr>
              <w:t xml:space="preserve"> </w:t>
            </w:r>
            <w:r>
              <w:rPr>
                <w:sz w:val="13"/>
                <w:szCs w:val="13"/>
                <w:spacing w:val="-1"/>
              </w:rPr>
              <w:t>被，草坪均可使用，1万平方米年度约用量：</w:t>
            </w:r>
          </w:p>
          <w:p>
            <w:pPr>
              <w:pStyle w:val="TableText"/>
              <w:ind w:left="18"/>
              <w:spacing w:before="1" w:line="214" w:lineRule="auto"/>
              <w:rPr>
                <w:sz w:val="13"/>
                <w:szCs w:val="13"/>
              </w:rPr>
            </w:pPr>
            <w:r>
              <w:rPr>
                <w:sz w:val="13"/>
                <w:szCs w:val="13"/>
                <w:spacing w:val="-1"/>
              </w:rPr>
              <w:t>400kg</w:t>
            </w:r>
          </w:p>
        </w:tc>
      </w:tr>
      <w:tr>
        <w:trPr>
          <w:trHeight w:val="429" w:hRule="atLeast"/>
        </w:trPr>
        <w:tc>
          <w:tcPr>
            <w:tcW w:w="585" w:type="dxa"/>
            <w:vAlign w:val="top"/>
            <w:vMerge w:val="continue"/>
            <w:tcBorders>
              <w:top w:val="nil"/>
              <w:bottom w:val="nil"/>
            </w:tcBorders>
          </w:tcPr>
          <w:p>
            <w:pPr>
              <w:rPr>
                <w:rFonts w:ascii="Arial"/>
                <w:sz w:val="21"/>
              </w:rPr>
            </w:pPr>
            <w:r/>
          </w:p>
        </w:tc>
        <w:tc>
          <w:tcPr>
            <w:tcW w:w="640" w:type="dxa"/>
            <w:vAlign w:val="top"/>
            <w:vMerge w:val="continue"/>
            <w:tcBorders>
              <w:top w:val="nil"/>
            </w:tcBorders>
          </w:tcPr>
          <w:p>
            <w:pPr>
              <w:rPr>
                <w:rFonts w:ascii="Arial"/>
                <w:sz w:val="21"/>
              </w:rPr>
            </w:pPr>
            <w:r/>
          </w:p>
        </w:tc>
        <w:tc>
          <w:tcPr>
            <w:tcW w:w="1009" w:type="dxa"/>
            <w:vAlign w:val="top"/>
            <w:vMerge w:val="continue"/>
            <w:tcBorders>
              <w:top w:val="nil"/>
            </w:tcBorders>
          </w:tcPr>
          <w:p>
            <w:pPr>
              <w:rPr>
                <w:rFonts w:ascii="Arial"/>
                <w:sz w:val="21"/>
              </w:rPr>
            </w:pPr>
            <w:r/>
          </w:p>
        </w:tc>
        <w:tc>
          <w:tcPr>
            <w:tcW w:w="2818" w:type="dxa"/>
            <w:vAlign w:val="top"/>
            <w:vMerge w:val="continue"/>
            <w:tcBorders>
              <w:top w:val="nil"/>
            </w:tcBorders>
          </w:tcPr>
          <w:p>
            <w:pPr>
              <w:rPr>
                <w:rFonts w:ascii="Arial"/>
                <w:sz w:val="21"/>
              </w:rPr>
            </w:pPr>
            <w:r/>
          </w:p>
        </w:tc>
        <w:tc>
          <w:tcPr>
            <w:tcW w:w="949" w:type="dxa"/>
            <w:vAlign w:val="top"/>
          </w:tcPr>
          <w:p>
            <w:pPr>
              <w:pStyle w:val="TableText"/>
              <w:ind w:left="13"/>
              <w:spacing w:before="149" w:line="219" w:lineRule="auto"/>
              <w:rPr>
                <w:sz w:val="13"/>
                <w:szCs w:val="13"/>
              </w:rPr>
            </w:pPr>
            <w:r>
              <w:rPr>
                <w:sz w:val="13"/>
                <w:szCs w:val="13"/>
                <w:spacing w:val="-2"/>
              </w:rPr>
              <w:t>高效磷钾复合肥</w:t>
            </w:r>
          </w:p>
        </w:tc>
        <w:tc>
          <w:tcPr>
            <w:tcW w:w="1929" w:type="dxa"/>
            <w:vAlign w:val="top"/>
          </w:tcPr>
          <w:p>
            <w:pPr>
              <w:pStyle w:val="TableText"/>
              <w:ind w:left="634"/>
              <w:spacing w:before="150" w:line="219" w:lineRule="auto"/>
              <w:rPr>
                <w:sz w:val="13"/>
                <w:szCs w:val="13"/>
              </w:rPr>
            </w:pPr>
            <w:r>
              <w:rPr>
                <w:sz w:val="13"/>
                <w:szCs w:val="13"/>
                <w:spacing w:val="-1"/>
              </w:rPr>
              <w:t>磷酸二氢钾</w:t>
            </w:r>
          </w:p>
        </w:tc>
        <w:tc>
          <w:tcPr>
            <w:tcW w:w="1369" w:type="dxa"/>
            <w:vAlign w:val="top"/>
          </w:tcPr>
          <w:p>
            <w:pPr>
              <w:pStyle w:val="TableText"/>
              <w:ind w:left="615" w:right="40" w:hanging="590"/>
              <w:spacing w:before="80" w:line="212" w:lineRule="auto"/>
              <w:rPr>
                <w:sz w:val="13"/>
                <w:szCs w:val="13"/>
              </w:rPr>
            </w:pPr>
            <w:r>
              <w:rPr>
                <w:sz w:val="13"/>
                <w:szCs w:val="13"/>
                <w:spacing w:val="-1"/>
              </w:rPr>
              <w:t>直接穴施或0.2%叶面喷</w:t>
            </w:r>
            <w:r>
              <w:rPr>
                <w:sz w:val="13"/>
                <w:szCs w:val="13"/>
                <w:spacing w:val="4"/>
              </w:rPr>
              <w:t xml:space="preserve"> </w:t>
            </w:r>
            <w:r>
              <w:rPr>
                <w:sz w:val="13"/>
                <w:szCs w:val="13"/>
              </w:rPr>
              <w:t>施</w:t>
            </w:r>
          </w:p>
        </w:tc>
        <w:tc>
          <w:tcPr>
            <w:tcW w:w="1289" w:type="dxa"/>
            <w:vAlign w:val="top"/>
            <w:vMerge w:val="continue"/>
            <w:tcBorders>
              <w:top w:val="nil"/>
            </w:tcBorders>
          </w:tcPr>
          <w:p>
            <w:pPr>
              <w:rPr>
                <w:rFonts w:ascii="Arial"/>
                <w:sz w:val="21"/>
              </w:rPr>
            </w:pPr>
            <w:r/>
          </w:p>
        </w:tc>
        <w:tc>
          <w:tcPr>
            <w:tcW w:w="689" w:type="dxa"/>
            <w:vAlign w:val="top"/>
          </w:tcPr>
          <w:p>
            <w:pPr>
              <w:pStyle w:val="TableText"/>
              <w:ind w:left="236" w:right="169" w:hanging="90"/>
              <w:spacing w:before="75" w:line="215" w:lineRule="auto"/>
              <w:rPr>
                <w:sz w:val="13"/>
                <w:szCs w:val="13"/>
              </w:rPr>
            </w:pPr>
            <w:r>
              <w:rPr>
                <w:sz w:val="13"/>
                <w:szCs w:val="13"/>
                <w:spacing w:val="-5"/>
              </w:rPr>
              <w:t>(25kg/</w:t>
            </w:r>
            <w:r>
              <w:rPr>
                <w:sz w:val="13"/>
                <w:szCs w:val="13"/>
                <w:spacing w:val="1"/>
              </w:rPr>
              <w:t xml:space="preserve"> </w:t>
            </w:r>
            <w:r>
              <w:rPr>
                <w:sz w:val="13"/>
                <w:szCs w:val="13"/>
                <w:spacing w:val="-3"/>
              </w:rPr>
              <w:t>袋</w:t>
            </w:r>
            <w:r>
              <w:rPr>
                <w:sz w:val="13"/>
                <w:szCs w:val="13"/>
                <w:spacing w:val="-21"/>
              </w:rPr>
              <w:t xml:space="preserve"> </w:t>
            </w:r>
            <w:r>
              <w:rPr>
                <w:sz w:val="13"/>
                <w:szCs w:val="13"/>
                <w:spacing w:val="-3"/>
              </w:rPr>
              <w:t>)</w:t>
            </w:r>
          </w:p>
        </w:tc>
        <w:tc>
          <w:tcPr>
            <w:tcW w:w="2713" w:type="dxa"/>
            <w:vAlign w:val="top"/>
          </w:tcPr>
          <w:p>
            <w:pPr>
              <w:pStyle w:val="TableText"/>
              <w:ind w:left="18"/>
              <w:spacing w:before="80" w:line="210" w:lineRule="auto"/>
              <w:rPr>
                <w:sz w:val="13"/>
                <w:szCs w:val="13"/>
              </w:rPr>
            </w:pPr>
            <w:r>
              <w:rPr>
                <w:sz w:val="13"/>
                <w:szCs w:val="13"/>
                <w:spacing w:val="-12"/>
              </w:rPr>
              <w:t>提高树木木</w:t>
            </w:r>
            <w:r>
              <w:rPr>
                <w:sz w:val="13"/>
                <w:szCs w:val="13"/>
                <w:spacing w:val="-11"/>
              </w:rPr>
              <w:t>质化程度，有利树木安全越冬。1万平</w:t>
            </w:r>
            <w:r>
              <w:rPr>
                <w:sz w:val="13"/>
                <w:szCs w:val="13"/>
                <w:spacing w:val="-6"/>
              </w:rPr>
              <w:t>方</w:t>
            </w:r>
            <w:r>
              <w:rPr>
                <w:sz w:val="13"/>
                <w:szCs w:val="13"/>
                <w:spacing w:val="11"/>
              </w:rPr>
              <w:t xml:space="preserve"> </w:t>
            </w:r>
            <w:r>
              <w:rPr>
                <w:sz w:val="13"/>
                <w:szCs w:val="13"/>
                <w:spacing w:val="-1"/>
              </w:rPr>
              <w:t>米年度约用量：400kg</w:t>
            </w:r>
          </w:p>
        </w:tc>
      </w:tr>
      <w:tr>
        <w:trPr>
          <w:trHeight w:val="609" w:hRule="atLeast"/>
        </w:trPr>
        <w:tc>
          <w:tcPr>
            <w:tcW w:w="585" w:type="dxa"/>
            <w:vAlign w:val="top"/>
            <w:vMerge w:val="continue"/>
            <w:tcBorders>
              <w:top w:val="nil"/>
              <w:bottom w:val="nil"/>
            </w:tcBorders>
          </w:tcPr>
          <w:p>
            <w:pPr>
              <w:rPr>
                <w:rFonts w:ascii="Arial"/>
                <w:sz w:val="21"/>
              </w:rPr>
            </w:pPr>
            <w:r/>
          </w:p>
        </w:tc>
        <w:tc>
          <w:tcPr>
            <w:tcW w:w="640"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pStyle w:val="TableText"/>
              <w:ind w:left="50"/>
              <w:spacing w:before="42" w:line="219" w:lineRule="auto"/>
              <w:rPr>
                <w:sz w:val="13"/>
                <w:szCs w:val="13"/>
              </w:rPr>
            </w:pPr>
            <w:r>
              <w:rPr>
                <w:sz w:val="13"/>
                <w:szCs w:val="13"/>
                <w:spacing w:val="-2"/>
              </w:rPr>
              <w:t>草皮覆绿</w:t>
            </w:r>
          </w:p>
        </w:tc>
        <w:tc>
          <w:tcPr>
            <w:tcW w:w="1009" w:type="dxa"/>
            <w:vAlign w:val="top"/>
            <w:vMerge w:val="restart"/>
            <w:tcBorders>
              <w:bottom w:val="nil"/>
            </w:tcBorders>
          </w:tcPr>
          <w:p>
            <w:pPr>
              <w:spacing w:line="436" w:lineRule="auto"/>
              <w:rPr>
                <w:rFonts w:ascii="Arial"/>
                <w:sz w:val="21"/>
              </w:rPr>
            </w:pPr>
            <w:r/>
          </w:p>
          <w:p>
            <w:pPr>
              <w:pStyle w:val="TableText"/>
              <w:ind w:left="429" w:right="2" w:hanging="419"/>
              <w:spacing w:before="42" w:line="212" w:lineRule="auto"/>
              <w:rPr>
                <w:sz w:val="13"/>
                <w:szCs w:val="13"/>
              </w:rPr>
            </w:pPr>
            <w:r>
              <w:rPr>
                <w:sz w:val="13"/>
                <w:szCs w:val="13"/>
                <w:spacing w:val="-7"/>
              </w:rPr>
              <w:t>草坪发芽及长势不</w:t>
            </w:r>
            <w:r>
              <w:rPr>
                <w:sz w:val="13"/>
                <w:szCs w:val="13"/>
                <w:spacing w:val="1"/>
              </w:rPr>
              <w:t xml:space="preserve"> </w:t>
            </w:r>
            <w:r>
              <w:rPr>
                <w:sz w:val="13"/>
                <w:szCs w:val="13"/>
              </w:rPr>
              <w:t>良</w:t>
            </w:r>
          </w:p>
        </w:tc>
        <w:tc>
          <w:tcPr>
            <w:tcW w:w="2818" w:type="dxa"/>
            <w:vAlign w:val="top"/>
            <w:vMerge w:val="restart"/>
            <w:tcBorders>
              <w:bottom w:val="nil"/>
            </w:tcBorders>
          </w:tcPr>
          <w:p>
            <w:pPr>
              <w:pStyle w:val="TableText"/>
              <w:ind w:left="1"/>
              <w:spacing w:before="181" w:line="198" w:lineRule="auto"/>
              <w:rPr>
                <w:sz w:val="13"/>
                <w:szCs w:val="13"/>
              </w:rPr>
            </w:pPr>
            <w:r>
              <w:rPr>
                <w:sz w:val="13"/>
                <w:szCs w:val="13"/>
                <w:spacing w:val="-1"/>
              </w:rPr>
              <w:t>一、主要集中在5月中，气温上升，空气湿度增</w:t>
            </w:r>
          </w:p>
          <w:p>
            <w:pPr>
              <w:pStyle w:val="TableText"/>
              <w:ind w:left="1"/>
              <w:spacing w:line="213" w:lineRule="auto"/>
              <w:rPr>
                <w:sz w:val="13"/>
                <w:szCs w:val="13"/>
              </w:rPr>
            </w:pPr>
            <w:r>
              <w:rPr>
                <w:sz w:val="13"/>
                <w:szCs w:val="13"/>
                <w:spacing w:val="-8"/>
              </w:rPr>
              <w:t>加。苗木结束休眠期开始返青，是草皮旅肥复绿最住</w:t>
            </w:r>
            <w:r>
              <w:rPr>
                <w:sz w:val="13"/>
                <w:szCs w:val="13"/>
              </w:rPr>
              <w:t xml:space="preserve"> </w:t>
            </w:r>
            <w:r>
              <w:rPr>
                <w:sz w:val="13"/>
                <w:szCs w:val="13"/>
                <w:spacing w:val="-6"/>
              </w:rPr>
              <w:t>时 机</w:t>
            </w:r>
            <w:r>
              <w:rPr>
                <w:sz w:val="13"/>
                <w:szCs w:val="13"/>
                <w:spacing w:val="-12"/>
              </w:rPr>
              <w:t xml:space="preserve"> </w:t>
            </w:r>
            <w:r>
              <w:rPr>
                <w:sz w:val="13"/>
                <w:szCs w:val="13"/>
                <w:spacing w:val="-6"/>
              </w:rPr>
              <w:t>；</w:t>
            </w:r>
          </w:p>
          <w:p>
            <w:pPr>
              <w:pStyle w:val="TableText"/>
              <w:ind w:left="1"/>
              <w:spacing w:line="219" w:lineRule="auto"/>
              <w:rPr>
                <w:sz w:val="13"/>
                <w:szCs w:val="13"/>
              </w:rPr>
            </w:pPr>
            <w:r>
              <w:rPr>
                <w:sz w:val="13"/>
                <w:szCs w:val="13"/>
                <w:spacing w:val="3"/>
              </w:rPr>
              <w:t>三、6-7月有个别情况，做专项治疗；</w:t>
            </w:r>
          </w:p>
          <w:p>
            <w:pPr>
              <w:pStyle w:val="TableText"/>
              <w:ind w:left="1" w:right="1"/>
              <w:spacing w:before="5" w:line="223" w:lineRule="auto"/>
              <w:rPr>
                <w:sz w:val="13"/>
                <w:szCs w:val="13"/>
              </w:rPr>
            </w:pPr>
            <w:r>
              <w:rPr>
                <w:sz w:val="13"/>
                <w:szCs w:val="13"/>
                <w:spacing w:val="-8"/>
              </w:rPr>
              <w:t>三、3月施复合肥或有机复合肥复壮，9月施复合肥或</w:t>
            </w:r>
            <w:r>
              <w:rPr>
                <w:sz w:val="13"/>
                <w:szCs w:val="13"/>
                <w:spacing w:val="6"/>
              </w:rPr>
              <w:t xml:space="preserve"> </w:t>
            </w:r>
            <w:r>
              <w:rPr>
                <w:sz w:val="13"/>
                <w:szCs w:val="13"/>
                <w:spacing w:val="-3"/>
              </w:rPr>
              <w:t>有机复合肥利于越冬。</w:t>
            </w:r>
          </w:p>
        </w:tc>
        <w:tc>
          <w:tcPr>
            <w:tcW w:w="949" w:type="dxa"/>
            <w:vAlign w:val="top"/>
          </w:tcPr>
          <w:p>
            <w:pPr>
              <w:pStyle w:val="TableText"/>
              <w:ind w:left="43"/>
              <w:spacing w:before="91" w:line="213" w:lineRule="auto"/>
              <w:rPr>
                <w:sz w:val="13"/>
                <w:szCs w:val="13"/>
              </w:rPr>
            </w:pPr>
            <w:r>
              <w:rPr>
                <w:sz w:val="13"/>
                <w:szCs w:val="13"/>
                <w:spacing w:val="-1"/>
              </w:rPr>
              <w:t>尿素(一般不单</w:t>
            </w:r>
          </w:p>
          <w:p>
            <w:pPr>
              <w:pStyle w:val="TableText"/>
              <w:spacing w:line="219" w:lineRule="auto"/>
              <w:jc w:val="right"/>
              <w:rPr>
                <w:sz w:val="13"/>
                <w:szCs w:val="13"/>
              </w:rPr>
            </w:pPr>
            <w:r>
              <w:rPr>
                <w:sz w:val="13"/>
                <w:szCs w:val="13"/>
                <w:spacing w:val="-1"/>
              </w:rPr>
              <w:t>独使用需配合磷</w:t>
            </w:r>
          </w:p>
          <w:p>
            <w:pPr>
              <w:pStyle w:val="TableText"/>
              <w:ind w:left="203"/>
              <w:spacing w:before="4" w:line="219" w:lineRule="auto"/>
              <w:rPr>
                <w:sz w:val="13"/>
                <w:szCs w:val="13"/>
              </w:rPr>
            </w:pPr>
            <w:r>
              <w:rPr>
                <w:sz w:val="13"/>
                <w:szCs w:val="13"/>
                <w:spacing w:val="3"/>
              </w:rPr>
              <w:t>钾肥使用</w:t>
            </w:r>
          </w:p>
        </w:tc>
        <w:tc>
          <w:tcPr>
            <w:tcW w:w="1929" w:type="dxa"/>
            <w:vAlign w:val="top"/>
          </w:tcPr>
          <w:p>
            <w:pPr>
              <w:pStyle w:val="TableText"/>
              <w:ind w:left="434"/>
              <w:spacing w:before="239" w:line="216" w:lineRule="auto"/>
              <w:rPr>
                <w:sz w:val="13"/>
                <w:szCs w:val="13"/>
              </w:rPr>
            </w:pPr>
            <w:r>
              <w:rPr>
                <w:sz w:val="13"/>
                <w:szCs w:val="13"/>
                <w:spacing w:val="-1"/>
              </w:rPr>
              <w:t>CD(NH2)2,含氮46%</w:t>
            </w:r>
          </w:p>
        </w:tc>
        <w:tc>
          <w:tcPr>
            <w:tcW w:w="1369" w:type="dxa"/>
            <w:vAlign w:val="top"/>
          </w:tcPr>
          <w:p>
            <w:pPr>
              <w:pStyle w:val="TableText"/>
              <w:ind w:left="25"/>
              <w:spacing w:before="236" w:line="214" w:lineRule="auto"/>
              <w:rPr>
                <w:sz w:val="13"/>
                <w:szCs w:val="13"/>
              </w:rPr>
            </w:pPr>
            <w:r>
              <w:rPr>
                <w:sz w:val="13"/>
                <w:szCs w:val="13"/>
                <w:spacing w:val="-1"/>
              </w:rPr>
              <w:t>直接撤施：20-25kg/亩</w:t>
            </w:r>
          </w:p>
        </w:tc>
        <w:tc>
          <w:tcPr>
            <w:tcW w:w="1289"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pStyle w:val="TableText"/>
              <w:ind w:left="186"/>
              <w:spacing w:before="42" w:line="219" w:lineRule="auto"/>
              <w:rPr>
                <w:sz w:val="13"/>
                <w:szCs w:val="13"/>
              </w:rPr>
            </w:pPr>
            <w:r>
              <w:rPr>
                <w:sz w:val="13"/>
                <w:szCs w:val="13"/>
                <w:spacing w:val="-1"/>
              </w:rPr>
              <w:t>视草坪生长情况</w:t>
            </w:r>
          </w:p>
        </w:tc>
        <w:tc>
          <w:tcPr>
            <w:tcW w:w="689" w:type="dxa"/>
            <w:vAlign w:val="top"/>
          </w:tcPr>
          <w:p>
            <w:pPr>
              <w:pStyle w:val="TableText"/>
              <w:ind w:left="236" w:right="169" w:hanging="90"/>
              <w:spacing w:before="157" w:line="239" w:lineRule="auto"/>
              <w:rPr>
                <w:sz w:val="13"/>
                <w:szCs w:val="13"/>
              </w:rPr>
            </w:pPr>
            <w:r>
              <w:rPr>
                <w:sz w:val="13"/>
                <w:szCs w:val="13"/>
                <w:spacing w:val="-5"/>
              </w:rPr>
              <w:t>(50kg/</w:t>
            </w:r>
            <w:r>
              <w:rPr>
                <w:sz w:val="13"/>
                <w:szCs w:val="13"/>
                <w:spacing w:val="1"/>
              </w:rPr>
              <w:t xml:space="preserve"> </w:t>
            </w:r>
            <w:r>
              <w:rPr>
                <w:sz w:val="13"/>
                <w:szCs w:val="13"/>
                <w:spacing w:val="-3"/>
              </w:rPr>
              <w:t>袋</w:t>
            </w:r>
            <w:r>
              <w:rPr>
                <w:sz w:val="13"/>
                <w:szCs w:val="13"/>
                <w:spacing w:val="-21"/>
              </w:rPr>
              <w:t xml:space="preserve"> </w:t>
            </w:r>
            <w:r>
              <w:rPr>
                <w:sz w:val="13"/>
                <w:szCs w:val="13"/>
                <w:spacing w:val="-3"/>
              </w:rPr>
              <w:t>)</w:t>
            </w:r>
          </w:p>
        </w:tc>
        <w:tc>
          <w:tcPr>
            <w:tcW w:w="2713" w:type="dxa"/>
            <w:vAlign w:val="top"/>
          </w:tcPr>
          <w:p>
            <w:pPr>
              <w:pStyle w:val="TableText"/>
              <w:ind w:left="18"/>
              <w:spacing w:before="180" w:line="204" w:lineRule="auto"/>
              <w:rPr>
                <w:sz w:val="13"/>
                <w:szCs w:val="13"/>
              </w:rPr>
            </w:pPr>
            <w:r>
              <w:rPr>
                <w:sz w:val="13"/>
                <w:szCs w:val="13"/>
              </w:rPr>
              <w:t>促进草坪生长，增绿，1万平方米年度约用量；</w:t>
            </w:r>
            <w:r>
              <w:rPr>
                <w:sz w:val="13"/>
                <w:szCs w:val="13"/>
                <w:spacing w:val="18"/>
                <w:w w:val="101"/>
              </w:rPr>
              <w:t xml:space="preserve"> </w:t>
            </w:r>
            <w:r>
              <w:rPr>
                <w:sz w:val="13"/>
                <w:szCs w:val="13"/>
                <w:spacing w:val="-2"/>
              </w:rPr>
              <w:t>500kg</w:t>
            </w:r>
          </w:p>
        </w:tc>
      </w:tr>
      <w:tr>
        <w:trPr>
          <w:trHeight w:val="609" w:hRule="atLeast"/>
        </w:trPr>
        <w:tc>
          <w:tcPr>
            <w:tcW w:w="585" w:type="dxa"/>
            <w:vAlign w:val="top"/>
            <w:vMerge w:val="continue"/>
            <w:tcBorders>
              <w:top w:val="nil"/>
            </w:tcBorders>
          </w:tcPr>
          <w:p>
            <w:pPr>
              <w:rPr>
                <w:rFonts w:ascii="Arial"/>
                <w:sz w:val="21"/>
              </w:rPr>
            </w:pPr>
            <w:r/>
          </w:p>
        </w:tc>
        <w:tc>
          <w:tcPr>
            <w:tcW w:w="640" w:type="dxa"/>
            <w:vAlign w:val="top"/>
            <w:vMerge w:val="continue"/>
            <w:tcBorders>
              <w:top w:val="nil"/>
            </w:tcBorders>
          </w:tcPr>
          <w:p>
            <w:pPr>
              <w:rPr>
                <w:rFonts w:ascii="Arial"/>
                <w:sz w:val="21"/>
              </w:rPr>
            </w:pPr>
            <w:r/>
          </w:p>
        </w:tc>
        <w:tc>
          <w:tcPr>
            <w:tcW w:w="1009" w:type="dxa"/>
            <w:vAlign w:val="top"/>
            <w:vMerge w:val="continue"/>
            <w:tcBorders>
              <w:top w:val="nil"/>
            </w:tcBorders>
          </w:tcPr>
          <w:p>
            <w:pPr>
              <w:rPr>
                <w:rFonts w:ascii="Arial"/>
                <w:sz w:val="21"/>
              </w:rPr>
            </w:pPr>
            <w:r/>
          </w:p>
        </w:tc>
        <w:tc>
          <w:tcPr>
            <w:tcW w:w="2818" w:type="dxa"/>
            <w:vAlign w:val="top"/>
            <w:vMerge w:val="continue"/>
            <w:tcBorders>
              <w:top w:val="nil"/>
            </w:tcBorders>
          </w:tcPr>
          <w:p>
            <w:pPr>
              <w:rPr>
                <w:rFonts w:ascii="Arial"/>
                <w:sz w:val="21"/>
              </w:rPr>
            </w:pPr>
            <w:r/>
          </w:p>
        </w:tc>
        <w:tc>
          <w:tcPr>
            <w:tcW w:w="949" w:type="dxa"/>
            <w:vAlign w:val="top"/>
          </w:tcPr>
          <w:p>
            <w:pPr>
              <w:pStyle w:val="TableText"/>
              <w:ind w:left="203"/>
              <w:spacing w:before="242" w:line="219" w:lineRule="auto"/>
              <w:rPr>
                <w:sz w:val="13"/>
                <w:szCs w:val="13"/>
              </w:rPr>
            </w:pPr>
            <w:r>
              <w:rPr>
                <w:sz w:val="13"/>
                <w:szCs w:val="13"/>
                <w:spacing w:val="1"/>
              </w:rPr>
              <w:t>中威壮美</w:t>
            </w:r>
          </w:p>
        </w:tc>
        <w:tc>
          <w:tcPr>
            <w:tcW w:w="1929" w:type="dxa"/>
            <w:vAlign w:val="top"/>
          </w:tcPr>
          <w:p>
            <w:pPr>
              <w:pStyle w:val="TableText"/>
              <w:ind w:left="594"/>
              <w:spacing w:before="241" w:line="219" w:lineRule="auto"/>
              <w:rPr>
                <w:sz w:val="13"/>
                <w:szCs w:val="13"/>
              </w:rPr>
            </w:pPr>
            <w:r>
              <w:rPr>
                <w:sz w:val="13"/>
                <w:szCs w:val="13"/>
                <w:spacing w:val="-1"/>
              </w:rPr>
              <w:t>有机质≥60%</w:t>
            </w:r>
          </w:p>
        </w:tc>
        <w:tc>
          <w:tcPr>
            <w:tcW w:w="1369" w:type="dxa"/>
            <w:vAlign w:val="top"/>
          </w:tcPr>
          <w:p>
            <w:pPr>
              <w:pStyle w:val="TableText"/>
              <w:ind w:left="25"/>
              <w:spacing w:before="237" w:line="214" w:lineRule="auto"/>
              <w:rPr>
                <w:sz w:val="13"/>
                <w:szCs w:val="13"/>
              </w:rPr>
            </w:pPr>
            <w:r>
              <w:rPr>
                <w:sz w:val="13"/>
                <w:szCs w:val="13"/>
                <w:spacing w:val="-1"/>
              </w:rPr>
              <w:t>直接撒施：20-25kg/亩</w:t>
            </w:r>
          </w:p>
        </w:tc>
        <w:tc>
          <w:tcPr>
            <w:tcW w:w="1289" w:type="dxa"/>
            <w:vAlign w:val="top"/>
            <w:vMerge w:val="continue"/>
            <w:tcBorders>
              <w:top w:val="nil"/>
            </w:tcBorders>
          </w:tcPr>
          <w:p>
            <w:pPr>
              <w:rPr>
                <w:rFonts w:ascii="Arial"/>
                <w:sz w:val="21"/>
              </w:rPr>
            </w:pPr>
            <w:r/>
          </w:p>
        </w:tc>
        <w:tc>
          <w:tcPr>
            <w:tcW w:w="689" w:type="dxa"/>
            <w:vAlign w:val="top"/>
          </w:tcPr>
          <w:p>
            <w:pPr>
              <w:pStyle w:val="TableText"/>
              <w:ind w:left="236" w:right="169" w:hanging="90"/>
              <w:spacing w:before="167" w:line="213" w:lineRule="auto"/>
              <w:rPr>
                <w:sz w:val="13"/>
                <w:szCs w:val="13"/>
              </w:rPr>
            </w:pPr>
            <w:r>
              <w:rPr>
                <w:sz w:val="13"/>
                <w:szCs w:val="13"/>
                <w:spacing w:val="-5"/>
              </w:rPr>
              <w:t>(25kg/</w:t>
            </w:r>
            <w:r>
              <w:rPr>
                <w:sz w:val="13"/>
                <w:szCs w:val="13"/>
                <w:spacing w:val="1"/>
              </w:rPr>
              <w:t xml:space="preserve"> </w:t>
            </w:r>
            <w:r>
              <w:rPr>
                <w:sz w:val="13"/>
                <w:szCs w:val="13"/>
                <w:spacing w:val="-3"/>
              </w:rPr>
              <w:t>装</w:t>
            </w:r>
            <w:r>
              <w:rPr>
                <w:sz w:val="13"/>
                <w:szCs w:val="13"/>
                <w:spacing w:val="-21"/>
              </w:rPr>
              <w:t xml:space="preserve"> </w:t>
            </w:r>
            <w:r>
              <w:rPr>
                <w:sz w:val="13"/>
                <w:szCs w:val="13"/>
                <w:spacing w:val="-3"/>
              </w:rPr>
              <w:t>)</w:t>
            </w:r>
          </w:p>
        </w:tc>
        <w:tc>
          <w:tcPr>
            <w:tcW w:w="2713" w:type="dxa"/>
            <w:vAlign w:val="top"/>
          </w:tcPr>
          <w:p>
            <w:pPr>
              <w:pStyle w:val="TableText"/>
              <w:ind w:left="18"/>
              <w:spacing w:before="172" w:line="221" w:lineRule="auto"/>
              <w:rPr>
                <w:sz w:val="13"/>
                <w:szCs w:val="13"/>
              </w:rPr>
            </w:pPr>
            <w:r>
              <w:rPr>
                <w:sz w:val="13"/>
                <w:szCs w:val="13"/>
                <w:spacing w:val="-12"/>
              </w:rPr>
              <w:t>促进</w:t>
            </w:r>
            <w:r>
              <w:rPr>
                <w:sz w:val="13"/>
                <w:szCs w:val="13"/>
                <w:spacing w:val="-11"/>
              </w:rPr>
              <w:t>草坪快速生根，全面营养，使用安全方便，1</w:t>
            </w:r>
            <w:r>
              <w:rPr>
                <w:sz w:val="13"/>
                <w:szCs w:val="13"/>
                <w:spacing w:val="-9"/>
              </w:rPr>
              <w:t>万</w:t>
            </w:r>
            <w:r>
              <w:rPr>
                <w:sz w:val="13"/>
                <w:szCs w:val="13"/>
                <w:spacing w:val="11"/>
              </w:rPr>
              <w:t xml:space="preserve"> </w:t>
            </w:r>
            <w:r>
              <w:rPr>
                <w:sz w:val="13"/>
                <w:szCs w:val="13"/>
                <w:spacing w:val="-1"/>
              </w:rPr>
              <w:t>平方米年度约用量：250kg</w:t>
            </w:r>
          </w:p>
        </w:tc>
      </w:tr>
      <w:tr>
        <w:trPr>
          <w:trHeight w:val="629" w:hRule="atLeast"/>
        </w:trPr>
        <w:tc>
          <w:tcPr>
            <w:tcW w:w="585" w:type="dxa"/>
            <w:vAlign w:val="top"/>
            <w:vMerge w:val="restart"/>
            <w:tcBorders>
              <w:bottom w:val="nil"/>
            </w:tcBorders>
          </w:tcPr>
          <w:p>
            <w:pPr>
              <w:spacing w:line="264" w:lineRule="auto"/>
              <w:rPr>
                <w:rFonts w:ascii="Arial"/>
                <w:sz w:val="21"/>
              </w:rPr>
            </w:pPr>
            <w:r/>
          </w:p>
          <w:p>
            <w:pPr>
              <w:spacing w:line="264" w:lineRule="auto"/>
              <w:rPr>
                <w:rFonts w:ascii="Arial"/>
                <w:sz w:val="21"/>
              </w:rPr>
            </w:pPr>
            <w:r/>
          </w:p>
          <w:p>
            <w:pPr>
              <w:pStyle w:val="TableText"/>
              <w:ind w:left="155"/>
              <w:spacing w:before="42" w:line="220" w:lineRule="auto"/>
              <w:rPr>
                <w:sz w:val="13"/>
                <w:szCs w:val="13"/>
              </w:rPr>
            </w:pPr>
            <w:r>
              <w:rPr>
                <w:sz w:val="13"/>
                <w:szCs w:val="13"/>
                <w:spacing w:val="-2"/>
              </w:rPr>
              <w:t>其他</w:t>
            </w:r>
          </w:p>
        </w:tc>
        <w:tc>
          <w:tcPr>
            <w:tcW w:w="640"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pStyle w:val="TableText"/>
              <w:ind w:left="50"/>
              <w:spacing w:before="43" w:line="219" w:lineRule="auto"/>
              <w:rPr>
                <w:sz w:val="13"/>
                <w:szCs w:val="13"/>
              </w:rPr>
            </w:pPr>
            <w:r>
              <w:rPr>
                <w:sz w:val="13"/>
                <w:szCs w:val="13"/>
                <w:spacing w:val="-1"/>
              </w:rPr>
              <w:t>树木养护</w:t>
            </w:r>
          </w:p>
        </w:tc>
        <w:tc>
          <w:tcPr>
            <w:tcW w:w="1009" w:type="dxa"/>
            <w:vAlign w:val="top"/>
            <w:vMerge w:val="restart"/>
            <w:tcBorders>
              <w:bottom w:val="nil"/>
            </w:tcBorders>
          </w:tcPr>
          <w:p>
            <w:pPr>
              <w:spacing w:line="458" w:lineRule="auto"/>
              <w:rPr>
                <w:rFonts w:ascii="Arial"/>
                <w:sz w:val="21"/>
              </w:rPr>
            </w:pPr>
            <w:r/>
          </w:p>
          <w:p>
            <w:pPr>
              <w:pStyle w:val="TableText"/>
              <w:spacing w:before="42" w:line="213" w:lineRule="auto"/>
              <w:jc w:val="right"/>
              <w:rPr>
                <w:sz w:val="13"/>
                <w:szCs w:val="13"/>
              </w:rPr>
            </w:pPr>
            <w:r>
              <w:rPr>
                <w:sz w:val="13"/>
                <w:szCs w:val="13"/>
                <w:spacing w:val="-7"/>
              </w:rPr>
              <w:t>树木修剪创口，腐</w:t>
            </w:r>
          </w:p>
          <w:p>
            <w:pPr>
              <w:pStyle w:val="TableText"/>
              <w:ind w:left="170"/>
              <w:spacing w:line="219" w:lineRule="auto"/>
              <w:rPr>
                <w:sz w:val="13"/>
                <w:szCs w:val="13"/>
              </w:rPr>
            </w:pPr>
            <w:r>
              <w:rPr>
                <w:sz w:val="13"/>
                <w:szCs w:val="13"/>
                <w:spacing w:val="3"/>
              </w:rPr>
              <w:t>烂病害伤口</w:t>
            </w:r>
          </w:p>
        </w:tc>
        <w:tc>
          <w:tcPr>
            <w:tcW w:w="2818" w:type="dxa"/>
            <w:vAlign w:val="top"/>
            <w:vMerge w:val="restart"/>
            <w:tcBorders>
              <w:bottom w:val="nil"/>
            </w:tcBorders>
          </w:tcPr>
          <w:p>
            <w:pPr>
              <w:spacing w:line="299" w:lineRule="auto"/>
              <w:rPr>
                <w:rFonts w:ascii="Arial"/>
                <w:sz w:val="21"/>
              </w:rPr>
            </w:pPr>
            <w:r/>
          </w:p>
          <w:p>
            <w:pPr>
              <w:pStyle w:val="TableText"/>
              <w:ind w:left="1"/>
              <w:spacing w:before="42" w:line="219" w:lineRule="auto"/>
              <w:rPr>
                <w:sz w:val="13"/>
                <w:szCs w:val="13"/>
              </w:rPr>
            </w:pPr>
            <w:r>
              <w:rPr>
                <w:sz w:val="13"/>
                <w:szCs w:val="13"/>
                <w:spacing w:val="3"/>
              </w:rPr>
              <w:t>一、3月-11月苗木修剪造成创口；</w:t>
            </w:r>
          </w:p>
          <w:p>
            <w:pPr>
              <w:pStyle w:val="TableText"/>
              <w:ind w:left="1" w:right="1"/>
              <w:spacing w:before="4" w:line="220" w:lineRule="auto"/>
              <w:rPr>
                <w:sz w:val="13"/>
                <w:szCs w:val="13"/>
              </w:rPr>
            </w:pPr>
            <w:r>
              <w:rPr>
                <w:sz w:val="13"/>
                <w:szCs w:val="13"/>
                <w:spacing w:val="-5"/>
              </w:rPr>
              <w:t>二、3月-4月为苹果类，海棠类苗木树干腐烂病高发</w:t>
            </w:r>
            <w:r>
              <w:rPr>
                <w:sz w:val="13"/>
                <w:szCs w:val="13"/>
              </w:rPr>
              <w:t xml:space="preserve"> </w:t>
            </w:r>
            <w:r>
              <w:rPr>
                <w:sz w:val="13"/>
                <w:szCs w:val="13"/>
                <w:spacing w:val="-5"/>
              </w:rPr>
              <w:t>期，用刀片将腐烂树皮清除后，喷施40%褶美肿80倍</w:t>
            </w:r>
            <w:r>
              <w:rPr>
                <w:sz w:val="13"/>
                <w:szCs w:val="13"/>
                <w:spacing w:val="3"/>
              </w:rPr>
              <w:t xml:space="preserve"> </w:t>
            </w:r>
            <w:r>
              <w:rPr>
                <w:sz w:val="13"/>
                <w:szCs w:val="13"/>
                <w:spacing w:val="-3"/>
              </w:rPr>
              <w:t>液，然后处理树干伤口。</w:t>
            </w:r>
          </w:p>
        </w:tc>
        <w:tc>
          <w:tcPr>
            <w:tcW w:w="949" w:type="dxa"/>
            <w:vAlign w:val="top"/>
          </w:tcPr>
          <w:p>
            <w:pPr>
              <w:pStyle w:val="TableText"/>
              <w:ind w:left="13"/>
              <w:spacing w:before="252" w:line="219" w:lineRule="auto"/>
              <w:rPr>
                <w:sz w:val="13"/>
                <w:szCs w:val="13"/>
              </w:rPr>
            </w:pPr>
            <w:r>
              <w:rPr>
                <w:sz w:val="13"/>
                <w:szCs w:val="13"/>
                <w:spacing w:val="1"/>
              </w:rPr>
              <w:t>国光愈伤涂膜剂</w:t>
            </w:r>
          </w:p>
        </w:tc>
        <w:tc>
          <w:tcPr>
            <w:tcW w:w="1929" w:type="dxa"/>
            <w:vAlign w:val="top"/>
          </w:tcPr>
          <w:p>
            <w:pPr>
              <w:pStyle w:val="TableText"/>
              <w:ind w:left="693" w:hanging="679"/>
              <w:spacing w:before="172" w:line="231" w:lineRule="auto"/>
              <w:rPr>
                <w:sz w:val="13"/>
                <w:szCs w:val="13"/>
              </w:rPr>
            </w:pPr>
            <w:r>
              <w:rPr>
                <w:sz w:val="13"/>
                <w:szCs w:val="13"/>
                <w:spacing w:val="-4"/>
              </w:rPr>
              <w:t>成膜剂、甲基硫菌灵、防腐剂、促</w:t>
            </w:r>
            <w:r>
              <w:rPr>
                <w:sz w:val="13"/>
                <w:szCs w:val="13"/>
                <w:spacing w:val="13"/>
              </w:rPr>
              <w:t xml:space="preserve"> </w:t>
            </w:r>
            <w:r>
              <w:rPr>
                <w:sz w:val="13"/>
                <w:szCs w:val="13"/>
                <w:spacing w:val="3"/>
              </w:rPr>
              <w:t>生长物质</w:t>
            </w:r>
          </w:p>
        </w:tc>
        <w:tc>
          <w:tcPr>
            <w:tcW w:w="1369" w:type="dxa"/>
            <w:vAlign w:val="top"/>
          </w:tcPr>
          <w:p>
            <w:pPr>
              <w:pStyle w:val="TableText"/>
              <w:ind w:left="625" w:right="40" w:hanging="600"/>
              <w:spacing w:before="173" w:line="216" w:lineRule="auto"/>
              <w:rPr>
                <w:sz w:val="13"/>
                <w:szCs w:val="13"/>
              </w:rPr>
            </w:pPr>
            <w:r>
              <w:rPr>
                <w:sz w:val="13"/>
                <w:szCs w:val="13"/>
                <w:spacing w:val="-1"/>
              </w:rPr>
              <w:t>直接使用，可略加水稀</w:t>
            </w:r>
            <w:r>
              <w:rPr>
                <w:sz w:val="13"/>
                <w:szCs w:val="13"/>
                <w:spacing w:val="2"/>
              </w:rPr>
              <w:t xml:space="preserve"> </w:t>
            </w:r>
            <w:r>
              <w:rPr>
                <w:sz w:val="13"/>
                <w:szCs w:val="13"/>
              </w:rPr>
              <w:t>释</w:t>
            </w:r>
          </w:p>
        </w:tc>
        <w:tc>
          <w:tcPr>
            <w:tcW w:w="1289" w:type="dxa"/>
            <w:vAlign w:val="top"/>
            <w:vMerge w:val="restart"/>
            <w:tcBorders>
              <w:bottom w:val="nil"/>
            </w:tcBorders>
          </w:tcPr>
          <w:p>
            <w:pPr>
              <w:spacing w:line="437" w:lineRule="auto"/>
              <w:rPr>
                <w:rFonts w:ascii="Arial"/>
                <w:sz w:val="21"/>
              </w:rPr>
            </w:pPr>
            <w:r/>
          </w:p>
          <w:p>
            <w:pPr>
              <w:pStyle w:val="TableText"/>
              <w:ind w:left="574" w:hanging="558"/>
              <w:spacing w:before="42" w:line="233" w:lineRule="auto"/>
              <w:rPr>
                <w:sz w:val="13"/>
                <w:szCs w:val="13"/>
              </w:rPr>
            </w:pPr>
            <w:r>
              <w:rPr>
                <w:sz w:val="13"/>
                <w:szCs w:val="13"/>
                <w:spacing w:val="-4"/>
              </w:rPr>
              <w:t>乔木修剪后和树皮破捉</w:t>
            </w:r>
            <w:r>
              <w:rPr>
                <w:sz w:val="13"/>
                <w:szCs w:val="13"/>
                <w:spacing w:val="1"/>
              </w:rPr>
              <w:t xml:space="preserve"> </w:t>
            </w:r>
            <w:r>
              <w:rPr>
                <w:sz w:val="13"/>
                <w:szCs w:val="13"/>
              </w:rPr>
              <w:t>时</w:t>
            </w:r>
          </w:p>
        </w:tc>
        <w:tc>
          <w:tcPr>
            <w:tcW w:w="689" w:type="dxa"/>
            <w:vAlign w:val="top"/>
          </w:tcPr>
          <w:p>
            <w:pPr>
              <w:pStyle w:val="TableText"/>
              <w:ind w:left="236" w:right="169" w:hanging="90"/>
              <w:spacing w:before="169" w:line="237" w:lineRule="auto"/>
              <w:rPr>
                <w:sz w:val="13"/>
                <w:szCs w:val="13"/>
              </w:rPr>
            </w:pPr>
            <w:r>
              <w:rPr>
                <w:sz w:val="13"/>
                <w:szCs w:val="13"/>
                <w:spacing w:val="-5"/>
              </w:rPr>
              <w:t>(500g/</w:t>
            </w:r>
            <w:r>
              <w:rPr>
                <w:sz w:val="13"/>
                <w:szCs w:val="13"/>
                <w:spacing w:val="1"/>
              </w:rPr>
              <w:t xml:space="preserve"> </w:t>
            </w:r>
            <w:r>
              <w:rPr>
                <w:sz w:val="13"/>
                <w:szCs w:val="13"/>
                <w:spacing w:val="-3"/>
              </w:rPr>
              <w:t>瓶</w:t>
            </w:r>
            <w:r>
              <w:rPr>
                <w:sz w:val="13"/>
                <w:szCs w:val="13"/>
                <w:spacing w:val="-21"/>
              </w:rPr>
              <w:t xml:space="preserve"> </w:t>
            </w:r>
            <w:r>
              <w:rPr>
                <w:sz w:val="13"/>
                <w:szCs w:val="13"/>
                <w:spacing w:val="-3"/>
              </w:rPr>
              <w:t>)</w:t>
            </w:r>
          </w:p>
        </w:tc>
        <w:tc>
          <w:tcPr>
            <w:tcW w:w="2713" w:type="dxa"/>
            <w:vAlign w:val="top"/>
          </w:tcPr>
          <w:p>
            <w:pPr>
              <w:pStyle w:val="TableText"/>
              <w:ind w:left="18"/>
              <w:spacing w:before="252" w:line="219" w:lineRule="auto"/>
              <w:rPr>
                <w:sz w:val="13"/>
                <w:szCs w:val="13"/>
              </w:rPr>
            </w:pPr>
            <w:r>
              <w:rPr>
                <w:sz w:val="13"/>
                <w:szCs w:val="13"/>
                <w:spacing w:val="-1"/>
              </w:rPr>
              <w:t>促进伤口快速愈合，杀菌防腐</w:t>
            </w:r>
          </w:p>
        </w:tc>
      </w:tr>
      <w:tr>
        <w:trPr>
          <w:trHeight w:val="624" w:hRule="atLeast"/>
        </w:trPr>
        <w:tc>
          <w:tcPr>
            <w:tcW w:w="585" w:type="dxa"/>
            <w:vAlign w:val="top"/>
            <w:vMerge w:val="continue"/>
            <w:tcBorders>
              <w:top w:val="nil"/>
            </w:tcBorders>
          </w:tcPr>
          <w:p>
            <w:pPr>
              <w:rPr>
                <w:rFonts w:ascii="Arial"/>
                <w:sz w:val="21"/>
              </w:rPr>
            </w:pPr>
            <w:r/>
          </w:p>
        </w:tc>
        <w:tc>
          <w:tcPr>
            <w:tcW w:w="640" w:type="dxa"/>
            <w:vAlign w:val="top"/>
            <w:vMerge w:val="continue"/>
            <w:tcBorders>
              <w:top w:val="nil"/>
            </w:tcBorders>
          </w:tcPr>
          <w:p>
            <w:pPr>
              <w:rPr>
                <w:rFonts w:ascii="Arial"/>
                <w:sz w:val="21"/>
              </w:rPr>
            </w:pPr>
            <w:r/>
          </w:p>
        </w:tc>
        <w:tc>
          <w:tcPr>
            <w:tcW w:w="1009" w:type="dxa"/>
            <w:vAlign w:val="top"/>
            <w:vMerge w:val="continue"/>
            <w:tcBorders>
              <w:top w:val="nil"/>
            </w:tcBorders>
          </w:tcPr>
          <w:p>
            <w:pPr>
              <w:rPr>
                <w:rFonts w:ascii="Arial"/>
                <w:sz w:val="21"/>
              </w:rPr>
            </w:pPr>
            <w:r/>
          </w:p>
        </w:tc>
        <w:tc>
          <w:tcPr>
            <w:tcW w:w="2818" w:type="dxa"/>
            <w:vAlign w:val="top"/>
            <w:vMerge w:val="continue"/>
            <w:tcBorders>
              <w:top w:val="nil"/>
            </w:tcBorders>
          </w:tcPr>
          <w:p>
            <w:pPr>
              <w:rPr>
                <w:rFonts w:ascii="Arial"/>
                <w:sz w:val="21"/>
              </w:rPr>
            </w:pPr>
            <w:r/>
          </w:p>
        </w:tc>
        <w:tc>
          <w:tcPr>
            <w:tcW w:w="949" w:type="dxa"/>
            <w:vAlign w:val="top"/>
          </w:tcPr>
          <w:p>
            <w:pPr>
              <w:pStyle w:val="TableText"/>
              <w:ind w:left="143"/>
              <w:spacing w:before="253" w:line="219" w:lineRule="auto"/>
              <w:rPr>
                <w:sz w:val="13"/>
                <w:szCs w:val="13"/>
              </w:rPr>
            </w:pPr>
            <w:r>
              <w:rPr>
                <w:sz w:val="13"/>
                <w:szCs w:val="13"/>
                <w:spacing w:val="1"/>
              </w:rPr>
              <w:t>中威愈伤膏</w:t>
            </w:r>
          </w:p>
        </w:tc>
        <w:tc>
          <w:tcPr>
            <w:tcW w:w="1929" w:type="dxa"/>
            <w:vAlign w:val="top"/>
          </w:tcPr>
          <w:p>
            <w:pPr>
              <w:pStyle w:val="TableText"/>
              <w:ind w:left="504"/>
              <w:spacing w:before="253" w:line="219" w:lineRule="auto"/>
              <w:rPr>
                <w:sz w:val="13"/>
                <w:szCs w:val="13"/>
              </w:rPr>
            </w:pPr>
            <w:r>
              <w:rPr>
                <w:sz w:val="13"/>
                <w:szCs w:val="13"/>
                <w:spacing w:val="-1"/>
              </w:rPr>
              <w:t>有机质、杀菌剂</w:t>
            </w:r>
          </w:p>
        </w:tc>
        <w:tc>
          <w:tcPr>
            <w:tcW w:w="1369" w:type="dxa"/>
            <w:vAlign w:val="top"/>
          </w:tcPr>
          <w:p>
            <w:pPr>
              <w:pStyle w:val="TableText"/>
              <w:ind w:left="625" w:right="40" w:hanging="600"/>
              <w:spacing w:before="184" w:line="216" w:lineRule="auto"/>
              <w:rPr>
                <w:sz w:val="13"/>
                <w:szCs w:val="13"/>
              </w:rPr>
            </w:pPr>
            <w:r>
              <w:rPr>
                <w:sz w:val="13"/>
                <w:szCs w:val="13"/>
                <w:spacing w:val="-1"/>
              </w:rPr>
              <w:t>直接使用，可略加水稀</w:t>
            </w:r>
            <w:r>
              <w:rPr>
                <w:sz w:val="13"/>
                <w:szCs w:val="13"/>
                <w:spacing w:val="2"/>
              </w:rPr>
              <w:t xml:space="preserve"> </w:t>
            </w:r>
            <w:r>
              <w:rPr>
                <w:sz w:val="13"/>
                <w:szCs w:val="13"/>
              </w:rPr>
              <w:t>释</w:t>
            </w:r>
          </w:p>
        </w:tc>
        <w:tc>
          <w:tcPr>
            <w:tcW w:w="1289" w:type="dxa"/>
            <w:vAlign w:val="top"/>
            <w:vMerge w:val="continue"/>
            <w:tcBorders>
              <w:top w:val="nil"/>
            </w:tcBorders>
          </w:tcPr>
          <w:p>
            <w:pPr>
              <w:rPr>
                <w:rFonts w:ascii="Arial"/>
                <w:sz w:val="21"/>
              </w:rPr>
            </w:pPr>
            <w:r/>
          </w:p>
        </w:tc>
        <w:tc>
          <w:tcPr>
            <w:tcW w:w="689" w:type="dxa"/>
            <w:vAlign w:val="top"/>
          </w:tcPr>
          <w:p>
            <w:pPr>
              <w:pStyle w:val="TableText"/>
              <w:ind w:left="236" w:right="169" w:hanging="90"/>
              <w:spacing w:before="170" w:line="237" w:lineRule="auto"/>
              <w:rPr>
                <w:sz w:val="13"/>
                <w:szCs w:val="13"/>
              </w:rPr>
            </w:pPr>
            <w:r>
              <w:rPr>
                <w:sz w:val="13"/>
                <w:szCs w:val="13"/>
                <w:spacing w:val="-5"/>
              </w:rPr>
              <w:t>(500g/</w:t>
            </w:r>
            <w:r>
              <w:rPr>
                <w:sz w:val="13"/>
                <w:szCs w:val="13"/>
                <w:spacing w:val="1"/>
              </w:rPr>
              <w:t xml:space="preserve"> </w:t>
            </w:r>
            <w:r>
              <w:rPr>
                <w:sz w:val="13"/>
                <w:szCs w:val="13"/>
                <w:spacing w:val="-3"/>
              </w:rPr>
              <w:t>瓶</w:t>
            </w:r>
            <w:r>
              <w:rPr>
                <w:sz w:val="13"/>
                <w:szCs w:val="13"/>
                <w:spacing w:val="-21"/>
              </w:rPr>
              <w:t xml:space="preserve"> </w:t>
            </w:r>
            <w:r>
              <w:rPr>
                <w:sz w:val="13"/>
                <w:szCs w:val="13"/>
                <w:spacing w:val="-3"/>
              </w:rPr>
              <w:t>)</w:t>
            </w:r>
          </w:p>
        </w:tc>
        <w:tc>
          <w:tcPr>
            <w:tcW w:w="2713" w:type="dxa"/>
            <w:vAlign w:val="top"/>
          </w:tcPr>
          <w:p>
            <w:pPr>
              <w:pStyle w:val="TableText"/>
              <w:ind w:left="18"/>
              <w:spacing w:before="183" w:line="232" w:lineRule="auto"/>
              <w:rPr>
                <w:sz w:val="13"/>
                <w:szCs w:val="13"/>
              </w:rPr>
            </w:pPr>
            <w:r>
              <w:rPr>
                <w:sz w:val="13"/>
                <w:szCs w:val="13"/>
                <w:spacing w:val="-9"/>
              </w:rPr>
              <w:t>适</w:t>
            </w:r>
            <w:r>
              <w:rPr>
                <w:sz w:val="13"/>
                <w:szCs w:val="13"/>
                <w:spacing w:val="-8"/>
              </w:rPr>
              <w:t>用树木移栽时切口及根部处理：病害伤口、树</w:t>
            </w:r>
            <w:r>
              <w:rPr>
                <w:sz w:val="13"/>
                <w:szCs w:val="13"/>
                <w:spacing w:val="-7"/>
              </w:rPr>
              <w:t>皮</w:t>
            </w:r>
            <w:r>
              <w:rPr>
                <w:sz w:val="13"/>
                <w:szCs w:val="13"/>
              </w:rPr>
              <w:t xml:space="preserve"> </w:t>
            </w:r>
            <w:r>
              <w:rPr>
                <w:sz w:val="13"/>
                <w:szCs w:val="13"/>
                <w:spacing w:val="-1"/>
              </w:rPr>
              <w:t>损失处理</w:t>
            </w:r>
          </w:p>
        </w:tc>
      </w:tr>
    </w:tbl>
    <w:p>
      <w:pPr>
        <w:rPr>
          <w:rFonts w:ascii="Arial"/>
          <w:sz w:val="21"/>
        </w:rPr>
      </w:pPr>
      <w:r/>
    </w:p>
    <w:p>
      <w:pPr>
        <w:sectPr>
          <w:pgSz w:w="14490" w:h="10240"/>
          <w:pgMar w:top="134" w:right="264" w:bottom="400" w:left="224" w:header="0" w:footer="0" w:gutter="0"/>
        </w:sectPr>
        <w:rPr>
          <w:rFonts w:ascii="Arial" w:hAnsi="Arial" w:eastAsia="Arial" w:cs="Arial"/>
          <w:sz w:val="21"/>
          <w:szCs w:val="21"/>
        </w:rPr>
      </w:pPr>
    </w:p>
    <w:tbl>
      <w:tblPr>
        <w:tblStyle w:val="TableNormal"/>
        <w:tblW w:w="139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5"/>
        <w:gridCol w:w="510"/>
        <w:gridCol w:w="949"/>
        <w:gridCol w:w="2918"/>
        <w:gridCol w:w="1199"/>
        <w:gridCol w:w="1829"/>
        <w:gridCol w:w="1599"/>
        <w:gridCol w:w="1329"/>
        <w:gridCol w:w="689"/>
        <w:gridCol w:w="2553"/>
      </w:tblGrid>
      <w:tr>
        <w:trPr>
          <w:trHeight w:val="579" w:hRule="atLeast"/>
        </w:trPr>
        <w:tc>
          <w:tcPr>
            <w:tcW w:w="13960" w:type="dxa"/>
            <w:vAlign w:val="top"/>
            <w:gridSpan w:val="10"/>
            <w:tcBorders>
              <w:bottom w:val="single" w:color="000000" w:sz="2" w:space="0"/>
              <w:top w:val="single" w:color="000000" w:sz="2" w:space="0"/>
            </w:tcBorders>
          </w:tcPr>
          <w:p>
            <w:pPr>
              <w:pStyle w:val="TableText"/>
              <w:ind w:left="5936"/>
              <w:spacing w:before="162" w:line="218" w:lineRule="auto"/>
              <w:rPr>
                <w:sz w:val="11"/>
                <w:szCs w:val="11"/>
              </w:rPr>
            </w:pPr>
            <w:r>
              <w:rPr>
                <w:sz w:val="11"/>
                <w:szCs w:val="11"/>
                <w:b/>
                <w:bCs/>
                <w:spacing w:val="22"/>
              </w:rPr>
              <w:t>重庆</w:t>
            </w:r>
            <w:r>
              <w:rPr>
                <w:sz w:val="11"/>
                <w:szCs w:val="11"/>
              </w:rPr>
              <w:t xml:space="preserve"> </w:t>
            </w:r>
            <w:r>
              <w:rPr>
                <w:sz w:val="11"/>
                <w:szCs w:val="11"/>
                <w:b/>
                <w:bCs/>
                <w:spacing w:val="22"/>
              </w:rPr>
              <w:t>、</w:t>
            </w:r>
            <w:r>
              <w:rPr>
                <w:sz w:val="11"/>
                <w:szCs w:val="11"/>
                <w:spacing w:val="-18"/>
              </w:rPr>
              <w:t xml:space="preserve"> </w:t>
            </w:r>
            <w:r>
              <w:rPr>
                <w:sz w:val="11"/>
                <w:szCs w:val="11"/>
                <w:b/>
                <w:bCs/>
                <w:spacing w:val="22"/>
              </w:rPr>
              <w:t>贵阳地区农药肥料使用指导</w:t>
            </w:r>
          </w:p>
          <w:p>
            <w:pPr>
              <w:pStyle w:val="TableText"/>
              <w:ind w:left="4916"/>
              <w:spacing w:before="18" w:line="218" w:lineRule="auto"/>
              <w:rPr>
                <w:sz w:val="11"/>
                <w:szCs w:val="11"/>
              </w:rPr>
            </w:pPr>
            <w:r>
              <w:rPr>
                <w:sz w:val="11"/>
                <w:szCs w:val="11"/>
                <w:b/>
                <w:bCs/>
                <w:spacing w:val="-1"/>
              </w:rPr>
              <w:t>(本表中两品供参考，如有同类且成分相同、价格合理、低毒高效的药品，可选择使用</w:t>
            </w:r>
            <w:r>
              <w:rPr>
                <w:sz w:val="11"/>
                <w:szCs w:val="11"/>
                <w:spacing w:val="-1"/>
              </w:rPr>
              <w:t>)</w:t>
            </w:r>
          </w:p>
        </w:tc>
      </w:tr>
      <w:tr>
        <w:trPr>
          <w:trHeight w:val="464" w:hRule="atLeast"/>
        </w:trPr>
        <w:tc>
          <w:tcPr>
            <w:tcW w:w="385" w:type="dxa"/>
            <w:vAlign w:val="top"/>
            <w:tcBorders>
              <w:bottom w:val="single" w:color="000000" w:sz="2" w:space="0"/>
              <w:top w:val="single" w:color="000000" w:sz="2" w:space="0"/>
            </w:tcBorders>
          </w:tcPr>
          <w:p>
            <w:pPr>
              <w:pStyle w:val="TableText"/>
              <w:ind w:left="76"/>
              <w:spacing w:before="178" w:line="219" w:lineRule="auto"/>
              <w:rPr>
                <w:sz w:val="11"/>
                <w:szCs w:val="11"/>
              </w:rPr>
            </w:pPr>
            <w:r>
              <w:rPr>
                <w:sz w:val="11"/>
                <w:szCs w:val="11"/>
                <w:b/>
                <w:bCs/>
                <w:spacing w:val="-3"/>
              </w:rPr>
              <w:t>分类</w:t>
            </w:r>
          </w:p>
        </w:tc>
        <w:tc>
          <w:tcPr>
            <w:tcW w:w="510" w:type="dxa"/>
            <w:vAlign w:val="top"/>
            <w:tcBorders>
              <w:bottom w:val="single" w:color="000000" w:sz="2" w:space="0"/>
              <w:top w:val="single" w:color="000000" w:sz="2" w:space="0"/>
            </w:tcBorders>
          </w:tcPr>
          <w:p>
            <w:pPr>
              <w:pStyle w:val="TableText"/>
              <w:ind w:left="21"/>
              <w:spacing w:before="47" w:line="219" w:lineRule="auto"/>
              <w:rPr>
                <w:sz w:val="11"/>
                <w:szCs w:val="11"/>
              </w:rPr>
            </w:pPr>
            <w:r>
              <w:rPr>
                <w:sz w:val="11"/>
                <w:szCs w:val="11"/>
                <w:b/>
                <w:bCs/>
                <w:spacing w:val="-3"/>
              </w:rPr>
              <w:t>消杀预防</w:t>
            </w:r>
          </w:p>
          <w:p>
            <w:pPr>
              <w:pStyle w:val="TableText"/>
              <w:ind w:left="120" w:right="42" w:hanging="99"/>
              <w:spacing w:line="209" w:lineRule="auto"/>
              <w:rPr>
                <w:sz w:val="11"/>
                <w:szCs w:val="11"/>
              </w:rPr>
            </w:pPr>
            <w:r>
              <w:rPr>
                <w:sz w:val="11"/>
                <w:szCs w:val="11"/>
                <w:b/>
                <w:bCs/>
                <w:spacing w:val="-3"/>
              </w:rPr>
              <w:t>及病虫害</w:t>
            </w:r>
            <w:r>
              <w:rPr>
                <w:sz w:val="11"/>
                <w:szCs w:val="11"/>
                <w:spacing w:val="2"/>
              </w:rPr>
              <w:t xml:space="preserve"> </w:t>
            </w:r>
            <w:r>
              <w:rPr>
                <w:sz w:val="11"/>
                <w:szCs w:val="11"/>
                <w:b/>
                <w:bCs/>
                <w:spacing w:val="-3"/>
              </w:rPr>
              <w:t>分类</w:t>
            </w:r>
          </w:p>
        </w:tc>
        <w:tc>
          <w:tcPr>
            <w:tcW w:w="949" w:type="dxa"/>
            <w:vAlign w:val="top"/>
            <w:tcBorders>
              <w:bottom w:val="single" w:color="000000" w:sz="2" w:space="0"/>
              <w:top w:val="single" w:color="000000" w:sz="2" w:space="0"/>
            </w:tcBorders>
          </w:tcPr>
          <w:p>
            <w:pPr>
              <w:pStyle w:val="TableText"/>
              <w:ind w:left="191"/>
              <w:spacing w:before="178" w:line="219" w:lineRule="auto"/>
              <w:rPr>
                <w:sz w:val="11"/>
                <w:szCs w:val="11"/>
              </w:rPr>
            </w:pPr>
            <w:r>
              <w:rPr>
                <w:sz w:val="11"/>
                <w:szCs w:val="11"/>
                <w:b/>
                <w:bCs/>
                <w:spacing w:val="-3"/>
              </w:rPr>
              <w:t>常见病虫害</w:t>
            </w:r>
          </w:p>
        </w:tc>
        <w:tc>
          <w:tcPr>
            <w:tcW w:w="2918" w:type="dxa"/>
            <w:vAlign w:val="top"/>
            <w:tcBorders>
              <w:bottom w:val="single" w:color="000000" w:sz="2" w:space="0"/>
              <w:top w:val="single" w:color="000000" w:sz="2" w:space="0"/>
            </w:tcBorders>
          </w:tcPr>
          <w:p>
            <w:pPr>
              <w:pStyle w:val="TableText"/>
              <w:ind w:left="1132"/>
              <w:spacing w:before="178" w:line="219" w:lineRule="auto"/>
              <w:rPr>
                <w:sz w:val="11"/>
                <w:szCs w:val="11"/>
              </w:rPr>
            </w:pPr>
            <w:r>
              <w:rPr>
                <w:sz w:val="11"/>
                <w:szCs w:val="11"/>
                <w:b/>
                <w:bCs/>
                <w:spacing w:val="-2"/>
              </w:rPr>
              <w:t>主要发病月份</w:t>
            </w:r>
          </w:p>
        </w:tc>
        <w:tc>
          <w:tcPr>
            <w:tcW w:w="1199" w:type="dxa"/>
            <w:vAlign w:val="top"/>
            <w:tcBorders>
              <w:bottom w:val="single" w:color="000000" w:sz="2" w:space="0"/>
              <w:top w:val="single" w:color="000000" w:sz="2" w:space="0"/>
            </w:tcBorders>
          </w:tcPr>
          <w:p>
            <w:pPr>
              <w:pStyle w:val="TableText"/>
              <w:ind w:left="374"/>
              <w:spacing w:before="178" w:line="220" w:lineRule="auto"/>
              <w:rPr>
                <w:sz w:val="11"/>
                <w:szCs w:val="11"/>
              </w:rPr>
            </w:pPr>
            <w:r>
              <w:rPr>
                <w:sz w:val="11"/>
                <w:szCs w:val="11"/>
                <w:b/>
                <w:bCs/>
                <w:spacing w:val="-3"/>
              </w:rPr>
              <w:t>药品名称</w:t>
            </w:r>
          </w:p>
        </w:tc>
        <w:tc>
          <w:tcPr>
            <w:tcW w:w="1829" w:type="dxa"/>
            <w:vAlign w:val="top"/>
            <w:tcBorders>
              <w:bottom w:val="single" w:color="000000" w:sz="2" w:space="0"/>
              <w:top w:val="single" w:color="000000" w:sz="2" w:space="0"/>
            </w:tcBorders>
          </w:tcPr>
          <w:p>
            <w:pPr>
              <w:pStyle w:val="TableText"/>
              <w:ind w:left="685"/>
              <w:spacing w:before="178" w:line="220" w:lineRule="auto"/>
              <w:rPr>
                <w:sz w:val="11"/>
                <w:szCs w:val="11"/>
              </w:rPr>
            </w:pPr>
            <w:r>
              <w:rPr>
                <w:sz w:val="11"/>
                <w:szCs w:val="11"/>
                <w:b/>
                <w:bCs/>
                <w:spacing w:val="-3"/>
              </w:rPr>
              <w:t>主要成分</w:t>
            </w:r>
          </w:p>
        </w:tc>
        <w:tc>
          <w:tcPr>
            <w:tcW w:w="1599" w:type="dxa"/>
            <w:vAlign w:val="top"/>
            <w:tcBorders>
              <w:bottom w:val="single" w:color="000000" w:sz="2" w:space="0"/>
              <w:top w:val="single" w:color="000000" w:sz="2" w:space="0"/>
            </w:tcBorders>
          </w:tcPr>
          <w:p>
            <w:pPr>
              <w:pStyle w:val="TableText"/>
              <w:ind w:left="576"/>
              <w:spacing w:before="178" w:line="219" w:lineRule="auto"/>
              <w:rPr>
                <w:sz w:val="11"/>
                <w:szCs w:val="11"/>
              </w:rPr>
            </w:pPr>
            <w:r>
              <w:rPr>
                <w:sz w:val="11"/>
                <w:szCs w:val="11"/>
                <w:b/>
                <w:bCs/>
                <w:spacing w:val="-3"/>
              </w:rPr>
              <w:t>使用倍率</w:t>
            </w:r>
          </w:p>
        </w:tc>
        <w:tc>
          <w:tcPr>
            <w:tcW w:w="1329" w:type="dxa"/>
            <w:vAlign w:val="top"/>
            <w:tcBorders>
              <w:bottom w:val="single" w:color="000000" w:sz="2" w:space="0"/>
              <w:top w:val="single" w:color="000000" w:sz="2" w:space="0"/>
            </w:tcBorders>
          </w:tcPr>
          <w:p>
            <w:pPr>
              <w:pStyle w:val="TableText"/>
              <w:ind w:left="437"/>
              <w:spacing w:before="178" w:line="219" w:lineRule="auto"/>
              <w:rPr>
                <w:sz w:val="11"/>
                <w:szCs w:val="11"/>
              </w:rPr>
            </w:pPr>
            <w:r>
              <w:rPr>
                <w:sz w:val="11"/>
                <w:szCs w:val="11"/>
                <w:b/>
                <w:bCs/>
                <w:spacing w:val="-2"/>
              </w:rPr>
              <w:t>施用次数</w:t>
            </w:r>
          </w:p>
        </w:tc>
        <w:tc>
          <w:tcPr>
            <w:tcW w:w="689" w:type="dxa"/>
            <w:vAlign w:val="top"/>
            <w:tcBorders>
              <w:bottom w:val="single" w:color="000000" w:sz="2" w:space="0"/>
              <w:top w:val="single" w:color="000000" w:sz="2" w:space="0"/>
            </w:tcBorders>
          </w:tcPr>
          <w:p>
            <w:pPr>
              <w:pStyle w:val="TableText"/>
              <w:ind w:left="228"/>
              <w:spacing w:before="178" w:line="219" w:lineRule="auto"/>
              <w:rPr>
                <w:sz w:val="11"/>
                <w:szCs w:val="11"/>
              </w:rPr>
            </w:pPr>
            <w:r>
              <w:rPr>
                <w:sz w:val="11"/>
                <w:szCs w:val="11"/>
                <w:b/>
                <w:bCs/>
                <w:spacing w:val="-3"/>
              </w:rPr>
              <w:t>规格</w:t>
            </w:r>
          </w:p>
        </w:tc>
        <w:tc>
          <w:tcPr>
            <w:tcW w:w="2553" w:type="dxa"/>
            <w:vAlign w:val="top"/>
            <w:tcBorders>
              <w:bottom w:val="single" w:color="000000" w:sz="2" w:space="0"/>
              <w:top w:val="single" w:color="000000" w:sz="2" w:space="0"/>
            </w:tcBorders>
          </w:tcPr>
          <w:p>
            <w:pPr>
              <w:pStyle w:val="TableText"/>
              <w:ind w:left="1169"/>
              <w:spacing w:before="178" w:line="221" w:lineRule="auto"/>
              <w:rPr>
                <w:sz w:val="11"/>
                <w:szCs w:val="11"/>
              </w:rPr>
            </w:pPr>
            <w:r>
              <w:rPr>
                <w:sz w:val="11"/>
                <w:szCs w:val="11"/>
                <w:b/>
                <w:bCs/>
                <w:spacing w:val="-3"/>
              </w:rPr>
              <w:t>备注</w:t>
            </w:r>
          </w:p>
        </w:tc>
      </w:tr>
      <w:tr>
        <w:trPr>
          <w:trHeight w:val="444" w:hRule="atLeast"/>
        </w:trPr>
        <w:tc>
          <w:tcPr>
            <w:tcW w:w="385" w:type="dxa"/>
            <w:vAlign w:val="top"/>
            <w:vMerge w:val="restart"/>
            <w:tcBorders>
              <w:bottom w:val="nil"/>
              <w:top w:val="single" w:color="000000" w:sz="2" w:space="0"/>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4"/>
              <w:spacing w:before="35" w:line="219" w:lineRule="auto"/>
              <w:rPr>
                <w:sz w:val="11"/>
                <w:szCs w:val="11"/>
              </w:rPr>
            </w:pPr>
            <w:r>
              <w:rPr>
                <w:sz w:val="11"/>
                <w:szCs w:val="11"/>
                <w:spacing w:val="-2"/>
              </w:rPr>
              <w:t>桑面刺</w:t>
            </w:r>
          </w:p>
        </w:tc>
        <w:tc>
          <w:tcPr>
            <w:tcW w:w="510" w:type="dxa"/>
            <w:vAlign w:val="top"/>
            <w:vMerge w:val="restart"/>
            <w:tcBorders>
              <w:bottom w:val="nil"/>
              <w:top w:val="single" w:color="000000" w:sz="2" w:space="0"/>
            </w:tcBorders>
          </w:tcPr>
          <w:p>
            <w:pPr>
              <w:spacing w:line="290" w:lineRule="auto"/>
              <w:rPr>
                <w:rFonts w:ascii="Arial"/>
                <w:sz w:val="21"/>
              </w:rPr>
            </w:pPr>
            <w:r/>
          </w:p>
          <w:p>
            <w:pPr>
              <w:spacing w:line="290" w:lineRule="auto"/>
              <w:rPr>
                <w:rFonts w:ascii="Arial"/>
                <w:sz w:val="21"/>
              </w:rPr>
            </w:pPr>
            <w:r/>
          </w:p>
          <w:p>
            <w:pPr>
              <w:pStyle w:val="TableText"/>
              <w:ind w:left="20"/>
              <w:spacing w:before="35" w:line="219" w:lineRule="auto"/>
              <w:rPr>
                <w:sz w:val="11"/>
                <w:szCs w:val="11"/>
              </w:rPr>
            </w:pPr>
            <w:r>
              <w:rPr>
                <w:sz w:val="11"/>
                <w:szCs w:val="11"/>
                <w:spacing w:val="-2"/>
              </w:rPr>
              <w:t>消杀预防</w:t>
            </w:r>
          </w:p>
        </w:tc>
        <w:tc>
          <w:tcPr>
            <w:tcW w:w="949" w:type="dxa"/>
            <w:vAlign w:val="top"/>
            <w:vMerge w:val="restart"/>
            <w:tcBorders>
              <w:bottom w:val="nil"/>
              <w:top w:val="single" w:color="000000" w:sz="2" w:space="0"/>
            </w:tcBorders>
          </w:tcPr>
          <w:p>
            <w:pPr>
              <w:spacing w:line="290" w:lineRule="auto"/>
              <w:rPr>
                <w:rFonts w:ascii="Arial"/>
                <w:sz w:val="21"/>
              </w:rPr>
            </w:pPr>
            <w:r/>
          </w:p>
          <w:p>
            <w:pPr>
              <w:spacing w:line="290" w:lineRule="auto"/>
              <w:rPr>
                <w:rFonts w:ascii="Arial"/>
                <w:sz w:val="21"/>
              </w:rPr>
            </w:pPr>
            <w:r/>
          </w:p>
          <w:p>
            <w:pPr>
              <w:pStyle w:val="TableText"/>
              <w:ind w:left="240"/>
              <w:spacing w:before="36" w:line="220" w:lineRule="auto"/>
              <w:rPr>
                <w:sz w:val="11"/>
                <w:szCs w:val="11"/>
              </w:rPr>
            </w:pPr>
            <w:r>
              <w:rPr>
                <w:sz w:val="11"/>
                <w:szCs w:val="11"/>
                <w:spacing w:val="-1"/>
              </w:rPr>
              <w:t>预防为主</w:t>
            </w:r>
          </w:p>
        </w:tc>
        <w:tc>
          <w:tcPr>
            <w:tcW w:w="2918" w:type="dxa"/>
            <w:vAlign w:val="top"/>
            <w:vMerge w:val="restart"/>
            <w:tcBorders>
              <w:bottom w:val="nil"/>
              <w:top w:val="single" w:color="000000" w:sz="2" w:space="0"/>
            </w:tcBorders>
          </w:tcPr>
          <w:p>
            <w:pPr>
              <w:spacing w:line="391" w:lineRule="auto"/>
              <w:rPr>
                <w:rFonts w:ascii="Arial"/>
                <w:sz w:val="21"/>
              </w:rPr>
            </w:pPr>
            <w:r/>
          </w:p>
          <w:p>
            <w:pPr>
              <w:pStyle w:val="TableText"/>
              <w:ind w:left="11" w:right="6"/>
              <w:spacing w:before="36" w:line="227" w:lineRule="auto"/>
              <w:rPr>
                <w:sz w:val="11"/>
                <w:szCs w:val="11"/>
              </w:rPr>
            </w:pPr>
            <w:r>
              <w:rPr>
                <w:sz w:val="11"/>
                <w:szCs w:val="11"/>
                <w:spacing w:val="-7"/>
              </w:rPr>
              <w:t>一、加强国区卫生管理，结合冬季修剪，清除病残枝。枯枝、落</w:t>
            </w:r>
            <w:r>
              <w:rPr>
                <w:sz w:val="11"/>
                <w:szCs w:val="11"/>
                <w:spacing w:val="5"/>
              </w:rPr>
              <w:t xml:space="preserve"> </w:t>
            </w:r>
            <w:r>
              <w:rPr>
                <w:sz w:val="11"/>
                <w:szCs w:val="11"/>
                <w:spacing w:val="-1"/>
              </w:rPr>
              <w:t>叶、烂头框及杂草等：</w:t>
            </w:r>
          </w:p>
          <w:p>
            <w:pPr>
              <w:pStyle w:val="TableText"/>
              <w:ind w:left="11"/>
              <w:spacing w:before="8" w:line="202" w:lineRule="auto"/>
              <w:rPr>
                <w:sz w:val="11"/>
                <w:szCs w:val="11"/>
              </w:rPr>
            </w:pPr>
            <w:r>
              <w:rPr>
                <w:sz w:val="11"/>
                <w:szCs w:val="11"/>
                <w:spacing w:val="-1"/>
              </w:rPr>
              <w:t>三，冬季彻底清扫落叶集中烧毁或深埋清灭越冬躺：</w:t>
            </w:r>
          </w:p>
          <w:p>
            <w:pPr>
              <w:pStyle w:val="TableText"/>
              <w:ind w:left="11"/>
              <w:spacing w:line="219" w:lineRule="auto"/>
              <w:rPr>
                <w:sz w:val="11"/>
                <w:szCs w:val="11"/>
              </w:rPr>
            </w:pPr>
            <w:r>
              <w:rPr>
                <w:sz w:val="11"/>
                <w:szCs w:val="11"/>
                <w:spacing w:val="-1"/>
              </w:rPr>
              <w:t>三，2-3月气温回升时全园区消1-2次</w:t>
            </w:r>
          </w:p>
        </w:tc>
        <w:tc>
          <w:tcPr>
            <w:tcW w:w="1199" w:type="dxa"/>
            <w:vAlign w:val="top"/>
            <w:tcBorders>
              <w:bottom w:val="single" w:color="000000" w:sz="2" w:space="0"/>
              <w:top w:val="single" w:color="000000" w:sz="2" w:space="0"/>
            </w:tcBorders>
          </w:tcPr>
          <w:p>
            <w:pPr>
              <w:pStyle w:val="TableText"/>
              <w:ind w:left="263"/>
              <w:spacing w:before="170" w:line="219" w:lineRule="auto"/>
              <w:rPr>
                <w:sz w:val="11"/>
                <w:szCs w:val="11"/>
              </w:rPr>
            </w:pPr>
            <w:r>
              <w:rPr>
                <w:sz w:val="11"/>
                <w:szCs w:val="11"/>
                <w:spacing w:val="1"/>
              </w:rPr>
              <w:t>晶体石硫合刻</w:t>
            </w:r>
          </w:p>
        </w:tc>
        <w:tc>
          <w:tcPr>
            <w:tcW w:w="1829" w:type="dxa"/>
            <w:vAlign w:val="top"/>
            <w:tcBorders>
              <w:bottom w:val="single" w:color="000000" w:sz="2" w:space="0"/>
              <w:top w:val="single" w:color="000000" w:sz="2" w:space="0"/>
            </w:tcBorders>
          </w:tcPr>
          <w:p>
            <w:pPr>
              <w:pStyle w:val="TableText"/>
              <w:ind w:left="684"/>
              <w:spacing w:before="170" w:line="221" w:lineRule="auto"/>
              <w:rPr>
                <w:sz w:val="11"/>
                <w:szCs w:val="11"/>
              </w:rPr>
            </w:pPr>
            <w:r>
              <w:rPr>
                <w:sz w:val="11"/>
                <w:szCs w:val="11"/>
                <w:spacing w:val="-2"/>
              </w:rPr>
              <w:t>多硫化钙</w:t>
            </w:r>
          </w:p>
        </w:tc>
        <w:tc>
          <w:tcPr>
            <w:tcW w:w="1599" w:type="dxa"/>
            <w:vAlign w:val="top"/>
            <w:tcBorders>
              <w:bottom w:val="single" w:color="000000" w:sz="2" w:space="0"/>
              <w:top w:val="single" w:color="000000" w:sz="2" w:space="0"/>
            </w:tcBorders>
          </w:tcPr>
          <w:p>
            <w:pPr>
              <w:pStyle w:val="TableText"/>
              <w:ind w:left="515"/>
              <w:spacing w:before="170" w:line="220" w:lineRule="auto"/>
              <w:rPr>
                <w:sz w:val="11"/>
                <w:szCs w:val="11"/>
              </w:rPr>
            </w:pPr>
            <w:r>
              <w:rPr>
                <w:sz w:val="11"/>
                <w:szCs w:val="11"/>
                <w:spacing w:val="-5"/>
              </w:rPr>
              <w:t>400—1000倍</w:t>
            </w:r>
          </w:p>
        </w:tc>
        <w:tc>
          <w:tcPr>
            <w:tcW w:w="1329" w:type="dxa"/>
            <w:vAlign w:val="top"/>
            <w:vMerge w:val="restart"/>
            <w:tcBorders>
              <w:bottom w:val="nil"/>
              <w:top w:val="single" w:color="000000" w:sz="2" w:space="0"/>
            </w:tcBorders>
          </w:tcPr>
          <w:p>
            <w:pPr>
              <w:rPr>
                <w:rFonts w:ascii="Arial"/>
                <w:sz w:val="21"/>
              </w:rPr>
            </w:pPr>
            <w:r/>
          </w:p>
        </w:tc>
        <w:tc>
          <w:tcPr>
            <w:tcW w:w="689" w:type="dxa"/>
            <w:vAlign w:val="top"/>
            <w:tcBorders>
              <w:bottom w:val="single" w:color="000000" w:sz="2" w:space="0"/>
              <w:top w:val="single" w:color="000000" w:sz="2" w:space="0"/>
            </w:tcBorders>
          </w:tcPr>
          <w:p>
            <w:pPr>
              <w:pStyle w:val="TableText"/>
              <w:ind w:left="147"/>
              <w:spacing w:before="166" w:line="213" w:lineRule="auto"/>
              <w:rPr>
                <w:sz w:val="11"/>
                <w:szCs w:val="11"/>
              </w:rPr>
            </w:pPr>
            <w:r>
              <w:rPr>
                <w:sz w:val="11"/>
                <w:szCs w:val="11"/>
                <w:spacing w:val="-1"/>
              </w:rPr>
              <w:t>4D0g/袋</w:t>
            </w:r>
          </w:p>
        </w:tc>
        <w:tc>
          <w:tcPr>
            <w:tcW w:w="2553" w:type="dxa"/>
            <w:vAlign w:val="top"/>
            <w:tcBorders>
              <w:bottom w:val="single" w:color="000000" w:sz="2" w:space="0"/>
              <w:top w:val="single" w:color="000000" w:sz="2" w:space="0"/>
            </w:tcBorders>
          </w:tcPr>
          <w:p>
            <w:pPr>
              <w:pStyle w:val="TableText"/>
              <w:ind w:left="17"/>
              <w:spacing w:before="128" w:line="211" w:lineRule="auto"/>
              <w:rPr>
                <w:sz w:val="11"/>
                <w:szCs w:val="11"/>
              </w:rPr>
            </w:pPr>
            <w:r>
              <w:rPr>
                <w:sz w:val="11"/>
                <w:szCs w:val="11"/>
                <w:spacing w:val="-5"/>
              </w:rPr>
              <w:t>价格低廉、效果好、对多种病南具有摔柔作用，园区消</w:t>
            </w:r>
            <w:r>
              <w:rPr>
                <w:sz w:val="11"/>
                <w:szCs w:val="11"/>
                <w:spacing w:val="3"/>
              </w:rPr>
              <w:t xml:space="preserve"> </w:t>
            </w:r>
            <w:r>
              <w:rPr>
                <w:sz w:val="11"/>
                <w:szCs w:val="11"/>
                <w:spacing w:val="-2"/>
              </w:rPr>
              <w:t>柔使用</w:t>
            </w:r>
          </w:p>
        </w:tc>
      </w:tr>
      <w:tr>
        <w:trPr>
          <w:trHeight w:val="44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73"/>
              <w:spacing w:before="170" w:line="220" w:lineRule="auto"/>
              <w:rPr>
                <w:sz w:val="11"/>
                <w:szCs w:val="11"/>
              </w:rPr>
            </w:pPr>
            <w:r>
              <w:rPr>
                <w:sz w:val="11"/>
                <w:szCs w:val="11"/>
                <w:spacing w:val="-1"/>
              </w:rPr>
              <w:t>波尔多液</w:t>
            </w:r>
          </w:p>
        </w:tc>
        <w:tc>
          <w:tcPr>
            <w:tcW w:w="1829" w:type="dxa"/>
            <w:vAlign w:val="top"/>
            <w:tcBorders>
              <w:bottom w:val="single" w:color="000000" w:sz="2" w:space="0"/>
              <w:top w:val="single" w:color="000000" w:sz="2" w:space="0"/>
            </w:tcBorders>
          </w:tcPr>
          <w:p>
            <w:pPr>
              <w:pStyle w:val="TableText"/>
              <w:ind w:left="634"/>
              <w:spacing w:before="171" w:line="221" w:lineRule="auto"/>
              <w:rPr>
                <w:sz w:val="11"/>
                <w:szCs w:val="11"/>
              </w:rPr>
            </w:pPr>
            <w:r>
              <w:rPr>
                <w:sz w:val="11"/>
                <w:szCs w:val="11"/>
                <w:spacing w:val="-1"/>
              </w:rPr>
              <w:t>碱式硫酸铜</w:t>
            </w:r>
          </w:p>
        </w:tc>
        <w:tc>
          <w:tcPr>
            <w:tcW w:w="1599" w:type="dxa"/>
            <w:vAlign w:val="top"/>
            <w:tcBorders>
              <w:bottom w:val="single" w:color="000000" w:sz="2" w:space="0"/>
              <w:top w:val="single" w:color="000000" w:sz="2" w:space="0"/>
            </w:tcBorders>
          </w:tcPr>
          <w:p>
            <w:pPr>
              <w:pStyle w:val="TableText"/>
              <w:ind w:left="545"/>
              <w:spacing w:before="170" w:line="220" w:lineRule="auto"/>
              <w:rPr>
                <w:sz w:val="11"/>
                <w:szCs w:val="11"/>
              </w:rPr>
            </w:pPr>
            <w:r>
              <w:rPr>
                <w:sz w:val="11"/>
                <w:szCs w:val="11"/>
                <w:spacing w:val="-6"/>
              </w:rPr>
              <w:t>160—240倍</w:t>
            </w:r>
          </w:p>
        </w:tc>
        <w:tc>
          <w:tcPr>
            <w:tcW w:w="1329" w:type="dxa"/>
            <w:vAlign w:val="top"/>
            <w:vMerge w:val="continue"/>
            <w:tcBorders>
              <w:bottom w:val="nil"/>
              <w:top w:val="nil"/>
            </w:tcBorders>
          </w:tcPr>
          <w:p>
            <w:pPr>
              <w:rPr>
                <w:rFonts w:ascii="Arial"/>
                <w:sz w:val="21"/>
              </w:rPr>
            </w:pPr>
            <w:r/>
          </w:p>
        </w:tc>
        <w:tc>
          <w:tcPr>
            <w:tcW w:w="689" w:type="dxa"/>
            <w:vAlign w:val="top"/>
            <w:tcBorders>
              <w:bottom w:val="single" w:color="000000" w:sz="2" w:space="0"/>
              <w:top w:val="single" w:color="000000" w:sz="2" w:space="0"/>
            </w:tcBorders>
          </w:tcPr>
          <w:p>
            <w:pPr>
              <w:pStyle w:val="TableText"/>
              <w:ind w:left="147"/>
              <w:spacing w:before="167" w:line="213" w:lineRule="auto"/>
              <w:rPr>
                <w:sz w:val="11"/>
                <w:szCs w:val="11"/>
              </w:rPr>
            </w:pPr>
            <w:r>
              <w:rPr>
                <w:sz w:val="11"/>
                <w:szCs w:val="11"/>
                <w:spacing w:val="-1"/>
              </w:rPr>
              <w:t>200g/乾</w:t>
            </w:r>
          </w:p>
        </w:tc>
        <w:tc>
          <w:tcPr>
            <w:tcW w:w="2553" w:type="dxa"/>
            <w:vAlign w:val="top"/>
            <w:tcBorders>
              <w:bottom w:val="single" w:color="000000" w:sz="2" w:space="0"/>
              <w:top w:val="single" w:color="000000" w:sz="2" w:space="0"/>
            </w:tcBorders>
          </w:tcPr>
          <w:p>
            <w:pPr>
              <w:pStyle w:val="TableText"/>
              <w:ind w:left="17"/>
              <w:spacing w:before="120" w:line="236" w:lineRule="auto"/>
              <w:rPr>
                <w:sz w:val="11"/>
                <w:szCs w:val="11"/>
              </w:rPr>
            </w:pPr>
            <w:r>
              <w:rPr>
                <w:sz w:val="11"/>
                <w:szCs w:val="11"/>
                <w:spacing w:val="-5"/>
              </w:rPr>
              <w:t>防泊落叶病，炭痘病、炭疸病，霜霉病。不能与石碗合</w:t>
            </w:r>
            <w:r>
              <w:rPr>
                <w:sz w:val="11"/>
                <w:szCs w:val="11"/>
                <w:spacing w:val="3"/>
              </w:rPr>
              <w:t xml:space="preserve"> </w:t>
            </w:r>
            <w:r>
              <w:rPr>
                <w:sz w:val="11"/>
                <w:szCs w:val="11"/>
                <w:spacing w:val="-1"/>
              </w:rPr>
              <w:t>剂等碱性农药混用</w:t>
            </w:r>
          </w:p>
        </w:tc>
      </w:tr>
      <w:tr>
        <w:trPr>
          <w:trHeight w:val="44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13"/>
              <w:spacing w:before="170" w:line="219" w:lineRule="auto"/>
              <w:rPr>
                <w:sz w:val="11"/>
                <w:szCs w:val="11"/>
              </w:rPr>
            </w:pPr>
            <w:r>
              <w:rPr>
                <w:sz w:val="11"/>
                <w:szCs w:val="11"/>
                <w:spacing w:val="1"/>
              </w:rPr>
              <w:t>国光百菌清</w:t>
            </w:r>
          </w:p>
        </w:tc>
        <w:tc>
          <w:tcPr>
            <w:tcW w:w="1829" w:type="dxa"/>
            <w:vAlign w:val="top"/>
            <w:tcBorders>
              <w:bottom w:val="single" w:color="000000" w:sz="2" w:space="0"/>
              <w:top w:val="single" w:color="000000" w:sz="2" w:space="0"/>
            </w:tcBorders>
          </w:tcPr>
          <w:p>
            <w:pPr>
              <w:pStyle w:val="TableText"/>
              <w:ind w:left="654"/>
              <w:spacing w:before="170" w:line="219" w:lineRule="auto"/>
              <w:rPr>
                <w:sz w:val="11"/>
                <w:szCs w:val="11"/>
              </w:rPr>
            </w:pPr>
            <w:r>
              <w:rPr>
                <w:sz w:val="11"/>
                <w:szCs w:val="11"/>
                <w:spacing w:val="-2"/>
              </w:rPr>
              <w:t>百菌清75%</w:t>
            </w:r>
          </w:p>
        </w:tc>
        <w:tc>
          <w:tcPr>
            <w:tcW w:w="1599" w:type="dxa"/>
            <w:vAlign w:val="top"/>
            <w:tcBorders>
              <w:bottom w:val="single" w:color="000000" w:sz="2" w:space="0"/>
              <w:top w:val="single" w:color="000000" w:sz="2" w:space="0"/>
            </w:tcBorders>
          </w:tcPr>
          <w:p>
            <w:pPr>
              <w:pStyle w:val="TableText"/>
              <w:ind w:left="515"/>
              <w:spacing w:before="171" w:line="220" w:lineRule="auto"/>
              <w:rPr>
                <w:sz w:val="11"/>
                <w:szCs w:val="11"/>
              </w:rPr>
            </w:pPr>
            <w:r>
              <w:rPr>
                <w:sz w:val="11"/>
                <w:szCs w:val="11"/>
                <w:spacing w:val="-1"/>
              </w:rPr>
              <w:t>500-1000倍</w:t>
            </w:r>
          </w:p>
        </w:tc>
        <w:tc>
          <w:tcPr>
            <w:tcW w:w="1329" w:type="dxa"/>
            <w:vAlign w:val="top"/>
            <w:vMerge w:val="continue"/>
            <w:tcBorders>
              <w:bottom w:val="single" w:color="000000" w:sz="2" w:space="0"/>
              <w:top w:val="nil"/>
            </w:tcBorders>
          </w:tcPr>
          <w:p>
            <w:pPr>
              <w:rPr>
                <w:rFonts w:ascii="Arial"/>
                <w:sz w:val="21"/>
              </w:rPr>
            </w:pPr>
            <w:r/>
          </w:p>
        </w:tc>
        <w:tc>
          <w:tcPr>
            <w:tcW w:w="689" w:type="dxa"/>
            <w:vAlign w:val="top"/>
            <w:tcBorders>
              <w:bottom w:val="single" w:color="000000" w:sz="2" w:space="0"/>
              <w:top w:val="single" w:color="000000" w:sz="2" w:space="0"/>
            </w:tcBorders>
          </w:tcPr>
          <w:p>
            <w:pPr>
              <w:pStyle w:val="TableText"/>
              <w:ind w:left="177"/>
              <w:spacing w:before="167" w:line="213" w:lineRule="auto"/>
              <w:rPr>
                <w:sz w:val="11"/>
                <w:szCs w:val="11"/>
              </w:rPr>
            </w:pPr>
            <w:r>
              <w:rPr>
                <w:sz w:val="11"/>
                <w:szCs w:val="11"/>
                <w:spacing w:val="-2"/>
              </w:rPr>
              <w:t>1kg/袋</w:t>
            </w:r>
          </w:p>
        </w:tc>
        <w:tc>
          <w:tcPr>
            <w:tcW w:w="2553" w:type="dxa"/>
            <w:vAlign w:val="top"/>
            <w:tcBorders>
              <w:bottom w:val="single" w:color="000000" w:sz="2" w:space="0"/>
              <w:top w:val="single" w:color="000000" w:sz="2" w:space="0"/>
            </w:tcBorders>
          </w:tcPr>
          <w:p>
            <w:pPr>
              <w:pStyle w:val="TableText"/>
              <w:ind w:left="18"/>
              <w:spacing w:before="170" w:line="218" w:lineRule="auto"/>
              <w:rPr>
                <w:sz w:val="11"/>
                <w:szCs w:val="11"/>
              </w:rPr>
            </w:pPr>
            <w:r>
              <w:rPr>
                <w:sz w:val="11"/>
                <w:szCs w:val="11"/>
                <w:spacing w:val="-1"/>
              </w:rPr>
              <w:t>高效广谱条菌剂</w:t>
            </w:r>
          </w:p>
        </w:tc>
      </w:tr>
      <w:tr>
        <w:trPr>
          <w:trHeight w:val="384" w:hRule="atLeast"/>
        </w:trPr>
        <w:tc>
          <w:tcPr>
            <w:tcW w:w="385" w:type="dxa"/>
            <w:vAlign w:val="top"/>
            <w:vMerge w:val="continue"/>
            <w:tcBorders>
              <w:bottom w:val="nil"/>
              <w:top w:val="nil"/>
            </w:tcBorders>
          </w:tcPr>
          <w:p>
            <w:pPr>
              <w:rPr>
                <w:rFonts w:ascii="Arial"/>
                <w:sz w:val="21"/>
              </w:rPr>
            </w:pPr>
            <w:r/>
          </w:p>
        </w:tc>
        <w:tc>
          <w:tcPr>
            <w:tcW w:w="510" w:type="dxa"/>
            <w:vAlign w:val="top"/>
            <w:vMerge w:val="restart"/>
            <w:tcBorders>
              <w:bottom w:val="nil"/>
              <w:top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80"/>
              <w:spacing w:before="36" w:line="219" w:lineRule="auto"/>
              <w:rPr>
                <w:sz w:val="11"/>
                <w:szCs w:val="11"/>
              </w:rPr>
            </w:pPr>
            <w:r>
              <w:rPr>
                <w:sz w:val="11"/>
                <w:szCs w:val="11"/>
                <w:spacing w:val="-1"/>
              </w:rPr>
              <w:t>病面类</w:t>
            </w:r>
          </w:p>
        </w:tc>
        <w:tc>
          <w:tcPr>
            <w:tcW w:w="949" w:type="dxa"/>
            <w:vAlign w:val="top"/>
            <w:vMerge w:val="restart"/>
            <w:tcBorders>
              <w:bottom w:val="nil"/>
              <w:top w:val="single" w:color="000000" w:sz="2"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50"/>
              <w:spacing w:before="36" w:line="219" w:lineRule="auto"/>
              <w:rPr>
                <w:sz w:val="11"/>
                <w:szCs w:val="11"/>
              </w:rPr>
            </w:pPr>
            <w:r>
              <w:rPr>
                <w:sz w:val="11"/>
                <w:szCs w:val="11"/>
                <w:spacing w:val="-3"/>
              </w:rPr>
              <w:t>灰霉病，煤污病。</w:t>
            </w:r>
          </w:p>
          <w:p>
            <w:pPr>
              <w:pStyle w:val="TableText"/>
              <w:ind w:left="50"/>
              <w:spacing w:before="9" w:line="218" w:lineRule="auto"/>
              <w:rPr>
                <w:sz w:val="11"/>
                <w:szCs w:val="11"/>
              </w:rPr>
            </w:pPr>
            <w:r>
              <w:rPr>
                <w:sz w:val="11"/>
                <w:szCs w:val="11"/>
                <w:spacing w:val="-3"/>
              </w:rPr>
              <w:t>炭疽病，白粉病。</w:t>
            </w:r>
          </w:p>
          <w:p>
            <w:pPr>
              <w:pStyle w:val="TableText"/>
              <w:ind w:left="10" w:right="43" w:firstLine="9"/>
              <w:spacing w:line="210" w:lineRule="auto"/>
              <w:rPr>
                <w:sz w:val="11"/>
                <w:szCs w:val="11"/>
              </w:rPr>
            </w:pPr>
            <w:r>
              <w:rPr>
                <w:sz w:val="11"/>
                <w:szCs w:val="11"/>
                <w:spacing w:val="-1"/>
              </w:rPr>
              <w:t>锈病，叶枯病。叶</w:t>
            </w:r>
            <w:r>
              <w:rPr>
                <w:sz w:val="11"/>
                <w:szCs w:val="11"/>
                <w:spacing w:val="2"/>
              </w:rPr>
              <w:t xml:space="preserve"> </w:t>
            </w:r>
            <w:r>
              <w:rPr>
                <w:sz w:val="11"/>
                <w:szCs w:val="11"/>
                <w:spacing w:val="-1"/>
              </w:rPr>
              <w:t>斑病，根腐病等</w:t>
            </w:r>
          </w:p>
        </w:tc>
        <w:tc>
          <w:tcPr>
            <w:tcW w:w="2918" w:type="dxa"/>
            <w:vAlign w:val="top"/>
            <w:vMerge w:val="restart"/>
            <w:tcBorders>
              <w:bottom w:val="nil"/>
              <w:top w:val="single" w:color="000000" w:sz="2" w:space="0"/>
            </w:tcBorders>
          </w:tcPr>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
              <w:spacing w:before="36" w:line="218" w:lineRule="auto"/>
              <w:rPr>
                <w:sz w:val="11"/>
                <w:szCs w:val="11"/>
              </w:rPr>
            </w:pPr>
            <w:r>
              <w:rPr>
                <w:sz w:val="11"/>
                <w:szCs w:val="11"/>
                <w:spacing w:val="-2"/>
              </w:rPr>
              <w:t>一、12-4月全园区预防消杀为主。</w:t>
            </w:r>
          </w:p>
          <w:p>
            <w:pPr>
              <w:pStyle w:val="TableText"/>
              <w:ind w:left="11" w:right="42"/>
              <w:spacing w:before="1" w:line="209" w:lineRule="auto"/>
              <w:rPr>
                <w:sz w:val="11"/>
                <w:szCs w:val="11"/>
              </w:rPr>
            </w:pPr>
            <w:r>
              <w:rPr>
                <w:sz w:val="11"/>
                <w:szCs w:val="11"/>
              </w:rPr>
              <w:t>二、5-10月为病虫害高发期。煤污病、紫</w:t>
            </w:r>
            <w:r>
              <w:rPr>
                <w:sz w:val="11"/>
                <w:szCs w:val="11"/>
                <w:spacing w:val="-1"/>
              </w:rPr>
              <w:t>蓝、小叶格白粉病</w:t>
            </w:r>
            <w:r>
              <w:rPr>
                <w:sz w:val="11"/>
                <w:szCs w:val="11"/>
              </w:rPr>
              <w:t xml:space="preserve"> </w:t>
            </w:r>
            <w:r>
              <w:rPr>
                <w:sz w:val="11"/>
                <w:szCs w:val="11"/>
                <w:spacing w:val="-1"/>
              </w:rPr>
              <w:t>、桂花枯斑病、台湾草叶枯病发生产重，及时温查发现病</w:t>
            </w:r>
          </w:p>
          <w:p>
            <w:pPr>
              <w:pStyle w:val="TableText"/>
              <w:ind w:left="11"/>
              <w:spacing w:line="219" w:lineRule="auto"/>
              <w:rPr>
                <w:sz w:val="11"/>
                <w:szCs w:val="11"/>
              </w:rPr>
            </w:pPr>
            <w:r>
              <w:rPr>
                <w:sz w:val="11"/>
                <w:szCs w:val="11"/>
                <w:spacing w:val="-3"/>
              </w:rPr>
              <w:t>情，及时喷药处理。</w:t>
            </w:r>
          </w:p>
        </w:tc>
        <w:tc>
          <w:tcPr>
            <w:tcW w:w="1199" w:type="dxa"/>
            <w:vAlign w:val="top"/>
            <w:tcBorders>
              <w:bottom w:val="single" w:color="000000" w:sz="2" w:space="0"/>
              <w:top w:val="single" w:color="000000" w:sz="2" w:space="0"/>
            </w:tcBorders>
          </w:tcPr>
          <w:p>
            <w:pPr>
              <w:pStyle w:val="TableText"/>
              <w:ind w:left="373"/>
              <w:spacing w:before="141" w:line="219" w:lineRule="auto"/>
              <w:rPr>
                <w:sz w:val="11"/>
                <w:szCs w:val="11"/>
              </w:rPr>
            </w:pPr>
            <w:r>
              <w:rPr>
                <w:sz w:val="11"/>
                <w:szCs w:val="11"/>
                <w:spacing w:val="-3"/>
              </w:rPr>
              <w:t>国光银泰</w:t>
            </w:r>
          </w:p>
        </w:tc>
        <w:tc>
          <w:tcPr>
            <w:tcW w:w="1829" w:type="dxa"/>
            <w:vAlign w:val="top"/>
            <w:tcBorders>
              <w:bottom w:val="single" w:color="000000" w:sz="2" w:space="0"/>
              <w:top w:val="single" w:color="000000" w:sz="2" w:space="0"/>
            </w:tcBorders>
          </w:tcPr>
          <w:p>
            <w:pPr>
              <w:pStyle w:val="TableText"/>
              <w:ind w:left="654"/>
              <w:spacing w:before="141" w:line="219" w:lineRule="auto"/>
              <w:rPr>
                <w:sz w:val="11"/>
                <w:szCs w:val="11"/>
              </w:rPr>
            </w:pPr>
            <w:r>
              <w:rPr>
                <w:sz w:val="11"/>
                <w:szCs w:val="11"/>
                <w:spacing w:val="-1"/>
              </w:rPr>
              <w:t>代森锌815</w:t>
            </w:r>
          </w:p>
        </w:tc>
        <w:tc>
          <w:tcPr>
            <w:tcW w:w="1599" w:type="dxa"/>
            <w:vAlign w:val="top"/>
            <w:tcBorders>
              <w:bottom w:val="single" w:color="000000" w:sz="2" w:space="0"/>
              <w:top w:val="single" w:color="000000" w:sz="2" w:space="0"/>
            </w:tcBorders>
          </w:tcPr>
          <w:p>
            <w:pPr>
              <w:pStyle w:val="TableText"/>
              <w:ind w:left="485"/>
              <w:spacing w:before="141" w:line="220" w:lineRule="auto"/>
              <w:rPr>
                <w:sz w:val="11"/>
                <w:szCs w:val="11"/>
              </w:rPr>
            </w:pPr>
            <w:r>
              <w:rPr>
                <w:sz w:val="11"/>
                <w:szCs w:val="11"/>
                <w:spacing w:val="-1"/>
              </w:rPr>
              <w:t>600-800倍液</w:t>
            </w:r>
          </w:p>
        </w:tc>
        <w:tc>
          <w:tcPr>
            <w:tcW w:w="1329" w:type="dxa"/>
            <w:vAlign w:val="top"/>
            <w:tcBorders>
              <w:bottom w:val="single" w:color="000000" w:sz="2" w:space="0"/>
              <w:top w:val="single" w:color="000000" w:sz="2" w:space="0"/>
            </w:tcBorders>
          </w:tcPr>
          <w:p>
            <w:pPr>
              <w:pStyle w:val="TableText"/>
              <w:ind w:left="246"/>
              <w:spacing w:before="141" w:line="219" w:lineRule="auto"/>
              <w:rPr>
                <w:sz w:val="11"/>
                <w:szCs w:val="11"/>
              </w:rPr>
            </w:pPr>
            <w:r>
              <w:rPr>
                <w:sz w:val="11"/>
                <w:szCs w:val="11"/>
                <w:spacing w:val="-1"/>
              </w:rPr>
              <w:t>每月中句用1-2次</w:t>
            </w:r>
          </w:p>
        </w:tc>
        <w:tc>
          <w:tcPr>
            <w:tcW w:w="689" w:type="dxa"/>
            <w:vAlign w:val="top"/>
            <w:tcBorders>
              <w:bottom w:val="single" w:color="000000" w:sz="2" w:space="0"/>
              <w:top w:val="single" w:color="000000" w:sz="2" w:space="0"/>
            </w:tcBorders>
          </w:tcPr>
          <w:p>
            <w:pPr>
              <w:pStyle w:val="TableText"/>
              <w:ind w:left="147"/>
              <w:spacing w:before="138" w:line="213" w:lineRule="auto"/>
              <w:rPr>
                <w:sz w:val="11"/>
                <w:szCs w:val="11"/>
              </w:rPr>
            </w:pPr>
            <w:r>
              <w:rPr>
                <w:sz w:val="11"/>
                <w:szCs w:val="11"/>
                <w:spacing w:val="-1"/>
              </w:rPr>
              <w:t>200g/袋</w:t>
            </w:r>
          </w:p>
        </w:tc>
        <w:tc>
          <w:tcPr>
            <w:tcW w:w="2553" w:type="dxa"/>
            <w:vAlign w:val="top"/>
            <w:tcBorders>
              <w:bottom w:val="single" w:color="000000" w:sz="2" w:space="0"/>
              <w:top w:val="single" w:color="000000" w:sz="2" w:space="0"/>
            </w:tcBorders>
          </w:tcPr>
          <w:p>
            <w:pPr>
              <w:pStyle w:val="TableText"/>
              <w:ind w:left="17"/>
              <w:spacing w:before="81" w:line="210" w:lineRule="auto"/>
              <w:rPr>
                <w:sz w:val="11"/>
                <w:szCs w:val="11"/>
              </w:rPr>
            </w:pPr>
            <w:r>
              <w:rPr>
                <w:sz w:val="11"/>
                <w:szCs w:val="11"/>
                <w:spacing w:val="-1"/>
              </w:rPr>
              <w:t>保护性杀菌剂，可预防多种花卉苗木病害，如防治疫</w:t>
            </w:r>
            <w:r>
              <w:rPr>
                <w:sz w:val="11"/>
                <w:szCs w:val="11"/>
                <w:spacing w:val="17"/>
              </w:rPr>
              <w:t xml:space="preserve"> </w:t>
            </w:r>
            <w:r>
              <w:rPr>
                <w:sz w:val="11"/>
                <w:szCs w:val="11"/>
                <w:spacing w:val="-1"/>
              </w:rPr>
              <w:t>南、叶班病、炭痘病、锈病等稀释600-800倍液</w:t>
            </w:r>
          </w:p>
        </w:tc>
      </w:tr>
      <w:tr>
        <w:trPr>
          <w:trHeight w:val="39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23"/>
              <w:spacing w:before="142" w:line="221" w:lineRule="auto"/>
              <w:rPr>
                <w:sz w:val="11"/>
                <w:szCs w:val="11"/>
              </w:rPr>
            </w:pPr>
            <w:r>
              <w:rPr>
                <w:sz w:val="11"/>
                <w:szCs w:val="11"/>
                <w:spacing w:val="-1"/>
              </w:rPr>
              <w:t>三唑硐</w:t>
            </w:r>
          </w:p>
        </w:tc>
        <w:tc>
          <w:tcPr>
            <w:tcW w:w="1829" w:type="dxa"/>
            <w:vAlign w:val="top"/>
            <w:tcBorders>
              <w:bottom w:val="single" w:color="000000" w:sz="2" w:space="0"/>
              <w:top w:val="single" w:color="000000" w:sz="2" w:space="0"/>
            </w:tcBorders>
          </w:tcPr>
          <w:p>
            <w:pPr>
              <w:pStyle w:val="TableText"/>
              <w:ind w:left="654"/>
              <w:spacing w:before="142" w:line="221" w:lineRule="auto"/>
              <w:rPr>
                <w:sz w:val="11"/>
                <w:szCs w:val="11"/>
              </w:rPr>
            </w:pPr>
            <w:r>
              <w:rPr>
                <w:sz w:val="11"/>
                <w:szCs w:val="11"/>
                <w:spacing w:val="-1"/>
              </w:rPr>
              <w:t>三唑酮15%</w:t>
            </w:r>
          </w:p>
        </w:tc>
        <w:tc>
          <w:tcPr>
            <w:tcW w:w="1599" w:type="dxa"/>
            <w:vAlign w:val="top"/>
            <w:tcBorders>
              <w:bottom w:val="single" w:color="000000" w:sz="2" w:space="0"/>
              <w:top w:val="single" w:color="000000" w:sz="2" w:space="0"/>
            </w:tcBorders>
          </w:tcPr>
          <w:p>
            <w:pPr>
              <w:pStyle w:val="TableText"/>
              <w:ind w:left="365"/>
              <w:spacing w:before="142" w:line="219" w:lineRule="auto"/>
              <w:rPr>
                <w:sz w:val="11"/>
                <w:szCs w:val="11"/>
              </w:rPr>
            </w:pPr>
            <w:r>
              <w:rPr>
                <w:sz w:val="11"/>
                <w:szCs w:val="11"/>
                <w:spacing w:val="-1"/>
              </w:rPr>
              <w:t>20%稀释1000-1500倍</w:t>
            </w:r>
          </w:p>
        </w:tc>
        <w:tc>
          <w:tcPr>
            <w:tcW w:w="1329" w:type="dxa"/>
            <w:vAlign w:val="top"/>
            <w:tcBorders>
              <w:bottom w:val="single" w:color="000000" w:sz="2" w:space="0"/>
              <w:top w:val="single" w:color="000000" w:sz="2" w:space="0"/>
            </w:tcBorders>
          </w:tcPr>
          <w:p>
            <w:pPr>
              <w:pStyle w:val="TableText"/>
              <w:ind w:left="56"/>
              <w:spacing w:before="82" w:line="219" w:lineRule="auto"/>
              <w:rPr>
                <w:sz w:val="11"/>
                <w:szCs w:val="11"/>
              </w:rPr>
            </w:pPr>
            <w:r>
              <w:rPr>
                <w:sz w:val="11"/>
                <w:szCs w:val="11"/>
                <w:spacing w:val="-1"/>
              </w:rPr>
              <w:t>间隔半个月1次，连唤2-3</w:t>
            </w:r>
          </w:p>
          <w:p>
            <w:pPr>
              <w:pStyle w:val="TableText"/>
              <w:ind w:left="605"/>
              <w:spacing w:before="9" w:line="219" w:lineRule="auto"/>
              <w:rPr>
                <w:sz w:val="11"/>
                <w:szCs w:val="11"/>
              </w:rPr>
            </w:pPr>
            <w:r>
              <w:rPr>
                <w:sz w:val="11"/>
                <w:szCs w:val="11"/>
              </w:rPr>
              <w:t>次</w:t>
            </w:r>
          </w:p>
        </w:tc>
        <w:tc>
          <w:tcPr>
            <w:tcW w:w="689" w:type="dxa"/>
            <w:vAlign w:val="top"/>
            <w:tcBorders>
              <w:bottom w:val="single" w:color="000000" w:sz="2" w:space="0"/>
              <w:top w:val="single" w:color="000000" w:sz="2" w:space="0"/>
            </w:tcBorders>
          </w:tcPr>
          <w:p>
            <w:pPr>
              <w:pStyle w:val="TableText"/>
              <w:ind w:left="117"/>
              <w:spacing w:before="142" w:line="221" w:lineRule="auto"/>
              <w:rPr>
                <w:sz w:val="11"/>
                <w:szCs w:val="11"/>
              </w:rPr>
            </w:pPr>
            <w:r>
              <w:rPr>
                <w:sz w:val="11"/>
                <w:szCs w:val="11"/>
                <w:spacing w:val="-1"/>
              </w:rPr>
              <w:t>200ml/瓶</w:t>
            </w:r>
          </w:p>
        </w:tc>
        <w:tc>
          <w:tcPr>
            <w:tcW w:w="2553" w:type="dxa"/>
            <w:vAlign w:val="top"/>
            <w:tcBorders>
              <w:bottom w:val="single" w:color="000000" w:sz="2" w:space="0"/>
              <w:top w:val="single" w:color="000000" w:sz="2" w:space="0"/>
            </w:tcBorders>
          </w:tcPr>
          <w:p>
            <w:pPr>
              <w:pStyle w:val="TableText"/>
              <w:ind w:left="18"/>
              <w:spacing w:before="141" w:line="218" w:lineRule="auto"/>
              <w:rPr>
                <w:sz w:val="11"/>
                <w:szCs w:val="11"/>
              </w:rPr>
            </w:pPr>
            <w:r>
              <w:rPr>
                <w:sz w:val="11"/>
                <w:szCs w:val="11"/>
                <w:spacing w:val="-1"/>
              </w:rPr>
              <w:t>防治小叶格、柳叶十大功劳等白粉病、锈病</w:t>
            </w:r>
          </w:p>
        </w:tc>
      </w:tr>
      <w:tr>
        <w:trPr>
          <w:trHeight w:val="38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83"/>
              <w:spacing w:before="145" w:line="224" w:lineRule="auto"/>
              <w:rPr>
                <w:sz w:val="11"/>
                <w:szCs w:val="11"/>
              </w:rPr>
            </w:pPr>
            <w:r>
              <w:rPr>
                <w:sz w:val="11"/>
                <w:szCs w:val="11"/>
                <w:spacing w:val="-2"/>
              </w:rPr>
              <w:t>双通</w:t>
            </w:r>
          </w:p>
        </w:tc>
        <w:tc>
          <w:tcPr>
            <w:tcW w:w="1829" w:type="dxa"/>
            <w:vAlign w:val="top"/>
            <w:tcBorders>
              <w:bottom w:val="single" w:color="000000" w:sz="2" w:space="0"/>
              <w:top w:val="single" w:color="000000" w:sz="2" w:space="0"/>
            </w:tcBorders>
          </w:tcPr>
          <w:p>
            <w:pPr>
              <w:pStyle w:val="TableText"/>
              <w:ind w:left="494"/>
              <w:spacing w:before="143" w:line="221" w:lineRule="auto"/>
              <w:rPr>
                <w:sz w:val="11"/>
                <w:szCs w:val="11"/>
              </w:rPr>
            </w:pPr>
            <w:r>
              <w:rPr>
                <w:sz w:val="11"/>
                <w:szCs w:val="11"/>
                <w:spacing w:val="-6"/>
              </w:rPr>
              <w:t>疏磺</w:t>
            </w:r>
            <w:r>
              <w:rPr>
                <w:sz w:val="11"/>
                <w:szCs w:val="11"/>
                <w:spacing w:val="-7"/>
              </w:rPr>
              <w:t xml:space="preserve"> </w:t>
            </w:r>
            <w:r>
              <w:rPr>
                <w:sz w:val="11"/>
                <w:szCs w:val="11"/>
                <w:spacing w:val="-6"/>
              </w:rPr>
              <w:t>·三唑酮45%</w:t>
            </w:r>
          </w:p>
        </w:tc>
        <w:tc>
          <w:tcPr>
            <w:tcW w:w="1599" w:type="dxa"/>
            <w:vAlign w:val="top"/>
            <w:tcBorders>
              <w:bottom w:val="single" w:color="000000" w:sz="2" w:space="0"/>
              <w:top w:val="single" w:color="000000" w:sz="2" w:space="0"/>
            </w:tcBorders>
          </w:tcPr>
          <w:p>
            <w:pPr>
              <w:pStyle w:val="TableText"/>
              <w:ind w:left="515"/>
              <w:spacing w:before="142" w:line="220" w:lineRule="auto"/>
              <w:rPr>
                <w:sz w:val="11"/>
                <w:szCs w:val="11"/>
              </w:rPr>
            </w:pPr>
            <w:r>
              <w:rPr>
                <w:sz w:val="11"/>
                <w:szCs w:val="11"/>
                <w:spacing w:val="-5"/>
              </w:rPr>
              <w:t>800—1000倍</w:t>
            </w:r>
          </w:p>
        </w:tc>
        <w:tc>
          <w:tcPr>
            <w:tcW w:w="1329" w:type="dxa"/>
            <w:vAlign w:val="top"/>
            <w:tcBorders>
              <w:bottom w:val="single" w:color="000000" w:sz="2" w:space="0"/>
              <w:top w:val="single" w:color="000000" w:sz="2" w:space="0"/>
            </w:tcBorders>
          </w:tcPr>
          <w:p>
            <w:pPr>
              <w:pStyle w:val="TableText"/>
              <w:ind w:left="56"/>
              <w:spacing w:before="92" w:line="219" w:lineRule="auto"/>
              <w:rPr>
                <w:sz w:val="11"/>
                <w:szCs w:val="11"/>
              </w:rPr>
            </w:pPr>
            <w:r>
              <w:rPr>
                <w:sz w:val="11"/>
                <w:szCs w:val="11"/>
                <w:spacing w:val="-1"/>
              </w:rPr>
              <w:t>间隔半个月1次，连喷2-4</w:t>
            </w:r>
          </w:p>
          <w:p>
            <w:pPr>
              <w:pStyle w:val="TableText"/>
              <w:ind w:left="605"/>
              <w:spacing w:before="9" w:line="219" w:lineRule="auto"/>
              <w:rPr>
                <w:sz w:val="11"/>
                <w:szCs w:val="11"/>
              </w:rPr>
            </w:pPr>
            <w:r>
              <w:rPr>
                <w:sz w:val="11"/>
                <w:szCs w:val="11"/>
              </w:rPr>
              <w:t>次</w:t>
            </w:r>
          </w:p>
        </w:tc>
        <w:tc>
          <w:tcPr>
            <w:tcW w:w="689" w:type="dxa"/>
            <w:vAlign w:val="top"/>
            <w:tcBorders>
              <w:bottom w:val="single" w:color="000000" w:sz="2" w:space="0"/>
              <w:top w:val="single" w:color="000000" w:sz="2" w:space="0"/>
            </w:tcBorders>
          </w:tcPr>
          <w:p>
            <w:pPr>
              <w:pStyle w:val="TableText"/>
              <w:ind w:left="177"/>
              <w:spacing w:before="139" w:line="213" w:lineRule="auto"/>
              <w:rPr>
                <w:sz w:val="11"/>
                <w:szCs w:val="11"/>
              </w:rPr>
            </w:pPr>
            <w:r>
              <w:rPr>
                <w:sz w:val="11"/>
                <w:szCs w:val="11"/>
                <w:spacing w:val="-1"/>
              </w:rPr>
              <w:t>40g/装</w:t>
            </w:r>
          </w:p>
        </w:tc>
        <w:tc>
          <w:tcPr>
            <w:tcW w:w="2553" w:type="dxa"/>
            <w:vAlign w:val="top"/>
            <w:tcBorders>
              <w:bottom w:val="single" w:color="000000" w:sz="2" w:space="0"/>
              <w:top w:val="single" w:color="000000" w:sz="2" w:space="0"/>
            </w:tcBorders>
          </w:tcPr>
          <w:p>
            <w:pPr>
              <w:pStyle w:val="TableText"/>
              <w:ind w:left="18"/>
              <w:spacing w:before="142" w:line="219" w:lineRule="auto"/>
              <w:rPr>
                <w:sz w:val="11"/>
                <w:szCs w:val="11"/>
              </w:rPr>
            </w:pPr>
            <w:r>
              <w:rPr>
                <w:sz w:val="11"/>
                <w:szCs w:val="11"/>
                <w:spacing w:val="-1"/>
              </w:rPr>
              <w:t>针对白粉病、锅病防效好，有内吸作用</w:t>
            </w:r>
          </w:p>
        </w:tc>
      </w:tr>
      <w:tr>
        <w:trPr>
          <w:trHeight w:val="47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23"/>
              <w:spacing w:before="183" w:line="220" w:lineRule="auto"/>
              <w:rPr>
                <w:sz w:val="11"/>
                <w:szCs w:val="11"/>
              </w:rPr>
            </w:pPr>
            <w:r>
              <w:rPr>
                <w:sz w:val="11"/>
                <w:szCs w:val="11"/>
                <w:spacing w:val="-2"/>
              </w:rPr>
              <w:t>大扑因</w:t>
            </w:r>
          </w:p>
        </w:tc>
        <w:tc>
          <w:tcPr>
            <w:tcW w:w="1829" w:type="dxa"/>
            <w:vAlign w:val="top"/>
            <w:tcBorders>
              <w:bottom w:val="single" w:color="000000" w:sz="2" w:space="0"/>
              <w:top w:val="single" w:color="000000" w:sz="2" w:space="0"/>
            </w:tcBorders>
          </w:tcPr>
          <w:p>
            <w:pPr>
              <w:pStyle w:val="TableText"/>
              <w:ind w:left="574"/>
              <w:spacing w:before="183" w:line="219" w:lineRule="auto"/>
              <w:rPr>
                <w:sz w:val="11"/>
                <w:szCs w:val="11"/>
              </w:rPr>
            </w:pPr>
            <w:r>
              <w:rPr>
                <w:sz w:val="11"/>
                <w:szCs w:val="11"/>
                <w:spacing w:val="-1"/>
              </w:rPr>
              <w:t>异卤卵25.50%</w:t>
            </w:r>
          </w:p>
        </w:tc>
        <w:tc>
          <w:tcPr>
            <w:tcW w:w="1599" w:type="dxa"/>
            <w:vAlign w:val="top"/>
            <w:tcBorders>
              <w:bottom w:val="single" w:color="000000" w:sz="2" w:space="0"/>
              <w:top w:val="single" w:color="000000" w:sz="2" w:space="0"/>
            </w:tcBorders>
          </w:tcPr>
          <w:p>
            <w:pPr>
              <w:pStyle w:val="TableText"/>
              <w:ind w:left="515"/>
              <w:spacing w:before="183" w:line="220" w:lineRule="auto"/>
              <w:rPr>
                <w:sz w:val="11"/>
                <w:szCs w:val="11"/>
              </w:rPr>
            </w:pPr>
            <w:r>
              <w:rPr>
                <w:sz w:val="11"/>
                <w:szCs w:val="11"/>
                <w:spacing w:val="-5"/>
              </w:rPr>
              <w:t>800—1000倍</w:t>
            </w:r>
          </w:p>
        </w:tc>
        <w:tc>
          <w:tcPr>
            <w:tcW w:w="1329" w:type="dxa"/>
            <w:vAlign w:val="top"/>
            <w:tcBorders>
              <w:bottom w:val="single" w:color="000000" w:sz="2" w:space="0"/>
              <w:top w:val="single" w:color="000000" w:sz="2" w:space="0"/>
            </w:tcBorders>
          </w:tcPr>
          <w:p>
            <w:pPr>
              <w:pStyle w:val="TableText"/>
              <w:ind w:left="26"/>
              <w:spacing w:before="133" w:line="219" w:lineRule="auto"/>
              <w:rPr>
                <w:sz w:val="11"/>
                <w:szCs w:val="11"/>
              </w:rPr>
            </w:pPr>
            <w:r>
              <w:rPr>
                <w:sz w:val="11"/>
                <w:szCs w:val="11"/>
                <w:spacing w:val="-1"/>
              </w:rPr>
              <w:t>每隔7-13天喷药1次，造续</w:t>
            </w:r>
          </w:p>
          <w:p>
            <w:pPr>
              <w:pStyle w:val="TableText"/>
              <w:ind w:left="436"/>
              <w:spacing w:before="9" w:line="219" w:lineRule="auto"/>
              <w:rPr>
                <w:sz w:val="11"/>
                <w:szCs w:val="11"/>
              </w:rPr>
            </w:pPr>
            <w:r>
              <w:rPr>
                <w:sz w:val="11"/>
                <w:szCs w:val="11"/>
              </w:rPr>
              <w:t>喷酒2次。</w:t>
            </w:r>
          </w:p>
        </w:tc>
        <w:tc>
          <w:tcPr>
            <w:tcW w:w="689" w:type="dxa"/>
            <w:vAlign w:val="top"/>
            <w:tcBorders>
              <w:bottom w:val="single" w:color="000000" w:sz="2" w:space="0"/>
              <w:top w:val="single" w:color="000000" w:sz="2" w:space="0"/>
            </w:tcBorders>
          </w:tcPr>
          <w:p>
            <w:pPr>
              <w:pStyle w:val="TableText"/>
              <w:ind w:left="147"/>
              <w:spacing w:before="179" w:line="213" w:lineRule="auto"/>
              <w:rPr>
                <w:sz w:val="11"/>
                <w:szCs w:val="11"/>
              </w:rPr>
            </w:pPr>
            <w:r>
              <w:rPr>
                <w:sz w:val="11"/>
                <w:szCs w:val="11"/>
                <w:spacing w:val="-2"/>
              </w:rPr>
              <w:t>100g/袋</w:t>
            </w:r>
          </w:p>
        </w:tc>
        <w:tc>
          <w:tcPr>
            <w:tcW w:w="2553" w:type="dxa"/>
            <w:vAlign w:val="top"/>
            <w:tcBorders>
              <w:bottom w:val="single" w:color="000000" w:sz="2" w:space="0"/>
              <w:top w:val="single" w:color="000000" w:sz="2" w:space="0"/>
            </w:tcBorders>
          </w:tcPr>
          <w:p>
            <w:pPr>
              <w:pStyle w:val="TableText"/>
              <w:ind w:left="17"/>
              <w:spacing w:before="183" w:line="219" w:lineRule="auto"/>
              <w:rPr>
                <w:sz w:val="11"/>
                <w:szCs w:val="11"/>
              </w:rPr>
            </w:pPr>
            <w:r>
              <w:rPr>
                <w:sz w:val="11"/>
                <w:szCs w:val="11"/>
                <w:spacing w:val="-1"/>
              </w:rPr>
              <w:t>乔讙木裙腐、灰霉，叶斑，炭疽等</w:t>
            </w:r>
          </w:p>
        </w:tc>
      </w:tr>
      <w:tr>
        <w:trPr>
          <w:trHeight w:val="44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13"/>
              <w:spacing w:before="173" w:line="219" w:lineRule="auto"/>
              <w:rPr>
                <w:sz w:val="11"/>
                <w:szCs w:val="11"/>
              </w:rPr>
            </w:pPr>
            <w:r>
              <w:rPr>
                <w:sz w:val="11"/>
                <w:szCs w:val="11"/>
                <w:spacing w:val="-1"/>
              </w:rPr>
              <w:t>诺普信翠苗</w:t>
            </w:r>
          </w:p>
        </w:tc>
        <w:tc>
          <w:tcPr>
            <w:tcW w:w="1829" w:type="dxa"/>
            <w:vAlign w:val="top"/>
            <w:tcBorders>
              <w:bottom w:val="single" w:color="000000" w:sz="2" w:space="0"/>
              <w:top w:val="single" w:color="000000" w:sz="2" w:space="0"/>
            </w:tcBorders>
          </w:tcPr>
          <w:p>
            <w:pPr>
              <w:pStyle w:val="TableText"/>
              <w:ind w:left="324"/>
              <w:spacing w:before="173" w:line="218" w:lineRule="auto"/>
              <w:rPr>
                <w:sz w:val="11"/>
                <w:szCs w:val="11"/>
              </w:rPr>
            </w:pPr>
            <w:r>
              <w:rPr>
                <w:sz w:val="11"/>
                <w:szCs w:val="11"/>
                <w:spacing w:val="-4"/>
              </w:rPr>
              <w:t>苯醚甲环唑</w:t>
            </w:r>
            <w:r>
              <w:rPr>
                <w:sz w:val="11"/>
                <w:szCs w:val="11"/>
                <w:spacing w:val="-13"/>
              </w:rPr>
              <w:t xml:space="preserve"> </w:t>
            </w:r>
            <w:r>
              <w:rPr>
                <w:sz w:val="11"/>
                <w:szCs w:val="11"/>
                <w:spacing w:val="-4"/>
              </w:rPr>
              <w:t>·丙环哇30%</w:t>
            </w:r>
          </w:p>
        </w:tc>
        <w:tc>
          <w:tcPr>
            <w:tcW w:w="1599" w:type="dxa"/>
            <w:vAlign w:val="top"/>
            <w:tcBorders>
              <w:bottom w:val="single" w:color="000000" w:sz="2" w:space="0"/>
              <w:top w:val="single" w:color="000000" w:sz="2" w:space="0"/>
            </w:tcBorders>
          </w:tcPr>
          <w:p>
            <w:pPr>
              <w:pStyle w:val="TableText"/>
              <w:ind w:left="485"/>
              <w:spacing w:before="173" w:line="220" w:lineRule="auto"/>
              <w:rPr>
                <w:sz w:val="11"/>
                <w:szCs w:val="11"/>
              </w:rPr>
            </w:pPr>
            <w:r>
              <w:rPr>
                <w:sz w:val="11"/>
                <w:szCs w:val="11"/>
              </w:rPr>
              <w:t>1500-2000倍</w:t>
            </w:r>
          </w:p>
        </w:tc>
        <w:tc>
          <w:tcPr>
            <w:tcW w:w="1329" w:type="dxa"/>
            <w:vAlign w:val="top"/>
            <w:tcBorders>
              <w:bottom w:val="single" w:color="000000" w:sz="2" w:space="0"/>
              <w:top w:val="single" w:color="000000" w:sz="2" w:space="0"/>
            </w:tcBorders>
          </w:tcPr>
          <w:p>
            <w:pPr>
              <w:pStyle w:val="TableText"/>
              <w:ind w:left="246"/>
              <w:spacing w:before="173" w:line="219" w:lineRule="auto"/>
              <w:rPr>
                <w:sz w:val="11"/>
                <w:szCs w:val="11"/>
              </w:rPr>
            </w:pPr>
            <w:r>
              <w:rPr>
                <w:sz w:val="11"/>
                <w:szCs w:val="11"/>
                <w:spacing w:val="-1"/>
              </w:rPr>
              <w:t>每月中旬用1-2次</w:t>
            </w:r>
          </w:p>
        </w:tc>
        <w:tc>
          <w:tcPr>
            <w:tcW w:w="689" w:type="dxa"/>
            <w:vAlign w:val="top"/>
            <w:tcBorders>
              <w:bottom w:val="single" w:color="000000" w:sz="2" w:space="0"/>
              <w:top w:val="single" w:color="000000" w:sz="2" w:space="0"/>
            </w:tcBorders>
          </w:tcPr>
          <w:p>
            <w:pPr>
              <w:pStyle w:val="TableText"/>
              <w:ind w:left="117"/>
              <w:spacing w:before="174" w:line="221" w:lineRule="auto"/>
              <w:rPr>
                <w:sz w:val="11"/>
                <w:szCs w:val="11"/>
              </w:rPr>
            </w:pPr>
            <w:r>
              <w:rPr>
                <w:sz w:val="11"/>
                <w:szCs w:val="11"/>
                <w:spacing w:val="-2"/>
              </w:rPr>
              <w:t>100ml/瓶</w:t>
            </w:r>
          </w:p>
        </w:tc>
        <w:tc>
          <w:tcPr>
            <w:tcW w:w="2553" w:type="dxa"/>
            <w:vAlign w:val="top"/>
            <w:tcBorders>
              <w:bottom w:val="single" w:color="000000" w:sz="2" w:space="0"/>
              <w:top w:val="single" w:color="000000" w:sz="2" w:space="0"/>
            </w:tcBorders>
          </w:tcPr>
          <w:p>
            <w:pPr>
              <w:pStyle w:val="TableText"/>
              <w:spacing w:before="173" w:line="219" w:lineRule="auto"/>
              <w:jc w:val="right"/>
              <w:rPr>
                <w:sz w:val="11"/>
                <w:szCs w:val="11"/>
              </w:rPr>
            </w:pPr>
            <w:r>
              <w:rPr>
                <w:sz w:val="11"/>
                <w:szCs w:val="11"/>
                <w:spacing w:val="-1"/>
              </w:rPr>
              <w:t>防治叶暖、褐斑、白粉病、茎枝枯腐，药后不留痕。</w:t>
            </w:r>
          </w:p>
        </w:tc>
      </w:tr>
      <w:tr>
        <w:trPr>
          <w:trHeight w:val="46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73"/>
              <w:spacing w:before="184" w:line="220" w:lineRule="auto"/>
              <w:rPr>
                <w:sz w:val="11"/>
                <w:szCs w:val="11"/>
              </w:rPr>
            </w:pPr>
            <w:r>
              <w:rPr>
                <w:sz w:val="11"/>
                <w:szCs w:val="11"/>
                <w:spacing w:val="-3"/>
              </w:rPr>
              <w:t>中威源禾</w:t>
            </w:r>
          </w:p>
        </w:tc>
        <w:tc>
          <w:tcPr>
            <w:tcW w:w="1829" w:type="dxa"/>
            <w:vAlign w:val="top"/>
            <w:tcBorders>
              <w:bottom w:val="single" w:color="000000" w:sz="2" w:space="0"/>
              <w:top w:val="single" w:color="000000" w:sz="2" w:space="0"/>
            </w:tcBorders>
          </w:tcPr>
          <w:p>
            <w:pPr>
              <w:pStyle w:val="TableText"/>
              <w:ind w:left="654"/>
              <w:spacing w:before="184" w:line="219" w:lineRule="auto"/>
              <w:rPr>
                <w:sz w:val="11"/>
                <w:szCs w:val="11"/>
              </w:rPr>
            </w:pPr>
            <w:r>
              <w:rPr>
                <w:sz w:val="11"/>
                <w:szCs w:val="11"/>
                <w:spacing w:val="1"/>
              </w:rPr>
              <w:t>乙蒜素30%</w:t>
            </w:r>
          </w:p>
        </w:tc>
        <w:tc>
          <w:tcPr>
            <w:tcW w:w="1599" w:type="dxa"/>
            <w:vAlign w:val="top"/>
            <w:tcBorders>
              <w:bottom w:val="single" w:color="000000" w:sz="2" w:space="0"/>
              <w:top w:val="single" w:color="000000" w:sz="2" w:space="0"/>
            </w:tcBorders>
          </w:tcPr>
          <w:p>
            <w:pPr>
              <w:pStyle w:val="TableText"/>
              <w:ind w:left="485"/>
              <w:spacing w:before="184" w:line="220" w:lineRule="auto"/>
              <w:rPr>
                <w:sz w:val="11"/>
                <w:szCs w:val="11"/>
              </w:rPr>
            </w:pPr>
            <w:r>
              <w:rPr>
                <w:sz w:val="11"/>
                <w:szCs w:val="11"/>
                <w:spacing w:val="-5"/>
              </w:rPr>
              <w:t>1000—1500倍</w:t>
            </w:r>
          </w:p>
        </w:tc>
        <w:tc>
          <w:tcPr>
            <w:tcW w:w="1329" w:type="dxa"/>
            <w:vAlign w:val="top"/>
            <w:tcBorders>
              <w:bottom w:val="single" w:color="000000" w:sz="2" w:space="0"/>
              <w:top w:val="single" w:color="000000" w:sz="2" w:space="0"/>
            </w:tcBorders>
          </w:tcPr>
          <w:p>
            <w:pPr>
              <w:pStyle w:val="TableText"/>
              <w:spacing w:before="123" w:line="218" w:lineRule="auto"/>
              <w:jc w:val="right"/>
              <w:rPr>
                <w:sz w:val="11"/>
                <w:szCs w:val="11"/>
              </w:rPr>
            </w:pPr>
            <w:r>
              <w:rPr>
                <w:sz w:val="11"/>
                <w:szCs w:val="11"/>
                <w:spacing w:val="-2"/>
              </w:rPr>
              <w:t>每隔7-15天喷药】次，连续</w:t>
            </w:r>
          </w:p>
          <w:p>
            <w:pPr>
              <w:pStyle w:val="TableText"/>
              <w:ind w:left="406"/>
              <w:spacing w:line="219" w:lineRule="auto"/>
              <w:rPr>
                <w:sz w:val="11"/>
                <w:szCs w:val="11"/>
              </w:rPr>
            </w:pPr>
            <w:r>
              <w:rPr>
                <w:sz w:val="11"/>
                <w:szCs w:val="11"/>
              </w:rPr>
              <w:t>喷酒2次。</w:t>
            </w:r>
          </w:p>
        </w:tc>
        <w:tc>
          <w:tcPr>
            <w:tcW w:w="689" w:type="dxa"/>
            <w:vAlign w:val="top"/>
            <w:tcBorders>
              <w:bottom w:val="single" w:color="000000" w:sz="2" w:space="0"/>
              <w:top w:val="single" w:color="000000" w:sz="2" w:space="0"/>
            </w:tcBorders>
          </w:tcPr>
          <w:p>
            <w:pPr>
              <w:pStyle w:val="TableText"/>
              <w:ind w:left="117"/>
              <w:spacing w:before="184" w:line="221" w:lineRule="auto"/>
              <w:rPr>
                <w:sz w:val="11"/>
                <w:szCs w:val="11"/>
              </w:rPr>
            </w:pPr>
            <w:r>
              <w:rPr>
                <w:sz w:val="11"/>
                <w:szCs w:val="11"/>
                <w:spacing w:val="-1"/>
              </w:rPr>
              <w:t>200ml/瓶</w:t>
            </w:r>
          </w:p>
        </w:tc>
        <w:tc>
          <w:tcPr>
            <w:tcW w:w="2553" w:type="dxa"/>
            <w:vAlign w:val="top"/>
            <w:tcBorders>
              <w:bottom w:val="single" w:color="000000" w:sz="2" w:space="0"/>
              <w:top w:val="single" w:color="000000" w:sz="2" w:space="0"/>
            </w:tcBorders>
          </w:tcPr>
          <w:p>
            <w:pPr>
              <w:pStyle w:val="TableText"/>
              <w:ind w:left="18" w:right="116"/>
              <w:spacing w:before="123" w:line="211" w:lineRule="auto"/>
              <w:rPr>
                <w:sz w:val="11"/>
                <w:szCs w:val="11"/>
              </w:rPr>
            </w:pPr>
            <w:r>
              <w:rPr>
                <w:sz w:val="11"/>
                <w:szCs w:val="11"/>
                <w:spacing w:val="-1"/>
              </w:rPr>
              <w:t>防治花木腐烂病，叶斑病，枯萎病，炭疽病等1500</w:t>
            </w:r>
            <w:r>
              <w:rPr>
                <w:sz w:val="11"/>
                <w:szCs w:val="11"/>
                <w:spacing w:val="11"/>
              </w:rPr>
              <w:t xml:space="preserve"> </w:t>
            </w:r>
            <w:r>
              <w:rPr>
                <w:sz w:val="11"/>
                <w:szCs w:val="11"/>
                <w:spacing w:val="-2"/>
              </w:rPr>
              <w:t>倍波</w:t>
            </w:r>
          </w:p>
        </w:tc>
      </w:tr>
      <w:tr>
        <w:trPr>
          <w:trHeight w:val="305"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163"/>
              <w:spacing w:before="104" w:line="218" w:lineRule="auto"/>
              <w:rPr>
                <w:sz w:val="11"/>
                <w:szCs w:val="11"/>
              </w:rPr>
            </w:pPr>
            <w:r>
              <w:rPr>
                <w:sz w:val="11"/>
                <w:szCs w:val="11"/>
                <w:spacing w:val="-1"/>
              </w:rPr>
              <w:t>绿象叶面生态清洁剂</w:t>
            </w:r>
          </w:p>
        </w:tc>
        <w:tc>
          <w:tcPr>
            <w:tcW w:w="1829" w:type="dxa"/>
            <w:vAlign w:val="top"/>
            <w:tcBorders>
              <w:bottom w:val="single" w:color="000000" w:sz="2" w:space="0"/>
              <w:top w:val="single" w:color="000000" w:sz="2" w:space="0"/>
            </w:tcBorders>
          </w:tcPr>
          <w:p>
            <w:pPr>
              <w:pStyle w:val="TableText"/>
              <w:ind w:left="414"/>
              <w:spacing w:before="24" w:line="202" w:lineRule="auto"/>
              <w:rPr>
                <w:sz w:val="11"/>
                <w:szCs w:val="11"/>
              </w:rPr>
            </w:pPr>
            <w:r>
              <w:rPr>
                <w:sz w:val="11"/>
                <w:szCs w:val="11"/>
                <w:spacing w:val="-1"/>
              </w:rPr>
              <w:t>生毒分解剂和天然植</w:t>
            </w:r>
          </w:p>
          <w:p>
            <w:pPr>
              <w:pStyle w:val="TableText"/>
              <w:ind w:left="794"/>
              <w:spacing w:line="219" w:lineRule="auto"/>
              <w:rPr>
                <w:sz w:val="11"/>
                <w:szCs w:val="11"/>
              </w:rPr>
            </w:pPr>
            <w:r>
              <w:rPr>
                <w:sz w:val="11"/>
                <w:szCs w:val="11"/>
                <w:spacing w:val="-2"/>
              </w:rPr>
              <w:t>物蜡</w:t>
            </w:r>
          </w:p>
        </w:tc>
        <w:tc>
          <w:tcPr>
            <w:tcW w:w="1599" w:type="dxa"/>
            <w:vAlign w:val="top"/>
            <w:tcBorders>
              <w:bottom w:val="single" w:color="000000" w:sz="2" w:space="0"/>
              <w:top w:val="single" w:color="000000" w:sz="2" w:space="0"/>
            </w:tcBorders>
          </w:tcPr>
          <w:p>
            <w:pPr>
              <w:pStyle w:val="TableText"/>
              <w:ind w:left="575"/>
              <w:spacing w:before="104" w:line="220" w:lineRule="auto"/>
              <w:rPr>
                <w:sz w:val="11"/>
                <w:szCs w:val="11"/>
              </w:rPr>
            </w:pPr>
            <w:r>
              <w:rPr>
                <w:sz w:val="11"/>
                <w:szCs w:val="11"/>
                <w:spacing w:val="-1"/>
              </w:rPr>
              <w:t>50-100倍</w:t>
            </w:r>
          </w:p>
        </w:tc>
        <w:tc>
          <w:tcPr>
            <w:tcW w:w="1329" w:type="dxa"/>
            <w:vAlign w:val="top"/>
            <w:tcBorders>
              <w:bottom w:val="single" w:color="000000" w:sz="2" w:space="0"/>
              <w:top w:val="single" w:color="000000" w:sz="2" w:space="0"/>
            </w:tcBorders>
          </w:tcPr>
          <w:p>
            <w:pPr>
              <w:pStyle w:val="TableText"/>
              <w:ind w:left="56"/>
              <w:spacing w:before="24" w:line="201" w:lineRule="auto"/>
              <w:rPr>
                <w:sz w:val="11"/>
                <w:szCs w:val="11"/>
              </w:rPr>
            </w:pPr>
            <w:r>
              <w:rPr>
                <w:sz w:val="11"/>
                <w:szCs w:val="11"/>
                <w:spacing w:val="-1"/>
              </w:rPr>
              <w:t>间隔15-20天1次。连喷2-</w:t>
            </w:r>
          </w:p>
          <w:p>
            <w:pPr>
              <w:pStyle w:val="TableText"/>
              <w:ind w:left="575"/>
              <w:spacing w:line="219" w:lineRule="auto"/>
              <w:rPr>
                <w:sz w:val="11"/>
                <w:szCs w:val="11"/>
              </w:rPr>
            </w:pPr>
            <w:r>
              <w:rPr>
                <w:sz w:val="11"/>
                <w:szCs w:val="11"/>
                <w:spacing w:val="-2"/>
              </w:rPr>
              <w:t>3次</w:t>
            </w:r>
          </w:p>
        </w:tc>
        <w:tc>
          <w:tcPr>
            <w:tcW w:w="689" w:type="dxa"/>
            <w:vAlign w:val="top"/>
            <w:tcBorders>
              <w:bottom w:val="single" w:color="000000" w:sz="2" w:space="0"/>
              <w:top w:val="single" w:color="000000" w:sz="2" w:space="0"/>
            </w:tcBorders>
          </w:tcPr>
          <w:p>
            <w:pPr>
              <w:pStyle w:val="TableText"/>
              <w:ind w:left="86"/>
              <w:spacing w:before="105" w:line="221" w:lineRule="auto"/>
              <w:rPr>
                <w:sz w:val="11"/>
                <w:szCs w:val="11"/>
              </w:rPr>
            </w:pPr>
            <w:r>
              <w:rPr>
                <w:sz w:val="11"/>
                <w:szCs w:val="11"/>
                <w:spacing w:val="1"/>
              </w:rPr>
              <w:t>1000</w:t>
            </w:r>
            <w:r>
              <w:rPr>
                <w:sz w:val="11"/>
                <w:szCs w:val="11"/>
              </w:rPr>
              <w:t>ml</w:t>
            </w:r>
            <w:r>
              <w:rPr>
                <w:sz w:val="11"/>
                <w:szCs w:val="11"/>
                <w:spacing w:val="1"/>
              </w:rPr>
              <w:t>/瓶</w:t>
            </w:r>
          </w:p>
        </w:tc>
        <w:tc>
          <w:tcPr>
            <w:tcW w:w="2553" w:type="dxa"/>
            <w:vAlign w:val="top"/>
            <w:tcBorders>
              <w:bottom w:val="single" w:color="000000" w:sz="2" w:space="0"/>
              <w:top w:val="single" w:color="000000" w:sz="2" w:space="0"/>
            </w:tcBorders>
          </w:tcPr>
          <w:p>
            <w:pPr>
              <w:pStyle w:val="TableText"/>
              <w:spacing w:before="24" w:line="219" w:lineRule="auto"/>
              <w:jc w:val="right"/>
              <w:rPr>
                <w:sz w:val="11"/>
                <w:szCs w:val="11"/>
              </w:rPr>
            </w:pPr>
            <w:r>
              <w:rPr>
                <w:sz w:val="11"/>
                <w:szCs w:val="11"/>
                <w:spacing w:val="-2"/>
              </w:rPr>
              <w:t>550%多南灵805齿液混合喷酒叶片，常</w:t>
            </w:r>
            <w:r>
              <w:rPr>
                <w:sz w:val="11"/>
                <w:szCs w:val="11"/>
                <w:spacing w:val="-3"/>
              </w:rPr>
              <w:t>用于防治煤污病</w:t>
            </w:r>
          </w:p>
        </w:tc>
      </w:tr>
      <w:tr>
        <w:trPr>
          <w:trHeight w:val="225"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13"/>
              <w:spacing w:before="64" w:line="218" w:lineRule="auto"/>
              <w:rPr>
                <w:sz w:val="11"/>
                <w:szCs w:val="11"/>
              </w:rPr>
            </w:pPr>
            <w:r>
              <w:rPr>
                <w:sz w:val="11"/>
                <w:szCs w:val="11"/>
                <w:spacing w:val="-2"/>
              </w:rPr>
              <w:t>中威新资/草坪杀菌剂</w:t>
            </w:r>
          </w:p>
        </w:tc>
        <w:tc>
          <w:tcPr>
            <w:tcW w:w="1829" w:type="dxa"/>
            <w:vAlign w:val="top"/>
            <w:tcBorders>
              <w:bottom w:val="single" w:color="000000" w:sz="2" w:space="0"/>
              <w:top w:val="single" w:color="000000" w:sz="2" w:space="0"/>
            </w:tcBorders>
          </w:tcPr>
          <w:p>
            <w:pPr>
              <w:pStyle w:val="TableText"/>
              <w:ind w:left="494"/>
              <w:spacing w:before="64" w:line="220" w:lineRule="auto"/>
              <w:rPr>
                <w:sz w:val="11"/>
                <w:szCs w:val="11"/>
              </w:rPr>
            </w:pPr>
            <w:r>
              <w:rPr>
                <w:sz w:val="11"/>
                <w:szCs w:val="11"/>
                <w:spacing w:val="-7"/>
              </w:rPr>
              <w:t>甲霜灵</w:t>
            </w:r>
            <w:r>
              <w:rPr>
                <w:sz w:val="11"/>
                <w:szCs w:val="11"/>
                <w:spacing w:val="-12"/>
              </w:rPr>
              <w:t xml:space="preserve"> </w:t>
            </w:r>
            <w:r>
              <w:rPr>
                <w:sz w:val="11"/>
                <w:szCs w:val="11"/>
                <w:spacing w:val="-7"/>
              </w:rPr>
              <w:t>·锰拌58%</w:t>
            </w:r>
          </w:p>
        </w:tc>
        <w:tc>
          <w:tcPr>
            <w:tcW w:w="1599" w:type="dxa"/>
            <w:vAlign w:val="top"/>
            <w:tcBorders>
              <w:bottom w:val="single" w:color="000000" w:sz="2" w:space="0"/>
              <w:top w:val="single" w:color="000000" w:sz="2" w:space="0"/>
            </w:tcBorders>
          </w:tcPr>
          <w:p>
            <w:pPr>
              <w:pStyle w:val="TableText"/>
              <w:ind w:left="515"/>
              <w:spacing w:before="64" w:line="220" w:lineRule="auto"/>
              <w:rPr>
                <w:sz w:val="11"/>
                <w:szCs w:val="11"/>
              </w:rPr>
            </w:pPr>
            <w:r>
              <w:rPr>
                <w:sz w:val="11"/>
                <w:szCs w:val="11"/>
                <w:spacing w:val="-1"/>
              </w:rPr>
              <w:t>00-800倍液</w:t>
            </w:r>
          </w:p>
        </w:tc>
        <w:tc>
          <w:tcPr>
            <w:tcW w:w="1329" w:type="dxa"/>
            <w:vAlign w:val="top"/>
            <w:vMerge w:val="restart"/>
            <w:tcBorders>
              <w:bottom w:val="nil"/>
              <w:top w:val="single" w:color="000000" w:sz="2" w:space="0"/>
            </w:tcBorders>
          </w:tcPr>
          <w:p>
            <w:pPr>
              <w:pStyle w:val="TableText"/>
              <w:ind w:left="56"/>
              <w:spacing w:before="164" w:line="219" w:lineRule="auto"/>
              <w:rPr>
                <w:sz w:val="11"/>
                <w:szCs w:val="11"/>
              </w:rPr>
            </w:pPr>
            <w:r>
              <w:rPr>
                <w:sz w:val="11"/>
                <w:szCs w:val="11"/>
                <w:spacing w:val="-1"/>
              </w:rPr>
              <w:t>间隔15-20天1次。连唤2-</w:t>
            </w:r>
          </w:p>
          <w:p>
            <w:pPr>
              <w:pStyle w:val="TableText"/>
              <w:ind w:left="575"/>
              <w:spacing w:before="9" w:line="219" w:lineRule="auto"/>
              <w:rPr>
                <w:sz w:val="11"/>
                <w:szCs w:val="11"/>
              </w:rPr>
            </w:pPr>
            <w:r>
              <w:rPr>
                <w:sz w:val="11"/>
                <w:szCs w:val="11"/>
                <w:spacing w:val="-1"/>
              </w:rPr>
              <w:t>4次</w:t>
            </w:r>
          </w:p>
        </w:tc>
        <w:tc>
          <w:tcPr>
            <w:tcW w:w="689" w:type="dxa"/>
            <w:vAlign w:val="top"/>
            <w:tcBorders>
              <w:bottom w:val="single" w:color="000000" w:sz="2" w:space="0"/>
              <w:top w:val="single" w:color="000000" w:sz="2" w:space="0"/>
            </w:tcBorders>
          </w:tcPr>
          <w:p>
            <w:pPr>
              <w:pStyle w:val="TableText"/>
              <w:ind w:left="147"/>
              <w:spacing w:before="61" w:line="213" w:lineRule="auto"/>
              <w:rPr>
                <w:sz w:val="11"/>
                <w:szCs w:val="11"/>
              </w:rPr>
            </w:pPr>
            <w:r>
              <w:rPr>
                <w:sz w:val="11"/>
                <w:szCs w:val="11"/>
                <w:spacing w:val="-2"/>
              </w:rPr>
              <w:t>100g/装</w:t>
            </w:r>
          </w:p>
        </w:tc>
        <w:tc>
          <w:tcPr>
            <w:tcW w:w="2553" w:type="dxa"/>
            <w:vAlign w:val="top"/>
            <w:tcBorders>
              <w:bottom w:val="single" w:color="000000" w:sz="2" w:space="0"/>
              <w:top w:val="single" w:color="000000" w:sz="2" w:space="0"/>
            </w:tcBorders>
          </w:tcPr>
          <w:p>
            <w:pPr>
              <w:pStyle w:val="TableText"/>
              <w:ind w:left="18"/>
              <w:spacing w:before="64" w:line="219" w:lineRule="auto"/>
              <w:rPr>
                <w:sz w:val="11"/>
                <w:szCs w:val="11"/>
              </w:rPr>
            </w:pPr>
            <w:r>
              <w:rPr>
                <w:sz w:val="11"/>
                <w:szCs w:val="11"/>
                <w:spacing w:val="-1"/>
              </w:rPr>
              <w:t>防治草坪霜霉病、叶斑病、立枯病、褐斑病、疫病等</w:t>
            </w:r>
          </w:p>
        </w:tc>
      </w:tr>
      <w:tr>
        <w:trPr>
          <w:trHeight w:val="335"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13"/>
              <w:spacing w:before="114" w:line="219" w:lineRule="auto"/>
              <w:rPr>
                <w:sz w:val="11"/>
                <w:szCs w:val="11"/>
              </w:rPr>
            </w:pPr>
            <w:r>
              <w:rPr>
                <w:sz w:val="11"/>
                <w:szCs w:val="11"/>
                <w:spacing w:val="-1"/>
              </w:rPr>
              <w:t>诺香信瑞托</w:t>
            </w:r>
          </w:p>
        </w:tc>
        <w:tc>
          <w:tcPr>
            <w:tcW w:w="1829" w:type="dxa"/>
            <w:vAlign w:val="top"/>
            <w:tcBorders>
              <w:bottom w:val="single" w:color="000000" w:sz="2" w:space="0"/>
              <w:top w:val="single" w:color="000000" w:sz="2" w:space="0"/>
            </w:tcBorders>
          </w:tcPr>
          <w:p>
            <w:pPr>
              <w:pStyle w:val="TableText"/>
              <w:ind w:left="544"/>
              <w:spacing w:before="114" w:line="219" w:lineRule="auto"/>
              <w:rPr>
                <w:sz w:val="11"/>
                <w:szCs w:val="11"/>
              </w:rPr>
            </w:pPr>
            <w:r>
              <w:rPr>
                <w:sz w:val="11"/>
                <w:szCs w:val="11"/>
              </w:rPr>
              <w:t>甲基硫菌灵50%</w:t>
            </w:r>
          </w:p>
        </w:tc>
        <w:tc>
          <w:tcPr>
            <w:tcW w:w="1599" w:type="dxa"/>
            <w:vAlign w:val="top"/>
            <w:tcBorders>
              <w:bottom w:val="single" w:color="000000" w:sz="2" w:space="0"/>
              <w:top w:val="single" w:color="000000" w:sz="2" w:space="0"/>
            </w:tcBorders>
          </w:tcPr>
          <w:p>
            <w:pPr>
              <w:pStyle w:val="TableText"/>
              <w:ind w:left="545"/>
              <w:spacing w:before="114" w:line="220" w:lineRule="auto"/>
              <w:rPr>
                <w:sz w:val="11"/>
                <w:szCs w:val="11"/>
              </w:rPr>
            </w:pPr>
            <w:r>
              <w:rPr>
                <w:sz w:val="11"/>
                <w:szCs w:val="11"/>
                <w:spacing w:val="-6"/>
              </w:rPr>
              <w:t>60D—80D倍</w:t>
            </w:r>
          </w:p>
        </w:tc>
        <w:tc>
          <w:tcPr>
            <w:tcW w:w="1329" w:type="dxa"/>
            <w:vAlign w:val="top"/>
            <w:vMerge w:val="continue"/>
            <w:tcBorders>
              <w:bottom w:val="single" w:color="000000" w:sz="2" w:space="0"/>
              <w:top w:val="nil"/>
            </w:tcBorders>
          </w:tcPr>
          <w:p>
            <w:pPr>
              <w:rPr>
                <w:rFonts w:ascii="Arial"/>
                <w:sz w:val="21"/>
              </w:rPr>
            </w:pPr>
            <w:r/>
          </w:p>
        </w:tc>
        <w:tc>
          <w:tcPr>
            <w:tcW w:w="689" w:type="dxa"/>
            <w:vAlign w:val="top"/>
            <w:tcBorders>
              <w:bottom w:val="single" w:color="000000" w:sz="2" w:space="0"/>
              <w:top w:val="single" w:color="000000" w:sz="2" w:space="0"/>
            </w:tcBorders>
          </w:tcPr>
          <w:p>
            <w:pPr>
              <w:pStyle w:val="TableText"/>
              <w:ind w:left="86"/>
              <w:spacing w:before="114" w:line="220" w:lineRule="auto"/>
              <w:rPr>
                <w:sz w:val="11"/>
                <w:szCs w:val="11"/>
              </w:rPr>
            </w:pPr>
            <w:r>
              <w:rPr>
                <w:sz w:val="11"/>
                <w:szCs w:val="11"/>
                <w:spacing w:val="1"/>
              </w:rPr>
              <w:t>1000</w:t>
            </w:r>
            <w:r>
              <w:rPr>
                <w:sz w:val="11"/>
                <w:szCs w:val="11"/>
              </w:rPr>
              <w:t>ml</w:t>
            </w:r>
            <w:r>
              <w:rPr>
                <w:sz w:val="11"/>
                <w:szCs w:val="11"/>
                <w:spacing w:val="1"/>
              </w:rPr>
              <w:t>/航</w:t>
            </w:r>
          </w:p>
        </w:tc>
        <w:tc>
          <w:tcPr>
            <w:tcW w:w="2553" w:type="dxa"/>
            <w:vAlign w:val="top"/>
            <w:tcBorders>
              <w:bottom w:val="single" w:color="000000" w:sz="2" w:space="0"/>
              <w:top w:val="single" w:color="000000" w:sz="2" w:space="0"/>
            </w:tcBorders>
          </w:tcPr>
          <w:p>
            <w:pPr>
              <w:pStyle w:val="TableText"/>
              <w:ind w:left="17"/>
              <w:spacing w:before="64" w:line="219" w:lineRule="auto"/>
              <w:rPr>
                <w:sz w:val="11"/>
                <w:szCs w:val="11"/>
              </w:rPr>
            </w:pPr>
            <w:r>
              <w:rPr>
                <w:sz w:val="11"/>
                <w:szCs w:val="11"/>
                <w:spacing w:val="-5"/>
              </w:rPr>
              <w:t>高效广谱内吸录南剂，罪粒细腻，骨散性好。防治花木</w:t>
            </w:r>
            <w:r>
              <w:rPr>
                <w:sz w:val="11"/>
                <w:szCs w:val="11"/>
                <w:spacing w:val="4"/>
              </w:rPr>
              <w:t xml:space="preserve"> </w:t>
            </w:r>
            <w:r>
              <w:rPr>
                <w:sz w:val="11"/>
                <w:szCs w:val="11"/>
                <w:spacing w:val="-2"/>
              </w:rPr>
              <w:t>叶斑、炭殖、斑暇黄化</w:t>
            </w:r>
          </w:p>
        </w:tc>
      </w:tr>
      <w:tr>
        <w:trPr>
          <w:trHeight w:val="355"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203"/>
              <w:spacing w:before="123" w:line="219" w:lineRule="auto"/>
              <w:rPr>
                <w:sz w:val="11"/>
                <w:szCs w:val="11"/>
              </w:rPr>
            </w:pPr>
            <w:r>
              <w:rPr>
                <w:sz w:val="11"/>
                <w:szCs w:val="11"/>
                <w:spacing w:val="-2"/>
              </w:rPr>
              <w:t>阿西米达悬浮液</w:t>
            </w:r>
          </w:p>
        </w:tc>
        <w:tc>
          <w:tcPr>
            <w:tcW w:w="1829" w:type="dxa"/>
            <w:vAlign w:val="top"/>
            <w:tcBorders>
              <w:bottom w:val="single" w:color="000000" w:sz="2" w:space="0"/>
              <w:top w:val="single" w:color="000000" w:sz="2" w:space="0"/>
            </w:tcBorders>
          </w:tcPr>
          <w:p>
            <w:pPr>
              <w:pStyle w:val="TableText"/>
              <w:ind w:left="744"/>
              <w:spacing w:before="123" w:line="219" w:lineRule="auto"/>
              <w:rPr>
                <w:sz w:val="11"/>
                <w:szCs w:val="11"/>
              </w:rPr>
            </w:pPr>
            <w:r>
              <w:rPr>
                <w:sz w:val="11"/>
                <w:szCs w:val="11"/>
                <w:spacing w:val="-2"/>
              </w:rPr>
              <w:t>喷菌酯</w:t>
            </w:r>
          </w:p>
        </w:tc>
        <w:tc>
          <w:tcPr>
            <w:tcW w:w="1599" w:type="dxa"/>
            <w:vAlign w:val="top"/>
            <w:tcBorders>
              <w:bottom w:val="single" w:color="000000" w:sz="2" w:space="0"/>
              <w:top w:val="single" w:color="000000" w:sz="2" w:space="0"/>
            </w:tcBorders>
          </w:tcPr>
          <w:p>
            <w:pPr>
              <w:pStyle w:val="TableText"/>
              <w:ind w:left="684" w:right="89" w:hanging="609"/>
              <w:spacing w:before="73" w:line="211" w:lineRule="auto"/>
              <w:rPr>
                <w:sz w:val="11"/>
                <w:szCs w:val="11"/>
              </w:rPr>
            </w:pPr>
            <w:r>
              <w:rPr>
                <w:sz w:val="11"/>
                <w:szCs w:val="11"/>
                <w:spacing w:val="-1"/>
              </w:rPr>
              <w:t>25%阿西米达悬浮液1200-1500</w:t>
            </w:r>
            <w:r>
              <w:rPr>
                <w:sz w:val="11"/>
                <w:szCs w:val="11"/>
                <w:spacing w:val="12"/>
              </w:rPr>
              <w:t xml:space="preserve"> </w:t>
            </w:r>
            <w:r>
              <w:rPr>
                <w:sz w:val="11"/>
                <w:szCs w:val="11"/>
                <w:spacing w:val="-2"/>
              </w:rPr>
              <w:t>倍液</w:t>
            </w:r>
          </w:p>
        </w:tc>
        <w:tc>
          <w:tcPr>
            <w:tcW w:w="1329" w:type="dxa"/>
            <w:vAlign w:val="top"/>
            <w:tcBorders>
              <w:bottom w:val="single" w:color="000000" w:sz="2" w:space="0"/>
              <w:top w:val="single" w:color="000000" w:sz="2" w:space="0"/>
            </w:tcBorders>
          </w:tcPr>
          <w:p>
            <w:pPr>
              <w:pStyle w:val="TableText"/>
              <w:ind w:left="545" w:right="58" w:hanging="489"/>
              <w:spacing w:before="73" w:line="211" w:lineRule="auto"/>
              <w:rPr>
                <w:sz w:val="11"/>
                <w:szCs w:val="11"/>
              </w:rPr>
            </w:pPr>
            <w:r>
              <w:rPr>
                <w:sz w:val="11"/>
                <w:szCs w:val="11"/>
                <w:spacing w:val="-1"/>
              </w:rPr>
              <w:t>一般用3次，时间间隔7到</w:t>
            </w:r>
            <w:r>
              <w:rPr>
                <w:sz w:val="11"/>
                <w:szCs w:val="11"/>
                <w:spacing w:val="4"/>
              </w:rPr>
              <w:t xml:space="preserve"> </w:t>
            </w:r>
            <w:r>
              <w:rPr>
                <w:sz w:val="11"/>
                <w:szCs w:val="11"/>
                <w:spacing w:val="-3"/>
              </w:rPr>
              <w:t>10天</w:t>
            </w:r>
          </w:p>
        </w:tc>
        <w:tc>
          <w:tcPr>
            <w:tcW w:w="689" w:type="dxa"/>
            <w:vAlign w:val="top"/>
            <w:tcBorders>
              <w:bottom w:val="single" w:color="000000" w:sz="2" w:space="0"/>
              <w:top w:val="single" w:color="000000" w:sz="2" w:space="0"/>
            </w:tcBorders>
          </w:tcPr>
          <w:p>
            <w:pPr>
              <w:pStyle w:val="TableText"/>
              <w:ind w:left="197"/>
              <w:spacing w:before="124" w:line="221" w:lineRule="auto"/>
              <w:rPr>
                <w:sz w:val="11"/>
                <w:szCs w:val="11"/>
              </w:rPr>
            </w:pPr>
            <w:r>
              <w:rPr>
                <w:sz w:val="11"/>
                <w:szCs w:val="11"/>
                <w:spacing w:val="2"/>
              </w:rPr>
              <w:t>11/瓶</w:t>
            </w:r>
          </w:p>
        </w:tc>
        <w:tc>
          <w:tcPr>
            <w:tcW w:w="2553" w:type="dxa"/>
            <w:vAlign w:val="top"/>
            <w:tcBorders>
              <w:bottom w:val="single" w:color="000000" w:sz="2" w:space="0"/>
              <w:top w:val="single" w:color="000000" w:sz="2" w:space="0"/>
            </w:tcBorders>
          </w:tcPr>
          <w:p>
            <w:pPr>
              <w:pStyle w:val="TableText"/>
              <w:spacing w:before="123" w:line="219" w:lineRule="auto"/>
              <w:jc w:val="right"/>
              <w:rPr>
                <w:sz w:val="11"/>
                <w:szCs w:val="11"/>
              </w:rPr>
            </w:pPr>
            <w:r>
              <w:rPr>
                <w:sz w:val="11"/>
                <w:szCs w:val="11"/>
                <w:spacing w:val="-1"/>
              </w:rPr>
              <w:t>广谱杀菌，对四大类致病真菌，天然低毒安全无公害</w:t>
            </w:r>
          </w:p>
        </w:tc>
      </w:tr>
      <w:tr>
        <w:trPr>
          <w:trHeight w:val="33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203"/>
              <w:spacing w:before="113" w:line="219" w:lineRule="auto"/>
              <w:rPr>
                <w:sz w:val="11"/>
                <w:szCs w:val="11"/>
              </w:rPr>
            </w:pPr>
            <w:r>
              <w:rPr>
                <w:sz w:val="11"/>
                <w:szCs w:val="11"/>
                <w:spacing w:val="3"/>
              </w:rPr>
              <w:t>特克多(噻菌灵)</w:t>
            </w:r>
          </w:p>
        </w:tc>
        <w:tc>
          <w:tcPr>
            <w:tcW w:w="1829" w:type="dxa"/>
            <w:vAlign w:val="top"/>
            <w:tcBorders>
              <w:bottom w:val="single" w:color="000000" w:sz="2" w:space="0"/>
              <w:top w:val="single" w:color="000000" w:sz="2" w:space="0"/>
            </w:tcBorders>
          </w:tcPr>
          <w:p>
            <w:pPr>
              <w:pStyle w:val="TableText"/>
              <w:ind w:left="684"/>
              <w:spacing w:before="113" w:line="218" w:lineRule="auto"/>
              <w:rPr>
                <w:sz w:val="11"/>
                <w:szCs w:val="11"/>
              </w:rPr>
            </w:pPr>
            <w:r>
              <w:rPr>
                <w:sz w:val="11"/>
                <w:szCs w:val="11"/>
                <w:spacing w:val="-1"/>
              </w:rPr>
              <w:t>笨咪唑类</w:t>
            </w:r>
          </w:p>
        </w:tc>
        <w:tc>
          <w:tcPr>
            <w:tcW w:w="1599" w:type="dxa"/>
            <w:vAlign w:val="top"/>
            <w:tcBorders>
              <w:bottom w:val="single" w:color="000000" w:sz="2" w:space="0"/>
              <w:top w:val="single" w:color="000000" w:sz="2" w:space="0"/>
            </w:tcBorders>
          </w:tcPr>
          <w:p>
            <w:pPr>
              <w:pStyle w:val="TableText"/>
              <w:ind w:left="355"/>
              <w:spacing w:before="113" w:line="220" w:lineRule="auto"/>
              <w:rPr>
                <w:sz w:val="11"/>
                <w:szCs w:val="11"/>
              </w:rPr>
            </w:pPr>
            <w:r>
              <w:rPr>
                <w:sz w:val="11"/>
                <w:szCs w:val="11"/>
                <w:spacing w:val="-1"/>
              </w:rPr>
              <w:t>45%悬浮600-800倍</w:t>
            </w:r>
          </w:p>
        </w:tc>
        <w:tc>
          <w:tcPr>
            <w:tcW w:w="1329" w:type="dxa"/>
            <w:vAlign w:val="top"/>
            <w:tcBorders>
              <w:bottom w:val="single" w:color="000000" w:sz="2" w:space="0"/>
              <w:top w:val="single" w:color="000000" w:sz="2" w:space="0"/>
            </w:tcBorders>
          </w:tcPr>
          <w:p>
            <w:pPr>
              <w:pStyle w:val="TableText"/>
              <w:ind w:left="56"/>
              <w:spacing w:before="213" w:line="186" w:lineRule="auto"/>
              <w:rPr>
                <w:sz w:val="11"/>
                <w:szCs w:val="11"/>
              </w:rPr>
            </w:pPr>
            <w:r>
              <w:rPr>
                <w:sz w:val="11"/>
                <w:szCs w:val="11"/>
                <w:spacing w:val="-1"/>
              </w:rPr>
              <w:t>间隔10-15天1次，连喷2-</w:t>
            </w:r>
          </w:p>
        </w:tc>
        <w:tc>
          <w:tcPr>
            <w:tcW w:w="689" w:type="dxa"/>
            <w:vAlign w:val="top"/>
            <w:tcBorders>
              <w:bottom w:val="single" w:color="000000" w:sz="2" w:space="0"/>
              <w:top w:val="single" w:color="000000" w:sz="2" w:space="0"/>
            </w:tcBorders>
          </w:tcPr>
          <w:p>
            <w:pPr>
              <w:pStyle w:val="TableText"/>
              <w:ind w:left="177"/>
              <w:spacing w:before="116" w:line="224" w:lineRule="auto"/>
              <w:rPr>
                <w:sz w:val="11"/>
                <w:szCs w:val="11"/>
              </w:rPr>
            </w:pPr>
            <w:r>
              <w:rPr>
                <w:sz w:val="11"/>
                <w:szCs w:val="11"/>
                <w:spacing w:val="-2"/>
              </w:rPr>
              <w:t>10ml/A</w:t>
            </w:r>
          </w:p>
        </w:tc>
        <w:tc>
          <w:tcPr>
            <w:tcW w:w="2553" w:type="dxa"/>
            <w:vAlign w:val="top"/>
            <w:tcBorders>
              <w:bottom w:val="single" w:color="000000" w:sz="2" w:space="0"/>
              <w:top w:val="single" w:color="000000" w:sz="2" w:space="0"/>
            </w:tcBorders>
          </w:tcPr>
          <w:p>
            <w:pPr>
              <w:pStyle w:val="TableText"/>
              <w:ind w:left="17"/>
              <w:spacing w:before="63" w:line="219" w:lineRule="auto"/>
              <w:rPr>
                <w:sz w:val="11"/>
                <w:szCs w:val="11"/>
              </w:rPr>
            </w:pPr>
            <w:r>
              <w:rPr>
                <w:sz w:val="11"/>
                <w:szCs w:val="11"/>
                <w:spacing w:val="-5"/>
              </w:rPr>
              <w:t>防治叶斑病，青霉病、炭瘤病、灰毒病、原星病、白粉</w:t>
            </w:r>
            <w:r>
              <w:rPr>
                <w:sz w:val="11"/>
                <w:szCs w:val="11"/>
                <w:spacing w:val="3"/>
              </w:rPr>
              <w:t xml:space="preserve"> </w:t>
            </w:r>
            <w:r>
              <w:rPr>
                <w:sz w:val="11"/>
                <w:szCs w:val="11"/>
                <w:spacing w:val="-1"/>
              </w:rPr>
              <w:t>病等助泊</w:t>
            </w:r>
          </w:p>
        </w:tc>
      </w:tr>
      <w:tr>
        <w:trPr>
          <w:trHeight w:val="44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123"/>
              <w:spacing w:before="173" w:line="219" w:lineRule="auto"/>
              <w:rPr>
                <w:sz w:val="11"/>
                <w:szCs w:val="11"/>
              </w:rPr>
            </w:pPr>
            <w:r>
              <w:rPr>
                <w:sz w:val="11"/>
                <w:szCs w:val="11"/>
                <w:spacing w:val="2"/>
              </w:rPr>
              <w:t>好靓《丙硫多菌灵)</w:t>
            </w:r>
          </w:p>
        </w:tc>
        <w:tc>
          <w:tcPr>
            <w:tcW w:w="1829" w:type="dxa"/>
            <w:vAlign w:val="top"/>
            <w:tcBorders>
              <w:bottom w:val="single" w:color="000000" w:sz="2" w:space="0"/>
              <w:top w:val="single" w:color="000000" w:sz="2" w:space="0"/>
            </w:tcBorders>
          </w:tcPr>
          <w:p>
            <w:pPr>
              <w:pStyle w:val="TableText"/>
              <w:ind w:left="684"/>
              <w:spacing w:before="174" w:line="220" w:lineRule="auto"/>
              <w:rPr>
                <w:sz w:val="11"/>
                <w:szCs w:val="11"/>
              </w:rPr>
            </w:pPr>
            <w:r>
              <w:rPr>
                <w:sz w:val="11"/>
                <w:szCs w:val="11"/>
                <w:spacing w:val="-2"/>
              </w:rPr>
              <w:t>丙硫味唑</w:t>
            </w:r>
          </w:p>
        </w:tc>
        <w:tc>
          <w:tcPr>
            <w:tcW w:w="1599" w:type="dxa"/>
            <w:vAlign w:val="top"/>
            <w:tcBorders>
              <w:bottom w:val="single" w:color="000000" w:sz="2" w:space="0"/>
              <w:top w:val="single" w:color="000000" w:sz="2" w:space="0"/>
            </w:tcBorders>
          </w:tcPr>
          <w:p>
            <w:pPr>
              <w:pStyle w:val="TableText"/>
              <w:ind w:left="325"/>
              <w:spacing w:before="173" w:line="219" w:lineRule="auto"/>
              <w:rPr>
                <w:sz w:val="11"/>
                <w:szCs w:val="11"/>
              </w:rPr>
            </w:pPr>
            <w:r>
              <w:rPr>
                <w:sz w:val="11"/>
                <w:szCs w:val="11"/>
                <w:spacing w:val="-1"/>
              </w:rPr>
              <w:t>20好散2000-3000倍</w:t>
            </w:r>
          </w:p>
        </w:tc>
        <w:tc>
          <w:tcPr>
            <w:tcW w:w="1329" w:type="dxa"/>
            <w:vAlign w:val="top"/>
            <w:tcBorders>
              <w:bottom w:val="single" w:color="000000" w:sz="2" w:space="0"/>
              <w:top w:val="single" w:color="000000" w:sz="2" w:space="0"/>
            </w:tcBorders>
          </w:tcPr>
          <w:p>
            <w:pPr>
              <w:pStyle w:val="TableText"/>
              <w:ind w:left="575"/>
              <w:spacing w:before="63" w:line="219" w:lineRule="auto"/>
              <w:rPr>
                <w:sz w:val="11"/>
                <w:szCs w:val="11"/>
              </w:rPr>
            </w:pPr>
            <w:r>
              <w:rPr>
                <w:sz w:val="11"/>
                <w:szCs w:val="11"/>
                <w:spacing w:val="-2"/>
              </w:rPr>
              <w:t>3次</w:t>
            </w:r>
          </w:p>
        </w:tc>
        <w:tc>
          <w:tcPr>
            <w:tcW w:w="689" w:type="dxa"/>
            <w:vAlign w:val="top"/>
            <w:tcBorders>
              <w:bottom w:val="single" w:color="000000" w:sz="2" w:space="0"/>
              <w:top w:val="single" w:color="000000" w:sz="2" w:space="0"/>
            </w:tcBorders>
          </w:tcPr>
          <w:p>
            <w:pPr>
              <w:pStyle w:val="TableText"/>
              <w:ind w:left="177"/>
              <w:spacing w:before="170" w:line="213" w:lineRule="auto"/>
              <w:rPr>
                <w:sz w:val="11"/>
                <w:szCs w:val="11"/>
              </w:rPr>
            </w:pPr>
            <w:r>
              <w:rPr>
                <w:sz w:val="11"/>
                <w:szCs w:val="11"/>
                <w:spacing w:val="-1"/>
              </w:rPr>
              <w:t>50g/装</w:t>
            </w:r>
          </w:p>
        </w:tc>
        <w:tc>
          <w:tcPr>
            <w:tcW w:w="2553" w:type="dxa"/>
            <w:vAlign w:val="top"/>
            <w:tcBorders>
              <w:bottom w:val="single" w:color="000000" w:sz="2" w:space="0"/>
              <w:top w:val="single" w:color="000000" w:sz="2" w:space="0"/>
            </w:tcBorders>
          </w:tcPr>
          <w:p>
            <w:pPr>
              <w:pStyle w:val="TableText"/>
              <w:ind w:left="17"/>
              <w:spacing w:before="44" w:line="218" w:lineRule="auto"/>
              <w:rPr>
                <w:sz w:val="11"/>
                <w:szCs w:val="11"/>
              </w:rPr>
            </w:pPr>
            <w:r>
              <w:rPr>
                <w:sz w:val="11"/>
                <w:szCs w:val="11"/>
                <w:spacing w:val="-1"/>
              </w:rPr>
              <w:t>广谱内暇性杀南剂。可用于防治枯菱病、疫病、腐霉</w:t>
            </w:r>
            <w:r>
              <w:rPr>
                <w:sz w:val="11"/>
                <w:szCs w:val="11"/>
                <w:spacing w:val="16"/>
                <w:w w:val="101"/>
              </w:rPr>
              <w:t xml:space="preserve"> </w:t>
            </w:r>
            <w:r>
              <w:rPr>
                <w:sz w:val="11"/>
                <w:szCs w:val="11"/>
                <w:spacing w:val="-1"/>
              </w:rPr>
              <w:t>病，立枯病，根腐病、茎腐病，猝恻病等多种病害。</w:t>
            </w:r>
            <w:r>
              <w:rPr>
                <w:sz w:val="11"/>
                <w:szCs w:val="11"/>
                <w:spacing w:val="16"/>
                <w:w w:val="101"/>
              </w:rPr>
              <w:t xml:space="preserve"> </w:t>
            </w:r>
            <w:r>
              <w:rPr>
                <w:sz w:val="11"/>
                <w:szCs w:val="11"/>
                <w:spacing w:val="-1"/>
              </w:rPr>
              <w:t>使用方法：诸根，喷雾</w:t>
            </w:r>
          </w:p>
        </w:tc>
      </w:tr>
      <w:tr>
        <w:trPr>
          <w:trHeight w:val="41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23"/>
              <w:spacing w:before="154" w:line="218" w:lineRule="auto"/>
              <w:rPr>
                <w:sz w:val="11"/>
                <w:szCs w:val="11"/>
              </w:rPr>
            </w:pPr>
            <w:r>
              <w:rPr>
                <w:sz w:val="11"/>
                <w:szCs w:val="11"/>
                <w:spacing w:val="-1"/>
              </w:rPr>
              <w:t>青力克</w:t>
            </w:r>
          </w:p>
        </w:tc>
        <w:tc>
          <w:tcPr>
            <w:tcW w:w="1829" w:type="dxa"/>
            <w:vAlign w:val="top"/>
            <w:tcBorders>
              <w:bottom w:val="single" w:color="000000" w:sz="2" w:space="0"/>
              <w:top w:val="single" w:color="000000" w:sz="2" w:space="0"/>
            </w:tcBorders>
          </w:tcPr>
          <w:p>
            <w:pPr>
              <w:pStyle w:val="TableText"/>
              <w:ind w:left="604"/>
              <w:spacing w:before="154" w:line="219" w:lineRule="auto"/>
              <w:rPr>
                <w:sz w:val="11"/>
                <w:szCs w:val="11"/>
              </w:rPr>
            </w:pPr>
            <w:r>
              <w:rPr>
                <w:sz w:val="11"/>
                <w:szCs w:val="11"/>
                <w:spacing w:val="-1"/>
              </w:rPr>
              <w:t>72.2%丙酸胶</w:t>
            </w:r>
          </w:p>
        </w:tc>
        <w:tc>
          <w:tcPr>
            <w:tcW w:w="1599" w:type="dxa"/>
            <w:vAlign w:val="top"/>
            <w:tcBorders>
              <w:bottom w:val="single" w:color="000000" w:sz="2" w:space="0"/>
              <w:top w:val="single" w:color="000000" w:sz="2" w:space="0"/>
            </w:tcBorders>
          </w:tcPr>
          <w:p>
            <w:pPr>
              <w:pStyle w:val="TableText"/>
              <w:ind w:left="465"/>
              <w:spacing w:before="154" w:line="220" w:lineRule="auto"/>
              <w:rPr>
                <w:sz w:val="11"/>
                <w:szCs w:val="11"/>
              </w:rPr>
            </w:pPr>
            <w:r>
              <w:rPr>
                <w:sz w:val="11"/>
                <w:szCs w:val="11"/>
                <w:spacing w:val="-1"/>
              </w:rPr>
              <w:t>800-1000倍液</w:t>
            </w:r>
          </w:p>
        </w:tc>
        <w:tc>
          <w:tcPr>
            <w:tcW w:w="1329" w:type="dxa"/>
            <w:vAlign w:val="top"/>
            <w:tcBorders>
              <w:bottom w:val="single" w:color="000000" w:sz="2" w:space="0"/>
              <w:top w:val="single" w:color="000000" w:sz="2" w:space="0"/>
            </w:tcBorders>
          </w:tcPr>
          <w:p>
            <w:pPr>
              <w:pStyle w:val="TableText"/>
              <w:ind w:left="106" w:right="5" w:firstLine="9"/>
              <w:spacing w:before="33" w:line="202" w:lineRule="auto"/>
              <w:rPr>
                <w:sz w:val="11"/>
                <w:szCs w:val="11"/>
              </w:rPr>
            </w:pPr>
            <w:r>
              <w:rPr>
                <w:sz w:val="11"/>
                <w:szCs w:val="11"/>
                <w:spacing w:val="-2"/>
              </w:rPr>
              <w:t>10天一次，连续咦酒病部</w:t>
            </w:r>
            <w:r>
              <w:rPr>
                <w:sz w:val="11"/>
                <w:szCs w:val="11"/>
                <w:spacing w:val="10"/>
              </w:rPr>
              <w:t xml:space="preserve"> </w:t>
            </w:r>
            <w:r>
              <w:rPr>
                <w:sz w:val="11"/>
                <w:szCs w:val="11"/>
                <w:spacing w:val="-1"/>
              </w:rPr>
              <w:t>地面2-3次。喷药1小时内</w:t>
            </w:r>
          </w:p>
          <w:p>
            <w:pPr>
              <w:pStyle w:val="TableText"/>
              <w:ind w:left="326"/>
              <w:spacing w:line="217" w:lineRule="auto"/>
              <w:rPr>
                <w:sz w:val="11"/>
                <w:szCs w:val="11"/>
              </w:rPr>
            </w:pPr>
            <w:r>
              <w:rPr>
                <w:sz w:val="11"/>
                <w:szCs w:val="11"/>
                <w:spacing w:val="-1"/>
              </w:rPr>
              <w:t>遇雨，需重喷</w:t>
            </w:r>
          </w:p>
        </w:tc>
        <w:tc>
          <w:tcPr>
            <w:tcW w:w="689" w:type="dxa"/>
            <w:vAlign w:val="top"/>
            <w:tcBorders>
              <w:bottom w:val="single" w:color="000000" w:sz="2" w:space="0"/>
              <w:top w:val="single" w:color="000000" w:sz="2" w:space="0"/>
            </w:tcBorders>
          </w:tcPr>
          <w:p>
            <w:pPr>
              <w:pStyle w:val="TableText"/>
              <w:ind w:left="117"/>
              <w:spacing w:before="154" w:line="221" w:lineRule="auto"/>
              <w:rPr>
                <w:sz w:val="11"/>
                <w:szCs w:val="11"/>
              </w:rPr>
            </w:pPr>
            <w:r>
              <w:rPr>
                <w:sz w:val="11"/>
                <w:szCs w:val="11"/>
                <w:spacing w:val="-2"/>
              </w:rPr>
              <w:t>100ml/瓶</w:t>
            </w:r>
          </w:p>
        </w:tc>
        <w:tc>
          <w:tcPr>
            <w:tcW w:w="2553" w:type="dxa"/>
            <w:vAlign w:val="top"/>
            <w:tcBorders>
              <w:bottom w:val="single" w:color="000000" w:sz="2" w:space="0"/>
              <w:top w:val="single" w:color="000000" w:sz="2" w:space="0"/>
            </w:tcBorders>
          </w:tcPr>
          <w:p>
            <w:pPr>
              <w:pStyle w:val="TableText"/>
              <w:ind w:left="17"/>
              <w:spacing w:before="154" w:line="219" w:lineRule="auto"/>
              <w:rPr>
                <w:sz w:val="11"/>
                <w:szCs w:val="11"/>
              </w:rPr>
            </w:pPr>
            <w:r>
              <w:rPr>
                <w:sz w:val="11"/>
                <w:szCs w:val="11"/>
                <w:spacing w:val="-1"/>
              </w:rPr>
              <w:t>对根腐病、霜霉病、立枯病、猝倒病有特效</w:t>
            </w:r>
          </w:p>
        </w:tc>
      </w:tr>
      <w:tr>
        <w:trPr>
          <w:trHeight w:val="365"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23"/>
              <w:spacing w:before="135" w:line="220" w:lineRule="auto"/>
              <w:rPr>
                <w:sz w:val="11"/>
                <w:szCs w:val="11"/>
              </w:rPr>
            </w:pPr>
            <w:r>
              <w:rPr>
                <w:sz w:val="11"/>
                <w:szCs w:val="11"/>
                <w:spacing w:val="-1"/>
              </w:rPr>
              <w:t>链霉索</w:t>
            </w:r>
          </w:p>
        </w:tc>
        <w:tc>
          <w:tcPr>
            <w:tcW w:w="1829" w:type="dxa"/>
            <w:vAlign w:val="top"/>
            <w:tcBorders>
              <w:bottom w:val="single" w:color="000000" w:sz="2" w:space="0"/>
              <w:top w:val="single" w:color="000000" w:sz="2" w:space="0"/>
            </w:tcBorders>
          </w:tcPr>
          <w:p>
            <w:pPr>
              <w:pStyle w:val="TableText"/>
              <w:ind w:left="684"/>
              <w:spacing w:before="135" w:line="220" w:lineRule="auto"/>
              <w:rPr>
                <w:sz w:val="11"/>
                <w:szCs w:val="11"/>
              </w:rPr>
            </w:pPr>
            <w:r>
              <w:rPr>
                <w:sz w:val="11"/>
                <w:szCs w:val="11"/>
                <w:spacing w:val="-1"/>
              </w:rPr>
              <w:t>T2链霉索</w:t>
            </w:r>
          </w:p>
        </w:tc>
        <w:tc>
          <w:tcPr>
            <w:tcW w:w="1599" w:type="dxa"/>
            <w:vAlign w:val="top"/>
            <w:tcBorders>
              <w:bottom w:val="single" w:color="000000" w:sz="2" w:space="0"/>
              <w:top w:val="single" w:color="000000" w:sz="2" w:space="0"/>
            </w:tcBorders>
          </w:tcPr>
          <w:p>
            <w:pPr>
              <w:pStyle w:val="TableText"/>
              <w:ind w:left="575"/>
              <w:spacing w:before="135" w:line="220" w:lineRule="auto"/>
              <w:rPr>
                <w:sz w:val="11"/>
                <w:szCs w:val="11"/>
              </w:rPr>
            </w:pPr>
            <w:r>
              <w:rPr>
                <w:sz w:val="11"/>
                <w:szCs w:val="11"/>
                <w:spacing w:val="-1"/>
              </w:rPr>
              <w:t>3000倍液</w:t>
            </w:r>
          </w:p>
        </w:tc>
        <w:tc>
          <w:tcPr>
            <w:tcW w:w="1329" w:type="dxa"/>
            <w:vAlign w:val="top"/>
            <w:vMerge w:val="restart"/>
            <w:tcBorders>
              <w:bottom w:val="nil"/>
              <w:top w:val="single" w:color="000000" w:sz="2" w:space="0"/>
            </w:tcBorders>
          </w:tcPr>
          <w:p>
            <w:pPr>
              <w:pStyle w:val="TableText"/>
              <w:ind w:left="26"/>
              <w:spacing w:before="254" w:line="218" w:lineRule="auto"/>
              <w:rPr>
                <w:sz w:val="11"/>
                <w:szCs w:val="11"/>
              </w:rPr>
            </w:pPr>
            <w:r>
              <w:rPr>
                <w:sz w:val="11"/>
                <w:szCs w:val="11"/>
                <w:spacing w:val="-1"/>
              </w:rPr>
              <w:t>每10天喷施一次。连喷3至</w:t>
            </w:r>
          </w:p>
          <w:p>
            <w:pPr>
              <w:pStyle w:val="TableText"/>
              <w:ind w:left="545"/>
              <w:spacing w:line="219" w:lineRule="auto"/>
              <w:rPr>
                <w:sz w:val="11"/>
                <w:szCs w:val="11"/>
              </w:rPr>
            </w:pPr>
            <w:r>
              <w:rPr>
                <w:sz w:val="11"/>
                <w:szCs w:val="11"/>
                <w:spacing w:val="-4"/>
              </w:rPr>
              <w:t>4次。</w:t>
            </w:r>
          </w:p>
        </w:tc>
        <w:tc>
          <w:tcPr>
            <w:tcW w:w="689" w:type="dxa"/>
            <w:vAlign w:val="top"/>
            <w:tcBorders>
              <w:bottom w:val="single" w:color="000000" w:sz="2" w:space="0"/>
              <w:top w:val="single" w:color="000000" w:sz="2" w:space="0"/>
            </w:tcBorders>
          </w:tcPr>
          <w:p>
            <w:pPr>
              <w:pStyle w:val="TableText"/>
              <w:ind w:left="177"/>
              <w:spacing w:before="131" w:line="213" w:lineRule="auto"/>
              <w:rPr>
                <w:sz w:val="11"/>
                <w:szCs w:val="11"/>
              </w:rPr>
            </w:pPr>
            <w:r>
              <w:rPr>
                <w:sz w:val="11"/>
                <w:szCs w:val="11"/>
                <w:spacing w:val="-2"/>
              </w:rPr>
              <w:t>15g/装</w:t>
            </w:r>
          </w:p>
        </w:tc>
        <w:tc>
          <w:tcPr>
            <w:tcW w:w="2553" w:type="dxa"/>
            <w:vAlign w:val="top"/>
            <w:vMerge w:val="restart"/>
            <w:tcBorders>
              <w:bottom w:val="nil"/>
              <w:top w:val="single" w:color="000000" w:sz="2" w:space="0"/>
            </w:tcBorders>
          </w:tcPr>
          <w:p>
            <w:pPr>
              <w:spacing w:line="257" w:lineRule="auto"/>
              <w:rPr>
                <w:rFonts w:ascii="Arial"/>
                <w:sz w:val="21"/>
              </w:rPr>
            </w:pPr>
            <w:r/>
          </w:p>
          <w:p>
            <w:pPr>
              <w:pStyle w:val="TableText"/>
              <w:ind w:left="18"/>
              <w:spacing w:before="36" w:line="219" w:lineRule="auto"/>
              <w:rPr>
                <w:sz w:val="11"/>
                <w:szCs w:val="11"/>
              </w:rPr>
            </w:pPr>
            <w:r>
              <w:rPr>
                <w:sz w:val="11"/>
                <w:szCs w:val="11"/>
                <w:spacing w:val="-1"/>
              </w:rPr>
              <w:t>防治坦面性穿孔病，对细面性病害有特效</w:t>
            </w:r>
          </w:p>
        </w:tc>
      </w:tr>
      <w:tr>
        <w:trPr>
          <w:trHeight w:val="32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23"/>
              <w:spacing w:before="124" w:line="221" w:lineRule="auto"/>
              <w:rPr>
                <w:sz w:val="11"/>
                <w:szCs w:val="11"/>
              </w:rPr>
            </w:pPr>
            <w:r>
              <w:rPr>
                <w:sz w:val="11"/>
                <w:szCs w:val="11"/>
                <w:spacing w:val="-2"/>
              </w:rPr>
              <w:t>细面灵</w:t>
            </w:r>
          </w:p>
        </w:tc>
        <w:tc>
          <w:tcPr>
            <w:tcW w:w="1829" w:type="dxa"/>
            <w:vAlign w:val="top"/>
            <w:tcBorders>
              <w:bottom w:val="single" w:color="000000" w:sz="2" w:space="0"/>
              <w:top w:val="single" w:color="000000" w:sz="2" w:space="0"/>
            </w:tcBorders>
          </w:tcPr>
          <w:p>
            <w:pPr>
              <w:pStyle w:val="TableText"/>
              <w:ind w:left="324"/>
              <w:spacing w:before="54" w:line="219" w:lineRule="auto"/>
              <w:rPr>
                <w:sz w:val="11"/>
                <w:szCs w:val="11"/>
              </w:rPr>
            </w:pPr>
            <w:r>
              <w:rPr>
                <w:sz w:val="11"/>
                <w:szCs w:val="11"/>
                <w:spacing w:val="-1"/>
              </w:rPr>
              <w:t>40%多菌灵，30中生霉素</w:t>
            </w:r>
          </w:p>
        </w:tc>
        <w:tc>
          <w:tcPr>
            <w:tcW w:w="1599" w:type="dxa"/>
            <w:vAlign w:val="top"/>
            <w:tcBorders>
              <w:bottom w:val="single" w:color="000000" w:sz="2" w:space="0"/>
              <w:top w:val="single" w:color="000000" w:sz="2" w:space="0"/>
            </w:tcBorders>
          </w:tcPr>
          <w:p>
            <w:pPr>
              <w:pStyle w:val="TableText"/>
              <w:ind w:left="545"/>
              <w:spacing w:before="114" w:line="220" w:lineRule="auto"/>
              <w:rPr>
                <w:sz w:val="11"/>
                <w:szCs w:val="11"/>
              </w:rPr>
            </w:pPr>
            <w:r>
              <w:rPr>
                <w:sz w:val="11"/>
                <w:szCs w:val="11"/>
                <w:spacing w:val="-1"/>
              </w:rPr>
              <w:t>500-000倍</w:t>
            </w:r>
          </w:p>
        </w:tc>
        <w:tc>
          <w:tcPr>
            <w:tcW w:w="1329" w:type="dxa"/>
            <w:vAlign w:val="top"/>
            <w:vMerge w:val="continue"/>
            <w:tcBorders>
              <w:bottom w:val="single" w:color="000000" w:sz="2" w:space="0"/>
              <w:top w:val="nil"/>
            </w:tcBorders>
          </w:tcPr>
          <w:p>
            <w:pPr>
              <w:rPr>
                <w:rFonts w:ascii="Arial"/>
                <w:sz w:val="21"/>
              </w:rPr>
            </w:pPr>
            <w:r/>
          </w:p>
        </w:tc>
        <w:tc>
          <w:tcPr>
            <w:tcW w:w="689" w:type="dxa"/>
            <w:vAlign w:val="top"/>
            <w:tcBorders>
              <w:bottom w:val="single" w:color="000000" w:sz="2" w:space="0"/>
              <w:top w:val="single" w:color="000000" w:sz="2" w:space="0"/>
            </w:tcBorders>
          </w:tcPr>
          <w:p>
            <w:pPr>
              <w:pStyle w:val="TableText"/>
              <w:ind w:left="177"/>
              <w:spacing w:before="121" w:line="213" w:lineRule="auto"/>
              <w:rPr>
                <w:sz w:val="11"/>
                <w:szCs w:val="11"/>
              </w:rPr>
            </w:pPr>
            <w:r>
              <w:rPr>
                <w:sz w:val="11"/>
                <w:szCs w:val="11"/>
                <w:spacing w:val="-1"/>
              </w:rPr>
              <w:t>25g/袋</w:t>
            </w:r>
          </w:p>
        </w:tc>
        <w:tc>
          <w:tcPr>
            <w:tcW w:w="2553" w:type="dxa"/>
            <w:vAlign w:val="top"/>
            <w:vMerge w:val="continue"/>
            <w:tcBorders>
              <w:bottom w:val="single" w:color="000000" w:sz="2" w:space="0"/>
              <w:top w:val="nil"/>
            </w:tcBorders>
          </w:tcPr>
          <w:p>
            <w:pPr>
              <w:rPr>
                <w:rFonts w:ascii="Arial"/>
                <w:sz w:val="21"/>
              </w:rPr>
            </w:pPr>
            <w:r/>
          </w:p>
        </w:tc>
      </w:tr>
      <w:tr>
        <w:trPr>
          <w:trHeight w:val="365" w:hRule="atLeast"/>
        </w:trPr>
        <w:tc>
          <w:tcPr>
            <w:tcW w:w="385" w:type="dxa"/>
            <w:vAlign w:val="top"/>
            <w:vMerge w:val="continue"/>
            <w:tcBorders>
              <w:bottom w:val="single" w:color="000000" w:sz="2" w:space="0"/>
              <w:top w:val="nil"/>
            </w:tcBorders>
          </w:tcPr>
          <w:p>
            <w:pPr>
              <w:rPr>
                <w:rFonts w:ascii="Arial"/>
                <w:sz w:val="21"/>
              </w:rPr>
            </w:pPr>
            <w:r/>
          </w:p>
        </w:tc>
        <w:tc>
          <w:tcPr>
            <w:tcW w:w="51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423"/>
              <w:spacing w:before="134" w:line="219" w:lineRule="auto"/>
              <w:rPr>
                <w:sz w:val="11"/>
                <w:szCs w:val="11"/>
              </w:rPr>
            </w:pPr>
            <w:r>
              <w:rPr>
                <w:sz w:val="11"/>
                <w:szCs w:val="11"/>
                <w:spacing w:val="-2"/>
              </w:rPr>
              <w:t>植病灵</w:t>
            </w:r>
          </w:p>
        </w:tc>
        <w:tc>
          <w:tcPr>
            <w:tcW w:w="1829" w:type="dxa"/>
            <w:vAlign w:val="top"/>
            <w:tcBorders>
              <w:bottom w:val="single" w:color="000000" w:sz="2" w:space="0"/>
              <w:top w:val="single" w:color="000000" w:sz="2" w:space="0"/>
            </w:tcBorders>
          </w:tcPr>
          <w:p>
            <w:pPr>
              <w:pStyle w:val="TableText"/>
              <w:ind w:left="354"/>
              <w:spacing w:before="135" w:line="220" w:lineRule="auto"/>
              <w:rPr>
                <w:sz w:val="11"/>
                <w:szCs w:val="11"/>
              </w:rPr>
            </w:pPr>
            <w:r>
              <w:rPr>
                <w:sz w:val="11"/>
                <w:szCs w:val="11"/>
                <w:spacing w:val="-1"/>
              </w:rPr>
              <w:t>黏酸金刚乙胺、丙环唑</w:t>
            </w:r>
          </w:p>
        </w:tc>
        <w:tc>
          <w:tcPr>
            <w:tcW w:w="1599" w:type="dxa"/>
            <w:vAlign w:val="top"/>
            <w:tcBorders>
              <w:bottom w:val="single" w:color="000000" w:sz="2" w:space="0"/>
              <w:top w:val="single" w:color="000000" w:sz="2" w:space="0"/>
            </w:tcBorders>
          </w:tcPr>
          <w:p>
            <w:pPr>
              <w:pStyle w:val="TableText"/>
              <w:ind w:left="595"/>
              <w:spacing w:before="135" w:line="220" w:lineRule="auto"/>
              <w:rPr>
                <w:sz w:val="11"/>
                <w:szCs w:val="11"/>
              </w:rPr>
            </w:pPr>
            <w:r>
              <w:rPr>
                <w:sz w:val="11"/>
                <w:szCs w:val="11"/>
                <w:spacing w:val="-1"/>
              </w:rPr>
              <w:t>800倍液</w:t>
            </w:r>
          </w:p>
        </w:tc>
        <w:tc>
          <w:tcPr>
            <w:tcW w:w="1329" w:type="dxa"/>
            <w:vAlign w:val="top"/>
            <w:tcBorders>
              <w:bottom w:val="single" w:color="000000" w:sz="2" w:space="0"/>
              <w:top w:val="single" w:color="000000" w:sz="2" w:space="0"/>
            </w:tcBorders>
          </w:tcPr>
          <w:p>
            <w:pPr>
              <w:pStyle w:val="TableText"/>
              <w:ind w:left="55" w:hanging="29"/>
              <w:spacing w:before="65" w:line="243" w:lineRule="auto"/>
              <w:rPr>
                <w:sz w:val="11"/>
                <w:szCs w:val="11"/>
              </w:rPr>
            </w:pPr>
            <w:r>
              <w:rPr>
                <w:sz w:val="11"/>
                <w:szCs w:val="11"/>
                <w:spacing w:val="-1"/>
              </w:rPr>
              <w:t>发病初期，每5-7天啖施一</w:t>
            </w:r>
            <w:r>
              <w:rPr>
                <w:sz w:val="11"/>
                <w:szCs w:val="11"/>
                <w:spacing w:val="2"/>
              </w:rPr>
              <w:t xml:space="preserve">  </w:t>
            </w:r>
            <w:r>
              <w:rPr>
                <w:sz w:val="11"/>
                <w:szCs w:val="11"/>
                <w:spacing w:val="-1"/>
              </w:rPr>
              <w:t>次，喷3遍，可减轻危害。</w:t>
            </w:r>
          </w:p>
        </w:tc>
        <w:tc>
          <w:tcPr>
            <w:tcW w:w="689" w:type="dxa"/>
            <w:vAlign w:val="top"/>
            <w:tcBorders>
              <w:bottom w:val="single" w:color="000000" w:sz="2" w:space="0"/>
              <w:top w:val="single" w:color="000000" w:sz="2" w:space="0"/>
            </w:tcBorders>
          </w:tcPr>
          <w:p>
            <w:pPr>
              <w:pStyle w:val="TableText"/>
              <w:ind w:left="147"/>
              <w:spacing w:before="135" w:line="221" w:lineRule="auto"/>
              <w:rPr>
                <w:sz w:val="11"/>
                <w:szCs w:val="11"/>
              </w:rPr>
            </w:pPr>
            <w:r>
              <w:rPr>
                <w:sz w:val="11"/>
                <w:szCs w:val="11"/>
                <w:spacing w:val="-2"/>
              </w:rPr>
              <w:t>15ml/瓶</w:t>
            </w:r>
          </w:p>
        </w:tc>
        <w:tc>
          <w:tcPr>
            <w:tcW w:w="2553" w:type="dxa"/>
            <w:vAlign w:val="top"/>
            <w:tcBorders>
              <w:bottom w:val="single" w:color="000000" w:sz="2" w:space="0"/>
              <w:top w:val="single" w:color="000000" w:sz="2" w:space="0"/>
            </w:tcBorders>
          </w:tcPr>
          <w:p>
            <w:pPr>
              <w:pStyle w:val="TableText"/>
              <w:ind w:left="18"/>
              <w:spacing w:before="134" w:line="219" w:lineRule="auto"/>
              <w:rPr>
                <w:sz w:val="11"/>
                <w:szCs w:val="11"/>
              </w:rPr>
            </w:pPr>
            <w:r>
              <w:rPr>
                <w:sz w:val="11"/>
                <w:szCs w:val="11"/>
                <w:spacing w:val="-1"/>
              </w:rPr>
              <w:t>防治花叶病，对幽毒性病害有特效</w:t>
            </w:r>
          </w:p>
        </w:tc>
      </w:tr>
      <w:tr>
        <w:trPr>
          <w:trHeight w:val="305" w:hRule="atLeast"/>
        </w:trPr>
        <w:tc>
          <w:tcPr>
            <w:tcW w:w="385" w:type="dxa"/>
            <w:vAlign w:val="top"/>
            <w:vMerge w:val="restart"/>
            <w:tcBorders>
              <w:bottom w:val="nil"/>
              <w:top w:val="single" w:color="000000" w:sz="2" w:space="0"/>
            </w:tcBorders>
          </w:tcPr>
          <w:p>
            <w:pPr>
              <w:spacing w:line="302" w:lineRule="auto"/>
              <w:rPr>
                <w:rFonts w:ascii="Arial"/>
                <w:sz w:val="21"/>
              </w:rPr>
            </w:pPr>
            <w:r/>
          </w:p>
          <w:p>
            <w:pPr>
              <w:spacing w:line="302" w:lineRule="auto"/>
              <w:rPr>
                <w:rFonts w:ascii="Arial"/>
                <w:sz w:val="21"/>
              </w:rPr>
            </w:pPr>
            <w:r/>
          </w:p>
          <w:p>
            <w:pPr>
              <w:pStyle w:val="TableText"/>
              <w:ind w:left="44"/>
              <w:spacing w:before="36" w:line="219" w:lineRule="auto"/>
              <w:rPr>
                <w:sz w:val="11"/>
                <w:szCs w:val="11"/>
              </w:rPr>
            </w:pPr>
            <w:r>
              <w:rPr>
                <w:sz w:val="11"/>
                <w:szCs w:val="11"/>
                <w:spacing w:val="-2"/>
              </w:rPr>
              <w:t>杀虫</w:t>
            </w:r>
          </w:p>
        </w:tc>
        <w:tc>
          <w:tcPr>
            <w:tcW w:w="510" w:type="dxa"/>
            <w:vAlign w:val="top"/>
            <w:vMerge w:val="restart"/>
            <w:tcBorders>
              <w:bottom w:val="nil"/>
              <w:top w:val="single" w:color="000000" w:sz="2" w:space="0"/>
            </w:tcBorders>
          </w:tcPr>
          <w:p>
            <w:pPr>
              <w:spacing w:line="302" w:lineRule="auto"/>
              <w:rPr>
                <w:rFonts w:ascii="Arial"/>
                <w:sz w:val="21"/>
              </w:rPr>
            </w:pPr>
            <w:r/>
          </w:p>
          <w:p>
            <w:pPr>
              <w:spacing w:line="302" w:lineRule="auto"/>
              <w:rPr>
                <w:rFonts w:ascii="Arial"/>
                <w:sz w:val="21"/>
              </w:rPr>
            </w:pPr>
            <w:r/>
          </w:p>
          <w:p>
            <w:pPr>
              <w:pStyle w:val="TableText"/>
              <w:ind w:left="20"/>
              <w:spacing w:before="36" w:line="219" w:lineRule="auto"/>
              <w:rPr>
                <w:sz w:val="11"/>
                <w:szCs w:val="11"/>
              </w:rPr>
            </w:pPr>
            <w:r>
              <w:rPr>
                <w:sz w:val="11"/>
                <w:szCs w:val="11"/>
                <w:spacing w:val="-1"/>
              </w:rPr>
              <w:t>食叶害虫</w:t>
            </w:r>
          </w:p>
        </w:tc>
        <w:tc>
          <w:tcPr>
            <w:tcW w:w="949" w:type="dxa"/>
            <w:vAlign w:val="top"/>
            <w:vMerge w:val="restart"/>
            <w:tcBorders>
              <w:bottom w:val="nil"/>
              <w:top w:val="single" w:color="000000" w:sz="2" w:space="0"/>
            </w:tcBorders>
          </w:tcPr>
          <w:p>
            <w:pPr>
              <w:pStyle w:val="TableText"/>
              <w:ind w:left="20"/>
              <w:spacing w:before="124" w:line="218" w:lineRule="auto"/>
              <w:rPr>
                <w:sz w:val="11"/>
                <w:szCs w:val="11"/>
              </w:rPr>
            </w:pPr>
            <w:r>
              <w:rPr>
                <w:sz w:val="11"/>
                <w:szCs w:val="11"/>
                <w:spacing w:val="-1"/>
              </w:rPr>
              <w:t>灰白查斌、棉透领</w:t>
            </w:r>
          </w:p>
          <w:p>
            <w:pPr>
              <w:pStyle w:val="TableText"/>
              <w:ind w:left="20"/>
              <w:spacing w:line="219" w:lineRule="auto"/>
              <w:rPr>
                <w:sz w:val="11"/>
                <w:szCs w:val="11"/>
              </w:rPr>
            </w:pPr>
            <w:r>
              <w:rPr>
                <w:sz w:val="11"/>
                <w:szCs w:val="11"/>
                <w:spacing w:val="-1"/>
              </w:rPr>
              <w:t>毒娘，双线盗毒娥</w:t>
            </w:r>
          </w:p>
          <w:p>
            <w:pPr>
              <w:pStyle w:val="TableText"/>
              <w:ind w:left="10" w:right="56" w:firstLine="9"/>
              <w:spacing w:before="9" w:line="210" w:lineRule="auto"/>
              <w:rPr>
                <w:sz w:val="11"/>
                <w:szCs w:val="11"/>
              </w:rPr>
            </w:pPr>
            <w:r>
              <w:rPr>
                <w:sz w:val="11"/>
                <w:szCs w:val="11"/>
                <w:spacing w:val="-3"/>
              </w:rPr>
              <w:t>、棉卷叶野明，竹</w:t>
            </w:r>
            <w:r>
              <w:rPr>
                <w:sz w:val="11"/>
                <w:szCs w:val="11"/>
                <w:spacing w:val="5"/>
              </w:rPr>
              <w:t xml:space="preserve"> </w:t>
            </w:r>
            <w:r>
              <w:rPr>
                <w:sz w:val="11"/>
                <w:szCs w:val="11"/>
                <w:spacing w:val="-1"/>
              </w:rPr>
              <w:t>炽叶野峡、绿翅</w:t>
            </w:r>
          </w:p>
          <w:p>
            <w:pPr>
              <w:pStyle w:val="TableText"/>
              <w:ind w:left="10"/>
              <w:spacing w:before="19" w:line="201" w:lineRule="auto"/>
              <w:rPr>
                <w:sz w:val="11"/>
                <w:szCs w:val="11"/>
              </w:rPr>
            </w:pPr>
            <w:r>
              <w:rPr>
                <w:sz w:val="11"/>
                <w:szCs w:val="11"/>
                <w:spacing w:val="-1"/>
              </w:rPr>
              <w:t>野明，迁粉蝶，夜</w:t>
            </w:r>
          </w:p>
          <w:p>
            <w:pPr>
              <w:pStyle w:val="TableText"/>
              <w:ind w:left="20"/>
              <w:spacing w:line="218" w:lineRule="auto"/>
              <w:rPr>
                <w:sz w:val="11"/>
                <w:szCs w:val="11"/>
              </w:rPr>
            </w:pPr>
            <w:r>
              <w:rPr>
                <w:sz w:val="11"/>
                <w:szCs w:val="11"/>
                <w:spacing w:val="-1"/>
              </w:rPr>
              <w:t>峨、草坪拟小稻叶</w:t>
            </w:r>
          </w:p>
          <w:p>
            <w:pPr>
              <w:pStyle w:val="TableText"/>
              <w:ind w:left="50"/>
              <w:spacing w:before="10" w:line="217" w:lineRule="auto"/>
              <w:rPr>
                <w:sz w:val="11"/>
                <w:szCs w:val="11"/>
              </w:rPr>
            </w:pPr>
            <w:r>
              <w:rPr>
                <w:sz w:val="11"/>
                <w:szCs w:val="11"/>
                <w:spacing w:val="-3"/>
              </w:rPr>
              <w:t>夜峡、斜纹夜蛾。</w:t>
            </w:r>
          </w:p>
          <w:p>
            <w:pPr>
              <w:pStyle w:val="TableText"/>
              <w:ind w:left="20"/>
              <w:spacing w:line="218" w:lineRule="auto"/>
              <w:rPr>
                <w:sz w:val="11"/>
                <w:szCs w:val="11"/>
              </w:rPr>
            </w:pPr>
            <w:r>
              <w:rPr>
                <w:sz w:val="11"/>
                <w:szCs w:val="11"/>
                <w:spacing w:val="-1"/>
              </w:rPr>
              <w:t>袋蛾粘虫、尺峨等</w:t>
            </w:r>
          </w:p>
          <w:p>
            <w:pPr>
              <w:pStyle w:val="TableText"/>
              <w:ind w:left="20"/>
              <w:spacing w:before="10" w:line="219" w:lineRule="auto"/>
              <w:rPr>
                <w:sz w:val="11"/>
                <w:szCs w:val="11"/>
              </w:rPr>
            </w:pPr>
            <w:r>
              <w:rPr>
                <w:sz w:val="11"/>
                <w:szCs w:val="11"/>
                <w:spacing w:val="-2"/>
              </w:rPr>
              <w:t>、小卷峡、樟堆城</w:t>
            </w:r>
          </w:p>
        </w:tc>
        <w:tc>
          <w:tcPr>
            <w:tcW w:w="2918" w:type="dxa"/>
            <w:vAlign w:val="top"/>
            <w:vMerge w:val="restart"/>
            <w:tcBorders>
              <w:bottom w:val="nil"/>
              <w:top w:val="single" w:color="000000" w:sz="2" w:space="0"/>
            </w:tcBorders>
          </w:tcPr>
          <w:p>
            <w:pPr>
              <w:pStyle w:val="TableText"/>
              <w:ind w:left="11" w:right="44"/>
              <w:spacing w:before="34" w:line="254" w:lineRule="auto"/>
              <w:rPr>
                <w:sz w:val="11"/>
                <w:szCs w:val="11"/>
              </w:rPr>
            </w:pPr>
            <w:r>
              <w:rPr>
                <w:sz w:val="11"/>
                <w:szCs w:val="11"/>
              </w:rPr>
              <w:t>.1-4月预防消杀为主，结合修剪，人工</w:t>
            </w:r>
            <w:r>
              <w:rPr>
                <w:sz w:val="11"/>
                <w:szCs w:val="11"/>
                <w:spacing w:val="-1"/>
              </w:rPr>
              <w:t>消除虫茧、庶卵、虫</w:t>
            </w:r>
            <w:r>
              <w:rPr>
                <w:sz w:val="11"/>
                <w:szCs w:val="11"/>
              </w:rPr>
              <w:t xml:space="preserve"> </w:t>
            </w:r>
            <w:r>
              <w:rPr>
                <w:sz w:val="11"/>
                <w:szCs w:val="11"/>
                <w:spacing w:val="-6"/>
              </w:rPr>
              <w:t>囊。</w:t>
            </w:r>
          </w:p>
          <w:p>
            <w:pPr>
              <w:pStyle w:val="TableText"/>
              <w:ind w:left="11" w:right="97"/>
              <w:spacing w:before="7" w:line="201" w:lineRule="auto"/>
              <w:rPr>
                <w:sz w:val="11"/>
                <w:szCs w:val="11"/>
              </w:rPr>
            </w:pPr>
            <w:r>
              <w:rPr>
                <w:sz w:val="11"/>
                <w:szCs w:val="11"/>
              </w:rPr>
              <w:t>二、5-6月是大部分鳞翅日害虫大量紫殖</w:t>
            </w:r>
            <w:r>
              <w:rPr>
                <w:sz w:val="11"/>
                <w:szCs w:val="11"/>
                <w:spacing w:val="-1"/>
              </w:rPr>
              <w:t>时期，成蛹或羽化</w:t>
            </w:r>
            <w:r>
              <w:rPr>
                <w:sz w:val="11"/>
                <w:szCs w:val="11"/>
              </w:rPr>
              <w:t xml:space="preserve"> </w:t>
            </w:r>
            <w:r>
              <w:rPr>
                <w:sz w:val="11"/>
                <w:szCs w:val="11"/>
              </w:rPr>
              <w:t>期，如毒峡(格透通毒频、双线盗毒蛾),</w:t>
            </w:r>
            <w:r>
              <w:rPr>
                <w:sz w:val="11"/>
                <w:szCs w:val="11"/>
                <w:spacing w:val="-1"/>
              </w:rPr>
              <w:t>颗蛾(棉看叶野</w:t>
            </w:r>
          </w:p>
          <w:p>
            <w:pPr>
              <w:pStyle w:val="TableText"/>
              <w:ind w:left="11" w:right="97"/>
              <w:spacing w:before="1" w:line="217" w:lineRule="auto"/>
              <w:rPr>
                <w:sz w:val="11"/>
                <w:szCs w:val="11"/>
              </w:rPr>
            </w:pPr>
            <w:r>
              <w:rPr>
                <w:sz w:val="11"/>
                <w:szCs w:val="11"/>
              </w:rPr>
              <w:t>筑、竹织叶野瓶)、灰白撤、粉螺等活跃，</w:t>
            </w:r>
            <w:r>
              <w:rPr>
                <w:sz w:val="11"/>
                <w:szCs w:val="11"/>
                <w:spacing w:val="-1"/>
              </w:rPr>
              <w:t>采取人工加药物</w:t>
            </w:r>
            <w:r>
              <w:rPr>
                <w:sz w:val="11"/>
                <w:szCs w:val="11"/>
              </w:rPr>
              <w:t xml:space="preserve"> </w:t>
            </w:r>
            <w:r>
              <w:rPr>
                <w:sz w:val="11"/>
                <w:szCs w:val="11"/>
                <w:spacing w:val="-4"/>
              </w:rPr>
              <w:t>双重防治。</w:t>
            </w:r>
          </w:p>
          <w:p>
            <w:pPr>
              <w:pStyle w:val="TableText"/>
              <w:ind w:left="11" w:right="2"/>
              <w:spacing w:before="1" w:line="222" w:lineRule="auto"/>
              <w:rPr>
                <w:sz w:val="11"/>
                <w:szCs w:val="11"/>
              </w:rPr>
            </w:pPr>
            <w:r>
              <w:rPr>
                <w:sz w:val="11"/>
                <w:szCs w:val="11"/>
                <w:spacing w:val="-5"/>
              </w:rPr>
              <w:t>三、7-8月部分青蛾、螺频，查缎、粉规活动有所减少。但是夜</w:t>
            </w:r>
            <w:r>
              <w:rPr>
                <w:sz w:val="11"/>
                <w:szCs w:val="11"/>
                <w:spacing w:val="13"/>
              </w:rPr>
              <w:t xml:space="preserve"> </w:t>
            </w:r>
            <w:r>
              <w:rPr>
                <w:sz w:val="11"/>
                <w:szCs w:val="11"/>
              </w:rPr>
              <w:t>蛾、草坪拟小稻叶夜频、斜纹夜蛾危害严重。9-</w:t>
            </w:r>
            <w:r>
              <w:rPr>
                <w:sz w:val="11"/>
                <w:szCs w:val="11"/>
                <w:spacing w:val="-1"/>
              </w:rPr>
              <w:t>10月灰白查</w:t>
            </w:r>
            <w:r>
              <w:rPr>
                <w:sz w:val="11"/>
                <w:szCs w:val="11"/>
              </w:rPr>
              <w:t xml:space="preserve">  </w:t>
            </w:r>
            <w:r>
              <w:rPr>
                <w:sz w:val="11"/>
                <w:szCs w:val="11"/>
              </w:rPr>
              <w:t>娥，寄蛾类，粉蜂、尺蛾等危害上升。11月下句</w:t>
            </w:r>
            <w:r>
              <w:rPr>
                <w:sz w:val="11"/>
                <w:szCs w:val="11"/>
                <w:spacing w:val="-1"/>
              </w:rPr>
              <w:t>-2月，多以</w:t>
            </w:r>
            <w:r>
              <w:rPr>
                <w:sz w:val="11"/>
                <w:szCs w:val="11"/>
              </w:rPr>
              <w:t xml:space="preserve">  </w:t>
            </w:r>
            <w:r>
              <w:rPr>
                <w:sz w:val="11"/>
                <w:szCs w:val="11"/>
                <w:spacing w:val="-1"/>
              </w:rPr>
              <w:t>插(茧)和高龄幼虫越冬，危害下降，</w:t>
            </w:r>
          </w:p>
        </w:tc>
        <w:tc>
          <w:tcPr>
            <w:tcW w:w="1199" w:type="dxa"/>
            <w:vAlign w:val="top"/>
            <w:tcBorders>
              <w:bottom w:val="single" w:color="000000" w:sz="2" w:space="0"/>
              <w:top w:val="single" w:color="000000" w:sz="2" w:space="0"/>
            </w:tcBorders>
          </w:tcPr>
          <w:p>
            <w:pPr>
              <w:pStyle w:val="TableText"/>
              <w:ind w:left="313"/>
              <w:spacing w:before="124" w:line="219" w:lineRule="auto"/>
              <w:rPr>
                <w:sz w:val="11"/>
                <w:szCs w:val="11"/>
              </w:rPr>
            </w:pPr>
            <w:r>
              <w:rPr>
                <w:sz w:val="11"/>
                <w:szCs w:val="11"/>
                <w:spacing w:val="-1"/>
              </w:rPr>
              <w:t>诺普信锐购</w:t>
            </w:r>
          </w:p>
        </w:tc>
        <w:tc>
          <w:tcPr>
            <w:tcW w:w="1829" w:type="dxa"/>
            <w:vAlign w:val="top"/>
            <w:tcBorders>
              <w:bottom w:val="single" w:color="000000" w:sz="2" w:space="0"/>
              <w:top w:val="single" w:color="000000" w:sz="2" w:space="0"/>
            </w:tcBorders>
          </w:tcPr>
          <w:p>
            <w:pPr>
              <w:pStyle w:val="TableText"/>
              <w:ind w:left="304"/>
              <w:spacing w:before="124" w:line="218" w:lineRule="auto"/>
              <w:rPr>
                <w:sz w:val="11"/>
                <w:szCs w:val="11"/>
              </w:rPr>
            </w:pPr>
            <w:r>
              <w:rPr>
                <w:sz w:val="11"/>
                <w:szCs w:val="11"/>
                <w:spacing w:val="-6"/>
              </w:rPr>
              <w:t>高效氧氰菊酯</w:t>
            </w:r>
            <w:r>
              <w:rPr>
                <w:sz w:val="11"/>
                <w:szCs w:val="11"/>
                <w:spacing w:val="-12"/>
              </w:rPr>
              <w:t xml:space="preserve"> </w:t>
            </w:r>
            <w:r>
              <w:rPr>
                <w:sz w:val="11"/>
                <w:szCs w:val="11"/>
                <w:spacing w:val="-6"/>
              </w:rPr>
              <w:t>·</w:t>
            </w:r>
            <w:r>
              <w:rPr>
                <w:sz w:val="11"/>
                <w:szCs w:val="11"/>
                <w:spacing w:val="-36"/>
              </w:rPr>
              <w:t xml:space="preserve"> </w:t>
            </w:r>
            <w:r>
              <w:rPr>
                <w:sz w:val="11"/>
                <w:szCs w:val="11"/>
                <w:spacing w:val="-6"/>
              </w:rPr>
              <w:t>甲维盐饰</w:t>
            </w:r>
          </w:p>
        </w:tc>
        <w:tc>
          <w:tcPr>
            <w:tcW w:w="1599" w:type="dxa"/>
            <w:vAlign w:val="top"/>
            <w:tcBorders>
              <w:bottom w:val="single" w:color="000000" w:sz="2" w:space="0"/>
              <w:top w:val="single" w:color="000000" w:sz="2" w:space="0"/>
            </w:tcBorders>
          </w:tcPr>
          <w:p>
            <w:pPr>
              <w:pStyle w:val="TableText"/>
              <w:ind w:left="545"/>
              <w:spacing w:before="124" w:line="220" w:lineRule="auto"/>
              <w:rPr>
                <w:sz w:val="11"/>
                <w:szCs w:val="11"/>
              </w:rPr>
            </w:pPr>
            <w:r>
              <w:rPr>
                <w:sz w:val="11"/>
                <w:szCs w:val="11"/>
                <w:spacing w:val="-6"/>
              </w:rPr>
              <w:t>600—800倍</w:t>
            </w:r>
          </w:p>
        </w:tc>
        <w:tc>
          <w:tcPr>
            <w:tcW w:w="1329" w:type="dxa"/>
            <w:vAlign w:val="top"/>
            <w:tcBorders>
              <w:bottom w:val="single" w:color="000000" w:sz="2" w:space="0"/>
              <w:top w:val="single" w:color="000000" w:sz="2" w:space="0"/>
            </w:tcBorders>
          </w:tcPr>
          <w:p>
            <w:pPr>
              <w:pStyle w:val="TableText"/>
              <w:ind w:left="76"/>
              <w:spacing w:before="24" w:line="201" w:lineRule="auto"/>
              <w:rPr>
                <w:sz w:val="11"/>
                <w:szCs w:val="11"/>
              </w:rPr>
            </w:pPr>
            <w:r>
              <w:rPr>
                <w:sz w:val="11"/>
                <w:szCs w:val="11"/>
                <w:spacing w:val="-1"/>
              </w:rPr>
              <w:t>每隔7-10天喷药1次，连</w:t>
            </w:r>
          </w:p>
          <w:p>
            <w:pPr>
              <w:pStyle w:val="TableText"/>
              <w:ind w:left="276"/>
              <w:spacing w:line="219" w:lineRule="auto"/>
              <w:rPr>
                <w:sz w:val="11"/>
                <w:szCs w:val="11"/>
              </w:rPr>
            </w:pPr>
            <w:r>
              <w:rPr>
                <w:sz w:val="11"/>
                <w:szCs w:val="11"/>
              </w:rPr>
              <w:t>续唤酒2-3次。</w:t>
            </w:r>
          </w:p>
        </w:tc>
        <w:tc>
          <w:tcPr>
            <w:tcW w:w="689" w:type="dxa"/>
            <w:vAlign w:val="top"/>
            <w:tcBorders>
              <w:bottom w:val="single" w:color="000000" w:sz="2" w:space="0"/>
              <w:top w:val="single" w:color="000000" w:sz="2" w:space="0"/>
            </w:tcBorders>
          </w:tcPr>
          <w:p>
            <w:pPr>
              <w:pStyle w:val="TableText"/>
              <w:ind w:left="117"/>
              <w:spacing w:before="125" w:line="221" w:lineRule="auto"/>
              <w:rPr>
                <w:sz w:val="11"/>
                <w:szCs w:val="11"/>
              </w:rPr>
            </w:pPr>
            <w:r>
              <w:rPr>
                <w:sz w:val="11"/>
                <w:szCs w:val="11"/>
                <w:spacing w:val="-1"/>
              </w:rPr>
              <w:t>300al/瓶</w:t>
            </w:r>
          </w:p>
        </w:tc>
        <w:tc>
          <w:tcPr>
            <w:tcW w:w="2553" w:type="dxa"/>
            <w:vAlign w:val="top"/>
            <w:tcBorders>
              <w:bottom w:val="single" w:color="000000" w:sz="2" w:space="0"/>
              <w:top w:val="single" w:color="000000" w:sz="2" w:space="0"/>
            </w:tcBorders>
          </w:tcPr>
          <w:p>
            <w:pPr>
              <w:pStyle w:val="TableText"/>
              <w:ind w:left="18"/>
              <w:spacing w:before="124" w:line="219" w:lineRule="auto"/>
              <w:rPr>
                <w:sz w:val="11"/>
                <w:szCs w:val="11"/>
              </w:rPr>
            </w:pPr>
            <w:r>
              <w:rPr>
                <w:sz w:val="11"/>
                <w:szCs w:val="11"/>
                <w:spacing w:val="-1"/>
              </w:rPr>
              <w:t>夜峨、造桥虫、毒刺峨</w:t>
            </w:r>
          </w:p>
        </w:tc>
      </w:tr>
      <w:tr>
        <w:trPr>
          <w:trHeight w:val="38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263"/>
              <w:spacing w:before="154" w:line="219" w:lineRule="auto"/>
              <w:rPr>
                <w:sz w:val="11"/>
                <w:szCs w:val="11"/>
              </w:rPr>
            </w:pPr>
            <w:r>
              <w:rPr>
                <w:sz w:val="11"/>
                <w:szCs w:val="11"/>
                <w:spacing w:val="-1"/>
              </w:rPr>
              <w:t>诸普信贴明宝</w:t>
            </w:r>
          </w:p>
        </w:tc>
        <w:tc>
          <w:tcPr>
            <w:tcW w:w="1829" w:type="dxa"/>
            <w:vAlign w:val="top"/>
            <w:tcBorders>
              <w:bottom w:val="single" w:color="000000" w:sz="2" w:space="0"/>
              <w:top w:val="single" w:color="000000" w:sz="2" w:space="0"/>
            </w:tcBorders>
          </w:tcPr>
          <w:p>
            <w:pPr>
              <w:pStyle w:val="TableText"/>
              <w:ind w:left="384"/>
              <w:spacing w:before="154" w:line="219" w:lineRule="auto"/>
              <w:rPr>
                <w:sz w:val="11"/>
                <w:szCs w:val="11"/>
              </w:rPr>
            </w:pPr>
            <w:r>
              <w:rPr>
                <w:sz w:val="11"/>
                <w:szCs w:val="11"/>
                <w:spacing w:val="-5"/>
              </w:rPr>
              <w:t>阿维菌素</w:t>
            </w:r>
            <w:r>
              <w:rPr>
                <w:sz w:val="11"/>
                <w:szCs w:val="11"/>
                <w:spacing w:val="-11"/>
              </w:rPr>
              <w:t xml:space="preserve"> </w:t>
            </w:r>
            <w:r>
              <w:rPr>
                <w:sz w:val="11"/>
                <w:szCs w:val="11"/>
                <w:spacing w:val="-5"/>
              </w:rPr>
              <w:t>·三唑磷15%</w:t>
            </w:r>
          </w:p>
        </w:tc>
        <w:tc>
          <w:tcPr>
            <w:tcW w:w="1599" w:type="dxa"/>
            <w:vAlign w:val="top"/>
            <w:tcBorders>
              <w:bottom w:val="single" w:color="000000" w:sz="2" w:space="0"/>
              <w:top w:val="single" w:color="000000" w:sz="2" w:space="0"/>
            </w:tcBorders>
          </w:tcPr>
          <w:p>
            <w:pPr>
              <w:pStyle w:val="TableText"/>
              <w:ind w:left="545"/>
              <w:spacing w:before="154" w:line="220" w:lineRule="auto"/>
              <w:rPr>
                <w:sz w:val="11"/>
                <w:szCs w:val="11"/>
              </w:rPr>
            </w:pPr>
            <w:r>
              <w:rPr>
                <w:sz w:val="11"/>
                <w:szCs w:val="11"/>
                <w:spacing w:val="-6"/>
              </w:rPr>
              <w:t>600—800倍</w:t>
            </w:r>
          </w:p>
        </w:tc>
        <w:tc>
          <w:tcPr>
            <w:tcW w:w="1329" w:type="dxa"/>
            <w:vAlign w:val="top"/>
            <w:tcBorders>
              <w:bottom w:val="single" w:color="000000" w:sz="2" w:space="0"/>
              <w:top w:val="single" w:color="000000" w:sz="2" w:space="0"/>
            </w:tcBorders>
          </w:tcPr>
          <w:p>
            <w:pPr>
              <w:pStyle w:val="TableText"/>
              <w:ind w:left="26"/>
              <w:spacing w:before="84" w:line="219" w:lineRule="auto"/>
              <w:rPr>
                <w:sz w:val="11"/>
                <w:szCs w:val="11"/>
              </w:rPr>
            </w:pPr>
            <w:r>
              <w:rPr>
                <w:sz w:val="11"/>
                <w:szCs w:val="11"/>
                <w:spacing w:val="-1"/>
              </w:rPr>
              <w:t>每7520天喷药1次，连续喷</w:t>
            </w:r>
          </w:p>
          <w:p>
            <w:pPr>
              <w:pStyle w:val="TableText"/>
              <w:ind w:left="436"/>
              <w:spacing w:before="29" w:line="218" w:lineRule="auto"/>
              <w:rPr>
                <w:sz w:val="11"/>
                <w:szCs w:val="11"/>
              </w:rPr>
            </w:pPr>
            <w:r>
              <w:rPr>
                <w:sz w:val="11"/>
                <w:szCs w:val="11"/>
              </w:rPr>
              <w:t>洒2-8次。</w:t>
            </w:r>
          </w:p>
        </w:tc>
        <w:tc>
          <w:tcPr>
            <w:tcW w:w="689" w:type="dxa"/>
            <w:vAlign w:val="top"/>
            <w:tcBorders>
              <w:bottom w:val="single" w:color="000000" w:sz="2" w:space="0"/>
              <w:top w:val="single" w:color="000000" w:sz="2" w:space="0"/>
            </w:tcBorders>
          </w:tcPr>
          <w:p>
            <w:pPr>
              <w:pStyle w:val="TableText"/>
              <w:ind w:left="117"/>
              <w:spacing w:before="154" w:line="221" w:lineRule="auto"/>
              <w:rPr>
                <w:sz w:val="11"/>
                <w:szCs w:val="11"/>
              </w:rPr>
            </w:pPr>
            <w:r>
              <w:rPr>
                <w:sz w:val="11"/>
                <w:szCs w:val="11"/>
                <w:spacing w:val="-1"/>
              </w:rPr>
              <w:t>300ml/瓶</w:t>
            </w:r>
          </w:p>
        </w:tc>
        <w:tc>
          <w:tcPr>
            <w:tcW w:w="2553" w:type="dxa"/>
            <w:vAlign w:val="top"/>
            <w:tcBorders>
              <w:bottom w:val="single" w:color="000000" w:sz="2" w:space="0"/>
              <w:top w:val="single" w:color="000000" w:sz="2" w:space="0"/>
            </w:tcBorders>
          </w:tcPr>
          <w:p>
            <w:pPr>
              <w:pStyle w:val="TableText"/>
              <w:ind w:left="17"/>
              <w:spacing w:before="154" w:line="220" w:lineRule="auto"/>
              <w:rPr>
                <w:sz w:val="11"/>
                <w:szCs w:val="11"/>
              </w:rPr>
            </w:pPr>
            <w:r>
              <w:rPr>
                <w:sz w:val="11"/>
                <w:szCs w:val="11"/>
                <w:spacing w:val="-1"/>
              </w:rPr>
              <w:t>天牛、金刚钻、啃食虫、答蒸</w:t>
            </w:r>
          </w:p>
        </w:tc>
      </w:tr>
      <w:tr>
        <w:trPr>
          <w:trHeight w:val="334" w:hRule="atLeast"/>
        </w:trPr>
        <w:tc>
          <w:tcPr>
            <w:tcW w:w="385" w:type="dxa"/>
            <w:vAlign w:val="top"/>
            <w:vMerge w:val="continue"/>
            <w:tcBorders>
              <w:bottom w:val="nil"/>
              <w:top w:val="nil"/>
            </w:tcBorders>
          </w:tcPr>
          <w:p>
            <w:pPr>
              <w:rPr>
                <w:rFonts w:ascii="Arial"/>
                <w:sz w:val="21"/>
              </w:rPr>
            </w:pPr>
            <w:r/>
          </w:p>
        </w:tc>
        <w:tc>
          <w:tcPr>
            <w:tcW w:w="510" w:type="dxa"/>
            <w:vAlign w:val="top"/>
            <w:vMerge w:val="continue"/>
            <w:tcBorders>
              <w:bottom w:val="nil"/>
              <w:top w:val="nil"/>
            </w:tcBorders>
          </w:tcPr>
          <w:p>
            <w:pPr>
              <w:rPr>
                <w:rFonts w:ascii="Arial"/>
                <w:sz w:val="21"/>
              </w:rPr>
            </w:pPr>
            <w:r/>
          </w:p>
        </w:tc>
        <w:tc>
          <w:tcPr>
            <w:tcW w:w="94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73"/>
              <w:spacing w:before="134" w:line="219" w:lineRule="auto"/>
              <w:rPr>
                <w:sz w:val="11"/>
                <w:szCs w:val="11"/>
              </w:rPr>
            </w:pPr>
            <w:r>
              <w:rPr>
                <w:sz w:val="11"/>
                <w:szCs w:val="11"/>
                <w:spacing w:val="1"/>
              </w:rPr>
              <w:t>国光乙刻</w:t>
            </w:r>
          </w:p>
        </w:tc>
        <w:tc>
          <w:tcPr>
            <w:tcW w:w="1829" w:type="dxa"/>
            <w:vAlign w:val="top"/>
            <w:tcBorders>
              <w:bottom w:val="single" w:color="000000" w:sz="2" w:space="0"/>
              <w:top w:val="single" w:color="000000" w:sz="2" w:space="0"/>
            </w:tcBorders>
          </w:tcPr>
          <w:p>
            <w:pPr>
              <w:pStyle w:val="TableText"/>
              <w:ind w:left="604"/>
              <w:spacing w:before="134" w:line="219" w:lineRule="auto"/>
              <w:rPr>
                <w:sz w:val="11"/>
                <w:szCs w:val="11"/>
              </w:rPr>
            </w:pPr>
            <w:r>
              <w:rPr>
                <w:sz w:val="11"/>
                <w:szCs w:val="11"/>
                <w:spacing w:val="-1"/>
              </w:rPr>
              <w:t>氟戊菊形20%</w:t>
            </w:r>
          </w:p>
        </w:tc>
        <w:tc>
          <w:tcPr>
            <w:tcW w:w="1599" w:type="dxa"/>
            <w:vAlign w:val="top"/>
            <w:tcBorders>
              <w:bottom w:val="single" w:color="000000" w:sz="2" w:space="0"/>
              <w:top w:val="single" w:color="000000" w:sz="2" w:space="0"/>
            </w:tcBorders>
          </w:tcPr>
          <w:p>
            <w:pPr>
              <w:pStyle w:val="TableText"/>
              <w:ind w:left="435"/>
              <w:spacing w:before="134" w:line="220" w:lineRule="auto"/>
              <w:rPr>
                <w:sz w:val="11"/>
                <w:szCs w:val="11"/>
              </w:rPr>
            </w:pPr>
            <w:r>
              <w:rPr>
                <w:sz w:val="11"/>
                <w:szCs w:val="11"/>
                <w:spacing w:val="-1"/>
              </w:rPr>
              <w:t>2000-3000倍液</w:t>
            </w:r>
          </w:p>
        </w:tc>
        <w:tc>
          <w:tcPr>
            <w:tcW w:w="1329" w:type="dxa"/>
            <w:vAlign w:val="top"/>
            <w:vMerge w:val="restart"/>
            <w:tcBorders>
              <w:bottom w:val="nil"/>
              <w:top w:val="single" w:color="000000" w:sz="2" w:space="0"/>
            </w:tcBorders>
          </w:tcPr>
          <w:p>
            <w:pPr>
              <w:spacing w:line="257" w:lineRule="auto"/>
              <w:rPr>
                <w:rFonts w:ascii="Arial"/>
                <w:sz w:val="21"/>
              </w:rPr>
            </w:pPr>
            <w:r/>
          </w:p>
          <w:p>
            <w:pPr>
              <w:pStyle w:val="TableText"/>
              <w:ind w:left="76"/>
              <w:spacing w:before="35" w:line="219" w:lineRule="auto"/>
              <w:rPr>
                <w:sz w:val="11"/>
                <w:szCs w:val="11"/>
              </w:rPr>
            </w:pPr>
            <w:r>
              <w:rPr>
                <w:sz w:val="11"/>
                <w:szCs w:val="11"/>
                <w:spacing w:val="-1"/>
              </w:rPr>
              <w:t>一般用3次，问隔7-10天</w:t>
            </w:r>
          </w:p>
        </w:tc>
        <w:tc>
          <w:tcPr>
            <w:tcW w:w="689" w:type="dxa"/>
            <w:vAlign w:val="top"/>
            <w:tcBorders>
              <w:bottom w:val="single" w:color="000000" w:sz="2" w:space="0"/>
              <w:top w:val="single" w:color="000000" w:sz="2" w:space="0"/>
            </w:tcBorders>
          </w:tcPr>
          <w:p>
            <w:pPr>
              <w:pStyle w:val="TableText"/>
              <w:ind w:left="117"/>
              <w:spacing w:before="135" w:line="221" w:lineRule="auto"/>
              <w:rPr>
                <w:sz w:val="11"/>
                <w:szCs w:val="11"/>
              </w:rPr>
            </w:pPr>
            <w:r>
              <w:rPr>
                <w:sz w:val="11"/>
                <w:szCs w:val="11"/>
                <w:spacing w:val="-1"/>
              </w:rPr>
              <w:t>200ml/瓶</w:t>
            </w:r>
          </w:p>
        </w:tc>
        <w:tc>
          <w:tcPr>
            <w:tcW w:w="2553" w:type="dxa"/>
            <w:vAlign w:val="top"/>
            <w:tcBorders>
              <w:bottom w:val="single" w:color="000000" w:sz="2" w:space="0"/>
              <w:top w:val="single" w:color="000000" w:sz="2" w:space="0"/>
            </w:tcBorders>
          </w:tcPr>
          <w:p>
            <w:pPr>
              <w:pStyle w:val="TableText"/>
              <w:ind w:left="18"/>
              <w:spacing w:before="134" w:line="218" w:lineRule="auto"/>
              <w:rPr>
                <w:sz w:val="11"/>
                <w:szCs w:val="11"/>
              </w:rPr>
            </w:pPr>
            <w:r>
              <w:rPr>
                <w:sz w:val="11"/>
                <w:szCs w:val="11"/>
                <w:spacing w:val="-1"/>
              </w:rPr>
              <w:t>高效广语、长效杀虫剂，杀食叶性害虫特效稀释</w:t>
            </w:r>
          </w:p>
        </w:tc>
      </w:tr>
      <w:tr>
        <w:trPr>
          <w:trHeight w:val="350" w:hRule="atLeast"/>
        </w:trPr>
        <w:tc>
          <w:tcPr>
            <w:tcW w:w="385" w:type="dxa"/>
            <w:vAlign w:val="top"/>
            <w:vMerge w:val="continue"/>
            <w:tcBorders>
              <w:bottom w:val="single" w:color="000000" w:sz="2" w:space="0"/>
              <w:top w:val="nil"/>
            </w:tcBorders>
          </w:tcPr>
          <w:p>
            <w:pPr>
              <w:rPr>
                <w:rFonts w:ascii="Arial"/>
                <w:sz w:val="21"/>
              </w:rPr>
            </w:pPr>
            <w:r/>
          </w:p>
        </w:tc>
        <w:tc>
          <w:tcPr>
            <w:tcW w:w="510" w:type="dxa"/>
            <w:vAlign w:val="top"/>
            <w:vMerge w:val="continue"/>
            <w:tcBorders>
              <w:bottom w:val="single" w:color="000000" w:sz="2" w:space="0"/>
              <w:top w:val="nil"/>
            </w:tcBorders>
          </w:tcPr>
          <w:p>
            <w:pPr>
              <w:rPr>
                <w:rFonts w:ascii="Arial"/>
                <w:sz w:val="21"/>
              </w:rPr>
            </w:pPr>
            <w:r/>
          </w:p>
        </w:tc>
        <w:tc>
          <w:tcPr>
            <w:tcW w:w="94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199" w:type="dxa"/>
            <w:vAlign w:val="top"/>
            <w:tcBorders>
              <w:bottom w:val="single" w:color="000000" w:sz="2" w:space="0"/>
              <w:top w:val="single" w:color="000000" w:sz="2" w:space="0"/>
            </w:tcBorders>
          </w:tcPr>
          <w:p>
            <w:pPr>
              <w:pStyle w:val="TableText"/>
              <w:ind w:left="373"/>
              <w:spacing w:before="125" w:line="219" w:lineRule="auto"/>
              <w:rPr>
                <w:sz w:val="11"/>
                <w:szCs w:val="11"/>
              </w:rPr>
            </w:pPr>
            <w:r>
              <w:rPr>
                <w:sz w:val="11"/>
                <w:szCs w:val="11"/>
                <w:spacing w:val="2"/>
              </w:rPr>
              <w:t>国光必治</w:t>
            </w:r>
          </w:p>
        </w:tc>
        <w:tc>
          <w:tcPr>
            <w:tcW w:w="1829" w:type="dxa"/>
            <w:vAlign w:val="top"/>
            <w:tcBorders>
              <w:bottom w:val="single" w:color="000000" w:sz="2" w:space="0"/>
              <w:top w:val="single" w:color="000000" w:sz="2" w:space="0"/>
            </w:tcBorders>
          </w:tcPr>
          <w:p>
            <w:pPr>
              <w:pStyle w:val="TableText"/>
              <w:ind w:left="654"/>
              <w:spacing w:before="125" w:line="219" w:lineRule="auto"/>
              <w:rPr>
                <w:sz w:val="11"/>
                <w:szCs w:val="11"/>
              </w:rPr>
            </w:pPr>
            <w:r>
              <w:rPr>
                <w:sz w:val="11"/>
                <w:szCs w:val="11"/>
                <w:spacing w:val="-6"/>
              </w:rPr>
              <w:t>啶</w:t>
            </w:r>
            <w:r>
              <w:rPr>
                <w:sz w:val="11"/>
                <w:szCs w:val="11"/>
                <w:spacing w:val="-9"/>
              </w:rPr>
              <w:t xml:space="preserve"> </w:t>
            </w:r>
            <w:r>
              <w:rPr>
                <w:sz w:val="11"/>
                <w:szCs w:val="11"/>
                <w:spacing w:val="-6"/>
              </w:rPr>
              <w:t>·毒405</w:t>
            </w:r>
          </w:p>
        </w:tc>
        <w:tc>
          <w:tcPr>
            <w:tcW w:w="1599" w:type="dxa"/>
            <w:vAlign w:val="top"/>
            <w:tcBorders>
              <w:bottom w:val="single" w:color="000000" w:sz="2" w:space="0"/>
              <w:top w:val="single" w:color="000000" w:sz="2" w:space="0"/>
            </w:tcBorders>
          </w:tcPr>
          <w:p>
            <w:pPr>
              <w:pStyle w:val="TableText"/>
              <w:ind w:left="435"/>
              <w:spacing w:before="125" w:line="220" w:lineRule="auto"/>
              <w:rPr>
                <w:sz w:val="11"/>
                <w:szCs w:val="11"/>
              </w:rPr>
            </w:pPr>
            <w:r>
              <w:rPr>
                <w:sz w:val="11"/>
                <w:szCs w:val="11"/>
                <w:spacing w:val="-1"/>
              </w:rPr>
              <w:t>2000-3000恪液</w:t>
            </w:r>
          </w:p>
        </w:tc>
        <w:tc>
          <w:tcPr>
            <w:tcW w:w="1329" w:type="dxa"/>
            <w:vAlign w:val="top"/>
            <w:vMerge w:val="continue"/>
            <w:tcBorders>
              <w:bottom w:val="single" w:color="000000" w:sz="2" w:space="0"/>
              <w:top w:val="nil"/>
            </w:tcBorders>
          </w:tcPr>
          <w:p>
            <w:pPr>
              <w:rPr>
                <w:rFonts w:ascii="Arial"/>
                <w:sz w:val="21"/>
              </w:rPr>
            </w:pPr>
            <w:r/>
          </w:p>
        </w:tc>
        <w:tc>
          <w:tcPr>
            <w:tcW w:w="689" w:type="dxa"/>
            <w:vAlign w:val="top"/>
            <w:tcBorders>
              <w:bottom w:val="single" w:color="000000" w:sz="2" w:space="0"/>
              <w:top w:val="single" w:color="000000" w:sz="2" w:space="0"/>
            </w:tcBorders>
          </w:tcPr>
          <w:p>
            <w:pPr>
              <w:pStyle w:val="TableText"/>
              <w:ind w:left="117"/>
              <w:spacing w:before="125" w:line="221" w:lineRule="auto"/>
              <w:rPr>
                <w:sz w:val="11"/>
                <w:szCs w:val="11"/>
              </w:rPr>
            </w:pPr>
            <w:r>
              <w:rPr>
                <w:sz w:val="11"/>
                <w:szCs w:val="11"/>
                <w:spacing w:val="-1"/>
              </w:rPr>
              <w:t>200ml/瓶</w:t>
            </w:r>
          </w:p>
        </w:tc>
        <w:tc>
          <w:tcPr>
            <w:tcW w:w="2553" w:type="dxa"/>
            <w:vAlign w:val="top"/>
            <w:tcBorders>
              <w:bottom w:val="single" w:color="000000" w:sz="2" w:space="0"/>
              <w:top w:val="single" w:color="000000" w:sz="2" w:space="0"/>
            </w:tcBorders>
          </w:tcPr>
          <w:p>
            <w:pPr>
              <w:pStyle w:val="TableText"/>
              <w:ind w:left="17"/>
              <w:spacing w:before="125" w:line="218" w:lineRule="auto"/>
              <w:rPr>
                <w:sz w:val="11"/>
                <w:szCs w:val="11"/>
              </w:rPr>
            </w:pPr>
            <w:r>
              <w:rPr>
                <w:sz w:val="11"/>
                <w:szCs w:val="11"/>
                <w:spacing w:val="-1"/>
              </w:rPr>
              <w:t>专杀介壳虫，食叶类害虫，地下害虫稀释</w:t>
            </w:r>
          </w:p>
        </w:tc>
      </w:tr>
    </w:tbl>
    <w:p>
      <w:pPr>
        <w:spacing w:line="14" w:lineRule="auto"/>
        <w:rPr>
          <w:rFonts w:ascii="Arial"/>
          <w:sz w:val="2"/>
        </w:rPr>
      </w:pPr>
      <w:r/>
    </w:p>
    <w:p>
      <w:pPr>
        <w:spacing w:line="14" w:lineRule="auto"/>
        <w:sectPr>
          <w:pgSz w:w="14490" w:h="10240"/>
          <w:pgMar w:top="115" w:right="284" w:bottom="224" w:left="234" w:header="0" w:footer="0" w:gutter="0"/>
        </w:sectPr>
        <w:rPr>
          <w:rFonts w:ascii="Arial" w:hAnsi="Arial" w:eastAsia="Arial" w:cs="Arial"/>
          <w:sz w:val="2"/>
          <w:szCs w:val="2"/>
        </w:rPr>
      </w:pPr>
    </w:p>
    <w:tbl>
      <w:tblPr>
        <w:tblStyle w:val="TableNormal"/>
        <w:tblW w:w="139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5"/>
        <w:gridCol w:w="500"/>
        <w:gridCol w:w="959"/>
        <w:gridCol w:w="2918"/>
        <w:gridCol w:w="1219"/>
        <w:gridCol w:w="1819"/>
        <w:gridCol w:w="1589"/>
        <w:gridCol w:w="1319"/>
        <w:gridCol w:w="669"/>
        <w:gridCol w:w="2573"/>
      </w:tblGrid>
      <w:tr>
        <w:trPr>
          <w:trHeight w:val="469" w:hRule="atLeast"/>
        </w:trPr>
        <w:tc>
          <w:tcPr>
            <w:tcW w:w="385" w:type="dxa"/>
            <w:vAlign w:val="top"/>
            <w:tcBorders>
              <w:bottom w:val="single" w:color="000000" w:sz="2" w:space="0"/>
              <w:top w:val="single" w:color="000000" w:sz="2" w:space="0"/>
            </w:tcBorders>
          </w:tcPr>
          <w:p>
            <w:pPr>
              <w:pStyle w:val="TableText"/>
              <w:ind w:left="76"/>
              <w:spacing w:before="182" w:line="219" w:lineRule="auto"/>
              <w:rPr>
                <w:sz w:val="11"/>
                <w:szCs w:val="11"/>
              </w:rPr>
            </w:pPr>
            <w:r>
              <w:rPr>
                <w:sz w:val="11"/>
                <w:szCs w:val="11"/>
                <w:b/>
                <w:bCs/>
                <w:spacing w:val="-3"/>
              </w:rPr>
              <w:t>分类</w:t>
            </w:r>
          </w:p>
        </w:tc>
        <w:tc>
          <w:tcPr>
            <w:tcW w:w="500" w:type="dxa"/>
            <w:vAlign w:val="top"/>
            <w:tcBorders>
              <w:bottom w:val="single" w:color="000000" w:sz="2" w:space="0"/>
              <w:top w:val="single" w:color="000000" w:sz="2" w:space="0"/>
            </w:tcBorders>
          </w:tcPr>
          <w:p>
            <w:pPr>
              <w:pStyle w:val="TableText"/>
              <w:ind w:left="21"/>
              <w:spacing w:before="32" w:line="219" w:lineRule="auto"/>
              <w:rPr>
                <w:sz w:val="11"/>
                <w:szCs w:val="11"/>
              </w:rPr>
            </w:pPr>
            <w:r>
              <w:rPr>
                <w:sz w:val="11"/>
                <w:szCs w:val="11"/>
                <w:b/>
                <w:bCs/>
                <w:spacing w:val="-3"/>
              </w:rPr>
              <w:t>消杀预防</w:t>
            </w:r>
          </w:p>
          <w:p>
            <w:pPr>
              <w:pStyle w:val="TableText"/>
              <w:ind w:left="21"/>
              <w:spacing w:before="19" w:line="200" w:lineRule="auto"/>
              <w:rPr>
                <w:sz w:val="11"/>
                <w:szCs w:val="11"/>
              </w:rPr>
            </w:pPr>
            <w:r>
              <w:rPr>
                <w:sz w:val="11"/>
                <w:szCs w:val="11"/>
                <w:b/>
                <w:bCs/>
                <w:spacing w:val="-2"/>
              </w:rPr>
              <w:t>及病虫害</w:t>
            </w:r>
          </w:p>
          <w:p>
            <w:pPr>
              <w:pStyle w:val="TableText"/>
              <w:ind w:left="131"/>
              <w:spacing w:line="219" w:lineRule="auto"/>
              <w:rPr>
                <w:sz w:val="11"/>
                <w:szCs w:val="11"/>
              </w:rPr>
            </w:pPr>
            <w:r>
              <w:rPr>
                <w:sz w:val="11"/>
                <w:szCs w:val="11"/>
                <w:b/>
                <w:bCs/>
                <w:spacing w:val="-3"/>
              </w:rPr>
              <w:t>分类</w:t>
            </w:r>
          </w:p>
        </w:tc>
        <w:tc>
          <w:tcPr>
            <w:tcW w:w="959" w:type="dxa"/>
            <w:vAlign w:val="top"/>
            <w:tcBorders>
              <w:bottom w:val="single" w:color="000000" w:sz="2" w:space="0"/>
              <w:top w:val="single" w:color="000000" w:sz="2" w:space="0"/>
            </w:tcBorders>
          </w:tcPr>
          <w:p>
            <w:pPr>
              <w:pStyle w:val="TableText"/>
              <w:ind w:left="191"/>
              <w:spacing w:before="182" w:line="219" w:lineRule="auto"/>
              <w:rPr>
                <w:sz w:val="11"/>
                <w:szCs w:val="11"/>
              </w:rPr>
            </w:pPr>
            <w:r>
              <w:rPr>
                <w:sz w:val="11"/>
                <w:szCs w:val="11"/>
                <w:b/>
                <w:bCs/>
                <w:spacing w:val="-3"/>
              </w:rPr>
              <w:t>常见病虫害</w:t>
            </w:r>
          </w:p>
        </w:tc>
        <w:tc>
          <w:tcPr>
            <w:tcW w:w="2918" w:type="dxa"/>
            <w:vAlign w:val="top"/>
            <w:tcBorders>
              <w:bottom w:val="single" w:color="000000" w:sz="2" w:space="0"/>
              <w:top w:val="single" w:color="000000" w:sz="2" w:space="0"/>
            </w:tcBorders>
          </w:tcPr>
          <w:p>
            <w:pPr>
              <w:pStyle w:val="TableText"/>
              <w:ind w:left="1132"/>
              <w:spacing w:before="182" w:line="219" w:lineRule="auto"/>
              <w:rPr>
                <w:sz w:val="11"/>
                <w:szCs w:val="11"/>
              </w:rPr>
            </w:pPr>
            <w:r>
              <w:rPr>
                <w:sz w:val="11"/>
                <w:szCs w:val="11"/>
                <w:b/>
                <w:bCs/>
                <w:spacing w:val="-2"/>
              </w:rPr>
              <w:t>主要发病月份</w:t>
            </w:r>
          </w:p>
        </w:tc>
        <w:tc>
          <w:tcPr>
            <w:tcW w:w="1219" w:type="dxa"/>
            <w:vAlign w:val="top"/>
            <w:tcBorders>
              <w:bottom w:val="single" w:color="000000" w:sz="2" w:space="0"/>
              <w:top w:val="single" w:color="000000" w:sz="2" w:space="0"/>
            </w:tcBorders>
          </w:tcPr>
          <w:p>
            <w:pPr>
              <w:pStyle w:val="TableText"/>
              <w:ind w:left="384"/>
              <w:spacing w:before="182" w:line="220" w:lineRule="auto"/>
              <w:rPr>
                <w:sz w:val="11"/>
                <w:szCs w:val="11"/>
              </w:rPr>
            </w:pPr>
            <w:r>
              <w:rPr>
                <w:sz w:val="11"/>
                <w:szCs w:val="11"/>
                <w:b/>
                <w:bCs/>
                <w:spacing w:val="-3"/>
              </w:rPr>
              <w:t>药品名称</w:t>
            </w:r>
          </w:p>
        </w:tc>
        <w:tc>
          <w:tcPr>
            <w:tcW w:w="1819" w:type="dxa"/>
            <w:vAlign w:val="top"/>
            <w:tcBorders>
              <w:bottom w:val="single" w:color="000000" w:sz="2" w:space="0"/>
              <w:top w:val="single" w:color="000000" w:sz="2" w:space="0"/>
            </w:tcBorders>
          </w:tcPr>
          <w:p>
            <w:pPr>
              <w:pStyle w:val="TableText"/>
              <w:ind w:left="685"/>
              <w:spacing w:before="182" w:line="220" w:lineRule="auto"/>
              <w:rPr>
                <w:sz w:val="11"/>
                <w:szCs w:val="11"/>
              </w:rPr>
            </w:pPr>
            <w:r>
              <w:rPr>
                <w:sz w:val="11"/>
                <w:szCs w:val="11"/>
                <w:b/>
                <w:bCs/>
                <w:spacing w:val="-3"/>
              </w:rPr>
              <w:t>主要成分</w:t>
            </w:r>
          </w:p>
        </w:tc>
        <w:tc>
          <w:tcPr>
            <w:tcW w:w="1589" w:type="dxa"/>
            <w:vAlign w:val="top"/>
            <w:tcBorders>
              <w:bottom w:val="single" w:color="000000" w:sz="2" w:space="0"/>
              <w:top w:val="single" w:color="000000" w:sz="2" w:space="0"/>
            </w:tcBorders>
          </w:tcPr>
          <w:p>
            <w:pPr>
              <w:pStyle w:val="TableText"/>
              <w:ind w:left="566"/>
              <w:spacing w:before="182" w:line="219" w:lineRule="auto"/>
              <w:rPr>
                <w:sz w:val="11"/>
                <w:szCs w:val="11"/>
              </w:rPr>
            </w:pPr>
            <w:r>
              <w:rPr>
                <w:sz w:val="11"/>
                <w:szCs w:val="11"/>
                <w:b/>
                <w:bCs/>
                <w:spacing w:val="-3"/>
              </w:rPr>
              <w:t>使用倍率</w:t>
            </w:r>
          </w:p>
        </w:tc>
        <w:tc>
          <w:tcPr>
            <w:tcW w:w="1319" w:type="dxa"/>
            <w:vAlign w:val="top"/>
            <w:tcBorders>
              <w:bottom w:val="single" w:color="000000" w:sz="2" w:space="0"/>
              <w:top w:val="single" w:color="000000" w:sz="2" w:space="0"/>
            </w:tcBorders>
          </w:tcPr>
          <w:p>
            <w:pPr>
              <w:pStyle w:val="TableText"/>
              <w:ind w:left="437"/>
              <w:spacing w:before="182" w:line="219" w:lineRule="auto"/>
              <w:rPr>
                <w:sz w:val="11"/>
                <w:szCs w:val="11"/>
              </w:rPr>
            </w:pPr>
            <w:r>
              <w:rPr>
                <w:sz w:val="11"/>
                <w:szCs w:val="11"/>
                <w:b/>
                <w:bCs/>
                <w:spacing w:val="-2"/>
              </w:rPr>
              <w:t>施用次数</w:t>
            </w:r>
          </w:p>
        </w:tc>
        <w:tc>
          <w:tcPr>
            <w:tcW w:w="669" w:type="dxa"/>
            <w:vAlign w:val="top"/>
            <w:tcBorders>
              <w:bottom w:val="single" w:color="000000" w:sz="2" w:space="0"/>
              <w:top w:val="single" w:color="000000" w:sz="2" w:space="0"/>
            </w:tcBorders>
          </w:tcPr>
          <w:p>
            <w:pPr>
              <w:pStyle w:val="TableText"/>
              <w:ind w:left="218"/>
              <w:spacing w:before="182" w:line="219" w:lineRule="auto"/>
              <w:rPr>
                <w:sz w:val="11"/>
                <w:szCs w:val="11"/>
              </w:rPr>
            </w:pPr>
            <w:r>
              <w:rPr>
                <w:sz w:val="11"/>
                <w:szCs w:val="11"/>
                <w:b/>
                <w:bCs/>
                <w:spacing w:val="-3"/>
              </w:rPr>
              <w:t>规格</w:t>
            </w:r>
          </w:p>
        </w:tc>
        <w:tc>
          <w:tcPr>
            <w:tcW w:w="2573" w:type="dxa"/>
            <w:vAlign w:val="top"/>
            <w:tcBorders>
              <w:bottom w:val="single" w:color="000000" w:sz="2" w:space="0"/>
              <w:top w:val="single" w:color="000000" w:sz="2" w:space="0"/>
            </w:tcBorders>
          </w:tcPr>
          <w:p>
            <w:pPr>
              <w:pStyle w:val="TableText"/>
              <w:ind w:left="1189"/>
              <w:spacing w:before="183" w:line="221" w:lineRule="auto"/>
              <w:rPr>
                <w:sz w:val="11"/>
                <w:szCs w:val="11"/>
              </w:rPr>
            </w:pPr>
            <w:r>
              <w:rPr>
                <w:sz w:val="11"/>
                <w:szCs w:val="11"/>
                <w:b/>
                <w:bCs/>
                <w:spacing w:val="-3"/>
              </w:rPr>
              <w:t>备注</w:t>
            </w:r>
          </w:p>
        </w:tc>
      </w:tr>
      <w:tr>
        <w:trPr>
          <w:trHeight w:val="1403" w:hRule="atLeast"/>
        </w:trPr>
        <w:tc>
          <w:tcPr>
            <w:tcW w:w="385" w:type="dxa"/>
            <w:vAlign w:val="top"/>
            <w:vMerge w:val="restart"/>
            <w:tcBorders>
              <w:bottom w:val="nil"/>
              <w:top w:val="single" w:color="000000" w:sz="2" w:space="0"/>
            </w:tcBorders>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spacing w:before="36" w:line="219" w:lineRule="auto"/>
              <w:jc w:val="right"/>
              <w:rPr>
                <w:sz w:val="11"/>
                <w:szCs w:val="11"/>
              </w:rPr>
            </w:pPr>
            <w:r>
              <w:rPr>
                <w:sz w:val="11"/>
                <w:szCs w:val="11"/>
                <w:spacing w:val="10"/>
              </w:rPr>
              <w:t>杀虫刻</w:t>
            </w:r>
          </w:p>
        </w:tc>
        <w:tc>
          <w:tcPr>
            <w:tcW w:w="500" w:type="dxa"/>
            <w:vAlign w:val="top"/>
            <w:tcBorders>
              <w:bottom w:val="single" w:color="000000" w:sz="2" w:space="0"/>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20"/>
              <w:spacing w:before="36" w:line="219" w:lineRule="auto"/>
              <w:rPr>
                <w:sz w:val="11"/>
                <w:szCs w:val="11"/>
              </w:rPr>
            </w:pPr>
            <w:r>
              <w:rPr>
                <w:sz w:val="11"/>
                <w:szCs w:val="11"/>
                <w:spacing w:val="-1"/>
              </w:rPr>
              <w:t>食叶害虫</w:t>
            </w:r>
          </w:p>
        </w:tc>
        <w:tc>
          <w:tcPr>
            <w:tcW w:w="959" w:type="dxa"/>
            <w:vAlign w:val="top"/>
            <w:tcBorders>
              <w:bottom w:val="single" w:color="000000" w:sz="2" w:space="0"/>
              <w:top w:val="single" w:color="000000" w:sz="2" w:space="0"/>
            </w:tcBorders>
          </w:tcPr>
          <w:p>
            <w:pPr>
              <w:pStyle w:val="TableText"/>
              <w:ind w:left="30"/>
              <w:spacing w:before="129" w:line="219" w:lineRule="auto"/>
              <w:rPr>
                <w:sz w:val="11"/>
                <w:szCs w:val="11"/>
              </w:rPr>
            </w:pPr>
            <w:r>
              <w:rPr>
                <w:sz w:val="11"/>
                <w:szCs w:val="11"/>
                <w:spacing w:val="-1"/>
              </w:rPr>
              <w:t>灰白蚕蚁、格透细</w:t>
            </w:r>
          </w:p>
          <w:p>
            <w:pPr>
              <w:pStyle w:val="TableText"/>
              <w:ind w:left="30" w:right="44"/>
              <w:spacing w:before="8" w:line="228" w:lineRule="auto"/>
              <w:rPr>
                <w:sz w:val="11"/>
                <w:szCs w:val="11"/>
              </w:rPr>
            </w:pPr>
            <w:r>
              <w:rPr>
                <w:sz w:val="11"/>
                <w:szCs w:val="11"/>
                <w:spacing w:val="-2"/>
              </w:rPr>
              <w:t>岛娥，双线盗毒姨</w:t>
            </w:r>
            <w:r>
              <w:rPr>
                <w:sz w:val="11"/>
                <w:szCs w:val="11"/>
                <w:spacing w:val="2"/>
              </w:rPr>
              <w:t xml:space="preserve"> </w:t>
            </w:r>
            <w:r>
              <w:rPr>
                <w:sz w:val="11"/>
                <w:szCs w:val="11"/>
                <w:spacing w:val="6"/>
              </w:rPr>
              <w:t>棉卷叶野颇，竹</w:t>
            </w:r>
            <w:r>
              <w:rPr>
                <w:sz w:val="11"/>
                <w:szCs w:val="11"/>
                <w:spacing w:val="1"/>
              </w:rPr>
              <w:t xml:space="preserve">  </w:t>
            </w:r>
            <w:r>
              <w:rPr>
                <w:sz w:val="11"/>
                <w:szCs w:val="11"/>
                <w:spacing w:val="-1"/>
              </w:rPr>
              <w:t>织叶男娴，绿翅编</w:t>
            </w:r>
          </w:p>
          <w:p>
            <w:pPr>
              <w:pStyle w:val="TableText"/>
              <w:ind w:left="30"/>
              <w:spacing w:before="2" w:line="217" w:lineRule="auto"/>
              <w:rPr>
                <w:sz w:val="11"/>
                <w:szCs w:val="11"/>
              </w:rPr>
            </w:pPr>
            <w:r>
              <w:rPr>
                <w:sz w:val="11"/>
                <w:szCs w:val="11"/>
                <w:spacing w:val="-1"/>
              </w:rPr>
              <w:t>野瞑、迁粉蝶、夜</w:t>
            </w:r>
          </w:p>
          <w:p>
            <w:pPr>
              <w:pStyle w:val="TableText"/>
              <w:ind w:left="30"/>
              <w:spacing w:line="218" w:lineRule="auto"/>
              <w:rPr>
                <w:sz w:val="11"/>
                <w:szCs w:val="11"/>
              </w:rPr>
            </w:pPr>
            <w:r>
              <w:rPr>
                <w:sz w:val="11"/>
                <w:szCs w:val="11"/>
                <w:spacing w:val="-1"/>
              </w:rPr>
              <w:t>峡、草坪拟小稻叶</w:t>
            </w:r>
          </w:p>
          <w:p>
            <w:pPr>
              <w:pStyle w:val="TableText"/>
              <w:spacing w:line="219" w:lineRule="auto"/>
              <w:jc w:val="right"/>
              <w:rPr>
                <w:sz w:val="11"/>
                <w:szCs w:val="11"/>
              </w:rPr>
            </w:pPr>
            <w:r>
              <w:rPr>
                <w:sz w:val="11"/>
                <w:szCs w:val="11"/>
                <w:spacing w:val="4"/>
              </w:rPr>
              <w:t>夜蛾、斜纹夜峨、</w:t>
            </w:r>
          </w:p>
          <w:p>
            <w:pPr>
              <w:pStyle w:val="TableText"/>
              <w:ind w:left="30"/>
              <w:spacing w:before="9" w:line="202" w:lineRule="auto"/>
              <w:rPr>
                <w:sz w:val="11"/>
                <w:szCs w:val="11"/>
              </w:rPr>
            </w:pPr>
            <w:r>
              <w:rPr>
                <w:sz w:val="11"/>
                <w:szCs w:val="11"/>
                <w:spacing w:val="-1"/>
              </w:rPr>
              <w:t>装峨粘虫、尺蛾等</w:t>
            </w:r>
          </w:p>
          <w:p>
            <w:pPr>
              <w:pStyle w:val="TableText"/>
              <w:ind w:left="30"/>
              <w:spacing w:before="1" w:line="219" w:lineRule="auto"/>
              <w:rPr>
                <w:sz w:val="11"/>
                <w:szCs w:val="11"/>
              </w:rPr>
            </w:pPr>
            <w:r>
              <w:rPr>
                <w:sz w:val="11"/>
                <w:szCs w:val="11"/>
                <w:spacing w:val="-2"/>
              </w:rPr>
              <w:t>、小春娥、梯细峨</w:t>
            </w:r>
          </w:p>
        </w:tc>
        <w:tc>
          <w:tcPr>
            <w:tcW w:w="2918" w:type="dxa"/>
            <w:vAlign w:val="top"/>
            <w:tcBorders>
              <w:bottom w:val="single" w:color="000000" w:sz="2" w:space="0"/>
              <w:top w:val="single" w:color="000000" w:sz="2" w:space="0"/>
            </w:tcBorders>
          </w:tcPr>
          <w:p>
            <w:pPr>
              <w:pStyle w:val="TableText"/>
              <w:ind w:left="11" w:right="154"/>
              <w:spacing w:before="50" w:line="226" w:lineRule="auto"/>
              <w:rPr>
                <w:sz w:val="11"/>
                <w:szCs w:val="11"/>
              </w:rPr>
            </w:pPr>
            <w:r>
              <w:rPr>
                <w:sz w:val="11"/>
                <w:szCs w:val="11"/>
                <w:spacing w:val="-1"/>
              </w:rPr>
              <w:t>.1-4月预防消杀为主，结合修剪，人工消除虫茧、卵、虫</w:t>
            </w:r>
            <w:r>
              <w:rPr>
                <w:sz w:val="11"/>
                <w:szCs w:val="11"/>
                <w:spacing w:val="18"/>
                <w:w w:val="101"/>
              </w:rPr>
              <w:t xml:space="preserve"> </w:t>
            </w:r>
            <w:r>
              <w:rPr>
                <w:sz w:val="11"/>
                <w:szCs w:val="11"/>
                <w:spacing w:val="-6"/>
              </w:rPr>
              <w:t>囊。</w:t>
            </w:r>
          </w:p>
          <w:p>
            <w:pPr>
              <w:pStyle w:val="TableText"/>
              <w:ind w:left="11"/>
              <w:spacing w:line="219" w:lineRule="auto"/>
              <w:rPr>
                <w:sz w:val="11"/>
                <w:szCs w:val="11"/>
              </w:rPr>
            </w:pPr>
            <w:r>
              <w:rPr>
                <w:sz w:val="11"/>
                <w:szCs w:val="11"/>
              </w:rPr>
              <w:t>二、5-6月是大部分鳞翅日害虫大量繁殖</w:t>
            </w:r>
            <w:r>
              <w:rPr>
                <w:sz w:val="11"/>
                <w:szCs w:val="11"/>
                <w:spacing w:val="-1"/>
              </w:rPr>
              <w:t>时期，成蛹或羽化</w:t>
            </w:r>
          </w:p>
          <w:p>
            <w:pPr>
              <w:pStyle w:val="TableText"/>
              <w:ind w:left="11"/>
              <w:spacing w:before="28" w:line="201" w:lineRule="auto"/>
              <w:rPr>
                <w:sz w:val="11"/>
                <w:szCs w:val="11"/>
              </w:rPr>
            </w:pPr>
            <w:r>
              <w:rPr>
                <w:sz w:val="11"/>
                <w:szCs w:val="11"/>
              </w:rPr>
              <w:t>期，如毒峡(格透通毒峡、双线盗毒蛾)、</w:t>
            </w:r>
            <w:r>
              <w:rPr>
                <w:sz w:val="11"/>
                <w:szCs w:val="11"/>
                <w:spacing w:val="-1"/>
              </w:rPr>
              <w:t>颗蛾(棉卷叶野</w:t>
            </w:r>
          </w:p>
          <w:p>
            <w:pPr>
              <w:pStyle w:val="TableText"/>
              <w:ind w:left="11"/>
              <w:spacing w:line="226" w:lineRule="auto"/>
              <w:rPr>
                <w:sz w:val="11"/>
                <w:szCs w:val="11"/>
              </w:rPr>
            </w:pPr>
            <w:r>
              <w:rPr>
                <w:sz w:val="11"/>
                <w:szCs w:val="11"/>
                <w:spacing w:val="-1"/>
              </w:rPr>
              <w:t>照、竹织叶野蜒)、灰白蚕纸、粉螺等活跃，采取人工加药物</w:t>
            </w:r>
            <w:r>
              <w:rPr>
                <w:sz w:val="11"/>
                <w:szCs w:val="11"/>
                <w:spacing w:val="7"/>
              </w:rPr>
              <w:t xml:space="preserve"> </w:t>
            </w:r>
            <w:r>
              <w:rPr>
                <w:sz w:val="11"/>
                <w:szCs w:val="11"/>
                <w:spacing w:val="-4"/>
              </w:rPr>
              <w:t>双重防治。</w:t>
            </w:r>
          </w:p>
          <w:p>
            <w:pPr>
              <w:pStyle w:val="TableText"/>
              <w:ind w:left="11" w:right="2"/>
              <w:spacing w:line="209" w:lineRule="auto"/>
              <w:jc w:val="both"/>
              <w:rPr>
                <w:sz w:val="11"/>
                <w:szCs w:val="11"/>
              </w:rPr>
            </w:pPr>
            <w:r>
              <w:rPr>
                <w:sz w:val="11"/>
                <w:szCs w:val="11"/>
                <w:spacing w:val="-5"/>
              </w:rPr>
              <w:t>三、7-8月部分青蛾、频蛾、蚕城、粉觌活动有所减少。但是夜</w:t>
            </w:r>
            <w:r>
              <w:rPr>
                <w:sz w:val="11"/>
                <w:szCs w:val="11"/>
                <w:spacing w:val="13"/>
              </w:rPr>
              <w:t xml:space="preserve"> </w:t>
            </w:r>
            <w:r>
              <w:rPr>
                <w:sz w:val="11"/>
                <w:szCs w:val="11"/>
              </w:rPr>
              <w:t>纸、草坪拟小稻叶夜频、斜纹夜蜻危害严重。9</w:t>
            </w:r>
            <w:r>
              <w:rPr>
                <w:sz w:val="11"/>
                <w:szCs w:val="11"/>
                <w:spacing w:val="-1"/>
              </w:rPr>
              <w:t>-10月灰白查</w:t>
            </w:r>
            <w:r>
              <w:rPr>
                <w:sz w:val="11"/>
                <w:szCs w:val="11"/>
              </w:rPr>
              <w:t xml:space="preserve">  </w:t>
            </w:r>
            <w:r>
              <w:rPr>
                <w:sz w:val="11"/>
                <w:szCs w:val="11"/>
              </w:rPr>
              <w:t>维、青蛾类，粉蜂、尺蜻等危害上开。11月</w:t>
            </w:r>
            <w:r>
              <w:rPr>
                <w:sz w:val="11"/>
                <w:szCs w:val="11"/>
                <w:spacing w:val="-1"/>
              </w:rPr>
              <w:t>下句-2月，多以</w:t>
            </w:r>
            <w:r>
              <w:rPr>
                <w:sz w:val="11"/>
                <w:szCs w:val="11"/>
              </w:rPr>
              <w:t xml:space="preserve">  </w:t>
            </w:r>
            <w:r>
              <w:rPr>
                <w:sz w:val="11"/>
                <w:szCs w:val="11"/>
                <w:spacing w:val="-1"/>
              </w:rPr>
              <w:t>幅(茧)和高龄幼虫越冬，危害下降</w:t>
            </w:r>
          </w:p>
        </w:tc>
        <w:tc>
          <w:tcPr>
            <w:tcW w:w="1219" w:type="dxa"/>
            <w:vAlign w:val="top"/>
            <w:tcBorders>
              <w:bottom w:val="single" w:color="000000" w:sz="2" w:space="0"/>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323"/>
              <w:spacing w:before="36" w:line="219" w:lineRule="auto"/>
              <w:rPr>
                <w:sz w:val="11"/>
                <w:szCs w:val="11"/>
              </w:rPr>
            </w:pPr>
            <w:r>
              <w:rPr>
                <w:sz w:val="11"/>
                <w:szCs w:val="11"/>
                <w:spacing w:val="-1"/>
              </w:rPr>
              <w:t>诺普信男战</w:t>
            </w:r>
          </w:p>
        </w:tc>
        <w:tc>
          <w:tcPr>
            <w:tcW w:w="1819" w:type="dxa"/>
            <w:vAlign w:val="top"/>
            <w:tcBorders>
              <w:bottom w:val="single" w:color="000000" w:sz="2" w:space="0"/>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484"/>
              <w:spacing w:before="36" w:line="220" w:lineRule="auto"/>
              <w:rPr>
                <w:sz w:val="11"/>
                <w:szCs w:val="11"/>
              </w:rPr>
            </w:pPr>
            <w:r>
              <w:rPr>
                <w:sz w:val="11"/>
                <w:szCs w:val="11"/>
                <w:spacing w:val="-4"/>
              </w:rPr>
              <w:t>甲维盐</w:t>
            </w:r>
            <w:r>
              <w:rPr>
                <w:sz w:val="11"/>
                <w:szCs w:val="11"/>
                <w:spacing w:val="-9"/>
              </w:rPr>
              <w:t xml:space="preserve"> </w:t>
            </w:r>
            <w:r>
              <w:rPr>
                <w:sz w:val="11"/>
                <w:szCs w:val="11"/>
                <w:spacing w:val="-4"/>
              </w:rPr>
              <w:t>·虫酰205</w:t>
            </w:r>
          </w:p>
        </w:tc>
        <w:tc>
          <w:tcPr>
            <w:tcW w:w="1589" w:type="dxa"/>
            <w:vAlign w:val="top"/>
            <w:tcBorders>
              <w:bottom w:val="single" w:color="000000" w:sz="2" w:space="0"/>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485"/>
              <w:spacing w:before="36" w:line="220" w:lineRule="auto"/>
              <w:rPr>
                <w:sz w:val="11"/>
                <w:szCs w:val="11"/>
              </w:rPr>
            </w:pPr>
            <w:r>
              <w:rPr>
                <w:sz w:val="11"/>
                <w:szCs w:val="11"/>
                <w:spacing w:val="-2"/>
              </w:rPr>
              <w:t>1000-1500倍</w:t>
            </w:r>
          </w:p>
        </w:tc>
        <w:tc>
          <w:tcPr>
            <w:tcW w:w="1319" w:type="dxa"/>
            <w:vAlign w:val="top"/>
            <w:tcBorders>
              <w:bottom w:val="single" w:color="000000" w:sz="2" w:space="0"/>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76"/>
              <w:spacing w:before="36" w:line="219" w:lineRule="auto"/>
              <w:rPr>
                <w:sz w:val="11"/>
                <w:szCs w:val="11"/>
              </w:rPr>
            </w:pPr>
            <w:r>
              <w:rPr>
                <w:sz w:val="11"/>
                <w:szCs w:val="11"/>
                <w:spacing w:val="-1"/>
              </w:rPr>
              <w:t>一般用3次，间隔7-10天</w:t>
            </w:r>
          </w:p>
        </w:tc>
        <w:tc>
          <w:tcPr>
            <w:tcW w:w="669" w:type="dxa"/>
            <w:vAlign w:val="top"/>
            <w:tcBorders>
              <w:bottom w:val="single" w:color="000000" w:sz="2" w:space="0"/>
              <w:top w:val="single" w:color="000000" w:sz="2" w:space="0"/>
            </w:tcBorders>
          </w:tcPr>
          <w:p>
            <w:pPr>
              <w:spacing w:line="305" w:lineRule="auto"/>
              <w:rPr>
                <w:rFonts w:ascii="Arial"/>
                <w:sz w:val="21"/>
              </w:rPr>
            </w:pPr>
            <w:r/>
          </w:p>
          <w:p>
            <w:pPr>
              <w:spacing w:line="305" w:lineRule="auto"/>
              <w:rPr>
                <w:rFonts w:ascii="Arial"/>
                <w:sz w:val="21"/>
              </w:rPr>
            </w:pPr>
            <w:r/>
          </w:p>
          <w:p>
            <w:pPr>
              <w:pStyle w:val="TableText"/>
              <w:ind w:left="107"/>
              <w:spacing w:before="35" w:line="221" w:lineRule="auto"/>
              <w:rPr>
                <w:sz w:val="11"/>
                <w:szCs w:val="11"/>
              </w:rPr>
            </w:pPr>
            <w:r>
              <w:rPr>
                <w:sz w:val="11"/>
                <w:szCs w:val="11"/>
                <w:spacing w:val="-2"/>
              </w:rPr>
              <w:t>100ml/瓶</w:t>
            </w:r>
          </w:p>
        </w:tc>
        <w:tc>
          <w:tcPr>
            <w:tcW w:w="2573" w:type="dxa"/>
            <w:vAlign w:val="top"/>
            <w:tcBorders>
              <w:bottom w:val="single" w:color="000000" w:sz="2" w:space="0"/>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18"/>
              <w:spacing w:before="36" w:line="218" w:lineRule="auto"/>
              <w:rPr>
                <w:sz w:val="11"/>
                <w:szCs w:val="11"/>
              </w:rPr>
            </w:pPr>
            <w:r>
              <w:rPr>
                <w:sz w:val="11"/>
                <w:szCs w:val="11"/>
                <w:spacing w:val="-1"/>
              </w:rPr>
              <w:t>高效广语杀虫剂。杀食叶性害虫特效</w:t>
            </w:r>
          </w:p>
        </w:tc>
      </w:tr>
      <w:tr>
        <w:trPr>
          <w:trHeight w:val="335" w:hRule="atLeast"/>
        </w:trPr>
        <w:tc>
          <w:tcPr>
            <w:tcW w:w="385" w:type="dxa"/>
            <w:vAlign w:val="top"/>
            <w:vMerge w:val="continue"/>
            <w:tcBorders>
              <w:bottom w:val="nil"/>
              <w:top w:val="nil"/>
            </w:tcBorders>
          </w:tcPr>
          <w:p>
            <w:pPr>
              <w:rPr>
                <w:rFonts w:ascii="Arial"/>
                <w:sz w:val="21"/>
              </w:rPr>
            </w:pPr>
            <w:r/>
          </w:p>
        </w:tc>
        <w:tc>
          <w:tcPr>
            <w:tcW w:w="500" w:type="dxa"/>
            <w:vAlign w:val="top"/>
            <w:vMerge w:val="restart"/>
            <w:tcBorders>
              <w:bottom w:val="nil"/>
              <w:top w:val="single" w:color="000000" w:sz="2" w:space="0"/>
            </w:tcBorders>
          </w:tcPr>
          <w:p>
            <w:pPr>
              <w:spacing w:line="349" w:lineRule="auto"/>
              <w:rPr>
                <w:rFonts w:ascii="Arial"/>
                <w:sz w:val="21"/>
              </w:rPr>
            </w:pPr>
            <w:r/>
          </w:p>
          <w:p>
            <w:pPr>
              <w:spacing w:line="350" w:lineRule="auto"/>
              <w:rPr>
                <w:rFonts w:ascii="Arial"/>
                <w:sz w:val="21"/>
              </w:rPr>
            </w:pPr>
            <w:r/>
          </w:p>
          <w:p>
            <w:pPr>
              <w:pStyle w:val="TableText"/>
              <w:ind w:left="20"/>
              <w:spacing w:before="36" w:line="219" w:lineRule="auto"/>
              <w:rPr>
                <w:sz w:val="11"/>
                <w:szCs w:val="11"/>
              </w:rPr>
            </w:pPr>
            <w:r>
              <w:rPr>
                <w:sz w:val="11"/>
                <w:szCs w:val="11"/>
                <w:spacing w:val="-1"/>
              </w:rPr>
              <w:t>给壳类害</w:t>
            </w:r>
          </w:p>
          <w:p>
            <w:pPr>
              <w:pStyle w:val="TableText"/>
              <w:ind w:left="180"/>
              <w:spacing w:before="31" w:line="223" w:lineRule="auto"/>
              <w:rPr>
                <w:sz w:val="11"/>
                <w:szCs w:val="11"/>
              </w:rPr>
            </w:pPr>
            <w:r>
              <w:rPr>
                <w:sz w:val="11"/>
                <w:szCs w:val="11"/>
              </w:rPr>
              <w:t>虫</w:t>
            </w:r>
          </w:p>
        </w:tc>
        <w:tc>
          <w:tcPr>
            <w:tcW w:w="959" w:type="dxa"/>
            <w:vAlign w:val="top"/>
            <w:vMerge w:val="restart"/>
            <w:tcBorders>
              <w:bottom w:val="nil"/>
              <w:top w:val="single" w:color="000000" w:sz="2" w:space="0"/>
            </w:tcBorders>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30"/>
              <w:spacing w:before="36" w:line="219" w:lineRule="auto"/>
              <w:rPr>
                <w:sz w:val="11"/>
                <w:szCs w:val="11"/>
              </w:rPr>
            </w:pPr>
            <w:r>
              <w:rPr>
                <w:sz w:val="11"/>
                <w:szCs w:val="11"/>
                <w:spacing w:val="-1"/>
              </w:rPr>
              <w:t>球坚蟾、腊纷、粉</w:t>
            </w:r>
          </w:p>
          <w:p>
            <w:pPr>
              <w:pStyle w:val="TableText"/>
              <w:ind w:left="30"/>
              <w:spacing w:line="219" w:lineRule="auto"/>
              <w:rPr>
                <w:sz w:val="11"/>
                <w:szCs w:val="11"/>
              </w:rPr>
            </w:pPr>
            <w:r>
              <w:rPr>
                <w:sz w:val="11"/>
                <w:szCs w:val="11"/>
                <w:spacing w:val="-1"/>
              </w:rPr>
              <w:t>蚧、吹祝蚧、质蚧</w:t>
            </w:r>
          </w:p>
        </w:tc>
        <w:tc>
          <w:tcPr>
            <w:tcW w:w="2918" w:type="dxa"/>
            <w:vAlign w:val="top"/>
            <w:vMerge w:val="restart"/>
            <w:tcBorders>
              <w:bottom w:val="nil"/>
              <w:top w:val="single" w:color="000000" w:sz="2" w:space="0"/>
            </w:tcBorders>
          </w:tcPr>
          <w:p>
            <w:pPr>
              <w:spacing w:line="260" w:lineRule="auto"/>
              <w:rPr>
                <w:rFonts w:ascii="Arial"/>
                <w:sz w:val="21"/>
              </w:rPr>
            </w:pPr>
            <w:r/>
          </w:p>
          <w:p>
            <w:pPr>
              <w:spacing w:line="260" w:lineRule="auto"/>
              <w:rPr>
                <w:rFonts w:ascii="Arial"/>
                <w:sz w:val="21"/>
              </w:rPr>
            </w:pPr>
            <w:r/>
          </w:p>
          <w:p>
            <w:pPr>
              <w:pStyle w:val="TableText"/>
              <w:ind w:left="11"/>
              <w:spacing w:before="36" w:line="217" w:lineRule="auto"/>
              <w:rPr>
                <w:sz w:val="11"/>
                <w:szCs w:val="11"/>
              </w:rPr>
            </w:pPr>
            <w:r>
              <w:rPr>
                <w:sz w:val="11"/>
                <w:szCs w:val="11"/>
              </w:rPr>
              <w:t>一、2-4月埃及吹鸦蚧壳幼虫危害校叶。容易引发煤污</w:t>
            </w:r>
            <w:r>
              <w:rPr>
                <w:sz w:val="11"/>
                <w:szCs w:val="11"/>
                <w:spacing w:val="-1"/>
              </w:rPr>
              <w:t>病。</w:t>
            </w:r>
          </w:p>
          <w:p>
            <w:pPr>
              <w:pStyle w:val="TableText"/>
              <w:ind w:left="11"/>
              <w:spacing w:line="224" w:lineRule="auto"/>
              <w:rPr>
                <w:sz w:val="11"/>
                <w:szCs w:val="11"/>
              </w:rPr>
            </w:pPr>
            <w:r>
              <w:rPr>
                <w:sz w:val="11"/>
                <w:szCs w:val="11"/>
                <w:spacing w:val="-4"/>
              </w:rPr>
              <w:t>二、3-11月为翰壳虫意害风险上升期，主要有：4-</w:t>
            </w:r>
            <w:r>
              <w:rPr>
                <w:sz w:val="11"/>
                <w:szCs w:val="11"/>
                <w:spacing w:val="-5"/>
              </w:rPr>
              <w:t>6月盾始危害</w:t>
            </w:r>
            <w:r>
              <w:rPr>
                <w:sz w:val="11"/>
                <w:szCs w:val="11"/>
              </w:rPr>
              <w:t xml:space="preserve"> </w:t>
            </w:r>
            <w:r>
              <w:rPr>
                <w:sz w:val="11"/>
                <w:szCs w:val="11"/>
                <w:spacing w:val="-1"/>
              </w:rPr>
              <w:t>苏铁，白兰、夹竹桃类：吹捐蛤危害大红花，黄桂、荷花玉</w:t>
            </w:r>
            <w:r>
              <w:rPr>
                <w:sz w:val="11"/>
                <w:szCs w:val="11"/>
                <w:spacing w:val="9"/>
              </w:rPr>
              <w:t xml:space="preserve">  </w:t>
            </w:r>
            <w:r>
              <w:rPr>
                <w:sz w:val="11"/>
                <w:szCs w:val="11"/>
              </w:rPr>
              <w:t>兰等：7-11月龟脂蜻，堆粉鱿等危害严重</w:t>
            </w:r>
            <w:r>
              <w:rPr>
                <w:sz w:val="11"/>
                <w:szCs w:val="11"/>
                <w:spacing w:val="-1"/>
              </w:rPr>
              <w:t>，秋枫，小叶</w:t>
            </w:r>
          </w:p>
          <w:p>
            <w:pPr>
              <w:pStyle w:val="TableText"/>
              <w:ind w:left="11"/>
              <w:spacing w:before="9" w:line="219" w:lineRule="auto"/>
              <w:rPr>
                <w:sz w:val="11"/>
                <w:szCs w:val="11"/>
              </w:rPr>
            </w:pPr>
            <w:r>
              <w:rPr>
                <w:sz w:val="11"/>
                <w:szCs w:val="11"/>
                <w:spacing w:val="-1"/>
              </w:rPr>
              <w:t>格，雪及时发现，施药或修的防治，</w:t>
            </w:r>
          </w:p>
        </w:tc>
        <w:tc>
          <w:tcPr>
            <w:tcW w:w="1219" w:type="dxa"/>
            <w:vAlign w:val="top"/>
            <w:tcBorders>
              <w:bottom w:val="single" w:color="000000" w:sz="2" w:space="0"/>
              <w:top w:val="single" w:color="000000" w:sz="2" w:space="0"/>
            </w:tcBorders>
          </w:tcPr>
          <w:p>
            <w:pPr>
              <w:pStyle w:val="TableText"/>
              <w:ind w:left="213"/>
              <w:spacing w:before="130" w:line="219" w:lineRule="auto"/>
              <w:rPr>
                <w:sz w:val="11"/>
                <w:szCs w:val="11"/>
              </w:rPr>
            </w:pPr>
            <w:r>
              <w:rPr>
                <w:sz w:val="11"/>
                <w:szCs w:val="11"/>
                <w:spacing w:val="3"/>
              </w:rPr>
              <w:t>速扑杀(杀扑磷)</w:t>
            </w:r>
          </w:p>
        </w:tc>
        <w:tc>
          <w:tcPr>
            <w:tcW w:w="1819" w:type="dxa"/>
            <w:vAlign w:val="top"/>
            <w:tcBorders>
              <w:bottom w:val="single" w:color="000000" w:sz="2" w:space="0"/>
              <w:top w:val="single" w:color="000000" w:sz="2" w:space="0"/>
            </w:tcBorders>
          </w:tcPr>
          <w:p>
            <w:pPr>
              <w:pStyle w:val="TableText"/>
              <w:ind w:left="514"/>
              <w:spacing w:before="110" w:line="219" w:lineRule="auto"/>
              <w:rPr>
                <w:sz w:val="11"/>
                <w:szCs w:val="11"/>
              </w:rPr>
            </w:pPr>
            <w:r>
              <w:rPr>
                <w:sz w:val="11"/>
                <w:szCs w:val="11"/>
                <w:spacing w:val="-1"/>
              </w:rPr>
              <w:t>二碗代磷酸酯类</w:t>
            </w:r>
          </w:p>
        </w:tc>
        <w:tc>
          <w:tcPr>
            <w:tcW w:w="1589" w:type="dxa"/>
            <w:vAlign w:val="top"/>
            <w:tcBorders>
              <w:bottom w:val="single" w:color="000000" w:sz="2" w:space="0"/>
              <w:top w:val="single" w:color="000000" w:sz="2" w:space="0"/>
            </w:tcBorders>
          </w:tcPr>
          <w:p>
            <w:pPr>
              <w:pStyle w:val="TableText"/>
              <w:ind w:left="265"/>
              <w:spacing w:before="130" w:line="220" w:lineRule="auto"/>
              <w:rPr>
                <w:sz w:val="11"/>
                <w:szCs w:val="11"/>
              </w:rPr>
            </w:pPr>
            <w:r>
              <w:rPr>
                <w:sz w:val="11"/>
                <w:szCs w:val="11"/>
                <w:spacing w:val="-1"/>
              </w:rPr>
              <w:t>40%乳油700-2000倍液</w:t>
            </w:r>
          </w:p>
        </w:tc>
        <w:tc>
          <w:tcPr>
            <w:tcW w:w="1319" w:type="dxa"/>
            <w:vAlign w:val="top"/>
            <w:vMerge w:val="restart"/>
            <w:tcBorders>
              <w:bottom w:val="nil"/>
              <w:top w:val="single" w:color="000000" w:sz="2" w:space="0"/>
            </w:tcBorders>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45" w:right="33" w:hanging="29"/>
              <w:spacing w:before="36" w:line="211" w:lineRule="auto"/>
              <w:rPr>
                <w:sz w:val="11"/>
                <w:szCs w:val="11"/>
              </w:rPr>
            </w:pPr>
            <w:r>
              <w:rPr>
                <w:sz w:val="11"/>
                <w:szCs w:val="11"/>
                <w:spacing w:val="-1"/>
              </w:rPr>
              <w:t>一般用1-2次。时间问隔15</w:t>
            </w:r>
            <w:r>
              <w:rPr>
                <w:sz w:val="11"/>
                <w:szCs w:val="11"/>
                <w:spacing w:val="6"/>
              </w:rPr>
              <w:t xml:space="preserve"> </w:t>
            </w:r>
            <w:r>
              <w:rPr>
                <w:sz w:val="11"/>
                <w:szCs w:val="11"/>
                <w:spacing w:val="-1"/>
              </w:rPr>
              <w:t>到20天，具体视现场情况</w:t>
            </w:r>
          </w:p>
        </w:tc>
        <w:tc>
          <w:tcPr>
            <w:tcW w:w="669" w:type="dxa"/>
            <w:vAlign w:val="top"/>
            <w:tcBorders>
              <w:bottom w:val="single" w:color="000000" w:sz="2" w:space="0"/>
              <w:top w:val="single" w:color="000000" w:sz="2" w:space="0"/>
            </w:tcBorders>
          </w:tcPr>
          <w:p>
            <w:pPr>
              <w:pStyle w:val="TableText"/>
              <w:ind w:left="167"/>
              <w:spacing w:before="133" w:line="224" w:lineRule="auto"/>
              <w:rPr>
                <w:sz w:val="11"/>
                <w:szCs w:val="11"/>
              </w:rPr>
            </w:pPr>
            <w:r>
              <w:rPr>
                <w:sz w:val="11"/>
                <w:szCs w:val="11"/>
                <w:spacing w:val="-1"/>
              </w:rPr>
              <w:t>90ml/B</w:t>
            </w:r>
          </w:p>
        </w:tc>
        <w:tc>
          <w:tcPr>
            <w:tcW w:w="2573" w:type="dxa"/>
            <w:vAlign w:val="top"/>
            <w:tcBorders>
              <w:bottom w:val="single" w:color="000000" w:sz="2" w:space="0"/>
              <w:top w:val="single" w:color="000000" w:sz="2" w:space="0"/>
            </w:tcBorders>
          </w:tcPr>
          <w:p>
            <w:pPr>
              <w:pStyle w:val="TableText"/>
              <w:ind w:left="18" w:right="120" w:firstLine="9"/>
              <w:spacing w:before="49" w:line="210" w:lineRule="auto"/>
              <w:rPr>
                <w:sz w:val="11"/>
                <w:szCs w:val="11"/>
              </w:rPr>
            </w:pPr>
            <w:r>
              <w:rPr>
                <w:sz w:val="11"/>
                <w:szCs w:val="11"/>
              </w:rPr>
              <w:t>幼龄盛发期为跑药适期，防治蜡龄类喷施7</w:t>
            </w:r>
            <w:r>
              <w:rPr>
                <w:sz w:val="11"/>
                <w:szCs w:val="11"/>
                <w:spacing w:val="-1"/>
              </w:rPr>
              <w:t>00~1500</w:t>
            </w:r>
            <w:r>
              <w:rPr>
                <w:sz w:val="11"/>
                <w:szCs w:val="11"/>
              </w:rPr>
              <w:t xml:space="preserve"> </w:t>
            </w:r>
            <w:r>
              <w:rPr>
                <w:sz w:val="11"/>
                <w:szCs w:val="11"/>
              </w:rPr>
              <w:t>倍液：防治盾绣类喷施1500~2000倍</w:t>
            </w:r>
            <w:r>
              <w:rPr>
                <w:sz w:val="11"/>
                <w:szCs w:val="11"/>
                <w:spacing w:val="-1"/>
              </w:rPr>
              <w:t>液。</w:t>
            </w:r>
          </w:p>
        </w:tc>
      </w:tr>
      <w:tr>
        <w:trPr>
          <w:trHeight w:val="35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119" w:line="219" w:lineRule="auto"/>
              <w:rPr>
                <w:sz w:val="11"/>
                <w:szCs w:val="11"/>
              </w:rPr>
            </w:pPr>
            <w:r>
              <w:rPr>
                <w:sz w:val="11"/>
                <w:szCs w:val="11"/>
                <w:spacing w:val="-1"/>
              </w:rPr>
              <w:t>诺著信强势</w:t>
            </w:r>
          </w:p>
        </w:tc>
        <w:tc>
          <w:tcPr>
            <w:tcW w:w="1819" w:type="dxa"/>
            <w:vAlign w:val="top"/>
            <w:tcBorders>
              <w:bottom w:val="single" w:color="000000" w:sz="2" w:space="0"/>
              <w:top w:val="single" w:color="000000" w:sz="2" w:space="0"/>
            </w:tcBorders>
          </w:tcPr>
          <w:p>
            <w:pPr>
              <w:pStyle w:val="TableText"/>
              <w:ind w:left="424"/>
              <w:spacing w:before="120" w:line="221" w:lineRule="auto"/>
              <w:rPr>
                <w:sz w:val="11"/>
                <w:szCs w:val="11"/>
              </w:rPr>
            </w:pPr>
            <w:r>
              <w:rPr>
                <w:sz w:val="11"/>
                <w:szCs w:val="11"/>
                <w:spacing w:val="-12"/>
              </w:rPr>
              <w:t>吡</w:t>
            </w:r>
            <w:r>
              <w:rPr>
                <w:sz w:val="11"/>
                <w:szCs w:val="11"/>
                <w:spacing w:val="-5"/>
              </w:rPr>
              <w:t xml:space="preserve"> </w:t>
            </w:r>
            <w:r>
              <w:rPr>
                <w:sz w:val="11"/>
                <w:szCs w:val="11"/>
                <w:spacing w:val="-12"/>
              </w:rPr>
              <w:t>虫</w:t>
            </w:r>
            <w:r>
              <w:rPr>
                <w:sz w:val="11"/>
                <w:szCs w:val="11"/>
                <w:spacing w:val="24"/>
              </w:rPr>
              <w:t xml:space="preserve"> </w:t>
            </w:r>
            <w:r>
              <w:rPr>
                <w:sz w:val="11"/>
                <w:szCs w:val="11"/>
                <w:spacing w:val="-12"/>
              </w:rPr>
              <w:t>·</w:t>
            </w:r>
            <w:r>
              <w:rPr>
                <w:sz w:val="11"/>
                <w:szCs w:val="11"/>
                <w:spacing w:val="-9"/>
              </w:rPr>
              <w:t xml:space="preserve"> </w:t>
            </w:r>
            <w:r>
              <w:rPr>
                <w:sz w:val="11"/>
                <w:szCs w:val="11"/>
                <w:spacing w:val="-12"/>
              </w:rPr>
              <w:t>喀</w:t>
            </w:r>
            <w:r>
              <w:rPr>
                <w:sz w:val="11"/>
                <w:szCs w:val="11"/>
                <w:spacing w:val="-10"/>
              </w:rPr>
              <w:t xml:space="preserve"> </w:t>
            </w:r>
            <w:r>
              <w:rPr>
                <w:sz w:val="11"/>
                <w:szCs w:val="11"/>
                <w:spacing w:val="-12"/>
              </w:rPr>
              <w:t>嗪</w:t>
            </w:r>
            <w:r>
              <w:rPr>
                <w:sz w:val="11"/>
                <w:szCs w:val="11"/>
                <w:spacing w:val="-11"/>
              </w:rPr>
              <w:t xml:space="preserve"> </w:t>
            </w:r>
            <w:r>
              <w:rPr>
                <w:sz w:val="11"/>
                <w:szCs w:val="11"/>
                <w:spacing w:val="-12"/>
              </w:rPr>
              <w:t>3</w:t>
            </w:r>
            <w:r>
              <w:rPr>
                <w:sz w:val="11"/>
                <w:szCs w:val="11"/>
                <w:spacing w:val="-14"/>
              </w:rPr>
              <w:t xml:space="preserve"> </w:t>
            </w:r>
            <w:r>
              <w:rPr>
                <w:sz w:val="11"/>
                <w:szCs w:val="11"/>
                <w:spacing w:val="-12"/>
              </w:rPr>
              <w:t>0</w:t>
            </w:r>
            <w:r>
              <w:rPr>
                <w:sz w:val="11"/>
                <w:szCs w:val="11"/>
                <w:spacing w:val="-17"/>
              </w:rPr>
              <w:t xml:space="preserve"> </w:t>
            </w:r>
            <w:r>
              <w:rPr>
                <w:sz w:val="11"/>
                <w:szCs w:val="11"/>
                <w:spacing w:val="-12"/>
              </w:rPr>
              <w:t>%</w:t>
            </w:r>
          </w:p>
        </w:tc>
        <w:tc>
          <w:tcPr>
            <w:tcW w:w="1589" w:type="dxa"/>
            <w:vAlign w:val="top"/>
            <w:tcBorders>
              <w:bottom w:val="single" w:color="000000" w:sz="2" w:space="0"/>
              <w:top w:val="single" w:color="000000" w:sz="2" w:space="0"/>
            </w:tcBorders>
          </w:tcPr>
          <w:p>
            <w:pPr>
              <w:pStyle w:val="TableText"/>
              <w:ind w:left="515"/>
              <w:spacing w:before="120" w:line="220" w:lineRule="auto"/>
              <w:rPr>
                <w:sz w:val="11"/>
                <w:szCs w:val="11"/>
              </w:rPr>
            </w:pPr>
            <w:r>
              <w:rPr>
                <w:sz w:val="11"/>
                <w:szCs w:val="11"/>
                <w:spacing w:val="-1"/>
              </w:rPr>
              <w:t>800-1000倍</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07"/>
              <w:spacing w:before="120" w:line="221" w:lineRule="auto"/>
              <w:rPr>
                <w:sz w:val="11"/>
                <w:szCs w:val="11"/>
              </w:rPr>
            </w:pPr>
            <w:r>
              <w:rPr>
                <w:sz w:val="11"/>
                <w:szCs w:val="11"/>
                <w:spacing w:val="-1"/>
              </w:rPr>
              <w:t>300ml/瓶</w:t>
            </w:r>
          </w:p>
        </w:tc>
        <w:tc>
          <w:tcPr>
            <w:tcW w:w="2573" w:type="dxa"/>
            <w:vAlign w:val="top"/>
            <w:tcBorders>
              <w:bottom w:val="single" w:color="000000" w:sz="2" w:space="0"/>
              <w:top w:val="single" w:color="000000" w:sz="2" w:space="0"/>
            </w:tcBorders>
          </w:tcPr>
          <w:p>
            <w:pPr>
              <w:pStyle w:val="TableText"/>
              <w:ind w:left="18"/>
              <w:spacing w:before="69" w:line="211" w:lineRule="auto"/>
              <w:rPr>
                <w:sz w:val="11"/>
                <w:szCs w:val="11"/>
              </w:rPr>
            </w:pPr>
            <w:r>
              <w:rPr>
                <w:sz w:val="11"/>
                <w:szCs w:val="11"/>
                <w:spacing w:val="-4"/>
              </w:rPr>
              <w:t>专治花卉苗木各类蚡壳虫，兼治粉虱、木强、蚜虫等吸</w:t>
            </w:r>
            <w:r>
              <w:rPr>
                <w:sz w:val="11"/>
                <w:szCs w:val="11"/>
              </w:rPr>
              <w:t xml:space="preserve"> </w:t>
            </w:r>
            <w:r>
              <w:rPr>
                <w:sz w:val="11"/>
                <w:szCs w:val="11"/>
                <w:spacing w:val="-4"/>
              </w:rPr>
              <w:t>计性害虫。</w:t>
            </w:r>
          </w:p>
        </w:tc>
      </w:tr>
      <w:tr>
        <w:trPr>
          <w:trHeight w:val="33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130" w:line="219" w:lineRule="auto"/>
              <w:rPr>
                <w:sz w:val="11"/>
                <w:szCs w:val="11"/>
              </w:rPr>
            </w:pPr>
            <w:r>
              <w:rPr>
                <w:sz w:val="11"/>
                <w:szCs w:val="11"/>
                <w:spacing w:val="1"/>
              </w:rPr>
              <w:t>国光岭必治</w:t>
            </w:r>
          </w:p>
        </w:tc>
        <w:tc>
          <w:tcPr>
            <w:tcW w:w="1819" w:type="dxa"/>
            <w:vAlign w:val="top"/>
            <w:tcBorders>
              <w:bottom w:val="single" w:color="000000" w:sz="2" w:space="0"/>
              <w:top w:val="single" w:color="000000" w:sz="2" w:space="0"/>
            </w:tcBorders>
          </w:tcPr>
          <w:p>
            <w:pPr>
              <w:pStyle w:val="TableText"/>
              <w:ind w:left="354"/>
              <w:spacing w:before="130" w:line="219" w:lineRule="auto"/>
              <w:rPr>
                <w:sz w:val="11"/>
                <w:szCs w:val="11"/>
              </w:rPr>
            </w:pPr>
            <w:r>
              <w:rPr>
                <w:sz w:val="11"/>
                <w:szCs w:val="11"/>
                <w:spacing w:val="-1"/>
              </w:rPr>
              <w:t>40M啶虫脒.毒死卿乳油</w:t>
            </w:r>
          </w:p>
        </w:tc>
        <w:tc>
          <w:tcPr>
            <w:tcW w:w="1589" w:type="dxa"/>
            <w:vAlign w:val="top"/>
            <w:tcBorders>
              <w:bottom w:val="single" w:color="000000" w:sz="2" w:space="0"/>
              <w:top w:val="single" w:color="000000" w:sz="2" w:space="0"/>
            </w:tcBorders>
          </w:tcPr>
          <w:p>
            <w:pPr>
              <w:pStyle w:val="TableText"/>
              <w:ind w:left="425"/>
              <w:spacing w:before="130" w:line="220" w:lineRule="auto"/>
              <w:rPr>
                <w:sz w:val="11"/>
                <w:szCs w:val="11"/>
              </w:rPr>
            </w:pPr>
            <w:r>
              <w:rPr>
                <w:sz w:val="11"/>
                <w:szCs w:val="11"/>
                <w:spacing w:val="-1"/>
              </w:rPr>
              <w:t>2000-3000倍液</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67"/>
              <w:spacing w:before="127" w:line="213" w:lineRule="auto"/>
              <w:rPr>
                <w:sz w:val="11"/>
                <w:szCs w:val="11"/>
              </w:rPr>
            </w:pPr>
            <w:r>
              <w:rPr>
                <w:sz w:val="11"/>
                <w:szCs w:val="11"/>
                <w:spacing w:val="-1"/>
              </w:rPr>
              <w:t>200g/B</w:t>
            </w:r>
          </w:p>
        </w:tc>
        <w:tc>
          <w:tcPr>
            <w:tcW w:w="2573" w:type="dxa"/>
            <w:vAlign w:val="top"/>
            <w:tcBorders>
              <w:bottom w:val="single" w:color="000000" w:sz="2" w:space="0"/>
              <w:top w:val="single" w:color="000000" w:sz="2" w:space="0"/>
            </w:tcBorders>
          </w:tcPr>
          <w:p>
            <w:pPr>
              <w:pStyle w:val="TableText"/>
              <w:ind w:left="18"/>
              <w:spacing w:before="130" w:line="218" w:lineRule="auto"/>
              <w:rPr>
                <w:sz w:val="11"/>
                <w:szCs w:val="11"/>
              </w:rPr>
            </w:pPr>
            <w:r>
              <w:rPr>
                <w:sz w:val="11"/>
                <w:szCs w:val="11"/>
                <w:spacing w:val="-1"/>
              </w:rPr>
              <w:t>专杀介壳虫，食叶类害虫，地下害虫</w:t>
            </w:r>
          </w:p>
        </w:tc>
      </w:tr>
      <w:tr>
        <w:trPr>
          <w:trHeight w:val="35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121" w:line="220" w:lineRule="auto"/>
              <w:rPr>
                <w:sz w:val="11"/>
                <w:szCs w:val="11"/>
              </w:rPr>
            </w:pPr>
            <w:r>
              <w:rPr>
                <w:sz w:val="11"/>
                <w:szCs w:val="11"/>
                <w:spacing w:val="-3"/>
              </w:rPr>
              <w:t>中成捕捉手</w:t>
            </w:r>
          </w:p>
        </w:tc>
        <w:tc>
          <w:tcPr>
            <w:tcW w:w="1819" w:type="dxa"/>
            <w:vAlign w:val="top"/>
            <w:tcBorders>
              <w:bottom w:val="single" w:color="000000" w:sz="2" w:space="0"/>
              <w:top w:val="single" w:color="000000" w:sz="2" w:space="0"/>
            </w:tcBorders>
          </w:tcPr>
          <w:p>
            <w:pPr>
              <w:pStyle w:val="TableText"/>
              <w:ind w:left="484"/>
              <w:spacing w:before="120" w:line="219" w:lineRule="auto"/>
              <w:rPr>
                <w:sz w:val="11"/>
                <w:szCs w:val="11"/>
              </w:rPr>
            </w:pPr>
            <w:r>
              <w:rPr>
                <w:sz w:val="11"/>
                <w:szCs w:val="11"/>
                <w:spacing w:val="-6"/>
              </w:rPr>
              <w:t>高氯</w:t>
            </w:r>
            <w:r>
              <w:rPr>
                <w:sz w:val="11"/>
                <w:szCs w:val="11"/>
                <w:spacing w:val="-10"/>
              </w:rPr>
              <w:t xml:space="preserve"> </w:t>
            </w:r>
            <w:r>
              <w:rPr>
                <w:sz w:val="11"/>
                <w:szCs w:val="11"/>
                <w:spacing w:val="-6"/>
              </w:rPr>
              <w:t>·毒死蟀15%</w:t>
            </w:r>
          </w:p>
        </w:tc>
        <w:tc>
          <w:tcPr>
            <w:tcW w:w="1589" w:type="dxa"/>
            <w:vAlign w:val="top"/>
            <w:tcBorders>
              <w:bottom w:val="single" w:color="000000" w:sz="2" w:space="0"/>
              <w:top w:val="single" w:color="000000" w:sz="2" w:space="0"/>
            </w:tcBorders>
          </w:tcPr>
          <w:p>
            <w:pPr>
              <w:pStyle w:val="TableText"/>
              <w:ind w:left="425"/>
              <w:spacing w:before="121" w:line="220" w:lineRule="auto"/>
              <w:rPr>
                <w:sz w:val="11"/>
                <w:szCs w:val="11"/>
              </w:rPr>
            </w:pPr>
            <w:r>
              <w:rPr>
                <w:sz w:val="11"/>
                <w:szCs w:val="11"/>
              </w:rPr>
              <w:t>1000-1500倍液</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07"/>
              <w:spacing w:before="121" w:line="221" w:lineRule="auto"/>
              <w:rPr>
                <w:sz w:val="11"/>
                <w:szCs w:val="11"/>
              </w:rPr>
            </w:pPr>
            <w:r>
              <w:rPr>
                <w:sz w:val="11"/>
                <w:szCs w:val="11"/>
                <w:spacing w:val="-1"/>
              </w:rPr>
              <w:t>200ml/瓶</w:t>
            </w:r>
          </w:p>
        </w:tc>
        <w:tc>
          <w:tcPr>
            <w:tcW w:w="2573" w:type="dxa"/>
            <w:vAlign w:val="top"/>
            <w:tcBorders>
              <w:bottom w:val="single" w:color="000000" w:sz="2" w:space="0"/>
              <w:top w:val="single" w:color="000000" w:sz="2" w:space="0"/>
            </w:tcBorders>
          </w:tcPr>
          <w:p>
            <w:pPr>
              <w:pStyle w:val="TableText"/>
              <w:ind w:left="18"/>
              <w:spacing w:before="120" w:line="219" w:lineRule="auto"/>
              <w:rPr>
                <w:sz w:val="11"/>
                <w:szCs w:val="11"/>
              </w:rPr>
            </w:pPr>
            <w:r>
              <w:rPr>
                <w:sz w:val="11"/>
                <w:szCs w:val="11"/>
                <w:spacing w:val="-1"/>
              </w:rPr>
              <w:t>主登防泊蚧壳虫，班潜频及鳞细日幼虫、飞重等</w:t>
            </w:r>
          </w:p>
        </w:tc>
      </w:tr>
      <w:tr>
        <w:trPr>
          <w:trHeight w:val="33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273"/>
              <w:spacing w:before="111" w:line="218" w:lineRule="auto"/>
              <w:rPr>
                <w:sz w:val="11"/>
                <w:szCs w:val="11"/>
              </w:rPr>
            </w:pPr>
            <w:r>
              <w:rPr>
                <w:sz w:val="11"/>
                <w:szCs w:val="11"/>
                <w:spacing w:val="-1"/>
              </w:rPr>
              <w:t>诺普信速介清</w:t>
            </w:r>
          </w:p>
        </w:tc>
        <w:tc>
          <w:tcPr>
            <w:tcW w:w="1819" w:type="dxa"/>
            <w:vAlign w:val="top"/>
            <w:tcBorders>
              <w:bottom w:val="single" w:color="000000" w:sz="2" w:space="0"/>
              <w:top w:val="single" w:color="000000" w:sz="2" w:space="0"/>
            </w:tcBorders>
          </w:tcPr>
          <w:p>
            <w:pPr>
              <w:pStyle w:val="TableText"/>
              <w:ind w:left="654"/>
              <w:spacing w:before="111" w:line="219" w:lineRule="auto"/>
              <w:rPr>
                <w:sz w:val="11"/>
                <w:szCs w:val="11"/>
              </w:rPr>
            </w:pPr>
            <w:r>
              <w:rPr>
                <w:sz w:val="11"/>
                <w:szCs w:val="11"/>
                <w:spacing w:val="-1"/>
              </w:rPr>
              <w:t>杀扑骑40%</w:t>
            </w:r>
          </w:p>
        </w:tc>
        <w:tc>
          <w:tcPr>
            <w:tcW w:w="1589" w:type="dxa"/>
            <w:vAlign w:val="top"/>
            <w:tcBorders>
              <w:bottom w:val="single" w:color="000000" w:sz="2" w:space="0"/>
              <w:top w:val="single" w:color="000000" w:sz="2" w:space="0"/>
            </w:tcBorders>
          </w:tcPr>
          <w:p>
            <w:pPr>
              <w:pStyle w:val="TableText"/>
              <w:ind w:left="485"/>
              <w:spacing w:before="111" w:line="220" w:lineRule="auto"/>
              <w:rPr>
                <w:sz w:val="11"/>
                <w:szCs w:val="11"/>
              </w:rPr>
            </w:pPr>
            <w:r>
              <w:rPr>
                <w:sz w:val="11"/>
                <w:szCs w:val="11"/>
                <w:spacing w:val="-5"/>
              </w:rPr>
              <w:t>1000—1500倍</w:t>
            </w:r>
          </w:p>
        </w:tc>
        <w:tc>
          <w:tcPr>
            <w:tcW w:w="131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76"/>
              <w:spacing w:before="112" w:line="221" w:lineRule="auto"/>
              <w:rPr>
                <w:sz w:val="11"/>
                <w:szCs w:val="11"/>
              </w:rPr>
            </w:pPr>
            <w:r>
              <w:rPr>
                <w:sz w:val="11"/>
                <w:szCs w:val="11"/>
                <w:spacing w:val="1"/>
              </w:rPr>
              <w:t>1000</w:t>
            </w:r>
            <w:r>
              <w:rPr>
                <w:sz w:val="11"/>
                <w:szCs w:val="11"/>
              </w:rPr>
              <w:t>ml</w:t>
            </w:r>
            <w:r>
              <w:rPr>
                <w:sz w:val="11"/>
                <w:szCs w:val="11"/>
                <w:spacing w:val="1"/>
              </w:rPr>
              <w:t>/瓶</w:t>
            </w:r>
          </w:p>
        </w:tc>
        <w:tc>
          <w:tcPr>
            <w:tcW w:w="2573" w:type="dxa"/>
            <w:vAlign w:val="top"/>
            <w:tcBorders>
              <w:bottom w:val="single" w:color="000000" w:sz="2" w:space="0"/>
              <w:top w:val="single" w:color="000000" w:sz="2" w:space="0"/>
            </w:tcBorders>
          </w:tcPr>
          <w:p>
            <w:pPr>
              <w:pStyle w:val="TableText"/>
              <w:ind w:left="18"/>
              <w:spacing w:before="111" w:line="218" w:lineRule="auto"/>
              <w:rPr>
                <w:sz w:val="11"/>
                <w:szCs w:val="11"/>
              </w:rPr>
            </w:pPr>
            <w:r>
              <w:rPr>
                <w:sz w:val="11"/>
                <w:szCs w:val="11"/>
                <w:spacing w:val="-1"/>
              </w:rPr>
              <w:t>杀灭介壳虫，活性高</w:t>
            </w:r>
          </w:p>
        </w:tc>
      </w:tr>
      <w:tr>
        <w:trPr>
          <w:trHeight w:val="474" w:hRule="atLeast"/>
        </w:trPr>
        <w:tc>
          <w:tcPr>
            <w:tcW w:w="385" w:type="dxa"/>
            <w:vAlign w:val="top"/>
            <w:vMerge w:val="continue"/>
            <w:tcBorders>
              <w:bottom w:val="nil"/>
              <w:top w:val="nil"/>
            </w:tcBorders>
          </w:tcPr>
          <w:p>
            <w:pPr>
              <w:rPr>
                <w:rFonts w:ascii="Arial"/>
                <w:sz w:val="21"/>
              </w:rPr>
            </w:pPr>
            <w:r/>
          </w:p>
        </w:tc>
        <w:tc>
          <w:tcPr>
            <w:tcW w:w="500" w:type="dxa"/>
            <w:vAlign w:val="top"/>
            <w:vMerge w:val="restart"/>
            <w:tcBorders>
              <w:bottom w:val="nil"/>
              <w:top w:val="single" w:color="000000" w:sz="2" w:space="0"/>
            </w:tcBorders>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spacing w:before="36" w:line="219" w:lineRule="auto"/>
              <w:jc w:val="right"/>
              <w:rPr>
                <w:sz w:val="11"/>
                <w:szCs w:val="11"/>
              </w:rPr>
            </w:pPr>
            <w:r>
              <w:rPr>
                <w:sz w:val="11"/>
                <w:szCs w:val="11"/>
                <w:spacing w:val="9"/>
              </w:rPr>
              <w:t>刺吸害虫</w:t>
            </w:r>
          </w:p>
        </w:tc>
        <w:tc>
          <w:tcPr>
            <w:tcW w:w="959" w:type="dxa"/>
            <w:vAlign w:val="top"/>
            <w:vMerge w:val="restart"/>
            <w:tcBorders>
              <w:bottom w:val="nil"/>
              <w:top w:val="single" w:color="000000" w:sz="2" w:space="0"/>
            </w:tcBorders>
          </w:tcPr>
          <w:p>
            <w:pPr>
              <w:spacing w:line="355" w:lineRule="auto"/>
              <w:rPr>
                <w:rFonts w:ascii="Arial"/>
                <w:sz w:val="21"/>
              </w:rPr>
            </w:pPr>
            <w:r/>
          </w:p>
          <w:p>
            <w:pPr>
              <w:spacing w:line="356" w:lineRule="auto"/>
              <w:rPr>
                <w:rFonts w:ascii="Arial"/>
                <w:sz w:val="21"/>
              </w:rPr>
            </w:pPr>
            <w:r/>
          </w:p>
          <w:p>
            <w:pPr>
              <w:pStyle w:val="TableText"/>
              <w:ind w:left="9" w:right="43" w:firstLine="20"/>
              <w:spacing w:before="36" w:line="219" w:lineRule="auto"/>
              <w:jc w:val="both"/>
              <w:rPr>
                <w:sz w:val="11"/>
                <w:szCs w:val="11"/>
              </w:rPr>
            </w:pPr>
            <w:r>
              <w:rPr>
                <w:sz w:val="11"/>
                <w:szCs w:val="11"/>
                <w:spacing w:val="-1"/>
              </w:rPr>
              <w:t>好虫、木亟，粉烈</w:t>
            </w:r>
            <w:r>
              <w:rPr>
                <w:sz w:val="11"/>
                <w:szCs w:val="11"/>
                <w:spacing w:val="2"/>
              </w:rPr>
              <w:t xml:space="preserve"> </w:t>
            </w:r>
            <w:r>
              <w:rPr>
                <w:sz w:val="11"/>
                <w:szCs w:val="11"/>
              </w:rPr>
              <w:t>、叶端类，叶炉类</w:t>
            </w:r>
            <w:r>
              <w:rPr>
                <w:sz w:val="11"/>
                <w:szCs w:val="11"/>
                <w:spacing w:val="2"/>
              </w:rPr>
              <w:t xml:space="preserve"> </w:t>
            </w:r>
            <w:r>
              <w:rPr>
                <w:sz w:val="11"/>
                <w:szCs w:val="11"/>
                <w:spacing w:val="-4"/>
              </w:rPr>
              <w:t>、狗马类</w:t>
            </w:r>
          </w:p>
        </w:tc>
        <w:tc>
          <w:tcPr>
            <w:tcW w:w="2918" w:type="dxa"/>
            <w:vAlign w:val="top"/>
            <w:vMerge w:val="restart"/>
            <w:tcBorders>
              <w:bottom w:val="nil"/>
              <w:top w:val="single" w:color="000000" w:sz="2" w:space="0"/>
            </w:tcBorders>
          </w:tcPr>
          <w:p>
            <w:pPr>
              <w:spacing w:line="443" w:lineRule="auto"/>
              <w:rPr>
                <w:rFonts w:ascii="Arial"/>
                <w:sz w:val="21"/>
              </w:rPr>
            </w:pPr>
            <w:r/>
          </w:p>
          <w:p>
            <w:pPr>
              <w:pStyle w:val="TableText"/>
              <w:ind w:left="11"/>
              <w:spacing w:before="35" w:line="219" w:lineRule="auto"/>
              <w:rPr>
                <w:sz w:val="11"/>
                <w:szCs w:val="11"/>
              </w:rPr>
            </w:pPr>
            <w:r>
              <w:rPr>
                <w:sz w:val="11"/>
                <w:szCs w:val="11"/>
                <w:spacing w:val="-1"/>
              </w:rPr>
              <w:t>一、2-3月棉蚜危害高峰期。就害、等。</w:t>
            </w:r>
          </w:p>
          <w:p>
            <w:pPr>
              <w:pStyle w:val="TableText"/>
              <w:ind w:left="11"/>
              <w:spacing w:before="7" w:line="216" w:lineRule="auto"/>
              <w:rPr>
                <w:sz w:val="11"/>
                <w:szCs w:val="11"/>
              </w:rPr>
            </w:pPr>
            <w:r>
              <w:rPr>
                <w:sz w:val="11"/>
                <w:szCs w:val="11"/>
                <w:spacing w:val="1"/>
              </w:rPr>
              <w:t>三.4-11月，蚜虫，木虱(卵店木至),粉虱</w:t>
            </w:r>
            <w:r>
              <w:rPr>
                <w:sz w:val="11"/>
                <w:szCs w:val="11"/>
              </w:rPr>
              <w:t>(黑刺粉虱)</w:t>
            </w:r>
          </w:p>
          <w:p>
            <w:pPr>
              <w:pStyle w:val="TableText"/>
              <w:ind w:left="11" w:right="217"/>
              <w:spacing w:before="2" w:line="218" w:lineRule="auto"/>
              <w:rPr>
                <w:sz w:val="11"/>
                <w:szCs w:val="11"/>
              </w:rPr>
            </w:pPr>
            <w:r>
              <w:rPr>
                <w:sz w:val="11"/>
                <w:szCs w:val="11"/>
                <w:spacing w:val="-1"/>
              </w:rPr>
              <w:t>、叶螨(朱砂叶螨、二点叶姨)、叶蜂(棉叶蝉、小绿叶蜂</w:t>
            </w:r>
            <w:r>
              <w:rPr>
                <w:sz w:val="11"/>
                <w:szCs w:val="11"/>
                <w:spacing w:val="9"/>
              </w:rPr>
              <w:t xml:space="preserve"> </w:t>
            </w:r>
            <w:r>
              <w:rPr>
                <w:sz w:val="11"/>
                <w:szCs w:val="11"/>
                <w:spacing w:val="-1"/>
              </w:rPr>
              <w:t>、大白叶螂)、婀马(管榕例马)等严重危害小叶榕、黄槐</w:t>
            </w:r>
            <w:r>
              <w:rPr>
                <w:sz w:val="11"/>
                <w:szCs w:val="11"/>
                <w:spacing w:val="8"/>
              </w:rPr>
              <w:t xml:space="preserve"> </w:t>
            </w:r>
            <w:r>
              <w:rPr>
                <w:sz w:val="11"/>
                <w:szCs w:val="11"/>
                <w:spacing w:val="-1"/>
              </w:rPr>
              <w:t>、刺树、秋枫、等。</w:t>
            </w:r>
          </w:p>
          <w:p>
            <w:pPr>
              <w:pStyle w:val="TableText"/>
              <w:ind w:left="11" w:right="2"/>
              <w:spacing w:before="1" w:line="226" w:lineRule="auto"/>
              <w:rPr>
                <w:sz w:val="11"/>
                <w:szCs w:val="11"/>
              </w:rPr>
            </w:pPr>
            <w:r>
              <w:rPr>
                <w:sz w:val="11"/>
                <w:szCs w:val="11"/>
                <w:spacing w:val="-3"/>
              </w:rPr>
              <w:t>三、12月-1月危害程度有所下降，注意清洁园围。结合冬季修</w:t>
            </w:r>
            <w:r>
              <w:rPr>
                <w:sz w:val="11"/>
                <w:szCs w:val="11"/>
                <w:spacing w:val="10"/>
              </w:rPr>
              <w:t xml:space="preserve"> </w:t>
            </w:r>
            <w:r>
              <w:rPr>
                <w:sz w:val="11"/>
                <w:szCs w:val="11"/>
                <w:spacing w:val="-2"/>
              </w:rPr>
              <w:t>剪，剪除带病虫枝叶。</w:t>
            </w:r>
          </w:p>
        </w:tc>
        <w:tc>
          <w:tcPr>
            <w:tcW w:w="1219" w:type="dxa"/>
            <w:vAlign w:val="top"/>
            <w:tcBorders>
              <w:bottom w:val="single" w:color="000000" w:sz="2" w:space="0"/>
              <w:top w:val="single" w:color="000000" w:sz="2" w:space="0"/>
            </w:tcBorders>
          </w:tcPr>
          <w:p>
            <w:pPr>
              <w:pStyle w:val="TableText"/>
              <w:ind w:left="433"/>
              <w:spacing w:before="182" w:line="220" w:lineRule="auto"/>
              <w:rPr>
                <w:sz w:val="11"/>
                <w:szCs w:val="11"/>
              </w:rPr>
            </w:pPr>
            <w:r>
              <w:rPr>
                <w:sz w:val="11"/>
                <w:szCs w:val="11"/>
                <w:spacing w:val="-2"/>
              </w:rPr>
              <w:t>艾美乐</w:t>
            </w:r>
          </w:p>
        </w:tc>
        <w:tc>
          <w:tcPr>
            <w:tcW w:w="1819" w:type="dxa"/>
            <w:vAlign w:val="top"/>
            <w:tcBorders>
              <w:bottom w:val="single" w:color="000000" w:sz="2" w:space="0"/>
              <w:top w:val="single" w:color="000000" w:sz="2" w:space="0"/>
            </w:tcBorders>
          </w:tcPr>
          <w:p>
            <w:pPr>
              <w:pStyle w:val="TableText"/>
              <w:ind w:left="734"/>
              <w:spacing w:before="182" w:line="220" w:lineRule="auto"/>
              <w:rPr>
                <w:sz w:val="11"/>
                <w:szCs w:val="11"/>
              </w:rPr>
            </w:pPr>
            <w:r>
              <w:rPr>
                <w:sz w:val="11"/>
                <w:szCs w:val="11"/>
                <w:spacing w:val="-3"/>
              </w:rPr>
              <w:t>吡虫味</w:t>
            </w:r>
          </w:p>
        </w:tc>
        <w:tc>
          <w:tcPr>
            <w:tcW w:w="1589" w:type="dxa"/>
            <w:vAlign w:val="top"/>
            <w:tcBorders>
              <w:bottom w:val="single" w:color="000000" w:sz="2" w:space="0"/>
              <w:top w:val="single" w:color="000000" w:sz="2" w:space="0"/>
            </w:tcBorders>
          </w:tcPr>
          <w:p>
            <w:pPr>
              <w:pStyle w:val="TableText"/>
              <w:ind w:left="45"/>
              <w:spacing w:before="181" w:line="218" w:lineRule="auto"/>
              <w:rPr>
                <w:sz w:val="11"/>
                <w:szCs w:val="11"/>
              </w:rPr>
            </w:pPr>
            <w:r>
              <w:rPr>
                <w:sz w:val="11"/>
                <w:szCs w:val="11"/>
                <w:spacing w:val="-1"/>
              </w:rPr>
              <w:t>70%水分散粒剂5000-10000倍液</w:t>
            </w:r>
          </w:p>
        </w:tc>
        <w:tc>
          <w:tcPr>
            <w:tcW w:w="1319" w:type="dxa"/>
            <w:vAlign w:val="top"/>
            <w:tcBorders>
              <w:bottom w:val="single" w:color="000000" w:sz="2" w:space="0"/>
              <w:top w:val="single" w:color="000000" w:sz="2" w:space="0"/>
            </w:tcBorders>
          </w:tcPr>
          <w:p>
            <w:pPr>
              <w:pStyle w:val="TableText"/>
              <w:ind w:left="225" w:right="32" w:hanging="209"/>
              <w:spacing w:before="111" w:line="220" w:lineRule="auto"/>
              <w:rPr>
                <w:sz w:val="11"/>
                <w:szCs w:val="11"/>
              </w:rPr>
            </w:pPr>
            <w:r>
              <w:rPr>
                <w:sz w:val="11"/>
                <w:szCs w:val="11"/>
                <w:spacing w:val="-1"/>
              </w:rPr>
              <w:t>每10-15天用药一次，违续</w:t>
            </w:r>
            <w:r>
              <w:rPr>
                <w:sz w:val="11"/>
                <w:szCs w:val="11"/>
                <w:spacing w:val="8"/>
              </w:rPr>
              <w:t xml:space="preserve"> </w:t>
            </w:r>
            <w:r>
              <w:rPr>
                <w:sz w:val="11"/>
                <w:szCs w:val="11"/>
                <w:spacing w:val="-1"/>
              </w:rPr>
              <w:t>使用不得超过两次</w:t>
            </w:r>
          </w:p>
        </w:tc>
        <w:tc>
          <w:tcPr>
            <w:tcW w:w="669" w:type="dxa"/>
            <w:vAlign w:val="top"/>
            <w:tcBorders>
              <w:bottom w:val="single" w:color="000000" w:sz="2" w:space="0"/>
              <w:top w:val="single" w:color="000000" w:sz="2" w:space="0"/>
            </w:tcBorders>
          </w:tcPr>
          <w:p>
            <w:pPr>
              <w:pStyle w:val="TableText"/>
              <w:ind w:left="187"/>
              <w:spacing w:before="178" w:line="213" w:lineRule="auto"/>
              <w:rPr>
                <w:sz w:val="11"/>
                <w:szCs w:val="11"/>
              </w:rPr>
            </w:pPr>
            <w:r>
              <w:rPr>
                <w:sz w:val="11"/>
                <w:szCs w:val="11"/>
                <w:spacing w:val="2"/>
              </w:rPr>
              <w:t>1g/包</w:t>
            </w:r>
          </w:p>
        </w:tc>
        <w:tc>
          <w:tcPr>
            <w:tcW w:w="2573" w:type="dxa"/>
            <w:vAlign w:val="top"/>
            <w:tcBorders>
              <w:bottom w:val="single" w:color="000000" w:sz="2" w:space="0"/>
              <w:top w:val="single" w:color="000000" w:sz="2" w:space="0"/>
            </w:tcBorders>
          </w:tcPr>
          <w:p>
            <w:pPr>
              <w:pStyle w:val="TableText"/>
              <w:ind w:left="18"/>
              <w:spacing w:before="181" w:line="219" w:lineRule="auto"/>
              <w:rPr>
                <w:sz w:val="11"/>
                <w:szCs w:val="11"/>
              </w:rPr>
            </w:pPr>
            <w:r>
              <w:rPr>
                <w:sz w:val="11"/>
                <w:szCs w:val="11"/>
                <w:spacing w:val="-1"/>
              </w:rPr>
              <w:t>防治好虫、叶蜂剥吸类害虫</w:t>
            </w:r>
          </w:p>
        </w:tc>
      </w:tr>
      <w:tr>
        <w:trPr>
          <w:trHeight w:val="27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273"/>
              <w:spacing w:before="82" w:line="219" w:lineRule="auto"/>
              <w:rPr>
                <w:sz w:val="11"/>
                <w:szCs w:val="11"/>
              </w:rPr>
            </w:pPr>
            <w:r>
              <w:rPr>
                <w:sz w:val="11"/>
                <w:szCs w:val="11"/>
                <w:spacing w:val="-1"/>
              </w:rPr>
              <w:t>先正达阿充泰</w:t>
            </w:r>
          </w:p>
        </w:tc>
        <w:tc>
          <w:tcPr>
            <w:tcW w:w="1819" w:type="dxa"/>
            <w:vAlign w:val="top"/>
            <w:tcBorders>
              <w:bottom w:val="single" w:color="000000" w:sz="2" w:space="0"/>
              <w:top w:val="single" w:color="000000" w:sz="2" w:space="0"/>
            </w:tcBorders>
          </w:tcPr>
          <w:p>
            <w:pPr>
              <w:pStyle w:val="TableText"/>
              <w:ind w:left="1094"/>
              <w:spacing w:before="82" w:line="219" w:lineRule="auto"/>
              <w:rPr>
                <w:sz w:val="11"/>
                <w:szCs w:val="11"/>
              </w:rPr>
            </w:pPr>
            <w:r>
              <w:rPr>
                <w:sz w:val="11"/>
                <w:szCs w:val="11"/>
                <w:spacing w:val="-2"/>
              </w:rPr>
              <w:t>烟碱类</w:t>
            </w:r>
          </w:p>
        </w:tc>
        <w:tc>
          <w:tcPr>
            <w:tcW w:w="1589" w:type="dxa"/>
            <w:vAlign w:val="top"/>
            <w:tcBorders>
              <w:bottom w:val="single" w:color="000000" w:sz="2" w:space="0"/>
              <w:top w:val="single" w:color="000000" w:sz="2" w:space="0"/>
            </w:tcBorders>
          </w:tcPr>
          <w:p>
            <w:pPr>
              <w:pStyle w:val="TableText"/>
              <w:ind w:left="95"/>
              <w:spacing w:before="82" w:line="218" w:lineRule="auto"/>
              <w:rPr>
                <w:sz w:val="11"/>
                <w:szCs w:val="11"/>
              </w:rPr>
            </w:pPr>
            <w:r>
              <w:rPr>
                <w:sz w:val="11"/>
                <w:szCs w:val="11"/>
                <w:spacing w:val="-1"/>
              </w:rPr>
              <w:t>254阿克奉水分散粒剂1500倍</w:t>
            </w:r>
          </w:p>
        </w:tc>
        <w:tc>
          <w:tcPr>
            <w:tcW w:w="1319" w:type="dxa"/>
            <w:vAlign w:val="top"/>
            <w:tcBorders>
              <w:bottom w:val="single" w:color="000000" w:sz="2" w:space="0"/>
              <w:top w:val="single" w:color="000000" w:sz="2" w:space="0"/>
            </w:tcBorders>
          </w:tcPr>
          <w:p>
            <w:pPr>
              <w:pStyle w:val="TableText"/>
              <w:ind w:left="405" w:right="32" w:hanging="389"/>
              <w:spacing w:before="12" w:line="202" w:lineRule="auto"/>
              <w:rPr>
                <w:sz w:val="11"/>
                <w:szCs w:val="11"/>
              </w:rPr>
            </w:pPr>
            <w:r>
              <w:rPr>
                <w:sz w:val="11"/>
                <w:szCs w:val="11"/>
                <w:spacing w:val="-1"/>
              </w:rPr>
              <w:t>每10-15天用药一次。连续</w:t>
            </w:r>
            <w:r>
              <w:rPr>
                <w:sz w:val="11"/>
                <w:szCs w:val="11"/>
                <w:spacing w:val="8"/>
              </w:rPr>
              <w:t xml:space="preserve"> </w:t>
            </w:r>
            <w:r>
              <w:rPr>
                <w:sz w:val="11"/>
                <w:szCs w:val="11"/>
                <w:spacing w:val="-1"/>
              </w:rPr>
              <w:t>使用2-3次</w:t>
            </w:r>
          </w:p>
        </w:tc>
        <w:tc>
          <w:tcPr>
            <w:tcW w:w="669" w:type="dxa"/>
            <w:vAlign w:val="top"/>
            <w:tcBorders>
              <w:bottom w:val="single" w:color="000000" w:sz="2" w:space="0"/>
              <w:top w:val="single" w:color="000000" w:sz="2" w:space="0"/>
            </w:tcBorders>
          </w:tcPr>
          <w:p>
            <w:pPr>
              <w:pStyle w:val="TableText"/>
              <w:ind w:left="137"/>
              <w:spacing w:before="79" w:line="213" w:lineRule="auto"/>
              <w:rPr>
                <w:sz w:val="11"/>
                <w:szCs w:val="11"/>
              </w:rPr>
            </w:pPr>
            <w:r>
              <w:rPr>
                <w:sz w:val="11"/>
                <w:szCs w:val="11"/>
                <w:spacing w:val="-2"/>
              </w:rPr>
              <w:t>100g/袋</w:t>
            </w:r>
          </w:p>
        </w:tc>
        <w:tc>
          <w:tcPr>
            <w:tcW w:w="2573" w:type="dxa"/>
            <w:vAlign w:val="top"/>
            <w:tcBorders>
              <w:bottom w:val="single" w:color="000000" w:sz="2" w:space="0"/>
              <w:top w:val="single" w:color="000000" w:sz="2" w:space="0"/>
            </w:tcBorders>
          </w:tcPr>
          <w:p>
            <w:pPr>
              <w:pStyle w:val="TableText"/>
              <w:ind w:left="18" w:right="19"/>
              <w:spacing w:before="32" w:line="194" w:lineRule="auto"/>
              <w:rPr>
                <w:sz w:val="11"/>
                <w:szCs w:val="11"/>
              </w:rPr>
            </w:pPr>
            <w:r>
              <w:rPr>
                <w:sz w:val="11"/>
                <w:szCs w:val="11"/>
                <w:spacing w:val="-1"/>
              </w:rPr>
              <w:t>有效防治鳞翘目，稍翘目，缕猫目害虫。如各种好虫</w:t>
            </w:r>
            <w:r>
              <w:rPr>
                <w:sz w:val="11"/>
                <w:szCs w:val="11"/>
                <w:spacing w:val="17"/>
              </w:rPr>
              <w:t xml:space="preserve"> </w:t>
            </w:r>
            <w:r>
              <w:rPr>
                <w:sz w:val="11"/>
                <w:szCs w:val="11"/>
              </w:rPr>
              <w:t>.叶蜂，粉强，飞虱等。</w:t>
            </w:r>
          </w:p>
        </w:tc>
      </w:tr>
      <w:tr>
        <w:trPr>
          <w:trHeight w:val="30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103"/>
              <w:spacing w:before="103" w:line="219" w:lineRule="auto"/>
              <w:rPr>
                <w:sz w:val="11"/>
                <w:szCs w:val="11"/>
              </w:rPr>
            </w:pPr>
            <w:r>
              <w:rPr>
                <w:sz w:val="11"/>
                <w:szCs w:val="11"/>
                <w:spacing w:val="2"/>
              </w:rPr>
              <w:t>三氯票蜗醇(开乐散)</w:t>
            </w:r>
          </w:p>
        </w:tc>
        <w:tc>
          <w:tcPr>
            <w:tcW w:w="1819" w:type="dxa"/>
            <w:vAlign w:val="top"/>
            <w:tcBorders>
              <w:bottom w:val="single" w:color="000000" w:sz="2" w:space="0"/>
              <w:top w:val="single" w:color="000000" w:sz="2" w:space="0"/>
            </w:tcBorders>
          </w:tcPr>
          <w:p>
            <w:pPr>
              <w:pStyle w:val="TableText"/>
              <w:ind w:left="684"/>
              <w:spacing w:before="113" w:line="220" w:lineRule="auto"/>
              <w:rPr>
                <w:sz w:val="11"/>
                <w:szCs w:val="11"/>
              </w:rPr>
            </w:pPr>
            <w:r>
              <w:rPr>
                <w:sz w:val="11"/>
                <w:szCs w:val="11"/>
                <w:spacing w:val="-1"/>
              </w:rPr>
              <w:t>三氯乙醇</w:t>
            </w:r>
          </w:p>
        </w:tc>
        <w:tc>
          <w:tcPr>
            <w:tcW w:w="1589" w:type="dxa"/>
            <w:vAlign w:val="top"/>
            <w:tcBorders>
              <w:bottom w:val="single" w:color="000000" w:sz="2" w:space="0"/>
              <w:top w:val="single" w:color="000000" w:sz="2" w:space="0"/>
            </w:tcBorders>
          </w:tcPr>
          <w:p>
            <w:pPr>
              <w:pStyle w:val="TableText"/>
              <w:ind w:left="205"/>
              <w:spacing w:before="103" w:line="220" w:lineRule="auto"/>
              <w:rPr>
                <w:sz w:val="11"/>
                <w:szCs w:val="11"/>
              </w:rPr>
            </w:pPr>
            <w:r>
              <w:rPr>
                <w:sz w:val="11"/>
                <w:szCs w:val="11"/>
                <w:spacing w:val="-1"/>
              </w:rPr>
              <w:t>204乳油6900一1000倍液</w:t>
            </w:r>
          </w:p>
        </w:tc>
        <w:tc>
          <w:tcPr>
            <w:tcW w:w="1319" w:type="dxa"/>
            <w:vAlign w:val="top"/>
            <w:tcBorders>
              <w:bottom w:val="single" w:color="000000" w:sz="2" w:space="0"/>
              <w:top w:val="single" w:color="000000" w:sz="2" w:space="0"/>
            </w:tcBorders>
          </w:tcPr>
          <w:p>
            <w:pPr>
              <w:pStyle w:val="TableText"/>
              <w:ind w:left="415" w:right="32" w:hanging="399"/>
              <w:spacing w:before="53" w:line="203" w:lineRule="auto"/>
              <w:rPr>
                <w:sz w:val="11"/>
                <w:szCs w:val="11"/>
              </w:rPr>
            </w:pPr>
            <w:r>
              <w:rPr>
                <w:sz w:val="11"/>
                <w:szCs w:val="11"/>
                <w:spacing w:val="-1"/>
              </w:rPr>
              <w:t>每15-2D天用药一次，连续</w:t>
            </w:r>
            <w:r>
              <w:rPr>
                <w:sz w:val="11"/>
                <w:szCs w:val="11"/>
                <w:spacing w:val="8"/>
              </w:rPr>
              <w:t xml:space="preserve"> </w:t>
            </w:r>
            <w:r>
              <w:rPr>
                <w:sz w:val="11"/>
                <w:szCs w:val="11"/>
                <w:spacing w:val="-1"/>
              </w:rPr>
              <w:t>使用2-3次</w:t>
            </w:r>
          </w:p>
        </w:tc>
        <w:tc>
          <w:tcPr>
            <w:tcW w:w="669" w:type="dxa"/>
            <w:vAlign w:val="top"/>
            <w:tcBorders>
              <w:bottom w:val="single" w:color="000000" w:sz="2" w:space="0"/>
              <w:top w:val="single" w:color="000000" w:sz="2" w:space="0"/>
            </w:tcBorders>
          </w:tcPr>
          <w:p>
            <w:pPr>
              <w:pStyle w:val="TableText"/>
              <w:ind w:left="107"/>
              <w:spacing w:before="103" w:line="221" w:lineRule="auto"/>
              <w:rPr>
                <w:sz w:val="11"/>
                <w:szCs w:val="11"/>
              </w:rPr>
            </w:pPr>
            <w:r>
              <w:rPr>
                <w:sz w:val="11"/>
                <w:szCs w:val="11"/>
                <w:spacing w:val="-1"/>
              </w:rPr>
              <w:t>300mL/瓶</w:t>
            </w:r>
          </w:p>
        </w:tc>
        <w:tc>
          <w:tcPr>
            <w:tcW w:w="2573" w:type="dxa"/>
            <w:vAlign w:val="top"/>
            <w:tcBorders>
              <w:bottom w:val="single" w:color="000000" w:sz="2" w:space="0"/>
              <w:top w:val="single" w:color="000000" w:sz="2" w:space="0"/>
            </w:tcBorders>
          </w:tcPr>
          <w:p>
            <w:pPr>
              <w:pStyle w:val="TableText"/>
              <w:ind w:left="18"/>
              <w:spacing w:before="123" w:line="218" w:lineRule="auto"/>
              <w:rPr>
                <w:sz w:val="11"/>
                <w:szCs w:val="11"/>
              </w:rPr>
            </w:pPr>
            <w:r>
              <w:rPr>
                <w:sz w:val="11"/>
                <w:szCs w:val="11"/>
              </w:rPr>
              <w:t>属于广谱性杀纳剂，对成螨，幼若螨和卵均有效。</w:t>
            </w:r>
          </w:p>
        </w:tc>
      </w:tr>
      <w:tr>
        <w:trPr>
          <w:trHeight w:val="19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83"/>
              <w:spacing w:before="43" w:line="219" w:lineRule="auto"/>
              <w:rPr>
                <w:sz w:val="11"/>
                <w:szCs w:val="11"/>
              </w:rPr>
            </w:pPr>
            <w:r>
              <w:rPr>
                <w:sz w:val="11"/>
                <w:szCs w:val="11"/>
                <w:spacing w:val="1"/>
              </w:rPr>
              <w:t>国光祟刻</w:t>
            </w:r>
          </w:p>
        </w:tc>
        <w:tc>
          <w:tcPr>
            <w:tcW w:w="1819" w:type="dxa"/>
            <w:vAlign w:val="top"/>
            <w:tcBorders>
              <w:bottom w:val="single" w:color="000000" w:sz="2" w:space="0"/>
              <w:top w:val="single" w:color="000000" w:sz="2" w:space="0"/>
            </w:tcBorders>
          </w:tcPr>
          <w:p>
            <w:pPr>
              <w:pStyle w:val="TableText"/>
              <w:ind w:left="654"/>
              <w:spacing w:before="43" w:line="220" w:lineRule="auto"/>
              <w:rPr>
                <w:sz w:val="11"/>
                <w:szCs w:val="11"/>
              </w:rPr>
            </w:pPr>
            <w:r>
              <w:rPr>
                <w:sz w:val="11"/>
                <w:szCs w:val="11"/>
                <w:spacing w:val="-2"/>
              </w:rPr>
              <w:t>啶虫脒50%</w:t>
            </w:r>
          </w:p>
        </w:tc>
        <w:tc>
          <w:tcPr>
            <w:tcW w:w="1589" w:type="dxa"/>
            <w:vAlign w:val="top"/>
            <w:tcBorders>
              <w:bottom w:val="single" w:color="000000" w:sz="2" w:space="0"/>
              <w:top w:val="single" w:color="000000" w:sz="2" w:space="0"/>
            </w:tcBorders>
          </w:tcPr>
          <w:p>
            <w:pPr>
              <w:pStyle w:val="TableText"/>
              <w:ind w:left="205"/>
              <w:spacing w:before="43" w:line="219" w:lineRule="auto"/>
              <w:rPr>
                <w:sz w:val="11"/>
                <w:szCs w:val="11"/>
              </w:rPr>
            </w:pPr>
            <w:r>
              <w:rPr>
                <w:sz w:val="11"/>
                <w:szCs w:val="11"/>
                <w:spacing w:val="-1"/>
              </w:rPr>
              <w:t>3000-5000倍液叶面喷雾</w:t>
            </w:r>
          </w:p>
        </w:tc>
        <w:tc>
          <w:tcPr>
            <w:tcW w:w="1319" w:type="dxa"/>
            <w:vAlign w:val="top"/>
            <w:vMerge w:val="restart"/>
            <w:tcBorders>
              <w:bottom w:val="nil"/>
              <w:top w:val="single" w:color="000000" w:sz="2" w:space="0"/>
            </w:tcBorders>
          </w:tcPr>
          <w:p>
            <w:pPr>
              <w:pStyle w:val="TableText"/>
              <w:ind w:left="46"/>
              <w:spacing w:before="212" w:line="219" w:lineRule="auto"/>
              <w:rPr>
                <w:sz w:val="11"/>
                <w:szCs w:val="11"/>
              </w:rPr>
            </w:pPr>
            <w:r>
              <w:rPr>
                <w:sz w:val="11"/>
                <w:szCs w:val="11"/>
                <w:spacing w:val="-1"/>
              </w:rPr>
              <w:t>一般用3次，时间网隔7到</w:t>
            </w:r>
          </w:p>
          <w:p>
            <w:pPr>
              <w:pStyle w:val="TableText"/>
              <w:ind w:left="46"/>
              <w:spacing w:line="200" w:lineRule="auto"/>
              <w:rPr>
                <w:sz w:val="11"/>
                <w:szCs w:val="11"/>
              </w:rPr>
            </w:pPr>
            <w:r>
              <w:rPr>
                <w:sz w:val="11"/>
                <w:szCs w:val="11"/>
              </w:rPr>
              <w:t>10天，视现场情况可增加</w:t>
            </w:r>
          </w:p>
          <w:p>
            <w:pPr>
              <w:pStyle w:val="TableText"/>
              <w:ind w:left="545"/>
              <w:spacing w:line="219" w:lineRule="auto"/>
              <w:rPr>
                <w:sz w:val="11"/>
                <w:szCs w:val="11"/>
              </w:rPr>
            </w:pPr>
            <w:r>
              <w:rPr>
                <w:sz w:val="11"/>
                <w:szCs w:val="11"/>
                <w:spacing w:val="-2"/>
              </w:rPr>
              <w:t>次数</w:t>
            </w:r>
          </w:p>
        </w:tc>
        <w:tc>
          <w:tcPr>
            <w:tcW w:w="669" w:type="dxa"/>
            <w:vAlign w:val="top"/>
            <w:tcBorders>
              <w:bottom w:val="single" w:color="000000" w:sz="2" w:space="0"/>
              <w:top w:val="single" w:color="000000" w:sz="2" w:space="0"/>
            </w:tcBorders>
          </w:tcPr>
          <w:p>
            <w:pPr>
              <w:pStyle w:val="TableText"/>
              <w:ind w:left="167"/>
              <w:spacing w:before="39" w:line="213" w:lineRule="auto"/>
              <w:rPr>
                <w:sz w:val="11"/>
                <w:szCs w:val="11"/>
              </w:rPr>
            </w:pPr>
            <w:r>
              <w:rPr>
                <w:sz w:val="11"/>
                <w:szCs w:val="11"/>
                <w:spacing w:val="-2"/>
              </w:rPr>
              <w:t>10g/族</w:t>
            </w:r>
          </w:p>
        </w:tc>
        <w:tc>
          <w:tcPr>
            <w:tcW w:w="2573" w:type="dxa"/>
            <w:vAlign w:val="top"/>
            <w:tcBorders>
              <w:bottom w:val="single" w:color="000000" w:sz="2" w:space="0"/>
              <w:top w:val="single" w:color="000000" w:sz="2" w:space="0"/>
            </w:tcBorders>
          </w:tcPr>
          <w:p>
            <w:pPr>
              <w:pStyle w:val="TableText"/>
              <w:ind w:left="18"/>
              <w:spacing w:before="43" w:line="219" w:lineRule="auto"/>
              <w:rPr>
                <w:sz w:val="11"/>
                <w:szCs w:val="11"/>
              </w:rPr>
            </w:pPr>
            <w:r>
              <w:rPr>
                <w:sz w:val="11"/>
                <w:szCs w:val="11"/>
                <w:spacing w:val="-1"/>
              </w:rPr>
              <w:t>专治刺吸系害虫</w:t>
            </w:r>
          </w:p>
        </w:tc>
      </w:tr>
      <w:tr>
        <w:trPr>
          <w:trHeight w:val="30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133"/>
              <w:spacing w:before="102" w:line="218" w:lineRule="auto"/>
              <w:rPr>
                <w:sz w:val="11"/>
                <w:szCs w:val="11"/>
              </w:rPr>
            </w:pPr>
            <w:r>
              <w:rPr>
                <w:sz w:val="11"/>
                <w:szCs w:val="11"/>
                <w:spacing w:val="2"/>
              </w:rPr>
              <w:t>中威壮美《弟螨剂)</w:t>
            </w:r>
          </w:p>
        </w:tc>
        <w:tc>
          <w:tcPr>
            <w:tcW w:w="1819" w:type="dxa"/>
            <w:vAlign w:val="top"/>
            <w:tcBorders>
              <w:bottom w:val="single" w:color="000000" w:sz="2" w:space="0"/>
              <w:top w:val="single" w:color="000000" w:sz="2" w:space="0"/>
            </w:tcBorders>
          </w:tcPr>
          <w:p>
            <w:pPr>
              <w:pStyle w:val="TableText"/>
              <w:ind w:left="434"/>
              <w:spacing w:before="102" w:line="220" w:lineRule="auto"/>
              <w:rPr>
                <w:sz w:val="11"/>
                <w:szCs w:val="11"/>
              </w:rPr>
            </w:pPr>
            <w:r>
              <w:rPr>
                <w:sz w:val="11"/>
                <w:szCs w:val="11"/>
                <w:spacing w:val="-5"/>
              </w:rPr>
              <w:t>阿维</w:t>
            </w:r>
            <w:r>
              <w:rPr>
                <w:sz w:val="11"/>
                <w:szCs w:val="11"/>
                <w:spacing w:val="-9"/>
              </w:rPr>
              <w:t xml:space="preserve"> </w:t>
            </w:r>
            <w:r>
              <w:rPr>
                <w:sz w:val="11"/>
                <w:szCs w:val="11"/>
                <w:spacing w:val="-5"/>
              </w:rPr>
              <w:t>·吃病灵3.20%</w:t>
            </w:r>
          </w:p>
        </w:tc>
        <w:tc>
          <w:tcPr>
            <w:tcW w:w="1589" w:type="dxa"/>
            <w:vAlign w:val="top"/>
            <w:tcBorders>
              <w:bottom w:val="single" w:color="000000" w:sz="2" w:space="0"/>
              <w:top w:val="single" w:color="000000" w:sz="2" w:space="0"/>
            </w:tcBorders>
          </w:tcPr>
          <w:p>
            <w:pPr>
              <w:pStyle w:val="TableText"/>
              <w:ind w:left="565"/>
              <w:spacing w:before="102" w:line="220" w:lineRule="auto"/>
              <w:rPr>
                <w:sz w:val="11"/>
                <w:szCs w:val="11"/>
              </w:rPr>
            </w:pPr>
            <w:r>
              <w:rPr>
                <w:sz w:val="11"/>
                <w:szCs w:val="11"/>
                <w:spacing w:val="-2"/>
              </w:rPr>
              <w:t>1500倍液</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07"/>
              <w:spacing w:before="103" w:line="221" w:lineRule="auto"/>
              <w:rPr>
                <w:sz w:val="11"/>
                <w:szCs w:val="11"/>
              </w:rPr>
            </w:pPr>
            <w:r>
              <w:rPr>
                <w:sz w:val="11"/>
                <w:szCs w:val="11"/>
                <w:spacing w:val="-1"/>
              </w:rPr>
              <w:t>200ml/瓶</w:t>
            </w:r>
          </w:p>
        </w:tc>
        <w:tc>
          <w:tcPr>
            <w:tcW w:w="2573" w:type="dxa"/>
            <w:vAlign w:val="top"/>
            <w:tcBorders>
              <w:bottom w:val="single" w:color="000000" w:sz="2" w:space="0"/>
              <w:top w:val="single" w:color="000000" w:sz="2" w:space="0"/>
            </w:tcBorders>
          </w:tcPr>
          <w:p>
            <w:pPr>
              <w:pStyle w:val="TableText"/>
              <w:ind w:left="18"/>
              <w:spacing w:before="102" w:line="219" w:lineRule="auto"/>
              <w:rPr>
                <w:sz w:val="11"/>
                <w:szCs w:val="11"/>
              </w:rPr>
            </w:pPr>
            <w:r>
              <w:rPr>
                <w:sz w:val="11"/>
                <w:szCs w:val="11"/>
                <w:spacing w:val="-1"/>
              </w:rPr>
              <w:t>对红蝴蛛、白蝴蛛及抗性蜡类害虫有极盔的柔灭作用</w:t>
            </w:r>
          </w:p>
        </w:tc>
      </w:tr>
      <w:tr>
        <w:trPr>
          <w:trHeight w:val="24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273"/>
              <w:spacing w:before="73" w:line="219" w:lineRule="auto"/>
              <w:rPr>
                <w:sz w:val="11"/>
                <w:szCs w:val="11"/>
              </w:rPr>
            </w:pPr>
            <w:r>
              <w:rPr>
                <w:sz w:val="11"/>
                <w:szCs w:val="11"/>
                <w:spacing w:val="-1"/>
              </w:rPr>
              <w:t>诺普信满毕净</w:t>
            </w:r>
          </w:p>
        </w:tc>
        <w:tc>
          <w:tcPr>
            <w:tcW w:w="1819" w:type="dxa"/>
            <w:vAlign w:val="top"/>
            <w:tcBorders>
              <w:bottom w:val="single" w:color="000000" w:sz="2" w:space="0"/>
              <w:top w:val="single" w:color="000000" w:sz="2" w:space="0"/>
            </w:tcBorders>
          </w:tcPr>
          <w:p>
            <w:pPr>
              <w:pStyle w:val="TableText"/>
              <w:ind w:left="264"/>
              <w:spacing w:before="71" w:line="216" w:lineRule="auto"/>
              <w:rPr>
                <w:sz w:val="11"/>
                <w:szCs w:val="11"/>
              </w:rPr>
            </w:pPr>
            <w:r>
              <w:rPr>
                <w:sz w:val="11"/>
                <w:szCs w:val="11"/>
                <w:spacing w:val="-5"/>
              </w:rPr>
              <w:t>阿维菌素</w:t>
            </w:r>
            <w:r>
              <w:rPr>
                <w:sz w:val="11"/>
                <w:szCs w:val="11"/>
                <w:spacing w:val="-13"/>
              </w:rPr>
              <w:t xml:space="preserve"> </w:t>
            </w:r>
            <w:r>
              <w:rPr>
                <w:sz w:val="11"/>
                <w:szCs w:val="11"/>
                <w:spacing w:val="-5"/>
              </w:rPr>
              <w:t>·</w:t>
            </w:r>
            <w:r>
              <w:rPr>
                <w:sz w:val="11"/>
                <w:szCs w:val="11"/>
                <w:spacing w:val="-36"/>
              </w:rPr>
              <w:t xml:space="preserve"> </w:t>
            </w:r>
            <w:r>
              <w:rPr>
                <w:sz w:val="11"/>
                <w:szCs w:val="11"/>
                <w:spacing w:val="-5"/>
              </w:rPr>
              <w:t>甲氰菊酯1,80%</w:t>
            </w:r>
          </w:p>
        </w:tc>
        <w:tc>
          <w:tcPr>
            <w:tcW w:w="1589" w:type="dxa"/>
            <w:vAlign w:val="top"/>
            <w:tcBorders>
              <w:bottom w:val="single" w:color="000000" w:sz="2" w:space="0"/>
              <w:top w:val="single" w:color="000000" w:sz="2" w:space="0"/>
            </w:tcBorders>
          </w:tcPr>
          <w:p>
            <w:pPr>
              <w:pStyle w:val="TableText"/>
              <w:ind w:left="515"/>
              <w:spacing w:before="73" w:line="220" w:lineRule="auto"/>
              <w:rPr>
                <w:sz w:val="11"/>
                <w:szCs w:val="11"/>
              </w:rPr>
            </w:pPr>
            <w:r>
              <w:rPr>
                <w:sz w:val="11"/>
                <w:szCs w:val="11"/>
                <w:spacing w:val="-1"/>
              </w:rPr>
              <w:t>800-1000倍</w:t>
            </w:r>
          </w:p>
        </w:tc>
        <w:tc>
          <w:tcPr>
            <w:tcW w:w="131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76"/>
              <w:spacing w:before="73" w:line="220" w:lineRule="auto"/>
              <w:rPr>
                <w:sz w:val="11"/>
                <w:szCs w:val="11"/>
              </w:rPr>
            </w:pPr>
            <w:r>
              <w:rPr>
                <w:sz w:val="11"/>
                <w:szCs w:val="11"/>
                <w:spacing w:val="1"/>
              </w:rPr>
              <w:t>1000</w:t>
            </w:r>
            <w:r>
              <w:rPr>
                <w:sz w:val="11"/>
                <w:szCs w:val="11"/>
              </w:rPr>
              <w:t>ml</w:t>
            </w:r>
            <w:r>
              <w:rPr>
                <w:sz w:val="11"/>
                <w:szCs w:val="11"/>
                <w:spacing w:val="1"/>
              </w:rPr>
              <w:t>/航</w:t>
            </w:r>
          </w:p>
        </w:tc>
        <w:tc>
          <w:tcPr>
            <w:tcW w:w="2573" w:type="dxa"/>
            <w:vAlign w:val="top"/>
            <w:tcBorders>
              <w:bottom w:val="single" w:color="000000" w:sz="2" w:space="0"/>
              <w:top w:val="single" w:color="000000" w:sz="2" w:space="0"/>
            </w:tcBorders>
          </w:tcPr>
          <w:p>
            <w:pPr>
              <w:pStyle w:val="TableText"/>
              <w:ind w:left="18"/>
              <w:spacing w:before="73" w:line="219" w:lineRule="auto"/>
              <w:rPr>
                <w:sz w:val="11"/>
                <w:szCs w:val="11"/>
              </w:rPr>
            </w:pPr>
            <w:r>
              <w:rPr>
                <w:sz w:val="11"/>
                <w:szCs w:val="11"/>
                <w:spacing w:val="-1"/>
              </w:rPr>
              <w:t>红蛔蛛，白蜘蛛、锈蜘蛛</w:t>
            </w:r>
          </w:p>
        </w:tc>
      </w:tr>
      <w:tr>
        <w:trPr>
          <w:trHeight w:val="225" w:hRule="atLeast"/>
        </w:trPr>
        <w:tc>
          <w:tcPr>
            <w:tcW w:w="385" w:type="dxa"/>
            <w:vAlign w:val="top"/>
            <w:vMerge w:val="continue"/>
            <w:tcBorders>
              <w:bottom w:val="nil"/>
              <w:top w:val="nil"/>
            </w:tcBorders>
          </w:tcPr>
          <w:p>
            <w:pPr>
              <w:rPr>
                <w:rFonts w:ascii="Arial"/>
                <w:sz w:val="21"/>
              </w:rPr>
            </w:pPr>
            <w:r/>
          </w:p>
        </w:tc>
        <w:tc>
          <w:tcPr>
            <w:tcW w:w="500" w:type="dxa"/>
            <w:vAlign w:val="top"/>
            <w:vMerge w:val="restart"/>
            <w:tcBorders>
              <w:bottom w:val="nil"/>
              <w:top w:val="single" w:color="000000" w:sz="2" w:space="0"/>
            </w:tcBorders>
          </w:tcPr>
          <w:p>
            <w:pPr>
              <w:spacing w:line="276" w:lineRule="auto"/>
              <w:rPr>
                <w:rFonts w:ascii="Arial"/>
                <w:sz w:val="21"/>
              </w:rPr>
            </w:pPr>
            <w:r/>
          </w:p>
          <w:p>
            <w:pPr>
              <w:spacing w:line="277" w:lineRule="auto"/>
              <w:rPr>
                <w:rFonts w:ascii="Arial"/>
                <w:sz w:val="21"/>
              </w:rPr>
            </w:pPr>
            <w:r/>
          </w:p>
          <w:p>
            <w:pPr>
              <w:pStyle w:val="TableText"/>
              <w:ind w:left="20"/>
              <w:spacing w:before="35" w:line="218" w:lineRule="auto"/>
              <w:rPr>
                <w:sz w:val="11"/>
                <w:szCs w:val="11"/>
              </w:rPr>
            </w:pPr>
            <w:r>
              <w:rPr>
                <w:sz w:val="11"/>
                <w:szCs w:val="11"/>
                <w:spacing w:val="-1"/>
              </w:rPr>
              <w:t>蛀干害虫</w:t>
            </w:r>
          </w:p>
        </w:tc>
        <w:tc>
          <w:tcPr>
            <w:tcW w:w="959" w:type="dxa"/>
            <w:vAlign w:val="top"/>
            <w:vMerge w:val="restart"/>
            <w:tcBorders>
              <w:bottom w:val="nil"/>
              <w:top w:val="single" w:color="000000" w:sz="2" w:space="0"/>
            </w:tcBorders>
          </w:tcPr>
          <w:p>
            <w:pPr>
              <w:spacing w:line="364" w:lineRule="auto"/>
              <w:rPr>
                <w:rFonts w:ascii="Arial"/>
                <w:sz w:val="21"/>
              </w:rPr>
            </w:pPr>
            <w:r/>
          </w:p>
          <w:p>
            <w:pPr>
              <w:pStyle w:val="TableText"/>
              <w:ind w:left="9" w:right="13" w:firstLine="40"/>
              <w:spacing w:before="36" w:line="230" w:lineRule="auto"/>
              <w:jc w:val="both"/>
              <w:rPr>
                <w:sz w:val="11"/>
                <w:szCs w:val="11"/>
              </w:rPr>
            </w:pPr>
            <w:r>
              <w:rPr>
                <w:sz w:val="11"/>
                <w:szCs w:val="11"/>
              </w:rPr>
              <w:t>小蓝虫。天牛类。</w:t>
            </w:r>
            <w:r>
              <w:rPr>
                <w:sz w:val="11"/>
                <w:szCs w:val="11"/>
                <w:spacing w:val="3"/>
              </w:rPr>
              <w:t xml:space="preserve"> </w:t>
            </w:r>
            <w:r>
              <w:rPr>
                <w:sz w:val="11"/>
                <w:szCs w:val="11"/>
                <w:spacing w:val="1"/>
              </w:rPr>
              <w:t>木监蛾类，蛀螟类</w:t>
            </w:r>
            <w:r>
              <w:rPr>
                <w:sz w:val="11"/>
                <w:szCs w:val="11"/>
                <w:spacing w:val="6"/>
              </w:rPr>
              <w:t xml:space="preserve"> </w:t>
            </w:r>
            <w:r>
              <w:rPr>
                <w:sz w:val="11"/>
                <w:szCs w:val="11"/>
              </w:rPr>
              <w:t>、拟步甲，红棕象</w:t>
            </w:r>
            <w:r>
              <w:rPr>
                <w:sz w:val="11"/>
                <w:szCs w:val="11"/>
                <w:spacing w:val="1"/>
              </w:rPr>
              <w:t xml:space="preserve">  </w:t>
            </w:r>
            <w:r>
              <w:rPr>
                <w:sz w:val="11"/>
                <w:szCs w:val="11"/>
                <w:spacing w:val="2"/>
              </w:rPr>
              <w:t>甲、都心叶甲</w:t>
            </w:r>
          </w:p>
        </w:tc>
        <w:tc>
          <w:tcPr>
            <w:tcW w:w="2918" w:type="dxa"/>
            <w:vAlign w:val="top"/>
            <w:vMerge w:val="restart"/>
            <w:tcBorders>
              <w:bottom w:val="nil"/>
              <w:top w:val="single" w:color="000000" w:sz="2" w:space="0"/>
            </w:tcBorders>
          </w:tcPr>
          <w:p>
            <w:pPr>
              <w:spacing w:line="244" w:lineRule="auto"/>
              <w:rPr>
                <w:rFonts w:ascii="Arial"/>
                <w:sz w:val="21"/>
              </w:rPr>
            </w:pPr>
            <w:r/>
          </w:p>
          <w:p>
            <w:pPr>
              <w:pStyle w:val="TableText"/>
              <w:ind w:left="11"/>
              <w:spacing w:before="36" w:line="210" w:lineRule="auto"/>
              <w:rPr>
                <w:sz w:val="11"/>
                <w:szCs w:val="11"/>
              </w:rPr>
            </w:pPr>
            <w:r>
              <w:rPr>
                <w:sz w:val="11"/>
                <w:szCs w:val="11"/>
                <w:spacing w:val="-3"/>
              </w:rPr>
              <w:t>一、12月-次年3月蛀干害虫意害较轻，注意清洁园照，挖除虫</w:t>
            </w:r>
            <w:r>
              <w:rPr>
                <w:sz w:val="11"/>
                <w:szCs w:val="11"/>
                <w:spacing w:val="12"/>
              </w:rPr>
              <w:t xml:space="preserve"> </w:t>
            </w:r>
            <w:r>
              <w:rPr>
                <w:sz w:val="11"/>
                <w:szCs w:val="11"/>
                <w:spacing w:val="-3"/>
              </w:rPr>
              <w:t>卵，树干涂白。</w:t>
            </w:r>
          </w:p>
          <w:p>
            <w:pPr>
              <w:pStyle w:val="TableText"/>
              <w:ind w:left="11" w:right="1"/>
              <w:spacing w:before="9" w:line="224" w:lineRule="auto"/>
              <w:rPr>
                <w:sz w:val="11"/>
                <w:szCs w:val="11"/>
              </w:rPr>
            </w:pPr>
            <w:r>
              <w:rPr>
                <w:sz w:val="11"/>
                <w:szCs w:val="11"/>
              </w:rPr>
              <w:t>二，4月-11月随着温度的升高，该类害虫</w:t>
            </w:r>
            <w:r>
              <w:rPr>
                <w:sz w:val="11"/>
                <w:szCs w:val="11"/>
                <w:spacing w:val="-1"/>
              </w:rPr>
              <w:t>开始话跃。红棕象</w:t>
            </w:r>
            <w:r>
              <w:rPr>
                <w:sz w:val="11"/>
                <w:szCs w:val="11"/>
              </w:rPr>
              <w:t xml:space="preserve">  </w:t>
            </w:r>
            <w:r>
              <w:rPr>
                <w:sz w:val="11"/>
                <w:szCs w:val="11"/>
                <w:spacing w:val="-3"/>
              </w:rPr>
              <w:t>甲、椰心叶甲意害银海枣等棕柯科植物：天牛类，吉丁虫类危</w:t>
            </w:r>
            <w:r>
              <w:rPr>
                <w:sz w:val="11"/>
                <w:szCs w:val="11"/>
                <w:spacing w:val="5"/>
              </w:rPr>
              <w:t xml:space="preserve"> </w:t>
            </w:r>
            <w:r>
              <w:rPr>
                <w:sz w:val="11"/>
                <w:szCs w:val="11"/>
              </w:rPr>
              <w:t>国柳树，等，需仔细观察才能发现，做到早发现、早预防</w:t>
            </w:r>
          </w:p>
          <w:p>
            <w:pPr>
              <w:pStyle w:val="TableText"/>
              <w:ind w:left="11"/>
              <w:spacing w:line="220" w:lineRule="auto"/>
              <w:rPr>
                <w:sz w:val="11"/>
                <w:szCs w:val="11"/>
              </w:rPr>
            </w:pPr>
            <w:r>
              <w:rPr>
                <w:sz w:val="11"/>
                <w:szCs w:val="11"/>
                <w:spacing w:val="-1"/>
              </w:rPr>
              <w:t>、有效控制，</w:t>
            </w:r>
          </w:p>
        </w:tc>
        <w:tc>
          <w:tcPr>
            <w:tcW w:w="1219" w:type="dxa"/>
            <w:vAlign w:val="top"/>
            <w:tcBorders>
              <w:bottom w:val="single" w:color="000000" w:sz="2" w:space="0"/>
              <w:top w:val="single" w:color="000000" w:sz="2" w:space="0"/>
            </w:tcBorders>
          </w:tcPr>
          <w:p>
            <w:pPr>
              <w:pStyle w:val="TableText"/>
              <w:ind w:left="433"/>
              <w:spacing w:before="63" w:line="220" w:lineRule="auto"/>
              <w:rPr>
                <w:sz w:val="11"/>
                <w:szCs w:val="11"/>
              </w:rPr>
            </w:pPr>
            <w:r>
              <w:rPr>
                <w:sz w:val="11"/>
                <w:szCs w:val="11"/>
                <w:spacing w:val="-2"/>
              </w:rPr>
              <w:t>百扑灭</w:t>
            </w:r>
          </w:p>
        </w:tc>
        <w:tc>
          <w:tcPr>
            <w:tcW w:w="1819" w:type="dxa"/>
            <w:vAlign w:val="top"/>
            <w:tcBorders>
              <w:bottom w:val="single" w:color="000000" w:sz="2" w:space="0"/>
              <w:top w:val="single" w:color="000000" w:sz="2" w:space="0"/>
            </w:tcBorders>
          </w:tcPr>
          <w:p>
            <w:pPr>
              <w:pStyle w:val="TableText"/>
              <w:ind w:left="734"/>
              <w:spacing w:before="64" w:line="221" w:lineRule="auto"/>
              <w:rPr>
                <w:sz w:val="11"/>
                <w:szCs w:val="11"/>
              </w:rPr>
            </w:pPr>
            <w:r>
              <w:rPr>
                <w:sz w:val="11"/>
                <w:szCs w:val="11"/>
                <w:spacing w:val="-2"/>
              </w:rPr>
              <w:t>敌敌畏</w:t>
            </w:r>
          </w:p>
        </w:tc>
        <w:tc>
          <w:tcPr>
            <w:tcW w:w="1589" w:type="dxa"/>
            <w:vAlign w:val="top"/>
            <w:tcBorders>
              <w:bottom w:val="single" w:color="000000" w:sz="2" w:space="0"/>
              <w:top w:val="single" w:color="000000" w:sz="2" w:space="0"/>
            </w:tcBorders>
          </w:tcPr>
          <w:p>
            <w:pPr>
              <w:pStyle w:val="TableText"/>
              <w:ind w:left="95"/>
              <w:spacing w:before="62" w:line="218" w:lineRule="auto"/>
              <w:rPr>
                <w:sz w:val="11"/>
                <w:szCs w:val="11"/>
              </w:rPr>
            </w:pPr>
            <w:r>
              <w:rPr>
                <w:sz w:val="11"/>
                <w:szCs w:val="11"/>
                <w:spacing w:val="-1"/>
              </w:rPr>
              <w:t>805牧敌畏注射、涂干。煎权</w:t>
            </w:r>
          </w:p>
        </w:tc>
        <w:tc>
          <w:tcPr>
            <w:tcW w:w="1319" w:type="dxa"/>
            <w:vAlign w:val="top"/>
            <w:vMerge w:val="restart"/>
            <w:tcBorders>
              <w:bottom w:val="nil"/>
              <w:top w:val="single" w:color="000000" w:sz="2" w:space="0"/>
            </w:tcBorders>
          </w:tcPr>
          <w:p>
            <w:pPr>
              <w:spacing w:line="246" w:lineRule="auto"/>
              <w:rPr>
                <w:rFonts w:ascii="Arial"/>
                <w:sz w:val="21"/>
              </w:rPr>
            </w:pPr>
            <w:r/>
          </w:p>
          <w:p>
            <w:pPr>
              <w:spacing w:line="247" w:lineRule="auto"/>
              <w:rPr>
                <w:rFonts w:ascii="Arial"/>
                <w:sz w:val="21"/>
              </w:rPr>
            </w:pPr>
            <w:r/>
          </w:p>
          <w:p>
            <w:pPr>
              <w:pStyle w:val="TableText"/>
              <w:ind w:left="445" w:right="33" w:hanging="429"/>
              <w:spacing w:before="36" w:line="220" w:lineRule="auto"/>
              <w:rPr>
                <w:sz w:val="11"/>
                <w:szCs w:val="11"/>
              </w:rPr>
            </w:pPr>
            <w:r>
              <w:rPr>
                <w:sz w:val="11"/>
                <w:szCs w:val="11"/>
                <w:spacing w:val="-1"/>
              </w:rPr>
              <w:t>一般用1次，视现场情况可</w:t>
            </w:r>
            <w:r>
              <w:rPr>
                <w:sz w:val="11"/>
                <w:szCs w:val="11"/>
                <w:spacing w:val="4"/>
              </w:rPr>
              <w:t xml:space="preserve"> </w:t>
            </w:r>
            <w:r>
              <w:rPr>
                <w:sz w:val="11"/>
                <w:szCs w:val="11"/>
                <w:spacing w:val="-1"/>
              </w:rPr>
              <w:t>增加次数</w:t>
            </w:r>
          </w:p>
        </w:tc>
        <w:tc>
          <w:tcPr>
            <w:tcW w:w="669" w:type="dxa"/>
            <w:vAlign w:val="top"/>
            <w:tcBorders>
              <w:bottom w:val="single" w:color="000000" w:sz="2" w:space="0"/>
              <w:top w:val="single" w:color="000000" w:sz="2" w:space="0"/>
            </w:tcBorders>
          </w:tcPr>
          <w:p>
            <w:pPr>
              <w:pStyle w:val="TableText"/>
              <w:ind w:left="137"/>
              <w:spacing w:before="66" w:line="224" w:lineRule="auto"/>
              <w:rPr>
                <w:sz w:val="11"/>
                <w:szCs w:val="11"/>
              </w:rPr>
            </w:pPr>
            <w:r>
              <w:rPr>
                <w:sz w:val="11"/>
                <w:szCs w:val="11"/>
                <w:spacing w:val="-1"/>
              </w:rPr>
              <w:t>300ml/E</w:t>
            </w:r>
          </w:p>
        </w:tc>
        <w:tc>
          <w:tcPr>
            <w:tcW w:w="2573" w:type="dxa"/>
            <w:vAlign w:val="top"/>
            <w:tcBorders>
              <w:bottom w:val="single" w:color="000000" w:sz="2" w:space="0"/>
              <w:top w:val="single" w:color="000000" w:sz="2" w:space="0"/>
            </w:tcBorders>
          </w:tcPr>
          <w:p>
            <w:pPr>
              <w:pStyle w:val="TableText"/>
              <w:ind w:left="18"/>
              <w:spacing w:before="62" w:line="218" w:lineRule="auto"/>
              <w:rPr>
                <w:sz w:val="11"/>
                <w:szCs w:val="11"/>
              </w:rPr>
            </w:pPr>
            <w:r>
              <w:rPr>
                <w:sz w:val="11"/>
                <w:szCs w:val="11"/>
                <w:spacing w:val="-1"/>
              </w:rPr>
              <w:t>高毒杀虫剂，注意使用安全</w:t>
            </w:r>
          </w:p>
        </w:tc>
      </w:tr>
      <w:tr>
        <w:trPr>
          <w:trHeight w:val="24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72" w:line="218" w:lineRule="auto"/>
              <w:rPr>
                <w:sz w:val="11"/>
                <w:szCs w:val="11"/>
              </w:rPr>
            </w:pPr>
            <w:r>
              <w:rPr>
                <w:sz w:val="11"/>
                <w:szCs w:val="11"/>
                <w:spacing w:val="-1"/>
              </w:rPr>
              <w:t>椰甲清粉剂</w:t>
            </w:r>
          </w:p>
        </w:tc>
        <w:tc>
          <w:tcPr>
            <w:tcW w:w="1819" w:type="dxa"/>
            <w:vAlign w:val="top"/>
            <w:tcBorders>
              <w:bottom w:val="single" w:color="000000" w:sz="2" w:space="0"/>
              <w:top w:val="single" w:color="000000" w:sz="2" w:space="0"/>
            </w:tcBorders>
          </w:tcPr>
          <w:p>
            <w:pPr>
              <w:pStyle w:val="TableText"/>
              <w:ind w:left="514"/>
              <w:spacing w:before="72" w:line="219" w:lineRule="auto"/>
              <w:rPr>
                <w:sz w:val="11"/>
                <w:szCs w:val="11"/>
              </w:rPr>
            </w:pPr>
            <w:r>
              <w:rPr>
                <w:sz w:val="11"/>
                <w:szCs w:val="11"/>
                <w:spacing w:val="-2"/>
              </w:rPr>
              <w:t>喻虫脒和杀虫单</w:t>
            </w:r>
          </w:p>
        </w:tc>
        <w:tc>
          <w:tcPr>
            <w:tcW w:w="1589" w:type="dxa"/>
            <w:vAlign w:val="top"/>
            <w:tcBorders>
              <w:bottom w:val="single" w:color="000000" w:sz="2" w:space="0"/>
              <w:top w:val="single" w:color="000000" w:sz="2" w:space="0"/>
            </w:tcBorders>
          </w:tcPr>
          <w:p>
            <w:pPr>
              <w:pStyle w:val="TableText"/>
              <w:ind w:left="565"/>
              <w:spacing w:before="72" w:line="219" w:lineRule="auto"/>
              <w:rPr>
                <w:sz w:val="11"/>
                <w:szCs w:val="11"/>
              </w:rPr>
            </w:pPr>
            <w:r>
              <w:rPr>
                <w:sz w:val="11"/>
                <w:szCs w:val="11"/>
                <w:spacing w:val="-1"/>
              </w:rPr>
              <w:t>直接使用</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217"/>
              <w:spacing w:before="75" w:line="224" w:lineRule="auto"/>
              <w:rPr>
                <w:sz w:val="11"/>
                <w:szCs w:val="11"/>
              </w:rPr>
            </w:pPr>
            <w:r>
              <w:rPr>
                <w:sz w:val="11"/>
                <w:szCs w:val="11"/>
                <w:spacing w:val="-3"/>
              </w:rPr>
              <w:t>10z/</w:t>
            </w:r>
          </w:p>
        </w:tc>
        <w:tc>
          <w:tcPr>
            <w:tcW w:w="2573" w:type="dxa"/>
            <w:vAlign w:val="top"/>
            <w:tcBorders>
              <w:bottom w:val="single" w:color="000000" w:sz="2" w:space="0"/>
              <w:top w:val="single" w:color="000000" w:sz="2" w:space="0"/>
            </w:tcBorders>
          </w:tcPr>
          <w:p>
            <w:pPr>
              <w:pStyle w:val="TableText"/>
              <w:ind w:left="18"/>
              <w:spacing w:before="72" w:line="219" w:lineRule="auto"/>
              <w:rPr>
                <w:sz w:val="11"/>
                <w:szCs w:val="11"/>
              </w:rPr>
            </w:pPr>
            <w:r>
              <w:rPr>
                <w:sz w:val="11"/>
                <w:szCs w:val="11"/>
                <w:spacing w:val="-1"/>
              </w:rPr>
              <w:t>每次每棵树用药1-2袋</w:t>
            </w:r>
          </w:p>
        </w:tc>
      </w:tr>
      <w:tr>
        <w:trPr>
          <w:trHeight w:val="24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83"/>
              <w:spacing w:before="72" w:line="219" w:lineRule="auto"/>
              <w:rPr>
                <w:sz w:val="11"/>
                <w:szCs w:val="11"/>
              </w:rPr>
            </w:pPr>
            <w:r>
              <w:rPr>
                <w:sz w:val="11"/>
                <w:szCs w:val="11"/>
                <w:spacing w:val="-3"/>
              </w:rPr>
              <w:t>国光毒枪</w:t>
            </w:r>
          </w:p>
        </w:tc>
        <w:tc>
          <w:tcPr>
            <w:tcW w:w="1819" w:type="dxa"/>
            <w:vAlign w:val="top"/>
            <w:tcBorders>
              <w:bottom w:val="single" w:color="000000" w:sz="2" w:space="0"/>
              <w:top w:val="single" w:color="000000" w:sz="2" w:space="0"/>
            </w:tcBorders>
          </w:tcPr>
          <w:p>
            <w:pPr>
              <w:pStyle w:val="TableText"/>
              <w:ind w:left="374"/>
              <w:spacing w:before="72" w:line="219" w:lineRule="auto"/>
              <w:rPr>
                <w:sz w:val="11"/>
                <w:szCs w:val="11"/>
              </w:rPr>
            </w:pPr>
            <w:r>
              <w:rPr>
                <w:sz w:val="11"/>
                <w:szCs w:val="11"/>
                <w:spacing w:val="1"/>
              </w:rPr>
              <w:t>45%丙溴，辛确磷乳油</w:t>
            </w:r>
          </w:p>
        </w:tc>
        <w:tc>
          <w:tcPr>
            <w:tcW w:w="1589" w:type="dxa"/>
            <w:vAlign w:val="top"/>
            <w:tcBorders>
              <w:bottom w:val="single" w:color="000000" w:sz="2" w:space="0"/>
              <w:top w:val="single" w:color="000000" w:sz="2" w:space="0"/>
            </w:tcBorders>
          </w:tcPr>
          <w:p>
            <w:pPr>
              <w:pStyle w:val="TableText"/>
              <w:ind w:left="565"/>
              <w:spacing w:before="72" w:line="220" w:lineRule="auto"/>
              <w:rPr>
                <w:sz w:val="11"/>
                <w:szCs w:val="11"/>
              </w:rPr>
            </w:pPr>
            <w:r>
              <w:rPr>
                <w:sz w:val="11"/>
                <w:szCs w:val="11"/>
                <w:spacing w:val="-2"/>
              </w:rPr>
              <w:t>5-10倍液</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07"/>
              <w:spacing w:before="73" w:line="221" w:lineRule="auto"/>
              <w:rPr>
                <w:sz w:val="11"/>
                <w:szCs w:val="11"/>
              </w:rPr>
            </w:pPr>
            <w:r>
              <w:rPr>
                <w:sz w:val="11"/>
                <w:szCs w:val="11"/>
                <w:spacing w:val="-1"/>
              </w:rPr>
              <w:t>200=l/瓶</w:t>
            </w:r>
          </w:p>
        </w:tc>
        <w:tc>
          <w:tcPr>
            <w:tcW w:w="2573" w:type="dxa"/>
            <w:vAlign w:val="top"/>
            <w:tcBorders>
              <w:bottom w:val="single" w:color="000000" w:sz="2" w:space="0"/>
              <w:top w:val="single" w:color="000000" w:sz="2" w:space="0"/>
            </w:tcBorders>
          </w:tcPr>
          <w:p>
            <w:pPr>
              <w:pStyle w:val="TableText"/>
              <w:ind w:left="18"/>
              <w:spacing w:before="72" w:line="219" w:lineRule="auto"/>
              <w:rPr>
                <w:sz w:val="11"/>
                <w:szCs w:val="11"/>
              </w:rPr>
            </w:pPr>
            <w:r>
              <w:rPr>
                <w:sz w:val="11"/>
                <w:szCs w:val="11"/>
                <w:spacing w:val="-1"/>
              </w:rPr>
              <w:t>注射虫洞，黄泥封洞</w:t>
            </w:r>
          </w:p>
        </w:tc>
      </w:tr>
      <w:tr>
        <w:trPr>
          <w:trHeight w:val="27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273"/>
              <w:spacing w:before="82" w:line="218" w:lineRule="auto"/>
              <w:rPr>
                <w:sz w:val="11"/>
                <w:szCs w:val="11"/>
              </w:rPr>
            </w:pPr>
            <w:r>
              <w:rPr>
                <w:sz w:val="11"/>
                <w:szCs w:val="11"/>
                <w:spacing w:val="1"/>
              </w:rPr>
              <w:t>国光防蛙液剂</w:t>
            </w:r>
          </w:p>
        </w:tc>
        <w:tc>
          <w:tcPr>
            <w:tcW w:w="1819" w:type="dxa"/>
            <w:vAlign w:val="top"/>
            <w:tcBorders>
              <w:bottom w:val="single" w:color="000000" w:sz="2" w:space="0"/>
              <w:top w:val="single" w:color="000000" w:sz="2" w:space="0"/>
            </w:tcBorders>
          </w:tcPr>
          <w:p>
            <w:pPr>
              <w:pStyle w:val="TableText"/>
              <w:ind w:left="624"/>
              <w:spacing w:before="82" w:line="219" w:lineRule="auto"/>
              <w:rPr>
                <w:sz w:val="11"/>
                <w:szCs w:val="11"/>
              </w:rPr>
            </w:pPr>
            <w:r>
              <w:rPr>
                <w:sz w:val="11"/>
                <w:szCs w:val="11"/>
                <w:spacing w:val="-1"/>
              </w:rPr>
              <w:t>0.3%氯菊酷</w:t>
            </w:r>
          </w:p>
        </w:tc>
        <w:tc>
          <w:tcPr>
            <w:tcW w:w="1589" w:type="dxa"/>
            <w:vAlign w:val="top"/>
            <w:tcBorders>
              <w:bottom w:val="single" w:color="000000" w:sz="2" w:space="0"/>
              <w:top w:val="single" w:color="000000" w:sz="2" w:space="0"/>
            </w:tcBorders>
          </w:tcPr>
          <w:p>
            <w:pPr>
              <w:pStyle w:val="TableText"/>
              <w:ind w:left="565"/>
              <w:spacing w:before="82" w:line="219" w:lineRule="auto"/>
              <w:rPr>
                <w:sz w:val="11"/>
                <w:szCs w:val="11"/>
              </w:rPr>
            </w:pPr>
            <w:r>
              <w:rPr>
                <w:sz w:val="11"/>
                <w:szCs w:val="11"/>
                <w:spacing w:val="-1"/>
              </w:rPr>
              <w:t>直接使用</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37"/>
              <w:spacing w:before="82" w:line="220" w:lineRule="auto"/>
              <w:rPr>
                <w:sz w:val="11"/>
                <w:szCs w:val="11"/>
              </w:rPr>
            </w:pPr>
            <w:r>
              <w:rPr>
                <w:sz w:val="11"/>
                <w:szCs w:val="11"/>
                <w:spacing w:val="-1"/>
              </w:rPr>
              <w:t>20ml/支</w:t>
            </w:r>
          </w:p>
        </w:tc>
        <w:tc>
          <w:tcPr>
            <w:tcW w:w="2573" w:type="dxa"/>
            <w:vAlign w:val="top"/>
            <w:tcBorders>
              <w:bottom w:val="single" w:color="000000" w:sz="2" w:space="0"/>
              <w:top w:val="single" w:color="000000" w:sz="2" w:space="0"/>
            </w:tcBorders>
          </w:tcPr>
          <w:p>
            <w:pPr>
              <w:pStyle w:val="TableText"/>
              <w:ind w:left="37" w:right="64" w:hanging="9"/>
              <w:spacing w:before="21" w:line="204" w:lineRule="auto"/>
              <w:rPr>
                <w:sz w:val="11"/>
                <w:szCs w:val="11"/>
              </w:rPr>
            </w:pPr>
            <w:r>
              <w:rPr>
                <w:sz w:val="11"/>
                <w:szCs w:val="11"/>
              </w:rPr>
              <w:t>专杀蛀杆性害虫胸径8-10cm用1支，每端加</w:t>
            </w:r>
            <w:r>
              <w:rPr>
                <w:sz w:val="11"/>
                <w:szCs w:val="11"/>
                <w:spacing w:val="-1"/>
              </w:rPr>
              <w:t>L0cm增加</w:t>
            </w:r>
            <w:r>
              <w:rPr>
                <w:sz w:val="11"/>
                <w:szCs w:val="11"/>
              </w:rPr>
              <w:t xml:space="preserve"> </w:t>
            </w:r>
            <w:r>
              <w:rPr>
                <w:sz w:val="11"/>
                <w:szCs w:val="11"/>
              </w:rPr>
              <w:t>支</w:t>
            </w:r>
          </w:p>
        </w:tc>
      </w:tr>
      <w:tr>
        <w:trPr>
          <w:trHeight w:val="27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163"/>
              <w:spacing w:before="81" w:line="218" w:lineRule="auto"/>
              <w:rPr>
                <w:sz w:val="11"/>
                <w:szCs w:val="11"/>
              </w:rPr>
            </w:pPr>
            <w:r>
              <w:rPr>
                <w:sz w:val="11"/>
                <w:szCs w:val="11"/>
                <w:spacing w:val="1"/>
              </w:rPr>
              <w:t>中威蛀干害虫专用</w:t>
            </w:r>
          </w:p>
        </w:tc>
        <w:tc>
          <w:tcPr>
            <w:tcW w:w="1819" w:type="dxa"/>
            <w:vAlign w:val="top"/>
            <w:tcBorders>
              <w:bottom w:val="single" w:color="000000" w:sz="2" w:space="0"/>
              <w:top w:val="single" w:color="000000" w:sz="2" w:space="0"/>
            </w:tcBorders>
          </w:tcPr>
          <w:p>
            <w:pPr>
              <w:pStyle w:val="TableText"/>
              <w:ind w:left="264"/>
              <w:spacing w:before="81" w:line="218" w:lineRule="auto"/>
              <w:rPr>
                <w:sz w:val="11"/>
                <w:szCs w:val="11"/>
              </w:rPr>
            </w:pPr>
            <w:r>
              <w:rPr>
                <w:sz w:val="11"/>
                <w:szCs w:val="11"/>
                <w:spacing w:val="-7"/>
              </w:rPr>
              <w:t>氛虎</w:t>
            </w:r>
            <w:r>
              <w:rPr>
                <w:sz w:val="11"/>
                <w:szCs w:val="11"/>
                <w:spacing w:val="-12"/>
              </w:rPr>
              <w:t xml:space="preserve"> </w:t>
            </w:r>
            <w:r>
              <w:rPr>
                <w:sz w:val="11"/>
                <w:szCs w:val="11"/>
                <w:spacing w:val="-7"/>
              </w:rPr>
              <w:t>·马拉松</w:t>
            </w:r>
            <w:r>
              <w:rPr>
                <w:sz w:val="11"/>
                <w:szCs w:val="11"/>
                <w:spacing w:val="-13"/>
              </w:rPr>
              <w:t xml:space="preserve"> </w:t>
            </w:r>
            <w:r>
              <w:rPr>
                <w:sz w:val="11"/>
                <w:szCs w:val="11"/>
                <w:spacing w:val="-7"/>
              </w:rPr>
              <w:t>·苦参碱20%</w:t>
            </w:r>
          </w:p>
        </w:tc>
        <w:tc>
          <w:tcPr>
            <w:tcW w:w="1589" w:type="dxa"/>
            <w:vAlign w:val="top"/>
            <w:tcBorders>
              <w:bottom w:val="single" w:color="000000" w:sz="2" w:space="0"/>
              <w:top w:val="single" w:color="000000" w:sz="2" w:space="0"/>
            </w:tcBorders>
          </w:tcPr>
          <w:p>
            <w:pPr>
              <w:pStyle w:val="TableText"/>
              <w:ind w:left="565"/>
              <w:spacing w:before="81" w:line="219" w:lineRule="auto"/>
              <w:rPr>
                <w:sz w:val="11"/>
                <w:szCs w:val="11"/>
              </w:rPr>
            </w:pPr>
            <w:r>
              <w:rPr>
                <w:sz w:val="11"/>
                <w:szCs w:val="11"/>
                <w:spacing w:val="-1"/>
              </w:rPr>
              <w:t>直接使用</w:t>
            </w:r>
          </w:p>
        </w:tc>
        <w:tc>
          <w:tcPr>
            <w:tcW w:w="131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37"/>
              <w:spacing w:before="82" w:line="220" w:lineRule="auto"/>
              <w:rPr>
                <w:sz w:val="11"/>
                <w:szCs w:val="11"/>
              </w:rPr>
            </w:pPr>
            <w:r>
              <w:rPr>
                <w:sz w:val="11"/>
                <w:szCs w:val="11"/>
                <w:spacing w:val="-1"/>
              </w:rPr>
              <w:t>20ml/支</w:t>
            </w:r>
          </w:p>
        </w:tc>
        <w:tc>
          <w:tcPr>
            <w:tcW w:w="2573" w:type="dxa"/>
            <w:vAlign w:val="top"/>
            <w:tcBorders>
              <w:bottom w:val="single" w:color="000000" w:sz="2" w:space="0"/>
              <w:top w:val="single" w:color="000000" w:sz="2" w:space="0"/>
            </w:tcBorders>
          </w:tcPr>
          <w:p>
            <w:pPr>
              <w:pStyle w:val="TableText"/>
              <w:spacing w:before="81" w:line="218" w:lineRule="auto"/>
              <w:jc w:val="right"/>
              <w:rPr>
                <w:sz w:val="11"/>
                <w:szCs w:val="11"/>
              </w:rPr>
            </w:pPr>
            <w:r>
              <w:rPr>
                <w:sz w:val="11"/>
                <w:szCs w:val="11"/>
                <w:spacing w:val="-4"/>
              </w:rPr>
              <w:t>针对天牛幼虫、吉丁虫、松材线虫等蛀干害虫效果明显</w:t>
            </w:r>
          </w:p>
        </w:tc>
      </w:tr>
      <w:tr>
        <w:trPr>
          <w:trHeight w:val="305" w:hRule="atLeast"/>
        </w:trPr>
        <w:tc>
          <w:tcPr>
            <w:tcW w:w="385" w:type="dxa"/>
            <w:vAlign w:val="top"/>
            <w:vMerge w:val="continue"/>
            <w:tcBorders>
              <w:bottom w:val="nil"/>
              <w:top w:val="nil"/>
            </w:tcBorders>
          </w:tcPr>
          <w:p>
            <w:pPr>
              <w:rPr>
                <w:rFonts w:ascii="Arial"/>
                <w:sz w:val="21"/>
              </w:rPr>
            </w:pPr>
            <w:r/>
          </w:p>
        </w:tc>
        <w:tc>
          <w:tcPr>
            <w:tcW w:w="500" w:type="dxa"/>
            <w:vAlign w:val="top"/>
            <w:vMerge w:val="restart"/>
            <w:tcBorders>
              <w:bottom w:val="nil"/>
              <w:top w:val="single" w:color="000000" w:sz="2" w:space="0"/>
            </w:tcBorders>
          </w:tcPr>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20"/>
              <w:spacing w:before="36" w:line="220" w:lineRule="auto"/>
              <w:rPr>
                <w:sz w:val="11"/>
                <w:szCs w:val="11"/>
              </w:rPr>
            </w:pPr>
            <w:r>
              <w:rPr>
                <w:sz w:val="11"/>
                <w:szCs w:val="11"/>
                <w:spacing w:val="-1"/>
              </w:rPr>
              <w:t>地下害虫</w:t>
            </w:r>
          </w:p>
        </w:tc>
        <w:tc>
          <w:tcPr>
            <w:tcW w:w="959" w:type="dxa"/>
            <w:vAlign w:val="top"/>
            <w:vMerge w:val="restart"/>
            <w:tcBorders>
              <w:bottom w:val="nil"/>
              <w:top w:val="single" w:color="000000" w:sz="2" w:space="0"/>
            </w:tcBorders>
          </w:tcPr>
          <w:p>
            <w:pPr>
              <w:spacing w:line="350" w:lineRule="auto"/>
              <w:rPr>
                <w:rFonts w:ascii="Arial"/>
                <w:sz w:val="21"/>
              </w:rPr>
            </w:pPr>
            <w:r/>
          </w:p>
          <w:p>
            <w:pPr>
              <w:spacing w:line="351" w:lineRule="auto"/>
              <w:rPr>
                <w:rFonts w:ascii="Arial"/>
                <w:sz w:val="21"/>
              </w:rPr>
            </w:pPr>
            <w:r/>
          </w:p>
          <w:p>
            <w:pPr>
              <w:pStyle w:val="TableText"/>
              <w:ind w:left="30"/>
              <w:spacing w:before="36" w:line="202" w:lineRule="auto"/>
              <w:rPr>
                <w:sz w:val="11"/>
                <w:szCs w:val="11"/>
              </w:rPr>
            </w:pPr>
            <w:r>
              <w:rPr>
                <w:sz w:val="11"/>
                <w:szCs w:val="11"/>
                <w:spacing w:val="-1"/>
              </w:rPr>
              <w:t>蛴墙、地老虎、其</w:t>
            </w:r>
          </w:p>
          <w:p>
            <w:pPr>
              <w:pStyle w:val="TableText"/>
              <w:ind w:left="190"/>
              <w:spacing w:line="219" w:lineRule="auto"/>
              <w:rPr>
                <w:sz w:val="11"/>
                <w:szCs w:val="11"/>
              </w:rPr>
            </w:pPr>
            <w:r>
              <w:rPr>
                <w:sz w:val="11"/>
                <w:szCs w:val="11"/>
                <w:spacing w:val="-1"/>
              </w:rPr>
              <w:t>他土中虫卵</w:t>
            </w:r>
          </w:p>
        </w:tc>
        <w:tc>
          <w:tcPr>
            <w:tcW w:w="2918" w:type="dxa"/>
            <w:vAlign w:val="top"/>
            <w:vMerge w:val="restart"/>
            <w:tcBorders>
              <w:bottom w:val="nil"/>
              <w:top w:val="single" w:color="000000" w:sz="2" w:space="0"/>
            </w:tcBorders>
          </w:tcPr>
          <w:p>
            <w:pPr>
              <w:spacing w:line="373" w:lineRule="auto"/>
              <w:rPr>
                <w:rFonts w:ascii="Arial"/>
                <w:sz w:val="21"/>
              </w:rPr>
            </w:pPr>
            <w:r/>
          </w:p>
          <w:p>
            <w:pPr>
              <w:pStyle w:val="TableText"/>
              <w:ind w:left="11" w:right="2"/>
              <w:spacing w:before="36" w:line="218" w:lineRule="auto"/>
              <w:rPr>
                <w:sz w:val="11"/>
                <w:szCs w:val="11"/>
              </w:rPr>
            </w:pPr>
            <w:r>
              <w:rPr>
                <w:sz w:val="11"/>
                <w:szCs w:val="11"/>
              </w:rPr>
              <w:t>一、红火蚊、白蚁全年邻有危害，红火蚁10</w:t>
            </w:r>
            <w:r>
              <w:rPr>
                <w:sz w:val="11"/>
                <w:szCs w:val="11"/>
                <w:spacing w:val="-1"/>
              </w:rPr>
              <w:t>-11月为危害高</w:t>
            </w:r>
            <w:r>
              <w:rPr>
                <w:sz w:val="11"/>
                <w:szCs w:val="11"/>
              </w:rPr>
              <w:t xml:space="preserve">   </w:t>
            </w:r>
            <w:r>
              <w:rPr>
                <w:sz w:val="11"/>
                <w:szCs w:val="11"/>
              </w:rPr>
              <w:t>峰，主整危害植物的幼芽、檠高与根系，同时</w:t>
            </w:r>
            <w:r>
              <w:rPr>
                <w:sz w:val="11"/>
                <w:szCs w:val="11"/>
                <w:spacing w:val="-1"/>
              </w:rPr>
              <w:t>还会指咬人：</w:t>
            </w:r>
            <w:r>
              <w:rPr>
                <w:sz w:val="11"/>
                <w:szCs w:val="11"/>
              </w:rPr>
              <w:t xml:space="preserve">  </w:t>
            </w:r>
            <w:r>
              <w:rPr>
                <w:sz w:val="11"/>
                <w:szCs w:val="11"/>
                <w:spacing w:val="-5"/>
              </w:rPr>
              <w:t>白蚁6-8月会进行婚飞扩散，大量繁殖影响大树的根系，注意造</w:t>
            </w:r>
            <w:r>
              <w:rPr>
                <w:sz w:val="11"/>
                <w:szCs w:val="11"/>
                <w:spacing w:val="13"/>
              </w:rPr>
              <w:t xml:space="preserve"> </w:t>
            </w:r>
            <w:r>
              <w:rPr>
                <w:sz w:val="11"/>
                <w:szCs w:val="11"/>
                <w:spacing w:val="-2"/>
              </w:rPr>
              <w:t>查，及时发现蚁穴，授放蚁药防治。</w:t>
            </w:r>
          </w:p>
          <w:p>
            <w:pPr>
              <w:pStyle w:val="TableText"/>
              <w:ind w:left="11" w:right="41"/>
              <w:spacing w:line="218" w:lineRule="auto"/>
              <w:rPr>
                <w:sz w:val="11"/>
                <w:szCs w:val="11"/>
              </w:rPr>
            </w:pPr>
            <w:r>
              <w:rPr>
                <w:sz w:val="11"/>
                <w:szCs w:val="11"/>
              </w:rPr>
              <w:t>三，9-11月小地老虎，黄地老虎主整危害草坪</w:t>
            </w:r>
            <w:r>
              <w:rPr>
                <w:sz w:val="11"/>
                <w:szCs w:val="11"/>
                <w:spacing w:val="-1"/>
              </w:rPr>
              <w:t>、地被植物根</w:t>
            </w:r>
            <w:r>
              <w:rPr>
                <w:sz w:val="11"/>
                <w:szCs w:val="11"/>
              </w:rPr>
              <w:t xml:space="preserve"> </w:t>
            </w:r>
            <w:r>
              <w:rPr>
                <w:sz w:val="11"/>
                <w:szCs w:val="11"/>
                <w:spacing w:val="-1"/>
              </w:rPr>
              <w:t>系。                 </w:t>
            </w:r>
            <w:r>
              <w:rPr>
                <w:sz w:val="11"/>
                <w:szCs w:val="11"/>
                <w:spacing w:val="-2"/>
              </w:rPr>
              <w:t xml:space="preserve">                              </w:t>
            </w:r>
            <w:r>
              <w:rPr>
                <w:sz w:val="11"/>
                <w:szCs w:val="11"/>
                <w:color w:val="304040"/>
                <w:spacing w:val="-2"/>
                <w:position w:val="-1"/>
              </w:rPr>
              <w:t>三</w:t>
            </w:r>
            <w:r>
              <w:rPr>
                <w:sz w:val="11"/>
                <w:szCs w:val="11"/>
                <w:color w:val="304040"/>
                <w:position w:val="-1"/>
              </w:rPr>
              <w:t xml:space="preserve"> </w:t>
            </w:r>
            <w:r>
              <w:rPr>
                <w:sz w:val="11"/>
                <w:szCs w:val="11"/>
              </w:rPr>
              <w:t>、蛴绩4-6月、9-10月危害植物的根茎</w:t>
            </w:r>
            <w:r>
              <w:rPr>
                <w:sz w:val="11"/>
                <w:szCs w:val="11"/>
                <w:spacing w:val="-1"/>
              </w:rPr>
              <w:t>部。</w:t>
            </w:r>
          </w:p>
        </w:tc>
        <w:tc>
          <w:tcPr>
            <w:tcW w:w="1219" w:type="dxa"/>
            <w:vAlign w:val="top"/>
            <w:tcBorders>
              <w:bottom w:val="single" w:color="000000" w:sz="2" w:space="0"/>
              <w:top w:val="single" w:color="000000" w:sz="2" w:space="0"/>
            </w:tcBorders>
          </w:tcPr>
          <w:p>
            <w:pPr>
              <w:pStyle w:val="TableText"/>
              <w:ind w:left="433"/>
              <w:spacing w:before="102" w:line="219" w:lineRule="auto"/>
              <w:rPr>
                <w:sz w:val="11"/>
                <w:szCs w:val="11"/>
              </w:rPr>
            </w:pPr>
            <w:r>
              <w:rPr>
                <w:sz w:val="11"/>
                <w:szCs w:val="11"/>
                <w:spacing w:val="-1"/>
              </w:rPr>
              <w:t>倍脑松</w:t>
            </w:r>
          </w:p>
        </w:tc>
        <w:tc>
          <w:tcPr>
            <w:tcW w:w="1819" w:type="dxa"/>
            <w:vAlign w:val="top"/>
            <w:tcBorders>
              <w:bottom w:val="single" w:color="000000" w:sz="2" w:space="0"/>
              <w:top w:val="single" w:color="000000" w:sz="2" w:space="0"/>
            </w:tcBorders>
          </w:tcPr>
          <w:p>
            <w:pPr>
              <w:pStyle w:val="TableText"/>
              <w:ind w:left="734"/>
              <w:spacing w:before="102" w:line="219" w:lineRule="auto"/>
              <w:rPr>
                <w:sz w:val="11"/>
                <w:szCs w:val="11"/>
              </w:rPr>
            </w:pPr>
            <w:r>
              <w:rPr>
                <w:sz w:val="11"/>
                <w:szCs w:val="11"/>
                <w:spacing w:val="-2"/>
              </w:rPr>
              <w:t>辛硫磷</w:t>
            </w:r>
          </w:p>
        </w:tc>
        <w:tc>
          <w:tcPr>
            <w:tcW w:w="1589" w:type="dxa"/>
            <w:vAlign w:val="top"/>
            <w:tcBorders>
              <w:bottom w:val="single" w:color="000000" w:sz="2" w:space="0"/>
              <w:top w:val="single" w:color="000000" w:sz="2" w:space="0"/>
            </w:tcBorders>
          </w:tcPr>
          <w:p>
            <w:pPr>
              <w:pStyle w:val="TableText"/>
              <w:ind w:left="295"/>
              <w:spacing w:before="102" w:line="220" w:lineRule="auto"/>
              <w:rPr>
                <w:sz w:val="11"/>
                <w:szCs w:val="11"/>
              </w:rPr>
            </w:pPr>
            <w:r>
              <w:rPr>
                <w:sz w:val="11"/>
                <w:szCs w:val="11"/>
                <w:spacing w:val="-1"/>
              </w:rPr>
              <w:t>50%乳油1000-2000倍</w:t>
            </w:r>
          </w:p>
        </w:tc>
        <w:tc>
          <w:tcPr>
            <w:tcW w:w="1319" w:type="dxa"/>
            <w:vAlign w:val="top"/>
            <w:vMerge w:val="restart"/>
            <w:tcBorders>
              <w:bottom w:val="nil"/>
              <w:top w:val="single" w:color="000000" w:sz="2" w:space="0"/>
            </w:tcBorders>
          </w:tcPr>
          <w:p>
            <w:pPr>
              <w:spacing w:line="350" w:lineRule="auto"/>
              <w:rPr>
                <w:rFonts w:ascii="Arial"/>
                <w:sz w:val="21"/>
              </w:rPr>
            </w:pPr>
            <w:r/>
          </w:p>
          <w:p>
            <w:pPr>
              <w:spacing w:line="351" w:lineRule="auto"/>
              <w:rPr>
                <w:rFonts w:ascii="Arial"/>
                <w:sz w:val="21"/>
              </w:rPr>
            </w:pPr>
            <w:r/>
          </w:p>
          <w:p>
            <w:pPr>
              <w:pStyle w:val="TableText"/>
              <w:ind w:left="435" w:right="33" w:hanging="419"/>
              <w:spacing w:before="36" w:line="210" w:lineRule="auto"/>
              <w:rPr>
                <w:sz w:val="11"/>
                <w:szCs w:val="11"/>
              </w:rPr>
            </w:pPr>
            <w:r>
              <w:rPr>
                <w:sz w:val="11"/>
                <w:szCs w:val="11"/>
                <w:spacing w:val="-1"/>
              </w:rPr>
              <w:t>一般用1次，视现场情况可</w:t>
            </w:r>
            <w:r>
              <w:rPr>
                <w:sz w:val="11"/>
                <w:szCs w:val="11"/>
                <w:spacing w:val="4"/>
              </w:rPr>
              <w:t xml:space="preserve"> </w:t>
            </w:r>
            <w:r>
              <w:rPr>
                <w:sz w:val="11"/>
                <w:szCs w:val="11"/>
                <w:spacing w:val="-1"/>
              </w:rPr>
              <w:t>增加次数</w:t>
            </w:r>
          </w:p>
        </w:tc>
        <w:tc>
          <w:tcPr>
            <w:tcW w:w="669" w:type="dxa"/>
            <w:vAlign w:val="top"/>
            <w:tcBorders>
              <w:bottom w:val="single" w:color="000000" w:sz="2" w:space="0"/>
              <w:top w:val="single" w:color="000000" w:sz="2" w:space="0"/>
            </w:tcBorders>
          </w:tcPr>
          <w:p>
            <w:pPr>
              <w:pStyle w:val="TableText"/>
              <w:ind w:left="167"/>
              <w:spacing w:before="99" w:line="213" w:lineRule="auto"/>
              <w:rPr>
                <w:sz w:val="11"/>
                <w:szCs w:val="11"/>
              </w:rPr>
            </w:pPr>
            <w:r>
              <w:rPr>
                <w:sz w:val="11"/>
                <w:szCs w:val="11"/>
                <w:spacing w:val="-1"/>
              </w:rPr>
              <w:t>30g/袋</w:t>
            </w:r>
          </w:p>
        </w:tc>
        <w:tc>
          <w:tcPr>
            <w:tcW w:w="2573" w:type="dxa"/>
            <w:vAlign w:val="top"/>
            <w:tcBorders>
              <w:bottom w:val="single" w:color="000000" w:sz="2" w:space="0"/>
              <w:top w:val="single" w:color="000000" w:sz="2" w:space="0"/>
            </w:tcBorders>
          </w:tcPr>
          <w:p>
            <w:pPr>
              <w:pStyle w:val="TableText"/>
              <w:ind w:left="18"/>
              <w:spacing w:before="102" w:line="218" w:lineRule="auto"/>
              <w:rPr>
                <w:sz w:val="11"/>
                <w:szCs w:val="11"/>
              </w:rPr>
            </w:pPr>
            <w:r>
              <w:rPr>
                <w:sz w:val="11"/>
                <w:szCs w:val="11"/>
                <w:spacing w:val="-1"/>
              </w:rPr>
              <w:t>采用灌浇和灌心防治地下害虫地老虎</w:t>
            </w:r>
          </w:p>
        </w:tc>
      </w:tr>
      <w:tr>
        <w:trPr>
          <w:trHeight w:val="30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101" w:line="218" w:lineRule="auto"/>
              <w:rPr>
                <w:sz w:val="11"/>
                <w:szCs w:val="11"/>
              </w:rPr>
            </w:pPr>
            <w:r>
              <w:rPr>
                <w:sz w:val="11"/>
                <w:szCs w:val="11"/>
                <w:spacing w:val="-1"/>
              </w:rPr>
              <w:t>诺青偏璃功</w:t>
            </w:r>
          </w:p>
        </w:tc>
        <w:tc>
          <w:tcPr>
            <w:tcW w:w="1819" w:type="dxa"/>
            <w:vAlign w:val="top"/>
            <w:tcBorders>
              <w:bottom w:val="single" w:color="000000" w:sz="2" w:space="0"/>
              <w:top w:val="single" w:color="000000" w:sz="2" w:space="0"/>
            </w:tcBorders>
          </w:tcPr>
          <w:p>
            <w:pPr>
              <w:pStyle w:val="TableText"/>
              <w:ind w:left="484"/>
              <w:spacing w:before="101" w:line="218" w:lineRule="auto"/>
              <w:rPr>
                <w:sz w:val="11"/>
                <w:szCs w:val="11"/>
              </w:rPr>
            </w:pPr>
            <w:r>
              <w:rPr>
                <w:sz w:val="11"/>
                <w:szCs w:val="11"/>
                <w:spacing w:val="-1"/>
              </w:rPr>
              <w:t>高效氧瓶飘菊断%</w:t>
            </w:r>
          </w:p>
        </w:tc>
        <w:tc>
          <w:tcPr>
            <w:tcW w:w="1589" w:type="dxa"/>
            <w:vAlign w:val="top"/>
            <w:tcBorders>
              <w:bottom w:val="single" w:color="000000" w:sz="2" w:space="0"/>
              <w:top w:val="single" w:color="000000" w:sz="2" w:space="0"/>
            </w:tcBorders>
          </w:tcPr>
          <w:p>
            <w:pPr>
              <w:pStyle w:val="TableText"/>
              <w:ind w:left="485"/>
              <w:spacing w:before="102" w:line="220" w:lineRule="auto"/>
              <w:rPr>
                <w:sz w:val="11"/>
                <w:szCs w:val="11"/>
              </w:rPr>
            </w:pPr>
            <w:r>
              <w:rPr>
                <w:sz w:val="11"/>
                <w:szCs w:val="11"/>
                <w:spacing w:val="-5"/>
              </w:rPr>
              <w:t>1000—1500倍</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07"/>
              <w:spacing w:before="102" w:line="221" w:lineRule="auto"/>
              <w:rPr>
                <w:sz w:val="11"/>
                <w:szCs w:val="11"/>
              </w:rPr>
            </w:pPr>
            <w:r>
              <w:rPr>
                <w:sz w:val="11"/>
                <w:szCs w:val="11"/>
                <w:spacing w:val="-2"/>
              </w:rPr>
              <w:t>100ml/瓶</w:t>
            </w:r>
          </w:p>
        </w:tc>
        <w:tc>
          <w:tcPr>
            <w:tcW w:w="2573" w:type="dxa"/>
            <w:vAlign w:val="top"/>
            <w:tcBorders>
              <w:bottom w:val="single" w:color="000000" w:sz="2" w:space="0"/>
              <w:top w:val="single" w:color="000000" w:sz="2" w:space="0"/>
            </w:tcBorders>
          </w:tcPr>
          <w:p>
            <w:pPr>
              <w:pStyle w:val="TableText"/>
              <w:ind w:left="18" w:right="21"/>
              <w:spacing w:before="22" w:line="210" w:lineRule="auto"/>
              <w:rPr>
                <w:sz w:val="11"/>
                <w:szCs w:val="11"/>
              </w:rPr>
            </w:pPr>
            <w:r>
              <w:rPr>
                <w:sz w:val="11"/>
                <w:szCs w:val="11"/>
                <w:spacing w:val="-1"/>
              </w:rPr>
              <w:t>杀灭蛴婚、蝶姑，蚯螺等地下害虫和粘虫，好虫、青</w:t>
            </w:r>
            <w:r>
              <w:rPr>
                <w:sz w:val="11"/>
                <w:szCs w:val="11"/>
                <w:spacing w:val="15"/>
              </w:rPr>
              <w:t xml:space="preserve"> </w:t>
            </w:r>
            <w:r>
              <w:rPr>
                <w:sz w:val="11"/>
                <w:szCs w:val="11"/>
                <w:spacing w:val="-2"/>
              </w:rPr>
              <w:t>虫、蚂蚁等</w:t>
            </w:r>
          </w:p>
        </w:tc>
      </w:tr>
      <w:tr>
        <w:trPr>
          <w:trHeight w:val="30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83"/>
              <w:spacing w:before="102" w:line="219" w:lineRule="auto"/>
              <w:rPr>
                <w:sz w:val="11"/>
                <w:szCs w:val="11"/>
              </w:rPr>
            </w:pPr>
            <w:r>
              <w:rPr>
                <w:sz w:val="11"/>
                <w:szCs w:val="11"/>
                <w:spacing w:val="1"/>
              </w:rPr>
              <w:t>国光土杀</w:t>
            </w:r>
          </w:p>
        </w:tc>
        <w:tc>
          <w:tcPr>
            <w:tcW w:w="1819" w:type="dxa"/>
            <w:vAlign w:val="top"/>
            <w:tcBorders>
              <w:bottom w:val="single" w:color="000000" w:sz="2" w:space="0"/>
              <w:top w:val="single" w:color="000000" w:sz="2" w:space="0"/>
            </w:tcBorders>
          </w:tcPr>
          <w:p>
            <w:pPr>
              <w:pStyle w:val="TableText"/>
              <w:ind w:left="434"/>
              <w:spacing w:before="102" w:line="219" w:lineRule="auto"/>
              <w:rPr>
                <w:sz w:val="11"/>
                <w:szCs w:val="11"/>
              </w:rPr>
            </w:pPr>
            <w:r>
              <w:rPr>
                <w:sz w:val="11"/>
                <w:szCs w:val="11"/>
                <w:spacing w:val="-1"/>
              </w:rPr>
              <w:t>毒死辫，辛疏磷405</w:t>
            </w:r>
          </w:p>
        </w:tc>
        <w:tc>
          <w:tcPr>
            <w:tcW w:w="1589" w:type="dxa"/>
            <w:vAlign w:val="top"/>
            <w:tcBorders>
              <w:bottom w:val="single" w:color="000000" w:sz="2" w:space="0"/>
              <w:top w:val="single" w:color="000000" w:sz="2" w:space="0"/>
            </w:tcBorders>
          </w:tcPr>
          <w:p>
            <w:pPr>
              <w:pStyle w:val="TableText"/>
              <w:ind w:left="375"/>
              <w:spacing w:before="103" w:line="220" w:lineRule="auto"/>
              <w:rPr>
                <w:sz w:val="11"/>
                <w:szCs w:val="11"/>
              </w:rPr>
            </w:pPr>
            <w:r>
              <w:rPr>
                <w:sz w:val="11"/>
                <w:szCs w:val="11"/>
                <w:spacing w:val="-1"/>
              </w:rPr>
              <w:t>滢根2000-2500倍</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37"/>
              <w:spacing w:before="105" w:line="224" w:lineRule="auto"/>
              <w:rPr>
                <w:sz w:val="11"/>
                <w:szCs w:val="11"/>
              </w:rPr>
            </w:pPr>
            <w:r>
              <w:rPr>
                <w:sz w:val="11"/>
                <w:szCs w:val="11"/>
                <w:spacing w:val="-1"/>
              </w:rPr>
              <w:t>200ml/E</w:t>
            </w:r>
          </w:p>
        </w:tc>
        <w:tc>
          <w:tcPr>
            <w:tcW w:w="2573" w:type="dxa"/>
            <w:vAlign w:val="top"/>
            <w:tcBorders>
              <w:bottom w:val="single" w:color="000000" w:sz="2" w:space="0"/>
              <w:top w:val="single" w:color="000000" w:sz="2" w:space="0"/>
            </w:tcBorders>
          </w:tcPr>
          <w:p>
            <w:pPr>
              <w:pStyle w:val="TableText"/>
              <w:ind w:left="18" w:right="21"/>
              <w:spacing w:before="43" w:line="210" w:lineRule="auto"/>
              <w:rPr>
                <w:sz w:val="11"/>
                <w:szCs w:val="11"/>
              </w:rPr>
            </w:pPr>
            <w:r>
              <w:rPr>
                <w:sz w:val="11"/>
                <w:szCs w:val="11"/>
                <w:spacing w:val="-1"/>
              </w:rPr>
              <w:t>杀灭解蜡、蟋蛄、蚯鲜等地下害虫和粘虫、蚜虫、青</w:t>
            </w:r>
            <w:r>
              <w:rPr>
                <w:sz w:val="11"/>
                <w:szCs w:val="11"/>
                <w:spacing w:val="15"/>
              </w:rPr>
              <w:t xml:space="preserve"> </w:t>
            </w:r>
            <w:r>
              <w:rPr>
                <w:sz w:val="11"/>
                <w:szCs w:val="11"/>
                <w:spacing w:val="-2"/>
              </w:rPr>
              <w:t>虫、蚂蚁等</w:t>
            </w:r>
          </w:p>
        </w:tc>
      </w:tr>
      <w:tr>
        <w:trPr>
          <w:trHeight w:val="305"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103" w:line="220" w:lineRule="auto"/>
              <w:rPr>
                <w:sz w:val="11"/>
                <w:szCs w:val="11"/>
              </w:rPr>
            </w:pPr>
            <w:r>
              <w:rPr>
                <w:sz w:val="11"/>
                <w:szCs w:val="11"/>
                <w:spacing w:val="-3"/>
              </w:rPr>
              <w:t>中威击绿健</w:t>
            </w:r>
          </w:p>
        </w:tc>
        <w:tc>
          <w:tcPr>
            <w:tcW w:w="1819" w:type="dxa"/>
            <w:vAlign w:val="top"/>
            <w:tcBorders>
              <w:bottom w:val="single" w:color="000000" w:sz="2" w:space="0"/>
              <w:top w:val="single" w:color="000000" w:sz="2" w:space="0"/>
            </w:tcBorders>
          </w:tcPr>
          <w:p>
            <w:pPr>
              <w:pStyle w:val="TableText"/>
              <w:ind w:left="654"/>
              <w:spacing w:before="103" w:line="219" w:lineRule="auto"/>
              <w:rPr>
                <w:sz w:val="11"/>
                <w:szCs w:val="11"/>
              </w:rPr>
            </w:pPr>
            <w:r>
              <w:rPr>
                <w:sz w:val="11"/>
                <w:szCs w:val="11"/>
                <w:spacing w:val="-1"/>
              </w:rPr>
              <w:t>二哪磷20%</w:t>
            </w:r>
          </w:p>
        </w:tc>
        <w:tc>
          <w:tcPr>
            <w:tcW w:w="1589" w:type="dxa"/>
            <w:vAlign w:val="top"/>
            <w:tcBorders>
              <w:bottom w:val="single" w:color="000000" w:sz="2" w:space="0"/>
              <w:top w:val="single" w:color="000000" w:sz="2" w:space="0"/>
            </w:tcBorders>
          </w:tcPr>
          <w:p>
            <w:pPr>
              <w:pStyle w:val="TableText"/>
              <w:ind w:left="235"/>
              <w:spacing w:before="100" w:line="213" w:lineRule="auto"/>
              <w:rPr>
                <w:sz w:val="11"/>
                <w:szCs w:val="11"/>
              </w:rPr>
            </w:pPr>
            <w:r>
              <w:rPr>
                <w:sz w:val="11"/>
                <w:szCs w:val="11"/>
                <w:spacing w:val="-8"/>
              </w:rPr>
              <w:t>直接撤跑，每宙1——2kg</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67"/>
              <w:spacing w:before="105" w:line="222" w:lineRule="auto"/>
              <w:rPr>
                <w:sz w:val="11"/>
                <w:szCs w:val="11"/>
              </w:rPr>
            </w:pPr>
            <w:r>
              <w:rPr>
                <w:sz w:val="11"/>
                <w:szCs w:val="11"/>
                <w:spacing w:val="-3"/>
              </w:rPr>
              <w:t>Ikz/袋</w:t>
            </w:r>
          </w:p>
        </w:tc>
        <w:tc>
          <w:tcPr>
            <w:tcW w:w="2573" w:type="dxa"/>
            <w:vAlign w:val="top"/>
            <w:tcBorders>
              <w:bottom w:val="single" w:color="000000" w:sz="2" w:space="0"/>
              <w:top w:val="single" w:color="000000" w:sz="2" w:space="0"/>
            </w:tcBorders>
          </w:tcPr>
          <w:p>
            <w:pPr>
              <w:pStyle w:val="TableText"/>
              <w:ind w:left="18" w:firstLine="9"/>
              <w:spacing w:before="23" w:line="210" w:lineRule="auto"/>
              <w:rPr>
                <w:sz w:val="11"/>
                <w:szCs w:val="11"/>
              </w:rPr>
            </w:pPr>
            <w:r>
              <w:rPr>
                <w:sz w:val="11"/>
                <w:szCs w:val="11"/>
                <w:spacing w:val="-2"/>
              </w:rPr>
              <w:t>专治草坪地下害虫(蘇塘、金针虫，地老虎，根</w:t>
            </w:r>
            <w:r>
              <w:rPr>
                <w:sz w:val="11"/>
                <w:szCs w:val="11"/>
                <w:spacing w:val="-3"/>
              </w:rPr>
              <w:t>结规虫</w:t>
            </w:r>
            <w:r>
              <w:rPr>
                <w:sz w:val="11"/>
                <w:szCs w:val="11"/>
              </w:rPr>
              <w:t xml:space="preserve"> </w:t>
            </w:r>
            <w:r>
              <w:rPr>
                <w:sz w:val="11"/>
                <w:szCs w:val="11"/>
                <w:spacing w:val="-3"/>
              </w:rPr>
              <w:t>等</w:t>
            </w:r>
            <w:r>
              <w:rPr>
                <w:sz w:val="11"/>
                <w:szCs w:val="11"/>
                <w:spacing w:val="-17"/>
              </w:rPr>
              <w:t xml:space="preserve"> </w:t>
            </w:r>
            <w:r>
              <w:rPr>
                <w:sz w:val="11"/>
                <w:szCs w:val="11"/>
                <w:spacing w:val="-3"/>
              </w:rPr>
              <w:t>)</w:t>
            </w:r>
          </w:p>
        </w:tc>
      </w:tr>
      <w:tr>
        <w:trPr>
          <w:trHeight w:val="444" w:hRule="atLeast"/>
        </w:trPr>
        <w:tc>
          <w:tcPr>
            <w:tcW w:w="385" w:type="dxa"/>
            <w:vAlign w:val="top"/>
            <w:vMerge w:val="continue"/>
            <w:tcBorders>
              <w:bottom w:val="single" w:color="000000" w:sz="2" w:space="0"/>
              <w:top w:val="nil"/>
            </w:tcBorders>
          </w:tcPr>
          <w:p>
            <w:pPr>
              <w:rPr>
                <w:rFonts w:ascii="Arial"/>
                <w:sz w:val="21"/>
              </w:rPr>
            </w:pPr>
            <w:r/>
          </w:p>
        </w:tc>
        <w:tc>
          <w:tcPr>
            <w:tcW w:w="50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83"/>
              <w:spacing w:before="172" w:line="219" w:lineRule="auto"/>
              <w:rPr>
                <w:sz w:val="11"/>
                <w:szCs w:val="11"/>
              </w:rPr>
            </w:pPr>
            <w:r>
              <w:rPr>
                <w:sz w:val="11"/>
                <w:szCs w:val="11"/>
                <w:spacing w:val="1"/>
              </w:rPr>
              <w:t>国光移成</w:t>
            </w:r>
          </w:p>
        </w:tc>
        <w:tc>
          <w:tcPr>
            <w:tcW w:w="1819" w:type="dxa"/>
            <w:vAlign w:val="top"/>
            <w:tcBorders>
              <w:bottom w:val="single" w:color="000000" w:sz="2" w:space="0"/>
              <w:top w:val="single" w:color="000000" w:sz="2" w:space="0"/>
            </w:tcBorders>
          </w:tcPr>
          <w:p>
            <w:pPr>
              <w:pStyle w:val="TableText"/>
              <w:ind w:left="183"/>
              <w:spacing w:before="172" w:line="218" w:lineRule="auto"/>
              <w:rPr>
                <w:sz w:val="11"/>
                <w:szCs w:val="11"/>
              </w:rPr>
            </w:pPr>
            <w:r>
              <w:rPr>
                <w:sz w:val="11"/>
                <w:szCs w:val="11"/>
                <w:spacing w:val="-1"/>
              </w:rPr>
              <w:t>12%含氢基酸水溶肥料(硼+锌》</w:t>
            </w:r>
          </w:p>
        </w:tc>
        <w:tc>
          <w:tcPr>
            <w:tcW w:w="1589" w:type="dxa"/>
            <w:vAlign w:val="top"/>
            <w:tcBorders>
              <w:bottom w:val="single" w:color="000000" w:sz="2" w:space="0"/>
              <w:top w:val="single" w:color="000000" w:sz="2" w:space="0"/>
            </w:tcBorders>
          </w:tcPr>
          <w:p>
            <w:pPr>
              <w:pStyle w:val="TableText"/>
              <w:ind w:left="485"/>
              <w:spacing w:before="173" w:line="220" w:lineRule="auto"/>
              <w:rPr>
                <w:sz w:val="11"/>
                <w:szCs w:val="11"/>
              </w:rPr>
            </w:pPr>
            <w:r>
              <w:rPr>
                <w:sz w:val="11"/>
                <w:szCs w:val="11"/>
                <w:spacing w:val="-2"/>
              </w:rPr>
              <w:t>1000-1200倍</w:t>
            </w:r>
          </w:p>
        </w:tc>
        <w:tc>
          <w:tcPr>
            <w:tcW w:w="131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87"/>
              <w:spacing w:before="169" w:line="213" w:lineRule="auto"/>
              <w:rPr>
                <w:sz w:val="11"/>
                <w:szCs w:val="11"/>
              </w:rPr>
            </w:pPr>
            <w:r>
              <w:rPr>
                <w:sz w:val="11"/>
                <w:szCs w:val="11"/>
                <w:spacing w:val="-1"/>
              </w:rPr>
              <w:t>200g/</w:t>
            </w:r>
          </w:p>
        </w:tc>
        <w:tc>
          <w:tcPr>
            <w:tcW w:w="2573" w:type="dxa"/>
            <w:vAlign w:val="top"/>
            <w:tcBorders>
              <w:bottom w:val="single" w:color="000000" w:sz="2" w:space="0"/>
              <w:top w:val="single" w:color="000000" w:sz="2" w:space="0"/>
            </w:tcBorders>
          </w:tcPr>
          <w:p>
            <w:pPr>
              <w:pStyle w:val="TableText"/>
              <w:ind w:left="18"/>
              <w:spacing w:before="172" w:line="218" w:lineRule="auto"/>
              <w:rPr>
                <w:sz w:val="11"/>
                <w:szCs w:val="11"/>
              </w:rPr>
            </w:pPr>
            <w:r>
              <w:rPr>
                <w:sz w:val="11"/>
                <w:szCs w:val="11"/>
                <w:spacing w:val="-1"/>
              </w:rPr>
              <w:t>补充水分和养分，促进快速成话</w:t>
            </w:r>
          </w:p>
        </w:tc>
      </w:tr>
      <w:tr>
        <w:trPr>
          <w:trHeight w:val="444" w:hRule="atLeast"/>
        </w:trPr>
        <w:tc>
          <w:tcPr>
            <w:tcW w:w="385" w:type="dxa"/>
            <w:vAlign w:val="top"/>
            <w:vMerge w:val="restart"/>
            <w:tcBorders>
              <w:bottom w:val="nil"/>
              <w:top w:val="single" w:color="000000" w:sz="2" w:space="0"/>
            </w:tcBorders>
          </w:tcPr>
          <w:p>
            <w:pPr>
              <w:spacing w:line="454" w:lineRule="auto"/>
              <w:rPr>
                <w:rFonts w:ascii="Arial"/>
                <w:sz w:val="21"/>
              </w:rPr>
            </w:pPr>
            <w:r/>
          </w:p>
          <w:p>
            <w:pPr>
              <w:pStyle w:val="TableText"/>
              <w:ind w:left="14" w:right="33"/>
              <w:spacing w:before="36" w:line="226" w:lineRule="auto"/>
              <w:rPr>
                <w:sz w:val="11"/>
                <w:szCs w:val="11"/>
              </w:rPr>
            </w:pPr>
            <w:r>
              <w:rPr>
                <w:sz w:val="11"/>
                <w:szCs w:val="11"/>
                <w:spacing w:val="-3"/>
              </w:rPr>
              <w:t>营养烈</w:t>
            </w:r>
            <w:r>
              <w:rPr>
                <w:sz w:val="11"/>
                <w:szCs w:val="11"/>
              </w:rPr>
              <w:t xml:space="preserve"> </w:t>
            </w:r>
            <w:r>
              <w:rPr>
                <w:sz w:val="11"/>
                <w:szCs w:val="11"/>
                <w:spacing w:val="-1"/>
              </w:rPr>
              <w:t>/肥料/</w:t>
            </w:r>
          </w:p>
          <w:p>
            <w:pPr>
              <w:pStyle w:val="TableText"/>
              <w:ind w:left="14"/>
              <w:spacing w:line="218" w:lineRule="auto"/>
              <w:rPr>
                <w:sz w:val="11"/>
                <w:szCs w:val="11"/>
              </w:rPr>
            </w:pPr>
            <w:r>
              <w:rPr>
                <w:sz w:val="11"/>
                <w:szCs w:val="11"/>
                <w:spacing w:val="-1"/>
              </w:rPr>
              <w:t>请节剂</w:t>
            </w:r>
          </w:p>
        </w:tc>
        <w:tc>
          <w:tcPr>
            <w:tcW w:w="500" w:type="dxa"/>
            <w:vAlign w:val="top"/>
            <w:vMerge w:val="restart"/>
            <w:tcBorders>
              <w:bottom w:val="nil"/>
              <w:top w:val="single" w:color="000000" w:sz="2" w:space="0"/>
            </w:tcBorders>
          </w:tcPr>
          <w:p>
            <w:pPr>
              <w:spacing w:line="296" w:lineRule="auto"/>
              <w:rPr>
                <w:rFonts w:ascii="Arial"/>
                <w:sz w:val="21"/>
              </w:rPr>
            </w:pPr>
            <w:r/>
          </w:p>
          <w:p>
            <w:pPr>
              <w:spacing w:line="297" w:lineRule="auto"/>
              <w:rPr>
                <w:rFonts w:ascii="Arial"/>
                <w:sz w:val="21"/>
              </w:rPr>
            </w:pPr>
            <w:r/>
          </w:p>
          <w:p>
            <w:pPr>
              <w:pStyle w:val="TableText"/>
              <w:ind w:left="20"/>
              <w:spacing w:before="36" w:line="219" w:lineRule="auto"/>
              <w:rPr>
                <w:sz w:val="11"/>
                <w:szCs w:val="11"/>
              </w:rPr>
            </w:pPr>
            <w:r>
              <w:rPr>
                <w:sz w:val="11"/>
                <w:szCs w:val="11"/>
                <w:spacing w:val="-1"/>
              </w:rPr>
              <w:t>树木复壮</w:t>
            </w:r>
          </w:p>
        </w:tc>
        <w:tc>
          <w:tcPr>
            <w:tcW w:w="959" w:type="dxa"/>
            <w:vAlign w:val="top"/>
            <w:vMerge w:val="restart"/>
            <w:tcBorders>
              <w:bottom w:val="nil"/>
              <w:top w:val="single" w:color="000000" w:sz="2" w:space="0"/>
            </w:tcBorders>
          </w:tcPr>
          <w:p>
            <w:pPr>
              <w:spacing w:line="404" w:lineRule="auto"/>
              <w:rPr>
                <w:rFonts w:ascii="Arial"/>
                <w:sz w:val="21"/>
              </w:rPr>
            </w:pPr>
            <w:r/>
          </w:p>
          <w:p>
            <w:pPr>
              <w:pStyle w:val="TableText"/>
              <w:ind w:left="30"/>
              <w:spacing w:before="36" w:line="201" w:lineRule="auto"/>
              <w:rPr>
                <w:sz w:val="11"/>
                <w:szCs w:val="11"/>
              </w:rPr>
            </w:pPr>
            <w:r>
              <w:rPr>
                <w:sz w:val="11"/>
                <w:szCs w:val="11"/>
                <w:spacing w:val="-1"/>
              </w:rPr>
              <w:t>树木长势弱，白顶</w:t>
            </w:r>
          </w:p>
          <w:p>
            <w:pPr>
              <w:pStyle w:val="TableText"/>
              <w:ind w:left="80"/>
              <w:spacing w:line="219" w:lineRule="auto"/>
              <w:rPr>
                <w:sz w:val="11"/>
                <w:szCs w:val="11"/>
              </w:rPr>
            </w:pPr>
            <w:r>
              <w:rPr>
                <w:sz w:val="11"/>
                <w:szCs w:val="11"/>
                <w:spacing w:val="-1"/>
              </w:rPr>
              <w:t>部向下有枯黄现</w:t>
            </w:r>
          </w:p>
          <w:p>
            <w:pPr>
              <w:pStyle w:val="TableText"/>
              <w:ind w:left="20"/>
              <w:spacing w:before="19" w:line="201" w:lineRule="auto"/>
              <w:rPr>
                <w:sz w:val="11"/>
                <w:szCs w:val="11"/>
              </w:rPr>
            </w:pPr>
            <w:r>
              <w:rPr>
                <w:sz w:val="11"/>
                <w:szCs w:val="11"/>
                <w:spacing w:val="-1"/>
              </w:rPr>
              <w:t>象，或高大乔木及</w:t>
            </w:r>
          </w:p>
          <w:p>
            <w:pPr>
              <w:pStyle w:val="TableText"/>
              <w:ind w:left="250"/>
              <w:spacing w:line="219" w:lineRule="auto"/>
              <w:rPr>
                <w:sz w:val="11"/>
                <w:szCs w:val="11"/>
              </w:rPr>
            </w:pPr>
            <w:r>
              <w:rPr>
                <w:sz w:val="11"/>
                <w:szCs w:val="11"/>
                <w:spacing w:val="-2"/>
              </w:rPr>
              <w:t>竞重树木</w:t>
            </w:r>
          </w:p>
        </w:tc>
        <w:tc>
          <w:tcPr>
            <w:tcW w:w="2918" w:type="dxa"/>
            <w:vAlign w:val="top"/>
            <w:vMerge w:val="restart"/>
            <w:tcBorders>
              <w:bottom w:val="nil"/>
              <w:top w:val="single" w:color="000000" w:sz="2" w:space="0"/>
            </w:tcBorders>
          </w:tcPr>
          <w:p>
            <w:pPr>
              <w:spacing w:line="414" w:lineRule="auto"/>
              <w:rPr>
                <w:rFonts w:ascii="Arial"/>
                <w:sz w:val="21"/>
              </w:rPr>
            </w:pPr>
            <w:r/>
          </w:p>
          <w:p>
            <w:pPr>
              <w:pStyle w:val="TableText"/>
              <w:ind w:left="11"/>
              <w:spacing w:before="35" w:line="210" w:lineRule="auto"/>
              <w:rPr>
                <w:sz w:val="11"/>
                <w:szCs w:val="11"/>
              </w:rPr>
            </w:pPr>
            <w:r>
              <w:rPr>
                <w:sz w:val="11"/>
                <w:szCs w:val="11"/>
                <w:spacing w:val="-1"/>
              </w:rPr>
              <w:t>一，2-4月春芽萌发期进行复壮，施用春肥，补充肥力。补水</w:t>
            </w:r>
            <w:r>
              <w:rPr>
                <w:sz w:val="11"/>
                <w:szCs w:val="11"/>
                <w:spacing w:val="8"/>
              </w:rPr>
              <w:t xml:space="preserve"> </w:t>
            </w:r>
            <w:r>
              <w:rPr>
                <w:sz w:val="11"/>
                <w:szCs w:val="11"/>
                <w:spacing w:val="-2"/>
              </w:rPr>
              <w:t>、补生根剂。</w:t>
            </w:r>
          </w:p>
          <w:p>
            <w:pPr>
              <w:pStyle w:val="TableText"/>
              <w:ind w:left="11"/>
              <w:spacing w:before="9" w:line="202" w:lineRule="auto"/>
              <w:rPr>
                <w:sz w:val="11"/>
                <w:szCs w:val="11"/>
              </w:rPr>
            </w:pPr>
            <w:r>
              <w:rPr>
                <w:sz w:val="11"/>
                <w:szCs w:val="11"/>
                <w:spacing w:val="-2"/>
              </w:rPr>
              <w:t>二、11-112月施冬肥。</w:t>
            </w:r>
          </w:p>
          <w:p>
            <w:pPr>
              <w:pStyle w:val="TableText"/>
              <w:ind w:left="11"/>
              <w:spacing w:line="219" w:lineRule="auto"/>
              <w:rPr>
                <w:sz w:val="11"/>
                <w:szCs w:val="11"/>
              </w:rPr>
            </w:pPr>
            <w:r>
              <w:rPr>
                <w:sz w:val="11"/>
                <w:szCs w:val="11"/>
                <w:spacing w:val="-1"/>
              </w:rPr>
              <w:t>三、5-8月根据实际情况进行补水。</w:t>
            </w:r>
          </w:p>
        </w:tc>
        <w:tc>
          <w:tcPr>
            <w:tcW w:w="1219" w:type="dxa"/>
            <w:vAlign w:val="top"/>
            <w:tcBorders>
              <w:bottom w:val="single" w:color="000000" w:sz="2" w:space="0"/>
              <w:top w:val="single" w:color="000000" w:sz="2" w:space="0"/>
            </w:tcBorders>
          </w:tcPr>
          <w:p>
            <w:pPr>
              <w:pStyle w:val="TableText"/>
              <w:ind w:left="383"/>
              <w:spacing w:before="173" w:line="219" w:lineRule="auto"/>
              <w:rPr>
                <w:sz w:val="11"/>
                <w:szCs w:val="11"/>
              </w:rPr>
            </w:pPr>
            <w:r>
              <w:rPr>
                <w:sz w:val="11"/>
                <w:szCs w:val="11"/>
                <w:spacing w:val="-3"/>
              </w:rPr>
              <w:t>国光生跟</w:t>
            </w:r>
          </w:p>
        </w:tc>
        <w:tc>
          <w:tcPr>
            <w:tcW w:w="1819" w:type="dxa"/>
            <w:vAlign w:val="top"/>
            <w:tcBorders>
              <w:bottom w:val="single" w:color="000000" w:sz="2" w:space="0"/>
              <w:top w:val="single" w:color="000000" w:sz="2" w:space="0"/>
            </w:tcBorders>
          </w:tcPr>
          <w:p>
            <w:pPr>
              <w:pStyle w:val="TableText"/>
              <w:ind w:left="654"/>
              <w:spacing w:before="173" w:line="220" w:lineRule="auto"/>
              <w:rPr>
                <w:sz w:val="11"/>
                <w:szCs w:val="11"/>
              </w:rPr>
            </w:pPr>
            <w:r>
              <w:rPr>
                <w:sz w:val="11"/>
                <w:szCs w:val="11"/>
                <w:spacing w:val="-1"/>
              </w:rPr>
              <w:t>秦乙酸205</w:t>
            </w:r>
          </w:p>
        </w:tc>
        <w:tc>
          <w:tcPr>
            <w:tcW w:w="1589" w:type="dxa"/>
            <w:vAlign w:val="top"/>
            <w:tcBorders>
              <w:bottom w:val="single" w:color="000000" w:sz="2" w:space="0"/>
              <w:top w:val="single" w:color="000000" w:sz="2" w:space="0"/>
            </w:tcBorders>
          </w:tcPr>
          <w:p>
            <w:pPr>
              <w:pStyle w:val="TableText"/>
              <w:ind w:left="594"/>
              <w:spacing w:before="173" w:line="220" w:lineRule="auto"/>
              <w:rPr>
                <w:sz w:val="11"/>
                <w:szCs w:val="11"/>
              </w:rPr>
            </w:pPr>
            <w:r>
              <w:rPr>
                <w:sz w:val="11"/>
                <w:szCs w:val="11"/>
                <w:spacing w:val="-1"/>
              </w:rPr>
              <w:t>200倍液</w:t>
            </w:r>
          </w:p>
        </w:tc>
        <w:tc>
          <w:tcPr>
            <w:tcW w:w="1319" w:type="dxa"/>
            <w:vAlign w:val="top"/>
            <w:vMerge w:val="restart"/>
            <w:tcBorders>
              <w:bottom w:val="nil"/>
              <w:top w:val="single" w:color="000000" w:sz="2" w:space="0"/>
            </w:tcBorders>
          </w:tcPr>
          <w:p>
            <w:pPr>
              <w:spacing w:line="298" w:lineRule="auto"/>
              <w:rPr>
                <w:rFonts w:ascii="Arial"/>
                <w:sz w:val="21"/>
              </w:rPr>
            </w:pPr>
            <w:r/>
          </w:p>
          <w:p>
            <w:pPr>
              <w:spacing w:line="298" w:lineRule="auto"/>
              <w:rPr>
                <w:rFonts w:ascii="Arial"/>
                <w:sz w:val="21"/>
              </w:rPr>
            </w:pPr>
            <w:r/>
          </w:p>
          <w:p>
            <w:pPr>
              <w:pStyle w:val="TableText"/>
              <w:ind w:left="625"/>
              <w:spacing w:before="36" w:line="224" w:lineRule="auto"/>
              <w:rPr>
                <w:sz w:val="11"/>
                <w:szCs w:val="11"/>
              </w:rPr>
            </w:pPr>
            <w:r>
              <w:rPr>
                <w:sz w:val="11"/>
                <w:szCs w:val="11"/>
              </w:rPr>
              <w:t>/</w:t>
            </w:r>
          </w:p>
        </w:tc>
        <w:tc>
          <w:tcPr>
            <w:tcW w:w="669" w:type="dxa"/>
            <w:vAlign w:val="top"/>
            <w:tcBorders>
              <w:bottom w:val="single" w:color="000000" w:sz="2" w:space="0"/>
              <w:top w:val="single" w:color="000000" w:sz="2" w:space="0"/>
            </w:tcBorders>
          </w:tcPr>
          <w:p>
            <w:pPr>
              <w:pStyle w:val="TableText"/>
              <w:ind w:left="167"/>
              <w:spacing w:before="175" w:line="222" w:lineRule="auto"/>
              <w:rPr>
                <w:sz w:val="11"/>
                <w:szCs w:val="11"/>
              </w:rPr>
            </w:pPr>
            <w:r>
              <w:rPr>
                <w:sz w:val="11"/>
                <w:szCs w:val="11"/>
                <w:spacing w:val="-1"/>
              </w:rPr>
              <w:t>20z/袋</w:t>
            </w:r>
          </w:p>
        </w:tc>
        <w:tc>
          <w:tcPr>
            <w:tcW w:w="2573" w:type="dxa"/>
            <w:vAlign w:val="top"/>
            <w:tcBorders>
              <w:bottom w:val="single" w:color="000000" w:sz="2" w:space="0"/>
              <w:top w:val="single" w:color="000000" w:sz="2" w:space="0"/>
            </w:tcBorders>
          </w:tcPr>
          <w:p>
            <w:pPr>
              <w:pStyle w:val="TableText"/>
              <w:ind w:left="18"/>
              <w:spacing w:before="172" w:line="218" w:lineRule="auto"/>
              <w:rPr>
                <w:sz w:val="11"/>
                <w:szCs w:val="11"/>
              </w:rPr>
            </w:pPr>
            <w:r>
              <w:rPr>
                <w:sz w:val="11"/>
                <w:szCs w:val="11"/>
                <w:spacing w:val="-1"/>
              </w:rPr>
              <w:t>诱导爆发式生根浇灌</w:t>
            </w:r>
          </w:p>
        </w:tc>
      </w:tr>
      <w:tr>
        <w:trPr>
          <w:trHeight w:val="474" w:hRule="atLeast"/>
        </w:trPr>
        <w:tc>
          <w:tcPr>
            <w:tcW w:w="385" w:type="dxa"/>
            <w:vAlign w:val="top"/>
            <w:vMerge w:val="continue"/>
            <w:tcBorders>
              <w:bottom w:val="nil"/>
              <w:top w:val="nil"/>
            </w:tcBorders>
          </w:tcPr>
          <w:p>
            <w:pPr>
              <w:rPr>
                <w:rFonts w:ascii="Arial"/>
                <w:sz w:val="21"/>
              </w:rPr>
            </w:pPr>
            <w:r/>
          </w:p>
        </w:tc>
        <w:tc>
          <w:tcPr>
            <w:tcW w:w="50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918" w:type="dxa"/>
            <w:vAlign w:val="top"/>
            <w:vMerge w:val="continue"/>
            <w:tcBorders>
              <w:bottom w:val="nil"/>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323"/>
              <w:spacing w:before="183" w:line="219" w:lineRule="auto"/>
              <w:rPr>
                <w:sz w:val="11"/>
                <w:szCs w:val="11"/>
              </w:rPr>
            </w:pPr>
            <w:r>
              <w:rPr>
                <w:sz w:val="11"/>
                <w:szCs w:val="11"/>
                <w:spacing w:val="1"/>
              </w:rPr>
              <w:t>国光思它灵</w:t>
            </w:r>
          </w:p>
        </w:tc>
        <w:tc>
          <w:tcPr>
            <w:tcW w:w="1819" w:type="dxa"/>
            <w:vAlign w:val="top"/>
            <w:tcBorders>
              <w:bottom w:val="single" w:color="000000" w:sz="2" w:space="0"/>
              <w:top w:val="single" w:color="000000" w:sz="2" w:space="0"/>
            </w:tcBorders>
          </w:tcPr>
          <w:p>
            <w:pPr>
              <w:pStyle w:val="TableText"/>
              <w:ind w:left="544" w:right="29" w:hanging="520"/>
              <w:spacing w:before="124" w:line="236" w:lineRule="auto"/>
              <w:rPr>
                <w:sz w:val="11"/>
                <w:szCs w:val="11"/>
              </w:rPr>
            </w:pPr>
            <w:r>
              <w:rPr>
                <w:sz w:val="11"/>
                <w:szCs w:val="11"/>
                <w:spacing w:val="-1"/>
              </w:rPr>
              <w:t>氦基酸整合微肥、稀有元素大量元素</w:t>
            </w:r>
            <w:r>
              <w:rPr>
                <w:sz w:val="11"/>
                <w:szCs w:val="11"/>
                <w:spacing w:val="10"/>
              </w:rPr>
              <w:t xml:space="preserve"> </w:t>
            </w:r>
            <w:r>
              <w:rPr>
                <w:sz w:val="11"/>
                <w:szCs w:val="11"/>
                <w:spacing w:val="-1"/>
              </w:rPr>
              <w:t>肥，含量&gt;=12%</w:t>
            </w:r>
          </w:p>
        </w:tc>
        <w:tc>
          <w:tcPr>
            <w:tcW w:w="1589" w:type="dxa"/>
            <w:vAlign w:val="top"/>
            <w:tcBorders>
              <w:bottom w:val="single" w:color="000000" w:sz="2" w:space="0"/>
              <w:top w:val="single" w:color="000000" w:sz="2" w:space="0"/>
            </w:tcBorders>
          </w:tcPr>
          <w:p>
            <w:pPr>
              <w:pStyle w:val="TableText"/>
              <w:ind w:left="455"/>
              <w:spacing w:before="184" w:line="220" w:lineRule="auto"/>
              <w:rPr>
                <w:sz w:val="11"/>
                <w:szCs w:val="11"/>
              </w:rPr>
            </w:pPr>
            <w:r>
              <w:rPr>
                <w:sz w:val="11"/>
                <w:szCs w:val="11"/>
                <w:spacing w:val="-1"/>
              </w:rPr>
              <w:t>800-1060倍液</w:t>
            </w:r>
          </w:p>
        </w:tc>
        <w:tc>
          <w:tcPr>
            <w:tcW w:w="1319" w:type="dxa"/>
            <w:vAlign w:val="top"/>
            <w:vMerge w:val="continue"/>
            <w:tcBorders>
              <w:bottom w:val="nil"/>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37"/>
              <w:spacing w:before="180" w:line="213" w:lineRule="auto"/>
              <w:rPr>
                <w:sz w:val="11"/>
                <w:szCs w:val="11"/>
              </w:rPr>
            </w:pPr>
            <w:r>
              <w:rPr>
                <w:sz w:val="11"/>
                <w:szCs w:val="11"/>
                <w:spacing w:val="-1"/>
              </w:rPr>
              <w:t>500g/瓶</w:t>
            </w:r>
          </w:p>
        </w:tc>
        <w:tc>
          <w:tcPr>
            <w:tcW w:w="2573" w:type="dxa"/>
            <w:vAlign w:val="top"/>
            <w:tcBorders>
              <w:bottom w:val="single" w:color="000000" w:sz="2" w:space="0"/>
              <w:top w:val="single" w:color="000000" w:sz="2" w:space="0"/>
            </w:tcBorders>
          </w:tcPr>
          <w:p>
            <w:pPr>
              <w:pStyle w:val="TableText"/>
              <w:ind w:left="18"/>
              <w:spacing w:before="52" w:line="220" w:lineRule="auto"/>
              <w:jc w:val="both"/>
              <w:rPr>
                <w:sz w:val="11"/>
                <w:szCs w:val="11"/>
              </w:rPr>
            </w:pPr>
            <w:r>
              <w:rPr>
                <w:sz w:val="11"/>
                <w:szCs w:val="11"/>
                <w:spacing w:val="-4"/>
              </w:rPr>
              <w:t>嗜酒西液时，要确保叶片背面、枝干上喷匀。以喷温不</w:t>
            </w:r>
            <w:r>
              <w:rPr>
                <w:sz w:val="11"/>
                <w:szCs w:val="11"/>
              </w:rPr>
              <w:t xml:space="preserve"> </w:t>
            </w:r>
            <w:r>
              <w:rPr>
                <w:sz w:val="11"/>
                <w:szCs w:val="11"/>
                <w:spacing w:val="-4"/>
              </w:rPr>
              <w:t>滴水为宜。隔10天再喷一次效果更好。结合其怕养护措</w:t>
            </w:r>
            <w:r>
              <w:rPr>
                <w:sz w:val="11"/>
                <w:szCs w:val="11"/>
                <w:spacing w:val="3"/>
              </w:rPr>
              <w:t xml:space="preserve"> </w:t>
            </w:r>
            <w:r>
              <w:rPr>
                <w:sz w:val="11"/>
                <w:szCs w:val="11"/>
              </w:rPr>
              <w:t>施，如避阴、适时浇灌和修前等。</w:t>
            </w:r>
          </w:p>
        </w:tc>
      </w:tr>
      <w:tr>
        <w:trPr>
          <w:trHeight w:val="439" w:hRule="atLeast"/>
        </w:trPr>
        <w:tc>
          <w:tcPr>
            <w:tcW w:w="385" w:type="dxa"/>
            <w:vAlign w:val="top"/>
            <w:vMerge w:val="continue"/>
            <w:tcBorders>
              <w:bottom w:val="single" w:color="000000" w:sz="2" w:space="0"/>
              <w:top w:val="nil"/>
            </w:tcBorders>
          </w:tcPr>
          <w:p>
            <w:pPr>
              <w:rPr>
                <w:rFonts w:ascii="Arial"/>
                <w:sz w:val="21"/>
              </w:rPr>
            </w:pPr>
            <w:r/>
          </w:p>
        </w:tc>
        <w:tc>
          <w:tcPr>
            <w:tcW w:w="50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918" w:type="dxa"/>
            <w:vAlign w:val="top"/>
            <w:vMerge w:val="continue"/>
            <w:tcBorders>
              <w:bottom w:val="single" w:color="000000" w:sz="2" w:space="0"/>
              <w:top w:val="nil"/>
            </w:tcBorders>
          </w:tcPr>
          <w:p>
            <w:pPr>
              <w:rPr>
                <w:rFonts w:ascii="Arial"/>
                <w:sz w:val="21"/>
              </w:rPr>
            </w:pPr>
            <w:r/>
          </w:p>
        </w:tc>
        <w:tc>
          <w:tcPr>
            <w:tcW w:w="1219" w:type="dxa"/>
            <w:vAlign w:val="top"/>
            <w:tcBorders>
              <w:bottom w:val="single" w:color="000000" w:sz="2" w:space="0"/>
              <w:top w:val="single" w:color="000000" w:sz="2" w:space="0"/>
            </w:tcBorders>
          </w:tcPr>
          <w:p>
            <w:pPr>
              <w:pStyle w:val="TableText"/>
              <w:ind w:left="433"/>
              <w:spacing w:before="164" w:line="220" w:lineRule="auto"/>
              <w:rPr>
                <w:sz w:val="11"/>
                <w:szCs w:val="11"/>
              </w:rPr>
            </w:pPr>
            <w:r>
              <w:rPr>
                <w:sz w:val="11"/>
                <w:szCs w:val="11"/>
                <w:spacing w:val="-3"/>
              </w:rPr>
              <w:t>一露绿</w:t>
            </w:r>
          </w:p>
        </w:tc>
        <w:tc>
          <w:tcPr>
            <w:tcW w:w="1819" w:type="dxa"/>
            <w:vAlign w:val="top"/>
            <w:tcBorders>
              <w:bottom w:val="single" w:color="000000" w:sz="2" w:space="0"/>
              <w:top w:val="single" w:color="000000" w:sz="2" w:space="0"/>
            </w:tcBorders>
          </w:tcPr>
          <w:p>
            <w:pPr>
              <w:pStyle w:val="TableText"/>
              <w:ind w:left="514" w:right="30" w:hanging="490"/>
              <w:spacing w:before="114" w:line="210" w:lineRule="auto"/>
              <w:rPr>
                <w:sz w:val="11"/>
                <w:szCs w:val="11"/>
              </w:rPr>
            </w:pPr>
            <w:r>
              <w:rPr>
                <w:sz w:val="11"/>
                <w:szCs w:val="11"/>
                <w:spacing w:val="-1"/>
              </w:rPr>
              <w:t>生根诱导因子、核世酸、氮、磷、钾</w:t>
            </w:r>
            <w:r>
              <w:rPr>
                <w:sz w:val="11"/>
                <w:szCs w:val="11"/>
                <w:spacing w:val="9"/>
              </w:rPr>
              <w:t xml:space="preserve"> </w:t>
            </w:r>
            <w:r>
              <w:rPr>
                <w:sz w:val="11"/>
                <w:szCs w:val="11"/>
                <w:spacing w:val="-1"/>
              </w:rPr>
              <w:t>及多种微量元素</w:t>
            </w:r>
          </w:p>
        </w:tc>
        <w:tc>
          <w:tcPr>
            <w:tcW w:w="1589" w:type="dxa"/>
            <w:vAlign w:val="top"/>
            <w:tcBorders>
              <w:bottom w:val="single" w:color="000000" w:sz="2" w:space="0"/>
              <w:top w:val="single" w:color="000000" w:sz="2" w:space="0"/>
            </w:tcBorders>
          </w:tcPr>
          <w:p>
            <w:pPr>
              <w:pStyle w:val="TableText"/>
              <w:ind w:left="455"/>
              <w:spacing w:before="164" w:line="220" w:lineRule="auto"/>
              <w:rPr>
                <w:sz w:val="11"/>
                <w:szCs w:val="11"/>
              </w:rPr>
            </w:pPr>
            <w:r>
              <w:rPr>
                <w:sz w:val="11"/>
                <w:szCs w:val="11"/>
                <w:spacing w:val="-1"/>
              </w:rPr>
              <w:t>800-1000倍液</w:t>
            </w:r>
          </w:p>
        </w:tc>
        <w:tc>
          <w:tcPr>
            <w:tcW w:w="1319" w:type="dxa"/>
            <w:vAlign w:val="top"/>
            <w:vMerge w:val="continue"/>
            <w:tcBorders>
              <w:bottom w:val="single" w:color="000000" w:sz="2" w:space="0"/>
              <w:top w:val="nil"/>
            </w:tcBorders>
          </w:tcPr>
          <w:p>
            <w:pPr>
              <w:rPr>
                <w:rFonts w:ascii="Arial"/>
                <w:sz w:val="21"/>
              </w:rPr>
            </w:pPr>
            <w:r/>
          </w:p>
        </w:tc>
        <w:tc>
          <w:tcPr>
            <w:tcW w:w="669" w:type="dxa"/>
            <w:vAlign w:val="top"/>
            <w:tcBorders>
              <w:bottom w:val="single" w:color="000000" w:sz="2" w:space="0"/>
              <w:top w:val="single" w:color="000000" w:sz="2" w:space="0"/>
            </w:tcBorders>
          </w:tcPr>
          <w:p>
            <w:pPr>
              <w:pStyle w:val="TableText"/>
              <w:ind w:left="137"/>
              <w:spacing w:before="161" w:line="213" w:lineRule="auto"/>
              <w:rPr>
                <w:sz w:val="11"/>
                <w:szCs w:val="11"/>
              </w:rPr>
            </w:pPr>
            <w:r>
              <w:rPr>
                <w:sz w:val="11"/>
                <w:szCs w:val="11"/>
                <w:spacing w:val="-1"/>
              </w:rPr>
              <w:t>500g/瓶</w:t>
            </w:r>
          </w:p>
        </w:tc>
        <w:tc>
          <w:tcPr>
            <w:tcW w:w="2573" w:type="dxa"/>
            <w:vAlign w:val="top"/>
            <w:tcBorders>
              <w:bottom w:val="single" w:color="000000" w:sz="2" w:space="0"/>
              <w:top w:val="single" w:color="000000" w:sz="2" w:space="0"/>
            </w:tcBorders>
          </w:tcPr>
          <w:p>
            <w:pPr>
              <w:pStyle w:val="TableText"/>
              <w:spacing w:before="164" w:line="219" w:lineRule="auto"/>
              <w:jc w:val="right"/>
              <w:rPr>
                <w:sz w:val="11"/>
                <w:szCs w:val="11"/>
              </w:rPr>
            </w:pPr>
            <w:r>
              <w:rPr>
                <w:sz w:val="11"/>
                <w:szCs w:val="11"/>
                <w:spacing w:val="-1"/>
              </w:rPr>
              <w:t>补充营养增强抗病抗抗早等抗逆能力，达到持久增绿</w:t>
            </w:r>
          </w:p>
        </w:tc>
      </w:tr>
    </w:tbl>
    <w:p>
      <w:pPr>
        <w:spacing w:line="14" w:lineRule="auto"/>
        <w:rPr>
          <w:rFonts w:ascii="Arial"/>
          <w:sz w:val="2"/>
        </w:rPr>
      </w:pPr>
      <w:r/>
    </w:p>
    <w:p>
      <w:pPr>
        <w:spacing w:line="14" w:lineRule="auto"/>
        <w:sectPr>
          <w:pgSz w:w="14490" w:h="10240"/>
          <w:pgMar w:top="115" w:right="294" w:bottom="315" w:left="234" w:header="0" w:footer="0" w:gutter="0"/>
        </w:sectPr>
        <w:rPr>
          <w:rFonts w:ascii="Arial" w:hAnsi="Arial" w:eastAsia="Arial" w:cs="Arial"/>
          <w:sz w:val="2"/>
          <w:szCs w:val="2"/>
        </w:rPr>
      </w:pPr>
    </w:p>
    <w:tbl>
      <w:tblPr>
        <w:tblStyle w:val="TableNormal"/>
        <w:tblW w:w="139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5"/>
        <w:gridCol w:w="510"/>
        <w:gridCol w:w="949"/>
        <w:gridCol w:w="2918"/>
        <w:gridCol w:w="1199"/>
        <w:gridCol w:w="1829"/>
        <w:gridCol w:w="1599"/>
        <w:gridCol w:w="1329"/>
        <w:gridCol w:w="679"/>
        <w:gridCol w:w="2563"/>
      </w:tblGrid>
      <w:tr>
        <w:trPr>
          <w:trHeight w:val="474" w:hRule="atLeast"/>
        </w:trPr>
        <w:tc>
          <w:tcPr>
            <w:tcW w:w="385" w:type="dxa"/>
            <w:vAlign w:val="top"/>
          </w:tcPr>
          <w:p>
            <w:pPr>
              <w:pStyle w:val="TableText"/>
              <w:ind w:left="66"/>
              <w:spacing w:before="178" w:line="219" w:lineRule="auto"/>
              <w:rPr>
                <w:sz w:val="12"/>
                <w:szCs w:val="12"/>
              </w:rPr>
            </w:pPr>
            <w:r>
              <w:rPr>
                <w:sz w:val="12"/>
                <w:szCs w:val="12"/>
                <w:b/>
                <w:bCs/>
                <w:spacing w:val="-3"/>
              </w:rPr>
              <w:t>分类</w:t>
            </w:r>
          </w:p>
        </w:tc>
        <w:tc>
          <w:tcPr>
            <w:tcW w:w="510" w:type="dxa"/>
            <w:vAlign w:val="top"/>
          </w:tcPr>
          <w:p>
            <w:pPr>
              <w:pStyle w:val="TableText"/>
              <w:ind w:left="1"/>
              <w:spacing w:before="47" w:line="201" w:lineRule="auto"/>
              <w:rPr>
                <w:sz w:val="12"/>
                <w:szCs w:val="12"/>
              </w:rPr>
            </w:pPr>
            <w:r>
              <w:rPr>
                <w:sz w:val="12"/>
                <w:szCs w:val="12"/>
                <w:b/>
                <w:bCs/>
                <w:spacing w:val="-3"/>
              </w:rPr>
              <w:t>消杀预防</w:t>
            </w:r>
          </w:p>
          <w:p>
            <w:pPr>
              <w:pStyle w:val="TableText"/>
              <w:ind w:right="1"/>
              <w:spacing w:line="199" w:lineRule="auto"/>
              <w:jc w:val="right"/>
              <w:rPr>
                <w:sz w:val="12"/>
                <w:szCs w:val="12"/>
              </w:rPr>
            </w:pPr>
            <w:r>
              <w:rPr>
                <w:sz w:val="12"/>
                <w:szCs w:val="12"/>
                <w:b/>
                <w:bCs/>
                <w:spacing w:val="-3"/>
              </w:rPr>
              <w:t>及病虫害</w:t>
            </w:r>
          </w:p>
          <w:p>
            <w:pPr>
              <w:pStyle w:val="TableText"/>
              <w:ind w:left="121"/>
              <w:spacing w:line="219" w:lineRule="auto"/>
              <w:rPr>
                <w:sz w:val="12"/>
                <w:szCs w:val="12"/>
              </w:rPr>
            </w:pPr>
            <w:r>
              <w:rPr>
                <w:sz w:val="12"/>
                <w:szCs w:val="12"/>
                <w:b/>
                <w:bCs/>
                <w:spacing w:val="-3"/>
              </w:rPr>
              <w:t>分类</w:t>
            </w:r>
          </w:p>
        </w:tc>
        <w:tc>
          <w:tcPr>
            <w:tcW w:w="949" w:type="dxa"/>
            <w:vAlign w:val="top"/>
          </w:tcPr>
          <w:p>
            <w:pPr>
              <w:pStyle w:val="TableText"/>
              <w:ind w:left="161"/>
              <w:spacing w:before="178" w:line="219" w:lineRule="auto"/>
              <w:rPr>
                <w:sz w:val="12"/>
                <w:szCs w:val="12"/>
              </w:rPr>
            </w:pPr>
            <w:r>
              <w:rPr>
                <w:sz w:val="12"/>
                <w:szCs w:val="12"/>
                <w:b/>
                <w:bCs/>
                <w:spacing w:val="-3"/>
              </w:rPr>
              <w:t>常见病虫害</w:t>
            </w:r>
          </w:p>
        </w:tc>
        <w:tc>
          <w:tcPr>
            <w:tcW w:w="2918" w:type="dxa"/>
            <w:vAlign w:val="top"/>
          </w:tcPr>
          <w:p>
            <w:pPr>
              <w:pStyle w:val="TableText"/>
              <w:ind w:left="1132"/>
              <w:spacing w:before="178" w:line="219" w:lineRule="auto"/>
              <w:rPr>
                <w:sz w:val="12"/>
                <w:szCs w:val="12"/>
              </w:rPr>
            </w:pPr>
            <w:r>
              <w:rPr>
                <w:sz w:val="12"/>
                <w:szCs w:val="12"/>
                <w:b/>
                <w:bCs/>
                <w:spacing w:val="-3"/>
              </w:rPr>
              <w:t>主要发病月份</w:t>
            </w:r>
          </w:p>
        </w:tc>
        <w:tc>
          <w:tcPr>
            <w:tcW w:w="1199" w:type="dxa"/>
            <w:vAlign w:val="top"/>
          </w:tcPr>
          <w:p>
            <w:pPr>
              <w:pStyle w:val="TableText"/>
              <w:ind w:left="354"/>
              <w:spacing w:before="178" w:line="220" w:lineRule="auto"/>
              <w:rPr>
                <w:sz w:val="12"/>
                <w:szCs w:val="12"/>
              </w:rPr>
            </w:pPr>
            <w:r>
              <w:rPr>
                <w:sz w:val="12"/>
                <w:szCs w:val="12"/>
                <w:b/>
                <w:bCs/>
                <w:spacing w:val="-3"/>
              </w:rPr>
              <w:t>药品名称</w:t>
            </w:r>
          </w:p>
        </w:tc>
        <w:tc>
          <w:tcPr>
            <w:tcW w:w="1829" w:type="dxa"/>
            <w:vAlign w:val="top"/>
          </w:tcPr>
          <w:p>
            <w:pPr>
              <w:pStyle w:val="TableText"/>
              <w:ind w:left="665"/>
              <w:spacing w:before="178" w:line="220" w:lineRule="auto"/>
              <w:rPr>
                <w:sz w:val="12"/>
                <w:szCs w:val="12"/>
              </w:rPr>
            </w:pPr>
            <w:r>
              <w:rPr>
                <w:sz w:val="12"/>
                <w:szCs w:val="12"/>
                <w:b/>
                <w:bCs/>
                <w:spacing w:val="-3"/>
              </w:rPr>
              <w:t>主要成分</w:t>
            </w:r>
          </w:p>
        </w:tc>
        <w:tc>
          <w:tcPr>
            <w:tcW w:w="1599" w:type="dxa"/>
            <w:vAlign w:val="top"/>
          </w:tcPr>
          <w:p>
            <w:pPr>
              <w:pStyle w:val="TableText"/>
              <w:ind w:left="556"/>
              <w:spacing w:before="178" w:line="219" w:lineRule="auto"/>
              <w:rPr>
                <w:sz w:val="12"/>
                <w:szCs w:val="12"/>
              </w:rPr>
            </w:pPr>
            <w:r>
              <w:rPr>
                <w:sz w:val="12"/>
                <w:szCs w:val="12"/>
                <w:b/>
                <w:bCs/>
                <w:spacing w:val="-3"/>
              </w:rPr>
              <w:t>使用倍率</w:t>
            </w:r>
          </w:p>
        </w:tc>
        <w:tc>
          <w:tcPr>
            <w:tcW w:w="1329" w:type="dxa"/>
            <w:vAlign w:val="top"/>
          </w:tcPr>
          <w:p>
            <w:pPr>
              <w:pStyle w:val="TableText"/>
              <w:ind w:left="417"/>
              <w:spacing w:before="178" w:line="219" w:lineRule="auto"/>
              <w:rPr>
                <w:sz w:val="12"/>
                <w:szCs w:val="12"/>
              </w:rPr>
            </w:pPr>
            <w:r>
              <w:rPr>
                <w:sz w:val="12"/>
                <w:szCs w:val="12"/>
                <w:b/>
                <w:bCs/>
                <w:spacing w:val="-3"/>
              </w:rPr>
              <w:t>施用次数</w:t>
            </w:r>
          </w:p>
        </w:tc>
        <w:tc>
          <w:tcPr>
            <w:tcW w:w="679" w:type="dxa"/>
            <w:vAlign w:val="top"/>
          </w:tcPr>
          <w:p>
            <w:pPr>
              <w:pStyle w:val="TableText"/>
              <w:ind w:left="218"/>
              <w:spacing w:before="178" w:line="219" w:lineRule="auto"/>
              <w:rPr>
                <w:sz w:val="12"/>
                <w:szCs w:val="12"/>
              </w:rPr>
            </w:pPr>
            <w:r>
              <w:rPr>
                <w:sz w:val="12"/>
                <w:szCs w:val="12"/>
                <w:b/>
                <w:bCs/>
                <w:spacing w:val="-3"/>
              </w:rPr>
              <w:t>规格</w:t>
            </w:r>
          </w:p>
        </w:tc>
        <w:tc>
          <w:tcPr>
            <w:tcW w:w="2563" w:type="dxa"/>
            <w:vAlign w:val="top"/>
          </w:tcPr>
          <w:p>
            <w:pPr>
              <w:pStyle w:val="TableText"/>
              <w:ind w:left="1179"/>
              <w:spacing w:before="178" w:line="221" w:lineRule="auto"/>
              <w:rPr>
                <w:sz w:val="12"/>
                <w:szCs w:val="12"/>
              </w:rPr>
            </w:pPr>
            <w:r>
              <w:rPr>
                <w:sz w:val="12"/>
                <w:szCs w:val="12"/>
                <w:b/>
                <w:bCs/>
                <w:spacing w:val="-3"/>
              </w:rPr>
              <w:t>备注</w:t>
            </w:r>
          </w:p>
        </w:tc>
      </w:tr>
      <w:tr>
        <w:trPr>
          <w:trHeight w:val="450" w:hRule="atLeast"/>
        </w:trPr>
        <w:tc>
          <w:tcPr>
            <w:tcW w:w="385"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4" w:right="5"/>
              <w:spacing w:before="39" w:line="224" w:lineRule="auto"/>
              <w:jc w:val="both"/>
              <w:rPr>
                <w:sz w:val="12"/>
                <w:szCs w:val="12"/>
              </w:rPr>
            </w:pPr>
            <w:r>
              <w:rPr>
                <w:sz w:val="12"/>
                <w:szCs w:val="12"/>
                <w:spacing w:val="-3"/>
              </w:rPr>
              <w:t>营养刻</w:t>
            </w:r>
            <w:r>
              <w:rPr>
                <w:sz w:val="12"/>
                <w:szCs w:val="12"/>
              </w:rPr>
              <w:t xml:space="preserve"> </w:t>
            </w:r>
            <w:r>
              <w:rPr>
                <w:sz w:val="12"/>
                <w:szCs w:val="12"/>
                <w:spacing w:val="-2"/>
              </w:rPr>
              <w:t>肥料/</w:t>
            </w:r>
            <w:r>
              <w:rPr>
                <w:sz w:val="12"/>
                <w:szCs w:val="12"/>
              </w:rPr>
              <w:t xml:space="preserve">  </w:t>
            </w:r>
            <w:r>
              <w:rPr>
                <w:sz w:val="12"/>
                <w:szCs w:val="12"/>
                <w:spacing w:val="-2"/>
              </w:rPr>
              <w:t>调节剂</w:t>
            </w:r>
          </w:p>
        </w:tc>
        <w:tc>
          <w:tcPr>
            <w:tcW w:w="510"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spacing w:before="39" w:line="219" w:lineRule="auto"/>
              <w:rPr>
                <w:sz w:val="12"/>
                <w:szCs w:val="12"/>
              </w:rPr>
            </w:pPr>
            <w:r>
              <w:rPr>
                <w:sz w:val="12"/>
                <w:szCs w:val="12"/>
                <w:spacing w:val="-1"/>
              </w:rPr>
              <w:t>树木复壮</w:t>
            </w:r>
          </w:p>
        </w:tc>
        <w:tc>
          <w:tcPr>
            <w:tcW w:w="949"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spacing w:before="39" w:line="200" w:lineRule="auto"/>
              <w:jc w:val="right"/>
              <w:rPr>
                <w:sz w:val="12"/>
                <w:szCs w:val="12"/>
              </w:rPr>
            </w:pPr>
            <w:r>
              <w:rPr>
                <w:sz w:val="12"/>
                <w:szCs w:val="12"/>
                <w:spacing w:val="-5"/>
              </w:rPr>
              <w:t>树木长势弱，白顶</w:t>
            </w:r>
          </w:p>
          <w:p>
            <w:pPr>
              <w:pStyle w:val="TableText"/>
              <w:ind w:left="40"/>
              <w:spacing w:line="215" w:lineRule="auto"/>
              <w:rPr>
                <w:sz w:val="12"/>
                <w:szCs w:val="12"/>
              </w:rPr>
            </w:pPr>
            <w:r>
              <w:rPr>
                <w:sz w:val="12"/>
                <w:szCs w:val="12"/>
                <w:spacing w:val="-1"/>
              </w:rPr>
              <w:t>部向下有枯黄现</w:t>
            </w:r>
          </w:p>
          <w:p>
            <w:pPr>
              <w:pStyle w:val="TableText"/>
              <w:spacing w:line="200" w:lineRule="auto"/>
              <w:jc w:val="right"/>
              <w:rPr>
                <w:sz w:val="12"/>
                <w:szCs w:val="12"/>
              </w:rPr>
            </w:pPr>
            <w:r>
              <w:rPr>
                <w:sz w:val="12"/>
                <w:szCs w:val="12"/>
                <w:spacing w:val="-5"/>
              </w:rPr>
              <w:t>象，或高大乔木及</w:t>
            </w:r>
          </w:p>
          <w:p>
            <w:pPr>
              <w:pStyle w:val="TableText"/>
              <w:ind w:left="220"/>
              <w:spacing w:line="219" w:lineRule="auto"/>
              <w:rPr>
                <w:sz w:val="12"/>
                <w:szCs w:val="12"/>
              </w:rPr>
            </w:pPr>
            <w:r>
              <w:rPr>
                <w:sz w:val="12"/>
                <w:szCs w:val="12"/>
                <w:spacing w:val="-1"/>
              </w:rPr>
              <w:t>黄重树木</w:t>
            </w:r>
          </w:p>
        </w:tc>
        <w:tc>
          <w:tcPr>
            <w:tcW w:w="2918"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pStyle w:val="TableText"/>
              <w:ind w:left="11" w:right="1"/>
              <w:spacing w:before="39" w:line="200" w:lineRule="auto"/>
              <w:rPr>
                <w:sz w:val="12"/>
                <w:szCs w:val="12"/>
              </w:rPr>
            </w:pPr>
            <w:r>
              <w:rPr>
                <w:sz w:val="12"/>
                <w:szCs w:val="12"/>
                <w:spacing w:val="-11"/>
              </w:rPr>
              <w:t>一、2</w:t>
            </w:r>
            <w:r>
              <w:rPr>
                <w:sz w:val="12"/>
                <w:szCs w:val="12"/>
                <w:spacing w:val="-10"/>
              </w:rPr>
              <w:t>-4月春芽萌发期进行复壮，施用春肥，补</w:t>
            </w:r>
            <w:r>
              <w:rPr>
                <w:sz w:val="12"/>
                <w:szCs w:val="12"/>
                <w:spacing w:val="-11"/>
              </w:rPr>
              <w:t>充肥力。补</w:t>
            </w:r>
            <w:r>
              <w:rPr>
                <w:sz w:val="12"/>
                <w:szCs w:val="12"/>
                <w:spacing w:val="-8"/>
              </w:rPr>
              <w:t>水</w:t>
            </w:r>
            <w:r>
              <w:rPr>
                <w:sz w:val="12"/>
                <w:szCs w:val="12"/>
              </w:rPr>
              <w:t xml:space="preserve"> </w:t>
            </w:r>
            <w:r>
              <w:rPr>
                <w:sz w:val="12"/>
                <w:szCs w:val="12"/>
              </w:rPr>
              <w:t>、补生根剂。</w:t>
            </w:r>
          </w:p>
          <w:p>
            <w:pPr>
              <w:pStyle w:val="TableText"/>
              <w:ind w:left="11"/>
              <w:spacing w:line="200" w:lineRule="auto"/>
              <w:rPr>
                <w:sz w:val="12"/>
                <w:szCs w:val="12"/>
              </w:rPr>
            </w:pPr>
            <w:r>
              <w:rPr>
                <w:sz w:val="12"/>
                <w:szCs w:val="12"/>
              </w:rPr>
              <w:t>二、11-112月施冬肥。</w:t>
            </w:r>
          </w:p>
          <w:p>
            <w:pPr>
              <w:pStyle w:val="TableText"/>
              <w:ind w:left="11"/>
              <w:spacing w:line="219" w:lineRule="auto"/>
              <w:rPr>
                <w:sz w:val="12"/>
                <w:szCs w:val="12"/>
              </w:rPr>
            </w:pPr>
            <w:r>
              <w:rPr>
                <w:sz w:val="12"/>
                <w:szCs w:val="12"/>
                <w:spacing w:val="-1"/>
              </w:rPr>
              <w:t>三、5-8月根据实际情况进行补水。</w:t>
            </w:r>
          </w:p>
        </w:tc>
        <w:tc>
          <w:tcPr>
            <w:tcW w:w="1199" w:type="dxa"/>
            <w:vAlign w:val="top"/>
          </w:tcPr>
          <w:p>
            <w:pPr>
              <w:pStyle w:val="TableText"/>
              <w:ind w:left="263"/>
              <w:spacing w:before="165" w:line="219" w:lineRule="auto"/>
              <w:rPr>
                <w:sz w:val="12"/>
                <w:szCs w:val="12"/>
              </w:rPr>
            </w:pPr>
            <w:r>
              <w:rPr>
                <w:sz w:val="12"/>
                <w:szCs w:val="12"/>
                <w:spacing w:val="1"/>
              </w:rPr>
              <w:t>国光动力2号</w:t>
            </w:r>
          </w:p>
        </w:tc>
        <w:tc>
          <w:tcPr>
            <w:tcW w:w="1829" w:type="dxa"/>
            <w:vAlign w:val="top"/>
          </w:tcPr>
          <w:p>
            <w:pPr>
              <w:pStyle w:val="TableText"/>
              <w:ind w:left="273"/>
              <w:spacing w:before="165" w:line="219" w:lineRule="auto"/>
              <w:rPr>
                <w:sz w:val="12"/>
                <w:szCs w:val="12"/>
              </w:rPr>
            </w:pPr>
            <w:r>
              <w:rPr>
                <w:sz w:val="12"/>
                <w:szCs w:val="12"/>
                <w:spacing w:val="-2"/>
              </w:rPr>
              <w:t>13%含氯基酸水溶肥(钙》</w:t>
            </w:r>
          </w:p>
        </w:tc>
        <w:tc>
          <w:tcPr>
            <w:tcW w:w="1599" w:type="dxa"/>
            <w:vAlign w:val="top"/>
          </w:tcPr>
          <w:p>
            <w:pPr>
              <w:pStyle w:val="TableText"/>
              <w:ind w:left="435"/>
              <w:spacing w:before="166" w:line="220" w:lineRule="auto"/>
              <w:rPr>
                <w:sz w:val="12"/>
                <w:szCs w:val="12"/>
              </w:rPr>
            </w:pPr>
            <w:r>
              <w:rPr>
                <w:sz w:val="12"/>
                <w:szCs w:val="12"/>
                <w:spacing w:val="-1"/>
              </w:rPr>
              <w:t>800-1000倍液</w:t>
            </w:r>
          </w:p>
        </w:tc>
        <w:tc>
          <w:tcPr>
            <w:tcW w:w="1329" w:type="dxa"/>
            <w:vAlign w:val="top"/>
            <w:vMerge w:val="restart"/>
            <w:tcBorders>
              <w:bottom w:val="nil"/>
            </w:tcBorders>
          </w:tcPr>
          <w:p>
            <w:pPr>
              <w:rPr>
                <w:rFonts w:ascii="Arial"/>
                <w:sz w:val="21"/>
              </w:rPr>
            </w:pPr>
            <w:r/>
          </w:p>
        </w:tc>
        <w:tc>
          <w:tcPr>
            <w:tcW w:w="679" w:type="dxa"/>
            <w:vAlign w:val="top"/>
          </w:tcPr>
          <w:p>
            <w:pPr>
              <w:pStyle w:val="TableText"/>
              <w:ind w:left="187"/>
              <w:spacing w:before="166" w:line="221" w:lineRule="auto"/>
              <w:rPr>
                <w:sz w:val="12"/>
                <w:szCs w:val="12"/>
              </w:rPr>
            </w:pPr>
            <w:r>
              <w:rPr>
                <w:sz w:val="12"/>
                <w:szCs w:val="12"/>
                <w:spacing w:val="-3"/>
              </w:rPr>
              <w:t>1L/瓶</w:t>
            </w:r>
          </w:p>
        </w:tc>
        <w:tc>
          <w:tcPr>
            <w:tcW w:w="2563" w:type="dxa"/>
            <w:vAlign w:val="top"/>
          </w:tcPr>
          <w:p>
            <w:pPr>
              <w:pStyle w:val="TableText"/>
              <w:ind w:left="18"/>
              <w:spacing w:before="165" w:line="219" w:lineRule="auto"/>
              <w:rPr>
                <w:sz w:val="12"/>
                <w:szCs w:val="12"/>
              </w:rPr>
            </w:pPr>
            <w:r>
              <w:rPr>
                <w:sz w:val="12"/>
                <w:szCs w:val="12"/>
                <w:spacing w:val="-1"/>
              </w:rPr>
              <w:t>诱导树木快速生根，提高移栽域活率</w:t>
            </w:r>
          </w:p>
        </w:tc>
      </w:tr>
      <w:tr>
        <w:trPr>
          <w:trHeight w:val="43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293"/>
              <w:spacing w:before="156" w:line="220" w:lineRule="auto"/>
              <w:rPr>
                <w:sz w:val="12"/>
                <w:szCs w:val="12"/>
              </w:rPr>
            </w:pPr>
            <w:r>
              <w:rPr>
                <w:sz w:val="12"/>
                <w:szCs w:val="12"/>
                <w:spacing w:val="1"/>
              </w:rPr>
              <w:t>中威生根波</w:t>
            </w:r>
          </w:p>
        </w:tc>
        <w:tc>
          <w:tcPr>
            <w:tcW w:w="1829" w:type="dxa"/>
            <w:vAlign w:val="top"/>
          </w:tcPr>
          <w:p>
            <w:pPr>
              <w:pStyle w:val="TableText"/>
              <w:ind w:left="334"/>
              <w:spacing w:before="156" w:line="220" w:lineRule="auto"/>
              <w:rPr>
                <w:sz w:val="12"/>
                <w:szCs w:val="12"/>
              </w:rPr>
            </w:pPr>
            <w:r>
              <w:rPr>
                <w:sz w:val="12"/>
                <w:szCs w:val="12"/>
                <w:spacing w:val="-1"/>
              </w:rPr>
              <w:t>黎乙酸、吲噪乙酸10%</w:t>
            </w:r>
          </w:p>
        </w:tc>
        <w:tc>
          <w:tcPr>
            <w:tcW w:w="1599" w:type="dxa"/>
            <w:vAlign w:val="top"/>
          </w:tcPr>
          <w:p>
            <w:pPr>
              <w:pStyle w:val="TableText"/>
              <w:ind w:left="465"/>
              <w:spacing w:before="156" w:line="220" w:lineRule="auto"/>
              <w:rPr>
                <w:sz w:val="12"/>
                <w:szCs w:val="12"/>
              </w:rPr>
            </w:pPr>
            <w:r>
              <w:rPr>
                <w:sz w:val="12"/>
                <w:szCs w:val="12"/>
                <w:spacing w:val="-1"/>
              </w:rPr>
              <w:t>300-500倍液</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ind w:left="157"/>
              <w:spacing w:before="151" w:line="214" w:lineRule="auto"/>
              <w:rPr>
                <w:sz w:val="12"/>
                <w:szCs w:val="12"/>
              </w:rPr>
            </w:pPr>
            <w:r>
              <w:rPr>
                <w:sz w:val="12"/>
                <w:szCs w:val="12"/>
                <w:spacing w:val="-1"/>
              </w:rPr>
              <w:t>4kg/桶</w:t>
            </w:r>
          </w:p>
        </w:tc>
        <w:tc>
          <w:tcPr>
            <w:tcW w:w="2563" w:type="dxa"/>
            <w:vAlign w:val="top"/>
          </w:tcPr>
          <w:p>
            <w:pPr>
              <w:pStyle w:val="TableText"/>
              <w:ind w:left="18"/>
              <w:spacing w:before="105" w:line="210" w:lineRule="auto"/>
              <w:rPr>
                <w:sz w:val="12"/>
                <w:szCs w:val="12"/>
              </w:rPr>
            </w:pPr>
            <w:r>
              <w:rPr>
                <w:sz w:val="12"/>
                <w:szCs w:val="12"/>
                <w:spacing w:val="-12"/>
                <w:w w:val="97"/>
              </w:rPr>
              <w:t>促使树木快</w:t>
            </w:r>
            <w:r>
              <w:rPr>
                <w:sz w:val="12"/>
                <w:szCs w:val="12"/>
                <w:spacing w:val="-11"/>
                <w:w w:val="97"/>
              </w:rPr>
              <w:t>速生额，形成庞大假系，快速南芽，改善</w:t>
            </w:r>
            <w:r>
              <w:rPr>
                <w:sz w:val="12"/>
                <w:szCs w:val="12"/>
                <w:spacing w:val="-6"/>
                <w:w w:val="97"/>
              </w:rPr>
              <w:t>植</w:t>
            </w:r>
            <w:r>
              <w:rPr>
                <w:sz w:val="12"/>
                <w:szCs w:val="12"/>
                <w:spacing w:val="4"/>
              </w:rPr>
              <w:t xml:space="preserve"> </w:t>
            </w:r>
            <w:r>
              <w:rPr>
                <w:sz w:val="12"/>
                <w:szCs w:val="12"/>
                <w:spacing w:val="-2"/>
              </w:rPr>
              <w:t>物长势</w:t>
            </w:r>
          </w:p>
        </w:tc>
      </w:tr>
      <w:tr>
        <w:trPr>
          <w:trHeight w:val="45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233"/>
              <w:spacing w:before="166" w:line="219" w:lineRule="auto"/>
              <w:rPr>
                <w:sz w:val="12"/>
                <w:szCs w:val="12"/>
              </w:rPr>
            </w:pPr>
            <w:r>
              <w:rPr>
                <w:sz w:val="12"/>
                <w:szCs w:val="12"/>
                <w:spacing w:val="-1"/>
              </w:rPr>
              <w:t>诺普信根聚地</w:t>
            </w:r>
          </w:p>
        </w:tc>
        <w:tc>
          <w:tcPr>
            <w:tcW w:w="1829" w:type="dxa"/>
            <w:vAlign w:val="top"/>
          </w:tcPr>
          <w:p>
            <w:pPr>
              <w:pStyle w:val="TableText"/>
              <w:ind w:left="603" w:right="260" w:hanging="360"/>
              <w:spacing w:before="126" w:line="204" w:lineRule="auto"/>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tc>
        <w:tc>
          <w:tcPr>
            <w:tcW w:w="1599" w:type="dxa"/>
            <w:vAlign w:val="top"/>
          </w:tcPr>
          <w:p>
            <w:pPr>
              <w:pStyle w:val="TableText"/>
              <w:ind w:left="525"/>
              <w:spacing w:before="167" w:line="220" w:lineRule="auto"/>
              <w:rPr>
                <w:sz w:val="12"/>
                <w:szCs w:val="12"/>
              </w:rPr>
            </w:pPr>
            <w:r>
              <w:rPr>
                <w:sz w:val="12"/>
                <w:szCs w:val="12"/>
                <w:spacing w:val="-6"/>
              </w:rPr>
              <w:t>600—800倍</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ind w:left="97"/>
              <w:spacing w:before="167" w:line="221" w:lineRule="auto"/>
              <w:rPr>
                <w:sz w:val="12"/>
                <w:szCs w:val="12"/>
              </w:rPr>
            </w:pPr>
            <w:r>
              <w:rPr>
                <w:sz w:val="12"/>
                <w:szCs w:val="12"/>
                <w:spacing w:val="-1"/>
              </w:rPr>
              <w:t>500m1/瓶</w:t>
            </w:r>
          </w:p>
        </w:tc>
        <w:tc>
          <w:tcPr>
            <w:tcW w:w="2563" w:type="dxa"/>
            <w:vAlign w:val="top"/>
          </w:tcPr>
          <w:p>
            <w:pPr>
              <w:pStyle w:val="TableText"/>
              <w:ind w:left="18"/>
              <w:spacing w:before="126" w:line="209" w:lineRule="auto"/>
              <w:rPr>
                <w:sz w:val="12"/>
                <w:szCs w:val="12"/>
              </w:rPr>
            </w:pPr>
            <w:r>
              <w:rPr>
                <w:sz w:val="12"/>
                <w:szCs w:val="12"/>
                <w:spacing w:val="-13"/>
                <w:w w:val="98"/>
              </w:rPr>
              <w:t>提供根系生长</w:t>
            </w:r>
            <w:r>
              <w:rPr>
                <w:sz w:val="12"/>
                <w:szCs w:val="12"/>
                <w:spacing w:val="-12"/>
                <w:w w:val="98"/>
              </w:rPr>
              <w:t>发育内源动力，诱导刺面根系活力，提</w:t>
            </w:r>
            <w:r>
              <w:rPr>
                <w:sz w:val="12"/>
                <w:szCs w:val="12"/>
                <w:spacing w:val="-6"/>
                <w:w w:val="98"/>
              </w:rPr>
              <w:t>高</w:t>
            </w:r>
            <w:r>
              <w:rPr>
                <w:sz w:val="12"/>
                <w:szCs w:val="12"/>
              </w:rPr>
              <w:t xml:space="preserve"> </w:t>
            </w:r>
            <w:r>
              <w:rPr>
                <w:sz w:val="12"/>
                <w:szCs w:val="12"/>
                <w:spacing w:val="-1"/>
              </w:rPr>
              <w:t>移栽成活率，促进草坪快速生根成块</w:t>
            </w:r>
          </w:p>
        </w:tc>
      </w:tr>
      <w:tr>
        <w:trPr>
          <w:trHeight w:val="410"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293"/>
              <w:spacing w:before="148" w:line="219" w:lineRule="auto"/>
              <w:rPr>
                <w:sz w:val="12"/>
                <w:szCs w:val="12"/>
              </w:rPr>
            </w:pPr>
            <w:r>
              <w:rPr>
                <w:sz w:val="12"/>
                <w:szCs w:val="12"/>
                <w:spacing w:val="2"/>
              </w:rPr>
              <w:t>国光树动力</w:t>
            </w:r>
          </w:p>
        </w:tc>
        <w:tc>
          <w:tcPr>
            <w:tcW w:w="1829" w:type="dxa"/>
            <w:vAlign w:val="top"/>
          </w:tcPr>
          <w:p>
            <w:pPr>
              <w:pStyle w:val="TableText"/>
              <w:ind w:left="753" w:hanging="739"/>
              <w:spacing w:before="77" w:line="209" w:lineRule="auto"/>
              <w:rPr>
                <w:sz w:val="12"/>
                <w:szCs w:val="12"/>
              </w:rPr>
            </w:pPr>
            <w:r>
              <w:rPr>
                <w:sz w:val="12"/>
                <w:szCs w:val="12"/>
                <w:spacing w:val="-9"/>
              </w:rPr>
              <w:t>细</w:t>
            </w:r>
            <w:r>
              <w:rPr>
                <w:sz w:val="12"/>
                <w:szCs w:val="12"/>
                <w:spacing w:val="-8"/>
              </w:rPr>
              <w:t>胞分裂类高活性物质、含丰富矿</w:t>
            </w:r>
            <w:r>
              <w:rPr>
                <w:sz w:val="12"/>
                <w:szCs w:val="12"/>
                <w:spacing w:val="-7"/>
              </w:rPr>
              <w:t>物</w:t>
            </w:r>
            <w:r>
              <w:rPr>
                <w:sz w:val="12"/>
                <w:szCs w:val="12"/>
                <w:spacing w:val="11"/>
              </w:rPr>
              <w:t xml:space="preserve"> </w:t>
            </w:r>
            <w:r>
              <w:rPr>
                <w:sz w:val="12"/>
                <w:szCs w:val="12"/>
                <w:spacing w:val="-2"/>
              </w:rPr>
              <w:t>屏溶剂</w:t>
            </w:r>
          </w:p>
        </w:tc>
        <w:tc>
          <w:tcPr>
            <w:tcW w:w="1599" w:type="dxa"/>
            <w:vAlign w:val="top"/>
          </w:tcPr>
          <w:p>
            <w:pPr>
              <w:pStyle w:val="TableText"/>
              <w:ind w:left="44" w:hanging="29"/>
              <w:spacing w:before="78" w:line="217" w:lineRule="auto"/>
              <w:rPr>
                <w:sz w:val="12"/>
                <w:szCs w:val="12"/>
              </w:rPr>
            </w:pPr>
            <w:r>
              <w:rPr>
                <w:sz w:val="12"/>
                <w:szCs w:val="12"/>
                <w:spacing w:val="-3"/>
              </w:rPr>
              <w:t>直接使用。一般胸径8-10cm描1</w:t>
            </w:r>
            <w:r>
              <w:rPr>
                <w:sz w:val="12"/>
                <w:szCs w:val="12"/>
                <w:spacing w:val="3"/>
              </w:rPr>
              <w:t xml:space="preserve"> </w:t>
            </w:r>
            <w:r>
              <w:rPr>
                <w:sz w:val="12"/>
                <w:szCs w:val="12"/>
                <w:spacing w:val="-1"/>
              </w:rPr>
              <w:t>瓶，胸径每增加10cm增加L流</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ind w:left="97"/>
              <w:spacing w:before="148" w:line="221" w:lineRule="auto"/>
              <w:rPr>
                <w:sz w:val="12"/>
                <w:szCs w:val="12"/>
              </w:rPr>
            </w:pPr>
            <w:r>
              <w:rPr>
                <w:sz w:val="12"/>
                <w:szCs w:val="12"/>
                <w:spacing w:val="-1"/>
              </w:rPr>
              <w:t>300ml/瓶</w:t>
            </w:r>
          </w:p>
        </w:tc>
        <w:tc>
          <w:tcPr>
            <w:tcW w:w="2563" w:type="dxa"/>
            <w:vAlign w:val="top"/>
          </w:tcPr>
          <w:p>
            <w:pPr>
              <w:pStyle w:val="TableText"/>
              <w:ind w:left="18"/>
              <w:spacing w:before="148" w:line="219" w:lineRule="auto"/>
              <w:rPr>
                <w:sz w:val="12"/>
                <w:szCs w:val="12"/>
              </w:rPr>
            </w:pPr>
            <w:r>
              <w:rPr>
                <w:sz w:val="12"/>
                <w:szCs w:val="12"/>
                <w:spacing w:val="-1"/>
              </w:rPr>
              <w:t>大树直插瓶，大树古树复壮</w:t>
            </w:r>
          </w:p>
        </w:tc>
      </w:tr>
      <w:tr>
        <w:trPr>
          <w:trHeight w:val="55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353"/>
              <w:spacing w:before="217" w:line="219" w:lineRule="auto"/>
              <w:rPr>
                <w:sz w:val="12"/>
                <w:szCs w:val="12"/>
              </w:rPr>
            </w:pPr>
            <w:r>
              <w:rPr>
                <w:sz w:val="12"/>
                <w:szCs w:val="12"/>
                <w:spacing w:val="1"/>
              </w:rPr>
              <w:t>国光棒肥</w:t>
            </w:r>
          </w:p>
        </w:tc>
        <w:tc>
          <w:tcPr>
            <w:tcW w:w="1829" w:type="dxa"/>
            <w:vAlign w:val="top"/>
          </w:tcPr>
          <w:p>
            <w:pPr>
              <w:pStyle w:val="TableText"/>
              <w:ind w:left="124"/>
              <w:spacing w:before="217" w:line="219" w:lineRule="auto"/>
              <w:rPr>
                <w:sz w:val="12"/>
                <w:szCs w:val="12"/>
              </w:rPr>
            </w:pPr>
            <w:r>
              <w:rPr>
                <w:sz w:val="12"/>
                <w:szCs w:val="12"/>
                <w:spacing w:val="-1"/>
              </w:rPr>
              <w:t>微肥、稀有元素、大量元素肥</w:t>
            </w:r>
          </w:p>
        </w:tc>
        <w:tc>
          <w:tcPr>
            <w:tcW w:w="1599" w:type="dxa"/>
            <w:vAlign w:val="top"/>
          </w:tcPr>
          <w:p>
            <w:pPr>
              <w:pStyle w:val="TableText"/>
              <w:spacing w:before="37" w:line="200" w:lineRule="auto"/>
              <w:jc w:val="right"/>
              <w:rPr>
                <w:sz w:val="12"/>
                <w:szCs w:val="12"/>
              </w:rPr>
            </w:pPr>
            <w:r>
              <w:rPr>
                <w:sz w:val="12"/>
                <w:szCs w:val="12"/>
                <w:spacing w:val="-8"/>
              </w:rPr>
              <w:t>直接使用，根据树的诲径进行调</w:t>
            </w:r>
          </w:p>
          <w:p>
            <w:pPr>
              <w:pStyle w:val="TableText"/>
              <w:ind w:right="1"/>
              <w:spacing w:line="199" w:lineRule="auto"/>
              <w:jc w:val="right"/>
              <w:rPr>
                <w:sz w:val="12"/>
                <w:szCs w:val="12"/>
              </w:rPr>
            </w:pPr>
            <w:r>
              <w:rPr>
                <w:sz w:val="12"/>
                <w:szCs w:val="12"/>
                <w:spacing w:val="-3"/>
              </w:rPr>
              <w:t>整：10en一下的树1-2支。10em</w:t>
            </w:r>
          </w:p>
          <w:p>
            <w:pPr>
              <w:pStyle w:val="TableText"/>
              <w:spacing w:line="201" w:lineRule="auto"/>
              <w:jc w:val="right"/>
              <w:rPr>
                <w:sz w:val="12"/>
                <w:szCs w:val="12"/>
              </w:rPr>
            </w:pPr>
            <w:r>
              <w:rPr>
                <w:sz w:val="12"/>
                <w:szCs w:val="12"/>
                <w:spacing w:val="-7"/>
              </w:rPr>
              <w:t>以上的树胸径每增加5cm脚增加1</w:t>
            </w:r>
          </w:p>
          <w:p>
            <w:pPr>
              <w:pStyle w:val="TableText"/>
              <w:ind w:left="734"/>
              <w:spacing w:line="185" w:lineRule="auto"/>
              <w:rPr>
                <w:sz w:val="12"/>
                <w:szCs w:val="12"/>
              </w:rPr>
            </w:pPr>
            <w:r>
              <w:rPr>
                <w:sz w:val="12"/>
                <w:szCs w:val="12"/>
              </w:rPr>
              <w:t>支</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spacing w:before="218" w:line="220" w:lineRule="auto"/>
              <w:jc w:val="right"/>
              <w:rPr>
                <w:sz w:val="12"/>
                <w:szCs w:val="12"/>
              </w:rPr>
            </w:pPr>
            <w:r>
              <w:rPr>
                <w:sz w:val="12"/>
                <w:szCs w:val="12"/>
                <w:spacing w:val="-1"/>
              </w:rPr>
              <w:t>3*15cm+10根</w:t>
            </w:r>
          </w:p>
        </w:tc>
        <w:tc>
          <w:tcPr>
            <w:tcW w:w="2563" w:type="dxa"/>
            <w:vAlign w:val="top"/>
          </w:tcPr>
          <w:p>
            <w:pPr>
              <w:pStyle w:val="TableText"/>
              <w:ind w:left="18"/>
              <w:spacing w:before="218" w:line="219" w:lineRule="auto"/>
              <w:rPr>
                <w:sz w:val="12"/>
                <w:szCs w:val="12"/>
              </w:rPr>
            </w:pPr>
            <w:r>
              <w:rPr>
                <w:sz w:val="12"/>
                <w:szCs w:val="12"/>
                <w:spacing w:val="-1"/>
              </w:rPr>
              <w:t>古树，病树，四树复壮</w:t>
            </w:r>
          </w:p>
        </w:tc>
      </w:tr>
      <w:tr>
        <w:trPr>
          <w:trHeight w:val="43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413"/>
              <w:spacing w:before="158" w:line="219" w:lineRule="auto"/>
              <w:rPr>
                <w:sz w:val="12"/>
                <w:szCs w:val="12"/>
              </w:rPr>
            </w:pPr>
            <w:r>
              <w:rPr>
                <w:sz w:val="12"/>
                <w:szCs w:val="12"/>
                <w:spacing w:val="-2"/>
              </w:rPr>
              <w:t>复合肥</w:t>
            </w:r>
          </w:p>
        </w:tc>
        <w:tc>
          <w:tcPr>
            <w:tcW w:w="1829" w:type="dxa"/>
            <w:vAlign w:val="top"/>
          </w:tcPr>
          <w:p>
            <w:pPr>
              <w:pStyle w:val="TableText"/>
              <w:ind w:left="604"/>
              <w:spacing w:before="158" w:line="219" w:lineRule="auto"/>
              <w:rPr>
                <w:sz w:val="12"/>
                <w:szCs w:val="12"/>
              </w:rPr>
            </w:pPr>
            <w:r>
              <w:rPr>
                <w:sz w:val="12"/>
                <w:szCs w:val="12"/>
                <w:spacing w:val="-1"/>
              </w:rPr>
              <w:t>大量元素肥</w:t>
            </w:r>
          </w:p>
        </w:tc>
        <w:tc>
          <w:tcPr>
            <w:tcW w:w="1599" w:type="dxa"/>
            <w:vAlign w:val="top"/>
          </w:tcPr>
          <w:p>
            <w:pPr>
              <w:pStyle w:val="TableText"/>
              <w:ind w:left="555"/>
              <w:spacing w:before="158" w:line="219" w:lineRule="auto"/>
              <w:rPr>
                <w:sz w:val="12"/>
                <w:szCs w:val="12"/>
              </w:rPr>
            </w:pPr>
            <w:r>
              <w:rPr>
                <w:sz w:val="12"/>
                <w:szCs w:val="12"/>
                <w:spacing w:val="3"/>
              </w:rPr>
              <w:t>直接使用</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ind w:left="127"/>
              <w:spacing w:before="154" w:line="214" w:lineRule="auto"/>
              <w:rPr>
                <w:sz w:val="12"/>
                <w:szCs w:val="12"/>
              </w:rPr>
            </w:pPr>
            <w:r>
              <w:rPr>
                <w:sz w:val="12"/>
                <w:szCs w:val="12"/>
                <w:spacing w:val="-1"/>
              </w:rPr>
              <w:t>50kg/袋</w:t>
            </w:r>
          </w:p>
        </w:tc>
        <w:tc>
          <w:tcPr>
            <w:tcW w:w="2563" w:type="dxa"/>
            <w:vAlign w:val="top"/>
          </w:tcPr>
          <w:p>
            <w:pPr>
              <w:pStyle w:val="TableText"/>
              <w:ind w:left="18"/>
              <w:spacing w:before="158" w:line="219" w:lineRule="auto"/>
              <w:rPr>
                <w:sz w:val="12"/>
                <w:szCs w:val="12"/>
              </w:rPr>
            </w:pPr>
            <w:r>
              <w:rPr>
                <w:sz w:val="12"/>
                <w:szCs w:val="12"/>
                <w:spacing w:val="-1"/>
              </w:rPr>
              <w:t>古树，病树，弱树复壮</w:t>
            </w:r>
          </w:p>
        </w:tc>
      </w:tr>
      <w:tr>
        <w:trPr>
          <w:trHeight w:val="430"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233"/>
              <w:spacing w:before="160" w:line="219" w:lineRule="auto"/>
              <w:rPr>
                <w:sz w:val="12"/>
                <w:szCs w:val="12"/>
              </w:rPr>
            </w:pPr>
            <w:r>
              <w:rPr>
                <w:sz w:val="12"/>
                <w:szCs w:val="12"/>
                <w:spacing w:val="1"/>
              </w:rPr>
              <w:t>国光氢基酸钾</w:t>
            </w:r>
          </w:p>
        </w:tc>
        <w:tc>
          <w:tcPr>
            <w:tcW w:w="1829" w:type="dxa"/>
            <w:vAlign w:val="top"/>
          </w:tcPr>
          <w:p>
            <w:pPr>
              <w:pStyle w:val="TableText"/>
              <w:ind w:left="454"/>
              <w:spacing w:before="160" w:line="220" w:lineRule="auto"/>
              <w:rPr>
                <w:sz w:val="12"/>
                <w:szCs w:val="12"/>
              </w:rPr>
            </w:pPr>
            <w:r>
              <w:rPr>
                <w:sz w:val="12"/>
                <w:szCs w:val="12"/>
                <w:spacing w:val="1"/>
              </w:rPr>
              <w:t>12%氯基酸整合钾</w:t>
            </w:r>
          </w:p>
        </w:tc>
        <w:tc>
          <w:tcPr>
            <w:tcW w:w="1599" w:type="dxa"/>
            <w:vAlign w:val="top"/>
          </w:tcPr>
          <w:p>
            <w:pPr>
              <w:pStyle w:val="TableText"/>
              <w:ind w:left="465"/>
              <w:spacing w:before="160" w:line="220" w:lineRule="auto"/>
              <w:rPr>
                <w:sz w:val="12"/>
                <w:szCs w:val="12"/>
              </w:rPr>
            </w:pPr>
            <w:r>
              <w:rPr>
                <w:sz w:val="12"/>
                <w:szCs w:val="12"/>
                <w:spacing w:val="-1"/>
              </w:rPr>
              <w:t>600-800倍液</w:t>
            </w:r>
          </w:p>
        </w:tc>
        <w:tc>
          <w:tcPr>
            <w:tcW w:w="1329" w:type="dxa"/>
            <w:vAlign w:val="top"/>
            <w:vMerge w:val="continue"/>
            <w:tcBorders>
              <w:top w:val="nil"/>
            </w:tcBorders>
          </w:tcPr>
          <w:p>
            <w:pPr>
              <w:rPr>
                <w:rFonts w:ascii="Arial"/>
                <w:sz w:val="21"/>
              </w:rPr>
            </w:pPr>
            <w:r/>
          </w:p>
        </w:tc>
        <w:tc>
          <w:tcPr>
            <w:tcW w:w="679" w:type="dxa"/>
            <w:vAlign w:val="top"/>
          </w:tcPr>
          <w:p>
            <w:pPr>
              <w:pStyle w:val="TableText"/>
              <w:ind w:left="127"/>
              <w:spacing w:before="155" w:line="214" w:lineRule="auto"/>
              <w:rPr>
                <w:sz w:val="12"/>
                <w:szCs w:val="12"/>
              </w:rPr>
            </w:pPr>
            <w:r>
              <w:rPr>
                <w:sz w:val="12"/>
                <w:szCs w:val="12"/>
                <w:spacing w:val="-1"/>
              </w:rPr>
              <w:t>500g/瓶</w:t>
            </w:r>
          </w:p>
        </w:tc>
        <w:tc>
          <w:tcPr>
            <w:tcW w:w="2563" w:type="dxa"/>
            <w:vAlign w:val="top"/>
          </w:tcPr>
          <w:p>
            <w:pPr>
              <w:pStyle w:val="TableText"/>
              <w:ind w:left="18"/>
              <w:spacing w:before="99" w:line="204" w:lineRule="auto"/>
              <w:rPr>
                <w:sz w:val="12"/>
                <w:szCs w:val="12"/>
              </w:rPr>
            </w:pPr>
            <w:r>
              <w:rPr>
                <w:sz w:val="12"/>
                <w:szCs w:val="12"/>
                <w:spacing w:val="-13"/>
              </w:rPr>
              <w:t>防治因缺钾引</w:t>
            </w:r>
            <w:r>
              <w:rPr>
                <w:sz w:val="12"/>
                <w:szCs w:val="12"/>
                <w:spacing w:val="-12"/>
              </w:rPr>
              <w:t>起的档株度弱，生长不良，1万平方米</w:t>
            </w:r>
            <w:r>
              <w:rPr>
                <w:sz w:val="12"/>
                <w:szCs w:val="12"/>
                <w:spacing w:val="-6"/>
              </w:rPr>
              <w:t>年</w:t>
            </w:r>
            <w:r>
              <w:rPr>
                <w:sz w:val="12"/>
                <w:szCs w:val="12"/>
                <w:spacing w:val="1"/>
              </w:rPr>
              <w:t xml:space="preserve"> </w:t>
            </w:r>
            <w:r>
              <w:rPr>
                <w:sz w:val="12"/>
                <w:szCs w:val="12"/>
                <w:spacing w:val="-1"/>
              </w:rPr>
              <w:t>度约用量：50kg。</w:t>
            </w:r>
          </w:p>
        </w:tc>
      </w:tr>
      <w:tr>
        <w:trPr>
          <w:trHeight w:val="46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173"/>
              <w:spacing w:before="179" w:line="219" w:lineRule="auto"/>
              <w:rPr>
                <w:sz w:val="12"/>
                <w:szCs w:val="12"/>
              </w:rPr>
            </w:pPr>
            <w:r>
              <w:rPr>
                <w:sz w:val="12"/>
                <w:szCs w:val="12"/>
                <w:spacing w:val="-1"/>
              </w:rPr>
              <w:t>高效磷钾复合肥</w:t>
            </w:r>
          </w:p>
        </w:tc>
        <w:tc>
          <w:tcPr>
            <w:tcW w:w="1829" w:type="dxa"/>
            <w:vAlign w:val="top"/>
          </w:tcPr>
          <w:p>
            <w:pPr>
              <w:pStyle w:val="TableText"/>
              <w:ind w:left="604"/>
              <w:spacing w:before="180" w:line="219" w:lineRule="auto"/>
              <w:rPr>
                <w:sz w:val="12"/>
                <w:szCs w:val="12"/>
              </w:rPr>
            </w:pPr>
            <w:r>
              <w:rPr>
                <w:sz w:val="12"/>
                <w:szCs w:val="12"/>
                <w:spacing w:val="-1"/>
              </w:rPr>
              <w:t>磷酸二氢钾</w:t>
            </w:r>
          </w:p>
        </w:tc>
        <w:tc>
          <w:tcPr>
            <w:tcW w:w="1599" w:type="dxa"/>
            <w:vAlign w:val="top"/>
          </w:tcPr>
          <w:p>
            <w:pPr>
              <w:pStyle w:val="TableText"/>
              <w:ind w:left="135"/>
              <w:spacing w:before="180" w:line="219" w:lineRule="auto"/>
              <w:rPr>
                <w:sz w:val="12"/>
                <w:szCs w:val="12"/>
              </w:rPr>
            </w:pPr>
            <w:r>
              <w:rPr>
                <w:sz w:val="12"/>
                <w:szCs w:val="12"/>
                <w:spacing w:val="-1"/>
              </w:rPr>
              <w:t>直接穴施或0.2%叶面喷施</w:t>
            </w:r>
          </w:p>
        </w:tc>
        <w:tc>
          <w:tcPr>
            <w:tcW w:w="1329" w:type="dxa"/>
            <w:vAlign w:val="top"/>
            <w:vMerge w:val="restart"/>
            <w:tcBorders>
              <w:bottom w:val="nil"/>
            </w:tcBorders>
          </w:tcPr>
          <w:p>
            <w:pPr>
              <w:spacing w:line="298" w:lineRule="auto"/>
              <w:rPr>
                <w:rFonts w:ascii="Arial"/>
                <w:sz w:val="21"/>
              </w:rPr>
            </w:pPr>
            <w:r/>
          </w:p>
          <w:p>
            <w:pPr>
              <w:spacing w:line="299" w:lineRule="auto"/>
              <w:rPr>
                <w:rFonts w:ascii="Arial"/>
                <w:sz w:val="21"/>
              </w:rPr>
            </w:pPr>
            <w:r/>
          </w:p>
          <w:p>
            <w:pPr>
              <w:pStyle w:val="TableText"/>
              <w:ind w:left="386"/>
              <w:spacing w:before="39" w:line="219" w:lineRule="auto"/>
              <w:rPr>
                <w:sz w:val="12"/>
                <w:szCs w:val="12"/>
              </w:rPr>
            </w:pPr>
            <w:r>
              <w:rPr>
                <w:sz w:val="12"/>
                <w:szCs w:val="12"/>
                <w:spacing w:val="-2"/>
              </w:rPr>
              <w:t>一般用1次</w:t>
            </w:r>
          </w:p>
        </w:tc>
        <w:tc>
          <w:tcPr>
            <w:tcW w:w="679" w:type="dxa"/>
            <w:vAlign w:val="top"/>
          </w:tcPr>
          <w:p>
            <w:pPr>
              <w:pStyle w:val="TableText"/>
              <w:ind w:left="127"/>
              <w:spacing w:before="175" w:line="214" w:lineRule="auto"/>
              <w:rPr>
                <w:sz w:val="12"/>
                <w:szCs w:val="12"/>
              </w:rPr>
            </w:pPr>
            <w:r>
              <w:rPr>
                <w:sz w:val="12"/>
                <w:szCs w:val="12"/>
                <w:spacing w:val="-1"/>
              </w:rPr>
              <w:t>25kg/袋</w:t>
            </w:r>
          </w:p>
        </w:tc>
        <w:tc>
          <w:tcPr>
            <w:tcW w:w="2563" w:type="dxa"/>
            <w:vAlign w:val="top"/>
          </w:tcPr>
          <w:p>
            <w:pPr>
              <w:pStyle w:val="TableText"/>
              <w:ind w:left="18"/>
              <w:spacing w:before="129" w:line="212" w:lineRule="auto"/>
              <w:rPr>
                <w:sz w:val="12"/>
                <w:szCs w:val="12"/>
              </w:rPr>
            </w:pPr>
            <w:r>
              <w:rPr>
                <w:sz w:val="12"/>
                <w:szCs w:val="12"/>
                <w:spacing w:val="-13"/>
              </w:rPr>
              <w:t>提高树木木质</w:t>
            </w:r>
            <w:r>
              <w:rPr>
                <w:sz w:val="12"/>
                <w:szCs w:val="12"/>
                <w:spacing w:val="-12"/>
              </w:rPr>
              <w:t>化程度。有利树木安全越冬，1万平方</w:t>
            </w:r>
            <w:r>
              <w:rPr>
                <w:sz w:val="12"/>
                <w:szCs w:val="12"/>
                <w:spacing w:val="-6"/>
              </w:rPr>
              <w:t>米</w:t>
            </w:r>
            <w:r>
              <w:rPr>
                <w:sz w:val="12"/>
                <w:szCs w:val="12"/>
                <w:spacing w:val="1"/>
              </w:rPr>
              <w:t xml:space="preserve"> </w:t>
            </w:r>
            <w:r>
              <w:rPr>
                <w:sz w:val="12"/>
                <w:szCs w:val="12"/>
                <w:spacing w:val="2"/>
              </w:rPr>
              <w:t>年度约用量，500</w:t>
            </w:r>
            <w:r>
              <w:rPr>
                <w:sz w:val="12"/>
                <w:szCs w:val="12"/>
              </w:rPr>
              <w:t>kg</w:t>
            </w:r>
            <w:r>
              <w:rPr>
                <w:sz w:val="12"/>
                <w:szCs w:val="12"/>
                <w:spacing w:val="2"/>
              </w:rPr>
              <w:t>:</w:t>
            </w:r>
          </w:p>
        </w:tc>
      </w:tr>
      <w:tr>
        <w:trPr>
          <w:trHeight w:val="46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413"/>
              <w:spacing w:before="181" w:line="220" w:lineRule="auto"/>
              <w:rPr>
                <w:sz w:val="12"/>
                <w:szCs w:val="12"/>
              </w:rPr>
            </w:pPr>
            <w:r>
              <w:rPr>
                <w:sz w:val="12"/>
                <w:szCs w:val="12"/>
                <w:spacing w:val="-2"/>
              </w:rPr>
              <w:t>复合吧</w:t>
            </w:r>
          </w:p>
        </w:tc>
        <w:tc>
          <w:tcPr>
            <w:tcW w:w="1829" w:type="dxa"/>
            <w:vAlign w:val="top"/>
          </w:tcPr>
          <w:p>
            <w:pPr>
              <w:pStyle w:val="TableText"/>
              <w:ind w:left="604"/>
              <w:spacing w:before="180" w:line="219" w:lineRule="auto"/>
              <w:rPr>
                <w:sz w:val="12"/>
                <w:szCs w:val="12"/>
              </w:rPr>
            </w:pPr>
            <w:r>
              <w:rPr>
                <w:sz w:val="12"/>
                <w:szCs w:val="12"/>
                <w:spacing w:val="-1"/>
              </w:rPr>
              <w:t>大量元素肥</w:t>
            </w:r>
          </w:p>
        </w:tc>
        <w:tc>
          <w:tcPr>
            <w:tcW w:w="1599" w:type="dxa"/>
            <w:vAlign w:val="top"/>
          </w:tcPr>
          <w:p>
            <w:pPr>
              <w:pStyle w:val="TableText"/>
              <w:ind w:left="555"/>
              <w:spacing w:before="181" w:line="219" w:lineRule="auto"/>
              <w:rPr>
                <w:sz w:val="12"/>
                <w:szCs w:val="12"/>
              </w:rPr>
            </w:pPr>
            <w:r>
              <w:rPr>
                <w:sz w:val="12"/>
                <w:szCs w:val="12"/>
                <w:spacing w:val="3"/>
              </w:rPr>
              <w:t>直按使用</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ind w:left="157"/>
              <w:spacing w:before="176" w:line="214" w:lineRule="auto"/>
              <w:rPr>
                <w:sz w:val="12"/>
                <w:szCs w:val="12"/>
              </w:rPr>
            </w:pPr>
            <w:r>
              <w:rPr>
                <w:sz w:val="12"/>
                <w:szCs w:val="12"/>
                <w:spacing w:val="-1"/>
              </w:rPr>
              <w:t>5mg/袋</w:t>
            </w:r>
          </w:p>
        </w:tc>
        <w:tc>
          <w:tcPr>
            <w:tcW w:w="2563" w:type="dxa"/>
            <w:vAlign w:val="top"/>
          </w:tcPr>
          <w:p>
            <w:pPr>
              <w:pStyle w:val="TableText"/>
              <w:ind w:left="18" w:right="74"/>
              <w:spacing w:before="120" w:line="204" w:lineRule="auto"/>
              <w:rPr>
                <w:sz w:val="12"/>
                <w:szCs w:val="12"/>
              </w:rPr>
            </w:pPr>
            <w:r>
              <w:rPr>
                <w:sz w:val="12"/>
                <w:szCs w:val="12"/>
              </w:rPr>
              <w:t>古树，病树，树复壮，1万平方米年度约用量： </w:t>
            </w:r>
            <w:r>
              <w:rPr>
                <w:sz w:val="12"/>
                <w:szCs w:val="12"/>
                <w:spacing w:val="-1"/>
              </w:rPr>
              <w:t>00kg,</w:t>
            </w:r>
          </w:p>
        </w:tc>
      </w:tr>
      <w:tr>
        <w:trPr>
          <w:trHeight w:val="440"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918" w:type="dxa"/>
            <w:vAlign w:val="top"/>
            <w:vMerge w:val="continue"/>
            <w:tcBorders>
              <w:top w:val="nil"/>
            </w:tcBorders>
          </w:tcPr>
          <w:p>
            <w:pPr>
              <w:rPr>
                <w:rFonts w:ascii="Arial"/>
                <w:sz w:val="21"/>
              </w:rPr>
            </w:pPr>
            <w:r/>
          </w:p>
        </w:tc>
        <w:tc>
          <w:tcPr>
            <w:tcW w:w="1199" w:type="dxa"/>
            <w:vAlign w:val="top"/>
          </w:tcPr>
          <w:p>
            <w:pPr>
              <w:pStyle w:val="TableText"/>
              <w:ind w:left="473"/>
              <w:spacing w:before="162" w:line="219" w:lineRule="auto"/>
              <w:rPr>
                <w:sz w:val="12"/>
                <w:szCs w:val="12"/>
              </w:rPr>
            </w:pPr>
            <w:r>
              <w:rPr>
                <w:sz w:val="12"/>
                <w:szCs w:val="12"/>
                <w:spacing w:val="-2"/>
              </w:rPr>
              <w:t>尿素</w:t>
            </w:r>
          </w:p>
        </w:tc>
        <w:tc>
          <w:tcPr>
            <w:tcW w:w="1829" w:type="dxa"/>
            <w:vAlign w:val="top"/>
          </w:tcPr>
          <w:p>
            <w:pPr>
              <w:pStyle w:val="TableText"/>
              <w:ind w:left="484"/>
              <w:spacing w:before="161" w:line="219" w:lineRule="auto"/>
              <w:rPr>
                <w:sz w:val="12"/>
                <w:szCs w:val="12"/>
              </w:rPr>
            </w:pPr>
            <w:r>
              <w:rPr>
                <w:sz w:val="12"/>
                <w:szCs w:val="12"/>
                <w:spacing w:val="-1"/>
              </w:rPr>
              <w:t>CO(E2)2含氮46%</w:t>
            </w:r>
          </w:p>
        </w:tc>
        <w:tc>
          <w:tcPr>
            <w:tcW w:w="1599" w:type="dxa"/>
            <w:vAlign w:val="top"/>
          </w:tcPr>
          <w:p>
            <w:pPr>
              <w:pStyle w:val="TableText"/>
              <w:ind w:left="195"/>
              <w:spacing w:before="157" w:line="214" w:lineRule="auto"/>
              <w:rPr>
                <w:sz w:val="12"/>
                <w:szCs w:val="12"/>
              </w:rPr>
            </w:pPr>
            <w:r>
              <w:rPr>
                <w:sz w:val="12"/>
                <w:szCs w:val="12"/>
                <w:spacing w:val="-1"/>
              </w:rPr>
              <w:t>直接撒施：20-25kg/亩</w:t>
            </w:r>
          </w:p>
        </w:tc>
        <w:tc>
          <w:tcPr>
            <w:tcW w:w="1329" w:type="dxa"/>
            <w:vAlign w:val="top"/>
            <w:vMerge w:val="continue"/>
            <w:tcBorders>
              <w:top w:val="nil"/>
            </w:tcBorders>
          </w:tcPr>
          <w:p>
            <w:pPr>
              <w:rPr>
                <w:rFonts w:ascii="Arial"/>
                <w:sz w:val="21"/>
              </w:rPr>
            </w:pPr>
            <w:r/>
          </w:p>
        </w:tc>
        <w:tc>
          <w:tcPr>
            <w:tcW w:w="679" w:type="dxa"/>
            <w:vAlign w:val="top"/>
          </w:tcPr>
          <w:p>
            <w:pPr>
              <w:pStyle w:val="TableText"/>
              <w:ind w:left="127"/>
              <w:spacing w:before="157" w:line="214" w:lineRule="auto"/>
              <w:rPr>
                <w:sz w:val="12"/>
                <w:szCs w:val="12"/>
              </w:rPr>
            </w:pPr>
            <w:r>
              <w:rPr>
                <w:sz w:val="12"/>
                <w:szCs w:val="12"/>
                <w:spacing w:val="-1"/>
              </w:rPr>
              <w:t>40kg/袋</w:t>
            </w:r>
          </w:p>
        </w:tc>
        <w:tc>
          <w:tcPr>
            <w:tcW w:w="2563" w:type="dxa"/>
            <w:vAlign w:val="top"/>
          </w:tcPr>
          <w:p>
            <w:pPr>
              <w:pStyle w:val="TableText"/>
              <w:spacing w:before="161" w:line="219" w:lineRule="auto"/>
              <w:jc w:val="right"/>
              <w:rPr>
                <w:sz w:val="12"/>
                <w:szCs w:val="12"/>
              </w:rPr>
            </w:pPr>
            <w:r>
              <w:rPr>
                <w:sz w:val="12"/>
                <w:szCs w:val="12"/>
                <w:spacing w:val="-9"/>
              </w:rPr>
              <w:t>促进草坪生长，增绿，1万平方米年度约用量：500ks</w:t>
            </w:r>
          </w:p>
        </w:tc>
      </w:tr>
      <w:tr>
        <w:trPr>
          <w:trHeight w:val="469" w:hRule="atLeast"/>
        </w:trPr>
        <w:tc>
          <w:tcPr>
            <w:tcW w:w="385" w:type="dxa"/>
            <w:vAlign w:val="top"/>
            <w:vMerge w:val="continue"/>
            <w:tcBorders>
              <w:top w:val="nil"/>
              <w:bottom w:val="nil"/>
            </w:tcBorders>
          </w:tcPr>
          <w:p>
            <w:pPr>
              <w:rPr>
                <w:rFonts w:ascii="Arial"/>
                <w:sz w:val="21"/>
              </w:rPr>
            </w:pPr>
            <w:r/>
          </w:p>
        </w:tc>
        <w:tc>
          <w:tcPr>
            <w:tcW w:w="510" w:type="dxa"/>
            <w:vAlign w:val="top"/>
            <w:vMerge w:val="restart"/>
            <w:tcBorders>
              <w:bottom w:val="nil"/>
            </w:tcBorders>
          </w:tcPr>
          <w:p>
            <w:pPr>
              <w:spacing w:line="370" w:lineRule="auto"/>
              <w:rPr>
                <w:rFonts w:ascii="Arial"/>
                <w:sz w:val="21"/>
              </w:rPr>
            </w:pPr>
            <w:r/>
          </w:p>
          <w:p>
            <w:pPr>
              <w:pStyle w:val="TableText"/>
              <w:spacing w:before="39" w:line="219" w:lineRule="auto"/>
              <w:rPr>
                <w:sz w:val="12"/>
                <w:szCs w:val="12"/>
              </w:rPr>
            </w:pPr>
            <w:r>
              <w:rPr>
                <w:sz w:val="12"/>
                <w:szCs w:val="12"/>
                <w:spacing w:val="-2"/>
              </w:rPr>
              <w:t>草皮履绿</w:t>
            </w:r>
          </w:p>
        </w:tc>
        <w:tc>
          <w:tcPr>
            <w:tcW w:w="949" w:type="dxa"/>
            <w:vAlign w:val="top"/>
            <w:vMerge w:val="restart"/>
            <w:tcBorders>
              <w:bottom w:val="nil"/>
            </w:tcBorders>
          </w:tcPr>
          <w:p>
            <w:pPr>
              <w:spacing w:line="310" w:lineRule="auto"/>
              <w:rPr>
                <w:rFonts w:ascii="Arial"/>
                <w:sz w:val="21"/>
              </w:rPr>
            </w:pPr>
            <w:r/>
          </w:p>
          <w:p>
            <w:pPr>
              <w:pStyle w:val="TableText"/>
              <w:ind w:left="399" w:right="2" w:hanging="389"/>
              <w:spacing w:before="39" w:line="213" w:lineRule="auto"/>
              <w:rPr>
                <w:sz w:val="12"/>
                <w:szCs w:val="12"/>
              </w:rPr>
            </w:pPr>
            <w:r>
              <w:rPr>
                <w:sz w:val="12"/>
                <w:szCs w:val="12"/>
                <w:spacing w:val="-5"/>
              </w:rPr>
              <w:t>草坪发芽及长势不</w:t>
            </w:r>
            <w:r>
              <w:rPr>
                <w:sz w:val="12"/>
                <w:szCs w:val="12"/>
                <w:spacing w:val="5"/>
              </w:rPr>
              <w:t xml:space="preserve"> </w:t>
            </w:r>
            <w:r>
              <w:rPr>
                <w:sz w:val="12"/>
                <w:szCs w:val="12"/>
              </w:rPr>
              <w:t>良</w:t>
            </w:r>
          </w:p>
        </w:tc>
        <w:tc>
          <w:tcPr>
            <w:tcW w:w="2918" w:type="dxa"/>
            <w:vAlign w:val="top"/>
            <w:vMerge w:val="restart"/>
            <w:tcBorders>
              <w:bottom w:val="nil"/>
            </w:tcBorders>
          </w:tcPr>
          <w:p>
            <w:pPr>
              <w:pStyle w:val="TableText"/>
              <w:ind w:left="11" w:right="3"/>
              <w:spacing w:before="171" w:line="200" w:lineRule="auto"/>
              <w:rPr>
                <w:sz w:val="12"/>
                <w:szCs w:val="12"/>
              </w:rPr>
            </w:pPr>
            <w:r>
              <w:rPr>
                <w:sz w:val="12"/>
                <w:szCs w:val="12"/>
                <w:spacing w:val="-13"/>
              </w:rPr>
              <w:t>一.3-</w:t>
            </w:r>
            <w:r>
              <w:rPr>
                <w:sz w:val="12"/>
                <w:szCs w:val="12"/>
                <w:spacing w:val="-12"/>
              </w:rPr>
              <w:t>4月，气温上升，空气湿度增加，苗木结束体眠期开始</w:t>
            </w:r>
            <w:r>
              <w:rPr>
                <w:sz w:val="12"/>
                <w:szCs w:val="12"/>
                <w:spacing w:val="-8"/>
              </w:rPr>
              <w:t>返</w:t>
            </w:r>
            <w:r>
              <w:rPr>
                <w:sz w:val="12"/>
                <w:szCs w:val="12"/>
              </w:rPr>
              <w:t xml:space="preserve"> </w:t>
            </w:r>
            <w:r>
              <w:rPr>
                <w:sz w:val="12"/>
                <w:szCs w:val="12"/>
              </w:rPr>
              <w:t>青，是草皮施肥复绿最住时机。</w:t>
            </w:r>
          </w:p>
          <w:p>
            <w:pPr>
              <w:pStyle w:val="TableText"/>
              <w:ind w:left="11"/>
              <w:spacing w:line="199" w:lineRule="auto"/>
              <w:rPr>
                <w:sz w:val="12"/>
                <w:szCs w:val="12"/>
              </w:rPr>
            </w:pPr>
            <w:r>
              <w:rPr>
                <w:sz w:val="12"/>
                <w:szCs w:val="12"/>
              </w:rPr>
              <w:t>三，1-4月春季施肥，11-12月及时补肥。</w:t>
            </w:r>
          </w:p>
          <w:p>
            <w:pPr>
              <w:pStyle w:val="TableText"/>
              <w:ind w:left="11" w:right="1"/>
              <w:spacing w:before="1" w:line="209" w:lineRule="auto"/>
              <w:rPr>
                <w:sz w:val="12"/>
                <w:szCs w:val="12"/>
              </w:rPr>
            </w:pPr>
            <w:r>
              <w:rPr>
                <w:sz w:val="12"/>
                <w:szCs w:val="12"/>
                <w:spacing w:val="-6"/>
              </w:rPr>
              <w:t>三、6-9月气温高，生长旺盛。需肥量大：同时杂</w:t>
            </w:r>
            <w:r>
              <w:rPr>
                <w:sz w:val="12"/>
                <w:szCs w:val="12"/>
                <w:spacing w:val="-7"/>
              </w:rPr>
              <w:t>草生长旺</w:t>
            </w:r>
            <w:r>
              <w:rPr>
                <w:sz w:val="12"/>
                <w:szCs w:val="12"/>
              </w:rPr>
              <w:t xml:space="preserve"> </w:t>
            </w:r>
            <w:r>
              <w:rPr>
                <w:sz w:val="12"/>
                <w:szCs w:val="12"/>
                <w:spacing w:val="-1"/>
              </w:rPr>
              <w:t>座，及时除亲</w:t>
            </w:r>
          </w:p>
        </w:tc>
        <w:tc>
          <w:tcPr>
            <w:tcW w:w="1199" w:type="dxa"/>
            <w:vAlign w:val="top"/>
          </w:tcPr>
          <w:p>
            <w:pPr>
              <w:pStyle w:val="TableText"/>
              <w:ind w:left="353"/>
              <w:spacing w:before="182" w:line="219" w:lineRule="auto"/>
              <w:rPr>
                <w:sz w:val="12"/>
                <w:szCs w:val="12"/>
              </w:rPr>
            </w:pPr>
            <w:r>
              <w:rPr>
                <w:sz w:val="12"/>
                <w:szCs w:val="12"/>
                <w:spacing w:val="1"/>
              </w:rPr>
              <w:t>中威壮美</w:t>
            </w:r>
          </w:p>
        </w:tc>
        <w:tc>
          <w:tcPr>
            <w:tcW w:w="1829" w:type="dxa"/>
            <w:vAlign w:val="top"/>
          </w:tcPr>
          <w:p>
            <w:pPr>
              <w:pStyle w:val="TableText"/>
              <w:ind w:left="574"/>
              <w:spacing w:before="181" w:line="219" w:lineRule="auto"/>
              <w:rPr>
                <w:sz w:val="12"/>
                <w:szCs w:val="12"/>
              </w:rPr>
            </w:pPr>
            <w:r>
              <w:rPr>
                <w:sz w:val="12"/>
                <w:szCs w:val="12"/>
                <w:spacing w:val="-1"/>
              </w:rPr>
              <w:t>有机质≥60%</w:t>
            </w:r>
          </w:p>
        </w:tc>
        <w:tc>
          <w:tcPr>
            <w:tcW w:w="1599" w:type="dxa"/>
            <w:vAlign w:val="top"/>
          </w:tcPr>
          <w:p>
            <w:pPr>
              <w:pStyle w:val="TableText"/>
              <w:ind w:left="195"/>
              <w:spacing w:before="177" w:line="214" w:lineRule="auto"/>
              <w:rPr>
                <w:sz w:val="12"/>
                <w:szCs w:val="12"/>
              </w:rPr>
            </w:pPr>
            <w:r>
              <w:rPr>
                <w:sz w:val="12"/>
                <w:szCs w:val="12"/>
                <w:spacing w:val="-1"/>
              </w:rPr>
              <w:t>直接撒施：20-25kg/亩</w:t>
            </w:r>
          </w:p>
        </w:tc>
        <w:tc>
          <w:tcPr>
            <w:tcW w:w="1329" w:type="dxa"/>
            <w:vAlign w:val="top"/>
            <w:vMerge w:val="restart"/>
            <w:tcBorders>
              <w:bottom w:val="nil"/>
            </w:tcBorders>
          </w:tcPr>
          <w:p>
            <w:pPr>
              <w:spacing w:line="299" w:lineRule="auto"/>
              <w:rPr>
                <w:rFonts w:ascii="Arial"/>
                <w:sz w:val="21"/>
              </w:rPr>
            </w:pPr>
            <w:r/>
          </w:p>
          <w:p>
            <w:pPr>
              <w:spacing w:line="300" w:lineRule="auto"/>
              <w:rPr>
                <w:rFonts w:ascii="Arial"/>
                <w:sz w:val="21"/>
              </w:rPr>
            </w:pPr>
            <w:r/>
          </w:p>
          <w:p>
            <w:pPr>
              <w:pStyle w:val="TableText"/>
              <w:ind w:left="236"/>
              <w:spacing w:before="39" w:line="219" w:lineRule="auto"/>
              <w:rPr>
                <w:sz w:val="12"/>
                <w:szCs w:val="12"/>
              </w:rPr>
            </w:pPr>
            <w:r>
              <w:rPr>
                <w:sz w:val="12"/>
                <w:szCs w:val="12"/>
                <w:spacing w:val="-1"/>
              </w:rPr>
              <w:t>视草坪生长情况</w:t>
            </w:r>
          </w:p>
        </w:tc>
        <w:tc>
          <w:tcPr>
            <w:tcW w:w="679" w:type="dxa"/>
            <w:vAlign w:val="top"/>
          </w:tcPr>
          <w:p>
            <w:pPr>
              <w:pStyle w:val="TableText"/>
              <w:ind w:left="127"/>
              <w:spacing w:before="177" w:line="214" w:lineRule="auto"/>
              <w:rPr>
                <w:sz w:val="12"/>
                <w:szCs w:val="12"/>
              </w:rPr>
            </w:pPr>
            <w:r>
              <w:rPr>
                <w:sz w:val="12"/>
                <w:szCs w:val="12"/>
                <w:spacing w:val="-1"/>
              </w:rPr>
              <w:t>25kg/辈</w:t>
            </w:r>
          </w:p>
        </w:tc>
        <w:tc>
          <w:tcPr>
            <w:tcW w:w="2563" w:type="dxa"/>
            <w:vAlign w:val="top"/>
          </w:tcPr>
          <w:p>
            <w:pPr>
              <w:pStyle w:val="TableText"/>
              <w:ind w:left="18"/>
              <w:spacing w:before="131" w:line="204" w:lineRule="auto"/>
              <w:rPr>
                <w:sz w:val="12"/>
                <w:szCs w:val="12"/>
              </w:rPr>
            </w:pPr>
            <w:r>
              <w:rPr>
                <w:sz w:val="12"/>
                <w:szCs w:val="12"/>
                <w:spacing w:val="-13"/>
              </w:rPr>
              <w:t>促进草纤快建</w:t>
            </w:r>
            <w:r>
              <w:rPr>
                <w:sz w:val="12"/>
                <w:szCs w:val="12"/>
                <w:spacing w:val="-12"/>
              </w:rPr>
              <w:t>生根，全面营养，使用安全方便，1方</w:t>
            </w:r>
            <w:r>
              <w:rPr>
                <w:sz w:val="12"/>
                <w:szCs w:val="12"/>
                <w:spacing w:val="-6"/>
              </w:rPr>
              <w:t>平</w:t>
            </w:r>
            <w:r>
              <w:rPr>
                <w:sz w:val="12"/>
                <w:szCs w:val="12"/>
                <w:spacing w:val="1"/>
              </w:rPr>
              <w:t xml:space="preserve"> </w:t>
            </w:r>
            <w:r>
              <w:rPr>
                <w:sz w:val="12"/>
                <w:szCs w:val="12"/>
                <w:spacing w:val="-1"/>
              </w:rPr>
              <w:t>方米年度约用量：250kg。</w:t>
            </w:r>
          </w:p>
        </w:tc>
      </w:tr>
      <w:tr>
        <w:trPr>
          <w:trHeight w:val="459" w:hRule="atLeast"/>
        </w:trPr>
        <w:tc>
          <w:tcPr>
            <w:tcW w:w="385" w:type="dxa"/>
            <w:vAlign w:val="top"/>
            <w:vMerge w:val="continue"/>
            <w:tcBorders>
              <w:top w:val="nil"/>
            </w:tcBorders>
          </w:tcPr>
          <w:p>
            <w:pPr>
              <w:rPr>
                <w:rFonts w:ascii="Arial"/>
                <w:sz w:val="21"/>
              </w:rPr>
            </w:pPr>
            <w:r/>
          </w:p>
        </w:tc>
        <w:tc>
          <w:tcPr>
            <w:tcW w:w="51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918" w:type="dxa"/>
            <w:vAlign w:val="top"/>
            <w:vMerge w:val="continue"/>
            <w:tcBorders>
              <w:top w:val="nil"/>
            </w:tcBorders>
          </w:tcPr>
          <w:p>
            <w:pPr>
              <w:rPr>
                <w:rFonts w:ascii="Arial"/>
                <w:sz w:val="21"/>
              </w:rPr>
            </w:pPr>
            <w:r/>
          </w:p>
        </w:tc>
        <w:tc>
          <w:tcPr>
            <w:tcW w:w="1199" w:type="dxa"/>
            <w:vAlign w:val="top"/>
          </w:tcPr>
          <w:p>
            <w:pPr>
              <w:pStyle w:val="TableText"/>
              <w:ind w:left="293"/>
              <w:spacing w:before="172" w:line="219" w:lineRule="auto"/>
              <w:rPr>
                <w:sz w:val="12"/>
                <w:szCs w:val="12"/>
              </w:rPr>
            </w:pPr>
            <w:r>
              <w:rPr>
                <w:sz w:val="12"/>
                <w:szCs w:val="12"/>
                <w:spacing w:val="-1"/>
              </w:rPr>
              <w:t>坪安鸟龙珠</w:t>
            </w:r>
          </w:p>
        </w:tc>
        <w:tc>
          <w:tcPr>
            <w:tcW w:w="1829" w:type="dxa"/>
            <w:vAlign w:val="top"/>
          </w:tcPr>
          <w:p>
            <w:pPr>
              <w:pStyle w:val="TableText"/>
              <w:ind w:left="124"/>
              <w:spacing w:before="172" w:line="219" w:lineRule="auto"/>
              <w:rPr>
                <w:sz w:val="12"/>
                <w:szCs w:val="12"/>
              </w:rPr>
            </w:pPr>
            <w:r>
              <w:rPr>
                <w:sz w:val="12"/>
                <w:szCs w:val="12"/>
                <w:spacing w:val="-1"/>
              </w:rPr>
              <w:t>氨基酸、氮、磷、钾、有机固</w:t>
            </w:r>
          </w:p>
        </w:tc>
        <w:tc>
          <w:tcPr>
            <w:tcW w:w="1599" w:type="dxa"/>
            <w:vAlign w:val="top"/>
          </w:tcPr>
          <w:p>
            <w:pPr>
              <w:pStyle w:val="TableText"/>
              <w:ind w:left="555"/>
              <w:spacing w:before="172" w:line="219" w:lineRule="auto"/>
              <w:rPr>
                <w:sz w:val="12"/>
                <w:szCs w:val="12"/>
              </w:rPr>
            </w:pPr>
            <w:r>
              <w:rPr>
                <w:sz w:val="12"/>
                <w:szCs w:val="12"/>
                <w:spacing w:val="3"/>
              </w:rPr>
              <w:t>直接使用</w:t>
            </w:r>
          </w:p>
        </w:tc>
        <w:tc>
          <w:tcPr>
            <w:tcW w:w="1329" w:type="dxa"/>
            <w:vAlign w:val="top"/>
            <w:vMerge w:val="continue"/>
            <w:tcBorders>
              <w:top w:val="nil"/>
              <w:bottom w:val="nil"/>
            </w:tcBorders>
          </w:tcPr>
          <w:p>
            <w:pPr>
              <w:rPr>
                <w:rFonts w:ascii="Arial"/>
                <w:sz w:val="21"/>
              </w:rPr>
            </w:pPr>
            <w:r/>
          </w:p>
        </w:tc>
        <w:tc>
          <w:tcPr>
            <w:tcW w:w="679" w:type="dxa"/>
            <w:vAlign w:val="top"/>
          </w:tcPr>
          <w:p>
            <w:pPr>
              <w:pStyle w:val="TableText"/>
              <w:ind w:left="127"/>
              <w:spacing w:before="168" w:line="214" w:lineRule="auto"/>
              <w:rPr>
                <w:sz w:val="12"/>
                <w:szCs w:val="12"/>
              </w:rPr>
            </w:pPr>
            <w:r>
              <w:rPr>
                <w:sz w:val="12"/>
                <w:szCs w:val="12"/>
                <w:spacing w:val="-1"/>
              </w:rPr>
              <w:t>406g/袋</w:t>
            </w:r>
          </w:p>
        </w:tc>
        <w:tc>
          <w:tcPr>
            <w:tcW w:w="2563" w:type="dxa"/>
            <w:vAlign w:val="top"/>
          </w:tcPr>
          <w:p>
            <w:pPr>
              <w:pStyle w:val="TableText"/>
              <w:ind w:left="18"/>
              <w:spacing w:before="112" w:line="212" w:lineRule="auto"/>
              <w:rPr>
                <w:sz w:val="12"/>
                <w:szCs w:val="12"/>
              </w:rPr>
            </w:pPr>
            <w:r>
              <w:rPr>
                <w:sz w:val="12"/>
                <w:szCs w:val="12"/>
                <w:spacing w:val="-13"/>
              </w:rPr>
              <w:t>促进草坪快速</w:t>
            </w:r>
            <w:r>
              <w:rPr>
                <w:sz w:val="12"/>
                <w:szCs w:val="12"/>
                <w:spacing w:val="-12"/>
              </w:rPr>
              <w:t>生根。全面营养，使用安全方便，1万</w:t>
            </w:r>
            <w:r>
              <w:rPr>
                <w:sz w:val="12"/>
                <w:szCs w:val="12"/>
                <w:spacing w:val="-6"/>
              </w:rPr>
              <w:t>平</w:t>
            </w:r>
            <w:r>
              <w:rPr>
                <w:sz w:val="12"/>
                <w:szCs w:val="12"/>
                <w:spacing w:val="1"/>
              </w:rPr>
              <w:t xml:space="preserve"> </w:t>
            </w:r>
            <w:r>
              <w:rPr>
                <w:sz w:val="12"/>
                <w:szCs w:val="12"/>
                <w:spacing w:val="-1"/>
              </w:rPr>
              <w:t>方米年度约用量：600kg。</w:t>
            </w:r>
          </w:p>
        </w:tc>
      </w:tr>
      <w:tr>
        <w:trPr>
          <w:trHeight w:val="440" w:hRule="atLeast"/>
        </w:trPr>
        <w:tc>
          <w:tcPr>
            <w:tcW w:w="385" w:type="dxa"/>
            <w:vAlign w:val="top"/>
            <w:vMerge w:val="restart"/>
            <w:tcBorders>
              <w:bottom w:val="nil"/>
            </w:tcBorders>
          </w:tcPr>
          <w:p>
            <w:pPr>
              <w:spacing w:line="300" w:lineRule="auto"/>
              <w:rPr>
                <w:rFonts w:ascii="Arial"/>
                <w:sz w:val="21"/>
              </w:rPr>
            </w:pPr>
            <w:r/>
          </w:p>
          <w:p>
            <w:pPr>
              <w:spacing w:line="301" w:lineRule="auto"/>
              <w:rPr>
                <w:rFonts w:ascii="Arial"/>
                <w:sz w:val="21"/>
              </w:rPr>
            </w:pPr>
            <w:r/>
          </w:p>
          <w:p>
            <w:pPr>
              <w:pStyle w:val="TableText"/>
              <w:ind w:left="44"/>
              <w:spacing w:before="39" w:line="220" w:lineRule="auto"/>
              <w:rPr>
                <w:sz w:val="12"/>
                <w:szCs w:val="12"/>
              </w:rPr>
            </w:pPr>
            <w:r>
              <w:rPr>
                <w:sz w:val="12"/>
                <w:szCs w:val="12"/>
                <w:spacing w:val="-2"/>
              </w:rPr>
              <w:t>其他</w:t>
            </w:r>
          </w:p>
        </w:tc>
        <w:tc>
          <w:tcPr>
            <w:tcW w:w="510" w:type="dxa"/>
            <w:vAlign w:val="top"/>
            <w:vMerge w:val="restart"/>
            <w:tcBorders>
              <w:bottom w:val="nil"/>
            </w:tcBorders>
          </w:tcPr>
          <w:p>
            <w:pPr>
              <w:spacing w:line="300" w:lineRule="auto"/>
              <w:rPr>
                <w:rFonts w:ascii="Arial"/>
                <w:sz w:val="21"/>
              </w:rPr>
            </w:pPr>
            <w:r/>
          </w:p>
          <w:p>
            <w:pPr>
              <w:spacing w:line="301" w:lineRule="auto"/>
              <w:rPr>
                <w:rFonts w:ascii="Arial"/>
                <w:sz w:val="21"/>
              </w:rPr>
            </w:pPr>
            <w:r/>
          </w:p>
          <w:p>
            <w:pPr>
              <w:pStyle w:val="TableText"/>
              <w:spacing w:before="39" w:line="219" w:lineRule="auto"/>
              <w:rPr>
                <w:sz w:val="12"/>
                <w:szCs w:val="12"/>
              </w:rPr>
            </w:pPr>
            <w:r>
              <w:rPr>
                <w:sz w:val="12"/>
                <w:szCs w:val="12"/>
                <w:spacing w:val="-1"/>
              </w:rPr>
              <w:t>树木养护</w:t>
            </w:r>
          </w:p>
        </w:tc>
        <w:tc>
          <w:tcPr>
            <w:tcW w:w="949" w:type="dxa"/>
            <w:vAlign w:val="top"/>
            <w:vMerge w:val="restart"/>
            <w:tcBorders>
              <w:bottom w:val="nil"/>
            </w:tcBorders>
          </w:tcPr>
          <w:p>
            <w:pPr>
              <w:spacing w:line="270" w:lineRule="auto"/>
              <w:rPr>
                <w:rFonts w:ascii="Arial"/>
                <w:sz w:val="21"/>
              </w:rPr>
            </w:pPr>
            <w:r/>
          </w:p>
          <w:p>
            <w:pPr>
              <w:spacing w:line="271" w:lineRule="auto"/>
              <w:rPr>
                <w:rFonts w:ascii="Arial"/>
                <w:sz w:val="21"/>
              </w:rPr>
            </w:pPr>
            <w:r/>
          </w:p>
          <w:p>
            <w:pPr>
              <w:pStyle w:val="TableText"/>
              <w:spacing w:before="39" w:line="200" w:lineRule="auto"/>
              <w:jc w:val="right"/>
              <w:rPr>
                <w:sz w:val="12"/>
                <w:szCs w:val="12"/>
              </w:rPr>
            </w:pPr>
            <w:r>
              <w:rPr>
                <w:sz w:val="12"/>
                <w:szCs w:val="12"/>
                <w:spacing w:val="-5"/>
              </w:rPr>
              <w:t>树木修剪创口，腐</w:t>
            </w:r>
          </w:p>
          <w:p>
            <w:pPr>
              <w:pStyle w:val="TableText"/>
              <w:ind w:left="160"/>
              <w:spacing w:line="219" w:lineRule="auto"/>
              <w:rPr>
                <w:sz w:val="12"/>
                <w:szCs w:val="12"/>
              </w:rPr>
            </w:pPr>
            <w:r>
              <w:rPr>
                <w:sz w:val="12"/>
                <w:szCs w:val="12"/>
                <w:spacing w:val="3"/>
              </w:rPr>
              <w:t>烂病害伤口</w:t>
            </w:r>
          </w:p>
        </w:tc>
        <w:tc>
          <w:tcPr>
            <w:tcW w:w="2918" w:type="dxa"/>
            <w:vAlign w:val="top"/>
            <w:vMerge w:val="restart"/>
            <w:tcBorders>
              <w:bottom w:val="nil"/>
            </w:tcBorders>
          </w:tcPr>
          <w:p>
            <w:pPr>
              <w:spacing w:line="300" w:lineRule="auto"/>
              <w:rPr>
                <w:rFonts w:ascii="Arial"/>
                <w:sz w:val="21"/>
              </w:rPr>
            </w:pPr>
            <w:r/>
          </w:p>
          <w:p>
            <w:pPr>
              <w:spacing w:line="301" w:lineRule="auto"/>
              <w:rPr>
                <w:rFonts w:ascii="Arial"/>
                <w:sz w:val="21"/>
              </w:rPr>
            </w:pPr>
            <w:r/>
          </w:p>
          <w:p>
            <w:pPr>
              <w:pStyle w:val="TableText"/>
              <w:ind w:left="1230"/>
              <w:spacing w:before="39" w:line="219" w:lineRule="auto"/>
              <w:rPr>
                <w:sz w:val="12"/>
                <w:szCs w:val="12"/>
              </w:rPr>
            </w:pPr>
            <w:r>
              <w:rPr>
                <w:sz w:val="12"/>
                <w:szCs w:val="12"/>
                <w:spacing w:val="2"/>
              </w:rPr>
              <w:t>日常养护</w:t>
            </w:r>
          </w:p>
        </w:tc>
        <w:tc>
          <w:tcPr>
            <w:tcW w:w="1199" w:type="dxa"/>
            <w:vAlign w:val="top"/>
          </w:tcPr>
          <w:p>
            <w:pPr>
              <w:pStyle w:val="TableText"/>
              <w:ind w:left="173"/>
              <w:spacing w:before="163" w:line="219" w:lineRule="auto"/>
              <w:rPr>
                <w:sz w:val="12"/>
                <w:szCs w:val="12"/>
              </w:rPr>
            </w:pPr>
            <w:r>
              <w:rPr>
                <w:sz w:val="12"/>
                <w:szCs w:val="12"/>
                <w:spacing w:val="1"/>
              </w:rPr>
              <w:t>国光愈伤涂膜剂</w:t>
            </w:r>
          </w:p>
        </w:tc>
        <w:tc>
          <w:tcPr>
            <w:tcW w:w="1829" w:type="dxa"/>
            <w:vAlign w:val="top"/>
          </w:tcPr>
          <w:p>
            <w:pPr>
              <w:pStyle w:val="TableText"/>
              <w:ind w:left="723" w:hanging="709"/>
              <w:spacing w:before="113" w:line="211" w:lineRule="auto"/>
              <w:rPr>
                <w:sz w:val="12"/>
                <w:szCs w:val="12"/>
              </w:rPr>
            </w:pPr>
            <w:r>
              <w:rPr>
                <w:sz w:val="12"/>
                <w:szCs w:val="12"/>
                <w:spacing w:val="-9"/>
              </w:rPr>
              <w:t>成颐</w:t>
            </w:r>
            <w:r>
              <w:rPr>
                <w:sz w:val="12"/>
                <w:szCs w:val="12"/>
                <w:spacing w:val="-8"/>
              </w:rPr>
              <w:t>剂、甲基硫菌灵、防腐剂、促</w:t>
            </w:r>
            <w:r>
              <w:rPr>
                <w:sz w:val="12"/>
                <w:szCs w:val="12"/>
                <w:spacing w:val="-6"/>
              </w:rPr>
              <w:t>生</w:t>
            </w:r>
            <w:r>
              <w:rPr>
                <w:sz w:val="12"/>
                <w:szCs w:val="12"/>
                <w:spacing w:val="11"/>
              </w:rPr>
              <w:t xml:space="preserve"> </w:t>
            </w:r>
            <w:r>
              <w:rPr>
                <w:sz w:val="12"/>
                <w:szCs w:val="12"/>
                <w:spacing w:val="-2"/>
              </w:rPr>
              <w:t>长物质</w:t>
            </w:r>
          </w:p>
        </w:tc>
        <w:tc>
          <w:tcPr>
            <w:tcW w:w="1599" w:type="dxa"/>
            <w:vAlign w:val="top"/>
          </w:tcPr>
          <w:p>
            <w:pPr>
              <w:pStyle w:val="TableText"/>
              <w:ind w:left="135"/>
              <w:spacing w:before="164" w:line="219" w:lineRule="auto"/>
              <w:rPr>
                <w:sz w:val="12"/>
                <w:szCs w:val="12"/>
              </w:rPr>
            </w:pPr>
            <w:r>
              <w:rPr>
                <w:sz w:val="12"/>
                <w:szCs w:val="12"/>
                <w:spacing w:val="-1"/>
              </w:rPr>
              <w:t>直接使用，可略加水稀释</w:t>
            </w:r>
          </w:p>
        </w:tc>
        <w:tc>
          <w:tcPr>
            <w:tcW w:w="1329" w:type="dxa"/>
            <w:vAlign w:val="top"/>
            <w:vMerge w:val="continue"/>
            <w:tcBorders>
              <w:top w:val="nil"/>
            </w:tcBorders>
          </w:tcPr>
          <w:p>
            <w:pPr>
              <w:rPr>
                <w:rFonts w:ascii="Arial"/>
                <w:sz w:val="21"/>
              </w:rPr>
            </w:pPr>
            <w:r/>
          </w:p>
        </w:tc>
        <w:tc>
          <w:tcPr>
            <w:tcW w:w="679" w:type="dxa"/>
            <w:vAlign w:val="top"/>
          </w:tcPr>
          <w:p>
            <w:pPr>
              <w:pStyle w:val="TableText"/>
              <w:ind w:left="187"/>
              <w:spacing w:before="159" w:line="214" w:lineRule="auto"/>
              <w:rPr>
                <w:sz w:val="12"/>
                <w:szCs w:val="12"/>
              </w:rPr>
            </w:pPr>
            <w:r>
              <w:rPr>
                <w:sz w:val="12"/>
                <w:szCs w:val="12"/>
                <w:spacing w:val="-2"/>
              </w:rPr>
              <w:t>500g/</w:t>
            </w:r>
          </w:p>
        </w:tc>
        <w:tc>
          <w:tcPr>
            <w:tcW w:w="2563" w:type="dxa"/>
            <w:vAlign w:val="top"/>
          </w:tcPr>
          <w:p>
            <w:pPr>
              <w:pStyle w:val="TableText"/>
              <w:ind w:left="18"/>
              <w:spacing w:before="163" w:line="219" w:lineRule="auto"/>
              <w:rPr>
                <w:sz w:val="12"/>
                <w:szCs w:val="12"/>
              </w:rPr>
            </w:pPr>
            <w:r>
              <w:rPr>
                <w:sz w:val="12"/>
                <w:szCs w:val="12"/>
                <w:spacing w:val="-1"/>
              </w:rPr>
              <w:t>促进伤口快速愈合，杀菌防腐</w:t>
            </w:r>
          </w:p>
        </w:tc>
      </w:tr>
      <w:tr>
        <w:trPr>
          <w:trHeight w:val="469" w:hRule="atLeast"/>
        </w:trPr>
        <w:tc>
          <w:tcPr>
            <w:tcW w:w="385" w:type="dxa"/>
            <w:vAlign w:val="top"/>
            <w:vMerge w:val="continue"/>
            <w:tcBorders>
              <w:top w:val="nil"/>
              <w:bottom w:val="nil"/>
            </w:tcBorders>
          </w:tcPr>
          <w:p>
            <w:pPr>
              <w:rPr>
                <w:rFonts w:ascii="Arial"/>
                <w:sz w:val="21"/>
              </w:rPr>
            </w:pPr>
            <w:r/>
          </w:p>
        </w:tc>
        <w:tc>
          <w:tcPr>
            <w:tcW w:w="51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918" w:type="dxa"/>
            <w:vAlign w:val="top"/>
            <w:vMerge w:val="continue"/>
            <w:tcBorders>
              <w:top w:val="nil"/>
              <w:bottom w:val="nil"/>
            </w:tcBorders>
          </w:tcPr>
          <w:p>
            <w:pPr>
              <w:rPr>
                <w:rFonts w:ascii="Arial"/>
                <w:sz w:val="21"/>
              </w:rPr>
            </w:pPr>
            <w:r/>
          </w:p>
        </w:tc>
        <w:tc>
          <w:tcPr>
            <w:tcW w:w="1199" w:type="dxa"/>
            <w:vAlign w:val="top"/>
          </w:tcPr>
          <w:p>
            <w:pPr>
              <w:pStyle w:val="TableText"/>
              <w:ind w:left="293"/>
              <w:spacing w:before="183" w:line="219" w:lineRule="auto"/>
              <w:rPr>
                <w:sz w:val="12"/>
                <w:szCs w:val="12"/>
              </w:rPr>
            </w:pPr>
            <w:r>
              <w:rPr>
                <w:sz w:val="12"/>
                <w:szCs w:val="12"/>
                <w:spacing w:val="1"/>
              </w:rPr>
              <w:t>中威愈伤音</w:t>
            </w:r>
          </w:p>
        </w:tc>
        <w:tc>
          <w:tcPr>
            <w:tcW w:w="1829" w:type="dxa"/>
            <w:vAlign w:val="top"/>
          </w:tcPr>
          <w:p>
            <w:pPr>
              <w:pStyle w:val="TableText"/>
              <w:ind w:left="484"/>
              <w:spacing w:before="183" w:line="219" w:lineRule="auto"/>
              <w:rPr>
                <w:sz w:val="12"/>
                <w:szCs w:val="12"/>
              </w:rPr>
            </w:pPr>
            <w:r>
              <w:rPr>
                <w:sz w:val="12"/>
                <w:szCs w:val="12"/>
                <w:spacing w:val="-1"/>
              </w:rPr>
              <w:t>有机质、杀菌剂</w:t>
            </w:r>
          </w:p>
        </w:tc>
        <w:tc>
          <w:tcPr>
            <w:tcW w:w="1599" w:type="dxa"/>
            <w:vAlign w:val="top"/>
          </w:tcPr>
          <w:p>
            <w:pPr>
              <w:pStyle w:val="TableText"/>
              <w:ind w:left="135"/>
              <w:spacing w:before="183" w:line="219" w:lineRule="auto"/>
              <w:rPr>
                <w:sz w:val="12"/>
                <w:szCs w:val="12"/>
              </w:rPr>
            </w:pPr>
            <w:r>
              <w:rPr>
                <w:sz w:val="12"/>
                <w:szCs w:val="12"/>
                <w:spacing w:val="-1"/>
              </w:rPr>
              <w:t>直接使用，可略加水稀释</w:t>
            </w:r>
          </w:p>
        </w:tc>
        <w:tc>
          <w:tcPr>
            <w:tcW w:w="1329" w:type="dxa"/>
            <w:vAlign w:val="top"/>
            <w:vMerge w:val="restart"/>
            <w:tcBorders>
              <w:bottom w:val="nil"/>
            </w:tcBorders>
          </w:tcPr>
          <w:p>
            <w:pPr>
              <w:spacing w:line="372" w:lineRule="auto"/>
              <w:rPr>
                <w:rFonts w:ascii="Arial"/>
                <w:sz w:val="21"/>
              </w:rPr>
            </w:pPr>
            <w:r/>
          </w:p>
          <w:p>
            <w:pPr>
              <w:pStyle w:val="TableText"/>
              <w:spacing w:before="39" w:line="219" w:lineRule="auto"/>
              <w:jc w:val="right"/>
              <w:rPr>
                <w:sz w:val="12"/>
                <w:szCs w:val="12"/>
              </w:rPr>
            </w:pPr>
            <w:r>
              <w:rPr>
                <w:sz w:val="12"/>
                <w:szCs w:val="12"/>
                <w:spacing w:val="-2"/>
              </w:rPr>
              <w:t>乔木修剪后和树皮破损时</w:t>
            </w:r>
          </w:p>
        </w:tc>
        <w:tc>
          <w:tcPr>
            <w:tcW w:w="679" w:type="dxa"/>
            <w:vAlign w:val="top"/>
          </w:tcPr>
          <w:p>
            <w:pPr>
              <w:pStyle w:val="TableText"/>
              <w:ind w:left="127"/>
              <w:spacing w:before="179" w:line="214" w:lineRule="auto"/>
              <w:rPr>
                <w:sz w:val="12"/>
                <w:szCs w:val="12"/>
              </w:rPr>
            </w:pPr>
            <w:r>
              <w:rPr>
                <w:sz w:val="12"/>
                <w:szCs w:val="12"/>
                <w:spacing w:val="-1"/>
              </w:rPr>
              <w:t>500g/瓶</w:t>
            </w:r>
          </w:p>
        </w:tc>
        <w:tc>
          <w:tcPr>
            <w:tcW w:w="2563" w:type="dxa"/>
            <w:vAlign w:val="top"/>
          </w:tcPr>
          <w:p>
            <w:pPr>
              <w:pStyle w:val="TableText"/>
              <w:ind w:left="18"/>
              <w:spacing w:before="123" w:line="214" w:lineRule="auto"/>
              <w:rPr>
                <w:sz w:val="12"/>
                <w:szCs w:val="12"/>
              </w:rPr>
            </w:pPr>
            <w:r>
              <w:rPr>
                <w:sz w:val="12"/>
                <w:szCs w:val="12"/>
                <w:spacing w:val="-15"/>
                <w:w w:val="99"/>
              </w:rPr>
              <w:t>适用树木移栽时</w:t>
            </w:r>
            <w:r>
              <w:rPr>
                <w:sz w:val="12"/>
                <w:szCs w:val="12"/>
                <w:spacing w:val="-14"/>
                <w:w w:val="99"/>
              </w:rPr>
              <w:t>切口及根部处理；病害伤口、树皮损</w:t>
            </w:r>
            <w:r>
              <w:rPr>
                <w:sz w:val="12"/>
                <w:szCs w:val="12"/>
                <w:spacing w:val="-7"/>
                <w:w w:val="99"/>
              </w:rPr>
              <w:t>失</w:t>
            </w:r>
            <w:r>
              <w:rPr>
                <w:sz w:val="12"/>
                <w:szCs w:val="12"/>
                <w:spacing w:val="18"/>
                <w:w w:val="101"/>
              </w:rPr>
              <w:t xml:space="preserve"> </w:t>
            </w:r>
            <w:r>
              <w:rPr>
                <w:sz w:val="12"/>
                <w:szCs w:val="12"/>
                <w:spacing w:val="-2"/>
              </w:rPr>
              <w:t>处理</w:t>
            </w:r>
          </w:p>
        </w:tc>
      </w:tr>
      <w:tr>
        <w:trPr>
          <w:trHeight w:val="464" w:hRule="atLeast"/>
        </w:trPr>
        <w:tc>
          <w:tcPr>
            <w:tcW w:w="385" w:type="dxa"/>
            <w:vAlign w:val="top"/>
            <w:vMerge w:val="continue"/>
            <w:tcBorders>
              <w:top w:val="nil"/>
            </w:tcBorders>
          </w:tcPr>
          <w:p>
            <w:pPr>
              <w:rPr>
                <w:rFonts w:ascii="Arial"/>
                <w:sz w:val="21"/>
              </w:rPr>
            </w:pPr>
            <w:r/>
          </w:p>
        </w:tc>
        <w:tc>
          <w:tcPr>
            <w:tcW w:w="51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918" w:type="dxa"/>
            <w:vAlign w:val="top"/>
            <w:vMerge w:val="continue"/>
            <w:tcBorders>
              <w:top w:val="nil"/>
            </w:tcBorders>
          </w:tcPr>
          <w:p>
            <w:pPr>
              <w:rPr>
                <w:rFonts w:ascii="Arial"/>
                <w:sz w:val="21"/>
              </w:rPr>
            </w:pPr>
            <w:r/>
          </w:p>
        </w:tc>
        <w:tc>
          <w:tcPr>
            <w:tcW w:w="1199" w:type="dxa"/>
            <w:vAlign w:val="top"/>
          </w:tcPr>
          <w:p>
            <w:pPr>
              <w:pStyle w:val="TableText"/>
              <w:ind w:left="173"/>
              <w:spacing w:before="174" w:line="219" w:lineRule="auto"/>
              <w:rPr>
                <w:sz w:val="12"/>
                <w:szCs w:val="12"/>
              </w:rPr>
            </w:pPr>
            <w:r>
              <w:rPr>
                <w:sz w:val="12"/>
                <w:szCs w:val="12"/>
                <w:spacing w:val="-1"/>
              </w:rPr>
              <w:t>惰口一抹愈合灵</w:t>
            </w:r>
          </w:p>
        </w:tc>
        <w:tc>
          <w:tcPr>
            <w:tcW w:w="1829" w:type="dxa"/>
            <w:vAlign w:val="top"/>
          </w:tcPr>
          <w:p>
            <w:pPr>
              <w:pStyle w:val="TableText"/>
              <w:ind w:left="304"/>
              <w:spacing w:before="174" w:line="219" w:lineRule="auto"/>
              <w:rPr>
                <w:sz w:val="12"/>
                <w:szCs w:val="12"/>
              </w:rPr>
            </w:pPr>
            <w:r>
              <w:rPr>
                <w:sz w:val="12"/>
                <w:szCs w:val="12"/>
              </w:rPr>
              <w:t>明噪类生长素、杀面刻</w:t>
            </w:r>
          </w:p>
        </w:tc>
        <w:tc>
          <w:tcPr>
            <w:tcW w:w="1599" w:type="dxa"/>
            <w:vAlign w:val="top"/>
          </w:tcPr>
          <w:p>
            <w:pPr>
              <w:pStyle w:val="TableText"/>
              <w:ind w:left="555"/>
              <w:spacing w:before="174" w:line="219" w:lineRule="auto"/>
              <w:rPr>
                <w:sz w:val="12"/>
                <w:szCs w:val="12"/>
              </w:rPr>
            </w:pPr>
            <w:r>
              <w:rPr>
                <w:sz w:val="12"/>
                <w:szCs w:val="12"/>
                <w:spacing w:val="3"/>
              </w:rPr>
              <w:t>直接使用</w:t>
            </w:r>
          </w:p>
        </w:tc>
        <w:tc>
          <w:tcPr>
            <w:tcW w:w="1329" w:type="dxa"/>
            <w:vAlign w:val="top"/>
            <w:vMerge w:val="continue"/>
            <w:tcBorders>
              <w:top w:val="nil"/>
            </w:tcBorders>
          </w:tcPr>
          <w:p>
            <w:pPr>
              <w:rPr>
                <w:rFonts w:ascii="Arial"/>
                <w:sz w:val="21"/>
              </w:rPr>
            </w:pPr>
            <w:r/>
          </w:p>
        </w:tc>
        <w:tc>
          <w:tcPr>
            <w:tcW w:w="679" w:type="dxa"/>
            <w:vAlign w:val="top"/>
          </w:tcPr>
          <w:p>
            <w:pPr>
              <w:pStyle w:val="TableText"/>
              <w:ind w:left="127"/>
              <w:spacing w:before="170" w:line="214" w:lineRule="auto"/>
              <w:rPr>
                <w:sz w:val="12"/>
                <w:szCs w:val="12"/>
              </w:rPr>
            </w:pPr>
            <w:r>
              <w:rPr>
                <w:sz w:val="12"/>
                <w:szCs w:val="12"/>
                <w:spacing w:val="-1"/>
              </w:rPr>
              <w:t>450g/瓶</w:t>
            </w:r>
          </w:p>
        </w:tc>
        <w:tc>
          <w:tcPr>
            <w:tcW w:w="2563" w:type="dxa"/>
            <w:vAlign w:val="top"/>
          </w:tcPr>
          <w:p>
            <w:pPr>
              <w:pStyle w:val="TableText"/>
              <w:ind w:left="18"/>
              <w:spacing w:before="174" w:line="219" w:lineRule="auto"/>
              <w:rPr>
                <w:sz w:val="12"/>
                <w:szCs w:val="12"/>
              </w:rPr>
            </w:pPr>
            <w:r>
              <w:rPr>
                <w:sz w:val="12"/>
                <w:szCs w:val="12"/>
                <w:spacing w:val="-1"/>
              </w:rPr>
              <w:t>促进伤口快速愈合，杀面防腐</w:t>
            </w:r>
          </w:p>
        </w:tc>
      </w:tr>
    </w:tbl>
    <w:p>
      <w:pPr>
        <w:rPr>
          <w:rFonts w:ascii="Arial"/>
          <w:sz w:val="21"/>
        </w:rPr>
      </w:pPr>
      <w:r/>
    </w:p>
    <w:p>
      <w:pPr>
        <w:sectPr>
          <w:pgSz w:w="14490" w:h="10240"/>
          <w:pgMar w:top="115" w:right="284" w:bottom="400" w:left="234" w:header="0" w:footer="0" w:gutter="0"/>
        </w:sectPr>
        <w:rPr>
          <w:rFonts w:ascii="Arial" w:hAnsi="Arial" w:eastAsia="Arial" w:cs="Arial"/>
          <w:sz w:val="21"/>
          <w:szCs w:val="21"/>
        </w:rPr>
      </w:pPr>
    </w:p>
    <w:tbl>
      <w:tblPr>
        <w:tblStyle w:val="TableNormal"/>
        <w:tblW w:w="140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25"/>
        <w:gridCol w:w="640"/>
        <w:gridCol w:w="969"/>
        <w:gridCol w:w="2738"/>
        <w:gridCol w:w="1299"/>
        <w:gridCol w:w="1919"/>
        <w:gridCol w:w="1669"/>
        <w:gridCol w:w="1039"/>
        <w:gridCol w:w="759"/>
        <w:gridCol w:w="2603"/>
      </w:tblGrid>
      <w:tr>
        <w:trPr>
          <w:trHeight w:val="629" w:hRule="atLeast"/>
        </w:trPr>
        <w:tc>
          <w:tcPr>
            <w:tcW w:w="14060" w:type="dxa"/>
            <w:vAlign w:val="top"/>
            <w:gridSpan w:val="10"/>
            <w:tcBorders>
              <w:bottom w:val="single" w:color="000000" w:sz="2" w:space="0"/>
              <w:top w:val="single" w:color="000000" w:sz="2" w:space="0"/>
            </w:tcBorders>
          </w:tcPr>
          <w:p>
            <w:pPr>
              <w:pStyle w:val="TableText"/>
              <w:ind w:left="6106"/>
              <w:spacing w:before="162" w:line="218" w:lineRule="auto"/>
              <w:rPr>
                <w:sz w:val="12"/>
                <w:szCs w:val="12"/>
              </w:rPr>
            </w:pPr>
            <w:r>
              <w:rPr>
                <w:sz w:val="12"/>
                <w:szCs w:val="12"/>
                <w:b/>
                <w:bCs/>
                <w:spacing w:val="-8"/>
              </w:rPr>
              <w:t>云</w:t>
            </w:r>
            <w:r>
              <w:rPr>
                <w:sz w:val="12"/>
                <w:szCs w:val="12"/>
                <w:spacing w:val="-7"/>
              </w:rPr>
              <w:t xml:space="preserve"> </w:t>
            </w:r>
            <w:r>
              <w:rPr>
                <w:sz w:val="12"/>
                <w:szCs w:val="12"/>
                <w:b/>
                <w:bCs/>
                <w:spacing w:val="-8"/>
              </w:rPr>
              <w:t>南</w:t>
            </w:r>
            <w:r>
              <w:rPr>
                <w:sz w:val="12"/>
                <w:szCs w:val="12"/>
                <w:spacing w:val="-18"/>
              </w:rPr>
              <w:t xml:space="preserve"> </w:t>
            </w:r>
            <w:r>
              <w:rPr>
                <w:sz w:val="12"/>
                <w:szCs w:val="12"/>
                <w:b/>
                <w:bCs/>
                <w:spacing w:val="-8"/>
              </w:rPr>
              <w:t>地</w:t>
            </w:r>
            <w:r>
              <w:rPr>
                <w:sz w:val="12"/>
                <w:szCs w:val="12"/>
                <w:spacing w:val="-8"/>
              </w:rPr>
              <w:t xml:space="preserve"> </w:t>
            </w:r>
            <w:r>
              <w:rPr>
                <w:sz w:val="12"/>
                <w:szCs w:val="12"/>
                <w:b/>
                <w:bCs/>
                <w:spacing w:val="-8"/>
              </w:rPr>
              <w:t>区</w:t>
            </w:r>
            <w:r>
              <w:rPr>
                <w:sz w:val="12"/>
                <w:szCs w:val="12"/>
                <w:spacing w:val="-18"/>
              </w:rPr>
              <w:t xml:space="preserve"> </w:t>
            </w:r>
            <w:r>
              <w:rPr>
                <w:sz w:val="12"/>
                <w:szCs w:val="12"/>
                <w:b/>
                <w:bCs/>
                <w:spacing w:val="-8"/>
              </w:rPr>
              <w:t>农</w:t>
            </w:r>
            <w:r>
              <w:rPr>
                <w:sz w:val="12"/>
                <w:szCs w:val="12"/>
                <w:spacing w:val="-16"/>
              </w:rPr>
              <w:t xml:space="preserve"> </w:t>
            </w:r>
            <w:r>
              <w:rPr>
                <w:sz w:val="12"/>
                <w:szCs w:val="12"/>
                <w:b/>
                <w:bCs/>
                <w:spacing w:val="-8"/>
              </w:rPr>
              <w:t>药</w:t>
            </w:r>
            <w:r>
              <w:rPr>
                <w:sz w:val="12"/>
                <w:szCs w:val="12"/>
                <w:spacing w:val="-18"/>
              </w:rPr>
              <w:t xml:space="preserve"> </w:t>
            </w:r>
            <w:r>
              <w:rPr>
                <w:sz w:val="12"/>
                <w:szCs w:val="12"/>
                <w:b/>
                <w:bCs/>
                <w:spacing w:val="-8"/>
              </w:rPr>
              <w:t>肥</w:t>
            </w:r>
            <w:r>
              <w:rPr>
                <w:sz w:val="12"/>
                <w:szCs w:val="12"/>
                <w:spacing w:val="-18"/>
              </w:rPr>
              <w:t xml:space="preserve"> </w:t>
            </w:r>
            <w:r>
              <w:rPr>
                <w:sz w:val="12"/>
                <w:szCs w:val="12"/>
                <w:b/>
                <w:bCs/>
                <w:spacing w:val="-8"/>
              </w:rPr>
              <w:t>料</w:t>
            </w:r>
            <w:r>
              <w:rPr>
                <w:sz w:val="12"/>
                <w:szCs w:val="12"/>
                <w:spacing w:val="-17"/>
              </w:rPr>
              <w:t xml:space="preserve"> </w:t>
            </w:r>
            <w:r>
              <w:rPr>
                <w:sz w:val="12"/>
                <w:szCs w:val="12"/>
                <w:b/>
                <w:bCs/>
                <w:spacing w:val="-8"/>
              </w:rPr>
              <w:t>使</w:t>
            </w:r>
            <w:r>
              <w:rPr>
                <w:sz w:val="12"/>
                <w:szCs w:val="12"/>
                <w:spacing w:val="-17"/>
              </w:rPr>
              <w:t xml:space="preserve"> </w:t>
            </w:r>
            <w:r>
              <w:rPr>
                <w:sz w:val="12"/>
                <w:szCs w:val="12"/>
                <w:b/>
                <w:bCs/>
                <w:spacing w:val="-8"/>
              </w:rPr>
              <w:t>用</w:t>
            </w:r>
            <w:r>
              <w:rPr>
                <w:sz w:val="12"/>
                <w:szCs w:val="12"/>
                <w:spacing w:val="-17"/>
              </w:rPr>
              <w:t xml:space="preserve"> </w:t>
            </w:r>
            <w:r>
              <w:rPr>
                <w:sz w:val="12"/>
                <w:szCs w:val="12"/>
                <w:b/>
                <w:bCs/>
                <w:spacing w:val="-8"/>
              </w:rPr>
              <w:t>指</w:t>
            </w:r>
            <w:r>
              <w:rPr>
                <w:sz w:val="12"/>
                <w:szCs w:val="12"/>
                <w:spacing w:val="-14"/>
              </w:rPr>
              <w:t xml:space="preserve"> </w:t>
            </w:r>
            <w:r>
              <w:rPr>
                <w:sz w:val="12"/>
                <w:szCs w:val="12"/>
                <w:b/>
                <w:bCs/>
                <w:spacing w:val="-8"/>
              </w:rPr>
              <w:t>导</w:t>
            </w:r>
          </w:p>
          <w:p>
            <w:pPr>
              <w:pStyle w:val="TableText"/>
              <w:ind w:left="4775"/>
              <w:spacing w:before="47" w:line="218" w:lineRule="auto"/>
              <w:rPr>
                <w:sz w:val="12"/>
                <w:szCs w:val="12"/>
              </w:rPr>
            </w:pPr>
            <w:r>
              <w:rPr>
                <w:sz w:val="12"/>
                <w:szCs w:val="12"/>
                <w:spacing w:val="-2"/>
              </w:rPr>
              <w:t>(</w:t>
            </w:r>
            <w:r>
              <w:rPr>
                <w:sz w:val="12"/>
                <w:szCs w:val="12"/>
                <w:spacing w:val="-33"/>
              </w:rPr>
              <w:t xml:space="preserve"> </w:t>
            </w:r>
            <w:r>
              <w:rPr>
                <w:sz w:val="12"/>
                <w:szCs w:val="12"/>
                <w:b/>
                <w:bCs/>
                <w:spacing w:val="-2"/>
              </w:rPr>
              <w:t>本表中药品供参考，如有同类且成分相同、价格合理、低毒高效的药品，可选择使用</w:t>
            </w:r>
            <w:r>
              <w:rPr>
                <w:sz w:val="12"/>
                <w:szCs w:val="12"/>
                <w:spacing w:val="-2"/>
              </w:rPr>
              <w:t>)</w:t>
            </w:r>
          </w:p>
        </w:tc>
      </w:tr>
      <w:tr>
        <w:trPr>
          <w:trHeight w:val="514" w:hRule="atLeast"/>
        </w:trPr>
        <w:tc>
          <w:tcPr>
            <w:tcW w:w="425" w:type="dxa"/>
            <w:vAlign w:val="top"/>
            <w:tcBorders>
              <w:bottom w:val="single" w:color="000000" w:sz="2" w:space="0"/>
              <w:top w:val="single" w:color="000000" w:sz="2" w:space="0"/>
            </w:tcBorders>
          </w:tcPr>
          <w:p>
            <w:pPr>
              <w:pStyle w:val="TableText"/>
              <w:ind w:left="86"/>
              <w:spacing w:before="198" w:line="219" w:lineRule="auto"/>
              <w:rPr>
                <w:sz w:val="12"/>
                <w:szCs w:val="12"/>
              </w:rPr>
            </w:pPr>
            <w:r>
              <w:rPr>
                <w:sz w:val="12"/>
                <w:szCs w:val="12"/>
                <w:b/>
                <w:bCs/>
                <w:spacing w:val="-3"/>
              </w:rPr>
              <w:t>分类</w:t>
            </w:r>
          </w:p>
        </w:tc>
        <w:tc>
          <w:tcPr>
            <w:tcW w:w="640" w:type="dxa"/>
            <w:vAlign w:val="top"/>
            <w:tcBorders>
              <w:bottom w:val="single" w:color="000000" w:sz="2" w:space="0"/>
              <w:top w:val="single" w:color="000000" w:sz="2" w:space="0"/>
            </w:tcBorders>
          </w:tcPr>
          <w:p>
            <w:pPr>
              <w:pStyle w:val="TableText"/>
              <w:ind w:left="11"/>
              <w:spacing w:before="118" w:line="219" w:lineRule="auto"/>
              <w:rPr>
                <w:sz w:val="12"/>
                <w:szCs w:val="12"/>
              </w:rPr>
            </w:pPr>
            <w:r>
              <w:rPr>
                <w:sz w:val="12"/>
                <w:szCs w:val="12"/>
                <w:b/>
                <w:bCs/>
                <w:spacing w:val="-3"/>
              </w:rPr>
              <w:t>消杀预防及</w:t>
            </w:r>
          </w:p>
          <w:p>
            <w:pPr>
              <w:pStyle w:val="TableText"/>
              <w:ind w:left="11"/>
              <w:spacing w:before="17" w:line="219" w:lineRule="auto"/>
              <w:rPr>
                <w:sz w:val="12"/>
                <w:szCs w:val="12"/>
              </w:rPr>
            </w:pPr>
            <w:r>
              <w:rPr>
                <w:sz w:val="12"/>
                <w:szCs w:val="12"/>
                <w:b/>
                <w:bCs/>
                <w:spacing w:val="-2"/>
              </w:rPr>
              <w:t>病虫害分类</w:t>
            </w:r>
          </w:p>
        </w:tc>
        <w:tc>
          <w:tcPr>
            <w:tcW w:w="969" w:type="dxa"/>
            <w:vAlign w:val="top"/>
            <w:tcBorders>
              <w:bottom w:val="single" w:color="000000" w:sz="2" w:space="0"/>
              <w:top w:val="single" w:color="000000" w:sz="2" w:space="0"/>
            </w:tcBorders>
          </w:tcPr>
          <w:p>
            <w:pPr>
              <w:pStyle w:val="TableText"/>
              <w:ind w:left="171"/>
              <w:spacing w:before="198" w:line="219" w:lineRule="auto"/>
              <w:rPr>
                <w:sz w:val="12"/>
                <w:szCs w:val="12"/>
              </w:rPr>
            </w:pPr>
            <w:r>
              <w:rPr>
                <w:sz w:val="12"/>
                <w:szCs w:val="12"/>
                <w:b/>
                <w:bCs/>
                <w:spacing w:val="-3"/>
              </w:rPr>
              <w:t>常见病虫害</w:t>
            </w:r>
          </w:p>
        </w:tc>
        <w:tc>
          <w:tcPr>
            <w:tcW w:w="2738" w:type="dxa"/>
            <w:vAlign w:val="top"/>
            <w:tcBorders>
              <w:bottom w:val="single" w:color="000000" w:sz="2" w:space="0"/>
              <w:top w:val="single" w:color="000000" w:sz="2" w:space="0"/>
            </w:tcBorders>
          </w:tcPr>
          <w:p>
            <w:pPr>
              <w:pStyle w:val="TableText"/>
              <w:ind w:left="1032"/>
              <w:spacing w:before="198" w:line="219" w:lineRule="auto"/>
              <w:rPr>
                <w:sz w:val="12"/>
                <w:szCs w:val="12"/>
              </w:rPr>
            </w:pPr>
            <w:r>
              <w:rPr>
                <w:sz w:val="12"/>
                <w:szCs w:val="12"/>
                <w:b/>
                <w:bCs/>
                <w:spacing w:val="-3"/>
              </w:rPr>
              <w:t>主要发病月份</w:t>
            </w:r>
          </w:p>
        </w:tc>
        <w:tc>
          <w:tcPr>
            <w:tcW w:w="1299" w:type="dxa"/>
            <w:vAlign w:val="top"/>
            <w:tcBorders>
              <w:bottom w:val="single" w:color="000000" w:sz="2" w:space="0"/>
              <w:top w:val="single" w:color="000000" w:sz="2" w:space="0"/>
            </w:tcBorders>
          </w:tcPr>
          <w:p>
            <w:pPr>
              <w:pStyle w:val="TableText"/>
              <w:ind w:left="404"/>
              <w:spacing w:before="198" w:line="220" w:lineRule="auto"/>
              <w:rPr>
                <w:sz w:val="12"/>
                <w:szCs w:val="12"/>
              </w:rPr>
            </w:pPr>
            <w:r>
              <w:rPr>
                <w:sz w:val="12"/>
                <w:szCs w:val="12"/>
                <w:b/>
                <w:bCs/>
                <w:spacing w:val="-3"/>
              </w:rPr>
              <w:t>药品名称</w:t>
            </w:r>
          </w:p>
        </w:tc>
        <w:tc>
          <w:tcPr>
            <w:tcW w:w="1919" w:type="dxa"/>
            <w:vAlign w:val="top"/>
            <w:tcBorders>
              <w:bottom w:val="single" w:color="000000" w:sz="2" w:space="0"/>
              <w:top w:val="single" w:color="000000" w:sz="2" w:space="0"/>
            </w:tcBorders>
          </w:tcPr>
          <w:p>
            <w:pPr>
              <w:pStyle w:val="TableText"/>
              <w:ind w:left="715"/>
              <w:spacing w:before="198" w:line="220" w:lineRule="auto"/>
              <w:rPr>
                <w:sz w:val="12"/>
                <w:szCs w:val="12"/>
              </w:rPr>
            </w:pPr>
            <w:r>
              <w:rPr>
                <w:sz w:val="12"/>
                <w:szCs w:val="12"/>
                <w:b/>
                <w:bCs/>
                <w:spacing w:val="-3"/>
              </w:rPr>
              <w:t>主要成分</w:t>
            </w:r>
          </w:p>
        </w:tc>
        <w:tc>
          <w:tcPr>
            <w:tcW w:w="1669" w:type="dxa"/>
            <w:vAlign w:val="top"/>
            <w:tcBorders>
              <w:bottom w:val="single" w:color="000000" w:sz="2" w:space="0"/>
              <w:top w:val="single" w:color="000000" w:sz="2" w:space="0"/>
            </w:tcBorders>
          </w:tcPr>
          <w:p>
            <w:pPr>
              <w:pStyle w:val="TableText"/>
              <w:ind w:left="586"/>
              <w:spacing w:before="198" w:line="219" w:lineRule="auto"/>
              <w:rPr>
                <w:sz w:val="12"/>
                <w:szCs w:val="12"/>
              </w:rPr>
            </w:pPr>
            <w:r>
              <w:rPr>
                <w:sz w:val="12"/>
                <w:szCs w:val="12"/>
                <w:b/>
                <w:bCs/>
                <w:spacing w:val="-3"/>
              </w:rPr>
              <w:t>使用倍率</w:t>
            </w:r>
          </w:p>
        </w:tc>
        <w:tc>
          <w:tcPr>
            <w:tcW w:w="1039" w:type="dxa"/>
            <w:vAlign w:val="top"/>
            <w:tcBorders>
              <w:bottom w:val="single" w:color="000000" w:sz="2" w:space="0"/>
              <w:top w:val="single" w:color="000000" w:sz="2" w:space="0"/>
            </w:tcBorders>
          </w:tcPr>
          <w:p>
            <w:pPr>
              <w:pStyle w:val="TableText"/>
              <w:ind w:left="277"/>
              <w:spacing w:before="198" w:line="219" w:lineRule="auto"/>
              <w:rPr>
                <w:sz w:val="12"/>
                <w:szCs w:val="12"/>
              </w:rPr>
            </w:pPr>
            <w:r>
              <w:rPr>
                <w:sz w:val="12"/>
                <w:szCs w:val="12"/>
                <w:b/>
                <w:bCs/>
                <w:spacing w:val="-3"/>
              </w:rPr>
              <w:t>施用次数</w:t>
            </w:r>
          </w:p>
        </w:tc>
        <w:tc>
          <w:tcPr>
            <w:tcW w:w="759" w:type="dxa"/>
            <w:vAlign w:val="top"/>
            <w:tcBorders>
              <w:bottom w:val="single" w:color="000000" w:sz="2" w:space="0"/>
              <w:top w:val="single" w:color="000000" w:sz="2" w:space="0"/>
            </w:tcBorders>
          </w:tcPr>
          <w:p>
            <w:pPr>
              <w:pStyle w:val="TableText"/>
              <w:ind w:left="258"/>
              <w:spacing w:before="198" w:line="219" w:lineRule="auto"/>
              <w:rPr>
                <w:sz w:val="12"/>
                <w:szCs w:val="12"/>
              </w:rPr>
            </w:pPr>
            <w:r>
              <w:rPr>
                <w:sz w:val="12"/>
                <w:szCs w:val="12"/>
                <w:b/>
                <w:bCs/>
                <w:spacing w:val="-3"/>
              </w:rPr>
              <w:t>规格</w:t>
            </w:r>
          </w:p>
        </w:tc>
        <w:tc>
          <w:tcPr>
            <w:tcW w:w="2603" w:type="dxa"/>
            <w:vAlign w:val="top"/>
            <w:tcBorders>
              <w:bottom w:val="single" w:color="000000" w:sz="2" w:space="0"/>
              <w:top w:val="single" w:color="000000" w:sz="2" w:space="0"/>
            </w:tcBorders>
          </w:tcPr>
          <w:p>
            <w:pPr>
              <w:pStyle w:val="TableText"/>
              <w:ind w:left="1189"/>
              <w:spacing w:before="198" w:line="221" w:lineRule="auto"/>
              <w:rPr>
                <w:sz w:val="12"/>
                <w:szCs w:val="12"/>
              </w:rPr>
            </w:pPr>
            <w:r>
              <w:rPr>
                <w:sz w:val="12"/>
                <w:szCs w:val="12"/>
                <w:b/>
                <w:bCs/>
                <w:spacing w:val="-3"/>
              </w:rPr>
              <w:t>备注</w:t>
            </w:r>
          </w:p>
        </w:tc>
      </w:tr>
      <w:tr>
        <w:trPr>
          <w:trHeight w:val="365" w:hRule="atLeast"/>
        </w:trPr>
        <w:tc>
          <w:tcPr>
            <w:tcW w:w="425"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4"/>
              <w:spacing w:before="39" w:line="218" w:lineRule="auto"/>
              <w:rPr>
                <w:sz w:val="12"/>
                <w:szCs w:val="12"/>
              </w:rPr>
            </w:pPr>
            <w:r>
              <w:rPr>
                <w:sz w:val="12"/>
                <w:szCs w:val="12"/>
                <w:spacing w:val="-2"/>
              </w:rPr>
              <w:t>柔菌剂</w:t>
            </w:r>
          </w:p>
        </w:tc>
        <w:tc>
          <w:tcPr>
            <w:tcW w:w="640" w:type="dxa"/>
            <w:vAlign w:val="top"/>
            <w:vMerge w:val="restart"/>
            <w:tcBorders>
              <w:bottom w:val="nil"/>
              <w:top w:val="single" w:color="000000" w:sz="2" w:space="0"/>
            </w:tcBorders>
          </w:tcPr>
          <w:p>
            <w:pPr>
              <w:spacing w:line="398" w:lineRule="auto"/>
              <w:rPr>
                <w:rFonts w:ascii="Arial"/>
                <w:sz w:val="21"/>
              </w:rPr>
            </w:pPr>
            <w:r/>
          </w:p>
          <w:p>
            <w:pPr>
              <w:pStyle w:val="TableText"/>
              <w:ind w:right="15"/>
              <w:spacing w:before="39" w:line="219" w:lineRule="auto"/>
              <w:jc w:val="right"/>
              <w:rPr>
                <w:sz w:val="12"/>
                <w:szCs w:val="12"/>
              </w:rPr>
            </w:pPr>
            <w:r>
              <w:rPr>
                <w:sz w:val="12"/>
                <w:szCs w:val="12"/>
                <w:spacing w:val="-2"/>
              </w:rPr>
              <w:t>消杀预防</w:t>
            </w:r>
          </w:p>
        </w:tc>
        <w:tc>
          <w:tcPr>
            <w:tcW w:w="969" w:type="dxa"/>
            <w:vAlign w:val="top"/>
            <w:vMerge w:val="restart"/>
            <w:tcBorders>
              <w:bottom w:val="nil"/>
              <w:top w:val="single" w:color="000000" w:sz="2" w:space="0"/>
            </w:tcBorders>
          </w:tcPr>
          <w:p>
            <w:pPr>
              <w:spacing w:line="309" w:lineRule="auto"/>
              <w:rPr>
                <w:rFonts w:ascii="Arial"/>
                <w:sz w:val="21"/>
              </w:rPr>
            </w:pPr>
            <w:r/>
          </w:p>
          <w:p>
            <w:pPr>
              <w:pStyle w:val="TableText"/>
              <w:ind w:left="50"/>
              <w:spacing w:before="39" w:line="219" w:lineRule="auto"/>
              <w:rPr>
                <w:sz w:val="12"/>
                <w:szCs w:val="12"/>
              </w:rPr>
            </w:pPr>
            <w:r>
              <w:rPr>
                <w:sz w:val="12"/>
                <w:szCs w:val="12"/>
                <w:spacing w:val="-1"/>
              </w:rPr>
              <w:t>全园区的菌类病</w:t>
            </w:r>
          </w:p>
          <w:p>
            <w:pPr>
              <w:pStyle w:val="TableText"/>
              <w:ind w:left="230"/>
              <w:spacing w:before="27" w:line="219" w:lineRule="auto"/>
              <w:rPr>
                <w:sz w:val="12"/>
                <w:szCs w:val="12"/>
              </w:rPr>
            </w:pPr>
            <w:r>
              <w:rPr>
                <w:sz w:val="12"/>
                <w:szCs w:val="12"/>
                <w:spacing w:val="-2"/>
              </w:rPr>
              <w:t>菌、虫卵</w:t>
            </w:r>
          </w:p>
        </w:tc>
        <w:tc>
          <w:tcPr>
            <w:tcW w:w="2738" w:type="dxa"/>
            <w:vAlign w:val="top"/>
            <w:vMerge w:val="restart"/>
            <w:tcBorders>
              <w:bottom w:val="nil"/>
              <w:top w:val="single" w:color="000000" w:sz="2" w:space="0"/>
            </w:tcBorders>
          </w:tcPr>
          <w:p>
            <w:pPr>
              <w:spacing w:line="398" w:lineRule="auto"/>
              <w:rPr>
                <w:rFonts w:ascii="Arial"/>
                <w:sz w:val="21"/>
              </w:rPr>
            </w:pPr>
            <w:r/>
          </w:p>
          <w:p>
            <w:pPr>
              <w:pStyle w:val="TableText"/>
              <w:ind w:left="11"/>
              <w:spacing w:before="39" w:line="219" w:lineRule="auto"/>
              <w:rPr>
                <w:sz w:val="12"/>
                <w:szCs w:val="12"/>
              </w:rPr>
            </w:pPr>
            <w:r>
              <w:rPr>
                <w:sz w:val="12"/>
                <w:szCs w:val="12"/>
                <w:spacing w:val="-1"/>
              </w:rPr>
              <w:t>1-3月气温回升时全园区消杀I-2次</w:t>
            </w:r>
          </w:p>
        </w:tc>
        <w:tc>
          <w:tcPr>
            <w:tcW w:w="1299" w:type="dxa"/>
            <w:vAlign w:val="top"/>
            <w:tcBorders>
              <w:bottom w:val="single" w:color="000000" w:sz="2" w:space="0"/>
              <w:top w:val="single" w:color="000000" w:sz="2" w:space="0"/>
            </w:tcBorders>
          </w:tcPr>
          <w:p>
            <w:pPr>
              <w:pStyle w:val="TableText"/>
              <w:ind w:left="403"/>
              <w:spacing w:before="150" w:line="220" w:lineRule="auto"/>
              <w:rPr>
                <w:sz w:val="12"/>
                <w:szCs w:val="12"/>
              </w:rPr>
            </w:pPr>
            <w:r>
              <w:rPr>
                <w:sz w:val="12"/>
                <w:szCs w:val="12"/>
                <w:spacing w:val="-1"/>
              </w:rPr>
              <w:t>波尔多液</w:t>
            </w:r>
          </w:p>
        </w:tc>
        <w:tc>
          <w:tcPr>
            <w:tcW w:w="1919" w:type="dxa"/>
            <w:vAlign w:val="top"/>
            <w:tcBorders>
              <w:bottom w:val="single" w:color="000000" w:sz="2" w:space="0"/>
              <w:top w:val="single" w:color="000000" w:sz="2" w:space="0"/>
            </w:tcBorders>
          </w:tcPr>
          <w:p>
            <w:pPr>
              <w:pStyle w:val="TableText"/>
              <w:ind w:left="654"/>
              <w:spacing w:before="120" w:line="220" w:lineRule="auto"/>
              <w:rPr>
                <w:sz w:val="12"/>
                <w:szCs w:val="12"/>
              </w:rPr>
            </w:pPr>
            <w:r>
              <w:rPr>
                <w:sz w:val="12"/>
                <w:szCs w:val="12"/>
                <w:spacing w:val="-1"/>
              </w:rPr>
              <w:t>碱式院酸铜</w:t>
            </w:r>
          </w:p>
        </w:tc>
        <w:tc>
          <w:tcPr>
            <w:tcW w:w="1669" w:type="dxa"/>
            <w:vAlign w:val="top"/>
            <w:tcBorders>
              <w:bottom w:val="single" w:color="000000" w:sz="2" w:space="0"/>
              <w:top w:val="single" w:color="000000" w:sz="2" w:space="0"/>
            </w:tcBorders>
          </w:tcPr>
          <w:p>
            <w:pPr>
              <w:pStyle w:val="TableText"/>
              <w:ind w:left="554"/>
              <w:spacing w:before="120" w:line="220" w:lineRule="auto"/>
              <w:rPr>
                <w:sz w:val="12"/>
                <w:szCs w:val="12"/>
              </w:rPr>
            </w:pPr>
            <w:r>
              <w:rPr>
                <w:sz w:val="12"/>
                <w:szCs w:val="12"/>
                <w:spacing w:val="-6"/>
              </w:rPr>
              <w:t>160—240倍</w:t>
            </w:r>
          </w:p>
        </w:tc>
        <w:tc>
          <w:tcPr>
            <w:tcW w:w="1039" w:type="dxa"/>
            <w:vAlign w:val="top"/>
            <w:vMerge w:val="restart"/>
            <w:tcBorders>
              <w:bottom w:val="nil"/>
              <w:top w:val="single" w:color="000000" w:sz="2" w:space="0"/>
            </w:tcBorders>
          </w:tcPr>
          <w:p>
            <w:pPr>
              <w:spacing w:line="401" w:lineRule="auto"/>
              <w:rPr>
                <w:rFonts w:ascii="Arial"/>
                <w:sz w:val="21"/>
              </w:rPr>
            </w:pPr>
            <w:r/>
          </w:p>
          <w:p>
            <w:pPr>
              <w:pStyle w:val="TableText"/>
              <w:ind w:left="486"/>
              <w:spacing w:before="39" w:line="224" w:lineRule="auto"/>
              <w:rPr>
                <w:sz w:val="12"/>
                <w:szCs w:val="12"/>
              </w:rPr>
            </w:pPr>
            <w:r>
              <w:rPr>
                <w:sz w:val="12"/>
                <w:szCs w:val="12"/>
              </w:rPr>
              <w:t>/</w:t>
            </w:r>
          </w:p>
        </w:tc>
        <w:tc>
          <w:tcPr>
            <w:tcW w:w="759" w:type="dxa"/>
            <w:vAlign w:val="top"/>
            <w:tcBorders>
              <w:bottom w:val="single" w:color="000000" w:sz="2" w:space="0"/>
              <w:top w:val="single" w:color="000000" w:sz="2" w:space="0"/>
            </w:tcBorders>
          </w:tcPr>
          <w:p>
            <w:pPr>
              <w:pStyle w:val="TableText"/>
              <w:ind w:left="167"/>
              <w:spacing w:before="146" w:line="213" w:lineRule="auto"/>
              <w:rPr>
                <w:sz w:val="12"/>
                <w:szCs w:val="12"/>
              </w:rPr>
            </w:pPr>
            <w:r>
              <w:rPr>
                <w:sz w:val="12"/>
                <w:szCs w:val="12"/>
                <w:spacing w:val="-1"/>
              </w:rPr>
              <w:t>200g/袋</w:t>
            </w:r>
          </w:p>
        </w:tc>
        <w:tc>
          <w:tcPr>
            <w:tcW w:w="2603" w:type="dxa"/>
            <w:vAlign w:val="top"/>
            <w:tcBorders>
              <w:bottom w:val="single" w:color="000000" w:sz="2" w:space="0"/>
              <w:top w:val="single" w:color="000000" w:sz="2" w:space="0"/>
            </w:tcBorders>
          </w:tcPr>
          <w:p>
            <w:pPr>
              <w:pStyle w:val="TableText"/>
              <w:ind w:left="17" w:right="45"/>
              <w:spacing w:before="59" w:line="227" w:lineRule="auto"/>
              <w:rPr>
                <w:sz w:val="12"/>
                <w:szCs w:val="12"/>
              </w:rPr>
            </w:pPr>
            <w:r>
              <w:rPr>
                <w:sz w:val="12"/>
                <w:szCs w:val="12"/>
              </w:rPr>
              <w:t>防治落叶病、炭痘病、炭疽病、霜霉病。不能与</w:t>
            </w:r>
            <w:r>
              <w:rPr>
                <w:sz w:val="12"/>
                <w:szCs w:val="12"/>
                <w:spacing w:val="8"/>
              </w:rPr>
              <w:t xml:space="preserve"> </w:t>
            </w:r>
            <w:r>
              <w:rPr>
                <w:sz w:val="12"/>
                <w:szCs w:val="12"/>
                <w:spacing w:val="-1"/>
              </w:rPr>
              <w:t>石硫合剂等碱性衣药混用</w:t>
            </w:r>
          </w:p>
        </w:tc>
      </w:tr>
      <w:tr>
        <w:trPr>
          <w:trHeight w:val="36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283"/>
              <w:spacing w:before="149" w:line="218" w:lineRule="auto"/>
              <w:rPr>
                <w:sz w:val="12"/>
                <w:szCs w:val="12"/>
              </w:rPr>
            </w:pPr>
            <w:r>
              <w:rPr>
                <w:sz w:val="12"/>
                <w:szCs w:val="12"/>
                <w:spacing w:val="1"/>
              </w:rPr>
              <w:t>晶体石硫合剂</w:t>
            </w:r>
          </w:p>
        </w:tc>
        <w:tc>
          <w:tcPr>
            <w:tcW w:w="1919" w:type="dxa"/>
            <w:vAlign w:val="top"/>
            <w:tcBorders>
              <w:bottom w:val="single" w:color="000000" w:sz="2" w:space="0"/>
              <w:top w:val="single" w:color="000000" w:sz="2" w:space="0"/>
            </w:tcBorders>
          </w:tcPr>
          <w:p>
            <w:pPr>
              <w:pStyle w:val="TableText"/>
              <w:ind w:left="714"/>
              <w:spacing w:before="150" w:line="221" w:lineRule="auto"/>
              <w:rPr>
                <w:sz w:val="12"/>
                <w:szCs w:val="12"/>
              </w:rPr>
            </w:pPr>
            <w:r>
              <w:rPr>
                <w:sz w:val="12"/>
                <w:szCs w:val="12"/>
                <w:spacing w:val="-2"/>
              </w:rPr>
              <w:t>多硫化钙</w:t>
            </w:r>
          </w:p>
        </w:tc>
        <w:tc>
          <w:tcPr>
            <w:tcW w:w="1669" w:type="dxa"/>
            <w:vAlign w:val="top"/>
            <w:tcBorders>
              <w:bottom w:val="single" w:color="000000" w:sz="2" w:space="0"/>
              <w:top w:val="single" w:color="000000" w:sz="2" w:space="0"/>
            </w:tcBorders>
          </w:tcPr>
          <w:p>
            <w:pPr>
              <w:pStyle w:val="TableText"/>
              <w:ind w:left="524"/>
              <w:spacing w:before="160" w:line="220" w:lineRule="auto"/>
              <w:rPr>
                <w:sz w:val="12"/>
                <w:szCs w:val="12"/>
              </w:rPr>
            </w:pPr>
            <w:r>
              <w:rPr>
                <w:sz w:val="12"/>
                <w:szCs w:val="12"/>
                <w:spacing w:val="-6"/>
              </w:rPr>
              <w:t>800—1000倍</w:t>
            </w:r>
          </w:p>
        </w:tc>
        <w:tc>
          <w:tcPr>
            <w:tcW w:w="1039" w:type="dxa"/>
            <w:vAlign w:val="top"/>
            <w:vMerge w:val="continue"/>
            <w:tcBorders>
              <w:bottom w:val="nil"/>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06"/>
              <w:spacing w:before="146" w:line="213" w:lineRule="auto"/>
              <w:rPr>
                <w:sz w:val="12"/>
                <w:szCs w:val="12"/>
              </w:rPr>
            </w:pPr>
            <w:r>
              <w:rPr>
                <w:sz w:val="12"/>
                <w:szCs w:val="12"/>
                <w:spacing w:val="3"/>
              </w:rPr>
              <w:t>(400g/袋)</w:t>
            </w:r>
          </w:p>
        </w:tc>
        <w:tc>
          <w:tcPr>
            <w:tcW w:w="2603" w:type="dxa"/>
            <w:vAlign w:val="top"/>
            <w:tcBorders>
              <w:bottom w:val="single" w:color="000000" w:sz="2" w:space="0"/>
              <w:top w:val="single" w:color="000000" w:sz="2" w:space="0"/>
            </w:tcBorders>
          </w:tcPr>
          <w:p>
            <w:pPr>
              <w:pStyle w:val="TableText"/>
              <w:ind w:left="86" w:right="54" w:hanging="69"/>
              <w:spacing w:before="69" w:line="210" w:lineRule="auto"/>
              <w:rPr>
                <w:sz w:val="12"/>
                <w:szCs w:val="12"/>
              </w:rPr>
            </w:pPr>
            <w:r>
              <w:rPr>
                <w:sz w:val="12"/>
                <w:szCs w:val="12"/>
              </w:rPr>
              <w:t>价格低廉、效果好、对多种病菌具有抑杀作用。 </w:t>
            </w:r>
            <w:r>
              <w:rPr>
                <w:sz w:val="12"/>
                <w:szCs w:val="12"/>
                <w:spacing w:val="2"/>
              </w:rPr>
              <w:t>区消杀使用</w:t>
            </w:r>
          </w:p>
        </w:tc>
      </w:tr>
      <w:tr>
        <w:trPr>
          <w:trHeight w:val="255"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69" w:type="dxa"/>
            <w:vAlign w:val="top"/>
            <w:vMerge w:val="continue"/>
            <w:tcBorders>
              <w:bottom w:val="single" w:color="000000" w:sz="2" w:space="0"/>
              <w:top w:val="nil"/>
            </w:tcBorders>
          </w:tcPr>
          <w:p>
            <w:pPr>
              <w:rPr>
                <w:rFonts w:ascii="Arial"/>
                <w:sz w:val="21"/>
              </w:rPr>
            </w:pPr>
            <w:r/>
          </w:p>
        </w:tc>
        <w:tc>
          <w:tcPr>
            <w:tcW w:w="2738" w:type="dxa"/>
            <w:vAlign w:val="top"/>
            <w:vMerge w:val="continue"/>
            <w:tcBorders>
              <w:bottom w:val="single" w:color="000000" w:sz="2" w:space="0"/>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283"/>
              <w:spacing w:before="70" w:line="218" w:lineRule="auto"/>
              <w:rPr>
                <w:sz w:val="12"/>
                <w:szCs w:val="12"/>
              </w:rPr>
            </w:pPr>
            <w:r>
              <w:rPr>
                <w:sz w:val="12"/>
                <w:szCs w:val="12"/>
                <w:spacing w:val="-1"/>
              </w:rPr>
              <w:t>诺替信速介清</w:t>
            </w:r>
          </w:p>
        </w:tc>
        <w:tc>
          <w:tcPr>
            <w:tcW w:w="1919" w:type="dxa"/>
            <w:vAlign w:val="top"/>
            <w:tcBorders>
              <w:bottom w:val="single" w:color="000000" w:sz="2" w:space="0"/>
              <w:top w:val="single" w:color="000000" w:sz="2" w:space="0"/>
            </w:tcBorders>
          </w:tcPr>
          <w:p>
            <w:pPr>
              <w:pStyle w:val="TableText"/>
              <w:ind w:left="684"/>
              <w:spacing w:before="70" w:line="219" w:lineRule="auto"/>
              <w:rPr>
                <w:sz w:val="12"/>
                <w:szCs w:val="12"/>
              </w:rPr>
            </w:pPr>
            <w:r>
              <w:rPr>
                <w:sz w:val="12"/>
                <w:szCs w:val="12"/>
                <w:spacing w:val="-2"/>
              </w:rPr>
              <w:t>杀扑磷40%</w:t>
            </w:r>
          </w:p>
        </w:tc>
        <w:tc>
          <w:tcPr>
            <w:tcW w:w="1669" w:type="dxa"/>
            <w:vAlign w:val="top"/>
            <w:tcBorders>
              <w:bottom w:val="single" w:color="000000" w:sz="2" w:space="0"/>
              <w:top w:val="single" w:color="000000" w:sz="2" w:space="0"/>
            </w:tcBorders>
          </w:tcPr>
          <w:p>
            <w:pPr>
              <w:pStyle w:val="TableText"/>
              <w:ind w:left="484"/>
              <w:spacing w:before="70" w:line="220" w:lineRule="auto"/>
              <w:rPr>
                <w:sz w:val="12"/>
                <w:szCs w:val="12"/>
              </w:rPr>
            </w:pPr>
            <w:r>
              <w:rPr>
                <w:sz w:val="12"/>
                <w:szCs w:val="12"/>
                <w:spacing w:val="12"/>
                <w:w w:val="109"/>
              </w:rPr>
              <w:t>8001000倍</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06"/>
              <w:spacing w:before="71"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spacing w:before="70" w:line="218" w:lineRule="auto"/>
              <w:rPr>
                <w:sz w:val="12"/>
                <w:szCs w:val="12"/>
              </w:rPr>
            </w:pPr>
            <w:r>
              <w:rPr>
                <w:sz w:val="12"/>
                <w:szCs w:val="12"/>
                <w:spacing w:val="-2"/>
              </w:rPr>
              <w:t>防治介壳虫</w:t>
            </w:r>
          </w:p>
        </w:tc>
      </w:tr>
      <w:tr>
        <w:trPr>
          <w:trHeight w:val="215" w:hRule="atLeast"/>
        </w:trPr>
        <w:tc>
          <w:tcPr>
            <w:tcW w:w="425" w:type="dxa"/>
            <w:vAlign w:val="top"/>
            <w:vMerge w:val="continue"/>
            <w:tcBorders>
              <w:bottom w:val="nil"/>
              <w:top w:val="nil"/>
            </w:tcBorders>
          </w:tcPr>
          <w:p>
            <w:pPr>
              <w:rPr>
                <w:rFonts w:ascii="Arial"/>
                <w:sz w:val="21"/>
              </w:rPr>
            </w:pPr>
            <w:r/>
          </w:p>
        </w:tc>
        <w:tc>
          <w:tcPr>
            <w:tcW w:w="640"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30"/>
              <w:spacing w:before="39" w:line="219" w:lineRule="auto"/>
              <w:rPr>
                <w:sz w:val="12"/>
                <w:szCs w:val="12"/>
              </w:rPr>
            </w:pPr>
            <w:r>
              <w:rPr>
                <w:sz w:val="12"/>
                <w:szCs w:val="12"/>
                <w:spacing w:val="-1"/>
              </w:rPr>
              <w:t>病菌类</w:t>
            </w:r>
          </w:p>
        </w:tc>
        <w:tc>
          <w:tcPr>
            <w:tcW w:w="969"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TableText"/>
              <w:ind w:left="110"/>
              <w:spacing w:before="39" w:line="219" w:lineRule="auto"/>
              <w:rPr>
                <w:sz w:val="12"/>
                <w:szCs w:val="12"/>
              </w:rPr>
            </w:pPr>
            <w:r>
              <w:rPr>
                <w:sz w:val="12"/>
                <w:szCs w:val="12"/>
                <w:spacing w:val="-1"/>
              </w:rPr>
              <w:t>炭殖病，白粉</w:t>
            </w:r>
          </w:p>
          <w:p>
            <w:pPr>
              <w:pStyle w:val="TableText"/>
              <w:ind w:left="100"/>
              <w:spacing w:before="7" w:line="219" w:lineRule="auto"/>
              <w:rPr>
                <w:sz w:val="12"/>
                <w:szCs w:val="12"/>
              </w:rPr>
            </w:pPr>
            <w:r>
              <w:rPr>
                <w:sz w:val="12"/>
                <w:szCs w:val="12"/>
                <w:spacing w:val="-1"/>
              </w:rPr>
              <w:t>病，锈病、叶枯</w:t>
            </w:r>
          </w:p>
          <w:p>
            <w:pPr>
              <w:pStyle w:val="TableText"/>
              <w:ind w:left="170"/>
              <w:spacing w:before="17" w:line="219" w:lineRule="auto"/>
              <w:rPr>
                <w:sz w:val="12"/>
                <w:szCs w:val="12"/>
              </w:rPr>
            </w:pPr>
            <w:r>
              <w:rPr>
                <w:sz w:val="12"/>
                <w:szCs w:val="12"/>
                <w:spacing w:val="-1"/>
              </w:rPr>
              <w:t>病，叶斑病</w:t>
            </w:r>
          </w:p>
        </w:tc>
        <w:tc>
          <w:tcPr>
            <w:tcW w:w="2738" w:type="dxa"/>
            <w:vAlign w:val="top"/>
            <w:vMerge w:val="restart"/>
            <w:tcBorders>
              <w:bottom w:val="nil"/>
              <w:top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
              <w:spacing w:before="39" w:line="218" w:lineRule="auto"/>
              <w:rPr>
                <w:sz w:val="12"/>
                <w:szCs w:val="12"/>
              </w:rPr>
            </w:pPr>
            <w:r>
              <w:rPr>
                <w:sz w:val="12"/>
                <w:szCs w:val="12"/>
                <w:spacing w:val="-1"/>
              </w:rPr>
              <w:t>一，4-6月全园区预防性喷施保护药剂，以消杀为主</w:t>
            </w:r>
          </w:p>
          <w:p>
            <w:pPr>
              <w:pStyle w:val="TableText"/>
              <w:ind w:left="11" w:right="381"/>
              <w:spacing w:before="137" w:line="237" w:lineRule="auto"/>
              <w:rPr>
                <w:sz w:val="12"/>
                <w:szCs w:val="12"/>
              </w:rPr>
            </w:pPr>
            <w:r>
              <w:rPr>
                <w:sz w:val="12"/>
                <w:szCs w:val="12"/>
                <w:spacing w:val="-1"/>
              </w:rPr>
              <w:t>三、7-9月为高发期。有发现病情，及时喷药</w:t>
            </w:r>
            <w:r>
              <w:rPr>
                <w:sz w:val="12"/>
                <w:szCs w:val="12"/>
                <w:spacing w:val="15"/>
              </w:rPr>
              <w:t xml:space="preserve"> </w:t>
            </w:r>
            <w:r>
              <w:rPr>
                <w:sz w:val="12"/>
                <w:szCs w:val="12"/>
                <w:spacing w:val="-2"/>
              </w:rPr>
              <w:t>处理</w:t>
            </w:r>
          </w:p>
        </w:tc>
        <w:tc>
          <w:tcPr>
            <w:tcW w:w="1299" w:type="dxa"/>
            <w:vAlign w:val="top"/>
            <w:tcBorders>
              <w:bottom w:val="single" w:color="000000" w:sz="2" w:space="0"/>
              <w:top w:val="single" w:color="000000" w:sz="2" w:space="0"/>
            </w:tcBorders>
          </w:tcPr>
          <w:p>
            <w:pPr>
              <w:pStyle w:val="TableText"/>
              <w:ind w:left="343"/>
              <w:spacing w:before="50" w:line="219" w:lineRule="auto"/>
              <w:rPr>
                <w:sz w:val="12"/>
                <w:szCs w:val="12"/>
              </w:rPr>
            </w:pPr>
            <w:r>
              <w:rPr>
                <w:sz w:val="12"/>
                <w:szCs w:val="12"/>
                <w:spacing w:val="1"/>
              </w:rPr>
              <w:t>国光三唑硐</w:t>
            </w:r>
          </w:p>
        </w:tc>
        <w:tc>
          <w:tcPr>
            <w:tcW w:w="1919" w:type="dxa"/>
            <w:vAlign w:val="top"/>
            <w:tcBorders>
              <w:bottom w:val="single" w:color="000000" w:sz="2" w:space="0"/>
              <w:top w:val="single" w:color="000000" w:sz="2" w:space="0"/>
            </w:tcBorders>
          </w:tcPr>
          <w:p>
            <w:pPr>
              <w:pStyle w:val="TableText"/>
              <w:ind w:left="684"/>
              <w:spacing w:before="50" w:line="221" w:lineRule="auto"/>
              <w:rPr>
                <w:sz w:val="12"/>
                <w:szCs w:val="12"/>
              </w:rPr>
            </w:pPr>
            <w:r>
              <w:rPr>
                <w:sz w:val="12"/>
                <w:szCs w:val="12"/>
                <w:spacing w:val="-1"/>
              </w:rPr>
              <w:t>20%三唑酮</w:t>
            </w:r>
          </w:p>
        </w:tc>
        <w:tc>
          <w:tcPr>
            <w:tcW w:w="1669" w:type="dxa"/>
            <w:vAlign w:val="top"/>
            <w:tcBorders>
              <w:bottom w:val="single" w:color="000000" w:sz="2" w:space="0"/>
              <w:top w:val="single" w:color="000000" w:sz="2" w:space="0"/>
            </w:tcBorders>
          </w:tcPr>
          <w:p>
            <w:pPr>
              <w:pStyle w:val="TableText"/>
              <w:ind w:left="375"/>
              <w:spacing w:before="50" w:line="219" w:lineRule="auto"/>
              <w:rPr>
                <w:sz w:val="12"/>
                <w:szCs w:val="12"/>
              </w:rPr>
            </w:pPr>
            <w:r>
              <w:rPr>
                <w:sz w:val="12"/>
                <w:szCs w:val="12"/>
                <w:spacing w:val="-1"/>
              </w:rPr>
              <w:t>稀释1000-1500倍</w:t>
            </w:r>
          </w:p>
        </w:tc>
        <w:tc>
          <w:tcPr>
            <w:tcW w:w="1039" w:type="dxa"/>
            <w:vAlign w:val="top"/>
            <w:vMerge w:val="restart"/>
            <w:tcBorders>
              <w:bottom w:val="nil"/>
              <w:top w:val="single" w:color="000000" w:sz="2" w:space="0"/>
            </w:tcBorders>
          </w:tcPr>
          <w:p>
            <w:pPr>
              <w:pStyle w:val="TableText"/>
              <w:ind w:left="235" w:hanging="219"/>
              <w:spacing w:before="230" w:line="210" w:lineRule="auto"/>
              <w:rPr>
                <w:sz w:val="12"/>
                <w:szCs w:val="12"/>
              </w:rPr>
            </w:pPr>
            <w:r>
              <w:rPr>
                <w:sz w:val="12"/>
                <w:szCs w:val="12"/>
                <w:spacing w:val="-1"/>
              </w:rPr>
              <w:t>一般用2次，时间间</w:t>
            </w:r>
            <w:r>
              <w:rPr>
                <w:sz w:val="12"/>
                <w:szCs w:val="12"/>
              </w:rPr>
              <w:t xml:space="preserve"> </w:t>
            </w:r>
            <w:r>
              <w:rPr>
                <w:sz w:val="12"/>
                <w:szCs w:val="12"/>
                <w:spacing w:val="-2"/>
              </w:rPr>
              <w:t>隔7到10天</w:t>
            </w:r>
          </w:p>
        </w:tc>
        <w:tc>
          <w:tcPr>
            <w:tcW w:w="759" w:type="dxa"/>
            <w:vAlign w:val="top"/>
            <w:tcBorders>
              <w:bottom w:val="single" w:color="000000" w:sz="2" w:space="0"/>
              <w:top w:val="single" w:color="000000" w:sz="2" w:space="0"/>
            </w:tcBorders>
          </w:tcPr>
          <w:p>
            <w:pPr>
              <w:pStyle w:val="TableText"/>
              <w:ind w:left="136"/>
              <w:spacing w:before="50"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spacing w:before="50" w:line="219" w:lineRule="auto"/>
              <w:rPr>
                <w:sz w:val="12"/>
                <w:szCs w:val="12"/>
              </w:rPr>
            </w:pPr>
            <w:r>
              <w:rPr>
                <w:sz w:val="12"/>
                <w:szCs w:val="12"/>
                <w:spacing w:val="-2"/>
              </w:rPr>
              <w:t>防治白粉病、锈病等</w:t>
            </w:r>
          </w:p>
        </w:tc>
      </w:tr>
      <w:tr>
        <w:trPr>
          <w:trHeight w:val="255"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403"/>
              <w:spacing w:before="70" w:line="219" w:lineRule="auto"/>
              <w:rPr>
                <w:sz w:val="12"/>
                <w:szCs w:val="12"/>
              </w:rPr>
            </w:pPr>
            <w:r>
              <w:rPr>
                <w:sz w:val="12"/>
                <w:szCs w:val="12"/>
                <w:spacing w:val="1"/>
              </w:rPr>
              <w:t>国光银泰</w:t>
            </w:r>
          </w:p>
        </w:tc>
        <w:tc>
          <w:tcPr>
            <w:tcW w:w="1919" w:type="dxa"/>
            <w:vAlign w:val="top"/>
            <w:tcBorders>
              <w:bottom w:val="single" w:color="000000" w:sz="2" w:space="0"/>
              <w:top w:val="single" w:color="000000" w:sz="2" w:space="0"/>
            </w:tcBorders>
          </w:tcPr>
          <w:p>
            <w:pPr>
              <w:pStyle w:val="TableText"/>
              <w:ind w:left="684"/>
              <w:spacing w:before="70" w:line="219" w:lineRule="auto"/>
              <w:rPr>
                <w:sz w:val="12"/>
                <w:szCs w:val="12"/>
              </w:rPr>
            </w:pPr>
            <w:r>
              <w:rPr>
                <w:sz w:val="12"/>
                <w:szCs w:val="12"/>
                <w:spacing w:val="-1"/>
              </w:rPr>
              <w:t>代森锌80%</w:t>
            </w:r>
          </w:p>
        </w:tc>
        <w:tc>
          <w:tcPr>
            <w:tcW w:w="1669" w:type="dxa"/>
            <w:vAlign w:val="top"/>
            <w:tcBorders>
              <w:bottom w:val="single" w:color="000000" w:sz="2" w:space="0"/>
              <w:top w:val="single" w:color="000000" w:sz="2" w:space="0"/>
            </w:tcBorders>
          </w:tcPr>
          <w:p>
            <w:pPr>
              <w:pStyle w:val="TableText"/>
              <w:ind w:left="524"/>
              <w:spacing w:before="70" w:line="220" w:lineRule="auto"/>
              <w:rPr>
                <w:sz w:val="12"/>
                <w:szCs w:val="12"/>
              </w:rPr>
            </w:pPr>
            <w:r>
              <w:rPr>
                <w:sz w:val="12"/>
                <w:szCs w:val="12"/>
                <w:spacing w:val="-6"/>
              </w:rPr>
              <w:t>800—1000倍</w:t>
            </w:r>
          </w:p>
        </w:tc>
        <w:tc>
          <w:tcPr>
            <w:tcW w:w="1039" w:type="dxa"/>
            <w:vAlign w:val="top"/>
            <w:vMerge w:val="continue"/>
            <w:tcBorders>
              <w:bottom w:val="nil"/>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36"/>
              <w:spacing w:before="70" w:line="221" w:lineRule="auto"/>
              <w:rPr>
                <w:sz w:val="12"/>
                <w:szCs w:val="12"/>
              </w:rPr>
            </w:pPr>
            <w:r>
              <w:rPr>
                <w:sz w:val="12"/>
                <w:szCs w:val="12"/>
                <w:spacing w:val="-1"/>
              </w:rPr>
              <w:t>400ml/瓶</w:t>
            </w:r>
          </w:p>
        </w:tc>
        <w:tc>
          <w:tcPr>
            <w:tcW w:w="2603" w:type="dxa"/>
            <w:vAlign w:val="top"/>
            <w:tcBorders>
              <w:bottom w:val="single" w:color="000000" w:sz="2" w:space="0"/>
              <w:top w:val="single" w:color="000000" w:sz="2" w:space="0"/>
            </w:tcBorders>
          </w:tcPr>
          <w:p>
            <w:pPr>
              <w:pStyle w:val="TableText"/>
              <w:ind w:left="17"/>
              <w:spacing w:before="69" w:line="218" w:lineRule="auto"/>
              <w:rPr>
                <w:sz w:val="12"/>
                <w:szCs w:val="12"/>
              </w:rPr>
            </w:pPr>
            <w:r>
              <w:rPr>
                <w:sz w:val="12"/>
                <w:szCs w:val="12"/>
                <w:spacing w:val="-1"/>
              </w:rPr>
              <w:t>保护性杀菌剂，防治叶斑、炭痕病</w:t>
            </w:r>
          </w:p>
        </w:tc>
      </w:tr>
      <w:tr>
        <w:trPr>
          <w:trHeight w:val="215"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343"/>
              <w:spacing w:before="50" w:line="220" w:lineRule="auto"/>
              <w:rPr>
                <w:sz w:val="12"/>
                <w:szCs w:val="12"/>
              </w:rPr>
            </w:pPr>
            <w:r>
              <w:rPr>
                <w:sz w:val="12"/>
                <w:szCs w:val="12"/>
                <w:spacing w:val="1"/>
              </w:rPr>
              <w:t>中威乐翻天</w:t>
            </w:r>
          </w:p>
        </w:tc>
        <w:tc>
          <w:tcPr>
            <w:tcW w:w="1919" w:type="dxa"/>
            <w:vAlign w:val="top"/>
            <w:tcBorders>
              <w:bottom w:val="single" w:color="000000" w:sz="2" w:space="0"/>
              <w:top w:val="single" w:color="000000" w:sz="2" w:space="0"/>
            </w:tcBorders>
          </w:tcPr>
          <w:p>
            <w:pPr>
              <w:pStyle w:val="TableText"/>
              <w:ind w:left="684"/>
              <w:spacing w:before="50" w:line="220" w:lineRule="auto"/>
              <w:rPr>
                <w:sz w:val="12"/>
                <w:szCs w:val="12"/>
              </w:rPr>
            </w:pPr>
            <w:r>
              <w:rPr>
                <w:sz w:val="12"/>
                <w:szCs w:val="12"/>
                <w:spacing w:val="-1"/>
              </w:rPr>
              <w:t>戊唑醇20%</w:t>
            </w:r>
          </w:p>
        </w:tc>
        <w:tc>
          <w:tcPr>
            <w:tcW w:w="1669" w:type="dxa"/>
            <w:vAlign w:val="top"/>
            <w:tcBorders>
              <w:bottom w:val="single" w:color="000000" w:sz="2" w:space="0"/>
              <w:top w:val="single" w:color="000000" w:sz="2" w:space="0"/>
            </w:tcBorders>
          </w:tcPr>
          <w:p>
            <w:pPr>
              <w:pStyle w:val="TableText"/>
              <w:ind w:left="434"/>
              <w:spacing w:before="50" w:line="220" w:lineRule="auto"/>
              <w:rPr>
                <w:sz w:val="12"/>
                <w:szCs w:val="12"/>
              </w:rPr>
            </w:pPr>
            <w:r>
              <w:rPr>
                <w:sz w:val="12"/>
                <w:szCs w:val="12"/>
                <w:spacing w:val="-2"/>
              </w:rPr>
              <w:t>1000-1500倍液</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36"/>
              <w:spacing w:before="46" w:line="213" w:lineRule="auto"/>
              <w:rPr>
                <w:sz w:val="12"/>
                <w:szCs w:val="12"/>
              </w:rPr>
            </w:pPr>
            <w:r>
              <w:rPr>
                <w:sz w:val="12"/>
                <w:szCs w:val="12"/>
                <w:spacing w:val="3"/>
              </w:rPr>
              <w:t>(20g/袋)</w:t>
            </w:r>
          </w:p>
        </w:tc>
        <w:tc>
          <w:tcPr>
            <w:tcW w:w="2603" w:type="dxa"/>
            <w:vAlign w:val="top"/>
            <w:tcBorders>
              <w:bottom w:val="single" w:color="000000" w:sz="2" w:space="0"/>
              <w:top w:val="single" w:color="000000" w:sz="2" w:space="0"/>
            </w:tcBorders>
          </w:tcPr>
          <w:p>
            <w:pPr>
              <w:pStyle w:val="TableText"/>
              <w:ind w:left="17"/>
              <w:spacing w:before="49" w:line="219" w:lineRule="auto"/>
              <w:rPr>
                <w:sz w:val="12"/>
                <w:szCs w:val="12"/>
              </w:rPr>
            </w:pPr>
            <w:r>
              <w:rPr>
                <w:sz w:val="12"/>
                <w:szCs w:val="12"/>
                <w:spacing w:val="-1"/>
              </w:rPr>
              <w:t>防治草坪白粉病、锈病。</w:t>
            </w:r>
          </w:p>
        </w:tc>
      </w:tr>
      <w:tr>
        <w:trPr>
          <w:trHeight w:val="255"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223"/>
              <w:spacing w:before="69" w:line="219" w:lineRule="auto"/>
              <w:rPr>
                <w:sz w:val="12"/>
                <w:szCs w:val="12"/>
              </w:rPr>
            </w:pPr>
            <w:r>
              <w:rPr>
                <w:sz w:val="12"/>
                <w:szCs w:val="12"/>
                <w:spacing w:val="3"/>
              </w:rPr>
              <w:t>国光多菌灵(中)</w:t>
            </w:r>
          </w:p>
        </w:tc>
        <w:tc>
          <w:tcPr>
            <w:tcW w:w="1919" w:type="dxa"/>
            <w:vAlign w:val="top"/>
            <w:tcBorders>
              <w:bottom w:val="single" w:color="000000" w:sz="2" w:space="0"/>
              <w:top w:val="single" w:color="000000" w:sz="2" w:space="0"/>
            </w:tcBorders>
          </w:tcPr>
          <w:p>
            <w:pPr>
              <w:pStyle w:val="TableText"/>
              <w:ind w:left="684"/>
              <w:spacing w:before="69" w:line="219" w:lineRule="auto"/>
              <w:rPr>
                <w:sz w:val="12"/>
                <w:szCs w:val="12"/>
              </w:rPr>
            </w:pPr>
            <w:r>
              <w:rPr>
                <w:sz w:val="12"/>
                <w:szCs w:val="12"/>
                <w:spacing w:val="-1"/>
              </w:rPr>
              <w:t>50%多菌灵</w:t>
            </w:r>
          </w:p>
        </w:tc>
        <w:tc>
          <w:tcPr>
            <w:tcW w:w="1669" w:type="dxa"/>
            <w:vAlign w:val="top"/>
            <w:tcBorders>
              <w:bottom w:val="single" w:color="000000" w:sz="2" w:space="0"/>
              <w:top w:val="single" w:color="000000" w:sz="2" w:space="0"/>
            </w:tcBorders>
          </w:tcPr>
          <w:p>
            <w:pPr>
              <w:pStyle w:val="TableText"/>
              <w:ind w:left="345"/>
              <w:spacing w:before="69" w:line="219" w:lineRule="auto"/>
              <w:rPr>
                <w:sz w:val="12"/>
                <w:szCs w:val="12"/>
              </w:rPr>
            </w:pPr>
            <w:r>
              <w:rPr>
                <w:sz w:val="12"/>
                <w:szCs w:val="12"/>
                <w:spacing w:val="-1"/>
              </w:rPr>
              <w:t>稀释600-1000倍波</w:t>
            </w:r>
          </w:p>
        </w:tc>
        <w:tc>
          <w:tcPr>
            <w:tcW w:w="1039" w:type="dxa"/>
            <w:vAlign w:val="top"/>
            <w:vMerge w:val="restart"/>
            <w:tcBorders>
              <w:bottom w:val="nil"/>
              <w:top w:val="single" w:color="000000" w:sz="2" w:space="0"/>
            </w:tcBorders>
          </w:tcPr>
          <w:p>
            <w:pPr>
              <w:spacing w:line="436" w:lineRule="auto"/>
              <w:rPr>
                <w:rFonts w:ascii="Arial"/>
                <w:sz w:val="21"/>
              </w:rPr>
            </w:pPr>
            <w:r/>
          </w:p>
          <w:p>
            <w:pPr>
              <w:pStyle w:val="TableText"/>
              <w:ind w:left="235" w:hanging="219"/>
              <w:spacing w:before="39" w:line="234" w:lineRule="auto"/>
              <w:rPr>
                <w:sz w:val="12"/>
                <w:szCs w:val="12"/>
              </w:rPr>
            </w:pPr>
            <w:r>
              <w:rPr>
                <w:sz w:val="12"/>
                <w:szCs w:val="12"/>
                <w:spacing w:val="-1"/>
              </w:rPr>
              <w:t>一般用3次，时间间</w:t>
            </w:r>
            <w:r>
              <w:rPr>
                <w:sz w:val="12"/>
                <w:szCs w:val="12"/>
              </w:rPr>
              <w:t xml:space="preserve"> </w:t>
            </w:r>
            <w:r>
              <w:rPr>
                <w:sz w:val="12"/>
                <w:szCs w:val="12"/>
                <w:spacing w:val="-2"/>
              </w:rPr>
              <w:t>隔7到10天</w:t>
            </w:r>
          </w:p>
        </w:tc>
        <w:tc>
          <w:tcPr>
            <w:tcW w:w="759" w:type="dxa"/>
            <w:vAlign w:val="top"/>
            <w:tcBorders>
              <w:bottom w:val="single" w:color="000000" w:sz="2" w:space="0"/>
              <w:top w:val="single" w:color="000000" w:sz="2" w:space="0"/>
            </w:tcBorders>
          </w:tcPr>
          <w:p>
            <w:pPr>
              <w:pStyle w:val="TableText"/>
              <w:ind w:left="106"/>
              <w:spacing w:before="65" w:line="213" w:lineRule="auto"/>
              <w:rPr>
                <w:sz w:val="12"/>
                <w:szCs w:val="12"/>
              </w:rPr>
            </w:pPr>
            <w:r>
              <w:rPr>
                <w:sz w:val="12"/>
                <w:szCs w:val="12"/>
                <w:spacing w:val="3"/>
              </w:rPr>
              <w:t>(100g/袋)</w:t>
            </w:r>
          </w:p>
        </w:tc>
        <w:tc>
          <w:tcPr>
            <w:tcW w:w="2603" w:type="dxa"/>
            <w:vAlign w:val="top"/>
            <w:tcBorders>
              <w:bottom w:val="single" w:color="000000" w:sz="2" w:space="0"/>
              <w:top w:val="single" w:color="000000" w:sz="2" w:space="0"/>
            </w:tcBorders>
          </w:tcPr>
          <w:p>
            <w:pPr>
              <w:pStyle w:val="TableText"/>
              <w:ind w:left="17"/>
              <w:spacing w:before="69" w:line="218" w:lineRule="auto"/>
              <w:rPr>
                <w:sz w:val="12"/>
                <w:szCs w:val="12"/>
              </w:rPr>
            </w:pPr>
            <w:r>
              <w:rPr>
                <w:sz w:val="12"/>
                <w:szCs w:val="12"/>
                <w:spacing w:val="-1"/>
              </w:rPr>
              <w:t>广诸性杀菌剂</w:t>
            </w:r>
          </w:p>
        </w:tc>
      </w:tr>
      <w:tr>
        <w:trPr>
          <w:trHeight w:val="33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223"/>
              <w:spacing w:before="109" w:line="219" w:lineRule="auto"/>
              <w:rPr>
                <w:sz w:val="12"/>
                <w:szCs w:val="12"/>
              </w:rPr>
            </w:pPr>
            <w:r>
              <w:rPr>
                <w:sz w:val="12"/>
                <w:szCs w:val="12"/>
                <w:spacing w:val="-2"/>
              </w:rPr>
              <w:t>阿西米达悬浮液</w:t>
            </w:r>
          </w:p>
        </w:tc>
        <w:tc>
          <w:tcPr>
            <w:tcW w:w="1919" w:type="dxa"/>
            <w:vAlign w:val="top"/>
            <w:tcBorders>
              <w:bottom w:val="single" w:color="000000" w:sz="2" w:space="0"/>
              <w:top w:val="single" w:color="000000" w:sz="2" w:space="0"/>
            </w:tcBorders>
          </w:tcPr>
          <w:p>
            <w:pPr>
              <w:pStyle w:val="TableText"/>
              <w:ind w:left="774"/>
              <w:spacing w:before="109" w:line="219" w:lineRule="auto"/>
              <w:rPr>
                <w:sz w:val="12"/>
                <w:szCs w:val="12"/>
              </w:rPr>
            </w:pPr>
            <w:r>
              <w:rPr>
                <w:sz w:val="12"/>
                <w:szCs w:val="12"/>
                <w:spacing w:val="-3"/>
              </w:rPr>
              <w:t>嘧菌酯</w:t>
            </w:r>
          </w:p>
        </w:tc>
        <w:tc>
          <w:tcPr>
            <w:tcW w:w="1669" w:type="dxa"/>
            <w:vAlign w:val="top"/>
            <w:tcBorders>
              <w:bottom w:val="single" w:color="000000" w:sz="2" w:space="0"/>
              <w:top w:val="single" w:color="000000" w:sz="2" w:space="0"/>
            </w:tcBorders>
          </w:tcPr>
          <w:p>
            <w:pPr>
              <w:pStyle w:val="TableText"/>
              <w:ind w:left="715" w:right="60" w:hanging="670"/>
              <w:spacing w:before="39" w:line="210" w:lineRule="auto"/>
              <w:rPr>
                <w:sz w:val="12"/>
                <w:szCs w:val="12"/>
              </w:rPr>
            </w:pPr>
            <w:r>
              <w:rPr>
                <w:sz w:val="12"/>
                <w:szCs w:val="12"/>
                <w:spacing w:val="-1"/>
              </w:rPr>
              <w:t>25%阿西米达悬浮液1200-1500</w:t>
            </w:r>
            <w:r>
              <w:rPr>
                <w:sz w:val="12"/>
                <w:szCs w:val="12"/>
                <w:spacing w:val="11"/>
              </w:rPr>
              <w:t xml:space="preserve"> </w:t>
            </w:r>
            <w:r>
              <w:rPr>
                <w:sz w:val="12"/>
                <w:szCs w:val="12"/>
                <w:spacing w:val="-2"/>
              </w:rPr>
              <w:t>倍液</w:t>
            </w:r>
          </w:p>
        </w:tc>
        <w:tc>
          <w:tcPr>
            <w:tcW w:w="1039" w:type="dxa"/>
            <w:vAlign w:val="top"/>
            <w:vMerge w:val="continue"/>
            <w:tcBorders>
              <w:bottom w:val="nil"/>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227"/>
              <w:spacing w:before="109" w:line="221" w:lineRule="auto"/>
              <w:rPr>
                <w:sz w:val="12"/>
                <w:szCs w:val="12"/>
              </w:rPr>
            </w:pPr>
            <w:r>
              <w:rPr>
                <w:sz w:val="12"/>
                <w:szCs w:val="12"/>
                <w:spacing w:val="-3"/>
              </w:rPr>
              <w:t>11/瓶</w:t>
            </w:r>
          </w:p>
        </w:tc>
        <w:tc>
          <w:tcPr>
            <w:tcW w:w="2603" w:type="dxa"/>
            <w:vAlign w:val="top"/>
            <w:tcBorders>
              <w:bottom w:val="single" w:color="000000" w:sz="2" w:space="0"/>
              <w:top w:val="single" w:color="000000" w:sz="2" w:space="0"/>
            </w:tcBorders>
          </w:tcPr>
          <w:p>
            <w:pPr>
              <w:pStyle w:val="TableText"/>
              <w:ind w:left="17" w:right="59"/>
              <w:spacing w:before="39" w:line="210" w:lineRule="auto"/>
              <w:rPr>
                <w:sz w:val="12"/>
                <w:szCs w:val="12"/>
              </w:rPr>
            </w:pPr>
            <w:r>
              <w:rPr>
                <w:sz w:val="12"/>
                <w:szCs w:val="12"/>
                <w:spacing w:val="-1"/>
              </w:rPr>
              <w:t>广谱杀菌，对四大类致病真菌，天然低毒安全无</w:t>
            </w:r>
            <w:r>
              <w:rPr>
                <w:sz w:val="12"/>
                <w:szCs w:val="12"/>
                <w:spacing w:val="15"/>
              </w:rPr>
              <w:t xml:space="preserve"> </w:t>
            </w:r>
            <w:r>
              <w:rPr>
                <w:sz w:val="12"/>
                <w:szCs w:val="12"/>
                <w:spacing w:val="-3"/>
              </w:rPr>
              <w:t>公害</w:t>
            </w:r>
          </w:p>
        </w:tc>
      </w:tr>
      <w:tr>
        <w:trPr>
          <w:trHeight w:val="215"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343"/>
              <w:spacing w:before="49" w:line="219" w:lineRule="auto"/>
              <w:rPr>
                <w:sz w:val="12"/>
                <w:szCs w:val="12"/>
              </w:rPr>
            </w:pPr>
            <w:r>
              <w:rPr>
                <w:sz w:val="12"/>
                <w:szCs w:val="12"/>
                <w:spacing w:val="1"/>
              </w:rPr>
              <w:t>国光百菌清</w:t>
            </w:r>
          </w:p>
        </w:tc>
        <w:tc>
          <w:tcPr>
            <w:tcW w:w="1919" w:type="dxa"/>
            <w:vAlign w:val="top"/>
            <w:tcBorders>
              <w:bottom w:val="single" w:color="000000" w:sz="2" w:space="0"/>
              <w:top w:val="single" w:color="000000" w:sz="2" w:space="0"/>
            </w:tcBorders>
          </w:tcPr>
          <w:p>
            <w:pPr>
              <w:pStyle w:val="TableText"/>
              <w:ind w:left="684"/>
              <w:spacing w:before="49" w:line="219" w:lineRule="auto"/>
              <w:rPr>
                <w:sz w:val="12"/>
                <w:szCs w:val="12"/>
              </w:rPr>
            </w:pPr>
            <w:r>
              <w:rPr>
                <w:sz w:val="12"/>
                <w:szCs w:val="12"/>
                <w:spacing w:val="-1"/>
              </w:rPr>
              <w:t>75%百菌清</w:t>
            </w:r>
          </w:p>
        </w:tc>
        <w:tc>
          <w:tcPr>
            <w:tcW w:w="1669" w:type="dxa"/>
            <w:vAlign w:val="top"/>
            <w:tcBorders>
              <w:bottom w:val="single" w:color="000000" w:sz="2" w:space="0"/>
              <w:top w:val="single" w:color="000000" w:sz="2" w:space="0"/>
            </w:tcBorders>
          </w:tcPr>
          <w:p>
            <w:pPr>
              <w:pStyle w:val="TableText"/>
              <w:ind w:left="345"/>
              <w:spacing w:before="49" w:line="219" w:lineRule="auto"/>
              <w:rPr>
                <w:sz w:val="12"/>
                <w:szCs w:val="12"/>
              </w:rPr>
            </w:pPr>
            <w:r>
              <w:rPr>
                <w:sz w:val="12"/>
                <w:szCs w:val="12"/>
                <w:spacing w:val="-1"/>
              </w:rPr>
              <w:t>稀释600-1000倍液</w:t>
            </w:r>
          </w:p>
        </w:tc>
        <w:tc>
          <w:tcPr>
            <w:tcW w:w="1039" w:type="dxa"/>
            <w:vAlign w:val="top"/>
            <w:vMerge w:val="continue"/>
            <w:tcBorders>
              <w:bottom w:val="nil"/>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97"/>
              <w:spacing w:before="46" w:line="213" w:lineRule="auto"/>
              <w:rPr>
                <w:sz w:val="12"/>
                <w:szCs w:val="12"/>
              </w:rPr>
            </w:pPr>
            <w:r>
              <w:rPr>
                <w:sz w:val="12"/>
                <w:szCs w:val="12"/>
                <w:spacing w:val="-3"/>
              </w:rPr>
              <w:t>lkg/袋</w:t>
            </w:r>
          </w:p>
        </w:tc>
        <w:tc>
          <w:tcPr>
            <w:tcW w:w="2603" w:type="dxa"/>
            <w:vAlign w:val="top"/>
            <w:tcBorders>
              <w:bottom w:val="single" w:color="000000" w:sz="2" w:space="0"/>
              <w:top w:val="single" w:color="000000" w:sz="2" w:space="0"/>
            </w:tcBorders>
          </w:tcPr>
          <w:p>
            <w:pPr>
              <w:pStyle w:val="TableText"/>
              <w:ind w:left="17"/>
              <w:spacing w:before="49" w:line="218" w:lineRule="auto"/>
              <w:rPr>
                <w:sz w:val="12"/>
                <w:szCs w:val="12"/>
              </w:rPr>
            </w:pPr>
            <w:r>
              <w:rPr>
                <w:sz w:val="12"/>
                <w:szCs w:val="12"/>
                <w:spacing w:val="-1"/>
              </w:rPr>
              <w:t>广谱高效杀菌剂</w:t>
            </w:r>
          </w:p>
        </w:tc>
      </w:tr>
      <w:tr>
        <w:trPr>
          <w:trHeight w:val="39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343"/>
              <w:spacing w:before="139" w:line="219" w:lineRule="auto"/>
              <w:rPr>
                <w:sz w:val="12"/>
                <w:szCs w:val="12"/>
              </w:rPr>
            </w:pPr>
            <w:r>
              <w:rPr>
                <w:sz w:val="12"/>
                <w:szCs w:val="12"/>
                <w:spacing w:val="-1"/>
              </w:rPr>
              <w:t>诺普信瑞托</w:t>
            </w:r>
          </w:p>
        </w:tc>
        <w:tc>
          <w:tcPr>
            <w:tcW w:w="1919" w:type="dxa"/>
            <w:vAlign w:val="top"/>
            <w:tcBorders>
              <w:bottom w:val="single" w:color="000000" w:sz="2" w:space="0"/>
              <w:top w:val="single" w:color="000000" w:sz="2" w:space="0"/>
            </w:tcBorders>
          </w:tcPr>
          <w:p>
            <w:pPr>
              <w:pStyle w:val="TableText"/>
              <w:ind w:left="564"/>
              <w:spacing w:before="139" w:line="219" w:lineRule="auto"/>
              <w:rPr>
                <w:sz w:val="12"/>
                <w:szCs w:val="12"/>
              </w:rPr>
            </w:pPr>
            <w:r>
              <w:rPr>
                <w:sz w:val="12"/>
                <w:szCs w:val="12"/>
              </w:rPr>
              <w:t>甲基疏菌灵50%</w:t>
            </w:r>
          </w:p>
        </w:tc>
        <w:tc>
          <w:tcPr>
            <w:tcW w:w="1669" w:type="dxa"/>
            <w:vAlign w:val="top"/>
            <w:tcBorders>
              <w:bottom w:val="single" w:color="000000" w:sz="2" w:space="0"/>
              <w:top w:val="single" w:color="000000" w:sz="2" w:space="0"/>
            </w:tcBorders>
          </w:tcPr>
          <w:p>
            <w:pPr>
              <w:pStyle w:val="TableText"/>
              <w:ind w:left="554"/>
              <w:spacing w:before="139" w:line="220" w:lineRule="auto"/>
              <w:rPr>
                <w:sz w:val="12"/>
                <w:szCs w:val="12"/>
              </w:rPr>
            </w:pPr>
            <w:r>
              <w:rPr>
                <w:sz w:val="12"/>
                <w:szCs w:val="12"/>
                <w:spacing w:val="-6"/>
              </w:rPr>
              <w:t>600—800倍</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06"/>
              <w:spacing w:before="140"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right="62"/>
              <w:spacing w:before="69" w:line="242" w:lineRule="auto"/>
              <w:rPr>
                <w:sz w:val="12"/>
                <w:szCs w:val="12"/>
              </w:rPr>
            </w:pPr>
            <w:r>
              <w:rPr>
                <w:sz w:val="12"/>
                <w:szCs w:val="12"/>
                <w:spacing w:val="-1"/>
              </w:rPr>
              <w:t>高效广谱内吸杀菌剂，颗粒细腻，分散性好，防</w:t>
            </w:r>
            <w:r>
              <w:rPr>
                <w:sz w:val="12"/>
                <w:szCs w:val="12"/>
                <w:spacing w:val="12"/>
              </w:rPr>
              <w:t xml:space="preserve"> </w:t>
            </w:r>
            <w:r>
              <w:rPr>
                <w:sz w:val="12"/>
                <w:szCs w:val="12"/>
                <w:spacing w:val="-1"/>
              </w:rPr>
              <w:t>治花木叶斑、炭疸、班驳黄化</w:t>
            </w:r>
          </w:p>
        </w:tc>
      </w:tr>
      <w:tr>
        <w:trPr>
          <w:trHeight w:val="59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463"/>
              <w:spacing w:before="239" w:line="219" w:lineRule="auto"/>
              <w:rPr>
                <w:sz w:val="12"/>
                <w:szCs w:val="12"/>
              </w:rPr>
            </w:pPr>
            <w:r>
              <w:rPr>
                <w:sz w:val="12"/>
                <w:szCs w:val="12"/>
                <w:spacing w:val="-1"/>
              </w:rPr>
              <w:t>普力克</w:t>
            </w:r>
          </w:p>
        </w:tc>
        <w:tc>
          <w:tcPr>
            <w:tcW w:w="1919" w:type="dxa"/>
            <w:vAlign w:val="top"/>
            <w:tcBorders>
              <w:bottom w:val="single" w:color="000000" w:sz="2" w:space="0"/>
              <w:top w:val="single" w:color="000000" w:sz="2" w:space="0"/>
            </w:tcBorders>
          </w:tcPr>
          <w:p>
            <w:pPr>
              <w:pStyle w:val="TableText"/>
              <w:ind w:left="624"/>
              <w:spacing w:before="240" w:line="220" w:lineRule="auto"/>
              <w:rPr>
                <w:sz w:val="12"/>
                <w:szCs w:val="12"/>
              </w:rPr>
            </w:pPr>
            <w:r>
              <w:rPr>
                <w:sz w:val="12"/>
                <w:szCs w:val="12"/>
                <w:spacing w:val="-1"/>
              </w:rPr>
              <w:t>72.2%丙酰胺</w:t>
            </w:r>
          </w:p>
        </w:tc>
        <w:tc>
          <w:tcPr>
            <w:tcW w:w="1669" w:type="dxa"/>
            <w:vAlign w:val="top"/>
            <w:tcBorders>
              <w:bottom w:val="single" w:color="000000" w:sz="2" w:space="0"/>
              <w:top w:val="single" w:color="000000" w:sz="2" w:space="0"/>
            </w:tcBorders>
          </w:tcPr>
          <w:p>
            <w:pPr>
              <w:pStyle w:val="TableText"/>
              <w:ind w:left="464"/>
              <w:spacing w:before="240" w:line="220" w:lineRule="auto"/>
              <w:rPr>
                <w:sz w:val="12"/>
                <w:szCs w:val="12"/>
              </w:rPr>
            </w:pPr>
            <w:r>
              <w:rPr>
                <w:sz w:val="12"/>
                <w:szCs w:val="12"/>
                <w:spacing w:val="-1"/>
              </w:rPr>
              <w:t>800-1000倍液</w:t>
            </w:r>
          </w:p>
        </w:tc>
        <w:tc>
          <w:tcPr>
            <w:tcW w:w="1039" w:type="dxa"/>
            <w:vAlign w:val="top"/>
            <w:tcBorders>
              <w:bottom w:val="single" w:color="000000" w:sz="2" w:space="0"/>
              <w:top w:val="single" w:color="000000" w:sz="2" w:space="0"/>
            </w:tcBorders>
          </w:tcPr>
          <w:p>
            <w:pPr>
              <w:pStyle w:val="TableText"/>
              <w:ind w:left="16" w:firstLine="19"/>
              <w:spacing w:before="20" w:line="215" w:lineRule="auto"/>
              <w:rPr>
                <w:sz w:val="12"/>
                <w:szCs w:val="12"/>
              </w:rPr>
            </w:pPr>
            <w:r>
              <w:rPr>
                <w:sz w:val="12"/>
                <w:szCs w:val="12"/>
                <w:spacing w:val="-3"/>
              </w:rPr>
              <w:t>10天一次，连续喷</w:t>
            </w:r>
            <w:r>
              <w:rPr>
                <w:sz w:val="12"/>
                <w:szCs w:val="12"/>
                <w:spacing w:val="2"/>
              </w:rPr>
              <w:t xml:space="preserve">  </w:t>
            </w:r>
            <w:r>
              <w:rPr>
                <w:sz w:val="12"/>
                <w:szCs w:val="12"/>
                <w:spacing w:val="-1"/>
              </w:rPr>
              <w:t>酒病部地面2-3次，</w:t>
            </w:r>
          </w:p>
          <w:p>
            <w:pPr>
              <w:pStyle w:val="TableText"/>
              <w:ind w:left="333" w:hanging="317"/>
              <w:spacing w:line="210" w:lineRule="auto"/>
              <w:rPr>
                <w:sz w:val="12"/>
                <w:szCs w:val="12"/>
              </w:rPr>
            </w:pPr>
            <w:r>
              <w:rPr>
                <w:sz w:val="12"/>
                <w:szCs w:val="12"/>
                <w:spacing w:val="-1"/>
              </w:rPr>
              <w:t>喷药1小时内遇雨，</w:t>
            </w:r>
            <w:r>
              <w:rPr>
                <w:sz w:val="12"/>
                <w:szCs w:val="12"/>
              </w:rPr>
              <w:t xml:space="preserve"> </w:t>
            </w:r>
            <w:r>
              <w:rPr>
                <w:sz w:val="12"/>
                <w:szCs w:val="12"/>
                <w:spacing w:val="-4"/>
              </w:rPr>
              <w:t>需重喷</w:t>
            </w:r>
          </w:p>
        </w:tc>
        <w:tc>
          <w:tcPr>
            <w:tcW w:w="759" w:type="dxa"/>
            <w:vAlign w:val="top"/>
            <w:tcBorders>
              <w:bottom w:val="single" w:color="000000" w:sz="2" w:space="0"/>
              <w:top w:val="single" w:color="000000" w:sz="2" w:space="0"/>
            </w:tcBorders>
          </w:tcPr>
          <w:p>
            <w:pPr>
              <w:pStyle w:val="TableText"/>
              <w:ind w:left="136"/>
              <w:spacing w:before="240" w:line="221" w:lineRule="auto"/>
              <w:rPr>
                <w:sz w:val="12"/>
                <w:szCs w:val="12"/>
              </w:rPr>
            </w:pPr>
            <w:r>
              <w:rPr>
                <w:sz w:val="12"/>
                <w:szCs w:val="12"/>
                <w:spacing w:val="-2"/>
              </w:rPr>
              <w:t>100ml/瓶</w:t>
            </w:r>
          </w:p>
        </w:tc>
        <w:tc>
          <w:tcPr>
            <w:tcW w:w="2603" w:type="dxa"/>
            <w:vAlign w:val="top"/>
            <w:tcBorders>
              <w:bottom w:val="single" w:color="000000" w:sz="2" w:space="0"/>
              <w:top w:val="single" w:color="000000" w:sz="2" w:space="0"/>
            </w:tcBorders>
          </w:tcPr>
          <w:p>
            <w:pPr>
              <w:pStyle w:val="TableText"/>
              <w:ind w:left="17"/>
              <w:spacing w:before="239" w:line="219" w:lineRule="auto"/>
              <w:rPr>
                <w:sz w:val="12"/>
                <w:szCs w:val="12"/>
              </w:rPr>
            </w:pPr>
            <w:r>
              <w:rPr>
                <w:sz w:val="12"/>
                <w:szCs w:val="12"/>
                <w:spacing w:val="-1"/>
              </w:rPr>
              <w:t>对根腐病、霜霉病、立桔病、猝倒病有特效</w:t>
            </w:r>
          </w:p>
        </w:tc>
      </w:tr>
      <w:tr>
        <w:trPr>
          <w:trHeight w:val="38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463"/>
              <w:spacing w:before="130" w:line="219" w:lineRule="auto"/>
              <w:rPr>
                <w:sz w:val="12"/>
                <w:szCs w:val="12"/>
              </w:rPr>
            </w:pPr>
            <w:r>
              <w:rPr>
                <w:sz w:val="12"/>
                <w:szCs w:val="12"/>
                <w:spacing w:val="-1"/>
              </w:rPr>
              <w:t>链霉素</w:t>
            </w:r>
          </w:p>
        </w:tc>
        <w:tc>
          <w:tcPr>
            <w:tcW w:w="1919" w:type="dxa"/>
            <w:vAlign w:val="top"/>
            <w:tcBorders>
              <w:bottom w:val="single" w:color="000000" w:sz="2" w:space="0"/>
              <w:top w:val="single" w:color="000000" w:sz="2" w:space="0"/>
            </w:tcBorders>
          </w:tcPr>
          <w:p>
            <w:pPr>
              <w:pStyle w:val="TableText"/>
              <w:ind w:left="684"/>
              <w:spacing w:before="130" w:line="219" w:lineRule="auto"/>
              <w:rPr>
                <w:sz w:val="12"/>
                <w:szCs w:val="12"/>
              </w:rPr>
            </w:pPr>
            <w:r>
              <w:rPr>
                <w:sz w:val="12"/>
                <w:szCs w:val="12"/>
                <w:spacing w:val="-1"/>
              </w:rPr>
              <w:t>72%结霉素</w:t>
            </w:r>
          </w:p>
        </w:tc>
        <w:tc>
          <w:tcPr>
            <w:tcW w:w="1669" w:type="dxa"/>
            <w:vAlign w:val="top"/>
            <w:tcBorders>
              <w:bottom w:val="single" w:color="000000" w:sz="2" w:space="0"/>
              <w:top w:val="single" w:color="000000" w:sz="2" w:space="0"/>
            </w:tcBorders>
          </w:tcPr>
          <w:p>
            <w:pPr>
              <w:pStyle w:val="TableText"/>
              <w:ind w:left="584"/>
              <w:spacing w:before="130" w:line="220" w:lineRule="auto"/>
              <w:rPr>
                <w:sz w:val="12"/>
                <w:szCs w:val="12"/>
              </w:rPr>
            </w:pPr>
            <w:r>
              <w:rPr>
                <w:sz w:val="12"/>
                <w:szCs w:val="12"/>
                <w:spacing w:val="-1"/>
              </w:rPr>
              <w:t>3000倍液</w:t>
            </w:r>
          </w:p>
        </w:tc>
        <w:tc>
          <w:tcPr>
            <w:tcW w:w="1039" w:type="dxa"/>
            <w:vAlign w:val="top"/>
            <w:vMerge w:val="restart"/>
            <w:tcBorders>
              <w:bottom w:val="nil"/>
              <w:top w:val="single" w:color="000000" w:sz="2" w:space="0"/>
            </w:tcBorders>
          </w:tcPr>
          <w:p>
            <w:pPr>
              <w:pStyle w:val="TableText"/>
              <w:spacing w:before="250" w:line="219" w:lineRule="auto"/>
              <w:jc w:val="right"/>
              <w:rPr>
                <w:sz w:val="12"/>
                <w:szCs w:val="12"/>
              </w:rPr>
            </w:pPr>
            <w:r>
              <w:rPr>
                <w:sz w:val="12"/>
                <w:szCs w:val="12"/>
                <w:spacing w:val="-1"/>
              </w:rPr>
              <w:t>每10天喷施一次，</w:t>
            </w:r>
          </w:p>
          <w:p>
            <w:pPr>
              <w:pStyle w:val="TableText"/>
              <w:ind w:left="186"/>
              <w:spacing w:before="17" w:line="219" w:lineRule="auto"/>
              <w:rPr>
                <w:sz w:val="12"/>
                <w:szCs w:val="12"/>
              </w:rPr>
            </w:pPr>
            <w:r>
              <w:rPr>
                <w:sz w:val="12"/>
                <w:szCs w:val="12"/>
                <w:spacing w:val="-1"/>
              </w:rPr>
              <w:t>连畴3至4次。</w:t>
            </w:r>
          </w:p>
        </w:tc>
        <w:tc>
          <w:tcPr>
            <w:tcW w:w="759" w:type="dxa"/>
            <w:vAlign w:val="top"/>
            <w:tcBorders>
              <w:bottom w:val="single" w:color="000000" w:sz="2" w:space="0"/>
              <w:top w:val="single" w:color="000000" w:sz="2" w:space="0"/>
            </w:tcBorders>
          </w:tcPr>
          <w:p>
            <w:pPr>
              <w:pStyle w:val="TableText"/>
              <w:ind w:left="197"/>
              <w:spacing w:before="126" w:line="213" w:lineRule="auto"/>
              <w:rPr>
                <w:sz w:val="12"/>
                <w:szCs w:val="12"/>
              </w:rPr>
            </w:pPr>
            <w:r>
              <w:rPr>
                <w:sz w:val="12"/>
                <w:szCs w:val="12"/>
                <w:spacing w:val="-2"/>
              </w:rPr>
              <w:t>15g/袋</w:t>
            </w:r>
          </w:p>
        </w:tc>
        <w:tc>
          <w:tcPr>
            <w:tcW w:w="2603" w:type="dxa"/>
            <w:vAlign w:val="top"/>
            <w:vMerge w:val="restart"/>
            <w:tcBorders>
              <w:bottom w:val="nil"/>
              <w:top w:val="single" w:color="000000" w:sz="2" w:space="0"/>
            </w:tcBorders>
          </w:tcPr>
          <w:p>
            <w:pPr>
              <w:spacing w:line="289" w:lineRule="auto"/>
              <w:rPr>
                <w:rFonts w:ascii="Arial"/>
                <w:sz w:val="21"/>
              </w:rPr>
            </w:pPr>
            <w:r/>
          </w:p>
          <w:p>
            <w:pPr>
              <w:pStyle w:val="TableText"/>
              <w:ind w:left="17"/>
              <w:spacing w:before="39" w:line="219" w:lineRule="auto"/>
              <w:rPr>
                <w:sz w:val="12"/>
                <w:szCs w:val="12"/>
              </w:rPr>
            </w:pPr>
            <w:r>
              <w:rPr>
                <w:sz w:val="12"/>
                <w:szCs w:val="12"/>
                <w:spacing w:val="-1"/>
              </w:rPr>
              <w:t>防治细菌性穿孔病，对细菌性病害有特效</w:t>
            </w:r>
          </w:p>
        </w:tc>
      </w:tr>
      <w:tr>
        <w:trPr>
          <w:trHeight w:val="39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463"/>
              <w:spacing w:before="140" w:line="219" w:lineRule="auto"/>
              <w:rPr>
                <w:sz w:val="12"/>
                <w:szCs w:val="12"/>
              </w:rPr>
            </w:pPr>
            <w:r>
              <w:rPr>
                <w:sz w:val="12"/>
                <w:szCs w:val="12"/>
                <w:spacing w:val="-2"/>
              </w:rPr>
              <w:t>细菌灵</w:t>
            </w:r>
          </w:p>
        </w:tc>
        <w:tc>
          <w:tcPr>
            <w:tcW w:w="1919" w:type="dxa"/>
            <w:vAlign w:val="top"/>
            <w:tcBorders>
              <w:bottom w:val="single" w:color="000000" w:sz="2" w:space="0"/>
              <w:top w:val="single" w:color="000000" w:sz="2" w:space="0"/>
            </w:tcBorders>
          </w:tcPr>
          <w:p>
            <w:pPr>
              <w:pStyle w:val="TableText"/>
              <w:ind w:left="264"/>
              <w:spacing w:before="70" w:line="219" w:lineRule="auto"/>
              <w:rPr>
                <w:sz w:val="12"/>
                <w:szCs w:val="12"/>
              </w:rPr>
            </w:pPr>
            <w:r>
              <w:rPr>
                <w:sz w:val="12"/>
                <w:szCs w:val="12"/>
                <w:spacing w:val="-1"/>
              </w:rPr>
              <w:t>40%6多菌灵，30%中生需素</w:t>
            </w:r>
          </w:p>
        </w:tc>
        <w:tc>
          <w:tcPr>
            <w:tcW w:w="1669" w:type="dxa"/>
            <w:vAlign w:val="top"/>
            <w:tcBorders>
              <w:bottom w:val="single" w:color="000000" w:sz="2" w:space="0"/>
              <w:top w:val="single" w:color="000000" w:sz="2" w:space="0"/>
            </w:tcBorders>
          </w:tcPr>
          <w:p>
            <w:pPr>
              <w:pStyle w:val="TableText"/>
              <w:ind w:left="554"/>
              <w:spacing w:before="141" w:line="220" w:lineRule="auto"/>
              <w:rPr>
                <w:sz w:val="12"/>
                <w:szCs w:val="12"/>
              </w:rPr>
            </w:pPr>
            <w:r>
              <w:rPr>
                <w:sz w:val="12"/>
                <w:szCs w:val="12"/>
                <w:spacing w:val="-1"/>
              </w:rPr>
              <w:t>500-600倍</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97"/>
              <w:spacing w:before="137" w:line="213" w:lineRule="auto"/>
              <w:rPr>
                <w:sz w:val="12"/>
                <w:szCs w:val="12"/>
              </w:rPr>
            </w:pPr>
            <w:r>
              <w:rPr>
                <w:sz w:val="12"/>
                <w:szCs w:val="12"/>
                <w:spacing w:val="-1"/>
              </w:rPr>
              <w:t>25g/袋</w:t>
            </w:r>
          </w:p>
        </w:tc>
        <w:tc>
          <w:tcPr>
            <w:tcW w:w="2603" w:type="dxa"/>
            <w:vAlign w:val="top"/>
            <w:vMerge w:val="continue"/>
            <w:tcBorders>
              <w:bottom w:val="single" w:color="000000" w:sz="2" w:space="0"/>
              <w:top w:val="nil"/>
            </w:tcBorders>
          </w:tcPr>
          <w:p>
            <w:pPr>
              <w:rPr>
                <w:rFonts w:ascii="Arial"/>
                <w:sz w:val="21"/>
              </w:rPr>
            </w:pPr>
            <w:r/>
          </w:p>
        </w:tc>
      </w:tr>
      <w:tr>
        <w:trPr>
          <w:trHeight w:val="35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463"/>
              <w:spacing w:before="121" w:line="219" w:lineRule="auto"/>
              <w:rPr>
                <w:sz w:val="12"/>
                <w:szCs w:val="12"/>
              </w:rPr>
            </w:pPr>
            <w:r>
              <w:rPr>
                <w:sz w:val="12"/>
                <w:szCs w:val="12"/>
                <w:spacing w:val="-2"/>
              </w:rPr>
              <w:t>植病灵</w:t>
            </w:r>
          </w:p>
        </w:tc>
        <w:tc>
          <w:tcPr>
            <w:tcW w:w="1919" w:type="dxa"/>
            <w:vAlign w:val="top"/>
            <w:tcBorders>
              <w:bottom w:val="single" w:color="000000" w:sz="2" w:space="0"/>
              <w:top w:val="single" w:color="000000" w:sz="2" w:space="0"/>
            </w:tcBorders>
          </w:tcPr>
          <w:p>
            <w:pPr>
              <w:pStyle w:val="TableText"/>
              <w:ind w:left="354"/>
              <w:spacing w:before="121" w:line="220" w:lineRule="auto"/>
              <w:rPr>
                <w:sz w:val="12"/>
                <w:szCs w:val="12"/>
              </w:rPr>
            </w:pPr>
            <w:r>
              <w:rPr>
                <w:sz w:val="12"/>
                <w:szCs w:val="12"/>
                <w:spacing w:val="-1"/>
              </w:rPr>
              <w:t>盐酸金刚乙胺、丙环唑</w:t>
            </w:r>
          </w:p>
        </w:tc>
        <w:tc>
          <w:tcPr>
            <w:tcW w:w="1669" w:type="dxa"/>
            <w:vAlign w:val="top"/>
            <w:tcBorders>
              <w:bottom w:val="single" w:color="000000" w:sz="2" w:space="0"/>
              <w:top w:val="single" w:color="000000" w:sz="2" w:space="0"/>
            </w:tcBorders>
          </w:tcPr>
          <w:p>
            <w:pPr>
              <w:pStyle w:val="TableText"/>
              <w:ind w:left="615"/>
              <w:spacing w:before="121" w:line="220" w:lineRule="auto"/>
              <w:rPr>
                <w:sz w:val="12"/>
                <w:szCs w:val="12"/>
              </w:rPr>
            </w:pPr>
            <w:r>
              <w:rPr>
                <w:sz w:val="12"/>
                <w:szCs w:val="12"/>
                <w:spacing w:val="-1"/>
              </w:rPr>
              <w:t>800倍液</w:t>
            </w:r>
          </w:p>
        </w:tc>
        <w:tc>
          <w:tcPr>
            <w:tcW w:w="1039" w:type="dxa"/>
            <w:vAlign w:val="top"/>
            <w:tcBorders>
              <w:bottom w:val="single" w:color="000000" w:sz="2" w:space="0"/>
              <w:top w:val="single" w:color="000000" w:sz="2" w:space="0"/>
            </w:tcBorders>
          </w:tcPr>
          <w:p>
            <w:pPr>
              <w:pStyle w:val="TableText"/>
              <w:spacing w:before="11" w:line="184" w:lineRule="auto"/>
              <w:jc w:val="right"/>
              <w:rPr>
                <w:sz w:val="12"/>
                <w:szCs w:val="12"/>
              </w:rPr>
            </w:pPr>
            <w:r>
              <w:rPr>
                <w:sz w:val="12"/>
                <w:szCs w:val="12"/>
                <w:spacing w:val="-1"/>
              </w:rPr>
              <w:t>发病初期，每5-7天</w:t>
            </w:r>
          </w:p>
          <w:p>
            <w:pPr>
              <w:pStyle w:val="TableText"/>
              <w:spacing w:line="184" w:lineRule="auto"/>
              <w:jc w:val="right"/>
              <w:rPr>
                <w:sz w:val="12"/>
                <w:szCs w:val="12"/>
              </w:rPr>
            </w:pPr>
            <w:r>
              <w:rPr>
                <w:sz w:val="12"/>
                <w:szCs w:val="12"/>
                <w:spacing w:val="2"/>
              </w:rPr>
              <w:t>咳施一次</w:t>
            </w:r>
            <w:r>
              <w:rPr>
                <w:sz w:val="12"/>
                <w:szCs w:val="12"/>
                <w:spacing w:val="-20"/>
              </w:rPr>
              <w:t xml:space="preserve"> </w:t>
            </w:r>
            <w:r>
              <w:rPr>
                <w:sz w:val="12"/>
                <w:szCs w:val="12"/>
                <w:spacing w:val="2"/>
              </w:rPr>
              <w:t>，</w:t>
            </w:r>
            <w:r>
              <w:rPr>
                <w:sz w:val="12"/>
                <w:szCs w:val="12"/>
                <w:spacing w:val="-31"/>
              </w:rPr>
              <w:t xml:space="preserve"> </w:t>
            </w:r>
            <w:r>
              <w:rPr>
                <w:sz w:val="12"/>
                <w:szCs w:val="12"/>
                <w:spacing w:val="2"/>
              </w:rPr>
              <w:t>3遍</w:t>
            </w:r>
            <w:r>
              <w:rPr>
                <w:sz w:val="12"/>
                <w:szCs w:val="12"/>
                <w:spacing w:val="-34"/>
              </w:rPr>
              <w:t xml:space="preserve"> </w:t>
            </w:r>
            <w:r>
              <w:rPr>
                <w:sz w:val="12"/>
                <w:szCs w:val="12"/>
                <w:spacing w:val="2"/>
              </w:rPr>
              <w:t>，</w:t>
            </w:r>
          </w:p>
          <w:p>
            <w:pPr>
              <w:pStyle w:val="TableText"/>
              <w:ind w:left="186"/>
              <w:spacing w:line="92" w:lineRule="exact"/>
              <w:rPr>
                <w:sz w:val="11"/>
                <w:szCs w:val="11"/>
              </w:rPr>
            </w:pPr>
            <w:r>
              <w:rPr>
                <w:sz w:val="11"/>
                <w:szCs w:val="11"/>
                <w:spacing w:val="-3"/>
                <w:position w:val="-1"/>
              </w:rPr>
              <w:t>可减经危害。</w:t>
            </w:r>
          </w:p>
        </w:tc>
        <w:tc>
          <w:tcPr>
            <w:tcW w:w="759" w:type="dxa"/>
            <w:vAlign w:val="top"/>
            <w:tcBorders>
              <w:bottom w:val="single" w:color="000000" w:sz="2" w:space="0"/>
              <w:top w:val="single" w:color="000000" w:sz="2" w:space="0"/>
            </w:tcBorders>
          </w:tcPr>
          <w:p>
            <w:pPr>
              <w:pStyle w:val="TableText"/>
              <w:ind w:left="167"/>
              <w:spacing w:before="122" w:line="221" w:lineRule="auto"/>
              <w:rPr>
                <w:sz w:val="12"/>
                <w:szCs w:val="12"/>
              </w:rPr>
            </w:pPr>
            <w:r>
              <w:rPr>
                <w:sz w:val="12"/>
                <w:szCs w:val="12"/>
                <w:spacing w:val="-2"/>
              </w:rPr>
              <w:t>15nl/瓶</w:t>
            </w:r>
          </w:p>
        </w:tc>
        <w:tc>
          <w:tcPr>
            <w:tcW w:w="2603" w:type="dxa"/>
            <w:vAlign w:val="top"/>
            <w:tcBorders>
              <w:bottom w:val="single" w:color="000000" w:sz="2" w:space="0"/>
              <w:top w:val="single" w:color="000000" w:sz="2" w:space="0"/>
            </w:tcBorders>
          </w:tcPr>
          <w:p>
            <w:pPr>
              <w:pStyle w:val="TableText"/>
              <w:ind w:left="17"/>
              <w:spacing w:before="121" w:line="219" w:lineRule="auto"/>
              <w:rPr>
                <w:sz w:val="12"/>
                <w:szCs w:val="12"/>
              </w:rPr>
            </w:pPr>
            <w:r>
              <w:rPr>
                <w:sz w:val="12"/>
                <w:szCs w:val="12"/>
                <w:spacing w:val="-1"/>
              </w:rPr>
              <w:t>防治花叶病，对病毒性病害有特效</w:t>
            </w:r>
          </w:p>
        </w:tc>
      </w:tr>
      <w:tr>
        <w:trPr>
          <w:trHeight w:val="39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223"/>
              <w:spacing w:before="141" w:line="219" w:lineRule="auto"/>
              <w:rPr>
                <w:sz w:val="12"/>
                <w:szCs w:val="12"/>
              </w:rPr>
            </w:pPr>
            <w:r>
              <w:rPr>
                <w:sz w:val="12"/>
                <w:szCs w:val="12"/>
                <w:spacing w:val="3"/>
              </w:rPr>
              <w:t>特克多(噻菌灵)</w:t>
            </w:r>
          </w:p>
        </w:tc>
        <w:tc>
          <w:tcPr>
            <w:tcW w:w="1919" w:type="dxa"/>
            <w:vAlign w:val="top"/>
            <w:tcBorders>
              <w:bottom w:val="single" w:color="000000" w:sz="2" w:space="0"/>
              <w:top w:val="single" w:color="000000" w:sz="2" w:space="0"/>
            </w:tcBorders>
          </w:tcPr>
          <w:p>
            <w:pPr>
              <w:pStyle w:val="TableText"/>
              <w:ind w:left="714"/>
              <w:spacing w:before="141" w:line="218" w:lineRule="auto"/>
              <w:rPr>
                <w:sz w:val="12"/>
                <w:szCs w:val="12"/>
              </w:rPr>
            </w:pPr>
            <w:r>
              <w:rPr>
                <w:sz w:val="12"/>
                <w:szCs w:val="12"/>
                <w:spacing w:val="-2"/>
              </w:rPr>
              <w:t>苯昧唑类</w:t>
            </w:r>
          </w:p>
        </w:tc>
        <w:tc>
          <w:tcPr>
            <w:tcW w:w="1669" w:type="dxa"/>
            <w:vAlign w:val="top"/>
            <w:tcBorders>
              <w:bottom w:val="single" w:color="000000" w:sz="2" w:space="0"/>
              <w:top w:val="single" w:color="000000" w:sz="2" w:space="0"/>
            </w:tcBorders>
          </w:tcPr>
          <w:p>
            <w:pPr>
              <w:pStyle w:val="TableText"/>
              <w:ind w:left="285"/>
              <w:spacing w:before="141" w:line="218" w:lineRule="auto"/>
              <w:rPr>
                <w:sz w:val="12"/>
                <w:szCs w:val="12"/>
              </w:rPr>
            </w:pPr>
            <w:r>
              <w:rPr>
                <w:sz w:val="12"/>
                <w:szCs w:val="12"/>
                <w:spacing w:val="-1"/>
              </w:rPr>
              <w:t>45%悬浮剂600-800倍</w:t>
            </w:r>
          </w:p>
        </w:tc>
        <w:tc>
          <w:tcPr>
            <w:tcW w:w="1039" w:type="dxa"/>
            <w:vAlign w:val="top"/>
            <w:vMerge w:val="restart"/>
            <w:tcBorders>
              <w:bottom w:val="nil"/>
              <w:top w:val="single" w:color="000000" w:sz="2" w:space="0"/>
            </w:tcBorders>
          </w:tcPr>
          <w:p>
            <w:pPr>
              <w:spacing w:line="350" w:lineRule="auto"/>
              <w:rPr>
                <w:rFonts w:ascii="Arial"/>
                <w:sz w:val="21"/>
              </w:rPr>
            </w:pPr>
            <w:r/>
          </w:p>
          <w:p>
            <w:pPr>
              <w:pStyle w:val="TableText"/>
              <w:ind w:right="2"/>
              <w:spacing w:before="39" w:line="219" w:lineRule="auto"/>
              <w:jc w:val="right"/>
              <w:rPr>
                <w:sz w:val="12"/>
                <w:szCs w:val="12"/>
              </w:rPr>
            </w:pPr>
            <w:r>
              <w:rPr>
                <w:sz w:val="12"/>
                <w:szCs w:val="12"/>
              </w:rPr>
              <w:t>间隔10-15天1次，</w:t>
            </w:r>
          </w:p>
          <w:p>
            <w:pPr>
              <w:pStyle w:val="TableText"/>
              <w:ind w:left="246"/>
              <w:spacing w:before="17" w:line="219" w:lineRule="auto"/>
              <w:rPr>
                <w:sz w:val="12"/>
                <w:szCs w:val="12"/>
              </w:rPr>
            </w:pPr>
            <w:r>
              <w:rPr>
                <w:sz w:val="12"/>
                <w:szCs w:val="12"/>
                <w:spacing w:val="-1"/>
              </w:rPr>
              <w:t>连喷2-3次</w:t>
            </w:r>
          </w:p>
        </w:tc>
        <w:tc>
          <w:tcPr>
            <w:tcW w:w="759" w:type="dxa"/>
            <w:vAlign w:val="top"/>
            <w:tcBorders>
              <w:bottom w:val="single" w:color="000000" w:sz="2" w:space="0"/>
              <w:top w:val="single" w:color="000000" w:sz="2" w:space="0"/>
            </w:tcBorders>
          </w:tcPr>
          <w:p>
            <w:pPr>
              <w:pStyle w:val="TableText"/>
              <w:ind w:left="167"/>
              <w:spacing w:before="142" w:line="221" w:lineRule="auto"/>
              <w:rPr>
                <w:sz w:val="12"/>
                <w:szCs w:val="12"/>
              </w:rPr>
            </w:pPr>
            <w:r>
              <w:rPr>
                <w:sz w:val="12"/>
                <w:szCs w:val="12"/>
                <w:spacing w:val="-1"/>
              </w:rPr>
              <w:t>00ml/瓶</w:t>
            </w:r>
          </w:p>
        </w:tc>
        <w:tc>
          <w:tcPr>
            <w:tcW w:w="2603" w:type="dxa"/>
            <w:vAlign w:val="top"/>
            <w:tcBorders>
              <w:bottom w:val="single" w:color="000000" w:sz="2" w:space="0"/>
              <w:top w:val="single" w:color="000000" w:sz="2" w:space="0"/>
            </w:tcBorders>
          </w:tcPr>
          <w:p>
            <w:pPr>
              <w:pStyle w:val="TableText"/>
              <w:ind w:left="17" w:right="46"/>
              <w:spacing w:before="81" w:line="233" w:lineRule="auto"/>
              <w:rPr>
                <w:sz w:val="12"/>
                <w:szCs w:val="12"/>
              </w:rPr>
            </w:pPr>
            <w:r>
              <w:rPr>
                <w:sz w:val="12"/>
                <w:szCs w:val="12"/>
              </w:rPr>
              <w:t>防治叶斑病、青霉病、炭疽病、灰毒病、黑星病</w:t>
            </w:r>
            <w:r>
              <w:rPr>
                <w:sz w:val="12"/>
                <w:szCs w:val="12"/>
                <w:spacing w:val="7"/>
              </w:rPr>
              <w:t xml:space="preserve"> </w:t>
            </w:r>
            <w:r>
              <w:rPr>
                <w:sz w:val="12"/>
                <w:szCs w:val="12"/>
              </w:rPr>
              <w:t>、白粉病等防泊</w:t>
            </w:r>
          </w:p>
        </w:tc>
      </w:tr>
      <w:tr>
        <w:trPr>
          <w:trHeight w:val="644" w:hRule="atLeast"/>
        </w:trPr>
        <w:tc>
          <w:tcPr>
            <w:tcW w:w="425" w:type="dxa"/>
            <w:vAlign w:val="top"/>
            <w:vMerge w:val="continue"/>
            <w:tcBorders>
              <w:bottom w:val="single" w:color="000000" w:sz="2" w:space="0"/>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69" w:type="dxa"/>
            <w:vAlign w:val="top"/>
            <w:vMerge w:val="continue"/>
            <w:tcBorders>
              <w:bottom w:val="single" w:color="000000" w:sz="2" w:space="0"/>
              <w:top w:val="nil"/>
            </w:tcBorders>
          </w:tcPr>
          <w:p>
            <w:pPr>
              <w:rPr>
                <w:rFonts w:ascii="Arial"/>
                <w:sz w:val="21"/>
              </w:rPr>
            </w:pPr>
            <w:r/>
          </w:p>
        </w:tc>
        <w:tc>
          <w:tcPr>
            <w:tcW w:w="2738" w:type="dxa"/>
            <w:vAlign w:val="top"/>
            <w:vMerge w:val="continue"/>
            <w:tcBorders>
              <w:bottom w:val="single" w:color="000000" w:sz="2" w:space="0"/>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163"/>
              <w:spacing w:before="262" w:line="219" w:lineRule="auto"/>
              <w:rPr>
                <w:sz w:val="12"/>
                <w:szCs w:val="12"/>
              </w:rPr>
            </w:pPr>
            <w:r>
              <w:rPr>
                <w:sz w:val="12"/>
                <w:szCs w:val="12"/>
                <w:spacing w:val="2"/>
              </w:rPr>
              <w:t>好觑(丙疏多菌灵)</w:t>
            </w:r>
          </w:p>
        </w:tc>
        <w:tc>
          <w:tcPr>
            <w:tcW w:w="1919" w:type="dxa"/>
            <w:vAlign w:val="top"/>
            <w:tcBorders>
              <w:bottom w:val="single" w:color="000000" w:sz="2" w:space="0"/>
              <w:top w:val="single" w:color="000000" w:sz="2" w:space="0"/>
            </w:tcBorders>
          </w:tcPr>
          <w:p>
            <w:pPr>
              <w:pStyle w:val="TableText"/>
              <w:ind w:left="714"/>
              <w:spacing w:before="262" w:line="220" w:lineRule="auto"/>
              <w:rPr>
                <w:sz w:val="12"/>
                <w:szCs w:val="12"/>
              </w:rPr>
            </w:pPr>
            <w:r>
              <w:rPr>
                <w:sz w:val="12"/>
                <w:szCs w:val="12"/>
                <w:spacing w:val="-2"/>
              </w:rPr>
              <w:t>丙疏味唑</w:t>
            </w:r>
          </w:p>
        </w:tc>
        <w:tc>
          <w:tcPr>
            <w:tcW w:w="1669" w:type="dxa"/>
            <w:vAlign w:val="top"/>
            <w:tcBorders>
              <w:bottom w:val="single" w:color="000000" w:sz="2" w:space="0"/>
              <w:top w:val="single" w:color="000000" w:sz="2" w:space="0"/>
            </w:tcBorders>
          </w:tcPr>
          <w:p>
            <w:pPr>
              <w:pStyle w:val="TableText"/>
              <w:ind w:left="285"/>
              <w:spacing w:before="262" w:line="219" w:lineRule="auto"/>
              <w:rPr>
                <w:sz w:val="12"/>
                <w:szCs w:val="12"/>
              </w:rPr>
            </w:pPr>
            <w:r>
              <w:rPr>
                <w:sz w:val="12"/>
                <w:szCs w:val="12"/>
                <w:spacing w:val="-1"/>
              </w:rPr>
              <w:t>20%好靓2000-3000倍</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97"/>
              <w:spacing w:before="258" w:line="213" w:lineRule="auto"/>
              <w:rPr>
                <w:sz w:val="12"/>
                <w:szCs w:val="12"/>
              </w:rPr>
            </w:pPr>
            <w:r>
              <w:rPr>
                <w:sz w:val="12"/>
                <w:szCs w:val="12"/>
                <w:spacing w:val="-1"/>
              </w:rPr>
              <w:t>50g/袋</w:t>
            </w:r>
          </w:p>
        </w:tc>
        <w:tc>
          <w:tcPr>
            <w:tcW w:w="2603" w:type="dxa"/>
            <w:vAlign w:val="top"/>
            <w:tcBorders>
              <w:bottom w:val="single" w:color="000000" w:sz="2" w:space="0"/>
              <w:top w:val="single" w:color="000000" w:sz="2" w:space="0"/>
            </w:tcBorders>
          </w:tcPr>
          <w:p>
            <w:pPr>
              <w:pStyle w:val="TableText"/>
              <w:ind w:left="17"/>
              <w:spacing w:before="121"/>
              <w:jc w:val="both"/>
              <w:rPr>
                <w:sz w:val="12"/>
                <w:szCs w:val="12"/>
              </w:rPr>
            </w:pPr>
            <w:r>
              <w:rPr>
                <w:sz w:val="12"/>
                <w:szCs w:val="12"/>
                <w:spacing w:val="2"/>
              </w:rPr>
              <w:t>广谱内吸性杀菌剂。可用于防治枯萎病、疫病、</w:t>
            </w:r>
            <w:r>
              <w:rPr>
                <w:sz w:val="12"/>
                <w:szCs w:val="12"/>
                <w:spacing w:val="12"/>
              </w:rPr>
              <w:t xml:space="preserve"> </w:t>
            </w:r>
            <w:r>
              <w:rPr>
                <w:sz w:val="12"/>
                <w:szCs w:val="12"/>
                <w:spacing w:val="-1"/>
              </w:rPr>
              <w:t>腐霉惰，立秸病、根腐病、茎腐病，猝倒病等多</w:t>
            </w:r>
            <w:r>
              <w:rPr>
                <w:sz w:val="12"/>
                <w:szCs w:val="12"/>
                <w:spacing w:val="5"/>
              </w:rPr>
              <w:t xml:space="preserve">  </w:t>
            </w:r>
            <w:r>
              <w:rPr>
                <w:sz w:val="12"/>
                <w:szCs w:val="12"/>
                <w:spacing w:val="-1"/>
              </w:rPr>
              <w:t>种病害。使用方法：灌根，喷雾</w:t>
            </w:r>
          </w:p>
        </w:tc>
      </w:tr>
      <w:tr>
        <w:trPr>
          <w:trHeight w:val="394" w:hRule="atLeast"/>
        </w:trPr>
        <w:tc>
          <w:tcPr>
            <w:tcW w:w="425" w:type="dxa"/>
            <w:vAlign w:val="top"/>
            <w:vMerge w:val="restart"/>
            <w:tcBorders>
              <w:bottom w:val="nil"/>
              <w:top w:val="single" w:color="000000" w:sz="2" w:space="0"/>
            </w:tcBorders>
          </w:tcPr>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spacing w:before="39" w:line="218" w:lineRule="auto"/>
              <w:jc w:val="right"/>
              <w:rPr>
                <w:sz w:val="12"/>
                <w:szCs w:val="12"/>
              </w:rPr>
            </w:pPr>
            <w:r>
              <w:rPr>
                <w:sz w:val="12"/>
                <w:szCs w:val="12"/>
                <w:spacing w:val="13"/>
              </w:rPr>
              <w:t>杀虫剂</w:t>
            </w:r>
          </w:p>
        </w:tc>
        <w:tc>
          <w:tcPr>
            <w:tcW w:w="640" w:type="dxa"/>
            <w:vAlign w:val="top"/>
            <w:vMerge w:val="restart"/>
            <w:tcBorders>
              <w:bottom w:val="nil"/>
              <w:top w:val="single" w:color="000000" w:sz="2" w:space="0"/>
            </w:tcBorders>
          </w:tcPr>
          <w:p>
            <w:pPr>
              <w:spacing w:line="279" w:lineRule="auto"/>
              <w:rPr>
                <w:rFonts w:ascii="Arial"/>
                <w:sz w:val="21"/>
              </w:rPr>
            </w:pPr>
            <w:r/>
          </w:p>
          <w:p>
            <w:pPr>
              <w:spacing w:line="280" w:lineRule="auto"/>
              <w:rPr>
                <w:rFonts w:ascii="Arial"/>
                <w:sz w:val="21"/>
              </w:rPr>
            </w:pPr>
            <w:r/>
          </w:p>
          <w:p>
            <w:pPr>
              <w:pStyle w:val="TableText"/>
              <w:ind w:right="13"/>
              <w:spacing w:before="39" w:line="219" w:lineRule="auto"/>
              <w:jc w:val="right"/>
              <w:rPr>
                <w:sz w:val="12"/>
                <w:szCs w:val="12"/>
              </w:rPr>
            </w:pPr>
            <w:r>
              <w:rPr>
                <w:sz w:val="12"/>
                <w:szCs w:val="12"/>
                <w:spacing w:val="-1"/>
              </w:rPr>
              <w:t>食叶害虫</w:t>
            </w:r>
          </w:p>
        </w:tc>
        <w:tc>
          <w:tcPr>
            <w:tcW w:w="969" w:type="dxa"/>
            <w:vAlign w:val="top"/>
            <w:vMerge w:val="restart"/>
            <w:tcBorders>
              <w:bottom w:val="nil"/>
              <w:top w:val="single" w:color="000000" w:sz="2" w:space="0"/>
            </w:tcBorders>
          </w:tcPr>
          <w:p>
            <w:pPr>
              <w:pStyle w:val="TableText"/>
              <w:ind w:left="50"/>
              <w:spacing w:before="163" w:line="220" w:lineRule="auto"/>
              <w:rPr>
                <w:sz w:val="12"/>
                <w:szCs w:val="12"/>
              </w:rPr>
            </w:pPr>
            <w:r>
              <w:rPr>
                <w:sz w:val="12"/>
                <w:szCs w:val="12"/>
                <w:spacing w:val="-1"/>
              </w:rPr>
              <w:t>悬铃木黑星六点</w:t>
            </w:r>
          </w:p>
          <w:p>
            <w:pPr>
              <w:pStyle w:val="TableText"/>
              <w:ind w:left="80"/>
              <w:spacing w:before="6" w:line="218" w:lineRule="auto"/>
              <w:rPr>
                <w:sz w:val="12"/>
                <w:szCs w:val="12"/>
              </w:rPr>
            </w:pPr>
            <w:r>
              <w:rPr>
                <w:sz w:val="12"/>
                <w:szCs w:val="12"/>
                <w:spacing w:val="-1"/>
              </w:rPr>
              <w:t>木富峨、天幕毛</w:t>
            </w:r>
          </w:p>
          <w:p>
            <w:pPr>
              <w:pStyle w:val="TableText"/>
              <w:ind w:left="50"/>
              <w:spacing w:before="18" w:line="200" w:lineRule="auto"/>
              <w:rPr>
                <w:sz w:val="12"/>
                <w:szCs w:val="12"/>
              </w:rPr>
            </w:pPr>
            <w:r>
              <w:rPr>
                <w:sz w:val="12"/>
                <w:szCs w:val="12"/>
                <w:spacing w:val="-1"/>
              </w:rPr>
              <w:t>虫、粉灯蛾、舞</w:t>
            </w:r>
          </w:p>
          <w:p>
            <w:pPr>
              <w:pStyle w:val="TableText"/>
              <w:ind w:left="80"/>
              <w:spacing w:line="219" w:lineRule="auto"/>
              <w:rPr>
                <w:sz w:val="12"/>
                <w:szCs w:val="12"/>
              </w:rPr>
            </w:pPr>
            <w:r>
              <w:rPr>
                <w:sz w:val="12"/>
                <w:szCs w:val="12"/>
                <w:spacing w:val="-1"/>
              </w:rPr>
              <w:t>有蛾、黄杨绢野</w:t>
            </w:r>
          </w:p>
          <w:p>
            <w:pPr>
              <w:pStyle w:val="TableText"/>
              <w:ind w:left="80"/>
              <w:spacing w:before="7" w:line="218" w:lineRule="auto"/>
              <w:rPr>
                <w:sz w:val="12"/>
                <w:szCs w:val="12"/>
              </w:rPr>
            </w:pPr>
            <w:r>
              <w:rPr>
                <w:sz w:val="12"/>
                <w:szCs w:val="12"/>
                <w:spacing w:val="-1"/>
              </w:rPr>
              <w:t>螟、槐尺媛、墨</w:t>
            </w:r>
          </w:p>
          <w:p>
            <w:pPr>
              <w:pStyle w:val="TableText"/>
              <w:ind w:left="50"/>
              <w:spacing w:before="18" w:line="200" w:lineRule="auto"/>
              <w:rPr>
                <w:sz w:val="12"/>
                <w:szCs w:val="12"/>
              </w:rPr>
            </w:pPr>
            <w:r>
              <w:rPr>
                <w:sz w:val="12"/>
                <w:szCs w:val="12"/>
                <w:spacing w:val="-1"/>
              </w:rPr>
              <w:t>荒蛾、刺蛾、小</w:t>
            </w:r>
          </w:p>
          <w:p>
            <w:pPr>
              <w:pStyle w:val="TableText"/>
              <w:ind w:left="350"/>
              <w:spacing w:line="219" w:lineRule="auto"/>
              <w:rPr>
                <w:sz w:val="12"/>
                <w:szCs w:val="12"/>
              </w:rPr>
            </w:pPr>
            <w:r>
              <w:rPr>
                <w:sz w:val="12"/>
                <w:szCs w:val="12"/>
                <w:spacing w:val="-2"/>
              </w:rPr>
              <w:t>菜鲲</w:t>
            </w:r>
          </w:p>
        </w:tc>
        <w:tc>
          <w:tcPr>
            <w:tcW w:w="2738" w:type="dxa"/>
            <w:vAlign w:val="top"/>
            <w:vMerge w:val="restart"/>
            <w:tcBorders>
              <w:bottom w:val="nil"/>
              <w:top w:val="single" w:color="000000" w:sz="2" w:space="0"/>
            </w:tcBorders>
          </w:tcPr>
          <w:p>
            <w:pPr>
              <w:pStyle w:val="TableText"/>
              <w:ind w:left="11" w:right="34"/>
              <w:spacing w:before="232" w:line="225" w:lineRule="auto"/>
              <w:rPr>
                <w:sz w:val="12"/>
                <w:szCs w:val="12"/>
              </w:rPr>
            </w:pPr>
            <w:r>
              <w:rPr>
                <w:sz w:val="12"/>
                <w:szCs w:val="12"/>
                <w:spacing w:val="-1"/>
              </w:rPr>
              <w:t>一、5月预防消杀为主。在进入雨季、高发季前全园</w:t>
            </w:r>
            <w:r>
              <w:rPr>
                <w:sz w:val="12"/>
                <w:szCs w:val="12"/>
                <w:spacing w:val="4"/>
              </w:rPr>
              <w:t xml:space="preserve"> </w:t>
            </w:r>
            <w:r>
              <w:rPr>
                <w:sz w:val="12"/>
                <w:szCs w:val="12"/>
                <w:spacing w:val="-1"/>
              </w:rPr>
              <w:t>区消杀虫卵，蛹。</w:t>
            </w:r>
          </w:p>
          <w:p>
            <w:pPr>
              <w:pStyle w:val="TableText"/>
              <w:ind w:left="11" w:right="21"/>
              <w:spacing w:before="16" w:line="210" w:lineRule="auto"/>
              <w:rPr>
                <w:sz w:val="12"/>
                <w:szCs w:val="12"/>
              </w:rPr>
            </w:pPr>
            <w:r>
              <w:rPr>
                <w:sz w:val="12"/>
                <w:szCs w:val="12"/>
                <w:spacing w:val="-1"/>
              </w:rPr>
              <w:t>三，6月是大本分害虫成蛹或羽化期，采取人工加药</w:t>
            </w:r>
            <w:r>
              <w:rPr>
                <w:sz w:val="12"/>
                <w:szCs w:val="12"/>
                <w:spacing w:val="17"/>
              </w:rPr>
              <w:t xml:space="preserve"> </w:t>
            </w:r>
            <w:r>
              <w:rPr>
                <w:sz w:val="12"/>
                <w:szCs w:val="12"/>
              </w:rPr>
              <w:t>物双重治疗除卵，除蛹，除成虫。</w:t>
            </w:r>
          </w:p>
          <w:p>
            <w:pPr>
              <w:pStyle w:val="TableText"/>
              <w:ind w:left="11" w:right="71" w:firstLine="9"/>
              <w:spacing w:before="7" w:line="233" w:lineRule="auto"/>
              <w:rPr>
                <w:sz w:val="12"/>
                <w:szCs w:val="12"/>
              </w:rPr>
            </w:pPr>
            <w:r>
              <w:rPr>
                <w:sz w:val="12"/>
                <w:szCs w:val="12"/>
                <w:spacing w:val="-1"/>
              </w:rPr>
              <w:t>三、7-10四个月为均有零星出现，有发现病情，及</w:t>
            </w:r>
            <w:r>
              <w:rPr>
                <w:sz w:val="12"/>
                <w:szCs w:val="12"/>
                <w:spacing w:val="18"/>
              </w:rPr>
              <w:t xml:space="preserve"> </w:t>
            </w:r>
            <w:r>
              <w:rPr>
                <w:sz w:val="12"/>
                <w:szCs w:val="12"/>
                <w:spacing w:val="-1"/>
              </w:rPr>
              <w:t>时喷药处理。</w:t>
            </w:r>
          </w:p>
        </w:tc>
        <w:tc>
          <w:tcPr>
            <w:tcW w:w="1299" w:type="dxa"/>
            <w:vAlign w:val="top"/>
            <w:tcBorders>
              <w:bottom w:val="single" w:color="000000" w:sz="2" w:space="0"/>
              <w:top w:val="single" w:color="000000" w:sz="2" w:space="0"/>
            </w:tcBorders>
          </w:tcPr>
          <w:p>
            <w:pPr>
              <w:pStyle w:val="TableText"/>
              <w:ind w:left="403"/>
              <w:spacing w:before="142" w:line="219" w:lineRule="auto"/>
              <w:rPr>
                <w:sz w:val="12"/>
                <w:szCs w:val="12"/>
              </w:rPr>
            </w:pPr>
            <w:r>
              <w:rPr>
                <w:sz w:val="12"/>
                <w:szCs w:val="12"/>
                <w:spacing w:val="1"/>
              </w:rPr>
              <w:t>国光毒枪</w:t>
            </w:r>
          </w:p>
        </w:tc>
        <w:tc>
          <w:tcPr>
            <w:tcW w:w="1919" w:type="dxa"/>
            <w:vAlign w:val="top"/>
            <w:tcBorders>
              <w:bottom w:val="single" w:color="000000" w:sz="2" w:space="0"/>
              <w:top w:val="single" w:color="000000" w:sz="2" w:space="0"/>
            </w:tcBorders>
          </w:tcPr>
          <w:p>
            <w:pPr>
              <w:pStyle w:val="TableText"/>
              <w:ind w:left="414"/>
              <w:spacing w:before="142" w:line="219" w:lineRule="auto"/>
              <w:rPr>
                <w:sz w:val="12"/>
                <w:szCs w:val="12"/>
              </w:rPr>
            </w:pPr>
            <w:r>
              <w:rPr>
                <w:sz w:val="12"/>
                <w:szCs w:val="12"/>
                <w:spacing w:val="-1"/>
              </w:rPr>
              <w:t>45%丙溴.辛硫磷乳油</w:t>
            </w:r>
          </w:p>
        </w:tc>
        <w:tc>
          <w:tcPr>
            <w:tcW w:w="1669" w:type="dxa"/>
            <w:vAlign w:val="top"/>
            <w:tcBorders>
              <w:bottom w:val="single" w:color="000000" w:sz="2" w:space="0"/>
              <w:top w:val="single" w:color="000000" w:sz="2" w:space="0"/>
            </w:tcBorders>
          </w:tcPr>
          <w:p>
            <w:pPr>
              <w:pStyle w:val="TableText"/>
              <w:ind w:left="315"/>
              <w:spacing w:before="142" w:line="219" w:lineRule="auto"/>
              <w:rPr>
                <w:sz w:val="12"/>
                <w:szCs w:val="12"/>
              </w:rPr>
            </w:pPr>
            <w:r>
              <w:rPr>
                <w:sz w:val="12"/>
                <w:szCs w:val="12"/>
                <w:spacing w:val="-1"/>
              </w:rPr>
              <w:t>稀释2000-3000倍液</w:t>
            </w:r>
          </w:p>
        </w:tc>
        <w:tc>
          <w:tcPr>
            <w:tcW w:w="1039" w:type="dxa"/>
            <w:vAlign w:val="top"/>
            <w:vMerge w:val="restart"/>
            <w:tcBorders>
              <w:bottom w:val="nil"/>
              <w:top w:val="single" w:color="000000" w:sz="2" w:space="0"/>
            </w:tcBorders>
          </w:tcPr>
          <w:p>
            <w:pPr>
              <w:spacing w:line="244" w:lineRule="auto"/>
              <w:rPr>
                <w:rFonts w:ascii="Arial"/>
                <w:sz w:val="21"/>
              </w:rPr>
            </w:pPr>
            <w:r/>
          </w:p>
          <w:p>
            <w:pPr>
              <w:spacing w:line="245" w:lineRule="auto"/>
              <w:rPr>
                <w:rFonts w:ascii="Arial"/>
                <w:sz w:val="21"/>
              </w:rPr>
            </w:pPr>
            <w:r/>
          </w:p>
          <w:p>
            <w:pPr>
              <w:pStyle w:val="TableText"/>
              <w:ind w:left="245" w:hanging="229"/>
              <w:spacing w:before="39" w:line="234" w:lineRule="auto"/>
              <w:rPr>
                <w:sz w:val="12"/>
                <w:szCs w:val="12"/>
              </w:rPr>
            </w:pPr>
            <w:r>
              <w:rPr>
                <w:sz w:val="12"/>
                <w:szCs w:val="12"/>
                <w:spacing w:val="-1"/>
              </w:rPr>
              <w:t>一般用3次，时间间</w:t>
            </w:r>
            <w:r>
              <w:rPr>
                <w:sz w:val="12"/>
                <w:szCs w:val="12"/>
              </w:rPr>
              <w:t xml:space="preserve"> </w:t>
            </w:r>
            <w:r>
              <w:rPr>
                <w:sz w:val="12"/>
                <w:szCs w:val="12"/>
                <w:spacing w:val="-2"/>
              </w:rPr>
              <w:t>隔7到10天</w:t>
            </w:r>
          </w:p>
        </w:tc>
        <w:tc>
          <w:tcPr>
            <w:tcW w:w="759" w:type="dxa"/>
            <w:vAlign w:val="top"/>
            <w:tcBorders>
              <w:bottom w:val="single" w:color="000000" w:sz="2" w:space="0"/>
              <w:top w:val="single" w:color="000000" w:sz="2" w:space="0"/>
            </w:tcBorders>
          </w:tcPr>
          <w:p>
            <w:pPr>
              <w:pStyle w:val="TableText"/>
              <w:ind w:left="76"/>
              <w:spacing w:before="143"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142" w:line="219" w:lineRule="auto"/>
              <w:rPr>
                <w:sz w:val="12"/>
                <w:szCs w:val="12"/>
              </w:rPr>
            </w:pPr>
            <w:r>
              <w:rPr>
                <w:sz w:val="12"/>
                <w:szCs w:val="12"/>
                <w:spacing w:val="-1"/>
              </w:rPr>
              <w:t>高渗透性，柔卷叶虫，包叶虫、斑潜蜗等</w:t>
            </w:r>
          </w:p>
        </w:tc>
      </w:tr>
      <w:tr>
        <w:trPr>
          <w:trHeight w:val="30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403"/>
              <w:spacing w:before="113" w:line="219" w:lineRule="auto"/>
              <w:rPr>
                <w:sz w:val="12"/>
                <w:szCs w:val="12"/>
              </w:rPr>
            </w:pPr>
            <w:r>
              <w:rPr>
                <w:sz w:val="12"/>
                <w:szCs w:val="12"/>
                <w:spacing w:val="1"/>
              </w:rPr>
              <w:t>国光毒箭</w:t>
            </w:r>
          </w:p>
        </w:tc>
        <w:tc>
          <w:tcPr>
            <w:tcW w:w="1919" w:type="dxa"/>
            <w:vAlign w:val="top"/>
            <w:tcBorders>
              <w:bottom w:val="single" w:color="000000" w:sz="2" w:space="0"/>
              <w:top w:val="single" w:color="000000" w:sz="2" w:space="0"/>
            </w:tcBorders>
          </w:tcPr>
          <w:p>
            <w:pPr>
              <w:pStyle w:val="TableText"/>
              <w:ind w:left="504"/>
              <w:spacing w:before="113" w:line="219" w:lineRule="auto"/>
              <w:rPr>
                <w:sz w:val="12"/>
                <w:szCs w:val="12"/>
              </w:rPr>
            </w:pPr>
            <w:r>
              <w:rPr>
                <w:sz w:val="12"/>
                <w:szCs w:val="12"/>
                <w:spacing w:val="-1"/>
              </w:rPr>
              <w:t>20%氟戊菊酯乳泊</w:t>
            </w:r>
          </w:p>
        </w:tc>
        <w:tc>
          <w:tcPr>
            <w:tcW w:w="1669" w:type="dxa"/>
            <w:vAlign w:val="top"/>
            <w:tcBorders>
              <w:bottom w:val="single" w:color="000000" w:sz="2" w:space="0"/>
              <w:top w:val="single" w:color="000000" w:sz="2" w:space="0"/>
            </w:tcBorders>
          </w:tcPr>
          <w:p>
            <w:pPr>
              <w:pStyle w:val="TableText"/>
              <w:ind w:left="315"/>
              <w:spacing w:before="113" w:line="219" w:lineRule="auto"/>
              <w:rPr>
                <w:sz w:val="12"/>
                <w:szCs w:val="12"/>
              </w:rPr>
            </w:pPr>
            <w:r>
              <w:rPr>
                <w:sz w:val="12"/>
                <w:szCs w:val="12"/>
                <w:spacing w:val="-1"/>
              </w:rPr>
              <w:t>稀释2000-3000倍液</w:t>
            </w:r>
          </w:p>
        </w:tc>
        <w:tc>
          <w:tcPr>
            <w:tcW w:w="1039" w:type="dxa"/>
            <w:vAlign w:val="top"/>
            <w:vMerge w:val="continue"/>
            <w:tcBorders>
              <w:bottom w:val="nil"/>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76"/>
              <w:spacing w:before="113"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113" w:line="219" w:lineRule="auto"/>
              <w:rPr>
                <w:sz w:val="12"/>
                <w:szCs w:val="12"/>
              </w:rPr>
            </w:pPr>
            <w:r>
              <w:rPr>
                <w:sz w:val="12"/>
                <w:szCs w:val="12"/>
                <w:spacing w:val="-1"/>
              </w:rPr>
              <w:t>高效广谱、长效杀虫刺。杀食叶性害虫特效</w:t>
            </w:r>
          </w:p>
        </w:tc>
      </w:tr>
      <w:tr>
        <w:trPr>
          <w:trHeight w:val="61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69" w:type="dxa"/>
            <w:vAlign w:val="top"/>
            <w:vMerge w:val="continue"/>
            <w:tcBorders>
              <w:bottom w:val="single" w:color="000000" w:sz="2" w:space="0"/>
              <w:top w:val="nil"/>
            </w:tcBorders>
          </w:tcPr>
          <w:p>
            <w:pPr>
              <w:rPr>
                <w:rFonts w:ascii="Arial"/>
                <w:sz w:val="21"/>
              </w:rPr>
            </w:pPr>
            <w:r/>
          </w:p>
        </w:tc>
        <w:tc>
          <w:tcPr>
            <w:tcW w:w="2738" w:type="dxa"/>
            <w:vAlign w:val="top"/>
            <w:vMerge w:val="continue"/>
            <w:tcBorders>
              <w:bottom w:val="single" w:color="000000" w:sz="2" w:space="0"/>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343"/>
              <w:spacing w:before="253" w:line="219" w:lineRule="auto"/>
              <w:rPr>
                <w:sz w:val="12"/>
                <w:szCs w:val="12"/>
              </w:rPr>
            </w:pPr>
            <w:r>
              <w:rPr>
                <w:sz w:val="12"/>
                <w:szCs w:val="12"/>
                <w:spacing w:val="-1"/>
              </w:rPr>
              <w:t>诺替信黑战</w:t>
            </w:r>
          </w:p>
        </w:tc>
        <w:tc>
          <w:tcPr>
            <w:tcW w:w="1919" w:type="dxa"/>
            <w:vAlign w:val="top"/>
            <w:tcBorders>
              <w:bottom w:val="single" w:color="000000" w:sz="2" w:space="0"/>
              <w:top w:val="single" w:color="000000" w:sz="2" w:space="0"/>
            </w:tcBorders>
          </w:tcPr>
          <w:p>
            <w:pPr>
              <w:pStyle w:val="TableText"/>
              <w:ind w:left="444"/>
              <w:spacing w:before="253" w:line="219" w:lineRule="auto"/>
              <w:rPr>
                <w:sz w:val="12"/>
                <w:szCs w:val="12"/>
              </w:rPr>
            </w:pPr>
            <w:r>
              <w:rPr>
                <w:sz w:val="12"/>
                <w:szCs w:val="12"/>
                <w:spacing w:val="-5"/>
              </w:rPr>
              <w:t>甲维盐</w:t>
            </w:r>
            <w:r>
              <w:rPr>
                <w:sz w:val="12"/>
                <w:szCs w:val="12"/>
                <w:spacing w:val="-9"/>
              </w:rPr>
              <w:t xml:space="preserve"> </w:t>
            </w:r>
            <w:r>
              <w:rPr>
                <w:sz w:val="12"/>
                <w:szCs w:val="12"/>
                <w:spacing w:val="-5"/>
              </w:rPr>
              <w:t>·虫酰肼20%</w:t>
            </w:r>
          </w:p>
        </w:tc>
        <w:tc>
          <w:tcPr>
            <w:tcW w:w="1669" w:type="dxa"/>
            <w:vAlign w:val="top"/>
            <w:tcBorders>
              <w:bottom w:val="single" w:color="000000" w:sz="2" w:space="0"/>
              <w:top w:val="single" w:color="000000" w:sz="2" w:space="0"/>
            </w:tcBorders>
          </w:tcPr>
          <w:p>
            <w:pPr>
              <w:pStyle w:val="TableText"/>
              <w:ind w:left="494"/>
              <w:spacing w:before="254" w:line="220" w:lineRule="auto"/>
              <w:rPr>
                <w:sz w:val="12"/>
                <w:szCs w:val="12"/>
              </w:rPr>
            </w:pPr>
            <w:r>
              <w:rPr>
                <w:sz w:val="12"/>
                <w:szCs w:val="12"/>
                <w:spacing w:val="-5"/>
              </w:rPr>
              <w:t>1000—1500倍</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67"/>
              <w:spacing w:before="254" w:line="221" w:lineRule="auto"/>
              <w:rPr>
                <w:sz w:val="12"/>
                <w:szCs w:val="12"/>
              </w:rPr>
            </w:pPr>
            <w:r>
              <w:rPr>
                <w:sz w:val="12"/>
                <w:szCs w:val="12"/>
                <w:spacing w:val="-1"/>
              </w:rPr>
              <w:t>00nl/瓶</w:t>
            </w:r>
          </w:p>
        </w:tc>
        <w:tc>
          <w:tcPr>
            <w:tcW w:w="2603" w:type="dxa"/>
            <w:vAlign w:val="top"/>
            <w:tcBorders>
              <w:bottom w:val="single" w:color="000000" w:sz="2" w:space="0"/>
              <w:top w:val="single" w:color="000000" w:sz="2" w:space="0"/>
            </w:tcBorders>
          </w:tcPr>
          <w:p>
            <w:pPr>
              <w:pStyle w:val="TableText"/>
              <w:ind w:left="17"/>
              <w:spacing w:before="253" w:line="218" w:lineRule="auto"/>
              <w:rPr>
                <w:sz w:val="12"/>
                <w:szCs w:val="12"/>
              </w:rPr>
            </w:pPr>
            <w:r>
              <w:rPr>
                <w:sz w:val="12"/>
                <w:szCs w:val="12"/>
                <w:spacing w:val="-1"/>
              </w:rPr>
              <w:t>高效广谱杀虫剂，杀食叶性害虫特效</w:t>
            </w:r>
          </w:p>
        </w:tc>
      </w:tr>
      <w:tr>
        <w:trPr>
          <w:trHeight w:val="534" w:hRule="atLeast"/>
        </w:trPr>
        <w:tc>
          <w:tcPr>
            <w:tcW w:w="425" w:type="dxa"/>
            <w:vAlign w:val="top"/>
            <w:vMerge w:val="continue"/>
            <w:tcBorders>
              <w:bottom w:val="nil"/>
              <w:top w:val="nil"/>
            </w:tcBorders>
          </w:tcPr>
          <w:p>
            <w:pPr>
              <w:rPr>
                <w:rFonts w:ascii="Arial"/>
                <w:sz w:val="21"/>
              </w:rPr>
            </w:pPr>
            <w:r/>
          </w:p>
        </w:tc>
        <w:tc>
          <w:tcPr>
            <w:tcW w:w="640" w:type="dxa"/>
            <w:vAlign w:val="top"/>
            <w:vMerge w:val="restart"/>
            <w:tcBorders>
              <w:bottom w:val="nil"/>
              <w:top w:val="single" w:color="000000" w:sz="2" w:space="0"/>
            </w:tcBorders>
          </w:tcPr>
          <w:p>
            <w:pPr>
              <w:rPr>
                <w:rFonts w:ascii="Arial"/>
                <w:sz w:val="21"/>
              </w:rPr>
            </w:pPr>
            <w:r/>
          </w:p>
          <w:p>
            <w:pPr>
              <w:rPr>
                <w:rFonts w:ascii="Arial"/>
                <w:sz w:val="21"/>
              </w:rPr>
            </w:pPr>
            <w:r/>
          </w:p>
          <w:p>
            <w:pPr>
              <w:rPr>
                <w:rFonts w:ascii="Arial"/>
                <w:sz w:val="21"/>
              </w:rPr>
            </w:pPr>
            <w:r/>
          </w:p>
          <w:p>
            <w:pPr>
              <w:pStyle w:val="TableText"/>
              <w:ind w:right="13"/>
              <w:spacing w:before="39" w:line="219" w:lineRule="auto"/>
              <w:jc w:val="right"/>
              <w:rPr>
                <w:sz w:val="12"/>
                <w:szCs w:val="12"/>
              </w:rPr>
            </w:pPr>
            <w:r>
              <w:rPr>
                <w:sz w:val="12"/>
                <w:szCs w:val="12"/>
                <w:spacing w:val="-1"/>
              </w:rPr>
              <w:t>刺吸害虫</w:t>
            </w:r>
          </w:p>
        </w:tc>
        <w:tc>
          <w:tcPr>
            <w:tcW w:w="969" w:type="dxa"/>
            <w:vAlign w:val="top"/>
            <w:vMerge w:val="restart"/>
            <w:tcBorders>
              <w:bottom w:val="nil"/>
              <w:top w:val="single" w:color="000000" w:sz="2" w:space="0"/>
            </w:tcBorders>
          </w:tcPr>
          <w:p>
            <w:pPr>
              <w:pStyle w:val="TableText"/>
              <w:ind w:left="30" w:right="53" w:firstLine="19"/>
              <w:spacing w:before="173" w:line="230" w:lineRule="auto"/>
              <w:rPr>
                <w:sz w:val="12"/>
                <w:szCs w:val="12"/>
              </w:rPr>
            </w:pPr>
            <w:r>
              <w:rPr>
                <w:sz w:val="12"/>
                <w:szCs w:val="12"/>
                <w:spacing w:val="2"/>
              </w:rPr>
              <w:t>日本草履蜻、角</w:t>
            </w:r>
            <w:r>
              <w:rPr>
                <w:sz w:val="12"/>
                <w:szCs w:val="12"/>
              </w:rPr>
              <w:t xml:space="preserve"> </w:t>
            </w:r>
            <w:r>
              <w:rPr>
                <w:sz w:val="12"/>
                <w:szCs w:val="12"/>
                <w:spacing w:val="-1"/>
              </w:rPr>
              <w:t>蜻蚧、球坚蚧</w:t>
            </w:r>
          </w:p>
          <w:p>
            <w:pPr>
              <w:pStyle w:val="TableText"/>
              <w:ind w:left="50" w:right="53" w:firstLine="19"/>
              <w:spacing w:before="1" w:line="230" w:lineRule="auto"/>
              <w:rPr>
                <w:sz w:val="12"/>
                <w:szCs w:val="12"/>
              </w:rPr>
            </w:pPr>
            <w:r>
              <w:rPr>
                <w:sz w:val="12"/>
                <w:szCs w:val="12"/>
                <w:spacing w:val="-1"/>
              </w:rPr>
              <w:t>腈蚧、粉蛛、吹</w:t>
            </w:r>
            <w:r>
              <w:rPr>
                <w:sz w:val="12"/>
                <w:szCs w:val="12"/>
                <w:spacing w:val="1"/>
              </w:rPr>
              <w:t xml:space="preserve"> </w:t>
            </w:r>
            <w:r>
              <w:rPr>
                <w:sz w:val="12"/>
                <w:szCs w:val="12"/>
                <w:spacing w:val="-1"/>
              </w:rPr>
              <w:t>棉翰、卫矛矢尖</w:t>
            </w:r>
          </w:p>
          <w:p>
            <w:pPr>
              <w:pStyle w:val="TableText"/>
              <w:ind w:left="189" w:right="55" w:hanging="139"/>
              <w:spacing w:line="233" w:lineRule="auto"/>
              <w:rPr>
                <w:sz w:val="12"/>
                <w:szCs w:val="12"/>
              </w:rPr>
            </w:pPr>
            <w:r>
              <w:rPr>
                <w:sz w:val="12"/>
                <w:szCs w:val="12"/>
                <w:spacing w:val="-1"/>
              </w:rPr>
              <w:t>尾蚡、桑白盾蚧</w:t>
            </w:r>
            <w:r>
              <w:rPr>
                <w:sz w:val="12"/>
                <w:szCs w:val="12"/>
                <w:spacing w:val="1"/>
              </w:rPr>
              <w:t xml:space="preserve"> </w:t>
            </w:r>
            <w:r>
              <w:rPr>
                <w:sz w:val="12"/>
                <w:szCs w:val="12"/>
                <w:spacing w:val="-2"/>
              </w:rPr>
              <w:t>龟蜡蚧、草履</w:t>
            </w:r>
          </w:p>
          <w:p>
            <w:pPr>
              <w:pStyle w:val="TableText"/>
              <w:ind w:left="50"/>
              <w:spacing w:before="7" w:line="198" w:lineRule="auto"/>
              <w:rPr>
                <w:sz w:val="12"/>
                <w:szCs w:val="12"/>
              </w:rPr>
            </w:pPr>
            <w:r>
              <w:rPr>
                <w:sz w:val="12"/>
                <w:szCs w:val="12"/>
                <w:spacing w:val="-1"/>
              </w:rPr>
              <w:t>蚧、红蜡蚧、矢</w:t>
            </w:r>
          </w:p>
          <w:p>
            <w:pPr>
              <w:pStyle w:val="TableText"/>
              <w:ind w:left="70"/>
              <w:spacing w:line="218" w:lineRule="auto"/>
              <w:rPr>
                <w:sz w:val="12"/>
                <w:szCs w:val="12"/>
              </w:rPr>
            </w:pPr>
            <w:r>
              <w:rPr>
                <w:sz w:val="12"/>
                <w:szCs w:val="12"/>
                <w:spacing w:val="-1"/>
              </w:rPr>
              <w:t>尖矛蛾、日本龟</w:t>
            </w:r>
          </w:p>
          <w:p>
            <w:pPr>
              <w:pStyle w:val="TableText"/>
              <w:ind w:left="350"/>
              <w:spacing w:before="18" w:line="219" w:lineRule="auto"/>
              <w:rPr>
                <w:sz w:val="12"/>
                <w:szCs w:val="12"/>
              </w:rPr>
            </w:pPr>
            <w:r>
              <w:rPr>
                <w:sz w:val="12"/>
                <w:szCs w:val="12"/>
                <w:spacing w:val="-2"/>
              </w:rPr>
              <w:t>蜡蛛</w:t>
            </w:r>
          </w:p>
        </w:tc>
        <w:tc>
          <w:tcPr>
            <w:tcW w:w="2738" w:type="dxa"/>
            <w:vAlign w:val="top"/>
            <w:vMerge w:val="restart"/>
            <w:tcBorders>
              <w:bottom w:val="nil"/>
              <w:top w:val="single" w:color="000000" w:sz="2" w:space="0"/>
            </w:tcBorders>
          </w:tcPr>
          <w:p>
            <w:pPr>
              <w:spacing w:line="255" w:lineRule="auto"/>
              <w:rPr>
                <w:rFonts w:ascii="Arial"/>
                <w:sz w:val="21"/>
              </w:rPr>
            </w:pPr>
            <w:r/>
          </w:p>
          <w:p>
            <w:pPr>
              <w:spacing w:line="256" w:lineRule="auto"/>
              <w:rPr>
                <w:rFonts w:ascii="Arial"/>
                <w:sz w:val="21"/>
              </w:rPr>
            </w:pPr>
            <w:r/>
          </w:p>
          <w:p>
            <w:pPr>
              <w:pStyle w:val="TableText"/>
              <w:ind w:left="11"/>
              <w:spacing w:before="39" w:line="219" w:lineRule="auto"/>
              <w:rPr>
                <w:sz w:val="12"/>
                <w:szCs w:val="12"/>
              </w:rPr>
            </w:pPr>
            <w:r>
              <w:rPr>
                <w:sz w:val="12"/>
                <w:szCs w:val="12"/>
                <w:spacing w:val="-1"/>
              </w:rPr>
              <w:t>一、4月已经有成虫出现，配合春季消杀，预防为主</w:t>
            </w:r>
          </w:p>
          <w:p>
            <w:pPr>
              <w:pStyle w:val="TableText"/>
              <w:ind w:left="11" w:right="83"/>
              <w:spacing w:before="116" w:line="249" w:lineRule="auto"/>
              <w:rPr>
                <w:sz w:val="12"/>
                <w:szCs w:val="12"/>
              </w:rPr>
            </w:pPr>
            <w:r>
              <w:rPr>
                <w:sz w:val="12"/>
                <w:szCs w:val="12"/>
                <w:spacing w:val="-1"/>
              </w:rPr>
              <w:t>二、5、6.7、8、9、10月为均有零星出现。有发现</w:t>
            </w:r>
            <w:r>
              <w:rPr>
                <w:sz w:val="12"/>
                <w:szCs w:val="12"/>
                <w:spacing w:val="18"/>
              </w:rPr>
              <w:t xml:space="preserve"> </w:t>
            </w:r>
            <w:r>
              <w:rPr>
                <w:sz w:val="12"/>
                <w:szCs w:val="12"/>
              </w:rPr>
              <w:t>病情，及时喷药处理。</w:t>
            </w:r>
          </w:p>
        </w:tc>
        <w:tc>
          <w:tcPr>
            <w:tcW w:w="1299" w:type="dxa"/>
            <w:vAlign w:val="top"/>
            <w:tcBorders>
              <w:bottom w:val="single" w:color="000000" w:sz="2" w:space="0"/>
              <w:top w:val="single" w:color="000000" w:sz="2" w:space="0"/>
            </w:tcBorders>
          </w:tcPr>
          <w:p>
            <w:pPr>
              <w:pStyle w:val="TableText"/>
              <w:ind w:left="343"/>
              <w:spacing w:before="214" w:line="219" w:lineRule="auto"/>
              <w:rPr>
                <w:sz w:val="12"/>
                <w:szCs w:val="12"/>
              </w:rPr>
            </w:pPr>
            <w:r>
              <w:rPr>
                <w:sz w:val="12"/>
                <w:szCs w:val="12"/>
                <w:spacing w:val="2"/>
              </w:rPr>
              <w:t>国光蚧必治</w:t>
            </w:r>
          </w:p>
        </w:tc>
        <w:tc>
          <w:tcPr>
            <w:tcW w:w="1919" w:type="dxa"/>
            <w:vAlign w:val="top"/>
            <w:tcBorders>
              <w:bottom w:val="single" w:color="000000" w:sz="2" w:space="0"/>
              <w:top w:val="single" w:color="000000" w:sz="2" w:space="0"/>
            </w:tcBorders>
          </w:tcPr>
          <w:p>
            <w:pPr>
              <w:pStyle w:val="TableText"/>
              <w:ind w:left="354"/>
              <w:spacing w:before="214" w:line="219" w:lineRule="auto"/>
              <w:rPr>
                <w:sz w:val="12"/>
                <w:szCs w:val="12"/>
              </w:rPr>
            </w:pPr>
            <w:r>
              <w:rPr>
                <w:sz w:val="12"/>
                <w:szCs w:val="12"/>
                <w:spacing w:val="-1"/>
              </w:rPr>
              <w:t>40%咤虫眯.毒死婢乳油</w:t>
            </w:r>
          </w:p>
        </w:tc>
        <w:tc>
          <w:tcPr>
            <w:tcW w:w="1669" w:type="dxa"/>
            <w:vAlign w:val="top"/>
            <w:tcBorders>
              <w:bottom w:val="single" w:color="000000" w:sz="2" w:space="0"/>
              <w:top w:val="single" w:color="000000" w:sz="2" w:space="0"/>
            </w:tcBorders>
          </w:tcPr>
          <w:p>
            <w:pPr>
              <w:pStyle w:val="TableText"/>
              <w:ind w:left="315"/>
              <w:spacing w:before="214" w:line="219" w:lineRule="auto"/>
              <w:rPr>
                <w:sz w:val="12"/>
                <w:szCs w:val="12"/>
              </w:rPr>
            </w:pPr>
            <w:r>
              <w:rPr>
                <w:sz w:val="12"/>
                <w:szCs w:val="12"/>
                <w:spacing w:val="-1"/>
              </w:rPr>
              <w:t>稀释2000-3000倍液</w:t>
            </w:r>
          </w:p>
        </w:tc>
        <w:tc>
          <w:tcPr>
            <w:tcW w:w="1039" w:type="dxa"/>
            <w:vAlign w:val="top"/>
            <w:vMerge w:val="restart"/>
            <w:tcBorders>
              <w:bottom w:val="nil"/>
              <w:top w:val="single" w:color="000000" w:sz="2" w:space="0"/>
            </w:tcBorders>
          </w:tcPr>
          <w:p>
            <w:pPr>
              <w:rPr>
                <w:rFonts w:ascii="Arial"/>
                <w:sz w:val="21"/>
              </w:rPr>
            </w:pPr>
            <w:r/>
          </w:p>
          <w:p>
            <w:pPr>
              <w:rPr>
                <w:rFonts w:ascii="Arial"/>
                <w:sz w:val="21"/>
              </w:rPr>
            </w:pPr>
            <w:r/>
          </w:p>
          <w:p>
            <w:pPr>
              <w:rPr>
                <w:rFonts w:ascii="Arial"/>
                <w:sz w:val="21"/>
              </w:rPr>
            </w:pPr>
            <w:r/>
          </w:p>
          <w:p>
            <w:pPr>
              <w:pStyle w:val="TableText"/>
              <w:ind w:left="246"/>
              <w:spacing w:before="39" w:line="219" w:lineRule="auto"/>
              <w:rPr>
                <w:sz w:val="12"/>
                <w:szCs w:val="12"/>
              </w:rPr>
            </w:pPr>
            <w:r>
              <w:rPr>
                <w:sz w:val="12"/>
                <w:szCs w:val="12"/>
                <w:spacing w:val="-2"/>
              </w:rPr>
              <w:t>一般用3次</w:t>
            </w:r>
          </w:p>
        </w:tc>
        <w:tc>
          <w:tcPr>
            <w:tcW w:w="759" w:type="dxa"/>
            <w:vAlign w:val="top"/>
            <w:tcBorders>
              <w:bottom w:val="single" w:color="000000" w:sz="2" w:space="0"/>
              <w:top w:val="single" w:color="000000" w:sz="2" w:space="0"/>
            </w:tcBorders>
          </w:tcPr>
          <w:p>
            <w:pPr>
              <w:pStyle w:val="TableText"/>
              <w:ind w:left="106"/>
              <w:spacing w:before="210" w:line="213" w:lineRule="auto"/>
              <w:rPr>
                <w:sz w:val="12"/>
                <w:szCs w:val="12"/>
              </w:rPr>
            </w:pPr>
            <w:r>
              <w:rPr>
                <w:sz w:val="12"/>
                <w:szCs w:val="12"/>
                <w:spacing w:val="3"/>
              </w:rPr>
              <w:t>(200g/瓶)</w:t>
            </w:r>
          </w:p>
        </w:tc>
        <w:tc>
          <w:tcPr>
            <w:tcW w:w="2603" w:type="dxa"/>
            <w:vAlign w:val="top"/>
            <w:tcBorders>
              <w:bottom w:val="single" w:color="000000" w:sz="2" w:space="0"/>
              <w:top w:val="single" w:color="000000" w:sz="2" w:space="0"/>
            </w:tcBorders>
          </w:tcPr>
          <w:p>
            <w:pPr>
              <w:pStyle w:val="TableText"/>
              <w:ind w:left="17"/>
              <w:spacing w:before="213" w:line="218" w:lineRule="auto"/>
              <w:rPr>
                <w:sz w:val="12"/>
                <w:szCs w:val="12"/>
              </w:rPr>
            </w:pPr>
            <w:r>
              <w:rPr>
                <w:sz w:val="12"/>
                <w:szCs w:val="12"/>
                <w:spacing w:val="-1"/>
              </w:rPr>
              <w:t>专杀介壳虫，食叶类害虫，地下害虫</w:t>
            </w:r>
          </w:p>
        </w:tc>
      </w:tr>
      <w:tr>
        <w:trPr>
          <w:trHeight w:val="534" w:hRule="atLeast"/>
        </w:trPr>
        <w:tc>
          <w:tcPr>
            <w:tcW w:w="425" w:type="dxa"/>
            <w:vAlign w:val="top"/>
            <w:vMerge w:val="continue"/>
            <w:tcBorders>
              <w:bottom w:val="nil"/>
              <w:top w:val="nil"/>
            </w:tcBorders>
          </w:tcPr>
          <w:p>
            <w:pPr>
              <w:rPr>
                <w:rFonts w:ascii="Arial"/>
                <w:sz w:val="21"/>
              </w:rPr>
            </w:pPr>
            <w:r/>
          </w:p>
        </w:tc>
        <w:tc>
          <w:tcPr>
            <w:tcW w:w="640" w:type="dxa"/>
            <w:vAlign w:val="top"/>
            <w:vMerge w:val="continue"/>
            <w:tcBorders>
              <w:bottom w:val="nil"/>
              <w:top w:val="nil"/>
            </w:tcBorders>
          </w:tcPr>
          <w:p>
            <w:pPr>
              <w:rPr>
                <w:rFonts w:ascii="Arial"/>
                <w:sz w:val="21"/>
              </w:rPr>
            </w:pPr>
            <w:r/>
          </w:p>
        </w:tc>
        <w:tc>
          <w:tcPr>
            <w:tcW w:w="969" w:type="dxa"/>
            <w:vAlign w:val="top"/>
            <w:vMerge w:val="continue"/>
            <w:tcBorders>
              <w:bottom w:val="nil"/>
              <w:top w:val="nil"/>
            </w:tcBorders>
          </w:tcPr>
          <w:p>
            <w:pPr>
              <w:rPr>
                <w:rFonts w:ascii="Arial"/>
                <w:sz w:val="21"/>
              </w:rPr>
            </w:pPr>
            <w:r/>
          </w:p>
        </w:tc>
        <w:tc>
          <w:tcPr>
            <w:tcW w:w="2738" w:type="dxa"/>
            <w:vAlign w:val="top"/>
            <w:vMerge w:val="continue"/>
            <w:tcBorders>
              <w:bottom w:val="nil"/>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343"/>
              <w:spacing w:before="214" w:line="220" w:lineRule="auto"/>
              <w:rPr>
                <w:sz w:val="12"/>
                <w:szCs w:val="12"/>
              </w:rPr>
            </w:pPr>
            <w:r>
              <w:rPr>
                <w:sz w:val="12"/>
                <w:szCs w:val="12"/>
                <w:spacing w:val="1"/>
              </w:rPr>
              <w:t>中威排捉手</w:t>
            </w:r>
          </w:p>
        </w:tc>
        <w:tc>
          <w:tcPr>
            <w:tcW w:w="1919" w:type="dxa"/>
            <w:vAlign w:val="top"/>
            <w:tcBorders>
              <w:bottom w:val="single" w:color="000000" w:sz="2" w:space="0"/>
              <w:top w:val="single" w:color="000000" w:sz="2" w:space="0"/>
            </w:tcBorders>
          </w:tcPr>
          <w:p>
            <w:pPr>
              <w:pStyle w:val="TableText"/>
              <w:ind w:left="504"/>
              <w:spacing w:before="214" w:line="219" w:lineRule="auto"/>
              <w:rPr>
                <w:sz w:val="12"/>
                <w:szCs w:val="12"/>
              </w:rPr>
            </w:pPr>
            <w:r>
              <w:rPr>
                <w:sz w:val="12"/>
                <w:szCs w:val="12"/>
                <w:spacing w:val="-6"/>
              </w:rPr>
              <w:t>高氯</w:t>
            </w:r>
            <w:r>
              <w:rPr>
                <w:sz w:val="12"/>
                <w:szCs w:val="12"/>
                <w:spacing w:val="-15"/>
              </w:rPr>
              <w:t xml:space="preserve"> </w:t>
            </w:r>
            <w:r>
              <w:rPr>
                <w:sz w:val="12"/>
                <w:szCs w:val="12"/>
                <w:spacing w:val="-6"/>
              </w:rPr>
              <w:t>·毒死蟀15%</w:t>
            </w:r>
          </w:p>
        </w:tc>
        <w:tc>
          <w:tcPr>
            <w:tcW w:w="1669" w:type="dxa"/>
            <w:vAlign w:val="top"/>
            <w:tcBorders>
              <w:bottom w:val="single" w:color="000000" w:sz="2" w:space="0"/>
              <w:top w:val="single" w:color="000000" w:sz="2" w:space="0"/>
            </w:tcBorders>
          </w:tcPr>
          <w:p>
            <w:pPr>
              <w:pStyle w:val="TableText"/>
              <w:ind w:left="434"/>
              <w:spacing w:before="214" w:line="220" w:lineRule="auto"/>
              <w:rPr>
                <w:sz w:val="12"/>
                <w:szCs w:val="12"/>
              </w:rPr>
            </w:pPr>
            <w:r>
              <w:rPr>
                <w:sz w:val="12"/>
                <w:szCs w:val="12"/>
                <w:spacing w:val="-2"/>
              </w:rPr>
              <w:t>1000-1500倍液</w:t>
            </w:r>
          </w:p>
        </w:tc>
        <w:tc>
          <w:tcPr>
            <w:tcW w:w="1039" w:type="dxa"/>
            <w:vAlign w:val="top"/>
            <w:vMerge w:val="continue"/>
            <w:tcBorders>
              <w:bottom w:val="nil"/>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76"/>
              <w:spacing w:before="215"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214" w:line="219" w:lineRule="auto"/>
              <w:rPr>
                <w:sz w:val="12"/>
                <w:szCs w:val="12"/>
              </w:rPr>
            </w:pPr>
            <w:r>
              <w:rPr>
                <w:sz w:val="12"/>
                <w:szCs w:val="12"/>
                <w:spacing w:val="-1"/>
              </w:rPr>
              <w:t>主要防治蚧壳虫，斑潜蝇及鳞翅目幼虫，飞虱等</w:t>
            </w:r>
          </w:p>
        </w:tc>
      </w:tr>
      <w:tr>
        <w:trPr>
          <w:trHeight w:val="559" w:hRule="atLeast"/>
        </w:trPr>
        <w:tc>
          <w:tcPr>
            <w:tcW w:w="425" w:type="dxa"/>
            <w:vAlign w:val="top"/>
            <w:vMerge w:val="continue"/>
            <w:tcBorders>
              <w:bottom w:val="single" w:color="000000" w:sz="2" w:space="0"/>
              <w:top w:val="nil"/>
            </w:tcBorders>
          </w:tcPr>
          <w:p>
            <w:pPr>
              <w:rPr>
                <w:rFonts w:ascii="Arial"/>
                <w:sz w:val="21"/>
              </w:rPr>
            </w:pPr>
            <w:r/>
          </w:p>
        </w:tc>
        <w:tc>
          <w:tcPr>
            <w:tcW w:w="640" w:type="dxa"/>
            <w:vAlign w:val="top"/>
            <w:vMerge w:val="continue"/>
            <w:tcBorders>
              <w:bottom w:val="single" w:color="000000" w:sz="2" w:space="0"/>
              <w:top w:val="nil"/>
            </w:tcBorders>
          </w:tcPr>
          <w:p>
            <w:pPr>
              <w:rPr>
                <w:rFonts w:ascii="Arial"/>
                <w:sz w:val="21"/>
              </w:rPr>
            </w:pPr>
            <w:r/>
          </w:p>
        </w:tc>
        <w:tc>
          <w:tcPr>
            <w:tcW w:w="969" w:type="dxa"/>
            <w:vAlign w:val="top"/>
            <w:vMerge w:val="continue"/>
            <w:tcBorders>
              <w:bottom w:val="single" w:color="000000" w:sz="2" w:space="0"/>
              <w:top w:val="nil"/>
            </w:tcBorders>
          </w:tcPr>
          <w:p>
            <w:pPr>
              <w:rPr>
                <w:rFonts w:ascii="Arial"/>
                <w:sz w:val="21"/>
              </w:rPr>
            </w:pPr>
            <w:r/>
          </w:p>
        </w:tc>
        <w:tc>
          <w:tcPr>
            <w:tcW w:w="2738" w:type="dxa"/>
            <w:vAlign w:val="top"/>
            <w:vMerge w:val="continue"/>
            <w:tcBorders>
              <w:bottom w:val="single" w:color="000000" w:sz="2" w:space="0"/>
              <w:top w:val="nil"/>
            </w:tcBorders>
          </w:tcPr>
          <w:p>
            <w:pPr>
              <w:rPr>
                <w:rFonts w:ascii="Arial"/>
                <w:sz w:val="21"/>
              </w:rPr>
            </w:pPr>
            <w:r/>
          </w:p>
        </w:tc>
        <w:tc>
          <w:tcPr>
            <w:tcW w:w="1299" w:type="dxa"/>
            <w:vAlign w:val="top"/>
            <w:tcBorders>
              <w:bottom w:val="single" w:color="000000" w:sz="2" w:space="0"/>
              <w:top w:val="single" w:color="000000" w:sz="2" w:space="0"/>
            </w:tcBorders>
          </w:tcPr>
          <w:p>
            <w:pPr>
              <w:pStyle w:val="TableText"/>
              <w:ind w:left="283"/>
              <w:spacing w:before="224" w:line="218" w:lineRule="auto"/>
              <w:rPr>
                <w:sz w:val="12"/>
                <w:szCs w:val="12"/>
              </w:rPr>
            </w:pPr>
            <w:r>
              <w:rPr>
                <w:sz w:val="12"/>
                <w:szCs w:val="12"/>
                <w:spacing w:val="-1"/>
              </w:rPr>
              <w:t>诺替信速介清</w:t>
            </w:r>
          </w:p>
        </w:tc>
        <w:tc>
          <w:tcPr>
            <w:tcW w:w="1919" w:type="dxa"/>
            <w:vAlign w:val="top"/>
            <w:tcBorders>
              <w:bottom w:val="single" w:color="000000" w:sz="2" w:space="0"/>
              <w:top w:val="single" w:color="000000" w:sz="2" w:space="0"/>
            </w:tcBorders>
          </w:tcPr>
          <w:p>
            <w:pPr>
              <w:pStyle w:val="TableText"/>
              <w:ind w:left="684"/>
              <w:spacing w:before="224" w:line="219" w:lineRule="auto"/>
              <w:rPr>
                <w:sz w:val="12"/>
                <w:szCs w:val="12"/>
              </w:rPr>
            </w:pPr>
            <w:r>
              <w:rPr>
                <w:sz w:val="12"/>
                <w:szCs w:val="12"/>
                <w:spacing w:val="-2"/>
              </w:rPr>
              <w:t>杀扑磷405</w:t>
            </w:r>
          </w:p>
        </w:tc>
        <w:tc>
          <w:tcPr>
            <w:tcW w:w="1669" w:type="dxa"/>
            <w:vAlign w:val="top"/>
            <w:tcBorders>
              <w:bottom w:val="single" w:color="000000" w:sz="2" w:space="0"/>
              <w:top w:val="single" w:color="000000" w:sz="2" w:space="0"/>
            </w:tcBorders>
          </w:tcPr>
          <w:p>
            <w:pPr>
              <w:pStyle w:val="TableText"/>
              <w:ind w:left="494"/>
              <w:spacing w:before="225" w:line="220" w:lineRule="auto"/>
              <w:rPr>
                <w:sz w:val="12"/>
                <w:szCs w:val="12"/>
              </w:rPr>
            </w:pPr>
            <w:r>
              <w:rPr>
                <w:sz w:val="12"/>
                <w:szCs w:val="12"/>
                <w:spacing w:val="-5"/>
              </w:rPr>
              <w:t>1000—1500倍</w:t>
            </w:r>
          </w:p>
        </w:tc>
        <w:tc>
          <w:tcPr>
            <w:tcW w:w="1039" w:type="dxa"/>
            <w:vAlign w:val="top"/>
            <w:vMerge w:val="continue"/>
            <w:tcBorders>
              <w:bottom w:val="single" w:color="000000" w:sz="2" w:space="0"/>
              <w:top w:val="nil"/>
            </w:tcBorders>
          </w:tcPr>
          <w:p>
            <w:pPr>
              <w:rPr>
                <w:rFonts w:ascii="Arial"/>
                <w:sz w:val="21"/>
              </w:rPr>
            </w:pPr>
            <w:r/>
          </w:p>
        </w:tc>
        <w:tc>
          <w:tcPr>
            <w:tcW w:w="759" w:type="dxa"/>
            <w:vAlign w:val="top"/>
            <w:tcBorders>
              <w:bottom w:val="single" w:color="000000" w:sz="2" w:space="0"/>
              <w:top w:val="single" w:color="000000" w:sz="2" w:space="0"/>
            </w:tcBorders>
          </w:tcPr>
          <w:p>
            <w:pPr>
              <w:pStyle w:val="TableText"/>
              <w:ind w:left="106"/>
              <w:spacing w:before="225"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spacing w:before="224" w:line="218" w:lineRule="auto"/>
              <w:rPr>
                <w:sz w:val="12"/>
                <w:szCs w:val="12"/>
              </w:rPr>
            </w:pPr>
            <w:r>
              <w:rPr>
                <w:sz w:val="12"/>
                <w:szCs w:val="12"/>
                <w:spacing w:val="-1"/>
              </w:rPr>
              <w:t>杀灭介壳虫，活性高</w:t>
            </w:r>
          </w:p>
        </w:tc>
      </w:tr>
    </w:tbl>
    <w:p>
      <w:pPr>
        <w:spacing w:line="14" w:lineRule="auto"/>
        <w:rPr>
          <w:rFonts w:ascii="Arial"/>
          <w:sz w:val="2"/>
        </w:rPr>
      </w:pPr>
      <w:r/>
    </w:p>
    <w:p>
      <w:pPr>
        <w:spacing w:line="14" w:lineRule="auto"/>
        <w:sectPr>
          <w:pgSz w:w="14490" w:h="10240"/>
          <w:pgMar w:top="115" w:right="234" w:bottom="274" w:left="184" w:header="0" w:footer="0" w:gutter="0"/>
        </w:sectPr>
        <w:rPr>
          <w:rFonts w:ascii="Arial" w:hAnsi="Arial" w:eastAsia="Arial" w:cs="Arial"/>
          <w:sz w:val="2"/>
          <w:szCs w:val="2"/>
        </w:rPr>
      </w:pPr>
    </w:p>
    <w:tbl>
      <w:tblPr>
        <w:tblStyle w:val="TableNormal"/>
        <w:tblW w:w="140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650"/>
        <w:gridCol w:w="959"/>
        <w:gridCol w:w="2748"/>
        <w:gridCol w:w="1289"/>
        <w:gridCol w:w="1929"/>
        <w:gridCol w:w="1659"/>
        <w:gridCol w:w="1049"/>
        <w:gridCol w:w="749"/>
        <w:gridCol w:w="2603"/>
      </w:tblGrid>
      <w:tr>
        <w:trPr>
          <w:trHeight w:val="539" w:hRule="atLeast"/>
        </w:trPr>
        <w:tc>
          <w:tcPr>
            <w:tcW w:w="415" w:type="dxa"/>
            <w:vAlign w:val="top"/>
            <w:tcBorders>
              <w:bottom w:val="single" w:color="000000" w:sz="2" w:space="0"/>
              <w:top w:val="single" w:color="000000" w:sz="2" w:space="0"/>
            </w:tcBorders>
          </w:tcPr>
          <w:p>
            <w:pPr>
              <w:pStyle w:val="TableText"/>
              <w:ind w:left="76"/>
              <w:spacing w:before="212" w:line="219" w:lineRule="auto"/>
              <w:rPr>
                <w:sz w:val="12"/>
                <w:szCs w:val="12"/>
              </w:rPr>
            </w:pPr>
            <w:r>
              <w:rPr>
                <w:sz w:val="12"/>
                <w:szCs w:val="12"/>
                <w:b/>
                <w:bCs/>
                <w:spacing w:val="-3"/>
              </w:rPr>
              <w:t>分类</w:t>
            </w:r>
          </w:p>
        </w:tc>
        <w:tc>
          <w:tcPr>
            <w:tcW w:w="650" w:type="dxa"/>
            <w:vAlign w:val="top"/>
            <w:tcBorders>
              <w:bottom w:val="single" w:color="000000" w:sz="2" w:space="0"/>
              <w:top w:val="single" w:color="000000" w:sz="2" w:space="0"/>
            </w:tcBorders>
          </w:tcPr>
          <w:p>
            <w:pPr>
              <w:pStyle w:val="TableText"/>
              <w:ind w:left="11"/>
              <w:spacing w:before="123" w:line="219" w:lineRule="auto"/>
              <w:rPr>
                <w:sz w:val="12"/>
                <w:szCs w:val="12"/>
              </w:rPr>
            </w:pPr>
            <w:r>
              <w:rPr>
                <w:sz w:val="12"/>
                <w:szCs w:val="12"/>
                <w:b/>
                <w:bCs/>
                <w:spacing w:val="-3"/>
              </w:rPr>
              <w:t>消杀预防及</w:t>
            </w:r>
          </w:p>
          <w:p>
            <w:pPr>
              <w:pStyle w:val="TableText"/>
              <w:ind w:left="11"/>
              <w:spacing w:before="7" w:line="219" w:lineRule="auto"/>
              <w:rPr>
                <w:sz w:val="12"/>
                <w:szCs w:val="12"/>
              </w:rPr>
            </w:pPr>
            <w:r>
              <w:rPr>
                <w:sz w:val="12"/>
                <w:szCs w:val="12"/>
                <w:b/>
                <w:bCs/>
                <w:spacing w:val="-2"/>
              </w:rPr>
              <w:t>病虫害分类</w:t>
            </w:r>
          </w:p>
        </w:tc>
        <w:tc>
          <w:tcPr>
            <w:tcW w:w="959" w:type="dxa"/>
            <w:vAlign w:val="top"/>
            <w:tcBorders>
              <w:bottom w:val="single" w:color="000000" w:sz="2" w:space="0"/>
              <w:top w:val="single" w:color="000000" w:sz="2" w:space="0"/>
            </w:tcBorders>
          </w:tcPr>
          <w:p>
            <w:pPr>
              <w:pStyle w:val="TableText"/>
              <w:ind w:left="171"/>
              <w:spacing w:before="212" w:line="219" w:lineRule="auto"/>
              <w:rPr>
                <w:sz w:val="12"/>
                <w:szCs w:val="12"/>
              </w:rPr>
            </w:pPr>
            <w:r>
              <w:rPr>
                <w:sz w:val="12"/>
                <w:szCs w:val="12"/>
                <w:b/>
                <w:bCs/>
                <w:spacing w:val="-3"/>
              </w:rPr>
              <w:t>常见病虫害</w:t>
            </w:r>
          </w:p>
        </w:tc>
        <w:tc>
          <w:tcPr>
            <w:tcW w:w="2748" w:type="dxa"/>
            <w:vAlign w:val="top"/>
            <w:tcBorders>
              <w:bottom w:val="single" w:color="000000" w:sz="2" w:space="0"/>
              <w:top w:val="single" w:color="000000" w:sz="2" w:space="0"/>
            </w:tcBorders>
          </w:tcPr>
          <w:p>
            <w:pPr>
              <w:pStyle w:val="TableText"/>
              <w:ind w:left="1032"/>
              <w:spacing w:before="212" w:line="219" w:lineRule="auto"/>
              <w:rPr>
                <w:sz w:val="12"/>
                <w:szCs w:val="12"/>
              </w:rPr>
            </w:pPr>
            <w:r>
              <w:rPr>
                <w:sz w:val="12"/>
                <w:szCs w:val="12"/>
                <w:b/>
                <w:bCs/>
                <w:spacing w:val="-3"/>
              </w:rPr>
              <w:t>主要发病月份</w:t>
            </w:r>
          </w:p>
        </w:tc>
        <w:tc>
          <w:tcPr>
            <w:tcW w:w="1289" w:type="dxa"/>
            <w:vAlign w:val="top"/>
            <w:tcBorders>
              <w:bottom w:val="single" w:color="000000" w:sz="2" w:space="0"/>
              <w:top w:val="single" w:color="000000" w:sz="2" w:space="0"/>
            </w:tcBorders>
          </w:tcPr>
          <w:p>
            <w:pPr>
              <w:pStyle w:val="TableText"/>
              <w:ind w:left="394"/>
              <w:spacing w:before="213" w:line="220" w:lineRule="auto"/>
              <w:rPr>
                <w:sz w:val="12"/>
                <w:szCs w:val="12"/>
              </w:rPr>
            </w:pPr>
            <w:r>
              <w:rPr>
                <w:sz w:val="12"/>
                <w:szCs w:val="12"/>
                <w:b/>
                <w:bCs/>
                <w:spacing w:val="-3"/>
              </w:rPr>
              <w:t>药品名称</w:t>
            </w:r>
          </w:p>
        </w:tc>
        <w:tc>
          <w:tcPr>
            <w:tcW w:w="1929" w:type="dxa"/>
            <w:vAlign w:val="top"/>
            <w:tcBorders>
              <w:bottom w:val="single" w:color="000000" w:sz="2" w:space="0"/>
              <w:top w:val="single" w:color="000000" w:sz="2" w:space="0"/>
            </w:tcBorders>
          </w:tcPr>
          <w:p>
            <w:pPr>
              <w:pStyle w:val="TableText"/>
              <w:ind w:left="715"/>
              <w:spacing w:before="213" w:line="220" w:lineRule="auto"/>
              <w:rPr>
                <w:sz w:val="12"/>
                <w:szCs w:val="12"/>
              </w:rPr>
            </w:pPr>
            <w:r>
              <w:rPr>
                <w:sz w:val="12"/>
                <w:szCs w:val="12"/>
                <w:b/>
                <w:bCs/>
                <w:spacing w:val="-3"/>
              </w:rPr>
              <w:t>主要成分</w:t>
            </w:r>
          </w:p>
        </w:tc>
        <w:tc>
          <w:tcPr>
            <w:tcW w:w="1659" w:type="dxa"/>
            <w:vAlign w:val="top"/>
            <w:tcBorders>
              <w:bottom w:val="single" w:color="000000" w:sz="2" w:space="0"/>
              <w:top w:val="single" w:color="000000" w:sz="2" w:space="0"/>
            </w:tcBorders>
          </w:tcPr>
          <w:p>
            <w:pPr>
              <w:pStyle w:val="TableText"/>
              <w:ind w:left="586"/>
              <w:spacing w:before="212" w:line="219" w:lineRule="auto"/>
              <w:rPr>
                <w:sz w:val="12"/>
                <w:szCs w:val="12"/>
              </w:rPr>
            </w:pPr>
            <w:r>
              <w:rPr>
                <w:sz w:val="12"/>
                <w:szCs w:val="12"/>
                <w:b/>
                <w:bCs/>
                <w:spacing w:val="-3"/>
              </w:rPr>
              <w:t>使用倍率</w:t>
            </w:r>
          </w:p>
        </w:tc>
        <w:tc>
          <w:tcPr>
            <w:tcW w:w="1049" w:type="dxa"/>
            <w:vAlign w:val="top"/>
            <w:tcBorders>
              <w:bottom w:val="single" w:color="000000" w:sz="2" w:space="0"/>
              <w:top w:val="single" w:color="000000" w:sz="2" w:space="0"/>
            </w:tcBorders>
          </w:tcPr>
          <w:p>
            <w:pPr>
              <w:pStyle w:val="TableText"/>
              <w:ind w:left="277"/>
              <w:spacing w:before="212" w:line="219" w:lineRule="auto"/>
              <w:rPr>
                <w:sz w:val="12"/>
                <w:szCs w:val="12"/>
              </w:rPr>
            </w:pPr>
            <w:r>
              <w:rPr>
                <w:sz w:val="12"/>
                <w:szCs w:val="12"/>
                <w:b/>
                <w:bCs/>
                <w:spacing w:val="-3"/>
              </w:rPr>
              <w:t>施用次数</w:t>
            </w:r>
          </w:p>
        </w:tc>
        <w:tc>
          <w:tcPr>
            <w:tcW w:w="749" w:type="dxa"/>
            <w:vAlign w:val="top"/>
            <w:tcBorders>
              <w:bottom w:val="single" w:color="000000" w:sz="2" w:space="0"/>
              <w:top w:val="single" w:color="000000" w:sz="2" w:space="0"/>
            </w:tcBorders>
          </w:tcPr>
          <w:p>
            <w:pPr>
              <w:pStyle w:val="TableText"/>
              <w:ind w:left="248"/>
              <w:spacing w:before="212" w:line="219" w:lineRule="auto"/>
              <w:rPr>
                <w:sz w:val="12"/>
                <w:szCs w:val="12"/>
              </w:rPr>
            </w:pPr>
            <w:r>
              <w:rPr>
                <w:sz w:val="12"/>
                <w:szCs w:val="12"/>
                <w:b/>
                <w:bCs/>
                <w:spacing w:val="-3"/>
              </w:rPr>
              <w:t>规格</w:t>
            </w:r>
          </w:p>
        </w:tc>
        <w:tc>
          <w:tcPr>
            <w:tcW w:w="2603" w:type="dxa"/>
            <w:vAlign w:val="top"/>
            <w:tcBorders>
              <w:bottom w:val="single" w:color="000000" w:sz="2" w:space="0"/>
              <w:top w:val="single" w:color="000000" w:sz="2" w:space="0"/>
            </w:tcBorders>
          </w:tcPr>
          <w:p>
            <w:pPr>
              <w:pStyle w:val="TableText"/>
              <w:ind w:left="1189"/>
              <w:spacing w:before="213" w:line="221" w:lineRule="auto"/>
              <w:rPr>
                <w:sz w:val="12"/>
                <w:szCs w:val="12"/>
              </w:rPr>
            </w:pPr>
            <w:r>
              <w:rPr>
                <w:sz w:val="12"/>
                <w:szCs w:val="12"/>
                <w:b/>
                <w:bCs/>
                <w:spacing w:val="-3"/>
              </w:rPr>
              <w:t>备注</w:t>
            </w:r>
          </w:p>
        </w:tc>
      </w:tr>
      <w:tr>
        <w:trPr>
          <w:trHeight w:val="275" w:hRule="atLeast"/>
        </w:trPr>
        <w:tc>
          <w:tcPr>
            <w:tcW w:w="415" w:type="dxa"/>
            <w:vAlign w:val="top"/>
            <w:vMerge w:val="restart"/>
            <w:tcBorders>
              <w:bottom w:val="nil"/>
              <w:top w:val="single" w:color="000000" w:sz="2" w:space="0"/>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pStyle w:val="TableText"/>
              <w:ind w:left="14"/>
              <w:spacing w:before="39" w:line="218" w:lineRule="auto"/>
              <w:rPr>
                <w:sz w:val="12"/>
                <w:szCs w:val="12"/>
              </w:rPr>
            </w:pPr>
            <w:r>
              <w:rPr>
                <w:sz w:val="12"/>
                <w:szCs w:val="12"/>
                <w:spacing w:val="-2"/>
              </w:rPr>
              <w:t>杀虫剂</w:t>
            </w:r>
          </w:p>
        </w:tc>
        <w:tc>
          <w:tcPr>
            <w:tcW w:w="650" w:type="dxa"/>
            <w:vAlign w:val="top"/>
            <w:vMerge w:val="restart"/>
            <w:tcBorders>
              <w:bottom w:val="nil"/>
              <w:top w:val="single" w:color="000000" w:sz="2" w:space="0"/>
            </w:tcBorders>
          </w:tcPr>
          <w:p>
            <w:pPr>
              <w:spacing w:line="328" w:lineRule="auto"/>
              <w:rPr>
                <w:rFonts w:ascii="Arial"/>
                <w:sz w:val="21"/>
              </w:rPr>
            </w:pPr>
            <w:r/>
          </w:p>
          <w:p>
            <w:pPr>
              <w:pStyle w:val="TableText"/>
              <w:ind w:left="140"/>
              <w:spacing w:before="39" w:line="219" w:lineRule="auto"/>
              <w:rPr>
                <w:sz w:val="12"/>
                <w:szCs w:val="12"/>
              </w:rPr>
            </w:pPr>
            <w:r>
              <w:rPr>
                <w:sz w:val="12"/>
                <w:szCs w:val="12"/>
                <w:spacing w:val="-1"/>
              </w:rPr>
              <w:t>刺吸害虫</w:t>
            </w:r>
          </w:p>
        </w:tc>
        <w:tc>
          <w:tcPr>
            <w:tcW w:w="959" w:type="dxa"/>
            <w:vAlign w:val="top"/>
            <w:vMerge w:val="restart"/>
            <w:tcBorders>
              <w:bottom w:val="nil"/>
              <w:top w:val="single" w:color="000000" w:sz="2" w:space="0"/>
            </w:tcBorders>
          </w:tcPr>
          <w:p>
            <w:pPr>
              <w:pStyle w:val="TableText"/>
              <w:spacing w:before="239" w:line="199" w:lineRule="auto"/>
              <w:jc w:val="right"/>
              <w:rPr>
                <w:sz w:val="12"/>
                <w:szCs w:val="12"/>
              </w:rPr>
            </w:pPr>
            <w:r>
              <w:rPr>
                <w:sz w:val="12"/>
                <w:szCs w:val="12"/>
                <w:spacing w:val="8"/>
              </w:rPr>
              <w:t>蚜虫、红蜘蛛、</w:t>
            </w:r>
          </w:p>
          <w:p>
            <w:pPr>
              <w:pStyle w:val="TableText"/>
              <w:ind w:left="429" w:right="45" w:hanging="359"/>
              <w:spacing w:line="243" w:lineRule="auto"/>
              <w:rPr>
                <w:sz w:val="12"/>
                <w:szCs w:val="12"/>
              </w:rPr>
            </w:pPr>
            <w:r>
              <w:rPr>
                <w:sz w:val="12"/>
                <w:szCs w:val="12"/>
                <w:spacing w:val="-1"/>
              </w:rPr>
              <w:t>大青叶蝉、斑潜</w:t>
            </w:r>
            <w:r>
              <w:rPr>
                <w:sz w:val="12"/>
                <w:szCs w:val="12"/>
              </w:rPr>
              <w:t xml:space="preserve"> </w:t>
            </w:r>
            <w:r>
              <w:rPr>
                <w:sz w:val="12"/>
                <w:szCs w:val="12"/>
              </w:rPr>
              <w:t>蝇</w:t>
            </w:r>
          </w:p>
        </w:tc>
        <w:tc>
          <w:tcPr>
            <w:tcW w:w="2748" w:type="dxa"/>
            <w:vAlign w:val="top"/>
            <w:vMerge w:val="restart"/>
            <w:tcBorders>
              <w:bottom w:val="nil"/>
              <w:top w:val="single" w:color="000000" w:sz="2" w:space="0"/>
            </w:tcBorders>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20" w:right="44" w:hanging="9"/>
              <w:spacing w:before="39" w:line="207" w:lineRule="auto"/>
              <w:rPr>
                <w:sz w:val="12"/>
                <w:szCs w:val="12"/>
              </w:rPr>
            </w:pPr>
            <w:r>
              <w:rPr>
                <w:sz w:val="12"/>
                <w:szCs w:val="12"/>
                <w:spacing w:val="-1"/>
              </w:rPr>
              <w:t>一，3月预防消杀为主。在进入而季、高发季前全园</w:t>
            </w:r>
            <w:r>
              <w:rPr>
                <w:sz w:val="12"/>
                <w:szCs w:val="12"/>
                <w:spacing w:val="4"/>
              </w:rPr>
              <w:t xml:space="preserve"> </w:t>
            </w:r>
            <w:r>
              <w:rPr>
                <w:sz w:val="12"/>
                <w:szCs w:val="12"/>
                <w:spacing w:val="-1"/>
              </w:rPr>
              <w:t>区消杀虫卵，蛹。</w:t>
            </w:r>
          </w:p>
          <w:p>
            <w:pPr>
              <w:pStyle w:val="TableText"/>
              <w:ind w:left="1" w:right="33" w:firstLine="9"/>
              <w:spacing w:before="1" w:line="232" w:lineRule="auto"/>
              <w:rPr>
                <w:sz w:val="12"/>
                <w:szCs w:val="12"/>
              </w:rPr>
            </w:pPr>
            <w:r>
              <w:rPr>
                <w:sz w:val="12"/>
                <w:szCs w:val="12"/>
                <w:spacing w:val="-1"/>
              </w:rPr>
              <w:t>二、6月-9月是大部分害虫成蛹或羽化期，采取人工</w:t>
            </w:r>
            <w:r>
              <w:rPr>
                <w:sz w:val="12"/>
                <w:szCs w:val="12"/>
                <w:spacing w:val="16"/>
              </w:rPr>
              <w:t xml:space="preserve"> </w:t>
            </w:r>
            <w:r>
              <w:rPr>
                <w:sz w:val="12"/>
                <w:szCs w:val="12"/>
              </w:rPr>
              <w:t>加药物双重治疗除卵，除蛹，除成虫。</w:t>
            </w:r>
          </w:p>
        </w:tc>
        <w:tc>
          <w:tcPr>
            <w:tcW w:w="1289" w:type="dxa"/>
            <w:vAlign w:val="top"/>
            <w:tcBorders>
              <w:bottom w:val="single" w:color="000000" w:sz="2" w:space="0"/>
              <w:top w:val="single" w:color="000000" w:sz="2" w:space="0"/>
            </w:tcBorders>
          </w:tcPr>
          <w:p>
            <w:pPr>
              <w:pStyle w:val="TableText"/>
              <w:ind w:left="393"/>
              <w:spacing w:before="80" w:line="219" w:lineRule="auto"/>
              <w:rPr>
                <w:sz w:val="12"/>
                <w:szCs w:val="12"/>
              </w:rPr>
            </w:pPr>
            <w:r>
              <w:rPr>
                <w:sz w:val="12"/>
                <w:szCs w:val="12"/>
                <w:spacing w:val="1"/>
              </w:rPr>
              <w:t>国光毙克</w:t>
            </w:r>
          </w:p>
        </w:tc>
        <w:tc>
          <w:tcPr>
            <w:tcW w:w="1929" w:type="dxa"/>
            <w:vAlign w:val="top"/>
            <w:tcBorders>
              <w:bottom w:val="single" w:color="000000" w:sz="2" w:space="0"/>
              <w:top w:val="single" w:color="000000" w:sz="2" w:space="0"/>
            </w:tcBorders>
          </w:tcPr>
          <w:p>
            <w:pPr>
              <w:pStyle w:val="TableText"/>
              <w:ind w:left="684"/>
              <w:spacing w:before="80" w:line="220" w:lineRule="auto"/>
              <w:rPr>
                <w:sz w:val="12"/>
                <w:szCs w:val="12"/>
              </w:rPr>
            </w:pPr>
            <w:r>
              <w:rPr>
                <w:sz w:val="12"/>
                <w:szCs w:val="12"/>
                <w:spacing w:val="-2"/>
              </w:rPr>
              <w:t>10%毗虫啉</w:t>
            </w:r>
          </w:p>
        </w:tc>
        <w:tc>
          <w:tcPr>
            <w:tcW w:w="1659" w:type="dxa"/>
            <w:vAlign w:val="top"/>
            <w:tcBorders>
              <w:bottom w:val="single" w:color="000000" w:sz="2" w:space="0"/>
              <w:top w:val="single" w:color="000000" w:sz="2" w:space="0"/>
            </w:tcBorders>
          </w:tcPr>
          <w:p>
            <w:pPr>
              <w:pStyle w:val="TableText"/>
              <w:ind w:left="315"/>
              <w:spacing w:before="80" w:line="219" w:lineRule="auto"/>
              <w:rPr>
                <w:sz w:val="12"/>
                <w:szCs w:val="12"/>
              </w:rPr>
            </w:pPr>
            <w:r>
              <w:rPr>
                <w:sz w:val="12"/>
                <w:szCs w:val="12"/>
                <w:spacing w:val="-1"/>
              </w:rPr>
              <w:t>稀释1000-1500倍液</w:t>
            </w:r>
          </w:p>
        </w:tc>
        <w:tc>
          <w:tcPr>
            <w:tcW w:w="1049" w:type="dxa"/>
            <w:vAlign w:val="top"/>
            <w:vMerge w:val="restart"/>
            <w:tcBorders>
              <w:bottom w:val="nil"/>
              <w:top w:val="single" w:color="000000" w:sz="2" w:space="0"/>
            </w:tcBorders>
          </w:tcPr>
          <w:p>
            <w:pPr>
              <w:pStyle w:val="TableText"/>
              <w:ind w:left="6"/>
              <w:spacing w:before="240" w:line="200" w:lineRule="auto"/>
              <w:rPr>
                <w:sz w:val="12"/>
                <w:szCs w:val="12"/>
              </w:rPr>
            </w:pPr>
            <w:r>
              <w:rPr>
                <w:sz w:val="12"/>
                <w:szCs w:val="12"/>
                <w:spacing w:val="-1"/>
              </w:rPr>
              <w:t>一般用3次，时间间</w:t>
            </w:r>
          </w:p>
          <w:p>
            <w:pPr>
              <w:pStyle w:val="TableText"/>
              <w:ind w:left="16"/>
              <w:spacing w:line="219" w:lineRule="auto"/>
              <w:rPr>
                <w:sz w:val="12"/>
                <w:szCs w:val="12"/>
              </w:rPr>
            </w:pPr>
            <w:r>
              <w:rPr>
                <w:sz w:val="12"/>
                <w:szCs w:val="12"/>
                <w:spacing w:val="-2"/>
              </w:rPr>
              <w:t>隔7到10天，视现场</w:t>
            </w:r>
          </w:p>
          <w:p>
            <w:pPr>
              <w:pStyle w:val="TableText"/>
              <w:ind w:left="116"/>
              <w:spacing w:before="6" w:line="219" w:lineRule="auto"/>
              <w:rPr>
                <w:sz w:val="12"/>
                <w:szCs w:val="12"/>
              </w:rPr>
            </w:pPr>
            <w:r>
              <w:rPr>
                <w:sz w:val="12"/>
                <w:szCs w:val="12"/>
                <w:spacing w:val="-1"/>
              </w:rPr>
              <w:t>情况可增加次数</w:t>
            </w:r>
          </w:p>
        </w:tc>
        <w:tc>
          <w:tcPr>
            <w:tcW w:w="749" w:type="dxa"/>
            <w:vAlign w:val="top"/>
            <w:tcBorders>
              <w:bottom w:val="single" w:color="000000" w:sz="2" w:space="0"/>
              <w:top w:val="single" w:color="000000" w:sz="2" w:space="0"/>
            </w:tcBorders>
          </w:tcPr>
          <w:p>
            <w:pPr>
              <w:pStyle w:val="TableText"/>
              <w:ind w:left="126"/>
              <w:spacing w:before="81" w:line="222" w:lineRule="auto"/>
              <w:rPr>
                <w:sz w:val="12"/>
                <w:szCs w:val="12"/>
              </w:rPr>
            </w:pPr>
            <w:r>
              <w:rPr>
                <w:sz w:val="12"/>
                <w:szCs w:val="12"/>
                <w:spacing w:val="3"/>
              </w:rPr>
              <w:t>(10z/袋)</w:t>
            </w:r>
          </w:p>
        </w:tc>
        <w:tc>
          <w:tcPr>
            <w:tcW w:w="2603" w:type="dxa"/>
            <w:vAlign w:val="top"/>
            <w:tcBorders>
              <w:bottom w:val="single" w:color="000000" w:sz="2" w:space="0"/>
              <w:top w:val="single" w:color="000000" w:sz="2" w:space="0"/>
            </w:tcBorders>
          </w:tcPr>
          <w:p>
            <w:pPr>
              <w:pStyle w:val="TableText"/>
              <w:ind w:left="17"/>
              <w:spacing w:before="80" w:line="219" w:lineRule="auto"/>
              <w:rPr>
                <w:sz w:val="12"/>
                <w:szCs w:val="12"/>
              </w:rPr>
            </w:pPr>
            <w:r>
              <w:rPr>
                <w:sz w:val="12"/>
                <w:szCs w:val="12"/>
              </w:rPr>
              <w:t>杀蚜虫、飞照等害虫。</w:t>
            </w:r>
          </w:p>
        </w:tc>
      </w:tr>
      <w:tr>
        <w:trPr>
          <w:trHeight w:val="305"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3"/>
              <w:spacing w:before="89" w:line="218" w:lineRule="auto"/>
              <w:rPr>
                <w:sz w:val="12"/>
                <w:szCs w:val="12"/>
              </w:rPr>
            </w:pPr>
            <w:r>
              <w:rPr>
                <w:sz w:val="12"/>
                <w:szCs w:val="12"/>
                <w:spacing w:val="2"/>
              </w:rPr>
              <w:t>中威壮美(杀螨剂)</w:t>
            </w:r>
          </w:p>
        </w:tc>
        <w:tc>
          <w:tcPr>
            <w:tcW w:w="1929" w:type="dxa"/>
            <w:vAlign w:val="top"/>
            <w:tcBorders>
              <w:bottom w:val="single" w:color="000000" w:sz="2" w:space="0"/>
              <w:top w:val="single" w:color="000000" w:sz="2" w:space="0"/>
            </w:tcBorders>
          </w:tcPr>
          <w:p>
            <w:pPr>
              <w:pStyle w:val="TableText"/>
              <w:ind w:left="444"/>
              <w:spacing w:before="89" w:line="219" w:lineRule="auto"/>
              <w:rPr>
                <w:sz w:val="12"/>
                <w:szCs w:val="12"/>
              </w:rPr>
            </w:pPr>
            <w:r>
              <w:rPr>
                <w:sz w:val="12"/>
                <w:szCs w:val="12"/>
                <w:spacing w:val="-5"/>
              </w:rPr>
              <w:t>阿维</w:t>
            </w:r>
            <w:r>
              <w:rPr>
                <w:sz w:val="12"/>
                <w:szCs w:val="12"/>
                <w:spacing w:val="-14"/>
              </w:rPr>
              <w:t xml:space="preserve"> </w:t>
            </w:r>
            <w:r>
              <w:rPr>
                <w:sz w:val="12"/>
                <w:szCs w:val="12"/>
                <w:spacing w:val="-5"/>
              </w:rPr>
              <w:t>·哒螨灵3.20%</w:t>
            </w:r>
          </w:p>
        </w:tc>
        <w:tc>
          <w:tcPr>
            <w:tcW w:w="1659" w:type="dxa"/>
            <w:vAlign w:val="top"/>
            <w:tcBorders>
              <w:bottom w:val="single" w:color="000000" w:sz="2" w:space="0"/>
              <w:top w:val="single" w:color="000000" w:sz="2" w:space="0"/>
            </w:tcBorders>
          </w:tcPr>
          <w:p>
            <w:pPr>
              <w:pStyle w:val="TableText"/>
              <w:ind w:left="584"/>
              <w:spacing w:before="90" w:line="220" w:lineRule="auto"/>
              <w:rPr>
                <w:sz w:val="12"/>
                <w:szCs w:val="12"/>
              </w:rPr>
            </w:pPr>
            <w:r>
              <w:rPr>
                <w:sz w:val="12"/>
                <w:szCs w:val="12"/>
                <w:spacing w:val="-2"/>
              </w:rPr>
              <w:t>1500倍液</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66"/>
              <w:spacing w:before="90"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right="59"/>
              <w:spacing w:before="9" w:line="211" w:lineRule="auto"/>
              <w:rPr>
                <w:sz w:val="12"/>
                <w:szCs w:val="12"/>
              </w:rPr>
            </w:pPr>
            <w:r>
              <w:rPr>
                <w:sz w:val="12"/>
                <w:szCs w:val="12"/>
                <w:spacing w:val="-1"/>
              </w:rPr>
              <w:t>对红蜘蛛、白嗨蛛及抗性蜗类害虫有极蕾杀灭作</w:t>
            </w:r>
            <w:r>
              <w:rPr>
                <w:sz w:val="12"/>
                <w:szCs w:val="12"/>
                <w:spacing w:val="15"/>
                <w:w w:val="101"/>
              </w:rPr>
              <w:t xml:space="preserve"> </w:t>
            </w:r>
            <w:r>
              <w:rPr>
                <w:sz w:val="12"/>
                <w:szCs w:val="12"/>
              </w:rPr>
              <w:t>用。</w:t>
            </w:r>
          </w:p>
        </w:tc>
      </w:tr>
      <w:tr>
        <w:trPr>
          <w:trHeight w:val="275"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79" w:line="219" w:lineRule="auto"/>
              <w:rPr>
                <w:sz w:val="12"/>
                <w:szCs w:val="12"/>
              </w:rPr>
            </w:pPr>
            <w:r>
              <w:rPr>
                <w:sz w:val="12"/>
                <w:szCs w:val="12"/>
                <w:spacing w:val="-1"/>
              </w:rPr>
              <w:t>诺普信清毕净</w:t>
            </w:r>
          </w:p>
        </w:tc>
        <w:tc>
          <w:tcPr>
            <w:tcW w:w="1929" w:type="dxa"/>
            <w:vAlign w:val="top"/>
            <w:tcBorders>
              <w:bottom w:val="single" w:color="000000" w:sz="2" w:space="0"/>
              <w:top w:val="single" w:color="000000" w:sz="2" w:space="0"/>
            </w:tcBorders>
          </w:tcPr>
          <w:p>
            <w:pPr>
              <w:pStyle w:val="TableText"/>
              <w:ind w:left="264"/>
              <w:spacing w:before="79" w:line="218" w:lineRule="auto"/>
              <w:rPr>
                <w:sz w:val="12"/>
                <w:szCs w:val="12"/>
              </w:rPr>
            </w:pPr>
            <w:r>
              <w:rPr>
                <w:sz w:val="12"/>
                <w:szCs w:val="12"/>
                <w:spacing w:val="-6"/>
              </w:rPr>
              <w:t>阿维菌素 ·</w:t>
            </w:r>
            <w:r>
              <w:rPr>
                <w:sz w:val="12"/>
                <w:szCs w:val="12"/>
                <w:spacing w:val="-40"/>
              </w:rPr>
              <w:t xml:space="preserve"> </w:t>
            </w:r>
            <w:r>
              <w:rPr>
                <w:sz w:val="12"/>
                <w:szCs w:val="12"/>
                <w:spacing w:val="-6"/>
              </w:rPr>
              <w:t>甲氧菊酯1.80%</w:t>
            </w:r>
          </w:p>
        </w:tc>
        <w:tc>
          <w:tcPr>
            <w:tcW w:w="1659" w:type="dxa"/>
            <w:vAlign w:val="top"/>
            <w:tcBorders>
              <w:bottom w:val="single" w:color="000000" w:sz="2" w:space="0"/>
              <w:top w:val="single" w:color="000000" w:sz="2" w:space="0"/>
            </w:tcBorders>
          </w:tcPr>
          <w:p>
            <w:pPr>
              <w:pStyle w:val="TableText"/>
              <w:ind w:left="524"/>
              <w:spacing w:before="79" w:line="220" w:lineRule="auto"/>
              <w:rPr>
                <w:sz w:val="12"/>
                <w:szCs w:val="12"/>
              </w:rPr>
            </w:pPr>
            <w:r>
              <w:rPr>
                <w:sz w:val="12"/>
                <w:szCs w:val="12"/>
                <w:spacing w:val="-6"/>
              </w:rPr>
              <w:t>800—1000倍</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80" w:line="221" w:lineRule="auto"/>
              <w:rPr>
                <w:sz w:val="12"/>
                <w:szCs w:val="12"/>
              </w:rPr>
            </w:pPr>
            <w:r>
              <w:rPr>
                <w:sz w:val="12"/>
                <w:szCs w:val="12"/>
                <w:spacing w:val="-2"/>
              </w:rPr>
              <w:t>1000ml/瓶</w:t>
            </w:r>
          </w:p>
        </w:tc>
        <w:tc>
          <w:tcPr>
            <w:tcW w:w="2603" w:type="dxa"/>
            <w:vAlign w:val="top"/>
            <w:tcBorders>
              <w:bottom w:val="single" w:color="000000" w:sz="2" w:space="0"/>
              <w:top w:val="single" w:color="000000" w:sz="2" w:space="0"/>
            </w:tcBorders>
          </w:tcPr>
          <w:p>
            <w:pPr>
              <w:pStyle w:val="TableText"/>
              <w:ind w:left="17"/>
              <w:spacing w:before="79" w:line="219" w:lineRule="auto"/>
              <w:rPr>
                <w:sz w:val="12"/>
                <w:szCs w:val="12"/>
              </w:rPr>
            </w:pPr>
            <w:r>
              <w:rPr>
                <w:sz w:val="12"/>
                <w:szCs w:val="12"/>
              </w:rPr>
              <w:t>红蜘蛛、白蛳蛛、锈蜘蛛。</w:t>
            </w:r>
          </w:p>
        </w:tc>
      </w:tr>
      <w:tr>
        <w:trPr>
          <w:trHeight w:val="255" w:hRule="atLeast"/>
        </w:trPr>
        <w:tc>
          <w:tcPr>
            <w:tcW w:w="415" w:type="dxa"/>
            <w:vAlign w:val="top"/>
            <w:vMerge w:val="continue"/>
            <w:tcBorders>
              <w:bottom w:val="nil"/>
              <w:top w:val="nil"/>
            </w:tcBorders>
          </w:tcPr>
          <w:p>
            <w:pPr>
              <w:rPr>
                <w:rFonts w:ascii="Arial"/>
                <w:sz w:val="21"/>
              </w:rPr>
            </w:pPr>
            <w:r/>
          </w:p>
        </w:tc>
        <w:tc>
          <w:tcPr>
            <w:tcW w:w="650" w:type="dxa"/>
            <w:vAlign w:val="top"/>
            <w:vMerge w:val="restart"/>
            <w:tcBorders>
              <w:bottom w:val="nil"/>
              <w:top w:val="single" w:color="000000" w:sz="2" w:space="0"/>
            </w:tcBorders>
          </w:tcPr>
          <w:p>
            <w:pPr>
              <w:spacing w:line="446" w:lineRule="auto"/>
              <w:rPr>
                <w:rFonts w:ascii="Arial"/>
                <w:sz w:val="21"/>
              </w:rPr>
            </w:pPr>
            <w:r/>
          </w:p>
          <w:p>
            <w:pPr>
              <w:pStyle w:val="TableText"/>
              <w:ind w:left="140"/>
              <w:spacing w:before="39" w:line="218" w:lineRule="auto"/>
              <w:rPr>
                <w:sz w:val="12"/>
                <w:szCs w:val="12"/>
              </w:rPr>
            </w:pPr>
            <w:r>
              <w:rPr>
                <w:sz w:val="12"/>
                <w:szCs w:val="12"/>
                <w:spacing w:val="-1"/>
              </w:rPr>
              <w:t>蛀干害虫</w:t>
            </w:r>
          </w:p>
        </w:tc>
        <w:tc>
          <w:tcPr>
            <w:tcW w:w="959" w:type="dxa"/>
            <w:vAlign w:val="top"/>
            <w:vMerge w:val="restart"/>
            <w:tcBorders>
              <w:bottom w:val="nil"/>
              <w:top w:val="single" w:color="000000" w:sz="2" w:space="0"/>
            </w:tcBorders>
          </w:tcPr>
          <w:p>
            <w:pPr>
              <w:spacing w:line="317" w:lineRule="auto"/>
              <w:rPr>
                <w:rFonts w:ascii="Arial"/>
                <w:sz w:val="21"/>
              </w:rPr>
            </w:pPr>
            <w:r/>
          </w:p>
          <w:p>
            <w:pPr>
              <w:pStyle w:val="TableText"/>
              <w:ind w:left="50"/>
              <w:spacing w:before="39" w:line="216" w:lineRule="auto"/>
              <w:rPr>
                <w:sz w:val="12"/>
                <w:szCs w:val="12"/>
              </w:rPr>
            </w:pPr>
            <w:r>
              <w:rPr>
                <w:sz w:val="12"/>
                <w:szCs w:val="12"/>
                <w:spacing w:val="-1"/>
              </w:rPr>
              <w:t>光肩星天牛。星</w:t>
            </w:r>
          </w:p>
          <w:p>
            <w:pPr>
              <w:pStyle w:val="TableText"/>
              <w:ind w:left="80"/>
              <w:spacing w:line="219" w:lineRule="auto"/>
              <w:rPr>
                <w:sz w:val="12"/>
                <w:szCs w:val="12"/>
              </w:rPr>
            </w:pPr>
            <w:r>
              <w:rPr>
                <w:sz w:val="12"/>
                <w:szCs w:val="12"/>
              </w:rPr>
              <w:t>天牛、小蠢虫。</w:t>
            </w:r>
          </w:p>
          <w:p>
            <w:pPr>
              <w:pStyle w:val="TableText"/>
              <w:ind w:left="290"/>
              <w:spacing w:before="18" w:line="221" w:lineRule="auto"/>
              <w:rPr>
                <w:sz w:val="12"/>
                <w:szCs w:val="12"/>
              </w:rPr>
            </w:pPr>
            <w:r>
              <w:rPr>
                <w:sz w:val="12"/>
                <w:szCs w:val="12"/>
                <w:spacing w:val="-1"/>
              </w:rPr>
              <w:t>透翅蛾</w:t>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99" w:line="219" w:lineRule="auto"/>
              <w:rPr>
                <w:sz w:val="12"/>
                <w:szCs w:val="12"/>
              </w:rPr>
            </w:pPr>
            <w:r>
              <w:rPr>
                <w:sz w:val="12"/>
                <w:szCs w:val="12"/>
                <w:spacing w:val="1"/>
              </w:rPr>
              <w:t>国光毒枪</w:t>
            </w:r>
          </w:p>
        </w:tc>
        <w:tc>
          <w:tcPr>
            <w:tcW w:w="1929" w:type="dxa"/>
            <w:vAlign w:val="top"/>
            <w:tcBorders>
              <w:bottom w:val="single" w:color="000000" w:sz="2" w:space="0"/>
              <w:top w:val="single" w:color="000000" w:sz="2" w:space="0"/>
            </w:tcBorders>
          </w:tcPr>
          <w:p>
            <w:pPr>
              <w:pStyle w:val="TableText"/>
              <w:ind w:left="384"/>
              <w:spacing w:before="99" w:line="219" w:lineRule="auto"/>
              <w:rPr>
                <w:sz w:val="12"/>
                <w:szCs w:val="12"/>
              </w:rPr>
            </w:pPr>
            <w:r>
              <w:rPr>
                <w:sz w:val="12"/>
                <w:szCs w:val="12"/>
                <w:spacing w:val="-1"/>
              </w:rPr>
              <w:t>45%丙滨，辛碗磷乳油</w:t>
            </w:r>
          </w:p>
        </w:tc>
        <w:tc>
          <w:tcPr>
            <w:tcW w:w="1659" w:type="dxa"/>
            <w:vAlign w:val="top"/>
            <w:tcBorders>
              <w:bottom w:val="single" w:color="000000" w:sz="2" w:space="0"/>
              <w:top w:val="single" w:color="000000" w:sz="2" w:space="0"/>
            </w:tcBorders>
          </w:tcPr>
          <w:p>
            <w:pPr>
              <w:pStyle w:val="TableText"/>
              <w:ind w:left="464"/>
              <w:spacing w:before="99" w:line="219" w:lineRule="auto"/>
              <w:rPr>
                <w:sz w:val="12"/>
                <w:szCs w:val="12"/>
              </w:rPr>
            </w:pPr>
            <w:r>
              <w:rPr>
                <w:sz w:val="12"/>
                <w:szCs w:val="12"/>
                <w:spacing w:val="-1"/>
              </w:rPr>
              <w:t>稀释5-10倍液</w:t>
            </w:r>
          </w:p>
        </w:tc>
        <w:tc>
          <w:tcPr>
            <w:tcW w:w="1049" w:type="dxa"/>
            <w:vAlign w:val="top"/>
            <w:vMerge w:val="restart"/>
            <w:tcBorders>
              <w:bottom w:val="nil"/>
              <w:top w:val="single" w:color="000000" w:sz="2" w:space="0"/>
            </w:tcBorders>
          </w:tcPr>
          <w:p>
            <w:pPr>
              <w:spacing w:line="317" w:lineRule="auto"/>
              <w:rPr>
                <w:rFonts w:ascii="Arial"/>
                <w:sz w:val="21"/>
              </w:rPr>
            </w:pPr>
            <w:r/>
          </w:p>
          <w:p>
            <w:pPr>
              <w:pStyle w:val="TableText"/>
              <w:ind w:left="6"/>
              <w:spacing w:before="39" w:line="216" w:lineRule="auto"/>
              <w:rPr>
                <w:sz w:val="12"/>
                <w:szCs w:val="12"/>
              </w:rPr>
            </w:pPr>
            <w:r>
              <w:rPr>
                <w:sz w:val="12"/>
                <w:szCs w:val="12"/>
                <w:spacing w:val="-1"/>
              </w:rPr>
              <w:t>一般用3次，时间间</w:t>
            </w:r>
          </w:p>
          <w:p>
            <w:pPr>
              <w:pStyle w:val="TableText"/>
              <w:ind w:left="6"/>
              <w:spacing w:line="219" w:lineRule="auto"/>
              <w:rPr>
                <w:sz w:val="12"/>
                <w:szCs w:val="12"/>
              </w:rPr>
            </w:pPr>
            <w:r>
              <w:rPr>
                <w:sz w:val="12"/>
                <w:szCs w:val="12"/>
                <w:spacing w:val="-2"/>
              </w:rPr>
              <w:t>隔7到10天，视现场</w:t>
            </w:r>
          </w:p>
          <w:p>
            <w:pPr>
              <w:pStyle w:val="TableText"/>
              <w:ind w:left="96"/>
              <w:spacing w:before="16" w:line="219" w:lineRule="auto"/>
              <w:rPr>
                <w:sz w:val="12"/>
                <w:szCs w:val="12"/>
              </w:rPr>
            </w:pPr>
            <w:r>
              <w:rPr>
                <w:sz w:val="12"/>
                <w:szCs w:val="12"/>
                <w:spacing w:val="-1"/>
              </w:rPr>
              <w:t>情况可增加次数</w:t>
            </w:r>
          </w:p>
        </w:tc>
        <w:tc>
          <w:tcPr>
            <w:tcW w:w="749" w:type="dxa"/>
            <w:vAlign w:val="top"/>
            <w:tcBorders>
              <w:bottom w:val="single" w:color="000000" w:sz="2" w:space="0"/>
              <w:top w:val="single" w:color="000000" w:sz="2" w:space="0"/>
            </w:tcBorders>
          </w:tcPr>
          <w:p>
            <w:pPr>
              <w:pStyle w:val="TableText"/>
              <w:ind w:left="66"/>
              <w:spacing w:before="99" w:line="221" w:lineRule="auto"/>
              <w:rPr>
                <w:sz w:val="12"/>
                <w:szCs w:val="12"/>
              </w:rPr>
            </w:pPr>
            <w:r>
              <w:rPr>
                <w:sz w:val="12"/>
                <w:szCs w:val="12"/>
                <w:spacing w:val="3"/>
              </w:rPr>
              <w:t>(200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99" w:line="219" w:lineRule="auto"/>
              <w:rPr>
                <w:sz w:val="12"/>
                <w:szCs w:val="12"/>
              </w:rPr>
            </w:pPr>
            <w:r>
              <w:rPr>
                <w:sz w:val="12"/>
                <w:szCs w:val="12"/>
              </w:rPr>
              <w:t>注射虫洞，黄泥封洞。</w:t>
            </w:r>
          </w:p>
        </w:tc>
      </w:tr>
      <w:tr>
        <w:trPr>
          <w:trHeight w:val="41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48" w:line="218" w:lineRule="auto"/>
              <w:rPr>
                <w:sz w:val="12"/>
                <w:szCs w:val="12"/>
              </w:rPr>
            </w:pPr>
            <w:r>
              <w:rPr>
                <w:sz w:val="12"/>
                <w:szCs w:val="12"/>
                <w:spacing w:val="1"/>
              </w:rPr>
              <w:t>国光防蛀液剂</w:t>
            </w:r>
          </w:p>
        </w:tc>
        <w:tc>
          <w:tcPr>
            <w:tcW w:w="1929" w:type="dxa"/>
            <w:vAlign w:val="top"/>
            <w:tcBorders>
              <w:bottom w:val="single" w:color="000000" w:sz="2" w:space="0"/>
              <w:top w:val="single" w:color="000000" w:sz="2" w:space="0"/>
            </w:tcBorders>
          </w:tcPr>
          <w:p>
            <w:pPr>
              <w:pStyle w:val="TableText"/>
              <w:ind w:left="654"/>
              <w:spacing w:before="148" w:line="219" w:lineRule="auto"/>
              <w:rPr>
                <w:sz w:val="12"/>
                <w:szCs w:val="12"/>
              </w:rPr>
            </w:pPr>
            <w:r>
              <w:rPr>
                <w:sz w:val="12"/>
                <w:szCs w:val="12"/>
                <w:spacing w:val="-1"/>
              </w:rPr>
              <w:t>0.3%氯菊酯</w:t>
            </w:r>
          </w:p>
        </w:tc>
        <w:tc>
          <w:tcPr>
            <w:tcW w:w="1659" w:type="dxa"/>
            <w:vAlign w:val="top"/>
            <w:tcBorders>
              <w:bottom w:val="single" w:color="000000" w:sz="2" w:space="0"/>
              <w:top w:val="single" w:color="000000" w:sz="2" w:space="0"/>
            </w:tcBorders>
          </w:tcPr>
          <w:p>
            <w:pPr>
              <w:pStyle w:val="TableText"/>
              <w:ind w:left="584"/>
              <w:spacing w:before="148" w:line="219" w:lineRule="auto"/>
              <w:rPr>
                <w:sz w:val="12"/>
                <w:szCs w:val="12"/>
              </w:rPr>
            </w:pPr>
            <w:r>
              <w:rPr>
                <w:sz w:val="12"/>
                <w:szCs w:val="12"/>
                <w:spacing w:val="3"/>
              </w:rPr>
              <w:t>直接使用</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149" w:line="220" w:lineRule="auto"/>
              <w:rPr>
                <w:sz w:val="12"/>
                <w:szCs w:val="12"/>
              </w:rPr>
            </w:pPr>
            <w:r>
              <w:rPr>
                <w:sz w:val="12"/>
                <w:szCs w:val="12"/>
                <w:spacing w:val="4"/>
              </w:rPr>
              <w:t>(20</w:t>
            </w:r>
            <w:r>
              <w:rPr>
                <w:sz w:val="12"/>
                <w:szCs w:val="12"/>
              </w:rPr>
              <w:t>ml</w:t>
            </w:r>
            <w:r>
              <w:rPr>
                <w:sz w:val="12"/>
                <w:szCs w:val="12"/>
                <w:spacing w:val="4"/>
              </w:rPr>
              <w:t>/支)</w:t>
            </w:r>
          </w:p>
        </w:tc>
        <w:tc>
          <w:tcPr>
            <w:tcW w:w="2603" w:type="dxa"/>
            <w:vAlign w:val="top"/>
            <w:tcBorders>
              <w:bottom w:val="single" w:color="000000" w:sz="2" w:space="0"/>
              <w:top w:val="single" w:color="000000" w:sz="2" w:space="0"/>
            </w:tcBorders>
          </w:tcPr>
          <w:p>
            <w:pPr>
              <w:pStyle w:val="TableText"/>
              <w:ind w:left="17" w:right="180"/>
              <w:spacing w:before="98" w:line="210" w:lineRule="auto"/>
              <w:rPr>
                <w:sz w:val="12"/>
                <w:szCs w:val="12"/>
              </w:rPr>
            </w:pPr>
            <w:r>
              <w:rPr>
                <w:sz w:val="12"/>
                <w:szCs w:val="12"/>
                <w:spacing w:val="-1"/>
              </w:rPr>
              <w:t>专杀蛀杆性害虫胸径8-10cm用1支，每增加10c</w:t>
            </w:r>
            <w:r>
              <w:rPr>
                <w:sz w:val="12"/>
                <w:szCs w:val="12"/>
                <w:spacing w:val="18"/>
                <w:w w:val="101"/>
              </w:rPr>
              <w:t xml:space="preserve"> </w:t>
            </w:r>
            <w:r>
              <w:rPr>
                <w:sz w:val="12"/>
                <w:szCs w:val="12"/>
              </w:rPr>
              <w:t>增加1支。</w:t>
            </w:r>
          </w:p>
        </w:tc>
      </w:tr>
      <w:tr>
        <w:trPr>
          <w:trHeight w:val="42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153"/>
              <w:spacing w:before="149" w:line="218" w:lineRule="auto"/>
              <w:rPr>
                <w:sz w:val="12"/>
                <w:szCs w:val="12"/>
              </w:rPr>
            </w:pPr>
            <w:r>
              <w:rPr>
                <w:sz w:val="12"/>
                <w:szCs w:val="12"/>
                <w:spacing w:val="1"/>
              </w:rPr>
              <w:t>中威蛀干害虫专用</w:t>
            </w:r>
          </w:p>
        </w:tc>
        <w:tc>
          <w:tcPr>
            <w:tcW w:w="1929" w:type="dxa"/>
            <w:vAlign w:val="top"/>
            <w:tcBorders>
              <w:bottom w:val="single" w:color="000000" w:sz="2" w:space="0"/>
              <w:top w:val="single" w:color="000000" w:sz="2" w:space="0"/>
            </w:tcBorders>
          </w:tcPr>
          <w:p>
            <w:pPr>
              <w:pStyle w:val="TableText"/>
              <w:ind w:left="264"/>
              <w:spacing w:before="149" w:line="219" w:lineRule="auto"/>
              <w:rPr>
                <w:sz w:val="12"/>
                <w:szCs w:val="12"/>
              </w:rPr>
            </w:pPr>
            <w:r>
              <w:rPr>
                <w:sz w:val="12"/>
                <w:szCs w:val="12"/>
                <w:spacing w:val="-8"/>
              </w:rPr>
              <w:t>氰度 ·马拉松</w:t>
            </w:r>
            <w:r>
              <w:rPr>
                <w:sz w:val="12"/>
                <w:szCs w:val="12"/>
                <w:spacing w:val="-14"/>
              </w:rPr>
              <w:t xml:space="preserve"> </w:t>
            </w:r>
            <w:r>
              <w:rPr>
                <w:sz w:val="12"/>
                <w:szCs w:val="12"/>
                <w:spacing w:val="-8"/>
              </w:rPr>
              <w:t>·苦参碱20%</w:t>
            </w:r>
          </w:p>
        </w:tc>
        <w:tc>
          <w:tcPr>
            <w:tcW w:w="1659" w:type="dxa"/>
            <w:vAlign w:val="top"/>
            <w:tcBorders>
              <w:bottom w:val="single" w:color="000000" w:sz="2" w:space="0"/>
              <w:top w:val="single" w:color="000000" w:sz="2" w:space="0"/>
            </w:tcBorders>
          </w:tcPr>
          <w:p>
            <w:pPr>
              <w:pStyle w:val="TableText"/>
              <w:ind w:left="584"/>
              <w:spacing w:before="149" w:line="219" w:lineRule="auto"/>
              <w:rPr>
                <w:sz w:val="12"/>
                <w:szCs w:val="12"/>
              </w:rPr>
            </w:pPr>
            <w:r>
              <w:rPr>
                <w:sz w:val="12"/>
                <w:szCs w:val="12"/>
                <w:spacing w:val="3"/>
              </w:rPr>
              <w:t>直接使用</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149" w:line="220" w:lineRule="auto"/>
              <w:rPr>
                <w:sz w:val="12"/>
                <w:szCs w:val="12"/>
              </w:rPr>
            </w:pPr>
            <w:r>
              <w:rPr>
                <w:sz w:val="12"/>
                <w:szCs w:val="12"/>
                <w:spacing w:val="4"/>
              </w:rPr>
              <w:t>(20</w:t>
            </w:r>
            <w:r>
              <w:rPr>
                <w:sz w:val="12"/>
                <w:szCs w:val="12"/>
              </w:rPr>
              <w:t>ml</w:t>
            </w:r>
            <w:r>
              <w:rPr>
                <w:sz w:val="12"/>
                <w:szCs w:val="12"/>
                <w:spacing w:val="4"/>
              </w:rPr>
              <w:t>/支)</w:t>
            </w:r>
          </w:p>
        </w:tc>
        <w:tc>
          <w:tcPr>
            <w:tcW w:w="2603" w:type="dxa"/>
            <w:vAlign w:val="top"/>
            <w:tcBorders>
              <w:bottom w:val="single" w:color="000000" w:sz="2" w:space="0"/>
              <w:top w:val="single" w:color="000000" w:sz="2" w:space="0"/>
            </w:tcBorders>
          </w:tcPr>
          <w:p>
            <w:pPr>
              <w:pStyle w:val="TableText"/>
              <w:ind w:left="17" w:right="299"/>
              <w:spacing w:before="89" w:line="233" w:lineRule="auto"/>
              <w:rPr>
                <w:sz w:val="12"/>
                <w:szCs w:val="12"/>
              </w:rPr>
            </w:pPr>
            <w:r>
              <w:rPr>
                <w:sz w:val="12"/>
                <w:szCs w:val="12"/>
                <w:spacing w:val="-1"/>
              </w:rPr>
              <w:t>对天牛幼虫，古丁虫、松材线虫等蛀干害虫</w:t>
            </w:r>
            <w:r>
              <w:rPr>
                <w:sz w:val="12"/>
                <w:szCs w:val="12"/>
                <w:spacing w:val="13"/>
              </w:rPr>
              <w:t xml:space="preserve"> </w:t>
            </w:r>
            <w:r>
              <w:rPr>
                <w:sz w:val="12"/>
                <w:szCs w:val="12"/>
              </w:rPr>
              <w:t>效果明星。</w:t>
            </w:r>
          </w:p>
        </w:tc>
      </w:tr>
      <w:tr>
        <w:trPr>
          <w:trHeight w:val="215" w:hRule="atLeast"/>
        </w:trPr>
        <w:tc>
          <w:tcPr>
            <w:tcW w:w="415" w:type="dxa"/>
            <w:vAlign w:val="top"/>
            <w:vMerge w:val="continue"/>
            <w:tcBorders>
              <w:bottom w:val="nil"/>
              <w:top w:val="nil"/>
            </w:tcBorders>
          </w:tcPr>
          <w:p>
            <w:pPr>
              <w:rPr>
                <w:rFonts w:ascii="Arial"/>
                <w:sz w:val="21"/>
              </w:rPr>
            </w:pPr>
            <w:r/>
          </w:p>
        </w:tc>
        <w:tc>
          <w:tcPr>
            <w:tcW w:w="650" w:type="dxa"/>
            <w:vAlign w:val="top"/>
            <w:vMerge w:val="restart"/>
            <w:tcBorders>
              <w:bottom w:val="nil"/>
              <w:top w:val="single" w:color="000000" w:sz="2" w:space="0"/>
            </w:tcBorders>
          </w:tcPr>
          <w:p>
            <w:pPr>
              <w:spacing w:line="428" w:lineRule="auto"/>
              <w:rPr>
                <w:rFonts w:ascii="Arial"/>
                <w:sz w:val="21"/>
              </w:rPr>
            </w:pPr>
            <w:r/>
          </w:p>
          <w:p>
            <w:pPr>
              <w:pStyle w:val="TableText"/>
              <w:ind w:left="140"/>
              <w:spacing w:before="39" w:line="220" w:lineRule="auto"/>
              <w:rPr>
                <w:sz w:val="12"/>
                <w:szCs w:val="12"/>
              </w:rPr>
            </w:pPr>
            <w:r>
              <w:rPr>
                <w:sz w:val="12"/>
                <w:szCs w:val="12"/>
                <w:spacing w:val="-1"/>
              </w:rPr>
              <w:t>地下害虫</w:t>
            </w:r>
          </w:p>
        </w:tc>
        <w:tc>
          <w:tcPr>
            <w:tcW w:w="959" w:type="dxa"/>
            <w:vAlign w:val="top"/>
            <w:vMerge w:val="restart"/>
            <w:tcBorders>
              <w:bottom w:val="nil"/>
              <w:top w:val="single" w:color="000000" w:sz="2" w:space="0"/>
            </w:tcBorders>
          </w:tcPr>
          <w:p>
            <w:pPr>
              <w:spacing w:line="278" w:lineRule="auto"/>
              <w:rPr>
                <w:rFonts w:ascii="Arial"/>
                <w:sz w:val="21"/>
              </w:rPr>
            </w:pPr>
            <w:r/>
          </w:p>
          <w:p>
            <w:pPr>
              <w:pStyle w:val="TableText"/>
              <w:ind w:left="50"/>
              <w:spacing w:before="39" w:line="219" w:lineRule="auto"/>
              <w:rPr>
                <w:sz w:val="12"/>
                <w:szCs w:val="12"/>
              </w:rPr>
            </w:pPr>
            <w:r>
              <w:rPr>
                <w:sz w:val="12"/>
                <w:szCs w:val="12"/>
                <w:spacing w:val="-1"/>
              </w:rPr>
              <w:t>蛴蜻、大小地老</w:t>
            </w:r>
          </w:p>
          <w:p>
            <w:pPr>
              <w:pStyle w:val="TableText"/>
              <w:ind w:left="409" w:right="43" w:hanging="339"/>
              <w:spacing w:before="6" w:line="250" w:lineRule="auto"/>
              <w:rPr>
                <w:sz w:val="12"/>
                <w:szCs w:val="12"/>
              </w:rPr>
            </w:pPr>
            <w:r>
              <w:rPr>
                <w:sz w:val="12"/>
                <w:szCs w:val="12"/>
                <w:spacing w:val="-1"/>
              </w:rPr>
              <w:t>虎、其他土中虫</w:t>
            </w:r>
            <w:r>
              <w:rPr>
                <w:sz w:val="12"/>
                <w:szCs w:val="12"/>
                <w:spacing w:val="1"/>
              </w:rPr>
              <w:t xml:space="preserve"> </w:t>
            </w:r>
            <w:r>
              <w:rPr>
                <w:sz w:val="12"/>
                <w:szCs w:val="12"/>
              </w:rPr>
              <w:t>卵</w:t>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49" w:line="219" w:lineRule="auto"/>
              <w:rPr>
                <w:sz w:val="12"/>
                <w:szCs w:val="12"/>
              </w:rPr>
            </w:pPr>
            <w:r>
              <w:rPr>
                <w:sz w:val="12"/>
                <w:szCs w:val="12"/>
                <w:spacing w:val="1"/>
              </w:rPr>
              <w:t>国光地杀</w:t>
            </w:r>
          </w:p>
        </w:tc>
        <w:tc>
          <w:tcPr>
            <w:tcW w:w="1929" w:type="dxa"/>
            <w:vAlign w:val="top"/>
            <w:tcBorders>
              <w:bottom w:val="single" w:color="000000" w:sz="2" w:space="0"/>
              <w:top w:val="single" w:color="000000" w:sz="2" w:space="0"/>
            </w:tcBorders>
          </w:tcPr>
          <w:p>
            <w:pPr>
              <w:pStyle w:val="TableText"/>
              <w:ind w:left="203"/>
              <w:spacing w:before="49" w:line="218" w:lineRule="auto"/>
              <w:rPr>
                <w:sz w:val="12"/>
                <w:szCs w:val="12"/>
              </w:rPr>
            </w:pPr>
            <w:r>
              <w:rPr>
                <w:sz w:val="12"/>
                <w:szCs w:val="12"/>
                <w:spacing w:val="-1"/>
              </w:rPr>
              <w:t>5S丁硫克百威.毒死蝉颗粒剂</w:t>
            </w:r>
          </w:p>
        </w:tc>
        <w:tc>
          <w:tcPr>
            <w:tcW w:w="1659" w:type="dxa"/>
            <w:vAlign w:val="top"/>
            <w:tcBorders>
              <w:bottom w:val="single" w:color="000000" w:sz="2" w:space="0"/>
              <w:top w:val="single" w:color="000000" w:sz="2" w:space="0"/>
            </w:tcBorders>
          </w:tcPr>
          <w:p>
            <w:pPr>
              <w:pStyle w:val="TableText"/>
              <w:ind w:left="285"/>
              <w:spacing w:before="46" w:line="213" w:lineRule="auto"/>
              <w:rPr>
                <w:sz w:val="12"/>
                <w:szCs w:val="12"/>
              </w:rPr>
            </w:pPr>
            <w:r>
              <w:rPr>
                <w:sz w:val="12"/>
                <w:szCs w:val="12"/>
                <w:spacing w:val="-1"/>
              </w:rPr>
              <w:t>直接撒施：5-7kg/亩</w:t>
            </w:r>
          </w:p>
        </w:tc>
        <w:tc>
          <w:tcPr>
            <w:tcW w:w="1049" w:type="dxa"/>
            <w:vAlign w:val="top"/>
            <w:vMerge w:val="restart"/>
            <w:tcBorders>
              <w:bottom w:val="nil"/>
              <w:top w:val="single" w:color="000000" w:sz="2" w:space="0"/>
            </w:tcBorders>
          </w:tcPr>
          <w:p>
            <w:pPr>
              <w:spacing w:line="427" w:lineRule="auto"/>
              <w:rPr>
                <w:rFonts w:ascii="Arial"/>
                <w:sz w:val="21"/>
              </w:rPr>
            </w:pPr>
            <w:r/>
          </w:p>
          <w:p>
            <w:pPr>
              <w:pStyle w:val="TableText"/>
              <w:ind w:left="246"/>
              <w:spacing w:before="39" w:line="219" w:lineRule="auto"/>
              <w:rPr>
                <w:sz w:val="12"/>
                <w:szCs w:val="12"/>
              </w:rPr>
            </w:pPr>
            <w:r>
              <w:rPr>
                <w:sz w:val="12"/>
                <w:szCs w:val="12"/>
                <w:spacing w:val="-2"/>
              </w:rPr>
              <w:t>一般用1次</w:t>
            </w:r>
          </w:p>
        </w:tc>
        <w:tc>
          <w:tcPr>
            <w:tcW w:w="749" w:type="dxa"/>
            <w:vAlign w:val="top"/>
            <w:tcBorders>
              <w:bottom w:val="single" w:color="000000" w:sz="2" w:space="0"/>
              <w:top w:val="single" w:color="000000" w:sz="2" w:space="0"/>
            </w:tcBorders>
          </w:tcPr>
          <w:p>
            <w:pPr>
              <w:pStyle w:val="TableText"/>
              <w:ind w:left="126"/>
              <w:spacing w:before="46" w:line="213" w:lineRule="auto"/>
              <w:rPr>
                <w:sz w:val="12"/>
                <w:szCs w:val="12"/>
              </w:rPr>
            </w:pPr>
            <w:r>
              <w:rPr>
                <w:sz w:val="12"/>
                <w:szCs w:val="12"/>
                <w:spacing w:val="5"/>
              </w:rPr>
              <w:t>(1</w:t>
            </w:r>
            <w:r>
              <w:rPr>
                <w:sz w:val="12"/>
                <w:szCs w:val="12"/>
              </w:rPr>
              <w:t>kg</w:t>
            </w:r>
            <w:r>
              <w:rPr>
                <w:sz w:val="12"/>
                <w:szCs w:val="12"/>
                <w:spacing w:val="5"/>
              </w:rPr>
              <w:t>/袋)</w:t>
            </w:r>
          </w:p>
        </w:tc>
        <w:tc>
          <w:tcPr>
            <w:tcW w:w="2603" w:type="dxa"/>
            <w:vAlign w:val="top"/>
            <w:tcBorders>
              <w:bottom w:val="single" w:color="000000" w:sz="2" w:space="0"/>
              <w:top w:val="single" w:color="000000" w:sz="2" w:space="0"/>
            </w:tcBorders>
          </w:tcPr>
          <w:p>
            <w:pPr>
              <w:pStyle w:val="TableText"/>
              <w:ind w:left="17"/>
              <w:spacing w:before="49" w:line="219" w:lineRule="auto"/>
              <w:rPr>
                <w:sz w:val="12"/>
                <w:szCs w:val="12"/>
              </w:rPr>
            </w:pPr>
            <w:r>
              <w:rPr>
                <w:sz w:val="12"/>
                <w:szCs w:val="12"/>
              </w:rPr>
              <w:t>在土壤中杀灭害虫效果好，使用方便。</w:t>
            </w:r>
          </w:p>
        </w:tc>
      </w:tr>
      <w:tr>
        <w:trPr>
          <w:trHeight w:val="39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59" w:line="219" w:lineRule="auto"/>
              <w:rPr>
                <w:sz w:val="12"/>
                <w:szCs w:val="12"/>
              </w:rPr>
            </w:pPr>
            <w:r>
              <w:rPr>
                <w:sz w:val="12"/>
                <w:szCs w:val="12"/>
                <w:spacing w:val="1"/>
              </w:rPr>
              <w:t>国光土杀</w:t>
            </w:r>
          </w:p>
        </w:tc>
        <w:tc>
          <w:tcPr>
            <w:tcW w:w="1929" w:type="dxa"/>
            <w:vAlign w:val="top"/>
            <w:tcBorders>
              <w:bottom w:val="single" w:color="000000" w:sz="2" w:space="0"/>
              <w:top w:val="single" w:color="000000" w:sz="2" w:space="0"/>
            </w:tcBorders>
          </w:tcPr>
          <w:p>
            <w:pPr>
              <w:pStyle w:val="TableText"/>
              <w:ind w:left="444"/>
              <w:spacing w:before="139" w:line="219" w:lineRule="auto"/>
              <w:rPr>
                <w:sz w:val="12"/>
                <w:szCs w:val="12"/>
              </w:rPr>
            </w:pPr>
            <w:r>
              <w:rPr>
                <w:sz w:val="12"/>
                <w:szCs w:val="12"/>
                <w:spacing w:val="-1"/>
              </w:rPr>
              <w:t>毒死螂，辛磁磷40%</w:t>
            </w:r>
          </w:p>
        </w:tc>
        <w:tc>
          <w:tcPr>
            <w:tcW w:w="1659" w:type="dxa"/>
            <w:vAlign w:val="top"/>
            <w:tcBorders>
              <w:bottom w:val="single" w:color="000000" w:sz="2" w:space="0"/>
              <w:top w:val="single" w:color="000000" w:sz="2" w:space="0"/>
            </w:tcBorders>
          </w:tcPr>
          <w:p>
            <w:pPr>
              <w:pStyle w:val="TableText"/>
              <w:ind w:left="375"/>
              <w:spacing w:before="159" w:line="219" w:lineRule="auto"/>
              <w:rPr>
                <w:sz w:val="12"/>
                <w:szCs w:val="12"/>
              </w:rPr>
            </w:pPr>
            <w:r>
              <w:rPr>
                <w:sz w:val="12"/>
                <w:szCs w:val="12"/>
                <w:spacing w:val="-1"/>
              </w:rPr>
              <w:t>灌根2000-2500倍</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26"/>
              <w:spacing w:before="160" w:line="221" w:lineRule="auto"/>
              <w:rPr>
                <w:sz w:val="12"/>
                <w:szCs w:val="12"/>
              </w:rPr>
            </w:pPr>
            <w:r>
              <w:rPr>
                <w:sz w:val="12"/>
                <w:szCs w:val="12"/>
                <w:spacing w:val="-1"/>
              </w:rPr>
              <w:t>200ml/瓶</w:t>
            </w:r>
          </w:p>
        </w:tc>
        <w:tc>
          <w:tcPr>
            <w:tcW w:w="2603" w:type="dxa"/>
            <w:vAlign w:val="top"/>
            <w:tcBorders>
              <w:bottom w:val="single" w:color="000000" w:sz="2" w:space="0"/>
              <w:top w:val="single" w:color="000000" w:sz="2" w:space="0"/>
            </w:tcBorders>
          </w:tcPr>
          <w:p>
            <w:pPr>
              <w:pStyle w:val="TableText"/>
              <w:ind w:left="17" w:right="182"/>
              <w:spacing w:before="79" w:line="234" w:lineRule="auto"/>
              <w:rPr>
                <w:sz w:val="12"/>
                <w:szCs w:val="12"/>
              </w:rPr>
            </w:pPr>
            <w:r>
              <w:rPr>
                <w:sz w:val="12"/>
                <w:szCs w:val="12"/>
                <w:spacing w:val="-1"/>
              </w:rPr>
              <w:t>杀灭蛴蜡、蝼、蚯蚓等地下害虫和粘虫，蚜虫</w:t>
            </w:r>
            <w:r>
              <w:rPr>
                <w:sz w:val="12"/>
                <w:szCs w:val="12"/>
                <w:spacing w:val="11"/>
              </w:rPr>
              <w:t xml:space="preserve"> </w:t>
            </w:r>
            <w:r>
              <w:rPr>
                <w:sz w:val="12"/>
                <w:szCs w:val="12"/>
              </w:rPr>
              <w:t>、青虫、蚂蚊等。</w:t>
            </w:r>
          </w:p>
        </w:tc>
      </w:tr>
      <w:tr>
        <w:trPr>
          <w:trHeight w:val="444" w:hRule="atLeast"/>
        </w:trPr>
        <w:tc>
          <w:tcPr>
            <w:tcW w:w="415" w:type="dxa"/>
            <w:vAlign w:val="top"/>
            <w:vMerge w:val="continue"/>
            <w:tcBorders>
              <w:bottom w:val="single" w:color="000000" w:sz="2" w:space="0"/>
              <w:top w:val="nil"/>
            </w:tcBorders>
          </w:tcPr>
          <w:p>
            <w:pPr>
              <w:rPr>
                <w:rFonts w:ascii="Arial"/>
                <w:sz w:val="21"/>
              </w:rPr>
            </w:pPr>
            <w:r/>
          </w:p>
        </w:tc>
        <w:tc>
          <w:tcPr>
            <w:tcW w:w="65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60" w:line="220" w:lineRule="auto"/>
              <w:rPr>
                <w:sz w:val="12"/>
                <w:szCs w:val="12"/>
              </w:rPr>
            </w:pPr>
            <w:r>
              <w:rPr>
                <w:sz w:val="12"/>
                <w:szCs w:val="12"/>
              </w:rPr>
              <w:t>中威击绿健</w:t>
            </w:r>
          </w:p>
        </w:tc>
        <w:tc>
          <w:tcPr>
            <w:tcW w:w="1929" w:type="dxa"/>
            <w:vAlign w:val="top"/>
            <w:tcBorders>
              <w:bottom w:val="single" w:color="000000" w:sz="2" w:space="0"/>
              <w:top w:val="single" w:color="000000" w:sz="2" w:space="0"/>
            </w:tcBorders>
          </w:tcPr>
          <w:p>
            <w:pPr>
              <w:pStyle w:val="TableText"/>
              <w:ind w:left="684"/>
              <w:spacing w:before="160" w:line="219" w:lineRule="auto"/>
              <w:rPr>
                <w:sz w:val="12"/>
                <w:szCs w:val="12"/>
              </w:rPr>
            </w:pPr>
            <w:r>
              <w:rPr>
                <w:sz w:val="12"/>
                <w:szCs w:val="12"/>
                <w:spacing w:val="-1"/>
              </w:rPr>
              <w:t>二嗓磷20%</w:t>
            </w:r>
          </w:p>
        </w:tc>
        <w:tc>
          <w:tcPr>
            <w:tcW w:w="1659" w:type="dxa"/>
            <w:vAlign w:val="top"/>
            <w:tcBorders>
              <w:bottom w:val="single" w:color="000000" w:sz="2" w:space="0"/>
              <w:top w:val="single" w:color="000000" w:sz="2" w:space="0"/>
            </w:tcBorders>
          </w:tcPr>
          <w:p>
            <w:pPr>
              <w:pStyle w:val="TableText"/>
              <w:ind w:left="225"/>
              <w:spacing w:before="156" w:line="213" w:lineRule="auto"/>
              <w:rPr>
                <w:sz w:val="12"/>
                <w:szCs w:val="12"/>
              </w:rPr>
            </w:pPr>
            <w:r>
              <w:rPr>
                <w:sz w:val="12"/>
                <w:szCs w:val="12"/>
                <w:spacing w:val="-1"/>
              </w:rPr>
              <w:t>直接撒施，每亩1--2kg</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26"/>
              <w:spacing w:before="156" w:line="213" w:lineRule="auto"/>
              <w:rPr>
                <w:sz w:val="12"/>
                <w:szCs w:val="12"/>
              </w:rPr>
            </w:pPr>
            <w:r>
              <w:rPr>
                <w:sz w:val="12"/>
                <w:szCs w:val="12"/>
                <w:spacing w:val="5"/>
              </w:rPr>
              <w:t>(1</w:t>
            </w:r>
            <w:r>
              <w:rPr>
                <w:sz w:val="12"/>
                <w:szCs w:val="12"/>
              </w:rPr>
              <w:t>kg</w:t>
            </w:r>
            <w:r>
              <w:rPr>
                <w:sz w:val="12"/>
                <w:szCs w:val="12"/>
                <w:spacing w:val="5"/>
              </w:rPr>
              <w:t>/袋)</w:t>
            </w:r>
          </w:p>
        </w:tc>
        <w:tc>
          <w:tcPr>
            <w:tcW w:w="2603" w:type="dxa"/>
            <w:vAlign w:val="top"/>
            <w:tcBorders>
              <w:bottom w:val="single" w:color="000000" w:sz="2" w:space="0"/>
              <w:top w:val="single" w:color="000000" w:sz="2" w:space="0"/>
            </w:tcBorders>
          </w:tcPr>
          <w:p>
            <w:pPr>
              <w:pStyle w:val="TableText"/>
              <w:ind w:left="17" w:right="120"/>
              <w:spacing w:before="109" w:line="207" w:lineRule="auto"/>
              <w:rPr>
                <w:sz w:val="12"/>
                <w:szCs w:val="12"/>
              </w:rPr>
            </w:pPr>
            <w:r>
              <w:rPr>
                <w:sz w:val="12"/>
                <w:szCs w:val="12"/>
                <w:spacing w:val="-1"/>
              </w:rPr>
              <w:t>专治草坪地下害虫(蛴蜡，金针虫、地老虎，根</w:t>
            </w:r>
            <w:r>
              <w:rPr>
                <w:sz w:val="12"/>
                <w:szCs w:val="12"/>
                <w:spacing w:val="14"/>
              </w:rPr>
              <w:t xml:space="preserve"> </w:t>
            </w:r>
            <w:r>
              <w:rPr>
                <w:sz w:val="12"/>
                <w:szCs w:val="12"/>
                <w:spacing w:val="6"/>
              </w:rPr>
              <w:t>结线虫等),</w:t>
            </w:r>
          </w:p>
        </w:tc>
      </w:tr>
      <w:tr>
        <w:trPr>
          <w:trHeight w:val="255" w:hRule="atLeast"/>
        </w:trPr>
        <w:tc>
          <w:tcPr>
            <w:tcW w:w="415"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4" w:right="38"/>
              <w:spacing w:before="39" w:line="232" w:lineRule="auto"/>
              <w:rPr>
                <w:sz w:val="12"/>
                <w:szCs w:val="12"/>
              </w:rPr>
            </w:pPr>
            <w:r>
              <w:rPr>
                <w:sz w:val="12"/>
                <w:szCs w:val="12"/>
                <w:spacing w:val="-3"/>
              </w:rPr>
              <w:t>营养剂</w:t>
            </w:r>
            <w:r>
              <w:rPr>
                <w:sz w:val="12"/>
                <w:szCs w:val="12"/>
              </w:rPr>
              <w:t xml:space="preserve"> </w:t>
            </w:r>
            <w:r>
              <w:rPr>
                <w:sz w:val="12"/>
                <w:szCs w:val="12"/>
                <w:spacing w:val="-1"/>
              </w:rPr>
              <w:t>/肥料</w:t>
            </w:r>
          </w:p>
        </w:tc>
        <w:tc>
          <w:tcPr>
            <w:tcW w:w="650" w:type="dxa"/>
            <w:vAlign w:val="top"/>
            <w:vMerge w:val="restart"/>
            <w:tcBorders>
              <w:bottom w:val="nil"/>
              <w:top w:val="single" w:color="000000" w:sz="2" w:space="0"/>
            </w:tcBorders>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40"/>
              <w:spacing w:before="39" w:line="219" w:lineRule="auto"/>
              <w:rPr>
                <w:sz w:val="12"/>
                <w:szCs w:val="12"/>
              </w:rPr>
            </w:pPr>
            <w:r>
              <w:rPr>
                <w:sz w:val="12"/>
                <w:szCs w:val="12"/>
                <w:spacing w:val="-1"/>
              </w:rPr>
              <w:t>树木复壮</w:t>
            </w:r>
          </w:p>
        </w:tc>
        <w:tc>
          <w:tcPr>
            <w:tcW w:w="959" w:type="dxa"/>
            <w:vAlign w:val="top"/>
            <w:vMerge w:val="restart"/>
            <w:tcBorders>
              <w:bottom w:val="nil"/>
              <w:top w:val="singl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20" w:right="43" w:firstLine="29"/>
              <w:spacing w:before="39" w:line="226" w:lineRule="auto"/>
              <w:jc w:val="both"/>
              <w:rPr>
                <w:sz w:val="12"/>
                <w:szCs w:val="12"/>
              </w:rPr>
            </w:pPr>
            <w:r>
              <w:rPr>
                <w:sz w:val="12"/>
                <w:szCs w:val="12"/>
                <w:spacing w:val="2"/>
              </w:rPr>
              <w:t>树木长势弱，白</w:t>
            </w:r>
            <w:r>
              <w:rPr>
                <w:sz w:val="12"/>
                <w:szCs w:val="12"/>
              </w:rPr>
              <w:t xml:space="preserve"> </w:t>
            </w:r>
            <w:r>
              <w:rPr>
                <w:sz w:val="12"/>
                <w:szCs w:val="12"/>
                <w:spacing w:val="-1"/>
              </w:rPr>
              <w:t>项部向下有枯黄</w:t>
            </w:r>
            <w:r>
              <w:rPr>
                <w:sz w:val="12"/>
                <w:szCs w:val="12"/>
              </w:rPr>
              <w:t xml:space="preserve">  </w:t>
            </w:r>
            <w:r>
              <w:rPr>
                <w:sz w:val="12"/>
                <w:szCs w:val="12"/>
                <w:spacing w:val="3"/>
              </w:rPr>
              <w:t>现象，或高大乔</w:t>
            </w:r>
            <w:r>
              <w:rPr>
                <w:sz w:val="12"/>
                <w:szCs w:val="12"/>
                <w:spacing w:val="2"/>
              </w:rPr>
              <w:t xml:space="preserve"> </w:t>
            </w:r>
            <w:r>
              <w:rPr>
                <w:sz w:val="12"/>
                <w:szCs w:val="12"/>
                <w:spacing w:val="5"/>
              </w:rPr>
              <w:t>木及贵重树木</w:t>
            </w:r>
          </w:p>
        </w:tc>
        <w:tc>
          <w:tcPr>
            <w:tcW w:w="2748" w:type="dxa"/>
            <w:vAlign w:val="top"/>
            <w:vMerge w:val="restart"/>
            <w:tcBorders>
              <w:bottom w:val="nil"/>
              <w:top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1" w:right="82" w:firstLine="19"/>
              <w:spacing w:before="39" w:line="221" w:lineRule="auto"/>
              <w:rPr>
                <w:sz w:val="12"/>
                <w:szCs w:val="12"/>
              </w:rPr>
            </w:pPr>
            <w:r>
              <w:rPr>
                <w:sz w:val="12"/>
                <w:szCs w:val="12"/>
                <w:spacing w:val="-1"/>
              </w:rPr>
              <w:t>一，主要集中在5月中6月初，气温上升，空气湿度</w:t>
            </w:r>
            <w:r>
              <w:rPr>
                <w:sz w:val="12"/>
                <w:szCs w:val="12"/>
                <w:spacing w:val="8"/>
              </w:rPr>
              <w:t xml:space="preserve"> </w:t>
            </w:r>
            <w:r>
              <w:rPr>
                <w:sz w:val="12"/>
                <w:szCs w:val="12"/>
              </w:rPr>
              <w:t>增加，苗木结束休眠期开始返青。是树术复壮最佳</w:t>
            </w:r>
            <w:r>
              <w:rPr>
                <w:sz w:val="12"/>
                <w:szCs w:val="12"/>
                <w:spacing w:val="13"/>
              </w:rPr>
              <w:t xml:space="preserve"> </w:t>
            </w:r>
            <w:r>
              <w:rPr>
                <w:sz w:val="12"/>
                <w:szCs w:val="12"/>
                <w:spacing w:val="-3"/>
              </w:rPr>
              <w:t>时机</w:t>
            </w:r>
          </w:p>
          <w:p>
            <w:pPr>
              <w:pStyle w:val="TableText"/>
              <w:ind w:left="21"/>
              <w:spacing w:before="8" w:line="219" w:lineRule="auto"/>
              <w:rPr>
                <w:sz w:val="12"/>
                <w:szCs w:val="12"/>
              </w:rPr>
            </w:pPr>
            <w:r>
              <w:rPr>
                <w:sz w:val="12"/>
                <w:szCs w:val="12"/>
                <w:spacing w:val="-1"/>
              </w:rPr>
              <w:t>二、7-8月有个别情况，做专项治疗</w:t>
            </w:r>
          </w:p>
        </w:tc>
        <w:tc>
          <w:tcPr>
            <w:tcW w:w="1289" w:type="dxa"/>
            <w:vAlign w:val="top"/>
            <w:tcBorders>
              <w:bottom w:val="single" w:color="000000" w:sz="2" w:space="0"/>
              <w:top w:val="single" w:color="000000" w:sz="2" w:space="0"/>
            </w:tcBorders>
          </w:tcPr>
          <w:p>
            <w:pPr>
              <w:pStyle w:val="TableText"/>
              <w:ind w:left="393"/>
              <w:spacing w:before="70" w:line="219" w:lineRule="auto"/>
              <w:rPr>
                <w:sz w:val="12"/>
                <w:szCs w:val="12"/>
              </w:rPr>
            </w:pPr>
            <w:r>
              <w:rPr>
                <w:sz w:val="12"/>
                <w:szCs w:val="12"/>
                <w:spacing w:val="1"/>
              </w:rPr>
              <w:t>国光移成</w:t>
            </w:r>
          </w:p>
        </w:tc>
        <w:tc>
          <w:tcPr>
            <w:tcW w:w="1929" w:type="dxa"/>
            <w:vAlign w:val="top"/>
            <w:tcBorders>
              <w:bottom w:val="single" w:color="000000" w:sz="2" w:space="0"/>
              <w:top w:val="single" w:color="000000" w:sz="2" w:space="0"/>
            </w:tcBorders>
          </w:tcPr>
          <w:p>
            <w:pPr>
              <w:pStyle w:val="TableText"/>
              <w:ind w:left="143"/>
              <w:spacing w:before="70" w:line="218" w:lineRule="auto"/>
              <w:rPr>
                <w:sz w:val="12"/>
                <w:szCs w:val="12"/>
              </w:rPr>
            </w:pPr>
            <w:r>
              <w:rPr>
                <w:sz w:val="12"/>
                <w:szCs w:val="12"/>
                <w:spacing w:val="1"/>
              </w:rPr>
              <w:t>12%含氨基酸水溶肥料(碾十锌)</w:t>
            </w:r>
          </w:p>
        </w:tc>
        <w:tc>
          <w:tcPr>
            <w:tcW w:w="1659" w:type="dxa"/>
            <w:vAlign w:val="top"/>
            <w:tcBorders>
              <w:bottom w:val="single" w:color="000000" w:sz="2" w:space="0"/>
              <w:top w:val="single" w:color="000000" w:sz="2" w:space="0"/>
            </w:tcBorders>
          </w:tcPr>
          <w:p>
            <w:pPr>
              <w:pStyle w:val="TableText"/>
              <w:ind w:left="375"/>
              <w:spacing w:before="70" w:line="219" w:lineRule="auto"/>
              <w:rPr>
                <w:sz w:val="12"/>
                <w:szCs w:val="12"/>
              </w:rPr>
            </w:pPr>
            <w:r>
              <w:rPr>
                <w:sz w:val="12"/>
                <w:szCs w:val="12"/>
                <w:spacing w:val="-1"/>
              </w:rPr>
              <w:t>稀释1000-1200倍</w:t>
            </w:r>
          </w:p>
        </w:tc>
        <w:tc>
          <w:tcPr>
            <w:tcW w:w="1049" w:type="dxa"/>
            <w:vAlign w:val="top"/>
            <w:vMerge w:val="restart"/>
            <w:tcBorders>
              <w:bottom w:val="nil"/>
              <w:top w:val="single" w:color="000000" w:sz="2" w:space="0"/>
            </w:tcBorders>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96"/>
              <w:spacing w:before="39" w:line="219" w:lineRule="auto"/>
              <w:rPr>
                <w:sz w:val="12"/>
                <w:szCs w:val="12"/>
              </w:rPr>
            </w:pPr>
            <w:r>
              <w:rPr>
                <w:sz w:val="12"/>
                <w:szCs w:val="12"/>
                <w:spacing w:val="-1"/>
              </w:rPr>
              <w:t>视树木生长情况</w:t>
            </w:r>
          </w:p>
        </w:tc>
        <w:tc>
          <w:tcPr>
            <w:tcW w:w="749" w:type="dxa"/>
            <w:vAlign w:val="top"/>
            <w:tcBorders>
              <w:bottom w:val="single" w:color="000000" w:sz="2" w:space="0"/>
              <w:top w:val="single" w:color="000000" w:sz="2" w:space="0"/>
            </w:tcBorders>
          </w:tcPr>
          <w:p>
            <w:pPr>
              <w:pStyle w:val="TableText"/>
              <w:ind w:left="96"/>
              <w:spacing w:before="67" w:line="213" w:lineRule="auto"/>
              <w:rPr>
                <w:sz w:val="12"/>
                <w:szCs w:val="12"/>
              </w:rPr>
            </w:pPr>
            <w:r>
              <w:rPr>
                <w:sz w:val="12"/>
                <w:szCs w:val="12"/>
                <w:spacing w:val="3"/>
              </w:rPr>
              <w:t>(200g/短)</w:t>
            </w:r>
          </w:p>
        </w:tc>
        <w:tc>
          <w:tcPr>
            <w:tcW w:w="2603" w:type="dxa"/>
            <w:vAlign w:val="top"/>
            <w:tcBorders>
              <w:bottom w:val="single" w:color="000000" w:sz="2" w:space="0"/>
              <w:top w:val="single" w:color="000000" w:sz="2" w:space="0"/>
            </w:tcBorders>
          </w:tcPr>
          <w:p>
            <w:pPr>
              <w:pStyle w:val="TableText"/>
              <w:ind w:left="17"/>
              <w:spacing w:before="70" w:line="218" w:lineRule="auto"/>
              <w:rPr>
                <w:sz w:val="12"/>
                <w:szCs w:val="12"/>
              </w:rPr>
            </w:pPr>
            <w:r>
              <w:rPr>
                <w:sz w:val="12"/>
                <w:szCs w:val="12"/>
              </w:rPr>
              <w:t>补充水分和养分，促进快速成活。</w:t>
            </w:r>
          </w:p>
        </w:tc>
      </w:tr>
      <w:tr>
        <w:trPr>
          <w:trHeight w:val="35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20" w:line="220" w:lineRule="auto"/>
              <w:rPr>
                <w:sz w:val="12"/>
                <w:szCs w:val="12"/>
              </w:rPr>
            </w:pPr>
            <w:r>
              <w:rPr>
                <w:sz w:val="12"/>
                <w:szCs w:val="12"/>
                <w:spacing w:val="1"/>
              </w:rPr>
              <w:t>中威吊针液</w:t>
            </w:r>
          </w:p>
        </w:tc>
        <w:tc>
          <w:tcPr>
            <w:tcW w:w="1929" w:type="dxa"/>
            <w:vAlign w:val="top"/>
            <w:tcBorders>
              <w:bottom w:val="single" w:color="000000" w:sz="2" w:space="0"/>
              <w:top w:val="single" w:color="000000" w:sz="2" w:space="0"/>
            </w:tcBorders>
          </w:tcPr>
          <w:p>
            <w:pPr>
              <w:pStyle w:val="TableText"/>
              <w:ind w:left="203"/>
              <w:spacing w:before="120" w:line="219" w:lineRule="auto"/>
              <w:rPr>
                <w:sz w:val="12"/>
                <w:szCs w:val="12"/>
              </w:rPr>
            </w:pPr>
            <w:r>
              <w:rPr>
                <w:sz w:val="12"/>
                <w:szCs w:val="12"/>
                <w:spacing w:val="-1"/>
              </w:rPr>
              <w:t>DA-6甲壳素，硼镁锌等2.85%</w:t>
            </w:r>
          </w:p>
        </w:tc>
        <w:tc>
          <w:tcPr>
            <w:tcW w:w="1659" w:type="dxa"/>
            <w:vAlign w:val="top"/>
            <w:tcBorders>
              <w:bottom w:val="single" w:color="000000" w:sz="2" w:space="0"/>
              <w:top w:val="single" w:color="000000" w:sz="2" w:space="0"/>
            </w:tcBorders>
          </w:tcPr>
          <w:p>
            <w:pPr>
              <w:pStyle w:val="TableText"/>
              <w:ind w:left="404"/>
              <w:spacing w:before="120" w:line="219" w:lineRule="auto"/>
              <w:rPr>
                <w:sz w:val="12"/>
                <w:szCs w:val="12"/>
              </w:rPr>
            </w:pPr>
            <w:r>
              <w:rPr>
                <w:sz w:val="12"/>
                <w:szCs w:val="12"/>
                <w:spacing w:val="-1"/>
              </w:rPr>
              <w:t>稀释60-100倍液</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87"/>
              <w:spacing w:before="116" w:line="213" w:lineRule="auto"/>
              <w:rPr>
                <w:sz w:val="12"/>
                <w:szCs w:val="12"/>
              </w:rPr>
            </w:pPr>
            <w:r>
              <w:rPr>
                <w:sz w:val="12"/>
                <w:szCs w:val="12"/>
                <w:spacing w:val="-3"/>
              </w:rPr>
              <w:t>lkg/袋</w:t>
            </w:r>
          </w:p>
        </w:tc>
        <w:tc>
          <w:tcPr>
            <w:tcW w:w="2603" w:type="dxa"/>
            <w:vAlign w:val="top"/>
            <w:tcBorders>
              <w:bottom w:val="single" w:color="000000" w:sz="2" w:space="0"/>
              <w:top w:val="single" w:color="000000" w:sz="2" w:space="0"/>
            </w:tcBorders>
          </w:tcPr>
          <w:p>
            <w:pPr>
              <w:pStyle w:val="TableText"/>
              <w:ind w:left="17" w:right="60"/>
              <w:spacing w:before="59" w:line="210" w:lineRule="auto"/>
              <w:rPr>
                <w:sz w:val="12"/>
                <w:szCs w:val="12"/>
              </w:rPr>
            </w:pPr>
            <w:r>
              <w:rPr>
                <w:sz w:val="12"/>
                <w:szCs w:val="12"/>
                <w:spacing w:val="-1"/>
              </w:rPr>
              <w:t>促使树体健壮，迅速补充营养，增强抗性，提高</w:t>
            </w:r>
            <w:r>
              <w:rPr>
                <w:sz w:val="12"/>
                <w:szCs w:val="12"/>
                <w:spacing w:val="14"/>
              </w:rPr>
              <w:t xml:space="preserve"> </w:t>
            </w:r>
            <w:r>
              <w:rPr>
                <w:sz w:val="12"/>
                <w:szCs w:val="12"/>
              </w:rPr>
              <w:t>成活率。</w:t>
            </w:r>
          </w:p>
        </w:tc>
      </w:tr>
      <w:tr>
        <w:trPr>
          <w:trHeight w:val="305"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43"/>
              <w:spacing w:before="90" w:line="219" w:lineRule="auto"/>
              <w:rPr>
                <w:sz w:val="12"/>
                <w:szCs w:val="12"/>
              </w:rPr>
            </w:pPr>
            <w:r>
              <w:rPr>
                <w:sz w:val="12"/>
                <w:szCs w:val="12"/>
                <w:spacing w:val="1"/>
              </w:rPr>
              <w:t>国光根动力2号</w:t>
            </w:r>
          </w:p>
        </w:tc>
        <w:tc>
          <w:tcPr>
            <w:tcW w:w="1929" w:type="dxa"/>
            <w:vAlign w:val="top"/>
            <w:tcBorders>
              <w:bottom w:val="single" w:color="000000" w:sz="2" w:space="0"/>
              <w:top w:val="single" w:color="000000" w:sz="2" w:space="0"/>
            </w:tcBorders>
          </w:tcPr>
          <w:p>
            <w:pPr>
              <w:pStyle w:val="TableText"/>
              <w:ind w:left="324"/>
              <w:spacing w:before="90" w:line="218" w:lineRule="auto"/>
              <w:rPr>
                <w:sz w:val="12"/>
                <w:szCs w:val="12"/>
              </w:rPr>
            </w:pPr>
            <w:r>
              <w:rPr>
                <w:sz w:val="12"/>
                <w:szCs w:val="12"/>
                <w:spacing w:val="2"/>
              </w:rPr>
              <w:t>13%含氦基酸水溶肥(钙)</w:t>
            </w:r>
          </w:p>
        </w:tc>
        <w:tc>
          <w:tcPr>
            <w:tcW w:w="1659" w:type="dxa"/>
            <w:vAlign w:val="top"/>
            <w:tcBorders>
              <w:bottom w:val="single" w:color="000000" w:sz="2" w:space="0"/>
              <w:top w:val="single" w:color="000000" w:sz="2" w:space="0"/>
            </w:tcBorders>
          </w:tcPr>
          <w:p>
            <w:pPr>
              <w:pStyle w:val="TableText"/>
              <w:ind w:left="345"/>
              <w:spacing w:before="90" w:line="219" w:lineRule="auto"/>
              <w:rPr>
                <w:sz w:val="12"/>
                <w:szCs w:val="12"/>
              </w:rPr>
            </w:pPr>
            <w:r>
              <w:rPr>
                <w:sz w:val="12"/>
                <w:szCs w:val="12"/>
                <w:spacing w:val="-1"/>
              </w:rPr>
              <w:t>稀释800-1000倍液</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56"/>
              <w:spacing w:before="91" w:line="221" w:lineRule="auto"/>
              <w:rPr>
                <w:sz w:val="12"/>
                <w:szCs w:val="12"/>
              </w:rPr>
            </w:pPr>
            <w:r>
              <w:rPr>
                <w:sz w:val="12"/>
                <w:szCs w:val="12"/>
                <w:spacing w:val="4"/>
              </w:rPr>
              <w:t>(1L/瓶)</w:t>
            </w:r>
          </w:p>
        </w:tc>
        <w:tc>
          <w:tcPr>
            <w:tcW w:w="2603" w:type="dxa"/>
            <w:vAlign w:val="top"/>
            <w:tcBorders>
              <w:bottom w:val="single" w:color="000000" w:sz="2" w:space="0"/>
              <w:top w:val="single" w:color="000000" w:sz="2" w:space="0"/>
            </w:tcBorders>
          </w:tcPr>
          <w:p>
            <w:pPr>
              <w:pStyle w:val="TableText"/>
              <w:ind w:left="17"/>
              <w:spacing w:before="90" w:line="219" w:lineRule="auto"/>
              <w:rPr>
                <w:sz w:val="12"/>
                <w:szCs w:val="12"/>
              </w:rPr>
            </w:pPr>
            <w:r>
              <w:rPr>
                <w:sz w:val="12"/>
                <w:szCs w:val="12"/>
              </w:rPr>
              <w:t>诱导树木快速生根，提高移栽成话率。</w:t>
            </w:r>
          </w:p>
        </w:tc>
      </w:tr>
      <w:tr>
        <w:trPr>
          <w:trHeight w:val="39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40" w:line="220" w:lineRule="auto"/>
              <w:rPr>
                <w:sz w:val="12"/>
                <w:szCs w:val="12"/>
              </w:rPr>
            </w:pPr>
            <w:r>
              <w:rPr>
                <w:sz w:val="12"/>
                <w:szCs w:val="12"/>
                <w:spacing w:val="1"/>
              </w:rPr>
              <w:t>中威生根液</w:t>
            </w:r>
          </w:p>
        </w:tc>
        <w:tc>
          <w:tcPr>
            <w:tcW w:w="1929" w:type="dxa"/>
            <w:vAlign w:val="top"/>
            <w:tcBorders>
              <w:bottom w:val="single" w:color="000000" w:sz="2" w:space="0"/>
              <w:top w:val="single" w:color="000000" w:sz="2" w:space="0"/>
            </w:tcBorders>
          </w:tcPr>
          <w:p>
            <w:pPr>
              <w:pStyle w:val="TableText"/>
              <w:ind w:left="384"/>
              <w:spacing w:before="140" w:line="220" w:lineRule="auto"/>
              <w:rPr>
                <w:sz w:val="12"/>
                <w:szCs w:val="12"/>
              </w:rPr>
            </w:pPr>
            <w:r>
              <w:rPr>
                <w:sz w:val="12"/>
                <w:szCs w:val="12"/>
                <w:spacing w:val="-1"/>
              </w:rPr>
              <w:t>荼乙酸、喷噪乙酸10%</w:t>
            </w:r>
          </w:p>
        </w:tc>
        <w:tc>
          <w:tcPr>
            <w:tcW w:w="1659" w:type="dxa"/>
            <w:vAlign w:val="top"/>
            <w:tcBorders>
              <w:bottom w:val="single" w:color="000000" w:sz="2" w:space="0"/>
              <w:top w:val="single" w:color="000000" w:sz="2" w:space="0"/>
            </w:tcBorders>
          </w:tcPr>
          <w:p>
            <w:pPr>
              <w:pStyle w:val="TableText"/>
              <w:ind w:left="494"/>
              <w:spacing w:before="140" w:line="220" w:lineRule="auto"/>
              <w:rPr>
                <w:sz w:val="12"/>
                <w:szCs w:val="12"/>
              </w:rPr>
            </w:pPr>
            <w:r>
              <w:rPr>
                <w:sz w:val="12"/>
                <w:szCs w:val="12"/>
                <w:spacing w:val="-1"/>
              </w:rPr>
              <w:t>300-500倍液</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87"/>
              <w:spacing w:before="136" w:line="213" w:lineRule="auto"/>
              <w:rPr>
                <w:sz w:val="12"/>
                <w:szCs w:val="12"/>
              </w:rPr>
            </w:pPr>
            <w:r>
              <w:rPr>
                <w:sz w:val="12"/>
                <w:szCs w:val="12"/>
                <w:spacing w:val="-1"/>
              </w:rPr>
              <w:t>4kg/桶</w:t>
            </w:r>
          </w:p>
        </w:tc>
        <w:tc>
          <w:tcPr>
            <w:tcW w:w="2603" w:type="dxa"/>
            <w:vAlign w:val="top"/>
            <w:tcBorders>
              <w:bottom w:val="single" w:color="000000" w:sz="2" w:space="0"/>
              <w:top w:val="single" w:color="000000" w:sz="2" w:space="0"/>
            </w:tcBorders>
          </w:tcPr>
          <w:p>
            <w:pPr>
              <w:pStyle w:val="TableText"/>
              <w:ind w:left="17" w:right="54"/>
              <w:spacing w:before="60" w:line="233" w:lineRule="auto"/>
              <w:rPr>
                <w:sz w:val="12"/>
                <w:szCs w:val="12"/>
              </w:rPr>
            </w:pPr>
            <w:r>
              <w:rPr>
                <w:sz w:val="12"/>
                <w:szCs w:val="12"/>
              </w:rPr>
              <w:t>促使树木快速生根，形成庞大根系，快速萌芽， </w:t>
            </w:r>
            <w:r>
              <w:rPr>
                <w:sz w:val="12"/>
                <w:szCs w:val="12"/>
              </w:rPr>
              <w:t>改善植物长势。</w:t>
            </w:r>
          </w:p>
        </w:tc>
      </w:tr>
      <w:tr>
        <w:trPr>
          <w:trHeight w:val="44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61" w:line="219" w:lineRule="auto"/>
              <w:rPr>
                <w:sz w:val="12"/>
                <w:szCs w:val="12"/>
              </w:rPr>
            </w:pPr>
            <w:r>
              <w:rPr>
                <w:sz w:val="12"/>
                <w:szCs w:val="12"/>
                <w:spacing w:val="-1"/>
              </w:rPr>
              <w:t>诺替信根睾地</w:t>
            </w:r>
          </w:p>
        </w:tc>
        <w:tc>
          <w:tcPr>
            <w:tcW w:w="1929" w:type="dxa"/>
            <w:vAlign w:val="top"/>
            <w:tcBorders>
              <w:bottom w:val="single" w:color="000000" w:sz="2" w:space="0"/>
              <w:top w:val="single" w:color="000000" w:sz="2" w:space="0"/>
            </w:tcBorders>
          </w:tcPr>
          <w:p>
            <w:pPr>
              <w:pStyle w:val="TableText"/>
              <w:ind w:left="613" w:right="310" w:hanging="319"/>
              <w:spacing w:before="80" w:line="225" w:lineRule="auto"/>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tc>
        <w:tc>
          <w:tcPr>
            <w:tcW w:w="1659" w:type="dxa"/>
            <w:vAlign w:val="top"/>
            <w:tcBorders>
              <w:bottom w:val="single" w:color="000000" w:sz="2" w:space="0"/>
              <w:top w:val="single" w:color="000000" w:sz="2" w:space="0"/>
            </w:tcBorders>
          </w:tcPr>
          <w:p>
            <w:pPr>
              <w:pStyle w:val="TableText"/>
              <w:ind w:left="554"/>
              <w:spacing w:before="161" w:line="220" w:lineRule="auto"/>
              <w:rPr>
                <w:sz w:val="12"/>
                <w:szCs w:val="12"/>
              </w:rPr>
            </w:pPr>
            <w:r>
              <w:rPr>
                <w:sz w:val="12"/>
                <w:szCs w:val="12"/>
                <w:spacing w:val="-6"/>
              </w:rPr>
              <w:t>600—800倍</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161" w:line="221" w:lineRule="auto"/>
              <w:rPr>
                <w:sz w:val="12"/>
                <w:szCs w:val="12"/>
              </w:rPr>
            </w:pPr>
            <w:r>
              <w:rPr>
                <w:sz w:val="12"/>
                <w:szCs w:val="12"/>
                <w:spacing w:val="-1"/>
              </w:rPr>
              <w:t>5000ml/瓶</w:t>
            </w:r>
          </w:p>
        </w:tc>
        <w:tc>
          <w:tcPr>
            <w:tcW w:w="2603" w:type="dxa"/>
            <w:vAlign w:val="top"/>
            <w:tcBorders>
              <w:bottom w:val="single" w:color="000000" w:sz="2" w:space="0"/>
              <w:top w:val="single" w:color="000000" w:sz="2" w:space="0"/>
            </w:tcBorders>
          </w:tcPr>
          <w:p>
            <w:pPr>
              <w:pStyle w:val="TableText"/>
              <w:ind w:left="17" w:right="55"/>
              <w:spacing w:before="90" w:line="248" w:lineRule="auto"/>
              <w:rPr>
                <w:sz w:val="12"/>
                <w:szCs w:val="12"/>
              </w:rPr>
            </w:pPr>
            <w:r>
              <w:rPr>
                <w:sz w:val="12"/>
                <w:szCs w:val="12"/>
                <w:spacing w:val="-1"/>
              </w:rPr>
              <w:t>提供根系生长发育内源动力，诱导刺激根系活</w:t>
            </w:r>
            <w:r>
              <w:rPr>
                <w:sz w:val="12"/>
                <w:szCs w:val="12"/>
                <w:spacing w:val="4"/>
              </w:rPr>
              <w:t xml:space="preserve">   </w:t>
            </w:r>
            <w:r>
              <w:rPr>
                <w:sz w:val="12"/>
                <w:szCs w:val="12"/>
              </w:rPr>
              <w:t>力，提高移栽成活率，促进草坪快速生根成</w:t>
            </w:r>
            <w:r>
              <w:rPr>
                <w:sz w:val="12"/>
                <w:szCs w:val="12"/>
                <w:spacing w:val="-1"/>
              </w:rPr>
              <w:t>块。</w:t>
            </w:r>
          </w:p>
        </w:tc>
      </w:tr>
      <w:tr>
        <w:trPr>
          <w:trHeight w:val="39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41" w:line="219" w:lineRule="auto"/>
              <w:rPr>
                <w:sz w:val="12"/>
                <w:szCs w:val="12"/>
              </w:rPr>
            </w:pPr>
            <w:r>
              <w:rPr>
                <w:sz w:val="12"/>
                <w:szCs w:val="12"/>
                <w:spacing w:val="2"/>
              </w:rPr>
              <w:t>国光树动力</w:t>
            </w:r>
          </w:p>
        </w:tc>
        <w:tc>
          <w:tcPr>
            <w:tcW w:w="1929" w:type="dxa"/>
            <w:vAlign w:val="top"/>
            <w:tcBorders>
              <w:bottom w:val="single" w:color="000000" w:sz="2" w:space="0"/>
              <w:top w:val="single" w:color="000000" w:sz="2" w:space="0"/>
            </w:tcBorders>
          </w:tcPr>
          <w:p>
            <w:pPr>
              <w:pStyle w:val="TableText"/>
              <w:ind w:left="713" w:right="70" w:hanging="660"/>
              <w:spacing w:before="72" w:line="216"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tc>
        <w:tc>
          <w:tcPr>
            <w:tcW w:w="1659" w:type="dxa"/>
            <w:vAlign w:val="top"/>
            <w:tcBorders>
              <w:bottom w:val="single" w:color="000000" w:sz="2" w:space="0"/>
              <w:top w:val="single" w:color="000000" w:sz="2" w:space="0"/>
            </w:tcBorders>
          </w:tcPr>
          <w:p>
            <w:pPr>
              <w:pStyle w:val="TableText"/>
              <w:ind w:left="84" w:right="49" w:hanging="39"/>
              <w:spacing w:before="72" w:line="209" w:lineRule="auto"/>
              <w:rPr>
                <w:sz w:val="12"/>
                <w:szCs w:val="12"/>
              </w:rPr>
            </w:pPr>
            <w:r>
              <w:rPr>
                <w:sz w:val="12"/>
                <w:szCs w:val="12"/>
                <w:spacing w:val="-1"/>
              </w:rPr>
              <w:t>直接使用。一般胸径8-10cm插</w:t>
            </w:r>
            <w:r>
              <w:rPr>
                <w:sz w:val="12"/>
                <w:szCs w:val="12"/>
                <w:spacing w:val="9"/>
              </w:rPr>
              <w:t xml:space="preserve"> </w:t>
            </w:r>
            <w:r>
              <w:rPr>
                <w:sz w:val="12"/>
                <w:szCs w:val="12"/>
                <w:spacing w:val="-1"/>
              </w:rPr>
              <w:t>短，胸径每增加10cn增加1瓶</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66"/>
              <w:spacing w:before="142" w:line="221" w:lineRule="auto"/>
              <w:rPr>
                <w:sz w:val="12"/>
                <w:szCs w:val="12"/>
              </w:rPr>
            </w:pPr>
            <w:r>
              <w:rPr>
                <w:sz w:val="12"/>
                <w:szCs w:val="12"/>
                <w:spacing w:val="3"/>
              </w:rPr>
              <w:t>(300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spacing w:before="141" w:line="219" w:lineRule="auto"/>
              <w:rPr>
                <w:sz w:val="12"/>
                <w:szCs w:val="12"/>
              </w:rPr>
            </w:pPr>
            <w:r>
              <w:rPr>
                <w:sz w:val="12"/>
                <w:szCs w:val="12"/>
                <w:spacing w:val="-1"/>
              </w:rPr>
              <w:t>大树直插瓶，大树古树复壮。</w:t>
            </w:r>
          </w:p>
        </w:tc>
      </w:tr>
      <w:tr>
        <w:trPr>
          <w:trHeight w:val="36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22" w:line="220" w:lineRule="auto"/>
              <w:rPr>
                <w:sz w:val="12"/>
                <w:szCs w:val="12"/>
              </w:rPr>
            </w:pPr>
            <w:r>
              <w:rPr>
                <w:sz w:val="12"/>
                <w:szCs w:val="12"/>
                <w:spacing w:val="1"/>
              </w:rPr>
              <w:t>中威激活液</w:t>
            </w:r>
          </w:p>
        </w:tc>
        <w:tc>
          <w:tcPr>
            <w:tcW w:w="1929" w:type="dxa"/>
            <w:vAlign w:val="top"/>
            <w:tcBorders>
              <w:bottom w:val="single" w:color="000000" w:sz="2" w:space="0"/>
              <w:top w:val="single" w:color="000000" w:sz="2" w:space="0"/>
            </w:tcBorders>
          </w:tcPr>
          <w:p>
            <w:pPr>
              <w:pStyle w:val="TableText"/>
              <w:ind w:left="474"/>
              <w:spacing w:before="120" w:line="216" w:lineRule="auto"/>
              <w:rPr>
                <w:sz w:val="12"/>
                <w:szCs w:val="12"/>
              </w:rPr>
            </w:pPr>
            <w:r>
              <w:rPr>
                <w:sz w:val="12"/>
                <w:szCs w:val="12"/>
                <w:spacing w:val="-1"/>
              </w:rPr>
              <w:t>6B-A,复硝酚钠10%</w:t>
            </w:r>
          </w:p>
        </w:tc>
        <w:tc>
          <w:tcPr>
            <w:tcW w:w="1659" w:type="dxa"/>
            <w:vAlign w:val="top"/>
            <w:tcBorders>
              <w:bottom w:val="single" w:color="000000" w:sz="2" w:space="0"/>
              <w:top w:val="single" w:color="000000" w:sz="2" w:space="0"/>
            </w:tcBorders>
          </w:tcPr>
          <w:p>
            <w:pPr>
              <w:pStyle w:val="TableText"/>
              <w:ind w:left="74" w:right="49" w:hanging="29"/>
              <w:spacing w:before="62" w:line="217" w:lineRule="auto"/>
              <w:rPr>
                <w:sz w:val="12"/>
                <w:szCs w:val="12"/>
              </w:rPr>
            </w:pPr>
            <w:r>
              <w:rPr>
                <w:sz w:val="12"/>
                <w:szCs w:val="12"/>
                <w:spacing w:val="-1"/>
              </w:rPr>
              <w:t>直按使用。一般胸径8-10cm插</w:t>
            </w:r>
            <w:r>
              <w:rPr>
                <w:sz w:val="12"/>
                <w:szCs w:val="12"/>
                <w:spacing w:val="9"/>
              </w:rPr>
              <w:t xml:space="preserve"> </w:t>
            </w:r>
            <w:r>
              <w:rPr>
                <w:sz w:val="12"/>
                <w:szCs w:val="12"/>
                <w:spacing w:val="-1"/>
              </w:rPr>
              <w:t>瓶，胸径每增加10en增加1瓶</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66"/>
              <w:spacing w:before="122" w:line="221" w:lineRule="auto"/>
              <w:rPr>
                <w:sz w:val="12"/>
                <w:szCs w:val="12"/>
              </w:rPr>
            </w:pPr>
            <w:r>
              <w:rPr>
                <w:sz w:val="12"/>
                <w:szCs w:val="12"/>
                <w:spacing w:val="3"/>
              </w:rPr>
              <w:t>(350</w:t>
            </w:r>
            <w:r>
              <w:rPr>
                <w:sz w:val="12"/>
                <w:szCs w:val="12"/>
              </w:rPr>
              <w:t>ml</w:t>
            </w:r>
            <w:r>
              <w:rPr>
                <w:sz w:val="12"/>
                <w:szCs w:val="12"/>
                <w:spacing w:val="3"/>
              </w:rPr>
              <w:t>/瓶)</w:t>
            </w:r>
          </w:p>
        </w:tc>
        <w:tc>
          <w:tcPr>
            <w:tcW w:w="2603" w:type="dxa"/>
            <w:vAlign w:val="top"/>
            <w:tcBorders>
              <w:bottom w:val="single" w:color="000000" w:sz="2" w:space="0"/>
              <w:top w:val="single" w:color="000000" w:sz="2" w:space="0"/>
            </w:tcBorders>
          </w:tcPr>
          <w:p>
            <w:pPr>
              <w:pStyle w:val="TableText"/>
              <w:ind w:left="17" w:right="59"/>
              <w:spacing w:before="61" w:line="219" w:lineRule="auto"/>
              <w:rPr>
                <w:sz w:val="12"/>
                <w:szCs w:val="12"/>
              </w:rPr>
            </w:pPr>
            <w:r>
              <w:rPr>
                <w:sz w:val="12"/>
                <w:szCs w:val="12"/>
                <w:spacing w:val="-1"/>
              </w:rPr>
              <w:t>补充水分养分，促进发芽，防止黄叶、姜蔫，生</w:t>
            </w:r>
            <w:r>
              <w:rPr>
                <w:sz w:val="12"/>
                <w:szCs w:val="12"/>
                <w:spacing w:val="15"/>
              </w:rPr>
              <w:t xml:space="preserve"> </w:t>
            </w:r>
            <w:r>
              <w:rPr>
                <w:sz w:val="12"/>
                <w:szCs w:val="12"/>
                <w:spacing w:val="-2"/>
              </w:rPr>
              <w:t>理性病害</w:t>
            </w:r>
          </w:p>
        </w:tc>
      </w:tr>
      <w:tr>
        <w:trPr>
          <w:trHeight w:val="35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32" w:line="218" w:lineRule="auto"/>
              <w:rPr>
                <w:sz w:val="12"/>
                <w:szCs w:val="12"/>
              </w:rPr>
            </w:pPr>
            <w:r>
              <w:rPr>
                <w:sz w:val="12"/>
                <w:szCs w:val="12"/>
                <w:spacing w:val="-1"/>
              </w:rPr>
              <w:t>有机复合肥</w:t>
            </w:r>
          </w:p>
        </w:tc>
        <w:tc>
          <w:tcPr>
            <w:tcW w:w="1929" w:type="dxa"/>
            <w:vAlign w:val="top"/>
            <w:tcBorders>
              <w:bottom w:val="single" w:color="000000" w:sz="2" w:space="0"/>
              <w:top w:val="single" w:color="000000" w:sz="2" w:space="0"/>
            </w:tcBorders>
          </w:tcPr>
          <w:p>
            <w:pPr>
              <w:pStyle w:val="TableText"/>
              <w:ind w:left="564"/>
              <w:spacing w:before="122" w:line="218" w:lineRule="auto"/>
              <w:rPr>
                <w:sz w:val="12"/>
                <w:szCs w:val="12"/>
              </w:rPr>
            </w:pPr>
            <w:r>
              <w:rPr>
                <w:sz w:val="12"/>
                <w:szCs w:val="12"/>
                <w:spacing w:val="-1"/>
              </w:rPr>
              <w:t>有机质含量45%</w:t>
            </w:r>
          </w:p>
        </w:tc>
        <w:tc>
          <w:tcPr>
            <w:tcW w:w="1659" w:type="dxa"/>
            <w:vAlign w:val="top"/>
            <w:tcBorders>
              <w:bottom w:val="single" w:color="000000" w:sz="2" w:space="0"/>
              <w:top w:val="single" w:color="000000" w:sz="2" w:space="0"/>
            </w:tcBorders>
          </w:tcPr>
          <w:p>
            <w:pPr>
              <w:pStyle w:val="TableText"/>
              <w:ind w:left="524"/>
              <w:spacing w:before="123" w:line="221" w:lineRule="auto"/>
              <w:rPr>
                <w:sz w:val="12"/>
                <w:szCs w:val="12"/>
              </w:rPr>
            </w:pPr>
            <w:r>
              <w:rPr>
                <w:sz w:val="12"/>
                <w:szCs w:val="12"/>
                <w:spacing w:val="-1"/>
              </w:rPr>
              <w:t>激施或穴施</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56"/>
              <w:spacing w:before="129" w:line="213" w:lineRule="auto"/>
              <w:rPr>
                <w:sz w:val="12"/>
                <w:szCs w:val="12"/>
              </w:rPr>
            </w:pPr>
            <w:r>
              <w:rPr>
                <w:sz w:val="12"/>
                <w:szCs w:val="12"/>
                <w:spacing w:val="-1"/>
              </w:rPr>
              <w:t>50kg/袋</w:t>
            </w:r>
          </w:p>
        </w:tc>
        <w:tc>
          <w:tcPr>
            <w:tcW w:w="2603" w:type="dxa"/>
            <w:vAlign w:val="top"/>
            <w:tcBorders>
              <w:bottom w:val="single" w:color="000000" w:sz="2" w:space="0"/>
              <w:top w:val="single" w:color="000000" w:sz="2" w:space="0"/>
            </w:tcBorders>
          </w:tcPr>
          <w:p>
            <w:pPr>
              <w:pStyle w:val="TableText"/>
              <w:ind w:left="17" w:right="3"/>
              <w:spacing w:before="62" w:line="204" w:lineRule="auto"/>
              <w:rPr>
                <w:sz w:val="12"/>
                <w:szCs w:val="12"/>
              </w:rPr>
            </w:pPr>
            <w:r>
              <w:rPr>
                <w:sz w:val="12"/>
                <w:szCs w:val="12"/>
                <w:spacing w:val="-1"/>
              </w:rPr>
              <w:t>改良土质，肥效期长，补充多种元素，1万平方米</w:t>
            </w:r>
            <w:r>
              <w:rPr>
                <w:sz w:val="12"/>
                <w:szCs w:val="12"/>
                <w:spacing w:val="12"/>
              </w:rPr>
              <w:t xml:space="preserve"> </w:t>
            </w:r>
            <w:r>
              <w:rPr>
                <w:sz w:val="12"/>
                <w:szCs w:val="12"/>
              </w:rPr>
              <w:t>年度约用量：00kg。</w:t>
            </w:r>
          </w:p>
        </w:tc>
      </w:tr>
      <w:tr>
        <w:trPr>
          <w:trHeight w:val="59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242" w:line="218" w:lineRule="auto"/>
              <w:rPr>
                <w:sz w:val="12"/>
                <w:szCs w:val="12"/>
              </w:rPr>
            </w:pPr>
            <w:r>
              <w:rPr>
                <w:sz w:val="12"/>
                <w:szCs w:val="12"/>
                <w:spacing w:val="1"/>
              </w:rPr>
              <w:t>国光棒肥</w:t>
            </w:r>
          </w:p>
        </w:tc>
        <w:tc>
          <w:tcPr>
            <w:tcW w:w="1929" w:type="dxa"/>
            <w:vAlign w:val="top"/>
            <w:tcBorders>
              <w:bottom w:val="single" w:color="000000" w:sz="2" w:space="0"/>
              <w:top w:val="single" w:color="000000" w:sz="2" w:space="0"/>
            </w:tcBorders>
          </w:tcPr>
          <w:p>
            <w:pPr>
              <w:pStyle w:val="TableText"/>
              <w:ind w:left="173"/>
              <w:spacing w:before="242" w:line="218" w:lineRule="auto"/>
              <w:rPr>
                <w:sz w:val="12"/>
                <w:szCs w:val="12"/>
              </w:rPr>
            </w:pPr>
            <w:r>
              <w:rPr>
                <w:sz w:val="12"/>
                <w:szCs w:val="12"/>
                <w:spacing w:val="-1"/>
              </w:rPr>
              <w:t>微肥、稀有元素，大量元素肥</w:t>
            </w:r>
          </w:p>
        </w:tc>
        <w:tc>
          <w:tcPr>
            <w:tcW w:w="1659" w:type="dxa"/>
            <w:vAlign w:val="top"/>
            <w:tcBorders>
              <w:bottom w:val="single" w:color="000000" w:sz="2" w:space="0"/>
              <w:top w:val="single" w:color="000000" w:sz="2" w:space="0"/>
            </w:tcBorders>
          </w:tcPr>
          <w:p>
            <w:pPr>
              <w:pStyle w:val="TableText"/>
              <w:ind w:left="45"/>
              <w:spacing w:before="43" w:line="200" w:lineRule="auto"/>
              <w:rPr>
                <w:sz w:val="12"/>
                <w:szCs w:val="12"/>
              </w:rPr>
            </w:pPr>
            <w:r>
              <w:rPr>
                <w:sz w:val="12"/>
                <w:szCs w:val="12"/>
                <w:spacing w:val="-1"/>
              </w:rPr>
              <w:t>直接使用，根据树的胸径进行</w:t>
            </w:r>
          </w:p>
          <w:p>
            <w:pPr>
              <w:pStyle w:val="TableText"/>
              <w:ind w:left="95"/>
              <w:spacing w:line="219" w:lineRule="auto"/>
              <w:rPr>
                <w:sz w:val="12"/>
                <w:szCs w:val="12"/>
              </w:rPr>
            </w:pPr>
            <w:r>
              <w:rPr>
                <w:sz w:val="12"/>
                <w:szCs w:val="12"/>
              </w:rPr>
              <w:t>调整：10cm一下的树1-2支，</w:t>
            </w:r>
          </w:p>
          <w:p>
            <w:pPr>
              <w:pStyle w:val="TableText"/>
              <w:spacing w:before="7" w:line="201" w:lineRule="auto"/>
              <w:jc w:val="right"/>
              <w:rPr>
                <w:sz w:val="12"/>
                <w:szCs w:val="12"/>
              </w:rPr>
            </w:pPr>
            <w:r>
              <w:rPr>
                <w:sz w:val="12"/>
                <w:szCs w:val="12"/>
                <w:spacing w:val="-4"/>
              </w:rPr>
              <w:t>10cm以上的树胸径每增加15cn则</w:t>
            </w:r>
          </w:p>
          <w:p>
            <w:pPr>
              <w:pStyle w:val="TableText"/>
              <w:ind w:left="635"/>
              <w:spacing w:line="201" w:lineRule="auto"/>
              <w:rPr>
                <w:sz w:val="12"/>
                <w:szCs w:val="12"/>
              </w:rPr>
            </w:pPr>
            <w:r>
              <w:rPr>
                <w:sz w:val="12"/>
                <w:szCs w:val="12"/>
                <w:spacing w:val="-1"/>
              </w:rPr>
              <w:t>增加1支</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36"/>
              <w:spacing w:before="243" w:line="220" w:lineRule="auto"/>
              <w:rPr>
                <w:sz w:val="12"/>
                <w:szCs w:val="12"/>
              </w:rPr>
            </w:pPr>
            <w:r>
              <w:rPr>
                <w:sz w:val="12"/>
                <w:szCs w:val="12"/>
                <w:spacing w:val="-1"/>
              </w:rPr>
              <w:t>3*15cn+40根</w:t>
            </w:r>
          </w:p>
        </w:tc>
        <w:tc>
          <w:tcPr>
            <w:tcW w:w="2603" w:type="dxa"/>
            <w:vAlign w:val="top"/>
            <w:tcBorders>
              <w:bottom w:val="single" w:color="000000" w:sz="2" w:space="0"/>
              <w:top w:val="single" w:color="000000" w:sz="2" w:space="0"/>
            </w:tcBorders>
          </w:tcPr>
          <w:p>
            <w:pPr>
              <w:pStyle w:val="TableText"/>
              <w:ind w:left="17" w:right="114"/>
              <w:spacing w:before="183" w:line="239" w:lineRule="auto"/>
              <w:rPr>
                <w:sz w:val="12"/>
                <w:szCs w:val="12"/>
              </w:rPr>
            </w:pPr>
            <w:r>
              <w:rPr>
                <w:sz w:val="12"/>
                <w:szCs w:val="12"/>
              </w:rPr>
              <w:t>古树，病树，弱树复壮1万平方米年度约用量： </w:t>
            </w:r>
            <w:r>
              <w:rPr>
                <w:sz w:val="12"/>
                <w:szCs w:val="12"/>
                <w:spacing w:val="-3"/>
              </w:rPr>
              <w:t>400kg。</w:t>
            </w:r>
          </w:p>
        </w:tc>
      </w:tr>
      <w:tr>
        <w:trPr>
          <w:trHeight w:val="305"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453"/>
              <w:spacing w:before="113" w:line="218" w:lineRule="auto"/>
              <w:rPr>
                <w:sz w:val="12"/>
                <w:szCs w:val="12"/>
              </w:rPr>
            </w:pPr>
            <w:r>
              <w:rPr>
                <w:sz w:val="12"/>
                <w:szCs w:val="12"/>
                <w:spacing w:val="-2"/>
              </w:rPr>
              <w:t>复合肥</w:t>
            </w:r>
          </w:p>
        </w:tc>
        <w:tc>
          <w:tcPr>
            <w:tcW w:w="1929" w:type="dxa"/>
            <w:vAlign w:val="top"/>
            <w:tcBorders>
              <w:bottom w:val="single" w:color="000000" w:sz="2" w:space="0"/>
              <w:top w:val="single" w:color="000000" w:sz="2" w:space="0"/>
            </w:tcBorders>
          </w:tcPr>
          <w:p>
            <w:pPr>
              <w:pStyle w:val="TableText"/>
              <w:ind w:left="654"/>
              <w:spacing w:before="93" w:line="218" w:lineRule="auto"/>
              <w:rPr>
                <w:sz w:val="12"/>
                <w:szCs w:val="12"/>
              </w:rPr>
            </w:pPr>
            <w:r>
              <w:rPr>
                <w:sz w:val="12"/>
                <w:szCs w:val="12"/>
                <w:spacing w:val="-1"/>
              </w:rPr>
              <w:t>大量元素肥</w:t>
            </w:r>
          </w:p>
        </w:tc>
        <w:tc>
          <w:tcPr>
            <w:tcW w:w="1659" w:type="dxa"/>
            <w:vAlign w:val="top"/>
            <w:tcBorders>
              <w:bottom w:val="single" w:color="000000" w:sz="2" w:space="0"/>
              <w:top w:val="single" w:color="000000" w:sz="2" w:space="0"/>
            </w:tcBorders>
          </w:tcPr>
          <w:p>
            <w:pPr>
              <w:pStyle w:val="TableText"/>
              <w:ind w:left="584"/>
              <w:spacing w:before="113" w:line="219" w:lineRule="auto"/>
              <w:rPr>
                <w:sz w:val="12"/>
                <w:szCs w:val="12"/>
              </w:rPr>
            </w:pPr>
            <w:r>
              <w:rPr>
                <w:sz w:val="12"/>
                <w:szCs w:val="12"/>
                <w:spacing w:val="3"/>
              </w:rPr>
              <w:t>直接使用</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156"/>
              <w:spacing w:before="110" w:line="213" w:lineRule="auto"/>
              <w:rPr>
                <w:sz w:val="12"/>
                <w:szCs w:val="12"/>
              </w:rPr>
            </w:pPr>
            <w:r>
              <w:rPr>
                <w:sz w:val="12"/>
                <w:szCs w:val="12"/>
                <w:spacing w:val="-1"/>
              </w:rPr>
              <w:t>50kg/袋</w:t>
            </w:r>
          </w:p>
        </w:tc>
        <w:tc>
          <w:tcPr>
            <w:tcW w:w="2603" w:type="dxa"/>
            <w:vAlign w:val="top"/>
            <w:tcBorders>
              <w:bottom w:val="single" w:color="000000" w:sz="2" w:space="0"/>
              <w:top w:val="single" w:color="000000" w:sz="2" w:space="0"/>
            </w:tcBorders>
          </w:tcPr>
          <w:p>
            <w:pPr>
              <w:pStyle w:val="TableText"/>
              <w:ind w:left="17" w:right="114"/>
              <w:spacing w:before="13" w:line="204" w:lineRule="auto"/>
              <w:rPr>
                <w:sz w:val="12"/>
                <w:szCs w:val="12"/>
              </w:rPr>
            </w:pPr>
            <w:r>
              <w:rPr>
                <w:sz w:val="12"/>
                <w:szCs w:val="12"/>
              </w:rPr>
              <w:t>古树，病树，弱树复壮1万平方米年度约用量： </w:t>
            </w:r>
            <w:r>
              <w:rPr>
                <w:sz w:val="12"/>
                <w:szCs w:val="12"/>
                <w:spacing w:val="-2"/>
              </w:rPr>
              <w:t>300kg.</w:t>
            </w:r>
          </w:p>
        </w:tc>
      </w:tr>
      <w:tr>
        <w:trPr>
          <w:trHeight w:val="38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73"/>
              <w:spacing w:before="163" w:line="219" w:lineRule="auto"/>
              <w:rPr>
                <w:sz w:val="12"/>
                <w:szCs w:val="12"/>
              </w:rPr>
            </w:pPr>
            <w:r>
              <w:rPr>
                <w:sz w:val="12"/>
                <w:szCs w:val="12"/>
              </w:rPr>
              <w:t>国光氨基酸坪</w:t>
            </w:r>
          </w:p>
        </w:tc>
        <w:tc>
          <w:tcPr>
            <w:tcW w:w="1929" w:type="dxa"/>
            <w:vAlign w:val="top"/>
            <w:tcBorders>
              <w:bottom w:val="single" w:color="000000" w:sz="2" w:space="0"/>
              <w:top w:val="single" w:color="000000" w:sz="2" w:space="0"/>
            </w:tcBorders>
          </w:tcPr>
          <w:p>
            <w:pPr>
              <w:pStyle w:val="TableText"/>
              <w:ind w:left="504"/>
              <w:spacing w:before="163" w:line="219" w:lineRule="auto"/>
              <w:rPr>
                <w:sz w:val="12"/>
                <w:szCs w:val="12"/>
              </w:rPr>
            </w:pPr>
            <w:r>
              <w:rPr>
                <w:sz w:val="12"/>
                <w:szCs w:val="12"/>
                <w:spacing w:val="-2"/>
              </w:rPr>
              <w:t>12%氨基酸整合师</w:t>
            </w:r>
          </w:p>
        </w:tc>
        <w:tc>
          <w:tcPr>
            <w:tcW w:w="1659" w:type="dxa"/>
            <w:vAlign w:val="top"/>
            <w:tcBorders>
              <w:bottom w:val="single" w:color="000000" w:sz="2" w:space="0"/>
              <w:top w:val="single" w:color="000000" w:sz="2" w:space="0"/>
            </w:tcBorders>
          </w:tcPr>
          <w:p>
            <w:pPr>
              <w:pStyle w:val="TableText"/>
              <w:ind w:left="375"/>
              <w:spacing w:before="163" w:line="219" w:lineRule="auto"/>
              <w:rPr>
                <w:sz w:val="12"/>
                <w:szCs w:val="12"/>
              </w:rPr>
            </w:pPr>
            <w:r>
              <w:rPr>
                <w:sz w:val="12"/>
                <w:szCs w:val="12"/>
                <w:spacing w:val="-1"/>
              </w:rPr>
              <w:t>稀释600-800倍液</w:t>
            </w:r>
          </w:p>
        </w:tc>
        <w:tc>
          <w:tcPr>
            <w:tcW w:w="1049" w:type="dxa"/>
            <w:vAlign w:val="top"/>
            <w:vMerge w:val="restart"/>
            <w:tcBorders>
              <w:bottom w:val="nil"/>
              <w:top w:val="single" w:color="000000" w:sz="2" w:space="0"/>
            </w:tcBorders>
          </w:tcPr>
          <w:p>
            <w:pPr>
              <w:spacing w:line="292" w:lineRule="auto"/>
              <w:rPr>
                <w:rFonts w:ascii="Arial"/>
                <w:sz w:val="21"/>
              </w:rPr>
            </w:pPr>
            <w:r/>
          </w:p>
          <w:p>
            <w:pPr>
              <w:pStyle w:val="TableText"/>
              <w:ind w:left="246"/>
              <w:spacing w:before="39" w:line="219" w:lineRule="auto"/>
              <w:rPr>
                <w:sz w:val="12"/>
                <w:szCs w:val="12"/>
              </w:rPr>
            </w:pPr>
            <w:r>
              <w:rPr>
                <w:sz w:val="12"/>
                <w:szCs w:val="12"/>
                <w:spacing w:val="-2"/>
              </w:rPr>
              <w:t>一般用1次</w:t>
            </w:r>
          </w:p>
        </w:tc>
        <w:tc>
          <w:tcPr>
            <w:tcW w:w="749" w:type="dxa"/>
            <w:vAlign w:val="top"/>
            <w:tcBorders>
              <w:bottom w:val="single" w:color="000000" w:sz="2" w:space="0"/>
              <w:top w:val="single" w:color="000000" w:sz="2" w:space="0"/>
            </w:tcBorders>
          </w:tcPr>
          <w:p>
            <w:pPr>
              <w:pStyle w:val="TableText"/>
              <w:ind w:left="156"/>
              <w:spacing w:before="149" w:line="213" w:lineRule="auto"/>
              <w:rPr>
                <w:sz w:val="12"/>
                <w:szCs w:val="12"/>
              </w:rPr>
            </w:pPr>
            <w:r>
              <w:rPr>
                <w:sz w:val="12"/>
                <w:szCs w:val="12"/>
                <w:spacing w:val="-1"/>
              </w:rPr>
              <w:t>500g/瓶</w:t>
            </w:r>
          </w:p>
        </w:tc>
        <w:tc>
          <w:tcPr>
            <w:tcW w:w="2603" w:type="dxa"/>
            <w:vAlign w:val="top"/>
            <w:tcBorders>
              <w:bottom w:val="single" w:color="000000" w:sz="2" w:space="0"/>
              <w:top w:val="single" w:color="000000" w:sz="2" w:space="0"/>
            </w:tcBorders>
          </w:tcPr>
          <w:p>
            <w:pPr>
              <w:pStyle w:val="TableText"/>
              <w:ind w:left="17" w:right="7"/>
              <w:spacing w:before="73" w:line="224" w:lineRule="auto"/>
              <w:rPr>
                <w:sz w:val="12"/>
                <w:szCs w:val="12"/>
              </w:rPr>
            </w:pPr>
            <w:r>
              <w:rPr>
                <w:sz w:val="12"/>
                <w:szCs w:val="12"/>
                <w:spacing w:val="-1"/>
              </w:rPr>
              <w:t>防治因缺钾引起的植株瘦弱，生长不良，1万平方</w:t>
            </w:r>
            <w:r>
              <w:rPr>
                <w:sz w:val="12"/>
                <w:szCs w:val="12"/>
                <w:spacing w:val="8"/>
              </w:rPr>
              <w:t xml:space="preserve"> </w:t>
            </w:r>
            <w:r>
              <w:rPr>
                <w:sz w:val="12"/>
                <w:szCs w:val="12"/>
              </w:rPr>
              <w:t>米年度约用量：5kg。</w:t>
            </w:r>
          </w:p>
        </w:tc>
      </w:tr>
      <w:tr>
        <w:trPr>
          <w:trHeight w:val="394"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213"/>
              <w:spacing w:before="143" w:line="218" w:lineRule="auto"/>
              <w:rPr>
                <w:sz w:val="12"/>
                <w:szCs w:val="12"/>
              </w:rPr>
            </w:pPr>
            <w:r>
              <w:rPr>
                <w:sz w:val="12"/>
                <w:szCs w:val="12"/>
                <w:spacing w:val="-1"/>
              </w:rPr>
              <w:t>高效磷钾复合肥</w:t>
            </w:r>
          </w:p>
        </w:tc>
        <w:tc>
          <w:tcPr>
            <w:tcW w:w="1929" w:type="dxa"/>
            <w:vAlign w:val="top"/>
            <w:tcBorders>
              <w:bottom w:val="single" w:color="000000" w:sz="2" w:space="0"/>
              <w:top w:val="single" w:color="000000" w:sz="2" w:space="0"/>
            </w:tcBorders>
          </w:tcPr>
          <w:p>
            <w:pPr>
              <w:pStyle w:val="TableText"/>
              <w:ind w:left="654"/>
              <w:spacing w:before="143" w:line="219" w:lineRule="auto"/>
              <w:rPr>
                <w:sz w:val="12"/>
                <w:szCs w:val="12"/>
              </w:rPr>
            </w:pPr>
            <w:r>
              <w:rPr>
                <w:sz w:val="12"/>
                <w:szCs w:val="12"/>
                <w:spacing w:val="-1"/>
              </w:rPr>
              <w:t>磷酸二氢师</w:t>
            </w:r>
          </w:p>
        </w:tc>
        <w:tc>
          <w:tcPr>
            <w:tcW w:w="1659" w:type="dxa"/>
            <w:vAlign w:val="top"/>
            <w:tcBorders>
              <w:bottom w:val="single" w:color="000000" w:sz="2" w:space="0"/>
              <w:top w:val="single" w:color="000000" w:sz="2" w:space="0"/>
            </w:tcBorders>
          </w:tcPr>
          <w:p>
            <w:pPr>
              <w:pStyle w:val="TableText"/>
              <w:ind w:left="165"/>
              <w:spacing w:before="143" w:line="219" w:lineRule="auto"/>
              <w:rPr>
                <w:sz w:val="12"/>
                <w:szCs w:val="12"/>
              </w:rPr>
            </w:pPr>
            <w:r>
              <w:rPr>
                <w:sz w:val="12"/>
                <w:szCs w:val="12"/>
                <w:spacing w:val="-1"/>
              </w:rPr>
              <w:t>直接穴施成0.2v叶面唤施</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140" w:line="213" w:lineRule="auto"/>
              <w:rPr>
                <w:sz w:val="12"/>
                <w:szCs w:val="12"/>
              </w:rPr>
            </w:pPr>
            <w:r>
              <w:rPr>
                <w:sz w:val="12"/>
                <w:szCs w:val="12"/>
                <w:spacing w:val="4"/>
              </w:rPr>
              <w:t>(25</w:t>
            </w:r>
            <w:r>
              <w:rPr>
                <w:sz w:val="12"/>
                <w:szCs w:val="12"/>
              </w:rPr>
              <w:t>kg</w:t>
            </w:r>
            <w:r>
              <w:rPr>
                <w:sz w:val="12"/>
                <w:szCs w:val="12"/>
                <w:spacing w:val="4"/>
              </w:rPr>
              <w:t>/袋)</w:t>
            </w:r>
          </w:p>
        </w:tc>
        <w:tc>
          <w:tcPr>
            <w:tcW w:w="2603" w:type="dxa"/>
            <w:vAlign w:val="top"/>
            <w:tcBorders>
              <w:bottom w:val="single" w:color="000000" w:sz="2" w:space="0"/>
              <w:top w:val="single" w:color="000000" w:sz="2" w:space="0"/>
            </w:tcBorders>
          </w:tcPr>
          <w:p>
            <w:pPr>
              <w:pStyle w:val="TableText"/>
              <w:ind w:left="17"/>
              <w:spacing w:before="73" w:line="224" w:lineRule="auto"/>
              <w:rPr>
                <w:sz w:val="12"/>
                <w:szCs w:val="12"/>
              </w:rPr>
            </w:pPr>
            <w:r>
              <w:rPr>
                <w:sz w:val="12"/>
                <w:szCs w:val="12"/>
                <w:spacing w:val="-1"/>
              </w:rPr>
              <w:t>提高树木木质化程度，有利树木安全越冬，1万平</w:t>
            </w:r>
            <w:r>
              <w:rPr>
                <w:sz w:val="12"/>
                <w:szCs w:val="12"/>
                <w:spacing w:val="15"/>
                <w:w w:val="101"/>
              </w:rPr>
              <w:t xml:space="preserve"> </w:t>
            </w:r>
            <w:r>
              <w:rPr>
                <w:sz w:val="12"/>
                <w:szCs w:val="12"/>
              </w:rPr>
              <w:t>方米年度约用量：100kg。</w:t>
            </w:r>
          </w:p>
        </w:tc>
      </w:tr>
      <w:tr>
        <w:trPr>
          <w:trHeight w:val="305" w:hRule="atLeast"/>
        </w:trPr>
        <w:tc>
          <w:tcPr>
            <w:tcW w:w="415" w:type="dxa"/>
            <w:vAlign w:val="top"/>
            <w:vMerge w:val="continue"/>
            <w:tcBorders>
              <w:bottom w:val="nil"/>
              <w:top w:val="nil"/>
            </w:tcBorders>
          </w:tcPr>
          <w:p>
            <w:pPr>
              <w:rPr>
                <w:rFonts w:ascii="Arial"/>
                <w:sz w:val="21"/>
              </w:rPr>
            </w:pPr>
            <w:r/>
          </w:p>
        </w:tc>
        <w:tc>
          <w:tcPr>
            <w:tcW w:w="650" w:type="dxa"/>
            <w:vAlign w:val="top"/>
            <w:vMerge w:val="restart"/>
            <w:tcBorders>
              <w:bottom w:val="nil"/>
              <w:top w:val="single" w:color="000000" w:sz="2" w:space="0"/>
            </w:tcBorders>
          </w:tcPr>
          <w:p>
            <w:pPr>
              <w:spacing w:line="253" w:lineRule="auto"/>
              <w:rPr>
                <w:rFonts w:ascii="Arial"/>
                <w:sz w:val="21"/>
              </w:rPr>
            </w:pPr>
            <w:r/>
          </w:p>
          <w:p>
            <w:pPr>
              <w:pStyle w:val="TableText"/>
              <w:ind w:left="140"/>
              <w:spacing w:before="39" w:line="219" w:lineRule="auto"/>
              <w:rPr>
                <w:sz w:val="12"/>
                <w:szCs w:val="12"/>
              </w:rPr>
            </w:pPr>
            <w:r>
              <w:rPr>
                <w:sz w:val="12"/>
                <w:szCs w:val="12"/>
                <w:spacing w:val="-2"/>
              </w:rPr>
              <w:t>草皮覆绿</w:t>
            </w:r>
          </w:p>
        </w:tc>
        <w:tc>
          <w:tcPr>
            <w:tcW w:w="959" w:type="dxa"/>
            <w:vAlign w:val="top"/>
            <w:vMerge w:val="restart"/>
            <w:tcBorders>
              <w:bottom w:val="nil"/>
              <w:top w:val="single" w:color="000000" w:sz="2" w:space="0"/>
            </w:tcBorders>
          </w:tcPr>
          <w:p>
            <w:pPr>
              <w:pStyle w:val="TableText"/>
              <w:ind w:left="50"/>
              <w:spacing w:before="234" w:line="218" w:lineRule="auto"/>
              <w:rPr>
                <w:sz w:val="12"/>
                <w:szCs w:val="12"/>
              </w:rPr>
            </w:pPr>
            <w:r>
              <w:rPr>
                <w:sz w:val="12"/>
                <w:szCs w:val="12"/>
                <w:spacing w:val="-1"/>
              </w:rPr>
              <w:t>草坪发芽及长势</w:t>
            </w:r>
          </w:p>
          <w:p>
            <w:pPr>
              <w:pStyle w:val="TableText"/>
              <w:ind w:left="350"/>
              <w:spacing w:line="222" w:lineRule="auto"/>
              <w:rPr>
                <w:sz w:val="12"/>
                <w:szCs w:val="12"/>
              </w:rPr>
            </w:pPr>
            <w:r>
              <w:rPr>
                <w:sz w:val="12"/>
                <w:szCs w:val="12"/>
                <w:spacing w:val="-2"/>
              </w:rPr>
              <w:t>不良</w:t>
            </w:r>
          </w:p>
        </w:tc>
        <w:tc>
          <w:tcPr>
            <w:tcW w:w="2748" w:type="dxa"/>
            <w:vAlign w:val="top"/>
            <w:vMerge w:val="restart"/>
            <w:tcBorders>
              <w:bottom w:val="nil"/>
              <w:top w:val="single" w:color="000000" w:sz="2" w:space="0"/>
            </w:tcBorders>
          </w:tcPr>
          <w:p>
            <w:pPr>
              <w:pStyle w:val="TableText"/>
              <w:ind w:left="1" w:right="36"/>
              <w:spacing w:before="14" w:line="226" w:lineRule="auto"/>
              <w:rPr>
                <w:sz w:val="12"/>
                <w:szCs w:val="12"/>
              </w:rPr>
            </w:pPr>
            <w:r>
              <w:rPr>
                <w:sz w:val="12"/>
                <w:szCs w:val="12"/>
              </w:rPr>
              <w:t>一、主要集中在5月中，气温上升，空气程度增加， </w:t>
            </w:r>
            <w:r>
              <w:rPr>
                <w:sz w:val="12"/>
                <w:szCs w:val="12"/>
              </w:rPr>
              <w:t>苗木结束休眠期开始返青，是草皮施肥复绿最佳时</w:t>
            </w:r>
            <w:r>
              <w:rPr>
                <w:sz w:val="12"/>
                <w:szCs w:val="12"/>
                <w:spacing w:val="1"/>
              </w:rPr>
              <w:t xml:space="preserve">  </w:t>
            </w:r>
            <w:r>
              <w:rPr>
                <w:sz w:val="12"/>
                <w:szCs w:val="12"/>
                <w:spacing w:val="-1"/>
              </w:rPr>
              <w:t>机。</w:t>
            </w:r>
          </w:p>
          <w:p>
            <w:pPr>
              <w:pStyle w:val="TableText"/>
              <w:ind w:left="1"/>
              <w:spacing w:before="18" w:line="218" w:lineRule="auto"/>
              <w:rPr>
                <w:sz w:val="12"/>
                <w:szCs w:val="12"/>
              </w:rPr>
            </w:pPr>
            <w:r>
              <w:rPr>
                <w:sz w:val="12"/>
                <w:szCs w:val="12"/>
                <w:spacing w:val="2"/>
              </w:rPr>
              <w:t>二，4-11月，根据现场情况每月施肥一次。.</w:t>
            </w:r>
          </w:p>
        </w:tc>
        <w:tc>
          <w:tcPr>
            <w:tcW w:w="1289" w:type="dxa"/>
            <w:vAlign w:val="top"/>
            <w:tcBorders>
              <w:bottom w:val="single" w:color="000000" w:sz="2" w:space="0"/>
              <w:top w:val="single" w:color="000000" w:sz="2" w:space="0"/>
            </w:tcBorders>
          </w:tcPr>
          <w:p>
            <w:pPr>
              <w:pStyle w:val="TableText"/>
              <w:ind w:left="82" w:right="80" w:hanging="19"/>
              <w:spacing w:before="14" w:line="209" w:lineRule="auto"/>
              <w:rPr>
                <w:sz w:val="12"/>
                <w:szCs w:val="12"/>
              </w:rPr>
            </w:pPr>
            <w:r>
              <w:rPr>
                <w:sz w:val="12"/>
                <w:szCs w:val="12"/>
                <w:spacing w:val="-1"/>
              </w:rPr>
              <w:t>尿素(须配合其他元素</w:t>
            </w:r>
            <w:r>
              <w:rPr>
                <w:sz w:val="12"/>
                <w:szCs w:val="12"/>
                <w:spacing w:val="4"/>
              </w:rPr>
              <w:t xml:space="preserve"> </w:t>
            </w:r>
            <w:r>
              <w:rPr>
                <w:sz w:val="12"/>
                <w:szCs w:val="12"/>
                <w:spacing w:val="2"/>
              </w:rPr>
              <w:t>一般较少单独使用)</w:t>
            </w:r>
          </w:p>
        </w:tc>
        <w:tc>
          <w:tcPr>
            <w:tcW w:w="1929" w:type="dxa"/>
            <w:vAlign w:val="top"/>
            <w:tcBorders>
              <w:bottom w:val="single" w:color="000000" w:sz="2" w:space="0"/>
              <w:top w:val="single" w:color="000000" w:sz="2" w:space="0"/>
            </w:tcBorders>
          </w:tcPr>
          <w:p>
            <w:pPr>
              <w:pStyle w:val="TableText"/>
              <w:ind w:left="474"/>
              <w:spacing w:before="92" w:line="216" w:lineRule="auto"/>
              <w:rPr>
                <w:sz w:val="12"/>
                <w:szCs w:val="12"/>
              </w:rPr>
            </w:pPr>
            <w:r>
              <w:rPr>
                <w:sz w:val="12"/>
                <w:szCs w:val="12"/>
                <w:spacing w:val="-1"/>
              </w:rPr>
              <w:t>CD(SH2)2,含氮46%</w:t>
            </w:r>
          </w:p>
        </w:tc>
        <w:tc>
          <w:tcPr>
            <w:tcW w:w="1659" w:type="dxa"/>
            <w:vAlign w:val="top"/>
            <w:tcBorders>
              <w:bottom w:val="single" w:color="000000" w:sz="2" w:space="0"/>
              <w:top w:val="single" w:color="000000" w:sz="2" w:space="0"/>
            </w:tcBorders>
          </w:tcPr>
          <w:p>
            <w:pPr>
              <w:pStyle w:val="TableText"/>
              <w:ind w:left="225"/>
              <w:spacing w:before="110" w:line="213" w:lineRule="auto"/>
              <w:rPr>
                <w:sz w:val="12"/>
                <w:szCs w:val="12"/>
              </w:rPr>
            </w:pPr>
            <w:r>
              <w:rPr>
                <w:sz w:val="12"/>
                <w:szCs w:val="12"/>
                <w:spacing w:val="-1"/>
              </w:rPr>
              <w:t>直接撤施；20-25kg/亩</w:t>
            </w:r>
          </w:p>
        </w:tc>
        <w:tc>
          <w:tcPr>
            <w:tcW w:w="1049" w:type="dxa"/>
            <w:vAlign w:val="top"/>
            <w:vMerge w:val="restart"/>
            <w:tcBorders>
              <w:bottom w:val="nil"/>
              <w:top w:val="single" w:color="000000" w:sz="2" w:space="0"/>
            </w:tcBorders>
          </w:tcPr>
          <w:p>
            <w:pPr>
              <w:spacing w:line="253" w:lineRule="auto"/>
              <w:rPr>
                <w:rFonts w:ascii="Arial"/>
                <w:sz w:val="21"/>
              </w:rPr>
            </w:pPr>
            <w:r/>
          </w:p>
          <w:p>
            <w:pPr>
              <w:pStyle w:val="TableText"/>
              <w:ind w:left="96"/>
              <w:spacing w:before="39" w:line="219" w:lineRule="auto"/>
              <w:rPr>
                <w:sz w:val="12"/>
                <w:szCs w:val="12"/>
              </w:rPr>
            </w:pPr>
            <w:r>
              <w:rPr>
                <w:sz w:val="12"/>
                <w:szCs w:val="12"/>
                <w:spacing w:val="-1"/>
              </w:rPr>
              <w:t>视草坪生长情况</w:t>
            </w:r>
          </w:p>
        </w:tc>
        <w:tc>
          <w:tcPr>
            <w:tcW w:w="749" w:type="dxa"/>
            <w:vAlign w:val="top"/>
            <w:tcBorders>
              <w:bottom w:val="single" w:color="000000" w:sz="2" w:space="0"/>
              <w:top w:val="single" w:color="000000" w:sz="2" w:space="0"/>
            </w:tcBorders>
          </w:tcPr>
          <w:p>
            <w:pPr>
              <w:pStyle w:val="TableText"/>
              <w:ind w:left="96"/>
              <w:spacing w:before="110" w:line="213" w:lineRule="auto"/>
              <w:rPr>
                <w:sz w:val="12"/>
                <w:szCs w:val="12"/>
              </w:rPr>
            </w:pPr>
            <w:r>
              <w:rPr>
                <w:sz w:val="12"/>
                <w:szCs w:val="12"/>
                <w:spacing w:val="5"/>
              </w:rPr>
              <w:t>(4</w:t>
            </w:r>
            <w:r>
              <w:rPr>
                <w:sz w:val="12"/>
                <w:szCs w:val="12"/>
              </w:rPr>
              <w:t>Ckg</w:t>
            </w:r>
            <w:r>
              <w:rPr>
                <w:sz w:val="12"/>
                <w:szCs w:val="12"/>
                <w:spacing w:val="5"/>
              </w:rPr>
              <w:t>/袋)</w:t>
            </w:r>
          </w:p>
        </w:tc>
        <w:tc>
          <w:tcPr>
            <w:tcW w:w="2603" w:type="dxa"/>
            <w:vAlign w:val="top"/>
            <w:tcBorders>
              <w:bottom w:val="single" w:color="000000" w:sz="2" w:space="0"/>
              <w:top w:val="single" w:color="000000" w:sz="2" w:space="0"/>
            </w:tcBorders>
          </w:tcPr>
          <w:p>
            <w:pPr>
              <w:pStyle w:val="TableText"/>
              <w:ind w:left="17" w:right="114"/>
              <w:spacing w:before="13" w:line="204" w:lineRule="auto"/>
              <w:rPr>
                <w:sz w:val="12"/>
                <w:szCs w:val="12"/>
              </w:rPr>
            </w:pPr>
            <w:r>
              <w:rPr>
                <w:sz w:val="12"/>
                <w:szCs w:val="12"/>
              </w:rPr>
              <w:t>促进草坪生长，增绿。1万平方米年度约用量： </w:t>
            </w:r>
            <w:r>
              <w:rPr>
                <w:sz w:val="12"/>
                <w:szCs w:val="12"/>
                <w:spacing w:val="-3"/>
              </w:rPr>
              <w:t>500kg。</w:t>
            </w:r>
          </w:p>
        </w:tc>
      </w:tr>
      <w:tr>
        <w:trPr>
          <w:trHeight w:val="394" w:hRule="atLeast"/>
        </w:trPr>
        <w:tc>
          <w:tcPr>
            <w:tcW w:w="415" w:type="dxa"/>
            <w:vAlign w:val="top"/>
            <w:vMerge w:val="continue"/>
            <w:tcBorders>
              <w:bottom w:val="single" w:color="000000" w:sz="2" w:space="0"/>
              <w:top w:val="nil"/>
            </w:tcBorders>
          </w:tcPr>
          <w:p>
            <w:pPr>
              <w:rPr>
                <w:rFonts w:ascii="Arial"/>
                <w:sz w:val="21"/>
              </w:rPr>
            </w:pPr>
            <w:r/>
          </w:p>
        </w:tc>
        <w:tc>
          <w:tcPr>
            <w:tcW w:w="65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63" w:line="219" w:lineRule="auto"/>
              <w:rPr>
                <w:sz w:val="12"/>
                <w:szCs w:val="12"/>
              </w:rPr>
            </w:pPr>
            <w:r>
              <w:rPr>
                <w:sz w:val="12"/>
                <w:szCs w:val="12"/>
                <w:spacing w:val="1"/>
              </w:rPr>
              <w:t>中威壮美</w:t>
            </w:r>
          </w:p>
        </w:tc>
        <w:tc>
          <w:tcPr>
            <w:tcW w:w="1929" w:type="dxa"/>
            <w:vAlign w:val="top"/>
            <w:tcBorders>
              <w:bottom w:val="single" w:color="000000" w:sz="2" w:space="0"/>
              <w:top w:val="single" w:color="000000" w:sz="2" w:space="0"/>
            </w:tcBorders>
          </w:tcPr>
          <w:p>
            <w:pPr>
              <w:pStyle w:val="TableText"/>
              <w:ind w:left="624"/>
              <w:spacing w:before="163" w:line="218" w:lineRule="auto"/>
              <w:rPr>
                <w:sz w:val="12"/>
                <w:szCs w:val="12"/>
              </w:rPr>
            </w:pPr>
            <w:r>
              <w:rPr>
                <w:sz w:val="12"/>
                <w:szCs w:val="12"/>
                <w:spacing w:val="-1"/>
              </w:rPr>
              <w:t>有机质≥60%</w:t>
            </w:r>
          </w:p>
        </w:tc>
        <w:tc>
          <w:tcPr>
            <w:tcW w:w="1659" w:type="dxa"/>
            <w:vAlign w:val="top"/>
            <w:tcBorders>
              <w:bottom w:val="single" w:color="000000" w:sz="2" w:space="0"/>
              <w:top w:val="single" w:color="000000" w:sz="2" w:space="0"/>
            </w:tcBorders>
          </w:tcPr>
          <w:p>
            <w:pPr>
              <w:pStyle w:val="TableText"/>
              <w:ind w:left="225"/>
              <w:spacing w:before="160" w:line="213" w:lineRule="auto"/>
              <w:rPr>
                <w:sz w:val="12"/>
                <w:szCs w:val="12"/>
              </w:rPr>
            </w:pPr>
            <w:r>
              <w:rPr>
                <w:sz w:val="12"/>
                <w:szCs w:val="12"/>
                <w:spacing w:val="-1"/>
              </w:rPr>
              <w:t>直接撤施：20-25kg/亩</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160" w:line="213" w:lineRule="auto"/>
              <w:rPr>
                <w:sz w:val="12"/>
                <w:szCs w:val="12"/>
              </w:rPr>
            </w:pPr>
            <w:r>
              <w:rPr>
                <w:sz w:val="12"/>
                <w:szCs w:val="12"/>
                <w:spacing w:val="4"/>
              </w:rPr>
              <w:t>(25</w:t>
            </w:r>
            <w:r>
              <w:rPr>
                <w:sz w:val="12"/>
                <w:szCs w:val="12"/>
              </w:rPr>
              <w:t>kg</w:t>
            </w:r>
            <w:r>
              <w:rPr>
                <w:sz w:val="12"/>
                <w:szCs w:val="12"/>
                <w:spacing w:val="4"/>
              </w:rPr>
              <w:t>/袋)</w:t>
            </w:r>
          </w:p>
        </w:tc>
        <w:tc>
          <w:tcPr>
            <w:tcW w:w="2603" w:type="dxa"/>
            <w:vAlign w:val="top"/>
            <w:tcBorders>
              <w:bottom w:val="single" w:color="000000" w:sz="2" w:space="0"/>
              <w:top w:val="single" w:color="000000" w:sz="2" w:space="0"/>
            </w:tcBorders>
          </w:tcPr>
          <w:p>
            <w:pPr>
              <w:pStyle w:val="TableText"/>
              <w:ind w:left="17"/>
              <w:spacing w:before="73" w:line="239" w:lineRule="auto"/>
              <w:rPr>
                <w:sz w:val="12"/>
                <w:szCs w:val="12"/>
              </w:rPr>
            </w:pPr>
            <w:r>
              <w:rPr>
                <w:sz w:val="12"/>
                <w:szCs w:val="12"/>
                <w:spacing w:val="-1"/>
              </w:rPr>
              <w:t>促进草坪快速生根。全面营养，使用安全方便，1</w:t>
            </w:r>
            <w:r>
              <w:rPr>
                <w:sz w:val="12"/>
                <w:szCs w:val="12"/>
                <w:spacing w:val="15"/>
                <w:w w:val="101"/>
              </w:rPr>
              <w:t xml:space="preserve"> </w:t>
            </w:r>
            <w:r>
              <w:rPr>
                <w:sz w:val="12"/>
                <w:szCs w:val="12"/>
                <w:spacing w:val="-1"/>
              </w:rPr>
              <w:t>万平方米年度约用量：250kg。</w:t>
            </w:r>
          </w:p>
        </w:tc>
      </w:tr>
      <w:tr>
        <w:trPr>
          <w:trHeight w:val="334" w:hRule="atLeast"/>
        </w:trPr>
        <w:tc>
          <w:tcPr>
            <w:tcW w:w="415" w:type="dxa"/>
            <w:vAlign w:val="top"/>
            <w:vMerge w:val="restart"/>
            <w:tcBorders>
              <w:bottom w:val="nil"/>
              <w:top w:val="single" w:color="000000" w:sz="2" w:space="0"/>
            </w:tcBorders>
          </w:tcPr>
          <w:p>
            <w:pPr>
              <w:spacing w:line="402" w:lineRule="auto"/>
              <w:rPr>
                <w:rFonts w:ascii="Arial"/>
                <w:sz w:val="21"/>
              </w:rPr>
            </w:pPr>
            <w:r/>
          </w:p>
          <w:p>
            <w:pPr>
              <w:pStyle w:val="TableText"/>
              <w:ind w:left="74"/>
              <w:spacing w:before="39" w:line="220" w:lineRule="auto"/>
              <w:rPr>
                <w:sz w:val="12"/>
                <w:szCs w:val="12"/>
              </w:rPr>
            </w:pPr>
            <w:r>
              <w:rPr>
                <w:sz w:val="12"/>
                <w:szCs w:val="12"/>
                <w:spacing w:val="-2"/>
              </w:rPr>
              <w:t>其他</w:t>
            </w:r>
          </w:p>
        </w:tc>
        <w:tc>
          <w:tcPr>
            <w:tcW w:w="650" w:type="dxa"/>
            <w:vAlign w:val="top"/>
            <w:vMerge w:val="restart"/>
            <w:tcBorders>
              <w:bottom w:val="nil"/>
              <w:top w:val="single" w:color="000000" w:sz="2" w:space="0"/>
            </w:tcBorders>
          </w:tcPr>
          <w:p>
            <w:pPr>
              <w:spacing w:line="402" w:lineRule="auto"/>
              <w:rPr>
                <w:rFonts w:ascii="Arial"/>
                <w:sz w:val="21"/>
              </w:rPr>
            </w:pPr>
            <w:r/>
          </w:p>
          <w:p>
            <w:pPr>
              <w:pStyle w:val="TableText"/>
              <w:ind w:left="80"/>
              <w:spacing w:before="39" w:line="219" w:lineRule="auto"/>
              <w:rPr>
                <w:sz w:val="12"/>
                <w:szCs w:val="12"/>
              </w:rPr>
            </w:pPr>
            <w:r>
              <w:rPr>
                <w:sz w:val="12"/>
                <w:szCs w:val="12"/>
                <w:spacing w:val="-1"/>
              </w:rPr>
              <w:t>树木养护</w:t>
            </w:r>
          </w:p>
        </w:tc>
        <w:tc>
          <w:tcPr>
            <w:tcW w:w="959" w:type="dxa"/>
            <w:vAlign w:val="top"/>
            <w:vMerge w:val="restart"/>
            <w:tcBorders>
              <w:bottom w:val="nil"/>
              <w:top w:val="single" w:color="000000" w:sz="2" w:space="0"/>
            </w:tcBorders>
          </w:tcPr>
          <w:p>
            <w:pPr>
              <w:spacing w:line="332" w:lineRule="auto"/>
              <w:rPr>
                <w:rFonts w:ascii="Arial"/>
                <w:sz w:val="21"/>
              </w:rPr>
            </w:pPr>
            <w:r/>
          </w:p>
          <w:p>
            <w:pPr>
              <w:pStyle w:val="TableText"/>
              <w:ind w:left="109" w:right="28" w:hanging="29"/>
              <w:spacing w:before="39" w:line="248" w:lineRule="auto"/>
              <w:rPr>
                <w:sz w:val="12"/>
                <w:szCs w:val="12"/>
              </w:rPr>
            </w:pPr>
            <w:r>
              <w:rPr>
                <w:sz w:val="12"/>
                <w:szCs w:val="12"/>
                <w:spacing w:val="-1"/>
              </w:rPr>
              <w:t>树木修剪创口，</w:t>
            </w:r>
            <w:r>
              <w:rPr>
                <w:sz w:val="12"/>
                <w:szCs w:val="12"/>
                <w:spacing w:val="5"/>
              </w:rPr>
              <w:t xml:space="preserve"> </w:t>
            </w:r>
            <w:r>
              <w:rPr>
                <w:sz w:val="12"/>
                <w:szCs w:val="12"/>
                <w:spacing w:val="2"/>
              </w:rPr>
              <w:t>腐烂病害伤口</w:t>
            </w:r>
          </w:p>
        </w:tc>
        <w:tc>
          <w:tcPr>
            <w:tcW w:w="2748" w:type="dxa"/>
            <w:vAlign w:val="top"/>
            <w:vMerge w:val="restart"/>
            <w:tcBorders>
              <w:bottom w:val="nil"/>
              <w:top w:val="single" w:color="000000" w:sz="2" w:space="0"/>
            </w:tcBorders>
          </w:tcPr>
          <w:p>
            <w:pPr>
              <w:spacing w:line="402" w:lineRule="auto"/>
              <w:rPr>
                <w:rFonts w:ascii="Arial"/>
                <w:sz w:val="21"/>
              </w:rPr>
            </w:pPr>
            <w:r/>
          </w:p>
          <w:p>
            <w:pPr>
              <w:pStyle w:val="TableText"/>
              <w:ind w:left="1140"/>
              <w:spacing w:before="39" w:line="219" w:lineRule="auto"/>
              <w:rPr>
                <w:sz w:val="12"/>
                <w:szCs w:val="12"/>
              </w:rPr>
            </w:pPr>
            <w:r>
              <w:rPr>
                <w:sz w:val="12"/>
                <w:szCs w:val="12"/>
                <w:spacing w:val="2"/>
              </w:rPr>
              <w:t>日常养护</w:t>
            </w:r>
          </w:p>
        </w:tc>
        <w:tc>
          <w:tcPr>
            <w:tcW w:w="1289" w:type="dxa"/>
            <w:vAlign w:val="top"/>
            <w:tcBorders>
              <w:bottom w:val="single" w:color="000000" w:sz="2" w:space="0"/>
              <w:top w:val="single" w:color="000000" w:sz="2" w:space="0"/>
            </w:tcBorders>
          </w:tcPr>
          <w:p>
            <w:pPr>
              <w:pStyle w:val="TableText"/>
              <w:ind w:left="213"/>
              <w:spacing w:before="134" w:line="218" w:lineRule="auto"/>
              <w:rPr>
                <w:sz w:val="12"/>
                <w:szCs w:val="12"/>
              </w:rPr>
            </w:pPr>
            <w:r>
              <w:rPr>
                <w:sz w:val="12"/>
                <w:szCs w:val="12"/>
                <w:spacing w:val="1"/>
              </w:rPr>
              <w:t>国光愈伤涂膜剂</w:t>
            </w:r>
          </w:p>
        </w:tc>
        <w:tc>
          <w:tcPr>
            <w:tcW w:w="1929" w:type="dxa"/>
            <w:vAlign w:val="top"/>
            <w:tcBorders>
              <w:bottom w:val="single" w:color="000000" w:sz="2" w:space="0"/>
              <w:top w:val="single" w:color="000000" w:sz="2" w:space="0"/>
            </w:tcBorders>
          </w:tcPr>
          <w:p>
            <w:pPr>
              <w:pStyle w:val="TableText"/>
              <w:ind w:left="713" w:right="70" w:hanging="660"/>
              <w:spacing w:before="44" w:line="215" w:lineRule="auto"/>
              <w:rPr>
                <w:sz w:val="12"/>
                <w:szCs w:val="12"/>
              </w:rPr>
            </w:pPr>
            <w:r>
              <w:rPr>
                <w:sz w:val="12"/>
                <w:szCs w:val="12"/>
                <w:spacing w:val="-1"/>
              </w:rPr>
              <w:t>成膜剂、甲基硫菌灵、防腐剂、促</w:t>
            </w:r>
            <w:r>
              <w:rPr>
                <w:sz w:val="12"/>
                <w:szCs w:val="12"/>
                <w:spacing w:val="8"/>
              </w:rPr>
              <w:t xml:space="preserve"> </w:t>
            </w:r>
            <w:r>
              <w:rPr>
                <w:sz w:val="12"/>
                <w:szCs w:val="12"/>
                <w:spacing w:val="-2"/>
              </w:rPr>
              <w:t>生长物质</w:t>
            </w:r>
          </w:p>
        </w:tc>
        <w:tc>
          <w:tcPr>
            <w:tcW w:w="1659" w:type="dxa"/>
            <w:vAlign w:val="top"/>
            <w:tcBorders>
              <w:bottom w:val="single" w:color="000000" w:sz="2" w:space="0"/>
              <w:top w:val="single" w:color="000000" w:sz="2" w:space="0"/>
            </w:tcBorders>
          </w:tcPr>
          <w:p>
            <w:pPr>
              <w:pStyle w:val="TableText"/>
              <w:ind w:left="165"/>
              <w:spacing w:before="134" w:line="219" w:lineRule="auto"/>
              <w:rPr>
                <w:sz w:val="12"/>
                <w:szCs w:val="12"/>
              </w:rPr>
            </w:pPr>
            <w:r>
              <w:rPr>
                <w:sz w:val="12"/>
                <w:szCs w:val="12"/>
                <w:spacing w:val="-1"/>
              </w:rPr>
              <w:t>直接使用。可略加水稀释</w:t>
            </w:r>
          </w:p>
        </w:tc>
        <w:tc>
          <w:tcPr>
            <w:tcW w:w="1049" w:type="dxa"/>
            <w:vAlign w:val="top"/>
            <w:vMerge w:val="restart"/>
            <w:tcBorders>
              <w:bottom w:val="nil"/>
              <w:top w:val="single" w:color="000000" w:sz="2" w:space="0"/>
            </w:tcBorders>
          </w:tcPr>
          <w:p>
            <w:pPr>
              <w:spacing w:line="333" w:lineRule="auto"/>
              <w:rPr>
                <w:rFonts w:ascii="Arial"/>
                <w:sz w:val="21"/>
              </w:rPr>
            </w:pPr>
            <w:r/>
          </w:p>
          <w:p>
            <w:pPr>
              <w:pStyle w:val="TableText"/>
              <w:ind w:left="36"/>
              <w:spacing w:before="39" w:line="219" w:lineRule="auto"/>
              <w:rPr>
                <w:sz w:val="12"/>
                <w:szCs w:val="12"/>
              </w:rPr>
            </w:pPr>
            <w:r>
              <w:rPr>
                <w:sz w:val="12"/>
                <w:szCs w:val="12"/>
                <w:spacing w:val="-1"/>
              </w:rPr>
              <w:t>乔木修剪后和树皮</w:t>
            </w:r>
          </w:p>
          <w:p>
            <w:pPr>
              <w:pStyle w:val="TableText"/>
              <w:ind w:left="335"/>
              <w:spacing w:before="28" w:line="221" w:lineRule="auto"/>
              <w:rPr>
                <w:sz w:val="12"/>
                <w:szCs w:val="12"/>
              </w:rPr>
            </w:pPr>
            <w:r>
              <w:rPr>
                <w:sz w:val="12"/>
                <w:szCs w:val="12"/>
                <w:spacing w:val="-1"/>
              </w:rPr>
              <w:t>破损时</w:t>
            </w:r>
          </w:p>
        </w:tc>
        <w:tc>
          <w:tcPr>
            <w:tcW w:w="749" w:type="dxa"/>
            <w:vAlign w:val="top"/>
            <w:tcBorders>
              <w:bottom w:val="single" w:color="000000" w:sz="2" w:space="0"/>
              <w:top w:val="single" w:color="000000" w:sz="2" w:space="0"/>
            </w:tcBorders>
          </w:tcPr>
          <w:p>
            <w:pPr>
              <w:pStyle w:val="TableText"/>
              <w:ind w:left="96"/>
              <w:spacing w:before="130" w:line="213" w:lineRule="auto"/>
              <w:rPr>
                <w:sz w:val="12"/>
                <w:szCs w:val="12"/>
              </w:rPr>
            </w:pPr>
            <w:r>
              <w:rPr>
                <w:sz w:val="12"/>
                <w:szCs w:val="12"/>
                <w:spacing w:val="3"/>
              </w:rPr>
              <w:t>(500g/瓶)</w:t>
            </w:r>
          </w:p>
        </w:tc>
        <w:tc>
          <w:tcPr>
            <w:tcW w:w="2603" w:type="dxa"/>
            <w:vAlign w:val="top"/>
            <w:tcBorders>
              <w:bottom w:val="single" w:color="000000" w:sz="2" w:space="0"/>
              <w:top w:val="single" w:color="000000" w:sz="2" w:space="0"/>
            </w:tcBorders>
          </w:tcPr>
          <w:p>
            <w:pPr>
              <w:pStyle w:val="TableText"/>
              <w:ind w:left="17"/>
              <w:spacing w:before="134" w:line="218" w:lineRule="auto"/>
              <w:rPr>
                <w:sz w:val="12"/>
                <w:szCs w:val="12"/>
              </w:rPr>
            </w:pPr>
            <w:r>
              <w:rPr>
                <w:sz w:val="12"/>
                <w:szCs w:val="12"/>
              </w:rPr>
              <w:t>促进伤口快速金合，杀菌防腐。</w:t>
            </w:r>
          </w:p>
        </w:tc>
      </w:tr>
      <w:tr>
        <w:trPr>
          <w:trHeight w:val="355" w:hRule="atLeast"/>
        </w:trPr>
        <w:tc>
          <w:tcPr>
            <w:tcW w:w="415" w:type="dxa"/>
            <w:vAlign w:val="top"/>
            <w:vMerge w:val="continue"/>
            <w:tcBorders>
              <w:bottom w:val="nil"/>
              <w:top w:val="nil"/>
            </w:tcBorders>
          </w:tcPr>
          <w:p>
            <w:pPr>
              <w:rPr>
                <w:rFonts w:ascii="Arial"/>
                <w:sz w:val="21"/>
              </w:rPr>
            </w:pPr>
            <w:r/>
          </w:p>
        </w:tc>
        <w:tc>
          <w:tcPr>
            <w:tcW w:w="650" w:type="dxa"/>
            <w:vAlign w:val="top"/>
            <w:vMerge w:val="continue"/>
            <w:tcBorders>
              <w:bottom w:val="nil"/>
              <w:top w:val="nil"/>
            </w:tcBorders>
          </w:tcPr>
          <w:p>
            <w:pPr>
              <w:rPr>
                <w:rFonts w:ascii="Arial"/>
                <w:sz w:val="21"/>
              </w:rPr>
            </w:pPr>
            <w:r/>
          </w:p>
        </w:tc>
        <w:tc>
          <w:tcPr>
            <w:tcW w:w="959" w:type="dxa"/>
            <w:vAlign w:val="top"/>
            <w:vMerge w:val="continue"/>
            <w:tcBorders>
              <w:bottom w:val="nil"/>
              <w:top w:val="nil"/>
            </w:tcBorders>
          </w:tcPr>
          <w:p>
            <w:pPr>
              <w:rPr>
                <w:rFonts w:ascii="Arial"/>
                <w:sz w:val="21"/>
              </w:rPr>
            </w:pPr>
            <w:r/>
          </w:p>
        </w:tc>
        <w:tc>
          <w:tcPr>
            <w:tcW w:w="2748" w:type="dxa"/>
            <w:vAlign w:val="top"/>
            <w:vMerge w:val="continue"/>
            <w:tcBorders>
              <w:bottom w:val="nil"/>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33"/>
              <w:spacing w:before="134" w:line="218" w:lineRule="auto"/>
              <w:rPr>
                <w:sz w:val="12"/>
                <w:szCs w:val="12"/>
              </w:rPr>
            </w:pPr>
            <w:r>
              <w:rPr>
                <w:sz w:val="12"/>
                <w:szCs w:val="12"/>
                <w:spacing w:val="1"/>
              </w:rPr>
              <w:t>中威愈伤膏</w:t>
            </w:r>
          </w:p>
        </w:tc>
        <w:tc>
          <w:tcPr>
            <w:tcW w:w="1929" w:type="dxa"/>
            <w:vAlign w:val="top"/>
            <w:tcBorders>
              <w:bottom w:val="single" w:color="000000" w:sz="2" w:space="0"/>
              <w:top w:val="single" w:color="000000" w:sz="2" w:space="0"/>
            </w:tcBorders>
          </w:tcPr>
          <w:p>
            <w:pPr>
              <w:pStyle w:val="TableText"/>
              <w:ind w:left="534"/>
              <w:spacing w:before="134" w:line="218" w:lineRule="auto"/>
              <w:rPr>
                <w:sz w:val="12"/>
                <w:szCs w:val="12"/>
              </w:rPr>
            </w:pPr>
            <w:r>
              <w:rPr>
                <w:sz w:val="12"/>
                <w:szCs w:val="12"/>
                <w:spacing w:val="-1"/>
              </w:rPr>
              <w:t>有机质、杀菌剂</w:t>
            </w:r>
          </w:p>
        </w:tc>
        <w:tc>
          <w:tcPr>
            <w:tcW w:w="1659" w:type="dxa"/>
            <w:vAlign w:val="top"/>
            <w:tcBorders>
              <w:bottom w:val="single" w:color="000000" w:sz="2" w:space="0"/>
              <w:top w:val="single" w:color="000000" w:sz="2" w:space="0"/>
            </w:tcBorders>
          </w:tcPr>
          <w:p>
            <w:pPr>
              <w:pStyle w:val="TableText"/>
              <w:ind w:left="165"/>
              <w:spacing w:before="125" w:line="219" w:lineRule="auto"/>
              <w:rPr>
                <w:sz w:val="12"/>
                <w:szCs w:val="12"/>
              </w:rPr>
            </w:pPr>
            <w:r>
              <w:rPr>
                <w:sz w:val="12"/>
                <w:szCs w:val="12"/>
                <w:spacing w:val="-1"/>
              </w:rPr>
              <w:t>直接使用，可略加水稀释</w:t>
            </w:r>
          </w:p>
        </w:tc>
        <w:tc>
          <w:tcPr>
            <w:tcW w:w="1049" w:type="dxa"/>
            <w:vAlign w:val="top"/>
            <w:vMerge w:val="continue"/>
            <w:tcBorders>
              <w:bottom w:val="nil"/>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96"/>
              <w:spacing w:before="141" w:line="213" w:lineRule="auto"/>
              <w:rPr>
                <w:sz w:val="12"/>
                <w:szCs w:val="12"/>
              </w:rPr>
            </w:pPr>
            <w:r>
              <w:rPr>
                <w:sz w:val="12"/>
                <w:szCs w:val="12"/>
                <w:spacing w:val="3"/>
              </w:rPr>
              <w:t>(500g/瓶)</w:t>
            </w:r>
          </w:p>
        </w:tc>
        <w:tc>
          <w:tcPr>
            <w:tcW w:w="2603" w:type="dxa"/>
            <w:vAlign w:val="top"/>
            <w:tcBorders>
              <w:bottom w:val="single" w:color="000000" w:sz="2" w:space="0"/>
              <w:top w:val="single" w:color="000000" w:sz="2" w:space="0"/>
            </w:tcBorders>
          </w:tcPr>
          <w:p>
            <w:pPr>
              <w:pStyle w:val="TableText"/>
              <w:ind w:left="17" w:right="59"/>
              <w:spacing w:before="65" w:line="210" w:lineRule="auto"/>
              <w:rPr>
                <w:sz w:val="12"/>
                <w:szCs w:val="12"/>
              </w:rPr>
            </w:pPr>
            <w:r>
              <w:rPr>
                <w:sz w:val="12"/>
                <w:szCs w:val="12"/>
                <w:spacing w:val="-1"/>
              </w:rPr>
              <w:t>适用树木移栽时切口及根部处理；病害伤口、树</w:t>
            </w:r>
            <w:r>
              <w:rPr>
                <w:sz w:val="12"/>
                <w:szCs w:val="12"/>
                <w:spacing w:val="15"/>
              </w:rPr>
              <w:t xml:space="preserve"> </w:t>
            </w:r>
            <w:r>
              <w:rPr>
                <w:sz w:val="12"/>
                <w:szCs w:val="12"/>
              </w:rPr>
              <w:t>皮损失处理，</w:t>
            </w:r>
          </w:p>
        </w:tc>
      </w:tr>
      <w:tr>
        <w:trPr>
          <w:trHeight w:val="299" w:hRule="atLeast"/>
        </w:trPr>
        <w:tc>
          <w:tcPr>
            <w:tcW w:w="415" w:type="dxa"/>
            <w:vAlign w:val="top"/>
            <w:vMerge w:val="continue"/>
            <w:tcBorders>
              <w:bottom w:val="single" w:color="000000" w:sz="2" w:space="0"/>
              <w:top w:val="nil"/>
            </w:tcBorders>
          </w:tcPr>
          <w:p>
            <w:pPr>
              <w:rPr>
                <w:rFonts w:ascii="Arial"/>
                <w:sz w:val="21"/>
              </w:rPr>
            </w:pPr>
            <w:r/>
          </w:p>
        </w:tc>
        <w:tc>
          <w:tcPr>
            <w:tcW w:w="650" w:type="dxa"/>
            <w:vAlign w:val="top"/>
            <w:vMerge w:val="continue"/>
            <w:tcBorders>
              <w:bottom w:val="single" w:color="000000" w:sz="2" w:space="0"/>
              <w:top w:val="nil"/>
            </w:tcBorders>
          </w:tcPr>
          <w:p>
            <w:pPr>
              <w:rPr>
                <w:rFonts w:ascii="Arial"/>
                <w:sz w:val="21"/>
              </w:rPr>
            </w:pPr>
            <w:r/>
          </w:p>
        </w:tc>
        <w:tc>
          <w:tcPr>
            <w:tcW w:w="959" w:type="dxa"/>
            <w:vAlign w:val="top"/>
            <w:vMerge w:val="continue"/>
            <w:tcBorders>
              <w:bottom w:val="single" w:color="000000" w:sz="2" w:space="0"/>
              <w:top w:val="nil"/>
            </w:tcBorders>
          </w:tcPr>
          <w:p>
            <w:pPr>
              <w:rPr>
                <w:rFonts w:ascii="Arial"/>
                <w:sz w:val="21"/>
              </w:rPr>
            </w:pPr>
            <w:r/>
          </w:p>
        </w:tc>
        <w:tc>
          <w:tcPr>
            <w:tcW w:w="2748" w:type="dxa"/>
            <w:vAlign w:val="top"/>
            <w:vMerge w:val="continue"/>
            <w:tcBorders>
              <w:bottom w:val="single" w:color="000000" w:sz="2" w:space="0"/>
              <w:top w:val="nil"/>
            </w:tcBorders>
          </w:tcPr>
          <w:p>
            <w:pPr>
              <w:rPr>
                <w:rFonts w:ascii="Arial"/>
                <w:sz w:val="21"/>
              </w:rPr>
            </w:pPr>
            <w:r/>
          </w:p>
        </w:tc>
        <w:tc>
          <w:tcPr>
            <w:tcW w:w="1289" w:type="dxa"/>
            <w:vAlign w:val="top"/>
            <w:tcBorders>
              <w:bottom w:val="single" w:color="000000" w:sz="2" w:space="0"/>
              <w:top w:val="single" w:color="000000" w:sz="2" w:space="0"/>
            </w:tcBorders>
          </w:tcPr>
          <w:p>
            <w:pPr>
              <w:pStyle w:val="TableText"/>
              <w:ind w:left="393"/>
              <w:spacing w:before="104" w:line="219" w:lineRule="auto"/>
              <w:rPr>
                <w:sz w:val="12"/>
                <w:szCs w:val="12"/>
              </w:rPr>
            </w:pPr>
            <w:r>
              <w:rPr>
                <w:sz w:val="12"/>
                <w:szCs w:val="12"/>
                <w:spacing w:val="-2"/>
              </w:rPr>
              <w:t>灰色油漆</w:t>
            </w:r>
          </w:p>
        </w:tc>
        <w:tc>
          <w:tcPr>
            <w:tcW w:w="1929" w:type="dxa"/>
            <w:vAlign w:val="top"/>
            <w:tcBorders>
              <w:bottom w:val="single" w:color="000000" w:sz="2" w:space="0"/>
              <w:top w:val="single" w:color="000000" w:sz="2" w:space="0"/>
            </w:tcBorders>
          </w:tcPr>
          <w:p>
            <w:pPr>
              <w:pStyle w:val="TableText"/>
              <w:ind w:left="173"/>
              <w:spacing w:before="94" w:line="218" w:lineRule="auto"/>
              <w:rPr>
                <w:sz w:val="12"/>
                <w:szCs w:val="12"/>
              </w:rPr>
            </w:pPr>
            <w:r>
              <w:rPr>
                <w:sz w:val="12"/>
                <w:szCs w:val="12"/>
                <w:spacing w:val="-1"/>
              </w:rPr>
              <w:t>成膜物质、颜料、溶剂、助剂</w:t>
            </w:r>
          </w:p>
        </w:tc>
        <w:tc>
          <w:tcPr>
            <w:tcW w:w="1659" w:type="dxa"/>
            <w:vAlign w:val="top"/>
            <w:tcBorders>
              <w:bottom w:val="single" w:color="000000" w:sz="2" w:space="0"/>
              <w:top w:val="single" w:color="000000" w:sz="2" w:space="0"/>
            </w:tcBorders>
          </w:tcPr>
          <w:p>
            <w:pPr>
              <w:pStyle w:val="TableText"/>
              <w:ind w:left="105"/>
              <w:spacing w:before="104" w:line="219" w:lineRule="auto"/>
              <w:rPr>
                <w:sz w:val="12"/>
                <w:szCs w:val="12"/>
              </w:rPr>
            </w:pPr>
            <w:r>
              <w:rPr>
                <w:sz w:val="12"/>
                <w:szCs w:val="12"/>
                <w:spacing w:val="-1"/>
              </w:rPr>
              <w:t>直接使用，可略加汽油稀释</w:t>
            </w:r>
          </w:p>
        </w:tc>
        <w:tc>
          <w:tcPr>
            <w:tcW w:w="1049" w:type="dxa"/>
            <w:vAlign w:val="top"/>
            <w:vMerge w:val="continue"/>
            <w:tcBorders>
              <w:bottom w:val="single" w:color="000000" w:sz="2" w:space="0"/>
              <w:top w:val="nil"/>
            </w:tcBorders>
          </w:tcPr>
          <w:p>
            <w:pPr>
              <w:rPr>
                <w:rFonts w:ascii="Arial"/>
                <w:sz w:val="21"/>
              </w:rPr>
            </w:pPr>
            <w:r/>
          </w:p>
        </w:tc>
        <w:tc>
          <w:tcPr>
            <w:tcW w:w="749" w:type="dxa"/>
            <w:vAlign w:val="top"/>
            <w:tcBorders>
              <w:bottom w:val="single" w:color="000000" w:sz="2" w:space="0"/>
              <w:top w:val="single" w:color="000000" w:sz="2" w:space="0"/>
            </w:tcBorders>
          </w:tcPr>
          <w:p>
            <w:pPr>
              <w:pStyle w:val="TableText"/>
              <w:ind w:left="217"/>
              <w:spacing w:before="104" w:line="219" w:lineRule="auto"/>
              <w:rPr>
                <w:sz w:val="12"/>
                <w:szCs w:val="12"/>
              </w:rPr>
            </w:pPr>
            <w:r>
              <w:rPr>
                <w:sz w:val="12"/>
                <w:szCs w:val="12"/>
              </w:rPr>
              <w:t>IL</w:t>
            </w:r>
            <w:r>
              <w:rPr>
                <w:sz w:val="12"/>
                <w:szCs w:val="12"/>
                <w:spacing w:val="4"/>
              </w:rPr>
              <w:t>/桶</w:t>
            </w:r>
          </w:p>
        </w:tc>
        <w:tc>
          <w:tcPr>
            <w:tcW w:w="2603" w:type="dxa"/>
            <w:vAlign w:val="top"/>
            <w:tcBorders>
              <w:bottom w:val="single" w:color="000000" w:sz="2" w:space="0"/>
              <w:top w:val="single" w:color="000000" w:sz="2" w:space="0"/>
            </w:tcBorders>
          </w:tcPr>
          <w:p>
            <w:pPr>
              <w:pStyle w:val="TableText"/>
              <w:ind w:left="17"/>
              <w:spacing w:before="94" w:line="219" w:lineRule="auto"/>
              <w:rPr>
                <w:sz w:val="12"/>
                <w:szCs w:val="12"/>
              </w:rPr>
            </w:pPr>
            <w:r>
              <w:rPr>
                <w:sz w:val="12"/>
                <w:szCs w:val="12"/>
              </w:rPr>
              <w:t>伤口涂抹。</w:t>
            </w:r>
          </w:p>
        </w:tc>
      </w:tr>
    </w:tbl>
    <w:p>
      <w:pPr>
        <w:spacing w:line="14" w:lineRule="auto"/>
        <w:rPr>
          <w:rFonts w:ascii="Arial"/>
          <w:sz w:val="2"/>
        </w:rPr>
      </w:pPr>
      <w:r/>
    </w:p>
    <w:p>
      <w:pPr>
        <w:spacing w:line="14" w:lineRule="auto"/>
        <w:sectPr>
          <w:pgSz w:w="14490" w:h="10240"/>
          <w:pgMar w:top="115" w:right="244" w:bottom="205" w:left="184" w:header="0" w:footer="0" w:gutter="0"/>
        </w:sectPr>
        <w:rPr>
          <w:rFonts w:ascii="Arial" w:hAnsi="Arial" w:eastAsia="Arial" w:cs="Arial"/>
          <w:sz w:val="2"/>
          <w:szCs w:val="2"/>
        </w:rPr>
      </w:pPr>
    </w:p>
    <w:tbl>
      <w:tblPr>
        <w:tblStyle w:val="TableNormal"/>
        <w:tblW w:w="138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50"/>
        <w:gridCol w:w="949"/>
        <w:gridCol w:w="2668"/>
        <w:gridCol w:w="1249"/>
        <w:gridCol w:w="1889"/>
        <w:gridCol w:w="1609"/>
        <w:gridCol w:w="1029"/>
        <w:gridCol w:w="719"/>
        <w:gridCol w:w="2783"/>
      </w:tblGrid>
      <w:tr>
        <w:trPr>
          <w:trHeight w:val="624" w:hRule="atLeast"/>
        </w:trPr>
        <w:tc>
          <w:tcPr>
            <w:tcW w:w="13860" w:type="dxa"/>
            <w:vAlign w:val="top"/>
            <w:gridSpan w:val="10"/>
          </w:tcPr>
          <w:p>
            <w:pPr>
              <w:pStyle w:val="TableText"/>
              <w:ind w:left="5796"/>
              <w:spacing w:before="147" w:line="219" w:lineRule="auto"/>
              <w:rPr>
                <w:sz w:val="12"/>
                <w:szCs w:val="12"/>
              </w:rPr>
            </w:pPr>
            <w:r>
              <w:rPr>
                <w:sz w:val="12"/>
                <w:szCs w:val="12"/>
                <w:b/>
                <w:bCs/>
                <w:spacing w:val="24"/>
              </w:rPr>
              <w:t>广东</w:t>
            </w:r>
            <w:r>
              <w:rPr>
                <w:sz w:val="12"/>
                <w:szCs w:val="12"/>
                <w:spacing w:val="-6"/>
              </w:rPr>
              <w:t xml:space="preserve"> </w:t>
            </w:r>
            <w:r>
              <w:rPr>
                <w:sz w:val="12"/>
                <w:szCs w:val="12"/>
                <w:b/>
                <w:bCs/>
                <w:spacing w:val="24"/>
              </w:rPr>
              <w:t>、</w:t>
            </w:r>
            <w:r>
              <w:rPr>
                <w:sz w:val="12"/>
                <w:szCs w:val="12"/>
                <w:spacing w:val="-22"/>
              </w:rPr>
              <w:t xml:space="preserve"> </w:t>
            </w:r>
            <w:r>
              <w:rPr>
                <w:sz w:val="12"/>
                <w:szCs w:val="12"/>
                <w:b/>
                <w:bCs/>
                <w:spacing w:val="24"/>
              </w:rPr>
              <w:t>广西地区农药肥料使用指导</w:t>
            </w:r>
          </w:p>
          <w:p>
            <w:pPr>
              <w:pStyle w:val="TableText"/>
              <w:ind w:left="4706"/>
              <w:spacing w:before="47" w:line="218" w:lineRule="auto"/>
              <w:rPr>
                <w:sz w:val="12"/>
                <w:szCs w:val="12"/>
              </w:rPr>
            </w:pPr>
            <w:r>
              <w:rPr>
                <w:sz w:val="12"/>
                <w:szCs w:val="12"/>
                <w:b/>
                <w:bCs/>
                <w:spacing w:val="-1"/>
              </w:rPr>
              <w:t>(本表中药品供参考，如有同类且成分相同、价格合理、低毒高效的药品，可选择使用</w:t>
            </w:r>
            <w:r>
              <w:rPr>
                <w:sz w:val="12"/>
                <w:szCs w:val="12"/>
                <w:spacing w:val="-1"/>
              </w:rPr>
              <w:t>)</w:t>
            </w:r>
          </w:p>
        </w:tc>
      </w:tr>
      <w:tr>
        <w:trPr>
          <w:trHeight w:val="519" w:hRule="atLeast"/>
        </w:trPr>
        <w:tc>
          <w:tcPr>
            <w:tcW w:w="415" w:type="dxa"/>
            <w:vAlign w:val="top"/>
          </w:tcPr>
          <w:p>
            <w:pPr>
              <w:pStyle w:val="TableText"/>
              <w:ind w:left="76"/>
              <w:spacing w:before="194" w:line="219" w:lineRule="auto"/>
              <w:rPr>
                <w:sz w:val="12"/>
                <w:szCs w:val="12"/>
              </w:rPr>
            </w:pPr>
            <w:r>
              <w:rPr>
                <w:sz w:val="12"/>
                <w:szCs w:val="12"/>
                <w:b/>
                <w:bCs/>
                <w:spacing w:val="-3"/>
              </w:rPr>
              <w:t>分类</w:t>
            </w:r>
          </w:p>
        </w:tc>
        <w:tc>
          <w:tcPr>
            <w:tcW w:w="550" w:type="dxa"/>
            <w:vAlign w:val="top"/>
          </w:tcPr>
          <w:p>
            <w:pPr>
              <w:pStyle w:val="TableText"/>
              <w:ind w:left="21"/>
              <w:spacing w:before="44" w:line="216" w:lineRule="auto"/>
              <w:rPr>
                <w:sz w:val="12"/>
                <w:szCs w:val="12"/>
              </w:rPr>
            </w:pPr>
            <w:r>
              <w:rPr>
                <w:sz w:val="12"/>
                <w:szCs w:val="12"/>
                <w:b/>
                <w:bCs/>
                <w:spacing w:val="-3"/>
              </w:rPr>
              <w:t>消杀预防</w:t>
            </w:r>
          </w:p>
          <w:p>
            <w:pPr>
              <w:pStyle w:val="TableText"/>
              <w:ind w:left="21"/>
              <w:spacing w:line="220" w:lineRule="auto"/>
              <w:rPr>
                <w:sz w:val="12"/>
                <w:szCs w:val="12"/>
              </w:rPr>
            </w:pPr>
            <w:r>
              <w:rPr>
                <w:sz w:val="12"/>
                <w:szCs w:val="12"/>
                <w:b/>
                <w:bCs/>
                <w:spacing w:val="-3"/>
              </w:rPr>
              <w:t>及病虫害</w:t>
            </w:r>
          </w:p>
          <w:p>
            <w:pPr>
              <w:pStyle w:val="TableText"/>
              <w:ind w:left="141"/>
              <w:spacing w:before="16" w:line="219" w:lineRule="auto"/>
              <w:rPr>
                <w:sz w:val="12"/>
                <w:szCs w:val="12"/>
              </w:rPr>
            </w:pPr>
            <w:r>
              <w:rPr>
                <w:sz w:val="12"/>
                <w:szCs w:val="12"/>
                <w:b/>
                <w:bCs/>
                <w:spacing w:val="-3"/>
              </w:rPr>
              <w:t>分类</w:t>
            </w:r>
          </w:p>
        </w:tc>
        <w:tc>
          <w:tcPr>
            <w:tcW w:w="949" w:type="dxa"/>
            <w:vAlign w:val="top"/>
          </w:tcPr>
          <w:p>
            <w:pPr>
              <w:pStyle w:val="TableText"/>
              <w:ind w:left="161"/>
              <w:spacing w:before="194" w:line="219" w:lineRule="auto"/>
              <w:rPr>
                <w:sz w:val="12"/>
                <w:szCs w:val="12"/>
              </w:rPr>
            </w:pPr>
            <w:r>
              <w:rPr>
                <w:sz w:val="12"/>
                <w:szCs w:val="12"/>
                <w:b/>
                <w:bCs/>
                <w:spacing w:val="-3"/>
              </w:rPr>
              <w:t>常见病虫害</w:t>
            </w:r>
          </w:p>
        </w:tc>
        <w:tc>
          <w:tcPr>
            <w:tcW w:w="2668" w:type="dxa"/>
            <w:vAlign w:val="top"/>
          </w:tcPr>
          <w:p>
            <w:pPr>
              <w:pStyle w:val="TableText"/>
              <w:ind w:left="982"/>
              <w:spacing w:before="194" w:line="219" w:lineRule="auto"/>
              <w:rPr>
                <w:sz w:val="12"/>
                <w:szCs w:val="12"/>
              </w:rPr>
            </w:pPr>
            <w:r>
              <w:rPr>
                <w:sz w:val="12"/>
                <w:szCs w:val="12"/>
                <w:b/>
                <w:bCs/>
                <w:spacing w:val="-3"/>
              </w:rPr>
              <w:t>主要发病月份</w:t>
            </w:r>
          </w:p>
        </w:tc>
        <w:tc>
          <w:tcPr>
            <w:tcW w:w="1249" w:type="dxa"/>
            <w:vAlign w:val="top"/>
          </w:tcPr>
          <w:p>
            <w:pPr>
              <w:pStyle w:val="TableText"/>
              <w:ind w:left="374"/>
              <w:spacing w:before="194" w:line="220" w:lineRule="auto"/>
              <w:rPr>
                <w:sz w:val="12"/>
                <w:szCs w:val="12"/>
              </w:rPr>
            </w:pPr>
            <w:r>
              <w:rPr>
                <w:sz w:val="12"/>
                <w:szCs w:val="12"/>
                <w:b/>
                <w:bCs/>
                <w:spacing w:val="-3"/>
              </w:rPr>
              <w:t>药品名称</w:t>
            </w:r>
          </w:p>
        </w:tc>
        <w:tc>
          <w:tcPr>
            <w:tcW w:w="1889" w:type="dxa"/>
            <w:vAlign w:val="top"/>
          </w:tcPr>
          <w:p>
            <w:pPr>
              <w:pStyle w:val="TableText"/>
              <w:ind w:left="695"/>
              <w:spacing w:before="194" w:line="220" w:lineRule="auto"/>
              <w:rPr>
                <w:sz w:val="12"/>
                <w:szCs w:val="12"/>
              </w:rPr>
            </w:pPr>
            <w:r>
              <w:rPr>
                <w:sz w:val="12"/>
                <w:szCs w:val="12"/>
                <w:b/>
                <w:bCs/>
                <w:spacing w:val="-3"/>
              </w:rPr>
              <w:t>主要成分</w:t>
            </w:r>
          </w:p>
        </w:tc>
        <w:tc>
          <w:tcPr>
            <w:tcW w:w="1609" w:type="dxa"/>
            <w:vAlign w:val="top"/>
          </w:tcPr>
          <w:p>
            <w:pPr>
              <w:pStyle w:val="TableText"/>
              <w:ind w:left="556"/>
              <w:spacing w:before="194" w:line="219" w:lineRule="auto"/>
              <w:rPr>
                <w:sz w:val="12"/>
                <w:szCs w:val="12"/>
              </w:rPr>
            </w:pPr>
            <w:r>
              <w:rPr>
                <w:sz w:val="12"/>
                <w:szCs w:val="12"/>
                <w:b/>
                <w:bCs/>
                <w:spacing w:val="-3"/>
              </w:rPr>
              <w:t>使用倍率</w:t>
            </w:r>
          </w:p>
        </w:tc>
        <w:tc>
          <w:tcPr>
            <w:tcW w:w="1029" w:type="dxa"/>
            <w:vAlign w:val="top"/>
          </w:tcPr>
          <w:p>
            <w:pPr>
              <w:pStyle w:val="TableText"/>
              <w:ind w:left="287"/>
              <w:spacing w:before="194" w:line="219" w:lineRule="auto"/>
              <w:rPr>
                <w:sz w:val="12"/>
                <w:szCs w:val="12"/>
              </w:rPr>
            </w:pPr>
            <w:r>
              <w:rPr>
                <w:sz w:val="12"/>
                <w:szCs w:val="12"/>
                <w:b/>
                <w:bCs/>
                <w:spacing w:val="-3"/>
              </w:rPr>
              <w:t>施用次数</w:t>
            </w:r>
          </w:p>
        </w:tc>
        <w:tc>
          <w:tcPr>
            <w:tcW w:w="719" w:type="dxa"/>
            <w:vAlign w:val="top"/>
          </w:tcPr>
          <w:p>
            <w:pPr>
              <w:pStyle w:val="TableText"/>
              <w:ind w:left="238"/>
              <w:spacing w:before="194" w:line="219" w:lineRule="auto"/>
              <w:rPr>
                <w:sz w:val="12"/>
                <w:szCs w:val="12"/>
              </w:rPr>
            </w:pPr>
            <w:r>
              <w:rPr>
                <w:sz w:val="12"/>
                <w:szCs w:val="12"/>
                <w:b/>
                <w:bCs/>
                <w:spacing w:val="-3"/>
              </w:rPr>
              <w:t>规格</w:t>
            </w:r>
          </w:p>
        </w:tc>
        <w:tc>
          <w:tcPr>
            <w:tcW w:w="2783" w:type="dxa"/>
            <w:vAlign w:val="top"/>
          </w:tcPr>
          <w:p>
            <w:pPr>
              <w:pStyle w:val="TableText"/>
              <w:ind w:left="1279"/>
              <w:spacing w:before="194" w:line="221" w:lineRule="auto"/>
              <w:rPr>
                <w:sz w:val="12"/>
                <w:szCs w:val="12"/>
              </w:rPr>
            </w:pPr>
            <w:r>
              <w:rPr>
                <w:sz w:val="12"/>
                <w:szCs w:val="12"/>
                <w:b/>
                <w:bCs/>
                <w:spacing w:val="-3"/>
              </w:rPr>
              <w:t>备注</w:t>
            </w:r>
          </w:p>
        </w:tc>
      </w:tr>
      <w:tr>
        <w:trPr>
          <w:trHeight w:val="350" w:hRule="atLeast"/>
        </w:trPr>
        <w:tc>
          <w:tcPr>
            <w:tcW w:w="415"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4"/>
              <w:spacing w:before="39" w:line="219" w:lineRule="auto"/>
              <w:rPr>
                <w:sz w:val="12"/>
                <w:szCs w:val="12"/>
              </w:rPr>
            </w:pPr>
            <w:r>
              <w:rPr>
                <w:sz w:val="12"/>
                <w:szCs w:val="12"/>
                <w:spacing w:val="-2"/>
              </w:rPr>
              <w:t>杀菌刘</w:t>
            </w:r>
          </w:p>
        </w:tc>
        <w:tc>
          <w:tcPr>
            <w:tcW w:w="550" w:type="dxa"/>
            <w:vAlign w:val="top"/>
            <w:vMerge w:val="restart"/>
            <w:tcBorders>
              <w:bottom w:val="nil"/>
            </w:tcBorders>
          </w:tcPr>
          <w:p>
            <w:pPr>
              <w:spacing w:line="256" w:lineRule="auto"/>
              <w:rPr>
                <w:rFonts w:ascii="Arial"/>
                <w:sz w:val="21"/>
              </w:rPr>
            </w:pPr>
            <w:r/>
          </w:p>
          <w:p>
            <w:pPr>
              <w:pStyle w:val="TableText"/>
              <w:ind w:left="20"/>
              <w:spacing w:before="39" w:line="219" w:lineRule="auto"/>
              <w:rPr>
                <w:sz w:val="12"/>
                <w:szCs w:val="12"/>
              </w:rPr>
            </w:pPr>
            <w:r>
              <w:rPr>
                <w:sz w:val="12"/>
                <w:szCs w:val="12"/>
                <w:spacing w:val="-2"/>
              </w:rPr>
              <w:t>消杀预防</w:t>
            </w:r>
          </w:p>
        </w:tc>
        <w:tc>
          <w:tcPr>
            <w:tcW w:w="949" w:type="dxa"/>
            <w:vAlign w:val="top"/>
            <w:vMerge w:val="restart"/>
            <w:tcBorders>
              <w:bottom w:val="nil"/>
            </w:tcBorders>
          </w:tcPr>
          <w:p>
            <w:pPr>
              <w:pStyle w:val="TableText"/>
              <w:ind w:left="40"/>
              <w:spacing w:before="216" w:line="219" w:lineRule="auto"/>
              <w:rPr>
                <w:sz w:val="12"/>
                <w:szCs w:val="12"/>
              </w:rPr>
            </w:pPr>
            <w:r>
              <w:rPr>
                <w:sz w:val="12"/>
                <w:szCs w:val="12"/>
                <w:spacing w:val="-1"/>
              </w:rPr>
              <w:t>全园区的菌类病</w:t>
            </w:r>
          </w:p>
          <w:p>
            <w:pPr>
              <w:pStyle w:val="TableText"/>
              <w:ind w:left="220"/>
              <w:spacing w:before="27" w:line="219" w:lineRule="auto"/>
              <w:rPr>
                <w:sz w:val="12"/>
                <w:szCs w:val="12"/>
              </w:rPr>
            </w:pPr>
            <w:r>
              <w:rPr>
                <w:sz w:val="12"/>
                <w:szCs w:val="12"/>
                <w:spacing w:val="-2"/>
              </w:rPr>
              <w:t>菌、虫卵</w:t>
            </w:r>
          </w:p>
        </w:tc>
        <w:tc>
          <w:tcPr>
            <w:tcW w:w="2668" w:type="dxa"/>
            <w:vAlign w:val="top"/>
            <w:vMerge w:val="restart"/>
            <w:tcBorders>
              <w:bottom w:val="nil"/>
            </w:tcBorders>
          </w:tcPr>
          <w:p>
            <w:pPr>
              <w:pStyle w:val="TableText"/>
              <w:ind w:left="11"/>
              <w:spacing w:before="86" w:line="200" w:lineRule="auto"/>
              <w:rPr>
                <w:sz w:val="12"/>
                <w:szCs w:val="12"/>
              </w:rPr>
            </w:pPr>
            <w:r>
              <w:rPr>
                <w:sz w:val="12"/>
                <w:szCs w:val="12"/>
              </w:rPr>
              <w:t>一、12-次年2月对全园区消杀1-2次：</w:t>
            </w:r>
          </w:p>
          <w:p>
            <w:pPr>
              <w:pStyle w:val="TableText"/>
              <w:ind w:left="11" w:right="12"/>
              <w:spacing w:line="227" w:lineRule="auto"/>
              <w:rPr>
                <w:sz w:val="12"/>
                <w:szCs w:val="12"/>
              </w:rPr>
            </w:pPr>
            <w:r>
              <w:rPr>
                <w:sz w:val="12"/>
                <w:szCs w:val="12"/>
                <w:spacing w:val="-1"/>
              </w:rPr>
              <w:t>二、加强园区卫生管理，结合冬季修剪，清除病虫</w:t>
            </w:r>
            <w:r>
              <w:rPr>
                <w:sz w:val="12"/>
                <w:szCs w:val="12"/>
                <w:spacing w:val="14"/>
              </w:rPr>
              <w:t xml:space="preserve"> </w:t>
            </w:r>
            <w:r>
              <w:rPr>
                <w:sz w:val="12"/>
                <w:szCs w:val="12"/>
                <w:spacing w:val="-1"/>
              </w:rPr>
              <w:t>枝、枯枝、落叶、烂头桩及杂草，投放灭蚁灵等饵</w:t>
            </w:r>
            <w:r>
              <w:rPr>
                <w:sz w:val="12"/>
                <w:szCs w:val="12"/>
                <w:spacing w:val="15"/>
              </w:rPr>
              <w:t xml:space="preserve"> </w:t>
            </w:r>
            <w:r>
              <w:rPr>
                <w:sz w:val="12"/>
                <w:szCs w:val="12"/>
                <w:spacing w:val="-1"/>
              </w:rPr>
              <w:t>料。</w:t>
            </w:r>
          </w:p>
        </w:tc>
        <w:tc>
          <w:tcPr>
            <w:tcW w:w="1249" w:type="dxa"/>
            <w:vAlign w:val="top"/>
          </w:tcPr>
          <w:p>
            <w:pPr>
              <w:pStyle w:val="TableText"/>
              <w:ind w:left="253"/>
              <w:spacing w:before="116" w:line="219" w:lineRule="auto"/>
              <w:rPr>
                <w:sz w:val="12"/>
                <w:szCs w:val="12"/>
              </w:rPr>
            </w:pPr>
            <w:r>
              <w:rPr>
                <w:sz w:val="12"/>
                <w:szCs w:val="12"/>
                <w:spacing w:val="1"/>
              </w:rPr>
              <w:t>晶体石硫合剂</w:t>
            </w:r>
          </w:p>
        </w:tc>
        <w:tc>
          <w:tcPr>
            <w:tcW w:w="1889" w:type="dxa"/>
            <w:vAlign w:val="top"/>
          </w:tcPr>
          <w:p>
            <w:pPr>
              <w:pStyle w:val="TableText"/>
              <w:ind w:left="694"/>
              <w:spacing w:before="117" w:line="221" w:lineRule="auto"/>
              <w:rPr>
                <w:sz w:val="12"/>
                <w:szCs w:val="12"/>
              </w:rPr>
            </w:pPr>
            <w:r>
              <w:rPr>
                <w:sz w:val="12"/>
                <w:szCs w:val="12"/>
                <w:spacing w:val="-2"/>
              </w:rPr>
              <w:t>多硫化钙</w:t>
            </w:r>
          </w:p>
        </w:tc>
        <w:tc>
          <w:tcPr>
            <w:tcW w:w="1609" w:type="dxa"/>
            <w:vAlign w:val="top"/>
          </w:tcPr>
          <w:p>
            <w:pPr>
              <w:pStyle w:val="TableText"/>
              <w:ind w:left="495"/>
              <w:spacing w:before="117" w:line="220" w:lineRule="auto"/>
              <w:rPr>
                <w:sz w:val="12"/>
                <w:szCs w:val="12"/>
              </w:rPr>
            </w:pPr>
            <w:r>
              <w:rPr>
                <w:sz w:val="12"/>
                <w:szCs w:val="12"/>
                <w:spacing w:val="-6"/>
              </w:rPr>
              <w:t>400—1000倍</w:t>
            </w:r>
          </w:p>
        </w:tc>
        <w:tc>
          <w:tcPr>
            <w:tcW w:w="1029" w:type="dxa"/>
            <w:vAlign w:val="top"/>
            <w:vMerge w:val="restart"/>
            <w:tcBorders>
              <w:bottom w:val="nil"/>
            </w:tcBorders>
          </w:tcPr>
          <w:p>
            <w:pPr>
              <w:spacing w:line="259" w:lineRule="auto"/>
              <w:rPr>
                <w:rFonts w:ascii="Arial"/>
                <w:sz w:val="21"/>
              </w:rPr>
            </w:pPr>
            <w:r/>
          </w:p>
          <w:p>
            <w:pPr>
              <w:pStyle w:val="TableText"/>
              <w:ind w:left="466"/>
              <w:spacing w:before="39" w:line="224" w:lineRule="auto"/>
              <w:rPr>
                <w:sz w:val="12"/>
                <w:szCs w:val="12"/>
              </w:rPr>
            </w:pPr>
            <w:r>
              <w:rPr>
                <w:sz w:val="12"/>
                <w:szCs w:val="12"/>
              </w:rPr>
              <w:t>/</w:t>
            </w:r>
          </w:p>
        </w:tc>
        <w:tc>
          <w:tcPr>
            <w:tcW w:w="719" w:type="dxa"/>
            <w:vAlign w:val="top"/>
          </w:tcPr>
          <w:p>
            <w:pPr>
              <w:pStyle w:val="TableText"/>
              <w:ind w:left="147"/>
              <w:spacing w:before="112" w:line="214" w:lineRule="auto"/>
              <w:rPr>
                <w:sz w:val="12"/>
                <w:szCs w:val="12"/>
              </w:rPr>
            </w:pPr>
            <w:r>
              <w:rPr>
                <w:sz w:val="12"/>
                <w:szCs w:val="12"/>
                <w:spacing w:val="-1"/>
              </w:rPr>
              <w:t>400g/袋</w:t>
            </w:r>
          </w:p>
        </w:tc>
        <w:tc>
          <w:tcPr>
            <w:tcW w:w="2783" w:type="dxa"/>
            <w:vAlign w:val="top"/>
          </w:tcPr>
          <w:p>
            <w:pPr>
              <w:pStyle w:val="TableText"/>
              <w:ind w:left="17" w:right="10" w:hanging="9"/>
              <w:spacing w:before="35" w:line="234" w:lineRule="auto"/>
              <w:rPr>
                <w:sz w:val="12"/>
                <w:szCs w:val="12"/>
              </w:rPr>
            </w:pPr>
            <w:r>
              <w:rPr>
                <w:sz w:val="12"/>
                <w:szCs w:val="12"/>
                <w:spacing w:val="-1"/>
              </w:rPr>
              <w:t>价格低廉、效果好、对多种病菌具有抑杀作用，园区</w:t>
            </w:r>
            <w:r>
              <w:rPr>
                <w:sz w:val="12"/>
                <w:szCs w:val="12"/>
                <w:spacing w:val="16"/>
                <w:w w:val="101"/>
              </w:rPr>
              <w:t xml:space="preserve"> </w:t>
            </w:r>
            <w:r>
              <w:rPr>
                <w:sz w:val="12"/>
                <w:szCs w:val="12"/>
                <w:spacing w:val="3"/>
              </w:rPr>
              <w:t>消杀使用</w:t>
            </w:r>
          </w:p>
        </w:tc>
      </w:tr>
      <w:tr>
        <w:trPr>
          <w:trHeight w:val="36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49" w:type="dxa"/>
            <w:vAlign w:val="top"/>
          </w:tcPr>
          <w:p>
            <w:pPr>
              <w:pStyle w:val="TableText"/>
              <w:ind w:left="373"/>
              <w:spacing w:before="117" w:line="220" w:lineRule="auto"/>
              <w:rPr>
                <w:sz w:val="12"/>
                <w:szCs w:val="12"/>
              </w:rPr>
            </w:pPr>
            <w:r>
              <w:rPr>
                <w:sz w:val="12"/>
                <w:szCs w:val="12"/>
                <w:spacing w:val="-1"/>
              </w:rPr>
              <w:t>波尔多液</w:t>
            </w:r>
          </w:p>
        </w:tc>
        <w:tc>
          <w:tcPr>
            <w:tcW w:w="1889" w:type="dxa"/>
            <w:vAlign w:val="top"/>
          </w:tcPr>
          <w:p>
            <w:pPr>
              <w:pStyle w:val="TableText"/>
              <w:ind w:left="634"/>
              <w:spacing w:before="117" w:line="221" w:lineRule="auto"/>
              <w:rPr>
                <w:sz w:val="12"/>
                <w:szCs w:val="12"/>
              </w:rPr>
            </w:pPr>
            <w:r>
              <w:rPr>
                <w:sz w:val="12"/>
                <w:szCs w:val="12"/>
                <w:spacing w:val="-1"/>
              </w:rPr>
              <w:t>碱式硫酸铜</w:t>
            </w:r>
          </w:p>
        </w:tc>
        <w:tc>
          <w:tcPr>
            <w:tcW w:w="1609" w:type="dxa"/>
            <w:vAlign w:val="top"/>
          </w:tcPr>
          <w:p>
            <w:pPr>
              <w:pStyle w:val="TableText"/>
              <w:ind w:left="525"/>
              <w:spacing w:before="117" w:line="220" w:lineRule="auto"/>
              <w:rPr>
                <w:sz w:val="12"/>
                <w:szCs w:val="12"/>
              </w:rPr>
            </w:pPr>
            <w:r>
              <w:rPr>
                <w:sz w:val="12"/>
                <w:szCs w:val="12"/>
                <w:spacing w:val="-6"/>
              </w:rPr>
              <w:t>160—240倍</w:t>
            </w:r>
          </w:p>
        </w:tc>
        <w:tc>
          <w:tcPr>
            <w:tcW w:w="1029" w:type="dxa"/>
            <w:vAlign w:val="top"/>
            <w:vMerge w:val="continue"/>
            <w:tcBorders>
              <w:top w:val="nil"/>
            </w:tcBorders>
          </w:tcPr>
          <w:p>
            <w:pPr>
              <w:rPr>
                <w:rFonts w:ascii="Arial"/>
                <w:sz w:val="21"/>
              </w:rPr>
            </w:pPr>
            <w:r/>
          </w:p>
        </w:tc>
        <w:tc>
          <w:tcPr>
            <w:tcW w:w="719" w:type="dxa"/>
            <w:vAlign w:val="top"/>
          </w:tcPr>
          <w:p>
            <w:pPr>
              <w:pStyle w:val="TableText"/>
              <w:ind w:left="177"/>
              <w:spacing w:before="118" w:line="222" w:lineRule="auto"/>
              <w:rPr>
                <w:sz w:val="12"/>
                <w:szCs w:val="12"/>
              </w:rPr>
            </w:pPr>
            <w:r>
              <w:rPr>
                <w:sz w:val="12"/>
                <w:szCs w:val="12"/>
                <w:spacing w:val="-1"/>
              </w:rPr>
              <w:t>200/袋</w:t>
            </w:r>
          </w:p>
        </w:tc>
        <w:tc>
          <w:tcPr>
            <w:tcW w:w="2783" w:type="dxa"/>
            <w:vAlign w:val="top"/>
          </w:tcPr>
          <w:p>
            <w:pPr>
              <w:pStyle w:val="TableText"/>
              <w:ind w:left="8" w:right="17"/>
              <w:spacing w:before="66" w:line="209" w:lineRule="auto"/>
              <w:rPr>
                <w:sz w:val="12"/>
                <w:szCs w:val="12"/>
              </w:rPr>
            </w:pPr>
            <w:r>
              <w:rPr>
                <w:sz w:val="12"/>
                <w:szCs w:val="12"/>
                <w:spacing w:val="-1"/>
              </w:rPr>
              <w:t>防治落叶病、炭疸病、炭疽病、霜霉病。不能与石硫</w:t>
            </w:r>
            <w:r>
              <w:rPr>
                <w:sz w:val="12"/>
                <w:szCs w:val="12"/>
                <w:spacing w:val="9"/>
              </w:rPr>
              <w:t xml:space="preserve"> </w:t>
            </w:r>
            <w:r>
              <w:rPr>
                <w:sz w:val="12"/>
                <w:szCs w:val="12"/>
                <w:spacing w:val="-1"/>
              </w:rPr>
              <w:t>合剂等碱性农药混用</w:t>
            </w:r>
          </w:p>
        </w:tc>
      </w:tr>
      <w:tr>
        <w:trPr>
          <w:trHeight w:val="569" w:hRule="atLeast"/>
        </w:trPr>
        <w:tc>
          <w:tcPr>
            <w:tcW w:w="415" w:type="dxa"/>
            <w:vAlign w:val="top"/>
            <w:vMerge w:val="continue"/>
            <w:tcBorders>
              <w:top w:val="nil"/>
              <w:bottom w:val="nil"/>
            </w:tcBorders>
          </w:tcPr>
          <w:p>
            <w:pPr>
              <w:rPr>
                <w:rFonts w:ascii="Arial"/>
                <w:sz w:val="21"/>
              </w:rPr>
            </w:pPr>
            <w:r/>
          </w:p>
        </w:tc>
        <w:tc>
          <w:tcPr>
            <w:tcW w:w="550"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80"/>
              <w:spacing w:before="39" w:line="219" w:lineRule="auto"/>
              <w:rPr>
                <w:sz w:val="12"/>
                <w:szCs w:val="12"/>
              </w:rPr>
            </w:pPr>
            <w:r>
              <w:rPr>
                <w:sz w:val="12"/>
                <w:szCs w:val="12"/>
                <w:spacing w:val="-1"/>
              </w:rPr>
              <w:t>病菌类</w:t>
            </w:r>
          </w:p>
        </w:tc>
        <w:tc>
          <w:tcPr>
            <w:tcW w:w="949"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 w:right="28" w:firstLine="29"/>
              <w:spacing w:before="39" w:line="231" w:lineRule="auto"/>
              <w:jc w:val="right"/>
              <w:rPr>
                <w:sz w:val="12"/>
                <w:szCs w:val="12"/>
              </w:rPr>
            </w:pPr>
            <w:r>
              <w:rPr>
                <w:sz w:val="12"/>
                <w:szCs w:val="12"/>
                <w:spacing w:val="-1"/>
              </w:rPr>
              <w:t>灰霉病、煤污病</w:t>
            </w:r>
            <w:r>
              <w:rPr>
                <w:sz w:val="12"/>
                <w:szCs w:val="12"/>
              </w:rPr>
              <w:t xml:space="preserve"> </w:t>
            </w:r>
            <w:r>
              <w:rPr>
                <w:sz w:val="12"/>
                <w:szCs w:val="12"/>
                <w:spacing w:val="-3"/>
              </w:rPr>
              <w:t>、炭疽病，白粉</w:t>
            </w:r>
            <w:r>
              <w:rPr>
                <w:sz w:val="12"/>
                <w:szCs w:val="12"/>
              </w:rPr>
              <w:t xml:space="preserve">  </w:t>
            </w:r>
            <w:r>
              <w:rPr>
                <w:sz w:val="12"/>
                <w:szCs w:val="12"/>
                <w:spacing w:val="2"/>
              </w:rPr>
              <w:t>病，锈病、叶枯</w:t>
            </w:r>
            <w:r>
              <w:rPr>
                <w:sz w:val="12"/>
                <w:szCs w:val="12"/>
              </w:rPr>
              <w:t xml:space="preserve">  </w:t>
            </w:r>
            <w:r>
              <w:rPr>
                <w:sz w:val="12"/>
                <w:szCs w:val="12"/>
                <w:spacing w:val="3"/>
              </w:rPr>
              <w:t>病，叶斑病、霜 </w:t>
            </w:r>
            <w:r>
              <w:rPr>
                <w:sz w:val="12"/>
                <w:szCs w:val="12"/>
                <w:spacing w:val="-1"/>
              </w:rPr>
              <w:t>霉病、白绢病。</w:t>
            </w:r>
          </w:p>
          <w:p>
            <w:pPr>
              <w:pStyle w:val="TableText"/>
              <w:ind w:left="249" w:right="63" w:hanging="209"/>
              <w:spacing w:line="209" w:lineRule="auto"/>
              <w:rPr>
                <w:sz w:val="12"/>
                <w:szCs w:val="12"/>
              </w:rPr>
            </w:pPr>
            <w:r>
              <w:rPr>
                <w:sz w:val="12"/>
                <w:szCs w:val="12"/>
                <w:spacing w:val="-1"/>
              </w:rPr>
              <w:t>根腐病、细菌性</w:t>
            </w:r>
            <w:r>
              <w:rPr>
                <w:sz w:val="12"/>
                <w:szCs w:val="12"/>
                <w:spacing w:val="1"/>
              </w:rPr>
              <w:t xml:space="preserve"> </w:t>
            </w:r>
            <w:r>
              <w:rPr>
                <w:sz w:val="12"/>
                <w:szCs w:val="12"/>
                <w:spacing w:val="-3"/>
              </w:rPr>
              <w:t>穿孔病等</w:t>
            </w:r>
          </w:p>
        </w:tc>
        <w:tc>
          <w:tcPr>
            <w:tcW w:w="2668"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1"/>
              <w:spacing w:before="39" w:line="219" w:lineRule="auto"/>
              <w:rPr>
                <w:sz w:val="12"/>
                <w:szCs w:val="12"/>
              </w:rPr>
            </w:pPr>
            <w:r>
              <w:rPr>
                <w:sz w:val="12"/>
                <w:szCs w:val="12"/>
              </w:rPr>
              <w:t>一、12-4月全园区预防消杀为主：</w:t>
            </w:r>
          </w:p>
          <w:p>
            <w:pPr>
              <w:pStyle w:val="TableText"/>
              <w:ind w:left="11"/>
              <w:spacing w:before="7" w:line="231" w:lineRule="auto"/>
              <w:rPr>
                <w:sz w:val="12"/>
                <w:szCs w:val="12"/>
              </w:rPr>
            </w:pPr>
            <w:r>
              <w:rPr>
                <w:sz w:val="12"/>
                <w:szCs w:val="12"/>
                <w:spacing w:val="-3"/>
              </w:rPr>
              <w:t>二、5-9月为高发期。高山格煤污病、紫薇、九里香</w:t>
            </w:r>
            <w:r>
              <w:rPr>
                <w:sz w:val="12"/>
                <w:szCs w:val="12"/>
                <w:spacing w:val="10"/>
              </w:rPr>
              <w:t xml:space="preserve"> </w:t>
            </w:r>
            <w:r>
              <w:rPr>
                <w:sz w:val="12"/>
                <w:szCs w:val="12"/>
              </w:rPr>
              <w:t>白粉病、柱花枯斑病、鱼尾葵，沿阶草炭疽病、台</w:t>
            </w:r>
            <w:r>
              <w:rPr>
                <w:sz w:val="12"/>
                <w:szCs w:val="12"/>
                <w:spacing w:val="5"/>
              </w:rPr>
              <w:t xml:space="preserve"> </w:t>
            </w:r>
            <w:r>
              <w:rPr>
                <w:sz w:val="12"/>
                <w:szCs w:val="12"/>
                <w:spacing w:val="-1"/>
              </w:rPr>
              <w:t>湾草和玉龙草叶桔病发生严重，及时巡查发现病</w:t>
            </w:r>
          </w:p>
          <w:p>
            <w:pPr>
              <w:pStyle w:val="TableText"/>
              <w:ind w:left="11"/>
              <w:spacing w:line="220" w:lineRule="auto"/>
              <w:rPr>
                <w:sz w:val="12"/>
                <w:szCs w:val="12"/>
              </w:rPr>
            </w:pPr>
            <w:r>
              <w:rPr>
                <w:sz w:val="12"/>
                <w:szCs w:val="12"/>
              </w:rPr>
              <w:t>情，及时喷药处理。</w:t>
            </w:r>
          </w:p>
        </w:tc>
        <w:tc>
          <w:tcPr>
            <w:tcW w:w="1249" w:type="dxa"/>
            <w:vAlign w:val="top"/>
          </w:tcPr>
          <w:p>
            <w:pPr>
              <w:pStyle w:val="TableText"/>
              <w:ind w:left="313"/>
              <w:spacing w:before="227" w:line="219" w:lineRule="auto"/>
              <w:rPr>
                <w:sz w:val="12"/>
                <w:szCs w:val="12"/>
              </w:rPr>
            </w:pPr>
            <w:r>
              <w:rPr>
                <w:sz w:val="12"/>
                <w:szCs w:val="12"/>
                <w:spacing w:val="-2"/>
              </w:rPr>
              <w:t>先正达世高</w:t>
            </w:r>
          </w:p>
        </w:tc>
        <w:tc>
          <w:tcPr>
            <w:tcW w:w="1889" w:type="dxa"/>
            <w:vAlign w:val="top"/>
          </w:tcPr>
          <w:p>
            <w:pPr>
              <w:pStyle w:val="TableText"/>
              <w:ind w:left="634"/>
              <w:spacing w:before="226" w:line="219" w:lineRule="auto"/>
              <w:rPr>
                <w:sz w:val="12"/>
                <w:szCs w:val="12"/>
              </w:rPr>
            </w:pPr>
            <w:r>
              <w:rPr>
                <w:sz w:val="12"/>
                <w:szCs w:val="12"/>
                <w:spacing w:val="-1"/>
              </w:rPr>
              <w:t>苯醚甲环唑</w:t>
            </w:r>
          </w:p>
        </w:tc>
        <w:tc>
          <w:tcPr>
            <w:tcW w:w="1609" w:type="dxa"/>
            <w:vAlign w:val="top"/>
          </w:tcPr>
          <w:p>
            <w:pPr>
              <w:pStyle w:val="TableText"/>
              <w:ind w:left="105"/>
              <w:spacing w:before="166" w:line="219" w:lineRule="auto"/>
              <w:rPr>
                <w:sz w:val="12"/>
                <w:szCs w:val="12"/>
              </w:rPr>
            </w:pPr>
            <w:r>
              <w:rPr>
                <w:sz w:val="12"/>
                <w:szCs w:val="12"/>
                <w:spacing w:val="-1"/>
              </w:rPr>
              <w:t>10%水分散粒剂800-1500倍</w:t>
            </w:r>
          </w:p>
        </w:tc>
        <w:tc>
          <w:tcPr>
            <w:tcW w:w="1029" w:type="dxa"/>
            <w:vAlign w:val="top"/>
          </w:tcPr>
          <w:p>
            <w:pPr>
              <w:pStyle w:val="TableText"/>
              <w:ind w:left="16"/>
              <w:spacing w:before="157" w:line="209" w:lineRule="auto"/>
              <w:rPr>
                <w:sz w:val="12"/>
                <w:szCs w:val="12"/>
              </w:rPr>
            </w:pPr>
            <w:r>
              <w:rPr>
                <w:sz w:val="12"/>
                <w:szCs w:val="12"/>
                <w:spacing w:val="-2"/>
              </w:rPr>
              <w:t>发病初施药，隔6天</w:t>
            </w:r>
            <w:r>
              <w:rPr>
                <w:sz w:val="12"/>
                <w:szCs w:val="12"/>
              </w:rPr>
              <w:t xml:space="preserve"> </w:t>
            </w:r>
            <w:r>
              <w:rPr>
                <w:sz w:val="12"/>
                <w:szCs w:val="12"/>
                <w:spacing w:val="-2"/>
              </w:rPr>
              <w:t>施一次，连续2次</w:t>
            </w:r>
          </w:p>
        </w:tc>
        <w:tc>
          <w:tcPr>
            <w:tcW w:w="719" w:type="dxa"/>
            <w:vAlign w:val="top"/>
          </w:tcPr>
          <w:p>
            <w:pPr>
              <w:pStyle w:val="TableText"/>
              <w:ind w:left="177"/>
              <w:spacing w:before="222" w:line="214" w:lineRule="auto"/>
              <w:rPr>
                <w:sz w:val="12"/>
                <w:szCs w:val="12"/>
              </w:rPr>
            </w:pPr>
            <w:r>
              <w:rPr>
                <w:sz w:val="12"/>
                <w:szCs w:val="12"/>
                <w:spacing w:val="-1"/>
              </w:rPr>
              <w:t>50g/袋</w:t>
            </w:r>
          </w:p>
        </w:tc>
        <w:tc>
          <w:tcPr>
            <w:tcW w:w="2783" w:type="dxa"/>
            <w:vAlign w:val="top"/>
          </w:tcPr>
          <w:p>
            <w:pPr>
              <w:pStyle w:val="TableText"/>
              <w:ind w:left="8" w:right="2" w:firstLine="9"/>
              <w:spacing w:before="85" w:line="225" w:lineRule="auto"/>
              <w:jc w:val="both"/>
              <w:rPr>
                <w:sz w:val="12"/>
                <w:szCs w:val="12"/>
              </w:rPr>
            </w:pPr>
            <w:r>
              <w:rPr>
                <w:sz w:val="12"/>
                <w:szCs w:val="12"/>
                <w:spacing w:val="-1"/>
              </w:rPr>
              <w:t>高效、安全、低毒、广谱性杀菌剂，对多种病害有预</w:t>
            </w:r>
            <w:r>
              <w:rPr>
                <w:sz w:val="12"/>
                <w:szCs w:val="12"/>
                <w:spacing w:val="14"/>
              </w:rPr>
              <w:t xml:space="preserve"> </w:t>
            </w:r>
            <w:r>
              <w:rPr>
                <w:sz w:val="12"/>
                <w:szCs w:val="12"/>
              </w:rPr>
              <w:t>防，治疗和铲除三大功效，防治叶斑病、锈</w:t>
            </w:r>
            <w:r>
              <w:rPr>
                <w:sz w:val="12"/>
                <w:szCs w:val="12"/>
                <w:spacing w:val="-1"/>
              </w:rPr>
              <w:t>隋，黑痘</w:t>
            </w:r>
            <w:r>
              <w:rPr>
                <w:sz w:val="12"/>
                <w:szCs w:val="12"/>
              </w:rPr>
              <w:t xml:space="preserve"> </w:t>
            </w:r>
            <w:r>
              <w:rPr>
                <w:sz w:val="12"/>
                <w:szCs w:val="12"/>
                <w:spacing w:val="-1"/>
              </w:rPr>
              <w:t>病、白腐病、霜霉病、白粉病等病害</w:t>
            </w:r>
          </w:p>
        </w:tc>
      </w:tr>
      <w:tr>
        <w:trPr>
          <w:trHeight w:val="60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248" w:line="221" w:lineRule="auto"/>
              <w:rPr>
                <w:sz w:val="12"/>
                <w:szCs w:val="12"/>
              </w:rPr>
            </w:pPr>
            <w:r>
              <w:rPr>
                <w:sz w:val="12"/>
                <w:szCs w:val="12"/>
                <w:spacing w:val="-2"/>
              </w:rPr>
              <w:t>三唑硐</w:t>
            </w:r>
          </w:p>
        </w:tc>
        <w:tc>
          <w:tcPr>
            <w:tcW w:w="1889" w:type="dxa"/>
            <w:vAlign w:val="top"/>
          </w:tcPr>
          <w:p>
            <w:pPr>
              <w:pStyle w:val="TableText"/>
              <w:ind w:left="754"/>
              <w:spacing w:before="248" w:line="221" w:lineRule="auto"/>
              <w:rPr>
                <w:sz w:val="12"/>
                <w:szCs w:val="12"/>
              </w:rPr>
            </w:pPr>
            <w:r>
              <w:rPr>
                <w:sz w:val="12"/>
                <w:szCs w:val="12"/>
                <w:spacing w:val="-2"/>
              </w:rPr>
              <w:t>三唑酮</w:t>
            </w:r>
          </w:p>
        </w:tc>
        <w:tc>
          <w:tcPr>
            <w:tcW w:w="1609" w:type="dxa"/>
            <w:vAlign w:val="top"/>
          </w:tcPr>
          <w:p>
            <w:pPr>
              <w:pStyle w:val="TableText"/>
              <w:ind w:left="255"/>
              <w:spacing w:before="247" w:line="219" w:lineRule="auto"/>
              <w:rPr>
                <w:sz w:val="12"/>
                <w:szCs w:val="12"/>
              </w:rPr>
            </w:pPr>
            <w:r>
              <w:rPr>
                <w:sz w:val="12"/>
                <w:szCs w:val="12"/>
                <w:spacing w:val="-1"/>
              </w:rPr>
              <w:t>20%稀释1000-1500倍</w:t>
            </w:r>
          </w:p>
        </w:tc>
        <w:tc>
          <w:tcPr>
            <w:tcW w:w="1029" w:type="dxa"/>
            <w:vAlign w:val="top"/>
          </w:tcPr>
          <w:p>
            <w:pPr>
              <w:pStyle w:val="TableText"/>
              <w:ind w:left="16"/>
              <w:spacing w:before="177" w:line="219" w:lineRule="auto"/>
              <w:rPr>
                <w:sz w:val="12"/>
                <w:szCs w:val="12"/>
              </w:rPr>
            </w:pPr>
            <w:r>
              <w:rPr>
                <w:sz w:val="12"/>
                <w:szCs w:val="12"/>
                <w:spacing w:val="-2"/>
              </w:rPr>
              <w:t>一般用2次。时间间</w:t>
            </w:r>
            <w:r>
              <w:rPr>
                <w:sz w:val="12"/>
                <w:szCs w:val="12"/>
              </w:rPr>
              <w:t xml:space="preserve"> </w:t>
            </w:r>
            <w:r>
              <w:rPr>
                <w:sz w:val="12"/>
                <w:szCs w:val="12"/>
                <w:spacing w:val="-3"/>
              </w:rPr>
              <w:t>隔7到10天</w:t>
            </w:r>
          </w:p>
        </w:tc>
        <w:tc>
          <w:tcPr>
            <w:tcW w:w="719" w:type="dxa"/>
            <w:vAlign w:val="top"/>
          </w:tcPr>
          <w:p>
            <w:pPr>
              <w:pStyle w:val="TableText"/>
              <w:ind w:left="117"/>
              <w:spacing w:before="248" w:line="221" w:lineRule="auto"/>
              <w:rPr>
                <w:sz w:val="12"/>
                <w:szCs w:val="12"/>
              </w:rPr>
            </w:pPr>
            <w:r>
              <w:rPr>
                <w:sz w:val="12"/>
                <w:szCs w:val="12"/>
                <w:spacing w:val="-1"/>
              </w:rPr>
              <w:t>200ml/瓶</w:t>
            </w:r>
          </w:p>
        </w:tc>
        <w:tc>
          <w:tcPr>
            <w:tcW w:w="2783" w:type="dxa"/>
            <w:vAlign w:val="top"/>
          </w:tcPr>
          <w:p>
            <w:pPr>
              <w:pStyle w:val="TableText"/>
              <w:ind w:left="8"/>
              <w:spacing w:before="87" w:line="232" w:lineRule="auto"/>
              <w:jc w:val="both"/>
              <w:rPr>
                <w:sz w:val="12"/>
                <w:szCs w:val="12"/>
              </w:rPr>
            </w:pPr>
            <w:r>
              <w:rPr>
                <w:sz w:val="12"/>
                <w:szCs w:val="12"/>
                <w:spacing w:val="-1"/>
              </w:rPr>
              <w:t>三唑丽是一种高效、低毒，低残留、持效期长、内吸</w:t>
            </w:r>
            <w:r>
              <w:rPr>
                <w:sz w:val="12"/>
                <w:szCs w:val="12"/>
                <w:spacing w:val="16"/>
              </w:rPr>
              <w:t xml:space="preserve"> </w:t>
            </w:r>
            <w:r>
              <w:rPr>
                <w:sz w:val="12"/>
                <w:szCs w:val="12"/>
                <w:spacing w:val="-3"/>
              </w:rPr>
              <w:t>性强的三喹类杀菌剂。三唑期类衣药一年使用2-3次要</w:t>
            </w:r>
            <w:r>
              <w:rPr>
                <w:sz w:val="12"/>
                <w:szCs w:val="12"/>
                <w:spacing w:val="18"/>
                <w:w w:val="101"/>
              </w:rPr>
              <w:t xml:space="preserve"> </w:t>
            </w:r>
            <w:r>
              <w:rPr>
                <w:sz w:val="12"/>
                <w:szCs w:val="12"/>
              </w:rPr>
              <w:t>不会影响生长</w:t>
            </w:r>
          </w:p>
        </w:tc>
      </w:tr>
      <w:tr>
        <w:trPr>
          <w:trHeight w:val="40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140" w:line="222" w:lineRule="auto"/>
              <w:rPr>
                <w:sz w:val="12"/>
                <w:szCs w:val="12"/>
              </w:rPr>
            </w:pPr>
            <w:r>
              <w:rPr>
                <w:sz w:val="12"/>
                <w:szCs w:val="12"/>
                <w:spacing w:val="-2"/>
              </w:rPr>
              <w:t>百理通</w:t>
            </w:r>
          </w:p>
        </w:tc>
        <w:tc>
          <w:tcPr>
            <w:tcW w:w="1889" w:type="dxa"/>
            <w:vAlign w:val="top"/>
          </w:tcPr>
          <w:p>
            <w:pPr>
              <w:pStyle w:val="TableText"/>
              <w:ind w:left="754"/>
              <w:spacing w:before="139" w:line="221" w:lineRule="auto"/>
              <w:rPr>
                <w:sz w:val="12"/>
                <w:szCs w:val="12"/>
              </w:rPr>
            </w:pPr>
            <w:r>
              <w:rPr>
                <w:sz w:val="12"/>
                <w:szCs w:val="12"/>
                <w:spacing w:val="-2"/>
              </w:rPr>
              <w:t>三唑酮</w:t>
            </w:r>
          </w:p>
        </w:tc>
        <w:tc>
          <w:tcPr>
            <w:tcW w:w="1609" w:type="dxa"/>
            <w:vAlign w:val="top"/>
          </w:tcPr>
          <w:p>
            <w:pPr>
              <w:pStyle w:val="TableText"/>
              <w:ind w:left="105"/>
              <w:spacing w:before="138" w:line="219" w:lineRule="auto"/>
              <w:rPr>
                <w:sz w:val="12"/>
                <w:szCs w:val="12"/>
              </w:rPr>
            </w:pPr>
            <w:r>
              <w:rPr>
                <w:sz w:val="12"/>
                <w:szCs w:val="12"/>
                <w:spacing w:val="-1"/>
              </w:rPr>
              <w:t>25%可湿性粉剂800-1500倍</w:t>
            </w:r>
          </w:p>
        </w:tc>
        <w:tc>
          <w:tcPr>
            <w:tcW w:w="1029" w:type="dxa"/>
            <w:vAlign w:val="top"/>
          </w:tcPr>
          <w:p>
            <w:pPr>
              <w:pStyle w:val="TableText"/>
              <w:ind w:left="16"/>
              <w:spacing w:before="78" w:line="210" w:lineRule="auto"/>
              <w:rPr>
                <w:sz w:val="12"/>
                <w:szCs w:val="12"/>
              </w:rPr>
            </w:pPr>
            <w:r>
              <w:rPr>
                <w:sz w:val="12"/>
                <w:szCs w:val="12"/>
                <w:spacing w:val="-2"/>
              </w:rPr>
              <w:t>阿隔15天1次，连喷</w:t>
            </w:r>
            <w:r>
              <w:rPr>
                <w:sz w:val="12"/>
                <w:szCs w:val="12"/>
                <w:spacing w:val="1"/>
              </w:rPr>
              <w:t xml:space="preserve"> </w:t>
            </w:r>
            <w:r>
              <w:rPr>
                <w:sz w:val="12"/>
                <w:szCs w:val="12"/>
                <w:spacing w:val="-3"/>
              </w:rPr>
              <w:t>3-4次</w:t>
            </w:r>
          </w:p>
        </w:tc>
        <w:tc>
          <w:tcPr>
            <w:tcW w:w="719" w:type="dxa"/>
            <w:vAlign w:val="top"/>
          </w:tcPr>
          <w:p>
            <w:pPr>
              <w:pStyle w:val="TableText"/>
              <w:ind w:left="177"/>
              <w:spacing w:before="134" w:line="214" w:lineRule="auto"/>
              <w:rPr>
                <w:sz w:val="12"/>
                <w:szCs w:val="12"/>
              </w:rPr>
            </w:pPr>
            <w:r>
              <w:rPr>
                <w:sz w:val="12"/>
                <w:szCs w:val="12"/>
                <w:spacing w:val="-1"/>
              </w:rPr>
              <w:t>50g/袋</w:t>
            </w:r>
          </w:p>
        </w:tc>
        <w:tc>
          <w:tcPr>
            <w:tcW w:w="2783" w:type="dxa"/>
            <w:vAlign w:val="top"/>
          </w:tcPr>
          <w:p>
            <w:pPr>
              <w:pStyle w:val="TableText"/>
              <w:ind w:left="18"/>
              <w:spacing w:before="78" w:line="209" w:lineRule="auto"/>
              <w:rPr>
                <w:sz w:val="12"/>
                <w:szCs w:val="12"/>
              </w:rPr>
            </w:pPr>
            <w:r>
              <w:rPr>
                <w:sz w:val="12"/>
                <w:szCs w:val="12"/>
                <w:spacing w:val="-3"/>
              </w:rPr>
              <w:t>防治锈病、白粉病、三唑酮类农药一年使用2-3次要不</w:t>
            </w:r>
            <w:r>
              <w:rPr>
                <w:sz w:val="12"/>
                <w:szCs w:val="12"/>
                <w:spacing w:val="8"/>
              </w:rPr>
              <w:t xml:space="preserve"> </w:t>
            </w:r>
            <w:r>
              <w:rPr>
                <w:sz w:val="12"/>
                <w:szCs w:val="12"/>
                <w:spacing w:val="-1"/>
              </w:rPr>
              <w:t>会影响生长</w:t>
            </w:r>
          </w:p>
        </w:tc>
      </w:tr>
      <w:tr>
        <w:trPr>
          <w:trHeight w:val="40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148" w:line="219" w:lineRule="auto"/>
              <w:rPr>
                <w:sz w:val="12"/>
                <w:szCs w:val="12"/>
              </w:rPr>
            </w:pPr>
            <w:r>
              <w:rPr>
                <w:sz w:val="12"/>
                <w:szCs w:val="12"/>
                <w:spacing w:val="-1"/>
              </w:rPr>
              <w:t>粉锈宁</w:t>
            </w:r>
          </w:p>
        </w:tc>
        <w:tc>
          <w:tcPr>
            <w:tcW w:w="1889" w:type="dxa"/>
            <w:vAlign w:val="top"/>
          </w:tcPr>
          <w:p>
            <w:pPr>
              <w:pStyle w:val="TableText"/>
              <w:ind w:left="754"/>
              <w:spacing w:before="149" w:line="221" w:lineRule="auto"/>
              <w:rPr>
                <w:sz w:val="12"/>
                <w:szCs w:val="12"/>
              </w:rPr>
            </w:pPr>
            <w:r>
              <w:rPr>
                <w:sz w:val="12"/>
                <w:szCs w:val="12"/>
                <w:spacing w:val="-2"/>
              </w:rPr>
              <w:t>三唑酮</w:t>
            </w:r>
          </w:p>
        </w:tc>
        <w:tc>
          <w:tcPr>
            <w:tcW w:w="1609" w:type="dxa"/>
            <w:vAlign w:val="top"/>
          </w:tcPr>
          <w:p>
            <w:pPr>
              <w:pStyle w:val="TableText"/>
              <w:ind w:left="405"/>
              <w:spacing w:before="149" w:line="220" w:lineRule="auto"/>
              <w:rPr>
                <w:sz w:val="12"/>
                <w:szCs w:val="12"/>
              </w:rPr>
            </w:pPr>
            <w:r>
              <w:rPr>
                <w:sz w:val="12"/>
                <w:szCs w:val="12"/>
                <w:spacing w:val="-1"/>
              </w:rPr>
              <w:t>20%乳泊1200倍</w:t>
            </w:r>
          </w:p>
        </w:tc>
        <w:tc>
          <w:tcPr>
            <w:tcW w:w="1029" w:type="dxa"/>
            <w:vAlign w:val="top"/>
          </w:tcPr>
          <w:p>
            <w:pPr>
              <w:pStyle w:val="TableText"/>
              <w:ind w:left="16" w:right="167"/>
              <w:spacing w:before="69" w:line="248" w:lineRule="auto"/>
              <w:rPr>
                <w:sz w:val="12"/>
                <w:szCs w:val="12"/>
              </w:rPr>
            </w:pPr>
            <w:r>
              <w:rPr>
                <w:sz w:val="12"/>
                <w:szCs w:val="12"/>
                <w:spacing w:val="-1"/>
              </w:rPr>
              <w:t>每隔15-20天喷1</w:t>
            </w:r>
            <w:r>
              <w:rPr>
                <w:sz w:val="12"/>
                <w:szCs w:val="12"/>
                <w:spacing w:val="4"/>
              </w:rPr>
              <w:t xml:space="preserve"> </w:t>
            </w:r>
            <w:r>
              <w:rPr>
                <w:sz w:val="12"/>
                <w:szCs w:val="12"/>
                <w:spacing w:val="-1"/>
              </w:rPr>
              <w:t>次，连喷2-3次</w:t>
            </w:r>
          </w:p>
        </w:tc>
        <w:tc>
          <w:tcPr>
            <w:tcW w:w="719" w:type="dxa"/>
            <w:vAlign w:val="top"/>
          </w:tcPr>
          <w:p>
            <w:pPr>
              <w:pStyle w:val="TableText"/>
              <w:ind w:left="117"/>
              <w:spacing w:before="149" w:line="221" w:lineRule="auto"/>
              <w:rPr>
                <w:sz w:val="12"/>
                <w:szCs w:val="12"/>
              </w:rPr>
            </w:pPr>
            <w:r>
              <w:rPr>
                <w:sz w:val="12"/>
                <w:szCs w:val="12"/>
                <w:spacing w:val="-2"/>
              </w:rPr>
              <w:t>100nl/瓶</w:t>
            </w:r>
          </w:p>
        </w:tc>
        <w:tc>
          <w:tcPr>
            <w:tcW w:w="2783" w:type="dxa"/>
            <w:vAlign w:val="top"/>
          </w:tcPr>
          <w:p>
            <w:pPr>
              <w:pStyle w:val="TableText"/>
              <w:ind w:left="8"/>
              <w:spacing w:before="69" w:line="247" w:lineRule="auto"/>
              <w:rPr>
                <w:sz w:val="12"/>
                <w:szCs w:val="12"/>
              </w:rPr>
            </w:pPr>
            <w:r>
              <w:rPr>
                <w:sz w:val="12"/>
                <w:szCs w:val="12"/>
                <w:spacing w:val="-3"/>
              </w:rPr>
              <w:t>防治白粉病、炭疸病，三唑阴类衣药一年使用2-3次要</w:t>
            </w:r>
            <w:r>
              <w:rPr>
                <w:sz w:val="12"/>
                <w:szCs w:val="12"/>
                <w:spacing w:val="18"/>
                <w:w w:val="101"/>
              </w:rPr>
              <w:t xml:space="preserve"> </w:t>
            </w:r>
            <w:r>
              <w:rPr>
                <w:sz w:val="12"/>
                <w:szCs w:val="12"/>
                <w:spacing w:val="-1"/>
              </w:rPr>
              <w:t>不会影响生长</w:t>
            </w:r>
          </w:p>
        </w:tc>
      </w:tr>
      <w:tr>
        <w:trPr>
          <w:trHeight w:val="44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160" w:line="220" w:lineRule="auto"/>
              <w:rPr>
                <w:sz w:val="12"/>
                <w:szCs w:val="12"/>
              </w:rPr>
            </w:pPr>
            <w:r>
              <w:rPr>
                <w:sz w:val="12"/>
                <w:szCs w:val="12"/>
                <w:spacing w:val="4"/>
              </w:rPr>
              <w:t>扑海因</w:t>
            </w:r>
          </w:p>
        </w:tc>
        <w:tc>
          <w:tcPr>
            <w:tcW w:w="1889" w:type="dxa"/>
            <w:vAlign w:val="top"/>
          </w:tcPr>
          <w:p>
            <w:pPr>
              <w:pStyle w:val="TableText"/>
              <w:ind w:left="574"/>
              <w:spacing w:before="160" w:line="219" w:lineRule="auto"/>
              <w:rPr>
                <w:sz w:val="12"/>
                <w:szCs w:val="12"/>
              </w:rPr>
            </w:pPr>
            <w:r>
              <w:rPr>
                <w:sz w:val="12"/>
                <w:szCs w:val="12"/>
                <w:spacing w:val="-1"/>
              </w:rPr>
              <w:t>二甲酰亚胺类</w:t>
            </w:r>
          </w:p>
        </w:tc>
        <w:tc>
          <w:tcPr>
            <w:tcW w:w="1609" w:type="dxa"/>
            <w:vAlign w:val="top"/>
          </w:tcPr>
          <w:p>
            <w:pPr>
              <w:pStyle w:val="TableText"/>
              <w:ind w:left="225"/>
              <w:spacing w:before="159" w:line="219" w:lineRule="auto"/>
              <w:rPr>
                <w:sz w:val="12"/>
                <w:szCs w:val="12"/>
              </w:rPr>
            </w:pPr>
            <w:r>
              <w:rPr>
                <w:sz w:val="12"/>
                <w:szCs w:val="12"/>
                <w:spacing w:val="-1"/>
              </w:rPr>
              <w:t>50%可湿性粉剂1200倍</w:t>
            </w:r>
          </w:p>
        </w:tc>
        <w:tc>
          <w:tcPr>
            <w:tcW w:w="1029" w:type="dxa"/>
            <w:vAlign w:val="top"/>
          </w:tcPr>
          <w:p>
            <w:pPr>
              <w:pStyle w:val="TableText"/>
              <w:ind w:left="16" w:right="47"/>
              <w:spacing w:before="20" w:line="210" w:lineRule="auto"/>
              <w:rPr>
                <w:sz w:val="12"/>
                <w:szCs w:val="12"/>
              </w:rPr>
            </w:pPr>
            <w:r>
              <w:rPr>
                <w:sz w:val="12"/>
                <w:szCs w:val="12"/>
                <w:spacing w:val="-1"/>
              </w:rPr>
              <w:t>每隔10-14天喷药1</w:t>
            </w:r>
            <w:r>
              <w:rPr>
                <w:sz w:val="12"/>
                <w:szCs w:val="12"/>
                <w:spacing w:val="5"/>
              </w:rPr>
              <w:t xml:space="preserve"> </w:t>
            </w:r>
            <w:r>
              <w:rPr>
                <w:sz w:val="12"/>
                <w:szCs w:val="12"/>
                <w:spacing w:val="-1"/>
              </w:rPr>
              <w:t>次，连续喷酒2-3</w:t>
            </w:r>
            <w:r>
              <w:rPr>
                <w:sz w:val="12"/>
                <w:szCs w:val="12"/>
              </w:rPr>
              <w:t xml:space="preserve">  </w:t>
            </w:r>
            <w:r>
              <w:rPr>
                <w:sz w:val="12"/>
                <w:szCs w:val="12"/>
              </w:rPr>
              <w:t>次</w:t>
            </w:r>
          </w:p>
        </w:tc>
        <w:tc>
          <w:tcPr>
            <w:tcW w:w="719" w:type="dxa"/>
            <w:vAlign w:val="top"/>
          </w:tcPr>
          <w:p>
            <w:pPr>
              <w:pStyle w:val="TableText"/>
              <w:ind w:left="177"/>
              <w:spacing w:before="155" w:line="214" w:lineRule="auto"/>
              <w:rPr>
                <w:sz w:val="12"/>
                <w:szCs w:val="12"/>
              </w:rPr>
            </w:pPr>
            <w:r>
              <w:rPr>
                <w:sz w:val="12"/>
                <w:szCs w:val="12"/>
                <w:spacing w:val="-1"/>
              </w:rPr>
              <w:t>50g/袋</w:t>
            </w:r>
          </w:p>
        </w:tc>
        <w:tc>
          <w:tcPr>
            <w:tcW w:w="2783" w:type="dxa"/>
            <w:vAlign w:val="top"/>
          </w:tcPr>
          <w:p>
            <w:pPr>
              <w:pStyle w:val="TableText"/>
              <w:ind w:left="8"/>
              <w:spacing w:before="160" w:line="219" w:lineRule="auto"/>
              <w:rPr>
                <w:sz w:val="12"/>
                <w:szCs w:val="12"/>
              </w:rPr>
            </w:pPr>
            <w:r>
              <w:rPr>
                <w:sz w:val="12"/>
                <w:szCs w:val="12"/>
                <w:spacing w:val="-1"/>
              </w:rPr>
              <w:t>常用于防治立枯病、早疫病和灰毒病等</w:t>
            </w:r>
          </w:p>
        </w:tc>
      </w:tr>
      <w:tr>
        <w:trPr>
          <w:trHeight w:val="40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193"/>
              <w:spacing w:before="149" w:line="219" w:lineRule="auto"/>
              <w:rPr>
                <w:sz w:val="12"/>
                <w:szCs w:val="12"/>
              </w:rPr>
            </w:pPr>
            <w:r>
              <w:rPr>
                <w:sz w:val="12"/>
                <w:szCs w:val="12"/>
                <w:spacing w:val="3"/>
              </w:rPr>
              <w:t>特克多(咪卤灵)</w:t>
            </w:r>
          </w:p>
        </w:tc>
        <w:tc>
          <w:tcPr>
            <w:tcW w:w="1889" w:type="dxa"/>
            <w:vAlign w:val="top"/>
          </w:tcPr>
          <w:p>
            <w:pPr>
              <w:pStyle w:val="TableText"/>
              <w:ind w:left="694"/>
              <w:spacing w:before="149" w:line="219" w:lineRule="auto"/>
              <w:rPr>
                <w:sz w:val="12"/>
                <w:szCs w:val="12"/>
              </w:rPr>
            </w:pPr>
            <w:r>
              <w:rPr>
                <w:sz w:val="12"/>
                <w:szCs w:val="12"/>
                <w:spacing w:val="-2"/>
              </w:rPr>
              <w:t>苯咪唑类</w:t>
            </w:r>
          </w:p>
        </w:tc>
        <w:tc>
          <w:tcPr>
            <w:tcW w:w="1609" w:type="dxa"/>
            <w:vAlign w:val="top"/>
          </w:tcPr>
          <w:p>
            <w:pPr>
              <w:pStyle w:val="TableText"/>
              <w:ind w:left="255"/>
              <w:spacing w:before="149" w:line="219" w:lineRule="auto"/>
              <w:rPr>
                <w:sz w:val="12"/>
                <w:szCs w:val="12"/>
              </w:rPr>
            </w:pPr>
            <w:r>
              <w:rPr>
                <w:sz w:val="12"/>
                <w:szCs w:val="12"/>
                <w:spacing w:val="-1"/>
              </w:rPr>
              <w:t>45%悬浮剂600-800倍</w:t>
            </w:r>
          </w:p>
        </w:tc>
        <w:tc>
          <w:tcPr>
            <w:tcW w:w="1029" w:type="dxa"/>
            <w:vAlign w:val="top"/>
            <w:vMerge w:val="restart"/>
            <w:tcBorders>
              <w:bottom w:val="nil"/>
            </w:tcBorders>
          </w:tcPr>
          <w:p>
            <w:pPr>
              <w:spacing w:line="328" w:lineRule="auto"/>
              <w:rPr>
                <w:rFonts w:ascii="Arial"/>
                <w:sz w:val="21"/>
              </w:rPr>
            </w:pPr>
            <w:r/>
          </w:p>
          <w:p>
            <w:pPr>
              <w:pStyle w:val="TableText"/>
              <w:ind w:left="225" w:right="32" w:hanging="199"/>
              <w:spacing w:before="39" w:line="249" w:lineRule="auto"/>
              <w:rPr>
                <w:sz w:val="12"/>
                <w:szCs w:val="12"/>
              </w:rPr>
            </w:pPr>
            <w:r>
              <w:rPr>
                <w:sz w:val="12"/>
                <w:szCs w:val="12"/>
              </w:rPr>
              <w:t>问隋10-15天1次， </w:t>
            </w:r>
            <w:r>
              <w:rPr>
                <w:sz w:val="12"/>
                <w:szCs w:val="12"/>
                <w:spacing w:val="-1"/>
              </w:rPr>
              <w:t>连唤2-3次</w:t>
            </w:r>
          </w:p>
        </w:tc>
        <w:tc>
          <w:tcPr>
            <w:tcW w:w="719" w:type="dxa"/>
            <w:vAlign w:val="top"/>
          </w:tcPr>
          <w:p>
            <w:pPr>
              <w:pStyle w:val="TableText"/>
              <w:ind w:left="117"/>
              <w:spacing w:before="150" w:line="221" w:lineRule="auto"/>
              <w:rPr>
                <w:sz w:val="12"/>
                <w:szCs w:val="12"/>
              </w:rPr>
            </w:pPr>
            <w:r>
              <w:rPr>
                <w:sz w:val="12"/>
                <w:szCs w:val="12"/>
                <w:spacing w:val="-2"/>
              </w:rPr>
              <w:t>100ml/瓶</w:t>
            </w:r>
          </w:p>
        </w:tc>
        <w:tc>
          <w:tcPr>
            <w:tcW w:w="2783" w:type="dxa"/>
            <w:vAlign w:val="top"/>
          </w:tcPr>
          <w:p>
            <w:pPr>
              <w:pStyle w:val="TableText"/>
              <w:ind w:left="8"/>
              <w:spacing w:before="79" w:line="218" w:lineRule="auto"/>
              <w:rPr>
                <w:sz w:val="12"/>
                <w:szCs w:val="12"/>
              </w:rPr>
            </w:pPr>
            <w:r>
              <w:rPr>
                <w:sz w:val="12"/>
                <w:szCs w:val="12"/>
              </w:rPr>
              <w:t>防治叶斑病、青霉病、炭疽病、灰霉病，黑星病，白</w:t>
            </w:r>
            <w:r>
              <w:rPr>
                <w:sz w:val="12"/>
                <w:szCs w:val="12"/>
                <w:spacing w:val="3"/>
              </w:rPr>
              <w:t xml:space="preserve"> </w:t>
            </w:r>
            <w:r>
              <w:rPr>
                <w:sz w:val="12"/>
                <w:szCs w:val="12"/>
                <w:spacing w:val="-2"/>
              </w:rPr>
              <w:t>粉病等防治</w:t>
            </w:r>
          </w:p>
        </w:tc>
      </w:tr>
      <w:tr>
        <w:trPr>
          <w:trHeight w:val="59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133"/>
              <w:spacing w:before="241" w:line="219" w:lineRule="auto"/>
              <w:rPr>
                <w:sz w:val="12"/>
                <w:szCs w:val="12"/>
              </w:rPr>
            </w:pPr>
            <w:r>
              <w:rPr>
                <w:sz w:val="12"/>
                <w:szCs w:val="12"/>
                <w:spacing w:val="2"/>
              </w:rPr>
              <w:t>好靓(丙硫多菌灵)</w:t>
            </w:r>
          </w:p>
        </w:tc>
        <w:tc>
          <w:tcPr>
            <w:tcW w:w="1889" w:type="dxa"/>
            <w:vAlign w:val="top"/>
          </w:tcPr>
          <w:p>
            <w:pPr>
              <w:pStyle w:val="TableText"/>
              <w:ind w:left="694"/>
              <w:spacing w:before="241" w:line="220" w:lineRule="auto"/>
              <w:rPr>
                <w:sz w:val="12"/>
                <w:szCs w:val="12"/>
              </w:rPr>
            </w:pPr>
            <w:r>
              <w:rPr>
                <w:sz w:val="12"/>
                <w:szCs w:val="12"/>
                <w:spacing w:val="-2"/>
              </w:rPr>
              <w:t>丙硫咪唑</w:t>
            </w:r>
          </w:p>
        </w:tc>
        <w:tc>
          <w:tcPr>
            <w:tcW w:w="1609" w:type="dxa"/>
            <w:vAlign w:val="top"/>
          </w:tcPr>
          <w:p>
            <w:pPr>
              <w:pStyle w:val="TableText"/>
              <w:ind w:left="255"/>
              <w:spacing w:before="241" w:line="219" w:lineRule="auto"/>
              <w:rPr>
                <w:sz w:val="12"/>
                <w:szCs w:val="12"/>
              </w:rPr>
            </w:pPr>
            <w:r>
              <w:rPr>
                <w:sz w:val="12"/>
                <w:szCs w:val="12"/>
                <w:spacing w:val="-1"/>
              </w:rPr>
              <w:t>20%好鬣2000-2000倍</w:t>
            </w:r>
          </w:p>
        </w:tc>
        <w:tc>
          <w:tcPr>
            <w:tcW w:w="1029" w:type="dxa"/>
            <w:vAlign w:val="top"/>
            <w:vMerge w:val="continue"/>
            <w:tcBorders>
              <w:top w:val="nil"/>
            </w:tcBorders>
          </w:tcPr>
          <w:p>
            <w:pPr>
              <w:rPr>
                <w:rFonts w:ascii="Arial"/>
                <w:sz w:val="21"/>
              </w:rPr>
            </w:pPr>
            <w:r/>
          </w:p>
        </w:tc>
        <w:tc>
          <w:tcPr>
            <w:tcW w:w="719" w:type="dxa"/>
            <w:vAlign w:val="top"/>
          </w:tcPr>
          <w:p>
            <w:pPr>
              <w:pStyle w:val="TableText"/>
              <w:ind w:left="177"/>
              <w:spacing w:before="236" w:line="214" w:lineRule="auto"/>
              <w:rPr>
                <w:sz w:val="12"/>
                <w:szCs w:val="12"/>
              </w:rPr>
            </w:pPr>
            <w:r>
              <w:rPr>
                <w:sz w:val="12"/>
                <w:szCs w:val="12"/>
                <w:spacing w:val="-1"/>
              </w:rPr>
              <w:t>50g/袋</w:t>
            </w:r>
          </w:p>
        </w:tc>
        <w:tc>
          <w:tcPr>
            <w:tcW w:w="2783" w:type="dxa"/>
            <w:vAlign w:val="top"/>
          </w:tcPr>
          <w:p>
            <w:pPr>
              <w:pStyle w:val="TableText"/>
              <w:ind w:left="17" w:hanging="9"/>
              <w:spacing w:before="110" w:line="217" w:lineRule="auto"/>
              <w:jc w:val="both"/>
              <w:rPr>
                <w:sz w:val="12"/>
                <w:szCs w:val="12"/>
              </w:rPr>
            </w:pPr>
            <w:r>
              <w:rPr>
                <w:sz w:val="12"/>
                <w:szCs w:val="12"/>
                <w:spacing w:val="-1"/>
              </w:rPr>
              <w:t>广诸内吸性杀菌刺。可用于防治枯萎病、疫痛、腐霉</w:t>
            </w:r>
            <w:r>
              <w:rPr>
                <w:sz w:val="12"/>
                <w:szCs w:val="12"/>
                <w:spacing w:val="12"/>
              </w:rPr>
              <w:t xml:space="preserve"> </w:t>
            </w:r>
            <w:r>
              <w:rPr>
                <w:sz w:val="12"/>
                <w:szCs w:val="12"/>
                <w:spacing w:val="-1"/>
              </w:rPr>
              <w:t>病、立枯病、根腐病、茎腐病、猝倒病等多种病害。</w:t>
            </w:r>
            <w:r>
              <w:rPr>
                <w:sz w:val="12"/>
                <w:szCs w:val="12"/>
                <w:spacing w:val="16"/>
                <w:w w:val="101"/>
              </w:rPr>
              <w:t xml:space="preserve"> </w:t>
            </w:r>
            <w:r>
              <w:rPr>
                <w:sz w:val="12"/>
                <w:szCs w:val="12"/>
                <w:spacing w:val="-1"/>
              </w:rPr>
              <w:t>使用方法：灌根，喷雾</w:t>
            </w:r>
          </w:p>
        </w:tc>
      </w:tr>
      <w:tr>
        <w:trPr>
          <w:trHeight w:val="41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193"/>
              <w:spacing w:before="152" w:line="219" w:lineRule="auto"/>
              <w:rPr>
                <w:sz w:val="12"/>
                <w:szCs w:val="12"/>
              </w:rPr>
            </w:pPr>
            <w:r>
              <w:rPr>
                <w:sz w:val="12"/>
                <w:szCs w:val="12"/>
                <w:spacing w:val="3"/>
              </w:rPr>
              <w:t>施保克(扑霉灵)</w:t>
            </w:r>
          </w:p>
        </w:tc>
        <w:tc>
          <w:tcPr>
            <w:tcW w:w="1889" w:type="dxa"/>
            <w:vAlign w:val="top"/>
          </w:tcPr>
          <w:p>
            <w:pPr>
              <w:pStyle w:val="TableText"/>
              <w:ind w:left="754"/>
              <w:spacing w:before="152" w:line="220" w:lineRule="auto"/>
              <w:rPr>
                <w:sz w:val="12"/>
                <w:szCs w:val="12"/>
              </w:rPr>
            </w:pPr>
            <w:r>
              <w:rPr>
                <w:sz w:val="12"/>
                <w:szCs w:val="12"/>
                <w:spacing w:val="-3"/>
              </w:rPr>
              <w:t>咪鲜玻</w:t>
            </w:r>
          </w:p>
        </w:tc>
        <w:tc>
          <w:tcPr>
            <w:tcW w:w="1609" w:type="dxa"/>
            <w:vAlign w:val="top"/>
          </w:tcPr>
          <w:p>
            <w:pPr>
              <w:pStyle w:val="TableText"/>
              <w:ind w:left="285"/>
              <w:spacing w:before="152" w:line="220" w:lineRule="auto"/>
              <w:rPr>
                <w:sz w:val="12"/>
                <w:szCs w:val="12"/>
              </w:rPr>
            </w:pPr>
            <w:r>
              <w:rPr>
                <w:sz w:val="12"/>
                <w:szCs w:val="12"/>
                <w:spacing w:val="-1"/>
              </w:rPr>
              <w:t>25%乳油800-1500倍</w:t>
            </w:r>
          </w:p>
        </w:tc>
        <w:tc>
          <w:tcPr>
            <w:tcW w:w="1029" w:type="dxa"/>
            <w:vAlign w:val="top"/>
          </w:tcPr>
          <w:p>
            <w:pPr>
              <w:pStyle w:val="TableText"/>
              <w:ind w:left="16" w:right="42"/>
              <w:spacing w:before="72" w:line="248" w:lineRule="auto"/>
              <w:rPr>
                <w:sz w:val="12"/>
                <w:szCs w:val="12"/>
              </w:rPr>
            </w:pPr>
            <w:r>
              <w:rPr>
                <w:sz w:val="12"/>
                <w:szCs w:val="12"/>
              </w:rPr>
              <w:t>同隔10-15天1次， </w:t>
            </w:r>
            <w:r>
              <w:rPr>
                <w:sz w:val="12"/>
                <w:szCs w:val="12"/>
                <w:spacing w:val="-1"/>
              </w:rPr>
              <w:t>连喷2-3次</w:t>
            </w:r>
          </w:p>
        </w:tc>
        <w:tc>
          <w:tcPr>
            <w:tcW w:w="719" w:type="dxa"/>
            <w:vAlign w:val="top"/>
          </w:tcPr>
          <w:p>
            <w:pPr>
              <w:pStyle w:val="TableText"/>
              <w:ind w:left="117"/>
              <w:spacing w:before="152" w:line="221" w:lineRule="auto"/>
              <w:rPr>
                <w:sz w:val="12"/>
                <w:szCs w:val="12"/>
              </w:rPr>
            </w:pPr>
            <w:r>
              <w:rPr>
                <w:sz w:val="12"/>
                <w:szCs w:val="12"/>
                <w:spacing w:val="-1"/>
              </w:rPr>
              <w:t>200ml/瓶</w:t>
            </w:r>
          </w:p>
        </w:tc>
        <w:tc>
          <w:tcPr>
            <w:tcW w:w="2783" w:type="dxa"/>
            <w:vAlign w:val="top"/>
          </w:tcPr>
          <w:p>
            <w:pPr>
              <w:pStyle w:val="TableText"/>
              <w:ind w:left="8"/>
              <w:spacing w:before="152" w:line="219" w:lineRule="auto"/>
              <w:rPr>
                <w:sz w:val="12"/>
                <w:szCs w:val="12"/>
              </w:rPr>
            </w:pPr>
            <w:r>
              <w:rPr>
                <w:sz w:val="12"/>
                <w:szCs w:val="12"/>
                <w:spacing w:val="-1"/>
              </w:rPr>
              <w:t>常用于防治炭疽病、叶斑病</w:t>
            </w:r>
          </w:p>
        </w:tc>
      </w:tr>
      <w:tr>
        <w:trPr>
          <w:trHeight w:val="40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73"/>
              <w:spacing w:before="151" w:line="219" w:lineRule="auto"/>
              <w:rPr>
                <w:sz w:val="12"/>
                <w:szCs w:val="12"/>
              </w:rPr>
            </w:pPr>
            <w:r>
              <w:rPr>
                <w:sz w:val="12"/>
                <w:szCs w:val="12"/>
                <w:spacing w:val="-1"/>
              </w:rPr>
              <w:t>绿象叶面生态清洁剂</w:t>
            </w:r>
          </w:p>
        </w:tc>
        <w:tc>
          <w:tcPr>
            <w:tcW w:w="1889" w:type="dxa"/>
            <w:vAlign w:val="top"/>
          </w:tcPr>
          <w:p>
            <w:pPr>
              <w:pStyle w:val="TableText"/>
              <w:ind w:left="394"/>
              <w:spacing w:before="91" w:line="217" w:lineRule="auto"/>
              <w:rPr>
                <w:sz w:val="12"/>
                <w:szCs w:val="12"/>
              </w:rPr>
            </w:pPr>
            <w:r>
              <w:rPr>
                <w:sz w:val="12"/>
                <w:szCs w:val="12"/>
                <w:spacing w:val="-1"/>
              </w:rPr>
              <w:t>生态分解剂和天然植</w:t>
            </w:r>
          </w:p>
          <w:p>
            <w:pPr>
              <w:pStyle w:val="TableText"/>
              <w:ind w:left="814"/>
              <w:spacing w:line="220" w:lineRule="auto"/>
              <w:rPr>
                <w:sz w:val="12"/>
                <w:szCs w:val="12"/>
              </w:rPr>
            </w:pPr>
            <w:r>
              <w:rPr>
                <w:sz w:val="12"/>
                <w:szCs w:val="12"/>
                <w:spacing w:val="-2"/>
              </w:rPr>
              <w:t>物蜡</w:t>
            </w:r>
          </w:p>
        </w:tc>
        <w:tc>
          <w:tcPr>
            <w:tcW w:w="1609" w:type="dxa"/>
            <w:vAlign w:val="top"/>
          </w:tcPr>
          <w:p>
            <w:pPr>
              <w:pStyle w:val="TableText"/>
              <w:ind w:left="555"/>
              <w:spacing w:before="152" w:line="220" w:lineRule="auto"/>
              <w:rPr>
                <w:sz w:val="12"/>
                <w:szCs w:val="12"/>
              </w:rPr>
            </w:pPr>
            <w:r>
              <w:rPr>
                <w:sz w:val="12"/>
                <w:szCs w:val="12"/>
                <w:spacing w:val="-2"/>
              </w:rPr>
              <w:t>50-100倍</w:t>
            </w:r>
          </w:p>
        </w:tc>
        <w:tc>
          <w:tcPr>
            <w:tcW w:w="1029" w:type="dxa"/>
            <w:vAlign w:val="top"/>
          </w:tcPr>
          <w:p>
            <w:pPr>
              <w:pStyle w:val="TableText"/>
              <w:ind w:left="16" w:right="42"/>
              <w:spacing w:before="91" w:line="210" w:lineRule="auto"/>
              <w:rPr>
                <w:sz w:val="12"/>
                <w:szCs w:val="12"/>
              </w:rPr>
            </w:pPr>
            <w:r>
              <w:rPr>
                <w:sz w:val="12"/>
                <w:szCs w:val="12"/>
                <w:spacing w:val="-1"/>
              </w:rPr>
              <w:t>间隔15-20天1次，</w:t>
            </w:r>
            <w:r>
              <w:rPr>
                <w:sz w:val="12"/>
                <w:szCs w:val="12"/>
                <w:spacing w:val="9"/>
              </w:rPr>
              <w:t xml:space="preserve"> </w:t>
            </w:r>
            <w:r>
              <w:rPr>
                <w:sz w:val="12"/>
                <w:szCs w:val="12"/>
                <w:spacing w:val="-1"/>
              </w:rPr>
              <w:t>连喷2-3次</w:t>
            </w:r>
          </w:p>
        </w:tc>
        <w:tc>
          <w:tcPr>
            <w:tcW w:w="719" w:type="dxa"/>
            <w:vAlign w:val="top"/>
          </w:tcPr>
          <w:p>
            <w:pPr>
              <w:pStyle w:val="TableText"/>
              <w:ind w:left="117"/>
              <w:spacing w:before="152" w:line="221" w:lineRule="auto"/>
              <w:rPr>
                <w:sz w:val="12"/>
                <w:szCs w:val="12"/>
              </w:rPr>
            </w:pPr>
            <w:r>
              <w:rPr>
                <w:sz w:val="12"/>
                <w:szCs w:val="12"/>
                <w:spacing w:val="-1"/>
              </w:rPr>
              <w:t>000ml/瓶</w:t>
            </w:r>
          </w:p>
        </w:tc>
        <w:tc>
          <w:tcPr>
            <w:tcW w:w="2783" w:type="dxa"/>
            <w:vAlign w:val="top"/>
          </w:tcPr>
          <w:p>
            <w:pPr>
              <w:pStyle w:val="TableText"/>
              <w:ind w:left="8" w:right="12"/>
              <w:spacing w:before="92" w:line="236" w:lineRule="auto"/>
              <w:rPr>
                <w:sz w:val="12"/>
                <w:szCs w:val="12"/>
              </w:rPr>
            </w:pPr>
            <w:r>
              <w:rPr>
                <w:sz w:val="12"/>
                <w:szCs w:val="12"/>
                <w:spacing w:val="-1"/>
              </w:rPr>
              <w:t>与50%多菌灵800倍液混合喷洒叶片，常用于防治煤污</w:t>
            </w:r>
            <w:r>
              <w:rPr>
                <w:sz w:val="12"/>
                <w:szCs w:val="12"/>
                <w:spacing w:val="17"/>
                <w:w w:val="101"/>
              </w:rPr>
              <w:t xml:space="preserve"> </w:t>
            </w:r>
            <w:r>
              <w:rPr>
                <w:sz w:val="12"/>
                <w:szCs w:val="12"/>
              </w:rPr>
              <w:t>病</w:t>
            </w:r>
          </w:p>
        </w:tc>
      </w:tr>
      <w:tr>
        <w:trPr>
          <w:trHeight w:val="41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313"/>
              <w:spacing w:before="153" w:line="220" w:lineRule="auto"/>
              <w:rPr>
                <w:sz w:val="12"/>
                <w:szCs w:val="12"/>
              </w:rPr>
            </w:pPr>
            <w:r>
              <w:rPr>
                <w:sz w:val="12"/>
                <w:szCs w:val="12"/>
                <w:spacing w:val="1"/>
              </w:rPr>
              <w:t>中威乐翻天</w:t>
            </w:r>
          </w:p>
        </w:tc>
        <w:tc>
          <w:tcPr>
            <w:tcW w:w="1889" w:type="dxa"/>
            <w:vAlign w:val="top"/>
          </w:tcPr>
          <w:p>
            <w:pPr>
              <w:pStyle w:val="TableText"/>
              <w:ind w:left="664"/>
              <w:spacing w:before="153" w:line="220" w:lineRule="auto"/>
              <w:rPr>
                <w:sz w:val="12"/>
                <w:szCs w:val="12"/>
              </w:rPr>
            </w:pPr>
            <w:r>
              <w:rPr>
                <w:sz w:val="12"/>
                <w:szCs w:val="12"/>
                <w:spacing w:val="-1"/>
              </w:rPr>
              <w:t>皮唑醇20%</w:t>
            </w:r>
          </w:p>
        </w:tc>
        <w:tc>
          <w:tcPr>
            <w:tcW w:w="1609" w:type="dxa"/>
            <w:vAlign w:val="top"/>
          </w:tcPr>
          <w:p>
            <w:pPr>
              <w:pStyle w:val="TableText"/>
              <w:ind w:left="405"/>
              <w:spacing w:before="153" w:line="220" w:lineRule="auto"/>
              <w:rPr>
                <w:sz w:val="12"/>
                <w:szCs w:val="12"/>
              </w:rPr>
            </w:pPr>
            <w:r>
              <w:rPr>
                <w:sz w:val="12"/>
                <w:szCs w:val="12"/>
                <w:spacing w:val="-2"/>
              </w:rPr>
              <w:t>1000-1500倍液</w:t>
            </w:r>
          </w:p>
        </w:tc>
        <w:tc>
          <w:tcPr>
            <w:tcW w:w="1029"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spacing w:before="39" w:line="219" w:lineRule="auto"/>
              <w:jc w:val="right"/>
              <w:rPr>
                <w:sz w:val="12"/>
                <w:szCs w:val="12"/>
              </w:rPr>
            </w:pPr>
            <w:r>
              <w:rPr>
                <w:sz w:val="12"/>
                <w:szCs w:val="12"/>
                <w:spacing w:val="-2"/>
              </w:rPr>
              <w:t>一般用3次，时间间</w:t>
            </w:r>
          </w:p>
          <w:p>
            <w:pPr>
              <w:pStyle w:val="TableText"/>
              <w:ind w:left="256"/>
              <w:spacing w:before="17" w:line="220" w:lineRule="auto"/>
              <w:rPr>
                <w:sz w:val="12"/>
                <w:szCs w:val="12"/>
              </w:rPr>
            </w:pPr>
            <w:r>
              <w:rPr>
                <w:sz w:val="12"/>
                <w:szCs w:val="12"/>
                <w:spacing w:val="-2"/>
              </w:rPr>
              <w:t>隔7到10天</w:t>
            </w:r>
          </w:p>
        </w:tc>
        <w:tc>
          <w:tcPr>
            <w:tcW w:w="719" w:type="dxa"/>
            <w:vAlign w:val="top"/>
          </w:tcPr>
          <w:p>
            <w:pPr>
              <w:pStyle w:val="TableText"/>
              <w:ind w:left="177"/>
              <w:spacing w:before="148" w:line="214" w:lineRule="auto"/>
              <w:rPr>
                <w:sz w:val="12"/>
                <w:szCs w:val="12"/>
              </w:rPr>
            </w:pPr>
            <w:r>
              <w:rPr>
                <w:sz w:val="12"/>
                <w:szCs w:val="12"/>
                <w:spacing w:val="-1"/>
              </w:rPr>
              <w:t>20g/袋</w:t>
            </w:r>
          </w:p>
        </w:tc>
        <w:tc>
          <w:tcPr>
            <w:tcW w:w="2783" w:type="dxa"/>
            <w:vAlign w:val="top"/>
          </w:tcPr>
          <w:p>
            <w:pPr>
              <w:pStyle w:val="TableText"/>
              <w:ind w:left="8"/>
              <w:spacing w:before="152" w:line="219" w:lineRule="auto"/>
              <w:rPr>
                <w:sz w:val="12"/>
                <w:szCs w:val="12"/>
              </w:rPr>
            </w:pPr>
            <w:r>
              <w:rPr>
                <w:sz w:val="12"/>
                <w:szCs w:val="12"/>
              </w:rPr>
              <w:t>防治草坪白粉病、锈病</w:t>
            </w:r>
          </w:p>
        </w:tc>
      </w:tr>
      <w:tr>
        <w:trPr>
          <w:trHeight w:val="43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73"/>
              <w:spacing w:before="162" w:line="219" w:lineRule="auto"/>
              <w:rPr>
                <w:sz w:val="12"/>
                <w:szCs w:val="12"/>
              </w:rPr>
            </w:pPr>
            <w:r>
              <w:rPr>
                <w:sz w:val="12"/>
                <w:szCs w:val="12"/>
                <w:spacing w:val="-1"/>
              </w:rPr>
              <w:t>炭疽相美可湿性粉剂</w:t>
            </w:r>
          </w:p>
        </w:tc>
        <w:tc>
          <w:tcPr>
            <w:tcW w:w="1889" w:type="dxa"/>
            <w:vAlign w:val="top"/>
          </w:tcPr>
          <w:p>
            <w:pPr>
              <w:pStyle w:val="TableText"/>
              <w:ind w:left="333"/>
              <w:spacing w:before="163" w:line="220" w:lineRule="auto"/>
              <w:rPr>
                <w:sz w:val="12"/>
                <w:szCs w:val="12"/>
              </w:rPr>
            </w:pPr>
            <w:r>
              <w:rPr>
                <w:sz w:val="12"/>
                <w:szCs w:val="12"/>
                <w:spacing w:val="-1"/>
              </w:rPr>
              <w:t>福美双30%、福美辞50%</w:t>
            </w:r>
          </w:p>
        </w:tc>
        <w:tc>
          <w:tcPr>
            <w:tcW w:w="1609" w:type="dxa"/>
            <w:vAlign w:val="top"/>
          </w:tcPr>
          <w:p>
            <w:pPr>
              <w:pStyle w:val="TableText"/>
              <w:ind w:left="45"/>
              <w:spacing w:before="163" w:line="220" w:lineRule="auto"/>
              <w:rPr>
                <w:sz w:val="12"/>
                <w:szCs w:val="12"/>
              </w:rPr>
            </w:pPr>
            <w:r>
              <w:rPr>
                <w:sz w:val="12"/>
                <w:szCs w:val="12"/>
                <w:spacing w:val="-1"/>
              </w:rPr>
              <w:t>50-70%炭疽福美500-600倍液</w:t>
            </w:r>
          </w:p>
        </w:tc>
        <w:tc>
          <w:tcPr>
            <w:tcW w:w="1029" w:type="dxa"/>
            <w:vAlign w:val="top"/>
            <w:vMerge w:val="continue"/>
            <w:tcBorders>
              <w:top w:val="nil"/>
              <w:bottom w:val="nil"/>
            </w:tcBorders>
          </w:tcPr>
          <w:p>
            <w:pPr>
              <w:rPr>
                <w:rFonts w:ascii="Arial"/>
                <w:sz w:val="21"/>
              </w:rPr>
            </w:pPr>
            <w:r/>
          </w:p>
        </w:tc>
        <w:tc>
          <w:tcPr>
            <w:tcW w:w="719" w:type="dxa"/>
            <w:vAlign w:val="top"/>
          </w:tcPr>
          <w:p>
            <w:pPr>
              <w:pStyle w:val="TableText"/>
              <w:ind w:left="147"/>
              <w:spacing w:before="158" w:line="214" w:lineRule="auto"/>
              <w:rPr>
                <w:sz w:val="12"/>
                <w:szCs w:val="12"/>
              </w:rPr>
            </w:pPr>
            <w:r>
              <w:rPr>
                <w:sz w:val="12"/>
                <w:szCs w:val="12"/>
                <w:spacing w:val="-1"/>
              </w:rPr>
              <w:t>350g/袋</w:t>
            </w:r>
          </w:p>
        </w:tc>
        <w:tc>
          <w:tcPr>
            <w:tcW w:w="2783" w:type="dxa"/>
            <w:vAlign w:val="top"/>
          </w:tcPr>
          <w:p>
            <w:pPr>
              <w:pStyle w:val="TableText"/>
              <w:ind w:left="8"/>
              <w:spacing w:before="162" w:line="219" w:lineRule="auto"/>
              <w:rPr>
                <w:sz w:val="12"/>
                <w:szCs w:val="12"/>
              </w:rPr>
            </w:pPr>
            <w:r>
              <w:rPr>
                <w:sz w:val="12"/>
                <w:szCs w:val="12"/>
                <w:spacing w:val="-1"/>
              </w:rPr>
              <w:t>专治黑斑病、炭谊病，不能与钢制剂混用</w:t>
            </w:r>
          </w:p>
        </w:tc>
      </w:tr>
      <w:tr>
        <w:trPr>
          <w:trHeight w:val="40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193"/>
              <w:spacing w:before="153" w:line="219" w:lineRule="auto"/>
              <w:rPr>
                <w:sz w:val="12"/>
                <w:szCs w:val="12"/>
              </w:rPr>
            </w:pPr>
            <w:r>
              <w:rPr>
                <w:sz w:val="12"/>
                <w:szCs w:val="12"/>
                <w:spacing w:val="-2"/>
              </w:rPr>
              <w:t>阿西米达悬浮液</w:t>
            </w:r>
          </w:p>
        </w:tc>
        <w:tc>
          <w:tcPr>
            <w:tcW w:w="1889" w:type="dxa"/>
            <w:vAlign w:val="top"/>
          </w:tcPr>
          <w:p>
            <w:pPr>
              <w:pStyle w:val="TableText"/>
              <w:ind w:left="754"/>
              <w:spacing w:before="153" w:line="219" w:lineRule="auto"/>
              <w:rPr>
                <w:sz w:val="12"/>
                <w:szCs w:val="12"/>
              </w:rPr>
            </w:pPr>
            <w:r>
              <w:rPr>
                <w:sz w:val="12"/>
                <w:szCs w:val="12"/>
                <w:spacing w:val="-3"/>
              </w:rPr>
              <w:t>嘧菌酯</w:t>
            </w:r>
          </w:p>
        </w:tc>
        <w:tc>
          <w:tcPr>
            <w:tcW w:w="1609" w:type="dxa"/>
            <w:vAlign w:val="top"/>
          </w:tcPr>
          <w:p>
            <w:pPr>
              <w:pStyle w:val="TableText"/>
              <w:ind w:left="674" w:right="60" w:hanging="629"/>
              <w:spacing w:before="73" w:line="249" w:lineRule="auto"/>
              <w:rPr>
                <w:sz w:val="12"/>
                <w:szCs w:val="12"/>
              </w:rPr>
            </w:pPr>
            <w:r>
              <w:rPr>
                <w:sz w:val="12"/>
                <w:szCs w:val="12"/>
                <w:spacing w:val="-1"/>
              </w:rPr>
              <w:t>25阿西米达悬浮液1200-1500</w:t>
            </w:r>
            <w:r>
              <w:rPr>
                <w:sz w:val="12"/>
                <w:szCs w:val="12"/>
                <w:spacing w:val="10"/>
              </w:rPr>
              <w:t xml:space="preserve"> </w:t>
            </w:r>
            <w:r>
              <w:rPr>
                <w:sz w:val="12"/>
                <w:szCs w:val="12"/>
                <w:spacing w:val="-2"/>
              </w:rPr>
              <w:t>倍液</w:t>
            </w:r>
          </w:p>
        </w:tc>
        <w:tc>
          <w:tcPr>
            <w:tcW w:w="1029" w:type="dxa"/>
            <w:vAlign w:val="top"/>
            <w:vMerge w:val="continue"/>
            <w:tcBorders>
              <w:top w:val="nil"/>
              <w:bottom w:val="nil"/>
            </w:tcBorders>
          </w:tcPr>
          <w:p>
            <w:pPr>
              <w:rPr>
                <w:rFonts w:ascii="Arial"/>
                <w:sz w:val="21"/>
              </w:rPr>
            </w:pPr>
            <w:r/>
          </w:p>
        </w:tc>
        <w:tc>
          <w:tcPr>
            <w:tcW w:w="719" w:type="dxa"/>
            <w:vAlign w:val="top"/>
          </w:tcPr>
          <w:p>
            <w:pPr>
              <w:pStyle w:val="TableText"/>
              <w:ind w:left="207"/>
              <w:spacing w:before="153" w:line="221" w:lineRule="auto"/>
              <w:rPr>
                <w:sz w:val="12"/>
                <w:szCs w:val="12"/>
              </w:rPr>
            </w:pPr>
            <w:r>
              <w:rPr>
                <w:sz w:val="12"/>
                <w:szCs w:val="12"/>
                <w:spacing w:val="-3"/>
              </w:rPr>
              <w:t>11/瓶</w:t>
            </w:r>
          </w:p>
        </w:tc>
        <w:tc>
          <w:tcPr>
            <w:tcW w:w="2783" w:type="dxa"/>
            <w:vAlign w:val="top"/>
          </w:tcPr>
          <w:p>
            <w:pPr>
              <w:pStyle w:val="TableText"/>
              <w:ind w:left="8"/>
              <w:spacing w:before="153" w:line="219" w:lineRule="auto"/>
              <w:rPr>
                <w:sz w:val="12"/>
                <w:szCs w:val="12"/>
              </w:rPr>
            </w:pPr>
            <w:r>
              <w:rPr>
                <w:sz w:val="12"/>
                <w:szCs w:val="12"/>
                <w:spacing w:val="-1"/>
              </w:rPr>
              <w:t>广谱杀菌，对四大类致病真菌，天然低毒安全无公害</w:t>
            </w:r>
          </w:p>
        </w:tc>
      </w:tr>
      <w:tr>
        <w:trPr>
          <w:trHeight w:val="41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153" w:line="219" w:lineRule="auto"/>
              <w:rPr>
                <w:sz w:val="12"/>
                <w:szCs w:val="12"/>
              </w:rPr>
            </w:pPr>
            <w:r>
              <w:rPr>
                <w:sz w:val="12"/>
                <w:szCs w:val="12"/>
                <w:spacing w:val="-3"/>
              </w:rPr>
              <w:t>多菌灵</w:t>
            </w:r>
          </w:p>
        </w:tc>
        <w:tc>
          <w:tcPr>
            <w:tcW w:w="1889" w:type="dxa"/>
            <w:vAlign w:val="top"/>
          </w:tcPr>
          <w:p>
            <w:pPr>
              <w:pStyle w:val="TableText"/>
              <w:ind w:left="664"/>
              <w:spacing w:before="153" w:line="219" w:lineRule="auto"/>
              <w:rPr>
                <w:sz w:val="12"/>
                <w:szCs w:val="12"/>
              </w:rPr>
            </w:pPr>
            <w:r>
              <w:rPr>
                <w:sz w:val="12"/>
                <w:szCs w:val="12"/>
                <w:spacing w:val="-1"/>
              </w:rPr>
              <w:t>50%多菌灵</w:t>
            </w:r>
          </w:p>
        </w:tc>
        <w:tc>
          <w:tcPr>
            <w:tcW w:w="1609" w:type="dxa"/>
            <w:vAlign w:val="top"/>
          </w:tcPr>
          <w:p>
            <w:pPr>
              <w:pStyle w:val="TableText"/>
              <w:ind w:left="435"/>
              <w:spacing w:before="154" w:line="220" w:lineRule="auto"/>
              <w:rPr>
                <w:sz w:val="12"/>
                <w:szCs w:val="12"/>
              </w:rPr>
            </w:pPr>
            <w:r>
              <w:rPr>
                <w:sz w:val="12"/>
                <w:szCs w:val="12"/>
                <w:spacing w:val="-1"/>
              </w:rPr>
              <w:t>600-1000倍液</w:t>
            </w:r>
          </w:p>
        </w:tc>
        <w:tc>
          <w:tcPr>
            <w:tcW w:w="1029" w:type="dxa"/>
            <w:vAlign w:val="top"/>
            <w:vMerge w:val="continue"/>
            <w:tcBorders>
              <w:top w:val="nil"/>
              <w:bottom w:val="nil"/>
            </w:tcBorders>
          </w:tcPr>
          <w:p>
            <w:pPr>
              <w:rPr>
                <w:rFonts w:ascii="Arial"/>
                <w:sz w:val="21"/>
              </w:rPr>
            </w:pPr>
            <w:r/>
          </w:p>
        </w:tc>
        <w:tc>
          <w:tcPr>
            <w:tcW w:w="719" w:type="dxa"/>
            <w:vAlign w:val="top"/>
          </w:tcPr>
          <w:p>
            <w:pPr>
              <w:pStyle w:val="TableText"/>
              <w:ind w:left="147"/>
              <w:spacing w:before="149" w:line="214" w:lineRule="auto"/>
              <w:rPr>
                <w:sz w:val="12"/>
                <w:szCs w:val="12"/>
              </w:rPr>
            </w:pPr>
            <w:r>
              <w:rPr>
                <w:sz w:val="12"/>
                <w:szCs w:val="12"/>
                <w:spacing w:val="-2"/>
              </w:rPr>
              <w:t>100g/袋</w:t>
            </w:r>
          </w:p>
        </w:tc>
        <w:tc>
          <w:tcPr>
            <w:tcW w:w="2783" w:type="dxa"/>
            <w:vAlign w:val="top"/>
          </w:tcPr>
          <w:p>
            <w:pPr>
              <w:pStyle w:val="TableText"/>
              <w:ind w:left="8"/>
              <w:spacing w:before="153" w:line="219" w:lineRule="auto"/>
              <w:rPr>
                <w:sz w:val="12"/>
                <w:szCs w:val="12"/>
              </w:rPr>
            </w:pPr>
            <w:r>
              <w:rPr>
                <w:sz w:val="12"/>
                <w:szCs w:val="12"/>
                <w:spacing w:val="-1"/>
              </w:rPr>
              <w:t>广谱性杀菌剂</w:t>
            </w:r>
          </w:p>
        </w:tc>
      </w:tr>
      <w:tr>
        <w:trPr>
          <w:trHeight w:val="41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154" w:line="219" w:lineRule="auto"/>
              <w:rPr>
                <w:sz w:val="12"/>
                <w:szCs w:val="12"/>
              </w:rPr>
            </w:pPr>
            <w:r>
              <w:rPr>
                <w:sz w:val="12"/>
                <w:szCs w:val="12"/>
                <w:spacing w:val="-2"/>
              </w:rPr>
              <w:t>百菌清</w:t>
            </w:r>
          </w:p>
        </w:tc>
        <w:tc>
          <w:tcPr>
            <w:tcW w:w="1889" w:type="dxa"/>
            <w:vAlign w:val="top"/>
          </w:tcPr>
          <w:p>
            <w:pPr>
              <w:pStyle w:val="TableText"/>
              <w:ind w:left="664"/>
              <w:spacing w:before="154" w:line="219" w:lineRule="auto"/>
              <w:rPr>
                <w:sz w:val="12"/>
                <w:szCs w:val="12"/>
              </w:rPr>
            </w:pPr>
            <w:r>
              <w:rPr>
                <w:sz w:val="12"/>
                <w:szCs w:val="12"/>
                <w:spacing w:val="-1"/>
              </w:rPr>
              <w:t>75%百菌清</w:t>
            </w:r>
          </w:p>
        </w:tc>
        <w:tc>
          <w:tcPr>
            <w:tcW w:w="1609" w:type="dxa"/>
            <w:vAlign w:val="top"/>
          </w:tcPr>
          <w:p>
            <w:pPr>
              <w:pStyle w:val="TableText"/>
              <w:ind w:left="435"/>
              <w:spacing w:before="154" w:line="220" w:lineRule="auto"/>
              <w:rPr>
                <w:sz w:val="12"/>
                <w:szCs w:val="12"/>
              </w:rPr>
            </w:pPr>
            <w:r>
              <w:rPr>
                <w:sz w:val="12"/>
                <w:szCs w:val="12"/>
                <w:spacing w:val="-1"/>
              </w:rPr>
              <w:t>600-1000倍液</w:t>
            </w:r>
          </w:p>
        </w:tc>
        <w:tc>
          <w:tcPr>
            <w:tcW w:w="1029" w:type="dxa"/>
            <w:vAlign w:val="top"/>
            <w:vMerge w:val="continue"/>
            <w:tcBorders>
              <w:top w:val="nil"/>
              <w:bottom w:val="nil"/>
            </w:tcBorders>
          </w:tcPr>
          <w:p>
            <w:pPr>
              <w:rPr>
                <w:rFonts w:ascii="Arial"/>
                <w:sz w:val="21"/>
              </w:rPr>
            </w:pPr>
            <w:r/>
          </w:p>
        </w:tc>
        <w:tc>
          <w:tcPr>
            <w:tcW w:w="719" w:type="dxa"/>
            <w:vAlign w:val="top"/>
          </w:tcPr>
          <w:p>
            <w:pPr>
              <w:pStyle w:val="TableText"/>
              <w:ind w:left="177"/>
              <w:spacing w:before="149" w:line="214" w:lineRule="auto"/>
              <w:rPr>
                <w:sz w:val="12"/>
                <w:szCs w:val="12"/>
              </w:rPr>
            </w:pPr>
            <w:r>
              <w:rPr>
                <w:sz w:val="12"/>
                <w:szCs w:val="12"/>
                <w:spacing w:val="-3"/>
              </w:rPr>
              <w:t>lkg/袋</w:t>
            </w:r>
          </w:p>
        </w:tc>
        <w:tc>
          <w:tcPr>
            <w:tcW w:w="2783" w:type="dxa"/>
            <w:vAlign w:val="top"/>
          </w:tcPr>
          <w:p>
            <w:pPr>
              <w:pStyle w:val="TableText"/>
              <w:ind w:left="8"/>
              <w:spacing w:before="153" w:line="219" w:lineRule="auto"/>
              <w:rPr>
                <w:sz w:val="12"/>
                <w:szCs w:val="12"/>
              </w:rPr>
            </w:pPr>
            <w:r>
              <w:rPr>
                <w:sz w:val="12"/>
                <w:szCs w:val="12"/>
                <w:spacing w:val="-1"/>
              </w:rPr>
              <w:t>广谱高效杀菌剂</w:t>
            </w:r>
          </w:p>
        </w:tc>
      </w:tr>
      <w:tr>
        <w:trPr>
          <w:trHeight w:val="409"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313"/>
              <w:spacing w:before="153" w:line="219" w:lineRule="auto"/>
              <w:rPr>
                <w:sz w:val="12"/>
                <w:szCs w:val="12"/>
              </w:rPr>
            </w:pPr>
            <w:r>
              <w:rPr>
                <w:sz w:val="12"/>
                <w:szCs w:val="12"/>
                <w:spacing w:val="-1"/>
              </w:rPr>
              <w:t>诺普信瑜托</w:t>
            </w:r>
          </w:p>
        </w:tc>
        <w:tc>
          <w:tcPr>
            <w:tcW w:w="1889" w:type="dxa"/>
            <w:vAlign w:val="top"/>
          </w:tcPr>
          <w:p>
            <w:pPr>
              <w:pStyle w:val="TableText"/>
              <w:ind w:left="544"/>
              <w:spacing w:before="153" w:line="219" w:lineRule="auto"/>
              <w:rPr>
                <w:sz w:val="12"/>
                <w:szCs w:val="12"/>
              </w:rPr>
            </w:pPr>
            <w:r>
              <w:rPr>
                <w:sz w:val="12"/>
                <w:szCs w:val="12"/>
              </w:rPr>
              <w:t>甲基硫菌灵50%</w:t>
            </w:r>
          </w:p>
        </w:tc>
        <w:tc>
          <w:tcPr>
            <w:tcW w:w="1609" w:type="dxa"/>
            <w:vAlign w:val="top"/>
          </w:tcPr>
          <w:p>
            <w:pPr>
              <w:pStyle w:val="TableText"/>
              <w:ind w:left="525"/>
              <w:spacing w:before="154" w:line="220" w:lineRule="auto"/>
              <w:rPr>
                <w:sz w:val="12"/>
                <w:szCs w:val="12"/>
              </w:rPr>
            </w:pPr>
            <w:r>
              <w:rPr>
                <w:sz w:val="12"/>
                <w:szCs w:val="12"/>
                <w:spacing w:val="-6"/>
              </w:rPr>
              <w:t>600—800倍</w:t>
            </w:r>
          </w:p>
        </w:tc>
        <w:tc>
          <w:tcPr>
            <w:tcW w:w="1029" w:type="dxa"/>
            <w:vAlign w:val="top"/>
            <w:vMerge w:val="continue"/>
            <w:tcBorders>
              <w:top w:val="nil"/>
              <w:bottom w:val="nil"/>
            </w:tcBorders>
          </w:tcPr>
          <w:p>
            <w:pPr>
              <w:rPr>
                <w:rFonts w:ascii="Arial"/>
                <w:sz w:val="21"/>
              </w:rPr>
            </w:pPr>
            <w:r/>
          </w:p>
        </w:tc>
        <w:tc>
          <w:tcPr>
            <w:tcW w:w="719" w:type="dxa"/>
            <w:vAlign w:val="top"/>
          </w:tcPr>
          <w:p>
            <w:pPr>
              <w:pStyle w:val="TableText"/>
              <w:ind w:left="87"/>
              <w:spacing w:before="154" w:line="221" w:lineRule="auto"/>
              <w:rPr>
                <w:sz w:val="12"/>
                <w:szCs w:val="12"/>
              </w:rPr>
            </w:pPr>
            <w:r>
              <w:rPr>
                <w:sz w:val="12"/>
                <w:szCs w:val="12"/>
                <w:color w:val="302040"/>
                <w:spacing w:val="-1"/>
              </w:rPr>
              <w:t>1</w:t>
            </w:r>
            <w:r>
              <w:rPr>
                <w:sz w:val="12"/>
                <w:szCs w:val="12"/>
                <w:spacing w:val="-1"/>
              </w:rPr>
              <w:t>000ml/瓶</w:t>
            </w:r>
          </w:p>
        </w:tc>
        <w:tc>
          <w:tcPr>
            <w:tcW w:w="2783" w:type="dxa"/>
            <w:vAlign w:val="top"/>
          </w:tcPr>
          <w:p>
            <w:pPr>
              <w:pStyle w:val="TableText"/>
              <w:ind w:left="8" w:right="12"/>
              <w:spacing w:before="83" w:line="243" w:lineRule="auto"/>
              <w:rPr>
                <w:sz w:val="12"/>
                <w:szCs w:val="12"/>
              </w:rPr>
            </w:pPr>
            <w:r>
              <w:rPr>
                <w:sz w:val="12"/>
                <w:szCs w:val="12"/>
                <w:spacing w:val="-1"/>
              </w:rPr>
              <w:t>高效广谱内吸杀菌剂，颗粒细腻，分散性好，防治花</w:t>
            </w:r>
            <w:r>
              <w:rPr>
                <w:sz w:val="12"/>
                <w:szCs w:val="12"/>
                <w:spacing w:val="14"/>
              </w:rPr>
              <w:t xml:space="preserve"> </w:t>
            </w:r>
            <w:r>
              <w:rPr>
                <w:sz w:val="12"/>
                <w:szCs w:val="12"/>
                <w:spacing w:val="-1"/>
              </w:rPr>
              <w:t>木叶斑、炭疸、斑吸黄化</w:t>
            </w:r>
          </w:p>
        </w:tc>
      </w:tr>
      <w:tr>
        <w:trPr>
          <w:trHeight w:val="410" w:hRule="atLeast"/>
        </w:trPr>
        <w:tc>
          <w:tcPr>
            <w:tcW w:w="415" w:type="dxa"/>
            <w:vAlign w:val="top"/>
            <w:vMerge w:val="continue"/>
            <w:tcBorders>
              <w:top w:val="nil"/>
              <w:bottom w:val="nil"/>
            </w:tcBorders>
          </w:tcPr>
          <w:p>
            <w:pPr>
              <w:rPr>
                <w:rFonts w:ascii="Arial"/>
                <w:sz w:val="21"/>
              </w:rPr>
            </w:pPr>
            <w:r/>
          </w:p>
        </w:tc>
        <w:tc>
          <w:tcPr>
            <w:tcW w:w="55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49" w:type="dxa"/>
            <w:vAlign w:val="top"/>
          </w:tcPr>
          <w:p>
            <w:pPr>
              <w:pStyle w:val="TableText"/>
              <w:ind w:left="433"/>
              <w:spacing w:before="155" w:line="220" w:lineRule="auto"/>
              <w:rPr>
                <w:sz w:val="12"/>
                <w:szCs w:val="12"/>
              </w:rPr>
            </w:pPr>
            <w:r>
              <w:rPr>
                <w:sz w:val="12"/>
                <w:szCs w:val="12"/>
                <w:spacing w:val="2"/>
              </w:rPr>
              <w:t>甲霜灵</w:t>
            </w:r>
          </w:p>
        </w:tc>
        <w:tc>
          <w:tcPr>
            <w:tcW w:w="1889" w:type="dxa"/>
            <w:vAlign w:val="top"/>
          </w:tcPr>
          <w:p>
            <w:pPr>
              <w:pStyle w:val="TableText"/>
              <w:ind w:left="664"/>
              <w:spacing w:before="155" w:line="219" w:lineRule="auto"/>
              <w:rPr>
                <w:sz w:val="12"/>
                <w:szCs w:val="12"/>
              </w:rPr>
            </w:pPr>
            <w:r>
              <w:rPr>
                <w:sz w:val="12"/>
                <w:szCs w:val="12"/>
                <w:spacing w:val="-1"/>
              </w:rPr>
              <w:t>25%瑞毒霉</w:t>
            </w:r>
          </w:p>
        </w:tc>
        <w:tc>
          <w:tcPr>
            <w:tcW w:w="1609" w:type="dxa"/>
            <w:vAlign w:val="top"/>
          </w:tcPr>
          <w:p>
            <w:pPr>
              <w:pStyle w:val="TableText"/>
              <w:ind w:left="465"/>
              <w:spacing w:before="155" w:line="220" w:lineRule="auto"/>
              <w:rPr>
                <w:sz w:val="12"/>
                <w:szCs w:val="12"/>
              </w:rPr>
            </w:pPr>
            <w:r>
              <w:rPr>
                <w:sz w:val="12"/>
                <w:szCs w:val="12"/>
                <w:spacing w:val="-1"/>
              </w:rPr>
              <w:t>500-600倍液</w:t>
            </w:r>
          </w:p>
        </w:tc>
        <w:tc>
          <w:tcPr>
            <w:tcW w:w="1029" w:type="dxa"/>
            <w:vAlign w:val="top"/>
            <w:vMerge w:val="continue"/>
            <w:tcBorders>
              <w:top w:val="nil"/>
              <w:bottom w:val="nil"/>
            </w:tcBorders>
          </w:tcPr>
          <w:p>
            <w:pPr>
              <w:rPr>
                <w:rFonts w:ascii="Arial"/>
                <w:sz w:val="21"/>
              </w:rPr>
            </w:pPr>
            <w:r/>
          </w:p>
        </w:tc>
        <w:tc>
          <w:tcPr>
            <w:tcW w:w="719" w:type="dxa"/>
            <w:vAlign w:val="top"/>
          </w:tcPr>
          <w:p>
            <w:pPr>
              <w:pStyle w:val="TableText"/>
              <w:ind w:left="147"/>
              <w:spacing w:before="150" w:line="214" w:lineRule="auto"/>
              <w:rPr>
                <w:sz w:val="12"/>
                <w:szCs w:val="12"/>
              </w:rPr>
            </w:pPr>
            <w:r>
              <w:rPr>
                <w:sz w:val="12"/>
                <w:szCs w:val="12"/>
                <w:spacing w:val="-2"/>
              </w:rPr>
              <w:t>100g/袋</w:t>
            </w:r>
          </w:p>
        </w:tc>
        <w:tc>
          <w:tcPr>
            <w:tcW w:w="2783" w:type="dxa"/>
            <w:vAlign w:val="top"/>
          </w:tcPr>
          <w:p>
            <w:pPr>
              <w:pStyle w:val="TableText"/>
              <w:ind w:left="8"/>
              <w:spacing w:before="155" w:line="219" w:lineRule="auto"/>
              <w:rPr>
                <w:sz w:val="12"/>
                <w:szCs w:val="12"/>
              </w:rPr>
            </w:pPr>
            <w:r>
              <w:rPr>
                <w:sz w:val="12"/>
                <w:szCs w:val="12"/>
              </w:rPr>
              <w:t>可与65-70%代森锰锌1:2混合使用</w:t>
            </w:r>
            <w:r>
              <w:rPr>
                <w:sz w:val="12"/>
                <w:szCs w:val="12"/>
                <w:spacing w:val="-1"/>
              </w:rPr>
              <w:t>，防治霜霉病等</w:t>
            </w:r>
          </w:p>
        </w:tc>
      </w:tr>
      <w:tr>
        <w:trPr>
          <w:trHeight w:val="435" w:hRule="atLeast"/>
        </w:trPr>
        <w:tc>
          <w:tcPr>
            <w:tcW w:w="415" w:type="dxa"/>
            <w:vAlign w:val="top"/>
            <w:vMerge w:val="continue"/>
            <w:tcBorders>
              <w:top w:val="nil"/>
            </w:tcBorders>
          </w:tcPr>
          <w:p>
            <w:pPr>
              <w:rPr>
                <w:rFonts w:ascii="Arial"/>
                <w:sz w:val="21"/>
              </w:rPr>
            </w:pPr>
            <w:r/>
          </w:p>
        </w:tc>
        <w:tc>
          <w:tcPr>
            <w:tcW w:w="55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49" w:type="dxa"/>
            <w:vAlign w:val="top"/>
          </w:tcPr>
          <w:p>
            <w:pPr>
              <w:pStyle w:val="TableText"/>
              <w:ind w:left="433"/>
              <w:spacing w:before="165" w:line="220" w:lineRule="auto"/>
              <w:rPr>
                <w:sz w:val="12"/>
                <w:szCs w:val="12"/>
              </w:rPr>
            </w:pPr>
            <w:r>
              <w:rPr>
                <w:sz w:val="12"/>
                <w:szCs w:val="12"/>
                <w:spacing w:val="-2"/>
              </w:rPr>
              <w:t>疫霉灵</w:t>
            </w:r>
          </w:p>
        </w:tc>
        <w:tc>
          <w:tcPr>
            <w:tcW w:w="1889" w:type="dxa"/>
            <w:vAlign w:val="top"/>
          </w:tcPr>
          <w:p>
            <w:pPr>
              <w:pStyle w:val="TableText"/>
              <w:ind w:left="664"/>
              <w:spacing w:before="165" w:line="221" w:lineRule="auto"/>
              <w:rPr>
                <w:sz w:val="12"/>
                <w:szCs w:val="12"/>
              </w:rPr>
            </w:pPr>
            <w:r>
              <w:rPr>
                <w:sz w:val="12"/>
                <w:szCs w:val="12"/>
                <w:spacing w:val="-1"/>
              </w:rPr>
              <w:t>40%乙膝铝</w:t>
            </w:r>
          </w:p>
        </w:tc>
        <w:tc>
          <w:tcPr>
            <w:tcW w:w="1609" w:type="dxa"/>
            <w:vAlign w:val="top"/>
          </w:tcPr>
          <w:p>
            <w:pPr>
              <w:pStyle w:val="TableText"/>
              <w:ind w:left="465"/>
              <w:spacing w:before="165" w:line="220" w:lineRule="auto"/>
              <w:rPr>
                <w:sz w:val="12"/>
                <w:szCs w:val="12"/>
              </w:rPr>
            </w:pPr>
            <w:r>
              <w:rPr>
                <w:sz w:val="12"/>
                <w:szCs w:val="12"/>
                <w:spacing w:val="-1"/>
              </w:rPr>
              <w:t>200-250倍液</w:t>
            </w:r>
          </w:p>
        </w:tc>
        <w:tc>
          <w:tcPr>
            <w:tcW w:w="1029" w:type="dxa"/>
            <w:vAlign w:val="top"/>
            <w:vMerge w:val="continue"/>
            <w:tcBorders>
              <w:top w:val="nil"/>
            </w:tcBorders>
          </w:tcPr>
          <w:p>
            <w:pPr>
              <w:rPr>
                <w:rFonts w:ascii="Arial"/>
                <w:sz w:val="21"/>
              </w:rPr>
            </w:pPr>
            <w:r/>
          </w:p>
        </w:tc>
        <w:tc>
          <w:tcPr>
            <w:tcW w:w="719" w:type="dxa"/>
            <w:vAlign w:val="top"/>
          </w:tcPr>
          <w:p>
            <w:pPr>
              <w:pStyle w:val="TableText"/>
              <w:ind w:left="147"/>
              <w:spacing w:before="162" w:line="215" w:lineRule="auto"/>
              <w:rPr>
                <w:sz w:val="12"/>
                <w:szCs w:val="12"/>
              </w:rPr>
            </w:pPr>
            <w:r>
              <w:rPr>
                <w:sz w:val="12"/>
                <w:szCs w:val="12"/>
                <w:spacing w:val="-2"/>
              </w:rPr>
              <w:t>100y/袋</w:t>
            </w:r>
          </w:p>
        </w:tc>
        <w:tc>
          <w:tcPr>
            <w:tcW w:w="2783" w:type="dxa"/>
            <w:vAlign w:val="top"/>
          </w:tcPr>
          <w:p>
            <w:pPr>
              <w:pStyle w:val="TableText"/>
              <w:ind w:left="8"/>
              <w:spacing w:before="165" w:line="220" w:lineRule="auto"/>
              <w:rPr>
                <w:sz w:val="12"/>
                <w:szCs w:val="12"/>
              </w:rPr>
            </w:pPr>
            <w:r>
              <w:rPr>
                <w:sz w:val="12"/>
                <w:szCs w:val="12"/>
                <w:spacing w:val="-1"/>
              </w:rPr>
              <w:t>专治霜霉病，不能与酸性、碱性衣药混用</w:t>
            </w:r>
          </w:p>
        </w:tc>
      </w:tr>
    </w:tbl>
    <w:p>
      <w:pPr>
        <w:spacing w:line="64" w:lineRule="exact"/>
        <w:rPr>
          <w:rFonts w:ascii="Arial"/>
          <w:sz w:val="5"/>
        </w:rPr>
      </w:pPr>
      <w:r/>
    </w:p>
    <w:p>
      <w:pPr>
        <w:spacing w:line="64" w:lineRule="exact"/>
        <w:sectPr>
          <w:pgSz w:w="14490" w:h="10240"/>
          <w:pgMar w:top="115" w:right="324" w:bottom="400" w:left="294" w:header="0" w:footer="0" w:gutter="0"/>
        </w:sectPr>
        <w:rPr>
          <w:rFonts w:ascii="Arial" w:hAnsi="Arial" w:eastAsia="Arial" w:cs="Arial"/>
          <w:sz w:val="5"/>
          <w:szCs w:val="5"/>
        </w:rPr>
      </w:pPr>
    </w:p>
    <w:tbl>
      <w:tblPr>
        <w:tblStyle w:val="TableNormal"/>
        <w:tblW w:w="138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60"/>
        <w:gridCol w:w="939"/>
        <w:gridCol w:w="2668"/>
        <w:gridCol w:w="1279"/>
        <w:gridCol w:w="1859"/>
        <w:gridCol w:w="1609"/>
        <w:gridCol w:w="1039"/>
        <w:gridCol w:w="709"/>
        <w:gridCol w:w="2783"/>
      </w:tblGrid>
      <w:tr>
        <w:trPr>
          <w:trHeight w:val="519" w:hRule="atLeast"/>
        </w:trPr>
        <w:tc>
          <w:tcPr>
            <w:tcW w:w="415" w:type="dxa"/>
            <w:vAlign w:val="top"/>
            <w:tcBorders>
              <w:bottom w:val="single" w:color="000000" w:sz="2" w:space="0"/>
              <w:top w:val="single" w:color="000000" w:sz="2" w:space="0"/>
            </w:tcBorders>
          </w:tcPr>
          <w:p>
            <w:pPr>
              <w:pStyle w:val="TableText"/>
              <w:ind w:left="86"/>
              <w:spacing w:before="202" w:line="219" w:lineRule="auto"/>
              <w:rPr>
                <w:sz w:val="12"/>
                <w:szCs w:val="12"/>
              </w:rPr>
            </w:pPr>
            <w:r>
              <w:rPr>
                <w:sz w:val="12"/>
                <w:szCs w:val="12"/>
                <w:b/>
                <w:bCs/>
                <w:spacing w:val="-3"/>
              </w:rPr>
              <w:t>分类</w:t>
            </w:r>
          </w:p>
        </w:tc>
        <w:tc>
          <w:tcPr>
            <w:tcW w:w="560" w:type="dxa"/>
            <w:vAlign w:val="top"/>
            <w:tcBorders>
              <w:bottom w:val="single" w:color="000000" w:sz="2" w:space="0"/>
              <w:top w:val="single" w:color="000000" w:sz="2" w:space="0"/>
            </w:tcBorders>
          </w:tcPr>
          <w:p>
            <w:pPr>
              <w:pStyle w:val="TableText"/>
              <w:ind w:left="31"/>
              <w:spacing w:before="33" w:line="219" w:lineRule="auto"/>
              <w:rPr>
                <w:sz w:val="12"/>
                <w:szCs w:val="12"/>
              </w:rPr>
            </w:pPr>
            <w:r>
              <w:rPr>
                <w:sz w:val="12"/>
                <w:szCs w:val="12"/>
                <w:b/>
                <w:bCs/>
                <w:spacing w:val="-3"/>
              </w:rPr>
              <w:t>消杀预防</w:t>
            </w:r>
          </w:p>
          <w:p>
            <w:pPr>
              <w:pStyle w:val="TableText"/>
              <w:ind w:left="31"/>
              <w:spacing w:before="28" w:line="214" w:lineRule="auto"/>
              <w:rPr>
                <w:sz w:val="12"/>
                <w:szCs w:val="12"/>
              </w:rPr>
            </w:pPr>
            <w:r>
              <w:rPr>
                <w:sz w:val="12"/>
                <w:szCs w:val="12"/>
                <w:b/>
                <w:bCs/>
                <w:spacing w:val="-3"/>
              </w:rPr>
              <w:t>及病虫害</w:t>
            </w:r>
          </w:p>
          <w:p>
            <w:pPr>
              <w:pStyle w:val="TableText"/>
              <w:ind w:left="151"/>
              <w:spacing w:line="219" w:lineRule="auto"/>
              <w:rPr>
                <w:sz w:val="12"/>
                <w:szCs w:val="12"/>
              </w:rPr>
            </w:pPr>
            <w:r>
              <w:rPr>
                <w:sz w:val="12"/>
                <w:szCs w:val="12"/>
                <w:b/>
                <w:bCs/>
                <w:spacing w:val="-3"/>
              </w:rPr>
              <w:t>分类</w:t>
            </w:r>
          </w:p>
        </w:tc>
        <w:tc>
          <w:tcPr>
            <w:tcW w:w="939" w:type="dxa"/>
            <w:vAlign w:val="top"/>
            <w:tcBorders>
              <w:bottom w:val="single" w:color="000000" w:sz="2" w:space="0"/>
              <w:top w:val="single" w:color="000000" w:sz="2" w:space="0"/>
            </w:tcBorders>
          </w:tcPr>
          <w:p>
            <w:pPr>
              <w:pStyle w:val="TableText"/>
              <w:ind w:left="161"/>
              <w:spacing w:before="202" w:line="219" w:lineRule="auto"/>
              <w:rPr>
                <w:sz w:val="12"/>
                <w:szCs w:val="12"/>
              </w:rPr>
            </w:pPr>
            <w:r>
              <w:rPr>
                <w:sz w:val="12"/>
                <w:szCs w:val="12"/>
                <w:b/>
                <w:bCs/>
                <w:spacing w:val="-3"/>
              </w:rPr>
              <w:t>常见病虫害</w:t>
            </w:r>
          </w:p>
        </w:tc>
        <w:tc>
          <w:tcPr>
            <w:tcW w:w="2668" w:type="dxa"/>
            <w:vAlign w:val="top"/>
            <w:tcBorders>
              <w:bottom w:val="single" w:color="000000" w:sz="2" w:space="0"/>
              <w:top w:val="single" w:color="000000" w:sz="2" w:space="0"/>
            </w:tcBorders>
          </w:tcPr>
          <w:p>
            <w:pPr>
              <w:pStyle w:val="TableText"/>
              <w:ind w:left="992"/>
              <w:spacing w:before="202" w:line="219" w:lineRule="auto"/>
              <w:rPr>
                <w:sz w:val="12"/>
                <w:szCs w:val="12"/>
              </w:rPr>
            </w:pPr>
            <w:r>
              <w:rPr>
                <w:sz w:val="12"/>
                <w:szCs w:val="12"/>
                <w:b/>
                <w:bCs/>
                <w:spacing w:val="-3"/>
              </w:rPr>
              <w:t>主要发病月份</w:t>
            </w:r>
          </w:p>
        </w:tc>
        <w:tc>
          <w:tcPr>
            <w:tcW w:w="1279" w:type="dxa"/>
            <w:vAlign w:val="top"/>
            <w:tcBorders>
              <w:bottom w:val="single" w:color="000000" w:sz="2" w:space="0"/>
              <w:top w:val="single" w:color="000000" w:sz="2" w:space="0"/>
            </w:tcBorders>
          </w:tcPr>
          <w:p>
            <w:pPr>
              <w:pStyle w:val="TableText"/>
              <w:ind w:left="394"/>
              <w:spacing w:before="203" w:line="220" w:lineRule="auto"/>
              <w:rPr>
                <w:sz w:val="12"/>
                <w:szCs w:val="12"/>
              </w:rPr>
            </w:pPr>
            <w:r>
              <w:rPr>
                <w:sz w:val="12"/>
                <w:szCs w:val="12"/>
                <w:b/>
                <w:bCs/>
                <w:spacing w:val="-3"/>
              </w:rPr>
              <w:t>药品名称</w:t>
            </w:r>
          </w:p>
        </w:tc>
        <w:tc>
          <w:tcPr>
            <w:tcW w:w="1859" w:type="dxa"/>
            <w:vAlign w:val="top"/>
            <w:tcBorders>
              <w:bottom w:val="single" w:color="000000" w:sz="2" w:space="0"/>
              <w:top w:val="single" w:color="000000" w:sz="2" w:space="0"/>
            </w:tcBorders>
          </w:tcPr>
          <w:p>
            <w:pPr>
              <w:pStyle w:val="TableText"/>
              <w:ind w:left="685"/>
              <w:spacing w:before="203" w:line="220" w:lineRule="auto"/>
              <w:rPr>
                <w:sz w:val="12"/>
                <w:szCs w:val="12"/>
              </w:rPr>
            </w:pPr>
            <w:r>
              <w:rPr>
                <w:sz w:val="12"/>
                <w:szCs w:val="12"/>
                <w:b/>
                <w:bCs/>
                <w:spacing w:val="-3"/>
              </w:rPr>
              <w:t>主要成分</w:t>
            </w:r>
          </w:p>
        </w:tc>
        <w:tc>
          <w:tcPr>
            <w:tcW w:w="1609" w:type="dxa"/>
            <w:vAlign w:val="top"/>
            <w:tcBorders>
              <w:bottom w:val="single" w:color="000000" w:sz="2" w:space="0"/>
              <w:top w:val="single" w:color="000000" w:sz="2" w:space="0"/>
            </w:tcBorders>
          </w:tcPr>
          <w:p>
            <w:pPr>
              <w:pStyle w:val="TableText"/>
              <w:ind w:left="556"/>
              <w:spacing w:before="202" w:line="219" w:lineRule="auto"/>
              <w:rPr>
                <w:sz w:val="12"/>
                <w:szCs w:val="12"/>
              </w:rPr>
            </w:pPr>
            <w:r>
              <w:rPr>
                <w:sz w:val="12"/>
                <w:szCs w:val="12"/>
                <w:b/>
                <w:bCs/>
                <w:spacing w:val="-3"/>
              </w:rPr>
              <w:t>使用倍率</w:t>
            </w:r>
          </w:p>
        </w:tc>
        <w:tc>
          <w:tcPr>
            <w:tcW w:w="1039" w:type="dxa"/>
            <w:vAlign w:val="top"/>
            <w:tcBorders>
              <w:bottom w:val="single" w:color="000000" w:sz="2" w:space="0"/>
              <w:top w:val="single" w:color="000000" w:sz="2" w:space="0"/>
            </w:tcBorders>
          </w:tcPr>
          <w:p>
            <w:pPr>
              <w:pStyle w:val="TableText"/>
              <w:ind w:left="277"/>
              <w:spacing w:before="202" w:line="219" w:lineRule="auto"/>
              <w:rPr>
                <w:sz w:val="12"/>
                <w:szCs w:val="12"/>
              </w:rPr>
            </w:pPr>
            <w:r>
              <w:rPr>
                <w:sz w:val="12"/>
                <w:szCs w:val="12"/>
                <w:b/>
                <w:bCs/>
                <w:spacing w:val="-3"/>
              </w:rPr>
              <w:t>施用次数</w:t>
            </w:r>
          </w:p>
        </w:tc>
        <w:tc>
          <w:tcPr>
            <w:tcW w:w="709" w:type="dxa"/>
            <w:vAlign w:val="top"/>
            <w:tcBorders>
              <w:bottom w:val="single" w:color="000000" w:sz="2" w:space="0"/>
              <w:top w:val="single" w:color="000000" w:sz="2" w:space="0"/>
            </w:tcBorders>
          </w:tcPr>
          <w:p>
            <w:pPr>
              <w:pStyle w:val="TableText"/>
              <w:ind w:left="228"/>
              <w:spacing w:before="202" w:line="219" w:lineRule="auto"/>
              <w:rPr>
                <w:sz w:val="12"/>
                <w:szCs w:val="12"/>
              </w:rPr>
            </w:pPr>
            <w:r>
              <w:rPr>
                <w:sz w:val="12"/>
                <w:szCs w:val="12"/>
                <w:b/>
                <w:bCs/>
                <w:spacing w:val="-3"/>
              </w:rPr>
              <w:t>规格</w:t>
            </w:r>
          </w:p>
        </w:tc>
        <w:tc>
          <w:tcPr>
            <w:tcW w:w="2783" w:type="dxa"/>
            <w:vAlign w:val="top"/>
            <w:tcBorders>
              <w:bottom w:val="single" w:color="000000" w:sz="2" w:space="0"/>
              <w:top w:val="single" w:color="000000" w:sz="2" w:space="0"/>
            </w:tcBorders>
          </w:tcPr>
          <w:p>
            <w:pPr>
              <w:pStyle w:val="TableText"/>
              <w:ind w:left="1279"/>
              <w:spacing w:before="203" w:line="221" w:lineRule="auto"/>
              <w:rPr>
                <w:sz w:val="12"/>
                <w:szCs w:val="12"/>
              </w:rPr>
            </w:pPr>
            <w:r>
              <w:rPr>
                <w:sz w:val="12"/>
                <w:szCs w:val="12"/>
                <w:b/>
                <w:bCs/>
                <w:spacing w:val="-3"/>
              </w:rPr>
              <w:t>备注</w:t>
            </w:r>
          </w:p>
        </w:tc>
      </w:tr>
      <w:tr>
        <w:trPr>
          <w:trHeight w:val="674" w:hRule="atLeast"/>
        </w:trPr>
        <w:tc>
          <w:tcPr>
            <w:tcW w:w="415"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TableText"/>
              <w:ind w:left="14"/>
              <w:spacing w:before="39" w:line="219" w:lineRule="auto"/>
              <w:rPr>
                <w:sz w:val="12"/>
                <w:szCs w:val="12"/>
              </w:rPr>
            </w:pPr>
            <w:r>
              <w:rPr>
                <w:sz w:val="12"/>
                <w:szCs w:val="12"/>
                <w:spacing w:val="-2"/>
              </w:rPr>
              <w:t>杀菌刻</w:t>
            </w:r>
          </w:p>
        </w:tc>
        <w:tc>
          <w:tcPr>
            <w:tcW w:w="560"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TableText"/>
              <w:ind w:left="90"/>
              <w:spacing w:before="39" w:line="219" w:lineRule="auto"/>
              <w:rPr>
                <w:sz w:val="12"/>
                <w:szCs w:val="12"/>
              </w:rPr>
            </w:pPr>
            <w:r>
              <w:rPr>
                <w:sz w:val="12"/>
                <w:szCs w:val="12"/>
                <w:spacing w:val="-1"/>
              </w:rPr>
              <w:t>病菌类</w:t>
            </w:r>
          </w:p>
        </w:tc>
        <w:tc>
          <w:tcPr>
            <w:tcW w:w="939" w:type="dxa"/>
            <w:vAlign w:val="top"/>
            <w:vMerge w:val="restart"/>
            <w:tcBorders>
              <w:bottom w:val="nil"/>
              <w:top w:val="single" w:color="000000" w:sz="2" w:space="0"/>
            </w:tcBorders>
          </w:tcPr>
          <w:p>
            <w:pPr>
              <w:spacing w:line="313" w:lineRule="auto"/>
              <w:rPr>
                <w:rFonts w:ascii="Arial"/>
                <w:sz w:val="21"/>
              </w:rPr>
            </w:pPr>
            <w:r/>
          </w:p>
          <w:p>
            <w:pPr>
              <w:spacing w:line="313" w:lineRule="auto"/>
              <w:rPr>
                <w:rFonts w:ascii="Arial"/>
                <w:sz w:val="21"/>
              </w:rPr>
            </w:pPr>
            <w:r/>
          </w:p>
          <w:p>
            <w:pPr>
              <w:pStyle w:val="TableText"/>
              <w:ind w:left="10" w:right="2" w:firstLine="29"/>
              <w:spacing w:before="39" w:line="224" w:lineRule="auto"/>
              <w:jc w:val="both"/>
              <w:rPr>
                <w:sz w:val="12"/>
                <w:szCs w:val="12"/>
              </w:rPr>
            </w:pPr>
            <w:r>
              <w:rPr>
                <w:sz w:val="12"/>
                <w:szCs w:val="12"/>
                <w:spacing w:val="-1"/>
              </w:rPr>
              <w:t>灰霉病、煤污病</w:t>
            </w:r>
            <w:r>
              <w:rPr>
                <w:sz w:val="12"/>
                <w:szCs w:val="12"/>
              </w:rPr>
              <w:t xml:space="preserve">  </w:t>
            </w:r>
            <w:r>
              <w:rPr>
                <w:sz w:val="12"/>
                <w:szCs w:val="12"/>
                <w:spacing w:val="-6"/>
              </w:rPr>
              <w:t>、炭疽病，白粉一</w:t>
            </w:r>
            <w:r>
              <w:rPr>
                <w:sz w:val="12"/>
                <w:szCs w:val="12"/>
                <w:spacing w:val="3"/>
              </w:rPr>
              <w:t xml:space="preserve"> </w:t>
            </w:r>
            <w:r>
              <w:rPr>
                <w:sz w:val="12"/>
                <w:szCs w:val="12"/>
                <w:spacing w:val="5"/>
              </w:rPr>
              <w:t>病，锈病、叶枯</w:t>
            </w:r>
            <w:r>
              <w:rPr>
                <w:sz w:val="12"/>
                <w:szCs w:val="12"/>
              </w:rPr>
              <w:t xml:space="preserve">  </w:t>
            </w:r>
            <w:r>
              <w:rPr>
                <w:sz w:val="12"/>
                <w:szCs w:val="12"/>
                <w:spacing w:val="3"/>
              </w:rPr>
              <w:t>病，叶斑病、霜</w:t>
            </w:r>
            <w:r>
              <w:rPr>
                <w:sz w:val="12"/>
                <w:szCs w:val="12"/>
                <w:spacing w:val="1"/>
              </w:rPr>
              <w:t xml:space="preserve">  </w:t>
            </w:r>
            <w:r>
              <w:rPr>
                <w:sz w:val="12"/>
                <w:szCs w:val="12"/>
                <w:spacing w:val="2"/>
              </w:rPr>
              <w:t>霉病、白绢病。</w:t>
            </w:r>
          </w:p>
          <w:p>
            <w:pPr>
              <w:pStyle w:val="TableText"/>
              <w:ind w:left="219" w:right="53" w:hanging="179"/>
              <w:spacing w:before="11" w:line="217" w:lineRule="auto"/>
              <w:jc w:val="both"/>
              <w:rPr>
                <w:sz w:val="12"/>
                <w:szCs w:val="12"/>
              </w:rPr>
            </w:pPr>
            <w:r>
              <w:rPr>
                <w:sz w:val="12"/>
                <w:szCs w:val="12"/>
                <w:spacing w:val="-1"/>
              </w:rPr>
              <w:t>根腐病、细菌性</w:t>
            </w:r>
            <w:r>
              <w:rPr>
                <w:sz w:val="12"/>
                <w:szCs w:val="12"/>
                <w:spacing w:val="1"/>
              </w:rPr>
              <w:t xml:space="preserve"> </w:t>
            </w:r>
            <w:r>
              <w:rPr>
                <w:sz w:val="12"/>
                <w:szCs w:val="12"/>
                <w:spacing w:val="-3"/>
              </w:rPr>
              <w:t>穿孔病等</w:t>
            </w:r>
          </w:p>
        </w:tc>
        <w:tc>
          <w:tcPr>
            <w:tcW w:w="2668" w:type="dxa"/>
            <w:vAlign w:val="top"/>
            <w:vMerge w:val="restart"/>
            <w:tcBorders>
              <w:bottom w:val="nil"/>
              <w:top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
              <w:spacing w:before="39" w:line="219" w:lineRule="auto"/>
              <w:rPr>
                <w:sz w:val="12"/>
                <w:szCs w:val="12"/>
              </w:rPr>
            </w:pPr>
            <w:r>
              <w:rPr>
                <w:sz w:val="12"/>
                <w:szCs w:val="12"/>
              </w:rPr>
              <w:t>、12-4月全园区预助消杀为主：</w:t>
            </w:r>
          </w:p>
          <w:p>
            <w:pPr>
              <w:pStyle w:val="TableText"/>
              <w:ind w:left="1" w:right="1" w:firstLine="9"/>
              <w:spacing w:before="7" w:line="224" w:lineRule="auto"/>
              <w:rPr>
                <w:sz w:val="12"/>
                <w:szCs w:val="12"/>
              </w:rPr>
            </w:pPr>
            <w:r>
              <w:rPr>
                <w:sz w:val="12"/>
                <w:szCs w:val="12"/>
                <w:spacing w:val="-3"/>
              </w:rPr>
              <w:t>二、5-9月为高发期。高山格煤污病、紫薇，九里香</w:t>
            </w:r>
            <w:r>
              <w:rPr>
                <w:sz w:val="12"/>
                <w:szCs w:val="12"/>
                <w:spacing w:val="16"/>
              </w:rPr>
              <w:t xml:space="preserve"> </w:t>
            </w:r>
            <w:r>
              <w:rPr>
                <w:sz w:val="12"/>
                <w:szCs w:val="12"/>
              </w:rPr>
              <w:t>白粉病、桂花枯班病、鱼尾葵、沿阶草炭疸病、台</w:t>
            </w:r>
            <w:r>
              <w:rPr>
                <w:sz w:val="12"/>
                <w:szCs w:val="12"/>
                <w:spacing w:val="6"/>
              </w:rPr>
              <w:t xml:space="preserve"> </w:t>
            </w:r>
            <w:r>
              <w:rPr>
                <w:sz w:val="12"/>
                <w:szCs w:val="12"/>
                <w:spacing w:val="-1"/>
              </w:rPr>
              <w:t>湾草和玉龙草叶桔病发生严重，及时违查发现病</w:t>
            </w:r>
          </w:p>
          <w:p>
            <w:pPr>
              <w:pStyle w:val="TableText"/>
              <w:ind w:left="1"/>
              <w:spacing w:before="12" w:line="220" w:lineRule="auto"/>
              <w:rPr>
                <w:sz w:val="12"/>
                <w:szCs w:val="12"/>
              </w:rPr>
            </w:pPr>
            <w:r>
              <w:rPr>
                <w:sz w:val="12"/>
                <w:szCs w:val="12"/>
                <w:spacing w:val="-1"/>
              </w:rPr>
              <w:t>情，及时喷药处理。</w:t>
            </w:r>
          </w:p>
        </w:tc>
        <w:tc>
          <w:tcPr>
            <w:tcW w:w="1279" w:type="dxa"/>
            <w:vAlign w:val="top"/>
            <w:tcBorders>
              <w:bottom w:val="single" w:color="000000" w:sz="2" w:space="0"/>
              <w:top w:val="single" w:color="000000" w:sz="2" w:space="0"/>
            </w:tcBorders>
          </w:tcPr>
          <w:p>
            <w:pPr>
              <w:pStyle w:val="TableText"/>
              <w:ind w:left="453"/>
              <w:spacing w:before="279" w:line="219" w:lineRule="auto"/>
              <w:rPr>
                <w:sz w:val="12"/>
                <w:szCs w:val="12"/>
              </w:rPr>
            </w:pPr>
            <w:r>
              <w:rPr>
                <w:sz w:val="12"/>
                <w:szCs w:val="12"/>
                <w:spacing w:val="-2"/>
              </w:rPr>
              <w:t>背力克</w:t>
            </w:r>
          </w:p>
        </w:tc>
        <w:tc>
          <w:tcPr>
            <w:tcW w:w="1859" w:type="dxa"/>
            <w:vAlign w:val="top"/>
            <w:tcBorders>
              <w:bottom w:val="single" w:color="000000" w:sz="2" w:space="0"/>
              <w:top w:val="single" w:color="000000" w:sz="2" w:space="0"/>
            </w:tcBorders>
          </w:tcPr>
          <w:p>
            <w:pPr>
              <w:pStyle w:val="TableText"/>
              <w:ind w:left="594"/>
              <w:spacing w:before="280" w:line="220" w:lineRule="auto"/>
              <w:rPr>
                <w:sz w:val="12"/>
                <w:szCs w:val="12"/>
              </w:rPr>
            </w:pPr>
            <w:r>
              <w:rPr>
                <w:sz w:val="12"/>
                <w:szCs w:val="12"/>
                <w:spacing w:val="-1"/>
              </w:rPr>
              <w:t>72.2%丙酸胺</w:t>
            </w:r>
          </w:p>
        </w:tc>
        <w:tc>
          <w:tcPr>
            <w:tcW w:w="1609" w:type="dxa"/>
            <w:vAlign w:val="top"/>
            <w:tcBorders>
              <w:bottom w:val="single" w:color="000000" w:sz="2" w:space="0"/>
              <w:top w:val="single" w:color="000000" w:sz="2" w:space="0"/>
            </w:tcBorders>
          </w:tcPr>
          <w:p>
            <w:pPr>
              <w:pStyle w:val="TableText"/>
              <w:ind w:left="435"/>
              <w:spacing w:before="280" w:line="220" w:lineRule="auto"/>
              <w:rPr>
                <w:sz w:val="12"/>
                <w:szCs w:val="12"/>
              </w:rPr>
            </w:pPr>
            <w:r>
              <w:rPr>
                <w:sz w:val="12"/>
                <w:szCs w:val="12"/>
                <w:spacing w:val="-1"/>
              </w:rPr>
              <w:t>800-1000倍液</w:t>
            </w:r>
          </w:p>
        </w:tc>
        <w:tc>
          <w:tcPr>
            <w:tcW w:w="1039" w:type="dxa"/>
            <w:vAlign w:val="top"/>
            <w:tcBorders>
              <w:bottom w:val="single" w:color="000000" w:sz="2" w:space="0"/>
              <w:top w:val="single" w:color="000000" w:sz="2" w:space="0"/>
            </w:tcBorders>
          </w:tcPr>
          <w:p>
            <w:pPr>
              <w:pStyle w:val="TableText"/>
              <w:ind w:left="36"/>
              <w:spacing w:before="59" w:line="223" w:lineRule="auto"/>
              <w:rPr>
                <w:sz w:val="12"/>
                <w:szCs w:val="12"/>
              </w:rPr>
            </w:pPr>
            <w:r>
              <w:rPr>
                <w:sz w:val="12"/>
                <w:szCs w:val="12"/>
                <w:spacing w:val="-5"/>
              </w:rPr>
              <w:t>10天一次，连续唤</w:t>
            </w:r>
            <w:r>
              <w:rPr>
                <w:sz w:val="12"/>
                <w:szCs w:val="12"/>
                <w:spacing w:val="2"/>
              </w:rPr>
              <w:t xml:space="preserve">  </w:t>
            </w:r>
            <w:r>
              <w:rPr>
                <w:sz w:val="12"/>
                <w:szCs w:val="12"/>
                <w:spacing w:val="-3"/>
              </w:rPr>
              <w:t>酒病部地面2-3次，</w:t>
            </w:r>
          </w:p>
          <w:p>
            <w:pPr>
              <w:pStyle w:val="TableText"/>
              <w:spacing w:line="219" w:lineRule="auto"/>
              <w:jc w:val="right"/>
              <w:rPr>
                <w:sz w:val="12"/>
                <w:szCs w:val="12"/>
              </w:rPr>
            </w:pPr>
            <w:r>
              <w:rPr>
                <w:sz w:val="12"/>
                <w:szCs w:val="12"/>
                <w:spacing w:val="-4"/>
              </w:rPr>
              <w:t>喷药1小时内遇雨，</w:t>
            </w:r>
          </w:p>
          <w:p>
            <w:pPr>
              <w:pStyle w:val="TableText"/>
              <w:ind w:left="336"/>
              <w:spacing w:before="17" w:line="220" w:lineRule="auto"/>
              <w:rPr>
                <w:sz w:val="12"/>
                <w:szCs w:val="12"/>
              </w:rPr>
            </w:pPr>
            <w:r>
              <w:rPr>
                <w:sz w:val="12"/>
                <w:szCs w:val="12"/>
                <w:spacing w:val="-3"/>
              </w:rPr>
              <w:t>需重喷</w:t>
            </w:r>
          </w:p>
        </w:tc>
        <w:tc>
          <w:tcPr>
            <w:tcW w:w="709" w:type="dxa"/>
            <w:vAlign w:val="top"/>
            <w:tcBorders>
              <w:bottom w:val="single" w:color="000000" w:sz="2" w:space="0"/>
              <w:top w:val="single" w:color="000000" w:sz="2" w:space="0"/>
            </w:tcBorders>
          </w:tcPr>
          <w:p>
            <w:pPr>
              <w:rPr>
                <w:rFonts w:ascii="Arial"/>
                <w:sz w:val="21"/>
              </w:rPr>
            </w:pPr>
            <w:r/>
          </w:p>
          <w:p>
            <w:pPr>
              <w:pStyle w:val="TableText"/>
              <w:ind w:left="107"/>
              <w:spacing w:before="39" w:line="221" w:lineRule="auto"/>
              <w:rPr>
                <w:sz w:val="12"/>
                <w:szCs w:val="12"/>
              </w:rPr>
            </w:pPr>
            <w:r>
              <w:rPr>
                <w:sz w:val="12"/>
                <w:szCs w:val="12"/>
                <w:spacing w:val="-2"/>
              </w:rPr>
              <w:t>100ml/瓶</w:t>
            </w:r>
          </w:p>
        </w:tc>
        <w:tc>
          <w:tcPr>
            <w:tcW w:w="2783" w:type="dxa"/>
            <w:vAlign w:val="top"/>
            <w:tcBorders>
              <w:bottom w:val="single" w:color="000000" w:sz="2" w:space="0"/>
              <w:top w:val="single" w:color="000000" w:sz="2" w:space="0"/>
            </w:tcBorders>
          </w:tcPr>
          <w:p>
            <w:pPr>
              <w:pStyle w:val="TableText"/>
              <w:ind w:left="18"/>
              <w:spacing w:before="279" w:line="219" w:lineRule="auto"/>
              <w:rPr>
                <w:sz w:val="12"/>
                <w:szCs w:val="12"/>
              </w:rPr>
            </w:pPr>
            <w:r>
              <w:rPr>
                <w:sz w:val="12"/>
                <w:szCs w:val="12"/>
                <w:spacing w:val="-1"/>
              </w:rPr>
              <w:t>对根腐病、霜霉病、立枯病、猝倒病有特效</w:t>
            </w:r>
          </w:p>
        </w:tc>
      </w:tr>
      <w:tr>
        <w:trPr>
          <w:trHeight w:val="235"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453"/>
              <w:spacing w:before="60" w:line="219" w:lineRule="auto"/>
              <w:rPr>
                <w:sz w:val="12"/>
                <w:szCs w:val="12"/>
              </w:rPr>
            </w:pPr>
            <w:r>
              <w:rPr>
                <w:sz w:val="12"/>
                <w:szCs w:val="12"/>
                <w:spacing w:val="-1"/>
              </w:rPr>
              <w:t>链霉素</w:t>
            </w:r>
          </w:p>
        </w:tc>
        <w:tc>
          <w:tcPr>
            <w:tcW w:w="1859" w:type="dxa"/>
            <w:vAlign w:val="top"/>
            <w:tcBorders>
              <w:bottom w:val="single" w:color="000000" w:sz="2" w:space="0"/>
              <w:top w:val="single" w:color="000000" w:sz="2" w:space="0"/>
            </w:tcBorders>
          </w:tcPr>
          <w:p>
            <w:pPr>
              <w:pStyle w:val="TableText"/>
              <w:ind w:left="684"/>
              <w:spacing w:before="60" w:line="219" w:lineRule="auto"/>
              <w:rPr>
                <w:sz w:val="12"/>
                <w:szCs w:val="12"/>
              </w:rPr>
            </w:pPr>
            <w:r>
              <w:rPr>
                <w:sz w:val="12"/>
                <w:szCs w:val="12"/>
                <w:spacing w:val="-2"/>
              </w:rPr>
              <w:t>72链霉素</w:t>
            </w:r>
          </w:p>
        </w:tc>
        <w:tc>
          <w:tcPr>
            <w:tcW w:w="1609" w:type="dxa"/>
            <w:vAlign w:val="top"/>
            <w:tcBorders>
              <w:bottom w:val="single" w:color="000000" w:sz="2" w:space="0"/>
              <w:top w:val="single" w:color="000000" w:sz="2" w:space="0"/>
            </w:tcBorders>
          </w:tcPr>
          <w:p>
            <w:pPr>
              <w:pStyle w:val="TableText"/>
              <w:ind w:left="555"/>
              <w:spacing w:before="60" w:line="220" w:lineRule="auto"/>
              <w:rPr>
                <w:sz w:val="12"/>
                <w:szCs w:val="12"/>
              </w:rPr>
            </w:pPr>
            <w:r>
              <w:rPr>
                <w:sz w:val="12"/>
                <w:szCs w:val="12"/>
                <w:spacing w:val="-1"/>
              </w:rPr>
              <w:t>3000倍液</w:t>
            </w:r>
          </w:p>
        </w:tc>
        <w:tc>
          <w:tcPr>
            <w:tcW w:w="1039" w:type="dxa"/>
            <w:vAlign w:val="top"/>
            <w:vMerge w:val="restart"/>
            <w:tcBorders>
              <w:bottom w:val="nil"/>
              <w:top w:val="single" w:color="000000" w:sz="2" w:space="0"/>
            </w:tcBorders>
          </w:tcPr>
          <w:p>
            <w:pPr>
              <w:pStyle w:val="TableText"/>
              <w:spacing w:before="110" w:line="219" w:lineRule="auto"/>
              <w:jc w:val="right"/>
              <w:rPr>
                <w:sz w:val="12"/>
                <w:szCs w:val="12"/>
              </w:rPr>
            </w:pPr>
            <w:r>
              <w:rPr>
                <w:sz w:val="12"/>
                <w:szCs w:val="12"/>
                <w:spacing w:val="-1"/>
              </w:rPr>
              <w:t>每10天唤施一次，</w:t>
            </w:r>
          </w:p>
          <w:p>
            <w:pPr>
              <w:pStyle w:val="TableText"/>
              <w:ind w:left="186"/>
              <w:spacing w:before="17" w:line="219" w:lineRule="auto"/>
              <w:rPr>
                <w:sz w:val="12"/>
                <w:szCs w:val="12"/>
              </w:rPr>
            </w:pPr>
            <w:r>
              <w:rPr>
                <w:sz w:val="12"/>
                <w:szCs w:val="12"/>
                <w:spacing w:val="-1"/>
              </w:rPr>
              <w:t>连唤2至4次。</w:t>
            </w:r>
          </w:p>
        </w:tc>
        <w:tc>
          <w:tcPr>
            <w:tcW w:w="709" w:type="dxa"/>
            <w:vAlign w:val="top"/>
            <w:tcBorders>
              <w:bottom w:val="single" w:color="000000" w:sz="2" w:space="0"/>
              <w:top w:val="single" w:color="000000" w:sz="2" w:space="0"/>
            </w:tcBorders>
          </w:tcPr>
          <w:p>
            <w:pPr>
              <w:pStyle w:val="TableText"/>
              <w:ind w:left="167"/>
              <w:spacing w:before="56" w:line="213" w:lineRule="auto"/>
              <w:rPr>
                <w:sz w:val="12"/>
                <w:szCs w:val="12"/>
              </w:rPr>
            </w:pPr>
            <w:r>
              <w:rPr>
                <w:sz w:val="12"/>
                <w:szCs w:val="12"/>
                <w:spacing w:val="-2"/>
              </w:rPr>
              <w:t>15g/袋</w:t>
            </w:r>
          </w:p>
        </w:tc>
        <w:tc>
          <w:tcPr>
            <w:tcW w:w="2783" w:type="dxa"/>
            <w:vAlign w:val="top"/>
            <w:vMerge w:val="restart"/>
            <w:tcBorders>
              <w:bottom w:val="nil"/>
              <w:top w:val="single" w:color="000000" w:sz="2" w:space="0"/>
            </w:tcBorders>
          </w:tcPr>
          <w:p>
            <w:pPr>
              <w:pStyle w:val="TableText"/>
              <w:ind w:left="18"/>
              <w:spacing w:before="180" w:line="219" w:lineRule="auto"/>
              <w:rPr>
                <w:sz w:val="12"/>
                <w:szCs w:val="12"/>
              </w:rPr>
            </w:pPr>
            <w:r>
              <w:rPr>
                <w:sz w:val="12"/>
                <w:szCs w:val="12"/>
                <w:spacing w:val="-1"/>
              </w:rPr>
              <w:t>防治细菌性穿孔病，对细菌性病害有特效</w:t>
            </w:r>
          </w:p>
        </w:tc>
      </w:tr>
      <w:tr>
        <w:trPr>
          <w:trHeight w:val="235"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453"/>
              <w:spacing w:before="60" w:line="219" w:lineRule="auto"/>
              <w:rPr>
                <w:sz w:val="12"/>
                <w:szCs w:val="12"/>
              </w:rPr>
            </w:pPr>
            <w:r>
              <w:rPr>
                <w:sz w:val="12"/>
                <w:szCs w:val="12"/>
                <w:spacing w:val="-2"/>
              </w:rPr>
              <w:t>细菌灵</w:t>
            </w:r>
          </w:p>
        </w:tc>
        <w:tc>
          <w:tcPr>
            <w:tcW w:w="1859" w:type="dxa"/>
            <w:vAlign w:val="top"/>
            <w:tcBorders>
              <w:bottom w:val="single" w:color="000000" w:sz="2" w:space="0"/>
              <w:top w:val="single" w:color="000000" w:sz="2" w:space="0"/>
            </w:tcBorders>
          </w:tcPr>
          <w:p>
            <w:pPr>
              <w:pStyle w:val="TableText"/>
              <w:ind w:left="263"/>
              <w:spacing w:before="60" w:line="219" w:lineRule="auto"/>
              <w:rPr>
                <w:sz w:val="12"/>
                <w:szCs w:val="12"/>
              </w:rPr>
            </w:pPr>
            <w:r>
              <w:rPr>
                <w:sz w:val="12"/>
                <w:szCs w:val="12"/>
                <w:spacing w:val="-1"/>
              </w:rPr>
              <w:t>40%多菌灵、30%中生霉案</w:t>
            </w:r>
          </w:p>
        </w:tc>
        <w:tc>
          <w:tcPr>
            <w:tcW w:w="1609" w:type="dxa"/>
            <w:vAlign w:val="top"/>
            <w:tcBorders>
              <w:bottom w:val="single" w:color="000000" w:sz="2" w:space="0"/>
              <w:top w:val="single" w:color="000000" w:sz="2" w:space="0"/>
            </w:tcBorders>
          </w:tcPr>
          <w:p>
            <w:pPr>
              <w:pStyle w:val="TableText"/>
              <w:ind w:left="525"/>
              <w:spacing w:before="60" w:line="220" w:lineRule="auto"/>
              <w:rPr>
                <w:sz w:val="12"/>
                <w:szCs w:val="12"/>
              </w:rPr>
            </w:pPr>
            <w:r>
              <w:rPr>
                <w:sz w:val="12"/>
                <w:szCs w:val="12"/>
                <w:spacing w:val="-1"/>
              </w:rPr>
              <w:t>500-600倍</w:t>
            </w:r>
          </w:p>
        </w:tc>
        <w:tc>
          <w:tcPr>
            <w:tcW w:w="1039" w:type="dxa"/>
            <w:vAlign w:val="top"/>
            <w:vMerge w:val="continue"/>
            <w:tcBorders>
              <w:bottom w:val="single" w:color="000000" w:sz="2" w:space="0"/>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67"/>
              <w:spacing w:before="56" w:line="213" w:lineRule="auto"/>
              <w:rPr>
                <w:sz w:val="12"/>
                <w:szCs w:val="12"/>
              </w:rPr>
            </w:pPr>
            <w:r>
              <w:rPr>
                <w:sz w:val="12"/>
                <w:szCs w:val="12"/>
                <w:spacing w:val="-1"/>
              </w:rPr>
              <w:t>25g/袋</w:t>
            </w:r>
          </w:p>
        </w:tc>
        <w:tc>
          <w:tcPr>
            <w:tcW w:w="2783" w:type="dxa"/>
            <w:vAlign w:val="top"/>
            <w:vMerge w:val="continue"/>
            <w:tcBorders>
              <w:bottom w:val="single" w:color="000000" w:sz="2" w:space="0"/>
              <w:top w:val="nil"/>
            </w:tcBorders>
          </w:tcPr>
          <w:p>
            <w:pPr>
              <w:rPr>
                <w:rFonts w:ascii="Arial"/>
                <w:sz w:val="21"/>
              </w:rPr>
            </w:pPr>
            <w:r/>
          </w:p>
        </w:tc>
      </w:tr>
      <w:tr>
        <w:trPr>
          <w:trHeight w:val="4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453"/>
              <w:spacing w:before="169" w:line="219" w:lineRule="auto"/>
              <w:rPr>
                <w:sz w:val="12"/>
                <w:szCs w:val="12"/>
              </w:rPr>
            </w:pPr>
            <w:r>
              <w:rPr>
                <w:sz w:val="12"/>
                <w:szCs w:val="12"/>
                <w:spacing w:val="-2"/>
              </w:rPr>
              <w:t>植病灵</w:t>
            </w:r>
          </w:p>
        </w:tc>
        <w:tc>
          <w:tcPr>
            <w:tcW w:w="1859" w:type="dxa"/>
            <w:vAlign w:val="top"/>
            <w:tcBorders>
              <w:bottom w:val="single" w:color="000000" w:sz="2" w:space="0"/>
              <w:top w:val="single" w:color="000000" w:sz="2" w:space="0"/>
            </w:tcBorders>
          </w:tcPr>
          <w:p>
            <w:pPr>
              <w:pStyle w:val="TableText"/>
              <w:ind w:left="323"/>
              <w:spacing w:before="169" w:line="219" w:lineRule="auto"/>
              <w:rPr>
                <w:sz w:val="12"/>
                <w:szCs w:val="12"/>
              </w:rPr>
            </w:pPr>
            <w:r>
              <w:rPr>
                <w:sz w:val="12"/>
                <w:szCs w:val="12"/>
                <w:spacing w:val="-1"/>
              </w:rPr>
              <w:t>盐酸金刚乙胺、内环唑</w:t>
            </w:r>
          </w:p>
        </w:tc>
        <w:tc>
          <w:tcPr>
            <w:tcW w:w="1609" w:type="dxa"/>
            <w:vAlign w:val="top"/>
            <w:tcBorders>
              <w:bottom w:val="single" w:color="000000" w:sz="2" w:space="0"/>
              <w:top w:val="single" w:color="000000" w:sz="2" w:space="0"/>
            </w:tcBorders>
          </w:tcPr>
          <w:p>
            <w:pPr>
              <w:pStyle w:val="TableText"/>
              <w:ind w:left="585"/>
              <w:spacing w:before="170" w:line="220" w:lineRule="auto"/>
              <w:rPr>
                <w:sz w:val="12"/>
                <w:szCs w:val="12"/>
              </w:rPr>
            </w:pPr>
            <w:r>
              <w:rPr>
                <w:sz w:val="12"/>
                <w:szCs w:val="12"/>
                <w:spacing w:val="-1"/>
              </w:rPr>
              <w:t>800倍液</w:t>
            </w:r>
          </w:p>
        </w:tc>
        <w:tc>
          <w:tcPr>
            <w:tcW w:w="1039" w:type="dxa"/>
            <w:vAlign w:val="top"/>
            <w:tcBorders>
              <w:bottom w:val="single" w:color="000000" w:sz="2" w:space="0"/>
              <w:top w:val="single" w:color="000000" w:sz="2" w:space="0"/>
            </w:tcBorders>
          </w:tcPr>
          <w:p>
            <w:pPr>
              <w:pStyle w:val="TableText"/>
              <w:spacing w:before="39" w:line="200" w:lineRule="auto"/>
              <w:jc w:val="right"/>
              <w:rPr>
                <w:sz w:val="12"/>
                <w:szCs w:val="12"/>
              </w:rPr>
            </w:pPr>
            <w:r>
              <w:rPr>
                <w:sz w:val="12"/>
                <w:szCs w:val="12"/>
                <w:spacing w:val="-1"/>
              </w:rPr>
              <w:t>发病初期，每5-7天</w:t>
            </w:r>
          </w:p>
          <w:p>
            <w:pPr>
              <w:pStyle w:val="TableText"/>
              <w:spacing w:line="199" w:lineRule="auto"/>
              <w:jc w:val="right"/>
              <w:rPr>
                <w:sz w:val="12"/>
                <w:szCs w:val="12"/>
              </w:rPr>
            </w:pPr>
            <w:r>
              <w:rPr>
                <w:sz w:val="12"/>
                <w:szCs w:val="12"/>
                <w:spacing w:val="-1"/>
              </w:rPr>
              <w:t>喷施一次，喷3遍，</w:t>
            </w:r>
          </w:p>
          <w:p>
            <w:pPr>
              <w:pStyle w:val="TableText"/>
              <w:ind w:left="156"/>
              <w:spacing w:line="219" w:lineRule="auto"/>
              <w:rPr>
                <w:sz w:val="12"/>
                <w:szCs w:val="12"/>
              </w:rPr>
            </w:pPr>
            <w:r>
              <w:rPr>
                <w:sz w:val="12"/>
                <w:szCs w:val="12"/>
              </w:rPr>
              <w:t>可减轻危害。</w:t>
            </w:r>
          </w:p>
        </w:tc>
        <w:tc>
          <w:tcPr>
            <w:tcW w:w="709" w:type="dxa"/>
            <w:vAlign w:val="top"/>
            <w:tcBorders>
              <w:bottom w:val="single" w:color="000000" w:sz="2" w:space="0"/>
              <w:top w:val="single" w:color="000000" w:sz="2" w:space="0"/>
            </w:tcBorders>
          </w:tcPr>
          <w:p>
            <w:pPr>
              <w:pStyle w:val="TableText"/>
              <w:ind w:left="137"/>
              <w:spacing w:before="170" w:line="221" w:lineRule="auto"/>
              <w:rPr>
                <w:sz w:val="12"/>
                <w:szCs w:val="12"/>
              </w:rPr>
            </w:pPr>
            <w:r>
              <w:rPr>
                <w:sz w:val="12"/>
                <w:szCs w:val="12"/>
                <w:spacing w:val="-2"/>
              </w:rPr>
              <w:t>15ml/瓶</w:t>
            </w:r>
          </w:p>
        </w:tc>
        <w:tc>
          <w:tcPr>
            <w:tcW w:w="2783" w:type="dxa"/>
            <w:vAlign w:val="top"/>
            <w:tcBorders>
              <w:bottom w:val="single" w:color="000000" w:sz="2" w:space="0"/>
              <w:top w:val="single" w:color="000000" w:sz="2" w:space="0"/>
            </w:tcBorders>
          </w:tcPr>
          <w:p>
            <w:pPr>
              <w:pStyle w:val="TableText"/>
              <w:ind w:left="18"/>
              <w:spacing w:before="169" w:line="219" w:lineRule="auto"/>
              <w:rPr>
                <w:sz w:val="12"/>
                <w:szCs w:val="12"/>
              </w:rPr>
            </w:pPr>
            <w:r>
              <w:rPr>
                <w:sz w:val="12"/>
                <w:szCs w:val="12"/>
                <w:spacing w:val="-1"/>
              </w:rPr>
              <w:t>防治花叶病，对病毒性病害有特效</w:t>
            </w:r>
          </w:p>
        </w:tc>
      </w:tr>
      <w:tr>
        <w:trPr>
          <w:trHeight w:val="35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20" w:line="219" w:lineRule="auto"/>
              <w:rPr>
                <w:sz w:val="12"/>
                <w:szCs w:val="12"/>
              </w:rPr>
            </w:pPr>
            <w:r>
              <w:rPr>
                <w:sz w:val="12"/>
                <w:szCs w:val="12"/>
                <w:spacing w:val="1"/>
              </w:rPr>
              <w:t>国光英纳</w:t>
            </w:r>
          </w:p>
        </w:tc>
        <w:tc>
          <w:tcPr>
            <w:tcW w:w="1859" w:type="dxa"/>
            <w:vAlign w:val="top"/>
            <w:tcBorders>
              <w:bottom w:val="single" w:color="000000" w:sz="2" w:space="0"/>
              <w:top w:val="single" w:color="000000" w:sz="2" w:space="0"/>
            </w:tcBorders>
          </w:tcPr>
          <w:p>
            <w:pPr>
              <w:pStyle w:val="TableText"/>
              <w:ind w:left="293"/>
              <w:spacing w:before="118" w:line="216" w:lineRule="auto"/>
              <w:rPr>
                <w:sz w:val="12"/>
                <w:szCs w:val="12"/>
              </w:rPr>
            </w:pPr>
            <w:r>
              <w:rPr>
                <w:sz w:val="12"/>
                <w:szCs w:val="12"/>
                <w:spacing w:val="-1"/>
              </w:rPr>
              <w:t>多菌灵16%,代森锰锌34%</w:t>
            </w:r>
          </w:p>
        </w:tc>
        <w:tc>
          <w:tcPr>
            <w:tcW w:w="1609" w:type="dxa"/>
            <w:vAlign w:val="top"/>
            <w:tcBorders>
              <w:bottom w:val="single" w:color="000000" w:sz="2" w:space="0"/>
              <w:top w:val="single" w:color="000000" w:sz="2" w:space="0"/>
            </w:tcBorders>
          </w:tcPr>
          <w:p>
            <w:pPr>
              <w:pStyle w:val="TableText"/>
              <w:ind w:left="315"/>
              <w:spacing w:before="120" w:line="219" w:lineRule="auto"/>
              <w:rPr>
                <w:sz w:val="12"/>
                <w:szCs w:val="12"/>
              </w:rPr>
            </w:pPr>
            <w:r>
              <w:rPr>
                <w:sz w:val="12"/>
                <w:szCs w:val="12"/>
                <w:spacing w:val="-1"/>
              </w:rPr>
              <w:t>稀释700-1000倍液</w:t>
            </w:r>
          </w:p>
        </w:tc>
        <w:tc>
          <w:tcPr>
            <w:tcW w:w="1039" w:type="dxa"/>
            <w:vAlign w:val="top"/>
            <w:tcBorders>
              <w:bottom w:val="single" w:color="000000" w:sz="2" w:space="0"/>
              <w:top w:val="single" w:color="000000" w:sz="2" w:space="0"/>
            </w:tcBorders>
          </w:tcPr>
          <w:p>
            <w:pPr>
              <w:pStyle w:val="TableText"/>
              <w:ind w:left="306"/>
              <w:spacing w:before="120" w:line="219" w:lineRule="auto"/>
              <w:rPr>
                <w:sz w:val="12"/>
                <w:szCs w:val="12"/>
              </w:rPr>
            </w:pPr>
            <w:r>
              <w:rPr>
                <w:sz w:val="12"/>
                <w:szCs w:val="12"/>
                <w:spacing w:val="-1"/>
              </w:rPr>
              <w:t>每月1次</w:t>
            </w:r>
          </w:p>
        </w:tc>
        <w:tc>
          <w:tcPr>
            <w:tcW w:w="709" w:type="dxa"/>
            <w:vAlign w:val="top"/>
            <w:tcBorders>
              <w:bottom w:val="single" w:color="000000" w:sz="2" w:space="0"/>
              <w:top w:val="single" w:color="000000" w:sz="2" w:space="0"/>
            </w:tcBorders>
          </w:tcPr>
          <w:p>
            <w:pPr>
              <w:pStyle w:val="TableText"/>
              <w:ind w:left="137"/>
              <w:spacing w:before="116" w:line="213" w:lineRule="auto"/>
              <w:rPr>
                <w:sz w:val="12"/>
                <w:szCs w:val="12"/>
              </w:rPr>
            </w:pPr>
            <w:r>
              <w:rPr>
                <w:sz w:val="12"/>
                <w:szCs w:val="12"/>
                <w:spacing w:val="-1"/>
              </w:rPr>
              <w:t>500g/袋</w:t>
            </w:r>
          </w:p>
        </w:tc>
        <w:tc>
          <w:tcPr>
            <w:tcW w:w="2783" w:type="dxa"/>
            <w:vAlign w:val="top"/>
            <w:tcBorders>
              <w:bottom w:val="single" w:color="000000" w:sz="2" w:space="0"/>
              <w:top w:val="single" w:color="000000" w:sz="2" w:space="0"/>
            </w:tcBorders>
          </w:tcPr>
          <w:p>
            <w:pPr>
              <w:pStyle w:val="TableText"/>
              <w:ind w:left="18"/>
              <w:spacing w:before="120" w:line="219" w:lineRule="auto"/>
              <w:rPr>
                <w:sz w:val="12"/>
                <w:szCs w:val="12"/>
              </w:rPr>
            </w:pPr>
            <w:r>
              <w:rPr>
                <w:sz w:val="12"/>
                <w:szCs w:val="12"/>
                <w:spacing w:val="-1"/>
              </w:rPr>
              <w:t>治苗木及花卉的叶斑病、炭疸病等</w:t>
            </w:r>
          </w:p>
        </w:tc>
      </w:tr>
      <w:tr>
        <w:trPr>
          <w:trHeight w:val="335" w:hRule="atLeast"/>
        </w:trPr>
        <w:tc>
          <w:tcPr>
            <w:tcW w:w="41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13"/>
              <w:spacing w:before="110" w:line="219" w:lineRule="auto"/>
              <w:rPr>
                <w:sz w:val="12"/>
                <w:szCs w:val="12"/>
              </w:rPr>
            </w:pPr>
            <w:r>
              <w:rPr>
                <w:sz w:val="12"/>
                <w:szCs w:val="12"/>
                <w:spacing w:val="1"/>
              </w:rPr>
              <w:t>国光甲基硫菌灵</w:t>
            </w:r>
          </w:p>
        </w:tc>
        <w:tc>
          <w:tcPr>
            <w:tcW w:w="1859" w:type="dxa"/>
            <w:vAlign w:val="top"/>
            <w:tcBorders>
              <w:bottom w:val="single" w:color="000000" w:sz="2" w:space="0"/>
              <w:top w:val="single" w:color="000000" w:sz="2" w:space="0"/>
            </w:tcBorders>
          </w:tcPr>
          <w:p>
            <w:pPr>
              <w:pStyle w:val="TableText"/>
              <w:ind w:left="534"/>
              <w:spacing w:before="110" w:line="219" w:lineRule="auto"/>
              <w:rPr>
                <w:sz w:val="12"/>
                <w:szCs w:val="12"/>
              </w:rPr>
            </w:pPr>
            <w:r>
              <w:rPr>
                <w:sz w:val="12"/>
                <w:szCs w:val="12"/>
                <w:spacing w:val="-1"/>
              </w:rPr>
              <w:t>70%甲基硫菌灵</w:t>
            </w:r>
          </w:p>
        </w:tc>
        <w:tc>
          <w:tcPr>
            <w:tcW w:w="1609" w:type="dxa"/>
            <w:vAlign w:val="top"/>
            <w:tcBorders>
              <w:bottom w:val="single" w:color="000000" w:sz="2" w:space="0"/>
              <w:top w:val="single" w:color="000000" w:sz="2" w:space="0"/>
            </w:tcBorders>
          </w:tcPr>
          <w:p>
            <w:pPr>
              <w:pStyle w:val="TableText"/>
              <w:ind w:left="315"/>
              <w:spacing w:before="110" w:line="219" w:lineRule="auto"/>
              <w:rPr>
                <w:sz w:val="12"/>
                <w:szCs w:val="12"/>
              </w:rPr>
            </w:pPr>
            <w:r>
              <w:rPr>
                <w:sz w:val="12"/>
                <w:szCs w:val="12"/>
                <w:spacing w:val="-1"/>
              </w:rPr>
              <w:t>稀释600-1000倍液</w:t>
            </w:r>
          </w:p>
        </w:tc>
        <w:tc>
          <w:tcPr>
            <w:tcW w:w="1039" w:type="dxa"/>
            <w:vAlign w:val="top"/>
            <w:tcBorders>
              <w:bottom w:val="single" w:color="000000" w:sz="2" w:space="0"/>
              <w:top w:val="single" w:color="000000" w:sz="2" w:space="0"/>
            </w:tcBorders>
          </w:tcPr>
          <w:p>
            <w:pPr>
              <w:pStyle w:val="TableText"/>
              <w:ind w:left="306"/>
              <w:spacing w:before="110" w:line="219" w:lineRule="auto"/>
              <w:rPr>
                <w:sz w:val="12"/>
                <w:szCs w:val="12"/>
              </w:rPr>
            </w:pPr>
            <w:r>
              <w:rPr>
                <w:sz w:val="12"/>
                <w:szCs w:val="12"/>
                <w:spacing w:val="-1"/>
              </w:rPr>
              <w:t>每月1次</w:t>
            </w:r>
          </w:p>
        </w:tc>
        <w:tc>
          <w:tcPr>
            <w:tcW w:w="709" w:type="dxa"/>
            <w:vAlign w:val="top"/>
            <w:tcBorders>
              <w:bottom w:val="single" w:color="000000" w:sz="2" w:space="0"/>
              <w:top w:val="single" w:color="000000" w:sz="2" w:space="0"/>
            </w:tcBorders>
          </w:tcPr>
          <w:p>
            <w:pPr>
              <w:pStyle w:val="TableText"/>
              <w:ind w:left="167"/>
              <w:spacing w:before="107" w:line="213" w:lineRule="auto"/>
              <w:rPr>
                <w:sz w:val="12"/>
                <w:szCs w:val="12"/>
              </w:rPr>
            </w:pPr>
            <w:r>
              <w:rPr>
                <w:sz w:val="12"/>
                <w:szCs w:val="12"/>
                <w:spacing w:val="-3"/>
              </w:rPr>
              <w:t>lkg/袋</w:t>
            </w:r>
          </w:p>
        </w:tc>
        <w:tc>
          <w:tcPr>
            <w:tcW w:w="2783" w:type="dxa"/>
            <w:vAlign w:val="top"/>
            <w:tcBorders>
              <w:bottom w:val="single" w:color="000000" w:sz="2" w:space="0"/>
              <w:top w:val="single" w:color="000000" w:sz="2" w:space="0"/>
            </w:tcBorders>
          </w:tcPr>
          <w:p>
            <w:pPr>
              <w:pStyle w:val="TableText"/>
              <w:ind w:left="18"/>
              <w:spacing w:before="110" w:line="218" w:lineRule="auto"/>
              <w:rPr>
                <w:sz w:val="12"/>
                <w:szCs w:val="12"/>
              </w:rPr>
            </w:pPr>
            <w:r>
              <w:rPr>
                <w:sz w:val="12"/>
                <w:szCs w:val="12"/>
              </w:rPr>
              <w:t>内吸、广谱高效杀菌剂</w:t>
            </w:r>
          </w:p>
        </w:tc>
      </w:tr>
      <w:tr>
        <w:trPr>
          <w:trHeight w:val="464" w:hRule="atLeast"/>
        </w:trPr>
        <w:tc>
          <w:tcPr>
            <w:tcW w:w="415" w:type="dxa"/>
            <w:vAlign w:val="top"/>
            <w:vMerge w:val="restart"/>
            <w:tcBorders>
              <w:bottom w:val="nil"/>
              <w:top w:val="single" w:color="000000" w:sz="2" w:space="0"/>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4"/>
              <w:spacing w:before="39" w:line="219" w:lineRule="auto"/>
              <w:rPr>
                <w:sz w:val="12"/>
                <w:szCs w:val="12"/>
              </w:rPr>
            </w:pPr>
            <w:r>
              <w:rPr>
                <w:sz w:val="12"/>
                <w:szCs w:val="12"/>
                <w:spacing w:val="-2"/>
              </w:rPr>
              <w:t>杀虫刻</w:t>
            </w:r>
          </w:p>
        </w:tc>
        <w:tc>
          <w:tcPr>
            <w:tcW w:w="560" w:type="dxa"/>
            <w:vAlign w:val="top"/>
            <w:vMerge w:val="restart"/>
            <w:tcBorders>
              <w:bottom w:val="nil"/>
              <w:top w:val="single" w:color="000000" w:sz="2" w:space="0"/>
            </w:tcBorders>
          </w:tcPr>
          <w:p>
            <w:pPr>
              <w:spacing w:line="308" w:lineRule="auto"/>
              <w:rPr>
                <w:rFonts w:ascii="Arial"/>
                <w:sz w:val="21"/>
              </w:rPr>
            </w:pPr>
            <w:r/>
          </w:p>
          <w:p>
            <w:pPr>
              <w:spacing w:line="308" w:lineRule="auto"/>
              <w:rPr>
                <w:rFonts w:ascii="Arial"/>
                <w:sz w:val="21"/>
              </w:rPr>
            </w:pPr>
            <w:r/>
          </w:p>
          <w:p>
            <w:pPr>
              <w:spacing w:line="308" w:lineRule="auto"/>
              <w:rPr>
                <w:rFonts w:ascii="Arial"/>
                <w:sz w:val="21"/>
              </w:rPr>
            </w:pPr>
            <w:r/>
          </w:p>
          <w:p>
            <w:pPr>
              <w:pStyle w:val="TableText"/>
              <w:ind w:left="30"/>
              <w:spacing w:before="39" w:line="219" w:lineRule="auto"/>
              <w:rPr>
                <w:sz w:val="12"/>
                <w:szCs w:val="12"/>
              </w:rPr>
            </w:pPr>
            <w:r>
              <w:rPr>
                <w:sz w:val="12"/>
                <w:szCs w:val="12"/>
                <w:spacing w:val="-1"/>
              </w:rPr>
              <w:t>食叶害虫</w:t>
            </w:r>
          </w:p>
        </w:tc>
        <w:tc>
          <w:tcPr>
            <w:tcW w:w="939" w:type="dxa"/>
            <w:vAlign w:val="top"/>
            <w:vMerge w:val="restart"/>
            <w:tcBorders>
              <w:bottom w:val="nil"/>
              <w:top w:val="single" w:color="000000" w:sz="2" w:space="0"/>
            </w:tcBorders>
          </w:tcPr>
          <w:p>
            <w:pPr>
              <w:spacing w:line="279" w:lineRule="auto"/>
              <w:rPr>
                <w:rFonts w:ascii="Arial"/>
                <w:sz w:val="21"/>
              </w:rPr>
            </w:pPr>
            <w:r/>
          </w:p>
          <w:p>
            <w:pPr>
              <w:pStyle w:val="TableText"/>
              <w:ind w:left="30" w:firstLine="9"/>
              <w:spacing w:before="39" w:line="225" w:lineRule="auto"/>
              <w:jc w:val="both"/>
              <w:rPr>
                <w:sz w:val="12"/>
                <w:szCs w:val="12"/>
              </w:rPr>
            </w:pPr>
            <w:r>
              <w:rPr>
                <w:sz w:val="12"/>
                <w:szCs w:val="12"/>
                <w:spacing w:val="-1"/>
              </w:rPr>
              <w:t>灰白蚕蛾、榕透</w:t>
            </w:r>
            <w:r>
              <w:rPr>
                <w:sz w:val="12"/>
                <w:szCs w:val="12"/>
              </w:rPr>
              <w:t xml:space="preserve">  </w:t>
            </w:r>
            <w:r>
              <w:rPr>
                <w:sz w:val="12"/>
                <w:szCs w:val="12"/>
                <w:spacing w:val="3"/>
              </w:rPr>
              <w:t>翅毒娥、双线盗</w:t>
            </w:r>
            <w:r>
              <w:rPr>
                <w:sz w:val="12"/>
                <w:szCs w:val="12"/>
                <w:spacing w:val="2"/>
              </w:rPr>
              <w:t xml:space="preserve"> </w:t>
            </w:r>
            <w:r>
              <w:rPr>
                <w:sz w:val="12"/>
                <w:szCs w:val="12"/>
              </w:rPr>
              <w:t>毒峨、棉卷叶野</w:t>
            </w:r>
            <w:r>
              <w:rPr>
                <w:sz w:val="12"/>
                <w:szCs w:val="12"/>
                <w:spacing w:val="1"/>
              </w:rPr>
              <w:t xml:space="preserve">  </w:t>
            </w:r>
            <w:r>
              <w:rPr>
                <w:sz w:val="12"/>
                <w:szCs w:val="12"/>
                <w:spacing w:val="3"/>
              </w:rPr>
              <w:t>蜗、竹织叶野蜓</w:t>
            </w:r>
            <w:r>
              <w:rPr>
                <w:sz w:val="12"/>
                <w:szCs w:val="12"/>
                <w:spacing w:val="2"/>
              </w:rPr>
              <w:t xml:space="preserve"> </w:t>
            </w:r>
            <w:r>
              <w:rPr>
                <w:sz w:val="12"/>
                <w:szCs w:val="12"/>
                <w:spacing w:val="1"/>
              </w:rPr>
              <w:t>、盆架子绿翅绍</w:t>
            </w:r>
            <w:r>
              <w:rPr>
                <w:sz w:val="12"/>
                <w:szCs w:val="12"/>
              </w:rPr>
              <w:t xml:space="preserve">  </w:t>
            </w:r>
            <w:r>
              <w:rPr>
                <w:sz w:val="12"/>
                <w:szCs w:val="12"/>
                <w:spacing w:val="8"/>
              </w:rPr>
              <w:t>野瞑、迁粉蝶、</w:t>
            </w:r>
          </w:p>
          <w:p>
            <w:pPr>
              <w:pStyle w:val="TableText"/>
              <w:ind w:left="40"/>
              <w:spacing w:before="11" w:line="199" w:lineRule="auto"/>
              <w:rPr>
                <w:sz w:val="12"/>
                <w:szCs w:val="12"/>
              </w:rPr>
            </w:pPr>
            <w:r>
              <w:rPr>
                <w:sz w:val="12"/>
                <w:szCs w:val="12"/>
                <w:spacing w:val="-1"/>
              </w:rPr>
              <w:t>凤凰木夜蛾、草</w:t>
            </w:r>
          </w:p>
          <w:p>
            <w:pPr>
              <w:pStyle w:val="TableText"/>
              <w:ind w:left="40"/>
              <w:spacing w:line="218" w:lineRule="auto"/>
              <w:rPr>
                <w:sz w:val="12"/>
                <w:szCs w:val="12"/>
              </w:rPr>
            </w:pPr>
            <w:r>
              <w:rPr>
                <w:sz w:val="12"/>
                <w:szCs w:val="12"/>
                <w:spacing w:val="-1"/>
              </w:rPr>
              <w:t>坪拟小稻叶夜蚁</w:t>
            </w:r>
          </w:p>
          <w:p>
            <w:pPr>
              <w:pStyle w:val="TableText"/>
              <w:ind w:left="99" w:right="57" w:hanging="49"/>
              <w:spacing w:before="8" w:line="247" w:lineRule="auto"/>
              <w:rPr>
                <w:sz w:val="12"/>
                <w:szCs w:val="12"/>
              </w:rPr>
            </w:pPr>
            <w:r>
              <w:rPr>
                <w:sz w:val="12"/>
                <w:szCs w:val="12"/>
                <w:spacing w:val="-3"/>
              </w:rPr>
              <w:t>、斜纹夜娥，袋</w:t>
            </w:r>
            <w:r>
              <w:rPr>
                <w:sz w:val="12"/>
                <w:szCs w:val="12"/>
                <w:spacing w:val="1"/>
              </w:rPr>
              <w:t xml:space="preserve"> </w:t>
            </w:r>
            <w:r>
              <w:rPr>
                <w:sz w:val="12"/>
                <w:szCs w:val="12"/>
                <w:spacing w:val="-2"/>
              </w:rPr>
              <w:t>峨粘虫、尺峨</w:t>
            </w:r>
          </w:p>
        </w:tc>
        <w:tc>
          <w:tcPr>
            <w:tcW w:w="2668" w:type="dxa"/>
            <w:vAlign w:val="top"/>
            <w:vMerge w:val="restart"/>
            <w:tcBorders>
              <w:bottom w:val="nil"/>
              <w:top w:val="single" w:color="000000" w:sz="2" w:space="0"/>
            </w:tcBorders>
          </w:tcPr>
          <w:p>
            <w:pPr>
              <w:pStyle w:val="TableText"/>
              <w:ind w:left="1" w:firstLine="9"/>
              <w:spacing w:before="270" w:line="207" w:lineRule="auto"/>
              <w:rPr>
                <w:sz w:val="12"/>
                <w:szCs w:val="12"/>
              </w:rPr>
            </w:pPr>
            <w:r>
              <w:rPr>
                <w:sz w:val="12"/>
                <w:szCs w:val="12"/>
                <w:spacing w:val="-3"/>
              </w:rPr>
              <w:t>一、1-4月多数食物性害虫活动尚不话跃。预防消杀</w:t>
            </w:r>
            <w:r>
              <w:rPr>
                <w:sz w:val="12"/>
                <w:szCs w:val="12"/>
                <w:spacing w:val="17"/>
              </w:rPr>
              <w:t xml:space="preserve"> </w:t>
            </w:r>
            <w:r>
              <w:rPr>
                <w:sz w:val="12"/>
                <w:szCs w:val="12"/>
              </w:rPr>
              <w:t>为主。结合修剪，人工摘除虫茧、虫卵，虫</w:t>
            </w:r>
            <w:r>
              <w:rPr>
                <w:sz w:val="12"/>
                <w:szCs w:val="12"/>
                <w:spacing w:val="-1"/>
              </w:rPr>
              <w:t>囊：</w:t>
            </w:r>
          </w:p>
          <w:p>
            <w:pPr>
              <w:pStyle w:val="TableText"/>
              <w:ind w:left="11"/>
              <w:spacing w:before="1" w:line="223" w:lineRule="auto"/>
              <w:rPr>
                <w:sz w:val="12"/>
                <w:szCs w:val="12"/>
              </w:rPr>
            </w:pPr>
            <w:r>
              <w:rPr>
                <w:sz w:val="12"/>
                <w:szCs w:val="12"/>
                <w:spacing w:val="-3"/>
              </w:rPr>
              <w:t>三、5-6月是大本分鳞翅目害虫大量繁殖时期，成蛹</w:t>
            </w:r>
            <w:r>
              <w:rPr>
                <w:sz w:val="12"/>
                <w:szCs w:val="12"/>
                <w:spacing w:val="17"/>
                <w:w w:val="101"/>
              </w:rPr>
              <w:t xml:space="preserve"> </w:t>
            </w:r>
            <w:r>
              <w:rPr>
                <w:sz w:val="12"/>
                <w:szCs w:val="12"/>
                <w:spacing w:val="2"/>
              </w:rPr>
              <w:t>或羽化期，如毒蛾《档透翅毒蛾、双线盗毒峡)、</w:t>
            </w:r>
            <w:r>
              <w:rPr>
                <w:sz w:val="12"/>
                <w:szCs w:val="12"/>
                <w:spacing w:val="13"/>
              </w:rPr>
              <w:t xml:space="preserve"> </w:t>
            </w:r>
            <w:r>
              <w:rPr>
                <w:sz w:val="12"/>
                <w:szCs w:val="12"/>
                <w:spacing w:val="-1"/>
              </w:rPr>
              <w:t>炽蛾(棉卷叶野螟、竹织叶野织》、灰白蚕蛾、粉</w:t>
            </w:r>
            <w:r>
              <w:rPr>
                <w:sz w:val="12"/>
                <w:szCs w:val="12"/>
                <w:spacing w:val="7"/>
              </w:rPr>
              <w:t xml:space="preserve">  </w:t>
            </w:r>
            <w:r>
              <w:rPr>
                <w:sz w:val="12"/>
                <w:szCs w:val="12"/>
                <w:spacing w:val="-1"/>
              </w:rPr>
              <w:t>娱等活跃，采取人工加药物双重防治：</w:t>
            </w:r>
          </w:p>
          <w:p>
            <w:pPr>
              <w:pStyle w:val="TableText"/>
              <w:ind w:left="1" w:right="1" w:firstLine="9"/>
              <w:spacing w:before="8" w:line="222" w:lineRule="auto"/>
              <w:rPr>
                <w:sz w:val="12"/>
                <w:szCs w:val="12"/>
              </w:rPr>
            </w:pPr>
            <w:r>
              <w:rPr>
                <w:sz w:val="12"/>
                <w:szCs w:val="12"/>
                <w:spacing w:val="-3"/>
              </w:rPr>
              <w:t>三、7-8月部分毒峨、蝴峨、蚕蛾、粉蝶受高温台风</w:t>
            </w:r>
            <w:r>
              <w:rPr>
                <w:sz w:val="12"/>
                <w:szCs w:val="12"/>
                <w:spacing w:val="16"/>
              </w:rPr>
              <w:t xml:space="preserve"> </w:t>
            </w:r>
            <w:r>
              <w:rPr>
                <w:sz w:val="12"/>
                <w:szCs w:val="12"/>
              </w:rPr>
              <w:t>影响活动有所减少，但是风凰木夜蛾、草坪拟小稻</w:t>
            </w:r>
            <w:r>
              <w:rPr>
                <w:sz w:val="12"/>
                <w:szCs w:val="12"/>
                <w:spacing w:val="4"/>
              </w:rPr>
              <w:t xml:space="preserve"> </w:t>
            </w:r>
            <w:r>
              <w:rPr>
                <w:sz w:val="12"/>
                <w:szCs w:val="12"/>
              </w:rPr>
              <w:t>叶夜娥，斜纹夜娥危害严重。9-10月灰白</w:t>
            </w:r>
            <w:r>
              <w:rPr>
                <w:sz w:val="12"/>
                <w:szCs w:val="12"/>
                <w:spacing w:val="-1"/>
              </w:rPr>
              <w:t>蚕蛾、毒</w:t>
            </w:r>
            <w:r>
              <w:rPr>
                <w:sz w:val="12"/>
                <w:szCs w:val="12"/>
              </w:rPr>
              <w:t xml:space="preserve"> </w:t>
            </w:r>
            <w:r>
              <w:rPr>
                <w:sz w:val="12"/>
                <w:szCs w:val="12"/>
              </w:rPr>
              <w:t>峨类、粉螺、尺峨等危害上升。11月下句-2月，多 </w:t>
            </w:r>
            <w:r>
              <w:rPr>
                <w:sz w:val="12"/>
                <w:szCs w:val="12"/>
              </w:rPr>
              <w:t>以蛹(茧》和高龄幼虫越冬，危害下降。</w:t>
            </w:r>
          </w:p>
        </w:tc>
        <w:tc>
          <w:tcPr>
            <w:tcW w:w="1279" w:type="dxa"/>
            <w:vAlign w:val="top"/>
            <w:tcBorders>
              <w:bottom w:val="single" w:color="000000" w:sz="2" w:space="0"/>
              <w:top w:val="single" w:color="000000" w:sz="2" w:space="0"/>
            </w:tcBorders>
          </w:tcPr>
          <w:p>
            <w:pPr>
              <w:pStyle w:val="TableText"/>
              <w:ind w:left="273"/>
              <w:spacing w:before="170" w:line="219" w:lineRule="auto"/>
              <w:rPr>
                <w:sz w:val="12"/>
                <w:szCs w:val="12"/>
              </w:rPr>
            </w:pPr>
            <w:r>
              <w:rPr>
                <w:sz w:val="12"/>
                <w:szCs w:val="12"/>
                <w:spacing w:val="-2"/>
              </w:rPr>
              <w:t>高效氯氰菊酯</w:t>
            </w:r>
          </w:p>
        </w:tc>
        <w:tc>
          <w:tcPr>
            <w:tcW w:w="1859" w:type="dxa"/>
            <w:vAlign w:val="top"/>
            <w:tcBorders>
              <w:bottom w:val="single" w:color="000000" w:sz="2" w:space="0"/>
              <w:top w:val="single" w:color="000000" w:sz="2" w:space="0"/>
            </w:tcBorders>
          </w:tcPr>
          <w:p>
            <w:pPr>
              <w:pStyle w:val="TableText"/>
              <w:ind w:left="564"/>
              <w:spacing w:before="170" w:line="219" w:lineRule="auto"/>
              <w:rPr>
                <w:sz w:val="12"/>
                <w:szCs w:val="12"/>
              </w:rPr>
            </w:pPr>
            <w:r>
              <w:rPr>
                <w:sz w:val="12"/>
                <w:szCs w:val="12"/>
                <w:spacing w:val="-2"/>
              </w:rPr>
              <w:t>高效氯佩菊酯</w:t>
            </w:r>
          </w:p>
        </w:tc>
        <w:tc>
          <w:tcPr>
            <w:tcW w:w="1609" w:type="dxa"/>
            <w:vAlign w:val="top"/>
            <w:tcBorders>
              <w:bottom w:val="single" w:color="000000" w:sz="2" w:space="0"/>
              <w:top w:val="single" w:color="000000" w:sz="2" w:space="0"/>
            </w:tcBorders>
          </w:tcPr>
          <w:p>
            <w:pPr>
              <w:pStyle w:val="TableText"/>
              <w:ind w:left="375"/>
              <w:spacing w:before="170" w:line="220" w:lineRule="auto"/>
              <w:rPr>
                <w:sz w:val="12"/>
                <w:szCs w:val="12"/>
              </w:rPr>
            </w:pPr>
            <w:r>
              <w:rPr>
                <w:sz w:val="12"/>
                <w:szCs w:val="12"/>
                <w:spacing w:val="-1"/>
              </w:rPr>
              <w:t>4.5%乳油1500倍</w:t>
            </w:r>
          </w:p>
        </w:tc>
        <w:tc>
          <w:tcPr>
            <w:tcW w:w="1039" w:type="dxa"/>
            <w:vAlign w:val="top"/>
            <w:tcBorders>
              <w:bottom w:val="single" w:color="000000" w:sz="2" w:space="0"/>
              <w:top w:val="single" w:color="000000" w:sz="2" w:space="0"/>
            </w:tcBorders>
          </w:tcPr>
          <w:p>
            <w:pPr>
              <w:pStyle w:val="TableText"/>
              <w:ind w:left="16" w:right="38" w:firstLine="49"/>
              <w:spacing w:before="31" w:line="211" w:lineRule="auto"/>
              <w:rPr>
                <w:sz w:val="12"/>
                <w:szCs w:val="12"/>
              </w:rPr>
            </w:pPr>
            <w:r>
              <w:rPr>
                <w:sz w:val="12"/>
                <w:szCs w:val="12"/>
                <w:spacing w:val="2"/>
              </w:rPr>
              <w:t>每隔7-10天喷药! </w:t>
            </w:r>
            <w:r>
              <w:rPr>
                <w:sz w:val="12"/>
                <w:szCs w:val="12"/>
                <w:spacing w:val="-1"/>
              </w:rPr>
              <w:t>次，连续喷酒2-3</w:t>
            </w:r>
            <w:r>
              <w:rPr>
                <w:sz w:val="12"/>
                <w:szCs w:val="12"/>
              </w:rPr>
              <w:t xml:space="preserve">  </w:t>
            </w:r>
            <w:r>
              <w:rPr>
                <w:sz w:val="12"/>
                <w:szCs w:val="12"/>
              </w:rPr>
              <w:t>次</w:t>
            </w:r>
          </w:p>
        </w:tc>
        <w:tc>
          <w:tcPr>
            <w:tcW w:w="709" w:type="dxa"/>
            <w:vAlign w:val="top"/>
            <w:tcBorders>
              <w:bottom w:val="single" w:color="000000" w:sz="2" w:space="0"/>
              <w:top w:val="single" w:color="000000" w:sz="2" w:space="0"/>
            </w:tcBorders>
          </w:tcPr>
          <w:p>
            <w:pPr>
              <w:pStyle w:val="TableText"/>
              <w:ind w:left="107"/>
              <w:spacing w:before="170" w:line="221" w:lineRule="auto"/>
              <w:rPr>
                <w:sz w:val="12"/>
                <w:szCs w:val="12"/>
              </w:rPr>
            </w:pPr>
            <w:r>
              <w:rPr>
                <w:sz w:val="12"/>
                <w:szCs w:val="12"/>
                <w:spacing w:val="-1"/>
              </w:rPr>
              <w:t>300ml/瓶</w:t>
            </w:r>
          </w:p>
        </w:tc>
        <w:tc>
          <w:tcPr>
            <w:tcW w:w="2783" w:type="dxa"/>
            <w:vAlign w:val="top"/>
            <w:tcBorders>
              <w:bottom w:val="single" w:color="000000" w:sz="2" w:space="0"/>
              <w:top w:val="single" w:color="000000" w:sz="2" w:space="0"/>
            </w:tcBorders>
          </w:tcPr>
          <w:p>
            <w:pPr>
              <w:pStyle w:val="TableText"/>
              <w:ind w:left="18"/>
              <w:spacing w:before="170" w:line="219" w:lineRule="auto"/>
              <w:rPr>
                <w:sz w:val="12"/>
                <w:szCs w:val="12"/>
              </w:rPr>
            </w:pPr>
            <w:r>
              <w:rPr>
                <w:sz w:val="12"/>
                <w:szCs w:val="12"/>
                <w:spacing w:val="-1"/>
              </w:rPr>
              <w:t>主要防泊衣作物上发生的翅日害虫。具有馨毒性</w:t>
            </w:r>
          </w:p>
        </w:tc>
      </w:tr>
      <w:tr>
        <w:trPr>
          <w:trHeight w:val="52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200" w:line="219" w:lineRule="auto"/>
              <w:rPr>
                <w:sz w:val="12"/>
                <w:szCs w:val="12"/>
              </w:rPr>
            </w:pPr>
            <w:r>
              <w:rPr>
                <w:sz w:val="12"/>
                <w:szCs w:val="12"/>
                <w:spacing w:val="3"/>
              </w:rPr>
              <w:t>除尽(溴虫腊)</w:t>
            </w:r>
          </w:p>
        </w:tc>
        <w:tc>
          <w:tcPr>
            <w:tcW w:w="1859" w:type="dxa"/>
            <w:vAlign w:val="top"/>
            <w:tcBorders>
              <w:bottom w:val="single" w:color="000000" w:sz="2" w:space="0"/>
              <w:top w:val="single" w:color="000000" w:sz="2" w:space="0"/>
            </w:tcBorders>
          </w:tcPr>
          <w:p>
            <w:pPr>
              <w:pStyle w:val="TableText"/>
              <w:ind w:left="564"/>
              <w:spacing w:before="200" w:line="219" w:lineRule="auto"/>
              <w:rPr>
                <w:sz w:val="12"/>
                <w:szCs w:val="12"/>
              </w:rPr>
            </w:pPr>
            <w:r>
              <w:rPr>
                <w:sz w:val="12"/>
                <w:szCs w:val="12"/>
                <w:spacing w:val="-2"/>
              </w:rPr>
              <w:t>芳基取代吐咯</w:t>
            </w:r>
          </w:p>
        </w:tc>
        <w:tc>
          <w:tcPr>
            <w:tcW w:w="1609" w:type="dxa"/>
            <w:vAlign w:val="top"/>
            <w:tcBorders>
              <w:bottom w:val="single" w:color="000000" w:sz="2" w:space="0"/>
              <w:top w:val="single" w:color="000000" w:sz="2" w:space="0"/>
            </w:tcBorders>
          </w:tcPr>
          <w:p>
            <w:pPr>
              <w:pStyle w:val="TableText"/>
              <w:ind w:left="135"/>
              <w:spacing w:before="200" w:line="218" w:lineRule="auto"/>
              <w:rPr>
                <w:sz w:val="12"/>
                <w:szCs w:val="12"/>
              </w:rPr>
            </w:pPr>
            <w:r>
              <w:rPr>
                <w:sz w:val="12"/>
                <w:szCs w:val="12"/>
                <w:spacing w:val="-1"/>
              </w:rPr>
              <w:t>10M是浮剂1500-2000倍液</w:t>
            </w:r>
          </w:p>
        </w:tc>
        <w:tc>
          <w:tcPr>
            <w:tcW w:w="1039" w:type="dxa"/>
            <w:vAlign w:val="top"/>
            <w:tcBorders>
              <w:bottom w:val="single" w:color="000000" w:sz="2" w:space="0"/>
              <w:top w:val="single" w:color="000000" w:sz="2" w:space="0"/>
            </w:tcBorders>
          </w:tcPr>
          <w:p>
            <w:pPr>
              <w:pStyle w:val="TableText"/>
              <w:ind w:left="16" w:right="67" w:firstLine="49"/>
              <w:spacing w:before="60" w:line="232" w:lineRule="auto"/>
              <w:jc w:val="both"/>
              <w:rPr>
                <w:sz w:val="12"/>
                <w:szCs w:val="12"/>
              </w:rPr>
            </w:pPr>
            <w:r>
              <w:rPr>
                <w:sz w:val="12"/>
                <w:szCs w:val="12"/>
                <w:spacing w:val="-1"/>
              </w:rPr>
              <w:t>每隔15-18天喷药</w:t>
            </w:r>
            <w:r>
              <w:rPr>
                <w:sz w:val="12"/>
                <w:szCs w:val="12"/>
                <w:spacing w:val="4"/>
              </w:rPr>
              <w:t xml:space="preserve"> </w:t>
            </w:r>
            <w:r>
              <w:rPr>
                <w:sz w:val="12"/>
                <w:szCs w:val="12"/>
                <w:spacing w:val="4"/>
              </w:rPr>
              <w:t>次，连续喷洒2-3</w:t>
            </w:r>
            <w:r>
              <w:rPr>
                <w:sz w:val="12"/>
                <w:szCs w:val="12"/>
                <w:spacing w:val="5"/>
              </w:rPr>
              <w:t xml:space="preserve"> </w:t>
            </w:r>
            <w:r>
              <w:rPr>
                <w:sz w:val="12"/>
                <w:szCs w:val="12"/>
              </w:rPr>
              <w:t>次</w:t>
            </w:r>
          </w:p>
        </w:tc>
        <w:tc>
          <w:tcPr>
            <w:tcW w:w="709" w:type="dxa"/>
            <w:vAlign w:val="top"/>
            <w:tcBorders>
              <w:bottom w:val="single" w:color="000000" w:sz="2" w:space="0"/>
              <w:top w:val="single" w:color="000000" w:sz="2" w:space="0"/>
            </w:tcBorders>
          </w:tcPr>
          <w:p>
            <w:pPr>
              <w:pStyle w:val="TableText"/>
              <w:ind w:left="107"/>
              <w:spacing w:before="201"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ind w:left="18"/>
              <w:spacing w:before="130" w:line="248" w:lineRule="auto"/>
              <w:rPr>
                <w:sz w:val="12"/>
                <w:szCs w:val="12"/>
              </w:rPr>
            </w:pPr>
            <w:r>
              <w:rPr>
                <w:sz w:val="12"/>
                <w:szCs w:val="12"/>
                <w:spacing w:val="-1"/>
              </w:rPr>
              <w:t>适用于防治观赏植物上的脐翅目、双翅目、耐翅目，</w:t>
            </w:r>
            <w:r>
              <w:rPr>
                <w:sz w:val="12"/>
                <w:szCs w:val="12"/>
                <w:spacing w:val="16"/>
                <w:w w:val="101"/>
              </w:rPr>
              <w:t xml:space="preserve"> </w:t>
            </w:r>
            <w:r>
              <w:rPr>
                <w:sz w:val="12"/>
                <w:szCs w:val="12"/>
                <w:spacing w:val="-1"/>
              </w:rPr>
              <w:t>半翅日及炳类等害虫</w:t>
            </w:r>
          </w:p>
        </w:tc>
      </w:tr>
      <w:tr>
        <w:trPr>
          <w:trHeight w:val="355"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21" w:line="219" w:lineRule="auto"/>
              <w:rPr>
                <w:sz w:val="12"/>
                <w:szCs w:val="12"/>
              </w:rPr>
            </w:pPr>
            <w:r>
              <w:rPr>
                <w:sz w:val="12"/>
                <w:szCs w:val="12"/>
                <w:spacing w:val="1"/>
              </w:rPr>
              <w:t>国光毒枪</w:t>
            </w:r>
          </w:p>
        </w:tc>
        <w:tc>
          <w:tcPr>
            <w:tcW w:w="1859" w:type="dxa"/>
            <w:vAlign w:val="top"/>
            <w:tcBorders>
              <w:bottom w:val="single" w:color="000000" w:sz="2" w:space="0"/>
              <w:top w:val="single" w:color="000000" w:sz="2" w:space="0"/>
            </w:tcBorders>
          </w:tcPr>
          <w:p>
            <w:pPr>
              <w:pStyle w:val="TableText"/>
              <w:ind w:left="354"/>
              <w:spacing w:before="121" w:line="219" w:lineRule="auto"/>
              <w:rPr>
                <w:sz w:val="12"/>
                <w:szCs w:val="12"/>
              </w:rPr>
            </w:pPr>
            <w:r>
              <w:rPr>
                <w:sz w:val="12"/>
                <w:szCs w:val="12"/>
                <w:spacing w:val="-5"/>
              </w:rPr>
              <w:t>45%丙溴</w:t>
            </w:r>
            <w:r>
              <w:rPr>
                <w:sz w:val="12"/>
                <w:szCs w:val="12"/>
                <w:spacing w:val="-11"/>
              </w:rPr>
              <w:t xml:space="preserve"> </w:t>
            </w:r>
            <w:r>
              <w:rPr>
                <w:sz w:val="12"/>
                <w:szCs w:val="12"/>
                <w:spacing w:val="-5"/>
              </w:rPr>
              <w:t>·辛疏磷乳泊</w:t>
            </w:r>
          </w:p>
        </w:tc>
        <w:tc>
          <w:tcPr>
            <w:tcW w:w="1609" w:type="dxa"/>
            <w:vAlign w:val="top"/>
            <w:tcBorders>
              <w:bottom w:val="single" w:color="000000" w:sz="2" w:space="0"/>
              <w:top w:val="single" w:color="000000" w:sz="2" w:space="0"/>
            </w:tcBorders>
          </w:tcPr>
          <w:p>
            <w:pPr>
              <w:pStyle w:val="TableText"/>
              <w:ind w:left="405"/>
              <w:spacing w:before="121" w:line="220" w:lineRule="auto"/>
              <w:rPr>
                <w:sz w:val="12"/>
                <w:szCs w:val="12"/>
              </w:rPr>
            </w:pPr>
            <w:r>
              <w:rPr>
                <w:sz w:val="12"/>
                <w:szCs w:val="12"/>
                <w:spacing w:val="-1"/>
              </w:rPr>
              <w:t>2000-3000倍液</w:t>
            </w:r>
          </w:p>
        </w:tc>
        <w:tc>
          <w:tcPr>
            <w:tcW w:w="1039" w:type="dxa"/>
            <w:vAlign w:val="top"/>
            <w:vMerge w:val="restart"/>
            <w:tcBorders>
              <w:bottom w:val="nil"/>
              <w:top w:val="single" w:color="000000" w:sz="2" w:space="0"/>
            </w:tcBorders>
          </w:tcPr>
          <w:p>
            <w:pPr>
              <w:spacing w:line="349" w:lineRule="auto"/>
              <w:rPr>
                <w:rFonts w:ascii="Arial"/>
                <w:sz w:val="21"/>
              </w:rPr>
            </w:pPr>
            <w:r/>
          </w:p>
          <w:p>
            <w:pPr>
              <w:pStyle w:val="TableText"/>
              <w:ind w:left="395" w:hanging="379"/>
              <w:spacing w:before="39" w:line="249" w:lineRule="auto"/>
              <w:rPr>
                <w:sz w:val="12"/>
                <w:szCs w:val="12"/>
              </w:rPr>
            </w:pPr>
            <w:r>
              <w:rPr>
                <w:sz w:val="12"/>
                <w:szCs w:val="12"/>
                <w:spacing w:val="-1"/>
              </w:rPr>
              <w:t>一般用3次，间隔7-</w:t>
            </w:r>
            <w:r>
              <w:rPr>
                <w:sz w:val="12"/>
                <w:szCs w:val="12"/>
                <w:spacing w:val="1"/>
              </w:rPr>
              <w:t xml:space="preserve"> </w:t>
            </w:r>
            <w:r>
              <w:rPr>
                <w:sz w:val="12"/>
                <w:szCs w:val="12"/>
                <w:spacing w:val="-3"/>
              </w:rPr>
              <w:t>10天</w:t>
            </w:r>
          </w:p>
        </w:tc>
        <w:tc>
          <w:tcPr>
            <w:tcW w:w="709" w:type="dxa"/>
            <w:vAlign w:val="top"/>
            <w:tcBorders>
              <w:bottom w:val="single" w:color="000000" w:sz="2" w:space="0"/>
              <w:top w:val="single" w:color="000000" w:sz="2" w:space="0"/>
            </w:tcBorders>
          </w:tcPr>
          <w:p>
            <w:pPr>
              <w:pStyle w:val="TableText"/>
              <w:ind w:left="107"/>
              <w:spacing w:before="121"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ind w:left="18"/>
              <w:spacing w:before="121" w:line="219" w:lineRule="auto"/>
              <w:rPr>
                <w:sz w:val="12"/>
                <w:szCs w:val="12"/>
              </w:rPr>
            </w:pPr>
            <w:r>
              <w:rPr>
                <w:sz w:val="12"/>
                <w:szCs w:val="12"/>
                <w:spacing w:val="-1"/>
              </w:rPr>
              <w:t>高渗透性，杀卷叶虫、包叶虫、斑潜蝇等</w:t>
            </w:r>
          </w:p>
        </w:tc>
      </w:tr>
      <w:tr>
        <w:trPr>
          <w:trHeight w:val="3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20" w:line="219" w:lineRule="auto"/>
              <w:rPr>
                <w:sz w:val="12"/>
                <w:szCs w:val="12"/>
              </w:rPr>
            </w:pPr>
            <w:r>
              <w:rPr>
                <w:sz w:val="12"/>
                <w:szCs w:val="12"/>
                <w:spacing w:val="1"/>
              </w:rPr>
              <w:t>国光毒箭</w:t>
            </w:r>
          </w:p>
        </w:tc>
        <w:tc>
          <w:tcPr>
            <w:tcW w:w="1859" w:type="dxa"/>
            <w:vAlign w:val="top"/>
            <w:tcBorders>
              <w:bottom w:val="single" w:color="000000" w:sz="2" w:space="0"/>
              <w:top w:val="single" w:color="000000" w:sz="2" w:space="0"/>
            </w:tcBorders>
          </w:tcPr>
          <w:p>
            <w:pPr>
              <w:pStyle w:val="TableText"/>
              <w:ind w:left="474"/>
              <w:spacing w:before="120" w:line="218" w:lineRule="auto"/>
              <w:rPr>
                <w:sz w:val="12"/>
                <w:szCs w:val="12"/>
              </w:rPr>
            </w:pPr>
            <w:r>
              <w:rPr>
                <w:sz w:val="12"/>
                <w:szCs w:val="12"/>
                <w:spacing w:val="-1"/>
              </w:rPr>
              <w:t>20%氧虎菊酯乳油</w:t>
            </w:r>
          </w:p>
        </w:tc>
        <w:tc>
          <w:tcPr>
            <w:tcW w:w="1609" w:type="dxa"/>
            <w:vAlign w:val="top"/>
            <w:tcBorders>
              <w:bottom w:val="single" w:color="000000" w:sz="2" w:space="0"/>
              <w:top w:val="single" w:color="000000" w:sz="2" w:space="0"/>
            </w:tcBorders>
          </w:tcPr>
          <w:p>
            <w:pPr>
              <w:pStyle w:val="TableText"/>
              <w:ind w:left="405"/>
              <w:spacing w:before="121" w:line="220" w:lineRule="auto"/>
              <w:rPr>
                <w:sz w:val="12"/>
                <w:szCs w:val="12"/>
              </w:rPr>
            </w:pPr>
            <w:r>
              <w:rPr>
                <w:sz w:val="12"/>
                <w:szCs w:val="12"/>
                <w:spacing w:val="-1"/>
              </w:rPr>
              <w:t>2000-3000倍液</w:t>
            </w:r>
          </w:p>
        </w:tc>
        <w:tc>
          <w:tcPr>
            <w:tcW w:w="1039" w:type="dxa"/>
            <w:vAlign w:val="top"/>
            <w:vMerge w:val="continue"/>
            <w:tcBorders>
              <w:bottom w:val="nil"/>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07"/>
              <w:spacing w:before="121"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ind w:left="18"/>
              <w:spacing w:before="120" w:line="218" w:lineRule="auto"/>
              <w:rPr>
                <w:sz w:val="12"/>
                <w:szCs w:val="12"/>
              </w:rPr>
            </w:pPr>
            <w:r>
              <w:rPr>
                <w:sz w:val="12"/>
                <w:szCs w:val="12"/>
                <w:spacing w:val="-1"/>
              </w:rPr>
              <w:t>高效广谱、长效杀虫剂，杀食叶性害虫特效</w:t>
            </w:r>
          </w:p>
        </w:tc>
      </w:tr>
      <w:tr>
        <w:trPr>
          <w:trHeight w:val="325"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01" w:line="219" w:lineRule="auto"/>
              <w:rPr>
                <w:sz w:val="12"/>
                <w:szCs w:val="12"/>
              </w:rPr>
            </w:pPr>
            <w:r>
              <w:rPr>
                <w:sz w:val="12"/>
                <w:szCs w:val="12"/>
                <w:spacing w:val="-1"/>
              </w:rPr>
              <w:t>诺替信黑战</w:t>
            </w:r>
          </w:p>
        </w:tc>
        <w:tc>
          <w:tcPr>
            <w:tcW w:w="1859" w:type="dxa"/>
            <w:vAlign w:val="top"/>
            <w:tcBorders>
              <w:bottom w:val="single" w:color="000000" w:sz="2" w:space="0"/>
              <w:top w:val="single" w:color="000000" w:sz="2" w:space="0"/>
            </w:tcBorders>
          </w:tcPr>
          <w:p>
            <w:pPr>
              <w:pStyle w:val="TableText"/>
              <w:ind w:left="414"/>
              <w:spacing w:before="101" w:line="219" w:lineRule="auto"/>
              <w:rPr>
                <w:sz w:val="12"/>
                <w:szCs w:val="12"/>
              </w:rPr>
            </w:pPr>
            <w:r>
              <w:rPr>
                <w:sz w:val="12"/>
                <w:szCs w:val="12"/>
                <w:spacing w:val="-5"/>
              </w:rPr>
              <w:t>甲维盐</w:t>
            </w:r>
            <w:r>
              <w:rPr>
                <w:sz w:val="12"/>
                <w:szCs w:val="12"/>
                <w:spacing w:val="-9"/>
              </w:rPr>
              <w:t xml:space="preserve"> </w:t>
            </w:r>
            <w:r>
              <w:rPr>
                <w:sz w:val="12"/>
                <w:szCs w:val="12"/>
                <w:spacing w:val="-5"/>
              </w:rPr>
              <w:t>·虫酰肼20%</w:t>
            </w:r>
          </w:p>
        </w:tc>
        <w:tc>
          <w:tcPr>
            <w:tcW w:w="1609" w:type="dxa"/>
            <w:vAlign w:val="top"/>
            <w:tcBorders>
              <w:bottom w:val="single" w:color="000000" w:sz="2" w:space="0"/>
              <w:top w:val="single" w:color="000000" w:sz="2" w:space="0"/>
            </w:tcBorders>
          </w:tcPr>
          <w:p>
            <w:pPr>
              <w:pStyle w:val="TableText"/>
              <w:ind w:left="465"/>
              <w:spacing w:before="101" w:line="220" w:lineRule="auto"/>
              <w:rPr>
                <w:sz w:val="12"/>
                <w:szCs w:val="12"/>
              </w:rPr>
            </w:pPr>
            <w:r>
              <w:rPr>
                <w:sz w:val="12"/>
                <w:szCs w:val="12"/>
                <w:spacing w:val="-2"/>
              </w:rPr>
              <w:t>1000-1500倍</w:t>
            </w:r>
          </w:p>
        </w:tc>
        <w:tc>
          <w:tcPr>
            <w:tcW w:w="1039" w:type="dxa"/>
            <w:vAlign w:val="top"/>
            <w:vMerge w:val="continue"/>
            <w:tcBorders>
              <w:bottom w:val="single" w:color="000000" w:sz="2" w:space="0"/>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07"/>
              <w:spacing w:before="102" w:line="221" w:lineRule="auto"/>
              <w:rPr>
                <w:sz w:val="12"/>
                <w:szCs w:val="12"/>
              </w:rPr>
            </w:pPr>
            <w:r>
              <w:rPr>
                <w:sz w:val="12"/>
                <w:szCs w:val="12"/>
                <w:spacing w:val="-2"/>
              </w:rPr>
              <w:t>100ml/瓶</w:t>
            </w:r>
          </w:p>
        </w:tc>
        <w:tc>
          <w:tcPr>
            <w:tcW w:w="2783" w:type="dxa"/>
            <w:vAlign w:val="top"/>
            <w:tcBorders>
              <w:bottom w:val="single" w:color="000000" w:sz="2" w:space="0"/>
              <w:top w:val="single" w:color="000000" w:sz="2" w:space="0"/>
            </w:tcBorders>
          </w:tcPr>
          <w:p>
            <w:pPr>
              <w:pStyle w:val="TableText"/>
              <w:ind w:left="18"/>
              <w:spacing w:before="101" w:line="219" w:lineRule="auto"/>
              <w:rPr>
                <w:sz w:val="12"/>
                <w:szCs w:val="12"/>
              </w:rPr>
            </w:pPr>
            <w:r>
              <w:rPr>
                <w:sz w:val="12"/>
                <w:szCs w:val="12"/>
                <w:spacing w:val="-1"/>
              </w:rPr>
              <w:t>高效广谱杀虫刺，杀食叶性害虫特效</w:t>
            </w:r>
          </w:p>
        </w:tc>
      </w:tr>
      <w:tr>
        <w:trPr>
          <w:trHeight w:val="524" w:hRule="atLeast"/>
        </w:trPr>
        <w:tc>
          <w:tcPr>
            <w:tcW w:w="41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30"/>
              <w:spacing w:before="39" w:line="219" w:lineRule="auto"/>
              <w:rPr>
                <w:sz w:val="12"/>
                <w:szCs w:val="12"/>
              </w:rPr>
            </w:pPr>
            <w:r>
              <w:rPr>
                <w:sz w:val="12"/>
                <w:szCs w:val="12"/>
                <w:spacing w:val="-1"/>
              </w:rPr>
              <w:t>螃壳类害</w:t>
            </w:r>
          </w:p>
          <w:p>
            <w:pPr>
              <w:pStyle w:val="TableText"/>
              <w:ind w:left="210"/>
              <w:spacing w:before="19" w:line="223" w:lineRule="auto"/>
              <w:rPr>
                <w:sz w:val="12"/>
                <w:szCs w:val="12"/>
              </w:rPr>
            </w:pPr>
            <w:r>
              <w:rPr>
                <w:sz w:val="12"/>
                <w:szCs w:val="12"/>
              </w:rPr>
              <w:t>虫</w:t>
            </w:r>
          </w:p>
        </w:tc>
        <w:tc>
          <w:tcPr>
            <w:tcW w:w="939" w:type="dxa"/>
            <w:vAlign w:val="top"/>
            <w:vMerge w:val="restart"/>
            <w:tcBorders>
              <w:bottom w:val="nil"/>
              <w:top w:val="single" w:color="000000" w:sz="2" w:space="0"/>
            </w:tcBorders>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spacing w:before="39" w:line="220" w:lineRule="auto"/>
              <w:jc w:val="right"/>
              <w:rPr>
                <w:sz w:val="12"/>
                <w:szCs w:val="12"/>
              </w:rPr>
            </w:pPr>
            <w:r>
              <w:rPr>
                <w:sz w:val="12"/>
                <w:szCs w:val="12"/>
                <w:spacing w:val="6"/>
              </w:rPr>
              <w:t>球坚蚧、膳蚧、</w:t>
            </w:r>
          </w:p>
          <w:p>
            <w:pPr>
              <w:pStyle w:val="TableText"/>
              <w:spacing w:before="16" w:line="199" w:lineRule="auto"/>
              <w:jc w:val="right"/>
              <w:rPr>
                <w:sz w:val="12"/>
                <w:szCs w:val="12"/>
              </w:rPr>
            </w:pPr>
            <w:r>
              <w:rPr>
                <w:sz w:val="12"/>
                <w:szCs w:val="12"/>
                <w:spacing w:val="6"/>
              </w:rPr>
              <w:t>粉蚧、吹相蚧、</w:t>
            </w:r>
          </w:p>
          <w:p>
            <w:pPr>
              <w:pStyle w:val="TableText"/>
              <w:ind w:left="280"/>
              <w:spacing w:line="218" w:lineRule="auto"/>
              <w:rPr>
                <w:sz w:val="12"/>
                <w:szCs w:val="12"/>
              </w:rPr>
            </w:pPr>
            <w:r>
              <w:rPr>
                <w:sz w:val="12"/>
                <w:szCs w:val="12"/>
                <w:spacing w:val="-2"/>
              </w:rPr>
              <w:t>盾蚧等</w:t>
            </w:r>
          </w:p>
        </w:tc>
        <w:tc>
          <w:tcPr>
            <w:tcW w:w="2668" w:type="dxa"/>
            <w:vAlign w:val="top"/>
            <w:vMerge w:val="restart"/>
            <w:tcBorders>
              <w:bottom w:val="nil"/>
              <w:top w:val="single" w:color="000000" w:sz="2" w:space="0"/>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 w:right="13" w:firstLine="9"/>
              <w:spacing w:before="39" w:line="223" w:lineRule="auto"/>
              <w:rPr>
                <w:sz w:val="12"/>
                <w:szCs w:val="12"/>
              </w:rPr>
            </w:pPr>
            <w:r>
              <w:rPr>
                <w:sz w:val="12"/>
                <w:szCs w:val="12"/>
                <w:spacing w:val="-1"/>
              </w:rPr>
              <w:t>一、3至5月份是介壳虫料化盛期。是防治的一个关</w:t>
            </w:r>
            <w:r>
              <w:rPr>
                <w:sz w:val="12"/>
                <w:szCs w:val="12"/>
                <w:spacing w:val="15"/>
              </w:rPr>
              <w:t xml:space="preserve"> </w:t>
            </w:r>
            <w:r>
              <w:rPr>
                <w:sz w:val="12"/>
                <w:szCs w:val="12"/>
                <w:spacing w:val="14"/>
              </w:rPr>
              <w:t>键时期</w:t>
            </w:r>
            <w:r>
              <w:rPr>
                <w:sz w:val="12"/>
                <w:szCs w:val="12"/>
                <w:spacing w:val="-29"/>
              </w:rPr>
              <w:t xml:space="preserve"> </w:t>
            </w:r>
            <w:r>
              <w:rPr>
                <w:sz w:val="12"/>
                <w:szCs w:val="12"/>
                <w:spacing w:val="14"/>
              </w:rPr>
              <w:t>；</w:t>
            </w:r>
          </w:p>
          <w:p>
            <w:pPr>
              <w:pStyle w:val="TableText"/>
              <w:ind w:left="11"/>
              <w:spacing w:line="219" w:lineRule="auto"/>
              <w:rPr>
                <w:sz w:val="12"/>
                <w:szCs w:val="12"/>
              </w:rPr>
            </w:pPr>
            <w:r>
              <w:rPr>
                <w:sz w:val="12"/>
                <w:szCs w:val="12"/>
                <w:spacing w:val="2"/>
              </w:rPr>
              <w:t>三、5-9月粉蜻危害桂花、海桐、扶桑等；</w:t>
            </w:r>
          </w:p>
          <w:p>
            <w:pPr>
              <w:pStyle w:val="TableText"/>
              <w:ind w:left="1" w:right="71" w:firstLine="9"/>
              <w:spacing w:before="17" w:line="217" w:lineRule="auto"/>
              <w:rPr>
                <w:sz w:val="12"/>
                <w:szCs w:val="12"/>
              </w:rPr>
            </w:pPr>
            <w:r>
              <w:rPr>
                <w:sz w:val="12"/>
                <w:szCs w:val="12"/>
                <w:spacing w:val="-1"/>
              </w:rPr>
              <w:t>三、10至12月份是介壳虫孵化盛期(福州龟蜡蚧第</w:t>
            </w:r>
            <w:r>
              <w:rPr>
                <w:sz w:val="12"/>
                <w:szCs w:val="12"/>
                <w:spacing w:val="18"/>
              </w:rPr>
              <w:t xml:space="preserve"> </w:t>
            </w:r>
            <w:r>
              <w:rPr>
                <w:sz w:val="12"/>
                <w:szCs w:val="12"/>
              </w:rPr>
              <w:t>二代的若虫己经开始出现),也是防治的一个关键</w:t>
            </w:r>
            <w:r>
              <w:rPr>
                <w:sz w:val="12"/>
                <w:szCs w:val="12"/>
                <w:spacing w:val="1"/>
              </w:rPr>
              <w:t xml:space="preserve">  </w:t>
            </w:r>
            <w:r>
              <w:rPr>
                <w:sz w:val="12"/>
                <w:szCs w:val="12"/>
                <w:spacing w:val="-1"/>
              </w:rPr>
              <w:t>时期。</w:t>
            </w:r>
          </w:p>
        </w:tc>
        <w:tc>
          <w:tcPr>
            <w:tcW w:w="1279" w:type="dxa"/>
            <w:vAlign w:val="top"/>
            <w:tcBorders>
              <w:bottom w:val="single" w:color="000000" w:sz="2" w:space="0"/>
              <w:top w:val="single" w:color="000000" w:sz="2" w:space="0"/>
            </w:tcBorders>
          </w:tcPr>
          <w:p>
            <w:pPr>
              <w:pStyle w:val="TableText"/>
              <w:ind w:left="213"/>
              <w:spacing w:before="200" w:line="219" w:lineRule="auto"/>
              <w:rPr>
                <w:sz w:val="12"/>
                <w:szCs w:val="12"/>
              </w:rPr>
            </w:pPr>
            <w:r>
              <w:rPr>
                <w:sz w:val="12"/>
                <w:szCs w:val="12"/>
                <w:spacing w:val="3"/>
              </w:rPr>
              <w:t>速扑杀(杀扑磷)</w:t>
            </w:r>
          </w:p>
        </w:tc>
        <w:tc>
          <w:tcPr>
            <w:tcW w:w="1859" w:type="dxa"/>
            <w:vAlign w:val="top"/>
            <w:tcBorders>
              <w:bottom w:val="single" w:color="000000" w:sz="2" w:space="0"/>
              <w:top w:val="single" w:color="000000" w:sz="2" w:space="0"/>
            </w:tcBorders>
          </w:tcPr>
          <w:p>
            <w:pPr>
              <w:pStyle w:val="TableText"/>
              <w:ind w:left="504"/>
              <w:spacing w:before="200" w:line="219" w:lineRule="auto"/>
              <w:rPr>
                <w:sz w:val="12"/>
                <w:szCs w:val="12"/>
              </w:rPr>
            </w:pPr>
            <w:r>
              <w:rPr>
                <w:sz w:val="12"/>
                <w:szCs w:val="12"/>
                <w:spacing w:val="-1"/>
              </w:rPr>
              <w:t>二硫代磷酸酯类</w:t>
            </w:r>
          </w:p>
        </w:tc>
        <w:tc>
          <w:tcPr>
            <w:tcW w:w="1609" w:type="dxa"/>
            <w:vAlign w:val="top"/>
            <w:tcBorders>
              <w:bottom w:val="single" w:color="000000" w:sz="2" w:space="0"/>
              <w:top w:val="single" w:color="000000" w:sz="2" w:space="0"/>
            </w:tcBorders>
          </w:tcPr>
          <w:p>
            <w:pPr>
              <w:pStyle w:val="TableText"/>
              <w:ind w:left="225"/>
              <w:spacing w:before="201" w:line="220" w:lineRule="auto"/>
              <w:rPr>
                <w:sz w:val="12"/>
                <w:szCs w:val="12"/>
              </w:rPr>
            </w:pPr>
            <w:r>
              <w:rPr>
                <w:sz w:val="12"/>
                <w:szCs w:val="12"/>
                <w:spacing w:val="-1"/>
              </w:rPr>
              <w:t>40%乳油700-2000倍液</w:t>
            </w:r>
          </w:p>
        </w:tc>
        <w:tc>
          <w:tcPr>
            <w:tcW w:w="1039" w:type="dxa"/>
            <w:vAlign w:val="top"/>
            <w:vMerge w:val="restart"/>
            <w:tcBorders>
              <w:bottom w:val="nil"/>
              <w:top w:val="single" w:color="000000" w:sz="2" w:space="0"/>
            </w:tcBorders>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spacing w:before="39" w:line="219" w:lineRule="auto"/>
              <w:jc w:val="right"/>
              <w:rPr>
                <w:sz w:val="12"/>
                <w:szCs w:val="12"/>
              </w:rPr>
            </w:pPr>
            <w:r>
              <w:rPr>
                <w:sz w:val="12"/>
                <w:szCs w:val="12"/>
                <w:spacing w:val="-1"/>
              </w:rPr>
              <w:t>一般用2次，时间间</w:t>
            </w:r>
          </w:p>
          <w:p>
            <w:pPr>
              <w:pStyle w:val="TableText"/>
              <w:ind w:left="16"/>
              <w:spacing w:before="17" w:line="199" w:lineRule="auto"/>
              <w:rPr>
                <w:sz w:val="12"/>
                <w:szCs w:val="12"/>
              </w:rPr>
            </w:pPr>
            <w:r>
              <w:rPr>
                <w:sz w:val="12"/>
                <w:szCs w:val="12"/>
                <w:spacing w:val="-2"/>
              </w:rPr>
              <w:t>隔7到10天，视现场</w:t>
            </w:r>
          </w:p>
          <w:p>
            <w:pPr>
              <w:pStyle w:val="TableText"/>
              <w:ind w:left="116"/>
              <w:spacing w:line="219" w:lineRule="auto"/>
              <w:rPr>
                <w:sz w:val="12"/>
                <w:szCs w:val="12"/>
              </w:rPr>
            </w:pPr>
            <w:r>
              <w:rPr>
                <w:sz w:val="12"/>
                <w:szCs w:val="12"/>
                <w:spacing w:val="-1"/>
              </w:rPr>
              <w:t>情况可增加次数</w:t>
            </w:r>
          </w:p>
        </w:tc>
        <w:tc>
          <w:tcPr>
            <w:tcW w:w="709" w:type="dxa"/>
            <w:vAlign w:val="top"/>
            <w:tcBorders>
              <w:bottom w:val="single" w:color="000000" w:sz="2" w:space="0"/>
              <w:top w:val="single" w:color="000000" w:sz="2" w:space="0"/>
            </w:tcBorders>
          </w:tcPr>
          <w:p>
            <w:pPr>
              <w:pStyle w:val="TableText"/>
              <w:ind w:left="107"/>
              <w:spacing w:before="201" w:line="221" w:lineRule="auto"/>
              <w:rPr>
                <w:sz w:val="12"/>
                <w:szCs w:val="12"/>
              </w:rPr>
            </w:pPr>
            <w:r>
              <w:rPr>
                <w:sz w:val="12"/>
                <w:szCs w:val="12"/>
                <w:spacing w:val="-1"/>
              </w:rPr>
              <w:t>300ml/瓶</w:t>
            </w:r>
          </w:p>
        </w:tc>
        <w:tc>
          <w:tcPr>
            <w:tcW w:w="2783" w:type="dxa"/>
            <w:vAlign w:val="top"/>
            <w:tcBorders>
              <w:bottom w:val="single" w:color="000000" w:sz="2" w:space="0"/>
              <w:top w:val="single" w:color="000000" w:sz="2" w:space="0"/>
            </w:tcBorders>
          </w:tcPr>
          <w:p>
            <w:pPr>
              <w:pStyle w:val="TableText"/>
              <w:ind w:left="18"/>
              <w:spacing w:before="150" w:line="209" w:lineRule="auto"/>
              <w:rPr>
                <w:sz w:val="12"/>
                <w:szCs w:val="12"/>
              </w:rPr>
            </w:pPr>
            <w:r>
              <w:rPr>
                <w:sz w:val="12"/>
                <w:szCs w:val="12"/>
              </w:rPr>
              <w:t>幼蚧盛发期为施药适期，防治蜡螃类喷施70</w:t>
            </w:r>
            <w:r>
              <w:rPr>
                <w:sz w:val="12"/>
                <w:szCs w:val="12"/>
                <w:spacing w:val="-1"/>
              </w:rPr>
              <w:t>0-1500倍</w:t>
            </w:r>
            <w:r>
              <w:rPr>
                <w:sz w:val="12"/>
                <w:szCs w:val="12"/>
              </w:rPr>
              <w:t xml:space="preserve"> </w:t>
            </w:r>
            <w:r>
              <w:rPr>
                <w:sz w:val="12"/>
                <w:szCs w:val="12"/>
                <w:spacing w:val="-1"/>
              </w:rPr>
              <w:t>液：防治盾蚧类喷施1500-2000倍波</w:t>
            </w:r>
          </w:p>
        </w:tc>
      </w:tr>
      <w:tr>
        <w:trPr>
          <w:trHeight w:val="61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183"/>
              <w:spacing w:before="251" w:line="221" w:lineRule="auto"/>
              <w:rPr>
                <w:sz w:val="12"/>
                <w:szCs w:val="12"/>
              </w:rPr>
            </w:pPr>
            <w:r>
              <w:rPr>
                <w:sz w:val="12"/>
                <w:szCs w:val="12"/>
                <w:spacing w:val="-1"/>
              </w:rPr>
              <w:t>99.1%敌死虫乳油</w:t>
            </w:r>
          </w:p>
        </w:tc>
        <w:tc>
          <w:tcPr>
            <w:tcW w:w="1859" w:type="dxa"/>
            <w:vAlign w:val="top"/>
            <w:tcBorders>
              <w:bottom w:val="single" w:color="000000" w:sz="2" w:space="0"/>
              <w:top w:val="single" w:color="000000" w:sz="2" w:space="0"/>
            </w:tcBorders>
          </w:tcPr>
          <w:p>
            <w:pPr>
              <w:pStyle w:val="TableText"/>
              <w:ind w:left="144"/>
              <w:spacing w:before="251" w:line="218" w:lineRule="auto"/>
              <w:rPr>
                <w:sz w:val="12"/>
                <w:szCs w:val="12"/>
              </w:rPr>
            </w:pPr>
            <w:r>
              <w:rPr>
                <w:sz w:val="12"/>
                <w:szCs w:val="12"/>
                <w:spacing w:val="-1"/>
              </w:rPr>
              <w:t>高烷类，低芳香族矿物泊乳剂</w:t>
            </w:r>
          </w:p>
        </w:tc>
        <w:tc>
          <w:tcPr>
            <w:tcW w:w="1609" w:type="dxa"/>
            <w:vAlign w:val="top"/>
            <w:tcBorders>
              <w:bottom w:val="single" w:color="000000" w:sz="2" w:space="0"/>
              <w:top w:val="single" w:color="000000" w:sz="2" w:space="0"/>
            </w:tcBorders>
          </w:tcPr>
          <w:p>
            <w:pPr>
              <w:pStyle w:val="TableText"/>
              <w:ind w:left="525"/>
              <w:spacing w:before="251" w:line="220" w:lineRule="auto"/>
              <w:rPr>
                <w:sz w:val="12"/>
                <w:szCs w:val="12"/>
              </w:rPr>
            </w:pPr>
            <w:r>
              <w:rPr>
                <w:sz w:val="12"/>
                <w:szCs w:val="12"/>
                <w:spacing w:val="-1"/>
              </w:rPr>
              <w:t>200-300倍</w:t>
            </w:r>
          </w:p>
        </w:tc>
        <w:tc>
          <w:tcPr>
            <w:tcW w:w="1039" w:type="dxa"/>
            <w:vAlign w:val="top"/>
            <w:vMerge w:val="continue"/>
            <w:tcBorders>
              <w:bottom w:val="nil"/>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07"/>
              <w:spacing w:before="251" w:line="221" w:lineRule="auto"/>
              <w:rPr>
                <w:sz w:val="12"/>
                <w:szCs w:val="12"/>
              </w:rPr>
            </w:pPr>
            <w:r>
              <w:rPr>
                <w:sz w:val="12"/>
                <w:szCs w:val="12"/>
                <w:spacing w:val="-1"/>
              </w:rPr>
              <w:t>300ml/瓶</w:t>
            </w:r>
          </w:p>
        </w:tc>
        <w:tc>
          <w:tcPr>
            <w:tcW w:w="2783" w:type="dxa"/>
            <w:vAlign w:val="top"/>
            <w:tcBorders>
              <w:bottom w:val="single" w:color="000000" w:sz="2" w:space="0"/>
              <w:top w:val="single" w:color="000000" w:sz="2" w:space="0"/>
            </w:tcBorders>
          </w:tcPr>
          <w:p>
            <w:pPr>
              <w:pStyle w:val="TableText"/>
              <w:ind w:left="18"/>
              <w:spacing w:before="111" w:line="200" w:lineRule="auto"/>
              <w:rPr>
                <w:sz w:val="12"/>
                <w:szCs w:val="12"/>
              </w:rPr>
            </w:pPr>
            <w:r>
              <w:rPr>
                <w:sz w:val="12"/>
                <w:szCs w:val="12"/>
                <w:spacing w:val="2"/>
              </w:rPr>
              <w:t>可用于防治二班叶蜗、红叶蜗、圆蚧、日本龟蜡、</w:t>
            </w:r>
          </w:p>
          <w:p>
            <w:pPr>
              <w:pStyle w:val="TableText"/>
              <w:ind w:left="18"/>
              <w:spacing w:line="247" w:lineRule="auto"/>
              <w:rPr>
                <w:sz w:val="12"/>
                <w:szCs w:val="12"/>
              </w:rPr>
            </w:pPr>
            <w:r>
              <w:rPr>
                <w:sz w:val="12"/>
                <w:szCs w:val="12"/>
                <w:spacing w:val="-1"/>
              </w:rPr>
              <w:t>球坚吹棉蜻、红医蚧、木虱，粉里等多种害虫，该药</w:t>
            </w:r>
            <w:r>
              <w:rPr>
                <w:sz w:val="12"/>
                <w:szCs w:val="12"/>
                <w:spacing w:val="16"/>
                <w:w w:val="101"/>
              </w:rPr>
              <w:t xml:space="preserve"> </w:t>
            </w:r>
            <w:r>
              <w:rPr>
                <w:sz w:val="12"/>
                <w:szCs w:val="12"/>
                <w:spacing w:val="-1"/>
              </w:rPr>
              <w:t>剂低毒，对人，畜低毒：对蜜蜂、鸟类都较安全</w:t>
            </w:r>
          </w:p>
        </w:tc>
      </w:tr>
      <w:tr>
        <w:trPr>
          <w:trHeight w:val="40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41" w:line="219" w:lineRule="auto"/>
              <w:rPr>
                <w:sz w:val="12"/>
                <w:szCs w:val="12"/>
              </w:rPr>
            </w:pPr>
            <w:r>
              <w:rPr>
                <w:sz w:val="12"/>
                <w:szCs w:val="12"/>
                <w:spacing w:val="2"/>
              </w:rPr>
              <w:t>国光岭必治</w:t>
            </w:r>
          </w:p>
        </w:tc>
        <w:tc>
          <w:tcPr>
            <w:tcW w:w="1859" w:type="dxa"/>
            <w:vAlign w:val="top"/>
            <w:tcBorders>
              <w:bottom w:val="single" w:color="000000" w:sz="2" w:space="0"/>
              <w:top w:val="single" w:color="000000" w:sz="2" w:space="0"/>
            </w:tcBorders>
          </w:tcPr>
          <w:p>
            <w:pPr>
              <w:pStyle w:val="TableText"/>
              <w:ind w:left="293"/>
              <w:spacing w:before="141" w:line="219" w:lineRule="auto"/>
              <w:rPr>
                <w:sz w:val="12"/>
                <w:szCs w:val="12"/>
              </w:rPr>
            </w:pPr>
            <w:r>
              <w:rPr>
                <w:sz w:val="12"/>
                <w:szCs w:val="12"/>
                <w:spacing w:val="-5"/>
              </w:rPr>
              <w:t>40%啶虫眯</w:t>
            </w:r>
            <w:r>
              <w:rPr>
                <w:sz w:val="12"/>
                <w:szCs w:val="12"/>
                <w:spacing w:val="-6"/>
              </w:rPr>
              <w:t xml:space="preserve"> </w:t>
            </w:r>
            <w:r>
              <w:rPr>
                <w:sz w:val="12"/>
                <w:szCs w:val="12"/>
                <w:spacing w:val="-5"/>
              </w:rPr>
              <w:t>·毒死衅乳油</w:t>
            </w:r>
          </w:p>
        </w:tc>
        <w:tc>
          <w:tcPr>
            <w:tcW w:w="1609" w:type="dxa"/>
            <w:vAlign w:val="top"/>
            <w:tcBorders>
              <w:bottom w:val="single" w:color="000000" w:sz="2" w:space="0"/>
              <w:top w:val="single" w:color="000000" w:sz="2" w:space="0"/>
            </w:tcBorders>
          </w:tcPr>
          <w:p>
            <w:pPr>
              <w:pStyle w:val="TableText"/>
              <w:ind w:left="405"/>
              <w:spacing w:before="141" w:line="220" w:lineRule="auto"/>
              <w:rPr>
                <w:sz w:val="12"/>
                <w:szCs w:val="12"/>
              </w:rPr>
            </w:pPr>
            <w:r>
              <w:rPr>
                <w:sz w:val="12"/>
                <w:szCs w:val="12"/>
                <w:spacing w:val="-1"/>
              </w:rPr>
              <w:t>2000-3000倍液</w:t>
            </w:r>
          </w:p>
        </w:tc>
        <w:tc>
          <w:tcPr>
            <w:tcW w:w="1039" w:type="dxa"/>
            <w:vAlign w:val="top"/>
            <w:vMerge w:val="continue"/>
            <w:tcBorders>
              <w:bottom w:val="nil"/>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37"/>
              <w:spacing w:before="138" w:line="213" w:lineRule="auto"/>
              <w:rPr>
                <w:sz w:val="12"/>
                <w:szCs w:val="12"/>
              </w:rPr>
            </w:pPr>
            <w:r>
              <w:rPr>
                <w:sz w:val="12"/>
                <w:szCs w:val="12"/>
                <w:spacing w:val="-1"/>
              </w:rPr>
              <w:t>200g/瓶</w:t>
            </w:r>
          </w:p>
        </w:tc>
        <w:tc>
          <w:tcPr>
            <w:tcW w:w="2783" w:type="dxa"/>
            <w:vAlign w:val="top"/>
            <w:tcBorders>
              <w:bottom w:val="single" w:color="000000" w:sz="2" w:space="0"/>
              <w:top w:val="single" w:color="000000" w:sz="2" w:space="0"/>
            </w:tcBorders>
          </w:tcPr>
          <w:p>
            <w:pPr>
              <w:pStyle w:val="TableText"/>
              <w:ind w:left="18"/>
              <w:spacing w:before="141" w:line="218" w:lineRule="auto"/>
              <w:rPr>
                <w:sz w:val="12"/>
                <w:szCs w:val="12"/>
              </w:rPr>
            </w:pPr>
            <w:r>
              <w:rPr>
                <w:sz w:val="12"/>
                <w:szCs w:val="12"/>
                <w:spacing w:val="-1"/>
              </w:rPr>
              <w:t>专杀介壳虫，食叶类害虫。地下害虫</w:t>
            </w:r>
          </w:p>
        </w:tc>
      </w:tr>
      <w:tr>
        <w:trPr>
          <w:trHeight w:val="38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32" w:line="220" w:lineRule="auto"/>
              <w:rPr>
                <w:sz w:val="12"/>
                <w:szCs w:val="12"/>
              </w:rPr>
            </w:pPr>
            <w:r>
              <w:rPr>
                <w:sz w:val="12"/>
                <w:szCs w:val="12"/>
                <w:spacing w:val="1"/>
              </w:rPr>
              <w:t>中威挑捉手</w:t>
            </w:r>
          </w:p>
        </w:tc>
        <w:tc>
          <w:tcPr>
            <w:tcW w:w="1859" w:type="dxa"/>
            <w:vAlign w:val="top"/>
            <w:tcBorders>
              <w:bottom w:val="single" w:color="000000" w:sz="2" w:space="0"/>
              <w:top w:val="single" w:color="000000" w:sz="2" w:space="0"/>
            </w:tcBorders>
          </w:tcPr>
          <w:p>
            <w:pPr>
              <w:pStyle w:val="TableText"/>
              <w:ind w:left="474"/>
              <w:spacing w:before="132" w:line="219" w:lineRule="auto"/>
              <w:rPr>
                <w:sz w:val="12"/>
                <w:szCs w:val="12"/>
              </w:rPr>
            </w:pPr>
            <w:r>
              <w:rPr>
                <w:sz w:val="12"/>
                <w:szCs w:val="12"/>
                <w:spacing w:val="-6"/>
              </w:rPr>
              <w:t>高氯</w:t>
            </w:r>
            <w:r>
              <w:rPr>
                <w:sz w:val="12"/>
                <w:szCs w:val="12"/>
                <w:spacing w:val="-15"/>
              </w:rPr>
              <w:t xml:space="preserve"> </w:t>
            </w:r>
            <w:r>
              <w:rPr>
                <w:sz w:val="12"/>
                <w:szCs w:val="12"/>
                <w:spacing w:val="-6"/>
              </w:rPr>
              <w:t>·毒死婢15%</w:t>
            </w:r>
          </w:p>
        </w:tc>
        <w:tc>
          <w:tcPr>
            <w:tcW w:w="1609" w:type="dxa"/>
            <w:vAlign w:val="top"/>
            <w:tcBorders>
              <w:bottom w:val="single" w:color="000000" w:sz="2" w:space="0"/>
              <w:top w:val="single" w:color="000000" w:sz="2" w:space="0"/>
            </w:tcBorders>
          </w:tcPr>
          <w:p>
            <w:pPr>
              <w:pStyle w:val="TableText"/>
              <w:ind w:left="405"/>
              <w:spacing w:before="132" w:line="220" w:lineRule="auto"/>
              <w:rPr>
                <w:sz w:val="12"/>
                <w:szCs w:val="12"/>
              </w:rPr>
            </w:pPr>
            <w:r>
              <w:rPr>
                <w:sz w:val="12"/>
                <w:szCs w:val="12"/>
                <w:spacing w:val="-2"/>
              </w:rPr>
              <w:t>1000-1500倍液</w:t>
            </w:r>
          </w:p>
        </w:tc>
        <w:tc>
          <w:tcPr>
            <w:tcW w:w="1039" w:type="dxa"/>
            <w:vAlign w:val="top"/>
            <w:vMerge w:val="continue"/>
            <w:tcBorders>
              <w:bottom w:val="nil"/>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07"/>
              <w:spacing w:before="132"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ind w:left="18"/>
              <w:spacing w:before="132" w:line="219" w:lineRule="auto"/>
              <w:rPr>
                <w:sz w:val="12"/>
                <w:szCs w:val="12"/>
              </w:rPr>
            </w:pPr>
            <w:r>
              <w:rPr>
                <w:sz w:val="12"/>
                <w:szCs w:val="12"/>
                <w:spacing w:val="-1"/>
              </w:rPr>
              <w:t>主要防治蚡壳虫，斑潜蝇及鳞翅目幼虫，飞弘等</w:t>
            </w:r>
          </w:p>
        </w:tc>
      </w:tr>
      <w:tr>
        <w:trPr>
          <w:trHeight w:val="41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52" w:line="218" w:lineRule="auto"/>
              <w:rPr>
                <w:sz w:val="12"/>
                <w:szCs w:val="12"/>
              </w:rPr>
            </w:pPr>
            <w:r>
              <w:rPr>
                <w:sz w:val="12"/>
                <w:szCs w:val="12"/>
                <w:spacing w:val="-1"/>
              </w:rPr>
              <w:t>诺蒈信速介清</w:t>
            </w:r>
          </w:p>
        </w:tc>
        <w:tc>
          <w:tcPr>
            <w:tcW w:w="1859" w:type="dxa"/>
            <w:vAlign w:val="top"/>
            <w:tcBorders>
              <w:bottom w:val="single" w:color="000000" w:sz="2" w:space="0"/>
              <w:top w:val="single" w:color="000000" w:sz="2" w:space="0"/>
            </w:tcBorders>
          </w:tcPr>
          <w:p>
            <w:pPr>
              <w:pStyle w:val="TableText"/>
              <w:ind w:left="654"/>
              <w:spacing w:before="152" w:line="219" w:lineRule="auto"/>
              <w:rPr>
                <w:sz w:val="12"/>
                <w:szCs w:val="12"/>
              </w:rPr>
            </w:pPr>
            <w:r>
              <w:rPr>
                <w:sz w:val="12"/>
                <w:szCs w:val="12"/>
                <w:spacing w:val="-2"/>
              </w:rPr>
              <w:t>杀扑磷40%</w:t>
            </w:r>
          </w:p>
        </w:tc>
        <w:tc>
          <w:tcPr>
            <w:tcW w:w="1609" w:type="dxa"/>
            <w:vAlign w:val="top"/>
            <w:tcBorders>
              <w:bottom w:val="single" w:color="000000" w:sz="2" w:space="0"/>
              <w:top w:val="single" w:color="000000" w:sz="2" w:space="0"/>
            </w:tcBorders>
          </w:tcPr>
          <w:p>
            <w:pPr>
              <w:pStyle w:val="TableText"/>
              <w:ind w:left="465"/>
              <w:spacing w:before="153" w:line="220" w:lineRule="auto"/>
              <w:rPr>
                <w:sz w:val="12"/>
                <w:szCs w:val="12"/>
              </w:rPr>
            </w:pPr>
            <w:r>
              <w:rPr>
                <w:sz w:val="12"/>
                <w:szCs w:val="12"/>
                <w:spacing w:val="-5"/>
              </w:rPr>
              <w:t>1000—1500倍</w:t>
            </w:r>
          </w:p>
        </w:tc>
        <w:tc>
          <w:tcPr>
            <w:tcW w:w="1039" w:type="dxa"/>
            <w:vAlign w:val="top"/>
            <w:vMerge w:val="continue"/>
            <w:tcBorders>
              <w:bottom w:val="single" w:color="000000" w:sz="2" w:space="0"/>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77"/>
              <w:spacing w:before="153" w:line="221" w:lineRule="auto"/>
              <w:rPr>
                <w:sz w:val="12"/>
                <w:szCs w:val="12"/>
              </w:rPr>
            </w:pPr>
            <w:r>
              <w:rPr>
                <w:sz w:val="12"/>
                <w:szCs w:val="12"/>
                <w:spacing w:val="-2"/>
              </w:rPr>
              <w:t>1000ml/瓶</w:t>
            </w:r>
          </w:p>
        </w:tc>
        <w:tc>
          <w:tcPr>
            <w:tcW w:w="2783" w:type="dxa"/>
            <w:vAlign w:val="top"/>
            <w:tcBorders>
              <w:bottom w:val="single" w:color="000000" w:sz="2" w:space="0"/>
              <w:top w:val="single" w:color="000000" w:sz="2" w:space="0"/>
            </w:tcBorders>
          </w:tcPr>
          <w:p>
            <w:pPr>
              <w:pStyle w:val="TableText"/>
              <w:ind w:left="18"/>
              <w:spacing w:before="152" w:line="218" w:lineRule="auto"/>
              <w:rPr>
                <w:sz w:val="12"/>
                <w:szCs w:val="12"/>
              </w:rPr>
            </w:pPr>
            <w:r>
              <w:rPr>
                <w:sz w:val="12"/>
                <w:szCs w:val="12"/>
                <w:spacing w:val="-1"/>
              </w:rPr>
              <w:t>杀灭介壳虫，活性高</w:t>
            </w:r>
          </w:p>
        </w:tc>
      </w:tr>
      <w:tr>
        <w:trPr>
          <w:trHeight w:val="584" w:hRule="atLeast"/>
        </w:trPr>
        <w:tc>
          <w:tcPr>
            <w:tcW w:w="41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30"/>
              <w:spacing w:before="39" w:line="219" w:lineRule="auto"/>
              <w:rPr>
                <w:sz w:val="12"/>
                <w:szCs w:val="12"/>
              </w:rPr>
            </w:pPr>
            <w:r>
              <w:rPr>
                <w:sz w:val="12"/>
                <w:szCs w:val="12"/>
                <w:spacing w:val="-1"/>
              </w:rPr>
              <w:t>刺吸害虫</w:t>
            </w:r>
          </w:p>
        </w:tc>
        <w:tc>
          <w:tcPr>
            <w:tcW w:w="939" w:type="dxa"/>
            <w:vAlign w:val="top"/>
            <w:vMerge w:val="restart"/>
            <w:tcBorders>
              <w:bottom w:val="nil"/>
              <w:top w:val="single" w:color="000000" w:sz="2" w:space="0"/>
            </w:tcBorders>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0" w:right="53" w:firstLine="29"/>
              <w:spacing w:before="39" w:line="224" w:lineRule="auto"/>
              <w:jc w:val="both"/>
              <w:rPr>
                <w:sz w:val="12"/>
                <w:szCs w:val="12"/>
              </w:rPr>
            </w:pPr>
            <w:r>
              <w:rPr>
                <w:sz w:val="12"/>
                <w:szCs w:val="12"/>
                <w:spacing w:val="-1"/>
              </w:rPr>
              <w:t>蚜虫，木照、粉</w:t>
            </w:r>
            <w:r>
              <w:rPr>
                <w:sz w:val="12"/>
                <w:szCs w:val="12"/>
                <w:spacing w:val="1"/>
              </w:rPr>
              <w:t xml:space="preserve"> </w:t>
            </w:r>
            <w:r>
              <w:rPr>
                <w:sz w:val="12"/>
                <w:szCs w:val="12"/>
                <w:spacing w:val="3"/>
              </w:rPr>
              <w:t>虱、叶螨英、叶</w:t>
            </w:r>
            <w:r>
              <w:rPr>
                <w:sz w:val="12"/>
                <w:szCs w:val="12"/>
              </w:rPr>
              <w:t xml:space="preserve"> </w:t>
            </w:r>
            <w:r>
              <w:rPr>
                <w:sz w:val="12"/>
                <w:szCs w:val="12"/>
                <w:spacing w:val="-1"/>
              </w:rPr>
              <w:t>蝉类、荫马类</w:t>
            </w:r>
          </w:p>
        </w:tc>
        <w:tc>
          <w:tcPr>
            <w:tcW w:w="2668" w:type="dxa"/>
            <w:vAlign w:val="top"/>
            <w:vMerge w:val="restart"/>
            <w:tcBorders>
              <w:bottom w:val="nil"/>
              <w:top w:val="single" w:color="000000" w:sz="2" w:space="0"/>
            </w:tcBorders>
          </w:tcPr>
          <w:p>
            <w:pPr>
              <w:spacing w:line="409" w:lineRule="auto"/>
              <w:rPr>
                <w:rFonts w:ascii="Arial"/>
                <w:sz w:val="21"/>
              </w:rPr>
            </w:pPr>
            <w:r/>
          </w:p>
          <w:p>
            <w:pPr>
              <w:pStyle w:val="TableText"/>
              <w:ind w:left="10" w:right="149" w:hanging="9"/>
              <w:spacing w:before="39" w:line="226" w:lineRule="auto"/>
              <w:rPr>
                <w:sz w:val="12"/>
                <w:szCs w:val="12"/>
              </w:rPr>
            </w:pPr>
            <w:r>
              <w:rPr>
                <w:sz w:val="12"/>
                <w:szCs w:val="12"/>
                <w:spacing w:val="-1"/>
              </w:rPr>
              <w:t>一、刺吸性害虫在广东省南部(珠三角区域》,全</w:t>
            </w:r>
            <w:r>
              <w:rPr>
                <w:sz w:val="12"/>
                <w:szCs w:val="12"/>
                <w:spacing w:val="8"/>
              </w:rPr>
              <w:t xml:space="preserve"> </w:t>
            </w:r>
            <w:r>
              <w:rPr>
                <w:sz w:val="12"/>
                <w:szCs w:val="12"/>
                <w:spacing w:val="-1"/>
              </w:rPr>
              <w:t>年均发生，只是危害程度各月有所差异：</w:t>
            </w:r>
          </w:p>
          <w:p>
            <w:pPr>
              <w:pStyle w:val="TableText"/>
              <w:ind w:left="10" w:right="81" w:hanging="9"/>
              <w:spacing w:before="17" w:line="209" w:lineRule="auto"/>
              <w:rPr>
                <w:sz w:val="12"/>
                <w:szCs w:val="12"/>
              </w:rPr>
            </w:pPr>
            <w:r>
              <w:rPr>
                <w:sz w:val="12"/>
                <w:szCs w:val="12"/>
                <w:spacing w:val="-1"/>
              </w:rPr>
              <w:t>三，2-3月榴好危害高峰期，危害大红花，山瑞香</w:t>
            </w:r>
            <w:r>
              <w:rPr>
                <w:sz w:val="12"/>
                <w:szCs w:val="12"/>
                <w:spacing w:val="17"/>
              </w:rPr>
              <w:t xml:space="preserve"> </w:t>
            </w:r>
            <w:r>
              <w:rPr>
                <w:sz w:val="12"/>
                <w:szCs w:val="12"/>
                <w:spacing w:val="-3"/>
              </w:rPr>
              <w:t>等</w:t>
            </w:r>
            <w:r>
              <w:rPr>
                <w:sz w:val="12"/>
                <w:szCs w:val="12"/>
                <w:spacing w:val="33"/>
                <w:w w:val="101"/>
              </w:rPr>
              <w:t xml:space="preserve"> </w:t>
            </w:r>
            <w:r>
              <w:rPr>
                <w:sz w:val="12"/>
                <w:szCs w:val="12"/>
                <w:spacing w:val="-3"/>
              </w:rPr>
              <w:t>；</w:t>
            </w:r>
          </w:p>
          <w:p>
            <w:pPr>
              <w:pStyle w:val="TableText"/>
              <w:spacing w:before="17" w:line="212" w:lineRule="auto"/>
              <w:jc w:val="right"/>
              <w:rPr>
                <w:sz w:val="12"/>
                <w:szCs w:val="12"/>
              </w:rPr>
            </w:pPr>
            <w:r>
              <w:rPr>
                <w:sz w:val="12"/>
                <w:szCs w:val="12"/>
                <w:spacing w:val="-2"/>
              </w:rPr>
              <w:t>三、3-5月烟粉虱危害大江花、酒金格、金露花等：</w:t>
            </w:r>
          </w:p>
          <w:p>
            <w:pPr>
              <w:pStyle w:val="TableText"/>
              <w:ind w:left="1" w:right="238" w:firstLine="9"/>
              <w:spacing w:before="1" w:line="218" w:lineRule="auto"/>
              <w:rPr>
                <w:sz w:val="12"/>
                <w:szCs w:val="12"/>
              </w:rPr>
            </w:pPr>
            <w:r>
              <w:rPr>
                <w:sz w:val="12"/>
                <w:szCs w:val="12"/>
              </w:rPr>
              <w:t>四、4-11月，蚜虫，木虱(卵痣木虱),粉照(黑</w:t>
            </w:r>
            <w:r>
              <w:rPr>
                <w:sz w:val="12"/>
                <w:szCs w:val="12"/>
                <w:spacing w:val="6"/>
              </w:rPr>
              <w:t xml:space="preserve"> </w:t>
            </w:r>
            <w:r>
              <w:rPr>
                <w:sz w:val="12"/>
                <w:szCs w:val="12"/>
                <w:spacing w:val="-1"/>
              </w:rPr>
              <w:t>刺粉虱)、叶蜗(朱砂叶蜗，二点叶蜗)、叶鲜</w:t>
            </w:r>
          </w:p>
          <w:p>
            <w:pPr>
              <w:pStyle w:val="TableText"/>
              <w:ind w:left="11" w:right="66" w:firstLine="19"/>
              <w:spacing w:before="16" w:line="217" w:lineRule="auto"/>
              <w:rPr>
                <w:sz w:val="12"/>
                <w:szCs w:val="12"/>
              </w:rPr>
            </w:pPr>
            <w:r>
              <w:rPr>
                <w:sz w:val="12"/>
                <w:szCs w:val="12"/>
              </w:rPr>
              <w:t>(棉叶鲜、小绿叶蝉、大白叶蝉)、前马(管格荷</w:t>
            </w:r>
            <w:r>
              <w:rPr>
                <w:sz w:val="12"/>
                <w:szCs w:val="12"/>
                <w:spacing w:val="2"/>
              </w:rPr>
              <w:t xml:space="preserve">  </w:t>
            </w:r>
            <w:r>
              <w:rPr>
                <w:sz w:val="12"/>
                <w:szCs w:val="12"/>
              </w:rPr>
              <w:t>马)等严重危害细叶格、双英槐，大红花、黄槐， </w:t>
            </w:r>
            <w:r>
              <w:rPr>
                <w:sz w:val="12"/>
                <w:szCs w:val="12"/>
                <w:spacing w:val="-1"/>
              </w:rPr>
              <w:t>刺桐、秋枫、木棉、盆架子等：</w:t>
            </w:r>
          </w:p>
          <w:p>
            <w:pPr>
              <w:pStyle w:val="TableText"/>
              <w:ind w:left="10" w:right="17" w:hanging="9"/>
              <w:spacing w:before="18" w:line="209" w:lineRule="auto"/>
              <w:rPr>
                <w:sz w:val="12"/>
                <w:szCs w:val="12"/>
              </w:rPr>
            </w:pPr>
            <w:r>
              <w:rPr>
                <w:sz w:val="12"/>
                <w:szCs w:val="12"/>
              </w:rPr>
              <w:t>五、12月-1月危害程度有所下降，注意清洁园</w:t>
            </w:r>
            <w:r>
              <w:rPr>
                <w:sz w:val="12"/>
                <w:szCs w:val="12"/>
                <w:spacing w:val="-1"/>
              </w:rPr>
              <w:t>圈。</w:t>
            </w:r>
            <w:r>
              <w:rPr>
                <w:sz w:val="12"/>
                <w:szCs w:val="12"/>
              </w:rPr>
              <w:t xml:space="preserve"> </w:t>
            </w:r>
            <w:r>
              <w:rPr>
                <w:sz w:val="12"/>
                <w:szCs w:val="12"/>
                <w:spacing w:val="-1"/>
              </w:rPr>
              <w:t>结合冬季修剪，剪除带病虫枝叶。</w:t>
            </w:r>
          </w:p>
        </w:tc>
        <w:tc>
          <w:tcPr>
            <w:tcW w:w="1279" w:type="dxa"/>
            <w:vAlign w:val="top"/>
            <w:tcBorders>
              <w:bottom w:val="single" w:color="000000" w:sz="2" w:space="0"/>
              <w:top w:val="single" w:color="000000" w:sz="2" w:space="0"/>
            </w:tcBorders>
          </w:tcPr>
          <w:p>
            <w:pPr>
              <w:pStyle w:val="TableText"/>
              <w:ind w:left="453"/>
              <w:spacing w:before="233" w:line="220" w:lineRule="auto"/>
              <w:rPr>
                <w:sz w:val="12"/>
                <w:szCs w:val="12"/>
              </w:rPr>
            </w:pPr>
            <w:r>
              <w:rPr>
                <w:sz w:val="12"/>
                <w:szCs w:val="12"/>
                <w:spacing w:val="-2"/>
              </w:rPr>
              <w:t>艾美乐</w:t>
            </w:r>
          </w:p>
        </w:tc>
        <w:tc>
          <w:tcPr>
            <w:tcW w:w="1859" w:type="dxa"/>
            <w:vAlign w:val="top"/>
            <w:tcBorders>
              <w:bottom w:val="single" w:color="000000" w:sz="2" w:space="0"/>
              <w:top w:val="single" w:color="000000" w:sz="2" w:space="0"/>
            </w:tcBorders>
          </w:tcPr>
          <w:p>
            <w:pPr>
              <w:pStyle w:val="TableText"/>
              <w:ind w:left="744"/>
              <w:spacing w:before="233" w:line="220" w:lineRule="auto"/>
              <w:rPr>
                <w:sz w:val="12"/>
                <w:szCs w:val="12"/>
              </w:rPr>
            </w:pPr>
            <w:r>
              <w:rPr>
                <w:sz w:val="12"/>
                <w:szCs w:val="12"/>
                <w:spacing w:val="-3"/>
              </w:rPr>
              <w:t>吡虫啉</w:t>
            </w:r>
          </w:p>
        </w:tc>
        <w:tc>
          <w:tcPr>
            <w:tcW w:w="1609" w:type="dxa"/>
            <w:vAlign w:val="top"/>
            <w:tcBorders>
              <w:bottom w:val="single" w:color="000000" w:sz="2" w:space="0"/>
              <w:top w:val="single" w:color="000000" w:sz="2" w:space="0"/>
            </w:tcBorders>
          </w:tcPr>
          <w:p>
            <w:pPr>
              <w:pStyle w:val="TableText"/>
              <w:spacing w:before="232" w:line="218" w:lineRule="auto"/>
              <w:jc w:val="right"/>
              <w:rPr>
                <w:sz w:val="12"/>
                <w:szCs w:val="12"/>
              </w:rPr>
            </w:pPr>
            <w:r>
              <w:rPr>
                <w:sz w:val="12"/>
                <w:szCs w:val="12"/>
                <w:spacing w:val="-2"/>
              </w:rPr>
              <w:t>70%水分数粒剂5000-10000倍液</w:t>
            </w:r>
          </w:p>
        </w:tc>
        <w:tc>
          <w:tcPr>
            <w:tcW w:w="1039" w:type="dxa"/>
            <w:vAlign w:val="top"/>
            <w:tcBorders>
              <w:bottom w:val="single" w:color="000000" w:sz="2" w:space="0"/>
              <w:top w:val="single" w:color="000000" w:sz="2" w:space="0"/>
            </w:tcBorders>
          </w:tcPr>
          <w:p>
            <w:pPr>
              <w:pStyle w:val="TableText"/>
              <w:ind w:left="16" w:right="40" w:firstLine="49"/>
              <w:spacing w:before="93" w:line="224" w:lineRule="auto"/>
              <w:jc w:val="both"/>
              <w:rPr>
                <w:sz w:val="12"/>
                <w:szCs w:val="12"/>
              </w:rPr>
            </w:pPr>
            <w:r>
              <w:rPr>
                <w:sz w:val="12"/>
                <w:szCs w:val="12"/>
                <w:spacing w:val="-1"/>
              </w:rPr>
              <w:t>每10-15天用药一</w:t>
            </w:r>
            <w:r>
              <w:rPr>
                <w:sz w:val="12"/>
                <w:szCs w:val="12"/>
                <w:spacing w:val="4"/>
              </w:rPr>
              <w:t xml:space="preserve"> </w:t>
            </w:r>
            <w:r>
              <w:rPr>
                <w:sz w:val="12"/>
                <w:szCs w:val="12"/>
                <w:spacing w:val="1"/>
              </w:rPr>
              <w:t>次，连续使用不得</w:t>
            </w:r>
            <w:r>
              <w:rPr>
                <w:sz w:val="12"/>
                <w:szCs w:val="12"/>
                <w:spacing w:val="3"/>
              </w:rPr>
              <w:t xml:space="preserve"> </w:t>
            </w:r>
            <w:r>
              <w:rPr>
                <w:sz w:val="12"/>
                <w:szCs w:val="12"/>
                <w:spacing w:val="-1"/>
              </w:rPr>
              <w:t>超过两次</w:t>
            </w:r>
          </w:p>
        </w:tc>
        <w:tc>
          <w:tcPr>
            <w:tcW w:w="709" w:type="dxa"/>
            <w:vAlign w:val="top"/>
            <w:tcBorders>
              <w:bottom w:val="single" w:color="000000" w:sz="2" w:space="0"/>
              <w:top w:val="single" w:color="000000" w:sz="2" w:space="0"/>
            </w:tcBorders>
          </w:tcPr>
          <w:p>
            <w:pPr>
              <w:pStyle w:val="TableText"/>
              <w:ind w:left="197"/>
              <w:spacing w:before="229" w:line="213" w:lineRule="auto"/>
              <w:rPr>
                <w:sz w:val="12"/>
                <w:szCs w:val="12"/>
              </w:rPr>
            </w:pPr>
            <w:r>
              <w:rPr>
                <w:sz w:val="12"/>
                <w:szCs w:val="12"/>
                <w:spacing w:val="-2"/>
              </w:rPr>
              <w:t>lg/包</w:t>
            </w:r>
          </w:p>
        </w:tc>
        <w:tc>
          <w:tcPr>
            <w:tcW w:w="2783" w:type="dxa"/>
            <w:vAlign w:val="top"/>
            <w:tcBorders>
              <w:bottom w:val="single" w:color="000000" w:sz="2" w:space="0"/>
              <w:top w:val="single" w:color="000000" w:sz="2" w:space="0"/>
            </w:tcBorders>
          </w:tcPr>
          <w:p>
            <w:pPr>
              <w:pStyle w:val="TableText"/>
              <w:ind w:left="18"/>
              <w:spacing w:before="233" w:line="219" w:lineRule="auto"/>
              <w:rPr>
                <w:sz w:val="12"/>
                <w:szCs w:val="12"/>
              </w:rPr>
            </w:pPr>
            <w:r>
              <w:rPr>
                <w:sz w:val="12"/>
                <w:szCs w:val="12"/>
                <w:spacing w:val="-1"/>
              </w:rPr>
              <w:t>防治蚜虫、叶鲜刺吸类害虫</w:t>
            </w:r>
          </w:p>
        </w:tc>
      </w:tr>
      <w:tr>
        <w:trPr>
          <w:trHeight w:val="44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83" w:line="219" w:lineRule="auto"/>
              <w:rPr>
                <w:sz w:val="12"/>
                <w:szCs w:val="12"/>
              </w:rPr>
            </w:pPr>
            <w:r>
              <w:rPr>
                <w:sz w:val="12"/>
                <w:szCs w:val="12"/>
                <w:spacing w:val="-1"/>
              </w:rPr>
              <w:t>先正达阿克泰</w:t>
            </w:r>
          </w:p>
        </w:tc>
        <w:tc>
          <w:tcPr>
            <w:tcW w:w="1859" w:type="dxa"/>
            <w:vAlign w:val="top"/>
            <w:tcBorders>
              <w:bottom w:val="single" w:color="000000" w:sz="2" w:space="0"/>
              <w:top w:val="single" w:color="000000" w:sz="2" w:space="0"/>
            </w:tcBorders>
          </w:tcPr>
          <w:p>
            <w:pPr>
              <w:pStyle w:val="TableText"/>
              <w:ind w:left="744"/>
              <w:spacing w:before="193" w:line="219" w:lineRule="auto"/>
              <w:rPr>
                <w:sz w:val="12"/>
                <w:szCs w:val="12"/>
              </w:rPr>
            </w:pPr>
            <w:r>
              <w:rPr>
                <w:sz w:val="12"/>
                <w:szCs w:val="12"/>
                <w:spacing w:val="-2"/>
              </w:rPr>
              <w:t>烟碱类</w:t>
            </w:r>
          </w:p>
        </w:tc>
        <w:tc>
          <w:tcPr>
            <w:tcW w:w="1609" w:type="dxa"/>
            <w:vAlign w:val="top"/>
            <w:tcBorders>
              <w:bottom w:val="single" w:color="000000" w:sz="2" w:space="0"/>
              <w:top w:val="single" w:color="000000" w:sz="2" w:space="0"/>
            </w:tcBorders>
          </w:tcPr>
          <w:p>
            <w:pPr>
              <w:pStyle w:val="TableText"/>
              <w:ind w:left="45"/>
              <w:spacing w:before="193" w:line="218" w:lineRule="auto"/>
              <w:rPr>
                <w:sz w:val="12"/>
                <w:szCs w:val="12"/>
              </w:rPr>
            </w:pPr>
            <w:r>
              <w:rPr>
                <w:sz w:val="12"/>
                <w:szCs w:val="12"/>
                <w:spacing w:val="-1"/>
              </w:rPr>
              <w:t>25M阿克泰水分散粒剂1500倍</w:t>
            </w:r>
          </w:p>
        </w:tc>
        <w:tc>
          <w:tcPr>
            <w:tcW w:w="1039" w:type="dxa"/>
            <w:vAlign w:val="top"/>
            <w:tcBorders>
              <w:bottom w:val="single" w:color="000000" w:sz="2" w:space="0"/>
              <w:top w:val="single" w:color="000000" w:sz="2" w:space="0"/>
            </w:tcBorders>
          </w:tcPr>
          <w:p>
            <w:pPr>
              <w:pStyle w:val="TableText"/>
              <w:ind w:left="66"/>
              <w:spacing w:before="103" w:line="219" w:lineRule="auto"/>
              <w:rPr>
                <w:sz w:val="12"/>
                <w:szCs w:val="12"/>
              </w:rPr>
            </w:pPr>
            <w:r>
              <w:rPr>
                <w:sz w:val="12"/>
                <w:szCs w:val="12"/>
              </w:rPr>
              <w:t>每10-15天用药一</w:t>
            </w:r>
          </w:p>
          <w:p>
            <w:pPr>
              <w:pStyle w:val="TableText"/>
              <w:spacing w:before="17" w:line="219" w:lineRule="auto"/>
              <w:jc w:val="right"/>
              <w:rPr>
                <w:sz w:val="12"/>
                <w:szCs w:val="12"/>
              </w:rPr>
            </w:pPr>
            <w:r>
              <w:rPr>
                <w:sz w:val="12"/>
                <w:szCs w:val="12"/>
                <w:spacing w:val="-1"/>
              </w:rPr>
              <w:t>次，连续使用2-3次</w:t>
            </w:r>
          </w:p>
        </w:tc>
        <w:tc>
          <w:tcPr>
            <w:tcW w:w="709" w:type="dxa"/>
            <w:vAlign w:val="top"/>
            <w:tcBorders>
              <w:bottom w:val="single" w:color="000000" w:sz="2" w:space="0"/>
              <w:top w:val="single" w:color="000000" w:sz="2" w:space="0"/>
            </w:tcBorders>
          </w:tcPr>
          <w:p>
            <w:pPr>
              <w:pStyle w:val="TableText"/>
              <w:ind w:left="137"/>
              <w:spacing w:before="159" w:line="213" w:lineRule="auto"/>
              <w:rPr>
                <w:sz w:val="12"/>
                <w:szCs w:val="12"/>
              </w:rPr>
            </w:pPr>
            <w:r>
              <w:rPr>
                <w:sz w:val="12"/>
                <w:szCs w:val="12"/>
                <w:spacing w:val="-2"/>
              </w:rPr>
              <w:t>100g/袋</w:t>
            </w:r>
          </w:p>
        </w:tc>
        <w:tc>
          <w:tcPr>
            <w:tcW w:w="2783" w:type="dxa"/>
            <w:vAlign w:val="top"/>
            <w:tcBorders>
              <w:bottom w:val="single" w:color="000000" w:sz="2" w:space="0"/>
              <w:top w:val="single" w:color="000000" w:sz="2" w:space="0"/>
            </w:tcBorders>
          </w:tcPr>
          <w:p>
            <w:pPr>
              <w:pStyle w:val="TableText"/>
              <w:ind w:left="18"/>
              <w:spacing w:before="104" w:line="217" w:lineRule="auto"/>
              <w:rPr>
                <w:sz w:val="12"/>
                <w:szCs w:val="12"/>
              </w:rPr>
            </w:pPr>
            <w:r>
              <w:rPr>
                <w:sz w:val="12"/>
                <w:szCs w:val="12"/>
                <w:spacing w:val="-1"/>
              </w:rPr>
              <w:t>有效防治鳞翅日、辅翅日、埋翅日害虫。如各种蚜虫</w:t>
            </w:r>
            <w:r>
              <w:rPr>
                <w:sz w:val="12"/>
                <w:szCs w:val="12"/>
                <w:spacing w:val="16"/>
                <w:w w:val="101"/>
              </w:rPr>
              <w:t xml:space="preserve"> </w:t>
            </w:r>
            <w:r>
              <w:rPr>
                <w:sz w:val="12"/>
                <w:szCs w:val="12"/>
                <w:spacing w:val="-2"/>
              </w:rPr>
              <w:t>、叶鲜、粉虱，飞乱等</w:t>
            </w:r>
          </w:p>
        </w:tc>
      </w:tr>
      <w:tr>
        <w:trPr>
          <w:trHeight w:val="45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93"/>
              <w:spacing w:before="174" w:line="219" w:lineRule="auto"/>
              <w:rPr>
                <w:sz w:val="12"/>
                <w:szCs w:val="12"/>
              </w:rPr>
            </w:pPr>
            <w:r>
              <w:rPr>
                <w:sz w:val="12"/>
                <w:szCs w:val="12"/>
                <w:spacing w:val="2"/>
              </w:rPr>
              <w:t>三氯柔蜻醇(开乐散)</w:t>
            </w:r>
          </w:p>
        </w:tc>
        <w:tc>
          <w:tcPr>
            <w:tcW w:w="1859" w:type="dxa"/>
            <w:vAlign w:val="top"/>
            <w:tcBorders>
              <w:bottom w:val="single" w:color="000000" w:sz="2" w:space="0"/>
              <w:top w:val="single" w:color="000000" w:sz="2" w:space="0"/>
            </w:tcBorders>
          </w:tcPr>
          <w:p>
            <w:pPr>
              <w:pStyle w:val="TableText"/>
              <w:ind w:left="684"/>
              <w:spacing w:before="174" w:line="220" w:lineRule="auto"/>
              <w:rPr>
                <w:sz w:val="12"/>
                <w:szCs w:val="12"/>
              </w:rPr>
            </w:pPr>
            <w:r>
              <w:rPr>
                <w:sz w:val="12"/>
                <w:szCs w:val="12"/>
                <w:spacing w:val="-1"/>
              </w:rPr>
              <w:t>三氯乙醇</w:t>
            </w:r>
          </w:p>
        </w:tc>
        <w:tc>
          <w:tcPr>
            <w:tcW w:w="1609" w:type="dxa"/>
            <w:vAlign w:val="top"/>
            <w:tcBorders>
              <w:bottom w:val="single" w:color="000000" w:sz="2" w:space="0"/>
              <w:top w:val="single" w:color="000000" w:sz="2" w:space="0"/>
            </w:tcBorders>
          </w:tcPr>
          <w:p>
            <w:pPr>
              <w:pStyle w:val="TableText"/>
              <w:ind w:left="225"/>
              <w:spacing w:before="174" w:line="220" w:lineRule="auto"/>
              <w:rPr>
                <w:sz w:val="12"/>
                <w:szCs w:val="12"/>
              </w:rPr>
            </w:pPr>
            <w:r>
              <w:rPr>
                <w:sz w:val="12"/>
                <w:szCs w:val="12"/>
                <w:spacing w:val="-1"/>
              </w:rPr>
              <w:t>20%乳油800-1000倍液</w:t>
            </w:r>
          </w:p>
        </w:tc>
        <w:tc>
          <w:tcPr>
            <w:tcW w:w="1039" w:type="dxa"/>
            <w:vAlign w:val="top"/>
            <w:tcBorders>
              <w:bottom w:val="single" w:color="000000" w:sz="2" w:space="0"/>
              <w:top w:val="single" w:color="000000" w:sz="2" w:space="0"/>
            </w:tcBorders>
          </w:tcPr>
          <w:p>
            <w:pPr>
              <w:pStyle w:val="TableText"/>
              <w:ind w:left="66"/>
              <w:spacing w:before="104" w:line="219" w:lineRule="auto"/>
              <w:rPr>
                <w:sz w:val="12"/>
                <w:szCs w:val="12"/>
              </w:rPr>
            </w:pPr>
            <w:r>
              <w:rPr>
                <w:sz w:val="12"/>
                <w:szCs w:val="12"/>
              </w:rPr>
              <w:t>每15-20天用药一</w:t>
            </w:r>
          </w:p>
          <w:p>
            <w:pPr>
              <w:pStyle w:val="TableText"/>
              <w:spacing w:before="17" w:line="219" w:lineRule="auto"/>
              <w:jc w:val="right"/>
              <w:rPr>
                <w:sz w:val="12"/>
                <w:szCs w:val="12"/>
              </w:rPr>
            </w:pPr>
            <w:r>
              <w:rPr>
                <w:sz w:val="12"/>
                <w:szCs w:val="12"/>
                <w:spacing w:val="-1"/>
              </w:rPr>
              <w:t>次，连续使用2-3次</w:t>
            </w:r>
          </w:p>
        </w:tc>
        <w:tc>
          <w:tcPr>
            <w:tcW w:w="709" w:type="dxa"/>
            <w:vAlign w:val="top"/>
            <w:tcBorders>
              <w:bottom w:val="single" w:color="000000" w:sz="2" w:space="0"/>
              <w:top w:val="single" w:color="000000" w:sz="2" w:space="0"/>
            </w:tcBorders>
          </w:tcPr>
          <w:p>
            <w:pPr>
              <w:pStyle w:val="TableText"/>
              <w:ind w:left="107"/>
              <w:spacing w:before="174" w:line="221" w:lineRule="auto"/>
              <w:rPr>
                <w:sz w:val="12"/>
                <w:szCs w:val="12"/>
              </w:rPr>
            </w:pPr>
            <w:r>
              <w:rPr>
                <w:sz w:val="12"/>
                <w:szCs w:val="12"/>
                <w:spacing w:val="-1"/>
              </w:rPr>
              <w:t>300ml/瓶</w:t>
            </w:r>
          </w:p>
        </w:tc>
        <w:tc>
          <w:tcPr>
            <w:tcW w:w="2783" w:type="dxa"/>
            <w:vAlign w:val="top"/>
            <w:tcBorders>
              <w:bottom w:val="single" w:color="000000" w:sz="2" w:space="0"/>
              <w:top w:val="single" w:color="000000" w:sz="2" w:space="0"/>
            </w:tcBorders>
          </w:tcPr>
          <w:p>
            <w:pPr>
              <w:pStyle w:val="TableText"/>
              <w:ind w:left="18"/>
              <w:spacing w:before="173" w:line="218" w:lineRule="auto"/>
              <w:rPr>
                <w:sz w:val="12"/>
                <w:szCs w:val="12"/>
              </w:rPr>
            </w:pPr>
            <w:r>
              <w:rPr>
                <w:sz w:val="12"/>
                <w:szCs w:val="12"/>
                <w:spacing w:val="-1"/>
              </w:rPr>
              <w:t>属于广谱性杀螨剂，对成螨、幼若螨和卵均有效</w:t>
            </w:r>
          </w:p>
        </w:tc>
      </w:tr>
      <w:tr>
        <w:trPr>
          <w:trHeight w:val="335"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14" w:line="219" w:lineRule="auto"/>
              <w:rPr>
                <w:sz w:val="12"/>
                <w:szCs w:val="12"/>
              </w:rPr>
            </w:pPr>
            <w:r>
              <w:rPr>
                <w:sz w:val="12"/>
                <w:szCs w:val="12"/>
                <w:spacing w:val="1"/>
              </w:rPr>
              <w:t>国光毙克</w:t>
            </w:r>
          </w:p>
        </w:tc>
        <w:tc>
          <w:tcPr>
            <w:tcW w:w="1859" w:type="dxa"/>
            <w:vAlign w:val="top"/>
            <w:tcBorders>
              <w:bottom w:val="single" w:color="000000" w:sz="2" w:space="0"/>
              <w:top w:val="single" w:color="000000" w:sz="2" w:space="0"/>
            </w:tcBorders>
          </w:tcPr>
          <w:p>
            <w:pPr>
              <w:pStyle w:val="TableText"/>
              <w:ind w:left="654"/>
              <w:spacing w:before="114" w:line="220" w:lineRule="auto"/>
              <w:rPr>
                <w:sz w:val="12"/>
                <w:szCs w:val="12"/>
              </w:rPr>
            </w:pPr>
            <w:r>
              <w:rPr>
                <w:sz w:val="12"/>
                <w:szCs w:val="12"/>
                <w:spacing w:val="-2"/>
              </w:rPr>
              <w:t>10M吡虫啉</w:t>
            </w:r>
          </w:p>
        </w:tc>
        <w:tc>
          <w:tcPr>
            <w:tcW w:w="1609" w:type="dxa"/>
            <w:vAlign w:val="top"/>
            <w:tcBorders>
              <w:bottom w:val="single" w:color="000000" w:sz="2" w:space="0"/>
              <w:top w:val="single" w:color="000000" w:sz="2" w:space="0"/>
            </w:tcBorders>
          </w:tcPr>
          <w:p>
            <w:pPr>
              <w:pStyle w:val="TableText"/>
              <w:ind w:left="405"/>
              <w:spacing w:before="114" w:line="220" w:lineRule="auto"/>
              <w:rPr>
                <w:sz w:val="12"/>
                <w:szCs w:val="12"/>
              </w:rPr>
            </w:pPr>
            <w:r>
              <w:rPr>
                <w:sz w:val="12"/>
                <w:szCs w:val="12"/>
                <w:spacing w:val="-2"/>
              </w:rPr>
              <w:t>1000-1500倍液</w:t>
            </w:r>
          </w:p>
        </w:tc>
        <w:tc>
          <w:tcPr>
            <w:tcW w:w="1039" w:type="dxa"/>
            <w:vAlign w:val="top"/>
            <w:vMerge w:val="restart"/>
            <w:tcBorders>
              <w:bottom w:val="nil"/>
              <w:top w:val="single" w:color="000000" w:sz="2" w:space="0"/>
            </w:tcBorders>
          </w:tcPr>
          <w:p>
            <w:pPr>
              <w:spacing w:line="333" w:lineRule="auto"/>
              <w:rPr>
                <w:rFonts w:ascii="Arial"/>
                <w:sz w:val="21"/>
              </w:rPr>
            </w:pPr>
            <w:r/>
          </w:p>
          <w:p>
            <w:pPr>
              <w:pStyle w:val="TableText"/>
              <w:spacing w:before="39" w:line="200" w:lineRule="auto"/>
              <w:jc w:val="right"/>
              <w:rPr>
                <w:sz w:val="12"/>
                <w:szCs w:val="12"/>
              </w:rPr>
            </w:pPr>
            <w:r>
              <w:rPr>
                <w:sz w:val="12"/>
                <w:szCs w:val="12"/>
                <w:spacing w:val="-1"/>
              </w:rPr>
              <w:t>一般用3次，时间间</w:t>
            </w:r>
          </w:p>
          <w:p>
            <w:pPr>
              <w:pStyle w:val="TableText"/>
              <w:spacing w:line="219" w:lineRule="auto"/>
              <w:jc w:val="right"/>
              <w:rPr>
                <w:sz w:val="12"/>
                <w:szCs w:val="12"/>
              </w:rPr>
            </w:pPr>
            <w:r>
              <w:rPr>
                <w:sz w:val="12"/>
                <w:szCs w:val="12"/>
                <w:spacing w:val="-2"/>
              </w:rPr>
              <w:t>隔7到10天，视现场</w:t>
            </w:r>
          </w:p>
          <w:p>
            <w:pPr>
              <w:pStyle w:val="TableText"/>
              <w:ind w:left="96"/>
              <w:spacing w:before="16" w:line="219" w:lineRule="auto"/>
              <w:rPr>
                <w:sz w:val="12"/>
                <w:szCs w:val="12"/>
              </w:rPr>
            </w:pPr>
            <w:r>
              <w:rPr>
                <w:sz w:val="12"/>
                <w:szCs w:val="12"/>
                <w:spacing w:val="-1"/>
              </w:rPr>
              <w:t>情况可增加次数</w:t>
            </w:r>
          </w:p>
        </w:tc>
        <w:tc>
          <w:tcPr>
            <w:tcW w:w="709" w:type="dxa"/>
            <w:vAlign w:val="top"/>
            <w:tcBorders>
              <w:bottom w:val="single" w:color="000000" w:sz="2" w:space="0"/>
              <w:top w:val="single" w:color="000000" w:sz="2" w:space="0"/>
            </w:tcBorders>
          </w:tcPr>
          <w:p>
            <w:pPr>
              <w:pStyle w:val="TableText"/>
              <w:ind w:left="167"/>
              <w:spacing w:before="111" w:line="213" w:lineRule="auto"/>
              <w:rPr>
                <w:sz w:val="12"/>
                <w:szCs w:val="12"/>
              </w:rPr>
            </w:pPr>
            <w:r>
              <w:rPr>
                <w:sz w:val="12"/>
                <w:szCs w:val="12"/>
                <w:spacing w:val="-2"/>
              </w:rPr>
              <w:t>10g/袋</w:t>
            </w:r>
          </w:p>
        </w:tc>
        <w:tc>
          <w:tcPr>
            <w:tcW w:w="2783" w:type="dxa"/>
            <w:vAlign w:val="top"/>
            <w:tcBorders>
              <w:bottom w:val="single" w:color="000000" w:sz="2" w:space="0"/>
              <w:top w:val="single" w:color="000000" w:sz="2" w:space="0"/>
            </w:tcBorders>
          </w:tcPr>
          <w:p>
            <w:pPr>
              <w:pStyle w:val="TableText"/>
              <w:ind w:left="18"/>
              <w:spacing w:before="114" w:line="219" w:lineRule="auto"/>
              <w:rPr>
                <w:sz w:val="12"/>
                <w:szCs w:val="12"/>
              </w:rPr>
            </w:pPr>
            <w:r>
              <w:rPr>
                <w:sz w:val="12"/>
                <w:szCs w:val="12"/>
                <w:spacing w:val="-1"/>
              </w:rPr>
              <w:t>杀蚜虫、飞烈等害虫</w:t>
            </w:r>
          </w:p>
        </w:tc>
      </w:tr>
      <w:tr>
        <w:trPr>
          <w:trHeight w:val="3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153"/>
              <w:spacing w:before="124" w:line="218" w:lineRule="auto"/>
              <w:rPr>
                <w:sz w:val="12"/>
                <w:szCs w:val="12"/>
              </w:rPr>
            </w:pPr>
            <w:r>
              <w:rPr>
                <w:sz w:val="12"/>
                <w:szCs w:val="12"/>
                <w:spacing w:val="2"/>
              </w:rPr>
              <w:t>中威壮美(杀螨剂)</w:t>
            </w:r>
          </w:p>
        </w:tc>
        <w:tc>
          <w:tcPr>
            <w:tcW w:w="1859" w:type="dxa"/>
            <w:vAlign w:val="top"/>
            <w:tcBorders>
              <w:bottom w:val="single" w:color="000000" w:sz="2" w:space="0"/>
              <w:top w:val="single" w:color="000000" w:sz="2" w:space="0"/>
            </w:tcBorders>
          </w:tcPr>
          <w:p>
            <w:pPr>
              <w:pStyle w:val="TableText"/>
              <w:ind w:left="414"/>
              <w:spacing w:before="124" w:line="219" w:lineRule="auto"/>
              <w:rPr>
                <w:sz w:val="12"/>
                <w:szCs w:val="12"/>
              </w:rPr>
            </w:pPr>
            <w:r>
              <w:rPr>
                <w:sz w:val="12"/>
                <w:szCs w:val="12"/>
                <w:spacing w:val="-5"/>
              </w:rPr>
              <w:t>阿维</w:t>
            </w:r>
            <w:r>
              <w:rPr>
                <w:sz w:val="12"/>
                <w:szCs w:val="12"/>
                <w:spacing w:val="-14"/>
              </w:rPr>
              <w:t xml:space="preserve"> </w:t>
            </w:r>
            <w:r>
              <w:rPr>
                <w:sz w:val="12"/>
                <w:szCs w:val="12"/>
                <w:spacing w:val="-5"/>
              </w:rPr>
              <w:t>·哒蜻灵3.20%</w:t>
            </w:r>
          </w:p>
        </w:tc>
        <w:tc>
          <w:tcPr>
            <w:tcW w:w="1609" w:type="dxa"/>
            <w:vAlign w:val="top"/>
            <w:tcBorders>
              <w:bottom w:val="single" w:color="000000" w:sz="2" w:space="0"/>
              <w:top w:val="single" w:color="000000" w:sz="2" w:space="0"/>
            </w:tcBorders>
          </w:tcPr>
          <w:p>
            <w:pPr>
              <w:pStyle w:val="TableText"/>
              <w:ind w:left="555"/>
              <w:spacing w:before="124" w:line="220" w:lineRule="auto"/>
              <w:rPr>
                <w:sz w:val="12"/>
                <w:szCs w:val="12"/>
              </w:rPr>
            </w:pPr>
            <w:r>
              <w:rPr>
                <w:sz w:val="12"/>
                <w:szCs w:val="12"/>
                <w:spacing w:val="-2"/>
              </w:rPr>
              <w:t>1500倍液</w:t>
            </w:r>
          </w:p>
        </w:tc>
        <w:tc>
          <w:tcPr>
            <w:tcW w:w="1039" w:type="dxa"/>
            <w:vAlign w:val="top"/>
            <w:vMerge w:val="continue"/>
            <w:tcBorders>
              <w:bottom w:val="nil"/>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107"/>
              <w:spacing w:before="124"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spacing w:before="124" w:line="219" w:lineRule="auto"/>
              <w:jc w:val="right"/>
              <w:rPr>
                <w:sz w:val="12"/>
                <w:szCs w:val="12"/>
              </w:rPr>
            </w:pPr>
            <w:r>
              <w:rPr>
                <w:sz w:val="12"/>
                <w:szCs w:val="12"/>
                <w:spacing w:val="-1"/>
              </w:rPr>
              <w:t>对红蜘蛛、白蜘蛛及抗性螨类害虫有极强的杀灭作用</w:t>
            </w:r>
          </w:p>
        </w:tc>
      </w:tr>
      <w:tr>
        <w:trPr>
          <w:trHeight w:val="409" w:hRule="atLeast"/>
        </w:trPr>
        <w:tc>
          <w:tcPr>
            <w:tcW w:w="41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44" w:line="219" w:lineRule="auto"/>
              <w:rPr>
                <w:sz w:val="12"/>
                <w:szCs w:val="12"/>
              </w:rPr>
            </w:pPr>
            <w:r>
              <w:rPr>
                <w:sz w:val="12"/>
                <w:szCs w:val="12"/>
                <w:spacing w:val="-1"/>
              </w:rPr>
              <w:t>诺普信满毕净</w:t>
            </w:r>
          </w:p>
        </w:tc>
        <w:tc>
          <w:tcPr>
            <w:tcW w:w="1859" w:type="dxa"/>
            <w:vAlign w:val="top"/>
            <w:tcBorders>
              <w:bottom w:val="single" w:color="000000" w:sz="2" w:space="0"/>
              <w:top w:val="single" w:color="000000" w:sz="2" w:space="0"/>
            </w:tcBorders>
          </w:tcPr>
          <w:p>
            <w:pPr>
              <w:pStyle w:val="TableText"/>
              <w:ind w:left="234"/>
              <w:spacing w:before="144" w:line="219" w:lineRule="auto"/>
              <w:rPr>
                <w:sz w:val="12"/>
                <w:szCs w:val="12"/>
              </w:rPr>
            </w:pPr>
            <w:r>
              <w:rPr>
                <w:sz w:val="12"/>
                <w:szCs w:val="12"/>
                <w:spacing w:val="-6"/>
              </w:rPr>
              <w:t>阿维菌素 ·</w:t>
            </w:r>
            <w:r>
              <w:rPr>
                <w:sz w:val="12"/>
                <w:szCs w:val="12"/>
                <w:spacing w:val="-40"/>
              </w:rPr>
              <w:t xml:space="preserve"> </w:t>
            </w:r>
            <w:r>
              <w:rPr>
                <w:sz w:val="12"/>
                <w:szCs w:val="12"/>
                <w:spacing w:val="-6"/>
              </w:rPr>
              <w:t>甲氰菊酯1.80%</w:t>
            </w:r>
          </w:p>
        </w:tc>
        <w:tc>
          <w:tcPr>
            <w:tcW w:w="1609" w:type="dxa"/>
            <w:vAlign w:val="top"/>
            <w:tcBorders>
              <w:bottom w:val="single" w:color="000000" w:sz="2" w:space="0"/>
              <w:top w:val="single" w:color="000000" w:sz="2" w:space="0"/>
            </w:tcBorders>
          </w:tcPr>
          <w:p>
            <w:pPr>
              <w:pStyle w:val="TableText"/>
              <w:ind w:left="495"/>
              <w:spacing w:before="145" w:line="220" w:lineRule="auto"/>
              <w:rPr>
                <w:sz w:val="12"/>
                <w:szCs w:val="12"/>
              </w:rPr>
            </w:pPr>
            <w:r>
              <w:rPr>
                <w:sz w:val="12"/>
                <w:szCs w:val="12"/>
                <w:spacing w:val="-6"/>
              </w:rPr>
              <w:t>800—1000倍</w:t>
            </w:r>
          </w:p>
        </w:tc>
        <w:tc>
          <w:tcPr>
            <w:tcW w:w="1039" w:type="dxa"/>
            <w:vAlign w:val="top"/>
            <w:vMerge w:val="continue"/>
            <w:tcBorders>
              <w:bottom w:val="single" w:color="000000" w:sz="2" w:space="0"/>
              <w:top w:val="nil"/>
            </w:tcBorders>
          </w:tcPr>
          <w:p>
            <w:pPr>
              <w:rPr>
                <w:rFonts w:ascii="Arial"/>
                <w:sz w:val="21"/>
              </w:rPr>
            </w:pPr>
            <w:r/>
          </w:p>
        </w:tc>
        <w:tc>
          <w:tcPr>
            <w:tcW w:w="709" w:type="dxa"/>
            <w:vAlign w:val="top"/>
            <w:tcBorders>
              <w:bottom w:val="single" w:color="000000" w:sz="2" w:space="0"/>
              <w:top w:val="single" w:color="000000" w:sz="2" w:space="0"/>
            </w:tcBorders>
          </w:tcPr>
          <w:p>
            <w:pPr>
              <w:pStyle w:val="TableText"/>
              <w:ind w:left="77"/>
              <w:spacing w:before="145" w:line="221" w:lineRule="auto"/>
              <w:rPr>
                <w:sz w:val="12"/>
                <w:szCs w:val="12"/>
              </w:rPr>
            </w:pPr>
            <w:r>
              <w:rPr>
                <w:sz w:val="12"/>
                <w:szCs w:val="12"/>
                <w:spacing w:val="-2"/>
              </w:rPr>
              <w:t>1000ml/瓶</w:t>
            </w:r>
          </w:p>
        </w:tc>
        <w:tc>
          <w:tcPr>
            <w:tcW w:w="2783" w:type="dxa"/>
            <w:vAlign w:val="top"/>
            <w:tcBorders>
              <w:bottom w:val="single" w:color="000000" w:sz="2" w:space="0"/>
              <w:top w:val="single" w:color="000000" w:sz="2" w:space="0"/>
            </w:tcBorders>
          </w:tcPr>
          <w:p>
            <w:pPr>
              <w:pStyle w:val="TableText"/>
              <w:ind w:left="18"/>
              <w:spacing w:before="144" w:line="219" w:lineRule="auto"/>
              <w:rPr>
                <w:sz w:val="12"/>
                <w:szCs w:val="12"/>
              </w:rPr>
            </w:pPr>
            <w:r>
              <w:rPr>
                <w:sz w:val="12"/>
                <w:szCs w:val="12"/>
                <w:spacing w:val="-1"/>
              </w:rPr>
              <w:t>红蜘蛛、白蜘蛛、锈蜘蛛</w:t>
            </w:r>
          </w:p>
        </w:tc>
      </w:tr>
    </w:tbl>
    <w:p>
      <w:pPr>
        <w:spacing w:line="14" w:lineRule="auto"/>
        <w:rPr>
          <w:rFonts w:ascii="Arial"/>
          <w:sz w:val="2"/>
        </w:rPr>
      </w:pPr>
      <w:r/>
    </w:p>
    <w:p>
      <w:pPr>
        <w:spacing w:line="14" w:lineRule="auto"/>
        <w:sectPr>
          <w:pgSz w:w="14490" w:h="10240"/>
          <w:pgMar w:top="125" w:right="334" w:bottom="205" w:left="284" w:header="0" w:footer="0" w:gutter="0"/>
        </w:sectPr>
        <w:rPr>
          <w:rFonts w:ascii="Arial" w:hAnsi="Arial" w:eastAsia="Arial" w:cs="Arial"/>
          <w:sz w:val="2"/>
          <w:szCs w:val="2"/>
        </w:rPr>
      </w:pPr>
    </w:p>
    <w:tbl>
      <w:tblPr>
        <w:tblStyle w:val="TableNormal"/>
        <w:tblW w:w="138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60"/>
        <w:gridCol w:w="939"/>
        <w:gridCol w:w="2668"/>
        <w:gridCol w:w="1279"/>
        <w:gridCol w:w="1859"/>
        <w:gridCol w:w="1609"/>
        <w:gridCol w:w="1029"/>
        <w:gridCol w:w="719"/>
        <w:gridCol w:w="2783"/>
      </w:tblGrid>
      <w:tr>
        <w:trPr>
          <w:trHeight w:val="519" w:hRule="atLeast"/>
        </w:trPr>
        <w:tc>
          <w:tcPr>
            <w:tcW w:w="415" w:type="dxa"/>
            <w:vAlign w:val="top"/>
            <w:tcBorders>
              <w:bottom w:val="single" w:color="000000" w:sz="2" w:space="0"/>
              <w:top w:val="single" w:color="000000" w:sz="2" w:space="0"/>
            </w:tcBorders>
          </w:tcPr>
          <w:p>
            <w:pPr>
              <w:pStyle w:val="TableText"/>
              <w:ind w:left="86"/>
              <w:spacing w:before="202" w:line="219" w:lineRule="auto"/>
              <w:rPr>
                <w:sz w:val="12"/>
                <w:szCs w:val="12"/>
              </w:rPr>
            </w:pPr>
            <w:r>
              <w:rPr>
                <w:sz w:val="12"/>
                <w:szCs w:val="12"/>
                <w:b/>
                <w:bCs/>
                <w:spacing w:val="-3"/>
              </w:rPr>
              <w:t>分类</w:t>
            </w:r>
          </w:p>
        </w:tc>
        <w:tc>
          <w:tcPr>
            <w:tcW w:w="560" w:type="dxa"/>
            <w:vAlign w:val="top"/>
            <w:tcBorders>
              <w:bottom w:val="single" w:color="000000" w:sz="2" w:space="0"/>
              <w:top w:val="single" w:color="000000" w:sz="2" w:space="0"/>
            </w:tcBorders>
          </w:tcPr>
          <w:p>
            <w:pPr>
              <w:pStyle w:val="TableText"/>
              <w:ind w:left="31"/>
              <w:spacing w:before="33" w:line="219" w:lineRule="auto"/>
              <w:rPr>
                <w:sz w:val="12"/>
                <w:szCs w:val="12"/>
              </w:rPr>
            </w:pPr>
            <w:r>
              <w:rPr>
                <w:sz w:val="12"/>
                <w:szCs w:val="12"/>
                <w:b/>
                <w:bCs/>
                <w:spacing w:val="-3"/>
              </w:rPr>
              <w:t>消杀预防</w:t>
            </w:r>
          </w:p>
          <w:p>
            <w:pPr>
              <w:pStyle w:val="TableText"/>
              <w:ind w:left="31"/>
              <w:spacing w:before="28" w:line="214" w:lineRule="auto"/>
              <w:rPr>
                <w:sz w:val="12"/>
                <w:szCs w:val="12"/>
              </w:rPr>
            </w:pPr>
            <w:r>
              <w:rPr>
                <w:sz w:val="12"/>
                <w:szCs w:val="12"/>
                <w:b/>
                <w:bCs/>
                <w:spacing w:val="-3"/>
              </w:rPr>
              <w:t>及病虫害</w:t>
            </w:r>
          </w:p>
          <w:p>
            <w:pPr>
              <w:pStyle w:val="TableText"/>
              <w:ind w:left="151"/>
              <w:spacing w:line="219" w:lineRule="auto"/>
              <w:rPr>
                <w:sz w:val="12"/>
                <w:szCs w:val="12"/>
              </w:rPr>
            </w:pPr>
            <w:r>
              <w:rPr>
                <w:sz w:val="12"/>
                <w:szCs w:val="12"/>
                <w:b/>
                <w:bCs/>
                <w:spacing w:val="-3"/>
              </w:rPr>
              <w:t>分类</w:t>
            </w:r>
          </w:p>
        </w:tc>
        <w:tc>
          <w:tcPr>
            <w:tcW w:w="939" w:type="dxa"/>
            <w:vAlign w:val="top"/>
            <w:tcBorders>
              <w:bottom w:val="single" w:color="000000" w:sz="2" w:space="0"/>
              <w:top w:val="single" w:color="000000" w:sz="2" w:space="0"/>
            </w:tcBorders>
          </w:tcPr>
          <w:p>
            <w:pPr>
              <w:pStyle w:val="TableText"/>
              <w:ind w:left="161"/>
              <w:spacing w:before="202" w:line="219" w:lineRule="auto"/>
              <w:rPr>
                <w:sz w:val="12"/>
                <w:szCs w:val="12"/>
              </w:rPr>
            </w:pPr>
            <w:r>
              <w:rPr>
                <w:sz w:val="12"/>
                <w:szCs w:val="12"/>
                <w:b/>
                <w:bCs/>
                <w:spacing w:val="-3"/>
              </w:rPr>
              <w:t>常见病虫害</w:t>
            </w:r>
          </w:p>
        </w:tc>
        <w:tc>
          <w:tcPr>
            <w:tcW w:w="2668" w:type="dxa"/>
            <w:vAlign w:val="top"/>
            <w:tcBorders>
              <w:bottom w:val="single" w:color="000000" w:sz="2" w:space="0"/>
              <w:top w:val="single" w:color="000000" w:sz="2" w:space="0"/>
            </w:tcBorders>
          </w:tcPr>
          <w:p>
            <w:pPr>
              <w:pStyle w:val="TableText"/>
              <w:ind w:left="962"/>
              <w:spacing w:before="202" w:line="219" w:lineRule="auto"/>
              <w:rPr>
                <w:sz w:val="12"/>
                <w:szCs w:val="12"/>
              </w:rPr>
            </w:pPr>
            <w:r>
              <w:rPr>
                <w:sz w:val="12"/>
                <w:szCs w:val="12"/>
                <w:b/>
                <w:bCs/>
                <w:spacing w:val="-3"/>
              </w:rPr>
              <w:t>主要发病月份</w:t>
            </w:r>
          </w:p>
        </w:tc>
        <w:tc>
          <w:tcPr>
            <w:tcW w:w="1279" w:type="dxa"/>
            <w:vAlign w:val="top"/>
            <w:tcBorders>
              <w:bottom w:val="single" w:color="000000" w:sz="2" w:space="0"/>
              <w:top w:val="single" w:color="000000" w:sz="2" w:space="0"/>
            </w:tcBorders>
          </w:tcPr>
          <w:p>
            <w:pPr>
              <w:pStyle w:val="TableText"/>
              <w:ind w:left="394"/>
              <w:spacing w:before="203" w:line="220" w:lineRule="auto"/>
              <w:rPr>
                <w:sz w:val="12"/>
                <w:szCs w:val="12"/>
              </w:rPr>
            </w:pPr>
            <w:r>
              <w:rPr>
                <w:sz w:val="12"/>
                <w:szCs w:val="12"/>
                <w:b/>
                <w:bCs/>
                <w:spacing w:val="-3"/>
              </w:rPr>
              <w:t>药品名称</w:t>
            </w:r>
          </w:p>
        </w:tc>
        <w:tc>
          <w:tcPr>
            <w:tcW w:w="1859" w:type="dxa"/>
            <w:vAlign w:val="top"/>
            <w:tcBorders>
              <w:bottom w:val="single" w:color="000000" w:sz="2" w:space="0"/>
              <w:top w:val="single" w:color="000000" w:sz="2" w:space="0"/>
            </w:tcBorders>
          </w:tcPr>
          <w:p>
            <w:pPr>
              <w:pStyle w:val="TableText"/>
              <w:ind w:left="685"/>
              <w:spacing w:before="203" w:line="220" w:lineRule="auto"/>
              <w:rPr>
                <w:sz w:val="12"/>
                <w:szCs w:val="12"/>
              </w:rPr>
            </w:pPr>
            <w:r>
              <w:rPr>
                <w:sz w:val="12"/>
                <w:szCs w:val="12"/>
                <w:b/>
                <w:bCs/>
                <w:spacing w:val="-3"/>
              </w:rPr>
              <w:t>主要成分</w:t>
            </w:r>
          </w:p>
        </w:tc>
        <w:tc>
          <w:tcPr>
            <w:tcW w:w="1609" w:type="dxa"/>
            <w:vAlign w:val="top"/>
            <w:tcBorders>
              <w:bottom w:val="single" w:color="000000" w:sz="2" w:space="0"/>
              <w:top w:val="single" w:color="000000" w:sz="2" w:space="0"/>
            </w:tcBorders>
          </w:tcPr>
          <w:p>
            <w:pPr>
              <w:pStyle w:val="TableText"/>
              <w:ind w:left="556"/>
              <w:spacing w:before="202" w:line="219" w:lineRule="auto"/>
              <w:rPr>
                <w:sz w:val="12"/>
                <w:szCs w:val="12"/>
              </w:rPr>
            </w:pPr>
            <w:r>
              <w:rPr>
                <w:sz w:val="12"/>
                <w:szCs w:val="12"/>
                <w:b/>
                <w:bCs/>
                <w:spacing w:val="-3"/>
              </w:rPr>
              <w:t>使用倍率</w:t>
            </w:r>
          </w:p>
        </w:tc>
        <w:tc>
          <w:tcPr>
            <w:tcW w:w="1029" w:type="dxa"/>
            <w:vAlign w:val="top"/>
            <w:tcBorders>
              <w:bottom w:val="single" w:color="000000" w:sz="2" w:space="0"/>
              <w:top w:val="single" w:color="000000" w:sz="2" w:space="0"/>
            </w:tcBorders>
          </w:tcPr>
          <w:p>
            <w:pPr>
              <w:pStyle w:val="TableText"/>
              <w:ind w:left="267"/>
              <w:spacing w:before="202" w:line="219" w:lineRule="auto"/>
              <w:rPr>
                <w:sz w:val="12"/>
                <w:szCs w:val="12"/>
              </w:rPr>
            </w:pPr>
            <w:r>
              <w:rPr>
                <w:sz w:val="12"/>
                <w:szCs w:val="12"/>
                <w:b/>
                <w:bCs/>
                <w:spacing w:val="-3"/>
              </w:rPr>
              <w:t>施用次数</w:t>
            </w:r>
          </w:p>
        </w:tc>
        <w:tc>
          <w:tcPr>
            <w:tcW w:w="719" w:type="dxa"/>
            <w:vAlign w:val="top"/>
            <w:tcBorders>
              <w:bottom w:val="single" w:color="000000" w:sz="2" w:space="0"/>
              <w:top w:val="single" w:color="000000" w:sz="2" w:space="0"/>
            </w:tcBorders>
          </w:tcPr>
          <w:p>
            <w:pPr>
              <w:pStyle w:val="TableText"/>
              <w:ind w:left="238"/>
              <w:spacing w:before="202" w:line="219" w:lineRule="auto"/>
              <w:rPr>
                <w:sz w:val="12"/>
                <w:szCs w:val="12"/>
              </w:rPr>
            </w:pPr>
            <w:r>
              <w:rPr>
                <w:sz w:val="12"/>
                <w:szCs w:val="12"/>
                <w:b/>
                <w:bCs/>
                <w:spacing w:val="-3"/>
              </w:rPr>
              <w:t>规格</w:t>
            </w:r>
          </w:p>
        </w:tc>
        <w:tc>
          <w:tcPr>
            <w:tcW w:w="2783" w:type="dxa"/>
            <w:vAlign w:val="top"/>
            <w:tcBorders>
              <w:bottom w:val="single" w:color="000000" w:sz="2" w:space="0"/>
              <w:top w:val="single" w:color="000000" w:sz="2" w:space="0"/>
            </w:tcBorders>
          </w:tcPr>
          <w:p>
            <w:pPr>
              <w:pStyle w:val="TableText"/>
              <w:ind w:left="1269"/>
              <w:spacing w:before="203" w:line="221" w:lineRule="auto"/>
              <w:rPr>
                <w:sz w:val="12"/>
                <w:szCs w:val="12"/>
              </w:rPr>
            </w:pPr>
            <w:r>
              <w:rPr>
                <w:sz w:val="12"/>
                <w:szCs w:val="12"/>
                <w:b/>
                <w:bCs/>
                <w:spacing w:val="-3"/>
              </w:rPr>
              <w:t>备注</w:t>
            </w:r>
          </w:p>
        </w:tc>
      </w:tr>
      <w:tr>
        <w:trPr>
          <w:trHeight w:val="474" w:hRule="atLeast"/>
        </w:trPr>
        <w:tc>
          <w:tcPr>
            <w:tcW w:w="415" w:type="dxa"/>
            <w:vAlign w:val="top"/>
            <w:vMerge w:val="restart"/>
            <w:tcBorders>
              <w:bottom w:val="nil"/>
              <w:top w:val="single" w:color="000000" w:sz="2" w:space="0"/>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spacing w:before="39" w:line="219" w:lineRule="auto"/>
              <w:jc w:val="right"/>
              <w:rPr>
                <w:sz w:val="12"/>
                <w:szCs w:val="12"/>
              </w:rPr>
            </w:pPr>
            <w:r>
              <w:rPr>
                <w:sz w:val="12"/>
                <w:szCs w:val="12"/>
                <w:spacing w:val="-5"/>
              </w:rPr>
              <w:t>杀   虫</w:t>
            </w:r>
          </w:p>
        </w:tc>
        <w:tc>
          <w:tcPr>
            <w:tcW w:w="560" w:type="dxa"/>
            <w:vAlign w:val="top"/>
            <w:vMerge w:val="restart"/>
            <w:tcBorders>
              <w:bottom w:val="nil"/>
              <w:top w:val="single" w:color="000000" w:sz="2" w:space="0"/>
            </w:tcBorders>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30"/>
              <w:spacing w:before="39" w:line="218" w:lineRule="auto"/>
              <w:rPr>
                <w:sz w:val="12"/>
                <w:szCs w:val="12"/>
              </w:rPr>
            </w:pPr>
            <w:r>
              <w:rPr>
                <w:sz w:val="12"/>
                <w:szCs w:val="12"/>
                <w:spacing w:val="-1"/>
              </w:rPr>
              <w:t>蛀干害虫</w:t>
            </w:r>
          </w:p>
        </w:tc>
        <w:tc>
          <w:tcPr>
            <w:tcW w:w="939" w:type="dxa"/>
            <w:vAlign w:val="top"/>
            <w:vMerge w:val="restart"/>
            <w:tcBorders>
              <w:bottom w:val="nil"/>
              <w:top w:val="single" w:color="000000" w:sz="2" w:space="0"/>
            </w:tcBorders>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40"/>
              <w:spacing w:before="39" w:line="219" w:lineRule="auto"/>
              <w:rPr>
                <w:sz w:val="12"/>
                <w:szCs w:val="12"/>
              </w:rPr>
            </w:pPr>
            <w:r>
              <w:rPr>
                <w:sz w:val="12"/>
                <w:szCs w:val="12"/>
                <w:spacing w:val="-1"/>
              </w:rPr>
              <w:t>小蠹虫、天牛类</w:t>
            </w:r>
          </w:p>
          <w:p>
            <w:pPr>
              <w:pStyle w:val="TableText"/>
              <w:ind w:left="70"/>
              <w:spacing w:before="7" w:line="219" w:lineRule="auto"/>
              <w:rPr>
                <w:sz w:val="12"/>
                <w:szCs w:val="12"/>
              </w:rPr>
            </w:pPr>
            <w:r>
              <w:rPr>
                <w:sz w:val="12"/>
                <w:szCs w:val="12"/>
                <w:spacing w:val="-3"/>
              </w:rPr>
              <w:t>、木蠢峡类、蛀</w:t>
            </w:r>
          </w:p>
          <w:p>
            <w:pPr>
              <w:pStyle w:val="TableText"/>
              <w:ind w:left="70"/>
              <w:spacing w:before="16" w:line="216" w:lineRule="auto"/>
              <w:rPr>
                <w:sz w:val="12"/>
                <w:szCs w:val="12"/>
              </w:rPr>
            </w:pPr>
            <w:r>
              <w:rPr>
                <w:sz w:val="12"/>
                <w:szCs w:val="12"/>
                <w:spacing w:val="-1"/>
              </w:rPr>
              <w:t>蜗类、拟步甲，</w:t>
            </w:r>
          </w:p>
          <w:p>
            <w:pPr>
              <w:pStyle w:val="TableText"/>
              <w:ind w:left="40"/>
              <w:spacing w:line="215" w:lineRule="auto"/>
              <w:rPr>
                <w:sz w:val="12"/>
                <w:szCs w:val="12"/>
              </w:rPr>
            </w:pPr>
            <w:r>
              <w:rPr>
                <w:sz w:val="12"/>
                <w:szCs w:val="12"/>
                <w:spacing w:val="-1"/>
              </w:rPr>
              <w:t>红棕象甲、椰心</w:t>
            </w:r>
          </w:p>
          <w:p>
            <w:pPr>
              <w:pStyle w:val="TableText"/>
              <w:ind w:left="280"/>
              <w:spacing w:line="219" w:lineRule="auto"/>
              <w:rPr>
                <w:sz w:val="12"/>
                <w:szCs w:val="12"/>
              </w:rPr>
            </w:pPr>
            <w:r>
              <w:rPr>
                <w:sz w:val="12"/>
                <w:szCs w:val="12"/>
                <w:spacing w:val="-3"/>
              </w:rPr>
              <w:t>叶甲等</w:t>
            </w:r>
          </w:p>
        </w:tc>
        <w:tc>
          <w:tcPr>
            <w:tcW w:w="2668" w:type="dxa"/>
            <w:vAlign w:val="top"/>
            <w:vMerge w:val="restart"/>
            <w:tcBorders>
              <w:bottom w:val="nil"/>
              <w:top w:val="single" w:color="000000" w:sz="2" w:space="0"/>
            </w:tcBorders>
          </w:tcPr>
          <w:p>
            <w:pPr>
              <w:spacing w:line="342" w:lineRule="auto"/>
              <w:rPr>
                <w:rFonts w:ascii="Arial"/>
                <w:sz w:val="21"/>
              </w:rPr>
            </w:pPr>
            <w:r/>
          </w:p>
          <w:p>
            <w:pPr>
              <w:spacing w:line="343" w:lineRule="auto"/>
              <w:rPr>
                <w:rFonts w:ascii="Arial"/>
                <w:sz w:val="21"/>
              </w:rPr>
            </w:pPr>
            <w:r/>
          </w:p>
          <w:p>
            <w:pPr>
              <w:pStyle w:val="TableText"/>
              <w:ind w:left="10" w:right="23" w:hanging="9"/>
              <w:spacing w:before="39" w:line="209" w:lineRule="auto"/>
              <w:rPr>
                <w:sz w:val="12"/>
                <w:szCs w:val="12"/>
              </w:rPr>
            </w:pPr>
            <w:r>
              <w:rPr>
                <w:sz w:val="12"/>
                <w:szCs w:val="12"/>
                <w:spacing w:val="-1"/>
              </w:rPr>
              <w:t>二、12月-次年3月蛙干害虫危害较轻，注意清洁园</w:t>
            </w:r>
            <w:r>
              <w:rPr>
                <w:sz w:val="12"/>
                <w:szCs w:val="12"/>
                <w:spacing w:val="16"/>
              </w:rPr>
              <w:t xml:space="preserve"> </w:t>
            </w:r>
            <w:r>
              <w:rPr>
                <w:sz w:val="12"/>
                <w:szCs w:val="12"/>
              </w:rPr>
              <w:t>圆，挖除虫卵，树干涂白：</w:t>
            </w:r>
          </w:p>
          <w:p>
            <w:pPr>
              <w:pStyle w:val="TableText"/>
              <w:ind w:left="1" w:firstLine="9"/>
              <w:spacing w:before="8" w:line="224" w:lineRule="auto"/>
              <w:jc w:val="both"/>
              <w:rPr>
                <w:sz w:val="12"/>
                <w:szCs w:val="12"/>
              </w:rPr>
            </w:pPr>
            <w:r>
              <w:rPr>
                <w:sz w:val="12"/>
                <w:szCs w:val="12"/>
                <w:spacing w:val="-2"/>
              </w:rPr>
              <w:t>二：4月-11月随着温度的开高，该类害虫开始</w:t>
            </w:r>
            <w:r>
              <w:rPr>
                <w:sz w:val="12"/>
                <w:szCs w:val="12"/>
                <w:spacing w:val="-3"/>
              </w:rPr>
              <w:t>话跃</w:t>
            </w:r>
            <w:r>
              <w:rPr>
                <w:sz w:val="12"/>
                <w:szCs w:val="12"/>
              </w:rPr>
              <w:t xml:space="preserve">  </w:t>
            </w:r>
            <w:r>
              <w:rPr>
                <w:sz w:val="12"/>
                <w:szCs w:val="12"/>
                <w:spacing w:val="-4"/>
              </w:rPr>
              <w:t>。红棕象甲、椰心叶甲危害大王椰子、银海枣等棕</w:t>
            </w:r>
            <w:r>
              <w:rPr>
                <w:sz w:val="12"/>
                <w:szCs w:val="12"/>
                <w:spacing w:val="7"/>
              </w:rPr>
              <w:t xml:space="preserve">  </w:t>
            </w:r>
            <w:r>
              <w:rPr>
                <w:sz w:val="12"/>
                <w:szCs w:val="12"/>
                <w:spacing w:val="-2"/>
              </w:rPr>
              <w:t>桐科值物：天牛类，吉丁虫类危害柳树、红花银降</w:t>
            </w:r>
            <w:r>
              <w:rPr>
                <w:sz w:val="12"/>
                <w:szCs w:val="12"/>
                <w:spacing w:val="3"/>
              </w:rPr>
              <w:t xml:space="preserve">  </w:t>
            </w:r>
            <w:r>
              <w:rPr>
                <w:sz w:val="12"/>
                <w:szCs w:val="12"/>
              </w:rPr>
              <w:t>等：需仔细观察才能发现，做到早发现、早预防、</w:t>
            </w:r>
            <w:r>
              <w:rPr>
                <w:sz w:val="12"/>
                <w:szCs w:val="12"/>
                <w:spacing w:val="15"/>
                <w:w w:val="101"/>
              </w:rPr>
              <w:t xml:space="preserve"> </w:t>
            </w:r>
            <w:r>
              <w:rPr>
                <w:sz w:val="12"/>
                <w:szCs w:val="12"/>
              </w:rPr>
              <w:t>有效控制。</w:t>
            </w:r>
          </w:p>
        </w:tc>
        <w:tc>
          <w:tcPr>
            <w:tcW w:w="1279" w:type="dxa"/>
            <w:vAlign w:val="top"/>
            <w:tcBorders>
              <w:bottom w:val="single" w:color="000000" w:sz="2" w:space="0"/>
              <w:top w:val="single" w:color="000000" w:sz="2" w:space="0"/>
            </w:tcBorders>
          </w:tcPr>
          <w:p>
            <w:pPr>
              <w:pStyle w:val="TableText"/>
              <w:ind w:left="333"/>
              <w:spacing w:before="179" w:line="218" w:lineRule="auto"/>
              <w:rPr>
                <w:sz w:val="12"/>
                <w:szCs w:val="12"/>
              </w:rPr>
            </w:pPr>
            <w:r>
              <w:rPr>
                <w:sz w:val="12"/>
                <w:szCs w:val="12"/>
                <w:spacing w:val="-1"/>
              </w:rPr>
              <w:t>椰甲清粉剂</w:t>
            </w:r>
          </w:p>
        </w:tc>
        <w:tc>
          <w:tcPr>
            <w:tcW w:w="1859" w:type="dxa"/>
            <w:vAlign w:val="top"/>
            <w:tcBorders>
              <w:bottom w:val="single" w:color="000000" w:sz="2" w:space="0"/>
              <w:top w:val="single" w:color="000000" w:sz="2" w:space="0"/>
            </w:tcBorders>
          </w:tcPr>
          <w:p>
            <w:pPr>
              <w:pStyle w:val="TableText"/>
              <w:ind w:left="504"/>
              <w:spacing w:before="179" w:line="219" w:lineRule="auto"/>
              <w:rPr>
                <w:sz w:val="12"/>
                <w:szCs w:val="12"/>
              </w:rPr>
            </w:pPr>
            <w:r>
              <w:rPr>
                <w:sz w:val="12"/>
                <w:szCs w:val="12"/>
                <w:spacing w:val="-2"/>
              </w:rPr>
              <w:t>啶虫脒和杀虫单</w:t>
            </w:r>
          </w:p>
        </w:tc>
        <w:tc>
          <w:tcPr>
            <w:tcW w:w="1609" w:type="dxa"/>
            <w:vAlign w:val="top"/>
            <w:tcBorders>
              <w:bottom w:val="single" w:color="000000" w:sz="2" w:space="0"/>
              <w:top w:val="single" w:color="000000" w:sz="2" w:space="0"/>
            </w:tcBorders>
          </w:tcPr>
          <w:p>
            <w:pPr>
              <w:pStyle w:val="TableText"/>
              <w:ind w:left="555"/>
              <w:spacing w:before="179" w:line="219" w:lineRule="auto"/>
              <w:rPr>
                <w:sz w:val="12"/>
                <w:szCs w:val="12"/>
              </w:rPr>
            </w:pPr>
            <w:r>
              <w:rPr>
                <w:sz w:val="12"/>
                <w:szCs w:val="12"/>
                <w:spacing w:val="3"/>
              </w:rPr>
              <w:t>直接使用</w:t>
            </w:r>
          </w:p>
        </w:tc>
        <w:tc>
          <w:tcPr>
            <w:tcW w:w="1029" w:type="dxa"/>
            <w:vAlign w:val="top"/>
            <w:vMerge w:val="restart"/>
            <w:tcBorders>
              <w:bottom w:val="nil"/>
              <w:top w:val="single" w:color="000000" w:sz="2" w:space="0"/>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05" w:hanging="89"/>
              <w:spacing w:before="40" w:line="233" w:lineRule="auto"/>
              <w:rPr>
                <w:sz w:val="12"/>
                <w:szCs w:val="12"/>
              </w:rPr>
            </w:pPr>
            <w:r>
              <w:rPr>
                <w:sz w:val="12"/>
                <w:szCs w:val="12"/>
                <w:spacing w:val="-2"/>
              </w:rPr>
              <w:t>一般用1次，视现场</w:t>
            </w:r>
            <w:r>
              <w:rPr>
                <w:sz w:val="12"/>
                <w:szCs w:val="12"/>
              </w:rPr>
              <w:t xml:space="preserve"> </w:t>
            </w:r>
            <w:r>
              <w:rPr>
                <w:sz w:val="12"/>
                <w:szCs w:val="12"/>
                <w:spacing w:val="-2"/>
              </w:rPr>
              <w:t>情况可增加次数</w:t>
            </w:r>
          </w:p>
        </w:tc>
        <w:tc>
          <w:tcPr>
            <w:tcW w:w="719" w:type="dxa"/>
            <w:vAlign w:val="top"/>
            <w:tcBorders>
              <w:bottom w:val="single" w:color="000000" w:sz="2" w:space="0"/>
              <w:top w:val="single" w:color="000000" w:sz="2" w:space="0"/>
            </w:tcBorders>
          </w:tcPr>
          <w:p>
            <w:pPr>
              <w:pStyle w:val="TableText"/>
              <w:ind w:left="177"/>
              <w:spacing w:before="176" w:line="213" w:lineRule="auto"/>
              <w:rPr>
                <w:sz w:val="12"/>
                <w:szCs w:val="12"/>
              </w:rPr>
            </w:pPr>
            <w:r>
              <w:rPr>
                <w:sz w:val="12"/>
                <w:szCs w:val="12"/>
                <w:spacing w:val="-2"/>
              </w:rPr>
              <w:t>10g/包</w:t>
            </w:r>
          </w:p>
        </w:tc>
        <w:tc>
          <w:tcPr>
            <w:tcW w:w="2783" w:type="dxa"/>
            <w:vAlign w:val="top"/>
            <w:tcBorders>
              <w:bottom w:val="single" w:color="000000" w:sz="2" w:space="0"/>
              <w:top w:val="single" w:color="000000" w:sz="2" w:space="0"/>
            </w:tcBorders>
          </w:tcPr>
          <w:p>
            <w:pPr>
              <w:pStyle w:val="TableText"/>
              <w:ind w:left="18"/>
              <w:spacing w:before="179" w:line="219" w:lineRule="auto"/>
              <w:rPr>
                <w:sz w:val="12"/>
                <w:szCs w:val="12"/>
              </w:rPr>
            </w:pPr>
            <w:r>
              <w:rPr>
                <w:sz w:val="12"/>
                <w:szCs w:val="12"/>
                <w:spacing w:val="-1"/>
              </w:rPr>
              <w:t>每次每棵树用药1-2袋</w:t>
            </w:r>
          </w:p>
        </w:tc>
      </w:tr>
      <w:tr>
        <w:trPr>
          <w:trHeight w:val="4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70" w:line="219" w:lineRule="auto"/>
              <w:rPr>
                <w:sz w:val="12"/>
                <w:szCs w:val="12"/>
              </w:rPr>
            </w:pPr>
            <w:r>
              <w:rPr>
                <w:sz w:val="12"/>
                <w:szCs w:val="12"/>
                <w:spacing w:val="1"/>
              </w:rPr>
              <w:t>国光毒枪</w:t>
            </w:r>
          </w:p>
        </w:tc>
        <w:tc>
          <w:tcPr>
            <w:tcW w:w="1859" w:type="dxa"/>
            <w:vAlign w:val="top"/>
            <w:tcBorders>
              <w:bottom w:val="single" w:color="000000" w:sz="2" w:space="0"/>
              <w:top w:val="single" w:color="000000" w:sz="2" w:space="0"/>
            </w:tcBorders>
          </w:tcPr>
          <w:p>
            <w:pPr>
              <w:pStyle w:val="TableText"/>
              <w:ind w:left="414"/>
              <w:spacing w:before="170" w:line="219" w:lineRule="auto"/>
              <w:rPr>
                <w:sz w:val="12"/>
                <w:szCs w:val="12"/>
              </w:rPr>
            </w:pPr>
            <w:r>
              <w:rPr>
                <w:sz w:val="12"/>
                <w:szCs w:val="12"/>
                <w:spacing w:val="-1"/>
              </w:rPr>
              <w:t>45%丙溴辛硫磷乳油</w:t>
            </w:r>
          </w:p>
        </w:tc>
        <w:tc>
          <w:tcPr>
            <w:tcW w:w="1609" w:type="dxa"/>
            <w:vAlign w:val="top"/>
            <w:tcBorders>
              <w:bottom w:val="single" w:color="000000" w:sz="2" w:space="0"/>
              <w:top w:val="single" w:color="000000" w:sz="2" w:space="0"/>
            </w:tcBorders>
          </w:tcPr>
          <w:p>
            <w:pPr>
              <w:pStyle w:val="TableText"/>
              <w:ind w:left="555"/>
              <w:spacing w:before="170" w:line="220" w:lineRule="auto"/>
              <w:rPr>
                <w:sz w:val="12"/>
                <w:szCs w:val="12"/>
              </w:rPr>
            </w:pPr>
            <w:r>
              <w:rPr>
                <w:sz w:val="12"/>
                <w:szCs w:val="12"/>
                <w:spacing w:val="-2"/>
              </w:rPr>
              <w:t>5-10倍液</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17"/>
              <w:spacing w:before="171"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ind w:left="18"/>
              <w:spacing w:before="170" w:line="219" w:lineRule="auto"/>
              <w:rPr>
                <w:sz w:val="12"/>
                <w:szCs w:val="12"/>
              </w:rPr>
            </w:pPr>
            <w:r>
              <w:rPr>
                <w:sz w:val="12"/>
                <w:szCs w:val="12"/>
                <w:spacing w:val="-1"/>
              </w:rPr>
              <w:t>注射虫洞，黄泥封洞</w:t>
            </w:r>
          </w:p>
        </w:tc>
      </w:tr>
      <w:tr>
        <w:trPr>
          <w:trHeight w:val="50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90" w:line="218" w:lineRule="auto"/>
              <w:rPr>
                <w:sz w:val="12"/>
                <w:szCs w:val="12"/>
              </w:rPr>
            </w:pPr>
            <w:r>
              <w:rPr>
                <w:sz w:val="12"/>
                <w:szCs w:val="12"/>
                <w:spacing w:val="1"/>
              </w:rPr>
              <w:t>国光防蛀液剂</w:t>
            </w:r>
          </w:p>
        </w:tc>
        <w:tc>
          <w:tcPr>
            <w:tcW w:w="1859" w:type="dxa"/>
            <w:vAlign w:val="top"/>
            <w:tcBorders>
              <w:bottom w:val="single" w:color="000000" w:sz="2" w:space="0"/>
              <w:top w:val="single" w:color="000000" w:sz="2" w:space="0"/>
            </w:tcBorders>
          </w:tcPr>
          <w:p>
            <w:pPr>
              <w:pStyle w:val="TableText"/>
              <w:ind w:left="654"/>
              <w:spacing w:before="190" w:line="219" w:lineRule="auto"/>
              <w:rPr>
                <w:sz w:val="12"/>
                <w:szCs w:val="12"/>
              </w:rPr>
            </w:pPr>
            <w:r>
              <w:rPr>
                <w:sz w:val="12"/>
                <w:szCs w:val="12"/>
                <w:spacing w:val="-1"/>
              </w:rPr>
              <w:t>0.3氯菊酩</w:t>
            </w:r>
          </w:p>
        </w:tc>
        <w:tc>
          <w:tcPr>
            <w:tcW w:w="1609" w:type="dxa"/>
            <w:vAlign w:val="top"/>
            <w:tcBorders>
              <w:bottom w:val="single" w:color="000000" w:sz="2" w:space="0"/>
              <w:top w:val="single" w:color="000000" w:sz="2" w:space="0"/>
            </w:tcBorders>
          </w:tcPr>
          <w:p>
            <w:pPr>
              <w:pStyle w:val="TableText"/>
              <w:ind w:left="555"/>
              <w:spacing w:before="190" w:line="219" w:lineRule="auto"/>
              <w:rPr>
                <w:sz w:val="12"/>
                <w:szCs w:val="12"/>
              </w:rPr>
            </w:pPr>
            <w:r>
              <w:rPr>
                <w:sz w:val="12"/>
                <w:szCs w:val="12"/>
                <w:spacing w:val="3"/>
              </w:rPr>
              <w:t>直接使用</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47"/>
              <w:spacing w:before="191" w:line="220" w:lineRule="auto"/>
              <w:rPr>
                <w:sz w:val="12"/>
                <w:szCs w:val="12"/>
              </w:rPr>
            </w:pPr>
            <w:r>
              <w:rPr>
                <w:sz w:val="12"/>
                <w:szCs w:val="12"/>
                <w:spacing w:val="-1"/>
              </w:rPr>
              <w:t>20nl/支</w:t>
            </w:r>
          </w:p>
        </w:tc>
        <w:tc>
          <w:tcPr>
            <w:tcW w:w="2783" w:type="dxa"/>
            <w:vAlign w:val="top"/>
            <w:tcBorders>
              <w:bottom w:val="single" w:color="000000" w:sz="2" w:space="0"/>
              <w:top w:val="single" w:color="000000" w:sz="2" w:space="0"/>
            </w:tcBorders>
          </w:tcPr>
          <w:p>
            <w:pPr>
              <w:pStyle w:val="TableText"/>
              <w:ind w:left="18"/>
              <w:spacing w:before="131" w:line="249" w:lineRule="auto"/>
              <w:rPr>
                <w:sz w:val="12"/>
                <w:szCs w:val="12"/>
              </w:rPr>
            </w:pPr>
            <w:r>
              <w:rPr>
                <w:sz w:val="12"/>
                <w:szCs w:val="12"/>
              </w:rPr>
              <w:t>专杀蛀杆性害虫胸径8-10cm用1支，每增加</w:t>
            </w:r>
            <w:r>
              <w:rPr>
                <w:sz w:val="12"/>
                <w:szCs w:val="12"/>
                <w:spacing w:val="-1"/>
              </w:rPr>
              <w:t>10cm增加1</w:t>
            </w:r>
            <w:r>
              <w:rPr>
                <w:sz w:val="12"/>
                <w:szCs w:val="12"/>
              </w:rPr>
              <w:t xml:space="preserve"> </w:t>
            </w:r>
            <w:r>
              <w:rPr>
                <w:sz w:val="12"/>
                <w:szCs w:val="12"/>
              </w:rPr>
              <w:t>支</w:t>
            </w:r>
          </w:p>
        </w:tc>
      </w:tr>
      <w:tr>
        <w:trPr>
          <w:trHeight w:val="4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71" w:line="220" w:lineRule="auto"/>
              <w:rPr>
                <w:sz w:val="12"/>
                <w:szCs w:val="12"/>
              </w:rPr>
            </w:pPr>
            <w:r>
              <w:rPr>
                <w:sz w:val="12"/>
                <w:szCs w:val="12"/>
                <w:spacing w:val="-1"/>
              </w:rPr>
              <w:t>广昆白蚁药</w:t>
            </w:r>
          </w:p>
        </w:tc>
        <w:tc>
          <w:tcPr>
            <w:tcW w:w="1859" w:type="dxa"/>
            <w:vAlign w:val="top"/>
            <w:tcBorders>
              <w:bottom w:val="single" w:color="000000" w:sz="2" w:space="0"/>
              <w:top w:val="single" w:color="000000" w:sz="2" w:space="0"/>
            </w:tcBorders>
          </w:tcPr>
          <w:p>
            <w:pPr>
              <w:pStyle w:val="TableText"/>
              <w:ind w:left="894"/>
              <w:spacing w:before="174" w:line="224" w:lineRule="auto"/>
              <w:rPr>
                <w:sz w:val="12"/>
                <w:szCs w:val="12"/>
              </w:rPr>
            </w:pPr>
            <w:r>
              <w:rPr>
                <w:sz w:val="12"/>
                <w:szCs w:val="12"/>
                <w:color w:val="505050"/>
              </w:rPr>
              <w:t>/</w:t>
            </w:r>
          </w:p>
        </w:tc>
        <w:tc>
          <w:tcPr>
            <w:tcW w:w="1609" w:type="dxa"/>
            <w:vAlign w:val="top"/>
            <w:tcBorders>
              <w:bottom w:val="single" w:color="000000" w:sz="2" w:space="0"/>
              <w:top w:val="single" w:color="000000" w:sz="2" w:space="0"/>
            </w:tcBorders>
          </w:tcPr>
          <w:p>
            <w:pPr>
              <w:pStyle w:val="TableText"/>
              <w:ind w:left="555"/>
              <w:spacing w:before="171" w:line="219" w:lineRule="auto"/>
              <w:rPr>
                <w:sz w:val="12"/>
                <w:szCs w:val="12"/>
              </w:rPr>
            </w:pPr>
            <w:r>
              <w:rPr>
                <w:sz w:val="12"/>
                <w:szCs w:val="12"/>
                <w:spacing w:val="3"/>
              </w:rPr>
              <w:t>直接使用</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77"/>
              <w:spacing w:before="167" w:line="213" w:lineRule="auto"/>
              <w:rPr>
                <w:sz w:val="12"/>
                <w:szCs w:val="12"/>
              </w:rPr>
            </w:pPr>
            <w:r>
              <w:rPr>
                <w:sz w:val="12"/>
                <w:szCs w:val="12"/>
                <w:spacing w:val="-1"/>
              </w:rPr>
              <w:t>30g/瓶</w:t>
            </w:r>
          </w:p>
        </w:tc>
        <w:tc>
          <w:tcPr>
            <w:tcW w:w="2783" w:type="dxa"/>
            <w:vAlign w:val="top"/>
            <w:tcBorders>
              <w:bottom w:val="single" w:color="000000" w:sz="2" w:space="0"/>
              <w:top w:val="single" w:color="000000" w:sz="2" w:space="0"/>
            </w:tcBorders>
          </w:tcPr>
          <w:p>
            <w:pPr>
              <w:pStyle w:val="TableText"/>
              <w:ind w:left="18"/>
              <w:spacing w:before="171" w:line="219" w:lineRule="auto"/>
              <w:rPr>
                <w:sz w:val="12"/>
                <w:szCs w:val="12"/>
              </w:rPr>
            </w:pPr>
            <w:r>
              <w:rPr>
                <w:sz w:val="12"/>
                <w:szCs w:val="12"/>
                <w:spacing w:val="-1"/>
              </w:rPr>
              <w:t>治理白蚁专用效果好</w:t>
            </w:r>
          </w:p>
        </w:tc>
      </w:tr>
      <w:tr>
        <w:trPr>
          <w:trHeight w:val="49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153"/>
              <w:spacing w:before="191" w:line="218" w:lineRule="auto"/>
              <w:rPr>
                <w:sz w:val="12"/>
                <w:szCs w:val="12"/>
              </w:rPr>
            </w:pPr>
            <w:r>
              <w:rPr>
                <w:sz w:val="12"/>
                <w:szCs w:val="12"/>
                <w:spacing w:val="1"/>
              </w:rPr>
              <w:t>中威蛀干害虫专用</w:t>
            </w:r>
          </w:p>
        </w:tc>
        <w:tc>
          <w:tcPr>
            <w:tcW w:w="1859" w:type="dxa"/>
            <w:vAlign w:val="top"/>
            <w:tcBorders>
              <w:bottom w:val="single" w:color="000000" w:sz="2" w:space="0"/>
              <w:top w:val="single" w:color="000000" w:sz="2" w:space="0"/>
            </w:tcBorders>
          </w:tcPr>
          <w:p>
            <w:pPr>
              <w:pStyle w:val="TableText"/>
              <w:ind w:left="234"/>
              <w:spacing w:before="191" w:line="219" w:lineRule="auto"/>
              <w:rPr>
                <w:sz w:val="12"/>
                <w:szCs w:val="12"/>
              </w:rPr>
            </w:pPr>
            <w:r>
              <w:rPr>
                <w:sz w:val="12"/>
                <w:szCs w:val="12"/>
                <w:spacing w:val="-8"/>
              </w:rPr>
              <w:t>氟戊</w:t>
            </w:r>
            <w:r>
              <w:rPr>
                <w:sz w:val="12"/>
                <w:szCs w:val="12"/>
                <w:spacing w:val="-9"/>
              </w:rPr>
              <w:t xml:space="preserve"> </w:t>
            </w:r>
            <w:r>
              <w:rPr>
                <w:sz w:val="12"/>
                <w:szCs w:val="12"/>
                <w:spacing w:val="-8"/>
              </w:rPr>
              <w:t>·马拉松</w:t>
            </w:r>
            <w:r>
              <w:rPr>
                <w:sz w:val="12"/>
                <w:szCs w:val="12"/>
                <w:spacing w:val="-14"/>
              </w:rPr>
              <w:t xml:space="preserve"> </w:t>
            </w:r>
            <w:r>
              <w:rPr>
                <w:sz w:val="12"/>
                <w:szCs w:val="12"/>
                <w:spacing w:val="-8"/>
              </w:rPr>
              <w:t>·苦参碱20%</w:t>
            </w:r>
          </w:p>
        </w:tc>
        <w:tc>
          <w:tcPr>
            <w:tcW w:w="1609" w:type="dxa"/>
            <w:vAlign w:val="top"/>
            <w:tcBorders>
              <w:bottom w:val="single" w:color="000000" w:sz="2" w:space="0"/>
              <w:top w:val="single" w:color="000000" w:sz="2" w:space="0"/>
            </w:tcBorders>
          </w:tcPr>
          <w:p>
            <w:pPr>
              <w:pStyle w:val="TableText"/>
              <w:ind w:left="555"/>
              <w:spacing w:before="191" w:line="219" w:lineRule="auto"/>
              <w:rPr>
                <w:sz w:val="12"/>
                <w:szCs w:val="12"/>
              </w:rPr>
            </w:pPr>
            <w:r>
              <w:rPr>
                <w:sz w:val="12"/>
                <w:szCs w:val="12"/>
                <w:spacing w:val="3"/>
              </w:rPr>
              <w:t>直接使用</w:t>
            </w:r>
          </w:p>
        </w:tc>
        <w:tc>
          <w:tcPr>
            <w:tcW w:w="1029" w:type="dxa"/>
            <w:vAlign w:val="top"/>
            <w:vMerge w:val="continue"/>
            <w:tcBorders>
              <w:bottom w:val="single" w:color="000000" w:sz="2" w:space="0"/>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47"/>
              <w:spacing w:before="192" w:line="220" w:lineRule="auto"/>
              <w:rPr>
                <w:sz w:val="12"/>
                <w:szCs w:val="12"/>
              </w:rPr>
            </w:pPr>
            <w:r>
              <w:rPr>
                <w:sz w:val="12"/>
                <w:szCs w:val="12"/>
                <w:spacing w:val="-1"/>
              </w:rPr>
              <w:t>20ml/支</w:t>
            </w:r>
          </w:p>
        </w:tc>
        <w:tc>
          <w:tcPr>
            <w:tcW w:w="2783" w:type="dxa"/>
            <w:vAlign w:val="top"/>
            <w:tcBorders>
              <w:bottom w:val="single" w:color="000000" w:sz="2" w:space="0"/>
              <w:top w:val="single" w:color="000000" w:sz="2" w:space="0"/>
            </w:tcBorders>
          </w:tcPr>
          <w:p>
            <w:pPr>
              <w:pStyle w:val="TableText"/>
              <w:ind w:left="18"/>
              <w:spacing w:before="132" w:line="223" w:lineRule="auto"/>
              <w:rPr>
                <w:sz w:val="12"/>
                <w:szCs w:val="12"/>
              </w:rPr>
            </w:pPr>
            <w:r>
              <w:rPr>
                <w:sz w:val="12"/>
                <w:szCs w:val="12"/>
                <w:spacing w:val="-1"/>
              </w:rPr>
              <w:t>针对天牛幼虫，吉丁虫。松材线虫等蛀干害虫效果明</w:t>
            </w:r>
            <w:r>
              <w:rPr>
                <w:sz w:val="12"/>
                <w:szCs w:val="12"/>
                <w:spacing w:val="16"/>
                <w:w w:val="101"/>
              </w:rPr>
              <w:t xml:space="preserve"> </w:t>
            </w:r>
            <w:r>
              <w:rPr>
                <w:sz w:val="12"/>
                <w:szCs w:val="12"/>
              </w:rPr>
              <w:t>显</w:t>
            </w:r>
          </w:p>
        </w:tc>
      </w:tr>
      <w:tr>
        <w:trPr>
          <w:trHeight w:val="475" w:hRule="atLeast"/>
        </w:trPr>
        <w:tc>
          <w:tcPr>
            <w:tcW w:w="415" w:type="dxa"/>
            <w:vAlign w:val="top"/>
            <w:vMerge w:val="continue"/>
            <w:tcBorders>
              <w:bottom w:val="nil"/>
              <w:top w:val="nil"/>
            </w:tcBorders>
          </w:tcPr>
          <w:p>
            <w:pPr>
              <w:rPr>
                <w:rFonts w:ascii="Arial"/>
                <w:sz w:val="21"/>
              </w:rPr>
            </w:pPr>
            <w:r/>
          </w:p>
        </w:tc>
        <w:tc>
          <w:tcPr>
            <w:tcW w:w="560" w:type="dxa"/>
            <w:vAlign w:val="top"/>
            <w:vMerge w:val="restart"/>
            <w:tcBorders>
              <w:bottom w:val="nil"/>
              <w:top w:val="single" w:color="000000" w:sz="2" w:space="0"/>
            </w:tcBorders>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pStyle w:val="TableText"/>
              <w:ind w:left="30"/>
              <w:spacing w:before="39" w:line="220" w:lineRule="auto"/>
              <w:rPr>
                <w:sz w:val="12"/>
                <w:szCs w:val="12"/>
              </w:rPr>
            </w:pPr>
            <w:r>
              <w:rPr>
                <w:sz w:val="12"/>
                <w:szCs w:val="12"/>
                <w:spacing w:val="-1"/>
              </w:rPr>
              <w:t>地下害虫</w:t>
            </w:r>
          </w:p>
        </w:tc>
        <w:tc>
          <w:tcPr>
            <w:tcW w:w="939" w:type="dxa"/>
            <w:vAlign w:val="top"/>
            <w:vMerge w:val="restart"/>
            <w:tcBorders>
              <w:bottom w:val="nil"/>
              <w:top w:val="single" w:color="000000" w:sz="2" w:space="0"/>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pStyle w:val="TableText"/>
              <w:ind w:left="70"/>
              <w:spacing w:before="39" w:line="215" w:lineRule="auto"/>
              <w:rPr>
                <w:sz w:val="12"/>
                <w:szCs w:val="12"/>
              </w:rPr>
            </w:pPr>
            <w:r>
              <w:rPr>
                <w:sz w:val="12"/>
                <w:szCs w:val="12"/>
                <w:spacing w:val="-1"/>
              </w:rPr>
              <w:t>江火蚁、白蚁。</w:t>
            </w:r>
          </w:p>
          <w:p>
            <w:pPr>
              <w:pStyle w:val="TableText"/>
              <w:ind w:left="40"/>
              <w:spacing w:line="210" w:lineRule="auto"/>
              <w:rPr>
                <w:sz w:val="12"/>
                <w:szCs w:val="12"/>
              </w:rPr>
            </w:pPr>
            <w:r>
              <w:rPr>
                <w:sz w:val="12"/>
                <w:szCs w:val="12"/>
                <w:spacing w:val="6"/>
              </w:rPr>
              <w:t>蛴蜡、地老虎、</w:t>
            </w:r>
            <w:r>
              <w:rPr>
                <w:sz w:val="12"/>
                <w:szCs w:val="12"/>
                <w:spacing w:val="5"/>
              </w:rPr>
              <w:t xml:space="preserve"> </w:t>
            </w:r>
            <w:r>
              <w:rPr>
                <w:sz w:val="12"/>
                <w:szCs w:val="12"/>
                <w:spacing w:val="-2"/>
              </w:rPr>
              <w:t>其他土中虫卵</w:t>
            </w:r>
          </w:p>
        </w:tc>
        <w:tc>
          <w:tcPr>
            <w:tcW w:w="2668" w:type="dxa"/>
            <w:vAlign w:val="top"/>
            <w:vMerge w:val="restart"/>
            <w:tcBorders>
              <w:bottom w:val="nil"/>
              <w:top w:val="single" w:color="000000" w:sz="2" w:space="0"/>
            </w:tcBorders>
          </w:tcPr>
          <w:p>
            <w:pPr>
              <w:spacing w:line="304" w:lineRule="auto"/>
              <w:rPr>
                <w:rFonts w:ascii="Arial"/>
                <w:sz w:val="21"/>
              </w:rPr>
            </w:pPr>
            <w:r/>
          </w:p>
          <w:p>
            <w:pPr>
              <w:spacing w:line="305" w:lineRule="auto"/>
              <w:rPr>
                <w:rFonts w:ascii="Arial"/>
                <w:sz w:val="21"/>
              </w:rPr>
            </w:pPr>
            <w:r/>
          </w:p>
          <w:p>
            <w:pPr>
              <w:pStyle w:val="TableText"/>
              <w:ind w:left="1" w:firstLine="9"/>
              <w:spacing w:before="39" w:line="227" w:lineRule="auto"/>
              <w:rPr>
                <w:sz w:val="12"/>
                <w:szCs w:val="12"/>
              </w:rPr>
            </w:pPr>
            <w:r>
              <w:rPr>
                <w:sz w:val="12"/>
                <w:szCs w:val="12"/>
                <w:spacing w:val="-2"/>
              </w:rPr>
              <w:t>一、红火蚁、白蚁全年都有危害，红火蚁1</w:t>
            </w:r>
            <w:r>
              <w:rPr>
                <w:sz w:val="12"/>
                <w:szCs w:val="12"/>
                <w:spacing w:val="-3"/>
              </w:rPr>
              <w:t>0-11月为</w:t>
            </w:r>
            <w:r>
              <w:rPr>
                <w:sz w:val="12"/>
                <w:szCs w:val="12"/>
              </w:rPr>
              <w:t xml:space="preserve"> </w:t>
            </w:r>
            <w:r>
              <w:rPr>
                <w:sz w:val="12"/>
                <w:szCs w:val="12"/>
                <w:spacing w:val="-1"/>
              </w:rPr>
              <w:t>危害高峰，主要危害植物的幼芽、嫩茎与根系，同</w:t>
            </w:r>
            <w:r>
              <w:rPr>
                <w:sz w:val="12"/>
                <w:szCs w:val="12"/>
                <w:spacing w:val="14"/>
              </w:rPr>
              <w:t xml:space="preserve"> </w:t>
            </w:r>
            <w:r>
              <w:rPr>
                <w:sz w:val="12"/>
                <w:szCs w:val="12"/>
                <w:spacing w:val="-2"/>
              </w:rPr>
              <w:t>时还会盐咬人：白蚁6-8月会进行婚飞扩散，大量繁</w:t>
            </w:r>
            <w:r>
              <w:rPr>
                <w:sz w:val="12"/>
                <w:szCs w:val="12"/>
                <w:spacing w:val="3"/>
              </w:rPr>
              <w:t xml:space="preserve"> </w:t>
            </w:r>
            <w:r>
              <w:rPr>
                <w:sz w:val="12"/>
                <w:szCs w:val="12"/>
              </w:rPr>
              <w:t>殖影响大树的根系，注意巡查，及时发现蚁穴，投</w:t>
            </w:r>
            <w:r>
              <w:rPr>
                <w:sz w:val="12"/>
                <w:szCs w:val="12"/>
                <w:spacing w:val="3"/>
              </w:rPr>
              <w:t xml:space="preserve"> </w:t>
            </w:r>
            <w:r>
              <w:rPr>
                <w:sz w:val="12"/>
                <w:szCs w:val="12"/>
                <w:spacing w:val="1"/>
              </w:rPr>
              <w:t>放蚊药防泊：</w:t>
            </w:r>
          </w:p>
          <w:p>
            <w:pPr>
              <w:pStyle w:val="TableText"/>
              <w:ind w:left="11" w:right="53" w:firstLine="19"/>
              <w:spacing w:line="215" w:lineRule="auto"/>
              <w:rPr>
                <w:sz w:val="12"/>
                <w:szCs w:val="12"/>
              </w:rPr>
            </w:pPr>
            <w:r>
              <w:rPr>
                <w:sz w:val="12"/>
                <w:szCs w:val="12"/>
                <w:spacing w:val="-1"/>
              </w:rPr>
              <w:t>二.9-11月小地老虎、黄地老虎主要危害草坪，地</w:t>
            </w:r>
            <w:r>
              <w:rPr>
                <w:sz w:val="12"/>
                <w:szCs w:val="12"/>
                <w:spacing w:val="16"/>
              </w:rPr>
              <w:t xml:space="preserve"> </w:t>
            </w:r>
            <w:r>
              <w:rPr>
                <w:sz w:val="12"/>
                <w:szCs w:val="12"/>
                <w:spacing w:val="10"/>
              </w:rPr>
              <w:t>被植物根系；</w:t>
            </w:r>
          </w:p>
          <w:p>
            <w:pPr>
              <w:pStyle w:val="TableText"/>
              <w:ind w:left="11"/>
              <w:spacing w:line="219" w:lineRule="auto"/>
              <w:rPr>
                <w:sz w:val="12"/>
                <w:szCs w:val="12"/>
              </w:rPr>
            </w:pPr>
            <w:r>
              <w:rPr>
                <w:sz w:val="12"/>
                <w:szCs w:val="12"/>
              </w:rPr>
              <w:t>三、蛴绩4-6月、9-10月危害植物的根茎部。</w:t>
            </w:r>
          </w:p>
        </w:tc>
        <w:tc>
          <w:tcPr>
            <w:tcW w:w="1279" w:type="dxa"/>
            <w:vAlign w:val="top"/>
            <w:tcBorders>
              <w:bottom w:val="single" w:color="000000" w:sz="2" w:space="0"/>
              <w:top w:val="single" w:color="000000" w:sz="2" w:space="0"/>
            </w:tcBorders>
          </w:tcPr>
          <w:p>
            <w:pPr>
              <w:pStyle w:val="TableText"/>
              <w:ind w:left="453"/>
              <w:spacing w:before="182" w:line="219" w:lineRule="auto"/>
              <w:rPr>
                <w:sz w:val="12"/>
                <w:szCs w:val="12"/>
              </w:rPr>
            </w:pPr>
            <w:r>
              <w:rPr>
                <w:sz w:val="12"/>
                <w:szCs w:val="12"/>
                <w:spacing w:val="-2"/>
              </w:rPr>
              <w:t>倍睹松</w:t>
            </w:r>
          </w:p>
        </w:tc>
        <w:tc>
          <w:tcPr>
            <w:tcW w:w="1859" w:type="dxa"/>
            <w:vAlign w:val="top"/>
            <w:tcBorders>
              <w:bottom w:val="single" w:color="000000" w:sz="2" w:space="0"/>
              <w:top w:val="single" w:color="000000" w:sz="2" w:space="0"/>
            </w:tcBorders>
          </w:tcPr>
          <w:p>
            <w:pPr>
              <w:pStyle w:val="TableText"/>
              <w:ind w:left="744"/>
              <w:spacing w:before="182" w:line="219" w:lineRule="auto"/>
              <w:rPr>
                <w:sz w:val="12"/>
                <w:szCs w:val="12"/>
              </w:rPr>
            </w:pPr>
            <w:r>
              <w:rPr>
                <w:sz w:val="12"/>
                <w:szCs w:val="12"/>
                <w:spacing w:val="-2"/>
              </w:rPr>
              <w:t>辛硫磷</w:t>
            </w:r>
          </w:p>
        </w:tc>
        <w:tc>
          <w:tcPr>
            <w:tcW w:w="1609" w:type="dxa"/>
            <w:vAlign w:val="top"/>
            <w:tcBorders>
              <w:bottom w:val="single" w:color="000000" w:sz="2" w:space="0"/>
              <w:top w:val="single" w:color="000000" w:sz="2" w:space="0"/>
            </w:tcBorders>
          </w:tcPr>
          <w:p>
            <w:pPr>
              <w:pStyle w:val="TableText"/>
              <w:ind w:left="255"/>
              <w:spacing w:before="182" w:line="220" w:lineRule="auto"/>
              <w:rPr>
                <w:sz w:val="12"/>
                <w:szCs w:val="12"/>
              </w:rPr>
            </w:pPr>
            <w:r>
              <w:rPr>
                <w:sz w:val="12"/>
                <w:szCs w:val="12"/>
                <w:spacing w:val="-1"/>
              </w:rPr>
              <w:t>50%乳油1000-2000倍</w:t>
            </w:r>
          </w:p>
        </w:tc>
        <w:tc>
          <w:tcPr>
            <w:tcW w:w="1029" w:type="dxa"/>
            <w:vAlign w:val="top"/>
            <w:vMerge w:val="restart"/>
            <w:tcBorders>
              <w:bottom w:val="nil"/>
              <w:top w:val="single" w:color="000000" w:sz="2" w:space="0"/>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pStyle w:val="TableText"/>
              <w:ind w:left="85" w:hanging="69"/>
              <w:spacing w:before="39" w:line="248" w:lineRule="auto"/>
              <w:rPr>
                <w:sz w:val="12"/>
                <w:szCs w:val="12"/>
              </w:rPr>
            </w:pPr>
            <w:r>
              <w:rPr>
                <w:sz w:val="12"/>
                <w:szCs w:val="12"/>
                <w:spacing w:val="-2"/>
              </w:rPr>
              <w:t>一般用1次，视现场</w:t>
            </w:r>
            <w:r>
              <w:rPr>
                <w:sz w:val="12"/>
                <w:szCs w:val="12"/>
              </w:rPr>
              <w:t xml:space="preserve"> </w:t>
            </w:r>
            <w:r>
              <w:rPr>
                <w:sz w:val="12"/>
                <w:szCs w:val="12"/>
                <w:spacing w:val="-2"/>
              </w:rPr>
              <w:t>情况可增加次数</w:t>
            </w:r>
          </w:p>
        </w:tc>
        <w:tc>
          <w:tcPr>
            <w:tcW w:w="719" w:type="dxa"/>
            <w:vAlign w:val="top"/>
            <w:tcBorders>
              <w:bottom w:val="single" w:color="000000" w:sz="2" w:space="0"/>
              <w:top w:val="single" w:color="000000" w:sz="2" w:space="0"/>
            </w:tcBorders>
          </w:tcPr>
          <w:p>
            <w:pPr>
              <w:pStyle w:val="TableText"/>
              <w:ind w:left="177"/>
              <w:spacing w:before="178" w:line="213" w:lineRule="auto"/>
              <w:rPr>
                <w:sz w:val="12"/>
                <w:szCs w:val="12"/>
              </w:rPr>
            </w:pPr>
            <w:r>
              <w:rPr>
                <w:sz w:val="12"/>
                <w:szCs w:val="12"/>
                <w:spacing w:val="-1"/>
              </w:rPr>
              <w:t>30g/袋</w:t>
            </w:r>
          </w:p>
        </w:tc>
        <w:tc>
          <w:tcPr>
            <w:tcW w:w="2783" w:type="dxa"/>
            <w:vAlign w:val="top"/>
            <w:tcBorders>
              <w:bottom w:val="single" w:color="000000" w:sz="2" w:space="0"/>
              <w:top w:val="single" w:color="000000" w:sz="2" w:space="0"/>
            </w:tcBorders>
          </w:tcPr>
          <w:p>
            <w:pPr>
              <w:pStyle w:val="TableText"/>
              <w:ind w:left="18"/>
              <w:spacing w:before="182" w:line="218" w:lineRule="auto"/>
              <w:rPr>
                <w:sz w:val="12"/>
                <w:szCs w:val="12"/>
              </w:rPr>
            </w:pPr>
            <w:r>
              <w:rPr>
                <w:sz w:val="12"/>
                <w:szCs w:val="12"/>
                <w:spacing w:val="-1"/>
              </w:rPr>
              <w:t>采用灌浇和灌心防治地下害虫地老虎</w:t>
            </w:r>
          </w:p>
        </w:tc>
      </w:tr>
      <w:tr>
        <w:trPr>
          <w:trHeight w:val="49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91" w:line="219" w:lineRule="auto"/>
              <w:rPr>
                <w:sz w:val="12"/>
                <w:szCs w:val="12"/>
              </w:rPr>
            </w:pPr>
            <w:r>
              <w:rPr>
                <w:sz w:val="12"/>
                <w:szCs w:val="12"/>
                <w:spacing w:val="1"/>
              </w:rPr>
              <w:t>国光勉杀</w:t>
            </w:r>
          </w:p>
        </w:tc>
        <w:tc>
          <w:tcPr>
            <w:tcW w:w="1859" w:type="dxa"/>
            <w:vAlign w:val="top"/>
            <w:tcBorders>
              <w:bottom w:val="single" w:color="000000" w:sz="2" w:space="0"/>
              <w:top w:val="single" w:color="000000" w:sz="2" w:space="0"/>
            </w:tcBorders>
          </w:tcPr>
          <w:p>
            <w:pPr>
              <w:pStyle w:val="TableText"/>
              <w:ind w:left="144"/>
              <w:spacing w:before="191" w:line="218" w:lineRule="auto"/>
              <w:rPr>
                <w:sz w:val="12"/>
                <w:szCs w:val="12"/>
              </w:rPr>
            </w:pPr>
            <w:r>
              <w:rPr>
                <w:sz w:val="12"/>
                <w:szCs w:val="12"/>
                <w:spacing w:val="-4"/>
              </w:rPr>
              <w:t>5%丁硫克百威</w:t>
            </w:r>
            <w:r>
              <w:rPr>
                <w:sz w:val="12"/>
                <w:szCs w:val="12"/>
                <w:spacing w:val="-13"/>
              </w:rPr>
              <w:t xml:space="preserve"> </w:t>
            </w:r>
            <w:r>
              <w:rPr>
                <w:sz w:val="12"/>
                <w:szCs w:val="12"/>
                <w:spacing w:val="-4"/>
              </w:rPr>
              <w:t>·毒死蟀颗粒剂</w:t>
            </w:r>
          </w:p>
        </w:tc>
        <w:tc>
          <w:tcPr>
            <w:tcW w:w="1609" w:type="dxa"/>
            <w:vAlign w:val="top"/>
            <w:tcBorders>
              <w:bottom w:val="single" w:color="000000" w:sz="2" w:space="0"/>
              <w:top w:val="single" w:color="000000" w:sz="2" w:space="0"/>
            </w:tcBorders>
          </w:tcPr>
          <w:p>
            <w:pPr>
              <w:pStyle w:val="TableText"/>
              <w:ind w:left="255"/>
              <w:spacing w:before="188" w:line="213" w:lineRule="auto"/>
              <w:rPr>
                <w:sz w:val="12"/>
                <w:szCs w:val="12"/>
              </w:rPr>
            </w:pPr>
            <w:r>
              <w:rPr>
                <w:sz w:val="12"/>
                <w:szCs w:val="12"/>
                <w:spacing w:val="-1"/>
              </w:rPr>
              <w:t>直接撒施：5-7kg/亩</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77"/>
              <w:spacing w:before="188" w:line="213" w:lineRule="auto"/>
              <w:rPr>
                <w:sz w:val="12"/>
                <w:szCs w:val="12"/>
              </w:rPr>
            </w:pPr>
            <w:r>
              <w:rPr>
                <w:sz w:val="12"/>
                <w:szCs w:val="12"/>
                <w:spacing w:val="-3"/>
              </w:rPr>
              <w:t>Ikg/袋</w:t>
            </w:r>
          </w:p>
        </w:tc>
        <w:tc>
          <w:tcPr>
            <w:tcW w:w="2783" w:type="dxa"/>
            <w:vAlign w:val="top"/>
            <w:tcBorders>
              <w:bottom w:val="single" w:color="000000" w:sz="2" w:space="0"/>
              <w:top w:val="single" w:color="000000" w:sz="2" w:space="0"/>
            </w:tcBorders>
          </w:tcPr>
          <w:p>
            <w:pPr>
              <w:pStyle w:val="TableText"/>
              <w:ind w:left="18"/>
              <w:spacing w:before="191" w:line="219" w:lineRule="auto"/>
              <w:rPr>
                <w:sz w:val="12"/>
                <w:szCs w:val="12"/>
              </w:rPr>
            </w:pPr>
            <w:r>
              <w:rPr>
                <w:sz w:val="12"/>
                <w:szCs w:val="12"/>
                <w:spacing w:val="-1"/>
              </w:rPr>
              <w:t>在土壤中杀灭害虫效果好。使用方便</w:t>
            </w:r>
          </w:p>
        </w:tc>
      </w:tr>
      <w:tr>
        <w:trPr>
          <w:trHeight w:val="4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72" w:line="219" w:lineRule="auto"/>
              <w:rPr>
                <w:sz w:val="12"/>
                <w:szCs w:val="12"/>
              </w:rPr>
            </w:pPr>
            <w:r>
              <w:rPr>
                <w:sz w:val="12"/>
                <w:szCs w:val="12"/>
                <w:spacing w:val="1"/>
              </w:rPr>
              <w:t>国光土杀</w:t>
            </w:r>
          </w:p>
        </w:tc>
        <w:tc>
          <w:tcPr>
            <w:tcW w:w="1859" w:type="dxa"/>
            <w:vAlign w:val="top"/>
            <w:tcBorders>
              <w:bottom w:val="single" w:color="000000" w:sz="2" w:space="0"/>
              <w:top w:val="single" w:color="000000" w:sz="2" w:space="0"/>
            </w:tcBorders>
          </w:tcPr>
          <w:p>
            <w:pPr>
              <w:pStyle w:val="TableText"/>
              <w:ind w:left="414"/>
              <w:spacing w:before="172" w:line="219" w:lineRule="auto"/>
              <w:rPr>
                <w:sz w:val="12"/>
                <w:szCs w:val="12"/>
              </w:rPr>
            </w:pPr>
            <w:r>
              <w:rPr>
                <w:sz w:val="12"/>
                <w:szCs w:val="12"/>
                <w:spacing w:val="-6"/>
              </w:rPr>
              <w:t>毒死蟀</w:t>
            </w:r>
            <w:r>
              <w:rPr>
                <w:sz w:val="12"/>
                <w:szCs w:val="12"/>
                <w:spacing w:val="-7"/>
              </w:rPr>
              <w:t xml:space="preserve"> </w:t>
            </w:r>
            <w:r>
              <w:rPr>
                <w:sz w:val="12"/>
                <w:szCs w:val="12"/>
                <w:spacing w:val="-6"/>
              </w:rPr>
              <w:t>·辛疏磷40%</w:t>
            </w:r>
          </w:p>
        </w:tc>
        <w:tc>
          <w:tcPr>
            <w:tcW w:w="1609" w:type="dxa"/>
            <w:vAlign w:val="top"/>
            <w:tcBorders>
              <w:bottom w:val="single" w:color="000000" w:sz="2" w:space="0"/>
              <w:top w:val="single" w:color="000000" w:sz="2" w:space="0"/>
            </w:tcBorders>
          </w:tcPr>
          <w:p>
            <w:pPr>
              <w:pStyle w:val="TableText"/>
              <w:ind w:left="345"/>
              <w:spacing w:before="172" w:line="219" w:lineRule="auto"/>
              <w:rPr>
                <w:sz w:val="12"/>
                <w:szCs w:val="12"/>
              </w:rPr>
            </w:pPr>
            <w:r>
              <w:rPr>
                <w:sz w:val="12"/>
                <w:szCs w:val="12"/>
                <w:spacing w:val="-5"/>
              </w:rPr>
              <w:t>灌根2000—2500倍</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17"/>
              <w:spacing w:before="172" w:line="221" w:lineRule="auto"/>
              <w:rPr>
                <w:sz w:val="12"/>
                <w:szCs w:val="12"/>
              </w:rPr>
            </w:pPr>
            <w:r>
              <w:rPr>
                <w:sz w:val="12"/>
                <w:szCs w:val="12"/>
                <w:spacing w:val="-1"/>
              </w:rPr>
              <w:t>200ml/瓶</w:t>
            </w:r>
          </w:p>
        </w:tc>
        <w:tc>
          <w:tcPr>
            <w:tcW w:w="2783" w:type="dxa"/>
            <w:vAlign w:val="top"/>
            <w:tcBorders>
              <w:bottom w:val="single" w:color="000000" w:sz="2" w:space="0"/>
              <w:top w:val="single" w:color="000000" w:sz="2" w:space="0"/>
            </w:tcBorders>
          </w:tcPr>
          <w:p>
            <w:pPr>
              <w:pStyle w:val="TableText"/>
              <w:ind w:left="18" w:right="2"/>
              <w:spacing w:before="111" w:line="210" w:lineRule="auto"/>
              <w:rPr>
                <w:sz w:val="12"/>
                <w:szCs w:val="12"/>
              </w:rPr>
            </w:pPr>
            <w:r>
              <w:rPr>
                <w:sz w:val="12"/>
                <w:szCs w:val="12"/>
                <w:spacing w:val="-1"/>
              </w:rPr>
              <w:t>杀灭蛴蜡、蝼帖，蚯蚓等地下害虫和粘虫，蚜虫，青</w:t>
            </w:r>
            <w:r>
              <w:rPr>
                <w:sz w:val="12"/>
                <w:szCs w:val="12"/>
                <w:spacing w:val="14"/>
              </w:rPr>
              <w:t xml:space="preserve"> </w:t>
            </w:r>
            <w:r>
              <w:rPr>
                <w:sz w:val="12"/>
                <w:szCs w:val="12"/>
                <w:spacing w:val="-2"/>
              </w:rPr>
              <w:t>虫、蚂蚁等</w:t>
            </w:r>
          </w:p>
        </w:tc>
      </w:tr>
      <w:tr>
        <w:trPr>
          <w:trHeight w:val="48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82" w:line="220" w:lineRule="auto"/>
              <w:rPr>
                <w:sz w:val="12"/>
                <w:szCs w:val="12"/>
              </w:rPr>
            </w:pPr>
            <w:r>
              <w:rPr>
                <w:sz w:val="12"/>
                <w:szCs w:val="12"/>
              </w:rPr>
              <w:t>中威击绿健</w:t>
            </w:r>
          </w:p>
        </w:tc>
        <w:tc>
          <w:tcPr>
            <w:tcW w:w="1859" w:type="dxa"/>
            <w:vAlign w:val="top"/>
            <w:tcBorders>
              <w:bottom w:val="single" w:color="000000" w:sz="2" w:space="0"/>
              <w:top w:val="single" w:color="000000" w:sz="2" w:space="0"/>
            </w:tcBorders>
          </w:tcPr>
          <w:p>
            <w:pPr>
              <w:pStyle w:val="TableText"/>
              <w:ind w:left="654"/>
              <w:spacing w:before="182" w:line="219" w:lineRule="auto"/>
              <w:rPr>
                <w:sz w:val="12"/>
                <w:szCs w:val="12"/>
              </w:rPr>
            </w:pPr>
            <w:r>
              <w:rPr>
                <w:sz w:val="12"/>
                <w:szCs w:val="12"/>
                <w:spacing w:val="-1"/>
              </w:rPr>
              <w:t>二喃磷20%</w:t>
            </w:r>
          </w:p>
        </w:tc>
        <w:tc>
          <w:tcPr>
            <w:tcW w:w="1609" w:type="dxa"/>
            <w:vAlign w:val="top"/>
            <w:tcBorders>
              <w:bottom w:val="single" w:color="000000" w:sz="2" w:space="0"/>
              <w:top w:val="single" w:color="000000" w:sz="2" w:space="0"/>
            </w:tcBorders>
          </w:tcPr>
          <w:p>
            <w:pPr>
              <w:pStyle w:val="TableText"/>
              <w:ind w:left="225"/>
              <w:spacing w:before="178" w:line="213" w:lineRule="auto"/>
              <w:rPr>
                <w:sz w:val="12"/>
                <w:szCs w:val="12"/>
              </w:rPr>
            </w:pPr>
            <w:r>
              <w:rPr>
                <w:sz w:val="12"/>
                <w:szCs w:val="12"/>
                <w:spacing w:val="-1"/>
              </w:rPr>
              <w:t>直接撤施，每亩1-2kg</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77"/>
              <w:spacing w:before="178" w:line="213" w:lineRule="auto"/>
              <w:rPr>
                <w:sz w:val="12"/>
                <w:szCs w:val="12"/>
              </w:rPr>
            </w:pPr>
            <w:r>
              <w:rPr>
                <w:sz w:val="12"/>
                <w:szCs w:val="12"/>
                <w:spacing w:val="-3"/>
              </w:rPr>
              <w:t>Ikg/袋</w:t>
            </w:r>
          </w:p>
        </w:tc>
        <w:tc>
          <w:tcPr>
            <w:tcW w:w="2783" w:type="dxa"/>
            <w:vAlign w:val="top"/>
            <w:tcBorders>
              <w:bottom w:val="single" w:color="000000" w:sz="2" w:space="0"/>
              <w:top w:val="single" w:color="000000" w:sz="2" w:space="0"/>
            </w:tcBorders>
          </w:tcPr>
          <w:p>
            <w:pPr>
              <w:pStyle w:val="TableText"/>
              <w:ind w:left="18" w:right="60"/>
              <w:spacing w:before="112" w:line="233" w:lineRule="auto"/>
              <w:rPr>
                <w:sz w:val="12"/>
                <w:szCs w:val="12"/>
              </w:rPr>
            </w:pPr>
            <w:r>
              <w:rPr>
                <w:sz w:val="12"/>
                <w:szCs w:val="12"/>
                <w:spacing w:val="-1"/>
              </w:rPr>
              <w:t>专治草坪地下害虫(蛴蜡、金针虫、地老虎、根结线</w:t>
            </w:r>
            <w:r>
              <w:rPr>
                <w:sz w:val="12"/>
                <w:szCs w:val="12"/>
                <w:spacing w:val="16"/>
                <w:w w:val="101"/>
              </w:rPr>
              <w:t xml:space="preserve"> </w:t>
            </w:r>
            <w:r>
              <w:rPr>
                <w:sz w:val="12"/>
                <w:szCs w:val="12"/>
                <w:spacing w:val="8"/>
              </w:rPr>
              <w:t>虫等)</w:t>
            </w:r>
          </w:p>
        </w:tc>
      </w:tr>
      <w:tr>
        <w:trPr>
          <w:trHeight w:val="475" w:hRule="atLeast"/>
        </w:trPr>
        <w:tc>
          <w:tcPr>
            <w:tcW w:w="41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93"/>
              <w:spacing w:before="182" w:line="219" w:lineRule="auto"/>
              <w:rPr>
                <w:sz w:val="12"/>
                <w:szCs w:val="12"/>
              </w:rPr>
            </w:pPr>
            <w:r>
              <w:rPr>
                <w:sz w:val="12"/>
                <w:szCs w:val="12"/>
                <w:spacing w:val="1"/>
              </w:rPr>
              <w:t>国光移成</w:t>
            </w:r>
          </w:p>
        </w:tc>
        <w:tc>
          <w:tcPr>
            <w:tcW w:w="1859" w:type="dxa"/>
            <w:vAlign w:val="top"/>
            <w:tcBorders>
              <w:bottom w:val="single" w:color="000000" w:sz="2" w:space="0"/>
              <w:top w:val="single" w:color="000000" w:sz="2" w:space="0"/>
            </w:tcBorders>
          </w:tcPr>
          <w:p>
            <w:pPr>
              <w:pStyle w:val="TableText"/>
              <w:ind w:left="144"/>
              <w:spacing w:before="182" w:line="218" w:lineRule="auto"/>
              <w:rPr>
                <w:sz w:val="12"/>
                <w:szCs w:val="12"/>
              </w:rPr>
            </w:pPr>
            <w:r>
              <w:rPr>
                <w:sz w:val="12"/>
                <w:szCs w:val="12"/>
                <w:spacing w:val="1"/>
              </w:rPr>
              <w:t>12%含氦基酸水溶肥料(砸+锋)</w:t>
            </w:r>
          </w:p>
        </w:tc>
        <w:tc>
          <w:tcPr>
            <w:tcW w:w="1609" w:type="dxa"/>
            <w:vAlign w:val="top"/>
            <w:tcBorders>
              <w:bottom w:val="single" w:color="000000" w:sz="2" w:space="0"/>
              <w:top w:val="single" w:color="000000" w:sz="2" w:space="0"/>
            </w:tcBorders>
          </w:tcPr>
          <w:p>
            <w:pPr>
              <w:pStyle w:val="TableText"/>
              <w:ind w:left="465"/>
              <w:spacing w:before="183" w:line="220" w:lineRule="auto"/>
              <w:rPr>
                <w:sz w:val="12"/>
                <w:szCs w:val="12"/>
              </w:rPr>
            </w:pPr>
            <w:r>
              <w:rPr>
                <w:sz w:val="12"/>
                <w:szCs w:val="12"/>
                <w:spacing w:val="-2"/>
              </w:rPr>
              <w:t>1000-1200倍</w:t>
            </w:r>
          </w:p>
        </w:tc>
        <w:tc>
          <w:tcPr>
            <w:tcW w:w="1029" w:type="dxa"/>
            <w:vAlign w:val="top"/>
            <w:vMerge w:val="continue"/>
            <w:tcBorders>
              <w:bottom w:val="single" w:color="000000" w:sz="2" w:space="0"/>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47"/>
              <w:spacing w:before="179" w:line="215" w:lineRule="auto"/>
              <w:rPr>
                <w:sz w:val="12"/>
                <w:szCs w:val="12"/>
              </w:rPr>
            </w:pPr>
            <w:r>
              <w:rPr>
                <w:sz w:val="12"/>
                <w:szCs w:val="12"/>
                <w:spacing w:val="-1"/>
              </w:rPr>
              <w:t>200y/瓶</w:t>
            </w:r>
          </w:p>
        </w:tc>
        <w:tc>
          <w:tcPr>
            <w:tcW w:w="2783" w:type="dxa"/>
            <w:vAlign w:val="top"/>
            <w:tcBorders>
              <w:bottom w:val="single" w:color="000000" w:sz="2" w:space="0"/>
              <w:top w:val="single" w:color="000000" w:sz="2" w:space="0"/>
            </w:tcBorders>
          </w:tcPr>
          <w:p>
            <w:pPr>
              <w:pStyle w:val="TableText"/>
              <w:ind w:left="18"/>
              <w:spacing w:before="182" w:line="218" w:lineRule="auto"/>
              <w:rPr>
                <w:sz w:val="12"/>
                <w:szCs w:val="12"/>
              </w:rPr>
            </w:pPr>
            <w:r>
              <w:rPr>
                <w:sz w:val="12"/>
                <w:szCs w:val="12"/>
                <w:spacing w:val="-1"/>
              </w:rPr>
              <w:t>补充水分和养分，促进快速成活</w:t>
            </w:r>
          </w:p>
        </w:tc>
      </w:tr>
      <w:tr>
        <w:trPr>
          <w:trHeight w:val="474" w:hRule="atLeast"/>
        </w:trPr>
        <w:tc>
          <w:tcPr>
            <w:tcW w:w="415" w:type="dxa"/>
            <w:vAlign w:val="top"/>
            <w:vMerge w:val="restart"/>
            <w:tcBorders>
              <w:bottom w:val="nil"/>
              <w:top w:val="single" w:color="000000" w:sz="2" w:space="0"/>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4" w:right="38" w:firstLine="9"/>
              <w:spacing w:before="39" w:line="250" w:lineRule="auto"/>
              <w:rPr>
                <w:sz w:val="12"/>
                <w:szCs w:val="12"/>
              </w:rPr>
            </w:pPr>
            <w:r>
              <w:rPr>
                <w:sz w:val="12"/>
                <w:szCs w:val="12"/>
                <w:spacing w:val="-3"/>
              </w:rPr>
              <w:t>营养剂</w:t>
            </w:r>
            <w:r>
              <w:rPr>
                <w:sz w:val="12"/>
                <w:szCs w:val="12"/>
              </w:rPr>
              <w:t xml:space="preserve"> </w:t>
            </w:r>
            <w:r>
              <w:rPr>
                <w:sz w:val="12"/>
                <w:szCs w:val="12"/>
                <w:spacing w:val="-1"/>
              </w:rPr>
              <w:t>/配料</w:t>
            </w:r>
          </w:p>
        </w:tc>
        <w:tc>
          <w:tcPr>
            <w:tcW w:w="560" w:type="dxa"/>
            <w:vAlign w:val="top"/>
            <w:vMerge w:val="restart"/>
            <w:tcBorders>
              <w:bottom w:val="nil"/>
              <w:top w:val="singl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0"/>
              <w:spacing w:before="39" w:line="219" w:lineRule="auto"/>
              <w:rPr>
                <w:sz w:val="12"/>
                <w:szCs w:val="12"/>
              </w:rPr>
            </w:pPr>
            <w:r>
              <w:rPr>
                <w:sz w:val="12"/>
                <w:szCs w:val="12"/>
                <w:spacing w:val="-1"/>
              </w:rPr>
              <w:t>树木复壮</w:t>
            </w:r>
          </w:p>
        </w:tc>
        <w:tc>
          <w:tcPr>
            <w:tcW w:w="939" w:type="dxa"/>
            <w:vAlign w:val="top"/>
            <w:vMerge w:val="restart"/>
            <w:tcBorders>
              <w:bottom w:val="nil"/>
              <w:top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pStyle w:val="TableText"/>
              <w:ind w:left="40"/>
              <w:spacing w:before="39" w:line="219" w:lineRule="auto"/>
              <w:rPr>
                <w:sz w:val="12"/>
                <w:szCs w:val="12"/>
              </w:rPr>
            </w:pPr>
            <w:r>
              <w:rPr>
                <w:sz w:val="12"/>
                <w:szCs w:val="12"/>
                <w:spacing w:val="-1"/>
              </w:rPr>
              <w:t>树木长势弱，出</w:t>
            </w:r>
          </w:p>
          <w:p>
            <w:pPr>
              <w:pStyle w:val="TableText"/>
              <w:ind w:left="100"/>
              <w:spacing w:before="17" w:line="200" w:lineRule="auto"/>
              <w:rPr>
                <w:sz w:val="12"/>
                <w:szCs w:val="12"/>
              </w:rPr>
            </w:pPr>
            <w:r>
              <w:rPr>
                <w:sz w:val="12"/>
                <w:szCs w:val="12"/>
                <w:spacing w:val="-1"/>
              </w:rPr>
              <w:t>现叶片失绿现</w:t>
            </w:r>
          </w:p>
          <w:p>
            <w:pPr>
              <w:pStyle w:val="TableText"/>
              <w:ind w:left="60"/>
              <w:spacing w:line="219" w:lineRule="auto"/>
              <w:rPr>
                <w:sz w:val="12"/>
                <w:szCs w:val="12"/>
              </w:rPr>
            </w:pPr>
            <w:r>
              <w:rPr>
                <w:sz w:val="12"/>
                <w:szCs w:val="12"/>
                <w:spacing w:val="-2"/>
              </w:rPr>
              <w:t>象，或高大乔木</w:t>
            </w:r>
          </w:p>
          <w:p>
            <w:pPr>
              <w:pStyle w:val="TableText"/>
              <w:ind w:left="160"/>
              <w:spacing w:before="17" w:line="219" w:lineRule="auto"/>
              <w:rPr>
                <w:sz w:val="12"/>
                <w:szCs w:val="12"/>
              </w:rPr>
            </w:pPr>
            <w:r>
              <w:rPr>
                <w:sz w:val="12"/>
                <w:szCs w:val="12"/>
                <w:spacing w:val="-1"/>
              </w:rPr>
              <w:t>及贵重树木</w:t>
            </w:r>
          </w:p>
        </w:tc>
        <w:tc>
          <w:tcPr>
            <w:tcW w:w="2668" w:type="dxa"/>
            <w:vAlign w:val="top"/>
            <w:vMerge w:val="restart"/>
            <w:tcBorders>
              <w:bottom w:val="nil"/>
              <w:top w:val="single" w:color="000000" w:sz="2" w:space="0"/>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0" w:hanging="9"/>
              <w:spacing w:before="39" w:line="216" w:lineRule="auto"/>
              <w:rPr>
                <w:sz w:val="12"/>
                <w:szCs w:val="12"/>
              </w:rPr>
            </w:pPr>
            <w:r>
              <w:rPr>
                <w:sz w:val="12"/>
                <w:szCs w:val="12"/>
                <w:spacing w:val="-2"/>
              </w:rPr>
              <w:t>一、5-9月份受到台风暴雨的影响，树木根部积水，</w:t>
            </w:r>
            <w:r>
              <w:rPr>
                <w:sz w:val="12"/>
                <w:szCs w:val="12"/>
                <w:spacing w:val="3"/>
              </w:rPr>
              <w:t xml:space="preserve"> </w:t>
            </w:r>
            <w:r>
              <w:rPr>
                <w:sz w:val="12"/>
                <w:szCs w:val="12"/>
                <w:spacing w:val="-3"/>
              </w:rPr>
              <w:t>造成雳害，注意排水及土壤松土透气：连续高温无</w:t>
            </w:r>
            <w:r>
              <w:rPr>
                <w:sz w:val="12"/>
                <w:szCs w:val="12"/>
                <w:spacing w:val="4"/>
              </w:rPr>
              <w:t xml:space="preserve">  </w:t>
            </w:r>
            <w:r>
              <w:rPr>
                <w:sz w:val="12"/>
                <w:szCs w:val="12"/>
              </w:rPr>
              <w:t>雨季节，植物萎落严重，采取措施保持树冠水分；</w:t>
            </w:r>
          </w:p>
          <w:p>
            <w:pPr>
              <w:pStyle w:val="TableText"/>
              <w:ind w:left="10" w:right="23" w:hanging="9"/>
              <w:spacing w:before="17" w:line="209" w:lineRule="auto"/>
              <w:rPr>
                <w:sz w:val="12"/>
                <w:szCs w:val="12"/>
              </w:rPr>
            </w:pPr>
            <w:r>
              <w:rPr>
                <w:sz w:val="12"/>
                <w:szCs w:val="12"/>
                <w:spacing w:val="-1"/>
              </w:rPr>
              <w:t>二，12月-次年1月，注意塞害后树木的养护，根据</w:t>
            </w:r>
            <w:r>
              <w:rPr>
                <w:sz w:val="12"/>
                <w:szCs w:val="12"/>
                <w:spacing w:val="16"/>
              </w:rPr>
              <w:t xml:space="preserve"> </w:t>
            </w:r>
            <w:r>
              <w:rPr>
                <w:sz w:val="12"/>
                <w:szCs w:val="12"/>
              </w:rPr>
              <w:t>天气预报适时喷施抗冻剂，及时配合修剪。</w:t>
            </w:r>
          </w:p>
        </w:tc>
        <w:tc>
          <w:tcPr>
            <w:tcW w:w="1279" w:type="dxa"/>
            <w:vAlign w:val="top"/>
            <w:tcBorders>
              <w:bottom w:val="single" w:color="000000" w:sz="2" w:space="0"/>
              <w:top w:val="single" w:color="000000" w:sz="2" w:space="0"/>
            </w:tcBorders>
          </w:tcPr>
          <w:p>
            <w:pPr>
              <w:pStyle w:val="TableText"/>
              <w:ind w:left="333"/>
              <w:spacing w:before="182" w:line="220" w:lineRule="auto"/>
              <w:rPr>
                <w:sz w:val="12"/>
                <w:szCs w:val="12"/>
              </w:rPr>
            </w:pPr>
            <w:r>
              <w:rPr>
                <w:sz w:val="12"/>
                <w:szCs w:val="12"/>
                <w:spacing w:val="1"/>
              </w:rPr>
              <w:t>中威吊针液</w:t>
            </w:r>
          </w:p>
        </w:tc>
        <w:tc>
          <w:tcPr>
            <w:tcW w:w="1859" w:type="dxa"/>
            <w:vAlign w:val="top"/>
            <w:tcBorders>
              <w:bottom w:val="single" w:color="000000" w:sz="2" w:space="0"/>
              <w:top w:val="single" w:color="000000" w:sz="2" w:space="0"/>
            </w:tcBorders>
          </w:tcPr>
          <w:p>
            <w:pPr>
              <w:pStyle w:val="TableText"/>
              <w:ind w:left="144"/>
              <w:spacing w:before="180" w:line="216" w:lineRule="auto"/>
              <w:rPr>
                <w:sz w:val="12"/>
                <w:szCs w:val="12"/>
              </w:rPr>
            </w:pPr>
            <w:r>
              <w:rPr>
                <w:sz w:val="12"/>
                <w:szCs w:val="12"/>
                <w:spacing w:val="-1"/>
              </w:rPr>
              <w:t>DL-6,甲壳素、硼镁锌等2.85%</w:t>
            </w:r>
          </w:p>
        </w:tc>
        <w:tc>
          <w:tcPr>
            <w:tcW w:w="1609" w:type="dxa"/>
            <w:vAlign w:val="top"/>
            <w:tcBorders>
              <w:bottom w:val="single" w:color="000000" w:sz="2" w:space="0"/>
              <w:top w:val="single" w:color="000000" w:sz="2" w:space="0"/>
            </w:tcBorders>
          </w:tcPr>
          <w:p>
            <w:pPr>
              <w:pStyle w:val="TableText"/>
              <w:ind w:left="495"/>
              <w:spacing w:before="182" w:line="220" w:lineRule="auto"/>
              <w:rPr>
                <w:sz w:val="12"/>
                <w:szCs w:val="12"/>
              </w:rPr>
            </w:pPr>
            <w:r>
              <w:rPr>
                <w:sz w:val="12"/>
                <w:szCs w:val="12"/>
                <w:spacing w:val="-1"/>
              </w:rPr>
              <w:t>60-100倍液</w:t>
            </w:r>
          </w:p>
        </w:tc>
        <w:tc>
          <w:tcPr>
            <w:tcW w:w="1029" w:type="dxa"/>
            <w:vAlign w:val="top"/>
            <w:vMerge w:val="restart"/>
            <w:tcBorders>
              <w:bottom w:val="nil"/>
              <w:top w:val="singl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86"/>
              <w:spacing w:before="39" w:line="219" w:lineRule="auto"/>
              <w:rPr>
                <w:sz w:val="12"/>
                <w:szCs w:val="12"/>
              </w:rPr>
            </w:pPr>
            <w:r>
              <w:rPr>
                <w:sz w:val="12"/>
                <w:szCs w:val="12"/>
                <w:spacing w:val="-1"/>
              </w:rPr>
              <w:t>视树木生长情况</w:t>
            </w:r>
          </w:p>
        </w:tc>
        <w:tc>
          <w:tcPr>
            <w:tcW w:w="719" w:type="dxa"/>
            <w:vAlign w:val="top"/>
            <w:tcBorders>
              <w:bottom w:val="single" w:color="000000" w:sz="2" w:space="0"/>
              <w:top w:val="single" w:color="000000" w:sz="2" w:space="0"/>
            </w:tcBorders>
          </w:tcPr>
          <w:p>
            <w:pPr>
              <w:pStyle w:val="TableText"/>
              <w:ind w:left="177"/>
              <w:spacing w:before="178" w:line="213" w:lineRule="auto"/>
              <w:rPr>
                <w:sz w:val="12"/>
                <w:szCs w:val="12"/>
              </w:rPr>
            </w:pPr>
            <w:r>
              <w:rPr>
                <w:sz w:val="12"/>
                <w:szCs w:val="12"/>
                <w:spacing w:val="-2"/>
              </w:rPr>
              <w:t>1kg/袋</w:t>
            </w:r>
          </w:p>
        </w:tc>
        <w:tc>
          <w:tcPr>
            <w:tcW w:w="2783" w:type="dxa"/>
            <w:vAlign w:val="top"/>
            <w:tcBorders>
              <w:bottom w:val="single" w:color="000000" w:sz="2" w:space="0"/>
              <w:top w:val="single" w:color="000000" w:sz="2" w:space="0"/>
            </w:tcBorders>
          </w:tcPr>
          <w:p>
            <w:pPr>
              <w:pStyle w:val="TableText"/>
              <w:ind w:left="18"/>
              <w:spacing w:before="131" w:line="210" w:lineRule="auto"/>
              <w:rPr>
                <w:sz w:val="12"/>
                <w:szCs w:val="12"/>
              </w:rPr>
            </w:pPr>
            <w:r>
              <w:rPr>
                <w:sz w:val="12"/>
                <w:szCs w:val="12"/>
                <w:spacing w:val="-1"/>
              </w:rPr>
              <w:t>促使树体健壮。迅速补充营养，增强抗性，提高成活</w:t>
            </w:r>
            <w:r>
              <w:rPr>
                <w:sz w:val="12"/>
                <w:szCs w:val="12"/>
                <w:spacing w:val="16"/>
                <w:w w:val="101"/>
              </w:rPr>
              <w:t xml:space="preserve"> </w:t>
            </w:r>
            <w:r>
              <w:rPr>
                <w:sz w:val="12"/>
                <w:szCs w:val="12"/>
              </w:rPr>
              <w:t>率</w:t>
            </w:r>
          </w:p>
        </w:tc>
      </w:tr>
      <w:tr>
        <w:trPr>
          <w:trHeight w:val="49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93" w:line="220" w:lineRule="auto"/>
              <w:rPr>
                <w:sz w:val="12"/>
                <w:szCs w:val="12"/>
              </w:rPr>
            </w:pPr>
            <w:r>
              <w:rPr>
                <w:sz w:val="12"/>
                <w:szCs w:val="12"/>
                <w:spacing w:val="-2"/>
              </w:rPr>
              <w:t>复方防冻专家</w:t>
            </w:r>
          </w:p>
        </w:tc>
        <w:tc>
          <w:tcPr>
            <w:tcW w:w="1859" w:type="dxa"/>
            <w:vAlign w:val="top"/>
            <w:tcBorders>
              <w:bottom w:val="single" w:color="000000" w:sz="2" w:space="0"/>
              <w:top w:val="single" w:color="000000" w:sz="2" w:space="0"/>
            </w:tcBorders>
          </w:tcPr>
          <w:p>
            <w:pPr>
              <w:rPr>
                <w:rFonts w:ascii="Arial"/>
                <w:sz w:val="21"/>
              </w:rPr>
            </w:pPr>
            <w:r/>
          </w:p>
        </w:tc>
        <w:tc>
          <w:tcPr>
            <w:tcW w:w="1609" w:type="dxa"/>
            <w:vAlign w:val="top"/>
            <w:tcBorders>
              <w:bottom w:val="single" w:color="000000" w:sz="2" w:space="0"/>
              <w:top w:val="single" w:color="000000" w:sz="2" w:space="0"/>
            </w:tcBorders>
          </w:tcPr>
          <w:p>
            <w:pPr>
              <w:pStyle w:val="TableText"/>
              <w:ind w:left="285"/>
              <w:spacing w:before="192" w:line="219" w:lineRule="auto"/>
              <w:rPr>
                <w:sz w:val="12"/>
                <w:szCs w:val="12"/>
              </w:rPr>
            </w:pPr>
            <w:r>
              <w:rPr>
                <w:sz w:val="12"/>
                <w:szCs w:val="12"/>
                <w:spacing w:val="-1"/>
              </w:rPr>
              <w:t>喷雾稀释150-200倍</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47"/>
              <w:spacing w:before="193" w:line="221" w:lineRule="auto"/>
              <w:rPr>
                <w:sz w:val="12"/>
                <w:szCs w:val="12"/>
              </w:rPr>
            </w:pPr>
            <w:r>
              <w:rPr>
                <w:sz w:val="12"/>
                <w:szCs w:val="12"/>
                <w:spacing w:val="-1"/>
              </w:rPr>
              <w:t>2.5L/瓶</w:t>
            </w:r>
          </w:p>
        </w:tc>
        <w:tc>
          <w:tcPr>
            <w:tcW w:w="2783" w:type="dxa"/>
            <w:vAlign w:val="top"/>
            <w:tcBorders>
              <w:bottom w:val="single" w:color="000000" w:sz="2" w:space="0"/>
              <w:top w:val="single" w:color="000000" w:sz="2" w:space="0"/>
            </w:tcBorders>
          </w:tcPr>
          <w:p>
            <w:pPr>
              <w:pStyle w:val="TableText"/>
              <w:ind w:left="18"/>
              <w:spacing w:before="192" w:line="219" w:lineRule="auto"/>
              <w:rPr>
                <w:sz w:val="12"/>
                <w:szCs w:val="12"/>
              </w:rPr>
            </w:pPr>
            <w:r>
              <w:rPr>
                <w:sz w:val="12"/>
                <w:szCs w:val="12"/>
                <w:spacing w:val="-1"/>
              </w:rPr>
              <w:t>塞潮来前10、11月提前7-10天使用2次</w:t>
            </w:r>
          </w:p>
        </w:tc>
      </w:tr>
      <w:tr>
        <w:trPr>
          <w:trHeight w:val="465"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73" w:line="219" w:lineRule="auto"/>
              <w:rPr>
                <w:sz w:val="12"/>
                <w:szCs w:val="12"/>
              </w:rPr>
            </w:pPr>
            <w:r>
              <w:rPr>
                <w:sz w:val="12"/>
                <w:szCs w:val="12"/>
                <w:spacing w:val="3"/>
              </w:rPr>
              <w:t>森特(营养液)</w:t>
            </w:r>
          </w:p>
        </w:tc>
        <w:tc>
          <w:tcPr>
            <w:tcW w:w="1859" w:type="dxa"/>
            <w:vAlign w:val="top"/>
            <w:tcBorders>
              <w:bottom w:val="single" w:color="000000" w:sz="2" w:space="0"/>
              <w:top w:val="single" w:color="000000" w:sz="2" w:space="0"/>
            </w:tcBorders>
          </w:tcPr>
          <w:p>
            <w:pPr>
              <w:pStyle w:val="TableText"/>
              <w:ind w:left="24"/>
              <w:spacing w:before="173" w:line="218" w:lineRule="auto"/>
              <w:rPr>
                <w:sz w:val="12"/>
                <w:szCs w:val="12"/>
              </w:rPr>
            </w:pPr>
            <w:r>
              <w:rPr>
                <w:sz w:val="12"/>
                <w:szCs w:val="12"/>
                <w:spacing w:val="-1"/>
              </w:rPr>
              <w:t>生长激素、微量元素、有机化合物</w:t>
            </w:r>
          </w:p>
        </w:tc>
        <w:tc>
          <w:tcPr>
            <w:tcW w:w="1609" w:type="dxa"/>
            <w:vAlign w:val="top"/>
            <w:tcBorders>
              <w:bottom w:val="single" w:color="000000" w:sz="2" w:space="0"/>
              <w:top w:val="single" w:color="000000" w:sz="2" w:space="0"/>
            </w:tcBorders>
          </w:tcPr>
          <w:p>
            <w:pPr>
              <w:pStyle w:val="TableText"/>
              <w:ind w:left="465"/>
              <w:spacing w:before="173" w:line="220" w:lineRule="auto"/>
              <w:rPr>
                <w:sz w:val="12"/>
                <w:szCs w:val="12"/>
              </w:rPr>
            </w:pPr>
            <w:r>
              <w:rPr>
                <w:sz w:val="12"/>
                <w:szCs w:val="12"/>
                <w:spacing w:val="-2"/>
              </w:rPr>
              <w:t>100-200倍液</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47"/>
              <w:spacing w:before="173" w:line="221" w:lineRule="auto"/>
              <w:rPr>
                <w:sz w:val="12"/>
                <w:szCs w:val="12"/>
              </w:rPr>
            </w:pPr>
            <w:r>
              <w:rPr>
                <w:sz w:val="12"/>
                <w:szCs w:val="12"/>
                <w:spacing w:val="-2"/>
              </w:rPr>
              <w:t>2.BL/瓶</w:t>
            </w:r>
          </w:p>
        </w:tc>
        <w:tc>
          <w:tcPr>
            <w:tcW w:w="2783" w:type="dxa"/>
            <w:vAlign w:val="top"/>
            <w:tcBorders>
              <w:bottom w:val="single" w:color="000000" w:sz="2" w:space="0"/>
              <w:top w:val="single" w:color="000000" w:sz="2" w:space="0"/>
            </w:tcBorders>
          </w:tcPr>
          <w:p>
            <w:pPr>
              <w:pStyle w:val="TableText"/>
              <w:ind w:left="18"/>
              <w:spacing w:before="113" w:line="233" w:lineRule="auto"/>
              <w:rPr>
                <w:sz w:val="12"/>
                <w:szCs w:val="12"/>
              </w:rPr>
            </w:pPr>
            <w:r>
              <w:rPr>
                <w:sz w:val="12"/>
                <w:szCs w:val="12"/>
                <w:spacing w:val="-1"/>
              </w:rPr>
              <w:t>促使树体健壮。迅速补充营养，增强抗性，提高成活</w:t>
            </w:r>
            <w:r>
              <w:rPr>
                <w:sz w:val="12"/>
                <w:szCs w:val="12"/>
                <w:spacing w:val="16"/>
                <w:w w:val="101"/>
              </w:rPr>
              <w:t xml:space="preserve"> </w:t>
            </w:r>
            <w:r>
              <w:rPr>
                <w:sz w:val="12"/>
                <w:szCs w:val="12"/>
              </w:rPr>
              <w:t>率</w:t>
            </w:r>
          </w:p>
        </w:tc>
      </w:tr>
      <w:tr>
        <w:trPr>
          <w:trHeight w:val="55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153"/>
              <w:spacing w:before="222" w:line="218" w:lineRule="auto"/>
              <w:rPr>
                <w:sz w:val="12"/>
                <w:szCs w:val="12"/>
              </w:rPr>
            </w:pPr>
            <w:r>
              <w:rPr>
                <w:sz w:val="12"/>
                <w:szCs w:val="12"/>
                <w:spacing w:val="2"/>
              </w:rPr>
              <w:t>森特(蒸腾抑制剂)</w:t>
            </w:r>
          </w:p>
        </w:tc>
        <w:tc>
          <w:tcPr>
            <w:tcW w:w="1859" w:type="dxa"/>
            <w:vAlign w:val="top"/>
            <w:tcBorders>
              <w:bottom w:val="single" w:color="000000" w:sz="2" w:space="0"/>
              <w:top w:val="single" w:color="000000" w:sz="2" w:space="0"/>
            </w:tcBorders>
          </w:tcPr>
          <w:p>
            <w:pPr>
              <w:rPr>
                <w:rFonts w:ascii="Arial"/>
                <w:sz w:val="21"/>
              </w:rPr>
            </w:pPr>
            <w:r/>
          </w:p>
        </w:tc>
        <w:tc>
          <w:tcPr>
            <w:tcW w:w="1609" w:type="dxa"/>
            <w:vAlign w:val="top"/>
            <w:tcBorders>
              <w:bottom w:val="single" w:color="000000" w:sz="2" w:space="0"/>
              <w:top w:val="single" w:color="000000" w:sz="2" w:space="0"/>
            </w:tcBorders>
          </w:tcPr>
          <w:p>
            <w:pPr>
              <w:pStyle w:val="TableText"/>
              <w:ind w:left="225"/>
              <w:spacing w:before="222" w:line="219" w:lineRule="auto"/>
              <w:rPr>
                <w:sz w:val="12"/>
                <w:szCs w:val="12"/>
              </w:rPr>
            </w:pPr>
            <w:r>
              <w:rPr>
                <w:sz w:val="12"/>
                <w:szCs w:val="12"/>
                <w:spacing w:val="-1"/>
              </w:rPr>
              <w:t>唤雾：豨释150-200倍</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47"/>
              <w:spacing w:before="223" w:line="221" w:lineRule="auto"/>
              <w:rPr>
                <w:sz w:val="12"/>
                <w:szCs w:val="12"/>
              </w:rPr>
            </w:pPr>
            <w:r>
              <w:rPr>
                <w:sz w:val="12"/>
                <w:szCs w:val="12"/>
                <w:spacing w:val="-1"/>
              </w:rPr>
              <w:t>2.5L/瓶</w:t>
            </w:r>
          </w:p>
        </w:tc>
        <w:tc>
          <w:tcPr>
            <w:tcW w:w="2783" w:type="dxa"/>
            <w:vAlign w:val="top"/>
            <w:tcBorders>
              <w:bottom w:val="single" w:color="000000" w:sz="2" w:space="0"/>
              <w:top w:val="single" w:color="000000" w:sz="2" w:space="0"/>
            </w:tcBorders>
          </w:tcPr>
          <w:p>
            <w:pPr>
              <w:pStyle w:val="TableText"/>
              <w:ind w:left="18" w:right="1"/>
              <w:spacing w:before="93" w:line="224" w:lineRule="auto"/>
              <w:jc w:val="both"/>
              <w:rPr>
                <w:sz w:val="12"/>
                <w:szCs w:val="12"/>
              </w:rPr>
            </w:pPr>
            <w:r>
              <w:rPr>
                <w:sz w:val="12"/>
                <w:szCs w:val="12"/>
                <w:spacing w:val="-1"/>
              </w:rPr>
              <w:t>咬洒药液时，要确保叶片背面，枝干上唤匀，以喷湿</w:t>
            </w:r>
            <w:r>
              <w:rPr>
                <w:sz w:val="12"/>
                <w:szCs w:val="12"/>
                <w:spacing w:val="12"/>
              </w:rPr>
              <w:t xml:space="preserve"> </w:t>
            </w:r>
            <w:r>
              <w:rPr>
                <w:sz w:val="12"/>
                <w:szCs w:val="12"/>
                <w:spacing w:val="-1"/>
              </w:rPr>
              <w:t>不滴水为宜，隔10天再喷一次效果更好。结合其他养</w:t>
            </w:r>
            <w:r>
              <w:rPr>
                <w:sz w:val="12"/>
                <w:szCs w:val="12"/>
                <w:spacing w:val="16"/>
              </w:rPr>
              <w:t xml:space="preserve"> </w:t>
            </w:r>
            <w:r>
              <w:rPr>
                <w:sz w:val="12"/>
                <w:szCs w:val="12"/>
                <w:spacing w:val="-1"/>
              </w:rPr>
              <w:t>护措施，如这阴、适时浇灌和修剪等</w:t>
            </w:r>
          </w:p>
        </w:tc>
      </w:tr>
      <w:tr>
        <w:trPr>
          <w:trHeight w:val="49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453"/>
              <w:spacing w:before="193" w:line="220" w:lineRule="auto"/>
              <w:rPr>
                <w:sz w:val="12"/>
                <w:szCs w:val="12"/>
              </w:rPr>
            </w:pPr>
            <w:r>
              <w:rPr>
                <w:sz w:val="12"/>
                <w:szCs w:val="12"/>
                <w:spacing w:val="-3"/>
              </w:rPr>
              <w:t>一露绿</w:t>
            </w:r>
          </w:p>
        </w:tc>
        <w:tc>
          <w:tcPr>
            <w:tcW w:w="1859" w:type="dxa"/>
            <w:vAlign w:val="top"/>
            <w:tcBorders>
              <w:bottom w:val="single" w:color="000000" w:sz="2" w:space="0"/>
              <w:top w:val="single" w:color="000000" w:sz="2" w:space="0"/>
            </w:tcBorders>
          </w:tcPr>
          <w:p>
            <w:pPr>
              <w:pStyle w:val="TableText"/>
              <w:ind w:left="436" w:hanging="412"/>
              <w:spacing w:before="123" w:line="248" w:lineRule="auto"/>
              <w:rPr>
                <w:sz w:val="12"/>
                <w:szCs w:val="12"/>
              </w:rPr>
            </w:pPr>
            <w:r>
              <w:rPr>
                <w:sz w:val="12"/>
                <w:szCs w:val="12"/>
                <w:spacing w:val="1"/>
              </w:rPr>
              <w:t>生根诱导因子、核苷酸、氮、磷、</w:t>
            </w:r>
            <w:r>
              <w:rPr>
                <w:sz w:val="12"/>
                <w:szCs w:val="12"/>
                <w:spacing w:val="8"/>
              </w:rPr>
              <w:t xml:space="preserve"> </w:t>
            </w:r>
            <w:r>
              <w:rPr>
                <w:sz w:val="12"/>
                <w:szCs w:val="12"/>
                <w:spacing w:val="-3"/>
              </w:rPr>
              <w:t>钾及多种微量元素</w:t>
            </w:r>
          </w:p>
        </w:tc>
        <w:tc>
          <w:tcPr>
            <w:tcW w:w="1609" w:type="dxa"/>
            <w:vAlign w:val="top"/>
            <w:tcBorders>
              <w:bottom w:val="single" w:color="000000" w:sz="2" w:space="0"/>
              <w:top w:val="single" w:color="000000" w:sz="2" w:space="0"/>
            </w:tcBorders>
          </w:tcPr>
          <w:p>
            <w:pPr>
              <w:pStyle w:val="TableText"/>
              <w:ind w:left="465"/>
              <w:spacing w:before="193" w:line="220" w:lineRule="auto"/>
              <w:rPr>
                <w:sz w:val="12"/>
                <w:szCs w:val="12"/>
              </w:rPr>
            </w:pPr>
            <w:r>
              <w:rPr>
                <w:sz w:val="12"/>
                <w:szCs w:val="12"/>
                <w:spacing w:val="-1"/>
              </w:rPr>
              <w:t>200-800倍液</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77"/>
              <w:spacing w:before="189" w:line="213" w:lineRule="auto"/>
              <w:rPr>
                <w:sz w:val="12"/>
                <w:szCs w:val="12"/>
              </w:rPr>
            </w:pPr>
            <w:r>
              <w:rPr>
                <w:sz w:val="12"/>
                <w:szCs w:val="12"/>
                <w:spacing w:val="-1"/>
              </w:rPr>
              <w:t>4kg/桶</w:t>
            </w:r>
          </w:p>
        </w:tc>
        <w:tc>
          <w:tcPr>
            <w:tcW w:w="2783" w:type="dxa"/>
            <w:vAlign w:val="top"/>
            <w:tcBorders>
              <w:bottom w:val="single" w:color="000000" w:sz="2" w:space="0"/>
              <w:top w:val="single" w:color="000000" w:sz="2" w:space="0"/>
            </w:tcBorders>
          </w:tcPr>
          <w:p>
            <w:pPr>
              <w:pStyle w:val="TableText"/>
              <w:ind w:left="18"/>
              <w:spacing w:before="123" w:line="253" w:lineRule="auto"/>
              <w:rPr>
                <w:sz w:val="12"/>
                <w:szCs w:val="12"/>
              </w:rPr>
            </w:pPr>
            <w:r>
              <w:rPr>
                <w:sz w:val="12"/>
                <w:szCs w:val="12"/>
                <w:spacing w:val="-1"/>
              </w:rPr>
              <w:t>有利于新根生长，改善涝害和早害引起的根系停止生</w:t>
            </w:r>
            <w:r>
              <w:rPr>
                <w:sz w:val="12"/>
                <w:szCs w:val="12"/>
                <w:spacing w:val="16"/>
                <w:w w:val="101"/>
              </w:rPr>
              <w:t xml:space="preserve"> </w:t>
            </w:r>
            <w:r>
              <w:rPr>
                <w:sz w:val="12"/>
                <w:szCs w:val="12"/>
              </w:rPr>
              <w:t>长</w:t>
            </w:r>
          </w:p>
        </w:tc>
      </w:tr>
      <w:tr>
        <w:trPr>
          <w:trHeight w:val="47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43"/>
              <w:spacing w:before="183" w:line="219" w:lineRule="auto"/>
              <w:rPr>
                <w:sz w:val="12"/>
                <w:szCs w:val="12"/>
              </w:rPr>
            </w:pPr>
            <w:r>
              <w:rPr>
                <w:sz w:val="12"/>
                <w:szCs w:val="12"/>
                <w:spacing w:val="1"/>
              </w:rPr>
              <w:t>国光框动力2号</w:t>
            </w:r>
          </w:p>
        </w:tc>
        <w:tc>
          <w:tcPr>
            <w:tcW w:w="1859" w:type="dxa"/>
            <w:vAlign w:val="top"/>
            <w:tcBorders>
              <w:bottom w:val="single" w:color="000000" w:sz="2" w:space="0"/>
              <w:top w:val="single" w:color="000000" w:sz="2" w:space="0"/>
            </w:tcBorders>
          </w:tcPr>
          <w:p>
            <w:pPr>
              <w:pStyle w:val="TableText"/>
              <w:ind w:left="293"/>
              <w:spacing w:before="183" w:line="218" w:lineRule="auto"/>
              <w:rPr>
                <w:sz w:val="12"/>
                <w:szCs w:val="12"/>
              </w:rPr>
            </w:pPr>
            <w:r>
              <w:rPr>
                <w:sz w:val="12"/>
                <w:szCs w:val="12"/>
                <w:spacing w:val="2"/>
              </w:rPr>
              <w:t>13%含氨基酸水溶肥(钙)</w:t>
            </w:r>
          </w:p>
        </w:tc>
        <w:tc>
          <w:tcPr>
            <w:tcW w:w="1609" w:type="dxa"/>
            <w:vAlign w:val="top"/>
            <w:tcBorders>
              <w:bottom w:val="single" w:color="000000" w:sz="2" w:space="0"/>
              <w:top w:val="single" w:color="000000" w:sz="2" w:space="0"/>
            </w:tcBorders>
          </w:tcPr>
          <w:p>
            <w:pPr>
              <w:pStyle w:val="TableText"/>
              <w:ind w:left="435"/>
              <w:spacing w:before="183" w:line="220" w:lineRule="auto"/>
              <w:rPr>
                <w:sz w:val="12"/>
                <w:szCs w:val="12"/>
              </w:rPr>
            </w:pPr>
            <w:r>
              <w:rPr>
                <w:sz w:val="12"/>
                <w:szCs w:val="12"/>
                <w:spacing w:val="-1"/>
              </w:rPr>
              <w:t>800-1000倍液</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207"/>
              <w:spacing w:before="184" w:line="221" w:lineRule="auto"/>
              <w:rPr>
                <w:sz w:val="12"/>
                <w:szCs w:val="12"/>
              </w:rPr>
            </w:pPr>
            <w:r>
              <w:rPr>
                <w:sz w:val="12"/>
                <w:szCs w:val="12"/>
                <w:spacing w:val="-2"/>
              </w:rPr>
              <w:t>IL/瓶</w:t>
            </w:r>
          </w:p>
        </w:tc>
        <w:tc>
          <w:tcPr>
            <w:tcW w:w="2783" w:type="dxa"/>
            <w:vAlign w:val="top"/>
            <w:tcBorders>
              <w:bottom w:val="single" w:color="000000" w:sz="2" w:space="0"/>
              <w:top w:val="single" w:color="000000" w:sz="2" w:space="0"/>
            </w:tcBorders>
          </w:tcPr>
          <w:p>
            <w:pPr>
              <w:pStyle w:val="TableText"/>
              <w:ind w:left="18"/>
              <w:spacing w:before="183" w:line="219" w:lineRule="auto"/>
              <w:rPr>
                <w:sz w:val="12"/>
                <w:szCs w:val="12"/>
              </w:rPr>
            </w:pPr>
            <w:r>
              <w:rPr>
                <w:sz w:val="12"/>
                <w:szCs w:val="12"/>
                <w:spacing w:val="-1"/>
              </w:rPr>
              <w:t>诱导树木快速生根，提高移栽成活率</w:t>
            </w:r>
          </w:p>
        </w:tc>
      </w:tr>
      <w:tr>
        <w:trPr>
          <w:trHeight w:val="49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94" w:line="220" w:lineRule="auto"/>
              <w:rPr>
                <w:sz w:val="12"/>
                <w:szCs w:val="12"/>
              </w:rPr>
            </w:pPr>
            <w:r>
              <w:rPr>
                <w:sz w:val="12"/>
                <w:szCs w:val="12"/>
                <w:spacing w:val="1"/>
              </w:rPr>
              <w:t>中威生根液</w:t>
            </w:r>
          </w:p>
        </w:tc>
        <w:tc>
          <w:tcPr>
            <w:tcW w:w="1859" w:type="dxa"/>
            <w:vAlign w:val="top"/>
            <w:tcBorders>
              <w:bottom w:val="single" w:color="000000" w:sz="2" w:space="0"/>
              <w:top w:val="single" w:color="000000" w:sz="2" w:space="0"/>
            </w:tcBorders>
          </w:tcPr>
          <w:p>
            <w:pPr>
              <w:pStyle w:val="TableText"/>
              <w:ind w:left="354"/>
              <w:spacing w:before="193" w:line="219" w:lineRule="auto"/>
              <w:rPr>
                <w:sz w:val="12"/>
                <w:szCs w:val="12"/>
              </w:rPr>
            </w:pPr>
            <w:r>
              <w:rPr>
                <w:sz w:val="12"/>
                <w:szCs w:val="12"/>
                <w:spacing w:val="-1"/>
              </w:rPr>
              <w:t>蔡乙酸、吲噪乙酸10%</w:t>
            </w:r>
          </w:p>
        </w:tc>
        <w:tc>
          <w:tcPr>
            <w:tcW w:w="1609" w:type="dxa"/>
            <w:vAlign w:val="top"/>
            <w:tcBorders>
              <w:bottom w:val="single" w:color="000000" w:sz="2" w:space="0"/>
              <w:top w:val="single" w:color="000000" w:sz="2" w:space="0"/>
            </w:tcBorders>
          </w:tcPr>
          <w:p>
            <w:pPr>
              <w:pStyle w:val="TableText"/>
              <w:ind w:left="465"/>
              <w:spacing w:before="194" w:line="220" w:lineRule="auto"/>
              <w:rPr>
                <w:sz w:val="12"/>
                <w:szCs w:val="12"/>
              </w:rPr>
            </w:pPr>
            <w:r>
              <w:rPr>
                <w:sz w:val="12"/>
                <w:szCs w:val="12"/>
                <w:spacing w:val="-1"/>
              </w:rPr>
              <w:t>300-500倍液</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77"/>
              <w:spacing w:before="190" w:line="213" w:lineRule="auto"/>
              <w:rPr>
                <w:sz w:val="12"/>
                <w:szCs w:val="12"/>
              </w:rPr>
            </w:pPr>
            <w:r>
              <w:rPr>
                <w:sz w:val="12"/>
                <w:szCs w:val="12"/>
                <w:spacing w:val="-1"/>
              </w:rPr>
              <w:t>4kg/桶</w:t>
            </w:r>
          </w:p>
        </w:tc>
        <w:tc>
          <w:tcPr>
            <w:tcW w:w="2783" w:type="dxa"/>
            <w:vAlign w:val="top"/>
            <w:tcBorders>
              <w:bottom w:val="single" w:color="000000" w:sz="2" w:space="0"/>
              <w:top w:val="single" w:color="000000" w:sz="2" w:space="0"/>
            </w:tcBorders>
          </w:tcPr>
          <w:p>
            <w:pPr>
              <w:pStyle w:val="TableText"/>
              <w:ind w:left="18"/>
              <w:spacing w:before="113" w:line="249" w:lineRule="auto"/>
              <w:rPr>
                <w:sz w:val="12"/>
                <w:szCs w:val="12"/>
              </w:rPr>
            </w:pPr>
            <w:r>
              <w:rPr>
                <w:sz w:val="12"/>
                <w:szCs w:val="12"/>
                <w:spacing w:val="-1"/>
              </w:rPr>
              <w:t>促使树木快速生根，形成庞大根系，快速葫芽，改霁</w:t>
            </w:r>
            <w:r>
              <w:rPr>
                <w:sz w:val="12"/>
                <w:szCs w:val="12"/>
                <w:spacing w:val="16"/>
                <w:w w:val="101"/>
              </w:rPr>
              <w:t xml:space="preserve"> </w:t>
            </w:r>
            <w:r>
              <w:rPr>
                <w:sz w:val="12"/>
                <w:szCs w:val="12"/>
                <w:spacing w:val="-1"/>
              </w:rPr>
              <w:t>植物长势</w:t>
            </w:r>
          </w:p>
        </w:tc>
      </w:tr>
      <w:tr>
        <w:trPr>
          <w:trHeight w:val="464" w:hRule="atLeast"/>
        </w:trPr>
        <w:tc>
          <w:tcPr>
            <w:tcW w:w="415" w:type="dxa"/>
            <w:vAlign w:val="top"/>
            <w:vMerge w:val="continue"/>
            <w:tcBorders>
              <w:bottom w:val="nil"/>
              <w:top w:val="nil"/>
            </w:tcBorders>
          </w:tcPr>
          <w:p>
            <w:pPr>
              <w:rPr>
                <w:rFonts w:ascii="Arial"/>
                <w:sz w:val="21"/>
              </w:rPr>
            </w:pPr>
            <w:r/>
          </w:p>
        </w:tc>
        <w:tc>
          <w:tcPr>
            <w:tcW w:w="560" w:type="dxa"/>
            <w:vAlign w:val="top"/>
            <w:vMerge w:val="continue"/>
            <w:tcBorders>
              <w:bottom w:val="nil"/>
              <w:top w:val="nil"/>
            </w:tcBorders>
          </w:tcPr>
          <w:p>
            <w:pPr>
              <w:rPr>
                <w:rFonts w:ascii="Arial"/>
                <w:sz w:val="21"/>
              </w:rPr>
            </w:pPr>
            <w:r/>
          </w:p>
        </w:tc>
        <w:tc>
          <w:tcPr>
            <w:tcW w:w="939" w:type="dxa"/>
            <w:vAlign w:val="top"/>
            <w:vMerge w:val="continue"/>
            <w:tcBorders>
              <w:bottom w:val="nil"/>
              <w:top w:val="nil"/>
            </w:tcBorders>
          </w:tcPr>
          <w:p>
            <w:pPr>
              <w:rPr>
                <w:rFonts w:ascii="Arial"/>
                <w:sz w:val="21"/>
              </w:rPr>
            </w:pPr>
            <w:r/>
          </w:p>
        </w:tc>
        <w:tc>
          <w:tcPr>
            <w:tcW w:w="2668" w:type="dxa"/>
            <w:vAlign w:val="top"/>
            <w:vMerge w:val="continue"/>
            <w:tcBorders>
              <w:bottom w:val="nil"/>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273"/>
              <w:spacing w:before="174" w:line="219" w:lineRule="auto"/>
              <w:rPr>
                <w:sz w:val="12"/>
                <w:szCs w:val="12"/>
              </w:rPr>
            </w:pPr>
            <w:r>
              <w:rPr>
                <w:sz w:val="12"/>
                <w:szCs w:val="12"/>
                <w:spacing w:val="-1"/>
              </w:rPr>
              <w:t>诺蒈信根聚地</w:t>
            </w:r>
          </w:p>
        </w:tc>
        <w:tc>
          <w:tcPr>
            <w:tcW w:w="1859" w:type="dxa"/>
            <w:vAlign w:val="top"/>
            <w:tcBorders>
              <w:bottom w:val="single" w:color="000000" w:sz="2" w:space="0"/>
              <w:top w:val="single" w:color="000000" w:sz="2" w:space="0"/>
            </w:tcBorders>
          </w:tcPr>
          <w:p>
            <w:pPr>
              <w:pStyle w:val="TableText"/>
              <w:ind w:left="573" w:right="270" w:hanging="310"/>
              <w:spacing w:before="103" w:line="225" w:lineRule="auto"/>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tc>
        <w:tc>
          <w:tcPr>
            <w:tcW w:w="1609" w:type="dxa"/>
            <w:vAlign w:val="top"/>
            <w:tcBorders>
              <w:bottom w:val="single" w:color="000000" w:sz="2" w:space="0"/>
              <w:top w:val="single" w:color="000000" w:sz="2" w:space="0"/>
            </w:tcBorders>
          </w:tcPr>
          <w:p>
            <w:pPr>
              <w:pStyle w:val="TableText"/>
              <w:ind w:left="525"/>
              <w:spacing w:before="174" w:line="220" w:lineRule="auto"/>
              <w:rPr>
                <w:sz w:val="12"/>
                <w:szCs w:val="12"/>
              </w:rPr>
            </w:pPr>
            <w:r>
              <w:rPr>
                <w:sz w:val="12"/>
                <w:szCs w:val="12"/>
                <w:spacing w:val="-6"/>
              </w:rPr>
              <w:t>600—800倍</w:t>
            </w:r>
          </w:p>
        </w:tc>
        <w:tc>
          <w:tcPr>
            <w:tcW w:w="1029" w:type="dxa"/>
            <w:vAlign w:val="top"/>
            <w:vMerge w:val="continue"/>
            <w:tcBorders>
              <w:bottom w:val="nil"/>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87"/>
              <w:spacing w:before="174" w:line="221" w:lineRule="auto"/>
              <w:rPr>
                <w:sz w:val="12"/>
                <w:szCs w:val="12"/>
              </w:rPr>
            </w:pPr>
            <w:r>
              <w:rPr>
                <w:sz w:val="12"/>
                <w:szCs w:val="12"/>
                <w:spacing w:val="-1"/>
              </w:rPr>
              <w:t>5000ml/瓶</w:t>
            </w:r>
          </w:p>
        </w:tc>
        <w:tc>
          <w:tcPr>
            <w:tcW w:w="2783" w:type="dxa"/>
            <w:vAlign w:val="top"/>
            <w:tcBorders>
              <w:bottom w:val="single" w:color="000000" w:sz="2" w:space="0"/>
              <w:top w:val="single" w:color="000000" w:sz="2" w:space="0"/>
            </w:tcBorders>
          </w:tcPr>
          <w:p>
            <w:pPr>
              <w:pStyle w:val="TableText"/>
              <w:ind w:left="18"/>
              <w:spacing w:before="104" w:line="247" w:lineRule="auto"/>
              <w:rPr>
                <w:sz w:val="12"/>
                <w:szCs w:val="12"/>
              </w:rPr>
            </w:pPr>
            <w:r>
              <w:rPr>
                <w:sz w:val="12"/>
                <w:szCs w:val="12"/>
                <w:spacing w:val="-1"/>
              </w:rPr>
              <w:t>提快根系生长发育内源动力，诱导刺激根系活力。提</w:t>
            </w:r>
            <w:r>
              <w:rPr>
                <w:sz w:val="12"/>
                <w:szCs w:val="12"/>
                <w:spacing w:val="16"/>
                <w:w w:val="101"/>
              </w:rPr>
              <w:t xml:space="preserve"> </w:t>
            </w:r>
            <w:r>
              <w:rPr>
                <w:sz w:val="12"/>
                <w:szCs w:val="12"/>
                <w:spacing w:val="-1"/>
              </w:rPr>
              <w:t>高移栽成活率，促进草坪快速生根成块</w:t>
            </w:r>
          </w:p>
        </w:tc>
      </w:tr>
      <w:tr>
        <w:trPr>
          <w:trHeight w:val="499" w:hRule="atLeast"/>
        </w:trPr>
        <w:tc>
          <w:tcPr>
            <w:tcW w:w="415" w:type="dxa"/>
            <w:vAlign w:val="top"/>
            <w:vMerge w:val="continue"/>
            <w:tcBorders>
              <w:bottom w:val="single" w:color="000000" w:sz="2" w:space="0"/>
              <w:top w:val="nil"/>
            </w:tcBorders>
          </w:tcPr>
          <w:p>
            <w:pPr>
              <w:rPr>
                <w:rFonts w:ascii="Arial"/>
                <w:sz w:val="21"/>
              </w:rPr>
            </w:pPr>
            <w:r/>
          </w:p>
        </w:tc>
        <w:tc>
          <w:tcPr>
            <w:tcW w:w="560" w:type="dxa"/>
            <w:vAlign w:val="top"/>
            <w:vMerge w:val="continue"/>
            <w:tcBorders>
              <w:bottom w:val="single" w:color="000000" w:sz="2" w:space="0"/>
              <w:top w:val="nil"/>
            </w:tcBorders>
          </w:tcPr>
          <w:p>
            <w:pPr>
              <w:rPr>
                <w:rFonts w:ascii="Arial"/>
                <w:sz w:val="21"/>
              </w:rPr>
            </w:pPr>
            <w:r/>
          </w:p>
        </w:tc>
        <w:tc>
          <w:tcPr>
            <w:tcW w:w="939" w:type="dxa"/>
            <w:vAlign w:val="top"/>
            <w:vMerge w:val="continue"/>
            <w:tcBorders>
              <w:bottom w:val="single" w:color="000000" w:sz="2" w:space="0"/>
              <w:top w:val="nil"/>
            </w:tcBorders>
          </w:tcPr>
          <w:p>
            <w:pPr>
              <w:rPr>
                <w:rFonts w:ascii="Arial"/>
                <w:sz w:val="21"/>
              </w:rPr>
            </w:pPr>
            <w:r/>
          </w:p>
        </w:tc>
        <w:tc>
          <w:tcPr>
            <w:tcW w:w="2668" w:type="dxa"/>
            <w:vAlign w:val="top"/>
            <w:vMerge w:val="continue"/>
            <w:tcBorders>
              <w:bottom w:val="single" w:color="000000" w:sz="2" w:space="0"/>
              <w:top w:val="nil"/>
            </w:tcBorders>
          </w:tcPr>
          <w:p>
            <w:pPr>
              <w:rPr>
                <w:rFonts w:ascii="Arial"/>
                <w:sz w:val="21"/>
              </w:rPr>
            </w:pPr>
            <w:r/>
          </w:p>
        </w:tc>
        <w:tc>
          <w:tcPr>
            <w:tcW w:w="1279" w:type="dxa"/>
            <w:vAlign w:val="top"/>
            <w:tcBorders>
              <w:bottom w:val="single" w:color="000000" w:sz="2" w:space="0"/>
              <w:top w:val="single" w:color="000000" w:sz="2" w:space="0"/>
            </w:tcBorders>
          </w:tcPr>
          <w:p>
            <w:pPr>
              <w:pStyle w:val="TableText"/>
              <w:ind w:left="333"/>
              <w:spacing w:before="194" w:line="219" w:lineRule="auto"/>
              <w:rPr>
                <w:sz w:val="12"/>
                <w:szCs w:val="12"/>
              </w:rPr>
            </w:pPr>
            <w:r>
              <w:rPr>
                <w:sz w:val="12"/>
                <w:szCs w:val="12"/>
                <w:spacing w:val="2"/>
              </w:rPr>
              <w:t>国光树动力</w:t>
            </w:r>
          </w:p>
        </w:tc>
        <w:tc>
          <w:tcPr>
            <w:tcW w:w="1859" w:type="dxa"/>
            <w:vAlign w:val="top"/>
            <w:tcBorders>
              <w:bottom w:val="single" w:color="000000" w:sz="2" w:space="0"/>
              <w:top w:val="single" w:color="000000" w:sz="2" w:space="0"/>
            </w:tcBorders>
          </w:tcPr>
          <w:p>
            <w:pPr>
              <w:pStyle w:val="TableText"/>
              <w:ind w:left="684" w:right="30" w:hanging="660"/>
              <w:spacing w:before="134" w:line="232" w:lineRule="auto"/>
              <w:rPr>
                <w:sz w:val="12"/>
                <w:szCs w:val="12"/>
              </w:rPr>
            </w:pPr>
            <w:r>
              <w:rPr>
                <w:sz w:val="12"/>
                <w:szCs w:val="12"/>
                <w:spacing w:val="-1"/>
              </w:rPr>
              <w:t>细胞分裂类高话性物质，含丰富矿</w:t>
            </w:r>
            <w:r>
              <w:rPr>
                <w:sz w:val="12"/>
                <w:szCs w:val="12"/>
                <w:spacing w:val="8"/>
              </w:rPr>
              <w:t xml:space="preserve"> </w:t>
            </w:r>
            <w:r>
              <w:rPr>
                <w:sz w:val="12"/>
                <w:szCs w:val="12"/>
                <w:spacing w:val="-1"/>
              </w:rPr>
              <w:t>物质溶剂</w:t>
            </w:r>
          </w:p>
        </w:tc>
        <w:tc>
          <w:tcPr>
            <w:tcW w:w="1609" w:type="dxa"/>
            <w:vAlign w:val="top"/>
            <w:tcBorders>
              <w:bottom w:val="single" w:color="000000" w:sz="2" w:space="0"/>
              <w:top w:val="single" w:color="000000" w:sz="2" w:space="0"/>
            </w:tcBorders>
          </w:tcPr>
          <w:p>
            <w:pPr>
              <w:pStyle w:val="TableText"/>
              <w:ind w:left="54" w:right="29" w:hanging="39"/>
              <w:spacing w:before="145" w:line="209" w:lineRule="auto"/>
              <w:rPr>
                <w:sz w:val="12"/>
                <w:szCs w:val="12"/>
              </w:rPr>
            </w:pPr>
            <w:r>
              <w:rPr>
                <w:sz w:val="12"/>
                <w:szCs w:val="12"/>
                <w:spacing w:val="-1"/>
              </w:rPr>
              <w:t>直接使用。一般胸径8-10cn插</w:t>
            </w:r>
            <w:r>
              <w:rPr>
                <w:sz w:val="12"/>
                <w:szCs w:val="12"/>
                <w:spacing w:val="9"/>
              </w:rPr>
              <w:t xml:space="preserve"> </w:t>
            </w:r>
            <w:r>
              <w:rPr>
                <w:sz w:val="12"/>
                <w:szCs w:val="12"/>
                <w:spacing w:val="-1"/>
              </w:rPr>
              <w:t>瓶，胸径每增加10c增加1瓶</w:t>
            </w:r>
          </w:p>
        </w:tc>
        <w:tc>
          <w:tcPr>
            <w:tcW w:w="1029" w:type="dxa"/>
            <w:vAlign w:val="top"/>
            <w:vMerge w:val="continue"/>
            <w:tcBorders>
              <w:bottom w:val="single" w:color="000000" w:sz="2" w:space="0"/>
              <w:top w:val="nil"/>
            </w:tcBorders>
          </w:tcPr>
          <w:p>
            <w:pPr>
              <w:rPr>
                <w:rFonts w:ascii="Arial"/>
                <w:sz w:val="21"/>
              </w:rPr>
            </w:pPr>
            <w:r/>
          </w:p>
        </w:tc>
        <w:tc>
          <w:tcPr>
            <w:tcW w:w="719" w:type="dxa"/>
            <w:vAlign w:val="top"/>
            <w:tcBorders>
              <w:bottom w:val="single" w:color="000000" w:sz="2" w:space="0"/>
              <w:top w:val="single" w:color="000000" w:sz="2" w:space="0"/>
            </w:tcBorders>
          </w:tcPr>
          <w:p>
            <w:pPr>
              <w:pStyle w:val="TableText"/>
              <w:ind w:left="117"/>
              <w:spacing w:before="195" w:line="221" w:lineRule="auto"/>
              <w:rPr>
                <w:sz w:val="12"/>
                <w:szCs w:val="12"/>
              </w:rPr>
            </w:pPr>
            <w:r>
              <w:rPr>
                <w:sz w:val="12"/>
                <w:szCs w:val="12"/>
                <w:spacing w:val="-1"/>
              </w:rPr>
              <w:t>300nl/瓶</w:t>
            </w:r>
          </w:p>
        </w:tc>
        <w:tc>
          <w:tcPr>
            <w:tcW w:w="2783" w:type="dxa"/>
            <w:vAlign w:val="top"/>
            <w:tcBorders>
              <w:bottom w:val="single" w:color="000000" w:sz="2" w:space="0"/>
              <w:top w:val="single" w:color="000000" w:sz="2" w:space="0"/>
            </w:tcBorders>
          </w:tcPr>
          <w:p>
            <w:pPr>
              <w:pStyle w:val="TableText"/>
              <w:ind w:left="18"/>
              <w:spacing w:before="194" w:line="219" w:lineRule="auto"/>
              <w:rPr>
                <w:sz w:val="12"/>
                <w:szCs w:val="12"/>
              </w:rPr>
            </w:pPr>
            <w:r>
              <w:rPr>
                <w:sz w:val="12"/>
                <w:szCs w:val="12"/>
                <w:spacing w:val="-1"/>
              </w:rPr>
              <w:t>大树直插瓶，大树古树复壮</w:t>
            </w:r>
          </w:p>
        </w:tc>
      </w:tr>
    </w:tbl>
    <w:p>
      <w:pPr>
        <w:spacing w:line="14" w:lineRule="auto"/>
        <w:rPr>
          <w:rFonts w:ascii="Arial"/>
          <w:sz w:val="2"/>
        </w:rPr>
      </w:pPr>
      <w:r/>
    </w:p>
    <w:p>
      <w:pPr>
        <w:spacing w:line="14" w:lineRule="auto"/>
        <w:sectPr>
          <w:pgSz w:w="14490" w:h="10240"/>
          <w:pgMar w:top="125" w:right="334" w:bottom="274" w:left="284" w:header="0" w:footer="0" w:gutter="0"/>
        </w:sectPr>
        <w:rPr>
          <w:rFonts w:ascii="Arial" w:hAnsi="Arial" w:eastAsia="Arial" w:cs="Arial"/>
          <w:sz w:val="2"/>
          <w:szCs w:val="2"/>
        </w:rPr>
      </w:pPr>
    </w:p>
    <w:tbl>
      <w:tblPr>
        <w:tblStyle w:val="TableNormal"/>
        <w:tblW w:w="138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70"/>
        <w:gridCol w:w="929"/>
        <w:gridCol w:w="2668"/>
        <w:gridCol w:w="1279"/>
        <w:gridCol w:w="1869"/>
        <w:gridCol w:w="1609"/>
        <w:gridCol w:w="1029"/>
        <w:gridCol w:w="709"/>
        <w:gridCol w:w="2783"/>
      </w:tblGrid>
      <w:tr>
        <w:trPr>
          <w:trHeight w:val="514" w:hRule="atLeast"/>
        </w:trPr>
        <w:tc>
          <w:tcPr>
            <w:tcW w:w="415" w:type="dxa"/>
            <w:vAlign w:val="top"/>
          </w:tcPr>
          <w:p>
            <w:pPr>
              <w:pStyle w:val="TableText"/>
              <w:ind w:left="76"/>
              <w:spacing w:before="198" w:line="219" w:lineRule="auto"/>
              <w:rPr>
                <w:sz w:val="12"/>
                <w:szCs w:val="12"/>
              </w:rPr>
            </w:pPr>
            <w:r>
              <w:rPr>
                <w:sz w:val="12"/>
                <w:szCs w:val="12"/>
                <w:b/>
                <w:bCs/>
                <w:spacing w:val="-3"/>
              </w:rPr>
              <w:t>分类</w:t>
            </w:r>
          </w:p>
        </w:tc>
        <w:tc>
          <w:tcPr>
            <w:tcW w:w="570" w:type="dxa"/>
            <w:vAlign w:val="top"/>
          </w:tcPr>
          <w:p>
            <w:pPr>
              <w:pStyle w:val="TableText"/>
              <w:ind w:left="31"/>
              <w:spacing w:before="48" w:line="219" w:lineRule="auto"/>
              <w:rPr>
                <w:sz w:val="12"/>
                <w:szCs w:val="12"/>
              </w:rPr>
            </w:pPr>
            <w:r>
              <w:rPr>
                <w:sz w:val="12"/>
                <w:szCs w:val="12"/>
                <w:b/>
                <w:bCs/>
                <w:spacing w:val="-3"/>
              </w:rPr>
              <w:t>消杀预防</w:t>
            </w:r>
          </w:p>
          <w:p>
            <w:pPr>
              <w:pStyle w:val="TableText"/>
              <w:ind w:left="31"/>
              <w:spacing w:before="17" w:line="215" w:lineRule="auto"/>
              <w:rPr>
                <w:sz w:val="12"/>
                <w:szCs w:val="12"/>
              </w:rPr>
            </w:pPr>
            <w:r>
              <w:rPr>
                <w:sz w:val="12"/>
                <w:szCs w:val="12"/>
                <w:b/>
                <w:bCs/>
                <w:spacing w:val="-3"/>
              </w:rPr>
              <w:t>及病虫害</w:t>
            </w:r>
          </w:p>
          <w:p>
            <w:pPr>
              <w:pStyle w:val="TableText"/>
              <w:ind w:left="151"/>
              <w:spacing w:line="219" w:lineRule="auto"/>
              <w:rPr>
                <w:sz w:val="12"/>
                <w:szCs w:val="12"/>
              </w:rPr>
            </w:pPr>
            <w:r>
              <w:rPr>
                <w:sz w:val="12"/>
                <w:szCs w:val="12"/>
                <w:b/>
                <w:bCs/>
                <w:spacing w:val="-3"/>
              </w:rPr>
              <w:t>分类</w:t>
            </w:r>
          </w:p>
        </w:tc>
        <w:tc>
          <w:tcPr>
            <w:tcW w:w="929" w:type="dxa"/>
            <w:vAlign w:val="top"/>
          </w:tcPr>
          <w:p>
            <w:pPr>
              <w:pStyle w:val="TableText"/>
              <w:ind w:left="151"/>
              <w:spacing w:before="198" w:line="219" w:lineRule="auto"/>
              <w:rPr>
                <w:sz w:val="12"/>
                <w:szCs w:val="12"/>
              </w:rPr>
            </w:pPr>
            <w:r>
              <w:rPr>
                <w:sz w:val="12"/>
                <w:szCs w:val="12"/>
                <w:b/>
                <w:bCs/>
                <w:spacing w:val="-3"/>
              </w:rPr>
              <w:t>常见病虫害</w:t>
            </w:r>
          </w:p>
        </w:tc>
        <w:tc>
          <w:tcPr>
            <w:tcW w:w="2668" w:type="dxa"/>
            <w:vAlign w:val="top"/>
          </w:tcPr>
          <w:p>
            <w:pPr>
              <w:pStyle w:val="TableText"/>
              <w:ind w:left="962"/>
              <w:spacing w:before="198" w:line="219" w:lineRule="auto"/>
              <w:rPr>
                <w:sz w:val="12"/>
                <w:szCs w:val="12"/>
              </w:rPr>
            </w:pPr>
            <w:r>
              <w:rPr>
                <w:sz w:val="12"/>
                <w:szCs w:val="12"/>
                <w:b/>
                <w:bCs/>
                <w:spacing w:val="-3"/>
              </w:rPr>
              <w:t>主要发病月份</w:t>
            </w:r>
          </w:p>
        </w:tc>
        <w:tc>
          <w:tcPr>
            <w:tcW w:w="1279" w:type="dxa"/>
            <w:vAlign w:val="top"/>
          </w:tcPr>
          <w:p>
            <w:pPr>
              <w:pStyle w:val="TableText"/>
              <w:ind w:left="394"/>
              <w:spacing w:before="198" w:line="220" w:lineRule="auto"/>
              <w:rPr>
                <w:sz w:val="12"/>
                <w:szCs w:val="12"/>
              </w:rPr>
            </w:pPr>
            <w:r>
              <w:rPr>
                <w:sz w:val="12"/>
                <w:szCs w:val="12"/>
                <w:b/>
                <w:bCs/>
                <w:spacing w:val="-3"/>
              </w:rPr>
              <w:t>药品名称</w:t>
            </w:r>
          </w:p>
        </w:tc>
        <w:tc>
          <w:tcPr>
            <w:tcW w:w="1869" w:type="dxa"/>
            <w:vAlign w:val="top"/>
          </w:tcPr>
          <w:p>
            <w:pPr>
              <w:pStyle w:val="TableText"/>
              <w:ind w:left="685"/>
              <w:spacing w:before="198" w:line="220" w:lineRule="auto"/>
              <w:rPr>
                <w:sz w:val="12"/>
                <w:szCs w:val="12"/>
              </w:rPr>
            </w:pPr>
            <w:r>
              <w:rPr>
                <w:sz w:val="12"/>
                <w:szCs w:val="12"/>
                <w:b/>
                <w:bCs/>
                <w:spacing w:val="-3"/>
              </w:rPr>
              <w:t>主要成分</w:t>
            </w:r>
          </w:p>
        </w:tc>
        <w:tc>
          <w:tcPr>
            <w:tcW w:w="1609" w:type="dxa"/>
            <w:vAlign w:val="top"/>
          </w:tcPr>
          <w:p>
            <w:pPr>
              <w:pStyle w:val="TableText"/>
              <w:ind w:left="556"/>
              <w:spacing w:before="198" w:line="219" w:lineRule="auto"/>
              <w:rPr>
                <w:sz w:val="12"/>
                <w:szCs w:val="12"/>
              </w:rPr>
            </w:pPr>
            <w:r>
              <w:rPr>
                <w:sz w:val="12"/>
                <w:szCs w:val="12"/>
                <w:b/>
                <w:bCs/>
                <w:spacing w:val="-3"/>
              </w:rPr>
              <w:t>使用倍率</w:t>
            </w:r>
          </w:p>
        </w:tc>
        <w:tc>
          <w:tcPr>
            <w:tcW w:w="1029" w:type="dxa"/>
            <w:vAlign w:val="top"/>
          </w:tcPr>
          <w:p>
            <w:pPr>
              <w:pStyle w:val="TableText"/>
              <w:ind w:left="267"/>
              <w:spacing w:before="198" w:line="219" w:lineRule="auto"/>
              <w:rPr>
                <w:sz w:val="12"/>
                <w:szCs w:val="12"/>
              </w:rPr>
            </w:pPr>
            <w:r>
              <w:rPr>
                <w:sz w:val="12"/>
                <w:szCs w:val="12"/>
                <w:b/>
                <w:bCs/>
                <w:spacing w:val="-3"/>
              </w:rPr>
              <w:t>施用次数</w:t>
            </w:r>
          </w:p>
        </w:tc>
        <w:tc>
          <w:tcPr>
            <w:tcW w:w="709" w:type="dxa"/>
            <w:vAlign w:val="top"/>
          </w:tcPr>
          <w:p>
            <w:pPr>
              <w:pStyle w:val="TableText"/>
              <w:ind w:left="228"/>
              <w:spacing w:before="198" w:line="219" w:lineRule="auto"/>
              <w:rPr>
                <w:sz w:val="12"/>
                <w:szCs w:val="12"/>
              </w:rPr>
            </w:pPr>
            <w:r>
              <w:rPr>
                <w:sz w:val="12"/>
                <w:szCs w:val="12"/>
                <w:b/>
                <w:bCs/>
                <w:spacing w:val="-3"/>
              </w:rPr>
              <w:t>规格</w:t>
            </w:r>
          </w:p>
        </w:tc>
        <w:tc>
          <w:tcPr>
            <w:tcW w:w="2783" w:type="dxa"/>
            <w:vAlign w:val="top"/>
          </w:tcPr>
          <w:p>
            <w:pPr>
              <w:pStyle w:val="TableText"/>
              <w:ind w:left="1279"/>
              <w:spacing w:before="198" w:line="221" w:lineRule="auto"/>
              <w:rPr>
                <w:sz w:val="12"/>
                <w:szCs w:val="12"/>
              </w:rPr>
            </w:pPr>
            <w:r>
              <w:rPr>
                <w:sz w:val="12"/>
                <w:szCs w:val="12"/>
                <w:b/>
                <w:bCs/>
                <w:spacing w:val="-3"/>
              </w:rPr>
              <w:t>备注</w:t>
            </w:r>
          </w:p>
        </w:tc>
      </w:tr>
      <w:tr>
        <w:trPr>
          <w:trHeight w:val="489" w:hRule="atLeast"/>
        </w:trPr>
        <w:tc>
          <w:tcPr>
            <w:tcW w:w="415" w:type="dxa"/>
            <w:vAlign w:val="top"/>
            <w:vMerge w:val="restart"/>
            <w:tcBorders>
              <w:bottom w:val="nil"/>
            </w:tcBorders>
          </w:tcPr>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4"/>
              <w:spacing w:before="39" w:line="219" w:lineRule="auto"/>
              <w:rPr>
                <w:sz w:val="12"/>
                <w:szCs w:val="12"/>
              </w:rPr>
            </w:pPr>
            <w:r>
              <w:rPr>
                <w:sz w:val="12"/>
                <w:szCs w:val="12"/>
                <w:spacing w:val="-2"/>
              </w:rPr>
              <w:t>营养剂</w:t>
            </w:r>
          </w:p>
          <w:p>
            <w:pPr>
              <w:pStyle w:val="TableText"/>
              <w:ind w:left="34"/>
              <w:spacing w:before="7" w:line="219" w:lineRule="auto"/>
              <w:rPr>
                <w:sz w:val="12"/>
                <w:szCs w:val="12"/>
              </w:rPr>
            </w:pPr>
            <w:r>
              <w:rPr>
                <w:sz w:val="12"/>
                <w:szCs w:val="12"/>
                <w:spacing w:val="-1"/>
              </w:rPr>
              <w:t>/肥料</w:t>
            </w:r>
          </w:p>
        </w:tc>
        <w:tc>
          <w:tcPr>
            <w:tcW w:w="570"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30"/>
              <w:spacing w:before="39" w:line="219" w:lineRule="auto"/>
              <w:rPr>
                <w:sz w:val="12"/>
                <w:szCs w:val="12"/>
              </w:rPr>
            </w:pPr>
            <w:r>
              <w:rPr>
                <w:sz w:val="12"/>
                <w:szCs w:val="12"/>
                <w:spacing w:val="-1"/>
              </w:rPr>
              <w:t>树木复壮</w:t>
            </w:r>
          </w:p>
        </w:tc>
        <w:tc>
          <w:tcPr>
            <w:tcW w:w="929" w:type="dxa"/>
            <w:vAlign w:val="top"/>
            <w:vMerge w:val="restart"/>
            <w:tcBorders>
              <w:bottom w:val="nil"/>
            </w:tcBorders>
          </w:tcPr>
          <w:p>
            <w:pPr>
              <w:spacing w:line="283" w:lineRule="auto"/>
              <w:rPr>
                <w:rFonts w:ascii="Arial"/>
                <w:sz w:val="21"/>
              </w:rPr>
            </w:pPr>
            <w: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30"/>
              <w:spacing w:before="39" w:line="219" w:lineRule="auto"/>
              <w:rPr>
                <w:sz w:val="12"/>
                <w:szCs w:val="12"/>
              </w:rPr>
            </w:pPr>
            <w:r>
              <w:rPr>
                <w:sz w:val="12"/>
                <w:szCs w:val="12"/>
                <w:spacing w:val="-1"/>
              </w:rPr>
              <w:t>树木长势弱，出</w:t>
            </w:r>
          </w:p>
          <w:p>
            <w:pPr>
              <w:pStyle w:val="TableText"/>
              <w:ind w:left="90"/>
              <w:spacing w:before="17" w:line="200" w:lineRule="auto"/>
              <w:rPr>
                <w:sz w:val="12"/>
                <w:szCs w:val="12"/>
              </w:rPr>
            </w:pPr>
            <w:r>
              <w:rPr>
                <w:sz w:val="12"/>
                <w:szCs w:val="12"/>
                <w:spacing w:val="-1"/>
              </w:rPr>
              <w:t>现叶片失绿现</w:t>
            </w:r>
          </w:p>
          <w:p>
            <w:pPr>
              <w:pStyle w:val="TableText"/>
              <w:ind w:left="70"/>
              <w:spacing w:line="219" w:lineRule="auto"/>
              <w:rPr>
                <w:sz w:val="12"/>
                <w:szCs w:val="12"/>
              </w:rPr>
            </w:pPr>
            <w:r>
              <w:rPr>
                <w:sz w:val="12"/>
                <w:szCs w:val="12"/>
                <w:spacing w:val="-2"/>
              </w:rPr>
              <w:t>象，或高大乔木</w:t>
            </w:r>
          </w:p>
          <w:p>
            <w:pPr>
              <w:pStyle w:val="TableText"/>
              <w:ind w:left="150"/>
              <w:spacing w:before="17" w:line="219" w:lineRule="auto"/>
              <w:rPr>
                <w:sz w:val="12"/>
                <w:szCs w:val="12"/>
              </w:rPr>
            </w:pPr>
            <w:r>
              <w:rPr>
                <w:sz w:val="12"/>
                <w:szCs w:val="12"/>
                <w:spacing w:val="-1"/>
              </w:rPr>
              <w:t>及贵重树木</w:t>
            </w:r>
          </w:p>
        </w:tc>
        <w:tc>
          <w:tcPr>
            <w:tcW w:w="2668" w:type="dxa"/>
            <w:vAlign w:val="top"/>
            <w:vMerge w:val="restart"/>
            <w:tcBorders>
              <w:bottom w:val="nil"/>
            </w:tcBorders>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0" w:hanging="9"/>
              <w:spacing w:before="39" w:line="216" w:lineRule="auto"/>
              <w:rPr>
                <w:sz w:val="12"/>
                <w:szCs w:val="12"/>
              </w:rPr>
            </w:pPr>
            <w:r>
              <w:rPr>
                <w:sz w:val="12"/>
                <w:szCs w:val="12"/>
                <w:spacing w:val="-2"/>
              </w:rPr>
              <w:t>一、5-9月份受到台风暴雨的影响，树木根部积水，</w:t>
            </w:r>
            <w:r>
              <w:rPr>
                <w:sz w:val="12"/>
                <w:szCs w:val="12"/>
                <w:spacing w:val="3"/>
              </w:rPr>
              <w:t xml:space="preserve"> </w:t>
            </w:r>
            <w:r>
              <w:rPr>
                <w:sz w:val="12"/>
                <w:szCs w:val="12"/>
                <w:spacing w:val="-3"/>
              </w:rPr>
              <w:t>造成清害，注意排水及土壤松土透气：连续高温无</w:t>
            </w:r>
            <w:r>
              <w:rPr>
                <w:sz w:val="12"/>
                <w:szCs w:val="12"/>
                <w:spacing w:val="9"/>
              </w:rPr>
              <w:t xml:space="preserve">  </w:t>
            </w:r>
            <w:r>
              <w:rPr>
                <w:sz w:val="12"/>
                <w:szCs w:val="12"/>
                <w:spacing w:val="-1"/>
              </w:rPr>
              <w:t>雨季节，植物萎蔫严重，采取措施保持树冠本分：</w:t>
            </w:r>
          </w:p>
          <w:p>
            <w:pPr>
              <w:pStyle w:val="TableText"/>
              <w:ind w:left="11" w:right="1" w:firstLine="9"/>
              <w:spacing w:line="224" w:lineRule="auto"/>
              <w:rPr>
                <w:sz w:val="12"/>
                <w:szCs w:val="12"/>
              </w:rPr>
            </w:pPr>
            <w:r>
              <w:rPr>
                <w:sz w:val="12"/>
                <w:szCs w:val="12"/>
                <w:spacing w:val="-1"/>
              </w:rPr>
              <w:t>三.12月一次年1月，注意寒害后树木的养护，根据</w:t>
            </w:r>
            <w:r>
              <w:rPr>
                <w:sz w:val="12"/>
                <w:szCs w:val="12"/>
                <w:spacing w:val="18"/>
              </w:rPr>
              <w:t xml:space="preserve"> </w:t>
            </w:r>
            <w:r>
              <w:rPr>
                <w:sz w:val="12"/>
                <w:szCs w:val="12"/>
              </w:rPr>
              <w:t>天气预报适时喷施抗冻剂，及时配合修剪。</w:t>
            </w:r>
          </w:p>
        </w:tc>
        <w:tc>
          <w:tcPr>
            <w:tcW w:w="1279" w:type="dxa"/>
            <w:vAlign w:val="top"/>
          </w:tcPr>
          <w:p>
            <w:pPr>
              <w:pStyle w:val="TableText"/>
              <w:ind w:left="333"/>
              <w:spacing w:before="186" w:line="220" w:lineRule="auto"/>
              <w:rPr>
                <w:sz w:val="12"/>
                <w:szCs w:val="12"/>
              </w:rPr>
            </w:pPr>
            <w:r>
              <w:rPr>
                <w:sz w:val="12"/>
                <w:szCs w:val="12"/>
                <w:spacing w:val="1"/>
              </w:rPr>
              <w:t>中威激活液</w:t>
            </w:r>
          </w:p>
        </w:tc>
        <w:tc>
          <w:tcPr>
            <w:tcW w:w="1869" w:type="dxa"/>
            <w:vAlign w:val="top"/>
          </w:tcPr>
          <w:p>
            <w:pPr>
              <w:pStyle w:val="TableText"/>
              <w:ind w:left="444"/>
              <w:spacing w:before="184" w:line="216" w:lineRule="auto"/>
              <w:rPr>
                <w:sz w:val="12"/>
                <w:szCs w:val="12"/>
              </w:rPr>
            </w:pPr>
            <w:r>
              <w:rPr>
                <w:sz w:val="12"/>
                <w:szCs w:val="12"/>
                <w:spacing w:val="-1"/>
              </w:rPr>
              <w:t>6B-A,复硝酚钠10%</w:t>
            </w:r>
          </w:p>
        </w:tc>
        <w:tc>
          <w:tcPr>
            <w:tcW w:w="1609" w:type="dxa"/>
            <w:vAlign w:val="top"/>
          </w:tcPr>
          <w:p>
            <w:pPr>
              <w:pStyle w:val="TableText"/>
              <w:ind w:left="74" w:right="28" w:hanging="59"/>
              <w:spacing w:before="125" w:line="210" w:lineRule="auto"/>
              <w:rPr>
                <w:sz w:val="12"/>
                <w:szCs w:val="12"/>
              </w:rPr>
            </w:pPr>
            <w:r>
              <w:rPr>
                <w:sz w:val="12"/>
                <w:szCs w:val="12"/>
                <w:spacing w:val="-1"/>
              </w:rPr>
              <w:t>直接使用。一般胸径8-10cn插</w:t>
            </w:r>
            <w:r>
              <w:rPr>
                <w:sz w:val="12"/>
                <w:szCs w:val="12"/>
                <w:spacing w:val="9"/>
              </w:rPr>
              <w:t xml:space="preserve"> </w:t>
            </w:r>
            <w:r>
              <w:rPr>
                <w:sz w:val="12"/>
                <w:szCs w:val="12"/>
                <w:spacing w:val="-1"/>
              </w:rPr>
              <w:t>瓶，胸径每增加10m增加11瓶</w:t>
            </w:r>
          </w:p>
        </w:tc>
        <w:tc>
          <w:tcPr>
            <w:tcW w:w="1029" w:type="dxa"/>
            <w:vAlign w:val="top"/>
            <w:vMerge w:val="restart"/>
            <w:tcBorders>
              <w:bottom w:val="nil"/>
            </w:tcBorders>
          </w:tcPr>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86"/>
              <w:spacing w:before="39" w:line="219" w:lineRule="auto"/>
              <w:rPr>
                <w:sz w:val="12"/>
                <w:szCs w:val="12"/>
              </w:rPr>
            </w:pPr>
            <w:r>
              <w:rPr>
                <w:sz w:val="12"/>
                <w:szCs w:val="12"/>
                <w:spacing w:val="-1"/>
              </w:rPr>
              <w:t>视树木生长情况</w:t>
            </w:r>
          </w:p>
        </w:tc>
        <w:tc>
          <w:tcPr>
            <w:tcW w:w="709" w:type="dxa"/>
            <w:vAlign w:val="top"/>
          </w:tcPr>
          <w:p>
            <w:pPr>
              <w:pStyle w:val="TableText"/>
              <w:ind w:left="107"/>
              <w:spacing w:before="186" w:line="221" w:lineRule="auto"/>
              <w:rPr>
                <w:sz w:val="12"/>
                <w:szCs w:val="12"/>
              </w:rPr>
            </w:pPr>
            <w:r>
              <w:rPr>
                <w:sz w:val="12"/>
                <w:szCs w:val="12"/>
                <w:spacing w:val="-1"/>
              </w:rPr>
              <w:t>350ml/瓶</w:t>
            </w:r>
          </w:p>
        </w:tc>
        <w:tc>
          <w:tcPr>
            <w:tcW w:w="2783" w:type="dxa"/>
            <w:vAlign w:val="top"/>
          </w:tcPr>
          <w:p>
            <w:pPr>
              <w:pStyle w:val="TableText"/>
              <w:ind w:left="18"/>
              <w:spacing w:before="125" w:line="211" w:lineRule="auto"/>
              <w:rPr>
                <w:sz w:val="12"/>
                <w:szCs w:val="12"/>
              </w:rPr>
            </w:pPr>
            <w:r>
              <w:rPr>
                <w:sz w:val="12"/>
                <w:szCs w:val="12"/>
                <w:spacing w:val="-1"/>
              </w:rPr>
              <w:t>补充水分养分，促进发芽，防止黄叶，菱芎，生理性</w:t>
            </w:r>
            <w:r>
              <w:rPr>
                <w:sz w:val="12"/>
                <w:szCs w:val="12"/>
                <w:spacing w:val="16"/>
                <w:w w:val="101"/>
              </w:rPr>
              <w:t xml:space="preserve"> </w:t>
            </w:r>
            <w:r>
              <w:rPr>
                <w:sz w:val="12"/>
                <w:szCs w:val="12"/>
                <w:spacing w:val="-2"/>
              </w:rPr>
              <w:t>病害</w:t>
            </w:r>
          </w:p>
        </w:tc>
      </w:tr>
      <w:tr>
        <w:trPr>
          <w:trHeight w:val="460"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333"/>
              <w:spacing w:before="166" w:line="219" w:lineRule="auto"/>
              <w:rPr>
                <w:sz w:val="12"/>
                <w:szCs w:val="12"/>
              </w:rPr>
            </w:pPr>
            <w:r>
              <w:rPr>
                <w:sz w:val="12"/>
                <w:szCs w:val="12"/>
                <w:spacing w:val="-1"/>
              </w:rPr>
              <w:t>有机复合肥</w:t>
            </w:r>
          </w:p>
        </w:tc>
        <w:tc>
          <w:tcPr>
            <w:tcW w:w="1869" w:type="dxa"/>
            <w:vAlign w:val="top"/>
          </w:tcPr>
          <w:p>
            <w:pPr>
              <w:pStyle w:val="TableText"/>
              <w:ind w:left="534"/>
              <w:spacing w:before="166" w:line="219" w:lineRule="auto"/>
              <w:rPr>
                <w:sz w:val="12"/>
                <w:szCs w:val="12"/>
              </w:rPr>
            </w:pPr>
            <w:r>
              <w:rPr>
                <w:sz w:val="12"/>
                <w:szCs w:val="12"/>
                <w:spacing w:val="-1"/>
              </w:rPr>
              <w:t>有机质含量45%</w:t>
            </w:r>
          </w:p>
        </w:tc>
        <w:tc>
          <w:tcPr>
            <w:tcW w:w="1609" w:type="dxa"/>
            <w:vAlign w:val="top"/>
          </w:tcPr>
          <w:p>
            <w:pPr>
              <w:pStyle w:val="TableText"/>
              <w:ind w:left="495"/>
              <w:spacing w:before="167" w:line="220" w:lineRule="auto"/>
              <w:rPr>
                <w:sz w:val="12"/>
                <w:szCs w:val="12"/>
              </w:rPr>
            </w:pPr>
            <w:r>
              <w:rPr>
                <w:sz w:val="12"/>
                <w:szCs w:val="12"/>
                <w:spacing w:val="-1"/>
              </w:rPr>
              <w:t>撒施或穴施</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37"/>
              <w:spacing w:before="162" w:line="214" w:lineRule="auto"/>
              <w:rPr>
                <w:sz w:val="12"/>
                <w:szCs w:val="12"/>
              </w:rPr>
            </w:pPr>
            <w:r>
              <w:rPr>
                <w:sz w:val="12"/>
                <w:szCs w:val="12"/>
                <w:spacing w:val="-1"/>
              </w:rPr>
              <w:t>50kg/袋</w:t>
            </w:r>
          </w:p>
        </w:tc>
        <w:tc>
          <w:tcPr>
            <w:tcW w:w="2783" w:type="dxa"/>
            <w:vAlign w:val="top"/>
          </w:tcPr>
          <w:p>
            <w:pPr>
              <w:pStyle w:val="TableText"/>
              <w:ind w:left="18"/>
              <w:spacing w:before="166" w:line="219" w:lineRule="auto"/>
              <w:rPr>
                <w:sz w:val="12"/>
                <w:szCs w:val="12"/>
              </w:rPr>
            </w:pPr>
            <w:r>
              <w:rPr>
                <w:sz w:val="12"/>
                <w:szCs w:val="12"/>
              </w:rPr>
              <w:t>营养较为全面，肥效长，改良土质</w:t>
            </w:r>
          </w:p>
        </w:tc>
      </w:tr>
      <w:tr>
        <w:trPr>
          <w:trHeight w:val="549"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393"/>
              <w:spacing w:before="216" w:line="219" w:lineRule="auto"/>
              <w:rPr>
                <w:sz w:val="12"/>
                <w:szCs w:val="12"/>
              </w:rPr>
            </w:pPr>
            <w:r>
              <w:rPr>
                <w:sz w:val="12"/>
                <w:szCs w:val="12"/>
                <w:spacing w:val="1"/>
              </w:rPr>
              <w:t>国光棒肥</w:t>
            </w:r>
          </w:p>
        </w:tc>
        <w:tc>
          <w:tcPr>
            <w:tcW w:w="1869" w:type="dxa"/>
            <w:vAlign w:val="top"/>
          </w:tcPr>
          <w:p>
            <w:pPr>
              <w:pStyle w:val="TableText"/>
              <w:ind w:left="144"/>
              <w:spacing w:before="216" w:line="219" w:lineRule="auto"/>
              <w:rPr>
                <w:sz w:val="12"/>
                <w:szCs w:val="12"/>
              </w:rPr>
            </w:pPr>
            <w:r>
              <w:rPr>
                <w:sz w:val="12"/>
                <w:szCs w:val="12"/>
                <w:spacing w:val="-1"/>
              </w:rPr>
              <w:t>微配、稀有元素、大量元素肥</w:t>
            </w:r>
          </w:p>
        </w:tc>
        <w:tc>
          <w:tcPr>
            <w:tcW w:w="1609" w:type="dxa"/>
            <w:vAlign w:val="top"/>
          </w:tcPr>
          <w:p>
            <w:pPr>
              <w:pStyle w:val="TableText"/>
              <w:ind w:left="15"/>
              <w:spacing w:before="6" w:line="219" w:lineRule="auto"/>
              <w:rPr>
                <w:sz w:val="12"/>
                <w:szCs w:val="12"/>
              </w:rPr>
            </w:pPr>
            <w:r>
              <w:rPr>
                <w:sz w:val="12"/>
                <w:szCs w:val="12"/>
                <w:spacing w:val="-1"/>
              </w:rPr>
              <w:t>直接使用，根据树的胸径进行</w:t>
            </w:r>
          </w:p>
          <w:p>
            <w:pPr>
              <w:pStyle w:val="TableText"/>
              <w:ind w:left="75"/>
              <w:spacing w:before="17" w:line="200" w:lineRule="auto"/>
              <w:rPr>
                <w:sz w:val="12"/>
                <w:szCs w:val="12"/>
              </w:rPr>
            </w:pPr>
            <w:r>
              <w:rPr>
                <w:sz w:val="12"/>
                <w:szCs w:val="12"/>
              </w:rPr>
              <w:t>调整：10cm一下的树1-2支，</w:t>
            </w:r>
          </w:p>
          <w:p>
            <w:pPr>
              <w:pStyle w:val="TableText"/>
              <w:ind w:left="35"/>
              <w:spacing w:line="185" w:lineRule="auto"/>
              <w:rPr>
                <w:sz w:val="12"/>
                <w:szCs w:val="12"/>
              </w:rPr>
            </w:pPr>
            <w:r>
              <w:rPr>
                <w:sz w:val="12"/>
                <w:szCs w:val="12"/>
                <w:spacing w:val="-1"/>
              </w:rPr>
              <w:t>10cn以上的树胸径每增加Ben</w:t>
            </w:r>
          </w:p>
          <w:p>
            <w:pPr>
              <w:pStyle w:val="TableText"/>
              <w:ind w:left="605"/>
              <w:spacing w:line="187" w:lineRule="auto"/>
              <w:rPr>
                <w:sz w:val="12"/>
                <w:szCs w:val="12"/>
              </w:rPr>
            </w:pPr>
            <w:r>
              <w:rPr>
                <w:sz w:val="12"/>
                <w:szCs w:val="12"/>
                <w:spacing w:val="-2"/>
              </w:rPr>
              <w:t>增i支</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7"/>
              <w:spacing w:before="217" w:line="220" w:lineRule="auto"/>
              <w:rPr>
                <w:sz w:val="12"/>
                <w:szCs w:val="12"/>
              </w:rPr>
            </w:pPr>
            <w:r>
              <w:rPr>
                <w:sz w:val="12"/>
                <w:szCs w:val="12"/>
                <w:spacing w:val="-1"/>
              </w:rPr>
              <w:t>3*15cn+40根</w:t>
            </w:r>
          </w:p>
        </w:tc>
        <w:tc>
          <w:tcPr>
            <w:tcW w:w="2783" w:type="dxa"/>
            <w:vAlign w:val="top"/>
          </w:tcPr>
          <w:p>
            <w:pPr>
              <w:pStyle w:val="TableText"/>
              <w:ind w:left="18"/>
              <w:spacing w:before="217" w:line="219" w:lineRule="auto"/>
              <w:rPr>
                <w:sz w:val="12"/>
                <w:szCs w:val="12"/>
              </w:rPr>
            </w:pPr>
            <w:r>
              <w:rPr>
                <w:sz w:val="12"/>
                <w:szCs w:val="12"/>
                <w:spacing w:val="-1"/>
              </w:rPr>
              <w:t>古树，病树，弱树复壮</w:t>
            </w:r>
          </w:p>
        </w:tc>
      </w:tr>
      <w:tr>
        <w:trPr>
          <w:trHeight w:val="470"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333"/>
              <w:spacing w:before="177" w:line="219" w:lineRule="auto"/>
              <w:rPr>
                <w:sz w:val="12"/>
                <w:szCs w:val="12"/>
              </w:rPr>
            </w:pPr>
            <w:r>
              <w:rPr>
                <w:sz w:val="12"/>
                <w:szCs w:val="12"/>
                <w:spacing w:val="-1"/>
              </w:rPr>
              <w:t>无机复合肥</w:t>
            </w:r>
          </w:p>
        </w:tc>
        <w:tc>
          <w:tcPr>
            <w:tcW w:w="1869" w:type="dxa"/>
            <w:vAlign w:val="top"/>
          </w:tcPr>
          <w:p>
            <w:pPr>
              <w:pStyle w:val="TableText"/>
              <w:ind w:left="54"/>
              <w:spacing w:before="107" w:line="219" w:lineRule="auto"/>
              <w:rPr>
                <w:sz w:val="12"/>
                <w:szCs w:val="12"/>
              </w:rPr>
            </w:pPr>
            <w:r>
              <w:rPr>
                <w:sz w:val="12"/>
                <w:szCs w:val="12"/>
                <w:spacing w:val="-1"/>
              </w:rPr>
              <w:t>大量元素肥(高氮中锌低磷或氮磷</w:t>
            </w:r>
          </w:p>
          <w:p>
            <w:pPr>
              <w:pStyle w:val="TableText"/>
              <w:ind w:left="714"/>
              <w:spacing w:before="18" w:line="220" w:lineRule="auto"/>
              <w:rPr>
                <w:sz w:val="12"/>
                <w:szCs w:val="12"/>
              </w:rPr>
            </w:pPr>
            <w:r>
              <w:rPr>
                <w:sz w:val="12"/>
                <w:szCs w:val="12"/>
                <w:spacing w:val="6"/>
              </w:rPr>
              <w:t>婢均衡)</w:t>
            </w:r>
          </w:p>
        </w:tc>
        <w:tc>
          <w:tcPr>
            <w:tcW w:w="1609" w:type="dxa"/>
            <w:vAlign w:val="top"/>
          </w:tcPr>
          <w:p>
            <w:pPr>
              <w:pStyle w:val="TableText"/>
              <w:ind w:left="555"/>
              <w:spacing w:before="177" w:line="219" w:lineRule="auto"/>
              <w:rPr>
                <w:sz w:val="12"/>
                <w:szCs w:val="12"/>
              </w:rPr>
            </w:pPr>
            <w:r>
              <w:rPr>
                <w:sz w:val="12"/>
                <w:szCs w:val="12"/>
                <w:spacing w:val="3"/>
              </w:rPr>
              <w:t>直接使用</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37"/>
              <w:spacing w:before="173" w:line="214" w:lineRule="auto"/>
              <w:rPr>
                <w:sz w:val="12"/>
                <w:szCs w:val="12"/>
              </w:rPr>
            </w:pPr>
            <w:r>
              <w:rPr>
                <w:sz w:val="12"/>
                <w:szCs w:val="12"/>
                <w:spacing w:val="-1"/>
              </w:rPr>
              <w:t>50kg/袋</w:t>
            </w:r>
          </w:p>
        </w:tc>
        <w:tc>
          <w:tcPr>
            <w:tcW w:w="2783" w:type="dxa"/>
            <w:vAlign w:val="top"/>
          </w:tcPr>
          <w:p>
            <w:pPr>
              <w:pStyle w:val="TableText"/>
              <w:ind w:left="18"/>
              <w:spacing w:before="177" w:line="219" w:lineRule="auto"/>
              <w:rPr>
                <w:sz w:val="12"/>
                <w:szCs w:val="12"/>
              </w:rPr>
            </w:pPr>
            <w:r>
              <w:rPr>
                <w:sz w:val="12"/>
                <w:szCs w:val="12"/>
                <w:spacing w:val="-1"/>
              </w:rPr>
              <w:t>古树，病桥，配树复壮</w:t>
            </w:r>
          </w:p>
        </w:tc>
      </w:tr>
      <w:tr>
        <w:trPr>
          <w:trHeight w:val="489"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273"/>
              <w:spacing w:before="187" w:line="219" w:lineRule="auto"/>
              <w:rPr>
                <w:sz w:val="12"/>
                <w:szCs w:val="12"/>
              </w:rPr>
            </w:pPr>
            <w:r>
              <w:rPr>
                <w:sz w:val="12"/>
                <w:szCs w:val="12"/>
                <w:spacing w:val="1"/>
              </w:rPr>
              <w:t>国光氩基酸钾</w:t>
            </w:r>
          </w:p>
        </w:tc>
        <w:tc>
          <w:tcPr>
            <w:tcW w:w="1869" w:type="dxa"/>
            <w:vAlign w:val="top"/>
          </w:tcPr>
          <w:p>
            <w:pPr>
              <w:pStyle w:val="TableText"/>
              <w:ind w:left="474"/>
              <w:spacing w:before="188" w:line="220" w:lineRule="auto"/>
              <w:rPr>
                <w:sz w:val="12"/>
                <w:szCs w:val="12"/>
              </w:rPr>
            </w:pPr>
            <w:r>
              <w:rPr>
                <w:sz w:val="12"/>
                <w:szCs w:val="12"/>
                <w:spacing w:val="1"/>
              </w:rPr>
              <w:t>12M躯基酸整合钾</w:t>
            </w:r>
          </w:p>
        </w:tc>
        <w:tc>
          <w:tcPr>
            <w:tcW w:w="1609" w:type="dxa"/>
            <w:vAlign w:val="top"/>
          </w:tcPr>
          <w:p>
            <w:pPr>
              <w:pStyle w:val="TableText"/>
              <w:ind w:left="465"/>
              <w:spacing w:before="188" w:line="220" w:lineRule="auto"/>
              <w:rPr>
                <w:sz w:val="12"/>
                <w:szCs w:val="12"/>
              </w:rPr>
            </w:pPr>
            <w:r>
              <w:rPr>
                <w:sz w:val="12"/>
                <w:szCs w:val="12"/>
                <w:spacing w:val="-1"/>
              </w:rPr>
              <w:t>600-800倍液</w:t>
            </w:r>
          </w:p>
        </w:tc>
        <w:tc>
          <w:tcPr>
            <w:tcW w:w="1029" w:type="dxa"/>
            <w:vAlign w:val="top"/>
            <w:vMerge w:val="continue"/>
            <w:tcBorders>
              <w:top w:val="nil"/>
            </w:tcBorders>
          </w:tcPr>
          <w:p>
            <w:pPr>
              <w:rPr>
                <w:rFonts w:ascii="Arial"/>
                <w:sz w:val="21"/>
              </w:rPr>
            </w:pPr>
            <w:r/>
          </w:p>
        </w:tc>
        <w:tc>
          <w:tcPr>
            <w:tcW w:w="709" w:type="dxa"/>
            <w:vAlign w:val="top"/>
          </w:tcPr>
          <w:p>
            <w:pPr>
              <w:pStyle w:val="TableText"/>
              <w:ind w:left="137"/>
              <w:spacing w:before="183" w:line="214" w:lineRule="auto"/>
              <w:rPr>
                <w:sz w:val="12"/>
                <w:szCs w:val="12"/>
              </w:rPr>
            </w:pPr>
            <w:r>
              <w:rPr>
                <w:sz w:val="12"/>
                <w:szCs w:val="12"/>
                <w:spacing w:val="-1"/>
              </w:rPr>
              <w:t>500g/瓶</w:t>
            </w:r>
          </w:p>
        </w:tc>
        <w:tc>
          <w:tcPr>
            <w:tcW w:w="2783" w:type="dxa"/>
            <w:vAlign w:val="top"/>
          </w:tcPr>
          <w:p>
            <w:pPr>
              <w:pStyle w:val="TableText"/>
              <w:ind w:left="18"/>
              <w:spacing w:before="187" w:line="219" w:lineRule="auto"/>
              <w:rPr>
                <w:sz w:val="12"/>
                <w:szCs w:val="12"/>
              </w:rPr>
            </w:pPr>
            <w:r>
              <w:rPr>
                <w:sz w:val="12"/>
                <w:szCs w:val="12"/>
              </w:rPr>
              <w:t>防治因缺钾引起的植株瘦弱，生长不良</w:t>
            </w:r>
          </w:p>
        </w:tc>
      </w:tr>
      <w:tr>
        <w:trPr>
          <w:trHeight w:val="460"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213"/>
              <w:spacing w:before="168" w:line="219" w:lineRule="auto"/>
              <w:rPr>
                <w:sz w:val="12"/>
                <w:szCs w:val="12"/>
              </w:rPr>
            </w:pPr>
            <w:r>
              <w:rPr>
                <w:sz w:val="12"/>
                <w:szCs w:val="12"/>
                <w:spacing w:val="-1"/>
              </w:rPr>
              <w:t>高效磷钾复合肥</w:t>
            </w:r>
          </w:p>
        </w:tc>
        <w:tc>
          <w:tcPr>
            <w:tcW w:w="1869" w:type="dxa"/>
            <w:vAlign w:val="top"/>
          </w:tcPr>
          <w:p>
            <w:pPr>
              <w:pStyle w:val="TableText"/>
              <w:ind w:left="624"/>
              <w:spacing w:before="169" w:line="219" w:lineRule="auto"/>
              <w:rPr>
                <w:sz w:val="12"/>
                <w:szCs w:val="12"/>
              </w:rPr>
            </w:pPr>
            <w:r>
              <w:rPr>
                <w:sz w:val="12"/>
                <w:szCs w:val="12"/>
                <w:spacing w:val="-1"/>
              </w:rPr>
              <w:t>磷酸二氢钾</w:t>
            </w:r>
          </w:p>
        </w:tc>
        <w:tc>
          <w:tcPr>
            <w:tcW w:w="1609" w:type="dxa"/>
            <w:vAlign w:val="top"/>
          </w:tcPr>
          <w:p>
            <w:pPr>
              <w:pStyle w:val="TableText"/>
              <w:ind w:left="135"/>
              <w:spacing w:before="169" w:line="219" w:lineRule="auto"/>
              <w:rPr>
                <w:sz w:val="12"/>
                <w:szCs w:val="12"/>
              </w:rPr>
            </w:pPr>
            <w:r>
              <w:rPr>
                <w:sz w:val="12"/>
                <w:szCs w:val="12"/>
                <w:spacing w:val="-1"/>
              </w:rPr>
              <w:t>直接穴施或0.2%叶面喷施</w:t>
            </w:r>
          </w:p>
        </w:tc>
        <w:tc>
          <w:tcPr>
            <w:tcW w:w="1029" w:type="dxa"/>
            <w:vAlign w:val="top"/>
            <w:vMerge w:val="restart"/>
            <w:tcBorders>
              <w:bottom w:val="nil"/>
            </w:tcBorders>
          </w:tcPr>
          <w:p>
            <w:pPr>
              <w:spacing w:line="367" w:lineRule="auto"/>
              <w:rPr>
                <w:rFonts w:ascii="Arial"/>
                <w:sz w:val="21"/>
              </w:rPr>
            </w:pPr>
            <w:r/>
          </w:p>
          <w:p>
            <w:pPr>
              <w:pStyle w:val="TableText"/>
              <w:ind w:left="236"/>
              <w:spacing w:before="39" w:line="219" w:lineRule="auto"/>
              <w:rPr>
                <w:sz w:val="12"/>
                <w:szCs w:val="12"/>
              </w:rPr>
            </w:pPr>
            <w:r>
              <w:rPr>
                <w:sz w:val="12"/>
                <w:szCs w:val="12"/>
                <w:spacing w:val="-2"/>
              </w:rPr>
              <w:t>一般用1次</w:t>
            </w:r>
          </w:p>
        </w:tc>
        <w:tc>
          <w:tcPr>
            <w:tcW w:w="709" w:type="dxa"/>
            <w:vAlign w:val="top"/>
          </w:tcPr>
          <w:p>
            <w:pPr>
              <w:pStyle w:val="TableText"/>
              <w:ind w:left="137"/>
              <w:spacing w:before="164" w:line="214" w:lineRule="auto"/>
              <w:rPr>
                <w:sz w:val="12"/>
                <w:szCs w:val="12"/>
              </w:rPr>
            </w:pPr>
            <w:r>
              <w:rPr>
                <w:sz w:val="12"/>
                <w:szCs w:val="12"/>
                <w:spacing w:val="-1"/>
              </w:rPr>
              <w:t>25kg/袋</w:t>
            </w:r>
          </w:p>
        </w:tc>
        <w:tc>
          <w:tcPr>
            <w:tcW w:w="2783" w:type="dxa"/>
            <w:vAlign w:val="top"/>
          </w:tcPr>
          <w:p>
            <w:pPr>
              <w:pStyle w:val="TableText"/>
              <w:ind w:left="18"/>
              <w:spacing w:before="99" w:line="224" w:lineRule="auto"/>
              <w:rPr>
                <w:sz w:val="12"/>
                <w:szCs w:val="12"/>
              </w:rPr>
            </w:pPr>
            <w:r>
              <w:rPr>
                <w:sz w:val="12"/>
                <w:szCs w:val="12"/>
                <w:spacing w:val="-6"/>
              </w:rPr>
              <w:t>提高树木木质化程度，有利树木安全越冬，使用安全方</w:t>
            </w:r>
            <w:r>
              <w:rPr>
                <w:sz w:val="12"/>
                <w:szCs w:val="12"/>
                <w:spacing w:val="17"/>
              </w:rPr>
              <w:t xml:space="preserve"> </w:t>
            </w:r>
            <w:r>
              <w:rPr>
                <w:sz w:val="12"/>
                <w:szCs w:val="12"/>
                <w:spacing w:val="-1"/>
              </w:rPr>
              <w:t>便，1万平方米年度约用量：500kg</w:t>
            </w:r>
          </w:p>
        </w:tc>
      </w:tr>
      <w:tr>
        <w:trPr>
          <w:trHeight w:val="469"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tcBorders>
          </w:tcPr>
          <w:p>
            <w:pPr>
              <w:rPr>
                <w:rFonts w:ascii="Arial"/>
                <w:sz w:val="21"/>
              </w:rPr>
            </w:pPr>
            <w:r/>
          </w:p>
        </w:tc>
        <w:tc>
          <w:tcPr>
            <w:tcW w:w="92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79" w:type="dxa"/>
            <w:vAlign w:val="top"/>
          </w:tcPr>
          <w:p>
            <w:pPr>
              <w:pStyle w:val="TableText"/>
              <w:ind w:left="92" w:right="70" w:hanging="30"/>
              <w:spacing w:before="48" w:line="201" w:lineRule="auto"/>
              <w:rPr>
                <w:sz w:val="12"/>
                <w:szCs w:val="12"/>
              </w:rPr>
            </w:pPr>
            <w:r>
              <w:rPr>
                <w:sz w:val="12"/>
                <w:szCs w:val="12"/>
                <w:spacing w:val="-1"/>
              </w:rPr>
              <w:t>尿素(与其他元素混合</w:t>
            </w:r>
            <w:r>
              <w:rPr>
                <w:sz w:val="12"/>
                <w:szCs w:val="12"/>
                <w:spacing w:val="4"/>
              </w:rPr>
              <w:t xml:space="preserve"> </w:t>
            </w:r>
            <w:r>
              <w:rPr>
                <w:sz w:val="12"/>
                <w:szCs w:val="12"/>
                <w:spacing w:val="-1"/>
              </w:rPr>
              <w:t>使用，一般不单独使</w:t>
            </w:r>
          </w:p>
          <w:p>
            <w:pPr>
              <w:pStyle w:val="TableText"/>
              <w:ind w:left="523"/>
              <w:spacing w:line="220" w:lineRule="auto"/>
              <w:rPr>
                <w:sz w:val="12"/>
                <w:szCs w:val="12"/>
              </w:rPr>
            </w:pPr>
            <w:r>
              <w:rPr>
                <w:sz w:val="12"/>
                <w:szCs w:val="12"/>
                <w:spacing w:val="-3"/>
              </w:rPr>
              <w:t>用</w:t>
            </w:r>
            <w:r>
              <w:rPr>
                <w:sz w:val="12"/>
                <w:szCs w:val="12"/>
                <w:spacing w:val="-23"/>
              </w:rPr>
              <w:t xml:space="preserve"> </w:t>
            </w:r>
            <w:r>
              <w:rPr>
                <w:sz w:val="12"/>
                <w:szCs w:val="12"/>
                <w:spacing w:val="-3"/>
              </w:rPr>
              <w:t>)</w:t>
            </w:r>
          </w:p>
        </w:tc>
        <w:tc>
          <w:tcPr>
            <w:tcW w:w="1869" w:type="dxa"/>
            <w:vAlign w:val="top"/>
          </w:tcPr>
          <w:p>
            <w:pPr>
              <w:pStyle w:val="TableText"/>
              <w:ind w:left="444"/>
              <w:spacing w:before="177" w:line="216" w:lineRule="auto"/>
              <w:rPr>
                <w:sz w:val="12"/>
                <w:szCs w:val="12"/>
              </w:rPr>
            </w:pPr>
            <w:r>
              <w:rPr>
                <w:sz w:val="12"/>
                <w:szCs w:val="12"/>
                <w:spacing w:val="-1"/>
              </w:rPr>
              <w:t>C0CNH2)2,含氮46%</w:t>
            </w:r>
          </w:p>
        </w:tc>
        <w:tc>
          <w:tcPr>
            <w:tcW w:w="1609" w:type="dxa"/>
            <w:vAlign w:val="top"/>
          </w:tcPr>
          <w:p>
            <w:pPr>
              <w:pStyle w:val="TableText"/>
              <w:ind w:left="195"/>
              <w:spacing w:before="174" w:line="214" w:lineRule="auto"/>
              <w:rPr>
                <w:sz w:val="12"/>
                <w:szCs w:val="12"/>
              </w:rPr>
            </w:pPr>
            <w:r>
              <w:rPr>
                <w:sz w:val="12"/>
                <w:szCs w:val="12"/>
                <w:spacing w:val="-1"/>
              </w:rPr>
              <w:t>直接撒施：20-25kg/亩</w:t>
            </w:r>
          </w:p>
        </w:tc>
        <w:tc>
          <w:tcPr>
            <w:tcW w:w="1029" w:type="dxa"/>
            <w:vAlign w:val="top"/>
            <w:vMerge w:val="continue"/>
            <w:tcBorders>
              <w:top w:val="nil"/>
            </w:tcBorders>
          </w:tcPr>
          <w:p>
            <w:pPr>
              <w:rPr>
                <w:rFonts w:ascii="Arial"/>
                <w:sz w:val="21"/>
              </w:rPr>
            </w:pPr>
            <w:r/>
          </w:p>
        </w:tc>
        <w:tc>
          <w:tcPr>
            <w:tcW w:w="709" w:type="dxa"/>
            <w:vAlign w:val="top"/>
          </w:tcPr>
          <w:p>
            <w:pPr>
              <w:pStyle w:val="TableText"/>
              <w:ind w:left="137"/>
              <w:spacing w:before="174" w:line="214" w:lineRule="auto"/>
              <w:rPr>
                <w:sz w:val="12"/>
                <w:szCs w:val="12"/>
              </w:rPr>
            </w:pPr>
            <w:r>
              <w:rPr>
                <w:sz w:val="12"/>
                <w:szCs w:val="12"/>
                <w:spacing w:val="-1"/>
              </w:rPr>
              <w:t>40kg/袋</w:t>
            </w:r>
          </w:p>
        </w:tc>
        <w:tc>
          <w:tcPr>
            <w:tcW w:w="2783" w:type="dxa"/>
            <w:vAlign w:val="top"/>
          </w:tcPr>
          <w:p>
            <w:pPr>
              <w:pStyle w:val="TableText"/>
              <w:ind w:left="18"/>
              <w:spacing w:before="178" w:line="219" w:lineRule="auto"/>
              <w:rPr>
                <w:sz w:val="12"/>
                <w:szCs w:val="12"/>
              </w:rPr>
            </w:pPr>
            <w:r>
              <w:rPr>
                <w:sz w:val="12"/>
                <w:szCs w:val="12"/>
                <w:spacing w:val="-1"/>
              </w:rPr>
              <w:t>促进草坪生长，增绿</w:t>
            </w:r>
          </w:p>
        </w:tc>
      </w:tr>
      <w:tr>
        <w:trPr>
          <w:trHeight w:val="460" w:hRule="atLeast"/>
        </w:trPr>
        <w:tc>
          <w:tcPr>
            <w:tcW w:w="415" w:type="dxa"/>
            <w:vAlign w:val="top"/>
            <w:vMerge w:val="continue"/>
            <w:tcBorders>
              <w:top w:val="nil"/>
              <w:bottom w:val="nil"/>
            </w:tcBorders>
          </w:tcPr>
          <w:p>
            <w:pPr>
              <w:rPr>
                <w:rFonts w:ascii="Arial"/>
                <w:sz w:val="21"/>
              </w:rPr>
            </w:pPr>
            <w:r/>
          </w:p>
        </w:tc>
        <w:tc>
          <w:tcPr>
            <w:tcW w:w="570" w:type="dxa"/>
            <w:vAlign w:val="top"/>
            <w:vMerge w:val="restart"/>
            <w:tcBorders>
              <w:bottom w:val="nil"/>
            </w:tcBorders>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0"/>
              <w:spacing w:before="39" w:line="219" w:lineRule="auto"/>
              <w:rPr>
                <w:sz w:val="12"/>
                <w:szCs w:val="12"/>
              </w:rPr>
            </w:pPr>
            <w:r>
              <w:rPr>
                <w:sz w:val="12"/>
                <w:szCs w:val="12"/>
                <w:spacing w:val="-2"/>
              </w:rPr>
              <w:t>草皮覆绿</w:t>
            </w:r>
          </w:p>
        </w:tc>
        <w:tc>
          <w:tcPr>
            <w:tcW w:w="929"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30"/>
              <w:spacing w:before="39" w:line="219" w:lineRule="auto"/>
              <w:rPr>
                <w:sz w:val="12"/>
                <w:szCs w:val="12"/>
              </w:rPr>
            </w:pPr>
            <w:r>
              <w:rPr>
                <w:sz w:val="12"/>
                <w:szCs w:val="12"/>
                <w:spacing w:val="-1"/>
              </w:rPr>
              <w:t>草坪发芽及长势</w:t>
            </w:r>
          </w:p>
          <w:p>
            <w:pPr>
              <w:pStyle w:val="TableText"/>
              <w:ind w:left="330"/>
              <w:spacing w:before="19" w:line="222" w:lineRule="auto"/>
              <w:rPr>
                <w:sz w:val="12"/>
                <w:szCs w:val="12"/>
              </w:rPr>
            </w:pPr>
            <w:r>
              <w:rPr>
                <w:sz w:val="12"/>
                <w:szCs w:val="12"/>
                <w:spacing w:val="-2"/>
              </w:rPr>
              <w:t>不良</w:t>
            </w:r>
          </w:p>
        </w:tc>
        <w:tc>
          <w:tcPr>
            <w:tcW w:w="2668" w:type="dxa"/>
            <w:vAlign w:val="top"/>
            <w:vMerge w:val="restart"/>
            <w:tcBorders>
              <w:bottom w:val="nil"/>
            </w:tcBorders>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
              <w:spacing w:before="39" w:line="209" w:lineRule="auto"/>
              <w:rPr>
                <w:sz w:val="12"/>
                <w:szCs w:val="12"/>
              </w:rPr>
            </w:pPr>
            <w:r>
              <w:rPr>
                <w:sz w:val="12"/>
                <w:szCs w:val="12"/>
                <w:spacing w:val="-3"/>
              </w:rPr>
              <w:t>一、3-5月，气湿上升，空气湿度增加。苗木结束休</w:t>
            </w:r>
            <w:r>
              <w:rPr>
                <w:sz w:val="12"/>
                <w:szCs w:val="12"/>
                <w:spacing w:val="16"/>
                <w:w w:val="101"/>
              </w:rPr>
              <w:t xml:space="preserve"> </w:t>
            </w:r>
            <w:r>
              <w:rPr>
                <w:sz w:val="12"/>
                <w:szCs w:val="12"/>
              </w:rPr>
              <w:t>眼期开始返青，是草皮施肥复绿最佳时机：</w:t>
            </w:r>
          </w:p>
          <w:p>
            <w:pPr>
              <w:pStyle w:val="TableText"/>
              <w:ind w:left="11" w:right="1"/>
              <w:spacing w:before="17" w:line="210" w:lineRule="auto"/>
              <w:rPr>
                <w:sz w:val="12"/>
                <w:szCs w:val="12"/>
              </w:rPr>
            </w:pPr>
            <w:r>
              <w:rPr>
                <w:sz w:val="12"/>
                <w:szCs w:val="12"/>
                <w:spacing w:val="-3"/>
              </w:rPr>
              <w:t>二、6月气温高，生长旺盛，需肥量大：同时杂草生</w:t>
            </w:r>
            <w:r>
              <w:rPr>
                <w:sz w:val="12"/>
                <w:szCs w:val="12"/>
                <w:spacing w:val="13"/>
              </w:rPr>
              <w:t xml:space="preserve"> </w:t>
            </w:r>
            <w:r>
              <w:rPr>
                <w:sz w:val="12"/>
                <w:szCs w:val="12"/>
                <w:spacing w:val="6"/>
              </w:rPr>
              <w:t>长旺盛，及时除杂；</w:t>
            </w:r>
          </w:p>
          <w:p>
            <w:pPr>
              <w:pStyle w:val="TableText"/>
              <w:ind w:left="11"/>
              <w:spacing w:before="6" w:line="219" w:lineRule="auto"/>
              <w:rPr>
                <w:sz w:val="12"/>
                <w:szCs w:val="12"/>
              </w:rPr>
            </w:pPr>
            <w:r>
              <w:rPr>
                <w:sz w:val="12"/>
                <w:szCs w:val="12"/>
              </w:rPr>
              <w:t>三.9-11月生长旺盛，及时补肥。</w:t>
            </w:r>
          </w:p>
        </w:tc>
        <w:tc>
          <w:tcPr>
            <w:tcW w:w="1279" w:type="dxa"/>
            <w:vAlign w:val="top"/>
          </w:tcPr>
          <w:p>
            <w:pPr>
              <w:pStyle w:val="TableText"/>
              <w:ind w:left="393"/>
              <w:spacing w:before="169" w:line="219" w:lineRule="auto"/>
              <w:rPr>
                <w:sz w:val="12"/>
                <w:szCs w:val="12"/>
              </w:rPr>
            </w:pPr>
            <w:r>
              <w:rPr>
                <w:sz w:val="12"/>
                <w:szCs w:val="12"/>
                <w:spacing w:val="1"/>
              </w:rPr>
              <w:t>中威壮美</w:t>
            </w:r>
          </w:p>
        </w:tc>
        <w:tc>
          <w:tcPr>
            <w:tcW w:w="1869" w:type="dxa"/>
            <w:vAlign w:val="top"/>
          </w:tcPr>
          <w:p>
            <w:pPr>
              <w:pStyle w:val="TableText"/>
              <w:ind w:left="594"/>
              <w:spacing w:before="169" w:line="219" w:lineRule="auto"/>
              <w:rPr>
                <w:sz w:val="12"/>
                <w:szCs w:val="12"/>
              </w:rPr>
            </w:pPr>
            <w:r>
              <w:rPr>
                <w:sz w:val="12"/>
                <w:szCs w:val="12"/>
                <w:spacing w:val="-1"/>
              </w:rPr>
              <w:t>有机质≥60%</w:t>
            </w:r>
          </w:p>
        </w:tc>
        <w:tc>
          <w:tcPr>
            <w:tcW w:w="1609" w:type="dxa"/>
            <w:vAlign w:val="top"/>
          </w:tcPr>
          <w:p>
            <w:pPr>
              <w:pStyle w:val="TableText"/>
              <w:ind w:left="195"/>
              <w:spacing w:before="165" w:line="214" w:lineRule="auto"/>
              <w:rPr>
                <w:sz w:val="12"/>
                <w:szCs w:val="12"/>
              </w:rPr>
            </w:pPr>
            <w:r>
              <w:rPr>
                <w:sz w:val="12"/>
                <w:szCs w:val="12"/>
                <w:spacing w:val="-1"/>
              </w:rPr>
              <w:t>直接撒施：20-25kg/南</w:t>
            </w:r>
          </w:p>
        </w:tc>
        <w:tc>
          <w:tcPr>
            <w:tcW w:w="1029" w:type="dxa"/>
            <w:vAlign w:val="top"/>
            <w:vMerge w:val="restart"/>
            <w:tcBorders>
              <w:bottom w:val="nil"/>
            </w:tcBorders>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6"/>
              <w:spacing w:before="39" w:line="219" w:lineRule="auto"/>
              <w:rPr>
                <w:sz w:val="12"/>
                <w:szCs w:val="12"/>
              </w:rPr>
            </w:pPr>
            <w:r>
              <w:rPr>
                <w:sz w:val="12"/>
                <w:szCs w:val="12"/>
                <w:spacing w:val="-1"/>
              </w:rPr>
              <w:t>视草坪生长情况</w:t>
            </w:r>
          </w:p>
        </w:tc>
        <w:tc>
          <w:tcPr>
            <w:tcW w:w="709" w:type="dxa"/>
            <w:vAlign w:val="top"/>
          </w:tcPr>
          <w:p>
            <w:pPr>
              <w:pStyle w:val="TableText"/>
              <w:ind w:left="137"/>
              <w:spacing w:before="165" w:line="214" w:lineRule="auto"/>
              <w:rPr>
                <w:sz w:val="12"/>
                <w:szCs w:val="12"/>
              </w:rPr>
            </w:pPr>
            <w:r>
              <w:rPr>
                <w:sz w:val="12"/>
                <w:szCs w:val="12"/>
                <w:spacing w:val="-1"/>
              </w:rPr>
              <w:t>25kg/袋</w:t>
            </w:r>
          </w:p>
        </w:tc>
        <w:tc>
          <w:tcPr>
            <w:tcW w:w="2783" w:type="dxa"/>
            <w:vAlign w:val="top"/>
          </w:tcPr>
          <w:p>
            <w:pPr>
              <w:pStyle w:val="TableText"/>
              <w:ind w:left="18"/>
              <w:spacing w:before="109" w:line="225" w:lineRule="auto"/>
              <w:rPr>
                <w:sz w:val="12"/>
                <w:szCs w:val="12"/>
              </w:rPr>
            </w:pPr>
            <w:r>
              <w:rPr>
                <w:sz w:val="12"/>
                <w:szCs w:val="12"/>
                <w:spacing w:val="-6"/>
              </w:rPr>
              <w:t>促进草坪快速生根，全面营养，使用安全方便，使用安</w:t>
            </w:r>
            <w:r>
              <w:rPr>
                <w:sz w:val="12"/>
                <w:szCs w:val="12"/>
                <w:spacing w:val="17"/>
                <w:w w:val="101"/>
              </w:rPr>
              <w:t xml:space="preserve"> </w:t>
            </w:r>
            <w:r>
              <w:rPr>
                <w:sz w:val="12"/>
                <w:szCs w:val="12"/>
                <w:spacing w:val="-1"/>
              </w:rPr>
              <w:t>全方便。1万平方米年度约用量：500kg</w:t>
            </w:r>
          </w:p>
        </w:tc>
      </w:tr>
      <w:tr>
        <w:trPr>
          <w:trHeight w:val="469"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333"/>
              <w:spacing w:before="180" w:line="219" w:lineRule="auto"/>
              <w:rPr>
                <w:sz w:val="12"/>
                <w:szCs w:val="12"/>
              </w:rPr>
            </w:pPr>
            <w:r>
              <w:rPr>
                <w:sz w:val="12"/>
                <w:szCs w:val="12"/>
                <w:spacing w:val="-1"/>
              </w:rPr>
              <w:t>坪安乌龙珠</w:t>
            </w:r>
          </w:p>
        </w:tc>
        <w:tc>
          <w:tcPr>
            <w:tcW w:w="1869" w:type="dxa"/>
            <w:vAlign w:val="top"/>
          </w:tcPr>
          <w:p>
            <w:pPr>
              <w:pStyle w:val="TableText"/>
              <w:ind w:left="144"/>
              <w:spacing w:before="179" w:line="219" w:lineRule="auto"/>
              <w:rPr>
                <w:sz w:val="12"/>
                <w:szCs w:val="12"/>
              </w:rPr>
            </w:pPr>
            <w:r>
              <w:rPr>
                <w:sz w:val="12"/>
                <w:szCs w:val="12"/>
                <w:spacing w:val="1"/>
              </w:rPr>
              <w:t>氯基酸、氟、磷、钾、有机质</w:t>
            </w:r>
          </w:p>
        </w:tc>
        <w:tc>
          <w:tcPr>
            <w:tcW w:w="1609" w:type="dxa"/>
            <w:vAlign w:val="top"/>
          </w:tcPr>
          <w:p>
            <w:pPr>
              <w:pStyle w:val="TableText"/>
              <w:ind w:left="555"/>
              <w:spacing w:before="180" w:line="219" w:lineRule="auto"/>
              <w:rPr>
                <w:sz w:val="12"/>
                <w:szCs w:val="12"/>
              </w:rPr>
            </w:pPr>
            <w:r>
              <w:rPr>
                <w:sz w:val="12"/>
                <w:szCs w:val="12"/>
                <w:spacing w:val="3"/>
              </w:rPr>
              <w:t>直接使用</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37"/>
              <w:spacing w:before="175" w:line="214" w:lineRule="auto"/>
              <w:rPr>
                <w:sz w:val="12"/>
                <w:szCs w:val="12"/>
              </w:rPr>
            </w:pPr>
            <w:r>
              <w:rPr>
                <w:sz w:val="12"/>
                <w:szCs w:val="12"/>
                <w:spacing w:val="-1"/>
              </w:rPr>
              <w:t>40kg/袋</w:t>
            </w:r>
          </w:p>
        </w:tc>
        <w:tc>
          <w:tcPr>
            <w:tcW w:w="2783" w:type="dxa"/>
            <w:vAlign w:val="top"/>
          </w:tcPr>
          <w:p>
            <w:pPr>
              <w:pStyle w:val="TableText"/>
              <w:ind w:left="18"/>
              <w:spacing w:before="119"/>
              <w:rPr>
                <w:sz w:val="12"/>
                <w:szCs w:val="12"/>
              </w:rPr>
            </w:pPr>
            <w:r>
              <w:rPr>
                <w:sz w:val="12"/>
                <w:szCs w:val="12"/>
                <w:spacing w:val="-6"/>
              </w:rPr>
              <w:t>促进草坪快速生根，全面营养，使用安全方便，使用安</w:t>
            </w:r>
            <w:r>
              <w:rPr>
                <w:sz w:val="12"/>
                <w:szCs w:val="12"/>
                <w:spacing w:val="17"/>
                <w:w w:val="101"/>
              </w:rPr>
              <w:t xml:space="preserve"> </w:t>
            </w:r>
            <w:r>
              <w:rPr>
                <w:sz w:val="12"/>
                <w:szCs w:val="12"/>
                <w:spacing w:val="-1"/>
              </w:rPr>
              <w:t>全方便。1万平方米年度约用量：250kg</w:t>
            </w:r>
          </w:p>
        </w:tc>
      </w:tr>
      <w:tr>
        <w:trPr>
          <w:trHeight w:val="470"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453"/>
              <w:spacing w:before="180" w:line="219" w:lineRule="auto"/>
              <w:rPr>
                <w:sz w:val="12"/>
                <w:szCs w:val="12"/>
              </w:rPr>
            </w:pPr>
            <w:r>
              <w:rPr>
                <w:sz w:val="12"/>
                <w:szCs w:val="12"/>
                <w:spacing w:val="-1"/>
              </w:rPr>
              <w:t>尖叶净</w:t>
            </w:r>
          </w:p>
        </w:tc>
        <w:tc>
          <w:tcPr>
            <w:tcW w:w="1869" w:type="dxa"/>
            <w:vAlign w:val="top"/>
          </w:tcPr>
          <w:p>
            <w:pPr>
              <w:pStyle w:val="TableText"/>
              <w:ind w:left="624"/>
              <w:spacing w:before="180" w:line="219" w:lineRule="auto"/>
              <w:rPr>
                <w:sz w:val="12"/>
                <w:szCs w:val="12"/>
              </w:rPr>
            </w:pPr>
            <w:r>
              <w:rPr>
                <w:sz w:val="12"/>
                <w:szCs w:val="12"/>
                <w:spacing w:val="-1"/>
              </w:rPr>
              <w:t>植物激素类</w:t>
            </w:r>
          </w:p>
        </w:tc>
        <w:tc>
          <w:tcPr>
            <w:tcW w:w="1609" w:type="dxa"/>
            <w:vAlign w:val="top"/>
          </w:tcPr>
          <w:p>
            <w:pPr>
              <w:pStyle w:val="TableText"/>
              <w:ind w:left="255"/>
              <w:spacing w:before="176" w:line="214" w:lineRule="auto"/>
              <w:rPr>
                <w:sz w:val="12"/>
                <w:szCs w:val="12"/>
              </w:rPr>
            </w:pPr>
            <w:r>
              <w:rPr>
                <w:sz w:val="12"/>
                <w:szCs w:val="12"/>
                <w:spacing w:val="-1"/>
              </w:rPr>
              <w:t>每100ml兑水25-30kg</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37"/>
              <w:spacing w:before="181" w:line="221" w:lineRule="auto"/>
              <w:rPr>
                <w:sz w:val="12"/>
                <w:szCs w:val="12"/>
              </w:rPr>
            </w:pPr>
            <w:r>
              <w:rPr>
                <w:sz w:val="12"/>
                <w:szCs w:val="12"/>
                <w:spacing w:val="-1"/>
              </w:rPr>
              <w:t>50ml/瓶</w:t>
            </w:r>
          </w:p>
        </w:tc>
        <w:tc>
          <w:tcPr>
            <w:tcW w:w="2783" w:type="dxa"/>
            <w:vAlign w:val="top"/>
          </w:tcPr>
          <w:p>
            <w:pPr>
              <w:pStyle w:val="TableText"/>
              <w:ind w:left="18"/>
              <w:spacing w:before="111" w:line="235" w:lineRule="auto"/>
              <w:rPr>
                <w:sz w:val="12"/>
                <w:szCs w:val="12"/>
              </w:rPr>
            </w:pPr>
            <w:r>
              <w:rPr>
                <w:sz w:val="12"/>
                <w:szCs w:val="12"/>
                <w:spacing w:val="-8"/>
              </w:rPr>
              <w:t>高效防除禾本科杂草，使用安全方便，1万平方米年度约</w:t>
            </w:r>
            <w:r>
              <w:rPr>
                <w:sz w:val="12"/>
                <w:szCs w:val="12"/>
                <w:spacing w:val="13"/>
              </w:rPr>
              <w:t xml:space="preserve"> </w:t>
            </w:r>
            <w:r>
              <w:rPr>
                <w:sz w:val="12"/>
                <w:szCs w:val="12"/>
                <w:spacing w:val="-1"/>
              </w:rPr>
              <w:t>用量：2.25L</w:t>
            </w:r>
          </w:p>
        </w:tc>
      </w:tr>
      <w:tr>
        <w:trPr>
          <w:trHeight w:val="489"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453"/>
              <w:spacing w:before="191" w:line="220" w:lineRule="auto"/>
              <w:rPr>
                <w:sz w:val="12"/>
                <w:szCs w:val="12"/>
              </w:rPr>
            </w:pPr>
            <w:r>
              <w:rPr>
                <w:sz w:val="12"/>
                <w:szCs w:val="12"/>
                <w:spacing w:val="1"/>
              </w:rPr>
              <w:t>固阔净</w:t>
            </w:r>
          </w:p>
        </w:tc>
        <w:tc>
          <w:tcPr>
            <w:tcW w:w="1869" w:type="dxa"/>
            <w:vAlign w:val="top"/>
          </w:tcPr>
          <w:p>
            <w:pPr>
              <w:pStyle w:val="TableText"/>
              <w:ind w:left="624"/>
              <w:spacing w:before="190" w:line="219" w:lineRule="auto"/>
              <w:rPr>
                <w:sz w:val="12"/>
                <w:szCs w:val="12"/>
              </w:rPr>
            </w:pPr>
            <w:r>
              <w:rPr>
                <w:sz w:val="12"/>
                <w:szCs w:val="12"/>
                <w:spacing w:val="-1"/>
              </w:rPr>
              <w:t>植物激素类</w:t>
            </w:r>
          </w:p>
        </w:tc>
        <w:tc>
          <w:tcPr>
            <w:tcW w:w="1609" w:type="dxa"/>
            <w:vAlign w:val="top"/>
          </w:tcPr>
          <w:p>
            <w:pPr>
              <w:pStyle w:val="TableText"/>
              <w:ind w:left="315"/>
              <w:spacing w:before="186" w:line="214" w:lineRule="auto"/>
              <w:rPr>
                <w:sz w:val="12"/>
                <w:szCs w:val="12"/>
              </w:rPr>
            </w:pPr>
            <w:r>
              <w:rPr>
                <w:sz w:val="12"/>
                <w:szCs w:val="12"/>
                <w:spacing w:val="-1"/>
              </w:rPr>
              <w:t>每40g兑水25-30kg</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67"/>
              <w:spacing w:before="186" w:line="214" w:lineRule="auto"/>
              <w:rPr>
                <w:sz w:val="12"/>
                <w:szCs w:val="12"/>
              </w:rPr>
            </w:pPr>
            <w:r>
              <w:rPr>
                <w:sz w:val="12"/>
                <w:szCs w:val="12"/>
                <w:spacing w:val="-1"/>
              </w:rPr>
              <w:t>20g/袋</w:t>
            </w:r>
          </w:p>
        </w:tc>
        <w:tc>
          <w:tcPr>
            <w:tcW w:w="2783" w:type="dxa"/>
            <w:vAlign w:val="top"/>
          </w:tcPr>
          <w:p>
            <w:pPr>
              <w:pStyle w:val="TableText"/>
              <w:ind w:left="18"/>
              <w:spacing w:before="190" w:line="219" w:lineRule="auto"/>
              <w:rPr>
                <w:sz w:val="12"/>
                <w:szCs w:val="12"/>
              </w:rPr>
            </w:pPr>
            <w:r>
              <w:rPr>
                <w:sz w:val="12"/>
                <w:szCs w:val="12"/>
                <w:spacing w:val="-1"/>
              </w:rPr>
              <w:t>高效防除阔叶杂草</w:t>
            </w:r>
          </w:p>
        </w:tc>
      </w:tr>
      <w:tr>
        <w:trPr>
          <w:trHeight w:val="459" w:hRule="atLeast"/>
        </w:trPr>
        <w:tc>
          <w:tcPr>
            <w:tcW w:w="415" w:type="dxa"/>
            <w:vAlign w:val="top"/>
            <w:vMerge w:val="continue"/>
            <w:tcBorders>
              <w:top w:val="nil"/>
            </w:tcBorders>
          </w:tcPr>
          <w:p>
            <w:pPr>
              <w:rPr>
                <w:rFonts w:ascii="Arial"/>
                <w:sz w:val="21"/>
              </w:rPr>
            </w:pPr>
            <w:r/>
          </w:p>
        </w:tc>
        <w:tc>
          <w:tcPr>
            <w:tcW w:w="570" w:type="dxa"/>
            <w:vAlign w:val="top"/>
            <w:vMerge w:val="continue"/>
            <w:tcBorders>
              <w:top w:val="nil"/>
            </w:tcBorders>
          </w:tcPr>
          <w:p>
            <w:pPr>
              <w:rPr>
                <w:rFonts w:ascii="Arial"/>
                <w:sz w:val="21"/>
              </w:rPr>
            </w:pPr>
            <w:r/>
          </w:p>
        </w:tc>
        <w:tc>
          <w:tcPr>
            <w:tcW w:w="92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79" w:type="dxa"/>
            <w:vAlign w:val="top"/>
          </w:tcPr>
          <w:p>
            <w:pPr>
              <w:pStyle w:val="TableText"/>
              <w:ind w:left="213"/>
              <w:spacing w:before="171" w:line="219" w:lineRule="auto"/>
              <w:rPr>
                <w:sz w:val="12"/>
                <w:szCs w:val="12"/>
              </w:rPr>
            </w:pPr>
            <w:r>
              <w:rPr>
                <w:sz w:val="12"/>
                <w:szCs w:val="12"/>
                <w:spacing w:val="1"/>
              </w:rPr>
              <w:t>国光愈伤涂膜剂</w:t>
            </w:r>
          </w:p>
        </w:tc>
        <w:tc>
          <w:tcPr>
            <w:tcW w:w="1869" w:type="dxa"/>
            <w:vAlign w:val="top"/>
          </w:tcPr>
          <w:p>
            <w:pPr>
              <w:pStyle w:val="TableText"/>
              <w:ind w:left="704" w:right="40" w:hanging="680"/>
              <w:spacing w:before="80" w:line="235" w:lineRule="auto"/>
              <w:rPr>
                <w:sz w:val="12"/>
                <w:szCs w:val="12"/>
              </w:rPr>
            </w:pPr>
            <w:r>
              <w:rPr>
                <w:sz w:val="12"/>
                <w:szCs w:val="12"/>
                <w:spacing w:val="-1"/>
              </w:rPr>
              <w:t>成骏剂，甲基硫菌灵，防腐剂，促</w:t>
            </w:r>
            <w:r>
              <w:rPr>
                <w:sz w:val="12"/>
                <w:szCs w:val="12"/>
                <w:spacing w:val="8"/>
              </w:rPr>
              <w:t xml:space="preserve"> </w:t>
            </w:r>
            <w:r>
              <w:rPr>
                <w:sz w:val="12"/>
                <w:szCs w:val="12"/>
                <w:spacing w:val="-2"/>
              </w:rPr>
              <w:t>生长物质</w:t>
            </w:r>
          </w:p>
        </w:tc>
        <w:tc>
          <w:tcPr>
            <w:tcW w:w="1609" w:type="dxa"/>
            <w:vAlign w:val="top"/>
          </w:tcPr>
          <w:p>
            <w:pPr>
              <w:pStyle w:val="TableText"/>
              <w:ind w:left="135"/>
              <w:spacing w:before="172" w:line="219" w:lineRule="auto"/>
              <w:rPr>
                <w:sz w:val="12"/>
                <w:szCs w:val="12"/>
              </w:rPr>
            </w:pPr>
            <w:r>
              <w:rPr>
                <w:sz w:val="12"/>
                <w:szCs w:val="12"/>
                <w:spacing w:val="-1"/>
              </w:rPr>
              <w:t>直接使用，可略加水解释</w:t>
            </w:r>
          </w:p>
        </w:tc>
        <w:tc>
          <w:tcPr>
            <w:tcW w:w="1029" w:type="dxa"/>
            <w:vAlign w:val="top"/>
            <w:vMerge w:val="continue"/>
            <w:tcBorders>
              <w:top w:val="nil"/>
            </w:tcBorders>
          </w:tcPr>
          <w:p>
            <w:pPr>
              <w:rPr>
                <w:rFonts w:ascii="Arial"/>
                <w:sz w:val="21"/>
              </w:rPr>
            </w:pPr>
            <w:r/>
          </w:p>
        </w:tc>
        <w:tc>
          <w:tcPr>
            <w:tcW w:w="709" w:type="dxa"/>
            <w:vAlign w:val="top"/>
          </w:tcPr>
          <w:p>
            <w:pPr>
              <w:pStyle w:val="TableText"/>
              <w:ind w:left="137"/>
              <w:spacing w:before="167" w:line="214" w:lineRule="auto"/>
              <w:rPr>
                <w:sz w:val="12"/>
                <w:szCs w:val="12"/>
              </w:rPr>
            </w:pPr>
            <w:r>
              <w:rPr>
                <w:sz w:val="12"/>
                <w:szCs w:val="12"/>
                <w:spacing w:val="-1"/>
              </w:rPr>
              <w:t>500g/瓶</w:t>
            </w:r>
          </w:p>
        </w:tc>
        <w:tc>
          <w:tcPr>
            <w:tcW w:w="2783" w:type="dxa"/>
            <w:vAlign w:val="top"/>
          </w:tcPr>
          <w:p>
            <w:pPr>
              <w:pStyle w:val="TableText"/>
              <w:ind w:left="18"/>
              <w:spacing w:before="171" w:line="219" w:lineRule="auto"/>
              <w:rPr>
                <w:sz w:val="12"/>
                <w:szCs w:val="12"/>
              </w:rPr>
            </w:pPr>
            <w:r>
              <w:rPr>
                <w:sz w:val="12"/>
                <w:szCs w:val="12"/>
                <w:spacing w:val="-1"/>
              </w:rPr>
              <w:t>促进伤口快速愈合，杀菌防腐</w:t>
            </w:r>
          </w:p>
        </w:tc>
      </w:tr>
      <w:tr>
        <w:trPr>
          <w:trHeight w:val="469" w:hRule="atLeast"/>
        </w:trPr>
        <w:tc>
          <w:tcPr>
            <w:tcW w:w="415" w:type="dxa"/>
            <w:vAlign w:val="top"/>
            <w:vMerge w:val="restart"/>
            <w:tcBorders>
              <w:bottom w:val="nil"/>
            </w:tcBorders>
          </w:tcPr>
          <w:p>
            <w:pPr>
              <w:spacing w:line="300" w:lineRule="auto"/>
              <w:rPr>
                <w:rFonts w:ascii="Arial"/>
                <w:sz w:val="21"/>
              </w:rPr>
            </w:pPr>
            <w:r/>
          </w:p>
          <w:p>
            <w:pPr>
              <w:spacing w:line="300" w:lineRule="auto"/>
              <w:rPr>
                <w:rFonts w:ascii="Arial"/>
                <w:sz w:val="21"/>
              </w:rPr>
            </w:pPr>
            <w:r/>
          </w:p>
          <w:p>
            <w:pPr>
              <w:pStyle w:val="TableText"/>
              <w:ind w:left="84"/>
              <w:spacing w:before="39" w:line="220" w:lineRule="auto"/>
              <w:rPr>
                <w:sz w:val="12"/>
                <w:szCs w:val="12"/>
              </w:rPr>
            </w:pPr>
            <w:r>
              <w:rPr>
                <w:sz w:val="12"/>
                <w:szCs w:val="12"/>
                <w:spacing w:val="-2"/>
              </w:rPr>
              <w:t>其他</w:t>
            </w:r>
          </w:p>
        </w:tc>
        <w:tc>
          <w:tcPr>
            <w:tcW w:w="570" w:type="dxa"/>
            <w:vAlign w:val="top"/>
            <w:vMerge w:val="restart"/>
            <w:tcBorders>
              <w:bottom w:val="nil"/>
            </w:tcBorders>
          </w:tcPr>
          <w:p>
            <w:pPr>
              <w:spacing w:line="300" w:lineRule="auto"/>
              <w:rPr>
                <w:rFonts w:ascii="Arial"/>
                <w:sz w:val="21"/>
              </w:rPr>
            </w:pPr>
            <w:r/>
          </w:p>
          <w:p>
            <w:pPr>
              <w:spacing w:line="300" w:lineRule="auto"/>
              <w:rPr>
                <w:rFonts w:ascii="Arial"/>
                <w:sz w:val="21"/>
              </w:rPr>
            </w:pPr>
            <w:r/>
          </w:p>
          <w:p>
            <w:pPr>
              <w:pStyle w:val="TableText"/>
              <w:ind w:left="30"/>
              <w:spacing w:before="39" w:line="219" w:lineRule="auto"/>
              <w:rPr>
                <w:sz w:val="12"/>
                <w:szCs w:val="12"/>
              </w:rPr>
            </w:pPr>
            <w:r>
              <w:rPr>
                <w:sz w:val="12"/>
                <w:szCs w:val="12"/>
                <w:spacing w:val="-1"/>
              </w:rPr>
              <w:t>树木养护</w:t>
            </w:r>
          </w:p>
        </w:tc>
        <w:tc>
          <w:tcPr>
            <w:tcW w:w="929"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pStyle w:val="TableText"/>
              <w:ind w:left="89" w:right="18" w:hanging="29"/>
              <w:spacing w:before="39" w:line="248" w:lineRule="auto"/>
              <w:rPr>
                <w:sz w:val="12"/>
                <w:szCs w:val="12"/>
              </w:rPr>
            </w:pPr>
            <w:r>
              <w:rPr>
                <w:sz w:val="12"/>
                <w:szCs w:val="12"/>
                <w:spacing w:val="-1"/>
              </w:rPr>
              <w:t>树木修剪创口，</w:t>
            </w:r>
            <w:r>
              <w:rPr>
                <w:sz w:val="12"/>
                <w:szCs w:val="12"/>
                <w:spacing w:val="5"/>
              </w:rPr>
              <w:t xml:space="preserve"> </w:t>
            </w:r>
            <w:r>
              <w:rPr>
                <w:sz w:val="12"/>
                <w:szCs w:val="12"/>
                <w:spacing w:val="2"/>
              </w:rPr>
              <w:t>腐烂病害伤口</w:t>
            </w:r>
          </w:p>
        </w:tc>
        <w:tc>
          <w:tcPr>
            <w:tcW w:w="2668" w:type="dxa"/>
            <w:vAlign w:val="top"/>
            <w:vMerge w:val="restart"/>
            <w:tcBorders>
              <w:bottom w:val="nil"/>
            </w:tcBorders>
          </w:tcPr>
          <w:p>
            <w:pPr>
              <w:spacing w:line="300" w:lineRule="auto"/>
              <w:rPr>
                <w:rFonts w:ascii="Arial"/>
                <w:sz w:val="21"/>
              </w:rPr>
            </w:pPr>
            <w:r/>
          </w:p>
          <w:p>
            <w:pPr>
              <w:spacing w:line="300" w:lineRule="auto"/>
              <w:rPr>
                <w:rFonts w:ascii="Arial"/>
                <w:sz w:val="21"/>
              </w:rPr>
            </w:pPr>
            <w:r/>
          </w:p>
          <w:p>
            <w:pPr>
              <w:pStyle w:val="TableText"/>
              <w:ind w:left="1081"/>
              <w:spacing w:before="39" w:line="219" w:lineRule="auto"/>
              <w:rPr>
                <w:sz w:val="12"/>
                <w:szCs w:val="12"/>
              </w:rPr>
            </w:pPr>
            <w:r>
              <w:rPr>
                <w:sz w:val="12"/>
                <w:szCs w:val="12"/>
                <w:spacing w:val="2"/>
              </w:rPr>
              <w:t>日常养护</w:t>
            </w:r>
          </w:p>
        </w:tc>
        <w:tc>
          <w:tcPr>
            <w:tcW w:w="1279" w:type="dxa"/>
            <w:vAlign w:val="top"/>
          </w:tcPr>
          <w:p>
            <w:pPr>
              <w:pStyle w:val="TableText"/>
              <w:ind w:left="333"/>
              <w:spacing w:before="182" w:line="219" w:lineRule="auto"/>
              <w:rPr>
                <w:sz w:val="12"/>
                <w:szCs w:val="12"/>
              </w:rPr>
            </w:pPr>
            <w:r>
              <w:rPr>
                <w:sz w:val="12"/>
                <w:szCs w:val="12"/>
                <w:spacing w:val="1"/>
              </w:rPr>
              <w:t>中威愈伤膏</w:t>
            </w:r>
          </w:p>
        </w:tc>
        <w:tc>
          <w:tcPr>
            <w:tcW w:w="1869" w:type="dxa"/>
            <w:vAlign w:val="top"/>
          </w:tcPr>
          <w:p>
            <w:pPr>
              <w:pStyle w:val="TableText"/>
              <w:ind w:left="504"/>
              <w:spacing w:before="182" w:line="219" w:lineRule="auto"/>
              <w:rPr>
                <w:sz w:val="12"/>
                <w:szCs w:val="12"/>
              </w:rPr>
            </w:pPr>
            <w:r>
              <w:rPr>
                <w:sz w:val="12"/>
                <w:szCs w:val="12"/>
                <w:spacing w:val="-1"/>
              </w:rPr>
              <w:t>有机顾、杀菌剂</w:t>
            </w:r>
          </w:p>
        </w:tc>
        <w:tc>
          <w:tcPr>
            <w:tcW w:w="1609" w:type="dxa"/>
            <w:vAlign w:val="top"/>
          </w:tcPr>
          <w:p>
            <w:pPr>
              <w:pStyle w:val="TableText"/>
              <w:ind w:left="135"/>
              <w:spacing w:before="182" w:line="219" w:lineRule="auto"/>
              <w:rPr>
                <w:sz w:val="12"/>
                <w:szCs w:val="12"/>
              </w:rPr>
            </w:pPr>
            <w:r>
              <w:rPr>
                <w:sz w:val="12"/>
                <w:szCs w:val="12"/>
                <w:spacing w:val="-1"/>
              </w:rPr>
              <w:t>直按使用，可略加水解释</w:t>
            </w:r>
          </w:p>
        </w:tc>
        <w:tc>
          <w:tcPr>
            <w:tcW w:w="1029"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pStyle w:val="TableText"/>
              <w:ind w:left="26"/>
              <w:spacing w:before="39" w:line="219" w:lineRule="auto"/>
              <w:rPr>
                <w:sz w:val="12"/>
                <w:szCs w:val="12"/>
              </w:rPr>
            </w:pPr>
            <w:r>
              <w:rPr>
                <w:sz w:val="12"/>
                <w:szCs w:val="12"/>
                <w:spacing w:val="-1"/>
              </w:rPr>
              <w:t>乔木修剪后和树皮</w:t>
            </w:r>
          </w:p>
          <w:p>
            <w:pPr>
              <w:pStyle w:val="TableText"/>
              <w:ind w:left="326"/>
              <w:spacing w:before="18" w:line="221" w:lineRule="auto"/>
              <w:rPr>
                <w:sz w:val="12"/>
                <w:szCs w:val="12"/>
              </w:rPr>
            </w:pPr>
            <w:r>
              <w:rPr>
                <w:sz w:val="12"/>
                <w:szCs w:val="12"/>
                <w:spacing w:val="-1"/>
              </w:rPr>
              <w:t>破损时</w:t>
            </w:r>
          </w:p>
        </w:tc>
        <w:tc>
          <w:tcPr>
            <w:tcW w:w="709" w:type="dxa"/>
            <w:vAlign w:val="top"/>
          </w:tcPr>
          <w:p>
            <w:pPr>
              <w:pStyle w:val="TableText"/>
              <w:ind w:left="137"/>
              <w:spacing w:before="178" w:line="214" w:lineRule="auto"/>
              <w:rPr>
                <w:sz w:val="12"/>
                <w:szCs w:val="12"/>
              </w:rPr>
            </w:pPr>
            <w:r>
              <w:rPr>
                <w:sz w:val="12"/>
                <w:szCs w:val="12"/>
                <w:spacing w:val="-1"/>
              </w:rPr>
              <w:t>500g/瓶</w:t>
            </w:r>
          </w:p>
        </w:tc>
        <w:tc>
          <w:tcPr>
            <w:tcW w:w="2783" w:type="dxa"/>
            <w:vAlign w:val="top"/>
          </w:tcPr>
          <w:p>
            <w:pPr>
              <w:pStyle w:val="TableText"/>
              <w:ind w:left="18"/>
              <w:spacing w:before="102" w:line="235" w:lineRule="auto"/>
              <w:rPr>
                <w:sz w:val="12"/>
                <w:szCs w:val="12"/>
              </w:rPr>
            </w:pPr>
            <w:r>
              <w:rPr>
                <w:sz w:val="12"/>
                <w:szCs w:val="12"/>
                <w:spacing w:val="-1"/>
              </w:rPr>
              <w:t>适用树木移栽时切口及根部处理：病害伤口、树皮损</w:t>
            </w:r>
            <w:r>
              <w:rPr>
                <w:sz w:val="12"/>
                <w:szCs w:val="12"/>
                <w:spacing w:val="16"/>
                <w:w w:val="101"/>
              </w:rPr>
              <w:t xml:space="preserve"> </w:t>
            </w:r>
            <w:r>
              <w:rPr>
                <w:sz w:val="12"/>
                <w:szCs w:val="12"/>
                <w:spacing w:val="-2"/>
              </w:rPr>
              <w:t>失处理</w:t>
            </w:r>
          </w:p>
        </w:tc>
      </w:tr>
      <w:tr>
        <w:trPr>
          <w:trHeight w:val="459" w:hRule="atLeast"/>
        </w:trPr>
        <w:tc>
          <w:tcPr>
            <w:tcW w:w="415" w:type="dxa"/>
            <w:vAlign w:val="top"/>
            <w:vMerge w:val="continue"/>
            <w:tcBorders>
              <w:top w:val="nil"/>
              <w:bottom w:val="nil"/>
            </w:tcBorders>
          </w:tcPr>
          <w:p>
            <w:pPr>
              <w:rPr>
                <w:rFonts w:ascii="Arial"/>
                <w:sz w:val="21"/>
              </w:rPr>
            </w:pPr>
            <w:r/>
          </w:p>
        </w:tc>
        <w:tc>
          <w:tcPr>
            <w:tcW w:w="570" w:type="dxa"/>
            <w:vAlign w:val="top"/>
            <w:vMerge w:val="continue"/>
            <w:tcBorders>
              <w:top w:val="nil"/>
              <w:bottom w:val="nil"/>
            </w:tcBorders>
          </w:tcPr>
          <w:p>
            <w:pPr>
              <w:rPr>
                <w:rFonts w:ascii="Arial"/>
                <w:sz w:val="21"/>
              </w:rPr>
            </w:pPr>
            <w:r/>
          </w:p>
        </w:tc>
        <w:tc>
          <w:tcPr>
            <w:tcW w:w="92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79" w:type="dxa"/>
            <w:vAlign w:val="top"/>
          </w:tcPr>
          <w:p>
            <w:pPr>
              <w:pStyle w:val="TableText"/>
              <w:ind w:left="393"/>
              <w:spacing w:before="173" w:line="219" w:lineRule="auto"/>
              <w:rPr>
                <w:sz w:val="12"/>
                <w:szCs w:val="12"/>
              </w:rPr>
            </w:pPr>
            <w:r>
              <w:rPr>
                <w:sz w:val="12"/>
                <w:szCs w:val="12"/>
                <w:spacing w:val="-2"/>
              </w:rPr>
              <w:t>灰色油漆</w:t>
            </w:r>
          </w:p>
        </w:tc>
        <w:tc>
          <w:tcPr>
            <w:tcW w:w="1869" w:type="dxa"/>
            <w:vAlign w:val="top"/>
          </w:tcPr>
          <w:p>
            <w:pPr>
              <w:pStyle w:val="TableText"/>
              <w:ind w:left="144"/>
              <w:spacing w:before="173" w:line="219" w:lineRule="auto"/>
              <w:rPr>
                <w:sz w:val="12"/>
                <w:szCs w:val="12"/>
              </w:rPr>
            </w:pPr>
            <w:r>
              <w:rPr>
                <w:sz w:val="12"/>
                <w:szCs w:val="12"/>
                <w:spacing w:val="-1"/>
              </w:rPr>
              <w:t>成膜物质、颜料、溶剂、助剂</w:t>
            </w:r>
          </w:p>
        </w:tc>
        <w:tc>
          <w:tcPr>
            <w:tcW w:w="1609" w:type="dxa"/>
            <w:vAlign w:val="top"/>
          </w:tcPr>
          <w:p>
            <w:pPr>
              <w:pStyle w:val="TableText"/>
              <w:ind w:left="75"/>
              <w:spacing w:before="173" w:line="219" w:lineRule="auto"/>
              <w:rPr>
                <w:sz w:val="12"/>
                <w:szCs w:val="12"/>
              </w:rPr>
            </w:pPr>
            <w:r>
              <w:rPr>
                <w:sz w:val="12"/>
                <w:szCs w:val="12"/>
                <w:spacing w:val="-1"/>
              </w:rPr>
              <w:t>直接使用，可略加汽泊稀释</w:t>
            </w:r>
          </w:p>
        </w:tc>
        <w:tc>
          <w:tcPr>
            <w:tcW w:w="1029" w:type="dxa"/>
            <w:vAlign w:val="top"/>
            <w:vMerge w:val="continue"/>
            <w:tcBorders>
              <w:top w:val="nil"/>
              <w:bottom w:val="nil"/>
            </w:tcBorders>
          </w:tcPr>
          <w:p>
            <w:pPr>
              <w:rPr>
                <w:rFonts w:ascii="Arial"/>
                <w:sz w:val="21"/>
              </w:rPr>
            </w:pPr>
            <w:r/>
          </w:p>
        </w:tc>
        <w:tc>
          <w:tcPr>
            <w:tcW w:w="709" w:type="dxa"/>
            <w:vAlign w:val="top"/>
          </w:tcPr>
          <w:p>
            <w:pPr>
              <w:pStyle w:val="TableText"/>
              <w:ind w:left="197"/>
              <w:spacing w:before="173" w:line="219" w:lineRule="auto"/>
              <w:rPr>
                <w:sz w:val="12"/>
                <w:szCs w:val="12"/>
              </w:rPr>
            </w:pPr>
            <w:r>
              <w:rPr>
                <w:sz w:val="12"/>
                <w:szCs w:val="12"/>
              </w:rPr>
              <w:t>IL</w:t>
            </w:r>
            <w:r>
              <w:rPr>
                <w:sz w:val="12"/>
                <w:szCs w:val="12"/>
                <w:spacing w:val="4"/>
              </w:rPr>
              <w:t>/桶</w:t>
            </w:r>
          </w:p>
        </w:tc>
        <w:tc>
          <w:tcPr>
            <w:tcW w:w="2783" w:type="dxa"/>
            <w:vAlign w:val="top"/>
          </w:tcPr>
          <w:p>
            <w:pPr>
              <w:pStyle w:val="TableText"/>
              <w:ind w:left="18"/>
              <w:spacing w:before="173" w:line="219" w:lineRule="auto"/>
              <w:rPr>
                <w:sz w:val="12"/>
                <w:szCs w:val="12"/>
              </w:rPr>
            </w:pPr>
            <w:r>
              <w:rPr>
                <w:sz w:val="12"/>
                <w:szCs w:val="12"/>
                <w:spacing w:val="-1"/>
              </w:rPr>
              <w:t>伤口涂抹</w:t>
            </w:r>
          </w:p>
        </w:tc>
      </w:tr>
      <w:tr>
        <w:trPr>
          <w:trHeight w:val="454" w:hRule="atLeast"/>
        </w:trPr>
        <w:tc>
          <w:tcPr>
            <w:tcW w:w="415" w:type="dxa"/>
            <w:vAlign w:val="top"/>
            <w:vMerge w:val="continue"/>
            <w:tcBorders>
              <w:top w:val="nil"/>
            </w:tcBorders>
          </w:tcPr>
          <w:p>
            <w:pPr>
              <w:rPr>
                <w:rFonts w:ascii="Arial"/>
                <w:sz w:val="21"/>
              </w:rPr>
            </w:pPr>
            <w:r/>
          </w:p>
        </w:tc>
        <w:tc>
          <w:tcPr>
            <w:tcW w:w="570" w:type="dxa"/>
            <w:vAlign w:val="top"/>
            <w:vMerge w:val="continue"/>
            <w:tcBorders>
              <w:top w:val="nil"/>
            </w:tcBorders>
          </w:tcPr>
          <w:p>
            <w:pPr>
              <w:rPr>
                <w:rFonts w:ascii="Arial"/>
                <w:sz w:val="21"/>
              </w:rPr>
            </w:pPr>
            <w:r/>
          </w:p>
        </w:tc>
        <w:tc>
          <w:tcPr>
            <w:tcW w:w="92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79" w:type="dxa"/>
            <w:vAlign w:val="top"/>
          </w:tcPr>
          <w:p>
            <w:pPr>
              <w:pStyle w:val="TableText"/>
              <w:ind w:left="213"/>
              <w:spacing w:before="175" w:line="219" w:lineRule="auto"/>
              <w:rPr>
                <w:sz w:val="12"/>
                <w:szCs w:val="12"/>
              </w:rPr>
            </w:pPr>
            <w:r>
              <w:rPr>
                <w:sz w:val="12"/>
                <w:szCs w:val="12"/>
                <w:spacing w:val="-1"/>
              </w:rPr>
              <w:t>伤口一抹愈合灵</w:t>
            </w:r>
          </w:p>
        </w:tc>
        <w:tc>
          <w:tcPr>
            <w:tcW w:w="1869" w:type="dxa"/>
            <w:vAlign w:val="top"/>
          </w:tcPr>
          <w:p>
            <w:pPr>
              <w:pStyle w:val="TableText"/>
              <w:ind w:left="323"/>
              <w:spacing w:before="174" w:line="219" w:lineRule="auto"/>
              <w:rPr>
                <w:sz w:val="12"/>
                <w:szCs w:val="12"/>
              </w:rPr>
            </w:pPr>
            <w:r>
              <w:rPr>
                <w:sz w:val="12"/>
                <w:szCs w:val="12"/>
                <w:spacing w:val="-1"/>
              </w:rPr>
              <w:t>吲噪类生长素、杀菌剂</w:t>
            </w:r>
          </w:p>
        </w:tc>
        <w:tc>
          <w:tcPr>
            <w:tcW w:w="1609" w:type="dxa"/>
            <w:vAlign w:val="top"/>
          </w:tcPr>
          <w:p>
            <w:pPr>
              <w:pStyle w:val="TableText"/>
              <w:ind w:left="555"/>
              <w:spacing w:before="175" w:line="219" w:lineRule="auto"/>
              <w:rPr>
                <w:sz w:val="12"/>
                <w:szCs w:val="12"/>
              </w:rPr>
            </w:pPr>
            <w:r>
              <w:rPr>
                <w:sz w:val="12"/>
                <w:szCs w:val="12"/>
                <w:spacing w:val="3"/>
              </w:rPr>
              <w:t>直接使用</w:t>
            </w:r>
          </w:p>
        </w:tc>
        <w:tc>
          <w:tcPr>
            <w:tcW w:w="1029" w:type="dxa"/>
            <w:vAlign w:val="top"/>
            <w:vMerge w:val="continue"/>
            <w:tcBorders>
              <w:top w:val="nil"/>
            </w:tcBorders>
          </w:tcPr>
          <w:p>
            <w:pPr>
              <w:rPr>
                <w:rFonts w:ascii="Arial"/>
                <w:sz w:val="21"/>
              </w:rPr>
            </w:pPr>
            <w:r/>
          </w:p>
        </w:tc>
        <w:tc>
          <w:tcPr>
            <w:tcW w:w="709" w:type="dxa"/>
            <w:vAlign w:val="top"/>
          </w:tcPr>
          <w:p>
            <w:pPr>
              <w:pStyle w:val="TableText"/>
              <w:ind w:left="137"/>
              <w:spacing w:before="170" w:line="214" w:lineRule="auto"/>
              <w:rPr>
                <w:sz w:val="12"/>
                <w:szCs w:val="12"/>
              </w:rPr>
            </w:pPr>
            <w:r>
              <w:rPr>
                <w:sz w:val="12"/>
                <w:szCs w:val="12"/>
                <w:spacing w:val="-1"/>
              </w:rPr>
              <w:t>450g/瓶</w:t>
            </w:r>
          </w:p>
        </w:tc>
        <w:tc>
          <w:tcPr>
            <w:tcW w:w="2783" w:type="dxa"/>
            <w:vAlign w:val="top"/>
          </w:tcPr>
          <w:p>
            <w:pPr>
              <w:pStyle w:val="TableText"/>
              <w:ind w:left="18"/>
              <w:spacing w:before="174" w:line="219" w:lineRule="auto"/>
              <w:rPr>
                <w:sz w:val="12"/>
                <w:szCs w:val="12"/>
              </w:rPr>
            </w:pPr>
            <w:r>
              <w:rPr>
                <w:sz w:val="12"/>
                <w:szCs w:val="12"/>
                <w:spacing w:val="-1"/>
              </w:rPr>
              <w:t>促进伤口快速愈合，杀菌防腐</w:t>
            </w:r>
          </w:p>
        </w:tc>
      </w:tr>
    </w:tbl>
    <w:p>
      <w:pPr>
        <w:rPr>
          <w:rFonts w:ascii="Arial"/>
          <w:sz w:val="21"/>
        </w:rPr>
      </w:pPr>
      <w:r/>
    </w:p>
    <w:p>
      <w:pPr>
        <w:sectPr>
          <w:pgSz w:w="14490" w:h="10240"/>
          <w:pgMar w:top="115" w:right="334" w:bottom="400" w:left="284" w:header="0" w:footer="0" w:gutter="0"/>
        </w:sectPr>
        <w:rPr>
          <w:rFonts w:ascii="Arial" w:hAnsi="Arial" w:eastAsia="Arial" w:cs="Arial"/>
          <w:sz w:val="21"/>
          <w:szCs w:val="21"/>
        </w:rPr>
      </w:pPr>
    </w:p>
    <w:tbl>
      <w:tblPr>
        <w:tblStyle w:val="TableNormal"/>
        <w:tblW w:w="1384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20"/>
        <w:gridCol w:w="949"/>
        <w:gridCol w:w="2668"/>
        <w:gridCol w:w="1269"/>
        <w:gridCol w:w="1889"/>
        <w:gridCol w:w="1609"/>
        <w:gridCol w:w="1029"/>
        <w:gridCol w:w="689"/>
        <w:gridCol w:w="2803"/>
      </w:tblGrid>
      <w:tr>
        <w:trPr>
          <w:trHeight w:val="634" w:hRule="atLeast"/>
        </w:trPr>
        <w:tc>
          <w:tcPr>
            <w:tcW w:w="13840" w:type="dxa"/>
            <w:vAlign w:val="top"/>
            <w:gridSpan w:val="10"/>
          </w:tcPr>
          <w:p>
            <w:pPr>
              <w:pStyle w:val="TableText"/>
              <w:ind w:left="6006"/>
              <w:spacing w:before="147" w:line="219" w:lineRule="auto"/>
              <w:rPr>
                <w:sz w:val="12"/>
                <w:szCs w:val="12"/>
              </w:rPr>
            </w:pPr>
            <w:r>
              <w:rPr>
                <w:sz w:val="12"/>
                <w:szCs w:val="12"/>
                <w:b/>
                <w:bCs/>
                <w:spacing w:val="-8"/>
              </w:rPr>
              <w:t>福</w:t>
            </w:r>
            <w:r>
              <w:rPr>
                <w:sz w:val="12"/>
                <w:szCs w:val="12"/>
                <w:spacing w:val="-8"/>
              </w:rPr>
              <w:t xml:space="preserve"> </w:t>
            </w:r>
            <w:r>
              <w:rPr>
                <w:sz w:val="12"/>
                <w:szCs w:val="12"/>
                <w:b/>
                <w:bCs/>
                <w:spacing w:val="-8"/>
              </w:rPr>
              <w:t>建</w:t>
            </w:r>
            <w:r>
              <w:rPr>
                <w:sz w:val="12"/>
                <w:szCs w:val="12"/>
                <w:spacing w:val="-20"/>
              </w:rPr>
              <w:t xml:space="preserve"> </w:t>
            </w:r>
            <w:r>
              <w:rPr>
                <w:sz w:val="12"/>
                <w:szCs w:val="12"/>
                <w:b/>
                <w:bCs/>
                <w:spacing w:val="-8"/>
              </w:rPr>
              <w:t>地</w:t>
            </w:r>
            <w:r>
              <w:rPr>
                <w:sz w:val="12"/>
                <w:szCs w:val="12"/>
                <w:spacing w:val="-8"/>
              </w:rPr>
              <w:t xml:space="preserve"> </w:t>
            </w:r>
            <w:r>
              <w:rPr>
                <w:sz w:val="12"/>
                <w:szCs w:val="12"/>
                <w:b/>
                <w:bCs/>
                <w:spacing w:val="-8"/>
              </w:rPr>
              <w:t>区</w:t>
            </w:r>
            <w:r>
              <w:rPr>
                <w:sz w:val="12"/>
                <w:szCs w:val="12"/>
                <w:spacing w:val="-20"/>
              </w:rPr>
              <w:t xml:space="preserve"> </w:t>
            </w:r>
            <w:r>
              <w:rPr>
                <w:sz w:val="12"/>
                <w:szCs w:val="12"/>
                <w:b/>
                <w:bCs/>
                <w:spacing w:val="-8"/>
              </w:rPr>
              <w:t>农</w:t>
            </w:r>
            <w:r>
              <w:rPr>
                <w:sz w:val="12"/>
                <w:szCs w:val="12"/>
                <w:spacing w:val="-18"/>
              </w:rPr>
              <w:t xml:space="preserve"> </w:t>
            </w:r>
            <w:r>
              <w:rPr>
                <w:sz w:val="12"/>
                <w:szCs w:val="12"/>
                <w:b/>
                <w:bCs/>
                <w:spacing w:val="-8"/>
              </w:rPr>
              <w:t>药</w:t>
            </w:r>
            <w:r>
              <w:rPr>
                <w:sz w:val="12"/>
                <w:szCs w:val="12"/>
                <w:spacing w:val="-20"/>
              </w:rPr>
              <w:t xml:space="preserve"> </w:t>
            </w:r>
            <w:r>
              <w:rPr>
                <w:sz w:val="12"/>
                <w:szCs w:val="12"/>
                <w:b/>
                <w:bCs/>
                <w:spacing w:val="-8"/>
              </w:rPr>
              <w:t>肥</w:t>
            </w:r>
            <w:r>
              <w:rPr>
                <w:sz w:val="12"/>
                <w:szCs w:val="12"/>
                <w:spacing w:val="-20"/>
              </w:rPr>
              <w:t xml:space="preserve"> </w:t>
            </w:r>
            <w:r>
              <w:rPr>
                <w:sz w:val="12"/>
                <w:szCs w:val="12"/>
                <w:b/>
                <w:bCs/>
                <w:spacing w:val="-8"/>
              </w:rPr>
              <w:t>料</w:t>
            </w:r>
            <w:r>
              <w:rPr>
                <w:sz w:val="12"/>
                <w:szCs w:val="12"/>
                <w:spacing w:val="-20"/>
              </w:rPr>
              <w:t xml:space="preserve"> </w:t>
            </w:r>
            <w:r>
              <w:rPr>
                <w:sz w:val="12"/>
                <w:szCs w:val="12"/>
                <w:b/>
                <w:bCs/>
                <w:spacing w:val="-8"/>
              </w:rPr>
              <w:t>使</w:t>
            </w:r>
            <w:r>
              <w:rPr>
                <w:sz w:val="12"/>
                <w:szCs w:val="12"/>
                <w:spacing w:val="-19"/>
              </w:rPr>
              <w:t xml:space="preserve"> </w:t>
            </w:r>
            <w:r>
              <w:rPr>
                <w:sz w:val="12"/>
                <w:szCs w:val="12"/>
                <w:b/>
                <w:bCs/>
                <w:spacing w:val="-8"/>
              </w:rPr>
              <w:t>用</w:t>
            </w:r>
            <w:r>
              <w:rPr>
                <w:sz w:val="12"/>
                <w:szCs w:val="12"/>
                <w:spacing w:val="-18"/>
              </w:rPr>
              <w:t xml:space="preserve"> </w:t>
            </w:r>
            <w:r>
              <w:rPr>
                <w:sz w:val="12"/>
                <w:szCs w:val="12"/>
                <w:b/>
                <w:bCs/>
                <w:spacing w:val="-8"/>
              </w:rPr>
              <w:t>指</w:t>
            </w:r>
            <w:r>
              <w:rPr>
                <w:sz w:val="12"/>
                <w:szCs w:val="12"/>
                <w:spacing w:val="-17"/>
              </w:rPr>
              <w:t xml:space="preserve"> </w:t>
            </w:r>
            <w:r>
              <w:rPr>
                <w:sz w:val="12"/>
                <w:szCs w:val="12"/>
                <w:b/>
                <w:bCs/>
                <w:spacing w:val="-8"/>
              </w:rPr>
              <w:t>导</w:t>
            </w:r>
          </w:p>
          <w:p>
            <w:pPr>
              <w:pStyle w:val="TableText"/>
              <w:ind w:left="4636"/>
              <w:spacing w:before="67" w:line="218" w:lineRule="auto"/>
              <w:rPr>
                <w:sz w:val="12"/>
                <w:szCs w:val="12"/>
              </w:rPr>
            </w:pPr>
            <w:r>
              <w:rPr>
                <w:sz w:val="12"/>
                <w:szCs w:val="12"/>
                <w:b/>
                <w:bCs/>
                <w:spacing w:val="-1"/>
              </w:rPr>
              <w:t>(本表中药品供参考，如有同类且成分相同、价格合理、低毒高效的药品，可选择使用</w:t>
            </w:r>
            <w:r>
              <w:rPr>
                <w:sz w:val="12"/>
                <w:szCs w:val="12"/>
                <w:spacing w:val="-1"/>
              </w:rPr>
              <w:t>)</w:t>
            </w:r>
          </w:p>
        </w:tc>
      </w:tr>
      <w:tr>
        <w:trPr>
          <w:trHeight w:val="509" w:hRule="atLeast"/>
        </w:trPr>
        <w:tc>
          <w:tcPr>
            <w:tcW w:w="415" w:type="dxa"/>
            <w:vAlign w:val="top"/>
          </w:tcPr>
          <w:p>
            <w:pPr>
              <w:pStyle w:val="TableText"/>
              <w:ind w:left="76"/>
              <w:spacing w:before="194" w:line="219" w:lineRule="auto"/>
              <w:rPr>
                <w:sz w:val="12"/>
                <w:szCs w:val="12"/>
              </w:rPr>
            </w:pPr>
            <w:r>
              <w:rPr>
                <w:sz w:val="12"/>
                <w:szCs w:val="12"/>
                <w:b/>
                <w:bCs/>
                <w:spacing w:val="-3"/>
              </w:rPr>
              <w:t>分类</w:t>
            </w:r>
          </w:p>
        </w:tc>
        <w:tc>
          <w:tcPr>
            <w:tcW w:w="520" w:type="dxa"/>
            <w:vAlign w:val="top"/>
          </w:tcPr>
          <w:p>
            <w:pPr>
              <w:pStyle w:val="TableText"/>
              <w:ind w:left="11"/>
              <w:spacing w:before="43" w:line="201" w:lineRule="auto"/>
              <w:rPr>
                <w:sz w:val="12"/>
                <w:szCs w:val="12"/>
              </w:rPr>
            </w:pPr>
            <w:r>
              <w:rPr>
                <w:sz w:val="12"/>
                <w:szCs w:val="12"/>
                <w:b/>
                <w:bCs/>
                <w:spacing w:val="-3"/>
              </w:rPr>
              <w:t>消杀预防</w:t>
            </w:r>
          </w:p>
          <w:p>
            <w:pPr>
              <w:pStyle w:val="TableText"/>
              <w:ind w:left="21"/>
              <w:spacing w:line="220" w:lineRule="auto"/>
              <w:rPr>
                <w:sz w:val="12"/>
                <w:szCs w:val="12"/>
              </w:rPr>
            </w:pPr>
            <w:r>
              <w:rPr>
                <w:sz w:val="12"/>
                <w:szCs w:val="12"/>
                <w:b/>
                <w:bCs/>
                <w:spacing w:val="-3"/>
              </w:rPr>
              <w:t>及病虫害</w:t>
            </w:r>
          </w:p>
          <w:p>
            <w:pPr>
              <w:pStyle w:val="TableText"/>
              <w:ind w:left="131"/>
              <w:spacing w:before="16" w:line="219" w:lineRule="auto"/>
              <w:rPr>
                <w:sz w:val="12"/>
                <w:szCs w:val="12"/>
              </w:rPr>
            </w:pPr>
            <w:r>
              <w:rPr>
                <w:sz w:val="12"/>
                <w:szCs w:val="12"/>
                <w:b/>
                <w:bCs/>
                <w:spacing w:val="-3"/>
              </w:rPr>
              <w:t>分类</w:t>
            </w:r>
          </w:p>
        </w:tc>
        <w:tc>
          <w:tcPr>
            <w:tcW w:w="949" w:type="dxa"/>
            <w:vAlign w:val="top"/>
          </w:tcPr>
          <w:p>
            <w:pPr>
              <w:pStyle w:val="TableText"/>
              <w:ind w:left="161"/>
              <w:spacing w:before="194" w:line="219" w:lineRule="auto"/>
              <w:rPr>
                <w:sz w:val="12"/>
                <w:szCs w:val="12"/>
              </w:rPr>
            </w:pPr>
            <w:r>
              <w:rPr>
                <w:sz w:val="12"/>
                <w:szCs w:val="12"/>
                <w:b/>
                <w:bCs/>
                <w:spacing w:val="-3"/>
              </w:rPr>
              <w:t>常见病虫害</w:t>
            </w:r>
          </w:p>
        </w:tc>
        <w:tc>
          <w:tcPr>
            <w:tcW w:w="2668" w:type="dxa"/>
            <w:vAlign w:val="top"/>
          </w:tcPr>
          <w:p>
            <w:pPr>
              <w:pStyle w:val="TableText"/>
              <w:ind w:left="1002"/>
              <w:spacing w:before="194" w:line="219" w:lineRule="auto"/>
              <w:rPr>
                <w:sz w:val="12"/>
                <w:szCs w:val="12"/>
              </w:rPr>
            </w:pPr>
            <w:r>
              <w:rPr>
                <w:sz w:val="12"/>
                <w:szCs w:val="12"/>
                <w:b/>
                <w:bCs/>
                <w:spacing w:val="-3"/>
              </w:rPr>
              <w:t>主要发病月份</w:t>
            </w:r>
          </w:p>
        </w:tc>
        <w:tc>
          <w:tcPr>
            <w:tcW w:w="1269" w:type="dxa"/>
            <w:vAlign w:val="top"/>
          </w:tcPr>
          <w:p>
            <w:pPr>
              <w:pStyle w:val="TableText"/>
              <w:ind w:left="384"/>
              <w:spacing w:before="194" w:line="220" w:lineRule="auto"/>
              <w:rPr>
                <w:sz w:val="12"/>
                <w:szCs w:val="12"/>
              </w:rPr>
            </w:pPr>
            <w:r>
              <w:rPr>
                <w:sz w:val="12"/>
                <w:szCs w:val="12"/>
                <w:b/>
                <w:bCs/>
                <w:spacing w:val="-3"/>
              </w:rPr>
              <w:t>药品名称</w:t>
            </w:r>
          </w:p>
        </w:tc>
        <w:tc>
          <w:tcPr>
            <w:tcW w:w="1889" w:type="dxa"/>
            <w:vAlign w:val="top"/>
          </w:tcPr>
          <w:p>
            <w:pPr>
              <w:pStyle w:val="TableText"/>
              <w:ind w:left="695"/>
              <w:spacing w:before="194" w:line="220" w:lineRule="auto"/>
              <w:rPr>
                <w:sz w:val="12"/>
                <w:szCs w:val="12"/>
              </w:rPr>
            </w:pPr>
            <w:r>
              <w:rPr>
                <w:sz w:val="12"/>
                <w:szCs w:val="12"/>
                <w:b/>
                <w:bCs/>
                <w:spacing w:val="-3"/>
              </w:rPr>
              <w:t>主要成分</w:t>
            </w:r>
          </w:p>
        </w:tc>
        <w:tc>
          <w:tcPr>
            <w:tcW w:w="1609" w:type="dxa"/>
            <w:vAlign w:val="top"/>
          </w:tcPr>
          <w:p>
            <w:pPr>
              <w:pStyle w:val="TableText"/>
              <w:ind w:left="556"/>
              <w:spacing w:before="194" w:line="219" w:lineRule="auto"/>
              <w:rPr>
                <w:sz w:val="12"/>
                <w:szCs w:val="12"/>
              </w:rPr>
            </w:pPr>
            <w:r>
              <w:rPr>
                <w:sz w:val="12"/>
                <w:szCs w:val="12"/>
                <w:b/>
                <w:bCs/>
                <w:spacing w:val="-3"/>
              </w:rPr>
              <w:t>使用倍率</w:t>
            </w:r>
          </w:p>
        </w:tc>
        <w:tc>
          <w:tcPr>
            <w:tcW w:w="1029" w:type="dxa"/>
            <w:vAlign w:val="top"/>
          </w:tcPr>
          <w:p>
            <w:pPr>
              <w:pStyle w:val="TableText"/>
              <w:ind w:left="267"/>
              <w:spacing w:before="194" w:line="219" w:lineRule="auto"/>
              <w:rPr>
                <w:sz w:val="12"/>
                <w:szCs w:val="12"/>
              </w:rPr>
            </w:pPr>
            <w:r>
              <w:rPr>
                <w:sz w:val="12"/>
                <w:szCs w:val="12"/>
                <w:b/>
                <w:bCs/>
                <w:spacing w:val="-3"/>
              </w:rPr>
              <w:t>施用次数</w:t>
            </w:r>
          </w:p>
        </w:tc>
        <w:tc>
          <w:tcPr>
            <w:tcW w:w="689" w:type="dxa"/>
            <w:vAlign w:val="top"/>
          </w:tcPr>
          <w:p>
            <w:pPr>
              <w:pStyle w:val="TableText"/>
              <w:ind w:left="218"/>
              <w:spacing w:before="194" w:line="219" w:lineRule="auto"/>
              <w:rPr>
                <w:sz w:val="12"/>
                <w:szCs w:val="12"/>
              </w:rPr>
            </w:pPr>
            <w:r>
              <w:rPr>
                <w:sz w:val="12"/>
                <w:szCs w:val="12"/>
                <w:b/>
                <w:bCs/>
                <w:spacing w:val="-3"/>
              </w:rPr>
              <w:t>规格</w:t>
            </w:r>
          </w:p>
        </w:tc>
        <w:tc>
          <w:tcPr>
            <w:tcW w:w="2803" w:type="dxa"/>
            <w:vAlign w:val="top"/>
          </w:tcPr>
          <w:p>
            <w:pPr>
              <w:pStyle w:val="TableText"/>
              <w:ind w:left="1289"/>
              <w:spacing w:before="194" w:line="221" w:lineRule="auto"/>
              <w:rPr>
                <w:sz w:val="12"/>
                <w:szCs w:val="12"/>
              </w:rPr>
            </w:pPr>
            <w:r>
              <w:rPr>
                <w:sz w:val="12"/>
                <w:szCs w:val="12"/>
                <w:b/>
                <w:bCs/>
                <w:spacing w:val="-3"/>
              </w:rPr>
              <w:t>备注</w:t>
            </w:r>
          </w:p>
        </w:tc>
      </w:tr>
      <w:tr>
        <w:trPr>
          <w:trHeight w:val="349" w:hRule="atLeast"/>
        </w:trPr>
        <w:tc>
          <w:tcPr>
            <w:tcW w:w="415"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14"/>
              <w:spacing w:before="39" w:line="219" w:lineRule="auto"/>
              <w:rPr>
                <w:sz w:val="12"/>
                <w:szCs w:val="12"/>
              </w:rPr>
            </w:pPr>
            <w:r>
              <w:rPr>
                <w:sz w:val="12"/>
                <w:szCs w:val="12"/>
                <w:spacing w:val="-2"/>
              </w:rPr>
              <w:t>杀菌刻</w:t>
            </w:r>
          </w:p>
        </w:tc>
        <w:tc>
          <w:tcPr>
            <w:tcW w:w="520" w:type="dxa"/>
            <w:vAlign w:val="top"/>
            <w:vMerge w:val="restart"/>
            <w:tcBorders>
              <w:bottom w:val="nil"/>
            </w:tcBorders>
          </w:tcPr>
          <w:p>
            <w:pPr>
              <w:spacing w:line="256" w:lineRule="auto"/>
              <w:rPr>
                <w:rFonts w:ascii="Arial"/>
                <w:sz w:val="21"/>
              </w:rPr>
            </w:pPr>
            <w:r/>
          </w:p>
          <w:p>
            <w:pPr>
              <w:pStyle w:val="TableText"/>
              <w:ind w:left="10"/>
              <w:spacing w:before="39" w:line="219" w:lineRule="auto"/>
              <w:rPr>
                <w:sz w:val="12"/>
                <w:szCs w:val="12"/>
              </w:rPr>
            </w:pPr>
            <w:r>
              <w:rPr>
                <w:sz w:val="12"/>
                <w:szCs w:val="12"/>
                <w:spacing w:val="-2"/>
              </w:rPr>
              <w:t>消杀预防</w:t>
            </w:r>
          </w:p>
        </w:tc>
        <w:tc>
          <w:tcPr>
            <w:tcW w:w="949" w:type="dxa"/>
            <w:vAlign w:val="top"/>
            <w:vMerge w:val="restart"/>
            <w:tcBorders>
              <w:bottom w:val="nil"/>
            </w:tcBorders>
          </w:tcPr>
          <w:p>
            <w:pPr>
              <w:pStyle w:val="TableText"/>
              <w:ind w:left="40"/>
              <w:spacing w:before="216" w:line="219" w:lineRule="auto"/>
              <w:rPr>
                <w:sz w:val="12"/>
                <w:szCs w:val="12"/>
              </w:rPr>
            </w:pPr>
            <w:r>
              <w:rPr>
                <w:sz w:val="12"/>
                <w:szCs w:val="12"/>
                <w:spacing w:val="-1"/>
              </w:rPr>
              <w:t>全园区的菌类病</w:t>
            </w:r>
          </w:p>
          <w:p>
            <w:pPr>
              <w:pStyle w:val="TableText"/>
              <w:ind w:left="220"/>
              <w:spacing w:before="17" w:line="219" w:lineRule="auto"/>
              <w:rPr>
                <w:sz w:val="12"/>
                <w:szCs w:val="12"/>
              </w:rPr>
            </w:pPr>
            <w:r>
              <w:rPr>
                <w:sz w:val="12"/>
                <w:szCs w:val="12"/>
                <w:spacing w:val="-2"/>
              </w:rPr>
              <w:t>菌、虫卵</w:t>
            </w:r>
          </w:p>
        </w:tc>
        <w:tc>
          <w:tcPr>
            <w:tcW w:w="2668" w:type="dxa"/>
            <w:vAlign w:val="top"/>
            <w:vMerge w:val="restart"/>
            <w:tcBorders>
              <w:bottom w:val="nil"/>
            </w:tcBorders>
          </w:tcPr>
          <w:p>
            <w:pPr>
              <w:pStyle w:val="TableText"/>
              <w:ind w:left="1"/>
              <w:spacing w:before="86" w:line="200" w:lineRule="auto"/>
              <w:rPr>
                <w:sz w:val="12"/>
                <w:szCs w:val="12"/>
              </w:rPr>
            </w:pPr>
            <w:r>
              <w:rPr>
                <w:sz w:val="12"/>
                <w:szCs w:val="12"/>
              </w:rPr>
              <w:t>一。12月-次年2月对全园区消杀I-2次：</w:t>
            </w:r>
          </w:p>
          <w:p>
            <w:pPr>
              <w:pStyle w:val="TableText"/>
              <w:ind w:left="1" w:right="12" w:firstLine="9"/>
              <w:spacing w:line="225" w:lineRule="auto"/>
              <w:jc w:val="both"/>
              <w:rPr>
                <w:sz w:val="12"/>
                <w:szCs w:val="12"/>
              </w:rPr>
            </w:pPr>
            <w:r>
              <w:rPr>
                <w:sz w:val="12"/>
                <w:szCs w:val="12"/>
                <w:spacing w:val="-1"/>
              </w:rPr>
              <w:t>二、加强园区卫生管理，结合冬季修剪，清除病虫</w:t>
            </w:r>
            <w:r>
              <w:rPr>
                <w:sz w:val="12"/>
                <w:szCs w:val="12"/>
                <w:spacing w:val="14"/>
              </w:rPr>
              <w:t xml:space="preserve"> </w:t>
            </w:r>
            <w:r>
              <w:rPr>
                <w:sz w:val="12"/>
                <w:szCs w:val="12"/>
              </w:rPr>
              <w:t>枝、枯枝、落叶、烂头桩及杂草，投放灭蚁灵等年</w:t>
            </w:r>
            <w:r>
              <w:rPr>
                <w:sz w:val="12"/>
                <w:szCs w:val="12"/>
                <w:spacing w:val="3"/>
              </w:rPr>
              <w:t xml:space="preserve"> </w:t>
            </w:r>
            <w:r>
              <w:rPr>
                <w:sz w:val="12"/>
                <w:szCs w:val="12"/>
                <w:spacing w:val="-1"/>
              </w:rPr>
              <w:t>料。</w:t>
            </w:r>
          </w:p>
        </w:tc>
        <w:tc>
          <w:tcPr>
            <w:tcW w:w="1269" w:type="dxa"/>
            <w:vAlign w:val="top"/>
          </w:tcPr>
          <w:p>
            <w:pPr>
              <w:pStyle w:val="TableText"/>
              <w:ind w:left="263"/>
              <w:spacing w:before="116" w:line="219" w:lineRule="auto"/>
              <w:rPr>
                <w:sz w:val="12"/>
                <w:szCs w:val="12"/>
              </w:rPr>
            </w:pPr>
            <w:r>
              <w:rPr>
                <w:sz w:val="12"/>
                <w:szCs w:val="12"/>
                <w:spacing w:val="1"/>
              </w:rPr>
              <w:t>品体石硫合剂</w:t>
            </w:r>
          </w:p>
        </w:tc>
        <w:tc>
          <w:tcPr>
            <w:tcW w:w="1889" w:type="dxa"/>
            <w:vAlign w:val="top"/>
          </w:tcPr>
          <w:p>
            <w:pPr>
              <w:pStyle w:val="TableText"/>
              <w:ind w:left="694"/>
              <w:spacing w:before="117" w:line="221" w:lineRule="auto"/>
              <w:rPr>
                <w:sz w:val="12"/>
                <w:szCs w:val="12"/>
              </w:rPr>
            </w:pPr>
            <w:r>
              <w:rPr>
                <w:sz w:val="12"/>
                <w:szCs w:val="12"/>
                <w:spacing w:val="-2"/>
              </w:rPr>
              <w:t>多硫化钙</w:t>
            </w:r>
          </w:p>
        </w:tc>
        <w:tc>
          <w:tcPr>
            <w:tcW w:w="1609" w:type="dxa"/>
            <w:vAlign w:val="top"/>
          </w:tcPr>
          <w:p>
            <w:pPr>
              <w:pStyle w:val="TableText"/>
              <w:ind w:left="495"/>
              <w:spacing w:before="117" w:line="220" w:lineRule="auto"/>
              <w:rPr>
                <w:sz w:val="12"/>
                <w:szCs w:val="12"/>
              </w:rPr>
            </w:pPr>
            <w:r>
              <w:rPr>
                <w:sz w:val="12"/>
                <w:szCs w:val="12"/>
                <w:spacing w:val="-1"/>
              </w:rPr>
              <w:t>400-1000倍</w:t>
            </w:r>
          </w:p>
        </w:tc>
        <w:tc>
          <w:tcPr>
            <w:tcW w:w="1029" w:type="dxa"/>
            <w:vAlign w:val="top"/>
            <w:vMerge w:val="restart"/>
            <w:tcBorders>
              <w:bottom w:val="nil"/>
            </w:tcBorders>
          </w:tcPr>
          <w:p>
            <w:pPr>
              <w:spacing w:line="259" w:lineRule="auto"/>
              <w:rPr>
                <w:rFonts w:ascii="Arial"/>
                <w:sz w:val="21"/>
              </w:rPr>
            </w:pPr>
            <w:r/>
          </w:p>
          <w:p>
            <w:pPr>
              <w:pStyle w:val="TableText"/>
              <w:ind w:left="476"/>
              <w:spacing w:before="39" w:line="224" w:lineRule="auto"/>
              <w:rPr>
                <w:sz w:val="12"/>
                <w:szCs w:val="12"/>
              </w:rPr>
            </w:pPr>
            <w:r>
              <w:rPr>
                <w:sz w:val="12"/>
                <w:szCs w:val="12"/>
              </w:rPr>
              <w:t>/</w:t>
            </w:r>
          </w:p>
        </w:tc>
        <w:tc>
          <w:tcPr>
            <w:tcW w:w="689" w:type="dxa"/>
            <w:vAlign w:val="top"/>
          </w:tcPr>
          <w:p>
            <w:pPr>
              <w:pStyle w:val="TableText"/>
              <w:ind w:left="127"/>
              <w:spacing w:before="112" w:line="214" w:lineRule="auto"/>
              <w:rPr>
                <w:sz w:val="12"/>
                <w:szCs w:val="12"/>
              </w:rPr>
            </w:pPr>
            <w:r>
              <w:rPr>
                <w:sz w:val="12"/>
                <w:szCs w:val="12"/>
                <w:spacing w:val="-1"/>
              </w:rPr>
              <w:t>400g/肇</w:t>
            </w:r>
          </w:p>
        </w:tc>
        <w:tc>
          <w:tcPr>
            <w:tcW w:w="2803" w:type="dxa"/>
            <w:vAlign w:val="top"/>
          </w:tcPr>
          <w:p>
            <w:pPr>
              <w:pStyle w:val="TableText"/>
              <w:ind w:left="18" w:right="20"/>
              <w:spacing w:before="46" w:line="210" w:lineRule="auto"/>
              <w:rPr>
                <w:sz w:val="12"/>
                <w:szCs w:val="12"/>
              </w:rPr>
            </w:pPr>
            <w:r>
              <w:rPr>
                <w:sz w:val="12"/>
                <w:szCs w:val="12"/>
                <w:spacing w:val="-1"/>
              </w:rPr>
              <w:t>价格低廉、效果好、对多种病菌具有抑杀作用，园区</w:t>
            </w:r>
            <w:r>
              <w:rPr>
                <w:sz w:val="12"/>
                <w:szCs w:val="12"/>
                <w:spacing w:val="16"/>
                <w:w w:val="101"/>
              </w:rPr>
              <w:t xml:space="preserve"> </w:t>
            </w:r>
            <w:r>
              <w:rPr>
                <w:sz w:val="12"/>
                <w:szCs w:val="12"/>
                <w:spacing w:val="3"/>
              </w:rPr>
              <w:t>消杀使用</w:t>
            </w:r>
          </w:p>
        </w:tc>
      </w:tr>
      <w:tr>
        <w:trPr>
          <w:trHeight w:val="35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69" w:type="dxa"/>
            <w:vAlign w:val="top"/>
          </w:tcPr>
          <w:p>
            <w:pPr>
              <w:pStyle w:val="TableText"/>
              <w:ind w:left="383"/>
              <w:spacing w:before="118" w:line="220" w:lineRule="auto"/>
              <w:rPr>
                <w:sz w:val="12"/>
                <w:szCs w:val="12"/>
              </w:rPr>
            </w:pPr>
            <w:r>
              <w:rPr>
                <w:sz w:val="12"/>
                <w:szCs w:val="12"/>
                <w:spacing w:val="-1"/>
              </w:rPr>
              <w:t>波尔多液</w:t>
            </w:r>
          </w:p>
        </w:tc>
        <w:tc>
          <w:tcPr>
            <w:tcW w:w="1889" w:type="dxa"/>
            <w:vAlign w:val="top"/>
          </w:tcPr>
          <w:p>
            <w:pPr>
              <w:pStyle w:val="TableText"/>
              <w:ind w:left="634"/>
              <w:spacing w:before="118" w:line="221" w:lineRule="auto"/>
              <w:rPr>
                <w:sz w:val="12"/>
                <w:szCs w:val="12"/>
              </w:rPr>
            </w:pPr>
            <w:r>
              <w:rPr>
                <w:sz w:val="12"/>
                <w:szCs w:val="12"/>
                <w:spacing w:val="-1"/>
              </w:rPr>
              <w:t>碱式硫酸钢</w:t>
            </w:r>
          </w:p>
        </w:tc>
        <w:tc>
          <w:tcPr>
            <w:tcW w:w="1609" w:type="dxa"/>
            <w:vAlign w:val="top"/>
          </w:tcPr>
          <w:p>
            <w:pPr>
              <w:pStyle w:val="TableText"/>
              <w:ind w:left="525"/>
              <w:spacing w:before="118" w:line="220" w:lineRule="auto"/>
              <w:rPr>
                <w:sz w:val="12"/>
                <w:szCs w:val="12"/>
              </w:rPr>
            </w:pPr>
            <w:r>
              <w:rPr>
                <w:sz w:val="12"/>
                <w:szCs w:val="12"/>
                <w:spacing w:val="-2"/>
              </w:rPr>
              <w:t>160-240倍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127"/>
              <w:spacing w:before="113" w:line="214" w:lineRule="auto"/>
              <w:rPr>
                <w:sz w:val="12"/>
                <w:szCs w:val="12"/>
              </w:rPr>
            </w:pPr>
            <w:r>
              <w:rPr>
                <w:sz w:val="12"/>
                <w:szCs w:val="12"/>
                <w:spacing w:val="-1"/>
              </w:rPr>
              <w:t>200g/袋</w:t>
            </w:r>
          </w:p>
        </w:tc>
        <w:tc>
          <w:tcPr>
            <w:tcW w:w="2803" w:type="dxa"/>
            <w:vAlign w:val="top"/>
          </w:tcPr>
          <w:p>
            <w:pPr>
              <w:pStyle w:val="TableText"/>
              <w:ind w:left="18" w:right="27"/>
              <w:spacing w:before="57" w:line="210" w:lineRule="auto"/>
              <w:rPr>
                <w:sz w:val="12"/>
                <w:szCs w:val="12"/>
              </w:rPr>
            </w:pPr>
            <w:r>
              <w:rPr>
                <w:sz w:val="12"/>
                <w:szCs w:val="12"/>
                <w:spacing w:val="-1"/>
              </w:rPr>
              <w:t>防治落叶病、炭疽病、炭疽病、霜霉病。不能与石碗</w:t>
            </w:r>
            <w:r>
              <w:rPr>
                <w:sz w:val="12"/>
                <w:szCs w:val="12"/>
                <w:spacing w:val="9"/>
              </w:rPr>
              <w:t xml:space="preserve"> </w:t>
            </w:r>
            <w:r>
              <w:rPr>
                <w:sz w:val="12"/>
                <w:szCs w:val="12"/>
                <w:spacing w:val="-1"/>
              </w:rPr>
              <w:t>合刻等碱性农药混用</w:t>
            </w:r>
          </w:p>
        </w:tc>
      </w:tr>
      <w:tr>
        <w:trPr>
          <w:trHeight w:val="559" w:hRule="atLeast"/>
        </w:trPr>
        <w:tc>
          <w:tcPr>
            <w:tcW w:w="415" w:type="dxa"/>
            <w:vAlign w:val="top"/>
            <w:vMerge w:val="continue"/>
            <w:tcBorders>
              <w:top w:val="nil"/>
              <w:bottom w:val="nil"/>
            </w:tcBorders>
          </w:tcPr>
          <w:p>
            <w:pPr>
              <w:rPr>
                <w:rFonts w:ascii="Arial"/>
                <w:sz w:val="21"/>
              </w:rPr>
            </w:pPr>
            <w:r/>
          </w:p>
        </w:tc>
        <w:tc>
          <w:tcPr>
            <w:tcW w:w="520"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70"/>
              <w:spacing w:before="39" w:line="219" w:lineRule="auto"/>
              <w:rPr>
                <w:sz w:val="12"/>
                <w:szCs w:val="12"/>
              </w:rPr>
            </w:pPr>
            <w:r>
              <w:rPr>
                <w:sz w:val="12"/>
                <w:szCs w:val="12"/>
                <w:spacing w:val="-1"/>
              </w:rPr>
              <w:t>病菌类</w:t>
            </w:r>
          </w:p>
        </w:tc>
        <w:tc>
          <w:tcPr>
            <w:tcW w:w="949"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49" w:right="47" w:hanging="9"/>
              <w:spacing w:before="39" w:line="217" w:lineRule="auto"/>
              <w:jc w:val="both"/>
              <w:rPr>
                <w:sz w:val="12"/>
                <w:szCs w:val="12"/>
              </w:rPr>
            </w:pPr>
            <w:r>
              <w:rPr>
                <w:sz w:val="12"/>
                <w:szCs w:val="12"/>
                <w:spacing w:val="-1"/>
              </w:rPr>
              <w:t>灰霉病、煤污病</w:t>
            </w:r>
            <w:r>
              <w:rPr>
                <w:sz w:val="12"/>
                <w:szCs w:val="12"/>
              </w:rPr>
              <w:t xml:space="preserve"> </w:t>
            </w:r>
            <w:r>
              <w:rPr>
                <w:sz w:val="12"/>
                <w:szCs w:val="12"/>
              </w:rPr>
              <w:t>、炭疽病，白粉 </w:t>
            </w:r>
            <w:r>
              <w:rPr>
                <w:sz w:val="12"/>
                <w:szCs w:val="12"/>
                <w:spacing w:val="-1"/>
              </w:rPr>
              <w:t>病，锈病、叶枯</w:t>
            </w:r>
          </w:p>
          <w:p>
            <w:pPr>
              <w:pStyle w:val="TableText"/>
              <w:ind w:left="160"/>
              <w:spacing w:before="17" w:line="219" w:lineRule="auto"/>
              <w:rPr>
                <w:sz w:val="12"/>
                <w:szCs w:val="12"/>
              </w:rPr>
            </w:pPr>
            <w:r>
              <w:rPr>
                <w:sz w:val="12"/>
                <w:szCs w:val="12"/>
                <w:spacing w:val="-1"/>
              </w:rPr>
              <w:t>病，叶斑病</w:t>
            </w:r>
          </w:p>
        </w:tc>
        <w:tc>
          <w:tcPr>
            <w:tcW w:w="2668"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
              <w:spacing w:before="39" w:line="219" w:lineRule="auto"/>
              <w:rPr>
                <w:sz w:val="12"/>
                <w:szCs w:val="12"/>
              </w:rPr>
            </w:pPr>
            <w:r>
              <w:rPr>
                <w:sz w:val="12"/>
                <w:szCs w:val="12"/>
                <w:spacing w:val="-1"/>
              </w:rPr>
              <w:t>一、12月-次年3月，全阻区预防消杀为主</w:t>
            </w:r>
          </w:p>
          <w:p>
            <w:pPr>
              <w:pStyle w:val="TableText"/>
              <w:ind w:left="20" w:right="83" w:hanging="19"/>
              <w:spacing w:before="16" w:line="210" w:lineRule="auto"/>
              <w:rPr>
                <w:sz w:val="12"/>
                <w:szCs w:val="12"/>
              </w:rPr>
            </w:pPr>
            <w:r>
              <w:rPr>
                <w:sz w:val="12"/>
                <w:szCs w:val="12"/>
                <w:spacing w:val="-1"/>
              </w:rPr>
              <w:t>二、3-5月份：真菌病害(如白粉病、炭疽病》;细</w:t>
            </w:r>
            <w:r>
              <w:rPr>
                <w:sz w:val="12"/>
                <w:szCs w:val="12"/>
                <w:spacing w:val="16"/>
              </w:rPr>
              <w:t xml:space="preserve"> </w:t>
            </w:r>
            <w:r>
              <w:rPr>
                <w:sz w:val="12"/>
                <w:szCs w:val="12"/>
              </w:rPr>
              <w:t>菌病害(如细菌性根腐病)。</w:t>
            </w:r>
          </w:p>
        </w:tc>
        <w:tc>
          <w:tcPr>
            <w:tcW w:w="1269" w:type="dxa"/>
            <w:vAlign w:val="top"/>
          </w:tcPr>
          <w:p>
            <w:pPr>
              <w:pStyle w:val="TableText"/>
              <w:ind w:left="323"/>
              <w:spacing w:before="217" w:line="219" w:lineRule="auto"/>
              <w:rPr>
                <w:sz w:val="12"/>
                <w:szCs w:val="12"/>
              </w:rPr>
            </w:pPr>
            <w:r>
              <w:rPr>
                <w:sz w:val="12"/>
                <w:szCs w:val="12"/>
                <w:spacing w:val="-2"/>
              </w:rPr>
              <w:t>先正达世高</w:t>
            </w:r>
          </w:p>
        </w:tc>
        <w:tc>
          <w:tcPr>
            <w:tcW w:w="1889" w:type="dxa"/>
            <w:vAlign w:val="top"/>
          </w:tcPr>
          <w:p>
            <w:pPr>
              <w:pStyle w:val="TableText"/>
              <w:ind w:left="634"/>
              <w:spacing w:before="217" w:line="219" w:lineRule="auto"/>
              <w:rPr>
                <w:sz w:val="12"/>
                <w:szCs w:val="12"/>
              </w:rPr>
            </w:pPr>
            <w:r>
              <w:rPr>
                <w:sz w:val="12"/>
                <w:szCs w:val="12"/>
                <w:spacing w:val="-1"/>
              </w:rPr>
              <w:t>苯糜甲环唑</w:t>
            </w:r>
          </w:p>
        </w:tc>
        <w:tc>
          <w:tcPr>
            <w:tcW w:w="1609" w:type="dxa"/>
            <w:vAlign w:val="top"/>
          </w:tcPr>
          <w:p>
            <w:pPr>
              <w:pStyle w:val="TableText"/>
              <w:ind w:left="105"/>
              <w:spacing w:before="217" w:line="219" w:lineRule="auto"/>
              <w:rPr>
                <w:sz w:val="12"/>
                <w:szCs w:val="12"/>
              </w:rPr>
            </w:pPr>
            <w:r>
              <w:rPr>
                <w:sz w:val="12"/>
                <w:szCs w:val="12"/>
                <w:spacing w:val="-1"/>
              </w:rPr>
              <w:t>10%水分散粒剂800-1500倍</w:t>
            </w:r>
          </w:p>
        </w:tc>
        <w:tc>
          <w:tcPr>
            <w:tcW w:w="1029" w:type="dxa"/>
            <w:vAlign w:val="top"/>
          </w:tcPr>
          <w:p>
            <w:pPr>
              <w:pStyle w:val="TableText"/>
              <w:ind w:left="55" w:hanging="39"/>
              <w:spacing w:before="168" w:line="217" w:lineRule="auto"/>
              <w:rPr>
                <w:sz w:val="12"/>
                <w:szCs w:val="12"/>
              </w:rPr>
            </w:pPr>
            <w:r>
              <w:rPr>
                <w:sz w:val="12"/>
                <w:szCs w:val="12"/>
                <w:spacing w:val="-2"/>
              </w:rPr>
              <w:t>发病初施药，隔6天</w:t>
            </w:r>
            <w:r>
              <w:rPr>
                <w:sz w:val="12"/>
                <w:szCs w:val="12"/>
              </w:rPr>
              <w:t xml:space="preserve"> </w:t>
            </w:r>
            <w:r>
              <w:rPr>
                <w:sz w:val="12"/>
                <w:szCs w:val="12"/>
                <w:spacing w:val="-2"/>
              </w:rPr>
              <w:t>施一次，连续2次</w:t>
            </w:r>
          </w:p>
        </w:tc>
        <w:tc>
          <w:tcPr>
            <w:tcW w:w="689" w:type="dxa"/>
            <w:vAlign w:val="top"/>
          </w:tcPr>
          <w:p>
            <w:pPr>
              <w:pStyle w:val="TableText"/>
              <w:ind w:left="157"/>
              <w:spacing w:before="213" w:line="214" w:lineRule="auto"/>
              <w:rPr>
                <w:sz w:val="12"/>
                <w:szCs w:val="12"/>
              </w:rPr>
            </w:pPr>
            <w:r>
              <w:rPr>
                <w:sz w:val="12"/>
                <w:szCs w:val="12"/>
                <w:spacing w:val="-1"/>
              </w:rPr>
              <w:t>80g/袋</w:t>
            </w:r>
          </w:p>
        </w:tc>
        <w:tc>
          <w:tcPr>
            <w:tcW w:w="2803" w:type="dxa"/>
            <w:vAlign w:val="top"/>
          </w:tcPr>
          <w:p>
            <w:pPr>
              <w:pStyle w:val="TableText"/>
              <w:ind w:left="8" w:right="22" w:firstLine="9"/>
              <w:spacing w:before="77" w:line="242" w:lineRule="auto"/>
              <w:jc w:val="both"/>
              <w:rPr>
                <w:sz w:val="12"/>
                <w:szCs w:val="12"/>
              </w:rPr>
            </w:pPr>
            <w:r>
              <w:rPr>
                <w:sz w:val="12"/>
                <w:szCs w:val="12"/>
                <w:spacing w:val="-1"/>
              </w:rPr>
              <w:t>高效，安全、低毒，广谱性杀菌剂，对多种病害有预</w:t>
            </w:r>
            <w:r>
              <w:rPr>
                <w:sz w:val="12"/>
                <w:szCs w:val="12"/>
                <w:spacing w:val="14"/>
              </w:rPr>
              <w:t xml:space="preserve"> </w:t>
            </w:r>
            <w:r>
              <w:rPr>
                <w:sz w:val="12"/>
                <w:szCs w:val="12"/>
              </w:rPr>
              <w:t>防、治疗和铲除三大功效，防治叶斑病、锈</w:t>
            </w:r>
            <w:r>
              <w:rPr>
                <w:sz w:val="12"/>
                <w:szCs w:val="12"/>
                <w:spacing w:val="-1"/>
              </w:rPr>
              <w:t>病、黑痘</w:t>
            </w:r>
            <w:r>
              <w:rPr>
                <w:sz w:val="12"/>
                <w:szCs w:val="12"/>
              </w:rPr>
              <w:t xml:space="preserve"> </w:t>
            </w:r>
            <w:r>
              <w:rPr>
                <w:sz w:val="12"/>
                <w:szCs w:val="12"/>
                <w:spacing w:val="-1"/>
              </w:rPr>
              <w:t>病，白腐病、霜霉病、白粉病等病害</w:t>
            </w:r>
          </w:p>
        </w:tc>
      </w:tr>
      <w:tr>
        <w:trPr>
          <w:trHeight w:val="58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238" w:line="219" w:lineRule="auto"/>
              <w:rPr>
                <w:sz w:val="12"/>
                <w:szCs w:val="12"/>
              </w:rPr>
            </w:pPr>
            <w:r>
              <w:rPr>
                <w:sz w:val="12"/>
                <w:szCs w:val="12"/>
                <w:spacing w:val="1"/>
              </w:rPr>
              <w:t>国光三唑酮</w:t>
            </w:r>
          </w:p>
        </w:tc>
        <w:tc>
          <w:tcPr>
            <w:tcW w:w="1889" w:type="dxa"/>
            <w:vAlign w:val="top"/>
          </w:tcPr>
          <w:p>
            <w:pPr>
              <w:pStyle w:val="TableText"/>
              <w:ind w:left="754"/>
              <w:spacing w:before="239" w:line="221" w:lineRule="auto"/>
              <w:rPr>
                <w:sz w:val="12"/>
                <w:szCs w:val="12"/>
              </w:rPr>
            </w:pPr>
            <w:r>
              <w:rPr>
                <w:sz w:val="12"/>
                <w:szCs w:val="12"/>
                <w:spacing w:val="-2"/>
              </w:rPr>
              <w:t>三唑酮</w:t>
            </w:r>
          </w:p>
        </w:tc>
        <w:tc>
          <w:tcPr>
            <w:tcW w:w="1609" w:type="dxa"/>
            <w:vAlign w:val="top"/>
          </w:tcPr>
          <w:p>
            <w:pPr>
              <w:pStyle w:val="TableText"/>
              <w:ind w:left="255"/>
              <w:spacing w:before="238" w:line="219" w:lineRule="auto"/>
              <w:rPr>
                <w:sz w:val="12"/>
                <w:szCs w:val="12"/>
              </w:rPr>
            </w:pPr>
            <w:r>
              <w:rPr>
                <w:sz w:val="12"/>
                <w:szCs w:val="12"/>
                <w:spacing w:val="-1"/>
              </w:rPr>
              <w:t>20%稀释1000-1500倍</w:t>
            </w:r>
          </w:p>
        </w:tc>
        <w:tc>
          <w:tcPr>
            <w:tcW w:w="1029" w:type="dxa"/>
            <w:vAlign w:val="top"/>
          </w:tcPr>
          <w:p>
            <w:pPr>
              <w:pStyle w:val="TableText"/>
              <w:ind w:left="243" w:hanging="227"/>
              <w:spacing w:before="178" w:line="219" w:lineRule="auto"/>
              <w:rPr>
                <w:sz w:val="12"/>
                <w:szCs w:val="12"/>
              </w:rPr>
            </w:pPr>
            <w:r>
              <w:rPr>
                <w:sz w:val="12"/>
                <w:szCs w:val="12"/>
                <w:spacing w:val="-2"/>
              </w:rPr>
              <w:t>一般用2次，时间间</w:t>
            </w:r>
            <w:r>
              <w:rPr>
                <w:sz w:val="12"/>
                <w:szCs w:val="12"/>
              </w:rPr>
              <w:t xml:space="preserve"> </w:t>
            </w:r>
            <w:r>
              <w:rPr>
                <w:sz w:val="12"/>
                <w:szCs w:val="12"/>
                <w:spacing w:val="-3"/>
              </w:rPr>
              <w:t>隔7到10天</w:t>
            </w:r>
          </w:p>
        </w:tc>
        <w:tc>
          <w:tcPr>
            <w:tcW w:w="689" w:type="dxa"/>
            <w:vAlign w:val="top"/>
          </w:tcPr>
          <w:p>
            <w:pPr>
              <w:pStyle w:val="TableText"/>
              <w:ind w:left="97"/>
              <w:spacing w:before="239" w:line="221" w:lineRule="auto"/>
              <w:rPr>
                <w:sz w:val="12"/>
                <w:szCs w:val="12"/>
              </w:rPr>
            </w:pPr>
            <w:r>
              <w:rPr>
                <w:sz w:val="12"/>
                <w:szCs w:val="12"/>
                <w:spacing w:val="-1"/>
              </w:rPr>
              <w:t>200ml/瓶</w:t>
            </w:r>
          </w:p>
        </w:tc>
        <w:tc>
          <w:tcPr>
            <w:tcW w:w="2803" w:type="dxa"/>
            <w:vAlign w:val="top"/>
          </w:tcPr>
          <w:p>
            <w:pPr>
              <w:pStyle w:val="TableText"/>
              <w:ind w:left="8" w:firstLine="10"/>
              <w:spacing w:before="119" w:line="216" w:lineRule="auto"/>
              <w:jc w:val="both"/>
              <w:rPr>
                <w:sz w:val="12"/>
                <w:szCs w:val="12"/>
              </w:rPr>
            </w:pPr>
            <w:r>
              <w:rPr>
                <w:sz w:val="12"/>
                <w:szCs w:val="12"/>
                <w:spacing w:val="-1"/>
              </w:rPr>
              <w:t>三唑酮是一种高效、低毒、低残留、持效期长、内吸</w:t>
            </w:r>
            <w:r>
              <w:rPr>
                <w:sz w:val="12"/>
                <w:szCs w:val="12"/>
                <w:spacing w:val="17"/>
              </w:rPr>
              <w:t xml:space="preserve"> </w:t>
            </w:r>
            <w:r>
              <w:rPr>
                <w:sz w:val="12"/>
                <w:szCs w:val="12"/>
                <w:spacing w:val="-2"/>
              </w:rPr>
              <w:t>性强的三唑类杀卤剂。三唑丽类衣药一年使用2-3次耍</w:t>
            </w:r>
            <w:r>
              <w:rPr>
                <w:sz w:val="12"/>
                <w:szCs w:val="12"/>
                <w:spacing w:val="13"/>
              </w:rPr>
              <w:t xml:space="preserve"> </w:t>
            </w:r>
            <w:r>
              <w:rPr>
                <w:sz w:val="12"/>
                <w:szCs w:val="12"/>
                <w:spacing w:val="-1"/>
              </w:rPr>
              <w:t>不会影响生长</w:t>
            </w:r>
          </w:p>
        </w:tc>
      </w:tr>
      <w:tr>
        <w:trPr>
          <w:trHeight w:val="46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443"/>
              <w:spacing w:before="181" w:line="222" w:lineRule="auto"/>
              <w:rPr>
                <w:sz w:val="12"/>
                <w:szCs w:val="12"/>
              </w:rPr>
            </w:pPr>
            <w:r>
              <w:rPr>
                <w:sz w:val="12"/>
                <w:szCs w:val="12"/>
                <w:spacing w:val="-2"/>
              </w:rPr>
              <w:t>百理通</w:t>
            </w:r>
          </w:p>
        </w:tc>
        <w:tc>
          <w:tcPr>
            <w:tcW w:w="1889" w:type="dxa"/>
            <w:vAlign w:val="top"/>
          </w:tcPr>
          <w:p>
            <w:pPr>
              <w:pStyle w:val="TableText"/>
              <w:ind w:left="754"/>
              <w:spacing w:before="180" w:line="221" w:lineRule="auto"/>
              <w:rPr>
                <w:sz w:val="12"/>
                <w:szCs w:val="12"/>
              </w:rPr>
            </w:pPr>
            <w:r>
              <w:rPr>
                <w:sz w:val="12"/>
                <w:szCs w:val="12"/>
                <w:spacing w:val="-2"/>
              </w:rPr>
              <w:t>三唑酮</w:t>
            </w:r>
          </w:p>
        </w:tc>
        <w:tc>
          <w:tcPr>
            <w:tcW w:w="1609" w:type="dxa"/>
            <w:vAlign w:val="top"/>
          </w:tcPr>
          <w:p>
            <w:pPr>
              <w:pStyle w:val="TableText"/>
              <w:ind w:left="105"/>
              <w:spacing w:before="179" w:line="219" w:lineRule="auto"/>
              <w:rPr>
                <w:sz w:val="12"/>
                <w:szCs w:val="12"/>
              </w:rPr>
            </w:pPr>
            <w:r>
              <w:rPr>
                <w:sz w:val="12"/>
                <w:szCs w:val="12"/>
                <w:spacing w:val="-1"/>
              </w:rPr>
              <w:t>25%可湿性粉剂800-1500倍</w:t>
            </w:r>
          </w:p>
        </w:tc>
        <w:tc>
          <w:tcPr>
            <w:tcW w:w="1029" w:type="dxa"/>
            <w:vAlign w:val="top"/>
          </w:tcPr>
          <w:p>
            <w:pPr>
              <w:pStyle w:val="TableText"/>
              <w:spacing w:before="109" w:line="219" w:lineRule="auto"/>
              <w:jc w:val="right"/>
              <w:rPr>
                <w:sz w:val="12"/>
                <w:szCs w:val="12"/>
              </w:rPr>
            </w:pPr>
            <w:r>
              <w:rPr>
                <w:sz w:val="12"/>
                <w:szCs w:val="12"/>
                <w:spacing w:val="-2"/>
              </w:rPr>
              <w:t>问隔15天1次，连喷</w:t>
            </w:r>
          </w:p>
          <w:p>
            <w:pPr>
              <w:pStyle w:val="TableText"/>
              <w:ind w:left="306"/>
              <w:spacing w:before="7" w:line="219" w:lineRule="auto"/>
              <w:rPr>
                <w:sz w:val="12"/>
                <w:szCs w:val="12"/>
              </w:rPr>
            </w:pPr>
            <w:r>
              <w:rPr>
                <w:sz w:val="12"/>
                <w:szCs w:val="12"/>
                <w:spacing w:val="-4"/>
              </w:rPr>
              <w:t>3</w:t>
            </w:r>
            <w:r>
              <w:rPr>
                <w:sz w:val="12"/>
                <w:szCs w:val="12"/>
                <w:spacing w:val="-19"/>
              </w:rPr>
              <w:t xml:space="preserve"> </w:t>
            </w:r>
            <w:r>
              <w:rPr>
                <w:sz w:val="12"/>
                <w:szCs w:val="12"/>
                <w:spacing w:val="-4"/>
              </w:rPr>
              <w:t>-</w:t>
            </w:r>
            <w:r>
              <w:rPr>
                <w:sz w:val="12"/>
                <w:szCs w:val="12"/>
                <w:spacing w:val="-19"/>
              </w:rPr>
              <w:t xml:space="preserve"> </w:t>
            </w:r>
            <w:r>
              <w:rPr>
                <w:sz w:val="12"/>
                <w:szCs w:val="12"/>
                <w:spacing w:val="-4"/>
              </w:rPr>
              <w:t>4</w:t>
            </w:r>
            <w:r>
              <w:rPr>
                <w:sz w:val="12"/>
                <w:szCs w:val="12"/>
                <w:spacing w:val="-15"/>
              </w:rPr>
              <w:t xml:space="preserve"> </w:t>
            </w:r>
            <w:r>
              <w:rPr>
                <w:sz w:val="12"/>
                <w:szCs w:val="12"/>
                <w:spacing w:val="-4"/>
              </w:rPr>
              <w:t>次</w:t>
            </w:r>
          </w:p>
        </w:tc>
        <w:tc>
          <w:tcPr>
            <w:tcW w:w="689" w:type="dxa"/>
            <w:vAlign w:val="top"/>
          </w:tcPr>
          <w:p>
            <w:pPr>
              <w:pStyle w:val="TableText"/>
              <w:ind w:left="157"/>
              <w:spacing w:before="175" w:line="214" w:lineRule="auto"/>
              <w:rPr>
                <w:sz w:val="12"/>
                <w:szCs w:val="12"/>
              </w:rPr>
            </w:pPr>
            <w:r>
              <w:rPr>
                <w:sz w:val="12"/>
                <w:szCs w:val="12"/>
                <w:spacing w:val="-1"/>
              </w:rPr>
              <w:t>50g/袋</w:t>
            </w:r>
          </w:p>
        </w:tc>
        <w:tc>
          <w:tcPr>
            <w:tcW w:w="2803" w:type="dxa"/>
            <w:vAlign w:val="top"/>
          </w:tcPr>
          <w:p>
            <w:pPr>
              <w:pStyle w:val="TableText"/>
              <w:ind w:left="8" w:firstLine="9"/>
              <w:spacing w:before="100" w:line="247" w:lineRule="auto"/>
              <w:rPr>
                <w:sz w:val="12"/>
                <w:szCs w:val="12"/>
              </w:rPr>
            </w:pPr>
            <w:r>
              <w:rPr>
                <w:sz w:val="12"/>
                <w:szCs w:val="12"/>
                <w:spacing w:val="-2"/>
              </w:rPr>
              <w:t>防治锈病、白粉病、三唑酮类农药一年使用2-3次要不</w:t>
            </w:r>
            <w:r>
              <w:rPr>
                <w:sz w:val="12"/>
                <w:szCs w:val="12"/>
                <w:spacing w:val="3"/>
              </w:rPr>
              <w:t xml:space="preserve"> </w:t>
            </w:r>
            <w:r>
              <w:rPr>
                <w:sz w:val="12"/>
                <w:szCs w:val="12"/>
                <w:spacing w:val="-1"/>
              </w:rPr>
              <w:t>会影响生长</w:t>
            </w:r>
          </w:p>
        </w:tc>
      </w:tr>
      <w:tr>
        <w:trPr>
          <w:trHeight w:val="32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443"/>
              <w:spacing w:before="101" w:line="219" w:lineRule="auto"/>
              <w:rPr>
                <w:sz w:val="12"/>
                <w:szCs w:val="12"/>
              </w:rPr>
            </w:pPr>
            <w:r>
              <w:rPr>
                <w:sz w:val="12"/>
                <w:szCs w:val="12"/>
                <w:spacing w:val="-1"/>
              </w:rPr>
              <w:t>粉锈宁</w:t>
            </w:r>
          </w:p>
        </w:tc>
        <w:tc>
          <w:tcPr>
            <w:tcW w:w="1889" w:type="dxa"/>
            <w:vAlign w:val="top"/>
          </w:tcPr>
          <w:p>
            <w:pPr>
              <w:pStyle w:val="TableText"/>
              <w:ind w:left="754"/>
              <w:spacing w:before="101" w:line="221" w:lineRule="auto"/>
              <w:rPr>
                <w:sz w:val="12"/>
                <w:szCs w:val="12"/>
              </w:rPr>
            </w:pPr>
            <w:r>
              <w:rPr>
                <w:sz w:val="12"/>
                <w:szCs w:val="12"/>
                <w:spacing w:val="-2"/>
              </w:rPr>
              <w:t>三唑酮</w:t>
            </w:r>
          </w:p>
        </w:tc>
        <w:tc>
          <w:tcPr>
            <w:tcW w:w="1609" w:type="dxa"/>
            <w:vAlign w:val="top"/>
          </w:tcPr>
          <w:p>
            <w:pPr>
              <w:pStyle w:val="TableText"/>
              <w:ind w:left="405"/>
              <w:spacing w:before="101" w:line="220" w:lineRule="auto"/>
              <w:rPr>
                <w:sz w:val="12"/>
                <w:szCs w:val="12"/>
              </w:rPr>
            </w:pPr>
            <w:r>
              <w:rPr>
                <w:sz w:val="12"/>
                <w:szCs w:val="12"/>
                <w:spacing w:val="-1"/>
              </w:rPr>
              <w:t>20%乳泊1200倍</w:t>
            </w:r>
          </w:p>
        </w:tc>
        <w:tc>
          <w:tcPr>
            <w:tcW w:w="1029" w:type="dxa"/>
            <w:vAlign w:val="top"/>
          </w:tcPr>
          <w:p>
            <w:pPr>
              <w:pStyle w:val="TableText"/>
              <w:ind w:left="115" w:right="97" w:hanging="29"/>
              <w:spacing w:before="20" w:line="218" w:lineRule="auto"/>
              <w:rPr>
                <w:sz w:val="12"/>
                <w:szCs w:val="12"/>
              </w:rPr>
            </w:pPr>
            <w:r>
              <w:rPr>
                <w:sz w:val="12"/>
                <w:szCs w:val="12"/>
                <w:spacing w:val="-1"/>
              </w:rPr>
              <w:t>每隔15-20天喷1</w:t>
            </w:r>
            <w:r>
              <w:rPr>
                <w:sz w:val="12"/>
                <w:szCs w:val="12"/>
                <w:spacing w:val="4"/>
              </w:rPr>
              <w:t xml:space="preserve"> </w:t>
            </w:r>
            <w:r>
              <w:rPr>
                <w:sz w:val="12"/>
                <w:szCs w:val="12"/>
                <w:spacing w:val="-1"/>
              </w:rPr>
              <w:t>次，连喷2-3次</w:t>
            </w:r>
          </w:p>
        </w:tc>
        <w:tc>
          <w:tcPr>
            <w:tcW w:w="689" w:type="dxa"/>
            <w:vAlign w:val="top"/>
          </w:tcPr>
          <w:p>
            <w:pPr>
              <w:pStyle w:val="TableText"/>
              <w:ind w:left="97"/>
              <w:spacing w:before="101" w:line="221" w:lineRule="auto"/>
              <w:rPr>
                <w:sz w:val="12"/>
                <w:szCs w:val="12"/>
              </w:rPr>
            </w:pPr>
            <w:r>
              <w:rPr>
                <w:sz w:val="12"/>
                <w:szCs w:val="12"/>
                <w:spacing w:val="-2"/>
              </w:rPr>
              <w:t>100ml/瓶</w:t>
            </w:r>
          </w:p>
        </w:tc>
        <w:tc>
          <w:tcPr>
            <w:tcW w:w="2803" w:type="dxa"/>
            <w:vAlign w:val="top"/>
          </w:tcPr>
          <w:p>
            <w:pPr>
              <w:pStyle w:val="TableText"/>
              <w:ind w:left="18"/>
              <w:spacing w:before="20" w:line="217" w:lineRule="auto"/>
              <w:rPr>
                <w:sz w:val="12"/>
                <w:szCs w:val="12"/>
              </w:rPr>
            </w:pPr>
            <w:r>
              <w:rPr>
                <w:sz w:val="12"/>
                <w:szCs w:val="12"/>
                <w:spacing w:val="-2"/>
              </w:rPr>
              <w:t>防治白粉病、炭疸病，三唑酮类衣药一年使用2-3次要</w:t>
            </w:r>
            <w:r>
              <w:rPr>
                <w:sz w:val="12"/>
                <w:szCs w:val="12"/>
                <w:spacing w:val="3"/>
              </w:rPr>
              <w:t xml:space="preserve"> </w:t>
            </w:r>
            <w:r>
              <w:rPr>
                <w:sz w:val="12"/>
                <w:szCs w:val="12"/>
                <w:spacing w:val="-1"/>
              </w:rPr>
              <w:t>不会影响生长</w:t>
            </w:r>
          </w:p>
        </w:tc>
      </w:tr>
      <w:tr>
        <w:trPr>
          <w:trHeight w:val="57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443"/>
              <w:spacing w:before="231" w:line="220" w:lineRule="auto"/>
              <w:rPr>
                <w:sz w:val="12"/>
                <w:szCs w:val="12"/>
              </w:rPr>
            </w:pPr>
            <w:r>
              <w:rPr>
                <w:sz w:val="12"/>
                <w:szCs w:val="12"/>
                <w:spacing w:val="4"/>
              </w:rPr>
              <w:t>扑海因</w:t>
            </w:r>
          </w:p>
        </w:tc>
        <w:tc>
          <w:tcPr>
            <w:tcW w:w="1889" w:type="dxa"/>
            <w:vAlign w:val="top"/>
          </w:tcPr>
          <w:p>
            <w:pPr>
              <w:pStyle w:val="TableText"/>
              <w:ind w:left="574"/>
              <w:spacing w:before="230" w:line="219" w:lineRule="auto"/>
              <w:rPr>
                <w:sz w:val="12"/>
                <w:szCs w:val="12"/>
              </w:rPr>
            </w:pPr>
            <w:r>
              <w:rPr>
                <w:sz w:val="12"/>
                <w:szCs w:val="12"/>
                <w:spacing w:val="-1"/>
              </w:rPr>
              <w:t>二甲酸亚胺类</w:t>
            </w:r>
          </w:p>
        </w:tc>
        <w:tc>
          <w:tcPr>
            <w:tcW w:w="1609" w:type="dxa"/>
            <w:vAlign w:val="top"/>
          </w:tcPr>
          <w:p>
            <w:pPr>
              <w:pStyle w:val="TableText"/>
              <w:ind w:left="225"/>
              <w:spacing w:before="230" w:line="219" w:lineRule="auto"/>
              <w:rPr>
                <w:sz w:val="12"/>
                <w:szCs w:val="12"/>
              </w:rPr>
            </w:pPr>
            <w:r>
              <w:rPr>
                <w:sz w:val="12"/>
                <w:szCs w:val="12"/>
                <w:spacing w:val="-1"/>
              </w:rPr>
              <w:t>50%可湿性粉剂1200倍</w:t>
            </w:r>
          </w:p>
        </w:tc>
        <w:tc>
          <w:tcPr>
            <w:tcW w:w="1029" w:type="dxa"/>
            <w:vAlign w:val="top"/>
          </w:tcPr>
          <w:p>
            <w:pPr>
              <w:pStyle w:val="TableText"/>
              <w:ind w:left="56" w:right="67"/>
              <w:spacing w:before="70" w:line="239" w:lineRule="auto"/>
              <w:rPr>
                <w:sz w:val="12"/>
                <w:szCs w:val="12"/>
              </w:rPr>
            </w:pPr>
            <w:r>
              <w:rPr>
                <w:sz w:val="12"/>
                <w:szCs w:val="12"/>
                <w:spacing w:val="-1"/>
              </w:rPr>
              <w:t>每隔10-14天喷药</w:t>
            </w:r>
            <w:r>
              <w:rPr>
                <w:sz w:val="12"/>
                <w:szCs w:val="12"/>
                <w:spacing w:val="4"/>
              </w:rPr>
              <w:t xml:space="preserve"> </w:t>
            </w:r>
            <w:r>
              <w:rPr>
                <w:sz w:val="12"/>
                <w:szCs w:val="12"/>
                <w:spacing w:val="-1"/>
              </w:rPr>
              <w:t>次，连续喷活2-3</w:t>
            </w:r>
          </w:p>
          <w:p>
            <w:pPr>
              <w:pStyle w:val="TableText"/>
              <w:ind w:left="446"/>
              <w:spacing w:line="219" w:lineRule="auto"/>
              <w:rPr>
                <w:sz w:val="12"/>
                <w:szCs w:val="12"/>
              </w:rPr>
            </w:pPr>
            <w:r>
              <w:rPr>
                <w:sz w:val="12"/>
                <w:szCs w:val="12"/>
              </w:rPr>
              <w:t>次</w:t>
            </w:r>
          </w:p>
        </w:tc>
        <w:tc>
          <w:tcPr>
            <w:tcW w:w="689" w:type="dxa"/>
            <w:vAlign w:val="top"/>
          </w:tcPr>
          <w:p>
            <w:pPr>
              <w:pStyle w:val="TableText"/>
              <w:ind w:left="157"/>
              <w:spacing w:before="226" w:line="214" w:lineRule="auto"/>
              <w:rPr>
                <w:sz w:val="12"/>
                <w:szCs w:val="12"/>
              </w:rPr>
            </w:pPr>
            <w:r>
              <w:rPr>
                <w:sz w:val="12"/>
                <w:szCs w:val="12"/>
                <w:spacing w:val="-1"/>
              </w:rPr>
              <w:t>50g/袋</w:t>
            </w:r>
          </w:p>
        </w:tc>
        <w:tc>
          <w:tcPr>
            <w:tcW w:w="2803" w:type="dxa"/>
            <w:vAlign w:val="top"/>
          </w:tcPr>
          <w:p>
            <w:pPr>
              <w:pStyle w:val="TableText"/>
              <w:ind w:left="8"/>
              <w:spacing w:before="230" w:line="219" w:lineRule="auto"/>
              <w:rPr>
                <w:sz w:val="12"/>
                <w:szCs w:val="12"/>
              </w:rPr>
            </w:pPr>
            <w:r>
              <w:rPr>
                <w:sz w:val="12"/>
                <w:szCs w:val="12"/>
                <w:spacing w:val="-1"/>
              </w:rPr>
              <w:t>常用于防治立枯病、早疫病和灰霉病等</w:t>
            </w:r>
          </w:p>
        </w:tc>
      </w:tr>
      <w:tr>
        <w:trPr>
          <w:trHeight w:val="32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101" w:line="219" w:lineRule="auto"/>
              <w:rPr>
                <w:sz w:val="12"/>
                <w:szCs w:val="12"/>
              </w:rPr>
            </w:pPr>
            <w:r>
              <w:rPr>
                <w:sz w:val="12"/>
                <w:szCs w:val="12"/>
                <w:spacing w:val="3"/>
              </w:rPr>
              <w:t>特克多(喹菌灵)</w:t>
            </w:r>
          </w:p>
        </w:tc>
        <w:tc>
          <w:tcPr>
            <w:tcW w:w="1889" w:type="dxa"/>
            <w:vAlign w:val="top"/>
          </w:tcPr>
          <w:p>
            <w:pPr>
              <w:pStyle w:val="TableText"/>
              <w:ind w:left="694"/>
              <w:spacing w:before="101" w:line="219" w:lineRule="auto"/>
              <w:rPr>
                <w:sz w:val="12"/>
                <w:szCs w:val="12"/>
              </w:rPr>
            </w:pPr>
            <w:r>
              <w:rPr>
                <w:sz w:val="12"/>
                <w:szCs w:val="12"/>
                <w:spacing w:val="-2"/>
              </w:rPr>
              <w:t>苯咪唑类</w:t>
            </w:r>
          </w:p>
        </w:tc>
        <w:tc>
          <w:tcPr>
            <w:tcW w:w="1609" w:type="dxa"/>
            <w:vAlign w:val="top"/>
          </w:tcPr>
          <w:p>
            <w:pPr>
              <w:pStyle w:val="TableText"/>
              <w:ind w:left="255"/>
              <w:spacing w:before="101" w:line="219" w:lineRule="auto"/>
              <w:rPr>
                <w:sz w:val="12"/>
                <w:szCs w:val="12"/>
              </w:rPr>
            </w:pPr>
            <w:r>
              <w:rPr>
                <w:sz w:val="12"/>
                <w:szCs w:val="12"/>
                <w:spacing w:val="-1"/>
              </w:rPr>
              <w:t>45%悬浮剂000-800倍</w:t>
            </w:r>
          </w:p>
        </w:tc>
        <w:tc>
          <w:tcPr>
            <w:tcW w:w="1029" w:type="dxa"/>
            <w:vAlign w:val="top"/>
          </w:tcPr>
          <w:p>
            <w:pPr>
              <w:pStyle w:val="TableText"/>
              <w:ind w:left="215" w:right="2" w:hanging="159"/>
              <w:spacing w:before="31" w:line="210" w:lineRule="auto"/>
              <w:rPr>
                <w:sz w:val="12"/>
                <w:szCs w:val="12"/>
              </w:rPr>
            </w:pPr>
            <w:r>
              <w:rPr>
                <w:sz w:val="12"/>
                <w:szCs w:val="12"/>
              </w:rPr>
              <w:t>问隔10-15天1次， </w:t>
            </w:r>
            <w:r>
              <w:rPr>
                <w:sz w:val="12"/>
                <w:szCs w:val="12"/>
                <w:spacing w:val="-1"/>
              </w:rPr>
              <w:t>连喷2-3次</w:t>
            </w:r>
          </w:p>
        </w:tc>
        <w:tc>
          <w:tcPr>
            <w:tcW w:w="689" w:type="dxa"/>
            <w:vAlign w:val="top"/>
          </w:tcPr>
          <w:p>
            <w:pPr>
              <w:pStyle w:val="TableText"/>
              <w:ind w:left="97"/>
              <w:spacing w:before="102" w:line="221" w:lineRule="auto"/>
              <w:rPr>
                <w:sz w:val="12"/>
                <w:szCs w:val="12"/>
              </w:rPr>
            </w:pPr>
            <w:r>
              <w:rPr>
                <w:sz w:val="12"/>
                <w:szCs w:val="12"/>
                <w:spacing w:val="-2"/>
              </w:rPr>
              <w:t>100nl/瓶</w:t>
            </w:r>
          </w:p>
        </w:tc>
        <w:tc>
          <w:tcPr>
            <w:tcW w:w="2803" w:type="dxa"/>
            <w:vAlign w:val="top"/>
          </w:tcPr>
          <w:p>
            <w:pPr>
              <w:pStyle w:val="TableText"/>
              <w:ind w:left="18"/>
              <w:spacing w:before="31" w:line="210" w:lineRule="auto"/>
              <w:rPr>
                <w:sz w:val="12"/>
                <w:szCs w:val="12"/>
              </w:rPr>
            </w:pPr>
            <w:r>
              <w:rPr>
                <w:sz w:val="12"/>
                <w:szCs w:val="12"/>
              </w:rPr>
              <w:t>防治叶班病、青霉病、炭疽病、灰霉病、黑星病，自</w:t>
            </w:r>
            <w:r>
              <w:rPr>
                <w:sz w:val="12"/>
                <w:szCs w:val="12"/>
                <w:spacing w:val="13"/>
              </w:rPr>
              <w:t xml:space="preserve"> </w:t>
            </w:r>
            <w:r>
              <w:rPr>
                <w:sz w:val="12"/>
                <w:szCs w:val="12"/>
                <w:spacing w:val="-1"/>
              </w:rPr>
              <w:t>粉病等勋治</w:t>
            </w:r>
          </w:p>
        </w:tc>
      </w:tr>
      <w:tr>
        <w:trPr>
          <w:trHeight w:val="59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143"/>
              <w:spacing w:before="241" w:line="219" w:lineRule="auto"/>
              <w:rPr>
                <w:sz w:val="12"/>
                <w:szCs w:val="12"/>
              </w:rPr>
            </w:pPr>
            <w:r>
              <w:rPr>
                <w:sz w:val="12"/>
                <w:szCs w:val="12"/>
                <w:spacing w:val="2"/>
              </w:rPr>
              <w:t>好靓(丙疏多菌灵)</w:t>
            </w:r>
          </w:p>
        </w:tc>
        <w:tc>
          <w:tcPr>
            <w:tcW w:w="1889" w:type="dxa"/>
            <w:vAlign w:val="top"/>
          </w:tcPr>
          <w:p>
            <w:pPr>
              <w:pStyle w:val="TableText"/>
              <w:ind w:left="694"/>
              <w:spacing w:before="242" w:line="220" w:lineRule="auto"/>
              <w:rPr>
                <w:sz w:val="12"/>
                <w:szCs w:val="12"/>
              </w:rPr>
            </w:pPr>
            <w:r>
              <w:rPr>
                <w:sz w:val="12"/>
                <w:szCs w:val="12"/>
                <w:spacing w:val="-2"/>
              </w:rPr>
              <w:t>丙硫咪唑</w:t>
            </w:r>
          </w:p>
        </w:tc>
        <w:tc>
          <w:tcPr>
            <w:tcW w:w="1609" w:type="dxa"/>
            <w:vAlign w:val="top"/>
          </w:tcPr>
          <w:p>
            <w:pPr>
              <w:pStyle w:val="TableText"/>
              <w:ind w:left="255"/>
              <w:spacing w:before="241" w:line="219" w:lineRule="auto"/>
              <w:rPr>
                <w:sz w:val="12"/>
                <w:szCs w:val="12"/>
              </w:rPr>
            </w:pPr>
            <w:r>
              <w:rPr>
                <w:sz w:val="12"/>
                <w:szCs w:val="12"/>
                <w:spacing w:val="-1"/>
              </w:rPr>
              <w:t>20%好酸2000-3000倍</w:t>
            </w:r>
          </w:p>
        </w:tc>
        <w:tc>
          <w:tcPr>
            <w:tcW w:w="1029" w:type="dxa"/>
            <w:vAlign w:val="top"/>
            <w:vMerge w:val="restart"/>
            <w:tcBorders>
              <w:bottom w:val="nil"/>
            </w:tcBorders>
          </w:tcPr>
          <w:p>
            <w:pPr>
              <w:spacing w:line="291" w:lineRule="auto"/>
              <w:rPr>
                <w:rFonts w:ascii="Arial"/>
                <w:sz w:val="21"/>
              </w:rPr>
            </w:pPr>
            <w:r/>
          </w:p>
          <w:p>
            <w:pPr>
              <w:pStyle w:val="TableText"/>
              <w:ind w:left="115" w:right="80" w:hanging="29"/>
              <w:spacing w:before="39" w:line="263" w:lineRule="auto"/>
              <w:rPr>
                <w:sz w:val="12"/>
                <w:szCs w:val="12"/>
              </w:rPr>
            </w:pPr>
            <w:r>
              <w:rPr>
                <w:sz w:val="12"/>
                <w:szCs w:val="12"/>
                <w:spacing w:val="1"/>
              </w:rPr>
              <w:t>问隔7-10-15天1</w:t>
            </w:r>
            <w:r>
              <w:rPr>
                <w:sz w:val="12"/>
                <w:szCs w:val="12"/>
              </w:rPr>
              <w:t xml:space="preserve"> </w:t>
            </w:r>
            <w:r>
              <w:rPr>
                <w:sz w:val="12"/>
                <w:szCs w:val="12"/>
                <w:spacing w:val="-1"/>
              </w:rPr>
              <w:t>次，连喷2-3次</w:t>
            </w:r>
          </w:p>
        </w:tc>
        <w:tc>
          <w:tcPr>
            <w:tcW w:w="689" w:type="dxa"/>
            <w:vAlign w:val="top"/>
          </w:tcPr>
          <w:p>
            <w:pPr>
              <w:pStyle w:val="TableText"/>
              <w:ind w:left="157"/>
              <w:spacing w:before="237" w:line="214" w:lineRule="auto"/>
              <w:rPr>
                <w:sz w:val="12"/>
                <w:szCs w:val="12"/>
              </w:rPr>
            </w:pPr>
            <w:r>
              <w:rPr>
                <w:sz w:val="12"/>
                <w:szCs w:val="12"/>
                <w:spacing w:val="-1"/>
              </w:rPr>
              <w:t>50g/袋</w:t>
            </w:r>
          </w:p>
        </w:tc>
        <w:tc>
          <w:tcPr>
            <w:tcW w:w="2803" w:type="dxa"/>
            <w:vAlign w:val="top"/>
          </w:tcPr>
          <w:p>
            <w:pPr>
              <w:pStyle w:val="TableText"/>
              <w:ind w:left="8" w:right="14" w:firstLine="10"/>
              <w:spacing w:before="42" w:line="224" w:lineRule="auto"/>
              <w:jc w:val="both"/>
              <w:rPr>
                <w:sz w:val="12"/>
                <w:szCs w:val="12"/>
              </w:rPr>
            </w:pPr>
            <w:r>
              <w:rPr>
                <w:sz w:val="12"/>
                <w:szCs w:val="12"/>
                <w:spacing w:val="-1"/>
              </w:rPr>
              <w:t>广谱内吸性杀菌刺。可用于防治枯萎病、疫病、腐霉</w:t>
            </w:r>
            <w:r>
              <w:rPr>
                <w:sz w:val="12"/>
                <w:szCs w:val="12"/>
                <w:spacing w:val="17"/>
              </w:rPr>
              <w:t xml:space="preserve"> </w:t>
            </w:r>
            <w:r>
              <w:rPr>
                <w:sz w:val="12"/>
                <w:szCs w:val="12"/>
              </w:rPr>
              <w:t>病、立枯病、根腐病、茎腐病、猝倒病等多种病害。</w:t>
            </w:r>
            <w:r>
              <w:rPr>
                <w:sz w:val="12"/>
                <w:szCs w:val="12"/>
                <w:spacing w:val="8"/>
              </w:rPr>
              <w:t xml:space="preserve"> </w:t>
            </w:r>
            <w:r>
              <w:rPr>
                <w:sz w:val="12"/>
                <w:szCs w:val="12"/>
                <w:spacing w:val="-1"/>
              </w:rPr>
              <w:t>使用方法：濯根，喷雾</w:t>
            </w:r>
          </w:p>
        </w:tc>
      </w:tr>
      <w:tr>
        <w:trPr>
          <w:trHeight w:val="33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203"/>
              <w:spacing w:before="112" w:line="219" w:lineRule="auto"/>
              <w:rPr>
                <w:sz w:val="12"/>
                <w:szCs w:val="12"/>
              </w:rPr>
            </w:pPr>
            <w:r>
              <w:rPr>
                <w:sz w:val="12"/>
                <w:szCs w:val="12"/>
                <w:spacing w:val="3"/>
              </w:rPr>
              <w:t>施保克(扑霉灵)</w:t>
            </w:r>
          </w:p>
        </w:tc>
        <w:tc>
          <w:tcPr>
            <w:tcW w:w="1889" w:type="dxa"/>
            <w:vAlign w:val="top"/>
          </w:tcPr>
          <w:p>
            <w:pPr>
              <w:pStyle w:val="TableText"/>
              <w:ind w:left="754"/>
              <w:spacing w:before="113" w:line="220" w:lineRule="auto"/>
              <w:rPr>
                <w:sz w:val="12"/>
                <w:szCs w:val="12"/>
              </w:rPr>
            </w:pPr>
            <w:r>
              <w:rPr>
                <w:sz w:val="12"/>
                <w:szCs w:val="12"/>
                <w:spacing w:val="-3"/>
              </w:rPr>
              <w:t>咪鲜胺</w:t>
            </w:r>
          </w:p>
        </w:tc>
        <w:tc>
          <w:tcPr>
            <w:tcW w:w="1609" w:type="dxa"/>
            <w:vAlign w:val="top"/>
          </w:tcPr>
          <w:p>
            <w:pPr>
              <w:pStyle w:val="TableText"/>
              <w:ind w:left="285"/>
              <w:spacing w:before="113" w:line="220" w:lineRule="auto"/>
              <w:rPr>
                <w:sz w:val="12"/>
                <w:szCs w:val="12"/>
              </w:rPr>
            </w:pPr>
            <w:r>
              <w:rPr>
                <w:sz w:val="12"/>
                <w:szCs w:val="12"/>
                <w:spacing w:val="-1"/>
              </w:rPr>
              <w:t>25%乳油800-1500倍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97"/>
              <w:spacing w:before="113" w:line="221" w:lineRule="auto"/>
              <w:rPr>
                <w:sz w:val="12"/>
                <w:szCs w:val="12"/>
              </w:rPr>
            </w:pPr>
            <w:r>
              <w:rPr>
                <w:sz w:val="12"/>
                <w:szCs w:val="12"/>
                <w:spacing w:val="-1"/>
              </w:rPr>
              <w:t>200ml/瓶</w:t>
            </w:r>
          </w:p>
        </w:tc>
        <w:tc>
          <w:tcPr>
            <w:tcW w:w="2803" w:type="dxa"/>
            <w:vAlign w:val="top"/>
          </w:tcPr>
          <w:p>
            <w:pPr>
              <w:pStyle w:val="TableText"/>
              <w:ind w:left="8"/>
              <w:spacing w:before="112" w:line="219" w:lineRule="auto"/>
              <w:rPr>
                <w:sz w:val="12"/>
                <w:szCs w:val="12"/>
              </w:rPr>
            </w:pPr>
            <w:r>
              <w:rPr>
                <w:sz w:val="12"/>
                <w:szCs w:val="12"/>
                <w:spacing w:val="-1"/>
              </w:rPr>
              <w:t>常用于防治炭疸病、叶斑病</w:t>
            </w:r>
          </w:p>
        </w:tc>
      </w:tr>
      <w:tr>
        <w:trPr>
          <w:trHeight w:val="30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82"/>
              <w:spacing w:before="92" w:line="219" w:lineRule="auto"/>
              <w:rPr>
                <w:sz w:val="12"/>
                <w:szCs w:val="12"/>
              </w:rPr>
            </w:pPr>
            <w:r>
              <w:rPr>
                <w:sz w:val="12"/>
                <w:szCs w:val="12"/>
                <w:spacing w:val="-1"/>
              </w:rPr>
              <w:t>绿象叶面生态清洁剂</w:t>
            </w:r>
          </w:p>
        </w:tc>
        <w:tc>
          <w:tcPr>
            <w:tcW w:w="1889" w:type="dxa"/>
            <w:vAlign w:val="top"/>
          </w:tcPr>
          <w:p>
            <w:pPr>
              <w:pStyle w:val="TableText"/>
              <w:ind w:left="823" w:right="410" w:hanging="429"/>
              <w:spacing w:before="12" w:line="210" w:lineRule="auto"/>
              <w:rPr>
                <w:sz w:val="12"/>
                <w:szCs w:val="12"/>
              </w:rPr>
            </w:pPr>
            <w:r>
              <w:rPr>
                <w:sz w:val="12"/>
                <w:szCs w:val="12"/>
                <w:spacing w:val="-1"/>
              </w:rPr>
              <w:t>生态分解剂和天然植</w:t>
            </w:r>
            <w:r>
              <w:rPr>
                <w:sz w:val="12"/>
                <w:szCs w:val="12"/>
                <w:spacing w:val="2"/>
              </w:rPr>
              <w:t xml:space="preserve"> </w:t>
            </w:r>
            <w:r>
              <w:rPr>
                <w:sz w:val="12"/>
                <w:szCs w:val="12"/>
                <w:spacing w:val="-2"/>
              </w:rPr>
              <w:t>物蜻</w:t>
            </w:r>
          </w:p>
        </w:tc>
        <w:tc>
          <w:tcPr>
            <w:tcW w:w="1609" w:type="dxa"/>
            <w:vAlign w:val="top"/>
          </w:tcPr>
          <w:p>
            <w:pPr>
              <w:pStyle w:val="TableText"/>
              <w:ind w:left="555"/>
              <w:spacing w:before="93" w:line="220" w:lineRule="auto"/>
              <w:rPr>
                <w:sz w:val="12"/>
                <w:szCs w:val="12"/>
              </w:rPr>
            </w:pPr>
            <w:r>
              <w:rPr>
                <w:sz w:val="12"/>
                <w:szCs w:val="12"/>
                <w:spacing w:val="-2"/>
              </w:rPr>
              <w:t>50-100倍</w:t>
            </w:r>
          </w:p>
        </w:tc>
        <w:tc>
          <w:tcPr>
            <w:tcW w:w="1029" w:type="dxa"/>
            <w:vAlign w:val="top"/>
          </w:tcPr>
          <w:p>
            <w:pPr>
              <w:pStyle w:val="TableText"/>
              <w:ind w:left="205" w:right="2" w:hanging="149"/>
              <w:spacing w:before="13" w:line="213" w:lineRule="auto"/>
              <w:rPr>
                <w:sz w:val="12"/>
                <w:szCs w:val="12"/>
              </w:rPr>
            </w:pPr>
            <w:r>
              <w:rPr>
                <w:sz w:val="12"/>
                <w:szCs w:val="12"/>
              </w:rPr>
              <w:t>问隔15-20天1次， </w:t>
            </w:r>
            <w:r>
              <w:rPr>
                <w:sz w:val="12"/>
                <w:szCs w:val="12"/>
                <w:spacing w:val="-1"/>
              </w:rPr>
              <w:t>连喷2-3次</w:t>
            </w:r>
          </w:p>
        </w:tc>
        <w:tc>
          <w:tcPr>
            <w:tcW w:w="689" w:type="dxa"/>
            <w:vAlign w:val="top"/>
          </w:tcPr>
          <w:p>
            <w:pPr>
              <w:pStyle w:val="TableText"/>
              <w:ind w:left="67"/>
              <w:spacing w:before="93" w:line="221" w:lineRule="auto"/>
              <w:rPr>
                <w:sz w:val="12"/>
                <w:szCs w:val="12"/>
              </w:rPr>
            </w:pPr>
            <w:r>
              <w:rPr>
                <w:sz w:val="12"/>
                <w:szCs w:val="12"/>
                <w:spacing w:val="-2"/>
              </w:rPr>
              <w:t>1000ml/瓶</w:t>
            </w:r>
          </w:p>
        </w:tc>
        <w:tc>
          <w:tcPr>
            <w:tcW w:w="2803" w:type="dxa"/>
            <w:vAlign w:val="top"/>
          </w:tcPr>
          <w:p>
            <w:pPr>
              <w:pStyle w:val="TableText"/>
              <w:ind w:left="8" w:right="22" w:firstLine="9"/>
              <w:spacing w:before="22" w:line="206" w:lineRule="auto"/>
              <w:rPr>
                <w:sz w:val="12"/>
                <w:szCs w:val="12"/>
              </w:rPr>
            </w:pPr>
            <w:r>
              <w:rPr>
                <w:sz w:val="12"/>
                <w:szCs w:val="12"/>
                <w:spacing w:val="-1"/>
              </w:rPr>
              <w:t>与50%多菌灵800倍液混合喷酒叶片，常用于防治煤污</w:t>
            </w:r>
            <w:r>
              <w:rPr>
                <w:sz w:val="12"/>
                <w:szCs w:val="12"/>
                <w:spacing w:val="17"/>
                <w:w w:val="101"/>
              </w:rPr>
              <w:t xml:space="preserve"> </w:t>
            </w:r>
            <w:r>
              <w:rPr>
                <w:sz w:val="12"/>
                <w:szCs w:val="12"/>
              </w:rPr>
              <w:t>病</w:t>
            </w:r>
          </w:p>
        </w:tc>
      </w:tr>
      <w:tr>
        <w:trPr>
          <w:trHeight w:val="29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93" w:line="220" w:lineRule="auto"/>
              <w:rPr>
                <w:sz w:val="12"/>
                <w:szCs w:val="12"/>
              </w:rPr>
            </w:pPr>
            <w:r>
              <w:rPr>
                <w:sz w:val="12"/>
                <w:szCs w:val="12"/>
                <w:spacing w:val="1"/>
              </w:rPr>
              <w:t>中威乐翻天</w:t>
            </w:r>
          </w:p>
        </w:tc>
        <w:tc>
          <w:tcPr>
            <w:tcW w:w="1889" w:type="dxa"/>
            <w:vAlign w:val="top"/>
          </w:tcPr>
          <w:p>
            <w:pPr>
              <w:pStyle w:val="TableText"/>
              <w:ind w:left="664"/>
              <w:spacing w:before="93" w:line="220" w:lineRule="auto"/>
              <w:rPr>
                <w:sz w:val="12"/>
                <w:szCs w:val="12"/>
              </w:rPr>
            </w:pPr>
            <w:r>
              <w:rPr>
                <w:sz w:val="12"/>
                <w:szCs w:val="12"/>
                <w:spacing w:val="-1"/>
              </w:rPr>
              <w:t>戊唑醇20%</w:t>
            </w:r>
          </w:p>
        </w:tc>
        <w:tc>
          <w:tcPr>
            <w:tcW w:w="1609" w:type="dxa"/>
            <w:vAlign w:val="top"/>
          </w:tcPr>
          <w:p>
            <w:pPr>
              <w:pStyle w:val="TableText"/>
              <w:ind w:left="405"/>
              <w:spacing w:before="93" w:line="220" w:lineRule="auto"/>
              <w:rPr>
                <w:sz w:val="12"/>
                <w:szCs w:val="12"/>
              </w:rPr>
            </w:pPr>
            <w:r>
              <w:rPr>
                <w:sz w:val="12"/>
                <w:szCs w:val="12"/>
                <w:spacing w:val="-2"/>
              </w:rPr>
              <w:t>1000-1500倍液</w:t>
            </w:r>
          </w:p>
        </w:tc>
        <w:tc>
          <w:tcPr>
            <w:tcW w:w="1029" w:type="dxa"/>
            <w:vAlign w:val="top"/>
            <w:vMerge w:val="restart"/>
            <w:tcBorders>
              <w:bottom w:val="nil"/>
            </w:tcBorders>
          </w:tcPr>
          <w:p>
            <w:pPr>
              <w:spacing w:line="250" w:lineRule="auto"/>
              <w:rPr>
                <w:rFonts w:ascii="Arial"/>
                <w:sz w:val="21"/>
              </w:rPr>
            </w:pPr>
            <w:r/>
          </w:p>
          <w:p>
            <w:pPr>
              <w:spacing w:line="251" w:lineRule="auto"/>
              <w:rPr>
                <w:rFonts w:ascii="Arial"/>
                <w:sz w:val="21"/>
              </w:rPr>
            </w:pPr>
            <w:r/>
          </w:p>
          <w:p>
            <w:pPr>
              <w:pStyle w:val="TableText"/>
              <w:ind w:left="233" w:hanging="217"/>
              <w:spacing w:before="39" w:line="210" w:lineRule="auto"/>
              <w:rPr>
                <w:sz w:val="12"/>
                <w:szCs w:val="12"/>
              </w:rPr>
            </w:pPr>
            <w:r>
              <w:rPr>
                <w:sz w:val="12"/>
                <w:szCs w:val="12"/>
                <w:spacing w:val="-2"/>
              </w:rPr>
              <w:t>一般用3次，时间间</w:t>
            </w:r>
            <w:r>
              <w:rPr>
                <w:sz w:val="12"/>
                <w:szCs w:val="12"/>
              </w:rPr>
              <w:t xml:space="preserve"> </w:t>
            </w:r>
            <w:r>
              <w:rPr>
                <w:sz w:val="12"/>
                <w:szCs w:val="12"/>
                <w:spacing w:val="-3"/>
              </w:rPr>
              <w:t>隔7到10天</w:t>
            </w:r>
          </w:p>
        </w:tc>
        <w:tc>
          <w:tcPr>
            <w:tcW w:w="689" w:type="dxa"/>
            <w:vAlign w:val="top"/>
          </w:tcPr>
          <w:p>
            <w:pPr>
              <w:pStyle w:val="TableText"/>
              <w:ind w:left="157"/>
              <w:spacing w:before="88" w:line="214" w:lineRule="auto"/>
              <w:rPr>
                <w:sz w:val="12"/>
                <w:szCs w:val="12"/>
              </w:rPr>
            </w:pPr>
            <w:r>
              <w:rPr>
                <w:sz w:val="12"/>
                <w:szCs w:val="12"/>
                <w:spacing w:val="-1"/>
              </w:rPr>
              <w:t>20g/袋</w:t>
            </w:r>
          </w:p>
        </w:tc>
        <w:tc>
          <w:tcPr>
            <w:tcW w:w="2803" w:type="dxa"/>
            <w:vAlign w:val="top"/>
          </w:tcPr>
          <w:p>
            <w:pPr>
              <w:pStyle w:val="TableText"/>
              <w:ind w:left="8"/>
              <w:spacing w:before="92" w:line="219" w:lineRule="auto"/>
              <w:rPr>
                <w:sz w:val="12"/>
                <w:szCs w:val="12"/>
              </w:rPr>
            </w:pPr>
            <w:r>
              <w:rPr>
                <w:sz w:val="12"/>
                <w:szCs w:val="12"/>
                <w:spacing w:val="-1"/>
              </w:rPr>
              <w:t>防治草坪白粉病，锈病。</w:t>
            </w:r>
          </w:p>
        </w:tc>
      </w:tr>
      <w:tr>
        <w:trPr>
          <w:trHeight w:val="33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173"/>
              <w:spacing w:before="112" w:line="219" w:lineRule="auto"/>
              <w:rPr>
                <w:sz w:val="12"/>
                <w:szCs w:val="12"/>
              </w:rPr>
            </w:pPr>
            <w:r>
              <w:rPr>
                <w:sz w:val="12"/>
                <w:szCs w:val="12"/>
                <w:spacing w:val="3"/>
              </w:rPr>
              <w:t>国光多菌灵《中)</w:t>
            </w:r>
          </w:p>
        </w:tc>
        <w:tc>
          <w:tcPr>
            <w:tcW w:w="1889" w:type="dxa"/>
            <w:vAlign w:val="top"/>
          </w:tcPr>
          <w:p>
            <w:pPr>
              <w:pStyle w:val="TableText"/>
              <w:ind w:left="664"/>
              <w:spacing w:before="112" w:line="219" w:lineRule="auto"/>
              <w:rPr>
                <w:sz w:val="12"/>
                <w:szCs w:val="12"/>
              </w:rPr>
            </w:pPr>
            <w:r>
              <w:rPr>
                <w:sz w:val="12"/>
                <w:szCs w:val="12"/>
                <w:spacing w:val="-1"/>
              </w:rPr>
              <w:t>50%多菌灵</w:t>
            </w:r>
          </w:p>
        </w:tc>
        <w:tc>
          <w:tcPr>
            <w:tcW w:w="1609" w:type="dxa"/>
            <w:vAlign w:val="top"/>
          </w:tcPr>
          <w:p>
            <w:pPr>
              <w:pStyle w:val="TableText"/>
              <w:ind w:left="435"/>
              <w:spacing w:before="113" w:line="220" w:lineRule="auto"/>
              <w:rPr>
                <w:sz w:val="12"/>
                <w:szCs w:val="12"/>
              </w:rPr>
            </w:pPr>
            <w:r>
              <w:rPr>
                <w:sz w:val="12"/>
                <w:szCs w:val="12"/>
                <w:spacing w:val="-1"/>
              </w:rPr>
              <w:t>600-1000倍液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27"/>
              <w:spacing w:before="108" w:line="214" w:lineRule="auto"/>
              <w:rPr>
                <w:sz w:val="12"/>
                <w:szCs w:val="12"/>
              </w:rPr>
            </w:pPr>
            <w:r>
              <w:rPr>
                <w:sz w:val="12"/>
                <w:szCs w:val="12"/>
                <w:spacing w:val="-2"/>
              </w:rPr>
              <w:t>100g/袋</w:t>
            </w:r>
          </w:p>
        </w:tc>
        <w:tc>
          <w:tcPr>
            <w:tcW w:w="2803" w:type="dxa"/>
            <w:vAlign w:val="top"/>
          </w:tcPr>
          <w:p>
            <w:pPr>
              <w:pStyle w:val="TableText"/>
              <w:ind w:left="8"/>
              <w:spacing w:before="112" w:line="219" w:lineRule="auto"/>
              <w:rPr>
                <w:sz w:val="12"/>
                <w:szCs w:val="12"/>
              </w:rPr>
            </w:pPr>
            <w:r>
              <w:rPr>
                <w:sz w:val="12"/>
                <w:szCs w:val="12"/>
                <w:spacing w:val="-1"/>
              </w:rPr>
              <w:t>广谱性杀菌剂</w:t>
            </w:r>
          </w:p>
        </w:tc>
      </w:tr>
      <w:tr>
        <w:trPr>
          <w:trHeight w:val="29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92" w:line="219" w:lineRule="auto"/>
              <w:rPr>
                <w:sz w:val="12"/>
                <w:szCs w:val="12"/>
              </w:rPr>
            </w:pPr>
            <w:r>
              <w:rPr>
                <w:sz w:val="12"/>
                <w:szCs w:val="12"/>
                <w:spacing w:val="1"/>
              </w:rPr>
              <w:t>国光百菌清</w:t>
            </w:r>
          </w:p>
        </w:tc>
        <w:tc>
          <w:tcPr>
            <w:tcW w:w="1889" w:type="dxa"/>
            <w:vAlign w:val="top"/>
          </w:tcPr>
          <w:p>
            <w:pPr>
              <w:pStyle w:val="TableText"/>
              <w:ind w:left="664"/>
              <w:spacing w:before="92" w:line="219" w:lineRule="auto"/>
              <w:rPr>
                <w:sz w:val="12"/>
                <w:szCs w:val="12"/>
              </w:rPr>
            </w:pPr>
            <w:r>
              <w:rPr>
                <w:sz w:val="12"/>
                <w:szCs w:val="12"/>
                <w:spacing w:val="-1"/>
              </w:rPr>
              <w:t>75%百菌清</w:t>
            </w:r>
          </w:p>
        </w:tc>
        <w:tc>
          <w:tcPr>
            <w:tcW w:w="1609" w:type="dxa"/>
            <w:vAlign w:val="top"/>
          </w:tcPr>
          <w:p>
            <w:pPr>
              <w:pStyle w:val="TableText"/>
              <w:ind w:left="435"/>
              <w:spacing w:before="93" w:line="220" w:lineRule="auto"/>
              <w:rPr>
                <w:sz w:val="12"/>
                <w:szCs w:val="12"/>
              </w:rPr>
            </w:pPr>
            <w:r>
              <w:rPr>
                <w:sz w:val="12"/>
                <w:szCs w:val="12"/>
                <w:spacing w:val="-1"/>
              </w:rPr>
              <w:t>600-1000倍液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57"/>
              <w:spacing w:before="88" w:line="214" w:lineRule="auto"/>
              <w:rPr>
                <w:sz w:val="12"/>
                <w:szCs w:val="12"/>
              </w:rPr>
            </w:pPr>
            <w:r>
              <w:rPr>
                <w:sz w:val="12"/>
                <w:szCs w:val="12"/>
                <w:spacing w:val="-3"/>
              </w:rPr>
              <w:t>Ikg/袋</w:t>
            </w:r>
          </w:p>
        </w:tc>
        <w:tc>
          <w:tcPr>
            <w:tcW w:w="2803" w:type="dxa"/>
            <w:vAlign w:val="top"/>
          </w:tcPr>
          <w:p>
            <w:pPr>
              <w:pStyle w:val="TableText"/>
              <w:ind w:left="8"/>
              <w:spacing w:before="92" w:line="219" w:lineRule="auto"/>
              <w:rPr>
                <w:sz w:val="12"/>
                <w:szCs w:val="12"/>
              </w:rPr>
            </w:pPr>
            <w:r>
              <w:rPr>
                <w:sz w:val="12"/>
                <w:szCs w:val="12"/>
                <w:spacing w:val="-1"/>
              </w:rPr>
              <w:t>广谱高效杀菌刻</w:t>
            </w:r>
          </w:p>
        </w:tc>
      </w:tr>
      <w:tr>
        <w:trPr>
          <w:trHeight w:val="37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323"/>
              <w:spacing w:before="132" w:line="219" w:lineRule="auto"/>
              <w:rPr>
                <w:sz w:val="12"/>
                <w:szCs w:val="12"/>
              </w:rPr>
            </w:pPr>
            <w:r>
              <w:rPr>
                <w:sz w:val="12"/>
                <w:szCs w:val="12"/>
                <w:spacing w:val="-1"/>
              </w:rPr>
              <w:t>诺蒈信璃托</w:t>
            </w:r>
          </w:p>
        </w:tc>
        <w:tc>
          <w:tcPr>
            <w:tcW w:w="1889" w:type="dxa"/>
            <w:vAlign w:val="top"/>
          </w:tcPr>
          <w:p>
            <w:pPr>
              <w:pStyle w:val="TableText"/>
              <w:ind w:left="544"/>
              <w:spacing w:before="132" w:line="219" w:lineRule="auto"/>
              <w:rPr>
                <w:sz w:val="12"/>
                <w:szCs w:val="12"/>
              </w:rPr>
            </w:pPr>
            <w:r>
              <w:rPr>
                <w:sz w:val="12"/>
                <w:szCs w:val="12"/>
              </w:rPr>
              <w:t>甲基硫菌灵50%</w:t>
            </w:r>
          </w:p>
        </w:tc>
        <w:tc>
          <w:tcPr>
            <w:tcW w:w="1609" w:type="dxa"/>
            <w:vAlign w:val="top"/>
          </w:tcPr>
          <w:p>
            <w:pPr>
              <w:pStyle w:val="TableText"/>
              <w:ind w:left="525"/>
              <w:spacing w:before="133" w:line="220" w:lineRule="auto"/>
              <w:rPr>
                <w:sz w:val="12"/>
                <w:szCs w:val="12"/>
              </w:rPr>
            </w:pPr>
            <w:r>
              <w:rPr>
                <w:sz w:val="12"/>
                <w:szCs w:val="12"/>
                <w:spacing w:val="-1"/>
              </w:rPr>
              <w:t>600-800倍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67"/>
              <w:spacing w:before="133" w:line="221" w:lineRule="auto"/>
              <w:rPr>
                <w:sz w:val="12"/>
                <w:szCs w:val="12"/>
              </w:rPr>
            </w:pPr>
            <w:r>
              <w:rPr>
                <w:sz w:val="12"/>
                <w:szCs w:val="12"/>
                <w:spacing w:val="-2"/>
              </w:rPr>
              <w:t>1000ml/瓶</w:t>
            </w:r>
          </w:p>
        </w:tc>
        <w:tc>
          <w:tcPr>
            <w:tcW w:w="2803" w:type="dxa"/>
            <w:vAlign w:val="top"/>
          </w:tcPr>
          <w:p>
            <w:pPr>
              <w:pStyle w:val="TableText"/>
              <w:ind w:left="8" w:right="12" w:firstLine="19"/>
              <w:spacing w:before="51" w:line="237" w:lineRule="auto"/>
              <w:rPr>
                <w:sz w:val="12"/>
                <w:szCs w:val="12"/>
              </w:rPr>
            </w:pPr>
            <w:r>
              <w:rPr>
                <w:sz w:val="12"/>
                <w:szCs w:val="12"/>
                <w:spacing w:val="-1"/>
              </w:rPr>
              <w:t>高效广谱内吸杀菌剂，颗粒细腻，分散性好，防治花</w:t>
            </w:r>
            <w:r>
              <w:rPr>
                <w:sz w:val="12"/>
                <w:szCs w:val="12"/>
                <w:spacing w:val="14"/>
              </w:rPr>
              <w:t xml:space="preserve"> </w:t>
            </w:r>
            <w:r>
              <w:rPr>
                <w:sz w:val="12"/>
                <w:szCs w:val="12"/>
                <w:spacing w:val="-1"/>
              </w:rPr>
              <w:t>木叶斑、炭疽，斑驳黄化</w:t>
            </w:r>
          </w:p>
        </w:tc>
      </w:tr>
      <w:tr>
        <w:trPr>
          <w:trHeight w:val="73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spacing w:line="272" w:lineRule="auto"/>
              <w:rPr>
                <w:rFonts w:ascii="Arial"/>
                <w:sz w:val="21"/>
              </w:rPr>
            </w:pPr>
            <w:r/>
          </w:p>
          <w:p>
            <w:pPr>
              <w:pStyle w:val="TableText"/>
              <w:ind w:left="443"/>
              <w:spacing w:before="39" w:line="219" w:lineRule="auto"/>
              <w:rPr>
                <w:sz w:val="12"/>
                <w:szCs w:val="12"/>
              </w:rPr>
            </w:pPr>
            <w:r>
              <w:rPr>
                <w:sz w:val="12"/>
                <w:szCs w:val="12"/>
                <w:spacing w:val="-3"/>
              </w:rPr>
              <w:t>替力克</w:t>
            </w:r>
          </w:p>
        </w:tc>
        <w:tc>
          <w:tcPr>
            <w:tcW w:w="1889" w:type="dxa"/>
            <w:vAlign w:val="top"/>
          </w:tcPr>
          <w:p>
            <w:pPr>
              <w:spacing w:line="272" w:lineRule="auto"/>
              <w:rPr>
                <w:rFonts w:ascii="Arial"/>
                <w:sz w:val="21"/>
              </w:rPr>
            </w:pPr>
            <w:r/>
          </w:p>
          <w:p>
            <w:pPr>
              <w:pStyle w:val="TableText"/>
              <w:ind w:left="604"/>
              <w:spacing w:before="39" w:line="220" w:lineRule="auto"/>
              <w:rPr>
                <w:sz w:val="12"/>
                <w:szCs w:val="12"/>
              </w:rPr>
            </w:pPr>
            <w:r>
              <w:rPr>
                <w:sz w:val="12"/>
                <w:szCs w:val="12"/>
                <w:spacing w:val="-1"/>
              </w:rPr>
              <w:t>72.2%丙酰胺</w:t>
            </w:r>
          </w:p>
        </w:tc>
        <w:tc>
          <w:tcPr>
            <w:tcW w:w="1609" w:type="dxa"/>
            <w:vAlign w:val="top"/>
          </w:tcPr>
          <w:p>
            <w:pPr>
              <w:spacing w:line="272" w:lineRule="auto"/>
              <w:rPr>
                <w:rFonts w:ascii="Arial"/>
                <w:sz w:val="21"/>
              </w:rPr>
            </w:pPr>
            <w:r/>
          </w:p>
          <w:p>
            <w:pPr>
              <w:pStyle w:val="TableText"/>
              <w:ind w:left="435"/>
              <w:spacing w:before="39" w:line="220" w:lineRule="auto"/>
              <w:rPr>
                <w:sz w:val="12"/>
                <w:szCs w:val="12"/>
              </w:rPr>
            </w:pPr>
            <w:r>
              <w:rPr>
                <w:sz w:val="12"/>
                <w:szCs w:val="12"/>
                <w:spacing w:val="-1"/>
              </w:rPr>
              <w:t>800-1000倍液</w:t>
            </w:r>
          </w:p>
        </w:tc>
        <w:tc>
          <w:tcPr>
            <w:tcW w:w="1029" w:type="dxa"/>
            <w:vAlign w:val="top"/>
          </w:tcPr>
          <w:p>
            <w:pPr>
              <w:pStyle w:val="TableText"/>
              <w:ind w:left="16" w:firstLine="9"/>
              <w:spacing w:before="92" w:line="233" w:lineRule="auto"/>
              <w:rPr>
                <w:sz w:val="12"/>
                <w:szCs w:val="12"/>
              </w:rPr>
            </w:pPr>
            <w:r>
              <w:rPr>
                <w:sz w:val="12"/>
                <w:szCs w:val="12"/>
                <w:spacing w:val="-4"/>
              </w:rPr>
              <w:t>10天一次，连续喷</w:t>
            </w:r>
            <w:r>
              <w:rPr>
                <w:sz w:val="12"/>
                <w:szCs w:val="12"/>
                <w:spacing w:val="2"/>
              </w:rPr>
              <w:t xml:space="preserve">  </w:t>
            </w:r>
            <w:r>
              <w:rPr>
                <w:sz w:val="12"/>
                <w:szCs w:val="12"/>
                <w:spacing w:val="-2"/>
              </w:rPr>
              <w:t>洒病部地面2-3次，</w:t>
            </w:r>
          </w:p>
          <w:p>
            <w:pPr>
              <w:pStyle w:val="TableText"/>
              <w:spacing w:before="7" w:line="219" w:lineRule="auto"/>
              <w:jc w:val="right"/>
              <w:rPr>
                <w:sz w:val="12"/>
                <w:szCs w:val="12"/>
              </w:rPr>
            </w:pPr>
            <w:r>
              <w:rPr>
                <w:sz w:val="12"/>
                <w:szCs w:val="12"/>
                <w:spacing w:val="-4"/>
              </w:rPr>
              <w:t>喷药1小时内遇雨，</w:t>
            </w:r>
          </w:p>
          <w:p>
            <w:pPr>
              <w:pStyle w:val="TableText"/>
              <w:ind w:left="326"/>
              <w:spacing w:before="7" w:line="220" w:lineRule="auto"/>
              <w:rPr>
                <w:sz w:val="12"/>
                <w:szCs w:val="12"/>
              </w:rPr>
            </w:pPr>
            <w:r>
              <w:rPr>
                <w:sz w:val="12"/>
                <w:szCs w:val="12"/>
                <w:spacing w:val="-3"/>
              </w:rPr>
              <w:t>需重喷</w:t>
            </w:r>
          </w:p>
        </w:tc>
        <w:tc>
          <w:tcPr>
            <w:tcW w:w="689" w:type="dxa"/>
            <w:vAlign w:val="top"/>
          </w:tcPr>
          <w:p>
            <w:pPr>
              <w:spacing w:line="272" w:lineRule="auto"/>
              <w:rPr>
                <w:rFonts w:ascii="Arial"/>
                <w:sz w:val="21"/>
              </w:rPr>
            </w:pPr>
            <w:r/>
          </w:p>
          <w:p>
            <w:pPr>
              <w:pStyle w:val="TableText"/>
              <w:ind w:left="97"/>
              <w:spacing w:before="39" w:line="221" w:lineRule="auto"/>
              <w:rPr>
                <w:sz w:val="12"/>
                <w:szCs w:val="12"/>
              </w:rPr>
            </w:pPr>
            <w:r>
              <w:rPr>
                <w:sz w:val="12"/>
                <w:szCs w:val="12"/>
                <w:spacing w:val="-2"/>
              </w:rPr>
              <w:t>100ml/瓶</w:t>
            </w:r>
          </w:p>
        </w:tc>
        <w:tc>
          <w:tcPr>
            <w:tcW w:w="2803" w:type="dxa"/>
            <w:vAlign w:val="top"/>
          </w:tcPr>
          <w:p>
            <w:pPr>
              <w:spacing w:line="271" w:lineRule="auto"/>
              <w:rPr>
                <w:rFonts w:ascii="Arial"/>
                <w:sz w:val="21"/>
              </w:rPr>
            </w:pPr>
            <w:r/>
          </w:p>
          <w:p>
            <w:pPr>
              <w:pStyle w:val="TableText"/>
              <w:ind w:left="8"/>
              <w:spacing w:before="39" w:line="219" w:lineRule="auto"/>
              <w:rPr>
                <w:sz w:val="12"/>
                <w:szCs w:val="12"/>
              </w:rPr>
            </w:pPr>
            <w:r>
              <w:rPr>
                <w:sz w:val="12"/>
                <w:szCs w:val="12"/>
                <w:spacing w:val="-1"/>
              </w:rPr>
              <w:t>对棍腐病、霜布病、立枯病，倒病有特效</w:t>
            </w:r>
          </w:p>
        </w:tc>
      </w:tr>
      <w:tr>
        <w:trPr>
          <w:trHeight w:val="45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443"/>
              <w:spacing w:before="173" w:line="219" w:lineRule="auto"/>
              <w:rPr>
                <w:sz w:val="12"/>
                <w:szCs w:val="12"/>
              </w:rPr>
            </w:pPr>
            <w:r>
              <w:rPr>
                <w:sz w:val="12"/>
                <w:szCs w:val="12"/>
                <w:spacing w:val="-1"/>
              </w:rPr>
              <w:t>链霉素</w:t>
            </w:r>
          </w:p>
        </w:tc>
        <w:tc>
          <w:tcPr>
            <w:tcW w:w="1889" w:type="dxa"/>
            <w:vAlign w:val="top"/>
          </w:tcPr>
          <w:p>
            <w:pPr>
              <w:pStyle w:val="TableText"/>
              <w:ind w:left="694"/>
              <w:spacing w:before="173" w:line="219" w:lineRule="auto"/>
              <w:rPr>
                <w:sz w:val="12"/>
                <w:szCs w:val="12"/>
              </w:rPr>
            </w:pPr>
            <w:r>
              <w:rPr>
                <w:sz w:val="12"/>
                <w:szCs w:val="12"/>
                <w:spacing w:val="-2"/>
              </w:rPr>
              <w:t>72链霉素</w:t>
            </w:r>
          </w:p>
        </w:tc>
        <w:tc>
          <w:tcPr>
            <w:tcW w:w="1609" w:type="dxa"/>
            <w:vAlign w:val="top"/>
          </w:tcPr>
          <w:p>
            <w:pPr>
              <w:pStyle w:val="TableText"/>
              <w:ind w:left="555"/>
              <w:spacing w:before="174" w:line="220" w:lineRule="auto"/>
              <w:rPr>
                <w:sz w:val="12"/>
                <w:szCs w:val="12"/>
              </w:rPr>
            </w:pPr>
            <w:r>
              <w:rPr>
                <w:sz w:val="12"/>
                <w:szCs w:val="12"/>
                <w:spacing w:val="-1"/>
              </w:rPr>
              <w:t>3000倍液</w:t>
            </w:r>
          </w:p>
        </w:tc>
        <w:tc>
          <w:tcPr>
            <w:tcW w:w="1029" w:type="dxa"/>
            <w:vAlign w:val="top"/>
            <w:vMerge w:val="restart"/>
            <w:tcBorders>
              <w:bottom w:val="nil"/>
            </w:tcBorders>
          </w:tcPr>
          <w:p>
            <w:pPr>
              <w:spacing w:line="253" w:lineRule="auto"/>
              <w:rPr>
                <w:rFonts w:ascii="Arial"/>
                <w:sz w:val="21"/>
              </w:rPr>
            </w:pPr>
            <w:r/>
          </w:p>
          <w:p>
            <w:pPr>
              <w:pStyle w:val="TableText"/>
              <w:ind w:left="115" w:right="2" w:hanging="59"/>
              <w:spacing w:before="39" w:line="233" w:lineRule="auto"/>
              <w:rPr>
                <w:sz w:val="12"/>
                <w:szCs w:val="12"/>
              </w:rPr>
            </w:pPr>
            <w:r>
              <w:rPr>
                <w:sz w:val="12"/>
                <w:szCs w:val="12"/>
                <w:spacing w:val="-1"/>
              </w:rPr>
              <w:t>每10天喷施一次，</w:t>
            </w:r>
            <w:r>
              <w:rPr>
                <w:sz w:val="12"/>
                <w:szCs w:val="12"/>
                <w:spacing w:val="7"/>
              </w:rPr>
              <w:t xml:space="preserve"> </w:t>
            </w:r>
            <w:r>
              <w:rPr>
                <w:sz w:val="12"/>
                <w:szCs w:val="12"/>
              </w:rPr>
              <w:t>连喷3至4次，</w:t>
            </w:r>
          </w:p>
        </w:tc>
        <w:tc>
          <w:tcPr>
            <w:tcW w:w="689" w:type="dxa"/>
            <w:vAlign w:val="top"/>
          </w:tcPr>
          <w:p>
            <w:pPr>
              <w:pStyle w:val="TableText"/>
              <w:ind w:left="157"/>
              <w:spacing w:before="169" w:line="214" w:lineRule="auto"/>
              <w:rPr>
                <w:sz w:val="12"/>
                <w:szCs w:val="12"/>
              </w:rPr>
            </w:pPr>
            <w:r>
              <w:rPr>
                <w:sz w:val="12"/>
                <w:szCs w:val="12"/>
                <w:spacing w:val="-2"/>
              </w:rPr>
              <w:t>15g/袋</w:t>
            </w:r>
          </w:p>
        </w:tc>
        <w:tc>
          <w:tcPr>
            <w:tcW w:w="2803" w:type="dxa"/>
            <w:vAlign w:val="top"/>
            <w:vMerge w:val="restart"/>
            <w:tcBorders>
              <w:bottom w:val="nil"/>
            </w:tcBorders>
          </w:tcPr>
          <w:p>
            <w:pPr>
              <w:spacing w:line="313" w:lineRule="auto"/>
              <w:rPr>
                <w:rFonts w:ascii="Arial"/>
                <w:sz w:val="21"/>
              </w:rPr>
            </w:pPr>
            <w:r/>
          </w:p>
          <w:p>
            <w:pPr>
              <w:pStyle w:val="TableText"/>
              <w:ind w:left="8"/>
              <w:spacing w:before="39" w:line="219" w:lineRule="auto"/>
              <w:rPr>
                <w:sz w:val="12"/>
                <w:szCs w:val="12"/>
              </w:rPr>
            </w:pPr>
            <w:r>
              <w:rPr>
                <w:sz w:val="12"/>
                <w:szCs w:val="12"/>
                <w:spacing w:val="-1"/>
              </w:rPr>
              <w:t>防治细菌性穿孔病，对细菌性病害有特效</w:t>
            </w:r>
          </w:p>
        </w:tc>
      </w:tr>
      <w:tr>
        <w:trPr>
          <w:trHeight w:val="35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69" w:type="dxa"/>
            <w:vAlign w:val="top"/>
          </w:tcPr>
          <w:p>
            <w:pPr>
              <w:pStyle w:val="TableText"/>
              <w:ind w:left="443"/>
              <w:spacing w:before="124" w:line="219" w:lineRule="auto"/>
              <w:rPr>
                <w:sz w:val="12"/>
                <w:szCs w:val="12"/>
              </w:rPr>
            </w:pPr>
            <w:r>
              <w:rPr>
                <w:sz w:val="12"/>
                <w:szCs w:val="12"/>
                <w:spacing w:val="-2"/>
              </w:rPr>
              <w:t>细菌灵</w:t>
            </w:r>
          </w:p>
        </w:tc>
        <w:tc>
          <w:tcPr>
            <w:tcW w:w="1889" w:type="dxa"/>
            <w:vAlign w:val="top"/>
          </w:tcPr>
          <w:p>
            <w:pPr>
              <w:pStyle w:val="TableText"/>
              <w:ind w:left="273"/>
              <w:spacing w:before="124" w:line="219" w:lineRule="auto"/>
              <w:rPr>
                <w:sz w:val="12"/>
                <w:szCs w:val="12"/>
              </w:rPr>
            </w:pPr>
            <w:r>
              <w:rPr>
                <w:sz w:val="12"/>
                <w:szCs w:val="12"/>
                <w:spacing w:val="-1"/>
              </w:rPr>
              <w:t>40%多菌灵、30%中生霉素</w:t>
            </w:r>
          </w:p>
        </w:tc>
        <w:tc>
          <w:tcPr>
            <w:tcW w:w="1609" w:type="dxa"/>
            <w:vAlign w:val="top"/>
          </w:tcPr>
          <w:p>
            <w:pPr>
              <w:pStyle w:val="TableText"/>
              <w:ind w:left="525"/>
              <w:spacing w:before="125" w:line="220" w:lineRule="auto"/>
              <w:rPr>
                <w:sz w:val="12"/>
                <w:szCs w:val="12"/>
              </w:rPr>
            </w:pPr>
            <w:r>
              <w:rPr>
                <w:sz w:val="12"/>
                <w:szCs w:val="12"/>
                <w:spacing w:val="-1"/>
              </w:rPr>
              <w:t>500-600倍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157"/>
              <w:spacing w:before="120" w:line="214" w:lineRule="auto"/>
              <w:rPr>
                <w:sz w:val="12"/>
                <w:szCs w:val="12"/>
              </w:rPr>
            </w:pPr>
            <w:r>
              <w:rPr>
                <w:sz w:val="12"/>
                <w:szCs w:val="12"/>
                <w:spacing w:val="-1"/>
              </w:rPr>
              <w:t>25g/袋</w:t>
            </w:r>
          </w:p>
        </w:tc>
        <w:tc>
          <w:tcPr>
            <w:tcW w:w="2803" w:type="dxa"/>
            <w:vAlign w:val="top"/>
            <w:vMerge w:val="continue"/>
            <w:tcBorders>
              <w:top w:val="nil"/>
            </w:tcBorders>
          </w:tcPr>
          <w:p>
            <w:pPr>
              <w:rPr>
                <w:rFonts w:ascii="Arial"/>
                <w:sz w:val="21"/>
              </w:rPr>
            </w:pPr>
            <w:r/>
          </w:p>
        </w:tc>
      </w:tr>
      <w:tr>
        <w:trPr>
          <w:trHeight w:val="544" w:hRule="atLeast"/>
        </w:trPr>
        <w:tc>
          <w:tcPr>
            <w:tcW w:w="415" w:type="dxa"/>
            <w:vAlign w:val="top"/>
            <w:vMerge w:val="continue"/>
            <w:tcBorders>
              <w:top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69" w:type="dxa"/>
            <w:vAlign w:val="top"/>
          </w:tcPr>
          <w:p>
            <w:pPr>
              <w:pStyle w:val="TableText"/>
              <w:ind w:left="443"/>
              <w:spacing w:before="214" w:line="219" w:lineRule="auto"/>
              <w:rPr>
                <w:sz w:val="12"/>
                <w:szCs w:val="12"/>
              </w:rPr>
            </w:pPr>
            <w:r>
              <w:rPr>
                <w:sz w:val="12"/>
                <w:szCs w:val="12"/>
                <w:spacing w:val="-2"/>
              </w:rPr>
              <w:t>植病灵</w:t>
            </w:r>
          </w:p>
        </w:tc>
        <w:tc>
          <w:tcPr>
            <w:tcW w:w="1889" w:type="dxa"/>
            <w:vAlign w:val="top"/>
          </w:tcPr>
          <w:p>
            <w:pPr>
              <w:pStyle w:val="TableText"/>
              <w:ind w:left="333"/>
              <w:spacing w:before="215" w:line="220" w:lineRule="auto"/>
              <w:rPr>
                <w:sz w:val="12"/>
                <w:szCs w:val="12"/>
              </w:rPr>
            </w:pPr>
            <w:r>
              <w:rPr>
                <w:sz w:val="12"/>
                <w:szCs w:val="12"/>
                <w:spacing w:val="-1"/>
              </w:rPr>
              <w:t>盐酸金刚乙胺、丙环唑</w:t>
            </w:r>
          </w:p>
        </w:tc>
        <w:tc>
          <w:tcPr>
            <w:tcW w:w="1609" w:type="dxa"/>
            <w:vAlign w:val="top"/>
          </w:tcPr>
          <w:p>
            <w:pPr>
              <w:pStyle w:val="TableText"/>
              <w:ind w:left="585"/>
              <w:spacing w:before="215" w:line="220" w:lineRule="auto"/>
              <w:rPr>
                <w:sz w:val="12"/>
                <w:szCs w:val="12"/>
              </w:rPr>
            </w:pPr>
            <w:r>
              <w:rPr>
                <w:sz w:val="12"/>
                <w:szCs w:val="12"/>
                <w:spacing w:val="-1"/>
              </w:rPr>
              <w:t>800倍液</w:t>
            </w:r>
          </w:p>
        </w:tc>
        <w:tc>
          <w:tcPr>
            <w:tcW w:w="1029" w:type="dxa"/>
            <w:vAlign w:val="top"/>
          </w:tcPr>
          <w:p>
            <w:pPr>
              <w:pStyle w:val="TableText"/>
              <w:spacing w:before="84" w:line="200" w:lineRule="auto"/>
              <w:jc w:val="right"/>
              <w:rPr>
                <w:sz w:val="12"/>
                <w:szCs w:val="12"/>
              </w:rPr>
            </w:pPr>
            <w:r>
              <w:rPr>
                <w:sz w:val="12"/>
                <w:szCs w:val="12"/>
                <w:spacing w:val="-2"/>
              </w:rPr>
              <w:t>发病初期，每5-7天</w:t>
            </w:r>
          </w:p>
          <w:p>
            <w:pPr>
              <w:pStyle w:val="TableText"/>
              <w:spacing w:line="219" w:lineRule="auto"/>
              <w:jc w:val="right"/>
              <w:rPr>
                <w:sz w:val="12"/>
                <w:szCs w:val="12"/>
              </w:rPr>
            </w:pPr>
            <w:r>
              <w:rPr>
                <w:sz w:val="12"/>
                <w:szCs w:val="12"/>
                <w:spacing w:val="-2"/>
              </w:rPr>
              <w:t>喷施一次，喷3遍，</w:t>
            </w:r>
          </w:p>
          <w:p>
            <w:pPr>
              <w:pStyle w:val="TableText"/>
              <w:ind w:left="176"/>
              <w:spacing w:before="27" w:line="219" w:lineRule="auto"/>
              <w:rPr>
                <w:sz w:val="12"/>
                <w:szCs w:val="12"/>
              </w:rPr>
            </w:pPr>
            <w:r>
              <w:rPr>
                <w:sz w:val="12"/>
                <w:szCs w:val="12"/>
              </w:rPr>
              <w:t>可减轻危害。</w:t>
            </w:r>
          </w:p>
        </w:tc>
        <w:tc>
          <w:tcPr>
            <w:tcW w:w="689" w:type="dxa"/>
            <w:vAlign w:val="top"/>
          </w:tcPr>
          <w:p>
            <w:pPr>
              <w:pStyle w:val="TableText"/>
              <w:ind w:left="127"/>
              <w:spacing w:before="215" w:line="221" w:lineRule="auto"/>
              <w:rPr>
                <w:sz w:val="12"/>
                <w:szCs w:val="12"/>
              </w:rPr>
            </w:pPr>
            <w:r>
              <w:rPr>
                <w:sz w:val="12"/>
                <w:szCs w:val="12"/>
                <w:spacing w:val="-2"/>
              </w:rPr>
              <w:t>15nl/瓶</w:t>
            </w:r>
          </w:p>
        </w:tc>
        <w:tc>
          <w:tcPr>
            <w:tcW w:w="2803" w:type="dxa"/>
            <w:vAlign w:val="top"/>
          </w:tcPr>
          <w:p>
            <w:pPr>
              <w:pStyle w:val="TableText"/>
              <w:ind w:left="8"/>
              <w:spacing w:before="214" w:line="219" w:lineRule="auto"/>
              <w:rPr>
                <w:sz w:val="12"/>
                <w:szCs w:val="12"/>
              </w:rPr>
            </w:pPr>
            <w:r>
              <w:rPr>
                <w:sz w:val="12"/>
                <w:szCs w:val="12"/>
                <w:spacing w:val="-1"/>
              </w:rPr>
              <w:t>防治花叶病，对病毒性病害有特效</w:t>
            </w:r>
          </w:p>
        </w:tc>
      </w:tr>
    </w:tbl>
    <w:p>
      <w:pPr>
        <w:spacing w:line="205" w:lineRule="exact"/>
        <w:rPr>
          <w:rFonts w:ascii="Arial"/>
          <w:sz w:val="17"/>
        </w:rPr>
      </w:pPr>
      <w:r/>
    </w:p>
    <w:p>
      <w:pPr>
        <w:spacing w:line="205" w:lineRule="exact"/>
        <w:sectPr>
          <w:pgSz w:w="14490" w:h="10240"/>
          <w:pgMar w:top="125" w:right="334" w:bottom="400" w:left="304" w:header="0" w:footer="0" w:gutter="0"/>
        </w:sectPr>
        <w:rPr>
          <w:rFonts w:ascii="Arial" w:hAnsi="Arial" w:eastAsia="Arial" w:cs="Arial"/>
          <w:sz w:val="17"/>
          <w:szCs w:val="17"/>
        </w:rPr>
      </w:pPr>
    </w:p>
    <w:tbl>
      <w:tblPr>
        <w:tblStyle w:val="TableNormal"/>
        <w:tblW w:w="1383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20"/>
        <w:gridCol w:w="949"/>
        <w:gridCol w:w="2668"/>
        <w:gridCol w:w="1259"/>
        <w:gridCol w:w="1899"/>
        <w:gridCol w:w="1599"/>
        <w:gridCol w:w="1029"/>
        <w:gridCol w:w="689"/>
        <w:gridCol w:w="2803"/>
      </w:tblGrid>
      <w:tr>
        <w:trPr>
          <w:trHeight w:val="514" w:hRule="atLeast"/>
        </w:trPr>
        <w:tc>
          <w:tcPr>
            <w:tcW w:w="415"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14"/>
              <w:spacing w:before="39" w:line="219" w:lineRule="auto"/>
              <w:rPr>
                <w:sz w:val="12"/>
                <w:szCs w:val="12"/>
              </w:rPr>
            </w:pPr>
            <w:r>
              <w:rPr>
                <w:sz w:val="12"/>
                <w:szCs w:val="12"/>
                <w:spacing w:val="-2"/>
              </w:rPr>
              <w:t>杀虫刻</w:t>
            </w:r>
          </w:p>
        </w:tc>
        <w:tc>
          <w:tcPr>
            <w:tcW w:w="520" w:type="dxa"/>
            <w:vAlign w:val="top"/>
            <w:vMerge w:val="restart"/>
            <w:tcBorders>
              <w:bottom w:val="nil"/>
            </w:tcBorders>
          </w:tcPr>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10"/>
              <w:spacing w:before="39" w:line="219" w:lineRule="auto"/>
              <w:rPr>
                <w:sz w:val="12"/>
                <w:szCs w:val="12"/>
              </w:rPr>
            </w:pPr>
            <w:r>
              <w:rPr>
                <w:sz w:val="12"/>
                <w:szCs w:val="12"/>
                <w:spacing w:val="-1"/>
              </w:rPr>
              <w:t>食叶害虫</w:t>
            </w:r>
          </w:p>
        </w:tc>
        <w:tc>
          <w:tcPr>
            <w:tcW w:w="949" w:type="dxa"/>
            <w:vAlign w:val="top"/>
            <w:vMerge w:val="restart"/>
            <w:tcBorders>
              <w:bottom w:val="nil"/>
            </w:tcBorders>
          </w:tcPr>
          <w:p>
            <w:pPr>
              <w:spacing w:line="329" w:lineRule="auto"/>
              <w:rPr>
                <w:rFonts w:ascii="Arial"/>
                <w:sz w:val="21"/>
              </w:rPr>
            </w:pPr>
            <w:r/>
          </w:p>
          <w:p>
            <w:pPr>
              <w:pStyle w:val="TableText"/>
              <w:ind w:left="59" w:right="28" w:hanging="19"/>
              <w:spacing w:before="39" w:line="224" w:lineRule="auto"/>
              <w:jc w:val="both"/>
              <w:rPr>
                <w:sz w:val="12"/>
                <w:szCs w:val="12"/>
              </w:rPr>
            </w:pPr>
            <w:r>
              <w:rPr>
                <w:sz w:val="12"/>
                <w:szCs w:val="12"/>
                <w:spacing w:val="-1"/>
              </w:rPr>
              <w:t>铁树曲纹紫灰蝶</w:t>
            </w:r>
            <w:r>
              <w:rPr>
                <w:sz w:val="12"/>
                <w:szCs w:val="12"/>
                <w:spacing w:val="1"/>
              </w:rPr>
              <w:t xml:space="preserve"> </w:t>
            </w:r>
            <w:r>
              <w:rPr>
                <w:sz w:val="12"/>
                <w:szCs w:val="12"/>
                <w:spacing w:val="1"/>
              </w:rPr>
              <w:t>、苏铁小灰螺， </w:t>
            </w:r>
            <w:r>
              <w:rPr>
                <w:sz w:val="12"/>
                <w:szCs w:val="12"/>
                <w:spacing w:val="-1"/>
              </w:rPr>
              <w:t>灰白蚕蛾、格近</w:t>
            </w:r>
          </w:p>
          <w:p>
            <w:pPr>
              <w:pStyle w:val="TableText"/>
              <w:ind w:left="40"/>
              <w:spacing w:before="12" w:line="201" w:lineRule="auto"/>
              <w:rPr>
                <w:sz w:val="12"/>
                <w:szCs w:val="12"/>
              </w:rPr>
            </w:pPr>
            <w:r>
              <w:rPr>
                <w:sz w:val="12"/>
                <w:szCs w:val="12"/>
                <w:spacing w:val="-1"/>
              </w:rPr>
              <w:t>翅毒蛾、相卷叶</w:t>
            </w:r>
          </w:p>
          <w:p>
            <w:pPr>
              <w:pStyle w:val="TableText"/>
              <w:ind w:left="40"/>
              <w:spacing w:line="220" w:lineRule="auto"/>
              <w:rPr>
                <w:sz w:val="12"/>
                <w:szCs w:val="12"/>
              </w:rPr>
            </w:pPr>
            <w:r>
              <w:rPr>
                <w:sz w:val="12"/>
                <w:szCs w:val="12"/>
                <w:spacing w:val="-1"/>
              </w:rPr>
              <w:t>野螟，盆架子绿</w:t>
            </w:r>
          </w:p>
          <w:p>
            <w:pPr>
              <w:pStyle w:val="TableText"/>
              <w:ind w:left="10" w:right="63" w:firstLine="29"/>
              <w:spacing w:before="17" w:line="220" w:lineRule="auto"/>
              <w:jc w:val="both"/>
              <w:rPr>
                <w:sz w:val="12"/>
                <w:szCs w:val="12"/>
              </w:rPr>
            </w:pPr>
            <w:r>
              <w:rPr>
                <w:sz w:val="12"/>
                <w:szCs w:val="12"/>
                <w:spacing w:val="-1"/>
              </w:rPr>
              <w:t>翅绢野瞑，风凰</w:t>
            </w:r>
            <w:r>
              <w:rPr>
                <w:sz w:val="12"/>
                <w:szCs w:val="12"/>
                <w:spacing w:val="1"/>
              </w:rPr>
              <w:t xml:space="preserve"> </w:t>
            </w:r>
            <w:r>
              <w:rPr>
                <w:sz w:val="12"/>
                <w:szCs w:val="12"/>
                <w:spacing w:val="-1"/>
              </w:rPr>
              <w:t>木夜峨、草坪拟</w:t>
            </w:r>
            <w:r>
              <w:rPr>
                <w:sz w:val="12"/>
                <w:szCs w:val="12"/>
              </w:rPr>
              <w:t xml:space="preserve"> </w:t>
            </w:r>
            <w:r>
              <w:rPr>
                <w:sz w:val="12"/>
                <w:szCs w:val="12"/>
                <w:spacing w:val="3"/>
              </w:rPr>
              <w:t>小稻叶夜蛱、斜</w:t>
            </w:r>
          </w:p>
          <w:p>
            <w:pPr>
              <w:pStyle w:val="TableText"/>
              <w:ind w:left="40"/>
              <w:spacing w:line="214" w:lineRule="auto"/>
              <w:rPr>
                <w:sz w:val="12"/>
                <w:szCs w:val="12"/>
              </w:rPr>
            </w:pPr>
            <w:r>
              <w:rPr>
                <w:sz w:val="12"/>
                <w:szCs w:val="12"/>
                <w:spacing w:val="-1"/>
              </w:rPr>
              <w:t>纹夜蛾，袋蛾粘</w:t>
            </w:r>
          </w:p>
          <w:p>
            <w:pPr>
              <w:pStyle w:val="TableText"/>
              <w:ind w:left="220"/>
              <w:spacing w:line="218" w:lineRule="auto"/>
              <w:rPr>
                <w:sz w:val="12"/>
                <w:szCs w:val="12"/>
              </w:rPr>
            </w:pPr>
            <w:r>
              <w:rPr>
                <w:sz w:val="12"/>
                <w:szCs w:val="12"/>
                <w:spacing w:val="-2"/>
              </w:rPr>
              <w:t>虫、尺峨</w:t>
            </w:r>
          </w:p>
        </w:tc>
        <w:tc>
          <w:tcPr>
            <w:tcW w:w="2668" w:type="dxa"/>
            <w:vAlign w:val="top"/>
            <w:vMerge w:val="restart"/>
            <w:tcBorders>
              <w:bottom w:val="nil"/>
            </w:tcBorders>
          </w:tcPr>
          <w:p>
            <w:pPr>
              <w:spacing w:line="328" w:lineRule="auto"/>
              <w:rPr>
                <w:rFonts w:ascii="Arial"/>
                <w:sz w:val="21"/>
              </w:rPr>
            </w:pPr>
            <w:r/>
          </w:p>
          <w:p>
            <w:pPr>
              <w:pStyle w:val="TableText"/>
              <w:ind w:left="1" w:firstLine="9"/>
              <w:spacing w:before="39" w:line="223" w:lineRule="auto"/>
              <w:rPr>
                <w:sz w:val="12"/>
                <w:szCs w:val="12"/>
              </w:rPr>
            </w:pPr>
            <w:r>
              <w:rPr>
                <w:sz w:val="12"/>
                <w:szCs w:val="12"/>
                <w:spacing w:val="-3"/>
              </w:rPr>
              <w:t>一、1-4月多数食物叶性害虫活动商不活跃。预防消</w:t>
            </w:r>
            <w:r>
              <w:rPr>
                <w:sz w:val="12"/>
                <w:szCs w:val="12"/>
                <w:spacing w:val="17"/>
                <w:w w:val="101"/>
              </w:rPr>
              <w:t xml:space="preserve"> </w:t>
            </w:r>
            <w:r>
              <w:rPr>
                <w:sz w:val="12"/>
                <w:szCs w:val="12"/>
                <w:spacing w:val="-1"/>
              </w:rPr>
              <w:t>杀为主，结合修剪，人工摘除虫茧、虫卵，虫囊：</w:t>
            </w:r>
          </w:p>
          <w:p>
            <w:pPr>
              <w:pStyle w:val="TableText"/>
              <w:ind w:left="1" w:firstLine="9"/>
              <w:spacing w:before="3" w:line="223" w:lineRule="auto"/>
              <w:rPr>
                <w:sz w:val="12"/>
                <w:szCs w:val="12"/>
              </w:rPr>
            </w:pPr>
            <w:r>
              <w:rPr>
                <w:sz w:val="12"/>
                <w:szCs w:val="12"/>
                <w:spacing w:val="-3"/>
              </w:rPr>
              <w:t>三、5-8月份主要是鳞翅目幼虫和同翅目害虫的危害</w:t>
            </w:r>
            <w:r>
              <w:rPr>
                <w:sz w:val="12"/>
                <w:szCs w:val="12"/>
                <w:spacing w:val="17"/>
                <w:w w:val="101"/>
              </w:rPr>
              <w:t xml:space="preserve"> </w:t>
            </w:r>
            <w:r>
              <w:rPr>
                <w:sz w:val="12"/>
                <w:szCs w:val="12"/>
              </w:rPr>
              <w:t>较重注意速免灰白蚕峡、扶桑卷叶蝴、绿妞娟野蚓</w:t>
            </w:r>
            <w:r>
              <w:rPr>
                <w:sz w:val="12"/>
                <w:szCs w:val="12"/>
                <w:spacing w:val="3"/>
              </w:rPr>
              <w:t xml:space="preserve"> </w:t>
            </w:r>
            <w:r>
              <w:rPr>
                <w:sz w:val="12"/>
                <w:szCs w:val="12"/>
              </w:rPr>
              <w:t>等多种麟通目害虫的幼虫爆发危害。如野螟主婴危</w:t>
            </w:r>
            <w:r>
              <w:rPr>
                <w:sz w:val="12"/>
                <w:szCs w:val="12"/>
                <w:spacing w:val="2"/>
              </w:rPr>
              <w:t xml:space="preserve"> </w:t>
            </w:r>
            <w:r>
              <w:rPr>
                <w:sz w:val="12"/>
                <w:szCs w:val="12"/>
                <w:spacing w:val="-1"/>
              </w:rPr>
              <w:t>害盆架木，黄杨，合欢、樟树，木槿等(棉卷叶野</w:t>
            </w:r>
            <w:r>
              <w:rPr>
                <w:sz w:val="12"/>
                <w:szCs w:val="12"/>
                <w:spacing w:val="6"/>
              </w:rPr>
              <w:t xml:space="preserve">  </w:t>
            </w:r>
            <w:r>
              <w:rPr>
                <w:sz w:val="12"/>
                <w:szCs w:val="12"/>
              </w:rPr>
              <w:t>螺、绿翅胡野蚓)、灰白蚕峨、粉螺等活跃，采取</w:t>
            </w:r>
            <w:r>
              <w:rPr>
                <w:sz w:val="12"/>
                <w:szCs w:val="12"/>
                <w:spacing w:val="1"/>
              </w:rPr>
              <w:t xml:space="preserve">  </w:t>
            </w:r>
            <w:r>
              <w:rPr>
                <w:sz w:val="12"/>
                <w:szCs w:val="12"/>
                <w:spacing w:val="6"/>
              </w:rPr>
              <w:t>人工加药物双重防治；</w:t>
            </w:r>
          </w:p>
          <w:p>
            <w:pPr>
              <w:pStyle w:val="TableText"/>
              <w:ind w:left="11" w:right="11"/>
              <w:spacing w:before="16" w:line="210" w:lineRule="auto"/>
              <w:rPr>
                <w:sz w:val="12"/>
                <w:szCs w:val="12"/>
              </w:rPr>
            </w:pPr>
            <w:r>
              <w:rPr>
                <w:sz w:val="12"/>
                <w:szCs w:val="12"/>
                <w:spacing w:val="-1"/>
              </w:rPr>
              <w:t>三、9-11月榕树灰白蚕蛾灰白蚕蛾，主要危害榕树</w:t>
            </w:r>
            <w:r>
              <w:rPr>
                <w:sz w:val="12"/>
                <w:szCs w:val="12"/>
                <w:spacing w:val="18"/>
              </w:rPr>
              <w:t xml:space="preserve"> </w:t>
            </w:r>
            <w:r>
              <w:rPr>
                <w:sz w:val="12"/>
                <w:szCs w:val="12"/>
                <w:spacing w:val="-1"/>
              </w:rPr>
              <w:t>、黄金格，垂枝格等。</w:t>
            </w:r>
          </w:p>
        </w:tc>
        <w:tc>
          <w:tcPr>
            <w:tcW w:w="1259" w:type="dxa"/>
            <w:vAlign w:val="top"/>
          </w:tcPr>
          <w:p>
            <w:pPr>
              <w:pStyle w:val="TableText"/>
              <w:ind w:left="263"/>
              <w:spacing w:before="200" w:line="219" w:lineRule="auto"/>
              <w:rPr>
                <w:sz w:val="12"/>
                <w:szCs w:val="12"/>
              </w:rPr>
            </w:pPr>
            <w:r>
              <w:rPr>
                <w:sz w:val="12"/>
                <w:szCs w:val="12"/>
                <w:spacing w:val="-2"/>
              </w:rPr>
              <w:t>高效氯氰菊酯</w:t>
            </w:r>
          </w:p>
        </w:tc>
        <w:tc>
          <w:tcPr>
            <w:tcW w:w="1899" w:type="dxa"/>
            <w:vAlign w:val="top"/>
          </w:tcPr>
          <w:p>
            <w:pPr>
              <w:pStyle w:val="TableText"/>
              <w:ind w:left="584"/>
              <w:spacing w:before="200" w:line="219" w:lineRule="auto"/>
              <w:rPr>
                <w:sz w:val="12"/>
                <w:szCs w:val="12"/>
              </w:rPr>
            </w:pPr>
            <w:r>
              <w:rPr>
                <w:sz w:val="12"/>
                <w:szCs w:val="12"/>
                <w:spacing w:val="-2"/>
              </w:rPr>
              <w:t>高效氯氰菊酣</w:t>
            </w:r>
          </w:p>
        </w:tc>
        <w:tc>
          <w:tcPr>
            <w:tcW w:w="1599" w:type="dxa"/>
            <w:vAlign w:val="top"/>
          </w:tcPr>
          <w:p>
            <w:pPr>
              <w:pStyle w:val="TableText"/>
              <w:ind w:left="375"/>
              <w:spacing w:before="200" w:line="220" w:lineRule="auto"/>
              <w:rPr>
                <w:sz w:val="12"/>
                <w:szCs w:val="12"/>
              </w:rPr>
            </w:pPr>
            <w:r>
              <w:rPr>
                <w:sz w:val="12"/>
                <w:szCs w:val="12"/>
                <w:spacing w:val="-1"/>
              </w:rPr>
              <w:t>4.5%乳油1500倍</w:t>
            </w:r>
          </w:p>
        </w:tc>
        <w:tc>
          <w:tcPr>
            <w:tcW w:w="1029" w:type="dxa"/>
            <w:vAlign w:val="top"/>
          </w:tcPr>
          <w:p>
            <w:pPr>
              <w:pStyle w:val="TableText"/>
              <w:ind w:left="56"/>
              <w:spacing w:before="50" w:line="219" w:lineRule="auto"/>
              <w:rPr>
                <w:sz w:val="12"/>
                <w:szCs w:val="12"/>
              </w:rPr>
            </w:pPr>
            <w:r>
              <w:rPr>
                <w:sz w:val="12"/>
                <w:szCs w:val="12"/>
                <w:spacing w:val="-1"/>
              </w:rPr>
              <w:t>每隔7-10天喷药1</w:t>
            </w:r>
          </w:p>
          <w:p>
            <w:pPr>
              <w:pStyle w:val="TableText"/>
              <w:ind w:left="56"/>
              <w:spacing w:before="17" w:line="215" w:lineRule="auto"/>
              <w:rPr>
                <w:sz w:val="12"/>
                <w:szCs w:val="12"/>
              </w:rPr>
            </w:pPr>
            <w:r>
              <w:rPr>
                <w:sz w:val="12"/>
                <w:szCs w:val="12"/>
                <w:spacing w:val="-1"/>
              </w:rPr>
              <w:t>次，连续喷洒2-3</w:t>
            </w:r>
          </w:p>
          <w:p>
            <w:pPr>
              <w:pStyle w:val="TableText"/>
              <w:ind w:left="426"/>
              <w:spacing w:line="219" w:lineRule="auto"/>
              <w:rPr>
                <w:sz w:val="12"/>
                <w:szCs w:val="12"/>
              </w:rPr>
            </w:pPr>
            <w:r>
              <w:rPr>
                <w:sz w:val="12"/>
                <w:szCs w:val="12"/>
              </w:rPr>
              <w:t>次</w:t>
            </w:r>
          </w:p>
        </w:tc>
        <w:tc>
          <w:tcPr>
            <w:tcW w:w="689" w:type="dxa"/>
            <w:vAlign w:val="top"/>
          </w:tcPr>
          <w:p>
            <w:pPr>
              <w:pStyle w:val="TableText"/>
              <w:ind w:left="97"/>
              <w:spacing w:before="200" w:line="221" w:lineRule="auto"/>
              <w:rPr>
                <w:sz w:val="12"/>
                <w:szCs w:val="12"/>
              </w:rPr>
            </w:pPr>
            <w:r>
              <w:rPr>
                <w:sz w:val="12"/>
                <w:szCs w:val="12"/>
                <w:spacing w:val="-1"/>
              </w:rPr>
              <w:t>300ml/瓶</w:t>
            </w:r>
          </w:p>
        </w:tc>
        <w:tc>
          <w:tcPr>
            <w:tcW w:w="2803" w:type="dxa"/>
            <w:vAlign w:val="top"/>
          </w:tcPr>
          <w:p>
            <w:pPr>
              <w:pStyle w:val="TableText"/>
              <w:ind w:left="8"/>
              <w:spacing w:before="200" w:line="219" w:lineRule="auto"/>
              <w:rPr>
                <w:sz w:val="12"/>
                <w:szCs w:val="12"/>
              </w:rPr>
            </w:pPr>
            <w:r>
              <w:rPr>
                <w:sz w:val="12"/>
                <w:szCs w:val="12"/>
                <w:spacing w:val="-1"/>
              </w:rPr>
              <w:t>主要防泊衣作物上发生的鳞出目害虫。具有强毒性</w:t>
            </w:r>
          </w:p>
        </w:tc>
      </w:tr>
      <w:tr>
        <w:trPr>
          <w:trHeight w:val="52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263"/>
              <w:spacing w:before="204" w:line="218" w:lineRule="auto"/>
              <w:rPr>
                <w:sz w:val="12"/>
                <w:szCs w:val="12"/>
              </w:rPr>
            </w:pPr>
            <w:r>
              <w:rPr>
                <w:sz w:val="12"/>
                <w:szCs w:val="12"/>
                <w:spacing w:val="3"/>
              </w:rPr>
              <w:t>除尽(溴虫腈)</w:t>
            </w:r>
          </w:p>
        </w:tc>
        <w:tc>
          <w:tcPr>
            <w:tcW w:w="1899" w:type="dxa"/>
            <w:vAlign w:val="top"/>
          </w:tcPr>
          <w:p>
            <w:pPr>
              <w:pStyle w:val="TableText"/>
              <w:ind w:left="584"/>
              <w:spacing w:before="206" w:line="219" w:lineRule="auto"/>
              <w:rPr>
                <w:sz w:val="12"/>
                <w:szCs w:val="12"/>
              </w:rPr>
            </w:pPr>
            <w:r>
              <w:rPr>
                <w:sz w:val="12"/>
                <w:szCs w:val="12"/>
                <w:spacing w:val="-2"/>
              </w:rPr>
              <w:t>芳基取代毗咯</w:t>
            </w:r>
          </w:p>
        </w:tc>
        <w:tc>
          <w:tcPr>
            <w:tcW w:w="1599" w:type="dxa"/>
            <w:vAlign w:val="top"/>
          </w:tcPr>
          <w:p>
            <w:pPr>
              <w:pStyle w:val="TableText"/>
              <w:ind w:left="135"/>
              <w:spacing w:before="205" w:line="219" w:lineRule="auto"/>
              <w:rPr>
                <w:sz w:val="12"/>
                <w:szCs w:val="12"/>
              </w:rPr>
            </w:pPr>
            <w:r>
              <w:rPr>
                <w:sz w:val="12"/>
                <w:szCs w:val="12"/>
                <w:spacing w:val="-1"/>
              </w:rPr>
              <w:t>10%悬浮剂1500-2000倍液</w:t>
            </w:r>
          </w:p>
        </w:tc>
        <w:tc>
          <w:tcPr>
            <w:tcW w:w="1029" w:type="dxa"/>
            <w:vAlign w:val="top"/>
          </w:tcPr>
          <w:p>
            <w:pPr>
              <w:pStyle w:val="TableText"/>
              <w:ind w:left="56"/>
              <w:spacing w:before="85" w:line="200" w:lineRule="auto"/>
              <w:rPr>
                <w:sz w:val="12"/>
                <w:szCs w:val="12"/>
              </w:rPr>
            </w:pPr>
            <w:r>
              <w:rPr>
                <w:sz w:val="12"/>
                <w:szCs w:val="12"/>
                <w:spacing w:val="-1"/>
              </w:rPr>
              <w:t>每隔15-18天喷药</w:t>
            </w:r>
          </w:p>
          <w:p>
            <w:pPr>
              <w:pStyle w:val="TableText"/>
              <w:ind w:left="36"/>
              <w:spacing w:line="219" w:lineRule="auto"/>
              <w:rPr>
                <w:sz w:val="12"/>
                <w:szCs w:val="12"/>
              </w:rPr>
            </w:pPr>
            <w:r>
              <w:rPr>
                <w:sz w:val="12"/>
                <w:szCs w:val="12"/>
                <w:spacing w:val="-1"/>
              </w:rPr>
              <w:t>次，连续喷活2-3</w:t>
            </w:r>
          </w:p>
          <w:p>
            <w:pPr>
              <w:pStyle w:val="TableText"/>
              <w:ind w:left="436"/>
              <w:spacing w:before="7" w:line="219" w:lineRule="auto"/>
              <w:rPr>
                <w:sz w:val="12"/>
                <w:szCs w:val="12"/>
              </w:rPr>
            </w:pPr>
            <w:r>
              <w:rPr>
                <w:sz w:val="12"/>
                <w:szCs w:val="12"/>
              </w:rPr>
              <w:t>次</w:t>
            </w:r>
          </w:p>
        </w:tc>
        <w:tc>
          <w:tcPr>
            <w:tcW w:w="689" w:type="dxa"/>
            <w:vAlign w:val="top"/>
          </w:tcPr>
          <w:p>
            <w:pPr>
              <w:pStyle w:val="TableText"/>
              <w:ind w:left="97"/>
              <w:spacing w:before="206" w:line="221" w:lineRule="auto"/>
              <w:rPr>
                <w:sz w:val="12"/>
                <w:szCs w:val="12"/>
              </w:rPr>
            </w:pPr>
            <w:r>
              <w:rPr>
                <w:sz w:val="12"/>
                <w:szCs w:val="12"/>
                <w:spacing w:val="-1"/>
              </w:rPr>
              <w:t>200ml/瓶</w:t>
            </w:r>
          </w:p>
        </w:tc>
        <w:tc>
          <w:tcPr>
            <w:tcW w:w="2803" w:type="dxa"/>
            <w:vAlign w:val="top"/>
          </w:tcPr>
          <w:p>
            <w:pPr>
              <w:pStyle w:val="TableText"/>
              <w:ind w:left="8"/>
              <w:spacing w:before="146" w:line="248" w:lineRule="auto"/>
              <w:rPr>
                <w:sz w:val="12"/>
                <w:szCs w:val="12"/>
              </w:rPr>
            </w:pPr>
            <w:r>
              <w:rPr>
                <w:sz w:val="12"/>
                <w:szCs w:val="12"/>
                <w:spacing w:val="1"/>
              </w:rPr>
              <w:t>适用于防治观赏植物上的鳞翅日、双翅日、硝翅日、</w:t>
            </w:r>
            <w:r>
              <w:rPr>
                <w:sz w:val="12"/>
                <w:szCs w:val="12"/>
              </w:rPr>
              <w:t xml:space="preserve"> </w:t>
            </w:r>
            <w:r>
              <w:rPr>
                <w:sz w:val="12"/>
                <w:szCs w:val="12"/>
                <w:spacing w:val="-2"/>
              </w:rPr>
              <w:t>半翅日及蜻类等害虫</w:t>
            </w:r>
          </w:p>
        </w:tc>
      </w:tr>
      <w:tr>
        <w:trPr>
          <w:trHeight w:val="36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16" w:line="219" w:lineRule="auto"/>
              <w:rPr>
                <w:sz w:val="12"/>
                <w:szCs w:val="12"/>
              </w:rPr>
            </w:pPr>
            <w:r>
              <w:rPr>
                <w:sz w:val="12"/>
                <w:szCs w:val="12"/>
                <w:spacing w:val="1"/>
              </w:rPr>
              <w:t>国光毒枪</w:t>
            </w:r>
          </w:p>
        </w:tc>
        <w:tc>
          <w:tcPr>
            <w:tcW w:w="1899" w:type="dxa"/>
            <w:vAlign w:val="top"/>
          </w:tcPr>
          <w:p>
            <w:pPr>
              <w:pStyle w:val="TableText"/>
              <w:ind w:left="374"/>
              <w:spacing w:before="116" w:line="219" w:lineRule="auto"/>
              <w:rPr>
                <w:sz w:val="12"/>
                <w:szCs w:val="12"/>
              </w:rPr>
            </w:pPr>
            <w:r>
              <w:rPr>
                <w:sz w:val="12"/>
                <w:szCs w:val="12"/>
                <w:spacing w:val="-5"/>
              </w:rPr>
              <w:t>45%丙溴</w:t>
            </w:r>
            <w:r>
              <w:rPr>
                <w:sz w:val="12"/>
                <w:szCs w:val="12"/>
                <w:spacing w:val="-11"/>
              </w:rPr>
              <w:t xml:space="preserve"> </w:t>
            </w:r>
            <w:r>
              <w:rPr>
                <w:sz w:val="12"/>
                <w:szCs w:val="12"/>
                <w:spacing w:val="-5"/>
              </w:rPr>
              <w:t>·辛硫磷乳油</w:t>
            </w:r>
          </w:p>
        </w:tc>
        <w:tc>
          <w:tcPr>
            <w:tcW w:w="1599" w:type="dxa"/>
            <w:vAlign w:val="top"/>
          </w:tcPr>
          <w:p>
            <w:pPr>
              <w:pStyle w:val="TableText"/>
              <w:ind w:left="405"/>
              <w:spacing w:before="117" w:line="220" w:lineRule="auto"/>
              <w:rPr>
                <w:sz w:val="12"/>
                <w:szCs w:val="12"/>
              </w:rPr>
            </w:pPr>
            <w:r>
              <w:rPr>
                <w:sz w:val="12"/>
                <w:szCs w:val="12"/>
                <w:spacing w:val="-1"/>
              </w:rPr>
              <w:t>2000-3000倍液</w:t>
            </w:r>
          </w:p>
        </w:tc>
        <w:tc>
          <w:tcPr>
            <w:tcW w:w="1029" w:type="dxa"/>
            <w:vAlign w:val="top"/>
            <w:vMerge w:val="restart"/>
            <w:tcBorders>
              <w:bottom w:val="nil"/>
            </w:tcBorders>
          </w:tcPr>
          <w:p>
            <w:pPr>
              <w:spacing w:line="384" w:lineRule="auto"/>
              <w:rPr>
                <w:rFonts w:ascii="Arial"/>
                <w:sz w:val="21"/>
              </w:rPr>
            </w:pPr>
            <w:r/>
          </w:p>
          <w:p>
            <w:pPr>
              <w:pStyle w:val="TableText"/>
              <w:ind w:left="382" w:hanging="366"/>
              <w:spacing w:before="39" w:line="219" w:lineRule="auto"/>
              <w:rPr>
                <w:sz w:val="12"/>
                <w:szCs w:val="12"/>
              </w:rPr>
            </w:pPr>
            <w:r>
              <w:rPr>
                <w:sz w:val="12"/>
                <w:szCs w:val="12"/>
                <w:spacing w:val="-2"/>
              </w:rPr>
              <w:t>一般用3次，问隔7-</w:t>
            </w:r>
            <w:r>
              <w:rPr>
                <w:sz w:val="12"/>
                <w:szCs w:val="12"/>
                <w:spacing w:val="1"/>
              </w:rPr>
              <w:t xml:space="preserve"> </w:t>
            </w:r>
            <w:r>
              <w:rPr>
                <w:sz w:val="12"/>
                <w:szCs w:val="12"/>
                <w:spacing w:val="-3"/>
              </w:rPr>
              <w:t>10天</w:t>
            </w:r>
          </w:p>
        </w:tc>
        <w:tc>
          <w:tcPr>
            <w:tcW w:w="689" w:type="dxa"/>
            <w:vAlign w:val="top"/>
          </w:tcPr>
          <w:p>
            <w:pPr>
              <w:pStyle w:val="TableText"/>
              <w:ind w:left="97"/>
              <w:spacing w:before="117" w:line="221" w:lineRule="auto"/>
              <w:rPr>
                <w:sz w:val="12"/>
                <w:szCs w:val="12"/>
              </w:rPr>
            </w:pPr>
            <w:r>
              <w:rPr>
                <w:sz w:val="12"/>
                <w:szCs w:val="12"/>
                <w:spacing w:val="-1"/>
              </w:rPr>
              <w:t>200ml/瓶</w:t>
            </w:r>
          </w:p>
        </w:tc>
        <w:tc>
          <w:tcPr>
            <w:tcW w:w="2803" w:type="dxa"/>
            <w:vAlign w:val="top"/>
          </w:tcPr>
          <w:p>
            <w:pPr>
              <w:pStyle w:val="TableText"/>
              <w:ind w:left="8"/>
              <w:spacing w:before="116" w:line="219" w:lineRule="auto"/>
              <w:rPr>
                <w:sz w:val="12"/>
                <w:szCs w:val="12"/>
              </w:rPr>
            </w:pPr>
            <w:r>
              <w:rPr>
                <w:sz w:val="12"/>
                <w:szCs w:val="12"/>
                <w:spacing w:val="-1"/>
              </w:rPr>
              <w:t>高渗透性，杀卷叶虫、包叶虫、斑潜蝇等</w:t>
            </w:r>
          </w:p>
        </w:tc>
      </w:tr>
      <w:tr>
        <w:trPr>
          <w:trHeight w:val="30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87" w:line="219" w:lineRule="auto"/>
              <w:rPr>
                <w:sz w:val="12"/>
                <w:szCs w:val="12"/>
              </w:rPr>
            </w:pPr>
            <w:r>
              <w:rPr>
                <w:sz w:val="12"/>
                <w:szCs w:val="12"/>
                <w:spacing w:val="1"/>
              </w:rPr>
              <w:t>国光毒箭</w:t>
            </w:r>
          </w:p>
        </w:tc>
        <w:tc>
          <w:tcPr>
            <w:tcW w:w="1899" w:type="dxa"/>
            <w:vAlign w:val="top"/>
          </w:tcPr>
          <w:p>
            <w:pPr>
              <w:pStyle w:val="TableText"/>
              <w:ind w:left="494"/>
              <w:spacing w:before="86" w:line="219" w:lineRule="auto"/>
              <w:rPr>
                <w:sz w:val="12"/>
                <w:szCs w:val="12"/>
              </w:rPr>
            </w:pPr>
            <w:r>
              <w:rPr>
                <w:sz w:val="12"/>
                <w:szCs w:val="12"/>
                <w:spacing w:val="-1"/>
              </w:rPr>
              <w:t>20%氧龙菊酣乳油</w:t>
            </w:r>
          </w:p>
        </w:tc>
        <w:tc>
          <w:tcPr>
            <w:tcW w:w="1599" w:type="dxa"/>
            <w:vAlign w:val="top"/>
          </w:tcPr>
          <w:p>
            <w:pPr>
              <w:pStyle w:val="TableText"/>
              <w:ind w:left="405"/>
              <w:spacing w:before="87" w:line="220" w:lineRule="auto"/>
              <w:rPr>
                <w:sz w:val="12"/>
                <w:szCs w:val="12"/>
              </w:rPr>
            </w:pPr>
            <w:r>
              <w:rPr>
                <w:sz w:val="12"/>
                <w:szCs w:val="12"/>
                <w:spacing w:val="-1"/>
              </w:rPr>
              <w:t>2000-3000倍液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97"/>
              <w:spacing w:before="87" w:line="221" w:lineRule="auto"/>
              <w:rPr>
                <w:sz w:val="12"/>
                <w:szCs w:val="12"/>
              </w:rPr>
            </w:pPr>
            <w:r>
              <w:rPr>
                <w:sz w:val="12"/>
                <w:szCs w:val="12"/>
                <w:spacing w:val="-1"/>
              </w:rPr>
              <w:t>200ml/瓶</w:t>
            </w:r>
          </w:p>
        </w:tc>
        <w:tc>
          <w:tcPr>
            <w:tcW w:w="2803" w:type="dxa"/>
            <w:vAlign w:val="top"/>
          </w:tcPr>
          <w:p>
            <w:pPr>
              <w:pStyle w:val="TableText"/>
              <w:ind w:left="8"/>
              <w:spacing w:before="86" w:line="219" w:lineRule="auto"/>
              <w:rPr>
                <w:sz w:val="12"/>
                <w:szCs w:val="12"/>
              </w:rPr>
            </w:pPr>
            <w:r>
              <w:rPr>
                <w:sz w:val="12"/>
                <w:szCs w:val="12"/>
                <w:spacing w:val="-1"/>
              </w:rPr>
              <w:t>高效广谱、长效杀虫剂，杀食叶性害虫特效</w:t>
            </w:r>
          </w:p>
        </w:tc>
      </w:tr>
      <w:tr>
        <w:trPr>
          <w:trHeight w:val="40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59" w:type="dxa"/>
            <w:vAlign w:val="top"/>
          </w:tcPr>
          <w:p>
            <w:pPr>
              <w:pStyle w:val="TableText"/>
              <w:ind w:left="323"/>
              <w:spacing w:before="147" w:line="219" w:lineRule="auto"/>
              <w:rPr>
                <w:sz w:val="12"/>
                <w:szCs w:val="12"/>
              </w:rPr>
            </w:pPr>
            <w:r>
              <w:rPr>
                <w:sz w:val="12"/>
                <w:szCs w:val="12"/>
                <w:spacing w:val="-1"/>
              </w:rPr>
              <w:t>诺替信黑战</w:t>
            </w:r>
          </w:p>
        </w:tc>
        <w:tc>
          <w:tcPr>
            <w:tcW w:w="1899" w:type="dxa"/>
            <w:vAlign w:val="top"/>
          </w:tcPr>
          <w:p>
            <w:pPr>
              <w:pStyle w:val="TableText"/>
              <w:ind w:left="494"/>
              <w:spacing w:before="147" w:line="220" w:lineRule="auto"/>
              <w:rPr>
                <w:sz w:val="12"/>
                <w:szCs w:val="12"/>
              </w:rPr>
            </w:pPr>
            <w:r>
              <w:rPr>
                <w:sz w:val="12"/>
                <w:szCs w:val="12"/>
                <w:spacing w:val="-6"/>
              </w:rPr>
              <w:t>甲维盐</w:t>
            </w:r>
            <w:r>
              <w:rPr>
                <w:sz w:val="12"/>
                <w:szCs w:val="12"/>
                <w:spacing w:val="-5"/>
              </w:rPr>
              <w:t xml:space="preserve"> </w:t>
            </w:r>
            <w:r>
              <w:rPr>
                <w:sz w:val="12"/>
                <w:szCs w:val="12"/>
                <w:spacing w:val="-6"/>
              </w:rPr>
              <w:t>·虫酰20%</w:t>
            </w:r>
          </w:p>
        </w:tc>
        <w:tc>
          <w:tcPr>
            <w:tcW w:w="1599" w:type="dxa"/>
            <w:vAlign w:val="top"/>
          </w:tcPr>
          <w:p>
            <w:pPr>
              <w:pStyle w:val="TableText"/>
              <w:ind w:left="465"/>
              <w:spacing w:before="147" w:line="220" w:lineRule="auto"/>
              <w:rPr>
                <w:sz w:val="12"/>
                <w:szCs w:val="12"/>
              </w:rPr>
            </w:pPr>
            <w:r>
              <w:rPr>
                <w:sz w:val="12"/>
                <w:szCs w:val="12"/>
                <w:spacing w:val="-2"/>
              </w:rPr>
              <w:t>1000-1500倍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97"/>
              <w:spacing w:before="147" w:line="221" w:lineRule="auto"/>
              <w:rPr>
                <w:sz w:val="12"/>
                <w:szCs w:val="12"/>
              </w:rPr>
            </w:pPr>
            <w:r>
              <w:rPr>
                <w:sz w:val="12"/>
                <w:szCs w:val="12"/>
                <w:spacing w:val="-2"/>
              </w:rPr>
              <w:t>100ml/瓶</w:t>
            </w:r>
          </w:p>
        </w:tc>
        <w:tc>
          <w:tcPr>
            <w:tcW w:w="2803" w:type="dxa"/>
            <w:vAlign w:val="top"/>
          </w:tcPr>
          <w:p>
            <w:pPr>
              <w:pStyle w:val="TableText"/>
              <w:ind w:left="8"/>
              <w:spacing w:before="146" w:line="219" w:lineRule="auto"/>
              <w:rPr>
                <w:sz w:val="12"/>
                <w:szCs w:val="12"/>
              </w:rPr>
            </w:pPr>
            <w:r>
              <w:rPr>
                <w:sz w:val="12"/>
                <w:szCs w:val="12"/>
                <w:spacing w:val="-1"/>
              </w:rPr>
              <w:t>高效广谱杀虫剂，杀食叶性害虫特效</w:t>
            </w:r>
          </w:p>
        </w:tc>
      </w:tr>
      <w:tr>
        <w:trPr>
          <w:trHeight w:val="399" w:hRule="atLeast"/>
        </w:trPr>
        <w:tc>
          <w:tcPr>
            <w:tcW w:w="415" w:type="dxa"/>
            <w:vAlign w:val="top"/>
            <w:vMerge w:val="continue"/>
            <w:tcBorders>
              <w:top w:val="nil"/>
              <w:bottom w:val="nil"/>
            </w:tcBorders>
          </w:tcPr>
          <w:p>
            <w:pPr>
              <w:rPr>
                <w:rFonts w:ascii="Arial"/>
                <w:sz w:val="21"/>
              </w:rPr>
            </w:pPr>
            <w:r/>
          </w:p>
        </w:tc>
        <w:tc>
          <w:tcPr>
            <w:tcW w:w="520" w:type="dxa"/>
            <w:vAlign w:val="top"/>
            <w:vMerge w:val="restart"/>
            <w:tcBorders>
              <w:bottom w:val="nil"/>
            </w:tcBorders>
          </w:tcPr>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0"/>
              <w:spacing w:before="39" w:line="219" w:lineRule="auto"/>
              <w:rPr>
                <w:sz w:val="12"/>
                <w:szCs w:val="12"/>
              </w:rPr>
            </w:pPr>
            <w:r>
              <w:rPr>
                <w:sz w:val="12"/>
                <w:szCs w:val="12"/>
                <w:spacing w:val="-1"/>
              </w:rPr>
              <w:t>螃壳类害</w:t>
            </w:r>
          </w:p>
          <w:p>
            <w:pPr>
              <w:pStyle w:val="TableText"/>
              <w:ind w:left="190"/>
              <w:spacing w:before="19" w:line="223" w:lineRule="auto"/>
              <w:rPr>
                <w:sz w:val="12"/>
                <w:szCs w:val="12"/>
              </w:rPr>
            </w:pPr>
            <w:r>
              <w:rPr>
                <w:sz w:val="12"/>
                <w:szCs w:val="12"/>
              </w:rPr>
              <w:t>虫</w:t>
            </w:r>
          </w:p>
        </w:tc>
        <w:tc>
          <w:tcPr>
            <w:tcW w:w="949" w:type="dxa"/>
            <w:vAlign w:val="top"/>
            <w:vMerge w:val="restart"/>
            <w:tcBorders>
              <w:bottom w:val="nil"/>
            </w:tcBorders>
          </w:tcPr>
          <w:p>
            <w:pPr>
              <w:spacing w:line="337" w:lineRule="auto"/>
              <w:rPr>
                <w:rFonts w:ascii="Arial"/>
                <w:sz w:val="21"/>
              </w:rPr>
            </w:pPr>
            <w:r/>
          </w:p>
          <w:p>
            <w:pPr>
              <w:spacing w:line="337" w:lineRule="auto"/>
              <w:rPr>
                <w:rFonts w:ascii="Arial"/>
                <w:sz w:val="21"/>
              </w:rPr>
            </w:pPr>
            <w:r/>
          </w:p>
          <w:p>
            <w:pPr>
              <w:pStyle w:val="TableText"/>
              <w:ind w:left="40"/>
              <w:spacing w:before="39" w:line="216" w:lineRule="auto"/>
              <w:rPr>
                <w:sz w:val="12"/>
                <w:szCs w:val="12"/>
              </w:rPr>
            </w:pPr>
            <w:r>
              <w:rPr>
                <w:sz w:val="12"/>
                <w:szCs w:val="12"/>
                <w:spacing w:val="-1"/>
              </w:rPr>
              <w:t>福州龟蜡蚧、球</w:t>
            </w:r>
          </w:p>
          <w:p>
            <w:pPr>
              <w:pStyle w:val="TableText"/>
              <w:ind w:left="40"/>
              <w:spacing w:line="214" w:lineRule="auto"/>
              <w:rPr>
                <w:sz w:val="12"/>
                <w:szCs w:val="12"/>
              </w:rPr>
            </w:pPr>
            <w:r>
              <w:rPr>
                <w:sz w:val="12"/>
                <w:szCs w:val="12"/>
                <w:spacing w:val="-1"/>
              </w:rPr>
              <w:t>坚蚧，粉蚣、吹</w:t>
            </w:r>
          </w:p>
          <w:p>
            <w:pPr>
              <w:pStyle w:val="TableText"/>
              <w:ind w:left="160"/>
              <w:spacing w:line="218" w:lineRule="auto"/>
              <w:rPr>
                <w:sz w:val="12"/>
                <w:szCs w:val="12"/>
              </w:rPr>
            </w:pPr>
            <w:r>
              <w:rPr>
                <w:sz w:val="12"/>
                <w:szCs w:val="12"/>
                <w:spacing w:val="-1"/>
              </w:rPr>
              <w:t>棉蚧、盾蚧</w:t>
            </w:r>
          </w:p>
        </w:tc>
        <w:tc>
          <w:tcPr>
            <w:tcW w:w="2668" w:type="dxa"/>
            <w:vAlign w:val="top"/>
            <w:vMerge w:val="restart"/>
            <w:tcBorders>
              <w:bottom w:val="nil"/>
            </w:tcBorders>
          </w:tcPr>
          <w:p>
            <w:pPr>
              <w:spacing w:line="455" w:lineRule="auto"/>
              <w:rPr>
                <w:rFonts w:ascii="Arial"/>
                <w:sz w:val="21"/>
              </w:rPr>
            </w:pPr>
            <w:r/>
          </w:p>
          <w:p>
            <w:pPr>
              <w:pStyle w:val="TableText"/>
              <w:ind w:left="11" w:right="13"/>
              <w:spacing w:before="39" w:line="211" w:lineRule="auto"/>
              <w:rPr>
                <w:sz w:val="12"/>
                <w:szCs w:val="12"/>
              </w:rPr>
            </w:pPr>
            <w:r>
              <w:rPr>
                <w:sz w:val="12"/>
                <w:szCs w:val="12"/>
                <w:spacing w:val="-1"/>
              </w:rPr>
              <w:t>一、3至5月份是介壳虫孵化盛期，是防治的一个关</w:t>
            </w:r>
            <w:r>
              <w:rPr>
                <w:sz w:val="12"/>
                <w:szCs w:val="12"/>
                <w:spacing w:val="15"/>
              </w:rPr>
              <w:t xml:space="preserve"> </w:t>
            </w:r>
            <w:r>
              <w:rPr>
                <w:sz w:val="12"/>
                <w:szCs w:val="12"/>
                <w:spacing w:val="-1"/>
              </w:rPr>
              <w:t>键时期：</w:t>
            </w:r>
          </w:p>
          <w:p>
            <w:pPr>
              <w:pStyle w:val="TableText"/>
              <w:ind w:left="1"/>
              <w:spacing w:before="16" w:line="200" w:lineRule="auto"/>
              <w:rPr>
                <w:sz w:val="12"/>
                <w:szCs w:val="12"/>
              </w:rPr>
            </w:pPr>
            <w:r>
              <w:rPr>
                <w:sz w:val="12"/>
                <w:szCs w:val="12"/>
              </w:rPr>
              <w:t>三、5-9月粉蜻危害桂花、海酮、扶桑等：</w:t>
            </w:r>
          </w:p>
          <w:p>
            <w:pPr>
              <w:pStyle w:val="TableText"/>
              <w:ind w:left="1" w:right="61" w:firstLine="19"/>
              <w:spacing w:before="1" w:line="227" w:lineRule="auto"/>
              <w:rPr>
                <w:sz w:val="12"/>
                <w:szCs w:val="12"/>
              </w:rPr>
            </w:pPr>
            <w:r>
              <w:rPr>
                <w:sz w:val="12"/>
                <w:szCs w:val="12"/>
                <w:spacing w:val="-1"/>
              </w:rPr>
              <w:t>三、10至12月份是介壳虫孵化盛期(福州龟蜡蛤第</w:t>
            </w:r>
            <w:r>
              <w:rPr>
                <w:sz w:val="12"/>
                <w:szCs w:val="12"/>
                <w:spacing w:val="18"/>
              </w:rPr>
              <w:t xml:space="preserve"> </w:t>
            </w:r>
            <w:r>
              <w:rPr>
                <w:sz w:val="12"/>
                <w:szCs w:val="12"/>
              </w:rPr>
              <w:t>二代的若虫已经开始出现》,也是防治的一个关键</w:t>
            </w:r>
            <w:r>
              <w:rPr>
                <w:sz w:val="12"/>
                <w:szCs w:val="12"/>
                <w:spacing w:val="2"/>
              </w:rPr>
              <w:t xml:space="preserve"> </w:t>
            </w:r>
            <w:r>
              <w:rPr>
                <w:sz w:val="12"/>
                <w:szCs w:val="12"/>
                <w:spacing w:val="-1"/>
              </w:rPr>
              <w:t>时期。</w:t>
            </w:r>
          </w:p>
        </w:tc>
        <w:tc>
          <w:tcPr>
            <w:tcW w:w="1259" w:type="dxa"/>
            <w:vAlign w:val="top"/>
          </w:tcPr>
          <w:p>
            <w:pPr>
              <w:pStyle w:val="TableText"/>
              <w:ind w:left="203"/>
              <w:spacing w:before="138" w:line="219" w:lineRule="auto"/>
              <w:rPr>
                <w:sz w:val="12"/>
                <w:szCs w:val="12"/>
              </w:rPr>
            </w:pPr>
            <w:r>
              <w:rPr>
                <w:sz w:val="12"/>
                <w:szCs w:val="12"/>
                <w:spacing w:val="3"/>
              </w:rPr>
              <w:t>速扑杀(杀扑磷)</w:t>
            </w:r>
          </w:p>
        </w:tc>
        <w:tc>
          <w:tcPr>
            <w:tcW w:w="1899" w:type="dxa"/>
            <w:vAlign w:val="top"/>
          </w:tcPr>
          <w:p>
            <w:pPr>
              <w:pStyle w:val="TableText"/>
              <w:ind w:left="524"/>
              <w:spacing w:before="138" w:line="219" w:lineRule="auto"/>
              <w:rPr>
                <w:sz w:val="12"/>
                <w:szCs w:val="12"/>
              </w:rPr>
            </w:pPr>
            <w:r>
              <w:rPr>
                <w:sz w:val="12"/>
                <w:szCs w:val="12"/>
                <w:spacing w:val="-1"/>
              </w:rPr>
              <w:t>二硫代磷酸酯类</w:t>
            </w:r>
          </w:p>
        </w:tc>
        <w:tc>
          <w:tcPr>
            <w:tcW w:w="1599" w:type="dxa"/>
            <w:vAlign w:val="top"/>
          </w:tcPr>
          <w:p>
            <w:pPr>
              <w:pStyle w:val="TableText"/>
              <w:ind w:left="225"/>
              <w:spacing w:before="138" w:line="220" w:lineRule="auto"/>
              <w:rPr>
                <w:sz w:val="12"/>
                <w:szCs w:val="12"/>
              </w:rPr>
            </w:pPr>
            <w:r>
              <w:rPr>
                <w:sz w:val="12"/>
                <w:szCs w:val="12"/>
                <w:spacing w:val="-1"/>
              </w:rPr>
              <w:t>40%乳油700-2000倍液</w:t>
            </w:r>
          </w:p>
        </w:tc>
        <w:tc>
          <w:tcPr>
            <w:tcW w:w="1029" w:type="dxa"/>
            <w:vAlign w:val="top"/>
            <w:vMerge w:val="restart"/>
            <w:tcBorders>
              <w:bottom w:val="nil"/>
            </w:tcBorders>
          </w:tcPr>
          <w:p>
            <w:pPr>
              <w:spacing w:line="327" w:lineRule="auto"/>
              <w:rPr>
                <w:rFonts w:ascii="Arial"/>
                <w:sz w:val="21"/>
              </w:rPr>
            </w:pPr>
            <w:r/>
          </w:p>
          <w:p>
            <w:pPr>
              <w:spacing w:line="327" w:lineRule="auto"/>
              <w:rPr>
                <w:rFonts w:ascii="Arial"/>
                <w:sz w:val="21"/>
              </w:rPr>
            </w:pPr>
            <w:r/>
          </w:p>
          <w:p>
            <w:pPr>
              <w:pStyle w:val="TableText"/>
              <w:spacing w:before="39" w:line="219" w:lineRule="auto"/>
              <w:jc w:val="right"/>
              <w:rPr>
                <w:sz w:val="12"/>
                <w:szCs w:val="12"/>
              </w:rPr>
            </w:pPr>
            <w:r>
              <w:rPr>
                <w:sz w:val="12"/>
                <w:szCs w:val="12"/>
                <w:spacing w:val="-2"/>
              </w:rPr>
              <w:t>一般用3次，时间间</w:t>
            </w:r>
          </w:p>
          <w:p>
            <w:pPr>
              <w:pStyle w:val="TableText"/>
              <w:spacing w:before="17" w:line="215" w:lineRule="auto"/>
              <w:jc w:val="right"/>
              <w:rPr>
                <w:sz w:val="12"/>
                <w:szCs w:val="12"/>
              </w:rPr>
            </w:pPr>
            <w:r>
              <w:rPr>
                <w:sz w:val="12"/>
                <w:szCs w:val="12"/>
                <w:spacing w:val="-2"/>
              </w:rPr>
              <w:t>隔7到10天，视现场</w:t>
            </w:r>
          </w:p>
          <w:p>
            <w:pPr>
              <w:pStyle w:val="TableText"/>
              <w:ind w:left="86"/>
              <w:spacing w:line="219" w:lineRule="auto"/>
              <w:rPr>
                <w:sz w:val="12"/>
                <w:szCs w:val="12"/>
              </w:rPr>
            </w:pPr>
            <w:r>
              <w:rPr>
                <w:sz w:val="12"/>
                <w:szCs w:val="12"/>
                <w:spacing w:val="-1"/>
              </w:rPr>
              <w:t>情况可增加次数</w:t>
            </w:r>
          </w:p>
        </w:tc>
        <w:tc>
          <w:tcPr>
            <w:tcW w:w="689" w:type="dxa"/>
            <w:vAlign w:val="top"/>
          </w:tcPr>
          <w:p>
            <w:pPr>
              <w:pStyle w:val="TableText"/>
              <w:ind w:left="97"/>
              <w:spacing w:before="138" w:line="221" w:lineRule="auto"/>
              <w:rPr>
                <w:sz w:val="12"/>
                <w:szCs w:val="12"/>
              </w:rPr>
            </w:pPr>
            <w:r>
              <w:rPr>
                <w:sz w:val="12"/>
                <w:szCs w:val="12"/>
                <w:spacing w:val="-1"/>
              </w:rPr>
              <w:t>300ml/瓶</w:t>
            </w:r>
          </w:p>
        </w:tc>
        <w:tc>
          <w:tcPr>
            <w:tcW w:w="2803" w:type="dxa"/>
            <w:vAlign w:val="top"/>
          </w:tcPr>
          <w:p>
            <w:pPr>
              <w:pStyle w:val="TableText"/>
              <w:ind w:left="17" w:right="150" w:hanging="9"/>
              <w:spacing w:before="67" w:line="232" w:lineRule="auto"/>
              <w:rPr>
                <w:sz w:val="12"/>
                <w:szCs w:val="12"/>
              </w:rPr>
            </w:pPr>
            <w:r>
              <w:rPr>
                <w:sz w:val="12"/>
                <w:szCs w:val="12"/>
              </w:rPr>
              <w:t>幼蛤盛发期为施药适期，防治蜡蚡类喷施7</w:t>
            </w:r>
            <w:r>
              <w:rPr>
                <w:sz w:val="12"/>
                <w:szCs w:val="12"/>
                <w:spacing w:val="-1"/>
              </w:rPr>
              <w:t>00-1500</w:t>
            </w:r>
            <w:r>
              <w:rPr>
                <w:sz w:val="12"/>
                <w:szCs w:val="12"/>
              </w:rPr>
              <w:t xml:space="preserve"> </w:t>
            </w:r>
            <w:r>
              <w:rPr>
                <w:sz w:val="12"/>
                <w:szCs w:val="12"/>
              </w:rPr>
              <w:t>倍液：防治盾蚧类喷施1500~2000倍液。</w:t>
            </w:r>
          </w:p>
        </w:tc>
      </w:tr>
      <w:tr>
        <w:trPr>
          <w:trHeight w:val="57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173"/>
              <w:spacing w:before="229" w:line="221" w:lineRule="auto"/>
              <w:rPr>
                <w:sz w:val="12"/>
                <w:szCs w:val="12"/>
              </w:rPr>
            </w:pPr>
            <w:r>
              <w:rPr>
                <w:sz w:val="12"/>
                <w:szCs w:val="12"/>
                <w:spacing w:val="-1"/>
              </w:rPr>
              <w:t>99.1%敌死虫乳油</w:t>
            </w:r>
          </w:p>
        </w:tc>
        <w:tc>
          <w:tcPr>
            <w:tcW w:w="1899" w:type="dxa"/>
            <w:vAlign w:val="top"/>
          </w:tcPr>
          <w:p>
            <w:pPr>
              <w:pStyle w:val="TableText"/>
              <w:ind w:left="164"/>
              <w:spacing w:before="228" w:line="219" w:lineRule="auto"/>
              <w:rPr>
                <w:sz w:val="12"/>
                <w:szCs w:val="12"/>
              </w:rPr>
            </w:pPr>
            <w:r>
              <w:rPr>
                <w:sz w:val="12"/>
                <w:szCs w:val="12"/>
                <w:spacing w:val="-1"/>
              </w:rPr>
              <w:t>高烷类，低芳香族矿物泊乳剂</w:t>
            </w:r>
          </w:p>
        </w:tc>
        <w:tc>
          <w:tcPr>
            <w:tcW w:w="1599" w:type="dxa"/>
            <w:vAlign w:val="top"/>
          </w:tcPr>
          <w:p>
            <w:pPr>
              <w:pStyle w:val="TableText"/>
              <w:ind w:left="525"/>
              <w:spacing w:before="229" w:line="220" w:lineRule="auto"/>
              <w:rPr>
                <w:sz w:val="12"/>
                <w:szCs w:val="12"/>
              </w:rPr>
            </w:pPr>
            <w:r>
              <w:rPr>
                <w:sz w:val="12"/>
                <w:szCs w:val="12"/>
                <w:spacing w:val="-1"/>
              </w:rPr>
              <w:t>200-300倍</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97"/>
              <w:spacing w:before="229" w:line="221" w:lineRule="auto"/>
              <w:rPr>
                <w:sz w:val="12"/>
                <w:szCs w:val="12"/>
              </w:rPr>
            </w:pPr>
            <w:r>
              <w:rPr>
                <w:sz w:val="12"/>
                <w:szCs w:val="12"/>
                <w:spacing w:val="-1"/>
              </w:rPr>
              <w:t>300ml/瓶</w:t>
            </w:r>
          </w:p>
        </w:tc>
        <w:tc>
          <w:tcPr>
            <w:tcW w:w="2803" w:type="dxa"/>
            <w:vAlign w:val="top"/>
          </w:tcPr>
          <w:p>
            <w:pPr>
              <w:pStyle w:val="TableText"/>
              <w:ind w:left="8"/>
              <w:spacing w:before="78" w:line="224" w:lineRule="auto"/>
              <w:jc w:val="both"/>
              <w:rPr>
                <w:sz w:val="12"/>
                <w:szCs w:val="12"/>
              </w:rPr>
            </w:pPr>
            <w:r>
              <w:rPr>
                <w:sz w:val="12"/>
                <w:szCs w:val="12"/>
                <w:spacing w:val="1"/>
              </w:rPr>
              <w:t>可用于防治二斑叶螨、红叶螨，圆翰、日本龟蜡翰、</w:t>
            </w:r>
            <w:r>
              <w:rPr>
                <w:sz w:val="12"/>
                <w:szCs w:val="12"/>
              </w:rPr>
              <w:t xml:space="preserve"> </w:t>
            </w:r>
            <w:r>
              <w:rPr>
                <w:sz w:val="12"/>
                <w:szCs w:val="12"/>
                <w:spacing w:val="-2"/>
              </w:rPr>
              <w:t>球坚吹格蚧、红圆蚧，木虱、粉風等多种害虫，该药</w:t>
            </w:r>
            <w:r>
              <w:rPr>
                <w:sz w:val="12"/>
                <w:szCs w:val="12"/>
                <w:spacing w:val="2"/>
              </w:rPr>
              <w:t xml:space="preserve">  </w:t>
            </w:r>
            <w:r>
              <w:rPr>
                <w:sz w:val="12"/>
                <w:szCs w:val="12"/>
                <w:spacing w:val="-2"/>
              </w:rPr>
              <w:t>剂低毒，对人、畜低毒；对蜜蜂、鸟类部较安全</w:t>
            </w:r>
          </w:p>
        </w:tc>
      </w:tr>
      <w:tr>
        <w:trPr>
          <w:trHeight w:val="24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59" w:line="219" w:lineRule="auto"/>
              <w:rPr>
                <w:sz w:val="12"/>
                <w:szCs w:val="12"/>
              </w:rPr>
            </w:pPr>
            <w:r>
              <w:rPr>
                <w:sz w:val="12"/>
                <w:szCs w:val="12"/>
                <w:spacing w:val="2"/>
              </w:rPr>
              <w:t>国光蜂必治</w:t>
            </w:r>
          </w:p>
        </w:tc>
        <w:tc>
          <w:tcPr>
            <w:tcW w:w="1899" w:type="dxa"/>
            <w:vAlign w:val="top"/>
          </w:tcPr>
          <w:p>
            <w:pPr>
              <w:pStyle w:val="TableText"/>
              <w:ind w:left="374"/>
              <w:spacing w:before="59" w:line="219" w:lineRule="auto"/>
              <w:rPr>
                <w:sz w:val="12"/>
                <w:szCs w:val="12"/>
              </w:rPr>
            </w:pPr>
            <w:r>
              <w:rPr>
                <w:sz w:val="12"/>
                <w:szCs w:val="12"/>
                <w:spacing w:val="-1"/>
              </w:rPr>
              <w:t>40%啶虫脉毒死婢乳油</w:t>
            </w:r>
          </w:p>
        </w:tc>
        <w:tc>
          <w:tcPr>
            <w:tcW w:w="1599" w:type="dxa"/>
            <w:vAlign w:val="top"/>
          </w:tcPr>
          <w:p>
            <w:pPr>
              <w:pStyle w:val="TableText"/>
              <w:ind w:left="405"/>
              <w:spacing w:before="60" w:line="220" w:lineRule="auto"/>
              <w:rPr>
                <w:sz w:val="12"/>
                <w:szCs w:val="12"/>
              </w:rPr>
            </w:pPr>
            <w:r>
              <w:rPr>
                <w:sz w:val="12"/>
                <w:szCs w:val="12"/>
                <w:spacing w:val="-1"/>
              </w:rPr>
              <w:t>2000-3000倍液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27"/>
              <w:spacing w:before="55" w:line="214" w:lineRule="auto"/>
              <w:rPr>
                <w:sz w:val="12"/>
                <w:szCs w:val="12"/>
              </w:rPr>
            </w:pPr>
            <w:r>
              <w:rPr>
                <w:sz w:val="12"/>
                <w:szCs w:val="12"/>
                <w:spacing w:val="-1"/>
              </w:rPr>
              <w:t>200g/瓶</w:t>
            </w:r>
          </w:p>
        </w:tc>
        <w:tc>
          <w:tcPr>
            <w:tcW w:w="2803" w:type="dxa"/>
            <w:vAlign w:val="top"/>
          </w:tcPr>
          <w:p>
            <w:pPr>
              <w:pStyle w:val="TableText"/>
              <w:ind w:left="8"/>
              <w:spacing w:before="59" w:line="219" w:lineRule="auto"/>
              <w:rPr>
                <w:sz w:val="12"/>
                <w:szCs w:val="12"/>
              </w:rPr>
            </w:pPr>
            <w:r>
              <w:rPr>
                <w:sz w:val="12"/>
                <w:szCs w:val="12"/>
                <w:spacing w:val="-1"/>
              </w:rPr>
              <w:t>专杀介壳虫，食叶类害虫，地下害虫</w:t>
            </w:r>
          </w:p>
        </w:tc>
      </w:tr>
      <w:tr>
        <w:trPr>
          <w:trHeight w:val="27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80" w:line="220" w:lineRule="auto"/>
              <w:rPr>
                <w:sz w:val="12"/>
                <w:szCs w:val="12"/>
              </w:rPr>
            </w:pPr>
            <w:r>
              <w:rPr>
                <w:sz w:val="12"/>
                <w:szCs w:val="12"/>
                <w:spacing w:val="1"/>
              </w:rPr>
              <w:t>中威排捉手</w:t>
            </w:r>
          </w:p>
        </w:tc>
        <w:tc>
          <w:tcPr>
            <w:tcW w:w="1899" w:type="dxa"/>
            <w:vAlign w:val="top"/>
          </w:tcPr>
          <w:p>
            <w:pPr>
              <w:pStyle w:val="TableText"/>
              <w:ind w:left="494"/>
              <w:spacing w:before="79" w:line="219" w:lineRule="auto"/>
              <w:rPr>
                <w:sz w:val="12"/>
                <w:szCs w:val="12"/>
              </w:rPr>
            </w:pPr>
            <w:r>
              <w:rPr>
                <w:sz w:val="12"/>
                <w:szCs w:val="12"/>
                <w:spacing w:val="-6"/>
              </w:rPr>
              <w:t>高氧</w:t>
            </w:r>
            <w:r>
              <w:rPr>
                <w:sz w:val="12"/>
                <w:szCs w:val="12"/>
                <w:spacing w:val="-15"/>
              </w:rPr>
              <w:t xml:space="preserve"> </w:t>
            </w:r>
            <w:r>
              <w:rPr>
                <w:sz w:val="12"/>
                <w:szCs w:val="12"/>
                <w:spacing w:val="-6"/>
              </w:rPr>
              <w:t>·毒死螂15%</w:t>
            </w:r>
          </w:p>
        </w:tc>
        <w:tc>
          <w:tcPr>
            <w:tcW w:w="1599" w:type="dxa"/>
            <w:vAlign w:val="top"/>
          </w:tcPr>
          <w:p>
            <w:pPr>
              <w:pStyle w:val="TableText"/>
              <w:ind w:left="405"/>
              <w:spacing w:before="80" w:line="220" w:lineRule="auto"/>
              <w:rPr>
                <w:sz w:val="12"/>
                <w:szCs w:val="12"/>
              </w:rPr>
            </w:pPr>
            <w:r>
              <w:rPr>
                <w:sz w:val="12"/>
                <w:szCs w:val="12"/>
                <w:spacing w:val="-2"/>
              </w:rPr>
              <w:t>1000-1500倍液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97"/>
              <w:spacing w:before="80" w:line="221" w:lineRule="auto"/>
              <w:rPr>
                <w:sz w:val="12"/>
                <w:szCs w:val="12"/>
              </w:rPr>
            </w:pPr>
            <w:r>
              <w:rPr>
                <w:sz w:val="12"/>
                <w:szCs w:val="12"/>
                <w:spacing w:val="-1"/>
              </w:rPr>
              <w:t>200ml/瓶</w:t>
            </w:r>
          </w:p>
        </w:tc>
        <w:tc>
          <w:tcPr>
            <w:tcW w:w="2803" w:type="dxa"/>
            <w:vAlign w:val="top"/>
          </w:tcPr>
          <w:p>
            <w:pPr>
              <w:pStyle w:val="TableText"/>
              <w:ind w:left="8"/>
              <w:spacing w:before="80" w:line="219" w:lineRule="auto"/>
              <w:rPr>
                <w:sz w:val="12"/>
                <w:szCs w:val="12"/>
              </w:rPr>
            </w:pPr>
            <w:r>
              <w:rPr>
                <w:sz w:val="12"/>
                <w:szCs w:val="12"/>
                <w:spacing w:val="-1"/>
              </w:rPr>
              <w:t>主要防治螃壳虫，斑潜蝇及麟辑目幼虫，飞虱等</w:t>
            </w:r>
          </w:p>
        </w:tc>
      </w:tr>
      <w:tr>
        <w:trPr>
          <w:trHeight w:val="27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59" w:type="dxa"/>
            <w:vAlign w:val="top"/>
          </w:tcPr>
          <w:p>
            <w:pPr>
              <w:pStyle w:val="TableText"/>
              <w:ind w:left="263"/>
              <w:spacing w:before="79" w:line="219" w:lineRule="auto"/>
              <w:rPr>
                <w:sz w:val="12"/>
                <w:szCs w:val="12"/>
              </w:rPr>
            </w:pPr>
            <w:r>
              <w:rPr>
                <w:sz w:val="12"/>
                <w:szCs w:val="12"/>
                <w:spacing w:val="-1"/>
              </w:rPr>
              <w:t>诺普信速介清</w:t>
            </w:r>
          </w:p>
        </w:tc>
        <w:tc>
          <w:tcPr>
            <w:tcW w:w="1899" w:type="dxa"/>
            <w:vAlign w:val="top"/>
          </w:tcPr>
          <w:p>
            <w:pPr>
              <w:pStyle w:val="TableText"/>
              <w:ind w:left="674"/>
              <w:spacing w:before="79" w:line="219" w:lineRule="auto"/>
              <w:rPr>
                <w:sz w:val="12"/>
                <w:szCs w:val="12"/>
              </w:rPr>
            </w:pPr>
            <w:r>
              <w:rPr>
                <w:sz w:val="12"/>
                <w:szCs w:val="12"/>
                <w:spacing w:val="-2"/>
              </w:rPr>
              <w:t>杀扑磷40%</w:t>
            </w:r>
          </w:p>
        </w:tc>
        <w:tc>
          <w:tcPr>
            <w:tcW w:w="1599" w:type="dxa"/>
            <w:vAlign w:val="top"/>
          </w:tcPr>
          <w:p>
            <w:pPr>
              <w:pStyle w:val="TableText"/>
              <w:ind w:left="465"/>
              <w:spacing w:before="80" w:line="220" w:lineRule="auto"/>
              <w:rPr>
                <w:sz w:val="12"/>
                <w:szCs w:val="12"/>
              </w:rPr>
            </w:pPr>
            <w:r>
              <w:rPr>
                <w:sz w:val="12"/>
                <w:szCs w:val="12"/>
                <w:spacing w:val="-2"/>
              </w:rPr>
              <w:t>1000-1500倍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67"/>
              <w:spacing w:before="80" w:line="221" w:lineRule="auto"/>
              <w:rPr>
                <w:sz w:val="12"/>
                <w:szCs w:val="12"/>
              </w:rPr>
            </w:pPr>
            <w:r>
              <w:rPr>
                <w:sz w:val="12"/>
                <w:szCs w:val="12"/>
                <w:spacing w:val="-2"/>
              </w:rPr>
              <w:t>1000ml/瓶</w:t>
            </w:r>
          </w:p>
        </w:tc>
        <w:tc>
          <w:tcPr>
            <w:tcW w:w="2803" w:type="dxa"/>
            <w:vAlign w:val="top"/>
          </w:tcPr>
          <w:p>
            <w:pPr>
              <w:pStyle w:val="TableText"/>
              <w:ind w:left="8"/>
              <w:spacing w:before="79" w:line="219" w:lineRule="auto"/>
              <w:rPr>
                <w:sz w:val="12"/>
                <w:szCs w:val="12"/>
              </w:rPr>
            </w:pPr>
            <w:r>
              <w:rPr>
                <w:sz w:val="12"/>
                <w:szCs w:val="12"/>
                <w:spacing w:val="-1"/>
              </w:rPr>
              <w:t>杀灭介壳虫，活性高</w:t>
            </w:r>
          </w:p>
        </w:tc>
      </w:tr>
      <w:tr>
        <w:trPr>
          <w:trHeight w:val="509" w:hRule="atLeast"/>
        </w:trPr>
        <w:tc>
          <w:tcPr>
            <w:tcW w:w="415" w:type="dxa"/>
            <w:vAlign w:val="top"/>
            <w:vMerge w:val="continue"/>
            <w:tcBorders>
              <w:top w:val="nil"/>
              <w:bottom w:val="nil"/>
            </w:tcBorders>
          </w:tcPr>
          <w:p>
            <w:pPr>
              <w:rPr>
                <w:rFonts w:ascii="Arial"/>
                <w:sz w:val="21"/>
              </w:rPr>
            </w:pPr>
            <w:r/>
          </w:p>
        </w:tc>
        <w:tc>
          <w:tcPr>
            <w:tcW w:w="520" w:type="dxa"/>
            <w:vAlign w:val="top"/>
            <w:vMerge w:val="restart"/>
            <w:tcBorders>
              <w:bottom w:val="nil"/>
            </w:tcBorders>
          </w:tcPr>
          <w:p>
            <w:pPr>
              <w:spacing w:line="298" w:lineRule="auto"/>
              <w:rPr>
                <w:rFonts w:ascii="Arial"/>
                <w:sz w:val="21"/>
              </w:rPr>
            </w:pPr>
            <w:r/>
          </w:p>
          <w:p>
            <w:pPr>
              <w:spacing w:line="298" w:lineRule="auto"/>
              <w:rPr>
                <w:rFonts w:ascii="Arial"/>
                <w:sz w:val="21"/>
              </w:rPr>
            </w:pPr>
            <w:r/>
          </w:p>
          <w:p>
            <w:pPr>
              <w:spacing w:line="299" w:lineRule="auto"/>
              <w:rPr>
                <w:rFonts w:ascii="Arial"/>
                <w:sz w:val="21"/>
              </w:rPr>
            </w:pPr>
            <w:r/>
          </w:p>
          <w:p>
            <w:pPr>
              <w:pStyle w:val="TableText"/>
              <w:ind w:left="10"/>
              <w:spacing w:before="39" w:line="219" w:lineRule="auto"/>
              <w:rPr>
                <w:sz w:val="12"/>
                <w:szCs w:val="12"/>
              </w:rPr>
            </w:pPr>
            <w:r>
              <w:rPr>
                <w:sz w:val="12"/>
                <w:szCs w:val="12"/>
                <w:spacing w:val="-1"/>
              </w:rPr>
              <w:t>刺吸害虫</w:t>
            </w:r>
          </w:p>
        </w:tc>
        <w:tc>
          <w:tcPr>
            <w:tcW w:w="949" w:type="dxa"/>
            <w:vAlign w:val="top"/>
            <w:vMerge w:val="restart"/>
            <w:tcBorders>
              <w:bottom w:val="nil"/>
            </w:tcBorders>
          </w:tcPr>
          <w:p>
            <w:pPr>
              <w:spacing w:line="343" w:lineRule="auto"/>
              <w:rPr>
                <w:rFonts w:ascii="Arial"/>
                <w:sz w:val="21"/>
              </w:rPr>
            </w:pPr>
            <w:r/>
          </w:p>
          <w:p>
            <w:pPr>
              <w:spacing w:line="343" w:lineRule="auto"/>
              <w:rPr>
                <w:rFonts w:ascii="Arial"/>
                <w:sz w:val="21"/>
              </w:rPr>
            </w:pPr>
            <w:r/>
          </w:p>
          <w:p>
            <w:pPr>
              <w:pStyle w:val="TableText"/>
              <w:ind w:left="20" w:right="65" w:firstLine="19"/>
              <w:spacing w:before="39" w:line="231" w:lineRule="auto"/>
              <w:rPr>
                <w:sz w:val="12"/>
                <w:szCs w:val="12"/>
              </w:rPr>
            </w:pPr>
            <w:r>
              <w:rPr>
                <w:sz w:val="12"/>
                <w:szCs w:val="12"/>
                <w:spacing w:val="-1"/>
              </w:rPr>
              <w:t>芒果瘿蚊、蚜虫</w:t>
            </w:r>
            <w:r>
              <w:rPr>
                <w:sz w:val="12"/>
                <w:szCs w:val="12"/>
              </w:rPr>
              <w:t xml:space="preserve"> </w:t>
            </w:r>
            <w:r>
              <w:rPr>
                <w:sz w:val="12"/>
                <w:szCs w:val="12"/>
                <w:spacing w:val="10"/>
              </w:rPr>
              <w:t>木虱、粉虱、</w:t>
            </w:r>
          </w:p>
          <w:p>
            <w:pPr>
              <w:pStyle w:val="TableText"/>
              <w:ind w:left="10" w:right="71" w:firstLine="29"/>
              <w:spacing w:line="217" w:lineRule="auto"/>
              <w:rPr>
                <w:sz w:val="12"/>
                <w:szCs w:val="12"/>
              </w:rPr>
            </w:pPr>
            <w:r>
              <w:rPr>
                <w:sz w:val="12"/>
                <w:szCs w:val="12"/>
                <w:spacing w:val="-2"/>
              </w:rPr>
              <w:t>叶螨类、叶鲜类</w:t>
            </w:r>
            <w:r>
              <w:rPr>
                <w:sz w:val="12"/>
                <w:szCs w:val="12"/>
              </w:rPr>
              <w:t xml:space="preserve"> </w:t>
            </w:r>
            <w:r>
              <w:rPr>
                <w:sz w:val="12"/>
                <w:szCs w:val="12"/>
                <w:spacing w:val="-4"/>
              </w:rPr>
              <w:t>、薪马类</w:t>
            </w:r>
          </w:p>
        </w:tc>
        <w:tc>
          <w:tcPr>
            <w:tcW w:w="2668" w:type="dxa"/>
            <w:vAlign w:val="top"/>
            <w:vMerge w:val="restart"/>
            <w:tcBorders>
              <w:bottom w:val="nil"/>
            </w:tcBorders>
          </w:tcPr>
          <w:p>
            <w:pPr>
              <w:pStyle w:val="TableText"/>
              <w:ind w:left="1"/>
              <w:spacing w:before="80" w:line="217" w:lineRule="auto"/>
              <w:rPr>
                <w:sz w:val="12"/>
                <w:szCs w:val="12"/>
              </w:rPr>
            </w:pPr>
            <w:r>
              <w:rPr>
                <w:sz w:val="12"/>
                <w:szCs w:val="12"/>
              </w:rPr>
              <w:t>一、3至5月：木烈类：主要危害盆架木、小叶格、</w:t>
            </w:r>
            <w:r>
              <w:rPr>
                <w:sz w:val="12"/>
                <w:szCs w:val="12"/>
                <w:spacing w:val="15"/>
                <w:w w:val="101"/>
              </w:rPr>
              <w:t xml:space="preserve"> </w:t>
            </w:r>
            <w:r>
              <w:rPr>
                <w:sz w:val="12"/>
                <w:szCs w:val="12"/>
                <w:spacing w:val="-2"/>
              </w:rPr>
              <w:t>合欢等。榕树、竹子，桃树、刺桐等易受红蜘蛛的</w:t>
            </w:r>
            <w:r>
              <w:rPr>
                <w:sz w:val="12"/>
                <w:szCs w:val="12"/>
                <w:spacing w:val="2"/>
              </w:rPr>
              <w:t xml:space="preserve">  </w:t>
            </w:r>
            <w:r>
              <w:rPr>
                <w:sz w:val="12"/>
                <w:szCs w:val="12"/>
                <w:spacing w:val="-2"/>
              </w:rPr>
              <w:t>危害：</w:t>
            </w:r>
          </w:p>
          <w:p>
            <w:pPr>
              <w:pStyle w:val="TableText"/>
              <w:ind w:left="1" w:right="13" w:firstLine="9"/>
              <w:spacing w:before="6" w:line="231" w:lineRule="auto"/>
              <w:rPr>
                <w:sz w:val="12"/>
                <w:szCs w:val="12"/>
              </w:rPr>
            </w:pPr>
            <w:r>
              <w:rPr>
                <w:sz w:val="12"/>
                <w:szCs w:val="12"/>
                <w:spacing w:val="-1"/>
              </w:rPr>
              <w:t>二、3-10月均有蚜虫危害：月季、扶桑、紫薇、竹</w:t>
            </w:r>
            <w:r>
              <w:rPr>
                <w:sz w:val="12"/>
                <w:szCs w:val="12"/>
                <w:spacing w:val="16"/>
              </w:rPr>
              <w:t xml:space="preserve"> </w:t>
            </w:r>
            <w:r>
              <w:rPr>
                <w:sz w:val="12"/>
                <w:szCs w:val="12"/>
              </w:rPr>
              <w:t>子等都容易受蚜虫的危害：</w:t>
            </w:r>
          </w:p>
          <w:p>
            <w:pPr>
              <w:pStyle w:val="TableText"/>
              <w:ind w:left="11"/>
              <w:spacing w:line="209" w:lineRule="auto"/>
              <w:rPr>
                <w:sz w:val="12"/>
                <w:szCs w:val="12"/>
              </w:rPr>
            </w:pPr>
            <w:r>
              <w:rPr>
                <w:sz w:val="12"/>
                <w:szCs w:val="12"/>
                <w:spacing w:val="-3"/>
              </w:rPr>
              <w:t>三、7-8月份，木風第二代开始危害盆架木，在叶片</w:t>
            </w:r>
            <w:r>
              <w:rPr>
                <w:sz w:val="12"/>
                <w:szCs w:val="12"/>
                <w:spacing w:val="17"/>
                <w:w w:val="101"/>
              </w:rPr>
              <w:t xml:space="preserve"> </w:t>
            </w:r>
            <w:r>
              <w:rPr>
                <w:sz w:val="12"/>
                <w:szCs w:val="12"/>
                <w:spacing w:val="-1"/>
              </w:rPr>
              <w:t>上易形成小包，小包随看幼虫长大而变大：</w:t>
            </w:r>
          </w:p>
          <w:p>
            <w:pPr>
              <w:pStyle w:val="TableText"/>
              <w:ind w:left="120" w:hanging="99"/>
              <w:spacing w:before="16" w:line="210" w:lineRule="auto"/>
              <w:rPr>
                <w:sz w:val="12"/>
                <w:szCs w:val="12"/>
              </w:rPr>
            </w:pPr>
            <w:r>
              <w:rPr>
                <w:sz w:val="12"/>
                <w:szCs w:val="12"/>
              </w:rPr>
              <w:t>四、9-11月是红蜘蛛危害树木最严重的</w:t>
            </w:r>
            <w:r>
              <w:rPr>
                <w:sz w:val="12"/>
                <w:szCs w:val="12"/>
                <w:spacing w:val="-1"/>
              </w:rPr>
              <w:t>时期，格树</w:t>
            </w:r>
            <w:r>
              <w:rPr>
                <w:sz w:val="12"/>
                <w:szCs w:val="12"/>
              </w:rPr>
              <w:t xml:space="preserve"> </w:t>
            </w:r>
            <w:r>
              <w:rPr>
                <w:sz w:val="12"/>
                <w:szCs w:val="12"/>
                <w:spacing w:val="-1"/>
              </w:rPr>
              <w:t>竹子、桃树、刺桐等易受红归蛛的危害，虫聚生</w:t>
            </w:r>
          </w:p>
          <w:p>
            <w:pPr>
              <w:pStyle w:val="TableText"/>
              <w:ind w:left="1" w:right="13" w:firstLine="9"/>
              <w:spacing w:before="8" w:line="210" w:lineRule="auto"/>
              <w:rPr>
                <w:sz w:val="12"/>
                <w:szCs w:val="12"/>
              </w:rPr>
            </w:pPr>
            <w:r>
              <w:rPr>
                <w:sz w:val="12"/>
                <w:szCs w:val="12"/>
                <w:spacing w:val="-1"/>
              </w:rPr>
              <w:t>于叶片背面吸食汁液，初使叶片失绿，最终造成叶</w:t>
            </w:r>
            <w:r>
              <w:rPr>
                <w:sz w:val="12"/>
                <w:szCs w:val="12"/>
                <w:spacing w:val="14"/>
              </w:rPr>
              <w:t xml:space="preserve"> </w:t>
            </w:r>
            <w:r>
              <w:rPr>
                <w:sz w:val="12"/>
                <w:szCs w:val="12"/>
                <w:spacing w:val="-1"/>
              </w:rPr>
              <w:t>片脱落：</w:t>
            </w:r>
          </w:p>
          <w:p>
            <w:pPr>
              <w:pStyle w:val="TableText"/>
              <w:ind w:left="1" w:right="17"/>
              <w:spacing w:before="17" w:line="236" w:lineRule="auto"/>
              <w:rPr>
                <w:sz w:val="12"/>
                <w:szCs w:val="12"/>
              </w:rPr>
            </w:pPr>
            <w:r>
              <w:rPr>
                <w:sz w:val="12"/>
                <w:szCs w:val="12"/>
              </w:rPr>
              <w:t>五、12月-2月危害程度有所下降，注意清洁园</w:t>
            </w:r>
            <w:r>
              <w:rPr>
                <w:sz w:val="12"/>
                <w:szCs w:val="12"/>
                <w:spacing w:val="-1"/>
              </w:rPr>
              <w:t>匿。</w:t>
            </w:r>
            <w:r>
              <w:rPr>
                <w:sz w:val="12"/>
                <w:szCs w:val="12"/>
              </w:rPr>
              <w:t xml:space="preserve"> </w:t>
            </w:r>
            <w:r>
              <w:rPr>
                <w:sz w:val="12"/>
                <w:szCs w:val="12"/>
                <w:spacing w:val="-1"/>
              </w:rPr>
              <w:t>结合冬季修剪，剪除替病虫枝叶。</w:t>
            </w:r>
          </w:p>
        </w:tc>
        <w:tc>
          <w:tcPr>
            <w:tcW w:w="1259" w:type="dxa"/>
            <w:vAlign w:val="top"/>
          </w:tcPr>
          <w:p>
            <w:pPr>
              <w:pStyle w:val="TableText"/>
              <w:ind w:left="443"/>
              <w:spacing w:before="200" w:line="220" w:lineRule="auto"/>
              <w:rPr>
                <w:sz w:val="12"/>
                <w:szCs w:val="12"/>
              </w:rPr>
            </w:pPr>
            <w:r>
              <w:rPr>
                <w:sz w:val="12"/>
                <w:szCs w:val="12"/>
                <w:spacing w:val="-2"/>
              </w:rPr>
              <w:t>艾美乐</w:t>
            </w:r>
          </w:p>
        </w:tc>
        <w:tc>
          <w:tcPr>
            <w:tcW w:w="1899" w:type="dxa"/>
            <w:vAlign w:val="top"/>
          </w:tcPr>
          <w:p>
            <w:pPr>
              <w:pStyle w:val="TableText"/>
              <w:ind w:left="764"/>
              <w:spacing w:before="200" w:line="220" w:lineRule="auto"/>
              <w:rPr>
                <w:sz w:val="12"/>
                <w:szCs w:val="12"/>
              </w:rPr>
            </w:pPr>
            <w:r>
              <w:rPr>
                <w:sz w:val="12"/>
                <w:szCs w:val="12"/>
                <w:spacing w:val="-3"/>
              </w:rPr>
              <w:t>吡虫啉</w:t>
            </w:r>
          </w:p>
        </w:tc>
        <w:tc>
          <w:tcPr>
            <w:tcW w:w="1599" w:type="dxa"/>
            <w:vAlign w:val="top"/>
          </w:tcPr>
          <w:p>
            <w:pPr>
              <w:pStyle w:val="TableText"/>
              <w:spacing w:before="199" w:line="219" w:lineRule="auto"/>
              <w:jc w:val="right"/>
              <w:rPr>
                <w:sz w:val="12"/>
                <w:szCs w:val="12"/>
              </w:rPr>
            </w:pPr>
            <w:r>
              <w:rPr>
                <w:sz w:val="12"/>
                <w:szCs w:val="12"/>
                <w:spacing w:val="-3"/>
              </w:rPr>
              <w:t>70%水分散粒刺5000-10000倍液</w:t>
            </w:r>
          </w:p>
        </w:tc>
        <w:tc>
          <w:tcPr>
            <w:tcW w:w="1029" w:type="dxa"/>
            <w:vAlign w:val="top"/>
          </w:tcPr>
          <w:p>
            <w:pPr>
              <w:pStyle w:val="TableText"/>
              <w:ind w:left="36" w:right="30" w:firstLine="19"/>
              <w:spacing w:before="49" w:line="233" w:lineRule="auto"/>
              <w:rPr>
                <w:sz w:val="12"/>
                <w:szCs w:val="12"/>
              </w:rPr>
            </w:pPr>
            <w:r>
              <w:rPr>
                <w:sz w:val="12"/>
                <w:szCs w:val="12"/>
                <w:spacing w:val="-1"/>
              </w:rPr>
              <w:t>每10-15天用药一</w:t>
            </w:r>
            <w:r>
              <w:rPr>
                <w:sz w:val="12"/>
                <w:szCs w:val="12"/>
                <w:spacing w:val="4"/>
              </w:rPr>
              <w:t xml:space="preserve"> </w:t>
            </w:r>
            <w:r>
              <w:rPr>
                <w:sz w:val="12"/>
                <w:szCs w:val="12"/>
                <w:spacing w:val="-1"/>
              </w:rPr>
              <w:t>次，连续使用不得</w:t>
            </w:r>
          </w:p>
          <w:p>
            <w:pPr>
              <w:pStyle w:val="TableText"/>
              <w:ind w:left="266"/>
              <w:spacing w:before="7" w:line="214" w:lineRule="auto"/>
              <w:rPr>
                <w:sz w:val="12"/>
                <w:szCs w:val="12"/>
              </w:rPr>
            </w:pPr>
            <w:r>
              <w:rPr>
                <w:sz w:val="12"/>
                <w:szCs w:val="12"/>
                <w:spacing w:val="-1"/>
              </w:rPr>
              <w:t>超过两次</w:t>
            </w:r>
          </w:p>
        </w:tc>
        <w:tc>
          <w:tcPr>
            <w:tcW w:w="689" w:type="dxa"/>
            <w:vAlign w:val="top"/>
          </w:tcPr>
          <w:p>
            <w:pPr>
              <w:pStyle w:val="TableText"/>
              <w:ind w:left="187"/>
              <w:spacing w:before="195" w:line="214" w:lineRule="auto"/>
              <w:rPr>
                <w:sz w:val="12"/>
                <w:szCs w:val="12"/>
              </w:rPr>
            </w:pPr>
            <w:r>
              <w:rPr>
                <w:sz w:val="12"/>
                <w:szCs w:val="12"/>
                <w:spacing w:val="-3"/>
              </w:rPr>
              <w:t>1g/包</w:t>
            </w:r>
          </w:p>
        </w:tc>
        <w:tc>
          <w:tcPr>
            <w:tcW w:w="2803" w:type="dxa"/>
            <w:vAlign w:val="top"/>
          </w:tcPr>
          <w:p>
            <w:pPr>
              <w:pStyle w:val="TableText"/>
              <w:ind w:left="8"/>
              <w:spacing w:before="199" w:line="219" w:lineRule="auto"/>
              <w:rPr>
                <w:sz w:val="12"/>
                <w:szCs w:val="12"/>
              </w:rPr>
            </w:pPr>
            <w:r>
              <w:rPr>
                <w:sz w:val="12"/>
                <w:szCs w:val="12"/>
                <w:spacing w:val="-1"/>
              </w:rPr>
              <w:t>防治蚜虫、叶蝉刺吸类害虫</w:t>
            </w:r>
          </w:p>
        </w:tc>
      </w:tr>
      <w:tr>
        <w:trPr>
          <w:trHeight w:val="35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263"/>
              <w:spacing w:before="120" w:line="219" w:lineRule="auto"/>
              <w:rPr>
                <w:sz w:val="12"/>
                <w:szCs w:val="12"/>
              </w:rPr>
            </w:pPr>
            <w:r>
              <w:rPr>
                <w:sz w:val="12"/>
                <w:szCs w:val="12"/>
                <w:spacing w:val="-1"/>
              </w:rPr>
              <w:t>先正达阿克奉</w:t>
            </w:r>
          </w:p>
        </w:tc>
        <w:tc>
          <w:tcPr>
            <w:tcW w:w="1899" w:type="dxa"/>
            <w:vAlign w:val="top"/>
          </w:tcPr>
          <w:p>
            <w:pPr>
              <w:pStyle w:val="TableText"/>
              <w:ind w:left="764"/>
              <w:spacing w:before="120" w:line="219" w:lineRule="auto"/>
              <w:rPr>
                <w:sz w:val="12"/>
                <w:szCs w:val="12"/>
              </w:rPr>
            </w:pPr>
            <w:r>
              <w:rPr>
                <w:sz w:val="12"/>
                <w:szCs w:val="12"/>
                <w:spacing w:val="-2"/>
              </w:rPr>
              <w:t>烟碱类</w:t>
            </w:r>
          </w:p>
        </w:tc>
        <w:tc>
          <w:tcPr>
            <w:tcW w:w="1599" w:type="dxa"/>
            <w:vAlign w:val="top"/>
          </w:tcPr>
          <w:p>
            <w:pPr>
              <w:pStyle w:val="TableText"/>
              <w:ind w:left="105"/>
              <w:spacing w:before="120" w:line="219" w:lineRule="auto"/>
              <w:rPr>
                <w:sz w:val="12"/>
                <w:szCs w:val="12"/>
              </w:rPr>
            </w:pPr>
            <w:r>
              <w:rPr>
                <w:sz w:val="12"/>
                <w:szCs w:val="12"/>
                <w:spacing w:val="-1"/>
              </w:rPr>
              <w:t>25M阿克泰水分粒剂1500倍</w:t>
            </w:r>
          </w:p>
        </w:tc>
        <w:tc>
          <w:tcPr>
            <w:tcW w:w="1029" w:type="dxa"/>
            <w:vAlign w:val="top"/>
          </w:tcPr>
          <w:p>
            <w:pPr>
              <w:pStyle w:val="TableText"/>
              <w:ind w:left="16" w:firstLine="39"/>
              <w:spacing w:before="60" w:line="210" w:lineRule="auto"/>
              <w:rPr>
                <w:sz w:val="12"/>
                <w:szCs w:val="12"/>
              </w:rPr>
            </w:pPr>
            <w:r>
              <w:rPr>
                <w:sz w:val="12"/>
                <w:szCs w:val="12"/>
                <w:spacing w:val="-2"/>
              </w:rPr>
              <w:t>每10-15天用药一</w:t>
            </w:r>
            <w:r>
              <w:rPr>
                <w:sz w:val="12"/>
                <w:szCs w:val="12"/>
                <w:spacing w:val="3"/>
              </w:rPr>
              <w:t xml:space="preserve">  </w:t>
            </w:r>
            <w:r>
              <w:rPr>
                <w:sz w:val="12"/>
                <w:szCs w:val="12"/>
                <w:spacing w:val="-2"/>
              </w:rPr>
              <w:t>次，连续使用2-3次</w:t>
            </w:r>
          </w:p>
        </w:tc>
        <w:tc>
          <w:tcPr>
            <w:tcW w:w="689" w:type="dxa"/>
            <w:vAlign w:val="top"/>
          </w:tcPr>
          <w:p>
            <w:pPr>
              <w:pStyle w:val="TableText"/>
              <w:ind w:left="127"/>
              <w:spacing w:before="116" w:line="214" w:lineRule="auto"/>
              <w:rPr>
                <w:sz w:val="12"/>
                <w:szCs w:val="12"/>
              </w:rPr>
            </w:pPr>
            <w:r>
              <w:rPr>
                <w:sz w:val="12"/>
                <w:szCs w:val="12"/>
                <w:spacing w:val="-2"/>
              </w:rPr>
              <w:t>100g/袋</w:t>
            </w:r>
          </w:p>
        </w:tc>
        <w:tc>
          <w:tcPr>
            <w:tcW w:w="2803" w:type="dxa"/>
            <w:vAlign w:val="top"/>
          </w:tcPr>
          <w:p>
            <w:pPr>
              <w:pStyle w:val="TableText"/>
              <w:ind w:left="8" w:right="30"/>
              <w:spacing w:before="60" w:line="218" w:lineRule="auto"/>
              <w:rPr>
                <w:sz w:val="12"/>
                <w:szCs w:val="12"/>
              </w:rPr>
            </w:pPr>
            <w:r>
              <w:rPr>
                <w:sz w:val="12"/>
                <w:szCs w:val="12"/>
                <w:spacing w:val="-1"/>
              </w:rPr>
              <w:t>有效防泊鳞翅目、稍翅日、搜翅目害虫。如各种蚜虫</w:t>
            </w:r>
            <w:r>
              <w:rPr>
                <w:sz w:val="12"/>
                <w:szCs w:val="12"/>
                <w:spacing w:val="16"/>
                <w:w w:val="101"/>
              </w:rPr>
              <w:t xml:space="preserve"> </w:t>
            </w:r>
            <w:r>
              <w:rPr>
                <w:sz w:val="12"/>
                <w:szCs w:val="12"/>
                <w:spacing w:val="-2"/>
              </w:rPr>
              <w:t>、叶鲜、粉虱，飞照等</w:t>
            </w:r>
          </w:p>
        </w:tc>
      </w:tr>
      <w:tr>
        <w:trPr>
          <w:trHeight w:val="34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82"/>
              <w:spacing w:before="122" w:line="219" w:lineRule="auto"/>
              <w:rPr>
                <w:sz w:val="12"/>
                <w:szCs w:val="12"/>
              </w:rPr>
            </w:pPr>
            <w:r>
              <w:rPr>
                <w:sz w:val="12"/>
                <w:szCs w:val="12"/>
                <w:spacing w:val="2"/>
              </w:rPr>
              <w:t>三氯杀蜻醇(开乐敖)</w:t>
            </w:r>
          </w:p>
        </w:tc>
        <w:tc>
          <w:tcPr>
            <w:tcW w:w="1899" w:type="dxa"/>
            <w:vAlign w:val="top"/>
          </w:tcPr>
          <w:p>
            <w:pPr>
              <w:pStyle w:val="TableText"/>
              <w:ind w:left="704"/>
              <w:spacing w:before="122" w:line="220" w:lineRule="auto"/>
              <w:rPr>
                <w:sz w:val="12"/>
                <w:szCs w:val="12"/>
              </w:rPr>
            </w:pPr>
            <w:r>
              <w:rPr>
                <w:sz w:val="12"/>
                <w:szCs w:val="12"/>
                <w:spacing w:val="-1"/>
              </w:rPr>
              <w:t>三氯乙醇</w:t>
            </w:r>
          </w:p>
        </w:tc>
        <w:tc>
          <w:tcPr>
            <w:tcW w:w="1599" w:type="dxa"/>
            <w:vAlign w:val="top"/>
          </w:tcPr>
          <w:p>
            <w:pPr>
              <w:pStyle w:val="TableText"/>
              <w:ind w:left="225"/>
              <w:spacing w:before="122" w:line="220" w:lineRule="auto"/>
              <w:rPr>
                <w:sz w:val="12"/>
                <w:szCs w:val="12"/>
              </w:rPr>
            </w:pPr>
            <w:r>
              <w:rPr>
                <w:sz w:val="12"/>
                <w:szCs w:val="12"/>
                <w:spacing w:val="-1"/>
              </w:rPr>
              <w:t>20%乳油800-1000倍液</w:t>
            </w:r>
          </w:p>
        </w:tc>
        <w:tc>
          <w:tcPr>
            <w:tcW w:w="1029" w:type="dxa"/>
            <w:vAlign w:val="top"/>
          </w:tcPr>
          <w:p>
            <w:pPr>
              <w:pStyle w:val="TableText"/>
              <w:ind w:left="16" w:firstLine="39"/>
              <w:spacing w:before="41" w:line="229" w:lineRule="auto"/>
              <w:rPr>
                <w:sz w:val="12"/>
                <w:szCs w:val="12"/>
              </w:rPr>
            </w:pPr>
            <w:r>
              <w:rPr>
                <w:sz w:val="12"/>
                <w:szCs w:val="12"/>
                <w:spacing w:val="-2"/>
              </w:rPr>
              <w:t>年15-20天用药一</w:t>
            </w:r>
            <w:r>
              <w:rPr>
                <w:sz w:val="12"/>
                <w:szCs w:val="12"/>
                <w:spacing w:val="2"/>
              </w:rPr>
              <w:t xml:space="preserve">  </w:t>
            </w:r>
            <w:r>
              <w:rPr>
                <w:sz w:val="12"/>
                <w:szCs w:val="12"/>
                <w:spacing w:val="-2"/>
              </w:rPr>
              <w:t>次，连续使用2-3次</w:t>
            </w:r>
          </w:p>
        </w:tc>
        <w:tc>
          <w:tcPr>
            <w:tcW w:w="689" w:type="dxa"/>
            <w:vAlign w:val="top"/>
          </w:tcPr>
          <w:p>
            <w:pPr>
              <w:pStyle w:val="TableText"/>
              <w:ind w:left="97"/>
              <w:spacing w:before="122" w:line="221" w:lineRule="auto"/>
              <w:rPr>
                <w:sz w:val="12"/>
                <w:szCs w:val="12"/>
              </w:rPr>
            </w:pPr>
            <w:r>
              <w:rPr>
                <w:sz w:val="12"/>
                <w:szCs w:val="12"/>
                <w:spacing w:val="-1"/>
              </w:rPr>
              <w:t>300ml/瓶</w:t>
            </w:r>
          </w:p>
        </w:tc>
        <w:tc>
          <w:tcPr>
            <w:tcW w:w="2803" w:type="dxa"/>
            <w:vAlign w:val="top"/>
          </w:tcPr>
          <w:p>
            <w:pPr>
              <w:pStyle w:val="TableText"/>
              <w:ind w:left="8"/>
              <w:spacing w:before="121" w:line="219" w:lineRule="auto"/>
              <w:rPr>
                <w:sz w:val="12"/>
                <w:szCs w:val="12"/>
              </w:rPr>
            </w:pPr>
            <w:r>
              <w:rPr>
                <w:sz w:val="12"/>
                <w:szCs w:val="12"/>
                <w:spacing w:val="-1"/>
              </w:rPr>
              <w:t>属于广谱性杀螨剂，对成螨，幼若螨和卵均有效</w:t>
            </w:r>
          </w:p>
        </w:tc>
      </w:tr>
      <w:tr>
        <w:trPr>
          <w:trHeight w:val="21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53" w:line="219" w:lineRule="auto"/>
              <w:rPr>
                <w:sz w:val="12"/>
                <w:szCs w:val="12"/>
              </w:rPr>
            </w:pPr>
            <w:r>
              <w:rPr>
                <w:sz w:val="12"/>
                <w:szCs w:val="12"/>
                <w:spacing w:val="1"/>
              </w:rPr>
              <w:t>国光毙克</w:t>
            </w:r>
          </w:p>
        </w:tc>
        <w:tc>
          <w:tcPr>
            <w:tcW w:w="1899" w:type="dxa"/>
            <w:vAlign w:val="top"/>
          </w:tcPr>
          <w:p>
            <w:pPr>
              <w:pStyle w:val="TableText"/>
              <w:ind w:left="674"/>
              <w:spacing w:before="53" w:line="220" w:lineRule="auto"/>
              <w:rPr>
                <w:sz w:val="12"/>
                <w:szCs w:val="12"/>
              </w:rPr>
            </w:pPr>
            <w:r>
              <w:rPr>
                <w:sz w:val="12"/>
                <w:szCs w:val="12"/>
                <w:spacing w:val="-2"/>
              </w:rPr>
              <w:t>10M吡虫啉</w:t>
            </w:r>
          </w:p>
        </w:tc>
        <w:tc>
          <w:tcPr>
            <w:tcW w:w="1599" w:type="dxa"/>
            <w:vAlign w:val="top"/>
          </w:tcPr>
          <w:p>
            <w:pPr>
              <w:pStyle w:val="TableText"/>
              <w:ind w:left="435"/>
              <w:spacing w:before="53" w:line="220" w:lineRule="auto"/>
              <w:rPr>
                <w:sz w:val="12"/>
                <w:szCs w:val="12"/>
              </w:rPr>
            </w:pPr>
            <w:r>
              <w:rPr>
                <w:sz w:val="12"/>
                <w:szCs w:val="12"/>
                <w:spacing w:val="-1"/>
              </w:rPr>
              <w:t>000-1500倍液</w:t>
            </w:r>
          </w:p>
        </w:tc>
        <w:tc>
          <w:tcPr>
            <w:tcW w:w="1029" w:type="dxa"/>
            <w:vAlign w:val="top"/>
            <w:vMerge w:val="restart"/>
            <w:tcBorders>
              <w:bottom w:val="nil"/>
            </w:tcBorders>
          </w:tcPr>
          <w:p>
            <w:pPr>
              <w:pStyle w:val="TableText"/>
              <w:spacing w:before="163" w:line="219" w:lineRule="auto"/>
              <w:jc w:val="right"/>
              <w:rPr>
                <w:sz w:val="12"/>
                <w:szCs w:val="12"/>
              </w:rPr>
            </w:pPr>
            <w:r>
              <w:rPr>
                <w:sz w:val="12"/>
                <w:szCs w:val="12"/>
                <w:spacing w:val="-2"/>
              </w:rPr>
              <w:t>一般用3次，时间间</w:t>
            </w:r>
          </w:p>
          <w:p>
            <w:pPr>
              <w:pStyle w:val="TableText"/>
              <w:spacing w:before="7" w:line="220" w:lineRule="auto"/>
              <w:jc w:val="right"/>
              <w:rPr>
                <w:sz w:val="12"/>
                <w:szCs w:val="12"/>
              </w:rPr>
            </w:pPr>
            <w:r>
              <w:rPr>
                <w:sz w:val="12"/>
                <w:szCs w:val="12"/>
                <w:spacing w:val="-2"/>
              </w:rPr>
              <w:t>隔7到10天，视现场</w:t>
            </w:r>
          </w:p>
          <w:p>
            <w:pPr>
              <w:pStyle w:val="TableText"/>
              <w:ind w:left="86"/>
              <w:spacing w:before="16" w:line="219" w:lineRule="auto"/>
              <w:rPr>
                <w:sz w:val="12"/>
                <w:szCs w:val="12"/>
              </w:rPr>
            </w:pPr>
            <w:r>
              <w:rPr>
                <w:sz w:val="12"/>
                <w:szCs w:val="12"/>
                <w:spacing w:val="-1"/>
              </w:rPr>
              <w:t>情况可增加次数</w:t>
            </w:r>
          </w:p>
        </w:tc>
        <w:tc>
          <w:tcPr>
            <w:tcW w:w="689" w:type="dxa"/>
            <w:vAlign w:val="top"/>
          </w:tcPr>
          <w:p>
            <w:pPr>
              <w:pStyle w:val="TableText"/>
              <w:ind w:left="157"/>
              <w:spacing w:before="48" w:line="214" w:lineRule="auto"/>
              <w:rPr>
                <w:sz w:val="12"/>
                <w:szCs w:val="12"/>
              </w:rPr>
            </w:pPr>
            <w:r>
              <w:rPr>
                <w:sz w:val="12"/>
                <w:szCs w:val="12"/>
                <w:spacing w:val="-2"/>
              </w:rPr>
              <w:t>10g/袋</w:t>
            </w:r>
          </w:p>
        </w:tc>
        <w:tc>
          <w:tcPr>
            <w:tcW w:w="2803" w:type="dxa"/>
            <w:vAlign w:val="top"/>
          </w:tcPr>
          <w:p>
            <w:pPr>
              <w:pStyle w:val="TableText"/>
              <w:ind w:left="8"/>
              <w:spacing w:before="53" w:line="219" w:lineRule="auto"/>
              <w:rPr>
                <w:sz w:val="12"/>
                <w:szCs w:val="12"/>
              </w:rPr>
            </w:pPr>
            <w:r>
              <w:rPr>
                <w:sz w:val="12"/>
                <w:szCs w:val="12"/>
                <w:spacing w:val="-1"/>
              </w:rPr>
              <w:t>柔蚜虫、飞鳳等害虫</w:t>
            </w:r>
          </w:p>
        </w:tc>
      </w:tr>
      <w:tr>
        <w:trPr>
          <w:trHeight w:val="30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143"/>
              <w:spacing w:before="92" w:line="219" w:lineRule="auto"/>
              <w:rPr>
                <w:sz w:val="12"/>
                <w:szCs w:val="12"/>
              </w:rPr>
            </w:pPr>
            <w:r>
              <w:rPr>
                <w:sz w:val="12"/>
                <w:szCs w:val="12"/>
                <w:spacing w:val="2"/>
              </w:rPr>
              <w:t>中威壮美(杀螨剂)</w:t>
            </w:r>
          </w:p>
        </w:tc>
        <w:tc>
          <w:tcPr>
            <w:tcW w:w="1899" w:type="dxa"/>
            <w:vAlign w:val="top"/>
          </w:tcPr>
          <w:p>
            <w:pPr>
              <w:pStyle w:val="TableText"/>
              <w:ind w:left="434"/>
              <w:spacing w:before="93" w:line="219" w:lineRule="auto"/>
              <w:rPr>
                <w:sz w:val="12"/>
                <w:szCs w:val="12"/>
              </w:rPr>
            </w:pPr>
            <w:r>
              <w:rPr>
                <w:sz w:val="12"/>
                <w:szCs w:val="12"/>
                <w:spacing w:val="-5"/>
              </w:rPr>
              <w:t>阿维</w:t>
            </w:r>
            <w:r>
              <w:rPr>
                <w:sz w:val="12"/>
                <w:szCs w:val="12"/>
                <w:spacing w:val="-14"/>
              </w:rPr>
              <w:t xml:space="preserve"> </w:t>
            </w:r>
            <w:r>
              <w:rPr>
                <w:sz w:val="12"/>
                <w:szCs w:val="12"/>
                <w:spacing w:val="-5"/>
              </w:rPr>
              <w:t>·哒蜻灵3.20%</w:t>
            </w:r>
          </w:p>
        </w:tc>
        <w:tc>
          <w:tcPr>
            <w:tcW w:w="1599" w:type="dxa"/>
            <w:vAlign w:val="top"/>
          </w:tcPr>
          <w:p>
            <w:pPr>
              <w:pStyle w:val="TableText"/>
              <w:ind w:left="555"/>
              <w:spacing w:before="93" w:line="220" w:lineRule="auto"/>
              <w:rPr>
                <w:sz w:val="12"/>
                <w:szCs w:val="12"/>
              </w:rPr>
            </w:pPr>
            <w:r>
              <w:rPr>
                <w:sz w:val="12"/>
                <w:szCs w:val="12"/>
                <w:spacing w:val="-2"/>
              </w:rPr>
              <w:t>1500倍液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97"/>
              <w:spacing w:before="93" w:line="221" w:lineRule="auto"/>
              <w:rPr>
                <w:sz w:val="12"/>
                <w:szCs w:val="12"/>
              </w:rPr>
            </w:pPr>
            <w:r>
              <w:rPr>
                <w:sz w:val="12"/>
                <w:szCs w:val="12"/>
                <w:spacing w:val="-1"/>
              </w:rPr>
              <w:t>200ml/瓶</w:t>
            </w:r>
          </w:p>
        </w:tc>
        <w:tc>
          <w:tcPr>
            <w:tcW w:w="2803" w:type="dxa"/>
            <w:vAlign w:val="top"/>
          </w:tcPr>
          <w:p>
            <w:pPr>
              <w:pStyle w:val="TableText"/>
              <w:ind w:left="8"/>
              <w:spacing w:before="93" w:line="219" w:lineRule="auto"/>
              <w:rPr>
                <w:sz w:val="12"/>
                <w:szCs w:val="12"/>
              </w:rPr>
            </w:pPr>
            <w:r>
              <w:rPr>
                <w:sz w:val="12"/>
                <w:szCs w:val="12"/>
                <w:spacing w:val="-1"/>
              </w:rPr>
              <w:t>对红蜘蛛、白蜘蛛及抗性螨类害虫有极强的杀灭作用</w:t>
            </w:r>
          </w:p>
        </w:tc>
      </w:tr>
      <w:tr>
        <w:trPr>
          <w:trHeight w:val="21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59" w:type="dxa"/>
            <w:vAlign w:val="top"/>
          </w:tcPr>
          <w:p>
            <w:pPr>
              <w:pStyle w:val="TableText"/>
              <w:ind w:left="263"/>
              <w:spacing w:before="52" w:line="219" w:lineRule="auto"/>
              <w:rPr>
                <w:sz w:val="12"/>
                <w:szCs w:val="12"/>
              </w:rPr>
            </w:pPr>
            <w:r>
              <w:rPr>
                <w:sz w:val="12"/>
                <w:szCs w:val="12"/>
                <w:spacing w:val="-1"/>
              </w:rPr>
              <w:t>诺普信满毕净</w:t>
            </w:r>
          </w:p>
        </w:tc>
        <w:tc>
          <w:tcPr>
            <w:tcW w:w="1899" w:type="dxa"/>
            <w:vAlign w:val="top"/>
          </w:tcPr>
          <w:p>
            <w:pPr>
              <w:pStyle w:val="TableText"/>
              <w:ind w:left="254"/>
              <w:spacing w:before="52" w:line="219" w:lineRule="auto"/>
              <w:rPr>
                <w:sz w:val="12"/>
                <w:szCs w:val="12"/>
              </w:rPr>
            </w:pPr>
            <w:r>
              <w:rPr>
                <w:sz w:val="12"/>
                <w:szCs w:val="12"/>
                <w:spacing w:val="-6"/>
              </w:rPr>
              <w:t>阿维菌素 ·</w:t>
            </w:r>
            <w:r>
              <w:rPr>
                <w:sz w:val="12"/>
                <w:szCs w:val="12"/>
                <w:spacing w:val="-40"/>
              </w:rPr>
              <w:t xml:space="preserve"> </w:t>
            </w:r>
            <w:r>
              <w:rPr>
                <w:sz w:val="12"/>
                <w:szCs w:val="12"/>
                <w:spacing w:val="-6"/>
              </w:rPr>
              <w:t>甲氰菊酯1.80%</w:t>
            </w:r>
          </w:p>
        </w:tc>
        <w:tc>
          <w:tcPr>
            <w:tcW w:w="1599" w:type="dxa"/>
            <w:vAlign w:val="top"/>
          </w:tcPr>
          <w:p>
            <w:pPr>
              <w:pStyle w:val="TableText"/>
              <w:ind w:left="495"/>
              <w:spacing w:before="53" w:line="220" w:lineRule="auto"/>
              <w:rPr>
                <w:sz w:val="12"/>
                <w:szCs w:val="12"/>
              </w:rPr>
            </w:pPr>
            <w:r>
              <w:rPr>
                <w:sz w:val="12"/>
                <w:szCs w:val="12"/>
                <w:spacing w:val="-1"/>
              </w:rPr>
              <w:t>800-1000倍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67"/>
              <w:spacing w:before="53" w:line="221" w:lineRule="auto"/>
              <w:rPr>
                <w:sz w:val="12"/>
                <w:szCs w:val="12"/>
              </w:rPr>
            </w:pPr>
            <w:r>
              <w:rPr>
                <w:sz w:val="12"/>
                <w:szCs w:val="12"/>
                <w:spacing w:val="-2"/>
              </w:rPr>
              <w:t>1000ml/瓶</w:t>
            </w:r>
          </w:p>
        </w:tc>
        <w:tc>
          <w:tcPr>
            <w:tcW w:w="2803" w:type="dxa"/>
            <w:vAlign w:val="top"/>
          </w:tcPr>
          <w:p>
            <w:pPr>
              <w:pStyle w:val="TableText"/>
              <w:ind w:left="8"/>
              <w:spacing w:before="52" w:line="219" w:lineRule="auto"/>
              <w:rPr>
                <w:sz w:val="12"/>
                <w:szCs w:val="12"/>
              </w:rPr>
            </w:pPr>
            <w:r>
              <w:rPr>
                <w:sz w:val="12"/>
                <w:szCs w:val="12"/>
                <w:spacing w:val="-1"/>
              </w:rPr>
              <w:t>红蜘蛛、白蜘蛛，锈焖蛛</w:t>
            </w:r>
          </w:p>
        </w:tc>
      </w:tr>
      <w:tr>
        <w:trPr>
          <w:trHeight w:val="190" w:hRule="atLeast"/>
        </w:trPr>
        <w:tc>
          <w:tcPr>
            <w:tcW w:w="415" w:type="dxa"/>
            <w:vAlign w:val="top"/>
            <w:vMerge w:val="continue"/>
            <w:tcBorders>
              <w:top w:val="nil"/>
              <w:bottom w:val="nil"/>
            </w:tcBorders>
          </w:tcPr>
          <w:p>
            <w:pPr>
              <w:rPr>
                <w:rFonts w:ascii="Arial"/>
                <w:sz w:val="21"/>
              </w:rPr>
            </w:pPr>
            <w:r/>
          </w:p>
        </w:tc>
        <w:tc>
          <w:tcPr>
            <w:tcW w:w="520" w:type="dxa"/>
            <w:vAlign w:val="top"/>
            <w:vMerge w:val="restart"/>
            <w:tcBorders>
              <w:bottom w:val="nil"/>
            </w:tcBorders>
          </w:tcPr>
          <w:p>
            <w:pPr>
              <w:rPr>
                <w:rFonts w:ascii="Arial"/>
                <w:sz w:val="21"/>
              </w:rPr>
            </w:pPr>
            <w:r/>
          </w:p>
        </w:tc>
        <w:tc>
          <w:tcPr>
            <w:tcW w:w="949" w:type="dxa"/>
            <w:vAlign w:val="top"/>
            <w:vMerge w:val="restart"/>
            <w:tcBorders>
              <w:bottom w:val="nil"/>
            </w:tcBorders>
          </w:tcPr>
          <w:p>
            <w:pPr>
              <w:pStyle w:val="TableText"/>
              <w:ind w:left="40"/>
              <w:spacing w:before="172" w:line="224" w:lineRule="auto"/>
              <w:jc w:val="both"/>
              <w:rPr>
                <w:sz w:val="12"/>
                <w:szCs w:val="12"/>
              </w:rPr>
            </w:pPr>
            <w:r>
              <w:rPr>
                <w:sz w:val="12"/>
                <w:szCs w:val="12"/>
                <w:spacing w:val="8"/>
              </w:rPr>
              <w:t>膜翅日的茎蜂、</w:t>
            </w:r>
            <w:r>
              <w:rPr>
                <w:sz w:val="12"/>
                <w:szCs w:val="12"/>
                <w:spacing w:val="1"/>
              </w:rPr>
              <w:t xml:space="preserve"> </w:t>
            </w:r>
            <w:r>
              <w:rPr>
                <w:sz w:val="12"/>
                <w:szCs w:val="12"/>
                <w:spacing w:val="-2"/>
              </w:rPr>
              <w:t>天牛类、吉丁虫</w:t>
            </w:r>
            <w:r>
              <w:rPr>
                <w:sz w:val="12"/>
                <w:szCs w:val="12"/>
                <w:spacing w:val="2"/>
              </w:rPr>
              <w:t xml:space="preserve">  </w:t>
            </w:r>
            <w:r>
              <w:rPr>
                <w:sz w:val="12"/>
                <w:szCs w:val="12"/>
              </w:rPr>
              <w:t>类、蠹虫类、咖</w:t>
            </w:r>
            <w:r>
              <w:rPr>
                <w:sz w:val="12"/>
                <w:szCs w:val="12"/>
                <w:spacing w:val="1"/>
              </w:rPr>
              <w:t xml:space="preserve">  </w:t>
            </w:r>
            <w:r>
              <w:rPr>
                <w:sz w:val="12"/>
                <w:szCs w:val="12"/>
                <w:spacing w:val="-2"/>
              </w:rPr>
              <w:t>啡木嵩蛾、拟木</w:t>
            </w:r>
            <w:r>
              <w:rPr>
                <w:sz w:val="12"/>
                <w:szCs w:val="12"/>
              </w:rPr>
              <w:t xml:space="preserve">  </w:t>
            </w:r>
            <w:r>
              <w:rPr>
                <w:sz w:val="12"/>
                <w:szCs w:val="12"/>
                <w:spacing w:val="1"/>
              </w:rPr>
              <w:t>嘉蛾、椰心叶甲</w:t>
            </w:r>
          </w:p>
        </w:tc>
        <w:tc>
          <w:tcPr>
            <w:tcW w:w="2668" w:type="dxa"/>
            <w:vAlign w:val="top"/>
            <w:vMerge w:val="restart"/>
            <w:tcBorders>
              <w:bottom w:val="nil"/>
            </w:tcBorders>
          </w:tcPr>
          <w:p>
            <w:pPr>
              <w:pStyle w:val="TableText"/>
              <w:ind w:left="1" w:right="13" w:firstLine="9"/>
              <w:spacing w:before="82" w:line="223" w:lineRule="auto"/>
              <w:rPr>
                <w:sz w:val="12"/>
                <w:szCs w:val="12"/>
              </w:rPr>
            </w:pPr>
            <w:r>
              <w:rPr>
                <w:sz w:val="12"/>
                <w:szCs w:val="12"/>
                <w:spacing w:val="-1"/>
              </w:rPr>
              <w:t>一、12月-次年4月蛀干害虫危害较轻，注意清洁园</w:t>
            </w:r>
            <w:r>
              <w:rPr>
                <w:sz w:val="12"/>
                <w:szCs w:val="12"/>
                <w:spacing w:val="16"/>
              </w:rPr>
              <w:t xml:space="preserve"> </w:t>
            </w:r>
            <w:r>
              <w:rPr>
                <w:sz w:val="12"/>
                <w:szCs w:val="12"/>
                <w:spacing w:val="4"/>
              </w:rPr>
              <w:t>圈，挖除虫卵，树干涂白；</w:t>
            </w:r>
          </w:p>
          <w:p>
            <w:pPr>
              <w:pStyle w:val="TableText"/>
              <w:ind w:left="11" w:right="11"/>
              <w:spacing w:line="225" w:lineRule="auto"/>
              <w:rPr>
                <w:sz w:val="12"/>
                <w:szCs w:val="12"/>
              </w:rPr>
            </w:pPr>
            <w:r>
              <w:rPr>
                <w:sz w:val="12"/>
                <w:szCs w:val="12"/>
                <w:spacing w:val="-1"/>
              </w:rPr>
              <w:t>三.6月份将陆续有成虫羽化，本月要重点监测，做</w:t>
            </w:r>
            <w:r>
              <w:rPr>
                <w:sz w:val="12"/>
                <w:szCs w:val="12"/>
                <w:spacing w:val="17"/>
              </w:rPr>
              <w:t xml:space="preserve"> </w:t>
            </w:r>
            <w:r>
              <w:rPr>
                <w:sz w:val="12"/>
                <w:szCs w:val="12"/>
                <w:spacing w:val="3"/>
              </w:rPr>
              <w:t>好防治，防止其成虫羽化后扩散不易防治；</w:t>
            </w:r>
          </w:p>
          <w:p>
            <w:pPr>
              <w:pStyle w:val="TableText"/>
              <w:ind w:left="1" w:right="11" w:firstLine="9"/>
              <w:spacing w:before="6" w:line="222" w:lineRule="auto"/>
              <w:rPr>
                <w:sz w:val="12"/>
                <w:szCs w:val="12"/>
              </w:rPr>
            </w:pPr>
            <w:r>
              <w:rPr>
                <w:sz w:val="12"/>
                <w:szCs w:val="12"/>
                <w:spacing w:val="-1"/>
              </w:rPr>
              <w:t>三、6-9月 随着温度回升，多数蛀干害虫开始话动</w:t>
            </w:r>
            <w:r>
              <w:rPr>
                <w:sz w:val="12"/>
                <w:szCs w:val="12"/>
                <w:spacing w:val="18"/>
              </w:rPr>
              <w:t xml:space="preserve"> </w:t>
            </w:r>
            <w:r>
              <w:rPr>
                <w:sz w:val="12"/>
                <w:szCs w:val="12"/>
                <w:spacing w:val="-1"/>
              </w:rPr>
              <w:t>、取食危害，在枝干或地表可见蛀干害虫危害的排</w:t>
            </w:r>
            <w:r>
              <w:rPr>
                <w:sz w:val="12"/>
                <w:szCs w:val="12"/>
                <w:spacing w:val="13"/>
              </w:rPr>
              <w:t xml:space="preserve"> </w:t>
            </w:r>
            <w:r>
              <w:rPr>
                <w:sz w:val="12"/>
                <w:szCs w:val="12"/>
              </w:rPr>
              <w:t>泄物，应重点监测，有针对性地采取防治措</w:t>
            </w:r>
            <w:r>
              <w:rPr>
                <w:sz w:val="12"/>
                <w:szCs w:val="12"/>
                <w:spacing w:val="-1"/>
              </w:rPr>
              <w:t>施，</w:t>
            </w:r>
          </w:p>
        </w:tc>
        <w:tc>
          <w:tcPr>
            <w:tcW w:w="1259" w:type="dxa"/>
            <w:vAlign w:val="top"/>
          </w:tcPr>
          <w:p>
            <w:pPr>
              <w:pStyle w:val="TableText"/>
              <w:ind w:left="323"/>
              <w:spacing w:before="42" w:line="212" w:lineRule="auto"/>
              <w:rPr>
                <w:sz w:val="12"/>
                <w:szCs w:val="12"/>
              </w:rPr>
            </w:pPr>
            <w:r>
              <w:rPr>
                <w:sz w:val="12"/>
                <w:szCs w:val="12"/>
                <w:spacing w:val="-1"/>
              </w:rPr>
              <w:t>椰甲清粉剂</w:t>
            </w:r>
          </w:p>
        </w:tc>
        <w:tc>
          <w:tcPr>
            <w:tcW w:w="1899" w:type="dxa"/>
            <w:vAlign w:val="top"/>
          </w:tcPr>
          <w:p>
            <w:pPr>
              <w:pStyle w:val="TableText"/>
              <w:ind w:left="524"/>
              <w:spacing w:before="42" w:line="211" w:lineRule="auto"/>
              <w:rPr>
                <w:sz w:val="12"/>
                <w:szCs w:val="12"/>
              </w:rPr>
            </w:pPr>
            <w:r>
              <w:rPr>
                <w:sz w:val="12"/>
                <w:szCs w:val="12"/>
                <w:spacing w:val="-2"/>
              </w:rPr>
              <w:t>啶虫脉和杀虫单</w:t>
            </w:r>
          </w:p>
        </w:tc>
        <w:tc>
          <w:tcPr>
            <w:tcW w:w="1599" w:type="dxa"/>
            <w:vAlign w:val="top"/>
          </w:tcPr>
          <w:p>
            <w:pPr>
              <w:pStyle w:val="TableText"/>
              <w:ind w:left="555"/>
              <w:spacing w:before="42" w:line="211" w:lineRule="auto"/>
              <w:rPr>
                <w:sz w:val="12"/>
                <w:szCs w:val="12"/>
              </w:rPr>
            </w:pPr>
            <w:r>
              <w:rPr>
                <w:sz w:val="12"/>
                <w:szCs w:val="12"/>
                <w:spacing w:val="3"/>
              </w:rPr>
              <w:t>直接使用</w:t>
            </w:r>
          </w:p>
        </w:tc>
        <w:tc>
          <w:tcPr>
            <w:tcW w:w="1029" w:type="dxa"/>
            <w:vAlign w:val="top"/>
            <w:vMerge w:val="restart"/>
            <w:tcBorders>
              <w:bottom w:val="nil"/>
            </w:tcBorders>
          </w:tcPr>
          <w:p>
            <w:pPr>
              <w:rPr>
                <w:rFonts w:ascii="Arial"/>
                <w:sz w:val="21"/>
              </w:rPr>
            </w:pPr>
            <w:r/>
          </w:p>
        </w:tc>
        <w:tc>
          <w:tcPr>
            <w:tcW w:w="689" w:type="dxa"/>
            <w:vAlign w:val="top"/>
          </w:tcPr>
          <w:p>
            <w:pPr>
              <w:pStyle w:val="TableText"/>
              <w:ind w:left="157"/>
              <w:spacing w:before="38" w:line="214" w:lineRule="auto"/>
              <w:rPr>
                <w:sz w:val="12"/>
                <w:szCs w:val="12"/>
              </w:rPr>
            </w:pPr>
            <w:r>
              <w:rPr>
                <w:sz w:val="12"/>
                <w:szCs w:val="12"/>
                <w:spacing w:val="-2"/>
              </w:rPr>
              <w:t>10g/包</w:t>
            </w:r>
          </w:p>
        </w:tc>
        <w:tc>
          <w:tcPr>
            <w:tcW w:w="2803" w:type="dxa"/>
            <w:vAlign w:val="top"/>
          </w:tcPr>
          <w:p>
            <w:pPr>
              <w:pStyle w:val="TableText"/>
              <w:ind w:left="8"/>
              <w:spacing w:before="42" w:line="211" w:lineRule="auto"/>
              <w:rPr>
                <w:sz w:val="12"/>
                <w:szCs w:val="12"/>
              </w:rPr>
            </w:pPr>
            <w:r>
              <w:rPr>
                <w:sz w:val="12"/>
                <w:szCs w:val="12"/>
                <w:spacing w:val="-1"/>
              </w:rPr>
              <w:t>每次每棵树用药1-2袋</w:t>
            </w:r>
          </w:p>
        </w:tc>
      </w:tr>
      <w:tr>
        <w:trPr>
          <w:trHeight w:val="26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72" w:line="219" w:lineRule="auto"/>
              <w:rPr>
                <w:sz w:val="12"/>
                <w:szCs w:val="12"/>
              </w:rPr>
            </w:pPr>
            <w:r>
              <w:rPr>
                <w:sz w:val="12"/>
                <w:szCs w:val="12"/>
                <w:spacing w:val="1"/>
              </w:rPr>
              <w:t>国光毒枪</w:t>
            </w:r>
          </w:p>
        </w:tc>
        <w:tc>
          <w:tcPr>
            <w:tcW w:w="1899" w:type="dxa"/>
            <w:vAlign w:val="top"/>
          </w:tcPr>
          <w:p>
            <w:pPr>
              <w:pStyle w:val="TableText"/>
              <w:ind w:left="374"/>
              <w:spacing w:before="72" w:line="219" w:lineRule="auto"/>
              <w:rPr>
                <w:sz w:val="12"/>
                <w:szCs w:val="12"/>
              </w:rPr>
            </w:pPr>
            <w:r>
              <w:rPr>
                <w:sz w:val="12"/>
                <w:szCs w:val="12"/>
                <w:spacing w:val="-5"/>
              </w:rPr>
              <w:t>45%丙溴</w:t>
            </w:r>
            <w:r>
              <w:rPr>
                <w:sz w:val="12"/>
                <w:szCs w:val="12"/>
                <w:spacing w:val="-11"/>
              </w:rPr>
              <w:t xml:space="preserve"> </w:t>
            </w:r>
            <w:r>
              <w:rPr>
                <w:sz w:val="12"/>
                <w:szCs w:val="12"/>
                <w:spacing w:val="-5"/>
              </w:rPr>
              <w:t>·幸硫磷乳油</w:t>
            </w:r>
          </w:p>
        </w:tc>
        <w:tc>
          <w:tcPr>
            <w:tcW w:w="1599" w:type="dxa"/>
            <w:vAlign w:val="top"/>
          </w:tcPr>
          <w:p>
            <w:pPr>
              <w:pStyle w:val="TableText"/>
              <w:ind w:left="555"/>
              <w:spacing w:before="73" w:line="220" w:lineRule="auto"/>
              <w:rPr>
                <w:sz w:val="12"/>
                <w:szCs w:val="12"/>
              </w:rPr>
            </w:pPr>
            <w:r>
              <w:rPr>
                <w:sz w:val="12"/>
                <w:szCs w:val="12"/>
                <w:spacing w:val="-2"/>
              </w:rPr>
              <w:t>5-10倍液</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97"/>
              <w:spacing w:before="73" w:line="221" w:lineRule="auto"/>
              <w:rPr>
                <w:sz w:val="12"/>
                <w:szCs w:val="12"/>
              </w:rPr>
            </w:pPr>
            <w:r>
              <w:rPr>
                <w:sz w:val="12"/>
                <w:szCs w:val="12"/>
                <w:spacing w:val="-1"/>
              </w:rPr>
              <w:t>200ml/瓶</w:t>
            </w:r>
          </w:p>
        </w:tc>
        <w:tc>
          <w:tcPr>
            <w:tcW w:w="2803" w:type="dxa"/>
            <w:vAlign w:val="top"/>
          </w:tcPr>
          <w:p>
            <w:pPr>
              <w:pStyle w:val="TableText"/>
              <w:ind w:left="8"/>
              <w:spacing w:before="72" w:line="219" w:lineRule="auto"/>
              <w:rPr>
                <w:sz w:val="12"/>
                <w:szCs w:val="12"/>
              </w:rPr>
            </w:pPr>
            <w:r>
              <w:rPr>
                <w:sz w:val="12"/>
                <w:szCs w:val="12"/>
                <w:spacing w:val="-1"/>
              </w:rPr>
              <w:t>注射虫洞，黄泥封洞</w:t>
            </w:r>
          </w:p>
        </w:tc>
      </w:tr>
      <w:tr>
        <w:trPr>
          <w:trHeight w:val="30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263"/>
              <w:spacing w:before="112" w:line="219" w:lineRule="auto"/>
              <w:rPr>
                <w:sz w:val="12"/>
                <w:szCs w:val="12"/>
              </w:rPr>
            </w:pPr>
            <w:r>
              <w:rPr>
                <w:sz w:val="12"/>
                <w:szCs w:val="12"/>
                <w:spacing w:val="1"/>
              </w:rPr>
              <w:t>国光防蛀液剂</w:t>
            </w:r>
          </w:p>
        </w:tc>
        <w:tc>
          <w:tcPr>
            <w:tcW w:w="1899" w:type="dxa"/>
            <w:vAlign w:val="top"/>
          </w:tcPr>
          <w:p>
            <w:pPr>
              <w:pStyle w:val="TableText"/>
              <w:ind w:left="644"/>
              <w:spacing w:before="113" w:line="219" w:lineRule="auto"/>
              <w:rPr>
                <w:sz w:val="12"/>
                <w:szCs w:val="12"/>
              </w:rPr>
            </w:pPr>
            <w:r>
              <w:rPr>
                <w:sz w:val="12"/>
                <w:szCs w:val="12"/>
                <w:spacing w:val="-1"/>
              </w:rPr>
              <w:t>0.3%氯菊酯</w:t>
            </w:r>
          </w:p>
        </w:tc>
        <w:tc>
          <w:tcPr>
            <w:tcW w:w="1599" w:type="dxa"/>
            <w:vAlign w:val="top"/>
          </w:tcPr>
          <w:p>
            <w:pPr>
              <w:pStyle w:val="TableText"/>
              <w:ind w:left="555"/>
              <w:spacing w:before="92" w:line="219" w:lineRule="auto"/>
              <w:rPr>
                <w:sz w:val="12"/>
                <w:szCs w:val="12"/>
              </w:rPr>
            </w:pPr>
            <w:r>
              <w:rPr>
                <w:sz w:val="12"/>
                <w:szCs w:val="12"/>
                <w:spacing w:val="3"/>
              </w:rPr>
              <w:t>直接使用</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27"/>
              <w:spacing w:before="123" w:line="220" w:lineRule="auto"/>
              <w:rPr>
                <w:sz w:val="12"/>
                <w:szCs w:val="12"/>
              </w:rPr>
            </w:pPr>
            <w:r>
              <w:rPr>
                <w:sz w:val="12"/>
                <w:szCs w:val="12"/>
                <w:spacing w:val="-1"/>
              </w:rPr>
              <w:t>20ml/支</w:t>
            </w:r>
          </w:p>
        </w:tc>
        <w:tc>
          <w:tcPr>
            <w:tcW w:w="2803" w:type="dxa"/>
            <w:vAlign w:val="top"/>
          </w:tcPr>
          <w:p>
            <w:pPr>
              <w:pStyle w:val="TableText"/>
              <w:ind w:left="18"/>
              <w:spacing w:before="13" w:line="210" w:lineRule="auto"/>
              <w:rPr>
                <w:sz w:val="12"/>
                <w:szCs w:val="12"/>
              </w:rPr>
            </w:pPr>
            <w:r>
              <w:rPr>
                <w:sz w:val="12"/>
                <w:szCs w:val="12"/>
                <w:spacing w:val="-4"/>
              </w:rPr>
              <w:t>专杀蛀杆性害虫胸径8-10cm用1支，每增加110cm增加】</w:t>
            </w:r>
            <w:r>
              <w:rPr>
                <w:sz w:val="12"/>
                <w:szCs w:val="12"/>
                <w:spacing w:val="13"/>
              </w:rPr>
              <w:t xml:space="preserve"> </w:t>
            </w:r>
            <w:r>
              <w:rPr>
                <w:sz w:val="12"/>
                <w:szCs w:val="12"/>
              </w:rPr>
              <w:t>支</w:t>
            </w:r>
          </w:p>
        </w:tc>
      </w:tr>
      <w:tr>
        <w:trPr>
          <w:trHeight w:val="37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59" w:type="dxa"/>
            <w:vAlign w:val="top"/>
          </w:tcPr>
          <w:p>
            <w:pPr>
              <w:pStyle w:val="TableText"/>
              <w:ind w:left="143"/>
              <w:spacing w:before="132" w:line="219" w:lineRule="auto"/>
              <w:rPr>
                <w:sz w:val="12"/>
                <w:szCs w:val="12"/>
              </w:rPr>
            </w:pPr>
            <w:r>
              <w:rPr>
                <w:sz w:val="12"/>
                <w:szCs w:val="12"/>
                <w:spacing w:val="1"/>
              </w:rPr>
              <w:t>中威蛀干害虫专用</w:t>
            </w:r>
          </w:p>
        </w:tc>
        <w:tc>
          <w:tcPr>
            <w:tcW w:w="1899" w:type="dxa"/>
            <w:vAlign w:val="top"/>
          </w:tcPr>
          <w:p>
            <w:pPr>
              <w:pStyle w:val="TableText"/>
              <w:ind w:left="254"/>
              <w:spacing w:before="132" w:line="219" w:lineRule="auto"/>
              <w:rPr>
                <w:sz w:val="12"/>
                <w:szCs w:val="12"/>
              </w:rPr>
            </w:pPr>
            <w:r>
              <w:rPr>
                <w:sz w:val="12"/>
                <w:szCs w:val="12"/>
                <w:spacing w:val="-8"/>
              </w:rPr>
              <w:t>氰戊 ·马拉松</w:t>
            </w:r>
            <w:r>
              <w:rPr>
                <w:sz w:val="12"/>
                <w:szCs w:val="12"/>
                <w:spacing w:val="-14"/>
              </w:rPr>
              <w:t xml:space="preserve"> </w:t>
            </w:r>
            <w:r>
              <w:rPr>
                <w:sz w:val="12"/>
                <w:szCs w:val="12"/>
                <w:spacing w:val="-8"/>
              </w:rPr>
              <w:t>·苦参碱20%</w:t>
            </w:r>
          </w:p>
        </w:tc>
        <w:tc>
          <w:tcPr>
            <w:tcW w:w="1599" w:type="dxa"/>
            <w:vAlign w:val="top"/>
          </w:tcPr>
          <w:p>
            <w:pPr>
              <w:pStyle w:val="TableText"/>
              <w:ind w:left="555"/>
              <w:spacing w:before="132" w:line="219" w:lineRule="auto"/>
              <w:rPr>
                <w:sz w:val="12"/>
                <w:szCs w:val="12"/>
              </w:rPr>
            </w:pPr>
            <w:r>
              <w:rPr>
                <w:sz w:val="12"/>
                <w:szCs w:val="12"/>
                <w:spacing w:val="3"/>
              </w:rPr>
              <w:t>直接使用</w:t>
            </w:r>
          </w:p>
        </w:tc>
        <w:tc>
          <w:tcPr>
            <w:tcW w:w="1029" w:type="dxa"/>
            <w:vAlign w:val="top"/>
            <w:vMerge w:val="continue"/>
            <w:tcBorders>
              <w:top w:val="nil"/>
            </w:tcBorders>
          </w:tcPr>
          <w:p>
            <w:pPr>
              <w:rPr>
                <w:rFonts w:ascii="Arial"/>
                <w:sz w:val="21"/>
              </w:rPr>
            </w:pPr>
            <w:r/>
          </w:p>
        </w:tc>
        <w:tc>
          <w:tcPr>
            <w:tcW w:w="689" w:type="dxa"/>
            <w:vAlign w:val="top"/>
          </w:tcPr>
          <w:p>
            <w:pPr>
              <w:pStyle w:val="TableText"/>
              <w:ind w:left="127"/>
              <w:spacing w:before="133" w:line="220" w:lineRule="auto"/>
              <w:rPr>
                <w:sz w:val="12"/>
                <w:szCs w:val="12"/>
              </w:rPr>
            </w:pPr>
            <w:r>
              <w:rPr>
                <w:sz w:val="12"/>
                <w:szCs w:val="12"/>
                <w:spacing w:val="-1"/>
              </w:rPr>
              <w:t>20ml/支</w:t>
            </w:r>
          </w:p>
        </w:tc>
        <w:tc>
          <w:tcPr>
            <w:tcW w:w="2803" w:type="dxa"/>
            <w:vAlign w:val="top"/>
          </w:tcPr>
          <w:p>
            <w:pPr>
              <w:pStyle w:val="TableText"/>
              <w:ind w:left="18" w:right="19"/>
              <w:spacing w:before="82" w:line="220" w:lineRule="auto"/>
              <w:rPr>
                <w:sz w:val="12"/>
                <w:szCs w:val="12"/>
              </w:rPr>
            </w:pPr>
            <w:r>
              <w:rPr>
                <w:sz w:val="12"/>
                <w:szCs w:val="12"/>
                <w:spacing w:val="-1"/>
              </w:rPr>
              <w:t>针对天牛幼虫，吉丁虫、松材线虫等蛀干害虫效果明</w:t>
            </w:r>
            <w:r>
              <w:rPr>
                <w:sz w:val="12"/>
                <w:szCs w:val="12"/>
                <w:spacing w:val="17"/>
              </w:rPr>
              <w:t xml:space="preserve"> </w:t>
            </w:r>
            <w:r>
              <w:rPr>
                <w:sz w:val="12"/>
                <w:szCs w:val="12"/>
              </w:rPr>
              <w:t>显</w:t>
            </w:r>
          </w:p>
        </w:tc>
      </w:tr>
      <w:tr>
        <w:trPr>
          <w:trHeight w:val="210" w:hRule="atLeast"/>
        </w:trPr>
        <w:tc>
          <w:tcPr>
            <w:tcW w:w="415" w:type="dxa"/>
            <w:vAlign w:val="top"/>
            <w:vMerge w:val="continue"/>
            <w:tcBorders>
              <w:top w:val="nil"/>
              <w:bottom w:val="nil"/>
            </w:tcBorders>
          </w:tcPr>
          <w:p>
            <w:pPr>
              <w:rPr>
                <w:rFonts w:ascii="Arial"/>
                <w:sz w:val="21"/>
              </w:rPr>
            </w:pPr>
            <w:r/>
          </w:p>
        </w:tc>
        <w:tc>
          <w:tcPr>
            <w:tcW w:w="520" w:type="dxa"/>
            <w:vAlign w:val="top"/>
            <w:vMerge w:val="restart"/>
            <w:tcBorders>
              <w:bottom w:val="nil"/>
            </w:tcBorders>
          </w:tcPr>
          <w:p>
            <w:pPr>
              <w:spacing w:line="300" w:lineRule="auto"/>
              <w:rPr>
                <w:rFonts w:ascii="Arial"/>
                <w:sz w:val="21"/>
              </w:rPr>
            </w:pPr>
            <w:r/>
          </w:p>
          <w:p>
            <w:pPr>
              <w:spacing w:line="301" w:lineRule="auto"/>
              <w:rPr>
                <w:rFonts w:ascii="Arial"/>
                <w:sz w:val="21"/>
              </w:rPr>
            </w:pPr>
            <w:r/>
          </w:p>
          <w:p>
            <w:pPr>
              <w:pStyle w:val="TableText"/>
              <w:ind w:left="10"/>
              <w:spacing w:before="39" w:line="220" w:lineRule="auto"/>
              <w:rPr>
                <w:sz w:val="12"/>
                <w:szCs w:val="12"/>
              </w:rPr>
            </w:pPr>
            <w:r>
              <w:rPr>
                <w:sz w:val="12"/>
                <w:szCs w:val="12"/>
                <w:spacing w:val="-1"/>
              </w:rPr>
              <w:t>地下害虫</w:t>
            </w:r>
          </w:p>
        </w:tc>
        <w:tc>
          <w:tcPr>
            <w:tcW w:w="949" w:type="dxa"/>
            <w:vAlign w:val="top"/>
            <w:vMerge w:val="restart"/>
            <w:tcBorders>
              <w:bottom w:val="nil"/>
            </w:tcBorders>
          </w:tcPr>
          <w:p>
            <w:pPr>
              <w:spacing w:line="452" w:lineRule="auto"/>
              <w:rPr>
                <w:rFonts w:ascii="Arial"/>
                <w:sz w:val="21"/>
              </w:rPr>
            </w:pPr>
            <w:r/>
          </w:p>
          <w:p>
            <w:pPr>
              <w:pStyle w:val="TableText"/>
              <w:spacing w:before="39" w:line="219" w:lineRule="auto"/>
              <w:jc w:val="right"/>
              <w:rPr>
                <w:sz w:val="12"/>
                <w:szCs w:val="12"/>
              </w:rPr>
            </w:pPr>
            <w:r>
              <w:rPr>
                <w:sz w:val="12"/>
                <w:szCs w:val="12"/>
                <w:spacing w:val="8"/>
              </w:rPr>
              <w:t>红火蚁、白蚁、</w:t>
            </w:r>
          </w:p>
          <w:p>
            <w:pPr>
              <w:pStyle w:val="TableText"/>
              <w:ind w:left="99" w:hanging="59"/>
              <w:spacing w:before="16" w:line="250" w:lineRule="auto"/>
              <w:rPr>
                <w:sz w:val="12"/>
                <w:szCs w:val="12"/>
              </w:rPr>
            </w:pPr>
            <w:r>
              <w:rPr>
                <w:sz w:val="12"/>
                <w:szCs w:val="12"/>
                <w:spacing w:val="8"/>
              </w:rPr>
              <w:t>蛴蜡、地老虎、</w:t>
            </w:r>
            <w:r>
              <w:rPr>
                <w:sz w:val="12"/>
                <w:szCs w:val="12"/>
                <w:spacing w:val="1"/>
              </w:rPr>
              <w:t xml:space="preserve"> </w:t>
            </w:r>
            <w:r>
              <w:rPr>
                <w:sz w:val="12"/>
                <w:szCs w:val="12"/>
                <w:spacing w:val="-1"/>
              </w:rPr>
              <w:t>其他土中虫卵</w:t>
            </w:r>
          </w:p>
        </w:tc>
        <w:tc>
          <w:tcPr>
            <w:tcW w:w="2668" w:type="dxa"/>
            <w:vAlign w:val="top"/>
            <w:vMerge w:val="restart"/>
            <w:tcBorders>
              <w:bottom w:val="nil"/>
            </w:tcBorders>
          </w:tcPr>
          <w:p>
            <w:pPr>
              <w:pStyle w:val="TableText"/>
              <w:ind w:left="10" w:hanging="9"/>
              <w:spacing w:before="145" w:line="220" w:lineRule="auto"/>
              <w:jc w:val="both"/>
              <w:rPr>
                <w:sz w:val="12"/>
                <w:szCs w:val="12"/>
              </w:rPr>
            </w:pPr>
            <w:r>
              <w:rPr>
                <w:sz w:val="12"/>
                <w:szCs w:val="12"/>
                <w:spacing w:val="-2"/>
              </w:rPr>
              <w:t>一、红火蚁、白蚁全年都有危害，红火蚁10-11月为</w:t>
            </w:r>
            <w:r>
              <w:rPr>
                <w:sz w:val="12"/>
                <w:szCs w:val="12"/>
                <w:spacing w:val="4"/>
              </w:rPr>
              <w:t xml:space="preserve"> </w:t>
            </w:r>
            <w:r>
              <w:rPr>
                <w:sz w:val="12"/>
                <w:szCs w:val="12"/>
                <w:spacing w:val="-1"/>
              </w:rPr>
              <w:t>危害高峰，主要危害植物的幼芽、嫩茎与根系，同</w:t>
            </w:r>
            <w:r>
              <w:rPr>
                <w:sz w:val="12"/>
                <w:szCs w:val="12"/>
                <w:spacing w:val="14"/>
              </w:rPr>
              <w:t xml:space="preserve"> </w:t>
            </w:r>
            <w:r>
              <w:rPr>
                <w:sz w:val="12"/>
                <w:szCs w:val="12"/>
                <w:spacing w:val="-3"/>
              </w:rPr>
              <w:t>时还会盐咬人：白蚁6-8月会进行婚飞扩散，大量繁</w:t>
            </w:r>
            <w:r>
              <w:rPr>
                <w:sz w:val="12"/>
                <w:szCs w:val="12"/>
                <w:spacing w:val="17"/>
              </w:rPr>
              <w:t xml:space="preserve"> </w:t>
            </w:r>
            <w:r>
              <w:rPr>
                <w:sz w:val="12"/>
                <w:szCs w:val="12"/>
                <w:spacing w:val="-1"/>
              </w:rPr>
              <w:t>殖影响大树的根系，注意巡查，及时发现蚁穴，投</w:t>
            </w:r>
            <w:r>
              <w:rPr>
                <w:sz w:val="12"/>
                <w:szCs w:val="12"/>
                <w:spacing w:val="15"/>
                <w:w w:val="101"/>
              </w:rPr>
              <w:t xml:space="preserve"> </w:t>
            </w:r>
            <w:r>
              <w:rPr>
                <w:sz w:val="12"/>
                <w:szCs w:val="12"/>
              </w:rPr>
              <w:t>放蚁药防治：</w:t>
            </w:r>
          </w:p>
          <w:p>
            <w:pPr>
              <w:pStyle w:val="TableText"/>
              <w:ind w:left="11" w:right="50" w:firstLine="89"/>
              <w:spacing w:before="13" w:line="210" w:lineRule="auto"/>
              <w:rPr>
                <w:sz w:val="12"/>
                <w:szCs w:val="12"/>
              </w:rPr>
            </w:pPr>
            <w:r>
              <w:rPr>
                <w:sz w:val="12"/>
                <w:szCs w:val="12"/>
                <w:spacing w:val="-1"/>
              </w:rPr>
              <w:t>、9-11月小地老虎、黄地老虎主要危害草坪，地</w:t>
            </w:r>
            <w:r>
              <w:rPr>
                <w:sz w:val="12"/>
                <w:szCs w:val="12"/>
                <w:spacing w:val="8"/>
              </w:rPr>
              <w:t xml:space="preserve"> </w:t>
            </w:r>
            <w:r>
              <w:rPr>
                <w:sz w:val="12"/>
                <w:szCs w:val="12"/>
                <w:spacing w:val="10"/>
              </w:rPr>
              <w:t>被植物根系；</w:t>
            </w:r>
          </w:p>
          <w:p>
            <w:pPr>
              <w:pStyle w:val="TableText"/>
              <w:ind w:left="1"/>
              <w:spacing w:before="17" w:line="219" w:lineRule="auto"/>
              <w:rPr>
                <w:sz w:val="12"/>
                <w:szCs w:val="12"/>
              </w:rPr>
            </w:pPr>
            <w:r>
              <w:rPr>
                <w:sz w:val="12"/>
                <w:szCs w:val="12"/>
              </w:rPr>
              <w:t>三、蛴蜡4-6月、9-10月危害植物的根茎部。</w:t>
            </w:r>
          </w:p>
        </w:tc>
        <w:tc>
          <w:tcPr>
            <w:tcW w:w="1259" w:type="dxa"/>
            <w:vAlign w:val="top"/>
          </w:tcPr>
          <w:p>
            <w:pPr>
              <w:pStyle w:val="TableText"/>
              <w:ind w:left="443"/>
              <w:spacing w:before="53" w:line="219" w:lineRule="auto"/>
              <w:rPr>
                <w:sz w:val="12"/>
                <w:szCs w:val="12"/>
              </w:rPr>
            </w:pPr>
            <w:r>
              <w:rPr>
                <w:sz w:val="12"/>
                <w:szCs w:val="12"/>
                <w:spacing w:val="-2"/>
              </w:rPr>
              <w:t>倍睛松</w:t>
            </w:r>
          </w:p>
        </w:tc>
        <w:tc>
          <w:tcPr>
            <w:tcW w:w="1899" w:type="dxa"/>
            <w:vAlign w:val="top"/>
          </w:tcPr>
          <w:p>
            <w:pPr>
              <w:pStyle w:val="TableText"/>
              <w:ind w:left="764"/>
              <w:spacing w:before="54" w:line="219" w:lineRule="auto"/>
              <w:rPr>
                <w:sz w:val="12"/>
                <w:szCs w:val="12"/>
              </w:rPr>
            </w:pPr>
            <w:r>
              <w:rPr>
                <w:sz w:val="12"/>
                <w:szCs w:val="12"/>
                <w:spacing w:val="-2"/>
              </w:rPr>
              <w:t>辛硫磷</w:t>
            </w:r>
          </w:p>
        </w:tc>
        <w:tc>
          <w:tcPr>
            <w:tcW w:w="1599" w:type="dxa"/>
            <w:vAlign w:val="top"/>
          </w:tcPr>
          <w:p>
            <w:pPr>
              <w:pStyle w:val="TableText"/>
              <w:ind w:left="255"/>
              <w:spacing w:before="54" w:line="220" w:lineRule="auto"/>
              <w:rPr>
                <w:sz w:val="12"/>
                <w:szCs w:val="12"/>
              </w:rPr>
            </w:pPr>
            <w:r>
              <w:rPr>
                <w:sz w:val="12"/>
                <w:szCs w:val="12"/>
                <w:spacing w:val="-1"/>
              </w:rPr>
              <w:t>50%乳油1000-2000倍</w:t>
            </w:r>
          </w:p>
        </w:tc>
        <w:tc>
          <w:tcPr>
            <w:tcW w:w="1029"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85" w:hanging="69"/>
              <w:spacing w:before="39" w:line="248" w:lineRule="auto"/>
              <w:rPr>
                <w:sz w:val="12"/>
                <w:szCs w:val="12"/>
              </w:rPr>
            </w:pPr>
            <w:r>
              <w:rPr>
                <w:sz w:val="12"/>
                <w:szCs w:val="12"/>
                <w:spacing w:val="-2"/>
              </w:rPr>
              <w:t>一般用1次，视现场</w:t>
            </w:r>
            <w:r>
              <w:rPr>
                <w:sz w:val="12"/>
                <w:szCs w:val="12"/>
              </w:rPr>
              <w:t xml:space="preserve"> </w:t>
            </w:r>
            <w:r>
              <w:rPr>
                <w:sz w:val="12"/>
                <w:szCs w:val="12"/>
                <w:spacing w:val="-2"/>
              </w:rPr>
              <w:t>情况可增加次数</w:t>
            </w:r>
          </w:p>
        </w:tc>
        <w:tc>
          <w:tcPr>
            <w:tcW w:w="689" w:type="dxa"/>
            <w:vAlign w:val="top"/>
          </w:tcPr>
          <w:p>
            <w:pPr>
              <w:pStyle w:val="TableText"/>
              <w:ind w:left="157"/>
              <w:spacing w:before="49" w:line="214" w:lineRule="auto"/>
              <w:rPr>
                <w:sz w:val="12"/>
                <w:szCs w:val="12"/>
              </w:rPr>
            </w:pPr>
            <w:r>
              <w:rPr>
                <w:sz w:val="12"/>
                <w:szCs w:val="12"/>
                <w:spacing w:val="-1"/>
              </w:rPr>
              <w:t>30g/袋</w:t>
            </w:r>
          </w:p>
        </w:tc>
        <w:tc>
          <w:tcPr>
            <w:tcW w:w="2803" w:type="dxa"/>
            <w:vAlign w:val="top"/>
          </w:tcPr>
          <w:p>
            <w:pPr>
              <w:pStyle w:val="TableText"/>
              <w:ind w:left="8"/>
              <w:spacing w:before="53" w:line="219" w:lineRule="auto"/>
              <w:rPr>
                <w:sz w:val="12"/>
                <w:szCs w:val="12"/>
              </w:rPr>
            </w:pPr>
            <w:r>
              <w:rPr>
                <w:sz w:val="12"/>
                <w:szCs w:val="12"/>
                <w:spacing w:val="-1"/>
              </w:rPr>
              <w:t>采用灌浇和灌心防治地下害虫地老虎</w:t>
            </w:r>
          </w:p>
        </w:tc>
      </w:tr>
      <w:tr>
        <w:trPr>
          <w:trHeight w:val="22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54" w:line="219" w:lineRule="auto"/>
              <w:rPr>
                <w:sz w:val="12"/>
                <w:szCs w:val="12"/>
              </w:rPr>
            </w:pPr>
            <w:r>
              <w:rPr>
                <w:sz w:val="12"/>
                <w:szCs w:val="12"/>
                <w:spacing w:val="1"/>
              </w:rPr>
              <w:t>国光地杀</w:t>
            </w:r>
          </w:p>
        </w:tc>
        <w:tc>
          <w:tcPr>
            <w:tcW w:w="1899" w:type="dxa"/>
            <w:vAlign w:val="top"/>
          </w:tcPr>
          <w:p>
            <w:pPr>
              <w:pStyle w:val="TableText"/>
              <w:ind w:left="224"/>
              <w:spacing w:before="53" w:line="219" w:lineRule="auto"/>
              <w:rPr>
                <w:sz w:val="12"/>
                <w:szCs w:val="12"/>
              </w:rPr>
            </w:pPr>
            <w:r>
              <w:rPr>
                <w:sz w:val="12"/>
                <w:szCs w:val="12"/>
                <w:spacing w:val="-1"/>
              </w:rPr>
              <w:t>5%丁硫克百威毒死蜂顺粒剂</w:t>
            </w:r>
          </w:p>
        </w:tc>
        <w:tc>
          <w:tcPr>
            <w:tcW w:w="1599" w:type="dxa"/>
            <w:vAlign w:val="top"/>
          </w:tcPr>
          <w:p>
            <w:pPr>
              <w:pStyle w:val="TableText"/>
              <w:ind w:left="255"/>
              <w:spacing w:before="49" w:line="214" w:lineRule="auto"/>
              <w:rPr>
                <w:sz w:val="12"/>
                <w:szCs w:val="12"/>
              </w:rPr>
            </w:pPr>
            <w:r>
              <w:rPr>
                <w:sz w:val="12"/>
                <w:szCs w:val="12"/>
                <w:spacing w:val="-1"/>
              </w:rPr>
              <w:t>直接撤施：5-7kg/亩</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57"/>
              <w:spacing w:before="49" w:line="214" w:lineRule="auto"/>
              <w:rPr>
                <w:sz w:val="12"/>
                <w:szCs w:val="12"/>
              </w:rPr>
            </w:pPr>
            <w:r>
              <w:rPr>
                <w:sz w:val="12"/>
                <w:szCs w:val="12"/>
                <w:spacing w:val="-3"/>
              </w:rPr>
              <w:t>lkg/袋</w:t>
            </w:r>
          </w:p>
        </w:tc>
        <w:tc>
          <w:tcPr>
            <w:tcW w:w="2803" w:type="dxa"/>
            <w:vAlign w:val="top"/>
          </w:tcPr>
          <w:p>
            <w:pPr>
              <w:pStyle w:val="TableText"/>
              <w:ind w:left="8"/>
              <w:spacing w:before="54" w:line="219" w:lineRule="auto"/>
              <w:rPr>
                <w:sz w:val="12"/>
                <w:szCs w:val="12"/>
              </w:rPr>
            </w:pPr>
            <w:r>
              <w:rPr>
                <w:sz w:val="12"/>
                <w:szCs w:val="12"/>
                <w:spacing w:val="-1"/>
              </w:rPr>
              <w:t>在土壤中杀灭害虫效果好，使用方便</w:t>
            </w:r>
          </w:p>
        </w:tc>
      </w:tr>
      <w:tr>
        <w:trPr>
          <w:trHeight w:val="32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03" w:line="219" w:lineRule="auto"/>
              <w:rPr>
                <w:sz w:val="12"/>
                <w:szCs w:val="12"/>
              </w:rPr>
            </w:pPr>
            <w:r>
              <w:rPr>
                <w:sz w:val="12"/>
                <w:szCs w:val="12"/>
                <w:spacing w:val="1"/>
              </w:rPr>
              <w:t>国光土杀</w:t>
            </w:r>
          </w:p>
        </w:tc>
        <w:tc>
          <w:tcPr>
            <w:tcW w:w="1899" w:type="dxa"/>
            <w:vAlign w:val="top"/>
          </w:tcPr>
          <w:p>
            <w:pPr>
              <w:pStyle w:val="TableText"/>
              <w:ind w:left="434"/>
              <w:spacing w:before="103" w:line="219" w:lineRule="auto"/>
              <w:rPr>
                <w:sz w:val="12"/>
                <w:szCs w:val="12"/>
              </w:rPr>
            </w:pPr>
            <w:r>
              <w:rPr>
                <w:sz w:val="12"/>
                <w:szCs w:val="12"/>
                <w:spacing w:val="-6"/>
              </w:rPr>
              <w:t>毒死蟀</w:t>
            </w:r>
            <w:r>
              <w:rPr>
                <w:sz w:val="12"/>
                <w:szCs w:val="12"/>
                <w:spacing w:val="-7"/>
              </w:rPr>
              <w:t xml:space="preserve"> </w:t>
            </w:r>
            <w:r>
              <w:rPr>
                <w:sz w:val="12"/>
                <w:szCs w:val="12"/>
                <w:spacing w:val="-6"/>
              </w:rPr>
              <w:t>·辛硫磷40%</w:t>
            </w:r>
          </w:p>
        </w:tc>
        <w:tc>
          <w:tcPr>
            <w:tcW w:w="1599" w:type="dxa"/>
            <w:vAlign w:val="top"/>
          </w:tcPr>
          <w:p>
            <w:pPr>
              <w:pStyle w:val="TableText"/>
              <w:ind w:left="345"/>
              <w:spacing w:before="103" w:line="219" w:lineRule="auto"/>
              <w:rPr>
                <w:sz w:val="12"/>
                <w:szCs w:val="12"/>
              </w:rPr>
            </w:pPr>
            <w:r>
              <w:rPr>
                <w:sz w:val="12"/>
                <w:szCs w:val="12"/>
                <w:spacing w:val="-1"/>
              </w:rPr>
              <w:t>津根2000-2500倍</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97"/>
              <w:spacing w:before="104" w:line="221" w:lineRule="auto"/>
              <w:rPr>
                <w:sz w:val="12"/>
                <w:szCs w:val="12"/>
              </w:rPr>
            </w:pPr>
            <w:r>
              <w:rPr>
                <w:sz w:val="12"/>
                <w:szCs w:val="12"/>
                <w:spacing w:val="-1"/>
              </w:rPr>
              <w:t>200ml/瓶</w:t>
            </w:r>
          </w:p>
        </w:tc>
        <w:tc>
          <w:tcPr>
            <w:tcW w:w="2803" w:type="dxa"/>
            <w:vAlign w:val="top"/>
          </w:tcPr>
          <w:p>
            <w:pPr>
              <w:pStyle w:val="TableText"/>
              <w:ind w:left="18" w:right="20"/>
              <w:spacing w:before="53" w:line="197" w:lineRule="auto"/>
              <w:rPr>
                <w:sz w:val="12"/>
                <w:szCs w:val="12"/>
              </w:rPr>
            </w:pPr>
            <w:r>
              <w:rPr>
                <w:sz w:val="12"/>
                <w:szCs w:val="12"/>
                <w:spacing w:val="-1"/>
              </w:rPr>
              <w:t>柔灭蛴鳍、蝼站、蚯蚓等地下害虫和粘虫、蚜虫、青</w:t>
            </w:r>
            <w:r>
              <w:rPr>
                <w:sz w:val="12"/>
                <w:szCs w:val="12"/>
                <w:spacing w:val="16"/>
                <w:w w:val="101"/>
              </w:rPr>
              <w:t xml:space="preserve"> </w:t>
            </w:r>
            <w:r>
              <w:rPr>
                <w:sz w:val="12"/>
                <w:szCs w:val="12"/>
                <w:spacing w:val="-2"/>
              </w:rPr>
              <w:t>虫，蚂蚁等</w:t>
            </w:r>
          </w:p>
        </w:tc>
      </w:tr>
      <w:tr>
        <w:trPr>
          <w:trHeight w:val="319"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323"/>
              <w:spacing w:before="104" w:line="220" w:lineRule="auto"/>
              <w:rPr>
                <w:sz w:val="12"/>
                <w:szCs w:val="12"/>
              </w:rPr>
            </w:pPr>
            <w:r>
              <w:rPr>
                <w:sz w:val="12"/>
                <w:szCs w:val="12"/>
              </w:rPr>
              <w:t>中威击绿健</w:t>
            </w:r>
          </w:p>
        </w:tc>
        <w:tc>
          <w:tcPr>
            <w:tcW w:w="1899" w:type="dxa"/>
            <w:vAlign w:val="top"/>
          </w:tcPr>
          <w:p>
            <w:pPr>
              <w:pStyle w:val="TableText"/>
              <w:ind w:left="674"/>
              <w:spacing w:before="103" w:line="219" w:lineRule="auto"/>
              <w:rPr>
                <w:sz w:val="12"/>
                <w:szCs w:val="12"/>
              </w:rPr>
            </w:pPr>
            <w:r>
              <w:rPr>
                <w:sz w:val="12"/>
                <w:szCs w:val="12"/>
                <w:spacing w:val="-1"/>
              </w:rPr>
              <w:t>二嗪磷20%</w:t>
            </w:r>
          </w:p>
        </w:tc>
        <w:tc>
          <w:tcPr>
            <w:tcW w:w="1599" w:type="dxa"/>
            <w:vAlign w:val="top"/>
          </w:tcPr>
          <w:p>
            <w:pPr>
              <w:pStyle w:val="TableText"/>
              <w:ind w:left="225"/>
              <w:spacing w:before="99" w:line="214" w:lineRule="auto"/>
              <w:rPr>
                <w:sz w:val="12"/>
                <w:szCs w:val="12"/>
              </w:rPr>
            </w:pPr>
            <w:r>
              <w:rPr>
                <w:sz w:val="12"/>
                <w:szCs w:val="12"/>
                <w:spacing w:val="-1"/>
              </w:rPr>
              <w:t>直接激施，每亩1-2kg</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57"/>
              <w:spacing w:before="99" w:line="214" w:lineRule="auto"/>
              <w:rPr>
                <w:sz w:val="12"/>
                <w:szCs w:val="12"/>
              </w:rPr>
            </w:pPr>
            <w:r>
              <w:rPr>
                <w:sz w:val="12"/>
                <w:szCs w:val="12"/>
                <w:spacing w:val="-3"/>
              </w:rPr>
              <w:t>lkg/袋</w:t>
            </w:r>
          </w:p>
        </w:tc>
        <w:tc>
          <w:tcPr>
            <w:tcW w:w="2803" w:type="dxa"/>
            <w:vAlign w:val="top"/>
          </w:tcPr>
          <w:p>
            <w:pPr>
              <w:pStyle w:val="TableText"/>
              <w:ind w:left="8" w:right="80" w:firstLine="9"/>
              <w:spacing w:before="33" w:line="210" w:lineRule="auto"/>
              <w:rPr>
                <w:sz w:val="12"/>
                <w:szCs w:val="12"/>
              </w:rPr>
            </w:pPr>
            <w:r>
              <w:rPr>
                <w:sz w:val="12"/>
                <w:szCs w:val="12"/>
                <w:spacing w:val="-1"/>
              </w:rPr>
              <w:t>专治草坪地下害虫(蛴蛐、金针虫、地老虎、根结线</w:t>
            </w:r>
            <w:r>
              <w:rPr>
                <w:sz w:val="12"/>
                <w:szCs w:val="12"/>
                <w:spacing w:val="16"/>
                <w:w w:val="101"/>
              </w:rPr>
              <w:t xml:space="preserve"> </w:t>
            </w:r>
            <w:r>
              <w:rPr>
                <w:sz w:val="12"/>
                <w:szCs w:val="12"/>
                <w:spacing w:val="8"/>
              </w:rPr>
              <w:t>虫等)</w:t>
            </w:r>
          </w:p>
        </w:tc>
      </w:tr>
      <w:tr>
        <w:trPr>
          <w:trHeight w:val="280" w:hRule="atLeast"/>
        </w:trPr>
        <w:tc>
          <w:tcPr>
            <w:tcW w:w="415" w:type="dxa"/>
            <w:vAlign w:val="top"/>
            <w:vMerge w:val="continue"/>
            <w:tcBorders>
              <w:top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59" w:type="dxa"/>
            <w:vAlign w:val="top"/>
          </w:tcPr>
          <w:p>
            <w:pPr>
              <w:pStyle w:val="TableText"/>
              <w:ind w:left="383"/>
              <w:spacing w:before="84" w:line="219" w:lineRule="auto"/>
              <w:rPr>
                <w:sz w:val="12"/>
                <w:szCs w:val="12"/>
              </w:rPr>
            </w:pPr>
            <w:r>
              <w:rPr>
                <w:sz w:val="12"/>
                <w:szCs w:val="12"/>
                <w:spacing w:val="1"/>
              </w:rPr>
              <w:t>国光移成</w:t>
            </w:r>
          </w:p>
        </w:tc>
        <w:tc>
          <w:tcPr>
            <w:tcW w:w="1899" w:type="dxa"/>
            <w:vAlign w:val="top"/>
          </w:tcPr>
          <w:p>
            <w:pPr>
              <w:pStyle w:val="TableText"/>
              <w:ind w:left="164"/>
              <w:spacing w:before="84" w:line="219" w:lineRule="auto"/>
              <w:rPr>
                <w:sz w:val="12"/>
                <w:szCs w:val="12"/>
              </w:rPr>
            </w:pPr>
            <w:r>
              <w:rPr>
                <w:sz w:val="12"/>
                <w:szCs w:val="12"/>
                <w:spacing w:val="1"/>
              </w:rPr>
              <w:t>12%含氨基酸水溶肥料(礴+锌)</w:t>
            </w:r>
          </w:p>
        </w:tc>
        <w:tc>
          <w:tcPr>
            <w:tcW w:w="1599" w:type="dxa"/>
            <w:vAlign w:val="top"/>
          </w:tcPr>
          <w:p>
            <w:pPr>
              <w:pStyle w:val="TableText"/>
              <w:ind w:left="465"/>
              <w:spacing w:before="85" w:line="220" w:lineRule="auto"/>
              <w:rPr>
                <w:sz w:val="12"/>
                <w:szCs w:val="12"/>
              </w:rPr>
            </w:pPr>
            <w:r>
              <w:rPr>
                <w:sz w:val="12"/>
                <w:szCs w:val="12"/>
                <w:spacing w:val="-2"/>
              </w:rPr>
              <w:t>1000-1200倍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127"/>
              <w:spacing w:before="80" w:line="214" w:lineRule="auto"/>
              <w:rPr>
                <w:sz w:val="12"/>
                <w:szCs w:val="12"/>
              </w:rPr>
            </w:pPr>
            <w:r>
              <w:rPr>
                <w:sz w:val="12"/>
                <w:szCs w:val="12"/>
                <w:spacing w:val="-1"/>
              </w:rPr>
              <w:t>200g/瓶</w:t>
            </w:r>
          </w:p>
        </w:tc>
        <w:tc>
          <w:tcPr>
            <w:tcW w:w="2803" w:type="dxa"/>
            <w:vAlign w:val="top"/>
          </w:tcPr>
          <w:p>
            <w:pPr>
              <w:pStyle w:val="TableText"/>
              <w:ind w:left="8"/>
              <w:spacing w:before="84" w:line="219" w:lineRule="auto"/>
              <w:rPr>
                <w:sz w:val="12"/>
                <w:szCs w:val="12"/>
              </w:rPr>
            </w:pPr>
            <w:r>
              <w:rPr>
                <w:sz w:val="12"/>
                <w:szCs w:val="12"/>
                <w:spacing w:val="-1"/>
              </w:rPr>
              <w:t>补充水分和养分，促进快速成活</w:t>
            </w:r>
          </w:p>
        </w:tc>
      </w:tr>
      <w:tr>
        <w:trPr>
          <w:trHeight w:val="200" w:hRule="atLeast"/>
        </w:trPr>
        <w:tc>
          <w:tcPr>
            <w:tcW w:w="415" w:type="dxa"/>
            <w:vAlign w:val="top"/>
            <w:vMerge w:val="restart"/>
            <w:tcBorders>
              <w:bottom w:val="nil"/>
            </w:tcBorders>
          </w:tcPr>
          <w:p>
            <w:pPr>
              <w:spacing w:line="373" w:lineRule="auto"/>
              <w:rPr>
                <w:rFonts w:ascii="Arial"/>
                <w:sz w:val="21"/>
              </w:rPr>
            </w:pPr>
            <w:r/>
          </w:p>
          <w:p>
            <w:pPr>
              <w:pStyle w:val="TableText"/>
              <w:ind w:left="14"/>
              <w:spacing w:before="39" w:line="219" w:lineRule="auto"/>
              <w:rPr>
                <w:sz w:val="12"/>
                <w:szCs w:val="12"/>
              </w:rPr>
            </w:pPr>
            <w:r>
              <w:rPr>
                <w:sz w:val="12"/>
                <w:szCs w:val="12"/>
                <w:spacing w:val="-2"/>
              </w:rPr>
              <w:t>营养刻</w:t>
            </w:r>
          </w:p>
          <w:p>
            <w:pPr>
              <w:pStyle w:val="TableText"/>
              <w:ind w:left="44"/>
              <w:spacing w:before="16" w:line="219" w:lineRule="auto"/>
              <w:rPr>
                <w:sz w:val="12"/>
                <w:szCs w:val="12"/>
              </w:rPr>
            </w:pPr>
            <w:r>
              <w:rPr>
                <w:sz w:val="12"/>
                <w:szCs w:val="12"/>
                <w:spacing w:val="-1"/>
              </w:rPr>
              <w:t>/肥料</w:t>
            </w:r>
          </w:p>
        </w:tc>
        <w:tc>
          <w:tcPr>
            <w:tcW w:w="520" w:type="dxa"/>
            <w:vAlign w:val="top"/>
            <w:vMerge w:val="restart"/>
            <w:tcBorders>
              <w:bottom w:val="nil"/>
            </w:tcBorders>
          </w:tcPr>
          <w:p>
            <w:pPr>
              <w:spacing w:line="443" w:lineRule="auto"/>
              <w:rPr>
                <w:rFonts w:ascii="Arial"/>
                <w:sz w:val="21"/>
              </w:rPr>
            </w:pPr>
            <w:r/>
          </w:p>
          <w:p>
            <w:pPr>
              <w:pStyle w:val="TableText"/>
              <w:ind w:left="10"/>
              <w:spacing w:before="39" w:line="219" w:lineRule="auto"/>
              <w:rPr>
                <w:sz w:val="12"/>
                <w:szCs w:val="12"/>
              </w:rPr>
            </w:pPr>
            <w:r>
              <w:rPr>
                <w:sz w:val="12"/>
                <w:szCs w:val="12"/>
                <w:spacing w:val="-1"/>
              </w:rPr>
              <w:t>树木复壮</w:t>
            </w:r>
          </w:p>
        </w:tc>
        <w:tc>
          <w:tcPr>
            <w:tcW w:w="949" w:type="dxa"/>
            <w:vAlign w:val="top"/>
            <w:vMerge w:val="restart"/>
            <w:tcBorders>
              <w:bottom w:val="nil"/>
            </w:tcBorders>
          </w:tcPr>
          <w:p>
            <w:pPr>
              <w:spacing w:line="244" w:lineRule="auto"/>
              <w:rPr>
                <w:rFonts w:ascii="Arial"/>
                <w:sz w:val="21"/>
              </w:rPr>
            </w:pPr>
            <w:r/>
          </w:p>
          <w:p>
            <w:pPr>
              <w:pStyle w:val="TableText"/>
              <w:ind w:left="40"/>
              <w:spacing w:before="39" w:line="219" w:lineRule="auto"/>
              <w:rPr>
                <w:sz w:val="12"/>
                <w:szCs w:val="12"/>
              </w:rPr>
            </w:pPr>
            <w:r>
              <w:rPr>
                <w:sz w:val="12"/>
                <w:szCs w:val="12"/>
                <w:spacing w:val="-1"/>
              </w:rPr>
              <w:t>树木长势弱，出</w:t>
            </w:r>
          </w:p>
          <w:p>
            <w:pPr>
              <w:pStyle w:val="TableText"/>
              <w:ind w:left="100"/>
              <w:spacing w:before="17" w:line="200" w:lineRule="auto"/>
              <w:rPr>
                <w:sz w:val="12"/>
                <w:szCs w:val="12"/>
              </w:rPr>
            </w:pPr>
            <w:r>
              <w:rPr>
                <w:sz w:val="12"/>
                <w:szCs w:val="12"/>
                <w:spacing w:val="-1"/>
              </w:rPr>
              <w:t>现叶片失绿现</w:t>
            </w:r>
          </w:p>
          <w:p>
            <w:pPr>
              <w:pStyle w:val="TableText"/>
              <w:ind w:left="80"/>
              <w:spacing w:line="219" w:lineRule="auto"/>
              <w:rPr>
                <w:sz w:val="12"/>
                <w:szCs w:val="12"/>
              </w:rPr>
            </w:pPr>
            <w:r>
              <w:rPr>
                <w:sz w:val="12"/>
                <w:szCs w:val="12"/>
                <w:spacing w:val="-2"/>
              </w:rPr>
              <w:t>象，或高大乔木</w:t>
            </w:r>
          </w:p>
          <w:p>
            <w:pPr>
              <w:pStyle w:val="TableText"/>
              <w:ind w:left="160"/>
              <w:spacing w:before="17" w:line="219" w:lineRule="auto"/>
              <w:rPr>
                <w:sz w:val="12"/>
                <w:szCs w:val="12"/>
              </w:rPr>
            </w:pPr>
            <w:r>
              <w:rPr>
                <w:sz w:val="12"/>
                <w:szCs w:val="12"/>
                <w:spacing w:val="-1"/>
              </w:rPr>
              <w:t>及贵重树木</w:t>
            </w:r>
          </w:p>
        </w:tc>
        <w:tc>
          <w:tcPr>
            <w:tcW w:w="2668" w:type="dxa"/>
            <w:vAlign w:val="top"/>
            <w:vMerge w:val="restart"/>
            <w:tcBorders>
              <w:bottom w:val="nil"/>
            </w:tcBorders>
          </w:tcPr>
          <w:p>
            <w:pPr>
              <w:pStyle w:val="TableText"/>
              <w:ind w:left="1"/>
              <w:spacing w:before="124" w:line="231" w:lineRule="auto"/>
              <w:rPr>
                <w:sz w:val="12"/>
                <w:szCs w:val="12"/>
              </w:rPr>
            </w:pPr>
            <w:r>
              <w:rPr>
                <w:sz w:val="12"/>
                <w:szCs w:val="12"/>
                <w:spacing w:val="-2"/>
              </w:rPr>
              <w:t>一、5-9月份受到台风暴雨的影响，树木根部积水，</w:t>
            </w:r>
            <w:r>
              <w:rPr>
                <w:sz w:val="12"/>
                <w:szCs w:val="12"/>
                <w:spacing w:val="3"/>
              </w:rPr>
              <w:t xml:space="preserve"> </w:t>
            </w:r>
            <w:r>
              <w:rPr>
                <w:sz w:val="12"/>
                <w:szCs w:val="12"/>
                <w:spacing w:val="-2"/>
              </w:rPr>
              <w:t>造成清害，注意排水及土壤松土透气；连续高温无</w:t>
            </w:r>
            <w:r>
              <w:rPr>
                <w:sz w:val="12"/>
                <w:szCs w:val="12"/>
                <w:spacing w:val="3"/>
              </w:rPr>
              <w:t xml:space="preserve">  </w:t>
            </w:r>
            <w:r>
              <w:rPr>
                <w:sz w:val="12"/>
                <w:szCs w:val="12"/>
                <w:spacing w:val="-3"/>
              </w:rPr>
              <w:t>雨季 节，植物萎蔫严重，采取措施保持树冠水</w:t>
            </w:r>
          </w:p>
          <w:p>
            <w:pPr>
              <w:pStyle w:val="TableText"/>
              <w:ind w:left="1"/>
              <w:spacing w:line="220" w:lineRule="auto"/>
              <w:rPr>
                <w:sz w:val="12"/>
                <w:szCs w:val="12"/>
              </w:rPr>
            </w:pPr>
            <w:r>
              <w:rPr>
                <w:sz w:val="12"/>
                <w:szCs w:val="12"/>
                <w:spacing w:val="-4"/>
              </w:rPr>
              <w:t>分</w:t>
            </w:r>
            <w:r>
              <w:rPr>
                <w:sz w:val="12"/>
                <w:szCs w:val="12"/>
                <w:spacing w:val="35"/>
              </w:rPr>
              <w:t xml:space="preserve"> </w:t>
            </w:r>
            <w:r>
              <w:rPr>
                <w:sz w:val="12"/>
                <w:szCs w:val="12"/>
                <w:spacing w:val="-4"/>
              </w:rPr>
              <w:t>；</w:t>
            </w:r>
          </w:p>
          <w:p>
            <w:pPr>
              <w:pStyle w:val="TableText"/>
              <w:ind w:left="11" w:right="13"/>
              <w:spacing w:before="16" w:line="209" w:lineRule="auto"/>
              <w:rPr>
                <w:sz w:val="12"/>
                <w:szCs w:val="12"/>
              </w:rPr>
            </w:pPr>
            <w:r>
              <w:rPr>
                <w:sz w:val="12"/>
                <w:szCs w:val="12"/>
                <w:spacing w:val="-1"/>
              </w:rPr>
              <w:t>二、12月-次年1月，注意寒害后树木的养护，根据</w:t>
            </w:r>
            <w:r>
              <w:rPr>
                <w:sz w:val="12"/>
                <w:szCs w:val="12"/>
                <w:spacing w:val="16"/>
              </w:rPr>
              <w:t xml:space="preserve"> </w:t>
            </w:r>
            <w:r>
              <w:rPr>
                <w:sz w:val="12"/>
                <w:szCs w:val="12"/>
              </w:rPr>
              <w:t>天气预报适时喷施抗冻剂，及时配合修剪。</w:t>
            </w:r>
          </w:p>
        </w:tc>
        <w:tc>
          <w:tcPr>
            <w:tcW w:w="1259" w:type="dxa"/>
            <w:vAlign w:val="top"/>
          </w:tcPr>
          <w:p>
            <w:pPr>
              <w:pStyle w:val="TableText"/>
              <w:ind w:left="323"/>
              <w:spacing w:before="45" w:line="220" w:lineRule="auto"/>
              <w:rPr>
                <w:sz w:val="12"/>
                <w:szCs w:val="12"/>
              </w:rPr>
            </w:pPr>
            <w:r>
              <w:rPr>
                <w:sz w:val="12"/>
                <w:szCs w:val="12"/>
                <w:spacing w:val="1"/>
              </w:rPr>
              <w:t>中威吊针液</w:t>
            </w:r>
          </w:p>
        </w:tc>
        <w:tc>
          <w:tcPr>
            <w:tcW w:w="1899" w:type="dxa"/>
            <w:vAlign w:val="top"/>
          </w:tcPr>
          <w:p>
            <w:pPr>
              <w:pStyle w:val="TableText"/>
              <w:ind w:left="164"/>
              <w:spacing w:before="45" w:line="219" w:lineRule="auto"/>
              <w:rPr>
                <w:sz w:val="12"/>
                <w:szCs w:val="12"/>
              </w:rPr>
            </w:pPr>
            <w:r>
              <w:rPr>
                <w:sz w:val="12"/>
                <w:szCs w:val="12"/>
                <w:spacing w:val="-1"/>
              </w:rPr>
              <w:t>DA-6.甲壳素、硼镁锌等2.85%</w:t>
            </w:r>
          </w:p>
        </w:tc>
        <w:tc>
          <w:tcPr>
            <w:tcW w:w="1599" w:type="dxa"/>
            <w:vAlign w:val="top"/>
          </w:tcPr>
          <w:p>
            <w:pPr>
              <w:pStyle w:val="TableText"/>
              <w:ind w:left="495"/>
              <w:spacing w:before="45" w:line="220" w:lineRule="auto"/>
              <w:rPr>
                <w:sz w:val="12"/>
                <w:szCs w:val="12"/>
              </w:rPr>
            </w:pPr>
            <w:r>
              <w:rPr>
                <w:sz w:val="12"/>
                <w:szCs w:val="12"/>
                <w:spacing w:val="-1"/>
              </w:rPr>
              <w:t>60-100倍液</w:t>
            </w:r>
          </w:p>
        </w:tc>
        <w:tc>
          <w:tcPr>
            <w:tcW w:w="1029" w:type="dxa"/>
            <w:vAlign w:val="top"/>
            <w:vMerge w:val="restart"/>
            <w:tcBorders>
              <w:bottom w:val="nil"/>
            </w:tcBorders>
          </w:tcPr>
          <w:p>
            <w:pPr>
              <w:spacing w:line="443" w:lineRule="auto"/>
              <w:rPr>
                <w:rFonts w:ascii="Arial"/>
                <w:sz w:val="21"/>
              </w:rPr>
            </w:pPr>
            <w:r/>
          </w:p>
          <w:p>
            <w:pPr>
              <w:pStyle w:val="TableText"/>
              <w:ind w:left="86"/>
              <w:spacing w:before="39" w:line="219" w:lineRule="auto"/>
              <w:rPr>
                <w:sz w:val="12"/>
                <w:szCs w:val="12"/>
              </w:rPr>
            </w:pPr>
            <w:r>
              <w:rPr>
                <w:sz w:val="12"/>
                <w:szCs w:val="12"/>
                <w:spacing w:val="-1"/>
              </w:rPr>
              <w:t>视树木生长情况</w:t>
            </w:r>
          </w:p>
        </w:tc>
        <w:tc>
          <w:tcPr>
            <w:tcW w:w="689" w:type="dxa"/>
            <w:vAlign w:val="top"/>
          </w:tcPr>
          <w:p>
            <w:pPr>
              <w:pStyle w:val="TableText"/>
              <w:ind w:left="157"/>
              <w:spacing w:before="40" w:line="214" w:lineRule="auto"/>
              <w:rPr>
                <w:sz w:val="12"/>
                <w:szCs w:val="12"/>
              </w:rPr>
            </w:pPr>
            <w:r>
              <w:rPr>
                <w:sz w:val="12"/>
                <w:szCs w:val="12"/>
                <w:spacing w:val="-3"/>
              </w:rPr>
              <w:t>Ikg/袋</w:t>
            </w:r>
          </w:p>
        </w:tc>
        <w:tc>
          <w:tcPr>
            <w:tcW w:w="2803" w:type="dxa"/>
            <w:vAlign w:val="top"/>
          </w:tcPr>
          <w:p>
            <w:pPr>
              <w:pStyle w:val="TableText"/>
              <w:ind w:left="8"/>
              <w:spacing w:before="45" w:line="219" w:lineRule="auto"/>
              <w:rPr>
                <w:sz w:val="12"/>
                <w:szCs w:val="12"/>
              </w:rPr>
            </w:pPr>
            <w:r>
              <w:rPr>
                <w:sz w:val="12"/>
                <w:szCs w:val="12"/>
                <w:spacing w:val="-1"/>
              </w:rPr>
              <w:t>堡设树体键壮，迅速补充营葬，增浙扰性，提高成</w:t>
            </w:r>
          </w:p>
        </w:tc>
      </w:tr>
      <w:tr>
        <w:trPr>
          <w:trHeight w:val="21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263"/>
              <w:spacing w:before="55" w:line="220" w:lineRule="auto"/>
              <w:rPr>
                <w:sz w:val="12"/>
                <w:szCs w:val="12"/>
              </w:rPr>
            </w:pPr>
            <w:r>
              <w:rPr>
                <w:sz w:val="12"/>
                <w:szCs w:val="12"/>
                <w:spacing w:val="-2"/>
              </w:rPr>
              <w:t>复方防冻专家</w:t>
            </w:r>
          </w:p>
        </w:tc>
        <w:tc>
          <w:tcPr>
            <w:tcW w:w="1899" w:type="dxa"/>
            <w:vAlign w:val="top"/>
          </w:tcPr>
          <w:p>
            <w:pPr>
              <w:spacing w:line="200" w:lineRule="exact"/>
              <w:rPr>
                <w:rFonts w:ascii="Arial"/>
                <w:sz w:val="17"/>
              </w:rPr>
            </w:pPr>
            <w:r/>
          </w:p>
        </w:tc>
        <w:tc>
          <w:tcPr>
            <w:tcW w:w="1599" w:type="dxa"/>
            <w:vAlign w:val="top"/>
          </w:tcPr>
          <w:p>
            <w:pPr>
              <w:pStyle w:val="TableText"/>
              <w:ind w:left="285"/>
              <w:spacing w:before="54" w:line="219" w:lineRule="auto"/>
              <w:rPr>
                <w:sz w:val="12"/>
                <w:szCs w:val="12"/>
              </w:rPr>
            </w:pPr>
            <w:r>
              <w:rPr>
                <w:sz w:val="12"/>
                <w:szCs w:val="12"/>
                <w:spacing w:val="-1"/>
              </w:rPr>
              <w:t>喷雾稀释150-200倍</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27"/>
              <w:spacing w:before="55" w:line="221" w:lineRule="auto"/>
              <w:rPr>
                <w:sz w:val="12"/>
                <w:szCs w:val="12"/>
              </w:rPr>
            </w:pPr>
            <w:r>
              <w:rPr>
                <w:sz w:val="12"/>
                <w:szCs w:val="12"/>
                <w:spacing w:val="-1"/>
              </w:rPr>
              <w:t>2.5L/瓶</w:t>
            </w:r>
          </w:p>
        </w:tc>
        <w:tc>
          <w:tcPr>
            <w:tcW w:w="2803" w:type="dxa"/>
            <w:vAlign w:val="top"/>
          </w:tcPr>
          <w:p>
            <w:pPr>
              <w:pStyle w:val="TableText"/>
              <w:ind w:left="8"/>
              <w:spacing w:before="54" w:line="219" w:lineRule="auto"/>
              <w:rPr>
                <w:sz w:val="12"/>
                <w:szCs w:val="12"/>
              </w:rPr>
            </w:pPr>
            <w:r>
              <w:rPr>
                <w:sz w:val="12"/>
                <w:szCs w:val="12"/>
                <w:spacing w:val="-1"/>
              </w:rPr>
              <w:t>寒潮来前10.11月提前7-10天使用2次</w:t>
            </w:r>
          </w:p>
        </w:tc>
      </w:tr>
      <w:tr>
        <w:trPr>
          <w:trHeight w:val="190" w:hRule="atLeast"/>
        </w:trPr>
        <w:tc>
          <w:tcPr>
            <w:tcW w:w="415" w:type="dxa"/>
            <w:vAlign w:val="top"/>
            <w:vMerge w:val="continue"/>
            <w:tcBorders>
              <w:top w:val="nil"/>
              <w:bottom w:val="nil"/>
            </w:tcBorders>
          </w:tcPr>
          <w:p>
            <w:pPr>
              <w:rPr>
                <w:rFonts w:ascii="Arial"/>
                <w:sz w:val="21"/>
              </w:rPr>
            </w:pPr>
            <w:r/>
          </w:p>
        </w:tc>
        <w:tc>
          <w:tcPr>
            <w:tcW w:w="520" w:type="dxa"/>
            <w:vAlign w:val="top"/>
            <w:vMerge w:val="continue"/>
            <w:tcBorders>
              <w:top w:val="nil"/>
              <w:bottom w:val="nil"/>
            </w:tcBorders>
          </w:tcPr>
          <w:p>
            <w:pPr>
              <w:rPr>
                <w:rFonts w:ascii="Arial"/>
                <w:sz w:val="21"/>
              </w:rPr>
            </w:pPr>
            <w:r/>
          </w:p>
        </w:tc>
        <w:tc>
          <w:tcPr>
            <w:tcW w:w="949" w:type="dxa"/>
            <w:vAlign w:val="top"/>
            <w:vMerge w:val="continue"/>
            <w:tcBorders>
              <w:top w:val="nil"/>
              <w:bottom w:val="nil"/>
            </w:tcBorders>
          </w:tcPr>
          <w:p>
            <w:pPr>
              <w:rPr>
                <w:rFonts w:ascii="Arial"/>
                <w:sz w:val="21"/>
              </w:rPr>
            </w:pPr>
            <w:r/>
          </w:p>
        </w:tc>
        <w:tc>
          <w:tcPr>
            <w:tcW w:w="2668" w:type="dxa"/>
            <w:vAlign w:val="top"/>
            <w:vMerge w:val="continue"/>
            <w:tcBorders>
              <w:top w:val="nil"/>
              <w:bottom w:val="nil"/>
            </w:tcBorders>
          </w:tcPr>
          <w:p>
            <w:pPr>
              <w:rPr>
                <w:rFonts w:ascii="Arial"/>
                <w:sz w:val="21"/>
              </w:rPr>
            </w:pPr>
            <w:r/>
          </w:p>
        </w:tc>
        <w:tc>
          <w:tcPr>
            <w:tcW w:w="1259" w:type="dxa"/>
            <w:vAlign w:val="top"/>
          </w:tcPr>
          <w:p>
            <w:pPr>
              <w:pStyle w:val="TableText"/>
              <w:ind w:left="263"/>
              <w:spacing w:before="44" w:line="208" w:lineRule="auto"/>
              <w:rPr>
                <w:sz w:val="12"/>
                <w:szCs w:val="12"/>
              </w:rPr>
            </w:pPr>
            <w:r>
              <w:rPr>
                <w:sz w:val="12"/>
                <w:szCs w:val="12"/>
                <w:spacing w:val="3"/>
              </w:rPr>
              <w:t>森特(营养液)</w:t>
            </w:r>
          </w:p>
        </w:tc>
        <w:tc>
          <w:tcPr>
            <w:tcW w:w="1899" w:type="dxa"/>
            <w:vAlign w:val="top"/>
          </w:tcPr>
          <w:p>
            <w:pPr>
              <w:pStyle w:val="TableText"/>
              <w:ind w:left="44"/>
              <w:spacing w:before="44" w:line="209" w:lineRule="auto"/>
              <w:rPr>
                <w:sz w:val="12"/>
                <w:szCs w:val="12"/>
              </w:rPr>
            </w:pPr>
            <w:r>
              <w:rPr>
                <w:sz w:val="12"/>
                <w:szCs w:val="12"/>
                <w:spacing w:val="-1"/>
              </w:rPr>
              <w:t>生长激素、微量元素、有机化合物</w:t>
            </w:r>
          </w:p>
        </w:tc>
        <w:tc>
          <w:tcPr>
            <w:tcW w:w="1599" w:type="dxa"/>
            <w:vAlign w:val="top"/>
          </w:tcPr>
          <w:p>
            <w:pPr>
              <w:pStyle w:val="TableText"/>
              <w:ind w:left="465"/>
              <w:spacing w:before="45" w:line="207" w:lineRule="auto"/>
              <w:rPr>
                <w:sz w:val="12"/>
                <w:szCs w:val="12"/>
              </w:rPr>
            </w:pPr>
            <w:r>
              <w:rPr>
                <w:sz w:val="12"/>
                <w:szCs w:val="12"/>
                <w:spacing w:val="-2"/>
              </w:rPr>
              <w:t>100-200倍波</w:t>
            </w:r>
          </w:p>
        </w:tc>
        <w:tc>
          <w:tcPr>
            <w:tcW w:w="1029" w:type="dxa"/>
            <w:vAlign w:val="top"/>
            <w:vMerge w:val="continue"/>
            <w:tcBorders>
              <w:top w:val="nil"/>
              <w:bottom w:val="nil"/>
            </w:tcBorders>
          </w:tcPr>
          <w:p>
            <w:pPr>
              <w:rPr>
                <w:rFonts w:ascii="Arial"/>
                <w:sz w:val="21"/>
              </w:rPr>
            </w:pPr>
            <w:r/>
          </w:p>
        </w:tc>
        <w:tc>
          <w:tcPr>
            <w:tcW w:w="689" w:type="dxa"/>
            <w:vAlign w:val="top"/>
          </w:tcPr>
          <w:p>
            <w:pPr>
              <w:pStyle w:val="TableText"/>
              <w:ind w:left="127"/>
              <w:spacing w:before="45" w:line="207" w:lineRule="auto"/>
              <w:rPr>
                <w:sz w:val="12"/>
                <w:szCs w:val="12"/>
              </w:rPr>
            </w:pPr>
            <w:r>
              <w:rPr>
                <w:sz w:val="12"/>
                <w:szCs w:val="12"/>
                <w:spacing w:val="-1"/>
              </w:rPr>
              <w:t>2.5L/瓶</w:t>
            </w:r>
          </w:p>
        </w:tc>
        <w:tc>
          <w:tcPr>
            <w:tcW w:w="2803" w:type="dxa"/>
            <w:vAlign w:val="top"/>
          </w:tcPr>
          <w:p>
            <w:pPr>
              <w:pStyle w:val="TableText"/>
              <w:ind w:left="8"/>
              <w:spacing w:before="44" w:line="208" w:lineRule="auto"/>
              <w:rPr>
                <w:sz w:val="12"/>
                <w:szCs w:val="12"/>
              </w:rPr>
            </w:pPr>
            <w:r>
              <w:rPr>
                <w:sz w:val="12"/>
                <w:szCs w:val="12"/>
                <w:spacing w:val="-1"/>
              </w:rPr>
              <w:t>位体量社，速补充管算，川金轨性，提高成店</w:t>
            </w:r>
          </w:p>
        </w:tc>
      </w:tr>
      <w:tr>
        <w:trPr>
          <w:trHeight w:val="444" w:hRule="atLeast"/>
        </w:trPr>
        <w:tc>
          <w:tcPr>
            <w:tcW w:w="415" w:type="dxa"/>
            <w:vAlign w:val="top"/>
            <w:vMerge w:val="continue"/>
            <w:tcBorders>
              <w:top w:val="nil"/>
            </w:tcBorders>
          </w:tcPr>
          <w:p>
            <w:pPr>
              <w:rPr>
                <w:rFonts w:ascii="Arial"/>
                <w:sz w:val="21"/>
              </w:rPr>
            </w:pPr>
            <w:r/>
          </w:p>
        </w:tc>
        <w:tc>
          <w:tcPr>
            <w:tcW w:w="520"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c>
          <w:tcPr>
            <w:tcW w:w="2668" w:type="dxa"/>
            <w:vAlign w:val="top"/>
            <w:vMerge w:val="continue"/>
            <w:tcBorders>
              <w:top w:val="nil"/>
            </w:tcBorders>
          </w:tcPr>
          <w:p>
            <w:pPr>
              <w:rPr>
                <w:rFonts w:ascii="Arial"/>
                <w:sz w:val="21"/>
              </w:rPr>
            </w:pPr>
            <w:r/>
          </w:p>
        </w:tc>
        <w:tc>
          <w:tcPr>
            <w:tcW w:w="1259" w:type="dxa"/>
            <w:vAlign w:val="top"/>
          </w:tcPr>
          <w:p>
            <w:pPr>
              <w:pStyle w:val="TableText"/>
              <w:ind w:left="143"/>
              <w:spacing w:before="194" w:line="219" w:lineRule="auto"/>
              <w:rPr>
                <w:sz w:val="12"/>
                <w:szCs w:val="12"/>
              </w:rPr>
            </w:pPr>
            <w:r>
              <w:rPr>
                <w:sz w:val="12"/>
                <w:szCs w:val="12"/>
                <w:spacing w:val="2"/>
              </w:rPr>
              <w:t>森特(蒸腾抑制剂)</w:t>
            </w:r>
          </w:p>
        </w:tc>
        <w:tc>
          <w:tcPr>
            <w:tcW w:w="1899" w:type="dxa"/>
            <w:vAlign w:val="top"/>
          </w:tcPr>
          <w:p>
            <w:pPr>
              <w:pStyle w:val="TableText"/>
              <w:ind w:left="914"/>
              <w:spacing w:before="188" w:line="224" w:lineRule="auto"/>
              <w:rPr>
                <w:sz w:val="12"/>
                <w:szCs w:val="12"/>
              </w:rPr>
            </w:pPr>
            <w:r>
              <w:rPr>
                <w:sz w:val="12"/>
                <w:szCs w:val="12"/>
                <w:color w:val="606060"/>
              </w:rPr>
              <w:t>/</w:t>
            </w:r>
          </w:p>
        </w:tc>
        <w:tc>
          <w:tcPr>
            <w:tcW w:w="1599" w:type="dxa"/>
            <w:vAlign w:val="top"/>
          </w:tcPr>
          <w:p>
            <w:pPr>
              <w:pStyle w:val="TableText"/>
              <w:ind w:left="225"/>
              <w:spacing w:before="184" w:line="219" w:lineRule="auto"/>
              <w:rPr>
                <w:sz w:val="12"/>
                <w:szCs w:val="12"/>
              </w:rPr>
            </w:pPr>
            <w:r>
              <w:rPr>
                <w:sz w:val="12"/>
                <w:szCs w:val="12"/>
                <w:spacing w:val="-1"/>
              </w:rPr>
              <w:t>喷雾：稀释150-200倍</w:t>
            </w:r>
          </w:p>
        </w:tc>
        <w:tc>
          <w:tcPr>
            <w:tcW w:w="1029" w:type="dxa"/>
            <w:vAlign w:val="top"/>
            <w:vMerge w:val="continue"/>
            <w:tcBorders>
              <w:top w:val="nil"/>
            </w:tcBorders>
          </w:tcPr>
          <w:p>
            <w:pPr>
              <w:rPr>
                <w:rFonts w:ascii="Arial"/>
                <w:sz w:val="21"/>
              </w:rPr>
            </w:pPr>
            <w:r/>
          </w:p>
        </w:tc>
        <w:tc>
          <w:tcPr>
            <w:tcW w:w="689" w:type="dxa"/>
            <w:vAlign w:val="top"/>
          </w:tcPr>
          <w:p>
            <w:pPr>
              <w:pStyle w:val="TableText"/>
              <w:ind w:left="127"/>
              <w:spacing w:before="165" w:line="221" w:lineRule="auto"/>
              <w:rPr>
                <w:sz w:val="12"/>
                <w:szCs w:val="12"/>
              </w:rPr>
            </w:pPr>
            <w:r>
              <w:rPr>
                <w:sz w:val="12"/>
                <w:szCs w:val="12"/>
                <w:spacing w:val="-1"/>
              </w:rPr>
              <w:t>2.5L/瓶</w:t>
            </w:r>
          </w:p>
        </w:tc>
        <w:tc>
          <w:tcPr>
            <w:tcW w:w="2803" w:type="dxa"/>
            <w:vAlign w:val="top"/>
          </w:tcPr>
          <w:p>
            <w:pPr>
              <w:pStyle w:val="TableText"/>
              <w:ind w:left="18" w:right="21"/>
              <w:spacing w:before="34" w:line="205" w:lineRule="auto"/>
              <w:jc w:val="both"/>
              <w:rPr>
                <w:sz w:val="12"/>
                <w:szCs w:val="12"/>
              </w:rPr>
            </w:pPr>
            <w:r>
              <w:rPr>
                <w:sz w:val="12"/>
                <w:szCs w:val="12"/>
                <w:spacing w:val="-1"/>
              </w:rPr>
              <w:t>唤洒药液时，要确保叶片背面、枝干上唤匀。以喷湿</w:t>
            </w:r>
            <w:r>
              <w:rPr>
                <w:sz w:val="12"/>
                <w:szCs w:val="12"/>
                <w:spacing w:val="12"/>
              </w:rPr>
              <w:t xml:space="preserve"> </w:t>
            </w:r>
            <w:r>
              <w:rPr>
                <w:sz w:val="12"/>
                <w:szCs w:val="12"/>
                <w:spacing w:val="-1"/>
              </w:rPr>
              <w:t>不滴水为宜，隔10天再喷一次效果更好。结合其他养</w:t>
            </w:r>
            <w:r>
              <w:rPr>
                <w:sz w:val="12"/>
                <w:szCs w:val="12"/>
                <w:spacing w:val="16"/>
              </w:rPr>
              <w:t xml:space="preserve"> </w:t>
            </w:r>
            <w:r>
              <w:rPr>
                <w:sz w:val="12"/>
                <w:szCs w:val="12"/>
                <w:spacing w:val="-1"/>
              </w:rPr>
              <w:t>护措施，如遮阴，适时浇灌和修剪等</w:t>
            </w:r>
          </w:p>
        </w:tc>
      </w:tr>
    </w:tbl>
    <w:p>
      <w:pPr>
        <w:spacing w:line="85" w:lineRule="exact"/>
        <w:rPr>
          <w:rFonts w:ascii="Arial"/>
          <w:sz w:val="7"/>
        </w:rPr>
      </w:pPr>
      <w:r/>
    </w:p>
    <w:p>
      <w:pPr>
        <w:spacing w:line="85" w:lineRule="exact"/>
        <w:sectPr>
          <w:pgSz w:w="14490" w:h="10240"/>
          <w:pgMar w:top="115" w:right="344" w:bottom="400" w:left="304" w:header="0" w:footer="0" w:gutter="0"/>
        </w:sectPr>
        <w:rPr>
          <w:rFonts w:ascii="Arial" w:hAnsi="Arial" w:eastAsia="Arial" w:cs="Arial"/>
          <w:sz w:val="7"/>
          <w:szCs w:val="7"/>
        </w:rPr>
      </w:pPr>
    </w:p>
    <w:p>
      <w:pPr>
        <w:pStyle w:val="BodyText"/>
        <w:ind w:left="11055" w:right="57"/>
        <w:spacing w:line="213" w:lineRule="auto"/>
        <w:rPr>
          <w:sz w:val="12"/>
          <w:szCs w:val="12"/>
        </w:rPr>
      </w:pPr>
      <w:r>
        <w:pict>
          <v:shape id="_x0000_s90" style="position:absolute;margin-left:292.252pt;margin-top:-1.47878pt;mso-position-vertical-relative:text;mso-position-horizontal-relative:text;width:93.55pt;height:97.95pt;z-index:254775296;" filled="false" stroked="false" type="#_x0000_t202">
            <v:fill on="false"/>
            <v:stroke on="false"/>
            <v:path/>
            <v:imagedata o:title=""/>
            <o:lock v:ext="edit" aspectratio="false"/>
            <v:textbox inset="0mm,0mm,0mm,0mm">
              <w:txbxContent>
                <w:p>
                  <w:pPr>
                    <w:pStyle w:val="BodyText"/>
                    <w:ind w:left="49"/>
                    <w:spacing w:before="20" w:line="219" w:lineRule="auto"/>
                    <w:rPr>
                      <w:sz w:val="12"/>
                      <w:szCs w:val="12"/>
                    </w:rPr>
                  </w:pPr>
                  <w:r>
                    <w:rPr>
                      <w:sz w:val="12"/>
                      <w:szCs w:val="12"/>
                    </w:rPr>
                    <w:t>生根诱导因子、核甘酸、氟、磷，</w:t>
                  </w:r>
                </w:p>
                <w:p>
                  <w:pPr>
                    <w:pStyle w:val="BodyText"/>
                    <w:ind w:left="440"/>
                    <w:spacing w:before="17" w:line="219" w:lineRule="auto"/>
                    <w:rPr>
                      <w:sz w:val="12"/>
                      <w:szCs w:val="12"/>
                    </w:rPr>
                  </w:pPr>
                  <w:r>
                    <w:rPr>
                      <w:sz w:val="12"/>
                      <w:szCs w:val="12"/>
                      <w:spacing w:val="-1"/>
                    </w:rPr>
                    <w:t>钾及多种微量元素</w:t>
                  </w:r>
                </w:p>
                <w:p>
                  <w:pPr>
                    <w:pStyle w:val="BodyText"/>
                    <w:ind w:left="289"/>
                    <w:spacing w:before="36" w:line="219" w:lineRule="auto"/>
                    <w:rPr>
                      <w:sz w:val="12"/>
                      <w:szCs w:val="12"/>
                    </w:rPr>
                  </w:pPr>
                  <w:r>
                    <w:rPr>
                      <w:sz w:val="12"/>
                      <w:szCs w:val="12"/>
                      <w:spacing w:val="2"/>
                    </w:rPr>
                    <w:t>13%含氨基酸水溶肥(钙)</w:t>
                  </w:r>
                </w:p>
                <w:p>
                  <w:pPr>
                    <w:pStyle w:val="BodyText"/>
                    <w:ind w:left="350"/>
                    <w:spacing w:before="108" w:line="220" w:lineRule="auto"/>
                    <w:rPr>
                      <w:sz w:val="12"/>
                      <w:szCs w:val="12"/>
                    </w:rPr>
                  </w:pPr>
                  <w:r>
                    <w:rPr>
                      <w:sz w:val="12"/>
                      <w:szCs w:val="12"/>
                      <w:spacing w:val="-1"/>
                    </w:rPr>
                    <w:t>藜乙酸、咧噪乙酸10%</w:t>
                  </w:r>
                </w:p>
                <w:p>
                  <w:pPr>
                    <w:pStyle w:val="BodyText"/>
                    <w:ind w:left="579" w:right="295" w:hanging="320"/>
                    <w:spacing w:before="146" w:line="225" w:lineRule="auto"/>
                    <w:rPr>
                      <w:sz w:val="12"/>
                      <w:szCs w:val="12"/>
                    </w:rPr>
                  </w:pPr>
                  <w:r>
                    <w:rPr>
                      <w:sz w:val="12"/>
                      <w:szCs w:val="12"/>
                      <w:spacing w:val="-1"/>
                    </w:rPr>
                    <w:t>有机质黄腐酸、大量元素</w:t>
                  </w:r>
                  <w:r>
                    <w:rPr>
                      <w:sz w:val="12"/>
                      <w:szCs w:val="12"/>
                      <w:spacing w:val="4"/>
                    </w:rPr>
                    <w:t xml:space="preserve"> </w:t>
                  </w:r>
                  <w:r>
                    <w:rPr>
                      <w:sz w:val="12"/>
                      <w:szCs w:val="12"/>
                      <w:spacing w:val="-2"/>
                    </w:rPr>
                    <w:t>11g/L+454g/L</w:t>
                  </w:r>
                </w:p>
                <w:p>
                  <w:pPr>
                    <w:pStyle w:val="BodyText"/>
                    <w:ind w:left="680" w:right="55" w:hanging="660"/>
                    <w:spacing w:before="138" w:line="217" w:lineRule="auto"/>
                    <w:rPr>
                      <w:sz w:val="12"/>
                      <w:szCs w:val="12"/>
                    </w:rPr>
                  </w:pPr>
                  <w:r>
                    <w:rPr>
                      <w:sz w:val="12"/>
                      <w:szCs w:val="12"/>
                      <w:spacing w:val="-1"/>
                    </w:rPr>
                    <w:t>细胞分裂类高活性物质、含丰富矿</w:t>
                  </w:r>
                  <w:r>
                    <w:rPr>
                      <w:sz w:val="12"/>
                      <w:szCs w:val="12"/>
                      <w:spacing w:val="8"/>
                    </w:rPr>
                    <w:t xml:space="preserve"> </w:t>
                  </w:r>
                  <w:r>
                    <w:rPr>
                      <w:sz w:val="12"/>
                      <w:szCs w:val="12"/>
                      <w:spacing w:val="-1"/>
                    </w:rPr>
                    <w:t>物质溶剂</w:t>
                  </w:r>
                </w:p>
                <w:p>
                  <w:pPr>
                    <w:pStyle w:val="BodyText"/>
                    <w:ind w:left="440"/>
                    <w:spacing w:before="186" w:line="216" w:lineRule="auto"/>
                    <w:rPr>
                      <w:sz w:val="12"/>
                      <w:szCs w:val="12"/>
                    </w:rPr>
                  </w:pPr>
                  <w:r>
                    <w:rPr>
                      <w:sz w:val="12"/>
                      <w:szCs w:val="12"/>
                      <w:spacing w:val="-1"/>
                    </w:rPr>
                    <w:t>6B-A,复硝酚钠10%</w:t>
                  </w:r>
                </w:p>
              </w:txbxContent>
            </v:textbox>
          </v:shape>
        </w:pict>
      </w:r>
      <w:r>
        <w:pict>
          <v:shape id="_x0000_s92" style="position:absolute;margin-left:519.752pt;margin-top:2.33903pt;mso-position-vertical-relative:text;mso-position-horizontal-relative:text;width:28.65pt;height:95.45pt;z-index:254781440;" filled="false" stroked="false" type="#_x0000_t202">
            <v:fill on="false"/>
            <v:stroke on="false"/>
            <v:path/>
            <v:imagedata o:title=""/>
            <o:lock v:ext="edit" aspectratio="false"/>
            <v:textbox inset="0mm,0mm,0mm,0mm">
              <w:txbxContent>
                <w:p>
                  <w:pPr>
                    <w:pStyle w:val="BodyText"/>
                    <w:ind w:left="109"/>
                    <w:spacing w:before="19" w:line="214" w:lineRule="auto"/>
                    <w:rPr>
                      <w:sz w:val="12"/>
                      <w:szCs w:val="12"/>
                    </w:rPr>
                  </w:pPr>
                  <w:r>
                    <w:rPr>
                      <w:sz w:val="12"/>
                      <w:szCs w:val="12"/>
                      <w:spacing w:val="-1"/>
                    </w:rPr>
                    <w:t>4kg/桶</w:t>
                  </w:r>
                </w:p>
                <w:p>
                  <w:pPr>
                    <w:pStyle w:val="BodyText"/>
                    <w:ind w:left="139"/>
                    <w:spacing w:before="125" w:line="221" w:lineRule="auto"/>
                    <w:rPr>
                      <w:sz w:val="12"/>
                      <w:szCs w:val="12"/>
                    </w:rPr>
                  </w:pPr>
                  <w:r>
                    <w:rPr>
                      <w:sz w:val="12"/>
                      <w:szCs w:val="12"/>
                      <w:spacing w:val="-2"/>
                    </w:rPr>
                    <w:t>IL/瓶</w:t>
                  </w:r>
                </w:p>
                <w:p>
                  <w:pPr>
                    <w:pStyle w:val="BodyText"/>
                    <w:ind w:left="109"/>
                    <w:spacing w:before="101" w:line="214" w:lineRule="auto"/>
                    <w:rPr>
                      <w:sz w:val="12"/>
                      <w:szCs w:val="12"/>
                    </w:rPr>
                  </w:pPr>
                  <w:r>
                    <w:rPr>
                      <w:sz w:val="12"/>
                      <w:szCs w:val="12"/>
                      <w:spacing w:val="-1"/>
                    </w:rPr>
                    <w:t>4kg/桶</w:t>
                  </w:r>
                </w:p>
                <w:p>
                  <w:pPr>
                    <w:pStyle w:val="BodyText"/>
                    <w:ind w:left="20"/>
                    <w:spacing w:before="245" w:line="221" w:lineRule="auto"/>
                    <w:rPr>
                      <w:sz w:val="12"/>
                      <w:szCs w:val="12"/>
                    </w:rPr>
                  </w:pPr>
                  <w:r>
                    <w:rPr>
                      <w:sz w:val="12"/>
                      <w:szCs w:val="12"/>
                      <w:spacing w:val="-1"/>
                    </w:rPr>
                    <w:t>5000ml/瓶</w:t>
                  </w:r>
                </w:p>
                <w:p>
                  <w:pPr>
                    <w:pStyle w:val="BodyText"/>
                    <w:ind w:left="49"/>
                    <w:spacing w:before="247" w:line="221" w:lineRule="auto"/>
                    <w:rPr>
                      <w:sz w:val="12"/>
                      <w:szCs w:val="12"/>
                    </w:rPr>
                  </w:pPr>
                  <w:r>
                    <w:rPr>
                      <w:sz w:val="12"/>
                      <w:szCs w:val="12"/>
                      <w:spacing w:val="-1"/>
                    </w:rPr>
                    <w:t>300ml/瓶</w:t>
                  </w:r>
                </w:p>
                <w:p>
                  <w:pPr>
                    <w:spacing w:line="255" w:lineRule="auto"/>
                    <w:rPr>
                      <w:rFonts w:ascii="Arial"/>
                      <w:sz w:val="21"/>
                    </w:rPr>
                  </w:pPr>
                  <w:r/>
                </w:p>
                <w:p>
                  <w:pPr>
                    <w:pStyle w:val="BodyText"/>
                    <w:ind w:left="49"/>
                    <w:spacing w:before="39" w:line="221" w:lineRule="auto"/>
                    <w:rPr>
                      <w:sz w:val="12"/>
                      <w:szCs w:val="12"/>
                    </w:rPr>
                  </w:pPr>
                  <w:r>
                    <w:rPr>
                      <w:sz w:val="12"/>
                      <w:szCs w:val="12"/>
                      <w:spacing w:val="-1"/>
                    </w:rPr>
                    <w:t>350ml/瓶</w:t>
                  </w:r>
                </w:p>
              </w:txbxContent>
            </v:textbox>
          </v:shape>
        </w:pict>
      </w:r>
      <w:r>
        <w:pict>
          <v:shape id="_x0000_s94" style="position:absolute;margin-left:238.755pt;margin-top:2.54905pt;mso-position-vertical-relative:text;mso-position-horizontal-relative:text;width:41.4pt;height:95.2pt;z-index:254779392;" filled="false" stroked="false" type="#_x0000_t202">
            <v:fill on="false"/>
            <v:stroke on="false"/>
            <v:path/>
            <v:imagedata o:title=""/>
            <o:lock v:ext="edit" aspectratio="false"/>
            <v:textbox inset="0mm,0mm,0mm,0mm">
              <w:txbxContent>
                <w:p>
                  <w:pPr>
                    <w:pStyle w:val="BodyText"/>
                    <w:ind w:left="229"/>
                    <w:spacing w:before="20" w:line="220" w:lineRule="auto"/>
                    <w:rPr>
                      <w:sz w:val="12"/>
                      <w:szCs w:val="12"/>
                    </w:rPr>
                  </w:pPr>
                  <w:r>
                    <w:rPr>
                      <w:sz w:val="12"/>
                      <w:szCs w:val="12"/>
                      <w:spacing w:val="-3"/>
                    </w:rPr>
                    <w:t>一露绿</w:t>
                  </w:r>
                </w:p>
                <w:p>
                  <w:pPr>
                    <w:pStyle w:val="BodyText"/>
                    <w:ind w:left="20"/>
                    <w:spacing w:before="116" w:line="219" w:lineRule="auto"/>
                    <w:rPr>
                      <w:sz w:val="12"/>
                      <w:szCs w:val="12"/>
                    </w:rPr>
                  </w:pPr>
                  <w:r>
                    <w:rPr>
                      <w:sz w:val="12"/>
                      <w:szCs w:val="12"/>
                      <w:spacing w:val="1"/>
                    </w:rPr>
                    <w:t>国光根动力2号</w:t>
                  </w:r>
                </w:p>
                <w:p>
                  <w:pPr>
                    <w:pStyle w:val="BodyText"/>
                    <w:ind w:left="109"/>
                    <w:spacing w:before="107" w:line="220" w:lineRule="auto"/>
                    <w:rPr>
                      <w:sz w:val="12"/>
                      <w:szCs w:val="12"/>
                    </w:rPr>
                  </w:pPr>
                  <w:r>
                    <w:rPr>
                      <w:sz w:val="12"/>
                      <w:szCs w:val="12"/>
                      <w:spacing w:val="1"/>
                    </w:rPr>
                    <w:t>中威生根液</w:t>
                  </w:r>
                </w:p>
                <w:p>
                  <w:pPr>
                    <w:pStyle w:val="BodyText"/>
                    <w:ind w:left="49"/>
                    <w:spacing w:before="236" w:line="219" w:lineRule="auto"/>
                    <w:rPr>
                      <w:sz w:val="12"/>
                      <w:szCs w:val="12"/>
                    </w:rPr>
                  </w:pPr>
                  <w:r>
                    <w:rPr>
                      <w:sz w:val="12"/>
                      <w:szCs w:val="12"/>
                      <w:spacing w:val="-1"/>
                    </w:rPr>
                    <w:t>诺督信根聚地</w:t>
                  </w:r>
                </w:p>
                <w:p>
                  <w:pPr>
                    <w:pStyle w:val="BodyText"/>
                    <w:ind w:left="109"/>
                    <w:spacing w:before="248" w:line="219" w:lineRule="auto"/>
                    <w:rPr>
                      <w:sz w:val="12"/>
                      <w:szCs w:val="12"/>
                    </w:rPr>
                  </w:pPr>
                  <w:r>
                    <w:rPr>
                      <w:sz w:val="12"/>
                      <w:szCs w:val="12"/>
                      <w:spacing w:val="2"/>
                    </w:rPr>
                    <w:t>国光树动力</w:t>
                  </w:r>
                </w:p>
                <w:p>
                  <w:pPr>
                    <w:spacing w:line="257" w:lineRule="auto"/>
                    <w:rPr>
                      <w:rFonts w:ascii="Arial"/>
                      <w:sz w:val="21"/>
                    </w:rPr>
                  </w:pPr>
                  <w:r/>
                </w:p>
                <w:p>
                  <w:pPr>
                    <w:pStyle w:val="BodyText"/>
                    <w:ind w:left="109"/>
                    <w:spacing w:before="39" w:line="220" w:lineRule="auto"/>
                    <w:rPr>
                      <w:sz w:val="12"/>
                      <w:szCs w:val="12"/>
                    </w:rPr>
                  </w:pPr>
                  <w:r>
                    <w:rPr>
                      <w:sz w:val="12"/>
                      <w:szCs w:val="12"/>
                      <w:spacing w:val="1"/>
                    </w:rPr>
                    <w:t>中威激活液</w:t>
                  </w:r>
                </w:p>
              </w:txbxContent>
            </v:textbox>
          </v:shape>
        </w:pict>
      </w:r>
      <w:r>
        <w:pict>
          <v:shape id="_x0000_s96" style="position:absolute;margin-left:385.756pt;margin-top:2.54905pt;mso-position-vertical-relative:text;mso-position-horizontal-relative:text;width:81.1pt;height:147.65pt;z-index:254773248;" filled="false" stroked="false" type="#_x0000_t202">
            <v:fill on="false"/>
            <v:stroke on="false"/>
            <v:path/>
            <v:imagedata o:title=""/>
            <o:lock v:ext="edit" aspectratio="false"/>
            <v:textbox inset="0mm,0mm,0mm,0mm">
              <w:txbxContent>
                <w:p>
                  <w:pPr>
                    <w:pStyle w:val="BodyText"/>
                    <w:ind w:left="469"/>
                    <w:spacing w:before="20" w:line="220" w:lineRule="auto"/>
                    <w:rPr>
                      <w:sz w:val="12"/>
                      <w:szCs w:val="12"/>
                    </w:rPr>
                  </w:pPr>
                  <w:r>
                    <w:rPr>
                      <w:sz w:val="12"/>
                      <w:szCs w:val="12"/>
                      <w:spacing w:val="-1"/>
                    </w:rPr>
                    <w:t>200-800倍液</w:t>
                  </w:r>
                </w:p>
                <w:p>
                  <w:pPr>
                    <w:pStyle w:val="BodyText"/>
                    <w:ind w:left="439"/>
                    <w:spacing w:before="116" w:line="220" w:lineRule="auto"/>
                    <w:rPr>
                      <w:sz w:val="12"/>
                      <w:szCs w:val="12"/>
                    </w:rPr>
                  </w:pPr>
                  <w:r>
                    <w:rPr>
                      <w:sz w:val="12"/>
                      <w:szCs w:val="12"/>
                      <w:spacing w:val="-1"/>
                    </w:rPr>
                    <w:t>800-1000倍液</w:t>
                  </w:r>
                </w:p>
                <w:p>
                  <w:pPr>
                    <w:pStyle w:val="BodyText"/>
                    <w:ind w:left="469"/>
                    <w:spacing w:before="106" w:line="220" w:lineRule="auto"/>
                    <w:rPr>
                      <w:sz w:val="12"/>
                      <w:szCs w:val="12"/>
                    </w:rPr>
                  </w:pPr>
                  <w:r>
                    <w:rPr>
                      <w:sz w:val="12"/>
                      <w:szCs w:val="12"/>
                      <w:spacing w:val="-1"/>
                    </w:rPr>
                    <w:t>300-500倍液</w:t>
                  </w:r>
                </w:p>
                <w:p>
                  <w:pPr>
                    <w:pStyle w:val="BodyText"/>
                    <w:ind w:left="529"/>
                    <w:spacing w:before="237" w:line="220" w:lineRule="auto"/>
                    <w:rPr>
                      <w:sz w:val="12"/>
                      <w:szCs w:val="12"/>
                    </w:rPr>
                  </w:pPr>
                  <w:r>
                    <w:rPr>
                      <w:sz w:val="12"/>
                      <w:szCs w:val="12"/>
                      <w:spacing w:val="-1"/>
                    </w:rPr>
                    <w:t>600-800倍</w:t>
                  </w:r>
                </w:p>
                <w:p>
                  <w:pPr>
                    <w:pStyle w:val="BodyText"/>
                    <w:ind w:left="69" w:right="47" w:hanging="49"/>
                    <w:spacing w:before="186" w:line="233" w:lineRule="auto"/>
                    <w:rPr>
                      <w:sz w:val="12"/>
                      <w:szCs w:val="12"/>
                    </w:rPr>
                  </w:pPr>
                  <w:r>
                    <w:rPr>
                      <w:sz w:val="12"/>
                      <w:szCs w:val="12"/>
                      <w:spacing w:val="-1"/>
                    </w:rPr>
                    <w:t>直接使用。一般胸径8-10cm折</w:t>
                  </w:r>
                  <w:r>
                    <w:rPr>
                      <w:sz w:val="12"/>
                      <w:szCs w:val="12"/>
                      <w:spacing w:val="9"/>
                    </w:rPr>
                    <w:t xml:space="preserve"> </w:t>
                  </w:r>
                  <w:r>
                    <w:rPr>
                      <w:sz w:val="12"/>
                      <w:szCs w:val="12"/>
                      <w:spacing w:val="-1"/>
                    </w:rPr>
                    <w:t>瓶，胸径每增加10cm增加1瓶</w:t>
                  </w:r>
                </w:p>
                <w:p>
                  <w:pPr>
                    <w:pStyle w:val="BodyText"/>
                    <w:ind w:left="20"/>
                    <w:spacing w:before="117" w:line="219" w:lineRule="auto"/>
                    <w:rPr>
                      <w:sz w:val="12"/>
                      <w:szCs w:val="12"/>
                    </w:rPr>
                  </w:pPr>
                  <w:r>
                    <w:rPr>
                      <w:sz w:val="12"/>
                      <w:szCs w:val="12"/>
                      <w:spacing w:val="-3"/>
                    </w:rPr>
                    <w:t>直接使用，一殿胸径8-10cn插1</w:t>
                  </w:r>
                </w:p>
                <w:p>
                  <w:pPr>
                    <w:pStyle w:val="BodyText"/>
                    <w:ind w:left="49"/>
                    <w:spacing w:before="18" w:line="219" w:lineRule="auto"/>
                    <w:rPr>
                      <w:sz w:val="12"/>
                      <w:szCs w:val="12"/>
                    </w:rPr>
                  </w:pPr>
                  <w:r>
                    <w:rPr>
                      <w:sz w:val="12"/>
                      <w:szCs w:val="12"/>
                      <w:spacing w:val="-1"/>
                    </w:rPr>
                    <w:t>瓶，胸径每增加10cm增加1短</w:t>
                  </w:r>
                </w:p>
                <w:p>
                  <w:pPr>
                    <w:pStyle w:val="BodyText"/>
                    <w:ind w:left="20"/>
                    <w:spacing w:before="58" w:line="219" w:lineRule="auto"/>
                    <w:rPr>
                      <w:sz w:val="12"/>
                      <w:szCs w:val="12"/>
                    </w:rPr>
                  </w:pPr>
                  <w:r>
                    <w:rPr>
                      <w:sz w:val="12"/>
                      <w:szCs w:val="12"/>
                      <w:spacing w:val="-1"/>
                    </w:rPr>
                    <w:t>直接使用，根据树的胸径进行</w:t>
                  </w:r>
                </w:p>
                <w:p>
                  <w:pPr>
                    <w:pStyle w:val="BodyText"/>
                    <w:ind w:left="69"/>
                    <w:spacing w:before="7" w:line="219" w:lineRule="auto"/>
                    <w:rPr>
                      <w:sz w:val="12"/>
                      <w:szCs w:val="12"/>
                    </w:rPr>
                  </w:pPr>
                  <w:r>
                    <w:rPr>
                      <w:sz w:val="12"/>
                      <w:szCs w:val="12"/>
                    </w:rPr>
                    <w:t>调整：10c一下的树1-2支，</w:t>
                  </w:r>
                </w:p>
                <w:p>
                  <w:pPr>
                    <w:pStyle w:val="BodyText"/>
                    <w:ind w:left="20"/>
                    <w:spacing w:before="8" w:line="201" w:lineRule="auto"/>
                    <w:rPr>
                      <w:sz w:val="12"/>
                      <w:szCs w:val="12"/>
                    </w:rPr>
                  </w:pPr>
                  <w:r>
                    <w:rPr>
                      <w:sz w:val="12"/>
                      <w:szCs w:val="12"/>
                      <w:spacing w:val="-3"/>
                    </w:rPr>
                    <w:t>10cn以上的树胸径每增加5cm则</w:t>
                  </w:r>
                </w:p>
                <w:p>
                  <w:pPr>
                    <w:pStyle w:val="BodyText"/>
                    <w:ind w:left="599"/>
                    <w:spacing w:line="220" w:lineRule="auto"/>
                    <w:rPr>
                      <w:sz w:val="12"/>
                      <w:szCs w:val="12"/>
                    </w:rPr>
                  </w:pPr>
                  <w:r>
                    <w:rPr>
                      <w:sz w:val="12"/>
                      <w:szCs w:val="12"/>
                      <w:spacing w:val="-1"/>
                    </w:rPr>
                    <w:t>增加1支</w:t>
                  </w:r>
                </w:p>
                <w:p>
                  <w:pPr>
                    <w:pStyle w:val="BodyText"/>
                    <w:ind w:left="559"/>
                    <w:spacing w:before="196" w:line="219" w:lineRule="auto"/>
                    <w:rPr>
                      <w:sz w:val="12"/>
                      <w:szCs w:val="12"/>
                    </w:rPr>
                  </w:pPr>
                  <w:r>
                    <w:rPr>
                      <w:sz w:val="12"/>
                      <w:szCs w:val="12"/>
                      <w:spacing w:val="3"/>
                    </w:rPr>
                    <w:t>直接使用</w:t>
                  </w:r>
                </w:p>
              </w:txbxContent>
            </v:textbox>
          </v:shape>
        </w:pict>
      </w:r>
      <w:r>
        <w:pict>
          <v:shape id="_x0000_s98" style="position:absolute;margin-left:0pt;margin-top:-1.9678pt;mso-position-vertical-relative:text;mso-position-horizontal-relative:text;width:692.05pt;height:390.55pt;z-index:-248546304;" filled="false" strokecolor="#000000" strokeweight="0.50pt" coordsize="13840,7810" coordorigin="0,0" path="m5,5l5,6694m5,5l415,5m415,5l415,6694m5,6694l415,6694m415,5l415,4825m415,5l935,5m935,5l935,4825m415,4825l935,4825m935,5l935,4825m935,5l1885,5m1885,5l1885,4825m935,4825l1885,4825m1885,5l1885,4825m1885,5l4555,5m4555,5l4555,4825m1885,4825l4555,4825m4555,5l4555,335m4555,5l5825,5m5825,5l5825,335m4555,335l5825,335m5825,5l5825,335m5825,5l7715,5m7715,5l7715,335m5825,335l7715,335m7715,5l7715,335m7715,5l9315,5m9315,5l9315,335m7715,335l9315,335m9315,5l9315,4044m9315,5l10345,5m10345,5l10345,4044m9315,4044l10345,4044m10345,5l10345,335m10345,5l11035,5m11035,5l11035,335m10345,335l11035,335m11035,5l11035,335m11035,5l13835,5m13835,5l13835,335m11035,335l13835,335m4555,335l4555,524m4555,335l5825,335m5825,335l5825,524m4555,524l5825,524m5825,335l5825,524m5825,335l7715,335m7715,335l7715,524m5825,524l7715,524m7715,335l7715,524m7715,335l9315,335m9315,335l9315,524m7715,524l9315,524m10345,335l10345,524m10345,335l11035,335m11035,335l11035,524m10345,524l11035,524m11035,335l11035,524m11035,335l13835,335m13835,335l13835,524m11035,524l13835,524m4555,524l4555,835m4555,524l5825,524m5825,524l5825,835m4555,835l5825,835m5825,524l5825,835m5825,524l7715,524m7715,524l7715,835m5825,835l7715,835m7715,524l7715,835m7715,524l9315,524m9315,524l9315,835m7715,835l9315,835m10345,524l10345,835m10345,524l11035,524m11035,524l11035,835m10345,835l11035,835m11035,524l11035,835m11035,524l13835,524m13835,524l13835,835m11035,835l13835,835m4555,835l4555,1224m4555,835l5825,835m5825,835l5825,1224m4555,1224l5825,1224m5825,835l5825,1224m5825,835l7715,835m7715,835l7715,1224m5825,1224l7715,1224m7715,835l7715,1224m7715,835l9315,835m9315,835l9315,1224m7715,1224l9315,1224m10345,835l10345,1224m10345,835l11035,835m11035,835l11035,1224m10345,1224l11035,1224m11035,835l11035,1224m11035,835l13835,835m13835,835l13835,1224m11035,1224l13835,1224m4555,1224l4555,1675m4555,1224l5825,1224m5825,1224l5825,1675m4555,1675l5825,1675m5825,1224l5825,1675m5825,1224l7715,1224m7715,1224l7715,1675m5825,1675l7715,1675m7715,1224l7715,1675m7715,1224l9315,1224m9315,1224l9315,1675m7715,1675l9315,1675m10345,1224l10345,1675m10345,1224l11035,1224m11035,1224l11035,1675m10345,1675l11035,1675m11035,1224l11035,1675m11035,1224l13835,1224m13835,1224l13835,1675m11035,1675l13835,1675m4555,1675l4555,2064m4555,1675l5825,1675m5825,1675l5825,2064m4555,2064l5825,2064m5825,1675l5825,2064m5825,1675l7715,1675m7715,1675l7715,2064m5825,2064l7715,2064m7715,1675l7715,2064m7715,1675l9315,1675m9315,1675l9315,2064m7715,2064l9315,2064m10345,1675l10345,2064m10345,1675l11035,1675m11035,1675l11035,2064m10345,2064l11035,2064m11035,1675l11035,2064m11035,1675l13835,1675m13835,1675l13835,2064m11035,2064l13835,2064m4555,2064l4555,2704m4555,2064l5825,2064m5825,2064l5825,2704m4555,2704l5825,2704m5825,2064l5825,2704m5825,2064l7715,2064m7715,2064l7715,2704m5825,2704l7715,2704m7715,2064l7715,2704m7715,2064l9315,2064m9315,2064l9315,2704m7715,2704l9315,2704m10345,2064l10345,2704m10345,2064l11035,2064m11035,2064l11035,2704m10345,2704l11035,2704m11035,2064l11035,2704m11035,2064l13835,2064m13835,2064l13835,2704m11035,2704l13835,2704m4555,2704l4555,3174m4555,2704l5825,2704m5825,2704l5825,3174m4555,3174l5825,3174m5825,2704l5825,3174m5825,2704l7715,2704m7715,2704l7715,3174m5825,3174l7715,3174m7715,2704l7715,3174m7715,2704l9315,2704m9315,2704l9315,3174m7715,3174l9315,3174m10345,2704l10345,3174m10345,2704l11035,2704m11035,2704l11035,3174m10345,3174l11035,3174m11035,2704l11035,3174m11035,2704l13835,2704m13835,2704l13835,3174m11035,3174l13835,3174m4555,3174l4555,3675m4555,3174l5825,3174m5825,3174l5825,3675m4555,3675l5825,3675m5825,3174l5825,3675m5825,3174l7715,3174m7715,3174l7715,3675m5825,3675l7715,3675m7715,3174l7715,3675m7715,3174l9315,3174m9315,3174l9315,3675m7715,3675l9315,3675m10345,3174l10345,3675m10345,3174l11035,3174m11035,3174l11035,3675m10345,3675l11035,3675m11035,3174l11035,3675m11035,3174l13835,3174m13835,3174l13835,3675m11035,3675l13835,3675m4555,3675l4555,4044m4555,3675l5825,3675m5825,3675l5825,4044m4555,4044l5825,4044m5825,3675l5825,4044m5825,3675l7715,3675m7715,3675l7715,4044m5825,4044l7715,4044m7715,3675l7715,4044m7715,3675l9315,3675m9315,3675l9315,4044m7715,4044l9315,4044m10345,3675l10345,4044m10345,3675l11035,3675m11035,3675l11035,4044m10345,4044l11035,4044m11035,3675l11035,4044m11035,3675l13835,3675m13835,3675l13835,4044m11035,4044l13835,4044m4555,4044l4555,4405m4555,4044l5825,4044m5825,4044l5825,4405m4555,4405l5825,4405m5825,4044l5825,4405m5825,4044l7715,4044m7715,4044l7715,4405m5825,4405l7715,4405m7715,4044l7715,4405m7715,4044l9315,4044m9315,4044l9315,4405m7715,4405l9315,4405m9315,4044l9315,4825m9315,4044l10345,4044m10345,4044l10345,4825m9315,4825l10345,4825m10345,4044l10345,4405m10345,4044l11035,4044m11035,4044l11035,4405m10345,4405l11035,4405m11035,4044l11035,4405m11035,4044l13835,4044m13835,4044l13835,4405m11035,4405l13835,4405m4555,4405l4555,4825m4555,4405l5825,4405m5825,4405l5825,4825m4555,4825l5825,4825m5825,4405l5825,4825m5825,4405l7715,4405m7715,4405l7715,4825m5825,4825l7715,4825m7715,4405l7715,4825m7715,4405l9315,4405m9315,4405l9315,4825m7715,4825l9315,4825m10345,4405l10345,4825m10345,4405l11035,4405m11035,4405l11035,4825m10345,4825l11035,4825m11035,4405l11035,4825m11035,4405l13835,4405m13835,4405l13835,4825m11035,4825l13835,4825m415,4825l415,6694m415,4825l935,4825m935,4825l935,6694m415,6694l935,6694m935,4825l935,6694m935,4825l1885,4825m1885,4825l1885,6694m935,6694l1885,6694m1885,4825l1885,6694m1885,4825l4555,4825m4555,4825l4555,6694m1885,6694l4555,6694m4555,4825l4555,5215m4555,4825l5825,4825m5825,4825l5825,5215m4555,5215l5825,5215m5825,4825l5825,5215m5825,4825l7715,4825m7715,4825l7715,5215m5825,5215l7715,5215m7715,4825l7715,5215m7715,4825l9315,4825m9315,4825l9315,5215m7715,5215l9315,5215m9315,4825l9315,6694m9315,4825l10345,4825m10345,4825l10345,6694m9315,6694l10345,6694m10345,4825l10345,5215m10345,4825l11035,4825m11035,4825l11035,5215m10345,5215l11035,5215m11035,4825l11035,5215m11035,4825l13835,4825m13835,4825l13835,5215m11035,5215l13835,5215m4555,5215l4555,5635m4555,5215l5825,5215m5825,5215l5825,5635m4555,5635l5825,5635m5825,5215l5825,5635m5825,5215l7715,5215m7715,5215l7715,5635m5825,5635l7715,5635m7715,5215l7715,5635m7715,5215l9315,5215m9315,5215l9315,5635m7715,5635l9315,5635m10345,5215l10345,5635m10345,5215l11035,5215m11035,5215l11035,5635m10345,5635l11035,5635m11035,5215l11035,5635m11035,5215l13835,5215m13835,5215l13835,5635m11035,5635l13835,5635m4555,5635l4555,5994m4555,5635l5825,5635m5825,5635l5825,5994m4555,5994l5825,5994m5825,5635l5825,5994m5825,5635l7715,5635m7715,5635l7715,5994m5825,5994l7715,5994m7715,5635l7715,5994m7715,5635l9315,5635m9315,5635l9315,5994m7715,5994l9315,5994m10345,5635l10345,5994m10345,5635l11035,5635m11035,5635l11035,5994m10345,5994l11035,5994m11035,5635l11035,5994m11035,5635l13835,5635m13835,5635l13835,5994m11035,5994l13835,5994m4555,5994l4555,6305m4555,5994l5825,5994m5825,5994l5825,6305m4555,6305l5825,6305m5825,5994l5825,6305m5825,5994l7715,5994m7715,5994l7715,6305m5825,6305l7715,6305m7715,5994l7715,6305m7715,5994l9315,5994m9315,5994l9315,6305m7715,6305l9315,6305m10345,5994l10345,6305m10345,5994l11035,5994m11035,5994l11035,6305m10345,6305l11035,6305m11035,5994l11035,6305m11035,5994l13835,5994m13835,5994l13835,6305m11035,6305l13835,6305m4555,6305l4555,6694m4555,6305l5825,6305m5825,6305l5825,6694m4555,6694l5825,6694m5825,6305l5825,6694m5825,6305l7715,6305m7715,6305l7715,6694m5825,6694l7715,6694m7715,6305l7715,6694m7715,6305l9315,6305m9315,6305l9315,6694m7715,6694l9315,6694m10345,6305l10345,6694m10345,6305l11035,6305m11035,6305l11035,6694m10345,6694l11035,6694m11035,6305l11035,6694m11035,6305l13835,6305m13835,6305l13835,6694m11035,6694l13835,6694m5,6694l5,7805m5,6694l415,6694m415,6694l415,7805m5,7805l415,7805m415,6694l415,7805m415,6694l935,6694m935,6694l935,7805m415,7805l935,7805m935,6694l935,7805m935,6694l1885,6694m1885,6694l1885,7805m935,7805l1885,7805m1885,6694l1885,7805m1885,6694l4555,6694m4555,6694l4555,7805m1885,7805l4555,7805m4555,6694l4555,7085m4555,6694l5825,6694m5825,6694l5825,7085m4555,7085l5825,7085m5825,6694l5825,7085m5825,6694l7715,6694m7715,6694l7715,7085m5825,7085l7715,7085m7715,6694l7715,7085m7715,6694l9315,6694m9315,6694l9315,7085m7715,7085l9315,7085m9315,6694l9315,7805m9315,6694l10345,6694m10345,6694l10345,7805m9315,7805l10345,7805m10345,6694l10345,7085m10345,6694l11035,6694m11035,6694l11035,7085m10345,7085l11035,7085m11035,6694l11035,7085m11035,6694l13835,6694m13835,6694l13835,7085m11035,7085l13835,7085m4555,7085l4555,7444m4555,7085l5825,7085m5825,7085l5825,7444m4555,7444l5825,7444m5825,7085l5825,7444m5825,7085l7715,7085m7715,7085l7715,7444m5825,7444l7715,7444m7715,7085l7715,7444m7715,7085l9315,7085m9315,7085l9315,7444m7715,7444l9315,7444m10345,7085l10345,7444m10345,7085l11035,7085m11035,7085l11035,7444m10345,7444l11035,7444m11035,7085l11035,7444m11035,7085l13835,7085m13835,7085l13835,7444m11035,7444l13835,7444m4555,7444l4555,7805m4555,7444l5825,7444m5825,7444l5825,7805m4555,7805l5825,7805m5825,7444l5825,7805m5825,7444l7715,7444m7715,7444l7715,7805m5825,7805l7715,7805m7715,7444l7715,7805m7715,7444l9315,7444m9315,7444l9315,7805m7715,7805l9315,7805m10345,7444l10345,7805m10345,7444l11035,7444m11035,7444l11035,7805m10345,7805l11035,7805m11035,7444l11035,7805m11035,7444l13835,7444m13835,7444l13835,7805m11035,7805l13835,7805e">
            <v:stroke joinstyle="miter" miterlimit="10"/>
          </v:shape>
        </w:pict>
      </w:r>
      <w:r>
        <w:rPr>
          <w:sz w:val="12"/>
          <w:szCs w:val="12"/>
          <w:spacing w:val="-1"/>
        </w:rPr>
        <w:t>有利于新根生长，改善涝害和早害引起的根系停止生</w:t>
      </w:r>
      <w:r>
        <w:rPr>
          <w:sz w:val="12"/>
          <w:szCs w:val="12"/>
          <w:spacing w:val="16"/>
          <w:w w:val="101"/>
        </w:rPr>
        <w:t xml:space="preserve"> </w:t>
      </w:r>
      <w:r>
        <w:rPr>
          <w:sz w:val="12"/>
          <w:szCs w:val="12"/>
        </w:rPr>
        <w:t>长</w:t>
      </w:r>
    </w:p>
    <w:p>
      <w:pPr>
        <w:pStyle w:val="BodyText"/>
        <w:ind w:left="11055"/>
        <w:spacing w:before="52" w:line="219" w:lineRule="auto"/>
        <w:rPr>
          <w:sz w:val="12"/>
          <w:szCs w:val="12"/>
        </w:rPr>
      </w:pPr>
      <w:r>
        <w:rPr>
          <w:sz w:val="12"/>
          <w:szCs w:val="12"/>
          <w:spacing w:val="-1"/>
        </w:rPr>
        <w:t>诱导树木快速生根，提高移栽成活率</w:t>
      </w:r>
    </w:p>
    <w:p>
      <w:pPr>
        <w:pStyle w:val="BodyText"/>
        <w:ind w:left="11055" w:right="57"/>
        <w:spacing w:before="26" w:line="210" w:lineRule="auto"/>
        <w:rPr>
          <w:sz w:val="12"/>
          <w:szCs w:val="12"/>
        </w:rPr>
      </w:pPr>
      <w:r>
        <w:rPr>
          <w:sz w:val="12"/>
          <w:szCs w:val="12"/>
          <w:spacing w:val="-1"/>
        </w:rPr>
        <w:t>促使树木快速生根，形成庞大根系，快速萌芽，改善</w:t>
      </w:r>
      <w:r>
        <w:rPr>
          <w:sz w:val="12"/>
          <w:szCs w:val="12"/>
          <w:spacing w:val="16"/>
          <w:w w:val="101"/>
        </w:rPr>
        <w:t xml:space="preserve"> </w:t>
      </w:r>
      <w:r>
        <w:rPr>
          <w:sz w:val="12"/>
          <w:szCs w:val="12"/>
          <w:spacing w:val="-1"/>
        </w:rPr>
        <w:t>植物长势</w:t>
      </w:r>
    </w:p>
    <w:p>
      <w:pPr>
        <w:pStyle w:val="BodyText"/>
        <w:ind w:left="11055" w:right="57"/>
        <w:spacing w:before="97" w:line="248" w:lineRule="auto"/>
        <w:rPr>
          <w:sz w:val="12"/>
          <w:szCs w:val="12"/>
        </w:rPr>
      </w:pPr>
      <w:r>
        <w:rPr>
          <w:sz w:val="12"/>
          <w:szCs w:val="12"/>
          <w:spacing w:val="-1"/>
        </w:rPr>
        <w:t>提供根系生长发育内源动力，诱导刺激根系活力。提</w:t>
      </w:r>
      <w:r>
        <w:rPr>
          <w:sz w:val="12"/>
          <w:szCs w:val="12"/>
          <w:spacing w:val="16"/>
          <w:w w:val="101"/>
        </w:rPr>
        <w:t xml:space="preserve"> </w:t>
      </w:r>
      <w:r>
        <w:rPr>
          <w:sz w:val="12"/>
          <w:szCs w:val="12"/>
          <w:spacing w:val="-1"/>
        </w:rPr>
        <w:t>高移栽成活率，促进草坪快速生根成块</w:t>
      </w:r>
    </w:p>
    <w:p>
      <w:pPr>
        <w:pStyle w:val="BodyText"/>
        <w:ind w:left="11055"/>
        <w:spacing w:before="158" w:line="219" w:lineRule="auto"/>
        <w:rPr>
          <w:sz w:val="12"/>
          <w:szCs w:val="12"/>
        </w:rPr>
      </w:pPr>
      <w:r>
        <w:rPr>
          <w:sz w:val="12"/>
          <w:szCs w:val="12"/>
          <w:spacing w:val="-1"/>
        </w:rPr>
        <w:t>大树直插瓶，大树古树复壮</w:t>
      </w:r>
    </w:p>
    <w:p>
      <w:pPr>
        <w:pStyle w:val="BodyText"/>
        <w:ind w:left="11055" w:right="56"/>
        <w:spacing w:before="217" w:line="235" w:lineRule="auto"/>
        <w:rPr>
          <w:sz w:val="12"/>
          <w:szCs w:val="12"/>
        </w:rPr>
      </w:pPr>
      <w:r>
        <w:pict>
          <v:shape id="_x0000_s100" style="position:absolute;margin-left:469.255pt;margin-top:20.8407pt;mso-position-vertical-relative:text;mso-position-horizontal-relative:text;width:43.8pt;height:9.15pt;z-index:254789632;" filled="false" stroked="false" type="#_x0000_t202">
            <v:fill on="false"/>
            <v:stroke on="false"/>
            <v:path/>
            <v:imagedata o:title=""/>
            <o:lock v:ext="edit" aspectratio="false"/>
            <v:textbox inset="0mm,0mm,0mm,0mm">
              <w:txbxContent>
                <w:p>
                  <w:pPr>
                    <w:pStyle w:val="BodyText"/>
                    <w:ind w:left="20"/>
                    <w:spacing w:before="20" w:line="219" w:lineRule="auto"/>
                    <w:rPr>
                      <w:sz w:val="12"/>
                      <w:szCs w:val="12"/>
                    </w:rPr>
                  </w:pPr>
                  <w:r>
                    <w:rPr>
                      <w:sz w:val="12"/>
                      <w:szCs w:val="12"/>
                      <w:spacing w:val="-1"/>
                    </w:rPr>
                    <w:t>视树木生长情况</w:t>
                  </w:r>
                </w:p>
              </w:txbxContent>
            </v:textbox>
          </v:shape>
        </w:pict>
      </w:r>
      <w:r>
        <w:rPr>
          <w:sz w:val="12"/>
          <w:szCs w:val="12"/>
          <w:spacing w:val="-1"/>
        </w:rPr>
        <w:t>补充水分养分，促进发芽、防止黄叶、萎荡，生理性</w:t>
      </w:r>
      <w:r>
        <w:rPr>
          <w:sz w:val="12"/>
          <w:szCs w:val="12"/>
          <w:spacing w:val="17"/>
        </w:rPr>
        <w:t xml:space="preserve"> </w:t>
      </w:r>
      <w:r>
        <w:rPr>
          <w:sz w:val="12"/>
          <w:szCs w:val="12"/>
          <w:spacing w:val="-2"/>
        </w:rPr>
        <w:t>病害</w:t>
      </w:r>
    </w:p>
    <w:p>
      <w:pPr>
        <w:pStyle w:val="BodyText"/>
        <w:ind w:left="11055"/>
        <w:spacing w:before="275" w:line="177" w:lineRule="auto"/>
        <w:rPr>
          <w:sz w:val="12"/>
          <w:szCs w:val="12"/>
        </w:rPr>
      </w:pPr>
      <w:r>
        <w:pict>
          <v:shape id="_x0000_s102" style="position:absolute;margin-left:48.2551pt;margin-top:3.78595pt;mso-position-vertical-relative:text;mso-position-horizontal-relative:text;width:45.6pt;height:31.15pt;z-index:254782464;" filled="false" stroked="false" type="#_x0000_t202">
            <v:fill on="false"/>
            <v:stroke on="false"/>
            <v:path/>
            <v:imagedata o:title=""/>
            <o:lock v:ext="edit" aspectratio="false"/>
            <v:textbox inset="0mm,0mm,0mm,0mm">
              <w:txbxContent>
                <w:p>
                  <w:pPr>
                    <w:pStyle w:val="BodyText"/>
                    <w:ind w:left="20"/>
                    <w:spacing w:before="20" w:line="219" w:lineRule="auto"/>
                    <w:rPr>
                      <w:sz w:val="12"/>
                      <w:szCs w:val="12"/>
                    </w:rPr>
                  </w:pPr>
                  <w:r>
                    <w:rPr>
                      <w:sz w:val="12"/>
                      <w:szCs w:val="12"/>
                      <w:spacing w:val="-1"/>
                    </w:rPr>
                    <w:t>树木长势调，出</w:t>
                  </w:r>
                </w:p>
                <w:p>
                  <w:pPr>
                    <w:pStyle w:val="BodyText"/>
                    <w:ind w:left="79"/>
                    <w:spacing w:before="17" w:line="200" w:lineRule="auto"/>
                    <w:rPr>
                      <w:sz w:val="12"/>
                      <w:szCs w:val="12"/>
                    </w:rPr>
                  </w:pPr>
                  <w:r>
                    <w:rPr>
                      <w:sz w:val="12"/>
                      <w:szCs w:val="12"/>
                      <w:spacing w:val="-1"/>
                    </w:rPr>
                    <w:t>现叶片失绿现</w:t>
                  </w:r>
                </w:p>
                <w:p>
                  <w:pPr>
                    <w:pStyle w:val="BodyText"/>
                    <w:ind w:left="59"/>
                    <w:spacing w:line="219" w:lineRule="auto"/>
                    <w:rPr>
                      <w:sz w:val="12"/>
                      <w:szCs w:val="12"/>
                    </w:rPr>
                  </w:pPr>
                  <w:r>
                    <w:rPr>
                      <w:sz w:val="12"/>
                      <w:szCs w:val="12"/>
                      <w:spacing w:val="-2"/>
                    </w:rPr>
                    <w:t>象，或高大乔木</w:t>
                  </w:r>
                </w:p>
                <w:p>
                  <w:pPr>
                    <w:pStyle w:val="BodyText"/>
                    <w:ind w:left="169"/>
                    <w:spacing w:before="7" w:line="219" w:lineRule="auto"/>
                    <w:rPr>
                      <w:sz w:val="12"/>
                      <w:szCs w:val="12"/>
                    </w:rPr>
                  </w:pPr>
                  <w:r>
                    <w:rPr>
                      <w:sz w:val="12"/>
                      <w:szCs w:val="12"/>
                      <w:spacing w:val="-1"/>
                    </w:rPr>
                    <w:t>及贵重树木</w:t>
                  </w:r>
                </w:p>
              </w:txbxContent>
            </v:textbox>
          </v:shape>
        </w:pict>
      </w:r>
      <w:r>
        <w:pict>
          <v:shape id="_x0000_s104" style="position:absolute;margin-left:246.254pt;margin-top:12.7638pt;mso-position-vertical-relative:text;mso-position-horizontal-relative:text;width:26.25pt;height:9.15pt;z-index:254795776;" filled="false" stroked="false" type="#_x0000_t202">
            <v:fill on="false"/>
            <v:stroke on="false"/>
            <v:path/>
            <v:imagedata o:title=""/>
            <o:lock v:ext="edit" aspectratio="false"/>
            <v:textbox inset="0mm,0mm,0mm,0mm">
              <w:txbxContent>
                <w:p>
                  <w:pPr>
                    <w:pStyle w:val="BodyText"/>
                    <w:ind w:left="20"/>
                    <w:spacing w:before="19" w:line="219" w:lineRule="auto"/>
                    <w:rPr>
                      <w:sz w:val="12"/>
                      <w:szCs w:val="12"/>
                    </w:rPr>
                  </w:pPr>
                  <w:r>
                    <w:rPr>
                      <w:sz w:val="12"/>
                      <w:szCs w:val="12"/>
                      <w:spacing w:val="1"/>
                    </w:rPr>
                    <w:t>国光棒肥</w:t>
                  </w:r>
                </w:p>
              </w:txbxContent>
            </v:textbox>
          </v:shape>
        </w:pict>
      </w:r>
      <w:r>
        <w:pict>
          <v:shape id="_x0000_s106" style="position:absolute;margin-left:298.251pt;margin-top:12.7638pt;mso-position-vertical-relative:text;mso-position-horizontal-relative:text;width:79.8pt;height:9.15pt;z-index:254786560;" filled="false" stroked="false" type="#_x0000_t202">
            <v:fill on="false"/>
            <v:stroke on="false"/>
            <v:path/>
            <v:imagedata o:title=""/>
            <o:lock v:ext="edit" aspectratio="false"/>
            <v:textbox inset="0mm,0mm,0mm,0mm">
              <w:txbxContent>
                <w:p>
                  <w:pPr>
                    <w:pStyle w:val="BodyText"/>
                    <w:ind w:left="20"/>
                    <w:spacing w:before="19" w:line="219" w:lineRule="auto"/>
                    <w:rPr>
                      <w:sz w:val="12"/>
                      <w:szCs w:val="12"/>
                    </w:rPr>
                  </w:pPr>
                  <w:r>
                    <w:rPr>
                      <w:sz w:val="12"/>
                      <w:szCs w:val="12"/>
                      <w:spacing w:val="-1"/>
                    </w:rPr>
                    <w:t>微肥、稀有元素、大量元素肥</w:t>
                  </w:r>
                </w:p>
              </w:txbxContent>
            </v:textbox>
          </v:shape>
        </w:pict>
      </w:r>
      <w:r>
        <w:pict>
          <v:shape id="_x0000_s108" style="position:absolute;margin-left:93.7537pt;margin-top:-2.73443pt;mso-position-vertical-relative:text;mso-position-horizontal-relative:text;width:137.5pt;height:23.05pt;z-index:254780416;" filled="false" stroked="false" type="#_x0000_t202">
            <v:fill on="false"/>
            <v:stroke on="false"/>
            <v:path/>
            <v:imagedata o:title=""/>
            <o:lock v:ext="edit" aspectratio="false"/>
            <v:textbox inset="0mm,0mm,0mm,0mm">
              <w:txbxContent>
                <w:p>
                  <w:pPr>
                    <w:pStyle w:val="BodyText"/>
                    <w:ind w:left="20" w:right="20" w:firstLine="9"/>
                    <w:spacing w:before="20" w:line="218" w:lineRule="auto"/>
                    <w:rPr>
                      <w:sz w:val="12"/>
                      <w:szCs w:val="12"/>
                    </w:rPr>
                  </w:pPr>
                  <w:r>
                    <w:rPr>
                      <w:sz w:val="12"/>
                      <w:szCs w:val="12"/>
                    </w:rPr>
                    <w:t>一、5-9月份受到台风暴雨的影响，树木根部积</w:t>
                  </w:r>
                  <w:r>
                    <w:rPr>
                      <w:sz w:val="12"/>
                      <w:szCs w:val="12"/>
                      <w:spacing w:val="-1"/>
                    </w:rPr>
                    <w:t>水，</w:t>
                  </w:r>
                  <w:r>
                    <w:rPr>
                      <w:sz w:val="12"/>
                      <w:szCs w:val="12"/>
                    </w:rPr>
                    <w:t xml:space="preserve"> </w:t>
                  </w:r>
                  <w:r>
                    <w:rPr>
                      <w:sz w:val="12"/>
                      <w:szCs w:val="12"/>
                    </w:rPr>
                    <w:t>造成涝害，注意排水及土填松土透气：连续高温无</w:t>
                  </w:r>
                  <w:r>
                    <w:rPr>
                      <w:sz w:val="12"/>
                      <w:szCs w:val="12"/>
                      <w:spacing w:val="7"/>
                    </w:rPr>
                    <w:t xml:space="preserve">  </w:t>
                  </w:r>
                  <w:r>
                    <w:rPr>
                      <w:sz w:val="12"/>
                      <w:szCs w:val="12"/>
                      <w:spacing w:val="-1"/>
                    </w:rPr>
                    <w:t>雨季 节，植物萎蔫严重，采取措施保持树冠水</w:t>
                  </w:r>
                </w:p>
              </w:txbxContent>
            </v:textbox>
          </v:shape>
        </w:pict>
      </w:r>
      <w:r>
        <w:pict>
          <v:shape id="_x0000_s110" style="position:absolute;margin-left:516.753pt;margin-top:12.8058pt;mso-position-vertical-relative:text;mso-position-horizontal-relative:text;width:34.65pt;height:9.2pt;z-index:254792704;" filled="false" stroked="false" type="#_x0000_t202">
            <v:fill on="false"/>
            <v:stroke on="false"/>
            <v:path/>
            <v:imagedata o:title=""/>
            <o:lock v:ext="edit" aspectratio="false"/>
            <v:textbox inset="0mm,0mm,0mm,0mm">
              <w:txbxContent>
                <w:p>
                  <w:pPr>
                    <w:pStyle w:val="BodyText"/>
                    <w:ind w:left="20"/>
                    <w:spacing w:before="20" w:line="220" w:lineRule="auto"/>
                    <w:rPr>
                      <w:sz w:val="12"/>
                      <w:szCs w:val="12"/>
                    </w:rPr>
                  </w:pPr>
                  <w:r>
                    <w:rPr>
                      <w:sz w:val="12"/>
                      <w:szCs w:val="12"/>
                      <w:spacing w:val="-1"/>
                    </w:rPr>
                    <w:t>3*15er+40根</w:t>
                  </w:r>
                </w:p>
              </w:txbxContent>
            </v:textbox>
          </v:shape>
        </w:pict>
      </w:r>
      <w:r>
        <w:pict>
          <v:shape id="_x0000_s112" style="position:absolute;margin-left:20.7531pt;margin-top:14.282pt;mso-position-vertical-relative:text;mso-position-horizontal-relative:text;width:25.8pt;height:9.15pt;z-index:254796800;" filled="false" stroked="false" type="#_x0000_t202">
            <v:fill on="false"/>
            <v:stroke on="false"/>
            <v:path/>
            <v:imagedata o:title=""/>
            <o:lock v:ext="edit" aspectratio="false"/>
            <v:textbox inset="0mm,0mm,0mm,0mm">
              <w:txbxContent>
                <w:p>
                  <w:pPr>
                    <w:pStyle w:val="BodyText"/>
                    <w:ind w:left="20"/>
                    <w:spacing w:before="20" w:line="219" w:lineRule="auto"/>
                    <w:rPr>
                      <w:sz w:val="12"/>
                      <w:szCs w:val="12"/>
                    </w:rPr>
                  </w:pPr>
                  <w:r>
                    <w:rPr>
                      <w:sz w:val="12"/>
                      <w:szCs w:val="12"/>
                      <w:spacing w:val="-1"/>
                    </w:rPr>
                    <w:t>树木复壮</w:t>
                  </w:r>
                </w:p>
              </w:txbxContent>
            </v:textbox>
          </v:shape>
        </w:pict>
      </w:r>
      <w:r>
        <w:rPr>
          <w:sz w:val="12"/>
          <w:szCs w:val="12"/>
          <w:spacing w:val="-1"/>
        </w:rPr>
        <w:t>古树。病树，弱树复壮</w:t>
      </w:r>
    </w:p>
    <w:p>
      <w:pPr>
        <w:pStyle w:val="BodyText"/>
        <w:ind w:left="1905"/>
        <w:spacing w:before="1" w:line="212" w:lineRule="auto"/>
        <w:rPr>
          <w:sz w:val="12"/>
          <w:szCs w:val="12"/>
        </w:rPr>
      </w:pPr>
      <w:r>
        <w:rPr>
          <w:sz w:val="12"/>
          <w:szCs w:val="12"/>
          <w:spacing w:val="-4"/>
        </w:rPr>
        <w:t>分</w:t>
      </w:r>
      <w:r>
        <w:rPr>
          <w:sz w:val="12"/>
          <w:szCs w:val="12"/>
          <w:spacing w:val="35"/>
        </w:rPr>
        <w:t xml:space="preserve"> </w:t>
      </w:r>
      <w:r>
        <w:rPr>
          <w:sz w:val="12"/>
          <w:szCs w:val="12"/>
          <w:spacing w:val="-4"/>
        </w:rPr>
        <w:t>；</w:t>
      </w:r>
    </w:p>
    <w:p>
      <w:pPr>
        <w:pStyle w:val="BodyText"/>
        <w:ind w:left="1895" w:right="9390" w:firstLine="129"/>
        <w:spacing w:before="6" w:line="223" w:lineRule="auto"/>
        <w:rPr>
          <w:sz w:val="12"/>
          <w:szCs w:val="12"/>
        </w:rPr>
      </w:pPr>
      <w:r>
        <w:rPr>
          <w:sz w:val="12"/>
          <w:szCs w:val="12"/>
          <w:spacing w:val="-1"/>
        </w:rPr>
        <w:t>.12月-次年1月，注意塞害后树木的养护，根据</w:t>
      </w:r>
      <w:r>
        <w:rPr>
          <w:sz w:val="12"/>
          <w:szCs w:val="12"/>
          <w:spacing w:val="14"/>
        </w:rPr>
        <w:t xml:space="preserve"> </w:t>
      </w:r>
      <w:r>
        <w:rPr>
          <w:sz w:val="12"/>
          <w:szCs w:val="12"/>
        </w:rPr>
        <w:t>天气预报适时唤施抗冻剂，及时配合修剪。</w:t>
      </w:r>
    </w:p>
    <w:p>
      <w:pPr>
        <w:pStyle w:val="BodyText"/>
        <w:ind w:left="11055"/>
        <w:spacing w:line="219" w:lineRule="auto"/>
        <w:rPr>
          <w:sz w:val="12"/>
          <w:szCs w:val="12"/>
        </w:rPr>
      </w:pPr>
      <w:r>
        <w:pict>
          <v:shape id="_x0000_s114" style="position:absolute;margin-left:522.752pt;margin-top:-1.17514pt;mso-position-vertical-relative:text;mso-position-horizontal-relative:text;width:22.75pt;height:8.95pt;z-index:254798848;" filled="false" stroked="false" type="#_x0000_t202">
            <v:fill on="false"/>
            <v:stroke on="false"/>
            <v:path/>
            <v:imagedata o:title=""/>
            <o:lock v:ext="edit" aspectratio="false"/>
            <v:textbox inset="0mm,0mm,0mm,0mm">
              <w:txbxContent>
                <w:p>
                  <w:pPr>
                    <w:pStyle w:val="BodyText"/>
                    <w:ind w:left="20"/>
                    <w:spacing w:before="19" w:line="214" w:lineRule="auto"/>
                    <w:rPr>
                      <w:sz w:val="12"/>
                      <w:szCs w:val="12"/>
                    </w:rPr>
                  </w:pPr>
                  <w:r>
                    <w:rPr>
                      <w:sz w:val="12"/>
                      <w:szCs w:val="12"/>
                      <w:spacing w:val="-1"/>
                    </w:rPr>
                    <w:t>SCkg/袋</w:t>
                  </w:r>
                </w:p>
              </w:txbxContent>
            </v:textbox>
          </v:shape>
        </w:pict>
      </w:r>
      <w:r>
        <w:pict>
          <v:shape id="_x0000_s116" style="position:absolute;margin-left:243.254pt;margin-top:-1.00714pt;mso-position-vertical-relative:text;mso-position-horizontal-relative:text;width:31.75pt;height:9.15pt;z-index:254793728;" filled="false" stroked="false" type="#_x0000_t202">
            <v:fill on="false"/>
            <v:stroke on="false"/>
            <v:path/>
            <v:imagedata o:title=""/>
            <o:lock v:ext="edit" aspectratio="false"/>
            <v:textbox inset="0mm,0mm,0mm,0mm">
              <w:txbxContent>
                <w:p>
                  <w:pPr>
                    <w:pStyle w:val="BodyText"/>
                    <w:ind w:left="20"/>
                    <w:spacing w:before="19" w:line="219" w:lineRule="auto"/>
                    <w:rPr>
                      <w:sz w:val="12"/>
                      <w:szCs w:val="12"/>
                    </w:rPr>
                  </w:pPr>
                  <w:r>
                    <w:rPr>
                      <w:sz w:val="12"/>
                      <w:szCs w:val="12"/>
                      <w:spacing w:val="-1"/>
                    </w:rPr>
                    <w:t>无机复合肥</w:t>
                  </w:r>
                </w:p>
              </w:txbxContent>
            </v:textbox>
          </v:shape>
        </w:pict>
      </w:r>
      <w:r>
        <w:pict>
          <v:shape id="_x0000_s118" style="position:absolute;margin-left:301.251pt;margin-top:-1.00714pt;mso-position-vertical-relative:text;mso-position-horizontal-relative:text;width:75.35pt;height:9.15pt;z-index:254787584;" filled="false" stroked="false" type="#_x0000_t202">
            <v:fill on="false"/>
            <v:stroke on="false"/>
            <v:path/>
            <v:imagedata o:title=""/>
            <o:lock v:ext="edit" aspectratio="false"/>
            <v:textbox inset="0mm,0mm,0mm,0mm">
              <w:txbxContent>
                <w:p>
                  <w:pPr>
                    <w:pStyle w:val="BodyText"/>
                    <w:ind w:left="20"/>
                    <w:spacing w:before="19" w:line="219" w:lineRule="auto"/>
                    <w:rPr>
                      <w:sz w:val="12"/>
                      <w:szCs w:val="12"/>
                    </w:rPr>
                  </w:pPr>
                  <w:r>
                    <w:rPr>
                      <w:sz w:val="12"/>
                      <w:szCs w:val="12"/>
                      <w:spacing w:val="2"/>
                    </w:rPr>
                    <w:t>大量元素肥(高氮低磷中钾)</w:t>
                  </w:r>
                </w:p>
              </w:txbxContent>
            </v:textbox>
          </v:shape>
        </w:pict>
      </w:r>
      <w:r>
        <w:rPr>
          <w:sz w:val="12"/>
          <w:szCs w:val="12"/>
          <w:spacing w:val="-1"/>
        </w:rPr>
        <w:t>古树，病树，弱树复壮</w:t>
      </w:r>
    </w:p>
    <w:p>
      <w:pPr>
        <w:spacing w:line="306" w:lineRule="auto"/>
        <w:rPr>
          <w:rFonts w:ascii="Arial"/>
          <w:sz w:val="21"/>
        </w:rPr>
      </w:pPr>
      <w:r/>
    </w:p>
    <w:p>
      <w:pPr>
        <w:pStyle w:val="BodyText"/>
        <w:ind w:left="11055"/>
        <w:spacing w:before="39" w:line="219" w:lineRule="auto"/>
        <w:rPr>
          <w:sz w:val="12"/>
          <w:szCs w:val="12"/>
        </w:rPr>
      </w:pPr>
      <w:r>
        <w:pict>
          <v:shape id="_x0000_s120" style="position:absolute;margin-left:0.249763pt;margin-top:-4.55295pt;mso-position-vertical-relative:text;mso-position-horizontal-relative:text;width:20.25pt;height:16.7pt;z-index:254790656;" filled="false" stroked="false" type="#_x0000_t202">
            <v:fill on="false"/>
            <v:stroke on="false"/>
            <v:path/>
            <v:imagedata o:title=""/>
            <o:lock v:ext="edit" aspectratio="false"/>
            <v:textbox inset="0mm,0mm,0mm,0mm">
              <w:txbxContent>
                <w:p>
                  <w:pPr>
                    <w:pStyle w:val="BodyText"/>
                    <w:ind w:left="20" w:right="20"/>
                    <w:spacing w:before="19" w:line="235" w:lineRule="auto"/>
                    <w:rPr>
                      <w:sz w:val="12"/>
                      <w:szCs w:val="12"/>
                    </w:rPr>
                  </w:pPr>
                  <w:r>
                    <w:rPr>
                      <w:sz w:val="12"/>
                      <w:szCs w:val="12"/>
                      <w:spacing w:val="-3"/>
                    </w:rPr>
                    <w:t>营养剂</w:t>
                  </w:r>
                  <w:r>
                    <w:rPr>
                      <w:sz w:val="12"/>
                      <w:szCs w:val="12"/>
                    </w:rPr>
                    <w:t xml:space="preserve"> </w:t>
                  </w:r>
                  <w:r>
                    <w:rPr>
                      <w:sz w:val="12"/>
                      <w:szCs w:val="12"/>
                      <w:spacing w:val="-5"/>
                    </w:rPr>
                    <w:t>/</w:t>
                  </w:r>
                  <w:r>
                    <w:rPr>
                      <w:sz w:val="12"/>
                      <w:szCs w:val="12"/>
                      <w:spacing w:val="-21"/>
                    </w:rPr>
                    <w:t xml:space="preserve"> </w:t>
                  </w:r>
                  <w:r>
                    <w:rPr>
                      <w:sz w:val="12"/>
                      <w:szCs w:val="12"/>
                      <w:spacing w:val="-5"/>
                    </w:rPr>
                    <w:t>配</w:t>
                  </w:r>
                  <w:r>
                    <w:rPr>
                      <w:sz w:val="12"/>
                      <w:szCs w:val="12"/>
                      <w:spacing w:val="-21"/>
                    </w:rPr>
                    <w:t xml:space="preserve"> </w:t>
                  </w:r>
                  <w:r>
                    <w:rPr>
                      <w:sz w:val="12"/>
                      <w:szCs w:val="12"/>
                      <w:spacing w:val="-5"/>
                    </w:rPr>
                    <w:t>料</w:t>
                  </w:r>
                </w:p>
              </w:txbxContent>
            </v:textbox>
          </v:shape>
        </w:pict>
      </w:r>
      <w:r>
        <w:pict>
          <v:shape id="_x0000_s122" style="position:absolute;margin-left:522.752pt;margin-top:0.783049pt;mso-position-vertical-relative:text;mso-position-horizontal-relative:text;width:22.8pt;height:218.95pt;z-index:254778368;" filled="false" stroked="false" type="#_x0000_t202">
            <v:fill on="false"/>
            <v:stroke on="false"/>
            <v:path/>
            <v:imagedata o:title=""/>
            <o:lock v:ext="edit" aspectratio="false"/>
            <v:textbox inset="0mm,0mm,0mm,0mm">
              <w:txbxContent>
                <w:p>
                  <w:pPr>
                    <w:pStyle w:val="BodyText"/>
                    <w:ind w:left="20"/>
                    <w:spacing w:before="19" w:line="214" w:lineRule="auto"/>
                    <w:rPr>
                      <w:sz w:val="12"/>
                      <w:szCs w:val="12"/>
                    </w:rPr>
                  </w:pPr>
                  <w:r>
                    <w:rPr>
                      <w:sz w:val="12"/>
                      <w:szCs w:val="12"/>
                      <w:spacing w:val="-1"/>
                    </w:rPr>
                    <w:t>50kg/袋</w:t>
                  </w:r>
                </w:p>
                <w:p>
                  <w:pPr>
                    <w:spacing w:line="250" w:lineRule="auto"/>
                    <w:rPr>
                      <w:rFonts w:ascii="Arial"/>
                      <w:sz w:val="21"/>
                    </w:rPr>
                  </w:pPr>
                  <w:r/>
                </w:p>
                <w:p>
                  <w:pPr>
                    <w:pStyle w:val="BodyText"/>
                    <w:ind w:left="20"/>
                    <w:spacing w:before="39" w:line="214" w:lineRule="auto"/>
                    <w:rPr>
                      <w:sz w:val="12"/>
                      <w:szCs w:val="12"/>
                    </w:rPr>
                  </w:pPr>
                  <w:r>
                    <w:rPr>
                      <w:sz w:val="12"/>
                      <w:szCs w:val="12"/>
                      <w:spacing w:val="-1"/>
                    </w:rPr>
                    <w:t>500g/瓶</w:t>
                  </w:r>
                </w:p>
                <w:p>
                  <w:pPr>
                    <w:pStyle w:val="BodyText"/>
                    <w:ind w:left="20"/>
                    <w:spacing w:before="230" w:line="214" w:lineRule="auto"/>
                    <w:rPr>
                      <w:sz w:val="12"/>
                      <w:szCs w:val="12"/>
                    </w:rPr>
                  </w:pPr>
                  <w:r>
                    <w:rPr>
                      <w:sz w:val="12"/>
                      <w:szCs w:val="12"/>
                      <w:spacing w:val="-1"/>
                    </w:rPr>
                    <w:t>2Skg/袋</w:t>
                  </w:r>
                </w:p>
                <w:p>
                  <w:pPr>
                    <w:pStyle w:val="BodyText"/>
                    <w:ind w:left="20"/>
                    <w:spacing w:before="250" w:line="214" w:lineRule="auto"/>
                    <w:rPr>
                      <w:sz w:val="12"/>
                      <w:szCs w:val="12"/>
                    </w:rPr>
                  </w:pPr>
                  <w:r>
                    <w:rPr>
                      <w:sz w:val="12"/>
                      <w:szCs w:val="12"/>
                      <w:spacing w:val="-1"/>
                    </w:rPr>
                    <w:t>40kg/袋</w:t>
                  </w:r>
                </w:p>
                <w:p>
                  <w:pPr>
                    <w:pStyle w:val="BodyText"/>
                    <w:ind w:left="20"/>
                    <w:spacing w:before="261" w:line="214" w:lineRule="auto"/>
                    <w:rPr>
                      <w:sz w:val="12"/>
                      <w:szCs w:val="12"/>
                    </w:rPr>
                  </w:pPr>
                  <w:r>
                    <w:rPr>
                      <w:sz w:val="12"/>
                      <w:szCs w:val="12"/>
                      <w:spacing w:val="-1"/>
                    </w:rPr>
                    <w:t>2skg/袋</w:t>
                  </w:r>
                </w:p>
                <w:p>
                  <w:pPr>
                    <w:pStyle w:val="BodyText"/>
                    <w:ind w:left="20"/>
                    <w:spacing w:before="271" w:line="214" w:lineRule="auto"/>
                    <w:rPr>
                      <w:sz w:val="12"/>
                      <w:szCs w:val="12"/>
                    </w:rPr>
                  </w:pPr>
                  <w:r>
                    <w:rPr>
                      <w:sz w:val="12"/>
                      <w:szCs w:val="12"/>
                      <w:spacing w:val="-1"/>
                    </w:rPr>
                    <w:t>40kg/袋</w:t>
                  </w:r>
                </w:p>
                <w:p>
                  <w:pPr>
                    <w:pStyle w:val="BodyText"/>
                    <w:ind w:left="20"/>
                    <w:spacing w:before="256" w:line="221" w:lineRule="auto"/>
                    <w:rPr>
                      <w:sz w:val="12"/>
                      <w:szCs w:val="12"/>
                    </w:rPr>
                  </w:pPr>
                  <w:r>
                    <w:rPr>
                      <w:sz w:val="12"/>
                      <w:szCs w:val="12"/>
                      <w:spacing w:val="-1"/>
                    </w:rPr>
                    <w:t>50ml/瓶</w:t>
                  </w:r>
                </w:p>
                <w:p>
                  <w:pPr>
                    <w:pStyle w:val="BodyText"/>
                    <w:ind w:left="49"/>
                    <w:spacing w:before="187" w:line="222" w:lineRule="auto"/>
                    <w:rPr>
                      <w:sz w:val="12"/>
                      <w:szCs w:val="12"/>
                    </w:rPr>
                  </w:pPr>
                  <w:r>
                    <w:rPr>
                      <w:sz w:val="12"/>
                      <w:szCs w:val="12"/>
                      <w:spacing w:val="-1"/>
                    </w:rPr>
                    <w:t>20z/袋</w:t>
                  </w:r>
                </w:p>
                <w:p>
                  <w:pPr>
                    <w:pStyle w:val="BodyText"/>
                    <w:ind w:left="20"/>
                    <w:spacing w:before="220" w:line="214" w:lineRule="auto"/>
                    <w:rPr>
                      <w:sz w:val="12"/>
                      <w:szCs w:val="12"/>
                    </w:rPr>
                  </w:pPr>
                  <w:r>
                    <w:rPr>
                      <w:sz w:val="12"/>
                      <w:szCs w:val="12"/>
                      <w:spacing w:val="-1"/>
                    </w:rPr>
                    <w:t>500g/瓶</w:t>
                  </w:r>
                </w:p>
                <w:p>
                  <w:pPr>
                    <w:pStyle w:val="BodyText"/>
                    <w:ind w:left="20"/>
                    <w:spacing w:before="231" w:line="214" w:lineRule="auto"/>
                    <w:rPr>
                      <w:sz w:val="12"/>
                      <w:szCs w:val="12"/>
                    </w:rPr>
                  </w:pPr>
                  <w:r>
                    <w:rPr>
                      <w:sz w:val="12"/>
                      <w:szCs w:val="12"/>
                      <w:spacing w:val="-1"/>
                    </w:rPr>
                    <w:t>500g/瓶</w:t>
                  </w:r>
                </w:p>
                <w:p>
                  <w:pPr>
                    <w:pStyle w:val="BodyText"/>
                    <w:ind w:left="79"/>
                    <w:spacing w:before="245" w:line="219" w:lineRule="auto"/>
                    <w:rPr>
                      <w:sz w:val="12"/>
                      <w:szCs w:val="12"/>
                    </w:rPr>
                  </w:pPr>
                  <w:r>
                    <w:rPr>
                      <w:sz w:val="12"/>
                      <w:szCs w:val="12"/>
                    </w:rPr>
                    <w:t>IL</w:t>
                  </w:r>
                  <w:r>
                    <w:rPr>
                      <w:sz w:val="12"/>
                      <w:szCs w:val="12"/>
                      <w:spacing w:val="4"/>
                    </w:rPr>
                    <w:t>/桶</w:t>
                  </w:r>
                </w:p>
                <w:p>
                  <w:pPr>
                    <w:pStyle w:val="BodyText"/>
                    <w:ind w:left="20"/>
                    <w:spacing w:before="214" w:line="214" w:lineRule="auto"/>
                    <w:rPr>
                      <w:sz w:val="12"/>
                      <w:szCs w:val="12"/>
                    </w:rPr>
                  </w:pPr>
                  <w:r>
                    <w:rPr>
                      <w:sz w:val="12"/>
                      <w:szCs w:val="12"/>
                      <w:spacing w:val="-1"/>
                    </w:rPr>
                    <w:t>450g/瓶</w:t>
                  </w:r>
                </w:p>
              </w:txbxContent>
            </v:textbox>
          </v:shape>
        </w:pict>
      </w:r>
      <w:r>
        <w:pict>
          <v:shape id="_x0000_s124" style="position:absolute;margin-left:229.75pt;margin-top:0.951048pt;mso-position-vertical-relative:text;mso-position-horizontal-relative:text;width:60.35pt;height:219.15pt;z-index:254772224;" filled="false" stroked="false" type="#_x0000_t202">
            <v:fill on="false"/>
            <v:stroke on="false"/>
            <v:path/>
            <v:imagedata o:title=""/>
            <o:lock v:ext="edit" aspectratio="false"/>
            <v:textbox inset="0mm,0mm,0mm,0mm">
              <w:txbxContent>
                <w:p>
                  <w:pPr>
                    <w:pStyle w:val="BodyText"/>
                    <w:ind w:left="290"/>
                    <w:spacing w:before="19" w:line="219" w:lineRule="auto"/>
                    <w:rPr>
                      <w:sz w:val="12"/>
                      <w:szCs w:val="12"/>
                    </w:rPr>
                  </w:pPr>
                  <w:r>
                    <w:rPr>
                      <w:sz w:val="12"/>
                      <w:szCs w:val="12"/>
                      <w:spacing w:val="-1"/>
                    </w:rPr>
                    <w:t>有机复合肥</w:t>
                  </w:r>
                </w:p>
                <w:p>
                  <w:pPr>
                    <w:spacing w:line="247" w:lineRule="auto"/>
                    <w:rPr>
                      <w:rFonts w:ascii="Arial"/>
                      <w:sz w:val="21"/>
                    </w:rPr>
                  </w:pPr>
                  <w:r/>
                </w:p>
                <w:p>
                  <w:pPr>
                    <w:pStyle w:val="BodyText"/>
                    <w:ind w:left="230"/>
                    <w:spacing w:before="39" w:line="219" w:lineRule="auto"/>
                    <w:rPr>
                      <w:sz w:val="12"/>
                      <w:szCs w:val="12"/>
                    </w:rPr>
                  </w:pPr>
                  <w:r>
                    <w:rPr>
                      <w:sz w:val="12"/>
                      <w:szCs w:val="12"/>
                      <w:spacing w:val="1"/>
                    </w:rPr>
                    <w:t>国光氩基酸钾</w:t>
                  </w:r>
                </w:p>
                <w:p>
                  <w:pPr>
                    <w:pStyle w:val="BodyText"/>
                    <w:ind w:left="170"/>
                    <w:spacing w:before="226" w:line="219" w:lineRule="auto"/>
                    <w:rPr>
                      <w:sz w:val="12"/>
                      <w:szCs w:val="12"/>
                    </w:rPr>
                  </w:pPr>
                  <w:r>
                    <w:rPr>
                      <w:sz w:val="12"/>
                      <w:szCs w:val="12"/>
                      <w:spacing w:val="-1"/>
                    </w:rPr>
                    <w:t>高效磷钾复合肥</w:t>
                  </w:r>
                </w:p>
                <w:p>
                  <w:pPr>
                    <w:pStyle w:val="BodyText"/>
                    <w:ind w:left="20" w:right="20"/>
                    <w:spacing w:before="169" w:line="248" w:lineRule="auto"/>
                    <w:rPr>
                      <w:sz w:val="12"/>
                      <w:szCs w:val="12"/>
                    </w:rPr>
                  </w:pPr>
                  <w:r>
                    <w:rPr>
                      <w:sz w:val="12"/>
                      <w:szCs w:val="12"/>
                      <w:spacing w:val="-1"/>
                    </w:rPr>
                    <w:t>尿素(与其他元素混合</w:t>
                  </w:r>
                  <w:r>
                    <w:rPr>
                      <w:sz w:val="12"/>
                      <w:szCs w:val="12"/>
                      <w:spacing w:val="4"/>
                    </w:rPr>
                    <w:t xml:space="preserve"> </w:t>
                  </w:r>
                  <w:r>
                    <w:rPr>
                      <w:sz w:val="12"/>
                      <w:szCs w:val="12"/>
                      <w:spacing w:val="2"/>
                    </w:rPr>
                    <w:t>应用一般不单独使用)</w:t>
                  </w:r>
                </w:p>
                <w:p>
                  <w:pPr>
                    <w:pStyle w:val="BodyText"/>
                    <w:ind w:left="350"/>
                    <w:spacing w:before="157" w:line="219" w:lineRule="auto"/>
                    <w:rPr>
                      <w:sz w:val="12"/>
                      <w:szCs w:val="12"/>
                    </w:rPr>
                  </w:pPr>
                  <w:r>
                    <w:rPr>
                      <w:sz w:val="12"/>
                      <w:szCs w:val="12"/>
                      <w:spacing w:val="1"/>
                    </w:rPr>
                    <w:t>中威壮美</w:t>
                  </w:r>
                </w:p>
                <w:p>
                  <w:pPr>
                    <w:pStyle w:val="BodyText"/>
                    <w:ind w:left="290"/>
                    <w:spacing w:before="268" w:line="219" w:lineRule="auto"/>
                    <w:rPr>
                      <w:sz w:val="12"/>
                      <w:szCs w:val="12"/>
                    </w:rPr>
                  </w:pPr>
                  <w:r>
                    <w:rPr>
                      <w:sz w:val="12"/>
                      <w:szCs w:val="12"/>
                      <w:spacing w:val="-1"/>
                    </w:rPr>
                    <w:t>坪安乌龙珠</w:t>
                  </w:r>
                </w:p>
                <w:p>
                  <w:pPr>
                    <w:pStyle w:val="BodyText"/>
                    <w:ind w:left="410"/>
                    <w:spacing w:before="247" w:line="219" w:lineRule="auto"/>
                    <w:rPr>
                      <w:sz w:val="12"/>
                      <w:szCs w:val="12"/>
                    </w:rPr>
                  </w:pPr>
                  <w:r>
                    <w:rPr>
                      <w:sz w:val="12"/>
                      <w:szCs w:val="12"/>
                      <w:spacing w:val="-1"/>
                    </w:rPr>
                    <w:t>尖叶净</w:t>
                  </w:r>
                </w:p>
                <w:p>
                  <w:pPr>
                    <w:pStyle w:val="BodyText"/>
                    <w:ind w:left="410"/>
                    <w:spacing w:before="188" w:line="220" w:lineRule="auto"/>
                    <w:rPr>
                      <w:sz w:val="12"/>
                      <w:szCs w:val="12"/>
                    </w:rPr>
                  </w:pPr>
                  <w:r>
                    <w:rPr>
                      <w:sz w:val="12"/>
                      <w:szCs w:val="12"/>
                      <w:spacing w:val="1"/>
                    </w:rPr>
                    <w:t>图阔净</w:t>
                  </w:r>
                </w:p>
                <w:p>
                  <w:pPr>
                    <w:pStyle w:val="BodyText"/>
                    <w:ind w:left="170"/>
                    <w:spacing w:before="226" w:line="219" w:lineRule="auto"/>
                    <w:rPr>
                      <w:sz w:val="12"/>
                      <w:szCs w:val="12"/>
                    </w:rPr>
                  </w:pPr>
                  <w:r>
                    <w:rPr>
                      <w:sz w:val="12"/>
                      <w:szCs w:val="12"/>
                      <w:spacing w:val="1"/>
                    </w:rPr>
                    <w:t>国光愈伤涂膜剂</w:t>
                  </w:r>
                </w:p>
                <w:p>
                  <w:pPr>
                    <w:pStyle w:val="BodyText"/>
                    <w:ind w:left="290"/>
                    <w:spacing w:before="228" w:line="219" w:lineRule="auto"/>
                    <w:rPr>
                      <w:sz w:val="12"/>
                      <w:szCs w:val="12"/>
                    </w:rPr>
                  </w:pPr>
                  <w:r>
                    <w:rPr>
                      <w:sz w:val="12"/>
                      <w:szCs w:val="12"/>
                      <w:spacing w:val="1"/>
                    </w:rPr>
                    <w:t>中威愈伤膏</w:t>
                  </w:r>
                </w:p>
                <w:p>
                  <w:pPr>
                    <w:pStyle w:val="BodyText"/>
                    <w:ind w:left="350"/>
                    <w:spacing w:before="238" w:line="219" w:lineRule="auto"/>
                    <w:rPr>
                      <w:sz w:val="12"/>
                      <w:szCs w:val="12"/>
                    </w:rPr>
                  </w:pPr>
                  <w:r>
                    <w:rPr>
                      <w:sz w:val="12"/>
                      <w:szCs w:val="12"/>
                      <w:spacing w:val="-2"/>
                    </w:rPr>
                    <w:t>灰色油漆</w:t>
                  </w:r>
                </w:p>
                <w:p>
                  <w:pPr>
                    <w:pStyle w:val="BodyText"/>
                    <w:ind w:left="170"/>
                    <w:spacing w:before="218" w:line="219" w:lineRule="auto"/>
                    <w:rPr>
                      <w:sz w:val="12"/>
                      <w:szCs w:val="12"/>
                    </w:rPr>
                  </w:pPr>
                  <w:r>
                    <w:rPr>
                      <w:sz w:val="12"/>
                      <w:szCs w:val="12"/>
                      <w:spacing w:val="-1"/>
                    </w:rPr>
                    <w:t>伤口一抹愈合灵</w:t>
                  </w:r>
                </w:p>
              </w:txbxContent>
            </v:textbox>
          </v:shape>
        </w:pict>
      </w:r>
      <w:r>
        <w:pict>
          <v:shape id="_x0000_s126" style="position:absolute;margin-left:298.251pt;margin-top:0.951048pt;mso-position-vertical-relative:text;mso-position-horizontal-relative:text;width:79.85pt;height:128.65pt;z-index:254774272;" filled="false" stroked="false" type="#_x0000_t202">
            <v:fill on="false"/>
            <v:stroke on="false"/>
            <v:path/>
            <v:imagedata o:title=""/>
            <o:lock v:ext="edit" aspectratio="false"/>
            <v:textbox inset="0mm,0mm,0mm,0mm">
              <w:txbxContent>
                <w:p>
                  <w:pPr>
                    <w:pStyle w:val="BodyText"/>
                    <w:ind w:left="410"/>
                    <w:spacing w:before="19" w:line="219" w:lineRule="auto"/>
                    <w:rPr>
                      <w:sz w:val="12"/>
                      <w:szCs w:val="12"/>
                    </w:rPr>
                  </w:pPr>
                  <w:r>
                    <w:rPr>
                      <w:sz w:val="12"/>
                      <w:szCs w:val="12"/>
                      <w:spacing w:val="-1"/>
                    </w:rPr>
                    <w:t>有机质含量45%</w:t>
                  </w:r>
                </w:p>
                <w:p>
                  <w:pPr>
                    <w:spacing w:line="248" w:lineRule="auto"/>
                    <w:rPr>
                      <w:rFonts w:ascii="Arial"/>
                      <w:sz w:val="21"/>
                    </w:rPr>
                  </w:pPr>
                  <w:r/>
                </w:p>
                <w:p>
                  <w:pPr>
                    <w:pStyle w:val="BodyText"/>
                    <w:ind w:left="350"/>
                    <w:spacing w:before="39" w:line="220" w:lineRule="auto"/>
                    <w:rPr>
                      <w:sz w:val="12"/>
                      <w:szCs w:val="12"/>
                    </w:rPr>
                  </w:pPr>
                  <w:r>
                    <w:rPr>
                      <w:sz w:val="12"/>
                      <w:szCs w:val="12"/>
                      <w:spacing w:val="1"/>
                    </w:rPr>
                    <w:t>12%氨基酸整合钾</w:t>
                  </w:r>
                </w:p>
                <w:p>
                  <w:pPr>
                    <w:pStyle w:val="BodyText"/>
                    <w:ind w:left="500"/>
                    <w:spacing w:before="226" w:line="219" w:lineRule="auto"/>
                    <w:rPr>
                      <w:sz w:val="12"/>
                      <w:szCs w:val="12"/>
                    </w:rPr>
                  </w:pPr>
                  <w:r>
                    <w:rPr>
                      <w:sz w:val="12"/>
                      <w:szCs w:val="12"/>
                      <w:spacing w:val="-1"/>
                    </w:rPr>
                    <w:t>磷酸二氢钾</w:t>
                  </w:r>
                </w:p>
                <w:p>
                  <w:pPr>
                    <w:pStyle w:val="BodyText"/>
                    <w:ind w:left="320"/>
                    <w:spacing w:before="245" w:line="216" w:lineRule="auto"/>
                    <w:rPr>
                      <w:sz w:val="12"/>
                      <w:szCs w:val="12"/>
                    </w:rPr>
                  </w:pPr>
                  <w:r>
                    <w:rPr>
                      <w:sz w:val="12"/>
                      <w:szCs w:val="12"/>
                      <w:spacing w:val="-1"/>
                    </w:rPr>
                    <w:t>CDCNH2)2,含氮46%</w:t>
                  </w:r>
                </w:p>
                <w:p>
                  <w:pPr>
                    <w:pStyle w:val="BodyText"/>
                    <w:ind w:left="470"/>
                    <w:spacing w:before="261" w:line="219" w:lineRule="auto"/>
                    <w:rPr>
                      <w:sz w:val="12"/>
                      <w:szCs w:val="12"/>
                    </w:rPr>
                  </w:pPr>
                  <w:r>
                    <w:rPr>
                      <w:sz w:val="12"/>
                      <w:szCs w:val="12"/>
                      <w:spacing w:val="-1"/>
                    </w:rPr>
                    <w:t>有机质≥60%</w:t>
                  </w:r>
                </w:p>
                <w:p>
                  <w:pPr>
                    <w:pStyle w:val="BodyText"/>
                    <w:ind w:left="20"/>
                    <w:spacing w:before="267" w:line="219" w:lineRule="auto"/>
                    <w:rPr>
                      <w:sz w:val="12"/>
                      <w:szCs w:val="12"/>
                    </w:rPr>
                  </w:pPr>
                  <w:r>
                    <w:rPr>
                      <w:sz w:val="12"/>
                      <w:szCs w:val="12"/>
                      <w:spacing w:val="-1"/>
                    </w:rPr>
                    <w:t>氮基酸、氮、磷、钾、有机质</w:t>
                  </w:r>
                </w:p>
                <w:p>
                  <w:pPr>
                    <w:pStyle w:val="BodyText"/>
                    <w:ind w:left="500"/>
                    <w:spacing w:before="249" w:line="219" w:lineRule="auto"/>
                    <w:rPr>
                      <w:sz w:val="12"/>
                      <w:szCs w:val="12"/>
                    </w:rPr>
                  </w:pPr>
                  <w:r>
                    <w:rPr>
                      <w:sz w:val="12"/>
                      <w:szCs w:val="12"/>
                      <w:spacing w:val="-1"/>
                    </w:rPr>
                    <w:t>植物激素类</w:t>
                  </w:r>
                </w:p>
              </w:txbxContent>
            </v:textbox>
          </v:shape>
        </w:pict>
      </w:r>
      <w:r>
        <w:pict>
          <v:shape id="_x0000_s128" style="position:absolute;margin-left:388.756pt;margin-top:0.99304pt;mso-position-vertical-relative:text;mso-position-horizontal-relative:text;width:73.75pt;height:219.15pt;z-index:254771200;" filled="false" stroked="false" type="#_x0000_t202">
            <v:fill on="false"/>
            <v:stroke on="false"/>
            <v:path/>
            <v:imagedata o:title=""/>
            <o:lock v:ext="edit" aspectratio="false"/>
            <v:textbox inset="0mm,0mm,0mm,0mm">
              <w:txbxContent>
                <w:p>
                  <w:pPr>
                    <w:pStyle w:val="BodyText"/>
                    <w:ind w:left="439"/>
                    <w:spacing w:before="20" w:line="220" w:lineRule="auto"/>
                    <w:rPr>
                      <w:sz w:val="12"/>
                      <w:szCs w:val="12"/>
                    </w:rPr>
                  </w:pPr>
                  <w:r>
                    <w:rPr>
                      <w:sz w:val="12"/>
                      <w:szCs w:val="12"/>
                      <w:spacing w:val="-1"/>
                    </w:rPr>
                    <w:t>撒施或穴施</w:t>
                  </w:r>
                </w:p>
                <w:p>
                  <w:pPr>
                    <w:spacing w:line="246" w:lineRule="auto"/>
                    <w:rPr>
                      <w:rFonts w:ascii="Arial"/>
                      <w:sz w:val="21"/>
                    </w:rPr>
                  </w:pPr>
                  <w:r/>
                </w:p>
                <w:p>
                  <w:pPr>
                    <w:pStyle w:val="BodyText"/>
                    <w:ind w:left="409"/>
                    <w:spacing w:before="39" w:line="220" w:lineRule="auto"/>
                    <w:rPr>
                      <w:sz w:val="12"/>
                      <w:szCs w:val="12"/>
                    </w:rPr>
                  </w:pPr>
                  <w:r>
                    <w:rPr>
                      <w:sz w:val="12"/>
                      <w:szCs w:val="12"/>
                      <w:spacing w:val="-1"/>
                    </w:rPr>
                    <w:t>600-800倍液</w:t>
                  </w:r>
                </w:p>
                <w:p>
                  <w:pPr>
                    <w:pStyle w:val="BodyText"/>
                    <w:ind w:left="79"/>
                    <w:spacing w:before="226" w:line="219" w:lineRule="auto"/>
                    <w:rPr>
                      <w:sz w:val="12"/>
                      <w:szCs w:val="12"/>
                    </w:rPr>
                  </w:pPr>
                  <w:r>
                    <w:rPr>
                      <w:sz w:val="12"/>
                      <w:szCs w:val="12"/>
                      <w:spacing w:val="-1"/>
                    </w:rPr>
                    <w:t>直接穴施或0.2%叶面喷施</w:t>
                  </w:r>
                </w:p>
                <w:p>
                  <w:pPr>
                    <w:pStyle w:val="BodyText"/>
                    <w:ind w:left="139"/>
                    <w:spacing w:before="243" w:line="214" w:lineRule="auto"/>
                    <w:rPr>
                      <w:sz w:val="12"/>
                      <w:szCs w:val="12"/>
                    </w:rPr>
                  </w:pPr>
                  <w:r>
                    <w:rPr>
                      <w:sz w:val="12"/>
                      <w:szCs w:val="12"/>
                      <w:spacing w:val="-1"/>
                    </w:rPr>
                    <w:t>直接撤施：20-25kg/亩</w:t>
                  </w:r>
                </w:p>
                <w:p>
                  <w:pPr>
                    <w:pStyle w:val="BodyText"/>
                    <w:ind w:left="139"/>
                    <w:spacing w:before="260" w:line="214" w:lineRule="auto"/>
                    <w:rPr>
                      <w:sz w:val="12"/>
                      <w:szCs w:val="12"/>
                    </w:rPr>
                  </w:pPr>
                  <w:r>
                    <w:rPr>
                      <w:sz w:val="12"/>
                      <w:szCs w:val="12"/>
                      <w:spacing w:val="-1"/>
                    </w:rPr>
                    <w:t>直接撤施：20-25kg/亩</w:t>
                  </w:r>
                </w:p>
                <w:p>
                  <w:pPr>
                    <w:pStyle w:val="BodyText"/>
                    <w:ind w:left="499"/>
                    <w:spacing w:before="275" w:line="219" w:lineRule="auto"/>
                    <w:rPr>
                      <w:sz w:val="12"/>
                      <w:szCs w:val="12"/>
                    </w:rPr>
                  </w:pPr>
                  <w:r>
                    <w:rPr>
                      <w:sz w:val="12"/>
                      <w:szCs w:val="12"/>
                      <w:spacing w:val="3"/>
                    </w:rPr>
                    <w:t>直接使用</w:t>
                  </w:r>
                </w:p>
                <w:p>
                  <w:pPr>
                    <w:pStyle w:val="BodyText"/>
                    <w:ind w:left="199"/>
                    <w:spacing w:before="244" w:line="214" w:lineRule="auto"/>
                    <w:rPr>
                      <w:sz w:val="12"/>
                      <w:szCs w:val="12"/>
                    </w:rPr>
                  </w:pPr>
                  <w:r>
                    <w:rPr>
                      <w:sz w:val="12"/>
                      <w:szCs w:val="12"/>
                      <w:spacing w:val="-1"/>
                    </w:rPr>
                    <w:t>每100ml兑水26-20kg</w:t>
                  </w:r>
                </w:p>
                <w:p>
                  <w:pPr>
                    <w:pStyle w:val="BodyText"/>
                    <w:ind w:left="259"/>
                    <w:spacing w:before="190" w:line="214" w:lineRule="auto"/>
                    <w:rPr>
                      <w:sz w:val="12"/>
                      <w:szCs w:val="12"/>
                    </w:rPr>
                  </w:pPr>
                  <w:r>
                    <w:rPr>
                      <w:sz w:val="12"/>
                      <w:szCs w:val="12"/>
                      <w:spacing w:val="-1"/>
                    </w:rPr>
                    <w:t>每40g兑水25-20kg</w:t>
                  </w:r>
                </w:p>
                <w:p>
                  <w:pPr>
                    <w:pStyle w:val="BodyText"/>
                    <w:ind w:left="79"/>
                    <w:spacing w:before="236" w:line="219" w:lineRule="auto"/>
                    <w:rPr>
                      <w:sz w:val="12"/>
                      <w:szCs w:val="12"/>
                    </w:rPr>
                  </w:pPr>
                  <w:r>
                    <w:rPr>
                      <w:sz w:val="12"/>
                      <w:szCs w:val="12"/>
                      <w:spacing w:val="-1"/>
                    </w:rPr>
                    <w:t>直接使用，可略加水稀释</w:t>
                  </w:r>
                </w:p>
                <w:p>
                  <w:pPr>
                    <w:pStyle w:val="BodyText"/>
                    <w:ind w:left="79"/>
                    <w:spacing w:before="227" w:line="219" w:lineRule="auto"/>
                    <w:rPr>
                      <w:sz w:val="12"/>
                      <w:szCs w:val="12"/>
                    </w:rPr>
                  </w:pPr>
                  <w:r>
                    <w:rPr>
                      <w:sz w:val="12"/>
                      <w:szCs w:val="12"/>
                      <w:spacing w:val="-1"/>
                    </w:rPr>
                    <w:t>直接使用，可略加水稀释</w:t>
                  </w:r>
                </w:p>
                <w:p>
                  <w:pPr>
                    <w:pStyle w:val="BodyText"/>
                    <w:ind w:left="20"/>
                    <w:spacing w:before="238" w:line="219" w:lineRule="auto"/>
                    <w:rPr>
                      <w:sz w:val="12"/>
                      <w:szCs w:val="12"/>
                    </w:rPr>
                  </w:pPr>
                  <w:r>
                    <w:rPr>
                      <w:sz w:val="12"/>
                      <w:szCs w:val="12"/>
                      <w:spacing w:val="-1"/>
                    </w:rPr>
                    <w:t>直接使用，可略加汽油裤释</w:t>
                  </w:r>
                </w:p>
                <w:p>
                  <w:pPr>
                    <w:pStyle w:val="BodyText"/>
                    <w:ind w:left="499"/>
                    <w:spacing w:before="218" w:line="219" w:lineRule="auto"/>
                    <w:rPr>
                      <w:sz w:val="12"/>
                      <w:szCs w:val="12"/>
                    </w:rPr>
                  </w:pPr>
                  <w:r>
                    <w:rPr>
                      <w:sz w:val="12"/>
                      <w:szCs w:val="12"/>
                      <w:spacing w:val="3"/>
                    </w:rPr>
                    <w:t>直接使用</w:t>
                  </w:r>
                </w:p>
              </w:txbxContent>
            </v:textbox>
          </v:shape>
        </w:pict>
      </w:r>
      <w:r>
        <w:rPr>
          <w:sz w:val="12"/>
          <w:szCs w:val="12"/>
          <w:spacing w:val="-1"/>
        </w:rPr>
        <w:t>改良土质，营养较为全面，肥效期长，</w:t>
      </w:r>
    </w:p>
    <w:p>
      <w:pPr>
        <w:spacing w:line="247" w:lineRule="auto"/>
        <w:rPr>
          <w:rFonts w:ascii="Arial"/>
          <w:sz w:val="21"/>
        </w:rPr>
      </w:pPr>
      <w:r/>
    </w:p>
    <w:p>
      <w:pPr>
        <w:pStyle w:val="BodyText"/>
        <w:ind w:left="11055"/>
        <w:spacing w:before="40" w:line="219" w:lineRule="auto"/>
        <w:rPr>
          <w:sz w:val="12"/>
          <w:szCs w:val="12"/>
        </w:rPr>
      </w:pPr>
      <w:r>
        <w:rPr>
          <w:sz w:val="12"/>
          <w:szCs w:val="12"/>
        </w:rPr>
        <w:t>防治因缺钾引起的植株瘦弱，生长不良</w:t>
      </w:r>
    </w:p>
    <w:p>
      <w:pPr>
        <w:pStyle w:val="BodyText"/>
        <w:ind w:left="11055"/>
        <w:spacing w:before="228" w:line="219" w:lineRule="auto"/>
        <w:rPr>
          <w:sz w:val="12"/>
          <w:szCs w:val="12"/>
        </w:rPr>
      </w:pPr>
      <w:r>
        <w:rPr>
          <w:sz w:val="12"/>
          <w:szCs w:val="12"/>
          <w:spacing w:val="-1"/>
        </w:rPr>
        <w:t>提高树木木质化程度，有利树木安全越冬</w:t>
      </w:r>
    </w:p>
    <w:p>
      <w:pPr>
        <w:pStyle w:val="BodyText"/>
        <w:ind w:left="9555"/>
        <w:spacing w:before="68" w:line="219" w:lineRule="auto"/>
        <w:rPr>
          <w:sz w:val="12"/>
          <w:szCs w:val="12"/>
        </w:rPr>
      </w:pPr>
      <w:r>
        <w:rPr>
          <w:sz w:val="12"/>
          <w:szCs w:val="12"/>
          <w:spacing w:val="-2"/>
        </w:rPr>
        <w:t>一般用1次</w:t>
      </w:r>
    </w:p>
    <w:p>
      <w:pPr>
        <w:pStyle w:val="BodyText"/>
        <w:ind w:left="11055"/>
        <w:spacing w:before="37" w:line="219" w:lineRule="auto"/>
        <w:rPr>
          <w:sz w:val="12"/>
          <w:szCs w:val="12"/>
        </w:rPr>
      </w:pPr>
      <w:r>
        <w:rPr>
          <w:sz w:val="12"/>
          <w:szCs w:val="12"/>
          <w:spacing w:val="-1"/>
        </w:rPr>
        <w:t>促进草坪生长，增绿</w:t>
      </w:r>
    </w:p>
    <w:p>
      <w:pPr>
        <w:pStyle w:val="BodyText"/>
        <w:ind w:left="11055" w:right="36"/>
        <w:spacing w:before="208" w:line="204" w:lineRule="auto"/>
        <w:rPr>
          <w:sz w:val="12"/>
          <w:szCs w:val="12"/>
        </w:rPr>
      </w:pPr>
      <w:r>
        <w:rPr>
          <w:sz w:val="12"/>
          <w:szCs w:val="12"/>
          <w:spacing w:val="-2"/>
        </w:rPr>
        <w:t>促进草坪快速生根，全面营养，使用安全方便，1万平</w:t>
      </w:r>
      <w:r>
        <w:rPr>
          <w:sz w:val="12"/>
          <w:szCs w:val="12"/>
          <w:spacing w:val="2"/>
        </w:rPr>
        <w:t xml:space="preserve"> </w:t>
      </w:r>
      <w:r>
        <w:rPr>
          <w:sz w:val="12"/>
          <w:szCs w:val="12"/>
        </w:rPr>
        <w:t>方米年度约用量：250kg。</w:t>
      </w:r>
    </w:p>
    <w:p>
      <w:pPr>
        <w:pStyle w:val="BodyText"/>
        <w:ind w:left="11055" w:right="36"/>
        <w:spacing w:before="134" w:line="204" w:lineRule="auto"/>
        <w:rPr>
          <w:sz w:val="12"/>
          <w:szCs w:val="12"/>
        </w:rPr>
      </w:pPr>
      <w:r>
        <w:pict>
          <v:shape id="_x0000_s130" style="position:absolute;margin-left:93.7537pt;margin-top:11.7394pt;mso-position-vertical-relative:text;mso-position-horizontal-relative:text;width:134.8pt;height:37.65pt;z-index:254777344;" filled="false" stroked="false" type="#_x0000_t202">
            <v:fill on="false"/>
            <v:stroke on="false"/>
            <v:path/>
            <v:imagedata o:title=""/>
            <o:lock v:ext="edit" aspectratio="false"/>
            <v:textbox inset="0mm,0mm,0mm,0mm">
              <w:txbxContent>
                <w:p>
                  <w:pPr>
                    <w:pStyle w:val="BodyText"/>
                    <w:ind w:left="29" w:right="21"/>
                    <w:spacing w:before="20" w:line="209" w:lineRule="auto"/>
                    <w:rPr>
                      <w:sz w:val="12"/>
                      <w:szCs w:val="12"/>
                    </w:rPr>
                  </w:pPr>
                  <w:r>
                    <w:rPr>
                      <w:sz w:val="12"/>
                      <w:szCs w:val="12"/>
                      <w:spacing w:val="-3"/>
                    </w:rPr>
                    <w:t>一。4-5月，气温上升，空气湿度增加，是草皮施肥</w:t>
                  </w:r>
                  <w:r>
                    <w:rPr>
                      <w:sz w:val="12"/>
                      <w:szCs w:val="12"/>
                      <w:spacing w:val="15"/>
                    </w:rPr>
                    <w:t xml:space="preserve"> </w:t>
                  </w:r>
                  <w:r>
                    <w:rPr>
                      <w:sz w:val="12"/>
                      <w:szCs w:val="12"/>
                      <w:spacing w:val="8"/>
                    </w:rPr>
                    <w:t>复绿最住时机；</w:t>
                  </w:r>
                </w:p>
                <w:p>
                  <w:pPr>
                    <w:pStyle w:val="BodyText"/>
                    <w:ind w:left="20" w:right="20" w:firstLine="9"/>
                    <w:spacing w:before="8" w:line="223" w:lineRule="auto"/>
                    <w:rPr>
                      <w:sz w:val="12"/>
                      <w:szCs w:val="12"/>
                    </w:rPr>
                  </w:pPr>
                  <w:r>
                    <w:rPr>
                      <w:sz w:val="12"/>
                      <w:szCs w:val="12"/>
                      <w:spacing w:val="-3"/>
                    </w:rPr>
                    <w:t>二、6月气温高，生长旺盛，需肥量大；同时杂草生</w:t>
                  </w:r>
                  <w:r>
                    <w:rPr>
                      <w:sz w:val="12"/>
                      <w:szCs w:val="12"/>
                      <w:spacing w:val="13"/>
                    </w:rPr>
                    <w:t xml:space="preserve"> </w:t>
                  </w:r>
                  <w:r>
                    <w:rPr>
                      <w:sz w:val="12"/>
                      <w:szCs w:val="12"/>
                      <w:spacing w:val="-1"/>
                    </w:rPr>
                    <w:t>长旺盛，及时除杂：</w:t>
                  </w:r>
                </w:p>
                <w:p>
                  <w:pPr>
                    <w:pStyle w:val="BodyText"/>
                    <w:ind w:left="29"/>
                    <w:spacing w:line="218" w:lineRule="auto"/>
                    <w:rPr>
                      <w:sz w:val="12"/>
                      <w:szCs w:val="12"/>
                    </w:rPr>
                  </w:pPr>
                  <w:r>
                    <w:rPr>
                      <w:sz w:val="12"/>
                      <w:szCs w:val="12"/>
                      <w:spacing w:val="-1"/>
                    </w:rPr>
                    <w:t>三.9-11月夏季生长旺盛，及时补肥。</w:t>
                  </w:r>
                </w:p>
              </w:txbxContent>
            </v:textbox>
          </v:shape>
        </w:pict>
      </w:r>
      <w:r>
        <w:rPr>
          <w:sz w:val="12"/>
          <w:szCs w:val="12"/>
          <w:spacing w:val="-2"/>
        </w:rPr>
        <w:t>促进草坪快速生根，全面营养，使用安全方便，1万平</w:t>
      </w:r>
      <w:r>
        <w:rPr>
          <w:sz w:val="12"/>
          <w:szCs w:val="12"/>
          <w:spacing w:val="2"/>
        </w:rPr>
        <w:t xml:space="preserve"> </w:t>
      </w:r>
      <w:r>
        <w:rPr>
          <w:sz w:val="12"/>
          <w:szCs w:val="12"/>
        </w:rPr>
        <w:t>方米年度约用量：600kg。</w:t>
      </w:r>
    </w:p>
    <w:p>
      <w:pPr>
        <w:pStyle w:val="BodyText"/>
        <w:spacing w:before="185" w:line="219" w:lineRule="auto"/>
        <w:jc w:val="right"/>
        <w:rPr>
          <w:sz w:val="12"/>
          <w:szCs w:val="12"/>
        </w:rPr>
      </w:pPr>
      <w:r>
        <w:pict>
          <v:shape id="_x0000_s132" style="position:absolute;margin-left:48.2551pt;margin-top:1.73526pt;mso-position-vertical-relative:text;mso-position-horizontal-relative:text;width:43.75pt;height:17.35pt;z-index:254785536;" filled="false" stroked="false" type="#_x0000_t202">
            <v:fill on="false"/>
            <v:stroke on="false"/>
            <v:path/>
            <v:imagedata o:title=""/>
            <o:lock v:ext="edit" aspectratio="false"/>
            <v:textbox inset="0mm,0mm,0mm,0mm">
              <w:txbxContent>
                <w:p>
                  <w:pPr>
                    <w:pStyle w:val="BodyText"/>
                    <w:ind w:left="318" w:right="20" w:hanging="299"/>
                    <w:spacing w:before="20" w:line="251" w:lineRule="auto"/>
                    <w:rPr>
                      <w:sz w:val="12"/>
                      <w:szCs w:val="12"/>
                    </w:rPr>
                  </w:pPr>
                  <w:r>
                    <w:rPr>
                      <w:sz w:val="12"/>
                      <w:szCs w:val="12"/>
                      <w:spacing w:val="-1"/>
                    </w:rPr>
                    <w:t>草坪发芽及长势</w:t>
                  </w:r>
                  <w:r>
                    <w:rPr>
                      <w:sz w:val="12"/>
                      <w:szCs w:val="12"/>
                    </w:rPr>
                    <w:t xml:space="preserve"> </w:t>
                  </w:r>
                  <w:r>
                    <w:rPr>
                      <w:sz w:val="12"/>
                      <w:szCs w:val="12"/>
                      <w:spacing w:val="-2"/>
                    </w:rPr>
                    <w:t>不良</w:t>
                  </w:r>
                </w:p>
              </w:txbxContent>
            </v:textbox>
          </v:shape>
        </w:pict>
      </w:r>
      <w:r>
        <w:pict>
          <v:shape id="_x0000_s134" style="position:absolute;margin-left:20.7531pt;margin-top:5.23222pt;mso-position-vertical-relative:text;mso-position-horizontal-relative:text;width:25.75pt;height:9.15pt;z-index:254797824;" filled="false" stroked="false" type="#_x0000_t202">
            <v:fill on="false"/>
            <v:stroke on="false"/>
            <v:path/>
            <v:imagedata o:title=""/>
            <o:lock v:ext="edit" aspectratio="false"/>
            <v:textbox inset="0mm,0mm,0mm,0mm">
              <w:txbxContent>
                <w:p>
                  <w:pPr>
                    <w:pStyle w:val="BodyText"/>
                    <w:ind w:left="20"/>
                    <w:spacing w:before="20" w:line="219" w:lineRule="auto"/>
                    <w:rPr>
                      <w:sz w:val="12"/>
                      <w:szCs w:val="12"/>
                    </w:rPr>
                  </w:pPr>
                  <w:r>
                    <w:rPr>
                      <w:sz w:val="12"/>
                      <w:szCs w:val="12"/>
                      <w:spacing w:val="-2"/>
                    </w:rPr>
                    <w:t>草皮覆绿</w:t>
                  </w:r>
                </w:p>
              </w:txbxContent>
            </v:textbox>
          </v:shape>
        </w:pict>
      </w:r>
      <w:r>
        <w:pict>
          <v:shape id="_x0000_s136" style="position:absolute;margin-left:469.255pt;margin-top:5.23222pt;mso-position-vertical-relative:text;mso-position-horizontal-relative:text;width:43.8pt;height:9.15pt;z-index:254788608;" filled="false" stroked="false" type="#_x0000_t202">
            <v:fill on="false"/>
            <v:stroke on="false"/>
            <v:path/>
            <v:imagedata o:title=""/>
            <o:lock v:ext="edit" aspectratio="false"/>
            <v:textbox inset="0mm,0mm,0mm,0mm">
              <w:txbxContent>
                <w:p>
                  <w:pPr>
                    <w:pStyle w:val="BodyText"/>
                    <w:ind w:left="20"/>
                    <w:spacing w:before="20" w:line="219" w:lineRule="auto"/>
                    <w:rPr>
                      <w:sz w:val="12"/>
                      <w:szCs w:val="12"/>
                    </w:rPr>
                  </w:pPr>
                  <w:r>
                    <w:rPr>
                      <w:sz w:val="12"/>
                      <w:szCs w:val="12"/>
                      <w:spacing w:val="-1"/>
                    </w:rPr>
                    <w:t>视草坪生长情况</w:t>
                  </w:r>
                </w:p>
              </w:txbxContent>
            </v:textbox>
          </v:shape>
        </w:pict>
      </w:r>
      <w:r>
        <w:rPr>
          <w:sz w:val="12"/>
          <w:szCs w:val="12"/>
          <w:spacing w:val="-1"/>
        </w:rPr>
        <w:t>高效防除禾本科杂草，1万平方米年度约用量：2.25L.</w:t>
      </w:r>
    </w:p>
    <w:p>
      <w:pPr>
        <w:pStyle w:val="BodyText"/>
        <w:ind w:left="11055"/>
        <w:spacing w:before="188" w:line="219" w:lineRule="auto"/>
        <w:rPr>
          <w:sz w:val="12"/>
          <w:szCs w:val="12"/>
        </w:rPr>
      </w:pPr>
      <w:r>
        <w:rPr>
          <w:sz w:val="12"/>
          <w:szCs w:val="12"/>
          <w:spacing w:val="-1"/>
        </w:rPr>
        <w:t>高效防除阔叶杂草</w:t>
      </w:r>
    </w:p>
    <w:p>
      <w:pPr>
        <w:pStyle w:val="BodyText"/>
        <w:ind w:left="11055"/>
        <w:spacing w:before="227" w:line="219" w:lineRule="auto"/>
        <w:rPr>
          <w:sz w:val="12"/>
          <w:szCs w:val="12"/>
        </w:rPr>
      </w:pPr>
      <w:r>
        <w:pict>
          <v:shape id="_x0000_s138" style="position:absolute;margin-left:292.252pt;margin-top:6.34093pt;mso-position-vertical-relative:text;mso-position-horizontal-relative:text;width:91.75pt;height:68.65pt;z-index:254776320;" filled="false" stroked="false" type="#_x0000_t202">
            <v:fill on="false"/>
            <v:stroke on="false"/>
            <v:path/>
            <v:imagedata o:title=""/>
            <o:lock v:ext="edit" aspectratio="false"/>
            <v:textbox inset="0mm,0mm,0mm,0mm">
              <w:txbxContent>
                <w:p>
                  <w:pPr>
                    <w:pStyle w:val="BodyText"/>
                    <w:ind w:left="690" w:right="20" w:hanging="670"/>
                    <w:spacing w:before="19" w:line="235" w:lineRule="auto"/>
                    <w:rPr>
                      <w:sz w:val="12"/>
                      <w:szCs w:val="12"/>
                    </w:rPr>
                  </w:pPr>
                  <w:r>
                    <w:rPr>
                      <w:sz w:val="12"/>
                      <w:szCs w:val="12"/>
                      <w:spacing w:val="-1"/>
                    </w:rPr>
                    <w:t>成膜剂、甲基破菌灵、防腐剂、促</w:t>
                  </w:r>
                  <w:r>
                    <w:rPr>
                      <w:sz w:val="12"/>
                      <w:szCs w:val="12"/>
                      <w:spacing w:val="8"/>
                    </w:rPr>
                    <w:t xml:space="preserve"> </w:t>
                  </w:r>
                  <w:r>
                    <w:rPr>
                      <w:sz w:val="12"/>
                      <w:szCs w:val="12"/>
                      <w:spacing w:val="-2"/>
                    </w:rPr>
                    <w:t>生长物质</w:t>
                  </w:r>
                </w:p>
                <w:p>
                  <w:pPr>
                    <w:pStyle w:val="BodyText"/>
                    <w:ind w:left="500"/>
                    <w:spacing w:before="144" w:line="219" w:lineRule="auto"/>
                    <w:rPr>
                      <w:sz w:val="12"/>
                      <w:szCs w:val="12"/>
                    </w:rPr>
                  </w:pPr>
                  <w:r>
                    <w:rPr>
                      <w:sz w:val="12"/>
                      <w:szCs w:val="12"/>
                      <w:spacing w:val="-1"/>
                    </w:rPr>
                    <w:t>有机质、杀菌剂</w:t>
                  </w:r>
                </w:p>
                <w:p>
                  <w:pPr>
                    <w:pStyle w:val="BodyText"/>
                    <w:ind w:left="139"/>
                    <w:spacing w:before="237" w:line="219" w:lineRule="auto"/>
                    <w:rPr>
                      <w:sz w:val="12"/>
                      <w:szCs w:val="12"/>
                    </w:rPr>
                  </w:pPr>
                  <w:r>
                    <w:rPr>
                      <w:sz w:val="12"/>
                      <w:szCs w:val="12"/>
                      <w:spacing w:val="-1"/>
                    </w:rPr>
                    <w:t>成膜物质、颜料、溶剂、助剂</w:t>
                  </w:r>
                </w:p>
                <w:p>
                  <w:pPr>
                    <w:pStyle w:val="BodyText"/>
                    <w:ind w:left="319"/>
                    <w:spacing w:before="217" w:line="219" w:lineRule="auto"/>
                    <w:rPr>
                      <w:sz w:val="12"/>
                      <w:szCs w:val="12"/>
                    </w:rPr>
                  </w:pPr>
                  <w:r>
                    <w:rPr>
                      <w:sz w:val="12"/>
                      <w:szCs w:val="12"/>
                    </w:rPr>
                    <w:t>引哚类生长索、杀菌剂</w:t>
                  </w:r>
                </w:p>
              </w:txbxContent>
            </v:textbox>
          </v:shape>
        </w:pict>
      </w:r>
      <w:r>
        <w:rPr>
          <w:sz w:val="12"/>
          <w:szCs w:val="12"/>
          <w:spacing w:val="-1"/>
        </w:rPr>
        <w:t>促进伤口快速愈合，柔菌防腐</w:t>
      </w:r>
    </w:p>
    <w:p>
      <w:pPr>
        <w:pStyle w:val="BodyText"/>
        <w:ind w:left="11055" w:right="56"/>
        <w:spacing w:before="178" w:line="211" w:lineRule="auto"/>
        <w:rPr>
          <w:sz w:val="12"/>
          <w:szCs w:val="12"/>
        </w:rPr>
      </w:pPr>
      <w:r>
        <w:rPr>
          <w:sz w:val="12"/>
          <w:szCs w:val="12"/>
          <w:spacing w:val="-1"/>
        </w:rPr>
        <w:t>适用树木移栽时切口及根部处理：病害伤口、树皮提</w:t>
      </w:r>
      <w:r>
        <w:rPr>
          <w:sz w:val="12"/>
          <w:szCs w:val="12"/>
          <w:spacing w:val="17"/>
        </w:rPr>
        <w:t xml:space="preserve"> </w:t>
      </w:r>
      <w:r>
        <w:rPr>
          <w:sz w:val="12"/>
          <w:szCs w:val="12"/>
          <w:spacing w:val="-2"/>
        </w:rPr>
        <w:t>失处理</w:t>
      </w:r>
    </w:p>
    <w:p>
      <w:pPr>
        <w:pStyle w:val="BodyText"/>
        <w:ind w:left="11055"/>
        <w:spacing w:before="156" w:line="219" w:lineRule="auto"/>
        <w:rPr>
          <w:sz w:val="12"/>
          <w:szCs w:val="12"/>
        </w:rPr>
      </w:pPr>
      <w:r>
        <w:pict>
          <v:shape id="_x0000_s140" style="position:absolute;margin-left:49.7549pt;margin-top:2.7854pt;mso-position-vertical-relative:text;mso-position-horizontal-relative:text;width:44pt;height:17.15pt;z-index:254784512;" filled="false" stroked="false" type="#_x0000_t202">
            <v:fill on="false"/>
            <v:stroke on="false"/>
            <v:path/>
            <v:imagedata o:title=""/>
            <o:lock v:ext="edit" aspectratio="false"/>
            <v:textbox inset="0mm,0mm,0mm,0mm">
              <w:txbxContent>
                <w:p>
                  <w:pPr>
                    <w:pStyle w:val="BodyText"/>
                    <w:ind w:left="49" w:right="20" w:hanging="29"/>
                    <w:spacing w:before="20" w:line="248" w:lineRule="auto"/>
                    <w:rPr>
                      <w:sz w:val="12"/>
                      <w:szCs w:val="12"/>
                    </w:rPr>
                  </w:pPr>
                  <w:r>
                    <w:rPr>
                      <w:sz w:val="12"/>
                      <w:szCs w:val="12"/>
                    </w:rPr>
                    <w:t>树木修剪创口， </w:t>
                  </w:r>
                  <w:r>
                    <w:rPr>
                      <w:sz w:val="12"/>
                      <w:szCs w:val="12"/>
                      <w:spacing w:val="2"/>
                    </w:rPr>
                    <w:t>腐烂病害伤口</w:t>
                  </w:r>
                </w:p>
              </w:txbxContent>
            </v:textbox>
          </v:shape>
        </w:pict>
      </w:r>
      <w:r>
        <w:pict>
          <v:shape id="_x0000_s142" style="position:absolute;margin-left:3.75635pt;margin-top:5.78572pt;mso-position-vertical-relative:text;mso-position-horizontal-relative:text;width:42.8pt;height:9.2pt;z-index:254791680;" filled="false" stroked="false" type="#_x0000_t202">
            <v:fill on="false"/>
            <v:stroke on="false"/>
            <v:path/>
            <v:imagedata o:title=""/>
            <o:lock v:ext="edit" aspectratio="false"/>
            <v:textbox inset="0mm,0mm,0mm,0mm">
              <w:txbxContent>
                <w:p>
                  <w:pPr>
                    <w:pStyle w:val="BodyText"/>
                    <w:ind w:left="20"/>
                    <w:spacing w:before="19" w:line="221" w:lineRule="auto"/>
                    <w:rPr>
                      <w:sz w:val="12"/>
                      <w:szCs w:val="12"/>
                    </w:rPr>
                  </w:pPr>
                  <w:r>
                    <w:rPr>
                      <w:sz w:val="12"/>
                      <w:szCs w:val="12"/>
                      <w:spacing w:val="-2"/>
                    </w:rPr>
                    <w:t>其地</w:t>
                  </w:r>
                  <w:r>
                    <w:rPr>
                      <w:sz w:val="12"/>
                      <w:szCs w:val="12"/>
                      <w:spacing w:val="47"/>
                    </w:rPr>
                    <w:t xml:space="preserve"> </w:t>
                  </w:r>
                  <w:r>
                    <w:rPr>
                      <w:sz w:val="12"/>
                      <w:szCs w:val="12"/>
                      <w:spacing w:val="-2"/>
                    </w:rPr>
                    <w:t>树木养护</w:t>
                  </w:r>
                </w:p>
              </w:txbxContent>
            </v:textbox>
          </v:shape>
        </w:pict>
      </w:r>
      <w:r>
        <w:pict>
          <v:shape id="_x0000_s144" style="position:absolute;margin-left:466.255pt;margin-top:2.7854pt;mso-position-vertical-relative:text;mso-position-horizontal-relative:text;width:49.75pt;height:16.75pt;z-index:254783488;" filled="false" stroked="false" type="#_x0000_t202">
            <v:fill on="false"/>
            <v:stroke on="false"/>
            <v:path/>
            <v:imagedata o:title=""/>
            <o:lock v:ext="edit" aspectratio="false"/>
            <v:textbox inset="0mm,0mm,0mm,0mm">
              <w:txbxContent>
                <w:p>
                  <w:pPr>
                    <w:pStyle w:val="BodyText"/>
                    <w:ind w:left="329" w:right="20" w:hanging="309"/>
                    <w:spacing w:before="20" w:line="235" w:lineRule="auto"/>
                    <w:rPr>
                      <w:sz w:val="12"/>
                      <w:szCs w:val="12"/>
                    </w:rPr>
                  </w:pPr>
                  <w:r>
                    <w:rPr>
                      <w:sz w:val="12"/>
                      <w:szCs w:val="12"/>
                      <w:spacing w:val="-1"/>
                    </w:rPr>
                    <w:t>乔木修剪后和树皮</w:t>
                  </w:r>
                  <w:r>
                    <w:rPr>
                      <w:sz w:val="12"/>
                      <w:szCs w:val="12"/>
                      <w:spacing w:val="1"/>
                    </w:rPr>
                    <w:t xml:space="preserve"> </w:t>
                  </w:r>
                  <w:r>
                    <w:rPr>
                      <w:sz w:val="12"/>
                      <w:szCs w:val="12"/>
                      <w:spacing w:val="-1"/>
                    </w:rPr>
                    <w:t>破损时</w:t>
                  </w:r>
                </w:p>
              </w:txbxContent>
            </v:textbox>
          </v:shape>
        </w:pict>
      </w:r>
      <w:r>
        <w:pict>
          <v:shape id="_x0000_s146" style="position:absolute;margin-left:149.75pt;margin-top:5.78572pt;mso-position-vertical-relative:text;mso-position-horizontal-relative:text;width:26.45pt;height:9.15pt;z-index:254794752;" filled="false" stroked="false" type="#_x0000_t202">
            <v:fill on="false"/>
            <v:stroke on="false"/>
            <v:path/>
            <v:imagedata o:title=""/>
            <o:lock v:ext="edit" aspectratio="false"/>
            <v:textbox inset="0mm,0mm,0mm,0mm">
              <w:txbxContent>
                <w:p>
                  <w:pPr>
                    <w:pStyle w:val="BodyText"/>
                    <w:ind w:left="20"/>
                    <w:spacing w:before="20" w:line="219" w:lineRule="auto"/>
                    <w:rPr>
                      <w:sz w:val="12"/>
                      <w:szCs w:val="12"/>
                    </w:rPr>
                  </w:pPr>
                  <w:r>
                    <w:rPr>
                      <w:sz w:val="12"/>
                      <w:szCs w:val="12"/>
                      <w:spacing w:val="2"/>
                    </w:rPr>
                    <w:t>日常养护</w:t>
                  </w:r>
                </w:p>
              </w:txbxContent>
            </v:textbox>
          </v:shape>
        </w:pict>
      </w:r>
      <w:r>
        <w:rPr>
          <w:sz w:val="12"/>
          <w:szCs w:val="12"/>
          <w:spacing w:val="-1"/>
        </w:rPr>
        <w:t>伤口涂抹</w:t>
      </w:r>
    </w:p>
    <w:p>
      <w:pPr>
        <w:pStyle w:val="BodyText"/>
        <w:ind w:left="11055"/>
        <w:spacing w:before="217" w:line="219" w:lineRule="auto"/>
        <w:rPr>
          <w:sz w:val="12"/>
          <w:szCs w:val="12"/>
        </w:rPr>
      </w:pPr>
      <w:r>
        <w:rPr>
          <w:sz w:val="12"/>
          <w:szCs w:val="12"/>
          <w:spacing w:val="-1"/>
        </w:rPr>
        <w:t>促进伤口快迷愈合，柔菌防腐</w:t>
      </w:r>
    </w:p>
    <w:p>
      <w:pPr>
        <w:spacing w:line="219" w:lineRule="auto"/>
        <w:sectPr>
          <w:pgSz w:w="14490" w:h="10240"/>
          <w:pgMar w:top="174" w:right="317" w:bottom="400" w:left="304" w:header="0" w:footer="0" w:gutter="0"/>
        </w:sectPr>
        <w:rPr>
          <w:sz w:val="12"/>
          <w:szCs w:val="12"/>
        </w:rPr>
      </w:pPr>
    </w:p>
    <w:tbl>
      <w:tblPr>
        <w:tblStyle w:val="TableNormal"/>
        <w:tblW w:w="1406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95"/>
        <w:gridCol w:w="530"/>
        <w:gridCol w:w="909"/>
        <w:gridCol w:w="2538"/>
        <w:gridCol w:w="1259"/>
        <w:gridCol w:w="1859"/>
        <w:gridCol w:w="1659"/>
        <w:gridCol w:w="1299"/>
        <w:gridCol w:w="839"/>
        <w:gridCol w:w="2773"/>
      </w:tblGrid>
      <w:tr>
        <w:trPr>
          <w:trHeight w:val="619" w:hRule="atLeast"/>
        </w:trPr>
        <w:tc>
          <w:tcPr>
            <w:tcW w:w="14060" w:type="dxa"/>
            <w:vAlign w:val="top"/>
            <w:gridSpan w:val="10"/>
            <w:tcBorders>
              <w:bottom w:val="single" w:color="000000" w:sz="2" w:space="0"/>
              <w:top w:val="single" w:color="000000" w:sz="2" w:space="0"/>
            </w:tcBorders>
          </w:tcPr>
          <w:p>
            <w:pPr>
              <w:pStyle w:val="TableText"/>
              <w:ind w:left="6117"/>
              <w:spacing w:before="173" w:line="218" w:lineRule="auto"/>
              <w:rPr>
                <w:sz w:val="15"/>
                <w:szCs w:val="15"/>
              </w:rPr>
            </w:pPr>
            <w:r>
              <w:rPr>
                <w:sz w:val="15"/>
                <w:szCs w:val="15"/>
                <w:b/>
                <w:bCs/>
                <w:spacing w:val="-2"/>
              </w:rPr>
              <w:t>海南地区农药肥料使用指导</w:t>
            </w:r>
          </w:p>
          <w:p>
            <w:pPr>
              <w:pStyle w:val="TableText"/>
              <w:ind w:left="4895"/>
              <w:spacing w:before="11" w:line="218" w:lineRule="auto"/>
              <w:rPr>
                <w:sz w:val="15"/>
                <w:szCs w:val="15"/>
              </w:rPr>
            </w:pPr>
            <w:r>
              <w:rPr>
                <w:sz w:val="15"/>
                <w:szCs w:val="15"/>
                <w:spacing w:val="-1"/>
              </w:rPr>
              <w:t>(</w:t>
            </w:r>
            <w:r>
              <w:rPr>
                <w:sz w:val="15"/>
                <w:szCs w:val="15"/>
                <w:b/>
                <w:bCs/>
                <w:spacing w:val="-1"/>
              </w:rPr>
              <w:t>本表中药品供参考，如有同类且成分相同、价格合理、低毒高效</w:t>
            </w:r>
            <w:r>
              <w:rPr>
                <w:sz w:val="15"/>
                <w:szCs w:val="15"/>
                <w:b/>
                <w:bCs/>
                <w:spacing w:val="-2"/>
              </w:rPr>
              <w:t>的药品，可选择使用</w:t>
            </w:r>
            <w:r>
              <w:rPr>
                <w:sz w:val="15"/>
                <w:szCs w:val="15"/>
                <w:spacing w:val="-2"/>
              </w:rPr>
              <w:t>)</w:t>
            </w:r>
          </w:p>
        </w:tc>
      </w:tr>
      <w:tr>
        <w:trPr>
          <w:trHeight w:val="464" w:hRule="atLeast"/>
        </w:trPr>
        <w:tc>
          <w:tcPr>
            <w:tcW w:w="395" w:type="dxa"/>
            <w:vAlign w:val="top"/>
            <w:tcBorders>
              <w:bottom w:val="single" w:color="000000" w:sz="2" w:space="0"/>
              <w:top w:val="single" w:color="000000" w:sz="2" w:space="0"/>
            </w:tcBorders>
          </w:tcPr>
          <w:p>
            <w:pPr>
              <w:pStyle w:val="TableText"/>
              <w:ind w:left="66"/>
              <w:spacing w:before="168" w:line="219" w:lineRule="auto"/>
              <w:rPr>
                <w:sz w:val="12"/>
                <w:szCs w:val="12"/>
              </w:rPr>
            </w:pPr>
            <w:r>
              <w:rPr>
                <w:sz w:val="12"/>
                <w:szCs w:val="12"/>
                <w:b/>
                <w:bCs/>
                <w:spacing w:val="-3"/>
              </w:rPr>
              <w:t>分类</w:t>
            </w:r>
          </w:p>
        </w:tc>
        <w:tc>
          <w:tcPr>
            <w:tcW w:w="530" w:type="dxa"/>
            <w:vAlign w:val="top"/>
            <w:tcBorders>
              <w:bottom w:val="single" w:color="000000" w:sz="2" w:space="0"/>
              <w:top w:val="single" w:color="000000" w:sz="2" w:space="0"/>
            </w:tcBorders>
          </w:tcPr>
          <w:p>
            <w:pPr>
              <w:pStyle w:val="TableText"/>
              <w:ind w:left="11"/>
              <w:spacing w:before="38" w:line="201" w:lineRule="auto"/>
              <w:rPr>
                <w:sz w:val="12"/>
                <w:szCs w:val="12"/>
              </w:rPr>
            </w:pPr>
            <w:r>
              <w:rPr>
                <w:sz w:val="12"/>
                <w:szCs w:val="12"/>
                <w:b/>
                <w:bCs/>
                <w:spacing w:val="-3"/>
              </w:rPr>
              <w:t>消杀预防</w:t>
            </w:r>
          </w:p>
          <w:p>
            <w:pPr>
              <w:pStyle w:val="TableText"/>
              <w:ind w:left="150" w:right="22" w:hanging="129"/>
              <w:spacing w:line="209" w:lineRule="auto"/>
              <w:rPr>
                <w:sz w:val="12"/>
                <w:szCs w:val="12"/>
              </w:rPr>
            </w:pPr>
            <w:r>
              <w:rPr>
                <w:sz w:val="12"/>
                <w:szCs w:val="12"/>
                <w:b/>
                <w:bCs/>
                <w:spacing w:val="-3"/>
              </w:rPr>
              <w:t>及病虫害</w:t>
            </w:r>
            <w:r>
              <w:rPr>
                <w:sz w:val="12"/>
                <w:szCs w:val="12"/>
                <w:spacing w:val="1"/>
              </w:rPr>
              <w:t xml:space="preserve"> </w:t>
            </w:r>
            <w:r>
              <w:rPr>
                <w:sz w:val="12"/>
                <w:szCs w:val="12"/>
                <w:b/>
                <w:bCs/>
                <w:spacing w:val="-3"/>
              </w:rPr>
              <w:t>分类</w:t>
            </w:r>
          </w:p>
        </w:tc>
        <w:tc>
          <w:tcPr>
            <w:tcW w:w="909" w:type="dxa"/>
            <w:vAlign w:val="top"/>
            <w:tcBorders>
              <w:bottom w:val="single" w:color="000000" w:sz="2" w:space="0"/>
              <w:top w:val="single" w:color="000000" w:sz="2" w:space="0"/>
            </w:tcBorders>
          </w:tcPr>
          <w:p>
            <w:pPr>
              <w:pStyle w:val="TableText"/>
              <w:ind w:left="141"/>
              <w:spacing w:before="168" w:line="219" w:lineRule="auto"/>
              <w:rPr>
                <w:sz w:val="12"/>
                <w:szCs w:val="12"/>
              </w:rPr>
            </w:pPr>
            <w:r>
              <w:rPr>
                <w:sz w:val="12"/>
                <w:szCs w:val="12"/>
                <w:b/>
                <w:bCs/>
                <w:spacing w:val="-3"/>
              </w:rPr>
              <w:t>常见病虫害</w:t>
            </w:r>
          </w:p>
        </w:tc>
        <w:tc>
          <w:tcPr>
            <w:tcW w:w="2538" w:type="dxa"/>
            <w:vAlign w:val="top"/>
            <w:tcBorders>
              <w:bottom w:val="single" w:color="000000" w:sz="2" w:space="0"/>
              <w:top w:val="single" w:color="000000" w:sz="2" w:space="0"/>
            </w:tcBorders>
          </w:tcPr>
          <w:p>
            <w:pPr>
              <w:pStyle w:val="TableText"/>
              <w:ind w:left="932"/>
              <w:spacing w:before="168" w:line="219" w:lineRule="auto"/>
              <w:rPr>
                <w:sz w:val="12"/>
                <w:szCs w:val="12"/>
              </w:rPr>
            </w:pPr>
            <w:r>
              <w:rPr>
                <w:sz w:val="12"/>
                <w:szCs w:val="12"/>
                <w:b/>
                <w:bCs/>
                <w:spacing w:val="-3"/>
              </w:rPr>
              <w:t>主要发病月份</w:t>
            </w:r>
          </w:p>
        </w:tc>
        <w:tc>
          <w:tcPr>
            <w:tcW w:w="1259" w:type="dxa"/>
            <w:vAlign w:val="top"/>
            <w:tcBorders>
              <w:bottom w:val="single" w:color="000000" w:sz="2" w:space="0"/>
              <w:top w:val="single" w:color="000000" w:sz="2" w:space="0"/>
            </w:tcBorders>
          </w:tcPr>
          <w:p>
            <w:pPr>
              <w:pStyle w:val="TableText"/>
              <w:ind w:left="383"/>
              <w:spacing w:before="170" w:line="220" w:lineRule="auto"/>
              <w:rPr>
                <w:sz w:val="12"/>
                <w:szCs w:val="12"/>
              </w:rPr>
            </w:pPr>
            <w:r>
              <w:rPr>
                <w:sz w:val="12"/>
                <w:szCs w:val="12"/>
                <w:spacing w:val="-2"/>
              </w:rPr>
              <w:t>药品名称</w:t>
            </w:r>
          </w:p>
        </w:tc>
        <w:tc>
          <w:tcPr>
            <w:tcW w:w="1859" w:type="dxa"/>
            <w:vAlign w:val="top"/>
            <w:tcBorders>
              <w:bottom w:val="single" w:color="000000" w:sz="2" w:space="0"/>
              <w:top w:val="single" w:color="000000" w:sz="2" w:space="0"/>
            </w:tcBorders>
          </w:tcPr>
          <w:p>
            <w:pPr>
              <w:pStyle w:val="TableText"/>
              <w:ind w:left="685"/>
              <w:spacing w:before="168" w:line="220" w:lineRule="auto"/>
              <w:rPr>
                <w:sz w:val="12"/>
                <w:szCs w:val="12"/>
              </w:rPr>
            </w:pPr>
            <w:r>
              <w:rPr>
                <w:sz w:val="12"/>
                <w:szCs w:val="12"/>
                <w:b/>
                <w:bCs/>
                <w:spacing w:val="-3"/>
              </w:rPr>
              <w:t>主要成分</w:t>
            </w:r>
          </w:p>
        </w:tc>
        <w:tc>
          <w:tcPr>
            <w:tcW w:w="1659" w:type="dxa"/>
            <w:vAlign w:val="top"/>
            <w:tcBorders>
              <w:bottom w:val="single" w:color="000000" w:sz="2" w:space="0"/>
              <w:top w:val="single" w:color="000000" w:sz="2" w:space="0"/>
            </w:tcBorders>
          </w:tcPr>
          <w:p>
            <w:pPr>
              <w:pStyle w:val="TableText"/>
              <w:ind w:left="586"/>
              <w:spacing w:before="168" w:line="218" w:lineRule="auto"/>
              <w:rPr>
                <w:sz w:val="12"/>
                <w:szCs w:val="12"/>
              </w:rPr>
            </w:pPr>
            <w:r>
              <w:rPr>
                <w:sz w:val="12"/>
                <w:szCs w:val="12"/>
                <w:b/>
                <w:bCs/>
                <w:spacing w:val="-3"/>
              </w:rPr>
              <w:t>使用借率</w:t>
            </w:r>
          </w:p>
        </w:tc>
        <w:tc>
          <w:tcPr>
            <w:tcW w:w="1299" w:type="dxa"/>
            <w:vAlign w:val="top"/>
            <w:tcBorders>
              <w:bottom w:val="single" w:color="000000" w:sz="2" w:space="0"/>
              <w:top w:val="single" w:color="000000" w:sz="2" w:space="0"/>
            </w:tcBorders>
          </w:tcPr>
          <w:p>
            <w:pPr>
              <w:pStyle w:val="TableText"/>
              <w:ind w:left="407"/>
              <w:spacing w:before="168" w:line="219" w:lineRule="auto"/>
              <w:rPr>
                <w:sz w:val="12"/>
                <w:szCs w:val="12"/>
              </w:rPr>
            </w:pPr>
            <w:r>
              <w:rPr>
                <w:sz w:val="12"/>
                <w:szCs w:val="12"/>
                <w:b/>
                <w:bCs/>
                <w:spacing w:val="-3"/>
              </w:rPr>
              <w:t>施用次数</w:t>
            </w:r>
          </w:p>
        </w:tc>
        <w:tc>
          <w:tcPr>
            <w:tcW w:w="839" w:type="dxa"/>
            <w:vAlign w:val="top"/>
            <w:tcBorders>
              <w:bottom w:val="single" w:color="000000" w:sz="2" w:space="0"/>
              <w:top w:val="single" w:color="000000" w:sz="2" w:space="0"/>
            </w:tcBorders>
          </w:tcPr>
          <w:p>
            <w:pPr>
              <w:pStyle w:val="TableText"/>
              <w:ind w:left="298"/>
              <w:spacing w:before="168" w:line="219" w:lineRule="auto"/>
              <w:rPr>
                <w:sz w:val="12"/>
                <w:szCs w:val="12"/>
              </w:rPr>
            </w:pPr>
            <w:r>
              <w:rPr>
                <w:sz w:val="12"/>
                <w:szCs w:val="12"/>
                <w:b/>
                <w:bCs/>
                <w:spacing w:val="-3"/>
              </w:rPr>
              <w:t>规格</w:t>
            </w:r>
          </w:p>
        </w:tc>
        <w:tc>
          <w:tcPr>
            <w:tcW w:w="2773" w:type="dxa"/>
            <w:vAlign w:val="top"/>
            <w:tcBorders>
              <w:bottom w:val="single" w:color="000000" w:sz="2" w:space="0"/>
              <w:top w:val="single" w:color="000000" w:sz="2" w:space="0"/>
            </w:tcBorders>
          </w:tcPr>
          <w:p>
            <w:pPr>
              <w:pStyle w:val="TableText"/>
              <w:ind w:left="1269"/>
              <w:spacing w:before="168" w:line="221" w:lineRule="auto"/>
              <w:rPr>
                <w:sz w:val="12"/>
                <w:szCs w:val="12"/>
              </w:rPr>
            </w:pPr>
            <w:r>
              <w:rPr>
                <w:sz w:val="12"/>
                <w:szCs w:val="12"/>
                <w:b/>
                <w:bCs/>
                <w:spacing w:val="-3"/>
              </w:rPr>
              <w:t>备注</w:t>
            </w:r>
          </w:p>
        </w:tc>
      </w:tr>
      <w:tr>
        <w:trPr>
          <w:trHeight w:val="425" w:hRule="atLeast"/>
        </w:trPr>
        <w:tc>
          <w:tcPr>
            <w:tcW w:w="395" w:type="dxa"/>
            <w:vAlign w:val="top"/>
            <w:vMerge w:val="restart"/>
            <w:tcBorders>
              <w:bottom w:val="nil"/>
              <w:top w:val="single" w:color="000000" w:sz="2" w:space="0"/>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4"/>
              <w:spacing w:before="39" w:line="218" w:lineRule="auto"/>
              <w:rPr>
                <w:sz w:val="12"/>
                <w:szCs w:val="12"/>
              </w:rPr>
            </w:pPr>
            <w:r>
              <w:rPr>
                <w:sz w:val="12"/>
                <w:szCs w:val="12"/>
                <w:spacing w:val="-2"/>
              </w:rPr>
              <w:t>杀菌剂</w:t>
            </w:r>
          </w:p>
        </w:tc>
        <w:tc>
          <w:tcPr>
            <w:tcW w:w="530" w:type="dxa"/>
            <w:vAlign w:val="top"/>
            <w:vMerge w:val="restart"/>
            <w:tcBorders>
              <w:bottom w:val="nil"/>
              <w:top w:val="single" w:color="000000" w:sz="2" w:space="0"/>
            </w:tcBorders>
          </w:tcPr>
          <w:p>
            <w:pPr>
              <w:spacing w:line="353" w:lineRule="auto"/>
              <w:rPr>
                <w:rFonts w:ascii="Arial"/>
                <w:sz w:val="21"/>
              </w:rPr>
            </w:pPr>
            <w:r/>
          </w:p>
          <w:p>
            <w:pPr>
              <w:spacing w:line="353" w:lineRule="auto"/>
              <w:rPr>
                <w:rFonts w:ascii="Arial"/>
                <w:sz w:val="21"/>
              </w:rPr>
            </w:pPr>
            <w:r/>
          </w:p>
          <w:p>
            <w:pPr>
              <w:pStyle w:val="TableText"/>
              <w:ind w:left="10"/>
              <w:spacing w:before="39" w:line="219" w:lineRule="auto"/>
              <w:rPr>
                <w:sz w:val="12"/>
                <w:szCs w:val="12"/>
              </w:rPr>
            </w:pPr>
            <w:r>
              <w:rPr>
                <w:sz w:val="12"/>
                <w:szCs w:val="12"/>
                <w:spacing w:val="-2"/>
              </w:rPr>
              <w:t>消杀预防</w:t>
            </w:r>
          </w:p>
        </w:tc>
        <w:tc>
          <w:tcPr>
            <w:tcW w:w="909" w:type="dxa"/>
            <w:vAlign w:val="top"/>
            <w:vMerge w:val="restart"/>
            <w:tcBorders>
              <w:bottom w:val="nil"/>
              <w:top w:val="single" w:color="000000" w:sz="2" w:space="0"/>
            </w:tcBorders>
          </w:tcPr>
          <w:p>
            <w:pPr>
              <w:spacing w:line="328" w:lineRule="auto"/>
              <w:rPr>
                <w:rFonts w:ascii="Arial"/>
                <w:sz w:val="21"/>
              </w:rPr>
            </w:pPr>
            <w:r/>
          </w:p>
          <w:p>
            <w:pPr>
              <w:spacing w:line="328" w:lineRule="auto"/>
              <w:rPr>
                <w:rFonts w:ascii="Arial"/>
                <w:sz w:val="21"/>
              </w:rPr>
            </w:pPr>
            <w:r/>
          </w:p>
          <w:p>
            <w:pPr>
              <w:pStyle w:val="TableText"/>
              <w:ind w:left="20"/>
              <w:spacing w:before="39" w:line="219" w:lineRule="auto"/>
              <w:rPr>
                <w:sz w:val="12"/>
                <w:szCs w:val="12"/>
              </w:rPr>
            </w:pPr>
            <w:r>
              <w:rPr>
                <w:sz w:val="12"/>
                <w:szCs w:val="12"/>
                <w:spacing w:val="-1"/>
              </w:rPr>
              <w:t>全园区的菌美病</w:t>
            </w:r>
          </w:p>
          <w:p>
            <w:pPr>
              <w:pStyle w:val="TableText"/>
              <w:ind w:left="200"/>
              <w:spacing w:before="7" w:line="219" w:lineRule="auto"/>
              <w:rPr>
                <w:sz w:val="12"/>
                <w:szCs w:val="12"/>
              </w:rPr>
            </w:pPr>
            <w:r>
              <w:rPr>
                <w:sz w:val="12"/>
                <w:szCs w:val="12"/>
                <w:spacing w:val="-2"/>
              </w:rPr>
              <w:t>菌、虫卵</w:t>
            </w:r>
          </w:p>
        </w:tc>
        <w:tc>
          <w:tcPr>
            <w:tcW w:w="2538" w:type="dxa"/>
            <w:vAlign w:val="top"/>
            <w:vMerge w:val="restart"/>
            <w:tcBorders>
              <w:bottom w:val="nil"/>
              <w:top w:val="single" w:color="000000" w:sz="2" w:space="0"/>
            </w:tcBorders>
          </w:tcPr>
          <w:p>
            <w:pPr>
              <w:spacing w:line="353" w:lineRule="auto"/>
              <w:rPr>
                <w:rFonts w:ascii="Arial"/>
                <w:sz w:val="21"/>
              </w:rPr>
            </w:pPr>
            <w:r/>
          </w:p>
          <w:p>
            <w:pPr>
              <w:spacing w:line="353" w:lineRule="auto"/>
              <w:rPr>
                <w:rFonts w:ascii="Arial"/>
                <w:sz w:val="21"/>
              </w:rPr>
            </w:pPr>
            <w:r/>
          </w:p>
          <w:p>
            <w:pPr>
              <w:pStyle w:val="TableText"/>
              <w:spacing w:before="39" w:line="219" w:lineRule="auto"/>
              <w:jc w:val="right"/>
              <w:rPr>
                <w:sz w:val="12"/>
                <w:szCs w:val="12"/>
              </w:rPr>
            </w:pPr>
            <w:r>
              <w:rPr>
                <w:sz w:val="12"/>
                <w:szCs w:val="12"/>
                <w:spacing w:val="-1"/>
              </w:rPr>
              <w:t>4月上句前对全园区的菌类、虫卵、消杀1-2次。</w:t>
            </w:r>
          </w:p>
        </w:tc>
        <w:tc>
          <w:tcPr>
            <w:tcW w:w="1259" w:type="dxa"/>
            <w:vAlign w:val="top"/>
            <w:tcBorders>
              <w:bottom w:val="single" w:color="000000" w:sz="2" w:space="0"/>
              <w:top w:val="single" w:color="000000" w:sz="2" w:space="0"/>
            </w:tcBorders>
          </w:tcPr>
          <w:p>
            <w:pPr>
              <w:pStyle w:val="TableText"/>
              <w:ind w:left="383"/>
              <w:spacing w:before="150" w:line="219" w:lineRule="auto"/>
              <w:rPr>
                <w:sz w:val="12"/>
                <w:szCs w:val="12"/>
              </w:rPr>
            </w:pPr>
            <w:r>
              <w:rPr>
                <w:sz w:val="12"/>
                <w:szCs w:val="12"/>
                <w:spacing w:val="-2"/>
              </w:rPr>
              <w:t>按尔多液</w:t>
            </w:r>
          </w:p>
        </w:tc>
        <w:tc>
          <w:tcPr>
            <w:tcW w:w="1859" w:type="dxa"/>
            <w:vAlign w:val="top"/>
            <w:tcBorders>
              <w:bottom w:val="single" w:color="000000" w:sz="2" w:space="0"/>
              <w:top w:val="single" w:color="000000" w:sz="2" w:space="0"/>
            </w:tcBorders>
          </w:tcPr>
          <w:p>
            <w:pPr>
              <w:pStyle w:val="TableText"/>
              <w:ind w:left="623"/>
              <w:spacing w:before="150" w:line="221" w:lineRule="auto"/>
              <w:rPr>
                <w:sz w:val="12"/>
                <w:szCs w:val="12"/>
              </w:rPr>
            </w:pPr>
            <w:r>
              <w:rPr>
                <w:sz w:val="12"/>
                <w:szCs w:val="12"/>
                <w:spacing w:val="-1"/>
              </w:rPr>
              <w:t>碱式硫酸钢</w:t>
            </w:r>
          </w:p>
        </w:tc>
        <w:tc>
          <w:tcPr>
            <w:tcW w:w="1659" w:type="dxa"/>
            <w:vAlign w:val="top"/>
            <w:tcBorders>
              <w:bottom w:val="single" w:color="000000" w:sz="2" w:space="0"/>
              <w:top w:val="single" w:color="000000" w:sz="2" w:space="0"/>
            </w:tcBorders>
          </w:tcPr>
          <w:p>
            <w:pPr>
              <w:pStyle w:val="TableText"/>
              <w:ind w:left="555"/>
              <w:spacing w:before="150" w:line="220" w:lineRule="auto"/>
              <w:rPr>
                <w:sz w:val="12"/>
                <w:szCs w:val="12"/>
              </w:rPr>
            </w:pPr>
            <w:r>
              <w:rPr>
                <w:sz w:val="12"/>
                <w:szCs w:val="12"/>
                <w:spacing w:val="-6"/>
              </w:rPr>
              <w:t>16D—240倍</w:t>
            </w:r>
          </w:p>
        </w:tc>
        <w:tc>
          <w:tcPr>
            <w:tcW w:w="1299" w:type="dxa"/>
            <w:vAlign w:val="top"/>
            <w:vMerge w:val="restart"/>
            <w:tcBorders>
              <w:bottom w:val="nil"/>
              <w:top w:val="single" w:color="000000" w:sz="2" w:space="0"/>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07"/>
              <w:spacing w:before="146" w:line="213" w:lineRule="auto"/>
              <w:rPr>
                <w:sz w:val="12"/>
                <w:szCs w:val="12"/>
              </w:rPr>
            </w:pPr>
            <w:r>
              <w:rPr>
                <w:sz w:val="12"/>
                <w:szCs w:val="12"/>
                <w:spacing w:val="-1"/>
              </w:rPr>
              <w:t>200g/袋</w:t>
            </w:r>
          </w:p>
        </w:tc>
        <w:tc>
          <w:tcPr>
            <w:tcW w:w="2773" w:type="dxa"/>
            <w:vAlign w:val="top"/>
            <w:tcBorders>
              <w:bottom w:val="single" w:color="000000" w:sz="2" w:space="0"/>
              <w:top w:val="single" w:color="000000" w:sz="2" w:space="0"/>
            </w:tcBorders>
          </w:tcPr>
          <w:p>
            <w:pPr>
              <w:pStyle w:val="TableText"/>
              <w:ind w:left="18" w:right="9"/>
              <w:spacing w:before="101" w:line="216" w:lineRule="auto"/>
              <w:rPr>
                <w:sz w:val="12"/>
                <w:szCs w:val="12"/>
              </w:rPr>
            </w:pPr>
            <w:r>
              <w:rPr>
                <w:sz w:val="12"/>
                <w:szCs w:val="12"/>
                <w:spacing w:val="-6"/>
              </w:rPr>
              <w:t>防治落叶病，炭范病，炭疽病、霜霉病，不能与</w:t>
            </w:r>
            <w:r>
              <w:rPr>
                <w:sz w:val="12"/>
                <w:szCs w:val="12"/>
                <w:spacing w:val="-7"/>
              </w:rPr>
              <w:t>石硫合</w:t>
            </w:r>
            <w:r>
              <w:rPr>
                <w:sz w:val="12"/>
                <w:szCs w:val="12"/>
              </w:rPr>
              <w:t xml:space="preserve"> </w:t>
            </w:r>
            <w:r>
              <w:rPr>
                <w:sz w:val="12"/>
                <w:szCs w:val="12"/>
                <w:spacing w:val="-1"/>
              </w:rPr>
              <w:t>剂等碱性农药混用</w:t>
            </w:r>
          </w:p>
        </w:tc>
      </w:tr>
      <w:tr>
        <w:trPr>
          <w:trHeight w:val="38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29" w:line="219" w:lineRule="auto"/>
              <w:rPr>
                <w:sz w:val="12"/>
                <w:szCs w:val="12"/>
              </w:rPr>
            </w:pPr>
            <w:r>
              <w:rPr>
                <w:sz w:val="12"/>
                <w:szCs w:val="12"/>
                <w:spacing w:val="1"/>
              </w:rPr>
              <w:t>国光英纳</w:t>
            </w:r>
          </w:p>
        </w:tc>
        <w:tc>
          <w:tcPr>
            <w:tcW w:w="1859" w:type="dxa"/>
            <w:vAlign w:val="top"/>
            <w:tcBorders>
              <w:bottom w:val="single" w:color="000000" w:sz="2" w:space="0"/>
              <w:top w:val="single" w:color="000000" w:sz="2" w:space="0"/>
            </w:tcBorders>
          </w:tcPr>
          <w:p>
            <w:pPr>
              <w:pStyle w:val="TableText"/>
              <w:ind w:left="623"/>
              <w:spacing w:before="130" w:line="220" w:lineRule="auto"/>
              <w:rPr>
                <w:sz w:val="12"/>
                <w:szCs w:val="12"/>
              </w:rPr>
            </w:pPr>
            <w:r>
              <w:rPr>
                <w:sz w:val="12"/>
                <w:szCs w:val="12"/>
                <w:spacing w:val="-2"/>
              </w:rPr>
              <w:t>50%多.锰辞</w:t>
            </w:r>
          </w:p>
        </w:tc>
        <w:tc>
          <w:tcPr>
            <w:tcW w:w="1659" w:type="dxa"/>
            <w:vAlign w:val="top"/>
            <w:tcBorders>
              <w:bottom w:val="single" w:color="000000" w:sz="2" w:space="0"/>
              <w:top w:val="single" w:color="000000" w:sz="2" w:space="0"/>
            </w:tcBorders>
          </w:tcPr>
          <w:p>
            <w:pPr>
              <w:pStyle w:val="TableText"/>
              <w:ind w:left="525"/>
              <w:spacing w:before="130" w:line="220" w:lineRule="auto"/>
              <w:rPr>
                <w:sz w:val="12"/>
                <w:szCs w:val="12"/>
              </w:rPr>
            </w:pPr>
            <w:r>
              <w:rPr>
                <w:sz w:val="12"/>
                <w:szCs w:val="12"/>
                <w:spacing w:val="-6"/>
              </w:rPr>
              <w:t>800—1000倍</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07"/>
              <w:spacing w:before="126" w:line="213" w:lineRule="auto"/>
              <w:rPr>
                <w:sz w:val="12"/>
                <w:szCs w:val="12"/>
              </w:rPr>
            </w:pPr>
            <w:r>
              <w:rPr>
                <w:sz w:val="12"/>
                <w:szCs w:val="12"/>
                <w:spacing w:val="-1"/>
              </w:rPr>
              <w:t>500g/袋</w:t>
            </w:r>
          </w:p>
        </w:tc>
        <w:tc>
          <w:tcPr>
            <w:tcW w:w="2773" w:type="dxa"/>
            <w:vAlign w:val="top"/>
            <w:tcBorders>
              <w:bottom w:val="single" w:color="000000" w:sz="2" w:space="0"/>
              <w:top w:val="single" w:color="000000" w:sz="2" w:space="0"/>
            </w:tcBorders>
          </w:tcPr>
          <w:p>
            <w:pPr>
              <w:pStyle w:val="TableText"/>
              <w:ind w:left="18"/>
              <w:spacing w:before="129" w:line="219" w:lineRule="auto"/>
              <w:rPr>
                <w:sz w:val="12"/>
                <w:szCs w:val="12"/>
              </w:rPr>
            </w:pPr>
            <w:r>
              <w:rPr>
                <w:sz w:val="12"/>
                <w:szCs w:val="12"/>
                <w:spacing w:val="1"/>
              </w:rPr>
              <w:t>国区消杀</w:t>
            </w:r>
          </w:p>
        </w:tc>
      </w:tr>
      <w:tr>
        <w:trPr>
          <w:trHeight w:val="39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2"/>
              <w:spacing w:before="140" w:line="218" w:lineRule="auto"/>
              <w:rPr>
                <w:sz w:val="12"/>
                <w:szCs w:val="12"/>
              </w:rPr>
            </w:pPr>
            <w:r>
              <w:rPr>
                <w:sz w:val="12"/>
                <w:szCs w:val="12"/>
                <w:spacing w:val="1"/>
              </w:rPr>
              <w:t>晶体石硫合剂</w:t>
            </w:r>
          </w:p>
        </w:tc>
        <w:tc>
          <w:tcPr>
            <w:tcW w:w="1859" w:type="dxa"/>
            <w:vAlign w:val="top"/>
            <w:tcBorders>
              <w:bottom w:val="single" w:color="000000" w:sz="2" w:space="0"/>
              <w:top w:val="single" w:color="000000" w:sz="2" w:space="0"/>
            </w:tcBorders>
          </w:tcPr>
          <w:p>
            <w:pPr>
              <w:pStyle w:val="TableText"/>
              <w:ind w:left="684"/>
              <w:spacing w:before="141" w:line="221" w:lineRule="auto"/>
              <w:rPr>
                <w:sz w:val="12"/>
                <w:szCs w:val="12"/>
              </w:rPr>
            </w:pPr>
            <w:r>
              <w:rPr>
                <w:sz w:val="12"/>
                <w:szCs w:val="12"/>
                <w:spacing w:val="-2"/>
              </w:rPr>
              <w:t>多疏化钙</w:t>
            </w:r>
          </w:p>
        </w:tc>
        <w:tc>
          <w:tcPr>
            <w:tcW w:w="1659" w:type="dxa"/>
            <w:vAlign w:val="top"/>
            <w:tcBorders>
              <w:bottom w:val="single" w:color="000000" w:sz="2" w:space="0"/>
              <w:top w:val="single" w:color="000000" w:sz="2" w:space="0"/>
            </w:tcBorders>
          </w:tcPr>
          <w:p>
            <w:pPr>
              <w:pStyle w:val="TableText"/>
              <w:ind w:left="525"/>
              <w:spacing w:before="140" w:line="220" w:lineRule="auto"/>
              <w:rPr>
                <w:sz w:val="12"/>
                <w:szCs w:val="12"/>
              </w:rPr>
            </w:pPr>
            <w:r>
              <w:rPr>
                <w:sz w:val="12"/>
                <w:szCs w:val="12"/>
                <w:spacing w:val="-6"/>
              </w:rPr>
              <w:t>800—1000倍</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07"/>
              <w:spacing w:before="136" w:line="213" w:lineRule="auto"/>
              <w:rPr>
                <w:sz w:val="12"/>
                <w:szCs w:val="12"/>
              </w:rPr>
            </w:pPr>
            <w:r>
              <w:rPr>
                <w:sz w:val="12"/>
                <w:szCs w:val="12"/>
                <w:spacing w:val="-1"/>
              </w:rPr>
              <w:t>400g/袋</w:t>
            </w:r>
          </w:p>
        </w:tc>
        <w:tc>
          <w:tcPr>
            <w:tcW w:w="2773" w:type="dxa"/>
            <w:vAlign w:val="top"/>
            <w:tcBorders>
              <w:bottom w:val="single" w:color="000000" w:sz="2" w:space="0"/>
              <w:top w:val="single" w:color="000000" w:sz="2" w:space="0"/>
            </w:tcBorders>
          </w:tcPr>
          <w:p>
            <w:pPr>
              <w:pStyle w:val="TableText"/>
              <w:ind w:left="18" w:right="3"/>
              <w:spacing w:before="79" w:line="210" w:lineRule="auto"/>
              <w:rPr>
                <w:sz w:val="12"/>
                <w:szCs w:val="12"/>
              </w:rPr>
            </w:pPr>
            <w:r>
              <w:rPr>
                <w:sz w:val="12"/>
                <w:szCs w:val="12"/>
                <w:spacing w:val="-6"/>
              </w:rPr>
              <w:t>价格低隆、效果好、对多种病菌具有抑杀作用，园区消</w:t>
            </w:r>
            <w:r>
              <w:rPr>
                <w:sz w:val="12"/>
                <w:szCs w:val="12"/>
                <w:spacing w:val="4"/>
              </w:rPr>
              <w:t xml:space="preserve"> </w:t>
            </w:r>
            <w:r>
              <w:rPr>
                <w:sz w:val="12"/>
                <w:szCs w:val="12"/>
                <w:spacing w:val="4"/>
              </w:rPr>
              <w:t>杀使用</w:t>
            </w:r>
          </w:p>
        </w:tc>
      </w:tr>
      <w:tr>
        <w:trPr>
          <w:trHeight w:val="395"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single" w:color="000000" w:sz="2" w:space="0"/>
              <w:top w:val="nil"/>
            </w:tcBorders>
          </w:tcPr>
          <w:p>
            <w:pPr>
              <w:rPr>
                <w:rFonts w:ascii="Arial"/>
                <w:sz w:val="21"/>
              </w:rPr>
            </w:pPr>
            <w:r/>
          </w:p>
        </w:tc>
        <w:tc>
          <w:tcPr>
            <w:tcW w:w="90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40" w:line="218" w:lineRule="auto"/>
              <w:rPr>
                <w:sz w:val="12"/>
                <w:szCs w:val="12"/>
              </w:rPr>
            </w:pPr>
            <w:r>
              <w:rPr>
                <w:sz w:val="12"/>
                <w:szCs w:val="12"/>
                <w:spacing w:val="2"/>
              </w:rPr>
              <w:t>国光依它</w:t>
            </w:r>
          </w:p>
        </w:tc>
        <w:tc>
          <w:tcPr>
            <w:tcW w:w="1859" w:type="dxa"/>
            <w:vAlign w:val="top"/>
            <w:tcBorders>
              <w:bottom w:val="single" w:color="000000" w:sz="2" w:space="0"/>
              <w:top w:val="single" w:color="000000" w:sz="2" w:space="0"/>
            </w:tcBorders>
          </w:tcPr>
          <w:p>
            <w:pPr>
              <w:pStyle w:val="TableText"/>
              <w:ind w:left="354"/>
              <w:spacing w:before="141" w:line="219" w:lineRule="auto"/>
              <w:rPr>
                <w:sz w:val="12"/>
                <w:szCs w:val="12"/>
              </w:rPr>
            </w:pPr>
            <w:r>
              <w:rPr>
                <w:sz w:val="12"/>
                <w:szCs w:val="12"/>
                <w:spacing w:val="-5"/>
              </w:rPr>
              <w:t>45%丙溴</w:t>
            </w:r>
            <w:r>
              <w:rPr>
                <w:sz w:val="12"/>
                <w:szCs w:val="12"/>
                <w:spacing w:val="-11"/>
              </w:rPr>
              <w:t xml:space="preserve"> </w:t>
            </w:r>
            <w:r>
              <w:rPr>
                <w:sz w:val="12"/>
                <w:szCs w:val="12"/>
                <w:spacing w:val="-5"/>
              </w:rPr>
              <w:t>·辛硫磷乳油</w:t>
            </w:r>
          </w:p>
        </w:tc>
        <w:tc>
          <w:tcPr>
            <w:tcW w:w="1659" w:type="dxa"/>
            <w:vAlign w:val="top"/>
            <w:tcBorders>
              <w:bottom w:val="single" w:color="000000" w:sz="2" w:space="0"/>
              <w:top w:val="single" w:color="000000" w:sz="2" w:space="0"/>
            </w:tcBorders>
          </w:tcPr>
          <w:p>
            <w:pPr>
              <w:pStyle w:val="TableText"/>
              <w:ind w:left="525"/>
              <w:spacing w:before="141" w:line="220" w:lineRule="auto"/>
              <w:rPr>
                <w:sz w:val="12"/>
                <w:szCs w:val="12"/>
              </w:rPr>
            </w:pPr>
            <w:r>
              <w:rPr>
                <w:sz w:val="12"/>
                <w:szCs w:val="12"/>
                <w:spacing w:val="-6"/>
              </w:rPr>
              <w:t>800—1000倍</w:t>
            </w:r>
          </w:p>
        </w:tc>
        <w:tc>
          <w:tcPr>
            <w:tcW w:w="1299" w:type="dxa"/>
            <w:vAlign w:val="top"/>
            <w:vMerge w:val="continue"/>
            <w:tcBorders>
              <w:bottom w:val="single" w:color="000000" w:sz="2" w:space="0"/>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177"/>
              <w:spacing w:before="141" w:line="221" w:lineRule="auto"/>
              <w:rPr>
                <w:sz w:val="12"/>
                <w:szCs w:val="12"/>
              </w:rPr>
            </w:pPr>
            <w:r>
              <w:rPr>
                <w:sz w:val="12"/>
                <w:szCs w:val="12"/>
                <w:spacing w:val="-1"/>
              </w:rPr>
              <w:t>200ml/瓶</w:t>
            </w:r>
          </w:p>
        </w:tc>
        <w:tc>
          <w:tcPr>
            <w:tcW w:w="2773" w:type="dxa"/>
            <w:vAlign w:val="top"/>
            <w:tcBorders>
              <w:bottom w:val="single" w:color="000000" w:sz="2" w:space="0"/>
              <w:top w:val="single" w:color="000000" w:sz="2" w:space="0"/>
            </w:tcBorders>
          </w:tcPr>
          <w:p>
            <w:pPr>
              <w:pStyle w:val="TableText"/>
              <w:ind w:left="18"/>
              <w:spacing w:before="140" w:line="218" w:lineRule="auto"/>
              <w:rPr>
                <w:sz w:val="12"/>
                <w:szCs w:val="12"/>
              </w:rPr>
            </w:pPr>
            <w:r>
              <w:rPr>
                <w:sz w:val="12"/>
                <w:szCs w:val="12"/>
                <w:spacing w:val="-1"/>
              </w:rPr>
              <w:t>高效、广谱弟蜻剂、防效高、虫卵兼条</w:t>
            </w:r>
          </w:p>
        </w:tc>
      </w:tr>
      <w:tr>
        <w:trPr>
          <w:trHeight w:val="384" w:hRule="atLeast"/>
        </w:trPr>
        <w:tc>
          <w:tcPr>
            <w:tcW w:w="395" w:type="dxa"/>
            <w:vAlign w:val="top"/>
            <w:vMerge w:val="continue"/>
            <w:tcBorders>
              <w:bottom w:val="nil"/>
              <w:top w:val="nil"/>
            </w:tcBorders>
          </w:tcPr>
          <w:p>
            <w:pPr>
              <w:rPr>
                <w:rFonts w:ascii="Arial"/>
                <w:sz w:val="21"/>
              </w:rPr>
            </w:pPr>
            <w:r/>
          </w:p>
        </w:tc>
        <w:tc>
          <w:tcPr>
            <w:tcW w:w="530" w:type="dxa"/>
            <w:vAlign w:val="top"/>
            <w:vMerge w:val="restart"/>
            <w:tcBorders>
              <w:bottom w:val="nil"/>
              <w:top w:val="single" w:color="000000" w:sz="2" w:space="0"/>
            </w:tcBorders>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70"/>
              <w:spacing w:before="39" w:line="219" w:lineRule="auto"/>
              <w:rPr>
                <w:sz w:val="12"/>
                <w:szCs w:val="12"/>
              </w:rPr>
            </w:pPr>
            <w:r>
              <w:rPr>
                <w:sz w:val="12"/>
                <w:szCs w:val="12"/>
                <w:spacing w:val="-1"/>
              </w:rPr>
              <w:t>病菌类</w:t>
            </w:r>
          </w:p>
        </w:tc>
        <w:tc>
          <w:tcPr>
            <w:tcW w:w="909" w:type="dxa"/>
            <w:vAlign w:val="top"/>
            <w:vMerge w:val="restart"/>
            <w:tcBorders>
              <w:bottom w:val="nil"/>
              <w:top w:val="single" w:color="000000" w:sz="2" w:space="0"/>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9" w:right="14" w:firstLine="10"/>
              <w:spacing w:before="39" w:line="211" w:lineRule="auto"/>
              <w:jc w:val="both"/>
              <w:rPr>
                <w:sz w:val="12"/>
                <w:szCs w:val="12"/>
              </w:rPr>
            </w:pPr>
            <w:r>
              <w:rPr>
                <w:sz w:val="12"/>
                <w:szCs w:val="12"/>
                <w:spacing w:val="-1"/>
              </w:rPr>
              <w:t>看霉病、心腐病</w:t>
            </w:r>
            <w:r>
              <w:rPr>
                <w:sz w:val="12"/>
                <w:szCs w:val="12"/>
                <w:spacing w:val="1"/>
              </w:rPr>
              <w:t xml:space="preserve"> </w:t>
            </w:r>
            <w:r>
              <w:rPr>
                <w:sz w:val="12"/>
                <w:szCs w:val="12"/>
                <w:spacing w:val="-1"/>
              </w:rPr>
              <w:t>、干裂病、炭痘</w:t>
            </w:r>
            <w:r>
              <w:rPr>
                <w:sz w:val="12"/>
                <w:szCs w:val="12"/>
              </w:rPr>
              <w:t xml:space="preserve">  </w:t>
            </w:r>
            <w:r>
              <w:rPr>
                <w:sz w:val="12"/>
                <w:szCs w:val="12"/>
              </w:rPr>
              <w:t>病，叶斑病，叶</w:t>
            </w:r>
            <w:r>
              <w:rPr>
                <w:sz w:val="12"/>
                <w:szCs w:val="12"/>
                <w:spacing w:val="4"/>
              </w:rPr>
              <w:t xml:space="preserve"> </w:t>
            </w:r>
            <w:r>
              <w:rPr>
                <w:sz w:val="12"/>
                <w:szCs w:val="12"/>
                <w:spacing w:val="4"/>
              </w:rPr>
              <w:t>枯病、草坪枯萎</w:t>
            </w:r>
            <w:r>
              <w:rPr>
                <w:sz w:val="12"/>
                <w:szCs w:val="12"/>
                <w:spacing w:val="5"/>
              </w:rPr>
              <w:t xml:space="preserve"> </w:t>
            </w:r>
            <w:r>
              <w:rPr>
                <w:sz w:val="12"/>
                <w:szCs w:val="12"/>
              </w:rPr>
              <w:t>病、白粉病，锈</w:t>
            </w:r>
            <w:r>
              <w:rPr>
                <w:sz w:val="12"/>
                <w:szCs w:val="12"/>
                <w:spacing w:val="4"/>
              </w:rPr>
              <w:t xml:space="preserve"> </w:t>
            </w:r>
            <w:r>
              <w:rPr>
                <w:sz w:val="12"/>
                <w:szCs w:val="12"/>
                <w:spacing w:val="-1"/>
              </w:rPr>
              <w:t>病和根腐病等</w:t>
            </w:r>
          </w:p>
        </w:tc>
        <w:tc>
          <w:tcPr>
            <w:tcW w:w="2538" w:type="dxa"/>
            <w:vAlign w:val="top"/>
            <w:vMerge w:val="restart"/>
            <w:tcBorders>
              <w:bottom w:val="nil"/>
              <w:top w:val="single" w:color="000000" w:sz="2" w:space="0"/>
            </w:tcBorders>
          </w:tcPr>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1" w:right="123"/>
              <w:spacing w:before="39" w:line="207" w:lineRule="auto"/>
              <w:rPr>
                <w:sz w:val="12"/>
                <w:szCs w:val="12"/>
              </w:rPr>
            </w:pPr>
            <w:r>
              <w:rPr>
                <w:sz w:val="12"/>
                <w:szCs w:val="12"/>
                <w:spacing w:val="-1"/>
              </w:rPr>
              <w:t>一.6-9月份为属高温高湿天气，是发病的高峰</w:t>
            </w:r>
            <w:r>
              <w:rPr>
                <w:sz w:val="12"/>
                <w:szCs w:val="12"/>
                <w:spacing w:val="14"/>
              </w:rPr>
              <w:t xml:space="preserve"> </w:t>
            </w:r>
            <w:r>
              <w:rPr>
                <w:sz w:val="12"/>
                <w:szCs w:val="12"/>
                <w:spacing w:val="-4"/>
              </w:rPr>
              <w:t>期</w:t>
            </w:r>
            <w:r>
              <w:rPr>
                <w:sz w:val="12"/>
                <w:szCs w:val="12"/>
                <w:spacing w:val="-26"/>
              </w:rPr>
              <w:t xml:space="preserve"> </w:t>
            </w:r>
            <w:r>
              <w:rPr>
                <w:sz w:val="12"/>
                <w:szCs w:val="12"/>
                <w:spacing w:val="-4"/>
              </w:rPr>
              <w:t>：</w:t>
            </w:r>
          </w:p>
          <w:p>
            <w:pPr>
              <w:pStyle w:val="TableText"/>
              <w:ind w:left="11" w:right="1"/>
              <w:spacing w:before="1" w:line="211" w:lineRule="auto"/>
              <w:rPr>
                <w:sz w:val="12"/>
                <w:szCs w:val="12"/>
              </w:rPr>
            </w:pPr>
            <w:r>
              <w:rPr>
                <w:sz w:val="12"/>
                <w:szCs w:val="12"/>
                <w:spacing w:val="-6"/>
              </w:rPr>
              <w:t>三、心窗病：危害多种棕桐植物，主要危害三角椰</w:t>
            </w:r>
            <w:r>
              <w:rPr>
                <w:sz w:val="12"/>
                <w:szCs w:val="12"/>
                <w:spacing w:val="6"/>
              </w:rPr>
              <w:t xml:space="preserve"> </w:t>
            </w:r>
            <w:r>
              <w:rPr>
                <w:sz w:val="12"/>
                <w:szCs w:val="12"/>
                <w:spacing w:val="-6"/>
              </w:rPr>
              <w:t>子酒瓶哪子、红标桐、散尾葵、鱼尾募、椰子、红</w:t>
            </w:r>
            <w:r>
              <w:rPr>
                <w:sz w:val="12"/>
                <w:szCs w:val="12"/>
                <w:spacing w:val="6"/>
              </w:rPr>
              <w:t xml:space="preserve"> </w:t>
            </w:r>
            <w:r>
              <w:rPr>
                <w:sz w:val="12"/>
                <w:szCs w:val="12"/>
                <w:spacing w:val="-1"/>
              </w:rPr>
              <w:t>尾棒子：</w:t>
            </w:r>
          </w:p>
          <w:p>
            <w:pPr>
              <w:pStyle w:val="TableText"/>
              <w:ind w:left="11" w:right="1"/>
              <w:spacing w:before="17" w:line="207" w:lineRule="auto"/>
              <w:rPr>
                <w:sz w:val="12"/>
                <w:szCs w:val="12"/>
              </w:rPr>
            </w:pPr>
            <w:r>
              <w:rPr>
                <w:sz w:val="12"/>
                <w:szCs w:val="12"/>
                <w:spacing w:val="-3"/>
              </w:rPr>
              <w:t>三.干裂病：主要危害单干植株，如大王椰子，金</w:t>
            </w:r>
            <w:r>
              <w:rPr>
                <w:sz w:val="12"/>
                <w:szCs w:val="12"/>
              </w:rPr>
              <w:t xml:space="preserve"> </w:t>
            </w:r>
            <w:r>
              <w:rPr>
                <w:sz w:val="12"/>
                <w:szCs w:val="12"/>
                <w:spacing w:val="-1"/>
              </w:rPr>
              <w:t>山葵等常见棕榈科植物：</w:t>
            </w:r>
          </w:p>
          <w:p>
            <w:pPr>
              <w:pStyle w:val="TableText"/>
              <w:ind w:left="11"/>
              <w:spacing w:line="217" w:lineRule="auto"/>
              <w:rPr>
                <w:sz w:val="12"/>
                <w:szCs w:val="12"/>
              </w:rPr>
            </w:pPr>
            <w:r>
              <w:rPr>
                <w:sz w:val="12"/>
                <w:szCs w:val="12"/>
                <w:spacing w:val="-6"/>
              </w:rPr>
              <w:t>四、根腐病：主要危害三角椰子、华盛顿椰子等。</w:t>
            </w:r>
            <w:r>
              <w:rPr>
                <w:sz w:val="12"/>
                <w:szCs w:val="12"/>
                <w:spacing w:val="7"/>
              </w:rPr>
              <w:t xml:space="preserve"> </w:t>
            </w:r>
            <w:r>
              <w:rPr>
                <w:sz w:val="12"/>
                <w:szCs w:val="12"/>
                <w:spacing w:val="-3"/>
              </w:rPr>
              <w:t>造成根尖变黑腐，导政植物株死亡。</w:t>
            </w:r>
          </w:p>
        </w:tc>
        <w:tc>
          <w:tcPr>
            <w:tcW w:w="1259" w:type="dxa"/>
            <w:vAlign w:val="top"/>
            <w:tcBorders>
              <w:bottom w:val="single" w:color="000000" w:sz="2" w:space="0"/>
              <w:top w:val="single" w:color="000000" w:sz="2" w:space="0"/>
            </w:tcBorders>
          </w:tcPr>
          <w:p>
            <w:pPr>
              <w:pStyle w:val="TableText"/>
              <w:ind w:left="322"/>
              <w:spacing w:before="130" w:line="219" w:lineRule="auto"/>
              <w:rPr>
                <w:sz w:val="12"/>
                <w:szCs w:val="12"/>
              </w:rPr>
            </w:pPr>
            <w:r>
              <w:rPr>
                <w:sz w:val="12"/>
                <w:szCs w:val="12"/>
                <w:spacing w:val="1"/>
              </w:rPr>
              <w:t>国光三唑硐</w:t>
            </w:r>
          </w:p>
        </w:tc>
        <w:tc>
          <w:tcPr>
            <w:tcW w:w="1859" w:type="dxa"/>
            <w:vAlign w:val="top"/>
            <w:tcBorders>
              <w:bottom w:val="single" w:color="000000" w:sz="2" w:space="0"/>
              <w:top w:val="single" w:color="000000" w:sz="2" w:space="0"/>
            </w:tcBorders>
          </w:tcPr>
          <w:p>
            <w:pPr>
              <w:pStyle w:val="TableText"/>
              <w:ind w:left="654"/>
              <w:spacing w:before="130" w:line="219" w:lineRule="auto"/>
              <w:rPr>
                <w:sz w:val="12"/>
                <w:szCs w:val="12"/>
              </w:rPr>
            </w:pPr>
            <w:r>
              <w:rPr>
                <w:sz w:val="12"/>
                <w:szCs w:val="12"/>
                <w:spacing w:val="-1"/>
              </w:rPr>
              <w:t>20%三唑酬</w:t>
            </w:r>
          </w:p>
        </w:tc>
        <w:tc>
          <w:tcPr>
            <w:tcW w:w="1659" w:type="dxa"/>
            <w:vAlign w:val="top"/>
            <w:tcBorders>
              <w:bottom w:val="single" w:color="000000" w:sz="2" w:space="0"/>
              <w:top w:val="single" w:color="000000" w:sz="2" w:space="0"/>
            </w:tcBorders>
          </w:tcPr>
          <w:p>
            <w:pPr>
              <w:pStyle w:val="TableText"/>
              <w:ind w:left="375"/>
              <w:spacing w:before="130" w:line="219" w:lineRule="auto"/>
              <w:rPr>
                <w:sz w:val="12"/>
                <w:szCs w:val="12"/>
              </w:rPr>
            </w:pPr>
            <w:r>
              <w:rPr>
                <w:sz w:val="12"/>
                <w:szCs w:val="12"/>
                <w:spacing w:val="-1"/>
              </w:rPr>
              <w:t>稀释1500-2000倍</w:t>
            </w:r>
          </w:p>
        </w:tc>
        <w:tc>
          <w:tcPr>
            <w:tcW w:w="1299" w:type="dxa"/>
            <w:vAlign w:val="top"/>
            <w:vMerge w:val="restart"/>
            <w:tcBorders>
              <w:bottom w:val="nil"/>
              <w:top w:val="single" w:color="000000" w:sz="2" w:space="0"/>
            </w:tcBorders>
          </w:tcPr>
          <w:p>
            <w:pPr>
              <w:spacing w:line="258" w:lineRule="auto"/>
              <w:rPr>
                <w:rFonts w:ascii="Arial"/>
                <w:sz w:val="21"/>
              </w:rPr>
            </w:pPr>
            <w:r/>
          </w:p>
          <w:p>
            <w:pPr>
              <w:spacing w:line="259" w:lineRule="auto"/>
              <w:rPr>
                <w:rFonts w:ascii="Arial"/>
                <w:sz w:val="21"/>
              </w:rPr>
            </w:pPr>
            <w:r/>
          </w:p>
          <w:p>
            <w:pPr>
              <w:pStyle w:val="TableText"/>
              <w:ind w:left="45"/>
              <w:spacing w:before="39" w:line="200" w:lineRule="auto"/>
              <w:rPr>
                <w:sz w:val="12"/>
                <w:szCs w:val="12"/>
              </w:rPr>
            </w:pPr>
            <w:r>
              <w:rPr>
                <w:sz w:val="12"/>
                <w:szCs w:val="12"/>
                <w:spacing w:val="-1"/>
              </w:rPr>
              <w:t>5-10月份期间一般全园</w:t>
            </w:r>
          </w:p>
          <w:p>
            <w:pPr>
              <w:pStyle w:val="TableText"/>
              <w:spacing w:line="199" w:lineRule="auto"/>
              <w:jc w:val="right"/>
              <w:rPr>
                <w:sz w:val="12"/>
                <w:szCs w:val="12"/>
              </w:rPr>
            </w:pPr>
            <w:r>
              <w:rPr>
                <w:sz w:val="12"/>
                <w:szCs w:val="12"/>
                <w:spacing w:val="-5"/>
              </w:rPr>
              <w:t>区预防消杀为主，每月全</w:t>
            </w:r>
          </w:p>
          <w:p>
            <w:pPr>
              <w:pStyle w:val="TableText"/>
              <w:ind w:left="366"/>
              <w:spacing w:line="219" w:lineRule="auto"/>
              <w:rPr>
                <w:sz w:val="12"/>
                <w:szCs w:val="12"/>
              </w:rPr>
            </w:pPr>
            <w:r>
              <w:rPr>
                <w:sz w:val="12"/>
                <w:szCs w:val="12"/>
                <w:spacing w:val="-3"/>
              </w:rPr>
              <w:t>园喷酒一次</w:t>
            </w:r>
          </w:p>
        </w:tc>
        <w:tc>
          <w:tcPr>
            <w:tcW w:w="839" w:type="dxa"/>
            <w:vAlign w:val="top"/>
            <w:tcBorders>
              <w:bottom w:val="single" w:color="000000" w:sz="2" w:space="0"/>
              <w:top w:val="single" w:color="000000" w:sz="2" w:space="0"/>
            </w:tcBorders>
          </w:tcPr>
          <w:p>
            <w:pPr>
              <w:pStyle w:val="TableText"/>
              <w:ind w:left="266"/>
              <w:spacing w:before="131" w:line="221" w:lineRule="auto"/>
              <w:rPr>
                <w:sz w:val="12"/>
                <w:szCs w:val="12"/>
              </w:rPr>
            </w:pPr>
            <w:r>
              <w:rPr>
                <w:sz w:val="12"/>
                <w:szCs w:val="12"/>
                <w:spacing w:val="-2"/>
              </w:rPr>
              <w:t>IL/瓶</w:t>
            </w:r>
          </w:p>
        </w:tc>
        <w:tc>
          <w:tcPr>
            <w:tcW w:w="2773" w:type="dxa"/>
            <w:vAlign w:val="top"/>
            <w:tcBorders>
              <w:bottom w:val="single" w:color="000000" w:sz="2" w:space="0"/>
              <w:top w:val="single" w:color="000000" w:sz="2" w:space="0"/>
            </w:tcBorders>
          </w:tcPr>
          <w:p>
            <w:pPr>
              <w:pStyle w:val="TableText"/>
              <w:ind w:left="18"/>
              <w:spacing w:before="130" w:line="219" w:lineRule="auto"/>
              <w:rPr>
                <w:sz w:val="12"/>
                <w:szCs w:val="12"/>
              </w:rPr>
            </w:pPr>
            <w:r>
              <w:rPr>
                <w:sz w:val="12"/>
                <w:szCs w:val="12"/>
                <w:spacing w:val="-2"/>
              </w:rPr>
              <w:t>防治白粉病，锈病等</w:t>
            </w:r>
          </w:p>
        </w:tc>
      </w:tr>
      <w:tr>
        <w:trPr>
          <w:trHeight w:val="395"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2"/>
              <w:spacing w:before="141" w:line="219" w:lineRule="auto"/>
              <w:rPr>
                <w:sz w:val="12"/>
                <w:szCs w:val="12"/>
              </w:rPr>
            </w:pPr>
            <w:r>
              <w:rPr>
                <w:sz w:val="12"/>
                <w:szCs w:val="12"/>
                <w:spacing w:val="1"/>
              </w:rPr>
              <w:t>国光代森锰锌</w:t>
            </w:r>
          </w:p>
        </w:tc>
        <w:tc>
          <w:tcPr>
            <w:tcW w:w="1859" w:type="dxa"/>
            <w:vAlign w:val="top"/>
            <w:tcBorders>
              <w:bottom w:val="single" w:color="000000" w:sz="2" w:space="0"/>
              <w:top w:val="single" w:color="000000" w:sz="2" w:space="0"/>
            </w:tcBorders>
          </w:tcPr>
          <w:p>
            <w:pPr>
              <w:pStyle w:val="TableText"/>
              <w:ind w:left="593"/>
              <w:spacing w:before="141" w:line="219" w:lineRule="auto"/>
              <w:rPr>
                <w:sz w:val="12"/>
                <w:szCs w:val="12"/>
              </w:rPr>
            </w:pPr>
            <w:r>
              <w:rPr>
                <w:sz w:val="12"/>
                <w:szCs w:val="12"/>
                <w:spacing w:val="-1"/>
              </w:rPr>
              <w:t>80M代森锰锌</w:t>
            </w:r>
          </w:p>
        </w:tc>
        <w:tc>
          <w:tcPr>
            <w:tcW w:w="1659" w:type="dxa"/>
            <w:vAlign w:val="top"/>
            <w:tcBorders>
              <w:bottom w:val="single" w:color="000000" w:sz="2" w:space="0"/>
              <w:top w:val="single" w:color="000000" w:sz="2" w:space="0"/>
            </w:tcBorders>
          </w:tcPr>
          <w:p>
            <w:pPr>
              <w:pStyle w:val="TableText"/>
              <w:ind w:left="525"/>
              <w:spacing w:before="141" w:line="220" w:lineRule="auto"/>
              <w:rPr>
                <w:sz w:val="12"/>
                <w:szCs w:val="12"/>
              </w:rPr>
            </w:pPr>
            <w:r>
              <w:rPr>
                <w:sz w:val="12"/>
                <w:szCs w:val="12"/>
                <w:spacing w:val="-1"/>
              </w:rPr>
              <w:t>800-1000倍</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36"/>
              <w:spacing w:before="137" w:line="213" w:lineRule="auto"/>
              <w:rPr>
                <w:sz w:val="12"/>
                <w:szCs w:val="12"/>
              </w:rPr>
            </w:pPr>
            <w:r>
              <w:rPr>
                <w:sz w:val="12"/>
                <w:szCs w:val="12"/>
                <w:spacing w:val="-3"/>
              </w:rPr>
              <w:t>lkg/装</w:t>
            </w:r>
          </w:p>
        </w:tc>
        <w:tc>
          <w:tcPr>
            <w:tcW w:w="2773" w:type="dxa"/>
            <w:vAlign w:val="top"/>
            <w:vMerge w:val="restart"/>
            <w:tcBorders>
              <w:bottom w:val="nil"/>
              <w:top w:val="single" w:color="000000" w:sz="2" w:space="0"/>
            </w:tcBorders>
          </w:tcPr>
          <w:p>
            <w:pPr>
              <w:spacing w:line="309" w:lineRule="auto"/>
              <w:rPr>
                <w:rFonts w:ascii="Arial"/>
                <w:sz w:val="21"/>
              </w:rPr>
            </w:pPr>
            <w:r/>
          </w:p>
          <w:p>
            <w:pPr>
              <w:pStyle w:val="TableText"/>
              <w:ind w:left="18"/>
              <w:spacing w:before="39" w:line="219" w:lineRule="auto"/>
              <w:rPr>
                <w:sz w:val="12"/>
                <w:szCs w:val="12"/>
              </w:rPr>
            </w:pPr>
            <w:r>
              <w:rPr>
                <w:sz w:val="12"/>
                <w:szCs w:val="12"/>
                <w:spacing w:val="-1"/>
              </w:rPr>
              <w:t>针对白粉病、锈病防效好，有内吸作用</w:t>
            </w:r>
          </w:p>
        </w:tc>
      </w:tr>
      <w:tr>
        <w:trPr>
          <w:trHeight w:val="41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50" w:line="219" w:lineRule="auto"/>
              <w:rPr>
                <w:sz w:val="12"/>
                <w:szCs w:val="12"/>
              </w:rPr>
            </w:pPr>
            <w:r>
              <w:rPr>
                <w:sz w:val="12"/>
                <w:szCs w:val="12"/>
                <w:spacing w:val="-1"/>
              </w:rPr>
              <w:t>粉锈灵</w:t>
            </w:r>
          </w:p>
        </w:tc>
        <w:tc>
          <w:tcPr>
            <w:tcW w:w="1859" w:type="dxa"/>
            <w:vAlign w:val="top"/>
            <w:tcBorders>
              <w:bottom w:val="single" w:color="000000" w:sz="2" w:space="0"/>
              <w:top w:val="single" w:color="000000" w:sz="2" w:space="0"/>
            </w:tcBorders>
          </w:tcPr>
          <w:p>
            <w:pPr>
              <w:pStyle w:val="TableText"/>
              <w:ind w:left="654"/>
              <w:spacing w:before="150" w:line="219" w:lineRule="auto"/>
              <w:rPr>
                <w:sz w:val="12"/>
                <w:szCs w:val="12"/>
              </w:rPr>
            </w:pPr>
            <w:r>
              <w:rPr>
                <w:sz w:val="12"/>
                <w:szCs w:val="12"/>
                <w:spacing w:val="-1"/>
              </w:rPr>
              <w:t>25%三唑酬</w:t>
            </w:r>
          </w:p>
        </w:tc>
        <w:tc>
          <w:tcPr>
            <w:tcW w:w="1659" w:type="dxa"/>
            <w:vAlign w:val="top"/>
            <w:tcBorders>
              <w:bottom w:val="single" w:color="000000" w:sz="2" w:space="0"/>
              <w:top w:val="single" w:color="000000" w:sz="2" w:space="0"/>
            </w:tcBorders>
          </w:tcPr>
          <w:p>
            <w:pPr>
              <w:pStyle w:val="TableText"/>
              <w:ind w:left="345"/>
              <w:spacing w:before="150" w:line="219" w:lineRule="auto"/>
              <w:rPr>
                <w:sz w:val="12"/>
                <w:szCs w:val="12"/>
              </w:rPr>
            </w:pPr>
            <w:r>
              <w:rPr>
                <w:sz w:val="12"/>
                <w:szCs w:val="12"/>
                <w:spacing w:val="-1"/>
              </w:rPr>
              <w:t>稀释800-1000倍液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177"/>
              <w:spacing w:before="151" w:line="221" w:lineRule="auto"/>
              <w:rPr>
                <w:sz w:val="12"/>
                <w:szCs w:val="12"/>
              </w:rPr>
            </w:pPr>
            <w:r>
              <w:rPr>
                <w:sz w:val="12"/>
                <w:szCs w:val="12"/>
                <w:spacing w:val="-1"/>
              </w:rPr>
              <w:t>200ml/瓶</w:t>
            </w:r>
          </w:p>
        </w:tc>
        <w:tc>
          <w:tcPr>
            <w:tcW w:w="2773" w:type="dxa"/>
            <w:vAlign w:val="top"/>
            <w:vMerge w:val="continue"/>
            <w:tcBorders>
              <w:bottom w:val="single" w:color="000000" w:sz="2" w:space="0"/>
              <w:top w:val="nil"/>
            </w:tcBorders>
          </w:tcPr>
          <w:p>
            <w:pPr>
              <w:rPr>
                <w:rFonts w:ascii="Arial"/>
                <w:sz w:val="21"/>
              </w:rPr>
            </w:pPr>
            <w:r/>
          </w:p>
        </w:tc>
      </w:tr>
      <w:tr>
        <w:trPr>
          <w:trHeight w:val="39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22"/>
              <w:spacing w:before="141" w:line="219" w:lineRule="auto"/>
              <w:rPr>
                <w:sz w:val="12"/>
                <w:szCs w:val="12"/>
              </w:rPr>
            </w:pPr>
            <w:r>
              <w:rPr>
                <w:sz w:val="12"/>
                <w:szCs w:val="12"/>
                <w:spacing w:val="1"/>
              </w:rPr>
              <w:t>国光百菌清</w:t>
            </w:r>
          </w:p>
        </w:tc>
        <w:tc>
          <w:tcPr>
            <w:tcW w:w="1859" w:type="dxa"/>
            <w:vAlign w:val="top"/>
            <w:tcBorders>
              <w:bottom w:val="single" w:color="000000" w:sz="2" w:space="0"/>
              <w:top w:val="single" w:color="000000" w:sz="2" w:space="0"/>
            </w:tcBorders>
          </w:tcPr>
          <w:p>
            <w:pPr>
              <w:pStyle w:val="TableText"/>
              <w:ind w:left="654"/>
              <w:spacing w:before="141" w:line="219" w:lineRule="auto"/>
              <w:rPr>
                <w:sz w:val="12"/>
                <w:szCs w:val="12"/>
              </w:rPr>
            </w:pPr>
            <w:r>
              <w:rPr>
                <w:sz w:val="12"/>
                <w:szCs w:val="12"/>
                <w:spacing w:val="-1"/>
              </w:rPr>
              <w:t>75%百菌清</w:t>
            </w:r>
          </w:p>
        </w:tc>
        <w:tc>
          <w:tcPr>
            <w:tcW w:w="1659" w:type="dxa"/>
            <w:vAlign w:val="top"/>
            <w:tcBorders>
              <w:bottom w:val="single" w:color="000000" w:sz="2" w:space="0"/>
              <w:top w:val="single" w:color="000000" w:sz="2" w:space="0"/>
            </w:tcBorders>
          </w:tcPr>
          <w:p>
            <w:pPr>
              <w:pStyle w:val="TableText"/>
              <w:ind w:left="435"/>
              <w:spacing w:before="141" w:line="220" w:lineRule="auto"/>
              <w:rPr>
                <w:sz w:val="12"/>
                <w:szCs w:val="12"/>
              </w:rPr>
            </w:pPr>
            <w:r>
              <w:rPr>
                <w:sz w:val="12"/>
                <w:szCs w:val="12"/>
                <w:spacing w:val="-2"/>
              </w:rPr>
              <w:t>1000-1500倍液</w:t>
            </w:r>
          </w:p>
        </w:tc>
        <w:tc>
          <w:tcPr>
            <w:tcW w:w="1299" w:type="dxa"/>
            <w:vAlign w:val="top"/>
            <w:vMerge w:val="continue"/>
            <w:tcBorders>
              <w:bottom w:val="single" w:color="000000" w:sz="2" w:space="0"/>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36"/>
              <w:spacing w:before="137" w:line="213" w:lineRule="auto"/>
              <w:rPr>
                <w:sz w:val="12"/>
                <w:szCs w:val="12"/>
              </w:rPr>
            </w:pPr>
            <w:r>
              <w:rPr>
                <w:sz w:val="12"/>
                <w:szCs w:val="12"/>
                <w:spacing w:val="-2"/>
              </w:rPr>
              <w:t>1kg/袋</w:t>
            </w:r>
          </w:p>
        </w:tc>
        <w:tc>
          <w:tcPr>
            <w:tcW w:w="2773" w:type="dxa"/>
            <w:vAlign w:val="top"/>
            <w:tcBorders>
              <w:bottom w:val="single" w:color="000000" w:sz="2" w:space="0"/>
              <w:top w:val="single" w:color="000000" w:sz="2" w:space="0"/>
            </w:tcBorders>
          </w:tcPr>
          <w:p>
            <w:pPr>
              <w:pStyle w:val="TableText"/>
              <w:ind w:left="18"/>
              <w:spacing w:before="141" w:line="219" w:lineRule="auto"/>
              <w:rPr>
                <w:sz w:val="12"/>
                <w:szCs w:val="12"/>
              </w:rPr>
            </w:pPr>
            <w:r>
              <w:rPr>
                <w:sz w:val="12"/>
                <w:szCs w:val="12"/>
                <w:spacing w:val="-1"/>
              </w:rPr>
              <w:t>防治享坪白粉病，锈病。</w:t>
            </w:r>
          </w:p>
        </w:tc>
      </w:tr>
      <w:tr>
        <w:trPr>
          <w:trHeight w:val="395"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22"/>
              <w:spacing w:before="141" w:line="219" w:lineRule="auto"/>
              <w:rPr>
                <w:sz w:val="12"/>
                <w:szCs w:val="12"/>
              </w:rPr>
            </w:pPr>
            <w:r>
              <w:rPr>
                <w:sz w:val="12"/>
                <w:szCs w:val="12"/>
                <w:spacing w:val="1"/>
              </w:rPr>
              <w:t>甲基托右津</w:t>
            </w:r>
          </w:p>
        </w:tc>
        <w:tc>
          <w:tcPr>
            <w:tcW w:w="1859" w:type="dxa"/>
            <w:vAlign w:val="top"/>
            <w:tcBorders>
              <w:bottom w:val="single" w:color="000000" w:sz="2" w:space="0"/>
              <w:top w:val="single" w:color="000000" w:sz="2" w:space="0"/>
            </w:tcBorders>
          </w:tcPr>
          <w:p>
            <w:pPr>
              <w:pStyle w:val="TableText"/>
              <w:ind w:left="533"/>
              <w:spacing w:before="142" w:line="221" w:lineRule="auto"/>
              <w:rPr>
                <w:sz w:val="12"/>
                <w:szCs w:val="12"/>
              </w:rPr>
            </w:pPr>
            <w:r>
              <w:rPr>
                <w:sz w:val="12"/>
                <w:szCs w:val="12"/>
                <w:spacing w:val="-1"/>
              </w:rPr>
              <w:t>SO%甲基碗卤灵</w:t>
            </w:r>
          </w:p>
        </w:tc>
        <w:tc>
          <w:tcPr>
            <w:tcW w:w="1659" w:type="dxa"/>
            <w:vAlign w:val="top"/>
            <w:tcBorders>
              <w:bottom w:val="single" w:color="000000" w:sz="2" w:space="0"/>
              <w:top w:val="single" w:color="000000" w:sz="2" w:space="0"/>
            </w:tcBorders>
          </w:tcPr>
          <w:p>
            <w:pPr>
              <w:pStyle w:val="TableText"/>
              <w:ind w:left="345"/>
              <w:spacing w:before="141" w:line="219" w:lineRule="auto"/>
              <w:rPr>
                <w:sz w:val="12"/>
                <w:szCs w:val="12"/>
              </w:rPr>
            </w:pPr>
            <w:r>
              <w:rPr>
                <w:sz w:val="12"/>
                <w:szCs w:val="12"/>
                <w:spacing w:val="-1"/>
              </w:rPr>
              <w:t>稀释800-1000倍液</w:t>
            </w:r>
          </w:p>
        </w:tc>
        <w:tc>
          <w:tcPr>
            <w:tcW w:w="1299" w:type="dxa"/>
            <w:vAlign w:val="top"/>
            <w:vMerge w:val="restart"/>
            <w:tcBorders>
              <w:bottom w:val="nil"/>
              <w:top w:val="single" w:color="000000" w:sz="2" w:space="0"/>
            </w:tcBorders>
          </w:tcPr>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pStyle w:val="TableText"/>
              <w:ind w:left="193" w:hanging="148"/>
              <w:spacing w:before="39" w:line="218" w:lineRule="auto"/>
              <w:rPr>
                <w:sz w:val="12"/>
                <w:szCs w:val="12"/>
              </w:rPr>
            </w:pPr>
            <w:r>
              <w:rPr>
                <w:sz w:val="12"/>
                <w:szCs w:val="12"/>
                <w:spacing w:val="-2"/>
              </w:rPr>
              <w:t>发病初期，一般用3次，</w:t>
            </w:r>
            <w:r>
              <w:rPr>
                <w:sz w:val="12"/>
                <w:szCs w:val="12"/>
                <w:spacing w:val="4"/>
              </w:rPr>
              <w:t xml:space="preserve"> </w:t>
            </w:r>
            <w:r>
              <w:rPr>
                <w:sz w:val="12"/>
                <w:szCs w:val="12"/>
                <w:spacing w:val="-3"/>
              </w:rPr>
              <w:t>时间间隔7到10天</w:t>
            </w:r>
          </w:p>
        </w:tc>
        <w:tc>
          <w:tcPr>
            <w:tcW w:w="839" w:type="dxa"/>
            <w:vAlign w:val="top"/>
            <w:tcBorders>
              <w:bottom w:val="single" w:color="000000" w:sz="2" w:space="0"/>
              <w:top w:val="single" w:color="000000" w:sz="2" w:space="0"/>
            </w:tcBorders>
          </w:tcPr>
          <w:p>
            <w:pPr>
              <w:pStyle w:val="TableText"/>
              <w:ind w:left="177"/>
              <w:spacing w:before="142" w:line="221" w:lineRule="auto"/>
              <w:rPr>
                <w:sz w:val="12"/>
                <w:szCs w:val="12"/>
              </w:rPr>
            </w:pPr>
            <w:r>
              <w:rPr>
                <w:sz w:val="12"/>
                <w:szCs w:val="12"/>
                <w:spacing w:val="-1"/>
              </w:rPr>
              <w:t>200m1/瓶</w:t>
            </w:r>
          </w:p>
        </w:tc>
        <w:tc>
          <w:tcPr>
            <w:tcW w:w="2773" w:type="dxa"/>
            <w:vAlign w:val="top"/>
            <w:tcBorders>
              <w:bottom w:val="single" w:color="000000" w:sz="2" w:space="0"/>
              <w:top w:val="single" w:color="000000" w:sz="2" w:space="0"/>
            </w:tcBorders>
          </w:tcPr>
          <w:p>
            <w:pPr>
              <w:pStyle w:val="TableText"/>
              <w:ind w:left="18"/>
              <w:spacing w:before="142" w:line="221" w:lineRule="auto"/>
              <w:rPr>
                <w:sz w:val="12"/>
                <w:szCs w:val="12"/>
              </w:rPr>
            </w:pPr>
            <w:r>
              <w:rPr>
                <w:sz w:val="12"/>
                <w:szCs w:val="12"/>
                <w:spacing w:val="-2"/>
              </w:rPr>
              <w:t>炭疽病</w:t>
            </w:r>
          </w:p>
        </w:tc>
      </w:tr>
      <w:tr>
        <w:trPr>
          <w:trHeight w:val="38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31" w:line="219" w:lineRule="auto"/>
              <w:rPr>
                <w:sz w:val="12"/>
                <w:szCs w:val="12"/>
              </w:rPr>
            </w:pPr>
            <w:r>
              <w:rPr>
                <w:sz w:val="12"/>
                <w:szCs w:val="12"/>
                <w:spacing w:val="-2"/>
              </w:rPr>
              <w:t>根腐灵</w:t>
            </w:r>
          </w:p>
        </w:tc>
        <w:tc>
          <w:tcPr>
            <w:tcW w:w="1859" w:type="dxa"/>
            <w:vAlign w:val="top"/>
            <w:tcBorders>
              <w:bottom w:val="single" w:color="000000" w:sz="2" w:space="0"/>
              <w:top w:val="single" w:color="000000" w:sz="2" w:space="0"/>
            </w:tcBorders>
          </w:tcPr>
          <w:p>
            <w:pPr>
              <w:pStyle w:val="TableText"/>
              <w:ind w:left="654"/>
              <w:spacing w:before="131" w:line="221" w:lineRule="auto"/>
              <w:rPr>
                <w:sz w:val="12"/>
                <w:szCs w:val="12"/>
              </w:rPr>
            </w:pPr>
            <w:r>
              <w:rPr>
                <w:sz w:val="12"/>
                <w:szCs w:val="12"/>
                <w:spacing w:val="-1"/>
              </w:rPr>
              <w:t>70%敌磺钠</w:t>
            </w:r>
          </w:p>
        </w:tc>
        <w:tc>
          <w:tcPr>
            <w:tcW w:w="1659" w:type="dxa"/>
            <w:vAlign w:val="top"/>
            <w:tcBorders>
              <w:bottom w:val="single" w:color="000000" w:sz="2" w:space="0"/>
              <w:top w:val="single" w:color="000000" w:sz="2" w:space="0"/>
            </w:tcBorders>
          </w:tcPr>
          <w:p>
            <w:pPr>
              <w:pStyle w:val="TableText"/>
              <w:ind w:left="345"/>
              <w:spacing w:before="131" w:line="219" w:lineRule="auto"/>
              <w:rPr>
                <w:sz w:val="12"/>
                <w:szCs w:val="12"/>
              </w:rPr>
            </w:pPr>
            <w:r>
              <w:rPr>
                <w:sz w:val="12"/>
                <w:szCs w:val="12"/>
                <w:spacing w:val="-1"/>
              </w:rPr>
              <w:t>稀释800-1000倍液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07"/>
              <w:spacing w:before="127" w:line="213" w:lineRule="auto"/>
              <w:rPr>
                <w:sz w:val="12"/>
                <w:szCs w:val="12"/>
              </w:rPr>
            </w:pPr>
            <w:r>
              <w:rPr>
                <w:sz w:val="12"/>
                <w:szCs w:val="12"/>
                <w:spacing w:val="-1"/>
              </w:rPr>
              <w:t>BOOg/袋</w:t>
            </w:r>
          </w:p>
        </w:tc>
        <w:tc>
          <w:tcPr>
            <w:tcW w:w="2773" w:type="dxa"/>
            <w:vAlign w:val="top"/>
            <w:tcBorders>
              <w:bottom w:val="single" w:color="000000" w:sz="2" w:space="0"/>
              <w:top w:val="single" w:color="000000" w:sz="2" w:space="0"/>
            </w:tcBorders>
          </w:tcPr>
          <w:p>
            <w:pPr>
              <w:pStyle w:val="TableText"/>
              <w:ind w:left="18"/>
              <w:spacing w:before="131" w:line="219" w:lineRule="auto"/>
              <w:rPr>
                <w:sz w:val="12"/>
                <w:szCs w:val="12"/>
              </w:rPr>
            </w:pPr>
            <w:r>
              <w:rPr>
                <w:sz w:val="12"/>
                <w:szCs w:val="12"/>
                <w:spacing w:val="-1"/>
              </w:rPr>
              <w:t>权腐病</w:t>
            </w:r>
          </w:p>
        </w:tc>
      </w:tr>
      <w:tr>
        <w:trPr>
          <w:trHeight w:val="39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41" w:line="220" w:lineRule="auto"/>
              <w:rPr>
                <w:sz w:val="12"/>
                <w:szCs w:val="12"/>
              </w:rPr>
            </w:pPr>
            <w:r>
              <w:rPr>
                <w:sz w:val="12"/>
                <w:szCs w:val="12"/>
                <w:spacing w:val="2"/>
              </w:rPr>
              <w:t>甲霜灵</w:t>
            </w:r>
          </w:p>
        </w:tc>
        <w:tc>
          <w:tcPr>
            <w:tcW w:w="1859" w:type="dxa"/>
            <w:vAlign w:val="top"/>
            <w:tcBorders>
              <w:bottom w:val="single" w:color="000000" w:sz="2" w:space="0"/>
              <w:top w:val="single" w:color="000000" w:sz="2" w:space="0"/>
            </w:tcBorders>
          </w:tcPr>
          <w:p>
            <w:pPr>
              <w:pStyle w:val="TableText"/>
              <w:ind w:left="654"/>
              <w:spacing w:before="141" w:line="219" w:lineRule="auto"/>
              <w:rPr>
                <w:sz w:val="12"/>
                <w:szCs w:val="12"/>
              </w:rPr>
            </w:pPr>
            <w:r>
              <w:rPr>
                <w:sz w:val="12"/>
                <w:szCs w:val="12"/>
                <w:spacing w:val="-1"/>
              </w:rPr>
              <w:t>25%璃毒霉</w:t>
            </w:r>
          </w:p>
        </w:tc>
        <w:tc>
          <w:tcPr>
            <w:tcW w:w="1659" w:type="dxa"/>
            <w:vAlign w:val="top"/>
            <w:tcBorders>
              <w:bottom w:val="single" w:color="000000" w:sz="2" w:space="0"/>
              <w:top w:val="single" w:color="000000" w:sz="2" w:space="0"/>
            </w:tcBorders>
          </w:tcPr>
          <w:p>
            <w:pPr>
              <w:pStyle w:val="TableText"/>
              <w:ind w:left="525"/>
              <w:spacing w:before="141" w:line="220" w:lineRule="auto"/>
              <w:rPr>
                <w:sz w:val="12"/>
                <w:szCs w:val="12"/>
              </w:rPr>
            </w:pPr>
            <w:r>
              <w:rPr>
                <w:sz w:val="12"/>
                <w:szCs w:val="12"/>
                <w:spacing w:val="-1"/>
              </w:rPr>
              <w:t>00-600倍液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36"/>
              <w:spacing w:before="138" w:line="213" w:lineRule="auto"/>
              <w:rPr>
                <w:sz w:val="12"/>
                <w:szCs w:val="12"/>
              </w:rPr>
            </w:pPr>
            <w:r>
              <w:rPr>
                <w:sz w:val="12"/>
                <w:szCs w:val="12"/>
                <w:spacing w:val="-1"/>
              </w:rPr>
              <w:t>00g/袋</w:t>
            </w:r>
          </w:p>
        </w:tc>
        <w:tc>
          <w:tcPr>
            <w:tcW w:w="2773" w:type="dxa"/>
            <w:vAlign w:val="top"/>
            <w:tcBorders>
              <w:bottom w:val="single" w:color="000000" w:sz="2" w:space="0"/>
              <w:top w:val="single" w:color="000000" w:sz="2" w:space="0"/>
            </w:tcBorders>
          </w:tcPr>
          <w:p>
            <w:pPr>
              <w:pStyle w:val="TableText"/>
              <w:ind w:left="18"/>
              <w:spacing w:before="141" w:line="219" w:lineRule="auto"/>
              <w:rPr>
                <w:sz w:val="12"/>
                <w:szCs w:val="12"/>
              </w:rPr>
            </w:pPr>
            <w:r>
              <w:rPr>
                <w:sz w:val="12"/>
                <w:szCs w:val="12"/>
                <w:spacing w:val="-1"/>
              </w:rPr>
              <w:t>可与6-70%代森锰锌1:2混合使用，防治霜霉病等</w:t>
            </w:r>
          </w:p>
        </w:tc>
      </w:tr>
      <w:tr>
        <w:trPr>
          <w:trHeight w:val="41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52" w:line="220" w:lineRule="auto"/>
              <w:rPr>
                <w:sz w:val="12"/>
                <w:szCs w:val="12"/>
              </w:rPr>
            </w:pPr>
            <w:r>
              <w:rPr>
                <w:sz w:val="12"/>
                <w:szCs w:val="12"/>
                <w:spacing w:val="-2"/>
              </w:rPr>
              <w:t>疫霉灵</w:t>
            </w:r>
          </w:p>
        </w:tc>
        <w:tc>
          <w:tcPr>
            <w:tcW w:w="1859" w:type="dxa"/>
            <w:vAlign w:val="top"/>
            <w:tcBorders>
              <w:bottom w:val="single" w:color="000000" w:sz="2" w:space="0"/>
              <w:top w:val="single" w:color="000000" w:sz="2" w:space="0"/>
            </w:tcBorders>
          </w:tcPr>
          <w:p>
            <w:pPr>
              <w:pStyle w:val="TableText"/>
              <w:ind w:left="654"/>
              <w:spacing w:before="153" w:line="221" w:lineRule="auto"/>
              <w:rPr>
                <w:sz w:val="12"/>
                <w:szCs w:val="12"/>
              </w:rPr>
            </w:pPr>
            <w:r>
              <w:rPr>
                <w:sz w:val="12"/>
                <w:szCs w:val="12"/>
                <w:spacing w:val="-1"/>
              </w:rPr>
              <w:t>40%乙骄望</w:t>
            </w:r>
          </w:p>
        </w:tc>
        <w:tc>
          <w:tcPr>
            <w:tcW w:w="1659" w:type="dxa"/>
            <w:vAlign w:val="top"/>
            <w:tcBorders>
              <w:bottom w:val="single" w:color="000000" w:sz="2" w:space="0"/>
              <w:top w:val="single" w:color="000000" w:sz="2" w:space="0"/>
            </w:tcBorders>
          </w:tcPr>
          <w:p>
            <w:pPr>
              <w:pStyle w:val="TableText"/>
              <w:ind w:left="495"/>
              <w:spacing w:before="152" w:line="220" w:lineRule="auto"/>
              <w:rPr>
                <w:sz w:val="12"/>
                <w:szCs w:val="12"/>
              </w:rPr>
            </w:pPr>
            <w:r>
              <w:rPr>
                <w:sz w:val="12"/>
                <w:szCs w:val="12"/>
                <w:spacing w:val="-1"/>
              </w:rPr>
              <w:t>200-250倍液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07"/>
              <w:spacing w:before="148" w:line="213" w:lineRule="auto"/>
              <w:rPr>
                <w:sz w:val="12"/>
                <w:szCs w:val="12"/>
              </w:rPr>
            </w:pPr>
            <w:r>
              <w:rPr>
                <w:sz w:val="12"/>
                <w:szCs w:val="12"/>
                <w:spacing w:val="-2"/>
              </w:rPr>
              <w:t>100g/袋</w:t>
            </w:r>
          </w:p>
        </w:tc>
        <w:tc>
          <w:tcPr>
            <w:tcW w:w="2773" w:type="dxa"/>
            <w:vAlign w:val="top"/>
            <w:tcBorders>
              <w:bottom w:val="single" w:color="000000" w:sz="2" w:space="0"/>
              <w:top w:val="single" w:color="000000" w:sz="2" w:space="0"/>
            </w:tcBorders>
          </w:tcPr>
          <w:p>
            <w:pPr>
              <w:pStyle w:val="TableText"/>
              <w:ind w:left="18"/>
              <w:spacing w:before="152" w:line="219" w:lineRule="auto"/>
              <w:rPr>
                <w:sz w:val="12"/>
                <w:szCs w:val="12"/>
              </w:rPr>
            </w:pPr>
            <w:r>
              <w:rPr>
                <w:sz w:val="12"/>
                <w:szCs w:val="12"/>
                <w:spacing w:val="-1"/>
              </w:rPr>
              <w:t>专治霜零病，不能与酸性、殿性农药混用</w:t>
            </w:r>
          </w:p>
        </w:tc>
      </w:tr>
      <w:tr>
        <w:trPr>
          <w:trHeight w:val="39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2"/>
              <w:spacing w:before="142" w:line="219" w:lineRule="auto"/>
              <w:rPr>
                <w:sz w:val="12"/>
                <w:szCs w:val="12"/>
              </w:rPr>
            </w:pPr>
            <w:r>
              <w:rPr>
                <w:sz w:val="12"/>
                <w:szCs w:val="12"/>
                <w:spacing w:val="-2"/>
              </w:rPr>
              <w:t>阿西米达悬浮液</w:t>
            </w:r>
          </w:p>
        </w:tc>
        <w:tc>
          <w:tcPr>
            <w:tcW w:w="1859" w:type="dxa"/>
            <w:vAlign w:val="top"/>
            <w:tcBorders>
              <w:bottom w:val="single" w:color="000000" w:sz="2" w:space="0"/>
              <w:top w:val="single" w:color="000000" w:sz="2" w:space="0"/>
            </w:tcBorders>
          </w:tcPr>
          <w:p>
            <w:pPr>
              <w:pStyle w:val="TableText"/>
              <w:ind w:left="744"/>
              <w:spacing w:before="142" w:line="219" w:lineRule="auto"/>
              <w:rPr>
                <w:sz w:val="12"/>
                <w:szCs w:val="12"/>
              </w:rPr>
            </w:pPr>
            <w:r>
              <w:rPr>
                <w:sz w:val="12"/>
                <w:szCs w:val="12"/>
                <w:spacing w:val="-3"/>
              </w:rPr>
              <w:t>睦声断</w:t>
            </w:r>
          </w:p>
        </w:tc>
        <w:tc>
          <w:tcPr>
            <w:tcW w:w="1659" w:type="dxa"/>
            <w:vAlign w:val="top"/>
            <w:tcBorders>
              <w:bottom w:val="single" w:color="000000" w:sz="2" w:space="0"/>
              <w:top w:val="single" w:color="000000" w:sz="2" w:space="0"/>
            </w:tcBorders>
          </w:tcPr>
          <w:p>
            <w:pPr>
              <w:pStyle w:val="TableText"/>
              <w:ind w:left="764" w:hanging="749"/>
              <w:spacing w:before="73" w:line="218" w:lineRule="auto"/>
              <w:rPr>
                <w:sz w:val="12"/>
                <w:szCs w:val="12"/>
              </w:rPr>
            </w:pPr>
            <w:r>
              <w:rPr>
                <w:sz w:val="12"/>
                <w:szCs w:val="12"/>
                <w:spacing w:val="-3"/>
              </w:rPr>
              <w:t>25M阿西米达悬浮液1200-1500倍</w:t>
            </w:r>
            <w:r>
              <w:rPr>
                <w:sz w:val="12"/>
                <w:szCs w:val="12"/>
                <w:spacing w:val="12"/>
              </w:rPr>
              <w:t xml:space="preserve"> </w:t>
            </w:r>
            <w:r>
              <w:rPr>
                <w:sz w:val="12"/>
                <w:szCs w:val="12"/>
              </w:rPr>
              <w:t>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66"/>
              <w:spacing w:before="143" w:line="221" w:lineRule="auto"/>
              <w:rPr>
                <w:sz w:val="12"/>
                <w:szCs w:val="12"/>
              </w:rPr>
            </w:pPr>
            <w:r>
              <w:rPr>
                <w:sz w:val="12"/>
                <w:szCs w:val="12"/>
                <w:spacing w:val="-3"/>
              </w:rPr>
              <w:t>11/瓶</w:t>
            </w:r>
          </w:p>
        </w:tc>
        <w:tc>
          <w:tcPr>
            <w:tcW w:w="2773" w:type="dxa"/>
            <w:vAlign w:val="top"/>
            <w:tcBorders>
              <w:bottom w:val="single" w:color="000000" w:sz="2" w:space="0"/>
              <w:top w:val="single" w:color="000000" w:sz="2" w:space="0"/>
            </w:tcBorders>
          </w:tcPr>
          <w:p>
            <w:pPr>
              <w:pStyle w:val="TableText"/>
              <w:spacing w:before="142" w:line="219" w:lineRule="auto"/>
              <w:jc w:val="right"/>
              <w:rPr>
                <w:sz w:val="12"/>
                <w:szCs w:val="12"/>
              </w:rPr>
            </w:pPr>
            <w:r>
              <w:rPr>
                <w:sz w:val="12"/>
                <w:szCs w:val="12"/>
                <w:spacing w:val="-1"/>
              </w:rPr>
              <w:t>广谱桑菌，对四大类致病真菌，天然低毒安全无公害</w:t>
            </w:r>
          </w:p>
        </w:tc>
      </w:tr>
      <w:tr>
        <w:trPr>
          <w:trHeight w:val="395"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2"/>
              <w:spacing w:before="143" w:line="219" w:lineRule="auto"/>
              <w:rPr>
                <w:sz w:val="12"/>
                <w:szCs w:val="12"/>
              </w:rPr>
            </w:pPr>
            <w:r>
              <w:rPr>
                <w:sz w:val="12"/>
                <w:szCs w:val="12"/>
                <w:spacing w:val="3"/>
              </w:rPr>
              <w:t>国光多菌灵(中)</w:t>
            </w:r>
          </w:p>
        </w:tc>
        <w:tc>
          <w:tcPr>
            <w:tcW w:w="1859" w:type="dxa"/>
            <w:vAlign w:val="top"/>
            <w:tcBorders>
              <w:bottom w:val="single" w:color="000000" w:sz="2" w:space="0"/>
              <w:top w:val="single" w:color="000000" w:sz="2" w:space="0"/>
            </w:tcBorders>
          </w:tcPr>
          <w:p>
            <w:pPr>
              <w:pStyle w:val="TableText"/>
              <w:ind w:left="654"/>
              <w:spacing w:before="143" w:line="219" w:lineRule="auto"/>
              <w:rPr>
                <w:sz w:val="12"/>
                <w:szCs w:val="12"/>
              </w:rPr>
            </w:pPr>
            <w:r>
              <w:rPr>
                <w:sz w:val="12"/>
                <w:szCs w:val="12"/>
                <w:spacing w:val="-1"/>
              </w:rPr>
              <w:t>50%多菌灵</w:t>
            </w:r>
          </w:p>
        </w:tc>
        <w:tc>
          <w:tcPr>
            <w:tcW w:w="1659" w:type="dxa"/>
            <w:vAlign w:val="top"/>
            <w:tcBorders>
              <w:bottom w:val="single" w:color="000000" w:sz="2" w:space="0"/>
              <w:top w:val="single" w:color="000000" w:sz="2" w:space="0"/>
            </w:tcBorders>
          </w:tcPr>
          <w:p>
            <w:pPr>
              <w:pStyle w:val="TableText"/>
              <w:ind w:left="345"/>
              <w:spacing w:before="143" w:line="219" w:lineRule="auto"/>
              <w:rPr>
                <w:sz w:val="12"/>
                <w:szCs w:val="12"/>
              </w:rPr>
            </w:pPr>
            <w:r>
              <w:rPr>
                <w:sz w:val="12"/>
                <w:szCs w:val="12"/>
                <w:spacing w:val="-1"/>
              </w:rPr>
              <w:t>稀释600-1000倍液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36"/>
              <w:spacing w:before="139" w:line="213" w:lineRule="auto"/>
              <w:rPr>
                <w:sz w:val="12"/>
                <w:szCs w:val="12"/>
              </w:rPr>
            </w:pPr>
            <w:r>
              <w:rPr>
                <w:sz w:val="12"/>
                <w:szCs w:val="12"/>
                <w:spacing w:val="-3"/>
              </w:rPr>
              <w:t>Ikg/装</w:t>
            </w:r>
          </w:p>
        </w:tc>
        <w:tc>
          <w:tcPr>
            <w:tcW w:w="2773" w:type="dxa"/>
            <w:vAlign w:val="top"/>
            <w:tcBorders>
              <w:bottom w:val="single" w:color="000000" w:sz="2" w:space="0"/>
              <w:top w:val="single" w:color="000000" w:sz="2" w:space="0"/>
            </w:tcBorders>
          </w:tcPr>
          <w:p>
            <w:pPr>
              <w:pStyle w:val="TableText"/>
              <w:ind w:left="18"/>
              <w:spacing w:before="143" w:line="219" w:lineRule="auto"/>
              <w:rPr>
                <w:sz w:val="12"/>
                <w:szCs w:val="12"/>
              </w:rPr>
            </w:pPr>
            <w:r>
              <w:rPr>
                <w:sz w:val="12"/>
                <w:szCs w:val="12"/>
                <w:spacing w:val="-1"/>
              </w:rPr>
              <w:t>广谱性杀菌刻</w:t>
            </w:r>
          </w:p>
        </w:tc>
      </w:tr>
      <w:tr>
        <w:trPr>
          <w:trHeight w:val="38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02"/>
              <w:spacing w:before="132" w:line="219" w:lineRule="auto"/>
              <w:rPr>
                <w:sz w:val="12"/>
                <w:szCs w:val="12"/>
              </w:rPr>
            </w:pPr>
            <w:r>
              <w:rPr>
                <w:sz w:val="12"/>
                <w:szCs w:val="12"/>
                <w:spacing w:val="1"/>
              </w:rPr>
              <w:t>国光甲基硫菌灵</w:t>
            </w:r>
          </w:p>
        </w:tc>
        <w:tc>
          <w:tcPr>
            <w:tcW w:w="1859" w:type="dxa"/>
            <w:vAlign w:val="top"/>
            <w:tcBorders>
              <w:bottom w:val="single" w:color="000000" w:sz="2" w:space="0"/>
              <w:top w:val="single" w:color="000000" w:sz="2" w:space="0"/>
            </w:tcBorders>
          </w:tcPr>
          <w:p>
            <w:pPr>
              <w:pStyle w:val="TableText"/>
              <w:ind w:left="533"/>
              <w:spacing w:before="132" w:line="219" w:lineRule="auto"/>
              <w:rPr>
                <w:sz w:val="12"/>
                <w:szCs w:val="12"/>
              </w:rPr>
            </w:pPr>
            <w:r>
              <w:rPr>
                <w:sz w:val="12"/>
                <w:szCs w:val="12"/>
                <w:spacing w:val="-1"/>
              </w:rPr>
              <w:t>70%甲基硫菌灵</w:t>
            </w:r>
          </w:p>
        </w:tc>
        <w:tc>
          <w:tcPr>
            <w:tcW w:w="1659" w:type="dxa"/>
            <w:vAlign w:val="top"/>
            <w:tcBorders>
              <w:bottom w:val="single" w:color="000000" w:sz="2" w:space="0"/>
              <w:top w:val="single" w:color="000000" w:sz="2" w:space="0"/>
            </w:tcBorders>
          </w:tcPr>
          <w:p>
            <w:pPr>
              <w:pStyle w:val="TableText"/>
              <w:ind w:left="345"/>
              <w:spacing w:before="132" w:line="219" w:lineRule="auto"/>
              <w:rPr>
                <w:sz w:val="12"/>
                <w:szCs w:val="12"/>
              </w:rPr>
            </w:pPr>
            <w:r>
              <w:rPr>
                <w:sz w:val="12"/>
                <w:szCs w:val="12"/>
                <w:spacing w:val="-1"/>
              </w:rPr>
              <w:t>稀释600-1000倍液</w:t>
            </w:r>
          </w:p>
        </w:tc>
        <w:tc>
          <w:tcPr>
            <w:tcW w:w="1299" w:type="dxa"/>
            <w:vAlign w:val="top"/>
            <w:vMerge w:val="continue"/>
            <w:tcBorders>
              <w:bottom w:val="nil"/>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36"/>
              <w:spacing w:before="129" w:line="213" w:lineRule="auto"/>
              <w:rPr>
                <w:sz w:val="12"/>
                <w:szCs w:val="12"/>
              </w:rPr>
            </w:pPr>
            <w:r>
              <w:rPr>
                <w:sz w:val="12"/>
                <w:szCs w:val="12"/>
                <w:spacing w:val="-3"/>
              </w:rPr>
              <w:t>Ikg/装</w:t>
            </w:r>
          </w:p>
        </w:tc>
        <w:tc>
          <w:tcPr>
            <w:tcW w:w="2773" w:type="dxa"/>
            <w:vAlign w:val="top"/>
            <w:tcBorders>
              <w:bottom w:val="single" w:color="000000" w:sz="2" w:space="0"/>
              <w:top w:val="single" w:color="000000" w:sz="2" w:space="0"/>
            </w:tcBorders>
          </w:tcPr>
          <w:p>
            <w:pPr>
              <w:pStyle w:val="TableText"/>
              <w:ind w:left="18"/>
              <w:spacing w:before="132" w:line="218" w:lineRule="auto"/>
              <w:rPr>
                <w:sz w:val="12"/>
                <w:szCs w:val="12"/>
              </w:rPr>
            </w:pPr>
            <w:r>
              <w:rPr>
                <w:sz w:val="12"/>
                <w:szCs w:val="12"/>
              </w:rPr>
              <w:t>内吸，广谱高效杀菌剂</w:t>
            </w:r>
          </w:p>
        </w:tc>
      </w:tr>
      <w:tr>
        <w:trPr>
          <w:trHeight w:val="39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43" w:line="219" w:lineRule="auto"/>
              <w:rPr>
                <w:sz w:val="12"/>
                <w:szCs w:val="12"/>
              </w:rPr>
            </w:pPr>
            <w:r>
              <w:rPr>
                <w:sz w:val="12"/>
                <w:szCs w:val="12"/>
                <w:spacing w:val="1"/>
              </w:rPr>
              <w:t>国光黑杀</w:t>
            </w:r>
          </w:p>
        </w:tc>
        <w:tc>
          <w:tcPr>
            <w:tcW w:w="1859" w:type="dxa"/>
            <w:vAlign w:val="top"/>
            <w:tcBorders>
              <w:bottom w:val="single" w:color="000000" w:sz="2" w:space="0"/>
              <w:top w:val="single" w:color="000000" w:sz="2" w:space="0"/>
            </w:tcBorders>
          </w:tcPr>
          <w:p>
            <w:pPr>
              <w:pStyle w:val="TableText"/>
              <w:ind w:left="593"/>
              <w:spacing w:before="143" w:line="220" w:lineRule="auto"/>
              <w:rPr>
                <w:sz w:val="12"/>
                <w:szCs w:val="12"/>
              </w:rPr>
            </w:pPr>
            <w:r>
              <w:rPr>
                <w:sz w:val="12"/>
                <w:szCs w:val="12"/>
                <w:spacing w:val="-2"/>
              </w:rPr>
              <w:t>12.5%桥唑醇</w:t>
            </w:r>
          </w:p>
        </w:tc>
        <w:tc>
          <w:tcPr>
            <w:tcW w:w="1659" w:type="dxa"/>
            <w:vAlign w:val="top"/>
            <w:tcBorders>
              <w:bottom w:val="single" w:color="000000" w:sz="2" w:space="0"/>
              <w:top w:val="single" w:color="000000" w:sz="2" w:space="0"/>
            </w:tcBorders>
          </w:tcPr>
          <w:p>
            <w:pPr>
              <w:pStyle w:val="TableText"/>
              <w:ind w:left="525"/>
              <w:spacing w:before="143" w:line="220" w:lineRule="auto"/>
              <w:rPr>
                <w:sz w:val="12"/>
                <w:szCs w:val="12"/>
              </w:rPr>
            </w:pPr>
            <w:r>
              <w:rPr>
                <w:sz w:val="12"/>
                <w:szCs w:val="12"/>
                <w:spacing w:val="-1"/>
              </w:rPr>
              <w:t>800-1000倍</w:t>
            </w:r>
          </w:p>
        </w:tc>
        <w:tc>
          <w:tcPr>
            <w:tcW w:w="1299" w:type="dxa"/>
            <w:vAlign w:val="top"/>
            <w:vMerge w:val="continue"/>
            <w:tcBorders>
              <w:bottom w:val="single" w:color="000000" w:sz="2" w:space="0"/>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07"/>
              <w:spacing w:before="139" w:line="213" w:lineRule="auto"/>
              <w:rPr>
                <w:sz w:val="12"/>
                <w:szCs w:val="12"/>
              </w:rPr>
            </w:pPr>
            <w:r>
              <w:rPr>
                <w:sz w:val="12"/>
                <w:szCs w:val="12"/>
                <w:spacing w:val="-1"/>
              </w:rPr>
              <w:t>200g/袋</w:t>
            </w:r>
          </w:p>
        </w:tc>
        <w:tc>
          <w:tcPr>
            <w:tcW w:w="2773" w:type="dxa"/>
            <w:vAlign w:val="top"/>
            <w:tcBorders>
              <w:bottom w:val="single" w:color="000000" w:sz="2" w:space="0"/>
              <w:top w:val="single" w:color="000000" w:sz="2" w:space="0"/>
            </w:tcBorders>
          </w:tcPr>
          <w:p>
            <w:pPr>
              <w:pStyle w:val="TableText"/>
              <w:ind w:left="18" w:right="9"/>
              <w:spacing w:before="82" w:line="210" w:lineRule="auto"/>
              <w:rPr>
                <w:sz w:val="12"/>
                <w:szCs w:val="12"/>
              </w:rPr>
            </w:pPr>
            <w:r>
              <w:rPr>
                <w:sz w:val="12"/>
                <w:szCs w:val="12"/>
                <w:spacing w:val="-6"/>
              </w:rPr>
              <w:t>高效广诸内吸染菌剂。颗粒组腻，分散性好，防治</w:t>
            </w:r>
            <w:r>
              <w:rPr>
                <w:sz w:val="12"/>
                <w:szCs w:val="12"/>
                <w:spacing w:val="-7"/>
              </w:rPr>
              <w:t>花木</w:t>
            </w:r>
            <w:r>
              <w:rPr>
                <w:sz w:val="12"/>
                <w:szCs w:val="12"/>
              </w:rPr>
              <w:t xml:space="preserve"> </w:t>
            </w:r>
            <w:r>
              <w:rPr>
                <w:sz w:val="12"/>
                <w:szCs w:val="12"/>
                <w:spacing w:val="-2"/>
              </w:rPr>
              <w:t>叶班、炭殖、斑吸黄化</w:t>
            </w:r>
          </w:p>
        </w:tc>
      </w:tr>
      <w:tr>
        <w:trPr>
          <w:trHeight w:val="70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spacing w:line="253" w:lineRule="auto"/>
              <w:rPr>
                <w:rFonts w:ascii="Arial"/>
                <w:sz w:val="21"/>
              </w:rPr>
            </w:pPr>
            <w:r/>
          </w:p>
          <w:p>
            <w:pPr>
              <w:pStyle w:val="TableText"/>
              <w:ind w:left="443"/>
              <w:spacing w:before="39" w:line="219" w:lineRule="auto"/>
              <w:rPr>
                <w:sz w:val="12"/>
                <w:szCs w:val="12"/>
              </w:rPr>
            </w:pPr>
            <w:r>
              <w:rPr>
                <w:sz w:val="12"/>
                <w:szCs w:val="12"/>
                <w:spacing w:val="-1"/>
              </w:rPr>
              <w:t>普力克</w:t>
            </w:r>
          </w:p>
        </w:tc>
        <w:tc>
          <w:tcPr>
            <w:tcW w:w="1859" w:type="dxa"/>
            <w:vAlign w:val="top"/>
            <w:tcBorders>
              <w:bottom w:val="single" w:color="000000" w:sz="2" w:space="0"/>
              <w:top w:val="single" w:color="000000" w:sz="2" w:space="0"/>
            </w:tcBorders>
          </w:tcPr>
          <w:p>
            <w:pPr>
              <w:spacing w:line="253" w:lineRule="auto"/>
              <w:rPr>
                <w:rFonts w:ascii="Arial"/>
                <w:sz w:val="21"/>
              </w:rPr>
            </w:pPr>
            <w:r/>
          </w:p>
          <w:p>
            <w:pPr>
              <w:pStyle w:val="TableText"/>
              <w:ind w:left="593"/>
              <w:spacing w:before="39" w:line="220" w:lineRule="auto"/>
              <w:rPr>
                <w:sz w:val="12"/>
                <w:szCs w:val="12"/>
              </w:rPr>
            </w:pPr>
            <w:r>
              <w:rPr>
                <w:sz w:val="12"/>
                <w:szCs w:val="12"/>
                <w:spacing w:val="-1"/>
              </w:rPr>
              <w:t>72.2%丙酰胺</w:t>
            </w:r>
          </w:p>
        </w:tc>
        <w:tc>
          <w:tcPr>
            <w:tcW w:w="1659" w:type="dxa"/>
            <w:vAlign w:val="top"/>
            <w:tcBorders>
              <w:bottom w:val="single" w:color="000000" w:sz="2" w:space="0"/>
              <w:top w:val="single" w:color="000000" w:sz="2" w:space="0"/>
            </w:tcBorders>
          </w:tcPr>
          <w:p>
            <w:pPr>
              <w:spacing w:line="253" w:lineRule="auto"/>
              <w:rPr>
                <w:rFonts w:ascii="Arial"/>
                <w:sz w:val="21"/>
              </w:rPr>
            </w:pPr>
            <w:r/>
          </w:p>
          <w:p>
            <w:pPr>
              <w:pStyle w:val="TableText"/>
              <w:ind w:left="465"/>
              <w:spacing w:before="39" w:line="220" w:lineRule="auto"/>
              <w:rPr>
                <w:sz w:val="12"/>
                <w:szCs w:val="12"/>
              </w:rPr>
            </w:pPr>
            <w:r>
              <w:rPr>
                <w:sz w:val="12"/>
                <w:szCs w:val="12"/>
                <w:spacing w:val="-1"/>
              </w:rPr>
              <w:t>800-1000倍液</w:t>
            </w:r>
          </w:p>
        </w:tc>
        <w:tc>
          <w:tcPr>
            <w:tcW w:w="1299" w:type="dxa"/>
            <w:vAlign w:val="top"/>
            <w:tcBorders>
              <w:bottom w:val="single" w:color="000000" w:sz="2" w:space="0"/>
              <w:top w:val="single" w:color="000000" w:sz="2" w:space="0"/>
            </w:tcBorders>
          </w:tcPr>
          <w:p>
            <w:pPr>
              <w:pStyle w:val="TableText"/>
              <w:spacing w:before="163" w:line="219" w:lineRule="auto"/>
              <w:jc w:val="right"/>
              <w:rPr>
                <w:sz w:val="12"/>
                <w:szCs w:val="12"/>
              </w:rPr>
            </w:pPr>
            <w:r>
              <w:rPr>
                <w:sz w:val="12"/>
                <w:szCs w:val="12"/>
                <w:spacing w:val="-4"/>
              </w:rPr>
              <w:t>10天一次，连续喷酒病部</w:t>
            </w:r>
          </w:p>
          <w:p>
            <w:pPr>
              <w:pStyle w:val="TableText"/>
              <w:spacing w:before="7" w:line="200" w:lineRule="auto"/>
              <w:jc w:val="right"/>
              <w:rPr>
                <w:sz w:val="12"/>
                <w:szCs w:val="12"/>
              </w:rPr>
            </w:pPr>
            <w:r>
              <w:rPr>
                <w:sz w:val="12"/>
                <w:szCs w:val="12"/>
                <w:spacing w:val="-4"/>
              </w:rPr>
              <w:t>地面2-3次，喷药1小时内</w:t>
            </w:r>
          </w:p>
          <w:p>
            <w:pPr>
              <w:pStyle w:val="TableText"/>
              <w:ind w:left="316"/>
              <w:spacing w:line="219" w:lineRule="auto"/>
              <w:rPr>
                <w:sz w:val="12"/>
                <w:szCs w:val="12"/>
              </w:rPr>
            </w:pPr>
            <w:r>
              <w:rPr>
                <w:sz w:val="12"/>
                <w:szCs w:val="12"/>
                <w:spacing w:val="-1"/>
              </w:rPr>
              <w:t>遇南，雪重喷</w:t>
            </w:r>
          </w:p>
        </w:tc>
        <w:tc>
          <w:tcPr>
            <w:tcW w:w="839" w:type="dxa"/>
            <w:vAlign w:val="top"/>
            <w:tcBorders>
              <w:bottom w:val="single" w:color="000000" w:sz="2" w:space="0"/>
              <w:top w:val="single" w:color="000000" w:sz="2" w:space="0"/>
            </w:tcBorders>
          </w:tcPr>
          <w:p>
            <w:pPr>
              <w:spacing w:line="253" w:lineRule="auto"/>
              <w:rPr>
                <w:rFonts w:ascii="Arial"/>
                <w:sz w:val="21"/>
              </w:rPr>
            </w:pPr>
            <w:r/>
          </w:p>
          <w:p>
            <w:pPr>
              <w:pStyle w:val="TableText"/>
              <w:ind w:left="177"/>
              <w:spacing w:before="39" w:line="221" w:lineRule="auto"/>
              <w:rPr>
                <w:sz w:val="12"/>
                <w:szCs w:val="12"/>
              </w:rPr>
            </w:pPr>
            <w:r>
              <w:rPr>
                <w:sz w:val="12"/>
                <w:szCs w:val="12"/>
                <w:spacing w:val="-2"/>
              </w:rPr>
              <w:t>100m1/瓶</w:t>
            </w:r>
          </w:p>
        </w:tc>
        <w:tc>
          <w:tcPr>
            <w:tcW w:w="2773" w:type="dxa"/>
            <w:vAlign w:val="top"/>
            <w:tcBorders>
              <w:bottom w:val="single" w:color="000000" w:sz="2" w:space="0"/>
              <w:top w:val="single" w:color="000000" w:sz="2" w:space="0"/>
            </w:tcBorders>
          </w:tcPr>
          <w:p>
            <w:pPr>
              <w:spacing w:line="253" w:lineRule="auto"/>
              <w:rPr>
                <w:rFonts w:ascii="Arial"/>
                <w:sz w:val="21"/>
              </w:rPr>
            </w:pPr>
            <w:r/>
          </w:p>
          <w:p>
            <w:pPr>
              <w:pStyle w:val="TableText"/>
              <w:ind w:left="18"/>
              <w:spacing w:before="39" w:line="219" w:lineRule="auto"/>
              <w:rPr>
                <w:sz w:val="12"/>
                <w:szCs w:val="12"/>
              </w:rPr>
            </w:pPr>
            <w:r>
              <w:rPr>
                <w:sz w:val="12"/>
                <w:szCs w:val="12"/>
                <w:spacing w:val="-1"/>
              </w:rPr>
              <w:t>对根腐病、霜霉病、立枯病、猝例病有特效</w:t>
            </w:r>
          </w:p>
        </w:tc>
      </w:tr>
      <w:tr>
        <w:trPr>
          <w:trHeight w:val="47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84" w:line="219" w:lineRule="auto"/>
              <w:rPr>
                <w:sz w:val="12"/>
                <w:szCs w:val="12"/>
              </w:rPr>
            </w:pPr>
            <w:r>
              <w:rPr>
                <w:sz w:val="12"/>
                <w:szCs w:val="12"/>
                <w:spacing w:val="-1"/>
              </w:rPr>
              <w:t>链霉素</w:t>
            </w:r>
          </w:p>
        </w:tc>
        <w:tc>
          <w:tcPr>
            <w:tcW w:w="1859" w:type="dxa"/>
            <w:vAlign w:val="top"/>
            <w:tcBorders>
              <w:bottom w:val="single" w:color="000000" w:sz="2" w:space="0"/>
              <w:top w:val="single" w:color="000000" w:sz="2" w:space="0"/>
            </w:tcBorders>
          </w:tcPr>
          <w:p>
            <w:pPr>
              <w:pStyle w:val="TableText"/>
              <w:ind w:left="654"/>
              <w:spacing w:before="184" w:line="219" w:lineRule="auto"/>
              <w:rPr>
                <w:sz w:val="12"/>
                <w:szCs w:val="12"/>
              </w:rPr>
            </w:pPr>
            <w:r>
              <w:rPr>
                <w:sz w:val="12"/>
                <w:szCs w:val="12"/>
                <w:spacing w:val="-1"/>
              </w:rPr>
              <w:t>72%驻霉素</w:t>
            </w:r>
          </w:p>
        </w:tc>
        <w:tc>
          <w:tcPr>
            <w:tcW w:w="1659" w:type="dxa"/>
            <w:vAlign w:val="top"/>
            <w:tcBorders>
              <w:bottom w:val="single" w:color="000000" w:sz="2" w:space="0"/>
              <w:top w:val="single" w:color="000000" w:sz="2" w:space="0"/>
            </w:tcBorders>
          </w:tcPr>
          <w:p>
            <w:pPr>
              <w:pStyle w:val="TableText"/>
              <w:ind w:left="585"/>
              <w:spacing w:before="184" w:line="220" w:lineRule="auto"/>
              <w:rPr>
                <w:sz w:val="12"/>
                <w:szCs w:val="12"/>
              </w:rPr>
            </w:pPr>
            <w:r>
              <w:rPr>
                <w:sz w:val="12"/>
                <w:szCs w:val="12"/>
                <w:spacing w:val="-1"/>
              </w:rPr>
              <w:t>3000倍液</w:t>
            </w:r>
          </w:p>
        </w:tc>
        <w:tc>
          <w:tcPr>
            <w:tcW w:w="1299" w:type="dxa"/>
            <w:vAlign w:val="top"/>
            <w:vMerge w:val="restart"/>
            <w:tcBorders>
              <w:bottom w:val="nil"/>
              <w:top w:val="single" w:color="000000" w:sz="2" w:space="0"/>
            </w:tcBorders>
          </w:tcPr>
          <w:p>
            <w:pPr>
              <w:spacing w:line="312" w:lineRule="auto"/>
              <w:rPr>
                <w:rFonts w:ascii="Arial"/>
                <w:sz w:val="21"/>
              </w:rPr>
            </w:pPr>
            <w:r/>
          </w:p>
          <w:p>
            <w:pPr>
              <w:pStyle w:val="TableText"/>
              <w:ind w:left="15"/>
              <w:spacing w:before="39" w:line="200" w:lineRule="auto"/>
              <w:rPr>
                <w:sz w:val="12"/>
                <w:szCs w:val="12"/>
              </w:rPr>
            </w:pPr>
            <w:r>
              <w:rPr>
                <w:sz w:val="12"/>
                <w:szCs w:val="12"/>
                <w:spacing w:val="-1"/>
              </w:rPr>
              <w:t>每10天喷施一次，连喷3</w:t>
            </w:r>
          </w:p>
          <w:p>
            <w:pPr>
              <w:pStyle w:val="TableText"/>
              <w:ind w:left="466"/>
              <w:spacing w:line="219" w:lineRule="auto"/>
              <w:rPr>
                <w:sz w:val="12"/>
                <w:szCs w:val="12"/>
              </w:rPr>
            </w:pPr>
            <w:r>
              <w:rPr>
                <w:sz w:val="12"/>
                <w:szCs w:val="12"/>
                <w:spacing w:val="-1"/>
              </w:rPr>
              <w:t>至4次。</w:t>
            </w:r>
          </w:p>
        </w:tc>
        <w:tc>
          <w:tcPr>
            <w:tcW w:w="839" w:type="dxa"/>
            <w:vAlign w:val="top"/>
            <w:tcBorders>
              <w:bottom w:val="single" w:color="000000" w:sz="2" w:space="0"/>
              <w:top w:val="single" w:color="000000" w:sz="2" w:space="0"/>
            </w:tcBorders>
          </w:tcPr>
          <w:p>
            <w:pPr>
              <w:pStyle w:val="TableText"/>
              <w:ind w:left="236"/>
              <w:spacing w:before="180" w:line="213" w:lineRule="auto"/>
              <w:rPr>
                <w:sz w:val="12"/>
                <w:szCs w:val="12"/>
              </w:rPr>
            </w:pPr>
            <w:r>
              <w:rPr>
                <w:sz w:val="12"/>
                <w:szCs w:val="12"/>
                <w:spacing w:val="-2"/>
              </w:rPr>
              <w:t>15g/装</w:t>
            </w:r>
          </w:p>
        </w:tc>
        <w:tc>
          <w:tcPr>
            <w:tcW w:w="2773" w:type="dxa"/>
            <w:vAlign w:val="top"/>
            <w:vMerge w:val="restart"/>
            <w:tcBorders>
              <w:bottom w:val="nil"/>
              <w:top w:val="single" w:color="000000" w:sz="2" w:space="0"/>
            </w:tcBorders>
          </w:tcPr>
          <w:p>
            <w:pPr>
              <w:spacing w:line="382" w:lineRule="auto"/>
              <w:rPr>
                <w:rFonts w:ascii="Arial"/>
                <w:sz w:val="21"/>
              </w:rPr>
            </w:pPr>
            <w:r/>
          </w:p>
          <w:p>
            <w:pPr>
              <w:pStyle w:val="TableText"/>
              <w:ind w:left="18"/>
              <w:spacing w:before="39" w:line="219" w:lineRule="auto"/>
              <w:rPr>
                <w:sz w:val="12"/>
                <w:szCs w:val="12"/>
              </w:rPr>
            </w:pPr>
            <w:r>
              <w:rPr>
                <w:sz w:val="12"/>
                <w:szCs w:val="12"/>
                <w:spacing w:val="-1"/>
              </w:rPr>
              <w:t>防治细菌性穿孔病，对细菌性病害有特效</w:t>
            </w:r>
          </w:p>
        </w:tc>
      </w:tr>
      <w:tr>
        <w:trPr>
          <w:trHeight w:val="474" w:hRule="atLeast"/>
        </w:trPr>
        <w:tc>
          <w:tcPr>
            <w:tcW w:w="395" w:type="dxa"/>
            <w:vAlign w:val="top"/>
            <w:vMerge w:val="continue"/>
            <w:tcBorders>
              <w:bottom w:val="nil"/>
              <w:top w:val="nil"/>
            </w:tcBorders>
          </w:tcPr>
          <w:p>
            <w:pPr>
              <w:rPr>
                <w:rFonts w:ascii="Arial"/>
                <w:sz w:val="21"/>
              </w:rPr>
            </w:pPr>
            <w:r/>
          </w:p>
        </w:tc>
        <w:tc>
          <w:tcPr>
            <w:tcW w:w="530" w:type="dxa"/>
            <w:vAlign w:val="top"/>
            <w:vMerge w:val="continue"/>
            <w:tcBorders>
              <w:bottom w:val="nil"/>
              <w:top w:val="nil"/>
            </w:tcBorders>
          </w:tcPr>
          <w:p>
            <w:pPr>
              <w:rPr>
                <w:rFonts w:ascii="Arial"/>
                <w:sz w:val="21"/>
              </w:rPr>
            </w:pPr>
            <w:r/>
          </w:p>
        </w:tc>
        <w:tc>
          <w:tcPr>
            <w:tcW w:w="90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184" w:line="219" w:lineRule="auto"/>
              <w:rPr>
                <w:sz w:val="12"/>
                <w:szCs w:val="12"/>
              </w:rPr>
            </w:pPr>
            <w:r>
              <w:rPr>
                <w:sz w:val="12"/>
                <w:szCs w:val="12"/>
                <w:spacing w:val="-2"/>
              </w:rPr>
              <w:t>细菌灵</w:t>
            </w:r>
          </w:p>
        </w:tc>
        <w:tc>
          <w:tcPr>
            <w:tcW w:w="1859" w:type="dxa"/>
            <w:vAlign w:val="top"/>
            <w:tcBorders>
              <w:bottom w:val="single" w:color="000000" w:sz="2" w:space="0"/>
              <w:top w:val="single" w:color="000000" w:sz="2" w:space="0"/>
            </w:tcBorders>
          </w:tcPr>
          <w:p>
            <w:pPr>
              <w:pStyle w:val="TableText"/>
              <w:ind w:left="593"/>
              <w:spacing w:before="44" w:line="200" w:lineRule="auto"/>
              <w:rPr>
                <w:sz w:val="12"/>
                <w:szCs w:val="12"/>
              </w:rPr>
            </w:pPr>
            <w:r>
              <w:rPr>
                <w:sz w:val="12"/>
                <w:szCs w:val="12"/>
                <w:spacing w:val="8"/>
              </w:rPr>
              <w:t>40%多菌灵、</w:t>
            </w:r>
          </w:p>
          <w:p>
            <w:pPr>
              <w:pStyle w:val="TableText"/>
              <w:ind w:left="593"/>
              <w:spacing w:line="219" w:lineRule="auto"/>
              <w:rPr>
                <w:sz w:val="12"/>
                <w:szCs w:val="12"/>
              </w:rPr>
            </w:pPr>
            <w:r>
              <w:rPr>
                <w:sz w:val="12"/>
                <w:szCs w:val="12"/>
                <w:spacing w:val="-1"/>
              </w:rPr>
              <w:t>30%中生骞素</w:t>
            </w:r>
          </w:p>
        </w:tc>
        <w:tc>
          <w:tcPr>
            <w:tcW w:w="1659" w:type="dxa"/>
            <w:vAlign w:val="top"/>
            <w:tcBorders>
              <w:bottom w:val="single" w:color="000000" w:sz="2" w:space="0"/>
              <w:top w:val="single" w:color="000000" w:sz="2" w:space="0"/>
            </w:tcBorders>
          </w:tcPr>
          <w:p>
            <w:pPr>
              <w:pStyle w:val="TableText"/>
              <w:ind w:left="555"/>
              <w:spacing w:before="184" w:line="220" w:lineRule="auto"/>
              <w:rPr>
                <w:sz w:val="12"/>
                <w:szCs w:val="12"/>
              </w:rPr>
            </w:pPr>
            <w:r>
              <w:rPr>
                <w:sz w:val="12"/>
                <w:szCs w:val="12"/>
                <w:spacing w:val="-1"/>
              </w:rPr>
              <w:t>500-600倍</w:t>
            </w:r>
          </w:p>
        </w:tc>
        <w:tc>
          <w:tcPr>
            <w:tcW w:w="1299" w:type="dxa"/>
            <w:vAlign w:val="top"/>
            <w:vMerge w:val="continue"/>
            <w:tcBorders>
              <w:bottom w:val="single" w:color="000000" w:sz="2" w:space="0"/>
              <w:top w:val="nil"/>
            </w:tcBorders>
          </w:tcPr>
          <w:p>
            <w:pPr>
              <w:rPr>
                <w:rFonts w:ascii="Arial"/>
                <w:sz w:val="21"/>
              </w:rPr>
            </w:pPr>
            <w:r/>
          </w:p>
        </w:tc>
        <w:tc>
          <w:tcPr>
            <w:tcW w:w="839" w:type="dxa"/>
            <w:vAlign w:val="top"/>
            <w:tcBorders>
              <w:bottom w:val="single" w:color="000000" w:sz="2" w:space="0"/>
              <w:top w:val="single" w:color="000000" w:sz="2" w:space="0"/>
            </w:tcBorders>
          </w:tcPr>
          <w:p>
            <w:pPr>
              <w:pStyle w:val="TableText"/>
              <w:ind w:left="236"/>
              <w:spacing w:before="180" w:line="213" w:lineRule="auto"/>
              <w:rPr>
                <w:sz w:val="12"/>
                <w:szCs w:val="12"/>
              </w:rPr>
            </w:pPr>
            <w:r>
              <w:rPr>
                <w:sz w:val="12"/>
                <w:szCs w:val="12"/>
                <w:spacing w:val="-1"/>
              </w:rPr>
              <w:t>25g/装</w:t>
            </w:r>
          </w:p>
        </w:tc>
        <w:tc>
          <w:tcPr>
            <w:tcW w:w="2773" w:type="dxa"/>
            <w:vAlign w:val="top"/>
            <w:vMerge w:val="continue"/>
            <w:tcBorders>
              <w:bottom w:val="single" w:color="000000" w:sz="2" w:space="0"/>
              <w:top w:val="nil"/>
            </w:tcBorders>
          </w:tcPr>
          <w:p>
            <w:pPr>
              <w:rPr>
                <w:rFonts w:ascii="Arial"/>
                <w:sz w:val="21"/>
              </w:rPr>
            </w:pPr>
            <w:r/>
          </w:p>
        </w:tc>
      </w:tr>
      <w:tr>
        <w:trPr>
          <w:trHeight w:val="549" w:hRule="atLeast"/>
        </w:trPr>
        <w:tc>
          <w:tcPr>
            <w:tcW w:w="395" w:type="dxa"/>
            <w:vAlign w:val="top"/>
            <w:vMerge w:val="continue"/>
            <w:tcBorders>
              <w:bottom w:val="single" w:color="000000" w:sz="2" w:space="0"/>
              <w:top w:val="nil"/>
            </w:tcBorders>
          </w:tcPr>
          <w:p>
            <w:pPr>
              <w:rPr>
                <w:rFonts w:ascii="Arial"/>
                <w:sz w:val="21"/>
              </w:rPr>
            </w:pPr>
            <w:r/>
          </w:p>
        </w:tc>
        <w:tc>
          <w:tcPr>
            <w:tcW w:w="530" w:type="dxa"/>
            <w:vAlign w:val="top"/>
            <w:vMerge w:val="continue"/>
            <w:tcBorders>
              <w:bottom w:val="single" w:color="000000" w:sz="2" w:space="0"/>
              <w:top w:val="nil"/>
            </w:tcBorders>
          </w:tcPr>
          <w:p>
            <w:pPr>
              <w:rPr>
                <w:rFonts w:ascii="Arial"/>
                <w:sz w:val="21"/>
              </w:rPr>
            </w:pPr>
            <w:r/>
          </w:p>
        </w:tc>
        <w:tc>
          <w:tcPr>
            <w:tcW w:w="90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3"/>
              <w:spacing w:before="214" w:line="219" w:lineRule="auto"/>
              <w:rPr>
                <w:sz w:val="12"/>
                <w:szCs w:val="12"/>
              </w:rPr>
            </w:pPr>
            <w:r>
              <w:rPr>
                <w:sz w:val="12"/>
                <w:szCs w:val="12"/>
                <w:spacing w:val="-2"/>
              </w:rPr>
              <w:t>植病灵</w:t>
            </w:r>
          </w:p>
        </w:tc>
        <w:tc>
          <w:tcPr>
            <w:tcW w:w="1859" w:type="dxa"/>
            <w:vAlign w:val="top"/>
            <w:tcBorders>
              <w:bottom w:val="single" w:color="000000" w:sz="2" w:space="0"/>
              <w:top w:val="single" w:color="000000" w:sz="2" w:space="0"/>
            </w:tcBorders>
          </w:tcPr>
          <w:p>
            <w:pPr>
              <w:pStyle w:val="TableText"/>
              <w:ind w:left="324"/>
              <w:spacing w:before="214" w:line="219" w:lineRule="auto"/>
              <w:rPr>
                <w:sz w:val="12"/>
                <w:szCs w:val="12"/>
              </w:rPr>
            </w:pPr>
            <w:r>
              <w:rPr>
                <w:sz w:val="12"/>
                <w:szCs w:val="12"/>
                <w:spacing w:val="-1"/>
              </w:rPr>
              <w:t>盐酸金刚乙鞍、丙环唑</w:t>
            </w:r>
          </w:p>
        </w:tc>
        <w:tc>
          <w:tcPr>
            <w:tcW w:w="1659" w:type="dxa"/>
            <w:vAlign w:val="top"/>
            <w:tcBorders>
              <w:bottom w:val="single" w:color="000000" w:sz="2" w:space="0"/>
              <w:top w:val="single" w:color="000000" w:sz="2" w:space="0"/>
            </w:tcBorders>
          </w:tcPr>
          <w:p>
            <w:pPr>
              <w:pStyle w:val="TableText"/>
              <w:ind w:left="615"/>
              <w:spacing w:before="215" w:line="220" w:lineRule="auto"/>
              <w:rPr>
                <w:sz w:val="12"/>
                <w:szCs w:val="12"/>
              </w:rPr>
            </w:pPr>
            <w:r>
              <w:rPr>
                <w:sz w:val="12"/>
                <w:szCs w:val="12"/>
                <w:spacing w:val="-1"/>
              </w:rPr>
              <w:t>800倍液</w:t>
            </w:r>
          </w:p>
        </w:tc>
        <w:tc>
          <w:tcPr>
            <w:tcW w:w="1299" w:type="dxa"/>
            <w:vAlign w:val="top"/>
            <w:tcBorders>
              <w:bottom w:val="single" w:color="000000" w:sz="2" w:space="0"/>
              <w:top w:val="single" w:color="000000" w:sz="2" w:space="0"/>
            </w:tcBorders>
          </w:tcPr>
          <w:p>
            <w:pPr>
              <w:pStyle w:val="TableText"/>
              <w:ind w:left="15"/>
              <w:spacing w:before="85" w:line="215" w:lineRule="auto"/>
              <w:rPr>
                <w:sz w:val="12"/>
                <w:szCs w:val="12"/>
              </w:rPr>
            </w:pPr>
            <w:r>
              <w:rPr>
                <w:sz w:val="12"/>
                <w:szCs w:val="12"/>
                <w:spacing w:val="-1"/>
              </w:rPr>
              <w:t>发病初期。每5-7天喷施</w:t>
            </w:r>
          </w:p>
          <w:p>
            <w:pPr>
              <w:pStyle w:val="TableText"/>
              <w:ind w:left="15"/>
              <w:spacing w:line="200" w:lineRule="auto"/>
              <w:rPr>
                <w:sz w:val="12"/>
                <w:szCs w:val="12"/>
              </w:rPr>
            </w:pPr>
            <w:r>
              <w:rPr>
                <w:sz w:val="12"/>
                <w:szCs w:val="12"/>
                <w:spacing w:val="-1"/>
              </w:rPr>
              <w:t>一次，喷3遍，可减轻危</w:t>
            </w:r>
          </w:p>
          <w:p>
            <w:pPr>
              <w:pStyle w:val="TableText"/>
              <w:ind w:left="556"/>
              <w:spacing w:line="219" w:lineRule="auto"/>
              <w:rPr>
                <w:sz w:val="12"/>
                <w:szCs w:val="12"/>
              </w:rPr>
            </w:pPr>
            <w:r>
              <w:rPr>
                <w:sz w:val="12"/>
                <w:szCs w:val="12"/>
                <w:spacing w:val="-1"/>
              </w:rPr>
              <w:t>害。</w:t>
            </w:r>
          </w:p>
        </w:tc>
        <w:tc>
          <w:tcPr>
            <w:tcW w:w="839" w:type="dxa"/>
            <w:vAlign w:val="top"/>
            <w:tcBorders>
              <w:bottom w:val="single" w:color="000000" w:sz="2" w:space="0"/>
              <w:top w:val="single" w:color="000000" w:sz="2" w:space="0"/>
            </w:tcBorders>
          </w:tcPr>
          <w:p>
            <w:pPr>
              <w:pStyle w:val="TableText"/>
              <w:ind w:left="207"/>
              <w:spacing w:before="215" w:line="221" w:lineRule="auto"/>
              <w:rPr>
                <w:sz w:val="12"/>
                <w:szCs w:val="12"/>
              </w:rPr>
            </w:pPr>
            <w:r>
              <w:rPr>
                <w:sz w:val="12"/>
                <w:szCs w:val="12"/>
                <w:spacing w:val="-2"/>
              </w:rPr>
              <w:t>15ml/瓶</w:t>
            </w:r>
          </w:p>
        </w:tc>
        <w:tc>
          <w:tcPr>
            <w:tcW w:w="2773" w:type="dxa"/>
            <w:vAlign w:val="top"/>
            <w:tcBorders>
              <w:bottom w:val="single" w:color="000000" w:sz="2" w:space="0"/>
              <w:top w:val="single" w:color="000000" w:sz="2" w:space="0"/>
            </w:tcBorders>
          </w:tcPr>
          <w:p>
            <w:pPr>
              <w:pStyle w:val="TableText"/>
              <w:ind w:left="18"/>
              <w:spacing w:before="214" w:line="219" w:lineRule="auto"/>
              <w:rPr>
                <w:sz w:val="12"/>
                <w:szCs w:val="12"/>
              </w:rPr>
            </w:pPr>
            <w:r>
              <w:rPr>
                <w:sz w:val="12"/>
                <w:szCs w:val="12"/>
                <w:spacing w:val="-1"/>
              </w:rPr>
              <w:t>防治花叶病，对病毒性病害有特效</w:t>
            </w:r>
          </w:p>
        </w:tc>
      </w:tr>
    </w:tbl>
    <w:p>
      <w:pPr>
        <w:spacing w:line="14" w:lineRule="auto"/>
        <w:rPr>
          <w:rFonts w:ascii="Arial"/>
          <w:sz w:val="2"/>
        </w:rPr>
      </w:pPr>
      <w:r/>
    </w:p>
    <w:p>
      <w:pPr>
        <w:spacing w:line="14" w:lineRule="auto"/>
        <w:sectPr>
          <w:pgSz w:w="14490" w:h="10240"/>
          <w:pgMar w:top="115" w:right="224" w:bottom="375" w:left="194" w:header="0" w:footer="0" w:gutter="0"/>
        </w:sectPr>
        <w:rPr>
          <w:rFonts w:ascii="Arial" w:hAnsi="Arial" w:eastAsia="Arial" w:cs="Arial"/>
          <w:sz w:val="2"/>
          <w:szCs w:val="2"/>
        </w:rPr>
      </w:pPr>
    </w:p>
    <w:tbl>
      <w:tblPr>
        <w:tblStyle w:val="TableNormal"/>
        <w:tblW w:w="1405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95"/>
        <w:gridCol w:w="529"/>
        <w:gridCol w:w="899"/>
        <w:gridCol w:w="2538"/>
        <w:gridCol w:w="1259"/>
        <w:gridCol w:w="1869"/>
        <w:gridCol w:w="1659"/>
        <w:gridCol w:w="1299"/>
        <w:gridCol w:w="829"/>
        <w:gridCol w:w="2774"/>
      </w:tblGrid>
      <w:tr>
        <w:trPr>
          <w:trHeight w:val="489" w:hRule="atLeast"/>
        </w:trPr>
        <w:tc>
          <w:tcPr>
            <w:tcW w:w="395" w:type="dxa"/>
            <w:vAlign w:val="top"/>
            <w:tcBorders>
              <w:bottom w:val="single" w:color="000000" w:sz="2" w:space="0"/>
              <w:top w:val="single" w:color="000000" w:sz="2" w:space="0"/>
            </w:tcBorders>
          </w:tcPr>
          <w:p>
            <w:pPr>
              <w:pStyle w:val="TableText"/>
              <w:ind w:left="66"/>
              <w:spacing w:before="182" w:line="219" w:lineRule="auto"/>
              <w:rPr>
                <w:sz w:val="12"/>
                <w:szCs w:val="12"/>
              </w:rPr>
            </w:pPr>
            <w:r>
              <w:rPr>
                <w:sz w:val="12"/>
                <w:szCs w:val="12"/>
                <w:b/>
                <w:bCs/>
                <w:spacing w:val="-3"/>
              </w:rPr>
              <w:t>分类</w:t>
            </w:r>
          </w:p>
        </w:tc>
        <w:tc>
          <w:tcPr>
            <w:tcW w:w="529" w:type="dxa"/>
            <w:vAlign w:val="top"/>
            <w:tcBorders>
              <w:bottom w:val="single" w:color="000000" w:sz="2" w:space="0"/>
              <w:top w:val="single" w:color="000000" w:sz="2" w:space="0"/>
            </w:tcBorders>
          </w:tcPr>
          <w:p>
            <w:pPr>
              <w:pStyle w:val="TableText"/>
              <w:ind w:left="11"/>
              <w:spacing w:before="23" w:line="219" w:lineRule="auto"/>
              <w:rPr>
                <w:sz w:val="12"/>
                <w:szCs w:val="12"/>
              </w:rPr>
            </w:pPr>
            <w:r>
              <w:rPr>
                <w:sz w:val="12"/>
                <w:szCs w:val="12"/>
                <w:b/>
                <w:bCs/>
                <w:spacing w:val="-3"/>
              </w:rPr>
              <w:t>消杀预防</w:t>
            </w:r>
          </w:p>
          <w:p>
            <w:pPr>
              <w:pStyle w:val="TableText"/>
              <w:ind w:left="11"/>
              <w:spacing w:before="27" w:line="199" w:lineRule="auto"/>
              <w:rPr>
                <w:sz w:val="12"/>
                <w:szCs w:val="12"/>
              </w:rPr>
            </w:pPr>
            <w:r>
              <w:rPr>
                <w:sz w:val="12"/>
                <w:szCs w:val="12"/>
                <w:b/>
                <w:bCs/>
                <w:spacing w:val="-3"/>
              </w:rPr>
              <w:t>及南虫害</w:t>
            </w:r>
          </w:p>
          <w:p>
            <w:pPr>
              <w:pStyle w:val="TableText"/>
              <w:ind w:left="141"/>
              <w:spacing w:line="219" w:lineRule="auto"/>
              <w:rPr>
                <w:sz w:val="12"/>
                <w:szCs w:val="12"/>
              </w:rPr>
            </w:pPr>
            <w:r>
              <w:rPr>
                <w:sz w:val="12"/>
                <w:szCs w:val="12"/>
                <w:b/>
                <w:bCs/>
                <w:spacing w:val="-3"/>
              </w:rPr>
              <w:t>分类</w:t>
            </w:r>
          </w:p>
        </w:tc>
        <w:tc>
          <w:tcPr>
            <w:tcW w:w="899" w:type="dxa"/>
            <w:vAlign w:val="top"/>
            <w:tcBorders>
              <w:bottom w:val="single" w:color="000000" w:sz="2" w:space="0"/>
              <w:top w:val="single" w:color="000000" w:sz="2" w:space="0"/>
            </w:tcBorders>
          </w:tcPr>
          <w:p>
            <w:pPr>
              <w:pStyle w:val="TableText"/>
              <w:ind w:left="142"/>
              <w:spacing w:before="182" w:line="219" w:lineRule="auto"/>
              <w:rPr>
                <w:sz w:val="12"/>
                <w:szCs w:val="12"/>
              </w:rPr>
            </w:pPr>
            <w:r>
              <w:rPr>
                <w:sz w:val="12"/>
                <w:szCs w:val="12"/>
                <w:b/>
                <w:bCs/>
                <w:spacing w:val="-3"/>
              </w:rPr>
              <w:t>常见病虫害</w:t>
            </w:r>
          </w:p>
        </w:tc>
        <w:tc>
          <w:tcPr>
            <w:tcW w:w="2538" w:type="dxa"/>
            <w:vAlign w:val="top"/>
            <w:tcBorders>
              <w:bottom w:val="single" w:color="000000" w:sz="2" w:space="0"/>
              <w:top w:val="single" w:color="000000" w:sz="2" w:space="0"/>
            </w:tcBorders>
          </w:tcPr>
          <w:p>
            <w:pPr>
              <w:pStyle w:val="TableText"/>
              <w:ind w:left="933"/>
              <w:spacing w:before="182" w:line="219" w:lineRule="auto"/>
              <w:rPr>
                <w:sz w:val="12"/>
                <w:szCs w:val="12"/>
              </w:rPr>
            </w:pPr>
            <w:r>
              <w:rPr>
                <w:sz w:val="12"/>
                <w:szCs w:val="12"/>
                <w:b/>
                <w:bCs/>
                <w:spacing w:val="-3"/>
              </w:rPr>
              <w:t>主要发病月份</w:t>
            </w:r>
          </w:p>
        </w:tc>
        <w:tc>
          <w:tcPr>
            <w:tcW w:w="1259" w:type="dxa"/>
            <w:vAlign w:val="top"/>
            <w:tcBorders>
              <w:bottom w:val="single" w:color="000000" w:sz="2" w:space="0"/>
              <w:top w:val="single" w:color="000000" w:sz="2" w:space="0"/>
            </w:tcBorders>
          </w:tcPr>
          <w:p>
            <w:pPr>
              <w:pStyle w:val="TableText"/>
              <w:ind w:left="385"/>
              <w:spacing w:before="183" w:line="220" w:lineRule="auto"/>
              <w:rPr>
                <w:sz w:val="12"/>
                <w:szCs w:val="12"/>
              </w:rPr>
            </w:pPr>
            <w:r>
              <w:rPr>
                <w:sz w:val="12"/>
                <w:szCs w:val="12"/>
                <w:b/>
                <w:bCs/>
                <w:spacing w:val="-3"/>
              </w:rPr>
              <w:t>药品名称</w:t>
            </w:r>
          </w:p>
        </w:tc>
        <w:tc>
          <w:tcPr>
            <w:tcW w:w="1869" w:type="dxa"/>
            <w:vAlign w:val="top"/>
            <w:tcBorders>
              <w:bottom w:val="single" w:color="000000" w:sz="2" w:space="0"/>
              <w:top w:val="single" w:color="000000" w:sz="2" w:space="0"/>
            </w:tcBorders>
          </w:tcPr>
          <w:p>
            <w:pPr>
              <w:pStyle w:val="TableText"/>
              <w:ind w:left="686"/>
              <w:spacing w:before="183" w:line="220" w:lineRule="auto"/>
              <w:rPr>
                <w:sz w:val="12"/>
                <w:szCs w:val="12"/>
              </w:rPr>
            </w:pPr>
            <w:r>
              <w:rPr>
                <w:sz w:val="12"/>
                <w:szCs w:val="12"/>
                <w:b/>
                <w:bCs/>
                <w:spacing w:val="-3"/>
              </w:rPr>
              <w:t>主要成分</w:t>
            </w:r>
          </w:p>
        </w:tc>
        <w:tc>
          <w:tcPr>
            <w:tcW w:w="1659" w:type="dxa"/>
            <w:vAlign w:val="top"/>
            <w:tcBorders>
              <w:bottom w:val="single" w:color="000000" w:sz="2" w:space="0"/>
              <w:top w:val="single" w:color="000000" w:sz="2" w:space="0"/>
            </w:tcBorders>
          </w:tcPr>
          <w:p>
            <w:pPr>
              <w:pStyle w:val="TableText"/>
              <w:ind w:left="587"/>
              <w:spacing w:before="182" w:line="219" w:lineRule="auto"/>
              <w:rPr>
                <w:sz w:val="12"/>
                <w:szCs w:val="12"/>
              </w:rPr>
            </w:pPr>
            <w:r>
              <w:rPr>
                <w:sz w:val="12"/>
                <w:szCs w:val="12"/>
                <w:b/>
                <w:bCs/>
                <w:spacing w:val="-3"/>
              </w:rPr>
              <w:t>使用倍率</w:t>
            </w:r>
          </w:p>
        </w:tc>
        <w:tc>
          <w:tcPr>
            <w:tcW w:w="1299" w:type="dxa"/>
            <w:vAlign w:val="top"/>
            <w:tcBorders>
              <w:bottom w:val="single" w:color="000000" w:sz="2" w:space="0"/>
              <w:top w:val="single" w:color="000000" w:sz="2" w:space="0"/>
            </w:tcBorders>
          </w:tcPr>
          <w:p>
            <w:pPr>
              <w:pStyle w:val="TableText"/>
              <w:ind w:left="408"/>
              <w:spacing w:before="182" w:line="219" w:lineRule="auto"/>
              <w:rPr>
                <w:sz w:val="12"/>
                <w:szCs w:val="12"/>
              </w:rPr>
            </w:pPr>
            <w:r>
              <w:rPr>
                <w:sz w:val="12"/>
                <w:szCs w:val="12"/>
                <w:b/>
                <w:bCs/>
                <w:spacing w:val="-3"/>
              </w:rPr>
              <w:t>施用次数</w:t>
            </w:r>
          </w:p>
        </w:tc>
        <w:tc>
          <w:tcPr>
            <w:tcW w:w="829" w:type="dxa"/>
            <w:vAlign w:val="top"/>
            <w:tcBorders>
              <w:bottom w:val="single" w:color="000000" w:sz="2" w:space="0"/>
              <w:top w:val="single" w:color="000000" w:sz="2" w:space="0"/>
            </w:tcBorders>
          </w:tcPr>
          <w:p>
            <w:pPr>
              <w:pStyle w:val="TableText"/>
              <w:ind w:left="289"/>
              <w:spacing w:before="182" w:line="219" w:lineRule="auto"/>
              <w:rPr>
                <w:sz w:val="12"/>
                <w:szCs w:val="12"/>
              </w:rPr>
            </w:pPr>
            <w:r>
              <w:rPr>
                <w:sz w:val="12"/>
                <w:szCs w:val="12"/>
                <w:b/>
                <w:bCs/>
                <w:spacing w:val="-3"/>
              </w:rPr>
              <w:t>规格</w:t>
            </w:r>
          </w:p>
        </w:tc>
        <w:tc>
          <w:tcPr>
            <w:tcW w:w="2774" w:type="dxa"/>
            <w:vAlign w:val="top"/>
            <w:tcBorders>
              <w:bottom w:val="single" w:color="000000" w:sz="2" w:space="0"/>
              <w:top w:val="single" w:color="000000" w:sz="2" w:space="0"/>
            </w:tcBorders>
          </w:tcPr>
          <w:p>
            <w:pPr>
              <w:pStyle w:val="TableText"/>
              <w:ind w:left="1270"/>
              <w:spacing w:before="183" w:line="221" w:lineRule="auto"/>
              <w:rPr>
                <w:sz w:val="12"/>
                <w:szCs w:val="12"/>
              </w:rPr>
            </w:pPr>
            <w:r>
              <w:rPr>
                <w:sz w:val="12"/>
                <w:szCs w:val="12"/>
                <w:b/>
                <w:bCs/>
                <w:spacing w:val="-3"/>
              </w:rPr>
              <w:t>备注</w:t>
            </w:r>
          </w:p>
        </w:tc>
      </w:tr>
      <w:tr>
        <w:trPr>
          <w:trHeight w:val="345" w:hRule="atLeast"/>
        </w:trPr>
        <w:tc>
          <w:tcPr>
            <w:tcW w:w="395" w:type="dxa"/>
            <w:vAlign w:val="top"/>
            <w:vMerge w:val="restart"/>
            <w:tcBorders>
              <w:bottom w:val="nil"/>
              <w:top w:val="single" w:color="000000" w:sz="2" w:space="0"/>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4"/>
              <w:spacing w:before="39" w:line="218" w:lineRule="auto"/>
              <w:rPr>
                <w:sz w:val="12"/>
                <w:szCs w:val="12"/>
              </w:rPr>
            </w:pPr>
            <w:r>
              <w:rPr>
                <w:sz w:val="12"/>
                <w:szCs w:val="12"/>
                <w:spacing w:val="-2"/>
              </w:rPr>
              <w:t>杀虫剂</w:t>
            </w:r>
          </w:p>
        </w:tc>
        <w:tc>
          <w:tcPr>
            <w:tcW w:w="529" w:type="dxa"/>
            <w:vAlign w:val="top"/>
            <w:vMerge w:val="restart"/>
            <w:tcBorders>
              <w:bottom w:val="nil"/>
              <w:top w:val="single" w:color="000000" w:sz="2" w:space="0"/>
            </w:tcBorders>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10"/>
              <w:spacing w:before="39" w:line="219" w:lineRule="auto"/>
              <w:rPr>
                <w:sz w:val="12"/>
                <w:szCs w:val="12"/>
              </w:rPr>
            </w:pPr>
            <w:r>
              <w:rPr>
                <w:sz w:val="12"/>
                <w:szCs w:val="12"/>
                <w:spacing w:val="-1"/>
              </w:rPr>
              <w:t>食叶害虫</w:t>
            </w:r>
          </w:p>
        </w:tc>
        <w:tc>
          <w:tcPr>
            <w:tcW w:w="899" w:type="dxa"/>
            <w:vAlign w:val="top"/>
            <w:vMerge w:val="restart"/>
            <w:tcBorders>
              <w:bottom w:val="nil"/>
              <w:top w:val="single" w:color="000000" w:sz="2" w:space="0"/>
            </w:tcBorders>
          </w:tcPr>
          <w:p>
            <w:pPr>
              <w:spacing w:line="288" w:lineRule="auto"/>
              <w:rPr>
                <w:rFonts w:ascii="Arial"/>
                <w:sz w:val="21"/>
              </w:rPr>
            </w:pPr>
            <w:r/>
          </w:p>
          <w:p>
            <w:pPr>
              <w:spacing w:line="288" w:lineRule="auto"/>
              <w:rPr>
                <w:rFonts w:ascii="Arial"/>
                <w:sz w:val="21"/>
              </w:rPr>
            </w:pPr>
            <w:r/>
          </w:p>
          <w:p>
            <w:pPr>
              <w:pStyle w:val="TableText"/>
              <w:ind w:left="21"/>
              <w:spacing w:before="39" w:line="219" w:lineRule="auto"/>
              <w:rPr>
                <w:sz w:val="12"/>
                <w:szCs w:val="12"/>
              </w:rPr>
            </w:pPr>
            <w:r>
              <w:rPr>
                <w:sz w:val="12"/>
                <w:szCs w:val="12"/>
                <w:spacing w:val="-2"/>
              </w:rPr>
              <w:t>叶甲类、鼻寄城</w:t>
            </w:r>
          </w:p>
          <w:p>
            <w:pPr>
              <w:pStyle w:val="TableText"/>
              <w:ind w:left="41"/>
              <w:spacing w:before="7" w:line="200" w:lineRule="auto"/>
              <w:rPr>
                <w:sz w:val="12"/>
                <w:szCs w:val="12"/>
              </w:rPr>
            </w:pPr>
            <w:r>
              <w:rPr>
                <w:sz w:val="12"/>
                <w:szCs w:val="12"/>
                <w:spacing w:val="-3"/>
              </w:rPr>
              <w:t>、尺蠖、卷叶缎</w:t>
            </w:r>
          </w:p>
          <w:p>
            <w:pPr>
              <w:pStyle w:val="TableText"/>
              <w:ind w:left="21"/>
              <w:spacing w:line="215" w:lineRule="auto"/>
              <w:rPr>
                <w:sz w:val="12"/>
                <w:szCs w:val="12"/>
              </w:rPr>
            </w:pPr>
            <w:r>
              <w:rPr>
                <w:sz w:val="12"/>
                <w:szCs w:val="12"/>
                <w:spacing w:val="-3"/>
              </w:rPr>
              <w:t>、刺纸、灰白纸</w:t>
            </w:r>
          </w:p>
          <w:p>
            <w:pPr>
              <w:pStyle w:val="TableText"/>
              <w:ind w:left="381"/>
              <w:spacing w:line="219" w:lineRule="auto"/>
              <w:rPr>
                <w:sz w:val="12"/>
                <w:szCs w:val="12"/>
              </w:rPr>
            </w:pPr>
            <w:r>
              <w:rPr>
                <w:sz w:val="12"/>
                <w:szCs w:val="12"/>
              </w:rPr>
              <w:t>等</w:t>
            </w:r>
          </w:p>
        </w:tc>
        <w:tc>
          <w:tcPr>
            <w:tcW w:w="2538" w:type="dxa"/>
            <w:vAlign w:val="top"/>
            <w:vMerge w:val="restart"/>
            <w:tcBorders>
              <w:bottom w:val="nil"/>
              <w:top w:val="single" w:color="000000" w:sz="2" w:space="0"/>
            </w:tcBorders>
          </w:tcPr>
          <w:p>
            <w:pPr>
              <w:spacing w:line="319" w:lineRule="auto"/>
              <w:rPr>
                <w:rFonts w:ascii="Arial"/>
                <w:sz w:val="21"/>
              </w:rPr>
            </w:pPr>
            <w:r/>
          </w:p>
          <w:p>
            <w:pPr>
              <w:pStyle w:val="TableText"/>
              <w:ind w:left="2"/>
              <w:spacing w:before="39" w:line="207" w:lineRule="auto"/>
              <w:rPr>
                <w:sz w:val="12"/>
                <w:szCs w:val="12"/>
              </w:rPr>
            </w:pPr>
            <w:r>
              <w:rPr>
                <w:sz w:val="12"/>
                <w:szCs w:val="12"/>
                <w:spacing w:val="-3"/>
              </w:rPr>
              <w:t>一、4-5月预防消杀为主。在进入雨季、高发季前</w:t>
            </w:r>
            <w:r>
              <w:rPr>
                <w:sz w:val="12"/>
                <w:szCs w:val="12"/>
                <w:spacing w:val="13"/>
              </w:rPr>
              <w:t xml:space="preserve"> </w:t>
            </w:r>
            <w:r>
              <w:rPr>
                <w:sz w:val="12"/>
                <w:szCs w:val="12"/>
                <w:spacing w:val="-1"/>
              </w:rPr>
              <w:t>全园区消杀虫卵，蛹</w:t>
            </w:r>
          </w:p>
          <w:p>
            <w:pPr>
              <w:pStyle w:val="TableText"/>
              <w:ind w:left="2"/>
              <w:spacing w:line="207" w:lineRule="auto"/>
              <w:rPr>
                <w:sz w:val="12"/>
                <w:szCs w:val="12"/>
              </w:rPr>
            </w:pPr>
            <w:r>
              <w:rPr>
                <w:sz w:val="12"/>
                <w:szCs w:val="12"/>
                <w:spacing w:val="-3"/>
              </w:rPr>
              <w:t>二，6月是大本分害虫成蛹或羽化期。采取人工加</w:t>
            </w:r>
            <w:r>
              <w:rPr>
                <w:sz w:val="12"/>
                <w:szCs w:val="12"/>
                <w:spacing w:val="10"/>
              </w:rPr>
              <w:t xml:space="preserve"> </w:t>
            </w:r>
            <w:r>
              <w:rPr>
                <w:sz w:val="12"/>
                <w:szCs w:val="12"/>
                <w:spacing w:val="-1"/>
              </w:rPr>
              <w:t>药物双重治疗除卵，除蛹，除成虫：</w:t>
            </w:r>
          </w:p>
          <w:p>
            <w:pPr>
              <w:pStyle w:val="TableText"/>
              <w:ind w:left="2" w:right="1"/>
              <w:spacing w:before="1" w:line="214" w:lineRule="auto"/>
              <w:rPr>
                <w:sz w:val="12"/>
                <w:szCs w:val="12"/>
              </w:rPr>
            </w:pPr>
            <w:r>
              <w:rPr>
                <w:sz w:val="12"/>
                <w:szCs w:val="12"/>
                <w:spacing w:val="-5"/>
              </w:rPr>
              <w:t>三、7-10月为均有零星出现，有发现病皆，及时喷</w:t>
            </w:r>
            <w:r>
              <w:rPr>
                <w:sz w:val="12"/>
                <w:szCs w:val="12"/>
                <w:spacing w:val="3"/>
              </w:rPr>
              <w:t xml:space="preserve"> </w:t>
            </w:r>
            <w:r>
              <w:rPr>
                <w:sz w:val="12"/>
                <w:szCs w:val="12"/>
                <w:spacing w:val="-1"/>
              </w:rPr>
              <w:t>药处理。</w:t>
            </w:r>
          </w:p>
          <w:p>
            <w:pPr>
              <w:pStyle w:val="TableText"/>
              <w:ind w:left="2"/>
              <w:spacing w:line="216" w:lineRule="auto"/>
              <w:rPr>
                <w:sz w:val="12"/>
                <w:szCs w:val="12"/>
              </w:rPr>
            </w:pPr>
            <w:r>
              <w:rPr>
                <w:sz w:val="12"/>
                <w:szCs w:val="12"/>
                <w:spacing w:val="-6"/>
              </w:rPr>
              <w:t>四，蛾蝶幼虫，主要危害饭尾葵，假核榔，美图针</w:t>
            </w:r>
            <w:r>
              <w:rPr>
                <w:sz w:val="12"/>
                <w:szCs w:val="12"/>
                <w:spacing w:val="15"/>
                <w:w w:val="101"/>
              </w:rPr>
              <w:t xml:space="preserve"> </w:t>
            </w:r>
            <w:r>
              <w:rPr>
                <w:sz w:val="12"/>
                <w:szCs w:val="12"/>
                <w:spacing w:val="-1"/>
              </w:rPr>
              <w:t>葵</w:t>
            </w:r>
            <w:r>
              <w:rPr>
                <w:sz w:val="12"/>
                <w:szCs w:val="12"/>
                <w:color w:val="403040"/>
                <w:spacing w:val="-1"/>
              </w:rPr>
              <w:t>，</w:t>
            </w:r>
            <w:r>
              <w:rPr>
                <w:sz w:val="12"/>
                <w:szCs w:val="12"/>
                <w:spacing w:val="-1"/>
              </w:rPr>
              <w:t>三角椰子等的叶片。</w:t>
            </w:r>
          </w:p>
        </w:tc>
        <w:tc>
          <w:tcPr>
            <w:tcW w:w="1259" w:type="dxa"/>
            <w:vAlign w:val="top"/>
            <w:tcBorders>
              <w:bottom w:val="single" w:color="000000" w:sz="2" w:space="0"/>
              <w:top w:val="single" w:color="000000" w:sz="2" w:space="0"/>
            </w:tcBorders>
          </w:tcPr>
          <w:p>
            <w:pPr>
              <w:pStyle w:val="TableText"/>
              <w:ind w:left="383"/>
              <w:spacing w:before="109" w:line="218" w:lineRule="auto"/>
              <w:rPr>
                <w:sz w:val="12"/>
                <w:szCs w:val="12"/>
              </w:rPr>
            </w:pPr>
            <w:r>
              <w:rPr>
                <w:sz w:val="12"/>
                <w:szCs w:val="12"/>
                <w:spacing w:val="2"/>
              </w:rPr>
              <w:t>国光依它</w:t>
            </w:r>
          </w:p>
        </w:tc>
        <w:tc>
          <w:tcPr>
            <w:tcW w:w="1869" w:type="dxa"/>
            <w:vAlign w:val="top"/>
            <w:tcBorders>
              <w:bottom w:val="single" w:color="000000" w:sz="2" w:space="0"/>
              <w:top w:val="single" w:color="000000" w:sz="2" w:space="0"/>
            </w:tcBorders>
          </w:tcPr>
          <w:p>
            <w:pPr>
              <w:pStyle w:val="TableText"/>
              <w:ind w:left="355"/>
              <w:spacing w:before="110" w:line="219" w:lineRule="auto"/>
              <w:rPr>
                <w:sz w:val="12"/>
                <w:szCs w:val="12"/>
              </w:rPr>
            </w:pPr>
            <w:r>
              <w:rPr>
                <w:sz w:val="12"/>
                <w:szCs w:val="12"/>
                <w:spacing w:val="-1"/>
              </w:rPr>
              <w:t>45%丙溴，宰硫磷乳油</w:t>
            </w:r>
          </w:p>
        </w:tc>
        <w:tc>
          <w:tcPr>
            <w:tcW w:w="1659" w:type="dxa"/>
            <w:vAlign w:val="top"/>
            <w:tcBorders>
              <w:bottom w:val="single" w:color="000000" w:sz="2" w:space="0"/>
              <w:top w:val="single" w:color="000000" w:sz="2" w:space="0"/>
            </w:tcBorders>
          </w:tcPr>
          <w:p>
            <w:pPr>
              <w:pStyle w:val="TableText"/>
              <w:ind w:left="316"/>
              <w:spacing w:before="110" w:line="219" w:lineRule="auto"/>
              <w:rPr>
                <w:sz w:val="12"/>
                <w:szCs w:val="12"/>
              </w:rPr>
            </w:pPr>
            <w:r>
              <w:rPr>
                <w:sz w:val="12"/>
                <w:szCs w:val="12"/>
                <w:spacing w:val="-1"/>
              </w:rPr>
              <w:t>稀释2000-3000储液</w:t>
            </w:r>
          </w:p>
        </w:tc>
        <w:tc>
          <w:tcPr>
            <w:tcW w:w="1299" w:type="dxa"/>
            <w:vAlign w:val="top"/>
            <w:vMerge w:val="restart"/>
            <w:tcBorders>
              <w:bottom w:val="nil"/>
              <w:top w:val="single" w:color="000000" w:sz="2" w:space="0"/>
            </w:tcBorders>
          </w:tcPr>
          <w:p>
            <w:pPr>
              <w:spacing w:line="357" w:lineRule="auto"/>
              <w:rPr>
                <w:rFonts w:ascii="Arial"/>
                <w:sz w:val="21"/>
              </w:rPr>
            </w:pPr>
            <w:r/>
          </w:p>
          <w:p>
            <w:pPr>
              <w:spacing w:line="358" w:lineRule="auto"/>
              <w:rPr>
                <w:rFonts w:ascii="Arial"/>
                <w:sz w:val="21"/>
              </w:rPr>
            </w:pPr>
            <w:r/>
          </w:p>
          <w:p>
            <w:pPr>
              <w:pStyle w:val="TableText"/>
              <w:ind w:left="553" w:hanging="537"/>
              <w:spacing w:before="39" w:line="234" w:lineRule="auto"/>
              <w:rPr>
                <w:sz w:val="12"/>
                <w:szCs w:val="12"/>
              </w:rPr>
            </w:pPr>
            <w:r>
              <w:rPr>
                <w:sz w:val="12"/>
                <w:szCs w:val="12"/>
                <w:spacing w:val="-4"/>
              </w:rPr>
              <w:t>一般用3次，时间间隔7到</w:t>
            </w:r>
            <w:r>
              <w:rPr>
                <w:sz w:val="12"/>
                <w:szCs w:val="12"/>
              </w:rPr>
              <w:t xml:space="preserve"> </w:t>
            </w:r>
            <w:r>
              <w:rPr>
                <w:sz w:val="12"/>
                <w:szCs w:val="12"/>
                <w:spacing w:val="-3"/>
              </w:rPr>
              <w:t>10天</w:t>
            </w:r>
          </w:p>
        </w:tc>
        <w:tc>
          <w:tcPr>
            <w:tcW w:w="829" w:type="dxa"/>
            <w:vAlign w:val="top"/>
            <w:tcBorders>
              <w:bottom w:val="single" w:color="000000" w:sz="2" w:space="0"/>
              <w:top w:val="single" w:color="000000" w:sz="2" w:space="0"/>
            </w:tcBorders>
          </w:tcPr>
          <w:p>
            <w:pPr>
              <w:pStyle w:val="TableText"/>
              <w:ind w:left="168"/>
              <w:spacing w:before="110" w:line="221" w:lineRule="auto"/>
              <w:rPr>
                <w:sz w:val="12"/>
                <w:szCs w:val="12"/>
              </w:rPr>
            </w:pPr>
            <w:r>
              <w:rPr>
                <w:sz w:val="12"/>
                <w:szCs w:val="12"/>
                <w:spacing w:val="-1"/>
              </w:rPr>
              <w:t>200ml/瓶</w:t>
            </w:r>
          </w:p>
        </w:tc>
        <w:tc>
          <w:tcPr>
            <w:tcW w:w="2774" w:type="dxa"/>
            <w:vAlign w:val="top"/>
            <w:tcBorders>
              <w:bottom w:val="single" w:color="000000" w:sz="2" w:space="0"/>
              <w:top w:val="single" w:color="000000" w:sz="2" w:space="0"/>
            </w:tcBorders>
          </w:tcPr>
          <w:p>
            <w:pPr>
              <w:pStyle w:val="TableText"/>
              <w:ind w:left="19"/>
              <w:spacing w:before="110" w:line="219" w:lineRule="auto"/>
              <w:rPr>
                <w:sz w:val="12"/>
                <w:szCs w:val="12"/>
              </w:rPr>
            </w:pPr>
            <w:r>
              <w:rPr>
                <w:sz w:val="12"/>
                <w:szCs w:val="12"/>
                <w:spacing w:val="-1"/>
              </w:rPr>
              <w:t>高涉透性，杀卷叶虫、包叶虫、班潜蝇等</w:t>
            </w:r>
          </w:p>
        </w:tc>
      </w:tr>
      <w:tr>
        <w:trPr>
          <w:trHeight w:val="345"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09" w:line="219" w:lineRule="auto"/>
              <w:rPr>
                <w:sz w:val="12"/>
                <w:szCs w:val="12"/>
              </w:rPr>
            </w:pPr>
            <w:r>
              <w:rPr>
                <w:sz w:val="12"/>
                <w:szCs w:val="12"/>
                <w:spacing w:val="1"/>
              </w:rPr>
              <w:t>国光乙刻</w:t>
            </w:r>
          </w:p>
        </w:tc>
        <w:tc>
          <w:tcPr>
            <w:tcW w:w="1869" w:type="dxa"/>
            <w:vAlign w:val="top"/>
            <w:tcBorders>
              <w:bottom w:val="single" w:color="000000" w:sz="2" w:space="0"/>
              <w:top w:val="single" w:color="000000" w:sz="2" w:space="0"/>
            </w:tcBorders>
          </w:tcPr>
          <w:p>
            <w:pPr>
              <w:pStyle w:val="TableText"/>
              <w:ind w:left="475"/>
              <w:spacing w:before="109" w:line="219" w:lineRule="auto"/>
              <w:rPr>
                <w:sz w:val="12"/>
                <w:szCs w:val="12"/>
              </w:rPr>
            </w:pPr>
            <w:r>
              <w:rPr>
                <w:sz w:val="12"/>
                <w:szCs w:val="12"/>
                <w:spacing w:val="-1"/>
              </w:rPr>
              <w:t>20%飘戊菊酯乳油</w:t>
            </w:r>
          </w:p>
        </w:tc>
        <w:tc>
          <w:tcPr>
            <w:tcW w:w="1659" w:type="dxa"/>
            <w:vAlign w:val="top"/>
            <w:tcBorders>
              <w:bottom w:val="single" w:color="000000" w:sz="2" w:space="0"/>
              <w:top w:val="single" w:color="000000" w:sz="2" w:space="0"/>
            </w:tcBorders>
          </w:tcPr>
          <w:p>
            <w:pPr>
              <w:pStyle w:val="TableText"/>
              <w:ind w:left="316"/>
              <w:spacing w:before="109" w:line="219" w:lineRule="auto"/>
              <w:rPr>
                <w:sz w:val="12"/>
                <w:szCs w:val="12"/>
              </w:rPr>
            </w:pPr>
            <w:r>
              <w:rPr>
                <w:sz w:val="12"/>
                <w:szCs w:val="12"/>
                <w:spacing w:val="-1"/>
              </w:rPr>
              <w:t>稀释2000-3000倍液</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68"/>
              <w:spacing w:before="110" w:line="221" w:lineRule="auto"/>
              <w:rPr>
                <w:sz w:val="12"/>
                <w:szCs w:val="12"/>
              </w:rPr>
            </w:pPr>
            <w:r>
              <w:rPr>
                <w:sz w:val="12"/>
                <w:szCs w:val="12"/>
                <w:spacing w:val="-1"/>
              </w:rPr>
              <w:t>200ml/瓶</w:t>
            </w:r>
          </w:p>
        </w:tc>
        <w:tc>
          <w:tcPr>
            <w:tcW w:w="2774" w:type="dxa"/>
            <w:vAlign w:val="top"/>
            <w:tcBorders>
              <w:bottom w:val="single" w:color="000000" w:sz="2" w:space="0"/>
              <w:top w:val="single" w:color="000000" w:sz="2" w:space="0"/>
            </w:tcBorders>
          </w:tcPr>
          <w:p>
            <w:pPr>
              <w:pStyle w:val="TableText"/>
              <w:ind w:left="19"/>
              <w:spacing w:before="109" w:line="218" w:lineRule="auto"/>
              <w:rPr>
                <w:sz w:val="12"/>
                <w:szCs w:val="12"/>
              </w:rPr>
            </w:pPr>
            <w:r>
              <w:rPr>
                <w:sz w:val="12"/>
                <w:szCs w:val="12"/>
                <w:spacing w:val="-1"/>
              </w:rPr>
              <w:t>高效广谱、长效杀虫剂，桑食叶性害虫特效</w:t>
            </w:r>
          </w:p>
        </w:tc>
      </w:tr>
      <w:tr>
        <w:trPr>
          <w:trHeight w:val="35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504"/>
              <w:spacing w:before="119" w:line="220" w:lineRule="auto"/>
              <w:rPr>
                <w:sz w:val="12"/>
                <w:szCs w:val="12"/>
              </w:rPr>
            </w:pPr>
            <w:r>
              <w:rPr>
                <w:sz w:val="12"/>
                <w:szCs w:val="12"/>
                <w:spacing w:val="-2"/>
              </w:rPr>
              <w:t>万灵</w:t>
            </w:r>
          </w:p>
        </w:tc>
        <w:tc>
          <w:tcPr>
            <w:tcW w:w="1869" w:type="dxa"/>
            <w:vAlign w:val="top"/>
            <w:tcBorders>
              <w:bottom w:val="single" w:color="000000" w:sz="2" w:space="0"/>
              <w:top w:val="single" w:color="000000" w:sz="2" w:space="0"/>
            </w:tcBorders>
          </w:tcPr>
          <w:p>
            <w:pPr>
              <w:pStyle w:val="TableText"/>
              <w:ind w:left="564"/>
              <w:spacing w:before="119" w:line="219" w:lineRule="auto"/>
              <w:rPr>
                <w:sz w:val="12"/>
                <w:szCs w:val="12"/>
              </w:rPr>
            </w:pPr>
            <w:r>
              <w:rPr>
                <w:sz w:val="12"/>
                <w:szCs w:val="12"/>
                <w:spacing w:val="-1"/>
              </w:rPr>
              <w:t>25氟基甲酸清</w:t>
            </w:r>
          </w:p>
        </w:tc>
        <w:tc>
          <w:tcPr>
            <w:tcW w:w="1659" w:type="dxa"/>
            <w:vAlign w:val="top"/>
            <w:tcBorders>
              <w:bottom w:val="single" w:color="000000" w:sz="2" w:space="0"/>
              <w:top w:val="single" w:color="000000" w:sz="2" w:space="0"/>
            </w:tcBorders>
          </w:tcPr>
          <w:p>
            <w:pPr>
              <w:pStyle w:val="TableText"/>
              <w:ind w:left="346"/>
              <w:spacing w:before="119" w:line="219" w:lineRule="auto"/>
              <w:rPr>
                <w:sz w:val="12"/>
                <w:szCs w:val="12"/>
              </w:rPr>
            </w:pPr>
            <w:r>
              <w:rPr>
                <w:sz w:val="12"/>
                <w:szCs w:val="12"/>
                <w:spacing w:val="-1"/>
              </w:rPr>
              <w:t>稀释800-1000倍液</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98"/>
              <w:spacing w:before="115" w:line="213" w:lineRule="auto"/>
              <w:rPr>
                <w:sz w:val="12"/>
                <w:szCs w:val="12"/>
              </w:rPr>
            </w:pPr>
            <w:r>
              <w:rPr>
                <w:sz w:val="12"/>
                <w:szCs w:val="12"/>
                <w:spacing w:val="-1"/>
              </w:rPr>
              <w:t>200g/装</w:t>
            </w:r>
          </w:p>
        </w:tc>
        <w:tc>
          <w:tcPr>
            <w:tcW w:w="2774" w:type="dxa"/>
            <w:vAlign w:val="top"/>
            <w:tcBorders>
              <w:bottom w:val="single" w:color="000000" w:sz="2" w:space="0"/>
              <w:top w:val="single" w:color="000000" w:sz="2" w:space="0"/>
            </w:tcBorders>
          </w:tcPr>
          <w:p>
            <w:pPr>
              <w:pStyle w:val="TableText"/>
              <w:ind w:left="19"/>
              <w:spacing w:before="119" w:line="218" w:lineRule="auto"/>
              <w:rPr>
                <w:sz w:val="12"/>
                <w:szCs w:val="12"/>
              </w:rPr>
            </w:pPr>
            <w:r>
              <w:rPr>
                <w:sz w:val="12"/>
                <w:szCs w:val="12"/>
                <w:spacing w:val="-1"/>
              </w:rPr>
              <w:t>家蝇、蚜虫、荫马、埠等十分有效</w:t>
            </w:r>
          </w:p>
        </w:tc>
      </w:tr>
      <w:tr>
        <w:trPr>
          <w:trHeight w:val="335"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09" w:line="219" w:lineRule="auto"/>
              <w:rPr>
                <w:sz w:val="12"/>
                <w:szCs w:val="12"/>
              </w:rPr>
            </w:pPr>
            <w:r>
              <w:rPr>
                <w:sz w:val="12"/>
                <w:szCs w:val="12"/>
                <w:spacing w:val="1"/>
              </w:rPr>
              <w:t>国光率刻</w:t>
            </w:r>
          </w:p>
        </w:tc>
        <w:tc>
          <w:tcPr>
            <w:tcW w:w="1869" w:type="dxa"/>
            <w:vAlign w:val="top"/>
            <w:tcBorders>
              <w:bottom w:val="single" w:color="000000" w:sz="2" w:space="0"/>
              <w:top w:val="single" w:color="000000" w:sz="2" w:space="0"/>
            </w:tcBorders>
          </w:tcPr>
          <w:p>
            <w:pPr>
              <w:pStyle w:val="TableText"/>
              <w:ind w:left="654"/>
              <w:spacing w:before="109" w:line="219" w:lineRule="auto"/>
              <w:rPr>
                <w:sz w:val="12"/>
                <w:szCs w:val="12"/>
              </w:rPr>
            </w:pPr>
            <w:r>
              <w:rPr>
                <w:sz w:val="12"/>
                <w:szCs w:val="12"/>
                <w:spacing w:val="-1"/>
              </w:rPr>
              <w:t>50%赔虫眯</w:t>
            </w:r>
          </w:p>
        </w:tc>
        <w:tc>
          <w:tcPr>
            <w:tcW w:w="1659" w:type="dxa"/>
            <w:vAlign w:val="top"/>
            <w:tcBorders>
              <w:bottom w:val="single" w:color="000000" w:sz="2" w:space="0"/>
              <w:top w:val="single" w:color="000000" w:sz="2" w:space="0"/>
            </w:tcBorders>
          </w:tcPr>
          <w:p>
            <w:pPr>
              <w:pStyle w:val="TableText"/>
              <w:spacing w:before="109" w:line="219" w:lineRule="auto"/>
              <w:jc w:val="right"/>
              <w:rPr>
                <w:sz w:val="12"/>
                <w:szCs w:val="12"/>
              </w:rPr>
            </w:pPr>
            <w:r>
              <w:rPr>
                <w:sz w:val="12"/>
                <w:szCs w:val="12"/>
                <w:spacing w:val="-2"/>
              </w:rPr>
              <w:t>稀释3000-5000倍液叶面喷雾</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227"/>
              <w:spacing w:before="106" w:line="213" w:lineRule="auto"/>
              <w:rPr>
                <w:sz w:val="12"/>
                <w:szCs w:val="12"/>
              </w:rPr>
            </w:pPr>
            <w:r>
              <w:rPr>
                <w:sz w:val="12"/>
                <w:szCs w:val="12"/>
                <w:spacing w:val="-2"/>
              </w:rPr>
              <w:t>10g/装</w:t>
            </w:r>
          </w:p>
        </w:tc>
        <w:tc>
          <w:tcPr>
            <w:tcW w:w="2774" w:type="dxa"/>
            <w:vAlign w:val="top"/>
            <w:tcBorders>
              <w:bottom w:val="single" w:color="000000" w:sz="2" w:space="0"/>
              <w:top w:val="single" w:color="000000" w:sz="2" w:space="0"/>
            </w:tcBorders>
          </w:tcPr>
          <w:p>
            <w:pPr>
              <w:pStyle w:val="TableText"/>
              <w:spacing w:before="109" w:line="219" w:lineRule="auto"/>
              <w:jc w:val="right"/>
              <w:rPr>
                <w:sz w:val="12"/>
                <w:szCs w:val="12"/>
              </w:rPr>
            </w:pPr>
            <w:r>
              <w:rPr>
                <w:sz w:val="12"/>
                <w:szCs w:val="12"/>
                <w:spacing w:val="-6"/>
              </w:rPr>
              <w:t>防治刺吸式口器害虫，柔椰子树，棕桐料树上椰心叶甲</w:t>
            </w:r>
          </w:p>
        </w:tc>
      </w:tr>
      <w:tr>
        <w:trPr>
          <w:trHeight w:val="36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9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19" w:line="219" w:lineRule="auto"/>
              <w:rPr>
                <w:sz w:val="12"/>
                <w:szCs w:val="12"/>
              </w:rPr>
            </w:pPr>
            <w:r>
              <w:rPr>
                <w:sz w:val="12"/>
                <w:szCs w:val="12"/>
                <w:spacing w:val="1"/>
              </w:rPr>
              <w:t>国光乐克</w:t>
            </w:r>
          </w:p>
        </w:tc>
        <w:tc>
          <w:tcPr>
            <w:tcW w:w="1869" w:type="dxa"/>
            <w:vAlign w:val="top"/>
            <w:tcBorders>
              <w:bottom w:val="single" w:color="000000" w:sz="2" w:space="0"/>
              <w:top w:val="single" w:color="000000" w:sz="2" w:space="0"/>
            </w:tcBorders>
          </w:tcPr>
          <w:p>
            <w:pPr>
              <w:pStyle w:val="TableText"/>
              <w:ind w:left="205"/>
              <w:spacing w:before="119" w:line="218" w:lineRule="auto"/>
              <w:rPr>
                <w:sz w:val="12"/>
                <w:szCs w:val="12"/>
              </w:rPr>
            </w:pPr>
            <w:r>
              <w:rPr>
                <w:sz w:val="12"/>
                <w:szCs w:val="12"/>
                <w:spacing w:val="-5"/>
              </w:rPr>
              <w:t>甲氨基苯甲酸盐 ·阿维菌素</w:t>
            </w:r>
          </w:p>
        </w:tc>
        <w:tc>
          <w:tcPr>
            <w:tcW w:w="1659" w:type="dxa"/>
            <w:vAlign w:val="top"/>
            <w:tcBorders>
              <w:bottom w:val="single" w:color="000000" w:sz="2" w:space="0"/>
              <w:top w:val="single" w:color="000000" w:sz="2" w:space="0"/>
            </w:tcBorders>
          </w:tcPr>
          <w:p>
            <w:pPr>
              <w:pStyle w:val="TableText"/>
              <w:ind w:left="496"/>
              <w:spacing w:before="119" w:line="220" w:lineRule="auto"/>
              <w:rPr>
                <w:sz w:val="12"/>
                <w:szCs w:val="12"/>
              </w:rPr>
            </w:pPr>
            <w:r>
              <w:rPr>
                <w:sz w:val="12"/>
                <w:szCs w:val="12"/>
                <w:spacing w:val="-5"/>
              </w:rPr>
              <w:t>1500—2000恪</w:t>
            </w:r>
          </w:p>
        </w:tc>
        <w:tc>
          <w:tcPr>
            <w:tcW w:w="1299" w:type="dxa"/>
            <w:vAlign w:val="top"/>
            <w:vMerge w:val="continue"/>
            <w:tcBorders>
              <w:bottom w:val="single" w:color="000000" w:sz="2" w:space="0"/>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68"/>
              <w:spacing w:before="120" w:line="221" w:lineRule="auto"/>
              <w:rPr>
                <w:sz w:val="12"/>
                <w:szCs w:val="12"/>
              </w:rPr>
            </w:pPr>
            <w:r>
              <w:rPr>
                <w:sz w:val="12"/>
                <w:szCs w:val="12"/>
                <w:spacing w:val="-2"/>
              </w:rPr>
              <w:t>100ml/瓶</w:t>
            </w:r>
          </w:p>
        </w:tc>
        <w:tc>
          <w:tcPr>
            <w:tcW w:w="2774" w:type="dxa"/>
            <w:vAlign w:val="top"/>
            <w:tcBorders>
              <w:bottom w:val="single" w:color="000000" w:sz="2" w:space="0"/>
              <w:top w:val="single" w:color="000000" w:sz="2" w:space="0"/>
            </w:tcBorders>
          </w:tcPr>
          <w:p>
            <w:pPr>
              <w:pStyle w:val="TableText"/>
              <w:ind w:left="19"/>
              <w:spacing w:before="119" w:line="218" w:lineRule="auto"/>
              <w:rPr>
                <w:sz w:val="12"/>
                <w:szCs w:val="12"/>
              </w:rPr>
            </w:pPr>
            <w:r>
              <w:rPr>
                <w:sz w:val="12"/>
                <w:szCs w:val="12"/>
                <w:spacing w:val="-1"/>
              </w:rPr>
              <w:t>高效广谱杀虫剂。杀食叶性害虫特效</w:t>
            </w:r>
          </w:p>
        </w:tc>
      </w:tr>
      <w:tr>
        <w:trPr>
          <w:trHeight w:val="334" w:hRule="atLeast"/>
        </w:trPr>
        <w:tc>
          <w:tcPr>
            <w:tcW w:w="39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0"/>
              <w:spacing w:before="39" w:line="219" w:lineRule="auto"/>
              <w:rPr>
                <w:sz w:val="12"/>
                <w:szCs w:val="12"/>
              </w:rPr>
            </w:pPr>
            <w:r>
              <w:rPr>
                <w:sz w:val="12"/>
                <w:szCs w:val="12"/>
                <w:spacing w:val="-1"/>
              </w:rPr>
              <w:t>刺吸害虫</w:t>
            </w:r>
          </w:p>
        </w:tc>
        <w:tc>
          <w:tcPr>
            <w:tcW w:w="899" w:type="dxa"/>
            <w:vAlign w:val="top"/>
            <w:vMerge w:val="restart"/>
            <w:tcBorders>
              <w:bottom w:val="nil"/>
              <w:top w:val="single" w:color="000000" w:sz="2" w:space="0"/>
            </w:tcBorders>
          </w:tcPr>
          <w:p>
            <w:pPr>
              <w:spacing w:line="311" w:lineRule="auto"/>
              <w:rPr>
                <w:rFonts w:ascii="Arial"/>
                <w:sz w:val="21"/>
              </w:rPr>
            </w:pPr>
            <w:r/>
          </w:p>
          <w:p>
            <w:pPr>
              <w:spacing w:line="311" w:lineRule="auto"/>
              <w:rPr>
                <w:rFonts w:ascii="Arial"/>
                <w:sz w:val="21"/>
              </w:rPr>
            </w:pPr>
            <w:r/>
          </w:p>
          <w:p>
            <w:pPr>
              <w:spacing w:line="312" w:lineRule="auto"/>
              <w:rPr>
                <w:rFonts w:ascii="Arial"/>
                <w:sz w:val="21"/>
              </w:rPr>
            </w:pPr>
            <w:r/>
          </w:p>
          <w:p>
            <w:pPr>
              <w:pStyle w:val="TableText"/>
              <w:spacing w:before="39" w:line="220" w:lineRule="auto"/>
              <w:jc w:val="right"/>
              <w:rPr>
                <w:sz w:val="12"/>
                <w:szCs w:val="12"/>
              </w:rPr>
            </w:pPr>
            <w:r>
              <w:rPr>
                <w:sz w:val="12"/>
                <w:szCs w:val="12"/>
                <w:spacing w:val="-1"/>
              </w:rPr>
              <w:t>球坚蚧、腊蚧。</w:t>
            </w:r>
          </w:p>
          <w:p>
            <w:pPr>
              <w:pStyle w:val="TableText"/>
              <w:ind w:left="21"/>
              <w:spacing w:before="16" w:line="219" w:lineRule="auto"/>
              <w:rPr>
                <w:sz w:val="12"/>
                <w:szCs w:val="12"/>
              </w:rPr>
            </w:pPr>
            <w:r>
              <w:rPr>
                <w:sz w:val="12"/>
                <w:szCs w:val="12"/>
                <w:spacing w:val="-1"/>
              </w:rPr>
              <w:t>粉蚧、吹棉珍等</w:t>
            </w:r>
          </w:p>
        </w:tc>
        <w:tc>
          <w:tcPr>
            <w:tcW w:w="2538" w:type="dxa"/>
            <w:vAlign w:val="top"/>
            <w:vMerge w:val="restart"/>
            <w:tcBorders>
              <w:bottom w:val="nil"/>
              <w:top w:val="single" w:color="000000" w:sz="2" w:space="0"/>
            </w:tcBorders>
          </w:tcPr>
          <w:p>
            <w:pPr>
              <w:spacing w:line="332" w:lineRule="auto"/>
              <w:rPr>
                <w:rFonts w:ascii="Arial"/>
                <w:sz w:val="21"/>
              </w:rPr>
            </w:pPr>
            <w:r/>
          </w:p>
          <w:p>
            <w:pPr>
              <w:spacing w:line="333" w:lineRule="auto"/>
              <w:rPr>
                <w:rFonts w:ascii="Arial"/>
                <w:sz w:val="21"/>
              </w:rPr>
            </w:pPr>
            <w:r/>
          </w:p>
          <w:p>
            <w:pPr>
              <w:pStyle w:val="TableText"/>
              <w:ind w:left="2"/>
              <w:spacing w:before="39" w:line="223" w:lineRule="auto"/>
              <w:rPr>
                <w:sz w:val="12"/>
                <w:szCs w:val="12"/>
              </w:rPr>
            </w:pPr>
            <w:r>
              <w:rPr>
                <w:sz w:val="12"/>
                <w:szCs w:val="12"/>
                <w:spacing w:val="-3"/>
              </w:rPr>
              <w:t>一，2-3月已经有成虫出现，配合春季消杀，预防</w:t>
            </w:r>
            <w:r>
              <w:rPr>
                <w:sz w:val="12"/>
                <w:szCs w:val="12"/>
                <w:spacing w:val="13"/>
              </w:rPr>
              <w:t xml:space="preserve"> </w:t>
            </w:r>
            <w:r>
              <w:rPr>
                <w:sz w:val="12"/>
                <w:szCs w:val="12"/>
                <w:spacing w:val="-1"/>
              </w:rPr>
              <w:t>为主：</w:t>
            </w:r>
          </w:p>
          <w:p>
            <w:pPr>
              <w:pStyle w:val="TableText"/>
              <w:ind w:left="2"/>
              <w:spacing w:line="207" w:lineRule="auto"/>
              <w:rPr>
                <w:sz w:val="12"/>
                <w:szCs w:val="12"/>
              </w:rPr>
            </w:pPr>
            <w:r>
              <w:rPr>
                <w:sz w:val="12"/>
                <w:szCs w:val="12"/>
                <w:spacing w:val="-3"/>
              </w:rPr>
              <w:t>三、4-5月为均有零星出现，有发现病情。及时喷</w:t>
            </w:r>
            <w:r>
              <w:rPr>
                <w:sz w:val="12"/>
                <w:szCs w:val="12"/>
                <w:spacing w:val="13"/>
              </w:rPr>
              <w:t xml:space="preserve"> </w:t>
            </w:r>
            <w:r>
              <w:rPr>
                <w:sz w:val="12"/>
                <w:szCs w:val="12"/>
                <w:spacing w:val="-1"/>
              </w:rPr>
              <w:t>药处理：</w:t>
            </w:r>
          </w:p>
          <w:p>
            <w:pPr>
              <w:pStyle w:val="TableText"/>
              <w:ind w:left="11" w:right="10" w:hanging="9"/>
              <w:spacing w:line="209" w:lineRule="auto"/>
              <w:rPr>
                <w:sz w:val="12"/>
                <w:szCs w:val="12"/>
              </w:rPr>
            </w:pPr>
            <w:r>
              <w:rPr>
                <w:sz w:val="12"/>
                <w:szCs w:val="12"/>
                <w:spacing w:val="-1"/>
              </w:rPr>
              <w:t>三.6-9月严重危害散尾葵、香梳椰、棕竹、假槟</w:t>
            </w:r>
            <w:r>
              <w:rPr>
                <w:sz w:val="12"/>
                <w:szCs w:val="12"/>
                <w:spacing w:val="17"/>
              </w:rPr>
              <w:t xml:space="preserve"> </w:t>
            </w:r>
            <w:r>
              <w:rPr>
                <w:sz w:val="12"/>
                <w:szCs w:val="12"/>
              </w:rPr>
              <w:t>椰等的叶片。</w:t>
            </w:r>
          </w:p>
        </w:tc>
        <w:tc>
          <w:tcPr>
            <w:tcW w:w="1259" w:type="dxa"/>
            <w:vAlign w:val="top"/>
            <w:tcBorders>
              <w:bottom w:val="single" w:color="000000" w:sz="2" w:space="0"/>
              <w:top w:val="single" w:color="000000" w:sz="2" w:space="0"/>
            </w:tcBorders>
          </w:tcPr>
          <w:p>
            <w:pPr>
              <w:pStyle w:val="TableText"/>
              <w:ind w:left="204"/>
              <w:spacing w:before="110" w:line="219" w:lineRule="auto"/>
              <w:rPr>
                <w:sz w:val="12"/>
                <w:szCs w:val="12"/>
              </w:rPr>
            </w:pPr>
            <w:r>
              <w:rPr>
                <w:sz w:val="12"/>
                <w:szCs w:val="12"/>
                <w:spacing w:val="3"/>
              </w:rPr>
              <w:t>速扑杀(杀扑磷)</w:t>
            </w:r>
          </w:p>
        </w:tc>
        <w:tc>
          <w:tcPr>
            <w:tcW w:w="1869" w:type="dxa"/>
            <w:vAlign w:val="top"/>
            <w:tcBorders>
              <w:bottom w:val="single" w:color="000000" w:sz="2" w:space="0"/>
              <w:top w:val="single" w:color="000000" w:sz="2" w:space="0"/>
            </w:tcBorders>
          </w:tcPr>
          <w:p>
            <w:pPr>
              <w:pStyle w:val="TableText"/>
              <w:ind w:left="504"/>
              <w:spacing w:before="110" w:line="219" w:lineRule="auto"/>
              <w:rPr>
                <w:sz w:val="12"/>
                <w:szCs w:val="12"/>
              </w:rPr>
            </w:pPr>
            <w:r>
              <w:rPr>
                <w:sz w:val="12"/>
                <w:szCs w:val="12"/>
                <w:spacing w:val="-1"/>
              </w:rPr>
              <w:t>二硫代磷酸酯类</w:t>
            </w:r>
          </w:p>
        </w:tc>
        <w:tc>
          <w:tcPr>
            <w:tcW w:w="1659" w:type="dxa"/>
            <w:vAlign w:val="top"/>
            <w:tcBorders>
              <w:bottom w:val="single" w:color="000000" w:sz="2" w:space="0"/>
              <w:top w:val="single" w:color="000000" w:sz="2" w:space="0"/>
            </w:tcBorders>
          </w:tcPr>
          <w:p>
            <w:pPr>
              <w:pStyle w:val="TableText"/>
              <w:ind w:left="255"/>
              <w:spacing w:before="110" w:line="220" w:lineRule="auto"/>
              <w:rPr>
                <w:sz w:val="12"/>
                <w:szCs w:val="12"/>
              </w:rPr>
            </w:pPr>
            <w:r>
              <w:rPr>
                <w:sz w:val="12"/>
                <w:szCs w:val="12"/>
                <w:spacing w:val="-1"/>
              </w:rPr>
              <w:t>40%乳油700-2000倍液</w:t>
            </w:r>
          </w:p>
        </w:tc>
        <w:tc>
          <w:tcPr>
            <w:tcW w:w="1299" w:type="dxa"/>
            <w:vAlign w:val="top"/>
            <w:vMerge w:val="restart"/>
            <w:tcBorders>
              <w:bottom w:val="nil"/>
              <w:top w:val="single" w:color="000000" w:sz="2" w:space="0"/>
            </w:tcBorders>
          </w:tcPr>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spacing w:before="39" w:line="200" w:lineRule="auto"/>
              <w:jc w:val="right"/>
              <w:rPr>
                <w:sz w:val="12"/>
                <w:szCs w:val="12"/>
              </w:rPr>
            </w:pPr>
            <w:r>
              <w:rPr>
                <w:sz w:val="12"/>
                <w:szCs w:val="12"/>
                <w:spacing w:val="-4"/>
              </w:rPr>
              <w:t>一般用3次，时间间隔7到</w:t>
            </w:r>
          </w:p>
          <w:p>
            <w:pPr>
              <w:pStyle w:val="TableText"/>
              <w:spacing w:line="214" w:lineRule="auto"/>
              <w:jc w:val="right"/>
              <w:rPr>
                <w:sz w:val="12"/>
                <w:szCs w:val="12"/>
              </w:rPr>
            </w:pPr>
            <w:r>
              <w:rPr>
                <w:sz w:val="12"/>
                <w:szCs w:val="12"/>
                <w:spacing w:val="-4"/>
              </w:rPr>
              <w:t>10天，视现场情况可增加</w:t>
            </w:r>
          </w:p>
          <w:p>
            <w:pPr>
              <w:pStyle w:val="TableText"/>
              <w:ind w:left="527"/>
              <w:spacing w:line="219" w:lineRule="auto"/>
              <w:rPr>
                <w:sz w:val="12"/>
                <w:szCs w:val="12"/>
              </w:rPr>
            </w:pPr>
            <w:r>
              <w:rPr>
                <w:sz w:val="12"/>
                <w:szCs w:val="12"/>
                <w:spacing w:val="-2"/>
              </w:rPr>
              <w:t>次数</w:t>
            </w:r>
          </w:p>
        </w:tc>
        <w:tc>
          <w:tcPr>
            <w:tcW w:w="829" w:type="dxa"/>
            <w:vAlign w:val="top"/>
            <w:tcBorders>
              <w:bottom w:val="single" w:color="000000" w:sz="2" w:space="0"/>
              <w:top w:val="single" w:color="000000" w:sz="2" w:space="0"/>
            </w:tcBorders>
          </w:tcPr>
          <w:p>
            <w:pPr>
              <w:pStyle w:val="TableText"/>
              <w:ind w:left="227"/>
              <w:spacing w:before="113" w:line="224" w:lineRule="auto"/>
              <w:rPr>
                <w:sz w:val="12"/>
                <w:szCs w:val="12"/>
              </w:rPr>
            </w:pPr>
            <w:r>
              <w:rPr>
                <w:sz w:val="12"/>
                <w:szCs w:val="12"/>
                <w:spacing w:val="-2"/>
              </w:rPr>
              <w:t>300-1/</w:t>
            </w:r>
          </w:p>
        </w:tc>
        <w:tc>
          <w:tcPr>
            <w:tcW w:w="2774" w:type="dxa"/>
            <w:vAlign w:val="top"/>
            <w:tcBorders>
              <w:bottom w:val="single" w:color="000000" w:sz="2" w:space="0"/>
              <w:top w:val="single" w:color="000000" w:sz="2" w:space="0"/>
            </w:tcBorders>
          </w:tcPr>
          <w:p>
            <w:pPr>
              <w:pStyle w:val="TableText"/>
              <w:ind w:left="19"/>
              <w:spacing w:before="39" w:line="209" w:lineRule="auto"/>
              <w:rPr>
                <w:sz w:val="12"/>
                <w:szCs w:val="12"/>
              </w:rPr>
            </w:pPr>
            <w:r>
              <w:rPr>
                <w:sz w:val="12"/>
                <w:szCs w:val="12"/>
                <w:spacing w:val="-1"/>
              </w:rPr>
              <w:t>结蚧盛发期为地药适期，防治蜡蚧类喷施700-1500倍</w:t>
            </w:r>
            <w:r>
              <w:rPr>
                <w:sz w:val="12"/>
                <w:szCs w:val="12"/>
                <w:spacing w:val="10"/>
              </w:rPr>
              <w:t xml:space="preserve"> </w:t>
            </w:r>
            <w:r>
              <w:rPr>
                <w:sz w:val="12"/>
                <w:szCs w:val="12"/>
                <w:spacing w:val="-1"/>
              </w:rPr>
              <w:t>液；防治盾蚧类喷施1500-2000倍液</w:t>
            </w:r>
          </w:p>
        </w:tc>
      </w:tr>
      <w:tr>
        <w:trPr>
          <w:trHeight w:val="50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174"/>
              <w:spacing w:before="191" w:line="221" w:lineRule="auto"/>
              <w:rPr>
                <w:sz w:val="12"/>
                <w:szCs w:val="12"/>
              </w:rPr>
            </w:pPr>
            <w:r>
              <w:rPr>
                <w:sz w:val="12"/>
                <w:szCs w:val="12"/>
                <w:spacing w:val="-1"/>
              </w:rPr>
              <w:t>99.15敌死虫乳油</w:t>
            </w:r>
          </w:p>
        </w:tc>
        <w:tc>
          <w:tcPr>
            <w:tcW w:w="1869" w:type="dxa"/>
            <w:vAlign w:val="top"/>
            <w:tcBorders>
              <w:bottom w:val="single" w:color="000000" w:sz="2" w:space="0"/>
              <w:top w:val="single" w:color="000000" w:sz="2" w:space="0"/>
            </w:tcBorders>
          </w:tcPr>
          <w:p>
            <w:pPr>
              <w:pStyle w:val="TableText"/>
              <w:ind w:left="145"/>
              <w:spacing w:before="190" w:line="218" w:lineRule="auto"/>
              <w:rPr>
                <w:sz w:val="12"/>
                <w:szCs w:val="12"/>
              </w:rPr>
            </w:pPr>
            <w:r>
              <w:rPr>
                <w:sz w:val="12"/>
                <w:szCs w:val="12"/>
                <w:spacing w:val="-1"/>
              </w:rPr>
              <w:t>高烷类、低芳香族矿物油乳剂</w:t>
            </w:r>
          </w:p>
        </w:tc>
        <w:tc>
          <w:tcPr>
            <w:tcW w:w="1659" w:type="dxa"/>
            <w:vAlign w:val="top"/>
            <w:tcBorders>
              <w:bottom w:val="single" w:color="000000" w:sz="2" w:space="0"/>
              <w:top w:val="single" w:color="000000" w:sz="2" w:space="0"/>
            </w:tcBorders>
          </w:tcPr>
          <w:p>
            <w:pPr>
              <w:pStyle w:val="TableText"/>
              <w:ind w:left="556"/>
              <w:spacing w:before="190" w:line="220" w:lineRule="auto"/>
              <w:rPr>
                <w:sz w:val="12"/>
                <w:szCs w:val="12"/>
              </w:rPr>
            </w:pPr>
            <w:r>
              <w:rPr>
                <w:sz w:val="12"/>
                <w:szCs w:val="12"/>
                <w:spacing w:val="-1"/>
              </w:rPr>
              <w:t>200-300倍</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68"/>
              <w:spacing w:before="190" w:line="220" w:lineRule="auto"/>
              <w:rPr>
                <w:sz w:val="12"/>
                <w:szCs w:val="12"/>
              </w:rPr>
            </w:pPr>
            <w:r>
              <w:rPr>
                <w:sz w:val="12"/>
                <w:szCs w:val="12"/>
                <w:spacing w:val="-1"/>
              </w:rPr>
              <w:t>300ml/版</w:t>
            </w:r>
          </w:p>
        </w:tc>
        <w:tc>
          <w:tcPr>
            <w:tcW w:w="2774" w:type="dxa"/>
            <w:vAlign w:val="top"/>
            <w:tcBorders>
              <w:bottom w:val="single" w:color="000000" w:sz="2" w:space="0"/>
              <w:top w:val="single" w:color="000000" w:sz="2" w:space="0"/>
            </w:tcBorders>
          </w:tcPr>
          <w:p>
            <w:pPr>
              <w:pStyle w:val="TableText"/>
              <w:ind w:left="19" w:right="7"/>
              <w:spacing w:before="71" w:line="206" w:lineRule="auto"/>
              <w:jc w:val="both"/>
              <w:rPr>
                <w:sz w:val="12"/>
                <w:szCs w:val="12"/>
              </w:rPr>
            </w:pPr>
            <w:r>
              <w:rPr>
                <w:sz w:val="12"/>
                <w:szCs w:val="12"/>
                <w:spacing w:val="-6"/>
              </w:rPr>
              <w:t>可用于防治二斑叶蜗、红叶弱、圆蛛、日本龟蜡</w:t>
            </w:r>
            <w:r>
              <w:rPr>
                <w:sz w:val="12"/>
                <w:szCs w:val="12"/>
                <w:spacing w:val="-7"/>
              </w:rPr>
              <w:t>蚧、球</w:t>
            </w:r>
            <w:r>
              <w:rPr>
                <w:sz w:val="12"/>
                <w:szCs w:val="12"/>
              </w:rPr>
              <w:t xml:space="preserve"> </w:t>
            </w:r>
            <w:r>
              <w:rPr>
                <w:sz w:val="12"/>
                <w:szCs w:val="12"/>
                <w:spacing w:val="-6"/>
              </w:rPr>
              <w:t>坚吹相蚧、红图蚧、木翼、粉弘等多种害虫，该药剂低</w:t>
            </w:r>
            <w:r>
              <w:rPr>
                <w:sz w:val="12"/>
                <w:szCs w:val="12"/>
              </w:rPr>
              <w:t xml:space="preserve"> </w:t>
            </w:r>
            <w:r>
              <w:rPr>
                <w:sz w:val="12"/>
                <w:szCs w:val="12"/>
                <w:spacing w:val="-1"/>
              </w:rPr>
              <w:t>毒，对人、畜低毒：对重蜂、鸟类都较安全</w:t>
            </w:r>
          </w:p>
        </w:tc>
      </w:tr>
      <w:tr>
        <w:trPr>
          <w:trHeight w:val="32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23"/>
              <w:spacing w:before="101" w:line="220" w:lineRule="auto"/>
              <w:rPr>
                <w:sz w:val="12"/>
                <w:szCs w:val="12"/>
              </w:rPr>
            </w:pPr>
            <w:r>
              <w:rPr>
                <w:sz w:val="12"/>
                <w:szCs w:val="12"/>
                <w:spacing w:val="1"/>
              </w:rPr>
              <w:t>中威捕捉手</w:t>
            </w:r>
          </w:p>
        </w:tc>
        <w:tc>
          <w:tcPr>
            <w:tcW w:w="1869" w:type="dxa"/>
            <w:vAlign w:val="top"/>
            <w:tcBorders>
              <w:bottom w:val="single" w:color="000000" w:sz="2" w:space="0"/>
              <w:top w:val="single" w:color="000000" w:sz="2" w:space="0"/>
            </w:tcBorders>
          </w:tcPr>
          <w:p>
            <w:pPr>
              <w:pStyle w:val="TableText"/>
              <w:ind w:left="475"/>
              <w:spacing w:before="100" w:line="218" w:lineRule="auto"/>
              <w:rPr>
                <w:sz w:val="12"/>
                <w:szCs w:val="12"/>
              </w:rPr>
            </w:pPr>
            <w:r>
              <w:rPr>
                <w:sz w:val="12"/>
                <w:szCs w:val="12"/>
                <w:spacing w:val="-6"/>
              </w:rPr>
              <w:t>高氧</w:t>
            </w:r>
            <w:r>
              <w:rPr>
                <w:sz w:val="12"/>
                <w:szCs w:val="12"/>
                <w:spacing w:val="-15"/>
              </w:rPr>
              <w:t xml:space="preserve"> </w:t>
            </w:r>
            <w:r>
              <w:rPr>
                <w:sz w:val="12"/>
                <w:szCs w:val="12"/>
                <w:spacing w:val="-6"/>
              </w:rPr>
              <w:t>·毒死蝉15%</w:t>
            </w:r>
          </w:p>
        </w:tc>
        <w:tc>
          <w:tcPr>
            <w:tcW w:w="1659" w:type="dxa"/>
            <w:vAlign w:val="top"/>
            <w:tcBorders>
              <w:bottom w:val="single" w:color="000000" w:sz="2" w:space="0"/>
              <w:top w:val="single" w:color="000000" w:sz="2" w:space="0"/>
            </w:tcBorders>
          </w:tcPr>
          <w:p>
            <w:pPr>
              <w:pStyle w:val="TableText"/>
              <w:ind w:left="436"/>
              <w:spacing w:before="101" w:line="220" w:lineRule="auto"/>
              <w:rPr>
                <w:sz w:val="12"/>
                <w:szCs w:val="12"/>
              </w:rPr>
            </w:pPr>
            <w:r>
              <w:rPr>
                <w:sz w:val="12"/>
                <w:szCs w:val="12"/>
                <w:spacing w:val="-2"/>
              </w:rPr>
              <w:t>1000-1500倍液</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68"/>
              <w:spacing w:before="101" w:line="221" w:lineRule="auto"/>
              <w:rPr>
                <w:sz w:val="12"/>
                <w:szCs w:val="12"/>
              </w:rPr>
            </w:pPr>
            <w:r>
              <w:rPr>
                <w:sz w:val="12"/>
                <w:szCs w:val="12"/>
                <w:spacing w:val="-1"/>
              </w:rPr>
              <w:t>200ml/瓶</w:t>
            </w:r>
          </w:p>
        </w:tc>
        <w:tc>
          <w:tcPr>
            <w:tcW w:w="2774" w:type="dxa"/>
            <w:vAlign w:val="top"/>
            <w:tcBorders>
              <w:bottom w:val="single" w:color="000000" w:sz="2" w:space="0"/>
              <w:top w:val="single" w:color="000000" w:sz="2" w:space="0"/>
            </w:tcBorders>
          </w:tcPr>
          <w:p>
            <w:pPr>
              <w:pStyle w:val="TableText"/>
              <w:ind w:left="19"/>
              <w:spacing w:before="101" w:line="219" w:lineRule="auto"/>
              <w:rPr>
                <w:sz w:val="12"/>
                <w:szCs w:val="12"/>
              </w:rPr>
            </w:pPr>
            <w:r>
              <w:rPr>
                <w:sz w:val="12"/>
                <w:szCs w:val="12"/>
                <w:spacing w:val="-1"/>
              </w:rPr>
              <w:t>主要防治鱿壳虫、斑潜蝇及鳞翅日幼虫、飞烈等</w:t>
            </w:r>
          </w:p>
        </w:tc>
      </w:tr>
      <w:tr>
        <w:trPr>
          <w:trHeight w:val="365"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3"/>
              <w:spacing w:before="121" w:line="218" w:lineRule="auto"/>
              <w:rPr>
                <w:sz w:val="12"/>
                <w:szCs w:val="12"/>
              </w:rPr>
            </w:pPr>
            <w:r>
              <w:rPr>
                <w:sz w:val="12"/>
                <w:szCs w:val="12"/>
                <w:spacing w:val="-1"/>
              </w:rPr>
              <w:t>诺普信速介清</w:t>
            </w:r>
          </w:p>
        </w:tc>
        <w:tc>
          <w:tcPr>
            <w:tcW w:w="1869" w:type="dxa"/>
            <w:vAlign w:val="top"/>
            <w:tcBorders>
              <w:bottom w:val="single" w:color="000000" w:sz="2" w:space="0"/>
              <w:top w:val="single" w:color="000000" w:sz="2" w:space="0"/>
            </w:tcBorders>
          </w:tcPr>
          <w:p>
            <w:pPr>
              <w:pStyle w:val="TableText"/>
              <w:ind w:left="654"/>
              <w:spacing w:before="121" w:line="219" w:lineRule="auto"/>
              <w:rPr>
                <w:sz w:val="12"/>
                <w:szCs w:val="12"/>
              </w:rPr>
            </w:pPr>
            <w:r>
              <w:rPr>
                <w:sz w:val="12"/>
                <w:szCs w:val="12"/>
                <w:spacing w:val="-2"/>
              </w:rPr>
              <w:t>杀扑磷40%</w:t>
            </w:r>
          </w:p>
        </w:tc>
        <w:tc>
          <w:tcPr>
            <w:tcW w:w="1659" w:type="dxa"/>
            <w:vAlign w:val="top"/>
            <w:tcBorders>
              <w:bottom w:val="single" w:color="000000" w:sz="2" w:space="0"/>
              <w:top w:val="single" w:color="000000" w:sz="2" w:space="0"/>
            </w:tcBorders>
          </w:tcPr>
          <w:p>
            <w:pPr>
              <w:pStyle w:val="TableText"/>
              <w:ind w:left="496"/>
              <w:spacing w:before="122" w:line="220" w:lineRule="auto"/>
              <w:rPr>
                <w:sz w:val="12"/>
                <w:szCs w:val="12"/>
              </w:rPr>
            </w:pPr>
            <w:r>
              <w:rPr>
                <w:sz w:val="12"/>
                <w:szCs w:val="12"/>
                <w:spacing w:val="-2"/>
              </w:rPr>
              <w:t>1000-1500倍</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68"/>
              <w:spacing w:before="125" w:line="224" w:lineRule="auto"/>
              <w:rPr>
                <w:sz w:val="12"/>
                <w:szCs w:val="12"/>
              </w:rPr>
            </w:pPr>
            <w:r>
              <w:rPr>
                <w:sz w:val="12"/>
                <w:szCs w:val="12"/>
                <w:spacing w:val="-2"/>
              </w:rPr>
              <w:t>1000ml/B</w:t>
            </w:r>
          </w:p>
        </w:tc>
        <w:tc>
          <w:tcPr>
            <w:tcW w:w="2774" w:type="dxa"/>
            <w:vAlign w:val="top"/>
            <w:tcBorders>
              <w:bottom w:val="single" w:color="000000" w:sz="2" w:space="0"/>
              <w:top w:val="single" w:color="000000" w:sz="2" w:space="0"/>
            </w:tcBorders>
          </w:tcPr>
          <w:p>
            <w:pPr>
              <w:pStyle w:val="TableText"/>
              <w:ind w:left="19"/>
              <w:spacing w:before="121" w:line="218" w:lineRule="auto"/>
              <w:rPr>
                <w:sz w:val="12"/>
                <w:szCs w:val="12"/>
              </w:rPr>
            </w:pPr>
            <w:r>
              <w:rPr>
                <w:sz w:val="12"/>
                <w:szCs w:val="12"/>
                <w:spacing w:val="-1"/>
              </w:rPr>
              <w:t>杀灭介壳虫，括性高</w:t>
            </w:r>
          </w:p>
        </w:tc>
      </w:tr>
      <w:tr>
        <w:trPr>
          <w:trHeight w:val="67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rPr>
                <w:rFonts w:ascii="Arial"/>
                <w:sz w:val="21"/>
              </w:rPr>
            </w:pPr>
            <w:r/>
          </w:p>
          <w:p>
            <w:pPr>
              <w:pStyle w:val="TableText"/>
              <w:ind w:left="383"/>
              <w:spacing w:before="39" w:line="219" w:lineRule="auto"/>
              <w:rPr>
                <w:sz w:val="12"/>
                <w:szCs w:val="12"/>
              </w:rPr>
            </w:pPr>
            <w:r>
              <w:rPr>
                <w:sz w:val="12"/>
                <w:szCs w:val="12"/>
                <w:spacing w:val="2"/>
              </w:rPr>
              <w:t>国光必治</w:t>
            </w:r>
          </w:p>
        </w:tc>
        <w:tc>
          <w:tcPr>
            <w:tcW w:w="1869" w:type="dxa"/>
            <w:vAlign w:val="top"/>
            <w:tcBorders>
              <w:bottom w:val="single" w:color="000000" w:sz="2" w:space="0"/>
              <w:top w:val="single" w:color="000000" w:sz="2" w:space="0"/>
            </w:tcBorders>
          </w:tcPr>
          <w:p>
            <w:pPr>
              <w:rPr>
                <w:rFonts w:ascii="Arial"/>
                <w:sz w:val="21"/>
              </w:rPr>
            </w:pPr>
            <w:r/>
          </w:p>
          <w:p>
            <w:pPr>
              <w:pStyle w:val="TableText"/>
              <w:ind w:left="295"/>
              <w:spacing w:before="39" w:line="219" w:lineRule="auto"/>
              <w:rPr>
                <w:sz w:val="12"/>
                <w:szCs w:val="12"/>
              </w:rPr>
            </w:pPr>
            <w:r>
              <w:rPr>
                <w:sz w:val="12"/>
                <w:szCs w:val="12"/>
                <w:spacing w:val="-5"/>
              </w:rPr>
              <w:t>40%唉虫腺</w:t>
            </w:r>
            <w:r>
              <w:rPr>
                <w:sz w:val="12"/>
                <w:szCs w:val="12"/>
                <w:spacing w:val="-6"/>
              </w:rPr>
              <w:t xml:space="preserve"> </w:t>
            </w:r>
            <w:r>
              <w:rPr>
                <w:sz w:val="12"/>
                <w:szCs w:val="12"/>
                <w:spacing w:val="-5"/>
              </w:rPr>
              <w:t>·毒死帅乳油</w:t>
            </w:r>
          </w:p>
        </w:tc>
        <w:tc>
          <w:tcPr>
            <w:tcW w:w="1659" w:type="dxa"/>
            <w:vAlign w:val="top"/>
            <w:tcBorders>
              <w:bottom w:val="single" w:color="000000" w:sz="2" w:space="0"/>
              <w:top w:val="single" w:color="000000" w:sz="2" w:space="0"/>
            </w:tcBorders>
          </w:tcPr>
          <w:p>
            <w:pPr>
              <w:rPr>
                <w:rFonts w:ascii="Arial"/>
                <w:sz w:val="21"/>
              </w:rPr>
            </w:pPr>
            <w:r/>
          </w:p>
          <w:p>
            <w:pPr>
              <w:pStyle w:val="TableText"/>
              <w:ind w:left="346"/>
              <w:spacing w:before="39" w:line="219" w:lineRule="auto"/>
              <w:rPr>
                <w:sz w:val="12"/>
                <w:szCs w:val="12"/>
              </w:rPr>
            </w:pPr>
            <w:r>
              <w:rPr>
                <w:sz w:val="12"/>
                <w:szCs w:val="12"/>
                <w:spacing w:val="-1"/>
              </w:rPr>
              <w:t>稀释100-1500倍液</w:t>
            </w:r>
          </w:p>
        </w:tc>
        <w:tc>
          <w:tcPr>
            <w:tcW w:w="1299" w:type="dxa"/>
            <w:vAlign w:val="top"/>
            <w:vMerge w:val="continue"/>
            <w:tcBorders>
              <w:bottom w:val="single" w:color="000000" w:sz="2" w:space="0"/>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98"/>
              <w:spacing w:before="277" w:line="213" w:lineRule="auto"/>
              <w:rPr>
                <w:sz w:val="12"/>
                <w:szCs w:val="12"/>
              </w:rPr>
            </w:pPr>
            <w:r>
              <w:rPr>
                <w:sz w:val="12"/>
                <w:szCs w:val="12"/>
                <w:spacing w:val="-1"/>
              </w:rPr>
              <w:t>200g/瓶</w:t>
            </w:r>
          </w:p>
        </w:tc>
        <w:tc>
          <w:tcPr>
            <w:tcW w:w="2774" w:type="dxa"/>
            <w:vAlign w:val="top"/>
            <w:tcBorders>
              <w:bottom w:val="single" w:color="000000" w:sz="2" w:space="0"/>
              <w:top w:val="single" w:color="000000" w:sz="2" w:space="0"/>
            </w:tcBorders>
          </w:tcPr>
          <w:p>
            <w:pPr>
              <w:rPr>
                <w:rFonts w:ascii="Arial"/>
                <w:sz w:val="21"/>
              </w:rPr>
            </w:pPr>
            <w:r/>
          </w:p>
          <w:p>
            <w:pPr>
              <w:pStyle w:val="TableText"/>
              <w:ind w:left="19"/>
              <w:spacing w:before="39" w:line="218" w:lineRule="auto"/>
              <w:rPr>
                <w:sz w:val="12"/>
                <w:szCs w:val="12"/>
              </w:rPr>
            </w:pPr>
            <w:r>
              <w:rPr>
                <w:sz w:val="12"/>
                <w:szCs w:val="12"/>
                <w:spacing w:val="-1"/>
              </w:rPr>
              <w:t>专杀介壳虫，食叶类害虫，地下害虫</w:t>
            </w:r>
          </w:p>
        </w:tc>
      </w:tr>
      <w:tr>
        <w:trPr>
          <w:trHeight w:val="67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restart"/>
            <w:tcBorders>
              <w:bottom w:val="nil"/>
              <w:top w:val="single" w:color="000000" w:sz="2" w:space="0"/>
            </w:tcBorders>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ind w:left="21"/>
              <w:spacing w:before="39" w:line="200" w:lineRule="auto"/>
              <w:rPr>
                <w:sz w:val="12"/>
                <w:szCs w:val="12"/>
              </w:rPr>
            </w:pPr>
            <w:r>
              <w:rPr>
                <w:sz w:val="12"/>
                <w:szCs w:val="12"/>
                <w:spacing w:val="-1"/>
              </w:rPr>
              <w:t>芒果瘦纹、蚜虫</w:t>
            </w:r>
          </w:p>
          <w:p>
            <w:pPr>
              <w:pStyle w:val="TableText"/>
              <w:spacing w:line="219" w:lineRule="auto"/>
              <w:jc w:val="right"/>
              <w:rPr>
                <w:sz w:val="12"/>
                <w:szCs w:val="12"/>
              </w:rPr>
            </w:pPr>
            <w:r>
              <w:rPr>
                <w:sz w:val="12"/>
                <w:szCs w:val="12"/>
                <w:spacing w:val="3"/>
              </w:rPr>
              <w:t>、木鳳、粉鳳、</w:t>
            </w:r>
          </w:p>
          <w:p>
            <w:pPr>
              <w:pStyle w:val="TableText"/>
              <w:ind w:left="21"/>
              <w:spacing w:before="7" w:line="197" w:lineRule="auto"/>
              <w:rPr>
                <w:sz w:val="12"/>
                <w:szCs w:val="12"/>
              </w:rPr>
            </w:pPr>
            <w:r>
              <w:rPr>
                <w:sz w:val="12"/>
                <w:szCs w:val="12"/>
                <w:spacing w:val="-2"/>
              </w:rPr>
              <w:t>叶蜗类、叶鲜类</w:t>
            </w:r>
          </w:p>
          <w:p>
            <w:pPr>
              <w:pStyle w:val="TableText"/>
              <w:ind w:left="231"/>
              <w:spacing w:line="216" w:lineRule="auto"/>
              <w:rPr>
                <w:sz w:val="12"/>
                <w:szCs w:val="12"/>
              </w:rPr>
            </w:pPr>
            <w:r>
              <w:rPr>
                <w:sz w:val="12"/>
                <w:szCs w:val="12"/>
                <w:spacing w:val="-2"/>
              </w:rPr>
              <w:t>,前马类</w:t>
            </w:r>
          </w:p>
        </w:tc>
        <w:tc>
          <w:tcPr>
            <w:tcW w:w="2538" w:type="dxa"/>
            <w:vAlign w:val="top"/>
            <w:vMerge w:val="restart"/>
            <w:tcBorders>
              <w:bottom w:val="nil"/>
              <w:top w:val="single" w:color="000000" w:sz="2" w:space="0"/>
            </w:tcBorders>
          </w:tcPr>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 w:right="5"/>
              <w:spacing w:before="39" w:line="215" w:lineRule="auto"/>
              <w:rPr>
                <w:sz w:val="12"/>
                <w:szCs w:val="12"/>
              </w:rPr>
            </w:pPr>
            <w:r>
              <w:rPr>
                <w:sz w:val="12"/>
                <w:szCs w:val="12"/>
                <w:spacing w:val="-6"/>
              </w:rPr>
              <w:t>一，3至4月：芒果痴蚊，木至类，蚜虫类、叶蜻类</w:t>
            </w:r>
            <w:r>
              <w:rPr>
                <w:sz w:val="12"/>
                <w:szCs w:val="12"/>
                <w:spacing w:val="16"/>
                <w:w w:val="101"/>
              </w:rPr>
              <w:t xml:space="preserve"> </w:t>
            </w:r>
            <w:r>
              <w:rPr>
                <w:sz w:val="12"/>
                <w:szCs w:val="12"/>
              </w:rPr>
              <w:t>等已经开始活跃，对植物产生危害：</w:t>
            </w:r>
          </w:p>
          <w:p>
            <w:pPr>
              <w:pStyle w:val="TableText"/>
              <w:ind w:left="2"/>
              <w:spacing w:line="214" w:lineRule="auto"/>
              <w:rPr>
                <w:sz w:val="12"/>
                <w:szCs w:val="12"/>
              </w:rPr>
            </w:pPr>
            <w:r>
              <w:rPr>
                <w:sz w:val="12"/>
                <w:szCs w:val="12"/>
                <w:spacing w:val="2"/>
              </w:rPr>
              <w:t>三、5-11月均有叶蝉美、荫马类、蚜虫色害；</w:t>
            </w:r>
          </w:p>
          <w:p>
            <w:pPr>
              <w:pStyle w:val="TableText"/>
              <w:ind w:left="2" w:right="1" w:firstLine="9"/>
              <w:spacing w:line="209" w:lineRule="auto"/>
              <w:rPr>
                <w:sz w:val="12"/>
                <w:szCs w:val="12"/>
              </w:rPr>
            </w:pPr>
            <w:r>
              <w:rPr>
                <w:sz w:val="12"/>
                <w:szCs w:val="12"/>
                <w:spacing w:val="-6"/>
              </w:rPr>
              <w:t>三、8-12月是红缩蛛危害树木最严重的时期，榕树</w:t>
            </w:r>
            <w:r>
              <w:rPr>
                <w:sz w:val="12"/>
                <w:szCs w:val="12"/>
                <w:spacing w:val="17"/>
              </w:rPr>
              <w:t xml:space="preserve"> </w:t>
            </w:r>
            <w:r>
              <w:rPr>
                <w:sz w:val="12"/>
                <w:szCs w:val="12"/>
              </w:rPr>
              <w:t>、竹子，桃树、刺桐等易受红蜘蛛的危害。</w:t>
            </w:r>
          </w:p>
        </w:tc>
        <w:tc>
          <w:tcPr>
            <w:tcW w:w="1259" w:type="dxa"/>
            <w:vAlign w:val="top"/>
            <w:tcBorders>
              <w:bottom w:val="single" w:color="000000" w:sz="2" w:space="0"/>
              <w:top w:val="single" w:color="000000" w:sz="2" w:space="0"/>
            </w:tcBorders>
          </w:tcPr>
          <w:p>
            <w:pPr>
              <w:rPr>
                <w:rFonts w:ascii="Arial"/>
                <w:sz w:val="21"/>
              </w:rPr>
            </w:pPr>
            <w:r/>
          </w:p>
          <w:p>
            <w:pPr>
              <w:pStyle w:val="TableText"/>
              <w:ind w:left="444"/>
              <w:spacing w:before="39" w:line="219" w:lineRule="auto"/>
              <w:rPr>
                <w:sz w:val="12"/>
                <w:szCs w:val="12"/>
              </w:rPr>
            </w:pPr>
            <w:r>
              <w:rPr>
                <w:sz w:val="12"/>
                <w:szCs w:val="12"/>
                <w:spacing w:val="-2"/>
              </w:rPr>
              <w:t>克瞒特</w:t>
            </w:r>
          </w:p>
        </w:tc>
        <w:tc>
          <w:tcPr>
            <w:tcW w:w="1869" w:type="dxa"/>
            <w:vAlign w:val="top"/>
            <w:tcBorders>
              <w:bottom w:val="single" w:color="000000" w:sz="2" w:space="0"/>
              <w:top w:val="single" w:color="000000" w:sz="2" w:space="0"/>
            </w:tcBorders>
          </w:tcPr>
          <w:p>
            <w:pPr>
              <w:rPr>
                <w:rFonts w:ascii="Arial"/>
                <w:sz w:val="21"/>
              </w:rPr>
            </w:pPr>
            <w:r/>
          </w:p>
          <w:p>
            <w:pPr>
              <w:pStyle w:val="TableText"/>
              <w:ind w:left="534"/>
              <w:spacing w:before="39" w:line="219" w:lineRule="auto"/>
              <w:rPr>
                <w:sz w:val="12"/>
                <w:szCs w:val="12"/>
              </w:rPr>
            </w:pPr>
            <w:r>
              <w:rPr>
                <w:sz w:val="12"/>
                <w:szCs w:val="12"/>
                <w:spacing w:val="-1"/>
              </w:rPr>
              <w:t>40%克羁特原药</w:t>
            </w:r>
          </w:p>
        </w:tc>
        <w:tc>
          <w:tcPr>
            <w:tcW w:w="1659" w:type="dxa"/>
            <w:vAlign w:val="top"/>
            <w:tcBorders>
              <w:bottom w:val="single" w:color="000000" w:sz="2" w:space="0"/>
              <w:top w:val="single" w:color="000000" w:sz="2" w:space="0"/>
            </w:tcBorders>
          </w:tcPr>
          <w:p>
            <w:pPr>
              <w:rPr>
                <w:rFonts w:ascii="Arial"/>
                <w:sz w:val="21"/>
              </w:rPr>
            </w:pPr>
            <w:r/>
          </w:p>
          <w:p>
            <w:pPr>
              <w:pStyle w:val="TableText"/>
              <w:ind w:left="316"/>
              <w:spacing w:before="39" w:line="219" w:lineRule="auto"/>
              <w:rPr>
                <w:sz w:val="12"/>
                <w:szCs w:val="12"/>
              </w:rPr>
            </w:pPr>
            <w:r>
              <w:rPr>
                <w:sz w:val="12"/>
                <w:szCs w:val="12"/>
                <w:spacing w:val="-1"/>
              </w:rPr>
              <w:t>稀释1000-1200倍液</w:t>
            </w:r>
          </w:p>
        </w:tc>
        <w:tc>
          <w:tcPr>
            <w:tcW w:w="1299" w:type="dxa"/>
            <w:vAlign w:val="top"/>
            <w:vMerge w:val="restart"/>
            <w:tcBorders>
              <w:bottom w:val="nil"/>
              <w:top w:val="single" w:color="000000" w:sz="2" w:space="0"/>
            </w:tcBorders>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spacing w:before="39" w:line="219" w:lineRule="auto"/>
              <w:jc w:val="right"/>
              <w:rPr>
                <w:sz w:val="12"/>
                <w:szCs w:val="12"/>
              </w:rPr>
            </w:pPr>
            <w:r>
              <w:rPr>
                <w:sz w:val="12"/>
                <w:szCs w:val="12"/>
                <w:spacing w:val="-4"/>
              </w:rPr>
              <w:t>一般用3次，时间间隔7到</w:t>
            </w:r>
          </w:p>
          <w:p>
            <w:pPr>
              <w:pStyle w:val="TableText"/>
              <w:spacing w:before="7" w:line="199" w:lineRule="auto"/>
              <w:jc w:val="right"/>
              <w:rPr>
                <w:sz w:val="12"/>
                <w:szCs w:val="12"/>
              </w:rPr>
            </w:pPr>
            <w:r>
              <w:rPr>
                <w:sz w:val="12"/>
                <w:szCs w:val="12"/>
                <w:spacing w:val="-4"/>
              </w:rPr>
              <w:t>10天，视现场情况可增加</w:t>
            </w:r>
          </w:p>
          <w:p>
            <w:pPr>
              <w:pStyle w:val="TableText"/>
              <w:ind w:left="527"/>
              <w:spacing w:line="219" w:lineRule="auto"/>
              <w:rPr>
                <w:sz w:val="12"/>
                <w:szCs w:val="12"/>
              </w:rPr>
            </w:pPr>
            <w:r>
              <w:rPr>
                <w:sz w:val="12"/>
                <w:szCs w:val="12"/>
                <w:spacing w:val="-2"/>
              </w:rPr>
              <w:t>次数</w:t>
            </w:r>
          </w:p>
        </w:tc>
        <w:tc>
          <w:tcPr>
            <w:tcW w:w="829" w:type="dxa"/>
            <w:vAlign w:val="top"/>
            <w:tcBorders>
              <w:bottom w:val="single" w:color="000000" w:sz="2" w:space="0"/>
              <w:top w:val="single" w:color="000000" w:sz="2" w:space="0"/>
            </w:tcBorders>
          </w:tcPr>
          <w:p>
            <w:pPr>
              <w:pStyle w:val="TableText"/>
              <w:ind w:left="198"/>
              <w:spacing w:before="277" w:line="213" w:lineRule="auto"/>
              <w:rPr>
                <w:sz w:val="12"/>
                <w:szCs w:val="12"/>
              </w:rPr>
            </w:pPr>
            <w:r>
              <w:rPr>
                <w:sz w:val="12"/>
                <w:szCs w:val="12"/>
                <w:spacing w:val="-1"/>
              </w:rPr>
              <w:t>200g/瓶</w:t>
            </w:r>
          </w:p>
        </w:tc>
        <w:tc>
          <w:tcPr>
            <w:tcW w:w="2774" w:type="dxa"/>
            <w:vAlign w:val="top"/>
            <w:tcBorders>
              <w:bottom w:val="single" w:color="000000" w:sz="2" w:space="0"/>
              <w:top w:val="single" w:color="000000" w:sz="2" w:space="0"/>
            </w:tcBorders>
          </w:tcPr>
          <w:p>
            <w:pPr>
              <w:pStyle w:val="TableText"/>
              <w:ind w:left="19" w:right="7"/>
              <w:spacing w:before="201" w:line="232" w:lineRule="auto"/>
              <w:rPr>
                <w:sz w:val="12"/>
                <w:szCs w:val="12"/>
              </w:rPr>
            </w:pPr>
            <w:r>
              <w:rPr>
                <w:sz w:val="12"/>
                <w:szCs w:val="12"/>
                <w:spacing w:val="-6"/>
              </w:rPr>
              <w:t>高效低毒，无内吸性。低残留，具有触杀和胃毒双重怍</w:t>
            </w:r>
            <w:r>
              <w:rPr>
                <w:sz w:val="12"/>
                <w:szCs w:val="12"/>
              </w:rPr>
              <w:t xml:space="preserve"> </w:t>
            </w:r>
            <w:r>
              <w:rPr>
                <w:sz w:val="12"/>
                <w:szCs w:val="12"/>
                <w:spacing w:val="-1"/>
              </w:rPr>
              <w:t>用的有机硫广谱杀蜻剂</w:t>
            </w:r>
          </w:p>
        </w:tc>
      </w:tr>
      <w:tr>
        <w:trPr>
          <w:trHeight w:val="36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21" w:line="219" w:lineRule="auto"/>
              <w:rPr>
                <w:sz w:val="12"/>
                <w:szCs w:val="12"/>
              </w:rPr>
            </w:pPr>
            <w:r>
              <w:rPr>
                <w:sz w:val="12"/>
                <w:szCs w:val="12"/>
                <w:spacing w:val="1"/>
              </w:rPr>
              <w:t>国光徒克</w:t>
            </w:r>
          </w:p>
        </w:tc>
        <w:tc>
          <w:tcPr>
            <w:tcW w:w="1869" w:type="dxa"/>
            <w:vAlign w:val="top"/>
            <w:tcBorders>
              <w:bottom w:val="single" w:color="000000" w:sz="2" w:space="0"/>
              <w:top w:val="single" w:color="000000" w:sz="2" w:space="0"/>
            </w:tcBorders>
          </w:tcPr>
          <w:p>
            <w:pPr>
              <w:pStyle w:val="TableText"/>
              <w:ind w:left="654"/>
              <w:spacing w:before="122" w:line="220" w:lineRule="auto"/>
              <w:rPr>
                <w:sz w:val="12"/>
                <w:szCs w:val="12"/>
              </w:rPr>
            </w:pPr>
            <w:r>
              <w:rPr>
                <w:sz w:val="12"/>
                <w:szCs w:val="12"/>
                <w:spacing w:val="-2"/>
              </w:rPr>
              <w:t>10%吐虫啉</w:t>
            </w:r>
          </w:p>
        </w:tc>
        <w:tc>
          <w:tcPr>
            <w:tcW w:w="1659" w:type="dxa"/>
            <w:vAlign w:val="top"/>
            <w:tcBorders>
              <w:bottom w:val="single" w:color="000000" w:sz="2" w:space="0"/>
              <w:top w:val="single" w:color="000000" w:sz="2" w:space="0"/>
            </w:tcBorders>
          </w:tcPr>
          <w:p>
            <w:pPr>
              <w:pStyle w:val="TableText"/>
              <w:ind w:left="316"/>
              <w:spacing w:before="121" w:line="219" w:lineRule="auto"/>
              <w:rPr>
                <w:sz w:val="12"/>
                <w:szCs w:val="12"/>
              </w:rPr>
            </w:pPr>
            <w:r>
              <w:rPr>
                <w:sz w:val="12"/>
                <w:szCs w:val="12"/>
                <w:spacing w:val="-1"/>
              </w:rPr>
              <w:t>稀释1000-1500倍液</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227"/>
              <w:spacing w:before="118" w:line="213" w:lineRule="auto"/>
              <w:rPr>
                <w:sz w:val="12"/>
                <w:szCs w:val="12"/>
              </w:rPr>
            </w:pPr>
            <w:r>
              <w:rPr>
                <w:sz w:val="12"/>
                <w:szCs w:val="12"/>
                <w:spacing w:val="-2"/>
              </w:rPr>
              <w:t>10g/装</w:t>
            </w:r>
          </w:p>
        </w:tc>
        <w:tc>
          <w:tcPr>
            <w:tcW w:w="2774" w:type="dxa"/>
            <w:vAlign w:val="top"/>
            <w:tcBorders>
              <w:bottom w:val="single" w:color="000000" w:sz="2" w:space="0"/>
              <w:top w:val="single" w:color="000000" w:sz="2" w:space="0"/>
            </w:tcBorders>
          </w:tcPr>
          <w:p>
            <w:pPr>
              <w:pStyle w:val="TableText"/>
              <w:ind w:left="19"/>
              <w:spacing w:before="121" w:line="219" w:lineRule="auto"/>
              <w:rPr>
                <w:sz w:val="12"/>
                <w:szCs w:val="12"/>
              </w:rPr>
            </w:pPr>
            <w:r>
              <w:rPr>
                <w:sz w:val="12"/>
                <w:szCs w:val="12"/>
                <w:spacing w:val="-1"/>
              </w:rPr>
              <w:t>杀蚜虫、飞私等害虫</w:t>
            </w:r>
          </w:p>
        </w:tc>
      </w:tr>
      <w:tr>
        <w:trPr>
          <w:trHeight w:val="325"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444"/>
              <w:spacing w:before="102" w:line="220" w:lineRule="auto"/>
              <w:rPr>
                <w:sz w:val="12"/>
                <w:szCs w:val="12"/>
              </w:rPr>
            </w:pPr>
            <w:r>
              <w:rPr>
                <w:sz w:val="12"/>
                <w:szCs w:val="12"/>
                <w:spacing w:val="-2"/>
              </w:rPr>
              <w:t>支美乐</w:t>
            </w:r>
          </w:p>
        </w:tc>
        <w:tc>
          <w:tcPr>
            <w:tcW w:w="1869" w:type="dxa"/>
            <w:vAlign w:val="top"/>
            <w:tcBorders>
              <w:bottom w:val="single" w:color="000000" w:sz="2" w:space="0"/>
              <w:top w:val="single" w:color="000000" w:sz="2" w:space="0"/>
            </w:tcBorders>
          </w:tcPr>
          <w:p>
            <w:pPr>
              <w:pStyle w:val="TableText"/>
              <w:ind w:left="745"/>
              <w:spacing w:before="102" w:line="220" w:lineRule="auto"/>
              <w:rPr>
                <w:sz w:val="12"/>
                <w:szCs w:val="12"/>
              </w:rPr>
            </w:pPr>
            <w:r>
              <w:rPr>
                <w:sz w:val="12"/>
                <w:szCs w:val="12"/>
                <w:spacing w:val="-3"/>
              </w:rPr>
              <w:t>吐虫啉</w:t>
            </w:r>
          </w:p>
        </w:tc>
        <w:tc>
          <w:tcPr>
            <w:tcW w:w="1659" w:type="dxa"/>
            <w:vAlign w:val="top"/>
            <w:tcBorders>
              <w:bottom w:val="single" w:color="000000" w:sz="2" w:space="0"/>
              <w:top w:val="single" w:color="000000" w:sz="2" w:space="0"/>
            </w:tcBorders>
          </w:tcPr>
          <w:p>
            <w:pPr>
              <w:pStyle w:val="TableText"/>
              <w:ind w:left="16"/>
              <w:spacing w:before="102" w:line="219" w:lineRule="auto"/>
              <w:rPr>
                <w:sz w:val="12"/>
                <w:szCs w:val="12"/>
              </w:rPr>
            </w:pPr>
            <w:r>
              <w:rPr>
                <w:sz w:val="12"/>
                <w:szCs w:val="12"/>
                <w:spacing w:val="-1"/>
              </w:rPr>
              <w:t>70%水分散粒刺5000-10000倍液</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257"/>
              <w:spacing w:before="98" w:line="213" w:lineRule="auto"/>
              <w:rPr>
                <w:sz w:val="12"/>
                <w:szCs w:val="12"/>
              </w:rPr>
            </w:pPr>
            <w:r>
              <w:rPr>
                <w:sz w:val="12"/>
                <w:szCs w:val="12"/>
                <w:spacing w:val="-3"/>
              </w:rPr>
              <w:t>1g/包</w:t>
            </w:r>
          </w:p>
        </w:tc>
        <w:tc>
          <w:tcPr>
            <w:tcW w:w="2774" w:type="dxa"/>
            <w:vAlign w:val="top"/>
            <w:tcBorders>
              <w:bottom w:val="single" w:color="000000" w:sz="2" w:space="0"/>
              <w:top w:val="single" w:color="000000" w:sz="2" w:space="0"/>
            </w:tcBorders>
          </w:tcPr>
          <w:p>
            <w:pPr>
              <w:pStyle w:val="TableText"/>
              <w:ind w:left="19"/>
              <w:spacing w:before="102" w:line="219" w:lineRule="auto"/>
              <w:rPr>
                <w:sz w:val="12"/>
                <w:szCs w:val="12"/>
              </w:rPr>
            </w:pPr>
            <w:r>
              <w:rPr>
                <w:sz w:val="12"/>
                <w:szCs w:val="12"/>
                <w:spacing w:val="-1"/>
              </w:rPr>
              <w:t>防治蚜虫、叶蜂刺吸类害虫</w:t>
            </w:r>
          </w:p>
        </w:tc>
      </w:tr>
      <w:tr>
        <w:trPr>
          <w:trHeight w:val="36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3"/>
              <w:spacing w:before="121" w:line="219" w:lineRule="auto"/>
              <w:rPr>
                <w:sz w:val="12"/>
                <w:szCs w:val="12"/>
              </w:rPr>
            </w:pPr>
            <w:r>
              <w:rPr>
                <w:sz w:val="12"/>
                <w:szCs w:val="12"/>
                <w:spacing w:val="-1"/>
              </w:rPr>
              <w:t>先正达阿克奉</w:t>
            </w:r>
          </w:p>
        </w:tc>
        <w:tc>
          <w:tcPr>
            <w:tcW w:w="1869" w:type="dxa"/>
            <w:vAlign w:val="top"/>
            <w:tcBorders>
              <w:bottom w:val="single" w:color="000000" w:sz="2" w:space="0"/>
              <w:top w:val="single" w:color="000000" w:sz="2" w:space="0"/>
            </w:tcBorders>
          </w:tcPr>
          <w:p>
            <w:pPr>
              <w:pStyle w:val="TableText"/>
              <w:ind w:left="745"/>
              <w:spacing w:before="121" w:line="219" w:lineRule="auto"/>
              <w:rPr>
                <w:sz w:val="12"/>
                <w:szCs w:val="12"/>
              </w:rPr>
            </w:pPr>
            <w:r>
              <w:rPr>
                <w:sz w:val="12"/>
                <w:szCs w:val="12"/>
                <w:spacing w:val="-2"/>
              </w:rPr>
              <w:t>烟碱类</w:t>
            </w:r>
          </w:p>
        </w:tc>
        <w:tc>
          <w:tcPr>
            <w:tcW w:w="1659" w:type="dxa"/>
            <w:vAlign w:val="top"/>
            <w:tcBorders>
              <w:bottom w:val="single" w:color="000000" w:sz="2" w:space="0"/>
              <w:top w:val="single" w:color="000000" w:sz="2" w:space="0"/>
            </w:tcBorders>
          </w:tcPr>
          <w:p>
            <w:pPr>
              <w:pStyle w:val="TableText"/>
              <w:ind w:left="76"/>
              <w:spacing w:before="121" w:line="218" w:lineRule="auto"/>
              <w:rPr>
                <w:sz w:val="12"/>
                <w:szCs w:val="12"/>
              </w:rPr>
            </w:pPr>
            <w:r>
              <w:rPr>
                <w:sz w:val="12"/>
                <w:szCs w:val="12"/>
                <w:spacing w:val="-1"/>
              </w:rPr>
              <w:t>25%阿克奉水分散粒剂1500倍</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98"/>
              <w:spacing w:before="118" w:line="213" w:lineRule="auto"/>
              <w:rPr>
                <w:sz w:val="12"/>
                <w:szCs w:val="12"/>
              </w:rPr>
            </w:pPr>
            <w:r>
              <w:rPr>
                <w:sz w:val="12"/>
                <w:szCs w:val="12"/>
                <w:spacing w:val="-2"/>
              </w:rPr>
              <w:t>100g/装</w:t>
            </w:r>
          </w:p>
        </w:tc>
        <w:tc>
          <w:tcPr>
            <w:tcW w:w="2774" w:type="dxa"/>
            <w:vAlign w:val="top"/>
            <w:tcBorders>
              <w:bottom w:val="single" w:color="000000" w:sz="2" w:space="0"/>
              <w:top w:val="single" w:color="000000" w:sz="2" w:space="0"/>
            </w:tcBorders>
          </w:tcPr>
          <w:p>
            <w:pPr>
              <w:pStyle w:val="TableText"/>
              <w:ind w:left="19"/>
              <w:spacing w:before="51" w:line="210" w:lineRule="auto"/>
              <w:rPr>
                <w:sz w:val="12"/>
                <w:szCs w:val="12"/>
              </w:rPr>
            </w:pPr>
            <w:r>
              <w:rPr>
                <w:sz w:val="12"/>
                <w:szCs w:val="12"/>
                <w:spacing w:val="-6"/>
              </w:rPr>
              <w:t>有效防治精翅日、硝翅日、缕翅日害虫。如各种蚜虫、</w:t>
            </w:r>
            <w:r>
              <w:rPr>
                <w:sz w:val="12"/>
                <w:szCs w:val="12"/>
                <w:spacing w:val="7"/>
              </w:rPr>
              <w:t xml:space="preserve"> </w:t>
            </w:r>
            <w:r>
              <w:rPr>
                <w:sz w:val="12"/>
                <w:szCs w:val="12"/>
                <w:spacing w:val="-3"/>
              </w:rPr>
              <w:t>叶蝉，粉强，飞虱等</w:t>
            </w:r>
          </w:p>
        </w:tc>
      </w:tr>
      <w:tr>
        <w:trPr>
          <w:trHeight w:val="73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9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spacing w:line="271" w:lineRule="auto"/>
              <w:rPr>
                <w:rFonts w:ascii="Arial"/>
                <w:sz w:val="21"/>
              </w:rPr>
            </w:pPr>
            <w:r/>
          </w:p>
          <w:p>
            <w:pPr>
              <w:pStyle w:val="TableText"/>
              <w:ind w:left="383"/>
              <w:spacing w:before="39" w:line="219" w:lineRule="auto"/>
              <w:rPr>
                <w:sz w:val="12"/>
                <w:szCs w:val="12"/>
              </w:rPr>
            </w:pPr>
            <w:r>
              <w:rPr>
                <w:sz w:val="12"/>
                <w:szCs w:val="12"/>
                <w:spacing w:val="1"/>
              </w:rPr>
              <w:t>国光红杀</w:t>
            </w:r>
          </w:p>
        </w:tc>
        <w:tc>
          <w:tcPr>
            <w:tcW w:w="1869" w:type="dxa"/>
            <w:vAlign w:val="top"/>
            <w:tcBorders>
              <w:bottom w:val="single" w:color="000000" w:sz="2" w:space="0"/>
              <w:top w:val="single" w:color="000000" w:sz="2" w:space="0"/>
            </w:tcBorders>
          </w:tcPr>
          <w:p>
            <w:pPr>
              <w:spacing w:line="271" w:lineRule="auto"/>
              <w:rPr>
                <w:rFonts w:ascii="Arial"/>
                <w:sz w:val="21"/>
              </w:rPr>
            </w:pPr>
            <w:r/>
          </w:p>
          <w:p>
            <w:pPr>
              <w:pStyle w:val="TableText"/>
              <w:ind w:left="474"/>
              <w:spacing w:before="39" w:line="218" w:lineRule="auto"/>
              <w:rPr>
                <w:sz w:val="12"/>
                <w:szCs w:val="12"/>
              </w:rPr>
            </w:pPr>
            <w:r>
              <w:rPr>
                <w:sz w:val="12"/>
                <w:szCs w:val="12"/>
                <w:spacing w:val="-5"/>
              </w:rPr>
              <w:t>10%苯丁</w:t>
            </w:r>
            <w:r>
              <w:rPr>
                <w:sz w:val="12"/>
                <w:szCs w:val="12"/>
                <w:spacing w:val="-9"/>
              </w:rPr>
              <w:t xml:space="preserve"> </w:t>
            </w:r>
            <w:r>
              <w:rPr>
                <w:sz w:val="12"/>
                <w:szCs w:val="12"/>
                <w:spacing w:val="-5"/>
              </w:rPr>
              <w:t>·哒蜗灵</w:t>
            </w:r>
          </w:p>
        </w:tc>
        <w:tc>
          <w:tcPr>
            <w:tcW w:w="1659" w:type="dxa"/>
            <w:vAlign w:val="top"/>
            <w:tcBorders>
              <w:bottom w:val="single" w:color="000000" w:sz="2" w:space="0"/>
              <w:top w:val="single" w:color="000000" w:sz="2" w:space="0"/>
            </w:tcBorders>
          </w:tcPr>
          <w:p>
            <w:pPr>
              <w:spacing w:line="271" w:lineRule="auto"/>
              <w:rPr>
                <w:rFonts w:ascii="Arial"/>
                <w:sz w:val="21"/>
              </w:rPr>
            </w:pPr>
            <w:r/>
          </w:p>
          <w:p>
            <w:pPr>
              <w:pStyle w:val="TableText"/>
              <w:ind w:left="586"/>
              <w:spacing w:before="39" w:line="220" w:lineRule="auto"/>
              <w:rPr>
                <w:sz w:val="12"/>
                <w:szCs w:val="12"/>
              </w:rPr>
            </w:pPr>
            <w:r>
              <w:rPr>
                <w:sz w:val="12"/>
                <w:szCs w:val="12"/>
                <w:spacing w:val="-2"/>
              </w:rPr>
              <w:t>1500倍液</w:t>
            </w:r>
          </w:p>
        </w:tc>
        <w:tc>
          <w:tcPr>
            <w:tcW w:w="1299" w:type="dxa"/>
            <w:vAlign w:val="top"/>
            <w:vMerge w:val="continue"/>
            <w:tcBorders>
              <w:bottom w:val="single" w:color="000000" w:sz="2" w:space="0"/>
              <w:top w:val="nil"/>
            </w:tcBorders>
          </w:tcPr>
          <w:p>
            <w:pPr>
              <w:rPr>
                <w:rFonts w:ascii="Arial"/>
                <w:sz w:val="21"/>
              </w:rPr>
            </w:pPr>
            <w:r/>
          </w:p>
        </w:tc>
        <w:tc>
          <w:tcPr>
            <w:tcW w:w="829" w:type="dxa"/>
            <w:vAlign w:val="top"/>
            <w:tcBorders>
              <w:bottom w:val="single" w:color="000000" w:sz="2" w:space="0"/>
              <w:top w:val="single" w:color="000000" w:sz="2" w:space="0"/>
            </w:tcBorders>
          </w:tcPr>
          <w:p>
            <w:pPr>
              <w:spacing w:line="272" w:lineRule="auto"/>
              <w:rPr>
                <w:rFonts w:ascii="Arial"/>
                <w:sz w:val="21"/>
              </w:rPr>
            </w:pPr>
            <w:r/>
          </w:p>
          <w:p>
            <w:pPr>
              <w:pStyle w:val="TableText"/>
              <w:ind w:left="198"/>
              <w:spacing w:before="39" w:line="221" w:lineRule="auto"/>
              <w:rPr>
                <w:sz w:val="12"/>
                <w:szCs w:val="12"/>
              </w:rPr>
            </w:pPr>
            <w:r>
              <w:rPr>
                <w:sz w:val="12"/>
                <w:szCs w:val="12"/>
                <w:spacing w:val="-1"/>
              </w:rPr>
              <w:t>200m/瓶</w:t>
            </w:r>
          </w:p>
        </w:tc>
        <w:tc>
          <w:tcPr>
            <w:tcW w:w="2774" w:type="dxa"/>
            <w:vAlign w:val="top"/>
            <w:tcBorders>
              <w:bottom w:val="single" w:color="000000" w:sz="2" w:space="0"/>
              <w:top w:val="single" w:color="000000" w:sz="2" w:space="0"/>
            </w:tcBorders>
          </w:tcPr>
          <w:p>
            <w:pPr>
              <w:spacing w:line="271" w:lineRule="auto"/>
              <w:rPr>
                <w:rFonts w:ascii="Arial"/>
                <w:sz w:val="21"/>
              </w:rPr>
            </w:pPr>
            <w:r/>
          </w:p>
          <w:p>
            <w:pPr>
              <w:pStyle w:val="TableText"/>
              <w:spacing w:before="39" w:line="219" w:lineRule="auto"/>
              <w:jc w:val="right"/>
              <w:rPr>
                <w:sz w:val="12"/>
                <w:szCs w:val="12"/>
              </w:rPr>
            </w:pPr>
            <w:r>
              <w:rPr>
                <w:sz w:val="12"/>
                <w:szCs w:val="12"/>
                <w:spacing w:val="-1"/>
              </w:rPr>
              <w:t>对红螂蛛，白蜘蛛及抗性蜗类害虫有极强的杀灭作用</w:t>
            </w:r>
          </w:p>
        </w:tc>
      </w:tr>
      <w:tr>
        <w:trPr>
          <w:trHeight w:val="334" w:hRule="atLeast"/>
        </w:trPr>
        <w:tc>
          <w:tcPr>
            <w:tcW w:w="39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spacing w:line="420" w:lineRule="auto"/>
              <w:rPr>
                <w:rFonts w:ascii="Arial"/>
                <w:sz w:val="21"/>
              </w:rPr>
            </w:pPr>
            <w:r/>
          </w:p>
          <w:p>
            <w:pPr>
              <w:pStyle w:val="TableText"/>
              <w:ind w:left="10"/>
              <w:spacing w:before="39" w:line="218" w:lineRule="auto"/>
              <w:rPr>
                <w:sz w:val="12"/>
                <w:szCs w:val="12"/>
              </w:rPr>
            </w:pPr>
            <w:r>
              <w:rPr>
                <w:sz w:val="12"/>
                <w:szCs w:val="12"/>
                <w:spacing w:val="-2"/>
              </w:rPr>
              <w:t>蜂干害虫</w:t>
            </w:r>
          </w:p>
        </w:tc>
        <w:tc>
          <w:tcPr>
            <w:tcW w:w="899" w:type="dxa"/>
            <w:vAlign w:val="top"/>
            <w:vMerge w:val="restart"/>
            <w:tcBorders>
              <w:bottom w:val="nil"/>
              <w:top w:val="single" w:color="000000" w:sz="2" w:space="0"/>
            </w:tcBorders>
          </w:tcPr>
          <w:p>
            <w:pPr>
              <w:pStyle w:val="TableText"/>
              <w:ind w:left="21"/>
              <w:spacing w:before="242" w:line="219" w:lineRule="auto"/>
              <w:rPr>
                <w:sz w:val="12"/>
                <w:szCs w:val="12"/>
              </w:rPr>
            </w:pPr>
            <w:r>
              <w:rPr>
                <w:sz w:val="12"/>
                <w:szCs w:val="12"/>
                <w:spacing w:val="-1"/>
              </w:rPr>
              <w:t>光启星天牛，小</w:t>
            </w:r>
          </w:p>
          <w:p>
            <w:pPr>
              <w:pStyle w:val="TableText"/>
              <w:spacing w:before="17" w:line="200" w:lineRule="auto"/>
              <w:jc w:val="right"/>
              <w:rPr>
                <w:sz w:val="12"/>
                <w:szCs w:val="12"/>
              </w:rPr>
            </w:pPr>
            <w:r>
              <w:rPr>
                <w:sz w:val="12"/>
                <w:szCs w:val="12"/>
                <w:spacing w:val="-1"/>
              </w:rPr>
              <w:t>蠹虫、透妇峡。</w:t>
            </w:r>
          </w:p>
          <w:p>
            <w:pPr>
              <w:pStyle w:val="TableText"/>
              <w:ind w:left="41"/>
              <w:spacing w:line="199" w:lineRule="auto"/>
              <w:rPr>
                <w:sz w:val="12"/>
                <w:szCs w:val="12"/>
              </w:rPr>
            </w:pPr>
            <w:r>
              <w:rPr>
                <w:sz w:val="12"/>
                <w:szCs w:val="12"/>
                <w:spacing w:val="-1"/>
              </w:rPr>
              <w:t>芳香木露蛾、江</w:t>
            </w:r>
          </w:p>
          <w:p>
            <w:pPr>
              <w:pStyle w:val="TableText"/>
              <w:ind w:left="141"/>
              <w:spacing w:line="219" w:lineRule="auto"/>
              <w:rPr>
                <w:sz w:val="12"/>
                <w:szCs w:val="12"/>
              </w:rPr>
            </w:pPr>
            <w:r>
              <w:rPr>
                <w:sz w:val="12"/>
                <w:szCs w:val="12"/>
                <w:spacing w:val="11"/>
              </w:rPr>
              <w:t>棕象甲虫、</w:t>
            </w:r>
          </w:p>
        </w:tc>
        <w:tc>
          <w:tcPr>
            <w:tcW w:w="2538" w:type="dxa"/>
            <w:vAlign w:val="top"/>
            <w:vMerge w:val="restart"/>
            <w:tcBorders>
              <w:bottom w:val="nil"/>
              <w:top w:val="single" w:color="000000" w:sz="2" w:space="0"/>
            </w:tcBorders>
          </w:tcPr>
          <w:p>
            <w:pPr>
              <w:pStyle w:val="TableText"/>
              <w:ind w:left="2" w:right="5"/>
              <w:spacing w:before="62" w:line="215" w:lineRule="auto"/>
              <w:rPr>
                <w:sz w:val="12"/>
                <w:szCs w:val="12"/>
              </w:rPr>
            </w:pPr>
            <w:r>
              <w:rPr>
                <w:sz w:val="12"/>
                <w:szCs w:val="12"/>
                <w:spacing w:val="-3"/>
              </w:rPr>
              <w:t>一、5月预防消杀为主，在进入雨季、高发季的全</w:t>
            </w:r>
            <w:r>
              <w:rPr>
                <w:sz w:val="12"/>
                <w:szCs w:val="12"/>
                <w:spacing w:val="4"/>
              </w:rPr>
              <w:t xml:space="preserve"> </w:t>
            </w:r>
            <w:r>
              <w:rPr>
                <w:sz w:val="12"/>
                <w:szCs w:val="12"/>
                <w:spacing w:val="6"/>
              </w:rPr>
              <w:t>园区消录虫卵、蛹；</w:t>
            </w:r>
          </w:p>
          <w:p>
            <w:pPr>
              <w:pStyle w:val="TableText"/>
              <w:ind w:left="11" w:right="10" w:hanging="9"/>
              <w:spacing w:line="200" w:lineRule="auto"/>
              <w:rPr>
                <w:sz w:val="12"/>
                <w:szCs w:val="12"/>
              </w:rPr>
            </w:pPr>
            <w:r>
              <w:rPr>
                <w:sz w:val="12"/>
                <w:szCs w:val="12"/>
                <w:spacing w:val="-1"/>
              </w:rPr>
              <w:t>三.6-9月是大部分害虫成蛹或羽化期，采取人工</w:t>
            </w:r>
            <w:r>
              <w:rPr>
                <w:sz w:val="12"/>
                <w:szCs w:val="12"/>
                <w:spacing w:val="17"/>
              </w:rPr>
              <w:t xml:space="preserve"> </w:t>
            </w:r>
            <w:r>
              <w:rPr>
                <w:sz w:val="12"/>
                <w:szCs w:val="12"/>
              </w:rPr>
              <w:t>加药物双重治疗除卵，除蛹。除成虫：</w:t>
            </w:r>
          </w:p>
          <w:p>
            <w:pPr>
              <w:pStyle w:val="TableText"/>
              <w:ind w:left="2" w:firstLine="9"/>
              <w:spacing w:before="1" w:line="210" w:lineRule="auto"/>
              <w:rPr>
                <w:sz w:val="12"/>
                <w:szCs w:val="12"/>
              </w:rPr>
            </w:pPr>
            <w:r>
              <w:rPr>
                <w:sz w:val="12"/>
                <w:szCs w:val="12"/>
                <w:spacing w:val="-6"/>
              </w:rPr>
              <w:t>三，红棕象甲虫：主要危害海枣属。幼虫。成虫均</w:t>
            </w:r>
            <w:r>
              <w:rPr>
                <w:sz w:val="12"/>
                <w:szCs w:val="12"/>
                <w:spacing w:val="6"/>
              </w:rPr>
              <w:t xml:space="preserve"> </w:t>
            </w:r>
            <w:r>
              <w:rPr>
                <w:sz w:val="12"/>
                <w:szCs w:val="12"/>
                <w:spacing w:val="-6"/>
              </w:rPr>
              <w:t>造成危害，以幼虫密集钻蛀最为严重，幼虫从叶聘</w:t>
            </w:r>
            <w:r>
              <w:rPr>
                <w:sz w:val="12"/>
                <w:szCs w:val="12"/>
                <w:spacing w:val="13"/>
              </w:rPr>
              <w:t xml:space="preserve"> </w:t>
            </w:r>
            <w:r>
              <w:rPr>
                <w:sz w:val="12"/>
                <w:szCs w:val="12"/>
                <w:spacing w:val="-1"/>
              </w:rPr>
              <w:t>内侧钻蛀直至树干造成植株死亡。</w:t>
            </w:r>
          </w:p>
        </w:tc>
        <w:tc>
          <w:tcPr>
            <w:tcW w:w="1259" w:type="dxa"/>
            <w:vAlign w:val="top"/>
            <w:tcBorders>
              <w:bottom w:val="single" w:color="000000" w:sz="2" w:space="0"/>
              <w:top w:val="single" w:color="000000" w:sz="2" w:space="0"/>
            </w:tcBorders>
          </w:tcPr>
          <w:p>
            <w:pPr>
              <w:pStyle w:val="TableText"/>
              <w:ind w:left="383"/>
              <w:spacing w:before="112" w:line="218" w:lineRule="auto"/>
              <w:rPr>
                <w:sz w:val="12"/>
                <w:szCs w:val="12"/>
              </w:rPr>
            </w:pPr>
            <w:r>
              <w:rPr>
                <w:sz w:val="12"/>
                <w:szCs w:val="12"/>
                <w:spacing w:val="2"/>
              </w:rPr>
              <w:t>国光依它</w:t>
            </w:r>
          </w:p>
        </w:tc>
        <w:tc>
          <w:tcPr>
            <w:tcW w:w="1869" w:type="dxa"/>
            <w:vAlign w:val="top"/>
            <w:tcBorders>
              <w:bottom w:val="single" w:color="000000" w:sz="2" w:space="0"/>
              <w:top w:val="single" w:color="000000" w:sz="2" w:space="0"/>
            </w:tcBorders>
          </w:tcPr>
          <w:p>
            <w:pPr>
              <w:pStyle w:val="TableText"/>
              <w:ind w:left="355"/>
              <w:spacing w:before="112" w:line="219" w:lineRule="auto"/>
              <w:rPr>
                <w:sz w:val="12"/>
                <w:szCs w:val="12"/>
              </w:rPr>
            </w:pPr>
            <w:r>
              <w:rPr>
                <w:sz w:val="12"/>
                <w:szCs w:val="12"/>
                <w:spacing w:val="-1"/>
              </w:rPr>
              <w:t>45%丙溴，辛硫磷乳油</w:t>
            </w:r>
          </w:p>
        </w:tc>
        <w:tc>
          <w:tcPr>
            <w:tcW w:w="1659" w:type="dxa"/>
            <w:vAlign w:val="top"/>
            <w:tcBorders>
              <w:bottom w:val="single" w:color="000000" w:sz="2" w:space="0"/>
              <w:top w:val="single" w:color="000000" w:sz="2" w:space="0"/>
            </w:tcBorders>
          </w:tcPr>
          <w:p>
            <w:pPr>
              <w:pStyle w:val="TableText"/>
              <w:ind w:left="316"/>
              <w:spacing w:before="112" w:line="219" w:lineRule="auto"/>
              <w:rPr>
                <w:sz w:val="12"/>
                <w:szCs w:val="12"/>
              </w:rPr>
            </w:pPr>
            <w:r>
              <w:rPr>
                <w:sz w:val="12"/>
                <w:szCs w:val="12"/>
                <w:spacing w:val="-1"/>
              </w:rPr>
              <w:t>稀释1000-1500倍液</w:t>
            </w:r>
          </w:p>
        </w:tc>
        <w:tc>
          <w:tcPr>
            <w:tcW w:w="1299" w:type="dxa"/>
            <w:vAlign w:val="top"/>
            <w:vMerge w:val="restart"/>
            <w:tcBorders>
              <w:bottom w:val="nil"/>
              <w:top w:val="single" w:color="000000" w:sz="2" w:space="0"/>
            </w:tcBorders>
          </w:tcPr>
          <w:p>
            <w:pPr>
              <w:spacing w:line="301" w:lineRule="auto"/>
              <w:rPr>
                <w:rFonts w:ascii="Arial"/>
                <w:sz w:val="21"/>
              </w:rPr>
            </w:pPr>
            <w:r/>
          </w:p>
          <w:p>
            <w:pPr>
              <w:pStyle w:val="TableText"/>
              <w:spacing w:before="39" w:line="200" w:lineRule="auto"/>
              <w:jc w:val="right"/>
              <w:rPr>
                <w:sz w:val="12"/>
                <w:szCs w:val="12"/>
              </w:rPr>
            </w:pPr>
            <w:r>
              <w:rPr>
                <w:sz w:val="12"/>
                <w:szCs w:val="12"/>
                <w:spacing w:val="-4"/>
              </w:rPr>
              <w:t>一般用3次，时间间隔T到</w:t>
            </w:r>
          </w:p>
          <w:p>
            <w:pPr>
              <w:pStyle w:val="TableText"/>
              <w:spacing w:line="199" w:lineRule="auto"/>
              <w:jc w:val="right"/>
              <w:rPr>
                <w:sz w:val="12"/>
                <w:szCs w:val="12"/>
              </w:rPr>
            </w:pPr>
            <w:r>
              <w:rPr>
                <w:sz w:val="12"/>
                <w:szCs w:val="12"/>
                <w:spacing w:val="-6"/>
              </w:rPr>
              <w:t>10天，视现场情况可增加</w:t>
            </w:r>
          </w:p>
          <w:p>
            <w:pPr>
              <w:pStyle w:val="TableText"/>
              <w:ind w:left="527"/>
              <w:spacing w:line="219" w:lineRule="auto"/>
              <w:rPr>
                <w:sz w:val="12"/>
                <w:szCs w:val="12"/>
              </w:rPr>
            </w:pPr>
            <w:r>
              <w:rPr>
                <w:sz w:val="12"/>
                <w:szCs w:val="12"/>
                <w:spacing w:val="-2"/>
              </w:rPr>
              <w:t>次数</w:t>
            </w:r>
          </w:p>
        </w:tc>
        <w:tc>
          <w:tcPr>
            <w:tcW w:w="829" w:type="dxa"/>
            <w:vAlign w:val="top"/>
            <w:tcBorders>
              <w:bottom w:val="single" w:color="000000" w:sz="2" w:space="0"/>
              <w:top w:val="single" w:color="000000" w:sz="2" w:space="0"/>
            </w:tcBorders>
          </w:tcPr>
          <w:p>
            <w:pPr>
              <w:pStyle w:val="TableText"/>
              <w:ind w:left="168"/>
              <w:spacing w:before="113" w:line="221" w:lineRule="auto"/>
              <w:rPr>
                <w:sz w:val="12"/>
                <w:szCs w:val="12"/>
              </w:rPr>
            </w:pPr>
            <w:r>
              <w:rPr>
                <w:sz w:val="12"/>
                <w:szCs w:val="12"/>
                <w:spacing w:val="-1"/>
              </w:rPr>
              <w:t>200ml/瓶</w:t>
            </w:r>
          </w:p>
        </w:tc>
        <w:tc>
          <w:tcPr>
            <w:tcW w:w="2774" w:type="dxa"/>
            <w:vAlign w:val="top"/>
            <w:tcBorders>
              <w:bottom w:val="single" w:color="000000" w:sz="2" w:space="0"/>
              <w:top w:val="single" w:color="000000" w:sz="2" w:space="0"/>
            </w:tcBorders>
          </w:tcPr>
          <w:p>
            <w:pPr>
              <w:pStyle w:val="TableText"/>
              <w:ind w:left="19"/>
              <w:spacing w:before="112" w:line="219" w:lineRule="auto"/>
              <w:rPr>
                <w:sz w:val="12"/>
                <w:szCs w:val="12"/>
              </w:rPr>
            </w:pPr>
            <w:r>
              <w:rPr>
                <w:sz w:val="12"/>
                <w:szCs w:val="12"/>
                <w:spacing w:val="-1"/>
              </w:rPr>
              <w:t>注射虫洞，黄泥封洞</w:t>
            </w:r>
          </w:p>
        </w:tc>
      </w:tr>
      <w:tr>
        <w:trPr>
          <w:trHeight w:val="34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13" w:line="219" w:lineRule="auto"/>
              <w:rPr>
                <w:sz w:val="12"/>
                <w:szCs w:val="12"/>
              </w:rPr>
            </w:pPr>
            <w:r>
              <w:rPr>
                <w:sz w:val="12"/>
                <w:szCs w:val="12"/>
                <w:spacing w:val="-3"/>
              </w:rPr>
              <w:t>除虫菊脂</w:t>
            </w:r>
          </w:p>
        </w:tc>
        <w:tc>
          <w:tcPr>
            <w:tcW w:w="1869" w:type="dxa"/>
            <w:vAlign w:val="top"/>
            <w:tcBorders>
              <w:bottom w:val="single" w:color="000000" w:sz="2" w:space="0"/>
              <w:top w:val="single" w:color="000000" w:sz="2" w:space="0"/>
            </w:tcBorders>
          </w:tcPr>
          <w:p>
            <w:pPr>
              <w:pStyle w:val="TableText"/>
              <w:ind w:left="745"/>
              <w:spacing w:before="113" w:line="219" w:lineRule="auto"/>
              <w:rPr>
                <w:sz w:val="12"/>
                <w:szCs w:val="12"/>
              </w:rPr>
            </w:pPr>
            <w:r>
              <w:rPr>
                <w:sz w:val="12"/>
                <w:szCs w:val="12"/>
                <w:spacing w:val="-2"/>
              </w:rPr>
              <w:t>氯菊酷</w:t>
            </w:r>
          </w:p>
        </w:tc>
        <w:tc>
          <w:tcPr>
            <w:tcW w:w="1659" w:type="dxa"/>
            <w:vAlign w:val="top"/>
            <w:tcBorders>
              <w:bottom w:val="single" w:color="000000" w:sz="2" w:space="0"/>
              <w:top w:val="single" w:color="000000" w:sz="2" w:space="0"/>
            </w:tcBorders>
          </w:tcPr>
          <w:p>
            <w:pPr>
              <w:pStyle w:val="TableText"/>
              <w:ind w:left="586"/>
              <w:spacing w:before="113" w:line="219" w:lineRule="auto"/>
              <w:rPr>
                <w:sz w:val="12"/>
                <w:szCs w:val="12"/>
              </w:rPr>
            </w:pPr>
            <w:r>
              <w:rPr>
                <w:sz w:val="12"/>
                <w:szCs w:val="12"/>
                <w:spacing w:val="3"/>
              </w:rPr>
              <w:t>直接使用</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98"/>
              <w:spacing w:before="109" w:line="213" w:lineRule="auto"/>
              <w:rPr>
                <w:sz w:val="12"/>
                <w:szCs w:val="12"/>
              </w:rPr>
            </w:pPr>
            <w:r>
              <w:rPr>
                <w:sz w:val="12"/>
                <w:szCs w:val="12"/>
                <w:spacing w:val="-1"/>
              </w:rPr>
              <w:t>500g/装</w:t>
            </w:r>
          </w:p>
        </w:tc>
        <w:tc>
          <w:tcPr>
            <w:tcW w:w="2774" w:type="dxa"/>
            <w:vAlign w:val="top"/>
            <w:tcBorders>
              <w:bottom w:val="single" w:color="000000" w:sz="2" w:space="0"/>
              <w:top w:val="single" w:color="000000" w:sz="2" w:space="0"/>
            </w:tcBorders>
          </w:tcPr>
          <w:p>
            <w:pPr>
              <w:pStyle w:val="TableText"/>
              <w:ind w:left="19" w:right="7"/>
              <w:spacing w:before="53" w:line="216" w:lineRule="auto"/>
              <w:rPr>
                <w:sz w:val="12"/>
                <w:szCs w:val="12"/>
              </w:rPr>
            </w:pPr>
            <w:r>
              <w:rPr>
                <w:sz w:val="12"/>
                <w:szCs w:val="12"/>
                <w:spacing w:val="-6"/>
              </w:rPr>
              <w:t>高效低毒，无内吸性，低残留，具有触杀和胃毒双重作</w:t>
            </w:r>
            <w:r>
              <w:rPr>
                <w:sz w:val="12"/>
                <w:szCs w:val="12"/>
              </w:rPr>
              <w:t xml:space="preserve"> </w:t>
            </w:r>
            <w:r>
              <w:rPr>
                <w:sz w:val="12"/>
                <w:szCs w:val="12"/>
              </w:rPr>
              <w:t>用</w:t>
            </w:r>
          </w:p>
        </w:tc>
      </w:tr>
      <w:tr>
        <w:trPr>
          <w:trHeight w:val="345"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9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263"/>
              <w:spacing w:before="113" w:line="218" w:lineRule="auto"/>
              <w:rPr>
                <w:sz w:val="12"/>
                <w:szCs w:val="12"/>
              </w:rPr>
            </w:pPr>
            <w:r>
              <w:rPr>
                <w:sz w:val="12"/>
                <w:szCs w:val="12"/>
                <w:spacing w:val="1"/>
              </w:rPr>
              <w:t>国光防蛙液剂</w:t>
            </w:r>
          </w:p>
        </w:tc>
        <w:tc>
          <w:tcPr>
            <w:tcW w:w="1869" w:type="dxa"/>
            <w:vAlign w:val="top"/>
            <w:tcBorders>
              <w:bottom w:val="single" w:color="000000" w:sz="2" w:space="0"/>
              <w:top w:val="single" w:color="000000" w:sz="2" w:space="0"/>
            </w:tcBorders>
          </w:tcPr>
          <w:p>
            <w:pPr>
              <w:pStyle w:val="TableText"/>
              <w:ind w:left="624"/>
              <w:spacing w:before="113" w:line="218" w:lineRule="auto"/>
              <w:rPr>
                <w:sz w:val="12"/>
                <w:szCs w:val="12"/>
              </w:rPr>
            </w:pPr>
            <w:r>
              <w:rPr>
                <w:sz w:val="12"/>
                <w:szCs w:val="12"/>
                <w:spacing w:val="-1"/>
              </w:rPr>
              <w:t>0.3%氧菊酯</w:t>
            </w:r>
          </w:p>
        </w:tc>
        <w:tc>
          <w:tcPr>
            <w:tcW w:w="1659" w:type="dxa"/>
            <w:vAlign w:val="top"/>
            <w:tcBorders>
              <w:bottom w:val="single" w:color="000000" w:sz="2" w:space="0"/>
              <w:top w:val="single" w:color="000000" w:sz="2" w:space="0"/>
            </w:tcBorders>
          </w:tcPr>
          <w:p>
            <w:pPr>
              <w:pStyle w:val="TableText"/>
              <w:ind w:left="586"/>
              <w:spacing w:before="113" w:line="219" w:lineRule="auto"/>
              <w:rPr>
                <w:sz w:val="12"/>
                <w:szCs w:val="12"/>
              </w:rPr>
            </w:pPr>
            <w:r>
              <w:rPr>
                <w:sz w:val="12"/>
                <w:szCs w:val="12"/>
                <w:spacing w:val="3"/>
              </w:rPr>
              <w:t>直接使用</w:t>
            </w:r>
          </w:p>
        </w:tc>
        <w:tc>
          <w:tcPr>
            <w:tcW w:w="1299" w:type="dxa"/>
            <w:vAlign w:val="top"/>
            <w:vMerge w:val="continue"/>
            <w:tcBorders>
              <w:bottom w:val="single" w:color="000000" w:sz="2" w:space="0"/>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98"/>
              <w:spacing w:before="114" w:line="220" w:lineRule="auto"/>
              <w:rPr>
                <w:sz w:val="12"/>
                <w:szCs w:val="12"/>
              </w:rPr>
            </w:pPr>
            <w:r>
              <w:rPr>
                <w:sz w:val="12"/>
                <w:szCs w:val="12"/>
                <w:spacing w:val="-1"/>
              </w:rPr>
              <w:t>20ml/支</w:t>
            </w:r>
          </w:p>
        </w:tc>
        <w:tc>
          <w:tcPr>
            <w:tcW w:w="2774" w:type="dxa"/>
            <w:vAlign w:val="top"/>
            <w:tcBorders>
              <w:bottom w:val="single" w:color="000000" w:sz="2" w:space="0"/>
              <w:top w:val="single" w:color="000000" w:sz="2" w:space="0"/>
            </w:tcBorders>
          </w:tcPr>
          <w:p>
            <w:pPr>
              <w:pStyle w:val="TableText"/>
              <w:ind w:right="2"/>
              <w:spacing w:before="113" w:line="219" w:lineRule="auto"/>
              <w:jc w:val="right"/>
              <w:rPr>
                <w:sz w:val="12"/>
                <w:szCs w:val="12"/>
              </w:rPr>
            </w:pPr>
            <w:r>
              <w:rPr>
                <w:sz w:val="12"/>
                <w:szCs w:val="12"/>
                <w:spacing w:val="-5"/>
              </w:rPr>
              <w:t>专杀蛀杆性害虫胸径8-10cn用1支，每增加10cm增加1支</w:t>
            </w:r>
          </w:p>
        </w:tc>
      </w:tr>
      <w:tr>
        <w:trPr>
          <w:trHeight w:val="564" w:hRule="atLeast"/>
        </w:trPr>
        <w:tc>
          <w:tcPr>
            <w:tcW w:w="395" w:type="dxa"/>
            <w:vAlign w:val="top"/>
            <w:vMerge w:val="continue"/>
            <w:tcBorders>
              <w:bottom w:val="nil"/>
              <w:top w:val="nil"/>
            </w:tcBorders>
          </w:tcPr>
          <w:p>
            <w:pPr>
              <w:rPr>
                <w:rFonts w:ascii="Arial"/>
                <w:sz w:val="21"/>
              </w:rPr>
            </w:pPr>
            <w:r/>
          </w:p>
        </w:tc>
        <w:tc>
          <w:tcPr>
            <w:tcW w:w="529" w:type="dxa"/>
            <w:vAlign w:val="top"/>
            <w:vMerge w:val="restart"/>
            <w:tcBorders>
              <w:bottom w:val="nil"/>
              <w:top w:val="single" w:color="000000" w:sz="2" w:space="0"/>
            </w:tcBorders>
          </w:tcPr>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pStyle w:val="TableText"/>
              <w:ind w:left="10"/>
              <w:spacing w:before="39" w:line="220" w:lineRule="auto"/>
              <w:rPr>
                <w:sz w:val="12"/>
                <w:szCs w:val="12"/>
              </w:rPr>
            </w:pPr>
            <w:r>
              <w:rPr>
                <w:sz w:val="12"/>
                <w:szCs w:val="12"/>
                <w:spacing w:val="-1"/>
              </w:rPr>
              <w:t>地下害虫</w:t>
            </w:r>
          </w:p>
        </w:tc>
        <w:tc>
          <w:tcPr>
            <w:tcW w:w="899" w:type="dxa"/>
            <w:vAlign w:val="top"/>
            <w:vMerge w:val="restart"/>
            <w:tcBorders>
              <w:bottom w:val="nil"/>
              <w:top w:val="single" w:color="000000" w:sz="2" w:space="0"/>
            </w:tcBorders>
          </w:tcPr>
          <w:p>
            <w:pPr>
              <w:spacing w:line="324" w:lineRule="auto"/>
              <w:rPr>
                <w:rFonts w:ascii="Arial"/>
                <w:sz w:val="21"/>
              </w:rPr>
            </w:pPr>
            <w:r/>
          </w:p>
          <w:p>
            <w:pPr>
              <w:spacing w:line="325" w:lineRule="auto"/>
              <w:rPr>
                <w:rFonts w:ascii="Arial"/>
                <w:sz w:val="21"/>
              </w:rPr>
            </w:pPr>
            <w:r/>
          </w:p>
          <w:p>
            <w:pPr>
              <w:pStyle w:val="TableText"/>
              <w:ind w:left="21"/>
              <w:spacing w:before="39" w:line="216" w:lineRule="auto"/>
              <w:rPr>
                <w:sz w:val="12"/>
                <w:szCs w:val="12"/>
              </w:rPr>
            </w:pPr>
            <w:r>
              <w:rPr>
                <w:sz w:val="12"/>
                <w:szCs w:val="12"/>
                <w:spacing w:val="-1"/>
              </w:rPr>
              <w:t>金龟子幼虫、燃</w:t>
            </w:r>
          </w:p>
          <w:p>
            <w:pPr>
              <w:pStyle w:val="TableText"/>
              <w:ind w:left="21"/>
              <w:spacing w:line="198" w:lineRule="auto"/>
              <w:rPr>
                <w:sz w:val="12"/>
                <w:szCs w:val="12"/>
              </w:rPr>
            </w:pPr>
            <w:r>
              <w:rPr>
                <w:sz w:val="12"/>
                <w:szCs w:val="12"/>
                <w:spacing w:val="-1"/>
              </w:rPr>
              <w:t>蛄，蚂蚁、蚯蛭</w:t>
            </w:r>
          </w:p>
          <w:p>
            <w:pPr>
              <w:pStyle w:val="TableText"/>
              <w:ind w:left="41"/>
              <w:spacing w:line="200" w:lineRule="auto"/>
              <w:rPr>
                <w:sz w:val="12"/>
                <w:szCs w:val="12"/>
              </w:rPr>
            </w:pPr>
            <w:r>
              <w:rPr>
                <w:sz w:val="12"/>
                <w:szCs w:val="12"/>
                <w:spacing w:val="-3"/>
              </w:rPr>
              <w:t>、勉老虎、其他</w:t>
            </w:r>
          </w:p>
          <w:p>
            <w:pPr>
              <w:pStyle w:val="TableText"/>
              <w:ind w:left="201"/>
              <w:spacing w:line="219" w:lineRule="auto"/>
              <w:rPr>
                <w:sz w:val="12"/>
                <w:szCs w:val="12"/>
              </w:rPr>
            </w:pPr>
            <w:r>
              <w:rPr>
                <w:sz w:val="12"/>
                <w:szCs w:val="12"/>
                <w:spacing w:val="-1"/>
              </w:rPr>
              <w:t>土中虫卵</w:t>
            </w:r>
          </w:p>
        </w:tc>
        <w:tc>
          <w:tcPr>
            <w:tcW w:w="2538"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2" w:right="5"/>
              <w:spacing w:before="39" w:line="216" w:lineRule="auto"/>
              <w:rPr>
                <w:sz w:val="12"/>
                <w:szCs w:val="12"/>
              </w:rPr>
            </w:pPr>
            <w:r>
              <w:rPr>
                <w:sz w:val="12"/>
                <w:szCs w:val="12"/>
                <w:spacing w:val="-1"/>
              </w:rPr>
              <w:t>金龟子幼虫，蝼姑等地下害虫，危害多种植物根</w:t>
            </w:r>
            <w:r>
              <w:rPr>
                <w:sz w:val="12"/>
                <w:szCs w:val="12"/>
                <w:spacing w:val="14"/>
              </w:rPr>
              <w:t xml:space="preserve"> </w:t>
            </w:r>
            <w:r>
              <w:rPr>
                <w:sz w:val="12"/>
                <w:szCs w:val="12"/>
              </w:rPr>
              <w:t>部，尤其三角椰子、夏威夷椰子，三药植椰等。</w:t>
            </w:r>
          </w:p>
        </w:tc>
        <w:tc>
          <w:tcPr>
            <w:tcW w:w="1259" w:type="dxa"/>
            <w:vAlign w:val="top"/>
            <w:tcBorders>
              <w:bottom w:val="single" w:color="000000" w:sz="2" w:space="0"/>
              <w:top w:val="single" w:color="000000" w:sz="2" w:space="0"/>
            </w:tcBorders>
          </w:tcPr>
          <w:p>
            <w:pPr>
              <w:pStyle w:val="TableText"/>
              <w:ind w:left="444"/>
              <w:spacing w:before="223" w:line="219" w:lineRule="auto"/>
              <w:rPr>
                <w:sz w:val="12"/>
                <w:szCs w:val="12"/>
              </w:rPr>
            </w:pPr>
            <w:r>
              <w:rPr>
                <w:sz w:val="12"/>
                <w:szCs w:val="12"/>
                <w:spacing w:val="1"/>
              </w:rPr>
              <w:t>甲拌磷</w:t>
            </w:r>
          </w:p>
        </w:tc>
        <w:tc>
          <w:tcPr>
            <w:tcW w:w="1869" w:type="dxa"/>
            <w:vAlign w:val="top"/>
            <w:tcBorders>
              <w:bottom w:val="single" w:color="000000" w:sz="2" w:space="0"/>
              <w:top w:val="single" w:color="000000" w:sz="2" w:space="0"/>
            </w:tcBorders>
          </w:tcPr>
          <w:p>
            <w:pPr>
              <w:pStyle w:val="TableText"/>
              <w:ind w:left="564"/>
              <w:spacing w:before="223" w:line="219" w:lineRule="auto"/>
              <w:rPr>
                <w:sz w:val="12"/>
                <w:szCs w:val="12"/>
              </w:rPr>
            </w:pPr>
            <w:r>
              <w:rPr>
                <w:sz w:val="12"/>
                <w:szCs w:val="12"/>
                <w:spacing w:val="-1"/>
              </w:rPr>
              <w:t>5%甲拌磷原药</w:t>
            </w:r>
          </w:p>
        </w:tc>
        <w:tc>
          <w:tcPr>
            <w:tcW w:w="1659" w:type="dxa"/>
            <w:vAlign w:val="top"/>
            <w:tcBorders>
              <w:bottom w:val="single" w:color="000000" w:sz="2" w:space="0"/>
              <w:top w:val="single" w:color="000000" w:sz="2" w:space="0"/>
            </w:tcBorders>
          </w:tcPr>
          <w:p>
            <w:pPr>
              <w:pStyle w:val="TableText"/>
              <w:ind w:left="586"/>
              <w:spacing w:before="223" w:line="219" w:lineRule="auto"/>
              <w:rPr>
                <w:sz w:val="12"/>
                <w:szCs w:val="12"/>
              </w:rPr>
            </w:pPr>
            <w:r>
              <w:rPr>
                <w:sz w:val="12"/>
                <w:szCs w:val="12"/>
                <w:spacing w:val="3"/>
              </w:rPr>
              <w:t>直接使用</w:t>
            </w:r>
          </w:p>
        </w:tc>
        <w:tc>
          <w:tcPr>
            <w:tcW w:w="1299" w:type="dxa"/>
            <w:vAlign w:val="top"/>
            <w:vMerge w:val="restart"/>
            <w:tcBorders>
              <w:bottom w:val="nil"/>
              <w:top w:val="single" w:color="000000" w:sz="2" w:space="0"/>
            </w:tcBorders>
          </w:tcPr>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46" w:right="18" w:hanging="330"/>
              <w:spacing w:before="39" w:line="217" w:lineRule="auto"/>
              <w:rPr>
                <w:sz w:val="12"/>
                <w:szCs w:val="12"/>
              </w:rPr>
            </w:pPr>
            <w:r>
              <w:rPr>
                <w:sz w:val="12"/>
                <w:szCs w:val="12"/>
                <w:spacing w:val="-1"/>
              </w:rPr>
              <w:t>一般用1次，视现场情况</w:t>
            </w:r>
            <w:r>
              <w:rPr>
                <w:sz w:val="12"/>
                <w:szCs w:val="12"/>
                <w:spacing w:val="3"/>
              </w:rPr>
              <w:t xml:space="preserve"> </w:t>
            </w:r>
            <w:r>
              <w:rPr>
                <w:sz w:val="12"/>
                <w:szCs w:val="12"/>
                <w:spacing w:val="-1"/>
              </w:rPr>
              <w:t>可增加次数</w:t>
            </w:r>
          </w:p>
        </w:tc>
        <w:tc>
          <w:tcPr>
            <w:tcW w:w="829" w:type="dxa"/>
            <w:vAlign w:val="top"/>
            <w:tcBorders>
              <w:bottom w:val="single" w:color="000000" w:sz="2" w:space="0"/>
              <w:top w:val="single" w:color="000000" w:sz="2" w:space="0"/>
            </w:tcBorders>
          </w:tcPr>
          <w:p>
            <w:pPr>
              <w:pStyle w:val="TableText"/>
              <w:ind w:left="198"/>
              <w:spacing w:before="219" w:line="213" w:lineRule="auto"/>
              <w:rPr>
                <w:sz w:val="12"/>
                <w:szCs w:val="12"/>
              </w:rPr>
            </w:pPr>
            <w:r>
              <w:rPr>
                <w:sz w:val="12"/>
                <w:szCs w:val="12"/>
                <w:spacing w:val="-1"/>
              </w:rPr>
              <w:t>500g/装</w:t>
            </w:r>
          </w:p>
        </w:tc>
        <w:tc>
          <w:tcPr>
            <w:tcW w:w="2774" w:type="dxa"/>
            <w:vAlign w:val="top"/>
            <w:tcBorders>
              <w:bottom w:val="single" w:color="000000" w:sz="2" w:space="0"/>
              <w:top w:val="single" w:color="000000" w:sz="2" w:space="0"/>
            </w:tcBorders>
          </w:tcPr>
          <w:p>
            <w:pPr>
              <w:pStyle w:val="TableText"/>
              <w:ind w:left="19"/>
              <w:spacing w:before="23" w:line="204" w:lineRule="auto"/>
              <w:jc w:val="both"/>
              <w:rPr>
                <w:sz w:val="12"/>
                <w:szCs w:val="12"/>
              </w:rPr>
            </w:pPr>
            <w:r>
              <w:rPr>
                <w:sz w:val="12"/>
                <w:szCs w:val="12"/>
                <w:spacing w:val="-6"/>
              </w:rPr>
              <w:t>有机磷类广青、内吸、高毒柔虫剂，对害虫具有触录，</w:t>
            </w:r>
            <w:r>
              <w:rPr>
                <w:sz w:val="12"/>
                <w:szCs w:val="12"/>
                <w:spacing w:val="7"/>
              </w:rPr>
              <w:t xml:space="preserve"> </w:t>
            </w:r>
            <w:r>
              <w:rPr>
                <w:sz w:val="12"/>
                <w:szCs w:val="12"/>
                <w:spacing w:val="-8"/>
              </w:rPr>
              <w:t>胃毒、奠藻作用，能在植物体内传导。对各种刺吸口器</w:t>
            </w:r>
            <w:r>
              <w:rPr>
                <w:sz w:val="12"/>
                <w:szCs w:val="12"/>
              </w:rPr>
              <w:t xml:space="preserve">  </w:t>
            </w:r>
            <w:r>
              <w:rPr>
                <w:sz w:val="12"/>
                <w:szCs w:val="12"/>
                <w:spacing w:val="-8"/>
              </w:rPr>
              <w:t>害虫及阻嚼口器害虫都有良好防效，残效期长，禁止对</w:t>
            </w:r>
            <w:r>
              <w:rPr>
                <w:sz w:val="12"/>
                <w:szCs w:val="12"/>
              </w:rPr>
              <w:t xml:space="preserve">  </w:t>
            </w:r>
            <w:r>
              <w:rPr>
                <w:sz w:val="12"/>
                <w:szCs w:val="12"/>
              </w:rPr>
              <w:t>水喷募使用</w:t>
            </w:r>
          </w:p>
        </w:tc>
      </w:tr>
      <w:tr>
        <w:trPr>
          <w:trHeight w:val="47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23"/>
              <w:spacing w:before="184" w:line="220" w:lineRule="auto"/>
              <w:rPr>
                <w:sz w:val="12"/>
                <w:szCs w:val="12"/>
              </w:rPr>
            </w:pPr>
            <w:r>
              <w:rPr>
                <w:sz w:val="12"/>
                <w:szCs w:val="12"/>
              </w:rPr>
              <w:t>中威击绿健</w:t>
            </w:r>
          </w:p>
        </w:tc>
        <w:tc>
          <w:tcPr>
            <w:tcW w:w="1869" w:type="dxa"/>
            <w:vAlign w:val="top"/>
            <w:tcBorders>
              <w:bottom w:val="single" w:color="000000" w:sz="2" w:space="0"/>
              <w:top w:val="single" w:color="000000" w:sz="2" w:space="0"/>
            </w:tcBorders>
          </w:tcPr>
          <w:p>
            <w:pPr>
              <w:pStyle w:val="TableText"/>
              <w:ind w:left="654"/>
              <w:spacing w:before="183" w:line="219" w:lineRule="auto"/>
              <w:rPr>
                <w:sz w:val="12"/>
                <w:szCs w:val="12"/>
              </w:rPr>
            </w:pPr>
            <w:r>
              <w:rPr>
                <w:sz w:val="12"/>
                <w:szCs w:val="12"/>
                <w:spacing w:val="-1"/>
              </w:rPr>
              <w:t>二嗪磷20%</w:t>
            </w:r>
          </w:p>
        </w:tc>
        <w:tc>
          <w:tcPr>
            <w:tcW w:w="1659" w:type="dxa"/>
            <w:vAlign w:val="top"/>
            <w:tcBorders>
              <w:bottom w:val="single" w:color="000000" w:sz="2" w:space="0"/>
              <w:top w:val="single" w:color="000000" w:sz="2" w:space="0"/>
            </w:tcBorders>
          </w:tcPr>
          <w:p>
            <w:pPr>
              <w:pStyle w:val="TableText"/>
              <w:ind w:left="316"/>
              <w:spacing w:before="180" w:line="215" w:lineRule="auto"/>
              <w:rPr>
                <w:sz w:val="12"/>
                <w:szCs w:val="12"/>
              </w:rPr>
            </w:pPr>
            <w:r>
              <w:rPr>
                <w:sz w:val="12"/>
                <w:szCs w:val="12"/>
                <w:spacing w:val="-1"/>
              </w:rPr>
              <w:t>直接教施，每亩1--2ky</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227"/>
              <w:spacing w:before="180" w:line="213" w:lineRule="auto"/>
              <w:rPr>
                <w:sz w:val="12"/>
                <w:szCs w:val="12"/>
              </w:rPr>
            </w:pPr>
            <w:r>
              <w:rPr>
                <w:sz w:val="12"/>
                <w:szCs w:val="12"/>
                <w:spacing w:val="-3"/>
              </w:rPr>
              <w:t>lkg/装</w:t>
            </w:r>
          </w:p>
        </w:tc>
        <w:tc>
          <w:tcPr>
            <w:tcW w:w="2774" w:type="dxa"/>
            <w:vAlign w:val="top"/>
            <w:tcBorders>
              <w:bottom w:val="single" w:color="000000" w:sz="2" w:space="0"/>
              <w:top w:val="single" w:color="000000" w:sz="2" w:space="0"/>
            </w:tcBorders>
          </w:tcPr>
          <w:p>
            <w:pPr>
              <w:pStyle w:val="TableText"/>
              <w:ind w:left="19" w:right="7"/>
              <w:spacing w:before="123" w:line="210" w:lineRule="auto"/>
              <w:rPr>
                <w:sz w:val="12"/>
                <w:szCs w:val="12"/>
              </w:rPr>
            </w:pPr>
            <w:r>
              <w:rPr>
                <w:sz w:val="12"/>
                <w:szCs w:val="12"/>
                <w:spacing w:val="-4"/>
              </w:rPr>
              <w:t>专治草坪地下害虫(蜗婚，金针虫，地老虎、根结线虫</w:t>
            </w:r>
            <w:r>
              <w:rPr>
                <w:sz w:val="12"/>
                <w:szCs w:val="12"/>
                <w:spacing w:val="12"/>
              </w:rPr>
              <w:t xml:space="preserve"> </w:t>
            </w:r>
            <w:r>
              <w:rPr>
                <w:sz w:val="12"/>
                <w:szCs w:val="12"/>
                <w:spacing w:val="-3"/>
              </w:rPr>
              <w:t>等</w:t>
            </w:r>
            <w:r>
              <w:rPr>
                <w:sz w:val="12"/>
                <w:szCs w:val="12"/>
                <w:spacing w:val="-23"/>
              </w:rPr>
              <w:t xml:space="preserve"> </w:t>
            </w:r>
            <w:r>
              <w:rPr>
                <w:sz w:val="12"/>
                <w:szCs w:val="12"/>
                <w:spacing w:val="-3"/>
              </w:rPr>
              <w:t>)</w:t>
            </w:r>
          </w:p>
        </w:tc>
      </w:tr>
      <w:tr>
        <w:trPr>
          <w:trHeight w:val="414" w:hRule="atLeast"/>
        </w:trPr>
        <w:tc>
          <w:tcPr>
            <w:tcW w:w="395" w:type="dxa"/>
            <w:vAlign w:val="top"/>
            <w:vMerge w:val="continue"/>
            <w:tcBorders>
              <w:bottom w:val="nil"/>
              <w:top w:val="nil"/>
            </w:tcBorders>
          </w:tcPr>
          <w:p>
            <w:pPr>
              <w:rPr>
                <w:rFonts w:ascii="Arial"/>
                <w:sz w:val="21"/>
              </w:rPr>
            </w:pPr>
            <w:r/>
          </w:p>
        </w:tc>
        <w:tc>
          <w:tcPr>
            <w:tcW w:w="529" w:type="dxa"/>
            <w:vAlign w:val="top"/>
            <w:vMerge w:val="continue"/>
            <w:tcBorders>
              <w:bottom w:val="nil"/>
              <w:top w:val="nil"/>
            </w:tcBorders>
          </w:tcPr>
          <w:p>
            <w:pPr>
              <w:rPr>
                <w:rFonts w:ascii="Arial"/>
                <w:sz w:val="21"/>
              </w:rPr>
            </w:pPr>
            <w:r/>
          </w:p>
        </w:tc>
        <w:tc>
          <w:tcPr>
            <w:tcW w:w="899" w:type="dxa"/>
            <w:vAlign w:val="top"/>
            <w:vMerge w:val="continue"/>
            <w:tcBorders>
              <w:bottom w:val="nil"/>
              <w:top w:val="nil"/>
            </w:tcBorders>
          </w:tcPr>
          <w:p>
            <w:pPr>
              <w:rPr>
                <w:rFonts w:ascii="Arial"/>
                <w:sz w:val="21"/>
              </w:rPr>
            </w:pPr>
            <w:r/>
          </w:p>
        </w:tc>
        <w:tc>
          <w:tcPr>
            <w:tcW w:w="2538" w:type="dxa"/>
            <w:vAlign w:val="top"/>
            <w:vMerge w:val="continue"/>
            <w:tcBorders>
              <w:bottom w:val="nil"/>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54" w:line="219" w:lineRule="auto"/>
              <w:rPr>
                <w:sz w:val="12"/>
                <w:szCs w:val="12"/>
              </w:rPr>
            </w:pPr>
            <w:r>
              <w:rPr>
                <w:sz w:val="12"/>
                <w:szCs w:val="12"/>
                <w:spacing w:val="1"/>
              </w:rPr>
              <w:t>国光移成</w:t>
            </w:r>
          </w:p>
        </w:tc>
        <w:tc>
          <w:tcPr>
            <w:tcW w:w="1869" w:type="dxa"/>
            <w:vAlign w:val="top"/>
            <w:tcBorders>
              <w:bottom w:val="single" w:color="000000" w:sz="2" w:space="0"/>
              <w:top w:val="single" w:color="000000" w:sz="2" w:space="0"/>
            </w:tcBorders>
          </w:tcPr>
          <w:p>
            <w:pPr>
              <w:pStyle w:val="TableText"/>
              <w:ind w:left="115"/>
              <w:spacing w:before="154" w:line="218" w:lineRule="auto"/>
              <w:rPr>
                <w:sz w:val="12"/>
                <w:szCs w:val="12"/>
              </w:rPr>
            </w:pPr>
            <w:r>
              <w:rPr>
                <w:sz w:val="12"/>
                <w:szCs w:val="12"/>
                <w:spacing w:val="1"/>
              </w:rPr>
              <w:t>12%含氢基酸水溶肥料(硼十锌)</w:t>
            </w:r>
          </w:p>
        </w:tc>
        <w:tc>
          <w:tcPr>
            <w:tcW w:w="1659" w:type="dxa"/>
            <w:vAlign w:val="top"/>
            <w:tcBorders>
              <w:bottom w:val="single" w:color="000000" w:sz="2" w:space="0"/>
              <w:top w:val="single" w:color="000000" w:sz="2" w:space="0"/>
            </w:tcBorders>
          </w:tcPr>
          <w:p>
            <w:pPr>
              <w:pStyle w:val="TableText"/>
              <w:ind w:left="496"/>
              <w:spacing w:before="154" w:line="220" w:lineRule="auto"/>
              <w:rPr>
                <w:sz w:val="12"/>
                <w:szCs w:val="12"/>
              </w:rPr>
            </w:pPr>
            <w:r>
              <w:rPr>
                <w:sz w:val="12"/>
                <w:szCs w:val="12"/>
                <w:spacing w:val="-2"/>
              </w:rPr>
              <w:t>1000-1200倍</w:t>
            </w:r>
          </w:p>
        </w:tc>
        <w:tc>
          <w:tcPr>
            <w:tcW w:w="1299" w:type="dxa"/>
            <w:vAlign w:val="top"/>
            <w:vMerge w:val="continue"/>
            <w:tcBorders>
              <w:bottom w:val="nil"/>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227"/>
              <w:spacing w:before="150" w:line="213" w:lineRule="auto"/>
              <w:rPr>
                <w:sz w:val="12"/>
                <w:szCs w:val="12"/>
              </w:rPr>
            </w:pPr>
            <w:r>
              <w:rPr>
                <w:sz w:val="12"/>
                <w:szCs w:val="12"/>
                <w:spacing w:val="-1"/>
              </w:rPr>
              <w:t>200g/E</w:t>
            </w:r>
          </w:p>
        </w:tc>
        <w:tc>
          <w:tcPr>
            <w:tcW w:w="2774" w:type="dxa"/>
            <w:vAlign w:val="top"/>
            <w:tcBorders>
              <w:bottom w:val="single" w:color="000000" w:sz="2" w:space="0"/>
              <w:top w:val="single" w:color="000000" w:sz="2" w:space="0"/>
            </w:tcBorders>
          </w:tcPr>
          <w:p>
            <w:pPr>
              <w:pStyle w:val="TableText"/>
              <w:ind w:left="19"/>
              <w:spacing w:before="154" w:line="218" w:lineRule="auto"/>
              <w:rPr>
                <w:sz w:val="12"/>
                <w:szCs w:val="12"/>
              </w:rPr>
            </w:pPr>
            <w:r>
              <w:rPr>
                <w:sz w:val="12"/>
                <w:szCs w:val="12"/>
                <w:spacing w:val="-1"/>
              </w:rPr>
              <w:t>补充水分和养分。促进快速成活</w:t>
            </w:r>
          </w:p>
        </w:tc>
      </w:tr>
      <w:tr>
        <w:trPr>
          <w:trHeight w:val="409" w:hRule="atLeast"/>
        </w:trPr>
        <w:tc>
          <w:tcPr>
            <w:tcW w:w="395" w:type="dxa"/>
            <w:vAlign w:val="top"/>
            <w:vMerge w:val="continue"/>
            <w:tcBorders>
              <w:bottom w:val="single" w:color="000000" w:sz="2" w:space="0"/>
              <w:top w:val="nil"/>
            </w:tcBorders>
          </w:tcPr>
          <w:p>
            <w:pPr>
              <w:rPr>
                <w:rFonts w:ascii="Arial"/>
                <w:sz w:val="21"/>
              </w:rPr>
            </w:pPr>
            <w:r/>
          </w:p>
        </w:tc>
        <w:tc>
          <w:tcPr>
            <w:tcW w:w="529" w:type="dxa"/>
            <w:vAlign w:val="top"/>
            <w:vMerge w:val="continue"/>
            <w:tcBorders>
              <w:bottom w:val="single" w:color="000000" w:sz="2" w:space="0"/>
              <w:top w:val="nil"/>
            </w:tcBorders>
          </w:tcPr>
          <w:p>
            <w:pPr>
              <w:rPr>
                <w:rFonts w:ascii="Arial"/>
                <w:sz w:val="21"/>
              </w:rPr>
            </w:pPr>
            <w:r/>
          </w:p>
        </w:tc>
        <w:tc>
          <w:tcPr>
            <w:tcW w:w="899" w:type="dxa"/>
            <w:vAlign w:val="top"/>
            <w:vMerge w:val="continue"/>
            <w:tcBorders>
              <w:bottom w:val="single" w:color="000000" w:sz="2" w:space="0"/>
              <w:top w:val="nil"/>
            </w:tcBorders>
          </w:tcPr>
          <w:p>
            <w:pPr>
              <w:rPr>
                <w:rFonts w:ascii="Arial"/>
                <w:sz w:val="21"/>
              </w:rPr>
            </w:pPr>
            <w:r/>
          </w:p>
        </w:tc>
        <w:tc>
          <w:tcPr>
            <w:tcW w:w="2538" w:type="dxa"/>
            <w:vAlign w:val="top"/>
            <w:vMerge w:val="continue"/>
            <w:tcBorders>
              <w:bottom w:val="single" w:color="000000" w:sz="2" w:space="0"/>
              <w:top w:val="nil"/>
            </w:tcBorders>
          </w:tcPr>
          <w:p>
            <w:pPr>
              <w:rPr>
                <w:rFonts w:ascii="Arial"/>
                <w:sz w:val="21"/>
              </w:rPr>
            </w:pPr>
            <w:r/>
          </w:p>
        </w:tc>
        <w:tc>
          <w:tcPr>
            <w:tcW w:w="1259" w:type="dxa"/>
            <w:vAlign w:val="top"/>
            <w:tcBorders>
              <w:bottom w:val="single" w:color="000000" w:sz="2" w:space="0"/>
              <w:top w:val="single" w:color="000000" w:sz="2" w:space="0"/>
            </w:tcBorders>
          </w:tcPr>
          <w:p>
            <w:pPr>
              <w:pStyle w:val="TableText"/>
              <w:ind w:left="383"/>
              <w:spacing w:before="144" w:line="219" w:lineRule="auto"/>
              <w:rPr>
                <w:sz w:val="12"/>
                <w:szCs w:val="12"/>
              </w:rPr>
            </w:pPr>
            <w:r>
              <w:rPr>
                <w:sz w:val="12"/>
                <w:szCs w:val="12"/>
                <w:spacing w:val="1"/>
              </w:rPr>
              <w:t>国光土条</w:t>
            </w:r>
          </w:p>
        </w:tc>
        <w:tc>
          <w:tcPr>
            <w:tcW w:w="1869" w:type="dxa"/>
            <w:vAlign w:val="top"/>
            <w:tcBorders>
              <w:bottom w:val="single" w:color="000000" w:sz="2" w:space="0"/>
              <w:top w:val="single" w:color="000000" w:sz="2" w:space="0"/>
            </w:tcBorders>
          </w:tcPr>
          <w:p>
            <w:pPr>
              <w:pStyle w:val="TableText"/>
              <w:ind w:left="415"/>
              <w:spacing w:before="144" w:line="219" w:lineRule="auto"/>
              <w:rPr>
                <w:sz w:val="12"/>
                <w:szCs w:val="12"/>
              </w:rPr>
            </w:pPr>
            <w:r>
              <w:rPr>
                <w:sz w:val="12"/>
                <w:szCs w:val="12"/>
                <w:spacing w:val="-1"/>
              </w:rPr>
              <w:t>40%辛硫磷和毒死蜂</w:t>
            </w:r>
          </w:p>
        </w:tc>
        <w:tc>
          <w:tcPr>
            <w:tcW w:w="1659" w:type="dxa"/>
            <w:vAlign w:val="top"/>
            <w:tcBorders>
              <w:bottom w:val="single" w:color="000000" w:sz="2" w:space="0"/>
              <w:top w:val="single" w:color="000000" w:sz="2" w:space="0"/>
            </w:tcBorders>
          </w:tcPr>
          <w:p>
            <w:pPr>
              <w:pStyle w:val="TableText"/>
              <w:ind w:left="346"/>
              <w:spacing w:before="144" w:line="219" w:lineRule="auto"/>
              <w:rPr>
                <w:sz w:val="12"/>
                <w:szCs w:val="12"/>
              </w:rPr>
            </w:pPr>
            <w:r>
              <w:rPr>
                <w:sz w:val="12"/>
                <w:szCs w:val="12"/>
                <w:spacing w:val="-1"/>
              </w:rPr>
              <w:t>稀释800-1000倍液</w:t>
            </w:r>
          </w:p>
        </w:tc>
        <w:tc>
          <w:tcPr>
            <w:tcW w:w="1299" w:type="dxa"/>
            <w:vAlign w:val="top"/>
            <w:vMerge w:val="continue"/>
            <w:tcBorders>
              <w:bottom w:val="single" w:color="000000" w:sz="2" w:space="0"/>
              <w:top w:val="nil"/>
            </w:tcBorders>
          </w:tcPr>
          <w:p>
            <w:pPr>
              <w:rPr>
                <w:rFonts w:ascii="Arial"/>
                <w:sz w:val="21"/>
              </w:rPr>
            </w:pPr>
            <w:r/>
          </w:p>
        </w:tc>
        <w:tc>
          <w:tcPr>
            <w:tcW w:w="829" w:type="dxa"/>
            <w:vAlign w:val="top"/>
            <w:tcBorders>
              <w:bottom w:val="single" w:color="000000" w:sz="2" w:space="0"/>
              <w:top w:val="single" w:color="000000" w:sz="2" w:space="0"/>
            </w:tcBorders>
          </w:tcPr>
          <w:p>
            <w:pPr>
              <w:pStyle w:val="TableText"/>
              <w:ind w:left="168"/>
              <w:spacing w:before="145" w:line="221" w:lineRule="auto"/>
              <w:rPr>
                <w:sz w:val="12"/>
                <w:szCs w:val="12"/>
              </w:rPr>
            </w:pPr>
            <w:r>
              <w:rPr>
                <w:sz w:val="12"/>
                <w:szCs w:val="12"/>
                <w:spacing w:val="-1"/>
              </w:rPr>
              <w:t>200ml/瓶</w:t>
            </w:r>
          </w:p>
        </w:tc>
        <w:tc>
          <w:tcPr>
            <w:tcW w:w="2774" w:type="dxa"/>
            <w:vAlign w:val="top"/>
            <w:tcBorders>
              <w:bottom w:val="single" w:color="000000" w:sz="2" w:space="0"/>
              <w:top w:val="single" w:color="000000" w:sz="2" w:space="0"/>
            </w:tcBorders>
          </w:tcPr>
          <w:p>
            <w:pPr>
              <w:pStyle w:val="TableText"/>
              <w:ind w:left="19" w:right="7"/>
              <w:spacing w:before="74" w:line="233" w:lineRule="auto"/>
              <w:rPr>
                <w:sz w:val="12"/>
                <w:szCs w:val="12"/>
              </w:rPr>
            </w:pPr>
            <w:r>
              <w:rPr>
                <w:sz w:val="12"/>
                <w:szCs w:val="12"/>
                <w:spacing w:val="-6"/>
              </w:rPr>
              <w:t>杀灭修蜡、螺姑，蚯蚓等地下害虫和粘虫，好虫，青虫</w:t>
            </w:r>
            <w:r>
              <w:rPr>
                <w:sz w:val="12"/>
                <w:szCs w:val="12"/>
              </w:rPr>
              <w:t xml:space="preserve"> </w:t>
            </w:r>
            <w:r>
              <w:rPr>
                <w:sz w:val="12"/>
                <w:szCs w:val="12"/>
                <w:spacing w:val="-2"/>
              </w:rPr>
              <w:t>、蚂蚁等，效果好</w:t>
            </w:r>
          </w:p>
        </w:tc>
      </w:tr>
    </w:tbl>
    <w:p>
      <w:pPr>
        <w:spacing w:line="14" w:lineRule="auto"/>
        <w:rPr>
          <w:rFonts w:ascii="Arial"/>
          <w:sz w:val="2"/>
        </w:rPr>
      </w:pPr>
      <w:r/>
    </w:p>
    <w:p>
      <w:pPr>
        <w:spacing w:line="14" w:lineRule="auto"/>
        <w:sectPr>
          <w:pgSz w:w="14490" w:h="10240"/>
          <w:pgMar w:top="125" w:right="234" w:bottom="205" w:left="194" w:header="0" w:footer="0" w:gutter="0"/>
        </w:sectPr>
        <w:rPr>
          <w:rFonts w:ascii="Arial" w:hAnsi="Arial" w:eastAsia="Arial" w:cs="Arial"/>
          <w:sz w:val="2"/>
          <w:szCs w:val="2"/>
        </w:rPr>
      </w:pPr>
    </w:p>
    <w:tbl>
      <w:tblPr>
        <w:tblStyle w:val="TableNormal"/>
        <w:tblW w:w="140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15"/>
        <w:gridCol w:w="540"/>
        <w:gridCol w:w="899"/>
        <w:gridCol w:w="2538"/>
        <w:gridCol w:w="1259"/>
        <w:gridCol w:w="1859"/>
        <w:gridCol w:w="1679"/>
        <w:gridCol w:w="1269"/>
        <w:gridCol w:w="859"/>
        <w:gridCol w:w="2763"/>
      </w:tblGrid>
      <w:tr>
        <w:trPr>
          <w:trHeight w:val="494" w:hRule="atLeast"/>
        </w:trPr>
        <w:tc>
          <w:tcPr>
            <w:tcW w:w="415" w:type="dxa"/>
            <w:vAlign w:val="top"/>
          </w:tcPr>
          <w:p>
            <w:pPr>
              <w:pStyle w:val="TableText"/>
              <w:ind w:left="76"/>
              <w:spacing w:before="188" w:line="219" w:lineRule="auto"/>
              <w:rPr>
                <w:sz w:val="12"/>
                <w:szCs w:val="12"/>
              </w:rPr>
            </w:pPr>
            <w:r>
              <w:rPr>
                <w:sz w:val="12"/>
                <w:szCs w:val="12"/>
                <w:b/>
                <w:bCs/>
                <w:spacing w:val="-3"/>
              </w:rPr>
              <w:t>分类</w:t>
            </w:r>
          </w:p>
        </w:tc>
        <w:tc>
          <w:tcPr>
            <w:tcW w:w="540" w:type="dxa"/>
            <w:vAlign w:val="top"/>
          </w:tcPr>
          <w:p>
            <w:pPr>
              <w:pStyle w:val="TableText"/>
              <w:ind w:left="21"/>
              <w:spacing w:before="18" w:line="219" w:lineRule="auto"/>
              <w:rPr>
                <w:sz w:val="12"/>
                <w:szCs w:val="12"/>
              </w:rPr>
            </w:pPr>
            <w:r>
              <w:rPr>
                <w:sz w:val="12"/>
                <w:szCs w:val="12"/>
                <w:b/>
                <w:bCs/>
                <w:spacing w:val="-3"/>
              </w:rPr>
              <w:t>消杀预防</w:t>
            </w:r>
          </w:p>
          <w:p>
            <w:pPr>
              <w:pStyle w:val="TableText"/>
              <w:ind w:left="21"/>
              <w:spacing w:before="27" w:line="215" w:lineRule="auto"/>
              <w:rPr>
                <w:sz w:val="12"/>
                <w:szCs w:val="12"/>
              </w:rPr>
            </w:pPr>
            <w:r>
              <w:rPr>
                <w:sz w:val="12"/>
                <w:szCs w:val="12"/>
                <w:b/>
                <w:bCs/>
                <w:spacing w:val="-3"/>
              </w:rPr>
              <w:t>及南虫害</w:t>
            </w:r>
          </w:p>
          <w:p>
            <w:pPr>
              <w:pStyle w:val="TableText"/>
              <w:ind w:left="141"/>
              <w:spacing w:line="219" w:lineRule="auto"/>
              <w:rPr>
                <w:sz w:val="12"/>
                <w:szCs w:val="12"/>
              </w:rPr>
            </w:pPr>
            <w:r>
              <w:rPr>
                <w:sz w:val="12"/>
                <w:szCs w:val="12"/>
                <w:b/>
                <w:bCs/>
                <w:spacing w:val="-3"/>
              </w:rPr>
              <w:t>分类</w:t>
            </w:r>
          </w:p>
        </w:tc>
        <w:tc>
          <w:tcPr>
            <w:tcW w:w="899" w:type="dxa"/>
            <w:vAlign w:val="top"/>
          </w:tcPr>
          <w:p>
            <w:pPr>
              <w:pStyle w:val="TableText"/>
              <w:ind w:left="141"/>
              <w:spacing w:before="188" w:line="219" w:lineRule="auto"/>
              <w:rPr>
                <w:sz w:val="12"/>
                <w:szCs w:val="12"/>
              </w:rPr>
            </w:pPr>
            <w:r>
              <w:rPr>
                <w:sz w:val="12"/>
                <w:szCs w:val="12"/>
                <w:b/>
                <w:bCs/>
                <w:spacing w:val="-3"/>
              </w:rPr>
              <w:t>常见病虫害</w:t>
            </w:r>
          </w:p>
        </w:tc>
        <w:tc>
          <w:tcPr>
            <w:tcW w:w="2538" w:type="dxa"/>
            <w:vAlign w:val="top"/>
          </w:tcPr>
          <w:p>
            <w:pPr>
              <w:pStyle w:val="TableText"/>
              <w:ind w:left="932"/>
              <w:spacing w:before="188" w:line="219" w:lineRule="auto"/>
              <w:rPr>
                <w:sz w:val="12"/>
                <w:szCs w:val="12"/>
              </w:rPr>
            </w:pPr>
            <w:r>
              <w:rPr>
                <w:sz w:val="12"/>
                <w:szCs w:val="12"/>
                <w:b/>
                <w:bCs/>
                <w:spacing w:val="-3"/>
              </w:rPr>
              <w:t>主要发病月份</w:t>
            </w:r>
          </w:p>
        </w:tc>
        <w:tc>
          <w:tcPr>
            <w:tcW w:w="1259" w:type="dxa"/>
            <w:vAlign w:val="top"/>
          </w:tcPr>
          <w:p>
            <w:pPr>
              <w:pStyle w:val="TableText"/>
              <w:ind w:left="384"/>
              <w:spacing w:before="188" w:line="220" w:lineRule="auto"/>
              <w:rPr>
                <w:sz w:val="12"/>
                <w:szCs w:val="12"/>
              </w:rPr>
            </w:pPr>
            <w:r>
              <w:rPr>
                <w:sz w:val="12"/>
                <w:szCs w:val="12"/>
                <w:b/>
                <w:bCs/>
                <w:spacing w:val="-3"/>
              </w:rPr>
              <w:t>药品名称</w:t>
            </w:r>
          </w:p>
        </w:tc>
        <w:tc>
          <w:tcPr>
            <w:tcW w:w="1859" w:type="dxa"/>
            <w:vAlign w:val="top"/>
          </w:tcPr>
          <w:p>
            <w:pPr>
              <w:pStyle w:val="TableText"/>
              <w:ind w:left="685"/>
              <w:spacing w:before="188" w:line="220" w:lineRule="auto"/>
              <w:rPr>
                <w:sz w:val="12"/>
                <w:szCs w:val="12"/>
              </w:rPr>
            </w:pPr>
            <w:r>
              <w:rPr>
                <w:sz w:val="12"/>
                <w:szCs w:val="12"/>
                <w:b/>
                <w:bCs/>
                <w:spacing w:val="-3"/>
              </w:rPr>
              <w:t>主要成分</w:t>
            </w:r>
          </w:p>
        </w:tc>
        <w:tc>
          <w:tcPr>
            <w:tcW w:w="1679" w:type="dxa"/>
            <w:vAlign w:val="top"/>
          </w:tcPr>
          <w:p>
            <w:pPr>
              <w:pStyle w:val="TableText"/>
              <w:ind w:left="596"/>
              <w:spacing w:before="188" w:line="219" w:lineRule="auto"/>
              <w:rPr>
                <w:sz w:val="12"/>
                <w:szCs w:val="12"/>
              </w:rPr>
            </w:pPr>
            <w:r>
              <w:rPr>
                <w:sz w:val="12"/>
                <w:szCs w:val="12"/>
                <w:b/>
                <w:bCs/>
                <w:spacing w:val="-3"/>
              </w:rPr>
              <w:t>使用倍率</w:t>
            </w:r>
          </w:p>
        </w:tc>
        <w:tc>
          <w:tcPr>
            <w:tcW w:w="1269" w:type="dxa"/>
            <w:vAlign w:val="top"/>
          </w:tcPr>
          <w:p>
            <w:pPr>
              <w:pStyle w:val="TableText"/>
              <w:ind w:left="387"/>
              <w:spacing w:before="188" w:line="219" w:lineRule="auto"/>
              <w:rPr>
                <w:sz w:val="12"/>
                <w:szCs w:val="12"/>
              </w:rPr>
            </w:pPr>
            <w:r>
              <w:rPr>
                <w:sz w:val="12"/>
                <w:szCs w:val="12"/>
                <w:b/>
                <w:bCs/>
                <w:spacing w:val="-3"/>
              </w:rPr>
              <w:t>施用次数</w:t>
            </w:r>
          </w:p>
        </w:tc>
        <w:tc>
          <w:tcPr>
            <w:tcW w:w="859" w:type="dxa"/>
            <w:vAlign w:val="top"/>
          </w:tcPr>
          <w:p>
            <w:pPr>
              <w:pStyle w:val="TableText"/>
              <w:ind w:left="308"/>
              <w:spacing w:before="188" w:line="219" w:lineRule="auto"/>
              <w:rPr>
                <w:sz w:val="12"/>
                <w:szCs w:val="12"/>
              </w:rPr>
            </w:pPr>
            <w:r>
              <w:rPr>
                <w:sz w:val="12"/>
                <w:szCs w:val="12"/>
                <w:b/>
                <w:bCs/>
                <w:spacing w:val="-3"/>
              </w:rPr>
              <w:t>规格</w:t>
            </w:r>
          </w:p>
        </w:tc>
        <w:tc>
          <w:tcPr>
            <w:tcW w:w="2763" w:type="dxa"/>
            <w:vAlign w:val="top"/>
          </w:tcPr>
          <w:p>
            <w:pPr>
              <w:pStyle w:val="TableText"/>
              <w:ind w:left="1259"/>
              <w:spacing w:before="188" w:line="221" w:lineRule="auto"/>
              <w:rPr>
                <w:sz w:val="12"/>
                <w:szCs w:val="12"/>
              </w:rPr>
            </w:pPr>
            <w:r>
              <w:rPr>
                <w:sz w:val="12"/>
                <w:szCs w:val="12"/>
                <w:b/>
                <w:bCs/>
                <w:spacing w:val="-3"/>
              </w:rPr>
              <w:t>备注</w:t>
            </w:r>
          </w:p>
        </w:tc>
      </w:tr>
      <w:tr>
        <w:trPr>
          <w:trHeight w:val="390" w:hRule="atLeast"/>
        </w:trPr>
        <w:tc>
          <w:tcPr>
            <w:tcW w:w="415"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4"/>
              <w:spacing w:before="39" w:line="219" w:lineRule="auto"/>
              <w:rPr>
                <w:sz w:val="12"/>
                <w:szCs w:val="12"/>
              </w:rPr>
            </w:pPr>
            <w:r>
              <w:rPr>
                <w:sz w:val="12"/>
                <w:szCs w:val="12"/>
                <w:spacing w:val="-2"/>
              </w:rPr>
              <w:t>营养剂</w:t>
            </w:r>
          </w:p>
          <w:p>
            <w:pPr>
              <w:pStyle w:val="TableText"/>
              <w:ind w:left="44"/>
              <w:spacing w:before="17" w:line="219" w:lineRule="auto"/>
              <w:rPr>
                <w:sz w:val="12"/>
                <w:szCs w:val="12"/>
              </w:rPr>
            </w:pPr>
            <w:r>
              <w:rPr>
                <w:sz w:val="12"/>
                <w:szCs w:val="12"/>
                <w:spacing w:val="-1"/>
              </w:rPr>
              <w:t>/肥料</w:t>
            </w:r>
          </w:p>
        </w:tc>
        <w:tc>
          <w:tcPr>
            <w:tcW w:w="540"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0"/>
              <w:spacing w:before="39" w:line="219" w:lineRule="auto"/>
              <w:rPr>
                <w:sz w:val="12"/>
                <w:szCs w:val="12"/>
              </w:rPr>
            </w:pPr>
            <w:r>
              <w:rPr>
                <w:sz w:val="12"/>
                <w:szCs w:val="12"/>
                <w:spacing w:val="-1"/>
              </w:rPr>
              <w:t>树木复壮</w:t>
            </w:r>
          </w:p>
        </w:tc>
        <w:tc>
          <w:tcPr>
            <w:tcW w:w="899"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80"/>
              <w:spacing w:before="39" w:line="216" w:lineRule="auto"/>
              <w:rPr>
                <w:sz w:val="12"/>
                <w:szCs w:val="12"/>
              </w:rPr>
            </w:pPr>
            <w:r>
              <w:rPr>
                <w:sz w:val="12"/>
                <w:szCs w:val="12"/>
                <w:spacing w:val="2"/>
              </w:rPr>
              <w:t>树木长势6,白</w:t>
            </w:r>
          </w:p>
          <w:p>
            <w:pPr>
              <w:pStyle w:val="TableText"/>
              <w:ind w:left="20"/>
              <w:spacing w:before="1" w:line="200" w:lineRule="auto"/>
              <w:rPr>
                <w:sz w:val="12"/>
                <w:szCs w:val="12"/>
              </w:rPr>
            </w:pPr>
            <w:r>
              <w:rPr>
                <w:sz w:val="12"/>
                <w:szCs w:val="12"/>
                <w:spacing w:val="-1"/>
              </w:rPr>
              <w:t>原部向下有枯黄</w:t>
            </w:r>
          </w:p>
          <w:p>
            <w:pPr>
              <w:pStyle w:val="TableText"/>
              <w:ind w:left="40"/>
              <w:spacing w:line="199" w:lineRule="auto"/>
              <w:rPr>
                <w:sz w:val="12"/>
                <w:szCs w:val="12"/>
              </w:rPr>
            </w:pPr>
            <w:r>
              <w:rPr>
                <w:sz w:val="12"/>
                <w:szCs w:val="12"/>
                <w:spacing w:val="-1"/>
              </w:rPr>
              <w:t>现象，或高大乔</w:t>
            </w:r>
          </w:p>
          <w:p>
            <w:pPr>
              <w:pStyle w:val="TableText"/>
              <w:ind w:left="80"/>
              <w:spacing w:line="219" w:lineRule="auto"/>
              <w:rPr>
                <w:sz w:val="12"/>
                <w:szCs w:val="12"/>
              </w:rPr>
            </w:pPr>
            <w:r>
              <w:rPr>
                <w:sz w:val="12"/>
                <w:szCs w:val="12"/>
                <w:spacing w:val="-1"/>
              </w:rPr>
              <w:t>木及贵重树木</w:t>
            </w:r>
          </w:p>
        </w:tc>
        <w:tc>
          <w:tcPr>
            <w:tcW w:w="2538"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 w:right="2"/>
              <w:spacing w:before="39" w:line="205" w:lineRule="auto"/>
              <w:jc w:val="both"/>
              <w:rPr>
                <w:sz w:val="12"/>
                <w:szCs w:val="12"/>
              </w:rPr>
            </w:pPr>
            <w:r>
              <w:rPr>
                <w:sz w:val="12"/>
                <w:szCs w:val="12"/>
                <w:spacing w:val="-6"/>
              </w:rPr>
              <w:t>一：主要集中在5月中6月初，气温上升，空气湿度</w:t>
            </w:r>
            <w:r>
              <w:rPr>
                <w:sz w:val="12"/>
                <w:szCs w:val="12"/>
                <w:spacing w:val="16"/>
                <w:w w:val="101"/>
              </w:rPr>
              <w:t xml:space="preserve"> </w:t>
            </w:r>
            <w:r>
              <w:rPr>
                <w:sz w:val="12"/>
                <w:szCs w:val="12"/>
                <w:spacing w:val="-6"/>
              </w:rPr>
              <w:t>增加，苗木结束休眠用开始返青，是树木复壮最性</w:t>
            </w:r>
            <w:r>
              <w:rPr>
                <w:sz w:val="12"/>
                <w:szCs w:val="12"/>
                <w:spacing w:val="15"/>
              </w:rPr>
              <w:t xml:space="preserve"> </w:t>
            </w:r>
            <w:r>
              <w:rPr>
                <w:sz w:val="12"/>
                <w:szCs w:val="12"/>
                <w:spacing w:val="-1"/>
              </w:rPr>
              <w:t>时机：</w:t>
            </w:r>
          </w:p>
          <w:p>
            <w:pPr>
              <w:pStyle w:val="TableText"/>
              <w:ind w:left="11"/>
              <w:spacing w:line="219" w:lineRule="auto"/>
              <w:rPr>
                <w:sz w:val="12"/>
                <w:szCs w:val="12"/>
              </w:rPr>
            </w:pPr>
            <w:r>
              <w:rPr>
                <w:sz w:val="12"/>
                <w:szCs w:val="12"/>
              </w:rPr>
              <w:t>三，7-8月有个别情况，做专项治疗。</w:t>
            </w:r>
          </w:p>
        </w:tc>
        <w:tc>
          <w:tcPr>
            <w:tcW w:w="1259" w:type="dxa"/>
            <w:vAlign w:val="top"/>
          </w:tcPr>
          <w:p>
            <w:pPr>
              <w:pStyle w:val="TableText"/>
              <w:ind w:left="262"/>
              <w:spacing w:before="135" w:line="219" w:lineRule="auto"/>
              <w:rPr>
                <w:sz w:val="12"/>
                <w:szCs w:val="12"/>
              </w:rPr>
            </w:pPr>
            <w:r>
              <w:rPr>
                <w:sz w:val="12"/>
                <w:szCs w:val="12"/>
              </w:rPr>
              <w:t>国光吊针原液</w:t>
            </w:r>
          </w:p>
        </w:tc>
        <w:tc>
          <w:tcPr>
            <w:tcW w:w="1859" w:type="dxa"/>
            <w:vAlign w:val="top"/>
          </w:tcPr>
          <w:p>
            <w:pPr>
              <w:pStyle w:val="TableText"/>
              <w:ind w:left="114"/>
              <w:spacing w:before="135" w:line="219" w:lineRule="auto"/>
              <w:rPr>
                <w:sz w:val="12"/>
                <w:szCs w:val="12"/>
              </w:rPr>
            </w:pPr>
            <w:r>
              <w:rPr>
                <w:sz w:val="12"/>
                <w:szCs w:val="12"/>
                <w:spacing w:val="1"/>
              </w:rPr>
              <w:t>12%含氩茏酸水溶肥料(硼十锋)</w:t>
            </w:r>
          </w:p>
        </w:tc>
        <w:tc>
          <w:tcPr>
            <w:tcW w:w="1679" w:type="dxa"/>
            <w:vAlign w:val="top"/>
          </w:tcPr>
          <w:p>
            <w:pPr>
              <w:pStyle w:val="TableText"/>
              <w:ind w:left="385"/>
              <w:spacing w:before="135" w:line="219" w:lineRule="auto"/>
              <w:rPr>
                <w:sz w:val="12"/>
                <w:szCs w:val="12"/>
              </w:rPr>
            </w:pPr>
            <w:r>
              <w:rPr>
                <w:sz w:val="12"/>
                <w:szCs w:val="12"/>
                <w:spacing w:val="-1"/>
              </w:rPr>
              <w:t>稀释1000-1200倍</w:t>
            </w:r>
          </w:p>
        </w:tc>
        <w:tc>
          <w:tcPr>
            <w:tcW w:w="1269"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206"/>
              <w:spacing w:before="39" w:line="219" w:lineRule="auto"/>
              <w:rPr>
                <w:sz w:val="12"/>
                <w:szCs w:val="12"/>
              </w:rPr>
            </w:pPr>
            <w:r>
              <w:rPr>
                <w:sz w:val="12"/>
                <w:szCs w:val="12"/>
                <w:spacing w:val="-1"/>
              </w:rPr>
              <w:t>视树木生长情况</w:t>
            </w:r>
          </w:p>
        </w:tc>
        <w:tc>
          <w:tcPr>
            <w:tcW w:w="859" w:type="dxa"/>
            <w:vAlign w:val="top"/>
          </w:tcPr>
          <w:p>
            <w:pPr>
              <w:pStyle w:val="TableText"/>
              <w:ind w:left="246"/>
              <w:spacing w:before="131" w:line="214" w:lineRule="auto"/>
              <w:rPr>
                <w:sz w:val="12"/>
                <w:szCs w:val="12"/>
              </w:rPr>
            </w:pPr>
            <w:r>
              <w:rPr>
                <w:sz w:val="12"/>
                <w:szCs w:val="12"/>
                <w:spacing w:val="-1"/>
              </w:rPr>
              <w:t>200g/E</w:t>
            </w:r>
          </w:p>
        </w:tc>
        <w:tc>
          <w:tcPr>
            <w:tcW w:w="2763" w:type="dxa"/>
            <w:vAlign w:val="top"/>
          </w:tcPr>
          <w:p>
            <w:pPr>
              <w:pStyle w:val="TableText"/>
              <w:ind w:left="18"/>
              <w:spacing w:before="135" w:line="219" w:lineRule="auto"/>
              <w:rPr>
                <w:sz w:val="12"/>
                <w:szCs w:val="12"/>
              </w:rPr>
            </w:pPr>
            <w:r>
              <w:rPr>
                <w:sz w:val="12"/>
                <w:szCs w:val="12"/>
                <w:spacing w:val="-1"/>
              </w:rPr>
              <w:t>补充水分和养分，促进快速成活</w:t>
            </w:r>
          </w:p>
        </w:tc>
      </w:tr>
      <w:tr>
        <w:trPr>
          <w:trHeight w:val="40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322"/>
              <w:spacing w:before="145" w:line="219" w:lineRule="auto"/>
              <w:rPr>
                <w:sz w:val="12"/>
                <w:szCs w:val="12"/>
              </w:rPr>
            </w:pPr>
            <w:r>
              <w:rPr>
                <w:sz w:val="12"/>
                <w:szCs w:val="12"/>
              </w:rPr>
              <w:t>国光施它活</w:t>
            </w:r>
          </w:p>
        </w:tc>
        <w:tc>
          <w:tcPr>
            <w:tcW w:w="1859" w:type="dxa"/>
            <w:vAlign w:val="top"/>
          </w:tcPr>
          <w:p>
            <w:pPr>
              <w:pStyle w:val="TableText"/>
              <w:ind w:left="800" w:hanging="786"/>
              <w:spacing w:before="95" w:line="209" w:lineRule="auto"/>
              <w:rPr>
                <w:sz w:val="12"/>
                <w:szCs w:val="12"/>
              </w:rPr>
            </w:pPr>
            <w:r>
              <w:rPr>
                <w:sz w:val="12"/>
                <w:szCs w:val="12"/>
                <w:spacing w:val="-6"/>
              </w:rPr>
              <w:t>生长素类高话性物质、含丰富矿物质</w:t>
            </w:r>
            <w:r>
              <w:rPr>
                <w:sz w:val="12"/>
                <w:szCs w:val="12"/>
                <w:spacing w:val="9"/>
              </w:rPr>
              <w:t xml:space="preserve"> </w:t>
            </w:r>
            <w:r>
              <w:rPr>
                <w:sz w:val="12"/>
                <w:szCs w:val="12"/>
                <w:spacing w:val="-2"/>
              </w:rPr>
              <w:t>游剂</w:t>
            </w:r>
          </w:p>
        </w:tc>
        <w:tc>
          <w:tcPr>
            <w:tcW w:w="1679" w:type="dxa"/>
            <w:vAlign w:val="top"/>
          </w:tcPr>
          <w:p>
            <w:pPr>
              <w:pStyle w:val="TableText"/>
              <w:ind w:left="174" w:right="29" w:hanging="149"/>
              <w:spacing w:before="95" w:line="210" w:lineRule="auto"/>
              <w:rPr>
                <w:sz w:val="12"/>
                <w:szCs w:val="12"/>
              </w:rPr>
            </w:pPr>
            <w:r>
              <w:rPr>
                <w:sz w:val="12"/>
                <w:szCs w:val="12"/>
                <w:spacing w:val="-1"/>
              </w:rPr>
              <w:t>直接便用，一般胸径5-10cm用1</w:t>
            </w:r>
            <w:r>
              <w:rPr>
                <w:sz w:val="12"/>
                <w:szCs w:val="12"/>
                <w:spacing w:val="10"/>
              </w:rPr>
              <w:t xml:space="preserve"> </w:t>
            </w:r>
            <w:r>
              <w:rPr>
                <w:sz w:val="12"/>
                <w:szCs w:val="12"/>
                <w:spacing w:val="-1"/>
              </w:rPr>
              <w:t>袋，每增加10cm增加一袋</w:t>
            </w:r>
          </w:p>
        </w:tc>
        <w:tc>
          <w:tcPr>
            <w:tcW w:w="1269" w:type="dxa"/>
            <w:vAlign w:val="top"/>
            <w:vMerge w:val="continue"/>
            <w:tcBorders>
              <w:top w:val="nil"/>
              <w:bottom w:val="nil"/>
            </w:tcBorders>
          </w:tcPr>
          <w:p>
            <w:pPr>
              <w:rPr>
                <w:rFonts w:ascii="Arial"/>
                <w:sz w:val="21"/>
              </w:rPr>
            </w:pPr>
            <w:r/>
          </w:p>
        </w:tc>
        <w:tc>
          <w:tcPr>
            <w:tcW w:w="859" w:type="dxa"/>
            <w:vAlign w:val="top"/>
          </w:tcPr>
          <w:p>
            <w:pPr>
              <w:pStyle w:val="TableText"/>
              <w:ind w:left="246"/>
              <w:spacing w:before="141" w:line="214" w:lineRule="auto"/>
              <w:rPr>
                <w:sz w:val="12"/>
                <w:szCs w:val="12"/>
              </w:rPr>
            </w:pPr>
            <w:r>
              <w:rPr>
                <w:sz w:val="12"/>
                <w:szCs w:val="12"/>
                <w:spacing w:val="-1"/>
              </w:rPr>
              <w:t>Jkg/装</w:t>
            </w:r>
          </w:p>
        </w:tc>
        <w:tc>
          <w:tcPr>
            <w:tcW w:w="2763" w:type="dxa"/>
            <w:vAlign w:val="top"/>
          </w:tcPr>
          <w:p>
            <w:pPr>
              <w:pStyle w:val="TableText"/>
              <w:spacing w:before="145" w:line="219" w:lineRule="auto"/>
              <w:jc w:val="right"/>
              <w:rPr>
                <w:sz w:val="12"/>
                <w:szCs w:val="12"/>
              </w:rPr>
            </w:pPr>
            <w:r>
              <w:rPr>
                <w:sz w:val="12"/>
                <w:szCs w:val="12"/>
                <w:spacing w:val="-7"/>
              </w:rPr>
              <w:t>促</w:t>
            </w:r>
            <w:r>
              <w:rPr>
                <w:sz w:val="12"/>
                <w:szCs w:val="12"/>
                <w:spacing w:val="-6"/>
              </w:rPr>
              <w:t>使树体健壮，迅速补充营养，增强抗性，提高</w:t>
            </w:r>
            <w:r>
              <w:rPr>
                <w:sz w:val="12"/>
                <w:szCs w:val="12"/>
                <w:spacing w:val="-7"/>
              </w:rPr>
              <w:t>成活</w:t>
            </w:r>
            <w:r>
              <w:rPr>
                <w:sz w:val="12"/>
                <w:szCs w:val="12"/>
                <w:spacing w:val="-6"/>
              </w:rPr>
              <w:t>率</w:t>
            </w:r>
          </w:p>
        </w:tc>
      </w:tr>
      <w:tr>
        <w:trPr>
          <w:trHeight w:val="41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46" w:line="219" w:lineRule="auto"/>
              <w:rPr>
                <w:sz w:val="12"/>
                <w:szCs w:val="12"/>
              </w:rPr>
            </w:pPr>
            <w:r>
              <w:rPr>
                <w:sz w:val="12"/>
                <w:szCs w:val="12"/>
                <w:spacing w:val="2"/>
              </w:rPr>
              <w:t>国光动力</w:t>
            </w:r>
          </w:p>
        </w:tc>
        <w:tc>
          <w:tcPr>
            <w:tcW w:w="1859" w:type="dxa"/>
            <w:vAlign w:val="top"/>
          </w:tcPr>
          <w:p>
            <w:pPr>
              <w:pStyle w:val="TableText"/>
              <w:ind w:left="264"/>
              <w:spacing w:before="146" w:line="219" w:lineRule="auto"/>
              <w:rPr>
                <w:sz w:val="12"/>
                <w:szCs w:val="12"/>
              </w:rPr>
            </w:pPr>
            <w:r>
              <w:rPr>
                <w:sz w:val="12"/>
                <w:szCs w:val="12"/>
                <w:spacing w:val="2"/>
              </w:rPr>
              <w:t>13%含氨基酸水溺肥《钙)</w:t>
            </w:r>
          </w:p>
        </w:tc>
        <w:tc>
          <w:tcPr>
            <w:tcW w:w="1679" w:type="dxa"/>
            <w:vAlign w:val="top"/>
          </w:tcPr>
          <w:p>
            <w:pPr>
              <w:pStyle w:val="TableText"/>
              <w:ind w:left="355"/>
              <w:spacing w:before="146" w:line="219" w:lineRule="auto"/>
              <w:rPr>
                <w:sz w:val="12"/>
                <w:szCs w:val="12"/>
              </w:rPr>
            </w:pPr>
            <w:r>
              <w:rPr>
                <w:sz w:val="12"/>
                <w:szCs w:val="12"/>
                <w:spacing w:val="-1"/>
              </w:rPr>
              <w:t>稀释800-1000倍液</w:t>
            </w:r>
          </w:p>
        </w:tc>
        <w:tc>
          <w:tcPr>
            <w:tcW w:w="1269" w:type="dxa"/>
            <w:vAlign w:val="top"/>
            <w:vMerge w:val="continue"/>
            <w:tcBorders>
              <w:top w:val="nil"/>
              <w:bottom w:val="nil"/>
            </w:tcBorders>
          </w:tcPr>
          <w:p>
            <w:pPr>
              <w:rPr>
                <w:rFonts w:ascii="Arial"/>
                <w:sz w:val="21"/>
              </w:rPr>
            </w:pPr>
            <w:r/>
          </w:p>
        </w:tc>
        <w:tc>
          <w:tcPr>
            <w:tcW w:w="859" w:type="dxa"/>
            <w:vAlign w:val="top"/>
          </w:tcPr>
          <w:p>
            <w:pPr>
              <w:pStyle w:val="TableText"/>
              <w:ind w:left="187"/>
              <w:spacing w:before="147" w:line="221" w:lineRule="auto"/>
              <w:rPr>
                <w:sz w:val="12"/>
                <w:szCs w:val="12"/>
              </w:rPr>
            </w:pPr>
            <w:r>
              <w:rPr>
                <w:sz w:val="12"/>
                <w:szCs w:val="12"/>
                <w:spacing w:val="-1"/>
              </w:rPr>
              <w:t>200m1/瓶</w:t>
            </w:r>
          </w:p>
        </w:tc>
        <w:tc>
          <w:tcPr>
            <w:tcW w:w="2763" w:type="dxa"/>
            <w:vAlign w:val="top"/>
          </w:tcPr>
          <w:p>
            <w:pPr>
              <w:pStyle w:val="TableText"/>
              <w:ind w:left="18"/>
              <w:spacing w:before="146" w:line="219" w:lineRule="auto"/>
              <w:rPr>
                <w:sz w:val="12"/>
                <w:szCs w:val="12"/>
              </w:rPr>
            </w:pPr>
            <w:r>
              <w:rPr>
                <w:sz w:val="12"/>
                <w:szCs w:val="12"/>
                <w:spacing w:val="-1"/>
              </w:rPr>
              <w:t>诱导树木快速生模，提高移栽成活率</w:t>
            </w:r>
          </w:p>
        </w:tc>
      </w:tr>
      <w:tr>
        <w:trPr>
          <w:trHeight w:val="410"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47" w:line="219" w:lineRule="auto"/>
              <w:rPr>
                <w:sz w:val="12"/>
                <w:szCs w:val="12"/>
              </w:rPr>
            </w:pPr>
            <w:r>
              <w:rPr>
                <w:sz w:val="12"/>
                <w:szCs w:val="12"/>
                <w:spacing w:val="1"/>
              </w:rPr>
              <w:t>国光根盼</w:t>
            </w:r>
          </w:p>
        </w:tc>
        <w:tc>
          <w:tcPr>
            <w:tcW w:w="1859" w:type="dxa"/>
            <w:vAlign w:val="top"/>
          </w:tcPr>
          <w:p>
            <w:pPr>
              <w:pStyle w:val="TableText"/>
              <w:ind w:left="444"/>
              <w:spacing w:before="148" w:line="220" w:lineRule="auto"/>
              <w:rPr>
                <w:sz w:val="12"/>
                <w:szCs w:val="12"/>
              </w:rPr>
            </w:pPr>
            <w:r>
              <w:rPr>
                <w:sz w:val="12"/>
                <w:szCs w:val="12"/>
                <w:spacing w:val="-1"/>
              </w:rPr>
              <w:t>秦乙酸、吲噪乙酸</w:t>
            </w:r>
          </w:p>
        </w:tc>
        <w:tc>
          <w:tcPr>
            <w:tcW w:w="1679" w:type="dxa"/>
            <w:vAlign w:val="top"/>
          </w:tcPr>
          <w:p>
            <w:pPr>
              <w:pStyle w:val="TableText"/>
              <w:ind w:left="445"/>
              <w:spacing w:before="148" w:line="220" w:lineRule="auto"/>
              <w:rPr>
                <w:sz w:val="12"/>
                <w:szCs w:val="12"/>
              </w:rPr>
            </w:pPr>
            <w:r>
              <w:rPr>
                <w:sz w:val="12"/>
                <w:szCs w:val="12"/>
                <w:spacing w:val="-2"/>
              </w:rPr>
              <w:t>1000-2000倍液</w:t>
            </w:r>
          </w:p>
        </w:tc>
        <w:tc>
          <w:tcPr>
            <w:tcW w:w="1269" w:type="dxa"/>
            <w:vAlign w:val="top"/>
            <w:vMerge w:val="continue"/>
            <w:tcBorders>
              <w:top w:val="nil"/>
              <w:bottom w:val="nil"/>
            </w:tcBorders>
          </w:tcPr>
          <w:p>
            <w:pPr>
              <w:rPr>
                <w:rFonts w:ascii="Arial"/>
                <w:sz w:val="21"/>
              </w:rPr>
            </w:pPr>
            <w:r/>
          </w:p>
        </w:tc>
        <w:tc>
          <w:tcPr>
            <w:tcW w:w="859" w:type="dxa"/>
            <w:vAlign w:val="top"/>
          </w:tcPr>
          <w:p>
            <w:pPr>
              <w:pStyle w:val="TableText"/>
              <w:ind w:left="187"/>
              <w:spacing w:before="148" w:line="221" w:lineRule="auto"/>
              <w:rPr>
                <w:sz w:val="12"/>
                <w:szCs w:val="12"/>
              </w:rPr>
            </w:pPr>
            <w:r>
              <w:rPr>
                <w:sz w:val="12"/>
                <w:szCs w:val="12"/>
                <w:spacing w:val="-1"/>
              </w:rPr>
              <w:t>200m1/瓶</w:t>
            </w:r>
          </w:p>
        </w:tc>
        <w:tc>
          <w:tcPr>
            <w:tcW w:w="2763" w:type="dxa"/>
            <w:vAlign w:val="top"/>
          </w:tcPr>
          <w:p>
            <w:pPr>
              <w:pStyle w:val="TableText"/>
              <w:ind w:left="18"/>
              <w:spacing w:before="77" w:line="233" w:lineRule="auto"/>
              <w:rPr>
                <w:sz w:val="12"/>
                <w:szCs w:val="12"/>
              </w:rPr>
            </w:pPr>
            <w:r>
              <w:rPr>
                <w:sz w:val="12"/>
                <w:szCs w:val="12"/>
                <w:spacing w:val="-7"/>
              </w:rPr>
              <w:t>促</w:t>
            </w:r>
            <w:r>
              <w:rPr>
                <w:sz w:val="12"/>
                <w:szCs w:val="12"/>
                <w:spacing w:val="-6"/>
              </w:rPr>
              <w:t>使树木快速生根，形成庞大根系，快速萌芽，</w:t>
            </w:r>
            <w:r>
              <w:rPr>
                <w:sz w:val="12"/>
                <w:szCs w:val="12"/>
                <w:spacing w:val="-7"/>
              </w:rPr>
              <w:t>改善</w:t>
            </w:r>
            <w:r>
              <w:rPr>
                <w:sz w:val="12"/>
                <w:szCs w:val="12"/>
                <w:spacing w:val="-6"/>
              </w:rPr>
              <w:t>植</w:t>
            </w:r>
            <w:r>
              <w:rPr>
                <w:sz w:val="12"/>
                <w:szCs w:val="12"/>
              </w:rPr>
              <w:t xml:space="preserve"> </w:t>
            </w:r>
            <w:r>
              <w:rPr>
                <w:sz w:val="12"/>
                <w:szCs w:val="12"/>
                <w:spacing w:val="-2"/>
              </w:rPr>
              <w:t>物长势</w:t>
            </w:r>
          </w:p>
        </w:tc>
      </w:tr>
      <w:tr>
        <w:trPr>
          <w:trHeight w:val="44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67" w:line="219" w:lineRule="auto"/>
              <w:rPr>
                <w:sz w:val="12"/>
                <w:szCs w:val="12"/>
              </w:rPr>
            </w:pPr>
            <w:r>
              <w:rPr>
                <w:sz w:val="12"/>
                <w:szCs w:val="12"/>
                <w:spacing w:val="1"/>
              </w:rPr>
              <w:t>国光生跟</w:t>
            </w:r>
          </w:p>
        </w:tc>
        <w:tc>
          <w:tcPr>
            <w:tcW w:w="1859" w:type="dxa"/>
            <w:vAlign w:val="top"/>
          </w:tcPr>
          <w:p>
            <w:pPr>
              <w:pStyle w:val="TableText"/>
              <w:ind w:left="744"/>
              <w:spacing w:before="167" w:line="219" w:lineRule="auto"/>
              <w:rPr>
                <w:sz w:val="12"/>
                <w:szCs w:val="12"/>
              </w:rPr>
            </w:pPr>
            <w:r>
              <w:rPr>
                <w:sz w:val="12"/>
                <w:szCs w:val="12"/>
                <w:spacing w:val="-2"/>
              </w:rPr>
              <w:t>蔡乙酸</w:t>
            </w:r>
          </w:p>
        </w:tc>
        <w:tc>
          <w:tcPr>
            <w:tcW w:w="1679" w:type="dxa"/>
            <w:vAlign w:val="top"/>
          </w:tcPr>
          <w:p>
            <w:pPr>
              <w:pStyle w:val="TableText"/>
              <w:ind w:left="535"/>
              <w:spacing w:before="168" w:line="220" w:lineRule="auto"/>
              <w:rPr>
                <w:sz w:val="12"/>
                <w:szCs w:val="12"/>
              </w:rPr>
            </w:pPr>
            <w:r>
              <w:rPr>
                <w:sz w:val="12"/>
                <w:szCs w:val="12"/>
                <w:spacing w:val="-6"/>
              </w:rPr>
              <w:t>800—1000倍</w:t>
            </w:r>
          </w:p>
        </w:tc>
        <w:tc>
          <w:tcPr>
            <w:tcW w:w="1269" w:type="dxa"/>
            <w:vAlign w:val="top"/>
            <w:vMerge w:val="continue"/>
            <w:tcBorders>
              <w:top w:val="nil"/>
              <w:bottom w:val="nil"/>
            </w:tcBorders>
          </w:tcPr>
          <w:p>
            <w:pPr>
              <w:rPr>
                <w:rFonts w:ascii="Arial"/>
                <w:sz w:val="21"/>
              </w:rPr>
            </w:pPr>
            <w:r/>
          </w:p>
        </w:tc>
        <w:tc>
          <w:tcPr>
            <w:tcW w:w="859" w:type="dxa"/>
            <w:vAlign w:val="top"/>
          </w:tcPr>
          <w:p>
            <w:pPr>
              <w:pStyle w:val="TableText"/>
              <w:ind w:left="246"/>
              <w:spacing w:before="163" w:line="214" w:lineRule="auto"/>
              <w:rPr>
                <w:sz w:val="12"/>
                <w:szCs w:val="12"/>
              </w:rPr>
            </w:pPr>
            <w:r>
              <w:rPr>
                <w:sz w:val="12"/>
                <w:szCs w:val="12"/>
                <w:spacing w:val="-1"/>
              </w:rPr>
              <w:t>20g/装</w:t>
            </w:r>
          </w:p>
        </w:tc>
        <w:tc>
          <w:tcPr>
            <w:tcW w:w="2763" w:type="dxa"/>
            <w:vAlign w:val="top"/>
          </w:tcPr>
          <w:p>
            <w:pPr>
              <w:pStyle w:val="TableText"/>
              <w:ind w:left="18"/>
              <w:spacing w:before="117" w:line="209" w:lineRule="auto"/>
              <w:rPr>
                <w:sz w:val="12"/>
                <w:szCs w:val="12"/>
              </w:rPr>
            </w:pPr>
            <w:r>
              <w:rPr>
                <w:sz w:val="12"/>
                <w:szCs w:val="12"/>
                <w:spacing w:val="-7"/>
              </w:rPr>
              <w:t>提</w:t>
            </w:r>
            <w:r>
              <w:rPr>
                <w:sz w:val="12"/>
                <w:szCs w:val="12"/>
                <w:spacing w:val="-6"/>
              </w:rPr>
              <w:t>供根系生长发育内源动力，诱导刺激根系活力</w:t>
            </w:r>
            <w:r>
              <w:rPr>
                <w:sz w:val="12"/>
                <w:szCs w:val="12"/>
                <w:spacing w:val="-7"/>
              </w:rPr>
              <w:t>，提</w:t>
            </w:r>
            <w:r>
              <w:rPr>
                <w:sz w:val="12"/>
                <w:szCs w:val="12"/>
                <w:spacing w:val="-6"/>
              </w:rPr>
              <w:t>高</w:t>
            </w:r>
            <w:r>
              <w:rPr>
                <w:sz w:val="12"/>
                <w:szCs w:val="12"/>
              </w:rPr>
              <w:t xml:space="preserve"> </w:t>
            </w:r>
            <w:r>
              <w:rPr>
                <w:sz w:val="12"/>
                <w:szCs w:val="12"/>
                <w:spacing w:val="-1"/>
              </w:rPr>
              <w:t>移栽成活率，促进草坪快速生根成块</w:t>
            </w:r>
          </w:p>
        </w:tc>
      </w:tr>
      <w:tr>
        <w:trPr>
          <w:trHeight w:val="51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202"/>
              <w:spacing w:before="198" w:line="219" w:lineRule="auto"/>
              <w:rPr>
                <w:sz w:val="12"/>
                <w:szCs w:val="12"/>
              </w:rPr>
            </w:pPr>
            <w:r>
              <w:rPr>
                <w:sz w:val="12"/>
                <w:szCs w:val="12"/>
              </w:rPr>
              <w:t>国光树动力套餐</w:t>
            </w:r>
          </w:p>
        </w:tc>
        <w:tc>
          <w:tcPr>
            <w:tcW w:w="1859" w:type="dxa"/>
            <w:vAlign w:val="top"/>
          </w:tcPr>
          <w:p>
            <w:pPr>
              <w:pStyle w:val="TableText"/>
              <w:ind w:left="763" w:hanging="749"/>
              <w:spacing w:before="148" w:line="209" w:lineRule="auto"/>
              <w:rPr>
                <w:sz w:val="12"/>
                <w:szCs w:val="12"/>
              </w:rPr>
            </w:pPr>
            <w:r>
              <w:rPr>
                <w:sz w:val="12"/>
                <w:szCs w:val="12"/>
                <w:spacing w:val="-6"/>
              </w:rPr>
              <w:t>细胞分裂类高活性物质、含丰富矿物</w:t>
            </w:r>
            <w:r>
              <w:rPr>
                <w:sz w:val="12"/>
                <w:szCs w:val="12"/>
                <w:spacing w:val="9"/>
              </w:rPr>
              <w:t xml:space="preserve"> </w:t>
            </w:r>
            <w:r>
              <w:rPr>
                <w:sz w:val="12"/>
                <w:szCs w:val="12"/>
                <w:spacing w:val="-2"/>
              </w:rPr>
              <w:t>质溶剂</w:t>
            </w:r>
          </w:p>
        </w:tc>
        <w:tc>
          <w:tcPr>
            <w:tcW w:w="1679" w:type="dxa"/>
            <w:vAlign w:val="top"/>
          </w:tcPr>
          <w:p>
            <w:pPr>
              <w:pStyle w:val="TableText"/>
              <w:ind w:left="154" w:right="29" w:hanging="129"/>
              <w:spacing w:before="148" w:line="210" w:lineRule="auto"/>
              <w:rPr>
                <w:sz w:val="12"/>
                <w:szCs w:val="12"/>
              </w:rPr>
            </w:pPr>
            <w:r>
              <w:rPr>
                <w:sz w:val="12"/>
                <w:szCs w:val="12"/>
                <w:spacing w:val="-1"/>
              </w:rPr>
              <w:t>直接使用，一段胸径8-10cm播1</w:t>
            </w:r>
            <w:r>
              <w:rPr>
                <w:sz w:val="12"/>
                <w:szCs w:val="12"/>
                <w:spacing w:val="10"/>
              </w:rPr>
              <w:t xml:space="preserve"> </w:t>
            </w:r>
            <w:r>
              <w:rPr>
                <w:sz w:val="12"/>
                <w:szCs w:val="12"/>
                <w:spacing w:val="-1"/>
              </w:rPr>
              <w:t>瓶，胸径每增加10增加1瓶</w:t>
            </w:r>
          </w:p>
        </w:tc>
        <w:tc>
          <w:tcPr>
            <w:tcW w:w="1269" w:type="dxa"/>
            <w:vAlign w:val="top"/>
            <w:vMerge w:val="continue"/>
            <w:tcBorders>
              <w:top w:val="nil"/>
              <w:bottom w:val="nil"/>
            </w:tcBorders>
          </w:tcPr>
          <w:p>
            <w:pPr>
              <w:rPr>
                <w:rFonts w:ascii="Arial"/>
                <w:sz w:val="21"/>
              </w:rPr>
            </w:pPr>
            <w:r/>
          </w:p>
        </w:tc>
        <w:tc>
          <w:tcPr>
            <w:tcW w:w="859" w:type="dxa"/>
            <w:vAlign w:val="top"/>
          </w:tcPr>
          <w:p>
            <w:pPr>
              <w:pStyle w:val="TableText"/>
              <w:ind w:left="187"/>
              <w:spacing w:before="199" w:line="221" w:lineRule="auto"/>
              <w:rPr>
                <w:sz w:val="12"/>
                <w:szCs w:val="12"/>
              </w:rPr>
            </w:pPr>
            <w:r>
              <w:rPr>
                <w:sz w:val="12"/>
                <w:szCs w:val="12"/>
                <w:spacing w:val="-1"/>
              </w:rPr>
              <w:t>300ml/瓶</w:t>
            </w:r>
          </w:p>
        </w:tc>
        <w:tc>
          <w:tcPr>
            <w:tcW w:w="2763" w:type="dxa"/>
            <w:vAlign w:val="top"/>
          </w:tcPr>
          <w:p>
            <w:pPr>
              <w:pStyle w:val="TableText"/>
              <w:ind w:left="18"/>
              <w:spacing w:before="198" w:line="219" w:lineRule="auto"/>
              <w:rPr>
                <w:sz w:val="12"/>
                <w:szCs w:val="12"/>
              </w:rPr>
            </w:pPr>
            <w:r>
              <w:rPr>
                <w:sz w:val="12"/>
                <w:szCs w:val="12"/>
                <w:spacing w:val="-1"/>
              </w:rPr>
              <w:t>大树直插框，大树古树复壮</w:t>
            </w:r>
          </w:p>
        </w:tc>
      </w:tr>
      <w:tr>
        <w:trPr>
          <w:trHeight w:val="49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383"/>
              <w:spacing w:before="189" w:line="219" w:lineRule="auto"/>
              <w:rPr>
                <w:sz w:val="12"/>
                <w:szCs w:val="12"/>
              </w:rPr>
            </w:pPr>
            <w:r>
              <w:rPr>
                <w:sz w:val="12"/>
                <w:szCs w:val="12"/>
                <w:spacing w:val="1"/>
              </w:rPr>
              <w:t>国光棒肥</w:t>
            </w:r>
          </w:p>
        </w:tc>
        <w:tc>
          <w:tcPr>
            <w:tcW w:w="1859" w:type="dxa"/>
            <w:vAlign w:val="top"/>
          </w:tcPr>
          <w:p>
            <w:pPr>
              <w:pStyle w:val="TableText"/>
              <w:ind w:left="144"/>
              <w:spacing w:before="189" w:line="219" w:lineRule="auto"/>
              <w:rPr>
                <w:sz w:val="12"/>
                <w:szCs w:val="12"/>
              </w:rPr>
            </w:pPr>
            <w:r>
              <w:rPr>
                <w:sz w:val="12"/>
                <w:szCs w:val="12"/>
                <w:spacing w:val="-1"/>
              </w:rPr>
              <w:t>微肥、稀有元素、大量元素肥</w:t>
            </w:r>
          </w:p>
        </w:tc>
        <w:tc>
          <w:tcPr>
            <w:tcW w:w="1679" w:type="dxa"/>
            <w:vAlign w:val="top"/>
          </w:tcPr>
          <w:p>
            <w:pPr>
              <w:pStyle w:val="TableText"/>
              <w:ind w:left="15"/>
              <w:spacing w:before="50" w:line="225" w:lineRule="auto"/>
              <w:jc w:val="both"/>
              <w:rPr>
                <w:sz w:val="12"/>
                <w:szCs w:val="12"/>
              </w:rPr>
            </w:pPr>
            <w:r>
              <w:rPr>
                <w:sz w:val="12"/>
                <w:szCs w:val="12"/>
                <w:spacing w:val="-2"/>
              </w:rPr>
              <w:t>直接使用，根据树的胸径进行调</w:t>
            </w:r>
            <w:r>
              <w:rPr>
                <w:sz w:val="12"/>
                <w:szCs w:val="12"/>
              </w:rPr>
              <w:t xml:space="preserve"> </w:t>
            </w:r>
            <w:r>
              <w:rPr>
                <w:sz w:val="12"/>
                <w:szCs w:val="12"/>
                <w:spacing w:val="-5"/>
              </w:rPr>
              <w:t>整：10cx一下的树1-2支。10cn以</w:t>
            </w:r>
            <w:r>
              <w:rPr>
                <w:sz w:val="12"/>
                <w:szCs w:val="12"/>
              </w:rPr>
              <w:t xml:space="preserve"> </w:t>
            </w:r>
            <w:r>
              <w:rPr>
                <w:sz w:val="12"/>
                <w:szCs w:val="12"/>
                <w:spacing w:val="-2"/>
              </w:rPr>
              <w:t>上的树胸径每增加5cm则增加1支</w:t>
            </w:r>
          </w:p>
        </w:tc>
        <w:tc>
          <w:tcPr>
            <w:tcW w:w="1269" w:type="dxa"/>
            <w:vAlign w:val="top"/>
            <w:vMerge w:val="continue"/>
            <w:tcBorders>
              <w:top w:val="nil"/>
              <w:bottom w:val="nil"/>
            </w:tcBorders>
          </w:tcPr>
          <w:p>
            <w:pPr>
              <w:rPr>
                <w:rFonts w:ascii="Arial"/>
                <w:sz w:val="21"/>
              </w:rPr>
            </w:pPr>
            <w:r/>
          </w:p>
        </w:tc>
        <w:tc>
          <w:tcPr>
            <w:tcW w:w="859" w:type="dxa"/>
            <w:vAlign w:val="top"/>
          </w:tcPr>
          <w:p>
            <w:pPr>
              <w:pStyle w:val="TableText"/>
              <w:ind w:left="97"/>
              <w:spacing w:before="190" w:line="220" w:lineRule="auto"/>
              <w:rPr>
                <w:sz w:val="12"/>
                <w:szCs w:val="12"/>
              </w:rPr>
            </w:pPr>
            <w:r>
              <w:rPr>
                <w:sz w:val="12"/>
                <w:szCs w:val="12"/>
                <w:spacing w:val="-1"/>
              </w:rPr>
              <w:t>3*15cm*10根</w:t>
            </w:r>
          </w:p>
        </w:tc>
        <w:tc>
          <w:tcPr>
            <w:tcW w:w="2763" w:type="dxa"/>
            <w:vAlign w:val="top"/>
          </w:tcPr>
          <w:p>
            <w:pPr>
              <w:pStyle w:val="TableText"/>
              <w:ind w:left="18"/>
              <w:spacing w:before="189" w:line="219" w:lineRule="auto"/>
              <w:rPr>
                <w:sz w:val="12"/>
                <w:szCs w:val="12"/>
              </w:rPr>
            </w:pPr>
            <w:r>
              <w:rPr>
                <w:sz w:val="12"/>
                <w:szCs w:val="12"/>
                <w:spacing w:val="-1"/>
              </w:rPr>
              <w:t>古树。病树，弱树复壮</w:t>
            </w:r>
          </w:p>
        </w:tc>
      </w:tr>
      <w:tr>
        <w:trPr>
          <w:trHeight w:val="410"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202"/>
              <w:spacing w:before="150" w:line="219" w:lineRule="auto"/>
              <w:rPr>
                <w:sz w:val="12"/>
                <w:szCs w:val="12"/>
              </w:rPr>
            </w:pPr>
            <w:r>
              <w:rPr>
                <w:sz w:val="12"/>
                <w:szCs w:val="12"/>
              </w:rPr>
              <w:t>国光雨阳复合肥</w:t>
            </w:r>
          </w:p>
        </w:tc>
        <w:tc>
          <w:tcPr>
            <w:tcW w:w="1859" w:type="dxa"/>
            <w:vAlign w:val="top"/>
          </w:tcPr>
          <w:p>
            <w:pPr>
              <w:pStyle w:val="TableText"/>
              <w:ind w:left="623"/>
              <w:spacing w:before="150" w:line="219" w:lineRule="auto"/>
              <w:rPr>
                <w:sz w:val="12"/>
                <w:szCs w:val="12"/>
              </w:rPr>
            </w:pPr>
            <w:r>
              <w:rPr>
                <w:sz w:val="12"/>
                <w:szCs w:val="12"/>
                <w:spacing w:val="-1"/>
              </w:rPr>
              <w:t>大量元素肥</w:t>
            </w:r>
          </w:p>
        </w:tc>
        <w:tc>
          <w:tcPr>
            <w:tcW w:w="1679" w:type="dxa"/>
            <w:vAlign w:val="top"/>
          </w:tcPr>
          <w:p>
            <w:pPr>
              <w:pStyle w:val="TableText"/>
              <w:ind w:left="595"/>
              <w:spacing w:before="150" w:line="219" w:lineRule="auto"/>
              <w:rPr>
                <w:sz w:val="12"/>
                <w:szCs w:val="12"/>
              </w:rPr>
            </w:pPr>
            <w:r>
              <w:rPr>
                <w:sz w:val="12"/>
                <w:szCs w:val="12"/>
                <w:spacing w:val="3"/>
              </w:rPr>
              <w:t>直接使用</w:t>
            </w:r>
          </w:p>
        </w:tc>
        <w:tc>
          <w:tcPr>
            <w:tcW w:w="1269" w:type="dxa"/>
            <w:vAlign w:val="top"/>
            <w:vMerge w:val="continue"/>
            <w:tcBorders>
              <w:top w:val="nil"/>
            </w:tcBorders>
          </w:tcPr>
          <w:p>
            <w:pPr>
              <w:rPr>
                <w:rFonts w:ascii="Arial"/>
                <w:sz w:val="21"/>
              </w:rPr>
            </w:pPr>
            <w:r/>
          </w:p>
        </w:tc>
        <w:tc>
          <w:tcPr>
            <w:tcW w:w="859" w:type="dxa"/>
            <w:vAlign w:val="top"/>
          </w:tcPr>
          <w:p>
            <w:pPr>
              <w:pStyle w:val="TableText"/>
              <w:ind w:left="216"/>
              <w:spacing w:before="146" w:line="214" w:lineRule="auto"/>
              <w:rPr>
                <w:sz w:val="12"/>
                <w:szCs w:val="12"/>
              </w:rPr>
            </w:pPr>
            <w:r>
              <w:rPr>
                <w:sz w:val="12"/>
                <w:szCs w:val="12"/>
                <w:spacing w:val="-1"/>
              </w:rPr>
              <w:t>20kg/袋</w:t>
            </w:r>
          </w:p>
        </w:tc>
        <w:tc>
          <w:tcPr>
            <w:tcW w:w="2763" w:type="dxa"/>
            <w:vAlign w:val="top"/>
          </w:tcPr>
          <w:p>
            <w:pPr>
              <w:pStyle w:val="TableText"/>
              <w:ind w:left="18"/>
              <w:spacing w:before="150" w:line="219" w:lineRule="auto"/>
              <w:rPr>
                <w:sz w:val="12"/>
                <w:szCs w:val="12"/>
              </w:rPr>
            </w:pPr>
            <w:r>
              <w:rPr>
                <w:sz w:val="12"/>
                <w:szCs w:val="12"/>
                <w:spacing w:val="-1"/>
              </w:rPr>
              <w:t>古树，病树，郭树复壮</w:t>
            </w:r>
          </w:p>
        </w:tc>
      </w:tr>
      <w:tr>
        <w:trPr>
          <w:trHeight w:val="44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bottom w:val="nil"/>
            </w:tcBorders>
          </w:tcPr>
          <w:p>
            <w:pPr>
              <w:rPr>
                <w:rFonts w:ascii="Arial"/>
                <w:sz w:val="21"/>
              </w:rPr>
            </w:pPr>
            <w:r/>
          </w:p>
        </w:tc>
        <w:tc>
          <w:tcPr>
            <w:tcW w:w="899" w:type="dxa"/>
            <w:vAlign w:val="top"/>
            <w:vMerge w:val="continue"/>
            <w:tcBorders>
              <w:top w:val="nil"/>
              <w:bottom w:val="nil"/>
            </w:tcBorders>
          </w:tcPr>
          <w:p>
            <w:pPr>
              <w:rPr>
                <w:rFonts w:ascii="Arial"/>
                <w:sz w:val="21"/>
              </w:rPr>
            </w:pPr>
            <w:r/>
          </w:p>
        </w:tc>
        <w:tc>
          <w:tcPr>
            <w:tcW w:w="2538" w:type="dxa"/>
            <w:vAlign w:val="top"/>
            <w:vMerge w:val="continue"/>
            <w:tcBorders>
              <w:top w:val="nil"/>
              <w:bottom w:val="nil"/>
            </w:tcBorders>
          </w:tcPr>
          <w:p>
            <w:pPr>
              <w:rPr>
                <w:rFonts w:ascii="Arial"/>
                <w:sz w:val="21"/>
              </w:rPr>
            </w:pPr>
            <w:r/>
          </w:p>
        </w:tc>
        <w:tc>
          <w:tcPr>
            <w:tcW w:w="1259" w:type="dxa"/>
            <w:vAlign w:val="top"/>
          </w:tcPr>
          <w:p>
            <w:pPr>
              <w:pStyle w:val="TableText"/>
              <w:ind w:left="262"/>
              <w:spacing w:before="170" w:line="219" w:lineRule="auto"/>
              <w:rPr>
                <w:sz w:val="12"/>
                <w:szCs w:val="12"/>
              </w:rPr>
            </w:pPr>
            <w:r>
              <w:rPr>
                <w:sz w:val="12"/>
                <w:szCs w:val="12"/>
                <w:spacing w:val="1"/>
              </w:rPr>
              <w:t>国光氢热酸钾</w:t>
            </w:r>
          </w:p>
        </w:tc>
        <w:tc>
          <w:tcPr>
            <w:tcW w:w="1859" w:type="dxa"/>
            <w:vAlign w:val="top"/>
          </w:tcPr>
          <w:p>
            <w:pPr>
              <w:pStyle w:val="TableText"/>
              <w:ind w:left="473"/>
              <w:spacing w:before="171" w:line="220" w:lineRule="auto"/>
              <w:rPr>
                <w:sz w:val="12"/>
                <w:szCs w:val="12"/>
              </w:rPr>
            </w:pPr>
            <w:r>
              <w:rPr>
                <w:sz w:val="12"/>
                <w:szCs w:val="12"/>
                <w:spacing w:val="1"/>
              </w:rPr>
              <w:t>12%瓶基酸警合钾</w:t>
            </w:r>
          </w:p>
        </w:tc>
        <w:tc>
          <w:tcPr>
            <w:tcW w:w="1679" w:type="dxa"/>
            <w:vAlign w:val="top"/>
          </w:tcPr>
          <w:p>
            <w:pPr>
              <w:pStyle w:val="TableText"/>
              <w:ind w:left="385"/>
              <w:spacing w:before="170" w:line="219" w:lineRule="auto"/>
              <w:rPr>
                <w:sz w:val="12"/>
                <w:szCs w:val="12"/>
              </w:rPr>
            </w:pPr>
            <w:r>
              <w:rPr>
                <w:sz w:val="12"/>
                <w:szCs w:val="12"/>
                <w:spacing w:val="-1"/>
              </w:rPr>
              <w:t>稀释600-800倍波</w:t>
            </w:r>
          </w:p>
        </w:tc>
        <w:tc>
          <w:tcPr>
            <w:tcW w:w="1269" w:type="dxa"/>
            <w:vAlign w:val="top"/>
            <w:vMerge w:val="restart"/>
            <w:tcBorders>
              <w:bottom w:val="nil"/>
            </w:tcBorders>
          </w:tcPr>
          <w:p>
            <w:pPr>
              <w:spacing w:line="369" w:lineRule="auto"/>
              <w:rPr>
                <w:rFonts w:ascii="Arial"/>
                <w:sz w:val="21"/>
              </w:rPr>
            </w:pPr>
            <w:r/>
          </w:p>
          <w:p>
            <w:pPr>
              <w:pStyle w:val="TableText"/>
              <w:ind w:left="356"/>
              <w:spacing w:before="39" w:line="219" w:lineRule="auto"/>
              <w:rPr>
                <w:sz w:val="12"/>
                <w:szCs w:val="12"/>
              </w:rPr>
            </w:pPr>
            <w:r>
              <w:rPr>
                <w:sz w:val="12"/>
                <w:szCs w:val="12"/>
                <w:spacing w:val="-2"/>
              </w:rPr>
              <w:t>一般用1次</w:t>
            </w:r>
          </w:p>
        </w:tc>
        <w:tc>
          <w:tcPr>
            <w:tcW w:w="859" w:type="dxa"/>
            <w:vAlign w:val="top"/>
          </w:tcPr>
          <w:p>
            <w:pPr>
              <w:pStyle w:val="TableText"/>
              <w:ind w:left="246"/>
              <w:spacing w:before="166" w:line="214" w:lineRule="auto"/>
              <w:rPr>
                <w:sz w:val="12"/>
                <w:szCs w:val="12"/>
              </w:rPr>
            </w:pPr>
            <w:r>
              <w:rPr>
                <w:sz w:val="12"/>
                <w:szCs w:val="12"/>
                <w:spacing w:val="-1"/>
              </w:rPr>
              <w:t>500g/B</w:t>
            </w:r>
          </w:p>
        </w:tc>
        <w:tc>
          <w:tcPr>
            <w:tcW w:w="2763" w:type="dxa"/>
            <w:vAlign w:val="top"/>
          </w:tcPr>
          <w:p>
            <w:pPr>
              <w:pStyle w:val="TableText"/>
              <w:ind w:left="18"/>
              <w:spacing w:before="120" w:line="204" w:lineRule="auto"/>
              <w:rPr>
                <w:sz w:val="12"/>
                <w:szCs w:val="12"/>
              </w:rPr>
            </w:pPr>
            <w:r>
              <w:rPr>
                <w:sz w:val="12"/>
                <w:szCs w:val="12"/>
                <w:spacing w:val="-10"/>
              </w:rPr>
              <w:t>防</w:t>
            </w:r>
            <w:r>
              <w:rPr>
                <w:sz w:val="12"/>
                <w:szCs w:val="12"/>
                <w:spacing w:val="-9"/>
              </w:rPr>
              <w:t>治因缺钾引起的植株瘦烟，生长不良，1万平方米年</w:t>
            </w:r>
            <w:r>
              <w:rPr>
                <w:sz w:val="12"/>
                <w:szCs w:val="12"/>
                <w:spacing w:val="-8"/>
              </w:rPr>
              <w:t>度</w:t>
            </w:r>
            <w:r>
              <w:rPr>
                <w:sz w:val="12"/>
                <w:szCs w:val="12"/>
                <w:spacing w:val="18"/>
                <w:w w:val="101"/>
              </w:rPr>
              <w:t xml:space="preserve"> </w:t>
            </w:r>
            <w:r>
              <w:rPr>
                <w:sz w:val="12"/>
                <w:szCs w:val="12"/>
                <w:spacing w:val="-1"/>
              </w:rPr>
              <w:t>约用量：10kg</w:t>
            </w:r>
          </w:p>
        </w:tc>
      </w:tr>
      <w:tr>
        <w:trPr>
          <w:trHeight w:val="469" w:hRule="atLeast"/>
        </w:trPr>
        <w:tc>
          <w:tcPr>
            <w:tcW w:w="415" w:type="dxa"/>
            <w:vAlign w:val="top"/>
            <w:vMerge w:val="continue"/>
            <w:tcBorders>
              <w:top w:val="nil"/>
              <w:bottom w:val="nil"/>
            </w:tcBorders>
          </w:tcPr>
          <w:p>
            <w:pPr>
              <w:rPr>
                <w:rFonts w:ascii="Arial"/>
                <w:sz w:val="21"/>
              </w:rPr>
            </w:pPr>
            <w:r/>
          </w:p>
        </w:tc>
        <w:tc>
          <w:tcPr>
            <w:tcW w:w="540" w:type="dxa"/>
            <w:vAlign w:val="top"/>
            <w:vMerge w:val="continue"/>
            <w:tcBorders>
              <w:top w:val="nil"/>
            </w:tcBorders>
          </w:tcPr>
          <w:p>
            <w:pPr>
              <w:rPr>
                <w:rFonts w:ascii="Arial"/>
                <w:sz w:val="21"/>
              </w:rPr>
            </w:pPr>
            <w:r/>
          </w:p>
        </w:tc>
        <w:tc>
          <w:tcPr>
            <w:tcW w:w="899" w:type="dxa"/>
            <w:vAlign w:val="top"/>
            <w:vMerge w:val="continue"/>
            <w:tcBorders>
              <w:top w:val="nil"/>
            </w:tcBorders>
          </w:tcPr>
          <w:p>
            <w:pPr>
              <w:rPr>
                <w:rFonts w:ascii="Arial"/>
                <w:sz w:val="21"/>
              </w:rPr>
            </w:pPr>
            <w:r/>
          </w:p>
        </w:tc>
        <w:tc>
          <w:tcPr>
            <w:tcW w:w="2538" w:type="dxa"/>
            <w:vAlign w:val="top"/>
            <w:vMerge w:val="continue"/>
            <w:tcBorders>
              <w:top w:val="nil"/>
            </w:tcBorders>
          </w:tcPr>
          <w:p>
            <w:pPr>
              <w:rPr>
                <w:rFonts w:ascii="Arial"/>
                <w:sz w:val="21"/>
              </w:rPr>
            </w:pPr>
            <w:r/>
          </w:p>
        </w:tc>
        <w:tc>
          <w:tcPr>
            <w:tcW w:w="1259" w:type="dxa"/>
            <w:vAlign w:val="top"/>
          </w:tcPr>
          <w:p>
            <w:pPr>
              <w:pStyle w:val="TableText"/>
              <w:ind w:left="23"/>
              <w:spacing w:before="181" w:line="219" w:lineRule="auto"/>
              <w:rPr>
                <w:sz w:val="12"/>
                <w:szCs w:val="12"/>
              </w:rPr>
            </w:pPr>
            <w:r>
              <w:rPr>
                <w:sz w:val="12"/>
                <w:szCs w:val="12"/>
              </w:rPr>
              <w:t>国光话力源生物有机肥</w:t>
            </w:r>
          </w:p>
        </w:tc>
        <w:tc>
          <w:tcPr>
            <w:tcW w:w="1859" w:type="dxa"/>
            <w:vAlign w:val="top"/>
          </w:tcPr>
          <w:p>
            <w:pPr>
              <w:pStyle w:val="TableText"/>
              <w:ind w:left="503"/>
              <w:spacing w:before="181" w:line="219" w:lineRule="auto"/>
              <w:rPr>
                <w:sz w:val="12"/>
                <w:szCs w:val="12"/>
              </w:rPr>
            </w:pPr>
            <w:r>
              <w:rPr>
                <w:sz w:val="12"/>
                <w:szCs w:val="12"/>
                <w:spacing w:val="-1"/>
              </w:rPr>
              <w:t>微生物，有机肥</w:t>
            </w:r>
          </w:p>
        </w:tc>
        <w:tc>
          <w:tcPr>
            <w:tcW w:w="1679" w:type="dxa"/>
            <w:vAlign w:val="top"/>
          </w:tcPr>
          <w:p>
            <w:pPr>
              <w:pStyle w:val="TableText"/>
              <w:ind w:left="204"/>
              <w:spacing w:before="181" w:line="219" w:lineRule="auto"/>
              <w:rPr>
                <w:sz w:val="12"/>
                <w:szCs w:val="12"/>
              </w:rPr>
            </w:pPr>
            <w:r>
              <w:rPr>
                <w:sz w:val="12"/>
                <w:szCs w:val="12"/>
                <w:spacing w:val="-1"/>
              </w:rPr>
              <w:t>直接穴施或0.2叶面喷施</w:t>
            </w:r>
          </w:p>
        </w:tc>
        <w:tc>
          <w:tcPr>
            <w:tcW w:w="1269" w:type="dxa"/>
            <w:vAlign w:val="top"/>
            <w:vMerge w:val="continue"/>
            <w:tcBorders>
              <w:top w:val="nil"/>
            </w:tcBorders>
          </w:tcPr>
          <w:p>
            <w:pPr>
              <w:rPr>
                <w:rFonts w:ascii="Arial"/>
                <w:sz w:val="21"/>
              </w:rPr>
            </w:pPr>
            <w:r/>
          </w:p>
        </w:tc>
        <w:tc>
          <w:tcPr>
            <w:tcW w:w="859" w:type="dxa"/>
            <w:vAlign w:val="top"/>
          </w:tcPr>
          <w:p>
            <w:pPr>
              <w:pStyle w:val="TableText"/>
              <w:ind w:left="216"/>
              <w:spacing w:before="177" w:line="214" w:lineRule="auto"/>
              <w:rPr>
                <w:sz w:val="12"/>
                <w:szCs w:val="12"/>
              </w:rPr>
            </w:pPr>
            <w:r>
              <w:rPr>
                <w:sz w:val="12"/>
                <w:szCs w:val="12"/>
                <w:spacing w:val="-1"/>
              </w:rPr>
              <w:t>20kg/装</w:t>
            </w:r>
          </w:p>
        </w:tc>
        <w:tc>
          <w:tcPr>
            <w:tcW w:w="2763" w:type="dxa"/>
            <w:vAlign w:val="top"/>
          </w:tcPr>
          <w:p>
            <w:pPr>
              <w:pStyle w:val="TableText"/>
              <w:ind w:left="18"/>
              <w:spacing w:before="121" w:line="204" w:lineRule="auto"/>
              <w:rPr>
                <w:sz w:val="12"/>
                <w:szCs w:val="12"/>
              </w:rPr>
            </w:pPr>
            <w:r>
              <w:rPr>
                <w:sz w:val="12"/>
                <w:szCs w:val="12"/>
                <w:spacing w:val="-10"/>
              </w:rPr>
              <w:t>提高树</w:t>
            </w:r>
            <w:r>
              <w:rPr>
                <w:sz w:val="12"/>
                <w:szCs w:val="12"/>
                <w:spacing w:val="-9"/>
              </w:rPr>
              <w:t>木木质化程度。有利树木安全越冬，1万平方米</w:t>
            </w:r>
            <w:r>
              <w:rPr>
                <w:sz w:val="12"/>
                <w:szCs w:val="12"/>
                <w:spacing w:val="-6"/>
              </w:rPr>
              <w:t>年</w:t>
            </w:r>
            <w:r>
              <w:rPr>
                <w:sz w:val="12"/>
                <w:szCs w:val="12"/>
                <w:spacing w:val="18"/>
                <w:w w:val="101"/>
              </w:rPr>
              <w:t xml:space="preserve"> </w:t>
            </w:r>
            <w:r>
              <w:rPr>
                <w:sz w:val="12"/>
                <w:szCs w:val="12"/>
                <w:spacing w:val="-1"/>
              </w:rPr>
              <w:t>度约用量：100kg</w:t>
            </w:r>
          </w:p>
        </w:tc>
      </w:tr>
      <w:tr>
        <w:trPr>
          <w:trHeight w:val="439" w:hRule="atLeast"/>
        </w:trPr>
        <w:tc>
          <w:tcPr>
            <w:tcW w:w="415" w:type="dxa"/>
            <w:vAlign w:val="top"/>
            <w:vMerge w:val="continue"/>
            <w:tcBorders>
              <w:top w:val="nil"/>
              <w:bottom w:val="nil"/>
            </w:tcBorders>
          </w:tcPr>
          <w:p>
            <w:pPr>
              <w:rPr>
                <w:rFonts w:ascii="Arial"/>
                <w:sz w:val="21"/>
              </w:rPr>
            </w:pPr>
            <w:r/>
          </w:p>
        </w:tc>
        <w:tc>
          <w:tcPr>
            <w:tcW w:w="540" w:type="dxa"/>
            <w:vAlign w:val="top"/>
            <w:vMerge w:val="restart"/>
            <w:tcBorders>
              <w:bottom w:val="nil"/>
            </w:tcBorders>
          </w:tcPr>
          <w:p>
            <w:pPr>
              <w:spacing w:line="351" w:lineRule="auto"/>
              <w:rPr>
                <w:rFonts w:ascii="Arial"/>
                <w:sz w:val="21"/>
              </w:rPr>
            </w:pPr>
            <w:r/>
          </w:p>
          <w:p>
            <w:pPr>
              <w:pStyle w:val="TableText"/>
              <w:ind w:left="20"/>
              <w:spacing w:before="39" w:line="219" w:lineRule="auto"/>
              <w:rPr>
                <w:sz w:val="12"/>
                <w:szCs w:val="12"/>
              </w:rPr>
            </w:pPr>
            <w:r>
              <w:rPr>
                <w:sz w:val="12"/>
                <w:szCs w:val="12"/>
                <w:spacing w:val="-2"/>
              </w:rPr>
              <w:t>草皮覆绿</w:t>
            </w:r>
          </w:p>
        </w:tc>
        <w:tc>
          <w:tcPr>
            <w:tcW w:w="899" w:type="dxa"/>
            <w:vAlign w:val="top"/>
            <w:vMerge w:val="restart"/>
            <w:tcBorders>
              <w:bottom w:val="nil"/>
            </w:tcBorders>
          </w:tcPr>
          <w:p>
            <w:pPr>
              <w:spacing w:line="291" w:lineRule="auto"/>
              <w:rPr>
                <w:rFonts w:ascii="Arial"/>
                <w:sz w:val="21"/>
              </w:rPr>
            </w:pPr>
            <w:r/>
          </w:p>
          <w:p>
            <w:pPr>
              <w:pStyle w:val="TableText"/>
              <w:ind w:left="20"/>
              <w:spacing w:before="39" w:line="203" w:lineRule="auto"/>
              <w:rPr>
                <w:sz w:val="12"/>
                <w:szCs w:val="12"/>
              </w:rPr>
            </w:pPr>
            <w:r>
              <w:rPr>
                <w:sz w:val="12"/>
                <w:szCs w:val="12"/>
                <w:spacing w:val="-1"/>
              </w:rPr>
              <w:t>草坪发芽及长势</w:t>
            </w:r>
          </w:p>
          <w:p>
            <w:pPr>
              <w:pStyle w:val="TableText"/>
              <w:ind w:left="320"/>
              <w:spacing w:line="222" w:lineRule="auto"/>
              <w:rPr>
                <w:sz w:val="12"/>
                <w:szCs w:val="12"/>
              </w:rPr>
            </w:pPr>
            <w:r>
              <w:rPr>
                <w:sz w:val="12"/>
                <w:szCs w:val="12"/>
                <w:spacing w:val="-2"/>
              </w:rPr>
              <w:t>不良</w:t>
            </w:r>
          </w:p>
        </w:tc>
        <w:tc>
          <w:tcPr>
            <w:tcW w:w="2538" w:type="dxa"/>
            <w:vAlign w:val="top"/>
            <w:vMerge w:val="restart"/>
            <w:tcBorders>
              <w:bottom w:val="nil"/>
            </w:tcBorders>
          </w:tcPr>
          <w:p>
            <w:pPr>
              <w:pStyle w:val="TableText"/>
              <w:spacing w:before="262" w:line="215" w:lineRule="auto"/>
              <w:jc w:val="right"/>
              <w:rPr>
                <w:sz w:val="12"/>
                <w:szCs w:val="12"/>
              </w:rPr>
            </w:pPr>
            <w:r>
              <w:rPr>
                <w:sz w:val="12"/>
                <w:szCs w:val="12"/>
                <w:spacing w:val="2"/>
              </w:rPr>
              <w:t>一、10-12月主要使用长效有机肥，每月一次；</w:t>
            </w:r>
          </w:p>
          <w:p>
            <w:pPr>
              <w:pStyle w:val="TableText"/>
              <w:ind w:left="1" w:right="13"/>
              <w:spacing w:before="1" w:line="209" w:lineRule="auto"/>
              <w:rPr>
                <w:sz w:val="12"/>
                <w:szCs w:val="12"/>
              </w:rPr>
            </w:pPr>
            <w:r>
              <w:rPr>
                <w:sz w:val="12"/>
                <w:szCs w:val="12"/>
                <w:spacing w:val="-1"/>
              </w:rPr>
              <w:t>二.1-9月有机无机复合肥互相配合使用。每月一</w:t>
            </w:r>
            <w:r>
              <w:rPr>
                <w:sz w:val="12"/>
                <w:szCs w:val="12"/>
                <w:spacing w:val="15"/>
              </w:rPr>
              <w:t xml:space="preserve"> </w:t>
            </w:r>
            <w:r>
              <w:rPr>
                <w:sz w:val="12"/>
                <w:szCs w:val="12"/>
                <w:spacing w:val="-1"/>
              </w:rPr>
              <w:t>次。</w:t>
            </w:r>
          </w:p>
        </w:tc>
        <w:tc>
          <w:tcPr>
            <w:tcW w:w="1259" w:type="dxa"/>
            <w:vAlign w:val="top"/>
          </w:tcPr>
          <w:p>
            <w:pPr>
              <w:pStyle w:val="TableText"/>
              <w:ind w:left="322"/>
              <w:spacing w:before="162" w:line="219" w:lineRule="auto"/>
              <w:rPr>
                <w:sz w:val="12"/>
                <w:szCs w:val="12"/>
              </w:rPr>
            </w:pPr>
            <w:r>
              <w:rPr>
                <w:sz w:val="12"/>
                <w:szCs w:val="12"/>
                <w:spacing w:val="1"/>
              </w:rPr>
              <w:t>国光思它灵</w:t>
            </w:r>
          </w:p>
        </w:tc>
        <w:tc>
          <w:tcPr>
            <w:tcW w:w="1859" w:type="dxa"/>
            <w:vAlign w:val="top"/>
          </w:tcPr>
          <w:p>
            <w:pPr>
              <w:pStyle w:val="TableText"/>
              <w:ind w:left="538" w:hanging="524"/>
              <w:spacing w:before="102" w:line="209" w:lineRule="auto"/>
              <w:rPr>
                <w:sz w:val="12"/>
                <w:szCs w:val="12"/>
              </w:rPr>
            </w:pPr>
            <w:r>
              <w:rPr>
                <w:sz w:val="12"/>
                <w:szCs w:val="12"/>
                <w:spacing w:val="-2"/>
              </w:rPr>
              <w:t>&gt;=12%氯热酸整合微肥、稀有元素大</w:t>
            </w:r>
            <w:r>
              <w:rPr>
                <w:sz w:val="12"/>
                <w:szCs w:val="12"/>
                <w:spacing w:val="9"/>
              </w:rPr>
              <w:t xml:space="preserve"> </w:t>
            </w:r>
            <w:r>
              <w:rPr>
                <w:sz w:val="12"/>
                <w:szCs w:val="12"/>
                <w:spacing w:val="-2"/>
              </w:rPr>
              <w:t>量元素肥，含量</w:t>
            </w:r>
          </w:p>
        </w:tc>
        <w:tc>
          <w:tcPr>
            <w:tcW w:w="1679" w:type="dxa"/>
            <w:vAlign w:val="top"/>
          </w:tcPr>
          <w:p>
            <w:pPr>
              <w:pStyle w:val="TableText"/>
              <w:ind w:left="355"/>
              <w:spacing w:before="162" w:line="219" w:lineRule="auto"/>
              <w:rPr>
                <w:sz w:val="12"/>
                <w:szCs w:val="12"/>
              </w:rPr>
            </w:pPr>
            <w:r>
              <w:rPr>
                <w:sz w:val="12"/>
                <w:szCs w:val="12"/>
                <w:spacing w:val="-1"/>
              </w:rPr>
              <w:t>稀释800-1000倍液</w:t>
            </w:r>
          </w:p>
        </w:tc>
        <w:tc>
          <w:tcPr>
            <w:tcW w:w="1269" w:type="dxa"/>
            <w:vAlign w:val="top"/>
          </w:tcPr>
          <w:p>
            <w:pPr>
              <w:pStyle w:val="TableText"/>
              <w:ind w:left="266"/>
              <w:spacing w:before="162" w:line="219" w:lineRule="auto"/>
              <w:rPr>
                <w:sz w:val="12"/>
                <w:szCs w:val="12"/>
              </w:rPr>
            </w:pPr>
            <w:r>
              <w:rPr>
                <w:sz w:val="12"/>
                <w:szCs w:val="12"/>
                <w:spacing w:val="3"/>
              </w:rPr>
              <w:t>一般用1次/月</w:t>
            </w:r>
          </w:p>
        </w:tc>
        <w:tc>
          <w:tcPr>
            <w:tcW w:w="859" w:type="dxa"/>
            <w:vAlign w:val="top"/>
          </w:tcPr>
          <w:p>
            <w:pPr>
              <w:pStyle w:val="TableText"/>
              <w:ind w:left="216"/>
              <w:spacing w:before="158" w:line="214" w:lineRule="auto"/>
              <w:rPr>
                <w:sz w:val="12"/>
                <w:szCs w:val="12"/>
              </w:rPr>
            </w:pPr>
            <w:r>
              <w:rPr>
                <w:sz w:val="12"/>
                <w:szCs w:val="12"/>
                <w:spacing w:val="-1"/>
              </w:rPr>
              <w:t>500g/瓶</w:t>
            </w:r>
          </w:p>
        </w:tc>
        <w:tc>
          <w:tcPr>
            <w:tcW w:w="2763" w:type="dxa"/>
            <w:vAlign w:val="top"/>
          </w:tcPr>
          <w:p>
            <w:pPr>
              <w:pStyle w:val="TableText"/>
              <w:ind w:left="18"/>
              <w:spacing w:before="83" w:line="224" w:lineRule="auto"/>
              <w:rPr>
                <w:sz w:val="12"/>
                <w:szCs w:val="12"/>
              </w:rPr>
            </w:pPr>
            <w:r>
              <w:rPr>
                <w:sz w:val="12"/>
                <w:szCs w:val="12"/>
                <w:spacing w:val="-10"/>
              </w:rPr>
              <w:t>补</w:t>
            </w:r>
            <w:r>
              <w:rPr>
                <w:sz w:val="12"/>
                <w:szCs w:val="12"/>
                <w:spacing w:val="-9"/>
              </w:rPr>
              <w:t>充营养增强抗病抗抗早等抗递能力。达到持久增绿1</w:t>
            </w:r>
            <w:r>
              <w:rPr>
                <w:sz w:val="12"/>
                <w:szCs w:val="12"/>
                <w:spacing w:val="-8"/>
              </w:rPr>
              <w:t>万</w:t>
            </w:r>
            <w:r>
              <w:rPr>
                <w:sz w:val="12"/>
                <w:szCs w:val="12"/>
                <w:spacing w:val="18"/>
                <w:w w:val="101"/>
              </w:rPr>
              <w:t xml:space="preserve"> </w:t>
            </w:r>
            <w:r>
              <w:rPr>
                <w:sz w:val="12"/>
                <w:szCs w:val="12"/>
                <w:spacing w:val="-1"/>
              </w:rPr>
              <w:t>平方来年度的用量：Skg</w:t>
            </w:r>
          </w:p>
        </w:tc>
      </w:tr>
      <w:tr>
        <w:trPr>
          <w:trHeight w:val="439" w:hRule="atLeast"/>
        </w:trPr>
        <w:tc>
          <w:tcPr>
            <w:tcW w:w="415" w:type="dxa"/>
            <w:vAlign w:val="top"/>
            <w:vMerge w:val="continue"/>
            <w:tcBorders>
              <w:top w:val="nil"/>
            </w:tcBorders>
          </w:tcPr>
          <w:p>
            <w:pPr>
              <w:rPr>
                <w:rFonts w:ascii="Arial"/>
                <w:sz w:val="21"/>
              </w:rPr>
            </w:pPr>
            <w:r/>
          </w:p>
        </w:tc>
        <w:tc>
          <w:tcPr>
            <w:tcW w:w="540" w:type="dxa"/>
            <w:vAlign w:val="top"/>
            <w:vMerge w:val="continue"/>
            <w:tcBorders>
              <w:top w:val="nil"/>
            </w:tcBorders>
          </w:tcPr>
          <w:p>
            <w:pPr>
              <w:rPr>
                <w:rFonts w:ascii="Arial"/>
                <w:sz w:val="21"/>
              </w:rPr>
            </w:pPr>
            <w:r/>
          </w:p>
        </w:tc>
        <w:tc>
          <w:tcPr>
            <w:tcW w:w="899" w:type="dxa"/>
            <w:vAlign w:val="top"/>
            <w:vMerge w:val="continue"/>
            <w:tcBorders>
              <w:top w:val="nil"/>
            </w:tcBorders>
          </w:tcPr>
          <w:p>
            <w:pPr>
              <w:rPr>
                <w:rFonts w:ascii="Arial"/>
                <w:sz w:val="21"/>
              </w:rPr>
            </w:pPr>
            <w:r/>
          </w:p>
        </w:tc>
        <w:tc>
          <w:tcPr>
            <w:tcW w:w="2538" w:type="dxa"/>
            <w:vAlign w:val="top"/>
            <w:vMerge w:val="continue"/>
            <w:tcBorders>
              <w:top w:val="nil"/>
            </w:tcBorders>
          </w:tcPr>
          <w:p>
            <w:pPr>
              <w:rPr>
                <w:rFonts w:ascii="Arial"/>
                <w:sz w:val="21"/>
              </w:rPr>
            </w:pPr>
            <w:r/>
          </w:p>
        </w:tc>
        <w:tc>
          <w:tcPr>
            <w:tcW w:w="1259" w:type="dxa"/>
            <w:vAlign w:val="top"/>
          </w:tcPr>
          <w:p>
            <w:pPr>
              <w:pStyle w:val="TableText"/>
              <w:ind w:left="322"/>
              <w:spacing w:before="164" w:line="219" w:lineRule="auto"/>
              <w:rPr>
                <w:sz w:val="12"/>
                <w:szCs w:val="12"/>
              </w:rPr>
            </w:pPr>
            <w:r>
              <w:rPr>
                <w:sz w:val="12"/>
                <w:szCs w:val="12"/>
                <w:spacing w:val="1"/>
              </w:rPr>
              <w:t>国光稀施美</w:t>
            </w:r>
          </w:p>
        </w:tc>
        <w:tc>
          <w:tcPr>
            <w:tcW w:w="1859" w:type="dxa"/>
            <w:vAlign w:val="top"/>
          </w:tcPr>
          <w:p>
            <w:pPr>
              <w:pStyle w:val="TableText"/>
              <w:ind w:left="578" w:hanging="564"/>
              <w:spacing w:before="113" w:line="210" w:lineRule="auto"/>
              <w:rPr>
                <w:sz w:val="12"/>
                <w:szCs w:val="12"/>
              </w:rPr>
            </w:pPr>
            <w:r>
              <w:rPr>
                <w:sz w:val="12"/>
                <w:szCs w:val="12"/>
                <w:spacing w:val="-2"/>
              </w:rPr>
              <w:t>&gt;=12%氦基酸整合多种微量元素、稀</w:t>
            </w:r>
            <w:r>
              <w:rPr>
                <w:sz w:val="12"/>
                <w:szCs w:val="12"/>
                <w:spacing w:val="9"/>
              </w:rPr>
              <w:t xml:space="preserve"> </w:t>
            </w:r>
            <w:r>
              <w:rPr>
                <w:sz w:val="12"/>
                <w:szCs w:val="12"/>
                <w:spacing w:val="-2"/>
              </w:rPr>
              <w:t>有元素，总含量</w:t>
            </w:r>
          </w:p>
        </w:tc>
        <w:tc>
          <w:tcPr>
            <w:tcW w:w="1679" w:type="dxa"/>
            <w:vAlign w:val="top"/>
          </w:tcPr>
          <w:p>
            <w:pPr>
              <w:pStyle w:val="TableText"/>
              <w:ind w:left="385"/>
              <w:spacing w:before="164" w:line="219" w:lineRule="auto"/>
              <w:rPr>
                <w:sz w:val="12"/>
                <w:szCs w:val="12"/>
              </w:rPr>
            </w:pPr>
            <w:r>
              <w:rPr>
                <w:sz w:val="12"/>
                <w:szCs w:val="12"/>
                <w:spacing w:val="-1"/>
              </w:rPr>
              <w:t>稀释600-800倍液</w:t>
            </w:r>
          </w:p>
        </w:tc>
        <w:tc>
          <w:tcPr>
            <w:tcW w:w="1269" w:type="dxa"/>
            <w:vAlign w:val="top"/>
          </w:tcPr>
          <w:p>
            <w:pPr>
              <w:pStyle w:val="TableText"/>
              <w:ind w:left="266"/>
              <w:spacing w:before="164" w:line="219" w:lineRule="auto"/>
              <w:rPr>
                <w:sz w:val="12"/>
                <w:szCs w:val="12"/>
              </w:rPr>
            </w:pPr>
            <w:r>
              <w:rPr>
                <w:sz w:val="12"/>
                <w:szCs w:val="12"/>
                <w:spacing w:val="3"/>
              </w:rPr>
              <w:t>一般用1次/月</w:t>
            </w:r>
          </w:p>
        </w:tc>
        <w:tc>
          <w:tcPr>
            <w:tcW w:w="859" w:type="dxa"/>
            <w:vAlign w:val="top"/>
          </w:tcPr>
          <w:p>
            <w:pPr>
              <w:pStyle w:val="TableText"/>
              <w:ind w:left="216"/>
              <w:spacing w:before="159" w:line="214" w:lineRule="auto"/>
              <w:rPr>
                <w:sz w:val="12"/>
                <w:szCs w:val="12"/>
              </w:rPr>
            </w:pPr>
            <w:r>
              <w:rPr>
                <w:sz w:val="12"/>
                <w:szCs w:val="12"/>
                <w:spacing w:val="-1"/>
              </w:rPr>
              <w:t>500g/第</w:t>
            </w:r>
          </w:p>
        </w:tc>
        <w:tc>
          <w:tcPr>
            <w:tcW w:w="2763" w:type="dxa"/>
            <w:vAlign w:val="top"/>
          </w:tcPr>
          <w:p>
            <w:pPr>
              <w:pStyle w:val="TableText"/>
              <w:ind w:left="18"/>
              <w:spacing w:before="83"/>
              <w:rPr>
                <w:sz w:val="12"/>
                <w:szCs w:val="12"/>
              </w:rPr>
            </w:pPr>
            <w:r>
              <w:rPr>
                <w:sz w:val="12"/>
                <w:szCs w:val="12"/>
                <w:spacing w:val="-6"/>
              </w:rPr>
              <w:t>花卉和草皮苗木高级叶面营养肥，治疗枯黄发育</w:t>
            </w:r>
            <w:r>
              <w:rPr>
                <w:sz w:val="12"/>
                <w:szCs w:val="12"/>
                <w:spacing w:val="-7"/>
              </w:rPr>
              <w:t>不良症</w:t>
            </w:r>
            <w:r>
              <w:rPr>
                <w:sz w:val="12"/>
                <w:szCs w:val="12"/>
              </w:rPr>
              <w:t xml:space="preserve"> </w:t>
            </w:r>
            <w:r>
              <w:rPr>
                <w:sz w:val="12"/>
                <w:szCs w:val="12"/>
                <w:spacing w:val="-1"/>
              </w:rPr>
              <w:t>1万平方米年度约用量：5kg</w:t>
            </w:r>
          </w:p>
        </w:tc>
      </w:tr>
      <w:tr>
        <w:trPr>
          <w:trHeight w:val="614" w:hRule="atLeast"/>
        </w:trPr>
        <w:tc>
          <w:tcPr>
            <w:tcW w:w="415" w:type="dxa"/>
            <w:vAlign w:val="top"/>
          </w:tcPr>
          <w:p>
            <w:pPr>
              <w:pStyle w:val="TableText"/>
              <w:ind w:left="74"/>
              <w:spacing w:before="255" w:line="220" w:lineRule="auto"/>
              <w:rPr>
                <w:sz w:val="12"/>
                <w:szCs w:val="12"/>
              </w:rPr>
            </w:pPr>
            <w:r>
              <w:rPr>
                <w:sz w:val="12"/>
                <w:szCs w:val="12"/>
                <w:spacing w:val="-2"/>
              </w:rPr>
              <w:t>其他</w:t>
            </w:r>
          </w:p>
        </w:tc>
        <w:tc>
          <w:tcPr>
            <w:tcW w:w="540" w:type="dxa"/>
            <w:vAlign w:val="top"/>
          </w:tcPr>
          <w:p>
            <w:pPr>
              <w:pStyle w:val="TableText"/>
              <w:ind w:left="20"/>
              <w:spacing w:before="254" w:line="219" w:lineRule="auto"/>
              <w:rPr>
                <w:sz w:val="12"/>
                <w:szCs w:val="12"/>
              </w:rPr>
            </w:pPr>
            <w:r>
              <w:rPr>
                <w:sz w:val="12"/>
                <w:szCs w:val="12"/>
                <w:spacing w:val="-1"/>
              </w:rPr>
              <w:t>树木养护</w:t>
            </w:r>
          </w:p>
        </w:tc>
        <w:tc>
          <w:tcPr>
            <w:tcW w:w="899" w:type="dxa"/>
            <w:vAlign w:val="top"/>
          </w:tcPr>
          <w:p>
            <w:pPr>
              <w:pStyle w:val="TableText"/>
              <w:ind w:left="79" w:hanging="29"/>
              <w:spacing w:before="185" w:line="248" w:lineRule="auto"/>
              <w:rPr>
                <w:sz w:val="12"/>
                <w:szCs w:val="12"/>
              </w:rPr>
            </w:pPr>
            <w:r>
              <w:rPr>
                <w:sz w:val="12"/>
                <w:szCs w:val="12"/>
                <w:spacing w:val="-1"/>
              </w:rPr>
              <w:t>树木修明创口，</w:t>
            </w:r>
            <w:r>
              <w:rPr>
                <w:sz w:val="12"/>
                <w:szCs w:val="12"/>
                <w:spacing w:val="4"/>
              </w:rPr>
              <w:t xml:space="preserve"> </w:t>
            </w:r>
            <w:r>
              <w:rPr>
                <w:sz w:val="12"/>
                <w:szCs w:val="12"/>
                <w:spacing w:val="2"/>
              </w:rPr>
              <w:t>腐烂病害伤口</w:t>
            </w:r>
          </w:p>
        </w:tc>
        <w:tc>
          <w:tcPr>
            <w:tcW w:w="2538" w:type="dxa"/>
            <w:vAlign w:val="top"/>
          </w:tcPr>
          <w:p>
            <w:pPr>
              <w:pStyle w:val="TableText"/>
              <w:ind w:left="1041"/>
              <w:spacing w:before="254" w:line="219" w:lineRule="auto"/>
              <w:rPr>
                <w:sz w:val="12"/>
                <w:szCs w:val="12"/>
              </w:rPr>
            </w:pPr>
            <w:r>
              <w:rPr>
                <w:sz w:val="12"/>
                <w:szCs w:val="12"/>
                <w:spacing w:val="2"/>
              </w:rPr>
              <w:t>日常养护</w:t>
            </w:r>
          </w:p>
        </w:tc>
        <w:tc>
          <w:tcPr>
            <w:tcW w:w="1259" w:type="dxa"/>
            <w:vAlign w:val="top"/>
          </w:tcPr>
          <w:p>
            <w:pPr>
              <w:pStyle w:val="TableText"/>
              <w:ind w:left="202"/>
              <w:spacing w:before="254" w:line="219" w:lineRule="auto"/>
              <w:rPr>
                <w:sz w:val="12"/>
                <w:szCs w:val="12"/>
              </w:rPr>
            </w:pPr>
            <w:r>
              <w:rPr>
                <w:sz w:val="12"/>
                <w:szCs w:val="12"/>
                <w:spacing w:val="1"/>
              </w:rPr>
              <w:t>国光愈伤涂膜剂</w:t>
            </w:r>
          </w:p>
        </w:tc>
        <w:tc>
          <w:tcPr>
            <w:tcW w:w="1859" w:type="dxa"/>
            <w:vAlign w:val="top"/>
          </w:tcPr>
          <w:p>
            <w:pPr>
              <w:pStyle w:val="TableText"/>
              <w:ind w:left="743" w:hanging="729"/>
              <w:spacing w:before="194" w:line="219" w:lineRule="auto"/>
              <w:rPr>
                <w:sz w:val="12"/>
                <w:szCs w:val="12"/>
              </w:rPr>
            </w:pPr>
            <w:r>
              <w:rPr>
                <w:sz w:val="12"/>
                <w:szCs w:val="12"/>
                <w:spacing w:val="-6"/>
              </w:rPr>
              <w:t>成膜剂、甲基硫菌灵、防腐剂、促生</w:t>
            </w:r>
            <w:r>
              <w:rPr>
                <w:sz w:val="12"/>
                <w:szCs w:val="12"/>
                <w:spacing w:val="9"/>
              </w:rPr>
              <w:t xml:space="preserve"> </w:t>
            </w:r>
            <w:r>
              <w:rPr>
                <w:sz w:val="12"/>
                <w:szCs w:val="12"/>
                <w:spacing w:val="-2"/>
              </w:rPr>
              <w:t>长物质</w:t>
            </w:r>
          </w:p>
        </w:tc>
        <w:tc>
          <w:tcPr>
            <w:tcW w:w="1679" w:type="dxa"/>
            <w:vAlign w:val="top"/>
          </w:tcPr>
          <w:p>
            <w:pPr>
              <w:pStyle w:val="TableText"/>
              <w:ind w:left="174"/>
              <w:spacing w:before="254" w:line="219" w:lineRule="auto"/>
              <w:rPr>
                <w:sz w:val="12"/>
                <w:szCs w:val="12"/>
              </w:rPr>
            </w:pPr>
            <w:r>
              <w:rPr>
                <w:sz w:val="12"/>
                <w:szCs w:val="12"/>
                <w:spacing w:val="-1"/>
              </w:rPr>
              <w:t>直接使用。可略加水稀释</w:t>
            </w:r>
          </w:p>
        </w:tc>
        <w:tc>
          <w:tcPr>
            <w:tcW w:w="1269" w:type="dxa"/>
            <w:vAlign w:val="top"/>
          </w:tcPr>
          <w:p>
            <w:pPr>
              <w:pStyle w:val="TableText"/>
              <w:ind w:left="25"/>
              <w:spacing w:before="254" w:line="219" w:lineRule="auto"/>
              <w:rPr>
                <w:sz w:val="12"/>
                <w:szCs w:val="12"/>
              </w:rPr>
            </w:pPr>
            <w:r>
              <w:rPr>
                <w:sz w:val="12"/>
                <w:szCs w:val="12"/>
                <w:spacing w:val="-1"/>
              </w:rPr>
              <w:t>乔木修后和树皮破提时</w:t>
            </w:r>
          </w:p>
        </w:tc>
        <w:tc>
          <w:tcPr>
            <w:tcW w:w="859" w:type="dxa"/>
            <w:vAlign w:val="top"/>
          </w:tcPr>
          <w:p>
            <w:pPr>
              <w:pStyle w:val="TableText"/>
              <w:ind w:left="216"/>
              <w:spacing w:before="250" w:line="214" w:lineRule="auto"/>
              <w:rPr>
                <w:sz w:val="12"/>
                <w:szCs w:val="12"/>
              </w:rPr>
            </w:pPr>
            <w:r>
              <w:rPr>
                <w:sz w:val="12"/>
                <w:szCs w:val="12"/>
                <w:spacing w:val="-1"/>
              </w:rPr>
              <w:t>500g/瓶</w:t>
            </w:r>
          </w:p>
        </w:tc>
        <w:tc>
          <w:tcPr>
            <w:tcW w:w="2763" w:type="dxa"/>
            <w:vAlign w:val="top"/>
          </w:tcPr>
          <w:p>
            <w:pPr>
              <w:pStyle w:val="TableText"/>
              <w:ind w:left="18"/>
              <w:spacing w:before="254" w:line="219" w:lineRule="auto"/>
              <w:rPr>
                <w:sz w:val="12"/>
                <w:szCs w:val="12"/>
              </w:rPr>
            </w:pPr>
            <w:r>
              <w:rPr>
                <w:sz w:val="12"/>
                <w:szCs w:val="12"/>
                <w:spacing w:val="-1"/>
              </w:rPr>
              <w:t>促进伤口快速愈合，杀菌防腐</w:t>
            </w:r>
          </w:p>
        </w:tc>
      </w:tr>
    </w:tbl>
    <w:p>
      <w:pPr>
        <w:rPr>
          <w:rFonts w:ascii="Arial"/>
          <w:sz w:val="21"/>
        </w:rPr>
      </w:pPr>
      <w:r/>
    </w:p>
    <w:sectPr>
      <w:pgSz w:w="14490" w:h="10240"/>
      <w:pgMar w:top="125" w:right="224" w:bottom="400" w:left="174"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803070505020304"/>
    <w:charset w:val="00"/>
    <w:family w:val="auto"/>
    <w:pitch w:val="variable"/>
    <w:sig w:usb0="E0002EFF" w:usb1="C000785B" w:usb2="00000009" w:usb3="00000000" w:csb0="400001FF" w:csb1="FFFF0000"/>
  </w:font>
  <w:font w:name="STXingkai">
    <w:panose1 w:val="02010800040101010101"/>
    <w:charset w:val="86"/>
    <w:family w:val="auto"/>
    <w:pitch w:val="variable"/>
    <w:sig w:usb0="00000001" w:usb1="080F0000" w:usb2="00000000" w:usb3="00000000" w:csb0="00040000" w:csb1="0000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LiSu">
    <w:panose1 w:val="02010509060101010101"/>
    <w:charset w:val="86"/>
    <w:family w:val="auto"/>
    <w:pitch w:val="default"/>
    <w:sig w:usb0="00000001" w:usb1="080E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06"/>
      <w:spacing w:line="175" w:lineRule="auto"/>
      <w:rPr>
        <w:rFonts w:ascii="Times New Roman" w:hAnsi="Times New Roman" w:eastAsia="Times New Roman" w:cs="Times New Roman"/>
        <w:sz w:val="16"/>
        <w:szCs w:val="16"/>
      </w:rPr>
    </w:pPr>
    <w:r>
      <w:rPr>
        <w:rFonts w:ascii="Times New Roman" w:hAnsi="Times New Roman" w:eastAsia="Times New Roman" w:cs="Times New Roman"/>
        <w:sz w:val="16"/>
        <w:szCs w:val="16"/>
        <w:b/>
        <w:bCs/>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9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0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2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30"/>
      <w:spacing w:line="208" w:lineRule="exact"/>
      <w:rPr>
        <w:rFonts w:ascii="Arial" w:hAnsi="Arial" w:eastAsia="Arial" w:cs="Arial"/>
        <w:sz w:val="16"/>
        <w:szCs w:val="16"/>
      </w:rPr>
    </w:pPr>
    <w:r>
      <w:rPr>
        <w:rFonts w:ascii="Arial" w:hAnsi="Arial" w:eastAsia="Arial" w:cs="Arial"/>
        <w:sz w:val="16"/>
        <w:szCs w:val="16"/>
        <w:position w:val="1"/>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00"/>
      <w:spacing w:line="208" w:lineRule="exact"/>
      <w:rPr>
        <w:rFonts w:ascii="Arial" w:hAnsi="Arial" w:eastAsia="Arial" w:cs="Arial"/>
        <w:sz w:val="16"/>
        <w:szCs w:val="16"/>
      </w:rPr>
    </w:pPr>
    <w:r>
      <w:rPr>
        <w:rFonts w:ascii="Arial" w:hAnsi="Arial" w:eastAsia="Arial" w:cs="Arial"/>
        <w:sz w:val="16"/>
        <w:szCs w:val="16"/>
        <w:position w:val="1"/>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20"/>
      <w:spacing w:line="175"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20"/>
      <w:spacing w:line="235" w:lineRule="exact"/>
      <w:rPr>
        <w:rFonts w:ascii="Arial" w:hAnsi="Arial" w:eastAsia="Arial" w:cs="Arial"/>
        <w:sz w:val="18"/>
        <w:szCs w:val="18"/>
      </w:rPr>
    </w:pPr>
    <w:r>
      <w:rPr>
        <w:rFonts w:ascii="Arial" w:hAnsi="Arial" w:eastAsia="Arial" w:cs="Arial"/>
        <w:sz w:val="18"/>
        <w:szCs w:val="18"/>
        <w:position w:val="1"/>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1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7"/>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34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5"/>
        <w:position w:val="1"/>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5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7"/>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85" w:lineRule="auto"/>
      <w:rPr>
        <w:rFonts w:ascii="Arial" w:hAnsi="Arial" w:eastAsia="Arial" w:cs="Arial"/>
        <w:sz w:val="19"/>
        <w:szCs w:val="19"/>
      </w:rPr>
    </w:pPr>
    <w:r>
      <w:rPr>
        <w:rFonts w:ascii="Arial" w:hAnsi="Arial" w:eastAsia="Arial" w:cs="Arial"/>
        <w:sz w:val="19"/>
        <w:szCs w:val="19"/>
        <w:spacing w:val="-2"/>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6"/>
      <w:spacing w:line="276" w:lineRule="exact"/>
      <w:rPr>
        <w:rFonts w:ascii="Arial" w:hAnsi="Arial" w:eastAsia="Arial" w:cs="Arial"/>
        <w:sz w:val="21"/>
        <w:szCs w:val="21"/>
      </w:rPr>
    </w:pPr>
    <w:r>
      <w:rPr>
        <w:rFonts w:ascii="Arial" w:hAnsi="Arial" w:eastAsia="Arial" w:cs="Arial"/>
        <w:sz w:val="21"/>
        <w:szCs w:val="21"/>
        <w:spacing w:val="-2"/>
        <w:position w:val="1"/>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76" w:lineRule="exact"/>
      <w:rPr>
        <w:rFonts w:ascii="Arial" w:hAnsi="Arial" w:eastAsia="Arial" w:cs="Arial"/>
        <w:sz w:val="21"/>
        <w:szCs w:val="21"/>
      </w:rPr>
    </w:pPr>
    <w:r>
      <w:rPr>
        <w:rFonts w:ascii="Arial" w:hAnsi="Arial" w:eastAsia="Arial" w:cs="Arial"/>
        <w:sz w:val="21"/>
        <w:szCs w:val="21"/>
        <w:spacing w:val="-2"/>
        <w:position w:val="1"/>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49"/>
      <w:spacing w:line="235" w:lineRule="exact"/>
      <w:rPr>
        <w:rFonts w:ascii="Arial" w:hAnsi="Arial" w:eastAsia="Arial" w:cs="Arial"/>
        <w:sz w:val="18"/>
        <w:szCs w:val="18"/>
      </w:rPr>
    </w:pPr>
    <w:r>
      <w:rPr>
        <w:rFonts w:ascii="Arial" w:hAnsi="Arial" w:eastAsia="Arial" w:cs="Arial"/>
        <w:sz w:val="18"/>
        <w:szCs w:val="18"/>
        <w:spacing w:val="-2"/>
        <w:position w:val="1"/>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2"/>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6"/>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1"/>
        <w:position w:val="1"/>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1"/>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76" w:lineRule="exact"/>
      <w:rPr>
        <w:rFonts w:ascii="Arial" w:hAnsi="Arial" w:eastAsia="Arial" w:cs="Arial"/>
        <w:sz w:val="21"/>
        <w:szCs w:val="21"/>
      </w:rPr>
    </w:pPr>
    <w:r>
      <w:rPr>
        <w:rFonts w:ascii="Arial" w:hAnsi="Arial" w:eastAsia="Arial" w:cs="Arial"/>
        <w:sz w:val="21"/>
        <w:szCs w:val="21"/>
        <w:spacing w:val="-3"/>
        <w:position w:val="1"/>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9"/>
      <w:spacing w:line="276" w:lineRule="exact"/>
      <w:rPr>
        <w:rFonts w:ascii="Arial" w:hAnsi="Arial" w:eastAsia="Arial" w:cs="Arial"/>
        <w:sz w:val="21"/>
        <w:szCs w:val="21"/>
      </w:rPr>
    </w:pPr>
    <w:r>
      <w:rPr>
        <w:rFonts w:ascii="Arial" w:hAnsi="Arial" w:eastAsia="Arial" w:cs="Arial"/>
        <w:sz w:val="21"/>
        <w:szCs w:val="21"/>
        <w:spacing w:val="-3"/>
        <w:position w:val="1"/>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59"/>
      <w:spacing w:line="235" w:lineRule="exact"/>
      <w:rPr>
        <w:rFonts w:ascii="Arial" w:hAnsi="Arial" w:eastAsia="Arial" w:cs="Arial"/>
        <w:sz w:val="18"/>
        <w:szCs w:val="18"/>
      </w:rPr>
    </w:pPr>
    <w:r>
      <w:rPr>
        <w:rFonts w:ascii="Arial" w:hAnsi="Arial" w:eastAsia="Arial" w:cs="Arial"/>
        <w:sz w:val="18"/>
        <w:szCs w:val="18"/>
        <w:spacing w:val="-2"/>
        <w:position w:val="1"/>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248" w:lineRule="exact"/>
      <w:rPr>
        <w:rFonts w:ascii="Arial" w:hAnsi="Arial" w:eastAsia="Arial" w:cs="Arial"/>
        <w:sz w:val="19"/>
        <w:szCs w:val="19"/>
      </w:rPr>
    </w:pPr>
    <w:r>
      <w:rPr>
        <w:rFonts w:ascii="Arial" w:hAnsi="Arial" w:eastAsia="Arial" w:cs="Arial"/>
        <w:sz w:val="19"/>
        <w:szCs w:val="19"/>
        <w:spacing w:val="-3"/>
        <w:position w:val="1"/>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76" w:lineRule="exact"/>
      <w:rPr>
        <w:rFonts w:ascii="Arial" w:hAnsi="Arial" w:eastAsia="Arial" w:cs="Arial"/>
        <w:sz w:val="21"/>
        <w:szCs w:val="21"/>
      </w:rPr>
    </w:pPr>
    <w:r>
      <w:rPr>
        <w:rFonts w:ascii="Arial" w:hAnsi="Arial" w:eastAsia="Arial" w:cs="Arial"/>
        <w:sz w:val="21"/>
        <w:szCs w:val="21"/>
        <w:spacing w:val="-3"/>
        <w:position w:val="1"/>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34"/>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3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235" w:lineRule="exact"/>
      <w:rPr>
        <w:rFonts w:ascii="Arial" w:hAnsi="Arial" w:eastAsia="Arial" w:cs="Arial"/>
        <w:sz w:val="18"/>
        <w:szCs w:val="18"/>
      </w:rPr>
    </w:pPr>
    <w:r>
      <w:rPr>
        <w:rFonts w:ascii="Arial" w:hAnsi="Arial" w:eastAsia="Arial" w:cs="Arial"/>
        <w:sz w:val="18"/>
        <w:szCs w:val="18"/>
        <w:spacing w:val="-2"/>
        <w:position w:val="1"/>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6"/>
      <w:spacing w:line="175" w:lineRule="auto"/>
      <w:rPr>
        <w:rFonts w:ascii="Times New Roman" w:hAnsi="Times New Roman" w:eastAsia="Times New Roman" w:cs="Times New Roman"/>
        <w:sz w:val="16"/>
        <w:szCs w:val="16"/>
      </w:rPr>
    </w:pPr>
    <w:r>
      <w:rPr>
        <w:rFonts w:ascii="Times New Roman" w:hAnsi="Times New Roman" w:eastAsia="Times New Roman" w:cs="Times New Roman"/>
        <w:sz w:val="16"/>
        <w:szCs w:val="16"/>
        <w:spacing w:val="-2"/>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49"/>
      <w:spacing w:line="235" w:lineRule="exact"/>
      <w:rPr>
        <w:rFonts w:ascii="Arial" w:hAnsi="Arial" w:eastAsia="Arial" w:cs="Arial"/>
        <w:sz w:val="18"/>
        <w:szCs w:val="18"/>
      </w:rPr>
    </w:pPr>
    <w:r>
      <w:rPr>
        <w:rFonts w:ascii="Arial" w:hAnsi="Arial" w:eastAsia="Arial" w:cs="Arial"/>
        <w:sz w:val="18"/>
        <w:szCs w:val="18"/>
        <w:spacing w:val="-2"/>
        <w:position w:val="1"/>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76" w:lineRule="exact"/>
      <w:rPr>
        <w:rFonts w:ascii="Arial" w:hAnsi="Arial" w:eastAsia="Arial" w:cs="Arial"/>
        <w:sz w:val="21"/>
        <w:szCs w:val="21"/>
      </w:rPr>
    </w:pPr>
    <w:r>
      <w:rPr>
        <w:rFonts w:ascii="Arial" w:hAnsi="Arial" w:eastAsia="Arial" w:cs="Arial"/>
        <w:sz w:val="21"/>
        <w:szCs w:val="21"/>
        <w:spacing w:val="-3"/>
        <w:position w:val="1"/>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76" w:lineRule="exact"/>
      <w:rPr>
        <w:rFonts w:ascii="Arial" w:hAnsi="Arial" w:eastAsia="Arial" w:cs="Arial"/>
        <w:sz w:val="21"/>
        <w:szCs w:val="21"/>
      </w:rPr>
    </w:pPr>
    <w:r>
      <w:rPr>
        <w:rFonts w:ascii="Arial" w:hAnsi="Arial" w:eastAsia="Arial" w:cs="Arial"/>
        <w:sz w:val="21"/>
        <w:szCs w:val="21"/>
        <w:spacing w:val="-3"/>
        <w:position w:val="1"/>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24"/>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76" w:lineRule="exact"/>
      <w:rPr>
        <w:rFonts w:ascii="Arial" w:hAnsi="Arial" w:eastAsia="Arial" w:cs="Arial"/>
        <w:sz w:val="21"/>
        <w:szCs w:val="21"/>
      </w:rPr>
    </w:pPr>
    <w:r>
      <w:rPr>
        <w:rFonts w:ascii="Arial" w:hAnsi="Arial" w:eastAsia="Arial" w:cs="Arial"/>
        <w:sz w:val="21"/>
        <w:szCs w:val="21"/>
        <w:spacing w:val="-3"/>
        <w:position w:val="1"/>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235" w:lineRule="exact"/>
      <w:rPr>
        <w:rFonts w:ascii="Arial" w:hAnsi="Arial" w:eastAsia="Arial" w:cs="Arial"/>
        <w:sz w:val="18"/>
        <w:szCs w:val="18"/>
      </w:rPr>
    </w:pPr>
    <w:r>
      <w:rPr>
        <w:rFonts w:ascii="Arial" w:hAnsi="Arial" w:eastAsia="Arial" w:cs="Arial"/>
        <w:sz w:val="18"/>
        <w:szCs w:val="18"/>
        <w:spacing w:val="-2"/>
        <w:position w:val="1"/>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0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4"/>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235" w:lineRule="exact"/>
      <w:rPr>
        <w:rFonts w:ascii="Arial" w:hAnsi="Arial" w:eastAsia="Arial" w:cs="Arial"/>
        <w:sz w:val="18"/>
        <w:szCs w:val="18"/>
      </w:rPr>
    </w:pPr>
    <w:r>
      <w:rPr>
        <w:rFonts w:ascii="Arial" w:hAnsi="Arial" w:eastAsia="Arial" w:cs="Arial"/>
        <w:sz w:val="18"/>
        <w:szCs w:val="18"/>
        <w:spacing w:val="-2"/>
        <w:position w:val="1"/>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93</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8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94</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95</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96</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6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97</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79"/>
      <w:spacing w:line="235" w:lineRule="exact"/>
      <w:rPr>
        <w:rFonts w:ascii="Arial" w:hAnsi="Arial" w:eastAsia="Arial" w:cs="Arial"/>
        <w:sz w:val="18"/>
        <w:szCs w:val="18"/>
      </w:rPr>
    </w:pPr>
    <w:r>
      <w:rPr>
        <w:rFonts w:ascii="Arial" w:hAnsi="Arial" w:eastAsia="Arial" w:cs="Arial"/>
        <w:sz w:val="18"/>
        <w:szCs w:val="18"/>
        <w:spacing w:val="-2"/>
        <w:position w:val="1"/>
      </w:rPr>
      <w:t>98</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99</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5"/>
      </w:rPr>
      <w:t>100</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101</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102</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103</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104</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105</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106</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107</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5"/>
      </w:rPr>
      <w:t>108</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7"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5"/>
      </w:rPr>
      <w:t>109</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0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110</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111</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112</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113</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114</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115</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116</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117</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118</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119</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120</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121</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122</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123</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124</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125</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126</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127</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128</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129</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130</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131</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0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132</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133</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124"/>
      <w:spacing w:line="175" w:lineRule="auto"/>
      <w:rPr>
        <w:rFonts w:ascii="Times New Roman" w:hAnsi="Times New Roman" w:eastAsia="Times New Roman" w:cs="Times New Roman"/>
        <w:sz w:val="17"/>
        <w:szCs w:val="17"/>
      </w:rPr>
    </w:pPr>
    <w:r>
      <w:rPr>
        <w:rFonts w:ascii="Times New Roman" w:hAnsi="Times New Roman" w:eastAsia="Times New Roman" w:cs="Times New Roman"/>
        <w:sz w:val="17"/>
        <w:szCs w:val="17"/>
        <w:spacing w:val="-5"/>
      </w:rPr>
      <w:t>134</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135</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3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136</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137</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139</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140</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141</w:t>
    </w:r>
  </w:p>
</w:ftr>
</file>

<file path=word/footer1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142</w:t>
    </w:r>
  </w:p>
</w:ftr>
</file>

<file path=word/footer1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143</w:t>
    </w:r>
  </w:p>
</w:ftr>
</file>

<file path=word/footer1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96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144</w:t>
    </w:r>
  </w:p>
</w:ftr>
</file>

<file path=word/footer1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145</w:t>
    </w:r>
  </w:p>
</w:ftr>
</file>

<file path=word/footer1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146</w:t>
    </w:r>
  </w:p>
</w:ftr>
</file>

<file path=word/footer1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147</w:t>
    </w:r>
  </w:p>
</w:ftr>
</file>

<file path=word/footer1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148</w:t>
    </w:r>
  </w:p>
</w:ftr>
</file>

<file path=word/footer1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149</w:t>
    </w:r>
  </w:p>
</w:ftr>
</file>

<file path=word/footer1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150</w:t>
    </w:r>
  </w:p>
</w:ftr>
</file>

<file path=word/footer1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151</w:t>
    </w:r>
  </w:p>
</w:ftr>
</file>

<file path=word/footer1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152</w:t>
    </w:r>
  </w:p>
</w:ftr>
</file>

<file path=word/footer1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153</w:t>
    </w:r>
  </w:p>
</w:ftr>
</file>

<file path=word/footer1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154</w:t>
    </w:r>
  </w:p>
</w:ftr>
</file>

<file path=word/footer1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155</w:t>
    </w:r>
  </w:p>
</w:ftr>
</file>

<file path=word/footer1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156</w:t>
    </w:r>
  </w:p>
</w:ftr>
</file>

<file path=word/footer1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157</w:t>
    </w:r>
  </w:p>
</w:ftr>
</file>

<file path=word/footer1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158</w:t>
    </w:r>
  </w:p>
</w:ftr>
</file>

<file path=word/footer1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159</w:t>
    </w:r>
  </w:p>
</w:ftr>
</file>

<file path=word/footer1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160</w:t>
    </w:r>
  </w:p>
</w:ftr>
</file>

<file path=word/footer1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161</w:t>
    </w:r>
  </w:p>
</w:ftr>
</file>

<file path=word/footer1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162</w:t>
    </w:r>
  </w:p>
</w:ftr>
</file>

<file path=word/footer1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163</w:t>
    </w:r>
  </w:p>
</w:ftr>
</file>

<file path=word/footer1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164</w:t>
    </w:r>
  </w:p>
</w:ftr>
</file>

<file path=word/footer1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165</w:t>
    </w:r>
  </w:p>
</w:ftr>
</file>

<file path=word/footer1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166</w:t>
    </w:r>
  </w:p>
</w:ftr>
</file>

<file path=word/footer1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167</w:t>
    </w:r>
  </w:p>
</w:ftr>
</file>

<file path=word/footer1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168</w:t>
    </w:r>
  </w:p>
</w:ftr>
</file>

<file path=word/footer1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169</w:t>
    </w:r>
  </w:p>
</w:ftr>
</file>

<file path=word/footer1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170</w:t>
    </w:r>
  </w:p>
</w:ftr>
</file>

<file path=word/footer1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3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171</w:t>
    </w:r>
  </w:p>
</w:ftr>
</file>

<file path=word/footer1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172</w:t>
    </w:r>
  </w:p>
</w:ftr>
</file>

<file path=word/footer1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173</w:t>
    </w:r>
  </w:p>
</w:ftr>
</file>

<file path=word/footer1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174</w:t>
    </w:r>
  </w:p>
</w:ftr>
</file>

<file path=word/footer1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175</w:t>
    </w:r>
  </w:p>
</w:ftr>
</file>

<file path=word/footer1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176</w:t>
    </w:r>
  </w:p>
</w:ftr>
</file>

<file path=word/footer1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177</w:t>
    </w:r>
  </w:p>
</w:ftr>
</file>

<file path=word/footer1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7"/>
      </w:rPr>
      <w:t>178</w:t>
    </w:r>
  </w:p>
</w:ftr>
</file>

<file path=word/footer1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179</w:t>
    </w:r>
  </w:p>
</w:ftr>
</file>

<file path=word/footer1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180</w:t>
    </w:r>
  </w:p>
</w:ftr>
</file>

<file path=word/footer1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8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181</w:t>
    </w:r>
  </w:p>
</w:ftr>
</file>

<file path=word/footer1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182</w:t>
    </w:r>
  </w:p>
</w:ftr>
</file>

<file path=word/footer1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183</w:t>
    </w:r>
  </w:p>
</w:ftr>
</file>

<file path=word/footer1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184</w:t>
    </w:r>
  </w:p>
</w:ftr>
</file>

<file path=word/footer1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185</w:t>
    </w:r>
  </w:p>
</w:ftr>
</file>

<file path=word/footer1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186</w:t>
    </w:r>
  </w:p>
</w:ftr>
</file>

<file path=word/footer1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187</w:t>
    </w:r>
  </w:p>
</w:ftr>
</file>

<file path=word/footer1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188</w:t>
    </w:r>
  </w:p>
</w:ftr>
</file>

<file path=word/footer1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189</w:t>
    </w:r>
  </w:p>
</w:ftr>
</file>

<file path=word/footer1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190</w:t>
    </w:r>
  </w:p>
</w:ftr>
</file>

<file path=word/footer1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191</w:t>
    </w:r>
  </w:p>
</w:ftr>
</file>

<file path=word/footer1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6"/>
      </w:rPr>
      <w:t>192</w:t>
    </w:r>
  </w:p>
</w:ftr>
</file>

<file path=word/footer1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193</w:t>
    </w:r>
  </w:p>
</w:ftr>
</file>

<file path=word/footer1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194</w:t>
    </w:r>
  </w:p>
</w:ftr>
</file>

<file path=word/footer1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195</w:t>
    </w:r>
  </w:p>
</w:ftr>
</file>

<file path=word/footer1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196</w:t>
    </w:r>
  </w:p>
</w:ftr>
</file>

<file path=word/footer1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4"/>
      </w:rPr>
      <w:t>197</w:t>
    </w:r>
  </w:p>
</w:ftr>
</file>

<file path=word/footer1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198</w:t>
    </w:r>
  </w:p>
</w:ftr>
</file>

<file path=word/footer1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3"/>
      </w:rPr>
      <w:t>199</w:t>
    </w:r>
  </w:p>
</w:ftr>
</file>

<file path=word/footer2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200</w:t>
    </w:r>
  </w:p>
</w:ftr>
</file>

<file path=word/footer2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201</w:t>
    </w:r>
  </w:p>
</w:ftr>
</file>

<file path=word/footer2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202</w:t>
    </w:r>
  </w:p>
</w:ftr>
</file>

<file path=word/footer2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203</w:t>
    </w:r>
  </w:p>
</w:ftr>
</file>

<file path=word/footer2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204</w:t>
    </w:r>
  </w:p>
</w:ftr>
</file>

<file path=word/footer2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205</w:t>
    </w:r>
  </w:p>
</w:ftr>
</file>

<file path=word/footer2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206</w:t>
    </w:r>
  </w:p>
</w:ftr>
</file>

<file path=word/footer2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207</w:t>
    </w:r>
  </w:p>
</w:ftr>
</file>

<file path=word/footer2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208</w:t>
    </w:r>
  </w:p>
</w:ftr>
</file>

<file path=word/footer2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209</w:t>
    </w:r>
  </w:p>
</w:ftr>
</file>

<file path=word/footer2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210</w:t>
    </w:r>
  </w:p>
</w:ftr>
</file>

<file path=word/footer2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211</w:t>
    </w:r>
  </w:p>
</w:ftr>
</file>

<file path=word/footer2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212</w:t>
    </w:r>
  </w:p>
</w:ftr>
</file>

<file path=word/footer2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213</w:t>
    </w:r>
  </w:p>
</w:ftr>
</file>

<file path=word/footer2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214</w:t>
    </w:r>
  </w:p>
</w:ftr>
</file>

<file path=word/footer2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215</w:t>
    </w:r>
  </w:p>
</w:ftr>
</file>

<file path=word/footer2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216</w:t>
    </w:r>
  </w:p>
</w:ftr>
</file>

<file path=word/footer2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217</w:t>
    </w:r>
  </w:p>
</w:ftr>
</file>

<file path=word/footer2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218</w:t>
    </w:r>
  </w:p>
</w:ftr>
</file>

<file path=word/footer2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219</w:t>
    </w:r>
  </w:p>
</w:ftr>
</file>

<file path=word/footer2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220</w:t>
    </w:r>
  </w:p>
</w:ftr>
</file>

<file path=word/footer2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221</w:t>
    </w:r>
  </w:p>
</w:ftr>
</file>

<file path=word/footer2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222</w:t>
    </w:r>
  </w:p>
</w:ftr>
</file>

<file path=word/footer2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223</w:t>
    </w:r>
  </w:p>
</w:ftr>
</file>

<file path=word/footer2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224</w:t>
    </w:r>
  </w:p>
</w:ftr>
</file>

<file path=word/footer2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225</w:t>
    </w:r>
  </w:p>
</w:ftr>
</file>

<file path=word/footer2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226</w:t>
    </w:r>
  </w:p>
</w:ftr>
</file>

<file path=word/footer2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227</w:t>
    </w:r>
  </w:p>
</w:ftr>
</file>

<file path=word/footer2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228</w:t>
    </w:r>
  </w:p>
</w:ftr>
</file>

<file path=word/footer2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2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229</w:t>
    </w:r>
  </w:p>
</w:ftr>
</file>

<file path=word/footer2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2"/>
      </w:rPr>
      <w:t>230</w:t>
    </w:r>
  </w:p>
</w:ftr>
</file>

<file path=word/footer2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231</w:t>
    </w:r>
  </w:p>
</w:ftr>
</file>

<file path=word/footer2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232</w:t>
    </w:r>
  </w:p>
</w:ftr>
</file>

<file path=word/footer2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233</w:t>
    </w:r>
  </w:p>
</w:ftr>
</file>

<file path=word/footer2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234</w:t>
    </w:r>
  </w:p>
</w:ftr>
</file>

<file path=word/footer2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235</w:t>
    </w:r>
  </w:p>
</w:ftr>
</file>

<file path=word/footer2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236</w:t>
    </w:r>
  </w:p>
</w:ftr>
</file>

<file path=word/footer2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237</w:t>
    </w:r>
  </w:p>
</w:ftr>
</file>

<file path=word/footer2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2"/>
      </w:rPr>
      <w:t>238</w:t>
    </w:r>
  </w:p>
</w:ftr>
</file>

<file path=word/footer2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239</w:t>
    </w:r>
  </w:p>
</w:ftr>
</file>

<file path=word/footer2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240</w:t>
    </w:r>
  </w:p>
</w:ftr>
</file>

<file path=word/footer2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241</w:t>
    </w:r>
  </w:p>
</w:ftr>
</file>

<file path=word/footer2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242</w:t>
    </w:r>
  </w:p>
</w:ftr>
</file>

<file path=word/footer2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243</w:t>
    </w:r>
  </w:p>
</w:ftr>
</file>

<file path=word/footer2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244</w:t>
    </w:r>
  </w:p>
</w:ftr>
</file>

<file path=word/footer2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245</w:t>
    </w:r>
  </w:p>
</w:ftr>
</file>

<file path=word/footer2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246</w:t>
    </w:r>
  </w:p>
</w:ftr>
</file>

<file path=word/footer2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247</w:t>
    </w:r>
  </w:p>
</w:ftr>
</file>

<file path=word/footer2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248</w:t>
    </w:r>
  </w:p>
</w:ftr>
</file>

<file path=word/footer2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249</w:t>
    </w:r>
  </w:p>
</w:ftr>
</file>

<file path=word/footer2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250</w:t>
    </w:r>
  </w:p>
</w:ftr>
</file>

<file path=word/footer2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251</w:t>
    </w:r>
  </w:p>
</w:ftr>
</file>

<file path=word/footer2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252</w:t>
    </w:r>
  </w:p>
</w:ftr>
</file>

<file path=word/footer2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253</w:t>
    </w:r>
  </w:p>
</w:ftr>
</file>

<file path=word/footer2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2"/>
      </w:rPr>
      <w:t>254</w:t>
    </w:r>
  </w:p>
</w:ftr>
</file>

<file path=word/footer2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255</w:t>
    </w:r>
  </w:p>
</w:ftr>
</file>

<file path=word/footer2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256</w:t>
    </w:r>
  </w:p>
</w:ftr>
</file>

<file path=word/footer2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257</w:t>
    </w:r>
  </w:p>
</w:ftr>
</file>

<file path=word/footer2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258</w:t>
    </w:r>
  </w:p>
</w:ftr>
</file>

<file path=word/footer2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259</w:t>
    </w:r>
  </w:p>
</w:ftr>
</file>

<file path=word/footer2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2"/>
      </w:rPr>
      <w:t>260</w:t>
    </w:r>
  </w:p>
</w:ftr>
</file>

<file path=word/footer2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261</w:t>
    </w:r>
  </w:p>
</w:ftr>
</file>

<file path=word/footer2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262</w:t>
    </w:r>
  </w:p>
</w:ftr>
</file>

<file path=word/footer2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263</w:t>
    </w:r>
  </w:p>
</w:ftr>
</file>

<file path=word/footer2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264</w:t>
    </w:r>
  </w:p>
</w:ftr>
</file>

<file path=word/footer2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265</w:t>
    </w:r>
  </w:p>
</w:ftr>
</file>

<file path=word/footer2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266</w:t>
    </w:r>
  </w:p>
</w:ftr>
</file>

<file path=word/footer2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267</w:t>
    </w:r>
  </w:p>
</w:ftr>
</file>

<file path=word/footer2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2"/>
      </w:rPr>
      <w:t>268</w:t>
    </w:r>
  </w:p>
</w:ftr>
</file>

<file path=word/footer2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269</w:t>
    </w:r>
  </w:p>
</w:ftr>
</file>

<file path=word/footer2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270</w:t>
    </w:r>
  </w:p>
</w:ftr>
</file>

<file path=word/footer2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271</w:t>
    </w:r>
  </w:p>
</w:ftr>
</file>

<file path=word/footer2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272</w:t>
    </w:r>
  </w:p>
</w:ftr>
</file>

<file path=word/footer2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273</w:t>
    </w:r>
  </w:p>
</w:ftr>
</file>

<file path=word/footer2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274</w:t>
    </w:r>
  </w:p>
</w:ftr>
</file>

<file path=word/footer2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275</w:t>
    </w:r>
  </w:p>
</w:ftr>
</file>

<file path=word/footer2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276</w:t>
    </w:r>
  </w:p>
</w:ftr>
</file>

<file path=word/footer2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2"/>
      </w:rPr>
      <w:t>277</w:t>
    </w:r>
  </w:p>
</w:ftr>
</file>

<file path=word/footer2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278</w:t>
    </w:r>
  </w:p>
</w:ftr>
</file>

<file path=word/footer2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279</w:t>
    </w:r>
  </w:p>
</w:ftr>
</file>

<file path=word/footer2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280</w:t>
    </w:r>
  </w:p>
</w:ftr>
</file>

<file path=word/footer2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281</w:t>
    </w:r>
  </w:p>
</w:ftr>
</file>

<file path=word/footer2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282</w:t>
    </w:r>
  </w:p>
</w:ftr>
</file>

<file path=word/footer2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283</w:t>
    </w:r>
  </w:p>
</w:ftr>
</file>

<file path=word/footer2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284</w:t>
    </w:r>
  </w:p>
</w:ftr>
</file>

<file path=word/footer2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285</w:t>
    </w:r>
  </w:p>
</w:ftr>
</file>

<file path=word/footer2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286</w:t>
    </w:r>
  </w:p>
</w:ftr>
</file>

<file path=word/footer2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287</w:t>
    </w:r>
  </w:p>
</w:ftr>
</file>

<file path=word/footer2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288</w:t>
    </w:r>
  </w:p>
</w:ftr>
</file>

<file path=word/footer2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289</w:t>
    </w:r>
  </w:p>
</w:ftr>
</file>

<file path=word/footer2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290</w:t>
    </w:r>
  </w:p>
</w:ftr>
</file>

<file path=word/footer2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5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291</w:t>
    </w:r>
  </w:p>
</w:ftr>
</file>

<file path=word/footer2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292</w:t>
    </w:r>
  </w:p>
</w:ftr>
</file>

<file path=word/footer2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293</w:t>
    </w:r>
  </w:p>
</w:ftr>
</file>

<file path=word/footer2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4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294</w:t>
    </w:r>
  </w:p>
</w:ftr>
</file>

<file path=word/footer2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295</w:t>
    </w:r>
  </w:p>
</w:ftr>
</file>

<file path=word/footer2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296</w:t>
    </w:r>
  </w:p>
</w:ftr>
</file>

<file path=word/footer2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2"/>
      </w:rPr>
      <w:t>297</w:t>
    </w:r>
  </w:p>
</w:ftr>
</file>

<file path=word/footer2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2"/>
      </w:rPr>
      <w:t>298</w:t>
    </w:r>
  </w:p>
</w:ftr>
</file>

<file path=word/footer2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299</w:t>
    </w:r>
  </w:p>
</w:ftr>
</file>

<file path=word/footer3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1"/>
      </w:rPr>
      <w:t>300</w:t>
    </w:r>
  </w:p>
</w:ftr>
</file>

<file path=word/footer3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301</w:t>
    </w:r>
  </w:p>
</w:ftr>
</file>

<file path=word/footer3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8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302</w:t>
    </w:r>
  </w:p>
</w:ftr>
</file>

<file path=word/footer3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303</w:t>
    </w:r>
  </w:p>
</w:ftr>
</file>

<file path=word/footer3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304</w:t>
    </w:r>
  </w:p>
</w:ftr>
</file>

<file path=word/footer3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305</w:t>
    </w:r>
  </w:p>
</w:ftr>
</file>

<file path=word/footer3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1"/>
      </w:rPr>
      <w:t>306</w:t>
    </w:r>
  </w:p>
</w:ftr>
</file>

<file path=word/footer3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310"/>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307</w:t>
    </w:r>
  </w:p>
</w:ftr>
</file>

<file path=word/footer3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300"/>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308</w:t>
    </w:r>
  </w:p>
</w:ftr>
</file>

<file path=word/footer3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1"/>
      </w:rPr>
      <w:t>309</w:t>
    </w:r>
  </w:p>
</w:ftr>
</file>

<file path=word/footer3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310</w:t>
    </w:r>
  </w:p>
</w:ftr>
</file>

<file path=word/footer3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8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311</w:t>
    </w:r>
  </w:p>
</w:ftr>
</file>

<file path=word/footer3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312</w:t>
    </w:r>
  </w:p>
</w:ftr>
</file>

<file path=word/footer3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313</w:t>
    </w:r>
  </w:p>
</w:ftr>
</file>

<file path=word/footer3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314</w:t>
    </w:r>
  </w:p>
</w:ftr>
</file>

<file path=word/footer3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315</w:t>
    </w:r>
  </w:p>
</w:ftr>
</file>

<file path=word/footer3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316</w:t>
    </w:r>
  </w:p>
</w:ftr>
</file>

<file path=word/footer3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317</w:t>
    </w:r>
  </w:p>
</w:ftr>
</file>

<file path=word/footer3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1"/>
      </w:rPr>
      <w:t>318</w:t>
    </w:r>
  </w:p>
</w:ftr>
</file>

<file path=word/footer3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319</w:t>
    </w:r>
  </w:p>
</w:ftr>
</file>

<file path=word/footer3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320</w:t>
    </w:r>
  </w:p>
</w:ftr>
</file>

<file path=word/footer3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321</w:t>
    </w:r>
  </w:p>
</w:ftr>
</file>

<file path=word/footer3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322</w:t>
    </w:r>
  </w:p>
</w:ftr>
</file>

<file path=word/footer3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323</w:t>
    </w:r>
  </w:p>
</w:ftr>
</file>

<file path=word/footer3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1"/>
      </w:rPr>
      <w:t>324</w:t>
    </w:r>
  </w:p>
</w:ftr>
</file>

<file path=word/footer3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325</w:t>
    </w:r>
  </w:p>
</w:ftr>
</file>

<file path=word/footer3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326</w:t>
    </w:r>
  </w:p>
</w:ftr>
</file>

<file path=word/footer3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327</w:t>
    </w:r>
  </w:p>
</w:ftr>
</file>

<file path=word/footer3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9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328</w:t>
    </w:r>
  </w:p>
</w:ftr>
</file>

<file path=word/footer3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b/>
        <w:bCs/>
        <w:spacing w:val="-1"/>
      </w:rPr>
      <w:t>329</w:t>
    </w:r>
  </w:p>
</w:ftr>
</file>

<file path=word/footer3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330</w:t>
    </w:r>
  </w:p>
</w:ftr>
</file>

<file path=word/footer3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80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331</w:t>
    </w:r>
  </w:p>
</w:ftr>
</file>

<file path=word/footer3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332</w:t>
    </w:r>
  </w:p>
</w:ftr>
</file>

<file path=word/footer3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333</w:t>
    </w:r>
  </w:p>
</w:ftr>
</file>

<file path=word/footer3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334</w:t>
    </w:r>
  </w:p>
</w:ftr>
</file>

<file path=word/footer3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335</w:t>
    </w:r>
  </w:p>
</w:ftr>
</file>

<file path=word/footer3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336</w:t>
    </w:r>
  </w:p>
</w:ftr>
</file>

<file path=word/footer3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337</w:t>
    </w:r>
  </w:p>
</w:ftr>
</file>

<file path=word/footer3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spacing w:val="-3"/>
      </w:rPr>
      <w:t>338</w:t>
    </w:r>
  </w:p>
</w:ftr>
</file>

<file path=word/footer3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339</w:t>
    </w:r>
  </w:p>
</w:ftr>
</file>

<file path=word/footer3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09"/>
      <w:spacing w:line="179" w:lineRule="auto"/>
      <w:rPr>
        <w:rFonts w:ascii="Times New Roman" w:hAnsi="Times New Roman" w:eastAsia="Times New Roman" w:cs="Times New Roman"/>
        <w:sz w:val="23"/>
        <w:szCs w:val="23"/>
      </w:rPr>
    </w:pPr>
    <w:r>
      <w:rPr>
        <w:rFonts w:ascii="Times New Roman" w:hAnsi="Times New Roman" w:eastAsia="Times New Roman" w:cs="Times New Roman"/>
        <w:sz w:val="23"/>
        <w:szCs w:val="23"/>
        <w:spacing w:val="-3"/>
      </w:rPr>
      <w:t>340</w:t>
    </w:r>
  </w:p>
</w:ftr>
</file>

<file path=word/footer3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09"/>
      <w:spacing w:line="179" w:lineRule="auto"/>
      <w:rPr>
        <w:rFonts w:ascii="Times New Roman" w:hAnsi="Times New Roman" w:eastAsia="Times New Roman" w:cs="Times New Roman"/>
        <w:sz w:val="23"/>
        <w:szCs w:val="23"/>
      </w:rPr>
    </w:pPr>
    <w:r>
      <w:rPr>
        <w:rFonts w:ascii="Times New Roman" w:hAnsi="Times New Roman" w:eastAsia="Times New Roman" w:cs="Times New Roman"/>
        <w:sz w:val="23"/>
        <w:szCs w:val="23"/>
        <w:spacing w:val="-3"/>
      </w:rPr>
      <w:t>341</w:t>
    </w:r>
  </w:p>
</w:ftr>
</file>

<file path=word/footer3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1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342</w:t>
    </w:r>
  </w:p>
</w:ftr>
</file>

<file path=word/footer3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09"/>
      <w:spacing w:line="179" w:lineRule="auto"/>
      <w:rPr>
        <w:rFonts w:ascii="Times New Roman" w:hAnsi="Times New Roman" w:eastAsia="Times New Roman" w:cs="Times New Roman"/>
        <w:sz w:val="23"/>
        <w:szCs w:val="23"/>
      </w:rPr>
    </w:pPr>
    <w:r>
      <w:rPr>
        <w:rFonts w:ascii="Times New Roman" w:hAnsi="Times New Roman" w:eastAsia="Times New Roman" w:cs="Times New Roman"/>
        <w:sz w:val="23"/>
        <w:szCs w:val="23"/>
        <w:spacing w:val="-3"/>
      </w:rPr>
      <w:t>343</w:t>
    </w:r>
  </w:p>
</w:ftr>
</file>

<file path=word/footer3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344</w:t>
    </w:r>
  </w:p>
</w:ftr>
</file>

<file path=word/footer3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345</w:t>
    </w:r>
  </w:p>
</w:ftr>
</file>

<file path=word/footer3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346</w:t>
    </w:r>
  </w:p>
</w:ftr>
</file>

<file path=word/footer3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347</w:t>
    </w:r>
  </w:p>
</w:ftr>
</file>

<file path=word/footer3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348</w:t>
    </w:r>
  </w:p>
</w:ftr>
</file>

<file path=word/footer3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9"/>
      <w:spacing w:line="178" w:lineRule="auto"/>
      <w:rPr>
        <w:rFonts w:ascii="Times New Roman" w:hAnsi="Times New Roman" w:eastAsia="Times New Roman" w:cs="Times New Roman"/>
        <w:sz w:val="22"/>
        <w:szCs w:val="22"/>
      </w:rPr>
    </w:pPr>
    <w:r>
      <w:rPr>
        <w:rFonts w:ascii="Times New Roman" w:hAnsi="Times New Roman" w:eastAsia="Times New Roman" w:cs="Times New Roman"/>
        <w:sz w:val="22"/>
        <w:szCs w:val="22"/>
        <w:b/>
        <w:bCs/>
        <w:spacing w:val="-1"/>
      </w:rPr>
      <w:t>349</w:t>
    </w:r>
  </w:p>
</w:ftr>
</file>

<file path=word/footer3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49"/>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350</w:t>
    </w:r>
  </w:p>
</w:ftr>
</file>

<file path=word/footer3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69"/>
      <w:spacing w:line="180" w:lineRule="auto"/>
      <w:rPr>
        <w:rFonts w:ascii="Times New Roman" w:hAnsi="Times New Roman" w:eastAsia="Times New Roman" w:cs="Times New Roman"/>
        <w:sz w:val="27"/>
        <w:szCs w:val="27"/>
      </w:rPr>
    </w:pPr>
    <w:r>
      <w:rPr>
        <w:rFonts w:ascii="Times New Roman" w:hAnsi="Times New Roman" w:eastAsia="Times New Roman" w:cs="Times New Roman"/>
        <w:sz w:val="27"/>
        <w:szCs w:val="27"/>
        <w:spacing w:val="-8"/>
      </w:rPr>
      <w:t>351</w:t>
    </w:r>
  </w:p>
</w:ftr>
</file>

<file path=word/footer3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779"/>
      <w:spacing w:line="233" w:lineRule="auto"/>
      <w:rPr>
        <w:sz w:val="29"/>
        <w:szCs w:val="29"/>
      </w:rPr>
    </w:pPr>
    <w:r>
      <w:rPr>
        <w:sz w:val="29"/>
        <w:szCs w:val="29"/>
        <w:spacing w:val="-18"/>
      </w:rPr>
      <w:t>352</w:t>
    </w:r>
  </w:p>
</w:ftr>
</file>

<file path=word/footer3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56"/>
      <w:spacing w:line="17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spacing w:val="-3"/>
      </w:rPr>
      <w:t>353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WordPictureWatermark32" style="position:absolute;margin-left:120.999pt;margin-top:620.998pt;mso-position-vertical-relative:page;mso-position-horizontal-relative:page;width:466pt;height:281.05pt;z-index:-251658240;" o:allowincell="f" filled="false" stroked="false" type="#_x0000_t75">
          <v:imagedata o:title="" r:id="rId1"/>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78" w:line="219" w:lineRule="auto"/>
      <w:rPr>
        <w:sz w:val="29"/>
        <w:szCs w:val="29"/>
      </w:rPr>
    </w:pPr>
    <w:r>
      <w:rPr>
        <w:sz w:val="29"/>
        <w:szCs w:val="29"/>
        <w:spacing w:val="-9"/>
      </w:rPr>
      <w:t>教育，加强防火意识。及时清扫落叶、树挂，消除火灾隐患。同时注意库房的防火、</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9"/>
      <w:spacing w:line="379" w:lineRule="exact"/>
      <w:rPr/>
    </w:pPr>
    <w:r>
      <w:drawing>
        <wp:anchor distT="0" distB="0" distL="0" distR="0" simplePos="0" relativeHeight="251659264"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10" name="IM 710"/>
          <wp:cNvGraphicFramePr/>
          <a:graphic>
            <a:graphicData uri="http://schemas.openxmlformats.org/drawingml/2006/picture">
              <pic:pic>
                <pic:nvPicPr>
                  <pic:cNvPr id="710" name="IM 710"/>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1271"/>
          <wp:effectExtent l="0" t="0" r="0" b="0"/>
          <wp:docPr id="712" name="IM 712"/>
          <wp:cNvGraphicFramePr/>
          <a:graphic>
            <a:graphicData uri="http://schemas.openxmlformats.org/drawingml/2006/picture">
              <pic:pic>
                <pic:nvPicPr>
                  <pic:cNvPr id="712" name="IM 712"/>
                  <pic:cNvPicPr/>
                </pic:nvPicPr>
                <pic:blipFill>
                  <a:blip r:embed="rId2"/>
                  <a:stretch>
                    <a:fillRect/>
                  </a:stretch>
                </pic:blipFill>
                <pic:spPr>
                  <a:xfrm rot="0">
                    <a:off x="0" y="0"/>
                    <a:ext cx="1733496" cy="241271"/>
                  </a:xfrm>
                  <a:prstGeom prst="rect">
                    <a:avLst/>
                  </a:prstGeom>
                </pic:spPr>
              </pic:pic>
            </a:graphicData>
          </a:graphic>
        </wp:inline>
      </w:drawing>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
      <w:spacing w:line="389" w:lineRule="exact"/>
      <w:rPr/>
    </w:pPr>
    <w:r>
      <w:drawing>
        <wp:anchor distT="0" distB="0" distL="0" distR="0" simplePos="0" relativeHeight="251660288"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14" name="IM 714"/>
          <wp:cNvGraphicFramePr/>
          <a:graphic>
            <a:graphicData uri="http://schemas.openxmlformats.org/drawingml/2006/picture">
              <pic:pic>
                <pic:nvPicPr>
                  <pic:cNvPr id="714" name="IM 714"/>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7639"/>
          <wp:effectExtent l="0" t="0" r="0" b="0"/>
          <wp:docPr id="716" name="IM 716"/>
          <wp:cNvGraphicFramePr/>
          <a:graphic>
            <a:graphicData uri="http://schemas.openxmlformats.org/drawingml/2006/picture">
              <pic:pic>
                <pic:nvPicPr>
                  <pic:cNvPr id="716" name="IM 716"/>
                  <pic:cNvPicPr/>
                </pic:nvPicPr>
                <pic:blipFill>
                  <a:blip r:embed="rId2"/>
                  <a:stretch>
                    <a:fillRect/>
                  </a:stretch>
                </pic:blipFill>
                <pic:spPr>
                  <a:xfrm rot="0">
                    <a:off x="0" y="0"/>
                    <a:ext cx="1733496" cy="247639"/>
                  </a:xfrm>
                  <a:prstGeom prst="rect">
                    <a:avLst/>
                  </a:prstGeom>
                </pic:spPr>
              </pic:pic>
            </a:graphicData>
          </a:graphic>
        </wp:inline>
      </w:drawing>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
      <w:spacing w:line="400" w:lineRule="exact"/>
      <w:rPr/>
    </w:pPr>
    <w:r>
      <w:drawing>
        <wp:anchor distT="0" distB="0" distL="0" distR="0" simplePos="0" relativeHeight="251661312"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18" name="IM 718"/>
          <wp:cNvGraphicFramePr/>
          <a:graphic>
            <a:graphicData uri="http://schemas.openxmlformats.org/drawingml/2006/picture">
              <pic:pic>
                <pic:nvPicPr>
                  <pic:cNvPr id="718" name="IM 718"/>
                  <pic:cNvPicPr/>
                </pic:nvPicPr>
                <pic:blipFill>
                  <a:blip r:embed="rId1"/>
                  <a:stretch>
                    <a:fillRect/>
                  </a:stretch>
                </pic:blipFill>
                <pic:spPr>
                  <a:xfrm rot="0">
                    <a:off x="0" y="0"/>
                    <a:ext cx="6521406" cy="18977"/>
                  </a:xfrm>
                  <a:prstGeom prst="rect">
                    <a:avLst/>
                  </a:prstGeom>
                </pic:spPr>
              </pic:pic>
            </a:graphicData>
          </a:graphic>
        </wp:anchor>
      </w:drawing>
    </w:r>
    <w:r>
      <w:rPr>
        <w:position w:val="-8"/>
      </w:rPr>
      <w:drawing>
        <wp:inline distT="0" distB="0" distL="0" distR="0">
          <wp:extent cx="1739844" cy="254008"/>
          <wp:effectExtent l="0" t="0" r="0" b="0"/>
          <wp:docPr id="720" name="IM 720"/>
          <wp:cNvGraphicFramePr/>
          <a:graphic>
            <a:graphicData uri="http://schemas.openxmlformats.org/drawingml/2006/picture">
              <pic:pic>
                <pic:nvPicPr>
                  <pic:cNvPr id="720" name="IM 720"/>
                  <pic:cNvPicPr/>
                </pic:nvPicPr>
                <pic:blipFill>
                  <a:blip r:embed="rId2"/>
                  <a:stretch>
                    <a:fillRect/>
                  </a:stretch>
                </pic:blipFill>
                <pic:spPr>
                  <a:xfrm rot="0">
                    <a:off x="0" y="0"/>
                    <a:ext cx="1739844" cy="254008"/>
                  </a:xfrm>
                  <a:prstGeom prst="rect">
                    <a:avLst/>
                  </a:prstGeom>
                </pic:spPr>
              </pic:pic>
            </a:graphicData>
          </a:graphic>
        </wp:inline>
      </w:drawing>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
      <w:spacing w:line="389" w:lineRule="exact"/>
      <w:rPr/>
    </w:pPr>
    <w:r>
      <w:drawing>
        <wp:anchor distT="0" distB="0" distL="0" distR="0" simplePos="0" relativeHeight="251662336"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22" name="IM 722"/>
          <wp:cNvGraphicFramePr/>
          <a:graphic>
            <a:graphicData uri="http://schemas.openxmlformats.org/drawingml/2006/picture">
              <pic:pic>
                <pic:nvPicPr>
                  <pic:cNvPr id="722" name="IM 722"/>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9844" cy="247639"/>
          <wp:effectExtent l="0" t="0" r="0" b="0"/>
          <wp:docPr id="724" name="IM 724"/>
          <wp:cNvGraphicFramePr/>
          <a:graphic>
            <a:graphicData uri="http://schemas.openxmlformats.org/drawingml/2006/picture">
              <pic:pic>
                <pic:nvPicPr>
                  <pic:cNvPr id="724" name="IM 724"/>
                  <pic:cNvPicPr/>
                </pic:nvPicPr>
                <pic:blipFill>
                  <a:blip r:embed="rId2"/>
                  <a:stretch>
                    <a:fillRect/>
                  </a:stretch>
                </pic:blipFill>
                <pic:spPr>
                  <a:xfrm rot="0">
                    <a:off x="0" y="0"/>
                    <a:ext cx="1739844" cy="247639"/>
                  </a:xfrm>
                  <a:prstGeom prst="rect">
                    <a:avLst/>
                  </a:prstGeom>
                </pic:spPr>
              </pic:pic>
            </a:graphicData>
          </a:graphic>
        </wp:inline>
      </w:drawing>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9"/>
      <w:spacing w:line="379" w:lineRule="exact"/>
      <w:rPr/>
    </w:pPr>
    <w:r>
      <w:drawing>
        <wp:anchor distT="0" distB="0" distL="0" distR="0" simplePos="0" relativeHeight="251663360"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26" name="IM 726"/>
          <wp:cNvGraphicFramePr/>
          <a:graphic>
            <a:graphicData uri="http://schemas.openxmlformats.org/drawingml/2006/picture">
              <pic:pic>
                <pic:nvPicPr>
                  <pic:cNvPr id="726" name="IM 726"/>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1271"/>
          <wp:effectExtent l="0" t="0" r="0" b="0"/>
          <wp:docPr id="728" name="IM 728"/>
          <wp:cNvGraphicFramePr/>
          <a:graphic>
            <a:graphicData uri="http://schemas.openxmlformats.org/drawingml/2006/picture">
              <pic:pic>
                <pic:nvPicPr>
                  <pic:cNvPr id="728" name="IM 728"/>
                  <pic:cNvPicPr/>
                </pic:nvPicPr>
                <pic:blipFill>
                  <a:blip r:embed="rId2"/>
                  <a:stretch>
                    <a:fillRect/>
                  </a:stretch>
                </pic:blipFill>
                <pic:spPr>
                  <a:xfrm rot="0">
                    <a:off x="0" y="0"/>
                    <a:ext cx="1733496" cy="241271"/>
                  </a:xfrm>
                  <a:prstGeom prst="rect">
                    <a:avLst/>
                  </a:prstGeom>
                </pic:spPr>
              </pic:pic>
            </a:graphicData>
          </a:graphic>
        </wp:inline>
      </w:drawing>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
      <w:spacing w:line="389" w:lineRule="exact"/>
      <w:rPr/>
    </w:pPr>
    <w:r>
      <w:drawing>
        <wp:anchor distT="0" distB="0" distL="0" distR="0" simplePos="0" relativeHeight="251664384"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30" name="IM 730"/>
          <wp:cNvGraphicFramePr/>
          <a:graphic>
            <a:graphicData uri="http://schemas.openxmlformats.org/drawingml/2006/picture">
              <pic:pic>
                <pic:nvPicPr>
                  <pic:cNvPr id="730" name="IM 730"/>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7639"/>
          <wp:effectExtent l="0" t="0" r="0" b="0"/>
          <wp:docPr id="732" name="IM 732"/>
          <wp:cNvGraphicFramePr/>
          <a:graphic>
            <a:graphicData uri="http://schemas.openxmlformats.org/drawingml/2006/picture">
              <pic:pic>
                <pic:nvPicPr>
                  <pic:cNvPr id="732" name="IM 732"/>
                  <pic:cNvPicPr/>
                </pic:nvPicPr>
                <pic:blipFill>
                  <a:blip r:embed="rId2"/>
                  <a:stretch>
                    <a:fillRect/>
                  </a:stretch>
                </pic:blipFill>
                <pic:spPr>
                  <a:xfrm rot="0">
                    <a:off x="0" y="0"/>
                    <a:ext cx="1733496" cy="247639"/>
                  </a:xfrm>
                  <a:prstGeom prst="rect">
                    <a:avLst/>
                  </a:prstGeom>
                </pic:spPr>
              </pic:pic>
            </a:graphicData>
          </a:graphic>
        </wp:inline>
      </w:drawing>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9"/>
      <w:spacing w:line="379" w:lineRule="exact"/>
      <w:rPr/>
    </w:pPr>
    <w:r>
      <w:drawing>
        <wp:anchor distT="0" distB="0" distL="0" distR="0" simplePos="0" relativeHeight="251665408"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34" name="IM 734"/>
          <wp:cNvGraphicFramePr/>
          <a:graphic>
            <a:graphicData uri="http://schemas.openxmlformats.org/drawingml/2006/picture">
              <pic:pic>
                <pic:nvPicPr>
                  <pic:cNvPr id="734" name="IM 734"/>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1271"/>
          <wp:effectExtent l="0" t="0" r="0" b="0"/>
          <wp:docPr id="736" name="IM 736"/>
          <wp:cNvGraphicFramePr/>
          <a:graphic>
            <a:graphicData uri="http://schemas.openxmlformats.org/drawingml/2006/picture">
              <pic:pic>
                <pic:nvPicPr>
                  <pic:cNvPr id="736" name="IM 736"/>
                  <pic:cNvPicPr/>
                </pic:nvPicPr>
                <pic:blipFill>
                  <a:blip r:embed="rId2"/>
                  <a:stretch>
                    <a:fillRect/>
                  </a:stretch>
                </pic:blipFill>
                <pic:spPr>
                  <a:xfrm rot="0">
                    <a:off x="0" y="0"/>
                    <a:ext cx="1733496" cy="241271"/>
                  </a:xfrm>
                  <a:prstGeom prst="rect">
                    <a:avLst/>
                  </a:prstGeom>
                </pic:spPr>
              </pic:pic>
            </a:graphicData>
          </a:graphic>
        </wp:inline>
      </w:drawing>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19"/>
      <w:spacing w:line="379" w:lineRule="exact"/>
      <w:rPr/>
    </w:pPr>
    <w:r>
      <w:drawing>
        <wp:anchor distT="0" distB="0" distL="0" distR="0" simplePos="0" relativeHeight="251666432"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38" name="IM 738"/>
          <wp:cNvGraphicFramePr/>
          <a:graphic>
            <a:graphicData uri="http://schemas.openxmlformats.org/drawingml/2006/picture">
              <pic:pic>
                <pic:nvPicPr>
                  <pic:cNvPr id="738" name="IM 738"/>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1271"/>
          <wp:effectExtent l="0" t="0" r="0" b="0"/>
          <wp:docPr id="740" name="IM 740"/>
          <wp:cNvGraphicFramePr/>
          <a:graphic>
            <a:graphicData uri="http://schemas.openxmlformats.org/drawingml/2006/picture">
              <pic:pic>
                <pic:nvPicPr>
                  <pic:cNvPr id="740" name="IM 740"/>
                  <pic:cNvPicPr/>
                </pic:nvPicPr>
                <pic:blipFill>
                  <a:blip r:embed="rId2"/>
                  <a:stretch>
                    <a:fillRect/>
                  </a:stretch>
                </pic:blipFill>
                <pic:spPr>
                  <a:xfrm rot="0">
                    <a:off x="0" y="0"/>
                    <a:ext cx="1733496" cy="241271"/>
                  </a:xfrm>
                  <a:prstGeom prst="rect">
                    <a:avLst/>
                  </a:prstGeom>
                </pic:spPr>
              </pic:pic>
            </a:graphicData>
          </a:graphic>
        </wp:inline>
      </w:drawing>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
      <w:spacing w:line="389" w:lineRule="exact"/>
      <w:rPr/>
    </w:pPr>
    <w:r>
      <w:drawing>
        <wp:anchor distT="0" distB="0" distL="0" distR="0" simplePos="0" relativeHeight="251667456"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42" name="IM 742"/>
          <wp:cNvGraphicFramePr/>
          <a:graphic>
            <a:graphicData uri="http://schemas.openxmlformats.org/drawingml/2006/picture">
              <pic:pic>
                <pic:nvPicPr>
                  <pic:cNvPr id="742" name="IM 742"/>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9844" cy="247639"/>
          <wp:effectExtent l="0" t="0" r="0" b="0"/>
          <wp:docPr id="744" name="IM 744"/>
          <wp:cNvGraphicFramePr/>
          <a:graphic>
            <a:graphicData uri="http://schemas.openxmlformats.org/drawingml/2006/picture">
              <pic:pic>
                <pic:nvPicPr>
                  <pic:cNvPr id="744" name="IM 744"/>
                  <pic:cNvPicPr/>
                </pic:nvPicPr>
                <pic:blipFill>
                  <a:blip r:embed="rId2"/>
                  <a:stretch>
                    <a:fillRect/>
                  </a:stretch>
                </pic:blipFill>
                <pic:spPr>
                  <a:xfrm rot="0">
                    <a:off x="0" y="0"/>
                    <a:ext cx="1739844" cy="247639"/>
                  </a:xfrm>
                  <a:prstGeom prst="rect">
                    <a:avLst/>
                  </a:prstGeom>
                </pic:spPr>
              </pic:pic>
            </a:graphicData>
          </a:graphic>
        </wp:inline>
      </w:drawing>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firstLine="9"/>
      <w:spacing w:line="389" w:lineRule="exact"/>
      <w:rPr/>
    </w:pPr>
    <w:r>
      <w:drawing>
        <wp:anchor distT="0" distB="0" distL="0" distR="0" simplePos="0" relativeHeight="251669504" behindDoc="0" locked="0" layoutInCell="0" allowOverlap="1">
          <wp:simplePos x="0" y="0"/>
          <wp:positionH relativeFrom="page">
            <wp:posOffset>1333522</wp:posOffset>
          </wp:positionH>
          <wp:positionV relativeFrom="page">
            <wp:posOffset>736622</wp:posOffset>
          </wp:positionV>
          <wp:extent cx="6521406" cy="18977"/>
          <wp:effectExtent l="0" t="0" r="0" b="0"/>
          <wp:wrapNone/>
          <wp:docPr id="746" name="IM 746"/>
          <wp:cNvGraphicFramePr/>
          <a:graphic>
            <a:graphicData uri="http://schemas.openxmlformats.org/drawingml/2006/picture">
              <pic:pic>
                <pic:nvPicPr>
                  <pic:cNvPr id="746" name="IM 746"/>
                  <pic:cNvPicPr/>
                </pic:nvPicPr>
                <pic:blipFill>
                  <a:blip r:embed="rId1"/>
                  <a:stretch>
                    <a:fillRect/>
                  </a:stretch>
                </pic:blipFill>
                <pic:spPr>
                  <a:xfrm rot="0">
                    <a:off x="0" y="0"/>
                    <a:ext cx="6521406" cy="18977"/>
                  </a:xfrm>
                  <a:prstGeom prst="rect">
                    <a:avLst/>
                  </a:prstGeom>
                </pic:spPr>
              </pic:pic>
            </a:graphicData>
          </a:graphic>
        </wp:anchor>
      </w:drawing>
    </w:r>
    <w:r>
      <w:rPr>
        <w:position w:val="-7"/>
      </w:rPr>
      <w:drawing>
        <wp:inline distT="0" distB="0" distL="0" distR="0">
          <wp:extent cx="1733496" cy="247639"/>
          <wp:effectExtent l="0" t="0" r="0" b="0"/>
          <wp:docPr id="748" name="IM 748"/>
          <wp:cNvGraphicFramePr/>
          <a:graphic>
            <a:graphicData uri="http://schemas.openxmlformats.org/drawingml/2006/picture">
              <pic:pic>
                <pic:nvPicPr>
                  <pic:cNvPr id="748" name="IM 748"/>
                  <pic:cNvPicPr/>
                </pic:nvPicPr>
                <pic:blipFill>
                  <a:blip r:embed="rId2"/>
                  <a:stretch>
                    <a:fillRect/>
                  </a:stretch>
                </pic:blipFill>
                <pic:spPr>
                  <a:xfrm rot="0">
                    <a:off x="0" y="0"/>
                    <a:ext cx="1733496" cy="247639"/>
                  </a:xfrm>
                  <a:prstGeom prst="rect">
                    <a:avLst/>
                  </a:prstGeom>
                </pic:spPr>
              </pic:pic>
            </a:graphicData>
          </a:graphic>
        </wp:inline>
      </w:drawing>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322" w:firstLine="730"/>
      <w:spacing w:before="79" w:line="267" w:lineRule="auto"/>
      <w:rPr>
        <w:sz w:val="29"/>
        <w:szCs w:val="29"/>
      </w:rPr>
    </w:pPr>
    <w:r>
      <w:rPr>
        <w:sz w:val="29"/>
        <w:szCs w:val="29"/>
        <w:spacing w:val="2"/>
      </w:rPr>
      <w:t>③  补充生长调节剂，由于气候炎热干燥，需根据现场情况定期对苗木喷</w:t>
    </w:r>
    <w:r>
      <w:rPr>
        <w:sz w:val="29"/>
        <w:szCs w:val="29"/>
        <w:spacing w:val="5"/>
      </w:rPr>
      <w:t xml:space="preserve"> </w:t>
    </w:r>
    <w:r>
      <w:rPr>
        <w:sz w:val="29"/>
        <w:szCs w:val="29"/>
        <w:spacing w:val="1"/>
      </w:rPr>
      <w:t>施抑制蒸腾剂，树体挂吊针营养液，树动力，根部灌根动力。</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78" w:line="219" w:lineRule="auto"/>
      <w:rPr>
        <w:sz w:val="29"/>
        <w:szCs w:val="29"/>
      </w:rPr>
    </w:pPr>
    <w:r>
      <w:rPr>
        <w:sz w:val="29"/>
        <w:szCs w:val="29"/>
        <w:spacing w:val="-9"/>
      </w:rPr>
      <w:t>教育，加强防火意识。及时清扫落叶、树挂，消除火灾隐患。同时注意库房的防火、</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70"/>
      <w:spacing w:before="78" w:line="219" w:lineRule="auto"/>
      <w:rPr>
        <w:sz w:val="29"/>
        <w:szCs w:val="29"/>
      </w:rPr>
    </w:pPr>
    <w:r>
      <w:rPr>
        <w:sz w:val="29"/>
        <w:szCs w:val="29"/>
        <w:spacing w:val="1"/>
      </w:rPr>
      <w:t>及时检查乔木支撑情况，发现松动或缺失立即加固。</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78" w:line="219" w:lineRule="auto"/>
      <w:rPr>
        <w:sz w:val="29"/>
        <w:szCs w:val="29"/>
      </w:rPr>
    </w:pPr>
    <w:r>
      <w:rPr>
        <w:sz w:val="29"/>
        <w:szCs w:val="29"/>
        <w:spacing w:val="-2"/>
      </w:rPr>
      <w:t>火、防盗情况。</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8"/>
      <w:szCs w:val="28"/>
      <w:lang w:val="en-US" w:eastAsia="en-US" w:bidi="ar-SA"/>
    </w:rPr>
  </w:style>
  <w:style w:type="paragraph" w:styleId="TableText">
    <w:name w:val="Table Text"/>
    <w:basedOn w:val="Normal"/>
    <w:semiHidden/>
    <w:qFormat/>
    <w:pPr/>
    <w:rPr>
      <w:rFonts w:ascii="SimSun" w:hAnsi="SimSun" w:eastAsia="SimSun" w:cs="SimSun"/>
      <w:sz w:val="29"/>
      <w:szCs w:val="29"/>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71.jpeg"/><Relationship Id="rId98" Type="http://schemas.openxmlformats.org/officeDocument/2006/relationships/image" Target="media/image70.jpeg"/><Relationship Id="rId97" Type="http://schemas.openxmlformats.org/officeDocument/2006/relationships/footer" Target="footer28.xml"/><Relationship Id="rId96" Type="http://schemas.openxmlformats.org/officeDocument/2006/relationships/footer" Target="footer27.xml"/><Relationship Id="rId95" Type="http://schemas.openxmlformats.org/officeDocument/2006/relationships/image" Target="media/image69.jpeg"/><Relationship Id="rId94" Type="http://schemas.openxmlformats.org/officeDocument/2006/relationships/image" Target="media/image68.jpeg"/><Relationship Id="rId93" Type="http://schemas.openxmlformats.org/officeDocument/2006/relationships/image" Target="media/image67.jpeg"/><Relationship Id="rId92" Type="http://schemas.openxmlformats.org/officeDocument/2006/relationships/image" Target="media/image66.jpeg"/><Relationship Id="rId91" Type="http://schemas.openxmlformats.org/officeDocument/2006/relationships/image" Target="media/image65.jpeg"/><Relationship Id="rId90" Type="http://schemas.openxmlformats.org/officeDocument/2006/relationships/image" Target="media/image64.jpeg"/><Relationship Id="rId9" Type="http://schemas.openxmlformats.org/officeDocument/2006/relationships/image" Target="media/image2.jpeg"/><Relationship Id="rId89" Type="http://schemas.openxmlformats.org/officeDocument/2006/relationships/image" Target="media/image63.jpeg"/><Relationship Id="rId88" Type="http://schemas.openxmlformats.org/officeDocument/2006/relationships/image" Target="media/image62.jpeg"/><Relationship Id="rId87" Type="http://schemas.openxmlformats.org/officeDocument/2006/relationships/footer" Target="footer26.xml"/><Relationship Id="rId86" Type="http://schemas.openxmlformats.org/officeDocument/2006/relationships/image" Target="media/image61.jpeg"/><Relationship Id="rId85" Type="http://schemas.openxmlformats.org/officeDocument/2006/relationships/image" Target="media/image60.jpeg"/><Relationship Id="rId84" Type="http://schemas.openxmlformats.org/officeDocument/2006/relationships/image" Target="media/image59.jpeg"/><Relationship Id="rId83" Type="http://schemas.openxmlformats.org/officeDocument/2006/relationships/image" Target="media/image58.jpeg"/><Relationship Id="rId82" Type="http://schemas.openxmlformats.org/officeDocument/2006/relationships/footer" Target="footer25.xml"/><Relationship Id="rId81" Type="http://schemas.openxmlformats.org/officeDocument/2006/relationships/image" Target="media/image57.jpeg"/><Relationship Id="rId80" Type="http://schemas.openxmlformats.org/officeDocument/2006/relationships/image" Target="media/image56.jpeg"/><Relationship Id="rId8" Type="http://schemas.openxmlformats.org/officeDocument/2006/relationships/image" Target="media/image1.jpeg"/><Relationship Id="rId79" Type="http://schemas.openxmlformats.org/officeDocument/2006/relationships/image" Target="media/image55.jpeg"/><Relationship Id="rId78" Type="http://schemas.openxmlformats.org/officeDocument/2006/relationships/image" Target="media/image54.jpeg"/><Relationship Id="rId77" Type="http://schemas.openxmlformats.org/officeDocument/2006/relationships/footer" Target="footer24.xml"/><Relationship Id="rId76" Type="http://schemas.openxmlformats.org/officeDocument/2006/relationships/footer" Target="footer23.xml"/><Relationship Id="rId75" Type="http://schemas.openxmlformats.org/officeDocument/2006/relationships/image" Target="media/image53.png"/><Relationship Id="rId74" Type="http://schemas.openxmlformats.org/officeDocument/2006/relationships/footer" Target="footer22.xml"/><Relationship Id="rId734" Type="http://schemas.openxmlformats.org/officeDocument/2006/relationships/fontTable" Target="fontTable.xml"/><Relationship Id="rId733" Type="http://schemas.openxmlformats.org/officeDocument/2006/relationships/styles" Target="styles.xml"/><Relationship Id="rId732" Type="http://schemas.openxmlformats.org/officeDocument/2006/relationships/settings" Target="settings.xml"/><Relationship Id="rId731" Type="http://schemas.openxmlformats.org/officeDocument/2006/relationships/footer" Target="footer353.xml"/><Relationship Id="rId730" Type="http://schemas.openxmlformats.org/officeDocument/2006/relationships/footer" Target="footer352.xml"/><Relationship Id="rId73" Type="http://schemas.openxmlformats.org/officeDocument/2006/relationships/image" Target="media/image52.jpeg"/><Relationship Id="rId729" Type="http://schemas.openxmlformats.org/officeDocument/2006/relationships/footer" Target="footer351.xml"/><Relationship Id="rId728" Type="http://schemas.openxmlformats.org/officeDocument/2006/relationships/footer" Target="footer350.xml"/><Relationship Id="rId727" Type="http://schemas.openxmlformats.org/officeDocument/2006/relationships/footer" Target="footer349.xml"/><Relationship Id="rId726" Type="http://schemas.openxmlformats.org/officeDocument/2006/relationships/footer" Target="footer348.xml"/><Relationship Id="rId725" Type="http://schemas.openxmlformats.org/officeDocument/2006/relationships/footer" Target="footer347.xml"/><Relationship Id="rId724" Type="http://schemas.openxmlformats.org/officeDocument/2006/relationships/footer" Target="footer346.xml"/><Relationship Id="rId723" Type="http://schemas.openxmlformats.org/officeDocument/2006/relationships/footer" Target="footer345.xml"/><Relationship Id="rId722" Type="http://schemas.openxmlformats.org/officeDocument/2006/relationships/footer" Target="footer344.xml"/><Relationship Id="rId721" Type="http://schemas.openxmlformats.org/officeDocument/2006/relationships/footer" Target="footer343.xml"/><Relationship Id="rId720" Type="http://schemas.openxmlformats.org/officeDocument/2006/relationships/footer" Target="footer342.xml"/><Relationship Id="rId72" Type="http://schemas.openxmlformats.org/officeDocument/2006/relationships/image" Target="media/image51.jpeg"/><Relationship Id="rId719" Type="http://schemas.openxmlformats.org/officeDocument/2006/relationships/footer" Target="footer341.xml"/><Relationship Id="rId718" Type="http://schemas.openxmlformats.org/officeDocument/2006/relationships/footer" Target="footer340.xml"/><Relationship Id="rId717" Type="http://schemas.openxmlformats.org/officeDocument/2006/relationships/footer" Target="footer339.xml"/><Relationship Id="rId716" Type="http://schemas.openxmlformats.org/officeDocument/2006/relationships/footer" Target="footer338.xml"/><Relationship Id="rId715" Type="http://schemas.openxmlformats.org/officeDocument/2006/relationships/footer" Target="footer337.xml"/><Relationship Id="rId714" Type="http://schemas.openxmlformats.org/officeDocument/2006/relationships/footer" Target="footer336.xml"/><Relationship Id="rId713" Type="http://schemas.openxmlformats.org/officeDocument/2006/relationships/footer" Target="footer335.xml"/><Relationship Id="rId712" Type="http://schemas.openxmlformats.org/officeDocument/2006/relationships/footer" Target="footer334.xml"/><Relationship Id="rId711" Type="http://schemas.openxmlformats.org/officeDocument/2006/relationships/footer" Target="footer333.xml"/><Relationship Id="rId710" Type="http://schemas.openxmlformats.org/officeDocument/2006/relationships/footer" Target="footer332.xml"/><Relationship Id="rId71" Type="http://schemas.openxmlformats.org/officeDocument/2006/relationships/image" Target="media/image50.png"/><Relationship Id="rId709" Type="http://schemas.openxmlformats.org/officeDocument/2006/relationships/footer" Target="footer331.xml"/><Relationship Id="rId708" Type="http://schemas.openxmlformats.org/officeDocument/2006/relationships/footer" Target="footer330.xml"/><Relationship Id="rId707" Type="http://schemas.openxmlformats.org/officeDocument/2006/relationships/footer" Target="footer329.xml"/><Relationship Id="rId706" Type="http://schemas.openxmlformats.org/officeDocument/2006/relationships/footer" Target="footer328.xml"/><Relationship Id="rId705" Type="http://schemas.openxmlformats.org/officeDocument/2006/relationships/footer" Target="footer327.xml"/><Relationship Id="rId704" Type="http://schemas.openxmlformats.org/officeDocument/2006/relationships/footer" Target="footer326.xml"/><Relationship Id="rId703" Type="http://schemas.openxmlformats.org/officeDocument/2006/relationships/footer" Target="footer325.xml"/><Relationship Id="rId702" Type="http://schemas.openxmlformats.org/officeDocument/2006/relationships/footer" Target="footer324.xml"/><Relationship Id="rId701" Type="http://schemas.openxmlformats.org/officeDocument/2006/relationships/footer" Target="footer323.xml"/><Relationship Id="rId700" Type="http://schemas.openxmlformats.org/officeDocument/2006/relationships/footer" Target="footer322.xml"/><Relationship Id="rId70" Type="http://schemas.openxmlformats.org/officeDocument/2006/relationships/image" Target="media/image49.jpeg"/><Relationship Id="rId7" Type="http://schemas.openxmlformats.org/officeDocument/2006/relationships/footer" Target="footer7.xml"/><Relationship Id="rId699" Type="http://schemas.openxmlformats.org/officeDocument/2006/relationships/footer" Target="footer321.xml"/><Relationship Id="rId698" Type="http://schemas.openxmlformats.org/officeDocument/2006/relationships/footer" Target="footer320.xml"/><Relationship Id="rId697" Type="http://schemas.openxmlformats.org/officeDocument/2006/relationships/footer" Target="footer319.xml"/><Relationship Id="rId696" Type="http://schemas.openxmlformats.org/officeDocument/2006/relationships/footer" Target="footer318.xml"/><Relationship Id="rId695" Type="http://schemas.openxmlformats.org/officeDocument/2006/relationships/footer" Target="footer317.xml"/><Relationship Id="rId694" Type="http://schemas.openxmlformats.org/officeDocument/2006/relationships/footer" Target="footer316.xml"/><Relationship Id="rId693" Type="http://schemas.openxmlformats.org/officeDocument/2006/relationships/footer" Target="footer315.xml"/><Relationship Id="rId692" Type="http://schemas.openxmlformats.org/officeDocument/2006/relationships/footer" Target="footer314.xml"/><Relationship Id="rId691" Type="http://schemas.openxmlformats.org/officeDocument/2006/relationships/footer" Target="footer313.xml"/><Relationship Id="rId690" Type="http://schemas.openxmlformats.org/officeDocument/2006/relationships/footer" Target="footer312.xml"/><Relationship Id="rId69" Type="http://schemas.openxmlformats.org/officeDocument/2006/relationships/footer" Target="footer21.xml"/><Relationship Id="rId689" Type="http://schemas.openxmlformats.org/officeDocument/2006/relationships/footer" Target="footer311.xml"/><Relationship Id="rId688" Type="http://schemas.openxmlformats.org/officeDocument/2006/relationships/footer" Target="footer310.xml"/><Relationship Id="rId687" Type="http://schemas.openxmlformats.org/officeDocument/2006/relationships/footer" Target="footer309.xml"/><Relationship Id="rId686" Type="http://schemas.openxmlformats.org/officeDocument/2006/relationships/header" Target="header17.xml"/><Relationship Id="rId685" Type="http://schemas.openxmlformats.org/officeDocument/2006/relationships/footer" Target="footer308.xml"/><Relationship Id="rId684" Type="http://schemas.openxmlformats.org/officeDocument/2006/relationships/footer" Target="footer307.xml"/><Relationship Id="rId683" Type="http://schemas.openxmlformats.org/officeDocument/2006/relationships/footer" Target="footer306.xml"/><Relationship Id="rId682" Type="http://schemas.openxmlformats.org/officeDocument/2006/relationships/footer" Target="footer305.xml"/><Relationship Id="rId681" Type="http://schemas.openxmlformats.org/officeDocument/2006/relationships/footer" Target="footer304.xml"/><Relationship Id="rId680" Type="http://schemas.openxmlformats.org/officeDocument/2006/relationships/footer" Target="footer303.xml"/><Relationship Id="rId68" Type="http://schemas.openxmlformats.org/officeDocument/2006/relationships/image" Target="media/image48.jpeg"/><Relationship Id="rId679" Type="http://schemas.openxmlformats.org/officeDocument/2006/relationships/header" Target="header16.xml"/><Relationship Id="rId678" Type="http://schemas.openxmlformats.org/officeDocument/2006/relationships/footer" Target="footer302.xml"/><Relationship Id="rId677" Type="http://schemas.openxmlformats.org/officeDocument/2006/relationships/footer" Target="footer301.xml"/><Relationship Id="rId676" Type="http://schemas.openxmlformats.org/officeDocument/2006/relationships/footer" Target="footer300.xml"/><Relationship Id="rId675" Type="http://schemas.openxmlformats.org/officeDocument/2006/relationships/footer" Target="footer299.xml"/><Relationship Id="rId674" Type="http://schemas.openxmlformats.org/officeDocument/2006/relationships/footer" Target="footer298.xml"/><Relationship Id="rId673" Type="http://schemas.openxmlformats.org/officeDocument/2006/relationships/footer" Target="footer297.xml"/><Relationship Id="rId672" Type="http://schemas.openxmlformats.org/officeDocument/2006/relationships/footer" Target="footer296.xml"/><Relationship Id="rId671" Type="http://schemas.openxmlformats.org/officeDocument/2006/relationships/footer" Target="footer295.xml"/><Relationship Id="rId670" Type="http://schemas.openxmlformats.org/officeDocument/2006/relationships/footer" Target="footer294.xml"/><Relationship Id="rId67" Type="http://schemas.openxmlformats.org/officeDocument/2006/relationships/image" Target="media/image47.jpeg"/><Relationship Id="rId669" Type="http://schemas.openxmlformats.org/officeDocument/2006/relationships/footer" Target="footer293.xml"/><Relationship Id="rId668" Type="http://schemas.openxmlformats.org/officeDocument/2006/relationships/footer" Target="footer292.xml"/><Relationship Id="rId667" Type="http://schemas.openxmlformats.org/officeDocument/2006/relationships/footer" Target="footer291.xml"/><Relationship Id="rId666" Type="http://schemas.openxmlformats.org/officeDocument/2006/relationships/footer" Target="footer290.xml"/><Relationship Id="rId665" Type="http://schemas.openxmlformats.org/officeDocument/2006/relationships/footer" Target="footer289.xml"/><Relationship Id="rId664" Type="http://schemas.openxmlformats.org/officeDocument/2006/relationships/footer" Target="footer288.xml"/><Relationship Id="rId663" Type="http://schemas.openxmlformats.org/officeDocument/2006/relationships/footer" Target="footer287.xml"/><Relationship Id="rId662" Type="http://schemas.openxmlformats.org/officeDocument/2006/relationships/header" Target="header15.xml"/><Relationship Id="rId661" Type="http://schemas.openxmlformats.org/officeDocument/2006/relationships/footer" Target="footer286.xml"/><Relationship Id="rId660" Type="http://schemas.openxmlformats.org/officeDocument/2006/relationships/footer" Target="footer285.xml"/><Relationship Id="rId66" Type="http://schemas.openxmlformats.org/officeDocument/2006/relationships/footer" Target="footer20.xml"/><Relationship Id="rId659" Type="http://schemas.openxmlformats.org/officeDocument/2006/relationships/footer" Target="footer284.xml"/><Relationship Id="rId658" Type="http://schemas.openxmlformats.org/officeDocument/2006/relationships/footer" Target="footer283.xml"/><Relationship Id="rId657" Type="http://schemas.openxmlformats.org/officeDocument/2006/relationships/footer" Target="footer282.xml"/><Relationship Id="rId656" Type="http://schemas.openxmlformats.org/officeDocument/2006/relationships/footer" Target="footer281.xml"/><Relationship Id="rId655" Type="http://schemas.openxmlformats.org/officeDocument/2006/relationships/footer" Target="footer280.xml"/><Relationship Id="rId654" Type="http://schemas.openxmlformats.org/officeDocument/2006/relationships/footer" Target="footer279.xml"/><Relationship Id="rId653" Type="http://schemas.openxmlformats.org/officeDocument/2006/relationships/footer" Target="footer278.xml"/><Relationship Id="rId652" Type="http://schemas.openxmlformats.org/officeDocument/2006/relationships/footer" Target="footer277.xml"/><Relationship Id="rId651" Type="http://schemas.openxmlformats.org/officeDocument/2006/relationships/footer" Target="footer276.xml"/><Relationship Id="rId650" Type="http://schemas.openxmlformats.org/officeDocument/2006/relationships/footer" Target="footer275.xml"/><Relationship Id="rId65" Type="http://schemas.openxmlformats.org/officeDocument/2006/relationships/image" Target="media/image46.jpeg"/><Relationship Id="rId649" Type="http://schemas.openxmlformats.org/officeDocument/2006/relationships/footer" Target="footer274.xml"/><Relationship Id="rId648" Type="http://schemas.openxmlformats.org/officeDocument/2006/relationships/footer" Target="footer273.xml"/><Relationship Id="rId647" Type="http://schemas.openxmlformats.org/officeDocument/2006/relationships/footer" Target="footer272.xml"/><Relationship Id="rId646" Type="http://schemas.openxmlformats.org/officeDocument/2006/relationships/footer" Target="footer271.xml"/><Relationship Id="rId645" Type="http://schemas.openxmlformats.org/officeDocument/2006/relationships/footer" Target="footer270.xml"/><Relationship Id="rId644" Type="http://schemas.openxmlformats.org/officeDocument/2006/relationships/footer" Target="footer269.xml"/><Relationship Id="rId643" Type="http://schemas.openxmlformats.org/officeDocument/2006/relationships/footer" Target="footer268.xml"/><Relationship Id="rId642" Type="http://schemas.openxmlformats.org/officeDocument/2006/relationships/footer" Target="footer267.xml"/><Relationship Id="rId641" Type="http://schemas.openxmlformats.org/officeDocument/2006/relationships/footer" Target="footer266.xml"/><Relationship Id="rId640" Type="http://schemas.openxmlformats.org/officeDocument/2006/relationships/footer" Target="footer265.xml"/><Relationship Id="rId64" Type="http://schemas.openxmlformats.org/officeDocument/2006/relationships/image" Target="media/image45.png"/><Relationship Id="rId639" Type="http://schemas.openxmlformats.org/officeDocument/2006/relationships/footer" Target="footer264.xml"/><Relationship Id="rId638" Type="http://schemas.openxmlformats.org/officeDocument/2006/relationships/footer" Target="footer263.xml"/><Relationship Id="rId637" Type="http://schemas.openxmlformats.org/officeDocument/2006/relationships/footer" Target="footer262.xml"/><Relationship Id="rId636" Type="http://schemas.openxmlformats.org/officeDocument/2006/relationships/footer" Target="footer261.xml"/><Relationship Id="rId635" Type="http://schemas.openxmlformats.org/officeDocument/2006/relationships/footer" Target="footer260.xml"/><Relationship Id="rId634" Type="http://schemas.openxmlformats.org/officeDocument/2006/relationships/footer" Target="footer259.xml"/><Relationship Id="rId633" Type="http://schemas.openxmlformats.org/officeDocument/2006/relationships/footer" Target="footer258.xml"/><Relationship Id="rId632" Type="http://schemas.openxmlformats.org/officeDocument/2006/relationships/footer" Target="footer257.xml"/><Relationship Id="rId631" Type="http://schemas.openxmlformats.org/officeDocument/2006/relationships/footer" Target="footer256.xml"/><Relationship Id="rId630" Type="http://schemas.openxmlformats.org/officeDocument/2006/relationships/footer" Target="footer255.xml"/><Relationship Id="rId63" Type="http://schemas.openxmlformats.org/officeDocument/2006/relationships/image" Target="media/image44.jpeg"/><Relationship Id="rId629" Type="http://schemas.openxmlformats.org/officeDocument/2006/relationships/footer" Target="footer254.xml"/><Relationship Id="rId628" Type="http://schemas.openxmlformats.org/officeDocument/2006/relationships/footer" Target="footer253.xml"/><Relationship Id="rId627" Type="http://schemas.openxmlformats.org/officeDocument/2006/relationships/footer" Target="footer252.xml"/><Relationship Id="rId626" Type="http://schemas.openxmlformats.org/officeDocument/2006/relationships/footer" Target="footer251.xml"/><Relationship Id="rId625" Type="http://schemas.openxmlformats.org/officeDocument/2006/relationships/footer" Target="footer250.xml"/><Relationship Id="rId624" Type="http://schemas.openxmlformats.org/officeDocument/2006/relationships/footer" Target="footer249.xml"/><Relationship Id="rId623" Type="http://schemas.openxmlformats.org/officeDocument/2006/relationships/footer" Target="footer248.xml"/><Relationship Id="rId622" Type="http://schemas.openxmlformats.org/officeDocument/2006/relationships/footer" Target="footer247.xml"/><Relationship Id="rId621" Type="http://schemas.openxmlformats.org/officeDocument/2006/relationships/footer" Target="footer246.xml"/><Relationship Id="rId620" Type="http://schemas.openxmlformats.org/officeDocument/2006/relationships/footer" Target="footer245.xml"/><Relationship Id="rId62" Type="http://schemas.openxmlformats.org/officeDocument/2006/relationships/footer" Target="footer19.xml"/><Relationship Id="rId619" Type="http://schemas.openxmlformats.org/officeDocument/2006/relationships/footer" Target="footer244.xml"/><Relationship Id="rId618" Type="http://schemas.openxmlformats.org/officeDocument/2006/relationships/footer" Target="footer243.xml"/><Relationship Id="rId617" Type="http://schemas.openxmlformats.org/officeDocument/2006/relationships/footer" Target="footer242.xml"/><Relationship Id="rId616" Type="http://schemas.openxmlformats.org/officeDocument/2006/relationships/footer" Target="footer241.xml"/><Relationship Id="rId615" Type="http://schemas.openxmlformats.org/officeDocument/2006/relationships/footer" Target="footer240.xml"/><Relationship Id="rId614" Type="http://schemas.openxmlformats.org/officeDocument/2006/relationships/footer" Target="footer239.xml"/><Relationship Id="rId613" Type="http://schemas.openxmlformats.org/officeDocument/2006/relationships/footer" Target="footer238.xml"/><Relationship Id="rId612" Type="http://schemas.openxmlformats.org/officeDocument/2006/relationships/footer" Target="footer237.xml"/><Relationship Id="rId611" Type="http://schemas.openxmlformats.org/officeDocument/2006/relationships/footer" Target="footer236.xml"/><Relationship Id="rId610" Type="http://schemas.openxmlformats.org/officeDocument/2006/relationships/footer" Target="footer235.xml"/><Relationship Id="rId61" Type="http://schemas.openxmlformats.org/officeDocument/2006/relationships/footer" Target="footer18.xml"/><Relationship Id="rId609" Type="http://schemas.openxmlformats.org/officeDocument/2006/relationships/footer" Target="footer234.xml"/><Relationship Id="rId608" Type="http://schemas.openxmlformats.org/officeDocument/2006/relationships/header" Target="header14.xml"/><Relationship Id="rId607" Type="http://schemas.openxmlformats.org/officeDocument/2006/relationships/footer" Target="footer233.xml"/><Relationship Id="rId606" Type="http://schemas.openxmlformats.org/officeDocument/2006/relationships/footer" Target="footer232.xml"/><Relationship Id="rId605" Type="http://schemas.openxmlformats.org/officeDocument/2006/relationships/footer" Target="footer231.xml"/><Relationship Id="rId604" Type="http://schemas.openxmlformats.org/officeDocument/2006/relationships/footer" Target="footer230.xml"/><Relationship Id="rId603" Type="http://schemas.openxmlformats.org/officeDocument/2006/relationships/footer" Target="footer229.xml"/><Relationship Id="rId602" Type="http://schemas.openxmlformats.org/officeDocument/2006/relationships/header" Target="header13.xml"/><Relationship Id="rId601" Type="http://schemas.openxmlformats.org/officeDocument/2006/relationships/footer" Target="footer228.xml"/><Relationship Id="rId600" Type="http://schemas.openxmlformats.org/officeDocument/2006/relationships/footer" Target="footer227.xml"/><Relationship Id="rId60" Type="http://schemas.openxmlformats.org/officeDocument/2006/relationships/image" Target="media/image43.png"/><Relationship Id="rId6" Type="http://schemas.openxmlformats.org/officeDocument/2006/relationships/footer" Target="footer6.xml"/><Relationship Id="rId599" Type="http://schemas.openxmlformats.org/officeDocument/2006/relationships/header" Target="header12.xml"/><Relationship Id="rId598" Type="http://schemas.openxmlformats.org/officeDocument/2006/relationships/footer" Target="footer226.xml"/><Relationship Id="rId597" Type="http://schemas.openxmlformats.org/officeDocument/2006/relationships/header" Target="header11.xml"/><Relationship Id="rId596" Type="http://schemas.openxmlformats.org/officeDocument/2006/relationships/footer" Target="footer225.xml"/><Relationship Id="rId595" Type="http://schemas.openxmlformats.org/officeDocument/2006/relationships/header" Target="header10.xml"/><Relationship Id="rId594" Type="http://schemas.openxmlformats.org/officeDocument/2006/relationships/footer" Target="footer224.xml"/><Relationship Id="rId593" Type="http://schemas.openxmlformats.org/officeDocument/2006/relationships/header" Target="header9.xml"/><Relationship Id="rId592" Type="http://schemas.openxmlformats.org/officeDocument/2006/relationships/footer" Target="footer223.xml"/><Relationship Id="rId591" Type="http://schemas.openxmlformats.org/officeDocument/2006/relationships/header" Target="header8.xml"/><Relationship Id="rId590" Type="http://schemas.openxmlformats.org/officeDocument/2006/relationships/footer" Target="footer222.xml"/><Relationship Id="rId59" Type="http://schemas.openxmlformats.org/officeDocument/2006/relationships/image" Target="media/image42.jpeg"/><Relationship Id="rId589" Type="http://schemas.openxmlformats.org/officeDocument/2006/relationships/header" Target="header7.xml"/><Relationship Id="rId588" Type="http://schemas.openxmlformats.org/officeDocument/2006/relationships/footer" Target="footer221.xml"/><Relationship Id="rId587" Type="http://schemas.openxmlformats.org/officeDocument/2006/relationships/header" Target="header6.xml"/><Relationship Id="rId586" Type="http://schemas.openxmlformats.org/officeDocument/2006/relationships/footer" Target="footer220.xml"/><Relationship Id="rId585" Type="http://schemas.openxmlformats.org/officeDocument/2006/relationships/header" Target="header5.xml"/><Relationship Id="rId584" Type="http://schemas.openxmlformats.org/officeDocument/2006/relationships/footer" Target="footer219.xml"/><Relationship Id="rId583" Type="http://schemas.openxmlformats.org/officeDocument/2006/relationships/header" Target="header4.xml"/><Relationship Id="rId582" Type="http://schemas.openxmlformats.org/officeDocument/2006/relationships/footer" Target="footer218.xml"/><Relationship Id="rId581" Type="http://schemas.openxmlformats.org/officeDocument/2006/relationships/footer" Target="footer217.xml"/><Relationship Id="rId580" Type="http://schemas.openxmlformats.org/officeDocument/2006/relationships/footer" Target="footer216.xml"/><Relationship Id="rId58" Type="http://schemas.openxmlformats.org/officeDocument/2006/relationships/footer" Target="footer17.xml"/><Relationship Id="rId579" Type="http://schemas.openxmlformats.org/officeDocument/2006/relationships/footer" Target="footer215.xml"/><Relationship Id="rId578" Type="http://schemas.openxmlformats.org/officeDocument/2006/relationships/footer" Target="footer214.xml"/><Relationship Id="rId577" Type="http://schemas.openxmlformats.org/officeDocument/2006/relationships/footer" Target="footer213.xml"/><Relationship Id="rId576" Type="http://schemas.openxmlformats.org/officeDocument/2006/relationships/footer" Target="footer212.xml"/><Relationship Id="rId575" Type="http://schemas.openxmlformats.org/officeDocument/2006/relationships/footer" Target="footer211.xml"/><Relationship Id="rId574" Type="http://schemas.openxmlformats.org/officeDocument/2006/relationships/footer" Target="footer210.xml"/><Relationship Id="rId573" Type="http://schemas.openxmlformats.org/officeDocument/2006/relationships/footer" Target="footer209.xml"/><Relationship Id="rId572" Type="http://schemas.openxmlformats.org/officeDocument/2006/relationships/footer" Target="footer208.xml"/><Relationship Id="rId571" Type="http://schemas.openxmlformats.org/officeDocument/2006/relationships/footer" Target="footer207.xml"/><Relationship Id="rId570" Type="http://schemas.openxmlformats.org/officeDocument/2006/relationships/footer" Target="footer206.xml"/><Relationship Id="rId57" Type="http://schemas.openxmlformats.org/officeDocument/2006/relationships/image" Target="media/image41.jpeg"/><Relationship Id="rId569" Type="http://schemas.openxmlformats.org/officeDocument/2006/relationships/footer" Target="footer205.xml"/><Relationship Id="rId568" Type="http://schemas.openxmlformats.org/officeDocument/2006/relationships/footer" Target="footer204.xml"/><Relationship Id="rId567" Type="http://schemas.openxmlformats.org/officeDocument/2006/relationships/footer" Target="footer203.xml"/><Relationship Id="rId566" Type="http://schemas.openxmlformats.org/officeDocument/2006/relationships/footer" Target="footer202.xml"/><Relationship Id="rId565" Type="http://schemas.openxmlformats.org/officeDocument/2006/relationships/footer" Target="footer201.xml"/><Relationship Id="rId564" Type="http://schemas.openxmlformats.org/officeDocument/2006/relationships/footer" Target="footer200.xml"/><Relationship Id="rId563" Type="http://schemas.openxmlformats.org/officeDocument/2006/relationships/footer" Target="footer199.xml"/><Relationship Id="rId562" Type="http://schemas.openxmlformats.org/officeDocument/2006/relationships/footer" Target="footer198.xml"/><Relationship Id="rId561" Type="http://schemas.openxmlformats.org/officeDocument/2006/relationships/footer" Target="footer197.xml"/><Relationship Id="rId560" Type="http://schemas.openxmlformats.org/officeDocument/2006/relationships/footer" Target="footer196.xml"/><Relationship Id="rId56" Type="http://schemas.openxmlformats.org/officeDocument/2006/relationships/image" Target="media/image40.jpeg"/><Relationship Id="rId559" Type="http://schemas.openxmlformats.org/officeDocument/2006/relationships/footer" Target="footer195.xml"/><Relationship Id="rId558" Type="http://schemas.openxmlformats.org/officeDocument/2006/relationships/header" Target="header3.xml"/><Relationship Id="rId557" Type="http://schemas.openxmlformats.org/officeDocument/2006/relationships/footer" Target="footer194.xml"/><Relationship Id="rId556" Type="http://schemas.openxmlformats.org/officeDocument/2006/relationships/footer" Target="footer193.xml"/><Relationship Id="rId555" Type="http://schemas.openxmlformats.org/officeDocument/2006/relationships/footer" Target="footer192.xml"/><Relationship Id="rId554" Type="http://schemas.openxmlformats.org/officeDocument/2006/relationships/footer" Target="footer191.xml"/><Relationship Id="rId553" Type="http://schemas.openxmlformats.org/officeDocument/2006/relationships/footer" Target="footer190.xml"/><Relationship Id="rId552" Type="http://schemas.openxmlformats.org/officeDocument/2006/relationships/footer" Target="footer189.xml"/><Relationship Id="rId551" Type="http://schemas.openxmlformats.org/officeDocument/2006/relationships/footer" Target="footer188.xml"/><Relationship Id="rId550" Type="http://schemas.openxmlformats.org/officeDocument/2006/relationships/footer" Target="footer187.xml"/><Relationship Id="rId55" Type="http://schemas.openxmlformats.org/officeDocument/2006/relationships/image" Target="media/image39.jpeg"/><Relationship Id="rId549" Type="http://schemas.openxmlformats.org/officeDocument/2006/relationships/footer" Target="footer186.xml"/><Relationship Id="rId548" Type="http://schemas.openxmlformats.org/officeDocument/2006/relationships/footer" Target="footer185.xml"/><Relationship Id="rId547" Type="http://schemas.openxmlformats.org/officeDocument/2006/relationships/footer" Target="footer184.xml"/><Relationship Id="rId546" Type="http://schemas.openxmlformats.org/officeDocument/2006/relationships/footer" Target="footer183.xml"/><Relationship Id="rId545" Type="http://schemas.openxmlformats.org/officeDocument/2006/relationships/footer" Target="footer182.xml"/><Relationship Id="rId544" Type="http://schemas.openxmlformats.org/officeDocument/2006/relationships/footer" Target="footer181.xml"/><Relationship Id="rId543" Type="http://schemas.openxmlformats.org/officeDocument/2006/relationships/footer" Target="footer180.xml"/><Relationship Id="rId542" Type="http://schemas.openxmlformats.org/officeDocument/2006/relationships/footer" Target="footer179.xml"/><Relationship Id="rId541" Type="http://schemas.openxmlformats.org/officeDocument/2006/relationships/footer" Target="footer178.xml"/><Relationship Id="rId540" Type="http://schemas.openxmlformats.org/officeDocument/2006/relationships/footer" Target="footer177.xml"/><Relationship Id="rId54" Type="http://schemas.openxmlformats.org/officeDocument/2006/relationships/image" Target="media/image38.jpeg"/><Relationship Id="rId539" Type="http://schemas.openxmlformats.org/officeDocument/2006/relationships/footer" Target="footer176.xml"/><Relationship Id="rId538" Type="http://schemas.openxmlformats.org/officeDocument/2006/relationships/footer" Target="footer175.xml"/><Relationship Id="rId537" Type="http://schemas.openxmlformats.org/officeDocument/2006/relationships/footer" Target="footer174.xml"/><Relationship Id="rId536" Type="http://schemas.openxmlformats.org/officeDocument/2006/relationships/footer" Target="footer173.xml"/><Relationship Id="rId535" Type="http://schemas.openxmlformats.org/officeDocument/2006/relationships/footer" Target="footer172.xml"/><Relationship Id="rId534" Type="http://schemas.openxmlformats.org/officeDocument/2006/relationships/footer" Target="footer171.xml"/><Relationship Id="rId533" Type="http://schemas.openxmlformats.org/officeDocument/2006/relationships/footer" Target="footer170.xml"/><Relationship Id="rId532" Type="http://schemas.openxmlformats.org/officeDocument/2006/relationships/footer" Target="footer169.xml"/><Relationship Id="rId531" Type="http://schemas.openxmlformats.org/officeDocument/2006/relationships/footer" Target="footer168.xml"/><Relationship Id="rId530" Type="http://schemas.openxmlformats.org/officeDocument/2006/relationships/footer" Target="footer167.xml"/><Relationship Id="rId53" Type="http://schemas.openxmlformats.org/officeDocument/2006/relationships/image" Target="media/image37.jpeg"/><Relationship Id="rId529" Type="http://schemas.openxmlformats.org/officeDocument/2006/relationships/footer" Target="footer166.xml"/><Relationship Id="rId528" Type="http://schemas.openxmlformats.org/officeDocument/2006/relationships/footer" Target="footer165.xml"/><Relationship Id="rId527" Type="http://schemas.openxmlformats.org/officeDocument/2006/relationships/footer" Target="footer164.xml"/><Relationship Id="rId526" Type="http://schemas.openxmlformats.org/officeDocument/2006/relationships/footer" Target="footer163.xml"/><Relationship Id="rId525" Type="http://schemas.openxmlformats.org/officeDocument/2006/relationships/footer" Target="footer162.xml"/><Relationship Id="rId524" Type="http://schemas.openxmlformats.org/officeDocument/2006/relationships/footer" Target="footer161.xml"/><Relationship Id="rId523" Type="http://schemas.openxmlformats.org/officeDocument/2006/relationships/footer" Target="footer160.xml"/><Relationship Id="rId522" Type="http://schemas.openxmlformats.org/officeDocument/2006/relationships/footer" Target="footer159.xml"/><Relationship Id="rId521" Type="http://schemas.openxmlformats.org/officeDocument/2006/relationships/footer" Target="footer158.xml"/><Relationship Id="rId520" Type="http://schemas.openxmlformats.org/officeDocument/2006/relationships/footer" Target="footer157.xml"/><Relationship Id="rId52" Type="http://schemas.openxmlformats.org/officeDocument/2006/relationships/image" Target="media/image36.jpeg"/><Relationship Id="rId519" Type="http://schemas.openxmlformats.org/officeDocument/2006/relationships/footer" Target="footer156.xml"/><Relationship Id="rId518" Type="http://schemas.openxmlformats.org/officeDocument/2006/relationships/footer" Target="footer155.xml"/><Relationship Id="rId517" Type="http://schemas.openxmlformats.org/officeDocument/2006/relationships/footer" Target="footer154.xml"/><Relationship Id="rId516" Type="http://schemas.openxmlformats.org/officeDocument/2006/relationships/footer" Target="footer153.xml"/><Relationship Id="rId515" Type="http://schemas.openxmlformats.org/officeDocument/2006/relationships/footer" Target="footer152.xml"/><Relationship Id="rId514" Type="http://schemas.openxmlformats.org/officeDocument/2006/relationships/footer" Target="footer151.xml"/><Relationship Id="rId513" Type="http://schemas.openxmlformats.org/officeDocument/2006/relationships/footer" Target="footer150.xml"/><Relationship Id="rId512" Type="http://schemas.openxmlformats.org/officeDocument/2006/relationships/image" Target="media/image362.jpeg"/><Relationship Id="rId511" Type="http://schemas.openxmlformats.org/officeDocument/2006/relationships/footer" Target="footer149.xml"/><Relationship Id="rId510" Type="http://schemas.openxmlformats.org/officeDocument/2006/relationships/image" Target="media/image361.jpeg"/><Relationship Id="rId51" Type="http://schemas.openxmlformats.org/officeDocument/2006/relationships/footer" Target="footer16.xml"/><Relationship Id="rId509" Type="http://schemas.openxmlformats.org/officeDocument/2006/relationships/footer" Target="footer148.xml"/><Relationship Id="rId508" Type="http://schemas.openxmlformats.org/officeDocument/2006/relationships/footer" Target="footer147.xml"/><Relationship Id="rId507" Type="http://schemas.openxmlformats.org/officeDocument/2006/relationships/image" Target="media/image360.jpeg"/><Relationship Id="rId506" Type="http://schemas.openxmlformats.org/officeDocument/2006/relationships/footer" Target="footer146.xml"/><Relationship Id="rId505" Type="http://schemas.openxmlformats.org/officeDocument/2006/relationships/image" Target="media/image359.jpeg"/><Relationship Id="rId504" Type="http://schemas.openxmlformats.org/officeDocument/2006/relationships/footer" Target="footer145.xml"/><Relationship Id="rId503" Type="http://schemas.openxmlformats.org/officeDocument/2006/relationships/footer" Target="footer144.xml"/><Relationship Id="rId502" Type="http://schemas.openxmlformats.org/officeDocument/2006/relationships/footer" Target="footer143.xml"/><Relationship Id="rId501" Type="http://schemas.openxmlformats.org/officeDocument/2006/relationships/footer" Target="footer142.xml"/><Relationship Id="rId500" Type="http://schemas.openxmlformats.org/officeDocument/2006/relationships/image" Target="media/image358.jpeg"/><Relationship Id="rId50" Type="http://schemas.openxmlformats.org/officeDocument/2006/relationships/image" Target="media/image35.png"/><Relationship Id="rId5" Type="http://schemas.openxmlformats.org/officeDocument/2006/relationships/footer" Target="footer5.xml"/><Relationship Id="rId499" Type="http://schemas.openxmlformats.org/officeDocument/2006/relationships/image" Target="media/image357.jpeg"/><Relationship Id="rId498" Type="http://schemas.openxmlformats.org/officeDocument/2006/relationships/footer" Target="footer141.xml"/><Relationship Id="rId497" Type="http://schemas.openxmlformats.org/officeDocument/2006/relationships/image" Target="media/image356.jpeg"/><Relationship Id="rId496" Type="http://schemas.openxmlformats.org/officeDocument/2006/relationships/footer" Target="footer140.xml"/><Relationship Id="rId495" Type="http://schemas.openxmlformats.org/officeDocument/2006/relationships/footer" Target="footer139.xml"/><Relationship Id="rId494" Type="http://schemas.openxmlformats.org/officeDocument/2006/relationships/image" Target="media/image355.jpeg"/><Relationship Id="rId493" Type="http://schemas.openxmlformats.org/officeDocument/2006/relationships/footer" Target="footer138.xml"/><Relationship Id="rId492" Type="http://schemas.openxmlformats.org/officeDocument/2006/relationships/footer" Target="footer137.xml"/><Relationship Id="rId491" Type="http://schemas.openxmlformats.org/officeDocument/2006/relationships/image" Target="media/image354.jpeg"/><Relationship Id="rId490" Type="http://schemas.openxmlformats.org/officeDocument/2006/relationships/footer" Target="footer136.xml"/><Relationship Id="rId49" Type="http://schemas.openxmlformats.org/officeDocument/2006/relationships/image" Target="media/image34.jpeg"/><Relationship Id="rId489" Type="http://schemas.openxmlformats.org/officeDocument/2006/relationships/footer" Target="footer135.xml"/><Relationship Id="rId488" Type="http://schemas.openxmlformats.org/officeDocument/2006/relationships/footer" Target="footer134.xml"/><Relationship Id="rId487" Type="http://schemas.openxmlformats.org/officeDocument/2006/relationships/footer" Target="footer133.xml"/><Relationship Id="rId486" Type="http://schemas.openxmlformats.org/officeDocument/2006/relationships/image" Target="media/image353.jpeg"/><Relationship Id="rId485" Type="http://schemas.openxmlformats.org/officeDocument/2006/relationships/image" Target="media/image352.png"/><Relationship Id="rId484" Type="http://schemas.openxmlformats.org/officeDocument/2006/relationships/image" Target="media/image351.jpeg"/><Relationship Id="rId483" Type="http://schemas.openxmlformats.org/officeDocument/2006/relationships/image" Target="media/image350.jpeg"/><Relationship Id="rId482" Type="http://schemas.openxmlformats.org/officeDocument/2006/relationships/footer" Target="footer132.xml"/><Relationship Id="rId481" Type="http://schemas.openxmlformats.org/officeDocument/2006/relationships/footer" Target="footer131.xml"/><Relationship Id="rId480" Type="http://schemas.openxmlformats.org/officeDocument/2006/relationships/footer" Target="footer130.xml"/><Relationship Id="rId48" Type="http://schemas.openxmlformats.org/officeDocument/2006/relationships/image" Target="media/image33.png"/><Relationship Id="rId479" Type="http://schemas.openxmlformats.org/officeDocument/2006/relationships/image" Target="media/image349.jpeg"/><Relationship Id="rId478" Type="http://schemas.openxmlformats.org/officeDocument/2006/relationships/footer" Target="footer129.xml"/><Relationship Id="rId477" Type="http://schemas.openxmlformats.org/officeDocument/2006/relationships/footer" Target="footer128.xml"/><Relationship Id="rId476" Type="http://schemas.openxmlformats.org/officeDocument/2006/relationships/image" Target="media/image348.jpeg"/><Relationship Id="rId475" Type="http://schemas.openxmlformats.org/officeDocument/2006/relationships/image" Target="media/image347.jpeg"/><Relationship Id="rId474" Type="http://schemas.openxmlformats.org/officeDocument/2006/relationships/image" Target="media/image346.jpeg"/><Relationship Id="rId473" Type="http://schemas.openxmlformats.org/officeDocument/2006/relationships/image" Target="media/image345.jpeg"/><Relationship Id="rId472" Type="http://schemas.openxmlformats.org/officeDocument/2006/relationships/image" Target="media/image344.jpeg"/><Relationship Id="rId471" Type="http://schemas.openxmlformats.org/officeDocument/2006/relationships/image" Target="media/image343.jpeg"/><Relationship Id="rId470" Type="http://schemas.openxmlformats.org/officeDocument/2006/relationships/image" Target="media/image342.jpeg"/><Relationship Id="rId47" Type="http://schemas.openxmlformats.org/officeDocument/2006/relationships/image" Target="media/image32.jpeg"/><Relationship Id="rId469" Type="http://schemas.openxmlformats.org/officeDocument/2006/relationships/image" Target="media/image341.jpeg"/><Relationship Id="rId468" Type="http://schemas.openxmlformats.org/officeDocument/2006/relationships/image" Target="media/image340.jpeg"/><Relationship Id="rId467" Type="http://schemas.openxmlformats.org/officeDocument/2006/relationships/image" Target="media/image339.jpeg"/><Relationship Id="rId466" Type="http://schemas.openxmlformats.org/officeDocument/2006/relationships/image" Target="media/image338.jpeg"/><Relationship Id="rId465" Type="http://schemas.openxmlformats.org/officeDocument/2006/relationships/image" Target="media/image337.jpeg"/><Relationship Id="rId464" Type="http://schemas.openxmlformats.org/officeDocument/2006/relationships/image" Target="media/image336.jpeg"/><Relationship Id="rId463" Type="http://schemas.openxmlformats.org/officeDocument/2006/relationships/footer" Target="footer127.xml"/><Relationship Id="rId462" Type="http://schemas.openxmlformats.org/officeDocument/2006/relationships/image" Target="media/image335.jpeg"/><Relationship Id="rId461" Type="http://schemas.openxmlformats.org/officeDocument/2006/relationships/image" Target="media/image334.jpeg"/><Relationship Id="rId460" Type="http://schemas.openxmlformats.org/officeDocument/2006/relationships/image" Target="media/image333.jpeg"/><Relationship Id="rId46" Type="http://schemas.openxmlformats.org/officeDocument/2006/relationships/image" Target="media/image31.png"/><Relationship Id="rId459" Type="http://schemas.openxmlformats.org/officeDocument/2006/relationships/image" Target="media/image332.jpeg"/><Relationship Id="rId458" Type="http://schemas.openxmlformats.org/officeDocument/2006/relationships/image" Target="media/image331.png"/><Relationship Id="rId457" Type="http://schemas.openxmlformats.org/officeDocument/2006/relationships/footer" Target="footer126.xml"/><Relationship Id="rId456" Type="http://schemas.openxmlformats.org/officeDocument/2006/relationships/image" Target="media/image330.png"/><Relationship Id="rId455" Type="http://schemas.openxmlformats.org/officeDocument/2006/relationships/image" Target="media/image329.jpeg"/><Relationship Id="rId454" Type="http://schemas.openxmlformats.org/officeDocument/2006/relationships/footer" Target="footer125.xml"/><Relationship Id="rId453" Type="http://schemas.openxmlformats.org/officeDocument/2006/relationships/image" Target="media/image328.jpeg"/><Relationship Id="rId452" Type="http://schemas.openxmlformats.org/officeDocument/2006/relationships/image" Target="media/image327.png"/><Relationship Id="rId451" Type="http://schemas.openxmlformats.org/officeDocument/2006/relationships/footer" Target="footer124.xml"/><Relationship Id="rId450" Type="http://schemas.openxmlformats.org/officeDocument/2006/relationships/image" Target="media/image326.jpeg"/><Relationship Id="rId45" Type="http://schemas.openxmlformats.org/officeDocument/2006/relationships/image" Target="media/image30.jpeg"/><Relationship Id="rId449" Type="http://schemas.openxmlformats.org/officeDocument/2006/relationships/image" Target="media/image325.jpeg"/><Relationship Id="rId448" Type="http://schemas.openxmlformats.org/officeDocument/2006/relationships/image" Target="media/image324.jpeg"/><Relationship Id="rId447" Type="http://schemas.openxmlformats.org/officeDocument/2006/relationships/image" Target="media/image323.jpeg"/><Relationship Id="rId446" Type="http://schemas.openxmlformats.org/officeDocument/2006/relationships/image" Target="media/image322.png"/><Relationship Id="rId445" Type="http://schemas.openxmlformats.org/officeDocument/2006/relationships/footer" Target="footer123.xml"/><Relationship Id="rId444" Type="http://schemas.openxmlformats.org/officeDocument/2006/relationships/image" Target="media/image321.png"/><Relationship Id="rId443" Type="http://schemas.openxmlformats.org/officeDocument/2006/relationships/image" Target="media/image320.jpeg"/><Relationship Id="rId442" Type="http://schemas.openxmlformats.org/officeDocument/2006/relationships/image" Target="media/image319.jpeg"/><Relationship Id="rId441" Type="http://schemas.openxmlformats.org/officeDocument/2006/relationships/image" Target="media/image318.jpeg"/><Relationship Id="rId440" Type="http://schemas.openxmlformats.org/officeDocument/2006/relationships/image" Target="media/image317.jpeg"/><Relationship Id="rId44" Type="http://schemas.openxmlformats.org/officeDocument/2006/relationships/footer" Target="footer15.xml"/><Relationship Id="rId439" Type="http://schemas.openxmlformats.org/officeDocument/2006/relationships/footer" Target="footer122.xml"/><Relationship Id="rId438" Type="http://schemas.openxmlformats.org/officeDocument/2006/relationships/image" Target="media/image316.jpeg"/><Relationship Id="rId437" Type="http://schemas.openxmlformats.org/officeDocument/2006/relationships/image" Target="media/image315.jpeg"/><Relationship Id="rId436" Type="http://schemas.openxmlformats.org/officeDocument/2006/relationships/image" Target="media/image314.jpeg"/><Relationship Id="rId435" Type="http://schemas.openxmlformats.org/officeDocument/2006/relationships/image" Target="media/image313.jpeg"/><Relationship Id="rId434" Type="http://schemas.openxmlformats.org/officeDocument/2006/relationships/image" Target="media/image312.jpeg"/><Relationship Id="rId433" Type="http://schemas.openxmlformats.org/officeDocument/2006/relationships/image" Target="media/image311.jpeg"/><Relationship Id="rId432" Type="http://schemas.openxmlformats.org/officeDocument/2006/relationships/footer" Target="footer121.xml"/><Relationship Id="rId431" Type="http://schemas.openxmlformats.org/officeDocument/2006/relationships/image" Target="media/image310.png"/><Relationship Id="rId430" Type="http://schemas.openxmlformats.org/officeDocument/2006/relationships/image" Target="media/image309.jpeg"/><Relationship Id="rId43" Type="http://schemas.openxmlformats.org/officeDocument/2006/relationships/image" Target="media/image29.jpeg"/><Relationship Id="rId429" Type="http://schemas.openxmlformats.org/officeDocument/2006/relationships/footer" Target="footer120.xml"/><Relationship Id="rId428" Type="http://schemas.openxmlformats.org/officeDocument/2006/relationships/image" Target="media/image308.jpeg"/><Relationship Id="rId427" Type="http://schemas.openxmlformats.org/officeDocument/2006/relationships/image" Target="media/image307.jpeg"/><Relationship Id="rId426" Type="http://schemas.openxmlformats.org/officeDocument/2006/relationships/image" Target="media/image306.jpeg"/><Relationship Id="rId425" Type="http://schemas.openxmlformats.org/officeDocument/2006/relationships/image" Target="media/image305.jpeg"/><Relationship Id="rId424" Type="http://schemas.openxmlformats.org/officeDocument/2006/relationships/footer" Target="footer119.xml"/><Relationship Id="rId423" Type="http://schemas.openxmlformats.org/officeDocument/2006/relationships/image" Target="media/image304.jpeg"/><Relationship Id="rId422" Type="http://schemas.openxmlformats.org/officeDocument/2006/relationships/image" Target="media/image303.jpeg"/><Relationship Id="rId421" Type="http://schemas.openxmlformats.org/officeDocument/2006/relationships/image" Target="media/image302.jpeg"/><Relationship Id="rId420" Type="http://schemas.openxmlformats.org/officeDocument/2006/relationships/footer" Target="footer118.xml"/><Relationship Id="rId42" Type="http://schemas.openxmlformats.org/officeDocument/2006/relationships/image" Target="media/image28.jpeg"/><Relationship Id="rId419" Type="http://schemas.openxmlformats.org/officeDocument/2006/relationships/image" Target="media/image301.jpeg"/><Relationship Id="rId418" Type="http://schemas.openxmlformats.org/officeDocument/2006/relationships/image" Target="media/image300.jpeg"/><Relationship Id="rId417" Type="http://schemas.openxmlformats.org/officeDocument/2006/relationships/image" Target="media/image299.jpeg"/><Relationship Id="rId416" Type="http://schemas.openxmlformats.org/officeDocument/2006/relationships/image" Target="media/image298.jpeg"/><Relationship Id="rId415" Type="http://schemas.openxmlformats.org/officeDocument/2006/relationships/image" Target="media/image297.jpeg"/><Relationship Id="rId414" Type="http://schemas.openxmlformats.org/officeDocument/2006/relationships/image" Target="media/image296.jpeg"/><Relationship Id="rId413" Type="http://schemas.openxmlformats.org/officeDocument/2006/relationships/footer" Target="footer117.xml"/><Relationship Id="rId412" Type="http://schemas.openxmlformats.org/officeDocument/2006/relationships/image" Target="media/image295.png"/><Relationship Id="rId411" Type="http://schemas.openxmlformats.org/officeDocument/2006/relationships/image" Target="media/image294.jpeg"/><Relationship Id="rId410" Type="http://schemas.openxmlformats.org/officeDocument/2006/relationships/image" Target="media/image293.jpeg"/><Relationship Id="rId41" Type="http://schemas.openxmlformats.org/officeDocument/2006/relationships/image" Target="media/image27.jpeg"/><Relationship Id="rId409" Type="http://schemas.openxmlformats.org/officeDocument/2006/relationships/image" Target="media/image292.jpeg"/><Relationship Id="rId408" Type="http://schemas.openxmlformats.org/officeDocument/2006/relationships/image" Target="media/image291.jpeg"/><Relationship Id="rId407" Type="http://schemas.openxmlformats.org/officeDocument/2006/relationships/image" Target="media/image290.jpeg"/><Relationship Id="rId406" Type="http://schemas.openxmlformats.org/officeDocument/2006/relationships/image" Target="media/image289.jpeg"/><Relationship Id="rId405" Type="http://schemas.openxmlformats.org/officeDocument/2006/relationships/image" Target="media/image288.jpeg"/><Relationship Id="rId404" Type="http://schemas.openxmlformats.org/officeDocument/2006/relationships/footer" Target="footer116.xml"/><Relationship Id="rId403" Type="http://schemas.openxmlformats.org/officeDocument/2006/relationships/image" Target="media/image287.jpeg"/><Relationship Id="rId402" Type="http://schemas.openxmlformats.org/officeDocument/2006/relationships/image" Target="media/image286.jpeg"/><Relationship Id="rId401" Type="http://schemas.openxmlformats.org/officeDocument/2006/relationships/image" Target="media/image285.jpeg"/><Relationship Id="rId400" Type="http://schemas.openxmlformats.org/officeDocument/2006/relationships/image" Target="media/image284.png"/><Relationship Id="rId40" Type="http://schemas.openxmlformats.org/officeDocument/2006/relationships/image" Target="media/image26.png"/><Relationship Id="rId4" Type="http://schemas.openxmlformats.org/officeDocument/2006/relationships/footer" Target="footer4.xml"/><Relationship Id="rId399" Type="http://schemas.openxmlformats.org/officeDocument/2006/relationships/footer" Target="footer115.xml"/><Relationship Id="rId398" Type="http://schemas.openxmlformats.org/officeDocument/2006/relationships/image" Target="media/image283.jpeg"/><Relationship Id="rId397" Type="http://schemas.openxmlformats.org/officeDocument/2006/relationships/image" Target="media/image282.jpeg"/><Relationship Id="rId396" Type="http://schemas.openxmlformats.org/officeDocument/2006/relationships/image" Target="media/image281.jpeg"/><Relationship Id="rId395" Type="http://schemas.openxmlformats.org/officeDocument/2006/relationships/footer" Target="footer114.xml"/><Relationship Id="rId394" Type="http://schemas.openxmlformats.org/officeDocument/2006/relationships/image" Target="media/image280.jpeg"/><Relationship Id="rId393" Type="http://schemas.openxmlformats.org/officeDocument/2006/relationships/image" Target="media/image279.jpeg"/><Relationship Id="rId392" Type="http://schemas.openxmlformats.org/officeDocument/2006/relationships/image" Target="media/image278.jpeg"/><Relationship Id="rId391" Type="http://schemas.openxmlformats.org/officeDocument/2006/relationships/footer" Target="footer113.xml"/><Relationship Id="rId390" Type="http://schemas.openxmlformats.org/officeDocument/2006/relationships/image" Target="media/image277.jpeg"/><Relationship Id="rId39" Type="http://schemas.openxmlformats.org/officeDocument/2006/relationships/image" Target="media/image25.jpeg"/><Relationship Id="rId389" Type="http://schemas.openxmlformats.org/officeDocument/2006/relationships/image" Target="media/image276.jpeg"/><Relationship Id="rId388" Type="http://schemas.openxmlformats.org/officeDocument/2006/relationships/image" Target="media/image275.jpeg"/><Relationship Id="rId387" Type="http://schemas.openxmlformats.org/officeDocument/2006/relationships/image" Target="media/image274.jpeg"/><Relationship Id="rId386" Type="http://schemas.openxmlformats.org/officeDocument/2006/relationships/image" Target="media/image273.jpeg"/><Relationship Id="rId385" Type="http://schemas.openxmlformats.org/officeDocument/2006/relationships/footer" Target="footer112.xml"/><Relationship Id="rId384" Type="http://schemas.openxmlformats.org/officeDocument/2006/relationships/image" Target="media/image272.jpeg"/><Relationship Id="rId383" Type="http://schemas.openxmlformats.org/officeDocument/2006/relationships/image" Target="media/image271.jpeg"/><Relationship Id="rId382" Type="http://schemas.openxmlformats.org/officeDocument/2006/relationships/image" Target="media/image270.jpeg"/><Relationship Id="rId381" Type="http://schemas.openxmlformats.org/officeDocument/2006/relationships/image" Target="media/image269.jpeg"/><Relationship Id="rId380" Type="http://schemas.openxmlformats.org/officeDocument/2006/relationships/image" Target="media/image268.jpeg"/><Relationship Id="rId38" Type="http://schemas.openxmlformats.org/officeDocument/2006/relationships/image" Target="media/image24.jpeg"/><Relationship Id="rId379" Type="http://schemas.openxmlformats.org/officeDocument/2006/relationships/footer" Target="footer111.xml"/><Relationship Id="rId378" Type="http://schemas.openxmlformats.org/officeDocument/2006/relationships/image" Target="media/image267.jpeg"/><Relationship Id="rId377" Type="http://schemas.openxmlformats.org/officeDocument/2006/relationships/image" Target="media/image266.jpeg"/><Relationship Id="rId376" Type="http://schemas.openxmlformats.org/officeDocument/2006/relationships/footer" Target="footer110.xml"/><Relationship Id="rId375" Type="http://schemas.openxmlformats.org/officeDocument/2006/relationships/image" Target="media/image265.png"/><Relationship Id="rId374" Type="http://schemas.openxmlformats.org/officeDocument/2006/relationships/image" Target="media/image264.png"/><Relationship Id="rId373" Type="http://schemas.openxmlformats.org/officeDocument/2006/relationships/image" Target="media/image263.png"/><Relationship Id="rId372" Type="http://schemas.openxmlformats.org/officeDocument/2006/relationships/footer" Target="footer109.xml"/><Relationship Id="rId371" Type="http://schemas.openxmlformats.org/officeDocument/2006/relationships/image" Target="media/image262.png"/><Relationship Id="rId370" Type="http://schemas.openxmlformats.org/officeDocument/2006/relationships/footer" Target="footer108.xml"/><Relationship Id="rId37" Type="http://schemas.openxmlformats.org/officeDocument/2006/relationships/image" Target="media/image23.jpeg"/><Relationship Id="rId369" Type="http://schemas.openxmlformats.org/officeDocument/2006/relationships/image" Target="media/image261.jpeg"/><Relationship Id="rId368" Type="http://schemas.openxmlformats.org/officeDocument/2006/relationships/image" Target="media/image260.jpeg"/><Relationship Id="rId367" Type="http://schemas.openxmlformats.org/officeDocument/2006/relationships/image" Target="media/image259.jpeg"/><Relationship Id="rId366" Type="http://schemas.openxmlformats.org/officeDocument/2006/relationships/image" Target="media/image258.jpeg"/><Relationship Id="rId365" Type="http://schemas.openxmlformats.org/officeDocument/2006/relationships/footer" Target="footer107.xml"/><Relationship Id="rId364" Type="http://schemas.openxmlformats.org/officeDocument/2006/relationships/image" Target="media/image257.jpeg"/><Relationship Id="rId363" Type="http://schemas.openxmlformats.org/officeDocument/2006/relationships/image" Target="media/image256.jpeg"/><Relationship Id="rId362" Type="http://schemas.openxmlformats.org/officeDocument/2006/relationships/image" Target="media/image255.png"/><Relationship Id="rId361" Type="http://schemas.openxmlformats.org/officeDocument/2006/relationships/footer" Target="footer106.xml"/><Relationship Id="rId360" Type="http://schemas.openxmlformats.org/officeDocument/2006/relationships/image" Target="media/image254.jpeg"/><Relationship Id="rId36" Type="http://schemas.openxmlformats.org/officeDocument/2006/relationships/image" Target="media/image22.jpeg"/><Relationship Id="rId359" Type="http://schemas.openxmlformats.org/officeDocument/2006/relationships/image" Target="media/image253.jpeg"/><Relationship Id="rId358" Type="http://schemas.openxmlformats.org/officeDocument/2006/relationships/image" Target="media/image252.jpeg"/><Relationship Id="rId357" Type="http://schemas.openxmlformats.org/officeDocument/2006/relationships/image" Target="media/image251.jpeg"/><Relationship Id="rId356" Type="http://schemas.openxmlformats.org/officeDocument/2006/relationships/footer" Target="footer105.xml"/><Relationship Id="rId355" Type="http://schemas.openxmlformats.org/officeDocument/2006/relationships/image" Target="media/image250.png"/><Relationship Id="rId354" Type="http://schemas.openxmlformats.org/officeDocument/2006/relationships/footer" Target="footer104.xml"/><Relationship Id="rId353" Type="http://schemas.openxmlformats.org/officeDocument/2006/relationships/image" Target="media/image249.png"/><Relationship Id="rId352" Type="http://schemas.openxmlformats.org/officeDocument/2006/relationships/image" Target="media/image248.jpeg"/><Relationship Id="rId351" Type="http://schemas.openxmlformats.org/officeDocument/2006/relationships/image" Target="media/image247.jpeg"/><Relationship Id="rId350" Type="http://schemas.openxmlformats.org/officeDocument/2006/relationships/footer" Target="footer103.xml"/><Relationship Id="rId35" Type="http://schemas.openxmlformats.org/officeDocument/2006/relationships/footer" Target="footer14.xml"/><Relationship Id="rId349" Type="http://schemas.openxmlformats.org/officeDocument/2006/relationships/image" Target="media/image246.png"/><Relationship Id="rId348" Type="http://schemas.openxmlformats.org/officeDocument/2006/relationships/image" Target="media/image245.jpeg"/><Relationship Id="rId347" Type="http://schemas.openxmlformats.org/officeDocument/2006/relationships/image" Target="media/image244.jpeg"/><Relationship Id="rId346" Type="http://schemas.openxmlformats.org/officeDocument/2006/relationships/image" Target="media/image243.jpeg"/><Relationship Id="rId345" Type="http://schemas.openxmlformats.org/officeDocument/2006/relationships/image" Target="media/image242.jpeg"/><Relationship Id="rId344" Type="http://schemas.openxmlformats.org/officeDocument/2006/relationships/footer" Target="footer102.xml"/><Relationship Id="rId343" Type="http://schemas.openxmlformats.org/officeDocument/2006/relationships/image" Target="media/image241.jpeg"/><Relationship Id="rId342" Type="http://schemas.openxmlformats.org/officeDocument/2006/relationships/image" Target="media/image240.jpeg"/><Relationship Id="rId341" Type="http://schemas.openxmlformats.org/officeDocument/2006/relationships/image" Target="media/image239.jpeg"/><Relationship Id="rId340" Type="http://schemas.openxmlformats.org/officeDocument/2006/relationships/image" Target="media/image238.jpeg"/><Relationship Id="rId34" Type="http://schemas.openxmlformats.org/officeDocument/2006/relationships/image" Target="media/image21.jpeg"/><Relationship Id="rId339" Type="http://schemas.openxmlformats.org/officeDocument/2006/relationships/footer" Target="footer101.xml"/><Relationship Id="rId338" Type="http://schemas.openxmlformats.org/officeDocument/2006/relationships/image" Target="media/image237.jpeg"/><Relationship Id="rId337" Type="http://schemas.openxmlformats.org/officeDocument/2006/relationships/image" Target="media/image236.jpeg"/><Relationship Id="rId336" Type="http://schemas.openxmlformats.org/officeDocument/2006/relationships/footer" Target="footer100.xml"/><Relationship Id="rId335" Type="http://schemas.openxmlformats.org/officeDocument/2006/relationships/image" Target="media/image235.jpeg"/><Relationship Id="rId334" Type="http://schemas.openxmlformats.org/officeDocument/2006/relationships/image" Target="media/image234.jpeg"/><Relationship Id="rId333" Type="http://schemas.openxmlformats.org/officeDocument/2006/relationships/image" Target="media/image233.jpeg"/><Relationship Id="rId332" Type="http://schemas.openxmlformats.org/officeDocument/2006/relationships/image" Target="media/image232.jpeg"/><Relationship Id="rId331" Type="http://schemas.openxmlformats.org/officeDocument/2006/relationships/image" Target="media/image231.jpeg"/><Relationship Id="rId330" Type="http://schemas.openxmlformats.org/officeDocument/2006/relationships/footer" Target="footer99.xml"/><Relationship Id="rId33" Type="http://schemas.openxmlformats.org/officeDocument/2006/relationships/image" Target="media/image20.jpeg"/><Relationship Id="rId329" Type="http://schemas.openxmlformats.org/officeDocument/2006/relationships/image" Target="media/image230.jpeg"/><Relationship Id="rId328" Type="http://schemas.openxmlformats.org/officeDocument/2006/relationships/image" Target="media/image229.jpeg"/><Relationship Id="rId327" Type="http://schemas.openxmlformats.org/officeDocument/2006/relationships/image" Target="media/image228.jpeg"/><Relationship Id="rId326" Type="http://schemas.openxmlformats.org/officeDocument/2006/relationships/image" Target="media/image227.jpeg"/><Relationship Id="rId325" Type="http://schemas.openxmlformats.org/officeDocument/2006/relationships/footer" Target="footer98.xml"/><Relationship Id="rId324" Type="http://schemas.openxmlformats.org/officeDocument/2006/relationships/image" Target="media/image226.jpeg"/><Relationship Id="rId323" Type="http://schemas.openxmlformats.org/officeDocument/2006/relationships/image" Target="media/image225.jpeg"/><Relationship Id="rId322" Type="http://schemas.openxmlformats.org/officeDocument/2006/relationships/image" Target="media/image224.jpeg"/><Relationship Id="rId321" Type="http://schemas.openxmlformats.org/officeDocument/2006/relationships/image" Target="media/image223.jpeg"/><Relationship Id="rId320" Type="http://schemas.openxmlformats.org/officeDocument/2006/relationships/footer" Target="footer97.xml"/><Relationship Id="rId32" Type="http://schemas.openxmlformats.org/officeDocument/2006/relationships/image" Target="media/image19.jpeg"/><Relationship Id="rId319" Type="http://schemas.openxmlformats.org/officeDocument/2006/relationships/image" Target="media/image222.jpeg"/><Relationship Id="rId318" Type="http://schemas.openxmlformats.org/officeDocument/2006/relationships/image" Target="media/image221.jpeg"/><Relationship Id="rId317" Type="http://schemas.openxmlformats.org/officeDocument/2006/relationships/footer" Target="footer96.xml"/><Relationship Id="rId316" Type="http://schemas.openxmlformats.org/officeDocument/2006/relationships/image" Target="media/image220.png"/><Relationship Id="rId315" Type="http://schemas.openxmlformats.org/officeDocument/2006/relationships/footer" Target="footer95.xml"/><Relationship Id="rId314" Type="http://schemas.openxmlformats.org/officeDocument/2006/relationships/image" Target="media/image219.jpeg"/><Relationship Id="rId313" Type="http://schemas.openxmlformats.org/officeDocument/2006/relationships/footer" Target="footer94.xml"/><Relationship Id="rId312" Type="http://schemas.openxmlformats.org/officeDocument/2006/relationships/header" Target="header2.xml"/><Relationship Id="rId311" Type="http://schemas.openxmlformats.org/officeDocument/2006/relationships/image" Target="media/image218.jpeg"/><Relationship Id="rId310" Type="http://schemas.openxmlformats.org/officeDocument/2006/relationships/footer" Target="footer93.xml"/><Relationship Id="rId31" Type="http://schemas.openxmlformats.org/officeDocument/2006/relationships/image" Target="media/image18.jpeg"/><Relationship Id="rId309" Type="http://schemas.openxmlformats.org/officeDocument/2006/relationships/header" Target="header1.xml"/><Relationship Id="rId308" Type="http://schemas.openxmlformats.org/officeDocument/2006/relationships/image" Target="media/image216.jpeg"/><Relationship Id="rId307" Type="http://schemas.openxmlformats.org/officeDocument/2006/relationships/image" Target="media/image215.jpeg"/><Relationship Id="rId306" Type="http://schemas.openxmlformats.org/officeDocument/2006/relationships/footer" Target="footer92.xml"/><Relationship Id="rId305" Type="http://schemas.openxmlformats.org/officeDocument/2006/relationships/image" Target="media/image214.jpeg"/><Relationship Id="rId304" Type="http://schemas.openxmlformats.org/officeDocument/2006/relationships/image" Target="media/image213.jpeg"/><Relationship Id="rId303" Type="http://schemas.openxmlformats.org/officeDocument/2006/relationships/image" Target="media/image212.jpeg"/><Relationship Id="rId302" Type="http://schemas.openxmlformats.org/officeDocument/2006/relationships/footer" Target="footer91.xml"/><Relationship Id="rId301" Type="http://schemas.openxmlformats.org/officeDocument/2006/relationships/image" Target="media/image211.png"/><Relationship Id="rId300" Type="http://schemas.openxmlformats.org/officeDocument/2006/relationships/image" Target="media/image210.png"/><Relationship Id="rId30" Type="http://schemas.openxmlformats.org/officeDocument/2006/relationships/image" Target="media/image17.jpeg"/><Relationship Id="rId3" Type="http://schemas.openxmlformats.org/officeDocument/2006/relationships/footer" Target="footer3.xml"/><Relationship Id="rId299" Type="http://schemas.openxmlformats.org/officeDocument/2006/relationships/footer" Target="footer90.xml"/><Relationship Id="rId298" Type="http://schemas.openxmlformats.org/officeDocument/2006/relationships/image" Target="media/image209.png"/><Relationship Id="rId297" Type="http://schemas.openxmlformats.org/officeDocument/2006/relationships/image" Target="media/image208.jpeg"/><Relationship Id="rId296" Type="http://schemas.openxmlformats.org/officeDocument/2006/relationships/image" Target="media/image207.jpeg"/><Relationship Id="rId295" Type="http://schemas.openxmlformats.org/officeDocument/2006/relationships/footer" Target="footer89.xml"/><Relationship Id="rId294" Type="http://schemas.openxmlformats.org/officeDocument/2006/relationships/image" Target="media/image206.png"/><Relationship Id="rId293" Type="http://schemas.openxmlformats.org/officeDocument/2006/relationships/image" Target="media/image205.jpeg"/><Relationship Id="rId292" Type="http://schemas.openxmlformats.org/officeDocument/2006/relationships/image" Target="media/image204.jpeg"/><Relationship Id="rId291" Type="http://schemas.openxmlformats.org/officeDocument/2006/relationships/footer" Target="footer88.xml"/><Relationship Id="rId290" Type="http://schemas.openxmlformats.org/officeDocument/2006/relationships/image" Target="media/image203.png"/><Relationship Id="rId29" Type="http://schemas.openxmlformats.org/officeDocument/2006/relationships/image" Target="media/image16.jpeg"/><Relationship Id="rId289" Type="http://schemas.openxmlformats.org/officeDocument/2006/relationships/image" Target="media/image202.jpeg"/><Relationship Id="rId288" Type="http://schemas.openxmlformats.org/officeDocument/2006/relationships/image" Target="media/image201.jpeg"/><Relationship Id="rId287" Type="http://schemas.openxmlformats.org/officeDocument/2006/relationships/footer" Target="footer87.xml"/><Relationship Id="rId286" Type="http://schemas.openxmlformats.org/officeDocument/2006/relationships/image" Target="media/image200.jpeg"/><Relationship Id="rId285" Type="http://schemas.openxmlformats.org/officeDocument/2006/relationships/image" Target="media/image199.jpeg"/><Relationship Id="rId284" Type="http://schemas.openxmlformats.org/officeDocument/2006/relationships/footer" Target="footer86.xml"/><Relationship Id="rId283" Type="http://schemas.openxmlformats.org/officeDocument/2006/relationships/image" Target="media/image198.jpeg"/><Relationship Id="rId282" Type="http://schemas.openxmlformats.org/officeDocument/2006/relationships/image" Target="media/image197.jpeg"/><Relationship Id="rId281" Type="http://schemas.openxmlformats.org/officeDocument/2006/relationships/footer" Target="footer85.xml"/><Relationship Id="rId280" Type="http://schemas.openxmlformats.org/officeDocument/2006/relationships/image" Target="media/image196.jpeg"/><Relationship Id="rId28" Type="http://schemas.openxmlformats.org/officeDocument/2006/relationships/image" Target="media/image15.jpeg"/><Relationship Id="rId279" Type="http://schemas.openxmlformats.org/officeDocument/2006/relationships/footer" Target="footer84.xml"/><Relationship Id="rId278" Type="http://schemas.openxmlformats.org/officeDocument/2006/relationships/image" Target="media/image195.jpeg"/><Relationship Id="rId277" Type="http://schemas.openxmlformats.org/officeDocument/2006/relationships/image" Target="media/image194.jpeg"/><Relationship Id="rId276" Type="http://schemas.openxmlformats.org/officeDocument/2006/relationships/footer" Target="footer83.xml"/><Relationship Id="rId275" Type="http://schemas.openxmlformats.org/officeDocument/2006/relationships/image" Target="media/image193.png"/><Relationship Id="rId274" Type="http://schemas.openxmlformats.org/officeDocument/2006/relationships/footer" Target="footer82.xml"/><Relationship Id="rId273" Type="http://schemas.openxmlformats.org/officeDocument/2006/relationships/image" Target="media/image192.jpeg"/><Relationship Id="rId272" Type="http://schemas.openxmlformats.org/officeDocument/2006/relationships/image" Target="media/image191.jpeg"/><Relationship Id="rId271" Type="http://schemas.openxmlformats.org/officeDocument/2006/relationships/footer" Target="footer81.xml"/><Relationship Id="rId270" Type="http://schemas.openxmlformats.org/officeDocument/2006/relationships/image" Target="media/image190.jpeg"/><Relationship Id="rId27" Type="http://schemas.openxmlformats.org/officeDocument/2006/relationships/image" Target="media/image14.jpeg"/><Relationship Id="rId269" Type="http://schemas.openxmlformats.org/officeDocument/2006/relationships/image" Target="media/image189.jpeg"/><Relationship Id="rId268" Type="http://schemas.openxmlformats.org/officeDocument/2006/relationships/footer" Target="footer80.xml"/><Relationship Id="rId267" Type="http://schemas.openxmlformats.org/officeDocument/2006/relationships/image" Target="media/image188.jpeg"/><Relationship Id="rId266" Type="http://schemas.openxmlformats.org/officeDocument/2006/relationships/footer" Target="footer79.xml"/><Relationship Id="rId265" Type="http://schemas.openxmlformats.org/officeDocument/2006/relationships/image" Target="media/image187.jpeg"/><Relationship Id="rId264" Type="http://schemas.openxmlformats.org/officeDocument/2006/relationships/image" Target="media/image186.jpeg"/><Relationship Id="rId263" Type="http://schemas.openxmlformats.org/officeDocument/2006/relationships/image" Target="media/image185.jpeg"/><Relationship Id="rId262" Type="http://schemas.openxmlformats.org/officeDocument/2006/relationships/footer" Target="footer78.xml"/><Relationship Id="rId261" Type="http://schemas.openxmlformats.org/officeDocument/2006/relationships/image" Target="media/image184.jpeg"/><Relationship Id="rId260" Type="http://schemas.openxmlformats.org/officeDocument/2006/relationships/image" Target="media/image183.jpeg"/><Relationship Id="rId26" Type="http://schemas.openxmlformats.org/officeDocument/2006/relationships/footer" Target="footer13.xml"/><Relationship Id="rId259" Type="http://schemas.openxmlformats.org/officeDocument/2006/relationships/footer" Target="footer77.xml"/><Relationship Id="rId258" Type="http://schemas.openxmlformats.org/officeDocument/2006/relationships/image" Target="media/image182.jpeg"/><Relationship Id="rId257" Type="http://schemas.openxmlformats.org/officeDocument/2006/relationships/image" Target="media/image181.jpeg"/><Relationship Id="rId256" Type="http://schemas.openxmlformats.org/officeDocument/2006/relationships/footer" Target="footer76.xml"/><Relationship Id="rId255" Type="http://schemas.openxmlformats.org/officeDocument/2006/relationships/image" Target="media/image180.jpeg"/><Relationship Id="rId254" Type="http://schemas.openxmlformats.org/officeDocument/2006/relationships/image" Target="media/image179.jpeg"/><Relationship Id="rId253" Type="http://schemas.openxmlformats.org/officeDocument/2006/relationships/footer" Target="footer75.xml"/><Relationship Id="rId252" Type="http://schemas.openxmlformats.org/officeDocument/2006/relationships/image" Target="media/image178.jpeg"/><Relationship Id="rId251" Type="http://schemas.openxmlformats.org/officeDocument/2006/relationships/image" Target="media/image177.jpeg"/><Relationship Id="rId250" Type="http://schemas.openxmlformats.org/officeDocument/2006/relationships/image" Target="media/image176.jpeg"/><Relationship Id="rId25" Type="http://schemas.openxmlformats.org/officeDocument/2006/relationships/image" Target="media/image13.jpeg"/><Relationship Id="rId249" Type="http://schemas.openxmlformats.org/officeDocument/2006/relationships/image" Target="media/image175.jpeg"/><Relationship Id="rId248" Type="http://schemas.openxmlformats.org/officeDocument/2006/relationships/footer" Target="footer74.xml"/><Relationship Id="rId247" Type="http://schemas.openxmlformats.org/officeDocument/2006/relationships/image" Target="media/image174.jpeg"/><Relationship Id="rId246" Type="http://schemas.openxmlformats.org/officeDocument/2006/relationships/image" Target="media/image173.jpeg"/><Relationship Id="rId245" Type="http://schemas.openxmlformats.org/officeDocument/2006/relationships/footer" Target="footer73.xml"/><Relationship Id="rId244" Type="http://schemas.openxmlformats.org/officeDocument/2006/relationships/image" Target="media/image172.jpeg"/><Relationship Id="rId243" Type="http://schemas.openxmlformats.org/officeDocument/2006/relationships/image" Target="media/image171.jpeg"/><Relationship Id="rId242" Type="http://schemas.openxmlformats.org/officeDocument/2006/relationships/image" Target="media/image170.jpeg"/><Relationship Id="rId241" Type="http://schemas.openxmlformats.org/officeDocument/2006/relationships/image" Target="media/image169.jpeg"/><Relationship Id="rId240" Type="http://schemas.openxmlformats.org/officeDocument/2006/relationships/footer" Target="footer72.xml"/><Relationship Id="rId24" Type="http://schemas.openxmlformats.org/officeDocument/2006/relationships/image" Target="media/image12.jpeg"/><Relationship Id="rId239" Type="http://schemas.openxmlformats.org/officeDocument/2006/relationships/image" Target="media/image168.png"/><Relationship Id="rId238" Type="http://schemas.openxmlformats.org/officeDocument/2006/relationships/image" Target="media/image167.png"/><Relationship Id="rId237" Type="http://schemas.openxmlformats.org/officeDocument/2006/relationships/footer" Target="footer71.xml"/><Relationship Id="rId236" Type="http://schemas.openxmlformats.org/officeDocument/2006/relationships/image" Target="media/image166.jpeg"/><Relationship Id="rId235" Type="http://schemas.openxmlformats.org/officeDocument/2006/relationships/image" Target="media/image165.jpeg"/><Relationship Id="rId234" Type="http://schemas.openxmlformats.org/officeDocument/2006/relationships/image" Target="media/image164.jpeg"/><Relationship Id="rId233" Type="http://schemas.openxmlformats.org/officeDocument/2006/relationships/footer" Target="footer70.xml"/><Relationship Id="rId232" Type="http://schemas.openxmlformats.org/officeDocument/2006/relationships/image" Target="media/image163.jpeg"/><Relationship Id="rId231" Type="http://schemas.openxmlformats.org/officeDocument/2006/relationships/image" Target="media/image162.jpeg"/><Relationship Id="rId230" Type="http://schemas.openxmlformats.org/officeDocument/2006/relationships/image" Target="media/image161.jpeg"/><Relationship Id="rId23" Type="http://schemas.openxmlformats.org/officeDocument/2006/relationships/image" Target="media/image11.jpeg"/><Relationship Id="rId229" Type="http://schemas.openxmlformats.org/officeDocument/2006/relationships/image" Target="media/image160.png"/><Relationship Id="rId228" Type="http://schemas.openxmlformats.org/officeDocument/2006/relationships/image" Target="media/image159.png"/><Relationship Id="rId227" Type="http://schemas.openxmlformats.org/officeDocument/2006/relationships/footer" Target="footer69.xml"/><Relationship Id="rId226" Type="http://schemas.openxmlformats.org/officeDocument/2006/relationships/image" Target="media/image158.jpeg"/><Relationship Id="rId225" Type="http://schemas.openxmlformats.org/officeDocument/2006/relationships/image" Target="media/image157.jpeg"/><Relationship Id="rId224" Type="http://schemas.openxmlformats.org/officeDocument/2006/relationships/footer" Target="footer68.xml"/><Relationship Id="rId223" Type="http://schemas.openxmlformats.org/officeDocument/2006/relationships/image" Target="media/image156.png"/><Relationship Id="rId222" Type="http://schemas.openxmlformats.org/officeDocument/2006/relationships/image" Target="media/image155.jpeg"/><Relationship Id="rId221" Type="http://schemas.openxmlformats.org/officeDocument/2006/relationships/footer" Target="footer67.xml"/><Relationship Id="rId220" Type="http://schemas.openxmlformats.org/officeDocument/2006/relationships/footer" Target="footer66.xml"/><Relationship Id="rId22" Type="http://schemas.openxmlformats.org/officeDocument/2006/relationships/footer" Target="footer12.xml"/><Relationship Id="rId219" Type="http://schemas.openxmlformats.org/officeDocument/2006/relationships/image" Target="media/image154.jpeg"/><Relationship Id="rId218" Type="http://schemas.openxmlformats.org/officeDocument/2006/relationships/image" Target="media/image153.jpeg"/><Relationship Id="rId217" Type="http://schemas.openxmlformats.org/officeDocument/2006/relationships/image" Target="media/image152.jpeg"/><Relationship Id="rId216" Type="http://schemas.openxmlformats.org/officeDocument/2006/relationships/image" Target="media/image151.jpeg"/><Relationship Id="rId215" Type="http://schemas.openxmlformats.org/officeDocument/2006/relationships/image" Target="media/image150.jpeg"/><Relationship Id="rId214" Type="http://schemas.openxmlformats.org/officeDocument/2006/relationships/image" Target="media/image149.jpeg"/><Relationship Id="rId213" Type="http://schemas.openxmlformats.org/officeDocument/2006/relationships/image" Target="media/image148.jpeg"/><Relationship Id="rId212" Type="http://schemas.openxmlformats.org/officeDocument/2006/relationships/image" Target="media/image147.jpeg"/><Relationship Id="rId211" Type="http://schemas.openxmlformats.org/officeDocument/2006/relationships/footer" Target="footer65.xml"/><Relationship Id="rId210" Type="http://schemas.openxmlformats.org/officeDocument/2006/relationships/image" Target="media/image146.jpeg"/><Relationship Id="rId21" Type="http://schemas.openxmlformats.org/officeDocument/2006/relationships/image" Target="media/image10.jpeg"/><Relationship Id="rId209" Type="http://schemas.openxmlformats.org/officeDocument/2006/relationships/image" Target="media/image145.jpeg"/><Relationship Id="rId208" Type="http://schemas.openxmlformats.org/officeDocument/2006/relationships/image" Target="media/image144.jpeg"/><Relationship Id="rId207" Type="http://schemas.openxmlformats.org/officeDocument/2006/relationships/image" Target="media/image143.jpeg"/><Relationship Id="rId206" Type="http://schemas.openxmlformats.org/officeDocument/2006/relationships/image" Target="media/image142.jpeg"/><Relationship Id="rId205" Type="http://schemas.openxmlformats.org/officeDocument/2006/relationships/image" Target="media/image141.jpeg"/><Relationship Id="rId204" Type="http://schemas.openxmlformats.org/officeDocument/2006/relationships/image" Target="media/image140.jpeg"/><Relationship Id="rId203" Type="http://schemas.openxmlformats.org/officeDocument/2006/relationships/image" Target="media/image139.jpeg"/><Relationship Id="rId202" Type="http://schemas.openxmlformats.org/officeDocument/2006/relationships/footer" Target="footer64.xml"/><Relationship Id="rId201" Type="http://schemas.openxmlformats.org/officeDocument/2006/relationships/footer" Target="footer63.xml"/><Relationship Id="rId200" Type="http://schemas.openxmlformats.org/officeDocument/2006/relationships/image" Target="media/image138.jpeg"/><Relationship Id="rId20" Type="http://schemas.openxmlformats.org/officeDocument/2006/relationships/image" Target="media/image9.jpeg"/><Relationship Id="rId2" Type="http://schemas.openxmlformats.org/officeDocument/2006/relationships/footer" Target="footer2.xml"/><Relationship Id="rId199" Type="http://schemas.openxmlformats.org/officeDocument/2006/relationships/image" Target="media/image137.jpeg"/><Relationship Id="rId198" Type="http://schemas.openxmlformats.org/officeDocument/2006/relationships/image" Target="media/image136.jpeg"/><Relationship Id="rId197" Type="http://schemas.openxmlformats.org/officeDocument/2006/relationships/image" Target="media/image135.jpeg"/><Relationship Id="rId196" Type="http://schemas.openxmlformats.org/officeDocument/2006/relationships/image" Target="media/image134.jpeg"/><Relationship Id="rId195" Type="http://schemas.openxmlformats.org/officeDocument/2006/relationships/image" Target="media/image133.jpeg"/><Relationship Id="rId194" Type="http://schemas.openxmlformats.org/officeDocument/2006/relationships/footer" Target="footer62.xml"/><Relationship Id="rId193" Type="http://schemas.openxmlformats.org/officeDocument/2006/relationships/footer" Target="footer61.xml"/><Relationship Id="rId192" Type="http://schemas.openxmlformats.org/officeDocument/2006/relationships/footer" Target="footer60.xml"/><Relationship Id="rId191" Type="http://schemas.openxmlformats.org/officeDocument/2006/relationships/footer" Target="footer59.xml"/><Relationship Id="rId190" Type="http://schemas.openxmlformats.org/officeDocument/2006/relationships/image" Target="media/image132.jpeg"/><Relationship Id="rId19" Type="http://schemas.openxmlformats.org/officeDocument/2006/relationships/image" Target="media/image8.jpeg"/><Relationship Id="rId189" Type="http://schemas.openxmlformats.org/officeDocument/2006/relationships/image" Target="media/image131.jpeg"/><Relationship Id="rId188" Type="http://schemas.openxmlformats.org/officeDocument/2006/relationships/footer" Target="footer58.xml"/><Relationship Id="rId187" Type="http://schemas.openxmlformats.org/officeDocument/2006/relationships/image" Target="media/image130.jpeg"/><Relationship Id="rId186" Type="http://schemas.openxmlformats.org/officeDocument/2006/relationships/image" Target="media/image129.jpeg"/><Relationship Id="rId185" Type="http://schemas.openxmlformats.org/officeDocument/2006/relationships/footer" Target="footer57.xml"/><Relationship Id="rId184" Type="http://schemas.openxmlformats.org/officeDocument/2006/relationships/image" Target="media/image128.png"/><Relationship Id="rId183" Type="http://schemas.openxmlformats.org/officeDocument/2006/relationships/image" Target="media/image127.png"/><Relationship Id="rId182" Type="http://schemas.openxmlformats.org/officeDocument/2006/relationships/image" Target="media/image126.png"/><Relationship Id="rId181" Type="http://schemas.openxmlformats.org/officeDocument/2006/relationships/footer" Target="footer56.xml"/><Relationship Id="rId180" Type="http://schemas.openxmlformats.org/officeDocument/2006/relationships/image" Target="media/image125.jpeg"/><Relationship Id="rId18" Type="http://schemas.openxmlformats.org/officeDocument/2006/relationships/image" Target="media/image7.png"/><Relationship Id="rId179" Type="http://schemas.openxmlformats.org/officeDocument/2006/relationships/footer" Target="footer55.xml"/><Relationship Id="rId178" Type="http://schemas.openxmlformats.org/officeDocument/2006/relationships/image" Target="media/image124.jpeg"/><Relationship Id="rId177" Type="http://schemas.openxmlformats.org/officeDocument/2006/relationships/image" Target="media/image123.jpeg"/><Relationship Id="rId176" Type="http://schemas.openxmlformats.org/officeDocument/2006/relationships/image" Target="media/image122.png"/><Relationship Id="rId175" Type="http://schemas.openxmlformats.org/officeDocument/2006/relationships/footer" Target="footer54.xml"/><Relationship Id="rId174" Type="http://schemas.openxmlformats.org/officeDocument/2006/relationships/image" Target="media/image121.png"/><Relationship Id="rId173" Type="http://schemas.openxmlformats.org/officeDocument/2006/relationships/footer" Target="footer53.xml"/><Relationship Id="rId172" Type="http://schemas.openxmlformats.org/officeDocument/2006/relationships/image" Target="media/image120.png"/><Relationship Id="rId171" Type="http://schemas.openxmlformats.org/officeDocument/2006/relationships/image" Target="media/image119.png"/><Relationship Id="rId170" Type="http://schemas.openxmlformats.org/officeDocument/2006/relationships/footer" Target="footer52.xml"/><Relationship Id="rId17" Type="http://schemas.openxmlformats.org/officeDocument/2006/relationships/image" Target="media/image6.jpeg"/><Relationship Id="rId169" Type="http://schemas.openxmlformats.org/officeDocument/2006/relationships/footer" Target="footer51.xml"/><Relationship Id="rId168" Type="http://schemas.openxmlformats.org/officeDocument/2006/relationships/footer" Target="footer50.xml"/><Relationship Id="rId167" Type="http://schemas.openxmlformats.org/officeDocument/2006/relationships/image" Target="media/image118.jpeg"/><Relationship Id="rId166" Type="http://schemas.openxmlformats.org/officeDocument/2006/relationships/footer" Target="footer49.xml"/><Relationship Id="rId165" Type="http://schemas.openxmlformats.org/officeDocument/2006/relationships/image" Target="media/image117.jpeg"/><Relationship Id="rId164" Type="http://schemas.openxmlformats.org/officeDocument/2006/relationships/image" Target="media/image116.jpeg"/><Relationship Id="rId163" Type="http://schemas.openxmlformats.org/officeDocument/2006/relationships/footer" Target="footer48.xml"/><Relationship Id="rId162" Type="http://schemas.openxmlformats.org/officeDocument/2006/relationships/image" Target="media/image115.jpeg"/><Relationship Id="rId161" Type="http://schemas.openxmlformats.org/officeDocument/2006/relationships/image" Target="media/image114.jpeg"/><Relationship Id="rId160" Type="http://schemas.openxmlformats.org/officeDocument/2006/relationships/image" Target="media/image113.jpeg"/><Relationship Id="rId16" Type="http://schemas.openxmlformats.org/officeDocument/2006/relationships/footer" Target="footer11.xml"/><Relationship Id="rId159" Type="http://schemas.openxmlformats.org/officeDocument/2006/relationships/image" Target="media/image112.jpeg"/><Relationship Id="rId158" Type="http://schemas.openxmlformats.org/officeDocument/2006/relationships/footer" Target="footer47.xml"/><Relationship Id="rId157" Type="http://schemas.openxmlformats.org/officeDocument/2006/relationships/footer" Target="footer46.xml"/><Relationship Id="rId156" Type="http://schemas.openxmlformats.org/officeDocument/2006/relationships/image" Target="media/image111.jpeg"/><Relationship Id="rId155" Type="http://schemas.openxmlformats.org/officeDocument/2006/relationships/image" Target="media/image110.jpeg"/><Relationship Id="rId154" Type="http://schemas.openxmlformats.org/officeDocument/2006/relationships/image" Target="media/image109.jpeg"/><Relationship Id="rId153" Type="http://schemas.openxmlformats.org/officeDocument/2006/relationships/image" Target="media/image108.jpeg"/><Relationship Id="rId152" Type="http://schemas.openxmlformats.org/officeDocument/2006/relationships/image" Target="media/image107.jpeg"/><Relationship Id="rId151" Type="http://schemas.openxmlformats.org/officeDocument/2006/relationships/image" Target="media/image106.jpeg"/><Relationship Id="rId150" Type="http://schemas.openxmlformats.org/officeDocument/2006/relationships/footer" Target="footer45.xml"/><Relationship Id="rId15" Type="http://schemas.openxmlformats.org/officeDocument/2006/relationships/image" Target="media/image5.jpeg"/><Relationship Id="rId149" Type="http://schemas.openxmlformats.org/officeDocument/2006/relationships/image" Target="media/image105.png"/><Relationship Id="rId148" Type="http://schemas.openxmlformats.org/officeDocument/2006/relationships/image" Target="media/image104.jpeg"/><Relationship Id="rId147" Type="http://schemas.openxmlformats.org/officeDocument/2006/relationships/image" Target="media/image103.jpeg"/><Relationship Id="rId146" Type="http://schemas.openxmlformats.org/officeDocument/2006/relationships/footer" Target="footer44.xml"/><Relationship Id="rId145" Type="http://schemas.openxmlformats.org/officeDocument/2006/relationships/footer" Target="footer43.xml"/><Relationship Id="rId144" Type="http://schemas.openxmlformats.org/officeDocument/2006/relationships/image" Target="media/image102.jpeg"/><Relationship Id="rId143" Type="http://schemas.openxmlformats.org/officeDocument/2006/relationships/image" Target="media/image101.jpeg"/><Relationship Id="rId142" Type="http://schemas.openxmlformats.org/officeDocument/2006/relationships/image" Target="media/image100.jpeg"/><Relationship Id="rId141" Type="http://schemas.openxmlformats.org/officeDocument/2006/relationships/footer" Target="footer42.xml"/><Relationship Id="rId140" Type="http://schemas.openxmlformats.org/officeDocument/2006/relationships/image" Target="media/image99.jpeg"/><Relationship Id="rId14" Type="http://schemas.openxmlformats.org/officeDocument/2006/relationships/footer" Target="footer10.xml"/><Relationship Id="rId139" Type="http://schemas.openxmlformats.org/officeDocument/2006/relationships/image" Target="media/image98.jpeg"/><Relationship Id="rId138" Type="http://schemas.openxmlformats.org/officeDocument/2006/relationships/image" Target="media/image97.jpeg"/><Relationship Id="rId137" Type="http://schemas.openxmlformats.org/officeDocument/2006/relationships/image" Target="media/image96.jpeg"/><Relationship Id="rId136" Type="http://schemas.openxmlformats.org/officeDocument/2006/relationships/image" Target="media/image95.jpeg"/><Relationship Id="rId135" Type="http://schemas.openxmlformats.org/officeDocument/2006/relationships/image" Target="media/image94.jpeg"/><Relationship Id="rId134" Type="http://schemas.openxmlformats.org/officeDocument/2006/relationships/image" Target="media/image93.jpeg"/><Relationship Id="rId133" Type="http://schemas.openxmlformats.org/officeDocument/2006/relationships/image" Target="media/image92.jpeg"/><Relationship Id="rId132" Type="http://schemas.openxmlformats.org/officeDocument/2006/relationships/footer" Target="footer41.xml"/><Relationship Id="rId131" Type="http://schemas.openxmlformats.org/officeDocument/2006/relationships/image" Target="media/image91.jpeg"/><Relationship Id="rId130" Type="http://schemas.openxmlformats.org/officeDocument/2006/relationships/image" Target="media/image90.jpeg"/><Relationship Id="rId13" Type="http://schemas.openxmlformats.org/officeDocument/2006/relationships/image" Target="media/image4.jpeg"/><Relationship Id="rId129" Type="http://schemas.openxmlformats.org/officeDocument/2006/relationships/footer" Target="footer40.xml"/><Relationship Id="rId128" Type="http://schemas.openxmlformats.org/officeDocument/2006/relationships/image" Target="media/image89.png"/><Relationship Id="rId127" Type="http://schemas.openxmlformats.org/officeDocument/2006/relationships/image" Target="media/image88.jpeg"/><Relationship Id="rId126" Type="http://schemas.openxmlformats.org/officeDocument/2006/relationships/footer" Target="footer39.xml"/><Relationship Id="rId125" Type="http://schemas.openxmlformats.org/officeDocument/2006/relationships/footer" Target="footer38.xml"/><Relationship Id="rId124" Type="http://schemas.openxmlformats.org/officeDocument/2006/relationships/footer" Target="footer37.xml"/><Relationship Id="rId123" Type="http://schemas.openxmlformats.org/officeDocument/2006/relationships/footer" Target="footer36.xml"/><Relationship Id="rId122" Type="http://schemas.openxmlformats.org/officeDocument/2006/relationships/image" Target="media/image87.png"/><Relationship Id="rId121" Type="http://schemas.openxmlformats.org/officeDocument/2006/relationships/image" Target="media/image86.png"/><Relationship Id="rId120" Type="http://schemas.openxmlformats.org/officeDocument/2006/relationships/footer" Target="footer35.xml"/><Relationship Id="rId12" Type="http://schemas.openxmlformats.org/officeDocument/2006/relationships/footer" Target="footer9.xml"/><Relationship Id="rId119" Type="http://schemas.openxmlformats.org/officeDocument/2006/relationships/footer" Target="footer34.xml"/><Relationship Id="rId118" Type="http://schemas.openxmlformats.org/officeDocument/2006/relationships/footer" Target="footer33.xml"/><Relationship Id="rId117" Type="http://schemas.openxmlformats.org/officeDocument/2006/relationships/image" Target="media/image85.jpeg"/><Relationship Id="rId116" Type="http://schemas.openxmlformats.org/officeDocument/2006/relationships/image" Target="media/image84.jpeg"/><Relationship Id="rId115" Type="http://schemas.openxmlformats.org/officeDocument/2006/relationships/image" Target="media/image83.jpeg"/><Relationship Id="rId114" Type="http://schemas.openxmlformats.org/officeDocument/2006/relationships/footer" Target="footer32.xml"/><Relationship Id="rId113" Type="http://schemas.openxmlformats.org/officeDocument/2006/relationships/image" Target="media/image82.jpeg"/><Relationship Id="rId112" Type="http://schemas.openxmlformats.org/officeDocument/2006/relationships/image" Target="media/image81.jpeg"/><Relationship Id="rId111" Type="http://schemas.openxmlformats.org/officeDocument/2006/relationships/footer" Target="footer31.xml"/><Relationship Id="rId110" Type="http://schemas.openxmlformats.org/officeDocument/2006/relationships/image" Target="media/image80.jpeg"/><Relationship Id="rId11" Type="http://schemas.openxmlformats.org/officeDocument/2006/relationships/footer" Target="footer8.xml"/><Relationship Id="rId109" Type="http://schemas.openxmlformats.org/officeDocument/2006/relationships/image" Target="media/image79.jpeg"/><Relationship Id="rId108" Type="http://schemas.openxmlformats.org/officeDocument/2006/relationships/image" Target="media/image78.jpeg"/><Relationship Id="rId107" Type="http://schemas.openxmlformats.org/officeDocument/2006/relationships/image" Target="media/image77.png"/><Relationship Id="rId106" Type="http://schemas.openxmlformats.org/officeDocument/2006/relationships/footer" Target="footer30.xml"/><Relationship Id="rId105" Type="http://schemas.openxmlformats.org/officeDocument/2006/relationships/image" Target="media/image76.png"/><Relationship Id="rId104" Type="http://schemas.openxmlformats.org/officeDocument/2006/relationships/image" Target="media/image75.jpeg"/><Relationship Id="rId103" Type="http://schemas.openxmlformats.org/officeDocument/2006/relationships/image" Target="media/image74.jpeg"/><Relationship Id="rId102" Type="http://schemas.openxmlformats.org/officeDocument/2006/relationships/image" Target="media/image73.jpeg"/><Relationship Id="rId101" Type="http://schemas.openxmlformats.org/officeDocument/2006/relationships/image" Target="media/image72.jpeg"/><Relationship Id="rId100" Type="http://schemas.openxmlformats.org/officeDocument/2006/relationships/footer" Target="footer29.xml"/><Relationship Id="rId10" Type="http://schemas.openxmlformats.org/officeDocument/2006/relationships/image" Target="media/image3.jpeg"/><Relationship Id="rId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17.jpeg"/></Relationships>
</file>

<file path=word/_rels/header4.xml.rels><?xml version="1.0" encoding="UTF-8" standalone="yes"?>
<Relationships xmlns="http://schemas.openxmlformats.org/package/2006/relationships"><Relationship Id="rId2" Type="http://schemas.openxmlformats.org/officeDocument/2006/relationships/image" Target="media/image364.jpeg"/><Relationship Id="rId1" Type="http://schemas.openxmlformats.org/officeDocument/2006/relationships/image" Target="media/image363.jpeg"/></Relationships>
</file>

<file path=word/_rels/header5.xml.rels><?xml version="1.0" encoding="UTF-8" standalone="yes"?>
<Relationships xmlns="http://schemas.openxmlformats.org/package/2006/relationships"><Relationship Id="rId2" Type="http://schemas.openxmlformats.org/officeDocument/2006/relationships/image" Target="media/image366.jpeg"/><Relationship Id="rId1" Type="http://schemas.openxmlformats.org/officeDocument/2006/relationships/image" Target="media/image365.jpeg"/></Relationships>
</file>

<file path=word/_rels/header6.xml.rels><?xml version="1.0" encoding="UTF-8" standalone="yes"?>
<Relationships xmlns="http://schemas.openxmlformats.org/package/2006/relationships"><Relationship Id="rId2" Type="http://schemas.openxmlformats.org/officeDocument/2006/relationships/image" Target="media/image368.jpeg"/><Relationship Id="rId1" Type="http://schemas.openxmlformats.org/officeDocument/2006/relationships/image" Target="media/image367.jpeg"/></Relationships>
</file>

<file path=word/_rels/header7.xml.rels><?xml version="1.0" encoding="UTF-8" standalone="yes"?>
<Relationships xmlns="http://schemas.openxmlformats.org/package/2006/relationships"><Relationship Id="rId2" Type="http://schemas.openxmlformats.org/officeDocument/2006/relationships/image" Target="media/image370.jpeg"/><Relationship Id="rId1" Type="http://schemas.openxmlformats.org/officeDocument/2006/relationships/image" Target="media/image369.jpeg"/></Relationships>
</file>

<file path=word/_rels/header8.xml.rels><?xml version="1.0" encoding="UTF-8" standalone="yes"?>
<Relationships xmlns="http://schemas.openxmlformats.org/package/2006/relationships"><Relationship Id="rId2" Type="http://schemas.openxmlformats.org/officeDocument/2006/relationships/image" Target="media/image364.jpeg"/><Relationship Id="rId1" Type="http://schemas.openxmlformats.org/officeDocument/2006/relationships/image" Target="media/image371.jpeg"/></Relationships>
</file>

<file path=word/_rels/header9.xml.rels><?xml version="1.0" encoding="UTF-8" standalone="yes"?>
<Relationships xmlns="http://schemas.openxmlformats.org/package/2006/relationships"><Relationship Id="rId2" Type="http://schemas.openxmlformats.org/officeDocument/2006/relationships/image" Target="media/image366.jpeg"/><Relationship Id="rId1" Type="http://schemas.openxmlformats.org/officeDocument/2006/relationships/image" Target="media/image372.jpeg"/></Relationships>
</file>

<file path=word/_rels/header10.xml.rels><?xml version="1.0" encoding="UTF-8" standalone="yes"?>
<Relationships xmlns="http://schemas.openxmlformats.org/package/2006/relationships"><Relationship Id="rId2" Type="http://schemas.openxmlformats.org/officeDocument/2006/relationships/image" Target="media/image364.jpeg"/><Relationship Id="rId1" Type="http://schemas.openxmlformats.org/officeDocument/2006/relationships/image" Target="media/image373.jpeg"/></Relationships>
</file>

<file path=word/_rels/header11.xml.rels><?xml version="1.0" encoding="UTF-8" standalone="yes"?>
<Relationships xmlns="http://schemas.openxmlformats.org/package/2006/relationships"><Relationship Id="rId2" Type="http://schemas.openxmlformats.org/officeDocument/2006/relationships/image" Target="media/image364.jpeg"/><Relationship Id="rId1" Type="http://schemas.openxmlformats.org/officeDocument/2006/relationships/image" Target="media/image374.jpeg"/></Relationships>
</file>

<file path=word/_rels/header12.xml.rels><?xml version="1.0" encoding="UTF-8" standalone="yes"?>
<Relationships xmlns="http://schemas.openxmlformats.org/package/2006/relationships"><Relationship Id="rId2" Type="http://schemas.openxmlformats.org/officeDocument/2006/relationships/image" Target="media/image370.jpeg"/><Relationship Id="rId1" Type="http://schemas.openxmlformats.org/officeDocument/2006/relationships/image" Target="media/image375.jpeg"/></Relationships>
</file>

<file path=word/_rels/header13.xml.rels><?xml version="1.0" encoding="UTF-8" standalone="yes"?>
<Relationships xmlns="http://schemas.openxmlformats.org/package/2006/relationships"><Relationship Id="rId2" Type="http://schemas.openxmlformats.org/officeDocument/2006/relationships/image" Target="media/image366.jpeg"/><Relationship Id="rId1" Type="http://schemas.openxmlformats.org/officeDocument/2006/relationships/image" Target="media/image376.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2026-05-16T19:43:54Z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2026-05-16T19:44:54</vt:filetime>
  </property>
  <property fmtid="{D5CDD505-2E9C-101B-9397-08002B2CF9AE}" pid="4" name="UsrData">
    <vt:lpwstr>6a0858479aafeb00200a3bd9wl</vt:lpwstr>
  </property>
</Properties>
</file>